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ayout w:type="fixed"/>
        <w:tblCellMar>
          <w:left w:w="70" w:type="dxa"/>
          <w:right w:w="70" w:type="dxa"/>
        </w:tblCellMar>
        <w:tblLook w:val="0000" w:firstRow="0" w:lastRow="0" w:firstColumn="0" w:lastColumn="0" w:noHBand="0" w:noVBand="0"/>
      </w:tblPr>
      <w:tblGrid>
        <w:gridCol w:w="1036"/>
        <w:gridCol w:w="98"/>
        <w:gridCol w:w="709"/>
        <w:gridCol w:w="1357"/>
        <w:gridCol w:w="1762"/>
        <w:gridCol w:w="2418"/>
        <w:gridCol w:w="1980"/>
      </w:tblGrid>
      <w:tr w:rsidR="008C425F" w:rsidRPr="00911998" w14:paraId="588F3F85" w14:textId="77777777" w:rsidTr="008C425F">
        <w:trPr>
          <w:trHeight w:val="360"/>
        </w:trPr>
        <w:tc>
          <w:tcPr>
            <w:tcW w:w="7380" w:type="dxa"/>
            <w:gridSpan w:val="6"/>
          </w:tcPr>
          <w:p w14:paraId="5892AEC1" w14:textId="77777777" w:rsidR="008C425F" w:rsidRPr="00F228FD" w:rsidRDefault="008C425F" w:rsidP="00FC0BF1">
            <w:pPr>
              <w:pStyle w:val="zSoquijdatRepertorie"/>
              <w:rPr>
                <w:rFonts w:cs="Arial"/>
              </w:rPr>
            </w:pPr>
            <w:r>
              <w:rPr>
                <w:rFonts w:cs="Arial"/>
              </w:rPr>
              <w:t>V.M. c. Directeur de l'État civil</w:t>
            </w:r>
          </w:p>
        </w:tc>
        <w:tc>
          <w:tcPr>
            <w:tcW w:w="1980" w:type="dxa"/>
          </w:tcPr>
          <w:p w14:paraId="0E4718CE" w14:textId="1B6CFDE1" w:rsidR="008C425F" w:rsidRPr="006F17CE" w:rsidRDefault="008C425F" w:rsidP="008C425F">
            <w:pPr>
              <w:pStyle w:val="zSoquijdatRefNeutre"/>
              <w:jc w:val="both"/>
              <w:rPr>
                <w:rFonts w:cs="Arial"/>
              </w:rPr>
            </w:pPr>
            <w:r w:rsidRPr="006F17CE">
              <w:rPr>
                <w:rFonts w:cs="Arial"/>
              </w:rPr>
              <w:t>2025</w:t>
            </w:r>
            <w:r>
              <w:rPr>
                <w:rFonts w:cs="Arial"/>
              </w:rPr>
              <w:t xml:space="preserve"> </w:t>
            </w:r>
            <w:r w:rsidRPr="006F17CE">
              <w:rPr>
                <w:rFonts w:cs="Arial"/>
              </w:rPr>
              <w:t>QCCS 1304</w:t>
            </w:r>
          </w:p>
        </w:tc>
      </w:tr>
      <w:tr w:rsidR="000E19AB" w:rsidRPr="00911998" w14:paraId="3858B197" w14:textId="77777777" w:rsidTr="008C425F">
        <w:trPr>
          <w:trHeight w:val="900"/>
        </w:trPr>
        <w:tc>
          <w:tcPr>
            <w:tcW w:w="9360" w:type="dxa"/>
            <w:gridSpan w:val="7"/>
            <w:vAlign w:val="bottom"/>
          </w:tcPr>
          <w:p w14:paraId="71BA0FDF" w14:textId="77777777" w:rsidR="00121A72" w:rsidRPr="00911998" w:rsidRDefault="00121A72" w:rsidP="00D26929">
            <w:pPr>
              <w:pStyle w:val="zSoquijlblCour"/>
            </w:pPr>
            <w:r w:rsidRPr="00911998">
              <w:t>COUR SUPÉRIEURE</w:t>
            </w:r>
          </w:p>
          <w:p w14:paraId="09FFE09E" w14:textId="54F0751D" w:rsidR="0043448C" w:rsidRPr="00911998" w:rsidRDefault="000F477B" w:rsidP="00D26929">
            <w:pPr>
              <w:pStyle w:val="zSoquijlblCour"/>
              <w:rPr>
                <w:b w:val="0"/>
                <w:sz w:val="28"/>
                <w:szCs w:val="28"/>
              </w:rPr>
            </w:pPr>
            <w:r w:rsidRPr="00911998">
              <w:rPr>
                <w:b w:val="0"/>
                <w:sz w:val="28"/>
                <w:szCs w:val="28"/>
              </w:rPr>
              <w:t>(Chambre civile</w:t>
            </w:r>
            <w:r w:rsidR="00920A20" w:rsidRPr="00911998">
              <w:rPr>
                <w:b w:val="0"/>
                <w:sz w:val="28"/>
                <w:szCs w:val="28"/>
              </w:rPr>
              <w:t xml:space="preserve"> / Chambre familiale</w:t>
            </w:r>
            <w:r w:rsidRPr="00911998">
              <w:rPr>
                <w:b w:val="0"/>
                <w:sz w:val="28"/>
                <w:szCs w:val="28"/>
              </w:rPr>
              <w:t>)</w:t>
            </w:r>
          </w:p>
        </w:tc>
      </w:tr>
      <w:tr w:rsidR="000E19AB" w:rsidRPr="00911998" w14:paraId="00ECFB0F" w14:textId="77777777" w:rsidTr="008C425F">
        <w:tc>
          <w:tcPr>
            <w:tcW w:w="9360" w:type="dxa"/>
            <w:gridSpan w:val="7"/>
          </w:tcPr>
          <w:p w14:paraId="3DA1BD6E" w14:textId="77777777" w:rsidR="00121A72" w:rsidRPr="00911998" w:rsidRDefault="00121A72" w:rsidP="00D26929">
            <w:pPr>
              <w:pStyle w:val="zSoquijlblPays"/>
            </w:pPr>
            <w:r w:rsidRPr="00911998">
              <w:t>CANADA</w:t>
            </w:r>
          </w:p>
        </w:tc>
      </w:tr>
      <w:tr w:rsidR="000E19AB" w:rsidRPr="00911998" w14:paraId="1A38464D" w14:textId="77777777" w:rsidTr="008C425F">
        <w:tc>
          <w:tcPr>
            <w:tcW w:w="9360" w:type="dxa"/>
            <w:gridSpan w:val="7"/>
          </w:tcPr>
          <w:p w14:paraId="1E68169D" w14:textId="77777777" w:rsidR="00121A72" w:rsidRPr="00911998" w:rsidRDefault="00121A72" w:rsidP="003954B3">
            <w:pPr>
              <w:pStyle w:val="zSoquijlblProvince"/>
            </w:pPr>
            <w:r w:rsidRPr="00911998">
              <w:t>PROVINCE DE QUÉBEC</w:t>
            </w:r>
          </w:p>
        </w:tc>
      </w:tr>
      <w:tr w:rsidR="000E19AB" w:rsidRPr="00911998" w14:paraId="7B77D1CB" w14:textId="77777777" w:rsidTr="008C425F">
        <w:tblPrEx>
          <w:tblCellMar>
            <w:left w:w="0" w:type="dxa"/>
            <w:right w:w="0" w:type="dxa"/>
          </w:tblCellMar>
        </w:tblPrEx>
        <w:trPr>
          <w:cantSplit/>
        </w:trPr>
        <w:tc>
          <w:tcPr>
            <w:tcW w:w="1843" w:type="dxa"/>
            <w:gridSpan w:val="3"/>
          </w:tcPr>
          <w:p w14:paraId="7BEDBEF7" w14:textId="77777777" w:rsidR="00E75649" w:rsidRPr="00911998" w:rsidRDefault="00121A72" w:rsidP="003954B3">
            <w:pPr>
              <w:pStyle w:val="zSoquijlblGreffe"/>
            </w:pPr>
            <w:r w:rsidRPr="00911998">
              <w:t>DISTRICT DE</w:t>
            </w:r>
          </w:p>
        </w:tc>
        <w:tc>
          <w:tcPr>
            <w:tcW w:w="7517" w:type="dxa"/>
            <w:gridSpan w:val="4"/>
          </w:tcPr>
          <w:p w14:paraId="6AC3FAC2" w14:textId="2A0F7DE5" w:rsidR="00121A72" w:rsidRPr="00911998" w:rsidRDefault="00121A72" w:rsidP="00D26929">
            <w:pPr>
              <w:pStyle w:val="zSoquijdatGreffe"/>
            </w:pPr>
            <w:r w:rsidRPr="00911998">
              <w:fldChar w:fldCharType="begin"/>
            </w:r>
            <w:r w:rsidRPr="00911998">
              <w:rPr>
                <w:lang w:val="de-DE"/>
              </w:rPr>
              <w:instrText xml:space="preserve"> District </w:instrText>
            </w:r>
            <w:r w:rsidRPr="00911998">
              <w:fldChar w:fldCharType="separate"/>
            </w:r>
            <w:r w:rsidR="002679FF" w:rsidRPr="00911998">
              <w:rPr>
                <w:lang w:val="de-DE"/>
              </w:rPr>
              <w:t>montréal</w:t>
            </w:r>
            <w:r w:rsidRPr="00911998">
              <w:fldChar w:fldCharType="end"/>
            </w:r>
          </w:p>
        </w:tc>
      </w:tr>
      <w:tr w:rsidR="000E19AB" w:rsidRPr="00911998" w14:paraId="4E7D6FA4" w14:textId="77777777" w:rsidTr="008C425F">
        <w:tc>
          <w:tcPr>
            <w:tcW w:w="1134" w:type="dxa"/>
            <w:gridSpan w:val="2"/>
          </w:tcPr>
          <w:p w14:paraId="3EB85979" w14:textId="77777777" w:rsidR="00E75649" w:rsidRPr="00911998" w:rsidRDefault="00E75649" w:rsidP="008D093A">
            <w:pPr>
              <w:pStyle w:val="zSoquijlblLocalite"/>
            </w:pPr>
          </w:p>
        </w:tc>
        <w:tc>
          <w:tcPr>
            <w:tcW w:w="8226" w:type="dxa"/>
            <w:gridSpan w:val="5"/>
          </w:tcPr>
          <w:p w14:paraId="414D5332" w14:textId="77777777" w:rsidR="00E75649" w:rsidRPr="00911998" w:rsidRDefault="00E75649" w:rsidP="00E75649">
            <w:pPr>
              <w:pStyle w:val="zSoquijdatLocalite"/>
            </w:pPr>
          </w:p>
        </w:tc>
      </w:tr>
      <w:tr w:rsidR="000E19AB" w:rsidRPr="00911998" w14:paraId="4A99B142" w14:textId="77777777" w:rsidTr="008C425F">
        <w:tc>
          <w:tcPr>
            <w:tcW w:w="1134" w:type="dxa"/>
            <w:gridSpan w:val="2"/>
          </w:tcPr>
          <w:p w14:paraId="3D30D58C" w14:textId="77777777" w:rsidR="007F18CF" w:rsidRPr="00911998" w:rsidRDefault="007F18CF" w:rsidP="00D26929">
            <w:pPr>
              <w:pStyle w:val="zSoquijlblNoDossier"/>
            </w:pPr>
          </w:p>
          <w:p w14:paraId="157D3613" w14:textId="77777777" w:rsidR="00121A72" w:rsidRPr="00911998" w:rsidRDefault="00121A72" w:rsidP="007F18CF">
            <w:pPr>
              <w:pStyle w:val="zSoquijlblNoDossier"/>
            </w:pPr>
            <w:r w:rsidRPr="00911998">
              <w:t>N</w:t>
            </w:r>
            <w:r w:rsidR="00555548" w:rsidRPr="00911998">
              <w:t>o</w:t>
            </w:r>
            <w:r w:rsidRPr="00911998">
              <w:t> :</w:t>
            </w:r>
          </w:p>
        </w:tc>
        <w:tc>
          <w:tcPr>
            <w:tcW w:w="8226" w:type="dxa"/>
            <w:gridSpan w:val="5"/>
          </w:tcPr>
          <w:p w14:paraId="7F90450D" w14:textId="77777777" w:rsidR="007F18CF" w:rsidRPr="00911998" w:rsidRDefault="007F18CF" w:rsidP="009E7E11">
            <w:pPr>
              <w:pStyle w:val="zSoquijdatNoDossier"/>
              <w:ind w:left="-69"/>
            </w:pPr>
          </w:p>
          <w:p w14:paraId="5CB5EEDE" w14:textId="67A6C789" w:rsidR="00121A72" w:rsidRPr="00911998" w:rsidRDefault="002679FF" w:rsidP="009E7E11">
            <w:pPr>
              <w:pStyle w:val="zSoquijdatNoDossier"/>
              <w:ind w:left="-69"/>
            </w:pPr>
            <w:r w:rsidRPr="00911998">
              <w:t>500-17-119125-212</w:t>
            </w:r>
          </w:p>
        </w:tc>
      </w:tr>
      <w:tr w:rsidR="000E19AB" w:rsidRPr="00911998" w14:paraId="78AE17E7" w14:textId="77777777" w:rsidTr="008C425F">
        <w:tblPrEx>
          <w:tblCellMar>
            <w:left w:w="0" w:type="dxa"/>
            <w:right w:w="0" w:type="dxa"/>
          </w:tblCellMar>
        </w:tblPrEx>
        <w:trPr>
          <w:cantSplit/>
        </w:trPr>
        <w:tc>
          <w:tcPr>
            <w:tcW w:w="1134" w:type="dxa"/>
            <w:gridSpan w:val="2"/>
          </w:tcPr>
          <w:p w14:paraId="05321F6D" w14:textId="77777777" w:rsidR="00121A72" w:rsidRPr="00911998" w:rsidRDefault="00121A72" w:rsidP="00D26929">
            <w:pPr>
              <w:pStyle w:val="zSoquijlblGreffe"/>
            </w:pPr>
          </w:p>
        </w:tc>
        <w:tc>
          <w:tcPr>
            <w:tcW w:w="8226" w:type="dxa"/>
            <w:gridSpan w:val="5"/>
          </w:tcPr>
          <w:p w14:paraId="6EEC4208" w14:textId="661DA7E4" w:rsidR="00121A72" w:rsidRPr="00911998" w:rsidRDefault="002679FF" w:rsidP="00D26929">
            <w:pPr>
              <w:pStyle w:val="zSoquijdatNoDossierAnt"/>
            </w:pPr>
            <w:r w:rsidRPr="00911998">
              <w:t>500-04-079533-239</w:t>
            </w:r>
          </w:p>
        </w:tc>
      </w:tr>
      <w:tr w:rsidR="000E19AB" w:rsidRPr="00911998" w14:paraId="79F094DF" w14:textId="77777777" w:rsidTr="008C425F">
        <w:trPr>
          <w:cantSplit/>
          <w:trHeight w:val="235"/>
        </w:trPr>
        <w:tc>
          <w:tcPr>
            <w:tcW w:w="9360" w:type="dxa"/>
            <w:gridSpan w:val="7"/>
          </w:tcPr>
          <w:p w14:paraId="49D7E171" w14:textId="77777777" w:rsidR="00121A72" w:rsidRPr="00911998" w:rsidRDefault="00121A72" w:rsidP="00D26929"/>
        </w:tc>
      </w:tr>
      <w:tr w:rsidR="000E19AB" w:rsidRPr="00911998" w14:paraId="3F0A6159" w14:textId="77777777" w:rsidTr="008C425F">
        <w:tc>
          <w:tcPr>
            <w:tcW w:w="1036" w:type="dxa"/>
          </w:tcPr>
          <w:p w14:paraId="1D8C33A3" w14:textId="77777777" w:rsidR="00121A72" w:rsidRPr="00911998" w:rsidRDefault="00121A72" w:rsidP="00D26929">
            <w:pPr>
              <w:pStyle w:val="zSoquijlblDateJugement"/>
            </w:pPr>
            <w:r w:rsidRPr="00911998">
              <w:t>DATE :</w:t>
            </w:r>
          </w:p>
        </w:tc>
        <w:tc>
          <w:tcPr>
            <w:tcW w:w="8324" w:type="dxa"/>
            <w:gridSpan w:val="6"/>
          </w:tcPr>
          <w:p w14:paraId="26A5BB2C" w14:textId="4123F43B" w:rsidR="00121A72" w:rsidRPr="00911998" w:rsidRDefault="00843182" w:rsidP="00D26929">
            <w:pPr>
              <w:pStyle w:val="zSoquijdatDateJugement"/>
            </w:pPr>
            <w:r w:rsidRPr="00911998">
              <w:t>25 avril 2025</w:t>
            </w:r>
          </w:p>
        </w:tc>
      </w:tr>
      <w:tr w:rsidR="000E19AB" w:rsidRPr="00911998" w14:paraId="5ED03EC6" w14:textId="77777777" w:rsidTr="008C425F">
        <w:tc>
          <w:tcPr>
            <w:tcW w:w="9360" w:type="dxa"/>
            <w:gridSpan w:val="7"/>
          </w:tcPr>
          <w:p w14:paraId="0C456F6C" w14:textId="6F5D5A7F" w:rsidR="00121A72" w:rsidRPr="00911998" w:rsidRDefault="00121A72" w:rsidP="00D26929">
            <w:pPr>
              <w:ind w:left="14" w:right="-67"/>
            </w:pPr>
            <w:r w:rsidRPr="00911998">
              <w:t>_____________________________________________________________________</w:t>
            </w:r>
          </w:p>
        </w:tc>
      </w:tr>
      <w:tr w:rsidR="000E19AB" w:rsidRPr="00911998" w14:paraId="3F08238B" w14:textId="77777777" w:rsidTr="008C425F">
        <w:tc>
          <w:tcPr>
            <w:tcW w:w="9360" w:type="dxa"/>
            <w:gridSpan w:val="7"/>
          </w:tcPr>
          <w:p w14:paraId="76052923" w14:textId="77777777" w:rsidR="00121A72" w:rsidRPr="00911998" w:rsidRDefault="00121A72" w:rsidP="00D26929"/>
        </w:tc>
      </w:tr>
      <w:tr w:rsidR="000E19AB" w:rsidRPr="00911998" w14:paraId="07493F3D" w14:textId="77777777" w:rsidTr="008C425F">
        <w:tblPrEx>
          <w:tblCellMar>
            <w:left w:w="0" w:type="dxa"/>
            <w:right w:w="0" w:type="dxa"/>
          </w:tblCellMar>
        </w:tblPrEx>
        <w:tc>
          <w:tcPr>
            <w:tcW w:w="3200" w:type="dxa"/>
            <w:gridSpan w:val="4"/>
          </w:tcPr>
          <w:p w14:paraId="364860D7" w14:textId="77777777" w:rsidR="00121A72" w:rsidRPr="00911998" w:rsidRDefault="00121A72" w:rsidP="004D1C2F">
            <w:pPr>
              <w:pStyle w:val="zSoquijlblJuge"/>
              <w:rPr>
                <w:sz w:val="22"/>
                <w:szCs w:val="22"/>
              </w:rPr>
            </w:pPr>
            <w:r w:rsidRPr="00911998">
              <w:rPr>
                <w:sz w:val="22"/>
                <w:szCs w:val="22"/>
              </w:rPr>
              <w:t>SOUS LA PRÉSIDENCE DE</w:t>
            </w:r>
          </w:p>
          <w:p w14:paraId="11B7EDAD" w14:textId="77777777" w:rsidR="004D1C2F" w:rsidRPr="00911998" w:rsidRDefault="004D1C2F" w:rsidP="004D1C2F">
            <w:pPr>
              <w:pStyle w:val="zSoquijlblJuge"/>
              <w:rPr>
                <w:sz w:val="22"/>
                <w:szCs w:val="22"/>
              </w:rPr>
            </w:pPr>
          </w:p>
        </w:tc>
        <w:tc>
          <w:tcPr>
            <w:tcW w:w="1762" w:type="dxa"/>
          </w:tcPr>
          <w:p w14:paraId="3CC19A1D" w14:textId="02568807" w:rsidR="004D1C2F" w:rsidRPr="00911998" w:rsidRDefault="00121A72" w:rsidP="003D10A3">
            <w:pPr>
              <w:pStyle w:val="zSoquijdatQteJuge"/>
              <w:rPr>
                <w:sz w:val="22"/>
                <w:szCs w:val="22"/>
                <w:lang w:val="en-CA"/>
              </w:rPr>
            </w:pPr>
            <w:r w:rsidRPr="00911998">
              <w:rPr>
                <w:sz w:val="22"/>
                <w:szCs w:val="22"/>
              </w:rPr>
              <w:t>L’HONORABLE</w:t>
            </w:r>
          </w:p>
        </w:tc>
        <w:tc>
          <w:tcPr>
            <w:tcW w:w="4398" w:type="dxa"/>
            <w:gridSpan w:val="2"/>
          </w:tcPr>
          <w:p w14:paraId="6A4229C4" w14:textId="5976E1E6" w:rsidR="004D1C2F" w:rsidRPr="00911998" w:rsidRDefault="00E75649" w:rsidP="003954B3">
            <w:pPr>
              <w:pStyle w:val="zSoquijdatJuge"/>
              <w:rPr>
                <w:sz w:val="22"/>
                <w:szCs w:val="22"/>
              </w:rPr>
            </w:pPr>
            <w:r w:rsidRPr="00911998">
              <w:rPr>
                <w:sz w:val="22"/>
                <w:szCs w:val="22"/>
                <w:lang w:val="en-CA"/>
              </w:rPr>
              <w:fldChar w:fldCharType="begin"/>
            </w:r>
            <w:r w:rsidRPr="00911998">
              <w:rPr>
                <w:sz w:val="22"/>
                <w:szCs w:val="22"/>
              </w:rPr>
              <w:instrText xml:space="preserve"> NOMJUGE1 </w:instrText>
            </w:r>
            <w:r w:rsidRPr="00911998">
              <w:rPr>
                <w:sz w:val="22"/>
                <w:szCs w:val="22"/>
                <w:lang w:val="en-CA"/>
              </w:rPr>
              <w:fldChar w:fldCharType="separate"/>
            </w:r>
            <w:r w:rsidR="002679FF" w:rsidRPr="00911998">
              <w:rPr>
                <w:sz w:val="22"/>
                <w:szCs w:val="22"/>
                <w:lang w:val="fr-FR"/>
              </w:rPr>
              <w:t xml:space="preserve">ANDRES </w:t>
            </w:r>
            <w:r w:rsidR="00B90ABD" w:rsidRPr="00911998">
              <w:rPr>
                <w:sz w:val="22"/>
                <w:szCs w:val="22"/>
                <w:lang w:val="fr-FR"/>
              </w:rPr>
              <w:t xml:space="preserve">C. </w:t>
            </w:r>
            <w:r w:rsidR="002679FF" w:rsidRPr="00911998">
              <w:rPr>
                <w:sz w:val="22"/>
                <w:szCs w:val="22"/>
                <w:lang w:val="fr-FR"/>
              </w:rPr>
              <w:t>GARIN</w:t>
            </w:r>
            <w:r w:rsidRPr="00911998">
              <w:rPr>
                <w:sz w:val="22"/>
                <w:szCs w:val="22"/>
                <w:lang w:val="en-CA"/>
              </w:rPr>
              <w:fldChar w:fldCharType="end"/>
            </w:r>
            <w:r w:rsidR="003954B3" w:rsidRPr="00911998">
              <w:rPr>
                <w:sz w:val="22"/>
                <w:szCs w:val="22"/>
              </w:rPr>
              <w:t>, J.C.S</w:t>
            </w:r>
            <w:r w:rsidR="00B90ABD" w:rsidRPr="00911998">
              <w:rPr>
                <w:sz w:val="22"/>
                <w:szCs w:val="22"/>
              </w:rPr>
              <w:t>.</w:t>
            </w:r>
          </w:p>
        </w:tc>
      </w:tr>
      <w:tr w:rsidR="000E19AB" w:rsidRPr="00911998" w14:paraId="7E798012" w14:textId="77777777" w:rsidTr="008C425F">
        <w:tc>
          <w:tcPr>
            <w:tcW w:w="9360" w:type="dxa"/>
            <w:gridSpan w:val="7"/>
          </w:tcPr>
          <w:p w14:paraId="200BC461" w14:textId="6B659DCA" w:rsidR="00121A72" w:rsidRPr="00911998" w:rsidRDefault="00121A72" w:rsidP="00D26929">
            <w:pPr>
              <w:ind w:left="14" w:right="-67"/>
            </w:pPr>
            <w:r w:rsidRPr="00911998">
              <w:t>_____________________________________________________________________</w:t>
            </w:r>
          </w:p>
        </w:tc>
      </w:tr>
      <w:tr w:rsidR="000E19AB" w:rsidRPr="00911998" w14:paraId="4550F338" w14:textId="77777777" w:rsidTr="008C425F">
        <w:tc>
          <w:tcPr>
            <w:tcW w:w="9360" w:type="dxa"/>
            <w:gridSpan w:val="7"/>
          </w:tcPr>
          <w:p w14:paraId="26D1AD14" w14:textId="3F882C70" w:rsidR="00A34426" w:rsidRPr="00911998" w:rsidRDefault="00EE13F8" w:rsidP="00D26929">
            <w:pPr>
              <w:pStyle w:val="zSoquijlblTitrePartie"/>
              <w:rPr>
                <w:b/>
                <w:bCs/>
                <w:u w:val="single"/>
              </w:rPr>
            </w:pPr>
            <w:r w:rsidRPr="00911998">
              <w:rPr>
                <w:b/>
                <w:bCs/>
                <w:u w:val="single"/>
              </w:rPr>
              <w:t>N</w:t>
            </w:r>
            <w:r w:rsidRPr="00911998">
              <w:rPr>
                <w:b/>
                <w:bCs/>
                <w:u w:val="single"/>
                <w:vertAlign w:val="superscript"/>
              </w:rPr>
              <w:t>o </w:t>
            </w:r>
            <w:r w:rsidRPr="00911998">
              <w:rPr>
                <w:b/>
                <w:bCs/>
                <w:u w:val="single"/>
              </w:rPr>
              <w:t>: 500-17-119125-212</w:t>
            </w:r>
          </w:p>
          <w:p w14:paraId="163333A5" w14:textId="13C7E60D" w:rsidR="00EE13F8" w:rsidRPr="00911998" w:rsidRDefault="00EE13F8" w:rsidP="00D26929">
            <w:pPr>
              <w:pStyle w:val="zSoquijlblTitrePartie"/>
            </w:pPr>
          </w:p>
        </w:tc>
      </w:tr>
      <w:tr w:rsidR="000E19AB" w:rsidRPr="00911998" w14:paraId="1545D5A3" w14:textId="77777777" w:rsidTr="008C425F">
        <w:tc>
          <w:tcPr>
            <w:tcW w:w="9360" w:type="dxa"/>
            <w:gridSpan w:val="7"/>
          </w:tcPr>
          <w:p w14:paraId="4D8F809D" w14:textId="0CD8EC46" w:rsidR="00121A72" w:rsidRPr="00911998" w:rsidRDefault="00701C87" w:rsidP="00D26929">
            <w:pPr>
              <w:pStyle w:val="zSoquijdatNomPartieDem"/>
            </w:pPr>
            <w:r w:rsidRPr="00911998">
              <w:fldChar w:fldCharType="begin"/>
            </w:r>
            <w:r w:rsidRPr="00911998">
              <w:instrText xml:space="preserve"> NomPartieDem </w:instrText>
            </w:r>
            <w:r w:rsidRPr="00911998">
              <w:fldChar w:fldCharType="separate"/>
            </w:r>
            <w:r w:rsidR="00153EC1">
              <w:t xml:space="preserve">V... </w:t>
            </w:r>
            <w:proofErr w:type="gramStart"/>
            <w:r w:rsidR="00153EC1">
              <w:t>M...</w:t>
            </w:r>
            <w:proofErr w:type="gramEnd"/>
            <w:r w:rsidRPr="00911998">
              <w:fldChar w:fldCharType="end"/>
            </w:r>
          </w:p>
        </w:tc>
      </w:tr>
      <w:tr w:rsidR="000E19AB" w:rsidRPr="00911998" w14:paraId="2F601239" w14:textId="77777777" w:rsidTr="008C425F">
        <w:tc>
          <w:tcPr>
            <w:tcW w:w="9360" w:type="dxa"/>
            <w:gridSpan w:val="7"/>
          </w:tcPr>
          <w:p w14:paraId="5384F962" w14:textId="3656875C" w:rsidR="002679FF" w:rsidRPr="00911998" w:rsidRDefault="002679FF" w:rsidP="00D26929">
            <w:pPr>
              <w:pStyle w:val="zSoquijdatNomPartieDem"/>
              <w:rPr>
                <w:b w:val="0"/>
                <w:bCs w:val="0"/>
              </w:rPr>
            </w:pPr>
            <w:proofErr w:type="gramStart"/>
            <w:r w:rsidRPr="00911998">
              <w:rPr>
                <w:b w:val="0"/>
                <w:bCs w:val="0"/>
              </w:rPr>
              <w:t>et</w:t>
            </w:r>
            <w:proofErr w:type="gramEnd"/>
          </w:p>
        </w:tc>
      </w:tr>
      <w:tr w:rsidR="000E19AB" w:rsidRPr="00911998" w14:paraId="2BAB3157" w14:textId="77777777" w:rsidTr="008C425F">
        <w:tc>
          <w:tcPr>
            <w:tcW w:w="9360" w:type="dxa"/>
            <w:gridSpan w:val="7"/>
          </w:tcPr>
          <w:p w14:paraId="2AF8F3BC" w14:textId="68F713CC" w:rsidR="002679FF" w:rsidRPr="00911998" w:rsidRDefault="00153EC1" w:rsidP="00D26929">
            <w:pPr>
              <w:pStyle w:val="zSoquijdatNomPartieDem"/>
            </w:pPr>
            <w:r>
              <w:t xml:space="preserve">J... </w:t>
            </w:r>
            <w:proofErr w:type="gramStart"/>
            <w:r>
              <w:t>P...</w:t>
            </w:r>
            <w:proofErr w:type="gramEnd"/>
          </w:p>
        </w:tc>
      </w:tr>
      <w:tr w:rsidR="000E19AB" w:rsidRPr="00911998" w14:paraId="6EFBBE18" w14:textId="77777777" w:rsidTr="008C425F">
        <w:tc>
          <w:tcPr>
            <w:tcW w:w="9360" w:type="dxa"/>
            <w:gridSpan w:val="7"/>
          </w:tcPr>
          <w:p w14:paraId="4269C6C8" w14:textId="2790373D" w:rsidR="002679FF" w:rsidRPr="00911998" w:rsidRDefault="002679FF" w:rsidP="00D26929">
            <w:pPr>
              <w:pStyle w:val="zSoquijdatNomPartieDem"/>
              <w:rPr>
                <w:b w:val="0"/>
                <w:bCs w:val="0"/>
              </w:rPr>
            </w:pPr>
            <w:proofErr w:type="gramStart"/>
            <w:r w:rsidRPr="00911998">
              <w:rPr>
                <w:b w:val="0"/>
                <w:bCs w:val="0"/>
              </w:rPr>
              <w:t>et</w:t>
            </w:r>
            <w:proofErr w:type="gramEnd"/>
          </w:p>
        </w:tc>
      </w:tr>
      <w:tr w:rsidR="000E19AB" w:rsidRPr="00911998" w14:paraId="0CECB1FB" w14:textId="77777777" w:rsidTr="008C425F">
        <w:tc>
          <w:tcPr>
            <w:tcW w:w="9360" w:type="dxa"/>
            <w:gridSpan w:val="7"/>
          </w:tcPr>
          <w:p w14:paraId="4621775B" w14:textId="69BF7590" w:rsidR="002679FF" w:rsidRPr="00911998" w:rsidRDefault="00153EC1" w:rsidP="00D26929">
            <w:pPr>
              <w:pStyle w:val="zSoquijdatNomPartieDem"/>
            </w:pPr>
            <w:r>
              <w:t xml:space="preserve">N... </w:t>
            </w:r>
            <w:proofErr w:type="gramStart"/>
            <w:r>
              <w:t>D...</w:t>
            </w:r>
            <w:proofErr w:type="gramEnd"/>
          </w:p>
        </w:tc>
      </w:tr>
      <w:tr w:rsidR="000E19AB" w:rsidRPr="00911998" w14:paraId="2A957127" w14:textId="77777777" w:rsidTr="008C425F">
        <w:tc>
          <w:tcPr>
            <w:tcW w:w="9360" w:type="dxa"/>
            <w:gridSpan w:val="7"/>
          </w:tcPr>
          <w:p w14:paraId="33219672" w14:textId="7FD05BCB" w:rsidR="00121A72" w:rsidRPr="00911998" w:rsidRDefault="00701C87" w:rsidP="00D26929">
            <w:pPr>
              <w:pStyle w:val="zSoquijdatQtePartieDem"/>
            </w:pPr>
            <w:r w:rsidRPr="00911998">
              <w:fldChar w:fldCharType="begin"/>
            </w:r>
            <w:r w:rsidRPr="00911998">
              <w:instrText xml:space="preserve"> QtePartieDem </w:instrText>
            </w:r>
            <w:r w:rsidRPr="00911998">
              <w:fldChar w:fldCharType="separate"/>
            </w:r>
            <w:r w:rsidR="002679FF" w:rsidRPr="00911998">
              <w:t>Demandeurs</w:t>
            </w:r>
            <w:r w:rsidRPr="00911998">
              <w:fldChar w:fldCharType="end"/>
            </w:r>
          </w:p>
        </w:tc>
      </w:tr>
      <w:tr w:rsidR="000E19AB" w:rsidRPr="00911998" w14:paraId="1DF4F219" w14:textId="77777777" w:rsidTr="008C425F">
        <w:tc>
          <w:tcPr>
            <w:tcW w:w="9360" w:type="dxa"/>
            <w:gridSpan w:val="7"/>
          </w:tcPr>
          <w:p w14:paraId="01AE7CC3" w14:textId="4F1A138D" w:rsidR="002679FF" w:rsidRPr="00911998" w:rsidRDefault="002679FF" w:rsidP="002679FF">
            <w:pPr>
              <w:pStyle w:val="zSoquijdatQtePartieDem"/>
              <w:ind w:left="0"/>
            </w:pPr>
            <w:proofErr w:type="gramStart"/>
            <w:r w:rsidRPr="00911998">
              <w:t>et</w:t>
            </w:r>
            <w:proofErr w:type="gramEnd"/>
          </w:p>
        </w:tc>
      </w:tr>
      <w:tr w:rsidR="000E19AB" w:rsidRPr="00911998" w14:paraId="4CE9D273" w14:textId="77777777" w:rsidTr="008C425F">
        <w:tc>
          <w:tcPr>
            <w:tcW w:w="9360" w:type="dxa"/>
            <w:gridSpan w:val="7"/>
          </w:tcPr>
          <w:p w14:paraId="714A5D4A" w14:textId="77777777" w:rsidR="002679FF" w:rsidRPr="00911998" w:rsidRDefault="002679FF" w:rsidP="002679FF">
            <w:pPr>
              <w:pStyle w:val="zSoquijdatQtePartieDem"/>
              <w:ind w:left="0"/>
            </w:pPr>
          </w:p>
        </w:tc>
      </w:tr>
      <w:tr w:rsidR="000E19AB" w:rsidRPr="00911998" w14:paraId="0A1A8314" w14:textId="77777777" w:rsidTr="008C425F">
        <w:tc>
          <w:tcPr>
            <w:tcW w:w="9360" w:type="dxa"/>
            <w:gridSpan w:val="7"/>
          </w:tcPr>
          <w:p w14:paraId="5E3749E3" w14:textId="42AA2E27" w:rsidR="002679FF" w:rsidRPr="00911998" w:rsidRDefault="00153EC1" w:rsidP="002679FF">
            <w:pPr>
              <w:pStyle w:val="zSoquijdatQtePartieDem"/>
              <w:ind w:left="0"/>
              <w:rPr>
                <w:b/>
                <w:bCs/>
              </w:rPr>
            </w:pPr>
            <w:r>
              <w:rPr>
                <w:b/>
                <w:bCs/>
              </w:rPr>
              <w:t>X</w:t>
            </w:r>
          </w:p>
        </w:tc>
      </w:tr>
      <w:tr w:rsidR="000E19AB" w:rsidRPr="00911998" w14:paraId="52EBD102" w14:textId="77777777" w:rsidTr="008C425F">
        <w:tc>
          <w:tcPr>
            <w:tcW w:w="9360" w:type="dxa"/>
            <w:gridSpan w:val="7"/>
          </w:tcPr>
          <w:p w14:paraId="0826C8A3" w14:textId="5C303B1A" w:rsidR="002679FF" w:rsidRPr="00911998" w:rsidRDefault="002679FF" w:rsidP="00D26929">
            <w:pPr>
              <w:pStyle w:val="zSoquijdatQtePartieDem"/>
            </w:pPr>
            <w:r w:rsidRPr="00911998">
              <w:t>Personne concernée</w:t>
            </w:r>
          </w:p>
        </w:tc>
      </w:tr>
      <w:tr w:rsidR="000E19AB" w:rsidRPr="00911998" w14:paraId="51BCC51C" w14:textId="77777777" w:rsidTr="008C425F">
        <w:tc>
          <w:tcPr>
            <w:tcW w:w="9360" w:type="dxa"/>
            <w:gridSpan w:val="7"/>
          </w:tcPr>
          <w:p w14:paraId="04DDF2EB" w14:textId="77777777" w:rsidR="002679FF" w:rsidRPr="00911998" w:rsidRDefault="002679FF" w:rsidP="00D26929">
            <w:pPr>
              <w:pStyle w:val="zSoquijdatQtePartieDem"/>
            </w:pPr>
          </w:p>
        </w:tc>
      </w:tr>
      <w:tr w:rsidR="000E19AB" w:rsidRPr="00911998" w14:paraId="459CD439" w14:textId="77777777" w:rsidTr="008C425F">
        <w:tc>
          <w:tcPr>
            <w:tcW w:w="9360" w:type="dxa"/>
            <w:gridSpan w:val="7"/>
          </w:tcPr>
          <w:p w14:paraId="4222A18F" w14:textId="77777777" w:rsidR="00121A72" w:rsidRPr="00911998" w:rsidRDefault="00121A72" w:rsidP="00D26929">
            <w:pPr>
              <w:pStyle w:val="zSoquijlblLienParties"/>
            </w:pPr>
            <w:r w:rsidRPr="00911998">
              <w:t>c.</w:t>
            </w:r>
          </w:p>
        </w:tc>
      </w:tr>
      <w:tr w:rsidR="000E19AB" w:rsidRPr="00911998" w14:paraId="3C9366F4" w14:textId="77777777" w:rsidTr="008C425F">
        <w:tc>
          <w:tcPr>
            <w:tcW w:w="9360" w:type="dxa"/>
            <w:gridSpan w:val="7"/>
          </w:tcPr>
          <w:p w14:paraId="2C86706A" w14:textId="1CED4815" w:rsidR="00121A72" w:rsidRPr="00911998" w:rsidRDefault="006868FC" w:rsidP="00D26929">
            <w:pPr>
              <w:pStyle w:val="zSoquijdatNomPartieDef"/>
            </w:pPr>
            <w:r w:rsidRPr="00911998">
              <w:t>LE DIRECTEUR DE L’ÉTAT CIVIL</w:t>
            </w:r>
          </w:p>
        </w:tc>
      </w:tr>
      <w:tr w:rsidR="000E19AB" w:rsidRPr="00911998" w14:paraId="2CCC6355" w14:textId="77777777" w:rsidTr="008C425F">
        <w:tc>
          <w:tcPr>
            <w:tcW w:w="9360" w:type="dxa"/>
            <w:gridSpan w:val="7"/>
          </w:tcPr>
          <w:p w14:paraId="68D41F94" w14:textId="2CB90F7E" w:rsidR="006868FC" w:rsidRPr="00911998" w:rsidRDefault="006868FC" w:rsidP="00D26929">
            <w:pPr>
              <w:pStyle w:val="zSoquijdatNomPartieDef"/>
              <w:rPr>
                <w:b w:val="0"/>
                <w:bCs w:val="0"/>
              </w:rPr>
            </w:pPr>
            <w:proofErr w:type="gramStart"/>
            <w:r w:rsidRPr="00911998">
              <w:rPr>
                <w:b w:val="0"/>
                <w:bCs w:val="0"/>
              </w:rPr>
              <w:t>et</w:t>
            </w:r>
            <w:proofErr w:type="gramEnd"/>
          </w:p>
        </w:tc>
      </w:tr>
      <w:tr w:rsidR="000E19AB" w:rsidRPr="00911998" w14:paraId="610D9FA2" w14:textId="77777777" w:rsidTr="008C425F">
        <w:tc>
          <w:tcPr>
            <w:tcW w:w="9360" w:type="dxa"/>
            <w:gridSpan w:val="7"/>
          </w:tcPr>
          <w:p w14:paraId="61C516EE" w14:textId="79E556FF" w:rsidR="002679FF" w:rsidRPr="00911998" w:rsidRDefault="006868FC" w:rsidP="00D26929">
            <w:pPr>
              <w:pStyle w:val="zSoquijdatNomPartieDef"/>
            </w:pPr>
            <w:r w:rsidRPr="00911998">
              <w:t>PROCUREUR GÉNÉRAL DU QUÉBEC</w:t>
            </w:r>
          </w:p>
        </w:tc>
      </w:tr>
      <w:tr w:rsidR="000E19AB" w:rsidRPr="00911998" w14:paraId="4C2B8BA0" w14:textId="77777777" w:rsidTr="008C425F">
        <w:tc>
          <w:tcPr>
            <w:tcW w:w="9360" w:type="dxa"/>
            <w:gridSpan w:val="7"/>
          </w:tcPr>
          <w:p w14:paraId="7DE16D50" w14:textId="775E6B49" w:rsidR="00121A72" w:rsidRPr="00911998" w:rsidRDefault="00701C87" w:rsidP="00D26929">
            <w:pPr>
              <w:pStyle w:val="zSoquijdatQtePartieDef"/>
            </w:pPr>
            <w:r w:rsidRPr="00911998">
              <w:fldChar w:fldCharType="begin"/>
            </w:r>
            <w:r w:rsidRPr="00911998">
              <w:instrText xml:space="preserve"> QtePartieDef </w:instrText>
            </w:r>
            <w:r w:rsidRPr="00911998">
              <w:fldChar w:fldCharType="separate"/>
            </w:r>
            <w:r w:rsidR="006868FC" w:rsidRPr="00911998">
              <w:t>Défendeurs</w:t>
            </w:r>
            <w:r w:rsidRPr="00911998">
              <w:fldChar w:fldCharType="end"/>
            </w:r>
          </w:p>
        </w:tc>
      </w:tr>
      <w:tr w:rsidR="000E19AB" w:rsidRPr="00911998" w14:paraId="6CDE14A7" w14:textId="77777777" w:rsidTr="008C425F">
        <w:tc>
          <w:tcPr>
            <w:tcW w:w="9360" w:type="dxa"/>
            <w:gridSpan w:val="7"/>
          </w:tcPr>
          <w:p w14:paraId="7DE8F3CE" w14:textId="210416C4" w:rsidR="006868FC" w:rsidRPr="00911998" w:rsidRDefault="006868FC" w:rsidP="00D26929">
            <w:pPr>
              <w:ind w:left="14" w:right="-95"/>
            </w:pPr>
            <w:proofErr w:type="gramStart"/>
            <w:r w:rsidRPr="00911998">
              <w:t>et</w:t>
            </w:r>
            <w:proofErr w:type="gramEnd"/>
          </w:p>
        </w:tc>
      </w:tr>
      <w:tr w:rsidR="000E19AB" w:rsidRPr="00911998" w14:paraId="0D297658" w14:textId="77777777" w:rsidTr="008C425F">
        <w:tc>
          <w:tcPr>
            <w:tcW w:w="9360" w:type="dxa"/>
            <w:gridSpan w:val="7"/>
          </w:tcPr>
          <w:p w14:paraId="34146312" w14:textId="77777777" w:rsidR="006868FC" w:rsidRPr="00911998" w:rsidRDefault="006868FC" w:rsidP="00D26929">
            <w:pPr>
              <w:ind w:left="14" w:right="-95"/>
            </w:pPr>
          </w:p>
        </w:tc>
      </w:tr>
      <w:tr w:rsidR="000E19AB" w:rsidRPr="00911998" w14:paraId="4CFF4537" w14:textId="77777777" w:rsidTr="008C425F">
        <w:tc>
          <w:tcPr>
            <w:tcW w:w="9360" w:type="dxa"/>
            <w:gridSpan w:val="7"/>
          </w:tcPr>
          <w:p w14:paraId="601627BC" w14:textId="21951D2D" w:rsidR="006868FC" w:rsidRPr="00911998" w:rsidRDefault="006868FC" w:rsidP="00D26929">
            <w:pPr>
              <w:ind w:left="14" w:right="-95"/>
              <w:rPr>
                <w:b/>
                <w:bCs/>
              </w:rPr>
            </w:pPr>
            <w:r w:rsidRPr="00911998">
              <w:rPr>
                <w:b/>
                <w:bCs/>
              </w:rPr>
              <w:t>ÉGALE CANADA INC.</w:t>
            </w:r>
          </w:p>
        </w:tc>
      </w:tr>
      <w:tr w:rsidR="000E19AB" w:rsidRPr="00911998" w14:paraId="7FE45105" w14:textId="77777777" w:rsidTr="008C425F">
        <w:tc>
          <w:tcPr>
            <w:tcW w:w="9360" w:type="dxa"/>
            <w:gridSpan w:val="7"/>
          </w:tcPr>
          <w:p w14:paraId="126676B2" w14:textId="75072F02" w:rsidR="006868FC" w:rsidRPr="00911998" w:rsidRDefault="006868FC" w:rsidP="00D26929">
            <w:pPr>
              <w:ind w:left="14" w:right="-95"/>
            </w:pPr>
            <w:proofErr w:type="gramStart"/>
            <w:r w:rsidRPr="00911998">
              <w:t>et</w:t>
            </w:r>
            <w:proofErr w:type="gramEnd"/>
          </w:p>
        </w:tc>
      </w:tr>
      <w:tr w:rsidR="000E19AB" w:rsidRPr="00911998" w14:paraId="2466F521" w14:textId="77777777" w:rsidTr="008C425F">
        <w:tc>
          <w:tcPr>
            <w:tcW w:w="9360" w:type="dxa"/>
            <w:gridSpan w:val="7"/>
          </w:tcPr>
          <w:p w14:paraId="1ACF7923" w14:textId="4A87CE9F" w:rsidR="006868FC" w:rsidRPr="00911998" w:rsidRDefault="006868FC" w:rsidP="00D26929">
            <w:pPr>
              <w:ind w:left="14" w:right="-95"/>
              <w:rPr>
                <w:b/>
                <w:bCs/>
              </w:rPr>
            </w:pPr>
            <w:r w:rsidRPr="00911998">
              <w:rPr>
                <w:b/>
                <w:bCs/>
              </w:rPr>
              <w:t>ASSOCIATION DES JURISTES PROGRESSISTES</w:t>
            </w:r>
          </w:p>
        </w:tc>
      </w:tr>
      <w:tr w:rsidR="000E19AB" w:rsidRPr="00911998" w14:paraId="7A28734A" w14:textId="77777777" w:rsidTr="008C425F">
        <w:tc>
          <w:tcPr>
            <w:tcW w:w="9360" w:type="dxa"/>
            <w:gridSpan w:val="7"/>
          </w:tcPr>
          <w:p w14:paraId="6CF7D161" w14:textId="3552D5DC" w:rsidR="006868FC" w:rsidRPr="00911998" w:rsidRDefault="006868FC" w:rsidP="00D26929">
            <w:pPr>
              <w:ind w:left="14" w:right="-95"/>
            </w:pPr>
            <w:r w:rsidRPr="00911998">
              <w:tab/>
              <w:t>Intervenantes</w:t>
            </w:r>
          </w:p>
        </w:tc>
      </w:tr>
      <w:tr w:rsidR="000E19AB" w:rsidRPr="00911998" w14:paraId="7AE07D32" w14:textId="77777777" w:rsidTr="008C425F">
        <w:tc>
          <w:tcPr>
            <w:tcW w:w="9360" w:type="dxa"/>
            <w:gridSpan w:val="7"/>
            <w:tcBorders>
              <w:bottom w:val="single" w:sz="12" w:space="0" w:color="auto"/>
            </w:tcBorders>
          </w:tcPr>
          <w:p w14:paraId="71F90FCF" w14:textId="77777777" w:rsidR="006868FC" w:rsidRPr="00911998" w:rsidRDefault="006868FC" w:rsidP="00D26929">
            <w:pPr>
              <w:ind w:left="14" w:right="-95"/>
            </w:pPr>
          </w:p>
        </w:tc>
      </w:tr>
      <w:tr w:rsidR="000E19AB" w:rsidRPr="00911998" w14:paraId="2F812796" w14:textId="77777777" w:rsidTr="008C425F">
        <w:tc>
          <w:tcPr>
            <w:tcW w:w="9360" w:type="dxa"/>
            <w:gridSpan w:val="7"/>
            <w:tcBorders>
              <w:top w:val="single" w:sz="12" w:space="0" w:color="auto"/>
            </w:tcBorders>
          </w:tcPr>
          <w:p w14:paraId="6DA6B52B" w14:textId="7DF0A4D2" w:rsidR="006868FC" w:rsidRPr="00911998" w:rsidRDefault="006868FC" w:rsidP="00D26929">
            <w:pPr>
              <w:ind w:left="14" w:right="-95"/>
              <w:rPr>
                <w:b/>
                <w:bCs/>
                <w:u w:val="single"/>
              </w:rPr>
            </w:pPr>
            <w:r w:rsidRPr="00911998">
              <w:rPr>
                <w:b/>
                <w:bCs/>
                <w:u w:val="single"/>
              </w:rPr>
              <w:t>N</w:t>
            </w:r>
            <w:r w:rsidRPr="00911998">
              <w:rPr>
                <w:b/>
                <w:bCs/>
                <w:u w:val="single"/>
                <w:vertAlign w:val="superscript"/>
              </w:rPr>
              <w:t>o </w:t>
            </w:r>
            <w:r w:rsidRPr="00911998">
              <w:rPr>
                <w:b/>
                <w:bCs/>
                <w:u w:val="single"/>
              </w:rPr>
              <w:t>: 500-04-079533-239</w:t>
            </w:r>
          </w:p>
        </w:tc>
      </w:tr>
      <w:tr w:rsidR="000E19AB" w:rsidRPr="00911998" w14:paraId="0CC151C6" w14:textId="77777777" w:rsidTr="008C425F">
        <w:tc>
          <w:tcPr>
            <w:tcW w:w="9360" w:type="dxa"/>
            <w:gridSpan w:val="7"/>
          </w:tcPr>
          <w:p w14:paraId="56D6E2A2" w14:textId="77777777" w:rsidR="006868FC" w:rsidRPr="00911998" w:rsidRDefault="006868FC" w:rsidP="00D26929">
            <w:pPr>
              <w:ind w:left="14" w:right="-95"/>
            </w:pPr>
          </w:p>
        </w:tc>
      </w:tr>
      <w:tr w:rsidR="000E19AB" w:rsidRPr="00911998" w14:paraId="40EA3989" w14:textId="77777777" w:rsidTr="008C425F">
        <w:tc>
          <w:tcPr>
            <w:tcW w:w="9360" w:type="dxa"/>
            <w:gridSpan w:val="7"/>
          </w:tcPr>
          <w:p w14:paraId="3224980F" w14:textId="2B6FF7E4" w:rsidR="006868FC" w:rsidRPr="00911998" w:rsidRDefault="00923C50" w:rsidP="00D26929">
            <w:pPr>
              <w:ind w:left="14" w:right="-95"/>
              <w:rPr>
                <w:b/>
                <w:bCs/>
              </w:rPr>
            </w:pPr>
            <w:r w:rsidRPr="00911998">
              <w:rPr>
                <w:b/>
                <w:bCs/>
              </w:rPr>
              <w:t>COALITION DES FAMILLES LGBT+</w:t>
            </w:r>
          </w:p>
        </w:tc>
      </w:tr>
      <w:tr w:rsidR="000E19AB" w:rsidRPr="00911998" w14:paraId="17FB62BC" w14:textId="77777777" w:rsidTr="008C425F">
        <w:tc>
          <w:tcPr>
            <w:tcW w:w="9360" w:type="dxa"/>
            <w:gridSpan w:val="7"/>
          </w:tcPr>
          <w:p w14:paraId="035611F4" w14:textId="150F2696" w:rsidR="00923C50" w:rsidRPr="00911998" w:rsidRDefault="00923C50" w:rsidP="00D26929">
            <w:pPr>
              <w:ind w:left="14" w:right="-95"/>
            </w:pPr>
            <w:proofErr w:type="gramStart"/>
            <w:r w:rsidRPr="00911998">
              <w:lastRenderedPageBreak/>
              <w:t>et</w:t>
            </w:r>
            <w:proofErr w:type="gramEnd"/>
          </w:p>
        </w:tc>
      </w:tr>
      <w:tr w:rsidR="000E19AB" w:rsidRPr="00911998" w14:paraId="28EB1865" w14:textId="77777777" w:rsidTr="008C425F">
        <w:tc>
          <w:tcPr>
            <w:tcW w:w="9360" w:type="dxa"/>
            <w:gridSpan w:val="7"/>
          </w:tcPr>
          <w:p w14:paraId="18950B9C" w14:textId="15B9701A" w:rsidR="006868FC" w:rsidRPr="00911998" w:rsidRDefault="000032F7" w:rsidP="00D26929">
            <w:pPr>
              <w:ind w:left="14" w:right="-95"/>
              <w:rPr>
                <w:b/>
                <w:bCs/>
              </w:rPr>
            </w:pPr>
            <w:r>
              <w:rPr>
                <w:b/>
                <w:bCs/>
              </w:rPr>
              <w:t xml:space="preserve">S... </w:t>
            </w:r>
            <w:proofErr w:type="gramStart"/>
            <w:r>
              <w:rPr>
                <w:b/>
                <w:bCs/>
              </w:rPr>
              <w:t>L...</w:t>
            </w:r>
            <w:proofErr w:type="gramEnd"/>
          </w:p>
        </w:tc>
      </w:tr>
      <w:tr w:rsidR="000E19AB" w:rsidRPr="00911998" w14:paraId="57AFB8D3" w14:textId="77777777" w:rsidTr="008C425F">
        <w:tc>
          <w:tcPr>
            <w:tcW w:w="9360" w:type="dxa"/>
            <w:gridSpan w:val="7"/>
          </w:tcPr>
          <w:p w14:paraId="3E0EC531" w14:textId="6FDB43F6" w:rsidR="00923C50" w:rsidRPr="00911998" w:rsidRDefault="00923C50" w:rsidP="00D26929">
            <w:pPr>
              <w:ind w:left="14" w:right="-95"/>
            </w:pPr>
            <w:proofErr w:type="gramStart"/>
            <w:r w:rsidRPr="00911998">
              <w:t>et</w:t>
            </w:r>
            <w:proofErr w:type="gramEnd"/>
          </w:p>
        </w:tc>
      </w:tr>
      <w:tr w:rsidR="000E19AB" w:rsidRPr="00911998" w14:paraId="42A7695F" w14:textId="77777777" w:rsidTr="008C425F">
        <w:tc>
          <w:tcPr>
            <w:tcW w:w="9360" w:type="dxa"/>
            <w:gridSpan w:val="7"/>
          </w:tcPr>
          <w:p w14:paraId="014802FE" w14:textId="060E586F" w:rsidR="00923C50" w:rsidRPr="00911998" w:rsidRDefault="000032F7" w:rsidP="00D26929">
            <w:pPr>
              <w:ind w:left="14" w:right="-95"/>
              <w:rPr>
                <w:b/>
                <w:bCs/>
              </w:rPr>
            </w:pPr>
            <w:r>
              <w:rPr>
                <w:b/>
                <w:bCs/>
              </w:rPr>
              <w:t>L... MI...</w:t>
            </w:r>
          </w:p>
        </w:tc>
      </w:tr>
      <w:tr w:rsidR="000E19AB" w:rsidRPr="00911998" w14:paraId="5EE7E8AB" w14:textId="77777777" w:rsidTr="008C425F">
        <w:tc>
          <w:tcPr>
            <w:tcW w:w="9360" w:type="dxa"/>
            <w:gridSpan w:val="7"/>
          </w:tcPr>
          <w:p w14:paraId="6719ABFD" w14:textId="6C603363" w:rsidR="00923C50" w:rsidRPr="00911998" w:rsidRDefault="00923C50" w:rsidP="00D26929">
            <w:pPr>
              <w:ind w:left="14" w:right="-95"/>
            </w:pPr>
            <w:proofErr w:type="gramStart"/>
            <w:r w:rsidRPr="00911998">
              <w:t>et</w:t>
            </w:r>
            <w:proofErr w:type="gramEnd"/>
          </w:p>
        </w:tc>
      </w:tr>
      <w:tr w:rsidR="000E19AB" w:rsidRPr="00911998" w14:paraId="614BBEC8" w14:textId="77777777" w:rsidTr="008C425F">
        <w:tc>
          <w:tcPr>
            <w:tcW w:w="9360" w:type="dxa"/>
            <w:gridSpan w:val="7"/>
          </w:tcPr>
          <w:p w14:paraId="07E11769" w14:textId="6F635CA2" w:rsidR="00923C50" w:rsidRPr="00911998" w:rsidRDefault="000032F7" w:rsidP="00D26929">
            <w:pPr>
              <w:ind w:left="14" w:right="-95"/>
              <w:rPr>
                <w:b/>
                <w:bCs/>
              </w:rPr>
            </w:pPr>
            <w:r>
              <w:rPr>
                <w:b/>
                <w:bCs/>
              </w:rPr>
              <w:t xml:space="preserve">SE... </w:t>
            </w:r>
            <w:proofErr w:type="gramStart"/>
            <w:r>
              <w:rPr>
                <w:b/>
                <w:bCs/>
              </w:rPr>
              <w:t>A...</w:t>
            </w:r>
            <w:proofErr w:type="gramEnd"/>
          </w:p>
        </w:tc>
      </w:tr>
      <w:tr w:rsidR="000E19AB" w:rsidRPr="00911998" w14:paraId="384831E5" w14:textId="77777777" w:rsidTr="008C425F">
        <w:tc>
          <w:tcPr>
            <w:tcW w:w="9360" w:type="dxa"/>
            <w:gridSpan w:val="7"/>
          </w:tcPr>
          <w:p w14:paraId="775CA58E" w14:textId="61FF1871" w:rsidR="00923C50" w:rsidRPr="00911998" w:rsidRDefault="00923C50" w:rsidP="00D26929">
            <w:pPr>
              <w:ind w:left="14" w:right="-95"/>
            </w:pPr>
            <w:proofErr w:type="gramStart"/>
            <w:r w:rsidRPr="00911998">
              <w:t>et</w:t>
            </w:r>
            <w:proofErr w:type="gramEnd"/>
          </w:p>
        </w:tc>
      </w:tr>
      <w:tr w:rsidR="000E19AB" w:rsidRPr="00911998" w14:paraId="5B5ACECF" w14:textId="77777777" w:rsidTr="008C425F">
        <w:tc>
          <w:tcPr>
            <w:tcW w:w="9360" w:type="dxa"/>
            <w:gridSpan w:val="7"/>
          </w:tcPr>
          <w:p w14:paraId="0C98C218" w14:textId="51E5A98A" w:rsidR="00923C50" w:rsidRPr="00911998" w:rsidRDefault="000032F7" w:rsidP="00D26929">
            <w:pPr>
              <w:ind w:left="14" w:right="-95"/>
              <w:rPr>
                <w:b/>
                <w:bCs/>
              </w:rPr>
            </w:pPr>
            <w:r>
              <w:rPr>
                <w:b/>
                <w:bCs/>
              </w:rPr>
              <w:t>SO... PA...</w:t>
            </w:r>
          </w:p>
        </w:tc>
      </w:tr>
      <w:tr w:rsidR="000E19AB" w:rsidRPr="00911998" w14:paraId="1FC01176" w14:textId="77777777" w:rsidTr="008C425F">
        <w:tc>
          <w:tcPr>
            <w:tcW w:w="9360" w:type="dxa"/>
            <w:gridSpan w:val="7"/>
          </w:tcPr>
          <w:p w14:paraId="50C48F73" w14:textId="624EC606" w:rsidR="00923C50" w:rsidRPr="00911998" w:rsidRDefault="00923C50" w:rsidP="00D26929">
            <w:pPr>
              <w:ind w:left="14" w:right="-95"/>
            </w:pPr>
            <w:proofErr w:type="gramStart"/>
            <w:r w:rsidRPr="00911998">
              <w:t>et</w:t>
            </w:r>
            <w:proofErr w:type="gramEnd"/>
          </w:p>
        </w:tc>
      </w:tr>
      <w:tr w:rsidR="000E19AB" w:rsidRPr="00911998" w14:paraId="67E89691" w14:textId="77777777" w:rsidTr="008C425F">
        <w:tc>
          <w:tcPr>
            <w:tcW w:w="9360" w:type="dxa"/>
            <w:gridSpan w:val="7"/>
          </w:tcPr>
          <w:p w14:paraId="541C9763" w14:textId="72A5E22E" w:rsidR="00923C50" w:rsidRPr="00911998" w:rsidRDefault="000032F7" w:rsidP="00D26929">
            <w:pPr>
              <w:ind w:left="14" w:right="-95"/>
              <w:rPr>
                <w:b/>
                <w:bCs/>
              </w:rPr>
            </w:pPr>
            <w:r>
              <w:rPr>
                <w:b/>
                <w:bCs/>
              </w:rPr>
              <w:t xml:space="preserve">D... </w:t>
            </w:r>
            <w:proofErr w:type="gramStart"/>
            <w:r>
              <w:rPr>
                <w:b/>
                <w:bCs/>
              </w:rPr>
              <w:t>J...</w:t>
            </w:r>
            <w:proofErr w:type="gramEnd"/>
          </w:p>
        </w:tc>
      </w:tr>
      <w:tr w:rsidR="000E19AB" w:rsidRPr="00911998" w14:paraId="12F432CD" w14:textId="77777777" w:rsidTr="008C425F">
        <w:tc>
          <w:tcPr>
            <w:tcW w:w="9360" w:type="dxa"/>
            <w:gridSpan w:val="7"/>
          </w:tcPr>
          <w:p w14:paraId="73014655" w14:textId="675E3BD7" w:rsidR="00923C50" w:rsidRPr="00911998" w:rsidRDefault="00923C50" w:rsidP="00D26929">
            <w:pPr>
              <w:ind w:left="14" w:right="-95"/>
            </w:pPr>
            <w:proofErr w:type="gramStart"/>
            <w:r w:rsidRPr="00911998">
              <w:t>et</w:t>
            </w:r>
            <w:proofErr w:type="gramEnd"/>
          </w:p>
        </w:tc>
      </w:tr>
      <w:tr w:rsidR="000E19AB" w:rsidRPr="00911998" w14:paraId="296D01EF" w14:textId="77777777" w:rsidTr="008C425F">
        <w:tc>
          <w:tcPr>
            <w:tcW w:w="9360" w:type="dxa"/>
            <w:gridSpan w:val="7"/>
          </w:tcPr>
          <w:p w14:paraId="5D6FE9E6" w14:textId="60E2F0C0" w:rsidR="00923C50" w:rsidRPr="00911998" w:rsidRDefault="000032F7" w:rsidP="00D26929">
            <w:pPr>
              <w:ind w:left="14" w:right="-95"/>
              <w:rPr>
                <w:b/>
                <w:bCs/>
              </w:rPr>
            </w:pPr>
            <w:r>
              <w:rPr>
                <w:b/>
                <w:bCs/>
              </w:rPr>
              <w:t>E... JE...</w:t>
            </w:r>
          </w:p>
        </w:tc>
      </w:tr>
      <w:tr w:rsidR="000E19AB" w:rsidRPr="00911998" w14:paraId="6EA61610" w14:textId="77777777" w:rsidTr="008C425F">
        <w:tc>
          <w:tcPr>
            <w:tcW w:w="9360" w:type="dxa"/>
            <w:gridSpan w:val="7"/>
          </w:tcPr>
          <w:p w14:paraId="604C6AB2" w14:textId="69A0055A" w:rsidR="00923C50" w:rsidRPr="00911998" w:rsidRDefault="00923C50" w:rsidP="00D26929">
            <w:pPr>
              <w:ind w:left="14" w:right="-95"/>
            </w:pPr>
            <w:r w:rsidRPr="00911998">
              <w:tab/>
              <w:t>D</w:t>
            </w:r>
            <w:r w:rsidR="00513ACA" w:rsidRPr="00911998">
              <w:t>eman</w:t>
            </w:r>
            <w:r w:rsidRPr="00911998">
              <w:t>deurs</w:t>
            </w:r>
          </w:p>
        </w:tc>
      </w:tr>
      <w:tr w:rsidR="000E19AB" w:rsidRPr="00911998" w14:paraId="4B8F8626" w14:textId="77777777" w:rsidTr="008C425F">
        <w:tc>
          <w:tcPr>
            <w:tcW w:w="9360" w:type="dxa"/>
            <w:gridSpan w:val="7"/>
          </w:tcPr>
          <w:p w14:paraId="7FC1DEDB" w14:textId="77777777" w:rsidR="00923C50" w:rsidRPr="00911998" w:rsidRDefault="00923C50" w:rsidP="00D26929">
            <w:pPr>
              <w:ind w:left="14" w:right="-95"/>
            </w:pPr>
          </w:p>
        </w:tc>
      </w:tr>
      <w:tr w:rsidR="000E19AB" w:rsidRPr="00911998" w14:paraId="3B231B71" w14:textId="77777777" w:rsidTr="008C425F">
        <w:tc>
          <w:tcPr>
            <w:tcW w:w="9360" w:type="dxa"/>
            <w:gridSpan w:val="7"/>
          </w:tcPr>
          <w:p w14:paraId="145C7C8E" w14:textId="49EEB690" w:rsidR="00923C50" w:rsidRPr="00911998" w:rsidRDefault="00923C50" w:rsidP="00D26929">
            <w:pPr>
              <w:ind w:left="14" w:right="-95"/>
            </w:pPr>
            <w:r w:rsidRPr="00911998">
              <w:t>c.</w:t>
            </w:r>
          </w:p>
        </w:tc>
      </w:tr>
      <w:tr w:rsidR="000E19AB" w:rsidRPr="00911998" w14:paraId="7F773CA3" w14:textId="77777777" w:rsidTr="008C425F">
        <w:tc>
          <w:tcPr>
            <w:tcW w:w="9360" w:type="dxa"/>
            <w:gridSpan w:val="7"/>
          </w:tcPr>
          <w:p w14:paraId="5780B39C" w14:textId="32F1585C" w:rsidR="00923C50" w:rsidRPr="00911998" w:rsidRDefault="00923C50" w:rsidP="00D26929">
            <w:pPr>
              <w:ind w:left="14" w:right="-95"/>
              <w:rPr>
                <w:b/>
                <w:bCs/>
              </w:rPr>
            </w:pPr>
            <w:r w:rsidRPr="00911998">
              <w:rPr>
                <w:b/>
                <w:bCs/>
              </w:rPr>
              <w:t>PROCUREUR GÉNÉRAL DU QUÉBEC</w:t>
            </w:r>
          </w:p>
        </w:tc>
      </w:tr>
      <w:tr w:rsidR="000E19AB" w:rsidRPr="00911998" w14:paraId="242B5A6E" w14:textId="77777777" w:rsidTr="008C425F">
        <w:tc>
          <w:tcPr>
            <w:tcW w:w="9360" w:type="dxa"/>
            <w:gridSpan w:val="7"/>
          </w:tcPr>
          <w:p w14:paraId="29A46E61" w14:textId="55D5C161" w:rsidR="00923C50" w:rsidRPr="00911998" w:rsidRDefault="00923C50" w:rsidP="00D26929">
            <w:pPr>
              <w:ind w:left="14" w:right="-95"/>
            </w:pPr>
            <w:r w:rsidRPr="00911998">
              <w:tab/>
              <w:t>Défendeur</w:t>
            </w:r>
          </w:p>
        </w:tc>
      </w:tr>
      <w:tr w:rsidR="000E19AB" w:rsidRPr="00911998" w14:paraId="6A851ADF" w14:textId="77777777" w:rsidTr="008C425F">
        <w:tc>
          <w:tcPr>
            <w:tcW w:w="9360" w:type="dxa"/>
            <w:gridSpan w:val="7"/>
          </w:tcPr>
          <w:p w14:paraId="57797B89" w14:textId="3881EB61" w:rsidR="00923C50" w:rsidRPr="00911998" w:rsidRDefault="00923C50" w:rsidP="00D26929">
            <w:pPr>
              <w:ind w:left="14" w:right="-95"/>
            </w:pPr>
            <w:proofErr w:type="gramStart"/>
            <w:r w:rsidRPr="00911998">
              <w:t>et</w:t>
            </w:r>
            <w:proofErr w:type="gramEnd"/>
          </w:p>
        </w:tc>
      </w:tr>
      <w:tr w:rsidR="000E19AB" w:rsidRPr="00911998" w14:paraId="4EB117F8" w14:textId="77777777" w:rsidTr="008C425F">
        <w:tc>
          <w:tcPr>
            <w:tcW w:w="9360" w:type="dxa"/>
            <w:gridSpan w:val="7"/>
          </w:tcPr>
          <w:p w14:paraId="1E94D4B6" w14:textId="77777777" w:rsidR="00923C50" w:rsidRPr="00911998" w:rsidRDefault="00923C50" w:rsidP="00D26929">
            <w:pPr>
              <w:ind w:left="14" w:right="-95"/>
            </w:pPr>
          </w:p>
        </w:tc>
      </w:tr>
      <w:tr w:rsidR="000E19AB" w:rsidRPr="00911998" w14:paraId="40AFF4BE" w14:textId="77777777" w:rsidTr="008C425F">
        <w:tc>
          <w:tcPr>
            <w:tcW w:w="9360" w:type="dxa"/>
            <w:gridSpan w:val="7"/>
          </w:tcPr>
          <w:p w14:paraId="6A00EDCE" w14:textId="1299D79D" w:rsidR="00923C50" w:rsidRPr="00911998" w:rsidRDefault="00923C50" w:rsidP="00D26929">
            <w:pPr>
              <w:ind w:left="14" w:right="-95"/>
              <w:rPr>
                <w:b/>
                <w:bCs/>
              </w:rPr>
            </w:pPr>
            <w:r w:rsidRPr="00911998">
              <w:rPr>
                <w:b/>
                <w:bCs/>
              </w:rPr>
              <w:t>ÉGALE CANADA INC.</w:t>
            </w:r>
          </w:p>
        </w:tc>
      </w:tr>
      <w:tr w:rsidR="000E19AB" w:rsidRPr="00911998" w14:paraId="26C67B3B" w14:textId="77777777" w:rsidTr="008C425F">
        <w:tc>
          <w:tcPr>
            <w:tcW w:w="9360" w:type="dxa"/>
            <w:gridSpan w:val="7"/>
          </w:tcPr>
          <w:p w14:paraId="7333D6DB" w14:textId="3BA31F93" w:rsidR="00923C50" w:rsidRPr="00911998" w:rsidRDefault="00923C50" w:rsidP="00D26929">
            <w:pPr>
              <w:ind w:left="14" w:right="-95"/>
            </w:pPr>
            <w:proofErr w:type="gramStart"/>
            <w:r w:rsidRPr="00911998">
              <w:t>et</w:t>
            </w:r>
            <w:proofErr w:type="gramEnd"/>
          </w:p>
        </w:tc>
      </w:tr>
      <w:tr w:rsidR="000E19AB" w:rsidRPr="00911998" w14:paraId="5112ABC4" w14:textId="77777777" w:rsidTr="008C425F">
        <w:tc>
          <w:tcPr>
            <w:tcW w:w="9360" w:type="dxa"/>
            <w:gridSpan w:val="7"/>
          </w:tcPr>
          <w:p w14:paraId="0685AB8B" w14:textId="11EDC24F" w:rsidR="00923C50" w:rsidRPr="00911998" w:rsidRDefault="00923C50" w:rsidP="00D26929">
            <w:pPr>
              <w:ind w:left="14" w:right="-95"/>
              <w:rPr>
                <w:b/>
                <w:bCs/>
              </w:rPr>
            </w:pPr>
            <w:r w:rsidRPr="00911998">
              <w:rPr>
                <w:b/>
                <w:bCs/>
              </w:rPr>
              <w:t xml:space="preserve">ASSOCIATION DES JURISTES PROGRESSISTES </w:t>
            </w:r>
          </w:p>
        </w:tc>
      </w:tr>
      <w:tr w:rsidR="000E19AB" w:rsidRPr="00911998" w14:paraId="261A765C" w14:textId="77777777" w:rsidTr="008C425F">
        <w:tc>
          <w:tcPr>
            <w:tcW w:w="9360" w:type="dxa"/>
            <w:gridSpan w:val="7"/>
          </w:tcPr>
          <w:p w14:paraId="0AC13458" w14:textId="77777777" w:rsidR="00923C50" w:rsidRPr="00911998" w:rsidRDefault="00923C50" w:rsidP="00D26929">
            <w:pPr>
              <w:ind w:left="14" w:right="-95"/>
            </w:pPr>
            <w:r w:rsidRPr="00911998">
              <w:tab/>
              <w:t xml:space="preserve">Intervenantes </w:t>
            </w:r>
          </w:p>
          <w:p w14:paraId="029841A1" w14:textId="18A86E18" w:rsidR="00920A20" w:rsidRPr="00911998" w:rsidRDefault="00920A20" w:rsidP="00D26929">
            <w:pPr>
              <w:ind w:left="14" w:right="-95"/>
            </w:pPr>
          </w:p>
        </w:tc>
      </w:tr>
      <w:tr w:rsidR="000E19AB" w:rsidRPr="00911998" w14:paraId="4EE7DE97" w14:textId="77777777" w:rsidTr="008C425F">
        <w:tc>
          <w:tcPr>
            <w:tcW w:w="9360" w:type="dxa"/>
            <w:gridSpan w:val="7"/>
          </w:tcPr>
          <w:p w14:paraId="7485DFCE" w14:textId="77777777" w:rsidR="00923C50" w:rsidRPr="00911998" w:rsidRDefault="00923C50" w:rsidP="00D26929">
            <w:pPr>
              <w:ind w:left="14" w:right="-95"/>
            </w:pPr>
          </w:p>
        </w:tc>
      </w:tr>
      <w:tr w:rsidR="000E19AB" w:rsidRPr="00911998" w14:paraId="79F43204" w14:textId="77777777" w:rsidTr="008C425F">
        <w:tc>
          <w:tcPr>
            <w:tcW w:w="9360" w:type="dxa"/>
            <w:gridSpan w:val="7"/>
          </w:tcPr>
          <w:p w14:paraId="046A3808" w14:textId="34633EB4" w:rsidR="00121A72" w:rsidRPr="00911998" w:rsidRDefault="00121A72" w:rsidP="00D26929">
            <w:pPr>
              <w:ind w:left="14" w:right="-95"/>
            </w:pPr>
            <w:r w:rsidRPr="00911998">
              <w:t>_____________________________________________________________________</w:t>
            </w:r>
          </w:p>
        </w:tc>
      </w:tr>
      <w:tr w:rsidR="000E19AB" w:rsidRPr="00911998" w14:paraId="4A63A1EF" w14:textId="77777777" w:rsidTr="008C425F">
        <w:tc>
          <w:tcPr>
            <w:tcW w:w="9360" w:type="dxa"/>
            <w:gridSpan w:val="7"/>
          </w:tcPr>
          <w:p w14:paraId="282FBC9D" w14:textId="77777777" w:rsidR="00121A72" w:rsidRPr="00911998" w:rsidRDefault="00121A72" w:rsidP="00D26929">
            <w:pPr>
              <w:jc w:val="center"/>
            </w:pPr>
          </w:p>
        </w:tc>
      </w:tr>
      <w:tr w:rsidR="000E19AB" w:rsidRPr="00911998" w14:paraId="4BB044B6" w14:textId="77777777" w:rsidTr="008C425F">
        <w:tc>
          <w:tcPr>
            <w:tcW w:w="9360" w:type="dxa"/>
            <w:gridSpan w:val="7"/>
          </w:tcPr>
          <w:p w14:paraId="6B4831ED" w14:textId="77777777" w:rsidR="004D1C2F" w:rsidRPr="00911998" w:rsidRDefault="00121A72" w:rsidP="003954B3">
            <w:pPr>
              <w:pStyle w:val="zSoquijlblTypeDocument"/>
            </w:pPr>
            <w:r w:rsidRPr="00911998">
              <w:t>JUGEMENT</w:t>
            </w:r>
          </w:p>
        </w:tc>
      </w:tr>
      <w:tr w:rsidR="000E19AB" w:rsidRPr="00911998" w14:paraId="3A8A9D92" w14:textId="77777777" w:rsidTr="008C425F">
        <w:tc>
          <w:tcPr>
            <w:tcW w:w="9360" w:type="dxa"/>
            <w:gridSpan w:val="7"/>
          </w:tcPr>
          <w:p w14:paraId="4448DE72" w14:textId="5E693DA8" w:rsidR="00121A72" w:rsidRPr="00911998" w:rsidRDefault="00121A72" w:rsidP="00D26929">
            <w:pPr>
              <w:ind w:left="14" w:right="-70"/>
            </w:pPr>
            <w:r w:rsidRPr="00911998">
              <w:t>_____________________________________________________________________</w:t>
            </w:r>
          </w:p>
        </w:tc>
      </w:tr>
      <w:tr w:rsidR="000E19AB" w:rsidRPr="00911998" w14:paraId="0DDBA3C7" w14:textId="77777777" w:rsidTr="008C425F">
        <w:tc>
          <w:tcPr>
            <w:tcW w:w="9360" w:type="dxa"/>
            <w:gridSpan w:val="7"/>
          </w:tcPr>
          <w:p w14:paraId="64046BCC" w14:textId="77777777" w:rsidR="0053154F" w:rsidRPr="00911998" w:rsidRDefault="0053154F" w:rsidP="00D26929">
            <w:pPr>
              <w:rPr>
                <w:b/>
                <w:bCs/>
                <w:u w:val="single"/>
              </w:rPr>
            </w:pPr>
          </w:p>
          <w:p w14:paraId="60C2BDBF" w14:textId="74168411" w:rsidR="00121A72" w:rsidRPr="00911998" w:rsidRDefault="0053154F" w:rsidP="0053154F">
            <w:pPr>
              <w:jc w:val="both"/>
              <w:rPr>
                <w:b/>
                <w:bCs/>
              </w:rPr>
            </w:pPr>
            <w:r w:rsidRPr="00911998">
              <w:rPr>
                <w:b/>
                <w:bCs/>
                <w:u w:val="single"/>
              </w:rPr>
              <w:t>MISE EN GARDE</w:t>
            </w:r>
            <w:r w:rsidRPr="00911998">
              <w:rPr>
                <w:b/>
                <w:bCs/>
              </w:rPr>
              <w:t xml:space="preserve"> : Interdiction de divulgation ou </w:t>
            </w:r>
            <w:r w:rsidR="00762521">
              <w:rPr>
                <w:b/>
                <w:bCs/>
              </w:rPr>
              <w:t xml:space="preserve">de </w:t>
            </w:r>
            <w:r w:rsidRPr="00911998">
              <w:rPr>
                <w:b/>
                <w:bCs/>
              </w:rPr>
              <w:t>diffusion : le </w:t>
            </w:r>
            <w:r w:rsidRPr="00911998">
              <w:rPr>
                <w:b/>
                <w:bCs/>
                <w:i/>
                <w:iCs/>
              </w:rPr>
              <w:t>Code de procédure civile</w:t>
            </w:r>
            <w:r w:rsidR="00DD0C0F" w:rsidRPr="00911998">
              <w:rPr>
                <w:b/>
                <w:bCs/>
              </w:rPr>
              <w:t>, RLRQ c. C</w:t>
            </w:r>
            <w:r w:rsidR="00DD0C0F" w:rsidRPr="00911998">
              <w:rPr>
                <w:b/>
                <w:bCs/>
              </w:rPr>
              <w:noBreakHyphen/>
              <w:t>25.01</w:t>
            </w:r>
            <w:r w:rsidRPr="00911998">
              <w:rPr>
                <w:b/>
                <w:bCs/>
              </w:rPr>
              <w:t> (« </w:t>
            </w:r>
            <w:proofErr w:type="spellStart"/>
            <w:r w:rsidRPr="00911998">
              <w:rPr>
                <w:b/>
                <w:bCs/>
              </w:rPr>
              <w:t>C.p.c</w:t>
            </w:r>
            <w:proofErr w:type="spellEnd"/>
            <w:r w:rsidRPr="00911998">
              <w:rPr>
                <w:b/>
                <w:bCs/>
              </w:rPr>
              <w:t xml:space="preserve">. ») interdit de divulguer ou </w:t>
            </w:r>
            <w:r w:rsidR="00762521">
              <w:rPr>
                <w:b/>
                <w:bCs/>
              </w:rPr>
              <w:t xml:space="preserve">de </w:t>
            </w:r>
            <w:r w:rsidRPr="00911998">
              <w:rPr>
                <w:b/>
                <w:bCs/>
              </w:rPr>
              <w:t xml:space="preserve">diffuser toute information permettant d’identifier une partie ou un enfant dont l’intérêt est en jeu dans une instance en matière familiale, sauf sur autorisation du tribunal (articles 15 et </w:t>
            </w:r>
            <w:r w:rsidRPr="00762521">
              <w:rPr>
                <w:b/>
                <w:bCs/>
              </w:rPr>
              <w:t>16 </w:t>
            </w:r>
            <w:proofErr w:type="spellStart"/>
            <w:r w:rsidRPr="00762521">
              <w:rPr>
                <w:b/>
                <w:bCs/>
              </w:rPr>
              <w:t>C.p.c</w:t>
            </w:r>
            <w:proofErr w:type="spellEnd"/>
            <w:r w:rsidRPr="00911998">
              <w:rPr>
                <w:b/>
                <w:bCs/>
              </w:rPr>
              <w:t>.). </w:t>
            </w:r>
          </w:p>
          <w:p w14:paraId="72CBC1ED" w14:textId="5E2A28C4" w:rsidR="0053154F" w:rsidRPr="00911998" w:rsidRDefault="0053154F" w:rsidP="00D26929"/>
        </w:tc>
      </w:tr>
    </w:tbl>
    <w:p w14:paraId="6516F92C" w14:textId="59EE3960" w:rsidR="00AA4984" w:rsidRDefault="00C764D2">
      <w:pPr>
        <w:pStyle w:val="TM2"/>
        <w:rPr>
          <w:rFonts w:asciiTheme="minorHAnsi" w:eastAsiaTheme="minorEastAsia" w:hAnsiTheme="minorHAnsi" w:cstheme="minorBidi"/>
          <w:noProof/>
          <w:kern w:val="2"/>
          <w:szCs w:val="24"/>
          <w:lang w:eastAsia="fr-CA"/>
          <w14:ligatures w14:val="standardContextual"/>
        </w:rPr>
      </w:pPr>
      <w:r w:rsidRPr="00911998">
        <w:fldChar w:fldCharType="begin"/>
      </w:r>
      <w:r w:rsidRPr="00911998">
        <w:instrText xml:space="preserve"> TOC \o "1-3" \h \z \u </w:instrText>
      </w:r>
      <w:r w:rsidRPr="00911998">
        <w:fldChar w:fldCharType="separate"/>
      </w:r>
      <w:hyperlink w:anchor="_Toc196463716" w:history="1">
        <w:r w:rsidR="00AA4984" w:rsidRPr="002213C0">
          <w:rPr>
            <w:rStyle w:val="Hyperlien"/>
            <w:noProof/>
          </w:rPr>
          <w:t>INTRODUCTION</w:t>
        </w:r>
        <w:r w:rsidR="00AA4984">
          <w:rPr>
            <w:noProof/>
            <w:webHidden/>
          </w:rPr>
          <w:tab/>
        </w:r>
        <w:r w:rsidR="00AA4984">
          <w:rPr>
            <w:noProof/>
            <w:webHidden/>
          </w:rPr>
          <w:fldChar w:fldCharType="begin"/>
        </w:r>
        <w:r w:rsidR="00AA4984">
          <w:rPr>
            <w:noProof/>
            <w:webHidden/>
          </w:rPr>
          <w:instrText xml:space="preserve"> PAGEREF _Toc196463716 \h </w:instrText>
        </w:r>
        <w:r w:rsidR="00AA4984">
          <w:rPr>
            <w:noProof/>
            <w:webHidden/>
          </w:rPr>
        </w:r>
        <w:r w:rsidR="00AA4984">
          <w:rPr>
            <w:noProof/>
            <w:webHidden/>
          </w:rPr>
          <w:fldChar w:fldCharType="separate"/>
        </w:r>
        <w:r w:rsidR="00D266F0">
          <w:rPr>
            <w:noProof/>
            <w:webHidden/>
          </w:rPr>
          <w:t>3</w:t>
        </w:r>
        <w:r w:rsidR="00AA4984">
          <w:rPr>
            <w:noProof/>
            <w:webHidden/>
          </w:rPr>
          <w:fldChar w:fldCharType="end"/>
        </w:r>
      </w:hyperlink>
    </w:p>
    <w:p w14:paraId="3D61F690" w14:textId="03ACF8CB" w:rsidR="00AA4984" w:rsidRDefault="00000000">
      <w:pPr>
        <w:pStyle w:val="TM2"/>
        <w:rPr>
          <w:rFonts w:asciiTheme="minorHAnsi" w:eastAsiaTheme="minorEastAsia" w:hAnsiTheme="minorHAnsi" w:cstheme="minorBidi"/>
          <w:noProof/>
          <w:kern w:val="2"/>
          <w:szCs w:val="24"/>
          <w:lang w:eastAsia="fr-CA"/>
          <w14:ligatures w14:val="standardContextual"/>
        </w:rPr>
      </w:pPr>
      <w:hyperlink w:anchor="_Toc196463717" w:history="1">
        <w:r w:rsidR="00AA4984" w:rsidRPr="002213C0">
          <w:rPr>
            <w:rStyle w:val="Hyperlien"/>
            <w:noProof/>
          </w:rPr>
          <w:t>CONTEXTE</w:t>
        </w:r>
        <w:r w:rsidR="00AA4984">
          <w:rPr>
            <w:noProof/>
            <w:webHidden/>
          </w:rPr>
          <w:tab/>
        </w:r>
        <w:r w:rsidR="00AA4984">
          <w:rPr>
            <w:noProof/>
            <w:webHidden/>
          </w:rPr>
          <w:fldChar w:fldCharType="begin"/>
        </w:r>
        <w:r w:rsidR="00AA4984">
          <w:rPr>
            <w:noProof/>
            <w:webHidden/>
          </w:rPr>
          <w:instrText xml:space="preserve"> PAGEREF _Toc196463717 \h </w:instrText>
        </w:r>
        <w:r w:rsidR="00AA4984">
          <w:rPr>
            <w:noProof/>
            <w:webHidden/>
          </w:rPr>
        </w:r>
        <w:r w:rsidR="00AA4984">
          <w:rPr>
            <w:noProof/>
            <w:webHidden/>
          </w:rPr>
          <w:fldChar w:fldCharType="separate"/>
        </w:r>
        <w:r w:rsidR="00D266F0">
          <w:rPr>
            <w:noProof/>
            <w:webHidden/>
          </w:rPr>
          <w:t>6</w:t>
        </w:r>
        <w:r w:rsidR="00AA4984">
          <w:rPr>
            <w:noProof/>
            <w:webHidden/>
          </w:rPr>
          <w:fldChar w:fldCharType="end"/>
        </w:r>
      </w:hyperlink>
    </w:p>
    <w:p w14:paraId="723CBA2A" w14:textId="11D6A3C8" w:rsidR="00AA4984" w:rsidRDefault="00000000">
      <w:pPr>
        <w:pStyle w:val="TM2"/>
        <w:tabs>
          <w:tab w:val="left" w:pos="720"/>
        </w:tabs>
        <w:rPr>
          <w:rFonts w:asciiTheme="minorHAnsi" w:eastAsiaTheme="minorEastAsia" w:hAnsiTheme="minorHAnsi" w:cstheme="minorBidi"/>
          <w:noProof/>
          <w:kern w:val="2"/>
          <w:szCs w:val="24"/>
          <w:lang w:eastAsia="fr-CA"/>
          <w14:ligatures w14:val="standardContextual"/>
        </w:rPr>
      </w:pPr>
      <w:hyperlink w:anchor="_Toc196463718" w:history="1">
        <w:r w:rsidR="00AA4984" w:rsidRPr="002213C0">
          <w:rPr>
            <w:rStyle w:val="Hyperlien"/>
            <w:noProof/>
          </w:rPr>
          <w:t>1.</w:t>
        </w:r>
        <w:r w:rsidR="00AA4984">
          <w:rPr>
            <w:rFonts w:asciiTheme="minorHAnsi" w:eastAsiaTheme="minorEastAsia" w:hAnsiTheme="minorHAnsi" w:cstheme="minorBidi"/>
            <w:noProof/>
            <w:kern w:val="2"/>
            <w:szCs w:val="24"/>
            <w:lang w:eastAsia="fr-CA"/>
            <w14:ligatures w14:val="standardContextual"/>
          </w:rPr>
          <w:tab/>
        </w:r>
        <w:r w:rsidR="00AA4984" w:rsidRPr="002213C0">
          <w:rPr>
            <w:rStyle w:val="Hyperlien"/>
            <w:noProof/>
          </w:rPr>
          <w:t xml:space="preserve">La famille </w:t>
        </w:r>
        <w:r w:rsidR="00153EC1">
          <w:rPr>
            <w:rStyle w:val="Hyperlien"/>
            <w:noProof/>
          </w:rPr>
          <w:t>M...</w:t>
        </w:r>
        <w:r w:rsidR="00AA4984" w:rsidRPr="002213C0">
          <w:rPr>
            <w:rStyle w:val="Hyperlien"/>
            <w:noProof/>
          </w:rPr>
          <w:t>-</w:t>
        </w:r>
        <w:r w:rsidR="000032F7">
          <w:rPr>
            <w:rStyle w:val="Hyperlien"/>
            <w:noProof/>
          </w:rPr>
          <w:t>P...</w:t>
        </w:r>
        <w:r w:rsidR="00AA4984" w:rsidRPr="002213C0">
          <w:rPr>
            <w:rStyle w:val="Hyperlien"/>
            <w:noProof/>
          </w:rPr>
          <w:t>-</w:t>
        </w:r>
        <w:r w:rsidR="000032F7">
          <w:rPr>
            <w:rStyle w:val="Hyperlien"/>
            <w:noProof/>
          </w:rPr>
          <w:t>D...</w:t>
        </w:r>
        <w:r w:rsidR="00AA4984">
          <w:rPr>
            <w:noProof/>
            <w:webHidden/>
          </w:rPr>
          <w:tab/>
        </w:r>
        <w:r w:rsidR="00AA4984">
          <w:rPr>
            <w:noProof/>
            <w:webHidden/>
          </w:rPr>
          <w:fldChar w:fldCharType="begin"/>
        </w:r>
        <w:r w:rsidR="00AA4984">
          <w:rPr>
            <w:noProof/>
            <w:webHidden/>
          </w:rPr>
          <w:instrText xml:space="preserve"> PAGEREF _Toc196463718 \h </w:instrText>
        </w:r>
        <w:r w:rsidR="00AA4984">
          <w:rPr>
            <w:noProof/>
            <w:webHidden/>
          </w:rPr>
        </w:r>
        <w:r w:rsidR="00AA4984">
          <w:rPr>
            <w:noProof/>
            <w:webHidden/>
          </w:rPr>
          <w:fldChar w:fldCharType="separate"/>
        </w:r>
        <w:r w:rsidR="00D266F0">
          <w:rPr>
            <w:noProof/>
            <w:webHidden/>
          </w:rPr>
          <w:t>6</w:t>
        </w:r>
        <w:r w:rsidR="00AA4984">
          <w:rPr>
            <w:noProof/>
            <w:webHidden/>
          </w:rPr>
          <w:fldChar w:fldCharType="end"/>
        </w:r>
      </w:hyperlink>
    </w:p>
    <w:p w14:paraId="1EBEE4E1" w14:textId="31C15633" w:rsidR="00AA4984" w:rsidRDefault="00000000">
      <w:pPr>
        <w:pStyle w:val="TM2"/>
        <w:tabs>
          <w:tab w:val="left" w:pos="720"/>
        </w:tabs>
        <w:rPr>
          <w:rFonts w:asciiTheme="minorHAnsi" w:eastAsiaTheme="minorEastAsia" w:hAnsiTheme="minorHAnsi" w:cstheme="minorBidi"/>
          <w:noProof/>
          <w:kern w:val="2"/>
          <w:szCs w:val="24"/>
          <w:lang w:eastAsia="fr-CA"/>
          <w14:ligatures w14:val="standardContextual"/>
        </w:rPr>
      </w:pPr>
      <w:hyperlink w:anchor="_Toc196463719" w:history="1">
        <w:r w:rsidR="00AA4984" w:rsidRPr="002213C0">
          <w:rPr>
            <w:rStyle w:val="Hyperlien"/>
            <w:noProof/>
          </w:rPr>
          <w:t>2.</w:t>
        </w:r>
        <w:r w:rsidR="00AA4984">
          <w:rPr>
            <w:rFonts w:asciiTheme="minorHAnsi" w:eastAsiaTheme="minorEastAsia" w:hAnsiTheme="minorHAnsi" w:cstheme="minorBidi"/>
            <w:noProof/>
            <w:kern w:val="2"/>
            <w:szCs w:val="24"/>
            <w:lang w:eastAsia="fr-CA"/>
            <w14:ligatures w14:val="standardContextual"/>
          </w:rPr>
          <w:tab/>
        </w:r>
        <w:r w:rsidR="00AA4984" w:rsidRPr="002213C0">
          <w:rPr>
            <w:rStyle w:val="Hyperlien"/>
            <w:noProof/>
          </w:rPr>
          <w:t xml:space="preserve">La Famille </w:t>
        </w:r>
        <w:r w:rsidR="000032F7">
          <w:rPr>
            <w:rStyle w:val="Hyperlien"/>
            <w:noProof/>
          </w:rPr>
          <w:t>Pa...</w:t>
        </w:r>
        <w:r w:rsidR="00AA4984" w:rsidRPr="002213C0">
          <w:rPr>
            <w:rStyle w:val="Hyperlien"/>
            <w:noProof/>
          </w:rPr>
          <w:t>-</w:t>
        </w:r>
        <w:r w:rsidR="00E13A68">
          <w:rPr>
            <w:rStyle w:val="Hyperlien"/>
            <w:noProof/>
          </w:rPr>
          <w:t>J...</w:t>
        </w:r>
        <w:r w:rsidR="00AA4984" w:rsidRPr="002213C0">
          <w:rPr>
            <w:rStyle w:val="Hyperlien"/>
            <w:noProof/>
          </w:rPr>
          <w:noBreakHyphen/>
        </w:r>
        <w:r w:rsidR="00E13A68">
          <w:rPr>
            <w:rStyle w:val="Hyperlien"/>
            <w:noProof/>
          </w:rPr>
          <w:t>Je...</w:t>
        </w:r>
        <w:r w:rsidR="00AA4984">
          <w:rPr>
            <w:noProof/>
            <w:webHidden/>
          </w:rPr>
          <w:tab/>
        </w:r>
        <w:r w:rsidR="00AA4984">
          <w:rPr>
            <w:noProof/>
            <w:webHidden/>
          </w:rPr>
          <w:fldChar w:fldCharType="begin"/>
        </w:r>
        <w:r w:rsidR="00AA4984">
          <w:rPr>
            <w:noProof/>
            <w:webHidden/>
          </w:rPr>
          <w:instrText xml:space="preserve"> PAGEREF _Toc196463719 \h </w:instrText>
        </w:r>
        <w:r w:rsidR="00AA4984">
          <w:rPr>
            <w:noProof/>
            <w:webHidden/>
          </w:rPr>
        </w:r>
        <w:r w:rsidR="00AA4984">
          <w:rPr>
            <w:noProof/>
            <w:webHidden/>
          </w:rPr>
          <w:fldChar w:fldCharType="separate"/>
        </w:r>
        <w:r w:rsidR="00D266F0">
          <w:rPr>
            <w:noProof/>
            <w:webHidden/>
          </w:rPr>
          <w:t>8</w:t>
        </w:r>
        <w:r w:rsidR="00AA4984">
          <w:rPr>
            <w:noProof/>
            <w:webHidden/>
          </w:rPr>
          <w:fldChar w:fldCharType="end"/>
        </w:r>
      </w:hyperlink>
    </w:p>
    <w:p w14:paraId="1C5F5CE3" w14:textId="32C76331" w:rsidR="00AA4984" w:rsidRDefault="00000000">
      <w:pPr>
        <w:pStyle w:val="TM2"/>
        <w:tabs>
          <w:tab w:val="left" w:pos="720"/>
        </w:tabs>
        <w:rPr>
          <w:rFonts w:asciiTheme="minorHAnsi" w:eastAsiaTheme="minorEastAsia" w:hAnsiTheme="minorHAnsi" w:cstheme="minorBidi"/>
          <w:noProof/>
          <w:kern w:val="2"/>
          <w:szCs w:val="24"/>
          <w:lang w:eastAsia="fr-CA"/>
          <w14:ligatures w14:val="standardContextual"/>
        </w:rPr>
      </w:pPr>
      <w:hyperlink w:anchor="_Toc196463720" w:history="1">
        <w:r w:rsidR="00AA4984" w:rsidRPr="002213C0">
          <w:rPr>
            <w:rStyle w:val="Hyperlien"/>
            <w:noProof/>
          </w:rPr>
          <w:t>3.</w:t>
        </w:r>
        <w:r w:rsidR="00AA4984">
          <w:rPr>
            <w:rFonts w:asciiTheme="minorHAnsi" w:eastAsiaTheme="minorEastAsia" w:hAnsiTheme="minorHAnsi" w:cstheme="minorBidi"/>
            <w:noProof/>
            <w:kern w:val="2"/>
            <w:szCs w:val="24"/>
            <w:lang w:eastAsia="fr-CA"/>
            <w14:ligatures w14:val="standardContextual"/>
          </w:rPr>
          <w:tab/>
        </w:r>
        <w:r w:rsidR="00AA4984" w:rsidRPr="002213C0">
          <w:rPr>
            <w:rStyle w:val="Hyperlien"/>
            <w:noProof/>
          </w:rPr>
          <w:t xml:space="preserve">La Famille </w:t>
        </w:r>
        <w:r w:rsidR="00E13A68">
          <w:rPr>
            <w:rStyle w:val="Hyperlien"/>
            <w:noProof/>
          </w:rPr>
          <w:t>L...</w:t>
        </w:r>
        <w:r w:rsidR="00AA4984" w:rsidRPr="002213C0">
          <w:rPr>
            <w:rStyle w:val="Hyperlien"/>
            <w:noProof/>
          </w:rPr>
          <w:t>-</w:t>
        </w:r>
        <w:r w:rsidR="00E13A68">
          <w:rPr>
            <w:rStyle w:val="Hyperlien"/>
            <w:noProof/>
          </w:rPr>
          <w:t>Mi...</w:t>
        </w:r>
        <w:r w:rsidR="00AA4984" w:rsidRPr="002213C0">
          <w:rPr>
            <w:rStyle w:val="Hyperlien"/>
            <w:noProof/>
          </w:rPr>
          <w:t>-</w:t>
        </w:r>
        <w:r w:rsidR="00E13A68">
          <w:rPr>
            <w:rStyle w:val="Hyperlien"/>
            <w:noProof/>
          </w:rPr>
          <w:t>A...</w:t>
        </w:r>
        <w:r w:rsidR="00AA4984">
          <w:rPr>
            <w:noProof/>
            <w:webHidden/>
          </w:rPr>
          <w:tab/>
        </w:r>
        <w:r w:rsidR="00AA4984">
          <w:rPr>
            <w:noProof/>
            <w:webHidden/>
          </w:rPr>
          <w:fldChar w:fldCharType="begin"/>
        </w:r>
        <w:r w:rsidR="00AA4984">
          <w:rPr>
            <w:noProof/>
            <w:webHidden/>
          </w:rPr>
          <w:instrText xml:space="preserve"> PAGEREF _Toc196463720 \h </w:instrText>
        </w:r>
        <w:r w:rsidR="00AA4984">
          <w:rPr>
            <w:noProof/>
            <w:webHidden/>
          </w:rPr>
        </w:r>
        <w:r w:rsidR="00AA4984">
          <w:rPr>
            <w:noProof/>
            <w:webHidden/>
          </w:rPr>
          <w:fldChar w:fldCharType="separate"/>
        </w:r>
        <w:r w:rsidR="00D266F0">
          <w:rPr>
            <w:noProof/>
            <w:webHidden/>
          </w:rPr>
          <w:t>9</w:t>
        </w:r>
        <w:r w:rsidR="00AA4984">
          <w:rPr>
            <w:noProof/>
            <w:webHidden/>
          </w:rPr>
          <w:fldChar w:fldCharType="end"/>
        </w:r>
      </w:hyperlink>
    </w:p>
    <w:p w14:paraId="117B3F71" w14:textId="433D961D" w:rsidR="00AA4984" w:rsidRDefault="00000000">
      <w:pPr>
        <w:pStyle w:val="TM2"/>
        <w:tabs>
          <w:tab w:val="left" w:pos="720"/>
        </w:tabs>
        <w:rPr>
          <w:rFonts w:asciiTheme="minorHAnsi" w:eastAsiaTheme="minorEastAsia" w:hAnsiTheme="minorHAnsi" w:cstheme="minorBidi"/>
          <w:noProof/>
          <w:kern w:val="2"/>
          <w:szCs w:val="24"/>
          <w:lang w:eastAsia="fr-CA"/>
          <w14:ligatures w14:val="standardContextual"/>
        </w:rPr>
      </w:pPr>
      <w:hyperlink w:anchor="_Toc196463721" w:history="1">
        <w:r w:rsidR="00AA4984" w:rsidRPr="002213C0">
          <w:rPr>
            <w:rStyle w:val="Hyperlien"/>
            <w:noProof/>
          </w:rPr>
          <w:t>4.</w:t>
        </w:r>
        <w:r w:rsidR="00AA4984">
          <w:rPr>
            <w:rFonts w:asciiTheme="minorHAnsi" w:eastAsiaTheme="minorEastAsia" w:hAnsiTheme="minorHAnsi" w:cstheme="minorBidi"/>
            <w:noProof/>
            <w:kern w:val="2"/>
            <w:szCs w:val="24"/>
            <w:lang w:eastAsia="fr-CA"/>
            <w14:ligatures w14:val="standardContextual"/>
          </w:rPr>
          <w:tab/>
        </w:r>
        <w:r w:rsidR="00AA4984" w:rsidRPr="002213C0">
          <w:rPr>
            <w:rStyle w:val="Hyperlien"/>
            <w:noProof/>
          </w:rPr>
          <w:t>La Coalition</w:t>
        </w:r>
        <w:r w:rsidR="00AA4984">
          <w:rPr>
            <w:noProof/>
            <w:webHidden/>
          </w:rPr>
          <w:tab/>
        </w:r>
        <w:r w:rsidR="00AA4984">
          <w:rPr>
            <w:noProof/>
            <w:webHidden/>
          </w:rPr>
          <w:fldChar w:fldCharType="begin"/>
        </w:r>
        <w:r w:rsidR="00AA4984">
          <w:rPr>
            <w:noProof/>
            <w:webHidden/>
          </w:rPr>
          <w:instrText xml:space="preserve"> PAGEREF _Toc196463721 \h </w:instrText>
        </w:r>
        <w:r w:rsidR="00AA4984">
          <w:rPr>
            <w:noProof/>
            <w:webHidden/>
          </w:rPr>
        </w:r>
        <w:r w:rsidR="00AA4984">
          <w:rPr>
            <w:noProof/>
            <w:webHidden/>
          </w:rPr>
          <w:fldChar w:fldCharType="separate"/>
        </w:r>
        <w:r w:rsidR="00D266F0">
          <w:rPr>
            <w:noProof/>
            <w:webHidden/>
          </w:rPr>
          <w:t>10</w:t>
        </w:r>
        <w:r w:rsidR="00AA4984">
          <w:rPr>
            <w:noProof/>
            <w:webHidden/>
          </w:rPr>
          <w:fldChar w:fldCharType="end"/>
        </w:r>
      </w:hyperlink>
    </w:p>
    <w:p w14:paraId="403D96C3" w14:textId="27F985EA" w:rsidR="00AA4984" w:rsidRDefault="00000000">
      <w:pPr>
        <w:pStyle w:val="TM2"/>
        <w:rPr>
          <w:rFonts w:asciiTheme="minorHAnsi" w:eastAsiaTheme="minorEastAsia" w:hAnsiTheme="minorHAnsi" w:cstheme="minorBidi"/>
          <w:noProof/>
          <w:kern w:val="2"/>
          <w:szCs w:val="24"/>
          <w:lang w:eastAsia="fr-CA"/>
          <w14:ligatures w14:val="standardContextual"/>
        </w:rPr>
      </w:pPr>
      <w:hyperlink w:anchor="_Toc196463722" w:history="1">
        <w:r w:rsidR="00AA4984" w:rsidRPr="002213C0">
          <w:rPr>
            <w:rStyle w:val="Hyperlien"/>
            <w:noProof/>
          </w:rPr>
          <w:t>LES QUESTIONS EN LITIGE</w:t>
        </w:r>
        <w:r w:rsidR="00AA4984">
          <w:rPr>
            <w:noProof/>
            <w:webHidden/>
          </w:rPr>
          <w:tab/>
        </w:r>
        <w:r w:rsidR="00AA4984">
          <w:rPr>
            <w:noProof/>
            <w:webHidden/>
          </w:rPr>
          <w:fldChar w:fldCharType="begin"/>
        </w:r>
        <w:r w:rsidR="00AA4984">
          <w:rPr>
            <w:noProof/>
            <w:webHidden/>
          </w:rPr>
          <w:instrText xml:space="preserve"> PAGEREF _Toc196463722 \h </w:instrText>
        </w:r>
        <w:r w:rsidR="00AA4984">
          <w:rPr>
            <w:noProof/>
            <w:webHidden/>
          </w:rPr>
        </w:r>
        <w:r w:rsidR="00AA4984">
          <w:rPr>
            <w:noProof/>
            <w:webHidden/>
          </w:rPr>
          <w:fldChar w:fldCharType="separate"/>
        </w:r>
        <w:r w:rsidR="00D266F0">
          <w:rPr>
            <w:noProof/>
            <w:webHidden/>
          </w:rPr>
          <w:t>11</w:t>
        </w:r>
        <w:r w:rsidR="00AA4984">
          <w:rPr>
            <w:noProof/>
            <w:webHidden/>
          </w:rPr>
          <w:fldChar w:fldCharType="end"/>
        </w:r>
      </w:hyperlink>
    </w:p>
    <w:p w14:paraId="15CD7FF9" w14:textId="6BB6D929" w:rsidR="00AA4984" w:rsidRDefault="00000000">
      <w:pPr>
        <w:pStyle w:val="TM2"/>
        <w:rPr>
          <w:rFonts w:asciiTheme="minorHAnsi" w:eastAsiaTheme="minorEastAsia" w:hAnsiTheme="minorHAnsi" w:cstheme="minorBidi"/>
          <w:noProof/>
          <w:kern w:val="2"/>
          <w:szCs w:val="24"/>
          <w:lang w:eastAsia="fr-CA"/>
          <w14:ligatures w14:val="standardContextual"/>
        </w:rPr>
      </w:pPr>
      <w:hyperlink w:anchor="_Toc196463723" w:history="1">
        <w:r w:rsidR="00AA4984" w:rsidRPr="002213C0">
          <w:rPr>
            <w:rStyle w:val="Hyperlien"/>
            <w:rFonts w:cs="Arial"/>
            <w:noProof/>
          </w:rPr>
          <w:t>ANALYSE</w:t>
        </w:r>
        <w:r w:rsidR="00AA4984">
          <w:rPr>
            <w:noProof/>
            <w:webHidden/>
          </w:rPr>
          <w:tab/>
        </w:r>
        <w:r w:rsidR="00AA4984">
          <w:rPr>
            <w:noProof/>
            <w:webHidden/>
          </w:rPr>
          <w:fldChar w:fldCharType="begin"/>
        </w:r>
        <w:r w:rsidR="00AA4984">
          <w:rPr>
            <w:noProof/>
            <w:webHidden/>
          </w:rPr>
          <w:instrText xml:space="preserve"> PAGEREF _Toc196463723 \h </w:instrText>
        </w:r>
        <w:r w:rsidR="00AA4984">
          <w:rPr>
            <w:noProof/>
            <w:webHidden/>
          </w:rPr>
        </w:r>
        <w:r w:rsidR="00AA4984">
          <w:rPr>
            <w:noProof/>
            <w:webHidden/>
          </w:rPr>
          <w:fldChar w:fldCharType="separate"/>
        </w:r>
        <w:r w:rsidR="00D266F0">
          <w:rPr>
            <w:noProof/>
            <w:webHidden/>
          </w:rPr>
          <w:t>12</w:t>
        </w:r>
        <w:r w:rsidR="00AA4984">
          <w:rPr>
            <w:noProof/>
            <w:webHidden/>
          </w:rPr>
          <w:fldChar w:fldCharType="end"/>
        </w:r>
      </w:hyperlink>
    </w:p>
    <w:p w14:paraId="07B331BA" w14:textId="3C5A5018" w:rsidR="00AA4984" w:rsidRDefault="00000000">
      <w:pPr>
        <w:pStyle w:val="TM2"/>
        <w:tabs>
          <w:tab w:val="left" w:pos="720"/>
        </w:tabs>
        <w:rPr>
          <w:rFonts w:asciiTheme="minorHAnsi" w:eastAsiaTheme="minorEastAsia" w:hAnsiTheme="minorHAnsi" w:cstheme="minorBidi"/>
          <w:noProof/>
          <w:kern w:val="2"/>
          <w:szCs w:val="24"/>
          <w:lang w:eastAsia="fr-CA"/>
          <w14:ligatures w14:val="standardContextual"/>
        </w:rPr>
      </w:pPr>
      <w:hyperlink w:anchor="_Toc196463724" w:history="1">
        <w:r w:rsidR="00AA4984" w:rsidRPr="002213C0">
          <w:rPr>
            <w:rStyle w:val="Hyperlien"/>
            <w:noProof/>
          </w:rPr>
          <w:t>1.</w:t>
        </w:r>
        <w:r w:rsidR="00AA4984">
          <w:rPr>
            <w:rFonts w:asciiTheme="minorHAnsi" w:eastAsiaTheme="minorEastAsia" w:hAnsiTheme="minorHAnsi" w:cstheme="minorBidi"/>
            <w:noProof/>
            <w:kern w:val="2"/>
            <w:szCs w:val="24"/>
            <w:lang w:eastAsia="fr-CA"/>
            <w14:ligatures w14:val="standardContextual"/>
          </w:rPr>
          <w:tab/>
        </w:r>
        <w:r w:rsidR="00AA4984" w:rsidRPr="002213C0">
          <w:rPr>
            <w:rStyle w:val="Hyperlien"/>
            <w:noProof/>
          </w:rPr>
          <w:t>Le droit québécois limite la filiation à deux parents</w:t>
        </w:r>
        <w:r w:rsidR="00AA4984">
          <w:rPr>
            <w:noProof/>
            <w:webHidden/>
          </w:rPr>
          <w:tab/>
        </w:r>
        <w:r w:rsidR="00AA4984">
          <w:rPr>
            <w:noProof/>
            <w:webHidden/>
          </w:rPr>
          <w:fldChar w:fldCharType="begin"/>
        </w:r>
        <w:r w:rsidR="00AA4984">
          <w:rPr>
            <w:noProof/>
            <w:webHidden/>
          </w:rPr>
          <w:instrText xml:space="preserve"> PAGEREF _Toc196463724 \h </w:instrText>
        </w:r>
        <w:r w:rsidR="00AA4984">
          <w:rPr>
            <w:noProof/>
            <w:webHidden/>
          </w:rPr>
        </w:r>
        <w:r w:rsidR="00AA4984">
          <w:rPr>
            <w:noProof/>
            <w:webHidden/>
          </w:rPr>
          <w:fldChar w:fldCharType="separate"/>
        </w:r>
        <w:r w:rsidR="00D266F0">
          <w:rPr>
            <w:noProof/>
            <w:webHidden/>
          </w:rPr>
          <w:t>12</w:t>
        </w:r>
        <w:r w:rsidR="00AA4984">
          <w:rPr>
            <w:noProof/>
            <w:webHidden/>
          </w:rPr>
          <w:fldChar w:fldCharType="end"/>
        </w:r>
      </w:hyperlink>
    </w:p>
    <w:p w14:paraId="00875DE1" w14:textId="1FAA6903" w:rsidR="00AA4984" w:rsidRDefault="00000000">
      <w:pPr>
        <w:pStyle w:val="TM3"/>
        <w:tabs>
          <w:tab w:val="left" w:pos="1200"/>
          <w:tab w:val="right" w:leader="dot" w:pos="9352"/>
        </w:tabs>
        <w:rPr>
          <w:rFonts w:asciiTheme="minorHAnsi" w:eastAsiaTheme="minorEastAsia" w:hAnsiTheme="minorHAnsi" w:cstheme="minorBidi"/>
          <w:noProof/>
          <w:kern w:val="2"/>
          <w:szCs w:val="24"/>
          <w:lang w:eastAsia="fr-CA"/>
          <w14:ligatures w14:val="standardContextual"/>
        </w:rPr>
      </w:pPr>
      <w:hyperlink w:anchor="_Toc196463725" w:history="1">
        <w:r w:rsidR="00AA4984" w:rsidRPr="002213C0">
          <w:rPr>
            <w:rStyle w:val="Hyperlien"/>
            <w:noProof/>
          </w:rPr>
          <w:t>1.1</w:t>
        </w:r>
        <w:r w:rsidR="00AA4984">
          <w:rPr>
            <w:rFonts w:asciiTheme="minorHAnsi" w:eastAsiaTheme="minorEastAsia" w:hAnsiTheme="minorHAnsi" w:cstheme="minorBidi"/>
            <w:noProof/>
            <w:kern w:val="2"/>
            <w:szCs w:val="24"/>
            <w:lang w:eastAsia="fr-CA"/>
            <w14:ligatures w14:val="standardContextual"/>
          </w:rPr>
          <w:tab/>
        </w:r>
        <w:r w:rsidR="00AA4984" w:rsidRPr="002213C0">
          <w:rPr>
            <w:rStyle w:val="Hyperlien"/>
            <w:noProof/>
          </w:rPr>
          <w:t>La filiation : une introduction</w:t>
        </w:r>
        <w:r w:rsidR="00AA4984">
          <w:rPr>
            <w:noProof/>
            <w:webHidden/>
          </w:rPr>
          <w:tab/>
        </w:r>
        <w:r w:rsidR="00AA4984">
          <w:rPr>
            <w:noProof/>
            <w:webHidden/>
          </w:rPr>
          <w:fldChar w:fldCharType="begin"/>
        </w:r>
        <w:r w:rsidR="00AA4984">
          <w:rPr>
            <w:noProof/>
            <w:webHidden/>
          </w:rPr>
          <w:instrText xml:space="preserve"> PAGEREF _Toc196463725 \h </w:instrText>
        </w:r>
        <w:r w:rsidR="00AA4984">
          <w:rPr>
            <w:noProof/>
            <w:webHidden/>
          </w:rPr>
        </w:r>
        <w:r w:rsidR="00AA4984">
          <w:rPr>
            <w:noProof/>
            <w:webHidden/>
          </w:rPr>
          <w:fldChar w:fldCharType="separate"/>
        </w:r>
        <w:r w:rsidR="00D266F0">
          <w:rPr>
            <w:noProof/>
            <w:webHidden/>
          </w:rPr>
          <w:t>13</w:t>
        </w:r>
        <w:r w:rsidR="00AA4984">
          <w:rPr>
            <w:noProof/>
            <w:webHidden/>
          </w:rPr>
          <w:fldChar w:fldCharType="end"/>
        </w:r>
      </w:hyperlink>
    </w:p>
    <w:p w14:paraId="642921C8" w14:textId="6A511822" w:rsidR="00AA4984" w:rsidRDefault="00000000">
      <w:pPr>
        <w:pStyle w:val="TM3"/>
        <w:tabs>
          <w:tab w:val="left" w:pos="1200"/>
          <w:tab w:val="right" w:leader="dot" w:pos="9352"/>
        </w:tabs>
        <w:rPr>
          <w:rFonts w:asciiTheme="minorHAnsi" w:eastAsiaTheme="minorEastAsia" w:hAnsiTheme="minorHAnsi" w:cstheme="minorBidi"/>
          <w:noProof/>
          <w:kern w:val="2"/>
          <w:szCs w:val="24"/>
          <w:lang w:eastAsia="fr-CA"/>
          <w14:ligatures w14:val="standardContextual"/>
        </w:rPr>
      </w:pPr>
      <w:hyperlink w:anchor="_Toc196463726" w:history="1">
        <w:r w:rsidR="00AA4984" w:rsidRPr="002213C0">
          <w:rPr>
            <w:rStyle w:val="Hyperlien"/>
            <w:noProof/>
          </w:rPr>
          <w:t>1.2</w:t>
        </w:r>
        <w:r w:rsidR="00AA4984">
          <w:rPr>
            <w:rFonts w:asciiTheme="minorHAnsi" w:eastAsiaTheme="minorEastAsia" w:hAnsiTheme="minorHAnsi" w:cstheme="minorBidi"/>
            <w:noProof/>
            <w:kern w:val="2"/>
            <w:szCs w:val="24"/>
            <w:lang w:eastAsia="fr-CA"/>
            <w14:ligatures w14:val="standardContextual"/>
          </w:rPr>
          <w:tab/>
        </w:r>
        <w:r w:rsidR="00AA4984" w:rsidRPr="002213C0">
          <w:rPr>
            <w:rStyle w:val="Hyperlien"/>
            <w:noProof/>
          </w:rPr>
          <w:t>Le droit civil n’admet que deux liens de filiation</w:t>
        </w:r>
        <w:r w:rsidR="00AA4984">
          <w:rPr>
            <w:noProof/>
            <w:webHidden/>
          </w:rPr>
          <w:tab/>
        </w:r>
        <w:r w:rsidR="00AA4984">
          <w:rPr>
            <w:noProof/>
            <w:webHidden/>
          </w:rPr>
          <w:fldChar w:fldCharType="begin"/>
        </w:r>
        <w:r w:rsidR="00AA4984">
          <w:rPr>
            <w:noProof/>
            <w:webHidden/>
          </w:rPr>
          <w:instrText xml:space="preserve"> PAGEREF _Toc196463726 \h </w:instrText>
        </w:r>
        <w:r w:rsidR="00AA4984">
          <w:rPr>
            <w:noProof/>
            <w:webHidden/>
          </w:rPr>
        </w:r>
        <w:r w:rsidR="00AA4984">
          <w:rPr>
            <w:noProof/>
            <w:webHidden/>
          </w:rPr>
          <w:fldChar w:fldCharType="separate"/>
        </w:r>
        <w:r w:rsidR="00D266F0">
          <w:rPr>
            <w:noProof/>
            <w:webHidden/>
          </w:rPr>
          <w:t>16</w:t>
        </w:r>
        <w:r w:rsidR="00AA4984">
          <w:rPr>
            <w:noProof/>
            <w:webHidden/>
          </w:rPr>
          <w:fldChar w:fldCharType="end"/>
        </w:r>
      </w:hyperlink>
    </w:p>
    <w:p w14:paraId="1901D378" w14:textId="5D7E0DBA" w:rsidR="00AA4984" w:rsidRDefault="00000000">
      <w:pPr>
        <w:pStyle w:val="TM2"/>
        <w:tabs>
          <w:tab w:val="left" w:pos="720"/>
        </w:tabs>
        <w:rPr>
          <w:rFonts w:asciiTheme="minorHAnsi" w:eastAsiaTheme="minorEastAsia" w:hAnsiTheme="minorHAnsi" w:cstheme="minorBidi"/>
          <w:noProof/>
          <w:kern w:val="2"/>
          <w:szCs w:val="24"/>
          <w:lang w:eastAsia="fr-CA"/>
          <w14:ligatures w14:val="standardContextual"/>
        </w:rPr>
      </w:pPr>
      <w:hyperlink w:anchor="_Toc196463727" w:history="1">
        <w:r w:rsidR="00AA4984" w:rsidRPr="002213C0">
          <w:rPr>
            <w:rStyle w:val="Hyperlien"/>
            <w:noProof/>
          </w:rPr>
          <w:t>2.</w:t>
        </w:r>
        <w:r w:rsidR="00AA4984">
          <w:rPr>
            <w:rFonts w:asciiTheme="minorHAnsi" w:eastAsiaTheme="minorEastAsia" w:hAnsiTheme="minorHAnsi" w:cstheme="minorBidi"/>
            <w:noProof/>
            <w:kern w:val="2"/>
            <w:szCs w:val="24"/>
            <w:lang w:eastAsia="fr-CA"/>
            <w14:ligatures w14:val="standardContextual"/>
          </w:rPr>
          <w:tab/>
        </w:r>
        <w:r w:rsidR="00AA4984" w:rsidRPr="002213C0">
          <w:rPr>
            <w:rStyle w:val="Hyperlien"/>
            <w:noProof/>
          </w:rPr>
          <w:t>Les moyens constitutionnels et quasi</w:t>
        </w:r>
        <w:r w:rsidR="00AA4984" w:rsidRPr="002213C0">
          <w:rPr>
            <w:rStyle w:val="Hyperlien"/>
            <w:noProof/>
          </w:rPr>
          <w:noBreakHyphen/>
          <w:t>constitutionnels</w:t>
        </w:r>
        <w:r w:rsidR="00AA4984">
          <w:rPr>
            <w:noProof/>
            <w:webHidden/>
          </w:rPr>
          <w:tab/>
        </w:r>
        <w:r w:rsidR="00AA4984">
          <w:rPr>
            <w:noProof/>
            <w:webHidden/>
          </w:rPr>
          <w:fldChar w:fldCharType="begin"/>
        </w:r>
        <w:r w:rsidR="00AA4984">
          <w:rPr>
            <w:noProof/>
            <w:webHidden/>
          </w:rPr>
          <w:instrText xml:space="preserve"> PAGEREF _Toc196463727 \h </w:instrText>
        </w:r>
        <w:r w:rsidR="00AA4984">
          <w:rPr>
            <w:noProof/>
            <w:webHidden/>
          </w:rPr>
        </w:r>
        <w:r w:rsidR="00AA4984">
          <w:rPr>
            <w:noProof/>
            <w:webHidden/>
          </w:rPr>
          <w:fldChar w:fldCharType="separate"/>
        </w:r>
        <w:r w:rsidR="00D266F0">
          <w:rPr>
            <w:noProof/>
            <w:webHidden/>
          </w:rPr>
          <w:t>31</w:t>
        </w:r>
        <w:r w:rsidR="00AA4984">
          <w:rPr>
            <w:noProof/>
            <w:webHidden/>
          </w:rPr>
          <w:fldChar w:fldCharType="end"/>
        </w:r>
      </w:hyperlink>
    </w:p>
    <w:p w14:paraId="761A716A" w14:textId="308CE532" w:rsidR="00AA4984" w:rsidRDefault="00000000">
      <w:pPr>
        <w:pStyle w:val="TM3"/>
        <w:tabs>
          <w:tab w:val="left" w:pos="1200"/>
          <w:tab w:val="right" w:leader="dot" w:pos="9352"/>
        </w:tabs>
        <w:rPr>
          <w:rFonts w:asciiTheme="minorHAnsi" w:eastAsiaTheme="minorEastAsia" w:hAnsiTheme="minorHAnsi" w:cstheme="minorBidi"/>
          <w:noProof/>
          <w:kern w:val="2"/>
          <w:szCs w:val="24"/>
          <w:lang w:eastAsia="fr-CA"/>
          <w14:ligatures w14:val="standardContextual"/>
        </w:rPr>
      </w:pPr>
      <w:hyperlink w:anchor="_Toc196463728" w:history="1">
        <w:r w:rsidR="00AA4984" w:rsidRPr="002213C0">
          <w:rPr>
            <w:rStyle w:val="Hyperlien"/>
            <w:noProof/>
          </w:rPr>
          <w:t>2.1</w:t>
        </w:r>
        <w:r w:rsidR="00AA4984">
          <w:rPr>
            <w:rFonts w:asciiTheme="minorHAnsi" w:eastAsiaTheme="minorEastAsia" w:hAnsiTheme="minorHAnsi" w:cstheme="minorBidi"/>
            <w:noProof/>
            <w:kern w:val="2"/>
            <w:szCs w:val="24"/>
            <w:lang w:eastAsia="fr-CA"/>
            <w14:ligatures w14:val="standardContextual"/>
          </w:rPr>
          <w:tab/>
        </w:r>
        <w:r w:rsidR="00AA4984" w:rsidRPr="002213C0">
          <w:rPr>
            <w:rStyle w:val="Hyperlien"/>
            <w:noProof/>
          </w:rPr>
          <w:t>Les droits à la sécurité de la personne, à l’intégrité et à la liberté</w:t>
        </w:r>
        <w:r w:rsidR="00AA4984">
          <w:rPr>
            <w:noProof/>
            <w:webHidden/>
          </w:rPr>
          <w:tab/>
        </w:r>
        <w:r w:rsidR="00AA4984">
          <w:rPr>
            <w:noProof/>
            <w:webHidden/>
          </w:rPr>
          <w:fldChar w:fldCharType="begin"/>
        </w:r>
        <w:r w:rsidR="00AA4984">
          <w:rPr>
            <w:noProof/>
            <w:webHidden/>
          </w:rPr>
          <w:instrText xml:space="preserve"> PAGEREF _Toc196463728 \h </w:instrText>
        </w:r>
        <w:r w:rsidR="00AA4984">
          <w:rPr>
            <w:noProof/>
            <w:webHidden/>
          </w:rPr>
        </w:r>
        <w:r w:rsidR="00AA4984">
          <w:rPr>
            <w:noProof/>
            <w:webHidden/>
          </w:rPr>
          <w:fldChar w:fldCharType="separate"/>
        </w:r>
        <w:r w:rsidR="00D266F0">
          <w:rPr>
            <w:noProof/>
            <w:webHidden/>
          </w:rPr>
          <w:t>31</w:t>
        </w:r>
        <w:r w:rsidR="00AA4984">
          <w:rPr>
            <w:noProof/>
            <w:webHidden/>
          </w:rPr>
          <w:fldChar w:fldCharType="end"/>
        </w:r>
      </w:hyperlink>
    </w:p>
    <w:p w14:paraId="6F7DF301" w14:textId="726E9CD9" w:rsidR="00AA4984" w:rsidRDefault="00000000">
      <w:pPr>
        <w:pStyle w:val="TM3"/>
        <w:tabs>
          <w:tab w:val="left" w:pos="1200"/>
          <w:tab w:val="right" w:leader="dot" w:pos="9352"/>
        </w:tabs>
        <w:rPr>
          <w:rFonts w:asciiTheme="minorHAnsi" w:eastAsiaTheme="minorEastAsia" w:hAnsiTheme="minorHAnsi" w:cstheme="minorBidi"/>
          <w:noProof/>
          <w:kern w:val="2"/>
          <w:szCs w:val="24"/>
          <w:lang w:eastAsia="fr-CA"/>
          <w14:ligatures w14:val="standardContextual"/>
        </w:rPr>
      </w:pPr>
      <w:hyperlink w:anchor="_Toc196463729" w:history="1">
        <w:r w:rsidR="00AA4984" w:rsidRPr="002213C0">
          <w:rPr>
            <w:rStyle w:val="Hyperlien"/>
            <w:noProof/>
          </w:rPr>
          <w:t>2.2</w:t>
        </w:r>
        <w:r w:rsidR="00AA4984">
          <w:rPr>
            <w:rFonts w:asciiTheme="minorHAnsi" w:eastAsiaTheme="minorEastAsia" w:hAnsiTheme="minorHAnsi" w:cstheme="minorBidi"/>
            <w:noProof/>
            <w:kern w:val="2"/>
            <w:szCs w:val="24"/>
            <w:lang w:eastAsia="fr-CA"/>
            <w14:ligatures w14:val="standardContextual"/>
          </w:rPr>
          <w:tab/>
        </w:r>
        <w:r w:rsidR="00AA4984" w:rsidRPr="002213C0">
          <w:rPr>
            <w:rStyle w:val="Hyperlien"/>
            <w:noProof/>
          </w:rPr>
          <w:t>Le droit à la sauvegarde de la dignité</w:t>
        </w:r>
        <w:r w:rsidR="00AA4984">
          <w:rPr>
            <w:noProof/>
            <w:webHidden/>
          </w:rPr>
          <w:tab/>
        </w:r>
        <w:r w:rsidR="00AA4984">
          <w:rPr>
            <w:noProof/>
            <w:webHidden/>
          </w:rPr>
          <w:fldChar w:fldCharType="begin"/>
        </w:r>
        <w:r w:rsidR="00AA4984">
          <w:rPr>
            <w:noProof/>
            <w:webHidden/>
          </w:rPr>
          <w:instrText xml:space="preserve"> PAGEREF _Toc196463729 \h </w:instrText>
        </w:r>
        <w:r w:rsidR="00AA4984">
          <w:rPr>
            <w:noProof/>
            <w:webHidden/>
          </w:rPr>
        </w:r>
        <w:r w:rsidR="00AA4984">
          <w:rPr>
            <w:noProof/>
            <w:webHidden/>
          </w:rPr>
          <w:fldChar w:fldCharType="separate"/>
        </w:r>
        <w:r w:rsidR="00D266F0">
          <w:rPr>
            <w:noProof/>
            <w:webHidden/>
          </w:rPr>
          <w:t>46</w:t>
        </w:r>
        <w:r w:rsidR="00AA4984">
          <w:rPr>
            <w:noProof/>
            <w:webHidden/>
          </w:rPr>
          <w:fldChar w:fldCharType="end"/>
        </w:r>
      </w:hyperlink>
    </w:p>
    <w:p w14:paraId="4DE0652C" w14:textId="1EFB9ED1" w:rsidR="00AA4984" w:rsidRDefault="00000000">
      <w:pPr>
        <w:pStyle w:val="TM3"/>
        <w:tabs>
          <w:tab w:val="left" w:pos="1200"/>
          <w:tab w:val="right" w:leader="dot" w:pos="9352"/>
        </w:tabs>
        <w:rPr>
          <w:rFonts w:asciiTheme="minorHAnsi" w:eastAsiaTheme="minorEastAsia" w:hAnsiTheme="minorHAnsi" w:cstheme="minorBidi"/>
          <w:noProof/>
          <w:kern w:val="2"/>
          <w:szCs w:val="24"/>
          <w:lang w:eastAsia="fr-CA"/>
          <w14:ligatures w14:val="standardContextual"/>
        </w:rPr>
      </w:pPr>
      <w:hyperlink w:anchor="_Toc196463730" w:history="1">
        <w:r w:rsidR="00AA4984" w:rsidRPr="002213C0">
          <w:rPr>
            <w:rStyle w:val="Hyperlien"/>
            <w:noProof/>
          </w:rPr>
          <w:t>2.3</w:t>
        </w:r>
        <w:r w:rsidR="00AA4984">
          <w:rPr>
            <w:rFonts w:asciiTheme="minorHAnsi" w:eastAsiaTheme="minorEastAsia" w:hAnsiTheme="minorHAnsi" w:cstheme="minorBidi"/>
            <w:noProof/>
            <w:kern w:val="2"/>
            <w:szCs w:val="24"/>
            <w:lang w:eastAsia="fr-CA"/>
            <w14:ligatures w14:val="standardContextual"/>
          </w:rPr>
          <w:tab/>
        </w:r>
        <w:r w:rsidR="00AA4984" w:rsidRPr="002213C0">
          <w:rPr>
            <w:rStyle w:val="Hyperlien"/>
            <w:noProof/>
          </w:rPr>
          <w:t>Le droit à la vie privée</w:t>
        </w:r>
        <w:r w:rsidR="00AA4984">
          <w:rPr>
            <w:noProof/>
            <w:webHidden/>
          </w:rPr>
          <w:tab/>
        </w:r>
        <w:r w:rsidR="00AA4984">
          <w:rPr>
            <w:noProof/>
            <w:webHidden/>
          </w:rPr>
          <w:fldChar w:fldCharType="begin"/>
        </w:r>
        <w:r w:rsidR="00AA4984">
          <w:rPr>
            <w:noProof/>
            <w:webHidden/>
          </w:rPr>
          <w:instrText xml:space="preserve"> PAGEREF _Toc196463730 \h </w:instrText>
        </w:r>
        <w:r w:rsidR="00AA4984">
          <w:rPr>
            <w:noProof/>
            <w:webHidden/>
          </w:rPr>
        </w:r>
        <w:r w:rsidR="00AA4984">
          <w:rPr>
            <w:noProof/>
            <w:webHidden/>
          </w:rPr>
          <w:fldChar w:fldCharType="separate"/>
        </w:r>
        <w:r w:rsidR="00D266F0">
          <w:rPr>
            <w:noProof/>
            <w:webHidden/>
          </w:rPr>
          <w:t>47</w:t>
        </w:r>
        <w:r w:rsidR="00AA4984">
          <w:rPr>
            <w:noProof/>
            <w:webHidden/>
          </w:rPr>
          <w:fldChar w:fldCharType="end"/>
        </w:r>
      </w:hyperlink>
    </w:p>
    <w:p w14:paraId="349633E8" w14:textId="7E54A5D5" w:rsidR="00AA4984" w:rsidRDefault="00000000">
      <w:pPr>
        <w:pStyle w:val="TM3"/>
        <w:tabs>
          <w:tab w:val="left" w:pos="1200"/>
          <w:tab w:val="right" w:leader="dot" w:pos="9352"/>
        </w:tabs>
        <w:rPr>
          <w:rFonts w:asciiTheme="minorHAnsi" w:eastAsiaTheme="minorEastAsia" w:hAnsiTheme="minorHAnsi" w:cstheme="minorBidi"/>
          <w:noProof/>
          <w:kern w:val="2"/>
          <w:szCs w:val="24"/>
          <w:lang w:eastAsia="fr-CA"/>
          <w14:ligatures w14:val="standardContextual"/>
        </w:rPr>
      </w:pPr>
      <w:hyperlink w:anchor="_Toc196463731" w:history="1">
        <w:r w:rsidR="00AA4984" w:rsidRPr="002213C0">
          <w:rPr>
            <w:rStyle w:val="Hyperlien"/>
            <w:noProof/>
          </w:rPr>
          <w:t>2.4</w:t>
        </w:r>
        <w:r w:rsidR="00AA4984">
          <w:rPr>
            <w:rFonts w:asciiTheme="minorHAnsi" w:eastAsiaTheme="minorEastAsia" w:hAnsiTheme="minorHAnsi" w:cstheme="minorBidi"/>
            <w:noProof/>
            <w:kern w:val="2"/>
            <w:szCs w:val="24"/>
            <w:lang w:eastAsia="fr-CA"/>
            <w14:ligatures w14:val="standardContextual"/>
          </w:rPr>
          <w:tab/>
        </w:r>
        <w:r w:rsidR="00AA4984" w:rsidRPr="002213C0">
          <w:rPr>
            <w:rStyle w:val="Hyperlien"/>
            <w:noProof/>
          </w:rPr>
          <w:t xml:space="preserve">Le droit à l’égalité garanti par le paragraphe 15(1) de la </w:t>
        </w:r>
        <w:r w:rsidR="00AA4984" w:rsidRPr="002213C0">
          <w:rPr>
            <w:rStyle w:val="Hyperlien"/>
            <w:i/>
            <w:iCs/>
            <w:noProof/>
          </w:rPr>
          <w:t>Charte canadienne</w:t>
        </w:r>
        <w:r w:rsidR="00AA4984">
          <w:rPr>
            <w:noProof/>
            <w:webHidden/>
          </w:rPr>
          <w:tab/>
        </w:r>
        <w:r w:rsidR="00AA4984">
          <w:rPr>
            <w:noProof/>
            <w:webHidden/>
          </w:rPr>
          <w:fldChar w:fldCharType="begin"/>
        </w:r>
        <w:r w:rsidR="00AA4984">
          <w:rPr>
            <w:noProof/>
            <w:webHidden/>
          </w:rPr>
          <w:instrText xml:space="preserve"> PAGEREF _Toc196463731 \h </w:instrText>
        </w:r>
        <w:r w:rsidR="00AA4984">
          <w:rPr>
            <w:noProof/>
            <w:webHidden/>
          </w:rPr>
        </w:r>
        <w:r w:rsidR="00AA4984">
          <w:rPr>
            <w:noProof/>
            <w:webHidden/>
          </w:rPr>
          <w:fldChar w:fldCharType="separate"/>
        </w:r>
        <w:r w:rsidR="00D266F0">
          <w:rPr>
            <w:noProof/>
            <w:webHidden/>
          </w:rPr>
          <w:t>50</w:t>
        </w:r>
        <w:r w:rsidR="00AA4984">
          <w:rPr>
            <w:noProof/>
            <w:webHidden/>
          </w:rPr>
          <w:fldChar w:fldCharType="end"/>
        </w:r>
      </w:hyperlink>
    </w:p>
    <w:p w14:paraId="01522CD8" w14:textId="6FA865C5" w:rsidR="00AA4984" w:rsidRDefault="00000000">
      <w:pPr>
        <w:pStyle w:val="TM3"/>
        <w:tabs>
          <w:tab w:val="left" w:pos="1200"/>
          <w:tab w:val="right" w:leader="dot" w:pos="9352"/>
        </w:tabs>
        <w:rPr>
          <w:rFonts w:asciiTheme="minorHAnsi" w:eastAsiaTheme="minorEastAsia" w:hAnsiTheme="minorHAnsi" w:cstheme="minorBidi"/>
          <w:noProof/>
          <w:kern w:val="2"/>
          <w:szCs w:val="24"/>
          <w:lang w:eastAsia="fr-CA"/>
          <w14:ligatures w14:val="standardContextual"/>
        </w:rPr>
      </w:pPr>
      <w:hyperlink w:anchor="_Toc196463732" w:history="1">
        <w:r w:rsidR="00AA4984" w:rsidRPr="002213C0">
          <w:rPr>
            <w:rStyle w:val="Hyperlien"/>
            <w:noProof/>
          </w:rPr>
          <w:t>2.5</w:t>
        </w:r>
        <w:r w:rsidR="00AA4984">
          <w:rPr>
            <w:rFonts w:asciiTheme="minorHAnsi" w:eastAsiaTheme="minorEastAsia" w:hAnsiTheme="minorHAnsi" w:cstheme="minorBidi"/>
            <w:noProof/>
            <w:kern w:val="2"/>
            <w:szCs w:val="24"/>
            <w:lang w:eastAsia="fr-CA"/>
            <w14:ligatures w14:val="standardContextual"/>
          </w:rPr>
          <w:tab/>
        </w:r>
        <w:r w:rsidR="00AA4984" w:rsidRPr="002213C0">
          <w:rPr>
            <w:rStyle w:val="Hyperlien"/>
            <w:noProof/>
          </w:rPr>
          <w:t xml:space="preserve">Le droit à l’égalité garanti par l’article 10 de la </w:t>
        </w:r>
        <w:r w:rsidR="00AA4984" w:rsidRPr="002213C0">
          <w:rPr>
            <w:rStyle w:val="Hyperlien"/>
            <w:i/>
            <w:iCs/>
            <w:noProof/>
          </w:rPr>
          <w:t>Charte québécoise</w:t>
        </w:r>
        <w:r w:rsidR="00AA4984">
          <w:rPr>
            <w:noProof/>
            <w:webHidden/>
          </w:rPr>
          <w:tab/>
        </w:r>
        <w:r w:rsidR="00AA4984">
          <w:rPr>
            <w:noProof/>
            <w:webHidden/>
          </w:rPr>
          <w:fldChar w:fldCharType="begin"/>
        </w:r>
        <w:r w:rsidR="00AA4984">
          <w:rPr>
            <w:noProof/>
            <w:webHidden/>
          </w:rPr>
          <w:instrText xml:space="preserve"> PAGEREF _Toc196463732 \h </w:instrText>
        </w:r>
        <w:r w:rsidR="00AA4984">
          <w:rPr>
            <w:noProof/>
            <w:webHidden/>
          </w:rPr>
        </w:r>
        <w:r w:rsidR="00AA4984">
          <w:rPr>
            <w:noProof/>
            <w:webHidden/>
          </w:rPr>
          <w:fldChar w:fldCharType="separate"/>
        </w:r>
        <w:r w:rsidR="00D266F0">
          <w:rPr>
            <w:noProof/>
            <w:webHidden/>
          </w:rPr>
          <w:t>75</w:t>
        </w:r>
        <w:r w:rsidR="00AA4984">
          <w:rPr>
            <w:noProof/>
            <w:webHidden/>
          </w:rPr>
          <w:fldChar w:fldCharType="end"/>
        </w:r>
      </w:hyperlink>
    </w:p>
    <w:p w14:paraId="488EFA9D" w14:textId="22201585" w:rsidR="00AA4984" w:rsidRDefault="00000000">
      <w:pPr>
        <w:pStyle w:val="TM2"/>
        <w:tabs>
          <w:tab w:val="left" w:pos="720"/>
        </w:tabs>
        <w:rPr>
          <w:rFonts w:asciiTheme="minorHAnsi" w:eastAsiaTheme="minorEastAsia" w:hAnsiTheme="minorHAnsi" w:cstheme="minorBidi"/>
          <w:noProof/>
          <w:kern w:val="2"/>
          <w:szCs w:val="24"/>
          <w:lang w:eastAsia="fr-CA"/>
          <w14:ligatures w14:val="standardContextual"/>
        </w:rPr>
      </w:pPr>
      <w:hyperlink w:anchor="_Toc196463733" w:history="1">
        <w:r w:rsidR="00AA4984" w:rsidRPr="002213C0">
          <w:rPr>
            <w:rStyle w:val="Hyperlien"/>
            <w:noProof/>
          </w:rPr>
          <w:t>3.</w:t>
        </w:r>
        <w:r w:rsidR="00AA4984">
          <w:rPr>
            <w:rFonts w:asciiTheme="minorHAnsi" w:eastAsiaTheme="minorEastAsia" w:hAnsiTheme="minorHAnsi" w:cstheme="minorBidi"/>
            <w:noProof/>
            <w:kern w:val="2"/>
            <w:szCs w:val="24"/>
            <w:lang w:eastAsia="fr-CA"/>
            <w14:ligatures w14:val="standardContextual"/>
          </w:rPr>
          <w:tab/>
        </w:r>
        <w:r w:rsidR="00AA4984" w:rsidRPr="002213C0">
          <w:rPr>
            <w:rStyle w:val="Hyperlien"/>
            <w:noProof/>
          </w:rPr>
          <w:t xml:space="preserve">La justification aux termes de l’article premier de la </w:t>
        </w:r>
        <w:r w:rsidR="00AA4984" w:rsidRPr="002213C0">
          <w:rPr>
            <w:rStyle w:val="Hyperlien"/>
            <w:i/>
            <w:iCs/>
            <w:noProof/>
          </w:rPr>
          <w:t>Charte canadienne</w:t>
        </w:r>
        <w:r w:rsidR="00AA4984">
          <w:rPr>
            <w:noProof/>
            <w:webHidden/>
          </w:rPr>
          <w:tab/>
        </w:r>
        <w:r w:rsidR="00AA4984">
          <w:rPr>
            <w:noProof/>
            <w:webHidden/>
          </w:rPr>
          <w:fldChar w:fldCharType="begin"/>
        </w:r>
        <w:r w:rsidR="00AA4984">
          <w:rPr>
            <w:noProof/>
            <w:webHidden/>
          </w:rPr>
          <w:instrText xml:space="preserve"> PAGEREF _Toc196463733 \h </w:instrText>
        </w:r>
        <w:r w:rsidR="00AA4984">
          <w:rPr>
            <w:noProof/>
            <w:webHidden/>
          </w:rPr>
        </w:r>
        <w:r w:rsidR="00AA4984">
          <w:rPr>
            <w:noProof/>
            <w:webHidden/>
          </w:rPr>
          <w:fldChar w:fldCharType="separate"/>
        </w:r>
        <w:r w:rsidR="00D266F0">
          <w:rPr>
            <w:noProof/>
            <w:webHidden/>
          </w:rPr>
          <w:t>77</w:t>
        </w:r>
        <w:r w:rsidR="00AA4984">
          <w:rPr>
            <w:noProof/>
            <w:webHidden/>
          </w:rPr>
          <w:fldChar w:fldCharType="end"/>
        </w:r>
      </w:hyperlink>
    </w:p>
    <w:p w14:paraId="30312FF4" w14:textId="7640B906" w:rsidR="00AA4984" w:rsidRDefault="00000000">
      <w:pPr>
        <w:pStyle w:val="TM3"/>
        <w:tabs>
          <w:tab w:val="left" w:pos="1200"/>
          <w:tab w:val="right" w:leader="dot" w:pos="9352"/>
        </w:tabs>
        <w:rPr>
          <w:rFonts w:asciiTheme="minorHAnsi" w:eastAsiaTheme="minorEastAsia" w:hAnsiTheme="minorHAnsi" w:cstheme="minorBidi"/>
          <w:noProof/>
          <w:kern w:val="2"/>
          <w:szCs w:val="24"/>
          <w:lang w:eastAsia="fr-CA"/>
          <w14:ligatures w14:val="standardContextual"/>
        </w:rPr>
      </w:pPr>
      <w:hyperlink w:anchor="_Toc196463734" w:history="1">
        <w:r w:rsidR="00AA4984" w:rsidRPr="002213C0">
          <w:rPr>
            <w:rStyle w:val="Hyperlien"/>
            <w:noProof/>
          </w:rPr>
          <w:t>3.1</w:t>
        </w:r>
        <w:r w:rsidR="00AA4984">
          <w:rPr>
            <w:rFonts w:asciiTheme="minorHAnsi" w:eastAsiaTheme="minorEastAsia" w:hAnsiTheme="minorHAnsi" w:cstheme="minorBidi"/>
            <w:noProof/>
            <w:kern w:val="2"/>
            <w:szCs w:val="24"/>
            <w:lang w:eastAsia="fr-CA"/>
            <w14:ligatures w14:val="standardContextual"/>
          </w:rPr>
          <w:tab/>
        </w:r>
        <w:r w:rsidR="00AA4984" w:rsidRPr="002213C0">
          <w:rPr>
            <w:rStyle w:val="Hyperlien"/>
            <w:noProof/>
          </w:rPr>
          <w:t>L’objectif urgent et réel</w:t>
        </w:r>
        <w:r w:rsidR="00AA4984">
          <w:rPr>
            <w:noProof/>
            <w:webHidden/>
          </w:rPr>
          <w:tab/>
        </w:r>
        <w:r w:rsidR="00AA4984">
          <w:rPr>
            <w:noProof/>
            <w:webHidden/>
          </w:rPr>
          <w:fldChar w:fldCharType="begin"/>
        </w:r>
        <w:r w:rsidR="00AA4984">
          <w:rPr>
            <w:noProof/>
            <w:webHidden/>
          </w:rPr>
          <w:instrText xml:space="preserve"> PAGEREF _Toc196463734 \h </w:instrText>
        </w:r>
        <w:r w:rsidR="00AA4984">
          <w:rPr>
            <w:noProof/>
            <w:webHidden/>
          </w:rPr>
        </w:r>
        <w:r w:rsidR="00AA4984">
          <w:rPr>
            <w:noProof/>
            <w:webHidden/>
          </w:rPr>
          <w:fldChar w:fldCharType="separate"/>
        </w:r>
        <w:r w:rsidR="00D266F0">
          <w:rPr>
            <w:noProof/>
            <w:webHidden/>
          </w:rPr>
          <w:t>78</w:t>
        </w:r>
        <w:r w:rsidR="00AA4984">
          <w:rPr>
            <w:noProof/>
            <w:webHidden/>
          </w:rPr>
          <w:fldChar w:fldCharType="end"/>
        </w:r>
      </w:hyperlink>
    </w:p>
    <w:p w14:paraId="6A097D8D" w14:textId="2639C138" w:rsidR="00AA4984" w:rsidRDefault="00000000">
      <w:pPr>
        <w:pStyle w:val="TM3"/>
        <w:tabs>
          <w:tab w:val="left" w:pos="1200"/>
          <w:tab w:val="right" w:leader="dot" w:pos="9352"/>
        </w:tabs>
        <w:rPr>
          <w:rFonts w:asciiTheme="minorHAnsi" w:eastAsiaTheme="minorEastAsia" w:hAnsiTheme="minorHAnsi" w:cstheme="minorBidi"/>
          <w:noProof/>
          <w:kern w:val="2"/>
          <w:szCs w:val="24"/>
          <w:lang w:eastAsia="fr-CA"/>
          <w14:ligatures w14:val="standardContextual"/>
        </w:rPr>
      </w:pPr>
      <w:hyperlink w:anchor="_Toc196463735" w:history="1">
        <w:r w:rsidR="00AA4984" w:rsidRPr="002213C0">
          <w:rPr>
            <w:rStyle w:val="Hyperlien"/>
            <w:noProof/>
          </w:rPr>
          <w:t>3.2</w:t>
        </w:r>
        <w:r w:rsidR="00AA4984">
          <w:rPr>
            <w:rFonts w:asciiTheme="minorHAnsi" w:eastAsiaTheme="minorEastAsia" w:hAnsiTheme="minorHAnsi" w:cstheme="minorBidi"/>
            <w:noProof/>
            <w:kern w:val="2"/>
            <w:szCs w:val="24"/>
            <w:lang w:eastAsia="fr-CA"/>
            <w14:ligatures w14:val="standardContextual"/>
          </w:rPr>
          <w:tab/>
        </w:r>
        <w:r w:rsidR="00AA4984" w:rsidRPr="002213C0">
          <w:rPr>
            <w:rStyle w:val="Hyperlien"/>
            <w:noProof/>
          </w:rPr>
          <w:t>Le critère de proportionnalité</w:t>
        </w:r>
        <w:r w:rsidR="00AA4984">
          <w:rPr>
            <w:noProof/>
            <w:webHidden/>
          </w:rPr>
          <w:tab/>
        </w:r>
        <w:r w:rsidR="00AA4984">
          <w:rPr>
            <w:noProof/>
            <w:webHidden/>
          </w:rPr>
          <w:fldChar w:fldCharType="begin"/>
        </w:r>
        <w:r w:rsidR="00AA4984">
          <w:rPr>
            <w:noProof/>
            <w:webHidden/>
          </w:rPr>
          <w:instrText xml:space="preserve"> PAGEREF _Toc196463735 \h </w:instrText>
        </w:r>
        <w:r w:rsidR="00AA4984">
          <w:rPr>
            <w:noProof/>
            <w:webHidden/>
          </w:rPr>
        </w:r>
        <w:r w:rsidR="00AA4984">
          <w:rPr>
            <w:noProof/>
            <w:webHidden/>
          </w:rPr>
          <w:fldChar w:fldCharType="separate"/>
        </w:r>
        <w:r w:rsidR="00D266F0">
          <w:rPr>
            <w:noProof/>
            <w:webHidden/>
          </w:rPr>
          <w:t>79</w:t>
        </w:r>
        <w:r w:rsidR="00AA4984">
          <w:rPr>
            <w:noProof/>
            <w:webHidden/>
          </w:rPr>
          <w:fldChar w:fldCharType="end"/>
        </w:r>
      </w:hyperlink>
    </w:p>
    <w:p w14:paraId="0922893B" w14:textId="396E49F4" w:rsidR="00AA4984" w:rsidRDefault="00000000">
      <w:pPr>
        <w:pStyle w:val="TM2"/>
        <w:tabs>
          <w:tab w:val="left" w:pos="720"/>
        </w:tabs>
        <w:rPr>
          <w:rFonts w:asciiTheme="minorHAnsi" w:eastAsiaTheme="minorEastAsia" w:hAnsiTheme="minorHAnsi" w:cstheme="minorBidi"/>
          <w:noProof/>
          <w:kern w:val="2"/>
          <w:szCs w:val="24"/>
          <w:lang w:eastAsia="fr-CA"/>
          <w14:ligatures w14:val="standardContextual"/>
        </w:rPr>
      </w:pPr>
      <w:hyperlink w:anchor="_Toc196463736" w:history="1">
        <w:r w:rsidR="00AA4984" w:rsidRPr="002213C0">
          <w:rPr>
            <w:rStyle w:val="Hyperlien"/>
            <w:noProof/>
          </w:rPr>
          <w:t>4.</w:t>
        </w:r>
        <w:r w:rsidR="00AA4984">
          <w:rPr>
            <w:rFonts w:asciiTheme="minorHAnsi" w:eastAsiaTheme="minorEastAsia" w:hAnsiTheme="minorHAnsi" w:cstheme="minorBidi"/>
            <w:noProof/>
            <w:kern w:val="2"/>
            <w:szCs w:val="24"/>
            <w:lang w:eastAsia="fr-CA"/>
            <w14:ligatures w14:val="standardContextual"/>
          </w:rPr>
          <w:tab/>
        </w:r>
        <w:r w:rsidR="00AA4984" w:rsidRPr="002213C0">
          <w:rPr>
            <w:rStyle w:val="Hyperlien"/>
            <w:noProof/>
          </w:rPr>
          <w:t>Le redressement</w:t>
        </w:r>
        <w:r w:rsidR="00AA4984">
          <w:rPr>
            <w:noProof/>
            <w:webHidden/>
          </w:rPr>
          <w:tab/>
        </w:r>
        <w:r w:rsidR="00AA4984">
          <w:rPr>
            <w:noProof/>
            <w:webHidden/>
          </w:rPr>
          <w:fldChar w:fldCharType="begin"/>
        </w:r>
        <w:r w:rsidR="00AA4984">
          <w:rPr>
            <w:noProof/>
            <w:webHidden/>
          </w:rPr>
          <w:instrText xml:space="preserve"> PAGEREF _Toc196463736 \h </w:instrText>
        </w:r>
        <w:r w:rsidR="00AA4984">
          <w:rPr>
            <w:noProof/>
            <w:webHidden/>
          </w:rPr>
        </w:r>
        <w:r w:rsidR="00AA4984">
          <w:rPr>
            <w:noProof/>
            <w:webHidden/>
          </w:rPr>
          <w:fldChar w:fldCharType="separate"/>
        </w:r>
        <w:r w:rsidR="00D266F0">
          <w:rPr>
            <w:noProof/>
            <w:webHidden/>
          </w:rPr>
          <w:t>86</w:t>
        </w:r>
        <w:r w:rsidR="00AA4984">
          <w:rPr>
            <w:noProof/>
            <w:webHidden/>
          </w:rPr>
          <w:fldChar w:fldCharType="end"/>
        </w:r>
      </w:hyperlink>
    </w:p>
    <w:p w14:paraId="0CF74B58" w14:textId="4A5409FD" w:rsidR="00AA4984" w:rsidRDefault="00000000">
      <w:pPr>
        <w:pStyle w:val="TM3"/>
        <w:tabs>
          <w:tab w:val="left" w:pos="1200"/>
          <w:tab w:val="right" w:leader="dot" w:pos="9352"/>
        </w:tabs>
        <w:rPr>
          <w:rFonts w:asciiTheme="minorHAnsi" w:eastAsiaTheme="minorEastAsia" w:hAnsiTheme="minorHAnsi" w:cstheme="minorBidi"/>
          <w:noProof/>
          <w:kern w:val="2"/>
          <w:szCs w:val="24"/>
          <w:lang w:eastAsia="fr-CA"/>
          <w14:ligatures w14:val="standardContextual"/>
        </w:rPr>
      </w:pPr>
      <w:hyperlink w:anchor="_Toc196463737" w:history="1">
        <w:r w:rsidR="00AA4984" w:rsidRPr="002213C0">
          <w:rPr>
            <w:rStyle w:val="Hyperlien"/>
            <w:noProof/>
          </w:rPr>
          <w:t>4.1</w:t>
        </w:r>
        <w:r w:rsidR="00AA4984">
          <w:rPr>
            <w:rFonts w:asciiTheme="minorHAnsi" w:eastAsiaTheme="minorEastAsia" w:hAnsiTheme="minorHAnsi" w:cstheme="minorBidi"/>
            <w:noProof/>
            <w:kern w:val="2"/>
            <w:szCs w:val="24"/>
            <w:lang w:eastAsia="fr-CA"/>
            <w14:ligatures w14:val="standardContextual"/>
          </w:rPr>
          <w:tab/>
        </w:r>
        <w:r w:rsidR="00AA4984" w:rsidRPr="002213C0">
          <w:rPr>
            <w:rStyle w:val="Hyperlien"/>
            <w:noProof/>
          </w:rPr>
          <w:t>Introduction</w:t>
        </w:r>
        <w:r w:rsidR="00AA4984">
          <w:rPr>
            <w:noProof/>
            <w:webHidden/>
          </w:rPr>
          <w:tab/>
        </w:r>
        <w:r w:rsidR="00AA4984">
          <w:rPr>
            <w:noProof/>
            <w:webHidden/>
          </w:rPr>
          <w:fldChar w:fldCharType="begin"/>
        </w:r>
        <w:r w:rsidR="00AA4984">
          <w:rPr>
            <w:noProof/>
            <w:webHidden/>
          </w:rPr>
          <w:instrText xml:space="preserve"> PAGEREF _Toc196463737 \h </w:instrText>
        </w:r>
        <w:r w:rsidR="00AA4984">
          <w:rPr>
            <w:noProof/>
            <w:webHidden/>
          </w:rPr>
        </w:r>
        <w:r w:rsidR="00AA4984">
          <w:rPr>
            <w:noProof/>
            <w:webHidden/>
          </w:rPr>
          <w:fldChar w:fldCharType="separate"/>
        </w:r>
        <w:r w:rsidR="00D266F0">
          <w:rPr>
            <w:noProof/>
            <w:webHidden/>
          </w:rPr>
          <w:t>86</w:t>
        </w:r>
        <w:r w:rsidR="00AA4984">
          <w:rPr>
            <w:noProof/>
            <w:webHidden/>
          </w:rPr>
          <w:fldChar w:fldCharType="end"/>
        </w:r>
      </w:hyperlink>
    </w:p>
    <w:p w14:paraId="06121736" w14:textId="21F32D85" w:rsidR="00AA4984" w:rsidRDefault="00000000">
      <w:pPr>
        <w:pStyle w:val="TM3"/>
        <w:tabs>
          <w:tab w:val="left" w:pos="1200"/>
          <w:tab w:val="right" w:leader="dot" w:pos="9352"/>
        </w:tabs>
        <w:rPr>
          <w:rFonts w:asciiTheme="minorHAnsi" w:eastAsiaTheme="minorEastAsia" w:hAnsiTheme="minorHAnsi" w:cstheme="minorBidi"/>
          <w:noProof/>
          <w:kern w:val="2"/>
          <w:szCs w:val="24"/>
          <w:lang w:eastAsia="fr-CA"/>
          <w14:ligatures w14:val="standardContextual"/>
        </w:rPr>
      </w:pPr>
      <w:hyperlink w:anchor="_Toc196463738" w:history="1">
        <w:r w:rsidR="00AA4984" w:rsidRPr="002213C0">
          <w:rPr>
            <w:rStyle w:val="Hyperlien"/>
            <w:noProof/>
          </w:rPr>
          <w:t>4.2</w:t>
        </w:r>
        <w:r w:rsidR="00AA4984">
          <w:rPr>
            <w:rFonts w:asciiTheme="minorHAnsi" w:eastAsiaTheme="minorEastAsia" w:hAnsiTheme="minorHAnsi" w:cstheme="minorBidi"/>
            <w:noProof/>
            <w:kern w:val="2"/>
            <w:szCs w:val="24"/>
            <w:lang w:eastAsia="fr-CA"/>
            <w14:ligatures w14:val="standardContextual"/>
          </w:rPr>
          <w:tab/>
        </w:r>
        <w:r w:rsidR="00AA4984" w:rsidRPr="002213C0">
          <w:rPr>
            <w:rStyle w:val="Hyperlien"/>
            <w:noProof/>
          </w:rPr>
          <w:t xml:space="preserve">Les principes régissant la réparation constitutionnelle aux termes du paragraphe 52(1) de la </w:t>
        </w:r>
        <w:r w:rsidR="00AA4984" w:rsidRPr="002213C0">
          <w:rPr>
            <w:rStyle w:val="Hyperlien"/>
            <w:i/>
            <w:iCs/>
            <w:noProof/>
          </w:rPr>
          <w:t>Loi constitutionnelle de 1982</w:t>
        </w:r>
        <w:r w:rsidR="00AA4984">
          <w:rPr>
            <w:noProof/>
            <w:webHidden/>
          </w:rPr>
          <w:tab/>
        </w:r>
        <w:r w:rsidR="00AA4984">
          <w:rPr>
            <w:noProof/>
            <w:webHidden/>
          </w:rPr>
          <w:fldChar w:fldCharType="begin"/>
        </w:r>
        <w:r w:rsidR="00AA4984">
          <w:rPr>
            <w:noProof/>
            <w:webHidden/>
          </w:rPr>
          <w:instrText xml:space="preserve"> PAGEREF _Toc196463738 \h </w:instrText>
        </w:r>
        <w:r w:rsidR="00AA4984">
          <w:rPr>
            <w:noProof/>
            <w:webHidden/>
          </w:rPr>
        </w:r>
        <w:r w:rsidR="00AA4984">
          <w:rPr>
            <w:noProof/>
            <w:webHidden/>
          </w:rPr>
          <w:fldChar w:fldCharType="separate"/>
        </w:r>
        <w:r w:rsidR="00D266F0">
          <w:rPr>
            <w:noProof/>
            <w:webHidden/>
          </w:rPr>
          <w:t>87</w:t>
        </w:r>
        <w:r w:rsidR="00AA4984">
          <w:rPr>
            <w:noProof/>
            <w:webHidden/>
          </w:rPr>
          <w:fldChar w:fldCharType="end"/>
        </w:r>
      </w:hyperlink>
    </w:p>
    <w:p w14:paraId="7F11147B" w14:textId="15154140" w:rsidR="00AA4984" w:rsidRDefault="00000000">
      <w:pPr>
        <w:pStyle w:val="TM3"/>
        <w:tabs>
          <w:tab w:val="left" w:pos="1200"/>
          <w:tab w:val="right" w:leader="dot" w:pos="9352"/>
        </w:tabs>
        <w:rPr>
          <w:rFonts w:asciiTheme="minorHAnsi" w:eastAsiaTheme="minorEastAsia" w:hAnsiTheme="minorHAnsi" w:cstheme="minorBidi"/>
          <w:noProof/>
          <w:kern w:val="2"/>
          <w:szCs w:val="24"/>
          <w:lang w:eastAsia="fr-CA"/>
          <w14:ligatures w14:val="standardContextual"/>
        </w:rPr>
      </w:pPr>
      <w:hyperlink w:anchor="_Toc196463739" w:history="1">
        <w:r w:rsidR="00AA4984" w:rsidRPr="002213C0">
          <w:rPr>
            <w:rStyle w:val="Hyperlien"/>
            <w:noProof/>
          </w:rPr>
          <w:t>4.3</w:t>
        </w:r>
        <w:r w:rsidR="00AA4984">
          <w:rPr>
            <w:rFonts w:asciiTheme="minorHAnsi" w:eastAsiaTheme="minorEastAsia" w:hAnsiTheme="minorHAnsi" w:cstheme="minorBidi"/>
            <w:noProof/>
            <w:kern w:val="2"/>
            <w:szCs w:val="24"/>
            <w:lang w:eastAsia="fr-CA"/>
            <w14:ligatures w14:val="standardContextual"/>
          </w:rPr>
          <w:tab/>
        </w:r>
        <w:r w:rsidR="00AA4984" w:rsidRPr="002213C0">
          <w:rPr>
            <w:rStyle w:val="Hyperlien"/>
            <w:noProof/>
          </w:rPr>
          <w:t xml:space="preserve">L’étendue de l’incompatibilité avec la </w:t>
        </w:r>
        <w:r w:rsidR="00AA4984" w:rsidRPr="002213C0">
          <w:rPr>
            <w:rStyle w:val="Hyperlien"/>
            <w:i/>
            <w:iCs/>
            <w:noProof/>
          </w:rPr>
          <w:t>Charte canadienne</w:t>
        </w:r>
        <w:r w:rsidR="00AA4984">
          <w:rPr>
            <w:noProof/>
            <w:webHidden/>
          </w:rPr>
          <w:tab/>
        </w:r>
        <w:r w:rsidR="00AA4984">
          <w:rPr>
            <w:noProof/>
            <w:webHidden/>
          </w:rPr>
          <w:fldChar w:fldCharType="begin"/>
        </w:r>
        <w:r w:rsidR="00AA4984">
          <w:rPr>
            <w:noProof/>
            <w:webHidden/>
          </w:rPr>
          <w:instrText xml:space="preserve"> PAGEREF _Toc196463739 \h </w:instrText>
        </w:r>
        <w:r w:rsidR="00AA4984">
          <w:rPr>
            <w:noProof/>
            <w:webHidden/>
          </w:rPr>
        </w:r>
        <w:r w:rsidR="00AA4984">
          <w:rPr>
            <w:noProof/>
            <w:webHidden/>
          </w:rPr>
          <w:fldChar w:fldCharType="separate"/>
        </w:r>
        <w:r w:rsidR="00D266F0">
          <w:rPr>
            <w:noProof/>
            <w:webHidden/>
          </w:rPr>
          <w:t>90</w:t>
        </w:r>
        <w:r w:rsidR="00AA4984">
          <w:rPr>
            <w:noProof/>
            <w:webHidden/>
          </w:rPr>
          <w:fldChar w:fldCharType="end"/>
        </w:r>
      </w:hyperlink>
    </w:p>
    <w:p w14:paraId="4D4BB6C8" w14:textId="029691F5" w:rsidR="00AA4984" w:rsidRDefault="00000000">
      <w:pPr>
        <w:pStyle w:val="TM3"/>
        <w:tabs>
          <w:tab w:val="left" w:pos="1200"/>
          <w:tab w:val="right" w:leader="dot" w:pos="9352"/>
        </w:tabs>
        <w:rPr>
          <w:rFonts w:asciiTheme="minorHAnsi" w:eastAsiaTheme="minorEastAsia" w:hAnsiTheme="minorHAnsi" w:cstheme="minorBidi"/>
          <w:noProof/>
          <w:kern w:val="2"/>
          <w:szCs w:val="24"/>
          <w:lang w:eastAsia="fr-CA"/>
          <w14:ligatures w14:val="standardContextual"/>
        </w:rPr>
      </w:pPr>
      <w:hyperlink w:anchor="_Toc196463740" w:history="1">
        <w:r w:rsidR="00AA4984" w:rsidRPr="002213C0">
          <w:rPr>
            <w:rStyle w:val="Hyperlien"/>
            <w:noProof/>
          </w:rPr>
          <w:t>4.4</w:t>
        </w:r>
        <w:r w:rsidR="00AA4984">
          <w:rPr>
            <w:rFonts w:asciiTheme="minorHAnsi" w:eastAsiaTheme="minorEastAsia" w:hAnsiTheme="minorHAnsi" w:cstheme="minorBidi"/>
            <w:noProof/>
            <w:kern w:val="2"/>
            <w:szCs w:val="24"/>
            <w:lang w:eastAsia="fr-CA"/>
            <w14:ligatures w14:val="standardContextual"/>
          </w:rPr>
          <w:tab/>
        </w:r>
        <w:r w:rsidR="00AA4984" w:rsidRPr="002213C0">
          <w:rPr>
            <w:rStyle w:val="Hyperlien"/>
            <w:noProof/>
          </w:rPr>
          <w:t>Le choix du type de déclaration</w:t>
        </w:r>
        <w:r w:rsidR="00AA4984">
          <w:rPr>
            <w:noProof/>
            <w:webHidden/>
          </w:rPr>
          <w:tab/>
        </w:r>
        <w:r w:rsidR="00AA4984">
          <w:rPr>
            <w:noProof/>
            <w:webHidden/>
          </w:rPr>
          <w:fldChar w:fldCharType="begin"/>
        </w:r>
        <w:r w:rsidR="00AA4984">
          <w:rPr>
            <w:noProof/>
            <w:webHidden/>
          </w:rPr>
          <w:instrText xml:space="preserve"> PAGEREF _Toc196463740 \h </w:instrText>
        </w:r>
        <w:r w:rsidR="00AA4984">
          <w:rPr>
            <w:noProof/>
            <w:webHidden/>
          </w:rPr>
        </w:r>
        <w:r w:rsidR="00AA4984">
          <w:rPr>
            <w:noProof/>
            <w:webHidden/>
          </w:rPr>
          <w:fldChar w:fldCharType="separate"/>
        </w:r>
        <w:r w:rsidR="00D266F0">
          <w:rPr>
            <w:noProof/>
            <w:webHidden/>
          </w:rPr>
          <w:t>90</w:t>
        </w:r>
        <w:r w:rsidR="00AA4984">
          <w:rPr>
            <w:noProof/>
            <w:webHidden/>
          </w:rPr>
          <w:fldChar w:fldCharType="end"/>
        </w:r>
      </w:hyperlink>
    </w:p>
    <w:p w14:paraId="6CAFF97C" w14:textId="314A6469" w:rsidR="00AA4984" w:rsidRDefault="00000000">
      <w:pPr>
        <w:pStyle w:val="TM3"/>
        <w:tabs>
          <w:tab w:val="left" w:pos="1200"/>
          <w:tab w:val="right" w:leader="dot" w:pos="9352"/>
        </w:tabs>
        <w:rPr>
          <w:rFonts w:asciiTheme="minorHAnsi" w:eastAsiaTheme="minorEastAsia" w:hAnsiTheme="minorHAnsi" w:cstheme="minorBidi"/>
          <w:noProof/>
          <w:kern w:val="2"/>
          <w:szCs w:val="24"/>
          <w:lang w:eastAsia="fr-CA"/>
          <w14:ligatures w14:val="standardContextual"/>
        </w:rPr>
      </w:pPr>
      <w:hyperlink w:anchor="_Toc196463741" w:history="1">
        <w:r w:rsidR="00AA4984" w:rsidRPr="002213C0">
          <w:rPr>
            <w:rStyle w:val="Hyperlien"/>
            <w:noProof/>
          </w:rPr>
          <w:t>4.5</w:t>
        </w:r>
        <w:r w:rsidR="00AA4984">
          <w:rPr>
            <w:rFonts w:asciiTheme="minorHAnsi" w:eastAsiaTheme="minorEastAsia" w:hAnsiTheme="minorHAnsi" w:cstheme="minorBidi"/>
            <w:noProof/>
            <w:kern w:val="2"/>
            <w:szCs w:val="24"/>
            <w:lang w:eastAsia="fr-CA"/>
            <w14:ligatures w14:val="standardContextual"/>
          </w:rPr>
          <w:tab/>
        </w:r>
        <w:r w:rsidR="00AA4984" w:rsidRPr="002213C0">
          <w:rPr>
            <w:rStyle w:val="Hyperlien"/>
            <w:noProof/>
          </w:rPr>
          <w:t>La suspension de la déclaration d’invalidité</w:t>
        </w:r>
        <w:r w:rsidR="00AA4984">
          <w:rPr>
            <w:noProof/>
            <w:webHidden/>
          </w:rPr>
          <w:tab/>
        </w:r>
        <w:r w:rsidR="00AA4984">
          <w:rPr>
            <w:noProof/>
            <w:webHidden/>
          </w:rPr>
          <w:fldChar w:fldCharType="begin"/>
        </w:r>
        <w:r w:rsidR="00AA4984">
          <w:rPr>
            <w:noProof/>
            <w:webHidden/>
          </w:rPr>
          <w:instrText xml:space="preserve"> PAGEREF _Toc196463741 \h </w:instrText>
        </w:r>
        <w:r w:rsidR="00AA4984">
          <w:rPr>
            <w:noProof/>
            <w:webHidden/>
          </w:rPr>
        </w:r>
        <w:r w:rsidR="00AA4984">
          <w:rPr>
            <w:noProof/>
            <w:webHidden/>
          </w:rPr>
          <w:fldChar w:fldCharType="separate"/>
        </w:r>
        <w:r w:rsidR="00D266F0">
          <w:rPr>
            <w:noProof/>
            <w:webHidden/>
          </w:rPr>
          <w:t>93</w:t>
        </w:r>
        <w:r w:rsidR="00AA4984">
          <w:rPr>
            <w:noProof/>
            <w:webHidden/>
          </w:rPr>
          <w:fldChar w:fldCharType="end"/>
        </w:r>
      </w:hyperlink>
    </w:p>
    <w:p w14:paraId="3602FA4A" w14:textId="6E8D531A" w:rsidR="00AA4984" w:rsidRDefault="00000000">
      <w:pPr>
        <w:pStyle w:val="TM3"/>
        <w:tabs>
          <w:tab w:val="left" w:pos="1200"/>
          <w:tab w:val="right" w:leader="dot" w:pos="9352"/>
        </w:tabs>
        <w:rPr>
          <w:rFonts w:asciiTheme="minorHAnsi" w:eastAsiaTheme="minorEastAsia" w:hAnsiTheme="minorHAnsi" w:cstheme="minorBidi"/>
          <w:noProof/>
          <w:kern w:val="2"/>
          <w:szCs w:val="24"/>
          <w:lang w:eastAsia="fr-CA"/>
          <w14:ligatures w14:val="standardContextual"/>
        </w:rPr>
      </w:pPr>
      <w:hyperlink w:anchor="_Toc196463742" w:history="1">
        <w:r w:rsidR="00AA4984" w:rsidRPr="002213C0">
          <w:rPr>
            <w:rStyle w:val="Hyperlien"/>
            <w:noProof/>
          </w:rPr>
          <w:t>4.6</w:t>
        </w:r>
        <w:r w:rsidR="00AA4984">
          <w:rPr>
            <w:rFonts w:asciiTheme="minorHAnsi" w:eastAsiaTheme="minorEastAsia" w:hAnsiTheme="minorHAnsi" w:cstheme="minorBidi"/>
            <w:noProof/>
            <w:kern w:val="2"/>
            <w:szCs w:val="24"/>
            <w:lang w:eastAsia="fr-CA"/>
            <w14:ligatures w14:val="standardContextual"/>
          </w:rPr>
          <w:tab/>
        </w:r>
        <w:r w:rsidR="00AA4984" w:rsidRPr="002213C0">
          <w:rPr>
            <w:rStyle w:val="Hyperlien"/>
            <w:noProof/>
          </w:rPr>
          <w:t>La demande d’exemption de la suspension de la déclaration d’invalidité</w:t>
        </w:r>
        <w:r w:rsidR="00AA4984">
          <w:rPr>
            <w:noProof/>
            <w:webHidden/>
          </w:rPr>
          <w:tab/>
        </w:r>
        <w:r w:rsidR="00AA4984">
          <w:rPr>
            <w:noProof/>
            <w:webHidden/>
          </w:rPr>
          <w:fldChar w:fldCharType="begin"/>
        </w:r>
        <w:r w:rsidR="00AA4984">
          <w:rPr>
            <w:noProof/>
            <w:webHidden/>
          </w:rPr>
          <w:instrText xml:space="preserve"> PAGEREF _Toc196463742 \h </w:instrText>
        </w:r>
        <w:r w:rsidR="00AA4984">
          <w:rPr>
            <w:noProof/>
            <w:webHidden/>
          </w:rPr>
        </w:r>
        <w:r w:rsidR="00AA4984">
          <w:rPr>
            <w:noProof/>
            <w:webHidden/>
          </w:rPr>
          <w:fldChar w:fldCharType="separate"/>
        </w:r>
        <w:r w:rsidR="00D266F0">
          <w:rPr>
            <w:noProof/>
            <w:webHidden/>
          </w:rPr>
          <w:t>94</w:t>
        </w:r>
        <w:r w:rsidR="00AA4984">
          <w:rPr>
            <w:noProof/>
            <w:webHidden/>
          </w:rPr>
          <w:fldChar w:fldCharType="end"/>
        </w:r>
      </w:hyperlink>
    </w:p>
    <w:p w14:paraId="2B48C69F" w14:textId="5BF2A076" w:rsidR="00AA4984" w:rsidRDefault="00000000">
      <w:pPr>
        <w:pStyle w:val="TM2"/>
        <w:tabs>
          <w:tab w:val="left" w:pos="720"/>
        </w:tabs>
        <w:rPr>
          <w:rFonts w:asciiTheme="minorHAnsi" w:eastAsiaTheme="minorEastAsia" w:hAnsiTheme="minorHAnsi" w:cstheme="minorBidi"/>
          <w:noProof/>
          <w:kern w:val="2"/>
          <w:szCs w:val="24"/>
          <w:lang w:eastAsia="fr-CA"/>
          <w14:ligatures w14:val="standardContextual"/>
        </w:rPr>
      </w:pPr>
      <w:hyperlink w:anchor="_Toc196463743" w:history="1">
        <w:r w:rsidR="00AA4984" w:rsidRPr="002213C0">
          <w:rPr>
            <w:rStyle w:val="Hyperlien"/>
            <w:noProof/>
          </w:rPr>
          <w:t>5.</w:t>
        </w:r>
        <w:r w:rsidR="00AA4984">
          <w:rPr>
            <w:rFonts w:asciiTheme="minorHAnsi" w:eastAsiaTheme="minorEastAsia" w:hAnsiTheme="minorHAnsi" w:cstheme="minorBidi"/>
            <w:noProof/>
            <w:kern w:val="2"/>
            <w:szCs w:val="24"/>
            <w:lang w:eastAsia="fr-CA"/>
            <w14:ligatures w14:val="standardContextual"/>
          </w:rPr>
          <w:tab/>
        </w:r>
        <w:r w:rsidR="00AA4984" w:rsidRPr="002213C0">
          <w:rPr>
            <w:rStyle w:val="Hyperlien"/>
            <w:noProof/>
          </w:rPr>
          <w:t xml:space="preserve">La filiation </w:t>
        </w:r>
        <w:r w:rsidR="00E13A68">
          <w:rPr>
            <w:rStyle w:val="Hyperlien"/>
            <w:noProof/>
          </w:rPr>
          <w:t xml:space="preserve">de </w:t>
        </w:r>
        <w:r w:rsidR="00153EC1">
          <w:rPr>
            <w:rStyle w:val="Hyperlien"/>
            <w:noProof/>
          </w:rPr>
          <w:t>X</w:t>
        </w:r>
        <w:r w:rsidR="00AA4984">
          <w:rPr>
            <w:noProof/>
            <w:webHidden/>
          </w:rPr>
          <w:tab/>
        </w:r>
        <w:r w:rsidR="00AA4984">
          <w:rPr>
            <w:noProof/>
            <w:webHidden/>
          </w:rPr>
          <w:fldChar w:fldCharType="begin"/>
        </w:r>
        <w:r w:rsidR="00AA4984">
          <w:rPr>
            <w:noProof/>
            <w:webHidden/>
          </w:rPr>
          <w:instrText xml:space="preserve"> PAGEREF _Toc196463743 \h </w:instrText>
        </w:r>
        <w:r w:rsidR="00AA4984">
          <w:rPr>
            <w:noProof/>
            <w:webHidden/>
          </w:rPr>
        </w:r>
        <w:r w:rsidR="00AA4984">
          <w:rPr>
            <w:noProof/>
            <w:webHidden/>
          </w:rPr>
          <w:fldChar w:fldCharType="separate"/>
        </w:r>
        <w:r w:rsidR="00D266F0">
          <w:rPr>
            <w:noProof/>
            <w:webHidden/>
          </w:rPr>
          <w:t>96</w:t>
        </w:r>
        <w:r w:rsidR="00AA4984">
          <w:rPr>
            <w:noProof/>
            <w:webHidden/>
          </w:rPr>
          <w:fldChar w:fldCharType="end"/>
        </w:r>
      </w:hyperlink>
    </w:p>
    <w:p w14:paraId="21F87E28" w14:textId="25BC0329" w:rsidR="00AA4984" w:rsidRDefault="00000000">
      <w:pPr>
        <w:pStyle w:val="TM2"/>
        <w:tabs>
          <w:tab w:val="left" w:pos="720"/>
        </w:tabs>
        <w:rPr>
          <w:rFonts w:asciiTheme="minorHAnsi" w:eastAsiaTheme="minorEastAsia" w:hAnsiTheme="minorHAnsi" w:cstheme="minorBidi"/>
          <w:noProof/>
          <w:kern w:val="2"/>
          <w:szCs w:val="24"/>
          <w:lang w:eastAsia="fr-CA"/>
          <w14:ligatures w14:val="standardContextual"/>
        </w:rPr>
      </w:pPr>
      <w:hyperlink w:anchor="_Toc196463744" w:history="1">
        <w:r w:rsidR="00AA4984" w:rsidRPr="002213C0">
          <w:rPr>
            <w:rStyle w:val="Hyperlien"/>
            <w:noProof/>
          </w:rPr>
          <w:t>6.</w:t>
        </w:r>
        <w:r w:rsidR="00AA4984">
          <w:rPr>
            <w:rFonts w:asciiTheme="minorHAnsi" w:eastAsiaTheme="minorEastAsia" w:hAnsiTheme="minorHAnsi" w:cstheme="minorBidi"/>
            <w:noProof/>
            <w:kern w:val="2"/>
            <w:szCs w:val="24"/>
            <w:lang w:eastAsia="fr-CA"/>
            <w14:ligatures w14:val="standardContextual"/>
          </w:rPr>
          <w:tab/>
        </w:r>
        <w:r w:rsidR="00AA4984" w:rsidRPr="002213C0">
          <w:rPr>
            <w:rStyle w:val="Hyperlien"/>
            <w:noProof/>
          </w:rPr>
          <w:t>Les frais de justice</w:t>
        </w:r>
        <w:r w:rsidR="00AA4984">
          <w:rPr>
            <w:noProof/>
            <w:webHidden/>
          </w:rPr>
          <w:tab/>
        </w:r>
        <w:r w:rsidR="00AA4984">
          <w:rPr>
            <w:noProof/>
            <w:webHidden/>
          </w:rPr>
          <w:fldChar w:fldCharType="begin"/>
        </w:r>
        <w:r w:rsidR="00AA4984">
          <w:rPr>
            <w:noProof/>
            <w:webHidden/>
          </w:rPr>
          <w:instrText xml:space="preserve"> PAGEREF _Toc196463744 \h </w:instrText>
        </w:r>
        <w:r w:rsidR="00AA4984">
          <w:rPr>
            <w:noProof/>
            <w:webHidden/>
          </w:rPr>
        </w:r>
        <w:r w:rsidR="00AA4984">
          <w:rPr>
            <w:noProof/>
            <w:webHidden/>
          </w:rPr>
          <w:fldChar w:fldCharType="separate"/>
        </w:r>
        <w:r w:rsidR="00D266F0">
          <w:rPr>
            <w:noProof/>
            <w:webHidden/>
          </w:rPr>
          <w:t>99</w:t>
        </w:r>
        <w:r w:rsidR="00AA4984">
          <w:rPr>
            <w:noProof/>
            <w:webHidden/>
          </w:rPr>
          <w:fldChar w:fldCharType="end"/>
        </w:r>
      </w:hyperlink>
    </w:p>
    <w:p w14:paraId="550C8771" w14:textId="6B8AC225" w:rsidR="00AA4984" w:rsidRDefault="00000000">
      <w:pPr>
        <w:pStyle w:val="TM2"/>
        <w:rPr>
          <w:rFonts w:asciiTheme="minorHAnsi" w:eastAsiaTheme="minorEastAsia" w:hAnsiTheme="minorHAnsi" w:cstheme="minorBidi"/>
          <w:noProof/>
          <w:kern w:val="2"/>
          <w:szCs w:val="24"/>
          <w:lang w:eastAsia="fr-CA"/>
          <w14:ligatures w14:val="standardContextual"/>
        </w:rPr>
      </w:pPr>
      <w:hyperlink w:anchor="_Toc196463745" w:history="1">
        <w:r w:rsidR="00AA4984" w:rsidRPr="002213C0">
          <w:rPr>
            <w:rStyle w:val="Hyperlien"/>
            <w:noProof/>
          </w:rPr>
          <w:t>DISPOSITIF</w:t>
        </w:r>
        <w:r w:rsidR="00AA4984">
          <w:rPr>
            <w:noProof/>
            <w:webHidden/>
          </w:rPr>
          <w:tab/>
        </w:r>
        <w:r w:rsidR="00AA4984">
          <w:rPr>
            <w:noProof/>
            <w:webHidden/>
          </w:rPr>
          <w:fldChar w:fldCharType="begin"/>
        </w:r>
        <w:r w:rsidR="00AA4984">
          <w:rPr>
            <w:noProof/>
            <w:webHidden/>
          </w:rPr>
          <w:instrText xml:space="preserve"> PAGEREF _Toc196463745 \h </w:instrText>
        </w:r>
        <w:r w:rsidR="00AA4984">
          <w:rPr>
            <w:noProof/>
            <w:webHidden/>
          </w:rPr>
        </w:r>
        <w:r w:rsidR="00AA4984">
          <w:rPr>
            <w:noProof/>
            <w:webHidden/>
          </w:rPr>
          <w:fldChar w:fldCharType="separate"/>
        </w:r>
        <w:r w:rsidR="00D266F0">
          <w:rPr>
            <w:noProof/>
            <w:webHidden/>
          </w:rPr>
          <w:t>99</w:t>
        </w:r>
        <w:r w:rsidR="00AA4984">
          <w:rPr>
            <w:noProof/>
            <w:webHidden/>
          </w:rPr>
          <w:fldChar w:fldCharType="end"/>
        </w:r>
      </w:hyperlink>
    </w:p>
    <w:p w14:paraId="5CB4DBC1" w14:textId="4C215132" w:rsidR="00AA4984" w:rsidRDefault="00000000">
      <w:pPr>
        <w:pStyle w:val="TM2"/>
        <w:rPr>
          <w:rFonts w:asciiTheme="minorHAnsi" w:eastAsiaTheme="minorEastAsia" w:hAnsiTheme="minorHAnsi" w:cstheme="minorBidi"/>
          <w:noProof/>
          <w:kern w:val="2"/>
          <w:szCs w:val="24"/>
          <w:lang w:eastAsia="fr-CA"/>
          <w14:ligatures w14:val="standardContextual"/>
        </w:rPr>
      </w:pPr>
      <w:hyperlink w:anchor="_Toc196463746" w:history="1">
        <w:r w:rsidR="00AA4984" w:rsidRPr="002213C0">
          <w:rPr>
            <w:rStyle w:val="Hyperlien"/>
            <w:rFonts w:cs="Arial"/>
            <w:bCs/>
            <w:noProof/>
          </w:rPr>
          <w:t>ANNEXE A</w:t>
        </w:r>
        <w:r w:rsidR="00AA4984">
          <w:rPr>
            <w:noProof/>
            <w:webHidden/>
          </w:rPr>
          <w:tab/>
        </w:r>
        <w:r w:rsidR="00AA4984">
          <w:rPr>
            <w:noProof/>
            <w:webHidden/>
          </w:rPr>
          <w:fldChar w:fldCharType="begin"/>
        </w:r>
        <w:r w:rsidR="00AA4984">
          <w:rPr>
            <w:noProof/>
            <w:webHidden/>
          </w:rPr>
          <w:instrText xml:space="preserve"> PAGEREF _Toc196463746 \h </w:instrText>
        </w:r>
        <w:r w:rsidR="00AA4984">
          <w:rPr>
            <w:noProof/>
            <w:webHidden/>
          </w:rPr>
        </w:r>
        <w:r w:rsidR="00AA4984">
          <w:rPr>
            <w:noProof/>
            <w:webHidden/>
          </w:rPr>
          <w:fldChar w:fldCharType="separate"/>
        </w:r>
        <w:r w:rsidR="00D266F0">
          <w:rPr>
            <w:noProof/>
            <w:webHidden/>
          </w:rPr>
          <w:t>102</w:t>
        </w:r>
        <w:r w:rsidR="00AA4984">
          <w:rPr>
            <w:noProof/>
            <w:webHidden/>
          </w:rPr>
          <w:fldChar w:fldCharType="end"/>
        </w:r>
      </w:hyperlink>
    </w:p>
    <w:p w14:paraId="7E3839F4" w14:textId="215F75EC" w:rsidR="00555548" w:rsidRPr="00911998" w:rsidRDefault="00C764D2" w:rsidP="00C764D2">
      <w:pPr>
        <w:rPr>
          <w:b/>
          <w:bCs/>
          <w:lang w:val="fr-FR"/>
        </w:rPr>
      </w:pPr>
      <w:r w:rsidRPr="00911998">
        <w:rPr>
          <w:b/>
          <w:bCs/>
          <w:lang w:val="fr-FR"/>
        </w:rPr>
        <w:fldChar w:fldCharType="end"/>
      </w:r>
    </w:p>
    <w:p w14:paraId="4E1442B2" w14:textId="77777777" w:rsidR="00555548" w:rsidRPr="00911998" w:rsidRDefault="00555548" w:rsidP="00C764D2">
      <w:pPr>
        <w:rPr>
          <w:b/>
          <w:bCs/>
          <w:lang w:val="fr-FR"/>
        </w:rPr>
      </w:pPr>
    </w:p>
    <w:p w14:paraId="7A4F86A5" w14:textId="565364A7" w:rsidR="00555548" w:rsidRPr="00911998" w:rsidRDefault="007D0416" w:rsidP="007D0416">
      <w:pPr>
        <w:ind w:left="360"/>
        <w:jc w:val="center"/>
        <w:rPr>
          <w:b/>
          <w:bCs/>
          <w:lang w:val="fr-FR"/>
        </w:rPr>
      </w:pPr>
      <w:r w:rsidRPr="00911998">
        <w:rPr>
          <w:b/>
          <w:bCs/>
          <w:lang w:val="fr-FR"/>
        </w:rPr>
        <w:t>* * * *</w:t>
      </w:r>
    </w:p>
    <w:p w14:paraId="57ED5BEE" w14:textId="25F4ED97" w:rsidR="00121A72" w:rsidRPr="00911998" w:rsidRDefault="00656E00" w:rsidP="00D26929">
      <w:pPr>
        <w:pStyle w:val="Titre2"/>
        <w:numPr>
          <w:ilvl w:val="0"/>
          <w:numId w:val="0"/>
        </w:numPr>
      </w:pPr>
      <w:bookmarkStart w:id="0" w:name="_Toc196463716"/>
      <w:r w:rsidRPr="00911998">
        <w:t>INTRODUCTION</w:t>
      </w:r>
      <w:bookmarkEnd w:id="0"/>
    </w:p>
    <w:p w14:paraId="57CCCFA6" w14:textId="7A91DC2A" w:rsidR="00732886" w:rsidRPr="00911998" w:rsidRDefault="009B5F2C" w:rsidP="001D22E9">
      <w:pPr>
        <w:pStyle w:val="Paragrsimple"/>
        <w:tabs>
          <w:tab w:val="clear" w:pos="360"/>
        </w:tabs>
      </w:pPr>
      <w:r w:rsidRPr="00911998">
        <w:t>Sur le plan j</w:t>
      </w:r>
      <w:r w:rsidR="00732886" w:rsidRPr="00911998">
        <w:t xml:space="preserve">uridique, un enfant peut-il avoir plus </w:t>
      </w:r>
      <w:r w:rsidR="00361FA3" w:rsidRPr="00911998">
        <w:t xml:space="preserve">de </w:t>
      </w:r>
      <w:r w:rsidR="00732886" w:rsidRPr="00911998">
        <w:t>deux parents</w:t>
      </w:r>
      <w:r w:rsidR="006D591E" w:rsidRPr="00911998">
        <w:t> </w:t>
      </w:r>
      <w:r w:rsidR="00732886" w:rsidRPr="00911998">
        <w:t xml:space="preserve">? </w:t>
      </w:r>
    </w:p>
    <w:p w14:paraId="47EC9A31" w14:textId="40A91CE9" w:rsidR="00CE1CAF" w:rsidRPr="00911998" w:rsidRDefault="00732886" w:rsidP="001D22E9">
      <w:pPr>
        <w:pStyle w:val="Paragrsimple"/>
        <w:tabs>
          <w:tab w:val="clear" w:pos="360"/>
        </w:tabs>
      </w:pPr>
      <w:r w:rsidRPr="00911998">
        <w:t xml:space="preserve">Voilà, exprimée d’une </w:t>
      </w:r>
      <w:r w:rsidR="00F33CA0" w:rsidRPr="00911998">
        <w:t>manière presque simpliste</w:t>
      </w:r>
      <w:r w:rsidRPr="00911998">
        <w:t>, la question</w:t>
      </w:r>
      <w:r w:rsidR="00F33CA0" w:rsidRPr="00911998">
        <w:t xml:space="preserve"> par ailleurs</w:t>
      </w:r>
      <w:r w:rsidRPr="00911998">
        <w:t xml:space="preserve"> fort complexe soumise au Tribunal.</w:t>
      </w:r>
    </w:p>
    <w:p w14:paraId="2A34D163" w14:textId="59E87A72" w:rsidR="00732886" w:rsidRPr="00911998" w:rsidRDefault="00A152A2" w:rsidP="00732886">
      <w:pPr>
        <w:pStyle w:val="Paragrsimple"/>
        <w:tabs>
          <w:tab w:val="clear" w:pos="360"/>
        </w:tabs>
      </w:pPr>
      <w:r w:rsidRPr="00911998">
        <w:t>Traditio</w:t>
      </w:r>
      <w:r w:rsidR="00732886" w:rsidRPr="00911998">
        <w:t xml:space="preserve">nnellement, cette question recevait une réponse </w:t>
      </w:r>
      <w:r w:rsidR="00C54D2D" w:rsidRPr="00911998">
        <w:t>formell</w:t>
      </w:r>
      <w:r w:rsidR="00256FFC" w:rsidRPr="00911998">
        <w:t>e</w:t>
      </w:r>
      <w:r w:rsidR="00732886" w:rsidRPr="00911998">
        <w:t xml:space="preserve"> et négative en droit québécois. Le modèle familial sur lequel </w:t>
      </w:r>
      <w:r w:rsidR="00C54D2D" w:rsidRPr="00911998">
        <w:t>notre</w:t>
      </w:r>
      <w:r w:rsidR="00732886" w:rsidRPr="00911998">
        <w:t xml:space="preserve"> droit de la filiation </w:t>
      </w:r>
      <w:r w:rsidR="00AF3CCA" w:rsidRPr="00911998">
        <w:t>était construit</w:t>
      </w:r>
      <w:r w:rsidR="000471BD" w:rsidRPr="00911998">
        <w:t xml:space="preserve"> consist</w:t>
      </w:r>
      <w:r w:rsidR="00AF3CCA" w:rsidRPr="00911998">
        <w:t xml:space="preserve">ait </w:t>
      </w:r>
      <w:r w:rsidR="00C54D2D" w:rsidRPr="00911998">
        <w:t xml:space="preserve">en </w:t>
      </w:r>
      <w:r w:rsidR="000471BD" w:rsidRPr="00911998">
        <w:t xml:space="preserve">un </w:t>
      </w:r>
      <w:r w:rsidR="00C54D2D" w:rsidRPr="00911998">
        <w:t xml:space="preserve">couple marié, </w:t>
      </w:r>
      <w:r w:rsidR="00361FA3" w:rsidRPr="00911998">
        <w:t xml:space="preserve">formé de personnes </w:t>
      </w:r>
      <w:r w:rsidR="00C54D2D" w:rsidRPr="00911998">
        <w:t>de sexe opposé,</w:t>
      </w:r>
      <w:r w:rsidR="00C164E2" w:rsidRPr="00911998">
        <w:t xml:space="preserve"> qui</w:t>
      </w:r>
      <w:r w:rsidR="000471BD" w:rsidRPr="00911998">
        <w:t xml:space="preserve"> </w:t>
      </w:r>
      <w:r w:rsidR="00AF3CCA" w:rsidRPr="00911998">
        <w:t>était</w:t>
      </w:r>
      <w:r w:rsidR="000471BD" w:rsidRPr="00911998">
        <w:t xml:space="preserve"> les parents biologiques des enfants issus de leur mariage.</w:t>
      </w:r>
    </w:p>
    <w:p w14:paraId="760BF468" w14:textId="79F9740C" w:rsidR="00AB582D" w:rsidRPr="00911998" w:rsidRDefault="000471BD" w:rsidP="000471BD">
      <w:pPr>
        <w:pStyle w:val="Paragrsimple"/>
        <w:tabs>
          <w:tab w:val="clear" w:pos="360"/>
        </w:tabs>
      </w:pPr>
      <w:r w:rsidRPr="00911998">
        <w:lastRenderedPageBreak/>
        <w:t xml:space="preserve">Or, </w:t>
      </w:r>
      <w:r w:rsidR="00C54D2D" w:rsidRPr="00911998">
        <w:t>c</w:t>
      </w:r>
      <w:r w:rsidRPr="00911998">
        <w:t xml:space="preserve">e modèle de la famille traditionnelle </w:t>
      </w:r>
      <w:r w:rsidR="006D591E" w:rsidRPr="00911998">
        <w:t>—</w:t>
      </w:r>
      <w:r w:rsidRPr="00911998">
        <w:t xml:space="preserve"> aussi répandu </w:t>
      </w:r>
      <w:r w:rsidR="00C54D2D" w:rsidRPr="00911998">
        <w:t xml:space="preserve">soit-il </w:t>
      </w:r>
      <w:r w:rsidRPr="00911998">
        <w:t xml:space="preserve">ici et </w:t>
      </w:r>
      <w:r w:rsidR="00C54D2D" w:rsidRPr="00911998">
        <w:t>ailleurs</w:t>
      </w:r>
      <w:r w:rsidRPr="00911998">
        <w:t xml:space="preserve"> en </w:t>
      </w:r>
      <w:r w:rsidR="009B5F2C" w:rsidRPr="00911998">
        <w:t>O</w:t>
      </w:r>
      <w:r w:rsidR="00C54D2D" w:rsidRPr="00911998">
        <w:t>ccident</w:t>
      </w:r>
      <w:r w:rsidRPr="00911998">
        <w:t xml:space="preserve"> </w:t>
      </w:r>
      <w:r w:rsidR="006D591E" w:rsidRPr="00911998">
        <w:t>—</w:t>
      </w:r>
      <w:r w:rsidRPr="00911998">
        <w:t xml:space="preserve"> demeure un modèle. Il n’est pas universellement adopté et ne l’a jamais été. </w:t>
      </w:r>
      <w:r w:rsidR="00F757B8" w:rsidRPr="00911998">
        <w:t>Par exemple, i</w:t>
      </w:r>
      <w:r w:rsidRPr="00911998">
        <w:t>l y a toujours eu des enfants nés hors mariage</w:t>
      </w:r>
      <w:r w:rsidR="00AB582D" w:rsidRPr="00911998">
        <w:t> :</w:t>
      </w:r>
      <w:r w:rsidRPr="00911998">
        <w:t xml:space="preserve"> les dispositions du </w:t>
      </w:r>
      <w:r w:rsidRPr="00911998">
        <w:rPr>
          <w:i/>
          <w:iCs/>
        </w:rPr>
        <w:t>Code civil du Bas</w:t>
      </w:r>
      <w:r w:rsidRPr="00911998">
        <w:rPr>
          <w:i/>
          <w:iCs/>
        </w:rPr>
        <w:noBreakHyphen/>
        <w:t>Canada</w:t>
      </w:r>
      <w:r w:rsidRPr="00911998">
        <w:t xml:space="preserve"> sur les enfants dits «</w:t>
      </w:r>
      <w:r w:rsidR="006D591E" w:rsidRPr="00911998">
        <w:t> </w:t>
      </w:r>
      <w:r w:rsidRPr="00911998">
        <w:t>naturels</w:t>
      </w:r>
      <w:r w:rsidR="006D591E" w:rsidRPr="00911998">
        <w:t> </w:t>
      </w:r>
      <w:r w:rsidRPr="00911998">
        <w:t>»</w:t>
      </w:r>
      <w:r w:rsidR="006D591E" w:rsidRPr="00911998">
        <w:t xml:space="preserve"> l’illustrent</w:t>
      </w:r>
      <w:r w:rsidR="00AB582D" w:rsidRPr="00911998">
        <w:rPr>
          <w:rStyle w:val="Appelnotedebasdep"/>
        </w:rPr>
        <w:footnoteReference w:id="1"/>
      </w:r>
      <w:r w:rsidRPr="00911998">
        <w:t>.</w:t>
      </w:r>
    </w:p>
    <w:p w14:paraId="54DB4926" w14:textId="256DBCCA" w:rsidR="000471BD" w:rsidRPr="00911998" w:rsidRDefault="00F757B8" w:rsidP="000471BD">
      <w:pPr>
        <w:pStyle w:val="Paragrsimple"/>
        <w:tabs>
          <w:tab w:val="clear" w:pos="360"/>
        </w:tabs>
      </w:pPr>
      <w:r w:rsidRPr="00911998">
        <w:t>D</w:t>
      </w:r>
      <w:r w:rsidR="00AB582D" w:rsidRPr="00911998">
        <w:t xml:space="preserve">epuis la </w:t>
      </w:r>
      <w:r w:rsidR="006D591E" w:rsidRPr="00911998">
        <w:t>Révolution</w:t>
      </w:r>
      <w:r w:rsidR="00AB582D" w:rsidRPr="00911998">
        <w:t xml:space="preserve"> tranquille, </w:t>
      </w:r>
      <w:r w:rsidR="00C54D2D" w:rsidRPr="00911998">
        <w:t>l</w:t>
      </w:r>
      <w:r w:rsidR="00AB582D" w:rsidRPr="00911998">
        <w:t xml:space="preserve">e modèle familial </w:t>
      </w:r>
      <w:r w:rsidR="009E19FA" w:rsidRPr="00911998">
        <w:t xml:space="preserve">traditionnel </w:t>
      </w:r>
      <w:r w:rsidR="000E5BE0" w:rsidRPr="00911998">
        <w:t>a perdu d</w:t>
      </w:r>
      <w:r w:rsidR="00361FA3" w:rsidRPr="00911998">
        <w:t>e l</w:t>
      </w:r>
      <w:r w:rsidR="000E5BE0" w:rsidRPr="00911998">
        <w:t>’importance</w:t>
      </w:r>
      <w:r w:rsidR="00AB582D" w:rsidRPr="00911998">
        <w:t xml:space="preserve"> au Québec. Très nombreux sont </w:t>
      </w:r>
      <w:r w:rsidR="00C54D2D" w:rsidRPr="00911998">
        <w:t xml:space="preserve">les </w:t>
      </w:r>
      <w:r w:rsidR="006D591E" w:rsidRPr="00911998">
        <w:t>Québécois</w:t>
      </w:r>
      <w:r w:rsidR="00C54D2D" w:rsidRPr="00911998">
        <w:t xml:space="preserve"> </w:t>
      </w:r>
      <w:r w:rsidR="00642306" w:rsidRPr="00911998">
        <w:t xml:space="preserve">qui </w:t>
      </w:r>
      <w:r w:rsidR="00C54D2D" w:rsidRPr="00911998">
        <w:t>viv</w:t>
      </w:r>
      <w:r w:rsidR="00642306" w:rsidRPr="00911998">
        <w:t>e</w:t>
      </w:r>
      <w:r w:rsidR="00C54D2D" w:rsidRPr="00911998">
        <w:t>nt</w:t>
      </w:r>
      <w:r w:rsidR="00AB582D" w:rsidRPr="00911998">
        <w:t xml:space="preserve"> </w:t>
      </w:r>
      <w:r w:rsidR="00C54D2D" w:rsidRPr="00911998">
        <w:t xml:space="preserve">et </w:t>
      </w:r>
      <w:r w:rsidR="00C34E15" w:rsidRPr="00911998">
        <w:t>élèvent</w:t>
      </w:r>
      <w:r w:rsidR="00C54D2D" w:rsidRPr="00911998">
        <w:t xml:space="preserve"> des enfants </w:t>
      </w:r>
      <w:r w:rsidR="00AB582D" w:rsidRPr="00911998">
        <w:t>en union libre</w:t>
      </w:r>
      <w:r w:rsidR="00B57F48" w:rsidRPr="00911998">
        <w:t xml:space="preserve"> </w:t>
      </w:r>
      <w:r w:rsidR="00642306" w:rsidRPr="00911998">
        <w:t>en tant que</w:t>
      </w:r>
      <w:r w:rsidR="00B57F48" w:rsidRPr="00911998">
        <w:t xml:space="preserve"> conjoints de fait. De plus, le phénomène de la monoparentalité</w:t>
      </w:r>
      <w:r w:rsidR="00AB582D" w:rsidRPr="00911998">
        <w:t xml:space="preserve"> </w:t>
      </w:r>
      <w:r w:rsidR="00B57F48" w:rsidRPr="00911998">
        <w:t xml:space="preserve">est </w:t>
      </w:r>
      <w:r w:rsidR="00D0341B" w:rsidRPr="00911998">
        <w:t xml:space="preserve">maintenant </w:t>
      </w:r>
      <w:r w:rsidR="00C25DEE" w:rsidRPr="00911998">
        <w:t xml:space="preserve">bien </w:t>
      </w:r>
      <w:r w:rsidR="00D0341B" w:rsidRPr="00911998">
        <w:t>connu</w:t>
      </w:r>
      <w:r w:rsidR="00B57F48" w:rsidRPr="00911998">
        <w:t xml:space="preserve"> </w:t>
      </w:r>
      <w:r w:rsidR="00642306" w:rsidRPr="00911998">
        <w:t>dans</w:t>
      </w:r>
      <w:r w:rsidR="00B57F48" w:rsidRPr="00911998">
        <w:t xml:space="preserve"> notre société.</w:t>
      </w:r>
    </w:p>
    <w:p w14:paraId="3D92DF1B" w14:textId="6B6CA6AB" w:rsidR="00B57F48" w:rsidRPr="00911998" w:rsidRDefault="009E19FA" w:rsidP="00B57F48">
      <w:pPr>
        <w:pStyle w:val="Paragrsimple"/>
        <w:tabs>
          <w:tab w:val="clear" w:pos="360"/>
        </w:tabs>
      </w:pPr>
      <w:r w:rsidRPr="00911998">
        <w:t>L</w:t>
      </w:r>
      <w:r w:rsidR="00C54D2D" w:rsidRPr="00911998">
        <w:t>’homoparentalité existe également. D</w:t>
      </w:r>
      <w:r w:rsidR="00B57F48" w:rsidRPr="00911998">
        <w:t>es couples de même sexe, mariés</w:t>
      </w:r>
      <w:r w:rsidR="00C90B5A" w:rsidRPr="00911998">
        <w:rPr>
          <w:rStyle w:val="Appelnotedebasdep"/>
        </w:rPr>
        <w:footnoteReference w:id="2"/>
      </w:r>
      <w:r w:rsidR="00B57F48" w:rsidRPr="00911998">
        <w:t xml:space="preserve"> ou non, élèvent des enfants qu’ils </w:t>
      </w:r>
      <w:r w:rsidR="0066587A" w:rsidRPr="00911998">
        <w:t xml:space="preserve">ont </w:t>
      </w:r>
      <w:r w:rsidR="00B57F48" w:rsidRPr="00911998">
        <w:t>adopt</w:t>
      </w:r>
      <w:r w:rsidR="0066587A" w:rsidRPr="00911998">
        <w:t>és</w:t>
      </w:r>
      <w:r w:rsidR="00B57F48" w:rsidRPr="00911998">
        <w:t xml:space="preserve"> ou qu</w:t>
      </w:r>
      <w:r w:rsidR="00D0341B" w:rsidRPr="00911998">
        <w:t xml:space="preserve">i </w:t>
      </w:r>
      <w:r w:rsidR="0066587A" w:rsidRPr="00911998">
        <w:t>sont issus</w:t>
      </w:r>
      <w:r w:rsidR="00D0341B" w:rsidRPr="00911998">
        <w:t xml:space="preserve"> d’une procréation assistée. </w:t>
      </w:r>
    </w:p>
    <w:p w14:paraId="6486C61C" w14:textId="71F3CE18" w:rsidR="00D0341B" w:rsidRPr="00911998" w:rsidRDefault="00256FFC" w:rsidP="00D0341B">
      <w:pPr>
        <w:pStyle w:val="Paragrsimple"/>
        <w:tabs>
          <w:tab w:val="clear" w:pos="360"/>
        </w:tabs>
      </w:pPr>
      <w:r w:rsidRPr="00911998">
        <w:t>D</w:t>
      </w:r>
      <w:r w:rsidR="009E615C" w:rsidRPr="00911998">
        <w:t xml:space="preserve">epuis 1980, le droit québécois de la filiation a évolué </w:t>
      </w:r>
      <w:r w:rsidR="008262AA" w:rsidRPr="00911998">
        <w:t>pour</w:t>
      </w:r>
      <w:r w:rsidR="009E615C" w:rsidRPr="00911998">
        <w:t xml:space="preserve"> </w:t>
      </w:r>
      <w:r w:rsidR="006D591E" w:rsidRPr="00911998">
        <w:t>reconnaître</w:t>
      </w:r>
      <w:r w:rsidR="009E615C" w:rsidRPr="00911998">
        <w:t xml:space="preserve"> la validité de </w:t>
      </w:r>
      <w:r w:rsidR="00C25DEE" w:rsidRPr="00911998">
        <w:t>c</w:t>
      </w:r>
      <w:r w:rsidR="009E615C" w:rsidRPr="00911998">
        <w:t>es divers modèles familiaux. Pourtant, un aspect</w:t>
      </w:r>
      <w:r w:rsidR="009247AC" w:rsidRPr="00911998">
        <w:t xml:space="preserve"> d</w:t>
      </w:r>
      <w:r w:rsidR="009E615C" w:rsidRPr="00911998">
        <w:t xml:space="preserve">u modèle </w:t>
      </w:r>
      <w:r w:rsidRPr="00911998">
        <w:t xml:space="preserve">familial traditionnel </w:t>
      </w:r>
      <w:r w:rsidR="006D591E" w:rsidRPr="00911998">
        <w:t>—</w:t>
      </w:r>
      <w:r w:rsidR="00F532DE" w:rsidRPr="00911998">
        <w:t xml:space="preserve"> l’idée qu’un enfant ne peut avoir plus </w:t>
      </w:r>
      <w:r w:rsidR="008262AA" w:rsidRPr="00911998">
        <w:t>d</w:t>
      </w:r>
      <w:r w:rsidR="00F532DE" w:rsidRPr="00911998">
        <w:t xml:space="preserve">e deux parents </w:t>
      </w:r>
      <w:r w:rsidR="006D591E" w:rsidRPr="00911998">
        <w:t>—</w:t>
      </w:r>
      <w:r w:rsidR="00F532DE" w:rsidRPr="00911998">
        <w:t xml:space="preserve"> </w:t>
      </w:r>
      <w:r w:rsidR="009E615C" w:rsidRPr="00911998">
        <w:t>demeure</w:t>
      </w:r>
      <w:r w:rsidR="00A152A2" w:rsidRPr="00911998">
        <w:t xml:space="preserve"> </w:t>
      </w:r>
      <w:r w:rsidR="006D591E" w:rsidRPr="00911998">
        <w:t>ancré,</w:t>
      </w:r>
      <w:r w:rsidRPr="00911998">
        <w:t xml:space="preserve"> </w:t>
      </w:r>
      <w:r w:rsidR="00C54D2D" w:rsidRPr="00911998">
        <w:t>semble</w:t>
      </w:r>
      <w:r w:rsidR="00C54D2D" w:rsidRPr="00911998">
        <w:noBreakHyphen/>
        <w:t>t</w:t>
      </w:r>
      <w:r w:rsidR="006D591E" w:rsidRPr="00911998">
        <w:noBreakHyphen/>
        <w:t>il,</w:t>
      </w:r>
      <w:r w:rsidR="00C54D2D" w:rsidRPr="00911998">
        <w:t xml:space="preserve"> </w:t>
      </w:r>
      <w:r w:rsidRPr="00911998">
        <w:t xml:space="preserve">dans le droit de la filiation. </w:t>
      </w:r>
    </w:p>
    <w:p w14:paraId="59CFA797" w14:textId="2A04292D" w:rsidR="00C34E15" w:rsidRPr="00911998" w:rsidRDefault="00665857" w:rsidP="0013775E">
      <w:pPr>
        <w:pStyle w:val="Paragrsimple"/>
        <w:tabs>
          <w:tab w:val="clear" w:pos="360"/>
        </w:tabs>
      </w:pPr>
      <w:r w:rsidRPr="00911998">
        <w:t>Mais</w:t>
      </w:r>
      <w:r w:rsidR="00F532DE" w:rsidRPr="00911998">
        <w:t>, comme pour les autres aspects du modèle familial traditionnel,</w:t>
      </w:r>
      <w:r w:rsidRPr="00911998">
        <w:t xml:space="preserve"> il n’</w:t>
      </w:r>
      <w:r w:rsidR="00C25DEE" w:rsidRPr="00911998">
        <w:t xml:space="preserve">en </w:t>
      </w:r>
      <w:r w:rsidRPr="00911998">
        <w:t xml:space="preserve">est pas nécessairement ainsi. </w:t>
      </w:r>
      <w:r w:rsidR="00C54D2D" w:rsidRPr="00911998">
        <w:t xml:space="preserve">Il existe des familles dans lesquelles </w:t>
      </w:r>
      <w:r w:rsidR="00F532DE" w:rsidRPr="00911998">
        <w:rPr>
          <w:rFonts w:cs="Arial"/>
        </w:rPr>
        <w:t xml:space="preserve">plus </w:t>
      </w:r>
      <w:r w:rsidR="008262AA" w:rsidRPr="00911998">
        <w:rPr>
          <w:rFonts w:cs="Arial"/>
        </w:rPr>
        <w:t>d</w:t>
      </w:r>
      <w:r w:rsidR="00F532DE" w:rsidRPr="00911998">
        <w:rPr>
          <w:rFonts w:cs="Arial"/>
        </w:rPr>
        <w:t>e deux personnes agissent comme</w:t>
      </w:r>
      <w:r w:rsidR="00ED1E8B" w:rsidRPr="00911998">
        <w:rPr>
          <w:rFonts w:cs="Arial"/>
        </w:rPr>
        <w:t xml:space="preserve"> parents,</w:t>
      </w:r>
      <w:r w:rsidR="00F532DE" w:rsidRPr="00911998">
        <w:rPr>
          <w:rFonts w:cs="Arial"/>
        </w:rPr>
        <w:t xml:space="preserve"> et sont les parents</w:t>
      </w:r>
      <w:r w:rsidR="00ED1E8B" w:rsidRPr="00911998">
        <w:rPr>
          <w:rFonts w:cs="Arial"/>
        </w:rPr>
        <w:t>,</w:t>
      </w:r>
      <w:r w:rsidR="00F532DE" w:rsidRPr="00911998">
        <w:rPr>
          <w:rFonts w:cs="Arial"/>
        </w:rPr>
        <w:t xml:space="preserve"> d’un ou de plusieurs enfants.</w:t>
      </w:r>
      <w:r w:rsidR="00C54D2D" w:rsidRPr="00911998">
        <w:rPr>
          <w:rFonts w:cs="Arial"/>
        </w:rPr>
        <w:t xml:space="preserve"> </w:t>
      </w:r>
      <w:r w:rsidR="00C25DEE" w:rsidRPr="00911998">
        <w:rPr>
          <w:rFonts w:cs="Arial"/>
        </w:rPr>
        <w:t>Ce sont</w:t>
      </w:r>
      <w:r w:rsidR="009E19FA" w:rsidRPr="00911998">
        <w:rPr>
          <w:rFonts w:cs="Arial"/>
        </w:rPr>
        <w:t xml:space="preserve"> de</w:t>
      </w:r>
      <w:r w:rsidR="00C25DEE" w:rsidRPr="00911998">
        <w:rPr>
          <w:rFonts w:cs="Arial"/>
        </w:rPr>
        <w:t>s</w:t>
      </w:r>
      <w:r w:rsidR="00C54D2D" w:rsidRPr="00911998">
        <w:rPr>
          <w:rFonts w:cs="Arial"/>
        </w:rPr>
        <w:t xml:space="preserve"> familles </w:t>
      </w:r>
      <w:proofErr w:type="spellStart"/>
      <w:r w:rsidR="00C54D2D" w:rsidRPr="00911998">
        <w:rPr>
          <w:rFonts w:cs="Arial"/>
        </w:rPr>
        <w:t>pluriparentales</w:t>
      </w:r>
      <w:proofErr w:type="spellEnd"/>
      <w:r w:rsidR="000E2647" w:rsidRPr="00911998">
        <w:rPr>
          <w:rStyle w:val="Appelnotedebasdep"/>
        </w:rPr>
        <w:footnoteReference w:id="3"/>
      </w:r>
      <w:r w:rsidR="00C34E15" w:rsidRPr="00911998">
        <w:rPr>
          <w:rFonts w:cs="Arial"/>
        </w:rPr>
        <w:t>.</w:t>
      </w:r>
    </w:p>
    <w:p w14:paraId="26461AE6" w14:textId="73F3C09A" w:rsidR="00C54D2D" w:rsidRPr="00911998" w:rsidRDefault="00C34E15" w:rsidP="007629AC">
      <w:pPr>
        <w:pStyle w:val="Paragrsimple"/>
        <w:tabs>
          <w:tab w:val="clear" w:pos="360"/>
        </w:tabs>
      </w:pPr>
      <w:r w:rsidRPr="00911998">
        <w:rPr>
          <w:rFonts w:cs="Arial"/>
        </w:rPr>
        <w:t xml:space="preserve">Ailleurs, le droit a évolué pour </w:t>
      </w:r>
      <w:r w:rsidR="000E2647" w:rsidRPr="00911998">
        <w:rPr>
          <w:rFonts w:cs="Arial"/>
        </w:rPr>
        <w:t>refléter</w:t>
      </w:r>
      <w:r w:rsidRPr="00911998">
        <w:rPr>
          <w:rFonts w:cs="Arial"/>
        </w:rPr>
        <w:t xml:space="preserve"> la réalité de ces familles. </w:t>
      </w:r>
      <w:r w:rsidR="00C164E2" w:rsidRPr="00911998">
        <w:rPr>
          <w:rFonts w:cs="Arial"/>
        </w:rPr>
        <w:t xml:space="preserve">À ce </w:t>
      </w:r>
      <w:r w:rsidR="00C54D2D" w:rsidRPr="00911998">
        <w:rPr>
          <w:rFonts w:cs="Arial"/>
        </w:rPr>
        <w:t>chapitre</w:t>
      </w:r>
      <w:r w:rsidR="00C164E2" w:rsidRPr="00911998">
        <w:rPr>
          <w:rFonts w:cs="Arial"/>
        </w:rPr>
        <w:t xml:space="preserve">, </w:t>
      </w:r>
      <w:r w:rsidR="00C54D2D" w:rsidRPr="00911998">
        <w:rPr>
          <w:rFonts w:cs="Arial"/>
        </w:rPr>
        <w:t xml:space="preserve">la législation </w:t>
      </w:r>
      <w:r w:rsidR="00C164E2" w:rsidRPr="00911998">
        <w:rPr>
          <w:rFonts w:cs="Arial"/>
        </w:rPr>
        <w:t>d</w:t>
      </w:r>
      <w:r w:rsidR="00D31154" w:rsidRPr="00911998">
        <w:t>e</w:t>
      </w:r>
      <w:r w:rsidR="00445B03" w:rsidRPr="00911998">
        <w:t xml:space="preserve"> quatre ressorts canadiens</w:t>
      </w:r>
      <w:r w:rsidR="00B42F66" w:rsidRPr="00911998">
        <w:rPr>
          <w:rStyle w:val="Appelnotedebasdep"/>
        </w:rPr>
        <w:footnoteReference w:id="4"/>
      </w:r>
      <w:r w:rsidR="00445B03" w:rsidRPr="00911998">
        <w:t xml:space="preserve"> et </w:t>
      </w:r>
      <w:r w:rsidR="00D31154" w:rsidRPr="00911998">
        <w:t xml:space="preserve">de </w:t>
      </w:r>
      <w:r w:rsidR="00445B03" w:rsidRPr="00911998">
        <w:t xml:space="preserve">certains </w:t>
      </w:r>
      <w:r w:rsidR="00D31154" w:rsidRPr="00911998">
        <w:t>É</w:t>
      </w:r>
      <w:r w:rsidR="00445B03" w:rsidRPr="00911998">
        <w:t>tats américains</w:t>
      </w:r>
      <w:r w:rsidR="001D22E9" w:rsidRPr="00911998">
        <w:rPr>
          <w:rStyle w:val="Appelnotedebasdep"/>
        </w:rPr>
        <w:footnoteReference w:id="5"/>
      </w:r>
      <w:r w:rsidR="00445B03" w:rsidRPr="00911998">
        <w:t xml:space="preserve"> permet</w:t>
      </w:r>
      <w:r w:rsidR="00B42F66" w:rsidRPr="00911998">
        <w:t xml:space="preserve"> explicitement</w:t>
      </w:r>
      <w:r w:rsidR="00445B03" w:rsidRPr="00911998">
        <w:t xml:space="preserve"> la reconnaissance légale de plus </w:t>
      </w:r>
      <w:r w:rsidR="00D31154" w:rsidRPr="00911998">
        <w:t>d</w:t>
      </w:r>
      <w:r w:rsidR="00445B03" w:rsidRPr="00911998">
        <w:t xml:space="preserve">e deux parents. </w:t>
      </w:r>
    </w:p>
    <w:p w14:paraId="4B895D25" w14:textId="62E4649D" w:rsidR="00665857" w:rsidRPr="00911998" w:rsidRDefault="00665857" w:rsidP="00DD17AC">
      <w:pPr>
        <w:pStyle w:val="Paragrsimple"/>
        <w:tabs>
          <w:tab w:val="clear" w:pos="360"/>
        </w:tabs>
      </w:pPr>
      <w:r w:rsidRPr="00911998">
        <w:t xml:space="preserve">En outre, les tribunaux de </w:t>
      </w:r>
      <w:r w:rsidR="007E7FF4" w:rsidRPr="00911998">
        <w:t>trois</w:t>
      </w:r>
      <w:r w:rsidRPr="00911998">
        <w:t xml:space="preserve"> provinces </w:t>
      </w:r>
      <w:r w:rsidR="001D22E9" w:rsidRPr="00911998">
        <w:t>canadiennes</w:t>
      </w:r>
      <w:r w:rsidRPr="00911998">
        <w:t xml:space="preserve"> </w:t>
      </w:r>
      <w:r w:rsidR="006D591E" w:rsidRPr="00911998">
        <w:t>—</w:t>
      </w:r>
      <w:r w:rsidR="00CC37C7" w:rsidRPr="00911998">
        <w:t xml:space="preserve"> </w:t>
      </w:r>
      <w:r w:rsidR="007E7FF4" w:rsidRPr="00911998">
        <w:t xml:space="preserve">Ontario, </w:t>
      </w:r>
      <w:r w:rsidRPr="00911998">
        <w:t>Terre</w:t>
      </w:r>
      <w:r w:rsidR="00CC37C7" w:rsidRPr="00911998">
        <w:t>-Neuve-</w:t>
      </w:r>
      <w:r w:rsidRPr="00911998">
        <w:t>et</w:t>
      </w:r>
      <w:r w:rsidR="00CC37C7" w:rsidRPr="00911998">
        <w:t>-</w:t>
      </w:r>
      <w:r w:rsidRPr="00911998">
        <w:t xml:space="preserve">Labrador </w:t>
      </w:r>
      <w:r w:rsidR="001D22E9" w:rsidRPr="00911998">
        <w:t>et</w:t>
      </w:r>
      <w:r w:rsidRPr="00911998">
        <w:t xml:space="preserve"> la Colombie</w:t>
      </w:r>
      <w:r w:rsidRPr="00911998">
        <w:noBreakHyphen/>
        <w:t xml:space="preserve">Britannique </w:t>
      </w:r>
      <w:r w:rsidR="006D591E" w:rsidRPr="00911998">
        <w:t>—</w:t>
      </w:r>
      <w:r w:rsidRPr="00911998">
        <w:t xml:space="preserve"> ont exercé leur compétence </w:t>
      </w:r>
      <w:proofErr w:type="spellStart"/>
      <w:r w:rsidRPr="00911998">
        <w:rPr>
          <w:i/>
          <w:iCs/>
        </w:rPr>
        <w:t>parens</w:t>
      </w:r>
      <w:proofErr w:type="spellEnd"/>
      <w:r w:rsidRPr="00911998">
        <w:rPr>
          <w:i/>
          <w:iCs/>
        </w:rPr>
        <w:t xml:space="preserve"> </w:t>
      </w:r>
      <w:proofErr w:type="spellStart"/>
      <w:r w:rsidRPr="00911998">
        <w:rPr>
          <w:i/>
          <w:iCs/>
        </w:rPr>
        <w:t>patriae</w:t>
      </w:r>
      <w:proofErr w:type="spellEnd"/>
      <w:r w:rsidRPr="00911998">
        <w:t xml:space="preserve"> afin de combler une lacune dans la législation provinciale et de prononcer des déclarations </w:t>
      </w:r>
      <w:r w:rsidR="00C54D2D" w:rsidRPr="00911998">
        <w:t>reconnaissant</w:t>
      </w:r>
      <w:r w:rsidRPr="00911998">
        <w:t xml:space="preserve"> que </w:t>
      </w:r>
      <w:r w:rsidR="001D22E9" w:rsidRPr="00911998">
        <w:t>de</w:t>
      </w:r>
      <w:r w:rsidR="007E7FF4" w:rsidRPr="00911998">
        <w:t>s</w:t>
      </w:r>
      <w:r w:rsidR="001D22E9" w:rsidRPr="00911998">
        <w:t xml:space="preserve"> e</w:t>
      </w:r>
      <w:r w:rsidRPr="00911998">
        <w:t>nfants</w:t>
      </w:r>
      <w:r w:rsidR="001D22E9" w:rsidRPr="00911998">
        <w:t xml:space="preserve"> évoluant </w:t>
      </w:r>
      <w:r w:rsidR="00361FA3" w:rsidRPr="00911998">
        <w:t>au sein de</w:t>
      </w:r>
      <w:r w:rsidR="001D22E9" w:rsidRPr="00911998">
        <w:t xml:space="preserve"> familles </w:t>
      </w:r>
      <w:proofErr w:type="spellStart"/>
      <w:r w:rsidR="007E7FF4" w:rsidRPr="00911998">
        <w:t>triparentales</w:t>
      </w:r>
      <w:proofErr w:type="spellEnd"/>
      <w:r w:rsidR="001D22E9" w:rsidRPr="00911998">
        <w:t xml:space="preserve"> </w:t>
      </w:r>
      <w:r w:rsidRPr="00911998">
        <w:lastRenderedPageBreak/>
        <w:t>avaient chacun trois parents</w:t>
      </w:r>
      <w:r w:rsidR="00807465" w:rsidRPr="00911998">
        <w:rPr>
          <w:rStyle w:val="Appelnotedebasdep"/>
        </w:rPr>
        <w:footnoteReference w:id="6"/>
      </w:r>
      <w:r w:rsidRPr="00911998">
        <w:t xml:space="preserve">. Dans </w:t>
      </w:r>
      <w:r w:rsidR="000E2647" w:rsidRPr="00911998">
        <w:t>ces affaires</w:t>
      </w:r>
      <w:r w:rsidRPr="00911998">
        <w:t xml:space="preserve">, les juges saisis de la question avaient conclu que cette reconnaissance était dans </w:t>
      </w:r>
      <w:r w:rsidR="00807465" w:rsidRPr="00911998">
        <w:t>l’</w:t>
      </w:r>
      <w:r w:rsidRPr="00911998">
        <w:t>intérêt de</w:t>
      </w:r>
      <w:r w:rsidR="001D22E9" w:rsidRPr="00911998">
        <w:t>s</w:t>
      </w:r>
      <w:r w:rsidRPr="00911998">
        <w:t xml:space="preserve"> enfant</w:t>
      </w:r>
      <w:r w:rsidR="001D22E9" w:rsidRPr="00911998">
        <w:t>s</w:t>
      </w:r>
      <w:r w:rsidR="00807465" w:rsidRPr="00911998">
        <w:t xml:space="preserve"> en cause.</w:t>
      </w:r>
    </w:p>
    <w:p w14:paraId="4744401A" w14:textId="18B57296" w:rsidR="00656E00" w:rsidRPr="00911998" w:rsidRDefault="002974FD" w:rsidP="00DA43DD">
      <w:pPr>
        <w:pStyle w:val="Paragrsimple"/>
        <w:tabs>
          <w:tab w:val="clear" w:pos="360"/>
        </w:tabs>
        <w:rPr>
          <w:rFonts w:cs="Arial"/>
        </w:rPr>
      </w:pPr>
      <w:r w:rsidRPr="00911998">
        <w:t xml:space="preserve">Ne pouvant invoquer </w:t>
      </w:r>
      <w:r w:rsidR="001D22E9" w:rsidRPr="00911998">
        <w:t xml:space="preserve">une telle </w:t>
      </w:r>
      <w:r w:rsidR="00807465" w:rsidRPr="00911998">
        <w:t xml:space="preserve">compétence </w:t>
      </w:r>
      <w:proofErr w:type="spellStart"/>
      <w:r w:rsidR="00807465" w:rsidRPr="00911998">
        <w:rPr>
          <w:i/>
          <w:iCs/>
        </w:rPr>
        <w:t>parens</w:t>
      </w:r>
      <w:proofErr w:type="spellEnd"/>
      <w:r w:rsidR="00807465" w:rsidRPr="00911998">
        <w:rPr>
          <w:i/>
          <w:iCs/>
        </w:rPr>
        <w:t xml:space="preserve"> </w:t>
      </w:r>
      <w:proofErr w:type="spellStart"/>
      <w:r w:rsidR="00807465" w:rsidRPr="00911998">
        <w:rPr>
          <w:i/>
          <w:iCs/>
        </w:rPr>
        <w:t>patriae</w:t>
      </w:r>
      <w:proofErr w:type="spellEnd"/>
      <w:r w:rsidR="005F0F91" w:rsidRPr="00911998">
        <w:rPr>
          <w:rStyle w:val="Appelnotedebasdep"/>
          <w:szCs w:val="24"/>
        </w:rPr>
        <w:footnoteReference w:id="7"/>
      </w:r>
      <w:r w:rsidRPr="00911998">
        <w:t>,</w:t>
      </w:r>
      <w:r w:rsidR="00656E00" w:rsidRPr="00911998">
        <w:t xml:space="preserve"> </w:t>
      </w:r>
      <w:r w:rsidR="00C54D2D" w:rsidRPr="00911998">
        <w:t xml:space="preserve">les membres de trois </w:t>
      </w:r>
      <w:r w:rsidR="006D591E" w:rsidRPr="00911998">
        <w:t>familles</w:t>
      </w:r>
      <w:r w:rsidR="00C54D2D" w:rsidRPr="00911998">
        <w:t xml:space="preserve"> </w:t>
      </w:r>
      <w:proofErr w:type="spellStart"/>
      <w:r w:rsidR="00C54D2D" w:rsidRPr="00911998">
        <w:t>pluriparentales</w:t>
      </w:r>
      <w:proofErr w:type="spellEnd"/>
      <w:r w:rsidR="00C54D2D" w:rsidRPr="00911998">
        <w:t xml:space="preserve"> québécoises </w:t>
      </w:r>
      <w:r w:rsidR="00E34684" w:rsidRPr="00911998">
        <w:t xml:space="preserve">ainsi que la Coalition des familles LGBT+ (la </w:t>
      </w:r>
      <w:r w:rsidR="00E34684" w:rsidRPr="00911998">
        <w:rPr>
          <w:b/>
          <w:bCs/>
        </w:rPr>
        <w:t>Coalition</w:t>
      </w:r>
      <w:r w:rsidR="00796798" w:rsidRPr="00911998">
        <w:t xml:space="preserve">, collectivement les </w:t>
      </w:r>
      <w:r w:rsidR="00796798" w:rsidRPr="00911998">
        <w:rPr>
          <w:b/>
          <w:bCs/>
        </w:rPr>
        <w:t>Demandeurs</w:t>
      </w:r>
      <w:r w:rsidR="00E34684" w:rsidRPr="00911998">
        <w:t>)</w:t>
      </w:r>
      <w:r w:rsidR="00E34684" w:rsidRPr="00911998">
        <w:rPr>
          <w:b/>
          <w:bCs/>
        </w:rPr>
        <w:t xml:space="preserve"> </w:t>
      </w:r>
      <w:r w:rsidR="00E34684" w:rsidRPr="00911998">
        <w:t>i</w:t>
      </w:r>
      <w:r w:rsidR="00C164E2" w:rsidRPr="00911998">
        <w:t xml:space="preserve">nvitent le Tribunal à interpréter les dispositions du </w:t>
      </w:r>
      <w:r w:rsidR="00C164E2" w:rsidRPr="00911998">
        <w:rPr>
          <w:i/>
          <w:iCs/>
        </w:rPr>
        <w:t xml:space="preserve">Code civil du Québec </w:t>
      </w:r>
      <w:r w:rsidR="000E71C1" w:rsidRPr="00911998">
        <w:t>(</w:t>
      </w:r>
      <w:r w:rsidR="000E71C1" w:rsidRPr="00911998">
        <w:rPr>
          <w:b/>
          <w:bCs/>
        </w:rPr>
        <w:t>C.c.Q.</w:t>
      </w:r>
      <w:r w:rsidR="000E71C1" w:rsidRPr="00911998">
        <w:t xml:space="preserve">) </w:t>
      </w:r>
      <w:r w:rsidR="00C164E2" w:rsidRPr="00911998">
        <w:t>régiss</w:t>
      </w:r>
      <w:r w:rsidR="00656E00" w:rsidRPr="00911998">
        <w:t>a</w:t>
      </w:r>
      <w:r w:rsidR="00C164E2" w:rsidRPr="00911998">
        <w:t xml:space="preserve">nt la filiation de façon à permettre la reconnaissance de plus </w:t>
      </w:r>
      <w:r w:rsidR="00361FA3" w:rsidRPr="00911998">
        <w:t xml:space="preserve">de </w:t>
      </w:r>
      <w:r w:rsidR="00C164E2" w:rsidRPr="00911998">
        <w:t xml:space="preserve">deux liens de parenté. </w:t>
      </w:r>
    </w:p>
    <w:p w14:paraId="51644E81" w14:textId="3F23B425" w:rsidR="00C164E2" w:rsidRPr="00911998" w:rsidRDefault="001742F1" w:rsidP="00DA43DD">
      <w:pPr>
        <w:pStyle w:val="Paragrsimple"/>
        <w:tabs>
          <w:tab w:val="clear" w:pos="360"/>
        </w:tabs>
        <w:rPr>
          <w:rFonts w:cs="Arial"/>
        </w:rPr>
      </w:pPr>
      <w:r w:rsidRPr="00911998">
        <w:t>Subsidiairement, dans la mesure o</w:t>
      </w:r>
      <w:r w:rsidRPr="00911998">
        <w:rPr>
          <w:rFonts w:cs="Arial"/>
        </w:rPr>
        <w:t xml:space="preserve">ù le droit québécois limite la filiation à deux parents, ils contestent la validité constitutionnelle de cette limite au motif qu’elle est discriminatoire et qu’elle porte atteinte aux droits </w:t>
      </w:r>
      <w:r w:rsidR="009E19FA" w:rsidRPr="00911998">
        <w:rPr>
          <w:rFonts w:cs="Arial"/>
        </w:rPr>
        <w:t>fondamentaux que sont</w:t>
      </w:r>
      <w:r w:rsidRPr="00911998">
        <w:rPr>
          <w:rFonts w:cs="Arial"/>
        </w:rPr>
        <w:t xml:space="preserve"> la sécurité de la personne, </w:t>
      </w:r>
      <w:r w:rsidR="00762521">
        <w:rPr>
          <w:rFonts w:cs="Arial"/>
        </w:rPr>
        <w:t>l’intégrité</w:t>
      </w:r>
      <w:r w:rsidR="00811621" w:rsidRPr="00911998">
        <w:rPr>
          <w:rFonts w:cs="Arial"/>
        </w:rPr>
        <w:t xml:space="preserve"> de la personne, </w:t>
      </w:r>
      <w:r w:rsidR="00762521" w:rsidRPr="00911998">
        <w:rPr>
          <w:rFonts w:cs="Arial"/>
        </w:rPr>
        <w:t xml:space="preserve">la liberté, </w:t>
      </w:r>
      <w:r w:rsidR="00811621" w:rsidRPr="00911998">
        <w:rPr>
          <w:rFonts w:cs="Arial"/>
        </w:rPr>
        <w:t>la dignité et la vie privée.</w:t>
      </w:r>
    </w:p>
    <w:p w14:paraId="0915AB1B" w14:textId="77777777" w:rsidR="00C63AEB" w:rsidRPr="00911998" w:rsidRDefault="00CC2B83" w:rsidP="009771C4">
      <w:pPr>
        <w:pStyle w:val="Paragrsimple"/>
        <w:tabs>
          <w:tab w:val="clear" w:pos="360"/>
        </w:tabs>
      </w:pPr>
      <w:r w:rsidRPr="00911998">
        <w:t>Ces demandes sont contes</w:t>
      </w:r>
      <w:r w:rsidR="00542C9D" w:rsidRPr="00911998">
        <w:t>t</w:t>
      </w:r>
      <w:r w:rsidRPr="00911998">
        <w:t xml:space="preserve">ées </w:t>
      </w:r>
      <w:r w:rsidR="00542C9D" w:rsidRPr="00911998">
        <w:t>par</w:t>
      </w:r>
      <w:r w:rsidR="009E19FA" w:rsidRPr="00911998">
        <w:t xml:space="preserve"> l</w:t>
      </w:r>
      <w:r w:rsidR="00811621" w:rsidRPr="00911998">
        <w:t xml:space="preserve">e Procureur général du Québec </w:t>
      </w:r>
      <w:r w:rsidR="008A3571" w:rsidRPr="00911998">
        <w:t>(</w:t>
      </w:r>
      <w:r w:rsidR="008A3571" w:rsidRPr="00911998">
        <w:rPr>
          <w:b/>
          <w:bCs/>
        </w:rPr>
        <w:t>PGQ</w:t>
      </w:r>
      <w:r w:rsidR="008A3571" w:rsidRPr="00911998">
        <w:t>)</w:t>
      </w:r>
      <w:r w:rsidR="00D87E2E" w:rsidRPr="00911998">
        <w:t>.</w:t>
      </w:r>
      <w:r w:rsidR="008A3571" w:rsidRPr="00911998">
        <w:t xml:space="preserve"> </w:t>
      </w:r>
    </w:p>
    <w:p w14:paraId="4EC6AA30" w14:textId="15DB5F1E" w:rsidR="00E12B4B" w:rsidRPr="00911998" w:rsidRDefault="00C63AEB" w:rsidP="009771C4">
      <w:pPr>
        <w:pStyle w:val="Paragrsimple"/>
        <w:tabs>
          <w:tab w:val="clear" w:pos="360"/>
        </w:tabs>
      </w:pPr>
      <w:r w:rsidRPr="00911998">
        <w:t>Le PGQ</w:t>
      </w:r>
      <w:r w:rsidR="00560DAC" w:rsidRPr="00911998">
        <w:t xml:space="preserve"> ne </w:t>
      </w:r>
      <w:r w:rsidR="00E12B4B" w:rsidRPr="00911998">
        <w:t>remet pas en question le bien</w:t>
      </w:r>
      <w:r w:rsidR="00E12B4B" w:rsidRPr="00911998">
        <w:noBreakHyphen/>
        <w:t xml:space="preserve">fondé de l’organisation familiale de ceux qui adoptent un modèle familial </w:t>
      </w:r>
      <w:proofErr w:type="spellStart"/>
      <w:r w:rsidR="00E12B4B" w:rsidRPr="00911998">
        <w:t>pluriparental</w:t>
      </w:r>
      <w:proofErr w:type="spellEnd"/>
      <w:r w:rsidR="00E12B4B" w:rsidRPr="00911998">
        <w:rPr>
          <w:rStyle w:val="Appelnotedebasdep"/>
        </w:rPr>
        <w:footnoteReference w:id="8"/>
      </w:r>
      <w:r w:rsidR="00E12B4B" w:rsidRPr="00911998">
        <w:t xml:space="preserve">. Il ne prétend pas non plus que les enfants qui évoluent dans une telle organisation familiale sont plus ou moins </w:t>
      </w:r>
      <w:r w:rsidR="002974FD" w:rsidRPr="00911998">
        <w:t>« </w:t>
      </w:r>
      <w:r w:rsidR="006D591E" w:rsidRPr="00911998">
        <w:t>équilibrés</w:t>
      </w:r>
      <w:r w:rsidR="002974FD" w:rsidRPr="00911998">
        <w:t> »</w:t>
      </w:r>
      <w:r w:rsidR="00E12B4B" w:rsidRPr="00911998">
        <w:t xml:space="preserve"> que ceux qui évoluent dans une famille monoparentale ou biparentale</w:t>
      </w:r>
      <w:r w:rsidR="00E12B4B" w:rsidRPr="00911998">
        <w:rPr>
          <w:rStyle w:val="Appelnotedebasdep"/>
        </w:rPr>
        <w:footnoteReference w:id="9"/>
      </w:r>
      <w:r w:rsidR="00E12B4B" w:rsidRPr="00911998">
        <w:t xml:space="preserve">. </w:t>
      </w:r>
    </w:p>
    <w:p w14:paraId="2A9081DD" w14:textId="3F9E2289" w:rsidR="00560DAC" w:rsidRPr="00911998" w:rsidRDefault="00E12B4B" w:rsidP="00811621">
      <w:pPr>
        <w:pStyle w:val="Paragrsimple"/>
        <w:tabs>
          <w:tab w:val="clear" w:pos="360"/>
        </w:tabs>
      </w:pPr>
      <w:r w:rsidRPr="00911998">
        <w:t xml:space="preserve">À ce titre, </w:t>
      </w:r>
      <w:r w:rsidR="008E0E84" w:rsidRPr="00911998">
        <w:t xml:space="preserve">selon </w:t>
      </w:r>
      <w:r w:rsidRPr="00911998">
        <w:t>la preuve experte</w:t>
      </w:r>
      <w:r w:rsidR="008E0E84" w:rsidRPr="00911998">
        <w:t xml:space="preserve"> administrée, «</w:t>
      </w:r>
      <w:r w:rsidR="006D591E" w:rsidRPr="00911998">
        <w:t> </w:t>
      </w:r>
      <w:r w:rsidR="008E0E84" w:rsidRPr="00911998">
        <w:t xml:space="preserve">les recherches démontrent que le bien-être des enfants dépend davantage de la qualité des relations parents-enfants que de la structure familiale et que </w:t>
      </w:r>
      <w:r w:rsidR="00225C91" w:rsidRPr="00911998">
        <w:t>l</w:t>
      </w:r>
      <w:r w:rsidR="008E0E84" w:rsidRPr="00911998">
        <w:t>es liens d’attachement sécure peuvent se développer entre un enfant et plusieurs figures parentales simultanément</w:t>
      </w:r>
      <w:r w:rsidR="006D591E" w:rsidRPr="00911998">
        <w:t> </w:t>
      </w:r>
      <w:r w:rsidR="008E0E84" w:rsidRPr="00911998">
        <w:t>»</w:t>
      </w:r>
      <w:r w:rsidR="008E0E84" w:rsidRPr="00911998">
        <w:rPr>
          <w:rStyle w:val="Appelnotedebasdep"/>
        </w:rPr>
        <w:footnoteReference w:id="10"/>
      </w:r>
      <w:r w:rsidR="008E0E84" w:rsidRPr="00911998">
        <w:t>.</w:t>
      </w:r>
      <w:r w:rsidR="001621A7" w:rsidRPr="00911998">
        <w:t xml:space="preserve">   </w:t>
      </w:r>
    </w:p>
    <w:p w14:paraId="150ABF01" w14:textId="73497E3A" w:rsidR="003D0922" w:rsidRPr="00911998" w:rsidRDefault="00C74DC1" w:rsidP="001621A7">
      <w:pPr>
        <w:pStyle w:val="Paragrsimple"/>
        <w:tabs>
          <w:tab w:val="clear" w:pos="360"/>
        </w:tabs>
      </w:pPr>
      <w:r w:rsidRPr="00911998">
        <w:t>Par ailleurs</w:t>
      </w:r>
      <w:r w:rsidR="001621A7" w:rsidRPr="00911998">
        <w:t xml:space="preserve">, le </w:t>
      </w:r>
      <w:r w:rsidR="008A3571" w:rsidRPr="00911998">
        <w:t>PGQ</w:t>
      </w:r>
      <w:r w:rsidR="001621A7" w:rsidRPr="00911998">
        <w:t xml:space="preserve"> ne plaide pas que la reconnaissance de plus </w:t>
      </w:r>
      <w:r w:rsidR="00C45E7C" w:rsidRPr="00911998">
        <w:t>d</w:t>
      </w:r>
      <w:r w:rsidR="001621A7" w:rsidRPr="00911998">
        <w:t xml:space="preserve">e deux liens de filiation </w:t>
      </w:r>
      <w:r w:rsidR="003D0922" w:rsidRPr="00911998">
        <w:t>créerait</w:t>
      </w:r>
      <w:r w:rsidR="001621A7" w:rsidRPr="00911998">
        <w:t xml:space="preserve"> des situations complexes</w:t>
      </w:r>
      <w:r w:rsidR="00C45E7C" w:rsidRPr="00911998">
        <w:t>,</w:t>
      </w:r>
      <w:r w:rsidR="001621A7" w:rsidRPr="00911998">
        <w:t xml:space="preserve"> au point o</w:t>
      </w:r>
      <w:r w:rsidR="001621A7" w:rsidRPr="00911998">
        <w:rPr>
          <w:rFonts w:cs="Arial"/>
        </w:rPr>
        <w:t>ù</w:t>
      </w:r>
      <w:r w:rsidR="003D0922" w:rsidRPr="00911998">
        <w:rPr>
          <w:rFonts w:cs="Arial"/>
        </w:rPr>
        <w:t>, en cas de différend,</w:t>
      </w:r>
      <w:r w:rsidR="001621A7" w:rsidRPr="00911998">
        <w:t xml:space="preserve"> </w:t>
      </w:r>
      <w:r w:rsidR="003D0922" w:rsidRPr="00911998">
        <w:t xml:space="preserve">il serait impossible ou </w:t>
      </w:r>
      <w:r w:rsidRPr="00911998">
        <w:t>excessivement</w:t>
      </w:r>
      <w:r w:rsidR="003D0922" w:rsidRPr="00911998">
        <w:t xml:space="preserve"> difficile de prendre une décision dans l’intérêt de l’enfant</w:t>
      </w:r>
      <w:r w:rsidR="00D97C2A" w:rsidRPr="00911998">
        <w:t>.</w:t>
      </w:r>
    </w:p>
    <w:p w14:paraId="003B0563" w14:textId="656AB185" w:rsidR="00D87E2E" w:rsidRPr="00911998" w:rsidRDefault="00D87E2E" w:rsidP="00703554">
      <w:pPr>
        <w:pStyle w:val="Paragrsimple"/>
        <w:tabs>
          <w:tab w:val="clear" w:pos="360"/>
        </w:tabs>
      </w:pPr>
      <w:r w:rsidRPr="00911998">
        <w:t>Le PGQ soutient simplement que le C.c.Q. ne peut être interprété comme autorisant la reconnaissance de plus de deux liens de filiation.</w:t>
      </w:r>
      <w:r w:rsidR="00C63AEB" w:rsidRPr="00911998">
        <w:t xml:space="preserve"> Il ajoute que</w:t>
      </w:r>
      <w:r w:rsidRPr="00911998">
        <w:t xml:space="preserve"> la limite de </w:t>
      </w:r>
      <w:r w:rsidRPr="00911998">
        <w:lastRenderedPageBreak/>
        <w:t>deux parents légalement reconnus en droit québécois ne porte pas atteinte aux droits fondamentaux invoqués par les parties demanderesses.</w:t>
      </w:r>
    </w:p>
    <w:p w14:paraId="66D073F4" w14:textId="62AE3D99" w:rsidR="00811621" w:rsidRPr="00911998" w:rsidRDefault="003C16C8" w:rsidP="00811621">
      <w:pPr>
        <w:pStyle w:val="Paragrsimple"/>
        <w:tabs>
          <w:tab w:val="clear" w:pos="360"/>
        </w:tabs>
      </w:pPr>
      <w:r w:rsidRPr="00911998">
        <w:t>Pour les motifs qui suivent,</w:t>
      </w:r>
      <w:r w:rsidR="00C74DC1" w:rsidRPr="00911998">
        <w:t xml:space="preserve"> </w:t>
      </w:r>
      <w:r w:rsidR="00E34684" w:rsidRPr="00911998">
        <w:t xml:space="preserve">le PGQ a raison de soutenir que </w:t>
      </w:r>
      <w:r w:rsidRPr="00911998">
        <w:t xml:space="preserve">le droit </w:t>
      </w:r>
      <w:r w:rsidR="00656E00" w:rsidRPr="00911998">
        <w:t xml:space="preserve">civil </w:t>
      </w:r>
      <w:r w:rsidRPr="00911998">
        <w:t xml:space="preserve">québécois limite la filiation légale à deux liens de parenté. </w:t>
      </w:r>
      <w:r w:rsidR="00C74DC1" w:rsidRPr="00911998">
        <w:t>En revanche, c</w:t>
      </w:r>
      <w:r w:rsidRPr="00911998">
        <w:t xml:space="preserve">ette limite porte atteinte de façon injustifiée au droit à l’égalité </w:t>
      </w:r>
      <w:r w:rsidR="006D591E" w:rsidRPr="00911998">
        <w:t>garanti</w:t>
      </w:r>
      <w:r w:rsidRPr="00911998">
        <w:t xml:space="preserve"> par le paragraphe 15(1) de la </w:t>
      </w:r>
      <w:r w:rsidRPr="00911998">
        <w:rPr>
          <w:i/>
          <w:iCs/>
        </w:rPr>
        <w:t>Charte canadienne des droits et libertés</w:t>
      </w:r>
      <w:r w:rsidR="00B775FD" w:rsidRPr="00911998">
        <w:rPr>
          <w:i/>
          <w:iCs/>
        </w:rPr>
        <w:t xml:space="preserve"> </w:t>
      </w:r>
      <w:r w:rsidR="00B775FD" w:rsidRPr="00911998">
        <w:t xml:space="preserve">(la </w:t>
      </w:r>
      <w:r w:rsidR="00B775FD" w:rsidRPr="00911998">
        <w:rPr>
          <w:b/>
          <w:bCs/>
          <w:i/>
          <w:iCs/>
        </w:rPr>
        <w:t>Charte canadienne</w:t>
      </w:r>
      <w:r w:rsidR="00B775FD" w:rsidRPr="00911998">
        <w:t>)</w:t>
      </w:r>
      <w:r w:rsidRPr="00911998">
        <w:t xml:space="preserve">. </w:t>
      </w:r>
      <w:r w:rsidR="00E34684" w:rsidRPr="00911998">
        <w:t>À titre de redressement, i</w:t>
      </w:r>
      <w:r w:rsidRPr="00911998">
        <w:t>l convient de déclarer invalide</w:t>
      </w:r>
      <w:r w:rsidR="00E34684" w:rsidRPr="00911998">
        <w:t>s les dispositions du C.c.Q. contestées par les Demandeurs</w:t>
      </w:r>
      <w:r w:rsidR="00DD01B4" w:rsidRPr="00911998">
        <w:t>,</w:t>
      </w:r>
      <w:r w:rsidRPr="00911998">
        <w:t xml:space="preserve"> mais de suspendre cette déclaration p</w:t>
      </w:r>
      <w:r w:rsidR="00C45E7C" w:rsidRPr="00911998">
        <w:t>endant</w:t>
      </w:r>
      <w:r w:rsidRPr="00911998">
        <w:t xml:space="preserve"> une période de 12 mois</w:t>
      </w:r>
      <w:r w:rsidR="002974FD" w:rsidRPr="00911998">
        <w:t>, afin d’accorder au législateur le temps nécessaire pour adopter une solution législative appropriée</w:t>
      </w:r>
      <w:r w:rsidRPr="00911998">
        <w:t>.</w:t>
      </w:r>
    </w:p>
    <w:p w14:paraId="27D4E34F" w14:textId="405EA41A" w:rsidR="00305941" w:rsidRPr="00911998" w:rsidRDefault="00A70D01" w:rsidP="00305941">
      <w:pPr>
        <w:pStyle w:val="Titre2"/>
        <w:numPr>
          <w:ilvl w:val="0"/>
          <w:numId w:val="0"/>
        </w:numPr>
      </w:pPr>
      <w:bookmarkStart w:id="1" w:name="_Toc196463717"/>
      <w:r w:rsidRPr="00911998">
        <w:t>CONTEXTE</w:t>
      </w:r>
      <w:bookmarkEnd w:id="1"/>
    </w:p>
    <w:p w14:paraId="29360774" w14:textId="78E898B9" w:rsidR="00305941" w:rsidRPr="00911998" w:rsidRDefault="003B5A89" w:rsidP="00305941">
      <w:pPr>
        <w:pStyle w:val="Paragrsimple"/>
        <w:tabs>
          <w:tab w:val="clear" w:pos="360"/>
        </w:tabs>
      </w:pPr>
      <w:r w:rsidRPr="00911998">
        <w:t>Le présent jugement tranche deux demandes déposées dans deux dossiers distincts de la Cour supérieure</w:t>
      </w:r>
      <w:r w:rsidR="00D12B87" w:rsidRPr="00911998">
        <w:t>. Ces demandes</w:t>
      </w:r>
      <w:r w:rsidR="00AB1C1D" w:rsidRPr="00911998">
        <w:t xml:space="preserve"> ont fait l’objet d’une instruction commune conformément à une ordonnance de gestion prononcée par l’honorable J</w:t>
      </w:r>
      <w:r w:rsidR="001B4D29" w:rsidRPr="00911998">
        <w:t xml:space="preserve">. </w:t>
      </w:r>
      <w:r w:rsidR="00AB1C1D" w:rsidRPr="00911998">
        <w:t>Sébastien Vaillancourt</w:t>
      </w:r>
      <w:r w:rsidR="00D12B87" w:rsidRPr="00911998">
        <w:t>, J.C.S.,</w:t>
      </w:r>
      <w:r w:rsidR="00AB1C1D" w:rsidRPr="00911998">
        <w:t xml:space="preserve"> le 25</w:t>
      </w:r>
      <w:r w:rsidR="00D12B87" w:rsidRPr="00911998">
        <w:t> </w:t>
      </w:r>
      <w:r w:rsidR="00AB1C1D" w:rsidRPr="00911998">
        <w:t>mai 2023.</w:t>
      </w:r>
    </w:p>
    <w:p w14:paraId="5BE6016E" w14:textId="2F45EB21" w:rsidR="00FA0982" w:rsidRPr="00911998" w:rsidRDefault="00FA0982" w:rsidP="00FA0982">
      <w:pPr>
        <w:pStyle w:val="Paragrsimple"/>
        <w:tabs>
          <w:tab w:val="clear" w:pos="360"/>
        </w:tabs>
      </w:pPr>
      <w:r w:rsidRPr="00911998">
        <w:t xml:space="preserve">Les demandeurs </w:t>
      </w:r>
      <w:r w:rsidR="00AB1C1D" w:rsidRPr="00911998">
        <w:t xml:space="preserve">dans le premier dossier (500-17-119125-212) </w:t>
      </w:r>
      <w:r w:rsidRPr="00911998">
        <w:t xml:space="preserve">sont madame </w:t>
      </w:r>
      <w:r w:rsidR="00153EC1">
        <w:t xml:space="preserve">V... </w:t>
      </w:r>
      <w:proofErr w:type="gramStart"/>
      <w:r w:rsidR="00153EC1">
        <w:t>M...</w:t>
      </w:r>
      <w:proofErr w:type="gramEnd"/>
      <w:r w:rsidRPr="00911998">
        <w:t xml:space="preserve">, madame </w:t>
      </w:r>
      <w:r w:rsidR="00153EC1">
        <w:t xml:space="preserve">J... </w:t>
      </w:r>
      <w:proofErr w:type="gramStart"/>
      <w:r w:rsidR="00153EC1">
        <w:t>P...</w:t>
      </w:r>
      <w:proofErr w:type="gramEnd"/>
      <w:r w:rsidRPr="00911998">
        <w:t xml:space="preserve"> et monsieur </w:t>
      </w:r>
      <w:r w:rsidR="00153EC1">
        <w:t>N... D...</w:t>
      </w:r>
      <w:r w:rsidR="00D13288" w:rsidRPr="00911998">
        <w:t>. L</w:t>
      </w:r>
      <w:r w:rsidRPr="00911998">
        <w:t>e Tribunal utilisera l’expression «</w:t>
      </w:r>
      <w:r w:rsidR="00D12B87" w:rsidRPr="00911998">
        <w:t xml:space="preserve"> le </w:t>
      </w:r>
      <w:r w:rsidRPr="00911998">
        <w:rPr>
          <w:b/>
          <w:bCs/>
        </w:rPr>
        <w:t xml:space="preserve">Dossier </w:t>
      </w:r>
      <w:proofErr w:type="gramStart"/>
      <w:r w:rsidR="00153EC1">
        <w:rPr>
          <w:b/>
          <w:bCs/>
        </w:rPr>
        <w:t>M...</w:t>
      </w:r>
      <w:proofErr w:type="gramEnd"/>
      <w:r w:rsidRPr="00911998">
        <w:rPr>
          <w:b/>
          <w:bCs/>
        </w:rPr>
        <w:t>-</w:t>
      </w:r>
      <w:r w:rsidR="000032F7">
        <w:rPr>
          <w:b/>
          <w:bCs/>
        </w:rPr>
        <w:t>P...</w:t>
      </w:r>
      <w:r w:rsidR="005D6DBE" w:rsidRPr="00911998">
        <w:rPr>
          <w:b/>
          <w:bCs/>
        </w:rPr>
        <w:t>-</w:t>
      </w:r>
      <w:r w:rsidR="000032F7">
        <w:rPr>
          <w:b/>
          <w:bCs/>
        </w:rPr>
        <w:t>D...</w:t>
      </w:r>
      <w:r w:rsidR="00D12B87" w:rsidRPr="00911998">
        <w:t> </w:t>
      </w:r>
      <w:r w:rsidRPr="00911998">
        <w:t>» pour référer spécifiquement à cette affaire lorsque nécessaire.</w:t>
      </w:r>
    </w:p>
    <w:p w14:paraId="47F08D5A" w14:textId="4A9D8B44" w:rsidR="00FA0982" w:rsidRPr="00911998" w:rsidRDefault="00D13288" w:rsidP="00FA0982">
      <w:pPr>
        <w:pStyle w:val="Paragrsimple"/>
        <w:tabs>
          <w:tab w:val="clear" w:pos="360"/>
        </w:tabs>
      </w:pPr>
      <w:r w:rsidRPr="00911998">
        <w:t xml:space="preserve">Les demandeurs dans </w:t>
      </w:r>
      <w:r w:rsidR="00AB1C1D" w:rsidRPr="00911998">
        <w:t>le deuxième dossier (500-04-079533-239)</w:t>
      </w:r>
      <w:r w:rsidR="00E3590D" w:rsidRPr="00911998">
        <w:t xml:space="preserve"> </w:t>
      </w:r>
      <w:r w:rsidRPr="00911998">
        <w:t xml:space="preserve">sont la Coalition, </w:t>
      </w:r>
      <w:r w:rsidR="005D56F1" w:rsidRPr="00911998">
        <w:t xml:space="preserve">madame </w:t>
      </w:r>
      <w:r w:rsidR="000032F7">
        <w:t>So... Pa...</w:t>
      </w:r>
      <w:r w:rsidR="005D56F1" w:rsidRPr="00911998">
        <w:t xml:space="preserve">, madame </w:t>
      </w:r>
      <w:r w:rsidR="000032F7">
        <w:t xml:space="preserve">D... </w:t>
      </w:r>
      <w:proofErr w:type="gramStart"/>
      <w:r w:rsidR="000032F7">
        <w:t>J...</w:t>
      </w:r>
      <w:proofErr w:type="gramEnd"/>
      <w:r w:rsidR="005D56F1" w:rsidRPr="00911998">
        <w:t xml:space="preserve">, monsieur </w:t>
      </w:r>
      <w:r w:rsidR="000032F7">
        <w:t>E... Je...</w:t>
      </w:r>
      <w:r w:rsidR="005D56F1" w:rsidRPr="00911998">
        <w:t xml:space="preserve">, </w:t>
      </w:r>
      <w:r w:rsidRPr="00911998">
        <w:t xml:space="preserve">madame </w:t>
      </w:r>
      <w:r w:rsidR="00552A22">
        <w:t>S...</w:t>
      </w:r>
      <w:r w:rsidR="00B45580" w:rsidRPr="00911998">
        <w:t xml:space="preserve"> </w:t>
      </w:r>
      <w:proofErr w:type="gramStart"/>
      <w:r w:rsidR="00E13A68">
        <w:t>L...</w:t>
      </w:r>
      <w:proofErr w:type="gramEnd"/>
      <w:r w:rsidRPr="00911998">
        <w:t xml:space="preserve">, monsieur </w:t>
      </w:r>
      <w:r w:rsidR="000032F7">
        <w:t>L... Mi...</w:t>
      </w:r>
      <w:r w:rsidR="005D56F1" w:rsidRPr="00911998">
        <w:t xml:space="preserve"> et</w:t>
      </w:r>
      <w:r w:rsidRPr="00911998">
        <w:t xml:space="preserve"> madame </w:t>
      </w:r>
      <w:r w:rsidR="000032F7">
        <w:t>Se... A...</w:t>
      </w:r>
      <w:r w:rsidRPr="00911998">
        <w:t xml:space="preserve">. Lorsqu’il sera nécessaire de distinguer ce dossier du Dossier </w:t>
      </w:r>
      <w:proofErr w:type="gramStart"/>
      <w:r w:rsidR="00153EC1">
        <w:t>M...</w:t>
      </w:r>
      <w:proofErr w:type="gramEnd"/>
      <w:r w:rsidR="00AB1C1D" w:rsidRPr="00911998">
        <w:noBreakHyphen/>
      </w:r>
      <w:r w:rsidR="000032F7">
        <w:t>P...</w:t>
      </w:r>
      <w:r w:rsidR="005D6DBE" w:rsidRPr="00911998">
        <w:t>-</w:t>
      </w:r>
      <w:r w:rsidR="000032F7">
        <w:t>D...</w:t>
      </w:r>
      <w:r w:rsidRPr="00911998">
        <w:t xml:space="preserve">, le Tribunal </w:t>
      </w:r>
      <w:r w:rsidR="0048164E" w:rsidRPr="00911998">
        <w:t>emploiera</w:t>
      </w:r>
      <w:r w:rsidRPr="00911998">
        <w:t xml:space="preserve"> l’expression «</w:t>
      </w:r>
      <w:r w:rsidR="00D12B87" w:rsidRPr="00911998">
        <w:t xml:space="preserve"> le </w:t>
      </w:r>
      <w:r w:rsidRPr="00911998">
        <w:rPr>
          <w:b/>
          <w:bCs/>
        </w:rPr>
        <w:t>Dossier de la Coalition</w:t>
      </w:r>
      <w:r w:rsidR="00D12B87" w:rsidRPr="00911998">
        <w:t> </w:t>
      </w:r>
      <w:r w:rsidRPr="00911998">
        <w:t>».</w:t>
      </w:r>
    </w:p>
    <w:p w14:paraId="53972412" w14:textId="5E59B455" w:rsidR="00D13288" w:rsidRPr="00911998" w:rsidRDefault="0048164E" w:rsidP="00D13288">
      <w:pPr>
        <w:pStyle w:val="Paragrsimple"/>
        <w:tabs>
          <w:tab w:val="clear" w:pos="360"/>
        </w:tabs>
      </w:pPr>
      <w:r w:rsidRPr="00911998">
        <w:t>Pour référer spécifiquement</w:t>
      </w:r>
      <w:r w:rsidR="00793CB1" w:rsidRPr="00911998">
        <w:t xml:space="preserve"> aux personnes </w:t>
      </w:r>
      <w:r w:rsidR="00AB1C1D" w:rsidRPr="00911998">
        <w:t xml:space="preserve">physiques </w:t>
      </w:r>
      <w:r w:rsidR="00793CB1" w:rsidRPr="00911998">
        <w:t>s’étant portées demanderesses dans les deux dossiers, le Tribunal utilisera l’expression «</w:t>
      </w:r>
      <w:r w:rsidR="00D12B87" w:rsidRPr="00911998">
        <w:t> </w:t>
      </w:r>
      <w:r w:rsidRPr="00911998">
        <w:t>les</w:t>
      </w:r>
      <w:r w:rsidR="00C10905" w:rsidRPr="00911998">
        <w:t> </w:t>
      </w:r>
      <w:r w:rsidR="00793CB1" w:rsidRPr="00911998">
        <w:rPr>
          <w:b/>
          <w:bCs/>
        </w:rPr>
        <w:t>Demandeurs individuels</w:t>
      </w:r>
      <w:r w:rsidR="00D12B87" w:rsidRPr="00911998">
        <w:t> </w:t>
      </w:r>
      <w:r w:rsidR="00793CB1" w:rsidRPr="00911998">
        <w:t xml:space="preserve">». </w:t>
      </w:r>
    </w:p>
    <w:p w14:paraId="5C666ED4" w14:textId="68706C87" w:rsidR="00E3590D" w:rsidRPr="00911998" w:rsidRDefault="0060058D" w:rsidP="0060058D">
      <w:pPr>
        <w:pStyle w:val="Paragrsimple"/>
        <w:tabs>
          <w:tab w:val="clear" w:pos="360"/>
        </w:tabs>
      </w:pPr>
      <w:r w:rsidRPr="00911998">
        <w:t xml:space="preserve">Ensemble, les deux dossiers </w:t>
      </w:r>
      <w:r w:rsidR="0048164E" w:rsidRPr="00911998">
        <w:t>concernent</w:t>
      </w:r>
      <w:r w:rsidRPr="00911998">
        <w:t xml:space="preserve"> trois familles. Il convient d</w:t>
      </w:r>
      <w:r w:rsidR="0048164E" w:rsidRPr="00911998">
        <w:t>’</w:t>
      </w:r>
      <w:r w:rsidRPr="00911998">
        <w:t>introduire</w:t>
      </w:r>
      <w:r w:rsidR="00C62859" w:rsidRPr="00911998">
        <w:t xml:space="preserve"> </w:t>
      </w:r>
      <w:r w:rsidR="0048164E" w:rsidRPr="00911998">
        <w:t xml:space="preserve">ces familles </w:t>
      </w:r>
      <w:r w:rsidR="00C62859" w:rsidRPr="00911998">
        <w:t xml:space="preserve">et de présenter la </w:t>
      </w:r>
      <w:r w:rsidR="00D12B87" w:rsidRPr="00911998">
        <w:t>Coalition.</w:t>
      </w:r>
    </w:p>
    <w:p w14:paraId="1FC7B857" w14:textId="6CF06586" w:rsidR="0060058D" w:rsidRPr="00911998" w:rsidRDefault="0060058D" w:rsidP="0060058D">
      <w:pPr>
        <w:pStyle w:val="Titre2"/>
        <w:rPr>
          <w:b w:val="0"/>
          <w:bCs/>
        </w:rPr>
      </w:pPr>
      <w:bookmarkStart w:id="2" w:name="_Toc196463718"/>
      <w:r w:rsidRPr="00911998">
        <w:t xml:space="preserve">La famille </w:t>
      </w:r>
      <w:proofErr w:type="gramStart"/>
      <w:r w:rsidR="00153EC1">
        <w:t>M...</w:t>
      </w:r>
      <w:proofErr w:type="gramEnd"/>
      <w:r w:rsidRPr="00911998">
        <w:t>-</w:t>
      </w:r>
      <w:r w:rsidR="000032F7">
        <w:t>P...</w:t>
      </w:r>
      <w:r w:rsidRPr="00911998">
        <w:t>-</w:t>
      </w:r>
      <w:bookmarkEnd w:id="2"/>
      <w:r w:rsidR="000032F7">
        <w:t>D...</w:t>
      </w:r>
    </w:p>
    <w:p w14:paraId="1046F427" w14:textId="32ADC436" w:rsidR="0032507E" w:rsidRPr="00911998" w:rsidRDefault="0060058D" w:rsidP="0060058D">
      <w:pPr>
        <w:pStyle w:val="Paragrsimple"/>
        <w:tabs>
          <w:tab w:val="clear" w:pos="360"/>
        </w:tabs>
      </w:pPr>
      <w:r w:rsidRPr="00911998">
        <w:t xml:space="preserve">Les demandeurs dans le Dossier </w:t>
      </w:r>
      <w:proofErr w:type="gramStart"/>
      <w:r w:rsidR="00153EC1">
        <w:t>M...</w:t>
      </w:r>
      <w:proofErr w:type="gramEnd"/>
      <w:r w:rsidR="005D6DBE" w:rsidRPr="00911998">
        <w:noBreakHyphen/>
      </w:r>
      <w:r w:rsidR="000032F7">
        <w:t>P...</w:t>
      </w:r>
      <w:r w:rsidR="005D6DBE" w:rsidRPr="00911998">
        <w:noBreakHyphen/>
      </w:r>
      <w:r w:rsidR="000032F7">
        <w:t>D...</w:t>
      </w:r>
      <w:r w:rsidR="005D6DBE" w:rsidRPr="00911998">
        <w:t xml:space="preserve"> sont</w:t>
      </w:r>
      <w:r w:rsidR="00246A67" w:rsidRPr="00911998">
        <w:t xml:space="preserve"> les</w:t>
      </w:r>
      <w:r w:rsidR="005D6DBE" w:rsidRPr="00911998">
        <w:t xml:space="preserve"> adultes membres de la famille </w:t>
      </w:r>
      <w:r w:rsidR="00153EC1">
        <w:t>M...</w:t>
      </w:r>
      <w:r w:rsidR="005D6DBE" w:rsidRPr="00911998">
        <w:noBreakHyphen/>
      </w:r>
      <w:r w:rsidR="000032F7">
        <w:t>P...</w:t>
      </w:r>
      <w:r w:rsidR="005D6DBE" w:rsidRPr="00911998">
        <w:noBreakHyphen/>
      </w:r>
      <w:r w:rsidR="000032F7">
        <w:t>D...</w:t>
      </w:r>
      <w:r w:rsidR="001E5BAE" w:rsidRPr="00911998">
        <w:t>. Ils sont également</w:t>
      </w:r>
      <w:r w:rsidR="00246A67" w:rsidRPr="00911998">
        <w:t xml:space="preserve"> les parents </w:t>
      </w:r>
      <w:r w:rsidR="00552A22">
        <w:t>de X</w:t>
      </w:r>
      <w:r w:rsidR="00B55E13" w:rsidRPr="00911998">
        <w:t>,</w:t>
      </w:r>
      <w:r w:rsidR="00246A67" w:rsidRPr="00911998">
        <w:t xml:space="preserve"> qui aura bientôt 3</w:t>
      </w:r>
      <w:r w:rsidR="00F42D6D" w:rsidRPr="00911998">
        <w:t> </w:t>
      </w:r>
      <w:r w:rsidR="00246A67" w:rsidRPr="00911998">
        <w:t>ans</w:t>
      </w:r>
      <w:r w:rsidR="005D6DBE" w:rsidRPr="00911998">
        <w:t xml:space="preserve">. </w:t>
      </w:r>
    </w:p>
    <w:p w14:paraId="1574E937" w14:textId="4D87247D" w:rsidR="00343B34" w:rsidRPr="00911998" w:rsidRDefault="0032507E" w:rsidP="0060058D">
      <w:pPr>
        <w:pStyle w:val="Paragrsimple"/>
        <w:tabs>
          <w:tab w:val="clear" w:pos="360"/>
        </w:tabs>
      </w:pPr>
      <w:r w:rsidRPr="00911998">
        <w:t xml:space="preserve">Madame </w:t>
      </w:r>
      <w:proofErr w:type="gramStart"/>
      <w:r w:rsidR="00153EC1">
        <w:t>M...</w:t>
      </w:r>
      <w:proofErr w:type="gramEnd"/>
      <w:r w:rsidRPr="00911998">
        <w:t xml:space="preserve"> et monsieur </w:t>
      </w:r>
      <w:r w:rsidR="000032F7">
        <w:t>D...</w:t>
      </w:r>
      <w:r w:rsidRPr="00911998">
        <w:t xml:space="preserve"> sont mariés. Trois enfants sont nés de</w:t>
      </w:r>
      <w:r w:rsidR="00385FA0" w:rsidRPr="00911998">
        <w:t xml:space="preserve"> l</w:t>
      </w:r>
      <w:r w:rsidRPr="00911998">
        <w:t xml:space="preserve">eur union. Ils sont tous </w:t>
      </w:r>
      <w:r w:rsidR="00385FA0" w:rsidRPr="00911998">
        <w:t xml:space="preserve">deux </w:t>
      </w:r>
      <w:r w:rsidRPr="00911998">
        <w:t>membres des Forces armées canadiennes.</w:t>
      </w:r>
      <w:r w:rsidR="00385FA0" w:rsidRPr="00911998">
        <w:t xml:space="preserve"> En 2019, alors que madame </w:t>
      </w:r>
      <w:proofErr w:type="gramStart"/>
      <w:r w:rsidR="00153EC1">
        <w:t>M...</w:t>
      </w:r>
      <w:proofErr w:type="gramEnd"/>
      <w:r w:rsidR="00385FA0" w:rsidRPr="00911998">
        <w:t xml:space="preserve"> est en mission au </w:t>
      </w:r>
      <w:r w:rsidR="00343B34" w:rsidRPr="00911998">
        <w:t>Koweït</w:t>
      </w:r>
      <w:r w:rsidR="00385FA0" w:rsidRPr="00911998">
        <w:t xml:space="preserve">, elle fait la connaissance de madame </w:t>
      </w:r>
      <w:r w:rsidR="000032F7">
        <w:t>P...</w:t>
      </w:r>
      <w:r w:rsidR="00343B34" w:rsidRPr="00911998">
        <w:t xml:space="preserve">. </w:t>
      </w:r>
      <w:r w:rsidR="001E5BAE" w:rsidRPr="00911998">
        <w:t xml:space="preserve">À </w:t>
      </w:r>
      <w:r w:rsidR="001E5BAE" w:rsidRPr="00911998">
        <w:lastRenderedPageBreak/>
        <w:t xml:space="preserve">l’époque, </w:t>
      </w:r>
      <w:r w:rsidR="00B55E13" w:rsidRPr="00911998">
        <w:t>cette dernière</w:t>
      </w:r>
      <w:r w:rsidR="00343B34" w:rsidRPr="00911998">
        <w:t xml:space="preserve"> est également membre des Forces armées canadiennes en mission au Koweït</w:t>
      </w:r>
      <w:r w:rsidR="00385FA0" w:rsidRPr="00911998">
        <w:t xml:space="preserve">. </w:t>
      </w:r>
    </w:p>
    <w:p w14:paraId="09EC971E" w14:textId="2D54853C" w:rsidR="00573F29" w:rsidRPr="00911998" w:rsidRDefault="00343B34" w:rsidP="0060058D">
      <w:pPr>
        <w:pStyle w:val="Paragrsimple"/>
        <w:tabs>
          <w:tab w:val="clear" w:pos="360"/>
        </w:tabs>
      </w:pPr>
      <w:r w:rsidRPr="00911998">
        <w:t>Les deux femmes tom</w:t>
      </w:r>
      <w:r w:rsidR="00385FA0" w:rsidRPr="00911998">
        <w:t xml:space="preserve">bent </w:t>
      </w:r>
      <w:r w:rsidR="00B55E13" w:rsidRPr="00911998">
        <w:t>a</w:t>
      </w:r>
      <w:r w:rsidR="00385FA0" w:rsidRPr="00911998">
        <w:t>mour</w:t>
      </w:r>
      <w:r w:rsidR="00B55E13" w:rsidRPr="00911998">
        <w:t>euses</w:t>
      </w:r>
      <w:r w:rsidR="00385FA0" w:rsidRPr="00911998">
        <w:t>.</w:t>
      </w:r>
      <w:r w:rsidRPr="00911998">
        <w:t xml:space="preserve"> Madame </w:t>
      </w:r>
      <w:proofErr w:type="gramStart"/>
      <w:r w:rsidR="00153EC1">
        <w:t>M...</w:t>
      </w:r>
      <w:proofErr w:type="gramEnd"/>
      <w:r w:rsidRPr="00911998">
        <w:t xml:space="preserve"> s</w:t>
      </w:r>
      <w:r w:rsidR="00B55E13" w:rsidRPr="00911998">
        <w:t>e définit</w:t>
      </w:r>
      <w:r w:rsidRPr="00911998">
        <w:t xml:space="preserve"> comme bisexuelle</w:t>
      </w:r>
      <w:r w:rsidR="007A4D9E" w:rsidRPr="00911998">
        <w:t>,</w:t>
      </w:r>
      <w:r w:rsidRPr="00911998">
        <w:t xml:space="preserve"> alors que madame </w:t>
      </w:r>
      <w:r w:rsidR="000032F7">
        <w:t>P...</w:t>
      </w:r>
      <w:r w:rsidRPr="00911998">
        <w:t xml:space="preserve"> est lesbienne. </w:t>
      </w:r>
      <w:r w:rsidR="00573F29" w:rsidRPr="00911998">
        <w:t>Madame </w:t>
      </w:r>
      <w:proofErr w:type="gramStart"/>
      <w:r w:rsidR="00153EC1">
        <w:t>M...</w:t>
      </w:r>
      <w:proofErr w:type="gramEnd"/>
      <w:r w:rsidR="00573F29" w:rsidRPr="00911998">
        <w:t xml:space="preserve"> est transparente avec monsieur </w:t>
      </w:r>
      <w:r w:rsidR="000032F7">
        <w:t>D...</w:t>
      </w:r>
      <w:r w:rsidR="00573F29" w:rsidRPr="00911998">
        <w:t xml:space="preserve"> et l’informe </w:t>
      </w:r>
      <w:r w:rsidR="007A4D9E" w:rsidRPr="00911998">
        <w:t xml:space="preserve">rapidement </w:t>
      </w:r>
      <w:r w:rsidR="00573F29" w:rsidRPr="00911998">
        <w:t xml:space="preserve">de sa nouvelle relation. </w:t>
      </w:r>
      <w:r w:rsidR="007A4D9E" w:rsidRPr="00911998">
        <w:t>Celui</w:t>
      </w:r>
      <w:r w:rsidR="007A4D9E" w:rsidRPr="00911998">
        <w:noBreakHyphen/>
        <w:t xml:space="preserve">ci </w:t>
      </w:r>
      <w:r w:rsidR="00F42D6D" w:rsidRPr="00911998">
        <w:t>accepte</w:t>
      </w:r>
      <w:r w:rsidR="00573F29" w:rsidRPr="00911998">
        <w:t xml:space="preserve"> la relation </w:t>
      </w:r>
      <w:r w:rsidR="00B55E13" w:rsidRPr="00911998">
        <w:t xml:space="preserve">entre </w:t>
      </w:r>
      <w:r w:rsidR="001E5BAE" w:rsidRPr="00911998">
        <w:t>son épouse</w:t>
      </w:r>
      <w:r w:rsidR="00573F29" w:rsidRPr="00911998">
        <w:t xml:space="preserve"> et </w:t>
      </w:r>
      <w:r w:rsidR="001E5BAE" w:rsidRPr="00911998">
        <w:t xml:space="preserve">madame </w:t>
      </w:r>
      <w:r w:rsidR="000032F7">
        <w:t>P...</w:t>
      </w:r>
      <w:r w:rsidR="00573F29" w:rsidRPr="00911998">
        <w:t>.</w:t>
      </w:r>
    </w:p>
    <w:p w14:paraId="6E215FC2" w14:textId="456ABA0A" w:rsidR="00445E36" w:rsidRPr="00911998" w:rsidRDefault="00445E36" w:rsidP="0060058D">
      <w:pPr>
        <w:pStyle w:val="Paragrsimple"/>
        <w:tabs>
          <w:tab w:val="clear" w:pos="360"/>
        </w:tabs>
      </w:pPr>
      <w:r w:rsidRPr="00911998">
        <w:t>À la fin de leurs missions respectives au Koweït, mes</w:t>
      </w:r>
      <w:r w:rsidR="00573F29" w:rsidRPr="00911998">
        <w:t xml:space="preserve">dames </w:t>
      </w:r>
      <w:proofErr w:type="gramStart"/>
      <w:r w:rsidR="00153EC1">
        <w:t>M...</w:t>
      </w:r>
      <w:proofErr w:type="gramEnd"/>
      <w:r w:rsidR="00573F29" w:rsidRPr="00911998">
        <w:t xml:space="preserve"> et </w:t>
      </w:r>
      <w:r w:rsidR="000032F7">
        <w:t>P...</w:t>
      </w:r>
      <w:r w:rsidR="00573F29" w:rsidRPr="00911998">
        <w:t xml:space="preserve"> </w:t>
      </w:r>
      <w:r w:rsidRPr="00911998">
        <w:t xml:space="preserve">retournent au Canada. Éventuellement, </w:t>
      </w:r>
      <w:r w:rsidR="007A4D9E" w:rsidRPr="00911998">
        <w:t>celles</w:t>
      </w:r>
      <w:r w:rsidR="007A4D9E" w:rsidRPr="00911998">
        <w:noBreakHyphen/>
        <w:t xml:space="preserve">ci et </w:t>
      </w:r>
      <w:r w:rsidRPr="00911998">
        <w:t xml:space="preserve">monsieur </w:t>
      </w:r>
      <w:proofErr w:type="gramStart"/>
      <w:r w:rsidR="000032F7">
        <w:t>D...</w:t>
      </w:r>
      <w:proofErr w:type="gramEnd"/>
      <w:r w:rsidRPr="00911998">
        <w:t xml:space="preserve"> décident</w:t>
      </w:r>
      <w:r w:rsidR="001544A9" w:rsidRPr="00911998">
        <w:t xml:space="preserve"> </w:t>
      </w:r>
      <w:r w:rsidR="00573F29" w:rsidRPr="00911998">
        <w:t xml:space="preserve">de vivre </w:t>
      </w:r>
      <w:r w:rsidR="004B3EC6" w:rsidRPr="00911998">
        <w:t>ensemble</w:t>
      </w:r>
      <w:r w:rsidR="002256E4" w:rsidRPr="00911998">
        <w:t>, comme un trio amoureux,</w:t>
      </w:r>
      <w:r w:rsidR="00573F29" w:rsidRPr="00911998">
        <w:t xml:space="preserve"> avec les enfants de </w:t>
      </w:r>
      <w:r w:rsidR="00B55E13" w:rsidRPr="00911998">
        <w:t>m</w:t>
      </w:r>
      <w:r w:rsidR="00573F29" w:rsidRPr="00911998">
        <w:t xml:space="preserve">adame </w:t>
      </w:r>
      <w:r w:rsidR="00153EC1">
        <w:t>M...</w:t>
      </w:r>
      <w:r w:rsidR="00573F29" w:rsidRPr="00911998">
        <w:t xml:space="preserve"> et </w:t>
      </w:r>
      <w:r w:rsidR="001E5BAE" w:rsidRPr="00911998">
        <w:t xml:space="preserve">de </w:t>
      </w:r>
      <w:r w:rsidR="00B55E13" w:rsidRPr="00911998">
        <w:t>m</w:t>
      </w:r>
      <w:r w:rsidR="00573F29" w:rsidRPr="00911998">
        <w:t xml:space="preserve">onsieur </w:t>
      </w:r>
      <w:r w:rsidR="000032F7">
        <w:t>D...</w:t>
      </w:r>
      <w:r w:rsidR="00573F29" w:rsidRPr="00911998">
        <w:t>.</w:t>
      </w:r>
      <w:r w:rsidR="001544A9" w:rsidRPr="00911998">
        <w:t xml:space="preserve"> </w:t>
      </w:r>
    </w:p>
    <w:p w14:paraId="76C0B45E" w14:textId="0A68941C" w:rsidR="00573F29" w:rsidRPr="00911998" w:rsidRDefault="001544A9" w:rsidP="0060058D">
      <w:pPr>
        <w:pStyle w:val="Paragrsimple"/>
        <w:tabs>
          <w:tab w:val="clear" w:pos="360"/>
        </w:tabs>
      </w:pPr>
      <w:r w:rsidRPr="00911998">
        <w:t xml:space="preserve">En parallèle, madame </w:t>
      </w:r>
      <w:proofErr w:type="gramStart"/>
      <w:r w:rsidR="000032F7">
        <w:t>P...</w:t>
      </w:r>
      <w:proofErr w:type="gramEnd"/>
      <w:r w:rsidRPr="00911998">
        <w:t xml:space="preserve"> souhaite devenir mère et madame </w:t>
      </w:r>
      <w:r w:rsidR="00153EC1">
        <w:t>M...</w:t>
      </w:r>
      <w:r w:rsidRPr="00911998">
        <w:t xml:space="preserve"> veut </w:t>
      </w:r>
      <w:r w:rsidR="00445E36" w:rsidRPr="00911998">
        <w:t>l’accompagner</w:t>
      </w:r>
      <w:r w:rsidRPr="00911998">
        <w:t xml:space="preserve"> dans </w:t>
      </w:r>
      <w:r w:rsidR="00445E36" w:rsidRPr="00911998">
        <w:t>ce projet</w:t>
      </w:r>
      <w:r w:rsidRPr="00911998">
        <w:t xml:space="preserve">. Avec Monsieur </w:t>
      </w:r>
      <w:proofErr w:type="gramStart"/>
      <w:r w:rsidR="000032F7">
        <w:t>D...</w:t>
      </w:r>
      <w:proofErr w:type="gramEnd"/>
      <w:r w:rsidRPr="00911998">
        <w:t xml:space="preserve">, </w:t>
      </w:r>
      <w:r w:rsidR="00682296" w:rsidRPr="00911998">
        <w:t xml:space="preserve">elles </w:t>
      </w:r>
      <w:r w:rsidRPr="00911998">
        <w:t xml:space="preserve">décident que ce dernier sera le donneur des forces génétiques pour l’enfant que madame </w:t>
      </w:r>
      <w:r w:rsidR="000032F7">
        <w:t>P...</w:t>
      </w:r>
      <w:r w:rsidRPr="00911998">
        <w:t xml:space="preserve"> portera. Celle</w:t>
      </w:r>
      <w:r w:rsidRPr="00911998">
        <w:noBreakHyphen/>
        <w:t xml:space="preserve">ci tombe enceinte et </w:t>
      </w:r>
      <w:r w:rsidR="00445E36" w:rsidRPr="00911998">
        <w:t xml:space="preserve">donne naissance le </w:t>
      </w:r>
      <w:r w:rsidR="00552A22">
        <w:t>[...]</w:t>
      </w:r>
      <w:r w:rsidR="00445E36" w:rsidRPr="00911998">
        <w:t xml:space="preserve"> 2022 à </w:t>
      </w:r>
      <w:r w:rsidR="00153EC1">
        <w:t>X</w:t>
      </w:r>
      <w:r w:rsidR="00445E36" w:rsidRPr="00911998">
        <w:rPr>
          <w:rStyle w:val="Appelnotedebasdep"/>
        </w:rPr>
        <w:footnoteReference w:id="11"/>
      </w:r>
      <w:r w:rsidR="00445E36" w:rsidRPr="00911998">
        <w:t>.</w:t>
      </w:r>
    </w:p>
    <w:p w14:paraId="2CA59FDD" w14:textId="01194E64" w:rsidR="00445E36" w:rsidRPr="00911998" w:rsidRDefault="005715A7" w:rsidP="005715A7">
      <w:pPr>
        <w:pStyle w:val="Paragrsimple"/>
        <w:tabs>
          <w:tab w:val="clear" w:pos="360"/>
        </w:tabs>
      </w:pPr>
      <w:r w:rsidRPr="00911998">
        <w:t xml:space="preserve">Mesdames </w:t>
      </w:r>
      <w:proofErr w:type="gramStart"/>
      <w:r w:rsidR="00153EC1">
        <w:t>M...</w:t>
      </w:r>
      <w:proofErr w:type="gramEnd"/>
      <w:r w:rsidRPr="00911998">
        <w:t xml:space="preserve"> et </w:t>
      </w:r>
      <w:r w:rsidR="000032F7">
        <w:t>P...</w:t>
      </w:r>
      <w:r w:rsidRPr="00911998">
        <w:t xml:space="preserve">, ainsi que monsieur </w:t>
      </w:r>
      <w:r w:rsidR="000032F7">
        <w:t>D...</w:t>
      </w:r>
      <w:r w:rsidRPr="00911998">
        <w:t xml:space="preserve">, agissent tous les trois comme les parents </w:t>
      </w:r>
      <w:r w:rsidR="00552A22">
        <w:t>de X</w:t>
      </w:r>
      <w:r w:rsidRPr="00911998">
        <w:t xml:space="preserve"> et souhaitent </w:t>
      </w:r>
      <w:r w:rsidR="007A4D9E" w:rsidRPr="00911998">
        <w:t>se voir</w:t>
      </w:r>
      <w:r w:rsidRPr="00911998">
        <w:t xml:space="preserve"> officiellement </w:t>
      </w:r>
      <w:r w:rsidR="00896696" w:rsidRPr="00911998">
        <w:t>reconnus comme tels</w:t>
      </w:r>
      <w:r w:rsidRPr="00911998">
        <w:t xml:space="preserve">. </w:t>
      </w:r>
      <w:r w:rsidR="00896696" w:rsidRPr="00911998">
        <w:t>Cependant</w:t>
      </w:r>
      <w:r w:rsidRPr="00911998">
        <w:t xml:space="preserve">, le certificat de naissance de l’enfant n’identifie que madame </w:t>
      </w:r>
      <w:proofErr w:type="gramStart"/>
      <w:r w:rsidR="000032F7">
        <w:t>P...</w:t>
      </w:r>
      <w:proofErr w:type="gramEnd"/>
      <w:r w:rsidRPr="00911998">
        <w:t xml:space="preserve"> </w:t>
      </w:r>
      <w:r w:rsidR="001E5BAE" w:rsidRPr="00911998">
        <w:t>comme</w:t>
      </w:r>
      <w:r w:rsidRPr="00911998">
        <w:t xml:space="preserve"> mère, l’autre parent étant «</w:t>
      </w:r>
      <w:r w:rsidR="00F42D6D" w:rsidRPr="00911998">
        <w:t> </w:t>
      </w:r>
      <w:r w:rsidRPr="00911998">
        <w:t>non déclaré</w:t>
      </w:r>
      <w:r w:rsidR="00F42D6D" w:rsidRPr="00911998">
        <w:t> </w:t>
      </w:r>
      <w:r w:rsidRPr="00911998">
        <w:t>»</w:t>
      </w:r>
      <w:r w:rsidRPr="00911998">
        <w:rPr>
          <w:rStyle w:val="Appelnotedebasdep"/>
        </w:rPr>
        <w:footnoteReference w:id="12"/>
      </w:r>
      <w:r w:rsidRPr="00911998">
        <w:t>. Nous reviendrons sur cette question à la fin des présents motifs.</w:t>
      </w:r>
      <w:r w:rsidR="007E234B" w:rsidRPr="00911998">
        <w:t xml:space="preserve"> </w:t>
      </w:r>
    </w:p>
    <w:p w14:paraId="5D0968E9" w14:textId="4D9D0207" w:rsidR="005715A7" w:rsidRPr="00911998" w:rsidRDefault="005715A7" w:rsidP="005715A7">
      <w:pPr>
        <w:pStyle w:val="Paragrsimple"/>
        <w:tabs>
          <w:tab w:val="clear" w:pos="360"/>
        </w:tabs>
      </w:pPr>
      <w:r w:rsidRPr="00911998">
        <w:t xml:space="preserve">Les autres enfants de la famille acceptent la présence de madame </w:t>
      </w:r>
      <w:proofErr w:type="gramStart"/>
      <w:r w:rsidR="000032F7">
        <w:t>P...</w:t>
      </w:r>
      <w:proofErr w:type="gramEnd"/>
      <w:r w:rsidRPr="00911998">
        <w:t xml:space="preserve"> dans leur vie et acceptent </w:t>
      </w:r>
      <w:r w:rsidR="00153EC1">
        <w:t>X</w:t>
      </w:r>
      <w:r w:rsidRPr="00911998">
        <w:t xml:space="preserve"> comme leur frère</w:t>
      </w:r>
      <w:r w:rsidRPr="00911998">
        <w:rPr>
          <w:rStyle w:val="Appelnotedebasdep"/>
        </w:rPr>
        <w:footnoteReference w:id="13"/>
      </w:r>
      <w:r w:rsidRPr="00911998">
        <w:t>.</w:t>
      </w:r>
      <w:r w:rsidR="00A331A0" w:rsidRPr="00911998">
        <w:t xml:space="preserve"> Les familles élargies des parties accueillent bien leur situation familiale.</w:t>
      </w:r>
    </w:p>
    <w:p w14:paraId="679FD3AA" w14:textId="1EF8801E" w:rsidR="00A331A0" w:rsidRPr="00911998" w:rsidRDefault="00A331A0" w:rsidP="00A331A0">
      <w:pPr>
        <w:pStyle w:val="Paragrsimple"/>
        <w:tabs>
          <w:tab w:val="clear" w:pos="360"/>
        </w:tabs>
      </w:pPr>
      <w:r w:rsidRPr="00911998">
        <w:t xml:space="preserve">Un rapport d’expertise psychologique et des capacités parentales </w:t>
      </w:r>
      <w:r w:rsidR="00FA5AD3" w:rsidRPr="00911998">
        <w:t xml:space="preserve">portant sur </w:t>
      </w:r>
      <w:r w:rsidRPr="00911998">
        <w:t xml:space="preserve">la situation </w:t>
      </w:r>
      <w:r w:rsidR="00552A22">
        <w:t>de X</w:t>
      </w:r>
      <w:r w:rsidRPr="00911998">
        <w:t xml:space="preserve"> </w:t>
      </w:r>
      <w:r w:rsidR="00FA5AD3" w:rsidRPr="00911998">
        <w:t>est</w:t>
      </w:r>
      <w:r w:rsidRPr="00911998">
        <w:t xml:space="preserve"> </w:t>
      </w:r>
      <w:r w:rsidR="00FA5AD3" w:rsidRPr="00911998">
        <w:t xml:space="preserve">préparé </w:t>
      </w:r>
      <w:r w:rsidRPr="00911998">
        <w:t xml:space="preserve">par </w:t>
      </w:r>
      <w:r w:rsidR="00FA5AD3" w:rsidRPr="00911998">
        <w:t xml:space="preserve">la psychologue </w:t>
      </w:r>
      <w:r w:rsidRPr="00911998">
        <w:t xml:space="preserve">Karine Poitras, </w:t>
      </w:r>
      <w:proofErr w:type="spellStart"/>
      <w:r w:rsidRPr="00911998">
        <w:t>Ph.D</w:t>
      </w:r>
      <w:proofErr w:type="spellEnd"/>
      <w:r w:rsidRPr="00911998">
        <w:t>.</w:t>
      </w:r>
      <w:r w:rsidR="00FA5AD3" w:rsidRPr="00911998">
        <w:t>,</w:t>
      </w:r>
      <w:r w:rsidRPr="00911998">
        <w:t xml:space="preserve"> et </w:t>
      </w:r>
      <w:r w:rsidR="002256E4" w:rsidRPr="00911998">
        <w:t xml:space="preserve">est </w:t>
      </w:r>
      <w:r w:rsidRPr="00911998">
        <w:t>déposé en preuve</w:t>
      </w:r>
      <w:r w:rsidRPr="00911998">
        <w:rPr>
          <w:rStyle w:val="Appelnotedebasdep"/>
        </w:rPr>
        <w:footnoteReference w:id="14"/>
      </w:r>
      <w:r w:rsidRPr="00911998">
        <w:t>.</w:t>
      </w:r>
      <w:r w:rsidR="00E825D9" w:rsidRPr="00911998">
        <w:t xml:space="preserve"> Ce rapport, </w:t>
      </w:r>
      <w:r w:rsidR="00FA5AD3" w:rsidRPr="00911998">
        <w:t>rédig</w:t>
      </w:r>
      <w:r w:rsidR="00E825D9" w:rsidRPr="00911998">
        <w:t xml:space="preserve">é alors </w:t>
      </w:r>
      <w:r w:rsidR="00552A22">
        <w:t>que X</w:t>
      </w:r>
      <w:r w:rsidR="00E825D9" w:rsidRPr="00911998">
        <w:t xml:space="preserve"> n’a que quatre mois, conclut que</w:t>
      </w:r>
      <w:r w:rsidR="00FF253E" w:rsidRPr="00911998">
        <w:rPr>
          <w:rStyle w:val="Appelnotedebasdep"/>
        </w:rPr>
        <w:footnoteReference w:id="15"/>
      </w:r>
      <w:r w:rsidR="00E825D9" w:rsidRPr="00911998">
        <w:t> :</w:t>
      </w:r>
    </w:p>
    <w:p w14:paraId="791BF612" w14:textId="752A9E07" w:rsidR="00E825D9" w:rsidRPr="00911998" w:rsidRDefault="00E825D9" w:rsidP="00E825D9">
      <w:pPr>
        <w:ind w:left="567" w:right="560"/>
        <w:jc w:val="both"/>
        <w:rPr>
          <w:sz w:val="22"/>
          <w:szCs w:val="22"/>
        </w:rPr>
      </w:pPr>
      <w:r w:rsidRPr="00911998">
        <w:rPr>
          <w:rFonts w:cs="Arial"/>
          <w:sz w:val="22"/>
          <w:szCs w:val="22"/>
        </w:rPr>
        <w:t>[…] [L</w:t>
      </w:r>
      <w:proofErr w:type="gramStart"/>
      <w:r w:rsidRPr="00911998">
        <w:rPr>
          <w:rFonts w:cs="Arial"/>
          <w:sz w:val="22"/>
          <w:szCs w:val="22"/>
        </w:rPr>
        <w:t>’]enfant</w:t>
      </w:r>
      <w:proofErr w:type="gramEnd"/>
      <w:r w:rsidRPr="00911998">
        <w:rPr>
          <w:rFonts w:cs="Arial"/>
          <w:sz w:val="22"/>
          <w:szCs w:val="22"/>
        </w:rPr>
        <w:t xml:space="preserve"> […] évolue depuis sa naissance dans une famille aimante composée de trois adultes jouant un rôle parental actif. Ils souhaitent s’impliquer comme parent, sont engagés face à l’enfant et considère [</w:t>
      </w:r>
      <w:r w:rsidRPr="00911998">
        <w:rPr>
          <w:rFonts w:cs="Arial"/>
          <w:i/>
          <w:iCs/>
          <w:sz w:val="22"/>
          <w:szCs w:val="22"/>
        </w:rPr>
        <w:t>sic</w:t>
      </w:r>
      <w:r w:rsidRPr="00911998">
        <w:rPr>
          <w:rFonts w:cs="Arial"/>
          <w:sz w:val="22"/>
          <w:szCs w:val="22"/>
        </w:rPr>
        <w:t xml:space="preserve">] le rôle parental de chacun face à </w:t>
      </w:r>
      <w:r w:rsidR="00153EC1">
        <w:rPr>
          <w:rFonts w:cs="Arial"/>
          <w:sz w:val="22"/>
          <w:szCs w:val="22"/>
        </w:rPr>
        <w:t>X</w:t>
      </w:r>
      <w:r w:rsidRPr="00911998">
        <w:rPr>
          <w:rFonts w:cs="Arial"/>
          <w:sz w:val="22"/>
          <w:szCs w:val="22"/>
        </w:rPr>
        <w:t xml:space="preserve">. Mme </w:t>
      </w:r>
      <w:proofErr w:type="gramStart"/>
      <w:r w:rsidR="00153EC1">
        <w:rPr>
          <w:rFonts w:cs="Arial"/>
          <w:sz w:val="22"/>
          <w:szCs w:val="22"/>
        </w:rPr>
        <w:t>M...</w:t>
      </w:r>
      <w:proofErr w:type="gramEnd"/>
      <w:r w:rsidRPr="00911998">
        <w:rPr>
          <w:rFonts w:cs="Arial"/>
          <w:sz w:val="22"/>
          <w:szCs w:val="22"/>
        </w:rPr>
        <w:t xml:space="preserve">, Mme </w:t>
      </w:r>
      <w:r w:rsidR="000032F7">
        <w:rPr>
          <w:rFonts w:cs="Arial"/>
          <w:sz w:val="22"/>
          <w:szCs w:val="22"/>
        </w:rPr>
        <w:t>P...</w:t>
      </w:r>
      <w:r w:rsidRPr="00911998">
        <w:rPr>
          <w:rFonts w:cs="Arial"/>
          <w:sz w:val="22"/>
          <w:szCs w:val="22"/>
        </w:rPr>
        <w:t xml:space="preserve"> et M. </w:t>
      </w:r>
      <w:r w:rsidR="000032F7">
        <w:rPr>
          <w:rFonts w:cs="Arial"/>
          <w:sz w:val="22"/>
          <w:szCs w:val="22"/>
        </w:rPr>
        <w:t>D...</w:t>
      </w:r>
      <w:r w:rsidRPr="00911998">
        <w:rPr>
          <w:rFonts w:cs="Arial"/>
          <w:sz w:val="22"/>
          <w:szCs w:val="22"/>
        </w:rPr>
        <w:t xml:space="preserve"> sont engagés dans une relation polyamoureuse et la cellule fam</w:t>
      </w:r>
      <w:r w:rsidR="00FF253E" w:rsidRPr="00911998">
        <w:rPr>
          <w:rFonts w:cs="Arial"/>
          <w:sz w:val="22"/>
          <w:szCs w:val="22"/>
        </w:rPr>
        <w:t>i</w:t>
      </w:r>
      <w:r w:rsidRPr="00911998">
        <w:rPr>
          <w:rFonts w:cs="Arial"/>
          <w:sz w:val="22"/>
          <w:szCs w:val="22"/>
        </w:rPr>
        <w:t>liale est</w:t>
      </w:r>
      <w:r w:rsidR="00FF253E" w:rsidRPr="00911998">
        <w:rPr>
          <w:rFonts w:cs="Arial"/>
          <w:sz w:val="22"/>
          <w:szCs w:val="22"/>
        </w:rPr>
        <w:t xml:space="preserve"> organisée en conséquence.</w:t>
      </w:r>
    </w:p>
    <w:p w14:paraId="40302FA3" w14:textId="6923E231" w:rsidR="00A331A0" w:rsidRPr="00911998" w:rsidRDefault="00FF253E" w:rsidP="00A331A0">
      <w:pPr>
        <w:pStyle w:val="Paragrsimple"/>
        <w:tabs>
          <w:tab w:val="clear" w:pos="360"/>
        </w:tabs>
      </w:pPr>
      <w:r w:rsidRPr="00911998">
        <w:t xml:space="preserve">Selon madame Poitras, les évaluations psychologiques effectuées, de même qu’une analyse de la littérature scientifique, ne permettent pas d’observer une </w:t>
      </w:r>
      <w:r w:rsidRPr="00911998">
        <w:lastRenderedPageBreak/>
        <w:t>contre</w:t>
      </w:r>
      <w:r w:rsidRPr="00911998">
        <w:noBreakHyphen/>
        <w:t xml:space="preserve">indication à </w:t>
      </w:r>
      <w:r w:rsidR="00F42D6D" w:rsidRPr="00911998">
        <w:t>ce que</w:t>
      </w:r>
      <w:r w:rsidRPr="00911998">
        <w:t xml:space="preserve"> mesdames </w:t>
      </w:r>
      <w:proofErr w:type="gramStart"/>
      <w:r w:rsidR="00153EC1">
        <w:t>M...</w:t>
      </w:r>
      <w:proofErr w:type="gramEnd"/>
      <w:r w:rsidRPr="00911998">
        <w:t xml:space="preserve"> et </w:t>
      </w:r>
      <w:r w:rsidR="000032F7">
        <w:t>P...</w:t>
      </w:r>
      <w:r w:rsidR="002256E4" w:rsidRPr="00911998">
        <w:t xml:space="preserve"> et</w:t>
      </w:r>
      <w:r w:rsidRPr="00911998">
        <w:t xml:space="preserve"> monsieur </w:t>
      </w:r>
      <w:r w:rsidR="000032F7">
        <w:t>D...</w:t>
      </w:r>
      <w:r w:rsidRPr="00911998">
        <w:t xml:space="preserve"> soient tous trois les parents </w:t>
      </w:r>
      <w:r w:rsidR="00552A22">
        <w:t>de X</w:t>
      </w:r>
      <w:r w:rsidRPr="00911998">
        <w:rPr>
          <w:rStyle w:val="Appelnotedebasdep"/>
        </w:rPr>
        <w:footnoteReference w:id="16"/>
      </w:r>
      <w:r w:rsidRPr="00911998">
        <w:t>.</w:t>
      </w:r>
    </w:p>
    <w:p w14:paraId="05D6F36A" w14:textId="1E081E21" w:rsidR="0060058D" w:rsidRPr="00911998" w:rsidRDefault="00FF253E" w:rsidP="00FF253E">
      <w:pPr>
        <w:pStyle w:val="Titre2"/>
      </w:pPr>
      <w:bookmarkStart w:id="3" w:name="_Toc196463719"/>
      <w:r w:rsidRPr="00911998">
        <w:t xml:space="preserve">La Famille </w:t>
      </w:r>
      <w:r w:rsidR="000032F7">
        <w:t>Pa...</w:t>
      </w:r>
      <w:r w:rsidRPr="00911998">
        <w:t>-</w:t>
      </w:r>
      <w:proofErr w:type="gramStart"/>
      <w:r w:rsidR="00E13A68">
        <w:t>J...</w:t>
      </w:r>
      <w:proofErr w:type="gramEnd"/>
      <w:r w:rsidRPr="00911998">
        <w:noBreakHyphen/>
      </w:r>
      <w:bookmarkEnd w:id="3"/>
      <w:r w:rsidR="00E13A68">
        <w:t>Je...</w:t>
      </w:r>
    </w:p>
    <w:p w14:paraId="47B7D047" w14:textId="1554FD3C" w:rsidR="00246A67" w:rsidRPr="00911998" w:rsidRDefault="00246A67" w:rsidP="00FF253E">
      <w:pPr>
        <w:pStyle w:val="Paragrsimple"/>
        <w:tabs>
          <w:tab w:val="clear" w:pos="360"/>
        </w:tabs>
      </w:pPr>
      <w:r w:rsidRPr="00911998">
        <w:t xml:space="preserve">Mesdames </w:t>
      </w:r>
      <w:r w:rsidR="000032F7">
        <w:t>Pa...</w:t>
      </w:r>
      <w:r w:rsidRPr="00911998">
        <w:t xml:space="preserve"> et </w:t>
      </w:r>
      <w:proofErr w:type="gramStart"/>
      <w:r w:rsidR="00E13A68">
        <w:t>J...</w:t>
      </w:r>
      <w:proofErr w:type="gramEnd"/>
      <w:r w:rsidRPr="00911998">
        <w:t xml:space="preserve"> et monsieur </w:t>
      </w:r>
      <w:r w:rsidR="00E13A68">
        <w:t>Je...</w:t>
      </w:r>
      <w:r w:rsidRPr="00911998">
        <w:t xml:space="preserve"> sont les parents </w:t>
      </w:r>
      <w:r w:rsidR="00552A22">
        <w:t>de Y</w:t>
      </w:r>
      <w:r w:rsidR="00DC107F" w:rsidRPr="00911998">
        <w:t>,</w:t>
      </w:r>
      <w:r w:rsidRPr="00911998">
        <w:t xml:space="preserve"> qui est âgé de 13 ans.</w:t>
      </w:r>
    </w:p>
    <w:p w14:paraId="51B0B8E4" w14:textId="6E93C0A3" w:rsidR="00E241A9" w:rsidRPr="00911998" w:rsidRDefault="00A9390F" w:rsidP="00FF253E">
      <w:pPr>
        <w:pStyle w:val="Paragrsimple"/>
        <w:tabs>
          <w:tab w:val="clear" w:pos="360"/>
        </w:tabs>
      </w:pPr>
      <w:r w:rsidRPr="00911998">
        <w:t xml:space="preserve">Mesdames </w:t>
      </w:r>
      <w:r w:rsidR="000032F7">
        <w:t>Pa...</w:t>
      </w:r>
      <w:r w:rsidRPr="00911998">
        <w:t xml:space="preserve"> et </w:t>
      </w:r>
      <w:proofErr w:type="gramStart"/>
      <w:r w:rsidR="00E13A68">
        <w:t>J...</w:t>
      </w:r>
      <w:proofErr w:type="gramEnd"/>
      <w:r w:rsidRPr="00911998">
        <w:t xml:space="preserve"> commencent à se fréquenter en 2008. Éventuellement, elles forment un couple et pensent à fonder </w:t>
      </w:r>
      <w:r w:rsidR="00E241A9" w:rsidRPr="00911998">
        <w:t>u</w:t>
      </w:r>
      <w:r w:rsidRPr="00911998">
        <w:t>ne famille ensemble.</w:t>
      </w:r>
      <w:r w:rsidR="00E241A9" w:rsidRPr="00911998">
        <w:t xml:space="preserve"> Elles souhaitent chacune porter un enfant et veulent </w:t>
      </w:r>
      <w:r w:rsidR="00DC107F" w:rsidRPr="00911998">
        <w:t>que leurs enfants</w:t>
      </w:r>
      <w:r w:rsidR="00E776DA" w:rsidRPr="00911998">
        <w:t xml:space="preserve"> </w:t>
      </w:r>
      <w:r w:rsidR="00DC107F" w:rsidRPr="00911998">
        <w:t>ai</w:t>
      </w:r>
      <w:r w:rsidR="00E241A9" w:rsidRPr="00911998">
        <w:t>ent un lien génétique</w:t>
      </w:r>
      <w:r w:rsidR="00DC107F" w:rsidRPr="00911998">
        <w:t xml:space="preserve"> entre eux</w:t>
      </w:r>
      <w:r w:rsidR="00E241A9" w:rsidRPr="00911998">
        <w:t>.</w:t>
      </w:r>
    </w:p>
    <w:p w14:paraId="563AC212" w14:textId="55C0D417" w:rsidR="00385FA0" w:rsidRPr="00911998" w:rsidRDefault="00DC107F" w:rsidP="00FF253E">
      <w:pPr>
        <w:pStyle w:val="Paragrsimple"/>
        <w:tabs>
          <w:tab w:val="clear" w:pos="360"/>
        </w:tabs>
      </w:pPr>
      <w:r w:rsidRPr="00911998">
        <w:t>En tant que</w:t>
      </w:r>
      <w:r w:rsidR="00A9390F" w:rsidRPr="00911998">
        <w:t xml:space="preserve"> femmes lesbiennes, elles doivent trouver un donneur de forces génétiques </w:t>
      </w:r>
      <w:r w:rsidR="003D08CC" w:rsidRPr="00911998">
        <w:t>pour</w:t>
      </w:r>
      <w:r w:rsidR="00A9390F" w:rsidRPr="00911998">
        <w:t xml:space="preserve"> </w:t>
      </w:r>
      <w:r w:rsidR="00810937" w:rsidRPr="00911998">
        <w:t>devenir</w:t>
      </w:r>
      <w:r w:rsidR="00B074DB" w:rsidRPr="00911998">
        <w:t xml:space="preserve"> </w:t>
      </w:r>
      <w:r w:rsidR="00A9390F" w:rsidRPr="00911998">
        <w:t xml:space="preserve">enceintes. </w:t>
      </w:r>
      <w:r w:rsidR="00E241A9" w:rsidRPr="00911998">
        <w:t>Toutefois, i</w:t>
      </w:r>
      <w:r w:rsidR="00A9390F" w:rsidRPr="00911998">
        <w:t>l est important pour elles que le père de leurs enfants soit présent dans l</w:t>
      </w:r>
      <w:r w:rsidR="00E776DA" w:rsidRPr="00911998">
        <w:t>a</w:t>
      </w:r>
      <w:r w:rsidR="00A9390F" w:rsidRPr="00911998">
        <w:t xml:space="preserve"> vie</w:t>
      </w:r>
      <w:r w:rsidR="00E776DA" w:rsidRPr="00911998">
        <w:t xml:space="preserve"> de ceux</w:t>
      </w:r>
      <w:r w:rsidR="00E776DA" w:rsidRPr="00911998">
        <w:noBreakHyphen/>
        <w:t>ci</w:t>
      </w:r>
      <w:r w:rsidR="00A9390F" w:rsidRPr="00911998">
        <w:t xml:space="preserve">. </w:t>
      </w:r>
      <w:r w:rsidR="00E241A9" w:rsidRPr="00911998">
        <w:t>Ce souhait complique la recherche d’un père biologique pour réaliser leur projet.</w:t>
      </w:r>
    </w:p>
    <w:p w14:paraId="023A3F88" w14:textId="2CCD71CF" w:rsidR="00A815C6" w:rsidRPr="00911998" w:rsidRDefault="006261BA" w:rsidP="00362C07">
      <w:pPr>
        <w:pStyle w:val="Paragrsimple"/>
        <w:tabs>
          <w:tab w:val="clear" w:pos="360"/>
        </w:tabs>
      </w:pPr>
      <w:r w:rsidRPr="00911998">
        <w:t xml:space="preserve">Monsieur </w:t>
      </w:r>
      <w:r w:rsidR="00E13A68">
        <w:t>Je...</w:t>
      </w:r>
      <w:r w:rsidRPr="00911998">
        <w:t xml:space="preserve"> est un ami d’enfance du frère de madame </w:t>
      </w:r>
      <w:r w:rsidR="000032F7">
        <w:t>Pa...</w:t>
      </w:r>
      <w:r w:rsidR="00CC79B8" w:rsidRPr="00911998">
        <w:t xml:space="preserve">. Depuis </w:t>
      </w:r>
      <w:r w:rsidR="00E776DA" w:rsidRPr="00911998">
        <w:t>toujours</w:t>
      </w:r>
      <w:r w:rsidR="00CC79B8" w:rsidRPr="00911998">
        <w:t>,</w:t>
      </w:r>
      <w:r w:rsidRPr="00911998">
        <w:t xml:space="preserve"> </w:t>
      </w:r>
      <w:r w:rsidR="00CC79B8" w:rsidRPr="00911998">
        <w:t>il</w:t>
      </w:r>
      <w:r w:rsidRPr="00911998">
        <w:t xml:space="preserve"> caressait le rêve de devenir père. </w:t>
      </w:r>
    </w:p>
    <w:p w14:paraId="056DF611" w14:textId="23E7836C" w:rsidR="00000519" w:rsidRPr="00911998" w:rsidRDefault="006261BA" w:rsidP="00362C07">
      <w:pPr>
        <w:pStyle w:val="Paragrsimple"/>
        <w:tabs>
          <w:tab w:val="clear" w:pos="360"/>
        </w:tabs>
      </w:pPr>
      <w:r w:rsidRPr="00911998">
        <w:t xml:space="preserve">À l’âge de 40 ans, </w:t>
      </w:r>
      <w:r w:rsidR="00A32B91" w:rsidRPr="00911998">
        <w:t xml:space="preserve">monsieur </w:t>
      </w:r>
      <w:r w:rsidR="00E13A68">
        <w:t>Je...</w:t>
      </w:r>
      <w:r w:rsidRPr="00911998">
        <w:t xml:space="preserve"> fait le bilan de sa vie et met </w:t>
      </w:r>
      <w:r w:rsidR="00A86D4F" w:rsidRPr="00911998">
        <w:t>par écrit</w:t>
      </w:r>
      <w:r w:rsidRPr="00911998">
        <w:t xml:space="preserve"> ses pensées quant </w:t>
      </w:r>
      <w:r w:rsidR="008541F0" w:rsidRPr="00911998">
        <w:t xml:space="preserve">à </w:t>
      </w:r>
      <w:r w:rsidRPr="00911998">
        <w:t xml:space="preserve">son </w:t>
      </w:r>
      <w:r w:rsidR="003D08CC" w:rsidRPr="00911998">
        <w:t>souhait</w:t>
      </w:r>
      <w:r w:rsidRPr="00911998">
        <w:t xml:space="preserve"> de devenir parent. </w:t>
      </w:r>
      <w:r w:rsidR="00A32B91" w:rsidRPr="00911998">
        <w:t>Son texte</w:t>
      </w:r>
      <w:r w:rsidR="00000519" w:rsidRPr="00911998">
        <w:t xml:space="preserve"> prend la forme d’une lettre</w:t>
      </w:r>
      <w:r w:rsidR="003D08CC" w:rsidRPr="00911998">
        <w:rPr>
          <w:rStyle w:val="Appelnotedebasdep"/>
        </w:rPr>
        <w:footnoteReference w:id="17"/>
      </w:r>
      <w:r w:rsidR="003D08CC" w:rsidRPr="00911998">
        <w:t>,</w:t>
      </w:r>
      <w:r w:rsidR="00000519" w:rsidRPr="00911998">
        <w:t xml:space="preserve"> qu’il envoie à plusieurs amis et connaissances, dont madame </w:t>
      </w:r>
      <w:r w:rsidR="000032F7">
        <w:t>Pa...</w:t>
      </w:r>
      <w:r w:rsidR="00000519" w:rsidRPr="00911998">
        <w:t>.</w:t>
      </w:r>
      <w:r w:rsidR="00A32B91" w:rsidRPr="00911998">
        <w:t xml:space="preserve"> Il y exprime notamment son souhait de trouver une femme qui serait la mère de son enfant et qui serait impliquée dans sa vie comme une maman.</w:t>
      </w:r>
    </w:p>
    <w:p w14:paraId="1EAA1BA0" w14:textId="04222144" w:rsidR="00E241A9" w:rsidRPr="00911998" w:rsidRDefault="006261BA" w:rsidP="00E241A9">
      <w:pPr>
        <w:pStyle w:val="Paragrsimple"/>
        <w:tabs>
          <w:tab w:val="clear" w:pos="360"/>
        </w:tabs>
      </w:pPr>
      <w:r w:rsidRPr="00911998">
        <w:t xml:space="preserve">  </w:t>
      </w:r>
      <w:r w:rsidR="00682296" w:rsidRPr="00911998">
        <w:t>À l’</w:t>
      </w:r>
      <w:r w:rsidR="00F73257" w:rsidRPr="00911998">
        <w:t>été</w:t>
      </w:r>
      <w:r w:rsidR="003D08CC" w:rsidRPr="00911998">
        <w:t> </w:t>
      </w:r>
      <w:r w:rsidR="00F73257" w:rsidRPr="00911998">
        <w:t>2010, alors que m</w:t>
      </w:r>
      <w:r w:rsidR="00D90AC9" w:rsidRPr="00911998">
        <w:t>es</w:t>
      </w:r>
      <w:r w:rsidR="00F73257" w:rsidRPr="00911998">
        <w:t>dame</w:t>
      </w:r>
      <w:r w:rsidR="00D90AC9" w:rsidRPr="00911998">
        <w:t>s</w:t>
      </w:r>
      <w:r w:rsidR="00F73257" w:rsidRPr="00911998">
        <w:t xml:space="preserve"> </w:t>
      </w:r>
      <w:proofErr w:type="gramStart"/>
      <w:r w:rsidR="00E13A68">
        <w:t>J...</w:t>
      </w:r>
      <w:proofErr w:type="gramEnd"/>
      <w:r w:rsidR="00F73257" w:rsidRPr="00911998">
        <w:t xml:space="preserve"> et </w:t>
      </w:r>
      <w:r w:rsidR="000032F7">
        <w:t>Pa...</w:t>
      </w:r>
      <w:r w:rsidR="00F73257" w:rsidRPr="00911998">
        <w:t xml:space="preserve"> se penchent sur la question du donneur de forces génétiques pour leur projet parental, </w:t>
      </w:r>
      <w:r w:rsidR="00D90AC9" w:rsidRPr="00911998">
        <w:t>cette dernière</w:t>
      </w:r>
      <w:r w:rsidR="00F73257" w:rsidRPr="00911998">
        <w:t xml:space="preserve"> reçoit un courriel de monsieur </w:t>
      </w:r>
      <w:r w:rsidR="00E13A68">
        <w:t>Je...</w:t>
      </w:r>
      <w:r w:rsidR="00F73257" w:rsidRPr="00911998">
        <w:t xml:space="preserve"> </w:t>
      </w:r>
      <w:r w:rsidR="00682296" w:rsidRPr="00911998">
        <w:t xml:space="preserve">accompagné de </w:t>
      </w:r>
      <w:r w:rsidR="00F73257" w:rsidRPr="00911998">
        <w:t>sa lettre.</w:t>
      </w:r>
      <w:r w:rsidR="00246A67" w:rsidRPr="00911998">
        <w:t xml:space="preserve"> Elles sont enchantées </w:t>
      </w:r>
      <w:r w:rsidR="003D08CC" w:rsidRPr="00911998">
        <w:t>par</w:t>
      </w:r>
      <w:r w:rsidR="00246A67" w:rsidRPr="00911998">
        <w:t xml:space="preserve"> l’idée que monsieur </w:t>
      </w:r>
      <w:r w:rsidR="00E13A68">
        <w:t>Je...</w:t>
      </w:r>
      <w:r w:rsidR="00246A67" w:rsidRPr="00911998">
        <w:t xml:space="preserve"> soit le père de leurs enfants</w:t>
      </w:r>
      <w:r w:rsidR="006E57C7" w:rsidRPr="00911998">
        <w:t xml:space="preserve"> et entrent en contact rapidement avec lui</w:t>
      </w:r>
      <w:r w:rsidR="00246A67" w:rsidRPr="00911998">
        <w:t>.</w:t>
      </w:r>
    </w:p>
    <w:p w14:paraId="5D5C86CB" w14:textId="79A72748" w:rsidR="00246A67" w:rsidRPr="00911998" w:rsidRDefault="00246A67" w:rsidP="00246A67">
      <w:pPr>
        <w:pStyle w:val="Paragrsimple"/>
        <w:tabs>
          <w:tab w:val="clear" w:pos="360"/>
        </w:tabs>
      </w:pPr>
      <w:r w:rsidRPr="00911998">
        <w:t>Les trois se réunissent pour discuter de leurs valeurs</w:t>
      </w:r>
      <w:r w:rsidR="00253068" w:rsidRPr="00911998">
        <w:t xml:space="preserve">, </w:t>
      </w:r>
      <w:r w:rsidR="00A86D4F" w:rsidRPr="00911998">
        <w:t>qui</w:t>
      </w:r>
      <w:r w:rsidR="00253068" w:rsidRPr="00911998">
        <w:t xml:space="preserve"> se rejoignent,</w:t>
      </w:r>
      <w:r w:rsidRPr="00911998">
        <w:t xml:space="preserve"> et pour explorer la possibilité d</w:t>
      </w:r>
      <w:r w:rsidR="00435B76" w:rsidRPr="00911998">
        <w:t xml:space="preserve">e </w:t>
      </w:r>
      <w:r w:rsidR="00253068" w:rsidRPr="00911998">
        <w:t>participer à</w:t>
      </w:r>
      <w:r w:rsidR="00435B76" w:rsidRPr="00911998">
        <w:t xml:space="preserve"> </w:t>
      </w:r>
      <w:r w:rsidRPr="00911998">
        <w:t xml:space="preserve">un projet parental. </w:t>
      </w:r>
      <w:r w:rsidR="00B27428" w:rsidRPr="00911998">
        <w:t>En septembre 2010, ils décident de former une famille dans le cadre d’un projet parental à trois</w:t>
      </w:r>
      <w:r w:rsidR="001C3CDD" w:rsidRPr="00911998">
        <w:t>.</w:t>
      </w:r>
      <w:r w:rsidR="001F7A59" w:rsidRPr="00911998">
        <w:t xml:space="preserve"> </w:t>
      </w:r>
      <w:r w:rsidR="001C3CDD" w:rsidRPr="00911998">
        <w:t>S</w:t>
      </w:r>
      <w:r w:rsidR="001F7A59" w:rsidRPr="00911998">
        <w:t>elon le</w:t>
      </w:r>
      <w:r w:rsidR="001C3CDD" w:rsidRPr="00911998">
        <w:t>ur projet,</w:t>
      </w:r>
      <w:r w:rsidR="00423DF2" w:rsidRPr="00911998">
        <w:t xml:space="preserve"> m</w:t>
      </w:r>
      <w:r w:rsidR="00ED1E8B" w:rsidRPr="00911998">
        <w:t>es</w:t>
      </w:r>
      <w:r w:rsidR="00423DF2" w:rsidRPr="00911998">
        <w:t>dame</w:t>
      </w:r>
      <w:r w:rsidR="00ED1E8B" w:rsidRPr="00911998">
        <w:t>s</w:t>
      </w:r>
      <w:r w:rsidR="00423DF2" w:rsidRPr="00911998">
        <w:t xml:space="preserve"> </w:t>
      </w:r>
      <w:r w:rsidR="000032F7">
        <w:t>Pa...</w:t>
      </w:r>
      <w:r w:rsidR="00423DF2" w:rsidRPr="00911998">
        <w:t xml:space="preserve"> et </w:t>
      </w:r>
      <w:proofErr w:type="gramStart"/>
      <w:r w:rsidR="00E13A68">
        <w:t>J...</w:t>
      </w:r>
      <w:proofErr w:type="gramEnd"/>
      <w:r w:rsidR="00423DF2" w:rsidRPr="00911998">
        <w:t xml:space="preserve"> porterai</w:t>
      </w:r>
      <w:r w:rsidR="00A86D4F" w:rsidRPr="00911998">
        <w:t>en</w:t>
      </w:r>
      <w:r w:rsidR="00423DF2" w:rsidRPr="00911998">
        <w:t xml:space="preserve">t un enfant </w:t>
      </w:r>
      <w:r w:rsidR="00A86D4F" w:rsidRPr="00911998">
        <w:t>chacune, et</w:t>
      </w:r>
      <w:r w:rsidR="00423DF2" w:rsidRPr="00911998">
        <w:t xml:space="preserve"> monsieur </w:t>
      </w:r>
      <w:r w:rsidR="00E13A68">
        <w:t>Je...</w:t>
      </w:r>
      <w:r w:rsidR="00423DF2" w:rsidRPr="00911998">
        <w:t xml:space="preserve"> </w:t>
      </w:r>
      <w:r w:rsidR="00A86D4F" w:rsidRPr="00911998">
        <w:t xml:space="preserve">en </w:t>
      </w:r>
      <w:r w:rsidR="00423DF2" w:rsidRPr="00911998">
        <w:t xml:space="preserve">serait le père. </w:t>
      </w:r>
    </w:p>
    <w:p w14:paraId="13F7EDF7" w14:textId="068A3214" w:rsidR="001F7A59" w:rsidRPr="00911998" w:rsidRDefault="000D36E7" w:rsidP="001F7A59">
      <w:pPr>
        <w:pStyle w:val="Paragrsimple"/>
        <w:tabs>
          <w:tab w:val="clear" w:pos="360"/>
        </w:tabs>
      </w:pPr>
      <w:r w:rsidRPr="00911998">
        <w:t xml:space="preserve">Madame </w:t>
      </w:r>
      <w:r w:rsidR="000032F7">
        <w:t>Pa...</w:t>
      </w:r>
      <w:r w:rsidRPr="00911998">
        <w:t xml:space="preserve"> tombe enceinte et donne naissance à </w:t>
      </w:r>
      <w:r w:rsidR="00D90957">
        <w:t>Y</w:t>
      </w:r>
      <w:r w:rsidR="00A064D7" w:rsidRPr="00911998">
        <w:t xml:space="preserve"> le </w:t>
      </w:r>
      <w:r w:rsidR="00D90957">
        <w:t>[...]</w:t>
      </w:r>
      <w:r w:rsidR="00A064D7" w:rsidRPr="00911998">
        <w:t xml:space="preserve"> 2011</w:t>
      </w:r>
      <w:r w:rsidRPr="00911998">
        <w:t xml:space="preserve">. Toutefois, les tentatives de fécondation de madame </w:t>
      </w:r>
      <w:proofErr w:type="gramStart"/>
      <w:r w:rsidR="00E13A68">
        <w:t>J...</w:t>
      </w:r>
      <w:proofErr w:type="gramEnd"/>
      <w:r w:rsidRPr="00911998">
        <w:t xml:space="preserve"> </w:t>
      </w:r>
      <w:r w:rsidR="00AE0BFC" w:rsidRPr="00911998">
        <w:t>n’ont pas fonctionné</w:t>
      </w:r>
      <w:r w:rsidRPr="00911998">
        <w:t>.</w:t>
      </w:r>
    </w:p>
    <w:p w14:paraId="71D2BBF6" w14:textId="491665E6" w:rsidR="008B15B0" w:rsidRPr="00911998" w:rsidRDefault="000D36E7" w:rsidP="000D36E7">
      <w:pPr>
        <w:pStyle w:val="Paragrsimple"/>
        <w:tabs>
          <w:tab w:val="clear" w:pos="360"/>
        </w:tabs>
      </w:pPr>
      <w:r w:rsidRPr="00911998">
        <w:lastRenderedPageBreak/>
        <w:t xml:space="preserve">Le certificat de naissance </w:t>
      </w:r>
      <w:r w:rsidR="00D90957">
        <w:t>de Y</w:t>
      </w:r>
      <w:r w:rsidRPr="00911998">
        <w:t xml:space="preserve"> identifie madame </w:t>
      </w:r>
      <w:r w:rsidR="000032F7">
        <w:t>Pa...</w:t>
      </w:r>
      <w:r w:rsidRPr="00911998">
        <w:t xml:space="preserve"> comme mère et monsieur </w:t>
      </w:r>
      <w:r w:rsidR="00E13A68">
        <w:t>Je...</w:t>
      </w:r>
      <w:r w:rsidRPr="00911998">
        <w:t xml:space="preserve"> comme père</w:t>
      </w:r>
      <w:r w:rsidR="00CC79B8" w:rsidRPr="00911998">
        <w:rPr>
          <w:rStyle w:val="Appelnotedebasdep"/>
        </w:rPr>
        <w:footnoteReference w:id="18"/>
      </w:r>
      <w:r w:rsidRPr="00911998">
        <w:t xml:space="preserve">. </w:t>
      </w:r>
      <w:r w:rsidR="008B15B0" w:rsidRPr="00911998">
        <w:t xml:space="preserve">Pourtant, </w:t>
      </w:r>
      <w:r w:rsidR="00552A22">
        <w:t>Y</w:t>
      </w:r>
      <w:r w:rsidR="008B15B0" w:rsidRPr="00911998">
        <w:t xml:space="preserve"> a bien trois parents : monsieur </w:t>
      </w:r>
      <w:r w:rsidR="00E13A68">
        <w:t>Je...</w:t>
      </w:r>
      <w:r w:rsidR="008B15B0" w:rsidRPr="00911998">
        <w:t xml:space="preserve"> est son </w:t>
      </w:r>
      <w:r w:rsidR="00A32B91" w:rsidRPr="00911998">
        <w:t>«</w:t>
      </w:r>
      <w:r w:rsidR="003D08CC" w:rsidRPr="00911998">
        <w:t> </w:t>
      </w:r>
      <w:r w:rsidR="00A32B91" w:rsidRPr="00911998">
        <w:t>Papa</w:t>
      </w:r>
      <w:r w:rsidR="003D08CC" w:rsidRPr="00911998">
        <w:t> </w:t>
      </w:r>
      <w:r w:rsidR="00A32B91" w:rsidRPr="00911998">
        <w:t>»</w:t>
      </w:r>
      <w:r w:rsidR="008B15B0" w:rsidRPr="00911998">
        <w:t xml:space="preserve">, madame </w:t>
      </w:r>
      <w:r w:rsidR="000032F7">
        <w:t>Pa...</w:t>
      </w:r>
      <w:r w:rsidR="008B15B0" w:rsidRPr="00911998">
        <w:t xml:space="preserve"> est sa «</w:t>
      </w:r>
      <w:r w:rsidR="003D08CC" w:rsidRPr="00911998">
        <w:t> </w:t>
      </w:r>
      <w:r w:rsidR="00C13153" w:rsidRPr="00911998">
        <w:t>M</w:t>
      </w:r>
      <w:r w:rsidR="008B15B0" w:rsidRPr="00911998">
        <w:t>aman</w:t>
      </w:r>
      <w:r w:rsidR="003D08CC" w:rsidRPr="00911998">
        <w:t> </w:t>
      </w:r>
      <w:r w:rsidR="008B15B0" w:rsidRPr="00911998">
        <w:t xml:space="preserve">» et madame </w:t>
      </w:r>
      <w:proofErr w:type="gramStart"/>
      <w:r w:rsidR="00E13A68">
        <w:t>J...</w:t>
      </w:r>
      <w:proofErr w:type="gramEnd"/>
      <w:r w:rsidR="008B15B0" w:rsidRPr="00911998">
        <w:t xml:space="preserve"> est sa «</w:t>
      </w:r>
      <w:r w:rsidR="003D08CC" w:rsidRPr="00911998">
        <w:t> </w:t>
      </w:r>
      <w:proofErr w:type="spellStart"/>
      <w:r w:rsidR="00C13153" w:rsidRPr="00911998">
        <w:t>M</w:t>
      </w:r>
      <w:r w:rsidR="008B15B0" w:rsidRPr="00911998">
        <w:t>om</w:t>
      </w:r>
      <w:proofErr w:type="spellEnd"/>
      <w:r w:rsidR="003D08CC" w:rsidRPr="00911998">
        <w:t> </w:t>
      </w:r>
      <w:r w:rsidR="008B15B0" w:rsidRPr="00911998">
        <w:t xml:space="preserve">». </w:t>
      </w:r>
    </w:p>
    <w:p w14:paraId="66565923" w14:textId="7629D6FA" w:rsidR="000D36E7" w:rsidRPr="00911998" w:rsidRDefault="008B15B0" w:rsidP="000D36E7">
      <w:pPr>
        <w:pStyle w:val="Paragrsimple"/>
        <w:tabs>
          <w:tab w:val="clear" w:pos="360"/>
        </w:tabs>
      </w:pPr>
      <w:r w:rsidRPr="00911998">
        <w:t xml:space="preserve">Depuis 2015, mesdames </w:t>
      </w:r>
      <w:r w:rsidR="000032F7">
        <w:t>Pa...</w:t>
      </w:r>
      <w:r w:rsidRPr="00911998">
        <w:t xml:space="preserve"> et </w:t>
      </w:r>
      <w:proofErr w:type="gramStart"/>
      <w:r w:rsidR="00E13A68">
        <w:t>J...</w:t>
      </w:r>
      <w:proofErr w:type="gramEnd"/>
      <w:r w:rsidRPr="00911998">
        <w:t xml:space="preserve"> ne forment plus un couple. Dans les circonstances, afin d’assurer la stabilité </w:t>
      </w:r>
      <w:r w:rsidR="00D90957">
        <w:t>de Y</w:t>
      </w:r>
      <w:r w:rsidRPr="00911998">
        <w:t xml:space="preserve">, </w:t>
      </w:r>
      <w:r w:rsidR="001C3CDD" w:rsidRPr="00911998">
        <w:t>celui</w:t>
      </w:r>
      <w:r w:rsidR="001C3CDD" w:rsidRPr="00911998">
        <w:noBreakHyphen/>
        <w:t>ci</w:t>
      </w:r>
      <w:r w:rsidRPr="00911998">
        <w:t xml:space="preserve"> vit principalement avec madame </w:t>
      </w:r>
      <w:r w:rsidR="000032F7">
        <w:t>Pa...</w:t>
      </w:r>
      <w:r w:rsidRPr="00911998">
        <w:t xml:space="preserve">. </w:t>
      </w:r>
      <w:r w:rsidR="001C3CDD" w:rsidRPr="00911998">
        <w:t>Cependant</w:t>
      </w:r>
      <w:r w:rsidRPr="00911998">
        <w:t xml:space="preserve">, </w:t>
      </w:r>
      <w:r w:rsidR="001C3CDD" w:rsidRPr="00911998">
        <w:t>il</w:t>
      </w:r>
      <w:r w:rsidRPr="00911998">
        <w:t xml:space="preserve"> passe régulièrement du temps avec madame </w:t>
      </w:r>
      <w:proofErr w:type="gramStart"/>
      <w:r w:rsidR="00E13A68">
        <w:t>J...</w:t>
      </w:r>
      <w:proofErr w:type="gramEnd"/>
      <w:r w:rsidRPr="00911998">
        <w:t xml:space="preserve"> et monsieur</w:t>
      </w:r>
      <w:r w:rsidR="003D08CC" w:rsidRPr="00911998">
        <w:t> </w:t>
      </w:r>
      <w:r w:rsidR="00E13A68">
        <w:t>Je...</w:t>
      </w:r>
      <w:r w:rsidR="000C7672" w:rsidRPr="00911998">
        <w:t>.</w:t>
      </w:r>
    </w:p>
    <w:p w14:paraId="349CE6FD" w14:textId="5E9DE024" w:rsidR="000C7672" w:rsidRPr="00911998" w:rsidRDefault="000C7672" w:rsidP="000C7672">
      <w:pPr>
        <w:pStyle w:val="Paragrsimple"/>
        <w:tabs>
          <w:tab w:val="clear" w:pos="360"/>
        </w:tabs>
      </w:pPr>
      <w:r w:rsidRPr="00911998">
        <w:t>Le</w:t>
      </w:r>
      <w:r w:rsidR="00C13153" w:rsidRPr="00911998">
        <w:t>s</w:t>
      </w:r>
      <w:r w:rsidRPr="00911998">
        <w:t xml:space="preserve"> témoignage</w:t>
      </w:r>
      <w:r w:rsidR="00C13153" w:rsidRPr="00911998">
        <w:t>s</w:t>
      </w:r>
      <w:r w:rsidRPr="00911998">
        <w:t xml:space="preserve"> de mesdames </w:t>
      </w:r>
      <w:r w:rsidR="000032F7">
        <w:t>Pa...</w:t>
      </w:r>
      <w:r w:rsidRPr="00911998">
        <w:t xml:space="preserve"> et </w:t>
      </w:r>
      <w:proofErr w:type="gramStart"/>
      <w:r w:rsidR="00E13A68">
        <w:t>J...</w:t>
      </w:r>
      <w:proofErr w:type="gramEnd"/>
      <w:r w:rsidRPr="00911998">
        <w:t xml:space="preserve"> et de monsieur </w:t>
      </w:r>
      <w:r w:rsidR="00E13A68">
        <w:t>Je...</w:t>
      </w:r>
      <w:r w:rsidRPr="00911998">
        <w:t xml:space="preserve"> permet</w:t>
      </w:r>
      <w:r w:rsidR="00C13153" w:rsidRPr="00911998">
        <w:t>tent</w:t>
      </w:r>
      <w:r w:rsidRPr="00911998">
        <w:t xml:space="preserve"> d’observer qu’ils exercent une très belle </w:t>
      </w:r>
      <w:r w:rsidR="00C13153" w:rsidRPr="00911998">
        <w:t xml:space="preserve">et saine </w:t>
      </w:r>
      <w:r w:rsidRPr="00911998">
        <w:t>coparentalité. Ils discutent en cas de divergence d’</w:t>
      </w:r>
      <w:r w:rsidR="003D08CC" w:rsidRPr="00911998">
        <w:t>opinions</w:t>
      </w:r>
      <w:r w:rsidRPr="00911998">
        <w:t xml:space="preserve"> et prennent </w:t>
      </w:r>
      <w:r w:rsidR="001C3CDD" w:rsidRPr="00911998">
        <w:t xml:space="preserve">ensemble </w:t>
      </w:r>
      <w:r w:rsidRPr="00911998">
        <w:t xml:space="preserve">des décisions dans l’intérêt </w:t>
      </w:r>
      <w:r w:rsidR="00D90957">
        <w:t>de Y</w:t>
      </w:r>
      <w:r w:rsidRPr="00911998">
        <w:t xml:space="preserve">, comme il se doit. </w:t>
      </w:r>
    </w:p>
    <w:p w14:paraId="17565992" w14:textId="1984C3EA" w:rsidR="00F8276F" w:rsidRPr="00911998" w:rsidRDefault="00F8276F" w:rsidP="00F8276F">
      <w:pPr>
        <w:pStyle w:val="Paragrsimple"/>
        <w:tabs>
          <w:tab w:val="clear" w:pos="360"/>
        </w:tabs>
      </w:pPr>
      <w:r w:rsidRPr="00911998">
        <w:t xml:space="preserve">Mesdames </w:t>
      </w:r>
      <w:r w:rsidR="000032F7">
        <w:t>Pa...</w:t>
      </w:r>
      <w:r w:rsidRPr="00911998">
        <w:t xml:space="preserve"> et </w:t>
      </w:r>
      <w:proofErr w:type="gramStart"/>
      <w:r w:rsidR="00E13A68">
        <w:t>J...</w:t>
      </w:r>
      <w:proofErr w:type="gramEnd"/>
      <w:r w:rsidRPr="00911998">
        <w:t xml:space="preserve"> et monsieur </w:t>
      </w:r>
      <w:r w:rsidR="00E13A68">
        <w:t>Je...</w:t>
      </w:r>
      <w:r w:rsidRPr="00911998">
        <w:t xml:space="preserve"> souhaitent qu’ils aient tous les trois un lien de filiation reconnu avec </w:t>
      </w:r>
      <w:r w:rsidR="00552A22">
        <w:t>Y</w:t>
      </w:r>
      <w:r w:rsidR="00C13153" w:rsidRPr="00911998">
        <w:t xml:space="preserve">. </w:t>
      </w:r>
      <w:r w:rsidR="00560AC0" w:rsidRPr="00911998">
        <w:t>Ils se considèrent</w:t>
      </w:r>
      <w:r w:rsidR="00A064D7" w:rsidRPr="00911998">
        <w:t xml:space="preserve"> comme</w:t>
      </w:r>
      <w:r w:rsidR="00560AC0" w:rsidRPr="00911998">
        <w:t xml:space="preserve"> trois parents à valeur égale. </w:t>
      </w:r>
      <w:r w:rsidR="001C3CDD" w:rsidRPr="00911998">
        <w:t>Pour eux, la</w:t>
      </w:r>
      <w:r w:rsidR="00560AC0" w:rsidRPr="00911998">
        <w:t xml:space="preserve"> reconnaissance </w:t>
      </w:r>
      <w:r w:rsidR="001C3CDD" w:rsidRPr="00911998">
        <w:t xml:space="preserve">légale </w:t>
      </w:r>
      <w:r w:rsidR="00560AC0" w:rsidRPr="00911998">
        <w:t xml:space="preserve">de madame </w:t>
      </w:r>
      <w:proofErr w:type="gramStart"/>
      <w:r w:rsidR="00E13A68">
        <w:t>J...</w:t>
      </w:r>
      <w:proofErr w:type="gramEnd"/>
      <w:r w:rsidR="001C3CDD" w:rsidRPr="00911998">
        <w:t xml:space="preserve"> comme mère</w:t>
      </w:r>
      <w:r w:rsidR="00560AC0" w:rsidRPr="00911998">
        <w:t xml:space="preserve"> </w:t>
      </w:r>
      <w:r w:rsidRPr="00911998">
        <w:t>refl</w:t>
      </w:r>
      <w:r w:rsidR="00A064D7" w:rsidRPr="00911998">
        <w:t>é</w:t>
      </w:r>
      <w:r w:rsidRPr="00911998">
        <w:t xml:space="preserve">terait leur réalité familiale et sécuriserait </w:t>
      </w:r>
      <w:r w:rsidR="00560AC0" w:rsidRPr="00911998">
        <w:t>l</w:t>
      </w:r>
      <w:r w:rsidRPr="00911998">
        <w:t xml:space="preserve">a situation juridique de </w:t>
      </w:r>
      <w:r w:rsidR="00560AC0" w:rsidRPr="00911998">
        <w:t>celle</w:t>
      </w:r>
      <w:r w:rsidR="00560AC0" w:rsidRPr="00911998">
        <w:noBreakHyphen/>
        <w:t>ci</w:t>
      </w:r>
      <w:r w:rsidRPr="00911998">
        <w:t xml:space="preserve"> à </w:t>
      </w:r>
      <w:r w:rsidR="00672D1F" w:rsidRPr="00911998">
        <w:t>l’égard</w:t>
      </w:r>
      <w:r w:rsidRPr="00911998">
        <w:t xml:space="preserve"> </w:t>
      </w:r>
      <w:r w:rsidR="003D08CC" w:rsidRPr="00911998">
        <w:t>de leur fils</w:t>
      </w:r>
      <w:r w:rsidRPr="00911998">
        <w:t>.</w:t>
      </w:r>
    </w:p>
    <w:p w14:paraId="41CA36C1" w14:textId="53DB5BBD" w:rsidR="00F8276F" w:rsidRPr="00911998" w:rsidRDefault="00F8276F" w:rsidP="00F8276F">
      <w:pPr>
        <w:pStyle w:val="Titre2"/>
      </w:pPr>
      <w:bookmarkStart w:id="4" w:name="_Toc196463720"/>
      <w:r w:rsidRPr="00911998">
        <w:t xml:space="preserve">La Famille </w:t>
      </w:r>
      <w:proofErr w:type="gramStart"/>
      <w:r w:rsidR="00E13A68">
        <w:t>L...</w:t>
      </w:r>
      <w:proofErr w:type="gramEnd"/>
      <w:r w:rsidRPr="00911998">
        <w:t>-</w:t>
      </w:r>
      <w:r w:rsidR="00E13A68">
        <w:t>Mi...</w:t>
      </w:r>
      <w:r w:rsidRPr="00911998">
        <w:t>-</w:t>
      </w:r>
      <w:bookmarkEnd w:id="4"/>
      <w:r w:rsidR="00E13A68">
        <w:t>A...</w:t>
      </w:r>
    </w:p>
    <w:p w14:paraId="6AEF83E3" w14:textId="656FAF17" w:rsidR="00F8276F" w:rsidRPr="00911998" w:rsidRDefault="00F30D61" w:rsidP="00F8276F">
      <w:pPr>
        <w:pStyle w:val="Paragrsimple"/>
        <w:tabs>
          <w:tab w:val="clear" w:pos="360"/>
        </w:tabs>
      </w:pPr>
      <w:r w:rsidRPr="00911998">
        <w:t xml:space="preserve">Mesdames </w:t>
      </w:r>
      <w:proofErr w:type="gramStart"/>
      <w:r w:rsidR="00E13A68">
        <w:t>L...</w:t>
      </w:r>
      <w:proofErr w:type="gramEnd"/>
      <w:r w:rsidRPr="00911998">
        <w:t xml:space="preserve"> et </w:t>
      </w:r>
      <w:r w:rsidR="00E13A68">
        <w:t>A...</w:t>
      </w:r>
      <w:r w:rsidRPr="00911998">
        <w:t xml:space="preserve"> et monsieur </w:t>
      </w:r>
      <w:r w:rsidR="00E13A68">
        <w:t>Mi...</w:t>
      </w:r>
      <w:r w:rsidRPr="00911998">
        <w:t xml:space="preserve"> sont les parents de </w:t>
      </w:r>
      <w:r w:rsidR="00CA53C2" w:rsidRPr="00911998">
        <w:t xml:space="preserve">deux garçons : </w:t>
      </w:r>
      <w:r w:rsidR="00D90957">
        <w:t>Z</w:t>
      </w:r>
      <w:r w:rsidRPr="00911998">
        <w:t>, âgé de 7</w:t>
      </w:r>
      <w:r w:rsidR="00773C3E" w:rsidRPr="00911998">
        <w:t> </w:t>
      </w:r>
      <w:r w:rsidRPr="00911998">
        <w:t xml:space="preserve">ans, et </w:t>
      </w:r>
      <w:r w:rsidR="00D90957">
        <w:t>A</w:t>
      </w:r>
      <w:r w:rsidRPr="00911998">
        <w:t>, âgé de 6</w:t>
      </w:r>
      <w:r w:rsidR="00773C3E" w:rsidRPr="00911998">
        <w:t> </w:t>
      </w:r>
      <w:r w:rsidRPr="00911998">
        <w:t>ans.</w:t>
      </w:r>
    </w:p>
    <w:p w14:paraId="2D609EBF" w14:textId="5BC6C730" w:rsidR="00CA53C2" w:rsidRPr="00911998" w:rsidRDefault="00CA53C2" w:rsidP="00CA53C2">
      <w:pPr>
        <w:pStyle w:val="Paragrsimple"/>
        <w:tabs>
          <w:tab w:val="clear" w:pos="360"/>
        </w:tabs>
      </w:pPr>
      <w:r w:rsidRPr="00911998">
        <w:t xml:space="preserve">Mesdames </w:t>
      </w:r>
      <w:proofErr w:type="gramStart"/>
      <w:r w:rsidR="00E13A68">
        <w:t>L...</w:t>
      </w:r>
      <w:proofErr w:type="gramEnd"/>
      <w:r w:rsidRPr="00911998">
        <w:t xml:space="preserve"> et </w:t>
      </w:r>
      <w:r w:rsidR="00E13A68">
        <w:t>A...</w:t>
      </w:r>
      <w:r w:rsidRPr="00911998">
        <w:t xml:space="preserve"> se connaissent depuis 2004</w:t>
      </w:r>
      <w:r w:rsidR="00F42573" w:rsidRPr="00911998">
        <w:t xml:space="preserve">. D’abord des </w:t>
      </w:r>
      <w:r w:rsidRPr="00911998">
        <w:t>collègues de travail</w:t>
      </w:r>
      <w:r w:rsidR="00F42573" w:rsidRPr="00911998">
        <w:t>, e</w:t>
      </w:r>
      <w:r w:rsidRPr="00911998">
        <w:t>lles dev</w:t>
      </w:r>
      <w:r w:rsidR="00F42573" w:rsidRPr="00911998">
        <w:t xml:space="preserve">iennent </w:t>
      </w:r>
      <w:r w:rsidRPr="00911998">
        <w:t>des amies très proche</w:t>
      </w:r>
      <w:r w:rsidR="00F42573" w:rsidRPr="00911998">
        <w:t>s</w:t>
      </w:r>
      <w:r w:rsidRPr="00911998">
        <w:t xml:space="preserve">. En parallèle, </w:t>
      </w:r>
      <w:r w:rsidR="000C1AF9" w:rsidRPr="00911998">
        <w:t>m</w:t>
      </w:r>
      <w:r w:rsidRPr="00911998">
        <w:t xml:space="preserve">adame </w:t>
      </w:r>
      <w:proofErr w:type="gramStart"/>
      <w:r w:rsidR="00E13A68">
        <w:t>L...</w:t>
      </w:r>
      <w:proofErr w:type="gramEnd"/>
      <w:r w:rsidRPr="00911998">
        <w:t xml:space="preserve"> et monsieur </w:t>
      </w:r>
      <w:r w:rsidR="00E13A68">
        <w:t>Mi...</w:t>
      </w:r>
      <w:r w:rsidRPr="00911998">
        <w:t xml:space="preserve"> font connaissance e</w:t>
      </w:r>
      <w:r w:rsidR="00773C3E" w:rsidRPr="00911998">
        <w:t>n</w:t>
      </w:r>
      <w:r w:rsidRPr="00911998">
        <w:t xml:space="preserve"> 2005 et deviennent un couple. Ils font vie commune depuis 2007.</w:t>
      </w:r>
    </w:p>
    <w:p w14:paraId="510EF4D6" w14:textId="4AB54019" w:rsidR="00BA4E97" w:rsidRPr="00911998" w:rsidRDefault="000C1AF9" w:rsidP="001F5BA3">
      <w:pPr>
        <w:pStyle w:val="Paragrsimple"/>
        <w:tabs>
          <w:tab w:val="clear" w:pos="360"/>
        </w:tabs>
      </w:pPr>
      <w:r w:rsidRPr="00911998">
        <w:t xml:space="preserve">En 2008, madame </w:t>
      </w:r>
      <w:proofErr w:type="gramStart"/>
      <w:r w:rsidR="00E13A68">
        <w:t>L...</w:t>
      </w:r>
      <w:proofErr w:type="gramEnd"/>
      <w:r w:rsidRPr="00911998">
        <w:t xml:space="preserve"> reçoit un diagnostic de leucémie. Les traitements qu’elle doit subir </w:t>
      </w:r>
      <w:r w:rsidR="00AE0BFC" w:rsidRPr="00911998">
        <w:t>ont pour conséquence de la rendre infertile</w:t>
      </w:r>
      <w:r w:rsidRPr="00911998">
        <w:t xml:space="preserve">. </w:t>
      </w:r>
      <w:r w:rsidR="007B3856" w:rsidRPr="00911998">
        <w:t xml:space="preserve">Or, madame </w:t>
      </w:r>
      <w:proofErr w:type="gramStart"/>
      <w:r w:rsidR="00E13A68">
        <w:t>L...</w:t>
      </w:r>
      <w:proofErr w:type="gramEnd"/>
      <w:r w:rsidR="007B3856" w:rsidRPr="00911998">
        <w:t xml:space="preserve"> a toujours voulu avoir des enfants. Ainsi, a</w:t>
      </w:r>
      <w:r w:rsidRPr="00911998">
        <w:t xml:space="preserve">vant de </w:t>
      </w:r>
      <w:r w:rsidR="000F79EF" w:rsidRPr="00911998">
        <w:t>commencer</w:t>
      </w:r>
      <w:r w:rsidRPr="00911998">
        <w:t xml:space="preserve"> les traitements</w:t>
      </w:r>
      <w:r w:rsidR="007B3856" w:rsidRPr="00911998">
        <w:t xml:space="preserve"> </w:t>
      </w:r>
      <w:r w:rsidR="000F79EF" w:rsidRPr="00911998">
        <w:t>nécessaires</w:t>
      </w:r>
      <w:r w:rsidRPr="00911998">
        <w:t xml:space="preserve">, </w:t>
      </w:r>
      <w:r w:rsidR="007B3856" w:rsidRPr="00911998">
        <w:t xml:space="preserve">elle se fait prélever des ovules </w:t>
      </w:r>
      <w:r w:rsidR="00682296" w:rsidRPr="00911998">
        <w:t>en</w:t>
      </w:r>
      <w:r w:rsidRPr="00911998">
        <w:t xml:space="preserve"> clinique de fertilité. Des embryons sont formés avec le sperme de monsieur </w:t>
      </w:r>
      <w:r w:rsidR="00E13A68">
        <w:t>Mi...</w:t>
      </w:r>
      <w:r w:rsidRPr="00911998">
        <w:t xml:space="preserve"> et sont </w:t>
      </w:r>
      <w:r w:rsidR="000F79EF" w:rsidRPr="00911998">
        <w:t>congel</w:t>
      </w:r>
      <w:r w:rsidRPr="00911998">
        <w:t>és.</w:t>
      </w:r>
    </w:p>
    <w:p w14:paraId="5BDC3564" w14:textId="2668CD75" w:rsidR="008413EC" w:rsidRPr="00911998" w:rsidRDefault="007B3856" w:rsidP="000717B0">
      <w:pPr>
        <w:pStyle w:val="Paragrsimple"/>
        <w:tabs>
          <w:tab w:val="clear" w:pos="360"/>
        </w:tabs>
      </w:pPr>
      <w:r w:rsidRPr="00911998">
        <w:t xml:space="preserve">Pour ce qui est de madame </w:t>
      </w:r>
      <w:proofErr w:type="gramStart"/>
      <w:r w:rsidR="00E13A68">
        <w:t>A...</w:t>
      </w:r>
      <w:proofErr w:type="gramEnd"/>
      <w:r w:rsidRPr="00911998">
        <w:t xml:space="preserve">, elle </w:t>
      </w:r>
      <w:r w:rsidR="00AE0BFC" w:rsidRPr="00911998">
        <w:t>se marie en</w:t>
      </w:r>
      <w:r w:rsidRPr="00911998">
        <w:t xml:space="preserve"> 2009</w:t>
      </w:r>
      <w:r w:rsidR="00AE0BFC" w:rsidRPr="00911998">
        <w:t xml:space="preserve">, puis se </w:t>
      </w:r>
      <w:r w:rsidRPr="00911998">
        <w:t xml:space="preserve">divorce en 2017. </w:t>
      </w:r>
      <w:r w:rsidR="00A51D63" w:rsidRPr="00911998">
        <w:t>Elle aussi souhaite avoir des enfants. C’est alors que les trois</w:t>
      </w:r>
      <w:r w:rsidR="008413EC" w:rsidRPr="00911998">
        <w:t xml:space="preserve"> amis</w:t>
      </w:r>
      <w:r w:rsidR="00A51D63" w:rsidRPr="00911998">
        <w:t xml:space="preserve"> discutent de différentes options. </w:t>
      </w:r>
      <w:r w:rsidR="000F79EF" w:rsidRPr="00911998">
        <w:t>L’u</w:t>
      </w:r>
      <w:r w:rsidR="00A51D63" w:rsidRPr="00911998">
        <w:t>ne d’</w:t>
      </w:r>
      <w:r w:rsidR="00773C3E" w:rsidRPr="00911998">
        <w:t>elles</w:t>
      </w:r>
      <w:r w:rsidR="00A51D63" w:rsidRPr="00911998">
        <w:t xml:space="preserve"> </w:t>
      </w:r>
      <w:r w:rsidR="00F42573" w:rsidRPr="00911998">
        <w:t>consiste à</w:t>
      </w:r>
      <w:r w:rsidR="00A51D63" w:rsidRPr="00911998">
        <w:t xml:space="preserve"> former une famille à trois. </w:t>
      </w:r>
    </w:p>
    <w:p w14:paraId="697A10B0" w14:textId="6199E92F" w:rsidR="00062417" w:rsidRPr="00911998" w:rsidRDefault="00A51D63" w:rsidP="000717B0">
      <w:pPr>
        <w:pStyle w:val="Paragrsimple"/>
        <w:tabs>
          <w:tab w:val="clear" w:pos="360"/>
        </w:tabs>
      </w:pPr>
      <w:r w:rsidRPr="00911998">
        <w:t xml:space="preserve">Si les discussions concernant cette option commencent un peu à la blague, elles deviennent </w:t>
      </w:r>
      <w:r w:rsidR="00F42573" w:rsidRPr="00911998">
        <w:t>t</w:t>
      </w:r>
      <w:r w:rsidRPr="00911998">
        <w:t>rès sérieuses lorsqu’ils constatent qu</w:t>
      </w:r>
      <w:r w:rsidR="00F42573" w:rsidRPr="00911998">
        <w:t xml:space="preserve">e c’est </w:t>
      </w:r>
      <w:r w:rsidR="00062417" w:rsidRPr="00911998">
        <w:t xml:space="preserve">un projet qui pourrait fonctionner </w:t>
      </w:r>
      <w:r w:rsidR="00062417" w:rsidRPr="00911998">
        <w:lastRenderedPageBreak/>
        <w:t>compte tenu de leurs valeurs communes.</w:t>
      </w:r>
      <w:r w:rsidR="008413EC" w:rsidRPr="00911998">
        <w:t xml:space="preserve"> Mesdames </w:t>
      </w:r>
      <w:proofErr w:type="gramStart"/>
      <w:r w:rsidR="00E13A68">
        <w:t>L...</w:t>
      </w:r>
      <w:proofErr w:type="gramEnd"/>
      <w:r w:rsidR="008413EC" w:rsidRPr="00911998">
        <w:t xml:space="preserve"> et </w:t>
      </w:r>
      <w:r w:rsidR="00E13A68">
        <w:t>A...</w:t>
      </w:r>
      <w:r w:rsidR="008413EC" w:rsidRPr="00911998">
        <w:t xml:space="preserve"> et monsieur </w:t>
      </w:r>
      <w:r w:rsidR="00E13A68">
        <w:t>Mi...</w:t>
      </w:r>
      <w:r w:rsidR="008413EC" w:rsidRPr="00911998">
        <w:t xml:space="preserve"> forment ainsi un projet parental à trois. </w:t>
      </w:r>
    </w:p>
    <w:p w14:paraId="28FA2483" w14:textId="1CBBE661" w:rsidR="003072A9" w:rsidRPr="00911998" w:rsidRDefault="00314715" w:rsidP="00314715">
      <w:pPr>
        <w:pStyle w:val="Paragrsimple"/>
        <w:tabs>
          <w:tab w:val="clear" w:pos="360"/>
        </w:tabs>
      </w:pPr>
      <w:r w:rsidRPr="00911998">
        <w:t xml:space="preserve">En février 2017, madame </w:t>
      </w:r>
      <w:proofErr w:type="gramStart"/>
      <w:r w:rsidR="00E13A68">
        <w:t>A...</w:t>
      </w:r>
      <w:proofErr w:type="gramEnd"/>
      <w:r w:rsidRPr="00911998">
        <w:t xml:space="preserve"> tombe enceinte. Monsieur </w:t>
      </w:r>
      <w:r w:rsidR="00E13A68">
        <w:t>Mi...</w:t>
      </w:r>
      <w:r w:rsidRPr="00911998">
        <w:t xml:space="preserve"> est </w:t>
      </w:r>
      <w:r w:rsidR="00B074DB" w:rsidRPr="00911998">
        <w:t>le</w:t>
      </w:r>
      <w:r w:rsidRPr="00911998">
        <w:t xml:space="preserve"> donneur de forces génétiques. En octobre 2017, elle donne naissance à </w:t>
      </w:r>
      <w:r w:rsidR="00D90957">
        <w:t>Z</w:t>
      </w:r>
      <w:r w:rsidRPr="00911998">
        <w:t xml:space="preserve">. Le certificat de naissance de </w:t>
      </w:r>
      <w:r w:rsidR="00D90957">
        <w:t>Z</w:t>
      </w:r>
      <w:r w:rsidRPr="00911998">
        <w:t xml:space="preserve"> indique deux mères : mesdames </w:t>
      </w:r>
      <w:proofErr w:type="gramStart"/>
      <w:r w:rsidR="00E13A68">
        <w:t>L...</w:t>
      </w:r>
      <w:proofErr w:type="gramEnd"/>
      <w:r w:rsidRPr="00911998">
        <w:t xml:space="preserve"> et </w:t>
      </w:r>
      <w:r w:rsidR="00E13A68">
        <w:t>A...</w:t>
      </w:r>
      <w:r w:rsidR="00565D63" w:rsidRPr="00911998">
        <w:rPr>
          <w:rStyle w:val="Appelnotedebasdep"/>
        </w:rPr>
        <w:footnoteReference w:id="19"/>
      </w:r>
      <w:r w:rsidRPr="00911998">
        <w:t>.</w:t>
      </w:r>
    </w:p>
    <w:p w14:paraId="49B00F54" w14:textId="626D0A17" w:rsidR="00314715" w:rsidRPr="00911998" w:rsidRDefault="005F7BDD" w:rsidP="00314715">
      <w:pPr>
        <w:pStyle w:val="Paragrsimple"/>
        <w:tabs>
          <w:tab w:val="clear" w:pos="360"/>
        </w:tabs>
      </w:pPr>
      <w:r w:rsidRPr="00911998">
        <w:t xml:space="preserve">En parallèle, madame </w:t>
      </w:r>
      <w:proofErr w:type="gramStart"/>
      <w:r w:rsidR="00E13A68">
        <w:t>L...</w:t>
      </w:r>
      <w:proofErr w:type="gramEnd"/>
      <w:r w:rsidRPr="00911998">
        <w:t xml:space="preserve"> et monsieur </w:t>
      </w:r>
      <w:r w:rsidR="00E13A68">
        <w:t>Mi...</w:t>
      </w:r>
      <w:r w:rsidRPr="00911998">
        <w:t xml:space="preserve"> trouvent une mère porteuse </w:t>
      </w:r>
      <w:r w:rsidR="00773C3E" w:rsidRPr="00911998">
        <w:t>en</w:t>
      </w:r>
      <w:r w:rsidRPr="00911998">
        <w:t xml:space="preserve"> Saskatchewan pour porter à terme un des embryons préservés </w:t>
      </w:r>
      <w:r w:rsidR="00F42573" w:rsidRPr="00911998">
        <w:t>par le couple</w:t>
      </w:r>
      <w:r w:rsidR="00565D63" w:rsidRPr="00911998">
        <w:t xml:space="preserve">. </w:t>
      </w:r>
    </w:p>
    <w:p w14:paraId="7C6E4324" w14:textId="4AF132CC" w:rsidR="00565D63" w:rsidRPr="00911998" w:rsidRDefault="00565D63" w:rsidP="00565D63">
      <w:pPr>
        <w:pStyle w:val="Paragrsimple"/>
        <w:tabs>
          <w:tab w:val="clear" w:pos="360"/>
        </w:tabs>
      </w:pPr>
      <w:r w:rsidRPr="00911998">
        <w:t xml:space="preserve">En août 2018, la mère porteuse donne naissance à </w:t>
      </w:r>
      <w:r w:rsidR="00D90957">
        <w:t>A</w:t>
      </w:r>
      <w:r w:rsidRPr="00911998">
        <w:t xml:space="preserve">. Son certificat de naissance original </w:t>
      </w:r>
      <w:r w:rsidR="00773C3E" w:rsidRPr="00911998">
        <w:t>de la</w:t>
      </w:r>
      <w:r w:rsidRPr="00911998">
        <w:t xml:space="preserve"> Saskatchewan identifie trois parents : madame </w:t>
      </w:r>
      <w:proofErr w:type="gramStart"/>
      <w:r w:rsidR="00E13A68">
        <w:t>L...</w:t>
      </w:r>
      <w:proofErr w:type="gramEnd"/>
      <w:r w:rsidRPr="00911998">
        <w:t xml:space="preserve">, monsieur </w:t>
      </w:r>
      <w:r w:rsidR="00E13A68">
        <w:t>Mi...</w:t>
      </w:r>
      <w:r w:rsidRPr="00911998">
        <w:t xml:space="preserve"> et la mère porteuse</w:t>
      </w:r>
      <w:r w:rsidRPr="00911998">
        <w:rPr>
          <w:rStyle w:val="Appelnotedebasdep"/>
        </w:rPr>
        <w:footnoteReference w:id="20"/>
      </w:r>
      <w:r w:rsidRPr="00911998">
        <w:t xml:space="preserve">. Rapidement, des démarches sont </w:t>
      </w:r>
      <w:r w:rsidR="000F79EF" w:rsidRPr="00911998">
        <w:t>entrepris</w:t>
      </w:r>
      <w:r w:rsidR="00773C3E" w:rsidRPr="00911998">
        <w:t>es</w:t>
      </w:r>
      <w:r w:rsidRPr="00911998">
        <w:t xml:space="preserve"> </w:t>
      </w:r>
      <w:r w:rsidR="00773C3E" w:rsidRPr="00911998">
        <w:t>en</w:t>
      </w:r>
      <w:r w:rsidRPr="00911998">
        <w:t xml:space="preserve"> Saskatchewan afin </w:t>
      </w:r>
      <w:r w:rsidR="00EE1ECA" w:rsidRPr="00911998">
        <w:t>de faire retirer</w:t>
      </w:r>
      <w:r w:rsidRPr="00911998">
        <w:t xml:space="preserve"> le nom de la mère porteuse et un deuxième certificat de naissance est émis</w:t>
      </w:r>
      <w:r w:rsidR="00EE1ECA" w:rsidRPr="00911998">
        <w:rPr>
          <w:rStyle w:val="Appelnotedebasdep"/>
        </w:rPr>
        <w:footnoteReference w:id="21"/>
      </w:r>
      <w:r w:rsidRPr="00911998">
        <w:t>.</w:t>
      </w:r>
      <w:r w:rsidR="00967DD6" w:rsidRPr="00911998">
        <w:t xml:space="preserve"> Le certificat de naissance québécois </w:t>
      </w:r>
      <w:r w:rsidR="00D90957">
        <w:t>de A</w:t>
      </w:r>
      <w:r w:rsidR="00967DD6" w:rsidRPr="00911998">
        <w:t xml:space="preserve"> </w:t>
      </w:r>
      <w:proofErr w:type="spellStart"/>
      <w:r w:rsidR="00967DD6" w:rsidRPr="00911998">
        <w:t>indique</w:t>
      </w:r>
      <w:proofErr w:type="spellEnd"/>
      <w:r w:rsidR="00967DD6" w:rsidRPr="00911998">
        <w:t xml:space="preserve"> que madame </w:t>
      </w:r>
      <w:proofErr w:type="gramStart"/>
      <w:r w:rsidR="00E13A68">
        <w:t>L...</w:t>
      </w:r>
      <w:proofErr w:type="gramEnd"/>
      <w:r w:rsidR="00967DD6" w:rsidRPr="00911998">
        <w:t xml:space="preserve"> est sa mère et que monsieur </w:t>
      </w:r>
      <w:r w:rsidR="00E13A68">
        <w:t>Mi...</w:t>
      </w:r>
      <w:r w:rsidR="00967DD6" w:rsidRPr="00911998">
        <w:t xml:space="preserve"> est son père</w:t>
      </w:r>
      <w:r w:rsidR="00967DD6" w:rsidRPr="00911998">
        <w:rPr>
          <w:rStyle w:val="Appelnotedebasdep"/>
        </w:rPr>
        <w:footnoteReference w:id="22"/>
      </w:r>
      <w:r w:rsidR="00967DD6" w:rsidRPr="00911998">
        <w:t>.</w:t>
      </w:r>
    </w:p>
    <w:p w14:paraId="15E0879F" w14:textId="7E286761" w:rsidR="00967DD6" w:rsidRPr="00911998" w:rsidRDefault="008158CA" w:rsidP="00967DD6">
      <w:pPr>
        <w:pStyle w:val="Paragrsimple"/>
        <w:tabs>
          <w:tab w:val="clear" w:pos="360"/>
        </w:tabs>
      </w:pPr>
      <w:r w:rsidRPr="00911998">
        <w:t xml:space="preserve">Pour </w:t>
      </w:r>
      <w:r w:rsidR="00D90957">
        <w:t>Z</w:t>
      </w:r>
      <w:r w:rsidRPr="00911998">
        <w:t xml:space="preserve"> et </w:t>
      </w:r>
      <w:r w:rsidR="00D90957">
        <w:t>A</w:t>
      </w:r>
      <w:r w:rsidRPr="00911998">
        <w:t>, ils ont deux mères </w:t>
      </w:r>
      <w:r w:rsidR="00773C3E" w:rsidRPr="00911998">
        <w:t>—</w:t>
      </w:r>
      <w:r w:rsidRPr="00911998">
        <w:t xml:space="preserve"> madame </w:t>
      </w:r>
      <w:proofErr w:type="gramStart"/>
      <w:r w:rsidR="00E13A68">
        <w:t>A...</w:t>
      </w:r>
      <w:proofErr w:type="gramEnd"/>
      <w:r w:rsidRPr="00911998">
        <w:t xml:space="preserve"> et madame </w:t>
      </w:r>
      <w:r w:rsidR="00E13A68">
        <w:t>L...</w:t>
      </w:r>
      <w:r w:rsidRPr="00911998">
        <w:t xml:space="preserve"> </w:t>
      </w:r>
      <w:r w:rsidR="00773C3E" w:rsidRPr="00911998">
        <w:t>—</w:t>
      </w:r>
      <w:r w:rsidRPr="00911998">
        <w:t xml:space="preserve"> alors que monsieur </w:t>
      </w:r>
      <w:r w:rsidR="00E13A68">
        <w:t>Mi...</w:t>
      </w:r>
      <w:r w:rsidRPr="00911998">
        <w:t xml:space="preserve"> est leur père. </w:t>
      </w:r>
      <w:r w:rsidR="00967DD6" w:rsidRPr="00911998">
        <w:t xml:space="preserve">Le couple formé </w:t>
      </w:r>
      <w:r w:rsidR="000F79EF" w:rsidRPr="00911998">
        <w:t>par</w:t>
      </w:r>
      <w:r w:rsidR="00967DD6" w:rsidRPr="00911998">
        <w:t xml:space="preserve"> madame </w:t>
      </w:r>
      <w:proofErr w:type="gramStart"/>
      <w:r w:rsidR="00E13A68">
        <w:t>L...</w:t>
      </w:r>
      <w:proofErr w:type="gramEnd"/>
      <w:r w:rsidR="00967DD6" w:rsidRPr="00911998">
        <w:t xml:space="preserve"> et monsieur </w:t>
      </w:r>
      <w:r w:rsidR="00E13A68">
        <w:t>Mi...</w:t>
      </w:r>
      <w:r w:rsidR="00967DD6" w:rsidRPr="00911998">
        <w:t xml:space="preserve"> exerce avec madame </w:t>
      </w:r>
      <w:r w:rsidR="00E13A68">
        <w:t>A...</w:t>
      </w:r>
      <w:r w:rsidR="00967DD6" w:rsidRPr="00911998">
        <w:t xml:space="preserve"> une garde partagée presque égale, mais flexible, </w:t>
      </w:r>
      <w:r w:rsidR="00773C3E" w:rsidRPr="00911998">
        <w:t>des deux enfants</w:t>
      </w:r>
      <w:r w:rsidR="00AD5187" w:rsidRPr="00911998">
        <w:t xml:space="preserve">. Leur parentalité à trois est </w:t>
      </w:r>
      <w:r w:rsidR="00773C3E" w:rsidRPr="00911998">
        <w:t>acceptée</w:t>
      </w:r>
      <w:r w:rsidR="00AD5187" w:rsidRPr="00911998">
        <w:t xml:space="preserve"> par leurs familles respectives et leurs témoignages permettent d’observer qu’ils exercent une bonne et harmonieuse coparentalité</w:t>
      </w:r>
      <w:r w:rsidRPr="00911998">
        <w:t xml:space="preserve"> dans l’intérêt de</w:t>
      </w:r>
      <w:r w:rsidR="00773C3E" w:rsidRPr="00911998">
        <w:t xml:space="preserve"> leurs fils</w:t>
      </w:r>
      <w:r w:rsidR="00940917" w:rsidRPr="00911998">
        <w:t>.</w:t>
      </w:r>
      <w:r w:rsidR="00967DD6" w:rsidRPr="00911998">
        <w:t xml:space="preserve"> </w:t>
      </w:r>
    </w:p>
    <w:p w14:paraId="11100BC3" w14:textId="273ABB83" w:rsidR="00C62859" w:rsidRPr="00911998" w:rsidRDefault="00C62859" w:rsidP="00C62859">
      <w:pPr>
        <w:pStyle w:val="Titre2"/>
      </w:pPr>
      <w:bookmarkStart w:id="5" w:name="_Toc196463721"/>
      <w:r w:rsidRPr="00911998">
        <w:t>La Coalition</w:t>
      </w:r>
      <w:bookmarkEnd w:id="5"/>
    </w:p>
    <w:p w14:paraId="745B0685" w14:textId="0C9AEF16" w:rsidR="00C62859" w:rsidRPr="00911998" w:rsidRDefault="00800DC3" w:rsidP="00C62859">
      <w:pPr>
        <w:pStyle w:val="Paragrsimple"/>
        <w:tabs>
          <w:tab w:val="clear" w:pos="360"/>
        </w:tabs>
        <w:rPr>
          <w:rFonts w:cs="Arial"/>
          <w:szCs w:val="24"/>
        </w:rPr>
      </w:pPr>
      <w:r w:rsidRPr="00911998">
        <w:t xml:space="preserve">La Coalition existe depuis plus de 25 ans. Sa mission consiste à soutenir les familles LGBT+ et </w:t>
      </w:r>
      <w:r w:rsidR="002431B4" w:rsidRPr="00911998">
        <w:t>à</w:t>
      </w:r>
      <w:r w:rsidRPr="00911998">
        <w:t xml:space="preserve"> défendre leurs droits. Elle intervient dans trois champs d’action</w:t>
      </w:r>
      <w:r w:rsidR="005004EB" w:rsidRPr="00911998">
        <w:t xml:space="preserve">. </w:t>
      </w:r>
      <w:r w:rsidR="005004EB" w:rsidRPr="00911998">
        <w:rPr>
          <w:rFonts w:cs="Arial"/>
          <w:szCs w:val="24"/>
        </w:rPr>
        <w:t>Notamment</w:t>
      </w:r>
      <w:r w:rsidR="002431B4" w:rsidRPr="00911998">
        <w:rPr>
          <w:rFonts w:cs="Arial"/>
          <w:szCs w:val="24"/>
        </w:rPr>
        <w:t>,</w:t>
      </w:r>
      <w:r w:rsidR="005004EB" w:rsidRPr="00911998">
        <w:rPr>
          <w:rFonts w:cs="Arial"/>
          <w:szCs w:val="24"/>
        </w:rPr>
        <w:t xml:space="preserve"> elle : </w:t>
      </w:r>
    </w:p>
    <w:p w14:paraId="6462078C" w14:textId="6D443A01" w:rsidR="005004EB" w:rsidRPr="00911998" w:rsidRDefault="005004EB" w:rsidP="000F6BA9">
      <w:pPr>
        <w:pStyle w:val="Paragraphedeliste"/>
        <w:numPr>
          <w:ilvl w:val="0"/>
          <w:numId w:val="6"/>
        </w:numPr>
        <w:ind w:left="714" w:hanging="357"/>
        <w:contextualSpacing w:val="0"/>
        <w:jc w:val="both"/>
        <w:rPr>
          <w:rFonts w:ascii="Arial" w:hAnsi="Arial" w:cs="Arial"/>
          <w:sz w:val="24"/>
          <w:szCs w:val="24"/>
        </w:rPr>
      </w:pPr>
      <w:proofErr w:type="gramStart"/>
      <w:r w:rsidRPr="00911998">
        <w:rPr>
          <w:rFonts w:ascii="Arial" w:hAnsi="Arial" w:cs="Arial"/>
          <w:sz w:val="24"/>
          <w:szCs w:val="24"/>
        </w:rPr>
        <w:t>offre</w:t>
      </w:r>
      <w:proofErr w:type="gramEnd"/>
      <w:r w:rsidRPr="00911998">
        <w:rPr>
          <w:rFonts w:ascii="Arial" w:hAnsi="Arial" w:cs="Arial"/>
          <w:sz w:val="24"/>
          <w:szCs w:val="24"/>
        </w:rPr>
        <w:t xml:space="preserve"> du soutien et des services aux familles LGBT+, par exemple en organisant des ateliers pour </w:t>
      </w:r>
      <w:r w:rsidR="002431B4" w:rsidRPr="00911998">
        <w:rPr>
          <w:rFonts w:ascii="Arial" w:hAnsi="Arial" w:cs="Arial"/>
          <w:sz w:val="24"/>
          <w:szCs w:val="24"/>
        </w:rPr>
        <w:t>de</w:t>
      </w:r>
      <w:r w:rsidRPr="00911998">
        <w:rPr>
          <w:rFonts w:ascii="Arial" w:hAnsi="Arial" w:cs="Arial"/>
          <w:sz w:val="24"/>
          <w:szCs w:val="24"/>
        </w:rPr>
        <w:t xml:space="preserve"> </w:t>
      </w:r>
      <w:r w:rsidR="002431B4" w:rsidRPr="00911998">
        <w:rPr>
          <w:rFonts w:ascii="Arial" w:hAnsi="Arial" w:cs="Arial"/>
          <w:sz w:val="24"/>
          <w:szCs w:val="24"/>
        </w:rPr>
        <w:t>futurs</w:t>
      </w:r>
      <w:r w:rsidRPr="00911998">
        <w:rPr>
          <w:rFonts w:ascii="Arial" w:hAnsi="Arial" w:cs="Arial"/>
          <w:sz w:val="24"/>
          <w:szCs w:val="24"/>
        </w:rPr>
        <w:t xml:space="preserve"> parents</w:t>
      </w:r>
      <w:r w:rsidR="002431B4" w:rsidRPr="00911998">
        <w:rPr>
          <w:rFonts w:ascii="Arial" w:hAnsi="Arial" w:cs="Arial"/>
          <w:sz w:val="24"/>
          <w:szCs w:val="24"/>
        </w:rPr>
        <w:t> </w:t>
      </w:r>
      <w:r w:rsidRPr="00911998">
        <w:rPr>
          <w:rFonts w:ascii="Arial" w:hAnsi="Arial" w:cs="Arial"/>
          <w:sz w:val="24"/>
          <w:szCs w:val="24"/>
        </w:rPr>
        <w:t>;</w:t>
      </w:r>
    </w:p>
    <w:p w14:paraId="63784306" w14:textId="189B4D8D" w:rsidR="005004EB" w:rsidRPr="00911998" w:rsidRDefault="005004EB" w:rsidP="000F6BA9">
      <w:pPr>
        <w:pStyle w:val="Paragraphedeliste"/>
        <w:numPr>
          <w:ilvl w:val="0"/>
          <w:numId w:val="6"/>
        </w:numPr>
        <w:ind w:left="714" w:hanging="357"/>
        <w:contextualSpacing w:val="0"/>
        <w:jc w:val="both"/>
        <w:rPr>
          <w:rFonts w:ascii="Arial" w:hAnsi="Arial" w:cs="Arial"/>
          <w:sz w:val="24"/>
          <w:szCs w:val="24"/>
        </w:rPr>
      </w:pPr>
      <w:proofErr w:type="gramStart"/>
      <w:r w:rsidRPr="00911998">
        <w:rPr>
          <w:rFonts w:ascii="Arial" w:hAnsi="Arial" w:cs="Arial"/>
          <w:sz w:val="24"/>
          <w:szCs w:val="24"/>
        </w:rPr>
        <w:t>fait</w:t>
      </w:r>
      <w:proofErr w:type="gramEnd"/>
      <w:r w:rsidRPr="00911998">
        <w:rPr>
          <w:rFonts w:ascii="Arial" w:hAnsi="Arial" w:cs="Arial"/>
          <w:sz w:val="24"/>
          <w:szCs w:val="24"/>
        </w:rPr>
        <w:t xml:space="preserve"> de la sensibilisation auprès du public, </w:t>
      </w:r>
      <w:r w:rsidR="002431B4" w:rsidRPr="00911998">
        <w:rPr>
          <w:rFonts w:ascii="Arial" w:hAnsi="Arial" w:cs="Arial"/>
          <w:sz w:val="24"/>
          <w:szCs w:val="24"/>
        </w:rPr>
        <w:t>par exemple en proposant</w:t>
      </w:r>
      <w:r w:rsidRPr="00911998">
        <w:rPr>
          <w:rFonts w:ascii="Arial" w:hAnsi="Arial" w:cs="Arial"/>
          <w:sz w:val="24"/>
          <w:szCs w:val="24"/>
        </w:rPr>
        <w:t xml:space="preserve"> de</w:t>
      </w:r>
      <w:r w:rsidR="002431B4" w:rsidRPr="00911998">
        <w:rPr>
          <w:rFonts w:ascii="Arial" w:hAnsi="Arial" w:cs="Arial"/>
          <w:sz w:val="24"/>
          <w:szCs w:val="24"/>
        </w:rPr>
        <w:t>s</w:t>
      </w:r>
      <w:r w:rsidRPr="00911998">
        <w:rPr>
          <w:rFonts w:ascii="Arial" w:hAnsi="Arial" w:cs="Arial"/>
          <w:sz w:val="24"/>
          <w:szCs w:val="24"/>
        </w:rPr>
        <w:t xml:space="preserve"> formations dans les </w:t>
      </w:r>
      <w:r w:rsidR="002431B4" w:rsidRPr="00911998">
        <w:rPr>
          <w:rFonts w:ascii="Arial" w:hAnsi="Arial" w:cs="Arial"/>
          <w:sz w:val="24"/>
          <w:szCs w:val="24"/>
        </w:rPr>
        <w:t>domaines</w:t>
      </w:r>
      <w:r w:rsidRPr="00911998">
        <w:rPr>
          <w:rFonts w:ascii="Arial" w:hAnsi="Arial" w:cs="Arial"/>
          <w:sz w:val="24"/>
          <w:szCs w:val="24"/>
        </w:rPr>
        <w:t xml:space="preserve"> de la santé et de l’éducation</w:t>
      </w:r>
      <w:r w:rsidR="002431B4" w:rsidRPr="00911998">
        <w:rPr>
          <w:rFonts w:ascii="Arial" w:hAnsi="Arial" w:cs="Arial"/>
          <w:sz w:val="24"/>
          <w:szCs w:val="24"/>
        </w:rPr>
        <w:t> </w:t>
      </w:r>
      <w:r w:rsidRPr="00911998">
        <w:rPr>
          <w:rFonts w:ascii="Arial" w:hAnsi="Arial" w:cs="Arial"/>
          <w:sz w:val="24"/>
          <w:szCs w:val="24"/>
        </w:rPr>
        <w:t>;</w:t>
      </w:r>
    </w:p>
    <w:p w14:paraId="7BED11D0" w14:textId="233177B9" w:rsidR="005004EB" w:rsidRPr="00911998" w:rsidRDefault="005004EB" w:rsidP="000F6BA9">
      <w:pPr>
        <w:pStyle w:val="Paragraphedeliste"/>
        <w:numPr>
          <w:ilvl w:val="0"/>
          <w:numId w:val="6"/>
        </w:numPr>
        <w:jc w:val="both"/>
        <w:rPr>
          <w:rFonts w:ascii="Arial" w:hAnsi="Arial" w:cs="Arial"/>
          <w:sz w:val="24"/>
          <w:szCs w:val="24"/>
        </w:rPr>
      </w:pPr>
      <w:proofErr w:type="gramStart"/>
      <w:r w:rsidRPr="00911998">
        <w:rPr>
          <w:rFonts w:ascii="Arial" w:hAnsi="Arial" w:cs="Arial"/>
          <w:sz w:val="24"/>
          <w:szCs w:val="24"/>
        </w:rPr>
        <w:t>participe</w:t>
      </w:r>
      <w:proofErr w:type="gramEnd"/>
      <w:r w:rsidRPr="00911998">
        <w:rPr>
          <w:rFonts w:ascii="Arial" w:hAnsi="Arial" w:cs="Arial"/>
          <w:sz w:val="24"/>
          <w:szCs w:val="24"/>
        </w:rPr>
        <w:t xml:space="preserve"> à la défense des droits des familles LGBT+, par exemple en intervenant auprès des élus et des médias.</w:t>
      </w:r>
    </w:p>
    <w:p w14:paraId="46451CC9" w14:textId="01A49F15" w:rsidR="00563389" w:rsidRPr="00911998" w:rsidRDefault="005004EB" w:rsidP="00A76BF2">
      <w:pPr>
        <w:pStyle w:val="Paragrsimple"/>
        <w:tabs>
          <w:tab w:val="clear" w:pos="360"/>
        </w:tabs>
      </w:pPr>
      <w:r w:rsidRPr="00911998">
        <w:lastRenderedPageBreak/>
        <w:t>Les membres de la Coalition participent à plusieurs modèles parentaux</w:t>
      </w:r>
      <w:r w:rsidR="00563389" w:rsidRPr="00911998">
        <w:t>, dont</w:t>
      </w:r>
      <w:r w:rsidRPr="00911998">
        <w:t xml:space="preserve"> des familles monoparentales, recomposées, adoptantes</w:t>
      </w:r>
      <w:r w:rsidR="002431B4" w:rsidRPr="00911998">
        <w:t xml:space="preserve"> et</w:t>
      </w:r>
      <w:r w:rsidRPr="00911998">
        <w:t xml:space="preserve"> transparentales</w:t>
      </w:r>
      <w:r w:rsidR="00563389" w:rsidRPr="00911998">
        <w:t xml:space="preserve">. On y compte également </w:t>
      </w:r>
      <w:r w:rsidR="003D515D" w:rsidRPr="00911998">
        <w:t>quelques</w:t>
      </w:r>
      <w:r w:rsidR="00563389" w:rsidRPr="00911998">
        <w:t xml:space="preserve"> familles</w:t>
      </w:r>
      <w:r w:rsidRPr="00911998">
        <w:t xml:space="preserve"> </w:t>
      </w:r>
      <w:proofErr w:type="spellStart"/>
      <w:r w:rsidRPr="00911998">
        <w:t>pluriparentales</w:t>
      </w:r>
      <w:proofErr w:type="spellEnd"/>
      <w:r w:rsidR="00563389" w:rsidRPr="00911998">
        <w:t>.</w:t>
      </w:r>
    </w:p>
    <w:p w14:paraId="4BCD367A" w14:textId="51C9314F" w:rsidR="00563389" w:rsidRPr="00911998" w:rsidRDefault="00A70D01" w:rsidP="009C6D86">
      <w:pPr>
        <w:pStyle w:val="Titre2"/>
        <w:numPr>
          <w:ilvl w:val="0"/>
          <w:numId w:val="0"/>
        </w:numPr>
      </w:pPr>
      <w:bookmarkStart w:id="6" w:name="_Toc196463722"/>
      <w:r w:rsidRPr="00911998">
        <w:t>LES QUESTIONS EN LITIGE</w:t>
      </w:r>
      <w:bookmarkEnd w:id="6"/>
    </w:p>
    <w:p w14:paraId="10F7B1F3" w14:textId="1A44481A" w:rsidR="009C6D86" w:rsidRPr="00911998" w:rsidRDefault="00121CD7" w:rsidP="009C6D86">
      <w:pPr>
        <w:pStyle w:val="Paragrsimple"/>
        <w:tabs>
          <w:tab w:val="clear" w:pos="360"/>
        </w:tabs>
        <w:rPr>
          <w:rFonts w:cs="Arial"/>
          <w:szCs w:val="24"/>
        </w:rPr>
      </w:pPr>
      <w:r w:rsidRPr="00911998">
        <w:t>Ensemble, les deux demandes soumises au Tribunal soulèvent les questions suivantes :</w:t>
      </w:r>
    </w:p>
    <w:p w14:paraId="27C56CD2" w14:textId="41F386FB" w:rsidR="00121CD7" w:rsidRPr="00911998" w:rsidRDefault="002F6075" w:rsidP="000F6BA9">
      <w:pPr>
        <w:pStyle w:val="Paragraphedeliste"/>
        <w:numPr>
          <w:ilvl w:val="0"/>
          <w:numId w:val="17"/>
        </w:numPr>
        <w:ind w:left="714" w:hanging="357"/>
        <w:contextualSpacing w:val="0"/>
        <w:jc w:val="both"/>
        <w:rPr>
          <w:rFonts w:ascii="Arial" w:hAnsi="Arial" w:cs="Arial"/>
          <w:sz w:val="24"/>
          <w:szCs w:val="24"/>
        </w:rPr>
      </w:pPr>
      <w:r w:rsidRPr="00911998">
        <w:rPr>
          <w:rFonts w:ascii="Arial" w:hAnsi="Arial" w:cs="Arial"/>
          <w:sz w:val="24"/>
          <w:szCs w:val="24"/>
        </w:rPr>
        <w:t>Interprétées</w:t>
      </w:r>
      <w:r w:rsidR="00121CD7" w:rsidRPr="00911998">
        <w:rPr>
          <w:rFonts w:ascii="Arial" w:hAnsi="Arial" w:cs="Arial"/>
          <w:sz w:val="24"/>
          <w:szCs w:val="24"/>
        </w:rPr>
        <w:t xml:space="preserve"> correctement, les dispositions du </w:t>
      </w:r>
      <w:r w:rsidR="000E71C1" w:rsidRPr="00911998">
        <w:rPr>
          <w:rFonts w:ascii="Arial" w:hAnsi="Arial" w:cs="Arial"/>
          <w:sz w:val="24"/>
          <w:szCs w:val="24"/>
        </w:rPr>
        <w:t>C.c.Q.</w:t>
      </w:r>
      <w:r w:rsidR="00121CD7" w:rsidRPr="00911998">
        <w:rPr>
          <w:rFonts w:ascii="Arial" w:hAnsi="Arial" w:cs="Arial"/>
          <w:sz w:val="24"/>
          <w:szCs w:val="24"/>
        </w:rPr>
        <w:t xml:space="preserve"> qui régissent la filiation permettent</w:t>
      </w:r>
      <w:r w:rsidR="00121CD7" w:rsidRPr="00911998">
        <w:rPr>
          <w:rFonts w:ascii="Arial" w:hAnsi="Arial" w:cs="Arial"/>
          <w:sz w:val="24"/>
          <w:szCs w:val="24"/>
        </w:rPr>
        <w:noBreakHyphen/>
        <w:t xml:space="preserve">elles la reconnaissance de plus </w:t>
      </w:r>
      <w:r w:rsidR="00682296" w:rsidRPr="00911998">
        <w:rPr>
          <w:rFonts w:ascii="Arial" w:hAnsi="Arial" w:cs="Arial"/>
          <w:sz w:val="24"/>
          <w:szCs w:val="24"/>
        </w:rPr>
        <w:t xml:space="preserve">de </w:t>
      </w:r>
      <w:r w:rsidR="00121CD7" w:rsidRPr="00911998">
        <w:rPr>
          <w:rFonts w:ascii="Arial" w:hAnsi="Arial" w:cs="Arial"/>
          <w:sz w:val="24"/>
          <w:szCs w:val="24"/>
        </w:rPr>
        <w:t>deux liens de filiation</w:t>
      </w:r>
      <w:r w:rsidRPr="00911998">
        <w:rPr>
          <w:rFonts w:ascii="Arial" w:hAnsi="Arial" w:cs="Arial"/>
          <w:sz w:val="24"/>
          <w:szCs w:val="24"/>
        </w:rPr>
        <w:t> </w:t>
      </w:r>
      <w:r w:rsidR="00121CD7" w:rsidRPr="00911998">
        <w:rPr>
          <w:rFonts w:ascii="Arial" w:hAnsi="Arial" w:cs="Arial"/>
          <w:sz w:val="24"/>
          <w:szCs w:val="24"/>
        </w:rPr>
        <w:t>?</w:t>
      </w:r>
    </w:p>
    <w:p w14:paraId="539CF080" w14:textId="449F9528" w:rsidR="00121CD7" w:rsidRPr="00911998" w:rsidRDefault="00121CD7" w:rsidP="000F6BA9">
      <w:pPr>
        <w:pStyle w:val="Paragraphedeliste"/>
        <w:numPr>
          <w:ilvl w:val="0"/>
          <w:numId w:val="17"/>
        </w:numPr>
        <w:ind w:left="714" w:hanging="357"/>
        <w:contextualSpacing w:val="0"/>
        <w:jc w:val="both"/>
        <w:rPr>
          <w:rFonts w:ascii="Arial" w:hAnsi="Arial" w:cs="Arial"/>
          <w:sz w:val="24"/>
          <w:szCs w:val="24"/>
        </w:rPr>
      </w:pPr>
      <w:r w:rsidRPr="00911998">
        <w:rPr>
          <w:rFonts w:ascii="Arial" w:hAnsi="Arial" w:cs="Arial"/>
          <w:sz w:val="24"/>
          <w:szCs w:val="24"/>
        </w:rPr>
        <w:t>Dans l</w:t>
      </w:r>
      <w:r w:rsidR="0029518B" w:rsidRPr="00911998">
        <w:rPr>
          <w:rFonts w:ascii="Arial" w:hAnsi="Arial" w:cs="Arial"/>
          <w:sz w:val="24"/>
          <w:szCs w:val="24"/>
        </w:rPr>
        <w:t xml:space="preserve">e cas d’une réponse </w:t>
      </w:r>
      <w:r w:rsidRPr="00911998">
        <w:rPr>
          <w:rFonts w:ascii="Arial" w:hAnsi="Arial" w:cs="Arial"/>
          <w:sz w:val="24"/>
          <w:szCs w:val="24"/>
        </w:rPr>
        <w:t>négative, la limite de deux liens de filiation porte-t-elle atteinte :</w:t>
      </w:r>
    </w:p>
    <w:p w14:paraId="1581816C" w14:textId="20E2CD4C" w:rsidR="00A64FF4" w:rsidRPr="00911998" w:rsidRDefault="00A64FF4" w:rsidP="000F6BA9">
      <w:pPr>
        <w:pStyle w:val="Paragraphedeliste"/>
        <w:numPr>
          <w:ilvl w:val="1"/>
          <w:numId w:val="17"/>
        </w:numPr>
        <w:ind w:left="1434" w:hanging="357"/>
        <w:contextualSpacing w:val="0"/>
        <w:jc w:val="both"/>
        <w:rPr>
          <w:rFonts w:ascii="Arial" w:hAnsi="Arial" w:cs="Arial"/>
          <w:sz w:val="24"/>
          <w:szCs w:val="24"/>
        </w:rPr>
      </w:pPr>
      <w:proofErr w:type="gramStart"/>
      <w:r w:rsidRPr="00911998">
        <w:rPr>
          <w:rFonts w:ascii="Arial" w:hAnsi="Arial" w:cs="Arial"/>
          <w:sz w:val="24"/>
          <w:szCs w:val="24"/>
        </w:rPr>
        <w:t>au</w:t>
      </w:r>
      <w:proofErr w:type="gramEnd"/>
      <w:r w:rsidRPr="00911998">
        <w:rPr>
          <w:rFonts w:ascii="Arial" w:hAnsi="Arial" w:cs="Arial"/>
          <w:sz w:val="24"/>
          <w:szCs w:val="24"/>
        </w:rPr>
        <w:t xml:space="preserve"> droit à la sécurité de la personne garanti par l’article 7 de la </w:t>
      </w:r>
      <w:r w:rsidRPr="00911998">
        <w:rPr>
          <w:rFonts w:ascii="Arial" w:hAnsi="Arial" w:cs="Arial"/>
          <w:i/>
          <w:iCs/>
          <w:sz w:val="24"/>
          <w:szCs w:val="24"/>
        </w:rPr>
        <w:t xml:space="preserve">Charte canadienne </w:t>
      </w:r>
      <w:r w:rsidRPr="00911998">
        <w:rPr>
          <w:rFonts w:ascii="Arial" w:hAnsi="Arial" w:cs="Arial"/>
          <w:sz w:val="24"/>
          <w:szCs w:val="24"/>
        </w:rPr>
        <w:t xml:space="preserve">et au droit à l’intégrité de la personne protégé par l’article 1 de la </w:t>
      </w:r>
      <w:r w:rsidRPr="00911998">
        <w:rPr>
          <w:rFonts w:ascii="Arial" w:hAnsi="Arial" w:cs="Arial"/>
          <w:i/>
          <w:iCs/>
          <w:sz w:val="24"/>
          <w:szCs w:val="24"/>
        </w:rPr>
        <w:t>Charte des droits et libertés de la personne</w:t>
      </w:r>
      <w:r w:rsidRPr="00911998">
        <w:rPr>
          <w:rStyle w:val="Appelnotedebasdep"/>
          <w:rFonts w:ascii="Arial" w:hAnsi="Arial" w:cs="Arial"/>
          <w:sz w:val="24"/>
          <w:szCs w:val="24"/>
        </w:rPr>
        <w:footnoteReference w:id="23"/>
      </w:r>
      <w:r w:rsidRPr="00911998">
        <w:rPr>
          <w:rFonts w:ascii="Arial" w:hAnsi="Arial" w:cs="Arial"/>
          <w:i/>
          <w:iCs/>
          <w:sz w:val="24"/>
          <w:szCs w:val="24"/>
        </w:rPr>
        <w:t xml:space="preserve"> </w:t>
      </w:r>
      <w:r w:rsidRPr="00911998">
        <w:rPr>
          <w:rFonts w:ascii="Arial" w:hAnsi="Arial" w:cs="Arial"/>
          <w:sz w:val="24"/>
          <w:szCs w:val="24"/>
        </w:rPr>
        <w:t xml:space="preserve">(la </w:t>
      </w:r>
      <w:r w:rsidRPr="00911998">
        <w:rPr>
          <w:rFonts w:ascii="Arial" w:hAnsi="Arial" w:cs="Arial"/>
          <w:b/>
          <w:bCs/>
          <w:i/>
          <w:iCs/>
          <w:sz w:val="24"/>
          <w:szCs w:val="24"/>
        </w:rPr>
        <w:t>Charte québécoise</w:t>
      </w:r>
      <w:r w:rsidRPr="00911998">
        <w:rPr>
          <w:rFonts w:ascii="Arial" w:hAnsi="Arial" w:cs="Arial"/>
          <w:sz w:val="24"/>
          <w:szCs w:val="24"/>
        </w:rPr>
        <w:t>)</w:t>
      </w:r>
      <w:r w:rsidRPr="00911998">
        <w:rPr>
          <w:rFonts w:ascii="Arial" w:hAnsi="Arial" w:cs="Arial"/>
          <w:i/>
          <w:iCs/>
          <w:sz w:val="24"/>
          <w:szCs w:val="24"/>
        </w:rPr>
        <w:t xml:space="preserve">  </w:t>
      </w:r>
      <w:r w:rsidRPr="00911998">
        <w:rPr>
          <w:rFonts w:ascii="Arial" w:hAnsi="Arial" w:cs="Arial"/>
          <w:sz w:val="24"/>
          <w:szCs w:val="24"/>
        </w:rPr>
        <w:t>?</w:t>
      </w:r>
    </w:p>
    <w:p w14:paraId="2844C290" w14:textId="6BA799D3" w:rsidR="00A64FF4" w:rsidRPr="00911998" w:rsidRDefault="00A64FF4" w:rsidP="000F6BA9">
      <w:pPr>
        <w:pStyle w:val="Paragraphedeliste"/>
        <w:numPr>
          <w:ilvl w:val="1"/>
          <w:numId w:val="17"/>
        </w:numPr>
        <w:ind w:left="1434" w:hanging="357"/>
        <w:contextualSpacing w:val="0"/>
        <w:jc w:val="both"/>
        <w:rPr>
          <w:rFonts w:ascii="Arial" w:hAnsi="Arial" w:cs="Arial"/>
          <w:sz w:val="24"/>
          <w:szCs w:val="24"/>
        </w:rPr>
      </w:pPr>
      <w:proofErr w:type="gramStart"/>
      <w:r w:rsidRPr="00911998">
        <w:rPr>
          <w:rFonts w:ascii="Arial" w:hAnsi="Arial" w:cs="Arial"/>
          <w:sz w:val="24"/>
          <w:szCs w:val="24"/>
        </w:rPr>
        <w:t>au</w:t>
      </w:r>
      <w:proofErr w:type="gramEnd"/>
      <w:r w:rsidRPr="00911998">
        <w:rPr>
          <w:rFonts w:ascii="Arial" w:hAnsi="Arial" w:cs="Arial"/>
          <w:sz w:val="24"/>
          <w:szCs w:val="24"/>
        </w:rPr>
        <w:t xml:space="preserve"> droit à la liberté garanti par l’article 7 de la </w:t>
      </w:r>
      <w:r w:rsidRPr="00911998">
        <w:rPr>
          <w:rFonts w:ascii="Arial" w:hAnsi="Arial" w:cs="Arial"/>
          <w:i/>
          <w:iCs/>
          <w:sz w:val="24"/>
          <w:szCs w:val="24"/>
        </w:rPr>
        <w:t xml:space="preserve">Charte canadienne </w:t>
      </w:r>
      <w:r w:rsidRPr="00911998">
        <w:rPr>
          <w:rFonts w:ascii="Arial" w:hAnsi="Arial" w:cs="Arial"/>
          <w:sz w:val="24"/>
          <w:szCs w:val="24"/>
        </w:rPr>
        <w:t xml:space="preserve">et par l’article 1 de la </w:t>
      </w:r>
      <w:r w:rsidRPr="00911998">
        <w:rPr>
          <w:rFonts w:ascii="Arial" w:hAnsi="Arial" w:cs="Arial"/>
          <w:i/>
          <w:iCs/>
          <w:sz w:val="24"/>
          <w:szCs w:val="24"/>
        </w:rPr>
        <w:t>Charte québécoise </w:t>
      </w:r>
      <w:r w:rsidRPr="00911998">
        <w:rPr>
          <w:rFonts w:ascii="Arial" w:hAnsi="Arial" w:cs="Arial"/>
          <w:sz w:val="24"/>
          <w:szCs w:val="24"/>
        </w:rPr>
        <w:t>?</w:t>
      </w:r>
      <w:r w:rsidR="00ED5A7C" w:rsidRPr="00911998">
        <w:rPr>
          <w:rFonts w:ascii="Arial" w:hAnsi="Arial" w:cs="Arial"/>
          <w:sz w:val="24"/>
          <w:szCs w:val="24"/>
        </w:rPr>
        <w:t>*</w:t>
      </w:r>
    </w:p>
    <w:p w14:paraId="76515E70" w14:textId="0385A8C2" w:rsidR="00B775FD" w:rsidRPr="00911998" w:rsidRDefault="00121CD7" w:rsidP="000F6BA9">
      <w:pPr>
        <w:pStyle w:val="Paragraphedeliste"/>
        <w:numPr>
          <w:ilvl w:val="1"/>
          <w:numId w:val="17"/>
        </w:numPr>
        <w:ind w:left="1434" w:hanging="357"/>
        <w:contextualSpacing w:val="0"/>
        <w:jc w:val="both"/>
        <w:rPr>
          <w:rFonts w:ascii="Arial" w:hAnsi="Arial" w:cs="Arial"/>
          <w:sz w:val="24"/>
          <w:szCs w:val="24"/>
        </w:rPr>
      </w:pPr>
      <w:proofErr w:type="gramStart"/>
      <w:r w:rsidRPr="00911998">
        <w:rPr>
          <w:rFonts w:ascii="Arial" w:hAnsi="Arial" w:cs="Arial"/>
          <w:sz w:val="24"/>
          <w:szCs w:val="24"/>
        </w:rPr>
        <w:t>au</w:t>
      </w:r>
      <w:proofErr w:type="gramEnd"/>
      <w:r w:rsidRPr="00911998">
        <w:rPr>
          <w:rFonts w:ascii="Arial" w:hAnsi="Arial" w:cs="Arial"/>
          <w:sz w:val="24"/>
          <w:szCs w:val="24"/>
        </w:rPr>
        <w:t xml:space="preserve"> droit à la sauvegarde de la dignité </w:t>
      </w:r>
      <w:r w:rsidR="00B775FD" w:rsidRPr="00911998">
        <w:rPr>
          <w:rFonts w:ascii="Arial" w:hAnsi="Arial" w:cs="Arial"/>
          <w:sz w:val="24"/>
          <w:szCs w:val="24"/>
        </w:rPr>
        <w:t>protégé</w:t>
      </w:r>
      <w:r w:rsidRPr="00911998">
        <w:rPr>
          <w:rFonts w:ascii="Arial" w:hAnsi="Arial" w:cs="Arial"/>
          <w:sz w:val="24"/>
          <w:szCs w:val="24"/>
        </w:rPr>
        <w:t xml:space="preserve"> par l’article 4 de la </w:t>
      </w:r>
      <w:r w:rsidR="00A64FF4" w:rsidRPr="00911998">
        <w:rPr>
          <w:rFonts w:ascii="Arial" w:hAnsi="Arial" w:cs="Arial"/>
          <w:i/>
          <w:iCs/>
          <w:sz w:val="24"/>
          <w:szCs w:val="24"/>
        </w:rPr>
        <w:t>Charte québécoise</w:t>
      </w:r>
      <w:r w:rsidR="002F6075" w:rsidRPr="00911998">
        <w:rPr>
          <w:rFonts w:ascii="Arial" w:hAnsi="Arial" w:cs="Arial"/>
          <w:sz w:val="24"/>
          <w:szCs w:val="24"/>
        </w:rPr>
        <w:t> </w:t>
      </w:r>
      <w:r w:rsidR="00B775FD" w:rsidRPr="00911998">
        <w:rPr>
          <w:rFonts w:ascii="Arial" w:hAnsi="Arial" w:cs="Arial"/>
          <w:sz w:val="24"/>
          <w:szCs w:val="24"/>
        </w:rPr>
        <w:t>?</w:t>
      </w:r>
      <w:r w:rsidR="00ED5A7C" w:rsidRPr="00911998">
        <w:rPr>
          <w:rFonts w:ascii="Arial" w:hAnsi="Arial" w:cs="Arial"/>
          <w:sz w:val="24"/>
          <w:szCs w:val="24"/>
        </w:rPr>
        <w:t>*</w:t>
      </w:r>
    </w:p>
    <w:p w14:paraId="34C4636E" w14:textId="74E58333" w:rsidR="00121CD7" w:rsidRPr="00911998" w:rsidRDefault="00B775FD" w:rsidP="000F6BA9">
      <w:pPr>
        <w:pStyle w:val="Paragraphedeliste"/>
        <w:numPr>
          <w:ilvl w:val="1"/>
          <w:numId w:val="17"/>
        </w:numPr>
        <w:ind w:left="1434" w:hanging="357"/>
        <w:contextualSpacing w:val="0"/>
        <w:jc w:val="both"/>
        <w:rPr>
          <w:rFonts w:ascii="Arial" w:hAnsi="Arial" w:cs="Arial"/>
          <w:sz w:val="24"/>
          <w:szCs w:val="24"/>
        </w:rPr>
      </w:pPr>
      <w:proofErr w:type="gramStart"/>
      <w:r w:rsidRPr="00911998">
        <w:rPr>
          <w:rFonts w:ascii="Arial" w:hAnsi="Arial" w:cs="Arial"/>
          <w:sz w:val="24"/>
          <w:szCs w:val="24"/>
        </w:rPr>
        <w:t>au</w:t>
      </w:r>
      <w:proofErr w:type="gramEnd"/>
      <w:r w:rsidRPr="00911998">
        <w:rPr>
          <w:rFonts w:ascii="Arial" w:hAnsi="Arial" w:cs="Arial"/>
          <w:sz w:val="24"/>
          <w:szCs w:val="24"/>
        </w:rPr>
        <w:t xml:space="preserve"> droit à la vie privée protégé par l’article </w:t>
      </w:r>
      <w:r w:rsidR="00E458DF" w:rsidRPr="00911998">
        <w:rPr>
          <w:rFonts w:ascii="Arial" w:hAnsi="Arial" w:cs="Arial"/>
          <w:sz w:val="24"/>
          <w:szCs w:val="24"/>
        </w:rPr>
        <w:t>5</w:t>
      </w:r>
      <w:r w:rsidRPr="00911998">
        <w:rPr>
          <w:rFonts w:ascii="Arial" w:hAnsi="Arial" w:cs="Arial"/>
          <w:sz w:val="24"/>
          <w:szCs w:val="24"/>
        </w:rPr>
        <w:t xml:space="preserve"> de la </w:t>
      </w:r>
      <w:r w:rsidRPr="00911998">
        <w:rPr>
          <w:rFonts w:ascii="Arial" w:hAnsi="Arial" w:cs="Arial"/>
          <w:i/>
          <w:iCs/>
          <w:sz w:val="24"/>
          <w:szCs w:val="24"/>
        </w:rPr>
        <w:t>Charte québécoise</w:t>
      </w:r>
      <w:r w:rsidR="002F6075" w:rsidRPr="00911998">
        <w:rPr>
          <w:rFonts w:ascii="Arial" w:hAnsi="Arial" w:cs="Arial"/>
          <w:i/>
          <w:iCs/>
          <w:sz w:val="24"/>
          <w:szCs w:val="24"/>
        </w:rPr>
        <w:t> </w:t>
      </w:r>
      <w:r w:rsidRPr="00911998">
        <w:rPr>
          <w:rFonts w:ascii="Arial" w:hAnsi="Arial" w:cs="Arial"/>
          <w:sz w:val="24"/>
          <w:szCs w:val="24"/>
        </w:rPr>
        <w:t>?</w:t>
      </w:r>
      <w:r w:rsidR="00ED5A7C" w:rsidRPr="00911998">
        <w:rPr>
          <w:rFonts w:ascii="Arial" w:hAnsi="Arial" w:cs="Arial"/>
          <w:sz w:val="24"/>
          <w:szCs w:val="24"/>
        </w:rPr>
        <w:t>*</w:t>
      </w:r>
    </w:p>
    <w:p w14:paraId="60192380" w14:textId="11CE3078" w:rsidR="009C331E" w:rsidRPr="00911998" w:rsidRDefault="009C331E" w:rsidP="000F6BA9">
      <w:pPr>
        <w:pStyle w:val="Paragraphedeliste"/>
        <w:numPr>
          <w:ilvl w:val="1"/>
          <w:numId w:val="17"/>
        </w:numPr>
        <w:ind w:left="1434" w:hanging="357"/>
        <w:contextualSpacing w:val="0"/>
        <w:jc w:val="both"/>
        <w:rPr>
          <w:rFonts w:ascii="Arial" w:hAnsi="Arial" w:cs="Arial"/>
          <w:sz w:val="24"/>
          <w:szCs w:val="24"/>
        </w:rPr>
      </w:pPr>
      <w:proofErr w:type="gramStart"/>
      <w:r w:rsidRPr="00911998">
        <w:rPr>
          <w:rFonts w:ascii="Arial" w:hAnsi="Arial" w:cs="Arial"/>
          <w:sz w:val="24"/>
          <w:szCs w:val="24"/>
        </w:rPr>
        <w:t>au</w:t>
      </w:r>
      <w:proofErr w:type="gramEnd"/>
      <w:r w:rsidRPr="00911998">
        <w:rPr>
          <w:rFonts w:ascii="Arial" w:hAnsi="Arial" w:cs="Arial"/>
          <w:sz w:val="24"/>
          <w:szCs w:val="24"/>
        </w:rPr>
        <w:t xml:space="preserve"> droit à l’égalité garanti par le paragraphe 15(1) de la </w:t>
      </w:r>
      <w:r w:rsidRPr="00911998">
        <w:rPr>
          <w:rFonts w:ascii="Arial" w:hAnsi="Arial" w:cs="Arial"/>
          <w:i/>
          <w:iCs/>
          <w:sz w:val="24"/>
          <w:szCs w:val="24"/>
        </w:rPr>
        <w:t xml:space="preserve">Charte canadienne </w:t>
      </w:r>
      <w:r w:rsidRPr="00911998">
        <w:rPr>
          <w:rFonts w:ascii="Arial" w:hAnsi="Arial" w:cs="Arial"/>
          <w:sz w:val="24"/>
          <w:szCs w:val="24"/>
        </w:rPr>
        <w:t>au motif qu</w:t>
      </w:r>
      <w:r w:rsidR="00291485" w:rsidRPr="00911998">
        <w:rPr>
          <w:rFonts w:ascii="Arial" w:hAnsi="Arial" w:cs="Arial"/>
          <w:sz w:val="24"/>
          <w:szCs w:val="24"/>
        </w:rPr>
        <w:t xml:space="preserve">e cette limite </w:t>
      </w:r>
      <w:r w:rsidRPr="00911998">
        <w:rPr>
          <w:rFonts w:ascii="Arial" w:hAnsi="Arial" w:cs="Arial"/>
          <w:sz w:val="24"/>
          <w:szCs w:val="24"/>
        </w:rPr>
        <w:t>constitue de la discrimination fondée sur :</w:t>
      </w:r>
    </w:p>
    <w:p w14:paraId="61F3F680" w14:textId="7647C4FE" w:rsidR="009C331E" w:rsidRPr="00911998" w:rsidRDefault="009C331E" w:rsidP="000F6BA9">
      <w:pPr>
        <w:pStyle w:val="Paragraphedeliste"/>
        <w:numPr>
          <w:ilvl w:val="2"/>
          <w:numId w:val="17"/>
        </w:numPr>
        <w:contextualSpacing w:val="0"/>
        <w:jc w:val="both"/>
        <w:rPr>
          <w:rFonts w:ascii="Arial" w:hAnsi="Arial" w:cs="Arial"/>
          <w:sz w:val="24"/>
          <w:szCs w:val="24"/>
        </w:rPr>
      </w:pPr>
      <w:proofErr w:type="gramStart"/>
      <w:r w:rsidRPr="00911998">
        <w:rPr>
          <w:rFonts w:ascii="Arial" w:hAnsi="Arial" w:cs="Arial"/>
          <w:sz w:val="24"/>
          <w:szCs w:val="24"/>
        </w:rPr>
        <w:t>la</w:t>
      </w:r>
      <w:proofErr w:type="gramEnd"/>
      <w:r w:rsidRPr="00911998">
        <w:rPr>
          <w:rFonts w:ascii="Arial" w:hAnsi="Arial" w:cs="Arial"/>
          <w:sz w:val="24"/>
          <w:szCs w:val="24"/>
        </w:rPr>
        <w:t xml:space="preserve"> déficience physique</w:t>
      </w:r>
      <w:r w:rsidR="002F6075" w:rsidRPr="00911998">
        <w:rPr>
          <w:rFonts w:ascii="Arial" w:hAnsi="Arial" w:cs="Arial"/>
          <w:sz w:val="24"/>
          <w:szCs w:val="24"/>
        </w:rPr>
        <w:t> </w:t>
      </w:r>
      <w:r w:rsidRPr="00911998">
        <w:rPr>
          <w:rFonts w:ascii="Arial" w:hAnsi="Arial" w:cs="Arial"/>
          <w:sz w:val="24"/>
          <w:szCs w:val="24"/>
        </w:rPr>
        <w:t>;</w:t>
      </w:r>
      <w:r w:rsidR="00ED5A7C" w:rsidRPr="00911998">
        <w:rPr>
          <w:rFonts w:ascii="Arial" w:hAnsi="Arial" w:cs="Arial"/>
          <w:sz w:val="24"/>
          <w:szCs w:val="24"/>
        </w:rPr>
        <w:t>*</w:t>
      </w:r>
    </w:p>
    <w:p w14:paraId="4E8C4D78" w14:textId="286EDEC1" w:rsidR="009C331E" w:rsidRPr="00911998" w:rsidRDefault="009C331E" w:rsidP="000F6BA9">
      <w:pPr>
        <w:pStyle w:val="Paragraphedeliste"/>
        <w:numPr>
          <w:ilvl w:val="2"/>
          <w:numId w:val="17"/>
        </w:numPr>
        <w:contextualSpacing w:val="0"/>
        <w:jc w:val="both"/>
        <w:rPr>
          <w:rFonts w:ascii="Arial" w:hAnsi="Arial" w:cs="Arial"/>
          <w:sz w:val="24"/>
          <w:szCs w:val="24"/>
        </w:rPr>
      </w:pPr>
      <w:proofErr w:type="gramStart"/>
      <w:r w:rsidRPr="00911998">
        <w:rPr>
          <w:rFonts w:ascii="Arial" w:hAnsi="Arial" w:cs="Arial"/>
          <w:sz w:val="24"/>
          <w:szCs w:val="24"/>
        </w:rPr>
        <w:t>l’orientation</w:t>
      </w:r>
      <w:proofErr w:type="gramEnd"/>
      <w:r w:rsidRPr="00911998">
        <w:rPr>
          <w:rFonts w:ascii="Arial" w:hAnsi="Arial" w:cs="Arial"/>
          <w:sz w:val="24"/>
          <w:szCs w:val="24"/>
        </w:rPr>
        <w:t xml:space="preserve"> sexuelle</w:t>
      </w:r>
      <w:r w:rsidR="002F6075" w:rsidRPr="00911998">
        <w:rPr>
          <w:rFonts w:ascii="Arial" w:hAnsi="Arial" w:cs="Arial"/>
          <w:sz w:val="24"/>
          <w:szCs w:val="24"/>
        </w:rPr>
        <w:t> </w:t>
      </w:r>
      <w:r w:rsidRPr="00911998">
        <w:rPr>
          <w:rFonts w:ascii="Arial" w:hAnsi="Arial" w:cs="Arial"/>
          <w:sz w:val="24"/>
          <w:szCs w:val="24"/>
        </w:rPr>
        <w:t>;</w:t>
      </w:r>
    </w:p>
    <w:p w14:paraId="3BB0136A" w14:textId="6512FDE4" w:rsidR="009C331E" w:rsidRPr="00911998" w:rsidRDefault="009C331E" w:rsidP="000F6BA9">
      <w:pPr>
        <w:pStyle w:val="Paragraphedeliste"/>
        <w:numPr>
          <w:ilvl w:val="2"/>
          <w:numId w:val="17"/>
        </w:numPr>
        <w:contextualSpacing w:val="0"/>
        <w:jc w:val="both"/>
        <w:rPr>
          <w:rFonts w:ascii="Arial" w:hAnsi="Arial" w:cs="Arial"/>
          <w:sz w:val="24"/>
          <w:szCs w:val="24"/>
        </w:rPr>
      </w:pPr>
      <w:proofErr w:type="gramStart"/>
      <w:r w:rsidRPr="00911998">
        <w:rPr>
          <w:rFonts w:ascii="Arial" w:hAnsi="Arial" w:cs="Arial"/>
          <w:sz w:val="24"/>
          <w:szCs w:val="24"/>
        </w:rPr>
        <w:t>le</w:t>
      </w:r>
      <w:proofErr w:type="gramEnd"/>
      <w:r w:rsidRPr="00911998">
        <w:rPr>
          <w:rFonts w:ascii="Arial" w:hAnsi="Arial" w:cs="Arial"/>
          <w:sz w:val="24"/>
          <w:szCs w:val="24"/>
        </w:rPr>
        <w:t xml:space="preserve"> mode de conception</w:t>
      </w:r>
      <w:r w:rsidR="002F6075" w:rsidRPr="00911998">
        <w:rPr>
          <w:rFonts w:ascii="Arial" w:hAnsi="Arial" w:cs="Arial"/>
          <w:sz w:val="24"/>
          <w:szCs w:val="24"/>
        </w:rPr>
        <w:t> </w:t>
      </w:r>
      <w:r w:rsidRPr="00911998">
        <w:rPr>
          <w:rFonts w:ascii="Arial" w:hAnsi="Arial" w:cs="Arial"/>
          <w:sz w:val="24"/>
          <w:szCs w:val="24"/>
        </w:rPr>
        <w:t>;</w:t>
      </w:r>
      <w:r w:rsidR="00ED5A7C" w:rsidRPr="00911998">
        <w:rPr>
          <w:rFonts w:ascii="Arial" w:hAnsi="Arial" w:cs="Arial"/>
          <w:sz w:val="24"/>
          <w:szCs w:val="24"/>
        </w:rPr>
        <w:t>*</w:t>
      </w:r>
      <w:r w:rsidRPr="00911998">
        <w:rPr>
          <w:rFonts w:ascii="Arial" w:hAnsi="Arial" w:cs="Arial"/>
          <w:sz w:val="24"/>
          <w:szCs w:val="24"/>
        </w:rPr>
        <w:t xml:space="preserve"> ou</w:t>
      </w:r>
    </w:p>
    <w:p w14:paraId="7BBB4B49" w14:textId="13D389BE" w:rsidR="009C331E" w:rsidRPr="00911998" w:rsidRDefault="009C331E" w:rsidP="000F6BA9">
      <w:pPr>
        <w:pStyle w:val="Paragraphedeliste"/>
        <w:numPr>
          <w:ilvl w:val="2"/>
          <w:numId w:val="17"/>
        </w:numPr>
        <w:contextualSpacing w:val="0"/>
        <w:jc w:val="both"/>
        <w:rPr>
          <w:rFonts w:ascii="Arial" w:hAnsi="Arial" w:cs="Arial"/>
          <w:sz w:val="24"/>
          <w:szCs w:val="24"/>
        </w:rPr>
      </w:pPr>
      <w:proofErr w:type="gramStart"/>
      <w:r w:rsidRPr="00911998">
        <w:rPr>
          <w:rFonts w:ascii="Arial" w:hAnsi="Arial" w:cs="Arial"/>
          <w:sz w:val="24"/>
          <w:szCs w:val="24"/>
        </w:rPr>
        <w:t>le</w:t>
      </w:r>
      <w:proofErr w:type="gramEnd"/>
      <w:r w:rsidRPr="00911998">
        <w:rPr>
          <w:rFonts w:ascii="Arial" w:hAnsi="Arial" w:cs="Arial"/>
          <w:sz w:val="24"/>
          <w:szCs w:val="24"/>
        </w:rPr>
        <w:t xml:space="preserve"> statut familial</w:t>
      </w:r>
      <w:r w:rsidR="002F6075" w:rsidRPr="00911998">
        <w:rPr>
          <w:rFonts w:ascii="Arial" w:hAnsi="Arial" w:cs="Arial"/>
          <w:sz w:val="24"/>
          <w:szCs w:val="24"/>
        </w:rPr>
        <w:t> </w:t>
      </w:r>
      <w:r w:rsidRPr="00911998">
        <w:rPr>
          <w:rFonts w:ascii="Arial" w:hAnsi="Arial" w:cs="Arial"/>
          <w:sz w:val="24"/>
          <w:szCs w:val="24"/>
        </w:rPr>
        <w:t>?</w:t>
      </w:r>
    </w:p>
    <w:p w14:paraId="3E01C769" w14:textId="0BED609B" w:rsidR="009C331E" w:rsidRPr="00911998" w:rsidRDefault="009C331E" w:rsidP="000F6BA9">
      <w:pPr>
        <w:pStyle w:val="Paragraphedeliste"/>
        <w:numPr>
          <w:ilvl w:val="1"/>
          <w:numId w:val="17"/>
        </w:numPr>
        <w:ind w:left="1434" w:hanging="357"/>
        <w:contextualSpacing w:val="0"/>
        <w:jc w:val="both"/>
        <w:rPr>
          <w:rFonts w:ascii="Arial" w:hAnsi="Arial" w:cs="Arial"/>
          <w:sz w:val="24"/>
          <w:szCs w:val="24"/>
        </w:rPr>
      </w:pPr>
      <w:proofErr w:type="gramStart"/>
      <w:r w:rsidRPr="00911998">
        <w:rPr>
          <w:rFonts w:ascii="Arial" w:hAnsi="Arial" w:cs="Arial"/>
          <w:sz w:val="24"/>
          <w:szCs w:val="24"/>
        </w:rPr>
        <w:t>au</w:t>
      </w:r>
      <w:proofErr w:type="gramEnd"/>
      <w:r w:rsidRPr="00911998">
        <w:rPr>
          <w:rFonts w:ascii="Arial" w:hAnsi="Arial" w:cs="Arial"/>
          <w:sz w:val="24"/>
          <w:szCs w:val="24"/>
        </w:rPr>
        <w:t xml:space="preserve"> droit à l’égalité garanti par l’article 10 de la </w:t>
      </w:r>
      <w:r w:rsidRPr="00911998">
        <w:rPr>
          <w:rFonts w:ascii="Arial" w:hAnsi="Arial" w:cs="Arial"/>
          <w:i/>
          <w:iCs/>
          <w:sz w:val="24"/>
          <w:szCs w:val="24"/>
        </w:rPr>
        <w:t xml:space="preserve">Charte québécoise </w:t>
      </w:r>
      <w:r w:rsidRPr="00911998">
        <w:rPr>
          <w:rFonts w:ascii="Arial" w:hAnsi="Arial" w:cs="Arial"/>
          <w:sz w:val="24"/>
          <w:szCs w:val="24"/>
        </w:rPr>
        <w:t>au motif qu</w:t>
      </w:r>
      <w:r w:rsidR="00291485" w:rsidRPr="00911998">
        <w:rPr>
          <w:rFonts w:ascii="Arial" w:hAnsi="Arial" w:cs="Arial"/>
          <w:sz w:val="24"/>
          <w:szCs w:val="24"/>
        </w:rPr>
        <w:t>e cette limite</w:t>
      </w:r>
      <w:r w:rsidRPr="00911998">
        <w:rPr>
          <w:rFonts w:ascii="Arial" w:hAnsi="Arial" w:cs="Arial"/>
          <w:sz w:val="24"/>
          <w:szCs w:val="24"/>
        </w:rPr>
        <w:t xml:space="preserve"> constitue de la discrimination fondée sur :</w:t>
      </w:r>
    </w:p>
    <w:p w14:paraId="762565DE" w14:textId="1DB4BA8F" w:rsidR="009C331E" w:rsidRPr="00911998" w:rsidRDefault="009C331E" w:rsidP="000F6BA9">
      <w:pPr>
        <w:pStyle w:val="Paragraphedeliste"/>
        <w:numPr>
          <w:ilvl w:val="2"/>
          <w:numId w:val="17"/>
        </w:numPr>
        <w:contextualSpacing w:val="0"/>
        <w:jc w:val="both"/>
        <w:rPr>
          <w:rFonts w:ascii="Arial" w:hAnsi="Arial" w:cs="Arial"/>
          <w:sz w:val="24"/>
          <w:szCs w:val="24"/>
        </w:rPr>
      </w:pPr>
      <w:proofErr w:type="gramStart"/>
      <w:r w:rsidRPr="00911998">
        <w:rPr>
          <w:rFonts w:ascii="Arial" w:hAnsi="Arial" w:cs="Arial"/>
          <w:sz w:val="24"/>
          <w:szCs w:val="24"/>
        </w:rPr>
        <w:t>le</w:t>
      </w:r>
      <w:proofErr w:type="gramEnd"/>
      <w:r w:rsidRPr="00911998">
        <w:rPr>
          <w:rFonts w:ascii="Arial" w:hAnsi="Arial" w:cs="Arial"/>
          <w:sz w:val="24"/>
          <w:szCs w:val="24"/>
        </w:rPr>
        <w:t xml:space="preserve"> handicap</w:t>
      </w:r>
      <w:r w:rsidR="002F6075" w:rsidRPr="00911998">
        <w:rPr>
          <w:rFonts w:ascii="Arial" w:hAnsi="Arial" w:cs="Arial"/>
          <w:sz w:val="24"/>
          <w:szCs w:val="24"/>
        </w:rPr>
        <w:t> </w:t>
      </w:r>
      <w:r w:rsidRPr="00911998">
        <w:rPr>
          <w:rFonts w:ascii="Arial" w:hAnsi="Arial" w:cs="Arial"/>
          <w:sz w:val="24"/>
          <w:szCs w:val="24"/>
        </w:rPr>
        <w:t>;</w:t>
      </w:r>
      <w:r w:rsidR="00ED5A7C" w:rsidRPr="00911998">
        <w:rPr>
          <w:rFonts w:ascii="Arial" w:hAnsi="Arial" w:cs="Arial"/>
          <w:sz w:val="24"/>
          <w:szCs w:val="24"/>
        </w:rPr>
        <w:t>*</w:t>
      </w:r>
    </w:p>
    <w:p w14:paraId="24C29C3E" w14:textId="0ED06534" w:rsidR="009C331E" w:rsidRPr="00911998" w:rsidRDefault="009C331E" w:rsidP="000F6BA9">
      <w:pPr>
        <w:pStyle w:val="Paragraphedeliste"/>
        <w:numPr>
          <w:ilvl w:val="2"/>
          <w:numId w:val="17"/>
        </w:numPr>
        <w:contextualSpacing w:val="0"/>
        <w:jc w:val="both"/>
        <w:rPr>
          <w:rFonts w:ascii="Arial" w:hAnsi="Arial" w:cs="Arial"/>
          <w:sz w:val="24"/>
          <w:szCs w:val="24"/>
        </w:rPr>
      </w:pPr>
      <w:proofErr w:type="gramStart"/>
      <w:r w:rsidRPr="00911998">
        <w:rPr>
          <w:rFonts w:ascii="Arial" w:hAnsi="Arial" w:cs="Arial"/>
          <w:sz w:val="24"/>
          <w:szCs w:val="24"/>
        </w:rPr>
        <w:t>l’orientation</w:t>
      </w:r>
      <w:proofErr w:type="gramEnd"/>
      <w:r w:rsidRPr="00911998">
        <w:rPr>
          <w:rFonts w:ascii="Arial" w:hAnsi="Arial" w:cs="Arial"/>
          <w:sz w:val="24"/>
          <w:szCs w:val="24"/>
        </w:rPr>
        <w:t xml:space="preserve"> sexuelle</w:t>
      </w:r>
      <w:r w:rsidR="002F6075" w:rsidRPr="00911998">
        <w:rPr>
          <w:rFonts w:ascii="Arial" w:hAnsi="Arial" w:cs="Arial"/>
          <w:sz w:val="24"/>
          <w:szCs w:val="24"/>
        </w:rPr>
        <w:t> </w:t>
      </w:r>
      <w:r w:rsidRPr="00911998">
        <w:rPr>
          <w:rFonts w:ascii="Arial" w:hAnsi="Arial" w:cs="Arial"/>
          <w:sz w:val="24"/>
          <w:szCs w:val="24"/>
        </w:rPr>
        <w:t>; ou</w:t>
      </w:r>
    </w:p>
    <w:p w14:paraId="214257CE" w14:textId="233EDFE4" w:rsidR="009C331E" w:rsidRPr="00911998" w:rsidRDefault="009C331E" w:rsidP="000F6BA9">
      <w:pPr>
        <w:pStyle w:val="Paragraphedeliste"/>
        <w:numPr>
          <w:ilvl w:val="2"/>
          <w:numId w:val="17"/>
        </w:numPr>
        <w:contextualSpacing w:val="0"/>
        <w:jc w:val="both"/>
        <w:rPr>
          <w:rFonts w:ascii="Arial" w:hAnsi="Arial" w:cs="Arial"/>
          <w:sz w:val="24"/>
          <w:szCs w:val="24"/>
        </w:rPr>
      </w:pPr>
      <w:proofErr w:type="gramStart"/>
      <w:r w:rsidRPr="00911998">
        <w:rPr>
          <w:rFonts w:ascii="Arial" w:hAnsi="Arial" w:cs="Arial"/>
          <w:sz w:val="24"/>
          <w:szCs w:val="24"/>
        </w:rPr>
        <w:lastRenderedPageBreak/>
        <w:t>l’état</w:t>
      </w:r>
      <w:proofErr w:type="gramEnd"/>
      <w:r w:rsidRPr="00911998">
        <w:rPr>
          <w:rFonts w:ascii="Arial" w:hAnsi="Arial" w:cs="Arial"/>
          <w:sz w:val="24"/>
          <w:szCs w:val="24"/>
        </w:rPr>
        <w:t xml:space="preserve"> civil</w:t>
      </w:r>
      <w:r w:rsidR="002F6075" w:rsidRPr="00911998">
        <w:rPr>
          <w:rFonts w:ascii="Arial" w:hAnsi="Arial" w:cs="Arial"/>
          <w:sz w:val="24"/>
          <w:szCs w:val="24"/>
        </w:rPr>
        <w:t> </w:t>
      </w:r>
      <w:r w:rsidRPr="00911998">
        <w:rPr>
          <w:rFonts w:ascii="Arial" w:hAnsi="Arial" w:cs="Arial"/>
          <w:sz w:val="24"/>
          <w:szCs w:val="24"/>
        </w:rPr>
        <w:t>?</w:t>
      </w:r>
    </w:p>
    <w:p w14:paraId="25B583F3" w14:textId="462D9E9F" w:rsidR="00A904EE" w:rsidRPr="00911998" w:rsidRDefault="00A04A5F" w:rsidP="00A904EE">
      <w:pPr>
        <w:pStyle w:val="Paragraphedeliste"/>
        <w:ind w:left="1434"/>
        <w:contextualSpacing w:val="0"/>
        <w:jc w:val="both"/>
        <w:rPr>
          <w:rFonts w:ascii="Arial" w:hAnsi="Arial" w:cs="Arial"/>
          <w:sz w:val="24"/>
          <w:szCs w:val="24"/>
        </w:rPr>
      </w:pPr>
      <w:r w:rsidRPr="00911998">
        <w:rPr>
          <w:rFonts w:ascii="Arial" w:hAnsi="Arial" w:cs="Arial"/>
          <w:sz w:val="24"/>
          <w:szCs w:val="24"/>
        </w:rPr>
        <w:t>* </w:t>
      </w:r>
      <w:r w:rsidR="00A904EE" w:rsidRPr="00911998">
        <w:rPr>
          <w:rFonts w:ascii="Arial" w:hAnsi="Arial" w:cs="Arial"/>
          <w:sz w:val="24"/>
          <w:szCs w:val="24"/>
        </w:rPr>
        <w:t>Les moyens constitutionnels</w:t>
      </w:r>
      <w:r w:rsidR="002545F7" w:rsidRPr="00911998">
        <w:rPr>
          <w:rFonts w:ascii="Arial" w:hAnsi="Arial" w:cs="Arial"/>
          <w:sz w:val="24"/>
          <w:szCs w:val="24"/>
        </w:rPr>
        <w:t xml:space="preserve"> et quasi</w:t>
      </w:r>
      <w:r w:rsidR="002545F7" w:rsidRPr="00911998">
        <w:rPr>
          <w:rFonts w:ascii="Arial" w:hAnsi="Arial" w:cs="Arial"/>
          <w:sz w:val="24"/>
          <w:szCs w:val="24"/>
        </w:rPr>
        <w:noBreakHyphen/>
        <w:t>constitutionnels</w:t>
      </w:r>
      <w:r w:rsidR="00A904EE" w:rsidRPr="00911998">
        <w:rPr>
          <w:rFonts w:ascii="Arial" w:hAnsi="Arial" w:cs="Arial"/>
          <w:sz w:val="24"/>
          <w:szCs w:val="24"/>
        </w:rPr>
        <w:t xml:space="preserve"> </w:t>
      </w:r>
      <w:r w:rsidR="00ED5A7C" w:rsidRPr="00911998">
        <w:rPr>
          <w:rFonts w:ascii="Arial" w:hAnsi="Arial" w:cs="Arial"/>
          <w:sz w:val="24"/>
          <w:szCs w:val="24"/>
        </w:rPr>
        <w:t>accompagnés</w:t>
      </w:r>
      <w:r w:rsidR="00A904EE" w:rsidRPr="00911998">
        <w:rPr>
          <w:rFonts w:ascii="Arial" w:hAnsi="Arial" w:cs="Arial"/>
          <w:sz w:val="24"/>
          <w:szCs w:val="24"/>
        </w:rPr>
        <w:t xml:space="preserve"> </w:t>
      </w:r>
      <w:r w:rsidR="00ED5A7C" w:rsidRPr="00911998">
        <w:rPr>
          <w:rFonts w:ascii="Arial" w:hAnsi="Arial" w:cs="Arial"/>
          <w:sz w:val="24"/>
          <w:szCs w:val="24"/>
        </w:rPr>
        <w:t>d’</w:t>
      </w:r>
      <w:r w:rsidR="00A904EE" w:rsidRPr="00911998">
        <w:rPr>
          <w:rFonts w:ascii="Arial" w:hAnsi="Arial" w:cs="Arial"/>
          <w:sz w:val="24"/>
          <w:szCs w:val="24"/>
        </w:rPr>
        <w:t xml:space="preserve">un astérisque </w:t>
      </w:r>
      <w:r w:rsidR="00EC4D90" w:rsidRPr="00911998">
        <w:rPr>
          <w:rFonts w:ascii="Arial" w:hAnsi="Arial" w:cs="Arial"/>
          <w:sz w:val="24"/>
          <w:szCs w:val="24"/>
        </w:rPr>
        <w:t xml:space="preserve">ne </w:t>
      </w:r>
      <w:r w:rsidR="00A904EE" w:rsidRPr="00911998">
        <w:rPr>
          <w:rFonts w:ascii="Arial" w:hAnsi="Arial" w:cs="Arial"/>
          <w:sz w:val="24"/>
          <w:szCs w:val="24"/>
        </w:rPr>
        <w:t xml:space="preserve">sont soulevés </w:t>
      </w:r>
      <w:r w:rsidR="00EC4D90" w:rsidRPr="00911998">
        <w:rPr>
          <w:rFonts w:ascii="Arial" w:hAnsi="Arial" w:cs="Arial"/>
          <w:sz w:val="24"/>
          <w:szCs w:val="24"/>
        </w:rPr>
        <w:t>que</w:t>
      </w:r>
      <w:r w:rsidR="00A904EE" w:rsidRPr="00911998">
        <w:rPr>
          <w:rFonts w:ascii="Arial" w:hAnsi="Arial" w:cs="Arial"/>
          <w:sz w:val="24"/>
          <w:szCs w:val="24"/>
        </w:rPr>
        <w:t xml:space="preserve"> dans le Dossier de la Coalition.</w:t>
      </w:r>
    </w:p>
    <w:p w14:paraId="122E3F05" w14:textId="08519EC4" w:rsidR="009C331E" w:rsidRPr="00911998" w:rsidRDefault="0029518B" w:rsidP="000F6BA9">
      <w:pPr>
        <w:pStyle w:val="Paragraphedeliste"/>
        <w:numPr>
          <w:ilvl w:val="0"/>
          <w:numId w:val="17"/>
        </w:numPr>
        <w:ind w:left="714" w:hanging="357"/>
        <w:contextualSpacing w:val="0"/>
        <w:jc w:val="both"/>
        <w:rPr>
          <w:rFonts w:ascii="Arial" w:hAnsi="Arial" w:cs="Arial"/>
          <w:sz w:val="24"/>
          <w:szCs w:val="24"/>
        </w:rPr>
      </w:pPr>
      <w:r w:rsidRPr="00911998">
        <w:rPr>
          <w:rFonts w:ascii="Arial" w:hAnsi="Arial" w:cs="Arial"/>
          <w:sz w:val="24"/>
          <w:szCs w:val="24"/>
        </w:rPr>
        <w:t xml:space="preserve">Dans la mesure où la limite de deux liens de filiation porte atteinte à un droit protégé par la </w:t>
      </w:r>
      <w:r w:rsidRPr="00911998">
        <w:rPr>
          <w:rFonts w:ascii="Arial" w:hAnsi="Arial" w:cs="Arial"/>
          <w:i/>
          <w:iCs/>
          <w:sz w:val="24"/>
          <w:szCs w:val="24"/>
        </w:rPr>
        <w:t xml:space="preserve">Charte canadienne </w:t>
      </w:r>
      <w:r w:rsidRPr="00911998">
        <w:rPr>
          <w:rFonts w:ascii="Arial" w:hAnsi="Arial" w:cs="Arial"/>
          <w:sz w:val="24"/>
          <w:szCs w:val="24"/>
        </w:rPr>
        <w:t xml:space="preserve">ou par la </w:t>
      </w:r>
      <w:r w:rsidRPr="00911998">
        <w:rPr>
          <w:rFonts w:ascii="Arial" w:hAnsi="Arial" w:cs="Arial"/>
          <w:i/>
          <w:iCs/>
          <w:sz w:val="24"/>
          <w:szCs w:val="24"/>
        </w:rPr>
        <w:t>Charte québécoise</w:t>
      </w:r>
      <w:r w:rsidRPr="00911998">
        <w:rPr>
          <w:rFonts w:ascii="Arial" w:hAnsi="Arial" w:cs="Arial"/>
          <w:sz w:val="24"/>
          <w:szCs w:val="24"/>
        </w:rPr>
        <w:t>, cette limite peut</w:t>
      </w:r>
      <w:r w:rsidRPr="00911998">
        <w:rPr>
          <w:rFonts w:ascii="Arial" w:hAnsi="Arial" w:cs="Arial"/>
          <w:sz w:val="24"/>
          <w:szCs w:val="24"/>
        </w:rPr>
        <w:noBreakHyphen/>
        <w:t xml:space="preserve">elle se justifier aux termes de l’article premier de la </w:t>
      </w:r>
      <w:r w:rsidRPr="00911998">
        <w:rPr>
          <w:rFonts w:ascii="Arial" w:hAnsi="Arial" w:cs="Arial"/>
          <w:i/>
          <w:iCs/>
          <w:sz w:val="24"/>
          <w:szCs w:val="24"/>
        </w:rPr>
        <w:t xml:space="preserve">Charte canadienne </w:t>
      </w:r>
      <w:r w:rsidRPr="00911998">
        <w:rPr>
          <w:rFonts w:ascii="Arial" w:hAnsi="Arial" w:cs="Arial"/>
          <w:sz w:val="24"/>
          <w:szCs w:val="24"/>
        </w:rPr>
        <w:t xml:space="preserve">ou de l’article 9.1 de la </w:t>
      </w:r>
      <w:r w:rsidRPr="00911998">
        <w:rPr>
          <w:rFonts w:ascii="Arial" w:hAnsi="Arial" w:cs="Arial"/>
          <w:i/>
          <w:iCs/>
          <w:sz w:val="24"/>
          <w:szCs w:val="24"/>
        </w:rPr>
        <w:t>Charte québécoise</w:t>
      </w:r>
      <w:r w:rsidR="002F6075" w:rsidRPr="00911998">
        <w:rPr>
          <w:rFonts w:ascii="Arial" w:hAnsi="Arial" w:cs="Arial"/>
          <w:i/>
          <w:iCs/>
          <w:sz w:val="24"/>
          <w:szCs w:val="24"/>
        </w:rPr>
        <w:t> </w:t>
      </w:r>
      <w:r w:rsidRPr="00911998">
        <w:rPr>
          <w:rFonts w:ascii="Arial" w:hAnsi="Arial" w:cs="Arial"/>
          <w:sz w:val="24"/>
          <w:szCs w:val="24"/>
        </w:rPr>
        <w:t>?</w:t>
      </w:r>
    </w:p>
    <w:p w14:paraId="2E0A4166" w14:textId="1EC297E3" w:rsidR="0029518B" w:rsidRPr="00911998" w:rsidRDefault="0029518B" w:rsidP="000F6BA9">
      <w:pPr>
        <w:pStyle w:val="Paragraphedeliste"/>
        <w:numPr>
          <w:ilvl w:val="0"/>
          <w:numId w:val="17"/>
        </w:numPr>
        <w:ind w:left="714" w:hanging="357"/>
        <w:contextualSpacing w:val="0"/>
        <w:jc w:val="both"/>
        <w:rPr>
          <w:rFonts w:ascii="Arial" w:hAnsi="Arial" w:cs="Arial"/>
          <w:sz w:val="24"/>
          <w:szCs w:val="24"/>
        </w:rPr>
      </w:pPr>
      <w:r w:rsidRPr="00911998">
        <w:rPr>
          <w:rFonts w:ascii="Arial" w:hAnsi="Arial" w:cs="Arial"/>
          <w:sz w:val="24"/>
          <w:szCs w:val="24"/>
        </w:rPr>
        <w:t>Dans le cas d’une réponse négative, quelle mesure de réparation</w:t>
      </w:r>
      <w:r w:rsidR="00291485" w:rsidRPr="00911998">
        <w:rPr>
          <w:rFonts w:ascii="Arial" w:hAnsi="Arial" w:cs="Arial"/>
          <w:sz w:val="24"/>
          <w:szCs w:val="24"/>
        </w:rPr>
        <w:t xml:space="preserve"> constitutionnelle</w:t>
      </w:r>
      <w:r w:rsidRPr="00911998">
        <w:rPr>
          <w:rFonts w:ascii="Arial" w:hAnsi="Arial" w:cs="Arial"/>
          <w:sz w:val="24"/>
          <w:szCs w:val="24"/>
        </w:rPr>
        <w:t xml:space="preserve"> d</w:t>
      </w:r>
      <w:r w:rsidR="00585ACD" w:rsidRPr="00911998">
        <w:rPr>
          <w:rFonts w:ascii="Arial" w:hAnsi="Arial" w:cs="Arial"/>
          <w:sz w:val="24"/>
          <w:szCs w:val="24"/>
        </w:rPr>
        <w:t>o</w:t>
      </w:r>
      <w:r w:rsidRPr="00911998">
        <w:rPr>
          <w:rFonts w:ascii="Arial" w:hAnsi="Arial" w:cs="Arial"/>
          <w:sz w:val="24"/>
          <w:szCs w:val="24"/>
        </w:rPr>
        <w:t>it être prononcée</w:t>
      </w:r>
      <w:r w:rsidR="002F6075" w:rsidRPr="00911998">
        <w:rPr>
          <w:rFonts w:ascii="Arial" w:hAnsi="Arial" w:cs="Arial"/>
          <w:sz w:val="24"/>
          <w:szCs w:val="24"/>
        </w:rPr>
        <w:t> </w:t>
      </w:r>
      <w:r w:rsidRPr="00911998">
        <w:rPr>
          <w:rFonts w:ascii="Arial" w:hAnsi="Arial" w:cs="Arial"/>
          <w:sz w:val="24"/>
          <w:szCs w:val="24"/>
        </w:rPr>
        <w:t>?</w:t>
      </w:r>
      <w:r w:rsidR="00A904EE" w:rsidRPr="00911998">
        <w:rPr>
          <w:rFonts w:ascii="Arial" w:hAnsi="Arial" w:cs="Arial"/>
          <w:sz w:val="24"/>
          <w:szCs w:val="24"/>
        </w:rPr>
        <w:t xml:space="preserve"> et</w:t>
      </w:r>
    </w:p>
    <w:p w14:paraId="384C0893" w14:textId="2D2BF0EF" w:rsidR="0029518B" w:rsidRPr="00911998" w:rsidRDefault="00A904EE" w:rsidP="000F6BA9">
      <w:pPr>
        <w:pStyle w:val="Paragraphedeliste"/>
        <w:numPr>
          <w:ilvl w:val="0"/>
          <w:numId w:val="17"/>
        </w:numPr>
        <w:ind w:left="714" w:hanging="357"/>
        <w:contextualSpacing w:val="0"/>
        <w:jc w:val="both"/>
        <w:rPr>
          <w:rFonts w:ascii="Arial" w:hAnsi="Arial" w:cs="Arial"/>
          <w:sz w:val="24"/>
          <w:szCs w:val="24"/>
        </w:rPr>
      </w:pPr>
      <w:r w:rsidRPr="00911998">
        <w:rPr>
          <w:rFonts w:ascii="Arial" w:hAnsi="Arial" w:cs="Arial"/>
          <w:sz w:val="24"/>
          <w:szCs w:val="24"/>
        </w:rPr>
        <w:t xml:space="preserve">Dans le Dossier </w:t>
      </w:r>
      <w:proofErr w:type="gramStart"/>
      <w:r w:rsidR="00153EC1">
        <w:rPr>
          <w:rFonts w:ascii="Arial" w:hAnsi="Arial" w:cs="Arial"/>
          <w:sz w:val="24"/>
          <w:szCs w:val="24"/>
        </w:rPr>
        <w:t>M...</w:t>
      </w:r>
      <w:proofErr w:type="gramEnd"/>
      <w:r w:rsidRPr="00911998">
        <w:rPr>
          <w:rFonts w:ascii="Arial" w:hAnsi="Arial" w:cs="Arial"/>
          <w:sz w:val="24"/>
          <w:szCs w:val="24"/>
        </w:rPr>
        <w:t>-</w:t>
      </w:r>
      <w:r w:rsidR="000032F7">
        <w:rPr>
          <w:rFonts w:ascii="Arial" w:hAnsi="Arial" w:cs="Arial"/>
          <w:sz w:val="24"/>
          <w:szCs w:val="24"/>
        </w:rPr>
        <w:t>P...</w:t>
      </w:r>
      <w:r w:rsidRPr="00911998">
        <w:rPr>
          <w:rFonts w:ascii="Arial" w:hAnsi="Arial" w:cs="Arial"/>
          <w:sz w:val="24"/>
          <w:szCs w:val="24"/>
        </w:rPr>
        <w:t>-</w:t>
      </w:r>
      <w:r w:rsidR="000032F7">
        <w:rPr>
          <w:rFonts w:ascii="Arial" w:hAnsi="Arial" w:cs="Arial"/>
          <w:sz w:val="24"/>
          <w:szCs w:val="24"/>
        </w:rPr>
        <w:t>D...</w:t>
      </w:r>
      <w:r w:rsidR="00DC226A" w:rsidRPr="00911998">
        <w:rPr>
          <w:rFonts w:ascii="Arial" w:hAnsi="Arial" w:cs="Arial"/>
          <w:sz w:val="24"/>
          <w:szCs w:val="24"/>
        </w:rPr>
        <w:t>,</w:t>
      </w:r>
      <w:r w:rsidRPr="00911998">
        <w:rPr>
          <w:rFonts w:ascii="Arial" w:hAnsi="Arial" w:cs="Arial"/>
          <w:sz w:val="24"/>
          <w:szCs w:val="24"/>
        </w:rPr>
        <w:t> </w:t>
      </w:r>
      <w:r w:rsidR="00DC226A" w:rsidRPr="00911998">
        <w:rPr>
          <w:rFonts w:ascii="Arial" w:hAnsi="Arial" w:cs="Arial"/>
          <w:sz w:val="24"/>
          <w:szCs w:val="24"/>
        </w:rPr>
        <w:t>l</w:t>
      </w:r>
      <w:r w:rsidR="0029518B" w:rsidRPr="00911998">
        <w:rPr>
          <w:rFonts w:ascii="Arial" w:hAnsi="Arial" w:cs="Arial"/>
          <w:sz w:val="24"/>
          <w:szCs w:val="24"/>
        </w:rPr>
        <w:t xml:space="preserve">e Directeur de l’état civil a-t-il rendu une décision déraisonnable en refusant d’inscrire le nom de madame </w:t>
      </w:r>
      <w:r w:rsidR="00153EC1">
        <w:rPr>
          <w:rFonts w:ascii="Arial" w:hAnsi="Arial" w:cs="Arial"/>
          <w:sz w:val="24"/>
          <w:szCs w:val="24"/>
        </w:rPr>
        <w:t>M...</w:t>
      </w:r>
      <w:r w:rsidR="00291485" w:rsidRPr="00911998">
        <w:rPr>
          <w:rFonts w:ascii="Arial" w:hAnsi="Arial" w:cs="Arial"/>
          <w:sz w:val="24"/>
          <w:szCs w:val="24"/>
        </w:rPr>
        <w:t xml:space="preserve"> comme </w:t>
      </w:r>
      <w:r w:rsidR="0029518B" w:rsidRPr="00911998">
        <w:rPr>
          <w:rFonts w:ascii="Arial" w:hAnsi="Arial" w:cs="Arial"/>
          <w:sz w:val="24"/>
          <w:szCs w:val="24"/>
        </w:rPr>
        <w:t xml:space="preserve">mère dans le certificat de naissance </w:t>
      </w:r>
      <w:r w:rsidR="00D90957">
        <w:rPr>
          <w:rFonts w:ascii="Arial" w:hAnsi="Arial" w:cs="Arial"/>
          <w:sz w:val="24"/>
          <w:szCs w:val="24"/>
        </w:rPr>
        <w:t>de X</w:t>
      </w:r>
      <w:r w:rsidR="002F6075" w:rsidRPr="00911998">
        <w:rPr>
          <w:rFonts w:ascii="Arial" w:hAnsi="Arial" w:cs="Arial"/>
          <w:sz w:val="24"/>
          <w:szCs w:val="24"/>
        </w:rPr>
        <w:t> </w:t>
      </w:r>
      <w:r w:rsidR="0029518B" w:rsidRPr="00911998">
        <w:rPr>
          <w:rFonts w:ascii="Arial" w:hAnsi="Arial" w:cs="Arial"/>
          <w:sz w:val="24"/>
          <w:szCs w:val="24"/>
        </w:rPr>
        <w:t>?</w:t>
      </w:r>
    </w:p>
    <w:p w14:paraId="5AE436BF" w14:textId="29E353BC" w:rsidR="00CE1CAF" w:rsidRPr="00911998" w:rsidRDefault="008A4532" w:rsidP="00C764D2">
      <w:pPr>
        <w:pStyle w:val="Titre2"/>
        <w:numPr>
          <w:ilvl w:val="0"/>
          <w:numId w:val="0"/>
        </w:numPr>
        <w:rPr>
          <w:rFonts w:cs="Arial"/>
          <w:szCs w:val="24"/>
        </w:rPr>
      </w:pPr>
      <w:bookmarkStart w:id="7" w:name="_Toc196463723"/>
      <w:r w:rsidRPr="00911998">
        <w:rPr>
          <w:rFonts w:cs="Arial"/>
          <w:szCs w:val="24"/>
        </w:rPr>
        <w:t>ANALYSE</w:t>
      </w:r>
      <w:bookmarkEnd w:id="7"/>
    </w:p>
    <w:p w14:paraId="2C310E9B" w14:textId="08BB9371" w:rsidR="0065175D" w:rsidRPr="00911998" w:rsidRDefault="004B1C83" w:rsidP="000F6BA9">
      <w:pPr>
        <w:pStyle w:val="Titre2"/>
        <w:numPr>
          <w:ilvl w:val="0"/>
          <w:numId w:val="16"/>
        </w:numPr>
      </w:pPr>
      <w:bookmarkStart w:id="8" w:name="_Toc196463724"/>
      <w:r w:rsidRPr="00911998">
        <w:t>L</w:t>
      </w:r>
      <w:r w:rsidR="00E73F70" w:rsidRPr="00911998">
        <w:t xml:space="preserve">e droit québécois limite la </w:t>
      </w:r>
      <w:r w:rsidR="00F65A21" w:rsidRPr="00911998">
        <w:t>f</w:t>
      </w:r>
      <w:r w:rsidRPr="00911998">
        <w:t>iliation </w:t>
      </w:r>
      <w:r w:rsidR="00E73F70" w:rsidRPr="00911998">
        <w:t xml:space="preserve">à deux </w:t>
      </w:r>
      <w:r w:rsidR="008622F9" w:rsidRPr="00911998">
        <w:t>parents</w:t>
      </w:r>
      <w:bookmarkEnd w:id="8"/>
    </w:p>
    <w:p w14:paraId="3057AA55" w14:textId="368E246D" w:rsidR="001701AD" w:rsidRPr="00911998" w:rsidRDefault="001701AD" w:rsidP="00EC5D57">
      <w:pPr>
        <w:pStyle w:val="Paragrsimple"/>
        <w:tabs>
          <w:tab w:val="clear" w:pos="360"/>
        </w:tabs>
        <w:rPr>
          <w:rFonts w:cs="Arial"/>
          <w:szCs w:val="24"/>
        </w:rPr>
      </w:pPr>
      <w:r w:rsidRPr="00911998">
        <w:rPr>
          <w:rFonts w:cs="Arial"/>
          <w:szCs w:val="24"/>
        </w:rPr>
        <w:t>L</w:t>
      </w:r>
      <w:r w:rsidR="00824451" w:rsidRPr="00911998">
        <w:rPr>
          <w:rFonts w:cs="Arial"/>
          <w:szCs w:val="24"/>
        </w:rPr>
        <w:t xml:space="preserve">a première question en litige consiste à </w:t>
      </w:r>
      <w:r w:rsidR="008622F9" w:rsidRPr="00911998">
        <w:rPr>
          <w:rFonts w:cs="Arial"/>
          <w:szCs w:val="24"/>
        </w:rPr>
        <w:t>déterminer</w:t>
      </w:r>
      <w:r w:rsidR="00824451" w:rsidRPr="00911998">
        <w:rPr>
          <w:rFonts w:cs="Arial"/>
          <w:szCs w:val="24"/>
        </w:rPr>
        <w:t xml:space="preserve"> si, </w:t>
      </w:r>
      <w:r w:rsidRPr="00911998">
        <w:rPr>
          <w:rFonts w:cs="Arial"/>
          <w:szCs w:val="24"/>
        </w:rPr>
        <w:t xml:space="preserve">correctement interprété, </w:t>
      </w:r>
      <w:r w:rsidR="008A3571" w:rsidRPr="00911998">
        <w:rPr>
          <w:rFonts w:cs="Arial"/>
          <w:szCs w:val="24"/>
        </w:rPr>
        <w:t>le</w:t>
      </w:r>
      <w:r w:rsidRPr="00911998">
        <w:rPr>
          <w:rFonts w:cs="Arial"/>
          <w:szCs w:val="24"/>
        </w:rPr>
        <w:t xml:space="preserve"> C.c.Q. permet déjà la reconnaissance d</w:t>
      </w:r>
      <w:r w:rsidR="008A3571" w:rsidRPr="00911998">
        <w:rPr>
          <w:rFonts w:cs="Arial"/>
          <w:szCs w:val="24"/>
        </w:rPr>
        <w:t>e</w:t>
      </w:r>
      <w:r w:rsidRPr="00911998">
        <w:rPr>
          <w:rFonts w:cs="Arial"/>
          <w:szCs w:val="24"/>
        </w:rPr>
        <w:t xml:space="preserve"> </w:t>
      </w:r>
      <w:r w:rsidR="008A3571" w:rsidRPr="00911998">
        <w:rPr>
          <w:rFonts w:cs="Arial"/>
          <w:szCs w:val="24"/>
        </w:rPr>
        <w:t>la</w:t>
      </w:r>
      <w:r w:rsidRPr="00911998">
        <w:rPr>
          <w:rFonts w:cs="Arial"/>
          <w:szCs w:val="24"/>
        </w:rPr>
        <w:t xml:space="preserve"> filiation </w:t>
      </w:r>
      <w:r w:rsidR="008A3571" w:rsidRPr="00911998">
        <w:rPr>
          <w:rFonts w:cs="Arial"/>
          <w:szCs w:val="24"/>
        </w:rPr>
        <w:t>d’</w:t>
      </w:r>
      <w:r w:rsidRPr="00911998">
        <w:rPr>
          <w:rFonts w:cs="Arial"/>
          <w:szCs w:val="24"/>
        </w:rPr>
        <w:t xml:space="preserve">un enfant </w:t>
      </w:r>
      <w:r w:rsidR="008A3571" w:rsidRPr="00911998">
        <w:rPr>
          <w:rFonts w:cs="Arial"/>
          <w:szCs w:val="24"/>
        </w:rPr>
        <w:t>avec</w:t>
      </w:r>
      <w:r w:rsidRPr="00911998">
        <w:rPr>
          <w:rFonts w:cs="Arial"/>
          <w:szCs w:val="24"/>
        </w:rPr>
        <w:t xml:space="preserve"> plus </w:t>
      </w:r>
      <w:r w:rsidR="00103555" w:rsidRPr="00911998">
        <w:rPr>
          <w:rFonts w:cs="Arial"/>
          <w:szCs w:val="24"/>
        </w:rPr>
        <w:t xml:space="preserve">de </w:t>
      </w:r>
      <w:r w:rsidRPr="00911998">
        <w:rPr>
          <w:rFonts w:cs="Arial"/>
          <w:szCs w:val="24"/>
        </w:rPr>
        <w:t xml:space="preserve">deux parents. Avant d’aborder les arguments interprétatifs invoqués de part </w:t>
      </w:r>
      <w:r w:rsidR="008A3571" w:rsidRPr="00911998">
        <w:rPr>
          <w:rFonts w:cs="Arial"/>
          <w:szCs w:val="24"/>
        </w:rPr>
        <w:t>et</w:t>
      </w:r>
      <w:r w:rsidRPr="00911998">
        <w:rPr>
          <w:rFonts w:cs="Arial"/>
          <w:szCs w:val="24"/>
        </w:rPr>
        <w:t xml:space="preserve"> d’autre, il convient de faire le point sur l’institution juridique </w:t>
      </w:r>
      <w:r w:rsidR="008A3571" w:rsidRPr="00911998">
        <w:rPr>
          <w:rFonts w:cs="Arial"/>
          <w:szCs w:val="24"/>
        </w:rPr>
        <w:t>de</w:t>
      </w:r>
      <w:r w:rsidRPr="00911998">
        <w:rPr>
          <w:rFonts w:cs="Arial"/>
          <w:szCs w:val="24"/>
        </w:rPr>
        <w:t xml:space="preserve"> la filiation en droit civil québécois.</w:t>
      </w:r>
    </w:p>
    <w:p w14:paraId="5C439685" w14:textId="77777777" w:rsidR="008A3571" w:rsidRPr="00911998" w:rsidRDefault="008A3571" w:rsidP="008A3571">
      <w:pPr>
        <w:pStyle w:val="Titre3"/>
      </w:pPr>
      <w:bookmarkStart w:id="9" w:name="_Toc196463725"/>
      <w:r w:rsidRPr="00911998">
        <w:t>La filiation : une introduction</w:t>
      </w:r>
      <w:bookmarkEnd w:id="9"/>
    </w:p>
    <w:p w14:paraId="7FCA0415" w14:textId="21F541AD" w:rsidR="001701AD" w:rsidRPr="00911998" w:rsidRDefault="001701AD" w:rsidP="001D58C3">
      <w:pPr>
        <w:pStyle w:val="Paragrsimple"/>
        <w:tabs>
          <w:tab w:val="clear" w:pos="360"/>
        </w:tabs>
        <w:rPr>
          <w:rFonts w:cs="Arial"/>
          <w:szCs w:val="24"/>
        </w:rPr>
      </w:pPr>
      <w:r w:rsidRPr="00911998">
        <w:rPr>
          <w:rFonts w:cs="Arial"/>
          <w:szCs w:val="24"/>
        </w:rPr>
        <w:t>La «</w:t>
      </w:r>
      <w:r w:rsidR="002D789F" w:rsidRPr="00911998">
        <w:rPr>
          <w:rFonts w:cs="Arial"/>
          <w:szCs w:val="24"/>
        </w:rPr>
        <w:t> </w:t>
      </w:r>
      <w:r w:rsidRPr="00911998">
        <w:rPr>
          <w:rFonts w:cs="Arial"/>
          <w:szCs w:val="24"/>
        </w:rPr>
        <w:t>filiation</w:t>
      </w:r>
      <w:r w:rsidR="002D789F" w:rsidRPr="00911998">
        <w:rPr>
          <w:rFonts w:cs="Arial"/>
          <w:szCs w:val="24"/>
        </w:rPr>
        <w:t> </w:t>
      </w:r>
      <w:r w:rsidRPr="00911998">
        <w:rPr>
          <w:rFonts w:cs="Arial"/>
          <w:szCs w:val="24"/>
        </w:rPr>
        <w:t>» constitue le lien de droit qui unit un enfant à ses parents</w:t>
      </w:r>
      <w:r w:rsidRPr="00911998">
        <w:rPr>
          <w:rStyle w:val="Appelnotedebasdep"/>
          <w:rFonts w:cs="Arial"/>
          <w:szCs w:val="24"/>
        </w:rPr>
        <w:footnoteReference w:id="24"/>
      </w:r>
      <w:r w:rsidRPr="00911998">
        <w:rPr>
          <w:rFonts w:cs="Arial"/>
          <w:szCs w:val="24"/>
        </w:rPr>
        <w:t xml:space="preserve">. Elle est une construction </w:t>
      </w:r>
      <w:r w:rsidRPr="00911998">
        <w:t>juridique</w:t>
      </w:r>
      <w:r w:rsidRPr="00911998">
        <w:rPr>
          <w:rFonts w:cs="Arial"/>
          <w:szCs w:val="24"/>
        </w:rPr>
        <w:t xml:space="preserve"> </w:t>
      </w:r>
      <w:r w:rsidR="002D789F" w:rsidRPr="00911998">
        <w:rPr>
          <w:rFonts w:cs="Arial"/>
          <w:szCs w:val="24"/>
        </w:rPr>
        <w:t>—</w:t>
      </w:r>
      <w:r w:rsidRPr="00911998">
        <w:rPr>
          <w:rFonts w:cs="Arial"/>
          <w:szCs w:val="24"/>
        </w:rPr>
        <w:t xml:space="preserve"> c’est-à-dire une création du droit positif</w:t>
      </w:r>
      <w:r w:rsidRPr="00911998">
        <w:rPr>
          <w:rStyle w:val="Appelnotedebasdep"/>
          <w:rFonts w:cs="Arial"/>
          <w:szCs w:val="24"/>
        </w:rPr>
        <w:footnoteReference w:id="25"/>
      </w:r>
      <w:r w:rsidRPr="00911998">
        <w:rPr>
          <w:rFonts w:cs="Arial"/>
          <w:szCs w:val="24"/>
        </w:rPr>
        <w:t xml:space="preserve">. Lorsqu’elle est </w:t>
      </w:r>
      <w:r w:rsidRPr="00911998">
        <w:rPr>
          <w:rFonts w:cs="Arial"/>
          <w:szCs w:val="24"/>
        </w:rPr>
        <w:lastRenderedPageBreak/>
        <w:t xml:space="preserve">établie, la filiation est source de droits et d’obligations pour l’enfant </w:t>
      </w:r>
      <w:r w:rsidR="00190C71" w:rsidRPr="00911998">
        <w:rPr>
          <w:rFonts w:cs="Arial"/>
          <w:szCs w:val="24"/>
        </w:rPr>
        <w:t>ainsi que</w:t>
      </w:r>
      <w:r w:rsidR="00B42320" w:rsidRPr="00911998">
        <w:rPr>
          <w:rFonts w:cs="Arial"/>
          <w:szCs w:val="24"/>
        </w:rPr>
        <w:t xml:space="preserve"> pour</w:t>
      </w:r>
      <w:r w:rsidR="00190C71" w:rsidRPr="00911998">
        <w:rPr>
          <w:rFonts w:cs="Arial"/>
          <w:szCs w:val="24"/>
        </w:rPr>
        <w:t xml:space="preserve"> </w:t>
      </w:r>
      <w:r w:rsidRPr="00911998">
        <w:rPr>
          <w:rFonts w:cs="Arial"/>
          <w:szCs w:val="24"/>
        </w:rPr>
        <w:t>ses parents</w:t>
      </w:r>
      <w:r w:rsidR="006D5A71" w:rsidRPr="00911998">
        <w:rPr>
          <w:rStyle w:val="Appelnotedebasdep"/>
          <w:rFonts w:cs="Arial"/>
          <w:szCs w:val="24"/>
        </w:rPr>
        <w:footnoteReference w:id="26"/>
      </w:r>
      <w:r w:rsidRPr="00911998">
        <w:rPr>
          <w:rFonts w:cs="Arial"/>
          <w:szCs w:val="24"/>
        </w:rPr>
        <w:t>. Comme l’explique la juge Savard (maintenant juge en chef du Québec)</w:t>
      </w:r>
      <w:r w:rsidRPr="00911998">
        <w:rPr>
          <w:rStyle w:val="Appelnotedebasdep"/>
          <w:rFonts w:cs="Arial"/>
          <w:szCs w:val="24"/>
        </w:rPr>
        <w:footnoteReference w:id="27"/>
      </w:r>
      <w:r w:rsidRPr="00911998">
        <w:rPr>
          <w:rFonts w:cs="Arial"/>
          <w:szCs w:val="24"/>
        </w:rPr>
        <w:t> :</w:t>
      </w:r>
    </w:p>
    <w:p w14:paraId="040B8D06" w14:textId="431F514E" w:rsidR="001701AD" w:rsidRPr="00911998" w:rsidRDefault="001701AD" w:rsidP="001701AD">
      <w:pPr>
        <w:ind w:left="567" w:right="560"/>
        <w:jc w:val="both"/>
        <w:rPr>
          <w:rFonts w:cs="Arial"/>
          <w:sz w:val="22"/>
          <w:szCs w:val="22"/>
        </w:rPr>
      </w:pPr>
      <w:r w:rsidRPr="00911998">
        <w:rPr>
          <w:rFonts w:cs="Arial"/>
          <w:sz w:val="22"/>
          <w:szCs w:val="22"/>
        </w:rPr>
        <w:t>[</w:t>
      </w:r>
      <w:bookmarkStart w:id="10" w:name="par23"/>
      <w:r w:rsidRPr="00911998">
        <w:rPr>
          <w:rFonts w:cs="Arial"/>
          <w:sz w:val="22"/>
          <w:szCs w:val="22"/>
        </w:rPr>
        <w:t>23</w:t>
      </w:r>
      <w:bookmarkEnd w:id="10"/>
      <w:proofErr w:type="gramStart"/>
      <w:r w:rsidRPr="00911998">
        <w:rPr>
          <w:rFonts w:cs="Arial"/>
          <w:sz w:val="22"/>
          <w:szCs w:val="22"/>
        </w:rPr>
        <w:t>]  Un</w:t>
      </w:r>
      <w:proofErr w:type="gramEnd"/>
      <w:r w:rsidRPr="00911998">
        <w:rPr>
          <w:rFonts w:cs="Arial"/>
          <w:sz w:val="22"/>
          <w:szCs w:val="22"/>
        </w:rPr>
        <w:t xml:space="preserve"> enfant est uni à ses parents par le lien de droit que constitue la filiation</w:t>
      </w:r>
      <w:bookmarkStart w:id="11" w:name="_Ref36707164"/>
      <w:bookmarkEnd w:id="11"/>
      <w:r w:rsidRPr="00911998">
        <w:rPr>
          <w:rFonts w:cs="Arial"/>
          <w:sz w:val="22"/>
          <w:szCs w:val="22"/>
        </w:rPr>
        <w:t>. Au</w:t>
      </w:r>
      <w:r w:rsidR="00E3117B" w:rsidRPr="00911998">
        <w:rPr>
          <w:rFonts w:cs="Arial"/>
          <w:strike/>
          <w:sz w:val="22"/>
          <w:szCs w:val="22"/>
        </w:rPr>
        <w:noBreakHyphen/>
      </w:r>
      <w:r w:rsidRPr="00911998">
        <w:rPr>
          <w:rFonts w:cs="Arial"/>
          <w:sz w:val="22"/>
          <w:szCs w:val="22"/>
        </w:rPr>
        <w:t xml:space="preserve">delà du seul apport psychologique, l’importance de ce lien repose sur le fait qu’il est porteur de droits et </w:t>
      </w:r>
      <w:r w:rsidRPr="00911998">
        <w:rPr>
          <w:sz w:val="22"/>
          <w:szCs w:val="22"/>
        </w:rPr>
        <w:t>d’obligations</w:t>
      </w:r>
      <w:r w:rsidRPr="00911998">
        <w:rPr>
          <w:rFonts w:cs="Arial"/>
          <w:sz w:val="22"/>
          <w:szCs w:val="22"/>
        </w:rPr>
        <w:t xml:space="preserve"> entre l’enfant et ses parents, notamment en matière d’obligation alimentaire (</w:t>
      </w:r>
      <w:hyperlink r:id="rId8" w:anchor="art585_smooth" w:history="1">
        <w:r w:rsidRPr="00911998">
          <w:rPr>
            <w:rFonts w:cs="Arial"/>
            <w:sz w:val="22"/>
            <w:szCs w:val="22"/>
          </w:rPr>
          <w:t>art. 585</w:t>
        </w:r>
      </w:hyperlink>
      <w:r w:rsidRPr="00911998">
        <w:rPr>
          <w:rFonts w:cs="Arial"/>
          <w:sz w:val="22"/>
          <w:szCs w:val="22"/>
        </w:rPr>
        <w:t> </w:t>
      </w:r>
      <w:hyperlink r:id="rId9" w:history="1">
        <w:r w:rsidRPr="00911998">
          <w:rPr>
            <w:rFonts w:cs="Arial"/>
            <w:i/>
            <w:iCs/>
            <w:sz w:val="22"/>
            <w:szCs w:val="22"/>
          </w:rPr>
          <w:t>C.c.Q.</w:t>
        </w:r>
      </w:hyperlink>
      <w:r w:rsidRPr="00911998">
        <w:rPr>
          <w:rFonts w:cs="Arial"/>
          <w:sz w:val="22"/>
          <w:szCs w:val="22"/>
        </w:rPr>
        <w:t>), d’autorité parentale (</w:t>
      </w:r>
      <w:hyperlink r:id="rId10" w:anchor="art599_smooth" w:history="1">
        <w:r w:rsidRPr="00911998">
          <w:rPr>
            <w:rFonts w:cs="Arial"/>
            <w:sz w:val="22"/>
            <w:szCs w:val="22"/>
          </w:rPr>
          <w:t>art. 599</w:t>
        </w:r>
      </w:hyperlink>
      <w:r w:rsidRPr="00911998">
        <w:rPr>
          <w:rFonts w:cs="Arial"/>
          <w:sz w:val="22"/>
          <w:szCs w:val="22"/>
        </w:rPr>
        <w:t> </w:t>
      </w:r>
      <w:r w:rsidRPr="00911998">
        <w:rPr>
          <w:rFonts w:cs="Arial"/>
          <w:i/>
          <w:iCs/>
          <w:sz w:val="22"/>
          <w:szCs w:val="22"/>
        </w:rPr>
        <w:t>C.c.Q.</w:t>
      </w:r>
      <w:r w:rsidRPr="00911998">
        <w:rPr>
          <w:rFonts w:cs="Arial"/>
          <w:sz w:val="22"/>
          <w:szCs w:val="22"/>
        </w:rPr>
        <w:t>) ou de succession </w:t>
      </w:r>
      <w:r w:rsidRPr="00911998">
        <w:rPr>
          <w:rFonts w:cs="Arial"/>
          <w:i/>
          <w:iCs/>
          <w:sz w:val="22"/>
          <w:szCs w:val="22"/>
        </w:rPr>
        <w:t>ab intestat</w:t>
      </w:r>
      <w:r w:rsidRPr="00911998">
        <w:rPr>
          <w:rFonts w:cs="Arial"/>
          <w:sz w:val="22"/>
          <w:szCs w:val="22"/>
        </w:rPr>
        <w:t> (</w:t>
      </w:r>
      <w:hyperlink r:id="rId11" w:anchor="art653_smooth" w:history="1">
        <w:r w:rsidRPr="00911998">
          <w:rPr>
            <w:rFonts w:cs="Arial"/>
            <w:sz w:val="22"/>
            <w:szCs w:val="22"/>
          </w:rPr>
          <w:t>art. 653</w:t>
        </w:r>
      </w:hyperlink>
      <w:r w:rsidRPr="00911998">
        <w:rPr>
          <w:rFonts w:cs="Arial"/>
          <w:sz w:val="22"/>
          <w:szCs w:val="22"/>
        </w:rPr>
        <w:t> et</w:t>
      </w:r>
      <w:hyperlink r:id="rId12" w:anchor="art655_smooth" w:history="1">
        <w:r w:rsidRPr="00911998">
          <w:rPr>
            <w:rFonts w:cs="Arial"/>
            <w:sz w:val="22"/>
            <w:szCs w:val="22"/>
          </w:rPr>
          <w:t> 655</w:t>
        </w:r>
      </w:hyperlink>
      <w:r w:rsidRPr="00911998">
        <w:rPr>
          <w:rFonts w:cs="Arial"/>
          <w:sz w:val="22"/>
          <w:szCs w:val="22"/>
        </w:rPr>
        <w:t> </w:t>
      </w:r>
      <w:r w:rsidRPr="00911998">
        <w:rPr>
          <w:rFonts w:cs="Arial"/>
          <w:i/>
          <w:iCs/>
          <w:sz w:val="22"/>
          <w:szCs w:val="22"/>
        </w:rPr>
        <w:t>C.c.Q.</w:t>
      </w:r>
      <w:r w:rsidRPr="00911998">
        <w:rPr>
          <w:rFonts w:cs="Arial"/>
          <w:sz w:val="22"/>
          <w:szCs w:val="22"/>
        </w:rPr>
        <w:t>). Il importe donc qu’elle soit établie dans le respect de la règle de droit.</w:t>
      </w:r>
    </w:p>
    <w:p w14:paraId="557D8FAD" w14:textId="061829E4" w:rsidR="006D5A71" w:rsidRPr="00911998" w:rsidRDefault="006D5A71" w:rsidP="00190C71">
      <w:pPr>
        <w:pStyle w:val="Paragrsimple"/>
        <w:tabs>
          <w:tab w:val="clear" w:pos="360"/>
        </w:tabs>
      </w:pPr>
      <w:r w:rsidRPr="00911998">
        <w:t xml:space="preserve">L’auteur Michel Tétrault </w:t>
      </w:r>
      <w:r w:rsidR="00103555" w:rsidRPr="00911998">
        <w:t>abonde dans le même sens</w:t>
      </w:r>
      <w:r w:rsidRPr="00911998">
        <w:rPr>
          <w:rStyle w:val="Appelnotedebasdep"/>
        </w:rPr>
        <w:footnoteReference w:id="28"/>
      </w:r>
      <w:r w:rsidRPr="00911998">
        <w:t> :</w:t>
      </w:r>
    </w:p>
    <w:p w14:paraId="5AA4989E" w14:textId="0B3698D7" w:rsidR="006D5A71" w:rsidRPr="00911998" w:rsidRDefault="006D5A71" w:rsidP="006D5A71">
      <w:pPr>
        <w:ind w:left="567" w:right="560"/>
        <w:jc w:val="both"/>
        <w:rPr>
          <w:sz w:val="22"/>
          <w:szCs w:val="22"/>
        </w:rPr>
      </w:pPr>
      <w:r w:rsidRPr="00911998">
        <w:rPr>
          <w:sz w:val="22"/>
          <w:szCs w:val="22"/>
        </w:rPr>
        <w:t xml:space="preserve">La filiation se définit comme le lien juridique qui relie l’enfant à son père (filiation paternelle) et à sa mère (filiation maternelle) : la parenté. Ce lien juridique entraîne la création de droits et d’obligations entre l’enfant et ses parents, notamment, l’obligation alimentaire, le droit de succéder et l’autorité parentale. La parentalité est un effet de la parenté. </w:t>
      </w:r>
    </w:p>
    <w:p w14:paraId="0A1D3171" w14:textId="50C2A185" w:rsidR="004145DA" w:rsidRPr="00911998" w:rsidRDefault="00B42320" w:rsidP="00190C71">
      <w:pPr>
        <w:pStyle w:val="Paragrsimple"/>
        <w:tabs>
          <w:tab w:val="clear" w:pos="360"/>
        </w:tabs>
      </w:pPr>
      <w:r w:rsidRPr="00911998">
        <w:t>Tout comme la société dont il est issu, l</w:t>
      </w:r>
      <w:r w:rsidR="00082DDC" w:rsidRPr="00911998">
        <w:t>e droit qui régit la filiation au Québec a connu une évolution importante au fil des ans</w:t>
      </w:r>
      <w:r w:rsidR="00A178A6" w:rsidRPr="00911998">
        <w:rPr>
          <w:rStyle w:val="Appelnotedebasdep"/>
        </w:rPr>
        <w:footnoteReference w:id="29"/>
      </w:r>
      <w:r w:rsidR="00082DDC" w:rsidRPr="00911998">
        <w:t xml:space="preserve">. Le </w:t>
      </w:r>
      <w:r w:rsidR="00082DDC" w:rsidRPr="00911998">
        <w:rPr>
          <w:i/>
          <w:iCs/>
        </w:rPr>
        <w:t>Code civil du Bas</w:t>
      </w:r>
      <w:r w:rsidR="00082DDC" w:rsidRPr="00911998">
        <w:rPr>
          <w:i/>
          <w:iCs/>
        </w:rPr>
        <w:noBreakHyphen/>
        <w:t>Canada</w:t>
      </w:r>
      <w:r w:rsidR="00082DDC" w:rsidRPr="00911998">
        <w:t xml:space="preserve">, connaissait deux types de filiation </w:t>
      </w:r>
      <w:r w:rsidR="00A178A6" w:rsidRPr="00911998">
        <w:t>selon</w:t>
      </w:r>
      <w:r w:rsidR="00082DDC" w:rsidRPr="00911998">
        <w:t xml:space="preserve"> l’état matrimonial des parents : les enfants dits «</w:t>
      </w:r>
      <w:r w:rsidR="00C936C5" w:rsidRPr="00911998">
        <w:t> </w:t>
      </w:r>
      <w:r w:rsidR="00082DDC" w:rsidRPr="00911998">
        <w:t>légitimes</w:t>
      </w:r>
      <w:r w:rsidR="00C936C5" w:rsidRPr="00911998">
        <w:t> </w:t>
      </w:r>
      <w:r w:rsidR="00082DDC" w:rsidRPr="00911998">
        <w:t>» conçus pendant le mariage et les enfants dits «</w:t>
      </w:r>
      <w:r w:rsidR="00C936C5" w:rsidRPr="00911998">
        <w:t> </w:t>
      </w:r>
      <w:r w:rsidR="00082DDC" w:rsidRPr="00911998">
        <w:t>naturels</w:t>
      </w:r>
      <w:r w:rsidR="00C936C5" w:rsidRPr="00911998">
        <w:t> </w:t>
      </w:r>
      <w:r w:rsidR="00082DDC" w:rsidRPr="00911998">
        <w:t>» nés hors mariage</w:t>
      </w:r>
      <w:r w:rsidR="00082DDC" w:rsidRPr="00911998">
        <w:rPr>
          <w:rStyle w:val="Appelnotedebasdep"/>
        </w:rPr>
        <w:footnoteReference w:id="30"/>
      </w:r>
      <w:r w:rsidR="00082DDC" w:rsidRPr="00911998">
        <w:t>. Les droits et obligations des enfants «</w:t>
      </w:r>
      <w:r w:rsidR="00C936C5" w:rsidRPr="00911998">
        <w:t> </w:t>
      </w:r>
      <w:r w:rsidR="00082DDC" w:rsidRPr="00911998">
        <w:t>naturels</w:t>
      </w:r>
      <w:r w:rsidR="00C936C5" w:rsidRPr="00911998">
        <w:t> </w:t>
      </w:r>
      <w:r w:rsidR="00082DDC" w:rsidRPr="00911998">
        <w:t xml:space="preserve">» étaient inférieurs </w:t>
      </w:r>
      <w:r w:rsidR="00946435" w:rsidRPr="00911998">
        <w:t>à</w:t>
      </w:r>
      <w:r w:rsidR="00082DDC" w:rsidRPr="00911998">
        <w:t xml:space="preserve"> ceux des enfants «</w:t>
      </w:r>
      <w:r w:rsidR="00C936C5" w:rsidRPr="00911998">
        <w:t> </w:t>
      </w:r>
      <w:r w:rsidR="00082DDC" w:rsidRPr="00911998">
        <w:t>légitimes</w:t>
      </w:r>
      <w:r w:rsidR="00C936C5" w:rsidRPr="00911998">
        <w:t> </w:t>
      </w:r>
      <w:r w:rsidR="00082DDC" w:rsidRPr="00911998">
        <w:t>»</w:t>
      </w:r>
      <w:r w:rsidR="006D5A71" w:rsidRPr="00911998">
        <w:rPr>
          <w:rStyle w:val="Appelnotedebasdep"/>
        </w:rPr>
        <w:footnoteReference w:id="31"/>
      </w:r>
      <w:r w:rsidR="00082DDC" w:rsidRPr="00911998">
        <w:t>.</w:t>
      </w:r>
    </w:p>
    <w:p w14:paraId="72058123" w14:textId="7051504D" w:rsidR="00082DDC" w:rsidRPr="00911998" w:rsidRDefault="00082DDC" w:rsidP="00082DDC">
      <w:pPr>
        <w:pStyle w:val="Paragrsimple"/>
        <w:tabs>
          <w:tab w:val="clear" w:pos="360"/>
        </w:tabs>
      </w:pPr>
      <w:r w:rsidRPr="00911998">
        <w:t xml:space="preserve">En 1980, </w:t>
      </w:r>
      <w:r w:rsidR="0015388A" w:rsidRPr="00911998">
        <w:t>lors de</w:t>
      </w:r>
      <w:r w:rsidRPr="00911998">
        <w:t xml:space="preserve"> l</w:t>
      </w:r>
      <w:r w:rsidR="0015388A" w:rsidRPr="00911998">
        <w:t>a</w:t>
      </w:r>
      <w:r w:rsidRPr="00911998">
        <w:t xml:space="preserve"> réforme du droit de la famille </w:t>
      </w:r>
      <w:r w:rsidR="0000420E" w:rsidRPr="00911998">
        <w:t>au Québec</w:t>
      </w:r>
      <w:r w:rsidRPr="00911998">
        <w:t>, le législateur aboli</w:t>
      </w:r>
      <w:r w:rsidR="0015388A" w:rsidRPr="00911998">
        <w:t>t</w:t>
      </w:r>
      <w:r w:rsidRPr="00911998">
        <w:t xml:space="preserve"> </w:t>
      </w:r>
      <w:r w:rsidR="00A178A6" w:rsidRPr="00911998">
        <w:t>cette</w:t>
      </w:r>
      <w:r w:rsidRPr="00911998">
        <w:t xml:space="preserve"> distinction entre les enfants «</w:t>
      </w:r>
      <w:r w:rsidR="00C936C5" w:rsidRPr="00911998">
        <w:t> </w:t>
      </w:r>
      <w:r w:rsidRPr="00911998">
        <w:t>légitimes</w:t>
      </w:r>
      <w:r w:rsidR="00C936C5" w:rsidRPr="00911998">
        <w:t> </w:t>
      </w:r>
      <w:r w:rsidRPr="00911998">
        <w:t>» et les enfants «</w:t>
      </w:r>
      <w:r w:rsidR="00C936C5" w:rsidRPr="00911998">
        <w:t> </w:t>
      </w:r>
      <w:r w:rsidRPr="00911998">
        <w:t>naturels</w:t>
      </w:r>
      <w:r w:rsidR="00C936C5" w:rsidRPr="00911998">
        <w:t> </w:t>
      </w:r>
      <w:r w:rsidRPr="00911998">
        <w:t>». Dorénavant,</w:t>
      </w:r>
      <w:r w:rsidR="000301E3" w:rsidRPr="00911998">
        <w:t xml:space="preserve"> «</w:t>
      </w:r>
      <w:r w:rsidR="00C936C5" w:rsidRPr="00911998">
        <w:t> </w:t>
      </w:r>
      <w:r w:rsidR="000301E3" w:rsidRPr="00911998">
        <w:t xml:space="preserve">Tous les enfants dont la filiation est établie </w:t>
      </w:r>
      <w:r w:rsidR="00762521">
        <w:rPr>
          <w:rFonts w:cs="Arial"/>
        </w:rPr>
        <w:t>ont</w:t>
      </w:r>
      <w:r w:rsidR="000301E3" w:rsidRPr="00911998">
        <w:t xml:space="preserve"> les mêmes droits et les mêmes obligations, quelles que soient les circonstances de leur naissance</w:t>
      </w:r>
      <w:r w:rsidR="00C936C5" w:rsidRPr="00911998">
        <w:t> </w:t>
      </w:r>
      <w:r w:rsidR="000301E3" w:rsidRPr="00911998">
        <w:t>»</w:t>
      </w:r>
      <w:r w:rsidR="000301E3" w:rsidRPr="00911998">
        <w:rPr>
          <w:rStyle w:val="Appelnotedebasdep"/>
        </w:rPr>
        <w:footnoteReference w:id="32"/>
      </w:r>
      <w:r w:rsidR="000301E3" w:rsidRPr="00911998">
        <w:t>.</w:t>
      </w:r>
      <w:r w:rsidR="00361A0B" w:rsidRPr="00911998">
        <w:t xml:space="preserve"> </w:t>
      </w:r>
    </w:p>
    <w:p w14:paraId="59E53BCA" w14:textId="238F8582" w:rsidR="00361A0B" w:rsidRPr="00911998" w:rsidRDefault="009A66C4" w:rsidP="00361A0B">
      <w:pPr>
        <w:pStyle w:val="Paragrsimple"/>
        <w:tabs>
          <w:tab w:val="clear" w:pos="360"/>
        </w:tabs>
      </w:pPr>
      <w:r w:rsidRPr="00911998">
        <w:t>Ainsi, l</w:t>
      </w:r>
      <w:r w:rsidR="00361A0B" w:rsidRPr="00911998">
        <w:t>a filiation dite «</w:t>
      </w:r>
      <w:r w:rsidR="00C936C5" w:rsidRPr="00911998">
        <w:t> </w:t>
      </w:r>
      <w:r w:rsidR="00361A0B" w:rsidRPr="00911998">
        <w:t>légitime</w:t>
      </w:r>
      <w:r w:rsidR="00C936C5" w:rsidRPr="00911998">
        <w:t> </w:t>
      </w:r>
      <w:r w:rsidR="00361A0B" w:rsidRPr="00911998">
        <w:t>» et la filiation dite «</w:t>
      </w:r>
      <w:r w:rsidR="00C936C5" w:rsidRPr="00911998">
        <w:t> </w:t>
      </w:r>
      <w:r w:rsidR="00361A0B" w:rsidRPr="00911998">
        <w:t>naturelle</w:t>
      </w:r>
      <w:r w:rsidR="00C936C5" w:rsidRPr="00911998">
        <w:t> </w:t>
      </w:r>
      <w:r w:rsidR="00361A0B" w:rsidRPr="00911998">
        <w:t>» sont remplacé</w:t>
      </w:r>
      <w:r w:rsidR="00A178A6" w:rsidRPr="00911998">
        <w:t>e</w:t>
      </w:r>
      <w:r w:rsidR="00361A0B" w:rsidRPr="00911998">
        <w:t>s par la «</w:t>
      </w:r>
      <w:r w:rsidR="00C936C5" w:rsidRPr="00911998">
        <w:t> </w:t>
      </w:r>
      <w:r w:rsidR="00361A0B" w:rsidRPr="00911998">
        <w:t>filiation par le sang</w:t>
      </w:r>
      <w:r w:rsidR="00C936C5" w:rsidRPr="00911998">
        <w:t> </w:t>
      </w:r>
      <w:r w:rsidR="00361A0B" w:rsidRPr="00911998">
        <w:t xml:space="preserve">». Du même coup, le législateur introduit la filiation par adoption dans le droit codifié. En 2002, lors d’une réforme </w:t>
      </w:r>
      <w:r w:rsidR="00B42320" w:rsidRPr="00911998">
        <w:t xml:space="preserve">subséquente </w:t>
      </w:r>
      <w:r w:rsidR="00361A0B" w:rsidRPr="00911998">
        <w:t xml:space="preserve">du droit de la famille </w:t>
      </w:r>
      <w:r w:rsidR="0000420E" w:rsidRPr="00911998">
        <w:t>au Québec</w:t>
      </w:r>
      <w:r w:rsidR="00361A0B" w:rsidRPr="00911998">
        <w:t>, la notion de filiation par procréation assistée est ajoutée au C.c.Q.</w:t>
      </w:r>
      <w:r w:rsidR="00361A0B" w:rsidRPr="00911998">
        <w:rPr>
          <w:rStyle w:val="Appelnotedebasdep"/>
        </w:rPr>
        <w:footnoteReference w:id="33"/>
      </w:r>
    </w:p>
    <w:p w14:paraId="62B4962A" w14:textId="1586D7A6" w:rsidR="00361A0B" w:rsidRPr="00911998" w:rsidRDefault="008661E9" w:rsidP="00361A0B">
      <w:pPr>
        <w:pStyle w:val="Paragrsimple"/>
        <w:tabs>
          <w:tab w:val="clear" w:pos="360"/>
        </w:tabs>
      </w:pPr>
      <w:r w:rsidRPr="00911998">
        <w:lastRenderedPageBreak/>
        <w:t>A</w:t>
      </w:r>
      <w:r w:rsidR="00937281" w:rsidRPr="00911998">
        <w:t>u moment de la naissance des quatre enfants dont la filiation est en cause en l’espèce, le lien de filiation en droit québécois se classait sous trois rubriques</w:t>
      </w:r>
      <w:r w:rsidR="00A23BC1" w:rsidRPr="00911998">
        <w:rPr>
          <w:rStyle w:val="Appelnotedebasdep"/>
        </w:rPr>
        <w:footnoteReference w:id="34"/>
      </w:r>
      <w:r w:rsidR="00937281" w:rsidRPr="00911998">
        <w:t> : la filiation par le sang (articles 523 à 537</w:t>
      </w:r>
      <w:r w:rsidR="00C936C5" w:rsidRPr="00911998">
        <w:t> </w:t>
      </w:r>
      <w:r w:rsidR="00937281" w:rsidRPr="00911998">
        <w:t>C.c.Q.), la filiation des enfants nés d’une procréation assistée (articles 538 à 542</w:t>
      </w:r>
      <w:r w:rsidR="00C936C5" w:rsidRPr="00911998">
        <w:t> </w:t>
      </w:r>
      <w:r w:rsidR="00937281" w:rsidRPr="00911998">
        <w:t>C.c.Q.) et la filiation par adoption (articles 543 à 584.1</w:t>
      </w:r>
      <w:r w:rsidR="00C936C5" w:rsidRPr="00911998">
        <w:t> </w:t>
      </w:r>
      <w:r w:rsidR="00937281" w:rsidRPr="00911998">
        <w:t>C.c.Q.)</w:t>
      </w:r>
      <w:r w:rsidR="00A23BC1" w:rsidRPr="00911998">
        <w:rPr>
          <w:rStyle w:val="Appelnotedebasdep"/>
        </w:rPr>
        <w:footnoteReference w:id="35"/>
      </w:r>
      <w:r w:rsidR="00937281" w:rsidRPr="00911998">
        <w:t>.</w:t>
      </w:r>
      <w:r w:rsidR="00D215CA" w:rsidRPr="00911998">
        <w:t xml:space="preserve"> </w:t>
      </w:r>
    </w:p>
    <w:p w14:paraId="15130A09" w14:textId="60E698CA" w:rsidR="00C63F21" w:rsidRPr="00911998" w:rsidRDefault="002947D4" w:rsidP="00C63F21">
      <w:pPr>
        <w:pStyle w:val="Paragrsimple"/>
        <w:tabs>
          <w:tab w:val="clear" w:pos="360"/>
        </w:tabs>
        <w:rPr>
          <w:rFonts w:cs="Arial"/>
          <w:szCs w:val="24"/>
        </w:rPr>
      </w:pPr>
      <w:r w:rsidRPr="00911998">
        <w:rPr>
          <w:rFonts w:cs="Arial"/>
          <w:szCs w:val="24"/>
        </w:rPr>
        <w:t>Une précision s’impose e</w:t>
      </w:r>
      <w:r w:rsidR="00C63F21" w:rsidRPr="00911998">
        <w:rPr>
          <w:rFonts w:cs="Arial"/>
          <w:szCs w:val="24"/>
        </w:rPr>
        <w:t xml:space="preserve">n ce qui </w:t>
      </w:r>
      <w:r w:rsidRPr="00911998">
        <w:rPr>
          <w:rFonts w:cs="Arial"/>
          <w:szCs w:val="24"/>
        </w:rPr>
        <w:t xml:space="preserve">concerne </w:t>
      </w:r>
      <w:r w:rsidR="00C63F21" w:rsidRPr="00911998">
        <w:rPr>
          <w:rFonts w:cs="Arial"/>
          <w:szCs w:val="24"/>
        </w:rPr>
        <w:t>la notion de «</w:t>
      </w:r>
      <w:r w:rsidR="00C936C5" w:rsidRPr="00911998">
        <w:rPr>
          <w:rFonts w:cs="Arial"/>
          <w:szCs w:val="24"/>
        </w:rPr>
        <w:t> </w:t>
      </w:r>
      <w:r w:rsidR="00C63F21" w:rsidRPr="00911998">
        <w:rPr>
          <w:rFonts w:cs="Arial"/>
          <w:szCs w:val="24"/>
        </w:rPr>
        <w:t>filiation par le sang</w:t>
      </w:r>
      <w:r w:rsidR="00C936C5" w:rsidRPr="00911998">
        <w:rPr>
          <w:rFonts w:cs="Arial"/>
          <w:szCs w:val="24"/>
        </w:rPr>
        <w:t> </w:t>
      </w:r>
      <w:r w:rsidR="00C63F21" w:rsidRPr="00911998">
        <w:rPr>
          <w:rFonts w:cs="Arial"/>
          <w:szCs w:val="24"/>
        </w:rPr>
        <w:t xml:space="preserve">». </w:t>
      </w:r>
      <w:r w:rsidR="00406343" w:rsidRPr="00911998">
        <w:rPr>
          <w:rFonts w:cs="Arial"/>
          <w:szCs w:val="24"/>
        </w:rPr>
        <w:t>B</w:t>
      </w:r>
      <w:r w:rsidR="00C63F21" w:rsidRPr="00911998">
        <w:rPr>
          <w:rFonts w:cs="Arial"/>
          <w:szCs w:val="24"/>
        </w:rPr>
        <w:t>ien que cette filiation corresponde souvent à la réalité biologique, il n’en est pas nécessairement ainsi</w:t>
      </w:r>
      <w:r w:rsidR="00C63F21" w:rsidRPr="00911998">
        <w:rPr>
          <w:rStyle w:val="Appelnotedebasdep"/>
          <w:rFonts w:cs="Arial"/>
          <w:szCs w:val="24"/>
        </w:rPr>
        <w:footnoteReference w:id="36"/>
      </w:r>
      <w:r w:rsidR="00C63F21" w:rsidRPr="00911998">
        <w:rPr>
          <w:rFonts w:cs="Arial"/>
          <w:szCs w:val="24"/>
        </w:rPr>
        <w:t>. Comme l’explique la juge Savard</w:t>
      </w:r>
      <w:r w:rsidR="00C63F21" w:rsidRPr="00911998">
        <w:rPr>
          <w:rStyle w:val="Appelnotedebasdep"/>
          <w:rFonts w:cs="Arial"/>
          <w:szCs w:val="24"/>
        </w:rPr>
        <w:footnoteReference w:id="37"/>
      </w:r>
      <w:r w:rsidR="00C63F21" w:rsidRPr="00911998">
        <w:rPr>
          <w:rFonts w:cs="Arial"/>
          <w:szCs w:val="24"/>
        </w:rPr>
        <w:t> :</w:t>
      </w:r>
    </w:p>
    <w:p w14:paraId="3A38254D" w14:textId="326E84F8" w:rsidR="00C63F21" w:rsidRPr="00911998" w:rsidRDefault="00C63F21" w:rsidP="00C63F21">
      <w:pPr>
        <w:ind w:left="567" w:right="560"/>
        <w:jc w:val="both"/>
        <w:rPr>
          <w:sz w:val="22"/>
          <w:szCs w:val="22"/>
          <w:lang w:eastAsia="fr-CA"/>
        </w:rPr>
      </w:pPr>
      <w:r w:rsidRPr="00911998">
        <w:rPr>
          <w:sz w:val="22"/>
          <w:szCs w:val="22"/>
          <w:lang w:eastAsia="fr-CA"/>
        </w:rPr>
        <w:t>[</w:t>
      </w:r>
      <w:bookmarkStart w:id="12" w:name="par25"/>
      <w:r w:rsidRPr="00911998">
        <w:rPr>
          <w:sz w:val="22"/>
          <w:szCs w:val="22"/>
          <w:lang w:eastAsia="fr-CA"/>
        </w:rPr>
        <w:t>25</w:t>
      </w:r>
      <w:bookmarkEnd w:id="12"/>
      <w:proofErr w:type="gramStart"/>
      <w:r w:rsidRPr="00911998">
        <w:rPr>
          <w:sz w:val="22"/>
          <w:szCs w:val="22"/>
          <w:lang w:eastAsia="fr-CA"/>
        </w:rPr>
        <w:t>]  </w:t>
      </w:r>
      <w:r w:rsidRPr="00911998">
        <w:rPr>
          <w:rFonts w:cs="Arial"/>
          <w:sz w:val="22"/>
          <w:szCs w:val="22"/>
          <w:lang w:eastAsia="fr-CA"/>
        </w:rPr>
        <w:t>[</w:t>
      </w:r>
      <w:proofErr w:type="gramEnd"/>
      <w:r w:rsidRPr="00911998">
        <w:rPr>
          <w:rFonts w:cs="Arial"/>
          <w:sz w:val="22"/>
          <w:szCs w:val="22"/>
          <w:lang w:eastAsia="fr-CA"/>
        </w:rPr>
        <w:t>…]</w:t>
      </w:r>
      <w:r w:rsidRPr="00911998">
        <w:rPr>
          <w:sz w:val="22"/>
          <w:szCs w:val="22"/>
          <w:lang w:eastAsia="fr-CA"/>
        </w:rPr>
        <w:t xml:space="preserve"> </w:t>
      </w:r>
      <w:r w:rsidRPr="00911998">
        <w:rPr>
          <w:rFonts w:cs="Arial"/>
          <w:sz w:val="22"/>
          <w:szCs w:val="22"/>
          <w:lang w:eastAsia="fr-CA"/>
        </w:rPr>
        <w:t>[L]</w:t>
      </w:r>
      <w:r w:rsidRPr="00911998">
        <w:rPr>
          <w:sz w:val="22"/>
          <w:szCs w:val="22"/>
          <w:lang w:eastAsia="fr-CA"/>
        </w:rPr>
        <w:t xml:space="preserve">a qualification de « filiation par le sang » est </w:t>
      </w:r>
      <w:r w:rsidRPr="00911998">
        <w:rPr>
          <w:sz w:val="22"/>
          <w:szCs w:val="22"/>
        </w:rPr>
        <w:t>imparfaite</w:t>
      </w:r>
      <w:r w:rsidRPr="00911998">
        <w:rPr>
          <w:sz w:val="22"/>
          <w:szCs w:val="22"/>
          <w:lang w:eastAsia="fr-CA"/>
        </w:rPr>
        <w:t xml:space="preserve"> puisque celle-ci ne repose pas exclusivement sur la « vérité biologique » ou, dit autrement, sur le lien génétique. Voici ce qu’écrit le Comité consultatif sur le droit de la famille au sujet des fondements de la filiation par le sang en droit québécois :</w:t>
      </w:r>
    </w:p>
    <w:p w14:paraId="3497E002" w14:textId="77777777" w:rsidR="00C63F21" w:rsidRPr="00911998" w:rsidRDefault="00C63F21" w:rsidP="00C63F21">
      <w:pPr>
        <w:ind w:left="567" w:right="560"/>
        <w:jc w:val="both"/>
        <w:rPr>
          <w:sz w:val="22"/>
          <w:szCs w:val="22"/>
          <w:lang w:eastAsia="fr-CA"/>
        </w:rPr>
      </w:pPr>
    </w:p>
    <w:p w14:paraId="16FBD783" w14:textId="54EFFDB4" w:rsidR="00C63F21" w:rsidRPr="00911998" w:rsidRDefault="00C63F21" w:rsidP="00C63F21">
      <w:pPr>
        <w:ind w:left="731" w:right="560"/>
        <w:jc w:val="both"/>
        <w:rPr>
          <w:sz w:val="22"/>
          <w:szCs w:val="22"/>
          <w:lang w:eastAsia="fr-CA"/>
        </w:rPr>
      </w:pPr>
      <w:r w:rsidRPr="00911998">
        <w:rPr>
          <w:sz w:val="22"/>
          <w:szCs w:val="22"/>
          <w:lang w:eastAsia="fr-CA"/>
        </w:rPr>
        <w:t xml:space="preserve">Lors de la réforme de 1980, le législateur aurait très bien pu recentrer la filiation (par le sang) autour du </w:t>
      </w:r>
      <w:r w:rsidRPr="00911998">
        <w:rPr>
          <w:sz w:val="22"/>
          <w:szCs w:val="22"/>
        </w:rPr>
        <w:t>lien</w:t>
      </w:r>
      <w:r w:rsidRPr="00911998">
        <w:rPr>
          <w:sz w:val="22"/>
          <w:szCs w:val="22"/>
          <w:lang w:eastAsia="fr-CA"/>
        </w:rPr>
        <w:t xml:space="preserve"> génétique, comme certains semblent aujourd’hui le souhaiter. En permettant qu’une simple déclaration de naissance ou une possession constante d’état serve de base à l’établissement d’un lien de filiation, sans égard au facteur génétique, le législateur québécois en a toutefois décidé autrement. Bien qu’un tel lien de filiation puisse, à certaines conditions précises, être contesté en justice sur la base d’une preuve génétique, le Québec a clairement fait le choix d’attribuer à la volonté individuelle un rôle fondamental en matière de filiation. Tantôt fondée sur le sang, tantôt fondée sur la volonté, la filiation constitue donc, en droit québécois, un heureux mélange des genres.</w:t>
      </w:r>
    </w:p>
    <w:p w14:paraId="1674C00E" w14:textId="2E276780" w:rsidR="00C63F21" w:rsidRPr="00911998" w:rsidRDefault="00C63F21" w:rsidP="00C63F21">
      <w:pPr>
        <w:pStyle w:val="Paragrsimple"/>
        <w:tabs>
          <w:tab w:val="clear" w:pos="360"/>
        </w:tabs>
        <w:rPr>
          <w:rFonts w:cs="Arial"/>
          <w:szCs w:val="24"/>
        </w:rPr>
      </w:pPr>
      <w:r w:rsidRPr="00911998">
        <w:rPr>
          <w:rFonts w:cs="Arial"/>
          <w:szCs w:val="24"/>
        </w:rPr>
        <w:t xml:space="preserve">À titre d’exemple, selon l’article 530 C.c.Q., la filiation d’une personne dont la possession d’état est conforme à son acte de </w:t>
      </w:r>
      <w:r w:rsidRPr="00911998">
        <w:t>naissance</w:t>
      </w:r>
      <w:r w:rsidRPr="00911998">
        <w:rPr>
          <w:rFonts w:cs="Arial"/>
          <w:szCs w:val="24"/>
        </w:rPr>
        <w:t xml:space="preserve"> ne peut être attaquée en justice, et ce, même à l’aide d’une preuve ADN</w:t>
      </w:r>
      <w:r w:rsidR="00406343" w:rsidRPr="00911998">
        <w:rPr>
          <w:rFonts w:cs="Arial"/>
          <w:szCs w:val="24"/>
        </w:rPr>
        <w:t>,</w:t>
      </w:r>
      <w:r w:rsidRPr="00911998">
        <w:rPr>
          <w:rFonts w:cs="Arial"/>
          <w:szCs w:val="24"/>
        </w:rPr>
        <w:t xml:space="preserve"> par ailleurs biologiquement concluante. C’est ce que l’on dénomme le «</w:t>
      </w:r>
      <w:r w:rsidR="00C936C5" w:rsidRPr="00911998">
        <w:rPr>
          <w:rFonts w:cs="Arial"/>
          <w:szCs w:val="24"/>
        </w:rPr>
        <w:t> </w:t>
      </w:r>
      <w:r w:rsidRPr="00911998">
        <w:rPr>
          <w:rFonts w:cs="Arial"/>
          <w:szCs w:val="24"/>
        </w:rPr>
        <w:t>verrou de filiation</w:t>
      </w:r>
      <w:r w:rsidR="00C936C5" w:rsidRPr="00911998">
        <w:rPr>
          <w:rFonts w:cs="Arial"/>
          <w:szCs w:val="24"/>
        </w:rPr>
        <w:t> </w:t>
      </w:r>
      <w:r w:rsidRPr="00911998">
        <w:rPr>
          <w:rFonts w:cs="Arial"/>
          <w:szCs w:val="24"/>
        </w:rPr>
        <w:t>»</w:t>
      </w:r>
      <w:r w:rsidRPr="00911998">
        <w:rPr>
          <w:rStyle w:val="Appelnotedebasdep"/>
          <w:rFonts w:cs="Arial"/>
          <w:szCs w:val="24"/>
        </w:rPr>
        <w:footnoteReference w:id="38"/>
      </w:r>
      <w:r w:rsidRPr="00911998">
        <w:rPr>
          <w:rFonts w:cs="Arial"/>
          <w:szCs w:val="24"/>
        </w:rPr>
        <w:t>.</w:t>
      </w:r>
    </w:p>
    <w:p w14:paraId="5446A156" w14:textId="6AEF2937" w:rsidR="000955D4" w:rsidRPr="00911998" w:rsidRDefault="00BC7C3A" w:rsidP="00A23BC1">
      <w:pPr>
        <w:pStyle w:val="Paragrsimple"/>
        <w:tabs>
          <w:tab w:val="clear" w:pos="360"/>
        </w:tabs>
      </w:pPr>
      <w:r w:rsidRPr="00911998">
        <w:t xml:space="preserve">Une autre réforme importante </w:t>
      </w:r>
      <w:r w:rsidR="00B42320" w:rsidRPr="00911998">
        <w:t xml:space="preserve">du droit de la filiation </w:t>
      </w:r>
      <w:r w:rsidRPr="00911998">
        <w:t xml:space="preserve">intervient en </w:t>
      </w:r>
      <w:r w:rsidR="00C936C5" w:rsidRPr="00911998">
        <w:t>2023</w:t>
      </w:r>
      <w:r w:rsidR="001F19B6" w:rsidRPr="00911998">
        <w:rPr>
          <w:rStyle w:val="Appelnotedebasdep"/>
        </w:rPr>
        <w:footnoteReference w:id="39"/>
      </w:r>
      <w:r w:rsidR="00A719C9" w:rsidRPr="00911998">
        <w:t>,</w:t>
      </w:r>
      <w:r w:rsidR="000955D4" w:rsidRPr="00911998">
        <w:t xml:space="preserve"> laquelle</w:t>
      </w:r>
      <w:r w:rsidR="002B59DC" w:rsidRPr="00911998">
        <w:t xml:space="preserve"> </w:t>
      </w:r>
      <w:r w:rsidR="008D1C38" w:rsidRPr="00911998">
        <w:t>traite</w:t>
      </w:r>
      <w:r w:rsidR="002B59DC" w:rsidRPr="00911998">
        <w:t xml:space="preserve"> notamment </w:t>
      </w:r>
      <w:r w:rsidR="00946435" w:rsidRPr="00911998">
        <w:t>d</w:t>
      </w:r>
      <w:r w:rsidR="002B59DC" w:rsidRPr="00911998">
        <w:t>es projets de grossesse pour autrui</w:t>
      </w:r>
      <w:r w:rsidRPr="00911998">
        <w:t>.</w:t>
      </w:r>
      <w:r w:rsidR="002B59DC" w:rsidRPr="00911998">
        <w:t xml:space="preserve"> </w:t>
      </w:r>
      <w:r w:rsidR="000955D4" w:rsidRPr="00911998">
        <w:t>Il en résulte qu’à</w:t>
      </w:r>
      <w:r w:rsidR="002B59DC" w:rsidRPr="00911998">
        <w:t xml:space="preserve"> présent, le C.c.Q. </w:t>
      </w:r>
      <w:r w:rsidR="002B59DC" w:rsidRPr="00911998">
        <w:lastRenderedPageBreak/>
        <w:t xml:space="preserve">décline la filiation en deux grandes catégories : la filiation de naissance </w:t>
      </w:r>
      <w:r w:rsidR="00A23BC1" w:rsidRPr="00911998">
        <w:t>(articles 522.2 à 54</w:t>
      </w:r>
      <w:r w:rsidR="008D1C38" w:rsidRPr="00911998">
        <w:t>1</w:t>
      </w:r>
      <w:r w:rsidR="00A23BC1" w:rsidRPr="00911998">
        <w:t>.37 C.c.Q.) et la filiation par adoption (articles 543 à 584.1 C.c.Q.).</w:t>
      </w:r>
      <w:r w:rsidR="008D1C38" w:rsidRPr="00911998">
        <w:t xml:space="preserve"> </w:t>
      </w:r>
    </w:p>
    <w:p w14:paraId="58931AB3" w14:textId="7D9730B4" w:rsidR="00A23BC1" w:rsidRPr="00911998" w:rsidRDefault="00A23BC1" w:rsidP="00A23BC1">
      <w:pPr>
        <w:pStyle w:val="Paragrsimple"/>
        <w:tabs>
          <w:tab w:val="clear" w:pos="360"/>
        </w:tabs>
      </w:pPr>
      <w:r w:rsidRPr="00911998">
        <w:t xml:space="preserve">En ce qui concerne la filiation de naissance, elle comprend deux </w:t>
      </w:r>
      <w:r w:rsidR="00406343" w:rsidRPr="00911998">
        <w:t>sous</w:t>
      </w:r>
      <w:r w:rsidR="00406343" w:rsidRPr="00911998">
        <w:noBreakHyphen/>
      </w:r>
      <w:r w:rsidRPr="00911998">
        <w:t>catégories de règles : celles qui régissent la filiation par la reconnaissance ou par le sang (articles 523 à 525 C.c.Q.) et celles qui régissent la filiation des enfants issus d’une procréation impliquant la contribution d’un tiers, c’est-à-dire une procréation assistée</w:t>
      </w:r>
      <w:r w:rsidR="000955D4" w:rsidRPr="00911998">
        <w:t xml:space="preserve"> (articles 538 à 541.37 C.c.Q.)</w:t>
      </w:r>
      <w:r w:rsidRPr="00911998">
        <w:t>.</w:t>
      </w:r>
    </w:p>
    <w:p w14:paraId="01A2D1FD" w14:textId="73ACCC1E" w:rsidR="008D1C38" w:rsidRPr="00911998" w:rsidRDefault="008D1C38" w:rsidP="008D1C38">
      <w:pPr>
        <w:pStyle w:val="Paragrsimple"/>
        <w:tabs>
          <w:tab w:val="clear" w:pos="360"/>
        </w:tabs>
      </w:pPr>
      <w:r w:rsidRPr="00911998">
        <w:t xml:space="preserve">Pour ce qui est de la procréation assistée, les règles de la filiation sont </w:t>
      </w:r>
      <w:r w:rsidR="002947D4" w:rsidRPr="00911998">
        <w:t>à leur tour</w:t>
      </w:r>
      <w:r w:rsidRPr="00911998">
        <w:t xml:space="preserve"> classifiées </w:t>
      </w:r>
      <w:r w:rsidR="00406343" w:rsidRPr="00911998">
        <w:t>en</w:t>
      </w:r>
      <w:r w:rsidRPr="00911998">
        <w:t xml:space="preserve"> deux </w:t>
      </w:r>
      <w:r w:rsidR="00C936C5" w:rsidRPr="00911998">
        <w:t>sous sous-catégories</w:t>
      </w:r>
      <w:r w:rsidRPr="00911998">
        <w:t> : les projets parentaux impliquant l’utilisation du matériel reproductif d’un tiers (articles 538 à 539.1 C.c.Q.) et les projets parentaux impliquant une grossesse pour autrui (</w:t>
      </w:r>
      <w:r w:rsidR="00C936C5" w:rsidRPr="00911998">
        <w:t>article</w:t>
      </w:r>
      <w:r w:rsidR="009001A9" w:rsidRPr="00911998">
        <w:t>s</w:t>
      </w:r>
      <w:r w:rsidR="00C936C5" w:rsidRPr="00911998">
        <w:t> </w:t>
      </w:r>
      <w:r w:rsidRPr="00911998">
        <w:t>541.1 à 541.37 C.c.Q.).</w:t>
      </w:r>
    </w:p>
    <w:p w14:paraId="637AE46E" w14:textId="7E6E8E70" w:rsidR="00A178A6" w:rsidRPr="00911998" w:rsidRDefault="00B42320" w:rsidP="00A178A6">
      <w:pPr>
        <w:pStyle w:val="Paragrsimple"/>
        <w:tabs>
          <w:tab w:val="clear" w:pos="360"/>
        </w:tabs>
      </w:pPr>
      <w:r w:rsidRPr="00911998">
        <w:t>Signalons que l</w:t>
      </w:r>
      <w:r w:rsidR="00A178A6" w:rsidRPr="00911998">
        <w:t>es dispositions</w:t>
      </w:r>
      <w:r w:rsidRPr="00911998">
        <w:t xml:space="preserve"> du C.c.Q.</w:t>
      </w:r>
      <w:r w:rsidR="00A178A6" w:rsidRPr="00911998">
        <w:t xml:space="preserve"> qui régissent la filiation sont d’ordre public</w:t>
      </w:r>
      <w:r w:rsidR="00A178A6" w:rsidRPr="00911998">
        <w:rPr>
          <w:rStyle w:val="Appelnotedebasdep"/>
        </w:rPr>
        <w:footnoteReference w:id="40"/>
      </w:r>
      <w:r w:rsidR="00A178A6" w:rsidRPr="00911998">
        <w:t>.</w:t>
      </w:r>
    </w:p>
    <w:p w14:paraId="10A1F19F" w14:textId="396F7EAD" w:rsidR="008D1C38" w:rsidRPr="00911998" w:rsidRDefault="00406343" w:rsidP="008D1C38">
      <w:pPr>
        <w:pStyle w:val="Paragrsimple"/>
        <w:tabs>
          <w:tab w:val="clear" w:pos="360"/>
        </w:tabs>
        <w:rPr>
          <w:rFonts w:cs="Arial"/>
          <w:shd w:val="clear" w:color="auto" w:fill="FFFFFF"/>
        </w:rPr>
      </w:pPr>
      <w:r w:rsidRPr="00911998">
        <w:t>Par ailleurs</w:t>
      </w:r>
      <w:r w:rsidR="008D1C38" w:rsidRPr="00911998">
        <w:t xml:space="preserve">, afin d’éviter toute confusion terminologique, il convient de </w:t>
      </w:r>
      <w:r w:rsidR="00B42320" w:rsidRPr="00911998">
        <w:t>mentionne</w:t>
      </w:r>
      <w:r w:rsidR="008D1C38" w:rsidRPr="00911998">
        <w:t>r la distinction entre les notions de «</w:t>
      </w:r>
      <w:r w:rsidR="00C936C5" w:rsidRPr="00911998">
        <w:t> </w:t>
      </w:r>
      <w:r w:rsidR="008D1C38" w:rsidRPr="00911998">
        <w:t>parenté</w:t>
      </w:r>
      <w:r w:rsidR="00C936C5" w:rsidRPr="00911998">
        <w:t> </w:t>
      </w:r>
      <w:r w:rsidR="008D1C38" w:rsidRPr="00911998">
        <w:t>» et de «</w:t>
      </w:r>
      <w:r w:rsidR="00C936C5" w:rsidRPr="00911998">
        <w:t> </w:t>
      </w:r>
      <w:r w:rsidR="008D1C38" w:rsidRPr="00911998">
        <w:t>parentalité</w:t>
      </w:r>
      <w:r w:rsidR="00C936C5" w:rsidRPr="00911998">
        <w:t> </w:t>
      </w:r>
      <w:r w:rsidR="008D1C38" w:rsidRPr="00911998">
        <w:t>».</w:t>
      </w:r>
      <w:r w:rsidR="009A66C4" w:rsidRPr="00911998">
        <w:t> La «</w:t>
      </w:r>
      <w:r w:rsidR="00C936C5" w:rsidRPr="00911998">
        <w:t> </w:t>
      </w:r>
      <w:r w:rsidR="009A66C4" w:rsidRPr="00911998">
        <w:t>parenté</w:t>
      </w:r>
      <w:r w:rsidR="00C936C5" w:rsidRPr="00911998">
        <w:t> </w:t>
      </w:r>
      <w:r w:rsidR="009A66C4" w:rsidRPr="00911998">
        <w:t>» est fondée sur le lien juridique de la filiation, alors que la «</w:t>
      </w:r>
      <w:r w:rsidR="00C936C5" w:rsidRPr="00911998">
        <w:t> </w:t>
      </w:r>
      <w:r w:rsidR="009A66C4" w:rsidRPr="00911998">
        <w:t>parentalité</w:t>
      </w:r>
      <w:r w:rsidR="00C936C5" w:rsidRPr="00911998">
        <w:t> </w:t>
      </w:r>
      <w:r w:rsidR="009A66C4" w:rsidRPr="00911998">
        <w:t>» est fondée sur l’exercice de fonctions parentales</w:t>
      </w:r>
      <w:r w:rsidR="009A66C4" w:rsidRPr="00911998">
        <w:rPr>
          <w:rStyle w:val="Appelnotedebasdep"/>
        </w:rPr>
        <w:footnoteReference w:id="41"/>
      </w:r>
      <w:r w:rsidR="009A66C4" w:rsidRPr="00911998">
        <w:t xml:space="preserve">. Le juge </w:t>
      </w:r>
      <w:proofErr w:type="spellStart"/>
      <w:r w:rsidR="009A66C4" w:rsidRPr="00911998">
        <w:t>Kasirer</w:t>
      </w:r>
      <w:proofErr w:type="spellEnd"/>
      <w:r w:rsidR="009A66C4" w:rsidRPr="00911998">
        <w:t xml:space="preserve"> (à l’époque juge </w:t>
      </w:r>
      <w:r w:rsidR="009001A9" w:rsidRPr="00911998">
        <w:t>à</w:t>
      </w:r>
      <w:r w:rsidR="009A66C4" w:rsidRPr="00911998">
        <w:t xml:space="preserve"> la Cour d’appel) explique ainsi les notions dans </w:t>
      </w:r>
      <w:r w:rsidR="009A66C4" w:rsidRPr="00911998">
        <w:rPr>
          <w:rFonts w:cs="Arial"/>
          <w:i/>
          <w:iCs/>
          <w:shd w:val="clear" w:color="auto" w:fill="FFFFFF"/>
        </w:rPr>
        <w:t>Droit de la famille — 191677</w:t>
      </w:r>
      <w:r w:rsidR="00B30F69" w:rsidRPr="00911998">
        <w:rPr>
          <w:rStyle w:val="Appelnotedebasdep"/>
          <w:rFonts w:cs="Arial"/>
          <w:shd w:val="clear" w:color="auto" w:fill="FFFFFF"/>
        </w:rPr>
        <w:footnoteReference w:id="42"/>
      </w:r>
      <w:r w:rsidR="009A66C4" w:rsidRPr="00911998">
        <w:rPr>
          <w:rFonts w:cs="Arial"/>
          <w:i/>
          <w:iCs/>
          <w:shd w:val="clear" w:color="auto" w:fill="FFFFFF"/>
        </w:rPr>
        <w:t> </w:t>
      </w:r>
      <w:r w:rsidR="009A66C4" w:rsidRPr="00911998">
        <w:rPr>
          <w:rFonts w:cs="Arial"/>
          <w:shd w:val="clear" w:color="auto" w:fill="FFFFFF"/>
        </w:rPr>
        <w:t>:</w:t>
      </w:r>
    </w:p>
    <w:p w14:paraId="75F53EDB" w14:textId="1473B6B6" w:rsidR="00B30F69" w:rsidRPr="00911998" w:rsidRDefault="00B30F69" w:rsidP="00B30F69">
      <w:pPr>
        <w:ind w:left="567" w:right="560"/>
        <w:jc w:val="both"/>
        <w:rPr>
          <w:sz w:val="22"/>
          <w:szCs w:val="22"/>
        </w:rPr>
      </w:pPr>
      <w:r w:rsidRPr="00911998">
        <w:rPr>
          <w:sz w:val="22"/>
          <w:szCs w:val="22"/>
        </w:rPr>
        <w:t>[</w:t>
      </w:r>
      <w:bookmarkStart w:id="13" w:name="par100"/>
      <w:r w:rsidRPr="00911998">
        <w:rPr>
          <w:sz w:val="22"/>
          <w:szCs w:val="22"/>
        </w:rPr>
        <w:t>100</w:t>
      </w:r>
      <w:bookmarkEnd w:id="13"/>
      <w:proofErr w:type="gramStart"/>
      <w:r w:rsidRPr="00911998">
        <w:rPr>
          <w:sz w:val="22"/>
          <w:szCs w:val="22"/>
        </w:rPr>
        <w:t>]  La</w:t>
      </w:r>
      <w:proofErr w:type="gramEnd"/>
      <w:r w:rsidRPr="00911998">
        <w:rPr>
          <w:sz w:val="22"/>
          <w:szCs w:val="22"/>
        </w:rPr>
        <w:t> </w:t>
      </w:r>
      <w:r w:rsidRPr="00911998">
        <w:rPr>
          <w:i/>
          <w:iCs/>
          <w:sz w:val="22"/>
          <w:szCs w:val="22"/>
        </w:rPr>
        <w:t>parenté</w:t>
      </w:r>
      <w:r w:rsidRPr="00911998">
        <w:rPr>
          <w:sz w:val="22"/>
          <w:szCs w:val="22"/>
        </w:rPr>
        <w:t> se rattache à la filiation. Construction du droit positif, la « filiation » du </w:t>
      </w:r>
      <w:hyperlink r:id="rId13" w:history="1">
        <w:r w:rsidRPr="00911998">
          <w:rPr>
            <w:rStyle w:val="Hyperlien"/>
            <w:rFonts w:cs="Arial"/>
            <w:i/>
            <w:iCs/>
            <w:color w:val="auto"/>
            <w:sz w:val="22"/>
            <w:szCs w:val="22"/>
            <w:u w:val="none"/>
          </w:rPr>
          <w:t>Code civil</w:t>
        </w:r>
      </w:hyperlink>
      <w:r w:rsidRPr="00911998">
        <w:rPr>
          <w:sz w:val="22"/>
          <w:szCs w:val="22"/>
        </w:rPr>
        <w:t> – par le sang, par procréation assistée, ou par adoption – est le lien de droit qui unit un enfant à ses mères et pères</w:t>
      </w:r>
      <w:bookmarkStart w:id="14" w:name="_Ref14947096"/>
      <w:bookmarkEnd w:id="14"/>
      <w:r w:rsidRPr="00911998">
        <w:rPr>
          <w:sz w:val="22"/>
          <w:szCs w:val="22"/>
        </w:rPr>
        <w:t xml:space="preserve">. Elle inscrit </w:t>
      </w:r>
      <w:r w:rsidRPr="00911998">
        <w:rPr>
          <w:rFonts w:cs="Arial"/>
          <w:sz w:val="22"/>
          <w:szCs w:val="22"/>
        </w:rPr>
        <w:t>l’enfant</w:t>
      </w:r>
      <w:r w:rsidRPr="00911998">
        <w:rPr>
          <w:sz w:val="22"/>
          <w:szCs w:val="22"/>
        </w:rPr>
        <w:t xml:space="preserve"> dans un ensemble ordonné de relations familiales (parfois qualifié, de manière quelque peu trompeuse, d</w:t>
      </w:r>
      <w:proofErr w:type="gramStart"/>
      <w:r w:rsidRPr="00911998">
        <w:rPr>
          <w:sz w:val="22"/>
          <w:szCs w:val="22"/>
        </w:rPr>
        <w:t>’«</w:t>
      </w:r>
      <w:proofErr w:type="gramEnd"/>
      <w:r w:rsidRPr="00911998">
        <w:rPr>
          <w:sz w:val="22"/>
          <w:szCs w:val="22"/>
        </w:rPr>
        <w:t> ordre généalogique »), qui consacre divers liens de parenté</w:t>
      </w:r>
      <w:bookmarkStart w:id="15" w:name="_Ref10718927"/>
      <w:bookmarkEnd w:id="15"/>
      <w:r w:rsidRPr="00911998">
        <w:rPr>
          <w:sz w:val="22"/>
          <w:szCs w:val="22"/>
        </w:rPr>
        <w:t>, en ligne directe et collatérale, fondés sur le lien juridique de filiation dans ce qu’on pourrait appeler sa famille élargie.</w:t>
      </w:r>
    </w:p>
    <w:p w14:paraId="09354112" w14:textId="77777777" w:rsidR="00B30F69" w:rsidRPr="00911998" w:rsidRDefault="00B30F69" w:rsidP="00B30F69">
      <w:pPr>
        <w:ind w:left="567" w:right="560"/>
        <w:jc w:val="both"/>
        <w:rPr>
          <w:sz w:val="22"/>
          <w:szCs w:val="22"/>
          <w:lang w:eastAsia="fr-CA"/>
        </w:rPr>
      </w:pPr>
    </w:p>
    <w:p w14:paraId="5C795763" w14:textId="73130B8B" w:rsidR="00B30F69" w:rsidRPr="00911998" w:rsidRDefault="00B30F69" w:rsidP="00B30F69">
      <w:pPr>
        <w:ind w:left="567" w:right="560"/>
        <w:jc w:val="both"/>
        <w:rPr>
          <w:sz w:val="22"/>
          <w:szCs w:val="22"/>
        </w:rPr>
      </w:pPr>
      <w:r w:rsidRPr="00911998">
        <w:rPr>
          <w:sz w:val="22"/>
          <w:szCs w:val="22"/>
        </w:rPr>
        <w:t>[</w:t>
      </w:r>
      <w:bookmarkStart w:id="16" w:name="par101"/>
      <w:r w:rsidRPr="00911998">
        <w:rPr>
          <w:sz w:val="22"/>
          <w:szCs w:val="22"/>
        </w:rPr>
        <w:t>101</w:t>
      </w:r>
      <w:bookmarkEnd w:id="16"/>
      <w:proofErr w:type="gramStart"/>
      <w:r w:rsidRPr="00911998">
        <w:rPr>
          <w:sz w:val="22"/>
          <w:szCs w:val="22"/>
        </w:rPr>
        <w:t>]  La</w:t>
      </w:r>
      <w:proofErr w:type="gramEnd"/>
      <w:r w:rsidRPr="00911998">
        <w:rPr>
          <w:sz w:val="22"/>
          <w:szCs w:val="22"/>
        </w:rPr>
        <w:t> </w:t>
      </w:r>
      <w:r w:rsidRPr="00911998">
        <w:rPr>
          <w:i/>
          <w:iCs/>
          <w:sz w:val="22"/>
          <w:szCs w:val="22"/>
        </w:rPr>
        <w:t>parentalité</w:t>
      </w:r>
      <w:r w:rsidRPr="00911998">
        <w:rPr>
          <w:sz w:val="22"/>
          <w:szCs w:val="22"/>
        </w:rPr>
        <w:t xml:space="preserve">, elle, renvoie à une idée plus large que la parenté et la filiation, touchant plus généralement la fonction </w:t>
      </w:r>
      <w:r w:rsidRPr="00911998">
        <w:rPr>
          <w:rFonts w:cs="Arial"/>
          <w:sz w:val="22"/>
          <w:szCs w:val="22"/>
        </w:rPr>
        <w:t>parentale</w:t>
      </w:r>
      <w:r w:rsidRPr="00911998">
        <w:rPr>
          <w:sz w:val="22"/>
          <w:szCs w:val="22"/>
        </w:rPr>
        <w:t xml:space="preserve"> ou la « situation d’une personne qui tient le rôle de parent pour un enfant ».</w:t>
      </w:r>
    </w:p>
    <w:p w14:paraId="503FC477" w14:textId="77777777" w:rsidR="00B30F69" w:rsidRPr="00911998" w:rsidRDefault="00B30F69" w:rsidP="00B30F69">
      <w:pPr>
        <w:ind w:left="567" w:right="560"/>
        <w:jc w:val="both"/>
      </w:pPr>
    </w:p>
    <w:p w14:paraId="0878C471" w14:textId="0E3C116F" w:rsidR="009A66C4" w:rsidRPr="00911998" w:rsidRDefault="00406343" w:rsidP="00B30F69">
      <w:pPr>
        <w:pStyle w:val="Paragrsimple"/>
        <w:tabs>
          <w:tab w:val="clear" w:pos="360"/>
        </w:tabs>
      </w:pPr>
      <w:r w:rsidRPr="00911998">
        <w:t>I</w:t>
      </w:r>
      <w:r w:rsidR="00B30F69" w:rsidRPr="00911998">
        <w:t xml:space="preserve">l </w:t>
      </w:r>
      <w:r w:rsidR="002947D4" w:rsidRPr="00911998">
        <w:t>existe</w:t>
      </w:r>
      <w:r w:rsidR="00B30F69" w:rsidRPr="00911998">
        <w:t xml:space="preserve"> </w:t>
      </w:r>
      <w:r w:rsidRPr="00911998">
        <w:t xml:space="preserve">souvent </w:t>
      </w:r>
      <w:r w:rsidR="00B30F69" w:rsidRPr="00911998">
        <w:t xml:space="preserve">une correspondance parfaite entre parenté et parentalité </w:t>
      </w:r>
      <w:r w:rsidR="00D172B7" w:rsidRPr="00911998">
        <w:t>—</w:t>
      </w:r>
      <w:r w:rsidR="00B30F69" w:rsidRPr="00911998">
        <w:t xml:space="preserve"> les personnes ayant le lien de filiation avec l’enfant </w:t>
      </w:r>
      <w:r w:rsidRPr="00911998">
        <w:t xml:space="preserve">étant </w:t>
      </w:r>
      <w:r w:rsidR="00B42320" w:rsidRPr="00911998">
        <w:t xml:space="preserve">également </w:t>
      </w:r>
      <w:r w:rsidRPr="00911998">
        <w:t>ce</w:t>
      </w:r>
      <w:r w:rsidR="009001A9" w:rsidRPr="00911998">
        <w:t>lles</w:t>
      </w:r>
      <w:r w:rsidRPr="00911998">
        <w:t xml:space="preserve"> qui exercent</w:t>
      </w:r>
      <w:r w:rsidR="00B30F69" w:rsidRPr="00911998">
        <w:t xml:space="preserve"> la fonction parentale</w:t>
      </w:r>
      <w:r w:rsidR="00B30F69" w:rsidRPr="00911998">
        <w:rPr>
          <w:rStyle w:val="Appelnotedebasdep"/>
        </w:rPr>
        <w:footnoteReference w:id="43"/>
      </w:r>
      <w:r w:rsidR="00B30F69" w:rsidRPr="00911998">
        <w:t xml:space="preserve">. En effet, les parents juridiques de l’enfant sont, sauf exception, </w:t>
      </w:r>
      <w:r w:rsidR="00B30F69" w:rsidRPr="00911998">
        <w:lastRenderedPageBreak/>
        <w:t>investis de l’autorité parentale en raison du lien de filiation. En revanche, il n’en est pas toujours ainsi et une personne qui n’est pas un parent au sens juridique de la filiation peut exercer</w:t>
      </w:r>
      <w:r w:rsidR="007A4B5F" w:rsidRPr="00911998">
        <w:t>,</w:t>
      </w:r>
      <w:r w:rsidR="00B30F69" w:rsidRPr="00911998">
        <w:t xml:space="preserve"> dans les faits</w:t>
      </w:r>
      <w:r w:rsidR="005F7668" w:rsidRPr="00911998">
        <w:t xml:space="preserve"> ou en droit</w:t>
      </w:r>
      <w:r w:rsidR="007A4B5F" w:rsidRPr="00911998">
        <w:t>,</w:t>
      </w:r>
      <w:r w:rsidR="00B30F69" w:rsidRPr="00911998">
        <w:t xml:space="preserve"> les fonctions d’un parent</w:t>
      </w:r>
      <w:r w:rsidR="0081270A" w:rsidRPr="00911998">
        <w:rPr>
          <w:rStyle w:val="Appelnotedebasdep"/>
        </w:rPr>
        <w:footnoteReference w:id="44"/>
      </w:r>
      <w:r w:rsidR="00B30F69" w:rsidRPr="00911998">
        <w:t>. Citons à nouveau</w:t>
      </w:r>
      <w:r w:rsidRPr="00911998">
        <w:t xml:space="preserve"> les propos</w:t>
      </w:r>
      <w:r w:rsidR="00B30F69" w:rsidRPr="00911998">
        <w:t xml:space="preserve"> </w:t>
      </w:r>
      <w:r w:rsidRPr="00911998">
        <w:t>du</w:t>
      </w:r>
      <w:r w:rsidR="00B30F69" w:rsidRPr="00911998">
        <w:t xml:space="preserve"> juge </w:t>
      </w:r>
      <w:proofErr w:type="spellStart"/>
      <w:r w:rsidR="00B30F69" w:rsidRPr="00911998">
        <w:t>Kasirer</w:t>
      </w:r>
      <w:proofErr w:type="spellEnd"/>
      <w:r w:rsidR="00B30F69" w:rsidRPr="00911998">
        <w:t xml:space="preserve"> dans </w:t>
      </w:r>
      <w:r w:rsidR="00B30F69" w:rsidRPr="00911998">
        <w:rPr>
          <w:rFonts w:cs="Arial"/>
          <w:i/>
          <w:iCs/>
          <w:shd w:val="clear" w:color="auto" w:fill="FFFFFF"/>
        </w:rPr>
        <w:t>Droit de la famille — 191677</w:t>
      </w:r>
      <w:r w:rsidR="00B30F69" w:rsidRPr="00911998">
        <w:t> :</w:t>
      </w:r>
    </w:p>
    <w:p w14:paraId="2B3F67F8" w14:textId="4AE4E49C" w:rsidR="00B30F69" w:rsidRPr="00911998" w:rsidRDefault="00B30F69" w:rsidP="00B30F69">
      <w:pPr>
        <w:ind w:left="567" w:right="560"/>
        <w:jc w:val="both"/>
        <w:rPr>
          <w:sz w:val="22"/>
          <w:szCs w:val="22"/>
        </w:rPr>
      </w:pPr>
      <w:r w:rsidRPr="00911998">
        <w:rPr>
          <w:rFonts w:cs="Arial"/>
          <w:sz w:val="22"/>
          <w:szCs w:val="22"/>
        </w:rPr>
        <w:t>[104</w:t>
      </w:r>
      <w:proofErr w:type="gramStart"/>
      <w:r w:rsidRPr="00911998">
        <w:rPr>
          <w:rFonts w:cs="Arial"/>
          <w:sz w:val="22"/>
          <w:szCs w:val="22"/>
        </w:rPr>
        <w:t>]  [</w:t>
      </w:r>
      <w:proofErr w:type="gramEnd"/>
      <w:r w:rsidRPr="00911998">
        <w:rPr>
          <w:rFonts w:cs="Arial"/>
          <w:sz w:val="22"/>
          <w:szCs w:val="22"/>
        </w:rPr>
        <w:t xml:space="preserve">…] [U]ne personne qui est un tiers au sens du droit de la filiation peut néanmoins être appelée, dans les </w:t>
      </w:r>
      <w:r w:rsidRPr="00911998">
        <w:rPr>
          <w:sz w:val="22"/>
          <w:szCs w:val="22"/>
        </w:rPr>
        <w:t>faits</w:t>
      </w:r>
      <w:r w:rsidRPr="00911998">
        <w:rPr>
          <w:rFonts w:cs="Arial"/>
          <w:sz w:val="22"/>
          <w:szCs w:val="22"/>
        </w:rPr>
        <w:t xml:space="preserve"> ou en droit, et parallèlement ou par substitution aux parents, à exercer le droit de garde, à apporter une assistance financière à l’enfant, ou à exercer des droits d’accès, et ce, sans nécessairement enlever à la mère ou au père son statut juridique de parent. Parfois qualifiée de « parent psychologique », de « parent social », voire de « tiers significatif », cette figure parentale n’est pas pour autant une mère ou un père au regard du droit de la filiation. Contrairement à d’autres traditions juridiques, l’établissement de la filiation en droit civil ne dépend pas de l’exercice, en fait ou en droit, des prérogatives de parentalité, et </w:t>
      </w:r>
      <w:r w:rsidRPr="00911998">
        <w:rPr>
          <w:rFonts w:cs="Arial"/>
          <w:i/>
          <w:iCs/>
          <w:sz w:val="22"/>
          <w:szCs w:val="22"/>
        </w:rPr>
        <w:t>vice versa</w:t>
      </w:r>
      <w:r w:rsidRPr="00911998">
        <w:rPr>
          <w:rFonts w:cs="Arial"/>
          <w:sz w:val="22"/>
          <w:szCs w:val="22"/>
        </w:rPr>
        <w:t>. </w:t>
      </w:r>
    </w:p>
    <w:p w14:paraId="60AA963D" w14:textId="38BA66D4" w:rsidR="00BF1E3D" w:rsidRPr="00911998" w:rsidRDefault="0079269B" w:rsidP="0079269B">
      <w:pPr>
        <w:pStyle w:val="Paragrsimple"/>
        <w:tabs>
          <w:tab w:val="clear" w:pos="360"/>
        </w:tabs>
      </w:pPr>
      <w:r w:rsidRPr="00911998">
        <w:t xml:space="preserve">Chacun des </w:t>
      </w:r>
      <w:r w:rsidR="00A93D97" w:rsidRPr="00911998">
        <w:t>D</w:t>
      </w:r>
      <w:r w:rsidRPr="00911998">
        <w:t xml:space="preserve">emandeurs individuels exerce les fonctions de parent en relation avec </w:t>
      </w:r>
      <w:r w:rsidR="009001A9" w:rsidRPr="00911998">
        <w:t>se</w:t>
      </w:r>
      <w:r w:rsidRPr="00911998">
        <w:t>s enfants respectifs</w:t>
      </w:r>
      <w:r w:rsidR="001F09BC">
        <w:t>,</w:t>
      </w:r>
      <w:r w:rsidRPr="00911998">
        <w:t xml:space="preserve"> en leur fournissant amour,</w:t>
      </w:r>
      <w:r w:rsidR="0081270A" w:rsidRPr="00911998">
        <w:t xml:space="preserve"> surveillance,</w:t>
      </w:r>
      <w:r w:rsidRPr="00911998">
        <w:t xml:space="preserve"> éducation</w:t>
      </w:r>
      <w:r w:rsidR="009001A9" w:rsidRPr="00911998">
        <w:t xml:space="preserve"> et</w:t>
      </w:r>
      <w:r w:rsidR="0081270A" w:rsidRPr="00911998">
        <w:t xml:space="preserve"> </w:t>
      </w:r>
      <w:r w:rsidRPr="00911998">
        <w:t xml:space="preserve">soutien </w:t>
      </w:r>
      <w:r w:rsidR="009001A9" w:rsidRPr="00911998">
        <w:t>économique</w:t>
      </w:r>
      <w:r w:rsidRPr="00911998">
        <w:t xml:space="preserve"> </w:t>
      </w:r>
      <w:r w:rsidR="00D172B7" w:rsidRPr="00911998">
        <w:t>—</w:t>
      </w:r>
      <w:r w:rsidRPr="00911998">
        <w:t xml:space="preserve"> </w:t>
      </w:r>
      <w:r w:rsidR="007A4B5F" w:rsidRPr="00911998">
        <w:t>en somme,</w:t>
      </w:r>
      <w:r w:rsidRPr="00911998">
        <w:t xml:space="preserve"> tout ce dont </w:t>
      </w:r>
      <w:r w:rsidR="009001A9" w:rsidRPr="00911998">
        <w:t>u</w:t>
      </w:r>
      <w:r w:rsidRPr="00911998">
        <w:t>n enfant a besoin. On observe donc que la «</w:t>
      </w:r>
      <w:r w:rsidR="00D172B7" w:rsidRPr="00911998">
        <w:t> </w:t>
      </w:r>
      <w:proofErr w:type="spellStart"/>
      <w:r w:rsidRPr="00911998">
        <w:t>triparentalité</w:t>
      </w:r>
      <w:proofErr w:type="spellEnd"/>
      <w:r w:rsidR="00D172B7" w:rsidRPr="00911998">
        <w:t> </w:t>
      </w:r>
      <w:r w:rsidRPr="00911998">
        <w:t>» ou encore la «</w:t>
      </w:r>
      <w:r w:rsidR="00D172B7" w:rsidRPr="00911998">
        <w:t> </w:t>
      </w:r>
      <w:proofErr w:type="spellStart"/>
      <w:r w:rsidRPr="00911998">
        <w:t>pluriparentalité</w:t>
      </w:r>
      <w:proofErr w:type="spellEnd"/>
      <w:r w:rsidR="00D172B7" w:rsidRPr="00911998">
        <w:t> </w:t>
      </w:r>
      <w:r w:rsidRPr="00911998">
        <w:t xml:space="preserve">» </w:t>
      </w:r>
      <w:r w:rsidR="00D172B7" w:rsidRPr="00911998">
        <w:t>—</w:t>
      </w:r>
      <w:r w:rsidRPr="00911998">
        <w:t xml:space="preserve"> soit l’exercice des fonctions de parent par plus de deux personnes </w:t>
      </w:r>
      <w:r w:rsidR="00D172B7" w:rsidRPr="00911998">
        <w:t>—</w:t>
      </w:r>
      <w:r w:rsidRPr="00911998">
        <w:t xml:space="preserve"> existe.</w:t>
      </w:r>
    </w:p>
    <w:p w14:paraId="33BF3709" w14:textId="28C00173" w:rsidR="007D16C7" w:rsidRPr="00911998" w:rsidRDefault="00EE184F" w:rsidP="0079269B">
      <w:pPr>
        <w:pStyle w:val="Paragrsimple"/>
        <w:tabs>
          <w:tab w:val="clear" w:pos="360"/>
        </w:tabs>
      </w:pPr>
      <w:r w:rsidRPr="00911998">
        <w:t>L</w:t>
      </w:r>
      <w:r w:rsidR="0079269B" w:rsidRPr="00911998">
        <w:t xml:space="preserve">es </w:t>
      </w:r>
      <w:r w:rsidRPr="00911998">
        <w:t xml:space="preserve">présentes </w:t>
      </w:r>
      <w:r w:rsidR="0079269B" w:rsidRPr="00911998">
        <w:t xml:space="preserve">affaires </w:t>
      </w:r>
      <w:r w:rsidRPr="00911998">
        <w:t>mettent plutôt en cause les notions de «</w:t>
      </w:r>
      <w:r w:rsidR="00D172B7" w:rsidRPr="00911998">
        <w:t> </w:t>
      </w:r>
      <w:proofErr w:type="spellStart"/>
      <w:r w:rsidRPr="00911998">
        <w:t>triparenté</w:t>
      </w:r>
      <w:proofErr w:type="spellEnd"/>
      <w:r w:rsidR="00D172B7" w:rsidRPr="00911998">
        <w:t> </w:t>
      </w:r>
      <w:r w:rsidRPr="00911998">
        <w:t xml:space="preserve">» ou encore </w:t>
      </w:r>
      <w:r w:rsidR="007D16C7" w:rsidRPr="00911998">
        <w:t>de</w:t>
      </w:r>
      <w:r w:rsidRPr="00911998">
        <w:t xml:space="preserve"> «</w:t>
      </w:r>
      <w:r w:rsidR="00D172B7" w:rsidRPr="00911998">
        <w:t> </w:t>
      </w:r>
      <w:proofErr w:type="spellStart"/>
      <w:r w:rsidRPr="00911998">
        <w:t>pluriparenté</w:t>
      </w:r>
      <w:proofErr w:type="spellEnd"/>
      <w:r w:rsidR="00D172B7" w:rsidRPr="00911998">
        <w:t> </w:t>
      </w:r>
      <w:r w:rsidRPr="00911998">
        <w:t xml:space="preserve">», soit la reconnaissance d’un lien de filiation avec plus </w:t>
      </w:r>
      <w:r w:rsidR="009001A9" w:rsidRPr="00911998">
        <w:t>d</w:t>
      </w:r>
      <w:r w:rsidR="00A93D97" w:rsidRPr="00911998">
        <w:t>e</w:t>
      </w:r>
      <w:r w:rsidRPr="00911998">
        <w:t xml:space="preserve"> deux p</w:t>
      </w:r>
      <w:r w:rsidR="007A4B5F" w:rsidRPr="00911998">
        <w:t>arents</w:t>
      </w:r>
      <w:r w:rsidRPr="00911998">
        <w:t>. En d’autres termes, s</w:t>
      </w:r>
      <w:r w:rsidR="007D16C7" w:rsidRPr="00911998">
        <w:t>’</w:t>
      </w:r>
      <w:r w:rsidRPr="00911998">
        <w:t>i</w:t>
      </w:r>
      <w:r w:rsidR="007D16C7" w:rsidRPr="00911998">
        <w:t xml:space="preserve">l ne fait aucun doute que, dans les faits, </w:t>
      </w:r>
      <w:r w:rsidRPr="00911998">
        <w:t xml:space="preserve">plus </w:t>
      </w:r>
      <w:r w:rsidR="009001A9" w:rsidRPr="00911998">
        <w:t>d</w:t>
      </w:r>
      <w:r w:rsidRPr="00911998">
        <w:t>e deux personnes peuvent</w:t>
      </w:r>
      <w:r w:rsidR="007D16C7" w:rsidRPr="00911998">
        <w:t xml:space="preserve"> </w:t>
      </w:r>
      <w:r w:rsidR="00E42A20" w:rsidRPr="00911998">
        <w:t xml:space="preserve">jouer le rôle de </w:t>
      </w:r>
      <w:r w:rsidRPr="00911998">
        <w:t xml:space="preserve">parent à l’égard d’un enfant, </w:t>
      </w:r>
      <w:r w:rsidR="00E42A20" w:rsidRPr="00911998">
        <w:t>la question soulevé</w:t>
      </w:r>
      <w:r w:rsidR="007D16C7" w:rsidRPr="00911998">
        <w:t>e</w:t>
      </w:r>
      <w:r w:rsidR="00E42A20" w:rsidRPr="00911998">
        <w:t xml:space="preserve"> ici consiste à savoir si un enfant peut avoir plus </w:t>
      </w:r>
      <w:r w:rsidR="009001A9" w:rsidRPr="00911998">
        <w:t>d</w:t>
      </w:r>
      <w:r w:rsidR="00E42A20" w:rsidRPr="00911998">
        <w:t>e deux parents juridiques</w:t>
      </w:r>
      <w:r w:rsidR="00D172B7" w:rsidRPr="00911998">
        <w:t>.</w:t>
      </w:r>
    </w:p>
    <w:p w14:paraId="4B6115E6" w14:textId="44E8FA2B" w:rsidR="004B1C83" w:rsidRPr="00911998" w:rsidRDefault="004B1C83" w:rsidP="001F09BC">
      <w:pPr>
        <w:pStyle w:val="Titre3"/>
      </w:pPr>
      <w:bookmarkStart w:id="17" w:name="_Toc196463726"/>
      <w:r w:rsidRPr="00911998">
        <w:t xml:space="preserve">Le droit civil </w:t>
      </w:r>
      <w:r w:rsidR="009855E8" w:rsidRPr="00911998">
        <w:t>n’admet que</w:t>
      </w:r>
      <w:r w:rsidR="002545F7" w:rsidRPr="00911998">
        <w:t xml:space="preserve"> deux liens de filiation</w:t>
      </w:r>
      <w:bookmarkEnd w:id="17"/>
    </w:p>
    <w:p w14:paraId="3E26A846" w14:textId="0759B5D3" w:rsidR="00910597" w:rsidRPr="00911998" w:rsidRDefault="008A6B02" w:rsidP="00910597">
      <w:pPr>
        <w:pStyle w:val="Paragrsimple"/>
        <w:tabs>
          <w:tab w:val="clear" w:pos="360"/>
        </w:tabs>
        <w:spacing w:after="240"/>
        <w:rPr>
          <w:rFonts w:cs="Arial"/>
          <w:szCs w:val="24"/>
        </w:rPr>
      </w:pPr>
      <w:r w:rsidRPr="00911998">
        <w:t xml:space="preserve">Les Demandeurs plaident qu’aucune disposition du C.c.Q. </w:t>
      </w:r>
      <w:r w:rsidR="0083769C" w:rsidRPr="00911998">
        <w:t>ne limite</w:t>
      </w:r>
      <w:r w:rsidRPr="00911998">
        <w:t xml:space="preserve"> </w:t>
      </w:r>
      <w:r w:rsidR="0083769C" w:rsidRPr="00911998">
        <w:t xml:space="preserve">explicitement </w:t>
      </w:r>
      <w:r w:rsidRPr="00911998">
        <w:t xml:space="preserve">la filiation à deux parents et </w:t>
      </w:r>
      <w:r w:rsidR="00910597" w:rsidRPr="00911998">
        <w:t>que son texte</w:t>
      </w:r>
      <w:r w:rsidRPr="00911998">
        <w:t xml:space="preserve"> permet, au contraire, la reconnaissance de plus de deux liens de filiation</w:t>
      </w:r>
      <w:r w:rsidR="00910597" w:rsidRPr="00911998">
        <w:t xml:space="preserve">. </w:t>
      </w:r>
      <w:r w:rsidR="009855E8" w:rsidRPr="00911998">
        <w:t>À l’appui, i</w:t>
      </w:r>
      <w:r w:rsidR="00910597" w:rsidRPr="00911998">
        <w:t>ls soutiennent que les dispositions du C.c.Q. régissant la filiation doivent être interprétées :</w:t>
      </w:r>
    </w:p>
    <w:p w14:paraId="6C126BB4" w14:textId="04C060C2" w:rsidR="00910597" w:rsidRPr="00911998" w:rsidRDefault="0083769C" w:rsidP="000F6BA9">
      <w:pPr>
        <w:pStyle w:val="Paragraphedeliste"/>
        <w:numPr>
          <w:ilvl w:val="0"/>
          <w:numId w:val="5"/>
        </w:numPr>
        <w:ind w:left="714" w:hanging="357"/>
        <w:contextualSpacing w:val="0"/>
        <w:jc w:val="both"/>
        <w:rPr>
          <w:rFonts w:ascii="Arial" w:hAnsi="Arial" w:cs="Arial"/>
          <w:sz w:val="24"/>
          <w:szCs w:val="24"/>
        </w:rPr>
      </w:pPr>
      <w:proofErr w:type="gramStart"/>
      <w:r w:rsidRPr="00911998">
        <w:rPr>
          <w:rFonts w:ascii="Arial" w:hAnsi="Arial" w:cs="Arial"/>
          <w:sz w:val="24"/>
          <w:szCs w:val="24"/>
        </w:rPr>
        <w:t>de</w:t>
      </w:r>
      <w:proofErr w:type="gramEnd"/>
      <w:r w:rsidRPr="00911998">
        <w:rPr>
          <w:rFonts w:ascii="Arial" w:hAnsi="Arial" w:cs="Arial"/>
          <w:sz w:val="24"/>
          <w:szCs w:val="24"/>
        </w:rPr>
        <w:t xml:space="preserve"> manière </w:t>
      </w:r>
      <w:r w:rsidR="00910597" w:rsidRPr="00911998">
        <w:rPr>
          <w:rFonts w:ascii="Arial" w:hAnsi="Arial" w:cs="Arial"/>
          <w:sz w:val="24"/>
          <w:szCs w:val="24"/>
        </w:rPr>
        <w:t>large et libérale</w:t>
      </w:r>
      <w:r w:rsidRPr="00911998">
        <w:rPr>
          <w:rFonts w:ascii="Arial" w:hAnsi="Arial" w:cs="Arial"/>
          <w:sz w:val="24"/>
          <w:szCs w:val="24"/>
        </w:rPr>
        <w:t>,</w:t>
      </w:r>
      <w:r w:rsidR="00910597" w:rsidRPr="00911998">
        <w:rPr>
          <w:rFonts w:ascii="Arial" w:hAnsi="Arial" w:cs="Arial"/>
          <w:sz w:val="24"/>
          <w:szCs w:val="24"/>
        </w:rPr>
        <w:t xml:space="preserve"> conform</w:t>
      </w:r>
      <w:r w:rsidRPr="00911998">
        <w:rPr>
          <w:rFonts w:ascii="Arial" w:hAnsi="Arial" w:cs="Arial"/>
          <w:sz w:val="24"/>
          <w:szCs w:val="24"/>
        </w:rPr>
        <w:t>ément</w:t>
      </w:r>
      <w:r w:rsidR="00910597" w:rsidRPr="00911998">
        <w:rPr>
          <w:rFonts w:ascii="Arial" w:hAnsi="Arial" w:cs="Arial"/>
          <w:sz w:val="24"/>
          <w:szCs w:val="24"/>
        </w:rPr>
        <w:t xml:space="preserve"> à leur objectif qui consiste à assurer l’égalité de tous les enfants, sans égard aux circonstances de leur naissance</w:t>
      </w:r>
      <w:r w:rsidRPr="00911998">
        <w:rPr>
          <w:rFonts w:ascii="Arial" w:hAnsi="Arial" w:cs="Arial"/>
          <w:sz w:val="24"/>
          <w:szCs w:val="24"/>
        </w:rPr>
        <w:t> </w:t>
      </w:r>
      <w:r w:rsidR="00910597" w:rsidRPr="00911998">
        <w:rPr>
          <w:rFonts w:ascii="Arial" w:hAnsi="Arial" w:cs="Arial"/>
          <w:sz w:val="24"/>
          <w:szCs w:val="24"/>
        </w:rPr>
        <w:t>;</w:t>
      </w:r>
    </w:p>
    <w:p w14:paraId="19BAD646" w14:textId="634C9AA3" w:rsidR="00910597" w:rsidRPr="00911998" w:rsidRDefault="0083769C" w:rsidP="000F6BA9">
      <w:pPr>
        <w:pStyle w:val="Paragraphedeliste"/>
        <w:numPr>
          <w:ilvl w:val="0"/>
          <w:numId w:val="5"/>
        </w:numPr>
        <w:ind w:left="714" w:hanging="357"/>
        <w:contextualSpacing w:val="0"/>
        <w:jc w:val="both"/>
        <w:rPr>
          <w:rFonts w:ascii="Arial" w:hAnsi="Arial" w:cs="Arial"/>
          <w:sz w:val="24"/>
          <w:szCs w:val="24"/>
        </w:rPr>
      </w:pPr>
      <w:proofErr w:type="gramStart"/>
      <w:r w:rsidRPr="00911998">
        <w:rPr>
          <w:rFonts w:ascii="Arial" w:hAnsi="Arial" w:cs="Arial"/>
          <w:sz w:val="24"/>
          <w:szCs w:val="24"/>
        </w:rPr>
        <w:t>de</w:t>
      </w:r>
      <w:proofErr w:type="gramEnd"/>
      <w:r w:rsidRPr="00911998">
        <w:rPr>
          <w:rFonts w:ascii="Arial" w:hAnsi="Arial" w:cs="Arial"/>
          <w:sz w:val="24"/>
          <w:szCs w:val="24"/>
        </w:rPr>
        <w:t xml:space="preserve"> manière </w:t>
      </w:r>
      <w:r w:rsidR="00910597" w:rsidRPr="00911998">
        <w:rPr>
          <w:rFonts w:ascii="Arial" w:hAnsi="Arial" w:cs="Arial"/>
          <w:sz w:val="24"/>
          <w:szCs w:val="24"/>
        </w:rPr>
        <w:t>évolutive</w:t>
      </w:r>
      <w:r w:rsidRPr="00911998">
        <w:rPr>
          <w:rFonts w:ascii="Arial" w:hAnsi="Arial" w:cs="Arial"/>
          <w:sz w:val="24"/>
          <w:szCs w:val="24"/>
        </w:rPr>
        <w:t>,</w:t>
      </w:r>
      <w:r w:rsidR="00910597" w:rsidRPr="00911998">
        <w:rPr>
          <w:rFonts w:ascii="Arial" w:hAnsi="Arial" w:cs="Arial"/>
          <w:sz w:val="24"/>
          <w:szCs w:val="24"/>
        </w:rPr>
        <w:t xml:space="preserve"> afin de s’assurer que le droit commun québécois évolue avec la société</w:t>
      </w:r>
      <w:r w:rsidRPr="00911998">
        <w:rPr>
          <w:rFonts w:ascii="Arial" w:hAnsi="Arial" w:cs="Arial"/>
          <w:sz w:val="24"/>
          <w:szCs w:val="24"/>
        </w:rPr>
        <w:t> </w:t>
      </w:r>
      <w:r w:rsidR="00910597" w:rsidRPr="00911998">
        <w:rPr>
          <w:rFonts w:ascii="Arial" w:hAnsi="Arial" w:cs="Arial"/>
          <w:sz w:val="24"/>
          <w:szCs w:val="24"/>
        </w:rPr>
        <w:t>;</w:t>
      </w:r>
    </w:p>
    <w:p w14:paraId="2FBAF4E7" w14:textId="0CD546D8" w:rsidR="00910597" w:rsidRPr="00911998" w:rsidRDefault="0083769C" w:rsidP="000F6BA9">
      <w:pPr>
        <w:pStyle w:val="Paragraphedeliste"/>
        <w:numPr>
          <w:ilvl w:val="0"/>
          <w:numId w:val="5"/>
        </w:numPr>
        <w:ind w:left="714" w:hanging="357"/>
        <w:contextualSpacing w:val="0"/>
        <w:jc w:val="both"/>
        <w:rPr>
          <w:rFonts w:ascii="Arial" w:hAnsi="Arial" w:cs="Arial"/>
          <w:sz w:val="24"/>
          <w:szCs w:val="24"/>
        </w:rPr>
      </w:pPr>
      <w:proofErr w:type="gramStart"/>
      <w:r w:rsidRPr="00911998">
        <w:rPr>
          <w:rFonts w:ascii="Arial" w:hAnsi="Arial" w:cs="Arial"/>
          <w:sz w:val="24"/>
          <w:szCs w:val="24"/>
        </w:rPr>
        <w:t>en</w:t>
      </w:r>
      <w:proofErr w:type="gramEnd"/>
      <w:r w:rsidRPr="00911998">
        <w:rPr>
          <w:rFonts w:ascii="Arial" w:hAnsi="Arial" w:cs="Arial"/>
          <w:sz w:val="24"/>
          <w:szCs w:val="24"/>
        </w:rPr>
        <w:t xml:space="preserve"> tenant compte</w:t>
      </w:r>
      <w:r w:rsidR="00910597" w:rsidRPr="00911998">
        <w:rPr>
          <w:rFonts w:ascii="Arial" w:hAnsi="Arial" w:cs="Arial"/>
          <w:sz w:val="24"/>
          <w:szCs w:val="24"/>
        </w:rPr>
        <w:t xml:space="preserve"> du principe de l’intérêt de l’enfant</w:t>
      </w:r>
      <w:r w:rsidRPr="00911998">
        <w:rPr>
          <w:rFonts w:ascii="Arial" w:hAnsi="Arial" w:cs="Arial"/>
          <w:sz w:val="24"/>
          <w:szCs w:val="24"/>
        </w:rPr>
        <w:t> </w:t>
      </w:r>
      <w:r w:rsidR="00910597" w:rsidRPr="00911998">
        <w:rPr>
          <w:rFonts w:ascii="Arial" w:hAnsi="Arial" w:cs="Arial"/>
          <w:sz w:val="24"/>
          <w:szCs w:val="24"/>
        </w:rPr>
        <w:t>; et</w:t>
      </w:r>
    </w:p>
    <w:p w14:paraId="3252019C" w14:textId="016BCDFE" w:rsidR="00910597" w:rsidRPr="00911998" w:rsidRDefault="0083769C" w:rsidP="000F6BA9">
      <w:pPr>
        <w:pStyle w:val="Paragraphedeliste"/>
        <w:numPr>
          <w:ilvl w:val="0"/>
          <w:numId w:val="5"/>
        </w:numPr>
        <w:jc w:val="both"/>
        <w:rPr>
          <w:rFonts w:ascii="Arial" w:hAnsi="Arial" w:cs="Arial"/>
          <w:sz w:val="24"/>
          <w:szCs w:val="24"/>
        </w:rPr>
      </w:pPr>
      <w:proofErr w:type="gramStart"/>
      <w:r w:rsidRPr="00911998">
        <w:rPr>
          <w:rFonts w:ascii="Arial" w:hAnsi="Arial" w:cs="Arial"/>
          <w:sz w:val="24"/>
          <w:szCs w:val="24"/>
        </w:rPr>
        <w:lastRenderedPageBreak/>
        <w:t>dans</w:t>
      </w:r>
      <w:proofErr w:type="gramEnd"/>
      <w:r w:rsidRPr="00911998">
        <w:rPr>
          <w:rFonts w:ascii="Arial" w:hAnsi="Arial" w:cs="Arial"/>
          <w:sz w:val="24"/>
          <w:szCs w:val="24"/>
        </w:rPr>
        <w:t xml:space="preserve"> le respect</w:t>
      </w:r>
      <w:r w:rsidR="00910597" w:rsidRPr="00911998">
        <w:rPr>
          <w:rFonts w:ascii="Arial" w:hAnsi="Arial" w:cs="Arial"/>
          <w:sz w:val="24"/>
          <w:szCs w:val="24"/>
        </w:rPr>
        <w:t xml:space="preserve"> </w:t>
      </w:r>
      <w:r w:rsidRPr="00911998">
        <w:rPr>
          <w:rFonts w:ascii="Arial" w:hAnsi="Arial" w:cs="Arial"/>
          <w:sz w:val="24"/>
          <w:szCs w:val="24"/>
        </w:rPr>
        <w:t>d</w:t>
      </w:r>
      <w:r w:rsidR="00910597" w:rsidRPr="00911998">
        <w:rPr>
          <w:rFonts w:ascii="Arial" w:hAnsi="Arial" w:cs="Arial"/>
          <w:sz w:val="24"/>
          <w:szCs w:val="24"/>
        </w:rPr>
        <w:t xml:space="preserve">es droits garantis par la </w:t>
      </w:r>
      <w:r w:rsidR="00910597" w:rsidRPr="00911998">
        <w:rPr>
          <w:rFonts w:ascii="Arial" w:hAnsi="Arial" w:cs="Arial"/>
          <w:i/>
          <w:iCs/>
          <w:sz w:val="24"/>
          <w:szCs w:val="24"/>
        </w:rPr>
        <w:t xml:space="preserve">Charte canadienne </w:t>
      </w:r>
      <w:r w:rsidR="00910597" w:rsidRPr="00911998">
        <w:rPr>
          <w:rFonts w:ascii="Arial" w:hAnsi="Arial" w:cs="Arial"/>
          <w:sz w:val="24"/>
          <w:szCs w:val="24"/>
        </w:rPr>
        <w:t xml:space="preserve">et </w:t>
      </w:r>
      <w:r w:rsidR="009829C6" w:rsidRPr="00911998">
        <w:rPr>
          <w:rFonts w:ascii="Arial" w:hAnsi="Arial" w:cs="Arial"/>
          <w:sz w:val="24"/>
          <w:szCs w:val="24"/>
        </w:rPr>
        <w:t xml:space="preserve">par </w:t>
      </w:r>
      <w:r w:rsidR="00910597" w:rsidRPr="00911998">
        <w:rPr>
          <w:rFonts w:ascii="Arial" w:hAnsi="Arial" w:cs="Arial"/>
          <w:sz w:val="24"/>
          <w:szCs w:val="24"/>
        </w:rPr>
        <w:t xml:space="preserve">la </w:t>
      </w:r>
      <w:r w:rsidR="00910597" w:rsidRPr="00911998">
        <w:rPr>
          <w:rFonts w:ascii="Arial" w:hAnsi="Arial" w:cs="Arial"/>
          <w:i/>
          <w:iCs/>
          <w:sz w:val="24"/>
          <w:szCs w:val="24"/>
        </w:rPr>
        <w:t>Charte québécoise</w:t>
      </w:r>
      <w:r w:rsidR="00910597" w:rsidRPr="00911998">
        <w:rPr>
          <w:rFonts w:ascii="Arial" w:hAnsi="Arial" w:cs="Arial"/>
          <w:sz w:val="24"/>
          <w:szCs w:val="24"/>
        </w:rPr>
        <w:t>.</w:t>
      </w:r>
    </w:p>
    <w:p w14:paraId="52788941" w14:textId="740D07AE" w:rsidR="008A6B02" w:rsidRPr="00911998" w:rsidRDefault="0083769C" w:rsidP="0083769C">
      <w:pPr>
        <w:pStyle w:val="Paragrsimple"/>
      </w:pPr>
      <w:r w:rsidRPr="00911998">
        <w:t xml:space="preserve">Pour sa part, le PGQ soutient qu’il n’existe en droit positif québécois aucune norme reconnaissant l’existence de plus </w:t>
      </w:r>
      <w:r w:rsidR="00E9092C" w:rsidRPr="00911998">
        <w:t xml:space="preserve">de </w:t>
      </w:r>
      <w:r w:rsidRPr="00911998">
        <w:t xml:space="preserve">deux liens de filiation. Si aucune disposition du C.c.Q. ne proscrit la </w:t>
      </w:r>
      <w:proofErr w:type="spellStart"/>
      <w:r w:rsidRPr="00911998">
        <w:t>triparenté</w:t>
      </w:r>
      <w:proofErr w:type="spellEnd"/>
      <w:r w:rsidRPr="00911998">
        <w:t xml:space="preserve"> ou la </w:t>
      </w:r>
      <w:proofErr w:type="spellStart"/>
      <w:r w:rsidRPr="00911998">
        <w:t>pluriparenté</w:t>
      </w:r>
      <w:proofErr w:type="spellEnd"/>
      <w:r w:rsidRPr="00911998">
        <w:t>, l’économie générale du code s’y oppose.</w:t>
      </w:r>
      <w:r w:rsidR="00910597" w:rsidRPr="00911998">
        <w:t xml:space="preserve"> </w:t>
      </w:r>
    </w:p>
    <w:p w14:paraId="6BC766D0" w14:textId="0A55F608" w:rsidR="00F168D8" w:rsidRPr="00911998" w:rsidRDefault="009855E8" w:rsidP="008A6B02">
      <w:pPr>
        <w:pStyle w:val="Paragrsimple"/>
        <w:tabs>
          <w:tab w:val="clear" w:pos="360"/>
        </w:tabs>
      </w:pPr>
      <w:r w:rsidRPr="00911998">
        <w:t xml:space="preserve">Le PGQ a raison. </w:t>
      </w:r>
      <w:r w:rsidR="0083769C" w:rsidRPr="00911998">
        <w:t>A</w:t>
      </w:r>
      <w:r w:rsidR="008A6B02" w:rsidRPr="00911998">
        <w:t>vant d’ex</w:t>
      </w:r>
      <w:r w:rsidRPr="00911998">
        <w:t xml:space="preserve">pliquer pourquoi, </w:t>
      </w:r>
      <w:r w:rsidR="008A6B02" w:rsidRPr="00911998">
        <w:t xml:space="preserve">il convient d’exposer les principes qui régissent l’interprétation du </w:t>
      </w:r>
      <w:r w:rsidR="001C5CD5" w:rsidRPr="001C5CD5">
        <w:t>C.c.Q</w:t>
      </w:r>
      <w:r w:rsidR="008A6B02" w:rsidRPr="00911998">
        <w:t xml:space="preserve">. </w:t>
      </w:r>
    </w:p>
    <w:p w14:paraId="1F824C10" w14:textId="0636C1CA" w:rsidR="008A6B02" w:rsidRPr="00911998" w:rsidRDefault="008A6B02" w:rsidP="00B42E80">
      <w:pPr>
        <w:pStyle w:val="Titre4"/>
      </w:pPr>
      <w:r w:rsidRPr="00911998">
        <w:t>Les principes d’interprétation</w:t>
      </w:r>
    </w:p>
    <w:p w14:paraId="30955F2A" w14:textId="79DE1ECA" w:rsidR="00857886" w:rsidRPr="00911998" w:rsidRDefault="00857886" w:rsidP="00857886">
      <w:pPr>
        <w:pStyle w:val="Paragrsimple"/>
        <w:tabs>
          <w:tab w:val="clear" w:pos="360"/>
        </w:tabs>
        <w:spacing w:after="240"/>
      </w:pPr>
      <w:r w:rsidRPr="00911998">
        <w:t xml:space="preserve">La question de savoir si le </w:t>
      </w:r>
      <w:r w:rsidR="001C5CD5" w:rsidRPr="001C5CD5">
        <w:t>C.c.Q</w:t>
      </w:r>
      <w:r w:rsidR="001C5CD5" w:rsidRPr="00911998">
        <w:rPr>
          <w:i/>
          <w:iCs/>
        </w:rPr>
        <w:t xml:space="preserve"> </w:t>
      </w:r>
      <w:r w:rsidR="0048772C" w:rsidRPr="00911998">
        <w:t>autorise</w:t>
      </w:r>
      <w:r w:rsidRPr="00911998">
        <w:t xml:space="preserve"> plus de deux liens de filiation en est une d’interprétation. Dans l’arrêt </w:t>
      </w:r>
      <w:r w:rsidRPr="00911998">
        <w:rPr>
          <w:i/>
          <w:iCs/>
        </w:rPr>
        <w:t>Épiciers Unis Métro</w:t>
      </w:r>
      <w:r w:rsidRPr="00911998">
        <w:rPr>
          <w:i/>
          <w:iCs/>
        </w:rPr>
        <w:noBreakHyphen/>
        <w:t>Richelieu</w:t>
      </w:r>
      <w:r w:rsidRPr="00911998">
        <w:rPr>
          <w:rStyle w:val="Appelnotedebasdep"/>
        </w:rPr>
        <w:footnoteReference w:id="45"/>
      </w:r>
      <w:r w:rsidRPr="00911998">
        <w:t xml:space="preserve">, le juge </w:t>
      </w:r>
      <w:proofErr w:type="spellStart"/>
      <w:r w:rsidRPr="00911998">
        <w:t>LeBel</w:t>
      </w:r>
      <w:proofErr w:type="spellEnd"/>
      <w:r w:rsidRPr="00911998">
        <w:t xml:space="preserve"> expose succinctement les principes qui régissent l’interprétation du Code. Le Tribunal ne saurait mieux faire que de reproduire ses enseignements</w:t>
      </w:r>
      <w:r w:rsidRPr="00911998">
        <w:rPr>
          <w:rStyle w:val="Appelnotedebasdep"/>
        </w:rPr>
        <w:footnoteReference w:id="46"/>
      </w:r>
      <w:r w:rsidRPr="00911998">
        <w:t xml:space="preserve"> :  </w:t>
      </w:r>
    </w:p>
    <w:p w14:paraId="6D70AAA4" w14:textId="77777777" w:rsidR="00857886" w:rsidRPr="00911998" w:rsidRDefault="00857886" w:rsidP="00857886">
      <w:pPr>
        <w:ind w:left="567" w:right="560"/>
        <w:jc w:val="both"/>
        <w:rPr>
          <w:rFonts w:ascii="Times New Roman" w:hAnsi="Times New Roman"/>
          <w:sz w:val="22"/>
          <w:szCs w:val="22"/>
          <w:lang w:eastAsia="fr-CA"/>
        </w:rPr>
      </w:pPr>
      <w:r w:rsidRPr="00911998">
        <w:rPr>
          <w:sz w:val="22"/>
          <w:szCs w:val="22"/>
        </w:rPr>
        <w:t> </w:t>
      </w:r>
      <w:proofErr w:type="gramStart"/>
      <w:r w:rsidRPr="00911998">
        <w:rPr>
          <w:sz w:val="22"/>
          <w:szCs w:val="22"/>
        </w:rPr>
        <w:t>20  Traditionnellement</w:t>
      </w:r>
      <w:proofErr w:type="gramEnd"/>
      <w:r w:rsidRPr="00911998">
        <w:rPr>
          <w:sz w:val="22"/>
          <w:szCs w:val="22"/>
        </w:rPr>
        <w:t>, les méthodes d’interprétation du </w:t>
      </w:r>
      <w:hyperlink r:id="rId14" w:history="1">
        <w:r w:rsidRPr="00911998">
          <w:rPr>
            <w:rStyle w:val="Hyperlien"/>
            <w:i/>
            <w:iCs/>
            <w:color w:val="auto"/>
            <w:sz w:val="22"/>
            <w:szCs w:val="22"/>
            <w:u w:val="none"/>
          </w:rPr>
          <w:t>Code civil du Québec</w:t>
        </w:r>
      </w:hyperlink>
      <w:r w:rsidRPr="00911998">
        <w:rPr>
          <w:i/>
          <w:iCs/>
          <w:sz w:val="22"/>
          <w:szCs w:val="22"/>
        </w:rPr>
        <w:t> </w:t>
      </w:r>
      <w:r w:rsidRPr="00911998">
        <w:rPr>
          <w:sz w:val="22"/>
          <w:szCs w:val="22"/>
        </w:rPr>
        <w:t xml:space="preserve">et du droit d’origine législative des provinces de </w:t>
      </w:r>
      <w:proofErr w:type="spellStart"/>
      <w:r w:rsidRPr="00911998">
        <w:rPr>
          <w:sz w:val="22"/>
          <w:szCs w:val="22"/>
        </w:rPr>
        <w:t>common</w:t>
      </w:r>
      <w:proofErr w:type="spellEnd"/>
      <w:r w:rsidRPr="00911998">
        <w:rPr>
          <w:sz w:val="22"/>
          <w:szCs w:val="22"/>
        </w:rPr>
        <w:t xml:space="preserve"> </w:t>
      </w:r>
      <w:proofErr w:type="spellStart"/>
      <w:r w:rsidRPr="00911998">
        <w:rPr>
          <w:sz w:val="22"/>
          <w:szCs w:val="22"/>
        </w:rPr>
        <w:t>law</w:t>
      </w:r>
      <w:proofErr w:type="spellEnd"/>
      <w:r w:rsidRPr="00911998">
        <w:rPr>
          <w:sz w:val="22"/>
          <w:szCs w:val="22"/>
        </w:rPr>
        <w:t xml:space="preserve"> étaient différentes, voire clairement opposées (P.-A. Côté, </w:t>
      </w:r>
      <w:r w:rsidRPr="00911998">
        <w:rPr>
          <w:i/>
          <w:iCs/>
          <w:sz w:val="22"/>
          <w:szCs w:val="22"/>
        </w:rPr>
        <w:t>Interprétation des lois</w:t>
      </w:r>
      <w:r w:rsidRPr="00911998">
        <w:rPr>
          <w:sz w:val="22"/>
          <w:szCs w:val="22"/>
        </w:rPr>
        <w:t> (3</w:t>
      </w:r>
      <w:r w:rsidRPr="00911998">
        <w:rPr>
          <w:sz w:val="22"/>
          <w:szCs w:val="22"/>
          <w:vertAlign w:val="superscript"/>
        </w:rPr>
        <w:t>e</w:t>
      </w:r>
      <w:r w:rsidRPr="00911998">
        <w:rPr>
          <w:sz w:val="22"/>
          <w:szCs w:val="22"/>
        </w:rPr>
        <w:t xml:space="preserve"> éd. 1999), p. 34 et </w:t>
      </w:r>
      <w:proofErr w:type="spellStart"/>
      <w:r w:rsidRPr="00911998">
        <w:rPr>
          <w:sz w:val="22"/>
          <w:szCs w:val="22"/>
        </w:rPr>
        <w:t>suiv</w:t>
      </w:r>
      <w:proofErr w:type="spellEnd"/>
      <w:r w:rsidRPr="00911998">
        <w:rPr>
          <w:sz w:val="22"/>
          <w:szCs w:val="22"/>
        </w:rPr>
        <w:t xml:space="preserve">.).  Dans les provinces de </w:t>
      </w:r>
      <w:proofErr w:type="spellStart"/>
      <w:r w:rsidRPr="00911998">
        <w:rPr>
          <w:sz w:val="22"/>
          <w:szCs w:val="22"/>
        </w:rPr>
        <w:t>common</w:t>
      </w:r>
      <w:proofErr w:type="spellEnd"/>
      <w:r w:rsidRPr="00911998">
        <w:rPr>
          <w:sz w:val="22"/>
          <w:szCs w:val="22"/>
        </w:rPr>
        <w:t xml:space="preserve"> </w:t>
      </w:r>
      <w:proofErr w:type="spellStart"/>
      <w:r w:rsidRPr="00911998">
        <w:rPr>
          <w:sz w:val="22"/>
          <w:szCs w:val="22"/>
        </w:rPr>
        <w:t>law</w:t>
      </w:r>
      <w:proofErr w:type="spellEnd"/>
      <w:r w:rsidRPr="00911998">
        <w:rPr>
          <w:sz w:val="22"/>
          <w:szCs w:val="22"/>
        </w:rPr>
        <w:t>, les textes législatifs ou « </w:t>
      </w:r>
      <w:proofErr w:type="spellStart"/>
      <w:r w:rsidRPr="00911998">
        <w:rPr>
          <w:i/>
          <w:iCs/>
          <w:sz w:val="22"/>
          <w:szCs w:val="22"/>
        </w:rPr>
        <w:t>statutes</w:t>
      </w:r>
      <w:proofErr w:type="spellEnd"/>
      <w:r w:rsidRPr="00911998">
        <w:rPr>
          <w:sz w:val="22"/>
          <w:szCs w:val="22"/>
        </w:rPr>
        <w:t> » étaient considérés comme un droit d’exception dont la nature justifiait souvent une interprétation restrictive, parfois empreinte de formalisme.  Au contraire, le </w:t>
      </w:r>
      <w:r w:rsidRPr="00911998">
        <w:rPr>
          <w:i/>
          <w:iCs/>
          <w:sz w:val="22"/>
          <w:szCs w:val="22"/>
        </w:rPr>
        <w:t>Code civil du Québec</w:t>
      </w:r>
      <w:r w:rsidRPr="00911998">
        <w:rPr>
          <w:sz w:val="22"/>
          <w:szCs w:val="22"/>
        </w:rPr>
        <w:t>, qui établit le droit commun de cette province de droit civil, devait être interprété largement.  Dans l’arrêt </w:t>
      </w:r>
      <w:r w:rsidRPr="00911998">
        <w:rPr>
          <w:i/>
          <w:iCs/>
          <w:sz w:val="22"/>
          <w:szCs w:val="22"/>
        </w:rPr>
        <w:t>Doré c. Verdun (Ville)</w:t>
      </w:r>
      <w:r w:rsidRPr="00911998">
        <w:rPr>
          <w:sz w:val="22"/>
          <w:szCs w:val="22"/>
        </w:rPr>
        <w:t>, </w:t>
      </w:r>
      <w:hyperlink r:id="rId15" w:history="1">
        <w:r w:rsidRPr="00911998">
          <w:rPr>
            <w:rStyle w:val="Hyperlien"/>
            <w:color w:val="auto"/>
            <w:sz w:val="22"/>
            <w:szCs w:val="22"/>
            <w:u w:val="none"/>
          </w:rPr>
          <w:t>1997 CanLII 315 (CSC)</w:t>
        </w:r>
      </w:hyperlink>
      <w:r w:rsidRPr="00911998">
        <w:rPr>
          <w:sz w:val="22"/>
          <w:szCs w:val="22"/>
        </w:rPr>
        <w:t xml:space="preserve">, [1997] 2 R.C.S. 862, le juge Gonthier précisa à ce propos que « contrairement au droit d’origine législative des ressorts de </w:t>
      </w:r>
      <w:proofErr w:type="spellStart"/>
      <w:r w:rsidRPr="00911998">
        <w:rPr>
          <w:sz w:val="22"/>
          <w:szCs w:val="22"/>
        </w:rPr>
        <w:t>common</w:t>
      </w:r>
      <w:proofErr w:type="spellEnd"/>
      <w:r w:rsidRPr="00911998">
        <w:rPr>
          <w:sz w:val="22"/>
          <w:szCs w:val="22"/>
        </w:rPr>
        <w:t xml:space="preserve"> </w:t>
      </w:r>
      <w:proofErr w:type="spellStart"/>
      <w:r w:rsidRPr="00911998">
        <w:rPr>
          <w:sz w:val="22"/>
          <w:szCs w:val="22"/>
        </w:rPr>
        <w:t>law</w:t>
      </w:r>
      <w:proofErr w:type="spellEnd"/>
      <w:r w:rsidRPr="00911998">
        <w:rPr>
          <w:sz w:val="22"/>
          <w:szCs w:val="22"/>
        </w:rPr>
        <w:t>, le </w:t>
      </w:r>
      <w:r w:rsidRPr="00911998">
        <w:rPr>
          <w:i/>
          <w:iCs/>
          <w:sz w:val="22"/>
          <w:szCs w:val="22"/>
        </w:rPr>
        <w:t>Code civil </w:t>
      </w:r>
      <w:r w:rsidRPr="00911998">
        <w:rPr>
          <w:sz w:val="22"/>
          <w:szCs w:val="22"/>
        </w:rPr>
        <w:t>n’est pas un droit d’exception et son interprétation doit refléter cette réalité.  Il doit recevoir une interprétation large qui favorise l’esprit sur la lettre et qui permette aux dispositions d’atteindre leur objet » (par. 15); voir aussi : </w:t>
      </w:r>
      <w:r w:rsidRPr="00911998">
        <w:rPr>
          <w:i/>
          <w:iCs/>
          <w:sz w:val="22"/>
          <w:szCs w:val="22"/>
        </w:rPr>
        <w:t xml:space="preserve">General Motors </w:t>
      </w:r>
      <w:proofErr w:type="spellStart"/>
      <w:r w:rsidRPr="00911998">
        <w:rPr>
          <w:i/>
          <w:iCs/>
          <w:sz w:val="22"/>
          <w:szCs w:val="22"/>
        </w:rPr>
        <w:t>Products</w:t>
      </w:r>
      <w:proofErr w:type="spellEnd"/>
      <w:r w:rsidRPr="00911998">
        <w:rPr>
          <w:i/>
          <w:iCs/>
          <w:sz w:val="22"/>
          <w:szCs w:val="22"/>
        </w:rPr>
        <w:t xml:space="preserve"> of Canada Ltd. c. Kravitz</w:t>
      </w:r>
      <w:r w:rsidRPr="00911998">
        <w:rPr>
          <w:sz w:val="22"/>
          <w:szCs w:val="22"/>
        </w:rPr>
        <w:t>, </w:t>
      </w:r>
      <w:hyperlink r:id="rId16" w:history="1">
        <w:r w:rsidRPr="00911998">
          <w:rPr>
            <w:rStyle w:val="Hyperlien"/>
            <w:color w:val="auto"/>
            <w:sz w:val="22"/>
            <w:szCs w:val="22"/>
            <w:u w:val="none"/>
          </w:rPr>
          <w:t>1979 CanLII 22 (CSC)</w:t>
        </w:r>
      </w:hyperlink>
      <w:r w:rsidRPr="00911998">
        <w:rPr>
          <w:sz w:val="22"/>
          <w:szCs w:val="22"/>
        </w:rPr>
        <w:t>, [1979] 1 R.C.S. 790, p. 813; J.</w:t>
      </w:r>
      <w:r w:rsidRPr="00911998">
        <w:rPr>
          <w:sz w:val="22"/>
          <w:szCs w:val="22"/>
        </w:rPr>
        <w:noBreakHyphen/>
        <w:t>L. </w:t>
      </w:r>
      <w:proofErr w:type="spellStart"/>
      <w:r w:rsidRPr="00911998">
        <w:rPr>
          <w:sz w:val="22"/>
          <w:szCs w:val="22"/>
        </w:rPr>
        <w:t>Bergel</w:t>
      </w:r>
      <w:proofErr w:type="spellEnd"/>
      <w:r w:rsidRPr="00911998">
        <w:rPr>
          <w:sz w:val="22"/>
          <w:szCs w:val="22"/>
        </w:rPr>
        <w:t>, « Spécificité des codes et autonomie de leur interprétation », dans </w:t>
      </w:r>
      <w:r w:rsidRPr="00911998">
        <w:rPr>
          <w:i/>
          <w:iCs/>
          <w:sz w:val="22"/>
          <w:szCs w:val="22"/>
        </w:rPr>
        <w:t>Le nouveau Code civil : interprétation et application</w:t>
      </w:r>
      <w:r w:rsidRPr="00911998">
        <w:rPr>
          <w:sz w:val="22"/>
          <w:szCs w:val="22"/>
        </w:rPr>
        <w:t> — </w:t>
      </w:r>
      <w:r w:rsidRPr="00911998">
        <w:rPr>
          <w:i/>
          <w:iCs/>
          <w:sz w:val="22"/>
          <w:szCs w:val="22"/>
        </w:rPr>
        <w:t>Les journées Maximilien-Caron 1992</w:t>
      </w:r>
      <w:r w:rsidRPr="00911998">
        <w:rPr>
          <w:sz w:val="22"/>
          <w:szCs w:val="22"/>
        </w:rPr>
        <w:t xml:space="preserve"> (1993), 3, p. 8 et </w:t>
      </w:r>
      <w:proofErr w:type="spellStart"/>
      <w:r w:rsidRPr="00911998">
        <w:rPr>
          <w:sz w:val="22"/>
          <w:szCs w:val="22"/>
        </w:rPr>
        <w:t>suiv</w:t>
      </w:r>
      <w:proofErr w:type="spellEnd"/>
      <w:r w:rsidRPr="00911998">
        <w:rPr>
          <w:sz w:val="22"/>
          <w:szCs w:val="22"/>
        </w:rPr>
        <w:t>.</w:t>
      </w:r>
    </w:p>
    <w:p w14:paraId="164F545C" w14:textId="77777777" w:rsidR="00857886" w:rsidRPr="00911998" w:rsidRDefault="00857886" w:rsidP="00857886">
      <w:pPr>
        <w:ind w:left="567" w:right="560"/>
        <w:jc w:val="both"/>
        <w:rPr>
          <w:sz w:val="22"/>
          <w:szCs w:val="22"/>
        </w:rPr>
      </w:pPr>
      <w:r w:rsidRPr="00911998">
        <w:rPr>
          <w:sz w:val="22"/>
          <w:szCs w:val="22"/>
        </w:rPr>
        <w:t> </w:t>
      </w:r>
    </w:p>
    <w:p w14:paraId="7C640DC8" w14:textId="77777777" w:rsidR="00857886" w:rsidRPr="00911998" w:rsidRDefault="00857886" w:rsidP="00857886">
      <w:pPr>
        <w:ind w:left="567" w:right="560"/>
        <w:jc w:val="both"/>
        <w:rPr>
          <w:sz w:val="22"/>
          <w:szCs w:val="22"/>
        </w:rPr>
      </w:pPr>
      <w:bookmarkStart w:id="18" w:name="par21"/>
      <w:proofErr w:type="gramStart"/>
      <w:r w:rsidRPr="00911998">
        <w:rPr>
          <w:sz w:val="22"/>
          <w:szCs w:val="22"/>
        </w:rPr>
        <w:t>2</w:t>
      </w:r>
      <w:bookmarkEnd w:id="18"/>
      <w:r w:rsidRPr="00911998">
        <w:rPr>
          <w:sz w:val="22"/>
          <w:szCs w:val="22"/>
        </w:rPr>
        <w:t>1  Cette</w:t>
      </w:r>
      <w:proofErr w:type="gramEnd"/>
      <w:r w:rsidRPr="00911998">
        <w:rPr>
          <w:sz w:val="22"/>
          <w:szCs w:val="22"/>
        </w:rPr>
        <w:t xml:space="preserve"> différence entre les méthodes d’interprétation du droit civil et du droit statutaire s’est toutefois estompée avec l’évolution des méthodes d’interprétation des lois.  En fait, cette différence est pratiquement </w:t>
      </w:r>
      <w:r w:rsidRPr="00911998">
        <w:rPr>
          <w:rFonts w:cs="Arial"/>
          <w:sz w:val="22"/>
          <w:szCs w:val="22"/>
        </w:rPr>
        <w:t>disparue</w:t>
      </w:r>
      <w:r w:rsidRPr="00911998">
        <w:rPr>
          <w:sz w:val="22"/>
          <w:szCs w:val="22"/>
        </w:rPr>
        <w:t xml:space="preserve"> aujourd’hui, puisque le droit statutaire ne s’interprète désormais plus automatiquement d’une manière restrictive. </w:t>
      </w:r>
      <w:r w:rsidRPr="00911998">
        <w:rPr>
          <w:sz w:val="22"/>
          <w:szCs w:val="22"/>
        </w:rPr>
        <w:lastRenderedPageBreak/>
        <w:t xml:space="preserve">En effet, notre Cour a, maintes fois, décrit la méthode qu’elle privilégie en matière d’interprétation des lois.  Cette méthode, généralement qualifiée de méthode moderne d’interprétation des lois, fut clairement définie par les juges </w:t>
      </w:r>
      <w:proofErr w:type="spellStart"/>
      <w:r w:rsidRPr="00911998">
        <w:rPr>
          <w:sz w:val="22"/>
          <w:szCs w:val="22"/>
        </w:rPr>
        <w:t>Iacobucci</w:t>
      </w:r>
      <w:proofErr w:type="spellEnd"/>
      <w:r w:rsidRPr="00911998">
        <w:rPr>
          <w:sz w:val="22"/>
          <w:szCs w:val="22"/>
        </w:rPr>
        <w:t xml:space="preserve"> et Major dans l’arrêt </w:t>
      </w:r>
      <w:r w:rsidRPr="00911998">
        <w:rPr>
          <w:i/>
          <w:iCs/>
          <w:sz w:val="22"/>
          <w:szCs w:val="22"/>
        </w:rPr>
        <w:t>R. c. Jarvis</w:t>
      </w:r>
      <w:r w:rsidRPr="00911998">
        <w:rPr>
          <w:sz w:val="22"/>
          <w:szCs w:val="22"/>
        </w:rPr>
        <w:t>, [2002] 3 R.C.S. 757, </w:t>
      </w:r>
      <w:hyperlink r:id="rId17" w:history="1">
        <w:r w:rsidRPr="00911998">
          <w:rPr>
            <w:rStyle w:val="Hyperlien"/>
            <w:color w:val="auto"/>
            <w:sz w:val="22"/>
            <w:szCs w:val="22"/>
            <w:u w:val="none"/>
          </w:rPr>
          <w:t>2002 CSC 73</w:t>
        </w:r>
      </w:hyperlink>
      <w:r w:rsidRPr="00911998">
        <w:rPr>
          <w:sz w:val="22"/>
          <w:szCs w:val="22"/>
        </w:rPr>
        <w:t>, par. </w:t>
      </w:r>
      <w:hyperlink r:id="rId18" w:anchor="par77" w:history="1">
        <w:r w:rsidRPr="00911998">
          <w:rPr>
            <w:rStyle w:val="Hyperlien"/>
            <w:color w:val="auto"/>
            <w:sz w:val="22"/>
            <w:szCs w:val="22"/>
            <w:u w:val="none"/>
          </w:rPr>
          <w:t>77</w:t>
        </w:r>
      </w:hyperlink>
      <w:r w:rsidRPr="00911998">
        <w:rPr>
          <w:sz w:val="22"/>
          <w:szCs w:val="22"/>
        </w:rPr>
        <w:t> :</w:t>
      </w:r>
    </w:p>
    <w:p w14:paraId="2571B2FC" w14:textId="77777777" w:rsidR="00857886" w:rsidRPr="00911998" w:rsidRDefault="00857886" w:rsidP="00857886">
      <w:pPr>
        <w:ind w:left="567" w:right="560"/>
        <w:jc w:val="both"/>
        <w:rPr>
          <w:sz w:val="22"/>
          <w:szCs w:val="22"/>
        </w:rPr>
      </w:pPr>
      <w:r w:rsidRPr="00911998">
        <w:rPr>
          <w:sz w:val="22"/>
          <w:szCs w:val="22"/>
        </w:rPr>
        <w:t> </w:t>
      </w:r>
    </w:p>
    <w:p w14:paraId="15EC34CE" w14:textId="77777777" w:rsidR="00857886" w:rsidRPr="00911998" w:rsidRDefault="00857886" w:rsidP="00857886">
      <w:pPr>
        <w:ind w:left="1462" w:right="560"/>
        <w:jc w:val="both"/>
        <w:rPr>
          <w:sz w:val="22"/>
          <w:szCs w:val="22"/>
          <w:lang w:val="en-CA"/>
        </w:rPr>
      </w:pPr>
      <w:r w:rsidRPr="00911998">
        <w:rPr>
          <w:sz w:val="22"/>
          <w:szCs w:val="22"/>
        </w:rPr>
        <w:t xml:space="preserve">Il est facile de décrire la méthode d’interprétation des lois : il faut déterminer l’intention du législateur et, à cette fin, </w:t>
      </w:r>
      <w:r w:rsidRPr="00911998">
        <w:rPr>
          <w:rFonts w:cs="Arial"/>
          <w:sz w:val="22"/>
          <w:szCs w:val="22"/>
        </w:rPr>
        <w:t>lire</w:t>
      </w:r>
      <w:r w:rsidRPr="00911998">
        <w:rPr>
          <w:sz w:val="22"/>
          <w:szCs w:val="22"/>
        </w:rPr>
        <w:t xml:space="preserve"> les termes de la loi dans leur contexte, en suivant le sens ordinaire et grammatical qui s’harmonise avec l’esprit et l’objet de la loi (</w:t>
      </w:r>
      <w:hyperlink r:id="rId19" w:anchor="art12_smooth" w:history="1">
        <w:r w:rsidRPr="00911998">
          <w:rPr>
            <w:rStyle w:val="Hyperlien"/>
            <w:i/>
            <w:iCs/>
            <w:color w:val="auto"/>
            <w:sz w:val="22"/>
            <w:szCs w:val="22"/>
            <w:u w:val="none"/>
          </w:rPr>
          <w:t>Loi d’interprétation</w:t>
        </w:r>
      </w:hyperlink>
      <w:r w:rsidRPr="00911998">
        <w:rPr>
          <w:sz w:val="22"/>
          <w:szCs w:val="22"/>
        </w:rPr>
        <w:t xml:space="preserve">, L.R.C. 1985, ch. </w:t>
      </w:r>
      <w:r w:rsidRPr="00911998">
        <w:rPr>
          <w:sz w:val="22"/>
          <w:szCs w:val="22"/>
          <w:lang w:val="en-CA"/>
        </w:rPr>
        <w:t>I</w:t>
      </w:r>
      <w:r w:rsidRPr="00911998">
        <w:rPr>
          <w:sz w:val="22"/>
          <w:szCs w:val="22"/>
          <w:lang w:val="en-CA"/>
        </w:rPr>
        <w:noBreakHyphen/>
        <w:t>21, art. 12; </w:t>
      </w:r>
      <w:r w:rsidRPr="00911998">
        <w:rPr>
          <w:i/>
          <w:iCs/>
          <w:sz w:val="22"/>
          <w:szCs w:val="22"/>
          <w:lang w:val="en-CA"/>
        </w:rPr>
        <w:t>Bell ExpressVu Limited Partnership c. Rex</w:t>
      </w:r>
      <w:r w:rsidRPr="00911998">
        <w:rPr>
          <w:sz w:val="22"/>
          <w:szCs w:val="22"/>
          <w:lang w:val="en-CA"/>
        </w:rPr>
        <w:t>, [2002] 2 R.C.S. 559, </w:t>
      </w:r>
      <w:hyperlink r:id="rId20" w:history="1">
        <w:r w:rsidRPr="00911998">
          <w:rPr>
            <w:rStyle w:val="Hyperlien"/>
            <w:color w:val="auto"/>
            <w:sz w:val="22"/>
            <w:szCs w:val="22"/>
            <w:u w:val="none"/>
            <w:lang w:val="en-CA"/>
          </w:rPr>
          <w:t>2002 CSC 42</w:t>
        </w:r>
      </w:hyperlink>
      <w:r w:rsidRPr="00911998">
        <w:rPr>
          <w:sz w:val="22"/>
          <w:szCs w:val="22"/>
          <w:lang w:val="en-CA"/>
        </w:rPr>
        <w:t>; </w:t>
      </w:r>
      <w:r w:rsidRPr="00911998">
        <w:rPr>
          <w:i/>
          <w:iCs/>
          <w:sz w:val="22"/>
          <w:szCs w:val="22"/>
          <w:lang w:val="en-CA"/>
        </w:rPr>
        <w:t>Rizzo &amp; Rizzo Shoes Ltd. (Re)</w:t>
      </w:r>
      <w:r w:rsidRPr="00911998">
        <w:rPr>
          <w:sz w:val="22"/>
          <w:szCs w:val="22"/>
          <w:lang w:val="en-CA"/>
        </w:rPr>
        <w:t>, </w:t>
      </w:r>
      <w:hyperlink r:id="rId21" w:history="1">
        <w:r w:rsidRPr="00911998">
          <w:rPr>
            <w:rStyle w:val="Hyperlien"/>
            <w:color w:val="auto"/>
            <w:sz w:val="22"/>
            <w:szCs w:val="22"/>
            <w:u w:val="none"/>
            <w:lang w:val="en-CA"/>
          </w:rPr>
          <w:t>1998 CanLII 837 (CSC)</w:t>
        </w:r>
      </w:hyperlink>
      <w:r w:rsidRPr="00911998">
        <w:rPr>
          <w:sz w:val="22"/>
          <w:szCs w:val="22"/>
          <w:lang w:val="en-CA"/>
        </w:rPr>
        <w:t>, [1998] 1 R.C.S. 27; </w:t>
      </w:r>
      <w:r w:rsidRPr="00911998">
        <w:rPr>
          <w:i/>
          <w:iCs/>
          <w:sz w:val="22"/>
          <w:szCs w:val="22"/>
          <w:lang w:val="en-CA"/>
        </w:rPr>
        <w:t>R. c. Gladue</w:t>
      </w:r>
      <w:r w:rsidRPr="00911998">
        <w:rPr>
          <w:sz w:val="22"/>
          <w:szCs w:val="22"/>
          <w:lang w:val="en-CA"/>
        </w:rPr>
        <w:t>, </w:t>
      </w:r>
      <w:hyperlink r:id="rId22" w:history="1">
        <w:r w:rsidRPr="00911998">
          <w:rPr>
            <w:rStyle w:val="Hyperlien"/>
            <w:color w:val="auto"/>
            <w:sz w:val="22"/>
            <w:szCs w:val="22"/>
            <w:u w:val="none"/>
            <w:lang w:val="en-CA"/>
          </w:rPr>
          <w:t>1999 CanLII 679 (CSC)</w:t>
        </w:r>
      </w:hyperlink>
      <w:r w:rsidRPr="00911998">
        <w:rPr>
          <w:sz w:val="22"/>
          <w:szCs w:val="22"/>
          <w:lang w:val="en-CA"/>
        </w:rPr>
        <w:t xml:space="preserve">, [1999] 1 R.C.S. 688; E. A. </w:t>
      </w:r>
      <w:proofErr w:type="spellStart"/>
      <w:r w:rsidRPr="00911998">
        <w:rPr>
          <w:sz w:val="22"/>
          <w:szCs w:val="22"/>
          <w:lang w:val="en-CA"/>
        </w:rPr>
        <w:t>Driedger</w:t>
      </w:r>
      <w:proofErr w:type="spellEnd"/>
      <w:r w:rsidRPr="00911998">
        <w:rPr>
          <w:sz w:val="22"/>
          <w:szCs w:val="22"/>
          <w:lang w:val="en-CA"/>
        </w:rPr>
        <w:t>, </w:t>
      </w:r>
      <w:r w:rsidRPr="00911998">
        <w:rPr>
          <w:i/>
          <w:iCs/>
          <w:sz w:val="22"/>
          <w:szCs w:val="22"/>
          <w:lang w:val="en-CA"/>
        </w:rPr>
        <w:t>Construction of Statutes </w:t>
      </w:r>
      <w:r w:rsidRPr="00911998">
        <w:rPr>
          <w:sz w:val="22"/>
          <w:szCs w:val="22"/>
          <w:lang w:val="en-CA"/>
        </w:rPr>
        <w:t>(2</w:t>
      </w:r>
      <w:r w:rsidRPr="00911998">
        <w:rPr>
          <w:sz w:val="22"/>
          <w:szCs w:val="22"/>
          <w:vertAlign w:val="superscript"/>
          <w:lang w:val="en-CA"/>
        </w:rPr>
        <w:t>e</w:t>
      </w:r>
      <w:r w:rsidRPr="00911998">
        <w:rPr>
          <w:sz w:val="22"/>
          <w:szCs w:val="22"/>
          <w:lang w:val="en-CA"/>
        </w:rPr>
        <w:t> </w:t>
      </w:r>
      <w:proofErr w:type="spellStart"/>
      <w:r w:rsidRPr="00911998">
        <w:rPr>
          <w:sz w:val="22"/>
          <w:szCs w:val="22"/>
          <w:lang w:val="en-CA"/>
        </w:rPr>
        <w:t>éd</w:t>
      </w:r>
      <w:proofErr w:type="spellEnd"/>
      <w:r w:rsidRPr="00911998">
        <w:rPr>
          <w:sz w:val="22"/>
          <w:szCs w:val="22"/>
          <w:lang w:val="en-CA"/>
        </w:rPr>
        <w:t>. 1983), p. 87).</w:t>
      </w:r>
    </w:p>
    <w:p w14:paraId="21B292B6" w14:textId="77777777" w:rsidR="00857886" w:rsidRPr="00911998" w:rsidRDefault="00857886" w:rsidP="00857886">
      <w:pPr>
        <w:ind w:left="567" w:right="560"/>
        <w:jc w:val="both"/>
        <w:rPr>
          <w:sz w:val="22"/>
          <w:szCs w:val="22"/>
          <w:lang w:val="en-CA"/>
        </w:rPr>
      </w:pPr>
      <w:r w:rsidRPr="00911998">
        <w:rPr>
          <w:sz w:val="22"/>
          <w:szCs w:val="22"/>
          <w:lang w:val="en-CA"/>
        </w:rPr>
        <w:t> </w:t>
      </w:r>
    </w:p>
    <w:p w14:paraId="5AB31BB8" w14:textId="77777777" w:rsidR="00857886" w:rsidRPr="00911998" w:rsidRDefault="00857886" w:rsidP="00857886">
      <w:pPr>
        <w:ind w:left="567" w:right="560"/>
        <w:jc w:val="both"/>
        <w:rPr>
          <w:sz w:val="22"/>
          <w:szCs w:val="22"/>
        </w:rPr>
      </w:pPr>
      <w:bookmarkStart w:id="19" w:name="par22"/>
      <w:r w:rsidRPr="00911998">
        <w:rPr>
          <w:sz w:val="22"/>
          <w:szCs w:val="22"/>
        </w:rPr>
        <w:t>2</w:t>
      </w:r>
      <w:bookmarkEnd w:id="19"/>
      <w:r w:rsidRPr="00911998">
        <w:rPr>
          <w:sz w:val="22"/>
          <w:szCs w:val="22"/>
        </w:rPr>
        <w:t>2  Cette méthode privilégiée est renforcée par le deuxième alinéa de l’</w:t>
      </w:r>
      <w:r w:rsidRPr="00911998">
        <w:rPr>
          <w:rStyle w:val="reflex2-link"/>
          <w:sz w:val="22"/>
          <w:szCs w:val="22"/>
        </w:rPr>
        <w:t>art. 41</w:t>
      </w:r>
      <w:r w:rsidRPr="00911998">
        <w:rPr>
          <w:sz w:val="22"/>
          <w:szCs w:val="22"/>
        </w:rPr>
        <w:t> ainsi que l’</w:t>
      </w:r>
      <w:hyperlink r:id="rId23" w:anchor="art41.1_smooth" w:history="1">
        <w:r w:rsidRPr="00911998">
          <w:rPr>
            <w:rStyle w:val="Hyperlien"/>
            <w:color w:val="auto"/>
            <w:sz w:val="22"/>
            <w:szCs w:val="22"/>
            <w:u w:val="none"/>
          </w:rPr>
          <w:t>art. 41.1</w:t>
        </w:r>
      </w:hyperlink>
      <w:r w:rsidRPr="00911998">
        <w:rPr>
          <w:sz w:val="22"/>
          <w:szCs w:val="22"/>
        </w:rPr>
        <w:t> de la </w:t>
      </w:r>
      <w:hyperlink r:id="rId24" w:history="1">
        <w:r w:rsidRPr="00911998">
          <w:rPr>
            <w:rStyle w:val="Hyperlien"/>
            <w:i/>
            <w:iCs/>
            <w:color w:val="auto"/>
            <w:sz w:val="22"/>
            <w:szCs w:val="22"/>
            <w:u w:val="none"/>
          </w:rPr>
          <w:t>Loi d’interprétation </w:t>
        </w:r>
      </w:hyperlink>
      <w:r w:rsidRPr="00911998">
        <w:rPr>
          <w:sz w:val="22"/>
          <w:szCs w:val="22"/>
        </w:rPr>
        <w:t xml:space="preserve">du Québec selon lesquels « [u]ne [. . .] loi reçoit une interprétation large, libérale, qui assure l’accomplissement de son objet et l’exécution de ses </w:t>
      </w:r>
      <w:r w:rsidRPr="00911998">
        <w:rPr>
          <w:rFonts w:cs="Arial"/>
          <w:sz w:val="22"/>
          <w:szCs w:val="22"/>
        </w:rPr>
        <w:t>prescriptions</w:t>
      </w:r>
      <w:r w:rsidRPr="00911998">
        <w:rPr>
          <w:sz w:val="22"/>
          <w:szCs w:val="22"/>
        </w:rPr>
        <w:t xml:space="preserve"> suivant leurs véritables sens, esprit et fin » et « [l]es dispositions d’une loi s’interprètent les unes par les autres en donnant à chacune le sens qui résulte de l’ensemble et qui lui donne effet. »  Ainsi, pour interpréter une disposition du </w:t>
      </w:r>
      <w:hyperlink r:id="rId25" w:history="1">
        <w:r w:rsidRPr="00911998">
          <w:rPr>
            <w:rStyle w:val="Hyperlien"/>
            <w:i/>
            <w:iCs/>
            <w:color w:val="auto"/>
            <w:sz w:val="22"/>
            <w:szCs w:val="22"/>
            <w:u w:val="none"/>
          </w:rPr>
          <w:t>Code civil du Québec</w:t>
        </w:r>
      </w:hyperlink>
      <w:r w:rsidRPr="00911998">
        <w:rPr>
          <w:sz w:val="22"/>
          <w:szCs w:val="22"/>
        </w:rPr>
        <w:t>, il convient d’avoir recours, notamment, aux dispositions du code, aux lois connexes, aux objectifs législatifs ainsi qu’aux circonstances ayant entouré la rédaction du texte.</w:t>
      </w:r>
    </w:p>
    <w:p w14:paraId="243B4640" w14:textId="32ECA336" w:rsidR="00857886" w:rsidRPr="00911998" w:rsidRDefault="00857886" w:rsidP="00857886">
      <w:pPr>
        <w:pStyle w:val="Paragrsimple"/>
        <w:tabs>
          <w:tab w:val="clear" w:pos="360"/>
        </w:tabs>
      </w:pPr>
      <w:r w:rsidRPr="00911998">
        <w:rPr>
          <w:rFonts w:cs="Arial"/>
          <w:szCs w:val="24"/>
          <w:shd w:val="clear" w:color="auto" w:fill="FFFFFF"/>
        </w:rPr>
        <w:t>En somme, le Tribunal doit appliquer l</w:t>
      </w:r>
      <w:r w:rsidR="0048772C" w:rsidRPr="00911998">
        <w:rPr>
          <w:rFonts w:cs="Arial"/>
          <w:szCs w:val="24"/>
          <w:shd w:val="clear" w:color="auto" w:fill="FFFFFF"/>
        </w:rPr>
        <w:t>a méthode</w:t>
      </w:r>
      <w:r w:rsidRPr="00911998">
        <w:rPr>
          <w:rFonts w:cs="Arial"/>
          <w:szCs w:val="24"/>
          <w:shd w:val="clear" w:color="auto" w:fill="FFFFFF"/>
        </w:rPr>
        <w:t xml:space="preserve"> moderne </w:t>
      </w:r>
      <w:r w:rsidR="0048772C" w:rsidRPr="00911998">
        <w:rPr>
          <w:rFonts w:cs="Arial"/>
          <w:szCs w:val="24"/>
          <w:shd w:val="clear" w:color="auto" w:fill="FFFFFF"/>
        </w:rPr>
        <w:t>d</w:t>
      </w:r>
      <w:r w:rsidRPr="00911998">
        <w:rPr>
          <w:rFonts w:cs="Arial"/>
          <w:szCs w:val="24"/>
          <w:shd w:val="clear" w:color="auto" w:fill="FFFFFF"/>
        </w:rPr>
        <w:t>’interprétation</w:t>
      </w:r>
      <w:r w:rsidR="0048772C" w:rsidRPr="00911998">
        <w:rPr>
          <w:rFonts w:cs="Arial"/>
          <w:szCs w:val="24"/>
          <w:shd w:val="clear" w:color="auto" w:fill="FFFFFF"/>
        </w:rPr>
        <w:t>,</w:t>
      </w:r>
      <w:r w:rsidRPr="00911998">
        <w:rPr>
          <w:rFonts w:cs="Arial"/>
          <w:szCs w:val="24"/>
          <w:shd w:val="clear" w:color="auto" w:fill="FFFFFF"/>
        </w:rPr>
        <w:t xml:space="preserve"> qui consiste à </w:t>
      </w:r>
      <w:r w:rsidRPr="00911998">
        <w:t>lire les dispositions du C.c.Q. dans leur contexte global en suivant le sens ordinaire et grammatical du texte</w:t>
      </w:r>
      <w:r w:rsidR="0048772C" w:rsidRPr="00911998">
        <w:t xml:space="preserve">, d’une manière </w:t>
      </w:r>
      <w:r w:rsidRPr="00911998">
        <w:t>qui s’harmonise avec l’économie de la loi, son objet et l’intention du législateur</w:t>
      </w:r>
      <w:r w:rsidRPr="00911998">
        <w:rPr>
          <w:rStyle w:val="Appelnotedebasdep"/>
        </w:rPr>
        <w:footnoteReference w:id="47"/>
      </w:r>
      <w:r w:rsidRPr="00911998">
        <w:t xml:space="preserve">. </w:t>
      </w:r>
      <w:r w:rsidR="00E9092C" w:rsidRPr="00911998">
        <w:t>C</w:t>
      </w:r>
      <w:r w:rsidRPr="00911998">
        <w:t>e faisant, il doit rechercher une interprétation large et libérale qui favorise l’esprit des dispositions du C.c.Q. plutôt que leur libellé, et ce, afin d’assurer l’accomplissement de l’objet de la loi</w:t>
      </w:r>
      <w:r w:rsidRPr="00911998">
        <w:rPr>
          <w:rStyle w:val="Appelnotedebasdep"/>
        </w:rPr>
        <w:footnoteReference w:id="48"/>
      </w:r>
      <w:r w:rsidRPr="00911998">
        <w:t>.</w:t>
      </w:r>
    </w:p>
    <w:p w14:paraId="1102C804" w14:textId="4C10B555" w:rsidR="00857886" w:rsidRPr="00911998" w:rsidRDefault="00857886" w:rsidP="00857886">
      <w:pPr>
        <w:pStyle w:val="Paragrsimple"/>
        <w:tabs>
          <w:tab w:val="clear" w:pos="360"/>
        </w:tabs>
      </w:pPr>
      <w:r w:rsidRPr="00911998">
        <w:t>Mentionnons également que le texte à interpréter s’inscrit dans le document qui exprime le droit commun québécois et qui sert donc de fondement aux autres lois</w:t>
      </w:r>
      <w:r w:rsidRPr="00911998">
        <w:rPr>
          <w:rStyle w:val="Appelnotedebasdep"/>
        </w:rPr>
        <w:footnoteReference w:id="49"/>
      </w:r>
      <w:r w:rsidRPr="00911998">
        <w:t>. Il s’agit en outre d’une codification – c’est-à-dire le fruit d’un effort rationnel de synthèse et d’organisation compréhensive de normes au sein d’un</w:t>
      </w:r>
      <w:r w:rsidR="0048772C" w:rsidRPr="00911998">
        <w:t>e</w:t>
      </w:r>
      <w:r w:rsidRPr="00911998">
        <w:t xml:space="preserve"> œuvre structuré</w:t>
      </w:r>
      <w:r w:rsidR="0048772C" w:rsidRPr="00911998">
        <w:t>e</w:t>
      </w:r>
      <w:r w:rsidRPr="00911998">
        <w:t xml:space="preserve"> et cohérent</w:t>
      </w:r>
      <w:r w:rsidR="0048772C" w:rsidRPr="00911998">
        <w:t>e</w:t>
      </w:r>
      <w:r w:rsidRPr="00911998">
        <w:t>.</w:t>
      </w:r>
    </w:p>
    <w:p w14:paraId="32BFEEDC" w14:textId="08BAD564" w:rsidR="00857886" w:rsidRPr="00911998" w:rsidRDefault="00857886" w:rsidP="00857886">
      <w:pPr>
        <w:pStyle w:val="Paragrsimple"/>
        <w:tabs>
          <w:tab w:val="clear" w:pos="360"/>
        </w:tabs>
      </w:pPr>
      <w:r w:rsidRPr="00911998">
        <w:t xml:space="preserve"> À ce chapitre, le principe de la cohérence</w:t>
      </w:r>
      <w:r w:rsidR="00EB4C70" w:rsidRPr="00911998">
        <w:t xml:space="preserve"> législative</w:t>
      </w:r>
      <w:r w:rsidR="00EB4C70" w:rsidRPr="00911998">
        <w:rPr>
          <w:rStyle w:val="Appelnotedebasdep"/>
        </w:rPr>
        <w:footnoteReference w:id="50"/>
      </w:r>
      <w:r w:rsidRPr="00911998">
        <w:t xml:space="preserve"> joue un rôle important en matière d’interprétation du C.c.Q. Comme l’explique</w:t>
      </w:r>
      <w:r w:rsidR="0048772C" w:rsidRPr="00911998">
        <w:t>nt</w:t>
      </w:r>
      <w:r w:rsidRPr="00911998">
        <w:t xml:space="preserve"> les professeurs Côté et </w:t>
      </w:r>
      <w:proofErr w:type="spellStart"/>
      <w:r w:rsidRPr="00911998">
        <w:t>Devinat</w:t>
      </w:r>
      <w:proofErr w:type="spellEnd"/>
      <w:r w:rsidRPr="00911998">
        <w:rPr>
          <w:rStyle w:val="Appelnotedebasdep"/>
        </w:rPr>
        <w:footnoteReference w:id="51"/>
      </w:r>
      <w:r w:rsidRPr="00911998">
        <w:t> :</w:t>
      </w:r>
    </w:p>
    <w:p w14:paraId="083B4A9D" w14:textId="77777777" w:rsidR="00857886" w:rsidRPr="00911998" w:rsidRDefault="00857886" w:rsidP="00857886">
      <w:pPr>
        <w:ind w:left="567" w:right="560"/>
        <w:jc w:val="both"/>
        <w:rPr>
          <w:sz w:val="22"/>
          <w:szCs w:val="22"/>
        </w:rPr>
      </w:pPr>
      <w:r w:rsidRPr="00911998">
        <w:rPr>
          <w:rFonts w:cs="Arial"/>
          <w:sz w:val="22"/>
          <w:szCs w:val="22"/>
          <w:shd w:val="clear" w:color="auto" w:fill="FFFFFF"/>
        </w:rPr>
        <w:lastRenderedPageBreak/>
        <w:t xml:space="preserve">La préoccupation de cohérence dans l’interprétation se manifeste aussi bien en </w:t>
      </w:r>
      <w:proofErr w:type="spellStart"/>
      <w:r w:rsidRPr="00911998">
        <w:rPr>
          <w:rFonts w:cs="Arial"/>
          <w:sz w:val="22"/>
          <w:szCs w:val="22"/>
          <w:shd w:val="clear" w:color="auto" w:fill="FFFFFF"/>
        </w:rPr>
        <w:t>common</w:t>
      </w:r>
      <w:proofErr w:type="spellEnd"/>
      <w:r w:rsidRPr="00911998">
        <w:rPr>
          <w:rFonts w:cs="Arial"/>
          <w:sz w:val="22"/>
          <w:szCs w:val="22"/>
          <w:shd w:val="clear" w:color="auto" w:fill="FFFFFF"/>
        </w:rPr>
        <w:t xml:space="preserve"> </w:t>
      </w:r>
      <w:proofErr w:type="spellStart"/>
      <w:r w:rsidRPr="00911998">
        <w:rPr>
          <w:rFonts w:cs="Arial"/>
          <w:sz w:val="22"/>
          <w:szCs w:val="22"/>
          <w:shd w:val="clear" w:color="auto" w:fill="FFFFFF"/>
        </w:rPr>
        <w:t>law</w:t>
      </w:r>
      <w:proofErr w:type="spellEnd"/>
      <w:r w:rsidRPr="00911998">
        <w:rPr>
          <w:rFonts w:cs="Arial"/>
          <w:sz w:val="22"/>
          <w:szCs w:val="22"/>
          <w:shd w:val="clear" w:color="auto" w:fill="FFFFFF"/>
        </w:rPr>
        <w:t xml:space="preserve"> qu’en droit civil, mais elle prend, dans le cadre de l’interprétation d’un code, une importance toute particulière. D’une part, l’idée même de code, dans la tradition civiliste, connote les idées de système, de rationalité et de cohérence. D’autre part, le haut niveau d’abstraction généralement choisi pour l’expression du droit tend à accentuer la nécessité, pour </w:t>
      </w:r>
      <w:r w:rsidRPr="00911998">
        <w:rPr>
          <w:rStyle w:val="reflex3-missing"/>
          <w:sz w:val="22"/>
          <w:szCs w:val="22"/>
        </w:rPr>
        <w:t>l’interprétation</w:t>
      </w:r>
      <w:r w:rsidRPr="00911998">
        <w:rPr>
          <w:rFonts w:cs="Arial"/>
          <w:sz w:val="22"/>
          <w:szCs w:val="22"/>
          <w:shd w:val="clear" w:color="auto" w:fill="FFFFFF"/>
        </w:rPr>
        <w:t xml:space="preserve"> de chaque disposition du Code civil, d’avoir à l’esprit les autres dispositions, l’économie générale et les principes généraux du droit. On ne s’étonnera donc pas de constater la fréquence et l’importance des arguments de cohérence dans l’interprétation du Code civil.</w:t>
      </w:r>
    </w:p>
    <w:p w14:paraId="65AA1098" w14:textId="175E791D" w:rsidR="00857886" w:rsidRPr="00911998" w:rsidRDefault="00857886" w:rsidP="00857886">
      <w:pPr>
        <w:pStyle w:val="Paragrsimple"/>
        <w:tabs>
          <w:tab w:val="clear" w:pos="360"/>
        </w:tabs>
      </w:pPr>
      <w:r w:rsidRPr="00911998">
        <w:t xml:space="preserve">Ce principe de cohérence impose une lecture globale du C.c.Q. Bref, pour déceler le sens d’un texte </w:t>
      </w:r>
      <w:r w:rsidR="00EB4C70" w:rsidRPr="00911998">
        <w:t>du Code</w:t>
      </w:r>
      <w:r w:rsidRPr="00911998">
        <w:t xml:space="preserve">, l’examen d’autres dispositions est non seulement utile, mais souvent nécessaire. Cette technique interprétative est bien exposée dans </w:t>
      </w:r>
      <w:proofErr w:type="spellStart"/>
      <w:r w:rsidRPr="00911998">
        <w:rPr>
          <w:i/>
          <w:iCs/>
        </w:rPr>
        <w:t>Quebec</w:t>
      </w:r>
      <w:proofErr w:type="spellEnd"/>
      <w:r w:rsidRPr="00911998">
        <w:rPr>
          <w:i/>
          <w:iCs/>
        </w:rPr>
        <w:t xml:space="preserve"> Civil Law:  An Introduction to </w:t>
      </w:r>
      <w:proofErr w:type="spellStart"/>
      <w:r w:rsidRPr="00911998">
        <w:rPr>
          <w:i/>
          <w:iCs/>
        </w:rPr>
        <w:t>Quebec</w:t>
      </w:r>
      <w:proofErr w:type="spellEnd"/>
      <w:r w:rsidRPr="00911998">
        <w:rPr>
          <w:i/>
          <w:iCs/>
        </w:rPr>
        <w:t xml:space="preserve"> </w:t>
      </w:r>
      <w:proofErr w:type="spellStart"/>
      <w:r w:rsidRPr="00911998">
        <w:rPr>
          <w:i/>
          <w:iCs/>
        </w:rPr>
        <w:t>Private</w:t>
      </w:r>
      <w:proofErr w:type="spellEnd"/>
      <w:r w:rsidRPr="00911998">
        <w:rPr>
          <w:i/>
          <w:iCs/>
        </w:rPr>
        <w:t xml:space="preserve"> Law</w:t>
      </w:r>
      <w:r w:rsidRPr="00911998">
        <w:rPr>
          <w:rStyle w:val="Appelnotedebasdep"/>
        </w:rPr>
        <w:footnoteReference w:id="52"/>
      </w:r>
      <w:r w:rsidRPr="00911998">
        <w:t> :</w:t>
      </w:r>
    </w:p>
    <w:p w14:paraId="28E8F584" w14:textId="1F1D5F53" w:rsidR="008A6B02" w:rsidRPr="00911998" w:rsidRDefault="00857886" w:rsidP="00857886">
      <w:pPr>
        <w:ind w:left="567" w:right="560"/>
        <w:jc w:val="both"/>
        <w:rPr>
          <w:lang w:val="en-CA"/>
        </w:rPr>
      </w:pPr>
      <w:r w:rsidRPr="00911998">
        <w:rPr>
          <w:rFonts w:cs="Arial"/>
          <w:i/>
          <w:iCs/>
          <w:sz w:val="22"/>
          <w:szCs w:val="22"/>
          <w:lang w:val="en-CA"/>
        </w:rPr>
        <w:t xml:space="preserve">[T]he idea of reading the Code </w:t>
      </w:r>
      <w:proofErr w:type="gramStart"/>
      <w:r w:rsidRPr="00911998">
        <w:rPr>
          <w:rFonts w:cs="Arial"/>
          <w:i/>
          <w:iCs/>
          <w:sz w:val="22"/>
          <w:szCs w:val="22"/>
          <w:lang w:val="en-CA"/>
        </w:rPr>
        <w:t>as a whole also</w:t>
      </w:r>
      <w:proofErr w:type="gramEnd"/>
      <w:r w:rsidRPr="00911998">
        <w:rPr>
          <w:rFonts w:cs="Arial"/>
          <w:i/>
          <w:iCs/>
          <w:sz w:val="22"/>
          <w:szCs w:val="22"/>
          <w:lang w:val="en-CA"/>
        </w:rPr>
        <w:t xml:space="preserve"> is an invitation to using various other </w:t>
      </w:r>
      <w:proofErr w:type="spellStart"/>
      <w:r w:rsidRPr="00911998">
        <w:rPr>
          <w:rFonts w:cs="Arial"/>
          <w:i/>
          <w:iCs/>
          <w:sz w:val="22"/>
          <w:szCs w:val="22"/>
          <w:lang w:val="en-CA"/>
        </w:rPr>
        <w:t>codal</w:t>
      </w:r>
      <w:proofErr w:type="spellEnd"/>
      <w:r w:rsidRPr="00911998">
        <w:rPr>
          <w:rFonts w:cs="Arial"/>
          <w:i/>
          <w:iCs/>
          <w:sz w:val="22"/>
          <w:szCs w:val="22"/>
          <w:lang w:val="en-CA"/>
        </w:rPr>
        <w:t xml:space="preserve"> articles to help fix the meaning of any given text. The logical interpretation of the Code therefore admits the methods of reasoning a </w:t>
      </w:r>
      <w:proofErr w:type="spellStart"/>
      <w:r w:rsidRPr="00911998">
        <w:rPr>
          <w:rFonts w:cs="Arial"/>
          <w:i/>
          <w:iCs/>
          <w:sz w:val="22"/>
          <w:szCs w:val="22"/>
          <w:lang w:val="en-CA"/>
        </w:rPr>
        <w:t>cont</w:t>
      </w:r>
      <w:r w:rsidR="00144FA3" w:rsidRPr="00911998">
        <w:rPr>
          <w:rFonts w:cs="Arial"/>
          <w:i/>
          <w:iCs/>
          <w:sz w:val="22"/>
          <w:szCs w:val="22"/>
          <w:lang w:val="en-CA"/>
        </w:rPr>
        <w:t>r</w:t>
      </w:r>
      <w:r w:rsidRPr="00911998">
        <w:rPr>
          <w:rFonts w:cs="Arial"/>
          <w:i/>
          <w:iCs/>
          <w:sz w:val="22"/>
          <w:szCs w:val="22"/>
          <w:lang w:val="en-CA"/>
        </w:rPr>
        <w:t>ario</w:t>
      </w:r>
      <w:proofErr w:type="spellEnd"/>
      <w:r w:rsidRPr="00911998">
        <w:rPr>
          <w:rFonts w:cs="Arial"/>
          <w:i/>
          <w:iCs/>
          <w:sz w:val="22"/>
          <w:szCs w:val="22"/>
          <w:lang w:val="en-CA"/>
        </w:rPr>
        <w:t>, by analogy, or by way of extrapolating a general principle from a series of specific texts to apply to the matter at hand. In this last case, which is especially interesting as an illustration of a technique of interpretation deriving from the conception of a civilian code, the general principle can then be said to constitute the policy of the enactment when read in its entirety. The exercise amounts to more than a simple cross</w:t>
      </w:r>
      <w:r w:rsidRPr="00911998">
        <w:rPr>
          <w:rFonts w:cs="Arial"/>
          <w:i/>
          <w:iCs/>
          <w:sz w:val="22"/>
          <w:szCs w:val="22"/>
          <w:lang w:val="en-CA"/>
        </w:rPr>
        <w:noBreakHyphen/>
        <w:t xml:space="preserve">referencing of </w:t>
      </w:r>
      <w:proofErr w:type="spellStart"/>
      <w:r w:rsidRPr="00911998">
        <w:rPr>
          <w:rFonts w:cs="Arial"/>
          <w:i/>
          <w:iCs/>
          <w:sz w:val="22"/>
          <w:szCs w:val="22"/>
          <w:lang w:val="en-CA"/>
        </w:rPr>
        <w:t>codal</w:t>
      </w:r>
      <w:proofErr w:type="spellEnd"/>
      <w:r w:rsidRPr="00911998">
        <w:rPr>
          <w:rFonts w:cs="Arial"/>
          <w:i/>
          <w:iCs/>
          <w:sz w:val="22"/>
          <w:szCs w:val="22"/>
          <w:lang w:val="en-CA"/>
        </w:rPr>
        <w:t xml:space="preserve"> articles because it strives to articulate what may be</w:t>
      </w:r>
      <w:r w:rsidR="00225C91" w:rsidRPr="00911998">
        <w:rPr>
          <w:rFonts w:cs="Arial"/>
          <w:i/>
          <w:iCs/>
          <w:sz w:val="22"/>
          <w:szCs w:val="22"/>
          <w:lang w:val="en-CA"/>
        </w:rPr>
        <w:t xml:space="preserve"> only</w:t>
      </w:r>
      <w:r w:rsidRPr="00911998">
        <w:rPr>
          <w:rFonts w:cs="Arial"/>
          <w:i/>
          <w:iCs/>
          <w:sz w:val="22"/>
          <w:szCs w:val="22"/>
          <w:lang w:val="en-CA"/>
        </w:rPr>
        <w:t xml:space="preserve"> implicit policy.</w:t>
      </w:r>
    </w:p>
    <w:p w14:paraId="69B2D7E6" w14:textId="74AD374F" w:rsidR="00B42E80" w:rsidRPr="00911998" w:rsidRDefault="00B42E80" w:rsidP="001C5CD5">
      <w:pPr>
        <w:pStyle w:val="Titre4"/>
        <w:jc w:val="both"/>
      </w:pPr>
      <w:r w:rsidRPr="00911998">
        <w:t xml:space="preserve">L’inexistence d’une disposition interdisant la </w:t>
      </w:r>
      <w:proofErr w:type="spellStart"/>
      <w:r w:rsidRPr="00911998">
        <w:t>pluriparenté</w:t>
      </w:r>
      <w:proofErr w:type="spellEnd"/>
      <w:r w:rsidRPr="00911998">
        <w:t xml:space="preserve"> n’est pas déterminante</w:t>
      </w:r>
    </w:p>
    <w:p w14:paraId="5611F1C8" w14:textId="7A8A3A9F" w:rsidR="004B1C83" w:rsidRPr="00911998" w:rsidRDefault="00A93E5A" w:rsidP="004B1C83">
      <w:pPr>
        <w:pStyle w:val="Paragrsimple"/>
        <w:tabs>
          <w:tab w:val="clear" w:pos="360"/>
        </w:tabs>
      </w:pPr>
      <w:r w:rsidRPr="00911998">
        <w:t xml:space="preserve">Les </w:t>
      </w:r>
      <w:r w:rsidR="00DD645D" w:rsidRPr="00911998">
        <w:t>D</w:t>
      </w:r>
      <w:r w:rsidRPr="00911998">
        <w:t xml:space="preserve">emandeurs soutiennent qu’aucune disposition du C.c.Q. </w:t>
      </w:r>
      <w:r w:rsidR="005D140D" w:rsidRPr="00911998">
        <w:t>—</w:t>
      </w:r>
      <w:r w:rsidRPr="00911998">
        <w:t xml:space="preserve"> que ce soit au moment de la naissance de</w:t>
      </w:r>
      <w:r w:rsidR="00DD645D" w:rsidRPr="00911998">
        <w:t xml:space="preserve"> leur</w:t>
      </w:r>
      <w:r w:rsidRPr="00911998">
        <w:t xml:space="preserve">s </w:t>
      </w:r>
      <w:r w:rsidR="00DD645D" w:rsidRPr="00911998">
        <w:t>e</w:t>
      </w:r>
      <w:r w:rsidR="009227B9" w:rsidRPr="00911998">
        <w:t>nfants</w:t>
      </w:r>
      <w:r w:rsidRPr="00911998">
        <w:t xml:space="preserve"> ou aujourd’hui </w:t>
      </w:r>
      <w:r w:rsidR="005D140D" w:rsidRPr="00911998">
        <w:t>—</w:t>
      </w:r>
      <w:r w:rsidRPr="00911998">
        <w:t xml:space="preserve"> </w:t>
      </w:r>
      <w:r w:rsidR="000525B5" w:rsidRPr="00911998">
        <w:t xml:space="preserve">ne </w:t>
      </w:r>
      <w:r w:rsidR="00031BCB" w:rsidRPr="00911998">
        <w:t xml:space="preserve">limite explicitement la filiation à deux parents </w:t>
      </w:r>
      <w:r w:rsidR="005D140D" w:rsidRPr="00911998">
        <w:t>ni</w:t>
      </w:r>
      <w:r w:rsidR="00031BCB" w:rsidRPr="00911998">
        <w:t xml:space="preserve"> </w:t>
      </w:r>
      <w:r w:rsidR="005D140D" w:rsidRPr="00911998">
        <w:t>ne proscrit</w:t>
      </w:r>
      <w:r w:rsidRPr="00911998">
        <w:t xml:space="preserve"> la reconnaissance d’un troisième lien de filiation. </w:t>
      </w:r>
      <w:r w:rsidR="000D68E6" w:rsidRPr="00911998">
        <w:t xml:space="preserve">Ils ont raison. </w:t>
      </w:r>
      <w:r w:rsidR="00910597" w:rsidRPr="00911998">
        <w:t>Cependant</w:t>
      </w:r>
      <w:r w:rsidR="000D68E6" w:rsidRPr="00911998">
        <w:t>, ce constat ne suffit pas pour leur donner gain de cause.</w:t>
      </w:r>
    </w:p>
    <w:p w14:paraId="5EF2C42C" w14:textId="1A04C48E" w:rsidR="000D68E6" w:rsidRPr="00911998" w:rsidRDefault="00FE6AB6" w:rsidP="000D68E6">
      <w:pPr>
        <w:pStyle w:val="Paragrsimple"/>
        <w:tabs>
          <w:tab w:val="clear" w:pos="360"/>
        </w:tabs>
      </w:pPr>
      <w:r w:rsidRPr="00911998">
        <w:t xml:space="preserve">Le professeur </w:t>
      </w:r>
      <w:proofErr w:type="spellStart"/>
      <w:r w:rsidRPr="00911998">
        <w:t>Leckey</w:t>
      </w:r>
      <w:proofErr w:type="spellEnd"/>
      <w:r w:rsidRPr="00911998">
        <w:t xml:space="preserve"> </w:t>
      </w:r>
      <w:r w:rsidR="00C936C5" w:rsidRPr="00911998">
        <w:t xml:space="preserve">(maintenant juge de cette Cour) </w:t>
      </w:r>
      <w:r w:rsidRPr="00911998">
        <w:t>explique</w:t>
      </w:r>
      <w:r w:rsidR="000D68E6" w:rsidRPr="00911998">
        <w:rPr>
          <w:rStyle w:val="Appelnotedebasdep"/>
        </w:rPr>
        <w:footnoteReference w:id="53"/>
      </w:r>
      <w:r w:rsidR="000D68E6" w:rsidRPr="00911998">
        <w:t> :</w:t>
      </w:r>
    </w:p>
    <w:p w14:paraId="67C33731" w14:textId="4CF98141" w:rsidR="000D68E6" w:rsidRPr="00911998" w:rsidRDefault="000D68E6" w:rsidP="000D68E6">
      <w:pPr>
        <w:ind w:left="567" w:right="560"/>
        <w:jc w:val="both"/>
        <w:rPr>
          <w:i/>
          <w:iCs/>
          <w:sz w:val="22"/>
          <w:szCs w:val="22"/>
          <w:lang w:val="en-CA"/>
        </w:rPr>
      </w:pPr>
      <w:r w:rsidRPr="00911998">
        <w:rPr>
          <w:i/>
          <w:iCs/>
          <w:sz w:val="22"/>
          <w:szCs w:val="22"/>
          <w:lang w:val="en-CA"/>
        </w:rPr>
        <w:t>Crucially, parental status</w:t>
      </w:r>
      <w:r w:rsidR="00161859" w:rsidRPr="00911998">
        <w:rPr>
          <w:i/>
          <w:iCs/>
          <w:sz w:val="22"/>
          <w:szCs w:val="22"/>
          <w:lang w:val="en-CA"/>
        </w:rPr>
        <w:t>—</w:t>
      </w:r>
      <w:r w:rsidRPr="00911998">
        <w:rPr>
          <w:i/>
          <w:iCs/>
          <w:sz w:val="22"/>
          <w:szCs w:val="22"/>
          <w:u w:val="single"/>
          <w:lang w:val="en-CA"/>
        </w:rPr>
        <w:t>filiation in the civil law</w:t>
      </w:r>
      <w:r w:rsidRPr="00911998">
        <w:rPr>
          <w:i/>
          <w:iCs/>
          <w:sz w:val="22"/>
          <w:szCs w:val="22"/>
          <w:lang w:val="en-CA"/>
        </w:rPr>
        <w:t xml:space="preserve"> or parentage in the common law</w:t>
      </w:r>
      <w:r w:rsidR="00161859" w:rsidRPr="00911998">
        <w:rPr>
          <w:i/>
          <w:iCs/>
          <w:sz w:val="22"/>
          <w:szCs w:val="22"/>
          <w:lang w:val="en-CA"/>
        </w:rPr>
        <w:t>—</w:t>
      </w:r>
      <w:r w:rsidRPr="00911998">
        <w:rPr>
          <w:i/>
          <w:iCs/>
          <w:sz w:val="22"/>
          <w:szCs w:val="22"/>
          <w:u w:val="single"/>
          <w:lang w:val="en-CA"/>
        </w:rPr>
        <w:t>is a legal construct and must be established</w:t>
      </w:r>
      <w:r w:rsidRPr="00911998">
        <w:rPr>
          <w:i/>
          <w:iCs/>
          <w:sz w:val="22"/>
          <w:szCs w:val="22"/>
          <w:lang w:val="en-CA"/>
        </w:rPr>
        <w:t>. It does not arise, unmediated, from brute facts such as siring a child or giving birth.</w:t>
      </w:r>
    </w:p>
    <w:p w14:paraId="2A55C8F4" w14:textId="3B3E11FA" w:rsidR="009E5FD2" w:rsidRPr="00911998" w:rsidRDefault="009E5FD2" w:rsidP="009E5FD2">
      <w:pPr>
        <w:ind w:left="567" w:right="560"/>
        <w:jc w:val="right"/>
        <w:rPr>
          <w:sz w:val="22"/>
          <w:szCs w:val="22"/>
          <w:lang w:val="en-CA"/>
        </w:rPr>
      </w:pPr>
      <w:r w:rsidRPr="00911998">
        <w:rPr>
          <w:rFonts w:cs="Arial"/>
          <w:sz w:val="22"/>
          <w:szCs w:val="22"/>
          <w:lang w:val="en-CA"/>
        </w:rPr>
        <w:t>[</w:t>
      </w:r>
      <w:proofErr w:type="spellStart"/>
      <w:r w:rsidRPr="00911998">
        <w:rPr>
          <w:rFonts w:cs="Arial"/>
          <w:sz w:val="22"/>
          <w:szCs w:val="22"/>
          <w:lang w:val="en-CA"/>
        </w:rPr>
        <w:t>Soulignements</w:t>
      </w:r>
      <w:proofErr w:type="spellEnd"/>
      <w:r w:rsidRPr="00911998">
        <w:rPr>
          <w:rFonts w:cs="Arial"/>
          <w:sz w:val="22"/>
          <w:szCs w:val="22"/>
          <w:lang w:val="en-CA"/>
        </w:rPr>
        <w:t xml:space="preserve"> </w:t>
      </w:r>
      <w:proofErr w:type="spellStart"/>
      <w:r w:rsidRPr="00911998">
        <w:rPr>
          <w:rFonts w:cs="Arial"/>
          <w:sz w:val="22"/>
          <w:szCs w:val="22"/>
          <w:lang w:val="en-CA"/>
        </w:rPr>
        <w:t>ajoutés</w:t>
      </w:r>
      <w:proofErr w:type="spellEnd"/>
      <w:r w:rsidRPr="00911998">
        <w:rPr>
          <w:rFonts w:cs="Arial"/>
          <w:sz w:val="22"/>
          <w:szCs w:val="22"/>
          <w:lang w:val="en-CA"/>
        </w:rPr>
        <w:t>]</w:t>
      </w:r>
    </w:p>
    <w:p w14:paraId="30F4ABA0" w14:textId="4FF0D2B9" w:rsidR="00FE6AB6" w:rsidRPr="00911998" w:rsidRDefault="00FE6AB6" w:rsidP="000D68E6">
      <w:pPr>
        <w:pStyle w:val="Paragrsimple"/>
        <w:tabs>
          <w:tab w:val="clear" w:pos="360"/>
        </w:tabs>
      </w:pPr>
      <w:r w:rsidRPr="00911998">
        <w:t>Quant à Maître Tétrault, il précise</w:t>
      </w:r>
      <w:r w:rsidRPr="00911998">
        <w:rPr>
          <w:rStyle w:val="Appelnotedebasdep"/>
        </w:rPr>
        <w:footnoteReference w:id="54"/>
      </w:r>
      <w:r w:rsidRPr="00911998">
        <w:t> :</w:t>
      </w:r>
    </w:p>
    <w:p w14:paraId="18A62D5F" w14:textId="5C33D282" w:rsidR="00FE6AB6" w:rsidRPr="00911998" w:rsidRDefault="00FE6AB6" w:rsidP="00FE6AB6">
      <w:pPr>
        <w:ind w:left="567" w:right="560"/>
        <w:jc w:val="both"/>
        <w:rPr>
          <w:sz w:val="22"/>
          <w:szCs w:val="22"/>
        </w:rPr>
      </w:pPr>
      <w:r w:rsidRPr="00911998">
        <w:rPr>
          <w:sz w:val="22"/>
          <w:szCs w:val="22"/>
        </w:rPr>
        <w:t xml:space="preserve">Selon les dispositions du Code civil, il est impossible d’établir une filiation à l’égard d’un enfant hors des critères établis pour la filiation adoptive ou par le sang (et la </w:t>
      </w:r>
      <w:r w:rsidRPr="00911998">
        <w:rPr>
          <w:sz w:val="22"/>
          <w:szCs w:val="22"/>
        </w:rPr>
        <w:lastRenderedPageBreak/>
        <w:t>procréation assistée). En effet, la seule notion du meilleur intérêt de l’enfant ou de liens psychologiques entre une personne et un enfant ne peut établir un lien de filiation, sous réserve de ce que l’on qualifie de possession d’état (art. 523 et 524 C.c.Q.).</w:t>
      </w:r>
    </w:p>
    <w:p w14:paraId="58A2263E" w14:textId="4A170316" w:rsidR="00662466" w:rsidRPr="00911998" w:rsidRDefault="009E5FD2" w:rsidP="000D68E6">
      <w:pPr>
        <w:pStyle w:val="Paragrsimple"/>
        <w:tabs>
          <w:tab w:val="clear" w:pos="360"/>
        </w:tabs>
      </w:pPr>
      <w:r w:rsidRPr="00911998">
        <w:t>En somme, l</w:t>
      </w:r>
      <w:r w:rsidR="00662466" w:rsidRPr="00911998">
        <w:t>a filiation est une construction juridique, une création du droit positif. Il en résulte que</w:t>
      </w:r>
      <w:r w:rsidR="00DD645D" w:rsidRPr="00911998">
        <w:t xml:space="preserve"> l’absence d’une interdiction n’est </w:t>
      </w:r>
      <w:r w:rsidR="00031BCB" w:rsidRPr="00911998">
        <w:t>pas particulièrement utile</w:t>
      </w:r>
      <w:r w:rsidR="00DD645D" w:rsidRPr="00911998">
        <w:t xml:space="preserve"> pour les Demandeurs.</w:t>
      </w:r>
      <w:r w:rsidR="00FE6AB6" w:rsidRPr="00911998">
        <w:t xml:space="preserve"> </w:t>
      </w:r>
      <w:r w:rsidR="00DD645D" w:rsidRPr="00911998">
        <w:t>I</w:t>
      </w:r>
      <w:r w:rsidR="000D68E6" w:rsidRPr="00911998">
        <w:t>l</w:t>
      </w:r>
      <w:r w:rsidR="00DD645D" w:rsidRPr="00911998">
        <w:t>s</w:t>
      </w:r>
      <w:r w:rsidR="000D68E6" w:rsidRPr="00911998">
        <w:t xml:space="preserve"> </w:t>
      </w:r>
      <w:r w:rsidR="00DD645D" w:rsidRPr="00911998">
        <w:t>doivent</w:t>
      </w:r>
      <w:r w:rsidRPr="00911998">
        <w:t xml:space="preserve"> plutôt identifier </w:t>
      </w:r>
      <w:r w:rsidR="000D68E6" w:rsidRPr="00911998">
        <w:t xml:space="preserve">dans le droit positif </w:t>
      </w:r>
      <w:r w:rsidR="005D140D" w:rsidRPr="00911998">
        <w:t xml:space="preserve">— </w:t>
      </w:r>
      <w:r w:rsidR="000D68E6" w:rsidRPr="00911998">
        <w:t xml:space="preserve">en l’occurrence le C.c.Q. </w:t>
      </w:r>
      <w:r w:rsidR="005D140D" w:rsidRPr="00911998">
        <w:t>—</w:t>
      </w:r>
      <w:r w:rsidR="000D68E6" w:rsidRPr="00911998">
        <w:t xml:space="preserve"> une ou des dispositions </w:t>
      </w:r>
      <w:r w:rsidRPr="00911998">
        <w:t>créant</w:t>
      </w:r>
      <w:r w:rsidR="00DD645D" w:rsidRPr="00911998">
        <w:t xml:space="preserve"> le tro</w:t>
      </w:r>
      <w:r w:rsidR="00B72073" w:rsidRPr="00911998">
        <w:t>i</w:t>
      </w:r>
      <w:r w:rsidR="00DD645D" w:rsidRPr="00911998">
        <w:t>sième</w:t>
      </w:r>
      <w:r w:rsidR="000D68E6" w:rsidRPr="00911998">
        <w:t xml:space="preserve"> lien de filiation </w:t>
      </w:r>
      <w:r w:rsidRPr="00911998">
        <w:t>dont ils réclament la reconnaissance</w:t>
      </w:r>
      <w:r w:rsidR="000D68E6" w:rsidRPr="00911998">
        <w:t>.</w:t>
      </w:r>
      <w:r w:rsidR="00383B21" w:rsidRPr="00911998">
        <w:t xml:space="preserve"> </w:t>
      </w:r>
    </w:p>
    <w:p w14:paraId="04E894C3" w14:textId="2595823E" w:rsidR="00031BCB" w:rsidRPr="00911998" w:rsidRDefault="00031BCB" w:rsidP="00031BCB">
      <w:pPr>
        <w:pStyle w:val="Titre4"/>
      </w:pPr>
      <w:r w:rsidRPr="00911998">
        <w:t xml:space="preserve">Aucune disposition du droit positif </w:t>
      </w:r>
      <w:r w:rsidR="00BD208D" w:rsidRPr="00911998">
        <w:t xml:space="preserve">ne </w:t>
      </w:r>
      <w:r w:rsidR="003031E6" w:rsidRPr="00911998">
        <w:t xml:space="preserve">crée explicitement </w:t>
      </w:r>
      <w:r w:rsidRPr="00911998">
        <w:t>plus de deux liens de filiation</w:t>
      </w:r>
      <w:r w:rsidR="003031E6" w:rsidRPr="00911998">
        <w:t xml:space="preserve"> et l’économie générale du Code s’y oppose</w:t>
      </w:r>
    </w:p>
    <w:p w14:paraId="1A514EEC" w14:textId="6090C64F" w:rsidR="003160F3" w:rsidRPr="00911998" w:rsidRDefault="00383B21" w:rsidP="00383B21">
      <w:pPr>
        <w:pStyle w:val="Paragrsimple"/>
        <w:tabs>
          <w:tab w:val="clear" w:pos="360"/>
        </w:tabs>
      </w:pPr>
      <w:r w:rsidRPr="00911998">
        <w:t xml:space="preserve">Comme mentionné, à l’époque de la naissance des </w:t>
      </w:r>
      <w:r w:rsidR="00662466" w:rsidRPr="00911998">
        <w:t>e</w:t>
      </w:r>
      <w:r w:rsidR="009227B9" w:rsidRPr="00911998">
        <w:t>nfants</w:t>
      </w:r>
      <w:r w:rsidR="00662466" w:rsidRPr="00911998">
        <w:t xml:space="preserve"> en cause</w:t>
      </w:r>
      <w:r w:rsidRPr="00911998">
        <w:t>, les règles québécoises régissant la filiation se classifiaient sous trois rubriques : (1) la filiation par le sang, (2) la filiation des enfants nés d’une procréation assistée et (3) la filiation par adoption.</w:t>
      </w:r>
    </w:p>
    <w:p w14:paraId="051D1D39" w14:textId="0B165B63" w:rsidR="005E500D" w:rsidRPr="00911998" w:rsidRDefault="001E34C2" w:rsidP="00383B21">
      <w:pPr>
        <w:pStyle w:val="Paragrsimple"/>
        <w:tabs>
          <w:tab w:val="clear" w:pos="360"/>
        </w:tabs>
      </w:pPr>
      <w:r w:rsidRPr="00911998">
        <w:t>Aucun des enfants en cause ne fait l’objet d’une adoption. Cela dit, l</w:t>
      </w:r>
      <w:r w:rsidR="00383B21" w:rsidRPr="00911998">
        <w:t>es règles concernant la filiation par adoption</w:t>
      </w:r>
      <w:r w:rsidRPr="00911998">
        <w:t xml:space="preserve"> demeurent</w:t>
      </w:r>
      <w:r w:rsidR="006A3415" w:rsidRPr="00911998">
        <w:t xml:space="preserve"> </w:t>
      </w:r>
      <w:r w:rsidR="00737739" w:rsidRPr="00911998">
        <w:t>pertinentes pour la compréhension de l’économie générale du Code et nous y reviendrons</w:t>
      </w:r>
      <w:r w:rsidR="00383B21" w:rsidRPr="00911998">
        <w:t xml:space="preserve">. </w:t>
      </w:r>
    </w:p>
    <w:p w14:paraId="792D8A69" w14:textId="59501601" w:rsidR="00662466" w:rsidRPr="00911998" w:rsidRDefault="00737739" w:rsidP="00383B21">
      <w:pPr>
        <w:pStyle w:val="Paragrsimple"/>
        <w:tabs>
          <w:tab w:val="clear" w:pos="360"/>
        </w:tabs>
      </w:pPr>
      <w:r w:rsidRPr="00911998">
        <w:t>La preuve révèle que</w:t>
      </w:r>
      <w:r w:rsidR="00110623" w:rsidRPr="00911998">
        <w:t xml:space="preserve"> l</w:t>
      </w:r>
      <w:r w:rsidR="00CD5397" w:rsidRPr="00911998">
        <w:t>es circonstances entourant la conception d</w:t>
      </w:r>
      <w:r w:rsidR="00662466" w:rsidRPr="00911998">
        <w:t xml:space="preserve">’au moins </w:t>
      </w:r>
      <w:r w:rsidR="00CD5397" w:rsidRPr="00911998">
        <w:t>trois de</w:t>
      </w:r>
      <w:r w:rsidR="00662466" w:rsidRPr="00911998">
        <w:t>s</w:t>
      </w:r>
      <w:r w:rsidR="00CD5397" w:rsidRPr="00911998">
        <w:t xml:space="preserve"> </w:t>
      </w:r>
      <w:r w:rsidR="00662466" w:rsidRPr="00911998">
        <w:t>e</w:t>
      </w:r>
      <w:r w:rsidR="009227B9" w:rsidRPr="00911998">
        <w:t>nfants</w:t>
      </w:r>
      <w:r w:rsidR="00CD5397" w:rsidRPr="00911998">
        <w:t xml:space="preserve"> correspondent</w:t>
      </w:r>
      <w:r w:rsidR="009227B9" w:rsidRPr="00911998">
        <w:t>,</w:t>
      </w:r>
      <w:r w:rsidR="00CD5397" w:rsidRPr="00911998">
        <w:t xml:space="preserve"> dans les faits</w:t>
      </w:r>
      <w:r w:rsidR="009227B9" w:rsidRPr="00911998">
        <w:t>,</w:t>
      </w:r>
      <w:r w:rsidR="00CD5397" w:rsidRPr="00911998">
        <w:t xml:space="preserve"> à des procréations assistées.</w:t>
      </w:r>
      <w:r w:rsidR="005E500D" w:rsidRPr="00911998">
        <w:t xml:space="preserve"> Cela dit, les</w:t>
      </w:r>
      <w:r w:rsidR="00110623" w:rsidRPr="00911998">
        <w:t xml:space="preserve"> dispositions du C.c.Q. régissant la filiation dans </w:t>
      </w:r>
      <w:r w:rsidRPr="00911998">
        <w:t>c</w:t>
      </w:r>
      <w:r w:rsidR="00110623" w:rsidRPr="00911998">
        <w:t xml:space="preserve">e domaine ne s’appliquent qu’en cas de projet parental d’une </w:t>
      </w:r>
      <w:r w:rsidR="00110623" w:rsidRPr="00911998">
        <w:rPr>
          <w:u w:val="single"/>
        </w:rPr>
        <w:t>personne seule</w:t>
      </w:r>
      <w:r w:rsidR="00110623" w:rsidRPr="00911998">
        <w:t xml:space="preserve"> ou de </w:t>
      </w:r>
      <w:r w:rsidR="00110623" w:rsidRPr="00911998">
        <w:rPr>
          <w:u w:val="single"/>
        </w:rPr>
        <w:t>conjoints</w:t>
      </w:r>
      <w:r w:rsidR="00110623" w:rsidRPr="00911998">
        <w:rPr>
          <w:rStyle w:val="Appelnotedebasdep"/>
        </w:rPr>
        <w:footnoteReference w:id="55"/>
      </w:r>
      <w:r w:rsidR="00110623" w:rsidRPr="00911998">
        <w:t xml:space="preserve">. </w:t>
      </w:r>
      <w:r w:rsidRPr="00911998">
        <w:t>L</w:t>
      </w:r>
      <w:r w:rsidR="00110623" w:rsidRPr="00911998">
        <w:t>a notion de «</w:t>
      </w:r>
      <w:r w:rsidR="005677A6" w:rsidRPr="00911998">
        <w:t> </w:t>
      </w:r>
      <w:r w:rsidR="00110623" w:rsidRPr="00911998">
        <w:t>conjoint</w:t>
      </w:r>
      <w:r w:rsidR="001C5CD5">
        <w:t>s</w:t>
      </w:r>
      <w:r w:rsidR="005677A6" w:rsidRPr="00911998">
        <w:t> </w:t>
      </w:r>
      <w:r w:rsidR="00110623" w:rsidRPr="00911998">
        <w:t>» se limite à deux personnes</w:t>
      </w:r>
      <w:r w:rsidR="00110623" w:rsidRPr="00911998">
        <w:rPr>
          <w:rStyle w:val="Appelnotedebasdep"/>
        </w:rPr>
        <w:footnoteReference w:id="56"/>
      </w:r>
      <w:r w:rsidR="00110623" w:rsidRPr="00911998">
        <w:t xml:space="preserve">. </w:t>
      </w:r>
    </w:p>
    <w:p w14:paraId="32AD19B5" w14:textId="52AAEFC0" w:rsidR="00383B21" w:rsidRPr="00911998" w:rsidRDefault="00110623" w:rsidP="00383B21">
      <w:pPr>
        <w:pStyle w:val="Paragrsimple"/>
        <w:tabs>
          <w:tab w:val="clear" w:pos="360"/>
        </w:tabs>
      </w:pPr>
      <w:r w:rsidRPr="00911998">
        <w:t>En l’espèce</w:t>
      </w:r>
      <w:r w:rsidR="00737739" w:rsidRPr="00911998">
        <w:t>,</w:t>
      </w:r>
      <w:r w:rsidRPr="00911998">
        <w:t xml:space="preserve"> les projet</w:t>
      </w:r>
      <w:r w:rsidR="00662466" w:rsidRPr="00911998">
        <w:t>s</w:t>
      </w:r>
      <w:r w:rsidRPr="00911998">
        <w:t xml:space="preserve"> parentaux des </w:t>
      </w:r>
      <w:r w:rsidR="00662466" w:rsidRPr="00911998">
        <w:t>D</w:t>
      </w:r>
      <w:r w:rsidRPr="00911998">
        <w:t>emandeurs impliquaient toujours plus de deux personnes, ce qui exclut nécessairement l’application des dispositions régissant la filiation des enfants nés d’une procréation assistée</w:t>
      </w:r>
      <w:r w:rsidR="002D4D2B" w:rsidRPr="00911998">
        <w:rPr>
          <w:rStyle w:val="Appelnotedebasdep"/>
        </w:rPr>
        <w:footnoteReference w:id="57"/>
      </w:r>
      <w:r w:rsidRPr="00911998">
        <w:t xml:space="preserve">. Ces dispositions </w:t>
      </w:r>
      <w:r w:rsidR="001C5CD5">
        <w:t>demeur</w:t>
      </w:r>
      <w:r w:rsidR="00311CB0" w:rsidRPr="00911998">
        <w:t xml:space="preserve">ent néanmoins </w:t>
      </w:r>
      <w:r w:rsidRPr="00911998">
        <w:t xml:space="preserve">pertinentes pour comprendre l’économie </w:t>
      </w:r>
      <w:r w:rsidR="005677A6" w:rsidRPr="00911998">
        <w:t>générale</w:t>
      </w:r>
      <w:r w:rsidRPr="00911998">
        <w:t xml:space="preserve"> du C.c.Q. en matière de filiation</w:t>
      </w:r>
      <w:r w:rsidR="00737739" w:rsidRPr="00911998">
        <w:t xml:space="preserve"> et n</w:t>
      </w:r>
      <w:r w:rsidRPr="00911998">
        <w:t>ous y reviendrons</w:t>
      </w:r>
      <w:r w:rsidR="00737739" w:rsidRPr="00911998">
        <w:t xml:space="preserve"> également</w:t>
      </w:r>
      <w:r w:rsidRPr="00911998">
        <w:t>.</w:t>
      </w:r>
    </w:p>
    <w:p w14:paraId="37B77315" w14:textId="7BAC7E1A" w:rsidR="00110623" w:rsidRPr="00911998" w:rsidRDefault="000755CB" w:rsidP="00A95DAA">
      <w:pPr>
        <w:pStyle w:val="Paragrsimple"/>
        <w:tabs>
          <w:tab w:val="clear" w:pos="360"/>
        </w:tabs>
        <w:spacing w:after="240"/>
        <w:rPr>
          <w:sz w:val="22"/>
          <w:szCs w:val="22"/>
        </w:rPr>
      </w:pPr>
      <w:r w:rsidRPr="00911998">
        <w:lastRenderedPageBreak/>
        <w:t xml:space="preserve">Ainsi donc, </w:t>
      </w:r>
      <w:r w:rsidR="00311CB0" w:rsidRPr="00911998">
        <w:t>c’est</w:t>
      </w:r>
      <w:r w:rsidRPr="00911998">
        <w:t xml:space="preserve"> dans les dispositions régissant la filiation par le sang que les </w:t>
      </w:r>
      <w:r w:rsidR="00031BCB" w:rsidRPr="00911998">
        <w:t>D</w:t>
      </w:r>
      <w:r w:rsidRPr="00911998">
        <w:t xml:space="preserve">emandeurs doivent trouver une assise pour une </w:t>
      </w:r>
      <w:r w:rsidRPr="00911998">
        <w:rPr>
          <w:rFonts w:cs="Arial"/>
          <w:szCs w:val="24"/>
          <w:shd w:val="clear" w:color="auto" w:fill="FFFFFF"/>
        </w:rPr>
        <w:t>filiation</w:t>
      </w:r>
      <w:r w:rsidRPr="00911998">
        <w:t xml:space="preserve"> tripartite.</w:t>
      </w:r>
      <w:r w:rsidR="009227B9" w:rsidRPr="00911998">
        <w:t xml:space="preserve"> Au moment de la naissance de</w:t>
      </w:r>
      <w:r w:rsidR="00031BCB" w:rsidRPr="00911998">
        <w:t xml:space="preserve"> leur</w:t>
      </w:r>
      <w:r w:rsidR="009227B9" w:rsidRPr="00911998">
        <w:t xml:space="preserve">s </w:t>
      </w:r>
      <w:r w:rsidR="00031BCB" w:rsidRPr="00911998">
        <w:t>e</w:t>
      </w:r>
      <w:r w:rsidR="009227B9" w:rsidRPr="00911998">
        <w:t>nfants, ces dispositions se lisai</w:t>
      </w:r>
      <w:r w:rsidR="00767A9F" w:rsidRPr="00911998">
        <w:t>en</w:t>
      </w:r>
      <w:r w:rsidR="009227B9" w:rsidRPr="00911998">
        <w:t>t comme suit</w:t>
      </w:r>
      <w:r w:rsidR="00AB3CD4" w:rsidRPr="00911998">
        <w:rPr>
          <w:rStyle w:val="Appelnotedebasdep"/>
        </w:rPr>
        <w:footnoteReference w:id="58"/>
      </w:r>
      <w:r w:rsidR="009227B9" w:rsidRPr="00911998">
        <w:t> :</w:t>
      </w:r>
    </w:p>
    <w:tbl>
      <w:tblPr>
        <w:tblStyle w:val="Grilledutableau"/>
        <w:tblW w:w="0" w:type="auto"/>
        <w:tblInd w:w="279" w:type="dxa"/>
        <w:tblLook w:val="04A0" w:firstRow="1" w:lastRow="0" w:firstColumn="1" w:lastColumn="0" w:noHBand="0" w:noVBand="1"/>
      </w:tblPr>
      <w:tblGrid>
        <w:gridCol w:w="4394"/>
        <w:gridCol w:w="4536"/>
      </w:tblGrid>
      <w:tr w:rsidR="000E19AB" w:rsidRPr="00C62C88" w14:paraId="3D378AAC" w14:textId="77777777" w:rsidTr="009227B9">
        <w:tc>
          <w:tcPr>
            <w:tcW w:w="4394" w:type="dxa"/>
          </w:tcPr>
          <w:p w14:paraId="4E08033A" w14:textId="77777777" w:rsidR="009227B9" w:rsidRPr="00911998" w:rsidRDefault="009227B9" w:rsidP="009227B9">
            <w:pPr>
              <w:pStyle w:val="Paragrsimple"/>
              <w:numPr>
                <w:ilvl w:val="0"/>
                <w:numId w:val="0"/>
              </w:numPr>
              <w:spacing w:after="0"/>
              <w:rPr>
                <w:b/>
                <w:bCs/>
                <w:sz w:val="22"/>
                <w:szCs w:val="22"/>
                <w:lang w:eastAsia="fr-CA"/>
              </w:rPr>
            </w:pPr>
            <w:r w:rsidRPr="00911998">
              <w:rPr>
                <w:b/>
                <w:bCs/>
                <w:sz w:val="22"/>
                <w:szCs w:val="22"/>
              </w:rPr>
              <w:t>TITRE</w:t>
            </w:r>
            <w:r w:rsidRPr="00911998">
              <w:rPr>
                <w:b/>
                <w:bCs/>
                <w:sz w:val="22"/>
                <w:szCs w:val="22"/>
                <w:lang w:eastAsia="fr-CA"/>
              </w:rPr>
              <w:t> DEUXIÈME</w:t>
            </w:r>
          </w:p>
          <w:p w14:paraId="2470A74E" w14:textId="77777777" w:rsidR="009227B9" w:rsidRPr="00911998" w:rsidRDefault="009227B9" w:rsidP="009227B9">
            <w:pPr>
              <w:pStyle w:val="Paragrsimple"/>
              <w:numPr>
                <w:ilvl w:val="0"/>
                <w:numId w:val="0"/>
              </w:numPr>
              <w:spacing w:before="0"/>
              <w:rPr>
                <w:sz w:val="22"/>
                <w:szCs w:val="22"/>
                <w:lang w:eastAsia="fr-CA"/>
              </w:rPr>
            </w:pPr>
            <w:r w:rsidRPr="00911998">
              <w:rPr>
                <w:sz w:val="22"/>
                <w:szCs w:val="22"/>
                <w:lang w:eastAsia="fr-CA"/>
              </w:rPr>
              <w:t xml:space="preserve">DE LA </w:t>
            </w:r>
            <w:r w:rsidRPr="00911998">
              <w:rPr>
                <w:sz w:val="22"/>
                <w:szCs w:val="22"/>
              </w:rPr>
              <w:t>FILIATION</w:t>
            </w:r>
          </w:p>
          <w:p w14:paraId="10CF3002" w14:textId="77777777" w:rsidR="009227B9" w:rsidRPr="00911998" w:rsidRDefault="009227B9" w:rsidP="009227B9">
            <w:pPr>
              <w:pStyle w:val="Paragrsimple"/>
              <w:numPr>
                <w:ilvl w:val="0"/>
                <w:numId w:val="0"/>
              </w:numPr>
              <w:rPr>
                <w:i/>
                <w:iCs/>
                <w:sz w:val="22"/>
                <w:szCs w:val="22"/>
                <w:lang w:eastAsia="fr-CA"/>
              </w:rPr>
            </w:pPr>
            <w:r w:rsidRPr="00911998">
              <w:rPr>
                <w:i/>
                <w:iCs/>
                <w:sz w:val="22"/>
                <w:szCs w:val="22"/>
              </w:rPr>
              <w:t>DISPOSITION</w:t>
            </w:r>
            <w:r w:rsidRPr="00911998">
              <w:rPr>
                <w:i/>
                <w:iCs/>
                <w:sz w:val="22"/>
                <w:szCs w:val="22"/>
                <w:lang w:eastAsia="fr-CA"/>
              </w:rPr>
              <w:t xml:space="preserve"> GÉNÉRALE</w:t>
            </w:r>
          </w:p>
          <w:p w14:paraId="61E08C20" w14:textId="77777777" w:rsidR="009227B9" w:rsidRPr="00911998" w:rsidRDefault="009227B9" w:rsidP="009227B9">
            <w:pPr>
              <w:pStyle w:val="Paragrsimple"/>
              <w:numPr>
                <w:ilvl w:val="0"/>
                <w:numId w:val="0"/>
              </w:numPr>
              <w:rPr>
                <w:sz w:val="22"/>
                <w:szCs w:val="22"/>
                <w:lang w:eastAsia="fr-CA"/>
              </w:rPr>
            </w:pPr>
            <w:r w:rsidRPr="00911998">
              <w:rPr>
                <w:b/>
                <w:bCs/>
                <w:sz w:val="22"/>
                <w:szCs w:val="22"/>
                <w:lang w:eastAsia="fr-CA"/>
              </w:rPr>
              <w:t>522.</w:t>
            </w:r>
            <w:r w:rsidRPr="00911998">
              <w:rPr>
                <w:sz w:val="22"/>
                <w:szCs w:val="22"/>
                <w:lang w:eastAsia="fr-CA"/>
              </w:rPr>
              <w:t xml:space="preserve"> Tous les enfants dont la </w:t>
            </w:r>
            <w:r w:rsidRPr="00911998">
              <w:rPr>
                <w:sz w:val="22"/>
                <w:szCs w:val="22"/>
              </w:rPr>
              <w:t>filiation</w:t>
            </w:r>
            <w:r w:rsidRPr="00911998">
              <w:rPr>
                <w:sz w:val="22"/>
                <w:szCs w:val="22"/>
                <w:lang w:eastAsia="fr-CA"/>
              </w:rPr>
              <w:t xml:space="preserve"> est établie </w:t>
            </w:r>
            <w:r w:rsidRPr="00911998">
              <w:rPr>
                <w:sz w:val="22"/>
                <w:szCs w:val="22"/>
              </w:rPr>
              <w:t>ont</w:t>
            </w:r>
            <w:r w:rsidRPr="00911998">
              <w:rPr>
                <w:sz w:val="22"/>
                <w:szCs w:val="22"/>
                <w:lang w:eastAsia="fr-CA"/>
              </w:rPr>
              <w:t xml:space="preserve"> les mêmes droits et les mêmes obligations, quelles que </w:t>
            </w:r>
            <w:r w:rsidRPr="00911998">
              <w:rPr>
                <w:rFonts w:cs="Arial"/>
                <w:sz w:val="22"/>
                <w:szCs w:val="22"/>
              </w:rPr>
              <w:t>soient</w:t>
            </w:r>
            <w:r w:rsidRPr="00911998">
              <w:rPr>
                <w:sz w:val="22"/>
                <w:szCs w:val="22"/>
                <w:lang w:eastAsia="fr-CA"/>
              </w:rPr>
              <w:t xml:space="preserve"> les </w:t>
            </w:r>
            <w:r w:rsidRPr="00911998">
              <w:rPr>
                <w:sz w:val="22"/>
                <w:szCs w:val="22"/>
              </w:rPr>
              <w:t>circonstances</w:t>
            </w:r>
            <w:r w:rsidRPr="00911998">
              <w:rPr>
                <w:sz w:val="22"/>
                <w:szCs w:val="22"/>
                <w:lang w:eastAsia="fr-CA"/>
              </w:rPr>
              <w:t xml:space="preserve"> de leur naissance.</w:t>
            </w:r>
          </w:p>
          <w:p w14:paraId="08A50D76" w14:textId="77777777" w:rsidR="009227B9" w:rsidRPr="00911998" w:rsidRDefault="009227B9" w:rsidP="009227B9">
            <w:pPr>
              <w:rPr>
                <w:rFonts w:cs="Arial"/>
                <w:b/>
                <w:bCs/>
                <w:caps/>
                <w:sz w:val="22"/>
                <w:szCs w:val="22"/>
                <w:lang w:eastAsia="fr-CA"/>
              </w:rPr>
            </w:pPr>
            <w:r w:rsidRPr="00911998">
              <w:rPr>
                <w:rFonts w:cs="Arial"/>
                <w:b/>
                <w:bCs/>
                <w:caps/>
                <w:sz w:val="22"/>
                <w:szCs w:val="22"/>
                <w:lang w:eastAsia="fr-CA"/>
              </w:rPr>
              <w:t>CHAPITRE PREMIER</w:t>
            </w:r>
          </w:p>
          <w:p w14:paraId="3F0217BF" w14:textId="77777777" w:rsidR="009227B9" w:rsidRPr="00911998" w:rsidRDefault="009227B9" w:rsidP="009227B9">
            <w:pPr>
              <w:rPr>
                <w:rFonts w:cs="Arial"/>
                <w:caps/>
                <w:sz w:val="22"/>
                <w:szCs w:val="22"/>
                <w:lang w:eastAsia="fr-CA"/>
              </w:rPr>
            </w:pPr>
            <w:r w:rsidRPr="00911998">
              <w:rPr>
                <w:rFonts w:cs="Arial"/>
                <w:caps/>
                <w:sz w:val="22"/>
                <w:szCs w:val="22"/>
                <w:lang w:eastAsia="fr-CA"/>
              </w:rPr>
              <w:t>DE LA FILIATION PAR LE SANG</w:t>
            </w:r>
          </w:p>
          <w:p w14:paraId="4C12E320" w14:textId="77777777" w:rsidR="009227B9" w:rsidRPr="00911998" w:rsidRDefault="009227B9" w:rsidP="009227B9">
            <w:pPr>
              <w:rPr>
                <w:rFonts w:cs="Arial"/>
                <w:caps/>
                <w:sz w:val="22"/>
                <w:szCs w:val="22"/>
                <w:lang w:eastAsia="fr-CA"/>
              </w:rPr>
            </w:pPr>
          </w:p>
          <w:p w14:paraId="4E55D6D9" w14:textId="77777777" w:rsidR="009227B9" w:rsidRPr="00911998" w:rsidRDefault="009227B9" w:rsidP="009227B9">
            <w:pPr>
              <w:rPr>
                <w:rFonts w:cs="Arial"/>
                <w:sz w:val="22"/>
                <w:szCs w:val="22"/>
                <w:lang w:eastAsia="fr-CA"/>
              </w:rPr>
            </w:pPr>
            <w:bookmarkStart w:id="20" w:name="SECTION_I_DES_PREUVES_DE_LA_FILIATION_72"/>
            <w:bookmarkEnd w:id="20"/>
            <w:r w:rsidRPr="00911998">
              <w:rPr>
                <w:rFonts w:cs="Arial"/>
                <w:b/>
                <w:bCs/>
                <w:caps/>
                <w:sz w:val="22"/>
                <w:szCs w:val="22"/>
                <w:lang w:eastAsia="fr-CA"/>
              </w:rPr>
              <w:t>SECTION I</w:t>
            </w:r>
          </w:p>
          <w:p w14:paraId="4E202237" w14:textId="77777777" w:rsidR="009227B9" w:rsidRPr="00911998" w:rsidRDefault="009227B9" w:rsidP="009227B9">
            <w:pPr>
              <w:rPr>
                <w:rFonts w:cs="Arial"/>
                <w:caps/>
                <w:sz w:val="22"/>
                <w:szCs w:val="22"/>
                <w:lang w:eastAsia="fr-CA"/>
              </w:rPr>
            </w:pPr>
            <w:r w:rsidRPr="00911998">
              <w:rPr>
                <w:rFonts w:cs="Arial"/>
                <w:caps/>
                <w:sz w:val="22"/>
                <w:szCs w:val="22"/>
                <w:lang w:eastAsia="fr-CA"/>
              </w:rPr>
              <w:t>DES PREUVES DE LA FILIATION</w:t>
            </w:r>
          </w:p>
          <w:p w14:paraId="1748C03A" w14:textId="77777777" w:rsidR="009227B9" w:rsidRPr="00911998" w:rsidRDefault="009227B9" w:rsidP="009227B9">
            <w:pPr>
              <w:rPr>
                <w:rFonts w:cs="Arial"/>
                <w:caps/>
                <w:sz w:val="22"/>
                <w:szCs w:val="22"/>
                <w:lang w:eastAsia="fr-CA"/>
              </w:rPr>
            </w:pPr>
          </w:p>
          <w:p w14:paraId="41CD7A96" w14:textId="77777777" w:rsidR="009227B9" w:rsidRPr="00911998" w:rsidRDefault="009227B9" w:rsidP="009227B9">
            <w:pPr>
              <w:rPr>
                <w:rFonts w:cs="Arial"/>
                <w:sz w:val="22"/>
                <w:szCs w:val="22"/>
                <w:lang w:eastAsia="fr-CA"/>
              </w:rPr>
            </w:pPr>
            <w:bookmarkStart w:id="21" w:name="__1_Du_titre_et_de_la_possession_d_etat_"/>
            <w:bookmarkEnd w:id="21"/>
            <w:r w:rsidRPr="00911998">
              <w:rPr>
                <w:rFonts w:cs="Arial"/>
                <w:sz w:val="22"/>
                <w:szCs w:val="22"/>
                <w:lang w:eastAsia="fr-CA"/>
              </w:rPr>
              <w:t>§ 1.  —  </w:t>
            </w:r>
            <w:r w:rsidRPr="00911998">
              <w:rPr>
                <w:rFonts w:cs="Arial"/>
                <w:i/>
                <w:iCs/>
                <w:sz w:val="22"/>
                <w:szCs w:val="22"/>
                <w:lang w:eastAsia="fr-CA"/>
              </w:rPr>
              <w:t>Du titre et de la possession d’état</w:t>
            </w:r>
          </w:p>
          <w:p w14:paraId="64CA1162" w14:textId="77777777" w:rsidR="009227B9" w:rsidRPr="00911998" w:rsidRDefault="009227B9" w:rsidP="009227B9">
            <w:pPr>
              <w:pStyle w:val="Paragrsimple"/>
              <w:numPr>
                <w:ilvl w:val="0"/>
                <w:numId w:val="0"/>
              </w:numPr>
              <w:rPr>
                <w:sz w:val="22"/>
                <w:szCs w:val="22"/>
                <w:lang w:eastAsia="fr-CA"/>
              </w:rPr>
            </w:pPr>
            <w:r w:rsidRPr="00911998">
              <w:rPr>
                <w:b/>
                <w:bCs/>
                <w:sz w:val="22"/>
                <w:szCs w:val="22"/>
                <w:lang w:eastAsia="fr-CA"/>
              </w:rPr>
              <w:t>523.</w:t>
            </w:r>
            <w:r w:rsidRPr="00911998">
              <w:rPr>
                <w:sz w:val="22"/>
                <w:szCs w:val="22"/>
                <w:lang w:eastAsia="fr-CA"/>
              </w:rPr>
              <w:t xml:space="preserve"> La filiation tant paternelle que maternelle se </w:t>
            </w:r>
            <w:r w:rsidRPr="00911998">
              <w:rPr>
                <w:rFonts w:cs="Arial"/>
                <w:kern w:val="0"/>
                <w:sz w:val="22"/>
                <w:szCs w:val="22"/>
                <w:lang w:eastAsia="fr-CA"/>
              </w:rPr>
              <w:t>prouve</w:t>
            </w:r>
            <w:r w:rsidRPr="00911998">
              <w:rPr>
                <w:sz w:val="22"/>
                <w:szCs w:val="22"/>
                <w:lang w:eastAsia="fr-CA"/>
              </w:rPr>
              <w:t xml:space="preserve"> par l’acte de naissance, quelles que soient les circonstances de la naissance de l’enfant.</w:t>
            </w:r>
          </w:p>
          <w:p w14:paraId="3709BDC9" w14:textId="77777777" w:rsidR="009227B9" w:rsidRPr="00911998" w:rsidRDefault="009227B9" w:rsidP="009227B9">
            <w:pPr>
              <w:pStyle w:val="Paragrsimple"/>
              <w:numPr>
                <w:ilvl w:val="0"/>
                <w:numId w:val="0"/>
              </w:numPr>
              <w:rPr>
                <w:sz w:val="22"/>
                <w:szCs w:val="22"/>
                <w:lang w:eastAsia="fr-CA"/>
              </w:rPr>
            </w:pPr>
            <w:r w:rsidRPr="00911998">
              <w:rPr>
                <w:sz w:val="22"/>
                <w:szCs w:val="22"/>
                <w:lang w:eastAsia="fr-CA"/>
              </w:rPr>
              <w:t xml:space="preserve">À défaut de ce titre, la possession </w:t>
            </w:r>
            <w:r w:rsidRPr="00911998">
              <w:rPr>
                <w:sz w:val="22"/>
                <w:szCs w:val="22"/>
              </w:rPr>
              <w:t>constante</w:t>
            </w:r>
            <w:r w:rsidRPr="00911998">
              <w:rPr>
                <w:sz w:val="22"/>
                <w:szCs w:val="22"/>
                <w:lang w:eastAsia="fr-CA"/>
              </w:rPr>
              <w:t xml:space="preserve"> d’état suffit.</w:t>
            </w:r>
          </w:p>
          <w:p w14:paraId="3184409B" w14:textId="77777777" w:rsidR="009227B9" w:rsidRPr="00911998" w:rsidRDefault="009227B9" w:rsidP="009227B9">
            <w:pPr>
              <w:pStyle w:val="Paragrsimple"/>
              <w:numPr>
                <w:ilvl w:val="0"/>
                <w:numId w:val="0"/>
              </w:numPr>
              <w:rPr>
                <w:sz w:val="22"/>
                <w:szCs w:val="22"/>
                <w:lang w:eastAsia="fr-CA"/>
              </w:rPr>
            </w:pPr>
            <w:r w:rsidRPr="00911998">
              <w:rPr>
                <w:b/>
                <w:bCs/>
                <w:sz w:val="22"/>
                <w:szCs w:val="22"/>
                <w:lang w:eastAsia="fr-CA"/>
              </w:rPr>
              <w:t>524.</w:t>
            </w:r>
            <w:r w:rsidRPr="00911998">
              <w:rPr>
                <w:sz w:val="22"/>
                <w:szCs w:val="22"/>
                <w:lang w:eastAsia="fr-CA"/>
              </w:rPr>
              <w:t> La possession constante d’état s’établit par une réunion suffisante de faits qui indiquent les rapports de filiation entre l’enfant et les personnes dont on le dit issu.</w:t>
            </w:r>
          </w:p>
          <w:p w14:paraId="04CDE378" w14:textId="77777777" w:rsidR="00BF277E" w:rsidRPr="00911998" w:rsidRDefault="00BF277E" w:rsidP="00BF277E">
            <w:pPr>
              <w:rPr>
                <w:sz w:val="22"/>
                <w:szCs w:val="22"/>
                <w:lang w:eastAsia="fr-CA"/>
              </w:rPr>
            </w:pPr>
          </w:p>
          <w:p w14:paraId="69DA9A11" w14:textId="77777777" w:rsidR="00BF277E" w:rsidRPr="00911998" w:rsidRDefault="00BF277E" w:rsidP="00BF277E">
            <w:pPr>
              <w:rPr>
                <w:sz w:val="22"/>
                <w:szCs w:val="22"/>
                <w:lang w:eastAsia="fr-CA"/>
              </w:rPr>
            </w:pPr>
          </w:p>
          <w:p w14:paraId="243AC7D0" w14:textId="77777777" w:rsidR="009227B9" w:rsidRPr="00911998" w:rsidRDefault="009227B9" w:rsidP="009227B9">
            <w:pPr>
              <w:rPr>
                <w:rFonts w:cs="Arial"/>
                <w:sz w:val="22"/>
                <w:szCs w:val="22"/>
                <w:lang w:eastAsia="fr-CA"/>
              </w:rPr>
            </w:pPr>
            <w:r w:rsidRPr="00911998">
              <w:rPr>
                <w:rFonts w:cs="Arial"/>
                <w:sz w:val="22"/>
                <w:szCs w:val="22"/>
                <w:lang w:eastAsia="fr-CA"/>
              </w:rPr>
              <w:t>§ 2.  —  </w:t>
            </w:r>
            <w:r w:rsidRPr="00911998">
              <w:rPr>
                <w:rFonts w:cs="Arial"/>
                <w:i/>
                <w:iCs/>
                <w:sz w:val="22"/>
                <w:szCs w:val="22"/>
                <w:lang w:eastAsia="fr-CA"/>
              </w:rPr>
              <w:t>De la présomption de paternité</w:t>
            </w:r>
          </w:p>
          <w:p w14:paraId="1438C290" w14:textId="77777777" w:rsidR="009227B9" w:rsidRPr="00911998" w:rsidRDefault="009227B9" w:rsidP="009227B9">
            <w:pPr>
              <w:pStyle w:val="Paragrsimple"/>
              <w:numPr>
                <w:ilvl w:val="0"/>
                <w:numId w:val="0"/>
              </w:numPr>
              <w:rPr>
                <w:sz w:val="22"/>
                <w:szCs w:val="22"/>
                <w:lang w:eastAsia="fr-CA"/>
              </w:rPr>
            </w:pPr>
            <w:r w:rsidRPr="00911998">
              <w:rPr>
                <w:b/>
                <w:bCs/>
                <w:sz w:val="22"/>
                <w:szCs w:val="22"/>
                <w:lang w:eastAsia="fr-CA"/>
              </w:rPr>
              <w:t>525.</w:t>
            </w:r>
            <w:r w:rsidRPr="00911998">
              <w:rPr>
                <w:sz w:val="22"/>
                <w:szCs w:val="22"/>
                <w:lang w:eastAsia="fr-CA"/>
              </w:rPr>
              <w:t> L’enfant né pendant le mariage ou l’union civile de personnes de sexe différent ou dans les 300 jours après sa dissolution ou son annulation est présumé avoir pour père le conjoint de sa mère.</w:t>
            </w:r>
          </w:p>
          <w:p w14:paraId="608CC682" w14:textId="77777777" w:rsidR="009227B9" w:rsidRPr="00911998" w:rsidRDefault="009227B9" w:rsidP="009227B9">
            <w:pPr>
              <w:pStyle w:val="Paragrsimple"/>
              <w:numPr>
                <w:ilvl w:val="0"/>
                <w:numId w:val="0"/>
              </w:numPr>
              <w:rPr>
                <w:sz w:val="22"/>
                <w:szCs w:val="22"/>
                <w:lang w:eastAsia="fr-CA"/>
              </w:rPr>
            </w:pPr>
            <w:r w:rsidRPr="00911998">
              <w:rPr>
                <w:sz w:val="22"/>
                <w:szCs w:val="22"/>
                <w:lang w:eastAsia="fr-CA"/>
              </w:rPr>
              <w:lastRenderedPageBreak/>
              <w:t xml:space="preserve">Cette présomption de paternité est écartée lorsque l’enfant naît plus de 300 jours après le jugement prononçant la </w:t>
            </w:r>
            <w:r w:rsidRPr="00911998">
              <w:rPr>
                <w:rFonts w:cs="Arial"/>
                <w:kern w:val="0"/>
                <w:sz w:val="22"/>
                <w:szCs w:val="22"/>
                <w:lang w:eastAsia="fr-CA"/>
              </w:rPr>
              <w:t>séparation</w:t>
            </w:r>
            <w:r w:rsidRPr="00911998">
              <w:rPr>
                <w:sz w:val="22"/>
                <w:szCs w:val="22"/>
                <w:lang w:eastAsia="fr-CA"/>
              </w:rPr>
              <w:t xml:space="preserve"> de corps des époux, sauf s’il y a eu reprise volontaire de la vie commune </w:t>
            </w:r>
            <w:r w:rsidRPr="00911998">
              <w:rPr>
                <w:sz w:val="22"/>
                <w:szCs w:val="22"/>
              </w:rPr>
              <w:t>avant</w:t>
            </w:r>
            <w:r w:rsidRPr="00911998">
              <w:rPr>
                <w:sz w:val="22"/>
                <w:szCs w:val="22"/>
                <w:lang w:eastAsia="fr-CA"/>
              </w:rPr>
              <w:t xml:space="preserve"> la naissance.</w:t>
            </w:r>
          </w:p>
          <w:p w14:paraId="1CBF28A1" w14:textId="13A84BE9" w:rsidR="009227B9" w:rsidRPr="00911998" w:rsidRDefault="009227B9" w:rsidP="009227B9">
            <w:pPr>
              <w:pStyle w:val="Paragrsimple"/>
              <w:numPr>
                <w:ilvl w:val="0"/>
                <w:numId w:val="0"/>
              </w:numPr>
              <w:rPr>
                <w:sz w:val="22"/>
                <w:szCs w:val="22"/>
                <w:lang w:eastAsia="fr-CA"/>
              </w:rPr>
            </w:pPr>
            <w:r w:rsidRPr="00911998">
              <w:rPr>
                <w:sz w:val="22"/>
                <w:szCs w:val="22"/>
                <w:lang w:eastAsia="fr-CA"/>
              </w:rPr>
              <w:t xml:space="preserve">La présomption est également écartée à l’égard de l’ex-conjoint lorsque l’enfant est né dans les 300 jours de la dissolution ou de l’annulation du mariage </w:t>
            </w:r>
            <w:r w:rsidRPr="00911998">
              <w:rPr>
                <w:rFonts w:cs="Arial"/>
                <w:kern w:val="0"/>
                <w:sz w:val="22"/>
                <w:szCs w:val="22"/>
                <w:lang w:eastAsia="fr-CA"/>
              </w:rPr>
              <w:t>ou</w:t>
            </w:r>
            <w:r w:rsidRPr="00911998">
              <w:rPr>
                <w:sz w:val="22"/>
                <w:szCs w:val="22"/>
                <w:lang w:eastAsia="fr-CA"/>
              </w:rPr>
              <w:t xml:space="preserve"> de l’union civile, mais après le mariage </w:t>
            </w:r>
            <w:r w:rsidRPr="00911998">
              <w:rPr>
                <w:sz w:val="22"/>
                <w:szCs w:val="22"/>
              </w:rPr>
              <w:t>ou</w:t>
            </w:r>
            <w:r w:rsidRPr="00911998">
              <w:rPr>
                <w:sz w:val="22"/>
                <w:szCs w:val="22"/>
                <w:lang w:eastAsia="fr-CA"/>
              </w:rPr>
              <w:t xml:space="preserve"> l’union civile subséquent de sa mère.</w:t>
            </w:r>
          </w:p>
          <w:p w14:paraId="5D873810" w14:textId="77777777" w:rsidR="009227B9" w:rsidRPr="00911998" w:rsidRDefault="009227B9" w:rsidP="009227B9">
            <w:pPr>
              <w:rPr>
                <w:rFonts w:cs="Arial"/>
                <w:sz w:val="22"/>
                <w:szCs w:val="22"/>
                <w:lang w:eastAsia="fr-CA"/>
              </w:rPr>
            </w:pPr>
            <w:r w:rsidRPr="00911998">
              <w:rPr>
                <w:rFonts w:cs="Arial"/>
                <w:sz w:val="22"/>
                <w:szCs w:val="22"/>
                <w:lang w:eastAsia="fr-CA"/>
              </w:rPr>
              <w:t>§ 3.  —  </w:t>
            </w:r>
            <w:r w:rsidRPr="00911998">
              <w:rPr>
                <w:rFonts w:cs="Arial"/>
                <w:i/>
                <w:iCs/>
                <w:sz w:val="22"/>
                <w:szCs w:val="22"/>
                <w:lang w:eastAsia="fr-CA"/>
              </w:rPr>
              <w:t>De la reconnaissance volontaire</w:t>
            </w:r>
          </w:p>
          <w:p w14:paraId="3C5451C4" w14:textId="277EAC09" w:rsidR="009227B9" w:rsidRPr="00911998" w:rsidRDefault="009227B9" w:rsidP="009227B9">
            <w:pPr>
              <w:pStyle w:val="Paragrsimple"/>
              <w:numPr>
                <w:ilvl w:val="0"/>
                <w:numId w:val="0"/>
              </w:numPr>
              <w:rPr>
                <w:rFonts w:cs="Arial"/>
                <w:kern w:val="0"/>
                <w:sz w:val="22"/>
                <w:szCs w:val="22"/>
                <w:lang w:eastAsia="fr-CA"/>
              </w:rPr>
            </w:pPr>
            <w:bookmarkStart w:id="22" w:name="art526"/>
            <w:bookmarkEnd w:id="22"/>
            <w:r w:rsidRPr="00911998">
              <w:rPr>
                <w:rFonts w:cs="Arial"/>
                <w:b/>
                <w:bCs/>
                <w:kern w:val="0"/>
                <w:sz w:val="22"/>
                <w:szCs w:val="22"/>
                <w:lang w:eastAsia="fr-CA"/>
              </w:rPr>
              <w:t>526.</w:t>
            </w:r>
            <w:r w:rsidRPr="00911998">
              <w:rPr>
                <w:rFonts w:cs="Arial"/>
                <w:kern w:val="0"/>
                <w:sz w:val="22"/>
                <w:szCs w:val="22"/>
                <w:lang w:eastAsia="fr-CA"/>
              </w:rPr>
              <w:t> Si la maternité ou la paternité ne peut être déterminée par application des articles qui précèdent, la filiation de l’enfant peut aussi être établie par reconnaissance volontaire.</w:t>
            </w:r>
          </w:p>
          <w:p w14:paraId="320DF17C" w14:textId="77777777" w:rsidR="009227B9" w:rsidRPr="00911998" w:rsidRDefault="009227B9" w:rsidP="00BF277E">
            <w:pPr>
              <w:pStyle w:val="Paragrsimple"/>
              <w:numPr>
                <w:ilvl w:val="0"/>
                <w:numId w:val="0"/>
              </w:numPr>
              <w:rPr>
                <w:rFonts w:cs="Arial"/>
                <w:sz w:val="22"/>
                <w:szCs w:val="22"/>
                <w:lang w:eastAsia="fr-CA"/>
              </w:rPr>
            </w:pPr>
            <w:r w:rsidRPr="00911998">
              <w:rPr>
                <w:rFonts w:cs="Arial"/>
                <w:b/>
                <w:bCs/>
                <w:sz w:val="22"/>
                <w:szCs w:val="22"/>
                <w:lang w:eastAsia="fr-CA"/>
              </w:rPr>
              <w:t>527.</w:t>
            </w:r>
            <w:r w:rsidRPr="00911998">
              <w:rPr>
                <w:rFonts w:cs="Arial"/>
                <w:sz w:val="22"/>
                <w:szCs w:val="22"/>
                <w:lang w:eastAsia="fr-CA"/>
              </w:rPr>
              <w:t> La reconnaissance de maternité résulte de la déclaration faite par une femme qu’elle est la mère de l’enfant.</w:t>
            </w:r>
          </w:p>
          <w:p w14:paraId="5BF5EC26" w14:textId="77777777" w:rsidR="009227B9" w:rsidRPr="00911998" w:rsidRDefault="009227B9" w:rsidP="00BF277E">
            <w:pPr>
              <w:pStyle w:val="Paragrsimple"/>
              <w:numPr>
                <w:ilvl w:val="0"/>
                <w:numId w:val="0"/>
              </w:numPr>
              <w:rPr>
                <w:rFonts w:cs="Arial"/>
                <w:sz w:val="22"/>
                <w:szCs w:val="22"/>
                <w:lang w:eastAsia="fr-CA"/>
              </w:rPr>
            </w:pPr>
            <w:r w:rsidRPr="00911998">
              <w:rPr>
                <w:rFonts w:cs="Arial"/>
                <w:sz w:val="22"/>
                <w:szCs w:val="22"/>
                <w:lang w:eastAsia="fr-CA"/>
              </w:rPr>
              <w:t xml:space="preserve">La reconnaissance de paternité résulte de la </w:t>
            </w:r>
            <w:r w:rsidRPr="00911998">
              <w:rPr>
                <w:rFonts w:cs="Arial"/>
                <w:kern w:val="0"/>
                <w:sz w:val="22"/>
                <w:szCs w:val="22"/>
                <w:lang w:eastAsia="fr-CA"/>
              </w:rPr>
              <w:t>déclaration</w:t>
            </w:r>
            <w:r w:rsidRPr="00911998">
              <w:rPr>
                <w:rFonts w:cs="Arial"/>
                <w:sz w:val="22"/>
                <w:szCs w:val="22"/>
                <w:lang w:eastAsia="fr-CA"/>
              </w:rPr>
              <w:t xml:space="preserve"> faite par un homme qu’il est le père de l’enfant.</w:t>
            </w:r>
          </w:p>
          <w:p w14:paraId="0C880C12" w14:textId="77777777" w:rsidR="009227B9" w:rsidRPr="00911998" w:rsidRDefault="009227B9" w:rsidP="00BF277E">
            <w:pPr>
              <w:pStyle w:val="Paragrsimple"/>
              <w:numPr>
                <w:ilvl w:val="0"/>
                <w:numId w:val="0"/>
              </w:numPr>
              <w:rPr>
                <w:rFonts w:cs="Arial"/>
                <w:sz w:val="22"/>
                <w:szCs w:val="22"/>
                <w:lang w:eastAsia="fr-CA"/>
              </w:rPr>
            </w:pPr>
            <w:bookmarkStart w:id="23" w:name="art528"/>
            <w:bookmarkEnd w:id="23"/>
            <w:r w:rsidRPr="00911998">
              <w:rPr>
                <w:rFonts w:cs="Arial"/>
                <w:b/>
                <w:bCs/>
                <w:sz w:val="22"/>
                <w:szCs w:val="22"/>
                <w:lang w:eastAsia="fr-CA"/>
              </w:rPr>
              <w:t>528.</w:t>
            </w:r>
            <w:r w:rsidRPr="00911998">
              <w:rPr>
                <w:rFonts w:cs="Arial"/>
                <w:sz w:val="22"/>
                <w:szCs w:val="22"/>
                <w:lang w:eastAsia="fr-CA"/>
              </w:rPr>
              <w:t xml:space="preserve"> La </w:t>
            </w:r>
            <w:r w:rsidRPr="00911998">
              <w:rPr>
                <w:rFonts w:cs="Arial"/>
                <w:kern w:val="0"/>
                <w:sz w:val="22"/>
                <w:szCs w:val="22"/>
                <w:lang w:eastAsia="fr-CA"/>
              </w:rPr>
              <w:t>seule</w:t>
            </w:r>
            <w:r w:rsidRPr="00911998">
              <w:rPr>
                <w:rFonts w:cs="Arial"/>
                <w:sz w:val="22"/>
                <w:szCs w:val="22"/>
                <w:lang w:eastAsia="fr-CA"/>
              </w:rPr>
              <w:t xml:space="preserve"> reconnaissance de maternité ou de paternité ne lie que son auteur.</w:t>
            </w:r>
          </w:p>
          <w:p w14:paraId="7033720B" w14:textId="2CAFD4C9" w:rsidR="009227B9" w:rsidRPr="00911998" w:rsidRDefault="009227B9" w:rsidP="009227B9">
            <w:pPr>
              <w:pStyle w:val="Paragrsimple"/>
              <w:numPr>
                <w:ilvl w:val="0"/>
                <w:numId w:val="0"/>
              </w:numPr>
              <w:rPr>
                <w:sz w:val="22"/>
                <w:szCs w:val="22"/>
              </w:rPr>
            </w:pPr>
            <w:bookmarkStart w:id="24" w:name="art529"/>
            <w:bookmarkEnd w:id="24"/>
            <w:r w:rsidRPr="00911998">
              <w:rPr>
                <w:rFonts w:cs="Arial"/>
                <w:b/>
                <w:bCs/>
                <w:kern w:val="0"/>
                <w:sz w:val="22"/>
                <w:szCs w:val="22"/>
                <w:lang w:eastAsia="fr-CA"/>
              </w:rPr>
              <w:t>529.</w:t>
            </w:r>
            <w:r w:rsidRPr="00911998">
              <w:rPr>
                <w:rFonts w:cs="Arial"/>
                <w:kern w:val="0"/>
                <w:sz w:val="22"/>
                <w:szCs w:val="22"/>
                <w:lang w:eastAsia="fr-CA"/>
              </w:rPr>
              <w:t> On ne peut contredire par la seule reconnaissance de maternité ou de paternité une filiation déjà établie et non infirmée en justice.</w:t>
            </w:r>
          </w:p>
        </w:tc>
        <w:tc>
          <w:tcPr>
            <w:tcW w:w="4536" w:type="dxa"/>
          </w:tcPr>
          <w:p w14:paraId="42241FFC" w14:textId="77777777" w:rsidR="00C9672D" w:rsidRPr="00911998" w:rsidRDefault="00C9672D" w:rsidP="001C5CD5">
            <w:pPr>
              <w:spacing w:before="120"/>
              <w:rPr>
                <w:rFonts w:ascii="Times New Roman" w:hAnsi="Times New Roman"/>
                <w:b/>
                <w:bCs/>
                <w:i/>
                <w:iCs/>
                <w:caps/>
                <w:sz w:val="22"/>
                <w:szCs w:val="22"/>
                <w:lang w:val="en-CA" w:eastAsia="fr-CA"/>
              </w:rPr>
            </w:pPr>
            <w:r w:rsidRPr="00911998">
              <w:rPr>
                <w:b/>
                <w:bCs/>
                <w:i/>
                <w:iCs/>
                <w:caps/>
                <w:sz w:val="22"/>
                <w:szCs w:val="22"/>
                <w:lang w:val="en-CA"/>
              </w:rPr>
              <w:lastRenderedPageBreak/>
              <w:t>TITLE TWO</w:t>
            </w:r>
          </w:p>
          <w:p w14:paraId="7EEBE51A" w14:textId="77777777" w:rsidR="00C9672D" w:rsidRPr="00911998" w:rsidRDefault="00C9672D" w:rsidP="00C9672D">
            <w:pPr>
              <w:rPr>
                <w:i/>
                <w:iCs/>
                <w:caps/>
                <w:sz w:val="22"/>
                <w:szCs w:val="22"/>
                <w:lang w:val="en-CA"/>
              </w:rPr>
            </w:pPr>
            <w:r w:rsidRPr="00911998">
              <w:rPr>
                <w:i/>
                <w:iCs/>
                <w:caps/>
                <w:sz w:val="22"/>
                <w:szCs w:val="22"/>
                <w:lang w:val="en-CA"/>
              </w:rPr>
              <w:t>FILIATION</w:t>
            </w:r>
          </w:p>
          <w:p w14:paraId="19D4F348" w14:textId="77777777" w:rsidR="00C9672D" w:rsidRPr="00911998" w:rsidRDefault="00C9672D" w:rsidP="00C9672D">
            <w:pPr>
              <w:rPr>
                <w:i/>
                <w:iCs/>
                <w:caps/>
                <w:sz w:val="22"/>
                <w:szCs w:val="22"/>
                <w:lang w:val="en-CA"/>
              </w:rPr>
            </w:pPr>
          </w:p>
          <w:p w14:paraId="3AC11F7D" w14:textId="77777777" w:rsidR="00C9672D" w:rsidRPr="00911998" w:rsidRDefault="00C9672D" w:rsidP="00C9672D">
            <w:pPr>
              <w:rPr>
                <w:i/>
                <w:iCs/>
                <w:sz w:val="22"/>
                <w:szCs w:val="22"/>
                <w:lang w:val="en-CA"/>
              </w:rPr>
            </w:pPr>
            <w:r w:rsidRPr="00911998">
              <w:rPr>
                <w:i/>
                <w:iCs/>
                <w:sz w:val="22"/>
                <w:szCs w:val="22"/>
                <w:lang w:val="en-CA"/>
              </w:rPr>
              <w:t>GENERAL PROVISION</w:t>
            </w:r>
          </w:p>
          <w:p w14:paraId="3D78F9A4" w14:textId="77777777" w:rsidR="00C9672D" w:rsidRPr="00911998" w:rsidRDefault="00C9672D" w:rsidP="00C9672D">
            <w:pPr>
              <w:rPr>
                <w:i/>
                <w:iCs/>
                <w:sz w:val="22"/>
                <w:szCs w:val="22"/>
                <w:lang w:val="en-CA"/>
              </w:rPr>
            </w:pPr>
          </w:p>
          <w:p w14:paraId="1DE1E0CB" w14:textId="77777777" w:rsidR="00C9672D" w:rsidRPr="00911998" w:rsidRDefault="00C9672D" w:rsidP="00BF277E">
            <w:pPr>
              <w:pStyle w:val="Paragrsimple"/>
              <w:numPr>
                <w:ilvl w:val="0"/>
                <w:numId w:val="0"/>
              </w:numPr>
              <w:rPr>
                <w:i/>
                <w:iCs/>
                <w:sz w:val="22"/>
                <w:szCs w:val="22"/>
                <w:lang w:val="en-CA"/>
              </w:rPr>
            </w:pPr>
            <w:bookmarkStart w:id="25" w:name="sec522"/>
            <w:bookmarkEnd w:id="25"/>
            <w:r w:rsidRPr="00911998">
              <w:rPr>
                <w:rStyle w:val="canliisection"/>
                <w:rFonts w:cs="Arial"/>
                <w:b/>
                <w:bCs/>
                <w:i/>
                <w:iCs/>
                <w:sz w:val="22"/>
                <w:szCs w:val="22"/>
                <w:lang w:val="en-CA"/>
              </w:rPr>
              <w:t>522</w:t>
            </w:r>
            <w:r w:rsidRPr="00911998">
              <w:rPr>
                <w:rStyle w:val="label-section"/>
                <w:rFonts w:cs="Arial"/>
                <w:b/>
                <w:bCs/>
                <w:i/>
                <w:iCs/>
                <w:sz w:val="22"/>
                <w:szCs w:val="22"/>
                <w:lang w:val="en-CA"/>
              </w:rPr>
              <w:t>.</w:t>
            </w:r>
            <w:r w:rsidRPr="00911998">
              <w:rPr>
                <w:i/>
                <w:iCs/>
                <w:sz w:val="22"/>
                <w:szCs w:val="22"/>
                <w:lang w:val="en-CA"/>
              </w:rPr>
              <w:t> </w:t>
            </w:r>
            <w:r w:rsidRPr="00911998">
              <w:rPr>
                <w:rStyle w:val="subsection"/>
                <w:i/>
                <w:iCs/>
                <w:sz w:val="22"/>
                <w:szCs w:val="22"/>
                <w:lang w:val="en-CA"/>
              </w:rPr>
              <w:t>All children whose filiation is established have the same rights and obligations, regardless of their circumstances of birth.</w:t>
            </w:r>
          </w:p>
          <w:p w14:paraId="3BE9BEA9" w14:textId="25A1D8D5" w:rsidR="00C9672D" w:rsidRPr="00911998" w:rsidRDefault="00C9672D" w:rsidP="00C9672D">
            <w:pPr>
              <w:rPr>
                <w:b/>
                <w:bCs/>
                <w:i/>
                <w:iCs/>
                <w:caps/>
                <w:sz w:val="22"/>
                <w:szCs w:val="22"/>
                <w:lang w:val="en-CA"/>
              </w:rPr>
            </w:pPr>
            <w:bookmarkStart w:id="26" w:name="CHAPTER_I_FILIATION_BY_BLOOD_763256"/>
            <w:bookmarkEnd w:id="26"/>
            <w:r w:rsidRPr="00911998">
              <w:rPr>
                <w:b/>
                <w:bCs/>
                <w:i/>
                <w:iCs/>
                <w:caps/>
                <w:sz w:val="22"/>
                <w:szCs w:val="22"/>
                <w:lang w:val="en-CA"/>
              </w:rPr>
              <w:t>CHAPTER I</w:t>
            </w:r>
          </w:p>
          <w:p w14:paraId="11442C0B" w14:textId="77777777" w:rsidR="00C9672D" w:rsidRPr="00911998" w:rsidRDefault="00C9672D" w:rsidP="00C9672D">
            <w:pPr>
              <w:rPr>
                <w:i/>
                <w:iCs/>
                <w:caps/>
                <w:sz w:val="22"/>
                <w:szCs w:val="22"/>
                <w:lang w:val="en-CA"/>
              </w:rPr>
            </w:pPr>
            <w:r w:rsidRPr="00911998">
              <w:rPr>
                <w:i/>
                <w:iCs/>
                <w:caps/>
                <w:sz w:val="22"/>
                <w:szCs w:val="22"/>
                <w:lang w:val="en-CA"/>
              </w:rPr>
              <w:t>FILIATION BY BLOOD</w:t>
            </w:r>
          </w:p>
          <w:p w14:paraId="4B87EB78" w14:textId="77777777" w:rsidR="00C9672D" w:rsidRPr="00911998" w:rsidRDefault="00C9672D" w:rsidP="00C9672D">
            <w:pPr>
              <w:rPr>
                <w:i/>
                <w:iCs/>
                <w:caps/>
                <w:sz w:val="22"/>
                <w:szCs w:val="22"/>
                <w:lang w:val="en-CA"/>
              </w:rPr>
            </w:pPr>
          </w:p>
          <w:p w14:paraId="7F5A62E1" w14:textId="77777777" w:rsidR="00C9672D" w:rsidRPr="00911998" w:rsidRDefault="00C9672D" w:rsidP="00C9672D">
            <w:pPr>
              <w:rPr>
                <w:i/>
                <w:iCs/>
                <w:sz w:val="22"/>
                <w:szCs w:val="22"/>
                <w:lang w:val="en-CA"/>
              </w:rPr>
            </w:pPr>
            <w:bookmarkStart w:id="27" w:name="DIVISION_I_PROOF_OF_FILIATION_763642"/>
            <w:bookmarkEnd w:id="27"/>
            <w:r w:rsidRPr="00911998">
              <w:rPr>
                <w:rStyle w:val="label-group5"/>
                <w:b/>
                <w:bCs/>
                <w:i/>
                <w:iCs/>
                <w:caps/>
                <w:sz w:val="22"/>
                <w:szCs w:val="22"/>
                <w:lang w:val="en-CA"/>
              </w:rPr>
              <w:t>DIVISION I</w:t>
            </w:r>
          </w:p>
          <w:p w14:paraId="49905D7B" w14:textId="77777777" w:rsidR="00C9672D" w:rsidRPr="00911998" w:rsidRDefault="00C9672D" w:rsidP="00C9672D">
            <w:pPr>
              <w:rPr>
                <w:i/>
                <w:iCs/>
                <w:caps/>
                <w:sz w:val="22"/>
                <w:szCs w:val="22"/>
                <w:lang w:val="en-CA"/>
              </w:rPr>
            </w:pPr>
            <w:r w:rsidRPr="00911998">
              <w:rPr>
                <w:i/>
                <w:iCs/>
                <w:caps/>
                <w:sz w:val="22"/>
                <w:szCs w:val="22"/>
                <w:lang w:val="en-CA"/>
              </w:rPr>
              <w:t>PROOF OF FILIATION</w:t>
            </w:r>
          </w:p>
          <w:p w14:paraId="03002531" w14:textId="77777777" w:rsidR="00C9672D" w:rsidRPr="00911998" w:rsidRDefault="00C9672D" w:rsidP="00C9672D">
            <w:pPr>
              <w:rPr>
                <w:i/>
                <w:iCs/>
                <w:caps/>
                <w:sz w:val="22"/>
                <w:szCs w:val="22"/>
                <w:lang w:val="en-CA"/>
              </w:rPr>
            </w:pPr>
          </w:p>
          <w:p w14:paraId="425F0862" w14:textId="77777777" w:rsidR="00C9672D" w:rsidRPr="00911998" w:rsidRDefault="00C9672D" w:rsidP="00C9672D">
            <w:pPr>
              <w:rPr>
                <w:rStyle w:val="titletext-group6"/>
                <w:i/>
                <w:iCs/>
                <w:sz w:val="22"/>
                <w:szCs w:val="22"/>
                <w:lang w:val="en-CA"/>
              </w:rPr>
            </w:pPr>
            <w:bookmarkStart w:id="28" w:name="__1_Title_and_possession_of_status_76404"/>
            <w:bookmarkEnd w:id="28"/>
            <w:r w:rsidRPr="00911998">
              <w:rPr>
                <w:rStyle w:val="label-group6"/>
                <w:i/>
                <w:iCs/>
                <w:sz w:val="22"/>
                <w:szCs w:val="22"/>
                <w:lang w:val="en-CA"/>
              </w:rPr>
              <w:t>§ 1.  — </w:t>
            </w:r>
            <w:r w:rsidRPr="00911998">
              <w:rPr>
                <w:i/>
                <w:iCs/>
                <w:sz w:val="22"/>
                <w:szCs w:val="22"/>
                <w:lang w:val="en-CA"/>
              </w:rPr>
              <w:t> </w:t>
            </w:r>
            <w:r w:rsidRPr="00911998">
              <w:rPr>
                <w:rStyle w:val="titletext-group6"/>
                <w:i/>
                <w:iCs/>
                <w:sz w:val="22"/>
                <w:szCs w:val="22"/>
                <w:lang w:val="en-CA"/>
              </w:rPr>
              <w:t>Title and possession of status</w:t>
            </w:r>
          </w:p>
          <w:p w14:paraId="52D16321" w14:textId="77777777" w:rsidR="00C9672D" w:rsidRPr="00911998" w:rsidRDefault="00C9672D" w:rsidP="00BF277E">
            <w:pPr>
              <w:pStyle w:val="Paragrsimple"/>
              <w:numPr>
                <w:ilvl w:val="0"/>
                <w:numId w:val="0"/>
              </w:numPr>
              <w:rPr>
                <w:rStyle w:val="subsection"/>
                <w:i/>
                <w:iCs/>
                <w:sz w:val="22"/>
                <w:szCs w:val="22"/>
                <w:lang w:val="en-CA"/>
              </w:rPr>
            </w:pPr>
            <w:bookmarkStart w:id="29" w:name="sec523"/>
            <w:bookmarkEnd w:id="29"/>
            <w:r w:rsidRPr="00911998">
              <w:rPr>
                <w:rStyle w:val="canliisection"/>
                <w:rFonts w:cs="Arial"/>
                <w:b/>
                <w:bCs/>
                <w:i/>
                <w:iCs/>
                <w:sz w:val="22"/>
                <w:szCs w:val="22"/>
                <w:lang w:val="en-CA"/>
              </w:rPr>
              <w:t>523</w:t>
            </w:r>
            <w:r w:rsidRPr="00911998">
              <w:rPr>
                <w:rStyle w:val="label-section"/>
                <w:rFonts w:cs="Arial"/>
                <w:b/>
                <w:bCs/>
                <w:i/>
                <w:iCs/>
                <w:sz w:val="22"/>
                <w:szCs w:val="22"/>
                <w:lang w:val="en-CA"/>
              </w:rPr>
              <w:t>.</w:t>
            </w:r>
            <w:r w:rsidRPr="00911998">
              <w:rPr>
                <w:i/>
                <w:iCs/>
                <w:sz w:val="22"/>
                <w:szCs w:val="22"/>
                <w:lang w:val="en-CA"/>
              </w:rPr>
              <w:t> </w:t>
            </w:r>
            <w:r w:rsidRPr="00911998">
              <w:rPr>
                <w:rStyle w:val="subsection"/>
                <w:i/>
                <w:iCs/>
                <w:sz w:val="22"/>
                <w:szCs w:val="22"/>
                <w:lang w:val="en-CA"/>
              </w:rPr>
              <w:t xml:space="preserve">Paternal filiation and maternal filiation are proved by the </w:t>
            </w:r>
            <w:r w:rsidRPr="00911998">
              <w:rPr>
                <w:i/>
                <w:iCs/>
                <w:sz w:val="22"/>
                <w:szCs w:val="22"/>
                <w:lang w:val="en-CA" w:eastAsia="fr-CA"/>
              </w:rPr>
              <w:t>act</w:t>
            </w:r>
            <w:r w:rsidRPr="00911998">
              <w:rPr>
                <w:rStyle w:val="subsection"/>
                <w:i/>
                <w:iCs/>
                <w:sz w:val="22"/>
                <w:szCs w:val="22"/>
                <w:lang w:val="en-CA"/>
              </w:rPr>
              <w:t xml:space="preserve"> of birth, regardless of the </w:t>
            </w:r>
            <w:r w:rsidRPr="00911998">
              <w:rPr>
                <w:rFonts w:cs="Arial"/>
                <w:i/>
                <w:iCs/>
                <w:kern w:val="0"/>
                <w:sz w:val="22"/>
                <w:szCs w:val="22"/>
                <w:lang w:val="en-CA" w:eastAsia="fr-CA"/>
              </w:rPr>
              <w:t>circumstances</w:t>
            </w:r>
            <w:r w:rsidRPr="00911998">
              <w:rPr>
                <w:rStyle w:val="subsection"/>
                <w:i/>
                <w:iCs/>
                <w:sz w:val="22"/>
                <w:szCs w:val="22"/>
                <w:lang w:val="en-CA"/>
              </w:rPr>
              <w:t xml:space="preserve"> of the child’s birth.</w:t>
            </w:r>
          </w:p>
          <w:p w14:paraId="45D4C66D" w14:textId="77777777" w:rsidR="00C9672D" w:rsidRPr="00911998" w:rsidRDefault="00C9672D" w:rsidP="00BF277E">
            <w:pPr>
              <w:pStyle w:val="Paragrsimple"/>
              <w:numPr>
                <w:ilvl w:val="0"/>
                <w:numId w:val="0"/>
              </w:numPr>
              <w:rPr>
                <w:i/>
                <w:iCs/>
                <w:sz w:val="22"/>
                <w:szCs w:val="22"/>
                <w:lang w:val="en-CA"/>
              </w:rPr>
            </w:pPr>
            <w:r w:rsidRPr="00911998">
              <w:rPr>
                <w:rStyle w:val="subsection"/>
                <w:i/>
                <w:iCs/>
                <w:sz w:val="22"/>
                <w:szCs w:val="22"/>
                <w:lang w:val="en-CA"/>
              </w:rPr>
              <w:t xml:space="preserve">In the absence of an act of birth, </w:t>
            </w:r>
            <w:r w:rsidRPr="00911998">
              <w:rPr>
                <w:rFonts w:cs="Arial"/>
                <w:i/>
                <w:iCs/>
                <w:kern w:val="0"/>
                <w:sz w:val="22"/>
                <w:szCs w:val="22"/>
                <w:lang w:val="en-CA" w:eastAsia="fr-CA"/>
              </w:rPr>
              <w:t>uninterrupted</w:t>
            </w:r>
            <w:r w:rsidRPr="00911998">
              <w:rPr>
                <w:rStyle w:val="subsection"/>
                <w:i/>
                <w:iCs/>
                <w:sz w:val="22"/>
                <w:szCs w:val="22"/>
                <w:lang w:val="en-CA"/>
              </w:rPr>
              <w:t xml:space="preserve"> </w:t>
            </w:r>
            <w:r w:rsidRPr="00911998">
              <w:rPr>
                <w:i/>
                <w:iCs/>
                <w:sz w:val="22"/>
                <w:szCs w:val="22"/>
                <w:lang w:val="en-CA" w:eastAsia="fr-CA"/>
              </w:rPr>
              <w:t>possession</w:t>
            </w:r>
            <w:r w:rsidRPr="00911998">
              <w:rPr>
                <w:rStyle w:val="subsection"/>
                <w:i/>
                <w:iCs/>
                <w:sz w:val="22"/>
                <w:szCs w:val="22"/>
                <w:lang w:val="en-CA"/>
              </w:rPr>
              <w:t xml:space="preserve"> of status is sufficient.</w:t>
            </w:r>
          </w:p>
          <w:p w14:paraId="6B17E414" w14:textId="28079340" w:rsidR="00C9672D" w:rsidRPr="00911998" w:rsidRDefault="00C9672D" w:rsidP="00BF277E">
            <w:pPr>
              <w:pStyle w:val="Paragrsimple"/>
              <w:numPr>
                <w:ilvl w:val="0"/>
                <w:numId w:val="0"/>
              </w:numPr>
              <w:rPr>
                <w:rStyle w:val="subsection"/>
                <w:i/>
                <w:iCs/>
                <w:sz w:val="22"/>
                <w:szCs w:val="22"/>
                <w:lang w:val="en-CA"/>
              </w:rPr>
            </w:pPr>
            <w:bookmarkStart w:id="30" w:name="sec524"/>
            <w:bookmarkEnd w:id="30"/>
            <w:r w:rsidRPr="00911998">
              <w:rPr>
                <w:rStyle w:val="canliisection"/>
                <w:rFonts w:cs="Arial"/>
                <w:b/>
                <w:bCs/>
                <w:i/>
                <w:iCs/>
                <w:sz w:val="22"/>
                <w:szCs w:val="22"/>
                <w:lang w:val="en-CA"/>
              </w:rPr>
              <w:t>524</w:t>
            </w:r>
            <w:r w:rsidRPr="00911998">
              <w:rPr>
                <w:rStyle w:val="label-section"/>
                <w:rFonts w:cs="Arial"/>
                <w:b/>
                <w:bCs/>
                <w:i/>
                <w:iCs/>
                <w:sz w:val="22"/>
                <w:szCs w:val="22"/>
                <w:lang w:val="en-CA"/>
              </w:rPr>
              <w:t>.</w:t>
            </w:r>
            <w:r w:rsidRPr="00911998">
              <w:rPr>
                <w:i/>
                <w:iCs/>
                <w:sz w:val="22"/>
                <w:szCs w:val="22"/>
                <w:lang w:val="en-CA"/>
              </w:rPr>
              <w:t> </w:t>
            </w:r>
            <w:r w:rsidRPr="00911998">
              <w:rPr>
                <w:rStyle w:val="subsection"/>
                <w:i/>
                <w:iCs/>
                <w:sz w:val="22"/>
                <w:szCs w:val="22"/>
                <w:lang w:val="en-CA"/>
              </w:rPr>
              <w:t xml:space="preserve">Uninterrupted possession of status is </w:t>
            </w:r>
            <w:r w:rsidRPr="00911998">
              <w:rPr>
                <w:rFonts w:cs="Arial"/>
                <w:i/>
                <w:iCs/>
                <w:kern w:val="0"/>
                <w:sz w:val="22"/>
                <w:szCs w:val="22"/>
                <w:lang w:val="en-CA" w:eastAsia="fr-CA"/>
              </w:rPr>
              <w:t>established</w:t>
            </w:r>
            <w:r w:rsidRPr="00911998">
              <w:rPr>
                <w:rStyle w:val="subsection"/>
                <w:i/>
                <w:iCs/>
                <w:sz w:val="22"/>
                <w:szCs w:val="22"/>
                <w:lang w:val="en-CA"/>
              </w:rPr>
              <w:t xml:space="preserve"> </w:t>
            </w:r>
            <w:r w:rsidRPr="00911998">
              <w:rPr>
                <w:i/>
                <w:iCs/>
                <w:sz w:val="22"/>
                <w:szCs w:val="22"/>
                <w:lang w:val="en-CA" w:eastAsia="fr-CA"/>
              </w:rPr>
              <w:t>by</w:t>
            </w:r>
            <w:r w:rsidRPr="00911998">
              <w:rPr>
                <w:rStyle w:val="subsection"/>
                <w:i/>
                <w:iCs/>
                <w:sz w:val="22"/>
                <w:szCs w:val="22"/>
                <w:lang w:val="en-CA"/>
              </w:rPr>
              <w:t xml:space="preserve"> an adequate combination of facts which indicate the relationship of </w:t>
            </w:r>
            <w:r w:rsidR="002947D4" w:rsidRPr="00911998">
              <w:rPr>
                <w:rStyle w:val="subsection"/>
                <w:i/>
                <w:iCs/>
                <w:sz w:val="22"/>
                <w:szCs w:val="22"/>
                <w:lang w:val="en-CA"/>
              </w:rPr>
              <w:t>f</w:t>
            </w:r>
            <w:r w:rsidRPr="00911998">
              <w:rPr>
                <w:rStyle w:val="subsection"/>
                <w:i/>
                <w:iCs/>
                <w:sz w:val="22"/>
                <w:szCs w:val="22"/>
                <w:lang w:val="en-CA"/>
              </w:rPr>
              <w:t>iliation between the child and the persons of whom he is said to be born.</w:t>
            </w:r>
          </w:p>
          <w:p w14:paraId="754A1510" w14:textId="77777777" w:rsidR="00BF277E" w:rsidRPr="00911998" w:rsidRDefault="00BF277E" w:rsidP="00C9672D">
            <w:pPr>
              <w:rPr>
                <w:rStyle w:val="label-group6"/>
                <w:i/>
                <w:iCs/>
                <w:sz w:val="22"/>
                <w:szCs w:val="22"/>
                <w:lang w:val="en-CA"/>
              </w:rPr>
            </w:pPr>
            <w:bookmarkStart w:id="31" w:name="__2_Presumption_of_paternity_766419"/>
            <w:bookmarkEnd w:id="31"/>
          </w:p>
          <w:p w14:paraId="20130B7D" w14:textId="2725EEE2" w:rsidR="00C9672D" w:rsidRPr="00911998" w:rsidRDefault="00C9672D" w:rsidP="00C9672D">
            <w:pPr>
              <w:rPr>
                <w:rStyle w:val="titletext-group6"/>
                <w:i/>
                <w:iCs/>
                <w:sz w:val="22"/>
                <w:szCs w:val="22"/>
                <w:lang w:val="en-CA"/>
              </w:rPr>
            </w:pPr>
            <w:r w:rsidRPr="00911998">
              <w:rPr>
                <w:rStyle w:val="label-group6"/>
                <w:i/>
                <w:iCs/>
                <w:sz w:val="22"/>
                <w:szCs w:val="22"/>
                <w:lang w:val="en-CA"/>
              </w:rPr>
              <w:t>§ 2.  — </w:t>
            </w:r>
            <w:r w:rsidRPr="00911998">
              <w:rPr>
                <w:i/>
                <w:iCs/>
                <w:sz w:val="22"/>
                <w:szCs w:val="22"/>
                <w:lang w:val="en-CA"/>
              </w:rPr>
              <w:t> </w:t>
            </w:r>
            <w:r w:rsidRPr="00911998">
              <w:rPr>
                <w:rStyle w:val="titletext-group6"/>
                <w:i/>
                <w:iCs/>
                <w:sz w:val="22"/>
                <w:szCs w:val="22"/>
                <w:lang w:val="en-CA"/>
              </w:rPr>
              <w:t>Presumption of paternity</w:t>
            </w:r>
          </w:p>
          <w:p w14:paraId="15AC8EC8" w14:textId="77777777" w:rsidR="00C9672D" w:rsidRPr="00911998" w:rsidRDefault="00C9672D" w:rsidP="00BF277E">
            <w:pPr>
              <w:pStyle w:val="Paragrsimple"/>
              <w:numPr>
                <w:ilvl w:val="0"/>
                <w:numId w:val="0"/>
              </w:numPr>
              <w:rPr>
                <w:rStyle w:val="subsection"/>
                <w:i/>
                <w:iCs/>
                <w:sz w:val="22"/>
                <w:szCs w:val="22"/>
                <w:lang w:val="en-CA"/>
              </w:rPr>
            </w:pPr>
            <w:bookmarkStart w:id="32" w:name="sec525"/>
            <w:bookmarkEnd w:id="32"/>
            <w:r w:rsidRPr="00911998">
              <w:rPr>
                <w:rStyle w:val="canliisection"/>
                <w:rFonts w:cs="Arial"/>
                <w:b/>
                <w:bCs/>
                <w:i/>
                <w:iCs/>
                <w:sz w:val="22"/>
                <w:szCs w:val="22"/>
                <w:lang w:val="en-CA"/>
              </w:rPr>
              <w:t>525</w:t>
            </w:r>
            <w:r w:rsidRPr="00911998">
              <w:rPr>
                <w:rStyle w:val="label-section"/>
                <w:rFonts w:cs="Arial"/>
                <w:b/>
                <w:bCs/>
                <w:i/>
                <w:iCs/>
                <w:sz w:val="22"/>
                <w:szCs w:val="22"/>
                <w:lang w:val="en-CA"/>
              </w:rPr>
              <w:t>.</w:t>
            </w:r>
            <w:r w:rsidRPr="00911998">
              <w:rPr>
                <w:i/>
                <w:iCs/>
                <w:sz w:val="22"/>
                <w:szCs w:val="22"/>
                <w:lang w:val="en-CA"/>
              </w:rPr>
              <w:t> </w:t>
            </w:r>
            <w:r w:rsidRPr="00911998">
              <w:rPr>
                <w:rStyle w:val="subsection"/>
                <w:i/>
                <w:iCs/>
                <w:sz w:val="22"/>
                <w:szCs w:val="22"/>
                <w:lang w:val="en-CA"/>
              </w:rPr>
              <w:t xml:space="preserve">If a child is born during a marriage or a civil union between persons of opposite sex, or </w:t>
            </w:r>
            <w:r w:rsidRPr="00911998">
              <w:rPr>
                <w:i/>
                <w:iCs/>
                <w:sz w:val="22"/>
                <w:szCs w:val="22"/>
                <w:lang w:val="en-CA" w:eastAsia="fr-CA"/>
              </w:rPr>
              <w:t>within</w:t>
            </w:r>
            <w:r w:rsidRPr="00911998">
              <w:rPr>
                <w:rStyle w:val="subsection"/>
                <w:i/>
                <w:iCs/>
                <w:sz w:val="22"/>
                <w:szCs w:val="22"/>
                <w:lang w:val="en-CA"/>
              </w:rPr>
              <w:t xml:space="preserve"> 300 days after its dissolution or </w:t>
            </w:r>
            <w:r w:rsidRPr="00911998">
              <w:rPr>
                <w:rStyle w:val="subsection"/>
                <w:i/>
                <w:iCs/>
                <w:sz w:val="22"/>
                <w:szCs w:val="22"/>
                <w:lang w:val="en-CA"/>
              </w:rPr>
              <w:lastRenderedPageBreak/>
              <w:t>annulment, the spouse of the child’s mother is presumed to be the father.</w:t>
            </w:r>
          </w:p>
          <w:p w14:paraId="17EE565E" w14:textId="77777777" w:rsidR="00C9672D" w:rsidRPr="00911998" w:rsidRDefault="00C9672D" w:rsidP="00BF277E">
            <w:pPr>
              <w:pStyle w:val="Paragrsimple"/>
              <w:numPr>
                <w:ilvl w:val="0"/>
                <w:numId w:val="0"/>
              </w:numPr>
              <w:rPr>
                <w:rStyle w:val="subsection"/>
                <w:i/>
                <w:iCs/>
                <w:sz w:val="22"/>
                <w:szCs w:val="22"/>
                <w:lang w:val="en-CA"/>
              </w:rPr>
            </w:pPr>
            <w:r w:rsidRPr="00911998">
              <w:rPr>
                <w:rStyle w:val="subsection"/>
                <w:i/>
                <w:iCs/>
                <w:sz w:val="22"/>
                <w:szCs w:val="22"/>
                <w:lang w:val="en-CA"/>
              </w:rPr>
              <w:t xml:space="preserve">The presumption of paternity is rebutted if the child is </w:t>
            </w:r>
            <w:r w:rsidRPr="00911998">
              <w:rPr>
                <w:i/>
                <w:iCs/>
                <w:sz w:val="22"/>
                <w:szCs w:val="22"/>
                <w:lang w:val="en-CA" w:eastAsia="fr-CA"/>
              </w:rPr>
              <w:t>born</w:t>
            </w:r>
            <w:r w:rsidRPr="00911998">
              <w:rPr>
                <w:rStyle w:val="subsection"/>
                <w:i/>
                <w:iCs/>
                <w:sz w:val="22"/>
                <w:szCs w:val="22"/>
                <w:lang w:val="en-CA"/>
              </w:rPr>
              <w:t xml:space="preserve"> more than 300 days after the judgment </w:t>
            </w:r>
            <w:r w:rsidRPr="00911998">
              <w:rPr>
                <w:rFonts w:cs="Arial"/>
                <w:i/>
                <w:iCs/>
                <w:kern w:val="0"/>
                <w:sz w:val="22"/>
                <w:szCs w:val="22"/>
                <w:lang w:val="en-CA" w:eastAsia="fr-CA"/>
              </w:rPr>
              <w:t>ordering</w:t>
            </w:r>
            <w:r w:rsidRPr="00911998">
              <w:rPr>
                <w:rStyle w:val="subsection"/>
                <w:i/>
                <w:iCs/>
                <w:sz w:val="22"/>
                <w:szCs w:val="22"/>
                <w:lang w:val="en-CA"/>
              </w:rPr>
              <w:t xml:space="preserve"> separation from bed and board of married spouses, unless the spouses have voluntarily resumed their community of life before the birth.</w:t>
            </w:r>
          </w:p>
          <w:p w14:paraId="2D74011B" w14:textId="77777777" w:rsidR="00C9672D" w:rsidRPr="00911998" w:rsidRDefault="00C9672D" w:rsidP="00BF277E">
            <w:pPr>
              <w:pStyle w:val="Paragrsimple"/>
              <w:numPr>
                <w:ilvl w:val="0"/>
                <w:numId w:val="0"/>
              </w:numPr>
              <w:rPr>
                <w:i/>
                <w:iCs/>
                <w:sz w:val="22"/>
                <w:szCs w:val="22"/>
                <w:lang w:val="en-CA"/>
              </w:rPr>
            </w:pPr>
            <w:r w:rsidRPr="00911998">
              <w:rPr>
                <w:rStyle w:val="subsection"/>
                <w:i/>
                <w:iCs/>
                <w:sz w:val="22"/>
                <w:szCs w:val="22"/>
                <w:lang w:val="en-CA"/>
              </w:rPr>
              <w:t xml:space="preserve">The presumption is also rebutted as regards the former </w:t>
            </w:r>
            <w:r w:rsidRPr="00911998">
              <w:rPr>
                <w:rFonts w:cs="Arial"/>
                <w:i/>
                <w:iCs/>
                <w:kern w:val="0"/>
                <w:sz w:val="22"/>
                <w:szCs w:val="22"/>
                <w:lang w:val="en-CA" w:eastAsia="fr-CA"/>
              </w:rPr>
              <w:t>spouse</w:t>
            </w:r>
            <w:r w:rsidRPr="00911998">
              <w:rPr>
                <w:rStyle w:val="subsection"/>
                <w:i/>
                <w:iCs/>
                <w:sz w:val="22"/>
                <w:szCs w:val="22"/>
                <w:lang w:val="en-CA"/>
              </w:rPr>
              <w:t xml:space="preserve"> if the child is born within 300 days of the dissolution or annulment of the marriage or civil union, but after a subsequent marriage or civil union of the child’s mother.</w:t>
            </w:r>
          </w:p>
          <w:p w14:paraId="0601AD04" w14:textId="26C96DD0" w:rsidR="00C9672D" w:rsidRPr="00911998" w:rsidRDefault="00C9672D" w:rsidP="00BF277E">
            <w:pPr>
              <w:jc w:val="both"/>
              <w:rPr>
                <w:rStyle w:val="titletext-group6"/>
                <w:i/>
                <w:iCs/>
                <w:sz w:val="22"/>
                <w:szCs w:val="22"/>
                <w:lang w:val="en-CA"/>
              </w:rPr>
            </w:pPr>
            <w:bookmarkStart w:id="33" w:name="__3_Voluntary_acknowledgement_768838"/>
            <w:bookmarkEnd w:id="33"/>
            <w:r w:rsidRPr="00911998">
              <w:rPr>
                <w:rStyle w:val="label-group6"/>
                <w:i/>
                <w:iCs/>
                <w:sz w:val="22"/>
                <w:szCs w:val="22"/>
                <w:lang w:val="en-CA"/>
              </w:rPr>
              <w:t>§ 3.  — </w:t>
            </w:r>
            <w:r w:rsidRPr="00911998">
              <w:rPr>
                <w:i/>
                <w:iCs/>
                <w:sz w:val="22"/>
                <w:szCs w:val="22"/>
                <w:lang w:val="en-CA"/>
              </w:rPr>
              <w:t> </w:t>
            </w:r>
            <w:r w:rsidRPr="00911998">
              <w:rPr>
                <w:rStyle w:val="titletext-group6"/>
                <w:i/>
                <w:iCs/>
                <w:sz w:val="22"/>
                <w:szCs w:val="22"/>
                <w:lang w:val="en-CA"/>
              </w:rPr>
              <w:t>Voluntary acknowledgement</w:t>
            </w:r>
          </w:p>
          <w:p w14:paraId="09572017" w14:textId="77777777" w:rsidR="00C9672D" w:rsidRPr="00911998" w:rsidRDefault="00C9672D" w:rsidP="00BF277E">
            <w:pPr>
              <w:pStyle w:val="Paragrsimple"/>
              <w:numPr>
                <w:ilvl w:val="0"/>
                <w:numId w:val="0"/>
              </w:numPr>
              <w:rPr>
                <w:i/>
                <w:iCs/>
                <w:sz w:val="22"/>
                <w:szCs w:val="22"/>
                <w:lang w:val="en-CA"/>
              </w:rPr>
            </w:pPr>
            <w:bookmarkStart w:id="34" w:name="sec526"/>
            <w:bookmarkEnd w:id="34"/>
            <w:r w:rsidRPr="00911998">
              <w:rPr>
                <w:rStyle w:val="canliisection"/>
                <w:rFonts w:cs="Arial"/>
                <w:b/>
                <w:bCs/>
                <w:i/>
                <w:iCs/>
                <w:sz w:val="22"/>
                <w:szCs w:val="22"/>
                <w:lang w:val="en-CA"/>
              </w:rPr>
              <w:t>526</w:t>
            </w:r>
            <w:r w:rsidRPr="00911998">
              <w:rPr>
                <w:rStyle w:val="label-section"/>
                <w:rFonts w:cs="Arial"/>
                <w:b/>
                <w:bCs/>
                <w:i/>
                <w:iCs/>
                <w:sz w:val="22"/>
                <w:szCs w:val="22"/>
                <w:lang w:val="en-CA"/>
              </w:rPr>
              <w:t>.</w:t>
            </w:r>
            <w:r w:rsidRPr="00911998">
              <w:rPr>
                <w:i/>
                <w:iCs/>
                <w:sz w:val="22"/>
                <w:szCs w:val="22"/>
                <w:lang w:val="en-CA"/>
              </w:rPr>
              <w:t> </w:t>
            </w:r>
            <w:r w:rsidRPr="00911998">
              <w:rPr>
                <w:rStyle w:val="subsection"/>
                <w:i/>
                <w:iCs/>
                <w:sz w:val="22"/>
                <w:szCs w:val="22"/>
                <w:lang w:val="en-CA"/>
              </w:rPr>
              <w:t xml:space="preserve">If maternity or paternity cannot be </w:t>
            </w:r>
            <w:r w:rsidRPr="00911998">
              <w:rPr>
                <w:rFonts w:cs="Arial"/>
                <w:i/>
                <w:iCs/>
                <w:kern w:val="0"/>
                <w:sz w:val="22"/>
                <w:szCs w:val="22"/>
                <w:lang w:val="en-CA" w:eastAsia="fr-CA"/>
              </w:rPr>
              <w:t>determined</w:t>
            </w:r>
            <w:r w:rsidRPr="00911998">
              <w:rPr>
                <w:rStyle w:val="subsection"/>
                <w:i/>
                <w:iCs/>
                <w:sz w:val="22"/>
                <w:szCs w:val="22"/>
                <w:lang w:val="en-CA"/>
              </w:rPr>
              <w:t xml:space="preserve"> by applying the preceding articles, the filiation of a child may also be established by voluntary acknowledgement.</w:t>
            </w:r>
          </w:p>
          <w:p w14:paraId="5B5FC745" w14:textId="126DBFED" w:rsidR="00C9672D" w:rsidRPr="00911998" w:rsidRDefault="00C9672D" w:rsidP="00BF277E">
            <w:pPr>
              <w:pStyle w:val="Paragrsimple"/>
              <w:numPr>
                <w:ilvl w:val="0"/>
                <w:numId w:val="0"/>
              </w:numPr>
              <w:rPr>
                <w:rStyle w:val="subsection"/>
                <w:i/>
                <w:iCs/>
                <w:sz w:val="22"/>
                <w:szCs w:val="22"/>
                <w:lang w:val="en-CA"/>
              </w:rPr>
            </w:pPr>
            <w:bookmarkStart w:id="35" w:name="sec527"/>
            <w:bookmarkEnd w:id="35"/>
            <w:r w:rsidRPr="00911998">
              <w:rPr>
                <w:rStyle w:val="canliisection"/>
                <w:rFonts w:cs="Arial"/>
                <w:b/>
                <w:bCs/>
                <w:i/>
                <w:iCs/>
                <w:sz w:val="22"/>
                <w:szCs w:val="22"/>
                <w:lang w:val="en-CA"/>
              </w:rPr>
              <w:t>527</w:t>
            </w:r>
            <w:r w:rsidRPr="00911998">
              <w:rPr>
                <w:rStyle w:val="label-section"/>
                <w:rFonts w:cs="Arial"/>
                <w:b/>
                <w:bCs/>
                <w:i/>
                <w:iCs/>
                <w:sz w:val="22"/>
                <w:szCs w:val="22"/>
                <w:lang w:val="en-CA"/>
              </w:rPr>
              <w:t>.</w:t>
            </w:r>
            <w:r w:rsidRPr="00911998">
              <w:rPr>
                <w:i/>
                <w:iCs/>
                <w:sz w:val="22"/>
                <w:szCs w:val="22"/>
                <w:lang w:val="en-CA"/>
              </w:rPr>
              <w:t> </w:t>
            </w:r>
            <w:r w:rsidRPr="00911998">
              <w:rPr>
                <w:rStyle w:val="subsection"/>
                <w:i/>
                <w:iCs/>
                <w:sz w:val="22"/>
                <w:szCs w:val="22"/>
                <w:lang w:val="en-CA"/>
              </w:rPr>
              <w:t xml:space="preserve">Maternity is acknowledged by a </w:t>
            </w:r>
            <w:r w:rsidRPr="00911998">
              <w:rPr>
                <w:rFonts w:cs="Arial"/>
                <w:i/>
                <w:iCs/>
                <w:kern w:val="0"/>
                <w:sz w:val="22"/>
                <w:szCs w:val="22"/>
                <w:lang w:val="en-CA" w:eastAsia="fr-CA"/>
              </w:rPr>
              <w:t>declaration</w:t>
            </w:r>
            <w:r w:rsidRPr="00911998">
              <w:rPr>
                <w:rStyle w:val="subsection"/>
                <w:i/>
                <w:iCs/>
                <w:sz w:val="22"/>
                <w:szCs w:val="22"/>
                <w:lang w:val="en-CA"/>
              </w:rPr>
              <w:t xml:space="preserve"> made by a woman that she is the </w:t>
            </w:r>
            <w:r w:rsidRPr="00911998">
              <w:rPr>
                <w:rFonts w:cs="Arial"/>
                <w:i/>
                <w:iCs/>
                <w:kern w:val="0"/>
                <w:sz w:val="22"/>
                <w:szCs w:val="22"/>
                <w:lang w:val="en-CA" w:eastAsia="fr-CA"/>
              </w:rPr>
              <w:t>mother</w:t>
            </w:r>
            <w:r w:rsidRPr="00911998">
              <w:rPr>
                <w:rStyle w:val="subsection"/>
                <w:i/>
                <w:iCs/>
                <w:sz w:val="22"/>
                <w:szCs w:val="22"/>
                <w:lang w:val="en-CA"/>
              </w:rPr>
              <w:t xml:space="preserve"> of the child.</w:t>
            </w:r>
          </w:p>
          <w:p w14:paraId="046C7983" w14:textId="77777777" w:rsidR="00C9672D" w:rsidRPr="00911998" w:rsidRDefault="00C9672D" w:rsidP="00BF277E">
            <w:pPr>
              <w:pStyle w:val="Paragrsimple"/>
              <w:numPr>
                <w:ilvl w:val="0"/>
                <w:numId w:val="0"/>
              </w:numPr>
              <w:rPr>
                <w:rStyle w:val="subsection"/>
                <w:i/>
                <w:iCs/>
                <w:sz w:val="22"/>
                <w:szCs w:val="22"/>
                <w:lang w:val="en-CA"/>
              </w:rPr>
            </w:pPr>
            <w:r w:rsidRPr="00911998">
              <w:rPr>
                <w:rFonts w:cs="Arial"/>
                <w:i/>
                <w:iCs/>
                <w:sz w:val="22"/>
                <w:szCs w:val="22"/>
                <w:lang w:val="en-CA" w:eastAsia="fr-CA"/>
              </w:rPr>
              <w:t>Paternity</w:t>
            </w:r>
            <w:r w:rsidRPr="00911998">
              <w:rPr>
                <w:rStyle w:val="subsection"/>
                <w:i/>
                <w:iCs/>
                <w:sz w:val="22"/>
                <w:szCs w:val="22"/>
                <w:lang w:val="en-CA"/>
              </w:rPr>
              <w:t xml:space="preserve"> is acknowledged by a declaration made by a man that he is the father of the child.</w:t>
            </w:r>
          </w:p>
          <w:p w14:paraId="17C6E188" w14:textId="77777777" w:rsidR="00C9672D" w:rsidRPr="00911998" w:rsidRDefault="00C9672D" w:rsidP="00BF277E">
            <w:pPr>
              <w:pStyle w:val="Paragrsimple"/>
              <w:numPr>
                <w:ilvl w:val="0"/>
                <w:numId w:val="0"/>
              </w:numPr>
              <w:rPr>
                <w:i/>
                <w:iCs/>
                <w:sz w:val="22"/>
                <w:szCs w:val="22"/>
                <w:lang w:val="en-CA"/>
              </w:rPr>
            </w:pPr>
            <w:bookmarkStart w:id="36" w:name="sec528"/>
            <w:bookmarkEnd w:id="36"/>
            <w:r w:rsidRPr="00911998">
              <w:rPr>
                <w:rStyle w:val="canliisection"/>
                <w:rFonts w:cs="Arial"/>
                <w:b/>
                <w:bCs/>
                <w:i/>
                <w:iCs/>
                <w:sz w:val="22"/>
                <w:szCs w:val="22"/>
                <w:lang w:val="en-CA"/>
              </w:rPr>
              <w:t>528</w:t>
            </w:r>
            <w:r w:rsidRPr="00911998">
              <w:rPr>
                <w:rStyle w:val="label-section"/>
                <w:rFonts w:cs="Arial"/>
                <w:b/>
                <w:bCs/>
                <w:i/>
                <w:iCs/>
                <w:sz w:val="22"/>
                <w:szCs w:val="22"/>
                <w:lang w:val="en-CA"/>
              </w:rPr>
              <w:t>.</w:t>
            </w:r>
            <w:r w:rsidRPr="00911998">
              <w:rPr>
                <w:i/>
                <w:iCs/>
                <w:sz w:val="22"/>
                <w:szCs w:val="22"/>
                <w:lang w:val="en-CA"/>
              </w:rPr>
              <w:t> </w:t>
            </w:r>
            <w:r w:rsidRPr="00911998">
              <w:rPr>
                <w:rStyle w:val="subsection"/>
                <w:i/>
                <w:iCs/>
                <w:sz w:val="22"/>
                <w:szCs w:val="22"/>
                <w:lang w:val="en-CA"/>
              </w:rPr>
              <w:t xml:space="preserve">Mere </w:t>
            </w:r>
            <w:r w:rsidRPr="00911998">
              <w:rPr>
                <w:rFonts w:cs="Arial"/>
                <w:i/>
                <w:iCs/>
                <w:sz w:val="22"/>
                <w:szCs w:val="22"/>
                <w:lang w:val="en-CA" w:eastAsia="fr-CA"/>
              </w:rPr>
              <w:t>acknowledgement</w:t>
            </w:r>
            <w:r w:rsidRPr="00911998">
              <w:rPr>
                <w:rStyle w:val="subsection"/>
                <w:i/>
                <w:iCs/>
                <w:sz w:val="22"/>
                <w:szCs w:val="22"/>
                <w:lang w:val="en-CA"/>
              </w:rPr>
              <w:t xml:space="preserve"> of maternity or of </w:t>
            </w:r>
            <w:r w:rsidRPr="00911998">
              <w:rPr>
                <w:rFonts w:cs="Arial"/>
                <w:i/>
                <w:iCs/>
                <w:kern w:val="0"/>
                <w:sz w:val="22"/>
                <w:szCs w:val="22"/>
                <w:lang w:val="en-CA" w:eastAsia="fr-CA"/>
              </w:rPr>
              <w:t>paternity</w:t>
            </w:r>
            <w:r w:rsidRPr="00911998">
              <w:rPr>
                <w:rStyle w:val="subsection"/>
                <w:i/>
                <w:iCs/>
                <w:sz w:val="22"/>
                <w:szCs w:val="22"/>
                <w:lang w:val="en-CA"/>
              </w:rPr>
              <w:t xml:space="preserve"> binds only the person who made it.</w:t>
            </w:r>
          </w:p>
          <w:p w14:paraId="3FA4E34C" w14:textId="7BA3F1B3" w:rsidR="00C9672D" w:rsidRPr="00911998" w:rsidRDefault="00C9672D" w:rsidP="00BF277E">
            <w:pPr>
              <w:pStyle w:val="Paragrsimple"/>
              <w:numPr>
                <w:ilvl w:val="0"/>
                <w:numId w:val="0"/>
              </w:numPr>
              <w:rPr>
                <w:rFonts w:cs="Arial"/>
                <w:sz w:val="22"/>
                <w:szCs w:val="22"/>
                <w:lang w:val="en-CA"/>
              </w:rPr>
            </w:pPr>
            <w:bookmarkStart w:id="37" w:name="sec529"/>
            <w:bookmarkEnd w:id="37"/>
            <w:r w:rsidRPr="00911998">
              <w:rPr>
                <w:rStyle w:val="canliisection"/>
                <w:rFonts w:cs="Arial"/>
                <w:b/>
                <w:bCs/>
                <w:i/>
                <w:iCs/>
                <w:sz w:val="22"/>
                <w:szCs w:val="22"/>
                <w:lang w:val="en-CA"/>
              </w:rPr>
              <w:t>529</w:t>
            </w:r>
            <w:r w:rsidRPr="00911998">
              <w:rPr>
                <w:rStyle w:val="label-section"/>
                <w:rFonts w:cs="Arial"/>
                <w:b/>
                <w:bCs/>
                <w:i/>
                <w:iCs/>
                <w:sz w:val="22"/>
                <w:szCs w:val="22"/>
                <w:lang w:val="en-CA"/>
              </w:rPr>
              <w:t>.</w:t>
            </w:r>
            <w:r w:rsidRPr="00911998">
              <w:rPr>
                <w:rFonts w:cs="Arial"/>
                <w:i/>
                <w:iCs/>
                <w:sz w:val="22"/>
                <w:szCs w:val="22"/>
                <w:lang w:val="en-CA"/>
              </w:rPr>
              <w:t> </w:t>
            </w:r>
            <w:r w:rsidRPr="00911998">
              <w:rPr>
                <w:rStyle w:val="subsection"/>
                <w:rFonts w:cs="Arial"/>
                <w:i/>
                <w:iCs/>
                <w:sz w:val="22"/>
                <w:szCs w:val="22"/>
                <w:lang w:val="en-CA"/>
              </w:rPr>
              <w:t xml:space="preserve">An </w:t>
            </w:r>
            <w:r w:rsidRPr="00911998">
              <w:rPr>
                <w:i/>
                <w:iCs/>
                <w:kern w:val="0"/>
                <w:sz w:val="22"/>
                <w:szCs w:val="22"/>
                <w:lang w:val="en-CA" w:eastAsia="fr-CA"/>
              </w:rPr>
              <w:t>established</w:t>
            </w:r>
            <w:r w:rsidRPr="00911998">
              <w:rPr>
                <w:rStyle w:val="subsection"/>
                <w:rFonts w:cs="Arial"/>
                <w:i/>
                <w:iCs/>
                <w:sz w:val="22"/>
                <w:szCs w:val="22"/>
                <w:lang w:val="en-CA"/>
              </w:rPr>
              <w:t xml:space="preserve"> filiation which has not been </w:t>
            </w:r>
            <w:r w:rsidRPr="00911998">
              <w:rPr>
                <w:rFonts w:cs="Arial"/>
                <w:i/>
                <w:iCs/>
                <w:kern w:val="0"/>
                <w:sz w:val="22"/>
                <w:szCs w:val="22"/>
                <w:lang w:val="en-CA" w:eastAsia="fr-CA"/>
              </w:rPr>
              <w:t>successfully</w:t>
            </w:r>
            <w:r w:rsidRPr="00911998">
              <w:rPr>
                <w:rStyle w:val="subsection"/>
                <w:rFonts w:cs="Arial"/>
                <w:i/>
                <w:iCs/>
                <w:sz w:val="22"/>
                <w:szCs w:val="22"/>
                <w:lang w:val="en-CA"/>
              </w:rPr>
              <w:t xml:space="preserve"> contested in court is not impugnable by a mere acknowledgement of maternity or of paternity.</w:t>
            </w:r>
          </w:p>
          <w:p w14:paraId="00AB0DA8" w14:textId="77777777" w:rsidR="009227B9" w:rsidRPr="00911998" w:rsidRDefault="009227B9" w:rsidP="009227B9">
            <w:pPr>
              <w:ind w:right="560"/>
              <w:jc w:val="both"/>
              <w:rPr>
                <w:sz w:val="22"/>
                <w:szCs w:val="22"/>
                <w:lang w:val="en-CA"/>
              </w:rPr>
            </w:pPr>
          </w:p>
        </w:tc>
      </w:tr>
    </w:tbl>
    <w:p w14:paraId="0C5EE703" w14:textId="77777777" w:rsidR="009227B9" w:rsidRPr="00911998" w:rsidRDefault="009227B9" w:rsidP="009227B9">
      <w:pPr>
        <w:ind w:left="567" w:right="560"/>
        <w:jc w:val="both"/>
        <w:rPr>
          <w:lang w:val="en-CA"/>
        </w:rPr>
      </w:pPr>
    </w:p>
    <w:p w14:paraId="27C7256D" w14:textId="2ADF02A5" w:rsidR="009227B9" w:rsidRPr="00911998" w:rsidRDefault="009227B9" w:rsidP="00A95DAA">
      <w:pPr>
        <w:pStyle w:val="Paragrsimple"/>
        <w:tabs>
          <w:tab w:val="clear" w:pos="360"/>
        </w:tabs>
        <w:spacing w:after="240"/>
        <w:rPr>
          <w:rFonts w:cs="Arial"/>
          <w:sz w:val="22"/>
          <w:szCs w:val="22"/>
          <w:shd w:val="clear" w:color="auto" w:fill="FFFFFF"/>
        </w:rPr>
      </w:pPr>
      <w:r w:rsidRPr="00911998">
        <w:rPr>
          <w:rFonts w:cs="Arial"/>
          <w:szCs w:val="24"/>
          <w:shd w:val="clear" w:color="auto" w:fill="FFFFFF"/>
        </w:rPr>
        <w:lastRenderedPageBreak/>
        <w:t>Il convient aussi de reproduire les articles</w:t>
      </w:r>
      <w:r w:rsidR="005677A6" w:rsidRPr="00911998">
        <w:rPr>
          <w:rFonts w:cs="Arial"/>
          <w:szCs w:val="24"/>
          <w:shd w:val="clear" w:color="auto" w:fill="FFFFFF"/>
        </w:rPr>
        <w:t> </w:t>
      </w:r>
      <w:r w:rsidRPr="00911998">
        <w:rPr>
          <w:rFonts w:cs="Arial"/>
          <w:szCs w:val="24"/>
          <w:shd w:val="clear" w:color="auto" w:fill="FFFFFF"/>
        </w:rPr>
        <w:t>114 et 115</w:t>
      </w:r>
      <w:r w:rsidR="005677A6" w:rsidRPr="00911998">
        <w:rPr>
          <w:rFonts w:cs="Arial"/>
          <w:szCs w:val="24"/>
          <w:shd w:val="clear" w:color="auto" w:fill="FFFFFF"/>
        </w:rPr>
        <w:t> </w:t>
      </w:r>
      <w:r w:rsidRPr="00911998">
        <w:rPr>
          <w:rFonts w:cs="Arial"/>
          <w:szCs w:val="24"/>
          <w:shd w:val="clear" w:color="auto" w:fill="FFFFFF"/>
        </w:rPr>
        <w:t>C.c.Q., régissant les déclarations de naissance (tels qu’ils se lisaient à l’époque</w:t>
      </w:r>
      <w:r w:rsidR="00A95DAA" w:rsidRPr="00911998">
        <w:rPr>
          <w:rStyle w:val="Appelnotedebasdep"/>
          <w:rFonts w:cs="Arial"/>
          <w:szCs w:val="24"/>
          <w:lang w:eastAsia="fr-CA"/>
        </w:rPr>
        <w:footnoteReference w:id="59"/>
      </w:r>
      <w:r w:rsidRPr="00911998">
        <w:rPr>
          <w:rFonts w:cs="Arial"/>
          <w:szCs w:val="24"/>
          <w:shd w:val="clear" w:color="auto" w:fill="FFFFFF"/>
        </w:rPr>
        <w:t>) :</w:t>
      </w:r>
    </w:p>
    <w:tbl>
      <w:tblPr>
        <w:tblStyle w:val="Grilledutableau"/>
        <w:tblW w:w="0" w:type="auto"/>
        <w:tblInd w:w="279" w:type="dxa"/>
        <w:tblLook w:val="04A0" w:firstRow="1" w:lastRow="0" w:firstColumn="1" w:lastColumn="0" w:noHBand="0" w:noVBand="1"/>
      </w:tblPr>
      <w:tblGrid>
        <w:gridCol w:w="4394"/>
        <w:gridCol w:w="4536"/>
      </w:tblGrid>
      <w:tr w:rsidR="000E19AB" w:rsidRPr="00C62C88" w14:paraId="6782DBFA" w14:textId="77777777" w:rsidTr="00F677F9">
        <w:tc>
          <w:tcPr>
            <w:tcW w:w="4394" w:type="dxa"/>
          </w:tcPr>
          <w:p w14:paraId="06144976" w14:textId="77777777" w:rsidR="009227B9" w:rsidRPr="00911998" w:rsidRDefault="009227B9" w:rsidP="00BF277E">
            <w:pPr>
              <w:pStyle w:val="Paragrsimple"/>
              <w:numPr>
                <w:ilvl w:val="0"/>
                <w:numId w:val="0"/>
              </w:numPr>
              <w:rPr>
                <w:rFonts w:cs="Arial"/>
                <w:sz w:val="22"/>
                <w:szCs w:val="22"/>
                <w:lang w:eastAsia="fr-CA"/>
              </w:rPr>
            </w:pPr>
            <w:r w:rsidRPr="00911998">
              <w:rPr>
                <w:rFonts w:cs="Arial"/>
                <w:b/>
                <w:bCs/>
                <w:sz w:val="22"/>
                <w:szCs w:val="22"/>
                <w:lang w:eastAsia="fr-CA"/>
              </w:rPr>
              <w:t>114.</w:t>
            </w:r>
            <w:r w:rsidRPr="00911998">
              <w:rPr>
                <w:rFonts w:cs="Arial"/>
                <w:sz w:val="22"/>
                <w:szCs w:val="22"/>
                <w:lang w:eastAsia="fr-CA"/>
              </w:rPr>
              <w:t> </w:t>
            </w:r>
            <w:proofErr w:type="gramStart"/>
            <w:r w:rsidRPr="00911998">
              <w:rPr>
                <w:rFonts w:cs="Arial"/>
                <w:sz w:val="22"/>
                <w:szCs w:val="22"/>
                <w:lang w:eastAsia="fr-CA"/>
              </w:rPr>
              <w:t>Seuls le père</w:t>
            </w:r>
            <w:proofErr w:type="gramEnd"/>
            <w:r w:rsidRPr="00911998">
              <w:rPr>
                <w:rFonts w:cs="Arial"/>
                <w:sz w:val="22"/>
                <w:szCs w:val="22"/>
                <w:lang w:eastAsia="fr-CA"/>
              </w:rPr>
              <w:t xml:space="preserve"> ou la mère peuvent déclarer la </w:t>
            </w:r>
            <w:r w:rsidRPr="00911998">
              <w:rPr>
                <w:rFonts w:cs="Arial"/>
                <w:kern w:val="0"/>
                <w:sz w:val="22"/>
                <w:szCs w:val="22"/>
                <w:lang w:eastAsia="fr-CA"/>
              </w:rPr>
              <w:t>filiation</w:t>
            </w:r>
            <w:r w:rsidRPr="00911998">
              <w:rPr>
                <w:rFonts w:cs="Arial"/>
                <w:sz w:val="22"/>
                <w:szCs w:val="22"/>
                <w:lang w:eastAsia="fr-CA"/>
              </w:rPr>
              <w:t xml:space="preserve"> de l’enfant à leur égard. Cependant, lorsque la conception ou la naissance survient pendant le mariage ou l’union civile, l’un des conjoints peut déclarer la filiation de l’enfant à l’égard de l’autre.</w:t>
            </w:r>
          </w:p>
          <w:p w14:paraId="5352F355" w14:textId="77777777" w:rsidR="009227B9" w:rsidRPr="00911998" w:rsidRDefault="009227B9" w:rsidP="00BF277E">
            <w:pPr>
              <w:pStyle w:val="Paragrsimple"/>
              <w:numPr>
                <w:ilvl w:val="0"/>
                <w:numId w:val="0"/>
              </w:numPr>
              <w:rPr>
                <w:rFonts w:cs="Arial"/>
                <w:sz w:val="22"/>
                <w:szCs w:val="22"/>
                <w:lang w:eastAsia="fr-CA"/>
              </w:rPr>
            </w:pPr>
            <w:r w:rsidRPr="00911998">
              <w:rPr>
                <w:rFonts w:cs="Arial"/>
                <w:sz w:val="22"/>
                <w:szCs w:val="22"/>
                <w:lang w:eastAsia="fr-CA"/>
              </w:rPr>
              <w:t>Aucune autre personne ne peut déclarer la filiation à l’égard d’un parent sans l’autorisation de ce dernier.</w:t>
            </w:r>
          </w:p>
          <w:p w14:paraId="611C9223" w14:textId="60F02AC7" w:rsidR="009227B9" w:rsidRPr="00911998" w:rsidRDefault="009227B9" w:rsidP="00BF277E">
            <w:pPr>
              <w:pStyle w:val="Paragrsimple"/>
              <w:numPr>
                <w:ilvl w:val="0"/>
                <w:numId w:val="0"/>
              </w:numPr>
              <w:rPr>
                <w:sz w:val="22"/>
                <w:szCs w:val="22"/>
              </w:rPr>
            </w:pPr>
            <w:bookmarkStart w:id="38" w:name="art115"/>
            <w:bookmarkEnd w:id="38"/>
            <w:r w:rsidRPr="00911998">
              <w:rPr>
                <w:rFonts w:cs="Arial"/>
                <w:b/>
                <w:bCs/>
                <w:sz w:val="22"/>
                <w:szCs w:val="22"/>
                <w:lang w:eastAsia="fr-CA"/>
              </w:rPr>
              <w:t>115.</w:t>
            </w:r>
            <w:r w:rsidRPr="00911998">
              <w:rPr>
                <w:rFonts w:cs="Arial"/>
                <w:sz w:val="22"/>
                <w:szCs w:val="22"/>
                <w:lang w:eastAsia="fr-CA"/>
              </w:rPr>
              <w:t xml:space="preserve"> La déclaration de naissance énonce le nom attribué à l’enfant, son sexe, les lieu, date et heure de la naissance, le nom et le domicile des père et mère, </w:t>
            </w:r>
            <w:r w:rsidRPr="00911998">
              <w:rPr>
                <w:rFonts w:cs="Arial"/>
                <w:kern w:val="0"/>
                <w:sz w:val="22"/>
                <w:szCs w:val="22"/>
                <w:lang w:eastAsia="fr-CA"/>
              </w:rPr>
              <w:t>de</w:t>
            </w:r>
            <w:r w:rsidRPr="00911998">
              <w:rPr>
                <w:rFonts w:cs="Arial"/>
                <w:sz w:val="22"/>
                <w:szCs w:val="22"/>
                <w:lang w:eastAsia="fr-CA"/>
              </w:rPr>
              <w:t xml:space="preserve"> même que le lien de parenté du déclarant avec l’enfant. Lorsque les parents sont de même sexe, ils sont désignés comme les mères ou les pères de l’enfant, selon le cas.</w:t>
            </w:r>
          </w:p>
        </w:tc>
        <w:tc>
          <w:tcPr>
            <w:tcW w:w="4536" w:type="dxa"/>
          </w:tcPr>
          <w:p w14:paraId="60CED39B" w14:textId="77777777" w:rsidR="00C9672D" w:rsidRPr="00911998" w:rsidRDefault="00C9672D" w:rsidP="00BF277E">
            <w:pPr>
              <w:pStyle w:val="Paragrsimple"/>
              <w:numPr>
                <w:ilvl w:val="0"/>
                <w:numId w:val="0"/>
              </w:numPr>
              <w:rPr>
                <w:rStyle w:val="subsection"/>
                <w:rFonts w:cs="Arial"/>
                <w:i/>
                <w:iCs/>
                <w:sz w:val="22"/>
                <w:szCs w:val="22"/>
                <w:lang w:val="en-CA"/>
              </w:rPr>
            </w:pPr>
            <w:r w:rsidRPr="00911998">
              <w:rPr>
                <w:rStyle w:val="canliisection"/>
                <w:rFonts w:cs="Arial"/>
                <w:b/>
                <w:bCs/>
                <w:i/>
                <w:iCs/>
                <w:sz w:val="22"/>
                <w:szCs w:val="22"/>
                <w:lang w:val="en-CA"/>
              </w:rPr>
              <w:t>114</w:t>
            </w:r>
            <w:r w:rsidRPr="00911998">
              <w:rPr>
                <w:rStyle w:val="label-section"/>
                <w:rFonts w:cs="Arial"/>
                <w:b/>
                <w:bCs/>
                <w:i/>
                <w:iCs/>
                <w:sz w:val="22"/>
                <w:szCs w:val="22"/>
                <w:lang w:val="en-CA"/>
              </w:rPr>
              <w:t>.</w:t>
            </w:r>
            <w:r w:rsidRPr="00911998">
              <w:rPr>
                <w:rFonts w:cs="Arial"/>
                <w:i/>
                <w:iCs/>
                <w:sz w:val="22"/>
                <w:szCs w:val="22"/>
                <w:lang w:val="en-CA"/>
              </w:rPr>
              <w:t> </w:t>
            </w:r>
            <w:r w:rsidRPr="00911998">
              <w:rPr>
                <w:rStyle w:val="subsection"/>
                <w:rFonts w:cs="Arial"/>
                <w:i/>
                <w:iCs/>
                <w:sz w:val="22"/>
                <w:szCs w:val="22"/>
                <w:lang w:val="en-CA"/>
              </w:rPr>
              <w:t xml:space="preserve">Only the father or mother may declare the filiation of a child </w:t>
            </w:r>
            <w:proofErr w:type="gramStart"/>
            <w:r w:rsidRPr="00911998">
              <w:rPr>
                <w:rStyle w:val="subsection"/>
                <w:rFonts w:cs="Arial"/>
                <w:i/>
                <w:iCs/>
                <w:sz w:val="22"/>
                <w:szCs w:val="22"/>
                <w:lang w:val="en-CA"/>
              </w:rPr>
              <w:t>with regard to</w:t>
            </w:r>
            <w:proofErr w:type="gramEnd"/>
            <w:r w:rsidRPr="00911998">
              <w:rPr>
                <w:rStyle w:val="subsection"/>
                <w:rFonts w:cs="Arial"/>
                <w:i/>
                <w:iCs/>
                <w:sz w:val="22"/>
                <w:szCs w:val="22"/>
                <w:lang w:val="en-CA"/>
              </w:rPr>
              <w:t xml:space="preserve"> themselves. However, where the child is conceived or </w:t>
            </w:r>
            <w:r w:rsidRPr="00911998">
              <w:rPr>
                <w:i/>
                <w:iCs/>
                <w:sz w:val="22"/>
                <w:szCs w:val="22"/>
                <w:lang w:val="en-CA" w:eastAsia="fr-CA"/>
              </w:rPr>
              <w:t>born</w:t>
            </w:r>
            <w:r w:rsidRPr="00911998">
              <w:rPr>
                <w:rStyle w:val="subsection"/>
                <w:rFonts w:cs="Arial"/>
                <w:i/>
                <w:iCs/>
                <w:sz w:val="22"/>
                <w:szCs w:val="22"/>
                <w:lang w:val="en-CA"/>
              </w:rPr>
              <w:t xml:space="preserve"> during the marriage or civil union, one of </w:t>
            </w:r>
            <w:r w:rsidRPr="00911998">
              <w:rPr>
                <w:i/>
                <w:iCs/>
                <w:kern w:val="0"/>
                <w:sz w:val="22"/>
                <w:szCs w:val="22"/>
                <w:lang w:val="en-CA" w:eastAsia="fr-CA"/>
              </w:rPr>
              <w:t>the</w:t>
            </w:r>
            <w:r w:rsidRPr="00911998">
              <w:rPr>
                <w:rStyle w:val="subsection"/>
                <w:rFonts w:cs="Arial"/>
                <w:i/>
                <w:iCs/>
                <w:sz w:val="22"/>
                <w:szCs w:val="22"/>
                <w:lang w:val="en-CA"/>
              </w:rPr>
              <w:t xml:space="preserve"> spouses may declare the filiation of the child </w:t>
            </w:r>
            <w:proofErr w:type="gramStart"/>
            <w:r w:rsidRPr="00911998">
              <w:rPr>
                <w:rStyle w:val="subsection"/>
                <w:rFonts w:cs="Arial"/>
                <w:i/>
                <w:iCs/>
                <w:sz w:val="22"/>
                <w:szCs w:val="22"/>
                <w:lang w:val="en-CA"/>
              </w:rPr>
              <w:t>with regard to</w:t>
            </w:r>
            <w:proofErr w:type="gramEnd"/>
            <w:r w:rsidRPr="00911998">
              <w:rPr>
                <w:rStyle w:val="subsection"/>
                <w:rFonts w:cs="Arial"/>
                <w:i/>
                <w:iCs/>
                <w:sz w:val="22"/>
                <w:szCs w:val="22"/>
                <w:lang w:val="en-CA"/>
              </w:rPr>
              <w:t xml:space="preserve"> the other.</w:t>
            </w:r>
          </w:p>
          <w:p w14:paraId="7998DD3D" w14:textId="77777777" w:rsidR="00C9672D" w:rsidRPr="00911998" w:rsidRDefault="00C9672D" w:rsidP="00BF277E">
            <w:pPr>
              <w:pStyle w:val="Paragrsimple"/>
              <w:numPr>
                <w:ilvl w:val="0"/>
                <w:numId w:val="0"/>
              </w:numPr>
              <w:rPr>
                <w:rFonts w:cs="Arial"/>
                <w:i/>
                <w:iCs/>
                <w:sz w:val="22"/>
                <w:szCs w:val="22"/>
                <w:lang w:val="en-CA"/>
              </w:rPr>
            </w:pPr>
            <w:r w:rsidRPr="00911998">
              <w:rPr>
                <w:rStyle w:val="subsection"/>
                <w:rFonts w:cs="Arial"/>
                <w:i/>
                <w:iCs/>
                <w:sz w:val="22"/>
                <w:szCs w:val="22"/>
                <w:lang w:val="en-CA"/>
              </w:rPr>
              <w:t xml:space="preserve">No other person may declare the filiation </w:t>
            </w:r>
            <w:proofErr w:type="gramStart"/>
            <w:r w:rsidRPr="00911998">
              <w:rPr>
                <w:rStyle w:val="subsection"/>
                <w:rFonts w:cs="Arial"/>
                <w:i/>
                <w:iCs/>
                <w:sz w:val="22"/>
                <w:szCs w:val="22"/>
                <w:lang w:val="en-CA"/>
              </w:rPr>
              <w:t>with regard to</w:t>
            </w:r>
            <w:proofErr w:type="gramEnd"/>
            <w:r w:rsidRPr="00911998">
              <w:rPr>
                <w:rStyle w:val="subsection"/>
                <w:rFonts w:cs="Arial"/>
                <w:i/>
                <w:iCs/>
                <w:sz w:val="22"/>
                <w:szCs w:val="22"/>
                <w:lang w:val="en-CA"/>
              </w:rPr>
              <w:t xml:space="preserve"> one of the parents, except with the authorization </w:t>
            </w:r>
            <w:r w:rsidRPr="00911998">
              <w:rPr>
                <w:i/>
                <w:iCs/>
                <w:kern w:val="0"/>
                <w:sz w:val="22"/>
                <w:szCs w:val="22"/>
                <w:lang w:val="en-CA" w:eastAsia="fr-CA"/>
              </w:rPr>
              <w:t>of</w:t>
            </w:r>
            <w:r w:rsidRPr="00911998">
              <w:rPr>
                <w:rStyle w:val="subsection"/>
                <w:rFonts w:cs="Arial"/>
                <w:i/>
                <w:iCs/>
                <w:sz w:val="22"/>
                <w:szCs w:val="22"/>
                <w:lang w:val="en-CA"/>
              </w:rPr>
              <w:t xml:space="preserve"> that parent.</w:t>
            </w:r>
          </w:p>
          <w:p w14:paraId="6F6AC009" w14:textId="3E0BBB0F" w:rsidR="00C9672D" w:rsidRPr="00911998" w:rsidRDefault="00C9672D" w:rsidP="00BF277E">
            <w:pPr>
              <w:pStyle w:val="Paragrsimple"/>
              <w:numPr>
                <w:ilvl w:val="0"/>
                <w:numId w:val="0"/>
              </w:numPr>
              <w:rPr>
                <w:rFonts w:cs="Arial"/>
                <w:i/>
                <w:iCs/>
                <w:sz w:val="22"/>
                <w:szCs w:val="22"/>
                <w:lang w:val="en-CA"/>
              </w:rPr>
            </w:pPr>
            <w:bookmarkStart w:id="39" w:name="sec115"/>
            <w:bookmarkEnd w:id="39"/>
            <w:r w:rsidRPr="00911998">
              <w:rPr>
                <w:rStyle w:val="canliisection"/>
                <w:rFonts w:cs="Arial"/>
                <w:b/>
                <w:bCs/>
                <w:i/>
                <w:iCs/>
                <w:sz w:val="22"/>
                <w:szCs w:val="22"/>
                <w:lang w:val="en-CA"/>
              </w:rPr>
              <w:t>115</w:t>
            </w:r>
            <w:r w:rsidRPr="00911998">
              <w:rPr>
                <w:rStyle w:val="label-section"/>
                <w:rFonts w:cs="Arial"/>
                <w:b/>
                <w:bCs/>
                <w:i/>
                <w:iCs/>
                <w:sz w:val="22"/>
                <w:szCs w:val="22"/>
                <w:lang w:val="en-CA"/>
              </w:rPr>
              <w:t>.</w:t>
            </w:r>
            <w:r w:rsidRPr="00911998">
              <w:rPr>
                <w:rFonts w:cs="Arial"/>
                <w:i/>
                <w:iCs/>
                <w:sz w:val="22"/>
                <w:szCs w:val="22"/>
                <w:lang w:val="en-CA"/>
              </w:rPr>
              <w:t> </w:t>
            </w:r>
            <w:r w:rsidRPr="00911998">
              <w:rPr>
                <w:rStyle w:val="subsection"/>
                <w:rFonts w:cs="Arial"/>
                <w:i/>
                <w:iCs/>
                <w:sz w:val="22"/>
                <w:szCs w:val="22"/>
                <w:lang w:val="en-CA"/>
              </w:rPr>
              <w:t xml:space="preserve">A declaration of birth states the name assigned to the child, the sex and the place, date and time of birth of the child, the name and </w:t>
            </w:r>
            <w:r w:rsidRPr="00911998">
              <w:rPr>
                <w:i/>
                <w:iCs/>
                <w:kern w:val="0"/>
                <w:sz w:val="22"/>
                <w:szCs w:val="22"/>
                <w:lang w:val="en-CA" w:eastAsia="fr-CA"/>
              </w:rPr>
              <w:t>domicile</w:t>
            </w:r>
            <w:r w:rsidRPr="00911998">
              <w:rPr>
                <w:rStyle w:val="subsection"/>
                <w:rFonts w:cs="Arial"/>
                <w:i/>
                <w:iCs/>
                <w:sz w:val="22"/>
                <w:szCs w:val="22"/>
                <w:lang w:val="en-CA"/>
              </w:rPr>
              <w:t xml:space="preserve"> of the father and of the mother, and the family relationship between the declarant and the child. Where the parents are of the same sex, they are designated as the mothers or fathers of the </w:t>
            </w:r>
            <w:proofErr w:type="gramStart"/>
            <w:r w:rsidRPr="00911998">
              <w:rPr>
                <w:rStyle w:val="subsection"/>
                <w:rFonts w:cs="Arial"/>
                <w:i/>
                <w:iCs/>
                <w:sz w:val="22"/>
                <w:szCs w:val="22"/>
                <w:lang w:val="en-CA"/>
              </w:rPr>
              <w:t>child, as the case may be</w:t>
            </w:r>
            <w:proofErr w:type="gramEnd"/>
            <w:r w:rsidRPr="00911998">
              <w:rPr>
                <w:rStyle w:val="subsection"/>
                <w:rFonts w:cs="Arial"/>
                <w:i/>
                <w:iCs/>
                <w:sz w:val="22"/>
                <w:szCs w:val="22"/>
                <w:lang w:val="en-CA"/>
              </w:rPr>
              <w:t>.</w:t>
            </w:r>
          </w:p>
          <w:p w14:paraId="201F300B" w14:textId="77777777" w:rsidR="009227B9" w:rsidRPr="00911998" w:rsidRDefault="009227B9" w:rsidP="00F677F9">
            <w:pPr>
              <w:ind w:right="560"/>
              <w:jc w:val="both"/>
              <w:rPr>
                <w:i/>
                <w:iCs/>
                <w:sz w:val="22"/>
                <w:szCs w:val="22"/>
                <w:lang w:val="en-CA"/>
              </w:rPr>
            </w:pPr>
          </w:p>
        </w:tc>
      </w:tr>
    </w:tbl>
    <w:p w14:paraId="499CB769" w14:textId="682DF632" w:rsidR="0009429C" w:rsidRPr="00911998" w:rsidRDefault="0009429C" w:rsidP="00782A0B">
      <w:pPr>
        <w:pStyle w:val="Paragrsimple"/>
        <w:tabs>
          <w:tab w:val="clear" w:pos="360"/>
        </w:tabs>
        <w:spacing w:after="240"/>
      </w:pPr>
      <w:r w:rsidRPr="00911998">
        <w:lastRenderedPageBreak/>
        <w:t>La lecture de ces dispositions permet d’observer qu’aucune d’</w:t>
      </w:r>
      <w:r w:rsidR="0056358B" w:rsidRPr="00911998">
        <w:t xml:space="preserve">entre </w:t>
      </w:r>
      <w:r w:rsidRPr="00911998">
        <w:t>elles ne crée explicitement plus de deux liens de filiation</w:t>
      </w:r>
      <w:r w:rsidR="0014157E" w:rsidRPr="00911998">
        <w:rPr>
          <w:rStyle w:val="Appelnotedebasdep"/>
        </w:rPr>
        <w:footnoteReference w:id="60"/>
      </w:r>
      <w:r w:rsidRPr="00911998">
        <w:t>.</w:t>
      </w:r>
    </w:p>
    <w:p w14:paraId="74F86E3A" w14:textId="7987C1F7" w:rsidR="002D4D2B" w:rsidRPr="00911998" w:rsidRDefault="0009429C" w:rsidP="00782A0B">
      <w:pPr>
        <w:pStyle w:val="Paragrsimple"/>
        <w:tabs>
          <w:tab w:val="clear" w:pos="360"/>
        </w:tabs>
        <w:spacing w:after="240"/>
      </w:pPr>
      <w:r w:rsidRPr="00911998">
        <w:t>Toutefois, s</w:t>
      </w:r>
      <w:r w:rsidR="00782A0B" w:rsidRPr="00911998">
        <w:t xml:space="preserve">elon les </w:t>
      </w:r>
      <w:r w:rsidR="00005446" w:rsidRPr="00911998">
        <w:t>D</w:t>
      </w:r>
      <w:r w:rsidR="00782A0B" w:rsidRPr="00911998">
        <w:t xml:space="preserve">emandeurs, plus </w:t>
      </w:r>
      <w:r w:rsidR="001A164B" w:rsidRPr="00911998">
        <w:t>d</w:t>
      </w:r>
      <w:r w:rsidR="00782A0B" w:rsidRPr="00911998">
        <w:t>e deux personnes</w:t>
      </w:r>
      <w:r w:rsidR="00767A9F" w:rsidRPr="00911998">
        <w:t xml:space="preserve"> (qui se considèrent </w:t>
      </w:r>
      <w:r w:rsidR="001A164B" w:rsidRPr="00911998">
        <w:t xml:space="preserve">comme le </w:t>
      </w:r>
      <w:r w:rsidR="00767A9F" w:rsidRPr="00911998">
        <w:t xml:space="preserve">père, </w:t>
      </w:r>
      <w:r w:rsidR="001A164B" w:rsidRPr="00911998">
        <w:t xml:space="preserve">la </w:t>
      </w:r>
      <w:r w:rsidR="00767A9F" w:rsidRPr="00911998">
        <w:t xml:space="preserve">mère ou </w:t>
      </w:r>
      <w:r w:rsidR="001A164B" w:rsidRPr="00911998">
        <w:t xml:space="preserve">un </w:t>
      </w:r>
      <w:r w:rsidR="00767A9F" w:rsidRPr="00911998">
        <w:t>parent)</w:t>
      </w:r>
      <w:r w:rsidR="00782A0B" w:rsidRPr="00911998">
        <w:t xml:space="preserve"> peuvent déclarer la filiation d’un enfant à leur égard</w:t>
      </w:r>
      <w:r w:rsidR="002947D4" w:rsidRPr="00911998">
        <w:t xml:space="preserve"> aux termes de l’article 114</w:t>
      </w:r>
      <w:r w:rsidR="001B76A6" w:rsidRPr="00911998">
        <w:t> </w:t>
      </w:r>
      <w:r w:rsidR="002947D4" w:rsidRPr="00911998">
        <w:t xml:space="preserve">C.c.Q. Dans un tel cas, le Directeur de l’état civil doit dresser l’acte de naissance conformément aux déclarations reçues et la filiation </w:t>
      </w:r>
      <w:r w:rsidR="00097575" w:rsidRPr="00911998">
        <w:t>de l’enfant avec chacun de ses parents sera prouvée par cet acte de naissance.</w:t>
      </w:r>
      <w:r w:rsidR="002947D4" w:rsidRPr="00911998">
        <w:t xml:space="preserve"> </w:t>
      </w:r>
      <w:r w:rsidR="004D3F49" w:rsidRPr="00911998">
        <w:t>Par ailleurs, dans la mesure o</w:t>
      </w:r>
      <w:r w:rsidR="004D3F49" w:rsidRPr="00911998">
        <w:rPr>
          <w:rFonts w:cs="Arial"/>
        </w:rPr>
        <w:t>ù</w:t>
      </w:r>
      <w:r w:rsidR="004D3F49" w:rsidRPr="00911998">
        <w:t xml:space="preserve"> l’acte de naissance de l’enfant n’établit pas tous ses liens de filiation, la possession constante d’état suffit</w:t>
      </w:r>
      <w:r w:rsidR="004D3F49" w:rsidRPr="00911998">
        <w:rPr>
          <w:rStyle w:val="Appelnotedebasdep"/>
        </w:rPr>
        <w:footnoteReference w:id="61"/>
      </w:r>
      <w:r w:rsidR="004D3F49" w:rsidRPr="00911998">
        <w:t>. Enfin</w:t>
      </w:r>
      <w:r w:rsidR="002947D4" w:rsidRPr="00911998">
        <w:t xml:space="preserve">, </w:t>
      </w:r>
      <w:r w:rsidR="00767A9F" w:rsidRPr="00911998">
        <w:t xml:space="preserve">ils soutiennent que </w:t>
      </w:r>
      <w:r w:rsidR="002947D4" w:rsidRPr="00911998">
        <w:t xml:space="preserve">plus </w:t>
      </w:r>
      <w:r w:rsidR="001A164B" w:rsidRPr="00911998">
        <w:t>d</w:t>
      </w:r>
      <w:r w:rsidR="002947D4" w:rsidRPr="00911998">
        <w:t>e deux personnes peuvent reconnaître volontairement leur statut de parent en application des articles</w:t>
      </w:r>
      <w:r w:rsidR="001B76A6" w:rsidRPr="00911998">
        <w:t> </w:t>
      </w:r>
      <w:r w:rsidR="002947D4" w:rsidRPr="00911998">
        <w:t>526 à 528</w:t>
      </w:r>
      <w:r w:rsidR="001B76A6" w:rsidRPr="00911998">
        <w:t> </w:t>
      </w:r>
      <w:r w:rsidR="002947D4" w:rsidRPr="00911998">
        <w:t>C.c.Q.</w:t>
      </w:r>
    </w:p>
    <w:p w14:paraId="38F65814" w14:textId="3F17B4F7" w:rsidR="003160F7" w:rsidRPr="00911998" w:rsidRDefault="0071736F" w:rsidP="00782A0B">
      <w:pPr>
        <w:pStyle w:val="Paragrsimple"/>
        <w:tabs>
          <w:tab w:val="clear" w:pos="360"/>
        </w:tabs>
        <w:spacing w:after="240"/>
      </w:pPr>
      <w:r w:rsidRPr="00911998">
        <w:t xml:space="preserve">En réalité, l’argument des Demandeurs </w:t>
      </w:r>
      <w:r w:rsidR="001A164B" w:rsidRPr="00911998">
        <w:t>repose toujours</w:t>
      </w:r>
      <w:r w:rsidRPr="00911998">
        <w:t xml:space="preserve"> sur l’absence de limite </w:t>
      </w:r>
      <w:r w:rsidR="00EF4549" w:rsidRPr="00911998">
        <w:t>formelle</w:t>
      </w:r>
      <w:r w:rsidRPr="00911998">
        <w:t xml:space="preserve"> à deux parents </w:t>
      </w:r>
      <w:r w:rsidR="00EF4549" w:rsidRPr="00911998">
        <w:t>dans les dispositions qu’ils invoquent, car aucune d</w:t>
      </w:r>
      <w:r w:rsidR="001A164B" w:rsidRPr="00911998">
        <w:t>’entre elles</w:t>
      </w:r>
      <w:r w:rsidRPr="00911998">
        <w:t xml:space="preserve"> ne crée </w:t>
      </w:r>
      <w:r w:rsidR="0058091C" w:rsidRPr="00911998">
        <w:t xml:space="preserve">expressément </w:t>
      </w:r>
      <w:r w:rsidRPr="00911998">
        <w:t>le lien de filiation additionnel qu’ils recherchent.</w:t>
      </w:r>
      <w:r w:rsidR="00EF4549" w:rsidRPr="00911998">
        <w:t xml:space="preserve"> </w:t>
      </w:r>
      <w:r w:rsidR="001A164B" w:rsidRPr="00911998">
        <w:t>Quoi qu’il en soit</w:t>
      </w:r>
      <w:r w:rsidR="00EE5E79" w:rsidRPr="00911998">
        <w:t xml:space="preserve">, l’économie générale du Code </w:t>
      </w:r>
      <w:r w:rsidR="001B76A6" w:rsidRPr="00911998">
        <w:t>—</w:t>
      </w:r>
      <w:r w:rsidR="00EE5E79" w:rsidRPr="00911998">
        <w:t xml:space="preserve"> </w:t>
      </w:r>
      <w:r w:rsidR="001A164B" w:rsidRPr="00911998">
        <w:t>laquelle constitue</w:t>
      </w:r>
      <w:r w:rsidR="00EE5E79" w:rsidRPr="00911998">
        <w:t xml:space="preserve"> </w:t>
      </w:r>
      <w:r w:rsidR="0009429C" w:rsidRPr="00911998">
        <w:t xml:space="preserve">une </w:t>
      </w:r>
      <w:r w:rsidR="00851A0D" w:rsidRPr="00911998">
        <w:t>dimension</w:t>
      </w:r>
      <w:r w:rsidR="00EE5E79" w:rsidRPr="00911998">
        <w:t xml:space="preserve"> du principe de la cohérence</w:t>
      </w:r>
      <w:r w:rsidR="001A164B" w:rsidRPr="00911998">
        <w:t xml:space="preserve"> législative</w:t>
      </w:r>
      <w:r w:rsidR="00EE5E79" w:rsidRPr="00911998">
        <w:t xml:space="preserve"> </w:t>
      </w:r>
      <w:r w:rsidR="001B76A6" w:rsidRPr="00911998">
        <w:t>—</w:t>
      </w:r>
      <w:r w:rsidR="00EE5E79" w:rsidRPr="00911998">
        <w:t xml:space="preserve"> s’oppose </w:t>
      </w:r>
      <w:r w:rsidR="0009429C" w:rsidRPr="00911998">
        <w:t xml:space="preserve">formellement </w:t>
      </w:r>
      <w:r w:rsidR="00954C05" w:rsidRPr="00911998">
        <w:t xml:space="preserve">aux </w:t>
      </w:r>
      <w:r w:rsidR="0058091C" w:rsidRPr="00911998">
        <w:t>argument</w:t>
      </w:r>
      <w:r w:rsidR="00954C05" w:rsidRPr="00911998">
        <w:t>s interprétati</w:t>
      </w:r>
      <w:r w:rsidR="0058091C" w:rsidRPr="00911998">
        <w:t>f</w:t>
      </w:r>
      <w:r w:rsidR="00954C05" w:rsidRPr="00911998">
        <w:t xml:space="preserve">s des </w:t>
      </w:r>
      <w:r w:rsidR="005677A6" w:rsidRPr="00911998">
        <w:t>Demandeurs.</w:t>
      </w:r>
      <w:r w:rsidR="00EE5E79" w:rsidRPr="00911998">
        <w:t xml:space="preserve"> </w:t>
      </w:r>
    </w:p>
    <w:p w14:paraId="1871D788" w14:textId="15D70DF2" w:rsidR="003A1D38" w:rsidRPr="00911998" w:rsidRDefault="00954C05" w:rsidP="0003354D">
      <w:pPr>
        <w:pStyle w:val="Paragrsimple"/>
        <w:tabs>
          <w:tab w:val="clear" w:pos="360"/>
        </w:tabs>
      </w:pPr>
      <w:r w:rsidRPr="00911998">
        <w:t>En effet</w:t>
      </w:r>
      <w:r w:rsidR="00AD077D" w:rsidRPr="00911998">
        <w:t>, lorsque le C.c.Q. est examiné dans son ensemble</w:t>
      </w:r>
      <w:r w:rsidR="00FE5151" w:rsidRPr="00911998">
        <w:t>,</w:t>
      </w:r>
      <w:r w:rsidR="00AD077D" w:rsidRPr="00911998">
        <w:t xml:space="preserve"> on </w:t>
      </w:r>
      <w:r w:rsidR="0009429C" w:rsidRPr="00911998">
        <w:t>constate</w:t>
      </w:r>
      <w:r w:rsidR="00AD077D" w:rsidRPr="00911998">
        <w:t xml:space="preserve"> bien que le législateur</w:t>
      </w:r>
      <w:r w:rsidR="00D5305D" w:rsidRPr="00911998">
        <w:t xml:space="preserve">, sans exclure la </w:t>
      </w:r>
      <w:proofErr w:type="spellStart"/>
      <w:r w:rsidR="00D5305D" w:rsidRPr="00911998">
        <w:t>monoparenté</w:t>
      </w:r>
      <w:proofErr w:type="spellEnd"/>
      <w:r w:rsidR="00D5305D" w:rsidRPr="00911998">
        <w:t>,</w:t>
      </w:r>
      <w:r w:rsidR="00AD077D" w:rsidRPr="00911998">
        <w:t xml:space="preserve"> s’est </w:t>
      </w:r>
      <w:r w:rsidR="00D5305D" w:rsidRPr="00911998">
        <w:t>inspiré</w:t>
      </w:r>
      <w:r w:rsidR="00AD077D" w:rsidRPr="00911998">
        <w:t xml:space="preserve"> </w:t>
      </w:r>
      <w:r w:rsidR="00D5305D" w:rsidRPr="00911998">
        <w:t>d’un</w:t>
      </w:r>
      <w:r w:rsidR="00AD077D" w:rsidRPr="00911998">
        <w:t xml:space="preserve"> modèle </w:t>
      </w:r>
      <w:r w:rsidR="00573D75" w:rsidRPr="00911998">
        <w:t xml:space="preserve">de parenté </w:t>
      </w:r>
      <w:r w:rsidR="00D5305D" w:rsidRPr="00911998">
        <w:t>fon</w:t>
      </w:r>
      <w:r w:rsidR="00FE5151" w:rsidRPr="00911998">
        <w:t>cière</w:t>
      </w:r>
      <w:r w:rsidR="00D5305D" w:rsidRPr="00911998">
        <w:t>ment bipar</w:t>
      </w:r>
      <w:r w:rsidR="00573D75" w:rsidRPr="00911998">
        <w:t>tite</w:t>
      </w:r>
      <w:r w:rsidR="00AD077D" w:rsidRPr="00911998">
        <w:t>.</w:t>
      </w:r>
      <w:r w:rsidR="00D5305D" w:rsidRPr="00911998">
        <w:t xml:space="preserve"> </w:t>
      </w:r>
      <w:r w:rsidR="003A1D38" w:rsidRPr="00911998">
        <w:t xml:space="preserve">Cette lecture globale du C.c.Q. fait ressortir une limite implicite, </w:t>
      </w:r>
      <w:proofErr w:type="gramStart"/>
      <w:r w:rsidR="003A1D38" w:rsidRPr="00911998">
        <w:t>mais pourtant</w:t>
      </w:r>
      <w:proofErr w:type="gramEnd"/>
      <w:r w:rsidR="003A1D38" w:rsidRPr="00911998">
        <w:t xml:space="preserve"> claire, à deux liens de filiation. Il en résulte que le droit positif québécois n’autorise pas </w:t>
      </w:r>
      <w:r w:rsidR="001B76A6" w:rsidRPr="00911998">
        <w:t>—</w:t>
      </w:r>
      <w:r w:rsidR="003A1D38" w:rsidRPr="00911998">
        <w:t xml:space="preserve"> ou</w:t>
      </w:r>
      <w:r w:rsidR="001A164B" w:rsidRPr="00911998">
        <w:t>,</w:t>
      </w:r>
      <w:r w:rsidR="003A1D38" w:rsidRPr="00911998">
        <w:t xml:space="preserve"> plutôt</w:t>
      </w:r>
      <w:r w:rsidR="001A164B" w:rsidRPr="00911998">
        <w:t>,</w:t>
      </w:r>
      <w:r w:rsidR="003A1D38" w:rsidRPr="00911998">
        <w:t xml:space="preserve"> ne crée pas </w:t>
      </w:r>
      <w:r w:rsidR="001B76A6" w:rsidRPr="00911998">
        <w:t>—</w:t>
      </w:r>
      <w:r w:rsidR="003A1D38" w:rsidRPr="00911998">
        <w:t xml:space="preserve"> </w:t>
      </w:r>
      <w:r w:rsidR="0058091C" w:rsidRPr="00911998">
        <w:t>le</w:t>
      </w:r>
      <w:r w:rsidR="003A1D38" w:rsidRPr="00911998">
        <w:t xml:space="preserve"> troisième lien de filiation recherché par les Demandeurs.</w:t>
      </w:r>
    </w:p>
    <w:p w14:paraId="12FFAD5A" w14:textId="03DE0F17" w:rsidR="00FE5151" w:rsidRPr="00911998" w:rsidRDefault="00FE5151" w:rsidP="00FE5151">
      <w:pPr>
        <w:pStyle w:val="Paragrsimple"/>
        <w:tabs>
          <w:tab w:val="clear" w:pos="360"/>
        </w:tabs>
      </w:pPr>
      <w:r w:rsidRPr="00911998">
        <w:t xml:space="preserve">Plusieurs dispositions du C.c.Q., tel qu’il se lisait au moment de la naissance des </w:t>
      </w:r>
      <w:r w:rsidR="0058091C" w:rsidRPr="00911998">
        <w:t>e</w:t>
      </w:r>
      <w:r w:rsidRPr="00911998">
        <w:t>nfants, appuient cette conclusion.</w:t>
      </w:r>
    </w:p>
    <w:p w14:paraId="75E1A9FE" w14:textId="5686511C" w:rsidR="00294E81" w:rsidRPr="00911998" w:rsidRDefault="005677A6" w:rsidP="002741AE">
      <w:pPr>
        <w:pStyle w:val="Paragrsimple"/>
        <w:tabs>
          <w:tab w:val="clear" w:pos="360"/>
        </w:tabs>
      </w:pPr>
      <w:r w:rsidRPr="00911998">
        <w:t>D’abord,</w:t>
      </w:r>
      <w:r w:rsidR="002741AE" w:rsidRPr="00911998">
        <w:t xml:space="preserve"> les dispositions du C.c.Q. concernant l’adoption sont fondées sur </w:t>
      </w:r>
      <w:r w:rsidR="00294E81" w:rsidRPr="00911998">
        <w:t xml:space="preserve">l’existence </w:t>
      </w:r>
      <w:r w:rsidRPr="00911998">
        <w:t>d</w:t>
      </w:r>
      <w:r w:rsidR="001B76A6" w:rsidRPr="00911998">
        <w:t>’</w:t>
      </w:r>
      <w:r w:rsidRPr="00911998">
        <w:t>un maximum de</w:t>
      </w:r>
      <w:r w:rsidR="00294E81" w:rsidRPr="00911998">
        <w:t xml:space="preserve"> deux liens de filiation avant et après l’adoption.</w:t>
      </w:r>
    </w:p>
    <w:p w14:paraId="5E5CEC5C" w14:textId="0C261A40" w:rsidR="002741AE" w:rsidRPr="00911998" w:rsidRDefault="00294E81" w:rsidP="002741AE">
      <w:pPr>
        <w:pStyle w:val="Paragrsimple"/>
        <w:tabs>
          <w:tab w:val="clear" w:pos="360"/>
        </w:tabs>
      </w:pPr>
      <w:r w:rsidRPr="00911998">
        <w:t>À ce titre, pour ce qui est du consentement à l’adoption, l’accord des «</w:t>
      </w:r>
      <w:r w:rsidR="001B76A6" w:rsidRPr="00911998">
        <w:t> </w:t>
      </w:r>
      <w:r w:rsidRPr="00911998">
        <w:t>deux</w:t>
      </w:r>
      <w:r w:rsidR="001B76A6" w:rsidRPr="00911998">
        <w:t> </w:t>
      </w:r>
      <w:r w:rsidRPr="00911998">
        <w:t xml:space="preserve">» parents est requis, et ce, dans la mesure </w:t>
      </w:r>
      <w:r w:rsidR="005677A6" w:rsidRPr="00911998">
        <w:t>où</w:t>
      </w:r>
      <w:r w:rsidRPr="00911998">
        <w:t xml:space="preserve"> la filiation de l’enfant avec eux est établie (article 551 C.c.Q.)</w:t>
      </w:r>
      <w:r w:rsidRPr="00911998">
        <w:rPr>
          <w:rStyle w:val="Appelnotedebasdep"/>
        </w:rPr>
        <w:footnoteReference w:id="62"/>
      </w:r>
      <w:r w:rsidRPr="00911998">
        <w:t xml:space="preserve">. </w:t>
      </w:r>
      <w:r w:rsidR="001A164B" w:rsidRPr="00911998">
        <w:t>De plus</w:t>
      </w:r>
      <w:r w:rsidR="002741AE" w:rsidRPr="00911998">
        <w:t>, l’article 546</w:t>
      </w:r>
      <w:r w:rsidR="001B76A6" w:rsidRPr="00911998">
        <w:t> </w:t>
      </w:r>
      <w:r w:rsidR="002741AE" w:rsidRPr="00911998">
        <w:t>C.c.Q. prévoit qu’une personne «</w:t>
      </w:r>
      <w:r w:rsidR="001B76A6" w:rsidRPr="00911998">
        <w:t> </w:t>
      </w:r>
      <w:r w:rsidR="002741AE" w:rsidRPr="00911998">
        <w:t xml:space="preserve">peut, seule </w:t>
      </w:r>
      <w:r w:rsidR="002741AE" w:rsidRPr="00911998">
        <w:rPr>
          <w:u w:val="single"/>
        </w:rPr>
        <w:t>ou conjointement avec une autre personne</w:t>
      </w:r>
      <w:r w:rsidR="002741AE" w:rsidRPr="00911998">
        <w:t>, adopter un enfant</w:t>
      </w:r>
      <w:r w:rsidR="001B76A6" w:rsidRPr="00911998">
        <w:t> </w:t>
      </w:r>
      <w:r w:rsidR="002741AE" w:rsidRPr="00911998">
        <w:t xml:space="preserve">» (soulignements ajoutés). </w:t>
      </w:r>
      <w:r w:rsidRPr="00911998">
        <w:lastRenderedPageBreak/>
        <w:t>Une adoption à trois n’est pas possible. De surcroît</w:t>
      </w:r>
      <w:r w:rsidR="002741AE" w:rsidRPr="00911998">
        <w:t xml:space="preserve">, </w:t>
      </w:r>
      <w:r w:rsidRPr="00911998">
        <w:t>la nouvelle filiation créée par l’adoption succède aux filiations préexistantes de l’enfant (article 577 C.c.Q.</w:t>
      </w:r>
      <w:r w:rsidRPr="00911998">
        <w:rPr>
          <w:rStyle w:val="Appelnotedebasdep"/>
        </w:rPr>
        <w:footnoteReference w:id="63"/>
      </w:r>
      <w:r w:rsidRPr="00911998">
        <w:t xml:space="preserve">). </w:t>
      </w:r>
      <w:r w:rsidR="009057AA" w:rsidRPr="00911998">
        <w:t>A</w:t>
      </w:r>
      <w:r w:rsidRPr="00911998">
        <w:t>u terme d’une adoption</w:t>
      </w:r>
      <w:r w:rsidR="009057AA" w:rsidRPr="00911998">
        <w:t xml:space="preserve"> selon le droit québécois</w:t>
      </w:r>
      <w:r w:rsidRPr="00911998">
        <w:t xml:space="preserve">, un enfant ne peut </w:t>
      </w:r>
      <w:r w:rsidR="009057AA" w:rsidRPr="00911998">
        <w:t xml:space="preserve">donc </w:t>
      </w:r>
      <w:r w:rsidRPr="00911998">
        <w:t>avoir que deux liens de filiation</w:t>
      </w:r>
      <w:r w:rsidRPr="00911998">
        <w:rPr>
          <w:rStyle w:val="Appelnotedebasdep"/>
        </w:rPr>
        <w:footnoteReference w:id="64"/>
      </w:r>
      <w:r w:rsidRPr="00911998">
        <w:t>.</w:t>
      </w:r>
    </w:p>
    <w:p w14:paraId="52D2B7CF" w14:textId="77777777" w:rsidR="001A164B" w:rsidRPr="00911998" w:rsidRDefault="002C2BE1" w:rsidP="009057AA">
      <w:pPr>
        <w:pStyle w:val="Paragrsimple"/>
        <w:tabs>
          <w:tab w:val="clear" w:pos="360"/>
        </w:tabs>
      </w:pPr>
      <w:r w:rsidRPr="00911998">
        <w:t>Ensuite, i</w:t>
      </w:r>
      <w:r w:rsidR="009057AA" w:rsidRPr="00911998">
        <w:t xml:space="preserve">l en est de même </w:t>
      </w:r>
      <w:r w:rsidR="00D63FF7" w:rsidRPr="00911998">
        <w:t>pour les</w:t>
      </w:r>
      <w:r w:rsidR="009057AA" w:rsidRPr="00911998">
        <w:t xml:space="preserve"> enfant</w:t>
      </w:r>
      <w:r w:rsidR="00D63FF7" w:rsidRPr="00911998">
        <w:t>s</w:t>
      </w:r>
      <w:r w:rsidR="009057AA" w:rsidRPr="00911998">
        <w:t xml:space="preserve"> né</w:t>
      </w:r>
      <w:r w:rsidR="00D63FF7" w:rsidRPr="00911998">
        <w:t>s</w:t>
      </w:r>
      <w:r w:rsidR="009057AA" w:rsidRPr="00911998">
        <w:t xml:space="preserve"> d’une procréation assistée.</w:t>
      </w:r>
    </w:p>
    <w:p w14:paraId="3A53957D" w14:textId="3C0D2338" w:rsidR="009057AA" w:rsidRPr="00911998" w:rsidRDefault="009057AA" w:rsidP="009057AA">
      <w:pPr>
        <w:pStyle w:val="Paragrsimple"/>
        <w:tabs>
          <w:tab w:val="clear" w:pos="360"/>
        </w:tabs>
      </w:pPr>
      <w:r w:rsidRPr="00911998">
        <w:t xml:space="preserve"> </w:t>
      </w:r>
      <w:r w:rsidR="002C2BE1" w:rsidRPr="00911998">
        <w:t xml:space="preserve">Comme mentionné, l’article 538 C.c.Q. prévoit qu’une personne seule ou des conjoints </w:t>
      </w:r>
      <w:r w:rsidR="001B76A6" w:rsidRPr="00911998">
        <w:t>—</w:t>
      </w:r>
      <w:r w:rsidR="002C2BE1" w:rsidRPr="00911998">
        <w:t xml:space="preserve"> c’est-à-dire deux personnes</w:t>
      </w:r>
      <w:r w:rsidR="002C2BE1" w:rsidRPr="00911998">
        <w:rPr>
          <w:rStyle w:val="Appelnotedebasdep"/>
        </w:rPr>
        <w:footnoteReference w:id="65"/>
      </w:r>
      <w:r w:rsidR="002C2BE1" w:rsidRPr="00911998">
        <w:t xml:space="preserve"> </w:t>
      </w:r>
      <w:r w:rsidR="001B76A6" w:rsidRPr="00911998">
        <w:t>—</w:t>
      </w:r>
      <w:r w:rsidR="002C2BE1" w:rsidRPr="00911998">
        <w:t xml:space="preserve"> peuvent participer à un projet parental avec assistance à la procréation impliquant le recours aux forces génétiques d’un tiers. Selon l’article 538</w:t>
      </w:r>
      <w:r w:rsidR="005677A6" w:rsidRPr="00911998">
        <w:t>,</w:t>
      </w:r>
      <w:r w:rsidR="002C2BE1" w:rsidRPr="00911998">
        <w:t xml:space="preserve"> le tiers n’est pas </w:t>
      </w:r>
      <w:r w:rsidR="005677A6" w:rsidRPr="00911998">
        <w:t>parti</w:t>
      </w:r>
      <w:r w:rsidR="001A164B" w:rsidRPr="00911998">
        <w:t>e</w:t>
      </w:r>
      <w:r w:rsidR="002C2BE1" w:rsidRPr="00911998">
        <w:t xml:space="preserve"> au projet parental et son apport de forces génétiques ne peut fonder aucun lie</w:t>
      </w:r>
      <w:r w:rsidR="00443AA9" w:rsidRPr="00911998">
        <w:t>n</w:t>
      </w:r>
      <w:r w:rsidR="002C2BE1" w:rsidRPr="00911998">
        <w:t xml:space="preserve"> de filiation avec l’enfant (article 538.2 C.c.Q.). En somme, le C.c.Q. n</w:t>
      </w:r>
      <w:r w:rsidR="001B76A6" w:rsidRPr="00911998">
        <w:t>’</w:t>
      </w:r>
      <w:r w:rsidR="002C2BE1" w:rsidRPr="00911998">
        <w:t>envisage que la création d’un ou de deux liens de filiation en cas de procréation assistée.</w:t>
      </w:r>
    </w:p>
    <w:p w14:paraId="13E0084F" w14:textId="574488F9" w:rsidR="00B8668C" w:rsidRPr="00911998" w:rsidRDefault="004D0508" w:rsidP="00607E13">
      <w:pPr>
        <w:pStyle w:val="Paragrsimple"/>
        <w:tabs>
          <w:tab w:val="clear" w:pos="360"/>
        </w:tabs>
      </w:pPr>
      <w:r w:rsidRPr="00911998">
        <w:t xml:space="preserve">Les Demandeurs plaident que les dispositions du C.c.Q. ne régissent qu’un projet parental d’une personne seule ou de </w:t>
      </w:r>
      <w:r w:rsidR="006D1E92" w:rsidRPr="00911998">
        <w:t xml:space="preserve">deux </w:t>
      </w:r>
      <w:r w:rsidRPr="00911998">
        <w:t xml:space="preserve">conjoints. Selon eux, rien n’empêche l’existence d’un projet parental à trois. </w:t>
      </w:r>
      <w:r w:rsidR="008E2923" w:rsidRPr="00911998">
        <w:t xml:space="preserve">Si </w:t>
      </w:r>
      <w:r w:rsidR="00B8668C" w:rsidRPr="00911998">
        <w:t>plus de deux</w:t>
      </w:r>
      <w:r w:rsidR="008E2923" w:rsidRPr="00911998">
        <w:t xml:space="preserve"> personnes peuvent</w:t>
      </w:r>
      <w:r w:rsidR="006D1E92" w:rsidRPr="00911998">
        <w:t>, dans les faits,</w:t>
      </w:r>
      <w:r w:rsidR="008E2923" w:rsidRPr="00911998">
        <w:t xml:space="preserve"> former un projet parental et le mettre en application, force est de constater que le législateur </w:t>
      </w:r>
      <w:r w:rsidR="00B8668C" w:rsidRPr="00911998">
        <w:t>n’envisage pas de tels projets parentaux. Surtout, il n’a pas créé plus de deux liens de filiation afin de répondre aux souhaits de ceux qui forment un projet parental à trois ou plus.</w:t>
      </w:r>
    </w:p>
    <w:p w14:paraId="6AD12E5C" w14:textId="7CFE0684" w:rsidR="00F226FD" w:rsidRPr="00911998" w:rsidRDefault="009B1563" w:rsidP="00607E13">
      <w:pPr>
        <w:pStyle w:val="Paragrsimple"/>
        <w:tabs>
          <w:tab w:val="clear" w:pos="360"/>
        </w:tabs>
      </w:pPr>
      <w:r w:rsidRPr="00911998">
        <w:t>En réalité</w:t>
      </w:r>
      <w:r w:rsidR="0058780C" w:rsidRPr="00911998">
        <w:t xml:space="preserve">, le C.c.Q. </w:t>
      </w:r>
      <w:r w:rsidR="00B8668C" w:rsidRPr="00911998">
        <w:t>limite</w:t>
      </w:r>
      <w:r w:rsidR="0058780C" w:rsidRPr="00911998">
        <w:t xml:space="preserve"> clairement</w:t>
      </w:r>
      <w:r w:rsidR="00B8668C" w:rsidRPr="00911998">
        <w:t xml:space="preserve"> la filiation à deux personnes en cas de procréation assistée</w:t>
      </w:r>
      <w:r w:rsidR="0058780C" w:rsidRPr="00911998">
        <w:t>.</w:t>
      </w:r>
      <w:r w:rsidR="00B8668C" w:rsidRPr="00911998">
        <w:t xml:space="preserve"> </w:t>
      </w:r>
      <w:r w:rsidRPr="00911998">
        <w:t>L</w:t>
      </w:r>
      <w:r w:rsidR="00B8668C" w:rsidRPr="00911998">
        <w:t>’</w:t>
      </w:r>
      <w:r w:rsidR="006D1E92" w:rsidRPr="00911998">
        <w:t xml:space="preserve">argument selon </w:t>
      </w:r>
      <w:proofErr w:type="gramStart"/>
      <w:r w:rsidR="006D1E92" w:rsidRPr="00911998">
        <w:t xml:space="preserve">lequel </w:t>
      </w:r>
      <w:r w:rsidR="00B8668C" w:rsidRPr="00911998">
        <w:t xml:space="preserve"> cette</w:t>
      </w:r>
      <w:proofErr w:type="gramEnd"/>
      <w:r w:rsidR="00B8668C" w:rsidRPr="00911998">
        <w:t xml:space="preserve"> limite disparaît </w:t>
      </w:r>
      <w:r w:rsidR="005677A6" w:rsidRPr="00911998">
        <w:t>dès lors</w:t>
      </w:r>
      <w:r w:rsidR="00B8668C" w:rsidRPr="00911998">
        <w:t xml:space="preserve"> que le projet parental implique plus de deux personnes</w:t>
      </w:r>
      <w:r w:rsidR="0058780C" w:rsidRPr="00911998">
        <w:t xml:space="preserve"> et que le droit positif reconnaitrait alors une filiation </w:t>
      </w:r>
      <w:r w:rsidR="005677A6" w:rsidRPr="00911998">
        <w:t>multipartite</w:t>
      </w:r>
      <w:r w:rsidR="0058780C" w:rsidRPr="00911998">
        <w:t xml:space="preserve"> </w:t>
      </w:r>
      <w:r w:rsidR="00B8668C" w:rsidRPr="00911998">
        <w:t xml:space="preserve">ne </w:t>
      </w:r>
      <w:r w:rsidR="006D1E92" w:rsidRPr="00911998">
        <w:t>résiste pas à l’analyse</w:t>
      </w:r>
      <w:r w:rsidR="008F6493" w:rsidRPr="00911998">
        <w:t>.</w:t>
      </w:r>
    </w:p>
    <w:p w14:paraId="2690E18E" w14:textId="2D382B02" w:rsidR="001A164B" w:rsidRPr="00911998" w:rsidRDefault="00E61A6A" w:rsidP="004A269D">
      <w:pPr>
        <w:pStyle w:val="Paragrsimple"/>
        <w:tabs>
          <w:tab w:val="clear" w:pos="360"/>
        </w:tabs>
      </w:pPr>
      <w:r w:rsidRPr="00911998">
        <w:t>De surcroît</w:t>
      </w:r>
      <w:r w:rsidR="00E57A23" w:rsidRPr="00911998">
        <w:t xml:space="preserve">, plusieurs autres dispositions du C.c.Q. permettent d’observer que le législateur n’envisage que l’existence de deux parents juridiques. </w:t>
      </w:r>
    </w:p>
    <w:p w14:paraId="482E1A6B" w14:textId="6B227993" w:rsidR="004A269D" w:rsidRPr="00911998" w:rsidRDefault="00E57A23" w:rsidP="004A269D">
      <w:pPr>
        <w:pStyle w:val="Paragrsimple"/>
        <w:tabs>
          <w:tab w:val="clear" w:pos="360"/>
        </w:tabs>
      </w:pPr>
      <w:r w:rsidRPr="00911998">
        <w:t>Par exemple</w:t>
      </w:r>
      <w:r w:rsidR="004A269D" w:rsidRPr="00911998">
        <w:t xml:space="preserve">, </w:t>
      </w:r>
      <w:r w:rsidRPr="00911998">
        <w:t>l’article 539.1 C.c.Q. traite de la situation o</w:t>
      </w:r>
      <w:r w:rsidR="00E80AD3" w:rsidRPr="00911998">
        <w:rPr>
          <w:rFonts w:cs="Arial"/>
        </w:rPr>
        <w:t>ù</w:t>
      </w:r>
      <w:r w:rsidRPr="00911998">
        <w:t xml:space="preserve"> «</w:t>
      </w:r>
      <w:r w:rsidR="001B76A6" w:rsidRPr="00911998">
        <w:t> </w:t>
      </w:r>
      <w:r w:rsidRPr="00911998">
        <w:t xml:space="preserve">les parents sont tous </w:t>
      </w:r>
      <w:r w:rsidRPr="00911998">
        <w:rPr>
          <w:u w:val="single"/>
        </w:rPr>
        <w:t>deux</w:t>
      </w:r>
      <w:r w:rsidRPr="00911998">
        <w:t xml:space="preserve"> de sexe féminin</w:t>
      </w:r>
      <w:r w:rsidR="001B76A6" w:rsidRPr="00911998">
        <w:t> </w:t>
      </w:r>
      <w:r w:rsidRPr="00911998">
        <w:t>» (soulignement ajouté)</w:t>
      </w:r>
      <w:r w:rsidR="004A269D" w:rsidRPr="00911998">
        <w:t>. De même, l’article 52</w:t>
      </w:r>
      <w:r w:rsidR="001B76A6" w:rsidRPr="00911998">
        <w:t> </w:t>
      </w:r>
      <w:r w:rsidR="004A269D" w:rsidRPr="00911998">
        <w:t>C.c.Q. prévoit qu’en cas de désaccord sur le choix du nom de famille d’un enfant, celui</w:t>
      </w:r>
      <w:r w:rsidR="004A269D" w:rsidRPr="00911998">
        <w:noBreakHyphen/>
        <w:t xml:space="preserve">ci </w:t>
      </w:r>
      <w:r w:rsidR="006D1E92" w:rsidRPr="00911998">
        <w:t xml:space="preserve">se voit </w:t>
      </w:r>
      <w:r w:rsidR="004A269D" w:rsidRPr="00911998">
        <w:t>attribu</w:t>
      </w:r>
      <w:r w:rsidR="00337FD7" w:rsidRPr="00911998">
        <w:t>er</w:t>
      </w:r>
      <w:r w:rsidR="004A269D" w:rsidRPr="00911998">
        <w:t xml:space="preserve"> </w:t>
      </w:r>
      <w:r w:rsidR="00850144" w:rsidRPr="00911998">
        <w:t>« </w:t>
      </w:r>
      <w:r w:rsidR="004A269D" w:rsidRPr="00911998">
        <w:t xml:space="preserve">un nom composé de </w:t>
      </w:r>
      <w:r w:rsidR="004A269D" w:rsidRPr="00911998">
        <w:rPr>
          <w:u w:val="single"/>
        </w:rPr>
        <w:t>deux</w:t>
      </w:r>
      <w:r w:rsidR="004A269D" w:rsidRPr="00911998">
        <w:t xml:space="preserve"> parties</w:t>
      </w:r>
      <w:r w:rsidR="00850144" w:rsidRPr="00911998">
        <w:t> »</w:t>
      </w:r>
      <w:r w:rsidR="004A269D" w:rsidRPr="00911998">
        <w:t xml:space="preserve">, l’une provenant du nom du père </w:t>
      </w:r>
      <w:r w:rsidR="00337FD7" w:rsidRPr="00911998">
        <w:t xml:space="preserve">ou d’un parent </w:t>
      </w:r>
      <w:r w:rsidR="004A269D" w:rsidRPr="00911998">
        <w:t>et l’autre du nom de la mère</w:t>
      </w:r>
      <w:r w:rsidR="00337FD7" w:rsidRPr="00911998">
        <w:t xml:space="preserve"> ou de l’autre parent</w:t>
      </w:r>
      <w:r w:rsidR="006D1E92" w:rsidRPr="00911998">
        <w:t xml:space="preserve"> (soulignement ajouté)</w:t>
      </w:r>
      <w:r w:rsidR="009B1563" w:rsidRPr="00911998">
        <w:t>.</w:t>
      </w:r>
    </w:p>
    <w:p w14:paraId="082B5C7F" w14:textId="06649C16" w:rsidR="00E80AD3" w:rsidRPr="00911998" w:rsidRDefault="001A164B" w:rsidP="004A269D">
      <w:pPr>
        <w:pStyle w:val="Paragrsimple"/>
        <w:tabs>
          <w:tab w:val="clear" w:pos="360"/>
        </w:tabs>
      </w:pPr>
      <w:r w:rsidRPr="00911998">
        <w:lastRenderedPageBreak/>
        <w:t>D’autres</w:t>
      </w:r>
      <w:r w:rsidR="004A269D" w:rsidRPr="00911998">
        <w:t xml:space="preserve"> dispositions du C.c.Q. utilisent l’expression «</w:t>
      </w:r>
      <w:r w:rsidR="001B76A6" w:rsidRPr="00911998">
        <w:t> </w:t>
      </w:r>
      <w:r w:rsidR="004A269D" w:rsidRPr="00911998">
        <w:t>père et mère</w:t>
      </w:r>
      <w:r w:rsidR="001B76A6" w:rsidRPr="00911998">
        <w:t> </w:t>
      </w:r>
      <w:r w:rsidR="004A269D" w:rsidRPr="00911998">
        <w:t>» au singulier</w:t>
      </w:r>
      <w:r w:rsidR="008F6493" w:rsidRPr="00911998">
        <w:t>,</w:t>
      </w:r>
      <w:r w:rsidR="00337FD7" w:rsidRPr="00911998">
        <w:t xml:space="preserve"> ou </w:t>
      </w:r>
      <w:r w:rsidR="00DD7022" w:rsidRPr="00911998">
        <w:t>« </w:t>
      </w:r>
      <w:r w:rsidR="00337FD7" w:rsidRPr="00911998">
        <w:t>l’autre parent</w:t>
      </w:r>
      <w:r w:rsidR="00DD7022" w:rsidRPr="00911998">
        <w:t> »</w:t>
      </w:r>
      <w:r w:rsidR="00337FD7" w:rsidRPr="00911998">
        <w:t xml:space="preserve"> ou </w:t>
      </w:r>
      <w:r w:rsidR="00DD7022" w:rsidRPr="00911998">
        <w:t>« </w:t>
      </w:r>
      <w:r w:rsidR="00337FD7" w:rsidRPr="00911998">
        <w:t>les deux parents</w:t>
      </w:r>
      <w:r w:rsidR="00DD7022" w:rsidRPr="00911998">
        <w:t> »</w:t>
      </w:r>
      <w:r w:rsidR="00337FD7" w:rsidRPr="00911998">
        <w:t>,</w:t>
      </w:r>
      <w:r w:rsidR="008F6493" w:rsidRPr="00911998">
        <w:t xml:space="preserve"> ce qui laisse croire que le législateur n’envisage pas l’existence de plus de deux parents juridiques</w:t>
      </w:r>
      <w:r w:rsidR="004A269D" w:rsidRPr="00911998">
        <w:t xml:space="preserve"> (voir </w:t>
      </w:r>
      <w:r w:rsidR="00DD7022" w:rsidRPr="00911998">
        <w:t xml:space="preserve">notamment </w:t>
      </w:r>
      <w:r w:rsidR="004A269D" w:rsidRPr="00911998">
        <w:t>les articles</w:t>
      </w:r>
      <w:r w:rsidR="001B76A6" w:rsidRPr="00911998">
        <w:t> </w:t>
      </w:r>
      <w:r w:rsidR="00BC60C5" w:rsidRPr="00911998">
        <w:t>65, 66.1, 80</w:t>
      </w:r>
      <w:r w:rsidR="00DD7022" w:rsidRPr="00911998">
        <w:t>,</w:t>
      </w:r>
      <w:r w:rsidR="00BC60C5" w:rsidRPr="00911998">
        <w:t xml:space="preserve"> 201</w:t>
      </w:r>
      <w:r w:rsidR="00DD7022" w:rsidRPr="00911998">
        <w:t xml:space="preserve"> et 553</w:t>
      </w:r>
      <w:r w:rsidR="00BC60C5" w:rsidRPr="00911998">
        <w:t> C.c.Q.)</w:t>
      </w:r>
      <w:r w:rsidR="004A269D" w:rsidRPr="00911998">
        <w:t>.</w:t>
      </w:r>
      <w:r w:rsidR="008F6493" w:rsidRPr="00911998">
        <w:t xml:space="preserve"> </w:t>
      </w:r>
    </w:p>
    <w:p w14:paraId="6D029695" w14:textId="1A55F437" w:rsidR="004A269D" w:rsidRPr="00911998" w:rsidRDefault="008F6493" w:rsidP="00701F81">
      <w:pPr>
        <w:pStyle w:val="Paragrsimple"/>
        <w:tabs>
          <w:tab w:val="clear" w:pos="360"/>
        </w:tabs>
      </w:pPr>
      <w:r w:rsidRPr="00911998">
        <w:t>À ce titre, l</w:t>
      </w:r>
      <w:r w:rsidR="00BC60C5" w:rsidRPr="00911998">
        <w:t xml:space="preserve">es Demandeurs </w:t>
      </w:r>
      <w:r w:rsidR="00E80AD3" w:rsidRPr="00911998">
        <w:t>répond</w:t>
      </w:r>
      <w:r w:rsidRPr="00911998">
        <w:t xml:space="preserve">ent </w:t>
      </w:r>
      <w:r w:rsidR="00BC60C5" w:rsidRPr="00911998">
        <w:t xml:space="preserve">que selon l’article 54 de la </w:t>
      </w:r>
      <w:r w:rsidR="00BC60C5" w:rsidRPr="00911998">
        <w:rPr>
          <w:i/>
          <w:iCs/>
        </w:rPr>
        <w:t>Loi d’interprétation</w:t>
      </w:r>
      <w:r w:rsidR="00BC60C5" w:rsidRPr="00911998">
        <w:t>, le singulier s’étend au pluriel et que l’utilisation de «</w:t>
      </w:r>
      <w:r w:rsidR="001B76A6" w:rsidRPr="00911998">
        <w:t> </w:t>
      </w:r>
      <w:r w:rsidR="00BC60C5" w:rsidRPr="00911998">
        <w:t>père</w:t>
      </w:r>
      <w:r w:rsidR="001B76A6" w:rsidRPr="00911998">
        <w:t> </w:t>
      </w:r>
      <w:r w:rsidR="00BC60C5" w:rsidRPr="00911998">
        <w:t>» et «</w:t>
      </w:r>
      <w:r w:rsidR="001B76A6" w:rsidRPr="00911998">
        <w:t> </w:t>
      </w:r>
      <w:r w:rsidR="00BC60C5" w:rsidRPr="00911998">
        <w:t>mère</w:t>
      </w:r>
      <w:r w:rsidR="001B76A6" w:rsidRPr="00911998">
        <w:t> </w:t>
      </w:r>
      <w:r w:rsidR="00BC60C5" w:rsidRPr="00911998">
        <w:t xml:space="preserve">» au singulier n’exclut pas la possibilité de plus de deux parents. Or, </w:t>
      </w:r>
      <w:r w:rsidR="00E80AD3" w:rsidRPr="00911998">
        <w:t xml:space="preserve">cette disposition </w:t>
      </w:r>
      <w:r w:rsidR="00BC60C5" w:rsidRPr="00911998">
        <w:t xml:space="preserve">prévoit </w:t>
      </w:r>
      <w:r w:rsidR="00E80AD3" w:rsidRPr="00911998">
        <w:t xml:space="preserve">que </w:t>
      </w:r>
      <w:r w:rsidR="00BC60C5" w:rsidRPr="00911998">
        <w:t xml:space="preserve">l’extension du singulier au pluriel s’applique </w:t>
      </w:r>
      <w:r w:rsidR="00BC60C5" w:rsidRPr="00911998">
        <w:rPr>
          <w:u w:val="single"/>
        </w:rPr>
        <w:t>lorsque le contexte s’y prête</w:t>
      </w:r>
      <w:r w:rsidR="00BC60C5" w:rsidRPr="00911998">
        <w:t xml:space="preserve">. </w:t>
      </w:r>
      <w:r w:rsidR="005677A6" w:rsidRPr="00911998">
        <w:t>Étant donné que</w:t>
      </w:r>
      <w:r w:rsidR="009B1563" w:rsidRPr="00911998">
        <w:t xml:space="preserve"> la filiation dans</w:t>
      </w:r>
      <w:r w:rsidR="00BC60C5" w:rsidRPr="00911998">
        <w:t xml:space="preserve"> le C.c.Q. est</w:t>
      </w:r>
      <w:r w:rsidR="009B1563" w:rsidRPr="00911998">
        <w:t xml:space="preserve"> manifestement</w:t>
      </w:r>
      <w:r w:rsidR="00BC60C5" w:rsidRPr="00911998">
        <w:t xml:space="preserve"> fondé</w:t>
      </w:r>
      <w:r w:rsidR="009B1563" w:rsidRPr="00911998">
        <w:t>e</w:t>
      </w:r>
      <w:r w:rsidR="00BC60C5" w:rsidRPr="00911998">
        <w:t xml:space="preserve"> sur un modèle </w:t>
      </w:r>
      <w:r w:rsidR="00AF5419" w:rsidRPr="00911998">
        <w:t xml:space="preserve">familial </w:t>
      </w:r>
      <w:r w:rsidR="00BC60C5" w:rsidRPr="00911998">
        <w:t>bipar</w:t>
      </w:r>
      <w:r w:rsidR="00AF5419" w:rsidRPr="00911998">
        <w:t>tite</w:t>
      </w:r>
      <w:r w:rsidR="009B1563" w:rsidRPr="00911998">
        <w:t>,</w:t>
      </w:r>
      <w:r w:rsidR="00BC60C5" w:rsidRPr="00911998">
        <w:t xml:space="preserve"> le contexte ne se prête pas à l’extension qu’ils proposent.</w:t>
      </w:r>
    </w:p>
    <w:p w14:paraId="38B82445" w14:textId="5CBD8229" w:rsidR="008F6493" w:rsidRPr="00911998" w:rsidRDefault="008F6493" w:rsidP="008F6493">
      <w:pPr>
        <w:pStyle w:val="Paragrsimple"/>
        <w:tabs>
          <w:tab w:val="clear" w:pos="360"/>
        </w:tabs>
      </w:pPr>
      <w:r w:rsidRPr="00911998">
        <w:t>Certes, plusieurs des dispositions mentionnées ne traitent pas de la filiation en tant que tel</w:t>
      </w:r>
      <w:r w:rsidR="00AF5419" w:rsidRPr="00911998">
        <w:t>le</w:t>
      </w:r>
      <w:r w:rsidRPr="00911998">
        <w:t xml:space="preserve">. </w:t>
      </w:r>
      <w:r w:rsidR="00E80AD3" w:rsidRPr="00911998">
        <w:t>Néanmoins, e</w:t>
      </w:r>
      <w:r w:rsidRPr="00911998">
        <w:t>lles illustrent le fait que le modèle familial qui sous</w:t>
      </w:r>
      <w:r w:rsidRPr="00911998">
        <w:noBreakHyphen/>
        <w:t xml:space="preserve">tend le C.c.Q. </w:t>
      </w:r>
      <w:r w:rsidR="001B76A6" w:rsidRPr="00911998">
        <w:t>—</w:t>
      </w:r>
      <w:r w:rsidRPr="00911998">
        <w:t xml:space="preserve"> qui </w:t>
      </w:r>
      <w:r w:rsidR="00E80AD3" w:rsidRPr="00911998">
        <w:t xml:space="preserve">transparaît </w:t>
      </w:r>
      <w:r w:rsidR="00844117" w:rsidRPr="00911998">
        <w:t xml:space="preserve">à travers </w:t>
      </w:r>
      <w:r w:rsidRPr="00911998">
        <w:t xml:space="preserve">ses dispositions </w:t>
      </w:r>
      <w:r w:rsidR="001B76A6" w:rsidRPr="00911998">
        <w:t>—</w:t>
      </w:r>
      <w:r w:rsidRPr="00911998">
        <w:t xml:space="preserve"> est fondé sur la </w:t>
      </w:r>
      <w:proofErr w:type="spellStart"/>
      <w:r w:rsidRPr="00911998">
        <w:t>biparenté</w:t>
      </w:r>
      <w:proofErr w:type="spellEnd"/>
      <w:r w:rsidRPr="00911998">
        <w:t xml:space="preserve">. </w:t>
      </w:r>
    </w:p>
    <w:p w14:paraId="59E01B88" w14:textId="31E536F9" w:rsidR="00E61A6A" w:rsidRPr="00911998" w:rsidRDefault="00E61A6A" w:rsidP="00BC60C5">
      <w:pPr>
        <w:pStyle w:val="Paragrsimple"/>
        <w:tabs>
          <w:tab w:val="clear" w:pos="360"/>
        </w:tabs>
        <w:rPr>
          <w:sz w:val="22"/>
          <w:szCs w:val="22"/>
        </w:rPr>
      </w:pPr>
      <w:r w:rsidRPr="00911998">
        <w:t>Mentionnons e</w:t>
      </w:r>
      <w:r w:rsidR="001A164B" w:rsidRPr="00911998">
        <w:t>nfin l</w:t>
      </w:r>
      <w:r w:rsidR="00BF58D4" w:rsidRPr="00911998">
        <w:t xml:space="preserve">es </w:t>
      </w:r>
      <w:r w:rsidR="00D47420" w:rsidRPr="00911998">
        <w:t>modification</w:t>
      </w:r>
      <w:r w:rsidR="00BF58D4" w:rsidRPr="00911998">
        <w:t>s législati</w:t>
      </w:r>
      <w:r w:rsidR="00D47420" w:rsidRPr="00911998">
        <w:t>ve</w:t>
      </w:r>
      <w:r w:rsidR="00BF58D4" w:rsidRPr="00911998">
        <w:t>s de 2022 et de 2023</w:t>
      </w:r>
      <w:r w:rsidRPr="00911998">
        <w:rPr>
          <w:rStyle w:val="Appelnotedebasdep"/>
        </w:rPr>
        <w:footnoteReference w:id="66"/>
      </w:r>
      <w:r w:rsidR="00BF58D4" w:rsidRPr="00911998">
        <w:t xml:space="preserve">. </w:t>
      </w:r>
    </w:p>
    <w:p w14:paraId="0C2BCBE0" w14:textId="57A047F9" w:rsidR="00BC60C5" w:rsidRPr="00911998" w:rsidRDefault="00E61A6A" w:rsidP="00BC60C5">
      <w:pPr>
        <w:pStyle w:val="Paragrsimple"/>
        <w:tabs>
          <w:tab w:val="clear" w:pos="360"/>
        </w:tabs>
        <w:rPr>
          <w:sz w:val="22"/>
          <w:szCs w:val="22"/>
        </w:rPr>
      </w:pPr>
      <w:r w:rsidRPr="00911998">
        <w:t>Elles</w:t>
      </w:r>
      <w:r w:rsidR="00BF58D4" w:rsidRPr="00911998">
        <w:t xml:space="preserve"> </w:t>
      </w:r>
      <w:r w:rsidRPr="00911998">
        <w:t xml:space="preserve">sont entrées en vigueur après la naissance des enfants des Demandeurs et </w:t>
      </w:r>
      <w:r w:rsidR="00BF58D4" w:rsidRPr="00911998">
        <w:t>ne régissent donc pas leur filiation. Cela dit, il est intéressant d’observer qu’</w:t>
      </w:r>
      <w:r w:rsidRPr="00911998">
        <w:t>el</w:t>
      </w:r>
      <w:r w:rsidR="00BF58D4" w:rsidRPr="00911998">
        <w:t>l</w:t>
      </w:r>
      <w:r w:rsidRPr="00911998">
        <w:t>e</w:t>
      </w:r>
      <w:r w:rsidR="00BF58D4" w:rsidRPr="00911998">
        <w:t xml:space="preserve">s renforcent le modèle </w:t>
      </w:r>
      <w:r w:rsidR="00573D75" w:rsidRPr="00911998">
        <w:t xml:space="preserve">de parenté </w:t>
      </w:r>
      <w:r w:rsidR="00BF58D4" w:rsidRPr="00911998">
        <w:t>bipar</w:t>
      </w:r>
      <w:r w:rsidR="00573D75" w:rsidRPr="00911998">
        <w:t>tite</w:t>
      </w:r>
      <w:r w:rsidR="00BF58D4" w:rsidRPr="00911998">
        <w:t xml:space="preserve"> qui sous</w:t>
      </w:r>
      <w:r w:rsidR="00BF58D4" w:rsidRPr="00911998">
        <w:noBreakHyphen/>
        <w:t>tend le C.c.Q. et notamment les règles de filiation qui y sont édicté</w:t>
      </w:r>
      <w:r w:rsidR="00AF5419" w:rsidRPr="00911998">
        <w:t>e</w:t>
      </w:r>
      <w:r w:rsidR="00BF58D4" w:rsidRPr="00911998">
        <w:t>s. En effet, le nouvel article 523</w:t>
      </w:r>
      <w:r w:rsidR="00AF5419" w:rsidRPr="00911998">
        <w:t> </w:t>
      </w:r>
      <w:r w:rsidR="00BF58D4" w:rsidRPr="00911998">
        <w:t xml:space="preserve">C.c.Q. envisage nettement l’existence </w:t>
      </w:r>
      <w:r w:rsidR="009E49A1" w:rsidRPr="00911998">
        <w:t xml:space="preserve">d’un maximum </w:t>
      </w:r>
      <w:r w:rsidR="00BF58D4" w:rsidRPr="00911998">
        <w:t>de deux parents</w:t>
      </w:r>
      <w:r w:rsidR="00D95041" w:rsidRPr="00911998">
        <w:t xml:space="preserve"> en </w:t>
      </w:r>
      <w:r w:rsidR="00550570" w:rsidRPr="00911998">
        <w:t xml:space="preserve">faisant référence, d’une part, </w:t>
      </w:r>
      <w:r w:rsidR="00D95041" w:rsidRPr="00911998">
        <w:t>à la mère ou au parent ayant donné naissance à l’enfant et</w:t>
      </w:r>
      <w:r w:rsidR="00550570" w:rsidRPr="00911998">
        <w:t>, d’autre part,</w:t>
      </w:r>
      <w:r w:rsidR="00D95041" w:rsidRPr="00911998">
        <w:t xml:space="preserve"> au père ou l’autre parent</w:t>
      </w:r>
      <w:r w:rsidR="00443AA9" w:rsidRPr="00911998">
        <w:rPr>
          <w:rStyle w:val="Appelnotedebasdep"/>
        </w:rPr>
        <w:footnoteReference w:id="67"/>
      </w:r>
      <w:r w:rsidR="00BF58D4" w:rsidRPr="00911998">
        <w:t> :</w:t>
      </w:r>
    </w:p>
    <w:tbl>
      <w:tblPr>
        <w:tblStyle w:val="Grilledutableau"/>
        <w:tblW w:w="0" w:type="auto"/>
        <w:tblInd w:w="279" w:type="dxa"/>
        <w:tblLook w:val="04A0" w:firstRow="1" w:lastRow="0" w:firstColumn="1" w:lastColumn="0" w:noHBand="0" w:noVBand="1"/>
      </w:tblPr>
      <w:tblGrid>
        <w:gridCol w:w="4394"/>
        <w:gridCol w:w="4536"/>
      </w:tblGrid>
      <w:tr w:rsidR="000E19AB" w:rsidRPr="00911998" w14:paraId="39FD76AE" w14:textId="77777777" w:rsidTr="00931B4C">
        <w:tc>
          <w:tcPr>
            <w:tcW w:w="4394" w:type="dxa"/>
          </w:tcPr>
          <w:p w14:paraId="4045D2F8" w14:textId="06565F3A" w:rsidR="00624F38" w:rsidRPr="00911998" w:rsidRDefault="00000000" w:rsidP="00624F38">
            <w:pPr>
              <w:pStyle w:val="Paragrsimple"/>
              <w:numPr>
                <w:ilvl w:val="0"/>
                <w:numId w:val="0"/>
              </w:numPr>
              <w:rPr>
                <w:rFonts w:cs="Arial"/>
                <w:sz w:val="22"/>
                <w:szCs w:val="22"/>
                <w:lang w:eastAsia="fr-CA"/>
              </w:rPr>
            </w:pPr>
            <w:hyperlink r:id="rId26" w:anchor="se:54" w:history="1">
              <w:r w:rsidR="00BF58D4" w:rsidRPr="00911998">
                <w:rPr>
                  <w:rStyle w:val="canliisection"/>
                  <w:rFonts w:cs="Arial"/>
                  <w:b/>
                  <w:bCs/>
                  <w:sz w:val="22"/>
                  <w:szCs w:val="22"/>
                </w:rPr>
                <w:t>523</w:t>
              </w:r>
              <w:r w:rsidR="00BF58D4" w:rsidRPr="00911998">
                <w:rPr>
                  <w:rStyle w:val="label-section"/>
                  <w:rFonts w:cs="Arial"/>
                  <w:b/>
                  <w:bCs/>
                  <w:sz w:val="22"/>
                  <w:szCs w:val="22"/>
                </w:rPr>
                <w:t>.</w:t>
              </w:r>
            </w:hyperlink>
            <w:r w:rsidR="00BF58D4" w:rsidRPr="00911998">
              <w:rPr>
                <w:sz w:val="22"/>
                <w:szCs w:val="22"/>
              </w:rPr>
              <w:t>  </w:t>
            </w:r>
            <w:r w:rsidR="00624F38" w:rsidRPr="00911998">
              <w:rPr>
                <w:rFonts w:cs="Arial"/>
                <w:sz w:val="22"/>
                <w:szCs w:val="22"/>
                <w:u w:val="single"/>
                <w:lang w:eastAsia="fr-CA"/>
              </w:rPr>
              <w:t xml:space="preserve">La filiation de l’enfant s’établit à l’égard de la mère ou du parent par le fait de lui avoir </w:t>
            </w:r>
            <w:r w:rsidR="00624F38" w:rsidRPr="00911998">
              <w:rPr>
                <w:rStyle w:val="subsection"/>
                <w:sz w:val="22"/>
                <w:szCs w:val="22"/>
                <w:u w:val="single"/>
              </w:rPr>
              <w:t>donné</w:t>
            </w:r>
            <w:r w:rsidR="00624F38" w:rsidRPr="00911998">
              <w:rPr>
                <w:rFonts w:cs="Arial"/>
                <w:sz w:val="22"/>
                <w:szCs w:val="22"/>
                <w:u w:val="single"/>
                <w:lang w:eastAsia="fr-CA"/>
              </w:rPr>
              <w:t xml:space="preserve"> naissance et, à l’égard du père ou de l’autre parent</w:t>
            </w:r>
            <w:r w:rsidR="00624F38" w:rsidRPr="00911998">
              <w:rPr>
                <w:rFonts w:cs="Arial"/>
                <w:sz w:val="22"/>
                <w:szCs w:val="22"/>
                <w:lang w:eastAsia="fr-CA"/>
              </w:rPr>
              <w:t>, par la reconnaissance d’un lien de filiation dans la déclaration de naissance conformément aux règles prévues au présent code.</w:t>
            </w:r>
          </w:p>
          <w:p w14:paraId="74CAE404" w14:textId="77777777" w:rsidR="00BF58D4" w:rsidRPr="00911998" w:rsidRDefault="00624F38" w:rsidP="00624F38">
            <w:pPr>
              <w:pStyle w:val="Paragrsimple"/>
              <w:numPr>
                <w:ilvl w:val="0"/>
                <w:numId w:val="0"/>
              </w:numPr>
              <w:rPr>
                <w:rFonts w:cs="Arial"/>
                <w:sz w:val="22"/>
                <w:szCs w:val="22"/>
                <w:lang w:eastAsia="fr-CA"/>
              </w:rPr>
            </w:pPr>
            <w:r w:rsidRPr="00911998">
              <w:rPr>
                <w:rFonts w:cs="Arial"/>
                <w:sz w:val="22"/>
                <w:szCs w:val="22"/>
                <w:lang w:eastAsia="fr-CA"/>
              </w:rPr>
              <w:t>À défaut de cette reconnaissance dans la déclaration de naissance, la possession constante d’état suffit.</w:t>
            </w:r>
          </w:p>
          <w:p w14:paraId="6968F846" w14:textId="109A95DF" w:rsidR="00624F38" w:rsidRPr="00911998" w:rsidRDefault="00624F38" w:rsidP="00624F38">
            <w:pPr>
              <w:pStyle w:val="Paragrsimple"/>
              <w:numPr>
                <w:ilvl w:val="0"/>
                <w:numId w:val="0"/>
              </w:numPr>
              <w:jc w:val="right"/>
              <w:rPr>
                <w:sz w:val="22"/>
                <w:szCs w:val="22"/>
                <w:lang w:eastAsia="fr-CA"/>
              </w:rPr>
            </w:pPr>
            <w:r w:rsidRPr="00911998">
              <w:rPr>
                <w:rFonts w:cs="Arial"/>
                <w:sz w:val="22"/>
                <w:szCs w:val="22"/>
                <w:lang w:eastAsia="fr-CA"/>
              </w:rPr>
              <w:t>[Soulignements ajoutés]</w:t>
            </w:r>
          </w:p>
        </w:tc>
        <w:tc>
          <w:tcPr>
            <w:tcW w:w="4536" w:type="dxa"/>
          </w:tcPr>
          <w:p w14:paraId="6FEE221F" w14:textId="77777777" w:rsidR="00624F38" w:rsidRPr="00911998" w:rsidRDefault="00000000" w:rsidP="00624F38">
            <w:pPr>
              <w:pStyle w:val="Paragrsimple"/>
              <w:numPr>
                <w:ilvl w:val="0"/>
                <w:numId w:val="0"/>
              </w:numPr>
              <w:rPr>
                <w:rFonts w:cs="Arial"/>
                <w:i/>
                <w:iCs/>
                <w:sz w:val="22"/>
                <w:szCs w:val="22"/>
                <w:lang w:val="en-CA" w:eastAsia="fr-CA"/>
              </w:rPr>
            </w:pPr>
            <w:hyperlink r:id="rId27" w:anchor="se:54" w:history="1">
              <w:r w:rsidR="00BF58D4" w:rsidRPr="00911998">
                <w:rPr>
                  <w:rStyle w:val="canliisection"/>
                  <w:rFonts w:cs="Arial"/>
                  <w:b/>
                  <w:bCs/>
                  <w:i/>
                  <w:iCs/>
                  <w:sz w:val="22"/>
                  <w:szCs w:val="22"/>
                  <w:lang w:val="en-CA"/>
                </w:rPr>
                <w:t>523</w:t>
              </w:r>
              <w:r w:rsidR="00BF58D4" w:rsidRPr="00911998">
                <w:rPr>
                  <w:rStyle w:val="label-section"/>
                  <w:rFonts w:cs="Arial"/>
                  <w:b/>
                  <w:bCs/>
                  <w:i/>
                  <w:iCs/>
                  <w:sz w:val="22"/>
                  <w:szCs w:val="22"/>
                  <w:lang w:val="en-CA"/>
                </w:rPr>
                <w:t>.</w:t>
              </w:r>
            </w:hyperlink>
            <w:r w:rsidR="00BF58D4" w:rsidRPr="00911998">
              <w:rPr>
                <w:rFonts w:cs="Arial"/>
                <w:i/>
                <w:iCs/>
                <w:sz w:val="22"/>
                <w:szCs w:val="22"/>
                <w:lang w:val="en-CA"/>
              </w:rPr>
              <w:t> </w:t>
            </w:r>
            <w:r w:rsidR="00624F38" w:rsidRPr="00911998">
              <w:rPr>
                <w:rFonts w:cs="Arial"/>
                <w:i/>
                <w:iCs/>
                <w:sz w:val="22"/>
                <w:szCs w:val="22"/>
                <w:u w:val="single"/>
                <w:lang w:val="en-CA" w:eastAsia="fr-CA"/>
              </w:rPr>
              <w:t xml:space="preserve">The filiation of a child is established </w:t>
            </w:r>
            <w:proofErr w:type="gramStart"/>
            <w:r w:rsidR="00624F38" w:rsidRPr="00911998">
              <w:rPr>
                <w:rFonts w:cs="Arial"/>
                <w:i/>
                <w:iCs/>
                <w:sz w:val="22"/>
                <w:szCs w:val="22"/>
                <w:u w:val="single"/>
                <w:lang w:val="en-CA" w:eastAsia="fr-CA"/>
              </w:rPr>
              <w:t>with regard to</w:t>
            </w:r>
            <w:proofErr w:type="gramEnd"/>
            <w:r w:rsidR="00624F38" w:rsidRPr="00911998">
              <w:rPr>
                <w:rFonts w:cs="Arial"/>
                <w:i/>
                <w:iCs/>
                <w:sz w:val="22"/>
                <w:szCs w:val="22"/>
                <w:u w:val="single"/>
                <w:lang w:val="en-CA" w:eastAsia="fr-CA"/>
              </w:rPr>
              <w:t xml:space="preserve"> the mother or parent by the fact of their having given birth to him and, with regard to the father or other parent</w:t>
            </w:r>
            <w:r w:rsidR="00624F38" w:rsidRPr="00911998">
              <w:rPr>
                <w:rFonts w:cs="Arial"/>
                <w:i/>
                <w:iCs/>
                <w:sz w:val="22"/>
                <w:szCs w:val="22"/>
                <w:lang w:val="en-CA" w:eastAsia="fr-CA"/>
              </w:rPr>
              <w:t>, by the acknowledgement of a bond of filiation in the declaration of birth in accordance with the rules prescribed by this Code.</w:t>
            </w:r>
          </w:p>
          <w:p w14:paraId="1D9FEFBB" w14:textId="77777777" w:rsidR="00624F38" w:rsidRPr="00911998" w:rsidRDefault="00624F38" w:rsidP="00624F38">
            <w:pPr>
              <w:pStyle w:val="Paragrsimple"/>
              <w:numPr>
                <w:ilvl w:val="0"/>
                <w:numId w:val="0"/>
              </w:numPr>
              <w:rPr>
                <w:rFonts w:cs="Arial"/>
                <w:i/>
                <w:iCs/>
                <w:sz w:val="22"/>
                <w:szCs w:val="22"/>
                <w:lang w:val="en-CA" w:eastAsia="fr-CA"/>
              </w:rPr>
            </w:pPr>
            <w:r w:rsidRPr="00911998">
              <w:rPr>
                <w:rFonts w:cs="Arial"/>
                <w:i/>
                <w:iCs/>
                <w:sz w:val="22"/>
                <w:szCs w:val="22"/>
                <w:lang w:val="en-CA" w:eastAsia="fr-CA"/>
              </w:rPr>
              <w:t>In the absence of such an acknowledgement in the declaration of birth, uninterrupted possession of status is sufficient.</w:t>
            </w:r>
          </w:p>
          <w:p w14:paraId="7B099747" w14:textId="25828C14" w:rsidR="00BF58D4" w:rsidRPr="00911998" w:rsidRDefault="00624F38" w:rsidP="00624F38">
            <w:pPr>
              <w:pStyle w:val="Paragrsimple"/>
              <w:numPr>
                <w:ilvl w:val="0"/>
                <w:numId w:val="0"/>
              </w:numPr>
              <w:jc w:val="right"/>
              <w:rPr>
                <w:sz w:val="22"/>
                <w:szCs w:val="22"/>
                <w:lang w:val="en-CA"/>
              </w:rPr>
            </w:pPr>
            <w:r w:rsidRPr="00911998">
              <w:rPr>
                <w:rFonts w:cs="Arial"/>
                <w:sz w:val="22"/>
                <w:szCs w:val="22"/>
                <w:lang w:eastAsia="fr-CA"/>
              </w:rPr>
              <w:t>[Soulignements ajoutés]</w:t>
            </w:r>
          </w:p>
        </w:tc>
      </w:tr>
    </w:tbl>
    <w:p w14:paraId="34455EEE" w14:textId="2BAC5986" w:rsidR="00BF58D4" w:rsidRPr="00911998" w:rsidRDefault="00624F38" w:rsidP="00624F38">
      <w:pPr>
        <w:pStyle w:val="Paragrsimple"/>
        <w:tabs>
          <w:tab w:val="clear" w:pos="360"/>
        </w:tabs>
      </w:pPr>
      <w:r w:rsidRPr="00911998">
        <w:t>Soulignons également les nouvelles dispositions qui prévoient que la possession constante d’état ne peut s’établir dans les cas o</w:t>
      </w:r>
      <w:r w:rsidRPr="00911998">
        <w:rPr>
          <w:rFonts w:cs="Arial"/>
        </w:rPr>
        <w:t>ù</w:t>
      </w:r>
      <w:r w:rsidRPr="00911998">
        <w:t xml:space="preserve"> elle </w:t>
      </w:r>
      <w:r w:rsidR="0040473D" w:rsidRPr="00911998">
        <w:t>est exercée</w:t>
      </w:r>
      <w:r w:rsidRPr="00911998">
        <w:t xml:space="preserve"> par plus d’une personne </w:t>
      </w:r>
      <w:r w:rsidRPr="00911998">
        <w:lastRenderedPageBreak/>
        <w:t>simultanément</w:t>
      </w:r>
      <w:r w:rsidRPr="00911998">
        <w:rPr>
          <w:rStyle w:val="Appelnotedebasdep"/>
        </w:rPr>
        <w:footnoteReference w:id="68"/>
      </w:r>
      <w:r w:rsidRPr="00911998">
        <w:t>.</w:t>
      </w:r>
      <w:r w:rsidR="00443AA9" w:rsidRPr="00911998">
        <w:t xml:space="preserve"> Enfin, les nouvelles dispositions régissant la filiation en matière de procréation assistée impliquant une grossesse pour autrui envisagent </w:t>
      </w:r>
      <w:r w:rsidR="001240DD" w:rsidRPr="00911998">
        <w:t>également</w:t>
      </w:r>
      <w:r w:rsidR="00443AA9" w:rsidRPr="00911998">
        <w:t xml:space="preserve"> un maximum de deux liens de filiation, puisque le projet parental pertinent émane</w:t>
      </w:r>
      <w:r w:rsidR="009E49A1" w:rsidRPr="00911998">
        <w:t xml:space="preserve"> encore</w:t>
      </w:r>
      <w:r w:rsidR="00443AA9" w:rsidRPr="00911998">
        <w:t xml:space="preserve"> d’une </w:t>
      </w:r>
      <w:r w:rsidR="00443AA9" w:rsidRPr="00911998">
        <w:rPr>
          <w:u w:val="single"/>
        </w:rPr>
        <w:t>personne seule</w:t>
      </w:r>
      <w:r w:rsidR="00443AA9" w:rsidRPr="00911998">
        <w:t xml:space="preserve"> ou de </w:t>
      </w:r>
      <w:r w:rsidR="00443AA9" w:rsidRPr="00911998">
        <w:rPr>
          <w:u w:val="single"/>
        </w:rPr>
        <w:t>conjoints</w:t>
      </w:r>
      <w:r w:rsidR="00443AA9" w:rsidRPr="00911998">
        <w:rPr>
          <w:rStyle w:val="Appelnotedebasdep"/>
        </w:rPr>
        <w:footnoteReference w:id="69"/>
      </w:r>
      <w:r w:rsidR="00443AA9" w:rsidRPr="00911998">
        <w:t>.</w:t>
      </w:r>
    </w:p>
    <w:p w14:paraId="267DBE5C" w14:textId="64A390C8" w:rsidR="00443AA9" w:rsidRPr="00911998" w:rsidRDefault="00443AA9" w:rsidP="00443AA9">
      <w:pPr>
        <w:pStyle w:val="Paragrsimple"/>
        <w:tabs>
          <w:tab w:val="clear" w:pos="360"/>
        </w:tabs>
      </w:pPr>
      <w:r w:rsidRPr="00911998">
        <w:t xml:space="preserve">En somme, si le C.c.Q. n’interdit pas </w:t>
      </w:r>
      <w:r w:rsidR="00891A2A" w:rsidRPr="00911998">
        <w:t>formelle</w:t>
      </w:r>
      <w:r w:rsidRPr="00911998">
        <w:t>ment plus de deux liens de filiation, aucune disposition du</w:t>
      </w:r>
      <w:r w:rsidR="00844117" w:rsidRPr="00911998">
        <w:t xml:space="preserve"> Code</w:t>
      </w:r>
      <w:r w:rsidRPr="00911998">
        <w:t xml:space="preserve"> n’y donne explicitement ouverture et son économie générale y fait plutôt </w:t>
      </w:r>
      <w:r w:rsidR="00D47420" w:rsidRPr="00911998">
        <w:t xml:space="preserve">clairement </w:t>
      </w:r>
      <w:r w:rsidRPr="00911998">
        <w:t>obstacle.</w:t>
      </w:r>
    </w:p>
    <w:p w14:paraId="2D7714C6" w14:textId="34A2924B" w:rsidR="00061B99" w:rsidRPr="00911998" w:rsidRDefault="00443AA9" w:rsidP="00443AA9">
      <w:pPr>
        <w:pStyle w:val="Paragrsimple"/>
        <w:tabs>
          <w:tab w:val="clear" w:pos="360"/>
        </w:tabs>
        <w:rPr>
          <w:rFonts w:cs="Arial"/>
          <w:szCs w:val="24"/>
          <w:shd w:val="clear" w:color="auto" w:fill="FFFFFF"/>
        </w:rPr>
      </w:pPr>
      <w:r w:rsidRPr="00911998">
        <w:t xml:space="preserve">C’est d’ailleurs la conclusion à laquelle arrive la jurisprudence. </w:t>
      </w:r>
      <w:r w:rsidR="00061B99" w:rsidRPr="00911998">
        <w:t xml:space="preserve">En effet, </w:t>
      </w:r>
      <w:r w:rsidR="0040473D" w:rsidRPr="00911998">
        <w:t>à plusieurs reprises,</w:t>
      </w:r>
      <w:r w:rsidR="00061B99" w:rsidRPr="00911998">
        <w:t xml:space="preserve"> les tribunaux </w:t>
      </w:r>
      <w:r w:rsidRPr="00911998">
        <w:t>mentionnent</w:t>
      </w:r>
      <w:r w:rsidR="00061B99" w:rsidRPr="00911998">
        <w:t xml:space="preserve"> spontanément, quoique dans des contextes différents, qu’un enfant ne peut avoir que deux parents en droit québécois</w:t>
      </w:r>
      <w:r w:rsidR="00B51EA0" w:rsidRPr="00911998">
        <w:rPr>
          <w:rStyle w:val="Appelnotedebasdep"/>
        </w:rPr>
        <w:footnoteReference w:id="70"/>
      </w:r>
      <w:r w:rsidR="00061B99" w:rsidRPr="00911998">
        <w:t xml:space="preserve">. </w:t>
      </w:r>
      <w:r w:rsidR="003C3B86" w:rsidRPr="00911998">
        <w:t xml:space="preserve">Voici ce </w:t>
      </w:r>
      <w:r w:rsidR="003C3B86" w:rsidRPr="00911998">
        <w:rPr>
          <w:rFonts w:cs="Arial"/>
          <w:szCs w:val="24"/>
        </w:rPr>
        <w:t xml:space="preserve">qu’écrit le juge Dussault à ce sujet dans l’arrêt </w:t>
      </w:r>
      <w:r w:rsidR="003C3B86" w:rsidRPr="00911998">
        <w:rPr>
          <w:rFonts w:cs="Arial"/>
          <w:i/>
          <w:iCs/>
          <w:szCs w:val="24"/>
          <w:shd w:val="clear" w:color="auto" w:fill="FFFFFF"/>
        </w:rPr>
        <w:t>Droit de la famille - 07528</w:t>
      </w:r>
      <w:r w:rsidR="003C3B86" w:rsidRPr="00911998">
        <w:rPr>
          <w:rStyle w:val="Appelnotedebasdep"/>
          <w:rFonts w:cs="Arial"/>
          <w:szCs w:val="24"/>
          <w:shd w:val="clear" w:color="auto" w:fill="FFFFFF"/>
        </w:rPr>
        <w:footnoteReference w:id="71"/>
      </w:r>
      <w:r w:rsidR="003C3B86" w:rsidRPr="00911998">
        <w:rPr>
          <w:rFonts w:cs="Arial"/>
          <w:szCs w:val="24"/>
          <w:shd w:val="clear" w:color="auto" w:fill="FFFFFF"/>
        </w:rPr>
        <w:t> :</w:t>
      </w:r>
    </w:p>
    <w:p w14:paraId="64E46CB2" w14:textId="0DAC1811" w:rsidR="003C3B86" w:rsidRPr="00911998" w:rsidRDefault="003C3B86" w:rsidP="003C3B86">
      <w:pPr>
        <w:ind w:left="567" w:right="560"/>
        <w:jc w:val="both"/>
        <w:rPr>
          <w:rFonts w:cs="Arial"/>
          <w:sz w:val="22"/>
          <w:szCs w:val="22"/>
        </w:rPr>
      </w:pPr>
      <w:r w:rsidRPr="00911998">
        <w:rPr>
          <w:rFonts w:cs="Arial"/>
          <w:sz w:val="22"/>
          <w:szCs w:val="22"/>
        </w:rPr>
        <w:t>[</w:t>
      </w:r>
      <w:bookmarkStart w:id="40" w:name="par55"/>
      <w:r w:rsidRPr="00911998">
        <w:rPr>
          <w:rFonts w:cs="Arial"/>
          <w:sz w:val="22"/>
          <w:szCs w:val="22"/>
        </w:rPr>
        <w:t>55</w:t>
      </w:r>
      <w:bookmarkEnd w:id="40"/>
      <w:r w:rsidRPr="00911998">
        <w:rPr>
          <w:rFonts w:cs="Arial"/>
          <w:sz w:val="22"/>
          <w:szCs w:val="22"/>
        </w:rPr>
        <w:t>]  […] [</w:t>
      </w:r>
      <w:r w:rsidRPr="00911998">
        <w:rPr>
          <w:rFonts w:cs="Arial"/>
          <w:sz w:val="22"/>
          <w:szCs w:val="22"/>
          <w:u w:val="single"/>
        </w:rPr>
        <w:t>M]</w:t>
      </w:r>
      <w:proofErr w:type="spellStart"/>
      <w:r w:rsidRPr="00911998">
        <w:rPr>
          <w:rFonts w:cs="Arial"/>
          <w:sz w:val="22"/>
          <w:szCs w:val="22"/>
          <w:u w:val="single"/>
        </w:rPr>
        <w:t>ême</w:t>
      </w:r>
      <w:proofErr w:type="spellEnd"/>
      <w:r w:rsidRPr="00911998">
        <w:rPr>
          <w:rFonts w:cs="Arial"/>
          <w:sz w:val="22"/>
          <w:szCs w:val="22"/>
          <w:u w:val="single"/>
        </w:rPr>
        <w:t xml:space="preserve"> après l</w:t>
      </w:r>
      <w:r w:rsidR="00971129" w:rsidRPr="00911998">
        <w:rPr>
          <w:rFonts w:cs="Arial"/>
          <w:sz w:val="22"/>
          <w:szCs w:val="22"/>
          <w:u w:val="single"/>
        </w:rPr>
        <w:t>’</w:t>
      </w:r>
      <w:r w:rsidRPr="00911998">
        <w:rPr>
          <w:rFonts w:cs="Arial"/>
          <w:sz w:val="22"/>
          <w:szCs w:val="22"/>
          <w:u w:val="single"/>
        </w:rPr>
        <w:t xml:space="preserve">importante réforme de 2002, le concept de la </w:t>
      </w:r>
      <w:proofErr w:type="spellStart"/>
      <w:r w:rsidRPr="00911998">
        <w:rPr>
          <w:rFonts w:cs="Arial"/>
          <w:sz w:val="22"/>
          <w:szCs w:val="22"/>
          <w:u w:val="single"/>
        </w:rPr>
        <w:t>pluriparentalité</w:t>
      </w:r>
      <w:proofErr w:type="spellEnd"/>
      <w:r w:rsidRPr="00911998">
        <w:rPr>
          <w:rFonts w:cs="Arial"/>
          <w:sz w:val="22"/>
          <w:szCs w:val="22"/>
          <w:u w:val="single"/>
        </w:rPr>
        <w:t xml:space="preserve"> [</w:t>
      </w:r>
      <w:r w:rsidRPr="00911998">
        <w:rPr>
          <w:rFonts w:cs="Arial"/>
          <w:i/>
          <w:iCs/>
          <w:sz w:val="22"/>
          <w:szCs w:val="22"/>
          <w:u w:val="single"/>
        </w:rPr>
        <w:t>sic</w:t>
      </w:r>
      <w:r w:rsidRPr="00911998">
        <w:rPr>
          <w:rFonts w:cs="Arial"/>
          <w:sz w:val="22"/>
          <w:szCs w:val="22"/>
          <w:u w:val="single"/>
        </w:rPr>
        <w:t>] ne cadre pas avec l</w:t>
      </w:r>
      <w:r w:rsidR="00971129" w:rsidRPr="00911998">
        <w:rPr>
          <w:rFonts w:cs="Arial"/>
          <w:sz w:val="22"/>
          <w:szCs w:val="22"/>
          <w:u w:val="single"/>
        </w:rPr>
        <w:t>’</w:t>
      </w:r>
      <w:r w:rsidRPr="00911998">
        <w:rPr>
          <w:rFonts w:cs="Arial"/>
          <w:sz w:val="22"/>
          <w:szCs w:val="22"/>
          <w:u w:val="single"/>
        </w:rPr>
        <w:t>économie générale du </w:t>
      </w:r>
      <w:hyperlink r:id="rId28" w:history="1">
        <w:r w:rsidRPr="00911998">
          <w:rPr>
            <w:rStyle w:val="Hyperlien"/>
            <w:rFonts w:cs="Arial"/>
            <w:i/>
            <w:iCs/>
            <w:color w:val="auto"/>
            <w:sz w:val="22"/>
            <w:szCs w:val="22"/>
          </w:rPr>
          <w:t>Code civil du Québec</w:t>
        </w:r>
      </w:hyperlink>
      <w:r w:rsidRPr="00911998">
        <w:rPr>
          <w:rFonts w:cs="Arial"/>
          <w:sz w:val="22"/>
          <w:szCs w:val="22"/>
        </w:rPr>
        <w:t> (voir, entre autres, les articles 51-54, 114, 539.1, et 578.1 de ce </w:t>
      </w:r>
      <w:r w:rsidRPr="00911998">
        <w:rPr>
          <w:rFonts w:cs="Arial"/>
          <w:i/>
          <w:iCs/>
          <w:sz w:val="22"/>
          <w:szCs w:val="22"/>
        </w:rPr>
        <w:t>Code</w:t>
      </w:r>
      <w:r w:rsidRPr="00911998">
        <w:rPr>
          <w:rFonts w:cs="Arial"/>
          <w:sz w:val="22"/>
          <w:szCs w:val="22"/>
        </w:rPr>
        <w:t>; Marie Pratte, « La filiation réinventée : l</w:t>
      </w:r>
      <w:r w:rsidR="00971129" w:rsidRPr="00911998">
        <w:rPr>
          <w:rFonts w:cs="Arial"/>
          <w:sz w:val="22"/>
          <w:szCs w:val="22"/>
        </w:rPr>
        <w:t>’</w:t>
      </w:r>
      <w:r w:rsidRPr="00911998">
        <w:rPr>
          <w:rFonts w:cs="Arial"/>
          <w:sz w:val="22"/>
          <w:szCs w:val="22"/>
        </w:rPr>
        <w:t>enfant menacé ? », </w:t>
      </w:r>
      <w:r w:rsidRPr="00911998">
        <w:rPr>
          <w:rStyle w:val="reflex3-missing"/>
          <w:rFonts w:cs="Arial"/>
          <w:sz w:val="22"/>
          <w:szCs w:val="22"/>
        </w:rPr>
        <w:t>(2003) 33 </w:t>
      </w:r>
      <w:r w:rsidRPr="00911998">
        <w:rPr>
          <w:rStyle w:val="reflex3-missing"/>
          <w:rFonts w:cs="Arial"/>
          <w:i/>
          <w:iCs/>
          <w:sz w:val="22"/>
          <w:szCs w:val="22"/>
        </w:rPr>
        <w:t>R.G.D</w:t>
      </w:r>
      <w:r w:rsidRPr="00911998">
        <w:rPr>
          <w:rStyle w:val="reflex3-missing"/>
          <w:rFonts w:cs="Arial"/>
          <w:sz w:val="22"/>
          <w:szCs w:val="22"/>
        </w:rPr>
        <w:t>. 541, aux p. 560 et s</w:t>
      </w:r>
      <w:r w:rsidRPr="00911998">
        <w:rPr>
          <w:rFonts w:cs="Arial"/>
          <w:sz w:val="22"/>
          <w:szCs w:val="22"/>
        </w:rPr>
        <w:t>., 600 et s.). Au Québec, contrairement à l</w:t>
      </w:r>
      <w:r w:rsidR="00971129" w:rsidRPr="00911998">
        <w:rPr>
          <w:rFonts w:cs="Arial"/>
          <w:sz w:val="22"/>
          <w:szCs w:val="22"/>
        </w:rPr>
        <w:t>’</w:t>
      </w:r>
      <w:r w:rsidRPr="00911998">
        <w:rPr>
          <w:rFonts w:cs="Arial"/>
          <w:sz w:val="22"/>
          <w:szCs w:val="22"/>
        </w:rPr>
        <w:t>Ontario où, dans une situation factuelle très particulière, les lacunes du </w:t>
      </w:r>
      <w:proofErr w:type="spellStart"/>
      <w:r w:rsidR="008C2985">
        <w:fldChar w:fldCharType="begin"/>
      </w:r>
      <w:r w:rsidR="008C2985">
        <w:instrText>HYPERLINK "https://www.canlii.org/fr/on/legis/lois/lro-1990-c-c12/derniere/lro-1990-c-c12.html"</w:instrText>
      </w:r>
      <w:r w:rsidR="008C2985">
        <w:fldChar w:fldCharType="separate"/>
      </w:r>
      <w:r w:rsidRPr="00911998">
        <w:rPr>
          <w:rStyle w:val="Hyperlien"/>
          <w:rFonts w:cs="Arial"/>
          <w:i/>
          <w:iCs/>
          <w:color w:val="auto"/>
          <w:sz w:val="22"/>
          <w:szCs w:val="22"/>
          <w:u w:val="none"/>
        </w:rPr>
        <w:t>Children</w:t>
      </w:r>
      <w:r w:rsidR="00971129" w:rsidRPr="00911998">
        <w:rPr>
          <w:rStyle w:val="Hyperlien"/>
          <w:rFonts w:cs="Arial"/>
          <w:i/>
          <w:iCs/>
          <w:color w:val="auto"/>
          <w:sz w:val="22"/>
          <w:szCs w:val="22"/>
          <w:u w:val="none"/>
        </w:rPr>
        <w:t>’</w:t>
      </w:r>
      <w:r w:rsidRPr="00911998">
        <w:rPr>
          <w:rStyle w:val="Hyperlien"/>
          <w:rFonts w:cs="Arial"/>
          <w:i/>
          <w:iCs/>
          <w:color w:val="auto"/>
          <w:sz w:val="22"/>
          <w:szCs w:val="22"/>
          <w:u w:val="none"/>
        </w:rPr>
        <w:t>s</w:t>
      </w:r>
      <w:proofErr w:type="spellEnd"/>
      <w:r w:rsidRPr="00911998">
        <w:rPr>
          <w:rStyle w:val="Hyperlien"/>
          <w:rFonts w:cs="Arial"/>
          <w:i/>
          <w:iCs/>
          <w:color w:val="auto"/>
          <w:sz w:val="22"/>
          <w:szCs w:val="22"/>
          <w:u w:val="none"/>
        </w:rPr>
        <w:t xml:space="preserve"> Law Reform </w:t>
      </w:r>
      <w:proofErr w:type="spellStart"/>
      <w:r w:rsidRPr="00911998">
        <w:rPr>
          <w:rStyle w:val="Hyperlien"/>
          <w:rFonts w:cs="Arial"/>
          <w:i/>
          <w:iCs/>
          <w:color w:val="auto"/>
          <w:sz w:val="22"/>
          <w:szCs w:val="22"/>
          <w:u w:val="none"/>
        </w:rPr>
        <w:t>Act</w:t>
      </w:r>
      <w:proofErr w:type="spellEnd"/>
      <w:r w:rsidR="008C2985">
        <w:rPr>
          <w:rStyle w:val="Hyperlien"/>
          <w:rFonts w:cs="Arial"/>
          <w:i/>
          <w:iCs/>
          <w:color w:val="auto"/>
          <w:sz w:val="22"/>
          <w:szCs w:val="22"/>
          <w:u w:val="none"/>
        </w:rPr>
        <w:fldChar w:fldCharType="end"/>
      </w:r>
      <w:r w:rsidRPr="00911998">
        <w:rPr>
          <w:rFonts w:cs="Arial"/>
          <w:sz w:val="22"/>
          <w:szCs w:val="22"/>
        </w:rPr>
        <w:t> (R.S.O. 1990, c. C.12) ont permis à la cour d</w:t>
      </w:r>
      <w:r w:rsidR="00971129" w:rsidRPr="00911998">
        <w:rPr>
          <w:rFonts w:cs="Arial"/>
          <w:sz w:val="22"/>
          <w:szCs w:val="22"/>
        </w:rPr>
        <w:t>’</w:t>
      </w:r>
      <w:r w:rsidRPr="00911998">
        <w:rPr>
          <w:rFonts w:cs="Arial"/>
          <w:sz w:val="22"/>
          <w:szCs w:val="22"/>
        </w:rPr>
        <w:t>appel, qui n</w:t>
      </w:r>
      <w:r w:rsidR="00971129" w:rsidRPr="00911998">
        <w:rPr>
          <w:rFonts w:cs="Arial"/>
          <w:sz w:val="22"/>
          <w:szCs w:val="22"/>
        </w:rPr>
        <w:t>’</w:t>
      </w:r>
      <w:r w:rsidRPr="00911998">
        <w:rPr>
          <w:rFonts w:cs="Arial"/>
          <w:sz w:val="22"/>
          <w:szCs w:val="22"/>
        </w:rPr>
        <w:t>a pu les croire intentionnelles, de reconnaître ce concept en exerçant leur compétence </w:t>
      </w:r>
      <w:proofErr w:type="spellStart"/>
      <w:r w:rsidRPr="00911998">
        <w:rPr>
          <w:rFonts w:cs="Arial"/>
          <w:i/>
          <w:iCs/>
          <w:sz w:val="22"/>
          <w:szCs w:val="22"/>
        </w:rPr>
        <w:t>parens</w:t>
      </w:r>
      <w:proofErr w:type="spellEnd"/>
      <w:r w:rsidRPr="00911998">
        <w:rPr>
          <w:rFonts w:cs="Arial"/>
          <w:i/>
          <w:iCs/>
          <w:sz w:val="22"/>
          <w:szCs w:val="22"/>
        </w:rPr>
        <w:t xml:space="preserve"> </w:t>
      </w:r>
      <w:proofErr w:type="spellStart"/>
      <w:r w:rsidRPr="00911998">
        <w:rPr>
          <w:rFonts w:cs="Arial"/>
          <w:i/>
          <w:iCs/>
          <w:sz w:val="22"/>
          <w:szCs w:val="22"/>
        </w:rPr>
        <w:t>patriae</w:t>
      </w:r>
      <w:proofErr w:type="spellEnd"/>
      <w:r w:rsidRPr="00911998">
        <w:rPr>
          <w:rFonts w:cs="Arial"/>
          <w:sz w:val="22"/>
          <w:szCs w:val="22"/>
        </w:rPr>
        <w:t> (</w:t>
      </w:r>
      <w:r w:rsidRPr="00911998">
        <w:rPr>
          <w:rFonts w:cs="Arial"/>
          <w:i/>
          <w:iCs/>
          <w:sz w:val="22"/>
          <w:szCs w:val="22"/>
        </w:rPr>
        <w:t>A.A. v. B.B.</w:t>
      </w:r>
      <w:r w:rsidRPr="00911998">
        <w:rPr>
          <w:rFonts w:cs="Arial"/>
          <w:sz w:val="22"/>
          <w:szCs w:val="22"/>
        </w:rPr>
        <w:t>, </w:t>
      </w:r>
      <w:hyperlink r:id="rId29" w:history="1">
        <w:r w:rsidRPr="00911998">
          <w:rPr>
            <w:rStyle w:val="Hyperlien"/>
            <w:rFonts w:cs="Arial"/>
            <w:color w:val="auto"/>
            <w:sz w:val="22"/>
            <w:szCs w:val="22"/>
            <w:u w:val="none"/>
          </w:rPr>
          <w:t>2007 ONCA 2 (CanLII)</w:t>
        </w:r>
      </w:hyperlink>
      <w:r w:rsidRPr="00911998">
        <w:rPr>
          <w:rFonts w:cs="Arial"/>
          <w:sz w:val="22"/>
          <w:szCs w:val="22"/>
        </w:rPr>
        <w:t xml:space="preserve">, 2007-01-02, </w:t>
      </w:r>
      <w:proofErr w:type="spellStart"/>
      <w:r w:rsidRPr="00911998">
        <w:rPr>
          <w:rFonts w:cs="Arial"/>
          <w:sz w:val="22"/>
          <w:szCs w:val="22"/>
        </w:rPr>
        <w:t>docket</w:t>
      </w:r>
      <w:proofErr w:type="spellEnd"/>
      <w:r w:rsidRPr="00911998">
        <w:rPr>
          <w:rFonts w:cs="Arial"/>
          <w:sz w:val="22"/>
          <w:szCs w:val="22"/>
        </w:rPr>
        <w:t xml:space="preserve">: C39998), rien ne peut autoriser une telle interprétation. </w:t>
      </w:r>
      <w:r w:rsidRPr="00911998">
        <w:rPr>
          <w:rFonts w:cs="Arial"/>
          <w:sz w:val="22"/>
          <w:szCs w:val="22"/>
          <w:u w:val="single"/>
        </w:rPr>
        <w:t>À moins qu</w:t>
      </w:r>
      <w:r w:rsidR="00971129" w:rsidRPr="00911998">
        <w:rPr>
          <w:rFonts w:cs="Arial"/>
          <w:sz w:val="22"/>
          <w:szCs w:val="22"/>
          <w:u w:val="single"/>
        </w:rPr>
        <w:t>’</w:t>
      </w:r>
      <w:r w:rsidRPr="00911998">
        <w:rPr>
          <w:rFonts w:cs="Arial"/>
          <w:sz w:val="22"/>
          <w:szCs w:val="22"/>
          <w:u w:val="single"/>
        </w:rPr>
        <w:t>une modification législative claire en ce sens ne soit apportée, un enfant ne peut, dans l</w:t>
      </w:r>
      <w:r w:rsidR="00971129" w:rsidRPr="00911998">
        <w:rPr>
          <w:rFonts w:cs="Arial"/>
          <w:sz w:val="22"/>
          <w:szCs w:val="22"/>
          <w:u w:val="single"/>
        </w:rPr>
        <w:t>’</w:t>
      </w:r>
      <w:r w:rsidRPr="00911998">
        <w:rPr>
          <w:rFonts w:cs="Arial"/>
          <w:sz w:val="22"/>
          <w:szCs w:val="22"/>
          <w:u w:val="single"/>
        </w:rPr>
        <w:t>état actuel du droit civil québécois, avoir trois parents</w:t>
      </w:r>
      <w:r w:rsidRPr="00911998">
        <w:rPr>
          <w:rFonts w:cs="Arial"/>
          <w:sz w:val="22"/>
          <w:szCs w:val="22"/>
        </w:rPr>
        <w:t>.</w:t>
      </w:r>
    </w:p>
    <w:p w14:paraId="1E937C35" w14:textId="77777777" w:rsidR="003C3B86" w:rsidRPr="00911998" w:rsidRDefault="003C3B86" w:rsidP="003C3B86">
      <w:pPr>
        <w:ind w:left="567" w:right="560"/>
        <w:jc w:val="both"/>
        <w:rPr>
          <w:rFonts w:cs="Arial"/>
          <w:sz w:val="22"/>
          <w:szCs w:val="22"/>
        </w:rPr>
      </w:pPr>
    </w:p>
    <w:p w14:paraId="6A9AE4A1" w14:textId="264B1F8F" w:rsidR="003C3B86" w:rsidRPr="00911998" w:rsidRDefault="003C3B86" w:rsidP="003C3B86">
      <w:pPr>
        <w:ind w:left="567" w:right="560"/>
        <w:jc w:val="right"/>
      </w:pPr>
      <w:r w:rsidRPr="00911998">
        <w:rPr>
          <w:rFonts w:cs="Arial"/>
          <w:sz w:val="22"/>
          <w:szCs w:val="22"/>
        </w:rPr>
        <w:t>[</w:t>
      </w:r>
      <w:r w:rsidR="001F77BD" w:rsidRPr="00911998">
        <w:rPr>
          <w:rFonts w:cs="Arial"/>
          <w:sz w:val="22"/>
          <w:szCs w:val="22"/>
        </w:rPr>
        <w:t>S</w:t>
      </w:r>
      <w:r w:rsidRPr="00911998">
        <w:rPr>
          <w:rFonts w:cs="Arial"/>
          <w:sz w:val="22"/>
          <w:szCs w:val="22"/>
        </w:rPr>
        <w:t>oulignements ajoutés]</w:t>
      </w:r>
    </w:p>
    <w:p w14:paraId="19D56D50" w14:textId="5CAA724B" w:rsidR="003C3B86" w:rsidRPr="00911998" w:rsidRDefault="00E708FD" w:rsidP="002C6BF8">
      <w:pPr>
        <w:pStyle w:val="Paragrsimple"/>
        <w:tabs>
          <w:tab w:val="clear" w:pos="360"/>
        </w:tabs>
      </w:pPr>
      <w:r w:rsidRPr="00911998">
        <w:t>Les demandeurs attaquent la valeur persuasive de cette jurisprudence. Ils plaident que dans les affaires o</w:t>
      </w:r>
      <w:r w:rsidRPr="00911998">
        <w:rPr>
          <w:rFonts w:cs="Arial"/>
        </w:rPr>
        <w:t>ù</w:t>
      </w:r>
      <w:r w:rsidRPr="00911998">
        <w:t xml:space="preserve"> il est fait mention que le droit québécois limite la filiation à deux parents, la question n’était pas directement en cause. En outre, la mention de la limite de deux parents </w:t>
      </w:r>
      <w:r w:rsidR="002866DB" w:rsidRPr="00911998">
        <w:t>est</w:t>
      </w:r>
      <w:r w:rsidRPr="00911998">
        <w:t xml:space="preserve"> accompagnée de peu, sinon d’aucune analyse véritable.</w:t>
      </w:r>
      <w:r w:rsidR="00161859" w:rsidRPr="00911998">
        <w:t xml:space="preserve"> </w:t>
      </w:r>
      <w:r w:rsidRPr="00911998">
        <w:t xml:space="preserve">Enfin, les </w:t>
      </w:r>
      <w:r w:rsidRPr="00911998">
        <w:lastRenderedPageBreak/>
        <w:t xml:space="preserve">demandeurs soulignent que dans l’arrêt </w:t>
      </w:r>
      <w:r w:rsidRPr="00911998">
        <w:rPr>
          <w:rFonts w:cs="Arial"/>
          <w:i/>
          <w:iCs/>
          <w:shd w:val="clear" w:color="auto" w:fill="FFFFFF"/>
        </w:rPr>
        <w:t>Droit de la famille — 191677</w:t>
      </w:r>
      <w:r w:rsidRPr="00911998">
        <w:rPr>
          <w:rFonts w:cs="Arial"/>
          <w:shd w:val="clear" w:color="auto" w:fill="FFFFFF"/>
        </w:rPr>
        <w:t xml:space="preserve">, le juge </w:t>
      </w:r>
      <w:proofErr w:type="spellStart"/>
      <w:r w:rsidRPr="00911998">
        <w:rPr>
          <w:rFonts w:cs="Arial"/>
          <w:shd w:val="clear" w:color="auto" w:fill="FFFFFF"/>
        </w:rPr>
        <w:t>Kasirer</w:t>
      </w:r>
      <w:proofErr w:type="spellEnd"/>
      <w:r w:rsidRPr="00911998">
        <w:rPr>
          <w:rFonts w:cs="Arial"/>
          <w:shd w:val="clear" w:color="auto" w:fill="FFFFFF"/>
        </w:rPr>
        <w:t xml:space="preserve"> se garde de se prononcer sur la question</w:t>
      </w:r>
      <w:r w:rsidR="00161859" w:rsidRPr="00911998">
        <w:rPr>
          <w:rStyle w:val="Appelnotedebasdep"/>
          <w:rFonts w:cs="Arial"/>
          <w:shd w:val="clear" w:color="auto" w:fill="FFFFFF"/>
        </w:rPr>
        <w:footnoteReference w:id="72"/>
      </w:r>
      <w:r w:rsidR="00161859" w:rsidRPr="00911998">
        <w:rPr>
          <w:rFonts w:cs="Arial"/>
          <w:shd w:val="clear" w:color="auto" w:fill="FFFFFF"/>
        </w:rPr>
        <w:t>.</w:t>
      </w:r>
      <w:r w:rsidRPr="00911998">
        <w:rPr>
          <w:rFonts w:cs="Arial"/>
          <w:shd w:val="clear" w:color="auto" w:fill="FFFFFF"/>
        </w:rPr>
        <w:t xml:space="preserve"> </w:t>
      </w:r>
      <w:r w:rsidRPr="00911998">
        <w:t> </w:t>
      </w:r>
    </w:p>
    <w:p w14:paraId="41E42ED6" w14:textId="43E5D77D" w:rsidR="00443AA9" w:rsidRPr="00911998" w:rsidRDefault="00161859" w:rsidP="00E708FD">
      <w:pPr>
        <w:pStyle w:val="Paragrsimple"/>
        <w:tabs>
          <w:tab w:val="clear" w:pos="360"/>
        </w:tabs>
      </w:pPr>
      <w:r w:rsidRPr="00911998">
        <w:t>Tout ce</w:t>
      </w:r>
      <w:r w:rsidR="001F77BD" w:rsidRPr="00911998">
        <w:t>ci</w:t>
      </w:r>
      <w:r w:rsidRPr="00911998">
        <w:t xml:space="preserve"> est vrai. Cela dit, il serait hasardeux d’écarter du revers de la main </w:t>
      </w:r>
      <w:r w:rsidR="003160F3" w:rsidRPr="00911998">
        <w:t xml:space="preserve">les enseignements de la jurisprudence quant à </w:t>
      </w:r>
      <w:proofErr w:type="gramStart"/>
      <w:r w:rsidR="003160F3" w:rsidRPr="00911998">
        <w:t xml:space="preserve">la </w:t>
      </w:r>
      <w:r w:rsidR="001240DD" w:rsidRPr="00911998">
        <w:t>non</w:t>
      </w:r>
      <w:proofErr w:type="gramEnd"/>
      <w:r w:rsidR="001240DD" w:rsidRPr="00911998">
        <w:noBreakHyphen/>
      </w:r>
      <w:r w:rsidR="003160F3" w:rsidRPr="00911998">
        <w:t xml:space="preserve">reconnaissance de la </w:t>
      </w:r>
      <w:proofErr w:type="spellStart"/>
      <w:r w:rsidR="00443AA9" w:rsidRPr="00911998">
        <w:t>pluri</w:t>
      </w:r>
      <w:r w:rsidR="003160F3" w:rsidRPr="00911998">
        <w:t>parenté</w:t>
      </w:r>
      <w:proofErr w:type="spellEnd"/>
      <w:r w:rsidR="003160F3" w:rsidRPr="00911998">
        <w:t xml:space="preserve"> en droit positif québécois.</w:t>
      </w:r>
      <w:r w:rsidR="00443AA9" w:rsidRPr="00911998">
        <w:t xml:space="preserve"> </w:t>
      </w:r>
      <w:r w:rsidR="001240DD" w:rsidRPr="00911998">
        <w:t>À tout évènement</w:t>
      </w:r>
      <w:r w:rsidR="00443AA9" w:rsidRPr="00911998">
        <w:t xml:space="preserve">, ces enseignements reflètent la conclusion qui s’impose </w:t>
      </w:r>
      <w:r w:rsidR="00844117" w:rsidRPr="00911998">
        <w:t>à l’issue</w:t>
      </w:r>
      <w:r w:rsidR="00443AA9" w:rsidRPr="00911998">
        <w:t xml:space="preserve"> d’une lecture globale et cohérente du C.c.Q.</w:t>
      </w:r>
    </w:p>
    <w:p w14:paraId="6DD2D8D4" w14:textId="58B92E04" w:rsidR="00D6385A" w:rsidRPr="00911998" w:rsidRDefault="00B1656E" w:rsidP="00E11B99">
      <w:pPr>
        <w:pStyle w:val="Paragrsimple"/>
        <w:tabs>
          <w:tab w:val="clear" w:pos="360"/>
        </w:tabs>
      </w:pPr>
      <w:r w:rsidRPr="00911998">
        <w:t>I</w:t>
      </w:r>
      <w:r w:rsidR="00E11B99" w:rsidRPr="00911998">
        <w:t xml:space="preserve">l faut </w:t>
      </w:r>
      <w:r w:rsidRPr="00911998">
        <w:t xml:space="preserve">certes </w:t>
      </w:r>
      <w:r w:rsidR="00E11B99" w:rsidRPr="00911998">
        <w:t xml:space="preserve">adopter une interprétation large et libérale des dispositions du C.c.Q. qui traitent de la filiation, notamment </w:t>
      </w:r>
      <w:r w:rsidRPr="00911998">
        <w:t xml:space="preserve">pour </w:t>
      </w:r>
      <w:r w:rsidR="00D6385A" w:rsidRPr="00911998">
        <w:t xml:space="preserve">atteindre leurs buts, </w:t>
      </w:r>
      <w:r w:rsidR="0092657B" w:rsidRPr="00911998">
        <w:t>y compris</w:t>
      </w:r>
      <w:r w:rsidRPr="00911998">
        <w:t xml:space="preserve"> celui</w:t>
      </w:r>
      <w:r w:rsidR="0092657B" w:rsidRPr="00911998">
        <w:t xml:space="preserve"> </w:t>
      </w:r>
      <w:r w:rsidR="0040473D" w:rsidRPr="00911998">
        <w:t>d’assurer</w:t>
      </w:r>
      <w:r w:rsidR="00D6385A" w:rsidRPr="00911998">
        <w:t xml:space="preserve"> l’égalité des </w:t>
      </w:r>
      <w:r w:rsidR="0040473D" w:rsidRPr="00911998">
        <w:t>enfants,</w:t>
      </w:r>
      <w:r w:rsidR="00D6385A" w:rsidRPr="00911998">
        <w:t xml:space="preserve"> quelles que soient les circonstances de leur naissance. Cela dit, </w:t>
      </w:r>
      <w:r w:rsidR="005600D3" w:rsidRPr="00911998">
        <w:t xml:space="preserve">ni une </w:t>
      </w:r>
      <w:r w:rsidR="00D6385A" w:rsidRPr="00911998">
        <w:t>interprétation large et libérale</w:t>
      </w:r>
      <w:r w:rsidR="005600D3" w:rsidRPr="00911998">
        <w:t xml:space="preserve"> ni une </w:t>
      </w:r>
      <w:r w:rsidR="00D77950" w:rsidRPr="00911998">
        <w:t>lecture</w:t>
      </w:r>
      <w:r w:rsidR="005600D3" w:rsidRPr="00911998">
        <w:t xml:space="preserve"> évolutive</w:t>
      </w:r>
      <w:r w:rsidR="00D77950" w:rsidRPr="00911998">
        <w:t xml:space="preserve"> du Code</w:t>
      </w:r>
      <w:r w:rsidR="005600D3" w:rsidRPr="00911998">
        <w:t xml:space="preserve"> </w:t>
      </w:r>
      <w:r w:rsidR="00D6385A" w:rsidRPr="00911998">
        <w:t>n’autorise</w:t>
      </w:r>
      <w:r w:rsidRPr="00911998">
        <w:t>nt</w:t>
      </w:r>
      <w:r w:rsidR="00D6385A" w:rsidRPr="00911998">
        <w:t xml:space="preserve"> </w:t>
      </w:r>
      <w:r w:rsidR="005600D3" w:rsidRPr="00911998">
        <w:t>la</w:t>
      </w:r>
      <w:r w:rsidR="00D6385A" w:rsidRPr="00911998">
        <w:t xml:space="preserve"> création judiciaire d’un lien de filiation qui ne trouve aucune source dans le C.c.Q. et qui, au contraire, </w:t>
      </w:r>
      <w:r w:rsidRPr="00911998">
        <w:t>est</w:t>
      </w:r>
      <w:r w:rsidR="00D6385A" w:rsidRPr="00911998">
        <w:t xml:space="preserve"> en porte-à-faux avec son économie générale</w:t>
      </w:r>
      <w:r w:rsidR="008D2EBB" w:rsidRPr="00911998">
        <w:rPr>
          <w:rStyle w:val="Appelnotedebasdep"/>
        </w:rPr>
        <w:footnoteReference w:id="73"/>
      </w:r>
      <w:r w:rsidR="00D6385A" w:rsidRPr="00911998">
        <w:t>.</w:t>
      </w:r>
    </w:p>
    <w:p w14:paraId="7F0559BA" w14:textId="0CA8FB40" w:rsidR="005600D3" w:rsidRPr="00911998" w:rsidRDefault="00D66BD5" w:rsidP="001C5CD5">
      <w:pPr>
        <w:pStyle w:val="Titre4"/>
        <w:jc w:val="both"/>
      </w:pPr>
      <w:r w:rsidRPr="00911998">
        <w:t>En l’absence d’ambiguïté, les présomptions d’interprétation ne s’appliquent pas</w:t>
      </w:r>
    </w:p>
    <w:p w14:paraId="7B02CA9E" w14:textId="0324F472" w:rsidR="00CB783B" w:rsidRPr="00911998" w:rsidRDefault="00DD0DE1" w:rsidP="00E11B99">
      <w:pPr>
        <w:pStyle w:val="Paragrsimple"/>
        <w:tabs>
          <w:tab w:val="clear" w:pos="360"/>
        </w:tabs>
      </w:pPr>
      <w:r w:rsidRPr="00911998">
        <w:t xml:space="preserve">Les Demandeurs invoquent aussi deux présomptions interprétatives : (1) la conformité de la loi avec les droits garantis par la </w:t>
      </w:r>
      <w:r w:rsidRPr="00911998">
        <w:rPr>
          <w:i/>
          <w:iCs/>
        </w:rPr>
        <w:t xml:space="preserve">Charte canadienne </w:t>
      </w:r>
      <w:r w:rsidRPr="00911998">
        <w:t xml:space="preserve">et la </w:t>
      </w:r>
      <w:r w:rsidRPr="00911998">
        <w:rPr>
          <w:i/>
          <w:iCs/>
        </w:rPr>
        <w:t>Charte québécoise</w:t>
      </w:r>
      <w:r w:rsidR="0048708A" w:rsidRPr="00911998">
        <w:rPr>
          <w:i/>
          <w:iCs/>
        </w:rPr>
        <w:t> </w:t>
      </w:r>
      <w:r w:rsidRPr="00911998">
        <w:t xml:space="preserve">; et (2) </w:t>
      </w:r>
      <w:r w:rsidR="005952CF" w:rsidRPr="00911998">
        <w:t>le respect de</w:t>
      </w:r>
      <w:r w:rsidRPr="00911998">
        <w:t xml:space="preserve"> l’intérêt de l’enfant.</w:t>
      </w:r>
    </w:p>
    <w:p w14:paraId="31CAE1FF" w14:textId="7D684C60" w:rsidR="00115901" w:rsidRPr="00911998" w:rsidRDefault="00D6385A" w:rsidP="00E11B99">
      <w:pPr>
        <w:pStyle w:val="Paragrsimple"/>
        <w:tabs>
          <w:tab w:val="clear" w:pos="360"/>
        </w:tabs>
        <w:rPr>
          <w:szCs w:val="24"/>
        </w:rPr>
      </w:pPr>
      <w:r w:rsidRPr="00911998">
        <w:t xml:space="preserve"> </w:t>
      </w:r>
      <w:r w:rsidR="00E11B99" w:rsidRPr="00911998">
        <w:t xml:space="preserve"> </w:t>
      </w:r>
      <w:r w:rsidR="00CB783B" w:rsidRPr="00911998">
        <w:rPr>
          <w:szCs w:val="24"/>
        </w:rPr>
        <w:t>Pour ce qui est de la présomption de conformité avec les droits</w:t>
      </w:r>
      <w:r w:rsidR="0048708A" w:rsidRPr="00911998">
        <w:rPr>
          <w:szCs w:val="24"/>
        </w:rPr>
        <w:t xml:space="preserve"> fondamentaux</w:t>
      </w:r>
      <w:r w:rsidR="00CB783B" w:rsidRPr="00911998">
        <w:rPr>
          <w:szCs w:val="24"/>
        </w:rPr>
        <w:t xml:space="preserve">, comme l’explique le juge </w:t>
      </w:r>
      <w:proofErr w:type="spellStart"/>
      <w:r w:rsidR="00CB783B" w:rsidRPr="00911998">
        <w:rPr>
          <w:szCs w:val="24"/>
        </w:rPr>
        <w:t>Iacobucci</w:t>
      </w:r>
      <w:proofErr w:type="spellEnd"/>
      <w:r w:rsidR="00CB783B" w:rsidRPr="00911998">
        <w:rPr>
          <w:szCs w:val="24"/>
        </w:rPr>
        <w:t xml:space="preserve"> dans l’arrêt </w:t>
      </w:r>
      <w:r w:rsidR="00220B24" w:rsidRPr="00911998">
        <w:rPr>
          <w:i/>
          <w:iCs/>
          <w:szCs w:val="24"/>
        </w:rPr>
        <w:t xml:space="preserve">Bell </w:t>
      </w:r>
      <w:proofErr w:type="spellStart"/>
      <w:r w:rsidR="00220B24" w:rsidRPr="00911998">
        <w:rPr>
          <w:i/>
          <w:iCs/>
          <w:szCs w:val="24"/>
        </w:rPr>
        <w:t>ExpressVu</w:t>
      </w:r>
      <w:proofErr w:type="spellEnd"/>
      <w:r w:rsidR="00220B24" w:rsidRPr="00911998">
        <w:rPr>
          <w:szCs w:val="24"/>
        </w:rPr>
        <w:t>,</w:t>
      </w:r>
      <w:r w:rsidR="00CB783B" w:rsidRPr="00911998">
        <w:rPr>
          <w:szCs w:val="24"/>
        </w:rPr>
        <w:t xml:space="preserve"> ce principe interprétatif «</w:t>
      </w:r>
      <w:r w:rsidR="0048708A" w:rsidRPr="00911998">
        <w:rPr>
          <w:szCs w:val="24"/>
        </w:rPr>
        <w:t> </w:t>
      </w:r>
      <w:r w:rsidR="00CB783B" w:rsidRPr="00911998">
        <w:rPr>
          <w:szCs w:val="24"/>
        </w:rPr>
        <w:t>s’applique </w:t>
      </w:r>
      <w:r w:rsidR="00CB783B" w:rsidRPr="00911998">
        <w:rPr>
          <w:szCs w:val="24"/>
          <w:u w:val="single"/>
        </w:rPr>
        <w:t>uniquement</w:t>
      </w:r>
      <w:r w:rsidR="00CB783B" w:rsidRPr="00911998">
        <w:rPr>
          <w:szCs w:val="24"/>
        </w:rPr>
        <w:t> qu’en cas d’ambiguïté véritable, c’est</w:t>
      </w:r>
      <w:r w:rsidR="00CB783B" w:rsidRPr="00911998">
        <w:rPr>
          <w:szCs w:val="24"/>
        </w:rPr>
        <w:noBreakHyphen/>
        <w:t>à</w:t>
      </w:r>
      <w:r w:rsidR="00CB783B" w:rsidRPr="00911998">
        <w:rPr>
          <w:szCs w:val="24"/>
        </w:rPr>
        <w:noBreakHyphen/>
        <w:t xml:space="preserve">dire lorsqu’une </w:t>
      </w:r>
      <w:r w:rsidR="00CB783B" w:rsidRPr="00911998">
        <w:rPr>
          <w:szCs w:val="24"/>
        </w:rPr>
        <w:lastRenderedPageBreak/>
        <w:t xml:space="preserve">disposition législative se prête à des interprétations </w:t>
      </w:r>
      <w:r w:rsidR="0048708A" w:rsidRPr="00911998">
        <w:rPr>
          <w:szCs w:val="24"/>
        </w:rPr>
        <w:t>divergentes,</w:t>
      </w:r>
      <w:r w:rsidR="00CB783B" w:rsidRPr="00911998">
        <w:rPr>
          <w:szCs w:val="24"/>
        </w:rPr>
        <w:t xml:space="preserve"> mais par ailleurs tout aussi plausibles l’une que l’autre</w:t>
      </w:r>
      <w:r w:rsidR="0048708A" w:rsidRPr="00911998">
        <w:rPr>
          <w:szCs w:val="24"/>
        </w:rPr>
        <w:t> </w:t>
      </w:r>
      <w:r w:rsidR="00CB783B" w:rsidRPr="00911998">
        <w:rPr>
          <w:szCs w:val="24"/>
        </w:rPr>
        <w:t>»</w:t>
      </w:r>
      <w:r w:rsidR="00220B24" w:rsidRPr="00911998">
        <w:rPr>
          <w:szCs w:val="24"/>
        </w:rPr>
        <w:t xml:space="preserve"> (souligné dans l’original)</w:t>
      </w:r>
      <w:r w:rsidR="00CB783B" w:rsidRPr="00911998">
        <w:rPr>
          <w:rStyle w:val="Appelnotedebasdep"/>
          <w:szCs w:val="24"/>
        </w:rPr>
        <w:footnoteReference w:id="74"/>
      </w:r>
      <w:r w:rsidR="00CB783B" w:rsidRPr="00911998">
        <w:rPr>
          <w:szCs w:val="24"/>
        </w:rPr>
        <w:t>.</w:t>
      </w:r>
    </w:p>
    <w:p w14:paraId="12816F03" w14:textId="65ACB4D0" w:rsidR="00115901" w:rsidRPr="00911998" w:rsidRDefault="004B4D1B" w:rsidP="00E11B99">
      <w:pPr>
        <w:pStyle w:val="Paragrsimple"/>
        <w:tabs>
          <w:tab w:val="clear" w:pos="360"/>
        </w:tabs>
        <w:rPr>
          <w:szCs w:val="24"/>
        </w:rPr>
      </w:pPr>
      <w:r w:rsidRPr="00911998">
        <w:rPr>
          <w:szCs w:val="24"/>
        </w:rPr>
        <w:t xml:space="preserve">Or, </w:t>
      </w:r>
      <w:r w:rsidR="00115901" w:rsidRPr="00911998">
        <w:rPr>
          <w:szCs w:val="24"/>
        </w:rPr>
        <w:t>au</w:t>
      </w:r>
      <w:r w:rsidR="00D7684B" w:rsidRPr="00911998">
        <w:rPr>
          <w:szCs w:val="24"/>
        </w:rPr>
        <w:t>x</w:t>
      </w:r>
      <w:r w:rsidR="00115901" w:rsidRPr="00911998">
        <w:rPr>
          <w:szCs w:val="24"/>
        </w:rPr>
        <w:t xml:space="preserve"> terme</w:t>
      </w:r>
      <w:r w:rsidR="00D7684B" w:rsidRPr="00911998">
        <w:rPr>
          <w:szCs w:val="24"/>
        </w:rPr>
        <w:t>s</w:t>
      </w:r>
      <w:r w:rsidR="00115901" w:rsidRPr="00911998">
        <w:rPr>
          <w:szCs w:val="24"/>
        </w:rPr>
        <w:t xml:space="preserve"> d’une analyse contextuelle des dispositions du C.c.Q. qui régissent la filiation, il n’existe aucune ambiguïté quant à la possibilité d’établir plus de deux liens de filiation. Recour</w:t>
      </w:r>
      <w:r w:rsidR="00337FD7" w:rsidRPr="00911998">
        <w:rPr>
          <w:szCs w:val="24"/>
        </w:rPr>
        <w:t>ir</w:t>
      </w:r>
      <w:r w:rsidR="00115901" w:rsidRPr="00911998">
        <w:rPr>
          <w:szCs w:val="24"/>
        </w:rPr>
        <w:t xml:space="preserve"> à la présomption de conformité avec les </w:t>
      </w:r>
      <w:r w:rsidR="00115901" w:rsidRPr="00911998">
        <w:rPr>
          <w:i/>
          <w:iCs/>
          <w:szCs w:val="24"/>
        </w:rPr>
        <w:t xml:space="preserve">Chartes </w:t>
      </w:r>
      <w:r w:rsidR="00115901" w:rsidRPr="00911998">
        <w:rPr>
          <w:szCs w:val="24"/>
        </w:rPr>
        <w:t xml:space="preserve">n’est </w:t>
      </w:r>
      <w:r w:rsidR="00D7684B" w:rsidRPr="00911998">
        <w:rPr>
          <w:szCs w:val="24"/>
        </w:rPr>
        <w:t>d’aucune utilité pour les Demandeurs</w:t>
      </w:r>
      <w:r w:rsidR="00115901" w:rsidRPr="00911998">
        <w:rPr>
          <w:szCs w:val="24"/>
        </w:rPr>
        <w:t>.</w:t>
      </w:r>
    </w:p>
    <w:p w14:paraId="35C18C7F" w14:textId="36840E4A" w:rsidR="007E1090" w:rsidRPr="00911998" w:rsidRDefault="007E1090" w:rsidP="00E11B99">
      <w:pPr>
        <w:pStyle w:val="Paragrsimple"/>
        <w:tabs>
          <w:tab w:val="clear" w:pos="360"/>
        </w:tabs>
        <w:rPr>
          <w:szCs w:val="24"/>
        </w:rPr>
      </w:pPr>
      <w:r w:rsidRPr="00911998">
        <w:rPr>
          <w:szCs w:val="24"/>
        </w:rPr>
        <w:t>Qu’en est</w:t>
      </w:r>
      <w:r w:rsidRPr="00911998">
        <w:rPr>
          <w:szCs w:val="24"/>
        </w:rPr>
        <w:noBreakHyphen/>
        <w:t>il de l’argument voulant que le principe de l’intérêt de l’enfant milite en faveur d’une interprétation du C.c.Q. favorable à la reconnaissance de plus de deux liens de filiation</w:t>
      </w:r>
      <w:r w:rsidR="0048708A" w:rsidRPr="00911998">
        <w:rPr>
          <w:szCs w:val="24"/>
        </w:rPr>
        <w:t> </w:t>
      </w:r>
      <w:r w:rsidRPr="00911998">
        <w:rPr>
          <w:szCs w:val="24"/>
        </w:rPr>
        <w:t>?</w:t>
      </w:r>
    </w:p>
    <w:p w14:paraId="5D37A4F3" w14:textId="67CB6888" w:rsidR="007E1090" w:rsidRPr="00911998" w:rsidRDefault="007E1090" w:rsidP="007E1090">
      <w:pPr>
        <w:pStyle w:val="Paragrsimple"/>
        <w:tabs>
          <w:tab w:val="clear" w:pos="360"/>
        </w:tabs>
        <w:rPr>
          <w:rFonts w:cs="Arial"/>
          <w:szCs w:val="24"/>
        </w:rPr>
      </w:pPr>
      <w:r w:rsidRPr="00911998">
        <w:rPr>
          <w:szCs w:val="24"/>
        </w:rPr>
        <w:t>La notion de l’intérêt de l’enfant est omniprésente en droit québécois, et ce, pour toute question qui les concerne. Comme le précise l’article 33 C.c.Q., les «</w:t>
      </w:r>
      <w:r w:rsidR="0048708A" w:rsidRPr="00911998">
        <w:rPr>
          <w:szCs w:val="24"/>
        </w:rPr>
        <w:t> </w:t>
      </w:r>
      <w:r w:rsidRPr="00911998">
        <w:rPr>
          <w:rFonts w:cs="Arial"/>
          <w:szCs w:val="24"/>
        </w:rPr>
        <w:t>décisions concernant l’enfant doivent être prises dans son intérêt et dans le respect de ses droits</w:t>
      </w:r>
      <w:r w:rsidR="0048708A" w:rsidRPr="00911998">
        <w:rPr>
          <w:rFonts w:cs="Arial"/>
          <w:szCs w:val="24"/>
        </w:rPr>
        <w:t> </w:t>
      </w:r>
      <w:r w:rsidRPr="00911998">
        <w:rPr>
          <w:rFonts w:cs="Arial"/>
          <w:szCs w:val="24"/>
        </w:rPr>
        <w:t xml:space="preserve">». Pour sa part, l’article 39 de la </w:t>
      </w:r>
      <w:r w:rsidRPr="00911998">
        <w:rPr>
          <w:rFonts w:cs="Arial"/>
          <w:i/>
          <w:iCs/>
          <w:szCs w:val="24"/>
        </w:rPr>
        <w:t xml:space="preserve">Charte québécoise </w:t>
      </w:r>
      <w:r w:rsidR="0048708A" w:rsidRPr="00911998">
        <w:rPr>
          <w:rFonts w:cs="Arial"/>
          <w:szCs w:val="24"/>
        </w:rPr>
        <w:t>—</w:t>
      </w:r>
      <w:r w:rsidRPr="00911998">
        <w:rPr>
          <w:rFonts w:cs="Arial"/>
          <w:szCs w:val="24"/>
        </w:rPr>
        <w:t xml:space="preserve"> au même titre que l’article 32 C.c.Q. </w:t>
      </w:r>
      <w:r w:rsidR="0048708A" w:rsidRPr="00911998">
        <w:rPr>
          <w:rFonts w:cs="Arial"/>
          <w:szCs w:val="24"/>
        </w:rPr>
        <w:t>—</w:t>
      </w:r>
      <w:r w:rsidRPr="00911998">
        <w:rPr>
          <w:rFonts w:cs="Arial"/>
          <w:szCs w:val="24"/>
        </w:rPr>
        <w:t xml:space="preserve"> consacre le droit de tout enfant «</w:t>
      </w:r>
      <w:r w:rsidR="0048708A" w:rsidRPr="00911998">
        <w:rPr>
          <w:rFonts w:cs="Arial"/>
          <w:szCs w:val="24"/>
        </w:rPr>
        <w:t> </w:t>
      </w:r>
      <w:r w:rsidRPr="00911998">
        <w:rPr>
          <w:rFonts w:cs="Arial"/>
          <w:szCs w:val="24"/>
        </w:rPr>
        <w:t>à la protection, à la sécurité et à l’attention que ses parents ou les personnes qui en tiennent lieu peuvent lui donner</w:t>
      </w:r>
      <w:r w:rsidR="0048708A" w:rsidRPr="00911998">
        <w:rPr>
          <w:rFonts w:cs="Arial"/>
          <w:szCs w:val="24"/>
        </w:rPr>
        <w:t> </w:t>
      </w:r>
      <w:r w:rsidRPr="00911998">
        <w:rPr>
          <w:rFonts w:cs="Arial"/>
          <w:szCs w:val="24"/>
        </w:rPr>
        <w:t>».</w:t>
      </w:r>
    </w:p>
    <w:p w14:paraId="2DDEC7B2" w14:textId="071384AB" w:rsidR="00D7684B" w:rsidRPr="00911998" w:rsidRDefault="00115901" w:rsidP="00E11B99">
      <w:pPr>
        <w:pStyle w:val="Paragrsimple"/>
        <w:tabs>
          <w:tab w:val="clear" w:pos="360"/>
        </w:tabs>
        <w:rPr>
          <w:szCs w:val="24"/>
        </w:rPr>
      </w:pPr>
      <w:r w:rsidRPr="00911998">
        <w:rPr>
          <w:szCs w:val="24"/>
        </w:rPr>
        <w:t xml:space="preserve"> </w:t>
      </w:r>
      <w:r w:rsidR="007E1090" w:rsidRPr="00911998">
        <w:rPr>
          <w:szCs w:val="24"/>
        </w:rPr>
        <w:t>Cela dit, l’argument interprétatif des Demandeurs fondés sur le principe de l’intérêt de l’enfant ne peut être retenu.</w:t>
      </w:r>
      <w:r w:rsidR="008D3EA3" w:rsidRPr="00911998">
        <w:rPr>
          <w:szCs w:val="24"/>
        </w:rPr>
        <w:t xml:space="preserve"> </w:t>
      </w:r>
    </w:p>
    <w:p w14:paraId="69CB1889" w14:textId="6436AF0F" w:rsidR="007E1090" w:rsidRPr="00911998" w:rsidRDefault="005952CF" w:rsidP="00EF501E">
      <w:pPr>
        <w:pStyle w:val="Paragrsimple"/>
        <w:tabs>
          <w:tab w:val="clear" w:pos="360"/>
        </w:tabs>
        <w:rPr>
          <w:szCs w:val="24"/>
        </w:rPr>
      </w:pPr>
      <w:r w:rsidRPr="00911998">
        <w:rPr>
          <w:szCs w:val="24"/>
        </w:rPr>
        <w:t xml:space="preserve">À ce chapitre, deux </w:t>
      </w:r>
      <w:r w:rsidR="008D3EA3" w:rsidRPr="00911998">
        <w:rPr>
          <w:szCs w:val="24"/>
        </w:rPr>
        <w:t>précision</w:t>
      </w:r>
      <w:r w:rsidR="00D66BD5" w:rsidRPr="00911998">
        <w:rPr>
          <w:szCs w:val="24"/>
        </w:rPr>
        <w:t>s</w:t>
      </w:r>
      <w:r w:rsidR="008D3EA3" w:rsidRPr="00911998">
        <w:rPr>
          <w:szCs w:val="24"/>
        </w:rPr>
        <w:t xml:space="preserve"> s’impose</w:t>
      </w:r>
      <w:r w:rsidR="00D66BD5" w:rsidRPr="00911998">
        <w:rPr>
          <w:szCs w:val="24"/>
        </w:rPr>
        <w:t>nt</w:t>
      </w:r>
      <w:r w:rsidR="008D3EA3" w:rsidRPr="00911998">
        <w:rPr>
          <w:szCs w:val="24"/>
        </w:rPr>
        <w:t>.</w:t>
      </w:r>
      <w:r w:rsidR="001B5678" w:rsidRPr="00911998">
        <w:rPr>
          <w:szCs w:val="24"/>
        </w:rPr>
        <w:t xml:space="preserve"> </w:t>
      </w:r>
    </w:p>
    <w:p w14:paraId="481F18B6" w14:textId="5D8B927F" w:rsidR="00D66BD5" w:rsidRPr="00911998" w:rsidRDefault="005952CF" w:rsidP="00EF501E">
      <w:pPr>
        <w:pStyle w:val="Paragrsimple"/>
        <w:tabs>
          <w:tab w:val="clear" w:pos="360"/>
        </w:tabs>
        <w:rPr>
          <w:szCs w:val="24"/>
        </w:rPr>
      </w:pPr>
      <w:r w:rsidRPr="00911998">
        <w:rPr>
          <w:szCs w:val="24"/>
        </w:rPr>
        <w:t>D’abord</w:t>
      </w:r>
      <w:r w:rsidR="004443E3" w:rsidRPr="00911998">
        <w:rPr>
          <w:szCs w:val="24"/>
        </w:rPr>
        <w:t>, l</w:t>
      </w:r>
      <w:r w:rsidR="008D28D8" w:rsidRPr="00911998">
        <w:rPr>
          <w:szCs w:val="24"/>
        </w:rPr>
        <w:t xml:space="preserve">es Demandeurs ne </w:t>
      </w:r>
      <w:r w:rsidR="008D3EA3" w:rsidRPr="00911998">
        <w:rPr>
          <w:szCs w:val="24"/>
        </w:rPr>
        <w:t>plaiden</w:t>
      </w:r>
      <w:r w:rsidR="008D28D8" w:rsidRPr="00911998">
        <w:rPr>
          <w:szCs w:val="24"/>
        </w:rPr>
        <w:t xml:space="preserve">t pas que le Tribunal devrait reconnaître un troisième lien de filiation pour </w:t>
      </w:r>
      <w:r w:rsidR="00D7684B" w:rsidRPr="00911998">
        <w:rPr>
          <w:szCs w:val="24"/>
        </w:rPr>
        <w:t>leurs</w:t>
      </w:r>
      <w:r w:rsidR="008D28D8" w:rsidRPr="00911998">
        <w:rPr>
          <w:szCs w:val="24"/>
        </w:rPr>
        <w:t xml:space="preserve"> </w:t>
      </w:r>
      <w:r w:rsidR="00D7684B" w:rsidRPr="00911998">
        <w:rPr>
          <w:szCs w:val="24"/>
        </w:rPr>
        <w:t>e</w:t>
      </w:r>
      <w:r w:rsidR="008D28D8" w:rsidRPr="00911998">
        <w:rPr>
          <w:szCs w:val="24"/>
        </w:rPr>
        <w:t xml:space="preserve">nfants </w:t>
      </w:r>
      <w:r w:rsidR="00D66BD5" w:rsidRPr="00911998">
        <w:rPr>
          <w:szCs w:val="24"/>
        </w:rPr>
        <w:t xml:space="preserve">au </w:t>
      </w:r>
      <w:r w:rsidRPr="00911998">
        <w:rPr>
          <w:szCs w:val="24"/>
        </w:rPr>
        <w:t xml:space="preserve">simple </w:t>
      </w:r>
      <w:r w:rsidR="00D66BD5" w:rsidRPr="00911998">
        <w:rPr>
          <w:szCs w:val="24"/>
        </w:rPr>
        <w:t>motif que</w:t>
      </w:r>
      <w:r w:rsidR="008D28D8" w:rsidRPr="00911998">
        <w:rPr>
          <w:szCs w:val="24"/>
        </w:rPr>
        <w:t xml:space="preserve"> ce</w:t>
      </w:r>
      <w:r w:rsidR="002C28DF" w:rsidRPr="00911998">
        <w:rPr>
          <w:szCs w:val="24"/>
        </w:rPr>
        <w:t>la</w:t>
      </w:r>
      <w:r w:rsidR="008D28D8" w:rsidRPr="00911998">
        <w:rPr>
          <w:szCs w:val="24"/>
        </w:rPr>
        <w:t xml:space="preserve"> serait dans leur intérêt</w:t>
      </w:r>
      <w:r w:rsidR="00110F55" w:rsidRPr="00911998">
        <w:rPr>
          <w:szCs w:val="24"/>
        </w:rPr>
        <w:t>.</w:t>
      </w:r>
      <w:r w:rsidR="00D66BD5" w:rsidRPr="00911998">
        <w:rPr>
          <w:szCs w:val="24"/>
        </w:rPr>
        <w:t xml:space="preserve"> En effet, la notion de l’intérêt de l’enfant ne permet pas de passer outre les dispositions du C.c.Q. qui régissent la filiation. Comme l’explique le juge Rochon dans l’arrêt </w:t>
      </w:r>
      <w:r w:rsidR="00D66BD5" w:rsidRPr="00911998">
        <w:rPr>
          <w:i/>
          <w:iCs/>
          <w:szCs w:val="24"/>
        </w:rPr>
        <w:t>Droit de la famille – 111729</w:t>
      </w:r>
      <w:r w:rsidR="00D66BD5" w:rsidRPr="00911998">
        <w:rPr>
          <w:szCs w:val="24"/>
        </w:rPr>
        <w:t xml:space="preserve">, les règles relatives à la filiation sont </w:t>
      </w:r>
      <w:r w:rsidRPr="00911998">
        <w:rPr>
          <w:szCs w:val="24"/>
        </w:rPr>
        <w:t>elles</w:t>
      </w:r>
      <w:r w:rsidRPr="00911998">
        <w:rPr>
          <w:szCs w:val="24"/>
        </w:rPr>
        <w:noBreakHyphen/>
        <w:t xml:space="preserve">mêmes </w:t>
      </w:r>
      <w:r w:rsidR="00D66BD5" w:rsidRPr="00911998">
        <w:rPr>
          <w:szCs w:val="24"/>
        </w:rPr>
        <w:t>édictées dans l’intérêt de l’enfant</w:t>
      </w:r>
      <w:r w:rsidR="00D66BD5" w:rsidRPr="00911998">
        <w:rPr>
          <w:rStyle w:val="Appelnotedebasdep"/>
          <w:szCs w:val="24"/>
        </w:rPr>
        <w:footnoteReference w:id="75"/>
      </w:r>
      <w:r w:rsidR="00D66BD5" w:rsidRPr="00911998">
        <w:rPr>
          <w:szCs w:val="24"/>
        </w:rPr>
        <w:t> :</w:t>
      </w:r>
    </w:p>
    <w:p w14:paraId="2C8D177F" w14:textId="0E91D08C" w:rsidR="00D66BD5" w:rsidRPr="00911998" w:rsidRDefault="00D66BD5" w:rsidP="00D66BD5">
      <w:pPr>
        <w:ind w:left="567" w:right="560"/>
        <w:jc w:val="both"/>
        <w:rPr>
          <w:szCs w:val="24"/>
        </w:rPr>
      </w:pPr>
      <w:r w:rsidRPr="00911998">
        <w:rPr>
          <w:rFonts w:cs="Arial"/>
          <w:sz w:val="22"/>
          <w:szCs w:val="22"/>
        </w:rPr>
        <w:t>[28</w:t>
      </w:r>
      <w:proofErr w:type="gramStart"/>
      <w:r w:rsidRPr="00911998">
        <w:rPr>
          <w:rFonts w:cs="Arial"/>
          <w:sz w:val="22"/>
          <w:szCs w:val="22"/>
        </w:rPr>
        <w:t>]  [</w:t>
      </w:r>
      <w:proofErr w:type="gramEnd"/>
      <w:r w:rsidRPr="00911998">
        <w:rPr>
          <w:rFonts w:cs="Arial"/>
          <w:sz w:val="22"/>
          <w:szCs w:val="22"/>
        </w:rPr>
        <w:t>…] Dans l</w:t>
      </w:r>
      <w:r w:rsidR="00971129" w:rsidRPr="00911998">
        <w:rPr>
          <w:rFonts w:cs="Arial"/>
          <w:sz w:val="22"/>
          <w:szCs w:val="22"/>
        </w:rPr>
        <w:t>’</w:t>
      </w:r>
      <w:r w:rsidRPr="00911998">
        <w:rPr>
          <w:rFonts w:cs="Arial"/>
          <w:sz w:val="22"/>
          <w:szCs w:val="22"/>
        </w:rPr>
        <w:t>élaboration des règles propres à la filiation, le législateur a tenu compte de façon implicite de l</w:t>
      </w:r>
      <w:r w:rsidR="00971129" w:rsidRPr="00911998">
        <w:rPr>
          <w:rFonts w:cs="Arial"/>
          <w:sz w:val="22"/>
          <w:szCs w:val="22"/>
        </w:rPr>
        <w:t>’</w:t>
      </w:r>
      <w:r w:rsidRPr="00911998">
        <w:rPr>
          <w:rFonts w:cs="Arial"/>
          <w:sz w:val="22"/>
          <w:szCs w:val="22"/>
        </w:rPr>
        <w:t>intérêt de l</w:t>
      </w:r>
      <w:r w:rsidR="00971129" w:rsidRPr="00911998">
        <w:rPr>
          <w:rFonts w:cs="Arial"/>
          <w:sz w:val="22"/>
          <w:szCs w:val="22"/>
        </w:rPr>
        <w:t>’</w:t>
      </w:r>
      <w:r w:rsidRPr="00911998">
        <w:rPr>
          <w:rFonts w:cs="Arial"/>
          <w:sz w:val="22"/>
          <w:szCs w:val="22"/>
        </w:rPr>
        <w:t>enfant.  Que ce soit la filiation par le sang ou la filiation des enfants nés d</w:t>
      </w:r>
      <w:r w:rsidR="00971129" w:rsidRPr="00911998">
        <w:rPr>
          <w:rFonts w:cs="Arial"/>
          <w:sz w:val="22"/>
          <w:szCs w:val="22"/>
        </w:rPr>
        <w:t>’</w:t>
      </w:r>
      <w:r w:rsidRPr="00911998">
        <w:rPr>
          <w:rFonts w:cs="Arial"/>
          <w:sz w:val="22"/>
          <w:szCs w:val="22"/>
        </w:rPr>
        <w:t>une procréation assistée ou encore de la filiation adoptive, l</w:t>
      </w:r>
      <w:r w:rsidR="00971129" w:rsidRPr="00911998">
        <w:rPr>
          <w:rFonts w:cs="Arial"/>
          <w:sz w:val="22"/>
          <w:szCs w:val="22"/>
        </w:rPr>
        <w:t>’</w:t>
      </w:r>
      <w:r w:rsidRPr="00911998">
        <w:rPr>
          <w:rFonts w:cs="Arial"/>
          <w:sz w:val="22"/>
          <w:szCs w:val="22"/>
        </w:rPr>
        <w:t>intérêt de l</w:t>
      </w:r>
      <w:r w:rsidR="00971129" w:rsidRPr="00911998">
        <w:rPr>
          <w:rFonts w:cs="Arial"/>
          <w:sz w:val="22"/>
          <w:szCs w:val="22"/>
        </w:rPr>
        <w:t>’</w:t>
      </w:r>
      <w:r w:rsidRPr="00911998">
        <w:rPr>
          <w:rFonts w:cs="Arial"/>
          <w:sz w:val="22"/>
          <w:szCs w:val="22"/>
        </w:rPr>
        <w:t>enfant sous-tend, à divers degrés, les règles adoptées par le législateur.  Il serait erroné d</w:t>
      </w:r>
      <w:r w:rsidR="00971129" w:rsidRPr="00911998">
        <w:rPr>
          <w:rFonts w:cs="Arial"/>
          <w:sz w:val="22"/>
          <w:szCs w:val="22"/>
        </w:rPr>
        <w:t>’</w:t>
      </w:r>
      <w:r w:rsidRPr="00911998">
        <w:rPr>
          <w:rFonts w:cs="Arial"/>
          <w:sz w:val="22"/>
          <w:szCs w:val="22"/>
        </w:rPr>
        <w:t>y ajouter ou d</w:t>
      </w:r>
      <w:r w:rsidR="00971129" w:rsidRPr="00911998">
        <w:rPr>
          <w:rFonts w:cs="Arial"/>
          <w:sz w:val="22"/>
          <w:szCs w:val="22"/>
        </w:rPr>
        <w:t>’</w:t>
      </w:r>
      <w:r w:rsidRPr="00911998">
        <w:rPr>
          <w:rFonts w:cs="Arial"/>
          <w:sz w:val="22"/>
          <w:szCs w:val="22"/>
        </w:rPr>
        <w:t>y soustraire ou encore d</w:t>
      </w:r>
      <w:r w:rsidR="00971129" w:rsidRPr="00911998">
        <w:rPr>
          <w:rFonts w:cs="Arial"/>
          <w:sz w:val="22"/>
          <w:szCs w:val="22"/>
        </w:rPr>
        <w:t>’</w:t>
      </w:r>
      <w:r w:rsidRPr="00911998">
        <w:rPr>
          <w:rFonts w:cs="Arial"/>
          <w:sz w:val="22"/>
          <w:szCs w:val="22"/>
        </w:rPr>
        <w:t>en formuler de nouvelles de façon individualisée, et ce, au nom du principe cardinal (de l</w:t>
      </w:r>
      <w:r w:rsidR="00971129" w:rsidRPr="00911998">
        <w:rPr>
          <w:rFonts w:cs="Arial"/>
          <w:sz w:val="22"/>
          <w:szCs w:val="22"/>
        </w:rPr>
        <w:t>’</w:t>
      </w:r>
      <w:r w:rsidRPr="00911998">
        <w:rPr>
          <w:rFonts w:cs="Arial"/>
          <w:sz w:val="22"/>
          <w:szCs w:val="22"/>
        </w:rPr>
        <w:t>intérêt de l</w:t>
      </w:r>
      <w:r w:rsidR="00971129" w:rsidRPr="00911998">
        <w:rPr>
          <w:rFonts w:cs="Arial"/>
          <w:sz w:val="22"/>
          <w:szCs w:val="22"/>
        </w:rPr>
        <w:t>’</w:t>
      </w:r>
      <w:r w:rsidRPr="00911998">
        <w:rPr>
          <w:rFonts w:cs="Arial"/>
          <w:sz w:val="22"/>
          <w:szCs w:val="22"/>
        </w:rPr>
        <w:t>enfant) déjà imbriqué aux textes législatifs.</w:t>
      </w:r>
    </w:p>
    <w:p w14:paraId="75850354" w14:textId="77777777" w:rsidR="005952CF" w:rsidRPr="00911998" w:rsidRDefault="004443E3" w:rsidP="00E11B99">
      <w:pPr>
        <w:pStyle w:val="Paragrsimple"/>
        <w:tabs>
          <w:tab w:val="clear" w:pos="360"/>
        </w:tabs>
        <w:rPr>
          <w:szCs w:val="24"/>
        </w:rPr>
      </w:pPr>
      <w:r w:rsidRPr="00911998">
        <w:rPr>
          <w:szCs w:val="24"/>
        </w:rPr>
        <w:lastRenderedPageBreak/>
        <w:t>Ensuite,</w:t>
      </w:r>
      <w:r w:rsidR="007E1090" w:rsidRPr="00911998">
        <w:rPr>
          <w:szCs w:val="24"/>
        </w:rPr>
        <w:t xml:space="preserve"> il existe deux acceptions de</w:t>
      </w:r>
      <w:r w:rsidRPr="00911998">
        <w:rPr>
          <w:szCs w:val="24"/>
        </w:rPr>
        <w:t xml:space="preserve"> la notion de l’intérêt de l’enfant</w:t>
      </w:r>
      <w:r w:rsidR="007E1090" w:rsidRPr="00911998">
        <w:rPr>
          <w:szCs w:val="24"/>
        </w:rPr>
        <w:t>.</w:t>
      </w:r>
      <w:r w:rsidRPr="00911998">
        <w:rPr>
          <w:szCs w:val="24"/>
        </w:rPr>
        <w:t xml:space="preserve"> </w:t>
      </w:r>
    </w:p>
    <w:p w14:paraId="3A27DF2D" w14:textId="7FB62F03" w:rsidR="004443E3" w:rsidRPr="00911998" w:rsidRDefault="005952CF" w:rsidP="00E11B99">
      <w:pPr>
        <w:pStyle w:val="Paragrsimple"/>
        <w:tabs>
          <w:tab w:val="clear" w:pos="360"/>
        </w:tabs>
        <w:rPr>
          <w:szCs w:val="24"/>
        </w:rPr>
      </w:pPr>
      <w:r w:rsidRPr="00911998">
        <w:rPr>
          <w:szCs w:val="24"/>
        </w:rPr>
        <w:t>D’une par</w:t>
      </w:r>
      <w:r w:rsidR="007E1090" w:rsidRPr="00911998">
        <w:rPr>
          <w:szCs w:val="24"/>
        </w:rPr>
        <w:t xml:space="preserve">t, cette notion peut s’appliquer de façon individualisée à titre de guide dans la prise de toute décision concernant un enfant particulier. Il s’agit de l’acception </w:t>
      </w:r>
      <w:r w:rsidR="007E1090" w:rsidRPr="00911998">
        <w:rPr>
          <w:i/>
          <w:iCs/>
          <w:szCs w:val="24"/>
        </w:rPr>
        <w:t xml:space="preserve">in </w:t>
      </w:r>
      <w:proofErr w:type="spellStart"/>
      <w:r w:rsidR="007E1090" w:rsidRPr="00911998">
        <w:rPr>
          <w:i/>
          <w:iCs/>
          <w:szCs w:val="24"/>
        </w:rPr>
        <w:t>concreto</w:t>
      </w:r>
      <w:proofErr w:type="spellEnd"/>
      <w:r w:rsidR="007E1090" w:rsidRPr="00911998">
        <w:rPr>
          <w:i/>
          <w:iCs/>
          <w:szCs w:val="24"/>
        </w:rPr>
        <w:t xml:space="preserve"> </w:t>
      </w:r>
      <w:r w:rsidR="007E1090" w:rsidRPr="00911998">
        <w:rPr>
          <w:szCs w:val="24"/>
        </w:rPr>
        <w:t>de l’intérêt de l’enfant, appliqué</w:t>
      </w:r>
      <w:r w:rsidR="001C5CD5">
        <w:rPr>
          <w:szCs w:val="24"/>
        </w:rPr>
        <w:t>e</w:t>
      </w:r>
      <w:r w:rsidR="007E1090" w:rsidRPr="00911998">
        <w:rPr>
          <w:szCs w:val="24"/>
        </w:rPr>
        <w:t xml:space="preserve"> tous les jours par des parents</w:t>
      </w:r>
      <w:r w:rsidR="00320027" w:rsidRPr="00911998">
        <w:rPr>
          <w:szCs w:val="24"/>
        </w:rPr>
        <w:t xml:space="preserve"> ou </w:t>
      </w:r>
      <w:r w:rsidR="000D58EB" w:rsidRPr="00911998">
        <w:rPr>
          <w:szCs w:val="24"/>
        </w:rPr>
        <w:t xml:space="preserve">par </w:t>
      </w:r>
      <w:r w:rsidR="00320027" w:rsidRPr="00911998">
        <w:rPr>
          <w:szCs w:val="24"/>
        </w:rPr>
        <w:t>les instances judiciaires en cas de différend</w:t>
      </w:r>
      <w:r w:rsidRPr="00911998">
        <w:rPr>
          <w:szCs w:val="24"/>
        </w:rPr>
        <w:t xml:space="preserve"> concernant un enfant</w:t>
      </w:r>
      <w:r w:rsidR="00320027" w:rsidRPr="00911998">
        <w:rPr>
          <w:szCs w:val="24"/>
        </w:rPr>
        <w:t>. Cette conception individualisée de l’intérêt de l’enfant ne peut servir d’outil interprétatif.</w:t>
      </w:r>
    </w:p>
    <w:p w14:paraId="13BB74FC" w14:textId="5DB5E0DA" w:rsidR="00320027" w:rsidRPr="00911998" w:rsidRDefault="005952CF" w:rsidP="00320027">
      <w:pPr>
        <w:pStyle w:val="Paragrsimple"/>
        <w:tabs>
          <w:tab w:val="clear" w:pos="360"/>
        </w:tabs>
      </w:pPr>
      <w:r w:rsidRPr="00911998">
        <w:t>D’autre par</w:t>
      </w:r>
      <w:r w:rsidR="00320027" w:rsidRPr="00911998">
        <w:t xml:space="preserve">t, l’intérêt de l’enfant peut également être une notion </w:t>
      </w:r>
      <w:r w:rsidR="00320027" w:rsidRPr="00911998">
        <w:rPr>
          <w:szCs w:val="24"/>
        </w:rPr>
        <w:t>générale et abstraite (</w:t>
      </w:r>
      <w:r w:rsidR="00320027" w:rsidRPr="00911998">
        <w:rPr>
          <w:i/>
          <w:iCs/>
          <w:szCs w:val="24"/>
        </w:rPr>
        <w:t>in abstracto</w:t>
      </w:r>
      <w:r w:rsidR="00320027" w:rsidRPr="00911998">
        <w:rPr>
          <w:szCs w:val="24"/>
        </w:rPr>
        <w:t xml:space="preserve">), </w:t>
      </w:r>
      <w:r w:rsidR="00F542EE" w:rsidRPr="00911998">
        <w:rPr>
          <w:szCs w:val="24"/>
        </w:rPr>
        <w:t>à savoir</w:t>
      </w:r>
      <w:r w:rsidR="00320027" w:rsidRPr="00911998">
        <w:rPr>
          <w:szCs w:val="24"/>
        </w:rPr>
        <w:t xml:space="preserve"> l’intérêt «</w:t>
      </w:r>
      <w:r w:rsidR="0048708A" w:rsidRPr="00911998">
        <w:rPr>
          <w:szCs w:val="24"/>
        </w:rPr>
        <w:t> </w:t>
      </w:r>
      <w:r w:rsidR="00320027" w:rsidRPr="00911998">
        <w:rPr>
          <w:szCs w:val="24"/>
        </w:rPr>
        <w:t>qui oriente les décisions législatives générales concernant les enfants en tant que groupe de personnes spécifiques (la communauté des enfants)</w:t>
      </w:r>
      <w:r w:rsidR="0048708A" w:rsidRPr="00911998">
        <w:rPr>
          <w:szCs w:val="24"/>
        </w:rPr>
        <w:t> </w:t>
      </w:r>
      <w:r w:rsidR="00320027" w:rsidRPr="00911998">
        <w:rPr>
          <w:szCs w:val="24"/>
        </w:rPr>
        <w:t>»</w:t>
      </w:r>
      <w:r w:rsidR="00320027" w:rsidRPr="00911998">
        <w:rPr>
          <w:rStyle w:val="Appelnotedebasdep"/>
          <w:szCs w:val="24"/>
        </w:rPr>
        <w:footnoteReference w:id="76"/>
      </w:r>
      <w:r w:rsidR="00320027" w:rsidRPr="00911998">
        <w:rPr>
          <w:szCs w:val="24"/>
        </w:rPr>
        <w:t>. </w:t>
      </w:r>
    </w:p>
    <w:p w14:paraId="67345C57" w14:textId="1FEC57BF" w:rsidR="003768B2" w:rsidRPr="00911998" w:rsidRDefault="005952CF" w:rsidP="00095A98">
      <w:pPr>
        <w:pStyle w:val="Paragrsimple"/>
        <w:tabs>
          <w:tab w:val="clear" w:pos="360"/>
        </w:tabs>
        <w:rPr>
          <w:szCs w:val="24"/>
        </w:rPr>
      </w:pPr>
      <w:r w:rsidRPr="00911998">
        <w:rPr>
          <w:szCs w:val="24"/>
        </w:rPr>
        <w:t>C</w:t>
      </w:r>
      <w:r w:rsidR="003768B2" w:rsidRPr="00911998">
        <w:rPr>
          <w:szCs w:val="24"/>
        </w:rPr>
        <w:t>ette notion abstraite de l’intérêt de l’enfant peut bien servir d’outil interprétatif en cas d’ambiguïté</w:t>
      </w:r>
      <w:r w:rsidR="003768B2" w:rsidRPr="00911998">
        <w:rPr>
          <w:rStyle w:val="Appelnotedebasdep"/>
          <w:szCs w:val="24"/>
        </w:rPr>
        <w:footnoteReference w:id="77"/>
      </w:r>
      <w:r w:rsidR="003768B2" w:rsidRPr="00911998">
        <w:rPr>
          <w:szCs w:val="24"/>
        </w:rPr>
        <w:t xml:space="preserve">. </w:t>
      </w:r>
      <w:r w:rsidR="002936EF" w:rsidRPr="00911998">
        <w:rPr>
          <w:szCs w:val="24"/>
        </w:rPr>
        <w:t>En effet, la protection de l’intérêt de l’enfant</w:t>
      </w:r>
      <w:r w:rsidR="00622372" w:rsidRPr="00911998">
        <w:rPr>
          <w:szCs w:val="24"/>
        </w:rPr>
        <w:t xml:space="preserve"> est un des grands objectifs des dispositions régissant la filiation. Face à une véritable ambiguïté dans</w:t>
      </w:r>
      <w:r w:rsidRPr="00911998">
        <w:rPr>
          <w:szCs w:val="24"/>
        </w:rPr>
        <w:t xml:space="preserve"> le sens de</w:t>
      </w:r>
      <w:r w:rsidR="00622372" w:rsidRPr="00911998">
        <w:rPr>
          <w:szCs w:val="24"/>
        </w:rPr>
        <w:t xml:space="preserve"> celles</w:t>
      </w:r>
      <w:r w:rsidR="00622372" w:rsidRPr="00911998">
        <w:rPr>
          <w:szCs w:val="24"/>
        </w:rPr>
        <w:noBreakHyphen/>
        <w:t xml:space="preserve">ci, il conviendrait de retenir l’interprétation qui favorise l’intérêt de </w:t>
      </w:r>
      <w:r w:rsidR="00426870" w:rsidRPr="00911998">
        <w:rPr>
          <w:szCs w:val="24"/>
        </w:rPr>
        <w:t>l’</w:t>
      </w:r>
      <w:r w:rsidR="00622372" w:rsidRPr="00911998">
        <w:rPr>
          <w:szCs w:val="24"/>
        </w:rPr>
        <w:t>enfant</w:t>
      </w:r>
      <w:r w:rsidR="00426870" w:rsidRPr="00911998">
        <w:rPr>
          <w:szCs w:val="24"/>
        </w:rPr>
        <w:t xml:space="preserve"> dans le sens abstrait,</w:t>
      </w:r>
      <w:r w:rsidR="00622372" w:rsidRPr="00911998">
        <w:rPr>
          <w:szCs w:val="24"/>
        </w:rPr>
        <w:t xml:space="preserve"> puisqu’</w:t>
      </w:r>
      <w:r w:rsidR="00426870" w:rsidRPr="00911998">
        <w:rPr>
          <w:szCs w:val="24"/>
        </w:rPr>
        <w:t>une telle interprétation</w:t>
      </w:r>
      <w:r w:rsidR="00622372" w:rsidRPr="00911998">
        <w:rPr>
          <w:szCs w:val="24"/>
        </w:rPr>
        <w:t xml:space="preserve"> est présumée</w:t>
      </w:r>
      <w:r w:rsidR="00426870" w:rsidRPr="00911998">
        <w:rPr>
          <w:szCs w:val="24"/>
        </w:rPr>
        <w:t xml:space="preserve"> correspondre à l’intention du législateur. De même, la présomption de conformité avec les obligations internationales du Canada pourrait aussi </w:t>
      </w:r>
      <w:r w:rsidR="0048708A" w:rsidRPr="00911998">
        <w:rPr>
          <w:szCs w:val="24"/>
        </w:rPr>
        <w:t>—</w:t>
      </w:r>
      <w:r w:rsidR="00426870" w:rsidRPr="00911998">
        <w:rPr>
          <w:szCs w:val="24"/>
        </w:rPr>
        <w:t xml:space="preserve"> toujours en cas d’ambiguïté législative </w:t>
      </w:r>
      <w:r w:rsidR="0048708A" w:rsidRPr="00911998">
        <w:rPr>
          <w:szCs w:val="24"/>
        </w:rPr>
        <w:t>—</w:t>
      </w:r>
      <w:r w:rsidR="00426870" w:rsidRPr="00911998">
        <w:rPr>
          <w:szCs w:val="24"/>
        </w:rPr>
        <w:t xml:space="preserve"> justifier le recours au principe de l’intérêt de l’enfant comme outil interprétatif</w:t>
      </w:r>
      <w:r w:rsidR="00426870" w:rsidRPr="00911998">
        <w:rPr>
          <w:rStyle w:val="Appelnotedebasdep"/>
          <w:szCs w:val="24"/>
        </w:rPr>
        <w:footnoteReference w:id="78"/>
      </w:r>
      <w:r w:rsidR="00426870" w:rsidRPr="00911998">
        <w:rPr>
          <w:szCs w:val="24"/>
        </w:rPr>
        <w:t>.</w:t>
      </w:r>
    </w:p>
    <w:p w14:paraId="3708BFE4" w14:textId="4BA32680" w:rsidR="00AD4753" w:rsidRPr="00911998" w:rsidRDefault="00AD4753" w:rsidP="00AD4753">
      <w:pPr>
        <w:pStyle w:val="Paragrsimple"/>
        <w:tabs>
          <w:tab w:val="clear" w:pos="360"/>
        </w:tabs>
      </w:pPr>
      <w:r w:rsidRPr="00911998">
        <w:t>Cela dit</w:t>
      </w:r>
      <w:r w:rsidR="00A06C39" w:rsidRPr="00911998">
        <w:t xml:space="preserve"> et</w:t>
      </w:r>
      <w:r w:rsidRPr="00911998">
        <w:t xml:space="preserve"> comme mentionné</w:t>
      </w:r>
      <w:r w:rsidR="00A06C39" w:rsidRPr="00911998">
        <w:t>,</w:t>
      </w:r>
      <w:r w:rsidRPr="00911998">
        <w:t xml:space="preserve"> une analyse contextuelle des dispositions du C.c.Q. qui régissent la filiation ne révèle aucune ambiguïté en ce qui </w:t>
      </w:r>
      <w:r w:rsidR="005952CF" w:rsidRPr="00911998">
        <w:t>a trait à</w:t>
      </w:r>
      <w:r w:rsidRPr="00911998">
        <w:t xml:space="preserve"> </w:t>
      </w:r>
      <w:r w:rsidR="00A06C39" w:rsidRPr="00911998">
        <w:t>l’existence</w:t>
      </w:r>
      <w:r w:rsidRPr="00911998">
        <w:t xml:space="preserve"> en droit positif québécois de plus de deux liens de filiation. </w:t>
      </w:r>
      <w:r w:rsidR="00A06C39" w:rsidRPr="00911998">
        <w:t>Dans les circonstances, l’on ne peut recourir à l’intérêt de l’enfant à titre de présomption ou d’outil interprétatif. En réalité, l’argument fondé sur l’intérêt de l’enfant invite</w:t>
      </w:r>
      <w:r w:rsidR="0048708A" w:rsidRPr="00911998">
        <w:t xml:space="preserve"> le</w:t>
      </w:r>
      <w:r w:rsidR="00A06C39" w:rsidRPr="00911998">
        <w:t xml:space="preserve"> Tribunal</w:t>
      </w:r>
      <w:r w:rsidR="003461E9" w:rsidRPr="00911998">
        <w:t>, en guise d’interprétation,</w:t>
      </w:r>
      <w:r w:rsidR="00A06C39" w:rsidRPr="00911998">
        <w:t xml:space="preserve"> </w:t>
      </w:r>
      <w:r w:rsidR="002C28DF" w:rsidRPr="00911998">
        <w:t xml:space="preserve">à </w:t>
      </w:r>
      <w:r w:rsidR="00A06C39" w:rsidRPr="00911998">
        <w:t>créer un lien de filiation additionnel à la place du législateur, ce qu’il ne saurait faire.</w:t>
      </w:r>
    </w:p>
    <w:p w14:paraId="37084B6A" w14:textId="48EEF01C" w:rsidR="008E7601" w:rsidRPr="00911998" w:rsidRDefault="008E7601" w:rsidP="008E7601">
      <w:pPr>
        <w:pStyle w:val="Paragrsimple"/>
        <w:tabs>
          <w:tab w:val="clear" w:pos="360"/>
        </w:tabs>
      </w:pPr>
      <w:r w:rsidRPr="00911998">
        <w:t xml:space="preserve">En définitive, les arguments des Demandeurs voulant que le C.c.Q. </w:t>
      </w:r>
      <w:r w:rsidR="0048708A" w:rsidRPr="00911998">
        <w:t>puisse</w:t>
      </w:r>
      <w:r w:rsidRPr="00911998">
        <w:t xml:space="preserve"> et </w:t>
      </w:r>
      <w:r w:rsidR="0048708A" w:rsidRPr="00911998">
        <w:t>doive</w:t>
      </w:r>
      <w:r w:rsidRPr="00911998">
        <w:t xml:space="preserve"> être interprété comme </w:t>
      </w:r>
      <w:r w:rsidR="003461E9" w:rsidRPr="00911998">
        <w:t xml:space="preserve">donnant ouverture à </w:t>
      </w:r>
      <w:r w:rsidRPr="00911998">
        <w:t>plus de deux liens de filiation doivent échouer. Qu’en est</w:t>
      </w:r>
      <w:r w:rsidRPr="00911998">
        <w:noBreakHyphen/>
        <w:t xml:space="preserve">il toutefois de leurs moyens fondés sur la </w:t>
      </w:r>
      <w:r w:rsidRPr="00911998">
        <w:rPr>
          <w:i/>
          <w:iCs/>
        </w:rPr>
        <w:t xml:space="preserve">Charte canadienne </w:t>
      </w:r>
      <w:r w:rsidRPr="00911998">
        <w:t xml:space="preserve">et la </w:t>
      </w:r>
      <w:r w:rsidRPr="00911998">
        <w:rPr>
          <w:i/>
          <w:iCs/>
        </w:rPr>
        <w:t>Charte québécoise</w:t>
      </w:r>
      <w:r w:rsidR="0048708A" w:rsidRPr="00911998">
        <w:rPr>
          <w:i/>
          <w:iCs/>
        </w:rPr>
        <w:t> </w:t>
      </w:r>
      <w:r w:rsidRPr="00911998">
        <w:t>?</w:t>
      </w:r>
    </w:p>
    <w:p w14:paraId="4C980BDD" w14:textId="3C0794B1" w:rsidR="00BC7C3A" w:rsidRPr="00911998" w:rsidRDefault="008E7601" w:rsidP="000F6BA9">
      <w:pPr>
        <w:pStyle w:val="Titre2"/>
        <w:numPr>
          <w:ilvl w:val="0"/>
          <w:numId w:val="16"/>
        </w:numPr>
      </w:pPr>
      <w:bookmarkStart w:id="44" w:name="_Toc196463727"/>
      <w:r w:rsidRPr="00911998">
        <w:rPr>
          <w:szCs w:val="24"/>
        </w:rPr>
        <w:lastRenderedPageBreak/>
        <w:t>Les moyens constitutionnels et quasi</w:t>
      </w:r>
      <w:r w:rsidRPr="00911998">
        <w:rPr>
          <w:szCs w:val="24"/>
        </w:rPr>
        <w:noBreakHyphen/>
        <w:t>constitutionnels</w:t>
      </w:r>
      <w:bookmarkEnd w:id="44"/>
    </w:p>
    <w:p w14:paraId="7C567B22" w14:textId="373B461C" w:rsidR="00C12E6D" w:rsidRPr="00911998" w:rsidRDefault="00587593" w:rsidP="008E7601">
      <w:pPr>
        <w:pStyle w:val="Paragrsimple"/>
        <w:tabs>
          <w:tab w:val="clear" w:pos="360"/>
        </w:tabs>
        <w:rPr>
          <w:rFonts w:cs="Arial"/>
          <w:szCs w:val="24"/>
        </w:rPr>
      </w:pPr>
      <w:r w:rsidRPr="00911998">
        <w:t>Dans la mesure o</w:t>
      </w:r>
      <w:r w:rsidRPr="00911998">
        <w:rPr>
          <w:rFonts w:cs="Arial"/>
        </w:rPr>
        <w:t>ù</w:t>
      </w:r>
      <w:r w:rsidRPr="00911998">
        <w:t xml:space="preserve"> le C.c.Q. li</w:t>
      </w:r>
      <w:r w:rsidR="00C12E6D" w:rsidRPr="00911998">
        <w:t>m</w:t>
      </w:r>
      <w:r w:rsidRPr="00911998">
        <w:t>ite la</w:t>
      </w:r>
      <w:r w:rsidR="00C12E6D" w:rsidRPr="00911998">
        <w:t xml:space="preserve"> filiation à deux parents, l</w:t>
      </w:r>
      <w:r w:rsidRPr="00911998">
        <w:t xml:space="preserve">es Demandeurs </w:t>
      </w:r>
      <w:r w:rsidR="00C12E6D" w:rsidRPr="00911998">
        <w:t xml:space="preserve">contestent la validité de cette limite. Ils invoquent à ce titre des moyens constitutionnels et </w:t>
      </w:r>
      <w:r w:rsidR="00C12E6D" w:rsidRPr="00911998">
        <w:rPr>
          <w:rFonts w:cs="Arial"/>
          <w:szCs w:val="24"/>
        </w:rPr>
        <w:t>quasi-constitutionnels fondés</w:t>
      </w:r>
      <w:r w:rsidR="00AA5672" w:rsidRPr="00911998">
        <w:rPr>
          <w:rFonts w:cs="Arial"/>
          <w:szCs w:val="24"/>
        </w:rPr>
        <w:t xml:space="preserve"> sur la</w:t>
      </w:r>
      <w:r w:rsidR="00C12E6D" w:rsidRPr="00911998">
        <w:rPr>
          <w:rFonts w:cs="Arial"/>
          <w:szCs w:val="24"/>
        </w:rPr>
        <w:t xml:space="preserve"> </w:t>
      </w:r>
      <w:r w:rsidR="00C12E6D" w:rsidRPr="00911998">
        <w:rPr>
          <w:rFonts w:cs="Arial"/>
          <w:i/>
          <w:iCs/>
          <w:szCs w:val="24"/>
        </w:rPr>
        <w:t xml:space="preserve">Charte canadienne </w:t>
      </w:r>
      <w:r w:rsidR="00AA5672" w:rsidRPr="00911998">
        <w:rPr>
          <w:rFonts w:cs="Arial"/>
          <w:szCs w:val="24"/>
        </w:rPr>
        <w:t>ainsi</w:t>
      </w:r>
      <w:r w:rsidR="00C12E6D" w:rsidRPr="00911998">
        <w:rPr>
          <w:rFonts w:cs="Arial"/>
          <w:szCs w:val="24"/>
        </w:rPr>
        <w:t xml:space="preserve"> que </w:t>
      </w:r>
      <w:r w:rsidR="00AA5672" w:rsidRPr="00911998">
        <w:rPr>
          <w:rFonts w:cs="Arial"/>
          <w:szCs w:val="24"/>
        </w:rPr>
        <w:t xml:space="preserve">sur </w:t>
      </w:r>
      <w:r w:rsidR="00C12E6D" w:rsidRPr="00911998">
        <w:rPr>
          <w:rFonts w:cs="Arial"/>
          <w:szCs w:val="24"/>
        </w:rPr>
        <w:t xml:space="preserve">la </w:t>
      </w:r>
      <w:r w:rsidR="00C12E6D" w:rsidRPr="00911998">
        <w:rPr>
          <w:rFonts w:cs="Arial"/>
          <w:i/>
          <w:iCs/>
          <w:szCs w:val="24"/>
        </w:rPr>
        <w:t>Charte québécoise</w:t>
      </w:r>
      <w:r w:rsidR="00C12E6D" w:rsidRPr="00911998">
        <w:rPr>
          <w:rFonts w:cs="Arial"/>
          <w:szCs w:val="24"/>
        </w:rPr>
        <w:t>.</w:t>
      </w:r>
    </w:p>
    <w:p w14:paraId="6884FA27" w14:textId="3A45DA1C" w:rsidR="00ED1160" w:rsidRPr="00911998" w:rsidRDefault="00C12E6D" w:rsidP="00701AE8">
      <w:pPr>
        <w:pStyle w:val="Paragrsimple"/>
        <w:tabs>
          <w:tab w:val="clear" w:pos="360"/>
        </w:tabs>
        <w:rPr>
          <w:rFonts w:cs="Arial"/>
          <w:szCs w:val="24"/>
        </w:rPr>
      </w:pPr>
      <w:r w:rsidRPr="00911998">
        <w:rPr>
          <w:rFonts w:cs="Arial"/>
          <w:szCs w:val="24"/>
        </w:rPr>
        <w:t xml:space="preserve">Le Tribunal abordera chacun des moyens </w:t>
      </w:r>
      <w:r w:rsidR="00701AE8" w:rsidRPr="00911998">
        <w:rPr>
          <w:rFonts w:cs="Arial"/>
          <w:szCs w:val="24"/>
        </w:rPr>
        <w:t xml:space="preserve">invoqués par les Demandeurs </w:t>
      </w:r>
      <w:r w:rsidRPr="00911998">
        <w:rPr>
          <w:rFonts w:cs="Arial"/>
          <w:szCs w:val="24"/>
        </w:rPr>
        <w:t>dans l’ordre qui suit :</w:t>
      </w:r>
      <w:r w:rsidR="00701AE8" w:rsidRPr="00911998">
        <w:rPr>
          <w:rFonts w:cs="Arial"/>
          <w:szCs w:val="24"/>
        </w:rPr>
        <w:t xml:space="preserve"> 1) </w:t>
      </w:r>
      <w:r w:rsidR="00E0568B" w:rsidRPr="00911998">
        <w:rPr>
          <w:rFonts w:cs="Arial"/>
          <w:szCs w:val="24"/>
        </w:rPr>
        <w:t xml:space="preserve">le droit à la sécurité de la personne, à l’intégrité et à la liberté, 2) </w:t>
      </w:r>
      <w:r w:rsidR="00701AE8" w:rsidRPr="00911998">
        <w:rPr>
          <w:rFonts w:cs="Arial"/>
          <w:szCs w:val="24"/>
        </w:rPr>
        <w:t>le droit à la</w:t>
      </w:r>
      <w:r w:rsidR="00A1386A" w:rsidRPr="00911998">
        <w:rPr>
          <w:rFonts w:cs="Arial"/>
          <w:szCs w:val="24"/>
        </w:rPr>
        <w:t xml:space="preserve"> sauvegarde de la</w:t>
      </w:r>
      <w:r w:rsidR="00701AE8" w:rsidRPr="00911998">
        <w:rPr>
          <w:rFonts w:cs="Arial"/>
          <w:szCs w:val="24"/>
        </w:rPr>
        <w:t xml:space="preserve"> dignité, </w:t>
      </w:r>
      <w:r w:rsidR="00E0568B" w:rsidRPr="00911998">
        <w:rPr>
          <w:rFonts w:cs="Arial"/>
          <w:szCs w:val="24"/>
        </w:rPr>
        <w:t>3</w:t>
      </w:r>
      <w:r w:rsidR="00701AE8" w:rsidRPr="00911998">
        <w:rPr>
          <w:rFonts w:cs="Arial"/>
          <w:szCs w:val="24"/>
        </w:rPr>
        <w:t xml:space="preserve">) le droit à la vie privée, 4) le droit à l’égalité en vertu de l’article 15 de la </w:t>
      </w:r>
      <w:r w:rsidR="00701AE8" w:rsidRPr="00911998">
        <w:rPr>
          <w:rFonts w:cs="Arial"/>
          <w:i/>
          <w:iCs/>
          <w:szCs w:val="24"/>
        </w:rPr>
        <w:t>Charte canadienne</w:t>
      </w:r>
      <w:r w:rsidR="00701AE8" w:rsidRPr="00911998">
        <w:rPr>
          <w:rFonts w:cs="Arial"/>
          <w:szCs w:val="24"/>
        </w:rPr>
        <w:t>,</w:t>
      </w:r>
      <w:r w:rsidR="001C5CD5">
        <w:rPr>
          <w:rFonts w:cs="Arial"/>
          <w:szCs w:val="24"/>
        </w:rPr>
        <w:t xml:space="preserve"> et</w:t>
      </w:r>
      <w:r w:rsidR="00701AE8" w:rsidRPr="00911998">
        <w:rPr>
          <w:rFonts w:cs="Arial"/>
          <w:szCs w:val="24"/>
        </w:rPr>
        <w:t xml:space="preserve"> 5) le droit à l’égalité en vertu de l’article 10 de la </w:t>
      </w:r>
      <w:r w:rsidR="00701AE8" w:rsidRPr="00911998">
        <w:rPr>
          <w:rFonts w:cs="Arial"/>
          <w:i/>
          <w:iCs/>
          <w:szCs w:val="24"/>
        </w:rPr>
        <w:t>Charte québécoise</w:t>
      </w:r>
      <w:r w:rsidR="00701AE8" w:rsidRPr="00911998">
        <w:rPr>
          <w:rFonts w:cs="Arial"/>
          <w:szCs w:val="24"/>
        </w:rPr>
        <w:t>.</w:t>
      </w:r>
      <w:r w:rsidRPr="00911998">
        <w:rPr>
          <w:rFonts w:cs="Arial"/>
          <w:szCs w:val="24"/>
        </w:rPr>
        <w:t xml:space="preserve">  </w:t>
      </w:r>
    </w:p>
    <w:p w14:paraId="761C7E93" w14:textId="48444008" w:rsidR="006B2574" w:rsidRPr="00911998" w:rsidRDefault="00562FCD" w:rsidP="00562FCD">
      <w:pPr>
        <w:pStyle w:val="Titre3"/>
      </w:pPr>
      <w:bookmarkStart w:id="45" w:name="_Toc196463728"/>
      <w:r w:rsidRPr="00911998">
        <w:t>Les droits à la sécurité de la personne</w:t>
      </w:r>
      <w:r w:rsidR="001C5CD5">
        <w:t>,</w:t>
      </w:r>
      <w:r w:rsidRPr="00911998">
        <w:t xml:space="preserve"> à l’intégrité</w:t>
      </w:r>
      <w:r w:rsidR="001C5CD5">
        <w:t xml:space="preserve"> et </w:t>
      </w:r>
      <w:r w:rsidR="001C5CD5" w:rsidRPr="00911998">
        <w:t>à la liberté</w:t>
      </w:r>
      <w:bookmarkEnd w:id="45"/>
    </w:p>
    <w:p w14:paraId="0FF0F779" w14:textId="5C4ACB53" w:rsidR="00272654" w:rsidRPr="00911998" w:rsidRDefault="00562FCD" w:rsidP="00562FCD">
      <w:pPr>
        <w:pStyle w:val="Paragrsimple"/>
        <w:tabs>
          <w:tab w:val="clear" w:pos="360"/>
        </w:tabs>
        <w:rPr>
          <w:sz w:val="22"/>
          <w:szCs w:val="22"/>
        </w:rPr>
      </w:pPr>
      <w:r w:rsidRPr="00911998">
        <w:t xml:space="preserve">Les Demandeurs plaident que la limite à deux liens de filiation porte atteinte aux droits protégés par l’article 7 de la </w:t>
      </w:r>
      <w:r w:rsidRPr="00911998">
        <w:rPr>
          <w:i/>
          <w:iCs/>
        </w:rPr>
        <w:t xml:space="preserve">Charte canadienne </w:t>
      </w:r>
      <w:r w:rsidRPr="00911998">
        <w:t>et</w:t>
      </w:r>
      <w:r w:rsidR="00272654" w:rsidRPr="00911998">
        <w:t xml:space="preserve"> par</w:t>
      </w:r>
      <w:r w:rsidRPr="00911998">
        <w:t xml:space="preserve"> l’article 1 de la </w:t>
      </w:r>
      <w:r w:rsidRPr="00911998">
        <w:rPr>
          <w:i/>
          <w:iCs/>
        </w:rPr>
        <w:t>Charte québécoise</w:t>
      </w:r>
      <w:r w:rsidR="00C718B0" w:rsidRPr="00911998">
        <w:t xml:space="preserve">. </w:t>
      </w:r>
      <w:r w:rsidR="00F2269B" w:rsidRPr="00911998">
        <w:t>Ils</w:t>
      </w:r>
      <w:r w:rsidR="00C718B0" w:rsidRPr="00911998">
        <w:t xml:space="preserve"> soutiennent </w:t>
      </w:r>
      <w:r w:rsidR="00F2269B" w:rsidRPr="00911998">
        <w:t xml:space="preserve">tous </w:t>
      </w:r>
      <w:r w:rsidR="00C718B0" w:rsidRPr="00911998">
        <w:t>que cette limite met en cause la sécurité de la personne ainsi que le droit à l’intégrité</w:t>
      </w:r>
      <w:r w:rsidR="00272654" w:rsidRPr="00911998">
        <w:t xml:space="preserve">. Les Demandeurs dans le </w:t>
      </w:r>
      <w:r w:rsidR="008F5FBC" w:rsidRPr="00911998">
        <w:t>Dossier de la Coalition</w:t>
      </w:r>
      <w:r w:rsidR="00272654" w:rsidRPr="00911998">
        <w:t xml:space="preserve"> ajoutent que le droit à la liberté est également en cause.</w:t>
      </w:r>
    </w:p>
    <w:p w14:paraId="4B653278" w14:textId="18F2E5AC" w:rsidR="00562FCD" w:rsidRPr="00911998" w:rsidRDefault="00272654" w:rsidP="00562FCD">
      <w:pPr>
        <w:pStyle w:val="Paragrsimple"/>
        <w:tabs>
          <w:tab w:val="clear" w:pos="360"/>
        </w:tabs>
        <w:rPr>
          <w:sz w:val="22"/>
          <w:szCs w:val="22"/>
        </w:rPr>
      </w:pPr>
      <w:r w:rsidRPr="00911998">
        <w:t xml:space="preserve">Les dispositions pertinentes </w:t>
      </w:r>
      <w:r w:rsidR="00F04374" w:rsidRPr="00911998">
        <w:t>de</w:t>
      </w:r>
      <w:r w:rsidR="00F2269B" w:rsidRPr="00911998">
        <w:t>s</w:t>
      </w:r>
      <w:r w:rsidR="00F04374" w:rsidRPr="00911998">
        <w:t xml:space="preserve"> </w:t>
      </w:r>
      <w:r w:rsidR="00F04374" w:rsidRPr="00911998">
        <w:rPr>
          <w:i/>
          <w:iCs/>
        </w:rPr>
        <w:t xml:space="preserve">Chartes </w:t>
      </w:r>
      <w:r w:rsidRPr="00911998">
        <w:t>se lisent ainsi :</w:t>
      </w:r>
    </w:p>
    <w:tbl>
      <w:tblPr>
        <w:tblStyle w:val="Grilledutableau"/>
        <w:tblW w:w="0" w:type="auto"/>
        <w:tblInd w:w="279" w:type="dxa"/>
        <w:tblLook w:val="04A0" w:firstRow="1" w:lastRow="0" w:firstColumn="1" w:lastColumn="0" w:noHBand="0" w:noVBand="1"/>
      </w:tblPr>
      <w:tblGrid>
        <w:gridCol w:w="4394"/>
        <w:gridCol w:w="4536"/>
      </w:tblGrid>
      <w:tr w:rsidR="000E19AB" w:rsidRPr="00153EC1" w14:paraId="14BE4FA0" w14:textId="77777777" w:rsidTr="00563F40">
        <w:tc>
          <w:tcPr>
            <w:tcW w:w="4394" w:type="dxa"/>
          </w:tcPr>
          <w:p w14:paraId="1935E254" w14:textId="2B5B0205" w:rsidR="00562FCD" w:rsidRPr="00911998" w:rsidRDefault="00562FCD" w:rsidP="00563F40">
            <w:pPr>
              <w:pStyle w:val="Paragrsimple"/>
              <w:numPr>
                <w:ilvl w:val="0"/>
                <w:numId w:val="0"/>
              </w:numPr>
              <w:rPr>
                <w:rFonts w:cs="Arial"/>
                <w:b/>
                <w:bCs/>
                <w:i/>
                <w:iCs/>
                <w:sz w:val="22"/>
                <w:szCs w:val="22"/>
              </w:rPr>
            </w:pPr>
            <w:r w:rsidRPr="00911998">
              <w:rPr>
                <w:rFonts w:cs="Arial"/>
                <w:b/>
                <w:bCs/>
                <w:i/>
                <w:iCs/>
                <w:sz w:val="22"/>
                <w:szCs w:val="22"/>
              </w:rPr>
              <w:t>Charte canadienne</w:t>
            </w:r>
          </w:p>
          <w:p w14:paraId="205D1F67" w14:textId="7E16F50C" w:rsidR="00562FCD" w:rsidRPr="00911998" w:rsidRDefault="00562FCD" w:rsidP="00563F40">
            <w:pPr>
              <w:pStyle w:val="Paragrsimple"/>
              <w:numPr>
                <w:ilvl w:val="0"/>
                <w:numId w:val="0"/>
              </w:numPr>
              <w:rPr>
                <w:rFonts w:cs="Arial"/>
                <w:sz w:val="22"/>
                <w:szCs w:val="22"/>
              </w:rPr>
            </w:pPr>
            <w:r w:rsidRPr="00911998">
              <w:rPr>
                <w:rFonts w:cs="Arial"/>
                <w:b/>
                <w:bCs/>
                <w:sz w:val="22"/>
                <w:szCs w:val="22"/>
              </w:rPr>
              <w:t>7.</w:t>
            </w:r>
            <w:r w:rsidRPr="00911998">
              <w:rPr>
                <w:rFonts w:cs="Arial"/>
                <w:sz w:val="22"/>
                <w:szCs w:val="22"/>
              </w:rPr>
              <w:t>  Chacun a droit à la vie, à la liberté et à la sécurité de sa personne; il ne peut être porté atteinte à ce droit qu’en conformité avec les principes de justice fondamentale.</w:t>
            </w:r>
          </w:p>
          <w:p w14:paraId="2E2953B4" w14:textId="77777777" w:rsidR="00562FCD" w:rsidRPr="00911998" w:rsidRDefault="00562FCD" w:rsidP="00562FCD">
            <w:pPr>
              <w:pStyle w:val="Paragrsimple"/>
              <w:numPr>
                <w:ilvl w:val="0"/>
                <w:numId w:val="0"/>
              </w:numPr>
              <w:rPr>
                <w:rFonts w:cs="Arial"/>
                <w:sz w:val="22"/>
                <w:szCs w:val="22"/>
              </w:rPr>
            </w:pPr>
            <w:r w:rsidRPr="00911998">
              <w:rPr>
                <w:rFonts w:cs="Arial"/>
                <w:b/>
                <w:bCs/>
                <w:i/>
                <w:iCs/>
                <w:sz w:val="22"/>
                <w:szCs w:val="22"/>
              </w:rPr>
              <w:t>Charte québécoise</w:t>
            </w:r>
          </w:p>
          <w:p w14:paraId="4C4A6DE9" w14:textId="77777777" w:rsidR="00C265FB" w:rsidRPr="00911998" w:rsidRDefault="00562FCD" w:rsidP="00C265FB">
            <w:pPr>
              <w:pStyle w:val="Paragrsimple"/>
              <w:numPr>
                <w:ilvl w:val="0"/>
                <w:numId w:val="0"/>
              </w:numPr>
              <w:rPr>
                <w:rFonts w:cs="Arial"/>
                <w:sz w:val="22"/>
                <w:szCs w:val="22"/>
                <w:lang w:eastAsia="fr-CA"/>
              </w:rPr>
            </w:pPr>
            <w:r w:rsidRPr="00911998">
              <w:rPr>
                <w:rFonts w:cs="Arial"/>
                <w:b/>
                <w:bCs/>
                <w:sz w:val="22"/>
                <w:szCs w:val="22"/>
              </w:rPr>
              <w:t>1.  </w:t>
            </w:r>
            <w:r w:rsidR="00C265FB" w:rsidRPr="00911998">
              <w:rPr>
                <w:rFonts w:cs="Arial"/>
                <w:sz w:val="22"/>
                <w:szCs w:val="22"/>
                <w:lang w:eastAsia="fr-CA"/>
              </w:rPr>
              <w:t xml:space="preserve">Tout être humain a droit à la vie, ainsi qu’à la </w:t>
            </w:r>
            <w:r w:rsidR="00C265FB" w:rsidRPr="00911998">
              <w:rPr>
                <w:rFonts w:cs="Arial"/>
                <w:sz w:val="22"/>
                <w:szCs w:val="22"/>
              </w:rPr>
              <w:t>sûreté</w:t>
            </w:r>
            <w:r w:rsidR="00C265FB" w:rsidRPr="00911998">
              <w:rPr>
                <w:rFonts w:cs="Arial"/>
                <w:sz w:val="22"/>
                <w:szCs w:val="22"/>
                <w:lang w:eastAsia="fr-CA"/>
              </w:rPr>
              <w:t>, à l’intégrité et à la liberté de sa personne.</w:t>
            </w:r>
          </w:p>
          <w:p w14:paraId="044E02A9" w14:textId="06AA0B35" w:rsidR="00562FCD" w:rsidRPr="00911998" w:rsidRDefault="00C265FB" w:rsidP="00C265FB">
            <w:pPr>
              <w:pStyle w:val="Paragrsimple"/>
              <w:numPr>
                <w:ilvl w:val="0"/>
                <w:numId w:val="0"/>
              </w:numPr>
              <w:rPr>
                <w:rFonts w:cs="Arial"/>
                <w:sz w:val="22"/>
                <w:szCs w:val="22"/>
              </w:rPr>
            </w:pPr>
            <w:r w:rsidRPr="00911998">
              <w:rPr>
                <w:rFonts w:cs="Arial"/>
                <w:sz w:val="22"/>
                <w:szCs w:val="22"/>
                <w:lang w:eastAsia="fr-CA"/>
              </w:rPr>
              <w:t>Il possède également la personnalité juridique.</w:t>
            </w:r>
          </w:p>
        </w:tc>
        <w:tc>
          <w:tcPr>
            <w:tcW w:w="4536" w:type="dxa"/>
          </w:tcPr>
          <w:p w14:paraId="2803DC06" w14:textId="052D964B" w:rsidR="00562FCD" w:rsidRPr="00911998" w:rsidRDefault="00562FCD" w:rsidP="00563F40">
            <w:pPr>
              <w:pStyle w:val="Paragrsimple"/>
              <w:numPr>
                <w:ilvl w:val="0"/>
                <w:numId w:val="0"/>
              </w:numPr>
              <w:rPr>
                <w:rFonts w:cs="Arial"/>
                <w:b/>
                <w:bCs/>
                <w:i/>
                <w:iCs/>
                <w:sz w:val="22"/>
                <w:szCs w:val="22"/>
                <w:lang w:val="en-CA"/>
              </w:rPr>
            </w:pPr>
            <w:r w:rsidRPr="00911998">
              <w:rPr>
                <w:rFonts w:cs="Arial"/>
                <w:b/>
                <w:bCs/>
                <w:i/>
                <w:iCs/>
                <w:sz w:val="22"/>
                <w:szCs w:val="22"/>
                <w:lang w:val="en-CA"/>
              </w:rPr>
              <w:t>Canadian Charter</w:t>
            </w:r>
          </w:p>
          <w:p w14:paraId="0BCE3C92" w14:textId="2CFEF957" w:rsidR="00562FCD" w:rsidRPr="00911998" w:rsidRDefault="00562FCD" w:rsidP="00563F40">
            <w:pPr>
              <w:pStyle w:val="Paragrsimple"/>
              <w:numPr>
                <w:ilvl w:val="0"/>
                <w:numId w:val="0"/>
              </w:numPr>
              <w:rPr>
                <w:rFonts w:cs="Arial"/>
                <w:i/>
                <w:iCs/>
                <w:sz w:val="22"/>
                <w:szCs w:val="22"/>
                <w:lang w:val="en-CA"/>
              </w:rPr>
            </w:pPr>
            <w:r w:rsidRPr="00911998">
              <w:rPr>
                <w:rFonts w:cs="Arial"/>
                <w:b/>
                <w:bCs/>
                <w:i/>
                <w:iCs/>
                <w:sz w:val="22"/>
                <w:szCs w:val="22"/>
                <w:lang w:val="en-CA"/>
              </w:rPr>
              <w:t>7.  </w:t>
            </w:r>
            <w:r w:rsidRPr="00911998">
              <w:rPr>
                <w:rFonts w:cs="Arial"/>
                <w:i/>
                <w:iCs/>
                <w:sz w:val="22"/>
                <w:szCs w:val="22"/>
                <w:lang w:val="en-CA"/>
              </w:rPr>
              <w:t>Everyone has the right to life, liberty and security of the person and the right not to be deprived thereof except in accordance with the principles of fundamental justice.</w:t>
            </w:r>
          </w:p>
          <w:p w14:paraId="77E53C51" w14:textId="77777777" w:rsidR="00562FCD" w:rsidRPr="00911998" w:rsidRDefault="00562FCD" w:rsidP="00563F40">
            <w:pPr>
              <w:pStyle w:val="Paragrsimple"/>
              <w:numPr>
                <w:ilvl w:val="0"/>
                <w:numId w:val="0"/>
              </w:numPr>
              <w:rPr>
                <w:rFonts w:cs="Arial"/>
                <w:b/>
                <w:bCs/>
                <w:i/>
                <w:iCs/>
                <w:sz w:val="22"/>
                <w:szCs w:val="22"/>
                <w:lang w:val="en-CA"/>
              </w:rPr>
            </w:pPr>
            <w:r w:rsidRPr="00911998">
              <w:rPr>
                <w:rFonts w:cs="Arial"/>
                <w:b/>
                <w:bCs/>
                <w:i/>
                <w:iCs/>
                <w:sz w:val="22"/>
                <w:szCs w:val="22"/>
                <w:lang w:val="en-CA"/>
              </w:rPr>
              <w:t>Québec Charter</w:t>
            </w:r>
          </w:p>
          <w:p w14:paraId="7E2BDCE2" w14:textId="77777777" w:rsidR="00C265FB" w:rsidRPr="00911998" w:rsidRDefault="00562FCD" w:rsidP="00563F40">
            <w:pPr>
              <w:pStyle w:val="Paragrsimple"/>
              <w:numPr>
                <w:ilvl w:val="0"/>
                <w:numId w:val="0"/>
              </w:numPr>
              <w:rPr>
                <w:rFonts w:cs="Arial"/>
                <w:i/>
                <w:iCs/>
                <w:sz w:val="22"/>
                <w:szCs w:val="22"/>
                <w:lang w:val="en-CA"/>
              </w:rPr>
            </w:pPr>
            <w:r w:rsidRPr="00911998">
              <w:rPr>
                <w:rFonts w:cs="Arial"/>
                <w:b/>
                <w:bCs/>
                <w:i/>
                <w:iCs/>
                <w:sz w:val="22"/>
                <w:szCs w:val="22"/>
                <w:lang w:val="en-CA"/>
              </w:rPr>
              <w:t>1.</w:t>
            </w:r>
            <w:r w:rsidRPr="00911998">
              <w:rPr>
                <w:rFonts w:cs="Arial"/>
                <w:i/>
                <w:iCs/>
                <w:sz w:val="22"/>
                <w:szCs w:val="22"/>
                <w:lang w:val="en-CA"/>
              </w:rPr>
              <w:t xml:space="preserve">  </w:t>
            </w:r>
            <w:r w:rsidR="00C265FB" w:rsidRPr="00911998">
              <w:rPr>
                <w:rFonts w:cs="Arial"/>
                <w:i/>
                <w:iCs/>
                <w:sz w:val="22"/>
                <w:szCs w:val="22"/>
                <w:lang w:val="en-CA"/>
              </w:rPr>
              <w:t>Every human being has a right to life, and to personal security, inviolability and freedom.</w:t>
            </w:r>
          </w:p>
          <w:p w14:paraId="3FC8C870" w14:textId="170B675A" w:rsidR="00562FCD" w:rsidRPr="00911998" w:rsidRDefault="00C265FB" w:rsidP="00563F40">
            <w:pPr>
              <w:pStyle w:val="Paragrsimple"/>
              <w:numPr>
                <w:ilvl w:val="0"/>
                <w:numId w:val="0"/>
              </w:numPr>
              <w:rPr>
                <w:rFonts w:cs="Arial"/>
                <w:i/>
                <w:iCs/>
                <w:sz w:val="22"/>
                <w:szCs w:val="22"/>
                <w:lang w:val="en-CA"/>
              </w:rPr>
            </w:pPr>
            <w:r w:rsidRPr="00911998">
              <w:rPr>
                <w:rFonts w:cs="Arial"/>
                <w:i/>
                <w:iCs/>
                <w:sz w:val="22"/>
                <w:szCs w:val="22"/>
                <w:lang w:val="en-CA"/>
              </w:rPr>
              <w:t>He also possesses juridical personality.</w:t>
            </w:r>
            <w:hyperlink r:id="rId30" w:anchor="se:54" w:history="1"/>
          </w:p>
        </w:tc>
      </w:tr>
    </w:tbl>
    <w:p w14:paraId="5DCFED2A" w14:textId="2976E5C7" w:rsidR="00272654" w:rsidRPr="00911998" w:rsidRDefault="003E7BD9" w:rsidP="00562FCD">
      <w:pPr>
        <w:pStyle w:val="Paragrsimple"/>
        <w:tabs>
          <w:tab w:val="clear" w:pos="360"/>
        </w:tabs>
      </w:pPr>
      <w:r w:rsidRPr="00911998">
        <w:t xml:space="preserve">Il convient de commencer </w:t>
      </w:r>
      <w:r w:rsidR="00F04374" w:rsidRPr="00911998">
        <w:t>par</w:t>
      </w:r>
      <w:r w:rsidRPr="00911998">
        <w:t xml:space="preserve"> les moyens des Demandeurs fondés sur l’article 7</w:t>
      </w:r>
      <w:r w:rsidR="00796798" w:rsidRPr="00911998">
        <w:t> </w:t>
      </w:r>
      <w:r w:rsidRPr="00911998">
        <w:t xml:space="preserve">de la </w:t>
      </w:r>
      <w:r w:rsidRPr="00911998">
        <w:rPr>
          <w:i/>
          <w:iCs/>
        </w:rPr>
        <w:t>Charte canadienne</w:t>
      </w:r>
      <w:r w:rsidRPr="00911998">
        <w:t>.</w:t>
      </w:r>
    </w:p>
    <w:p w14:paraId="1627207A" w14:textId="76E187BA" w:rsidR="003E7BD9" w:rsidRPr="00911998" w:rsidRDefault="00B723EA" w:rsidP="003E7BD9">
      <w:pPr>
        <w:pStyle w:val="Titre4"/>
        <w:rPr>
          <w:b w:val="0"/>
          <w:bCs/>
        </w:rPr>
      </w:pPr>
      <w:r w:rsidRPr="00911998">
        <w:lastRenderedPageBreak/>
        <w:t xml:space="preserve">L’article 7 de la </w:t>
      </w:r>
      <w:r w:rsidRPr="00911998">
        <w:rPr>
          <w:i/>
          <w:iCs/>
        </w:rPr>
        <w:t>Charte canadienne </w:t>
      </w:r>
      <w:r w:rsidRPr="00911998">
        <w:t>: l</w:t>
      </w:r>
      <w:r w:rsidR="003E7BD9" w:rsidRPr="00911998">
        <w:t>e droit à la liberté et à la sécurité de la personne</w:t>
      </w:r>
    </w:p>
    <w:p w14:paraId="3A039401" w14:textId="3E34C495" w:rsidR="00BF6719" w:rsidRPr="00911998" w:rsidRDefault="003E7BD9" w:rsidP="006730F2">
      <w:pPr>
        <w:pStyle w:val="Paragrsimple"/>
        <w:tabs>
          <w:tab w:val="clear" w:pos="360"/>
        </w:tabs>
      </w:pPr>
      <w:r w:rsidRPr="00911998">
        <w:t xml:space="preserve">L’article 7 de la </w:t>
      </w:r>
      <w:r w:rsidRPr="00911998">
        <w:rPr>
          <w:i/>
          <w:iCs/>
        </w:rPr>
        <w:t xml:space="preserve">Charte canadienne </w:t>
      </w:r>
      <w:r w:rsidRPr="00911998">
        <w:t>protège contre toute atteinte au</w:t>
      </w:r>
      <w:r w:rsidR="00E95A85" w:rsidRPr="00911998">
        <w:t>x</w:t>
      </w:r>
      <w:r w:rsidRPr="00911998">
        <w:t xml:space="preserve"> droit</w:t>
      </w:r>
      <w:r w:rsidR="00E95A85" w:rsidRPr="00911998">
        <w:t>s</w:t>
      </w:r>
      <w:r w:rsidRPr="00911998">
        <w:t xml:space="preserve"> à la vie, à la liberté et à la sécurité de la personne qui n’est pas conforme aux principes de justice fondamentale. </w:t>
      </w:r>
      <w:r w:rsidR="00BF6719" w:rsidRPr="00911998">
        <w:t xml:space="preserve">Pour établir qu’une disposition législative contrevient à l’article 7 de la </w:t>
      </w:r>
      <w:r w:rsidR="00BF6719" w:rsidRPr="00911998">
        <w:rPr>
          <w:i/>
          <w:iCs/>
        </w:rPr>
        <w:t>Charte canadienne</w:t>
      </w:r>
      <w:r w:rsidR="00BF6719" w:rsidRPr="00911998">
        <w:t>, la partie demanderesse supporte un double fardeau.</w:t>
      </w:r>
      <w:r w:rsidR="00E95A85" w:rsidRPr="00911998">
        <w:t xml:space="preserve"> </w:t>
      </w:r>
      <w:r w:rsidR="00BF6719" w:rsidRPr="00911998">
        <w:t>Elle doit établir</w:t>
      </w:r>
      <w:r w:rsidR="00E95A85" w:rsidRPr="00911998">
        <w:t xml:space="preserve"> que</w:t>
      </w:r>
      <w:r w:rsidR="00E95A85" w:rsidRPr="00911998">
        <w:rPr>
          <w:rStyle w:val="Appelnotedebasdep"/>
        </w:rPr>
        <w:footnoteReference w:id="79"/>
      </w:r>
      <w:r w:rsidR="00BF6719" w:rsidRPr="00911998">
        <w:t> :</w:t>
      </w:r>
    </w:p>
    <w:p w14:paraId="0149B16F" w14:textId="3E100505" w:rsidR="00BF6719" w:rsidRPr="00911998" w:rsidRDefault="00BF6719" w:rsidP="000F6BA9">
      <w:pPr>
        <w:pStyle w:val="Paragraphedeliste"/>
        <w:numPr>
          <w:ilvl w:val="0"/>
          <w:numId w:val="18"/>
        </w:numPr>
        <w:contextualSpacing w:val="0"/>
        <w:jc w:val="both"/>
        <w:rPr>
          <w:rFonts w:ascii="Arial" w:hAnsi="Arial" w:cs="Arial"/>
          <w:sz w:val="24"/>
          <w:szCs w:val="24"/>
        </w:rPr>
      </w:pPr>
      <w:proofErr w:type="gramStart"/>
      <w:r w:rsidRPr="00911998">
        <w:rPr>
          <w:rFonts w:ascii="Arial" w:hAnsi="Arial" w:cs="Arial"/>
          <w:sz w:val="24"/>
          <w:szCs w:val="24"/>
        </w:rPr>
        <w:t>la</w:t>
      </w:r>
      <w:proofErr w:type="gramEnd"/>
      <w:r w:rsidRPr="00911998">
        <w:rPr>
          <w:rFonts w:ascii="Arial" w:hAnsi="Arial" w:cs="Arial"/>
          <w:sz w:val="24"/>
          <w:szCs w:val="24"/>
        </w:rPr>
        <w:t xml:space="preserve"> disposition contestée met «</w:t>
      </w:r>
      <w:r w:rsidR="009E3ED2" w:rsidRPr="00911998">
        <w:rPr>
          <w:rFonts w:ascii="Arial" w:hAnsi="Arial" w:cs="Arial"/>
          <w:sz w:val="24"/>
          <w:szCs w:val="24"/>
        </w:rPr>
        <w:t> </w:t>
      </w:r>
      <w:r w:rsidRPr="00911998">
        <w:rPr>
          <w:rFonts w:ascii="Arial" w:hAnsi="Arial" w:cs="Arial"/>
          <w:sz w:val="24"/>
          <w:szCs w:val="24"/>
        </w:rPr>
        <w:t>en jeu</w:t>
      </w:r>
      <w:r w:rsidR="009E3ED2" w:rsidRPr="00911998">
        <w:rPr>
          <w:rFonts w:ascii="Arial" w:hAnsi="Arial" w:cs="Arial"/>
          <w:sz w:val="24"/>
          <w:szCs w:val="24"/>
        </w:rPr>
        <w:t> </w:t>
      </w:r>
      <w:r w:rsidRPr="00911998">
        <w:rPr>
          <w:rFonts w:ascii="Arial" w:hAnsi="Arial" w:cs="Arial"/>
          <w:sz w:val="24"/>
          <w:szCs w:val="24"/>
        </w:rPr>
        <w:t>» le droit à la vie, à la liberté ou à la sécurité de la personne</w:t>
      </w:r>
      <w:r w:rsidR="00E95A85" w:rsidRPr="00911998">
        <w:rPr>
          <w:rFonts w:ascii="Arial" w:hAnsi="Arial" w:cs="Arial"/>
          <w:sz w:val="24"/>
          <w:szCs w:val="24"/>
        </w:rPr>
        <w:t xml:space="preserve"> en entra</w:t>
      </w:r>
      <w:r w:rsidR="00337561" w:rsidRPr="00911998">
        <w:rPr>
          <w:rFonts w:ascii="Arial" w:hAnsi="Arial" w:cs="Arial"/>
          <w:sz w:val="24"/>
          <w:szCs w:val="24"/>
        </w:rPr>
        <w:t>î</w:t>
      </w:r>
      <w:r w:rsidR="00E95A85" w:rsidRPr="00911998">
        <w:rPr>
          <w:rFonts w:ascii="Arial" w:hAnsi="Arial" w:cs="Arial"/>
          <w:sz w:val="24"/>
          <w:szCs w:val="24"/>
        </w:rPr>
        <w:t xml:space="preserve">nant une restriction, un effet préjudiciable, une atteinte ou encore </w:t>
      </w:r>
      <w:r w:rsidR="009E3ED2" w:rsidRPr="00911998">
        <w:rPr>
          <w:rFonts w:ascii="Arial" w:hAnsi="Arial" w:cs="Arial"/>
          <w:sz w:val="24"/>
          <w:szCs w:val="24"/>
        </w:rPr>
        <w:t>un</w:t>
      </w:r>
      <w:r w:rsidR="00E95A85" w:rsidRPr="00911998">
        <w:rPr>
          <w:rFonts w:ascii="Arial" w:hAnsi="Arial" w:cs="Arial"/>
          <w:sz w:val="24"/>
          <w:szCs w:val="24"/>
        </w:rPr>
        <w:t xml:space="preserve"> risque d’atteinte à ces droits</w:t>
      </w:r>
      <w:r w:rsidR="009E3ED2" w:rsidRPr="00911998">
        <w:rPr>
          <w:rFonts w:ascii="Arial" w:hAnsi="Arial" w:cs="Arial"/>
          <w:sz w:val="24"/>
          <w:szCs w:val="24"/>
        </w:rPr>
        <w:t> </w:t>
      </w:r>
      <w:r w:rsidR="00E95A85" w:rsidRPr="00911998">
        <w:rPr>
          <w:rFonts w:ascii="Arial" w:hAnsi="Arial" w:cs="Arial"/>
          <w:sz w:val="24"/>
          <w:szCs w:val="24"/>
        </w:rPr>
        <w:t>; et</w:t>
      </w:r>
    </w:p>
    <w:p w14:paraId="3472E0AB" w14:textId="39FC3659" w:rsidR="00E95A85" w:rsidRPr="00911998" w:rsidRDefault="00E95A85" w:rsidP="000F6BA9">
      <w:pPr>
        <w:pStyle w:val="Paragraphedeliste"/>
        <w:numPr>
          <w:ilvl w:val="0"/>
          <w:numId w:val="18"/>
        </w:numPr>
        <w:jc w:val="both"/>
        <w:rPr>
          <w:rFonts w:ascii="Arial" w:hAnsi="Arial" w:cs="Arial"/>
          <w:sz w:val="24"/>
          <w:szCs w:val="24"/>
        </w:rPr>
      </w:pPr>
      <w:proofErr w:type="gramStart"/>
      <w:r w:rsidRPr="00911998">
        <w:rPr>
          <w:rFonts w:ascii="Arial" w:hAnsi="Arial" w:cs="Arial"/>
          <w:sz w:val="24"/>
          <w:szCs w:val="24"/>
        </w:rPr>
        <w:t>cette</w:t>
      </w:r>
      <w:proofErr w:type="gramEnd"/>
      <w:r w:rsidRPr="00911998">
        <w:rPr>
          <w:rFonts w:ascii="Arial" w:hAnsi="Arial" w:cs="Arial"/>
          <w:sz w:val="24"/>
          <w:szCs w:val="24"/>
        </w:rPr>
        <w:t xml:space="preserve"> atteinte n’est pas conforme aux principes de justice fondamentale.</w:t>
      </w:r>
    </w:p>
    <w:p w14:paraId="2E97E90B" w14:textId="000B2CE4" w:rsidR="00E95A85" w:rsidRPr="00911998" w:rsidRDefault="00FC3C6B" w:rsidP="00E95A85">
      <w:pPr>
        <w:pStyle w:val="Paragrsimple"/>
        <w:tabs>
          <w:tab w:val="clear" w:pos="360"/>
        </w:tabs>
      </w:pPr>
      <w:r w:rsidRPr="00911998">
        <w:t>En l’espèce, les Demandeurs ne s’acquittent pas de leur fardeau de démontrer que la limite de deux liens de filiation met en jeu leur</w:t>
      </w:r>
      <w:r w:rsidR="00927453" w:rsidRPr="00911998">
        <w:t>s</w:t>
      </w:r>
      <w:r w:rsidRPr="00911998">
        <w:t xml:space="preserve"> droit</w:t>
      </w:r>
      <w:r w:rsidR="00927453" w:rsidRPr="00911998">
        <w:t>s</w:t>
      </w:r>
      <w:r w:rsidRPr="00911998">
        <w:t xml:space="preserve"> à la sécurité de la personne</w:t>
      </w:r>
      <w:r w:rsidR="00927453" w:rsidRPr="00911998">
        <w:t xml:space="preserve"> ou à la liberté,</w:t>
      </w:r>
      <w:r w:rsidRPr="00911998">
        <w:t xml:space="preserve"> </w:t>
      </w:r>
      <w:r w:rsidR="00927453" w:rsidRPr="00911998">
        <w:t>ou encore</w:t>
      </w:r>
      <w:r w:rsidRPr="00911998">
        <w:t xml:space="preserve"> ceux de leurs </w:t>
      </w:r>
      <w:r w:rsidR="00927453" w:rsidRPr="00911998">
        <w:t>e</w:t>
      </w:r>
      <w:r w:rsidRPr="00911998">
        <w:t>nfants.</w:t>
      </w:r>
      <w:r w:rsidR="00927453" w:rsidRPr="00911998">
        <w:t xml:space="preserve"> Voici pourquoi.</w:t>
      </w:r>
    </w:p>
    <w:p w14:paraId="5BABFD75" w14:textId="03DF4879" w:rsidR="00FC3C6B" w:rsidRPr="00911998" w:rsidRDefault="00FC3C6B" w:rsidP="00FC3C6B">
      <w:pPr>
        <w:pStyle w:val="Titre5"/>
      </w:pPr>
      <w:r w:rsidRPr="00911998">
        <w:t xml:space="preserve">Le droit à la sécurité de la personne n’est pas </w:t>
      </w:r>
      <w:r w:rsidR="004E40F9" w:rsidRPr="00911998">
        <w:t>violé</w:t>
      </w:r>
    </w:p>
    <w:p w14:paraId="7408FD82" w14:textId="58D33A07" w:rsidR="003F5337" w:rsidRPr="00911998" w:rsidRDefault="00FF5835" w:rsidP="00FF5835">
      <w:pPr>
        <w:pStyle w:val="Paragrsimple"/>
        <w:tabs>
          <w:tab w:val="clear" w:pos="360"/>
        </w:tabs>
      </w:pPr>
      <w:r w:rsidRPr="00911998">
        <w:t>Le droit à la sécurité de la personne protège à la fois l’intégrité physique et l’intégrité psychologique des individus</w:t>
      </w:r>
      <w:r w:rsidRPr="00911998">
        <w:rPr>
          <w:rStyle w:val="Appelnotedebasdep"/>
        </w:rPr>
        <w:footnoteReference w:id="80"/>
      </w:r>
      <w:r w:rsidRPr="00911998">
        <w:t xml:space="preserve">. </w:t>
      </w:r>
      <w:r w:rsidR="009260C0" w:rsidRPr="00911998">
        <w:t>Les Demandeurs invoquent en l’espèce la dimension psychologique de ce droit. À ce propos</w:t>
      </w:r>
      <w:r w:rsidR="003F5337" w:rsidRPr="00911998">
        <w:t xml:space="preserve">, dans l’arrêt </w:t>
      </w:r>
      <w:r w:rsidR="003F5337" w:rsidRPr="00911998">
        <w:rPr>
          <w:i/>
          <w:iCs/>
        </w:rPr>
        <w:t>G. (J.)</w:t>
      </w:r>
      <w:r w:rsidR="003F5337" w:rsidRPr="00911998">
        <w:t>, le juge en chef Lamer explique que l’article 7 vise des atteintes psychologiques graves causées par l’État</w:t>
      </w:r>
      <w:r w:rsidR="003F5337" w:rsidRPr="00911998">
        <w:rPr>
          <w:rStyle w:val="Appelnotedebasdep"/>
        </w:rPr>
        <w:footnoteReference w:id="81"/>
      </w:r>
      <w:r w:rsidR="003F5337" w:rsidRPr="00911998">
        <w:t> :</w:t>
      </w:r>
    </w:p>
    <w:p w14:paraId="044DCC61" w14:textId="770E1068" w:rsidR="003F5337" w:rsidRPr="00911998" w:rsidRDefault="003F5337" w:rsidP="003F5337">
      <w:pPr>
        <w:ind w:left="567" w:right="560"/>
        <w:jc w:val="both"/>
        <w:rPr>
          <w:sz w:val="22"/>
          <w:szCs w:val="22"/>
        </w:rPr>
      </w:pPr>
      <w:bookmarkStart w:id="46" w:name="par60"/>
      <w:proofErr w:type="gramStart"/>
      <w:r w:rsidRPr="00911998">
        <w:rPr>
          <w:sz w:val="22"/>
          <w:szCs w:val="22"/>
        </w:rPr>
        <w:t>60</w:t>
      </w:r>
      <w:bookmarkEnd w:id="46"/>
      <w:r w:rsidRPr="00911998">
        <w:rPr>
          <w:sz w:val="22"/>
          <w:szCs w:val="22"/>
        </w:rPr>
        <w:t>  Pour</w:t>
      </w:r>
      <w:proofErr w:type="gramEnd"/>
      <w:r w:rsidRPr="00911998">
        <w:rPr>
          <w:sz w:val="22"/>
          <w:szCs w:val="22"/>
        </w:rPr>
        <w:t xml:space="preserve"> qu’une restriction de la sécurité de la personne soit établie, il faut donc que l’acte de l’État faisant l’objet de la contestation ait des répercussions graves et profondes sur l’intégrité psychologique d’une personne.  On doit procéder à l’évaluation objective des répercussions de l’ingérence de l’État, en particulier de son incidence sur l’intégrité psychologique d’une personne ayant une sensibilité raisonnable.  Il n’est pas nécessaire que l’ingérence de l’État ait entraîné un choc nerveux ou un trouble psychiatrique, mais ses répercussions doivent être plus importantes qu’une tension ou </w:t>
      </w:r>
      <w:proofErr w:type="gramStart"/>
      <w:r w:rsidRPr="00911998">
        <w:rPr>
          <w:sz w:val="22"/>
          <w:szCs w:val="22"/>
        </w:rPr>
        <w:t>une angoisse ordinaires</w:t>
      </w:r>
      <w:proofErr w:type="gramEnd"/>
      <w:r w:rsidRPr="00911998">
        <w:rPr>
          <w:sz w:val="22"/>
          <w:szCs w:val="22"/>
        </w:rPr>
        <w:t>.</w:t>
      </w:r>
    </w:p>
    <w:p w14:paraId="2A16DB9F" w14:textId="47F24366" w:rsidR="003F5337" w:rsidRPr="00911998" w:rsidRDefault="003F5337" w:rsidP="00FF5835">
      <w:pPr>
        <w:pStyle w:val="Paragrsimple"/>
        <w:tabs>
          <w:tab w:val="clear" w:pos="360"/>
        </w:tabs>
      </w:pPr>
      <w:r w:rsidRPr="00911998">
        <w:lastRenderedPageBreak/>
        <w:t xml:space="preserve">En somme, </w:t>
      </w:r>
      <w:r w:rsidR="009260C0" w:rsidRPr="00911998">
        <w:t xml:space="preserve">pour que </w:t>
      </w:r>
      <w:r w:rsidR="004C51B3" w:rsidRPr="00911998">
        <w:t xml:space="preserve">la sécurité de la personne protégée par </w:t>
      </w:r>
      <w:r w:rsidR="009260C0" w:rsidRPr="00911998">
        <w:t xml:space="preserve">l’article 7 de la </w:t>
      </w:r>
      <w:r w:rsidR="009260C0" w:rsidRPr="00911998">
        <w:rPr>
          <w:i/>
          <w:iCs/>
        </w:rPr>
        <w:t xml:space="preserve">Charte canadienne </w:t>
      </w:r>
      <w:r w:rsidR="009260C0" w:rsidRPr="00911998">
        <w:t xml:space="preserve">soit en cause, </w:t>
      </w:r>
      <w:r w:rsidRPr="00911998">
        <w:t xml:space="preserve">le préjudice psychologique doit </w:t>
      </w:r>
      <w:r w:rsidR="009260C0" w:rsidRPr="00911998">
        <w:t>à la fois être</w:t>
      </w:r>
      <w:r w:rsidR="004C51B3" w:rsidRPr="00911998">
        <w:t> :</w:t>
      </w:r>
      <w:r w:rsidR="009260C0" w:rsidRPr="00911998">
        <w:t xml:space="preserve"> </w:t>
      </w:r>
      <w:r w:rsidRPr="00911998">
        <w:t>1) causé par l’État et 2) grave</w:t>
      </w:r>
      <w:r w:rsidRPr="00911998">
        <w:rPr>
          <w:rStyle w:val="Appelnotedebasdep"/>
        </w:rPr>
        <w:footnoteReference w:id="82"/>
      </w:r>
      <w:r w:rsidRPr="00911998">
        <w:t>.</w:t>
      </w:r>
    </w:p>
    <w:p w14:paraId="7463FFDE" w14:textId="3FE0F78C" w:rsidR="009260C0" w:rsidRPr="00911998" w:rsidRDefault="009260C0" w:rsidP="009260C0">
      <w:pPr>
        <w:pStyle w:val="Paragrsimple"/>
        <w:tabs>
          <w:tab w:val="clear" w:pos="360"/>
        </w:tabs>
      </w:pPr>
      <w:r w:rsidRPr="00911998">
        <w:t xml:space="preserve">À supposer que </w:t>
      </w:r>
      <w:r w:rsidR="0013303D" w:rsidRPr="00911998">
        <w:t>les conséquences</w:t>
      </w:r>
      <w:r w:rsidRPr="00911998">
        <w:t xml:space="preserve"> psychologique</w:t>
      </w:r>
      <w:r w:rsidR="0013303D" w:rsidRPr="00911998">
        <w:t xml:space="preserve">s sur les familles </w:t>
      </w:r>
      <w:proofErr w:type="spellStart"/>
      <w:r w:rsidR="0013303D" w:rsidRPr="00911998">
        <w:t>pluriparenta</w:t>
      </w:r>
      <w:r w:rsidR="004C51B3" w:rsidRPr="00911998">
        <w:t>les</w:t>
      </w:r>
      <w:proofErr w:type="spellEnd"/>
      <w:r w:rsidR="0013303D" w:rsidRPr="00911998">
        <w:t xml:space="preserve"> </w:t>
      </w:r>
      <w:r w:rsidRPr="00911998">
        <w:t xml:space="preserve">de la limite </w:t>
      </w:r>
      <w:r w:rsidR="0013303D" w:rsidRPr="00911998">
        <w:t>de</w:t>
      </w:r>
      <w:r w:rsidRPr="00911998">
        <w:t xml:space="preserve"> deux liens de filiation soi</w:t>
      </w:r>
      <w:r w:rsidR="0013303D" w:rsidRPr="00911998">
        <w:t>en</w:t>
      </w:r>
      <w:r w:rsidRPr="00911998">
        <w:t>t causée</w:t>
      </w:r>
      <w:r w:rsidR="0013303D" w:rsidRPr="00911998">
        <w:t>s</w:t>
      </w:r>
      <w:r w:rsidRPr="00911998">
        <w:t xml:space="preserve"> par l’État</w:t>
      </w:r>
      <w:r w:rsidRPr="00911998">
        <w:rPr>
          <w:rStyle w:val="Appelnotedebasdep"/>
        </w:rPr>
        <w:footnoteReference w:id="83"/>
      </w:r>
      <w:r w:rsidRPr="00911998">
        <w:t>, la preuve n’établit pas qu</w:t>
      </w:r>
      <w:r w:rsidR="0013303D" w:rsidRPr="00911998">
        <w:t>e celles</w:t>
      </w:r>
      <w:r w:rsidR="0013303D" w:rsidRPr="00911998">
        <w:noBreakHyphen/>
        <w:t>ci</w:t>
      </w:r>
      <w:r w:rsidRPr="00911998">
        <w:t xml:space="preserve"> soient suffisamment </w:t>
      </w:r>
      <w:r w:rsidR="006E74A0" w:rsidRPr="00911998">
        <w:t>graves</w:t>
      </w:r>
      <w:r w:rsidRPr="00911998">
        <w:t xml:space="preserve"> pour mettre en jeu la protection offerte par le droit à la sécurité de la personne.</w:t>
      </w:r>
    </w:p>
    <w:p w14:paraId="5D12B71C" w14:textId="70BB50CD" w:rsidR="0013303D" w:rsidRPr="00911998" w:rsidRDefault="0013303D" w:rsidP="00307BE0">
      <w:pPr>
        <w:pStyle w:val="Paragrsimple"/>
        <w:tabs>
          <w:tab w:val="clear" w:pos="360"/>
        </w:tabs>
      </w:pPr>
      <w:r w:rsidRPr="00911998">
        <w:t>En effet, voici ce que la preuve ordinaire administrée par les Demandeurs révèle :</w:t>
      </w:r>
    </w:p>
    <w:p w14:paraId="7540BD98" w14:textId="39F73D7A" w:rsidR="0013303D" w:rsidRPr="00911998" w:rsidRDefault="00307BE0" w:rsidP="00307BE0">
      <w:pPr>
        <w:pStyle w:val="Paragrdouble"/>
        <w:numPr>
          <w:ilvl w:val="0"/>
          <w:numId w:val="0"/>
        </w:numPr>
        <w:spacing w:line="240" w:lineRule="auto"/>
        <w:ind w:left="731"/>
        <w:rPr>
          <w:b/>
          <w:bCs/>
          <w:i/>
          <w:iCs/>
        </w:rPr>
      </w:pPr>
      <w:r w:rsidRPr="00911998">
        <w:rPr>
          <w:b/>
          <w:bCs/>
          <w:i/>
          <w:iCs/>
        </w:rPr>
        <w:t xml:space="preserve">La famille </w:t>
      </w:r>
      <w:proofErr w:type="gramStart"/>
      <w:r w:rsidR="00153EC1">
        <w:rPr>
          <w:b/>
          <w:bCs/>
          <w:i/>
          <w:iCs/>
        </w:rPr>
        <w:t>M...</w:t>
      </w:r>
      <w:proofErr w:type="gramEnd"/>
      <w:r w:rsidRPr="00911998">
        <w:rPr>
          <w:b/>
          <w:bCs/>
          <w:i/>
          <w:iCs/>
        </w:rPr>
        <w:t>-</w:t>
      </w:r>
      <w:r w:rsidR="000032F7">
        <w:rPr>
          <w:b/>
          <w:bCs/>
          <w:i/>
          <w:iCs/>
        </w:rPr>
        <w:t>P...</w:t>
      </w:r>
      <w:r w:rsidRPr="00911998">
        <w:rPr>
          <w:b/>
          <w:bCs/>
          <w:i/>
          <w:iCs/>
        </w:rPr>
        <w:t>-</w:t>
      </w:r>
      <w:r w:rsidR="000032F7">
        <w:rPr>
          <w:b/>
          <w:bCs/>
          <w:i/>
          <w:iCs/>
        </w:rPr>
        <w:t>D...</w:t>
      </w:r>
    </w:p>
    <w:p w14:paraId="31D0B4BC" w14:textId="12E2C8F3" w:rsidR="00307BE0" w:rsidRPr="00911998" w:rsidRDefault="00307BE0" w:rsidP="000F6BA9">
      <w:pPr>
        <w:pStyle w:val="Paragrdouble"/>
        <w:numPr>
          <w:ilvl w:val="0"/>
          <w:numId w:val="7"/>
        </w:numPr>
        <w:spacing w:line="240" w:lineRule="auto"/>
        <w:rPr>
          <w:b/>
          <w:bCs/>
        </w:rPr>
      </w:pPr>
      <w:r w:rsidRPr="00911998">
        <w:t xml:space="preserve">Lors de la naissance </w:t>
      </w:r>
      <w:r w:rsidR="007714A1">
        <w:t>de X</w:t>
      </w:r>
      <w:r w:rsidRPr="00911998">
        <w:t>, en raison des restrictions sanitaires en lien avec la COVID</w:t>
      </w:r>
      <w:r w:rsidRPr="00911998">
        <w:noBreakHyphen/>
        <w:t xml:space="preserve">19, l’infirmière s’opposait à ce que </w:t>
      </w:r>
      <w:r w:rsidR="004C51B3" w:rsidRPr="00911998">
        <w:t xml:space="preserve">madame </w:t>
      </w:r>
      <w:proofErr w:type="gramStart"/>
      <w:r w:rsidR="000032F7">
        <w:t>P...</w:t>
      </w:r>
      <w:proofErr w:type="gramEnd"/>
      <w:r w:rsidRPr="00911998">
        <w:t xml:space="preserve"> soit accompagnée par deux personnes, les règles de l’hôpital </w:t>
      </w:r>
      <w:r w:rsidR="007C69EF" w:rsidRPr="00911998">
        <w:t>stipula</w:t>
      </w:r>
      <w:r w:rsidRPr="00911998">
        <w:t xml:space="preserve">nt que seule une personne pouvait accompagner la mère qui donnait naissance. </w:t>
      </w:r>
      <w:r w:rsidR="008D70B8" w:rsidRPr="00911998">
        <w:t>Final</w:t>
      </w:r>
      <w:r w:rsidRPr="00911998">
        <w:t xml:space="preserve">ement, toutefois, </w:t>
      </w:r>
      <w:r w:rsidR="007C69EF" w:rsidRPr="00911998">
        <w:t>l’infirmière</w:t>
      </w:r>
      <w:r w:rsidRPr="00911998">
        <w:t xml:space="preserve"> accepte la présence de </w:t>
      </w:r>
      <w:r w:rsidR="004C51B3" w:rsidRPr="00911998">
        <w:t xml:space="preserve">madame </w:t>
      </w:r>
      <w:proofErr w:type="gramStart"/>
      <w:r w:rsidR="00153EC1">
        <w:t>M...</w:t>
      </w:r>
      <w:proofErr w:type="gramEnd"/>
      <w:r w:rsidRPr="00911998">
        <w:t xml:space="preserve"> et de </w:t>
      </w:r>
      <w:r w:rsidR="004C51B3" w:rsidRPr="00911998">
        <w:t xml:space="preserve">monsieur </w:t>
      </w:r>
      <w:r w:rsidR="000032F7">
        <w:t>D...</w:t>
      </w:r>
      <w:r w:rsidR="006E74A0" w:rsidRPr="00911998">
        <w:t> </w:t>
      </w:r>
      <w:r w:rsidR="002807B9" w:rsidRPr="00911998">
        <w:t>;</w:t>
      </w:r>
    </w:p>
    <w:p w14:paraId="61A959E2" w14:textId="02762E8E" w:rsidR="002807B9" w:rsidRPr="00911998" w:rsidRDefault="002807B9" w:rsidP="000F6BA9">
      <w:pPr>
        <w:pStyle w:val="Paragrdouble"/>
        <w:numPr>
          <w:ilvl w:val="0"/>
          <w:numId w:val="7"/>
        </w:numPr>
        <w:spacing w:line="240" w:lineRule="auto"/>
        <w:rPr>
          <w:b/>
          <w:bCs/>
        </w:rPr>
      </w:pPr>
      <w:r w:rsidRPr="00911998">
        <w:t xml:space="preserve">Comme le nom de </w:t>
      </w:r>
      <w:r w:rsidR="004C51B3" w:rsidRPr="00911998">
        <w:t xml:space="preserve">madame </w:t>
      </w:r>
      <w:proofErr w:type="gramStart"/>
      <w:r w:rsidR="00153EC1">
        <w:t>M...</w:t>
      </w:r>
      <w:proofErr w:type="gramEnd"/>
      <w:r w:rsidRPr="00911998">
        <w:t xml:space="preserve"> n’appara</w:t>
      </w:r>
      <w:r w:rsidR="00A801E5" w:rsidRPr="00911998">
        <w:t>i</w:t>
      </w:r>
      <w:r w:rsidRPr="00911998">
        <w:t xml:space="preserve">t pas sur le certificat de naissance </w:t>
      </w:r>
      <w:r w:rsidR="007714A1">
        <w:t>de X</w:t>
      </w:r>
      <w:r w:rsidRPr="00911998">
        <w:t xml:space="preserve">, elle ne peut prendre une année de congé parental comme elle le souhaitait. Elle prend un congé sans solde et </w:t>
      </w:r>
      <w:r w:rsidR="00153EC1">
        <w:t>X</w:t>
      </w:r>
      <w:r w:rsidRPr="00911998">
        <w:t xml:space="preserve"> est inscrit à la garderie à</w:t>
      </w:r>
      <w:r w:rsidR="008D70B8" w:rsidRPr="00911998">
        <w:t xml:space="preserve"> compter de l’âge</w:t>
      </w:r>
      <w:r w:rsidRPr="00911998">
        <w:t xml:space="preserve"> de 4</w:t>
      </w:r>
      <w:r w:rsidR="006E74A0" w:rsidRPr="00911998">
        <w:t> </w:t>
      </w:r>
      <w:r w:rsidRPr="00911998">
        <w:t>mois</w:t>
      </w:r>
      <w:r w:rsidR="006E74A0" w:rsidRPr="00911998">
        <w:t> </w:t>
      </w:r>
      <w:r w:rsidRPr="00911998">
        <w:t>;</w:t>
      </w:r>
    </w:p>
    <w:p w14:paraId="3F2805A8" w14:textId="4086AB2A" w:rsidR="002807B9" w:rsidRPr="00911998" w:rsidRDefault="00153EC1" w:rsidP="000F6BA9">
      <w:pPr>
        <w:pStyle w:val="Paragrdouble"/>
        <w:numPr>
          <w:ilvl w:val="0"/>
          <w:numId w:val="7"/>
        </w:numPr>
        <w:spacing w:line="240" w:lineRule="auto"/>
      </w:pPr>
      <w:r>
        <w:t>X</w:t>
      </w:r>
      <w:r w:rsidR="002807B9" w:rsidRPr="00911998">
        <w:t xml:space="preserve"> n’est pas reconnu comme le fils de </w:t>
      </w:r>
      <w:r w:rsidR="004C51B3" w:rsidRPr="00911998">
        <w:t xml:space="preserve">madame </w:t>
      </w:r>
      <w:proofErr w:type="gramStart"/>
      <w:r>
        <w:t>M...</w:t>
      </w:r>
      <w:proofErr w:type="gramEnd"/>
      <w:r w:rsidR="004C51B3" w:rsidRPr="00911998">
        <w:t xml:space="preserve"> et de monsieur </w:t>
      </w:r>
      <w:r w:rsidR="000032F7">
        <w:t>D...</w:t>
      </w:r>
      <w:r w:rsidR="004C51B3" w:rsidRPr="00911998">
        <w:t xml:space="preserve"> </w:t>
      </w:r>
      <w:r w:rsidR="002807B9" w:rsidRPr="00911998">
        <w:t xml:space="preserve">pour les fins des assurances ni en ce qui a trait à leurs mutations éventuelles au sein des Forces </w:t>
      </w:r>
      <w:r w:rsidR="00163DCE" w:rsidRPr="00911998">
        <w:t xml:space="preserve">armées </w:t>
      </w:r>
      <w:r w:rsidR="002807B9" w:rsidRPr="00911998">
        <w:t>canadiennes</w:t>
      </w:r>
      <w:r w:rsidR="006E74A0" w:rsidRPr="00911998">
        <w:t> </w:t>
      </w:r>
      <w:r w:rsidR="002807B9" w:rsidRPr="00911998">
        <w:t>;</w:t>
      </w:r>
    </w:p>
    <w:p w14:paraId="2D4668CC" w14:textId="0BA37ABB" w:rsidR="002807B9" w:rsidRPr="00911998" w:rsidRDefault="002807B9" w:rsidP="000F6BA9">
      <w:pPr>
        <w:pStyle w:val="Paragrdouble"/>
        <w:numPr>
          <w:ilvl w:val="0"/>
          <w:numId w:val="7"/>
        </w:numPr>
        <w:spacing w:line="240" w:lineRule="auto"/>
      </w:pPr>
      <w:r w:rsidRPr="00911998">
        <w:lastRenderedPageBreak/>
        <w:t>Expliquer leur situation familiale à leurs gérants de carrière respectifs peut s’avérer difficile</w:t>
      </w:r>
      <w:r w:rsidR="00163DCE" w:rsidRPr="00911998">
        <w:t xml:space="preserve">. </w:t>
      </w:r>
      <w:r w:rsidR="006E74A0" w:rsidRPr="00911998">
        <w:t>À ce titre,</w:t>
      </w:r>
      <w:r w:rsidR="00163DCE" w:rsidRPr="00911998">
        <w:t xml:space="preserve"> un gérant de carrière a décrit </w:t>
      </w:r>
      <w:r w:rsidR="00153EC1">
        <w:t>X</w:t>
      </w:r>
      <w:r w:rsidR="00163DCE" w:rsidRPr="00911998">
        <w:t xml:space="preserve"> comme l’enfant «</w:t>
      </w:r>
      <w:r w:rsidR="006E74A0" w:rsidRPr="00911998">
        <w:t> </w:t>
      </w:r>
      <w:r w:rsidR="00163DCE" w:rsidRPr="00911998">
        <w:t>illégitime</w:t>
      </w:r>
      <w:r w:rsidR="006E74A0" w:rsidRPr="00911998">
        <w:t> </w:t>
      </w:r>
      <w:r w:rsidR="00163DCE" w:rsidRPr="00911998">
        <w:t xml:space="preserve">» de </w:t>
      </w:r>
      <w:r w:rsidR="004C51B3" w:rsidRPr="00911998">
        <w:t xml:space="preserve">monsieur </w:t>
      </w:r>
      <w:proofErr w:type="gramStart"/>
      <w:r w:rsidR="000032F7">
        <w:t>D...</w:t>
      </w:r>
      <w:proofErr w:type="gramEnd"/>
      <w:r w:rsidR="006E74A0" w:rsidRPr="00911998">
        <w:t> </w:t>
      </w:r>
      <w:r w:rsidR="00163DCE" w:rsidRPr="00911998">
        <w:t>;</w:t>
      </w:r>
    </w:p>
    <w:p w14:paraId="6488AD2B" w14:textId="30F14872" w:rsidR="00163DCE" w:rsidRPr="00911998" w:rsidRDefault="000407A6" w:rsidP="000F6BA9">
      <w:pPr>
        <w:pStyle w:val="Paragrdouble"/>
        <w:numPr>
          <w:ilvl w:val="0"/>
          <w:numId w:val="7"/>
        </w:numPr>
        <w:spacing w:line="240" w:lineRule="auto"/>
      </w:pPr>
      <w:r w:rsidRPr="00911998">
        <w:t xml:space="preserve">Ils </w:t>
      </w:r>
      <w:r w:rsidR="008D70B8" w:rsidRPr="00911998">
        <w:t>s’inquiètent</w:t>
      </w:r>
      <w:r w:rsidRPr="00911998">
        <w:t xml:space="preserve"> pour ce qui est de la prise de décision</w:t>
      </w:r>
      <w:r w:rsidR="007C69EF" w:rsidRPr="00911998">
        <w:t>s</w:t>
      </w:r>
      <w:r w:rsidRPr="00911998">
        <w:t xml:space="preserve"> en lien avec </w:t>
      </w:r>
      <w:r w:rsidR="00153EC1">
        <w:t>X</w:t>
      </w:r>
      <w:r w:rsidR="006E74A0" w:rsidRPr="00911998">
        <w:t>,</w:t>
      </w:r>
      <w:r w:rsidRPr="00911998">
        <w:t xml:space="preserve"> notamment </w:t>
      </w:r>
      <w:r w:rsidR="00AC6B71" w:rsidRPr="00911998">
        <w:t>quant aux</w:t>
      </w:r>
      <w:r w:rsidRPr="00911998">
        <w:t xml:space="preserve"> </w:t>
      </w:r>
      <w:r w:rsidR="00873B75" w:rsidRPr="00911998">
        <w:t xml:space="preserve">décisions médicales, puisque seul le nom de </w:t>
      </w:r>
      <w:r w:rsidR="004C51B3" w:rsidRPr="00911998">
        <w:t xml:space="preserve">madame </w:t>
      </w:r>
      <w:proofErr w:type="gramStart"/>
      <w:r w:rsidR="000032F7">
        <w:t>P...</w:t>
      </w:r>
      <w:proofErr w:type="gramEnd"/>
      <w:r w:rsidR="00873B75" w:rsidRPr="00911998">
        <w:t xml:space="preserve"> </w:t>
      </w:r>
      <w:r w:rsidR="008D70B8" w:rsidRPr="00911998">
        <w:t>figure</w:t>
      </w:r>
      <w:r w:rsidR="00873B75" w:rsidRPr="00911998">
        <w:t xml:space="preserve"> sur le certificat de naissance</w:t>
      </w:r>
      <w:r w:rsidR="008D70B8" w:rsidRPr="00911998">
        <w:t> ;</w:t>
      </w:r>
    </w:p>
    <w:p w14:paraId="5A91AF85" w14:textId="67012C7C" w:rsidR="00AC6B71" w:rsidRPr="00911998" w:rsidRDefault="00AC6B71" w:rsidP="00AC6B71">
      <w:pPr>
        <w:pStyle w:val="Paragrdouble"/>
        <w:numPr>
          <w:ilvl w:val="0"/>
          <w:numId w:val="0"/>
        </w:numPr>
        <w:spacing w:line="240" w:lineRule="auto"/>
        <w:ind w:left="731"/>
        <w:rPr>
          <w:i/>
          <w:iCs/>
        </w:rPr>
      </w:pPr>
      <w:r w:rsidRPr="00911998">
        <w:rPr>
          <w:b/>
          <w:bCs/>
          <w:i/>
          <w:iCs/>
        </w:rPr>
        <w:t xml:space="preserve">La famille </w:t>
      </w:r>
      <w:r w:rsidR="000032F7">
        <w:rPr>
          <w:b/>
          <w:bCs/>
          <w:i/>
          <w:iCs/>
        </w:rPr>
        <w:t>Pa...</w:t>
      </w:r>
      <w:r w:rsidRPr="00911998">
        <w:rPr>
          <w:b/>
          <w:bCs/>
          <w:i/>
          <w:iCs/>
        </w:rPr>
        <w:noBreakHyphen/>
      </w:r>
      <w:proofErr w:type="gramStart"/>
      <w:r w:rsidR="00E13A68">
        <w:rPr>
          <w:b/>
          <w:bCs/>
          <w:i/>
          <w:iCs/>
        </w:rPr>
        <w:t>J...</w:t>
      </w:r>
      <w:proofErr w:type="gramEnd"/>
      <w:r w:rsidRPr="00911998">
        <w:rPr>
          <w:b/>
          <w:bCs/>
          <w:i/>
          <w:iCs/>
        </w:rPr>
        <w:noBreakHyphen/>
      </w:r>
      <w:r w:rsidR="00E13A68">
        <w:rPr>
          <w:b/>
          <w:bCs/>
          <w:i/>
          <w:iCs/>
        </w:rPr>
        <w:t>Je...</w:t>
      </w:r>
    </w:p>
    <w:p w14:paraId="2CE3750A" w14:textId="75F9DF99" w:rsidR="00AC6B71" w:rsidRPr="00911998" w:rsidRDefault="00AC6B71" w:rsidP="000F6BA9">
      <w:pPr>
        <w:pStyle w:val="Paragrdouble"/>
        <w:numPr>
          <w:ilvl w:val="0"/>
          <w:numId w:val="7"/>
        </w:numPr>
        <w:spacing w:line="240" w:lineRule="auto"/>
        <w:rPr>
          <w:i/>
          <w:iCs/>
        </w:rPr>
      </w:pPr>
      <w:r w:rsidRPr="00911998">
        <w:t xml:space="preserve">Ils </w:t>
      </w:r>
      <w:r w:rsidR="008D70B8" w:rsidRPr="00911998">
        <w:t>s’inquiètent</w:t>
      </w:r>
      <w:r w:rsidRPr="00911998">
        <w:t xml:space="preserve"> en ce qui a trait aux décisions médicales</w:t>
      </w:r>
      <w:r w:rsidR="00B75B38" w:rsidRPr="00911998">
        <w:t xml:space="preserve"> advenant que </w:t>
      </w:r>
      <w:r w:rsidR="00321ABD" w:rsidRPr="00911998">
        <w:t xml:space="preserve">madame </w:t>
      </w:r>
      <w:proofErr w:type="gramStart"/>
      <w:r w:rsidR="00E13A68">
        <w:t>J...</w:t>
      </w:r>
      <w:proofErr w:type="gramEnd"/>
      <w:r w:rsidR="00B75B38" w:rsidRPr="00911998">
        <w:t xml:space="preserve"> se trouve seule avec </w:t>
      </w:r>
      <w:r w:rsidR="00552A22">
        <w:t>Y</w:t>
      </w:r>
      <w:r w:rsidR="00B75B38" w:rsidRPr="00911998">
        <w:t xml:space="preserve">. En effet, </w:t>
      </w:r>
      <w:r w:rsidR="00321ABD" w:rsidRPr="00911998">
        <w:t>elle</w:t>
      </w:r>
      <w:r w:rsidR="00B75B38" w:rsidRPr="00911998">
        <w:t xml:space="preserve"> avait accompagné </w:t>
      </w:r>
      <w:r w:rsidR="00552A22">
        <w:t>Y</w:t>
      </w:r>
      <w:r w:rsidR="00B75B38" w:rsidRPr="00911998">
        <w:t xml:space="preserve"> </w:t>
      </w:r>
      <w:r w:rsidR="008B0C7E" w:rsidRPr="00911998">
        <w:t>lors de</w:t>
      </w:r>
      <w:r w:rsidR="00B75B38" w:rsidRPr="00911998">
        <w:t xml:space="preserve"> l’administration de </w:t>
      </w:r>
      <w:r w:rsidR="008B0C7E" w:rsidRPr="00911998">
        <w:t xml:space="preserve">sa </w:t>
      </w:r>
      <w:r w:rsidR="00B75B38" w:rsidRPr="00911998">
        <w:t>deuxième dose de vaccin contre la COVID</w:t>
      </w:r>
      <w:r w:rsidR="00B75B38" w:rsidRPr="00911998">
        <w:noBreakHyphen/>
        <w:t xml:space="preserve">19. L’infirmière </w:t>
      </w:r>
      <w:r w:rsidR="007C69EF" w:rsidRPr="00911998">
        <w:t xml:space="preserve">responsable </w:t>
      </w:r>
      <w:r w:rsidR="00B75B38" w:rsidRPr="00911998">
        <w:t xml:space="preserve">refuse </w:t>
      </w:r>
      <w:r w:rsidR="00321ABD" w:rsidRPr="00911998">
        <w:t>initialement</w:t>
      </w:r>
      <w:r w:rsidR="00B75B38" w:rsidRPr="00911998">
        <w:t xml:space="preserve"> d’administrer le vaccin, mais accepte </w:t>
      </w:r>
      <w:r w:rsidR="006A763A">
        <w:t xml:space="preserve">finalement </w:t>
      </w:r>
      <w:r w:rsidR="00B75B38" w:rsidRPr="00911998">
        <w:t xml:space="preserve">après une discussion téléphonique avec </w:t>
      </w:r>
      <w:r w:rsidR="00321ABD" w:rsidRPr="00911998">
        <w:t xml:space="preserve">madame </w:t>
      </w:r>
      <w:r w:rsidR="000032F7">
        <w:t>Pa...</w:t>
      </w:r>
      <w:r w:rsidR="006E74A0" w:rsidRPr="00911998">
        <w:t> </w:t>
      </w:r>
      <w:r w:rsidR="00B75B38" w:rsidRPr="00911998">
        <w:t>;</w:t>
      </w:r>
    </w:p>
    <w:p w14:paraId="50CC54BF" w14:textId="47A3A77E" w:rsidR="00B75B38" w:rsidRPr="00911998" w:rsidRDefault="00B75B38" w:rsidP="000F6BA9">
      <w:pPr>
        <w:pStyle w:val="Paragrdouble"/>
        <w:numPr>
          <w:ilvl w:val="0"/>
          <w:numId w:val="7"/>
        </w:numPr>
        <w:spacing w:line="240" w:lineRule="auto"/>
        <w:rPr>
          <w:i/>
          <w:iCs/>
        </w:rPr>
      </w:pPr>
      <w:r w:rsidRPr="00911998">
        <w:t xml:space="preserve">Ils ressentent </w:t>
      </w:r>
      <w:r w:rsidR="008D70B8" w:rsidRPr="00911998">
        <w:t>de l’</w:t>
      </w:r>
      <w:r w:rsidRPr="00911998">
        <w:t xml:space="preserve">insécurité en lien avec l’absence de reconnaissance juridique de la relation entre </w:t>
      </w:r>
      <w:r w:rsidR="00321ABD" w:rsidRPr="00911998">
        <w:t xml:space="preserve">madame </w:t>
      </w:r>
      <w:proofErr w:type="gramStart"/>
      <w:r w:rsidR="00E13A68">
        <w:t>J...</w:t>
      </w:r>
      <w:proofErr w:type="gramEnd"/>
      <w:r w:rsidRPr="00911998">
        <w:t xml:space="preserve"> et </w:t>
      </w:r>
      <w:r w:rsidR="00552A22">
        <w:t>Y</w:t>
      </w:r>
      <w:r w:rsidRPr="00911998">
        <w:t xml:space="preserve">. Ceci est source d’anxiété, particulièrement pour </w:t>
      </w:r>
      <w:r w:rsidR="00321ABD" w:rsidRPr="00911998">
        <w:t>cette dernière</w:t>
      </w:r>
      <w:r w:rsidR="006E74A0" w:rsidRPr="00911998">
        <w:t> </w:t>
      </w:r>
      <w:r w:rsidRPr="00911998">
        <w:t>;</w:t>
      </w:r>
    </w:p>
    <w:p w14:paraId="17E453DB" w14:textId="6C5D5D3E" w:rsidR="00B75B38" w:rsidRPr="00911998" w:rsidRDefault="00B75B38" w:rsidP="000F6BA9">
      <w:pPr>
        <w:pStyle w:val="Paragrdouble"/>
        <w:numPr>
          <w:ilvl w:val="0"/>
          <w:numId w:val="7"/>
        </w:numPr>
        <w:spacing w:line="240" w:lineRule="auto"/>
        <w:rPr>
          <w:i/>
          <w:iCs/>
        </w:rPr>
      </w:pPr>
      <w:r w:rsidRPr="00911998">
        <w:t xml:space="preserve">Bien que les interactions avec les écoles fréquentées par </w:t>
      </w:r>
      <w:r w:rsidR="00552A22">
        <w:t>Y</w:t>
      </w:r>
      <w:r w:rsidRPr="00911998">
        <w:t xml:space="preserve"> so</w:t>
      </w:r>
      <w:r w:rsidR="00B131F3" w:rsidRPr="00911998">
        <w:t>ie</w:t>
      </w:r>
      <w:r w:rsidRPr="00911998">
        <w:t>nt positives</w:t>
      </w:r>
      <w:r w:rsidR="00B131F3" w:rsidRPr="00911998">
        <w:t xml:space="preserve"> jusqu’à présent</w:t>
      </w:r>
      <w:r w:rsidRPr="00911998">
        <w:t xml:space="preserve">, </w:t>
      </w:r>
      <w:r w:rsidR="007C69EF" w:rsidRPr="00911998">
        <w:t>celui</w:t>
      </w:r>
      <w:r w:rsidR="007C69EF" w:rsidRPr="00911998">
        <w:noBreakHyphen/>
        <w:t>ci</w:t>
      </w:r>
      <w:r w:rsidRPr="00911998">
        <w:t xml:space="preserve"> a fait l’objet d’une réaction négative</w:t>
      </w:r>
      <w:r w:rsidR="008D70B8" w:rsidRPr="00911998">
        <w:t xml:space="preserve"> de la part</w:t>
      </w:r>
      <w:r w:rsidRPr="00911998">
        <w:t xml:space="preserve"> d’une famille du quartier</w:t>
      </w:r>
      <w:r w:rsidR="008D70B8" w:rsidRPr="00911998">
        <w:t> ;</w:t>
      </w:r>
    </w:p>
    <w:p w14:paraId="46BA9D09" w14:textId="3F519B31" w:rsidR="00B75B38" w:rsidRPr="00C62C88" w:rsidRDefault="008B0C7E" w:rsidP="008B0C7E">
      <w:pPr>
        <w:pStyle w:val="Paragrdouble"/>
        <w:numPr>
          <w:ilvl w:val="0"/>
          <w:numId w:val="0"/>
        </w:numPr>
        <w:spacing w:line="240" w:lineRule="auto"/>
        <w:ind w:left="731"/>
        <w:rPr>
          <w:b/>
          <w:bCs/>
          <w:i/>
          <w:iCs/>
        </w:rPr>
      </w:pPr>
      <w:r w:rsidRPr="00C62C88">
        <w:rPr>
          <w:b/>
          <w:bCs/>
          <w:i/>
          <w:iCs/>
        </w:rPr>
        <w:t xml:space="preserve">La famille </w:t>
      </w:r>
      <w:proofErr w:type="gramStart"/>
      <w:r w:rsidR="00E13A68" w:rsidRPr="00C62C88">
        <w:rPr>
          <w:b/>
          <w:bCs/>
          <w:i/>
          <w:iCs/>
        </w:rPr>
        <w:t>L...</w:t>
      </w:r>
      <w:proofErr w:type="gramEnd"/>
      <w:r w:rsidRPr="00C62C88">
        <w:rPr>
          <w:b/>
          <w:bCs/>
          <w:i/>
          <w:iCs/>
        </w:rPr>
        <w:t>-</w:t>
      </w:r>
      <w:r w:rsidR="00E13A68">
        <w:rPr>
          <w:b/>
          <w:bCs/>
          <w:i/>
          <w:iCs/>
        </w:rPr>
        <w:t>Mi...</w:t>
      </w:r>
      <w:r w:rsidRPr="00C62C88">
        <w:rPr>
          <w:b/>
          <w:bCs/>
          <w:i/>
          <w:iCs/>
        </w:rPr>
        <w:t>-</w:t>
      </w:r>
      <w:r w:rsidR="00E13A68">
        <w:rPr>
          <w:b/>
          <w:bCs/>
          <w:i/>
          <w:iCs/>
        </w:rPr>
        <w:t>A...</w:t>
      </w:r>
    </w:p>
    <w:p w14:paraId="74EF7B8A" w14:textId="38BB80A4" w:rsidR="00B131F3" w:rsidRPr="00911998" w:rsidRDefault="001C074C" w:rsidP="000F6BA9">
      <w:pPr>
        <w:pStyle w:val="Paragrdouble"/>
        <w:numPr>
          <w:ilvl w:val="0"/>
          <w:numId w:val="7"/>
        </w:numPr>
        <w:spacing w:line="240" w:lineRule="auto"/>
        <w:rPr>
          <w:b/>
          <w:bCs/>
        </w:rPr>
      </w:pPr>
      <w:r w:rsidRPr="00911998">
        <w:t xml:space="preserve">Lors de la naissance de </w:t>
      </w:r>
      <w:r w:rsidR="00D90957">
        <w:t>Z</w:t>
      </w:r>
      <w:r w:rsidRPr="00911998">
        <w:t xml:space="preserve">, il </w:t>
      </w:r>
      <w:r w:rsidR="00A801E5" w:rsidRPr="00911998">
        <w:t xml:space="preserve">y </w:t>
      </w:r>
      <w:r w:rsidRPr="00911998">
        <w:t xml:space="preserve">aurait eu un signalement à la Direction de la protection de la jeunesse. À cette </w:t>
      </w:r>
      <w:r w:rsidR="006E74A0" w:rsidRPr="00911998">
        <w:t>occasion,</w:t>
      </w:r>
      <w:r w:rsidRPr="00911998">
        <w:t xml:space="preserve"> une travailleuse sociale </w:t>
      </w:r>
      <w:r w:rsidR="00321ABD" w:rsidRPr="00911998">
        <w:t>mentionne aux trois parents</w:t>
      </w:r>
      <w:r w:rsidRPr="00911998">
        <w:t xml:space="preserve"> que leur situation </w:t>
      </w:r>
      <w:r w:rsidR="006E74A0" w:rsidRPr="00911998">
        <w:t>—</w:t>
      </w:r>
      <w:r w:rsidRPr="00911998">
        <w:t xml:space="preserve"> soit </w:t>
      </w:r>
      <w:r w:rsidR="006E74A0" w:rsidRPr="00911998">
        <w:t>un plan</w:t>
      </w:r>
      <w:r w:rsidRPr="00911998">
        <w:t xml:space="preserve"> parental à trois </w:t>
      </w:r>
      <w:r w:rsidR="006E74A0" w:rsidRPr="00911998">
        <w:t>—</w:t>
      </w:r>
      <w:r w:rsidRPr="00911998">
        <w:t xml:space="preserve"> serait illégale</w:t>
      </w:r>
      <w:r w:rsidR="006E5904" w:rsidRPr="00911998">
        <w:t xml:space="preserve">. Il s’agit de la seule réaction négative importante </w:t>
      </w:r>
      <w:r w:rsidR="007C69EF" w:rsidRPr="00911998">
        <w:t>vécu</w:t>
      </w:r>
      <w:r w:rsidR="006E5904" w:rsidRPr="00911998">
        <w:t>e par la famille</w:t>
      </w:r>
      <w:r w:rsidR="006E74A0" w:rsidRPr="00911998">
        <w:t> </w:t>
      </w:r>
      <w:r w:rsidR="006E5904" w:rsidRPr="00911998">
        <w:t>;</w:t>
      </w:r>
    </w:p>
    <w:p w14:paraId="7D2199C6" w14:textId="2582DECE" w:rsidR="006E5904" w:rsidRPr="00911998" w:rsidRDefault="00321ABD" w:rsidP="000F6BA9">
      <w:pPr>
        <w:pStyle w:val="Paragrdouble"/>
        <w:numPr>
          <w:ilvl w:val="0"/>
          <w:numId w:val="7"/>
        </w:numPr>
        <w:spacing w:line="240" w:lineRule="auto"/>
        <w:rPr>
          <w:b/>
          <w:bCs/>
        </w:rPr>
      </w:pPr>
      <w:r w:rsidRPr="00911998">
        <w:t xml:space="preserve">Madame </w:t>
      </w:r>
      <w:proofErr w:type="gramStart"/>
      <w:r w:rsidR="00E13A68">
        <w:t>A...</w:t>
      </w:r>
      <w:proofErr w:type="gramEnd"/>
      <w:r w:rsidR="006E5904" w:rsidRPr="00911998">
        <w:t xml:space="preserve"> n’a pas été impliquée dans les démarches de </w:t>
      </w:r>
      <w:r w:rsidRPr="00911998">
        <w:t xml:space="preserve">madame </w:t>
      </w:r>
      <w:r w:rsidR="00E13A68">
        <w:t>L...</w:t>
      </w:r>
      <w:r w:rsidRPr="00911998">
        <w:t xml:space="preserve"> et de monsieur </w:t>
      </w:r>
      <w:r w:rsidR="00E13A68">
        <w:t>Mi...</w:t>
      </w:r>
      <w:r w:rsidRPr="00911998">
        <w:t xml:space="preserve"> </w:t>
      </w:r>
      <w:r w:rsidR="00944758" w:rsidRPr="00911998">
        <w:t>auprès d’une agence en vue d’</w:t>
      </w:r>
      <w:r w:rsidR="006E5904" w:rsidRPr="00911998">
        <w:t>identifier une mère porteuse, et ce, afin d’éviter toute discrimination à leur égard</w:t>
      </w:r>
      <w:r w:rsidR="006E74A0" w:rsidRPr="00911998">
        <w:t> </w:t>
      </w:r>
      <w:r w:rsidR="006E5904" w:rsidRPr="00911998">
        <w:t>;</w:t>
      </w:r>
    </w:p>
    <w:p w14:paraId="62D373D9" w14:textId="3A0999F9" w:rsidR="006E5904" w:rsidRPr="00911998" w:rsidRDefault="00321ABD" w:rsidP="000F6BA9">
      <w:pPr>
        <w:pStyle w:val="Paragrdouble"/>
        <w:numPr>
          <w:ilvl w:val="0"/>
          <w:numId w:val="7"/>
        </w:numPr>
        <w:spacing w:line="240" w:lineRule="auto"/>
        <w:rPr>
          <w:b/>
          <w:bCs/>
        </w:rPr>
      </w:pPr>
      <w:r w:rsidRPr="00911998">
        <w:t xml:space="preserve">Madame </w:t>
      </w:r>
      <w:proofErr w:type="gramStart"/>
      <w:r w:rsidR="00E13A68">
        <w:t>A...</w:t>
      </w:r>
      <w:proofErr w:type="gramEnd"/>
      <w:r w:rsidR="00BF7D6C" w:rsidRPr="00911998">
        <w:t xml:space="preserve"> ressent de l’insécurité en lien avec la prise de décision</w:t>
      </w:r>
      <w:r w:rsidR="001B2E0A" w:rsidRPr="00911998">
        <w:t xml:space="preserve">s concernant </w:t>
      </w:r>
      <w:r w:rsidR="00D90957">
        <w:t>A</w:t>
      </w:r>
      <w:r w:rsidR="00BF7D6C" w:rsidRPr="00911998">
        <w:t xml:space="preserve">, notamment les décisions médicales </w:t>
      </w:r>
      <w:r w:rsidR="008D70B8" w:rsidRPr="00911998">
        <w:t>ou relatives à des</w:t>
      </w:r>
      <w:r w:rsidR="00BF7D6C" w:rsidRPr="00911998">
        <w:t xml:space="preserve"> voyage</w:t>
      </w:r>
      <w:r w:rsidR="008D70B8" w:rsidRPr="00911998">
        <w:t>s</w:t>
      </w:r>
      <w:r w:rsidR="00BF7D6C" w:rsidRPr="00911998">
        <w:t xml:space="preserve">. À ce titre, </w:t>
      </w:r>
      <w:r w:rsidR="007714A1">
        <w:t>lorsque A</w:t>
      </w:r>
      <w:r w:rsidR="00BF7D6C" w:rsidRPr="00911998">
        <w:t xml:space="preserve"> était hospitalisé, </w:t>
      </w:r>
      <w:r w:rsidRPr="00911998">
        <w:t xml:space="preserve">madame </w:t>
      </w:r>
      <w:proofErr w:type="gramStart"/>
      <w:r w:rsidR="00E13A68">
        <w:t>L...</w:t>
      </w:r>
      <w:proofErr w:type="gramEnd"/>
      <w:r w:rsidRPr="00911998">
        <w:t xml:space="preserve"> et monsieur </w:t>
      </w:r>
      <w:r w:rsidR="00E13A68">
        <w:t>Mi...</w:t>
      </w:r>
      <w:r w:rsidRPr="00911998">
        <w:t xml:space="preserve"> </w:t>
      </w:r>
      <w:r w:rsidR="008D70B8" w:rsidRPr="00911998">
        <w:t>ont veillé à ce</w:t>
      </w:r>
      <w:r w:rsidR="00BF7D6C" w:rsidRPr="00911998">
        <w:t xml:space="preserve"> </w:t>
      </w:r>
      <w:r w:rsidRPr="00911998">
        <w:t>q</w:t>
      </w:r>
      <w:r w:rsidR="001B2E0A" w:rsidRPr="00911998">
        <w:t xml:space="preserve">ue madame </w:t>
      </w:r>
      <w:r w:rsidR="00E13A68">
        <w:t>A...</w:t>
      </w:r>
      <w:r w:rsidRPr="00911998">
        <w:t xml:space="preserve"> </w:t>
      </w:r>
      <w:r w:rsidR="00BF7D6C" w:rsidRPr="00911998">
        <w:t xml:space="preserve">ne </w:t>
      </w:r>
      <w:r w:rsidR="001B2E0A" w:rsidRPr="00911998">
        <w:t>soit</w:t>
      </w:r>
      <w:r w:rsidR="00BF7D6C" w:rsidRPr="00911998">
        <w:t xml:space="preserve"> jamais seule avec lui afin d’éviter qu’elle </w:t>
      </w:r>
      <w:r w:rsidR="0040569C" w:rsidRPr="00911998">
        <w:t>n’ait à prendre une décision médicale urgente qu’elle n’</w:t>
      </w:r>
      <w:r w:rsidR="006338FB" w:rsidRPr="00911998">
        <w:t>était</w:t>
      </w:r>
      <w:r w:rsidR="0040569C" w:rsidRPr="00911998">
        <w:t xml:space="preserve"> pas légalement autorisée à prendre</w:t>
      </w:r>
      <w:r w:rsidR="006E74A0" w:rsidRPr="00911998">
        <w:t> </w:t>
      </w:r>
      <w:r w:rsidR="00BF7D6C" w:rsidRPr="00911998">
        <w:t>;</w:t>
      </w:r>
    </w:p>
    <w:p w14:paraId="23BED3FF" w14:textId="7AEAF523" w:rsidR="00B6145C" w:rsidRPr="00911998" w:rsidRDefault="00321ABD" w:rsidP="000F6BA9">
      <w:pPr>
        <w:pStyle w:val="Paragrdouble"/>
        <w:numPr>
          <w:ilvl w:val="0"/>
          <w:numId w:val="7"/>
        </w:numPr>
        <w:spacing w:line="240" w:lineRule="auto"/>
        <w:rPr>
          <w:b/>
          <w:bCs/>
        </w:rPr>
      </w:pPr>
      <w:r w:rsidRPr="00911998">
        <w:t xml:space="preserve">Madame </w:t>
      </w:r>
      <w:proofErr w:type="gramStart"/>
      <w:r w:rsidR="00E13A68">
        <w:t>A...</w:t>
      </w:r>
      <w:proofErr w:type="gramEnd"/>
      <w:r w:rsidR="00054495" w:rsidRPr="00911998">
        <w:t xml:space="preserve"> ressent de la tristesse </w:t>
      </w:r>
      <w:r w:rsidR="008D70B8" w:rsidRPr="00911998">
        <w:t>parce</w:t>
      </w:r>
      <w:r w:rsidR="00054495" w:rsidRPr="00911998">
        <w:t xml:space="preserve"> qu’elle n’est pas reconnue comme la mère </w:t>
      </w:r>
      <w:r w:rsidR="007714A1">
        <w:t>de A</w:t>
      </w:r>
      <w:r w:rsidR="006E74A0" w:rsidRPr="00911998">
        <w:t> </w:t>
      </w:r>
      <w:r w:rsidR="00B6145C" w:rsidRPr="00911998">
        <w:t>;</w:t>
      </w:r>
    </w:p>
    <w:p w14:paraId="17865928" w14:textId="69DE9203" w:rsidR="00BF7D6C" w:rsidRPr="00911998" w:rsidRDefault="00321ABD" w:rsidP="000F6BA9">
      <w:pPr>
        <w:pStyle w:val="Paragrdouble"/>
        <w:numPr>
          <w:ilvl w:val="0"/>
          <w:numId w:val="7"/>
        </w:numPr>
        <w:spacing w:line="240" w:lineRule="auto"/>
        <w:rPr>
          <w:b/>
          <w:bCs/>
        </w:rPr>
      </w:pPr>
      <w:r w:rsidRPr="00911998">
        <w:lastRenderedPageBreak/>
        <w:t xml:space="preserve">Monsieur </w:t>
      </w:r>
      <w:r w:rsidR="00E13A68">
        <w:t>Mi...</w:t>
      </w:r>
      <w:r w:rsidR="00054495" w:rsidRPr="00911998">
        <w:t xml:space="preserve"> ressent une </w:t>
      </w:r>
      <w:r w:rsidR="00B6145C" w:rsidRPr="00911998">
        <w:t>certaine</w:t>
      </w:r>
      <w:r w:rsidR="00054495" w:rsidRPr="00911998">
        <w:t xml:space="preserve"> insécurité du fait que son nom ne </w:t>
      </w:r>
      <w:r w:rsidR="008D70B8" w:rsidRPr="00911998">
        <w:t>figure</w:t>
      </w:r>
      <w:r w:rsidR="00054495" w:rsidRPr="00911998">
        <w:t xml:space="preserve"> pas sur le certificat de naissance de </w:t>
      </w:r>
      <w:r w:rsidR="00D90957">
        <w:t>Z</w:t>
      </w:r>
      <w:r w:rsidR="00B6145C" w:rsidRPr="00911998">
        <w:t xml:space="preserve"> et que son rôle puisse être remis en cause</w:t>
      </w:r>
      <w:r w:rsidR="006E74A0" w:rsidRPr="00911998">
        <w:t> </w:t>
      </w:r>
      <w:r w:rsidR="00054495" w:rsidRPr="00911998">
        <w:t>;</w:t>
      </w:r>
    </w:p>
    <w:p w14:paraId="34DAE5CB" w14:textId="0E3F9D0F" w:rsidR="00B6145C" w:rsidRPr="00911998" w:rsidRDefault="00B6145C" w:rsidP="000F6BA9">
      <w:pPr>
        <w:pStyle w:val="Paragrdouble"/>
        <w:numPr>
          <w:ilvl w:val="0"/>
          <w:numId w:val="7"/>
        </w:numPr>
        <w:spacing w:line="240" w:lineRule="auto"/>
        <w:rPr>
          <w:b/>
          <w:bCs/>
        </w:rPr>
      </w:pPr>
      <w:r w:rsidRPr="00911998">
        <w:t xml:space="preserve">Ils hésitent à expliquer leur situation familiale et ressentent un certain inconfort </w:t>
      </w:r>
      <w:r w:rsidR="008D70B8" w:rsidRPr="00911998">
        <w:t xml:space="preserve">face </w:t>
      </w:r>
      <w:r w:rsidRPr="00911998">
        <w:t>au jugement de</w:t>
      </w:r>
      <w:r w:rsidR="001B2E0A" w:rsidRPr="00911998">
        <w:t>s</w:t>
      </w:r>
      <w:r w:rsidRPr="00911998">
        <w:t xml:space="preserve"> tiers.</w:t>
      </w:r>
    </w:p>
    <w:p w14:paraId="3A32F7E7" w14:textId="0FC918F1" w:rsidR="00C56008" w:rsidRPr="00911998" w:rsidRDefault="00EC1044" w:rsidP="00C56008">
      <w:pPr>
        <w:pStyle w:val="Paragrsimple"/>
        <w:tabs>
          <w:tab w:val="clear" w:pos="360"/>
        </w:tabs>
      </w:pPr>
      <w:r w:rsidRPr="00911998">
        <w:t xml:space="preserve">Pour ce qui est des experts </w:t>
      </w:r>
      <w:r w:rsidR="008D70B8" w:rsidRPr="00911998">
        <w:t>mandat</w:t>
      </w:r>
      <w:r w:rsidRPr="00911998">
        <w:t>és par les Demandeurs</w:t>
      </w:r>
      <w:r w:rsidR="00440744" w:rsidRPr="00911998">
        <w:t>,</w:t>
      </w:r>
      <w:r w:rsidR="00C56008" w:rsidRPr="00911998">
        <w:t xml:space="preserve"> ils mentionnent :</w:t>
      </w:r>
    </w:p>
    <w:p w14:paraId="505D2079" w14:textId="3D036A39" w:rsidR="00C56008" w:rsidRPr="00911998" w:rsidRDefault="00C56008" w:rsidP="000F6BA9">
      <w:pPr>
        <w:pStyle w:val="Paragrdouble"/>
        <w:numPr>
          <w:ilvl w:val="0"/>
          <w:numId w:val="7"/>
        </w:numPr>
        <w:spacing w:line="240" w:lineRule="auto"/>
      </w:pPr>
      <w:r w:rsidRPr="00911998">
        <w:t xml:space="preserve">L’incertitude et l’anxiété qui résultent de la vulnérabilité légale des familles </w:t>
      </w:r>
      <w:proofErr w:type="spellStart"/>
      <w:r w:rsidRPr="00911998">
        <w:t>pluriparentales</w:t>
      </w:r>
      <w:proofErr w:type="spellEnd"/>
      <w:r w:rsidRPr="00911998">
        <w:t>, surtout du parent non</w:t>
      </w:r>
      <w:r w:rsidRPr="00911998">
        <w:noBreakHyphen/>
        <w:t>reconnu, lors d’interactions avec des institutions ou</w:t>
      </w:r>
      <w:r w:rsidR="00321ABD" w:rsidRPr="00911998">
        <w:t xml:space="preserve"> avec</w:t>
      </w:r>
      <w:r w:rsidRPr="00911998">
        <w:t xml:space="preserve"> l’État</w:t>
      </w:r>
      <w:r w:rsidRPr="00911998">
        <w:rPr>
          <w:rStyle w:val="Appelnotedebasdep"/>
        </w:rPr>
        <w:footnoteReference w:id="84"/>
      </w:r>
      <w:r w:rsidR="006E74A0" w:rsidRPr="00911998">
        <w:t> </w:t>
      </w:r>
      <w:r w:rsidRPr="00911998">
        <w:t>;</w:t>
      </w:r>
    </w:p>
    <w:p w14:paraId="1FB3ADB5" w14:textId="5D22F8F8" w:rsidR="00C56008" w:rsidRPr="00911998" w:rsidRDefault="00C56008" w:rsidP="000F6BA9">
      <w:pPr>
        <w:pStyle w:val="Paragrdouble"/>
        <w:numPr>
          <w:ilvl w:val="0"/>
          <w:numId w:val="7"/>
        </w:numPr>
        <w:spacing w:line="240" w:lineRule="auto"/>
      </w:pPr>
      <w:r w:rsidRPr="00911998">
        <w:t>L’existence et l’effet cumulatif de micro</w:t>
      </w:r>
      <w:r w:rsidRPr="00911998">
        <w:noBreakHyphen/>
        <w:t xml:space="preserve">agressions (blagues, questions maladroites, remarques intrusives, etc.) en lien avec la situation atypique des familles </w:t>
      </w:r>
      <w:proofErr w:type="spellStart"/>
      <w:r w:rsidRPr="00911998">
        <w:t>pluriparentales</w:t>
      </w:r>
      <w:proofErr w:type="spellEnd"/>
      <w:r w:rsidRPr="00911998">
        <w:rPr>
          <w:rStyle w:val="Appelnotedebasdep"/>
        </w:rPr>
        <w:footnoteReference w:id="85"/>
      </w:r>
      <w:r w:rsidRPr="00911998">
        <w:t>.</w:t>
      </w:r>
    </w:p>
    <w:p w14:paraId="605106ED" w14:textId="78D4A5FE" w:rsidR="00C56008" w:rsidRPr="00911998" w:rsidRDefault="00C56008" w:rsidP="00C56008">
      <w:pPr>
        <w:pStyle w:val="Paragrsimple"/>
        <w:tabs>
          <w:tab w:val="clear" w:pos="360"/>
        </w:tabs>
      </w:pPr>
      <w:r w:rsidRPr="00911998">
        <w:t>Le professeur Lavoie utilise la notion de «</w:t>
      </w:r>
      <w:r w:rsidR="006E74A0" w:rsidRPr="00911998">
        <w:t> </w:t>
      </w:r>
      <w:r w:rsidRPr="00911998">
        <w:t>stress minoritaire</w:t>
      </w:r>
      <w:r w:rsidR="006E74A0" w:rsidRPr="00911998">
        <w:t> </w:t>
      </w:r>
      <w:r w:rsidRPr="00911998">
        <w:t xml:space="preserve">» pour décrire la situation vécue par les familles </w:t>
      </w:r>
      <w:proofErr w:type="spellStart"/>
      <w:r w:rsidRPr="00911998">
        <w:t>pluriparentales</w:t>
      </w:r>
      <w:proofErr w:type="spellEnd"/>
      <w:r w:rsidRPr="00911998">
        <w:rPr>
          <w:rStyle w:val="Appelnotedebasdep"/>
        </w:rPr>
        <w:footnoteReference w:id="86"/>
      </w:r>
      <w:r w:rsidRPr="00911998">
        <w:t xml:space="preserve">. </w:t>
      </w:r>
      <w:r w:rsidR="00436142" w:rsidRPr="00911998">
        <w:t xml:space="preserve">À ce stade, il convient d’ouvrir une parenthèse pour discuter </w:t>
      </w:r>
      <w:r w:rsidRPr="00911998">
        <w:t>de l’expertise de ce</w:t>
      </w:r>
      <w:r w:rsidR="00D957D8" w:rsidRPr="00911998">
        <w:t xml:space="preserve"> dernier</w:t>
      </w:r>
      <w:r w:rsidRPr="00911998">
        <w:t>.</w:t>
      </w:r>
    </w:p>
    <w:p w14:paraId="3877A18B" w14:textId="4187EFEF" w:rsidR="00C56008" w:rsidRPr="00911998" w:rsidRDefault="00970601" w:rsidP="00B6145C">
      <w:pPr>
        <w:pStyle w:val="Paragrsimple"/>
        <w:tabs>
          <w:tab w:val="clear" w:pos="360"/>
        </w:tabs>
      </w:pPr>
      <w:r w:rsidRPr="00911998">
        <w:t>Le professeur Lavoie</w:t>
      </w:r>
      <w:r w:rsidR="00851764" w:rsidRPr="00911998">
        <w:t xml:space="preserve"> a livré </w:t>
      </w:r>
      <w:r w:rsidR="00A801E5" w:rsidRPr="00911998">
        <w:t xml:space="preserve">à l’audience </w:t>
      </w:r>
      <w:r w:rsidR="00851764" w:rsidRPr="00911998">
        <w:t xml:space="preserve">un véritable plaidoyer en faveur de la reconnaissance légale de la </w:t>
      </w:r>
      <w:proofErr w:type="spellStart"/>
      <w:r w:rsidR="00851764" w:rsidRPr="00911998">
        <w:t>pluriparenté</w:t>
      </w:r>
      <w:proofErr w:type="spellEnd"/>
      <w:r w:rsidR="00C56008" w:rsidRPr="00911998">
        <w:t xml:space="preserve">. Un tel argumentaire est </w:t>
      </w:r>
      <w:r w:rsidRPr="00911998">
        <w:t xml:space="preserve">difficilement </w:t>
      </w:r>
      <w:r w:rsidR="00C56008" w:rsidRPr="00911998">
        <w:t>compatible avec le rôle de l’expert</w:t>
      </w:r>
      <w:r w:rsidR="00D957D8" w:rsidRPr="00911998">
        <w:t>,</w:t>
      </w:r>
      <w:r w:rsidR="00C56008" w:rsidRPr="00911998">
        <w:t xml:space="preserve"> qui consiste à éclairer la Cour de façon objective et impartiale</w:t>
      </w:r>
      <w:r w:rsidR="006D510B" w:rsidRPr="00911998">
        <w:rPr>
          <w:rStyle w:val="Appelnotedebasdep"/>
        </w:rPr>
        <w:footnoteReference w:id="87"/>
      </w:r>
      <w:r w:rsidR="00C56008" w:rsidRPr="00911998">
        <w:t>.</w:t>
      </w:r>
      <w:r w:rsidRPr="00911998">
        <w:t xml:space="preserve"> Sans remettre en cause ses qualités académiques, une certaine prudence s’impose dans l’appréciation de son rapport et de son témoignage</w:t>
      </w:r>
      <w:r w:rsidRPr="00911998">
        <w:rPr>
          <w:rStyle w:val="Appelnotedebasdep"/>
        </w:rPr>
        <w:footnoteReference w:id="88"/>
      </w:r>
      <w:r w:rsidRPr="00911998">
        <w:t>.</w:t>
      </w:r>
    </w:p>
    <w:p w14:paraId="4D234166" w14:textId="249EDE09" w:rsidR="002D3757" w:rsidRPr="00911998" w:rsidRDefault="002D3757" w:rsidP="00C56008">
      <w:pPr>
        <w:pStyle w:val="Paragrsimple"/>
        <w:tabs>
          <w:tab w:val="clear" w:pos="360"/>
        </w:tabs>
      </w:pPr>
      <w:r w:rsidRPr="00911998">
        <w:t xml:space="preserve">Par exemple, </w:t>
      </w:r>
      <w:r w:rsidR="00D957D8" w:rsidRPr="00911998">
        <w:t>celui</w:t>
      </w:r>
      <w:r w:rsidR="00D957D8" w:rsidRPr="00911998">
        <w:noBreakHyphen/>
        <w:t>ci</w:t>
      </w:r>
      <w:r w:rsidRPr="00911998">
        <w:t xml:space="preserve"> écrit dans son rapport que la situation qui résulte de l’absence de reconnaissance de certains coparents «</w:t>
      </w:r>
      <w:r w:rsidR="006E74A0" w:rsidRPr="00911998">
        <w:t> </w:t>
      </w:r>
      <w:r w:rsidRPr="00911998">
        <w:t xml:space="preserve">crée des inégalités et fragilise le vécu de la famille, </w:t>
      </w:r>
      <w:r w:rsidRPr="00911998">
        <w:rPr>
          <w:u w:val="single"/>
        </w:rPr>
        <w:t>ce qui rejaillit négativement sur le bien-être des enfants concernés</w:t>
      </w:r>
      <w:r w:rsidR="006E74A0" w:rsidRPr="00911998">
        <w:t> </w:t>
      </w:r>
      <w:r w:rsidRPr="00911998">
        <w:t>» (soulignement</w:t>
      </w:r>
      <w:r w:rsidR="001C5CD5">
        <w:t>s</w:t>
      </w:r>
      <w:r w:rsidRPr="00911998">
        <w:t xml:space="preserve"> ajoutés). Or, la preuve ordinaire n’appuie aucunement cette affirmation et la situation des </w:t>
      </w:r>
      <w:r w:rsidR="00436142" w:rsidRPr="00911998">
        <w:t>e</w:t>
      </w:r>
      <w:r w:rsidRPr="00911998">
        <w:t>nfants</w:t>
      </w:r>
      <w:r w:rsidR="00436142" w:rsidRPr="00911998">
        <w:t xml:space="preserve"> des Demandeurs</w:t>
      </w:r>
      <w:r w:rsidR="00273722" w:rsidRPr="00911998">
        <w:t>, qui se développent très bien,</w:t>
      </w:r>
      <w:r w:rsidRPr="00911998">
        <w:t xml:space="preserve"> </w:t>
      </w:r>
      <w:r w:rsidR="00273722" w:rsidRPr="00911998">
        <w:t>tend</w:t>
      </w:r>
      <w:r w:rsidRPr="00911998">
        <w:t xml:space="preserve"> plutôt </w:t>
      </w:r>
      <w:r w:rsidR="00B459D2" w:rsidRPr="00911998">
        <w:t xml:space="preserve">à </w:t>
      </w:r>
      <w:r w:rsidRPr="00911998">
        <w:t>la contredire.</w:t>
      </w:r>
      <w:r w:rsidR="00436142" w:rsidRPr="00911998">
        <w:t xml:space="preserve"> L’opinion non</w:t>
      </w:r>
      <w:r w:rsidR="00A801E5" w:rsidRPr="00911998">
        <w:t xml:space="preserve"> </w:t>
      </w:r>
      <w:r w:rsidR="00436142" w:rsidRPr="00911998">
        <w:t>corroborée du professeur Lavoie selon laquelle la limite de deux liens de filiation a un effet négatif sur le bien</w:t>
      </w:r>
      <w:r w:rsidR="00436142" w:rsidRPr="00911998">
        <w:noBreakHyphen/>
        <w:t xml:space="preserve">être des enfants ne peut </w:t>
      </w:r>
      <w:r w:rsidR="00A801E5" w:rsidRPr="00911998">
        <w:t xml:space="preserve">donc </w:t>
      </w:r>
      <w:r w:rsidR="00436142" w:rsidRPr="00911998">
        <w:t>être retenue.</w:t>
      </w:r>
    </w:p>
    <w:p w14:paraId="088F61DE" w14:textId="6D8B08FB" w:rsidR="00436142" w:rsidRPr="00911998" w:rsidRDefault="00436142" w:rsidP="00436142">
      <w:pPr>
        <w:pStyle w:val="Paragrsimple"/>
        <w:tabs>
          <w:tab w:val="clear" w:pos="360"/>
        </w:tabs>
      </w:pPr>
      <w:r w:rsidRPr="00911998">
        <w:t>Fin de la parenthèse.</w:t>
      </w:r>
    </w:p>
    <w:p w14:paraId="30D814FE" w14:textId="3B011E7D" w:rsidR="00F75CF0" w:rsidRPr="00911998" w:rsidRDefault="00436142" w:rsidP="00C56008">
      <w:pPr>
        <w:pStyle w:val="Paragrsimple"/>
        <w:tabs>
          <w:tab w:val="clear" w:pos="360"/>
        </w:tabs>
      </w:pPr>
      <w:r w:rsidRPr="00911998">
        <w:lastRenderedPageBreak/>
        <w:t>En tout état de cause</w:t>
      </w:r>
      <w:r w:rsidR="00273722" w:rsidRPr="00911998">
        <w:t xml:space="preserve">, la preuve prépondérante permet de conclure que </w:t>
      </w:r>
      <w:r w:rsidR="00CA65B0" w:rsidRPr="00911998">
        <w:t xml:space="preserve">la limite </w:t>
      </w:r>
      <w:r w:rsidR="00273722" w:rsidRPr="00911998">
        <w:t xml:space="preserve">de deux liens de filiation occasionne du stress aux parents qui choisissent un modèle familial </w:t>
      </w:r>
      <w:proofErr w:type="spellStart"/>
      <w:r w:rsidR="00273722" w:rsidRPr="00911998">
        <w:t>pluriparental</w:t>
      </w:r>
      <w:proofErr w:type="spellEnd"/>
      <w:r w:rsidR="00273722" w:rsidRPr="00911998">
        <w:t>. Ce stress survient notamment à l’occasion d’interactions avec des institutions et</w:t>
      </w:r>
      <w:r w:rsidR="003F2A16" w:rsidRPr="00911998">
        <w:t xml:space="preserve"> avec</w:t>
      </w:r>
      <w:r w:rsidR="00273722" w:rsidRPr="00911998">
        <w:t xml:space="preserve"> l’État. Il est plus ressenti en lien avec </w:t>
      </w:r>
      <w:r w:rsidR="00F75CF0" w:rsidRPr="00911998">
        <w:t>le risque que le</w:t>
      </w:r>
      <w:r w:rsidR="009B0883" w:rsidRPr="00911998">
        <w:t>s</w:t>
      </w:r>
      <w:r w:rsidR="00F75CF0" w:rsidRPr="00911998">
        <w:t xml:space="preserve"> parent</w:t>
      </w:r>
      <w:r w:rsidR="009B0883" w:rsidRPr="00911998">
        <w:t>s</w:t>
      </w:r>
      <w:r w:rsidR="00F75CF0" w:rsidRPr="00911998">
        <w:t xml:space="preserve"> non</w:t>
      </w:r>
      <w:r w:rsidR="00A801E5" w:rsidRPr="00911998">
        <w:t xml:space="preserve"> </w:t>
      </w:r>
      <w:r w:rsidR="00F75CF0" w:rsidRPr="00911998">
        <w:t>reconnu</w:t>
      </w:r>
      <w:r w:rsidR="009B0883" w:rsidRPr="00911998">
        <w:t>s</w:t>
      </w:r>
      <w:r w:rsidR="00F75CF0" w:rsidRPr="00911998">
        <w:t xml:space="preserve"> ne puisse</w:t>
      </w:r>
      <w:r w:rsidR="009B0883" w:rsidRPr="00911998">
        <w:t>nt</w:t>
      </w:r>
      <w:r w:rsidR="00F75CF0" w:rsidRPr="00911998">
        <w:t xml:space="preserve"> participer à des décisions qui relèvent de l’exercice de l’autorité parentale </w:t>
      </w:r>
      <w:r w:rsidR="006E74A0" w:rsidRPr="00911998">
        <w:t>—</w:t>
      </w:r>
      <w:r w:rsidR="00F75CF0" w:rsidRPr="00911998">
        <w:t xml:space="preserve"> en particulier </w:t>
      </w:r>
      <w:r w:rsidR="00D957D8" w:rsidRPr="00911998">
        <w:t>celles</w:t>
      </w:r>
      <w:r w:rsidR="00F75CF0" w:rsidRPr="00911998">
        <w:t xml:space="preserve"> </w:t>
      </w:r>
      <w:r w:rsidR="00A801E5" w:rsidRPr="00911998">
        <w:t xml:space="preserve">qui </w:t>
      </w:r>
      <w:r w:rsidR="00F75CF0" w:rsidRPr="00911998">
        <w:t>concern</w:t>
      </w:r>
      <w:r w:rsidR="00A801E5" w:rsidRPr="00911998">
        <w:t>e</w:t>
      </w:r>
      <w:r w:rsidR="00F75CF0" w:rsidRPr="00911998">
        <w:t xml:space="preserve">nt la santé de l’enfant. </w:t>
      </w:r>
    </w:p>
    <w:p w14:paraId="5F5812E0" w14:textId="475E65FE" w:rsidR="00F75CF0" w:rsidRPr="00911998" w:rsidRDefault="00F75CF0" w:rsidP="00C56008">
      <w:pPr>
        <w:pStyle w:val="Paragrsimple"/>
        <w:tabs>
          <w:tab w:val="clear" w:pos="360"/>
        </w:tabs>
      </w:pPr>
      <w:r w:rsidRPr="00911998">
        <w:t xml:space="preserve">La preuve </w:t>
      </w:r>
      <w:r w:rsidR="00052CA1" w:rsidRPr="00911998">
        <w:t xml:space="preserve">prépondérante </w:t>
      </w:r>
      <w:r w:rsidRPr="00911998">
        <w:t xml:space="preserve">révèle également </w:t>
      </w:r>
      <w:r w:rsidR="00052CA1" w:rsidRPr="00911998">
        <w:t xml:space="preserve">que ceux qui adoptent un modèle familial </w:t>
      </w:r>
      <w:proofErr w:type="spellStart"/>
      <w:r w:rsidR="00052CA1" w:rsidRPr="00911998">
        <w:t>pluriparental</w:t>
      </w:r>
      <w:proofErr w:type="spellEnd"/>
      <w:r w:rsidR="00052CA1" w:rsidRPr="00911998">
        <w:t xml:space="preserve"> subissent </w:t>
      </w:r>
      <w:r w:rsidRPr="00911998">
        <w:t>de</w:t>
      </w:r>
      <w:r w:rsidR="00052CA1" w:rsidRPr="00911998">
        <w:t>s</w:t>
      </w:r>
      <w:r w:rsidRPr="00911998">
        <w:t xml:space="preserve"> micro</w:t>
      </w:r>
      <w:r w:rsidRPr="00911998">
        <w:noBreakHyphen/>
        <w:t>agressions. Avec le temps, celles</w:t>
      </w:r>
      <w:r w:rsidRPr="00911998">
        <w:noBreakHyphen/>
        <w:t>ci peuvent sans doute devenir épuisant</w:t>
      </w:r>
      <w:r w:rsidR="004140C0" w:rsidRPr="00911998">
        <w:t>e</w:t>
      </w:r>
      <w:r w:rsidRPr="00911998">
        <w:t>s</w:t>
      </w:r>
      <w:r w:rsidR="00BF12A6" w:rsidRPr="00911998">
        <w:t>. Les personnes qui évoluent dans un m</w:t>
      </w:r>
      <w:r w:rsidRPr="00911998">
        <w:t>odèle familial s’écart</w:t>
      </w:r>
      <w:r w:rsidR="00052CA1" w:rsidRPr="00911998">
        <w:t>ant</w:t>
      </w:r>
      <w:r w:rsidRPr="00911998">
        <w:t xml:space="preserve"> de la norme biparentale </w:t>
      </w:r>
      <w:r w:rsidR="00BF12A6" w:rsidRPr="00911998">
        <w:t xml:space="preserve">sont donc poussées </w:t>
      </w:r>
      <w:r w:rsidR="00052CA1" w:rsidRPr="00911998">
        <w:t>à</w:t>
      </w:r>
      <w:r w:rsidRPr="00911998">
        <w:t xml:space="preserve"> </w:t>
      </w:r>
      <w:r w:rsidR="00BF12A6" w:rsidRPr="00911998">
        <w:t>élaborer</w:t>
      </w:r>
      <w:r w:rsidRPr="00911998">
        <w:t xml:space="preserve"> des stratégies </w:t>
      </w:r>
      <w:r w:rsidR="00BF12A6" w:rsidRPr="00911998">
        <w:t xml:space="preserve">afin de ne pas avoir </w:t>
      </w:r>
      <w:r w:rsidRPr="00911998">
        <w:t>à s’expliquer constamment et à répétition.</w:t>
      </w:r>
    </w:p>
    <w:p w14:paraId="23F7B60B" w14:textId="11359FC0" w:rsidR="00F75CF0" w:rsidRPr="00911998" w:rsidRDefault="00081B05" w:rsidP="00BF12A6">
      <w:pPr>
        <w:pStyle w:val="Paragrsimple"/>
        <w:tabs>
          <w:tab w:val="clear" w:pos="360"/>
        </w:tabs>
      </w:pPr>
      <w:r w:rsidRPr="00911998">
        <w:t xml:space="preserve">Sans vouloir minimiser les désagréments vécus par les parents qui choisissent un modèle familial </w:t>
      </w:r>
      <w:proofErr w:type="spellStart"/>
      <w:r w:rsidRPr="00911998">
        <w:t>pluriparental</w:t>
      </w:r>
      <w:proofErr w:type="spellEnd"/>
      <w:r w:rsidRPr="00911998">
        <w:t xml:space="preserve"> en lien avec l’inexistence de plus de deux liens de filiation, force est de constater que la preuve ne révèle pas d’atteinte </w:t>
      </w:r>
      <w:r w:rsidRPr="00911998">
        <w:rPr>
          <w:u w:val="single"/>
        </w:rPr>
        <w:t>grave</w:t>
      </w:r>
      <w:r w:rsidRPr="00911998">
        <w:t xml:space="preserve"> à l’intégrité psychologique de ceux</w:t>
      </w:r>
      <w:r w:rsidRPr="00911998">
        <w:noBreakHyphen/>
        <w:t>ci ou de leurs enfants.</w:t>
      </w:r>
      <w:r w:rsidR="00E83DA4" w:rsidRPr="00911998">
        <w:t xml:space="preserve"> </w:t>
      </w:r>
      <w:r w:rsidR="003F2A16" w:rsidRPr="00911998">
        <w:t>À vrai dire, p</w:t>
      </w:r>
      <w:r w:rsidR="00E83DA4" w:rsidRPr="00911998">
        <w:t>our ce qui est des enfants des Demandeurs, la preuve n’établit aucune conséquence psychologique de la non</w:t>
      </w:r>
      <w:r w:rsidR="00844220" w:rsidRPr="00911998">
        <w:noBreakHyphen/>
      </w:r>
      <w:r w:rsidR="00E83DA4" w:rsidRPr="00911998">
        <w:t>reconnaissance de plus de deux liens de filiation</w:t>
      </w:r>
      <w:r w:rsidR="00E83DA4" w:rsidRPr="00911998">
        <w:rPr>
          <w:rStyle w:val="Appelnotedebasdep"/>
        </w:rPr>
        <w:footnoteReference w:id="89"/>
      </w:r>
      <w:r w:rsidR="00E83DA4" w:rsidRPr="00911998">
        <w:t>.</w:t>
      </w:r>
    </w:p>
    <w:p w14:paraId="1FDD284A" w14:textId="2F687B1D" w:rsidR="00291897" w:rsidRPr="00911998" w:rsidRDefault="00081B05" w:rsidP="00081B05">
      <w:pPr>
        <w:pStyle w:val="Paragrsimple"/>
        <w:tabs>
          <w:tab w:val="clear" w:pos="360"/>
        </w:tabs>
      </w:pPr>
      <w:r w:rsidRPr="00911998">
        <w:t>Nous sommes loin d’une situation comme celle</w:t>
      </w:r>
      <w:r w:rsidR="004140C0" w:rsidRPr="00911998">
        <w:t>s</w:t>
      </w:r>
      <w:r w:rsidRPr="00911998">
        <w:t xml:space="preserve"> en </w:t>
      </w:r>
      <w:proofErr w:type="gramStart"/>
      <w:r w:rsidRPr="00911998">
        <w:t>cause</w:t>
      </w:r>
      <w:proofErr w:type="gramEnd"/>
      <w:r w:rsidRPr="00911998">
        <w:t xml:space="preserve"> dans les arrêts </w:t>
      </w:r>
      <w:r w:rsidRPr="00911998">
        <w:rPr>
          <w:i/>
          <w:iCs/>
        </w:rPr>
        <w:t>G. (J.)</w:t>
      </w:r>
      <w:r w:rsidRPr="00911998">
        <w:t xml:space="preserve"> et </w:t>
      </w:r>
      <w:r w:rsidRPr="00911998">
        <w:rPr>
          <w:i/>
          <w:iCs/>
        </w:rPr>
        <w:t xml:space="preserve">K.L.W. </w:t>
      </w:r>
      <w:r w:rsidRPr="00911998">
        <w:t>o</w:t>
      </w:r>
      <w:r w:rsidRPr="00911998">
        <w:rPr>
          <w:rFonts w:cs="Arial"/>
        </w:rPr>
        <w:t>ù</w:t>
      </w:r>
      <w:r w:rsidRPr="00911998">
        <w:t xml:space="preserve"> l’État retire à un parent la garde de son enfant</w:t>
      </w:r>
      <w:r w:rsidR="009E7500" w:rsidRPr="00911998">
        <w:t xml:space="preserve"> par voie d’appréhension</w:t>
      </w:r>
      <w:r w:rsidRPr="00911998">
        <w:t xml:space="preserve">. </w:t>
      </w:r>
      <w:r w:rsidR="00844220" w:rsidRPr="00911998">
        <w:t xml:space="preserve">Comme nous le verrons, </w:t>
      </w:r>
      <w:r w:rsidR="00CA65B0" w:rsidRPr="00911998">
        <w:t>la limite</w:t>
      </w:r>
      <w:r w:rsidRPr="00911998">
        <w:t xml:space="preserve"> de deux liens de filiation ne signifie aucunement que le parent non</w:t>
      </w:r>
      <w:r w:rsidR="00A801E5" w:rsidRPr="00911998">
        <w:t xml:space="preserve"> </w:t>
      </w:r>
      <w:r w:rsidRPr="00911998">
        <w:t xml:space="preserve">reconnu </w:t>
      </w:r>
      <w:r w:rsidR="000D37EA" w:rsidRPr="00911998">
        <w:t>sera écarté de la vie de son enfant</w:t>
      </w:r>
      <w:r w:rsidR="0069544B" w:rsidRPr="00911998">
        <w:rPr>
          <w:rStyle w:val="Appelnotedebasdep"/>
        </w:rPr>
        <w:footnoteReference w:id="90"/>
      </w:r>
      <w:r w:rsidR="000D37EA" w:rsidRPr="00911998">
        <w:t>.</w:t>
      </w:r>
      <w:r w:rsidR="00291897" w:rsidRPr="00911998">
        <w:t xml:space="preserve"> </w:t>
      </w:r>
      <w:r w:rsidR="003F2A16" w:rsidRPr="00911998">
        <w:t>L</w:t>
      </w:r>
      <w:r w:rsidR="00291897" w:rsidRPr="00911998">
        <w:t xml:space="preserve">a preuve quant aux conséquences psychologiques de l’absence de reconnaissance évoque plutôt le passage suivant des motifs du juge en chef Lamer dans </w:t>
      </w:r>
      <w:r w:rsidR="00291897" w:rsidRPr="00911998">
        <w:rPr>
          <w:i/>
          <w:iCs/>
        </w:rPr>
        <w:t>G. (J.)</w:t>
      </w:r>
      <w:r w:rsidR="00EA1FAB" w:rsidRPr="00911998">
        <w:rPr>
          <w:rStyle w:val="Appelnotedebasdep"/>
        </w:rPr>
        <w:footnoteReference w:id="91"/>
      </w:r>
      <w:r w:rsidR="00291897" w:rsidRPr="00911998">
        <w:rPr>
          <w:i/>
          <w:iCs/>
        </w:rPr>
        <w:t> </w:t>
      </w:r>
      <w:r w:rsidR="00291897" w:rsidRPr="00911998">
        <w:t>:</w:t>
      </w:r>
    </w:p>
    <w:p w14:paraId="624321DF" w14:textId="5A0FA1A8" w:rsidR="00291897" w:rsidRPr="00911998" w:rsidRDefault="00291897" w:rsidP="00291897">
      <w:pPr>
        <w:ind w:left="567" w:right="560"/>
        <w:jc w:val="both"/>
        <w:rPr>
          <w:sz w:val="22"/>
          <w:szCs w:val="22"/>
        </w:rPr>
      </w:pPr>
      <w:proofErr w:type="gramStart"/>
      <w:r w:rsidRPr="00911998">
        <w:rPr>
          <w:sz w:val="22"/>
          <w:szCs w:val="22"/>
        </w:rPr>
        <w:t>59  </w:t>
      </w:r>
      <w:r w:rsidRPr="00911998">
        <w:rPr>
          <w:rFonts w:cs="Arial"/>
          <w:sz w:val="22"/>
          <w:szCs w:val="22"/>
        </w:rPr>
        <w:t>[</w:t>
      </w:r>
      <w:proofErr w:type="gramEnd"/>
      <w:r w:rsidRPr="00911998">
        <w:rPr>
          <w:rFonts w:cs="Arial"/>
          <w:sz w:val="22"/>
          <w:szCs w:val="22"/>
        </w:rPr>
        <w:t>…]</w:t>
      </w:r>
      <w:r w:rsidRPr="00911998">
        <w:rPr>
          <w:sz w:val="22"/>
          <w:szCs w:val="22"/>
        </w:rPr>
        <w:t xml:space="preserve">  Il est manifeste que le droit à la sécurité de la personne ne protège pas l’individu contre les tensions et les angoisses ordinaires qu’une personne ayant une sensibilité raisonnable éprouverait par suite d’un acte gouvernemental.  Si le droit était interprété de manière aussi large, d’innombrables initiatives gouvernementales pourraient être contestées au motif qu’elles violent le droit à la sécurité de la personne, ce qui élargirait considérablement l’étendue du contrôle judiciaire, et partant, banaliserait la protection constitutionnelle des droits. </w:t>
      </w:r>
      <w:r w:rsidRPr="00911998">
        <w:rPr>
          <w:rFonts w:cs="Arial"/>
          <w:sz w:val="22"/>
          <w:szCs w:val="22"/>
        </w:rPr>
        <w:t>[…]</w:t>
      </w:r>
    </w:p>
    <w:p w14:paraId="32EBD9F1" w14:textId="2984AE6A" w:rsidR="00081B05" w:rsidRPr="00911998" w:rsidRDefault="0069544B" w:rsidP="00081B05">
      <w:pPr>
        <w:pStyle w:val="Paragrsimple"/>
        <w:tabs>
          <w:tab w:val="clear" w:pos="360"/>
        </w:tabs>
      </w:pPr>
      <w:r w:rsidRPr="00911998">
        <w:lastRenderedPageBreak/>
        <w:t xml:space="preserve"> </w:t>
      </w:r>
      <w:r w:rsidR="00291897" w:rsidRPr="00911998">
        <w:t xml:space="preserve">En définitive, </w:t>
      </w:r>
      <w:r w:rsidR="002208B9" w:rsidRPr="00911998">
        <w:t xml:space="preserve">le stress, l’insécurité, l’incertitude et les désagréments dont </w:t>
      </w:r>
      <w:r w:rsidR="004140C0" w:rsidRPr="00911998">
        <w:t>il est question dans</w:t>
      </w:r>
      <w:r w:rsidR="002208B9" w:rsidRPr="00911998">
        <w:t xml:space="preserve"> la preuve ne constituent pas des ingérences graves et profondes </w:t>
      </w:r>
      <w:r w:rsidR="004140C0" w:rsidRPr="00911998">
        <w:t>dans</w:t>
      </w:r>
      <w:r w:rsidR="002208B9" w:rsidRPr="00911998">
        <w:t xml:space="preserve"> l’intégrité psychologique des parents qui choisissent un modèle familial </w:t>
      </w:r>
      <w:proofErr w:type="spellStart"/>
      <w:r w:rsidR="00336A50" w:rsidRPr="00911998">
        <w:t>pluriparental</w:t>
      </w:r>
      <w:proofErr w:type="spellEnd"/>
      <w:r w:rsidR="002208B9" w:rsidRPr="00911998">
        <w:t>. Le droit à la sécurité de la personne n’est pas en jeu.</w:t>
      </w:r>
    </w:p>
    <w:p w14:paraId="6491F7E5" w14:textId="49F659BE" w:rsidR="00E83DA4" w:rsidRPr="00911998" w:rsidRDefault="007B494D" w:rsidP="00E83DA4">
      <w:pPr>
        <w:pStyle w:val="Paragrsimple"/>
        <w:tabs>
          <w:tab w:val="clear" w:pos="360"/>
        </w:tabs>
      </w:pPr>
      <w:r w:rsidRPr="00911998">
        <w:t xml:space="preserve">Quant aux arguments des Demandeurs fondés sur le fait que les parents dont la filiation n’est pas reconnue ne bénéficient pas des mêmes droits et responsabilités à l’égard de leurs enfants </w:t>
      </w:r>
      <w:r w:rsidR="009431F9" w:rsidRPr="00911998">
        <w:t>que</w:t>
      </w:r>
      <w:r w:rsidR="00AC2764" w:rsidRPr="00911998">
        <w:t xml:space="preserve"> ceux</w:t>
      </w:r>
      <w:r w:rsidRPr="00911998">
        <w:t xml:space="preserve"> qui profitent d’un lien de filiation</w:t>
      </w:r>
      <w:r w:rsidR="00004FAC" w:rsidRPr="00911998">
        <w:rPr>
          <w:rStyle w:val="Appelnotedebasdep"/>
        </w:rPr>
        <w:footnoteReference w:id="92"/>
      </w:r>
      <w:r w:rsidRPr="00911998">
        <w:t xml:space="preserve">, ils relèvent surtout du droit à l’égalité protégé par l’article 15 de la </w:t>
      </w:r>
      <w:r w:rsidRPr="00911998">
        <w:rPr>
          <w:i/>
          <w:iCs/>
        </w:rPr>
        <w:t xml:space="preserve">Charte canadienne </w:t>
      </w:r>
      <w:r w:rsidRPr="00911998">
        <w:t>et non d</w:t>
      </w:r>
      <w:r w:rsidR="00844220" w:rsidRPr="00911998">
        <w:t>u</w:t>
      </w:r>
      <w:r w:rsidRPr="00911998">
        <w:t xml:space="preserve"> droit à la sécurité de la personne.</w:t>
      </w:r>
    </w:p>
    <w:p w14:paraId="3326E9B0" w14:textId="5CAA78EF" w:rsidR="002208B9" w:rsidRPr="00911998" w:rsidRDefault="002208B9" w:rsidP="001C5CD5">
      <w:pPr>
        <w:pStyle w:val="Titre5"/>
      </w:pPr>
      <w:r w:rsidRPr="00911998">
        <w:t>Le droit à la liberté n’est pas violé</w:t>
      </w:r>
    </w:p>
    <w:p w14:paraId="489061C4" w14:textId="38BEEA12" w:rsidR="0019467B" w:rsidRPr="00911998" w:rsidRDefault="0019467B" w:rsidP="0019467B">
      <w:pPr>
        <w:pStyle w:val="Paragrsimple"/>
        <w:tabs>
          <w:tab w:val="clear" w:pos="360"/>
        </w:tabs>
      </w:pPr>
      <w:r w:rsidRPr="00911998">
        <w:t xml:space="preserve">Les Demandeurs dans le </w:t>
      </w:r>
      <w:r w:rsidR="00253804" w:rsidRPr="00911998">
        <w:t>D</w:t>
      </w:r>
      <w:r w:rsidRPr="00911998">
        <w:t xml:space="preserve">ossier de la Coalition soutiennent que </w:t>
      </w:r>
      <w:r w:rsidR="00253804" w:rsidRPr="00911998">
        <w:t>la limite</w:t>
      </w:r>
      <w:r w:rsidRPr="00911998">
        <w:t xml:space="preserve"> de deux liens de filiation porte atteinte au droit à la liberté protégé par l’article 7 de la </w:t>
      </w:r>
      <w:r w:rsidRPr="00911998">
        <w:rPr>
          <w:i/>
          <w:iCs/>
        </w:rPr>
        <w:t>Charte canadienne</w:t>
      </w:r>
      <w:r w:rsidRPr="00911998">
        <w:t xml:space="preserve">. </w:t>
      </w:r>
      <w:r w:rsidR="00253804" w:rsidRPr="00911998">
        <w:t>Selon eux, cette limite</w:t>
      </w:r>
      <w:r w:rsidRPr="00911998">
        <w:t> : 1) impose une forme d’aménagement familial et 2) brime la liberté parentale.</w:t>
      </w:r>
    </w:p>
    <w:p w14:paraId="2EC00B11" w14:textId="0540729B" w:rsidR="0019467B" w:rsidRPr="00911998" w:rsidRDefault="00C549E0" w:rsidP="002208B9">
      <w:pPr>
        <w:pStyle w:val="Paragrsimple"/>
        <w:tabs>
          <w:tab w:val="clear" w:pos="360"/>
        </w:tabs>
      </w:pPr>
      <w:r w:rsidRPr="00911998">
        <w:t xml:space="preserve">Commençons par l’argument selon lequel il y a imposition d’une forme d’aménagement familial. </w:t>
      </w:r>
      <w:r w:rsidR="0019467B" w:rsidRPr="00911998">
        <w:t>Ce</w:t>
      </w:r>
      <w:r w:rsidRPr="00911998">
        <w:t xml:space="preserve"> moyen exige que </w:t>
      </w:r>
      <w:r w:rsidR="0019467B" w:rsidRPr="00911998">
        <w:t xml:space="preserve">l’on </w:t>
      </w:r>
      <w:r w:rsidRPr="00911998">
        <w:t xml:space="preserve">se penche sur la jurisprudence de la Cour suprême du Canada concernant </w:t>
      </w:r>
      <w:r w:rsidR="0019467B" w:rsidRPr="00911998">
        <w:t>la portée du droit à la liberté garanti par l’article</w:t>
      </w:r>
      <w:r w:rsidRPr="00911998">
        <w:t> </w:t>
      </w:r>
      <w:r w:rsidR="0019467B" w:rsidRPr="00911998">
        <w:t>7</w:t>
      </w:r>
      <w:r w:rsidR="00253804" w:rsidRPr="00911998">
        <w:t> </w:t>
      </w:r>
      <w:r w:rsidR="0019467B" w:rsidRPr="00911998">
        <w:t xml:space="preserve">de la </w:t>
      </w:r>
      <w:r w:rsidR="0019467B" w:rsidRPr="00911998">
        <w:rPr>
          <w:i/>
          <w:iCs/>
        </w:rPr>
        <w:t>Charte canadienne</w:t>
      </w:r>
      <w:r w:rsidR="0019467B" w:rsidRPr="00911998">
        <w:t xml:space="preserve">. </w:t>
      </w:r>
    </w:p>
    <w:p w14:paraId="69B15BA8" w14:textId="3C7EF466" w:rsidR="00141678" w:rsidRPr="00911998" w:rsidRDefault="00C549E0" w:rsidP="00D307E3">
      <w:pPr>
        <w:pStyle w:val="Paragrsimple"/>
        <w:tabs>
          <w:tab w:val="clear" w:pos="360"/>
        </w:tabs>
      </w:pPr>
      <w:r w:rsidRPr="00911998">
        <w:rPr>
          <w:szCs w:val="24"/>
        </w:rPr>
        <w:t>Dès 1988, d</w:t>
      </w:r>
      <w:r w:rsidR="00DF7EC9" w:rsidRPr="00911998">
        <w:rPr>
          <w:szCs w:val="24"/>
        </w:rPr>
        <w:t xml:space="preserve">ans ses motifs concordants dans l’arrêt </w:t>
      </w:r>
      <w:r w:rsidR="00DF7EC9" w:rsidRPr="00911998">
        <w:rPr>
          <w:i/>
          <w:iCs/>
          <w:szCs w:val="24"/>
        </w:rPr>
        <w:t>Morgentaler</w:t>
      </w:r>
      <w:r w:rsidR="00DF7EC9" w:rsidRPr="00911998">
        <w:rPr>
          <w:szCs w:val="24"/>
        </w:rPr>
        <w:t xml:space="preserve">, la juge Wilson propose une acception large du droit à la liberté </w:t>
      </w:r>
      <w:r w:rsidR="00DF7EC9" w:rsidRPr="00911998">
        <w:t>garanti</w:t>
      </w:r>
      <w:r w:rsidR="00DF7EC9" w:rsidRPr="00911998">
        <w:rPr>
          <w:szCs w:val="24"/>
        </w:rPr>
        <w:t xml:space="preserve"> à l’article 7 de la </w:t>
      </w:r>
      <w:r w:rsidR="00DF7EC9" w:rsidRPr="00911998">
        <w:rPr>
          <w:i/>
          <w:iCs/>
          <w:szCs w:val="24"/>
        </w:rPr>
        <w:t>Charte canadienne</w:t>
      </w:r>
      <w:r w:rsidR="00DF7EC9" w:rsidRPr="00911998">
        <w:rPr>
          <w:szCs w:val="24"/>
        </w:rPr>
        <w:t xml:space="preserve">, laquelle </w:t>
      </w:r>
      <w:r w:rsidRPr="00911998">
        <w:rPr>
          <w:szCs w:val="24"/>
        </w:rPr>
        <w:t>protège</w:t>
      </w:r>
      <w:r w:rsidR="00DF7EC9" w:rsidRPr="00911998">
        <w:rPr>
          <w:szCs w:val="24"/>
        </w:rPr>
        <w:t>, outre la liberté physique, la dignité humaine, la vie privée et une mesure d’autonomie individuelle</w:t>
      </w:r>
      <w:r w:rsidR="00DF7EC9" w:rsidRPr="00911998">
        <w:rPr>
          <w:rStyle w:val="Appelnotedebasdep"/>
          <w:szCs w:val="24"/>
        </w:rPr>
        <w:footnoteReference w:id="93"/>
      </w:r>
      <w:r w:rsidR="00DF7EC9" w:rsidRPr="00911998">
        <w:rPr>
          <w:szCs w:val="24"/>
        </w:rPr>
        <w:t xml:space="preserve">. </w:t>
      </w:r>
      <w:r w:rsidR="00D307E3" w:rsidRPr="00911998">
        <w:rPr>
          <w:szCs w:val="24"/>
        </w:rPr>
        <w:t>Cette vision de la portée du droit à la liberté est repris</w:t>
      </w:r>
      <w:r w:rsidR="00141678" w:rsidRPr="00911998">
        <w:rPr>
          <w:szCs w:val="24"/>
        </w:rPr>
        <w:t>e</w:t>
      </w:r>
      <w:r w:rsidR="00D307E3" w:rsidRPr="00911998">
        <w:rPr>
          <w:szCs w:val="24"/>
        </w:rPr>
        <w:t xml:space="preserve"> quelques années plus tard par le juge La</w:t>
      </w:r>
      <w:r w:rsidR="00141678" w:rsidRPr="00911998">
        <w:rPr>
          <w:szCs w:val="24"/>
        </w:rPr>
        <w:t xml:space="preserve"> </w:t>
      </w:r>
      <w:r w:rsidR="00D307E3" w:rsidRPr="00911998">
        <w:rPr>
          <w:szCs w:val="24"/>
        </w:rPr>
        <w:t xml:space="preserve">Forest dans ses motifs dans </w:t>
      </w:r>
      <w:r w:rsidR="00141678" w:rsidRPr="00911998">
        <w:rPr>
          <w:szCs w:val="24"/>
        </w:rPr>
        <w:t>les arrêts</w:t>
      </w:r>
      <w:r w:rsidR="00D307E3" w:rsidRPr="00911998">
        <w:rPr>
          <w:szCs w:val="24"/>
        </w:rPr>
        <w:t xml:space="preserve"> </w:t>
      </w:r>
      <w:r w:rsidR="00D307E3" w:rsidRPr="00911998">
        <w:rPr>
          <w:rFonts w:cs="Arial"/>
          <w:i/>
          <w:iCs/>
        </w:rPr>
        <w:t>B. (R.) c. </w:t>
      </w:r>
      <w:proofErr w:type="spellStart"/>
      <w:r w:rsidR="00D307E3" w:rsidRPr="00911998">
        <w:rPr>
          <w:rFonts w:cs="Arial"/>
          <w:i/>
          <w:iCs/>
        </w:rPr>
        <w:t>Children's</w:t>
      </w:r>
      <w:proofErr w:type="spellEnd"/>
      <w:r w:rsidR="00D307E3" w:rsidRPr="00911998">
        <w:rPr>
          <w:rFonts w:cs="Arial"/>
          <w:i/>
          <w:iCs/>
        </w:rPr>
        <w:t xml:space="preserve"> </w:t>
      </w:r>
      <w:proofErr w:type="spellStart"/>
      <w:r w:rsidR="00D307E3" w:rsidRPr="00911998">
        <w:rPr>
          <w:rFonts w:cs="Arial"/>
          <w:i/>
          <w:iCs/>
        </w:rPr>
        <w:t>Aid</w:t>
      </w:r>
      <w:proofErr w:type="spellEnd"/>
      <w:r w:rsidR="00D307E3" w:rsidRPr="00911998">
        <w:rPr>
          <w:rFonts w:cs="Arial"/>
          <w:i/>
          <w:iCs/>
        </w:rPr>
        <w:t xml:space="preserve"> Society of </w:t>
      </w:r>
      <w:proofErr w:type="spellStart"/>
      <w:r w:rsidR="00D307E3" w:rsidRPr="00911998">
        <w:rPr>
          <w:rFonts w:cs="Arial"/>
          <w:i/>
          <w:iCs/>
        </w:rPr>
        <w:t>Metropolitan</w:t>
      </w:r>
      <w:proofErr w:type="spellEnd"/>
      <w:r w:rsidR="00D307E3" w:rsidRPr="00911998">
        <w:rPr>
          <w:rFonts w:cs="Arial"/>
          <w:i/>
          <w:iCs/>
        </w:rPr>
        <w:t xml:space="preserve"> Toronto</w:t>
      </w:r>
      <w:r w:rsidR="00D307E3" w:rsidRPr="00911998">
        <w:rPr>
          <w:rStyle w:val="Appelnotedebasdep"/>
          <w:rFonts w:cs="Arial"/>
        </w:rPr>
        <w:footnoteReference w:id="94"/>
      </w:r>
      <w:r w:rsidR="00C0670E" w:rsidRPr="00911998">
        <w:rPr>
          <w:rFonts w:cs="Arial"/>
          <w:i/>
          <w:iCs/>
        </w:rPr>
        <w:t xml:space="preserve"> </w:t>
      </w:r>
      <w:r w:rsidR="00C0670E" w:rsidRPr="00911998">
        <w:rPr>
          <w:rFonts w:cs="Arial"/>
        </w:rPr>
        <w:t>(avec l’accord des juges L’Heureux</w:t>
      </w:r>
      <w:r w:rsidR="00C0670E" w:rsidRPr="00911998">
        <w:rPr>
          <w:rFonts w:cs="Arial"/>
        </w:rPr>
        <w:noBreakHyphen/>
        <w:t xml:space="preserve">Dubé, Gonthier et </w:t>
      </w:r>
      <w:proofErr w:type="spellStart"/>
      <w:r w:rsidR="00C0670E" w:rsidRPr="00911998">
        <w:rPr>
          <w:rFonts w:cs="Arial"/>
        </w:rPr>
        <w:t>McLachlin</w:t>
      </w:r>
      <w:proofErr w:type="spellEnd"/>
      <w:r w:rsidR="00C0670E" w:rsidRPr="00911998">
        <w:rPr>
          <w:rFonts w:cs="Arial"/>
        </w:rPr>
        <w:t>)</w:t>
      </w:r>
      <w:r w:rsidR="00D307E3" w:rsidRPr="00911998">
        <w:rPr>
          <w:rFonts w:cs="Arial"/>
        </w:rPr>
        <w:t xml:space="preserve"> et </w:t>
      </w:r>
      <w:r w:rsidR="00141678" w:rsidRPr="00911998">
        <w:rPr>
          <w:i/>
          <w:iCs/>
        </w:rPr>
        <w:t>Godbout c. Longueuil (Ville)</w:t>
      </w:r>
      <w:r w:rsidR="00141678" w:rsidRPr="00911998">
        <w:rPr>
          <w:rStyle w:val="Appelnotedebasdep"/>
        </w:rPr>
        <w:footnoteReference w:id="95"/>
      </w:r>
      <w:r w:rsidR="00C0670E" w:rsidRPr="00911998">
        <w:t xml:space="preserve"> (avec l’accord des juges L’Heureux-Dubé et </w:t>
      </w:r>
      <w:proofErr w:type="spellStart"/>
      <w:r w:rsidR="00C0670E" w:rsidRPr="00911998">
        <w:t>McLachlin</w:t>
      </w:r>
      <w:proofErr w:type="spellEnd"/>
      <w:r w:rsidR="00C0670E" w:rsidRPr="00911998">
        <w:t>)</w:t>
      </w:r>
      <w:r w:rsidR="00141678" w:rsidRPr="00911998">
        <w:t>.</w:t>
      </w:r>
    </w:p>
    <w:p w14:paraId="53AEE3E5" w14:textId="50B59C3C" w:rsidR="000A75F2" w:rsidRPr="00911998" w:rsidRDefault="00253804" w:rsidP="00141678">
      <w:pPr>
        <w:pStyle w:val="Paragrsimple"/>
        <w:tabs>
          <w:tab w:val="clear" w:pos="360"/>
        </w:tabs>
      </w:pPr>
      <w:r w:rsidRPr="00911998">
        <w:t>L</w:t>
      </w:r>
      <w:r w:rsidR="005A7887" w:rsidRPr="00911998">
        <w:t xml:space="preserve">es motifs de la juge Wilson dans </w:t>
      </w:r>
      <w:r w:rsidR="005A7887" w:rsidRPr="00911998">
        <w:rPr>
          <w:i/>
          <w:iCs/>
        </w:rPr>
        <w:t>Morgentaler</w:t>
      </w:r>
      <w:r w:rsidR="005A7887" w:rsidRPr="00911998">
        <w:t xml:space="preserve"> et du juge La Forest dans </w:t>
      </w:r>
      <w:r w:rsidR="005A7887" w:rsidRPr="00911998">
        <w:rPr>
          <w:i/>
          <w:iCs/>
        </w:rPr>
        <w:t xml:space="preserve">B. (R.) </w:t>
      </w:r>
      <w:r w:rsidR="005A7887" w:rsidRPr="00911998">
        <w:t xml:space="preserve">et </w:t>
      </w:r>
      <w:r w:rsidR="005A7887" w:rsidRPr="00911998">
        <w:rPr>
          <w:i/>
          <w:iCs/>
        </w:rPr>
        <w:t xml:space="preserve">Godbout </w:t>
      </w:r>
      <w:r w:rsidR="005A7887" w:rsidRPr="00911998">
        <w:t>ne reçoivent pas l’</w:t>
      </w:r>
      <w:r w:rsidR="00EA4E50" w:rsidRPr="00911998">
        <w:t>aval</w:t>
      </w:r>
      <w:r w:rsidR="005A7887" w:rsidRPr="00911998">
        <w:t xml:space="preserve"> d’une majorité </w:t>
      </w:r>
      <w:r w:rsidR="00B553B6" w:rsidRPr="00911998">
        <w:t xml:space="preserve">des juges </w:t>
      </w:r>
      <w:r w:rsidR="005A7887" w:rsidRPr="00911998">
        <w:t>de la Cour suprême du Canada dans ces affaires</w:t>
      </w:r>
      <w:r w:rsidRPr="00911998">
        <w:t>. Toutefois</w:t>
      </w:r>
      <w:r w:rsidR="005A7887" w:rsidRPr="00911998">
        <w:t xml:space="preserve">, il est </w:t>
      </w:r>
      <w:r w:rsidRPr="00911998">
        <w:t>maintenant</w:t>
      </w:r>
      <w:r w:rsidR="005A7887" w:rsidRPr="00911998">
        <w:t xml:space="preserve"> établi que </w:t>
      </w:r>
      <w:r w:rsidR="005A7887" w:rsidRPr="00911998">
        <w:rPr>
          <w:szCs w:val="24"/>
        </w:rPr>
        <w:t>le droit à la liberté</w:t>
      </w:r>
      <w:r w:rsidR="005A7887" w:rsidRPr="00911998">
        <w:t xml:space="preserve"> </w:t>
      </w:r>
      <w:r w:rsidRPr="00911998">
        <w:t>n’est</w:t>
      </w:r>
      <w:r w:rsidR="005A7887" w:rsidRPr="00911998">
        <w:t xml:space="preserve"> pas </w:t>
      </w:r>
      <w:r w:rsidRPr="00911998">
        <w:t xml:space="preserve">limité </w:t>
      </w:r>
      <w:r w:rsidR="005A7887" w:rsidRPr="00911998">
        <w:t xml:space="preserve">au droit d’être à l’abri de toute contrainte </w:t>
      </w:r>
      <w:r w:rsidR="005A7887" w:rsidRPr="00911998">
        <w:rPr>
          <w:szCs w:val="24"/>
        </w:rPr>
        <w:t>physique</w:t>
      </w:r>
      <w:r w:rsidR="005A7887" w:rsidRPr="00911998">
        <w:rPr>
          <w:rStyle w:val="Appelnotedebasdep"/>
          <w:szCs w:val="24"/>
        </w:rPr>
        <w:footnoteReference w:id="96"/>
      </w:r>
      <w:r w:rsidR="005A7887" w:rsidRPr="00911998">
        <w:rPr>
          <w:szCs w:val="24"/>
        </w:rPr>
        <w:t xml:space="preserve">. </w:t>
      </w:r>
    </w:p>
    <w:p w14:paraId="31A161ED" w14:textId="25C69BB8" w:rsidR="000E2948" w:rsidRPr="00911998" w:rsidRDefault="00C549E0" w:rsidP="00141678">
      <w:pPr>
        <w:pStyle w:val="Paragrsimple"/>
        <w:tabs>
          <w:tab w:val="clear" w:pos="360"/>
        </w:tabs>
      </w:pPr>
      <w:r w:rsidRPr="00911998">
        <w:rPr>
          <w:szCs w:val="24"/>
        </w:rPr>
        <w:lastRenderedPageBreak/>
        <w:t xml:space="preserve">En effet, dans l’arrêt </w:t>
      </w:r>
      <w:proofErr w:type="spellStart"/>
      <w:r w:rsidRPr="00911998">
        <w:rPr>
          <w:i/>
          <w:iCs/>
          <w:szCs w:val="24"/>
        </w:rPr>
        <w:t>Blencoe</w:t>
      </w:r>
      <w:proofErr w:type="spellEnd"/>
      <w:r w:rsidRPr="00911998">
        <w:rPr>
          <w:i/>
          <w:iCs/>
          <w:szCs w:val="24"/>
        </w:rPr>
        <w:t xml:space="preserve"> </w:t>
      </w:r>
      <w:r w:rsidRPr="00911998">
        <w:rPr>
          <w:rFonts w:cs="Arial"/>
          <w:i/>
          <w:iCs/>
          <w:shd w:val="clear" w:color="auto" w:fill="FFFFFF"/>
        </w:rPr>
        <w:t xml:space="preserve">c. Colombie-Britannique (Human </w:t>
      </w:r>
      <w:proofErr w:type="spellStart"/>
      <w:r w:rsidRPr="00911998">
        <w:rPr>
          <w:rFonts w:cs="Arial"/>
          <w:i/>
          <w:iCs/>
          <w:shd w:val="clear" w:color="auto" w:fill="FFFFFF"/>
        </w:rPr>
        <w:t>Rights</w:t>
      </w:r>
      <w:proofErr w:type="spellEnd"/>
      <w:r w:rsidRPr="00911998">
        <w:rPr>
          <w:rFonts w:cs="Arial"/>
          <w:i/>
          <w:iCs/>
          <w:shd w:val="clear" w:color="auto" w:fill="FFFFFF"/>
        </w:rPr>
        <w:t xml:space="preserve"> Commission)</w:t>
      </w:r>
      <w:r w:rsidRPr="00911998">
        <w:rPr>
          <w:rFonts w:cs="Arial"/>
          <w:shd w:val="clear" w:color="auto" w:fill="FFFFFF"/>
        </w:rPr>
        <w:t xml:space="preserve">, le juge Bastarache </w:t>
      </w:r>
      <w:r w:rsidR="00EA4E50" w:rsidRPr="00911998">
        <w:rPr>
          <w:rFonts w:cs="Arial"/>
          <w:shd w:val="clear" w:color="auto" w:fill="FFFFFF"/>
        </w:rPr>
        <w:t xml:space="preserve">— </w:t>
      </w:r>
      <w:r w:rsidRPr="00911998">
        <w:rPr>
          <w:rFonts w:cs="Arial"/>
          <w:shd w:val="clear" w:color="auto" w:fill="FFFFFF"/>
        </w:rPr>
        <w:t xml:space="preserve">au nom d’une majorité de cinq juges </w:t>
      </w:r>
      <w:r w:rsidR="00EA4E50" w:rsidRPr="00911998">
        <w:rPr>
          <w:rFonts w:cs="Arial"/>
          <w:shd w:val="clear" w:color="auto" w:fill="FFFFFF"/>
        </w:rPr>
        <w:t>—</w:t>
      </w:r>
      <w:r w:rsidRPr="00911998">
        <w:rPr>
          <w:rFonts w:cs="Arial"/>
          <w:shd w:val="clear" w:color="auto" w:fill="FFFFFF"/>
        </w:rPr>
        <w:t xml:space="preserve"> </w:t>
      </w:r>
      <w:r w:rsidR="00A826FB" w:rsidRPr="00911998">
        <w:rPr>
          <w:rFonts w:cs="Arial"/>
          <w:shd w:val="clear" w:color="auto" w:fill="FFFFFF"/>
        </w:rPr>
        <w:t>s’appuie</w:t>
      </w:r>
      <w:r w:rsidRPr="00911998">
        <w:rPr>
          <w:rFonts w:cs="Arial"/>
          <w:shd w:val="clear" w:color="auto" w:fill="FFFFFF"/>
        </w:rPr>
        <w:t xml:space="preserve"> notamment </w:t>
      </w:r>
      <w:r w:rsidR="00A826FB" w:rsidRPr="00911998">
        <w:rPr>
          <w:rFonts w:cs="Arial"/>
          <w:shd w:val="clear" w:color="auto" w:fill="FFFFFF"/>
        </w:rPr>
        <w:t>sur</w:t>
      </w:r>
      <w:r w:rsidRPr="00911998">
        <w:rPr>
          <w:rFonts w:cs="Arial"/>
          <w:shd w:val="clear" w:color="auto" w:fill="FFFFFF"/>
        </w:rPr>
        <w:t xml:space="preserve"> </w:t>
      </w:r>
      <w:r w:rsidR="00B553B6" w:rsidRPr="00911998">
        <w:rPr>
          <w:rFonts w:cs="Arial"/>
          <w:shd w:val="clear" w:color="auto" w:fill="FFFFFF"/>
        </w:rPr>
        <w:t xml:space="preserve">les </w:t>
      </w:r>
      <w:r w:rsidRPr="00911998">
        <w:rPr>
          <w:rFonts w:cs="Arial"/>
          <w:shd w:val="clear" w:color="auto" w:fill="FFFFFF"/>
        </w:rPr>
        <w:t xml:space="preserve">motifs de la juge Wilson dans </w:t>
      </w:r>
      <w:r w:rsidRPr="00911998">
        <w:rPr>
          <w:rFonts w:cs="Arial"/>
          <w:i/>
          <w:iCs/>
          <w:shd w:val="clear" w:color="auto" w:fill="FFFFFF"/>
        </w:rPr>
        <w:t>Morgentaler</w:t>
      </w:r>
      <w:r w:rsidR="00EA4E50" w:rsidRPr="00911998">
        <w:rPr>
          <w:rFonts w:cs="Arial"/>
          <w:shd w:val="clear" w:color="auto" w:fill="FFFFFF"/>
        </w:rPr>
        <w:t>,</w:t>
      </w:r>
      <w:r w:rsidRPr="00911998">
        <w:rPr>
          <w:rFonts w:cs="Arial"/>
          <w:i/>
          <w:iCs/>
          <w:shd w:val="clear" w:color="auto" w:fill="FFFFFF"/>
        </w:rPr>
        <w:t xml:space="preserve"> </w:t>
      </w:r>
      <w:r w:rsidRPr="00911998">
        <w:rPr>
          <w:rFonts w:cs="Arial"/>
          <w:shd w:val="clear" w:color="auto" w:fill="FFFFFF"/>
        </w:rPr>
        <w:t xml:space="preserve">ainsi que ceux du juge La Forest dans </w:t>
      </w:r>
      <w:r w:rsidR="00104021" w:rsidRPr="00911998">
        <w:rPr>
          <w:rFonts w:cs="Arial"/>
          <w:i/>
          <w:iCs/>
          <w:shd w:val="clear" w:color="auto" w:fill="FFFFFF"/>
        </w:rPr>
        <w:t xml:space="preserve">B. (R.) </w:t>
      </w:r>
      <w:r w:rsidR="00104021" w:rsidRPr="00911998">
        <w:rPr>
          <w:rFonts w:cs="Arial"/>
          <w:shd w:val="clear" w:color="auto" w:fill="FFFFFF"/>
        </w:rPr>
        <w:t xml:space="preserve">et </w:t>
      </w:r>
      <w:r w:rsidR="00104021" w:rsidRPr="00911998">
        <w:rPr>
          <w:rFonts w:cs="Arial"/>
          <w:i/>
          <w:iCs/>
          <w:shd w:val="clear" w:color="auto" w:fill="FFFFFF"/>
        </w:rPr>
        <w:t>Godbout</w:t>
      </w:r>
      <w:r w:rsidR="00104021" w:rsidRPr="00911998">
        <w:rPr>
          <w:rFonts w:cs="Arial"/>
          <w:shd w:val="clear" w:color="auto" w:fill="FFFFFF"/>
        </w:rPr>
        <w:t>, pour conclure que le droit à la liberté protège une sphère d’autonomie individuelle</w:t>
      </w:r>
      <w:r w:rsidR="000A75F2" w:rsidRPr="00911998">
        <w:rPr>
          <w:rFonts w:cs="Arial"/>
          <w:shd w:val="clear" w:color="auto" w:fill="FFFFFF"/>
        </w:rPr>
        <w:t xml:space="preserve"> irréductible</w:t>
      </w:r>
      <w:r w:rsidR="00253804" w:rsidRPr="00911998">
        <w:rPr>
          <w:rFonts w:cs="Arial"/>
          <w:shd w:val="clear" w:color="auto" w:fill="FFFFFF"/>
        </w:rPr>
        <w:t>,</w:t>
      </w:r>
      <w:r w:rsidR="00104021" w:rsidRPr="00911998">
        <w:rPr>
          <w:rFonts w:cs="Arial"/>
          <w:shd w:val="clear" w:color="auto" w:fill="FFFFFF"/>
        </w:rPr>
        <w:t xml:space="preserve"> laquelle comprend le droit de faire des choix personnels fondamentaux sans intervention de l’État</w:t>
      </w:r>
      <w:r w:rsidR="00104021" w:rsidRPr="00911998">
        <w:rPr>
          <w:rStyle w:val="Appelnotedebasdep"/>
          <w:rFonts w:cs="Arial"/>
          <w:shd w:val="clear" w:color="auto" w:fill="FFFFFF"/>
        </w:rPr>
        <w:footnoteReference w:id="97"/>
      </w:r>
      <w:r w:rsidR="00104021" w:rsidRPr="00911998">
        <w:rPr>
          <w:rFonts w:cs="Arial"/>
          <w:shd w:val="clear" w:color="auto" w:fill="FFFFFF"/>
        </w:rPr>
        <w:t xml:space="preserve">. </w:t>
      </w:r>
    </w:p>
    <w:p w14:paraId="4FD0C7B3" w14:textId="5CF267C6" w:rsidR="005A7887" w:rsidRPr="00911998" w:rsidRDefault="00BB0BD7" w:rsidP="00141678">
      <w:pPr>
        <w:pStyle w:val="Paragrsimple"/>
        <w:tabs>
          <w:tab w:val="clear" w:pos="360"/>
        </w:tabs>
      </w:pPr>
      <w:r w:rsidRPr="00911998">
        <w:rPr>
          <w:rFonts w:cs="Arial"/>
          <w:shd w:val="clear" w:color="auto" w:fill="FFFFFF"/>
        </w:rPr>
        <w:t>C</w:t>
      </w:r>
      <w:r w:rsidR="00561414" w:rsidRPr="00911998">
        <w:rPr>
          <w:rFonts w:cs="Arial"/>
          <w:shd w:val="clear" w:color="auto" w:fill="FFFFFF"/>
        </w:rPr>
        <w:t xml:space="preserve">ette acception du droit à </w:t>
      </w:r>
      <w:r w:rsidR="00A826FB" w:rsidRPr="00911998">
        <w:rPr>
          <w:rFonts w:cs="Arial"/>
          <w:shd w:val="clear" w:color="auto" w:fill="FFFFFF"/>
        </w:rPr>
        <w:t xml:space="preserve">la </w:t>
      </w:r>
      <w:r w:rsidR="00561414" w:rsidRPr="00911998">
        <w:rPr>
          <w:rFonts w:cs="Arial"/>
          <w:shd w:val="clear" w:color="auto" w:fill="FFFFFF"/>
        </w:rPr>
        <w:t xml:space="preserve">liberté est </w:t>
      </w:r>
      <w:r w:rsidR="00EA4E50" w:rsidRPr="00911998">
        <w:rPr>
          <w:rFonts w:cs="Arial"/>
          <w:shd w:val="clear" w:color="auto" w:fill="FFFFFF"/>
        </w:rPr>
        <w:t>accept</w:t>
      </w:r>
      <w:r w:rsidR="00561414" w:rsidRPr="00911998">
        <w:rPr>
          <w:rFonts w:cs="Arial"/>
          <w:shd w:val="clear" w:color="auto" w:fill="FFFFFF"/>
        </w:rPr>
        <w:t xml:space="preserve">ée par une Cour suprême unanime dans </w:t>
      </w:r>
      <w:r w:rsidR="000E2948" w:rsidRPr="00911998">
        <w:rPr>
          <w:rFonts w:cs="Arial"/>
          <w:shd w:val="clear" w:color="auto" w:fill="FFFFFF"/>
        </w:rPr>
        <w:t xml:space="preserve">l’arrêt </w:t>
      </w:r>
      <w:r w:rsidR="000E2948" w:rsidRPr="00911998">
        <w:rPr>
          <w:rFonts w:cs="Arial"/>
          <w:i/>
          <w:iCs/>
          <w:shd w:val="clear" w:color="auto" w:fill="FFFFFF"/>
        </w:rPr>
        <w:t>Carter c. Canada (Procureur général)</w:t>
      </w:r>
      <w:r w:rsidR="00561414" w:rsidRPr="00911998">
        <w:rPr>
          <w:rStyle w:val="Appelnotedebasdep"/>
          <w:rFonts w:cs="Arial"/>
          <w:shd w:val="clear" w:color="auto" w:fill="FFFFFF"/>
        </w:rPr>
        <w:footnoteReference w:id="98"/>
      </w:r>
      <w:r w:rsidR="00561414" w:rsidRPr="00911998">
        <w:rPr>
          <w:rFonts w:cs="Arial"/>
          <w:shd w:val="clear" w:color="auto" w:fill="FFFFFF"/>
        </w:rPr>
        <w:t xml:space="preserve">.  Il en résulte que le </w:t>
      </w:r>
      <w:r w:rsidR="00561414" w:rsidRPr="00911998">
        <w:rPr>
          <w:szCs w:val="24"/>
        </w:rPr>
        <w:t>droit à la «</w:t>
      </w:r>
      <w:r w:rsidR="00EA4E50" w:rsidRPr="00911998">
        <w:rPr>
          <w:szCs w:val="24"/>
        </w:rPr>
        <w:t> </w:t>
      </w:r>
      <w:r w:rsidR="00561414" w:rsidRPr="00911998">
        <w:rPr>
          <w:szCs w:val="24"/>
        </w:rPr>
        <w:t>liberté</w:t>
      </w:r>
      <w:r w:rsidR="00EA4E50" w:rsidRPr="00911998">
        <w:rPr>
          <w:szCs w:val="24"/>
        </w:rPr>
        <w:t> </w:t>
      </w:r>
      <w:r w:rsidR="00561414" w:rsidRPr="00911998">
        <w:rPr>
          <w:szCs w:val="24"/>
        </w:rPr>
        <w:t xml:space="preserve">» protégé par l’article 7 de la </w:t>
      </w:r>
      <w:r w:rsidR="00561414" w:rsidRPr="00911998">
        <w:rPr>
          <w:i/>
          <w:iCs/>
          <w:szCs w:val="24"/>
        </w:rPr>
        <w:t xml:space="preserve">Charte canadienne </w:t>
      </w:r>
      <w:r w:rsidR="00561414" w:rsidRPr="00911998">
        <w:rPr>
          <w:szCs w:val="24"/>
        </w:rPr>
        <w:t>est en cause «</w:t>
      </w:r>
      <w:r w:rsidR="00EA4E50" w:rsidRPr="00911998">
        <w:rPr>
          <w:szCs w:val="24"/>
        </w:rPr>
        <w:t> </w:t>
      </w:r>
      <w:r w:rsidR="00561414" w:rsidRPr="00911998">
        <w:rPr>
          <w:szCs w:val="24"/>
        </w:rPr>
        <w:t>lorsque des contraintes ou des interdictions de l’État influent sur les choix importants et fondamentaux qu’une personne peut faire dans sa vie</w:t>
      </w:r>
      <w:r w:rsidR="00EA4E50" w:rsidRPr="00911998">
        <w:rPr>
          <w:szCs w:val="24"/>
        </w:rPr>
        <w:t> </w:t>
      </w:r>
      <w:r w:rsidR="00561414" w:rsidRPr="00911998">
        <w:rPr>
          <w:szCs w:val="24"/>
        </w:rPr>
        <w:t>»</w:t>
      </w:r>
      <w:r w:rsidR="00561414" w:rsidRPr="00911998">
        <w:rPr>
          <w:rStyle w:val="Appelnotedebasdep"/>
          <w:szCs w:val="24"/>
        </w:rPr>
        <w:footnoteReference w:id="99"/>
      </w:r>
      <w:r w:rsidR="00561414" w:rsidRPr="00911998">
        <w:rPr>
          <w:szCs w:val="24"/>
        </w:rPr>
        <w:t>.</w:t>
      </w:r>
    </w:p>
    <w:p w14:paraId="589DD216" w14:textId="7D1A9DFB" w:rsidR="00141678" w:rsidRPr="00911998" w:rsidRDefault="00253804" w:rsidP="00141678">
      <w:pPr>
        <w:pStyle w:val="Paragrsimple"/>
        <w:tabs>
          <w:tab w:val="clear" w:pos="360"/>
        </w:tabs>
        <w:rPr>
          <w:rFonts w:cs="Arial"/>
          <w:szCs w:val="24"/>
        </w:rPr>
      </w:pPr>
      <w:r w:rsidRPr="00911998">
        <w:rPr>
          <w:szCs w:val="24"/>
        </w:rPr>
        <w:t>En revanche</w:t>
      </w:r>
      <w:r w:rsidR="00694E7C" w:rsidRPr="00911998">
        <w:rPr>
          <w:szCs w:val="24"/>
        </w:rPr>
        <w:t>, l’article 7 ne protège pas «</w:t>
      </w:r>
      <w:r w:rsidR="00EA4E50" w:rsidRPr="00911998">
        <w:rPr>
          <w:szCs w:val="24"/>
        </w:rPr>
        <w:t> </w:t>
      </w:r>
      <w:r w:rsidR="00694E7C" w:rsidRPr="00911998">
        <w:rPr>
          <w:szCs w:val="24"/>
        </w:rPr>
        <w:t>toute décision qu’un individu peut prendre dans la conduite de ses affaires</w:t>
      </w:r>
      <w:r w:rsidR="00EA4E50" w:rsidRPr="00911998">
        <w:rPr>
          <w:szCs w:val="24"/>
        </w:rPr>
        <w:t> </w:t>
      </w:r>
      <w:r w:rsidR="00694E7C" w:rsidRPr="00911998">
        <w:rPr>
          <w:szCs w:val="24"/>
        </w:rPr>
        <w:t>» ou encore «</w:t>
      </w:r>
      <w:r w:rsidR="00EA4E50" w:rsidRPr="00911998">
        <w:rPr>
          <w:szCs w:val="24"/>
        </w:rPr>
        <w:t> </w:t>
      </w:r>
      <w:r w:rsidR="00694E7C" w:rsidRPr="00911998">
        <w:rPr>
          <w:rFonts w:cs="Arial"/>
          <w:szCs w:val="24"/>
        </w:rPr>
        <w:t>tout ce qui peut, même vaguement, être qualifié de </w:t>
      </w:r>
      <w:r w:rsidR="00EA4E50" w:rsidRPr="00911998">
        <w:rPr>
          <w:rFonts w:cs="Arial"/>
          <w:szCs w:val="24"/>
        </w:rPr>
        <w:t>“</w:t>
      </w:r>
      <w:proofErr w:type="gramStart"/>
      <w:r w:rsidR="00694E7C" w:rsidRPr="00911998">
        <w:rPr>
          <w:rFonts w:cs="Arial"/>
          <w:szCs w:val="24"/>
        </w:rPr>
        <w:t>privé</w:t>
      </w:r>
      <w:proofErr w:type="gramEnd"/>
      <w:r w:rsidR="00EA4E50" w:rsidRPr="00911998">
        <w:rPr>
          <w:rFonts w:cs="Arial"/>
          <w:szCs w:val="24"/>
        </w:rPr>
        <w:t>” </w:t>
      </w:r>
      <w:r w:rsidR="00694E7C" w:rsidRPr="00911998">
        <w:rPr>
          <w:rFonts w:cs="Arial"/>
          <w:szCs w:val="24"/>
        </w:rPr>
        <w:t>»</w:t>
      </w:r>
      <w:r w:rsidR="00694E7C" w:rsidRPr="00911998">
        <w:rPr>
          <w:rStyle w:val="Appelnotedebasdep"/>
          <w:rFonts w:cs="Arial"/>
          <w:szCs w:val="24"/>
        </w:rPr>
        <w:footnoteReference w:id="100"/>
      </w:r>
      <w:r w:rsidR="00694E7C" w:rsidRPr="00911998">
        <w:rPr>
          <w:szCs w:val="24"/>
        </w:rPr>
        <w:t xml:space="preserve">. Les décisions visées par l’article 7 </w:t>
      </w:r>
      <w:r w:rsidR="00EA4E50" w:rsidRPr="00911998">
        <w:rPr>
          <w:szCs w:val="24"/>
        </w:rPr>
        <w:t xml:space="preserve">ne </w:t>
      </w:r>
      <w:r w:rsidR="00694E7C" w:rsidRPr="00911998">
        <w:rPr>
          <w:szCs w:val="24"/>
        </w:rPr>
        <w:t>concernent «</w:t>
      </w:r>
      <w:r w:rsidR="00EA4E50" w:rsidRPr="00911998">
        <w:rPr>
          <w:szCs w:val="24"/>
        </w:rPr>
        <w:t> </w:t>
      </w:r>
      <w:r w:rsidR="00694E7C" w:rsidRPr="00911998">
        <w:rPr>
          <w:rFonts w:cs="Arial"/>
          <w:szCs w:val="24"/>
        </w:rPr>
        <w:t xml:space="preserve">que les sujets qui peuvent à juste titre être qualifiés de fondamentalement ou d’essentiellement personnels et qui impliquent, par leur nature même, des choix fondamentaux </w:t>
      </w:r>
      <w:r w:rsidR="00CB6308" w:rsidRPr="00911998">
        <w:rPr>
          <w:rFonts w:cs="Arial"/>
          <w:szCs w:val="24"/>
        </w:rPr>
        <w:t xml:space="preserve">qui </w:t>
      </w:r>
      <w:r w:rsidR="00694E7C" w:rsidRPr="00911998">
        <w:rPr>
          <w:rFonts w:cs="Arial"/>
          <w:szCs w:val="24"/>
        </w:rPr>
        <w:t>particip</w:t>
      </w:r>
      <w:r w:rsidR="00CB6308" w:rsidRPr="00911998">
        <w:rPr>
          <w:rFonts w:cs="Arial"/>
          <w:szCs w:val="24"/>
        </w:rPr>
        <w:t>e</w:t>
      </w:r>
      <w:r w:rsidR="00694E7C" w:rsidRPr="00911998">
        <w:rPr>
          <w:rFonts w:cs="Arial"/>
          <w:szCs w:val="24"/>
        </w:rPr>
        <w:t xml:space="preserve">nt </w:t>
      </w:r>
      <w:r w:rsidR="00CB6308" w:rsidRPr="00911998">
        <w:rPr>
          <w:rFonts w:cs="Arial"/>
          <w:szCs w:val="24"/>
        </w:rPr>
        <w:t>à</w:t>
      </w:r>
      <w:r w:rsidR="00694E7C" w:rsidRPr="00911998">
        <w:rPr>
          <w:rFonts w:cs="Arial"/>
          <w:szCs w:val="24"/>
        </w:rPr>
        <w:t xml:space="preserve"> l’essence même de ce que signifie la jouissance de la dignité et de l’indépendance individuelles</w:t>
      </w:r>
      <w:r w:rsidR="00EA4E50" w:rsidRPr="00911998">
        <w:rPr>
          <w:rFonts w:cs="Arial"/>
          <w:szCs w:val="24"/>
        </w:rPr>
        <w:t> </w:t>
      </w:r>
      <w:r w:rsidR="00694E7C" w:rsidRPr="00911998">
        <w:rPr>
          <w:rFonts w:cs="Arial"/>
          <w:szCs w:val="24"/>
        </w:rPr>
        <w:t>»</w:t>
      </w:r>
      <w:r w:rsidR="00694E7C" w:rsidRPr="00911998">
        <w:rPr>
          <w:rStyle w:val="Appelnotedebasdep"/>
          <w:rFonts w:cs="Arial"/>
          <w:szCs w:val="24"/>
        </w:rPr>
        <w:footnoteReference w:id="101"/>
      </w:r>
      <w:r w:rsidR="00694E7C" w:rsidRPr="00911998">
        <w:rPr>
          <w:rFonts w:cs="Arial"/>
          <w:szCs w:val="24"/>
        </w:rPr>
        <w:t>.</w:t>
      </w:r>
    </w:p>
    <w:p w14:paraId="59C72EFA" w14:textId="7E3C4CB6" w:rsidR="00B457AA" w:rsidRPr="00911998" w:rsidRDefault="00694E7C" w:rsidP="009E7500">
      <w:pPr>
        <w:pStyle w:val="Paragrsimple"/>
        <w:tabs>
          <w:tab w:val="clear" w:pos="360"/>
        </w:tabs>
      </w:pPr>
      <w:r w:rsidRPr="00911998">
        <w:t xml:space="preserve">Compte tenu de l’acception large du droit à la liberté reconnue par la jurisprudence, </w:t>
      </w:r>
      <w:r w:rsidR="005A6D11" w:rsidRPr="00911998">
        <w:rPr>
          <w:u w:val="single"/>
        </w:rPr>
        <w:t>l</w:t>
      </w:r>
      <w:r w:rsidRPr="00911998">
        <w:rPr>
          <w:u w:val="single"/>
        </w:rPr>
        <w:t>’imposition</w:t>
      </w:r>
      <w:r w:rsidRPr="00911998">
        <w:t xml:space="preserve"> par l’État d’un modèle de vie </w:t>
      </w:r>
      <w:r w:rsidR="00CB6308" w:rsidRPr="00911998">
        <w:t>familiale</w:t>
      </w:r>
      <w:r w:rsidRPr="00911998">
        <w:t xml:space="preserve"> pourrait mettre en jeu </w:t>
      </w:r>
      <w:r w:rsidR="00A826FB" w:rsidRPr="00911998">
        <w:t>c</w:t>
      </w:r>
      <w:r w:rsidRPr="00911998">
        <w:t xml:space="preserve">e droit. En effet, les décisions </w:t>
      </w:r>
      <w:r w:rsidR="00A826FB" w:rsidRPr="00911998">
        <w:t>relatives</w:t>
      </w:r>
      <w:r w:rsidRPr="00911998">
        <w:t xml:space="preserve"> au mode de vie familial </w:t>
      </w:r>
      <w:r w:rsidR="00EA4E50" w:rsidRPr="00911998">
        <w:t>—</w:t>
      </w:r>
      <w:r w:rsidR="005A6D11" w:rsidRPr="00911998">
        <w:t xml:space="preserve"> former une union, se marier, avoir des enfants ou non </w:t>
      </w:r>
      <w:r w:rsidR="00EA4E50" w:rsidRPr="00911998">
        <w:t>—</w:t>
      </w:r>
      <w:r w:rsidR="005A6D11" w:rsidRPr="00911998">
        <w:t xml:space="preserve"> </w:t>
      </w:r>
      <w:r w:rsidRPr="00911998">
        <w:t>p</w:t>
      </w:r>
      <w:r w:rsidR="005A6D11" w:rsidRPr="00911998">
        <w:t>a</w:t>
      </w:r>
      <w:r w:rsidRPr="00911998">
        <w:t xml:space="preserve">rticipent à ces choix intrinsèquement privés et personnels qui relèvent </w:t>
      </w:r>
      <w:r w:rsidR="00253804" w:rsidRPr="00911998">
        <w:t>de l’essence</w:t>
      </w:r>
      <w:r w:rsidRPr="00911998">
        <w:t xml:space="preserve"> de la conception de l’autonomie individuelle protégée par </w:t>
      </w:r>
      <w:r w:rsidR="005A6D11" w:rsidRPr="00911998">
        <w:t xml:space="preserve">la </w:t>
      </w:r>
      <w:r w:rsidR="005A6D11" w:rsidRPr="00911998">
        <w:rPr>
          <w:i/>
          <w:iCs/>
        </w:rPr>
        <w:t>Charte canadienne</w:t>
      </w:r>
      <w:r w:rsidRPr="00911998">
        <w:rPr>
          <w:rStyle w:val="Appelnotedebasdep"/>
        </w:rPr>
        <w:footnoteReference w:id="102"/>
      </w:r>
      <w:r w:rsidRPr="00911998">
        <w:t>.</w:t>
      </w:r>
    </w:p>
    <w:p w14:paraId="6D02853F" w14:textId="24F40292" w:rsidR="00253804" w:rsidRPr="00911998" w:rsidRDefault="00253804" w:rsidP="00686F6B">
      <w:pPr>
        <w:pStyle w:val="Paragrsimple"/>
        <w:tabs>
          <w:tab w:val="clear" w:pos="360"/>
        </w:tabs>
      </w:pPr>
      <w:r w:rsidRPr="00911998">
        <w:t>Toutefois, po</w:t>
      </w:r>
      <w:r w:rsidR="005A6D11" w:rsidRPr="00911998">
        <w:t>ur conclure à une atteinte à cette acception du droit à la liberté</w:t>
      </w:r>
      <w:r w:rsidR="003A0C3B" w:rsidRPr="00911998">
        <w:t>,</w:t>
      </w:r>
      <w:r w:rsidR="005A6D11" w:rsidRPr="00911998">
        <w:t xml:space="preserve"> </w:t>
      </w:r>
      <w:r w:rsidR="003A0C3B" w:rsidRPr="00911998">
        <w:t xml:space="preserve">il faut </w:t>
      </w:r>
      <w:r w:rsidR="005A6D11" w:rsidRPr="00911998">
        <w:t xml:space="preserve">démontrer </w:t>
      </w:r>
      <w:r w:rsidR="003A0C3B" w:rsidRPr="00911998">
        <w:t>l’existence d’</w:t>
      </w:r>
      <w:r w:rsidR="005A6D11" w:rsidRPr="00911998">
        <w:t>un</w:t>
      </w:r>
      <w:r w:rsidR="003A0C3B" w:rsidRPr="00911998">
        <w:t>e contrainte ou interdiction étatique</w:t>
      </w:r>
      <w:r w:rsidR="00B2285B" w:rsidRPr="00911998">
        <w:rPr>
          <w:rStyle w:val="Appelnotedebasdep"/>
          <w:szCs w:val="24"/>
        </w:rPr>
        <w:footnoteReference w:id="103"/>
      </w:r>
      <w:r w:rsidR="003A0C3B" w:rsidRPr="00911998">
        <w:t xml:space="preserve"> qui influe sur le choix fondamental de l’individu de former une famille qui reflète ses propres valeurs, priorités et besoins. Or,</w:t>
      </w:r>
      <w:r w:rsidR="005A6D11" w:rsidRPr="00911998">
        <w:t xml:space="preserve"> </w:t>
      </w:r>
      <w:r w:rsidRPr="00911998">
        <w:t xml:space="preserve">force est de constater que </w:t>
      </w:r>
      <w:r w:rsidR="003A0C3B" w:rsidRPr="00911998">
        <w:t xml:space="preserve">ce n’est pas le cas en l’espèce. </w:t>
      </w:r>
    </w:p>
    <w:p w14:paraId="7E30E2B0" w14:textId="3EBFECA0" w:rsidR="00900C3D" w:rsidRPr="00911998" w:rsidRDefault="001841AA" w:rsidP="00686F6B">
      <w:pPr>
        <w:pStyle w:val="Paragrsimple"/>
        <w:tabs>
          <w:tab w:val="clear" w:pos="360"/>
        </w:tabs>
      </w:pPr>
      <w:r w:rsidRPr="00911998">
        <w:t>La</w:t>
      </w:r>
      <w:r w:rsidR="00D26CD3" w:rsidRPr="00911998">
        <w:t xml:space="preserve"> limite </w:t>
      </w:r>
      <w:r w:rsidRPr="00911998">
        <w:t xml:space="preserve">en cause </w:t>
      </w:r>
      <w:r w:rsidR="00D26CD3" w:rsidRPr="00911998">
        <w:t xml:space="preserve">n’empêche </w:t>
      </w:r>
      <w:r w:rsidR="00A826FB" w:rsidRPr="00911998">
        <w:t>en rien</w:t>
      </w:r>
      <w:r w:rsidR="00D26CD3" w:rsidRPr="00911998">
        <w:t xml:space="preserve"> le choix d’un modèle familial </w:t>
      </w:r>
      <w:proofErr w:type="spellStart"/>
      <w:r w:rsidR="00D26CD3" w:rsidRPr="00911998">
        <w:t>pluriparental</w:t>
      </w:r>
      <w:proofErr w:type="spellEnd"/>
      <w:r w:rsidR="00A826FB" w:rsidRPr="00911998">
        <w:t>,</w:t>
      </w:r>
      <w:r w:rsidR="009167AC" w:rsidRPr="00911998">
        <w:t xml:space="preserve"> et</w:t>
      </w:r>
      <w:r w:rsidR="00D26CD3" w:rsidRPr="00911998">
        <w:t xml:space="preserve"> </w:t>
      </w:r>
      <w:r w:rsidR="009167AC" w:rsidRPr="00911998">
        <w:t>l</w:t>
      </w:r>
      <w:r w:rsidR="00D26CD3" w:rsidRPr="00911998">
        <w:t>es</w:t>
      </w:r>
      <w:r w:rsidR="009167AC" w:rsidRPr="00911998">
        <w:t xml:space="preserve"> familles demanderesses illustrent parfaitement cette réalité. </w:t>
      </w:r>
      <w:r w:rsidR="00900C3D" w:rsidRPr="00911998">
        <w:t xml:space="preserve">Ainsi, </w:t>
      </w:r>
      <w:r w:rsidR="00CB6308" w:rsidRPr="00911998">
        <w:t>en dépit de</w:t>
      </w:r>
      <w:r w:rsidR="009167AC" w:rsidRPr="00911998">
        <w:t xml:space="preserve"> </w:t>
      </w:r>
      <w:r w:rsidR="009167AC" w:rsidRPr="00911998">
        <w:lastRenderedPageBreak/>
        <w:t>l’absence de reconnaissance légale d’un troisième lien de filiation, chacune d</w:t>
      </w:r>
      <w:r w:rsidR="00A826FB" w:rsidRPr="00911998">
        <w:t>’elles</w:t>
      </w:r>
      <w:r w:rsidR="009167AC" w:rsidRPr="00911998">
        <w:t xml:space="preserve"> </w:t>
      </w:r>
      <w:r w:rsidR="00A826FB" w:rsidRPr="00911998">
        <w:t>a</w:t>
      </w:r>
      <w:r w:rsidR="009167AC" w:rsidRPr="00911998">
        <w:t xml:space="preserve"> pu établir </w:t>
      </w:r>
      <w:r w:rsidR="00A826FB" w:rsidRPr="00911998">
        <w:t xml:space="preserve">une </w:t>
      </w:r>
      <w:r w:rsidR="009167AC" w:rsidRPr="00911998">
        <w:t xml:space="preserve">famille </w:t>
      </w:r>
      <w:r w:rsidR="00CB1E7C" w:rsidRPr="00911998">
        <w:t>o</w:t>
      </w:r>
      <w:r w:rsidR="00CB1E7C" w:rsidRPr="00911998">
        <w:rPr>
          <w:rFonts w:cs="Arial"/>
        </w:rPr>
        <w:t>ù</w:t>
      </w:r>
      <w:r w:rsidR="00CB1E7C" w:rsidRPr="00911998">
        <w:t xml:space="preserve"> trois personnes </w:t>
      </w:r>
      <w:r w:rsidRPr="00911998">
        <w:t xml:space="preserve">sont </w:t>
      </w:r>
      <w:r w:rsidR="00CB1E7C" w:rsidRPr="00911998">
        <w:t>les parents respecti</w:t>
      </w:r>
      <w:r w:rsidR="00A826FB" w:rsidRPr="00911998">
        <w:t>fs</w:t>
      </w:r>
      <w:r w:rsidR="00CB1E7C" w:rsidRPr="00911998">
        <w:t xml:space="preserve"> </w:t>
      </w:r>
      <w:r w:rsidR="00303701">
        <w:t>de X</w:t>
      </w:r>
      <w:r w:rsidR="00CB1E7C" w:rsidRPr="00911998">
        <w:t xml:space="preserve">, </w:t>
      </w:r>
      <w:r w:rsidR="00303701">
        <w:t>de Y</w:t>
      </w:r>
      <w:r w:rsidR="00CB1E7C" w:rsidRPr="00911998">
        <w:t xml:space="preserve">, de </w:t>
      </w:r>
      <w:r w:rsidR="00303701">
        <w:t>Z</w:t>
      </w:r>
      <w:r w:rsidR="00CB1E7C" w:rsidRPr="00911998">
        <w:t xml:space="preserve"> et </w:t>
      </w:r>
      <w:r w:rsidR="00303701">
        <w:t>de A</w:t>
      </w:r>
      <w:r w:rsidR="00CB1E7C" w:rsidRPr="00911998">
        <w:t xml:space="preserve">. </w:t>
      </w:r>
      <w:r w:rsidR="00D56B4E" w:rsidRPr="00911998">
        <w:t>En outre, m</w:t>
      </w:r>
      <w:r w:rsidR="00B2285B" w:rsidRPr="00911998">
        <w:t xml:space="preserve">algré </w:t>
      </w:r>
      <w:r w:rsidR="00CA65B0" w:rsidRPr="00911998">
        <w:t>la limite de deux</w:t>
      </w:r>
      <w:r w:rsidR="00B2285B" w:rsidRPr="00911998">
        <w:t xml:space="preserve"> lien</w:t>
      </w:r>
      <w:r w:rsidR="00CA65B0" w:rsidRPr="00911998">
        <w:t>s</w:t>
      </w:r>
      <w:r w:rsidR="00B2285B" w:rsidRPr="00911998">
        <w:t xml:space="preserve"> de filiation, la preuve démontre que les personnes qui établissent de telles familles s’épanouissent bien au sein de celles</w:t>
      </w:r>
      <w:r w:rsidR="00B2285B" w:rsidRPr="00911998">
        <w:noBreakHyphen/>
        <w:t>ci.</w:t>
      </w:r>
    </w:p>
    <w:p w14:paraId="02474F60" w14:textId="40B3FB37" w:rsidR="001841AA" w:rsidRPr="00911998" w:rsidRDefault="00B2285B" w:rsidP="00723009">
      <w:pPr>
        <w:pStyle w:val="Paragrsimple"/>
        <w:tabs>
          <w:tab w:val="clear" w:pos="360"/>
        </w:tabs>
      </w:pPr>
      <w:r w:rsidRPr="00911998">
        <w:t>En somme</w:t>
      </w:r>
      <w:r w:rsidR="00900C3D" w:rsidRPr="00911998">
        <w:t xml:space="preserve">, la limite de deux liens de filiation n’impose pas </w:t>
      </w:r>
      <w:r w:rsidR="00A57AAF" w:rsidRPr="00911998">
        <w:t>d’</w:t>
      </w:r>
      <w:r w:rsidR="00900C3D" w:rsidRPr="00911998">
        <w:t>aménagement familial particulier. À ce titre, r</w:t>
      </w:r>
      <w:r w:rsidR="00CB1E7C" w:rsidRPr="00911998">
        <w:t xml:space="preserve">ien dans le droit québécois </w:t>
      </w:r>
      <w:r w:rsidR="003924AF" w:rsidRPr="00911998">
        <w:rPr>
          <w:u w:val="single"/>
        </w:rPr>
        <w:t>ne proscrit</w:t>
      </w:r>
      <w:r w:rsidR="00CB1E7C" w:rsidRPr="00911998">
        <w:t xml:space="preserve"> le choix </w:t>
      </w:r>
      <w:r w:rsidRPr="00911998">
        <w:t>effectué par</w:t>
      </w:r>
      <w:r w:rsidR="00CB1E7C" w:rsidRPr="00911998">
        <w:t xml:space="preserve"> les demandeurs individuels. De surcroît, </w:t>
      </w:r>
      <w:r w:rsidR="00F94A75" w:rsidRPr="00911998">
        <w:t xml:space="preserve">ni la preuve ordinaire ni la preuve d’expert </w:t>
      </w:r>
      <w:r w:rsidR="005A6D11" w:rsidRPr="00911998">
        <w:t>n’</w:t>
      </w:r>
      <w:r w:rsidR="00CB1E7C" w:rsidRPr="00911998">
        <w:t xml:space="preserve">établit que la limite de deux liens de filiation représente </w:t>
      </w:r>
      <w:r w:rsidR="00F94A75" w:rsidRPr="00911998">
        <w:rPr>
          <w:u w:val="single"/>
        </w:rPr>
        <w:t>un</w:t>
      </w:r>
      <w:r w:rsidRPr="00911998">
        <w:rPr>
          <w:u w:val="single"/>
        </w:rPr>
        <w:t>e</w:t>
      </w:r>
      <w:r w:rsidR="00F94A75" w:rsidRPr="00911998">
        <w:rPr>
          <w:u w:val="single"/>
        </w:rPr>
        <w:t xml:space="preserve"> </w:t>
      </w:r>
      <w:r w:rsidRPr="00911998">
        <w:rPr>
          <w:u w:val="single"/>
        </w:rPr>
        <w:t>contrainte</w:t>
      </w:r>
      <w:r w:rsidRPr="00911998">
        <w:t xml:space="preserve"> au </w:t>
      </w:r>
      <w:r w:rsidR="00F94A75" w:rsidRPr="00911998">
        <w:t>choix exercé par ceux</w:t>
      </w:r>
      <w:r w:rsidR="00F94A75" w:rsidRPr="00911998">
        <w:noBreakHyphen/>
        <w:t xml:space="preserve">ci. </w:t>
      </w:r>
    </w:p>
    <w:p w14:paraId="26F7E6CB" w14:textId="017404E3" w:rsidR="00900C3D" w:rsidRPr="00911998" w:rsidRDefault="00F94A75" w:rsidP="00723009">
      <w:pPr>
        <w:pStyle w:val="Paragrsimple"/>
        <w:tabs>
          <w:tab w:val="clear" w:pos="360"/>
        </w:tabs>
      </w:pPr>
      <w:r w:rsidRPr="00911998">
        <w:t xml:space="preserve">En définitive, l’État n’a pas empêché les </w:t>
      </w:r>
      <w:r w:rsidR="00900C3D" w:rsidRPr="00911998">
        <w:t xml:space="preserve">Demandeurs individuels </w:t>
      </w:r>
      <w:r w:rsidRPr="00911998">
        <w:t>de faire des choix personnels fondamentaux</w:t>
      </w:r>
      <w:r w:rsidRPr="00911998">
        <w:rPr>
          <w:rStyle w:val="Appelnotedebasdep"/>
        </w:rPr>
        <w:footnoteReference w:id="104"/>
      </w:r>
      <w:r w:rsidR="00900C3D" w:rsidRPr="00911998">
        <w:t>. Il en résulte que le volet du droit à la liberté qui protège l’autonomie décisionnelle personnelle fondamentale de tout individu n’est pas en jeu.</w:t>
      </w:r>
    </w:p>
    <w:p w14:paraId="1B4145FD" w14:textId="7B13BAE1" w:rsidR="00D56B4E" w:rsidRPr="00911998" w:rsidRDefault="001841AA" w:rsidP="00723009">
      <w:pPr>
        <w:pStyle w:val="Paragrsimple"/>
        <w:tabs>
          <w:tab w:val="clear" w:pos="360"/>
        </w:tabs>
      </w:pPr>
      <w:r w:rsidRPr="00911998">
        <w:t>Qu’en est</w:t>
      </w:r>
      <w:r w:rsidRPr="00911998">
        <w:noBreakHyphen/>
        <w:t xml:space="preserve">il maintenant de l’argument </w:t>
      </w:r>
      <w:r w:rsidR="007E4ED8" w:rsidRPr="00911998">
        <w:t>selon lequ</w:t>
      </w:r>
      <w:r w:rsidRPr="00911998">
        <w:t>e</w:t>
      </w:r>
      <w:r w:rsidR="007E4ED8" w:rsidRPr="00911998">
        <w:t>l</w:t>
      </w:r>
      <w:r w:rsidRPr="00911998">
        <w:t xml:space="preserve"> la limite de deux liens de filiation </w:t>
      </w:r>
      <w:r w:rsidR="004E286A" w:rsidRPr="00911998">
        <w:t>brime</w:t>
      </w:r>
      <w:r w:rsidR="00CB43AD" w:rsidRPr="00911998">
        <w:t>rait</w:t>
      </w:r>
      <w:r w:rsidRPr="00911998">
        <w:t xml:space="preserve"> la </w:t>
      </w:r>
      <w:r w:rsidR="00CF410F" w:rsidRPr="00911998">
        <w:t>«</w:t>
      </w:r>
      <w:r w:rsidR="004048EE" w:rsidRPr="00911998">
        <w:t> </w:t>
      </w:r>
      <w:r w:rsidRPr="00911998">
        <w:t>liberté parentale</w:t>
      </w:r>
      <w:r w:rsidR="004048EE" w:rsidRPr="00911998">
        <w:t> </w:t>
      </w:r>
      <w:r w:rsidR="00CF410F" w:rsidRPr="00911998">
        <w:t>»</w:t>
      </w:r>
      <w:r w:rsidR="004048EE" w:rsidRPr="00911998">
        <w:t> </w:t>
      </w:r>
      <w:r w:rsidR="00AD38FD" w:rsidRPr="00911998">
        <w:t>?</w:t>
      </w:r>
      <w:r w:rsidR="00D56B4E" w:rsidRPr="00911998">
        <w:t xml:space="preserve"> </w:t>
      </w:r>
    </w:p>
    <w:p w14:paraId="457B6A78" w14:textId="79FAB316" w:rsidR="00915CAA" w:rsidRPr="00911998" w:rsidRDefault="007E4ED8" w:rsidP="007E4ED8">
      <w:pPr>
        <w:pStyle w:val="Paragrsimple"/>
        <w:tabs>
          <w:tab w:val="clear" w:pos="360"/>
        </w:tabs>
      </w:pPr>
      <w:r w:rsidRPr="00911998">
        <w:t xml:space="preserve">Dans l’affaire </w:t>
      </w:r>
      <w:r w:rsidRPr="00911998">
        <w:rPr>
          <w:i/>
          <w:iCs/>
        </w:rPr>
        <w:t>B. (R.)</w:t>
      </w:r>
      <w:r w:rsidRPr="00911998">
        <w:t xml:space="preserve">, la Cour suprême s’est penchée </w:t>
      </w:r>
      <w:r w:rsidR="00E805BF" w:rsidRPr="00911998">
        <w:t xml:space="preserve">notamment </w:t>
      </w:r>
      <w:r w:rsidRPr="00911998">
        <w:t>sur la question de savoir si l’administration d’une transfusion sanguine à un enfant</w:t>
      </w:r>
      <w:r w:rsidR="00E805BF" w:rsidRPr="00911998">
        <w:t>, malgré l’opposition de ses parents, violait le droit à la liberté de ceux</w:t>
      </w:r>
      <w:r w:rsidR="00E805BF" w:rsidRPr="00911998">
        <w:noBreakHyphen/>
        <w:t>ci</w:t>
      </w:r>
      <w:r w:rsidR="00915CAA" w:rsidRPr="00911998">
        <w:t xml:space="preserve"> tel que garanti par l’article 7 de la </w:t>
      </w:r>
      <w:r w:rsidR="00915CAA" w:rsidRPr="00911998">
        <w:rPr>
          <w:i/>
          <w:iCs/>
        </w:rPr>
        <w:t>Charte canadienne</w:t>
      </w:r>
      <w:r w:rsidR="00915CAA" w:rsidRPr="00911998">
        <w:rPr>
          <w:rStyle w:val="Appelnotedebasdep"/>
        </w:rPr>
        <w:footnoteReference w:id="105"/>
      </w:r>
      <w:r w:rsidR="00E805BF" w:rsidRPr="00911998">
        <w:t xml:space="preserve">. </w:t>
      </w:r>
      <w:r w:rsidR="00915CAA" w:rsidRPr="00911998">
        <w:t xml:space="preserve">Dans </w:t>
      </w:r>
      <w:r w:rsidR="00AE18C1" w:rsidRPr="00911998">
        <w:t>s</w:t>
      </w:r>
      <w:r w:rsidR="00915CAA" w:rsidRPr="00911998">
        <w:t>es motifs</w:t>
      </w:r>
      <w:r w:rsidR="00FD0522" w:rsidRPr="00911998">
        <w:t>,</w:t>
      </w:r>
      <w:r w:rsidR="00915CAA" w:rsidRPr="00911998">
        <w:t xml:space="preserve"> le juge La Forest conclut que le droit à la liberté est en jeu, mais que </w:t>
      </w:r>
      <w:r w:rsidR="00586953" w:rsidRPr="00911998">
        <w:t>l’atteinte à</w:t>
      </w:r>
      <w:r w:rsidR="00915CAA" w:rsidRPr="00911998">
        <w:t xml:space="preserve"> ce droit était conforme aux principes de la justice fondamentale. </w:t>
      </w:r>
    </w:p>
    <w:p w14:paraId="1521B6F3" w14:textId="725B82F8" w:rsidR="00AE18C1" w:rsidRPr="00911998" w:rsidRDefault="00AE18C1" w:rsidP="007E4ED8">
      <w:pPr>
        <w:pStyle w:val="Paragrsimple"/>
        <w:tabs>
          <w:tab w:val="clear" w:pos="360"/>
        </w:tabs>
      </w:pPr>
      <w:r w:rsidRPr="00911998">
        <w:t xml:space="preserve">Selon le juge La Forest, le droit d’un parent de prendre soin de son enfant et de participer à des décisions d’importance fondamentale </w:t>
      </w:r>
      <w:r w:rsidR="004048EE" w:rsidRPr="00911998">
        <w:t>—</w:t>
      </w:r>
      <w:r w:rsidRPr="00911998">
        <w:t xml:space="preserve"> comme les soins médicaux </w:t>
      </w:r>
      <w:r w:rsidR="004048EE" w:rsidRPr="00911998">
        <w:t>—</w:t>
      </w:r>
      <w:r w:rsidRPr="00911998">
        <w:t xml:space="preserve"> fait partie de son droit à la liberté</w:t>
      </w:r>
      <w:r w:rsidRPr="00911998">
        <w:rPr>
          <w:rStyle w:val="Appelnotedebasdep"/>
        </w:rPr>
        <w:footnoteReference w:id="106"/>
      </w:r>
      <w:r w:rsidRPr="00911998">
        <w:t xml:space="preserve">. </w:t>
      </w:r>
      <w:r w:rsidR="003D6E65" w:rsidRPr="00911998">
        <w:t xml:space="preserve">Tout en excluant l’idée que les parents auraient un droit de propriété sur leurs enfants, le juge La Forest explique que le rôle privilégié </w:t>
      </w:r>
      <w:r w:rsidR="0062005A" w:rsidRPr="00911998">
        <w:t>joué par</w:t>
      </w:r>
      <w:r w:rsidR="003D6E65" w:rsidRPr="00911998">
        <w:t xml:space="preserve"> les parents dans l’éducation de leurs enfants</w:t>
      </w:r>
      <w:r w:rsidR="007E4F3B" w:rsidRPr="00911998">
        <w:rPr>
          <w:rStyle w:val="Appelnotedebasdep"/>
        </w:rPr>
        <w:footnoteReference w:id="107"/>
      </w:r>
      <w:r w:rsidR="003D6E65" w:rsidRPr="00911998">
        <w:t> :</w:t>
      </w:r>
    </w:p>
    <w:p w14:paraId="7739E474" w14:textId="79C757CC" w:rsidR="003D6E65" w:rsidRPr="00911998" w:rsidRDefault="003D6E65" w:rsidP="003D6E65">
      <w:pPr>
        <w:ind w:left="567" w:right="560"/>
        <w:jc w:val="both"/>
        <w:rPr>
          <w:rFonts w:cs="Arial"/>
          <w:sz w:val="22"/>
          <w:szCs w:val="22"/>
        </w:rPr>
      </w:pPr>
      <w:r w:rsidRPr="00911998">
        <w:rPr>
          <w:rFonts w:cs="Arial"/>
          <w:sz w:val="22"/>
          <w:szCs w:val="22"/>
        </w:rPr>
        <w:t>[85] […] se traduit par un champ protégé de prise de décision par les parents, fondé sur la présomption que ce sont eux qui devraient prendre les décisions importantes qui touchent leurs enfants parce qu</w:t>
      </w:r>
      <w:r w:rsidR="00971129" w:rsidRPr="00911998">
        <w:rPr>
          <w:rFonts w:cs="Arial"/>
          <w:sz w:val="22"/>
          <w:szCs w:val="22"/>
        </w:rPr>
        <w:t>’</w:t>
      </w:r>
      <w:r w:rsidRPr="00911998">
        <w:rPr>
          <w:rFonts w:cs="Arial"/>
          <w:sz w:val="22"/>
          <w:szCs w:val="22"/>
        </w:rPr>
        <w:t>ils sont plus à même d</w:t>
      </w:r>
      <w:r w:rsidR="00971129" w:rsidRPr="00911998">
        <w:rPr>
          <w:rFonts w:cs="Arial"/>
          <w:sz w:val="22"/>
          <w:szCs w:val="22"/>
        </w:rPr>
        <w:t>’</w:t>
      </w:r>
      <w:r w:rsidRPr="00911998">
        <w:rPr>
          <w:rFonts w:cs="Arial"/>
          <w:sz w:val="22"/>
          <w:szCs w:val="22"/>
        </w:rPr>
        <w:t>apprécier ce qui est dans leur intérêt et que l</w:t>
      </w:r>
      <w:r w:rsidR="00971129" w:rsidRPr="00911998">
        <w:rPr>
          <w:rFonts w:cs="Arial"/>
          <w:sz w:val="22"/>
          <w:szCs w:val="22"/>
        </w:rPr>
        <w:t>’</w:t>
      </w:r>
      <w:r w:rsidRPr="00911998">
        <w:rPr>
          <w:rFonts w:cs="Arial"/>
          <w:sz w:val="22"/>
          <w:szCs w:val="22"/>
        </w:rPr>
        <w:t>État n</w:t>
      </w:r>
      <w:r w:rsidR="00971129" w:rsidRPr="00911998">
        <w:rPr>
          <w:rFonts w:cs="Arial"/>
          <w:sz w:val="22"/>
          <w:szCs w:val="22"/>
        </w:rPr>
        <w:t>’</w:t>
      </w:r>
      <w:r w:rsidRPr="00911998">
        <w:rPr>
          <w:rFonts w:cs="Arial"/>
          <w:sz w:val="22"/>
          <w:szCs w:val="22"/>
        </w:rPr>
        <w:t>est pas qualifié pour prendre ces décisions lui</w:t>
      </w:r>
      <w:r w:rsidRPr="00911998">
        <w:rPr>
          <w:rFonts w:cs="Arial"/>
          <w:sz w:val="22"/>
          <w:szCs w:val="22"/>
        </w:rPr>
        <w:noBreakHyphen/>
        <w:t>même.  En outre, les individus ont un intérêt personnel profond, en tant que parents, à favoriser la croissance de leurs propres enfants.  Cela ne signifie pas que l</w:t>
      </w:r>
      <w:r w:rsidR="00971129" w:rsidRPr="00911998">
        <w:rPr>
          <w:rFonts w:cs="Arial"/>
          <w:sz w:val="22"/>
          <w:szCs w:val="22"/>
        </w:rPr>
        <w:t>’</w:t>
      </w:r>
      <w:r w:rsidRPr="00911998">
        <w:rPr>
          <w:rFonts w:cs="Arial"/>
          <w:sz w:val="22"/>
          <w:szCs w:val="22"/>
        </w:rPr>
        <w:t>État ne peut intervenir lorsqu</w:t>
      </w:r>
      <w:r w:rsidR="00971129" w:rsidRPr="00911998">
        <w:rPr>
          <w:rFonts w:cs="Arial"/>
          <w:sz w:val="22"/>
          <w:szCs w:val="22"/>
        </w:rPr>
        <w:t>’</w:t>
      </w:r>
      <w:r w:rsidRPr="00911998">
        <w:rPr>
          <w:rFonts w:cs="Arial"/>
          <w:sz w:val="22"/>
          <w:szCs w:val="22"/>
        </w:rPr>
        <w:t>il considère nécessaire de préserver l</w:t>
      </w:r>
      <w:r w:rsidR="00971129" w:rsidRPr="00911998">
        <w:rPr>
          <w:rFonts w:cs="Arial"/>
          <w:sz w:val="22"/>
          <w:szCs w:val="22"/>
        </w:rPr>
        <w:t>’</w:t>
      </w:r>
      <w:r w:rsidRPr="00911998">
        <w:rPr>
          <w:rFonts w:cs="Arial"/>
          <w:sz w:val="22"/>
          <w:szCs w:val="22"/>
        </w:rPr>
        <w:t>autonomie ou la santé de l</w:t>
      </w:r>
      <w:r w:rsidR="00971129" w:rsidRPr="00911998">
        <w:rPr>
          <w:rFonts w:cs="Arial"/>
          <w:sz w:val="22"/>
          <w:szCs w:val="22"/>
        </w:rPr>
        <w:t>’</w:t>
      </w:r>
      <w:r w:rsidRPr="00911998">
        <w:rPr>
          <w:rFonts w:cs="Arial"/>
          <w:sz w:val="22"/>
          <w:szCs w:val="22"/>
        </w:rPr>
        <w:t xml:space="preserve">enfant.  Cette intervention doit cependant être justifiée.  </w:t>
      </w:r>
      <w:r w:rsidRPr="00911998">
        <w:rPr>
          <w:rFonts w:cs="Arial"/>
          <w:sz w:val="22"/>
          <w:szCs w:val="22"/>
          <w:u w:val="single"/>
        </w:rPr>
        <w:t>En d</w:t>
      </w:r>
      <w:r w:rsidR="00971129" w:rsidRPr="00911998">
        <w:rPr>
          <w:rFonts w:cs="Arial"/>
          <w:sz w:val="22"/>
          <w:szCs w:val="22"/>
          <w:u w:val="single"/>
        </w:rPr>
        <w:t>’</w:t>
      </w:r>
      <w:r w:rsidRPr="00911998">
        <w:rPr>
          <w:rFonts w:cs="Arial"/>
          <w:sz w:val="22"/>
          <w:szCs w:val="22"/>
          <w:u w:val="single"/>
        </w:rPr>
        <w:t>autres termes, le pouvoir décisionnel des parents doit être protégé par la </w:t>
      </w:r>
      <w:hyperlink r:id="rId31" w:tgtFrame="_blank" w:history="1">
        <w:r w:rsidRPr="00911998">
          <w:rPr>
            <w:rStyle w:val="Hyperlien"/>
            <w:rFonts w:cs="Arial"/>
            <w:i/>
            <w:iCs/>
            <w:color w:val="auto"/>
            <w:sz w:val="22"/>
            <w:szCs w:val="22"/>
          </w:rPr>
          <w:t>Charte</w:t>
        </w:r>
      </w:hyperlink>
      <w:r w:rsidRPr="00911998">
        <w:rPr>
          <w:rFonts w:cs="Arial"/>
          <w:sz w:val="22"/>
          <w:szCs w:val="22"/>
          <w:u w:val="single"/>
        </w:rPr>
        <w:t xml:space="preserve"> afin que </w:t>
      </w:r>
      <w:r w:rsidRPr="00911998">
        <w:rPr>
          <w:rFonts w:cs="Arial"/>
          <w:sz w:val="22"/>
          <w:szCs w:val="22"/>
          <w:u w:val="single"/>
        </w:rPr>
        <w:lastRenderedPageBreak/>
        <w:t>l</w:t>
      </w:r>
      <w:r w:rsidR="00971129" w:rsidRPr="00911998">
        <w:rPr>
          <w:rFonts w:cs="Arial"/>
          <w:sz w:val="22"/>
          <w:szCs w:val="22"/>
          <w:u w:val="single"/>
        </w:rPr>
        <w:t>’</w:t>
      </w:r>
      <w:r w:rsidRPr="00911998">
        <w:rPr>
          <w:rFonts w:cs="Arial"/>
          <w:sz w:val="22"/>
          <w:szCs w:val="22"/>
          <w:u w:val="single"/>
        </w:rPr>
        <w:t>intervention de l</w:t>
      </w:r>
      <w:r w:rsidR="00971129" w:rsidRPr="00911998">
        <w:rPr>
          <w:rFonts w:cs="Arial"/>
          <w:sz w:val="22"/>
          <w:szCs w:val="22"/>
          <w:u w:val="single"/>
        </w:rPr>
        <w:t>’</w:t>
      </w:r>
      <w:r w:rsidRPr="00911998">
        <w:rPr>
          <w:rFonts w:cs="Arial"/>
          <w:sz w:val="22"/>
          <w:szCs w:val="22"/>
          <w:u w:val="single"/>
        </w:rPr>
        <w:t>État soit bien contrôlée par les tribunaux et permise uniquement lorsqu</w:t>
      </w:r>
      <w:r w:rsidR="00971129" w:rsidRPr="00911998">
        <w:rPr>
          <w:rFonts w:cs="Arial"/>
          <w:sz w:val="22"/>
          <w:szCs w:val="22"/>
          <w:u w:val="single"/>
        </w:rPr>
        <w:t>’</w:t>
      </w:r>
      <w:r w:rsidRPr="00911998">
        <w:rPr>
          <w:rFonts w:cs="Arial"/>
          <w:sz w:val="22"/>
          <w:szCs w:val="22"/>
          <w:u w:val="single"/>
        </w:rPr>
        <w:t>elle est conforme aux valeurs qui sous</w:t>
      </w:r>
      <w:r w:rsidRPr="00911998">
        <w:rPr>
          <w:rFonts w:cs="Arial"/>
          <w:sz w:val="22"/>
          <w:szCs w:val="22"/>
          <w:u w:val="single"/>
        </w:rPr>
        <w:noBreakHyphen/>
        <w:t>tendent la </w:t>
      </w:r>
      <w:hyperlink r:id="rId32" w:tgtFrame="_blank" w:history="1">
        <w:r w:rsidRPr="00911998">
          <w:rPr>
            <w:rStyle w:val="Hyperlien"/>
            <w:rFonts w:cs="Arial"/>
            <w:i/>
            <w:iCs/>
            <w:color w:val="auto"/>
            <w:sz w:val="22"/>
            <w:szCs w:val="22"/>
          </w:rPr>
          <w:t>Charte</w:t>
        </w:r>
      </w:hyperlink>
      <w:r w:rsidRPr="00911998">
        <w:rPr>
          <w:rFonts w:cs="Arial"/>
          <w:sz w:val="22"/>
          <w:szCs w:val="22"/>
        </w:rPr>
        <w:t>.</w:t>
      </w:r>
    </w:p>
    <w:p w14:paraId="4C90503D" w14:textId="77777777" w:rsidR="003D6E65" w:rsidRPr="00911998" w:rsidRDefault="003D6E65" w:rsidP="003D6E65">
      <w:pPr>
        <w:ind w:left="567" w:right="560"/>
        <w:jc w:val="both"/>
        <w:rPr>
          <w:rFonts w:cs="Arial"/>
          <w:sz w:val="22"/>
          <w:szCs w:val="22"/>
        </w:rPr>
      </w:pPr>
    </w:p>
    <w:p w14:paraId="0C9BB901" w14:textId="1F17B8CF" w:rsidR="003D6E65" w:rsidRPr="00911998" w:rsidRDefault="003D6E65" w:rsidP="003D6E65">
      <w:pPr>
        <w:ind w:left="567" w:right="560"/>
        <w:jc w:val="right"/>
        <w:rPr>
          <w:rFonts w:cs="Arial"/>
          <w:sz w:val="22"/>
          <w:szCs w:val="22"/>
        </w:rPr>
      </w:pPr>
      <w:r w:rsidRPr="00911998">
        <w:rPr>
          <w:rFonts w:cs="Arial"/>
          <w:sz w:val="22"/>
          <w:szCs w:val="22"/>
        </w:rPr>
        <w:t>[Soulignements ajoutés]</w:t>
      </w:r>
    </w:p>
    <w:p w14:paraId="3E52AB98" w14:textId="454263AF" w:rsidR="00FD0522" w:rsidRPr="00911998" w:rsidRDefault="00FD0522" w:rsidP="00FD0522">
      <w:pPr>
        <w:pStyle w:val="Paragrsimple"/>
        <w:tabs>
          <w:tab w:val="clear" w:pos="360"/>
        </w:tabs>
      </w:pPr>
      <w:r w:rsidRPr="00911998">
        <w:t xml:space="preserve">Les motifs du juge La Forest dans </w:t>
      </w:r>
      <w:r w:rsidRPr="00911998">
        <w:rPr>
          <w:i/>
          <w:iCs/>
        </w:rPr>
        <w:t xml:space="preserve">B. (R.) </w:t>
      </w:r>
      <w:r w:rsidR="00BB0BD7" w:rsidRPr="00911998">
        <w:t>concernant</w:t>
      </w:r>
      <w:r w:rsidR="0025447B" w:rsidRPr="00911998">
        <w:t xml:space="preserve"> la question de</w:t>
      </w:r>
      <w:r w:rsidR="0062005A" w:rsidRPr="00911998">
        <w:t xml:space="preserve"> la liberté parentale ne </w:t>
      </w:r>
      <w:r w:rsidRPr="00911998">
        <w:t>suscitent l’adhésion que de trois de ses collègues</w:t>
      </w:r>
      <w:r w:rsidRPr="00911998">
        <w:rPr>
          <w:rStyle w:val="Appelnotedebasdep"/>
        </w:rPr>
        <w:footnoteReference w:id="108"/>
      </w:r>
      <w:r w:rsidR="0025447B" w:rsidRPr="00911998">
        <w:t>, sa vision n’étant pas</w:t>
      </w:r>
      <w:r w:rsidR="0062005A" w:rsidRPr="00911998">
        <w:rPr>
          <w:rFonts w:cs="Arial"/>
        </w:rPr>
        <w:t xml:space="preserve"> partagée par le juge en chef Lamer</w:t>
      </w:r>
      <w:r w:rsidR="00586953" w:rsidRPr="00911998">
        <w:rPr>
          <w:rFonts w:cs="Arial"/>
        </w:rPr>
        <w:t xml:space="preserve"> et</w:t>
      </w:r>
      <w:r w:rsidR="0062005A" w:rsidRPr="00911998">
        <w:rPr>
          <w:rFonts w:cs="Arial"/>
        </w:rPr>
        <w:t xml:space="preserve"> les juges Cory, </w:t>
      </w:r>
      <w:proofErr w:type="spellStart"/>
      <w:r w:rsidR="0062005A" w:rsidRPr="00911998">
        <w:rPr>
          <w:rFonts w:cs="Arial"/>
        </w:rPr>
        <w:t>Iacobucci</w:t>
      </w:r>
      <w:proofErr w:type="spellEnd"/>
      <w:r w:rsidR="0062005A" w:rsidRPr="00911998">
        <w:rPr>
          <w:rFonts w:cs="Arial"/>
        </w:rPr>
        <w:t xml:space="preserve"> et Major. Le juge </w:t>
      </w:r>
      <w:proofErr w:type="spellStart"/>
      <w:r w:rsidR="0062005A" w:rsidRPr="00911998">
        <w:rPr>
          <w:rFonts w:cs="Arial"/>
        </w:rPr>
        <w:t>Sopinka</w:t>
      </w:r>
      <w:proofErr w:type="spellEnd"/>
      <w:r w:rsidR="0025447B" w:rsidRPr="00911998">
        <w:rPr>
          <w:rFonts w:cs="Arial"/>
        </w:rPr>
        <w:t>, quant à lui,</w:t>
      </w:r>
      <w:r w:rsidR="0062005A" w:rsidRPr="00911998">
        <w:rPr>
          <w:rFonts w:cs="Arial"/>
        </w:rPr>
        <w:t xml:space="preserve"> ne se prononce pas sur la question.</w:t>
      </w:r>
      <w:r w:rsidRPr="00911998">
        <w:t xml:space="preserve"> </w:t>
      </w:r>
      <w:r w:rsidR="0025447B" w:rsidRPr="00911998">
        <w:t xml:space="preserve">En somme, </w:t>
      </w:r>
      <w:r w:rsidRPr="00911998">
        <w:t xml:space="preserve">la majorité de la Cour suprême ne se </w:t>
      </w:r>
      <w:r w:rsidR="00012D64" w:rsidRPr="00911998">
        <w:t>prononce</w:t>
      </w:r>
      <w:r w:rsidRPr="00911998">
        <w:t xml:space="preserve"> pas de façon définitive sur la protection de la liberté parentale sous l’article 7</w:t>
      </w:r>
      <w:r w:rsidR="00586953" w:rsidRPr="00911998">
        <w:t> </w:t>
      </w:r>
      <w:r w:rsidRPr="00911998">
        <w:t xml:space="preserve">de la </w:t>
      </w:r>
      <w:r w:rsidRPr="00911998">
        <w:rPr>
          <w:i/>
          <w:iCs/>
        </w:rPr>
        <w:t>Charte</w:t>
      </w:r>
      <w:r w:rsidR="0025447B" w:rsidRPr="00911998">
        <w:rPr>
          <w:i/>
          <w:iCs/>
        </w:rPr>
        <w:t xml:space="preserve"> canadienne</w:t>
      </w:r>
      <w:r w:rsidRPr="00911998">
        <w:t>.</w:t>
      </w:r>
      <w:r w:rsidR="00B37B51" w:rsidRPr="00911998">
        <w:t xml:space="preserve"> </w:t>
      </w:r>
    </w:p>
    <w:p w14:paraId="4DC35964" w14:textId="2F29F29F" w:rsidR="00B37B51" w:rsidRPr="00911998" w:rsidRDefault="00B37B51" w:rsidP="00B37B51">
      <w:pPr>
        <w:pStyle w:val="Paragrsimple"/>
        <w:tabs>
          <w:tab w:val="clear" w:pos="360"/>
        </w:tabs>
      </w:pPr>
      <w:r w:rsidRPr="00911998">
        <w:t xml:space="preserve">Dans l’arrêt </w:t>
      </w:r>
      <w:r w:rsidRPr="00911998">
        <w:rPr>
          <w:i/>
          <w:iCs/>
        </w:rPr>
        <w:t>Godbout</w:t>
      </w:r>
      <w:r w:rsidR="00586953" w:rsidRPr="00911998">
        <w:t>,</w:t>
      </w:r>
      <w:r w:rsidRPr="00911998">
        <w:t xml:space="preserve"> la Cour suprême s’est penchée sur la validité constitutionnelle d’un</w:t>
      </w:r>
      <w:r w:rsidR="00921D03" w:rsidRPr="00911998">
        <w:t>e</w:t>
      </w:r>
      <w:r w:rsidRPr="00911998">
        <w:t xml:space="preserve"> </w:t>
      </w:r>
      <w:r w:rsidR="00921D03" w:rsidRPr="00911998">
        <w:t>résolution</w:t>
      </w:r>
      <w:r w:rsidRPr="00911998">
        <w:t xml:space="preserve"> municipal</w:t>
      </w:r>
      <w:r w:rsidR="00921D03" w:rsidRPr="00911998">
        <w:t>e</w:t>
      </w:r>
      <w:r w:rsidRPr="00911998">
        <w:t xml:space="preserve"> imposant une obligation aux employés municipaux de résider sur le territoire de la </w:t>
      </w:r>
      <w:r w:rsidR="00CB43AD" w:rsidRPr="00911998">
        <w:t>v</w:t>
      </w:r>
      <w:r w:rsidRPr="00911998">
        <w:t>ille</w:t>
      </w:r>
      <w:r w:rsidR="002A3F8F" w:rsidRPr="00911998">
        <w:t xml:space="preserve"> de Longueuil</w:t>
      </w:r>
      <w:r w:rsidR="002A3F8F" w:rsidRPr="00911998">
        <w:rPr>
          <w:rStyle w:val="Appelnotedebasdep"/>
        </w:rPr>
        <w:footnoteReference w:id="109"/>
      </w:r>
      <w:r w:rsidRPr="00911998">
        <w:t xml:space="preserve">. </w:t>
      </w:r>
      <w:r w:rsidR="00921D03" w:rsidRPr="00911998">
        <w:t xml:space="preserve">La Cour </w:t>
      </w:r>
      <w:r w:rsidR="0025447B" w:rsidRPr="00911998">
        <w:t>conclut</w:t>
      </w:r>
      <w:r w:rsidR="00921D03" w:rsidRPr="00911998">
        <w:t xml:space="preserve"> que la résolution porte atteinte au droit à la vie privée garanti par l’article 5 de la </w:t>
      </w:r>
      <w:r w:rsidR="00921D03" w:rsidRPr="00911998">
        <w:rPr>
          <w:i/>
          <w:iCs/>
        </w:rPr>
        <w:t>Charte québécoise</w:t>
      </w:r>
      <w:r w:rsidR="00921D03" w:rsidRPr="00911998">
        <w:t xml:space="preserve">. </w:t>
      </w:r>
      <w:r w:rsidR="00E414BF" w:rsidRPr="00911998">
        <w:t xml:space="preserve">Le juge La Forest </w:t>
      </w:r>
      <w:r w:rsidR="00012D64" w:rsidRPr="00911998">
        <w:t>—</w:t>
      </w:r>
      <w:r w:rsidR="00E414BF" w:rsidRPr="00911998">
        <w:t xml:space="preserve"> cette fois avec l’accord uniquement de deux autres collègues</w:t>
      </w:r>
      <w:r w:rsidR="00E414BF" w:rsidRPr="00911998">
        <w:rPr>
          <w:rStyle w:val="Appelnotedebasdep"/>
        </w:rPr>
        <w:footnoteReference w:id="110"/>
      </w:r>
      <w:r w:rsidR="00E414BF" w:rsidRPr="00911998">
        <w:t xml:space="preserve"> </w:t>
      </w:r>
      <w:r w:rsidR="00012D64" w:rsidRPr="00911998">
        <w:t>—</w:t>
      </w:r>
      <w:r w:rsidR="00E414BF" w:rsidRPr="00911998">
        <w:t xml:space="preserve"> considère qu’il y a également atteinte au droit à la liberté garanti à l’article 7</w:t>
      </w:r>
      <w:r w:rsidR="0025447B" w:rsidRPr="00911998">
        <w:t> </w:t>
      </w:r>
      <w:r w:rsidR="00E414BF" w:rsidRPr="00911998">
        <w:t xml:space="preserve">de la </w:t>
      </w:r>
      <w:r w:rsidR="00E414BF" w:rsidRPr="00911998">
        <w:rPr>
          <w:i/>
          <w:iCs/>
        </w:rPr>
        <w:t>Charte canadienne</w:t>
      </w:r>
      <w:r w:rsidR="00E414BF" w:rsidRPr="00911998">
        <w:t>. Il reprend à ce titre ses motifs d</w:t>
      </w:r>
      <w:r w:rsidR="006700D7" w:rsidRPr="00911998">
        <w:t>e</w:t>
      </w:r>
      <w:r w:rsidR="00E414BF" w:rsidRPr="00911998">
        <w:t xml:space="preserve"> l’arrêt </w:t>
      </w:r>
      <w:r w:rsidR="00E414BF" w:rsidRPr="00911998">
        <w:rPr>
          <w:i/>
          <w:iCs/>
        </w:rPr>
        <w:t>B. (R.)</w:t>
      </w:r>
      <w:r w:rsidR="00E414BF" w:rsidRPr="00911998">
        <w:t>.</w:t>
      </w:r>
    </w:p>
    <w:p w14:paraId="310A0123" w14:textId="3E17833D" w:rsidR="002A3F8F" w:rsidRPr="00911998" w:rsidRDefault="00E414BF" w:rsidP="00E414BF">
      <w:pPr>
        <w:pStyle w:val="Paragrsimple"/>
        <w:tabs>
          <w:tab w:val="clear" w:pos="360"/>
        </w:tabs>
      </w:pPr>
      <w:r w:rsidRPr="00911998">
        <w:t xml:space="preserve">Force est de constater que </w:t>
      </w:r>
      <w:r w:rsidR="00AA1FE8" w:rsidRPr="00911998">
        <w:t xml:space="preserve">l’idée </w:t>
      </w:r>
      <w:r w:rsidR="002D106E" w:rsidRPr="00911998">
        <w:t xml:space="preserve">voulant </w:t>
      </w:r>
      <w:r w:rsidR="00AA1FE8" w:rsidRPr="00911998">
        <w:t>que la notion de la «</w:t>
      </w:r>
      <w:r w:rsidR="00012D64" w:rsidRPr="00911998">
        <w:t> </w:t>
      </w:r>
      <w:r w:rsidR="00AA1FE8" w:rsidRPr="00911998">
        <w:t>liberté parentale</w:t>
      </w:r>
      <w:r w:rsidR="00012D64" w:rsidRPr="00911998">
        <w:t> </w:t>
      </w:r>
      <w:r w:rsidR="00AA1FE8" w:rsidRPr="00911998">
        <w:t xml:space="preserve">» </w:t>
      </w:r>
      <w:r w:rsidR="002D106E" w:rsidRPr="00911998">
        <w:t>soit</w:t>
      </w:r>
      <w:r w:rsidR="00AA1FE8" w:rsidRPr="00911998">
        <w:t xml:space="preserve"> visée par le droit à la liberté garanti par l’article 7 de la </w:t>
      </w:r>
      <w:r w:rsidR="00AA1FE8" w:rsidRPr="00911998">
        <w:rPr>
          <w:i/>
          <w:iCs/>
        </w:rPr>
        <w:t>Charte canadienne</w:t>
      </w:r>
      <w:r w:rsidR="00AA1FE8" w:rsidRPr="00911998">
        <w:t xml:space="preserve"> n’a jamais reçu l’aval d’une majorité de la Cour suprême du Canada</w:t>
      </w:r>
      <w:r w:rsidR="00D91C12" w:rsidRPr="00911998">
        <w:rPr>
          <w:rStyle w:val="Appelnotedebasdep"/>
        </w:rPr>
        <w:footnoteReference w:id="111"/>
      </w:r>
      <w:r w:rsidR="00AA1FE8" w:rsidRPr="00911998">
        <w:t>.</w:t>
      </w:r>
      <w:r w:rsidR="00D91C12" w:rsidRPr="00911998">
        <w:t xml:space="preserve"> </w:t>
      </w:r>
      <w:r w:rsidR="002A3F8F" w:rsidRPr="00911998">
        <w:t xml:space="preserve">Par ailleurs, la jurisprudence des instances d’appel canadiennes ne tranche pas définitivement la question de la </w:t>
      </w:r>
      <w:r w:rsidR="002A3F8F" w:rsidRPr="00911998">
        <w:lastRenderedPageBreak/>
        <w:t>protection de la «</w:t>
      </w:r>
      <w:r w:rsidR="00012D64" w:rsidRPr="00911998">
        <w:t> </w:t>
      </w:r>
      <w:r w:rsidR="002A3F8F" w:rsidRPr="00911998">
        <w:t>liberté parentale</w:t>
      </w:r>
      <w:r w:rsidR="00012D64" w:rsidRPr="00911998">
        <w:t> </w:t>
      </w:r>
      <w:r w:rsidR="002A3F8F" w:rsidRPr="00911998">
        <w:t xml:space="preserve">» aux termes de l’article 7 de la </w:t>
      </w:r>
      <w:r w:rsidR="002A3F8F" w:rsidRPr="00911998">
        <w:rPr>
          <w:i/>
          <w:iCs/>
        </w:rPr>
        <w:t>Charte canadienne</w:t>
      </w:r>
      <w:r w:rsidR="002A3F8F" w:rsidRPr="00911998">
        <w:rPr>
          <w:rStyle w:val="Appelnotedebasdep"/>
        </w:rPr>
        <w:footnoteReference w:id="112"/>
      </w:r>
      <w:r w:rsidR="002A3F8F" w:rsidRPr="00911998">
        <w:t>.</w:t>
      </w:r>
      <w:r w:rsidR="00622D4C" w:rsidRPr="00911998">
        <w:t xml:space="preserve"> En somme, aucune autorité concluante </w:t>
      </w:r>
      <w:r w:rsidR="00012D64" w:rsidRPr="00911998">
        <w:t>ne lie</w:t>
      </w:r>
      <w:r w:rsidR="00622D4C" w:rsidRPr="00911998">
        <w:t xml:space="preserve"> le Tribunal sur cette question précise</w:t>
      </w:r>
      <w:r w:rsidR="004D189D" w:rsidRPr="00911998">
        <w:rPr>
          <w:rStyle w:val="Appelnotedebasdep"/>
        </w:rPr>
        <w:footnoteReference w:id="113"/>
      </w:r>
      <w:r w:rsidR="00622D4C" w:rsidRPr="00911998">
        <w:t>.</w:t>
      </w:r>
    </w:p>
    <w:p w14:paraId="0C23DB40" w14:textId="06CD30E2" w:rsidR="00E414BF" w:rsidRPr="00911998" w:rsidRDefault="00D91C12" w:rsidP="00E414BF">
      <w:pPr>
        <w:pStyle w:val="Paragrsimple"/>
        <w:tabs>
          <w:tab w:val="clear" w:pos="360"/>
        </w:tabs>
      </w:pPr>
      <w:r w:rsidRPr="00911998">
        <w:t xml:space="preserve">Force est également de constater qu’il existe une distinction de principe entre la </w:t>
      </w:r>
      <w:r w:rsidR="0025447B" w:rsidRPr="00911998">
        <w:t xml:space="preserve">notion de la </w:t>
      </w:r>
      <w:r w:rsidRPr="00911998">
        <w:t>«</w:t>
      </w:r>
      <w:r w:rsidR="00012D64" w:rsidRPr="00911998">
        <w:t> </w:t>
      </w:r>
      <w:r w:rsidRPr="00911998">
        <w:t>liberté parentale</w:t>
      </w:r>
      <w:r w:rsidR="00012D64" w:rsidRPr="00911998">
        <w:t> </w:t>
      </w:r>
      <w:r w:rsidRPr="00911998">
        <w:t xml:space="preserve">» et le droit de faire des choix personnels fondamentaux </w:t>
      </w:r>
      <w:r w:rsidR="00012D64" w:rsidRPr="00911998">
        <w:t>libres</w:t>
      </w:r>
      <w:r w:rsidRPr="00911998">
        <w:t xml:space="preserve"> de l’intervention de l’État</w:t>
      </w:r>
      <w:r w:rsidR="009557E7" w:rsidRPr="00911998">
        <w:t xml:space="preserve"> </w:t>
      </w:r>
      <w:r w:rsidR="00012D64" w:rsidRPr="00911998">
        <w:t>—</w:t>
      </w:r>
      <w:r w:rsidR="009557E7" w:rsidRPr="00911998">
        <w:t xml:space="preserve"> droit qui </w:t>
      </w:r>
      <w:r w:rsidR="00CB43AD" w:rsidRPr="00911998">
        <w:t>relève</w:t>
      </w:r>
      <w:r w:rsidR="009557E7" w:rsidRPr="00911998">
        <w:t xml:space="preserve"> clairement </w:t>
      </w:r>
      <w:r w:rsidR="00CB43AD" w:rsidRPr="00911998">
        <w:t>de</w:t>
      </w:r>
      <w:r w:rsidR="009557E7" w:rsidRPr="00911998">
        <w:t xml:space="preserve"> </w:t>
      </w:r>
      <w:r w:rsidR="00CB43AD" w:rsidRPr="00911998">
        <w:t>la protection de</w:t>
      </w:r>
      <w:r w:rsidR="009557E7" w:rsidRPr="00911998">
        <w:t xml:space="preserve"> l’article 7</w:t>
      </w:r>
      <w:r w:rsidR="00BB0BD7" w:rsidRPr="00911998">
        <w:t> </w:t>
      </w:r>
      <w:r w:rsidR="009557E7" w:rsidRPr="00911998">
        <w:t xml:space="preserve">de la </w:t>
      </w:r>
      <w:r w:rsidR="009557E7" w:rsidRPr="00911998">
        <w:rPr>
          <w:i/>
          <w:iCs/>
        </w:rPr>
        <w:t>Charte canadienne</w:t>
      </w:r>
      <w:r w:rsidRPr="00911998">
        <w:t>.</w:t>
      </w:r>
    </w:p>
    <w:p w14:paraId="7AAD191C" w14:textId="33EC8ECD" w:rsidR="00FD0522" w:rsidRPr="00911998" w:rsidRDefault="002D106E" w:rsidP="002D106E">
      <w:pPr>
        <w:pStyle w:val="Paragrsimple"/>
        <w:tabs>
          <w:tab w:val="clear" w:pos="360"/>
        </w:tabs>
        <w:rPr>
          <w:rFonts w:cs="Arial"/>
          <w:shd w:val="clear" w:color="auto" w:fill="FFFFFF"/>
        </w:rPr>
      </w:pPr>
      <w:r w:rsidRPr="00911998">
        <w:t>En effet, dans la mesure o</w:t>
      </w:r>
      <w:r w:rsidRPr="00911998">
        <w:rPr>
          <w:rFonts w:cs="Arial"/>
        </w:rPr>
        <w:t>ù</w:t>
      </w:r>
      <w:r w:rsidRPr="00911998">
        <w:t xml:space="preserve"> l</w:t>
      </w:r>
      <w:r w:rsidR="00FD0522" w:rsidRPr="00911998">
        <w:rPr>
          <w:rFonts w:cs="Arial"/>
          <w:shd w:val="clear" w:color="auto" w:fill="FFFFFF"/>
        </w:rPr>
        <w:t xml:space="preserve">a notion de la </w:t>
      </w:r>
      <w:r w:rsidRPr="00911998">
        <w:rPr>
          <w:rFonts w:cs="Arial"/>
          <w:shd w:val="clear" w:color="auto" w:fill="FFFFFF"/>
        </w:rPr>
        <w:t>«</w:t>
      </w:r>
      <w:r w:rsidR="00012D64" w:rsidRPr="00911998">
        <w:rPr>
          <w:rFonts w:cs="Arial"/>
          <w:shd w:val="clear" w:color="auto" w:fill="FFFFFF"/>
        </w:rPr>
        <w:t> </w:t>
      </w:r>
      <w:r w:rsidR="00FD0522" w:rsidRPr="00911998">
        <w:rPr>
          <w:rFonts w:cs="Arial"/>
          <w:shd w:val="clear" w:color="auto" w:fill="FFFFFF"/>
        </w:rPr>
        <w:t>liberté parentale</w:t>
      </w:r>
      <w:r w:rsidR="00012D64" w:rsidRPr="00911998">
        <w:rPr>
          <w:rFonts w:cs="Arial"/>
          <w:shd w:val="clear" w:color="auto" w:fill="FFFFFF"/>
        </w:rPr>
        <w:t> </w:t>
      </w:r>
      <w:r w:rsidRPr="00911998">
        <w:rPr>
          <w:rFonts w:cs="Arial"/>
          <w:shd w:val="clear" w:color="auto" w:fill="FFFFFF"/>
        </w:rPr>
        <w:t>» est visée par l’article 7, elle</w:t>
      </w:r>
      <w:r w:rsidR="00FD0522" w:rsidRPr="00911998">
        <w:rPr>
          <w:rFonts w:cs="Arial"/>
          <w:shd w:val="clear" w:color="auto" w:fill="FFFFFF"/>
        </w:rPr>
        <w:t xml:space="preserve"> </w:t>
      </w:r>
      <w:r w:rsidR="00012D64" w:rsidRPr="00911998">
        <w:rPr>
          <w:rFonts w:cs="Arial"/>
          <w:shd w:val="clear" w:color="auto" w:fill="FFFFFF"/>
        </w:rPr>
        <w:t>protégerait</w:t>
      </w:r>
      <w:r w:rsidR="00FD0522" w:rsidRPr="00911998">
        <w:rPr>
          <w:rFonts w:cs="Arial"/>
          <w:shd w:val="clear" w:color="auto" w:fill="FFFFFF"/>
        </w:rPr>
        <w:t xml:space="preserve"> le droit de prendre une décision fondamentale, non pas à l’égard d</w:t>
      </w:r>
      <w:r w:rsidRPr="00911998">
        <w:rPr>
          <w:rFonts w:cs="Arial"/>
          <w:shd w:val="clear" w:color="auto" w:fill="FFFFFF"/>
        </w:rPr>
        <w:t xml:space="preserve">u titulaire du droit </w:t>
      </w:r>
      <w:r w:rsidR="00012D64" w:rsidRPr="00911998">
        <w:rPr>
          <w:rFonts w:cs="Arial"/>
          <w:shd w:val="clear" w:color="auto" w:fill="FFFFFF"/>
        </w:rPr>
        <w:t>—</w:t>
      </w:r>
      <w:r w:rsidRPr="00911998">
        <w:rPr>
          <w:rFonts w:cs="Arial"/>
          <w:shd w:val="clear" w:color="auto" w:fill="FFFFFF"/>
        </w:rPr>
        <w:t xml:space="preserve"> c’est-à-dire </w:t>
      </w:r>
      <w:r w:rsidR="00FD0522" w:rsidRPr="00911998">
        <w:rPr>
          <w:rFonts w:cs="Arial"/>
          <w:shd w:val="clear" w:color="auto" w:fill="FFFFFF"/>
        </w:rPr>
        <w:t>soit même</w:t>
      </w:r>
      <w:r w:rsidRPr="00911998">
        <w:rPr>
          <w:rFonts w:cs="Arial"/>
          <w:shd w:val="clear" w:color="auto" w:fill="FFFFFF"/>
        </w:rPr>
        <w:t xml:space="preserve"> </w:t>
      </w:r>
      <w:r w:rsidR="00012D64" w:rsidRPr="00911998">
        <w:rPr>
          <w:rFonts w:cs="Arial"/>
          <w:shd w:val="clear" w:color="auto" w:fill="FFFFFF"/>
        </w:rPr>
        <w:t>—</w:t>
      </w:r>
      <w:r w:rsidR="00FD0522" w:rsidRPr="00911998">
        <w:rPr>
          <w:rFonts w:cs="Arial"/>
          <w:shd w:val="clear" w:color="auto" w:fill="FFFFFF"/>
        </w:rPr>
        <w:t xml:space="preserve"> mais </w:t>
      </w:r>
      <w:r w:rsidR="00FC1253" w:rsidRPr="00911998">
        <w:rPr>
          <w:rFonts w:cs="Arial"/>
          <w:shd w:val="clear" w:color="auto" w:fill="FFFFFF"/>
        </w:rPr>
        <w:t xml:space="preserve">pour </w:t>
      </w:r>
      <w:r w:rsidR="00FD0522" w:rsidRPr="00911998">
        <w:rPr>
          <w:rFonts w:cs="Arial"/>
          <w:shd w:val="clear" w:color="auto" w:fill="FFFFFF"/>
        </w:rPr>
        <w:t xml:space="preserve">un </w:t>
      </w:r>
      <w:r w:rsidR="00FD0522" w:rsidRPr="00911998">
        <w:t>tiers</w:t>
      </w:r>
      <w:r w:rsidRPr="00911998">
        <w:t xml:space="preserve">. </w:t>
      </w:r>
      <w:r w:rsidR="00BB0BD7" w:rsidRPr="00911998">
        <w:t>L</w:t>
      </w:r>
      <w:r w:rsidRPr="00911998">
        <w:t>a décision protégée par</w:t>
      </w:r>
      <w:r w:rsidR="009D22B1" w:rsidRPr="00911998">
        <w:t xml:space="preserve"> le volet «</w:t>
      </w:r>
      <w:r w:rsidR="00012D64" w:rsidRPr="00911998">
        <w:t> </w:t>
      </w:r>
      <w:r w:rsidR="009D22B1" w:rsidRPr="00911998">
        <w:t>liberté</w:t>
      </w:r>
      <w:r w:rsidR="00012D64" w:rsidRPr="00911998">
        <w:t> </w:t>
      </w:r>
      <w:r w:rsidR="009D22B1" w:rsidRPr="00911998">
        <w:t>» de</w:t>
      </w:r>
      <w:r w:rsidRPr="00911998">
        <w:t xml:space="preserve"> l’article 7 viserait </w:t>
      </w:r>
      <w:r w:rsidR="00BB0BD7" w:rsidRPr="00911998">
        <w:t xml:space="preserve">donc </w:t>
      </w:r>
      <w:r w:rsidR="00CF410F" w:rsidRPr="00911998">
        <w:t>la santé, l’éducation ou l’épanouissement d’</w:t>
      </w:r>
      <w:r w:rsidRPr="00911998">
        <w:t>une autre personne</w:t>
      </w:r>
      <w:r w:rsidR="00FC1253" w:rsidRPr="00911998">
        <w:rPr>
          <w:rFonts w:cs="Arial"/>
          <w:shd w:val="clear" w:color="auto" w:fill="FFFFFF"/>
        </w:rPr>
        <w:t>,</w:t>
      </w:r>
      <w:r w:rsidR="00FD0522" w:rsidRPr="00911998">
        <w:rPr>
          <w:rFonts w:cs="Arial"/>
          <w:shd w:val="clear" w:color="auto" w:fill="FFFFFF"/>
        </w:rPr>
        <w:t xml:space="preserve"> </w:t>
      </w:r>
      <w:r w:rsidR="0025447B" w:rsidRPr="00911998">
        <w:rPr>
          <w:rFonts w:cs="Arial"/>
          <w:shd w:val="clear" w:color="auto" w:fill="FFFFFF"/>
        </w:rPr>
        <w:t>à savoir</w:t>
      </w:r>
      <w:r w:rsidRPr="00911998">
        <w:rPr>
          <w:rFonts w:cs="Arial"/>
          <w:shd w:val="clear" w:color="auto" w:fill="FFFFFF"/>
        </w:rPr>
        <w:t xml:space="preserve"> </w:t>
      </w:r>
      <w:r w:rsidR="00FD0522" w:rsidRPr="00911998">
        <w:rPr>
          <w:rFonts w:cs="Arial"/>
          <w:shd w:val="clear" w:color="auto" w:fill="FFFFFF"/>
        </w:rPr>
        <w:t>un enfant</w:t>
      </w:r>
      <w:r w:rsidRPr="00911998">
        <w:rPr>
          <w:rFonts w:cs="Arial"/>
          <w:shd w:val="clear" w:color="auto" w:fill="FFFFFF"/>
        </w:rPr>
        <w:t xml:space="preserve">. </w:t>
      </w:r>
      <w:r w:rsidR="009D22B1" w:rsidRPr="00911998">
        <w:rPr>
          <w:rFonts w:cs="Arial"/>
          <w:shd w:val="clear" w:color="auto" w:fill="FFFFFF"/>
        </w:rPr>
        <w:t xml:space="preserve">Or, </w:t>
      </w:r>
      <w:r w:rsidRPr="00911998">
        <w:rPr>
          <w:rFonts w:cs="Arial"/>
          <w:shd w:val="clear" w:color="auto" w:fill="FFFFFF"/>
        </w:rPr>
        <w:t>c</w:t>
      </w:r>
      <w:r w:rsidR="00FC1253" w:rsidRPr="00911998">
        <w:rPr>
          <w:rFonts w:cs="Arial"/>
          <w:shd w:val="clear" w:color="auto" w:fill="FFFFFF"/>
        </w:rPr>
        <w:t>ette</w:t>
      </w:r>
      <w:r w:rsidRPr="00911998">
        <w:rPr>
          <w:rFonts w:cs="Arial"/>
          <w:shd w:val="clear" w:color="auto" w:fill="FFFFFF"/>
        </w:rPr>
        <w:t xml:space="preserve"> autre personne est </w:t>
      </w:r>
      <w:r w:rsidR="00CF410F" w:rsidRPr="00911998">
        <w:rPr>
          <w:rFonts w:cs="Arial"/>
          <w:shd w:val="clear" w:color="auto" w:fill="FFFFFF"/>
        </w:rPr>
        <w:t>elle</w:t>
      </w:r>
      <w:r w:rsidR="0025447B" w:rsidRPr="00911998">
        <w:rPr>
          <w:rFonts w:cs="Arial"/>
          <w:shd w:val="clear" w:color="auto" w:fill="FFFFFF"/>
        </w:rPr>
        <w:noBreakHyphen/>
      </w:r>
      <w:r w:rsidR="00CF410F" w:rsidRPr="00911998">
        <w:rPr>
          <w:rFonts w:cs="Arial"/>
          <w:shd w:val="clear" w:color="auto" w:fill="FFFFFF"/>
        </w:rPr>
        <w:t xml:space="preserve">même </w:t>
      </w:r>
      <w:r w:rsidR="009D22B1" w:rsidRPr="00911998">
        <w:rPr>
          <w:rFonts w:cs="Arial"/>
          <w:shd w:val="clear" w:color="auto" w:fill="FFFFFF"/>
        </w:rPr>
        <w:t xml:space="preserve">un individu </w:t>
      </w:r>
      <w:r w:rsidR="0025447B" w:rsidRPr="00911998">
        <w:rPr>
          <w:rFonts w:cs="Arial"/>
          <w:shd w:val="clear" w:color="auto" w:fill="FFFFFF"/>
        </w:rPr>
        <w:t xml:space="preserve">pleinement </w:t>
      </w:r>
      <w:r w:rsidR="00FD0522" w:rsidRPr="00911998">
        <w:rPr>
          <w:rFonts w:cs="Arial"/>
          <w:shd w:val="clear" w:color="auto" w:fill="FFFFFF"/>
        </w:rPr>
        <w:t>titulaire de droits et</w:t>
      </w:r>
      <w:r w:rsidR="00586953" w:rsidRPr="00911998">
        <w:rPr>
          <w:rFonts w:cs="Arial"/>
          <w:shd w:val="clear" w:color="auto" w:fill="FFFFFF"/>
        </w:rPr>
        <w:t xml:space="preserve"> de</w:t>
      </w:r>
      <w:r w:rsidR="00FD0522" w:rsidRPr="00911998">
        <w:rPr>
          <w:rFonts w:cs="Arial"/>
          <w:shd w:val="clear" w:color="auto" w:fill="FFFFFF"/>
        </w:rPr>
        <w:t xml:space="preserve"> libertés, dont l’exercice est </w:t>
      </w:r>
      <w:r w:rsidR="0025447B" w:rsidRPr="00911998">
        <w:rPr>
          <w:rFonts w:cs="Arial"/>
          <w:shd w:val="clear" w:color="auto" w:fill="FFFFFF"/>
        </w:rPr>
        <w:t xml:space="preserve">toutefois </w:t>
      </w:r>
      <w:r w:rsidRPr="00911998">
        <w:rPr>
          <w:rFonts w:cs="Arial"/>
          <w:shd w:val="clear" w:color="auto" w:fill="FFFFFF"/>
        </w:rPr>
        <w:t xml:space="preserve">aménagé </w:t>
      </w:r>
      <w:r w:rsidR="00FD0522" w:rsidRPr="00911998">
        <w:rPr>
          <w:rFonts w:cs="Arial"/>
          <w:shd w:val="clear" w:color="auto" w:fill="FFFFFF"/>
        </w:rPr>
        <w:t xml:space="preserve">par </w:t>
      </w:r>
      <w:r w:rsidR="00CF410F" w:rsidRPr="00911998">
        <w:rPr>
          <w:rFonts w:cs="Arial"/>
          <w:shd w:val="clear" w:color="auto" w:fill="FFFFFF"/>
        </w:rPr>
        <w:t>d</w:t>
      </w:r>
      <w:r w:rsidRPr="00911998">
        <w:rPr>
          <w:rFonts w:cs="Arial"/>
          <w:shd w:val="clear" w:color="auto" w:fill="FFFFFF"/>
        </w:rPr>
        <w:t xml:space="preserve">es contraintes liées à son </w:t>
      </w:r>
      <w:r w:rsidR="00FD0522" w:rsidRPr="00911998">
        <w:rPr>
          <w:rFonts w:cs="Arial"/>
          <w:shd w:val="clear" w:color="auto" w:fill="FFFFFF"/>
        </w:rPr>
        <w:t>âge.</w:t>
      </w:r>
    </w:p>
    <w:p w14:paraId="1B0DB8B4" w14:textId="71EFDF09" w:rsidR="009D22B1" w:rsidRPr="00911998" w:rsidRDefault="009D22B1" w:rsidP="009D22B1">
      <w:pPr>
        <w:pStyle w:val="Paragrsimple"/>
        <w:tabs>
          <w:tab w:val="clear" w:pos="360"/>
        </w:tabs>
      </w:pPr>
      <w:r w:rsidRPr="00911998">
        <w:t xml:space="preserve">En somme, </w:t>
      </w:r>
      <w:r w:rsidR="00C63D17" w:rsidRPr="00911998">
        <w:t>la notion de «</w:t>
      </w:r>
      <w:r w:rsidR="00012D64" w:rsidRPr="00911998">
        <w:t> </w:t>
      </w:r>
      <w:r w:rsidR="00C63D17" w:rsidRPr="00911998">
        <w:t>liberté parentale</w:t>
      </w:r>
      <w:r w:rsidR="00012D64" w:rsidRPr="00911998">
        <w:t> </w:t>
      </w:r>
      <w:r w:rsidR="00C63D17" w:rsidRPr="00911998">
        <w:t xml:space="preserve">» </w:t>
      </w:r>
      <w:r w:rsidR="00663F8A" w:rsidRPr="00911998">
        <w:t>protégerait le droit de prendre une décision</w:t>
      </w:r>
      <w:r w:rsidR="009557E7" w:rsidRPr="00911998">
        <w:t xml:space="preserve"> sur un sujet fondamental</w:t>
      </w:r>
      <w:r w:rsidR="00663F8A" w:rsidRPr="00911998">
        <w:t xml:space="preserve"> </w:t>
      </w:r>
      <w:r w:rsidR="00663F8A" w:rsidRPr="00911998">
        <w:rPr>
          <w:u w:val="single"/>
        </w:rPr>
        <w:t>à l’égard d’autrui</w:t>
      </w:r>
      <w:r w:rsidR="00124887" w:rsidRPr="00911998">
        <w:t xml:space="preserve"> contre une intervention étatique</w:t>
      </w:r>
      <w:r w:rsidR="00F349C8" w:rsidRPr="00911998">
        <w:t xml:space="preserve">. Une telle protection </w:t>
      </w:r>
      <w:r w:rsidR="00012D64" w:rsidRPr="00911998">
        <w:t>fait intervenir d’autres considérations et n’équivaut pas à</w:t>
      </w:r>
      <w:r w:rsidR="00F349C8" w:rsidRPr="00911998">
        <w:t xml:space="preserve"> la protection </w:t>
      </w:r>
      <w:r w:rsidRPr="00911998">
        <w:t xml:space="preserve">des choix personnels fondamentaux </w:t>
      </w:r>
      <w:r w:rsidR="00F349C8" w:rsidRPr="00911998">
        <w:t>en lien avec</w:t>
      </w:r>
      <w:r w:rsidR="00012D64" w:rsidRPr="00911998">
        <w:t xml:space="preserve"> sa propre</w:t>
      </w:r>
      <w:r w:rsidR="00F349C8" w:rsidRPr="00911998">
        <w:t xml:space="preserve"> sphère d’autonomie individuelle irréductible.</w:t>
      </w:r>
    </w:p>
    <w:p w14:paraId="3BF9E6C8" w14:textId="0DC2C1E2" w:rsidR="00390E9A" w:rsidRPr="00911998" w:rsidRDefault="007D25FC" w:rsidP="00390E9A">
      <w:pPr>
        <w:pStyle w:val="Paragrsimple"/>
        <w:tabs>
          <w:tab w:val="clear" w:pos="360"/>
        </w:tabs>
        <w:rPr>
          <w:sz w:val="22"/>
          <w:szCs w:val="22"/>
        </w:rPr>
      </w:pPr>
      <w:r w:rsidRPr="00911998">
        <w:t>À ce titre, t</w:t>
      </w:r>
      <w:r w:rsidR="009D22B1" w:rsidRPr="00911998">
        <w:t>out en reconnaissant l’immense importance du rôle parental dans notre société</w:t>
      </w:r>
      <w:r w:rsidRPr="00911998">
        <w:t xml:space="preserve"> et dans la vie d’une famille</w:t>
      </w:r>
      <w:r w:rsidR="009D22B1" w:rsidRPr="00911998">
        <w:t xml:space="preserve">, l’idée </w:t>
      </w:r>
      <w:r w:rsidR="00390E9A" w:rsidRPr="00911998">
        <w:t>selon la</w:t>
      </w:r>
      <w:r w:rsidR="009D22B1" w:rsidRPr="00911998">
        <w:t>que</w:t>
      </w:r>
      <w:r w:rsidR="00390E9A" w:rsidRPr="00911998">
        <w:t>lle</w:t>
      </w:r>
      <w:r w:rsidR="009D22B1" w:rsidRPr="00911998">
        <w:t xml:space="preserve"> le pouvoir décisionnel d’un parent </w:t>
      </w:r>
      <w:r w:rsidR="006A25C7" w:rsidRPr="00911998">
        <w:t xml:space="preserve">à l’égard de son enfant est protégé par le droit à la </w:t>
      </w:r>
      <w:r w:rsidR="006A25C7" w:rsidRPr="00911998">
        <w:rPr>
          <w:u w:val="single"/>
        </w:rPr>
        <w:t>liberté</w:t>
      </w:r>
      <w:r w:rsidR="006A25C7" w:rsidRPr="00911998">
        <w:t xml:space="preserve"> </w:t>
      </w:r>
      <w:r w:rsidR="00942CD2" w:rsidRPr="00911998">
        <w:t xml:space="preserve">garanti </w:t>
      </w:r>
      <w:r w:rsidRPr="00911998">
        <w:t>par</w:t>
      </w:r>
      <w:r w:rsidR="00942CD2" w:rsidRPr="00911998">
        <w:t xml:space="preserve"> l’article 7 de la </w:t>
      </w:r>
      <w:r w:rsidR="00942CD2" w:rsidRPr="00911998">
        <w:rPr>
          <w:i/>
          <w:iCs/>
        </w:rPr>
        <w:t xml:space="preserve">Charte canadienne </w:t>
      </w:r>
      <w:r w:rsidRPr="00911998">
        <w:t>paraît</w:t>
      </w:r>
      <w:r w:rsidR="006A25C7" w:rsidRPr="00911998">
        <w:t xml:space="preserve"> difficilement compatible avec </w:t>
      </w:r>
      <w:r w:rsidRPr="00911998">
        <w:t>la façon dont ce pouvoir est</w:t>
      </w:r>
      <w:r w:rsidR="00B737FE" w:rsidRPr="00911998">
        <w:t xml:space="preserve"> </w:t>
      </w:r>
      <w:r w:rsidR="00B737FE" w:rsidRPr="00911998">
        <w:lastRenderedPageBreak/>
        <w:t>co</w:t>
      </w:r>
      <w:r w:rsidR="00A326F0" w:rsidRPr="00911998">
        <w:t>mpris</w:t>
      </w:r>
      <w:r w:rsidR="00BE254F" w:rsidRPr="00911998">
        <w:t>, du moins</w:t>
      </w:r>
      <w:r w:rsidRPr="00911998">
        <w:t xml:space="preserve"> </w:t>
      </w:r>
      <w:r w:rsidR="00B737FE" w:rsidRPr="00911998">
        <w:t>en</w:t>
      </w:r>
      <w:r w:rsidRPr="00911998">
        <w:t xml:space="preserve"> droit québécois.</w:t>
      </w:r>
      <w:r w:rsidR="00390E9A" w:rsidRPr="00911998">
        <w:t xml:space="preserve"> En effet, le pouvoir décisionnel du parent </w:t>
      </w:r>
      <w:r w:rsidR="000A09FD" w:rsidRPr="00911998">
        <w:t xml:space="preserve">correspond </w:t>
      </w:r>
      <w:r w:rsidR="00390E9A" w:rsidRPr="00911998">
        <w:t>à l’autorité parentale</w:t>
      </w:r>
      <w:r w:rsidR="000A09FD" w:rsidRPr="00911998">
        <w:t>,</w:t>
      </w:r>
      <w:r w:rsidR="00390E9A" w:rsidRPr="00911998">
        <w:t xml:space="preserve"> dont l’article 599 C.c.Q. prévoit les attributs :</w:t>
      </w:r>
    </w:p>
    <w:tbl>
      <w:tblPr>
        <w:tblStyle w:val="Grilledutableau"/>
        <w:tblW w:w="0" w:type="auto"/>
        <w:tblInd w:w="279" w:type="dxa"/>
        <w:tblLook w:val="04A0" w:firstRow="1" w:lastRow="0" w:firstColumn="1" w:lastColumn="0" w:noHBand="0" w:noVBand="1"/>
      </w:tblPr>
      <w:tblGrid>
        <w:gridCol w:w="4394"/>
        <w:gridCol w:w="4536"/>
      </w:tblGrid>
      <w:tr w:rsidR="000E19AB" w:rsidRPr="00153EC1" w14:paraId="78C546FB" w14:textId="77777777" w:rsidTr="00D2283A">
        <w:tc>
          <w:tcPr>
            <w:tcW w:w="4394" w:type="dxa"/>
          </w:tcPr>
          <w:p w14:paraId="788F6D67" w14:textId="77777777" w:rsidR="0094283E" w:rsidRPr="00911998" w:rsidRDefault="00000000" w:rsidP="0094283E">
            <w:pPr>
              <w:pStyle w:val="Paragrsimple"/>
              <w:numPr>
                <w:ilvl w:val="0"/>
                <w:numId w:val="0"/>
              </w:numPr>
              <w:rPr>
                <w:sz w:val="22"/>
                <w:szCs w:val="22"/>
                <w:lang w:eastAsia="fr-CA"/>
              </w:rPr>
            </w:pPr>
            <w:hyperlink r:id="rId33" w:anchor="se:599" w:history="1">
              <w:r w:rsidR="0094283E" w:rsidRPr="00911998">
                <w:rPr>
                  <w:b/>
                  <w:bCs/>
                  <w:sz w:val="22"/>
                  <w:szCs w:val="22"/>
                  <w:lang w:eastAsia="fr-CA"/>
                </w:rPr>
                <w:t>599.</w:t>
              </w:r>
            </w:hyperlink>
            <w:r w:rsidR="0094283E" w:rsidRPr="00911998">
              <w:rPr>
                <w:sz w:val="22"/>
                <w:szCs w:val="22"/>
                <w:lang w:eastAsia="fr-CA"/>
              </w:rPr>
              <w:t xml:space="preserve"> Les père et mère ou les </w:t>
            </w:r>
            <w:r w:rsidR="0094283E" w:rsidRPr="00911998">
              <w:rPr>
                <w:rFonts w:cs="Arial"/>
                <w:sz w:val="22"/>
                <w:szCs w:val="22"/>
              </w:rPr>
              <w:t>parents</w:t>
            </w:r>
            <w:r w:rsidR="0094283E" w:rsidRPr="00911998">
              <w:rPr>
                <w:sz w:val="22"/>
                <w:szCs w:val="22"/>
                <w:lang w:eastAsia="fr-CA"/>
              </w:rPr>
              <w:t xml:space="preserve"> ont, à l’égard de leur enfant, le droit et le devoir de garde, de surveillance et d’éducation.</w:t>
            </w:r>
          </w:p>
          <w:p w14:paraId="3164FD88" w14:textId="77777777" w:rsidR="0094283E" w:rsidRPr="00911998" w:rsidRDefault="0094283E" w:rsidP="0094283E">
            <w:pPr>
              <w:pStyle w:val="Paragrsimple"/>
              <w:numPr>
                <w:ilvl w:val="0"/>
                <w:numId w:val="0"/>
              </w:numPr>
              <w:rPr>
                <w:sz w:val="22"/>
                <w:szCs w:val="22"/>
                <w:lang w:eastAsia="fr-CA"/>
              </w:rPr>
            </w:pPr>
            <w:r w:rsidRPr="00911998">
              <w:rPr>
                <w:sz w:val="22"/>
                <w:szCs w:val="22"/>
                <w:lang w:eastAsia="fr-CA"/>
              </w:rPr>
              <w:t>Ils doivent nourrir et entretenir leur enfant.</w:t>
            </w:r>
          </w:p>
          <w:p w14:paraId="7D17534E" w14:textId="7BC96186" w:rsidR="00390E9A" w:rsidRPr="00911998" w:rsidRDefault="0094283E" w:rsidP="0094283E">
            <w:pPr>
              <w:pStyle w:val="Paragrsimple"/>
              <w:numPr>
                <w:ilvl w:val="0"/>
                <w:numId w:val="0"/>
              </w:numPr>
              <w:rPr>
                <w:lang w:eastAsia="fr-CA"/>
              </w:rPr>
            </w:pPr>
            <w:r w:rsidRPr="00911998">
              <w:rPr>
                <w:sz w:val="22"/>
                <w:szCs w:val="22"/>
                <w:lang w:eastAsia="fr-CA"/>
              </w:rPr>
              <w:t>Ils exercent leur autorité sans violence aucune.</w:t>
            </w:r>
          </w:p>
        </w:tc>
        <w:tc>
          <w:tcPr>
            <w:tcW w:w="4536" w:type="dxa"/>
          </w:tcPr>
          <w:p w14:paraId="05080083" w14:textId="77777777" w:rsidR="0094283E" w:rsidRPr="00911998" w:rsidRDefault="00000000" w:rsidP="0094283E">
            <w:pPr>
              <w:pStyle w:val="Paragrsimple"/>
              <w:numPr>
                <w:ilvl w:val="0"/>
                <w:numId w:val="0"/>
              </w:numPr>
              <w:rPr>
                <w:rFonts w:cs="Arial"/>
                <w:i/>
                <w:iCs/>
                <w:sz w:val="22"/>
                <w:szCs w:val="22"/>
                <w:lang w:val="en-CA" w:eastAsia="fr-CA"/>
              </w:rPr>
            </w:pPr>
            <w:hyperlink r:id="rId34" w:anchor="se:599" w:history="1">
              <w:r w:rsidR="0094283E" w:rsidRPr="00911998">
                <w:rPr>
                  <w:rFonts w:cs="Arial"/>
                  <w:b/>
                  <w:bCs/>
                  <w:i/>
                  <w:iCs/>
                  <w:sz w:val="22"/>
                  <w:szCs w:val="22"/>
                  <w:lang w:val="en-CA" w:eastAsia="fr-CA"/>
                </w:rPr>
                <w:t>599.</w:t>
              </w:r>
            </w:hyperlink>
            <w:r w:rsidR="0094283E" w:rsidRPr="00911998">
              <w:rPr>
                <w:rFonts w:cs="Arial"/>
                <w:i/>
                <w:iCs/>
                <w:sz w:val="22"/>
                <w:szCs w:val="22"/>
                <w:lang w:val="en-CA" w:eastAsia="fr-CA"/>
              </w:rPr>
              <w:t xml:space="preserve"> The father and mother or the parents have the rights </w:t>
            </w:r>
            <w:r w:rsidR="0094283E" w:rsidRPr="00911998">
              <w:rPr>
                <w:i/>
                <w:iCs/>
                <w:sz w:val="22"/>
                <w:szCs w:val="22"/>
                <w:lang w:val="en-CA" w:eastAsia="fr-CA"/>
              </w:rPr>
              <w:t>and</w:t>
            </w:r>
            <w:r w:rsidR="0094283E" w:rsidRPr="00911998">
              <w:rPr>
                <w:rFonts w:cs="Arial"/>
                <w:i/>
                <w:iCs/>
                <w:sz w:val="22"/>
                <w:szCs w:val="22"/>
                <w:lang w:val="en-CA" w:eastAsia="fr-CA"/>
              </w:rPr>
              <w:t xml:space="preserve"> duties of custody, supervision and education of their children.</w:t>
            </w:r>
          </w:p>
          <w:p w14:paraId="1F084CD3" w14:textId="77777777" w:rsidR="0094283E" w:rsidRPr="00911998" w:rsidRDefault="0094283E" w:rsidP="0094283E">
            <w:pPr>
              <w:pStyle w:val="Paragrsimple"/>
              <w:numPr>
                <w:ilvl w:val="0"/>
                <w:numId w:val="0"/>
              </w:numPr>
              <w:rPr>
                <w:rFonts w:cs="Arial"/>
                <w:i/>
                <w:iCs/>
                <w:sz w:val="22"/>
                <w:szCs w:val="22"/>
                <w:lang w:val="en-CA" w:eastAsia="fr-CA"/>
              </w:rPr>
            </w:pPr>
            <w:r w:rsidRPr="00911998">
              <w:rPr>
                <w:rFonts w:cs="Arial"/>
                <w:i/>
                <w:iCs/>
                <w:sz w:val="22"/>
                <w:szCs w:val="22"/>
                <w:lang w:val="en-CA" w:eastAsia="fr-CA"/>
              </w:rPr>
              <w:t>They shall maintain their children.</w:t>
            </w:r>
          </w:p>
          <w:p w14:paraId="02E3D093" w14:textId="16303793" w:rsidR="00390E9A" w:rsidRPr="00911998" w:rsidRDefault="0094283E" w:rsidP="0094283E">
            <w:pPr>
              <w:pStyle w:val="Paragrsimple"/>
              <w:numPr>
                <w:ilvl w:val="0"/>
                <w:numId w:val="0"/>
              </w:numPr>
              <w:rPr>
                <w:sz w:val="22"/>
                <w:szCs w:val="22"/>
                <w:lang w:val="en-CA"/>
              </w:rPr>
            </w:pPr>
            <w:r w:rsidRPr="00911998">
              <w:rPr>
                <w:rFonts w:cs="Arial"/>
                <w:i/>
                <w:iCs/>
                <w:sz w:val="22"/>
                <w:szCs w:val="22"/>
                <w:lang w:val="en-CA" w:eastAsia="fr-CA"/>
              </w:rPr>
              <w:t>They exercise their authority without any violence.</w:t>
            </w:r>
            <w:hyperlink r:id="rId35" w:anchor="se:54" w:history="1"/>
          </w:p>
        </w:tc>
      </w:tr>
    </w:tbl>
    <w:p w14:paraId="6D64F3A3" w14:textId="6176C7DB" w:rsidR="0094283E" w:rsidRPr="00911998" w:rsidRDefault="0094283E" w:rsidP="0094283E">
      <w:pPr>
        <w:pStyle w:val="Paragrsimple"/>
        <w:tabs>
          <w:tab w:val="clear" w:pos="360"/>
        </w:tabs>
        <w:rPr>
          <w:sz w:val="22"/>
          <w:szCs w:val="22"/>
        </w:rPr>
      </w:pPr>
      <w:r w:rsidRPr="00911998">
        <w:t xml:space="preserve">Or, en droit québécois, </w:t>
      </w:r>
      <w:r w:rsidRPr="00911998">
        <w:rPr>
          <w:u w:val="single"/>
        </w:rPr>
        <w:t>toute</w:t>
      </w:r>
      <w:r w:rsidRPr="00911998">
        <w:t xml:space="preserve"> décision prise à l’égard d’un enfant doit être dans son intérêt. À ce titre, l’article 33 C.c.Q. prévoit :</w:t>
      </w:r>
    </w:p>
    <w:tbl>
      <w:tblPr>
        <w:tblStyle w:val="Grilledutableau"/>
        <w:tblW w:w="0" w:type="auto"/>
        <w:tblInd w:w="279" w:type="dxa"/>
        <w:tblLook w:val="04A0" w:firstRow="1" w:lastRow="0" w:firstColumn="1" w:lastColumn="0" w:noHBand="0" w:noVBand="1"/>
      </w:tblPr>
      <w:tblGrid>
        <w:gridCol w:w="4394"/>
        <w:gridCol w:w="4536"/>
      </w:tblGrid>
      <w:tr w:rsidR="000E19AB" w:rsidRPr="00C62C88" w14:paraId="49336288" w14:textId="77777777" w:rsidTr="00D2283A">
        <w:tc>
          <w:tcPr>
            <w:tcW w:w="4394" w:type="dxa"/>
          </w:tcPr>
          <w:p w14:paraId="7440FCB5" w14:textId="77777777" w:rsidR="0094283E" w:rsidRPr="00911998" w:rsidRDefault="00000000" w:rsidP="0094283E">
            <w:pPr>
              <w:pStyle w:val="Paragrsimple"/>
              <w:numPr>
                <w:ilvl w:val="0"/>
                <w:numId w:val="0"/>
              </w:numPr>
              <w:rPr>
                <w:sz w:val="22"/>
                <w:szCs w:val="22"/>
                <w:lang w:eastAsia="fr-CA"/>
              </w:rPr>
            </w:pPr>
            <w:hyperlink r:id="rId36" w:anchor="se:33" w:history="1">
              <w:r w:rsidR="0094283E" w:rsidRPr="00911998">
                <w:rPr>
                  <w:b/>
                  <w:bCs/>
                  <w:sz w:val="22"/>
                  <w:szCs w:val="22"/>
                  <w:lang w:eastAsia="fr-CA"/>
                </w:rPr>
                <w:t>33.</w:t>
              </w:r>
            </w:hyperlink>
            <w:r w:rsidR="0094283E" w:rsidRPr="00911998">
              <w:rPr>
                <w:sz w:val="22"/>
                <w:szCs w:val="22"/>
                <w:lang w:eastAsia="fr-CA"/>
              </w:rPr>
              <w:t> Les décisions concernant l’enfant doivent être prises dans son intérêt et dans le respect de ses droits.</w:t>
            </w:r>
          </w:p>
          <w:p w14:paraId="1865155E" w14:textId="5E46DD53" w:rsidR="0094283E" w:rsidRPr="00911998" w:rsidRDefault="0094283E" w:rsidP="0094283E">
            <w:pPr>
              <w:pStyle w:val="Paragrsimple"/>
              <w:numPr>
                <w:ilvl w:val="0"/>
                <w:numId w:val="0"/>
              </w:numPr>
              <w:rPr>
                <w:sz w:val="22"/>
                <w:szCs w:val="22"/>
                <w:lang w:eastAsia="fr-CA"/>
              </w:rPr>
            </w:pPr>
            <w:r w:rsidRPr="00911998">
              <w:rPr>
                <w:sz w:val="22"/>
                <w:szCs w:val="22"/>
                <w:lang w:eastAsia="fr-CA"/>
              </w:rPr>
              <w:t>Sont pris en considération, outre les besoins moraux, intellectuels, affectifs et physiques de l’enfant, son âge, sa santé, son caractère, son milieu familial, incluant la présence de violence familiale, y compris conjugale, ou de violence sexuelle, ainsi que les autres aspects de sa situation.</w:t>
            </w:r>
          </w:p>
        </w:tc>
        <w:tc>
          <w:tcPr>
            <w:tcW w:w="4536" w:type="dxa"/>
          </w:tcPr>
          <w:p w14:paraId="48F8A046" w14:textId="77777777" w:rsidR="0094283E" w:rsidRPr="00911998" w:rsidRDefault="00000000" w:rsidP="0094283E">
            <w:pPr>
              <w:pStyle w:val="Paragrsimple"/>
              <w:numPr>
                <w:ilvl w:val="0"/>
                <w:numId w:val="0"/>
              </w:numPr>
              <w:rPr>
                <w:rFonts w:cs="Arial"/>
                <w:i/>
                <w:iCs/>
                <w:sz w:val="22"/>
                <w:szCs w:val="22"/>
                <w:lang w:val="en-CA" w:eastAsia="fr-CA"/>
              </w:rPr>
            </w:pPr>
            <w:hyperlink r:id="rId37" w:anchor="se:33" w:history="1">
              <w:r w:rsidR="0094283E" w:rsidRPr="00911998">
                <w:rPr>
                  <w:rFonts w:cs="Arial"/>
                  <w:b/>
                  <w:bCs/>
                  <w:i/>
                  <w:iCs/>
                  <w:sz w:val="22"/>
                  <w:szCs w:val="22"/>
                  <w:lang w:val="en-CA" w:eastAsia="fr-CA"/>
                </w:rPr>
                <w:t>33.</w:t>
              </w:r>
            </w:hyperlink>
            <w:r w:rsidR="0094283E" w:rsidRPr="00911998">
              <w:rPr>
                <w:rFonts w:cs="Arial"/>
                <w:i/>
                <w:iCs/>
                <w:sz w:val="22"/>
                <w:szCs w:val="22"/>
                <w:lang w:val="en-CA" w:eastAsia="fr-CA"/>
              </w:rPr>
              <w:t xml:space="preserve"> Every decision concerning a child shall be taken </w:t>
            </w:r>
            <w:proofErr w:type="gramStart"/>
            <w:r w:rsidR="0094283E" w:rsidRPr="00911998">
              <w:rPr>
                <w:rFonts w:cs="Arial"/>
                <w:i/>
                <w:iCs/>
                <w:sz w:val="22"/>
                <w:szCs w:val="22"/>
                <w:lang w:val="en-CA" w:eastAsia="fr-CA"/>
              </w:rPr>
              <w:t>in light of</w:t>
            </w:r>
            <w:proofErr w:type="gramEnd"/>
            <w:r w:rsidR="0094283E" w:rsidRPr="00911998">
              <w:rPr>
                <w:rFonts w:cs="Arial"/>
                <w:i/>
                <w:iCs/>
                <w:sz w:val="22"/>
                <w:szCs w:val="22"/>
                <w:lang w:val="en-CA" w:eastAsia="fr-CA"/>
              </w:rPr>
              <w:t xml:space="preserve"> the child’s interests and the respect of his rights.</w:t>
            </w:r>
          </w:p>
          <w:p w14:paraId="0D387028" w14:textId="1EA2A062" w:rsidR="0094283E" w:rsidRPr="00911998" w:rsidRDefault="0094283E" w:rsidP="0094283E">
            <w:pPr>
              <w:pStyle w:val="Paragrsimple"/>
              <w:numPr>
                <w:ilvl w:val="0"/>
                <w:numId w:val="0"/>
              </w:numPr>
              <w:rPr>
                <w:sz w:val="22"/>
                <w:szCs w:val="22"/>
                <w:lang w:val="en-CA"/>
              </w:rPr>
            </w:pPr>
            <w:r w:rsidRPr="00911998">
              <w:rPr>
                <w:rFonts w:cs="Arial"/>
                <w:i/>
                <w:iCs/>
                <w:sz w:val="22"/>
                <w:szCs w:val="22"/>
                <w:lang w:val="en-CA" w:eastAsia="fr-CA"/>
              </w:rPr>
              <w:t>Consideration is given, in addition to the moral, intellectual, emotional and physical needs of the child, to the child’s age, health, personality and family environment, including the presence of family violence, which includes spousal violence, or sexual violence, and to the other aspects of his situation.</w:t>
            </w:r>
          </w:p>
        </w:tc>
      </w:tr>
    </w:tbl>
    <w:p w14:paraId="1E76ABEB" w14:textId="4549AF7B" w:rsidR="0009591A" w:rsidRPr="00911998" w:rsidRDefault="0009591A" w:rsidP="0009591A">
      <w:pPr>
        <w:pStyle w:val="Paragrsimple"/>
        <w:tabs>
          <w:tab w:val="clear" w:pos="360"/>
        </w:tabs>
      </w:pPr>
      <w:r w:rsidRPr="00911998">
        <w:t xml:space="preserve">En outre, en cas de difficulté </w:t>
      </w:r>
      <w:r w:rsidR="00632582" w:rsidRPr="00911998">
        <w:t>relative</w:t>
      </w:r>
      <w:r w:rsidRPr="00911998">
        <w:t xml:space="preserve"> </w:t>
      </w:r>
      <w:r w:rsidR="00632582" w:rsidRPr="00911998">
        <w:t xml:space="preserve">à </w:t>
      </w:r>
      <w:r w:rsidRPr="00911998">
        <w:t>l’exercice de l’autorité parentale, le tribunal tranche en fonction de l’intérêt de l’enfant (article 604 C.c.Q.)</w:t>
      </w:r>
      <w:r w:rsidR="00A95495" w:rsidRPr="00911998">
        <w:rPr>
          <w:rStyle w:val="Appelnotedebasdep"/>
        </w:rPr>
        <w:footnoteReference w:id="114"/>
      </w:r>
      <w:r w:rsidR="00B875A6" w:rsidRPr="00911998">
        <w:t>.</w:t>
      </w:r>
      <w:r w:rsidRPr="00911998">
        <w:t xml:space="preserve"> </w:t>
      </w:r>
    </w:p>
    <w:p w14:paraId="01866414" w14:textId="721AF281" w:rsidR="0009591A" w:rsidRPr="00911998" w:rsidRDefault="0009591A" w:rsidP="007761F7">
      <w:pPr>
        <w:pStyle w:val="Paragrsimple"/>
        <w:tabs>
          <w:tab w:val="clear" w:pos="360"/>
        </w:tabs>
      </w:pPr>
      <w:r w:rsidRPr="00911998">
        <w:t>Somme toute</w:t>
      </w:r>
      <w:r w:rsidR="00CC5DB6" w:rsidRPr="00911998">
        <w:t>, que ce soit en lien avec la santé de l’enfant (</w:t>
      </w:r>
      <w:r w:rsidR="007D53D9" w:rsidRPr="00911998">
        <w:t xml:space="preserve">voir les </w:t>
      </w:r>
      <w:r w:rsidR="00CC5DB6" w:rsidRPr="00911998">
        <w:t>articles</w:t>
      </w:r>
      <w:r w:rsidR="00632582" w:rsidRPr="00911998">
        <w:t> </w:t>
      </w:r>
      <w:r w:rsidR="00CC5DB6" w:rsidRPr="00911998">
        <w:t>14, 17 et 18</w:t>
      </w:r>
      <w:r w:rsidR="00632582" w:rsidRPr="00911998">
        <w:t> </w:t>
      </w:r>
      <w:r w:rsidR="00CC5DB6" w:rsidRPr="00911998">
        <w:t xml:space="preserve">C.c.Q.), son éducation, ses activités, </w:t>
      </w:r>
      <w:r w:rsidR="00E542E0" w:rsidRPr="00911998">
        <w:t xml:space="preserve">ses </w:t>
      </w:r>
      <w:r w:rsidR="00CC5DB6" w:rsidRPr="00911998">
        <w:t xml:space="preserve">fréquentations ou sa garde, le titulaire de l’autorité </w:t>
      </w:r>
      <w:r w:rsidR="00632582" w:rsidRPr="00911998">
        <w:t>parentale</w:t>
      </w:r>
      <w:r w:rsidR="00CC5DB6" w:rsidRPr="00911998">
        <w:t xml:space="preserve"> jouit d’une «</w:t>
      </w:r>
      <w:r w:rsidR="00632582" w:rsidRPr="00911998">
        <w:t> </w:t>
      </w:r>
      <w:r w:rsidR="00CC5DB6" w:rsidRPr="00911998">
        <w:t>liberté</w:t>
      </w:r>
      <w:r w:rsidR="00632582" w:rsidRPr="00911998">
        <w:t> </w:t>
      </w:r>
      <w:r w:rsidR="00CC5DB6" w:rsidRPr="00911998">
        <w:t xml:space="preserve">» décisionnelle, si </w:t>
      </w:r>
      <w:r w:rsidR="00632582" w:rsidRPr="00911998">
        <w:t>l’on</w:t>
      </w:r>
      <w:r w:rsidR="00CC5DB6" w:rsidRPr="00911998">
        <w:t xml:space="preserve"> peut utiliser l’expression, très limitée : celle de prendre une décision dans l’intérêt de l’enfant et rien d’autre. </w:t>
      </w:r>
      <w:r w:rsidR="00753D09" w:rsidRPr="00911998">
        <w:t>L</w:t>
      </w:r>
      <w:r w:rsidRPr="00911998">
        <w:t xml:space="preserve">e pouvoir décisionnel confié au détenteur de l’autorité </w:t>
      </w:r>
      <w:r w:rsidR="00632582" w:rsidRPr="00911998">
        <w:t>parentale</w:t>
      </w:r>
      <w:r w:rsidRPr="00911998">
        <w:t xml:space="preserve"> s’assimile davantage à une responsabilité qu’</w:t>
      </w:r>
      <w:r w:rsidR="00D6030C" w:rsidRPr="00911998">
        <w:t xml:space="preserve">à </w:t>
      </w:r>
      <w:r w:rsidRPr="00911998">
        <w:t>une véritable «</w:t>
      </w:r>
      <w:r w:rsidR="00632582" w:rsidRPr="00911998">
        <w:t> </w:t>
      </w:r>
      <w:r w:rsidRPr="00911998">
        <w:t>liberté</w:t>
      </w:r>
      <w:r w:rsidR="00632582" w:rsidRPr="00911998">
        <w:t> </w:t>
      </w:r>
      <w:r w:rsidRPr="00911998">
        <w:t xml:space="preserve">». </w:t>
      </w:r>
      <w:r w:rsidR="009E15B2" w:rsidRPr="00911998">
        <w:t xml:space="preserve">Comme l’a écrit le juge Vézina dans </w:t>
      </w:r>
      <w:r w:rsidR="009E15B2" w:rsidRPr="00911998">
        <w:rPr>
          <w:i/>
          <w:iCs/>
        </w:rPr>
        <w:t>Droit de la famille — 102247</w:t>
      </w:r>
      <w:r w:rsidR="009E15B2" w:rsidRPr="00911998">
        <w:t>, « Les enfants ont des droits, les parents des obligations »</w:t>
      </w:r>
      <w:r w:rsidR="009E15B2" w:rsidRPr="00911998">
        <w:rPr>
          <w:rStyle w:val="Appelnotedebasdep"/>
        </w:rPr>
        <w:footnoteReference w:id="115"/>
      </w:r>
      <w:r w:rsidR="009E15B2" w:rsidRPr="00911998">
        <w:t>.</w:t>
      </w:r>
    </w:p>
    <w:p w14:paraId="22EE2895" w14:textId="3C06DAA1" w:rsidR="00623CB0" w:rsidRPr="00911998" w:rsidRDefault="00310D40" w:rsidP="00623CB0">
      <w:pPr>
        <w:pStyle w:val="Paragrdouble"/>
        <w:spacing w:line="240" w:lineRule="auto"/>
      </w:pPr>
      <w:r w:rsidRPr="00911998">
        <w:t>En définitive,</w:t>
      </w:r>
      <w:r w:rsidR="00623CB0" w:rsidRPr="00911998">
        <w:t xml:space="preserve"> la « liberté parentale »</w:t>
      </w:r>
      <w:r w:rsidR="00A42391" w:rsidRPr="00911998">
        <w:t xml:space="preserve"> invoquée par les Demandeurs</w:t>
      </w:r>
      <w:r w:rsidR="00623CB0" w:rsidRPr="00911998">
        <w:t xml:space="preserve"> </w:t>
      </w:r>
      <w:r w:rsidR="00A42391" w:rsidRPr="00911998">
        <w:t>correspond à</w:t>
      </w:r>
      <w:r w:rsidR="00623CB0" w:rsidRPr="00911998">
        <w:t xml:space="preserve"> un pouvoir décisionnel exercé à l’égard d’autrui, souvent de façon conjointe avec une </w:t>
      </w:r>
      <w:r w:rsidR="00623CB0" w:rsidRPr="00911998">
        <w:lastRenderedPageBreak/>
        <w:t xml:space="preserve">autre personne, en fonction d’un seul critère, à savoir l’intérêt de l’enfant. En cas de </w:t>
      </w:r>
      <w:r w:rsidRPr="00911998">
        <w:t>difficulté,</w:t>
      </w:r>
      <w:r w:rsidR="00623CB0" w:rsidRPr="00911998">
        <w:t xml:space="preserve"> les tribunaux </w:t>
      </w:r>
      <w:r w:rsidRPr="00911998">
        <w:t>décident</w:t>
      </w:r>
      <w:r w:rsidR="00623CB0" w:rsidRPr="00911998">
        <w:t xml:space="preserve"> </w:t>
      </w:r>
      <w:r w:rsidR="002A402D" w:rsidRPr="00911998">
        <w:t xml:space="preserve">de la manière dont </w:t>
      </w:r>
      <w:r w:rsidR="00623CB0" w:rsidRPr="00911998">
        <w:t>ce pouvoir décisionnel doit être exercé. Ces éléments distinguent</w:t>
      </w:r>
      <w:r w:rsidR="007D1A11" w:rsidRPr="00911998">
        <w:t xml:space="preserve"> la «</w:t>
      </w:r>
      <w:r w:rsidRPr="00911998">
        <w:t> </w:t>
      </w:r>
      <w:r w:rsidR="007D1A11" w:rsidRPr="00911998">
        <w:t>liberté parentale</w:t>
      </w:r>
      <w:r w:rsidRPr="00911998">
        <w:t> </w:t>
      </w:r>
      <w:r w:rsidR="007D1A11" w:rsidRPr="00911998">
        <w:t xml:space="preserve">» de la </w:t>
      </w:r>
      <w:r w:rsidR="007D1A11" w:rsidRPr="00911998">
        <w:rPr>
          <w:rFonts w:cs="Arial"/>
          <w:shd w:val="clear" w:color="auto" w:fill="FFFFFF"/>
        </w:rPr>
        <w:t xml:space="preserve">sphère d’autonomie individuelle irréductible que les arrêts </w:t>
      </w:r>
      <w:proofErr w:type="spellStart"/>
      <w:r w:rsidR="007D1A11" w:rsidRPr="00911998">
        <w:rPr>
          <w:rFonts w:cs="Arial"/>
          <w:i/>
          <w:iCs/>
          <w:shd w:val="clear" w:color="auto" w:fill="FFFFFF"/>
        </w:rPr>
        <w:t>Blencoe</w:t>
      </w:r>
      <w:proofErr w:type="spellEnd"/>
      <w:r w:rsidR="007D1A11" w:rsidRPr="00911998">
        <w:rPr>
          <w:rFonts w:cs="Arial"/>
          <w:i/>
          <w:iCs/>
          <w:shd w:val="clear" w:color="auto" w:fill="FFFFFF"/>
        </w:rPr>
        <w:t xml:space="preserve"> </w:t>
      </w:r>
      <w:r w:rsidR="007D1A11" w:rsidRPr="00911998">
        <w:rPr>
          <w:rFonts w:cs="Arial"/>
          <w:shd w:val="clear" w:color="auto" w:fill="FFFFFF"/>
        </w:rPr>
        <w:t xml:space="preserve">et </w:t>
      </w:r>
      <w:r w:rsidR="007D1A11" w:rsidRPr="00911998">
        <w:rPr>
          <w:rFonts w:cs="Arial"/>
          <w:i/>
          <w:iCs/>
          <w:shd w:val="clear" w:color="auto" w:fill="FFFFFF"/>
        </w:rPr>
        <w:t xml:space="preserve">Carter </w:t>
      </w:r>
      <w:r w:rsidR="007D1A11" w:rsidRPr="00911998">
        <w:rPr>
          <w:rFonts w:cs="Arial"/>
          <w:shd w:val="clear" w:color="auto" w:fill="FFFFFF"/>
        </w:rPr>
        <w:t xml:space="preserve">reconnaissent </w:t>
      </w:r>
      <w:r w:rsidR="002A402D" w:rsidRPr="00911998">
        <w:rPr>
          <w:rFonts w:cs="Arial"/>
          <w:shd w:val="clear" w:color="auto" w:fill="FFFFFF"/>
        </w:rPr>
        <w:t>comme</w:t>
      </w:r>
      <w:r w:rsidR="007D1A11" w:rsidRPr="00911998">
        <w:rPr>
          <w:rFonts w:cs="Arial"/>
          <w:shd w:val="clear" w:color="auto" w:fill="FFFFFF"/>
        </w:rPr>
        <w:t xml:space="preserve"> protégée </w:t>
      </w:r>
      <w:r w:rsidRPr="00911998">
        <w:rPr>
          <w:rFonts w:cs="Arial"/>
          <w:shd w:val="clear" w:color="auto" w:fill="FFFFFF"/>
        </w:rPr>
        <w:t xml:space="preserve">de toute intervention étatique </w:t>
      </w:r>
      <w:r w:rsidR="007D1A11" w:rsidRPr="00911998">
        <w:rPr>
          <w:rFonts w:cs="Arial"/>
          <w:shd w:val="clear" w:color="auto" w:fill="FFFFFF"/>
        </w:rPr>
        <w:t>par le droit à la liberté</w:t>
      </w:r>
      <w:r w:rsidR="00A42391" w:rsidRPr="00911998">
        <w:rPr>
          <w:rFonts w:cs="Arial"/>
          <w:shd w:val="clear" w:color="auto" w:fill="FFFFFF"/>
        </w:rPr>
        <w:t xml:space="preserve"> garanti </w:t>
      </w:r>
      <w:r w:rsidRPr="00911998">
        <w:rPr>
          <w:rFonts w:cs="Arial"/>
          <w:shd w:val="clear" w:color="auto" w:fill="FFFFFF"/>
        </w:rPr>
        <w:t>par</w:t>
      </w:r>
      <w:r w:rsidR="00A42391" w:rsidRPr="00911998">
        <w:rPr>
          <w:rFonts w:cs="Arial"/>
          <w:shd w:val="clear" w:color="auto" w:fill="FFFFFF"/>
        </w:rPr>
        <w:t xml:space="preserve"> l’article 7 de la </w:t>
      </w:r>
      <w:r w:rsidR="00A42391" w:rsidRPr="00911998">
        <w:rPr>
          <w:rFonts w:cs="Arial"/>
          <w:i/>
          <w:iCs/>
          <w:shd w:val="clear" w:color="auto" w:fill="FFFFFF"/>
        </w:rPr>
        <w:t>Charte canadienne</w:t>
      </w:r>
      <w:r w:rsidR="007D1A11" w:rsidRPr="00911998">
        <w:rPr>
          <w:rFonts w:cs="Arial"/>
          <w:shd w:val="clear" w:color="auto" w:fill="FFFFFF"/>
        </w:rPr>
        <w:t>.</w:t>
      </w:r>
      <w:r w:rsidR="00B2544E" w:rsidRPr="00911998">
        <w:rPr>
          <w:rFonts w:cs="Arial"/>
          <w:shd w:val="clear" w:color="auto" w:fill="FFFFFF"/>
        </w:rPr>
        <w:t xml:space="preserve"> </w:t>
      </w:r>
    </w:p>
    <w:p w14:paraId="7D7B8B2A" w14:textId="43F0033A" w:rsidR="0009591A" w:rsidRPr="00911998" w:rsidRDefault="00805A37" w:rsidP="005B1C5A">
      <w:pPr>
        <w:pStyle w:val="Paragrsimple"/>
        <w:tabs>
          <w:tab w:val="clear" w:pos="360"/>
        </w:tabs>
      </w:pPr>
      <w:r w:rsidRPr="00911998">
        <w:t>Quoi qu’il en soit</w:t>
      </w:r>
      <w:r w:rsidR="00622D4C" w:rsidRPr="00911998">
        <w:t xml:space="preserve">, il n’est pas nécessaire en l’espèce de trancher la question de savoir si la </w:t>
      </w:r>
      <w:r w:rsidR="00764A3B" w:rsidRPr="00911998">
        <w:t>«</w:t>
      </w:r>
      <w:r w:rsidR="00632582" w:rsidRPr="00911998">
        <w:t> </w:t>
      </w:r>
      <w:r w:rsidR="00764A3B" w:rsidRPr="00911998">
        <w:t>liberté parentale</w:t>
      </w:r>
      <w:r w:rsidR="00632582" w:rsidRPr="00911998">
        <w:t> </w:t>
      </w:r>
      <w:r w:rsidR="00764A3B" w:rsidRPr="00911998">
        <w:t xml:space="preserve">» </w:t>
      </w:r>
      <w:r w:rsidR="00622D4C" w:rsidRPr="00911998">
        <w:t>est</w:t>
      </w:r>
      <w:r w:rsidR="0009591A" w:rsidRPr="00911998">
        <w:t xml:space="preserve"> protégé</w:t>
      </w:r>
      <w:r w:rsidR="00622D4C" w:rsidRPr="00911998">
        <w:t>e</w:t>
      </w:r>
      <w:r w:rsidR="0009591A" w:rsidRPr="00911998">
        <w:t xml:space="preserve"> par l’article 7 de la </w:t>
      </w:r>
      <w:r w:rsidR="0009591A" w:rsidRPr="00911998">
        <w:rPr>
          <w:i/>
          <w:iCs/>
        </w:rPr>
        <w:t>Charte canadienne</w:t>
      </w:r>
      <w:r w:rsidR="0009591A" w:rsidRPr="00911998">
        <w:t xml:space="preserve">. </w:t>
      </w:r>
      <w:r w:rsidR="00622D4C" w:rsidRPr="00911998">
        <w:t xml:space="preserve">En effet, </w:t>
      </w:r>
      <w:r w:rsidR="0009591A" w:rsidRPr="00911998">
        <w:t>même à supposer que la «</w:t>
      </w:r>
      <w:r w:rsidR="00632582" w:rsidRPr="00911998">
        <w:t> </w:t>
      </w:r>
      <w:r w:rsidR="0009591A" w:rsidRPr="00911998">
        <w:t>liberté parentale</w:t>
      </w:r>
      <w:r w:rsidR="00632582" w:rsidRPr="00911998">
        <w:t> </w:t>
      </w:r>
      <w:r w:rsidR="0009591A" w:rsidRPr="00911998">
        <w:t xml:space="preserve">» était </w:t>
      </w:r>
      <w:r w:rsidR="00622D4C" w:rsidRPr="00911998">
        <w:t>vis</w:t>
      </w:r>
      <w:r w:rsidR="0009591A" w:rsidRPr="00911998">
        <w:t>ée par l’article 7, la limite de deux liens de filiation n’y porte pas atteinte</w:t>
      </w:r>
      <w:r w:rsidR="00A95495" w:rsidRPr="00911998">
        <w:rPr>
          <w:rStyle w:val="Appelnotedebasdep"/>
        </w:rPr>
        <w:footnoteReference w:id="116"/>
      </w:r>
      <w:r w:rsidR="0009591A" w:rsidRPr="00911998">
        <w:t>.</w:t>
      </w:r>
    </w:p>
    <w:p w14:paraId="25F57852" w14:textId="155BDF0D" w:rsidR="00867B9B" w:rsidRPr="00911998" w:rsidRDefault="00867B9B" w:rsidP="0009591A">
      <w:pPr>
        <w:pStyle w:val="Paragrsimple"/>
        <w:tabs>
          <w:tab w:val="clear" w:pos="360"/>
        </w:tabs>
      </w:pPr>
      <w:r w:rsidRPr="00911998">
        <w:t xml:space="preserve">Selon les Demandeurs dans le </w:t>
      </w:r>
      <w:r w:rsidR="00567558" w:rsidRPr="00911998">
        <w:t>D</w:t>
      </w:r>
      <w:r w:rsidRPr="00911998">
        <w:t xml:space="preserve">ossier de la Coalition, le parent dont la filiation n’est pas reconnue est limité dans sa capacité d’accompagner son enfant et de prendre des décisions </w:t>
      </w:r>
      <w:r w:rsidR="00750200" w:rsidRPr="00911998">
        <w:t>en son</w:t>
      </w:r>
      <w:r w:rsidRPr="00911998">
        <w:t xml:space="preserve"> nom et </w:t>
      </w:r>
      <w:r w:rsidR="00750200" w:rsidRPr="00911998">
        <w:t>pour son</w:t>
      </w:r>
      <w:r w:rsidRPr="00911998">
        <w:t xml:space="preserve"> bénéfice, notamment en lien avec l’éducation et les soins médicaux</w:t>
      </w:r>
      <w:r w:rsidRPr="00911998">
        <w:rPr>
          <w:rStyle w:val="Appelnotedebasdep"/>
        </w:rPr>
        <w:footnoteReference w:id="117"/>
      </w:r>
      <w:r w:rsidRPr="00911998">
        <w:t xml:space="preserve">. </w:t>
      </w:r>
      <w:r w:rsidR="00A16608" w:rsidRPr="00911998">
        <w:t>La «</w:t>
      </w:r>
      <w:r w:rsidR="00632582" w:rsidRPr="00911998">
        <w:t> </w:t>
      </w:r>
      <w:r w:rsidR="00A16608" w:rsidRPr="00911998">
        <w:t>liberté parentale</w:t>
      </w:r>
      <w:r w:rsidR="00632582" w:rsidRPr="00911998">
        <w:t> </w:t>
      </w:r>
      <w:r w:rsidR="00A16608" w:rsidRPr="00911998">
        <w:t>» du parent non reconnu serait ains</w:t>
      </w:r>
      <w:r w:rsidR="007A4326" w:rsidRPr="00911998">
        <w:t>i</w:t>
      </w:r>
      <w:r w:rsidR="00A16608" w:rsidRPr="00911998">
        <w:t xml:space="preserve"> brimé</w:t>
      </w:r>
      <w:r w:rsidR="007A4326" w:rsidRPr="00911998">
        <w:t>e</w:t>
      </w:r>
      <w:r w:rsidR="00A16608" w:rsidRPr="00911998">
        <w:t>.</w:t>
      </w:r>
    </w:p>
    <w:p w14:paraId="2CA5E623" w14:textId="657BBBA1" w:rsidR="00ED6FE1" w:rsidRPr="00911998" w:rsidRDefault="007A4326" w:rsidP="00ED6FE1">
      <w:pPr>
        <w:pStyle w:val="Paragrsimple"/>
        <w:tabs>
          <w:tab w:val="clear" w:pos="360"/>
        </w:tabs>
      </w:pPr>
      <w:r w:rsidRPr="00911998">
        <w:t xml:space="preserve">Or, </w:t>
      </w:r>
      <w:r w:rsidR="00D6030C" w:rsidRPr="00911998">
        <w:t xml:space="preserve">cet </w:t>
      </w:r>
      <w:r w:rsidRPr="00911998">
        <w:t>argument ne peut être retenu</w:t>
      </w:r>
      <w:r w:rsidR="00ED6FE1" w:rsidRPr="00911998">
        <w:t xml:space="preserve">, car le droit civil québécois n’écarte pas la possibilité qu’un tiers, ne bénéficiant d’aucun lien de filiation, participe à la prise de décisions </w:t>
      </w:r>
      <w:r w:rsidR="005E348E" w:rsidRPr="00911998">
        <w:t>d’</w:t>
      </w:r>
      <w:r w:rsidR="00ED6FE1" w:rsidRPr="00911998">
        <w:t>importan</w:t>
      </w:r>
      <w:r w:rsidR="005E348E" w:rsidRPr="00911998">
        <w:t>c</w:t>
      </w:r>
      <w:r w:rsidR="00ED6FE1" w:rsidRPr="00911998">
        <w:t>e fondamentale concernant un enfant.</w:t>
      </w:r>
    </w:p>
    <w:p w14:paraId="3A2C6960" w14:textId="70E119D1" w:rsidR="00ED6FE1" w:rsidRPr="00911998" w:rsidRDefault="00ED6FE1" w:rsidP="00ED6FE1">
      <w:pPr>
        <w:pStyle w:val="Paragrsimple"/>
        <w:tabs>
          <w:tab w:val="clear" w:pos="360"/>
        </w:tabs>
      </w:pPr>
      <w:r w:rsidRPr="00911998">
        <w:t>À ce titre</w:t>
      </w:r>
      <w:r w:rsidR="005E348E" w:rsidRPr="00911998">
        <w:t>,</w:t>
      </w:r>
      <w:r w:rsidRPr="00911998">
        <w:t xml:space="preserve"> deux cas de figure se présentent. Dans le premier, le ou les parents dont la filiation est reconnue conviennent avec celui qui n’a pas de lien de </w:t>
      </w:r>
      <w:r w:rsidR="00622D4C" w:rsidRPr="00911998">
        <w:t xml:space="preserve">filiation </w:t>
      </w:r>
      <w:r w:rsidRPr="00911998">
        <w:t xml:space="preserve">de participer ensemble aux décisions importantes concernant leur enfant. La situation des familles demanderesses </w:t>
      </w:r>
      <w:r w:rsidR="00632582" w:rsidRPr="00911998">
        <w:t>illustre</w:t>
      </w:r>
      <w:r w:rsidRPr="00911998">
        <w:t xml:space="preserve"> bien ce </w:t>
      </w:r>
      <w:r w:rsidR="00627B47" w:rsidRPr="00911998">
        <w:t xml:space="preserve">premier </w:t>
      </w:r>
      <w:r w:rsidRPr="00911998">
        <w:t>cas de figure.</w:t>
      </w:r>
    </w:p>
    <w:p w14:paraId="28BEA891" w14:textId="74597C29" w:rsidR="00B31F55" w:rsidRPr="00911998" w:rsidRDefault="00ED6FE1" w:rsidP="00B31F55">
      <w:pPr>
        <w:pStyle w:val="Paragrsimple"/>
        <w:tabs>
          <w:tab w:val="clear" w:pos="360"/>
        </w:tabs>
      </w:pPr>
      <w:r w:rsidRPr="00911998">
        <w:t>En effet, l</w:t>
      </w:r>
      <w:r w:rsidR="007A4326" w:rsidRPr="00911998">
        <w:t>es Demandeurs individuels prennent ensemble les décisions en lien avec les questions importantes concernant leurs enfants respectifs, et ce, pour chacune des familles en cause.</w:t>
      </w:r>
      <w:r w:rsidR="00B31F55" w:rsidRPr="00911998">
        <w:t xml:space="preserve"> </w:t>
      </w:r>
      <w:r w:rsidR="005E348E" w:rsidRPr="00911998">
        <w:t>Ainsi, m</w:t>
      </w:r>
      <w:r w:rsidR="00B31F55" w:rsidRPr="00911998">
        <w:t xml:space="preserve">algré la limite de deux liens de filiation, dans les faits, chacun des Demandeurs </w:t>
      </w:r>
      <w:r w:rsidR="00E538CA" w:rsidRPr="00911998">
        <w:t xml:space="preserve">individuels </w:t>
      </w:r>
      <w:r w:rsidR="00B31F55" w:rsidRPr="00911998">
        <w:t>participe à la prise de</w:t>
      </w:r>
      <w:r w:rsidR="00BE254F" w:rsidRPr="00911998">
        <w:t xml:space="preserve"> ce</w:t>
      </w:r>
      <w:r w:rsidR="00B31F55" w:rsidRPr="00911998">
        <w:t>s décisions</w:t>
      </w:r>
      <w:r w:rsidR="00BE254F" w:rsidRPr="00911998">
        <w:t xml:space="preserve">, </w:t>
      </w:r>
      <w:r w:rsidR="00B31F55" w:rsidRPr="00911998">
        <w:t xml:space="preserve">exerçant ainsi </w:t>
      </w:r>
      <w:r w:rsidR="00BE254F" w:rsidRPr="00911998">
        <w:t>sa</w:t>
      </w:r>
      <w:r w:rsidR="00B31F55" w:rsidRPr="00911998">
        <w:t xml:space="preserve"> </w:t>
      </w:r>
      <w:r w:rsidR="00E538CA" w:rsidRPr="00911998">
        <w:t>«</w:t>
      </w:r>
      <w:r w:rsidR="00632582" w:rsidRPr="00911998">
        <w:t> </w:t>
      </w:r>
      <w:r w:rsidR="00B31F55" w:rsidRPr="00911998">
        <w:t>liberté parentale</w:t>
      </w:r>
      <w:r w:rsidR="00632582" w:rsidRPr="00911998">
        <w:t> </w:t>
      </w:r>
      <w:r w:rsidR="00E538CA" w:rsidRPr="00911998">
        <w:t>»</w:t>
      </w:r>
      <w:r w:rsidR="00B31F55" w:rsidRPr="00911998">
        <w:t xml:space="preserve">. </w:t>
      </w:r>
      <w:r w:rsidR="00215E36" w:rsidRPr="00911998">
        <w:t xml:space="preserve">Cette réalité pourrait </w:t>
      </w:r>
      <w:r w:rsidR="0071409A" w:rsidRPr="00911998">
        <w:t xml:space="preserve">d’ailleurs </w:t>
      </w:r>
      <w:r w:rsidR="00215E36" w:rsidRPr="00911998">
        <w:t>être formalisée par le biais d’une délégation de l’autorité parentale aux termes de l’article 601 C.c.Q.</w:t>
      </w:r>
      <w:r w:rsidRPr="00911998">
        <w:t xml:space="preserve"> afin de la rendre opposable aux tiers, y compris l’État</w:t>
      </w:r>
      <w:r w:rsidR="00BB22E2" w:rsidRPr="00911998">
        <w:rPr>
          <w:rStyle w:val="Appelnotedebasdep"/>
        </w:rPr>
        <w:footnoteReference w:id="118"/>
      </w:r>
      <w:r w:rsidRPr="00911998">
        <w:t xml:space="preserve">. </w:t>
      </w:r>
    </w:p>
    <w:p w14:paraId="24996E35" w14:textId="62724A7D" w:rsidR="005E7761" w:rsidRPr="00911998" w:rsidRDefault="00B31F55" w:rsidP="00B31F55">
      <w:pPr>
        <w:pStyle w:val="Paragrsimple"/>
        <w:tabs>
          <w:tab w:val="clear" w:pos="360"/>
        </w:tabs>
      </w:pPr>
      <w:r w:rsidRPr="00911998">
        <w:t>Cela dit, et sans suggérer que la belle coparentalité observée en l’</w:t>
      </w:r>
      <w:r w:rsidR="00D6030C" w:rsidRPr="00911998">
        <w:t>espèc</w:t>
      </w:r>
      <w:r w:rsidRPr="00911998">
        <w:t xml:space="preserve">e soit à risque, les choses peuvent </w:t>
      </w:r>
      <w:r w:rsidR="005E348E" w:rsidRPr="00911998">
        <w:t xml:space="preserve">être </w:t>
      </w:r>
      <w:r w:rsidR="00BE254F" w:rsidRPr="00911998">
        <w:t xml:space="preserve">très </w:t>
      </w:r>
      <w:r w:rsidR="005E348E" w:rsidRPr="00911998">
        <w:t>différentes</w:t>
      </w:r>
      <w:r w:rsidR="004D189D" w:rsidRPr="00911998">
        <w:t xml:space="preserve"> en cas de dispute ou de rupture</w:t>
      </w:r>
      <w:r w:rsidRPr="00911998">
        <w:t xml:space="preserve">. </w:t>
      </w:r>
      <w:r w:rsidR="004D189D" w:rsidRPr="00911998">
        <w:t xml:space="preserve">Le </w:t>
      </w:r>
      <w:r w:rsidR="004D189D" w:rsidRPr="00911998">
        <w:lastRenderedPageBreak/>
        <w:t xml:space="preserve">scénario </w:t>
      </w:r>
      <w:r w:rsidR="005E7761" w:rsidRPr="00911998">
        <w:t xml:space="preserve">d’un conflit entre ceux dont la filiation est reconnue et celui qui ne </w:t>
      </w:r>
      <w:r w:rsidR="00632582" w:rsidRPr="00911998">
        <w:t>bénéficie</w:t>
      </w:r>
      <w:r w:rsidR="005E7761" w:rsidRPr="00911998">
        <w:t xml:space="preserve"> pas de ce lien</w:t>
      </w:r>
      <w:r w:rsidR="004D189D" w:rsidRPr="00911998">
        <w:t xml:space="preserve"> représente le deuxième cas de figure</w:t>
      </w:r>
      <w:r w:rsidR="005E7761" w:rsidRPr="00911998">
        <w:t xml:space="preserve">. </w:t>
      </w:r>
    </w:p>
    <w:p w14:paraId="6D4CB75D" w14:textId="59622197" w:rsidR="00B31F55" w:rsidRPr="00911998" w:rsidRDefault="00215E36" w:rsidP="00B31F55">
      <w:pPr>
        <w:pStyle w:val="Paragrsimple"/>
        <w:tabs>
          <w:tab w:val="clear" w:pos="360"/>
        </w:tabs>
      </w:pPr>
      <w:r w:rsidRPr="00911998">
        <w:t>Dans une telle éventualité, il</w:t>
      </w:r>
      <w:r w:rsidR="00ED6FE1" w:rsidRPr="00911998">
        <w:t xml:space="preserve"> est certes possible que la participation </w:t>
      </w:r>
      <w:r w:rsidR="000440AB" w:rsidRPr="00911998">
        <w:t>à l</w:t>
      </w:r>
      <w:r w:rsidR="00ED6FE1" w:rsidRPr="00911998">
        <w:t>a prise de décisions par</w:t>
      </w:r>
      <w:r w:rsidR="00627B47" w:rsidRPr="00911998">
        <w:t xml:space="preserve"> le</w:t>
      </w:r>
      <w:r w:rsidR="00ED6FE1" w:rsidRPr="00911998">
        <w:t xml:space="preserve"> parent dont la filiation n’est pas </w:t>
      </w:r>
      <w:r w:rsidR="00627B47" w:rsidRPr="00911998">
        <w:t>établie</w:t>
      </w:r>
      <w:r w:rsidRPr="00911998">
        <w:t xml:space="preserve"> </w:t>
      </w:r>
      <w:r w:rsidR="00ED6FE1" w:rsidRPr="00911998">
        <w:t>soit en péril</w:t>
      </w:r>
      <w:r w:rsidRPr="00911998">
        <w:t>. En effet, puisque ce parent n’est pas titulaire de l’autorité parental</w:t>
      </w:r>
      <w:r w:rsidR="00627B47" w:rsidRPr="00911998">
        <w:t>e de plein droit</w:t>
      </w:r>
      <w:r w:rsidR="00E37A49" w:rsidRPr="00911998">
        <w:t xml:space="preserve">, on peut facilement concevoir </w:t>
      </w:r>
      <w:r w:rsidRPr="00911998">
        <w:t>qu’</w:t>
      </w:r>
      <w:r w:rsidR="0071409A" w:rsidRPr="00911998">
        <w:t xml:space="preserve">en cas de conflit, </w:t>
      </w:r>
      <w:r w:rsidRPr="00911998">
        <w:t xml:space="preserve">il </w:t>
      </w:r>
      <w:r w:rsidR="00627B47" w:rsidRPr="00911998">
        <w:t xml:space="preserve">puisse se voir </w:t>
      </w:r>
      <w:r w:rsidR="00E37A49" w:rsidRPr="00911998">
        <w:t>«</w:t>
      </w:r>
      <w:r w:rsidR="00632582" w:rsidRPr="00911998">
        <w:t> </w:t>
      </w:r>
      <w:r w:rsidRPr="00911998">
        <w:t>écarté</w:t>
      </w:r>
      <w:r w:rsidR="00632582" w:rsidRPr="00911998">
        <w:t> </w:t>
      </w:r>
      <w:r w:rsidR="00E37A49" w:rsidRPr="00911998">
        <w:t>»</w:t>
      </w:r>
      <w:r w:rsidRPr="00911998">
        <w:t xml:space="preserve"> par ceux qui </w:t>
      </w:r>
      <w:r w:rsidR="00C6140B" w:rsidRPr="00911998">
        <w:t>sont titulaires</w:t>
      </w:r>
      <w:r w:rsidRPr="00911998">
        <w:t xml:space="preserve"> d</w:t>
      </w:r>
      <w:r w:rsidR="00C6140B" w:rsidRPr="00911998">
        <w:t>e</w:t>
      </w:r>
      <w:r w:rsidRPr="00911998">
        <w:t xml:space="preserve"> lien</w:t>
      </w:r>
      <w:r w:rsidR="00C6140B" w:rsidRPr="00911998">
        <w:t>s</w:t>
      </w:r>
      <w:r w:rsidRPr="00911998">
        <w:t xml:space="preserve"> de filiation. </w:t>
      </w:r>
      <w:r w:rsidR="00ED6FE1" w:rsidRPr="00911998">
        <w:t>Même s’il bénéficiait d’u</w:t>
      </w:r>
      <w:r w:rsidRPr="00911998">
        <w:t>ne délégation de l’autorité parentale donnée conformément à l’article 601</w:t>
      </w:r>
      <w:r w:rsidR="00ED6FE1" w:rsidRPr="00911998">
        <w:t> </w:t>
      </w:r>
      <w:r w:rsidRPr="00911998">
        <w:t>C.c.Q.</w:t>
      </w:r>
      <w:r w:rsidR="00ED6FE1" w:rsidRPr="00911998">
        <w:t>, celle</w:t>
      </w:r>
      <w:r w:rsidR="00ED6FE1" w:rsidRPr="00911998">
        <w:noBreakHyphen/>
        <w:t xml:space="preserve">ci </w:t>
      </w:r>
      <w:r w:rsidR="0071409A" w:rsidRPr="00911998">
        <w:t xml:space="preserve">pourrait </w:t>
      </w:r>
      <w:r w:rsidR="00ED6FE1" w:rsidRPr="00911998">
        <w:t xml:space="preserve">être </w:t>
      </w:r>
      <w:r w:rsidRPr="00911998">
        <w:t>retirée.</w:t>
      </w:r>
    </w:p>
    <w:p w14:paraId="6B343AAD" w14:textId="71F2CB88" w:rsidR="00A5303F" w:rsidRPr="00911998" w:rsidRDefault="00627B47" w:rsidP="009C203B">
      <w:pPr>
        <w:pStyle w:val="Paragrsimple"/>
        <w:tabs>
          <w:tab w:val="clear" w:pos="360"/>
        </w:tabs>
      </w:pPr>
      <w:r w:rsidRPr="00911998">
        <w:t>Cela dit</w:t>
      </w:r>
      <w:r w:rsidR="00215E36" w:rsidRPr="00911998">
        <w:t xml:space="preserve">, </w:t>
      </w:r>
      <w:r w:rsidR="009C203B" w:rsidRPr="00911998">
        <w:t>même en cas de conflit ou de dispute concernant l’exercice de l’autorité parentale</w:t>
      </w:r>
      <w:r w:rsidR="00215E36" w:rsidRPr="00911998">
        <w:t>,</w:t>
      </w:r>
      <w:r w:rsidR="00E37A49" w:rsidRPr="00911998">
        <w:t xml:space="preserve"> </w:t>
      </w:r>
      <w:r w:rsidR="009C203B" w:rsidRPr="00911998">
        <w:t>la limite de deux liens de filiation ne porte pas atteinte à la «</w:t>
      </w:r>
      <w:r w:rsidR="00632582" w:rsidRPr="00911998">
        <w:t> </w:t>
      </w:r>
      <w:r w:rsidR="009C203B" w:rsidRPr="00911998">
        <w:t>liberté parentale</w:t>
      </w:r>
      <w:r w:rsidR="00632582" w:rsidRPr="00911998">
        <w:t> </w:t>
      </w:r>
      <w:r w:rsidR="009C203B" w:rsidRPr="00911998">
        <w:t xml:space="preserve">». Il en est </w:t>
      </w:r>
      <w:r w:rsidR="00632582" w:rsidRPr="00911998">
        <w:t>ainsi</w:t>
      </w:r>
      <w:r w:rsidR="009C203B" w:rsidRPr="00911998">
        <w:t xml:space="preserve"> car le droit québécois permet qu’une personne qui n’est pas un «</w:t>
      </w:r>
      <w:r w:rsidR="00632582" w:rsidRPr="00911998">
        <w:t> </w:t>
      </w:r>
      <w:r w:rsidR="009C203B" w:rsidRPr="00911998">
        <w:t>parent</w:t>
      </w:r>
      <w:r w:rsidR="00632582" w:rsidRPr="00911998">
        <w:t> </w:t>
      </w:r>
      <w:r w:rsidR="009C203B" w:rsidRPr="00911998">
        <w:t>»</w:t>
      </w:r>
      <w:r w:rsidR="003E2CE4" w:rsidRPr="00911998">
        <w:t xml:space="preserve">, selon </w:t>
      </w:r>
      <w:r w:rsidR="00BB22E2" w:rsidRPr="00911998">
        <w:t>les règles</w:t>
      </w:r>
      <w:r w:rsidR="003E2CE4" w:rsidRPr="00911998">
        <w:t xml:space="preserve"> de la filiation, </w:t>
      </w:r>
      <w:r w:rsidR="009C203B" w:rsidRPr="00911998">
        <w:t xml:space="preserve">soit </w:t>
      </w:r>
      <w:r w:rsidR="00BB22E2" w:rsidRPr="00911998">
        <w:t>«</w:t>
      </w:r>
      <w:r w:rsidR="00632582" w:rsidRPr="00911998">
        <w:t> </w:t>
      </w:r>
      <w:r w:rsidR="009C203B" w:rsidRPr="00911998">
        <w:t>investie judiciairement de l’</w:t>
      </w:r>
      <w:r w:rsidR="003E2CE4" w:rsidRPr="00911998">
        <w:t>exercice d</w:t>
      </w:r>
      <w:r w:rsidR="00BB22E2" w:rsidRPr="00911998">
        <w:t>’attributs d</w:t>
      </w:r>
      <w:r w:rsidR="003E2CE4" w:rsidRPr="00911998">
        <w:t>e l’</w:t>
      </w:r>
      <w:r w:rsidR="009C203B" w:rsidRPr="00911998">
        <w:t>autorité parentale</w:t>
      </w:r>
      <w:r w:rsidR="00632582" w:rsidRPr="00911998">
        <w:t> </w:t>
      </w:r>
      <w:r w:rsidR="00BB22E2" w:rsidRPr="00911998">
        <w:t>»</w:t>
      </w:r>
      <w:r w:rsidR="00BB22E2" w:rsidRPr="00911998">
        <w:rPr>
          <w:rStyle w:val="Appelnotedebasdep"/>
        </w:rPr>
        <w:footnoteReference w:id="119"/>
      </w:r>
      <w:r w:rsidR="00616E5D" w:rsidRPr="00911998">
        <w:t>, et ce, dans la mesure o</w:t>
      </w:r>
      <w:r w:rsidR="00616E5D" w:rsidRPr="00911998">
        <w:rPr>
          <w:rFonts w:cs="Arial"/>
        </w:rPr>
        <w:t>ù</w:t>
      </w:r>
      <w:r w:rsidR="00616E5D" w:rsidRPr="00911998">
        <w:t xml:space="preserve"> ceci </w:t>
      </w:r>
      <w:r w:rsidR="00632582" w:rsidRPr="00911998">
        <w:t>est</w:t>
      </w:r>
      <w:r w:rsidR="00616E5D" w:rsidRPr="00911998">
        <w:t xml:space="preserve"> dans l’intérêt de l’enfant</w:t>
      </w:r>
      <w:r w:rsidR="00BB22E2" w:rsidRPr="00911998">
        <w:t xml:space="preserve">. </w:t>
      </w:r>
    </w:p>
    <w:p w14:paraId="1A66B39C" w14:textId="3B4B169B" w:rsidR="00BB22E2" w:rsidRPr="00911998" w:rsidRDefault="00BB22E2" w:rsidP="009C203B">
      <w:pPr>
        <w:pStyle w:val="Paragrsimple"/>
        <w:tabs>
          <w:tab w:val="clear" w:pos="360"/>
        </w:tabs>
      </w:pPr>
      <w:r w:rsidRPr="00911998">
        <w:t xml:space="preserve">Comme l’explique le juge </w:t>
      </w:r>
      <w:proofErr w:type="spellStart"/>
      <w:r w:rsidRPr="00911998">
        <w:t>Kasirer</w:t>
      </w:r>
      <w:proofErr w:type="spellEnd"/>
      <w:r w:rsidRPr="00911998">
        <w:t xml:space="preserve"> dans l’arrêt </w:t>
      </w:r>
      <w:r w:rsidRPr="00911998">
        <w:rPr>
          <w:rFonts w:cs="Arial"/>
          <w:i/>
          <w:iCs/>
          <w:shd w:val="clear" w:color="auto" w:fill="FFFFFF"/>
        </w:rPr>
        <w:t>Droit de la famille — 191677</w:t>
      </w:r>
      <w:r w:rsidR="005E7761" w:rsidRPr="00911998">
        <w:rPr>
          <w:rFonts w:cs="Arial"/>
          <w:shd w:val="clear" w:color="auto" w:fill="FFFFFF"/>
        </w:rPr>
        <w:t xml:space="preserve">, évoquant les deux cas de figure </w:t>
      </w:r>
      <w:r w:rsidR="00632582" w:rsidRPr="00911998">
        <w:rPr>
          <w:rFonts w:cs="Arial"/>
          <w:shd w:val="clear" w:color="auto" w:fill="FFFFFF"/>
        </w:rPr>
        <w:t>mentionnés</w:t>
      </w:r>
      <w:r w:rsidR="005E7761" w:rsidRPr="00911998">
        <w:rPr>
          <w:rFonts w:cs="Arial"/>
          <w:shd w:val="clear" w:color="auto" w:fill="FFFFFF"/>
        </w:rPr>
        <w:t xml:space="preserve"> ci</w:t>
      </w:r>
      <w:r w:rsidR="005E7761" w:rsidRPr="00911998">
        <w:rPr>
          <w:rFonts w:cs="Arial"/>
          <w:shd w:val="clear" w:color="auto" w:fill="FFFFFF"/>
        </w:rPr>
        <w:noBreakHyphen/>
        <w:t>dessus</w:t>
      </w:r>
      <w:r w:rsidR="00554E25" w:rsidRPr="00911998">
        <w:rPr>
          <w:rStyle w:val="Appelnotedebasdep"/>
          <w:rFonts w:cs="Arial"/>
          <w:shd w:val="clear" w:color="auto" w:fill="FFFFFF"/>
        </w:rPr>
        <w:footnoteReference w:id="120"/>
      </w:r>
      <w:r w:rsidRPr="00911998">
        <w:t xml:space="preserve"> : </w:t>
      </w:r>
    </w:p>
    <w:p w14:paraId="042476EB" w14:textId="7B36D0D5" w:rsidR="00554E25" w:rsidRPr="00911998" w:rsidRDefault="00554E25" w:rsidP="00554E25">
      <w:pPr>
        <w:ind w:left="567" w:right="560"/>
        <w:jc w:val="both"/>
        <w:rPr>
          <w:rFonts w:cs="Arial"/>
          <w:i/>
          <w:iCs/>
          <w:sz w:val="22"/>
          <w:szCs w:val="22"/>
          <w:shd w:val="clear" w:color="auto" w:fill="FFFFFF"/>
        </w:rPr>
      </w:pPr>
      <w:r w:rsidRPr="00911998">
        <w:rPr>
          <w:rFonts w:cs="Arial"/>
          <w:sz w:val="22"/>
          <w:szCs w:val="22"/>
        </w:rPr>
        <w:t>[105</w:t>
      </w:r>
      <w:proofErr w:type="gramStart"/>
      <w:r w:rsidRPr="00911998">
        <w:rPr>
          <w:rFonts w:cs="Arial"/>
          <w:sz w:val="22"/>
          <w:szCs w:val="22"/>
        </w:rPr>
        <w:t>]  Dans</w:t>
      </w:r>
      <w:proofErr w:type="gramEnd"/>
      <w:r w:rsidRPr="00911998">
        <w:rPr>
          <w:rFonts w:cs="Arial"/>
          <w:sz w:val="22"/>
          <w:szCs w:val="22"/>
        </w:rPr>
        <w:t> </w:t>
      </w:r>
      <w:r w:rsidRPr="00911998">
        <w:rPr>
          <w:rFonts w:cs="Arial"/>
          <w:i/>
          <w:iCs/>
          <w:sz w:val="22"/>
          <w:szCs w:val="22"/>
        </w:rPr>
        <w:t>C.(G.) c. V.-F. (T.)</w:t>
      </w:r>
      <w:r w:rsidRPr="00911998">
        <w:rPr>
          <w:rFonts w:cs="Arial"/>
          <w:sz w:val="22"/>
          <w:szCs w:val="22"/>
        </w:rPr>
        <w:t>, la Cour suprême a ouvert la porte en 1987 à l’idée qu’une personne, sans être titulaire du statut de père ou de mère selon le droit de la filiation, puisse être néanmoins investie judiciairement de l’exercice de l’autorité parentale, ou d’une parcelle de celle-ci, sans nécessairement porter atteinte à la jouissance de l’autorité parentale qui revient, de droit, aux parents</w:t>
      </w:r>
      <w:r w:rsidR="00B37A7D" w:rsidRPr="00911998">
        <w:rPr>
          <w:rStyle w:val="Appelnotedebasdep"/>
          <w:rFonts w:cs="Arial"/>
          <w:sz w:val="22"/>
          <w:szCs w:val="22"/>
        </w:rPr>
        <w:footnoteReference w:id="121"/>
      </w:r>
      <w:r w:rsidRPr="00911998">
        <w:rPr>
          <w:rFonts w:cs="Arial"/>
          <w:sz w:val="22"/>
          <w:szCs w:val="22"/>
        </w:rPr>
        <w:t>. En parallèle, le droit civil reconnaît depuis longtemps que le titulaire de l’autorité parentale puisse, sans l’intervention d’un juge, « déléguer la garde, la surveillance ou l’éducation de l’enfant / </w:t>
      </w:r>
      <w:proofErr w:type="spellStart"/>
      <w:r w:rsidRPr="00911998">
        <w:rPr>
          <w:rFonts w:cs="Arial"/>
          <w:i/>
          <w:iCs/>
          <w:sz w:val="22"/>
          <w:szCs w:val="22"/>
        </w:rPr>
        <w:t>delegate</w:t>
      </w:r>
      <w:proofErr w:type="spellEnd"/>
      <w:r w:rsidRPr="00911998">
        <w:rPr>
          <w:rFonts w:cs="Arial"/>
          <w:i/>
          <w:iCs/>
          <w:sz w:val="22"/>
          <w:szCs w:val="22"/>
        </w:rPr>
        <w:t xml:space="preserve"> the </w:t>
      </w:r>
      <w:proofErr w:type="spellStart"/>
      <w:r w:rsidRPr="00911998">
        <w:rPr>
          <w:rFonts w:cs="Arial"/>
          <w:i/>
          <w:iCs/>
          <w:sz w:val="22"/>
          <w:szCs w:val="22"/>
        </w:rPr>
        <w:t>custody</w:t>
      </w:r>
      <w:proofErr w:type="spellEnd"/>
      <w:r w:rsidRPr="00911998">
        <w:rPr>
          <w:rFonts w:cs="Arial"/>
          <w:i/>
          <w:iCs/>
          <w:sz w:val="22"/>
          <w:szCs w:val="22"/>
        </w:rPr>
        <w:t xml:space="preserve">, supervision or </w:t>
      </w:r>
      <w:proofErr w:type="spellStart"/>
      <w:r w:rsidRPr="00911998">
        <w:rPr>
          <w:rFonts w:cs="Arial"/>
          <w:i/>
          <w:iCs/>
          <w:sz w:val="22"/>
          <w:szCs w:val="22"/>
        </w:rPr>
        <w:t>education</w:t>
      </w:r>
      <w:proofErr w:type="spellEnd"/>
      <w:r w:rsidRPr="00911998">
        <w:rPr>
          <w:rFonts w:cs="Arial"/>
          <w:i/>
          <w:iCs/>
          <w:sz w:val="22"/>
          <w:szCs w:val="22"/>
        </w:rPr>
        <w:t xml:space="preserve"> of the </w:t>
      </w:r>
      <w:proofErr w:type="spellStart"/>
      <w:r w:rsidRPr="00911998">
        <w:rPr>
          <w:rFonts w:cs="Arial"/>
          <w:i/>
          <w:iCs/>
          <w:sz w:val="22"/>
          <w:szCs w:val="22"/>
        </w:rPr>
        <w:t>child</w:t>
      </w:r>
      <w:proofErr w:type="spellEnd"/>
      <w:r w:rsidRPr="00911998">
        <w:rPr>
          <w:rFonts w:cs="Arial"/>
          <w:sz w:val="22"/>
          <w:szCs w:val="22"/>
        </w:rPr>
        <w:t> » (</w:t>
      </w:r>
      <w:hyperlink r:id="rId38" w:anchor="art601_smooth" w:history="1">
        <w:r w:rsidRPr="00911998">
          <w:rPr>
            <w:rStyle w:val="Hyperlien"/>
            <w:rFonts w:cs="Arial"/>
            <w:color w:val="auto"/>
            <w:sz w:val="22"/>
            <w:szCs w:val="22"/>
            <w:u w:val="none"/>
          </w:rPr>
          <w:t>art.</w:t>
        </w:r>
        <w:r w:rsidR="007F610E" w:rsidRPr="00911998">
          <w:rPr>
            <w:rStyle w:val="Hyperlien"/>
            <w:rFonts w:cs="Arial"/>
            <w:color w:val="auto"/>
            <w:sz w:val="22"/>
            <w:szCs w:val="22"/>
            <w:u w:val="none"/>
          </w:rPr>
          <w:t> </w:t>
        </w:r>
        <w:r w:rsidRPr="00911998">
          <w:rPr>
            <w:rStyle w:val="Hyperlien"/>
            <w:rFonts w:cs="Arial"/>
            <w:color w:val="auto"/>
            <w:sz w:val="22"/>
            <w:szCs w:val="22"/>
            <w:u w:val="none"/>
          </w:rPr>
          <w:t>601</w:t>
        </w:r>
      </w:hyperlink>
      <w:r w:rsidRPr="00911998">
        <w:rPr>
          <w:rFonts w:cs="Arial"/>
          <w:sz w:val="22"/>
          <w:szCs w:val="22"/>
        </w:rPr>
        <w:t> </w:t>
      </w:r>
      <w:hyperlink r:id="rId39" w:history="1">
        <w:r w:rsidRPr="00911998">
          <w:rPr>
            <w:rStyle w:val="Hyperlien"/>
            <w:rFonts w:cs="Arial"/>
            <w:i/>
            <w:iCs/>
            <w:color w:val="auto"/>
            <w:sz w:val="22"/>
            <w:szCs w:val="22"/>
            <w:u w:val="none"/>
          </w:rPr>
          <w:t>C.c.Q.</w:t>
        </w:r>
      </w:hyperlink>
      <w:r w:rsidRPr="00911998">
        <w:rPr>
          <w:rFonts w:cs="Arial"/>
          <w:sz w:val="22"/>
          <w:szCs w:val="22"/>
        </w:rPr>
        <w:t>), et ce, de façon révocable et temporaire. Cette délégation à un tiers ne supprime pas non plus le lien de droit entre les parents et l’enfant.</w:t>
      </w:r>
    </w:p>
    <w:p w14:paraId="30E7AB2C" w14:textId="77777777" w:rsidR="00554E25" w:rsidRPr="00911998" w:rsidRDefault="00554E25" w:rsidP="00554E25">
      <w:pPr>
        <w:ind w:left="567" w:right="560"/>
        <w:jc w:val="both"/>
        <w:rPr>
          <w:rFonts w:cs="Arial"/>
          <w:sz w:val="22"/>
          <w:szCs w:val="22"/>
          <w:shd w:val="clear" w:color="auto" w:fill="FFFFFF"/>
        </w:rPr>
      </w:pPr>
    </w:p>
    <w:p w14:paraId="2E791F7E" w14:textId="7FA16953" w:rsidR="00554E25" w:rsidRPr="00911998" w:rsidRDefault="00BB22E2" w:rsidP="009C203B">
      <w:pPr>
        <w:pStyle w:val="Paragrsimple"/>
        <w:tabs>
          <w:tab w:val="clear" w:pos="360"/>
        </w:tabs>
      </w:pPr>
      <w:r w:rsidRPr="00911998">
        <w:t xml:space="preserve">En somme, le droit québécois </w:t>
      </w:r>
      <w:r w:rsidR="00A5303F" w:rsidRPr="00911998">
        <w:t>admet</w:t>
      </w:r>
      <w:r w:rsidRPr="00911998">
        <w:t xml:space="preserve"> la possibilité qu’une personne qui </w:t>
      </w:r>
      <w:r w:rsidR="00A5303F" w:rsidRPr="00911998">
        <w:t xml:space="preserve">ne profite </w:t>
      </w:r>
      <w:r w:rsidRPr="00911998">
        <w:t>pas d</w:t>
      </w:r>
      <w:r w:rsidR="00A5303F" w:rsidRPr="00911998">
        <w:t>’un</w:t>
      </w:r>
      <w:r w:rsidRPr="00911998">
        <w:t xml:space="preserve"> lien de filiation reconnu </w:t>
      </w:r>
      <w:r w:rsidR="00A5303F" w:rsidRPr="00911998">
        <w:t xml:space="preserve">à l’égard d’un enfant </w:t>
      </w:r>
      <w:r w:rsidRPr="00911998">
        <w:t xml:space="preserve">puisse, </w:t>
      </w:r>
      <w:r w:rsidR="005E7761" w:rsidRPr="00911998">
        <w:t xml:space="preserve">en vertu d’une délégation ou </w:t>
      </w:r>
      <w:r w:rsidRPr="00911998">
        <w:t xml:space="preserve">au terme d’une intervention judiciaire, participer aux décisions qui relèvent de l’autorité parentale. </w:t>
      </w:r>
      <w:r w:rsidR="000E4314" w:rsidRPr="00911998">
        <w:t>En d’autres termes, la limite de deux liens de filiation n’écarte pas nécessairement la «</w:t>
      </w:r>
      <w:r w:rsidR="00792934" w:rsidRPr="00911998">
        <w:t> </w:t>
      </w:r>
      <w:r w:rsidR="000E4314" w:rsidRPr="00911998">
        <w:t>liberté parentale</w:t>
      </w:r>
      <w:r w:rsidR="00792934" w:rsidRPr="00911998">
        <w:t> </w:t>
      </w:r>
      <w:r w:rsidR="000E4314" w:rsidRPr="00911998">
        <w:t xml:space="preserve">» du parent non reconnu. </w:t>
      </w:r>
      <w:r w:rsidR="00A5303F" w:rsidRPr="00911998">
        <w:t xml:space="preserve">Il en résulte </w:t>
      </w:r>
      <w:r w:rsidR="00E64035" w:rsidRPr="00911998">
        <w:t xml:space="preserve">que cette </w:t>
      </w:r>
      <w:r w:rsidR="00E64035" w:rsidRPr="00911998">
        <w:lastRenderedPageBreak/>
        <w:t>limite ne porte pas atteinte à</w:t>
      </w:r>
      <w:r w:rsidR="00A5303F" w:rsidRPr="00911998">
        <w:t xml:space="preserve"> la «</w:t>
      </w:r>
      <w:r w:rsidR="00792934" w:rsidRPr="00911998">
        <w:t> </w:t>
      </w:r>
      <w:r w:rsidR="00A5303F" w:rsidRPr="00911998">
        <w:t>liberté parentale</w:t>
      </w:r>
      <w:r w:rsidR="00792934" w:rsidRPr="00911998">
        <w:t> </w:t>
      </w:r>
      <w:r w:rsidR="00A5303F" w:rsidRPr="00911998">
        <w:t>»</w:t>
      </w:r>
      <w:r w:rsidR="00E64035" w:rsidRPr="00911998">
        <w:t>, et ce, dans la mesure o</w:t>
      </w:r>
      <w:r w:rsidR="00627B47" w:rsidRPr="00911998">
        <w:rPr>
          <w:rFonts w:cs="Arial"/>
        </w:rPr>
        <w:t>ù</w:t>
      </w:r>
      <w:r w:rsidR="00E64035" w:rsidRPr="00911998">
        <w:t xml:space="preserve"> </w:t>
      </w:r>
      <w:r w:rsidR="00D6030C" w:rsidRPr="00911998">
        <w:t>c</w:t>
      </w:r>
      <w:r w:rsidR="00627B47" w:rsidRPr="00911998">
        <w:t>elle</w:t>
      </w:r>
      <w:r w:rsidR="00D6030C" w:rsidRPr="00911998">
        <w:noBreakHyphen/>
        <w:t>ci</w:t>
      </w:r>
      <w:r w:rsidR="00E64035" w:rsidRPr="00911998">
        <w:t xml:space="preserve"> est protégée par </w:t>
      </w:r>
      <w:r w:rsidR="00A5303F" w:rsidRPr="00911998">
        <w:t xml:space="preserve">l’article 7 de la </w:t>
      </w:r>
      <w:r w:rsidR="00A5303F" w:rsidRPr="00911998">
        <w:rPr>
          <w:i/>
          <w:iCs/>
        </w:rPr>
        <w:t>Charte canadienne</w:t>
      </w:r>
      <w:r w:rsidR="00E64035" w:rsidRPr="00911998">
        <w:t>.</w:t>
      </w:r>
    </w:p>
    <w:p w14:paraId="17289F5B" w14:textId="1402A615" w:rsidR="003F51FB" w:rsidRPr="00911998" w:rsidRDefault="007F610E" w:rsidP="009B669B">
      <w:pPr>
        <w:pStyle w:val="Paragrsimple"/>
        <w:tabs>
          <w:tab w:val="clear" w:pos="360"/>
        </w:tabs>
      </w:pPr>
      <w:r w:rsidRPr="00911998">
        <w:t>Évidemment, le parent dont la filiation n’est pas reconnue supporte un</w:t>
      </w:r>
      <w:r w:rsidR="003F51FB" w:rsidRPr="00911998">
        <w:t xml:space="preserve"> </w:t>
      </w:r>
      <w:r w:rsidRPr="00911998">
        <w:t xml:space="preserve">fardeau </w:t>
      </w:r>
      <w:r w:rsidR="003F51FB" w:rsidRPr="00911998">
        <w:t xml:space="preserve">additionnel </w:t>
      </w:r>
      <w:r w:rsidR="00D6030C" w:rsidRPr="00911998">
        <w:t>lorsqu’il s’agit de</w:t>
      </w:r>
      <w:r w:rsidR="003F51FB" w:rsidRPr="00911998">
        <w:t xml:space="preserve"> participer </w:t>
      </w:r>
      <w:r w:rsidR="00C83F54" w:rsidRPr="00911998">
        <w:t>aux</w:t>
      </w:r>
      <w:r w:rsidR="003F51FB" w:rsidRPr="00911998">
        <w:t xml:space="preserve"> décisions qui relèvent de l’autorité parentale. Ce fardeau est très lourd s’il doit obtenir une intervention judiciaire afin d’être </w:t>
      </w:r>
      <w:r w:rsidR="00792934" w:rsidRPr="00911998">
        <w:t>investi</w:t>
      </w:r>
      <w:r w:rsidR="003F51FB" w:rsidRPr="00911998">
        <w:t xml:space="preserve"> de l’exercice de l’autorité parentale ou d’une parcelle de cette autorité. Il existe une différence </w:t>
      </w:r>
      <w:r w:rsidR="00C83F54" w:rsidRPr="00911998">
        <w:t>importante</w:t>
      </w:r>
      <w:r w:rsidR="003F51FB" w:rsidRPr="00911998">
        <w:t xml:space="preserve"> entre </w:t>
      </w:r>
      <w:r w:rsidR="00627B47" w:rsidRPr="00911998">
        <w:t>s</w:t>
      </w:r>
      <w:r w:rsidR="003F51FB" w:rsidRPr="00911998">
        <w:t>a situation et celle des parents dont la filiation est établie.</w:t>
      </w:r>
    </w:p>
    <w:p w14:paraId="69842C6B" w14:textId="05E13DEC" w:rsidR="003F51FB" w:rsidRPr="00911998" w:rsidRDefault="003F51FB" w:rsidP="009B669B">
      <w:pPr>
        <w:pStyle w:val="Paragrsimple"/>
        <w:tabs>
          <w:tab w:val="clear" w:pos="360"/>
        </w:tabs>
      </w:pPr>
      <w:r w:rsidRPr="00911998">
        <w:t xml:space="preserve">Or, </w:t>
      </w:r>
      <w:r w:rsidR="00644A28" w:rsidRPr="00911998">
        <w:t>cette</w:t>
      </w:r>
      <w:r w:rsidRPr="00911998">
        <w:t xml:space="preserve"> différence </w:t>
      </w:r>
      <w:r w:rsidR="00644A28" w:rsidRPr="00911998">
        <w:t>es</w:t>
      </w:r>
      <w:r w:rsidRPr="00911998">
        <w:t xml:space="preserve">t mieux appréhendée par le droit à l’égalité </w:t>
      </w:r>
      <w:r w:rsidR="00644A28" w:rsidRPr="00911998">
        <w:t xml:space="preserve">garanti </w:t>
      </w:r>
      <w:r w:rsidRPr="00911998">
        <w:t>par l</w:t>
      </w:r>
      <w:r w:rsidR="00627B47" w:rsidRPr="00911998">
        <w:t>e paragraphe</w:t>
      </w:r>
      <w:r w:rsidRPr="00911998">
        <w:t> 15</w:t>
      </w:r>
      <w:r w:rsidR="00627B47" w:rsidRPr="00911998">
        <w:t>(1)</w:t>
      </w:r>
      <w:r w:rsidRPr="00911998">
        <w:t xml:space="preserve"> de la </w:t>
      </w:r>
      <w:r w:rsidRPr="00911998">
        <w:rPr>
          <w:i/>
          <w:iCs/>
        </w:rPr>
        <w:t>Charte canadienne</w:t>
      </w:r>
      <w:r w:rsidRPr="00911998">
        <w:t xml:space="preserve"> </w:t>
      </w:r>
      <w:r w:rsidR="00792934" w:rsidRPr="00911998">
        <w:t>—</w:t>
      </w:r>
      <w:r w:rsidR="00644A28" w:rsidRPr="00911998">
        <w:t xml:space="preserve"> dont la finalité est de protéger contre les différences de traitement injustes </w:t>
      </w:r>
      <w:r w:rsidR="00792934" w:rsidRPr="00911998">
        <w:t>—</w:t>
      </w:r>
      <w:r w:rsidR="00644A28" w:rsidRPr="00911998">
        <w:t xml:space="preserve"> </w:t>
      </w:r>
      <w:r w:rsidRPr="00911998">
        <w:t xml:space="preserve">que par le droit à </w:t>
      </w:r>
      <w:r w:rsidR="00963B63" w:rsidRPr="00911998">
        <w:t xml:space="preserve">la </w:t>
      </w:r>
      <w:r w:rsidRPr="00911998">
        <w:t xml:space="preserve">liberté de l’article 7. L’argumentation écrite des Demandeurs dans le </w:t>
      </w:r>
      <w:r w:rsidR="00A95495" w:rsidRPr="00911998">
        <w:t>D</w:t>
      </w:r>
      <w:r w:rsidRPr="00911998">
        <w:t>ossier de la Coalition</w:t>
      </w:r>
      <w:r w:rsidR="00963B63" w:rsidRPr="00911998">
        <w:t>,</w:t>
      </w:r>
      <w:r w:rsidRPr="00911998">
        <w:t xml:space="preserve"> en lien avec le droit à la liberté</w:t>
      </w:r>
      <w:r w:rsidR="00963B63" w:rsidRPr="00911998">
        <w:t>,</w:t>
      </w:r>
      <w:r w:rsidRPr="00911998">
        <w:t xml:space="preserve"> illustre</w:t>
      </w:r>
      <w:r w:rsidR="00644A28" w:rsidRPr="00911998">
        <w:t xml:space="preserve"> bien</w:t>
      </w:r>
      <w:r w:rsidRPr="00911998">
        <w:t xml:space="preserve"> cette réalité quand ils plaident que</w:t>
      </w:r>
      <w:r w:rsidR="00644A28" w:rsidRPr="00911998">
        <w:rPr>
          <w:rStyle w:val="Appelnotedebasdep"/>
        </w:rPr>
        <w:footnoteReference w:id="122"/>
      </w:r>
      <w:r w:rsidRPr="00911998">
        <w:t> :</w:t>
      </w:r>
    </w:p>
    <w:p w14:paraId="4A0BD9EC" w14:textId="0B4EC0A4" w:rsidR="00E64035" w:rsidRPr="00911998" w:rsidRDefault="00792934" w:rsidP="003F51FB">
      <w:pPr>
        <w:ind w:left="567" w:right="560"/>
        <w:jc w:val="both"/>
        <w:rPr>
          <w:rFonts w:cs="Arial"/>
        </w:rPr>
      </w:pPr>
      <w:proofErr w:type="gramStart"/>
      <w:r w:rsidRPr="00911998">
        <w:rPr>
          <w:rFonts w:cs="Arial"/>
          <w:sz w:val="22"/>
          <w:szCs w:val="22"/>
        </w:rPr>
        <w:t>435.  [</w:t>
      </w:r>
      <w:proofErr w:type="gramEnd"/>
      <w:r w:rsidRPr="00911998">
        <w:rPr>
          <w:rFonts w:cs="Arial"/>
          <w:sz w:val="22"/>
          <w:szCs w:val="22"/>
        </w:rPr>
        <w:t xml:space="preserve">…] </w:t>
      </w:r>
      <w:r w:rsidR="003F51FB" w:rsidRPr="00911998">
        <w:rPr>
          <w:rFonts w:cs="Arial"/>
          <w:sz w:val="22"/>
          <w:szCs w:val="22"/>
        </w:rPr>
        <w:t>[C]</w:t>
      </w:r>
      <w:proofErr w:type="spellStart"/>
      <w:r w:rsidR="003F51FB" w:rsidRPr="00911998">
        <w:rPr>
          <w:rFonts w:cs="Arial"/>
          <w:sz w:val="22"/>
          <w:szCs w:val="22"/>
        </w:rPr>
        <w:t>onformément</w:t>
      </w:r>
      <w:proofErr w:type="spellEnd"/>
      <w:r w:rsidR="003F51FB" w:rsidRPr="00911998">
        <w:rPr>
          <w:rFonts w:cs="Arial"/>
          <w:sz w:val="22"/>
          <w:szCs w:val="22"/>
        </w:rPr>
        <w:t xml:space="preserve"> à leur projet parental et à la réalité vécue par leurs enfants, les Parents Demandeurs veulent tous pouvoir exercer, </w:t>
      </w:r>
      <w:r w:rsidR="003F51FB" w:rsidRPr="00911998">
        <w:rPr>
          <w:rFonts w:cs="Arial"/>
          <w:sz w:val="22"/>
          <w:szCs w:val="22"/>
          <w:u w:val="single"/>
        </w:rPr>
        <w:t>en pleine égalité</w:t>
      </w:r>
      <w:r w:rsidR="003F51FB" w:rsidRPr="00911998">
        <w:rPr>
          <w:rFonts w:cs="Arial"/>
          <w:sz w:val="22"/>
          <w:szCs w:val="22"/>
        </w:rPr>
        <w:t xml:space="preserve">, </w:t>
      </w:r>
      <w:r w:rsidR="00644A28" w:rsidRPr="00911998">
        <w:rPr>
          <w:rFonts w:cs="Arial"/>
          <w:sz w:val="22"/>
          <w:szCs w:val="22"/>
        </w:rPr>
        <w:t>les droits et les obligations rattachés à la parenté</w:t>
      </w:r>
      <w:r w:rsidR="00644A28" w:rsidRPr="00911998">
        <w:rPr>
          <w:rFonts w:cs="Arial"/>
        </w:rPr>
        <w:t>.</w:t>
      </w:r>
    </w:p>
    <w:p w14:paraId="19DBB401" w14:textId="77777777" w:rsidR="00627B47" w:rsidRPr="00911998" w:rsidRDefault="00627B47" w:rsidP="003F51FB">
      <w:pPr>
        <w:ind w:left="567" w:right="560"/>
        <w:jc w:val="both"/>
        <w:rPr>
          <w:rFonts w:cs="Arial"/>
          <w:sz w:val="22"/>
          <w:szCs w:val="22"/>
        </w:rPr>
      </w:pPr>
    </w:p>
    <w:p w14:paraId="2712D484" w14:textId="3CA1CD3B" w:rsidR="00627B47" w:rsidRPr="00911998" w:rsidRDefault="00627B47" w:rsidP="00627B47">
      <w:pPr>
        <w:ind w:left="567" w:right="560"/>
        <w:jc w:val="right"/>
        <w:rPr>
          <w:rFonts w:cs="Arial"/>
          <w:sz w:val="22"/>
          <w:szCs w:val="22"/>
        </w:rPr>
      </w:pPr>
      <w:r w:rsidRPr="00911998">
        <w:rPr>
          <w:rFonts w:cs="Arial"/>
          <w:sz w:val="22"/>
          <w:szCs w:val="22"/>
        </w:rPr>
        <w:t>[</w:t>
      </w:r>
      <w:r w:rsidR="001C5CD5">
        <w:rPr>
          <w:rFonts w:cs="Arial"/>
          <w:sz w:val="22"/>
          <w:szCs w:val="22"/>
        </w:rPr>
        <w:t>So</w:t>
      </w:r>
      <w:r w:rsidRPr="00911998">
        <w:rPr>
          <w:rFonts w:cs="Arial"/>
          <w:sz w:val="22"/>
          <w:szCs w:val="22"/>
        </w:rPr>
        <w:t>ulignement</w:t>
      </w:r>
      <w:r w:rsidR="001C5CD5">
        <w:rPr>
          <w:rFonts w:cs="Arial"/>
          <w:sz w:val="22"/>
          <w:szCs w:val="22"/>
        </w:rPr>
        <w:t>s</w:t>
      </w:r>
      <w:r w:rsidRPr="00911998">
        <w:rPr>
          <w:rFonts w:cs="Arial"/>
          <w:sz w:val="22"/>
          <w:szCs w:val="22"/>
        </w:rPr>
        <w:t xml:space="preserve"> </w:t>
      </w:r>
      <w:r w:rsidR="001C5CD5">
        <w:rPr>
          <w:rFonts w:cs="Arial"/>
          <w:sz w:val="22"/>
          <w:szCs w:val="22"/>
        </w:rPr>
        <w:t>a</w:t>
      </w:r>
      <w:r w:rsidRPr="00911998">
        <w:rPr>
          <w:rFonts w:cs="Arial"/>
          <w:sz w:val="22"/>
          <w:szCs w:val="22"/>
        </w:rPr>
        <w:t>jouté</w:t>
      </w:r>
      <w:r w:rsidR="001C5CD5">
        <w:rPr>
          <w:rFonts w:cs="Arial"/>
          <w:sz w:val="22"/>
          <w:szCs w:val="22"/>
        </w:rPr>
        <w:t>s</w:t>
      </w:r>
      <w:r w:rsidRPr="00911998">
        <w:rPr>
          <w:rFonts w:cs="Arial"/>
          <w:sz w:val="22"/>
          <w:szCs w:val="22"/>
        </w:rPr>
        <w:t>]</w:t>
      </w:r>
    </w:p>
    <w:p w14:paraId="46905DDF" w14:textId="43AEC020" w:rsidR="00644A28" w:rsidRPr="00911998" w:rsidRDefault="00644A28" w:rsidP="009C203B">
      <w:pPr>
        <w:pStyle w:val="Paragrsimple"/>
        <w:tabs>
          <w:tab w:val="clear" w:pos="360"/>
        </w:tabs>
      </w:pPr>
      <w:r w:rsidRPr="00911998">
        <w:t xml:space="preserve">En l’absence d’une violation du droit à la sécurité de la personne ou du droit à la liberté protégé par l’article 7 de la </w:t>
      </w:r>
      <w:r w:rsidRPr="00911998">
        <w:rPr>
          <w:i/>
          <w:iCs/>
        </w:rPr>
        <w:t>Charte canadienne</w:t>
      </w:r>
      <w:r w:rsidRPr="00911998">
        <w:t>, il n’est pas nécessaire de se pencher sur le respect des principes de justice fondamentale.</w:t>
      </w:r>
    </w:p>
    <w:p w14:paraId="130F5E1B" w14:textId="5A9CA563" w:rsidR="00644A28" w:rsidRPr="00911998" w:rsidRDefault="00644A28" w:rsidP="00BF560A">
      <w:pPr>
        <w:pStyle w:val="Titre4"/>
        <w:jc w:val="both"/>
      </w:pPr>
      <w:r w:rsidRPr="00911998">
        <w:t>L</w:t>
      </w:r>
      <w:r w:rsidR="00B723EA" w:rsidRPr="00911998">
        <w:t xml:space="preserve">’article 1 de la </w:t>
      </w:r>
      <w:r w:rsidR="00B723EA" w:rsidRPr="00911998">
        <w:rPr>
          <w:i/>
          <w:iCs/>
        </w:rPr>
        <w:t>Charte québécoise</w:t>
      </w:r>
      <w:r w:rsidR="00B723EA" w:rsidRPr="00911998">
        <w:t> : le</w:t>
      </w:r>
      <w:r w:rsidR="0082315B" w:rsidRPr="00911998">
        <w:t>s</w:t>
      </w:r>
      <w:r w:rsidR="00B723EA" w:rsidRPr="00911998">
        <w:t xml:space="preserve"> droit</w:t>
      </w:r>
      <w:r w:rsidR="00280920" w:rsidRPr="00911998">
        <w:t>s</w:t>
      </w:r>
      <w:r w:rsidR="00B723EA" w:rsidRPr="00911998">
        <w:t xml:space="preserve"> à la l</w:t>
      </w:r>
      <w:r w:rsidRPr="00911998">
        <w:t>ibert</w:t>
      </w:r>
      <w:r w:rsidR="00280920" w:rsidRPr="00911998">
        <w:t>é</w:t>
      </w:r>
      <w:r w:rsidR="00BF560A">
        <w:t xml:space="preserve"> et</w:t>
      </w:r>
      <w:r w:rsidRPr="00911998">
        <w:t xml:space="preserve"> </w:t>
      </w:r>
      <w:r w:rsidR="00B723EA" w:rsidRPr="00911998">
        <w:t>à l’</w:t>
      </w:r>
      <w:r w:rsidRPr="00911998">
        <w:t xml:space="preserve">intégrité </w:t>
      </w:r>
      <w:r w:rsidR="0082315B" w:rsidRPr="00911998">
        <w:t>ne sont pas violés</w:t>
      </w:r>
    </w:p>
    <w:p w14:paraId="503329E9" w14:textId="7A3F3CF4" w:rsidR="009B1DDE" w:rsidRPr="00911998" w:rsidRDefault="009822B8" w:rsidP="002D106E">
      <w:pPr>
        <w:pStyle w:val="Paragrsimple"/>
        <w:tabs>
          <w:tab w:val="clear" w:pos="360"/>
        </w:tabs>
      </w:pPr>
      <w:r w:rsidRPr="00911998">
        <w:t xml:space="preserve">La protection offerte par l’article 1 de la </w:t>
      </w:r>
      <w:r w:rsidRPr="00911998">
        <w:rPr>
          <w:i/>
          <w:iCs/>
        </w:rPr>
        <w:t xml:space="preserve">Charte québécoise </w:t>
      </w:r>
      <w:r w:rsidRPr="00911998">
        <w:t xml:space="preserve">est similaire mais </w:t>
      </w:r>
      <w:r w:rsidR="0082315B" w:rsidRPr="00911998">
        <w:t>néanmoins</w:t>
      </w:r>
      <w:r w:rsidRPr="00911998">
        <w:t xml:space="preserve"> plus vaste que celle conférée par l’article 7 de la </w:t>
      </w:r>
      <w:r w:rsidRPr="00911998">
        <w:rPr>
          <w:i/>
          <w:iCs/>
        </w:rPr>
        <w:t>Charte canadienne</w:t>
      </w:r>
      <w:r w:rsidR="0082315B" w:rsidRPr="00911998">
        <w:rPr>
          <w:rStyle w:val="Appelnotedebasdep"/>
        </w:rPr>
        <w:footnoteReference w:id="123"/>
      </w:r>
      <w:r w:rsidRPr="00911998">
        <w:t xml:space="preserve">. </w:t>
      </w:r>
    </w:p>
    <w:p w14:paraId="63F2F79A" w14:textId="3A6DD127" w:rsidR="00B723EA" w:rsidRPr="00911998" w:rsidRDefault="009822B8" w:rsidP="002D106E">
      <w:pPr>
        <w:pStyle w:val="Paragrsimple"/>
        <w:tabs>
          <w:tab w:val="clear" w:pos="360"/>
        </w:tabs>
      </w:pPr>
      <w:r w:rsidRPr="00911998">
        <w:t xml:space="preserve">Le plaideur qui invoque une atteinte à l’article 1 de la </w:t>
      </w:r>
      <w:r w:rsidRPr="00911998">
        <w:rPr>
          <w:i/>
          <w:iCs/>
        </w:rPr>
        <w:t xml:space="preserve">Charte québécoise </w:t>
      </w:r>
      <w:r w:rsidR="00675DD5" w:rsidRPr="00911998">
        <w:t>doit simplement</w:t>
      </w:r>
      <w:r w:rsidRPr="00911998">
        <w:t xml:space="preserve"> établir </w:t>
      </w:r>
      <w:r w:rsidR="00675DD5" w:rsidRPr="00911998">
        <w:t>une atteinte à l’</w:t>
      </w:r>
      <w:r w:rsidRPr="00911998">
        <w:t xml:space="preserve">un des droits </w:t>
      </w:r>
      <w:r w:rsidR="00CD5B6B" w:rsidRPr="00911998">
        <w:t xml:space="preserve">garantis par cette disposition. À la différence de l’article 7 de la </w:t>
      </w:r>
      <w:r w:rsidR="00CD5B6B" w:rsidRPr="00911998">
        <w:rPr>
          <w:i/>
          <w:iCs/>
        </w:rPr>
        <w:t>Charte canadienne</w:t>
      </w:r>
      <w:r w:rsidR="00CD5B6B" w:rsidRPr="00911998">
        <w:t>, il n</w:t>
      </w:r>
      <w:r w:rsidR="00675DD5" w:rsidRPr="00911998">
        <w:t xml:space="preserve">e supporte </w:t>
      </w:r>
      <w:r w:rsidR="00CD5B6B" w:rsidRPr="00911998">
        <w:t>pas le fardeau</w:t>
      </w:r>
      <w:r w:rsidR="00C86A71" w:rsidRPr="00911998">
        <w:t xml:space="preserve"> additionnel</w:t>
      </w:r>
      <w:r w:rsidR="00CD5B6B" w:rsidRPr="00911998">
        <w:t xml:space="preserve"> de démontrer qu</w:t>
      </w:r>
      <w:r w:rsidR="00675DD5" w:rsidRPr="00911998">
        <w:t>e l’atteinte n’</w:t>
      </w:r>
      <w:r w:rsidR="00CD5B6B" w:rsidRPr="00911998">
        <w:t>e</w:t>
      </w:r>
      <w:r w:rsidR="00675DD5" w:rsidRPr="00911998">
        <w:t>st pas conforme aux principes de justice fondamentale</w:t>
      </w:r>
      <w:r w:rsidR="00675DD5" w:rsidRPr="00911998">
        <w:rPr>
          <w:rStyle w:val="Appelnotedebasdep"/>
        </w:rPr>
        <w:footnoteReference w:id="124"/>
      </w:r>
      <w:r w:rsidR="00675DD5" w:rsidRPr="00911998">
        <w:t>.</w:t>
      </w:r>
      <w:r w:rsidR="00CD5B6B" w:rsidRPr="00911998">
        <w:t xml:space="preserve"> </w:t>
      </w:r>
      <w:r w:rsidR="003706C9" w:rsidRPr="00911998">
        <w:t xml:space="preserve">Dans le cas d’une </w:t>
      </w:r>
      <w:r w:rsidR="009B1DDE" w:rsidRPr="00911998">
        <w:t>atteinte à un droit garanti par l’article 1, le fardeau de l</w:t>
      </w:r>
      <w:r w:rsidR="0082315B" w:rsidRPr="00911998">
        <w:t>a</w:t>
      </w:r>
      <w:r w:rsidR="009B1DDE" w:rsidRPr="00911998">
        <w:t xml:space="preserve"> justifier aux termes de l’article 9.1 de la </w:t>
      </w:r>
      <w:r w:rsidR="009B1DDE" w:rsidRPr="00911998">
        <w:rPr>
          <w:i/>
          <w:iCs/>
        </w:rPr>
        <w:t xml:space="preserve">Charte québécoise </w:t>
      </w:r>
      <w:r w:rsidR="009B1DDE" w:rsidRPr="00911998">
        <w:t>repose sur l’État.</w:t>
      </w:r>
    </w:p>
    <w:p w14:paraId="42A4CB73" w14:textId="1EBADD67" w:rsidR="00B723EA" w:rsidRPr="00911998" w:rsidRDefault="00675DD5" w:rsidP="00B723EA">
      <w:pPr>
        <w:pStyle w:val="Paragrsimple"/>
        <w:tabs>
          <w:tab w:val="clear" w:pos="360"/>
        </w:tabs>
      </w:pPr>
      <w:r w:rsidRPr="00911998">
        <w:t>Pour ce qui est</w:t>
      </w:r>
      <w:r w:rsidR="00BF293F" w:rsidRPr="00911998">
        <w:t xml:space="preserve"> du</w:t>
      </w:r>
      <w:r w:rsidRPr="00911998">
        <w:t xml:space="preserve"> </w:t>
      </w:r>
      <w:r w:rsidR="00BF293F" w:rsidRPr="00911998">
        <w:t>droit à la liberté garanti</w:t>
      </w:r>
      <w:r w:rsidRPr="00911998">
        <w:t xml:space="preserve"> par l’article 1 de la </w:t>
      </w:r>
      <w:r w:rsidRPr="00911998">
        <w:rPr>
          <w:i/>
          <w:iCs/>
        </w:rPr>
        <w:t>Charte québécoise</w:t>
      </w:r>
      <w:r w:rsidRPr="00911998">
        <w:t xml:space="preserve">, </w:t>
      </w:r>
      <w:r w:rsidR="00BF293F" w:rsidRPr="00911998">
        <w:t>il a</w:t>
      </w:r>
      <w:r w:rsidRPr="00911998">
        <w:t xml:space="preserve"> la même porté</w:t>
      </w:r>
      <w:r w:rsidR="00BF293F" w:rsidRPr="00911998">
        <w:t xml:space="preserve">e que </w:t>
      </w:r>
      <w:r w:rsidR="0082315B" w:rsidRPr="00911998">
        <w:t>celui garanti par</w:t>
      </w:r>
      <w:r w:rsidR="00BF293F" w:rsidRPr="00911998">
        <w:t xml:space="preserve"> l’article 7 de la </w:t>
      </w:r>
      <w:r w:rsidR="00BF293F" w:rsidRPr="00911998">
        <w:rPr>
          <w:i/>
          <w:iCs/>
        </w:rPr>
        <w:t>Charte canadienne</w:t>
      </w:r>
      <w:r w:rsidR="00BF293F" w:rsidRPr="00911998">
        <w:rPr>
          <w:rStyle w:val="Appelnotedebasdep"/>
        </w:rPr>
        <w:footnoteReference w:id="125"/>
      </w:r>
      <w:r w:rsidR="00BF293F" w:rsidRPr="00911998">
        <w:t xml:space="preserve">. </w:t>
      </w:r>
      <w:r w:rsidR="0082315B" w:rsidRPr="00911998">
        <w:t>P</w:t>
      </w:r>
      <w:r w:rsidR="00BF293F" w:rsidRPr="00911998">
        <w:t xml:space="preserve">our les </w:t>
      </w:r>
      <w:r w:rsidR="00BF293F" w:rsidRPr="00911998">
        <w:lastRenderedPageBreak/>
        <w:t xml:space="preserve">motifs exposés relativement à l’article 7 de la </w:t>
      </w:r>
      <w:r w:rsidR="00BF293F" w:rsidRPr="00911998">
        <w:rPr>
          <w:i/>
          <w:iCs/>
        </w:rPr>
        <w:t>Charte canadienne</w:t>
      </w:r>
      <w:r w:rsidR="00BF293F" w:rsidRPr="00911998">
        <w:t xml:space="preserve">, les Demandeurs n’ont pas démontré une atteinte </w:t>
      </w:r>
      <w:r w:rsidR="0082315B" w:rsidRPr="00911998">
        <w:t>à leur</w:t>
      </w:r>
      <w:r w:rsidR="00BF293F" w:rsidRPr="00911998">
        <w:t xml:space="preserve"> droit à la liberté protégé par l’article 1</w:t>
      </w:r>
      <w:r w:rsidR="0082315B" w:rsidRPr="00911998">
        <w:t> </w:t>
      </w:r>
      <w:r w:rsidR="00BF293F" w:rsidRPr="00911998">
        <w:t xml:space="preserve">de la </w:t>
      </w:r>
      <w:r w:rsidR="00BF293F" w:rsidRPr="00911998">
        <w:rPr>
          <w:i/>
          <w:iCs/>
        </w:rPr>
        <w:t>Charte québécoise</w:t>
      </w:r>
      <w:r w:rsidR="00BF293F" w:rsidRPr="00911998">
        <w:t>.</w:t>
      </w:r>
    </w:p>
    <w:p w14:paraId="3E5753CE" w14:textId="77F6FA01" w:rsidR="009B1DDE" w:rsidRPr="00911998" w:rsidRDefault="0082315B" w:rsidP="00C454E1">
      <w:pPr>
        <w:pStyle w:val="Paragrsimple"/>
        <w:tabs>
          <w:tab w:val="clear" w:pos="360"/>
        </w:tabs>
      </w:pPr>
      <w:r w:rsidRPr="00911998">
        <w:t>En revanche</w:t>
      </w:r>
      <w:r w:rsidR="00BF293F" w:rsidRPr="00911998">
        <w:t xml:space="preserve">, le droit à l’intégrité de l’article 1 de la </w:t>
      </w:r>
      <w:r w:rsidR="00BF293F" w:rsidRPr="00911998">
        <w:rPr>
          <w:i/>
          <w:iCs/>
        </w:rPr>
        <w:t xml:space="preserve">Charte québécoise </w:t>
      </w:r>
      <w:r w:rsidR="00BF293F" w:rsidRPr="00911998">
        <w:t xml:space="preserve">a une portée plus vaste que la sécurité de la personne </w:t>
      </w:r>
      <w:r w:rsidR="00C86A71" w:rsidRPr="00911998">
        <w:t>à</w:t>
      </w:r>
      <w:r w:rsidR="00BF293F" w:rsidRPr="00911998">
        <w:t xml:space="preserve"> l’article 7 de la </w:t>
      </w:r>
      <w:r w:rsidR="00BF293F" w:rsidRPr="00911998">
        <w:rPr>
          <w:i/>
          <w:iCs/>
        </w:rPr>
        <w:t>Charte canadienne</w:t>
      </w:r>
      <w:r w:rsidR="00BF293F" w:rsidRPr="00911998">
        <w:rPr>
          <w:rStyle w:val="Appelnotedebasdep"/>
        </w:rPr>
        <w:footnoteReference w:id="126"/>
      </w:r>
      <w:r w:rsidR="00BF293F" w:rsidRPr="00911998">
        <w:t>.</w:t>
      </w:r>
      <w:r w:rsidR="009B1DDE" w:rsidRPr="00911998">
        <w:t xml:space="preserve"> Cela dit, les Demandeurs n’invoquent pas d’arguments en lien avec le droit à l’intégrité qui sont distincts de ceux proposés à l’égard de la sécurité de la personne</w:t>
      </w:r>
      <w:r w:rsidRPr="00911998">
        <w:t xml:space="preserve"> </w:t>
      </w:r>
      <w:r w:rsidR="00C86A71" w:rsidRPr="00911998">
        <w:t xml:space="preserve">garantie par la </w:t>
      </w:r>
      <w:r w:rsidR="00C86A71" w:rsidRPr="00911998">
        <w:rPr>
          <w:i/>
          <w:iCs/>
        </w:rPr>
        <w:t>Charte canadienne</w:t>
      </w:r>
      <w:r w:rsidR="009B1DDE" w:rsidRPr="00911998">
        <w:t xml:space="preserve">. Dans les circonstances, pour les motifs déjà exposés relativement au droit à la sécurité de la personne, les Demandeurs n’ont pas </w:t>
      </w:r>
      <w:r w:rsidR="00A4607F" w:rsidRPr="00911998">
        <w:t>réussi à démontrer</w:t>
      </w:r>
      <w:r w:rsidR="009B1DDE" w:rsidRPr="00911998">
        <w:t xml:space="preserve"> une atteinte au droit à l’intégrité </w:t>
      </w:r>
      <w:r w:rsidRPr="00911998">
        <w:t xml:space="preserve">de la personne </w:t>
      </w:r>
      <w:r w:rsidR="009B1DDE" w:rsidRPr="00911998">
        <w:t xml:space="preserve">garanti par l’article 1 de la </w:t>
      </w:r>
      <w:r w:rsidR="009B1DDE" w:rsidRPr="00911998">
        <w:rPr>
          <w:i/>
          <w:iCs/>
        </w:rPr>
        <w:t>Charte québécoise</w:t>
      </w:r>
      <w:r w:rsidR="009B1DDE" w:rsidRPr="00911998">
        <w:t>.</w:t>
      </w:r>
    </w:p>
    <w:p w14:paraId="5F6E242B" w14:textId="77777777" w:rsidR="00E0568B" w:rsidRPr="00911998" w:rsidRDefault="00E0568B" w:rsidP="00E0568B">
      <w:pPr>
        <w:pStyle w:val="Titre3"/>
      </w:pPr>
      <w:bookmarkStart w:id="47" w:name="_Toc196463729"/>
      <w:r w:rsidRPr="00911998">
        <w:t>Le droit à la sauvegarde de la dignité</w:t>
      </w:r>
      <w:bookmarkEnd w:id="47"/>
    </w:p>
    <w:p w14:paraId="1F6E7365" w14:textId="77777777" w:rsidR="00E0568B" w:rsidRPr="00911998" w:rsidRDefault="00E0568B" w:rsidP="00E0568B">
      <w:pPr>
        <w:pStyle w:val="Paragrsimple"/>
        <w:tabs>
          <w:tab w:val="clear" w:pos="360"/>
        </w:tabs>
        <w:rPr>
          <w:sz w:val="22"/>
          <w:szCs w:val="22"/>
        </w:rPr>
      </w:pPr>
      <w:r w:rsidRPr="00911998">
        <w:t>Les Demandeurs dans le Dossier de la Coalition plaident que la non</w:t>
      </w:r>
      <w:r w:rsidRPr="00911998">
        <w:noBreakHyphen/>
        <w:t xml:space="preserve">reconnaissance de plus de deux liens de filiation porte atteinte au droit à la sauvegarde de la dignité protégé par l’article 4 de la </w:t>
      </w:r>
      <w:r w:rsidRPr="00911998">
        <w:rPr>
          <w:i/>
          <w:iCs/>
        </w:rPr>
        <w:t>Charte québécoise </w:t>
      </w:r>
      <w:r w:rsidRPr="00911998">
        <w:t>:</w:t>
      </w:r>
    </w:p>
    <w:tbl>
      <w:tblPr>
        <w:tblStyle w:val="Grilledutableau"/>
        <w:tblW w:w="0" w:type="auto"/>
        <w:tblInd w:w="279" w:type="dxa"/>
        <w:tblLook w:val="04A0" w:firstRow="1" w:lastRow="0" w:firstColumn="1" w:lastColumn="0" w:noHBand="0" w:noVBand="1"/>
      </w:tblPr>
      <w:tblGrid>
        <w:gridCol w:w="4394"/>
        <w:gridCol w:w="4536"/>
      </w:tblGrid>
      <w:tr w:rsidR="000E19AB" w:rsidRPr="00C62C88" w14:paraId="398BE81D" w14:textId="77777777" w:rsidTr="008C5704">
        <w:tc>
          <w:tcPr>
            <w:tcW w:w="4394" w:type="dxa"/>
          </w:tcPr>
          <w:p w14:paraId="6B4DAC9A" w14:textId="77777777" w:rsidR="00E0568B" w:rsidRPr="00911998" w:rsidRDefault="00E0568B" w:rsidP="008C5704">
            <w:pPr>
              <w:pStyle w:val="Paragrsimple"/>
              <w:numPr>
                <w:ilvl w:val="0"/>
                <w:numId w:val="0"/>
              </w:numPr>
              <w:rPr>
                <w:sz w:val="22"/>
                <w:szCs w:val="22"/>
                <w:lang w:eastAsia="fr-CA"/>
              </w:rPr>
            </w:pPr>
            <w:r w:rsidRPr="00911998">
              <w:rPr>
                <w:b/>
                <w:bCs/>
                <w:sz w:val="22"/>
                <w:szCs w:val="22"/>
              </w:rPr>
              <w:t>4.</w:t>
            </w:r>
            <w:r w:rsidRPr="00911998">
              <w:rPr>
                <w:sz w:val="22"/>
                <w:szCs w:val="22"/>
              </w:rPr>
              <w:t>  </w:t>
            </w:r>
            <w:r w:rsidRPr="00911998">
              <w:rPr>
                <w:rFonts w:cs="Arial"/>
                <w:sz w:val="22"/>
                <w:szCs w:val="22"/>
              </w:rPr>
              <w:t>Toute personne a droit à la sauvegarde de sa dignité, de son honneur et de sa réputation.</w:t>
            </w:r>
          </w:p>
        </w:tc>
        <w:tc>
          <w:tcPr>
            <w:tcW w:w="4536" w:type="dxa"/>
          </w:tcPr>
          <w:p w14:paraId="1DE371A7" w14:textId="77777777" w:rsidR="00E0568B" w:rsidRPr="00911998" w:rsidRDefault="00E0568B" w:rsidP="008C5704">
            <w:pPr>
              <w:pStyle w:val="Paragrsimple"/>
              <w:numPr>
                <w:ilvl w:val="0"/>
                <w:numId w:val="0"/>
              </w:numPr>
              <w:rPr>
                <w:i/>
                <w:iCs/>
                <w:sz w:val="22"/>
                <w:szCs w:val="22"/>
                <w:lang w:val="en-CA"/>
              </w:rPr>
            </w:pPr>
            <w:r w:rsidRPr="00911998">
              <w:rPr>
                <w:b/>
                <w:bCs/>
                <w:i/>
                <w:iCs/>
                <w:sz w:val="22"/>
                <w:szCs w:val="22"/>
                <w:lang w:val="en-CA"/>
              </w:rPr>
              <w:t>4.  </w:t>
            </w:r>
            <w:r w:rsidRPr="00911998">
              <w:rPr>
                <w:rFonts w:cs="Arial"/>
                <w:i/>
                <w:iCs/>
                <w:sz w:val="22"/>
                <w:szCs w:val="22"/>
                <w:lang w:val="en-CA"/>
              </w:rPr>
              <w:t>Every person has a right to the safeguard of his dignity, honour and reputation.</w:t>
            </w:r>
            <w:hyperlink r:id="rId40" w:anchor="se:54" w:history="1"/>
          </w:p>
        </w:tc>
      </w:tr>
    </w:tbl>
    <w:p w14:paraId="47546F36" w14:textId="77777777" w:rsidR="00E0568B" w:rsidRPr="00911998" w:rsidRDefault="00E0568B" w:rsidP="00E0568B">
      <w:pPr>
        <w:pStyle w:val="Paragrsimple"/>
        <w:tabs>
          <w:tab w:val="clear" w:pos="360"/>
        </w:tabs>
        <w:rPr>
          <w:rFonts w:cs="Arial"/>
        </w:rPr>
      </w:pPr>
      <w:r w:rsidRPr="00911998">
        <w:rPr>
          <w:rFonts w:cs="Arial"/>
        </w:rPr>
        <w:t xml:space="preserve">Dans l’arrêt </w:t>
      </w:r>
      <w:r w:rsidRPr="00911998">
        <w:rPr>
          <w:rFonts w:cs="Arial"/>
          <w:i/>
          <w:iCs/>
        </w:rPr>
        <w:t>Hôpital St</w:t>
      </w:r>
      <w:r w:rsidRPr="00911998">
        <w:rPr>
          <w:rFonts w:cs="Arial"/>
          <w:i/>
          <w:iCs/>
        </w:rPr>
        <w:noBreakHyphen/>
        <w:t>Ferdinand</w:t>
      </w:r>
      <w:r w:rsidRPr="00911998">
        <w:rPr>
          <w:rFonts w:cs="Arial"/>
        </w:rPr>
        <w:t>, la juge L’Heureux</w:t>
      </w:r>
      <w:r w:rsidRPr="00911998">
        <w:rPr>
          <w:rFonts w:cs="Arial"/>
        </w:rPr>
        <w:noBreakHyphen/>
        <w:t xml:space="preserve">Dubé explique que l’article 4 de la </w:t>
      </w:r>
      <w:r w:rsidRPr="00911998">
        <w:rPr>
          <w:rFonts w:cs="Arial"/>
          <w:i/>
          <w:iCs/>
        </w:rPr>
        <w:t>Charte québécoise</w:t>
      </w:r>
      <w:r w:rsidRPr="00911998">
        <w:rPr>
          <w:rFonts w:cs="Arial"/>
        </w:rPr>
        <w:t xml:space="preserve"> « vise les atteintes aux attributs fondamentaux de l’être humain qui contreviennent au respect auquel toute personne a droit du seul fait qu’elle est un être humain et au respect qu’elle se doit à elle-même »</w:t>
      </w:r>
      <w:r w:rsidRPr="00911998">
        <w:rPr>
          <w:rStyle w:val="Appelnotedebasdep"/>
          <w:rFonts w:cs="Arial"/>
        </w:rPr>
        <w:footnoteReference w:id="127"/>
      </w:r>
      <w:r w:rsidRPr="00911998">
        <w:rPr>
          <w:rFonts w:cs="Arial"/>
        </w:rPr>
        <w:t>. </w:t>
      </w:r>
    </w:p>
    <w:p w14:paraId="0D3B39D2" w14:textId="77777777" w:rsidR="00E0568B" w:rsidRPr="00911998" w:rsidRDefault="00E0568B" w:rsidP="00E0568B">
      <w:pPr>
        <w:pStyle w:val="Paragrsimple"/>
        <w:tabs>
          <w:tab w:val="clear" w:pos="360"/>
        </w:tabs>
        <w:rPr>
          <w:rFonts w:cs="Arial"/>
        </w:rPr>
      </w:pPr>
      <w:r w:rsidRPr="00911998">
        <w:rPr>
          <w:rFonts w:cs="Arial"/>
        </w:rPr>
        <w:t>En somme, c’est l’humanité essentielle de chaque personne, dans ses attributs les plus fondamentaux, qui est au cœur de la protection créée par le droit à la sauvegarde de la dignité</w:t>
      </w:r>
      <w:r w:rsidRPr="00911998">
        <w:rPr>
          <w:rStyle w:val="Appelnotedebasdep"/>
        </w:rPr>
        <w:footnoteReference w:id="128"/>
      </w:r>
      <w:r w:rsidRPr="00911998">
        <w:rPr>
          <w:rFonts w:cs="Arial"/>
        </w:rPr>
        <w:t xml:space="preserve">. Le juge en chef Wagner et la juge Côté ajoutent dans l’arrêt </w:t>
      </w:r>
      <w:r w:rsidRPr="00911998">
        <w:rPr>
          <w:rFonts w:cs="Arial"/>
          <w:i/>
          <w:iCs/>
        </w:rPr>
        <w:t>Ward</w:t>
      </w:r>
      <w:r w:rsidRPr="00911998">
        <w:rPr>
          <w:rFonts w:cs="Arial"/>
        </w:rPr>
        <w:t xml:space="preserve"> que « l</w:t>
      </w:r>
      <w:r w:rsidRPr="00911998">
        <w:t>a dignité est cette qualité inhérente à chaque être humain “dont la reconnaissance définit en quelque sorte la civilisation, et la méconnaissance, la barbarie” »</w:t>
      </w:r>
      <w:r w:rsidRPr="00911998">
        <w:rPr>
          <w:rStyle w:val="Appelnotedebasdep"/>
        </w:rPr>
        <w:footnoteReference w:id="129"/>
      </w:r>
      <w:r w:rsidRPr="00911998">
        <w:t>.</w:t>
      </w:r>
    </w:p>
    <w:p w14:paraId="3425E08B" w14:textId="77777777" w:rsidR="00E0568B" w:rsidRPr="00911998" w:rsidRDefault="00E0568B" w:rsidP="00E0568B">
      <w:pPr>
        <w:pStyle w:val="Paragrsimple"/>
        <w:tabs>
          <w:tab w:val="clear" w:pos="360"/>
        </w:tabs>
      </w:pPr>
      <w:r w:rsidRPr="00911998">
        <w:lastRenderedPageBreak/>
        <w:t>Dans ce même arrêt, face à une certaine tendance jurisprudentielle ayant pour effet d’élargir la protection offerte par le droit à la sauvegarde de la dignité, le juge en chef Wagner et la juge Côté resserrent l’approche applicable, précisant que</w:t>
      </w:r>
      <w:r w:rsidRPr="00911998">
        <w:rPr>
          <w:rStyle w:val="Appelnotedebasdep"/>
        </w:rPr>
        <w:footnoteReference w:id="130"/>
      </w:r>
      <w:r w:rsidRPr="00911998">
        <w:t> :</w:t>
      </w:r>
    </w:p>
    <w:p w14:paraId="2C23F144" w14:textId="26E95347" w:rsidR="00E0568B" w:rsidRPr="00911998" w:rsidRDefault="00E0568B" w:rsidP="00E0568B">
      <w:pPr>
        <w:ind w:left="567" w:right="560"/>
        <w:jc w:val="both"/>
        <w:rPr>
          <w:sz w:val="22"/>
          <w:szCs w:val="22"/>
        </w:rPr>
      </w:pPr>
      <w:r w:rsidRPr="00911998">
        <w:rPr>
          <w:sz w:val="22"/>
          <w:szCs w:val="22"/>
        </w:rPr>
        <w:t>[</w:t>
      </w:r>
      <w:bookmarkStart w:id="48" w:name="par57"/>
      <w:r w:rsidRPr="00911998">
        <w:rPr>
          <w:sz w:val="22"/>
          <w:szCs w:val="22"/>
        </w:rPr>
        <w:t>57</w:t>
      </w:r>
      <w:bookmarkEnd w:id="48"/>
      <w:proofErr w:type="gramStart"/>
      <w:r w:rsidRPr="00911998">
        <w:rPr>
          <w:sz w:val="22"/>
          <w:szCs w:val="22"/>
        </w:rPr>
        <w:t>]  </w:t>
      </w:r>
      <w:r w:rsidRPr="00911998">
        <w:rPr>
          <w:rFonts w:cs="Arial"/>
          <w:sz w:val="22"/>
          <w:szCs w:val="22"/>
        </w:rPr>
        <w:t>[</w:t>
      </w:r>
      <w:proofErr w:type="gramEnd"/>
      <w:r w:rsidRPr="00911998">
        <w:rPr>
          <w:rFonts w:cs="Arial"/>
          <w:sz w:val="22"/>
          <w:szCs w:val="22"/>
        </w:rPr>
        <w:t xml:space="preserve">…] </w:t>
      </w:r>
      <w:r w:rsidRPr="00911998">
        <w:rPr>
          <w:sz w:val="22"/>
          <w:szCs w:val="22"/>
        </w:rPr>
        <w:t>Pour contrevenir à l’art. 4 de la </w:t>
      </w:r>
      <w:r w:rsidRPr="00911998">
        <w:rPr>
          <w:i/>
          <w:iCs/>
          <w:sz w:val="22"/>
          <w:szCs w:val="22"/>
        </w:rPr>
        <w:t>Charte québécoise</w:t>
      </w:r>
      <w:r w:rsidRPr="00911998">
        <w:rPr>
          <w:sz w:val="22"/>
          <w:szCs w:val="22"/>
        </w:rPr>
        <w:t>, une conduite doit atteindre un degré de gravité élevé qui ne banalise pas cette notion chargée de sens. Une telle conduite ne saurait faire l’objet d’une appréciation purement subjective. Une analyse objective s’impose, puisque la dignité « n’a pas pour horizon la protection d’une personne particulière, ni même d’une catégorie de personnes, mais de l’humanité en général » (Fabre-Magnan, p. 21).</w:t>
      </w:r>
    </w:p>
    <w:p w14:paraId="79EB7D17" w14:textId="77777777" w:rsidR="00E0568B" w:rsidRPr="00911998" w:rsidRDefault="00E0568B" w:rsidP="00E0568B">
      <w:pPr>
        <w:ind w:left="567" w:right="560"/>
        <w:jc w:val="both"/>
        <w:rPr>
          <w:rFonts w:ascii="Times New Roman" w:hAnsi="Times New Roman"/>
          <w:sz w:val="22"/>
          <w:szCs w:val="22"/>
          <w:lang w:eastAsia="fr-CA"/>
        </w:rPr>
      </w:pPr>
    </w:p>
    <w:p w14:paraId="5A2ACED2" w14:textId="77777777" w:rsidR="00E0568B" w:rsidRPr="00911998" w:rsidRDefault="00E0568B" w:rsidP="00E0568B">
      <w:pPr>
        <w:ind w:left="567" w:right="560"/>
        <w:jc w:val="both"/>
        <w:rPr>
          <w:sz w:val="22"/>
          <w:szCs w:val="22"/>
        </w:rPr>
      </w:pPr>
      <w:r w:rsidRPr="00911998">
        <w:rPr>
          <w:sz w:val="22"/>
          <w:szCs w:val="22"/>
        </w:rPr>
        <w:t>[</w:t>
      </w:r>
      <w:bookmarkStart w:id="49" w:name="par58"/>
      <w:proofErr w:type="gramStart"/>
      <w:r w:rsidRPr="00911998">
        <w:rPr>
          <w:sz w:val="22"/>
          <w:szCs w:val="22"/>
        </w:rPr>
        <w:t>58</w:t>
      </w:r>
      <w:bookmarkEnd w:id="49"/>
      <w:r w:rsidRPr="00911998">
        <w:rPr>
          <w:sz w:val="22"/>
          <w:szCs w:val="22"/>
        </w:rPr>
        <w:t>  </w:t>
      </w:r>
      <w:r w:rsidRPr="00911998">
        <w:rPr>
          <w:rFonts w:cs="Arial"/>
          <w:sz w:val="22"/>
          <w:szCs w:val="22"/>
        </w:rPr>
        <w:t>[</w:t>
      </w:r>
      <w:proofErr w:type="gramEnd"/>
      <w:r w:rsidRPr="00911998">
        <w:rPr>
          <w:rFonts w:cs="Arial"/>
          <w:sz w:val="22"/>
          <w:szCs w:val="22"/>
        </w:rPr>
        <w:t xml:space="preserve">…] </w:t>
      </w:r>
      <w:r w:rsidRPr="00911998">
        <w:rPr>
          <w:sz w:val="22"/>
          <w:szCs w:val="22"/>
        </w:rPr>
        <w:t>Lorsqu’une personne se voit privée de son humanité par l’infliction de traitements qui l’avilissent, l’asservissent, la réifient, l’humilient ou la dégradent, sa dignité est indéniablement bafouée. En ce sens, le droit à la sauvegarde de la dignité constitue un bouclier contre ce type d’atteintes qui ne font pas moins que révolter la conscience de la société.</w:t>
      </w:r>
    </w:p>
    <w:p w14:paraId="374D24AF" w14:textId="7602C237" w:rsidR="00E0568B" w:rsidRPr="00911998" w:rsidRDefault="008D224B" w:rsidP="00E0568B">
      <w:pPr>
        <w:pStyle w:val="Paragrsimple"/>
        <w:tabs>
          <w:tab w:val="clear" w:pos="360"/>
        </w:tabs>
      </w:pPr>
      <w:r w:rsidRPr="00911998">
        <w:t>En d’autres termes,</w:t>
      </w:r>
      <w:r w:rsidR="00E0568B" w:rsidRPr="00911998">
        <w:t xml:space="preserve"> pour porter atteinte au droit à la sauvegarde de la dignité, la conduite en cause doit être d’une gravité objective certaine. Or, les conséquences de la non</w:t>
      </w:r>
      <w:r w:rsidR="00E0568B" w:rsidRPr="00911998">
        <w:noBreakHyphen/>
        <w:t>reconnaissance de plus de deux liens de filiation en droit québécois telles que révélées par la preuve — anxiété, stress minoritaire, micro</w:t>
      </w:r>
      <w:r w:rsidR="00E0568B" w:rsidRPr="00911998">
        <w:noBreakHyphen/>
        <w:t xml:space="preserve">agressions etc. — </w:t>
      </w:r>
      <w:r w:rsidR="00E77265" w:rsidRPr="00911998">
        <w:t>n’atteignent pas le niveau de</w:t>
      </w:r>
      <w:r w:rsidR="00E0568B" w:rsidRPr="00911998">
        <w:t xml:space="preserve"> gravité requis pour établir une atteinte au droit à la sauvegarde de la dignité</w:t>
      </w:r>
      <w:r w:rsidR="00E0568B" w:rsidRPr="00911998">
        <w:rPr>
          <w:rStyle w:val="Appelnotedebasdep"/>
        </w:rPr>
        <w:footnoteReference w:id="131"/>
      </w:r>
      <w:r w:rsidR="00E0568B" w:rsidRPr="00911998">
        <w:t>.</w:t>
      </w:r>
    </w:p>
    <w:p w14:paraId="2585119C" w14:textId="77777777" w:rsidR="00E0568B" w:rsidRPr="00911998" w:rsidRDefault="00E0568B" w:rsidP="00E0568B">
      <w:pPr>
        <w:pStyle w:val="Titre3"/>
        <w:rPr>
          <w:b w:val="0"/>
          <w:bCs/>
        </w:rPr>
      </w:pPr>
      <w:bookmarkStart w:id="50" w:name="_Toc196463730"/>
      <w:r w:rsidRPr="00911998">
        <w:t>Le droit à la vie privée</w:t>
      </w:r>
      <w:bookmarkEnd w:id="50"/>
    </w:p>
    <w:p w14:paraId="52327DBA" w14:textId="67125CB1" w:rsidR="002579C0" w:rsidRPr="00911998" w:rsidRDefault="00E0568B" w:rsidP="00E0568B">
      <w:pPr>
        <w:pStyle w:val="Paragrsimple"/>
        <w:tabs>
          <w:tab w:val="clear" w:pos="360"/>
        </w:tabs>
      </w:pPr>
      <w:r w:rsidRPr="00911998">
        <w:t xml:space="preserve">Les Demandeurs dans le </w:t>
      </w:r>
      <w:r w:rsidR="008F5FBC" w:rsidRPr="00911998">
        <w:t>Dossier de la Coalition</w:t>
      </w:r>
      <w:r w:rsidRPr="00911998">
        <w:t xml:space="preserve"> plaident que la non</w:t>
      </w:r>
      <w:r w:rsidRPr="00911998">
        <w:noBreakHyphen/>
        <w:t xml:space="preserve">reconnaissance de plus </w:t>
      </w:r>
      <w:r w:rsidR="00D0615E" w:rsidRPr="00911998">
        <w:t xml:space="preserve">de </w:t>
      </w:r>
      <w:r w:rsidRPr="00911998">
        <w:t xml:space="preserve">deux liens de filiation porte atteinte au droit à la vie privée protégé par l’article 5 de la </w:t>
      </w:r>
      <w:r w:rsidRPr="00911998">
        <w:rPr>
          <w:i/>
          <w:iCs/>
        </w:rPr>
        <w:t>Charte québécoise</w:t>
      </w:r>
      <w:r w:rsidR="002579C0" w:rsidRPr="00911998">
        <w:rPr>
          <w:i/>
          <w:iCs/>
        </w:rPr>
        <w:t> </w:t>
      </w:r>
      <w:r w:rsidR="002579C0" w:rsidRPr="00911998">
        <w:t>:</w:t>
      </w:r>
    </w:p>
    <w:tbl>
      <w:tblPr>
        <w:tblStyle w:val="Grilledutableau"/>
        <w:tblW w:w="0" w:type="auto"/>
        <w:tblInd w:w="279" w:type="dxa"/>
        <w:tblLook w:val="04A0" w:firstRow="1" w:lastRow="0" w:firstColumn="1" w:lastColumn="0" w:noHBand="0" w:noVBand="1"/>
      </w:tblPr>
      <w:tblGrid>
        <w:gridCol w:w="4394"/>
        <w:gridCol w:w="4536"/>
      </w:tblGrid>
      <w:tr w:rsidR="000E19AB" w:rsidRPr="00C62C88" w14:paraId="069D6384" w14:textId="77777777" w:rsidTr="00B571DC">
        <w:tc>
          <w:tcPr>
            <w:tcW w:w="4394" w:type="dxa"/>
          </w:tcPr>
          <w:p w14:paraId="7A4C688C" w14:textId="773B8B8B" w:rsidR="002579C0" w:rsidRPr="00911998" w:rsidRDefault="002579C0" w:rsidP="00B571DC">
            <w:pPr>
              <w:pStyle w:val="Paragrsimple"/>
              <w:numPr>
                <w:ilvl w:val="0"/>
                <w:numId w:val="0"/>
              </w:numPr>
              <w:rPr>
                <w:sz w:val="22"/>
                <w:szCs w:val="22"/>
                <w:lang w:eastAsia="fr-CA"/>
              </w:rPr>
            </w:pPr>
            <w:r w:rsidRPr="00911998">
              <w:rPr>
                <w:b/>
                <w:bCs/>
                <w:sz w:val="22"/>
                <w:szCs w:val="22"/>
              </w:rPr>
              <w:t>5.</w:t>
            </w:r>
            <w:r w:rsidRPr="00911998">
              <w:rPr>
                <w:sz w:val="22"/>
                <w:szCs w:val="22"/>
              </w:rPr>
              <w:t>  </w:t>
            </w:r>
            <w:r w:rsidRPr="00911998">
              <w:rPr>
                <w:rFonts w:cs="Arial"/>
                <w:sz w:val="22"/>
                <w:szCs w:val="22"/>
              </w:rPr>
              <w:t>Toute personne a droit au respect de sa vie privée.</w:t>
            </w:r>
          </w:p>
        </w:tc>
        <w:tc>
          <w:tcPr>
            <w:tcW w:w="4536" w:type="dxa"/>
          </w:tcPr>
          <w:p w14:paraId="6053B6EC" w14:textId="25B8AD60" w:rsidR="002579C0" w:rsidRPr="00911998" w:rsidRDefault="002579C0" w:rsidP="00B571DC">
            <w:pPr>
              <w:pStyle w:val="Paragrsimple"/>
              <w:numPr>
                <w:ilvl w:val="0"/>
                <w:numId w:val="0"/>
              </w:numPr>
              <w:rPr>
                <w:i/>
                <w:iCs/>
                <w:sz w:val="22"/>
                <w:szCs w:val="22"/>
                <w:lang w:val="en-CA"/>
              </w:rPr>
            </w:pPr>
            <w:r w:rsidRPr="00911998">
              <w:rPr>
                <w:b/>
                <w:bCs/>
                <w:i/>
                <w:iCs/>
                <w:sz w:val="22"/>
                <w:szCs w:val="22"/>
                <w:lang w:val="en-CA"/>
              </w:rPr>
              <w:t>5.  </w:t>
            </w:r>
            <w:r w:rsidRPr="00911998">
              <w:rPr>
                <w:rFonts w:cs="Arial"/>
                <w:i/>
                <w:iCs/>
                <w:sz w:val="22"/>
                <w:szCs w:val="22"/>
                <w:lang w:val="en-CA"/>
              </w:rPr>
              <w:t>Every person has a right to respect for his private life.</w:t>
            </w:r>
            <w:hyperlink r:id="rId41" w:anchor="se:54" w:history="1"/>
          </w:p>
        </w:tc>
      </w:tr>
    </w:tbl>
    <w:p w14:paraId="7D0164CF" w14:textId="2824616E" w:rsidR="00E0568B" w:rsidRPr="00911998" w:rsidRDefault="00E0568B" w:rsidP="00E0568B">
      <w:pPr>
        <w:pStyle w:val="Paragrsimple"/>
        <w:tabs>
          <w:tab w:val="clear" w:pos="360"/>
        </w:tabs>
      </w:pPr>
      <w:r w:rsidRPr="00911998">
        <w:t>Selon eux, cette atteinte se présente sous deux volets. Premièrement, la non</w:t>
      </w:r>
      <w:r w:rsidRPr="00911998">
        <w:noBreakHyphen/>
        <w:t>reconnaissance interfère dans la prise de décisions fondamentalement personnelles. Deuxièmement, elle impose la divulgation de renseignements personnels. Aucun des volets de l’argument ne résiste à l’analyse.</w:t>
      </w:r>
    </w:p>
    <w:p w14:paraId="398562EB" w14:textId="77777777" w:rsidR="00E0568B" w:rsidRPr="00911998" w:rsidRDefault="00E0568B" w:rsidP="00E0568B">
      <w:pPr>
        <w:pStyle w:val="Paragrsimple"/>
        <w:tabs>
          <w:tab w:val="clear" w:pos="360"/>
        </w:tabs>
      </w:pPr>
      <w:r w:rsidRPr="00911998">
        <w:lastRenderedPageBreak/>
        <w:t xml:space="preserve">Commençons par le premier volet. Il est établi que l’article 5 de la </w:t>
      </w:r>
      <w:r w:rsidRPr="00911998">
        <w:rPr>
          <w:i/>
          <w:iCs/>
        </w:rPr>
        <w:t xml:space="preserve">Charte québécoise </w:t>
      </w:r>
      <w:r w:rsidRPr="00911998">
        <w:t>protège le droit de prendre des décisions fondamentalement privées ou intrinsèquement personnelles sans influence externe indue</w:t>
      </w:r>
      <w:r w:rsidRPr="00911998">
        <w:rPr>
          <w:rStyle w:val="Appelnotedebasdep"/>
        </w:rPr>
        <w:footnoteReference w:id="132"/>
      </w:r>
      <w:r w:rsidRPr="00911998">
        <w:t xml:space="preserve">. </w:t>
      </w:r>
    </w:p>
    <w:p w14:paraId="4D30A5D1" w14:textId="467ADC79" w:rsidR="00E0568B" w:rsidRPr="00911998" w:rsidRDefault="00E0568B" w:rsidP="00E0568B">
      <w:pPr>
        <w:pStyle w:val="Paragrsimple"/>
        <w:tabs>
          <w:tab w:val="clear" w:pos="360"/>
        </w:tabs>
      </w:pPr>
      <w:r w:rsidRPr="00911998">
        <w:t xml:space="preserve">Le choix d’un mode de vie familial — y compris une famille </w:t>
      </w:r>
      <w:proofErr w:type="spellStart"/>
      <w:r w:rsidRPr="00911998">
        <w:t>pluriparentale</w:t>
      </w:r>
      <w:proofErr w:type="spellEnd"/>
      <w:r w:rsidRPr="00911998">
        <w:t xml:space="preserve"> — participe de telles décisions fondamentalement personnelles et s’inscrit dans la sphère protégée par le droit à la vie privée. La question consiste donc à déterminer si la limite de deux liens de filiation représente une influence externe indue de l’État dans ce choix. Or, </w:t>
      </w:r>
      <w:r w:rsidR="00D46BF2" w:rsidRPr="00911998">
        <w:t xml:space="preserve">essentiellement pour les mêmes motifs déjà exposés en lien avec le droit à la liberté, </w:t>
      </w:r>
      <w:r w:rsidRPr="00911998">
        <w:t>la preuve ne permet pas de donner une réponse affirmative à cette question.</w:t>
      </w:r>
    </w:p>
    <w:p w14:paraId="5E561199" w14:textId="74A5BE48" w:rsidR="00E0568B" w:rsidRPr="00911998" w:rsidRDefault="00D46BF2" w:rsidP="00E0568B">
      <w:pPr>
        <w:pStyle w:val="Paragrsimple"/>
        <w:tabs>
          <w:tab w:val="clear" w:pos="360"/>
        </w:tabs>
        <w:rPr>
          <w:szCs w:val="24"/>
        </w:rPr>
      </w:pPr>
      <w:r w:rsidRPr="00911998">
        <w:t>Comme nous l’avons vu</w:t>
      </w:r>
      <w:r w:rsidR="00E0568B" w:rsidRPr="00911998">
        <w:t xml:space="preserve">, la preuve démontre que malgré la limite de deux liens de filiation, des familles </w:t>
      </w:r>
      <w:proofErr w:type="spellStart"/>
      <w:r w:rsidR="00E0568B" w:rsidRPr="00911998">
        <w:t>pluriparentales</w:t>
      </w:r>
      <w:proofErr w:type="spellEnd"/>
      <w:r w:rsidR="00E0568B" w:rsidRPr="00911998">
        <w:t xml:space="preserve"> sont créées, existent et </w:t>
      </w:r>
      <w:r w:rsidR="003436D2">
        <w:t>prospèrent</w:t>
      </w:r>
      <w:r w:rsidR="00E0568B" w:rsidRPr="00911998">
        <w:t xml:space="preserve">. D’ailleurs, celles des Demandeurs en sont la parfaite démonstration et rien dans la preuve ne suggère que la limite de deux liens de filiation ait constitué un obstacle dans leur choix de modèle familial. </w:t>
      </w:r>
    </w:p>
    <w:p w14:paraId="26EE1025" w14:textId="5357C19A" w:rsidR="00E0568B" w:rsidRPr="00911998" w:rsidRDefault="00943FBA" w:rsidP="00E0568B">
      <w:pPr>
        <w:pStyle w:val="Paragrsimple"/>
        <w:tabs>
          <w:tab w:val="clear" w:pos="360"/>
        </w:tabs>
        <w:rPr>
          <w:szCs w:val="24"/>
        </w:rPr>
      </w:pPr>
      <w:r w:rsidRPr="00911998">
        <w:t>D</w:t>
      </w:r>
      <w:r w:rsidR="00E0568B" w:rsidRPr="00911998">
        <w:t xml:space="preserve">ans les faits, la limite de deux liens de filiation ne représente </w:t>
      </w:r>
      <w:r w:rsidRPr="00911998">
        <w:t xml:space="preserve">donc </w:t>
      </w:r>
      <w:r w:rsidR="00E0568B" w:rsidRPr="00911998">
        <w:t xml:space="preserve">pas un empêchement au choix d’un modèle familial </w:t>
      </w:r>
      <w:proofErr w:type="spellStart"/>
      <w:r w:rsidR="00E0568B" w:rsidRPr="00911998">
        <w:t>pluriparental</w:t>
      </w:r>
      <w:proofErr w:type="spellEnd"/>
      <w:r w:rsidR="00E0568B" w:rsidRPr="00911998">
        <w:t xml:space="preserve">. </w:t>
      </w:r>
      <w:r w:rsidRPr="00911998">
        <w:t>De plus, s</w:t>
      </w:r>
      <w:r w:rsidR="00E0568B" w:rsidRPr="00911998">
        <w:t xml:space="preserve">ur le plan juridique, cette limite n’empêche pas non plus la reconnaissance d’une situation de </w:t>
      </w:r>
      <w:proofErr w:type="spellStart"/>
      <w:r w:rsidR="00E0568B" w:rsidRPr="00911998">
        <w:rPr>
          <w:u w:val="single"/>
        </w:rPr>
        <w:t>pluriparentalité</w:t>
      </w:r>
      <w:proofErr w:type="spellEnd"/>
      <w:r w:rsidR="00E0568B" w:rsidRPr="00911998">
        <w:t xml:space="preserve"> à l’égard d’un enfant</w:t>
      </w:r>
      <w:r w:rsidR="00E0568B" w:rsidRPr="00911998">
        <w:rPr>
          <w:rStyle w:val="Appelnotedebasdep"/>
        </w:rPr>
        <w:footnoteReference w:id="133"/>
      </w:r>
      <w:r w:rsidR="00E0568B" w:rsidRPr="00911998">
        <w:t xml:space="preserve">. </w:t>
      </w:r>
      <w:r w:rsidR="00E0568B" w:rsidRPr="00911998">
        <w:rPr>
          <w:szCs w:val="24"/>
        </w:rPr>
        <w:t xml:space="preserve">Comme l’explique le juge </w:t>
      </w:r>
      <w:proofErr w:type="spellStart"/>
      <w:r w:rsidR="00E0568B" w:rsidRPr="00911998">
        <w:rPr>
          <w:szCs w:val="24"/>
        </w:rPr>
        <w:t>Kasirer</w:t>
      </w:r>
      <w:proofErr w:type="spellEnd"/>
      <w:r w:rsidR="00E0568B" w:rsidRPr="00911998">
        <w:rPr>
          <w:szCs w:val="24"/>
        </w:rPr>
        <w:t xml:space="preserve"> dans l’arrêt </w:t>
      </w:r>
      <w:r w:rsidR="00E0568B" w:rsidRPr="00911998">
        <w:rPr>
          <w:rFonts w:cs="Arial"/>
          <w:i/>
          <w:iCs/>
          <w:szCs w:val="24"/>
          <w:shd w:val="clear" w:color="auto" w:fill="FFFFFF"/>
        </w:rPr>
        <w:t>Droit de la famille — 191677</w:t>
      </w:r>
      <w:r w:rsidR="00E0568B" w:rsidRPr="00911998">
        <w:rPr>
          <w:rStyle w:val="Appelnotedebasdep"/>
          <w:rFonts w:cs="Arial"/>
          <w:i/>
          <w:iCs/>
          <w:szCs w:val="24"/>
          <w:shd w:val="clear" w:color="auto" w:fill="FFFFFF"/>
        </w:rPr>
        <w:footnoteReference w:id="134"/>
      </w:r>
      <w:r w:rsidR="00E0568B" w:rsidRPr="00911998">
        <w:rPr>
          <w:szCs w:val="24"/>
        </w:rPr>
        <w:t> :</w:t>
      </w:r>
    </w:p>
    <w:p w14:paraId="15EE350F" w14:textId="77777777" w:rsidR="00E0568B" w:rsidRPr="00911998" w:rsidRDefault="00E0568B" w:rsidP="00E0568B">
      <w:pPr>
        <w:ind w:left="567" w:right="560"/>
        <w:jc w:val="both"/>
        <w:rPr>
          <w:sz w:val="22"/>
          <w:szCs w:val="22"/>
        </w:rPr>
      </w:pPr>
      <w:r w:rsidRPr="00911998">
        <w:rPr>
          <w:rFonts w:cs="Arial"/>
          <w:sz w:val="22"/>
          <w:szCs w:val="22"/>
        </w:rPr>
        <w:t>[19</w:t>
      </w:r>
      <w:proofErr w:type="gramStart"/>
      <w:r w:rsidRPr="00911998">
        <w:rPr>
          <w:rFonts w:cs="Arial"/>
          <w:sz w:val="22"/>
          <w:szCs w:val="22"/>
        </w:rPr>
        <w:t>]  Sans</w:t>
      </w:r>
      <w:proofErr w:type="gramEnd"/>
      <w:r w:rsidRPr="00911998">
        <w:rPr>
          <w:rFonts w:cs="Arial"/>
          <w:sz w:val="22"/>
          <w:szCs w:val="22"/>
        </w:rPr>
        <w:t xml:space="preserve"> être parent – c’est-à-dire sans être mère ou père en vertu des règles de la filiation –, une personne peut être investie, de diverses façons et en diverses circonstances, de </w:t>
      </w:r>
      <w:r w:rsidRPr="00911998">
        <w:rPr>
          <w:sz w:val="22"/>
          <w:szCs w:val="22"/>
        </w:rPr>
        <w:t>l’exercice</w:t>
      </w:r>
      <w:r w:rsidRPr="00911998">
        <w:rPr>
          <w:rFonts w:cs="Arial"/>
          <w:sz w:val="22"/>
          <w:szCs w:val="22"/>
        </w:rPr>
        <w:t xml:space="preserve"> de différents attributs de l’autorité parentale. Elle peut même avoir, selon le contexte, des responsabilités financières à l’égard d’un enfant. Cela peut donner lieu à une « parentalité de substitution », comme c’est le cas lorsqu’une personne – un tiers au regard de la filiation – est appelée à exercer une parcelle de l’autorité parentale pour pallier l’absence d’un parent. Le tiers peut aussi se voir confier une fonction de « parentalité d’addition », créant ainsi une situation de « tri-parentalité » ou de « multi-parentalité », comme c’est le cas, par exemple, dans certaines familles recomposées</w:t>
      </w:r>
      <w:bookmarkStart w:id="51" w:name="_Ref10718899"/>
      <w:bookmarkEnd w:id="51"/>
      <w:r w:rsidRPr="00911998">
        <w:rPr>
          <w:rFonts w:cs="Arial"/>
          <w:sz w:val="22"/>
          <w:szCs w:val="22"/>
        </w:rPr>
        <w:t>.</w:t>
      </w:r>
    </w:p>
    <w:p w14:paraId="6E763D37" w14:textId="77777777" w:rsidR="00E0568B" w:rsidRPr="00911998" w:rsidRDefault="00E0568B" w:rsidP="00E0568B">
      <w:pPr>
        <w:pStyle w:val="Paragrsimple"/>
        <w:tabs>
          <w:tab w:val="clear" w:pos="360"/>
        </w:tabs>
      </w:pPr>
      <w:r w:rsidRPr="00911998">
        <w:t>La limite de deux liens de filiation ne constitue donc pas l’imposition d’un modèle de vie familiale auquel l’on ne peut déroger. En définitive, la preuve ne permet pas de conclure que la non</w:t>
      </w:r>
      <w:r w:rsidRPr="00911998">
        <w:noBreakHyphen/>
        <w:t xml:space="preserve">reconnaissance de plus de deux liens de filiation correspond à une influence externe indue à l’égard d’un choix de vie fondamentalement personnel et privé, à savoir le modèle familial. </w:t>
      </w:r>
    </w:p>
    <w:p w14:paraId="49174CBC" w14:textId="77777777" w:rsidR="00E0568B" w:rsidRPr="00911998" w:rsidRDefault="00E0568B" w:rsidP="00E0568B">
      <w:pPr>
        <w:pStyle w:val="Paragrsimple"/>
        <w:tabs>
          <w:tab w:val="clear" w:pos="360"/>
        </w:tabs>
      </w:pPr>
      <w:r w:rsidRPr="00911998">
        <w:lastRenderedPageBreak/>
        <w:t xml:space="preserve"> Qu’en est</w:t>
      </w:r>
      <w:r w:rsidRPr="00911998">
        <w:noBreakHyphen/>
        <w:t xml:space="preserve">il du deuxième volet de l’argument fondé sur l’article 5 de la </w:t>
      </w:r>
      <w:r w:rsidRPr="00911998">
        <w:rPr>
          <w:i/>
          <w:iCs/>
        </w:rPr>
        <w:t>Charte québécoise</w:t>
      </w:r>
      <w:r w:rsidRPr="00911998">
        <w:t xml:space="preserve"> voulant que la non</w:t>
      </w:r>
      <w:r w:rsidRPr="00911998">
        <w:noBreakHyphen/>
        <w:t>reconnaissance de plus de deux liens de filiation impose la divulgation indue de renseignements personnels ?</w:t>
      </w:r>
    </w:p>
    <w:p w14:paraId="1DE7958D" w14:textId="77777777" w:rsidR="00E0568B" w:rsidRPr="00911998" w:rsidRDefault="00E0568B" w:rsidP="00E0568B">
      <w:pPr>
        <w:pStyle w:val="Paragrsimple"/>
        <w:tabs>
          <w:tab w:val="clear" w:pos="360"/>
        </w:tabs>
      </w:pPr>
      <w:r w:rsidRPr="00911998">
        <w:t>Le droit à la vie privée protège également la faculté de chaque personne de contrôler quand, comment et dans quelle mesure des renseignements personnels la concernant seront diffusés</w:t>
      </w:r>
      <w:r w:rsidRPr="00911998">
        <w:rPr>
          <w:rStyle w:val="Appelnotedebasdep"/>
        </w:rPr>
        <w:footnoteReference w:id="135"/>
      </w:r>
      <w:r w:rsidRPr="00911998">
        <w:t>. Les Demandeurs dans le Dossier de la Coalition soutiennent que leur choix de modèle familial est un renseignement purement personnel et qu’ils ont le droit de choisir ou non de le divulguer et, le cas échéant, à qui le divulguer.</w:t>
      </w:r>
    </w:p>
    <w:p w14:paraId="5861001D" w14:textId="77777777" w:rsidR="00E0568B" w:rsidRPr="00911998" w:rsidRDefault="00E0568B" w:rsidP="00E0568B">
      <w:pPr>
        <w:pStyle w:val="Paragrsimple"/>
        <w:tabs>
          <w:tab w:val="clear" w:pos="360"/>
        </w:tabs>
      </w:pPr>
      <w:r w:rsidRPr="00911998">
        <w:t>Or, selon eux, la non</w:t>
      </w:r>
      <w:r w:rsidRPr="00911998">
        <w:noBreakHyphen/>
        <w:t>reconnaissance de plus de deux liens de filiation les oblige à révéler leur situation familiale à répétition, et ce, à plusieurs institutions. Ainsi, le parent dont la filiation n’est pas reconnue doit souvent expliquer pourquoi il n’apparaît pas sur les documents de l’état civil et justifier son rôle parental auprès de son enfant. Ils estiment que cette situation constitue une violation du droit à la vie privée du parent non reconnu, ainsi que de celui des autres parents et de leurs enfants.</w:t>
      </w:r>
    </w:p>
    <w:p w14:paraId="1C4E33BA" w14:textId="6A27C1F5" w:rsidR="00E0568B" w:rsidRPr="00911998" w:rsidRDefault="00E0568B" w:rsidP="00E0568B">
      <w:pPr>
        <w:pStyle w:val="Paragrsimple"/>
        <w:tabs>
          <w:tab w:val="clear" w:pos="360"/>
        </w:tabs>
      </w:pPr>
      <w:r w:rsidRPr="00911998">
        <w:t xml:space="preserve">Ils plaident que tout cela </w:t>
      </w:r>
      <w:r w:rsidR="00D0615E" w:rsidRPr="00911998">
        <w:t>dispara</w:t>
      </w:r>
      <w:r w:rsidR="00E77265" w:rsidRPr="00911998">
        <w:t>î</w:t>
      </w:r>
      <w:r w:rsidR="00D0615E" w:rsidRPr="00911998">
        <w:t>trait</w:t>
      </w:r>
      <w:r w:rsidRPr="00911998">
        <w:t xml:space="preserve"> dans la mesure o</w:t>
      </w:r>
      <w:r w:rsidRPr="00911998">
        <w:rPr>
          <w:rFonts w:cs="Arial"/>
        </w:rPr>
        <w:t>ù</w:t>
      </w:r>
      <w:r w:rsidRPr="00911998">
        <w:t xml:space="preserve"> ils disposaient d’un document officiel confirmant leurs liens de filiation. En réalité, toutefois, la reconnaissance de plus de deux liens de filiation dans un document légal n’éviterait </w:t>
      </w:r>
      <w:r w:rsidR="00E77265" w:rsidRPr="00911998">
        <w:t>pas</w:t>
      </w:r>
      <w:r w:rsidRPr="00911998">
        <w:t xml:space="preserve"> la diffusion de renseignements personnels concernant la situation des familles </w:t>
      </w:r>
      <w:proofErr w:type="spellStart"/>
      <w:r w:rsidRPr="00911998">
        <w:t>pluriparentales</w:t>
      </w:r>
      <w:proofErr w:type="spellEnd"/>
      <w:r w:rsidRPr="00911998">
        <w:t>.</w:t>
      </w:r>
    </w:p>
    <w:p w14:paraId="7F231C37" w14:textId="77777777" w:rsidR="00E0568B" w:rsidRPr="00911998" w:rsidRDefault="00E0568B" w:rsidP="00E0568B">
      <w:pPr>
        <w:pStyle w:val="Paragrsimple"/>
        <w:tabs>
          <w:tab w:val="clear" w:pos="360"/>
        </w:tabs>
      </w:pPr>
      <w:r w:rsidRPr="00911998">
        <w:t xml:space="preserve">La situation des parents monoparentaux et homoparentaux permet d’illustrer ce propos. Le fait d’être parent monoparental, tout comme l’orientation sexuelle d’une personne, est un renseignement personnel qui relève de l’autonomie individuelle visée par l’article 5 de la </w:t>
      </w:r>
      <w:r w:rsidRPr="00911998">
        <w:rPr>
          <w:i/>
          <w:iCs/>
        </w:rPr>
        <w:t xml:space="preserve">Charte québécoise. </w:t>
      </w:r>
    </w:p>
    <w:p w14:paraId="00FE6C49" w14:textId="77777777" w:rsidR="00E0568B" w:rsidRPr="00911998" w:rsidRDefault="00E0568B" w:rsidP="00E0568B">
      <w:pPr>
        <w:pStyle w:val="Paragrsimple"/>
        <w:tabs>
          <w:tab w:val="clear" w:pos="360"/>
        </w:tabs>
      </w:pPr>
      <w:r w:rsidRPr="00911998">
        <w:t>Or, pour obtenir certains services pour leurs enfants — inscription à l’école, passeport, etc. — ces parents doivent présenter un certificat de naissance. Si celui</w:t>
      </w:r>
      <w:r w:rsidRPr="00911998">
        <w:noBreakHyphen/>
        <w:t>ci ne mentionne qu’un seul parent ou identifie deux parents de même sexe, des inférences quant à la situation familiale et à l’orientation sexuelle des parents pourront bien être tirées par la personne qui consulte le certificat. Il n’y a pas là pour autant une violation du droit à la vie privée.</w:t>
      </w:r>
    </w:p>
    <w:p w14:paraId="3B8CDB33" w14:textId="06CC8152" w:rsidR="00E0568B" w:rsidRPr="00911998" w:rsidRDefault="00E0568B" w:rsidP="00E0568B">
      <w:pPr>
        <w:pStyle w:val="Paragrsimple"/>
        <w:tabs>
          <w:tab w:val="clear" w:pos="360"/>
        </w:tabs>
      </w:pPr>
      <w:r w:rsidRPr="00911998">
        <w:t>De même, dans la mesure o</w:t>
      </w:r>
      <w:r w:rsidRPr="00911998">
        <w:rPr>
          <w:rFonts w:cs="Arial"/>
        </w:rPr>
        <w:t>ù</w:t>
      </w:r>
      <w:r w:rsidRPr="00911998">
        <w:t xml:space="preserve"> un certificat de naissance doit être présenté pour identifier les parents d’un enfant et </w:t>
      </w:r>
      <w:r w:rsidR="00943FBA" w:rsidRPr="00911998">
        <w:t>o</w:t>
      </w:r>
      <w:r w:rsidR="00943FBA" w:rsidRPr="00911998">
        <w:rPr>
          <w:rFonts w:cs="Arial"/>
        </w:rPr>
        <w:t>ù</w:t>
      </w:r>
      <w:r w:rsidR="00943FBA" w:rsidRPr="00911998">
        <w:t xml:space="preserve"> </w:t>
      </w:r>
      <w:r w:rsidRPr="00911998">
        <w:t xml:space="preserve">ce certificat comporte trois parents plutôt que deux, la situation </w:t>
      </w:r>
      <w:proofErr w:type="spellStart"/>
      <w:r w:rsidRPr="00911998">
        <w:t>pluriparentale</w:t>
      </w:r>
      <w:proofErr w:type="spellEnd"/>
      <w:r w:rsidRPr="00911998">
        <w:t xml:space="preserve"> de la famille sera divulguée </w:t>
      </w:r>
      <w:r w:rsidRPr="00911998">
        <w:rPr>
          <w:i/>
          <w:iCs/>
        </w:rPr>
        <w:t>ipso facto</w:t>
      </w:r>
      <w:r w:rsidRPr="00911998">
        <w:t xml:space="preserve">. Ainsi, ce n’est pas la reconnaissance légale de plus de deux liens de filiation et la consécration de ces liens dans un document officiel qui épargneront les parents </w:t>
      </w:r>
      <w:proofErr w:type="spellStart"/>
      <w:r w:rsidRPr="00911998">
        <w:t>pluriparentaux</w:t>
      </w:r>
      <w:proofErr w:type="spellEnd"/>
      <w:r w:rsidRPr="00911998">
        <w:t xml:space="preserve"> d’une diffusion de leur situation familiale.</w:t>
      </w:r>
    </w:p>
    <w:p w14:paraId="25C21397" w14:textId="77777777" w:rsidR="00E0568B" w:rsidRPr="00911998" w:rsidRDefault="00E0568B" w:rsidP="00E0568B">
      <w:pPr>
        <w:pStyle w:val="Paragrsimple"/>
        <w:tabs>
          <w:tab w:val="clear" w:pos="360"/>
        </w:tabs>
      </w:pPr>
      <w:r w:rsidRPr="00911998">
        <w:lastRenderedPageBreak/>
        <w:t xml:space="preserve">En somme, les Demandeurs dans le Dossier de la Coalition n’ont pas prouvé que la limite de deux liens de filiation a pour conséquence d’imposer la divulgation indue de renseignements personnels portant ainsi atteinte au droit à la vie privée. </w:t>
      </w:r>
    </w:p>
    <w:p w14:paraId="008A9476" w14:textId="2176418D" w:rsidR="00E0568B" w:rsidRPr="00911998" w:rsidRDefault="00E0568B" w:rsidP="00E0568B">
      <w:pPr>
        <w:pStyle w:val="Paragrsimple"/>
        <w:tabs>
          <w:tab w:val="clear" w:pos="360"/>
        </w:tabs>
      </w:pPr>
      <w:r w:rsidRPr="00911998">
        <w:t>À vrai dire, les Demandeurs recherchent la reconnaissance juridique de leur modèle familial par la création de liens de filiation additionnels à ceux qui existent déjà. Dit autrement, ils souhaitent pouvoir accéder à une institution juridique qui consiste en un ensemble de droits et obligations. Ils souhaitent également pouvoir présenter un simple document pour établir leur statut de parent, au lieu de se voir obligés de s’expliquer et de se justifier. Ils veulent ainsi profiter de la même facilité dans l’établissement de leur rôle que les parents dont la filiation est reconnue. Ces demandes sont mieux appréhendées par le droit à l’égalité que par le droit à la vie privée.</w:t>
      </w:r>
    </w:p>
    <w:p w14:paraId="376B300F" w14:textId="11538C08" w:rsidR="00E16424" w:rsidRPr="00911998" w:rsidRDefault="00E16424" w:rsidP="003D10A3">
      <w:pPr>
        <w:pStyle w:val="Titre3"/>
        <w:rPr>
          <w:b w:val="0"/>
          <w:bCs/>
        </w:rPr>
      </w:pPr>
      <w:bookmarkStart w:id="52" w:name="_Toc196463731"/>
      <w:r w:rsidRPr="00911998">
        <w:t>Le droit à l’égalité</w:t>
      </w:r>
      <w:r w:rsidR="003D10A3" w:rsidRPr="00911998">
        <w:t xml:space="preserve"> garanti par le paragraphe 15(1) de la </w:t>
      </w:r>
      <w:r w:rsidR="003D10A3" w:rsidRPr="00911998">
        <w:rPr>
          <w:i/>
          <w:iCs/>
        </w:rPr>
        <w:t>Charte canadienne</w:t>
      </w:r>
      <w:bookmarkEnd w:id="52"/>
    </w:p>
    <w:p w14:paraId="3452E4EA" w14:textId="2FDD5DF6" w:rsidR="009D3350" w:rsidRPr="00911998" w:rsidRDefault="009D3350" w:rsidP="009D3350">
      <w:pPr>
        <w:pStyle w:val="Titre4"/>
        <w:rPr>
          <w:szCs w:val="24"/>
        </w:rPr>
      </w:pPr>
      <w:r w:rsidRPr="00911998">
        <w:rPr>
          <w:szCs w:val="24"/>
        </w:rPr>
        <w:t>Le paragraphe 15(1) : les principes applicables</w:t>
      </w:r>
    </w:p>
    <w:p w14:paraId="3A2D6468" w14:textId="749C8979" w:rsidR="006B2574" w:rsidRPr="00911998" w:rsidRDefault="00022A7E" w:rsidP="00A915E9">
      <w:pPr>
        <w:pStyle w:val="Paragrsimple"/>
        <w:tabs>
          <w:tab w:val="clear" w:pos="360"/>
        </w:tabs>
        <w:rPr>
          <w:sz w:val="22"/>
          <w:szCs w:val="22"/>
        </w:rPr>
      </w:pPr>
      <w:r w:rsidRPr="00911998">
        <w:t>Les Demandeurs plaident que la limite de deux liens de filiation porte atteinte au droit à l’égalité protégé par l</w:t>
      </w:r>
      <w:r w:rsidR="001C6878" w:rsidRPr="00911998">
        <w:t>e paragraphe</w:t>
      </w:r>
      <w:r w:rsidRPr="00911998">
        <w:t> 15</w:t>
      </w:r>
      <w:r w:rsidR="001C6878" w:rsidRPr="00911998">
        <w:t>(1)</w:t>
      </w:r>
      <w:r w:rsidRPr="00911998">
        <w:t xml:space="preserve"> de la </w:t>
      </w:r>
      <w:r w:rsidRPr="00911998">
        <w:rPr>
          <w:i/>
          <w:iCs/>
        </w:rPr>
        <w:t>Charte canadienne</w:t>
      </w:r>
      <w:r w:rsidR="001C6878" w:rsidRPr="00911998">
        <w:t>.</w:t>
      </w:r>
      <w:r w:rsidRPr="00911998">
        <w:t xml:space="preserve"> </w:t>
      </w:r>
      <w:r w:rsidR="00A03B5D" w:rsidRPr="00911998">
        <w:t>Cette disposition</w:t>
      </w:r>
      <w:r w:rsidRPr="00911998">
        <w:rPr>
          <w:i/>
          <w:iCs/>
        </w:rPr>
        <w:t xml:space="preserve"> </w:t>
      </w:r>
      <w:r w:rsidR="00856EA3" w:rsidRPr="00911998">
        <w:t>garantit</w:t>
      </w:r>
      <w:r w:rsidRPr="00911998">
        <w:t xml:space="preserve"> le </w:t>
      </w:r>
      <w:r w:rsidR="00F446F6" w:rsidRPr="00911998">
        <w:t>droit à l’égalité libre de toute discrimination </w:t>
      </w:r>
      <w:r w:rsidR="006B2574" w:rsidRPr="00911998">
        <w:t>:</w:t>
      </w:r>
    </w:p>
    <w:tbl>
      <w:tblPr>
        <w:tblStyle w:val="Grilledutableau"/>
        <w:tblW w:w="0" w:type="auto"/>
        <w:tblInd w:w="279" w:type="dxa"/>
        <w:tblLook w:val="04A0" w:firstRow="1" w:lastRow="0" w:firstColumn="1" w:lastColumn="0" w:noHBand="0" w:noVBand="1"/>
      </w:tblPr>
      <w:tblGrid>
        <w:gridCol w:w="4394"/>
        <w:gridCol w:w="4536"/>
      </w:tblGrid>
      <w:tr w:rsidR="000E19AB" w:rsidRPr="00C62C88" w14:paraId="7767D6FC" w14:textId="77777777" w:rsidTr="00965DAC">
        <w:tc>
          <w:tcPr>
            <w:tcW w:w="4394" w:type="dxa"/>
          </w:tcPr>
          <w:p w14:paraId="7A71C437" w14:textId="3567B858" w:rsidR="006B2574" w:rsidRPr="00911998" w:rsidRDefault="00F446F6" w:rsidP="00F446F6">
            <w:pPr>
              <w:pStyle w:val="Paragrsimple"/>
              <w:numPr>
                <w:ilvl w:val="0"/>
                <w:numId w:val="0"/>
              </w:numPr>
              <w:rPr>
                <w:rFonts w:cs="Arial"/>
                <w:sz w:val="22"/>
                <w:szCs w:val="22"/>
                <w:lang w:eastAsia="fr-CA"/>
              </w:rPr>
            </w:pPr>
            <w:r w:rsidRPr="00911998">
              <w:rPr>
                <w:rFonts w:cs="Arial"/>
                <w:b/>
                <w:bCs/>
                <w:sz w:val="22"/>
                <w:szCs w:val="22"/>
                <w:lang w:eastAsia="fr-CA"/>
              </w:rPr>
              <w:t>15</w:t>
            </w:r>
            <w:r w:rsidRPr="00911998">
              <w:rPr>
                <w:rFonts w:cs="Arial"/>
                <w:sz w:val="22"/>
                <w:szCs w:val="22"/>
                <w:lang w:eastAsia="fr-CA"/>
              </w:rPr>
              <w:t> </w:t>
            </w:r>
            <w:r w:rsidRPr="00911998">
              <w:rPr>
                <w:rFonts w:cs="Arial"/>
                <w:b/>
                <w:bCs/>
                <w:sz w:val="22"/>
                <w:szCs w:val="22"/>
                <w:lang w:eastAsia="fr-CA"/>
              </w:rPr>
              <w:t>(1</w:t>
            </w:r>
            <w:proofErr w:type="gramStart"/>
            <w:r w:rsidRPr="00911998">
              <w:rPr>
                <w:rFonts w:cs="Arial"/>
                <w:b/>
                <w:bCs/>
                <w:sz w:val="22"/>
                <w:szCs w:val="22"/>
                <w:lang w:eastAsia="fr-CA"/>
              </w:rPr>
              <w:t>)  </w:t>
            </w:r>
            <w:r w:rsidRPr="00911998">
              <w:rPr>
                <w:rFonts w:cs="Arial"/>
                <w:sz w:val="22"/>
                <w:szCs w:val="22"/>
                <w:lang w:eastAsia="fr-CA"/>
              </w:rPr>
              <w:t>La</w:t>
            </w:r>
            <w:proofErr w:type="gramEnd"/>
            <w:r w:rsidRPr="00911998">
              <w:rPr>
                <w:rFonts w:cs="Arial"/>
                <w:sz w:val="22"/>
                <w:szCs w:val="22"/>
                <w:lang w:eastAsia="fr-CA"/>
              </w:rPr>
              <w:t xml:space="preserve"> loi ne fait acception de personne et s’applique également à tous, et tous ont droit à la même protection et au même bénéfice de la loi, indépendamment de toute discrimination, notamment des discriminations fondées sur la race, l’origine nationale ou ethnique, la couleur, la religion, le sexe, l’âge ou les déficiences mentales ou physiques.</w:t>
            </w:r>
          </w:p>
        </w:tc>
        <w:tc>
          <w:tcPr>
            <w:tcW w:w="4536" w:type="dxa"/>
          </w:tcPr>
          <w:p w14:paraId="550F1D50" w14:textId="77777777" w:rsidR="00387198" w:rsidRPr="00911998" w:rsidRDefault="00387198" w:rsidP="00387198">
            <w:pPr>
              <w:pStyle w:val="Paragrsimple"/>
              <w:numPr>
                <w:ilvl w:val="0"/>
                <w:numId w:val="0"/>
              </w:numPr>
              <w:rPr>
                <w:rFonts w:cs="Arial"/>
                <w:i/>
                <w:iCs/>
                <w:sz w:val="22"/>
                <w:szCs w:val="22"/>
                <w:lang w:val="en-CA" w:eastAsia="fr-CA"/>
              </w:rPr>
            </w:pPr>
            <w:r w:rsidRPr="00911998">
              <w:rPr>
                <w:rFonts w:cs="Arial"/>
                <w:b/>
                <w:bCs/>
                <w:i/>
                <w:iCs/>
                <w:sz w:val="22"/>
                <w:szCs w:val="22"/>
                <w:lang w:val="en-CA" w:eastAsia="fr-CA"/>
              </w:rPr>
              <w:t>15</w:t>
            </w:r>
            <w:r w:rsidRPr="00911998">
              <w:rPr>
                <w:rFonts w:cs="Arial"/>
                <w:i/>
                <w:iCs/>
                <w:sz w:val="22"/>
                <w:szCs w:val="22"/>
                <w:lang w:val="en-CA" w:eastAsia="fr-CA"/>
              </w:rPr>
              <w:t> </w:t>
            </w:r>
            <w:r w:rsidRPr="00911998">
              <w:rPr>
                <w:rFonts w:cs="Arial"/>
                <w:b/>
                <w:bCs/>
                <w:i/>
                <w:iCs/>
                <w:sz w:val="22"/>
                <w:szCs w:val="22"/>
                <w:lang w:val="en-CA" w:eastAsia="fr-CA"/>
              </w:rPr>
              <w:t>(1)</w:t>
            </w:r>
            <w:r w:rsidRPr="00911998">
              <w:rPr>
                <w:rFonts w:cs="Arial"/>
                <w:i/>
                <w:iCs/>
                <w:sz w:val="22"/>
                <w:szCs w:val="22"/>
                <w:lang w:val="en-CA" w:eastAsia="fr-CA"/>
              </w:rPr>
              <w:t> Every individual is equal before and under the law and has the right to the equal protection and equal benefit of the law without discrimination and</w:t>
            </w:r>
            <w:proofErr w:type="gramStart"/>
            <w:r w:rsidRPr="00911998">
              <w:rPr>
                <w:rFonts w:cs="Arial"/>
                <w:i/>
                <w:iCs/>
                <w:sz w:val="22"/>
                <w:szCs w:val="22"/>
                <w:lang w:val="en-CA" w:eastAsia="fr-CA"/>
              </w:rPr>
              <w:t>, in particular, without</w:t>
            </w:r>
            <w:proofErr w:type="gramEnd"/>
            <w:r w:rsidRPr="00911998">
              <w:rPr>
                <w:rFonts w:cs="Arial"/>
                <w:i/>
                <w:iCs/>
                <w:sz w:val="22"/>
                <w:szCs w:val="22"/>
                <w:lang w:val="en-CA" w:eastAsia="fr-CA"/>
              </w:rPr>
              <w:t xml:space="preserve"> discrimination based on race, national or ethnic origin, colour, religion, sex, age or mental or physical disability.</w:t>
            </w:r>
          </w:p>
          <w:p w14:paraId="79817B65" w14:textId="1403137B" w:rsidR="006B2574" w:rsidRPr="00911998" w:rsidRDefault="00D266F0" w:rsidP="00965DAC">
            <w:pPr>
              <w:pStyle w:val="Paragrsimple"/>
              <w:numPr>
                <w:ilvl w:val="0"/>
                <w:numId w:val="0"/>
              </w:numPr>
              <w:rPr>
                <w:rFonts w:cs="Arial"/>
                <w:sz w:val="22"/>
                <w:szCs w:val="22"/>
                <w:lang w:val="en-CA"/>
              </w:rPr>
            </w:pPr>
            <w:hyperlink r:id="rId42" w:anchor="se:54" w:history="1"/>
          </w:p>
        </w:tc>
      </w:tr>
    </w:tbl>
    <w:p w14:paraId="535FCB05" w14:textId="0D09215F" w:rsidR="00FD7A22" w:rsidRPr="00911998" w:rsidRDefault="00FD7A22" w:rsidP="00506148">
      <w:pPr>
        <w:pStyle w:val="Paragrsimple"/>
        <w:tabs>
          <w:tab w:val="clear" w:pos="360"/>
        </w:tabs>
      </w:pPr>
      <w:r w:rsidRPr="00911998">
        <w:t xml:space="preserve">En 1989, dans l’arrêt </w:t>
      </w:r>
      <w:r w:rsidRPr="00911998">
        <w:rPr>
          <w:i/>
          <w:iCs/>
        </w:rPr>
        <w:t>Andrews</w:t>
      </w:r>
      <w:r w:rsidRPr="00911998">
        <w:t>, le juge McIntyre définit ainsi la notion de discrimination</w:t>
      </w:r>
      <w:r w:rsidRPr="00911998">
        <w:rPr>
          <w:rStyle w:val="Appelnotedebasdep"/>
        </w:rPr>
        <w:footnoteReference w:id="136"/>
      </w:r>
      <w:r w:rsidRPr="00911998">
        <w:t> :</w:t>
      </w:r>
    </w:p>
    <w:p w14:paraId="3B952B5E" w14:textId="7B572B05" w:rsidR="00FD7A22" w:rsidRPr="00911998" w:rsidRDefault="00FD7A22" w:rsidP="00FD7A22">
      <w:pPr>
        <w:ind w:left="567" w:right="560"/>
        <w:jc w:val="both"/>
      </w:pPr>
      <w:r w:rsidRPr="00911998">
        <w:rPr>
          <w:rFonts w:cs="Arial"/>
          <w:spacing w:val="-3"/>
        </w:rPr>
        <w:t>[…]</w:t>
      </w:r>
      <w:r w:rsidRPr="00911998">
        <w:rPr>
          <w:spacing w:val="-3"/>
        </w:rPr>
        <w:t xml:space="preserve"> </w:t>
      </w:r>
      <w:r w:rsidRPr="00911998">
        <w:rPr>
          <w:rFonts w:cs="Arial"/>
          <w:spacing w:val="-3"/>
        </w:rPr>
        <w:t>[L]</w:t>
      </w:r>
      <w:r w:rsidRPr="00911998">
        <w:rPr>
          <w:spacing w:val="-3"/>
        </w:rPr>
        <w:t>a discrimination peut se décrire comme une distinction, intentionnelle ou non, mais fondée sur des motifs relatifs à des caractéristiques personnelles d</w:t>
      </w:r>
      <w:r w:rsidR="00971129" w:rsidRPr="00911998">
        <w:rPr>
          <w:spacing w:val="-3"/>
        </w:rPr>
        <w:t>’</w:t>
      </w:r>
      <w:r w:rsidRPr="00911998">
        <w:rPr>
          <w:spacing w:val="-3"/>
        </w:rPr>
        <w:t>un individu ou d</w:t>
      </w:r>
      <w:r w:rsidR="00971129" w:rsidRPr="00911998">
        <w:rPr>
          <w:spacing w:val="-3"/>
        </w:rPr>
        <w:t>’</w:t>
      </w:r>
      <w:r w:rsidRPr="00911998">
        <w:rPr>
          <w:spacing w:val="-3"/>
        </w:rPr>
        <w:t>un groupe d</w:t>
      </w:r>
      <w:r w:rsidR="00971129" w:rsidRPr="00911998">
        <w:rPr>
          <w:spacing w:val="-3"/>
        </w:rPr>
        <w:t>’</w:t>
      </w:r>
      <w:r w:rsidRPr="00911998">
        <w:rPr>
          <w:spacing w:val="-3"/>
        </w:rPr>
        <w:t>individus, qui a pour effet d</w:t>
      </w:r>
      <w:r w:rsidR="00971129" w:rsidRPr="00911998">
        <w:rPr>
          <w:spacing w:val="-3"/>
        </w:rPr>
        <w:t>’</w:t>
      </w:r>
      <w:r w:rsidRPr="00911998">
        <w:rPr>
          <w:spacing w:val="-3"/>
        </w:rPr>
        <w:t xml:space="preserve">imposer à cet individu ou à ce groupe des fardeaux, des obligations ou des </w:t>
      </w:r>
      <w:r w:rsidRPr="00911998">
        <w:rPr>
          <w:sz w:val="22"/>
          <w:szCs w:val="22"/>
        </w:rPr>
        <w:t>désavantages</w:t>
      </w:r>
      <w:r w:rsidRPr="00911998">
        <w:rPr>
          <w:spacing w:val="-3"/>
        </w:rPr>
        <w:t xml:space="preserve"> non imposés à d</w:t>
      </w:r>
      <w:r w:rsidR="00971129" w:rsidRPr="00911998">
        <w:rPr>
          <w:spacing w:val="-3"/>
        </w:rPr>
        <w:t>’</w:t>
      </w:r>
      <w:r w:rsidRPr="00911998">
        <w:rPr>
          <w:spacing w:val="-3"/>
        </w:rPr>
        <w:t>autres ou d</w:t>
      </w:r>
      <w:r w:rsidR="00971129" w:rsidRPr="00911998">
        <w:rPr>
          <w:spacing w:val="-3"/>
        </w:rPr>
        <w:t>’</w:t>
      </w:r>
      <w:r w:rsidRPr="00911998">
        <w:rPr>
          <w:spacing w:val="-3"/>
        </w:rPr>
        <w:t>empêcher ou de restreindre l</w:t>
      </w:r>
      <w:r w:rsidR="00971129" w:rsidRPr="00911998">
        <w:rPr>
          <w:spacing w:val="-3"/>
        </w:rPr>
        <w:t>’</w:t>
      </w:r>
      <w:r w:rsidRPr="00911998">
        <w:rPr>
          <w:spacing w:val="-3"/>
        </w:rPr>
        <w:t>accès aux possibilités, aux bénéfices et aux avantages offerts à d</w:t>
      </w:r>
      <w:r w:rsidR="00971129" w:rsidRPr="00911998">
        <w:rPr>
          <w:spacing w:val="-3"/>
        </w:rPr>
        <w:t>’</w:t>
      </w:r>
      <w:r w:rsidRPr="00911998">
        <w:rPr>
          <w:spacing w:val="-3"/>
        </w:rPr>
        <w:t xml:space="preserve">autres membres de la société.  Les distinctions fondées sur des caractéristiques personnelles attribuées à un seul individu en </w:t>
      </w:r>
      <w:r w:rsidRPr="00911998">
        <w:rPr>
          <w:spacing w:val="-3"/>
        </w:rPr>
        <w:lastRenderedPageBreak/>
        <w:t>raison de son association avec un groupe sont presque toujours taxées de discriminatoires, alors que celles fondées sur les mérites et capacités d</w:t>
      </w:r>
      <w:r w:rsidR="00971129" w:rsidRPr="00911998">
        <w:rPr>
          <w:spacing w:val="-3"/>
        </w:rPr>
        <w:t>’</w:t>
      </w:r>
      <w:r w:rsidRPr="00911998">
        <w:rPr>
          <w:spacing w:val="-3"/>
        </w:rPr>
        <w:t>un individu le sont rarement.</w:t>
      </w:r>
    </w:p>
    <w:p w14:paraId="2B9875FA" w14:textId="58941E71" w:rsidR="009A2B97" w:rsidRPr="00911998" w:rsidRDefault="009A2B97" w:rsidP="00506148">
      <w:pPr>
        <w:pStyle w:val="Paragrsimple"/>
        <w:tabs>
          <w:tab w:val="clear" w:pos="360"/>
        </w:tabs>
      </w:pPr>
      <w:r w:rsidRPr="00911998">
        <w:t>Comme l’</w:t>
      </w:r>
      <w:r w:rsidR="00F65A21" w:rsidRPr="00911998">
        <w:t>explique</w:t>
      </w:r>
      <w:r w:rsidRPr="00911998">
        <w:t xml:space="preserve"> la juge </w:t>
      </w:r>
      <w:proofErr w:type="spellStart"/>
      <w:r w:rsidRPr="00911998">
        <w:t>Karakatsanis</w:t>
      </w:r>
      <w:proofErr w:type="spellEnd"/>
      <w:r w:rsidRPr="00911998">
        <w:t xml:space="preserve"> dans l’affaire </w:t>
      </w:r>
      <w:r w:rsidRPr="00911998">
        <w:rPr>
          <w:i/>
          <w:iCs/>
        </w:rPr>
        <w:t>Ontario c. G.</w:t>
      </w:r>
      <w:r w:rsidRPr="00911998">
        <w:rPr>
          <w:rStyle w:val="Appelnotedebasdep"/>
        </w:rPr>
        <w:footnoteReference w:id="137"/>
      </w:r>
      <w:r w:rsidRPr="00911998">
        <w:rPr>
          <w:i/>
          <w:iCs/>
        </w:rPr>
        <w:t> </w:t>
      </w:r>
      <w:r w:rsidRPr="00911998">
        <w:t>:</w:t>
      </w:r>
    </w:p>
    <w:p w14:paraId="7F8C32E2" w14:textId="49487A9E" w:rsidR="00F54C1B" w:rsidRPr="00911998" w:rsidRDefault="00F54C1B" w:rsidP="00F54C1B">
      <w:pPr>
        <w:ind w:left="567" w:right="560"/>
        <w:jc w:val="both"/>
        <w:rPr>
          <w:sz w:val="22"/>
          <w:szCs w:val="22"/>
        </w:rPr>
      </w:pPr>
      <w:r w:rsidRPr="00911998">
        <w:rPr>
          <w:rFonts w:cs="Arial"/>
          <w:sz w:val="22"/>
          <w:szCs w:val="22"/>
        </w:rPr>
        <w:t>[39</w:t>
      </w:r>
      <w:proofErr w:type="gramStart"/>
      <w:r w:rsidRPr="00911998">
        <w:rPr>
          <w:rFonts w:cs="Arial"/>
          <w:sz w:val="22"/>
          <w:szCs w:val="22"/>
        </w:rPr>
        <w:t>]  [</w:t>
      </w:r>
      <w:proofErr w:type="gramEnd"/>
      <w:r w:rsidRPr="00911998">
        <w:rPr>
          <w:rFonts w:cs="Arial"/>
          <w:sz w:val="22"/>
          <w:szCs w:val="22"/>
        </w:rPr>
        <w:t xml:space="preserve">…] </w:t>
      </w:r>
      <w:r w:rsidRPr="00911998">
        <w:rPr>
          <w:sz w:val="22"/>
          <w:szCs w:val="22"/>
        </w:rPr>
        <w:t xml:space="preserve">La garantie d’égalité vise à prévenir la discrimination envers les groupes victimes de désavantages sociaux, politiques et juridiques dans la société canadienne et à remédier à cette discrimination </w:t>
      </w:r>
      <w:r w:rsidRPr="00911998">
        <w:rPr>
          <w:rFonts w:cs="Arial"/>
          <w:sz w:val="22"/>
          <w:szCs w:val="22"/>
        </w:rPr>
        <w:t>[…]</w:t>
      </w:r>
      <w:r w:rsidRPr="00911998">
        <w:rPr>
          <w:sz w:val="22"/>
          <w:szCs w:val="22"/>
        </w:rPr>
        <w:t xml:space="preserve">. Cette </w:t>
      </w:r>
      <w:r w:rsidRPr="00911998">
        <w:rPr>
          <w:spacing w:val="-3"/>
          <w:sz w:val="22"/>
          <w:szCs w:val="22"/>
        </w:rPr>
        <w:t>garantie</w:t>
      </w:r>
      <w:r w:rsidRPr="00911998">
        <w:rPr>
          <w:sz w:val="22"/>
          <w:szCs w:val="22"/>
        </w:rPr>
        <w:t xml:space="preserve"> exprime un engagement à reconnaître l’essentielle et inaliénable égalité de valeur des personnes par le truchement de la loi </w:t>
      </w:r>
      <w:r w:rsidRPr="00911998">
        <w:rPr>
          <w:rFonts w:cs="Arial"/>
          <w:sz w:val="22"/>
          <w:szCs w:val="22"/>
        </w:rPr>
        <w:t>[…]</w:t>
      </w:r>
      <w:r w:rsidRPr="00911998">
        <w:rPr>
          <w:sz w:val="22"/>
          <w:szCs w:val="22"/>
        </w:rPr>
        <w:t>.</w:t>
      </w:r>
    </w:p>
    <w:p w14:paraId="69FF0284" w14:textId="45FE6DB7" w:rsidR="000F5A8D" w:rsidRPr="00911998" w:rsidRDefault="000F5A8D" w:rsidP="000F5A8D">
      <w:pPr>
        <w:pStyle w:val="Paragrsimple"/>
        <w:numPr>
          <w:ilvl w:val="0"/>
          <w:numId w:val="0"/>
        </w:numPr>
      </w:pPr>
      <w:r w:rsidRPr="00911998">
        <w:t>Cela dit, et bien qu</w:t>
      </w:r>
      <w:r w:rsidR="007B0DB5" w:rsidRPr="00911998">
        <w:t>’un</w:t>
      </w:r>
      <w:r w:rsidRPr="00911998">
        <w:t xml:space="preserve"> </w:t>
      </w:r>
      <w:r w:rsidR="007B0DB5" w:rsidRPr="00911998">
        <w:t>des</w:t>
      </w:r>
      <w:r w:rsidRPr="00911998">
        <w:t xml:space="preserve"> </w:t>
      </w:r>
      <w:r w:rsidR="007B0DB5" w:rsidRPr="00911998">
        <w:t xml:space="preserve">objectifs fondamentaux du </w:t>
      </w:r>
      <w:r w:rsidRPr="00911998">
        <w:t xml:space="preserve">paragraphe 15(1) </w:t>
      </w:r>
      <w:r w:rsidR="007B0DB5" w:rsidRPr="00911998">
        <w:t>est d’améliorer la situation des</w:t>
      </w:r>
      <w:r w:rsidRPr="00911998">
        <w:t xml:space="preserve"> groupes défavorisés</w:t>
      </w:r>
      <w:r w:rsidR="007B0DB5" w:rsidRPr="00911998">
        <w:t xml:space="preserve"> au sein de la société</w:t>
      </w:r>
      <w:r w:rsidRPr="00911998">
        <w:t>, il demeure que cette disposition « n’a pas pour effet d’imposer à l’État une obligation positive générale de remédier aux inégalités sociales ou d’adopter des lois réparatrices »</w:t>
      </w:r>
      <w:r w:rsidRPr="00911998">
        <w:rPr>
          <w:rStyle w:val="Appelnotedebasdep"/>
          <w:rFonts w:cs="Arial"/>
        </w:rPr>
        <w:footnoteReference w:id="138"/>
      </w:r>
      <w:r w:rsidRPr="00911998">
        <w:t xml:space="preserve">. </w:t>
      </w:r>
    </w:p>
    <w:p w14:paraId="321357EA" w14:textId="0E25061E" w:rsidR="00506148" w:rsidRPr="00911998" w:rsidRDefault="00506148" w:rsidP="00506148">
      <w:pPr>
        <w:pStyle w:val="Paragrsimple"/>
        <w:tabs>
          <w:tab w:val="clear" w:pos="360"/>
        </w:tabs>
      </w:pPr>
      <w:r w:rsidRPr="00911998">
        <w:t xml:space="preserve">Depuis </w:t>
      </w:r>
      <w:r w:rsidR="009A2B97" w:rsidRPr="00911998">
        <w:t>l’</w:t>
      </w:r>
      <w:r w:rsidRPr="00911998">
        <w:t>arrêt</w:t>
      </w:r>
      <w:r w:rsidR="009A2B97" w:rsidRPr="00911998">
        <w:t xml:space="preserve"> </w:t>
      </w:r>
      <w:r w:rsidR="009A2B97" w:rsidRPr="00911998">
        <w:rPr>
          <w:i/>
          <w:iCs/>
        </w:rPr>
        <w:t>Andrews</w:t>
      </w:r>
      <w:r w:rsidRPr="00911998">
        <w:t xml:space="preserve">, il est établi que l’article 15 de la </w:t>
      </w:r>
      <w:r w:rsidRPr="00911998">
        <w:rPr>
          <w:i/>
          <w:iCs/>
        </w:rPr>
        <w:t xml:space="preserve">Charte canadienne </w:t>
      </w:r>
      <w:r w:rsidR="009F031B" w:rsidRPr="00911998">
        <w:t xml:space="preserve">ne </w:t>
      </w:r>
      <w:r w:rsidRPr="00911998">
        <w:t xml:space="preserve">protège </w:t>
      </w:r>
      <w:r w:rsidR="009F031B" w:rsidRPr="00911998">
        <w:t xml:space="preserve">pas une </w:t>
      </w:r>
      <w:r w:rsidRPr="00911998">
        <w:t>simple égalité formelle aux termes d’un traitement identique</w:t>
      </w:r>
      <w:r w:rsidR="009F031B" w:rsidRPr="00911998">
        <w:t>, mais bien ce que la jurisprudence qualifie d’égalité réelle («</w:t>
      </w:r>
      <w:r w:rsidR="00856EA3" w:rsidRPr="00911998">
        <w:t> </w:t>
      </w:r>
      <w:r w:rsidR="009F031B" w:rsidRPr="00911998">
        <w:rPr>
          <w:i/>
          <w:iCs/>
        </w:rPr>
        <w:t xml:space="preserve">substantive </w:t>
      </w:r>
      <w:proofErr w:type="spellStart"/>
      <w:r w:rsidR="009F031B" w:rsidRPr="00911998">
        <w:rPr>
          <w:i/>
          <w:iCs/>
        </w:rPr>
        <w:t>equality</w:t>
      </w:r>
      <w:proofErr w:type="spellEnd"/>
      <w:r w:rsidR="00856EA3" w:rsidRPr="00911998">
        <w:t> </w:t>
      </w:r>
      <w:r w:rsidR="009F031B" w:rsidRPr="00911998">
        <w:t>»)</w:t>
      </w:r>
      <w:r w:rsidR="002C5B80" w:rsidRPr="00911998">
        <w:rPr>
          <w:rStyle w:val="Appelnotedebasdep"/>
        </w:rPr>
        <w:footnoteReference w:id="139"/>
      </w:r>
      <w:r w:rsidRPr="00911998">
        <w:t>.</w:t>
      </w:r>
      <w:r w:rsidR="003D6341" w:rsidRPr="00911998">
        <w:t xml:space="preserve"> Cette notion reconna</w:t>
      </w:r>
      <w:r w:rsidR="00F65A21" w:rsidRPr="00911998">
        <w:t>î</w:t>
      </w:r>
      <w:r w:rsidR="003D6341" w:rsidRPr="00911998">
        <w:t>t qu’un traitement identique peut souvent engendrer de graves inégalités porta</w:t>
      </w:r>
      <w:r w:rsidR="003715AA" w:rsidRPr="00911998">
        <w:t>nt atteinte au paragraphe 15(1)</w:t>
      </w:r>
      <w:r w:rsidR="003715AA" w:rsidRPr="00911998">
        <w:rPr>
          <w:rStyle w:val="Appelnotedebasdep"/>
        </w:rPr>
        <w:footnoteReference w:id="140"/>
      </w:r>
      <w:r w:rsidR="003715AA" w:rsidRPr="00911998">
        <w:t>.</w:t>
      </w:r>
      <w:r w:rsidR="003E5B3E" w:rsidRPr="00911998">
        <w:t xml:space="preserve"> Comme le rappelle récemment le juge Hamilton dans l’arrêt </w:t>
      </w:r>
      <w:r w:rsidR="003E5B3E" w:rsidRPr="00911998">
        <w:rPr>
          <w:rFonts w:cs="Arial"/>
          <w:i/>
          <w:iCs/>
          <w:shd w:val="clear" w:color="auto" w:fill="FFFFFF"/>
        </w:rPr>
        <w:t>Centre de lutte contre l’oppression des genres</w:t>
      </w:r>
      <w:r w:rsidR="003E5B3E" w:rsidRPr="00911998">
        <w:rPr>
          <w:rFonts w:cs="Arial"/>
          <w:shd w:val="clear" w:color="auto" w:fill="FFFFFF"/>
        </w:rPr>
        <w:t>, « un traitement identique ou neutre à première vue peut être discriminatoire parce qu’il ne tient pas compte des “véritables caractéristiques [d’un] groupe qui l’empêchent de jouir des avantages de la société” »</w:t>
      </w:r>
      <w:r w:rsidR="003E5B3E" w:rsidRPr="00911998">
        <w:rPr>
          <w:rStyle w:val="Appelnotedebasdep"/>
          <w:rFonts w:cs="Arial"/>
          <w:shd w:val="clear" w:color="auto" w:fill="FFFFFF"/>
        </w:rPr>
        <w:footnoteReference w:id="141"/>
      </w:r>
      <w:r w:rsidR="003E5B3E" w:rsidRPr="00911998">
        <w:rPr>
          <w:rFonts w:cs="Arial"/>
          <w:shd w:val="clear" w:color="auto" w:fill="FFFFFF"/>
        </w:rPr>
        <w:t>.</w:t>
      </w:r>
    </w:p>
    <w:p w14:paraId="064ADB66" w14:textId="0D4EFCF3" w:rsidR="00387198" w:rsidRPr="00911998" w:rsidRDefault="00C65EEE" w:rsidP="009F031B">
      <w:pPr>
        <w:pStyle w:val="Paragrsimple"/>
        <w:tabs>
          <w:tab w:val="clear" w:pos="360"/>
        </w:tabs>
      </w:pPr>
      <w:r w:rsidRPr="00911998">
        <w:t xml:space="preserve">Bien que fondamentale, </w:t>
      </w:r>
      <w:r w:rsidR="005413D4" w:rsidRPr="00911998">
        <w:t>la</w:t>
      </w:r>
      <w:r w:rsidRPr="00911998">
        <w:t xml:space="preserve"> notion d’égalité réelle s’est </w:t>
      </w:r>
      <w:r w:rsidR="00F65A21" w:rsidRPr="00911998">
        <w:t>avér</w:t>
      </w:r>
      <w:r w:rsidRPr="00911998">
        <w:t>ée fuyante et difficile à cerner, y compris pour la Cour suprême du Canada</w:t>
      </w:r>
      <w:r w:rsidR="001C6878" w:rsidRPr="00911998">
        <w:t>. A</w:t>
      </w:r>
      <w:r w:rsidRPr="00911998">
        <w:t xml:space="preserve">u fil des ans, </w:t>
      </w:r>
      <w:r w:rsidR="001C6878" w:rsidRPr="00911998">
        <w:t>celle</w:t>
      </w:r>
      <w:r w:rsidR="001C6878" w:rsidRPr="00911998">
        <w:noBreakHyphen/>
        <w:t xml:space="preserve">ci </w:t>
      </w:r>
      <w:r w:rsidRPr="00911998">
        <w:t xml:space="preserve">a modifié le critère pour l’application du paragraphe 15(1) de la </w:t>
      </w:r>
      <w:r w:rsidRPr="00911998">
        <w:rPr>
          <w:i/>
          <w:iCs/>
        </w:rPr>
        <w:t xml:space="preserve">Charte canadienne </w:t>
      </w:r>
      <w:r w:rsidR="00D3150E" w:rsidRPr="00911998">
        <w:t>à plusieurs</w:t>
      </w:r>
      <w:r w:rsidRPr="00911998">
        <w:t xml:space="preserve"> reprises.</w:t>
      </w:r>
      <w:r w:rsidR="002D457E" w:rsidRPr="00911998">
        <w:t xml:space="preserve"> Cette difficulté dans l’application du droit à l’égalité se manifeste surtout en matière de discrimination par suite d’un effet préjudiciable</w:t>
      </w:r>
      <w:r w:rsidR="005B060F" w:rsidRPr="00911998">
        <w:t xml:space="preserve"> (également dénommée «</w:t>
      </w:r>
      <w:r w:rsidR="00856EA3" w:rsidRPr="00911998">
        <w:t> </w:t>
      </w:r>
      <w:r w:rsidR="005B060F" w:rsidRPr="00911998">
        <w:t>discrimination indirecte</w:t>
      </w:r>
      <w:r w:rsidR="00856EA3" w:rsidRPr="00911998">
        <w:t> </w:t>
      </w:r>
      <w:r w:rsidR="005B060F" w:rsidRPr="00911998">
        <w:t>»)</w:t>
      </w:r>
      <w:r w:rsidR="002D457E" w:rsidRPr="00911998">
        <w:t>, c’est-à-dire lorsque l</w:t>
      </w:r>
      <w:r w:rsidR="00695F70" w:rsidRPr="00911998">
        <w:t xml:space="preserve">’application d’une </w:t>
      </w:r>
      <w:r w:rsidR="002D457E" w:rsidRPr="00911998">
        <w:t>loi</w:t>
      </w:r>
      <w:r w:rsidR="00695F70" w:rsidRPr="00911998">
        <w:t xml:space="preserve"> en apparence neutre produit des effets disproportionnés sur les membres d’un groupe protégé</w:t>
      </w:r>
      <w:r w:rsidR="0073286F" w:rsidRPr="00911998">
        <w:t xml:space="preserve"> </w:t>
      </w:r>
      <w:r w:rsidR="00F65A21" w:rsidRPr="00911998">
        <w:t>en vertu du</w:t>
      </w:r>
      <w:r w:rsidR="000F28D9" w:rsidRPr="00911998">
        <w:t xml:space="preserve"> paragraphe </w:t>
      </w:r>
      <w:r w:rsidR="0073286F" w:rsidRPr="00911998">
        <w:t>15</w:t>
      </w:r>
      <w:r w:rsidR="000F28D9" w:rsidRPr="00911998">
        <w:t>(1)</w:t>
      </w:r>
      <w:r w:rsidR="0048501A" w:rsidRPr="00911998">
        <w:rPr>
          <w:rStyle w:val="Appelnotedebasdep"/>
        </w:rPr>
        <w:footnoteReference w:id="142"/>
      </w:r>
      <w:r w:rsidR="002D457E" w:rsidRPr="00911998">
        <w:t>.</w:t>
      </w:r>
    </w:p>
    <w:p w14:paraId="68A36BCF" w14:textId="0351FCAB" w:rsidR="002D457E" w:rsidRPr="00911998" w:rsidRDefault="00727747" w:rsidP="002D457E">
      <w:pPr>
        <w:pStyle w:val="Paragrsimple"/>
        <w:tabs>
          <w:tab w:val="clear" w:pos="360"/>
        </w:tabs>
      </w:pPr>
      <w:r w:rsidRPr="00911998">
        <w:lastRenderedPageBreak/>
        <w:t>En 2022, d</w:t>
      </w:r>
      <w:r w:rsidR="002D457E" w:rsidRPr="00911998">
        <w:t xml:space="preserve">ans l’arrêt </w:t>
      </w:r>
      <w:r w:rsidR="002D457E" w:rsidRPr="00911998">
        <w:rPr>
          <w:i/>
          <w:iCs/>
        </w:rPr>
        <w:t>R. c. Sharma</w:t>
      </w:r>
      <w:r w:rsidR="002D457E" w:rsidRPr="00911998">
        <w:t xml:space="preserve">, la majorité de la Cour suprême reformule le critère </w:t>
      </w:r>
      <w:r w:rsidR="000F28D9" w:rsidRPr="00911998">
        <w:t>d’application du</w:t>
      </w:r>
      <w:r w:rsidR="005A7307" w:rsidRPr="00911998">
        <w:t xml:space="preserve"> paragraphe 15(1) de la </w:t>
      </w:r>
      <w:r w:rsidR="005A7307" w:rsidRPr="00911998">
        <w:rPr>
          <w:i/>
          <w:iCs/>
        </w:rPr>
        <w:t>Charte canadienne</w:t>
      </w:r>
      <w:r w:rsidR="005A7307" w:rsidRPr="00911998">
        <w:t xml:space="preserve"> dans </w:t>
      </w:r>
      <w:r w:rsidR="00A03A34" w:rsidRPr="00911998">
        <w:t>le but d’élaborer</w:t>
      </w:r>
      <w:r w:rsidR="005A7307" w:rsidRPr="00911998">
        <w:t xml:space="preserve"> un cadre d’analyse </w:t>
      </w:r>
      <w:r w:rsidR="00A03A34" w:rsidRPr="00911998">
        <w:t xml:space="preserve">prévisible et </w:t>
      </w:r>
      <w:r w:rsidR="005A7307" w:rsidRPr="00911998">
        <w:t>clair</w:t>
      </w:r>
      <w:r w:rsidR="00A03A34" w:rsidRPr="00911998">
        <w:rPr>
          <w:rStyle w:val="Appelnotedebasdep"/>
        </w:rPr>
        <w:footnoteReference w:id="143"/>
      </w:r>
      <w:r w:rsidR="005A7307" w:rsidRPr="00911998">
        <w:t xml:space="preserve">. </w:t>
      </w:r>
      <w:r w:rsidR="00B00CAB" w:rsidRPr="00911998">
        <w:t xml:space="preserve">Ainsi, dans leurs motifs conjoints, les juges Brown et Rowe </w:t>
      </w:r>
      <w:r w:rsidR="0073286F" w:rsidRPr="00911998">
        <w:t>confirment</w:t>
      </w:r>
      <w:r w:rsidR="00B00CAB" w:rsidRPr="00911998">
        <w:t xml:space="preserve"> </w:t>
      </w:r>
      <w:r w:rsidR="00A03A34" w:rsidRPr="00911998">
        <w:t xml:space="preserve">qu’une demande fondée sur cette disposition </w:t>
      </w:r>
      <w:r w:rsidR="00F65A21" w:rsidRPr="00911998">
        <w:t xml:space="preserve">est </w:t>
      </w:r>
      <w:r w:rsidR="00A03A34" w:rsidRPr="00911998">
        <w:t>évalu</w:t>
      </w:r>
      <w:r w:rsidR="00F65A21" w:rsidRPr="00911998">
        <w:t>é</w:t>
      </w:r>
      <w:r w:rsidR="00A03A34" w:rsidRPr="00911998">
        <w:t xml:space="preserve">e en fonction d’un critère à deux volets selon </w:t>
      </w:r>
      <w:r w:rsidR="00856EA3" w:rsidRPr="00911998">
        <w:t>lequel</w:t>
      </w:r>
      <w:r w:rsidR="00A03A34" w:rsidRPr="00911998">
        <w:t xml:space="preserve"> le demandeur doit établir que la loi</w:t>
      </w:r>
      <w:r w:rsidR="00A03A34" w:rsidRPr="00911998">
        <w:rPr>
          <w:rStyle w:val="Appelnotedebasdep"/>
        </w:rPr>
        <w:footnoteReference w:id="144"/>
      </w:r>
      <w:r w:rsidR="00A03A34" w:rsidRPr="00911998">
        <w:t> :</w:t>
      </w:r>
    </w:p>
    <w:p w14:paraId="77F8D953" w14:textId="1FBA8585" w:rsidR="00A03A34" w:rsidRPr="00911998" w:rsidRDefault="00A03A34" w:rsidP="00A03A34">
      <w:pPr>
        <w:ind w:left="567" w:right="560"/>
        <w:jc w:val="both"/>
        <w:rPr>
          <w:rFonts w:cs="Arial"/>
          <w:sz w:val="22"/>
          <w:szCs w:val="22"/>
        </w:rPr>
      </w:pPr>
      <w:r w:rsidRPr="00911998">
        <w:rPr>
          <w:rFonts w:cs="Arial"/>
          <w:sz w:val="22"/>
          <w:szCs w:val="22"/>
        </w:rPr>
        <w:t>a)</w:t>
      </w:r>
      <w:r w:rsidR="006C7616" w:rsidRPr="00911998">
        <w:rPr>
          <w:rFonts w:cs="Arial"/>
          <w:sz w:val="22"/>
          <w:szCs w:val="22"/>
        </w:rPr>
        <w:t>  </w:t>
      </w:r>
      <w:r w:rsidRPr="00911998">
        <w:rPr>
          <w:rFonts w:cs="Arial"/>
          <w:sz w:val="22"/>
          <w:szCs w:val="22"/>
        </w:rPr>
        <w:t xml:space="preserve">crée, à première vue ou </w:t>
      </w:r>
      <w:proofErr w:type="gramStart"/>
      <w:r w:rsidRPr="00911998">
        <w:rPr>
          <w:rFonts w:cs="Arial"/>
          <w:sz w:val="22"/>
          <w:szCs w:val="22"/>
        </w:rPr>
        <w:t>de par</w:t>
      </w:r>
      <w:proofErr w:type="gramEnd"/>
      <w:r w:rsidRPr="00911998">
        <w:rPr>
          <w:rFonts w:cs="Arial"/>
          <w:sz w:val="22"/>
          <w:szCs w:val="22"/>
        </w:rPr>
        <w:t xml:space="preserve"> son effet, une distinction fondée sur un motif énuméré ou analogue;</w:t>
      </w:r>
    </w:p>
    <w:p w14:paraId="1FE45E11" w14:textId="77777777" w:rsidR="00A03A34" w:rsidRPr="00911998" w:rsidRDefault="00A03A34" w:rsidP="00A03A34">
      <w:pPr>
        <w:ind w:left="567" w:right="560"/>
        <w:jc w:val="both"/>
        <w:rPr>
          <w:rFonts w:cs="Arial"/>
          <w:sz w:val="22"/>
          <w:szCs w:val="22"/>
          <w:lang w:eastAsia="fr-CA"/>
        </w:rPr>
      </w:pPr>
    </w:p>
    <w:p w14:paraId="20B64EB9" w14:textId="0A9682D9" w:rsidR="00A03A34" w:rsidRPr="00911998" w:rsidRDefault="00A03A34" w:rsidP="00A03A34">
      <w:pPr>
        <w:ind w:left="567" w:right="560"/>
        <w:jc w:val="both"/>
        <w:rPr>
          <w:rFonts w:cs="Arial"/>
          <w:sz w:val="22"/>
          <w:szCs w:val="22"/>
        </w:rPr>
      </w:pPr>
      <w:r w:rsidRPr="00911998">
        <w:rPr>
          <w:rFonts w:cs="Arial"/>
          <w:sz w:val="22"/>
          <w:szCs w:val="22"/>
        </w:rPr>
        <w:t>b)</w:t>
      </w:r>
      <w:r w:rsidR="006C7616" w:rsidRPr="00911998">
        <w:rPr>
          <w:rFonts w:cs="Arial"/>
          <w:sz w:val="22"/>
          <w:szCs w:val="22"/>
        </w:rPr>
        <w:t>  </w:t>
      </w:r>
      <w:r w:rsidRPr="00911998">
        <w:rPr>
          <w:rFonts w:cs="Arial"/>
          <w:sz w:val="22"/>
          <w:szCs w:val="22"/>
        </w:rPr>
        <w:t>impose un fardeau ou nie un avantage d’une manière qui a pour effet de renforcer, de perpétuer ou d’accentuer le désavantage […]. </w:t>
      </w:r>
    </w:p>
    <w:p w14:paraId="6AA85A71" w14:textId="05B03390" w:rsidR="00D34BA8" w:rsidRPr="00911998" w:rsidRDefault="0073286F" w:rsidP="0073286F">
      <w:pPr>
        <w:pStyle w:val="Paragrsimple"/>
        <w:tabs>
          <w:tab w:val="clear" w:pos="360"/>
        </w:tabs>
      </w:pPr>
      <w:r w:rsidRPr="00911998">
        <w:t>À la première étape</w:t>
      </w:r>
      <w:r w:rsidR="00D34BA8" w:rsidRPr="00911998">
        <w:t>, la partie demanderesse supporte le fardeau de démontrer que la loi crée ou contribue à une distinction, c’est-à-dire qu’elle est traitée différemment des autres, que ce soit directement ou indirectement, et ce, en raison d’un motif prohibé énuméré au paragraphe 15(1) ou analogue à ceux</w:t>
      </w:r>
      <w:r w:rsidR="00D34BA8" w:rsidRPr="00911998">
        <w:noBreakHyphen/>
        <w:t>ci</w:t>
      </w:r>
      <w:r w:rsidR="00981FF1" w:rsidRPr="00911998">
        <w:t>, les motifs de discrimination proscrits par cette disposition ne faisant pas l’objet d’une énumération exhaustive</w:t>
      </w:r>
      <w:r w:rsidR="00D34BA8" w:rsidRPr="00911998">
        <w:t xml:space="preserve">. </w:t>
      </w:r>
    </w:p>
    <w:p w14:paraId="10D885B0" w14:textId="27A9E627" w:rsidR="00A03A34" w:rsidRPr="00911998" w:rsidRDefault="00D34BA8" w:rsidP="0073286F">
      <w:pPr>
        <w:pStyle w:val="Paragrsimple"/>
        <w:tabs>
          <w:tab w:val="clear" w:pos="360"/>
        </w:tabs>
      </w:pPr>
      <w:r w:rsidRPr="00911998">
        <w:t>À ce chapitre, le droit à l’égalité est une notion fondamentalement comparative</w:t>
      </w:r>
      <w:r w:rsidR="002C5B80" w:rsidRPr="00911998">
        <w:rPr>
          <w:rStyle w:val="Appelnotedebasdep"/>
        </w:rPr>
        <w:footnoteReference w:id="145"/>
      </w:r>
      <w:r w:rsidRPr="00911998">
        <w:t>. En somme,</w:t>
      </w:r>
      <w:r w:rsidR="00B9506A" w:rsidRPr="00911998">
        <w:t xml:space="preserve"> si l’dentification d’un groupe de comparaison aux caractéristiques identiques n’est plus nécessaire</w:t>
      </w:r>
      <w:r w:rsidR="00B9506A" w:rsidRPr="00911998">
        <w:rPr>
          <w:rStyle w:val="Appelnotedebasdep"/>
        </w:rPr>
        <w:footnoteReference w:id="146"/>
      </w:r>
      <w:r w:rsidR="00B9506A" w:rsidRPr="00911998">
        <w:t>,</w:t>
      </w:r>
      <w:r w:rsidRPr="00911998">
        <w:t xml:space="preserve"> il faut</w:t>
      </w:r>
      <w:r w:rsidR="0073286F" w:rsidRPr="00911998">
        <w:t xml:space="preserve"> </w:t>
      </w:r>
      <w:r w:rsidR="00B22C7F" w:rsidRPr="00911998">
        <w:t>«</w:t>
      </w:r>
      <w:r w:rsidR="00856EA3" w:rsidRPr="00911998">
        <w:t> </w:t>
      </w:r>
      <w:r w:rsidR="0073286F" w:rsidRPr="00911998">
        <w:t>établir une </w:t>
      </w:r>
      <w:r w:rsidR="0073286F" w:rsidRPr="00911998">
        <w:rPr>
          <w:i/>
          <w:iCs/>
        </w:rPr>
        <w:t>comparaison </w:t>
      </w:r>
      <w:r w:rsidR="0073286F" w:rsidRPr="00911998">
        <w:t>entre le groupe demandeur et d’autres groupes ou la population générale</w:t>
      </w:r>
      <w:r w:rsidR="00856EA3" w:rsidRPr="00911998">
        <w:t> </w:t>
      </w:r>
      <w:r w:rsidR="0073286F" w:rsidRPr="00911998">
        <w:t>»</w:t>
      </w:r>
      <w:r w:rsidR="0073286F" w:rsidRPr="00911998">
        <w:rPr>
          <w:rStyle w:val="Appelnotedebasdep"/>
        </w:rPr>
        <w:footnoteReference w:id="147"/>
      </w:r>
      <w:r w:rsidR="006D510B" w:rsidRPr="00911998">
        <w:t xml:space="preserve"> (italiques dans l’original)</w:t>
      </w:r>
      <w:r w:rsidR="0073286F" w:rsidRPr="00911998">
        <w:t>.</w:t>
      </w:r>
      <w:r w:rsidRPr="00911998">
        <w:t xml:space="preserve"> Comme l’expliquent les juges Brown et Rowe dans l’arrêt </w:t>
      </w:r>
      <w:r w:rsidRPr="00911998">
        <w:rPr>
          <w:i/>
          <w:iCs/>
        </w:rPr>
        <w:t>Sharma</w:t>
      </w:r>
      <w:r w:rsidR="006C7616" w:rsidRPr="00911998">
        <w:rPr>
          <w:rStyle w:val="Appelnotedebasdep"/>
        </w:rPr>
        <w:footnoteReference w:id="148"/>
      </w:r>
      <w:r w:rsidRPr="00911998">
        <w:rPr>
          <w:i/>
          <w:iCs/>
        </w:rPr>
        <w:t> </w:t>
      </w:r>
      <w:r w:rsidRPr="00911998">
        <w:t>:</w:t>
      </w:r>
    </w:p>
    <w:p w14:paraId="7ACA4F8B" w14:textId="77743EA7" w:rsidR="00D34BA8" w:rsidRPr="00911998" w:rsidRDefault="00D34BA8" w:rsidP="00D34BA8">
      <w:pPr>
        <w:ind w:left="567" w:right="560"/>
        <w:jc w:val="both"/>
        <w:rPr>
          <w:sz w:val="22"/>
          <w:szCs w:val="22"/>
        </w:rPr>
      </w:pPr>
      <w:r w:rsidRPr="00911998">
        <w:rPr>
          <w:sz w:val="22"/>
          <w:szCs w:val="22"/>
        </w:rPr>
        <w:t>[</w:t>
      </w:r>
      <w:bookmarkStart w:id="53" w:name="par40"/>
      <w:r w:rsidRPr="00911998">
        <w:rPr>
          <w:sz w:val="22"/>
          <w:szCs w:val="22"/>
        </w:rPr>
        <w:t>40</w:t>
      </w:r>
      <w:bookmarkEnd w:id="53"/>
      <w:proofErr w:type="gramStart"/>
      <w:r w:rsidRPr="00911998">
        <w:rPr>
          <w:sz w:val="22"/>
          <w:szCs w:val="22"/>
        </w:rPr>
        <w:t>]  Il</w:t>
      </w:r>
      <w:proofErr w:type="gramEnd"/>
      <w:r w:rsidRPr="00911998">
        <w:rPr>
          <w:sz w:val="22"/>
          <w:szCs w:val="22"/>
        </w:rPr>
        <w:t xml:space="preserve"> y a tout d’abord lieu de faire une différence entre un effet et un effet </w:t>
      </w:r>
      <w:r w:rsidRPr="00911998">
        <w:rPr>
          <w:i/>
          <w:iCs/>
          <w:sz w:val="22"/>
          <w:szCs w:val="22"/>
        </w:rPr>
        <w:t>disproportionné</w:t>
      </w:r>
      <w:r w:rsidRPr="00911998">
        <w:rPr>
          <w:sz w:val="22"/>
          <w:szCs w:val="22"/>
        </w:rPr>
        <w:t xml:space="preserve">. Toutes les lois sont censées avoir un certain effet sur les personnes; il ne suffit donc pas de démontrer que la loi a des effets sur un groupe protégé. </w:t>
      </w:r>
      <w:r w:rsidRPr="00911998">
        <w:rPr>
          <w:sz w:val="22"/>
          <w:szCs w:val="22"/>
          <w:u w:val="single"/>
        </w:rPr>
        <w:t>À la première étape du critère du par. 15(1), les demandeurs doivent démontrer que la loi a un effet</w:t>
      </w:r>
      <w:r w:rsidRPr="00911998">
        <w:rPr>
          <w:i/>
          <w:iCs/>
          <w:sz w:val="22"/>
          <w:szCs w:val="22"/>
          <w:u w:val="single"/>
        </w:rPr>
        <w:t> disproportionné</w:t>
      </w:r>
      <w:r w:rsidRPr="00911998">
        <w:rPr>
          <w:sz w:val="22"/>
          <w:szCs w:val="22"/>
          <w:u w:val="single"/>
        </w:rPr>
        <w:t> sur un groupe protégé par rapport aux personnes qui ne font pas partie de ce groupe</w:t>
      </w:r>
      <w:r w:rsidRPr="00911998">
        <w:rPr>
          <w:sz w:val="22"/>
          <w:szCs w:val="22"/>
        </w:rPr>
        <w:t>. Autrement dit, le fait de </w:t>
      </w:r>
      <w:r w:rsidRPr="00911998">
        <w:rPr>
          <w:i/>
          <w:iCs/>
          <w:sz w:val="22"/>
          <w:szCs w:val="22"/>
        </w:rPr>
        <w:t>laisser subsister</w:t>
      </w:r>
      <w:r w:rsidRPr="00911998">
        <w:rPr>
          <w:sz w:val="22"/>
          <w:szCs w:val="22"/>
        </w:rPr>
        <w:t> un écart entre le traitement d’un groupe protégé et le traitement des personnes ne faisant pas partie de ce groupe ne viole pas le par. 15(1).</w:t>
      </w:r>
    </w:p>
    <w:p w14:paraId="1A94EE0D" w14:textId="77777777" w:rsidR="006C7616" w:rsidRPr="00911998" w:rsidRDefault="006C7616" w:rsidP="00D34BA8">
      <w:pPr>
        <w:ind w:left="567" w:right="560"/>
        <w:jc w:val="both"/>
        <w:rPr>
          <w:sz w:val="22"/>
          <w:szCs w:val="22"/>
        </w:rPr>
      </w:pPr>
    </w:p>
    <w:p w14:paraId="008D23C1" w14:textId="370B3A33" w:rsidR="006C7616" w:rsidRPr="00911998" w:rsidRDefault="006C7616" w:rsidP="00D34BA8">
      <w:pPr>
        <w:ind w:left="567" w:right="560"/>
        <w:jc w:val="both"/>
        <w:rPr>
          <w:rFonts w:cs="Arial"/>
          <w:sz w:val="22"/>
          <w:szCs w:val="22"/>
        </w:rPr>
      </w:pPr>
      <w:r w:rsidRPr="00911998">
        <w:rPr>
          <w:rFonts w:cs="Arial"/>
          <w:sz w:val="22"/>
          <w:szCs w:val="22"/>
        </w:rPr>
        <w:t>[…]</w:t>
      </w:r>
    </w:p>
    <w:p w14:paraId="40E0DA7B" w14:textId="77777777" w:rsidR="006C7616" w:rsidRPr="00911998" w:rsidRDefault="006C7616" w:rsidP="00D34BA8">
      <w:pPr>
        <w:ind w:left="567" w:right="560"/>
        <w:jc w:val="both"/>
        <w:rPr>
          <w:rFonts w:cs="Arial"/>
          <w:sz w:val="22"/>
          <w:szCs w:val="22"/>
        </w:rPr>
      </w:pPr>
    </w:p>
    <w:p w14:paraId="30638719" w14:textId="2DCB549B" w:rsidR="006C7616" w:rsidRPr="00911998" w:rsidRDefault="006C7616" w:rsidP="00D34BA8">
      <w:pPr>
        <w:ind w:left="567" w:right="560"/>
        <w:jc w:val="both"/>
        <w:rPr>
          <w:sz w:val="22"/>
          <w:szCs w:val="22"/>
        </w:rPr>
      </w:pPr>
      <w:r w:rsidRPr="00911998">
        <w:rPr>
          <w:sz w:val="22"/>
          <w:szCs w:val="22"/>
        </w:rPr>
        <w:t>[</w:t>
      </w:r>
      <w:bookmarkStart w:id="54" w:name="par42"/>
      <w:r w:rsidRPr="00911998">
        <w:rPr>
          <w:sz w:val="22"/>
          <w:szCs w:val="22"/>
        </w:rPr>
        <w:t>42</w:t>
      </w:r>
      <w:bookmarkEnd w:id="54"/>
      <w:proofErr w:type="gramStart"/>
      <w:r w:rsidRPr="00911998">
        <w:rPr>
          <w:sz w:val="22"/>
          <w:szCs w:val="22"/>
        </w:rPr>
        <w:t>]  Comme</w:t>
      </w:r>
      <w:proofErr w:type="gramEnd"/>
      <w:r w:rsidRPr="00911998">
        <w:rPr>
          <w:sz w:val="22"/>
          <w:szCs w:val="22"/>
        </w:rPr>
        <w:t xml:space="preserve"> nous l’avons expliqué, dans les cas de discrimination par suite d’un effet préjudiciable, la loi contestée est en apparence neutre. </w:t>
      </w:r>
      <w:r w:rsidRPr="00911998">
        <w:rPr>
          <w:sz w:val="22"/>
          <w:szCs w:val="22"/>
          <w:u w:val="single"/>
        </w:rPr>
        <w:t xml:space="preserve">À la première étape, le demandeur doit présenter suffisamment d’éléments de preuve pour démontrer que, </w:t>
      </w:r>
      <w:proofErr w:type="gramStart"/>
      <w:r w:rsidRPr="00911998">
        <w:rPr>
          <w:sz w:val="22"/>
          <w:szCs w:val="22"/>
          <w:u w:val="single"/>
        </w:rPr>
        <w:lastRenderedPageBreak/>
        <w:t>de par</w:t>
      </w:r>
      <w:proofErr w:type="gramEnd"/>
      <w:r w:rsidRPr="00911998">
        <w:rPr>
          <w:sz w:val="22"/>
          <w:szCs w:val="22"/>
          <w:u w:val="single"/>
        </w:rPr>
        <w:t xml:space="preserve"> son effet, la loi contestée </w:t>
      </w:r>
      <w:r w:rsidRPr="00911998">
        <w:rPr>
          <w:i/>
          <w:iCs/>
          <w:sz w:val="22"/>
          <w:szCs w:val="22"/>
          <w:u w:val="single"/>
        </w:rPr>
        <w:t>crée</w:t>
      </w:r>
      <w:r w:rsidRPr="00911998">
        <w:rPr>
          <w:sz w:val="22"/>
          <w:szCs w:val="22"/>
          <w:u w:val="single"/>
        </w:rPr>
        <w:t> un effet disproportionné en raison d’une distinction fondée sur un motif protégé ou </w:t>
      </w:r>
      <w:r w:rsidRPr="00911998">
        <w:rPr>
          <w:i/>
          <w:iCs/>
          <w:sz w:val="22"/>
          <w:szCs w:val="22"/>
          <w:u w:val="single"/>
        </w:rPr>
        <w:t>contribue</w:t>
      </w:r>
      <w:r w:rsidRPr="00911998">
        <w:rPr>
          <w:sz w:val="22"/>
          <w:szCs w:val="22"/>
          <w:u w:val="single"/>
        </w:rPr>
        <w:t> à cet effet</w:t>
      </w:r>
      <w:r w:rsidRPr="001C5CD5">
        <w:rPr>
          <w:sz w:val="22"/>
          <w:szCs w:val="22"/>
        </w:rPr>
        <w:t xml:space="preserve"> </w:t>
      </w:r>
      <w:r w:rsidRPr="001C5CD5">
        <w:rPr>
          <w:rFonts w:cs="Arial"/>
          <w:sz w:val="22"/>
          <w:szCs w:val="22"/>
        </w:rPr>
        <w:t>[</w:t>
      </w:r>
      <w:r w:rsidRPr="00911998">
        <w:rPr>
          <w:rFonts w:cs="Arial"/>
          <w:sz w:val="22"/>
          <w:szCs w:val="22"/>
        </w:rPr>
        <w:t>…].</w:t>
      </w:r>
      <w:r w:rsidRPr="00911998">
        <w:rPr>
          <w:sz w:val="22"/>
          <w:szCs w:val="22"/>
        </w:rPr>
        <w:t xml:space="preserve"> </w:t>
      </w:r>
    </w:p>
    <w:p w14:paraId="4659BE92" w14:textId="77777777" w:rsidR="006C7616" w:rsidRPr="00911998" w:rsidRDefault="006C7616" w:rsidP="00D34BA8">
      <w:pPr>
        <w:ind w:left="567" w:right="560"/>
        <w:jc w:val="both"/>
        <w:rPr>
          <w:sz w:val="22"/>
          <w:szCs w:val="22"/>
        </w:rPr>
      </w:pPr>
    </w:p>
    <w:p w14:paraId="5EBCA28E" w14:textId="5179323C" w:rsidR="006C7616" w:rsidRPr="00911998" w:rsidRDefault="006C7616" w:rsidP="006C7616">
      <w:pPr>
        <w:ind w:left="567" w:right="560"/>
        <w:jc w:val="right"/>
        <w:rPr>
          <w:sz w:val="22"/>
          <w:szCs w:val="22"/>
        </w:rPr>
      </w:pPr>
      <w:r w:rsidRPr="00911998">
        <w:rPr>
          <w:rFonts w:cs="Arial"/>
          <w:sz w:val="22"/>
          <w:szCs w:val="22"/>
        </w:rPr>
        <w:t>[Soulignements ajoutés; italiques dans l’original]</w:t>
      </w:r>
    </w:p>
    <w:p w14:paraId="2EF2E43A" w14:textId="31279DE2" w:rsidR="00D34BA8" w:rsidRPr="00911998" w:rsidRDefault="001C57E2" w:rsidP="001C57E2">
      <w:pPr>
        <w:pStyle w:val="Paragrsimple"/>
        <w:tabs>
          <w:tab w:val="clear" w:pos="360"/>
        </w:tabs>
      </w:pPr>
      <w:r w:rsidRPr="00911998">
        <w:t>Ce</w:t>
      </w:r>
      <w:r w:rsidR="000F28D9" w:rsidRPr="00911998">
        <w:t>tte</w:t>
      </w:r>
      <w:r w:rsidRPr="00911998">
        <w:t xml:space="preserve"> notion de création ou de contribution à un effet disproportionné constitue le lien de causalité entre la loi ou la mesure étatique et l’effet discriminatoire nécessaire pour mettre en application la protection d</w:t>
      </w:r>
      <w:r w:rsidR="000F28D9" w:rsidRPr="00911998">
        <w:t>u paragraphe</w:t>
      </w:r>
      <w:r w:rsidRPr="00911998">
        <w:t> 15</w:t>
      </w:r>
      <w:r w:rsidR="000F28D9" w:rsidRPr="00911998">
        <w:t>(1)</w:t>
      </w:r>
      <w:r w:rsidRPr="00911998">
        <w:t xml:space="preserve"> de la </w:t>
      </w:r>
      <w:r w:rsidRPr="00911998">
        <w:rPr>
          <w:i/>
          <w:iCs/>
        </w:rPr>
        <w:t>Charte</w:t>
      </w:r>
      <w:r w:rsidR="00E6070C" w:rsidRPr="00911998">
        <w:rPr>
          <w:i/>
          <w:iCs/>
        </w:rPr>
        <w:t xml:space="preserve"> canadienne</w:t>
      </w:r>
      <w:r w:rsidRPr="00911998">
        <w:rPr>
          <w:rStyle w:val="Appelnotedebasdep"/>
        </w:rPr>
        <w:footnoteReference w:id="149"/>
      </w:r>
      <w:r w:rsidRPr="00911998">
        <w:t>.</w:t>
      </w:r>
    </w:p>
    <w:p w14:paraId="695749AB" w14:textId="172A14AE" w:rsidR="00B11428" w:rsidRPr="00911998" w:rsidRDefault="004634A9" w:rsidP="006D510B">
      <w:pPr>
        <w:pStyle w:val="Paragrsimple"/>
        <w:tabs>
          <w:tab w:val="clear" w:pos="360"/>
        </w:tabs>
      </w:pPr>
      <w:r>
        <w:t>Toutefois</w:t>
      </w:r>
      <w:r w:rsidR="00B11428" w:rsidRPr="00911998">
        <w:t xml:space="preserve">, ce n’est pas toute </w:t>
      </w:r>
      <w:r w:rsidR="007D1ABB" w:rsidRPr="00911998">
        <w:t>différence de traitement</w:t>
      </w:r>
      <w:r w:rsidR="00B11428" w:rsidRPr="00911998">
        <w:t xml:space="preserve"> fondée sur un motif prohibé qui portera atteinte à cette disposition</w:t>
      </w:r>
      <w:r w:rsidR="001A07BD" w:rsidRPr="00911998">
        <w:rPr>
          <w:rStyle w:val="Appelnotedebasdep"/>
        </w:rPr>
        <w:footnoteReference w:id="150"/>
      </w:r>
      <w:r w:rsidR="00B11428" w:rsidRPr="00911998">
        <w:t>. Encore faut</w:t>
      </w:r>
      <w:r w:rsidR="00B11428" w:rsidRPr="00911998">
        <w:noBreakHyphen/>
        <w:t xml:space="preserve">il que la distinction soit discriminatoire. La finalité de la deuxième étape du critère pour l’application </w:t>
      </w:r>
      <w:r w:rsidR="000F28D9" w:rsidRPr="00911998">
        <w:t xml:space="preserve">du paragraphe 15(1) </w:t>
      </w:r>
      <w:r w:rsidR="00B11428" w:rsidRPr="00911998">
        <w:t xml:space="preserve">de la </w:t>
      </w:r>
      <w:r w:rsidR="00B11428" w:rsidRPr="00911998">
        <w:rPr>
          <w:i/>
          <w:iCs/>
        </w:rPr>
        <w:t xml:space="preserve">Charte canadienne </w:t>
      </w:r>
      <w:r w:rsidR="00B11428" w:rsidRPr="00911998">
        <w:t xml:space="preserve">consiste à identifier les différences de traitement qui sont véritablement </w:t>
      </w:r>
      <w:r w:rsidR="00B11428" w:rsidRPr="00911998">
        <w:rPr>
          <w:i/>
          <w:iCs/>
        </w:rPr>
        <w:t>discriminatoires</w:t>
      </w:r>
      <w:r w:rsidR="00B11428" w:rsidRPr="00911998">
        <w:t xml:space="preserve">. </w:t>
      </w:r>
    </w:p>
    <w:p w14:paraId="504D7CD2" w14:textId="4E63B584" w:rsidR="00B11428" w:rsidRPr="00911998" w:rsidRDefault="00B11428" w:rsidP="006D510B">
      <w:pPr>
        <w:pStyle w:val="Paragrsimple"/>
        <w:tabs>
          <w:tab w:val="clear" w:pos="360"/>
        </w:tabs>
      </w:pPr>
      <w:r w:rsidRPr="00911998">
        <w:t>À cette deuxième étape, la partie demanderesse supporte donc le fardeau de démontrer que</w:t>
      </w:r>
      <w:r w:rsidR="00F65A21" w:rsidRPr="00911998">
        <w:t xml:space="preserve"> la</w:t>
      </w:r>
      <w:r w:rsidRPr="00911998">
        <w:t xml:space="preserve"> loi impose un fardeau ou nie un avantage d’une manière qui a pour effet de renforcer, de perpétuer ou d’accentuer le désavantage</w:t>
      </w:r>
      <w:r w:rsidR="00CC7ED5" w:rsidRPr="00911998">
        <w:rPr>
          <w:rStyle w:val="Appelnotedebasdep"/>
        </w:rPr>
        <w:footnoteReference w:id="151"/>
      </w:r>
      <w:r w:rsidRPr="00911998">
        <w:t>. Citons à nouveau les juges Brown et Rowe</w:t>
      </w:r>
      <w:r w:rsidR="00486531" w:rsidRPr="00911998">
        <w:rPr>
          <w:rStyle w:val="Appelnotedebasdep"/>
        </w:rPr>
        <w:footnoteReference w:id="152"/>
      </w:r>
      <w:r w:rsidRPr="00911998">
        <w:t> :</w:t>
      </w:r>
    </w:p>
    <w:p w14:paraId="402CB596" w14:textId="77777777" w:rsidR="00035A0C" w:rsidRPr="00911998" w:rsidRDefault="00B11428" w:rsidP="00035A0C">
      <w:pPr>
        <w:ind w:left="567" w:right="560"/>
        <w:jc w:val="both"/>
        <w:rPr>
          <w:sz w:val="22"/>
          <w:szCs w:val="22"/>
        </w:rPr>
      </w:pPr>
      <w:r w:rsidRPr="00911998">
        <w:rPr>
          <w:sz w:val="22"/>
          <w:szCs w:val="22"/>
        </w:rPr>
        <w:t>[</w:t>
      </w:r>
      <w:bookmarkStart w:id="55" w:name="par51"/>
      <w:r w:rsidRPr="00911998">
        <w:rPr>
          <w:sz w:val="22"/>
          <w:szCs w:val="22"/>
        </w:rPr>
        <w:t>51</w:t>
      </w:r>
      <w:bookmarkEnd w:id="55"/>
      <w:proofErr w:type="gramStart"/>
      <w:r w:rsidRPr="00911998">
        <w:rPr>
          <w:sz w:val="22"/>
          <w:szCs w:val="22"/>
        </w:rPr>
        <w:t>]  Notre</w:t>
      </w:r>
      <w:proofErr w:type="gramEnd"/>
      <w:r w:rsidRPr="00911998">
        <w:rPr>
          <w:sz w:val="22"/>
          <w:szCs w:val="22"/>
        </w:rPr>
        <w:t xml:space="preserve"> Cour n’a jamais été d’avis que toute distinction est discriminatoire (</w:t>
      </w:r>
      <w:r w:rsidRPr="00911998">
        <w:rPr>
          <w:i/>
          <w:iCs/>
          <w:sz w:val="22"/>
          <w:szCs w:val="22"/>
        </w:rPr>
        <w:t>Andrews</w:t>
      </w:r>
      <w:r w:rsidRPr="00911998">
        <w:rPr>
          <w:sz w:val="22"/>
          <w:szCs w:val="22"/>
        </w:rPr>
        <w:t xml:space="preserve">, p. 182). D’où l’importance de </w:t>
      </w:r>
      <w:r w:rsidRPr="00911998">
        <w:rPr>
          <w:sz w:val="22"/>
          <w:szCs w:val="22"/>
          <w:u w:val="single"/>
        </w:rPr>
        <w:t>la deuxième étape du critère du par. 15(1), qui oblige le demandeur à démontrer que la loi contestée impose un fardeau ou nie un avantage d’une manière qui a pour effet de renforcer, de perpétuer ou d’accentuer le désavantage subi par le groupe touché</w:t>
      </w:r>
      <w:r w:rsidRPr="00911998">
        <w:rPr>
          <w:sz w:val="22"/>
          <w:szCs w:val="22"/>
        </w:rPr>
        <w:t xml:space="preserve">. </w:t>
      </w:r>
      <w:r w:rsidR="00160F7F" w:rsidRPr="00911998">
        <w:rPr>
          <w:rFonts w:cs="Arial"/>
          <w:sz w:val="22"/>
          <w:szCs w:val="22"/>
        </w:rPr>
        <w:t>[…]</w:t>
      </w:r>
    </w:p>
    <w:p w14:paraId="0E3F164F" w14:textId="363348C3" w:rsidR="00035A0C" w:rsidRPr="00911998" w:rsidRDefault="00035A0C" w:rsidP="00035A0C">
      <w:pPr>
        <w:ind w:left="567" w:right="560"/>
        <w:jc w:val="right"/>
      </w:pPr>
      <w:r w:rsidRPr="00911998">
        <w:rPr>
          <w:rFonts w:cs="Arial"/>
          <w:sz w:val="22"/>
          <w:szCs w:val="22"/>
        </w:rPr>
        <w:t>[Soulignements ajoutés]</w:t>
      </w:r>
    </w:p>
    <w:p w14:paraId="1AAED4AE" w14:textId="50128C2D" w:rsidR="00C65EEE" w:rsidRPr="00911998" w:rsidRDefault="00160F7F" w:rsidP="00160F7F">
      <w:pPr>
        <w:pStyle w:val="Paragrsimple"/>
        <w:tabs>
          <w:tab w:val="clear" w:pos="360"/>
        </w:tabs>
      </w:pPr>
      <w:r w:rsidRPr="00911998">
        <w:t xml:space="preserve">En somme, </w:t>
      </w:r>
      <w:r w:rsidR="00181A60" w:rsidRPr="00911998">
        <w:t>la deuxième étape exige la démonstration d’</w:t>
      </w:r>
      <w:r w:rsidRPr="00911998">
        <w:t>une incidence négative ou l’aggravation d’une situation défavorisée</w:t>
      </w:r>
      <w:r w:rsidR="00CC7ED5" w:rsidRPr="00911998">
        <w:rPr>
          <w:rStyle w:val="Appelnotedebasdep"/>
        </w:rPr>
        <w:footnoteReference w:id="153"/>
      </w:r>
      <w:r w:rsidRPr="00911998">
        <w:t xml:space="preserve">. Le préjudice ainsi occasionné au groupe affecté peut </w:t>
      </w:r>
      <w:r w:rsidR="00856EA3" w:rsidRPr="00911998">
        <w:t>prendre</w:t>
      </w:r>
      <w:r w:rsidRPr="00911998">
        <w:t xml:space="preserve"> plusieurs formes : une exclusion ou un désavantage économique, une exclusion sociale, un préjudice psychologique, un préjudice physique ou encore une exclusion politique</w:t>
      </w:r>
      <w:r w:rsidRPr="00911998">
        <w:rPr>
          <w:rStyle w:val="Appelnotedebasdep"/>
        </w:rPr>
        <w:footnoteReference w:id="154"/>
      </w:r>
      <w:r w:rsidRPr="00911998">
        <w:t>.</w:t>
      </w:r>
    </w:p>
    <w:p w14:paraId="3295DA36" w14:textId="3D88A9E5" w:rsidR="00160F7F" w:rsidRPr="00911998" w:rsidRDefault="00160F7F" w:rsidP="00942158">
      <w:pPr>
        <w:pStyle w:val="Paragrsimple"/>
        <w:tabs>
          <w:tab w:val="clear" w:pos="360"/>
        </w:tabs>
      </w:pPr>
      <w:r w:rsidRPr="00911998">
        <w:t xml:space="preserve">Sans qu’il soit nécessaire de </w:t>
      </w:r>
      <w:r w:rsidR="00181A60" w:rsidRPr="00911998">
        <w:t>prouver</w:t>
      </w:r>
      <w:r w:rsidRPr="00911998">
        <w:t xml:space="preserve"> que la distinction est arbitraire ou qu’elle repose sur des stéréotypes ou des préjugés, ces éléments constituent des facteurs qui peuvent aider à démontrer qu’une loi produit des effets délétères sur un groupe particulier</w:t>
      </w:r>
      <w:r w:rsidR="00CC7ED5" w:rsidRPr="00911998">
        <w:rPr>
          <w:rStyle w:val="Appelnotedebasdep"/>
        </w:rPr>
        <w:footnoteReference w:id="155"/>
      </w:r>
      <w:r w:rsidRPr="00911998">
        <w:t xml:space="preserve">. </w:t>
      </w:r>
      <w:r w:rsidR="005D657D" w:rsidRPr="00911998">
        <w:t xml:space="preserve">Dans l’arrêt </w:t>
      </w:r>
      <w:r w:rsidR="005D657D" w:rsidRPr="00911998">
        <w:rPr>
          <w:i/>
          <w:iCs/>
        </w:rPr>
        <w:t>Sharma</w:t>
      </w:r>
      <w:r w:rsidR="005D657D" w:rsidRPr="00911998">
        <w:t>, les juges Brown et Row</w:t>
      </w:r>
      <w:r w:rsidR="00F54C1B" w:rsidRPr="00911998">
        <w:t>e</w:t>
      </w:r>
      <w:r w:rsidR="005D657D" w:rsidRPr="00911998">
        <w:t xml:space="preserve"> </w:t>
      </w:r>
      <w:r w:rsidR="00181A60" w:rsidRPr="00911998">
        <w:t>proposent</w:t>
      </w:r>
      <w:r w:rsidR="00BA6109" w:rsidRPr="00911998">
        <w:t xml:space="preserve"> des exemples tirés de la jurisprudence qui aident à mieux cerner </w:t>
      </w:r>
      <w:r w:rsidR="005D657D" w:rsidRPr="00911998">
        <w:t xml:space="preserve">les facteurs </w:t>
      </w:r>
      <w:r w:rsidR="000F28D9" w:rsidRPr="00911998">
        <w:t xml:space="preserve">pertinents que sont </w:t>
      </w:r>
      <w:r w:rsidR="000F28D9" w:rsidRPr="00911998">
        <w:lastRenderedPageBreak/>
        <w:t xml:space="preserve">l’existence </w:t>
      </w:r>
      <w:r w:rsidR="005D657D" w:rsidRPr="00911998">
        <w:t xml:space="preserve">de préjugés </w:t>
      </w:r>
      <w:r w:rsidR="000F28D9" w:rsidRPr="00911998">
        <w:t>ou</w:t>
      </w:r>
      <w:r w:rsidR="005D657D" w:rsidRPr="00911998">
        <w:t xml:space="preserve"> de stéréotypes</w:t>
      </w:r>
      <w:r w:rsidR="00181A60" w:rsidRPr="00911998">
        <w:t>,</w:t>
      </w:r>
      <w:r w:rsidR="000F28D9" w:rsidRPr="00911998">
        <w:t xml:space="preserve"> ou encore le caractère arbitraire d’une distinction</w:t>
      </w:r>
      <w:r w:rsidR="00BA6109" w:rsidRPr="00911998">
        <w:rPr>
          <w:rStyle w:val="Appelnotedebasdep"/>
        </w:rPr>
        <w:footnoteReference w:id="156"/>
      </w:r>
      <w:r w:rsidR="005D657D" w:rsidRPr="00911998">
        <w:t> :</w:t>
      </w:r>
    </w:p>
    <w:p w14:paraId="6B9760A1" w14:textId="62A63A1D" w:rsidR="00BA6109" w:rsidRPr="00911998" w:rsidRDefault="00BA6109" w:rsidP="00BA6109">
      <w:pPr>
        <w:ind w:left="567" w:right="560"/>
        <w:jc w:val="both"/>
        <w:rPr>
          <w:sz w:val="22"/>
          <w:szCs w:val="22"/>
        </w:rPr>
      </w:pPr>
      <w:r w:rsidRPr="00911998">
        <w:rPr>
          <w:sz w:val="22"/>
          <w:szCs w:val="22"/>
        </w:rPr>
        <w:t>a)  </w:t>
      </w:r>
      <w:r w:rsidRPr="00911998">
        <w:rPr>
          <w:b/>
          <w:bCs/>
          <w:sz w:val="22"/>
          <w:szCs w:val="22"/>
        </w:rPr>
        <w:t>Stéréotypes ou préjugés :</w:t>
      </w:r>
      <w:r w:rsidRPr="00911998">
        <w:rPr>
          <w:sz w:val="22"/>
          <w:szCs w:val="22"/>
        </w:rPr>
        <w:t> Ces facteurs ont joué un rôle essentiel à la deuxième étape dans l’affaire </w:t>
      </w:r>
      <w:r w:rsidRPr="00911998">
        <w:rPr>
          <w:i/>
          <w:iCs/>
          <w:sz w:val="22"/>
          <w:szCs w:val="22"/>
        </w:rPr>
        <w:t>Ontario (Procureur général) c. G</w:t>
      </w:r>
      <w:r w:rsidRPr="00911998">
        <w:rPr>
          <w:sz w:val="22"/>
          <w:szCs w:val="22"/>
        </w:rPr>
        <w:t>, 2020 CSC 38. Dans cet arrêt, la Cour a jugé que la loi contestée avait un effet discriminatoire parce qu’elle encourageait les stéréotypes et les « préjugés » sur les personnes handicapées (par. 62), qu’elle renforçait « l’idée stigmatisante selon laquelle les personnes souffrant de troubles mentaux sont en soi dangereuses et présenteront toujours un danger » et que, ce faisant, elle perpétuait le désavantage que subissaient ces personnes (par. 65).</w:t>
      </w:r>
    </w:p>
    <w:p w14:paraId="0526F1C9" w14:textId="77777777" w:rsidR="00BA6109" w:rsidRPr="00911998" w:rsidRDefault="00BA6109" w:rsidP="00BA6109">
      <w:pPr>
        <w:ind w:left="567" w:right="560"/>
        <w:jc w:val="both"/>
        <w:rPr>
          <w:rFonts w:ascii="Times New Roman" w:hAnsi="Times New Roman"/>
          <w:sz w:val="22"/>
          <w:szCs w:val="22"/>
          <w:lang w:eastAsia="fr-CA"/>
        </w:rPr>
      </w:pPr>
    </w:p>
    <w:p w14:paraId="2962E1F9" w14:textId="1EAAE1B9" w:rsidR="00BA6109" w:rsidRPr="00911998" w:rsidRDefault="00BA6109" w:rsidP="00BA6109">
      <w:pPr>
        <w:ind w:left="567" w:right="560"/>
        <w:jc w:val="both"/>
        <w:rPr>
          <w:sz w:val="22"/>
          <w:szCs w:val="22"/>
        </w:rPr>
      </w:pPr>
      <w:r w:rsidRPr="00911998">
        <w:rPr>
          <w:sz w:val="22"/>
          <w:szCs w:val="22"/>
        </w:rPr>
        <w:t>b)  </w:t>
      </w:r>
      <w:r w:rsidRPr="00911998">
        <w:rPr>
          <w:b/>
          <w:bCs/>
          <w:sz w:val="22"/>
          <w:szCs w:val="22"/>
        </w:rPr>
        <w:t>Arbitraire :</w:t>
      </w:r>
      <w:r w:rsidRPr="00911998">
        <w:rPr>
          <w:sz w:val="22"/>
          <w:szCs w:val="22"/>
        </w:rPr>
        <w:t> Une distinction qui n’a pas pour effet de restreindre l’accès à des avantages ou d’imposer un fardeau, ou bien celle qui est fondée sur les capacités réelles d’une personne, sera rarement discriminatoire (</w:t>
      </w:r>
      <w:r w:rsidRPr="00911998">
        <w:rPr>
          <w:i/>
          <w:iCs/>
          <w:sz w:val="22"/>
          <w:szCs w:val="22"/>
        </w:rPr>
        <w:t>Andrews</w:t>
      </w:r>
      <w:r w:rsidRPr="00911998">
        <w:rPr>
          <w:sz w:val="22"/>
          <w:szCs w:val="22"/>
        </w:rPr>
        <w:t>, p. 174</w:t>
      </w:r>
      <w:r w:rsidRPr="00911998">
        <w:rPr>
          <w:sz w:val="22"/>
          <w:szCs w:val="22"/>
        </w:rPr>
        <w:noBreakHyphen/>
        <w:t>175). La juge Abella a expliqué le rôle que peut jouer l’arbitraire dans l’analyse tant dans l’arrêt </w:t>
      </w:r>
      <w:r w:rsidRPr="00911998">
        <w:rPr>
          <w:i/>
          <w:iCs/>
          <w:sz w:val="22"/>
          <w:szCs w:val="22"/>
        </w:rPr>
        <w:t>Québec c. A</w:t>
      </w:r>
      <w:r w:rsidRPr="00911998">
        <w:rPr>
          <w:sz w:val="22"/>
          <w:szCs w:val="22"/>
        </w:rPr>
        <w:t> (par. 221 et 331) que dans la décision </w:t>
      </w:r>
      <w:proofErr w:type="spellStart"/>
      <w:r w:rsidRPr="00911998">
        <w:rPr>
          <w:i/>
          <w:iCs/>
          <w:sz w:val="22"/>
          <w:szCs w:val="22"/>
        </w:rPr>
        <w:t>Taypotat</w:t>
      </w:r>
      <w:proofErr w:type="spellEnd"/>
      <w:r w:rsidRPr="00911998">
        <w:rPr>
          <w:sz w:val="22"/>
          <w:szCs w:val="22"/>
        </w:rPr>
        <w:t> (par. 16, 18, 20, 28 et 34). Dans l’arrêt </w:t>
      </w:r>
      <w:proofErr w:type="spellStart"/>
      <w:r w:rsidRPr="00911998">
        <w:rPr>
          <w:i/>
          <w:iCs/>
          <w:sz w:val="22"/>
          <w:szCs w:val="22"/>
        </w:rPr>
        <w:t>Taypotat</w:t>
      </w:r>
      <w:proofErr w:type="spellEnd"/>
      <w:r w:rsidRPr="00911998">
        <w:rPr>
          <w:sz w:val="22"/>
          <w:szCs w:val="22"/>
        </w:rPr>
        <w:t>, la Cour a axé l’analyse sur « les désavantages arbitraires — ou discriminatoires —, c’est</w:t>
      </w:r>
      <w:r w:rsidRPr="00911998">
        <w:rPr>
          <w:sz w:val="22"/>
          <w:szCs w:val="22"/>
        </w:rPr>
        <w:noBreakHyphen/>
        <w:t>à</w:t>
      </w:r>
      <w:r w:rsidRPr="00911998">
        <w:rPr>
          <w:sz w:val="22"/>
          <w:szCs w:val="22"/>
        </w:rPr>
        <w:noBreakHyphen/>
        <w:t>dire sur la question de savoir si la loi contestée </w:t>
      </w:r>
      <w:r w:rsidRPr="00911998">
        <w:rPr>
          <w:sz w:val="22"/>
          <w:szCs w:val="22"/>
          <w:u w:val="single"/>
        </w:rPr>
        <w:t>ne répond pas aux capacités et aux besoins concrets des membres du groupe</w:t>
      </w:r>
      <w:r w:rsidRPr="00911998">
        <w:rPr>
          <w:sz w:val="22"/>
          <w:szCs w:val="22"/>
        </w:rPr>
        <w:t> et leur impose plutôt un fardeau ou leur nie un avantage d’une manière qui a pour effet de renforcer, de perpétuer ou d’accentuer le désavantage dont ils sont victimes » (par. 20 (nous soulignons))</w:t>
      </w:r>
      <w:r w:rsidR="001A07BD" w:rsidRPr="00911998">
        <w:rPr>
          <w:rStyle w:val="Appelnotedebasdep"/>
          <w:sz w:val="22"/>
          <w:szCs w:val="22"/>
        </w:rPr>
        <w:footnoteReference w:id="157"/>
      </w:r>
      <w:r w:rsidRPr="00911998">
        <w:rPr>
          <w:sz w:val="22"/>
          <w:szCs w:val="22"/>
        </w:rPr>
        <w:t>.</w:t>
      </w:r>
    </w:p>
    <w:p w14:paraId="3EBC0AC4" w14:textId="77777777" w:rsidR="00BA6109" w:rsidRPr="00911998" w:rsidRDefault="00BA6109" w:rsidP="00BA6109">
      <w:pPr>
        <w:ind w:left="567" w:right="560"/>
        <w:jc w:val="both"/>
        <w:rPr>
          <w:sz w:val="22"/>
          <w:szCs w:val="22"/>
        </w:rPr>
      </w:pPr>
    </w:p>
    <w:p w14:paraId="495F80FA" w14:textId="7DFD706D" w:rsidR="00BA6109" w:rsidRPr="00911998" w:rsidRDefault="00BA6109" w:rsidP="00BA6109">
      <w:pPr>
        <w:ind w:left="567" w:right="560"/>
        <w:jc w:val="right"/>
      </w:pPr>
      <w:r w:rsidRPr="00911998">
        <w:rPr>
          <w:rFonts w:cs="Arial"/>
          <w:sz w:val="22"/>
          <w:szCs w:val="22"/>
        </w:rPr>
        <w:t>[Soulignements dans l’original]</w:t>
      </w:r>
    </w:p>
    <w:p w14:paraId="1FF6C35A" w14:textId="4C3F4600" w:rsidR="00BA6109" w:rsidRPr="00911998" w:rsidRDefault="00727747" w:rsidP="00476428">
      <w:pPr>
        <w:pStyle w:val="Paragrsimple"/>
        <w:tabs>
          <w:tab w:val="clear" w:pos="360"/>
        </w:tabs>
      </w:pPr>
      <w:r w:rsidRPr="00911998">
        <w:t>Par ailleurs</w:t>
      </w:r>
      <w:r w:rsidR="00942158" w:rsidRPr="00911998">
        <w:t>, une étude du contexte législatif plus large s’avère nécessaire</w:t>
      </w:r>
      <w:r w:rsidRPr="00911998">
        <w:t xml:space="preserve"> à cette deuxième étape de l’analyse</w:t>
      </w:r>
      <w:r w:rsidR="00942158" w:rsidRPr="00911998">
        <w:t>. Comme l’enseignent les juges Rowe et Brown</w:t>
      </w:r>
      <w:r w:rsidR="00CC7ED5" w:rsidRPr="00911998">
        <w:rPr>
          <w:rStyle w:val="Appelnotedebasdep"/>
        </w:rPr>
        <w:footnoteReference w:id="158"/>
      </w:r>
      <w:r w:rsidR="00942158" w:rsidRPr="00911998">
        <w:t> :</w:t>
      </w:r>
    </w:p>
    <w:p w14:paraId="1E3E9FCE" w14:textId="0BF52504" w:rsidR="00942158" w:rsidRPr="00911998" w:rsidRDefault="00942158" w:rsidP="00942158">
      <w:pPr>
        <w:ind w:left="567" w:right="560"/>
        <w:jc w:val="both"/>
        <w:rPr>
          <w:rFonts w:cs="Arial"/>
          <w:sz w:val="22"/>
          <w:szCs w:val="22"/>
        </w:rPr>
      </w:pPr>
      <w:r w:rsidRPr="00911998">
        <w:rPr>
          <w:sz w:val="22"/>
          <w:szCs w:val="22"/>
        </w:rPr>
        <w:t>[57</w:t>
      </w:r>
      <w:proofErr w:type="gramStart"/>
      <w:r w:rsidRPr="00911998">
        <w:rPr>
          <w:sz w:val="22"/>
          <w:szCs w:val="22"/>
        </w:rPr>
        <w:t>]  </w:t>
      </w:r>
      <w:r w:rsidRPr="00911998">
        <w:rPr>
          <w:rFonts w:cs="Arial"/>
          <w:sz w:val="22"/>
          <w:szCs w:val="22"/>
        </w:rPr>
        <w:t>[</w:t>
      </w:r>
      <w:proofErr w:type="gramEnd"/>
      <w:r w:rsidRPr="00911998">
        <w:rPr>
          <w:rFonts w:cs="Arial"/>
          <w:sz w:val="22"/>
          <w:szCs w:val="22"/>
        </w:rPr>
        <w:t>…] [D]</w:t>
      </w:r>
      <w:r w:rsidRPr="00911998">
        <w:rPr>
          <w:sz w:val="22"/>
          <w:szCs w:val="22"/>
        </w:rPr>
        <w:t>ans l’arrêt </w:t>
      </w:r>
      <w:proofErr w:type="spellStart"/>
      <w:r w:rsidRPr="00911998">
        <w:rPr>
          <w:i/>
          <w:iCs/>
          <w:sz w:val="22"/>
          <w:szCs w:val="22"/>
        </w:rPr>
        <w:t>Withler</w:t>
      </w:r>
      <w:proofErr w:type="spellEnd"/>
      <w:r w:rsidRPr="00911998">
        <w:rPr>
          <w:sz w:val="22"/>
          <w:szCs w:val="22"/>
        </w:rPr>
        <w:t>, la Cour a estimé que l’analyse commandait « l’appréciation de tous les éléments contextuels de la situation du groupe de demandeurs et de l’effet réel de la mesure législative sur leur situation » (par. 43). La Cour a expliqué que, lorsque la disposition contestée s’inscrit dans un régime législatif général — comme c’est souvent le cas —, il faut tenir compte de l’économie générale de la loi (par. 3), et que « [l</w:t>
      </w:r>
      <w:proofErr w:type="gramStart"/>
      <w:r w:rsidRPr="00911998">
        <w:rPr>
          <w:sz w:val="22"/>
          <w:szCs w:val="22"/>
        </w:rPr>
        <w:t>’]effet</w:t>
      </w:r>
      <w:proofErr w:type="gramEnd"/>
      <w:r w:rsidRPr="00911998">
        <w:rPr>
          <w:sz w:val="22"/>
          <w:szCs w:val="22"/>
        </w:rPr>
        <w:t xml:space="preserve"> d’amélioration [de la mesure législative] sur la situation des autres participants </w:t>
      </w:r>
      <w:r w:rsidRPr="00911998">
        <w:rPr>
          <w:sz w:val="22"/>
          <w:szCs w:val="22"/>
          <w:u w:val="single"/>
        </w:rPr>
        <w:t>et la multiplicité des intérêts qu’elle tente de concilier</w:t>
      </w:r>
      <w:r w:rsidRPr="00911998">
        <w:rPr>
          <w:sz w:val="22"/>
          <w:szCs w:val="22"/>
        </w:rPr>
        <w:t> joueront également dans l’analyse du caractère discriminatoire » (par. 38 (nous soulignons)). </w:t>
      </w:r>
      <w:r w:rsidRPr="00911998">
        <w:rPr>
          <w:rFonts w:cs="Arial"/>
          <w:sz w:val="22"/>
          <w:szCs w:val="22"/>
        </w:rPr>
        <w:t>[…]</w:t>
      </w:r>
    </w:p>
    <w:p w14:paraId="61D6339E" w14:textId="77777777" w:rsidR="00942158" w:rsidRPr="00911998" w:rsidRDefault="00942158" w:rsidP="00942158">
      <w:pPr>
        <w:ind w:left="567" w:right="560"/>
        <w:jc w:val="both"/>
        <w:rPr>
          <w:rFonts w:cs="Arial"/>
          <w:sz w:val="22"/>
          <w:szCs w:val="22"/>
        </w:rPr>
      </w:pPr>
    </w:p>
    <w:p w14:paraId="6556CA89" w14:textId="4DA4E6AD" w:rsidR="00942158" w:rsidRPr="00911998" w:rsidRDefault="00942158" w:rsidP="00942158">
      <w:pPr>
        <w:ind w:left="567" w:right="560"/>
        <w:jc w:val="both"/>
        <w:rPr>
          <w:sz w:val="22"/>
          <w:szCs w:val="22"/>
        </w:rPr>
      </w:pPr>
      <w:r w:rsidRPr="00911998">
        <w:rPr>
          <w:rFonts w:cs="Arial"/>
          <w:sz w:val="22"/>
          <w:szCs w:val="22"/>
        </w:rPr>
        <w:t>[…]</w:t>
      </w:r>
    </w:p>
    <w:p w14:paraId="10AD4721" w14:textId="77777777" w:rsidR="00942158" w:rsidRPr="00911998" w:rsidRDefault="00942158" w:rsidP="00942158">
      <w:pPr>
        <w:ind w:left="567" w:right="560"/>
        <w:jc w:val="both"/>
        <w:rPr>
          <w:sz w:val="22"/>
          <w:szCs w:val="22"/>
        </w:rPr>
      </w:pPr>
    </w:p>
    <w:p w14:paraId="2AD27619" w14:textId="77777777" w:rsidR="001B0685" w:rsidRPr="00911998" w:rsidRDefault="00942158" w:rsidP="001B0685">
      <w:pPr>
        <w:ind w:left="567" w:right="560"/>
        <w:jc w:val="both"/>
        <w:rPr>
          <w:sz w:val="22"/>
          <w:szCs w:val="22"/>
        </w:rPr>
      </w:pPr>
      <w:r w:rsidRPr="00911998">
        <w:rPr>
          <w:sz w:val="22"/>
          <w:szCs w:val="22"/>
        </w:rPr>
        <w:t>[</w:t>
      </w:r>
      <w:bookmarkStart w:id="56" w:name="par59"/>
      <w:r w:rsidRPr="00911998">
        <w:rPr>
          <w:sz w:val="22"/>
          <w:szCs w:val="22"/>
        </w:rPr>
        <w:t>59</w:t>
      </w:r>
      <w:bookmarkEnd w:id="56"/>
      <w:proofErr w:type="gramStart"/>
      <w:r w:rsidRPr="00911998">
        <w:rPr>
          <w:sz w:val="22"/>
          <w:szCs w:val="22"/>
        </w:rPr>
        <w:t>]  Parmi</w:t>
      </w:r>
      <w:proofErr w:type="gramEnd"/>
      <w:r w:rsidRPr="00911998">
        <w:rPr>
          <w:sz w:val="22"/>
          <w:szCs w:val="22"/>
        </w:rPr>
        <w:t xml:space="preserve"> les facteurs pertinents, mentionnons : les objets du régime, la question de savoir si la politique est conçue dans l’intérêt de divers groupes, l’affectation des ressources, les objectifs d’intérêt public particuliers visés par le législateur et la </w:t>
      </w:r>
      <w:r w:rsidRPr="00911998">
        <w:rPr>
          <w:sz w:val="22"/>
          <w:szCs w:val="22"/>
        </w:rPr>
        <w:lastRenderedPageBreak/>
        <w:t>question de savoir si les limites prévues par le régime tiennent compte de ces facteurs (</w:t>
      </w:r>
      <w:proofErr w:type="spellStart"/>
      <w:r w:rsidRPr="00911998">
        <w:rPr>
          <w:i/>
          <w:iCs/>
          <w:sz w:val="22"/>
          <w:szCs w:val="22"/>
        </w:rPr>
        <w:t>Withler</w:t>
      </w:r>
      <w:proofErr w:type="spellEnd"/>
      <w:r w:rsidRPr="00911998">
        <w:rPr>
          <w:sz w:val="22"/>
          <w:szCs w:val="22"/>
        </w:rPr>
        <w:t>, par. 67; voir aussi par. 3, 38, 40 et 81).</w:t>
      </w:r>
    </w:p>
    <w:p w14:paraId="67097472" w14:textId="77777777" w:rsidR="001B0685" w:rsidRPr="00911998" w:rsidRDefault="001B0685" w:rsidP="001B0685">
      <w:pPr>
        <w:ind w:left="567" w:right="560"/>
        <w:jc w:val="right"/>
      </w:pPr>
      <w:r w:rsidRPr="00911998">
        <w:rPr>
          <w:rFonts w:cs="Arial"/>
          <w:sz w:val="22"/>
          <w:szCs w:val="22"/>
        </w:rPr>
        <w:t>[Soulignements dans l’original]</w:t>
      </w:r>
    </w:p>
    <w:p w14:paraId="17F2CED8" w14:textId="2FEE85FF" w:rsidR="00942158" w:rsidRPr="00911998" w:rsidRDefault="00942158" w:rsidP="00942158">
      <w:pPr>
        <w:pStyle w:val="Paragrsimple"/>
        <w:tabs>
          <w:tab w:val="clear" w:pos="360"/>
        </w:tabs>
      </w:pPr>
      <w:r w:rsidRPr="00911998">
        <w:t xml:space="preserve">Soulignons </w:t>
      </w:r>
      <w:r w:rsidR="00B2398C" w:rsidRPr="00911998">
        <w:t>également</w:t>
      </w:r>
      <w:r w:rsidRPr="00911998">
        <w:t xml:space="preserve"> qu’il n’est jamais nécessaire de démontrer que l’</w:t>
      </w:r>
      <w:r w:rsidR="00CC7ED5" w:rsidRPr="00911998">
        <w:t>É</w:t>
      </w:r>
      <w:r w:rsidRPr="00911998">
        <w:t xml:space="preserve">tat </w:t>
      </w:r>
      <w:r w:rsidR="000F28D9" w:rsidRPr="00911998">
        <w:t xml:space="preserve">a </w:t>
      </w:r>
      <w:r w:rsidRPr="00911998">
        <w:t>l’intention de discriminer</w:t>
      </w:r>
      <w:r w:rsidR="00CC7ED5" w:rsidRPr="00911998">
        <w:t xml:space="preserve"> </w:t>
      </w:r>
      <w:r w:rsidR="00396B73" w:rsidRPr="00911998">
        <w:t xml:space="preserve">pour </w:t>
      </w:r>
      <w:r w:rsidR="00CC7ED5" w:rsidRPr="00911998">
        <w:t xml:space="preserve">établir une atteinte au </w:t>
      </w:r>
      <w:r w:rsidR="00B2398C" w:rsidRPr="00911998">
        <w:t xml:space="preserve">paragraphe 15(1) de la </w:t>
      </w:r>
      <w:r w:rsidR="00B2398C" w:rsidRPr="00911998">
        <w:rPr>
          <w:i/>
          <w:iCs/>
        </w:rPr>
        <w:t>Charte canadienne</w:t>
      </w:r>
      <w:r w:rsidRPr="00911998">
        <w:rPr>
          <w:rStyle w:val="Appelnotedebasdep"/>
        </w:rPr>
        <w:footnoteReference w:id="159"/>
      </w:r>
      <w:r w:rsidR="000F28D9" w:rsidRPr="00911998">
        <w:t xml:space="preserve">. </w:t>
      </w:r>
      <w:r w:rsidR="007347F8" w:rsidRPr="00911998">
        <w:t xml:space="preserve">En outre, </w:t>
      </w:r>
      <w:r w:rsidR="00396B73" w:rsidRPr="00911998">
        <w:t>même si</w:t>
      </w:r>
      <w:r w:rsidR="007347F8" w:rsidRPr="00911998">
        <w:t xml:space="preserve"> la discrimination résulte souvent du fait d’agir comme on l’a toujours fait</w:t>
      </w:r>
      <w:r w:rsidR="007347F8" w:rsidRPr="00911998">
        <w:rPr>
          <w:rStyle w:val="Appelnotedebasdep"/>
        </w:rPr>
        <w:footnoteReference w:id="160"/>
      </w:r>
      <w:r w:rsidR="007347F8" w:rsidRPr="00911998">
        <w:t>, i</w:t>
      </w:r>
      <w:r w:rsidR="000F28D9" w:rsidRPr="00911998">
        <w:t>l n’est pas nécessaire non plus</w:t>
      </w:r>
      <w:r w:rsidR="009A2B97" w:rsidRPr="00911998">
        <w:rPr>
          <w:i/>
          <w:iCs/>
        </w:rPr>
        <w:t xml:space="preserve"> </w:t>
      </w:r>
      <w:r w:rsidR="000F28D9" w:rsidRPr="00911998">
        <w:t>de</w:t>
      </w:r>
      <w:r w:rsidR="009A2B97" w:rsidRPr="00911998">
        <w:t xml:space="preserve"> prouver l’existence d’une discrimination historique</w:t>
      </w:r>
      <w:r w:rsidR="009A2B97" w:rsidRPr="00911998">
        <w:rPr>
          <w:rStyle w:val="Appelnotedebasdep"/>
        </w:rPr>
        <w:footnoteReference w:id="161"/>
      </w:r>
      <w:r w:rsidR="00B2398C" w:rsidRPr="00911998">
        <w:t>.</w:t>
      </w:r>
      <w:r w:rsidR="00F54C1B" w:rsidRPr="00911998">
        <w:t xml:space="preserve"> </w:t>
      </w:r>
      <w:r w:rsidR="00396B73" w:rsidRPr="00911998">
        <w:t>Enfin</w:t>
      </w:r>
      <w:r w:rsidR="00F54C1B" w:rsidRPr="00911998">
        <w:t xml:space="preserve">, le fait que la loi contestée </w:t>
      </w:r>
      <w:r w:rsidR="000F28D9" w:rsidRPr="00911998">
        <w:t>ne soit pas à l’origine des</w:t>
      </w:r>
      <w:r w:rsidR="00F54C1B" w:rsidRPr="00911998">
        <w:t xml:space="preserve"> désavantages sociaux, politiques ou </w:t>
      </w:r>
      <w:r w:rsidR="00856EA3" w:rsidRPr="00911998">
        <w:t>juridiques</w:t>
      </w:r>
      <w:r w:rsidR="00F54C1B" w:rsidRPr="00911998">
        <w:t xml:space="preserve"> que subit le groupe protégé est sans conséquence tant à la première qu’à la deuxième étape de l’analyse</w:t>
      </w:r>
      <w:r w:rsidR="004B1CA4" w:rsidRPr="00911998">
        <w:rPr>
          <w:rStyle w:val="Appelnotedebasdep"/>
        </w:rPr>
        <w:footnoteReference w:id="162"/>
      </w:r>
      <w:r w:rsidR="00F54C1B" w:rsidRPr="00911998">
        <w:t xml:space="preserve">. </w:t>
      </w:r>
    </w:p>
    <w:p w14:paraId="16188109" w14:textId="70865396" w:rsidR="0018029D" w:rsidRPr="00911998" w:rsidRDefault="00277D03" w:rsidP="00277D03">
      <w:pPr>
        <w:pStyle w:val="Titre4"/>
        <w:rPr>
          <w:b w:val="0"/>
          <w:bCs/>
        </w:rPr>
      </w:pPr>
      <w:r w:rsidRPr="00911998">
        <w:t>La première étape </w:t>
      </w:r>
      <w:r w:rsidR="006D00C4" w:rsidRPr="00911998">
        <w:rPr>
          <w:lang w:eastAsia="fr-CA"/>
        </w:rPr>
        <w:t>du critère d’application du paragraphe 15(1) :</w:t>
      </w:r>
      <w:r w:rsidRPr="00911998">
        <w:t xml:space="preserve"> l’existence d’une distinction fondée sur un motif énuméré ou analogue</w:t>
      </w:r>
    </w:p>
    <w:p w14:paraId="191C6827" w14:textId="1C5755E4" w:rsidR="00277D03" w:rsidRPr="00911998" w:rsidRDefault="00277D03" w:rsidP="00277D03">
      <w:pPr>
        <w:pStyle w:val="Paragrsimple"/>
        <w:tabs>
          <w:tab w:val="clear" w:pos="360"/>
        </w:tabs>
      </w:pPr>
      <w:r w:rsidRPr="00911998">
        <w:t>Les Demandeurs soutiennent que la limite de deux liens de filiation constitue une différence de traitement fondée sur plusieurs motifs pro</w:t>
      </w:r>
      <w:r w:rsidR="009F029E" w:rsidRPr="00911998">
        <w:t>hib</w:t>
      </w:r>
      <w:r w:rsidRPr="00911998">
        <w:t xml:space="preserve">és : </w:t>
      </w:r>
      <w:r w:rsidR="0078638E" w:rsidRPr="00911998">
        <w:t xml:space="preserve">la déficience physique, </w:t>
      </w:r>
      <w:r w:rsidRPr="00911998">
        <w:t xml:space="preserve">l’orientation </w:t>
      </w:r>
      <w:r w:rsidR="00EA04D7" w:rsidRPr="00911998">
        <w:t>sexuelle,</w:t>
      </w:r>
      <w:r w:rsidR="00955C78" w:rsidRPr="00911998">
        <w:t xml:space="preserve"> </w:t>
      </w:r>
      <w:r w:rsidRPr="00911998">
        <w:t>le mode de conception</w:t>
      </w:r>
      <w:r w:rsidR="009F029E" w:rsidRPr="00911998">
        <w:t xml:space="preserve"> et le statut </w:t>
      </w:r>
      <w:r w:rsidR="00102846" w:rsidRPr="00911998">
        <w:t>familial</w:t>
      </w:r>
      <w:r w:rsidR="00955C78" w:rsidRPr="00911998">
        <w:rPr>
          <w:rStyle w:val="Appelnotedebasdep"/>
        </w:rPr>
        <w:footnoteReference w:id="163"/>
      </w:r>
      <w:r w:rsidRPr="00911998">
        <w:t xml:space="preserve">. Selon le PGQ, la preuve n’établit pas l’existence d’une distinction fondée sur un motif énuméré au paragraphe 15(1) de la </w:t>
      </w:r>
      <w:r w:rsidRPr="00911998">
        <w:rPr>
          <w:i/>
          <w:iCs/>
        </w:rPr>
        <w:t xml:space="preserve">Charte canadienne </w:t>
      </w:r>
      <w:r w:rsidRPr="00911998">
        <w:t>ou un motif analogue à ceux</w:t>
      </w:r>
      <w:r w:rsidRPr="00911998">
        <w:noBreakHyphen/>
        <w:t>ci. Qu’en est</w:t>
      </w:r>
      <w:r w:rsidRPr="00911998">
        <w:noBreakHyphen/>
        <w:t>il</w:t>
      </w:r>
      <w:r w:rsidR="00EA04D7" w:rsidRPr="00911998">
        <w:t> </w:t>
      </w:r>
      <w:r w:rsidRPr="00911998">
        <w:t>?</w:t>
      </w:r>
    </w:p>
    <w:p w14:paraId="6572CA63" w14:textId="1C52AA5A" w:rsidR="00277D03" w:rsidRPr="00911998" w:rsidRDefault="00DF603F" w:rsidP="00407023">
      <w:pPr>
        <w:pStyle w:val="Titre5"/>
      </w:pPr>
      <w:r w:rsidRPr="00911998">
        <w:t>L’existence d’une distinction</w:t>
      </w:r>
    </w:p>
    <w:p w14:paraId="7073DB6A" w14:textId="07A78042" w:rsidR="00DF603F" w:rsidRPr="00911998" w:rsidRDefault="007744C9" w:rsidP="00DF603F">
      <w:pPr>
        <w:pStyle w:val="Paragrsimple"/>
        <w:tabs>
          <w:tab w:val="clear" w:pos="360"/>
        </w:tabs>
      </w:pPr>
      <w:r w:rsidRPr="00911998">
        <w:t xml:space="preserve">Le droit à l’égalité protégé par le paragraphe 15(1) de la </w:t>
      </w:r>
      <w:r w:rsidRPr="00911998">
        <w:rPr>
          <w:i/>
          <w:iCs/>
        </w:rPr>
        <w:t>Charte canadienne</w:t>
      </w:r>
      <w:r w:rsidRPr="00911998">
        <w:t xml:space="preserve"> ne s’exerce pas dans un vacuum. Il vise l’absence de discrimination en ce qui a trait à des avantages prévus par la loi ou des obligations imposées par la loi. Comme l’explique la juge en chef </w:t>
      </w:r>
      <w:proofErr w:type="spellStart"/>
      <w:r w:rsidRPr="00911998">
        <w:t>McLachlin</w:t>
      </w:r>
      <w:proofErr w:type="spellEnd"/>
      <w:r w:rsidRPr="00911998">
        <w:t xml:space="preserve"> dans l’arrêt </w:t>
      </w:r>
      <w:proofErr w:type="spellStart"/>
      <w:r w:rsidRPr="00911998">
        <w:rPr>
          <w:i/>
          <w:iCs/>
        </w:rPr>
        <w:t>Auton</w:t>
      </w:r>
      <w:proofErr w:type="spellEnd"/>
      <w:r w:rsidRPr="00911998">
        <w:rPr>
          <w:rStyle w:val="Appelnotedebasdep"/>
        </w:rPr>
        <w:footnoteReference w:id="164"/>
      </w:r>
      <w:r w:rsidRPr="00911998">
        <w:rPr>
          <w:i/>
          <w:iCs/>
        </w:rPr>
        <w:t> </w:t>
      </w:r>
      <w:r w:rsidRPr="00911998">
        <w:t>:</w:t>
      </w:r>
    </w:p>
    <w:p w14:paraId="4A3AFD59" w14:textId="5395C131" w:rsidR="007744C9" w:rsidRPr="00911998" w:rsidRDefault="007744C9" w:rsidP="007744C9">
      <w:pPr>
        <w:ind w:left="567" w:right="560"/>
        <w:jc w:val="both"/>
        <w:rPr>
          <w:rFonts w:cs="Arial"/>
          <w:sz w:val="22"/>
          <w:szCs w:val="22"/>
        </w:rPr>
      </w:pPr>
      <w:proofErr w:type="gramStart"/>
      <w:r w:rsidRPr="00911998">
        <w:rPr>
          <w:sz w:val="22"/>
          <w:szCs w:val="22"/>
        </w:rPr>
        <w:t>27  Pour</w:t>
      </w:r>
      <w:proofErr w:type="gramEnd"/>
      <w:r w:rsidRPr="00911998">
        <w:rPr>
          <w:sz w:val="22"/>
          <w:szCs w:val="22"/>
        </w:rPr>
        <w:t xml:space="preserve"> avoir gain de cause, les demandeurs doivent établir l’inégalité de traitement sous le régime de la loi, c’est</w:t>
      </w:r>
      <w:r w:rsidRPr="00911998">
        <w:rPr>
          <w:sz w:val="22"/>
          <w:szCs w:val="22"/>
        </w:rPr>
        <w:noBreakHyphen/>
        <w:t>à</w:t>
      </w:r>
      <w:r w:rsidRPr="00911998">
        <w:rPr>
          <w:sz w:val="22"/>
          <w:szCs w:val="22"/>
        </w:rPr>
        <w:noBreakHyphen/>
        <w:t xml:space="preserve">dire qu’ils n’ont pas obtenu un avantage prévu par la loi ou qu’ils se sont vu imposer une obligation que la loi n’imposait pas à d’autres.  Maintes fois énoncé, l’objectif fondamental du par. 15(1) est de combattre la discrimination et d’améliorer la situation des groupes défavorisés au sein de la société.  </w:t>
      </w:r>
      <w:r w:rsidRPr="00911998">
        <w:rPr>
          <w:sz w:val="22"/>
          <w:szCs w:val="22"/>
          <w:u w:val="single"/>
        </w:rPr>
        <w:t>La garantie ne vaut toutefois que pour les avantages et les obligations « prévus par la loi »</w:t>
      </w:r>
      <w:r w:rsidRPr="00911998">
        <w:rPr>
          <w:sz w:val="22"/>
          <w:szCs w:val="22"/>
        </w:rPr>
        <w:t xml:space="preserve">. </w:t>
      </w:r>
      <w:r w:rsidRPr="00911998">
        <w:rPr>
          <w:rFonts w:cs="Arial"/>
          <w:sz w:val="22"/>
          <w:szCs w:val="22"/>
        </w:rPr>
        <w:t>[…]</w:t>
      </w:r>
    </w:p>
    <w:p w14:paraId="329CD439" w14:textId="1E0B6293" w:rsidR="007744C9" w:rsidRPr="00911998" w:rsidRDefault="007744C9" w:rsidP="007744C9">
      <w:pPr>
        <w:ind w:left="567" w:right="560"/>
        <w:jc w:val="right"/>
        <w:rPr>
          <w:rFonts w:cs="Arial"/>
          <w:sz w:val="22"/>
          <w:szCs w:val="22"/>
        </w:rPr>
      </w:pPr>
      <w:r w:rsidRPr="00911998">
        <w:rPr>
          <w:rFonts w:cs="Arial"/>
          <w:sz w:val="22"/>
          <w:szCs w:val="22"/>
        </w:rPr>
        <w:t>[Soulignements ajoutés]</w:t>
      </w:r>
    </w:p>
    <w:p w14:paraId="2C3A21A8" w14:textId="77777777" w:rsidR="007744C9" w:rsidRPr="00911998" w:rsidRDefault="007744C9" w:rsidP="007744C9">
      <w:pPr>
        <w:ind w:left="567" w:right="560"/>
        <w:jc w:val="right"/>
        <w:rPr>
          <w:rFonts w:cs="Arial"/>
          <w:sz w:val="22"/>
          <w:szCs w:val="22"/>
        </w:rPr>
      </w:pPr>
    </w:p>
    <w:p w14:paraId="419858B6" w14:textId="0276D7BA" w:rsidR="00552740" w:rsidRPr="00911998" w:rsidRDefault="007741A3" w:rsidP="007744C9">
      <w:pPr>
        <w:pStyle w:val="Paragrsimple"/>
        <w:rPr>
          <w:szCs w:val="24"/>
        </w:rPr>
      </w:pPr>
      <w:r w:rsidRPr="00911998">
        <w:rPr>
          <w:szCs w:val="24"/>
        </w:rPr>
        <w:lastRenderedPageBreak/>
        <w:t>En d’autres termes, la distinction ou la différence de traitement qui est en cause doit être en lien avec un avantage confé</w:t>
      </w:r>
      <w:r w:rsidR="009F029E" w:rsidRPr="00911998">
        <w:rPr>
          <w:szCs w:val="24"/>
        </w:rPr>
        <w:t>ré</w:t>
      </w:r>
      <w:r w:rsidRPr="00911998">
        <w:rPr>
          <w:szCs w:val="24"/>
        </w:rPr>
        <w:t xml:space="preserve"> par la loi ou</w:t>
      </w:r>
      <w:r w:rsidR="00DB5F0C" w:rsidRPr="00911998">
        <w:rPr>
          <w:szCs w:val="24"/>
        </w:rPr>
        <w:t xml:space="preserve"> avec</w:t>
      </w:r>
      <w:r w:rsidRPr="00911998">
        <w:rPr>
          <w:szCs w:val="24"/>
        </w:rPr>
        <w:t xml:space="preserve"> l’imposition d’une obligation légale.</w:t>
      </w:r>
      <w:r w:rsidR="00487B4B" w:rsidRPr="00911998">
        <w:rPr>
          <w:szCs w:val="24"/>
        </w:rPr>
        <w:t xml:space="preserve"> </w:t>
      </w:r>
    </w:p>
    <w:p w14:paraId="71906059" w14:textId="68F4F26D" w:rsidR="002D78F5" w:rsidRPr="00911998" w:rsidRDefault="009343A2" w:rsidP="000F7D30">
      <w:pPr>
        <w:pStyle w:val="Paragrsimple"/>
        <w:rPr>
          <w:szCs w:val="24"/>
        </w:rPr>
      </w:pPr>
      <w:r w:rsidRPr="00911998">
        <w:rPr>
          <w:szCs w:val="24"/>
        </w:rPr>
        <w:t>Or, s</w:t>
      </w:r>
      <w:r w:rsidR="00487B4B" w:rsidRPr="00911998">
        <w:rPr>
          <w:szCs w:val="24"/>
        </w:rPr>
        <w:t xml:space="preserve">elon le PGQ, les Demandeurs </w:t>
      </w:r>
      <w:r w:rsidR="00552740" w:rsidRPr="00911998">
        <w:rPr>
          <w:szCs w:val="24"/>
        </w:rPr>
        <w:t xml:space="preserve">sont incapables d’établir une telle distinction aux fins du paragraphe 15(1) de la </w:t>
      </w:r>
      <w:r w:rsidR="00552740" w:rsidRPr="00911998">
        <w:rPr>
          <w:i/>
          <w:iCs/>
          <w:szCs w:val="24"/>
        </w:rPr>
        <w:t>Charte canadienne</w:t>
      </w:r>
      <w:r w:rsidR="00552740" w:rsidRPr="00911998">
        <w:rPr>
          <w:szCs w:val="24"/>
        </w:rPr>
        <w:t>. Il en serait ainsi</w:t>
      </w:r>
      <w:r w:rsidR="00537F9B" w:rsidRPr="00911998">
        <w:rPr>
          <w:szCs w:val="24"/>
        </w:rPr>
        <w:t>,</w:t>
      </w:r>
      <w:r w:rsidR="00552740" w:rsidRPr="00911998">
        <w:rPr>
          <w:szCs w:val="24"/>
        </w:rPr>
        <w:t xml:space="preserve"> car</w:t>
      </w:r>
      <w:r w:rsidR="005F25DD" w:rsidRPr="00911998">
        <w:rPr>
          <w:szCs w:val="24"/>
        </w:rPr>
        <w:t xml:space="preserve"> le droit québécois crée un maximum de deux liens de filiation pour un enfant. Ainsi, les demandeurs rec</w:t>
      </w:r>
      <w:r w:rsidRPr="00911998">
        <w:rPr>
          <w:szCs w:val="24"/>
        </w:rPr>
        <w:t xml:space="preserve">herchent un avantage qui n’existe </w:t>
      </w:r>
      <w:r w:rsidR="00537F9B" w:rsidRPr="00911998">
        <w:rPr>
          <w:szCs w:val="24"/>
        </w:rPr>
        <w:t xml:space="preserve">pour quiconque </w:t>
      </w:r>
      <w:r w:rsidRPr="00911998">
        <w:rPr>
          <w:szCs w:val="24"/>
        </w:rPr>
        <w:t xml:space="preserve">aux termes de la loi </w:t>
      </w:r>
      <w:r w:rsidR="00EA04D7" w:rsidRPr="00911998">
        <w:rPr>
          <w:szCs w:val="24"/>
        </w:rPr>
        <w:t>—</w:t>
      </w:r>
      <w:r w:rsidRPr="00911998">
        <w:rPr>
          <w:szCs w:val="24"/>
        </w:rPr>
        <w:t xml:space="preserve"> </w:t>
      </w:r>
      <w:r w:rsidR="00A06C45" w:rsidRPr="00911998">
        <w:rPr>
          <w:szCs w:val="24"/>
        </w:rPr>
        <w:t>à savoir</w:t>
      </w:r>
      <w:r w:rsidRPr="00911998">
        <w:rPr>
          <w:szCs w:val="24"/>
        </w:rPr>
        <w:t xml:space="preserve"> un troisième lien de filiation</w:t>
      </w:r>
      <w:r w:rsidR="005F25DD" w:rsidRPr="00911998">
        <w:rPr>
          <w:szCs w:val="24"/>
        </w:rPr>
        <w:t>.</w:t>
      </w:r>
      <w:r w:rsidR="00552740" w:rsidRPr="00911998">
        <w:rPr>
          <w:szCs w:val="24"/>
        </w:rPr>
        <w:t xml:space="preserve"> </w:t>
      </w:r>
      <w:r w:rsidR="005F25DD" w:rsidRPr="00911998">
        <w:rPr>
          <w:szCs w:val="24"/>
        </w:rPr>
        <w:t>Puisque t</w:t>
      </w:r>
      <w:r w:rsidR="00552740" w:rsidRPr="00911998">
        <w:rPr>
          <w:szCs w:val="24"/>
        </w:rPr>
        <w:t xml:space="preserve">ous </w:t>
      </w:r>
      <w:r w:rsidR="005F25DD" w:rsidRPr="00911998">
        <w:rPr>
          <w:szCs w:val="24"/>
        </w:rPr>
        <w:t xml:space="preserve">sont </w:t>
      </w:r>
      <w:r w:rsidR="00552740" w:rsidRPr="00911998">
        <w:rPr>
          <w:szCs w:val="24"/>
        </w:rPr>
        <w:t xml:space="preserve">assujettis à </w:t>
      </w:r>
      <w:r w:rsidR="005F25DD" w:rsidRPr="00911998">
        <w:rPr>
          <w:szCs w:val="24"/>
        </w:rPr>
        <w:t>la</w:t>
      </w:r>
      <w:r w:rsidR="00537F9B" w:rsidRPr="00911998">
        <w:rPr>
          <w:szCs w:val="24"/>
        </w:rPr>
        <w:t xml:space="preserve"> même</w:t>
      </w:r>
      <w:r w:rsidR="005F25DD" w:rsidRPr="00911998">
        <w:rPr>
          <w:szCs w:val="24"/>
        </w:rPr>
        <w:t xml:space="preserve"> </w:t>
      </w:r>
      <w:r w:rsidR="00552740" w:rsidRPr="00911998">
        <w:rPr>
          <w:szCs w:val="24"/>
        </w:rPr>
        <w:t>limite</w:t>
      </w:r>
      <w:r w:rsidR="005F25DD" w:rsidRPr="00911998">
        <w:rPr>
          <w:szCs w:val="24"/>
        </w:rPr>
        <w:t xml:space="preserve"> quant au nombre de liens de filiation</w:t>
      </w:r>
      <w:r w:rsidR="00552740" w:rsidRPr="00911998">
        <w:rPr>
          <w:szCs w:val="24"/>
        </w:rPr>
        <w:t xml:space="preserve">, </w:t>
      </w:r>
      <w:r w:rsidR="005F25DD" w:rsidRPr="00911998">
        <w:rPr>
          <w:szCs w:val="24"/>
        </w:rPr>
        <w:t xml:space="preserve">la </w:t>
      </w:r>
      <w:r w:rsidR="005F25DD" w:rsidRPr="00911998">
        <w:rPr>
          <w:rFonts w:cs="Arial"/>
          <w:szCs w:val="24"/>
          <w:lang w:eastAsia="fr-CA"/>
        </w:rPr>
        <w:t xml:space="preserve">loi ne fait acception de personne et </w:t>
      </w:r>
      <w:r w:rsidR="002D78F5" w:rsidRPr="00911998">
        <w:rPr>
          <w:rFonts w:cs="Arial"/>
          <w:szCs w:val="24"/>
          <w:lang w:eastAsia="fr-CA"/>
        </w:rPr>
        <w:t xml:space="preserve">elle </w:t>
      </w:r>
      <w:r w:rsidR="005F25DD" w:rsidRPr="00911998">
        <w:rPr>
          <w:rFonts w:cs="Arial"/>
          <w:szCs w:val="24"/>
          <w:lang w:eastAsia="fr-CA"/>
        </w:rPr>
        <w:t>s’applique également à tous</w:t>
      </w:r>
      <w:r w:rsidR="002D78F5" w:rsidRPr="00911998">
        <w:rPr>
          <w:rFonts w:cs="Arial"/>
          <w:szCs w:val="24"/>
          <w:lang w:eastAsia="fr-CA"/>
        </w:rPr>
        <w:t>. De même</w:t>
      </w:r>
      <w:r w:rsidR="005F25DD" w:rsidRPr="00911998">
        <w:rPr>
          <w:rFonts w:cs="Arial"/>
          <w:szCs w:val="24"/>
          <w:lang w:eastAsia="fr-CA"/>
        </w:rPr>
        <w:t xml:space="preserve">, tous ont droit à la même protection et au même bénéfice de la loi. </w:t>
      </w:r>
    </w:p>
    <w:p w14:paraId="3A539E51" w14:textId="6395EBB7" w:rsidR="002D78F5" w:rsidRPr="00911998" w:rsidRDefault="00D65979" w:rsidP="000F7D30">
      <w:pPr>
        <w:pStyle w:val="Paragrsimple"/>
        <w:rPr>
          <w:szCs w:val="24"/>
        </w:rPr>
      </w:pPr>
      <w:r w:rsidRPr="00911998">
        <w:rPr>
          <w:szCs w:val="24"/>
        </w:rPr>
        <w:t xml:space="preserve">L’approche du PGQ consiste à incorporer </w:t>
      </w:r>
      <w:r w:rsidR="009F029E" w:rsidRPr="00911998">
        <w:rPr>
          <w:szCs w:val="24"/>
        </w:rPr>
        <w:t>à</w:t>
      </w:r>
      <w:r w:rsidRPr="00911998">
        <w:rPr>
          <w:szCs w:val="24"/>
        </w:rPr>
        <w:t xml:space="preserve"> l’avantage prévu par la loi les limites imposées à celui</w:t>
      </w:r>
      <w:r w:rsidRPr="00911998">
        <w:rPr>
          <w:szCs w:val="24"/>
        </w:rPr>
        <w:noBreakHyphen/>
        <w:t>ci par le régime contesté</w:t>
      </w:r>
      <w:r w:rsidR="009F029E" w:rsidRPr="00911998">
        <w:rPr>
          <w:szCs w:val="24"/>
        </w:rPr>
        <w:t xml:space="preserve">. Il en résulte </w:t>
      </w:r>
      <w:r w:rsidRPr="00911998">
        <w:rPr>
          <w:szCs w:val="24"/>
        </w:rPr>
        <w:t xml:space="preserve">que le demandeur qui n’a pas accès à l’avantage ne peut prétendre à une différence de traitement, car il ne satisfait pas </w:t>
      </w:r>
      <w:r w:rsidR="00537F9B" w:rsidRPr="00911998">
        <w:rPr>
          <w:szCs w:val="24"/>
        </w:rPr>
        <w:t xml:space="preserve">aux </w:t>
      </w:r>
      <w:r w:rsidRPr="00911998">
        <w:rPr>
          <w:szCs w:val="24"/>
        </w:rPr>
        <w:t xml:space="preserve">critères pour y avoir accès. </w:t>
      </w:r>
      <w:r w:rsidR="009F029E" w:rsidRPr="00911998">
        <w:rPr>
          <w:szCs w:val="24"/>
        </w:rPr>
        <w:t>L</w:t>
      </w:r>
      <w:r w:rsidRPr="00911998">
        <w:rPr>
          <w:szCs w:val="24"/>
        </w:rPr>
        <w:t>’argument du PGQ correspond à une approche formelle au droit à l’égalité</w:t>
      </w:r>
      <w:r w:rsidR="00666C7A" w:rsidRPr="00911998">
        <w:rPr>
          <w:szCs w:val="24"/>
        </w:rPr>
        <w:t>,</w:t>
      </w:r>
      <w:r w:rsidRPr="00911998">
        <w:rPr>
          <w:szCs w:val="24"/>
        </w:rPr>
        <w:t xml:space="preserve"> </w:t>
      </w:r>
      <w:r w:rsidR="00666C7A" w:rsidRPr="00911998">
        <w:rPr>
          <w:szCs w:val="24"/>
        </w:rPr>
        <w:t>laquelle</w:t>
      </w:r>
      <w:r w:rsidRPr="00911998">
        <w:rPr>
          <w:szCs w:val="24"/>
        </w:rPr>
        <w:t xml:space="preserve"> est incompatible avec l’objectif de l’égalité réelle poursuivi par l’article 15 de la </w:t>
      </w:r>
      <w:r w:rsidRPr="00911998">
        <w:rPr>
          <w:i/>
          <w:iCs/>
          <w:szCs w:val="24"/>
        </w:rPr>
        <w:t>Charte canadienne</w:t>
      </w:r>
      <w:r w:rsidRPr="00911998">
        <w:rPr>
          <w:szCs w:val="24"/>
        </w:rPr>
        <w:t xml:space="preserve"> et avec l’idée qu’un traitement identique peut </w:t>
      </w:r>
      <w:r w:rsidR="00987E97" w:rsidRPr="00911998">
        <w:rPr>
          <w:szCs w:val="24"/>
        </w:rPr>
        <w:t>s’avérer</w:t>
      </w:r>
      <w:r w:rsidRPr="00911998">
        <w:rPr>
          <w:szCs w:val="24"/>
        </w:rPr>
        <w:t xml:space="preserve"> discriminatoire</w:t>
      </w:r>
      <w:r w:rsidR="004B1CA4" w:rsidRPr="00911998">
        <w:rPr>
          <w:rStyle w:val="Appelnotedebasdep"/>
          <w:szCs w:val="24"/>
        </w:rPr>
        <w:footnoteReference w:id="165"/>
      </w:r>
      <w:r w:rsidRPr="00911998">
        <w:rPr>
          <w:szCs w:val="24"/>
        </w:rPr>
        <w:t>.</w:t>
      </w:r>
      <w:r w:rsidR="004B1CA4" w:rsidRPr="00911998">
        <w:rPr>
          <w:szCs w:val="24"/>
        </w:rPr>
        <w:t xml:space="preserve"> Comme l’explique la juge </w:t>
      </w:r>
      <w:proofErr w:type="spellStart"/>
      <w:r w:rsidR="004B1CA4" w:rsidRPr="00911998">
        <w:rPr>
          <w:szCs w:val="24"/>
        </w:rPr>
        <w:t>Karakatsanis</w:t>
      </w:r>
      <w:proofErr w:type="spellEnd"/>
      <w:r w:rsidR="004B1CA4" w:rsidRPr="00911998">
        <w:rPr>
          <w:szCs w:val="24"/>
        </w:rPr>
        <w:t xml:space="preserve"> dans l’arrêt </w:t>
      </w:r>
      <w:r w:rsidR="004B1CA4" w:rsidRPr="00911998">
        <w:rPr>
          <w:i/>
          <w:iCs/>
          <w:szCs w:val="24"/>
        </w:rPr>
        <w:t>Ontario c. G.</w:t>
      </w:r>
      <w:r w:rsidR="004B1CA4" w:rsidRPr="00911998">
        <w:rPr>
          <w:rStyle w:val="Appelnotedebasdep"/>
          <w:szCs w:val="24"/>
        </w:rPr>
        <w:footnoteReference w:id="166"/>
      </w:r>
      <w:r w:rsidR="004B1CA4" w:rsidRPr="00911998">
        <w:rPr>
          <w:i/>
          <w:iCs/>
          <w:szCs w:val="24"/>
        </w:rPr>
        <w:t> </w:t>
      </w:r>
      <w:r w:rsidR="004B1CA4" w:rsidRPr="00911998">
        <w:rPr>
          <w:szCs w:val="24"/>
        </w:rPr>
        <w:t>:</w:t>
      </w:r>
    </w:p>
    <w:p w14:paraId="63BD5079" w14:textId="10D590A9" w:rsidR="004B1CA4" w:rsidRPr="00911998" w:rsidRDefault="004B1CA4" w:rsidP="004B1CA4">
      <w:pPr>
        <w:ind w:left="567" w:right="560"/>
        <w:jc w:val="both"/>
        <w:rPr>
          <w:sz w:val="22"/>
          <w:szCs w:val="22"/>
        </w:rPr>
      </w:pPr>
      <w:r w:rsidRPr="00911998">
        <w:rPr>
          <w:sz w:val="22"/>
          <w:szCs w:val="22"/>
        </w:rPr>
        <w:t>[</w:t>
      </w:r>
      <w:bookmarkStart w:id="57" w:name="par44"/>
      <w:r w:rsidRPr="00911998">
        <w:rPr>
          <w:sz w:val="22"/>
          <w:szCs w:val="22"/>
        </w:rPr>
        <w:t>44</w:t>
      </w:r>
      <w:bookmarkEnd w:id="57"/>
      <w:proofErr w:type="gramStart"/>
      <w:r w:rsidRPr="00911998">
        <w:rPr>
          <w:sz w:val="22"/>
          <w:szCs w:val="22"/>
        </w:rPr>
        <w:t>]  La</w:t>
      </w:r>
      <w:proofErr w:type="gramEnd"/>
      <w:r w:rsidRPr="00911998">
        <w:rPr>
          <w:sz w:val="22"/>
          <w:szCs w:val="22"/>
        </w:rPr>
        <w:t xml:space="preserve"> conception que se fait notre Cour de l’égalité réelle a évolué en opposition aux approches d’égalité formelle. L’égalité formelle se limite à l’égalité « devant la loi » et considère l’égalité comme un principe qui se réalise par « l’égalité de traitement des individus égaux » </w:t>
      </w:r>
      <w:r w:rsidRPr="00911998">
        <w:rPr>
          <w:rFonts w:cs="Arial"/>
          <w:sz w:val="22"/>
          <w:szCs w:val="22"/>
        </w:rPr>
        <w:t>[…]</w:t>
      </w:r>
      <w:r w:rsidRPr="00911998">
        <w:rPr>
          <w:sz w:val="22"/>
          <w:szCs w:val="22"/>
        </w:rPr>
        <w:t xml:space="preserve">. Les approches formalistes relatives aux droits à l’égalité consistent à [traduction] « appliquer des règles et des définitions objectives sans égard au contexte » qui ne tiennent pas compte de conditions telles que l’inégalité importante, les effets concrets qu’ont les lois sur les individus et les groupes, et la manière dont les choix des individus sont ancrés dans le contexte socioéconomique dans lequel ils évoluent </w:t>
      </w:r>
      <w:r w:rsidRPr="00911998">
        <w:rPr>
          <w:rFonts w:cs="Arial"/>
          <w:sz w:val="22"/>
          <w:szCs w:val="22"/>
        </w:rPr>
        <w:t>[…].</w:t>
      </w:r>
    </w:p>
    <w:p w14:paraId="57094408" w14:textId="29A28B02" w:rsidR="004B1CA4" w:rsidRPr="00911998" w:rsidRDefault="004B1CA4" w:rsidP="004B1CA4">
      <w:pPr>
        <w:pStyle w:val="Paragrsimple"/>
      </w:pPr>
      <w:r w:rsidRPr="00911998">
        <w:t>En somme, l’approche du PGQ s’écarte de la notion d’égalité réelle protégée par le paragraphe</w:t>
      </w:r>
      <w:r w:rsidR="00EA04D7" w:rsidRPr="00911998">
        <w:t> </w:t>
      </w:r>
      <w:r w:rsidRPr="00911998">
        <w:t xml:space="preserve">15(1) de la </w:t>
      </w:r>
      <w:r w:rsidRPr="00911998">
        <w:rPr>
          <w:i/>
          <w:iCs/>
        </w:rPr>
        <w:t>Charte canadienne</w:t>
      </w:r>
      <w:r w:rsidRPr="00911998">
        <w:t xml:space="preserve">. </w:t>
      </w:r>
    </w:p>
    <w:p w14:paraId="05F2911E" w14:textId="1CCDEBF5" w:rsidR="00D65979" w:rsidRPr="00911998" w:rsidRDefault="00666C7A" w:rsidP="00537F9B">
      <w:pPr>
        <w:pStyle w:val="Paragrsimple"/>
      </w:pPr>
      <w:r w:rsidRPr="00911998">
        <w:t>Pour illustrer la faille dans l’argument du PGQ</w:t>
      </w:r>
      <w:r w:rsidR="00987E97" w:rsidRPr="00911998">
        <w:t>,</w:t>
      </w:r>
      <w:r w:rsidRPr="00911998">
        <w:t xml:space="preserve"> postulons un régime juridique qui ne reconna</w:t>
      </w:r>
      <w:r w:rsidR="00A06C45" w:rsidRPr="00911998">
        <w:t>î</w:t>
      </w:r>
      <w:r w:rsidRPr="00911998">
        <w:t xml:space="preserve">t </w:t>
      </w:r>
      <w:r w:rsidR="00923A4D" w:rsidRPr="00911998">
        <w:t>qu’</w:t>
      </w:r>
      <w:r w:rsidRPr="00911998">
        <w:t xml:space="preserve">un seul lien de filiation. </w:t>
      </w:r>
      <w:r w:rsidR="00940FBE" w:rsidRPr="00911998">
        <w:t>Il est évident qu’un tel régime prive</w:t>
      </w:r>
      <w:r w:rsidR="00923A4D" w:rsidRPr="00911998">
        <w:t xml:space="preserve">rait le parent non reconnu </w:t>
      </w:r>
      <w:r w:rsidR="00940FBE" w:rsidRPr="00911998">
        <w:t xml:space="preserve">d’un avantage prévu par la loi, </w:t>
      </w:r>
      <w:r w:rsidR="00A06C45" w:rsidRPr="00911998">
        <w:t>à savoir</w:t>
      </w:r>
      <w:r w:rsidR="00940FBE" w:rsidRPr="00911998">
        <w:t xml:space="preserve"> la filiation. </w:t>
      </w:r>
      <w:r w:rsidR="00491F35" w:rsidRPr="00911998">
        <w:t xml:space="preserve">Face à une demande fondée sur le paragraphe 15(1) de la </w:t>
      </w:r>
      <w:r w:rsidR="00491F35" w:rsidRPr="00911998">
        <w:rPr>
          <w:i/>
          <w:iCs/>
        </w:rPr>
        <w:t>Charte canadienne</w:t>
      </w:r>
      <w:r w:rsidR="00923A4D" w:rsidRPr="00911998">
        <w:t xml:space="preserve">, l’on ne saurait </w:t>
      </w:r>
      <w:r w:rsidR="00EE3D59" w:rsidRPr="00911998">
        <w:t>répondre</w:t>
      </w:r>
      <w:r w:rsidR="00923A4D" w:rsidRPr="00911998">
        <w:t xml:space="preserve"> q</w:t>
      </w:r>
      <w:r w:rsidR="00EE3D59" w:rsidRPr="00911998">
        <w:t>ue le parent non reconnu ne subit aucune</w:t>
      </w:r>
      <w:r w:rsidR="00923A4D" w:rsidRPr="00911998">
        <w:t xml:space="preserve"> différence de traitement, car ce qui est recherché </w:t>
      </w:r>
      <w:r w:rsidR="00EA04D7" w:rsidRPr="00911998">
        <w:t>—</w:t>
      </w:r>
      <w:r w:rsidR="00923A4D" w:rsidRPr="00911998">
        <w:t xml:space="preserve"> </w:t>
      </w:r>
      <w:r w:rsidR="00EE3D59" w:rsidRPr="00911998">
        <w:t xml:space="preserve">un deuxième lien de filiation </w:t>
      </w:r>
      <w:r w:rsidR="00EA04D7" w:rsidRPr="00911998">
        <w:t>—</w:t>
      </w:r>
      <w:r w:rsidR="00EE3D59" w:rsidRPr="00911998">
        <w:t xml:space="preserve"> n’est pas un avantage prévu </w:t>
      </w:r>
      <w:r w:rsidR="00A06C45" w:rsidRPr="00911998">
        <w:t>par</w:t>
      </w:r>
      <w:r w:rsidR="00EE3D59" w:rsidRPr="00911998">
        <w:t xml:space="preserve"> la loi. C’est la filiation elle</w:t>
      </w:r>
      <w:r w:rsidR="00EE3D59" w:rsidRPr="00911998">
        <w:noBreakHyphen/>
        <w:t xml:space="preserve">même qui </w:t>
      </w:r>
      <w:r w:rsidR="00A06C45" w:rsidRPr="00911998">
        <w:t>constitue</w:t>
      </w:r>
      <w:r w:rsidR="00EE3D59" w:rsidRPr="00911998">
        <w:t xml:space="preserve"> l’avantage prévu par la loi dont le parent non reconnu est privé.</w:t>
      </w:r>
    </w:p>
    <w:p w14:paraId="4CF2145D" w14:textId="33D87CC3" w:rsidR="00BD3566" w:rsidRPr="00911998" w:rsidRDefault="00987E97" w:rsidP="000F7D30">
      <w:pPr>
        <w:pStyle w:val="Paragrsimple"/>
        <w:rPr>
          <w:rFonts w:cs="Arial"/>
          <w:szCs w:val="24"/>
          <w:lang w:eastAsia="fr-CA"/>
        </w:rPr>
      </w:pPr>
      <w:r w:rsidRPr="00911998">
        <w:rPr>
          <w:rFonts w:cs="Arial"/>
          <w:szCs w:val="24"/>
          <w:lang w:eastAsia="fr-CA"/>
        </w:rPr>
        <w:lastRenderedPageBreak/>
        <w:t>Il en est de même en l’espèc</w:t>
      </w:r>
      <w:r w:rsidR="00685D85" w:rsidRPr="00911998">
        <w:rPr>
          <w:rFonts w:cs="Arial"/>
          <w:szCs w:val="24"/>
          <w:lang w:eastAsia="fr-CA"/>
        </w:rPr>
        <w:t>e.</w:t>
      </w:r>
      <w:r w:rsidRPr="00911998">
        <w:rPr>
          <w:rFonts w:cs="Arial"/>
          <w:szCs w:val="24"/>
          <w:lang w:eastAsia="fr-CA"/>
        </w:rPr>
        <w:t xml:space="preserve"> </w:t>
      </w:r>
      <w:r w:rsidR="00A06C45" w:rsidRPr="00911998">
        <w:rPr>
          <w:rFonts w:cs="Arial"/>
          <w:szCs w:val="24"/>
          <w:lang w:eastAsia="fr-CA"/>
        </w:rPr>
        <w:t>Aux</w:t>
      </w:r>
      <w:r w:rsidRPr="00911998">
        <w:rPr>
          <w:rFonts w:cs="Arial"/>
          <w:szCs w:val="24"/>
          <w:lang w:eastAsia="fr-CA"/>
        </w:rPr>
        <w:t xml:space="preserve"> fins de l’analyse de la demande </w:t>
      </w:r>
      <w:r w:rsidR="00685D85" w:rsidRPr="00911998">
        <w:rPr>
          <w:rFonts w:cs="Arial"/>
          <w:szCs w:val="24"/>
          <w:lang w:eastAsia="fr-CA"/>
        </w:rPr>
        <w:t>fondée sur le paragraphe</w:t>
      </w:r>
      <w:r w:rsidR="00EA04D7" w:rsidRPr="00911998">
        <w:rPr>
          <w:rFonts w:cs="Arial"/>
          <w:szCs w:val="24"/>
          <w:lang w:eastAsia="fr-CA"/>
        </w:rPr>
        <w:t> </w:t>
      </w:r>
      <w:r w:rsidR="00685D85" w:rsidRPr="00911998">
        <w:rPr>
          <w:rFonts w:cs="Arial"/>
          <w:szCs w:val="24"/>
          <w:lang w:eastAsia="fr-CA"/>
        </w:rPr>
        <w:t xml:space="preserve">15(1) de la </w:t>
      </w:r>
      <w:r w:rsidR="00685D85" w:rsidRPr="00911998">
        <w:rPr>
          <w:rFonts w:cs="Arial"/>
          <w:i/>
          <w:iCs/>
          <w:szCs w:val="24"/>
          <w:lang w:eastAsia="fr-CA"/>
        </w:rPr>
        <w:t>Charte canadienne</w:t>
      </w:r>
      <w:r w:rsidR="00A06C45" w:rsidRPr="00911998">
        <w:rPr>
          <w:rFonts w:cs="Arial"/>
          <w:szCs w:val="24"/>
          <w:lang w:eastAsia="fr-CA"/>
        </w:rPr>
        <w:t>,</w:t>
      </w:r>
      <w:r w:rsidR="00685D85" w:rsidRPr="00911998">
        <w:rPr>
          <w:rFonts w:cs="Arial"/>
          <w:szCs w:val="24"/>
          <w:lang w:eastAsia="fr-CA"/>
        </w:rPr>
        <w:t xml:space="preserve"> </w:t>
      </w:r>
      <w:r w:rsidRPr="00911998">
        <w:rPr>
          <w:rFonts w:cs="Arial"/>
          <w:szCs w:val="24"/>
          <w:lang w:eastAsia="fr-CA"/>
        </w:rPr>
        <w:t>l’avantage pré</w:t>
      </w:r>
      <w:r w:rsidR="00685D85" w:rsidRPr="00911998">
        <w:rPr>
          <w:rFonts w:cs="Arial"/>
          <w:szCs w:val="24"/>
          <w:lang w:eastAsia="fr-CA"/>
        </w:rPr>
        <w:t xml:space="preserve">vu par la loi correspond simplement </w:t>
      </w:r>
      <w:r w:rsidR="00BD3566" w:rsidRPr="00911998">
        <w:rPr>
          <w:rFonts w:cs="Arial"/>
          <w:szCs w:val="24"/>
          <w:lang w:eastAsia="fr-CA"/>
        </w:rPr>
        <w:t>à la</w:t>
      </w:r>
      <w:r w:rsidR="00685D85" w:rsidRPr="00911998">
        <w:rPr>
          <w:rFonts w:cs="Arial"/>
          <w:szCs w:val="24"/>
          <w:lang w:eastAsia="fr-CA"/>
        </w:rPr>
        <w:t xml:space="preserve"> filiation </w:t>
      </w:r>
      <w:r w:rsidR="00BD3566" w:rsidRPr="00911998">
        <w:rPr>
          <w:rFonts w:cs="Arial"/>
          <w:szCs w:val="24"/>
          <w:lang w:eastAsia="fr-CA"/>
        </w:rPr>
        <w:t>du</w:t>
      </w:r>
      <w:r w:rsidR="00685D85" w:rsidRPr="00911998">
        <w:rPr>
          <w:rFonts w:cs="Arial"/>
          <w:szCs w:val="24"/>
          <w:lang w:eastAsia="fr-CA"/>
        </w:rPr>
        <w:t xml:space="preserve"> C.c.Q. et non à un lien de filiation additionnel </w:t>
      </w:r>
      <w:r w:rsidR="00EA04D7" w:rsidRPr="00911998">
        <w:rPr>
          <w:rFonts w:cs="Arial"/>
          <w:szCs w:val="24"/>
          <w:lang w:eastAsia="fr-CA"/>
        </w:rPr>
        <w:t>inexistant</w:t>
      </w:r>
      <w:r w:rsidR="00685D85" w:rsidRPr="00911998">
        <w:rPr>
          <w:rFonts w:cs="Arial"/>
          <w:szCs w:val="24"/>
          <w:lang w:eastAsia="fr-CA"/>
        </w:rPr>
        <w:t xml:space="preserve"> en droit québécois.</w:t>
      </w:r>
      <w:r w:rsidR="00014D33" w:rsidRPr="00911998">
        <w:rPr>
          <w:rFonts w:cs="Arial"/>
          <w:szCs w:val="24"/>
          <w:lang w:eastAsia="fr-CA"/>
        </w:rPr>
        <w:t xml:space="preserve"> </w:t>
      </w:r>
    </w:p>
    <w:p w14:paraId="1D3D4681" w14:textId="634B1A0F" w:rsidR="00554FC7" w:rsidRPr="00911998" w:rsidRDefault="00014D33" w:rsidP="000F7D30">
      <w:pPr>
        <w:pStyle w:val="Paragrsimple"/>
        <w:rPr>
          <w:rFonts w:cs="Arial"/>
          <w:szCs w:val="24"/>
          <w:lang w:eastAsia="fr-CA"/>
        </w:rPr>
      </w:pPr>
      <w:r w:rsidRPr="00911998">
        <w:rPr>
          <w:rFonts w:cs="Arial"/>
          <w:szCs w:val="24"/>
          <w:lang w:eastAsia="fr-CA"/>
        </w:rPr>
        <w:t xml:space="preserve">La question consiste donc à </w:t>
      </w:r>
      <w:r w:rsidR="00A06C45" w:rsidRPr="00911998">
        <w:rPr>
          <w:rFonts w:cs="Arial"/>
          <w:szCs w:val="24"/>
          <w:lang w:eastAsia="fr-CA"/>
        </w:rPr>
        <w:t>déterminer</w:t>
      </w:r>
      <w:r w:rsidRPr="00911998">
        <w:rPr>
          <w:rFonts w:cs="Arial"/>
          <w:szCs w:val="24"/>
          <w:lang w:eastAsia="fr-CA"/>
        </w:rPr>
        <w:t xml:space="preserve"> si</w:t>
      </w:r>
      <w:r w:rsidR="00554FC7" w:rsidRPr="00911998">
        <w:rPr>
          <w:rFonts w:cs="Arial"/>
          <w:szCs w:val="24"/>
          <w:lang w:eastAsia="fr-CA"/>
        </w:rPr>
        <w:t xml:space="preserve"> la limite de deux </w:t>
      </w:r>
      <w:r w:rsidR="00312A78" w:rsidRPr="00911998">
        <w:rPr>
          <w:rFonts w:cs="Arial"/>
          <w:szCs w:val="24"/>
          <w:lang w:eastAsia="fr-CA"/>
        </w:rPr>
        <w:t>parents légalement reconnus</w:t>
      </w:r>
      <w:r w:rsidR="00554FC7" w:rsidRPr="00911998">
        <w:rPr>
          <w:rFonts w:cs="Arial"/>
          <w:szCs w:val="24"/>
          <w:lang w:eastAsia="fr-CA"/>
        </w:rPr>
        <w:t xml:space="preserve"> </w:t>
      </w:r>
      <w:r w:rsidR="00EA04D7" w:rsidRPr="00911998">
        <w:rPr>
          <w:rFonts w:cs="Arial"/>
          <w:szCs w:val="24"/>
          <w:lang w:eastAsia="fr-CA"/>
        </w:rPr>
        <w:t>—</w:t>
      </w:r>
      <w:r w:rsidR="00554FC7" w:rsidRPr="00911998">
        <w:rPr>
          <w:rFonts w:cs="Arial"/>
          <w:szCs w:val="24"/>
          <w:lang w:eastAsia="fr-CA"/>
        </w:rPr>
        <w:t xml:space="preserve"> laquelle empêche la formation d’un lien de filiation entre certains des Demandeurs et leurs enfants </w:t>
      </w:r>
      <w:r w:rsidR="00EA04D7" w:rsidRPr="00911998">
        <w:rPr>
          <w:rFonts w:cs="Arial"/>
          <w:szCs w:val="24"/>
          <w:lang w:eastAsia="fr-CA"/>
        </w:rPr>
        <w:t>—</w:t>
      </w:r>
      <w:r w:rsidR="00554FC7" w:rsidRPr="00911998">
        <w:rPr>
          <w:rFonts w:cs="Arial"/>
          <w:szCs w:val="24"/>
          <w:lang w:eastAsia="fr-CA"/>
        </w:rPr>
        <w:t xml:space="preserve"> constitue une différence de traitement fondée sur un motif de discrimination prohibé.</w:t>
      </w:r>
    </w:p>
    <w:p w14:paraId="3052E44B" w14:textId="19628611" w:rsidR="00F74585" w:rsidRPr="00911998" w:rsidRDefault="00554FC7" w:rsidP="00554FC7">
      <w:pPr>
        <w:pStyle w:val="Paragrsimple"/>
        <w:rPr>
          <w:lang w:eastAsia="fr-CA"/>
        </w:rPr>
      </w:pPr>
      <w:r w:rsidRPr="00911998">
        <w:rPr>
          <w:lang w:eastAsia="fr-CA"/>
        </w:rPr>
        <w:t>Pour répondre à cette question</w:t>
      </w:r>
      <w:r w:rsidR="00F74585" w:rsidRPr="00911998">
        <w:rPr>
          <w:lang w:eastAsia="fr-CA"/>
        </w:rPr>
        <w:t>,</w:t>
      </w:r>
      <w:r w:rsidRPr="00911998">
        <w:rPr>
          <w:lang w:eastAsia="fr-CA"/>
        </w:rPr>
        <w:t xml:space="preserve"> il </w:t>
      </w:r>
      <w:r w:rsidR="00B9506A" w:rsidRPr="00911998">
        <w:rPr>
          <w:lang w:eastAsia="fr-CA"/>
        </w:rPr>
        <w:t>est utile de</w:t>
      </w:r>
      <w:r w:rsidRPr="00911998">
        <w:rPr>
          <w:lang w:eastAsia="fr-CA"/>
        </w:rPr>
        <w:t xml:space="preserve"> comparer la situation des </w:t>
      </w:r>
      <w:r w:rsidR="004B3F95" w:rsidRPr="00911998">
        <w:rPr>
          <w:lang w:eastAsia="fr-CA"/>
        </w:rPr>
        <w:t>D</w:t>
      </w:r>
      <w:r w:rsidRPr="00911998">
        <w:rPr>
          <w:lang w:eastAsia="fr-CA"/>
        </w:rPr>
        <w:t xml:space="preserve">emandeurs </w:t>
      </w:r>
      <w:r w:rsidR="00A06C45" w:rsidRPr="00911998">
        <w:rPr>
          <w:lang w:eastAsia="fr-CA"/>
        </w:rPr>
        <w:t xml:space="preserve">à </w:t>
      </w:r>
      <w:r w:rsidRPr="00911998">
        <w:rPr>
          <w:lang w:eastAsia="fr-CA"/>
        </w:rPr>
        <w:t xml:space="preserve">celle d’un groupe </w:t>
      </w:r>
      <w:r w:rsidR="00B9506A" w:rsidRPr="00911998">
        <w:rPr>
          <w:lang w:eastAsia="fr-CA"/>
        </w:rPr>
        <w:t>de comparaison</w:t>
      </w:r>
      <w:r w:rsidRPr="00911998">
        <w:rPr>
          <w:lang w:eastAsia="fr-CA"/>
        </w:rPr>
        <w:t xml:space="preserve"> approprié. </w:t>
      </w:r>
      <w:r w:rsidR="004148DF" w:rsidRPr="00911998">
        <w:rPr>
          <w:lang w:eastAsia="fr-CA"/>
        </w:rPr>
        <w:t xml:space="preserve">À ce titre, les Demandeurs soutiennent que </w:t>
      </w:r>
      <w:r w:rsidR="00B9506A" w:rsidRPr="00911998">
        <w:rPr>
          <w:lang w:eastAsia="fr-CA"/>
        </w:rPr>
        <w:t>celui</w:t>
      </w:r>
      <w:r w:rsidR="00B9506A" w:rsidRPr="00911998">
        <w:rPr>
          <w:lang w:eastAsia="fr-CA"/>
        </w:rPr>
        <w:noBreakHyphen/>
        <w:t>ci</w:t>
      </w:r>
      <w:r w:rsidR="004148DF" w:rsidRPr="00911998">
        <w:rPr>
          <w:lang w:eastAsia="fr-CA"/>
        </w:rPr>
        <w:t xml:space="preserve"> </w:t>
      </w:r>
      <w:r w:rsidR="00A06C45" w:rsidRPr="00911998">
        <w:rPr>
          <w:lang w:eastAsia="fr-CA"/>
        </w:rPr>
        <w:t>est formé d</w:t>
      </w:r>
      <w:r w:rsidR="004148DF" w:rsidRPr="00911998">
        <w:rPr>
          <w:lang w:eastAsia="fr-CA"/>
        </w:rPr>
        <w:t xml:space="preserve">es familles biparentales et monoparentales. </w:t>
      </w:r>
    </w:p>
    <w:p w14:paraId="2AE4EEE3" w14:textId="4BFA82EA" w:rsidR="00C1384D" w:rsidRPr="00911998" w:rsidRDefault="00F74585" w:rsidP="00554FC7">
      <w:pPr>
        <w:pStyle w:val="Paragrsimple"/>
        <w:rPr>
          <w:lang w:eastAsia="fr-CA"/>
        </w:rPr>
      </w:pPr>
      <w:r w:rsidRPr="00911998">
        <w:rPr>
          <w:lang w:eastAsia="fr-CA"/>
        </w:rPr>
        <w:t xml:space="preserve">Puisqu’en principe les familles monoparentales ne vivent pas une situation de coparentalité, le Tribunal n’est pas convaincu </w:t>
      </w:r>
      <w:r w:rsidR="00FA420F" w:rsidRPr="00911998">
        <w:rPr>
          <w:lang w:eastAsia="fr-CA"/>
        </w:rPr>
        <w:t>qu’elles fassent</w:t>
      </w:r>
      <w:r w:rsidR="00C1384D" w:rsidRPr="00911998">
        <w:rPr>
          <w:lang w:eastAsia="fr-CA"/>
        </w:rPr>
        <w:t xml:space="preserve"> partie d’un groupe </w:t>
      </w:r>
      <w:r w:rsidR="00B9506A" w:rsidRPr="00911998">
        <w:rPr>
          <w:lang w:eastAsia="fr-CA"/>
        </w:rPr>
        <w:t>de comparaison</w:t>
      </w:r>
      <w:r w:rsidR="00C1384D" w:rsidRPr="00911998">
        <w:rPr>
          <w:lang w:eastAsia="fr-CA"/>
        </w:rPr>
        <w:t xml:space="preserve"> approprié. En revanche, il convient de retenir </w:t>
      </w:r>
      <w:r w:rsidRPr="00911998">
        <w:rPr>
          <w:lang w:eastAsia="fr-CA"/>
        </w:rPr>
        <w:t xml:space="preserve">les familles biparentales </w:t>
      </w:r>
      <w:r w:rsidR="00FA420F" w:rsidRPr="00911998">
        <w:rPr>
          <w:lang w:eastAsia="fr-CA"/>
        </w:rPr>
        <w:t>comm</w:t>
      </w:r>
      <w:r w:rsidR="00C1384D" w:rsidRPr="00911998">
        <w:rPr>
          <w:lang w:eastAsia="fr-CA"/>
        </w:rPr>
        <w:t xml:space="preserve">e </w:t>
      </w:r>
      <w:r w:rsidRPr="00911998">
        <w:rPr>
          <w:lang w:eastAsia="fr-CA"/>
        </w:rPr>
        <w:t xml:space="preserve">groupe </w:t>
      </w:r>
      <w:r w:rsidR="00B9506A" w:rsidRPr="00911998">
        <w:rPr>
          <w:lang w:eastAsia="fr-CA"/>
        </w:rPr>
        <w:t>de comparaison</w:t>
      </w:r>
      <w:r w:rsidRPr="00911998">
        <w:rPr>
          <w:lang w:eastAsia="fr-CA"/>
        </w:rPr>
        <w:t xml:space="preserve"> approprié. </w:t>
      </w:r>
    </w:p>
    <w:p w14:paraId="0C101820" w14:textId="64B0BF51" w:rsidR="00246082" w:rsidRPr="00911998" w:rsidRDefault="00246082" w:rsidP="00246082">
      <w:pPr>
        <w:pStyle w:val="Paragrsimple"/>
        <w:rPr>
          <w:lang w:eastAsia="fr-CA"/>
        </w:rPr>
      </w:pPr>
      <w:r w:rsidRPr="00911998">
        <w:rPr>
          <w:lang w:eastAsia="fr-CA"/>
        </w:rPr>
        <w:t xml:space="preserve">Les </w:t>
      </w:r>
      <w:r w:rsidR="00312A78" w:rsidRPr="00911998">
        <w:rPr>
          <w:lang w:eastAsia="fr-CA"/>
        </w:rPr>
        <w:t>Demandeurs individuels</w:t>
      </w:r>
      <w:r w:rsidRPr="00911998">
        <w:rPr>
          <w:lang w:eastAsia="fr-CA"/>
        </w:rPr>
        <w:t xml:space="preserve"> subissent une différence de traitement </w:t>
      </w:r>
      <w:r w:rsidR="00EA7FF3" w:rsidRPr="00911998">
        <w:rPr>
          <w:lang w:eastAsia="fr-CA"/>
        </w:rPr>
        <w:t>par rapport</w:t>
      </w:r>
      <w:r w:rsidRPr="00911998">
        <w:rPr>
          <w:lang w:eastAsia="fr-CA"/>
        </w:rPr>
        <w:t xml:space="preserve"> aux </w:t>
      </w:r>
      <w:r w:rsidR="00312A78" w:rsidRPr="00911998">
        <w:rPr>
          <w:lang w:eastAsia="fr-CA"/>
        </w:rPr>
        <w:t xml:space="preserve">parents membres de </w:t>
      </w:r>
      <w:r w:rsidRPr="00911998">
        <w:rPr>
          <w:lang w:eastAsia="fr-CA"/>
        </w:rPr>
        <w:t xml:space="preserve">familles biparentales. En effet, pour </w:t>
      </w:r>
      <w:r w:rsidR="00312A78" w:rsidRPr="00911998">
        <w:rPr>
          <w:lang w:eastAsia="fr-CA"/>
        </w:rPr>
        <w:t>ces derniers</w:t>
      </w:r>
      <w:r w:rsidR="00EA7FF3" w:rsidRPr="00911998">
        <w:rPr>
          <w:lang w:eastAsia="fr-CA"/>
        </w:rPr>
        <w:t>,</w:t>
      </w:r>
      <w:r w:rsidRPr="00911998">
        <w:rPr>
          <w:lang w:eastAsia="fr-CA"/>
        </w:rPr>
        <w:t xml:space="preserve"> les règles québécoises qu</w:t>
      </w:r>
      <w:r w:rsidR="0073028E" w:rsidRPr="00911998">
        <w:rPr>
          <w:lang w:eastAsia="fr-CA"/>
        </w:rPr>
        <w:t>i</w:t>
      </w:r>
      <w:r w:rsidRPr="00911998">
        <w:rPr>
          <w:lang w:eastAsia="fr-CA"/>
        </w:rPr>
        <w:t xml:space="preserve"> régissent la filiation permettent, en principe, l’établissement d’un lien de filiation entre chaque parent et leurs enfants. Ce n’est pas le cas des</w:t>
      </w:r>
      <w:r w:rsidR="00312A78" w:rsidRPr="00911998">
        <w:rPr>
          <w:lang w:eastAsia="fr-CA"/>
        </w:rPr>
        <w:t xml:space="preserve"> Demandeurs individuels</w:t>
      </w:r>
      <w:r w:rsidRPr="00911998">
        <w:rPr>
          <w:lang w:eastAsia="fr-CA"/>
        </w:rPr>
        <w:t xml:space="preserve">. </w:t>
      </w:r>
    </w:p>
    <w:p w14:paraId="5F881D71" w14:textId="3AACA819" w:rsidR="00D647AD" w:rsidRPr="00911998" w:rsidRDefault="00246082" w:rsidP="00246082">
      <w:pPr>
        <w:pStyle w:val="Paragrsimple"/>
        <w:rPr>
          <w:lang w:eastAsia="fr-CA"/>
        </w:rPr>
      </w:pPr>
      <w:r w:rsidRPr="00911998">
        <w:rPr>
          <w:lang w:eastAsia="fr-CA"/>
        </w:rPr>
        <w:t xml:space="preserve">En raison de la limite de deux liens de filiation, </w:t>
      </w:r>
      <w:r w:rsidR="00EA7FF3" w:rsidRPr="00911998">
        <w:rPr>
          <w:lang w:eastAsia="fr-CA"/>
        </w:rPr>
        <w:t>et à</w:t>
      </w:r>
      <w:r w:rsidR="00D647AD" w:rsidRPr="00911998">
        <w:rPr>
          <w:lang w:eastAsia="fr-CA"/>
        </w:rPr>
        <w:t xml:space="preserve"> la différence des familles biparentales, tous les liens entre les </w:t>
      </w:r>
      <w:r w:rsidR="0073028E" w:rsidRPr="00911998">
        <w:rPr>
          <w:lang w:eastAsia="fr-CA"/>
        </w:rPr>
        <w:t>D</w:t>
      </w:r>
      <w:r w:rsidR="00D647AD" w:rsidRPr="00911998">
        <w:rPr>
          <w:lang w:eastAsia="fr-CA"/>
        </w:rPr>
        <w:t xml:space="preserve">emandeurs </w:t>
      </w:r>
      <w:r w:rsidR="0073028E" w:rsidRPr="00911998">
        <w:rPr>
          <w:lang w:eastAsia="fr-CA"/>
        </w:rPr>
        <w:t xml:space="preserve">individuels </w:t>
      </w:r>
      <w:r w:rsidR="00D647AD" w:rsidRPr="00911998">
        <w:rPr>
          <w:lang w:eastAsia="fr-CA"/>
        </w:rPr>
        <w:t xml:space="preserve">et leurs enfants </w:t>
      </w:r>
      <w:r w:rsidR="00EA7FF3" w:rsidRPr="00911998">
        <w:rPr>
          <w:lang w:eastAsia="fr-CA"/>
        </w:rPr>
        <w:t xml:space="preserve">respectifs </w:t>
      </w:r>
      <w:r w:rsidR="00D647AD" w:rsidRPr="00911998">
        <w:rPr>
          <w:lang w:eastAsia="fr-CA"/>
        </w:rPr>
        <w:t xml:space="preserve">ne sont pas </w:t>
      </w:r>
      <w:r w:rsidR="00EA7FF3" w:rsidRPr="00911998">
        <w:rPr>
          <w:lang w:eastAsia="fr-CA"/>
        </w:rPr>
        <w:t xml:space="preserve">susceptibles d’être </w:t>
      </w:r>
      <w:r w:rsidR="00D647AD" w:rsidRPr="00911998">
        <w:rPr>
          <w:lang w:eastAsia="fr-CA"/>
        </w:rPr>
        <w:t>reconnus</w:t>
      </w:r>
      <w:r w:rsidR="00515402" w:rsidRPr="00911998">
        <w:rPr>
          <w:lang w:eastAsia="fr-CA"/>
        </w:rPr>
        <w:t xml:space="preserve"> par le droit de la filiation</w:t>
      </w:r>
      <w:r w:rsidR="00D647AD" w:rsidRPr="00911998">
        <w:rPr>
          <w:lang w:eastAsia="fr-CA"/>
        </w:rPr>
        <w:t>.</w:t>
      </w:r>
      <w:r w:rsidR="00515402" w:rsidRPr="00911998">
        <w:rPr>
          <w:lang w:eastAsia="fr-CA"/>
        </w:rPr>
        <w:t xml:space="preserve"> En somme, certains membres des familles demanderesses sont privés d’un avantage prévu par la loi </w:t>
      </w:r>
      <w:r w:rsidR="00EA04D7" w:rsidRPr="00911998">
        <w:rPr>
          <w:lang w:eastAsia="fr-CA"/>
        </w:rPr>
        <w:t>—</w:t>
      </w:r>
      <w:r w:rsidR="00515402" w:rsidRPr="00911998">
        <w:rPr>
          <w:lang w:eastAsia="fr-CA"/>
        </w:rPr>
        <w:t xml:space="preserve"> la filiation </w:t>
      </w:r>
      <w:r w:rsidR="00EA04D7" w:rsidRPr="00911998">
        <w:rPr>
          <w:lang w:eastAsia="fr-CA"/>
        </w:rPr>
        <w:t>—</w:t>
      </w:r>
      <w:r w:rsidR="00515402" w:rsidRPr="00911998">
        <w:rPr>
          <w:lang w:eastAsia="fr-CA"/>
        </w:rPr>
        <w:t xml:space="preserve"> qui est </w:t>
      </w:r>
      <w:r w:rsidR="0019624C" w:rsidRPr="00911998">
        <w:rPr>
          <w:lang w:eastAsia="fr-CA"/>
        </w:rPr>
        <w:t xml:space="preserve">en principe </w:t>
      </w:r>
      <w:r w:rsidR="00515402" w:rsidRPr="00911998">
        <w:rPr>
          <w:lang w:eastAsia="fr-CA"/>
        </w:rPr>
        <w:t xml:space="preserve">disponible </w:t>
      </w:r>
      <w:r w:rsidR="00EA7FF3" w:rsidRPr="00911998">
        <w:rPr>
          <w:lang w:eastAsia="fr-CA"/>
        </w:rPr>
        <w:t>pour les</w:t>
      </w:r>
      <w:r w:rsidR="00515402" w:rsidRPr="00911998">
        <w:rPr>
          <w:lang w:eastAsia="fr-CA"/>
        </w:rPr>
        <w:t xml:space="preserve"> membres des familles biparentales. Il s’agit là d’une </w:t>
      </w:r>
      <w:r w:rsidR="00D42E3B" w:rsidRPr="00911998">
        <w:rPr>
          <w:lang w:eastAsia="fr-CA"/>
        </w:rPr>
        <w:t xml:space="preserve">différence de traitement </w:t>
      </w:r>
      <w:r w:rsidR="00EA7FF3" w:rsidRPr="00911998">
        <w:rPr>
          <w:lang w:eastAsia="fr-CA"/>
        </w:rPr>
        <w:t xml:space="preserve">au regard </w:t>
      </w:r>
      <w:r w:rsidR="00515402" w:rsidRPr="00911998">
        <w:rPr>
          <w:lang w:eastAsia="fr-CA"/>
        </w:rPr>
        <w:t xml:space="preserve">du paragraphe 15(1) de la </w:t>
      </w:r>
      <w:r w:rsidR="00515402" w:rsidRPr="00911998">
        <w:rPr>
          <w:i/>
          <w:iCs/>
          <w:lang w:eastAsia="fr-CA"/>
        </w:rPr>
        <w:t>Charte canadienne</w:t>
      </w:r>
      <w:r w:rsidR="00515402" w:rsidRPr="00911998">
        <w:rPr>
          <w:lang w:eastAsia="fr-CA"/>
        </w:rPr>
        <w:t>.</w:t>
      </w:r>
    </w:p>
    <w:p w14:paraId="4FDDE25C" w14:textId="6F85C9B2" w:rsidR="00D42E3B" w:rsidRPr="00911998" w:rsidRDefault="00685DB8" w:rsidP="00D42E3B">
      <w:pPr>
        <w:pStyle w:val="Paragrsimple"/>
        <w:rPr>
          <w:lang w:eastAsia="fr-CA"/>
        </w:rPr>
      </w:pPr>
      <w:r w:rsidRPr="00911998">
        <w:rPr>
          <w:lang w:eastAsia="fr-CA"/>
        </w:rPr>
        <w:t xml:space="preserve">La même conclusion s’impose </w:t>
      </w:r>
      <w:r w:rsidR="00D42E3B" w:rsidRPr="00911998">
        <w:rPr>
          <w:lang w:eastAsia="fr-CA"/>
        </w:rPr>
        <w:t xml:space="preserve">lorsque la situation est </w:t>
      </w:r>
      <w:r w:rsidR="00A326F0" w:rsidRPr="00911998">
        <w:rPr>
          <w:lang w:eastAsia="fr-CA"/>
        </w:rPr>
        <w:t>envisagé</w:t>
      </w:r>
      <w:r w:rsidR="00D42E3B" w:rsidRPr="00911998">
        <w:rPr>
          <w:lang w:eastAsia="fr-CA"/>
        </w:rPr>
        <w:t xml:space="preserve">e </w:t>
      </w:r>
      <w:r w:rsidR="00EA7FF3" w:rsidRPr="00911998">
        <w:rPr>
          <w:lang w:eastAsia="fr-CA"/>
        </w:rPr>
        <w:t>du point de vue</w:t>
      </w:r>
      <w:r w:rsidR="00D42E3B" w:rsidRPr="00911998">
        <w:rPr>
          <w:lang w:eastAsia="fr-CA"/>
        </w:rPr>
        <w:t xml:space="preserve"> de l’enfant. Alors que les règles de la filiation permettent à un enfant dans une famille biparentale d’établir un lien juridique avec chacun de ses parents, un enfant qui évolue dans une famille </w:t>
      </w:r>
      <w:proofErr w:type="spellStart"/>
      <w:r w:rsidR="00D42E3B" w:rsidRPr="00911998">
        <w:rPr>
          <w:lang w:eastAsia="fr-CA"/>
        </w:rPr>
        <w:t>pluriparentale</w:t>
      </w:r>
      <w:proofErr w:type="spellEnd"/>
      <w:r w:rsidR="00D42E3B" w:rsidRPr="00911998">
        <w:rPr>
          <w:lang w:eastAsia="fr-CA"/>
        </w:rPr>
        <w:t xml:space="preserve"> ne peut pas</w:t>
      </w:r>
      <w:r w:rsidR="00312A78" w:rsidRPr="00911998">
        <w:rPr>
          <w:lang w:eastAsia="fr-CA"/>
        </w:rPr>
        <w:t xml:space="preserve"> le faire</w:t>
      </w:r>
      <w:r w:rsidR="00D42E3B" w:rsidRPr="00911998">
        <w:rPr>
          <w:lang w:eastAsia="fr-CA"/>
        </w:rPr>
        <w:t>. Ces enfants sont privés d’un avantage cré</w:t>
      </w:r>
      <w:r w:rsidRPr="00911998">
        <w:rPr>
          <w:lang w:eastAsia="fr-CA"/>
        </w:rPr>
        <w:t xml:space="preserve">é par la loi, ce qui </w:t>
      </w:r>
      <w:r w:rsidR="00312A78" w:rsidRPr="00911998">
        <w:rPr>
          <w:lang w:eastAsia="fr-CA"/>
        </w:rPr>
        <w:t xml:space="preserve">correspond à </w:t>
      </w:r>
      <w:r w:rsidRPr="00911998">
        <w:rPr>
          <w:lang w:eastAsia="fr-CA"/>
        </w:rPr>
        <w:t>une distinction au sens du droit à l’</w:t>
      </w:r>
      <w:r w:rsidR="00EA04D7" w:rsidRPr="00911998">
        <w:rPr>
          <w:lang w:eastAsia="fr-CA"/>
        </w:rPr>
        <w:t>égalité.</w:t>
      </w:r>
    </w:p>
    <w:p w14:paraId="2C827F56" w14:textId="260ADD9E" w:rsidR="00515402" w:rsidRPr="00911998" w:rsidRDefault="00515402" w:rsidP="00515402">
      <w:pPr>
        <w:pStyle w:val="Paragrsimple"/>
        <w:rPr>
          <w:lang w:eastAsia="fr-CA"/>
        </w:rPr>
      </w:pPr>
      <w:r w:rsidRPr="00911998">
        <w:rPr>
          <w:lang w:eastAsia="fr-CA"/>
        </w:rPr>
        <w:t xml:space="preserve">Cette distinction est-elle </w:t>
      </w:r>
      <w:r w:rsidR="0073028E" w:rsidRPr="00911998">
        <w:rPr>
          <w:lang w:eastAsia="fr-CA"/>
        </w:rPr>
        <w:t xml:space="preserve">toutefois </w:t>
      </w:r>
      <w:r w:rsidRPr="00911998">
        <w:rPr>
          <w:lang w:eastAsia="fr-CA"/>
        </w:rPr>
        <w:t xml:space="preserve">fondée sur un motif de discrimination </w:t>
      </w:r>
      <w:r w:rsidR="00EA04D7" w:rsidRPr="00911998">
        <w:rPr>
          <w:lang w:eastAsia="fr-CA"/>
        </w:rPr>
        <w:t>interdit,</w:t>
      </w:r>
      <w:r w:rsidRPr="00911998">
        <w:rPr>
          <w:lang w:eastAsia="fr-CA"/>
        </w:rPr>
        <w:t xml:space="preserve"> énuméré ou analogue</w:t>
      </w:r>
      <w:r w:rsidR="00EA04D7" w:rsidRPr="00911998">
        <w:rPr>
          <w:lang w:eastAsia="fr-CA"/>
        </w:rPr>
        <w:t> </w:t>
      </w:r>
      <w:r w:rsidRPr="00911998">
        <w:rPr>
          <w:lang w:eastAsia="fr-CA"/>
        </w:rPr>
        <w:t>?</w:t>
      </w:r>
    </w:p>
    <w:p w14:paraId="73B5F369" w14:textId="0CEC5E43" w:rsidR="00515402" w:rsidRPr="00911998" w:rsidRDefault="0019624C" w:rsidP="00296ECE">
      <w:pPr>
        <w:pStyle w:val="Titre5"/>
        <w:rPr>
          <w:lang w:eastAsia="fr-CA"/>
        </w:rPr>
      </w:pPr>
      <w:r w:rsidRPr="00911998">
        <w:rPr>
          <w:lang w:eastAsia="fr-CA"/>
        </w:rPr>
        <w:lastRenderedPageBreak/>
        <w:t>La distinction est fondée sur un motif prohibé</w:t>
      </w:r>
    </w:p>
    <w:p w14:paraId="1B13FF20" w14:textId="16D014B7" w:rsidR="0019624C" w:rsidRPr="00911998" w:rsidRDefault="00DF6F04" w:rsidP="00D42E3B">
      <w:pPr>
        <w:pStyle w:val="Paragrsimple"/>
        <w:rPr>
          <w:lang w:eastAsia="fr-CA"/>
        </w:rPr>
      </w:pPr>
      <w:r w:rsidRPr="00911998">
        <w:rPr>
          <w:lang w:eastAsia="fr-CA"/>
        </w:rPr>
        <w:t>Comme mentionné, p</w:t>
      </w:r>
      <w:r w:rsidR="00D42E3B" w:rsidRPr="00911998">
        <w:rPr>
          <w:lang w:eastAsia="fr-CA"/>
        </w:rPr>
        <w:t>lusieurs motifs de discrimination énumérés ou analogues sont invoqués par les Demandeurs</w:t>
      </w:r>
      <w:r w:rsidR="00A874BF" w:rsidRPr="00911998">
        <w:rPr>
          <w:lang w:eastAsia="fr-CA"/>
        </w:rPr>
        <w:t xml:space="preserve"> : la déficience physique, l’orientation sexuelle, </w:t>
      </w:r>
      <w:r w:rsidRPr="00911998">
        <w:rPr>
          <w:lang w:eastAsia="fr-CA"/>
        </w:rPr>
        <w:t xml:space="preserve">le mode de conception et </w:t>
      </w:r>
      <w:r w:rsidR="00A874BF" w:rsidRPr="00911998">
        <w:rPr>
          <w:lang w:eastAsia="fr-CA"/>
        </w:rPr>
        <w:t xml:space="preserve">le statut </w:t>
      </w:r>
      <w:r w:rsidR="001E3773" w:rsidRPr="00911998">
        <w:rPr>
          <w:lang w:eastAsia="fr-CA"/>
        </w:rPr>
        <w:t>familial</w:t>
      </w:r>
      <w:r w:rsidRPr="00911998">
        <w:rPr>
          <w:lang w:eastAsia="fr-CA"/>
        </w:rPr>
        <w:t>.</w:t>
      </w:r>
      <w:r w:rsidR="00D42E3B" w:rsidRPr="00911998">
        <w:rPr>
          <w:lang w:eastAsia="fr-CA"/>
        </w:rPr>
        <w:t xml:space="preserve"> </w:t>
      </w:r>
      <w:r w:rsidR="00A874BF" w:rsidRPr="00911998">
        <w:rPr>
          <w:lang w:eastAsia="fr-CA"/>
        </w:rPr>
        <w:t xml:space="preserve">Abordons chacun de </w:t>
      </w:r>
      <w:r w:rsidRPr="00911998">
        <w:rPr>
          <w:lang w:eastAsia="fr-CA"/>
        </w:rPr>
        <w:t>ceux</w:t>
      </w:r>
      <w:r w:rsidRPr="00911998">
        <w:rPr>
          <w:lang w:eastAsia="fr-CA"/>
        </w:rPr>
        <w:noBreakHyphen/>
        <w:t>ci</w:t>
      </w:r>
      <w:r w:rsidR="00D42E3B" w:rsidRPr="00911998">
        <w:rPr>
          <w:lang w:eastAsia="fr-CA"/>
        </w:rPr>
        <w:t>.</w:t>
      </w:r>
    </w:p>
    <w:p w14:paraId="541D7541" w14:textId="3C3CFD49" w:rsidR="004A65A4" w:rsidRPr="00911998" w:rsidRDefault="004A65A4" w:rsidP="004A65A4">
      <w:pPr>
        <w:pStyle w:val="Titre6"/>
        <w:rPr>
          <w:lang w:eastAsia="fr-CA"/>
        </w:rPr>
      </w:pPr>
      <w:r w:rsidRPr="00911998">
        <w:rPr>
          <w:lang w:eastAsia="fr-CA"/>
        </w:rPr>
        <w:t>La déficience physique</w:t>
      </w:r>
    </w:p>
    <w:p w14:paraId="0CC0F624" w14:textId="45A7F56F" w:rsidR="00D42E3B" w:rsidRPr="00911998" w:rsidRDefault="00D42E3B" w:rsidP="00D42E3B">
      <w:pPr>
        <w:pStyle w:val="Paragrsimple"/>
        <w:rPr>
          <w:lang w:eastAsia="fr-CA"/>
        </w:rPr>
      </w:pPr>
      <w:r w:rsidRPr="00911998">
        <w:rPr>
          <w:lang w:eastAsia="fr-CA"/>
        </w:rPr>
        <w:t xml:space="preserve">La déficience physique </w:t>
      </w:r>
      <w:r w:rsidR="0092196B" w:rsidRPr="00911998">
        <w:rPr>
          <w:lang w:eastAsia="fr-CA"/>
        </w:rPr>
        <w:t>est énumérée</w:t>
      </w:r>
      <w:r w:rsidRPr="00911998">
        <w:rPr>
          <w:lang w:eastAsia="fr-CA"/>
        </w:rPr>
        <w:t xml:space="preserve"> </w:t>
      </w:r>
      <w:r w:rsidR="0092196B" w:rsidRPr="00911998">
        <w:rPr>
          <w:lang w:eastAsia="fr-CA"/>
        </w:rPr>
        <w:t xml:space="preserve">au paragraphe 15(1) de la </w:t>
      </w:r>
      <w:r w:rsidR="0092196B" w:rsidRPr="00911998">
        <w:rPr>
          <w:i/>
          <w:iCs/>
          <w:lang w:eastAsia="fr-CA"/>
        </w:rPr>
        <w:t>Charte canadienne</w:t>
      </w:r>
      <w:r w:rsidR="0092196B" w:rsidRPr="00911998">
        <w:rPr>
          <w:lang w:eastAsia="fr-CA"/>
        </w:rPr>
        <w:t xml:space="preserve"> comme </w:t>
      </w:r>
      <w:r w:rsidRPr="00911998">
        <w:rPr>
          <w:lang w:eastAsia="fr-CA"/>
        </w:rPr>
        <w:t xml:space="preserve">un motif de discrimination interdit. </w:t>
      </w:r>
      <w:r w:rsidR="00FC7EF3" w:rsidRPr="00911998">
        <w:rPr>
          <w:lang w:eastAsia="fr-CA"/>
        </w:rPr>
        <w:t>Le PGQ ne conteste pas</w:t>
      </w:r>
      <w:r w:rsidR="00B91063" w:rsidRPr="00911998">
        <w:rPr>
          <w:lang w:eastAsia="fr-CA"/>
        </w:rPr>
        <w:t xml:space="preserve"> que l’infertilité constitue une déficience physique</w:t>
      </w:r>
      <w:r w:rsidR="00FC7EF3" w:rsidRPr="00911998">
        <w:rPr>
          <w:rStyle w:val="Appelnotedebasdep"/>
          <w:lang w:eastAsia="fr-CA"/>
        </w:rPr>
        <w:footnoteReference w:id="167"/>
      </w:r>
      <w:r w:rsidR="00B91063" w:rsidRPr="00911998">
        <w:rPr>
          <w:lang w:eastAsia="fr-CA"/>
        </w:rPr>
        <w:t xml:space="preserve">. Selon les </w:t>
      </w:r>
      <w:r w:rsidR="00490016" w:rsidRPr="00911998">
        <w:rPr>
          <w:lang w:eastAsia="fr-CA"/>
        </w:rPr>
        <w:t xml:space="preserve">Demandeurs dans le </w:t>
      </w:r>
      <w:r w:rsidR="00DF6F04" w:rsidRPr="00911998">
        <w:rPr>
          <w:lang w:eastAsia="fr-CA"/>
        </w:rPr>
        <w:t>D</w:t>
      </w:r>
      <w:r w:rsidR="00490016" w:rsidRPr="00911998">
        <w:rPr>
          <w:lang w:eastAsia="fr-CA"/>
        </w:rPr>
        <w:t xml:space="preserve">ossier de la Coalition, l’infertilité est un motif qui </w:t>
      </w:r>
      <w:r w:rsidR="00A53390" w:rsidRPr="00911998">
        <w:rPr>
          <w:lang w:eastAsia="fr-CA"/>
        </w:rPr>
        <w:t>pouss</w:t>
      </w:r>
      <w:r w:rsidR="00490016" w:rsidRPr="00911998">
        <w:rPr>
          <w:lang w:eastAsia="fr-CA"/>
        </w:rPr>
        <w:t xml:space="preserve">e des parents, dans bien des cas, à fonder une famille </w:t>
      </w:r>
      <w:proofErr w:type="spellStart"/>
      <w:r w:rsidR="00490016" w:rsidRPr="00911998">
        <w:rPr>
          <w:lang w:eastAsia="fr-CA"/>
        </w:rPr>
        <w:t>pluriparentale</w:t>
      </w:r>
      <w:proofErr w:type="spellEnd"/>
      <w:r w:rsidR="00490016" w:rsidRPr="00911998">
        <w:rPr>
          <w:lang w:eastAsia="fr-CA"/>
        </w:rPr>
        <w:t xml:space="preserve">. </w:t>
      </w:r>
      <w:r w:rsidR="00DF6F04" w:rsidRPr="00911998">
        <w:rPr>
          <w:lang w:eastAsia="fr-CA"/>
        </w:rPr>
        <w:t>S</w:t>
      </w:r>
      <w:r w:rsidR="00490016" w:rsidRPr="00911998">
        <w:rPr>
          <w:lang w:eastAsia="fr-CA"/>
        </w:rPr>
        <w:t xml:space="preserve">elon eux, la limite </w:t>
      </w:r>
      <w:r w:rsidR="00AB7C20" w:rsidRPr="00911998">
        <w:rPr>
          <w:lang w:eastAsia="fr-CA"/>
        </w:rPr>
        <w:t xml:space="preserve">de deux liens de filiation </w:t>
      </w:r>
      <w:r w:rsidR="00A53390" w:rsidRPr="00911998">
        <w:rPr>
          <w:lang w:eastAsia="fr-CA"/>
        </w:rPr>
        <w:t xml:space="preserve">a un </w:t>
      </w:r>
      <w:r w:rsidR="00AB7C20" w:rsidRPr="00911998">
        <w:rPr>
          <w:lang w:eastAsia="fr-CA"/>
        </w:rPr>
        <w:t>impact disproportionné</w:t>
      </w:r>
      <w:r w:rsidR="00A53390" w:rsidRPr="00911998">
        <w:rPr>
          <w:lang w:eastAsia="fr-CA"/>
        </w:rPr>
        <w:t xml:space="preserve"> sur</w:t>
      </w:r>
      <w:r w:rsidR="00AB7C20" w:rsidRPr="00911998">
        <w:rPr>
          <w:lang w:eastAsia="fr-CA"/>
        </w:rPr>
        <w:t xml:space="preserve"> les personnes infertiles.</w:t>
      </w:r>
    </w:p>
    <w:p w14:paraId="1EB4B64E" w14:textId="6D3B52F0" w:rsidR="00AB7C20" w:rsidRPr="00911998" w:rsidRDefault="00AB7C20" w:rsidP="00AB7C20">
      <w:pPr>
        <w:pStyle w:val="Paragrsimple"/>
        <w:rPr>
          <w:lang w:eastAsia="fr-CA"/>
        </w:rPr>
      </w:pPr>
      <w:r w:rsidRPr="00911998">
        <w:rPr>
          <w:lang w:eastAsia="fr-CA"/>
        </w:rPr>
        <w:t xml:space="preserve">La preuve prépondérante n’appuie pas l’argument. Certes, </w:t>
      </w:r>
      <w:r w:rsidR="00957877" w:rsidRPr="00911998">
        <w:rPr>
          <w:lang w:eastAsia="fr-CA"/>
        </w:rPr>
        <w:t>l’</w:t>
      </w:r>
      <w:r w:rsidRPr="00911998">
        <w:rPr>
          <w:lang w:eastAsia="fr-CA"/>
        </w:rPr>
        <w:t xml:space="preserve">un </w:t>
      </w:r>
      <w:r w:rsidR="00957877" w:rsidRPr="00911998">
        <w:rPr>
          <w:lang w:eastAsia="fr-CA"/>
        </w:rPr>
        <w:t xml:space="preserve">des </w:t>
      </w:r>
      <w:r w:rsidRPr="00911998">
        <w:rPr>
          <w:lang w:eastAsia="fr-CA"/>
        </w:rPr>
        <w:t>membre</w:t>
      </w:r>
      <w:r w:rsidR="00957877" w:rsidRPr="00911998">
        <w:rPr>
          <w:lang w:eastAsia="fr-CA"/>
        </w:rPr>
        <w:t>s</w:t>
      </w:r>
      <w:r w:rsidRPr="00911998">
        <w:rPr>
          <w:lang w:eastAsia="fr-CA"/>
        </w:rPr>
        <w:t xml:space="preserve"> d’une des familles demanderesses est infertile. </w:t>
      </w:r>
      <w:r w:rsidR="00735CDB" w:rsidRPr="00911998">
        <w:rPr>
          <w:lang w:eastAsia="fr-CA"/>
        </w:rPr>
        <w:t xml:space="preserve">En revanche, rien dans la preuve ne soutient l’idée que les familles </w:t>
      </w:r>
      <w:proofErr w:type="spellStart"/>
      <w:r w:rsidR="00735CDB" w:rsidRPr="00911998">
        <w:rPr>
          <w:lang w:eastAsia="fr-CA"/>
        </w:rPr>
        <w:t>pluriparentales</w:t>
      </w:r>
      <w:proofErr w:type="spellEnd"/>
      <w:r w:rsidR="00735CDB" w:rsidRPr="00911998">
        <w:rPr>
          <w:lang w:eastAsia="fr-CA"/>
        </w:rPr>
        <w:t xml:space="preserve"> sont plus souvent formées par de</w:t>
      </w:r>
      <w:r w:rsidR="00957877" w:rsidRPr="00911998">
        <w:rPr>
          <w:lang w:eastAsia="fr-CA"/>
        </w:rPr>
        <w:t>s</w:t>
      </w:r>
      <w:r w:rsidR="00735CDB" w:rsidRPr="00911998">
        <w:rPr>
          <w:lang w:eastAsia="fr-CA"/>
        </w:rPr>
        <w:t xml:space="preserve"> personnes</w:t>
      </w:r>
      <w:r w:rsidR="00957877" w:rsidRPr="00911998">
        <w:rPr>
          <w:lang w:eastAsia="fr-CA"/>
        </w:rPr>
        <w:t xml:space="preserve"> infertiles</w:t>
      </w:r>
      <w:r w:rsidR="00735CDB" w:rsidRPr="00911998">
        <w:rPr>
          <w:lang w:eastAsia="fr-CA"/>
        </w:rPr>
        <w:t xml:space="preserve">. </w:t>
      </w:r>
    </w:p>
    <w:p w14:paraId="246AF48A" w14:textId="207BC7AC" w:rsidR="00A0178D" w:rsidRPr="00911998" w:rsidRDefault="00735CDB" w:rsidP="00735CDB">
      <w:pPr>
        <w:pStyle w:val="Paragrsimple"/>
        <w:rPr>
          <w:lang w:eastAsia="fr-CA"/>
        </w:rPr>
      </w:pPr>
      <w:r w:rsidRPr="00911998">
        <w:rPr>
          <w:lang w:eastAsia="fr-CA"/>
        </w:rPr>
        <w:t xml:space="preserve">Dans son </w:t>
      </w:r>
      <w:r w:rsidR="00216F52" w:rsidRPr="00911998">
        <w:rPr>
          <w:lang w:eastAsia="fr-CA"/>
        </w:rPr>
        <w:t>rapport,</w:t>
      </w:r>
      <w:r w:rsidRPr="00911998">
        <w:rPr>
          <w:lang w:eastAsia="fr-CA"/>
        </w:rPr>
        <w:t xml:space="preserve"> le professeur Lavoie écrit que la coparentalité élective rend «</w:t>
      </w:r>
      <w:r w:rsidR="00216F52" w:rsidRPr="00911998">
        <w:rPr>
          <w:lang w:eastAsia="fr-CA"/>
        </w:rPr>
        <w:t> </w:t>
      </w:r>
      <w:r w:rsidRPr="00911998">
        <w:rPr>
          <w:lang w:eastAsia="fr-CA"/>
        </w:rPr>
        <w:t xml:space="preserve">possible la parenté pour </w:t>
      </w:r>
      <w:r w:rsidR="00E976BE" w:rsidRPr="00911998">
        <w:rPr>
          <w:lang w:eastAsia="fr-CA"/>
        </w:rPr>
        <w:t>d</w:t>
      </w:r>
      <w:r w:rsidRPr="00911998">
        <w:rPr>
          <w:lang w:eastAsia="fr-CA"/>
        </w:rPr>
        <w:t>es personnes vivant des enjeux de fertilité</w:t>
      </w:r>
      <w:r w:rsidR="00216F52" w:rsidRPr="00911998">
        <w:rPr>
          <w:lang w:eastAsia="fr-CA"/>
        </w:rPr>
        <w:t> </w:t>
      </w:r>
      <w:r w:rsidRPr="00911998">
        <w:rPr>
          <w:lang w:eastAsia="fr-CA"/>
        </w:rPr>
        <w:t>»</w:t>
      </w:r>
      <w:r w:rsidRPr="00911998">
        <w:rPr>
          <w:rStyle w:val="Appelnotedebasdep"/>
          <w:lang w:eastAsia="fr-CA"/>
        </w:rPr>
        <w:footnoteReference w:id="168"/>
      </w:r>
      <w:r w:rsidRPr="00911998">
        <w:rPr>
          <w:lang w:eastAsia="fr-CA"/>
        </w:rPr>
        <w:t xml:space="preserve">. </w:t>
      </w:r>
      <w:r w:rsidR="00A0178D" w:rsidRPr="00911998">
        <w:rPr>
          <w:lang w:eastAsia="fr-CA"/>
        </w:rPr>
        <w:t xml:space="preserve">Signalons d’abord que la notion de coparentalité élective ne correspond pas nécessairement à la </w:t>
      </w:r>
      <w:proofErr w:type="spellStart"/>
      <w:r w:rsidR="00A0178D" w:rsidRPr="00911998">
        <w:rPr>
          <w:lang w:eastAsia="fr-CA"/>
        </w:rPr>
        <w:t>pluriparentalité</w:t>
      </w:r>
      <w:proofErr w:type="spellEnd"/>
      <w:r w:rsidR="00A0178D" w:rsidRPr="00911998">
        <w:rPr>
          <w:rStyle w:val="Appelnotedebasdep"/>
          <w:lang w:eastAsia="fr-CA"/>
        </w:rPr>
        <w:footnoteReference w:id="169"/>
      </w:r>
      <w:r w:rsidR="00A0178D" w:rsidRPr="00911998">
        <w:rPr>
          <w:lang w:eastAsia="fr-CA"/>
        </w:rPr>
        <w:t xml:space="preserve">. </w:t>
      </w:r>
    </w:p>
    <w:p w14:paraId="1C570D56" w14:textId="19016354" w:rsidR="00735CDB" w:rsidRPr="00911998" w:rsidRDefault="00A0178D" w:rsidP="00735CDB">
      <w:pPr>
        <w:pStyle w:val="Paragrsimple"/>
        <w:rPr>
          <w:lang w:eastAsia="fr-CA"/>
        </w:rPr>
      </w:pPr>
      <w:r w:rsidRPr="00911998">
        <w:rPr>
          <w:lang w:eastAsia="fr-CA"/>
        </w:rPr>
        <w:t>En</w:t>
      </w:r>
      <w:r w:rsidR="009B71CB" w:rsidRPr="00911998">
        <w:rPr>
          <w:lang w:eastAsia="fr-CA"/>
        </w:rPr>
        <w:t>suite</w:t>
      </w:r>
      <w:r w:rsidRPr="00911998">
        <w:rPr>
          <w:lang w:eastAsia="fr-CA"/>
        </w:rPr>
        <w:t xml:space="preserve">, même si </w:t>
      </w:r>
      <w:r w:rsidR="00216F52" w:rsidRPr="00911998">
        <w:rPr>
          <w:lang w:eastAsia="fr-CA"/>
        </w:rPr>
        <w:t>l’on</w:t>
      </w:r>
      <w:r w:rsidRPr="00911998">
        <w:rPr>
          <w:lang w:eastAsia="fr-CA"/>
        </w:rPr>
        <w:t xml:space="preserve"> assimilait coparentalité élective et </w:t>
      </w:r>
      <w:proofErr w:type="spellStart"/>
      <w:r w:rsidRPr="00911998">
        <w:rPr>
          <w:lang w:eastAsia="fr-CA"/>
        </w:rPr>
        <w:t>pluriparentalité</w:t>
      </w:r>
      <w:proofErr w:type="spellEnd"/>
      <w:r w:rsidRPr="00911998">
        <w:rPr>
          <w:lang w:eastAsia="fr-CA"/>
        </w:rPr>
        <w:t xml:space="preserve">, l’affirmation du professeur Lavoie n’est fondée sur aucune source </w:t>
      </w:r>
      <w:r w:rsidR="00DF6F04" w:rsidRPr="00911998">
        <w:rPr>
          <w:lang w:eastAsia="fr-CA"/>
        </w:rPr>
        <w:t>ni</w:t>
      </w:r>
      <w:r w:rsidRPr="00911998">
        <w:rPr>
          <w:lang w:eastAsia="fr-CA"/>
        </w:rPr>
        <w:t xml:space="preserve"> étude. Le Tribunal ne peut retenir</w:t>
      </w:r>
      <w:r w:rsidR="009B71CB" w:rsidRPr="00911998">
        <w:rPr>
          <w:lang w:eastAsia="fr-CA"/>
        </w:rPr>
        <w:t>,</w:t>
      </w:r>
      <w:r w:rsidRPr="00911998">
        <w:rPr>
          <w:lang w:eastAsia="fr-CA"/>
        </w:rPr>
        <w:t xml:space="preserve"> sur la seule base de cette affirmation non </w:t>
      </w:r>
      <w:r w:rsidR="00957877" w:rsidRPr="00911998">
        <w:rPr>
          <w:lang w:eastAsia="fr-CA"/>
        </w:rPr>
        <w:t>éta</w:t>
      </w:r>
      <w:r w:rsidRPr="00911998">
        <w:rPr>
          <w:lang w:eastAsia="fr-CA"/>
        </w:rPr>
        <w:t>yée</w:t>
      </w:r>
      <w:r w:rsidR="009B71CB" w:rsidRPr="00911998">
        <w:rPr>
          <w:lang w:eastAsia="fr-CA"/>
        </w:rPr>
        <w:t>,</w:t>
      </w:r>
      <w:r w:rsidRPr="00911998">
        <w:rPr>
          <w:lang w:eastAsia="fr-CA"/>
        </w:rPr>
        <w:t xml:space="preserve"> que les personnes infertiles sont plus enclines à former des familles </w:t>
      </w:r>
      <w:proofErr w:type="spellStart"/>
      <w:r w:rsidRPr="00911998">
        <w:rPr>
          <w:lang w:eastAsia="fr-CA"/>
        </w:rPr>
        <w:t>pluriparentales</w:t>
      </w:r>
      <w:proofErr w:type="spellEnd"/>
      <w:r w:rsidRPr="00911998">
        <w:rPr>
          <w:lang w:eastAsia="fr-CA"/>
        </w:rPr>
        <w:t>.</w:t>
      </w:r>
    </w:p>
    <w:p w14:paraId="13CD5D52" w14:textId="6A792591" w:rsidR="00396C99" w:rsidRPr="00911998" w:rsidRDefault="007432D1" w:rsidP="009B71CB">
      <w:pPr>
        <w:pStyle w:val="Paragrsimple"/>
        <w:rPr>
          <w:lang w:eastAsia="fr-CA"/>
        </w:rPr>
      </w:pPr>
      <w:r w:rsidRPr="00911998">
        <w:rPr>
          <w:lang w:eastAsia="fr-CA"/>
        </w:rPr>
        <w:t xml:space="preserve">Enfin, le Tribunal ne peut </w:t>
      </w:r>
      <w:r w:rsidR="00957877" w:rsidRPr="00911998">
        <w:rPr>
          <w:lang w:eastAsia="fr-CA"/>
        </w:rPr>
        <w:t xml:space="preserve">pas </w:t>
      </w:r>
      <w:r w:rsidRPr="00911998">
        <w:rPr>
          <w:lang w:eastAsia="fr-CA"/>
        </w:rPr>
        <w:t xml:space="preserve">non plus prendre connaissance judiciaire de ce fait </w:t>
      </w:r>
      <w:r w:rsidR="00957877" w:rsidRPr="00911998">
        <w:rPr>
          <w:lang w:eastAsia="fr-CA"/>
        </w:rPr>
        <w:t>ni</w:t>
      </w:r>
      <w:r w:rsidRPr="00911998">
        <w:rPr>
          <w:lang w:eastAsia="fr-CA"/>
        </w:rPr>
        <w:t xml:space="preserve"> conclure </w:t>
      </w:r>
      <w:r w:rsidR="00190B9E" w:rsidRPr="00911998">
        <w:rPr>
          <w:lang w:eastAsia="fr-CA"/>
        </w:rPr>
        <w:t>à son existence</w:t>
      </w:r>
      <w:r w:rsidRPr="00911998">
        <w:rPr>
          <w:lang w:eastAsia="fr-CA"/>
        </w:rPr>
        <w:t xml:space="preserve"> sur la base </w:t>
      </w:r>
      <w:r w:rsidR="00190B9E" w:rsidRPr="00911998">
        <w:rPr>
          <w:lang w:eastAsia="fr-CA"/>
        </w:rPr>
        <w:t xml:space="preserve">de la logique et </w:t>
      </w:r>
      <w:r w:rsidR="00957877" w:rsidRPr="00911998">
        <w:rPr>
          <w:lang w:eastAsia="fr-CA"/>
        </w:rPr>
        <w:t>du</w:t>
      </w:r>
      <w:r w:rsidR="00190B9E" w:rsidRPr="00911998">
        <w:rPr>
          <w:lang w:eastAsia="fr-CA"/>
        </w:rPr>
        <w:t xml:space="preserve"> sens commun. </w:t>
      </w:r>
      <w:r w:rsidR="00957877" w:rsidRPr="00911998">
        <w:rPr>
          <w:lang w:eastAsia="fr-CA"/>
        </w:rPr>
        <w:t>Cela est d’autant plus vrai</w:t>
      </w:r>
      <w:r w:rsidR="00190B9E" w:rsidRPr="00911998">
        <w:rPr>
          <w:lang w:eastAsia="fr-CA"/>
        </w:rPr>
        <w:t xml:space="preserve"> </w:t>
      </w:r>
      <w:r w:rsidR="00DF6F04" w:rsidRPr="00911998">
        <w:rPr>
          <w:lang w:eastAsia="fr-CA"/>
        </w:rPr>
        <w:t>étant donné</w:t>
      </w:r>
      <w:r w:rsidR="00190B9E" w:rsidRPr="00911998">
        <w:rPr>
          <w:lang w:eastAsia="fr-CA"/>
        </w:rPr>
        <w:t xml:space="preserve"> que les règles du C.c.Q. régissant la filiation des enfants issus d’une procréation assistée permettent manifestement aux personnes infertiles d’établir la parenté</w:t>
      </w:r>
      <w:r w:rsidR="0092196B" w:rsidRPr="00911998">
        <w:rPr>
          <w:lang w:eastAsia="fr-CA"/>
        </w:rPr>
        <w:t>,</w:t>
      </w:r>
      <w:r w:rsidR="00190B9E" w:rsidRPr="00911998">
        <w:rPr>
          <w:lang w:eastAsia="fr-CA"/>
        </w:rPr>
        <w:t xml:space="preserve"> sans qu’il leur soit nécessaire de former des familles </w:t>
      </w:r>
      <w:proofErr w:type="spellStart"/>
      <w:r w:rsidR="00190B9E" w:rsidRPr="00911998">
        <w:rPr>
          <w:lang w:eastAsia="fr-CA"/>
        </w:rPr>
        <w:t>pluriparentales</w:t>
      </w:r>
      <w:proofErr w:type="spellEnd"/>
      <w:r w:rsidR="00190B9E" w:rsidRPr="00911998">
        <w:rPr>
          <w:lang w:eastAsia="fr-CA"/>
        </w:rPr>
        <w:t>.</w:t>
      </w:r>
      <w:r w:rsidR="007E38E3" w:rsidRPr="00911998">
        <w:rPr>
          <w:lang w:eastAsia="fr-CA"/>
        </w:rPr>
        <w:t xml:space="preserve"> </w:t>
      </w:r>
    </w:p>
    <w:p w14:paraId="7E1FBBF2" w14:textId="69FF598F" w:rsidR="009B71CB" w:rsidRPr="00911998" w:rsidRDefault="00396C99" w:rsidP="009B71CB">
      <w:pPr>
        <w:pStyle w:val="Paragrsimple"/>
        <w:rPr>
          <w:lang w:eastAsia="fr-CA"/>
        </w:rPr>
      </w:pPr>
      <w:r w:rsidRPr="00911998">
        <w:rPr>
          <w:lang w:eastAsia="fr-CA"/>
        </w:rPr>
        <w:t>En somme, l</w:t>
      </w:r>
      <w:r w:rsidR="007E38E3" w:rsidRPr="00911998">
        <w:rPr>
          <w:lang w:eastAsia="fr-CA"/>
        </w:rPr>
        <w:t xml:space="preserve">a preuve prépondérante ne permet pas de conclure à l’existence d’une distinction fondée sur le </w:t>
      </w:r>
      <w:r w:rsidRPr="00911998">
        <w:rPr>
          <w:lang w:eastAsia="fr-CA"/>
        </w:rPr>
        <w:t>motif énuméré de la déficience physique.</w:t>
      </w:r>
    </w:p>
    <w:p w14:paraId="739156BA" w14:textId="773141B2" w:rsidR="004A65A4" w:rsidRPr="00911998" w:rsidRDefault="004A65A4" w:rsidP="004A65A4">
      <w:pPr>
        <w:pStyle w:val="Titre6"/>
        <w:rPr>
          <w:lang w:eastAsia="fr-CA"/>
        </w:rPr>
      </w:pPr>
      <w:r w:rsidRPr="00911998">
        <w:rPr>
          <w:lang w:eastAsia="fr-CA"/>
        </w:rPr>
        <w:lastRenderedPageBreak/>
        <w:t>L’orientation sexuelle</w:t>
      </w:r>
    </w:p>
    <w:p w14:paraId="129C882F" w14:textId="2ED2DDDC" w:rsidR="009F6FA2" w:rsidRPr="00911998" w:rsidRDefault="009F6FA2" w:rsidP="00DE5A4C">
      <w:pPr>
        <w:pStyle w:val="Paragrsimple"/>
        <w:rPr>
          <w:lang w:eastAsia="fr-CA"/>
        </w:rPr>
      </w:pPr>
      <w:r w:rsidRPr="00911998">
        <w:rPr>
          <w:lang w:eastAsia="fr-CA"/>
        </w:rPr>
        <w:t>L</w:t>
      </w:r>
      <w:r w:rsidR="00190B9E" w:rsidRPr="00911998">
        <w:rPr>
          <w:lang w:eastAsia="fr-CA"/>
        </w:rPr>
        <w:t xml:space="preserve">’orientation sexuelle </w:t>
      </w:r>
      <w:r w:rsidRPr="00911998">
        <w:rPr>
          <w:lang w:eastAsia="fr-CA"/>
        </w:rPr>
        <w:t>constitue un</w:t>
      </w:r>
      <w:r w:rsidR="00190B9E" w:rsidRPr="00911998">
        <w:rPr>
          <w:lang w:eastAsia="fr-CA"/>
        </w:rPr>
        <w:t xml:space="preserve"> motif de discrimination prohibé</w:t>
      </w:r>
      <w:r w:rsidR="008D669E" w:rsidRPr="00911998">
        <w:rPr>
          <w:lang w:eastAsia="fr-CA"/>
        </w:rPr>
        <w:t xml:space="preserve"> analogue à ceux énumérés au paragraphe 15(1) de la </w:t>
      </w:r>
      <w:r w:rsidR="008D669E" w:rsidRPr="00911998">
        <w:rPr>
          <w:i/>
          <w:iCs/>
          <w:lang w:eastAsia="fr-CA"/>
        </w:rPr>
        <w:t>Charte canadienne</w:t>
      </w:r>
      <w:r w:rsidRPr="00911998">
        <w:rPr>
          <w:rStyle w:val="Appelnotedebasdep"/>
          <w:lang w:eastAsia="fr-CA"/>
        </w:rPr>
        <w:footnoteReference w:id="170"/>
      </w:r>
      <w:r w:rsidR="00190B9E" w:rsidRPr="00911998">
        <w:rPr>
          <w:lang w:eastAsia="fr-CA"/>
        </w:rPr>
        <w:t xml:space="preserve">. </w:t>
      </w:r>
      <w:r w:rsidR="008D669E" w:rsidRPr="00911998">
        <w:rPr>
          <w:lang w:eastAsia="fr-CA"/>
        </w:rPr>
        <w:t>S</w:t>
      </w:r>
      <w:r w:rsidR="00F7574B" w:rsidRPr="00911998">
        <w:rPr>
          <w:lang w:eastAsia="fr-CA"/>
        </w:rPr>
        <w:t>elon les Demandeurs</w:t>
      </w:r>
      <w:r w:rsidR="00026A6F" w:rsidRPr="00911998">
        <w:rPr>
          <w:lang w:eastAsia="fr-CA"/>
        </w:rPr>
        <w:t xml:space="preserve">, la </w:t>
      </w:r>
      <w:proofErr w:type="spellStart"/>
      <w:r w:rsidR="00026A6F" w:rsidRPr="00911998">
        <w:rPr>
          <w:lang w:eastAsia="fr-CA"/>
        </w:rPr>
        <w:t>pluriparentalité</w:t>
      </w:r>
      <w:proofErr w:type="spellEnd"/>
      <w:r w:rsidR="00026A6F" w:rsidRPr="00911998">
        <w:rPr>
          <w:lang w:eastAsia="fr-CA"/>
        </w:rPr>
        <w:t xml:space="preserve"> </w:t>
      </w:r>
      <w:r w:rsidR="008D669E" w:rsidRPr="00911998">
        <w:rPr>
          <w:lang w:eastAsia="fr-CA"/>
        </w:rPr>
        <w:t>serait</w:t>
      </w:r>
      <w:r w:rsidR="00026A6F" w:rsidRPr="00911998">
        <w:rPr>
          <w:lang w:eastAsia="fr-CA"/>
        </w:rPr>
        <w:t xml:space="preserve"> plus répandue chez les personnes LGBTQ</w:t>
      </w:r>
      <w:r w:rsidR="00C65EDC" w:rsidRPr="00911998">
        <w:rPr>
          <w:lang w:eastAsia="fr-CA"/>
        </w:rPr>
        <w:t>+</w:t>
      </w:r>
      <w:r w:rsidR="000B4100" w:rsidRPr="00911998">
        <w:rPr>
          <w:rStyle w:val="Appelnotedebasdep"/>
          <w:lang w:eastAsia="fr-CA"/>
        </w:rPr>
        <w:footnoteReference w:id="171"/>
      </w:r>
      <w:r w:rsidR="00026A6F" w:rsidRPr="00911998">
        <w:rPr>
          <w:lang w:eastAsia="fr-CA"/>
        </w:rPr>
        <w:t xml:space="preserve"> qui souhaitent fonder une famille. La limite de deux liens de filiation a</w:t>
      </w:r>
      <w:r w:rsidR="006A3F56" w:rsidRPr="00911998">
        <w:rPr>
          <w:lang w:eastAsia="fr-CA"/>
        </w:rPr>
        <w:t xml:space="preserve">urait </w:t>
      </w:r>
      <w:r w:rsidR="00026A6F" w:rsidRPr="00911998">
        <w:rPr>
          <w:lang w:eastAsia="fr-CA"/>
        </w:rPr>
        <w:t xml:space="preserve">donc un effet disproportionné sur </w:t>
      </w:r>
      <w:r w:rsidR="00C65696" w:rsidRPr="00911998">
        <w:rPr>
          <w:lang w:eastAsia="fr-CA"/>
        </w:rPr>
        <w:t>c</w:t>
      </w:r>
      <w:r w:rsidR="00026A6F" w:rsidRPr="00911998">
        <w:rPr>
          <w:lang w:eastAsia="fr-CA"/>
        </w:rPr>
        <w:t>es personnes</w:t>
      </w:r>
      <w:r w:rsidRPr="00911998">
        <w:rPr>
          <w:rStyle w:val="Appelnotedebasdep"/>
          <w:lang w:eastAsia="fr-CA"/>
        </w:rPr>
        <w:footnoteReference w:id="172"/>
      </w:r>
      <w:r w:rsidR="00026A6F" w:rsidRPr="00911998">
        <w:rPr>
          <w:lang w:eastAsia="fr-CA"/>
        </w:rPr>
        <w:t xml:space="preserve">. </w:t>
      </w:r>
    </w:p>
    <w:p w14:paraId="0CA8F23F" w14:textId="546A1E30" w:rsidR="00190B9E" w:rsidRPr="00911998" w:rsidRDefault="00B1488B" w:rsidP="00DE5A4C">
      <w:pPr>
        <w:pStyle w:val="Paragrsimple"/>
        <w:rPr>
          <w:lang w:eastAsia="fr-CA"/>
        </w:rPr>
      </w:pPr>
      <w:r w:rsidRPr="00911998">
        <w:rPr>
          <w:lang w:eastAsia="fr-CA"/>
        </w:rPr>
        <w:t>L</w:t>
      </w:r>
      <w:r w:rsidR="00026A6F" w:rsidRPr="00911998">
        <w:rPr>
          <w:lang w:eastAsia="fr-CA"/>
        </w:rPr>
        <w:t>’argument n’est pas appuyé par une preuve probante.</w:t>
      </w:r>
    </w:p>
    <w:p w14:paraId="2E44D732" w14:textId="4B6E0FF1" w:rsidR="00026A6F" w:rsidRPr="00911998" w:rsidRDefault="00653FB0" w:rsidP="00026A6F">
      <w:pPr>
        <w:pStyle w:val="Paragrsimple"/>
        <w:rPr>
          <w:lang w:eastAsia="fr-CA"/>
        </w:rPr>
      </w:pPr>
      <w:r w:rsidRPr="00911998">
        <w:rPr>
          <w:lang w:eastAsia="fr-CA"/>
        </w:rPr>
        <w:t>Certes</w:t>
      </w:r>
      <w:r w:rsidR="002A046C" w:rsidRPr="00911998">
        <w:rPr>
          <w:lang w:eastAsia="fr-CA"/>
        </w:rPr>
        <w:t>,</w:t>
      </w:r>
      <w:r w:rsidRPr="00911998">
        <w:rPr>
          <w:lang w:eastAsia="fr-CA"/>
        </w:rPr>
        <w:t xml:space="preserve"> les familles demanderesses</w:t>
      </w:r>
      <w:r w:rsidR="002A046C" w:rsidRPr="00911998">
        <w:rPr>
          <w:lang w:eastAsia="fr-CA"/>
        </w:rPr>
        <w:t xml:space="preserve"> incluent des personnes issues de la diversité sexuelle</w:t>
      </w:r>
      <w:r w:rsidR="00F92BBF" w:rsidRPr="00911998">
        <w:rPr>
          <w:lang w:eastAsia="fr-CA"/>
        </w:rPr>
        <w:t xml:space="preserve">. </w:t>
      </w:r>
      <w:r w:rsidR="006D0E70" w:rsidRPr="00911998">
        <w:rPr>
          <w:lang w:eastAsia="fr-CA"/>
        </w:rPr>
        <w:t xml:space="preserve">Certains des Demandeurs </w:t>
      </w:r>
      <w:r w:rsidR="00C65696" w:rsidRPr="00911998">
        <w:rPr>
          <w:lang w:eastAsia="fr-CA"/>
        </w:rPr>
        <w:t xml:space="preserve">individuels </w:t>
      </w:r>
      <w:r w:rsidR="006D0E70" w:rsidRPr="00911998">
        <w:rPr>
          <w:lang w:eastAsia="fr-CA"/>
        </w:rPr>
        <w:t>sont des personnes LGBTQ</w:t>
      </w:r>
      <w:r w:rsidR="00C65EDC" w:rsidRPr="00911998">
        <w:rPr>
          <w:lang w:eastAsia="fr-CA"/>
        </w:rPr>
        <w:t>+</w:t>
      </w:r>
      <w:r w:rsidR="006D0E70" w:rsidRPr="00911998">
        <w:rPr>
          <w:lang w:eastAsia="fr-CA"/>
        </w:rPr>
        <w:t xml:space="preserve">, alors que d’autres sont hétérosexuelles. </w:t>
      </w:r>
      <w:r w:rsidR="00362F69" w:rsidRPr="00911998">
        <w:rPr>
          <w:lang w:eastAsia="fr-CA"/>
        </w:rPr>
        <w:t xml:space="preserve">Cela dit, la seule diversité d’orientation sexuelle </w:t>
      </w:r>
      <w:r w:rsidR="00F01DE7" w:rsidRPr="00911998">
        <w:rPr>
          <w:lang w:eastAsia="fr-CA"/>
        </w:rPr>
        <w:t>parmi l</w:t>
      </w:r>
      <w:r w:rsidR="00362F69" w:rsidRPr="00911998">
        <w:rPr>
          <w:lang w:eastAsia="fr-CA"/>
        </w:rPr>
        <w:t xml:space="preserve">es Demandeurs </w:t>
      </w:r>
      <w:r w:rsidR="00C65696" w:rsidRPr="00911998">
        <w:rPr>
          <w:lang w:eastAsia="fr-CA"/>
        </w:rPr>
        <w:t xml:space="preserve">individuels </w:t>
      </w:r>
      <w:r w:rsidR="00362F69" w:rsidRPr="00911998">
        <w:rPr>
          <w:lang w:eastAsia="fr-CA"/>
        </w:rPr>
        <w:t>ne permet pas</w:t>
      </w:r>
      <w:r w:rsidR="008F4954" w:rsidRPr="00911998">
        <w:rPr>
          <w:lang w:eastAsia="fr-CA"/>
        </w:rPr>
        <w:t>, sans plus,</w:t>
      </w:r>
      <w:r w:rsidR="00362F69" w:rsidRPr="00911998">
        <w:rPr>
          <w:lang w:eastAsia="fr-CA"/>
        </w:rPr>
        <w:t xml:space="preserve"> de conclure que la </w:t>
      </w:r>
      <w:proofErr w:type="spellStart"/>
      <w:r w:rsidR="00362F69" w:rsidRPr="00911998">
        <w:rPr>
          <w:lang w:eastAsia="fr-CA"/>
        </w:rPr>
        <w:t>pluriparentalité</w:t>
      </w:r>
      <w:proofErr w:type="spellEnd"/>
      <w:r w:rsidR="00362F69" w:rsidRPr="00911998">
        <w:rPr>
          <w:lang w:eastAsia="fr-CA"/>
        </w:rPr>
        <w:t xml:space="preserve"> </w:t>
      </w:r>
      <w:r w:rsidR="00911599" w:rsidRPr="00911998">
        <w:rPr>
          <w:lang w:eastAsia="fr-CA"/>
        </w:rPr>
        <w:t>est</w:t>
      </w:r>
      <w:r w:rsidR="00362F69" w:rsidRPr="00911998">
        <w:rPr>
          <w:lang w:eastAsia="fr-CA"/>
        </w:rPr>
        <w:t xml:space="preserve"> plus répandue au sein de la communauté LGBTQ</w:t>
      </w:r>
      <w:r w:rsidR="00C65EDC" w:rsidRPr="00911998">
        <w:rPr>
          <w:lang w:eastAsia="fr-CA"/>
        </w:rPr>
        <w:t>+</w:t>
      </w:r>
      <w:r w:rsidR="00362F69" w:rsidRPr="00911998">
        <w:rPr>
          <w:lang w:eastAsia="fr-CA"/>
        </w:rPr>
        <w:t xml:space="preserve">. </w:t>
      </w:r>
    </w:p>
    <w:p w14:paraId="0BDBA9C2" w14:textId="58667F12" w:rsidR="001B7764" w:rsidRPr="00911998" w:rsidRDefault="001B7764" w:rsidP="001B7764">
      <w:pPr>
        <w:pStyle w:val="Paragrsimple"/>
        <w:rPr>
          <w:lang w:eastAsia="fr-CA"/>
        </w:rPr>
      </w:pPr>
      <w:r w:rsidRPr="00911998">
        <w:rPr>
          <w:lang w:eastAsia="fr-CA"/>
        </w:rPr>
        <w:t>Pour ce qui est de la Coalition, elle connait l’existence d’environ </w:t>
      </w:r>
      <w:r w:rsidR="008F4954" w:rsidRPr="00911998">
        <w:rPr>
          <w:lang w:eastAsia="fr-CA"/>
        </w:rPr>
        <w:t>dix</w:t>
      </w:r>
      <w:r w:rsidRPr="00911998">
        <w:rPr>
          <w:lang w:eastAsia="fr-CA"/>
        </w:rPr>
        <w:t xml:space="preserve"> à </w:t>
      </w:r>
      <w:r w:rsidR="008F4954" w:rsidRPr="00911998">
        <w:rPr>
          <w:lang w:eastAsia="fr-CA"/>
        </w:rPr>
        <w:t>quinze</w:t>
      </w:r>
      <w:r w:rsidRPr="00911998">
        <w:rPr>
          <w:lang w:eastAsia="fr-CA"/>
        </w:rPr>
        <w:t xml:space="preserve"> famille</w:t>
      </w:r>
      <w:r w:rsidR="008F4954" w:rsidRPr="00911998">
        <w:rPr>
          <w:lang w:eastAsia="fr-CA"/>
        </w:rPr>
        <w:t>s</w:t>
      </w:r>
      <w:r w:rsidRPr="00911998">
        <w:rPr>
          <w:lang w:eastAsia="fr-CA"/>
        </w:rPr>
        <w:t xml:space="preserve"> </w:t>
      </w:r>
      <w:proofErr w:type="spellStart"/>
      <w:r w:rsidR="00911599" w:rsidRPr="00911998">
        <w:rPr>
          <w:lang w:eastAsia="fr-CA"/>
        </w:rPr>
        <w:t>pluriparentales</w:t>
      </w:r>
      <w:proofErr w:type="spellEnd"/>
      <w:r w:rsidRPr="00911998">
        <w:rPr>
          <w:lang w:eastAsia="fr-CA"/>
        </w:rPr>
        <w:t xml:space="preserve"> et elle est en contact régulie</w:t>
      </w:r>
      <w:r w:rsidR="00911599" w:rsidRPr="00911998">
        <w:rPr>
          <w:lang w:eastAsia="fr-CA"/>
        </w:rPr>
        <w:t>r</w:t>
      </w:r>
      <w:r w:rsidRPr="00911998">
        <w:rPr>
          <w:lang w:eastAsia="fr-CA"/>
        </w:rPr>
        <w:t xml:space="preserve"> avec huit </w:t>
      </w:r>
      <w:r w:rsidR="00F01DE7" w:rsidRPr="00911998">
        <w:rPr>
          <w:lang w:eastAsia="fr-CA"/>
        </w:rPr>
        <w:t>d’entre elles</w:t>
      </w:r>
      <w:r w:rsidR="008F4954" w:rsidRPr="00911998">
        <w:rPr>
          <w:rStyle w:val="Appelnotedebasdep"/>
          <w:lang w:eastAsia="fr-CA"/>
        </w:rPr>
        <w:footnoteReference w:id="173"/>
      </w:r>
      <w:r w:rsidR="008F4954" w:rsidRPr="00911998">
        <w:rPr>
          <w:lang w:eastAsia="fr-CA"/>
        </w:rPr>
        <w:t>. Dans le cas de ces huit familles, au moins un des parents est issu de la communauté LGBTQ</w:t>
      </w:r>
      <w:r w:rsidR="00C65EDC" w:rsidRPr="00911998">
        <w:rPr>
          <w:lang w:eastAsia="fr-CA"/>
        </w:rPr>
        <w:t>+</w:t>
      </w:r>
      <w:r w:rsidR="008F4954" w:rsidRPr="00911998">
        <w:rPr>
          <w:lang w:eastAsia="fr-CA"/>
        </w:rPr>
        <w:t>, alors que les autres parents sont possiblement hétérosexuels</w:t>
      </w:r>
      <w:r w:rsidR="008F4954" w:rsidRPr="00911998">
        <w:rPr>
          <w:rStyle w:val="Appelnotedebasdep"/>
          <w:lang w:eastAsia="fr-CA"/>
        </w:rPr>
        <w:footnoteReference w:id="174"/>
      </w:r>
      <w:r w:rsidR="008F4954" w:rsidRPr="00911998">
        <w:rPr>
          <w:lang w:eastAsia="fr-CA"/>
        </w:rPr>
        <w:t xml:space="preserve">. Cette preuve, somme toute anecdotique, ne permet pas </w:t>
      </w:r>
      <w:r w:rsidR="00C65696" w:rsidRPr="00911998">
        <w:rPr>
          <w:lang w:eastAsia="fr-CA"/>
        </w:rPr>
        <w:t xml:space="preserve">non plus </w:t>
      </w:r>
      <w:r w:rsidR="008F4954" w:rsidRPr="00911998">
        <w:rPr>
          <w:lang w:eastAsia="fr-CA"/>
        </w:rPr>
        <w:t xml:space="preserve">de tirer l’inférence </w:t>
      </w:r>
      <w:r w:rsidR="00C65696" w:rsidRPr="00911998">
        <w:rPr>
          <w:lang w:eastAsia="fr-CA"/>
        </w:rPr>
        <w:t>proposée</w:t>
      </w:r>
      <w:r w:rsidR="008F4954" w:rsidRPr="00911998">
        <w:rPr>
          <w:lang w:eastAsia="fr-CA"/>
        </w:rPr>
        <w:t xml:space="preserve"> par les Demandeurs.</w:t>
      </w:r>
    </w:p>
    <w:p w14:paraId="229BA066" w14:textId="1570E237" w:rsidR="008F4954" w:rsidRPr="00911998" w:rsidRDefault="008F4954" w:rsidP="008F4954">
      <w:pPr>
        <w:pStyle w:val="Paragrsimple"/>
        <w:rPr>
          <w:lang w:eastAsia="fr-CA"/>
        </w:rPr>
      </w:pPr>
      <w:r w:rsidRPr="00911998">
        <w:rPr>
          <w:lang w:eastAsia="fr-CA"/>
        </w:rPr>
        <w:t>Quant à la preuve experte, la professeur</w:t>
      </w:r>
      <w:r w:rsidR="00B524DB" w:rsidRPr="00911998">
        <w:rPr>
          <w:lang w:eastAsia="fr-CA"/>
        </w:rPr>
        <w:t>e</w:t>
      </w:r>
      <w:r w:rsidRPr="00911998">
        <w:rPr>
          <w:lang w:eastAsia="fr-CA"/>
        </w:rPr>
        <w:t xml:space="preserve"> Côté</w:t>
      </w:r>
      <w:r w:rsidR="00B524DB" w:rsidRPr="00911998">
        <w:rPr>
          <w:lang w:eastAsia="fr-CA"/>
        </w:rPr>
        <w:t xml:space="preserve"> décrit dans son rapport trois formes de pratiques parentales adoptées par de</w:t>
      </w:r>
      <w:r w:rsidR="00911599" w:rsidRPr="00911998">
        <w:rPr>
          <w:lang w:eastAsia="fr-CA"/>
        </w:rPr>
        <w:t>s</w:t>
      </w:r>
      <w:r w:rsidR="00B524DB" w:rsidRPr="00911998">
        <w:rPr>
          <w:lang w:eastAsia="fr-CA"/>
        </w:rPr>
        <w:t xml:space="preserve"> personnes </w:t>
      </w:r>
      <w:r w:rsidR="00911599" w:rsidRPr="00911998">
        <w:rPr>
          <w:lang w:eastAsia="fr-CA"/>
        </w:rPr>
        <w:t>polyamoureuses</w:t>
      </w:r>
      <w:r w:rsidR="00B524DB" w:rsidRPr="00911998">
        <w:rPr>
          <w:rStyle w:val="Appelnotedebasdep"/>
          <w:lang w:eastAsia="fr-CA"/>
        </w:rPr>
        <w:footnoteReference w:id="175"/>
      </w:r>
      <w:r w:rsidR="00F01DE7" w:rsidRPr="00911998">
        <w:rPr>
          <w:lang w:eastAsia="fr-CA"/>
        </w:rPr>
        <w:t> :</w:t>
      </w:r>
      <w:r w:rsidR="00B524DB" w:rsidRPr="00911998">
        <w:rPr>
          <w:lang w:eastAsia="fr-CA"/>
        </w:rPr>
        <w:t xml:space="preserve"> le système polynucléaire</w:t>
      </w:r>
      <w:r w:rsidR="00B524DB" w:rsidRPr="00911998">
        <w:rPr>
          <w:rStyle w:val="Appelnotedebasdep"/>
          <w:lang w:eastAsia="fr-CA"/>
        </w:rPr>
        <w:footnoteReference w:id="176"/>
      </w:r>
      <w:r w:rsidR="00B524DB" w:rsidRPr="00911998">
        <w:rPr>
          <w:lang w:eastAsia="fr-CA"/>
        </w:rPr>
        <w:t>, le système hiérarchique</w:t>
      </w:r>
      <w:r w:rsidR="00B524DB" w:rsidRPr="00911998">
        <w:rPr>
          <w:rStyle w:val="Appelnotedebasdep"/>
          <w:lang w:eastAsia="fr-CA"/>
        </w:rPr>
        <w:footnoteReference w:id="177"/>
      </w:r>
      <w:r w:rsidR="00B524DB" w:rsidRPr="00911998">
        <w:rPr>
          <w:lang w:eastAsia="fr-CA"/>
        </w:rPr>
        <w:t xml:space="preserve"> et le modèle égalitaire. </w:t>
      </w:r>
      <w:r w:rsidR="001C0363" w:rsidRPr="00911998">
        <w:rPr>
          <w:lang w:eastAsia="fr-CA"/>
        </w:rPr>
        <w:t>L</w:t>
      </w:r>
      <w:r w:rsidR="00B524DB" w:rsidRPr="00911998">
        <w:rPr>
          <w:lang w:eastAsia="fr-CA"/>
        </w:rPr>
        <w:t>a professeur</w:t>
      </w:r>
      <w:r w:rsidR="001C0363" w:rsidRPr="00911998">
        <w:rPr>
          <w:lang w:eastAsia="fr-CA"/>
        </w:rPr>
        <w:t>e</w:t>
      </w:r>
      <w:r w:rsidR="00B524DB" w:rsidRPr="00911998">
        <w:rPr>
          <w:lang w:eastAsia="fr-CA"/>
        </w:rPr>
        <w:t xml:space="preserve"> Côté </w:t>
      </w:r>
      <w:r w:rsidR="001C0363" w:rsidRPr="00911998">
        <w:rPr>
          <w:lang w:eastAsia="fr-CA"/>
        </w:rPr>
        <w:t>explique que dans le cas du modèle égalitaire</w:t>
      </w:r>
      <w:r w:rsidR="001C0363" w:rsidRPr="00911998">
        <w:rPr>
          <w:rStyle w:val="Appelnotedebasdep"/>
          <w:lang w:eastAsia="fr-CA"/>
        </w:rPr>
        <w:footnoteReference w:id="178"/>
      </w:r>
      <w:r w:rsidR="00B524DB" w:rsidRPr="00911998">
        <w:rPr>
          <w:lang w:eastAsia="fr-CA"/>
        </w:rPr>
        <w:t> :</w:t>
      </w:r>
    </w:p>
    <w:p w14:paraId="1F8C375A" w14:textId="66F8565D" w:rsidR="00B524DB" w:rsidRPr="00911998" w:rsidRDefault="001C0363" w:rsidP="001C0363">
      <w:pPr>
        <w:ind w:left="567" w:right="560"/>
        <w:jc w:val="both"/>
        <w:rPr>
          <w:rFonts w:cs="Arial"/>
          <w:sz w:val="22"/>
          <w:szCs w:val="22"/>
          <w:lang w:eastAsia="fr-CA"/>
        </w:rPr>
      </w:pPr>
      <w:r w:rsidRPr="00911998">
        <w:rPr>
          <w:rFonts w:cs="Arial"/>
          <w:sz w:val="22"/>
          <w:szCs w:val="22"/>
          <w:lang w:eastAsia="fr-CA"/>
        </w:rPr>
        <w:lastRenderedPageBreak/>
        <w:t xml:space="preserve">[…] [L]es rôles, responsabilités et soins à l’égard de l’enfant sont répartis équitablement entre au moins trois parents. Dans cette modalité familiale, le projet parental et les responsabilités qui en découlent sont négociés de façon approfondie entre les adultes et tous sont considérés des parents nonobstant les liens biologiques ou légaux à l’enfant. Ce modèle est plus fréquent dans les configurations polyamoureuses constituées de trois ou quatre partenaires primaires. </w:t>
      </w:r>
      <w:r w:rsidRPr="00911998">
        <w:rPr>
          <w:rFonts w:cs="Arial"/>
          <w:sz w:val="22"/>
          <w:szCs w:val="22"/>
          <w:u w:val="single"/>
          <w:lang w:eastAsia="fr-CA"/>
        </w:rPr>
        <w:t xml:space="preserve">Dans ce contexte, la configuration familiale </w:t>
      </w:r>
      <w:proofErr w:type="spellStart"/>
      <w:r w:rsidRPr="00911998">
        <w:rPr>
          <w:rFonts w:cs="Arial"/>
          <w:sz w:val="22"/>
          <w:szCs w:val="22"/>
          <w:u w:val="single"/>
          <w:lang w:eastAsia="fr-CA"/>
        </w:rPr>
        <w:t>pluriparentale</w:t>
      </w:r>
      <w:proofErr w:type="spellEnd"/>
      <w:r w:rsidRPr="00911998">
        <w:rPr>
          <w:rFonts w:cs="Arial"/>
          <w:sz w:val="22"/>
          <w:szCs w:val="22"/>
          <w:u w:val="single"/>
          <w:lang w:eastAsia="fr-CA"/>
        </w:rPr>
        <w:t xml:space="preserve"> telle que déployée par les demandeurs diffère de celles, mieux documentées, créée</w:t>
      </w:r>
      <w:r w:rsidR="006E1A33" w:rsidRPr="00911998">
        <w:rPr>
          <w:rFonts w:cs="Arial"/>
          <w:sz w:val="22"/>
          <w:szCs w:val="22"/>
          <w:u w:val="single"/>
          <w:lang w:eastAsia="fr-CA"/>
        </w:rPr>
        <w:t xml:space="preserve"> [</w:t>
      </w:r>
      <w:r w:rsidR="006E1A33" w:rsidRPr="00911998">
        <w:rPr>
          <w:rFonts w:cs="Arial"/>
          <w:i/>
          <w:iCs/>
          <w:sz w:val="22"/>
          <w:szCs w:val="22"/>
          <w:u w:val="single"/>
          <w:lang w:eastAsia="fr-CA"/>
        </w:rPr>
        <w:t>sic</w:t>
      </w:r>
      <w:r w:rsidR="006E1A33" w:rsidRPr="00911998">
        <w:rPr>
          <w:rFonts w:cs="Arial"/>
          <w:sz w:val="22"/>
          <w:szCs w:val="22"/>
          <w:u w:val="single"/>
          <w:lang w:eastAsia="fr-CA"/>
        </w:rPr>
        <w:t>]</w:t>
      </w:r>
      <w:r w:rsidRPr="00911998">
        <w:rPr>
          <w:rFonts w:cs="Arial"/>
          <w:sz w:val="22"/>
          <w:szCs w:val="22"/>
          <w:u w:val="single"/>
          <w:lang w:eastAsia="fr-CA"/>
        </w:rPr>
        <w:t xml:space="preserve"> par les familles LGBTQ – ou de façon plus marginale, des familles hétéroparentales – qui implique le tiers de procréation dans la vie de l’enfant en tant que parent</w:t>
      </w:r>
      <w:r w:rsidRPr="00911998">
        <w:rPr>
          <w:rFonts w:cs="Arial"/>
          <w:sz w:val="22"/>
          <w:szCs w:val="22"/>
          <w:lang w:eastAsia="fr-CA"/>
        </w:rPr>
        <w:t>. […]</w:t>
      </w:r>
    </w:p>
    <w:p w14:paraId="4820EAD6" w14:textId="77777777" w:rsidR="001C0363" w:rsidRPr="00911998" w:rsidRDefault="001C0363" w:rsidP="001C0363">
      <w:pPr>
        <w:ind w:left="567" w:right="560"/>
        <w:jc w:val="both"/>
        <w:rPr>
          <w:rFonts w:cs="Arial"/>
          <w:sz w:val="22"/>
          <w:szCs w:val="22"/>
          <w:lang w:eastAsia="fr-CA"/>
        </w:rPr>
      </w:pPr>
    </w:p>
    <w:p w14:paraId="299442F1" w14:textId="3BECB418" w:rsidR="001C0363" w:rsidRPr="00911998" w:rsidRDefault="001C0363" w:rsidP="001C0363">
      <w:pPr>
        <w:ind w:left="567" w:right="560"/>
        <w:jc w:val="right"/>
        <w:rPr>
          <w:rFonts w:cs="Arial"/>
          <w:sz w:val="22"/>
          <w:szCs w:val="22"/>
          <w:lang w:eastAsia="fr-CA"/>
        </w:rPr>
      </w:pPr>
      <w:r w:rsidRPr="00911998">
        <w:rPr>
          <w:rFonts w:cs="Arial"/>
          <w:sz w:val="22"/>
          <w:szCs w:val="22"/>
          <w:lang w:eastAsia="fr-CA"/>
        </w:rPr>
        <w:t>[Soulignements ajoutés]</w:t>
      </w:r>
    </w:p>
    <w:p w14:paraId="6F2120EC" w14:textId="5D5CE409" w:rsidR="00F345FE" w:rsidRPr="00911998" w:rsidRDefault="00EA1275" w:rsidP="006E1A33">
      <w:pPr>
        <w:pStyle w:val="Paragrsimple"/>
        <w:rPr>
          <w:lang w:eastAsia="fr-CA"/>
        </w:rPr>
      </w:pPr>
      <w:r w:rsidRPr="00911998">
        <w:rPr>
          <w:lang w:eastAsia="fr-CA"/>
        </w:rPr>
        <w:t>Le</w:t>
      </w:r>
      <w:r w:rsidR="006E1A33" w:rsidRPr="00911998">
        <w:rPr>
          <w:lang w:eastAsia="fr-CA"/>
        </w:rPr>
        <w:t xml:space="preserve"> rapport de la professeure Côté </w:t>
      </w:r>
      <w:r w:rsidRPr="00911998">
        <w:rPr>
          <w:lang w:eastAsia="fr-CA"/>
        </w:rPr>
        <w:t xml:space="preserve">précise </w:t>
      </w:r>
      <w:r w:rsidR="00F01DE7" w:rsidRPr="00911998">
        <w:rPr>
          <w:lang w:eastAsia="fr-CA"/>
        </w:rPr>
        <w:t xml:space="preserve">simplement </w:t>
      </w:r>
      <w:r w:rsidR="006E1A33" w:rsidRPr="00911998">
        <w:rPr>
          <w:lang w:eastAsia="fr-CA"/>
        </w:rPr>
        <w:t xml:space="preserve">que </w:t>
      </w:r>
      <w:r w:rsidR="00F345FE" w:rsidRPr="00911998">
        <w:rPr>
          <w:lang w:eastAsia="fr-CA"/>
        </w:rPr>
        <w:t xml:space="preserve">le modèle </w:t>
      </w:r>
      <w:proofErr w:type="spellStart"/>
      <w:r w:rsidR="00F345FE" w:rsidRPr="00911998">
        <w:rPr>
          <w:lang w:eastAsia="fr-CA"/>
        </w:rPr>
        <w:t>pluriparental</w:t>
      </w:r>
      <w:proofErr w:type="spellEnd"/>
      <w:r w:rsidR="00F345FE" w:rsidRPr="00911998">
        <w:rPr>
          <w:lang w:eastAsia="fr-CA"/>
        </w:rPr>
        <w:t xml:space="preserve"> adopté par la famille </w:t>
      </w:r>
      <w:proofErr w:type="gramStart"/>
      <w:r w:rsidR="00153EC1">
        <w:rPr>
          <w:lang w:eastAsia="fr-CA"/>
        </w:rPr>
        <w:t>M...</w:t>
      </w:r>
      <w:proofErr w:type="gramEnd"/>
      <w:r w:rsidR="00F345FE" w:rsidRPr="00911998">
        <w:rPr>
          <w:lang w:eastAsia="fr-CA"/>
        </w:rPr>
        <w:t>-</w:t>
      </w:r>
      <w:r w:rsidR="000032F7">
        <w:rPr>
          <w:lang w:eastAsia="fr-CA"/>
        </w:rPr>
        <w:t>P...</w:t>
      </w:r>
      <w:r w:rsidR="00F345FE" w:rsidRPr="00911998">
        <w:rPr>
          <w:lang w:eastAsia="fr-CA"/>
        </w:rPr>
        <w:noBreakHyphen/>
      </w:r>
      <w:r w:rsidR="000032F7">
        <w:rPr>
          <w:lang w:eastAsia="fr-CA"/>
        </w:rPr>
        <w:t>D...</w:t>
      </w:r>
      <w:r w:rsidR="00F345FE" w:rsidRPr="00911998">
        <w:rPr>
          <w:lang w:eastAsia="fr-CA"/>
        </w:rPr>
        <w:t xml:space="preserve"> est moins documenté que celui adopté par des familles LGBTQ</w:t>
      </w:r>
      <w:r w:rsidR="00C65EDC" w:rsidRPr="00911998">
        <w:rPr>
          <w:lang w:eastAsia="fr-CA"/>
        </w:rPr>
        <w:t>+</w:t>
      </w:r>
      <w:r w:rsidRPr="00911998">
        <w:rPr>
          <w:lang w:eastAsia="fr-CA"/>
        </w:rPr>
        <w:t>,</w:t>
      </w:r>
      <w:r w:rsidR="00F345FE" w:rsidRPr="00911998">
        <w:rPr>
          <w:lang w:eastAsia="fr-CA"/>
        </w:rPr>
        <w:t xml:space="preserve"> selon lequel le tiers impliqué dans la procréation participe dans la vie de l’enfant à titre de parent. </w:t>
      </w:r>
      <w:r w:rsidRPr="00911998">
        <w:rPr>
          <w:lang w:eastAsia="fr-CA"/>
        </w:rPr>
        <w:t xml:space="preserve">Ceci ne permet toutefois </w:t>
      </w:r>
      <w:r w:rsidR="00F01DE7" w:rsidRPr="00911998">
        <w:rPr>
          <w:lang w:eastAsia="fr-CA"/>
        </w:rPr>
        <w:t xml:space="preserve">pas </w:t>
      </w:r>
      <w:r w:rsidRPr="00911998">
        <w:rPr>
          <w:lang w:eastAsia="fr-CA"/>
        </w:rPr>
        <w:t>d’inférer</w:t>
      </w:r>
      <w:r w:rsidR="00F345FE" w:rsidRPr="00911998">
        <w:rPr>
          <w:lang w:eastAsia="fr-CA"/>
        </w:rPr>
        <w:t xml:space="preserve"> que la </w:t>
      </w:r>
      <w:proofErr w:type="spellStart"/>
      <w:r w:rsidR="00F345FE" w:rsidRPr="00911998">
        <w:rPr>
          <w:lang w:eastAsia="fr-CA"/>
        </w:rPr>
        <w:t>pluriparentalité</w:t>
      </w:r>
      <w:proofErr w:type="spellEnd"/>
      <w:r w:rsidR="00F345FE" w:rsidRPr="00911998">
        <w:rPr>
          <w:lang w:eastAsia="fr-CA"/>
        </w:rPr>
        <w:t xml:space="preserve"> en tant que telle est plus répandue chez les personnes LGBTQ</w:t>
      </w:r>
      <w:r w:rsidR="00C65EDC" w:rsidRPr="00911998">
        <w:rPr>
          <w:lang w:eastAsia="fr-CA"/>
        </w:rPr>
        <w:t>+</w:t>
      </w:r>
      <w:r w:rsidR="00F345FE" w:rsidRPr="00911998">
        <w:rPr>
          <w:lang w:eastAsia="fr-CA"/>
        </w:rPr>
        <w:t>.</w:t>
      </w:r>
    </w:p>
    <w:p w14:paraId="41B7A3C7" w14:textId="653622FF" w:rsidR="00E4002F" w:rsidRPr="00911998" w:rsidRDefault="009758B7" w:rsidP="00FC6107">
      <w:pPr>
        <w:pStyle w:val="Paragrsimple"/>
        <w:rPr>
          <w:lang w:eastAsia="fr-CA"/>
        </w:rPr>
      </w:pPr>
      <w:r w:rsidRPr="00911998">
        <w:rPr>
          <w:lang w:eastAsia="fr-CA"/>
        </w:rPr>
        <w:t xml:space="preserve">Pour ce qui est du professeur Lavoie, il affirme que la </w:t>
      </w:r>
      <w:r w:rsidRPr="00911998">
        <w:rPr>
          <w:u w:val="single"/>
          <w:lang w:eastAsia="fr-CA"/>
        </w:rPr>
        <w:t>coparentalité élective</w:t>
      </w:r>
      <w:r w:rsidRPr="00911998">
        <w:rPr>
          <w:lang w:eastAsia="fr-CA"/>
        </w:rPr>
        <w:t xml:space="preserve"> «</w:t>
      </w:r>
      <w:r w:rsidR="00AB5913" w:rsidRPr="00911998">
        <w:rPr>
          <w:lang w:eastAsia="fr-CA"/>
        </w:rPr>
        <w:t> </w:t>
      </w:r>
      <w:r w:rsidR="00A13AC8" w:rsidRPr="00911998">
        <w:rPr>
          <w:lang w:eastAsia="fr-CA"/>
        </w:rPr>
        <w:t xml:space="preserve">est </w:t>
      </w:r>
      <w:r w:rsidRPr="00911998">
        <w:rPr>
          <w:lang w:eastAsia="fr-CA"/>
        </w:rPr>
        <w:t xml:space="preserve">historiquement </w:t>
      </w:r>
      <w:r w:rsidR="00AB5913" w:rsidRPr="00911998">
        <w:rPr>
          <w:lang w:eastAsia="fr-CA"/>
        </w:rPr>
        <w:t>—</w:t>
      </w:r>
      <w:r w:rsidRPr="00911998">
        <w:rPr>
          <w:lang w:eastAsia="fr-CA"/>
        </w:rPr>
        <w:t xml:space="preserve"> et demeure encore aujourd’hui </w:t>
      </w:r>
      <w:r w:rsidR="00AB5913" w:rsidRPr="00911998">
        <w:rPr>
          <w:lang w:eastAsia="fr-CA"/>
        </w:rPr>
        <w:t>—</w:t>
      </w:r>
      <w:r w:rsidRPr="00911998">
        <w:rPr>
          <w:lang w:eastAsia="fr-CA"/>
        </w:rPr>
        <w:t xml:space="preserve"> plus répandue chez les personnes LGBTQ désirant fonder une famille</w:t>
      </w:r>
      <w:r w:rsidR="00AB5913" w:rsidRPr="00911998">
        <w:rPr>
          <w:lang w:eastAsia="fr-CA"/>
        </w:rPr>
        <w:t> </w:t>
      </w:r>
      <w:r w:rsidRPr="00911998">
        <w:rPr>
          <w:lang w:eastAsia="fr-CA"/>
        </w:rPr>
        <w:t>»</w:t>
      </w:r>
      <w:r w:rsidR="00377B8B" w:rsidRPr="00911998">
        <w:rPr>
          <w:rStyle w:val="Appelnotedebasdep"/>
          <w:lang w:eastAsia="fr-CA"/>
        </w:rPr>
        <w:footnoteReference w:id="179"/>
      </w:r>
      <w:r w:rsidRPr="00911998">
        <w:rPr>
          <w:lang w:eastAsia="fr-CA"/>
        </w:rPr>
        <w:t xml:space="preserve">. </w:t>
      </w:r>
      <w:r w:rsidR="00AE40EC" w:rsidRPr="00911998">
        <w:rPr>
          <w:lang w:eastAsia="fr-CA"/>
        </w:rPr>
        <w:t>Au soutien</w:t>
      </w:r>
      <w:r w:rsidR="00377B8B" w:rsidRPr="00911998">
        <w:rPr>
          <w:lang w:eastAsia="fr-CA"/>
        </w:rPr>
        <w:t xml:space="preserve"> de cette affirmation, il fait référence à une étude publiée en 2018 par la </w:t>
      </w:r>
      <w:r w:rsidR="00EA1275" w:rsidRPr="00911998">
        <w:rPr>
          <w:lang w:eastAsia="fr-CA"/>
        </w:rPr>
        <w:t xml:space="preserve">professeure </w:t>
      </w:r>
      <w:r w:rsidR="00377B8B" w:rsidRPr="00911998">
        <w:rPr>
          <w:lang w:eastAsia="fr-CA"/>
        </w:rPr>
        <w:t>Cathy Herbrand</w:t>
      </w:r>
      <w:r w:rsidR="00377B8B" w:rsidRPr="00911998">
        <w:rPr>
          <w:rStyle w:val="Appelnotedebasdep"/>
          <w:lang w:eastAsia="fr-CA"/>
        </w:rPr>
        <w:footnoteReference w:id="180"/>
      </w:r>
      <w:r w:rsidR="00377B8B" w:rsidRPr="00911998">
        <w:rPr>
          <w:lang w:eastAsia="fr-CA"/>
        </w:rPr>
        <w:t>.</w:t>
      </w:r>
      <w:r w:rsidR="00091A14" w:rsidRPr="00911998">
        <w:rPr>
          <w:lang w:eastAsia="fr-CA"/>
        </w:rPr>
        <w:t xml:space="preserve"> </w:t>
      </w:r>
      <w:r w:rsidR="00377B8B" w:rsidRPr="00911998">
        <w:rPr>
          <w:lang w:eastAsia="fr-CA"/>
        </w:rPr>
        <w:t xml:space="preserve">Or, cette étude n’appuie </w:t>
      </w:r>
      <w:r w:rsidR="00AE40EC" w:rsidRPr="00911998">
        <w:rPr>
          <w:lang w:eastAsia="fr-CA"/>
        </w:rPr>
        <w:t>pas</w:t>
      </w:r>
      <w:r w:rsidR="00377B8B" w:rsidRPr="00911998">
        <w:rPr>
          <w:lang w:eastAsia="fr-CA"/>
        </w:rPr>
        <w:t xml:space="preserve"> l’affirmation du professeur Lavoie.</w:t>
      </w:r>
    </w:p>
    <w:p w14:paraId="0A107710" w14:textId="01FDE799" w:rsidR="00B066FD" w:rsidRPr="00911998" w:rsidRDefault="00091A14" w:rsidP="00F01DE7">
      <w:pPr>
        <w:pStyle w:val="Paragrsimple"/>
        <w:rPr>
          <w:lang w:eastAsia="fr-CA"/>
        </w:rPr>
      </w:pPr>
      <w:r w:rsidRPr="00911998">
        <w:rPr>
          <w:lang w:eastAsia="fr-CA"/>
        </w:rPr>
        <w:t xml:space="preserve">L’étude de la </w:t>
      </w:r>
      <w:r w:rsidR="00EA1275" w:rsidRPr="00911998">
        <w:rPr>
          <w:lang w:eastAsia="fr-CA"/>
        </w:rPr>
        <w:t xml:space="preserve">professeure </w:t>
      </w:r>
      <w:r w:rsidRPr="00911998">
        <w:rPr>
          <w:lang w:eastAsia="fr-CA"/>
        </w:rPr>
        <w:t xml:space="preserve">Herbrand examine les motivations de parents gais et lesbiennes belges ayant choisi la coparentalité. Utilisant une méthode </w:t>
      </w:r>
      <w:r w:rsidR="000F62B0" w:rsidRPr="00911998">
        <w:rPr>
          <w:lang w:eastAsia="fr-CA"/>
        </w:rPr>
        <w:t>de sondage en</w:t>
      </w:r>
      <w:r w:rsidRPr="00911998">
        <w:rPr>
          <w:lang w:eastAsia="fr-CA"/>
        </w:rPr>
        <w:t> boule de neige</w:t>
      </w:r>
      <w:r w:rsidR="000F62B0" w:rsidRPr="00911998">
        <w:rPr>
          <w:lang w:eastAsia="fr-CA"/>
        </w:rPr>
        <w:t xml:space="preserve"> («</w:t>
      </w:r>
      <w:r w:rsidR="00AB5913" w:rsidRPr="00911998">
        <w:rPr>
          <w:lang w:eastAsia="fr-CA"/>
        </w:rPr>
        <w:t> </w:t>
      </w:r>
      <w:proofErr w:type="spellStart"/>
      <w:r w:rsidR="000F62B0" w:rsidRPr="00911998">
        <w:rPr>
          <w:i/>
          <w:iCs/>
          <w:lang w:eastAsia="fr-CA"/>
        </w:rPr>
        <w:t>snowball</w:t>
      </w:r>
      <w:proofErr w:type="spellEnd"/>
      <w:r w:rsidR="000F62B0" w:rsidRPr="00911998">
        <w:rPr>
          <w:i/>
          <w:iCs/>
          <w:lang w:eastAsia="fr-CA"/>
        </w:rPr>
        <w:t xml:space="preserve"> sampling</w:t>
      </w:r>
      <w:r w:rsidR="00AB5913" w:rsidRPr="00911998">
        <w:rPr>
          <w:lang w:eastAsia="fr-CA"/>
        </w:rPr>
        <w:t> </w:t>
      </w:r>
      <w:r w:rsidR="000F62B0" w:rsidRPr="00911998">
        <w:rPr>
          <w:lang w:eastAsia="fr-CA"/>
        </w:rPr>
        <w:t xml:space="preserve">») pour identifier des coparents gais et lesbiennes, l’auteure a effectué des entrevues avec 28 coparents. </w:t>
      </w:r>
      <w:r w:rsidR="00F01DE7" w:rsidRPr="00911998">
        <w:rPr>
          <w:lang w:eastAsia="fr-CA"/>
        </w:rPr>
        <w:t>Étant donné</w:t>
      </w:r>
      <w:r w:rsidR="000F62B0" w:rsidRPr="00911998">
        <w:rPr>
          <w:lang w:eastAsia="fr-CA"/>
        </w:rPr>
        <w:t xml:space="preserve"> la méthode utilisée et la finalité même de l’étude, </w:t>
      </w:r>
      <w:r w:rsidR="00F01DE7" w:rsidRPr="00911998">
        <w:rPr>
          <w:lang w:eastAsia="fr-CA"/>
        </w:rPr>
        <w:t>il n’est pas possible d’en extrapoler quoi que ce soit quant à la prévalence</w:t>
      </w:r>
      <w:r w:rsidR="000F62B0" w:rsidRPr="00911998">
        <w:rPr>
          <w:lang w:eastAsia="fr-CA"/>
        </w:rPr>
        <w:t xml:space="preserve"> de la</w:t>
      </w:r>
      <w:r w:rsidR="00B1488B" w:rsidRPr="00911998">
        <w:rPr>
          <w:lang w:eastAsia="fr-CA"/>
        </w:rPr>
        <w:t xml:space="preserve"> coparentalité élective ou de la</w:t>
      </w:r>
      <w:r w:rsidR="000F62B0" w:rsidRPr="00911998">
        <w:rPr>
          <w:lang w:eastAsia="fr-CA"/>
        </w:rPr>
        <w:t xml:space="preserve"> </w:t>
      </w:r>
      <w:proofErr w:type="spellStart"/>
      <w:r w:rsidR="000F62B0" w:rsidRPr="00911998">
        <w:rPr>
          <w:lang w:eastAsia="fr-CA"/>
        </w:rPr>
        <w:t>pluriparentalité</w:t>
      </w:r>
      <w:proofErr w:type="spellEnd"/>
      <w:r w:rsidR="000F62B0" w:rsidRPr="00911998">
        <w:rPr>
          <w:lang w:eastAsia="fr-CA"/>
        </w:rPr>
        <w:t xml:space="preserve"> chez les personnes LGBTQ</w:t>
      </w:r>
      <w:r w:rsidR="00C65EDC" w:rsidRPr="00911998">
        <w:rPr>
          <w:lang w:eastAsia="fr-CA"/>
        </w:rPr>
        <w:t>+</w:t>
      </w:r>
      <w:r w:rsidR="000F62B0" w:rsidRPr="00911998">
        <w:rPr>
          <w:lang w:eastAsia="fr-CA"/>
        </w:rPr>
        <w:t xml:space="preserve">. </w:t>
      </w:r>
    </w:p>
    <w:p w14:paraId="30A76786" w14:textId="75E6AF57" w:rsidR="00B066FD" w:rsidRPr="00911998" w:rsidRDefault="00B066FD" w:rsidP="00091A14">
      <w:pPr>
        <w:pStyle w:val="Paragrsimple"/>
        <w:rPr>
          <w:lang w:eastAsia="fr-CA"/>
        </w:rPr>
      </w:pPr>
      <w:r w:rsidRPr="00911998">
        <w:rPr>
          <w:lang w:val="en-CA" w:eastAsia="fr-CA"/>
        </w:rPr>
        <w:t xml:space="preserve">Comme </w:t>
      </w:r>
      <w:proofErr w:type="spellStart"/>
      <w:r w:rsidRPr="00911998">
        <w:rPr>
          <w:lang w:val="en-CA" w:eastAsia="fr-CA"/>
        </w:rPr>
        <w:t>l’explique</w:t>
      </w:r>
      <w:proofErr w:type="spellEnd"/>
      <w:r w:rsidRPr="00911998">
        <w:rPr>
          <w:lang w:val="en-CA" w:eastAsia="fr-CA"/>
        </w:rPr>
        <w:t xml:space="preserve"> </w:t>
      </w:r>
      <w:proofErr w:type="spellStart"/>
      <w:r w:rsidRPr="00911998">
        <w:rPr>
          <w:lang w:val="en-CA" w:eastAsia="fr-CA"/>
        </w:rPr>
        <w:t>clairement</w:t>
      </w:r>
      <w:proofErr w:type="spellEnd"/>
      <w:r w:rsidRPr="00911998">
        <w:rPr>
          <w:lang w:val="en-CA" w:eastAsia="fr-CA"/>
        </w:rPr>
        <w:t xml:space="preserve"> </w:t>
      </w:r>
      <w:proofErr w:type="spellStart"/>
      <w:r w:rsidRPr="00911998">
        <w:rPr>
          <w:lang w:val="en-CA" w:eastAsia="fr-CA"/>
        </w:rPr>
        <w:t>l’auteure</w:t>
      </w:r>
      <w:proofErr w:type="spellEnd"/>
      <w:r w:rsidRPr="00911998">
        <w:rPr>
          <w:lang w:val="en-CA" w:eastAsia="fr-CA"/>
        </w:rPr>
        <w:t xml:space="preserve"> de </w:t>
      </w:r>
      <w:proofErr w:type="spellStart"/>
      <w:proofErr w:type="gramStart"/>
      <w:r w:rsidRPr="00911998">
        <w:rPr>
          <w:lang w:val="en-CA" w:eastAsia="fr-CA"/>
        </w:rPr>
        <w:t>l’étude</w:t>
      </w:r>
      <w:proofErr w:type="spellEnd"/>
      <w:r w:rsidRPr="00911998">
        <w:rPr>
          <w:lang w:val="en-CA" w:eastAsia="fr-CA"/>
        </w:rPr>
        <w:t> :</w:t>
      </w:r>
      <w:proofErr w:type="gramEnd"/>
      <w:r w:rsidRPr="00911998">
        <w:rPr>
          <w:lang w:val="en-CA" w:eastAsia="fr-CA"/>
        </w:rPr>
        <w:t xml:space="preserve"> « </w:t>
      </w:r>
      <w:r w:rsidRPr="00911998">
        <w:rPr>
          <w:i/>
          <w:iCs/>
          <w:lang w:val="en-CA" w:eastAsia="fr-CA"/>
        </w:rPr>
        <w:t>The study is based on an opportunistic sample and was not designed to represent a specific population but to maximise diversity regarding family structure, interactions and organisations among multi</w:t>
      </w:r>
      <w:r w:rsidRPr="00911998">
        <w:rPr>
          <w:i/>
          <w:iCs/>
          <w:lang w:val="en-CA" w:eastAsia="fr-CA"/>
        </w:rPr>
        <w:noBreakHyphen/>
        <w:t>parental family arrangements</w:t>
      </w:r>
      <w:r w:rsidRPr="00911998">
        <w:rPr>
          <w:lang w:val="en-CA" w:eastAsia="fr-CA"/>
        </w:rPr>
        <w:t> »</w:t>
      </w:r>
      <w:r w:rsidR="00A13AC8" w:rsidRPr="00911998">
        <w:rPr>
          <w:rStyle w:val="Appelnotedebasdep"/>
          <w:lang w:val="en-CA" w:eastAsia="fr-CA"/>
        </w:rPr>
        <w:footnoteReference w:id="181"/>
      </w:r>
      <w:r w:rsidRPr="00911998">
        <w:rPr>
          <w:lang w:val="en-CA" w:eastAsia="fr-CA"/>
        </w:rPr>
        <w:t xml:space="preserve">. </w:t>
      </w:r>
      <w:r w:rsidRPr="00911998">
        <w:rPr>
          <w:lang w:eastAsia="fr-CA"/>
        </w:rPr>
        <w:t xml:space="preserve">Dans </w:t>
      </w:r>
      <w:r w:rsidR="00F01DE7" w:rsidRPr="00911998">
        <w:rPr>
          <w:lang w:eastAsia="fr-CA"/>
        </w:rPr>
        <w:t>c</w:t>
      </w:r>
      <w:r w:rsidRPr="00911998">
        <w:rPr>
          <w:lang w:eastAsia="fr-CA"/>
        </w:rPr>
        <w:t xml:space="preserve">es circonstances, </w:t>
      </w:r>
      <w:r w:rsidR="003F2A97" w:rsidRPr="00911998">
        <w:rPr>
          <w:lang w:eastAsia="fr-CA"/>
        </w:rPr>
        <w:t xml:space="preserve">même si </w:t>
      </w:r>
      <w:r w:rsidR="00AB5913" w:rsidRPr="00911998">
        <w:rPr>
          <w:lang w:eastAsia="fr-CA"/>
        </w:rPr>
        <w:t>l’on</w:t>
      </w:r>
      <w:r w:rsidR="003F2A97" w:rsidRPr="00911998">
        <w:rPr>
          <w:lang w:eastAsia="fr-CA"/>
        </w:rPr>
        <w:t xml:space="preserve"> assimilait </w:t>
      </w:r>
      <w:r w:rsidR="006A3F56" w:rsidRPr="00911998">
        <w:rPr>
          <w:lang w:eastAsia="fr-CA"/>
        </w:rPr>
        <w:t xml:space="preserve">la </w:t>
      </w:r>
      <w:proofErr w:type="spellStart"/>
      <w:r w:rsidR="006A3F56" w:rsidRPr="00911998">
        <w:rPr>
          <w:lang w:eastAsia="fr-CA"/>
        </w:rPr>
        <w:t>pluriparentalité</w:t>
      </w:r>
      <w:proofErr w:type="spellEnd"/>
      <w:r w:rsidR="006A3F56" w:rsidRPr="00911998">
        <w:rPr>
          <w:lang w:eastAsia="fr-CA"/>
        </w:rPr>
        <w:t xml:space="preserve"> à </w:t>
      </w:r>
      <w:r w:rsidR="003F2A97" w:rsidRPr="00911998">
        <w:rPr>
          <w:lang w:eastAsia="fr-CA"/>
        </w:rPr>
        <w:t xml:space="preserve">la coparentalité élective, force est de conclure que l’affirmation du professeur Lavoie n’est appuyée </w:t>
      </w:r>
      <w:r w:rsidR="00F01DE7" w:rsidRPr="00911998">
        <w:rPr>
          <w:lang w:eastAsia="fr-CA"/>
        </w:rPr>
        <w:t>par</w:t>
      </w:r>
      <w:r w:rsidR="003F2A97" w:rsidRPr="00911998">
        <w:rPr>
          <w:lang w:eastAsia="fr-CA"/>
        </w:rPr>
        <w:t xml:space="preserve"> aucune étude scientifique</w:t>
      </w:r>
      <w:r w:rsidR="00B1488B" w:rsidRPr="00911998">
        <w:rPr>
          <w:lang w:eastAsia="fr-CA"/>
        </w:rPr>
        <w:t>.</w:t>
      </w:r>
      <w:r w:rsidR="003F2A97" w:rsidRPr="00911998">
        <w:rPr>
          <w:lang w:eastAsia="fr-CA"/>
        </w:rPr>
        <w:t xml:space="preserve"> </w:t>
      </w:r>
      <w:r w:rsidR="00B1488B" w:rsidRPr="00911998">
        <w:rPr>
          <w:lang w:eastAsia="fr-CA"/>
        </w:rPr>
        <w:t>L</w:t>
      </w:r>
      <w:r w:rsidR="003F2A97" w:rsidRPr="00911998">
        <w:rPr>
          <w:lang w:eastAsia="fr-CA"/>
        </w:rPr>
        <w:t>e Tribunal ne peut pas l</w:t>
      </w:r>
      <w:r w:rsidR="00B1488B" w:rsidRPr="00911998">
        <w:rPr>
          <w:lang w:eastAsia="fr-CA"/>
        </w:rPr>
        <w:t>a</w:t>
      </w:r>
      <w:r w:rsidR="003F2A97" w:rsidRPr="00911998">
        <w:rPr>
          <w:lang w:eastAsia="fr-CA"/>
        </w:rPr>
        <w:t xml:space="preserve"> retenir.</w:t>
      </w:r>
    </w:p>
    <w:p w14:paraId="0B1CD16C" w14:textId="1ACC6FA8" w:rsidR="003F2A97" w:rsidRPr="00911998" w:rsidRDefault="00B1488B" w:rsidP="00F01DE7">
      <w:pPr>
        <w:pStyle w:val="Paragrsimple"/>
        <w:rPr>
          <w:lang w:eastAsia="fr-CA"/>
        </w:rPr>
      </w:pPr>
      <w:r w:rsidRPr="00911998">
        <w:rPr>
          <w:lang w:eastAsia="fr-CA"/>
        </w:rPr>
        <w:lastRenderedPageBreak/>
        <w:t>Il</w:t>
      </w:r>
      <w:r w:rsidR="003F2A97" w:rsidRPr="00911998">
        <w:rPr>
          <w:lang w:eastAsia="fr-CA"/>
        </w:rPr>
        <w:t xml:space="preserve"> ne peut non plus prendre connaissance judiciaire du fait que le phénomène de la </w:t>
      </w:r>
      <w:proofErr w:type="spellStart"/>
      <w:r w:rsidR="003F2A97" w:rsidRPr="00911998">
        <w:rPr>
          <w:lang w:eastAsia="fr-CA"/>
        </w:rPr>
        <w:t>pluriparentalité</w:t>
      </w:r>
      <w:proofErr w:type="spellEnd"/>
      <w:r w:rsidR="003F2A97" w:rsidRPr="00911998">
        <w:rPr>
          <w:lang w:eastAsia="fr-CA"/>
        </w:rPr>
        <w:t xml:space="preserve"> serait plus </w:t>
      </w:r>
      <w:r w:rsidR="00AB5913" w:rsidRPr="00911998">
        <w:rPr>
          <w:lang w:eastAsia="fr-CA"/>
        </w:rPr>
        <w:t>répandu</w:t>
      </w:r>
      <w:r w:rsidR="003F2A97" w:rsidRPr="00911998">
        <w:rPr>
          <w:lang w:eastAsia="fr-CA"/>
        </w:rPr>
        <w:t xml:space="preserve"> chez les personnes LGBTQ</w:t>
      </w:r>
      <w:r w:rsidR="00C65EDC" w:rsidRPr="00911998">
        <w:rPr>
          <w:lang w:eastAsia="fr-CA"/>
        </w:rPr>
        <w:t>+</w:t>
      </w:r>
      <w:r w:rsidR="003F2A97" w:rsidRPr="00911998">
        <w:rPr>
          <w:lang w:eastAsia="fr-CA"/>
        </w:rPr>
        <w:t xml:space="preserve">. </w:t>
      </w:r>
      <w:r w:rsidR="007E38E3" w:rsidRPr="00911998">
        <w:rPr>
          <w:lang w:eastAsia="fr-CA"/>
        </w:rPr>
        <w:t>En définitive, l</w:t>
      </w:r>
      <w:r w:rsidR="003F2A97" w:rsidRPr="00911998">
        <w:rPr>
          <w:lang w:eastAsia="fr-CA"/>
        </w:rPr>
        <w:t xml:space="preserve">es Demandeurs </w:t>
      </w:r>
      <w:r w:rsidR="00F01DE7" w:rsidRPr="00911998">
        <w:rPr>
          <w:lang w:eastAsia="fr-CA"/>
        </w:rPr>
        <w:t xml:space="preserve">ne se sont pas acquittés de leur fardeau </w:t>
      </w:r>
      <w:r w:rsidR="003F2A97" w:rsidRPr="00911998">
        <w:rPr>
          <w:lang w:eastAsia="fr-CA"/>
        </w:rPr>
        <w:t xml:space="preserve">d’établir </w:t>
      </w:r>
      <w:r w:rsidR="007E38E3" w:rsidRPr="00911998">
        <w:rPr>
          <w:lang w:eastAsia="fr-CA"/>
        </w:rPr>
        <w:t xml:space="preserve">que la limite de deux liens de filiation </w:t>
      </w:r>
      <w:r w:rsidR="00AB5913" w:rsidRPr="00911998">
        <w:rPr>
          <w:lang w:eastAsia="fr-CA"/>
        </w:rPr>
        <w:t>impacte de manière</w:t>
      </w:r>
      <w:r w:rsidR="007E38E3" w:rsidRPr="00911998">
        <w:rPr>
          <w:lang w:eastAsia="fr-CA"/>
        </w:rPr>
        <w:t xml:space="preserve"> disproportionné</w:t>
      </w:r>
      <w:r w:rsidR="00AB5913" w:rsidRPr="00911998">
        <w:rPr>
          <w:lang w:eastAsia="fr-CA"/>
        </w:rPr>
        <w:t>e</w:t>
      </w:r>
      <w:r w:rsidR="007E38E3" w:rsidRPr="00911998">
        <w:rPr>
          <w:lang w:eastAsia="fr-CA"/>
        </w:rPr>
        <w:t xml:space="preserve"> les personnes </w:t>
      </w:r>
      <w:r w:rsidR="00AB5913" w:rsidRPr="00911998">
        <w:rPr>
          <w:lang w:eastAsia="fr-CA"/>
        </w:rPr>
        <w:t>LGBTQ</w:t>
      </w:r>
      <w:r w:rsidR="00C65EDC" w:rsidRPr="00911998">
        <w:rPr>
          <w:lang w:eastAsia="fr-CA"/>
        </w:rPr>
        <w:t>+</w:t>
      </w:r>
      <w:r w:rsidR="007E38E3" w:rsidRPr="00911998">
        <w:rPr>
          <w:lang w:eastAsia="fr-CA"/>
        </w:rPr>
        <w:t xml:space="preserve"> </w:t>
      </w:r>
      <w:r w:rsidR="00F01DE7" w:rsidRPr="00911998">
        <w:rPr>
          <w:lang w:eastAsia="fr-CA"/>
        </w:rPr>
        <w:t>et</w:t>
      </w:r>
      <w:r w:rsidR="007E38E3" w:rsidRPr="00911998">
        <w:rPr>
          <w:lang w:eastAsia="fr-CA"/>
        </w:rPr>
        <w:t xml:space="preserve"> qu’elle constitue une différence de traitement fondée sur le motif analogue de l’orientation sexuelle.</w:t>
      </w:r>
      <w:r w:rsidR="006003D9" w:rsidRPr="00911998">
        <w:rPr>
          <w:lang w:eastAsia="fr-CA"/>
        </w:rPr>
        <w:t xml:space="preserve"> </w:t>
      </w:r>
    </w:p>
    <w:p w14:paraId="6114BC85" w14:textId="77777777" w:rsidR="00E02B86" w:rsidRPr="00911998" w:rsidRDefault="00E02B86" w:rsidP="00E02B86">
      <w:pPr>
        <w:pStyle w:val="Titre6"/>
        <w:rPr>
          <w:rFonts w:cs="Arial"/>
          <w:szCs w:val="24"/>
          <w:lang w:eastAsia="fr-CA"/>
        </w:rPr>
      </w:pPr>
      <w:r w:rsidRPr="00911998">
        <w:rPr>
          <w:rFonts w:cs="Arial"/>
          <w:szCs w:val="24"/>
          <w:lang w:eastAsia="fr-CA"/>
        </w:rPr>
        <w:t>Le mode de conception</w:t>
      </w:r>
    </w:p>
    <w:p w14:paraId="73911CB2" w14:textId="78B048A9" w:rsidR="00E02B86" w:rsidRPr="00911998" w:rsidRDefault="00807CCF" w:rsidP="00E02B86">
      <w:pPr>
        <w:pStyle w:val="Paragrsimple"/>
        <w:rPr>
          <w:lang w:eastAsia="fr-CA"/>
        </w:rPr>
      </w:pPr>
      <w:r w:rsidRPr="00911998">
        <w:rPr>
          <w:lang w:eastAsia="fr-CA"/>
        </w:rPr>
        <w:t xml:space="preserve">Les Demandeurs dans le Dossier de la Coalition plaident que la limite de deux liens de filiation constitue une différence de traitement fondée sur le mode de conception. </w:t>
      </w:r>
      <w:r w:rsidR="00E02B86" w:rsidRPr="00911998">
        <w:rPr>
          <w:lang w:eastAsia="fr-CA"/>
        </w:rPr>
        <w:t xml:space="preserve">À </w:t>
      </w:r>
      <w:r w:rsidRPr="00911998">
        <w:rPr>
          <w:lang w:eastAsia="fr-CA"/>
        </w:rPr>
        <w:t xml:space="preserve">supposer </w:t>
      </w:r>
      <w:r w:rsidR="00E02B86" w:rsidRPr="00911998">
        <w:rPr>
          <w:lang w:eastAsia="fr-CA"/>
        </w:rPr>
        <w:t xml:space="preserve">que le mode de conception constitue un motif analogue aux termes du paragraphe 15(1) de la </w:t>
      </w:r>
      <w:r w:rsidR="00E02B86" w:rsidRPr="00911998">
        <w:rPr>
          <w:i/>
          <w:iCs/>
          <w:lang w:eastAsia="fr-CA"/>
        </w:rPr>
        <w:t>Charte canadienne</w:t>
      </w:r>
      <w:r w:rsidR="00E02B86" w:rsidRPr="00911998">
        <w:rPr>
          <w:rStyle w:val="Appelnotedebasdep"/>
          <w:lang w:eastAsia="fr-CA"/>
        </w:rPr>
        <w:footnoteReference w:id="182"/>
      </w:r>
      <w:r w:rsidR="00E02B86" w:rsidRPr="00911998">
        <w:rPr>
          <w:lang w:eastAsia="fr-CA"/>
        </w:rPr>
        <w:t>, il demeure que l’existence d’une distinction fondée sur ce motif n’est pas établie. Voici pourquoi.</w:t>
      </w:r>
    </w:p>
    <w:p w14:paraId="4E10362A" w14:textId="3FC7954E" w:rsidR="00CF751B" w:rsidRPr="00911998" w:rsidRDefault="00807CCF" w:rsidP="00157FB2">
      <w:pPr>
        <w:pStyle w:val="Paragrsimple"/>
        <w:rPr>
          <w:lang w:eastAsia="fr-CA"/>
        </w:rPr>
      </w:pPr>
      <w:r w:rsidRPr="00911998">
        <w:rPr>
          <w:lang w:eastAsia="fr-CA"/>
        </w:rPr>
        <w:t>D</w:t>
      </w:r>
      <w:r w:rsidR="00E02B86" w:rsidRPr="00911998">
        <w:rPr>
          <w:lang w:eastAsia="fr-CA"/>
        </w:rPr>
        <w:t>eux acceptions de la notion d</w:t>
      </w:r>
      <w:r w:rsidR="00E346DF" w:rsidRPr="00911998">
        <w:rPr>
          <w:lang w:eastAsia="fr-CA"/>
        </w:rPr>
        <w:t>u</w:t>
      </w:r>
      <w:r w:rsidR="00E02B86" w:rsidRPr="00911998">
        <w:rPr>
          <w:lang w:eastAsia="fr-CA"/>
        </w:rPr>
        <w:t xml:space="preserve"> mode de conception</w:t>
      </w:r>
      <w:r w:rsidRPr="00911998">
        <w:rPr>
          <w:lang w:eastAsia="fr-CA"/>
        </w:rPr>
        <w:t xml:space="preserve"> sont invoquées</w:t>
      </w:r>
      <w:r w:rsidR="00E02B86" w:rsidRPr="00911998">
        <w:rPr>
          <w:lang w:eastAsia="fr-CA"/>
        </w:rPr>
        <w:t>.</w:t>
      </w:r>
    </w:p>
    <w:p w14:paraId="14D71AE9" w14:textId="5EFAD501" w:rsidR="00157FB2" w:rsidRPr="00911998" w:rsidRDefault="00E02B86" w:rsidP="00157FB2">
      <w:pPr>
        <w:pStyle w:val="Paragrsimple"/>
        <w:rPr>
          <w:lang w:eastAsia="fr-CA"/>
        </w:rPr>
      </w:pPr>
      <w:r w:rsidRPr="00911998">
        <w:rPr>
          <w:lang w:eastAsia="fr-CA"/>
        </w:rPr>
        <w:t xml:space="preserve">Premièrement, </w:t>
      </w:r>
      <w:r w:rsidR="00807CCF" w:rsidRPr="00911998">
        <w:rPr>
          <w:lang w:eastAsia="fr-CA"/>
        </w:rPr>
        <w:t>les Demandeurs dans le Dossier de la Coalition</w:t>
      </w:r>
      <w:r w:rsidR="00157FB2" w:rsidRPr="00911998">
        <w:rPr>
          <w:lang w:eastAsia="fr-CA"/>
        </w:rPr>
        <w:t xml:space="preserve"> invoquent la procréation assistée comme mode de conception et soutiennent que «</w:t>
      </w:r>
      <w:r w:rsidR="00AA3440" w:rsidRPr="00911998">
        <w:rPr>
          <w:lang w:eastAsia="fr-CA"/>
        </w:rPr>
        <w:t> </w:t>
      </w:r>
      <w:r w:rsidR="00157FB2" w:rsidRPr="00911998">
        <w:rPr>
          <w:lang w:eastAsia="fr-CA"/>
        </w:rPr>
        <w:t xml:space="preserve">la </w:t>
      </w:r>
      <w:proofErr w:type="spellStart"/>
      <w:r w:rsidR="00157FB2" w:rsidRPr="00911998">
        <w:rPr>
          <w:lang w:eastAsia="fr-CA"/>
        </w:rPr>
        <w:t>pluriparenté</w:t>
      </w:r>
      <w:proofErr w:type="spellEnd"/>
      <w:r w:rsidR="00157FB2" w:rsidRPr="00911998">
        <w:rPr>
          <w:lang w:eastAsia="fr-CA"/>
        </w:rPr>
        <w:t xml:space="preserve"> est très souvent choisie par des familles dans un contexte de procréation assistée, qui peut découler de l’orientation sexuelle ou de l’infertilité des parents</w:t>
      </w:r>
      <w:r w:rsidR="00AA3440" w:rsidRPr="00911998">
        <w:rPr>
          <w:lang w:eastAsia="fr-CA"/>
        </w:rPr>
        <w:t> </w:t>
      </w:r>
      <w:r w:rsidR="00157FB2" w:rsidRPr="00911998">
        <w:rPr>
          <w:lang w:eastAsia="fr-CA"/>
        </w:rPr>
        <w:t>»</w:t>
      </w:r>
      <w:r w:rsidR="00157FB2" w:rsidRPr="00911998">
        <w:rPr>
          <w:rStyle w:val="Appelnotedebasdep"/>
          <w:lang w:eastAsia="fr-CA"/>
        </w:rPr>
        <w:footnoteReference w:id="183"/>
      </w:r>
      <w:r w:rsidR="00157FB2" w:rsidRPr="00911998">
        <w:rPr>
          <w:lang w:eastAsia="fr-CA"/>
        </w:rPr>
        <w:t>.</w:t>
      </w:r>
    </w:p>
    <w:p w14:paraId="1B301FA2" w14:textId="2FE43DD7" w:rsidR="00157FB2" w:rsidRPr="00911998" w:rsidRDefault="00157FB2" w:rsidP="00157FB2">
      <w:pPr>
        <w:pStyle w:val="Paragrsimple"/>
        <w:rPr>
          <w:lang w:eastAsia="fr-CA"/>
        </w:rPr>
      </w:pPr>
      <w:r w:rsidRPr="00911998">
        <w:rPr>
          <w:lang w:eastAsia="fr-CA"/>
        </w:rPr>
        <w:t xml:space="preserve">Or, comme nous l’avons vu, la preuve prépondérante n’établit pas que la </w:t>
      </w:r>
      <w:proofErr w:type="spellStart"/>
      <w:r w:rsidRPr="00911998">
        <w:rPr>
          <w:lang w:eastAsia="fr-CA"/>
        </w:rPr>
        <w:t>pluriparentalité</w:t>
      </w:r>
      <w:proofErr w:type="spellEnd"/>
      <w:r w:rsidRPr="00911998">
        <w:rPr>
          <w:lang w:eastAsia="fr-CA"/>
        </w:rPr>
        <w:t xml:space="preserve"> soit plus répandue parmi des personnes issues de la communauté LGBTQ</w:t>
      </w:r>
      <w:r w:rsidR="00C65EDC" w:rsidRPr="00911998">
        <w:rPr>
          <w:lang w:eastAsia="fr-CA"/>
        </w:rPr>
        <w:t>+</w:t>
      </w:r>
      <w:r w:rsidRPr="00911998">
        <w:rPr>
          <w:lang w:eastAsia="fr-CA"/>
        </w:rPr>
        <w:t xml:space="preserve">, ou encore </w:t>
      </w:r>
      <w:r w:rsidR="00C44EAE" w:rsidRPr="00911998">
        <w:rPr>
          <w:lang w:eastAsia="fr-CA"/>
        </w:rPr>
        <w:t xml:space="preserve">parmi les </w:t>
      </w:r>
      <w:r w:rsidRPr="00911998">
        <w:rPr>
          <w:lang w:eastAsia="fr-CA"/>
        </w:rPr>
        <w:t xml:space="preserve">personnes </w:t>
      </w:r>
      <w:r w:rsidR="00C44EAE" w:rsidRPr="00911998">
        <w:rPr>
          <w:lang w:eastAsia="fr-CA"/>
        </w:rPr>
        <w:t>confrontées à</w:t>
      </w:r>
      <w:r w:rsidRPr="00911998">
        <w:rPr>
          <w:lang w:eastAsia="fr-CA"/>
        </w:rPr>
        <w:t xml:space="preserve"> des enjeux de fertilité. Bien que la procréation assistée ait été utilisée par certains de</w:t>
      </w:r>
      <w:r w:rsidR="00E346DF" w:rsidRPr="00911998">
        <w:rPr>
          <w:lang w:eastAsia="fr-CA"/>
        </w:rPr>
        <w:t>s</w:t>
      </w:r>
      <w:r w:rsidRPr="00911998">
        <w:rPr>
          <w:lang w:eastAsia="fr-CA"/>
        </w:rPr>
        <w:t xml:space="preserve"> Demandeurs individuels, on ne saurait tirer de cette preuve anecdotique une inférence voulant que la procréation assistée soit plus répandue parmi les familles </w:t>
      </w:r>
      <w:proofErr w:type="spellStart"/>
      <w:r w:rsidRPr="00911998">
        <w:rPr>
          <w:lang w:eastAsia="fr-CA"/>
        </w:rPr>
        <w:t>pluriparentales</w:t>
      </w:r>
      <w:proofErr w:type="spellEnd"/>
      <w:r w:rsidRPr="00911998">
        <w:rPr>
          <w:lang w:eastAsia="fr-CA"/>
        </w:rPr>
        <w:t>.</w:t>
      </w:r>
    </w:p>
    <w:p w14:paraId="57121C30" w14:textId="67D00DCF" w:rsidR="00157FB2" w:rsidRPr="00911998" w:rsidRDefault="00157FB2" w:rsidP="00157FB2">
      <w:pPr>
        <w:pStyle w:val="Paragrsimple"/>
        <w:rPr>
          <w:lang w:eastAsia="fr-CA"/>
        </w:rPr>
      </w:pPr>
      <w:r w:rsidRPr="00911998">
        <w:rPr>
          <w:lang w:eastAsia="fr-CA"/>
        </w:rPr>
        <w:t>De surcroît, le droit québécois permet aux personnes ayant</w:t>
      </w:r>
      <w:r w:rsidR="00C44EAE" w:rsidRPr="00911998">
        <w:rPr>
          <w:lang w:eastAsia="fr-CA"/>
        </w:rPr>
        <w:t xml:space="preserve"> eu</w:t>
      </w:r>
      <w:r w:rsidRPr="00911998">
        <w:rPr>
          <w:lang w:eastAsia="fr-CA"/>
        </w:rPr>
        <w:t xml:space="preserve"> recours à la procréation assistée d’établir des liens de filiation avec leurs enfants</w:t>
      </w:r>
      <w:r w:rsidRPr="00911998">
        <w:rPr>
          <w:rStyle w:val="Appelnotedebasdep"/>
          <w:lang w:eastAsia="fr-CA"/>
        </w:rPr>
        <w:footnoteReference w:id="184"/>
      </w:r>
      <w:r w:rsidRPr="00911998">
        <w:rPr>
          <w:lang w:eastAsia="fr-CA"/>
        </w:rPr>
        <w:t>. La distinction en l’espèce n’est pas fondée sur l’utilisation de la procréation assistée comme mode de conception, mais bien</w:t>
      </w:r>
      <w:r w:rsidR="00C44EAE" w:rsidRPr="00911998">
        <w:rPr>
          <w:lang w:eastAsia="fr-CA"/>
        </w:rPr>
        <w:t xml:space="preserve"> sur</w:t>
      </w:r>
      <w:r w:rsidRPr="00911998">
        <w:rPr>
          <w:lang w:eastAsia="fr-CA"/>
        </w:rPr>
        <w:t xml:space="preserve"> l’appartenance des personnes en cause à </w:t>
      </w:r>
      <w:r w:rsidR="00CF751B" w:rsidRPr="00911998">
        <w:rPr>
          <w:lang w:eastAsia="fr-CA"/>
        </w:rPr>
        <w:t>des</w:t>
      </w:r>
      <w:r w:rsidRPr="00911998">
        <w:rPr>
          <w:lang w:eastAsia="fr-CA"/>
        </w:rPr>
        <w:t xml:space="preserve"> famille</w:t>
      </w:r>
      <w:r w:rsidR="00CF751B" w:rsidRPr="00911998">
        <w:rPr>
          <w:lang w:eastAsia="fr-CA"/>
        </w:rPr>
        <w:t>s</w:t>
      </w:r>
      <w:r w:rsidRPr="00911998">
        <w:rPr>
          <w:lang w:eastAsia="fr-CA"/>
        </w:rPr>
        <w:t xml:space="preserve"> </w:t>
      </w:r>
      <w:proofErr w:type="spellStart"/>
      <w:r w:rsidRPr="00911998">
        <w:rPr>
          <w:lang w:eastAsia="fr-CA"/>
        </w:rPr>
        <w:t>pluriparentale</w:t>
      </w:r>
      <w:r w:rsidR="00CF751B" w:rsidRPr="00911998">
        <w:rPr>
          <w:lang w:eastAsia="fr-CA"/>
        </w:rPr>
        <w:t>s</w:t>
      </w:r>
      <w:proofErr w:type="spellEnd"/>
      <w:r w:rsidRPr="00911998">
        <w:rPr>
          <w:lang w:eastAsia="fr-CA"/>
        </w:rPr>
        <w:t>.</w:t>
      </w:r>
    </w:p>
    <w:p w14:paraId="2106C576" w14:textId="66B7A494" w:rsidR="00E02B86" w:rsidRPr="00911998" w:rsidRDefault="00157FB2" w:rsidP="00706071">
      <w:pPr>
        <w:pStyle w:val="Paragrsimple"/>
        <w:rPr>
          <w:lang w:eastAsia="fr-CA"/>
        </w:rPr>
      </w:pPr>
      <w:r w:rsidRPr="00911998">
        <w:rPr>
          <w:lang w:eastAsia="fr-CA"/>
        </w:rPr>
        <w:t xml:space="preserve">Deuxièmement, les Demandeurs dans le Dossier de la Coalition </w:t>
      </w:r>
      <w:r w:rsidR="00E02B86" w:rsidRPr="00911998">
        <w:rPr>
          <w:lang w:eastAsia="fr-CA"/>
        </w:rPr>
        <w:t xml:space="preserve">plaident que les circonstances de </w:t>
      </w:r>
      <w:r w:rsidR="00E346DF" w:rsidRPr="00911998">
        <w:rPr>
          <w:lang w:eastAsia="fr-CA"/>
        </w:rPr>
        <w:t xml:space="preserve">la </w:t>
      </w:r>
      <w:r w:rsidR="00E02B86" w:rsidRPr="00911998">
        <w:rPr>
          <w:lang w:eastAsia="fr-CA"/>
        </w:rPr>
        <w:t>naissance des enfants issus de famille</w:t>
      </w:r>
      <w:r w:rsidR="00AA3440" w:rsidRPr="00911998">
        <w:rPr>
          <w:lang w:eastAsia="fr-CA"/>
        </w:rPr>
        <w:t>s</w:t>
      </w:r>
      <w:r w:rsidR="00E02B86" w:rsidRPr="00911998">
        <w:rPr>
          <w:lang w:eastAsia="fr-CA"/>
        </w:rPr>
        <w:t xml:space="preserve"> </w:t>
      </w:r>
      <w:proofErr w:type="spellStart"/>
      <w:r w:rsidR="00E02B86" w:rsidRPr="00911998">
        <w:rPr>
          <w:lang w:eastAsia="fr-CA"/>
        </w:rPr>
        <w:t>pluriparentales</w:t>
      </w:r>
      <w:proofErr w:type="spellEnd"/>
      <w:r w:rsidR="00E02B86" w:rsidRPr="00911998">
        <w:rPr>
          <w:lang w:eastAsia="fr-CA"/>
        </w:rPr>
        <w:t xml:space="preserve"> incluent la </w:t>
      </w:r>
      <w:r w:rsidR="00E02B86" w:rsidRPr="00911998">
        <w:rPr>
          <w:lang w:eastAsia="fr-CA"/>
        </w:rPr>
        <w:lastRenderedPageBreak/>
        <w:t xml:space="preserve">formation préalable d’un projet </w:t>
      </w:r>
      <w:proofErr w:type="spellStart"/>
      <w:r w:rsidR="00E02B86" w:rsidRPr="00911998">
        <w:rPr>
          <w:lang w:eastAsia="fr-CA"/>
        </w:rPr>
        <w:t>pluriparental</w:t>
      </w:r>
      <w:proofErr w:type="spellEnd"/>
      <w:r w:rsidR="00E02B86" w:rsidRPr="00911998">
        <w:rPr>
          <w:lang w:eastAsia="fr-CA"/>
        </w:rPr>
        <w:t xml:space="preserve"> par leurs </w:t>
      </w:r>
      <w:r w:rsidRPr="00911998">
        <w:rPr>
          <w:lang w:eastAsia="fr-CA"/>
        </w:rPr>
        <w:t>parents</w:t>
      </w:r>
      <w:r w:rsidR="00E02B86" w:rsidRPr="00911998">
        <w:rPr>
          <w:rStyle w:val="Appelnotedebasdep"/>
          <w:lang w:eastAsia="fr-CA"/>
        </w:rPr>
        <w:footnoteReference w:id="185"/>
      </w:r>
      <w:r w:rsidR="00E02B86" w:rsidRPr="00911998">
        <w:rPr>
          <w:lang w:eastAsia="fr-CA"/>
        </w:rPr>
        <w:t xml:space="preserve">. </w:t>
      </w:r>
      <w:r w:rsidR="00807CCF" w:rsidRPr="00911998">
        <w:rPr>
          <w:lang w:eastAsia="fr-CA"/>
        </w:rPr>
        <w:t>Or</w:t>
      </w:r>
      <w:r w:rsidR="00E02B86" w:rsidRPr="00911998">
        <w:rPr>
          <w:lang w:eastAsia="fr-CA"/>
        </w:rPr>
        <w:t>, cette formulation d</w:t>
      </w:r>
      <w:r w:rsidR="00807CCF" w:rsidRPr="00911998">
        <w:rPr>
          <w:lang w:eastAsia="fr-CA"/>
        </w:rPr>
        <w:t>e la notion d</w:t>
      </w:r>
      <w:r w:rsidR="00E346DF" w:rsidRPr="00911998">
        <w:rPr>
          <w:lang w:eastAsia="fr-CA"/>
        </w:rPr>
        <w:t>u</w:t>
      </w:r>
      <w:r w:rsidR="00E02B86" w:rsidRPr="00911998">
        <w:rPr>
          <w:lang w:eastAsia="fr-CA"/>
        </w:rPr>
        <w:t xml:space="preserve"> mode de conception </w:t>
      </w:r>
      <w:r w:rsidR="00CF751B" w:rsidRPr="00911998">
        <w:rPr>
          <w:lang w:eastAsia="fr-CA"/>
        </w:rPr>
        <w:t xml:space="preserve">correspond en réalité à l’appartenance à un modèle familial particulier, à savoir une famille </w:t>
      </w:r>
      <w:proofErr w:type="spellStart"/>
      <w:r w:rsidR="00CF751B" w:rsidRPr="00911998">
        <w:rPr>
          <w:lang w:eastAsia="fr-CA"/>
        </w:rPr>
        <w:t>pluriparentale</w:t>
      </w:r>
      <w:proofErr w:type="spellEnd"/>
      <w:r w:rsidR="00CF751B" w:rsidRPr="00911998">
        <w:rPr>
          <w:lang w:eastAsia="fr-CA"/>
        </w:rPr>
        <w:t>. Il s’agit précisément du motif analogue du statut familial tel que proposé par ces mêmes Demandeurs.</w:t>
      </w:r>
    </w:p>
    <w:p w14:paraId="2581C36C" w14:textId="6D77076F" w:rsidR="00E02B86" w:rsidRPr="00911998" w:rsidRDefault="00157FB2" w:rsidP="00E02B86">
      <w:pPr>
        <w:pStyle w:val="Paragrsimple"/>
        <w:rPr>
          <w:lang w:eastAsia="fr-CA"/>
        </w:rPr>
      </w:pPr>
      <w:r w:rsidRPr="00911998">
        <w:rPr>
          <w:lang w:eastAsia="fr-CA"/>
        </w:rPr>
        <w:t xml:space="preserve">Abordons à présent </w:t>
      </w:r>
      <w:r w:rsidR="00C44EAE" w:rsidRPr="00911998">
        <w:rPr>
          <w:lang w:eastAsia="fr-CA"/>
        </w:rPr>
        <w:t>le sujet</w:t>
      </w:r>
      <w:r w:rsidR="00E8462C" w:rsidRPr="00911998">
        <w:rPr>
          <w:lang w:eastAsia="fr-CA"/>
        </w:rPr>
        <w:t xml:space="preserve"> du</w:t>
      </w:r>
      <w:r w:rsidRPr="00911998">
        <w:rPr>
          <w:lang w:eastAsia="fr-CA"/>
        </w:rPr>
        <w:t xml:space="preserve"> statut familial</w:t>
      </w:r>
      <w:r w:rsidR="00B20242" w:rsidRPr="00911998">
        <w:rPr>
          <w:lang w:eastAsia="fr-CA"/>
        </w:rPr>
        <w:t xml:space="preserve"> </w:t>
      </w:r>
      <w:r w:rsidR="00D755FE" w:rsidRPr="00911998">
        <w:rPr>
          <w:lang w:eastAsia="fr-CA"/>
        </w:rPr>
        <w:t>en tant que</w:t>
      </w:r>
      <w:r w:rsidR="00B20242" w:rsidRPr="00911998">
        <w:rPr>
          <w:lang w:eastAsia="fr-CA"/>
        </w:rPr>
        <w:t xml:space="preserve"> motif de discrimination analogue </w:t>
      </w:r>
      <w:r w:rsidR="00D755FE" w:rsidRPr="00911998">
        <w:rPr>
          <w:lang w:eastAsia="fr-CA"/>
        </w:rPr>
        <w:t>prohibé aux termes du</w:t>
      </w:r>
      <w:r w:rsidR="00B20242" w:rsidRPr="00911998">
        <w:rPr>
          <w:lang w:eastAsia="fr-CA"/>
        </w:rPr>
        <w:t xml:space="preserve"> paragraphe 15(1) de la </w:t>
      </w:r>
      <w:r w:rsidR="00B20242" w:rsidRPr="00911998">
        <w:rPr>
          <w:i/>
          <w:iCs/>
          <w:lang w:eastAsia="fr-CA"/>
        </w:rPr>
        <w:t>Charte canadienne</w:t>
      </w:r>
      <w:r w:rsidRPr="00911998">
        <w:rPr>
          <w:lang w:eastAsia="fr-CA"/>
        </w:rPr>
        <w:t>.</w:t>
      </w:r>
    </w:p>
    <w:p w14:paraId="2ABCAA4D" w14:textId="77D2428A" w:rsidR="00D42E3B" w:rsidRPr="00911998" w:rsidRDefault="006E1A33" w:rsidP="0081691F">
      <w:pPr>
        <w:pStyle w:val="Titre6"/>
        <w:rPr>
          <w:lang w:eastAsia="fr-CA"/>
        </w:rPr>
      </w:pPr>
      <w:r w:rsidRPr="00911998">
        <w:rPr>
          <w:lang w:eastAsia="fr-CA"/>
        </w:rPr>
        <w:t xml:space="preserve"> </w:t>
      </w:r>
      <w:r w:rsidR="0081691F" w:rsidRPr="00911998">
        <w:rPr>
          <w:lang w:eastAsia="fr-CA"/>
        </w:rPr>
        <w:t xml:space="preserve">Le </w:t>
      </w:r>
      <w:r w:rsidR="00FA3179" w:rsidRPr="00911998">
        <w:rPr>
          <w:lang w:eastAsia="fr-CA"/>
        </w:rPr>
        <w:t>s</w:t>
      </w:r>
      <w:r w:rsidR="0081691F" w:rsidRPr="00911998">
        <w:rPr>
          <w:lang w:eastAsia="fr-CA"/>
        </w:rPr>
        <w:t xml:space="preserve">tatut </w:t>
      </w:r>
      <w:r w:rsidR="00157FB2" w:rsidRPr="00911998">
        <w:rPr>
          <w:lang w:eastAsia="fr-CA"/>
        </w:rPr>
        <w:t>familial</w:t>
      </w:r>
    </w:p>
    <w:p w14:paraId="3B3803DA" w14:textId="2E31BA67" w:rsidR="0081691F" w:rsidRPr="00911998" w:rsidRDefault="00FA3179" w:rsidP="00FA3179">
      <w:pPr>
        <w:pStyle w:val="Paragrsimple"/>
        <w:rPr>
          <w:lang w:eastAsia="fr-CA"/>
        </w:rPr>
      </w:pPr>
      <w:r w:rsidRPr="00911998">
        <w:rPr>
          <w:lang w:eastAsia="fr-CA"/>
        </w:rPr>
        <w:t xml:space="preserve">Le statut </w:t>
      </w:r>
      <w:r w:rsidR="00157FB2" w:rsidRPr="00911998">
        <w:rPr>
          <w:lang w:eastAsia="fr-CA"/>
        </w:rPr>
        <w:t>famili</w:t>
      </w:r>
      <w:r w:rsidR="00AA3440" w:rsidRPr="00911998">
        <w:rPr>
          <w:lang w:eastAsia="fr-CA"/>
        </w:rPr>
        <w:t>a</w:t>
      </w:r>
      <w:r w:rsidR="00157FB2" w:rsidRPr="00911998">
        <w:rPr>
          <w:lang w:eastAsia="fr-CA"/>
        </w:rPr>
        <w:t>l</w:t>
      </w:r>
      <w:r w:rsidRPr="00911998">
        <w:rPr>
          <w:lang w:eastAsia="fr-CA"/>
        </w:rPr>
        <w:t xml:space="preserve"> </w:t>
      </w:r>
      <w:r w:rsidR="00157FB2" w:rsidRPr="00911998">
        <w:rPr>
          <w:lang w:eastAsia="fr-CA"/>
        </w:rPr>
        <w:t>(</w:t>
      </w:r>
      <w:r w:rsidRPr="00911998">
        <w:rPr>
          <w:lang w:eastAsia="fr-CA"/>
        </w:rPr>
        <w:t xml:space="preserve">ou </w:t>
      </w:r>
      <w:r w:rsidR="00157FB2" w:rsidRPr="00911998">
        <w:rPr>
          <w:lang w:eastAsia="fr-CA"/>
        </w:rPr>
        <w:t xml:space="preserve">statut de famille ou </w:t>
      </w:r>
      <w:r w:rsidRPr="00911998">
        <w:rPr>
          <w:lang w:eastAsia="fr-CA"/>
        </w:rPr>
        <w:t>situation familiale</w:t>
      </w:r>
      <w:r w:rsidR="00157FB2" w:rsidRPr="00911998">
        <w:rPr>
          <w:lang w:eastAsia="fr-CA"/>
        </w:rPr>
        <w:t>)</w:t>
      </w:r>
      <w:r w:rsidRPr="00911998">
        <w:rPr>
          <w:lang w:eastAsia="fr-CA"/>
        </w:rPr>
        <w:t xml:space="preserve"> n’est pas un motif de discrimination prohibé énuméré au paragraphe 15(1) de la </w:t>
      </w:r>
      <w:r w:rsidRPr="00911998">
        <w:rPr>
          <w:i/>
          <w:iCs/>
          <w:lang w:eastAsia="fr-CA"/>
        </w:rPr>
        <w:t>Charte canadienne</w:t>
      </w:r>
      <w:r w:rsidRPr="00911998">
        <w:rPr>
          <w:lang w:eastAsia="fr-CA"/>
        </w:rPr>
        <w:t xml:space="preserve">. </w:t>
      </w:r>
      <w:r w:rsidR="00341E2A" w:rsidRPr="00911998">
        <w:rPr>
          <w:lang w:eastAsia="fr-CA"/>
        </w:rPr>
        <w:t>L</w:t>
      </w:r>
      <w:r w:rsidRPr="00911998">
        <w:rPr>
          <w:lang w:eastAsia="fr-CA"/>
        </w:rPr>
        <w:t>’énumération des motifs de discrimination à cette disposition n’</w:t>
      </w:r>
      <w:r w:rsidR="00341E2A" w:rsidRPr="00911998">
        <w:rPr>
          <w:lang w:eastAsia="fr-CA"/>
        </w:rPr>
        <w:t>étant</w:t>
      </w:r>
      <w:r w:rsidRPr="00911998">
        <w:rPr>
          <w:lang w:eastAsia="fr-CA"/>
        </w:rPr>
        <w:t xml:space="preserve"> pas exhaustive, il pourrait </w:t>
      </w:r>
      <w:r w:rsidR="00E346DF" w:rsidRPr="00911998">
        <w:rPr>
          <w:lang w:eastAsia="fr-CA"/>
        </w:rPr>
        <w:t xml:space="preserve">toutefois </w:t>
      </w:r>
      <w:r w:rsidRPr="00911998">
        <w:rPr>
          <w:lang w:eastAsia="fr-CA"/>
        </w:rPr>
        <w:t>s’agir d’un motif prohibé dans la mesure o</w:t>
      </w:r>
      <w:r w:rsidRPr="00911998">
        <w:rPr>
          <w:rFonts w:cs="Arial"/>
          <w:lang w:eastAsia="fr-CA"/>
        </w:rPr>
        <w:t>ù</w:t>
      </w:r>
      <w:r w:rsidRPr="00911998">
        <w:rPr>
          <w:lang w:eastAsia="fr-CA"/>
        </w:rPr>
        <w:t xml:space="preserve"> il est «</w:t>
      </w:r>
      <w:r w:rsidR="009352DC" w:rsidRPr="00911998">
        <w:rPr>
          <w:lang w:eastAsia="fr-CA"/>
        </w:rPr>
        <w:t> </w:t>
      </w:r>
      <w:r w:rsidRPr="00911998">
        <w:rPr>
          <w:lang w:eastAsia="fr-CA"/>
        </w:rPr>
        <w:t>analogue</w:t>
      </w:r>
      <w:r w:rsidR="009352DC" w:rsidRPr="00911998">
        <w:rPr>
          <w:lang w:eastAsia="fr-CA"/>
        </w:rPr>
        <w:t> </w:t>
      </w:r>
      <w:r w:rsidRPr="00911998">
        <w:rPr>
          <w:lang w:eastAsia="fr-CA"/>
        </w:rPr>
        <w:t>» aux motifs énumérés.</w:t>
      </w:r>
    </w:p>
    <w:p w14:paraId="2865D91B" w14:textId="21E3E555" w:rsidR="007D2671" w:rsidRPr="00911998" w:rsidRDefault="007D2671" w:rsidP="007D2671">
      <w:pPr>
        <w:pStyle w:val="Paragrsimple"/>
        <w:rPr>
          <w:lang w:eastAsia="fr-CA"/>
        </w:rPr>
      </w:pPr>
      <w:r w:rsidRPr="00911998">
        <w:rPr>
          <w:lang w:eastAsia="fr-CA"/>
        </w:rPr>
        <w:t xml:space="preserve">Dans l’arrêt </w:t>
      </w:r>
      <w:proofErr w:type="spellStart"/>
      <w:r w:rsidRPr="00911998">
        <w:rPr>
          <w:i/>
          <w:iCs/>
          <w:lang w:eastAsia="fr-CA"/>
        </w:rPr>
        <w:t>Corbi</w:t>
      </w:r>
      <w:r w:rsidR="009B6A6D" w:rsidRPr="00911998">
        <w:rPr>
          <w:i/>
          <w:iCs/>
          <w:lang w:eastAsia="fr-CA"/>
        </w:rPr>
        <w:t>e</w:t>
      </w:r>
      <w:r w:rsidRPr="00911998">
        <w:rPr>
          <w:i/>
          <w:iCs/>
          <w:lang w:eastAsia="fr-CA"/>
        </w:rPr>
        <w:t>re</w:t>
      </w:r>
      <w:proofErr w:type="spellEnd"/>
      <w:r w:rsidR="003E1BCC" w:rsidRPr="00911998">
        <w:rPr>
          <w:lang w:eastAsia="fr-CA"/>
        </w:rPr>
        <w:t xml:space="preserve">, la majorité de la Cour suprême, sous la plume des juges </w:t>
      </w:r>
      <w:proofErr w:type="spellStart"/>
      <w:r w:rsidR="003E1BCC" w:rsidRPr="00911998">
        <w:rPr>
          <w:lang w:eastAsia="fr-CA"/>
        </w:rPr>
        <w:t>McLachlin</w:t>
      </w:r>
      <w:proofErr w:type="spellEnd"/>
      <w:r w:rsidR="003E1BCC" w:rsidRPr="00911998">
        <w:rPr>
          <w:lang w:eastAsia="fr-CA"/>
        </w:rPr>
        <w:t xml:space="preserve"> (à l’époque juge puîné</w:t>
      </w:r>
      <w:r w:rsidR="00E346DF" w:rsidRPr="00911998">
        <w:rPr>
          <w:lang w:eastAsia="fr-CA"/>
        </w:rPr>
        <w:t>e</w:t>
      </w:r>
      <w:r w:rsidR="003E1BCC" w:rsidRPr="00911998">
        <w:rPr>
          <w:lang w:eastAsia="fr-CA"/>
        </w:rPr>
        <w:t xml:space="preserve">) et Bastarache, précise que les motifs analogues de discrimination correspondent à des caractéristiques personnelles immuables ou </w:t>
      </w:r>
      <w:r w:rsidR="009352DC" w:rsidRPr="00911998">
        <w:rPr>
          <w:lang w:eastAsia="fr-CA"/>
        </w:rPr>
        <w:t>considérées</w:t>
      </w:r>
      <w:r w:rsidR="003E1BCC" w:rsidRPr="00911998">
        <w:rPr>
          <w:lang w:eastAsia="fr-CA"/>
        </w:rPr>
        <w:t xml:space="preserve"> immuables lesquelles mènent souvent à des décisions fondées sur des stéréotypes plutôt que</w:t>
      </w:r>
      <w:r w:rsidR="00752479" w:rsidRPr="00911998">
        <w:rPr>
          <w:lang w:eastAsia="fr-CA"/>
        </w:rPr>
        <w:t xml:space="preserve"> sur</w:t>
      </w:r>
      <w:r w:rsidR="003E1BCC" w:rsidRPr="00911998">
        <w:rPr>
          <w:lang w:eastAsia="fr-CA"/>
        </w:rPr>
        <w:t xml:space="preserve"> le mérite individuel</w:t>
      </w:r>
      <w:r w:rsidR="003E1BCC" w:rsidRPr="00911998">
        <w:rPr>
          <w:rStyle w:val="Appelnotedebasdep"/>
          <w:lang w:eastAsia="fr-CA"/>
        </w:rPr>
        <w:footnoteReference w:id="186"/>
      </w:r>
      <w:r w:rsidR="003E1BCC" w:rsidRPr="00911998">
        <w:rPr>
          <w:lang w:eastAsia="fr-CA"/>
        </w:rPr>
        <w:t> :</w:t>
      </w:r>
    </w:p>
    <w:p w14:paraId="34ACE68D" w14:textId="7565EEC3" w:rsidR="003E1BCC" w:rsidRPr="00911998" w:rsidRDefault="003E1BCC" w:rsidP="003E1BCC">
      <w:pPr>
        <w:ind w:left="567" w:right="560"/>
        <w:jc w:val="both"/>
        <w:rPr>
          <w:sz w:val="22"/>
          <w:szCs w:val="22"/>
          <w:lang w:eastAsia="fr-CA"/>
        </w:rPr>
      </w:pPr>
      <w:proofErr w:type="gramStart"/>
      <w:r w:rsidRPr="00911998">
        <w:rPr>
          <w:sz w:val="22"/>
          <w:szCs w:val="22"/>
        </w:rPr>
        <w:t>13  </w:t>
      </w:r>
      <w:r w:rsidRPr="00911998">
        <w:rPr>
          <w:rFonts w:cs="Arial"/>
          <w:sz w:val="22"/>
          <w:szCs w:val="22"/>
        </w:rPr>
        <w:t>[</w:t>
      </w:r>
      <w:proofErr w:type="gramEnd"/>
      <w:r w:rsidRPr="00911998">
        <w:rPr>
          <w:rFonts w:cs="Arial"/>
          <w:sz w:val="22"/>
          <w:szCs w:val="22"/>
        </w:rPr>
        <w:t>…] [Q]</w:t>
      </w:r>
      <w:proofErr w:type="spellStart"/>
      <w:r w:rsidRPr="00911998">
        <w:rPr>
          <w:sz w:val="22"/>
          <w:szCs w:val="22"/>
        </w:rPr>
        <w:t>uels</w:t>
      </w:r>
      <w:proofErr w:type="spellEnd"/>
      <w:r w:rsidRPr="00911998">
        <w:rPr>
          <w:sz w:val="22"/>
          <w:szCs w:val="22"/>
        </w:rPr>
        <w:t xml:space="preserve"> sont les critères qui permettent de qualifier d’analogue un motif de distinction?  La réponse est évidente, il s’agit de chercher des motifs de distinction analogues ou semblables aux motifs énumérés à l’art. 15 -- la race, l’origine nationale ou ethnique, la couleur, la religion, le sexe, l’âge ou les déficiences mentales ou physiques.  Il nous semble que le point commun entre ces motifs est le fait qu’ils sont souvent à la base de décisions stéréotypées, fondées non pas sur le mérite de l’individu mais plutôt sur une caractéristique personnelle qui est soit immuable, soit modifiable uniquement à un prix inacceptable du point de vue de l’identité personnelle.  Ce fait tend à indiquer que l’objet de l’identification de motifs analogues à la deuxième étape de l’analyse établie dans </w:t>
      </w:r>
      <w:r w:rsidRPr="00911998">
        <w:rPr>
          <w:i/>
          <w:iCs/>
          <w:sz w:val="22"/>
          <w:szCs w:val="22"/>
        </w:rPr>
        <w:t>Law</w:t>
      </w:r>
      <w:r w:rsidRPr="00911998">
        <w:rPr>
          <w:sz w:val="22"/>
          <w:szCs w:val="22"/>
        </w:rPr>
        <w:t xml:space="preserve"> est de découvrir des motifs fondés sur des caractéristiques qu’il nous est impossible de changer ou que le gouvernement ne peut légitimement s’attendre que nous changions pour avoir droit à l’égalité de traitement garantie par la loi.  Autrement dit, l’art. 15 vise le déni du droit à l’égalité de traitement pour des motifs qui sont immuables dans les faits, par exemple la race, ou qui sont considérés immuables, par exemple la religion.  </w:t>
      </w:r>
      <w:r w:rsidR="00FD26A3" w:rsidRPr="00911998">
        <w:rPr>
          <w:rFonts w:cs="Arial"/>
          <w:sz w:val="22"/>
          <w:szCs w:val="22"/>
        </w:rPr>
        <w:t xml:space="preserve">[…] </w:t>
      </w:r>
    </w:p>
    <w:p w14:paraId="5D635409" w14:textId="44D7C911" w:rsidR="003E1BCC" w:rsidRPr="00911998" w:rsidRDefault="00341E2A" w:rsidP="003E1BCC">
      <w:pPr>
        <w:pStyle w:val="Paragrsimple"/>
        <w:rPr>
          <w:szCs w:val="24"/>
        </w:rPr>
      </w:pPr>
      <w:r w:rsidRPr="00911998">
        <w:rPr>
          <w:szCs w:val="24"/>
          <w:lang w:eastAsia="fr-CA"/>
        </w:rPr>
        <w:lastRenderedPageBreak/>
        <w:t>U</w:t>
      </w:r>
      <w:r w:rsidR="003E1BCC" w:rsidRPr="00911998">
        <w:rPr>
          <w:szCs w:val="24"/>
          <w:lang w:eastAsia="fr-CA"/>
        </w:rPr>
        <w:t>ne fois qu’un motif analogue est reconnu par la jurisprudence,</w:t>
      </w:r>
      <w:r w:rsidRPr="00911998">
        <w:rPr>
          <w:szCs w:val="24"/>
          <w:lang w:eastAsia="fr-CA"/>
        </w:rPr>
        <w:t xml:space="preserve"> comme l’est l’orientation sexuelle ou le statut matrimonial,</w:t>
      </w:r>
      <w:r w:rsidR="003E1BCC" w:rsidRPr="00911998">
        <w:rPr>
          <w:szCs w:val="24"/>
          <w:lang w:eastAsia="fr-CA"/>
        </w:rPr>
        <w:t xml:space="preserve"> il </w:t>
      </w:r>
      <w:r w:rsidR="001A2701" w:rsidRPr="00911998">
        <w:rPr>
          <w:szCs w:val="24"/>
          <w:lang w:eastAsia="fr-CA"/>
        </w:rPr>
        <w:t>devient</w:t>
      </w:r>
      <w:r w:rsidR="00863BA6" w:rsidRPr="00911998">
        <w:rPr>
          <w:szCs w:val="24"/>
          <w:lang w:eastAsia="fr-CA"/>
        </w:rPr>
        <w:t xml:space="preserve"> </w:t>
      </w:r>
      <w:r w:rsidR="00752479" w:rsidRPr="00911998">
        <w:rPr>
          <w:szCs w:val="24"/>
          <w:lang w:eastAsia="fr-CA"/>
        </w:rPr>
        <w:t>désormais</w:t>
      </w:r>
      <w:r w:rsidR="00863BA6" w:rsidRPr="00911998">
        <w:rPr>
          <w:szCs w:val="24"/>
          <w:lang w:eastAsia="fr-CA"/>
        </w:rPr>
        <w:t xml:space="preserve"> «</w:t>
      </w:r>
      <w:r w:rsidR="00B94B0A" w:rsidRPr="00911998">
        <w:rPr>
          <w:szCs w:val="24"/>
          <w:lang w:eastAsia="fr-CA"/>
        </w:rPr>
        <w:t> </w:t>
      </w:r>
      <w:r w:rsidR="00863BA6" w:rsidRPr="00911998">
        <w:rPr>
          <w:szCs w:val="24"/>
        </w:rPr>
        <w:t>un indicateur permanent de discrimination législative potentielle</w:t>
      </w:r>
      <w:r w:rsidR="00B94B0A" w:rsidRPr="00911998">
        <w:rPr>
          <w:szCs w:val="24"/>
        </w:rPr>
        <w:t> </w:t>
      </w:r>
      <w:r w:rsidR="00863BA6" w:rsidRPr="00911998">
        <w:rPr>
          <w:szCs w:val="24"/>
        </w:rPr>
        <w:t>»</w:t>
      </w:r>
      <w:r w:rsidR="00863BA6" w:rsidRPr="00911998">
        <w:rPr>
          <w:rStyle w:val="Appelnotedebasdep"/>
          <w:szCs w:val="24"/>
        </w:rPr>
        <w:footnoteReference w:id="187"/>
      </w:r>
      <w:r w:rsidR="00863BA6" w:rsidRPr="00911998">
        <w:rPr>
          <w:szCs w:val="24"/>
        </w:rPr>
        <w:t>.</w:t>
      </w:r>
    </w:p>
    <w:p w14:paraId="036A8022" w14:textId="1E07FD4C" w:rsidR="00E71B78" w:rsidRPr="00911998" w:rsidRDefault="00363FE9" w:rsidP="00863BA6">
      <w:pPr>
        <w:pStyle w:val="Paragrsimple"/>
      </w:pPr>
      <w:r w:rsidRPr="00911998">
        <w:t>En l’espèce, force est de con</w:t>
      </w:r>
      <w:r w:rsidR="00341E2A" w:rsidRPr="00911998">
        <w:t>stater</w:t>
      </w:r>
      <w:r w:rsidRPr="00911998">
        <w:t xml:space="preserve"> que le statut familial n’est pas encore reconnu </w:t>
      </w:r>
      <w:r w:rsidR="00635164" w:rsidRPr="00911998">
        <w:t>comme un</w:t>
      </w:r>
      <w:r w:rsidRPr="00911998">
        <w:t xml:space="preserve"> motif analogue de discrimination prohibé par une jurisprudence qui lie le Tribunal. D’abord, dans l’arrêt </w:t>
      </w:r>
      <w:r w:rsidRPr="00911998">
        <w:rPr>
          <w:i/>
          <w:iCs/>
        </w:rPr>
        <w:t>Fraser</w:t>
      </w:r>
      <w:r w:rsidR="00481343" w:rsidRPr="00911998">
        <w:t>,</w:t>
      </w:r>
      <w:r w:rsidR="00E71B78" w:rsidRPr="00911998">
        <w:t xml:space="preserve"> tant la majorité </w:t>
      </w:r>
      <w:r w:rsidR="00481343" w:rsidRPr="00911998">
        <w:t xml:space="preserve">de la Cour suprême </w:t>
      </w:r>
      <w:r w:rsidR="00E71B78" w:rsidRPr="00911998">
        <w:t xml:space="preserve">que les juges dissidents </w:t>
      </w:r>
      <w:r w:rsidR="00B0572B" w:rsidRPr="00911998">
        <w:t>indiquen</w:t>
      </w:r>
      <w:r w:rsidR="00481343" w:rsidRPr="00911998">
        <w:t>t</w:t>
      </w:r>
      <w:r w:rsidR="00E71B78" w:rsidRPr="00911998">
        <w:t xml:space="preserve"> clairement qu’</w:t>
      </w:r>
      <w:r w:rsidR="00481343" w:rsidRPr="00911998">
        <w:t>ils</w:t>
      </w:r>
      <w:r w:rsidRPr="00911998">
        <w:t xml:space="preserve"> ne tranche</w:t>
      </w:r>
      <w:r w:rsidR="00481343" w:rsidRPr="00911998">
        <w:t>nt</w:t>
      </w:r>
      <w:r w:rsidR="00E71B78" w:rsidRPr="00911998">
        <w:t xml:space="preserve"> pas</w:t>
      </w:r>
      <w:r w:rsidRPr="00911998">
        <w:t xml:space="preserve"> la question de savoir s’il s’agit d’un motif analogue</w:t>
      </w:r>
      <w:r w:rsidRPr="00911998">
        <w:rPr>
          <w:rStyle w:val="Appelnotedebasdep"/>
        </w:rPr>
        <w:footnoteReference w:id="188"/>
      </w:r>
      <w:r w:rsidRPr="00911998">
        <w:t>.</w:t>
      </w:r>
    </w:p>
    <w:p w14:paraId="69397219" w14:textId="5BF57108" w:rsidR="003B7ED8" w:rsidRPr="00911998" w:rsidRDefault="00E71B78" w:rsidP="00481343">
      <w:pPr>
        <w:pStyle w:val="Paragrsimple"/>
        <w:rPr>
          <w:rFonts w:cs="Arial"/>
          <w:szCs w:val="24"/>
        </w:rPr>
      </w:pPr>
      <w:r w:rsidRPr="00911998">
        <w:t xml:space="preserve">Ensuite, </w:t>
      </w:r>
      <w:r w:rsidR="00481343" w:rsidRPr="00911998">
        <w:t xml:space="preserve">les jugements des instances inférieures qui </w:t>
      </w:r>
      <w:r w:rsidR="00341E2A" w:rsidRPr="00911998">
        <w:t>discuten</w:t>
      </w:r>
      <w:r w:rsidR="00481343" w:rsidRPr="00911998">
        <w:t xml:space="preserve">t </w:t>
      </w:r>
      <w:r w:rsidR="00341E2A" w:rsidRPr="00911998">
        <w:t xml:space="preserve">de </w:t>
      </w:r>
      <w:r w:rsidR="00481343" w:rsidRPr="00911998">
        <w:t xml:space="preserve">la qualification du statut </w:t>
      </w:r>
      <w:r w:rsidR="00B0572B" w:rsidRPr="00911998">
        <w:t>familial</w:t>
      </w:r>
      <w:r w:rsidR="00481343" w:rsidRPr="00911998">
        <w:t xml:space="preserve"> à titre de motif analogue n’apportent pas une réponse déterminante à la </w:t>
      </w:r>
      <w:r w:rsidR="00481343" w:rsidRPr="00911998">
        <w:rPr>
          <w:rFonts w:cs="Arial"/>
          <w:szCs w:val="24"/>
        </w:rPr>
        <w:t>question qui pourrait lier le Tribunal.</w:t>
      </w:r>
      <w:r w:rsidR="003B7ED8" w:rsidRPr="00911998">
        <w:rPr>
          <w:rFonts w:cs="Arial"/>
          <w:szCs w:val="24"/>
        </w:rPr>
        <w:t xml:space="preserve"> </w:t>
      </w:r>
    </w:p>
    <w:p w14:paraId="7A7DF5CF" w14:textId="0CE73AC9" w:rsidR="00E71B78" w:rsidRPr="00911998" w:rsidRDefault="003B7ED8" w:rsidP="00481343">
      <w:pPr>
        <w:pStyle w:val="Paragrsimple"/>
        <w:rPr>
          <w:rFonts w:cs="Arial"/>
          <w:szCs w:val="24"/>
        </w:rPr>
      </w:pPr>
      <w:r w:rsidRPr="00911998">
        <w:rPr>
          <w:rFonts w:cs="Arial"/>
          <w:szCs w:val="24"/>
        </w:rPr>
        <w:t xml:space="preserve">Ainsi, dans l’affaire </w:t>
      </w:r>
      <w:r w:rsidRPr="00911998">
        <w:rPr>
          <w:rFonts w:cs="Arial"/>
          <w:i/>
          <w:iCs/>
          <w:szCs w:val="24"/>
          <w:shd w:val="clear" w:color="auto" w:fill="FFFFFF"/>
        </w:rPr>
        <w:t>Association des juristes de l</w:t>
      </w:r>
      <w:r w:rsidR="00B94B0A" w:rsidRPr="00911998">
        <w:rPr>
          <w:rFonts w:cs="Arial"/>
          <w:i/>
          <w:iCs/>
          <w:szCs w:val="24"/>
          <w:shd w:val="clear" w:color="auto" w:fill="FFFFFF"/>
        </w:rPr>
        <w:t>’</w:t>
      </w:r>
      <w:r w:rsidRPr="00911998">
        <w:rPr>
          <w:rFonts w:cs="Arial"/>
          <w:i/>
          <w:iCs/>
          <w:szCs w:val="24"/>
          <w:shd w:val="clear" w:color="auto" w:fill="FFFFFF"/>
        </w:rPr>
        <w:t>État</w:t>
      </w:r>
      <w:r w:rsidRPr="00911998">
        <w:rPr>
          <w:rFonts w:cs="Arial"/>
          <w:szCs w:val="24"/>
          <w:shd w:val="clear" w:color="auto" w:fill="FFFFFF"/>
        </w:rPr>
        <w:t>, cette Cour conclut que le statut familial</w:t>
      </w:r>
      <w:r w:rsidR="00B0572B" w:rsidRPr="00911998">
        <w:rPr>
          <w:rFonts w:cs="Arial"/>
          <w:szCs w:val="24"/>
          <w:shd w:val="clear" w:color="auto" w:fill="FFFFFF"/>
        </w:rPr>
        <w:t>,</w:t>
      </w:r>
      <w:r w:rsidRPr="00911998">
        <w:rPr>
          <w:rFonts w:cs="Arial"/>
          <w:szCs w:val="24"/>
          <w:shd w:val="clear" w:color="auto" w:fill="FFFFFF"/>
        </w:rPr>
        <w:t xml:space="preserve"> et sa sous-catégorie de femmes en congé de maternité</w:t>
      </w:r>
      <w:r w:rsidR="00B0572B" w:rsidRPr="00911998">
        <w:rPr>
          <w:rFonts w:cs="Arial"/>
          <w:szCs w:val="24"/>
          <w:shd w:val="clear" w:color="auto" w:fill="FFFFFF"/>
        </w:rPr>
        <w:t>,</w:t>
      </w:r>
      <w:r w:rsidRPr="00911998">
        <w:rPr>
          <w:rFonts w:cs="Arial"/>
          <w:szCs w:val="24"/>
          <w:shd w:val="clear" w:color="auto" w:fill="FFFFFF"/>
        </w:rPr>
        <w:t xml:space="preserve"> </w:t>
      </w:r>
      <w:r w:rsidR="00546323" w:rsidRPr="00911998">
        <w:rPr>
          <w:rFonts w:cs="Arial"/>
          <w:szCs w:val="24"/>
          <w:shd w:val="clear" w:color="auto" w:fill="FFFFFF"/>
        </w:rPr>
        <w:t>sont des</w:t>
      </w:r>
      <w:r w:rsidRPr="00911998">
        <w:rPr>
          <w:rFonts w:cs="Arial"/>
          <w:szCs w:val="24"/>
          <w:shd w:val="clear" w:color="auto" w:fill="FFFFFF"/>
        </w:rPr>
        <w:t xml:space="preserve"> motif</w:t>
      </w:r>
      <w:r w:rsidR="00546323" w:rsidRPr="00911998">
        <w:rPr>
          <w:rFonts w:cs="Arial"/>
          <w:szCs w:val="24"/>
          <w:shd w:val="clear" w:color="auto" w:fill="FFFFFF"/>
        </w:rPr>
        <w:t>s</w:t>
      </w:r>
      <w:r w:rsidRPr="00911998">
        <w:rPr>
          <w:rFonts w:cs="Arial"/>
          <w:szCs w:val="24"/>
          <w:shd w:val="clear" w:color="auto" w:fill="FFFFFF"/>
        </w:rPr>
        <w:t xml:space="preserve"> analogue</w:t>
      </w:r>
      <w:r w:rsidRPr="00911998">
        <w:rPr>
          <w:rStyle w:val="Appelnotedebasdep"/>
          <w:rFonts w:cs="Arial"/>
          <w:szCs w:val="24"/>
          <w:shd w:val="clear" w:color="auto" w:fill="FFFFFF"/>
        </w:rPr>
        <w:footnoteReference w:id="189"/>
      </w:r>
      <w:r w:rsidRPr="00911998">
        <w:rPr>
          <w:rFonts w:cs="Arial"/>
          <w:szCs w:val="24"/>
          <w:shd w:val="clear" w:color="auto" w:fill="FFFFFF"/>
        </w:rPr>
        <w:t>. D’une part, l’analyse à l’appui de cette conclusion est succincte. D’autre part, la Cour d’appel juge qu’il s’agit d’un cas de discrimination fondée sur le sexe et qu’il ne convient pas de trancher la question du statut familial à titre de motif analogue</w:t>
      </w:r>
      <w:r w:rsidR="0042289C" w:rsidRPr="00911998">
        <w:rPr>
          <w:rStyle w:val="Appelnotedebasdep"/>
          <w:rFonts w:cs="Arial"/>
          <w:szCs w:val="24"/>
          <w:shd w:val="clear" w:color="auto" w:fill="FFFFFF"/>
        </w:rPr>
        <w:footnoteReference w:id="190"/>
      </w:r>
      <w:r w:rsidRPr="00911998">
        <w:rPr>
          <w:rFonts w:cs="Arial"/>
          <w:szCs w:val="24"/>
          <w:shd w:val="clear" w:color="auto" w:fill="FFFFFF"/>
        </w:rPr>
        <w:t>.</w:t>
      </w:r>
    </w:p>
    <w:p w14:paraId="2F5315D0" w14:textId="487278A2" w:rsidR="00282E32" w:rsidRPr="00911998" w:rsidRDefault="00341E2A" w:rsidP="00282E32">
      <w:pPr>
        <w:pStyle w:val="Paragrsimple"/>
        <w:rPr>
          <w:rFonts w:cs="Arial"/>
          <w:szCs w:val="24"/>
          <w:shd w:val="clear" w:color="auto" w:fill="FFFFFF"/>
        </w:rPr>
      </w:pPr>
      <w:r w:rsidRPr="00911998">
        <w:rPr>
          <w:rFonts w:cs="Arial"/>
          <w:szCs w:val="24"/>
        </w:rPr>
        <w:t>D</w:t>
      </w:r>
      <w:r w:rsidR="00216FFD" w:rsidRPr="00911998">
        <w:rPr>
          <w:rFonts w:cs="Arial"/>
          <w:szCs w:val="24"/>
        </w:rPr>
        <w:t xml:space="preserve">ans l’affaire </w:t>
      </w:r>
      <w:r w:rsidR="00216FFD" w:rsidRPr="00911998">
        <w:rPr>
          <w:rFonts w:cs="Arial"/>
          <w:i/>
          <w:iCs/>
          <w:szCs w:val="24"/>
          <w:shd w:val="clear" w:color="auto" w:fill="FFFFFF"/>
        </w:rPr>
        <w:t xml:space="preserve">Miller c. Mohawk Council </w:t>
      </w:r>
      <w:r w:rsidR="00B94B0A" w:rsidRPr="00911998">
        <w:rPr>
          <w:rFonts w:cs="Arial"/>
          <w:i/>
          <w:iCs/>
          <w:szCs w:val="24"/>
          <w:shd w:val="clear" w:color="auto" w:fill="FFFFFF"/>
        </w:rPr>
        <w:t>o</w:t>
      </w:r>
      <w:r w:rsidR="00216FFD" w:rsidRPr="00911998">
        <w:rPr>
          <w:rFonts w:cs="Arial"/>
          <w:i/>
          <w:iCs/>
          <w:szCs w:val="24"/>
          <w:shd w:val="clear" w:color="auto" w:fill="FFFFFF"/>
        </w:rPr>
        <w:t xml:space="preserve">f </w:t>
      </w:r>
      <w:proofErr w:type="spellStart"/>
      <w:r w:rsidR="00216FFD" w:rsidRPr="00911998">
        <w:rPr>
          <w:rFonts w:cs="Arial"/>
          <w:i/>
          <w:iCs/>
          <w:szCs w:val="24"/>
          <w:shd w:val="clear" w:color="auto" w:fill="FFFFFF"/>
        </w:rPr>
        <w:t>Kahnawà:ke</w:t>
      </w:r>
      <w:proofErr w:type="spellEnd"/>
      <w:r w:rsidR="00216FFD" w:rsidRPr="00911998">
        <w:rPr>
          <w:rFonts w:cs="Arial"/>
          <w:szCs w:val="24"/>
          <w:shd w:val="clear" w:color="auto" w:fill="FFFFFF"/>
        </w:rPr>
        <w:t>, cette Cour mentionne également le statut familial à titre de motif de discrimination analogue</w:t>
      </w:r>
      <w:r w:rsidR="000B42F1" w:rsidRPr="00911998">
        <w:rPr>
          <w:rStyle w:val="Appelnotedebasdep"/>
          <w:rFonts w:cs="Arial"/>
          <w:szCs w:val="24"/>
          <w:shd w:val="clear" w:color="auto" w:fill="FFFFFF"/>
        </w:rPr>
        <w:footnoteReference w:id="191"/>
      </w:r>
      <w:r w:rsidR="00216FFD" w:rsidRPr="00911998">
        <w:rPr>
          <w:rFonts w:cs="Arial"/>
          <w:szCs w:val="24"/>
          <w:shd w:val="clear" w:color="auto" w:fill="FFFFFF"/>
        </w:rPr>
        <w:t xml:space="preserve">. </w:t>
      </w:r>
      <w:r w:rsidR="00546323" w:rsidRPr="00911998">
        <w:rPr>
          <w:rFonts w:cs="Arial"/>
          <w:szCs w:val="24"/>
          <w:shd w:val="clear" w:color="auto" w:fill="FFFFFF"/>
        </w:rPr>
        <w:t>Cependant</w:t>
      </w:r>
      <w:r w:rsidR="00B0572B" w:rsidRPr="00911998">
        <w:rPr>
          <w:rFonts w:cs="Arial"/>
          <w:szCs w:val="24"/>
          <w:shd w:val="clear" w:color="auto" w:fill="FFFFFF"/>
        </w:rPr>
        <w:t>,</w:t>
      </w:r>
      <w:r w:rsidR="00216FFD" w:rsidRPr="00911998">
        <w:rPr>
          <w:rFonts w:cs="Arial"/>
          <w:szCs w:val="24"/>
          <w:shd w:val="clear" w:color="auto" w:fill="FFFFFF"/>
        </w:rPr>
        <w:t xml:space="preserve"> une lecture </w:t>
      </w:r>
      <w:r w:rsidR="00546323" w:rsidRPr="00911998">
        <w:rPr>
          <w:rFonts w:cs="Arial"/>
          <w:szCs w:val="24"/>
          <w:shd w:val="clear" w:color="auto" w:fill="FFFFFF"/>
        </w:rPr>
        <w:t>attentiv</w:t>
      </w:r>
      <w:r w:rsidR="00B0572B" w:rsidRPr="00911998">
        <w:rPr>
          <w:rFonts w:cs="Arial"/>
          <w:szCs w:val="24"/>
          <w:shd w:val="clear" w:color="auto" w:fill="FFFFFF"/>
        </w:rPr>
        <w:t>e</w:t>
      </w:r>
      <w:r w:rsidR="00216FFD" w:rsidRPr="00911998">
        <w:rPr>
          <w:rFonts w:cs="Arial"/>
          <w:szCs w:val="24"/>
          <w:shd w:val="clear" w:color="auto" w:fill="FFFFFF"/>
        </w:rPr>
        <w:t xml:space="preserve"> </w:t>
      </w:r>
      <w:r w:rsidR="00B0572B" w:rsidRPr="00911998">
        <w:rPr>
          <w:rFonts w:cs="Arial"/>
          <w:szCs w:val="24"/>
          <w:shd w:val="clear" w:color="auto" w:fill="FFFFFF"/>
        </w:rPr>
        <w:t xml:space="preserve">du </w:t>
      </w:r>
      <w:r w:rsidR="00546323" w:rsidRPr="00911998">
        <w:rPr>
          <w:rFonts w:cs="Arial"/>
          <w:szCs w:val="24"/>
          <w:shd w:val="clear" w:color="auto" w:fill="FFFFFF"/>
        </w:rPr>
        <w:t>j</w:t>
      </w:r>
      <w:r w:rsidR="00B0572B" w:rsidRPr="00911998">
        <w:rPr>
          <w:rFonts w:cs="Arial"/>
          <w:szCs w:val="24"/>
          <w:shd w:val="clear" w:color="auto" w:fill="FFFFFF"/>
        </w:rPr>
        <w:t>ugement</w:t>
      </w:r>
      <w:r w:rsidR="00216FFD" w:rsidRPr="00911998">
        <w:rPr>
          <w:rFonts w:cs="Arial"/>
          <w:szCs w:val="24"/>
          <w:shd w:val="clear" w:color="auto" w:fill="FFFFFF"/>
        </w:rPr>
        <w:t xml:space="preserve"> permet d’observer que le motif réellement retenu est l’état matrimonial, </w:t>
      </w:r>
      <w:r w:rsidR="00B0572B" w:rsidRPr="00911998">
        <w:rPr>
          <w:rFonts w:cs="Arial"/>
          <w:szCs w:val="24"/>
          <w:shd w:val="clear" w:color="auto" w:fill="FFFFFF"/>
        </w:rPr>
        <w:t>à savoir</w:t>
      </w:r>
      <w:r w:rsidR="00216FFD" w:rsidRPr="00911998">
        <w:rPr>
          <w:rFonts w:cs="Arial"/>
          <w:szCs w:val="24"/>
          <w:shd w:val="clear" w:color="auto" w:fill="FFFFFF"/>
        </w:rPr>
        <w:t xml:space="preserve"> un motif analogue reconnu dans la jurisprudence de la Cour suprême</w:t>
      </w:r>
      <w:r w:rsidR="000B42F1" w:rsidRPr="00911998">
        <w:rPr>
          <w:rStyle w:val="Appelnotedebasdep"/>
          <w:rFonts w:cs="Arial"/>
          <w:szCs w:val="24"/>
          <w:shd w:val="clear" w:color="auto" w:fill="FFFFFF"/>
        </w:rPr>
        <w:footnoteReference w:id="192"/>
      </w:r>
      <w:r w:rsidR="00216FFD" w:rsidRPr="00911998">
        <w:rPr>
          <w:rFonts w:cs="Arial"/>
          <w:szCs w:val="24"/>
          <w:shd w:val="clear" w:color="auto" w:fill="FFFFFF"/>
        </w:rPr>
        <w:t>.</w:t>
      </w:r>
    </w:p>
    <w:p w14:paraId="4F10E0B6" w14:textId="55425D41" w:rsidR="000B42F1" w:rsidRPr="00911998" w:rsidRDefault="000E5656" w:rsidP="000B42F1">
      <w:pPr>
        <w:pStyle w:val="Paragrsimple"/>
      </w:pPr>
      <w:r w:rsidRPr="00911998">
        <w:lastRenderedPageBreak/>
        <w:t>Les</w:t>
      </w:r>
      <w:r w:rsidR="000B42F1" w:rsidRPr="00911998">
        <w:t xml:space="preserve"> autorités </w:t>
      </w:r>
      <w:r w:rsidR="004F3F9B" w:rsidRPr="00911998">
        <w:t xml:space="preserve">provenant </w:t>
      </w:r>
      <w:r w:rsidR="000B42F1" w:rsidRPr="00911998">
        <w:t xml:space="preserve">d’autres </w:t>
      </w:r>
      <w:r w:rsidR="00B94B0A" w:rsidRPr="00911998">
        <w:t>juridictions</w:t>
      </w:r>
      <w:r w:rsidR="000B42F1" w:rsidRPr="00911998">
        <w:t xml:space="preserve"> </w:t>
      </w:r>
      <w:r w:rsidR="004F3F9B" w:rsidRPr="00911998">
        <w:t xml:space="preserve">qui traitent de la question </w:t>
      </w:r>
      <w:r w:rsidR="000B42F1" w:rsidRPr="00911998">
        <w:t>du statut familial à titre de motif analogue</w:t>
      </w:r>
      <w:r w:rsidR="000B42F1" w:rsidRPr="00911998">
        <w:rPr>
          <w:rStyle w:val="Appelnotedebasdep"/>
        </w:rPr>
        <w:footnoteReference w:id="193"/>
      </w:r>
      <w:r w:rsidR="000B42F1" w:rsidRPr="00911998">
        <w:t xml:space="preserve"> n’ont qu’une valeur persuasive et ne lient pas le Tribunal.</w:t>
      </w:r>
      <w:r w:rsidR="00CA12A9" w:rsidRPr="00911998">
        <w:t xml:space="preserve"> Il convient donc d’analyser la question du statut familial comme motif analogue en fonction </w:t>
      </w:r>
      <w:r w:rsidR="00E91B60" w:rsidRPr="00911998">
        <w:t>des principes</w:t>
      </w:r>
      <w:r w:rsidR="00CA12A9" w:rsidRPr="00911998">
        <w:t xml:space="preserve"> de l’arrêt </w:t>
      </w:r>
      <w:proofErr w:type="spellStart"/>
      <w:r w:rsidR="00CA12A9" w:rsidRPr="00911998">
        <w:rPr>
          <w:i/>
          <w:iCs/>
        </w:rPr>
        <w:t>Corbiere</w:t>
      </w:r>
      <w:proofErr w:type="spellEnd"/>
      <w:r w:rsidR="00CA12A9" w:rsidRPr="00911998">
        <w:t>.</w:t>
      </w:r>
    </w:p>
    <w:p w14:paraId="5D3FD601" w14:textId="2E8494CF" w:rsidR="00CA12A9" w:rsidRPr="00911998" w:rsidRDefault="00FE6265" w:rsidP="00CA12A9">
      <w:pPr>
        <w:pStyle w:val="Paragrsimple"/>
      </w:pPr>
      <w:r w:rsidRPr="00911998">
        <w:t>Toutefois, a</w:t>
      </w:r>
      <w:r w:rsidR="00CA12A9" w:rsidRPr="00911998">
        <w:t xml:space="preserve">vant de </w:t>
      </w:r>
      <w:r w:rsidR="00B94B0A" w:rsidRPr="00911998">
        <w:t>le</w:t>
      </w:r>
      <w:r w:rsidR="00CA12A9" w:rsidRPr="00911998">
        <w:t xml:space="preserve"> faire, il </w:t>
      </w:r>
      <w:r w:rsidR="00E91B60" w:rsidRPr="00911998">
        <w:t xml:space="preserve">convient de </w:t>
      </w:r>
      <w:r w:rsidR="00CA12A9" w:rsidRPr="00911998">
        <w:t xml:space="preserve">préciser ce que constitue </w:t>
      </w:r>
      <w:r w:rsidR="00E91B60" w:rsidRPr="00911998">
        <w:t>le</w:t>
      </w:r>
      <w:r w:rsidR="00CA12A9" w:rsidRPr="00911998">
        <w:t xml:space="preserve"> «</w:t>
      </w:r>
      <w:r w:rsidR="00B94B0A" w:rsidRPr="00911998">
        <w:t> </w:t>
      </w:r>
      <w:r w:rsidR="00CA12A9" w:rsidRPr="00911998">
        <w:t>statut familial</w:t>
      </w:r>
      <w:r w:rsidR="00B94B0A" w:rsidRPr="00911998">
        <w:t> </w:t>
      </w:r>
      <w:r w:rsidR="00CA12A9" w:rsidRPr="00911998">
        <w:t>».</w:t>
      </w:r>
      <w:r w:rsidR="00F86948" w:rsidRPr="00911998">
        <w:t xml:space="preserve"> </w:t>
      </w:r>
      <w:r w:rsidR="000F6BA9" w:rsidRPr="00911998">
        <w:t>D</w:t>
      </w:r>
      <w:r w:rsidR="00F86948" w:rsidRPr="00911998">
        <w:t xml:space="preserve">eux acceptions de </w:t>
      </w:r>
      <w:r w:rsidR="00E91B60" w:rsidRPr="00911998">
        <w:t>la</w:t>
      </w:r>
      <w:r w:rsidR="00F86948" w:rsidRPr="00911998">
        <w:t xml:space="preserve"> notion sont </w:t>
      </w:r>
      <w:r w:rsidR="00341E2A" w:rsidRPr="00911998">
        <w:t>invoqu</w:t>
      </w:r>
      <w:r w:rsidR="00F86948" w:rsidRPr="00911998">
        <w:t xml:space="preserve">ées par les Demandeurs. </w:t>
      </w:r>
    </w:p>
    <w:p w14:paraId="3B8A8A67" w14:textId="472800FE" w:rsidR="00B641EC" w:rsidRPr="00911998" w:rsidRDefault="00A25650" w:rsidP="00A25650">
      <w:pPr>
        <w:pStyle w:val="Paragrsimple"/>
      </w:pPr>
      <w:r w:rsidRPr="00911998">
        <w:t xml:space="preserve">Pour les Demandeurs dans le </w:t>
      </w:r>
      <w:r w:rsidR="00E91B60" w:rsidRPr="00911998">
        <w:t>D</w:t>
      </w:r>
      <w:r w:rsidRPr="00911998">
        <w:t xml:space="preserve">ossier </w:t>
      </w:r>
      <w:proofErr w:type="gramStart"/>
      <w:r w:rsidR="00153EC1">
        <w:t>M...</w:t>
      </w:r>
      <w:proofErr w:type="gramEnd"/>
      <w:r w:rsidR="00E91B60" w:rsidRPr="00911998">
        <w:noBreakHyphen/>
      </w:r>
      <w:r w:rsidR="000032F7">
        <w:t>P...</w:t>
      </w:r>
      <w:r w:rsidR="00E91B60" w:rsidRPr="00911998">
        <w:noBreakHyphen/>
      </w:r>
      <w:r w:rsidR="000032F7">
        <w:t>D...</w:t>
      </w:r>
      <w:r w:rsidRPr="00911998">
        <w:t>, le statut familial correspond au fait d’être parent</w:t>
      </w:r>
      <w:r w:rsidR="00B641EC" w:rsidRPr="00911998">
        <w:rPr>
          <w:rStyle w:val="Appelnotedebasdep"/>
        </w:rPr>
        <w:footnoteReference w:id="194"/>
      </w:r>
      <w:r w:rsidRPr="00911998">
        <w:t xml:space="preserve">. </w:t>
      </w:r>
      <w:r w:rsidR="00B641EC" w:rsidRPr="00911998">
        <w:t xml:space="preserve">Or, cette acception de la notion de statut familial n’est pas utile pour les Demandeurs en l’espèce. Il en est </w:t>
      </w:r>
      <w:r w:rsidR="009352DC" w:rsidRPr="00911998">
        <w:t>ainsi,</w:t>
      </w:r>
      <w:r w:rsidR="00B641EC" w:rsidRPr="00911998">
        <w:t xml:space="preserve"> car les dispositions contestées n’opèrent aucune distinction </w:t>
      </w:r>
      <w:r w:rsidR="00F325AF" w:rsidRPr="00911998">
        <w:t>fondé</w:t>
      </w:r>
      <w:r w:rsidR="00762ABC" w:rsidRPr="00911998">
        <w:t>e</w:t>
      </w:r>
      <w:r w:rsidR="00F325AF" w:rsidRPr="00911998">
        <w:t xml:space="preserve"> sur le fait </w:t>
      </w:r>
      <w:r w:rsidR="00B641EC" w:rsidRPr="00911998">
        <w:t xml:space="preserve">qu’une personne </w:t>
      </w:r>
      <w:r w:rsidR="00416904" w:rsidRPr="00911998">
        <w:t xml:space="preserve">soit </w:t>
      </w:r>
      <w:r w:rsidR="00B641EC" w:rsidRPr="00911998">
        <w:t>un parent ou encore qu’elle se trouve dans une relation de parent et enfant.</w:t>
      </w:r>
    </w:p>
    <w:p w14:paraId="5EC3BA91" w14:textId="655A29A2" w:rsidR="00517825" w:rsidRPr="00911998" w:rsidRDefault="00F325AF" w:rsidP="00517825">
      <w:pPr>
        <w:pStyle w:val="Paragrsimple"/>
      </w:pPr>
      <w:r w:rsidRPr="00911998">
        <w:t>En effet, t</w:t>
      </w:r>
      <w:r w:rsidR="00517825" w:rsidRPr="00911998">
        <w:t xml:space="preserve">ous les </w:t>
      </w:r>
      <w:r w:rsidR="00E91B60" w:rsidRPr="00911998">
        <w:t xml:space="preserve">parents </w:t>
      </w:r>
      <w:r w:rsidR="00517825" w:rsidRPr="00911998">
        <w:t>membres du groupe revendicateur sont les parents de leurs enfants respectifs. Il en est de même pour tou</w:t>
      </w:r>
      <w:r w:rsidRPr="00911998">
        <w:t>s</w:t>
      </w:r>
      <w:r w:rsidR="00517825" w:rsidRPr="00911998">
        <w:t xml:space="preserve"> les </w:t>
      </w:r>
      <w:r w:rsidR="00E91B60" w:rsidRPr="00911998">
        <w:t xml:space="preserve">parents </w:t>
      </w:r>
      <w:r w:rsidR="00517825" w:rsidRPr="00911998">
        <w:t xml:space="preserve">membres du groupe de comparaison. </w:t>
      </w:r>
      <w:r w:rsidRPr="00911998">
        <w:t>Certes, l</w:t>
      </w:r>
      <w:r w:rsidR="00517825" w:rsidRPr="00911998">
        <w:t>es Demandeurs</w:t>
      </w:r>
      <w:r w:rsidR="000E5656" w:rsidRPr="00911998">
        <w:t xml:space="preserve"> individuels</w:t>
      </w:r>
      <w:r w:rsidR="00517825" w:rsidRPr="00911998">
        <w:t xml:space="preserve"> réclament la reconnaissance juridique de leur relation de parent avec leurs enfants. </w:t>
      </w:r>
      <w:r w:rsidRPr="00911998">
        <w:t>Toutefois, c</w:t>
      </w:r>
      <w:r w:rsidR="00517825" w:rsidRPr="00911998">
        <w:t xml:space="preserve">ette reconnaissance n’est pas refusée à certains Demandeurs au motif qu’ils sont des </w:t>
      </w:r>
      <w:r w:rsidR="00517825" w:rsidRPr="00911998">
        <w:rPr>
          <w:u w:val="single"/>
        </w:rPr>
        <w:t>parents</w:t>
      </w:r>
      <w:r w:rsidR="00416904" w:rsidRPr="00911998">
        <w:t>. Elle est refusée</w:t>
      </w:r>
      <w:r w:rsidR="00517825" w:rsidRPr="00911998">
        <w:t xml:space="preserve"> parce que leur modèle familial comprend plus </w:t>
      </w:r>
      <w:r w:rsidR="00E346DF" w:rsidRPr="00911998">
        <w:t xml:space="preserve">de </w:t>
      </w:r>
      <w:r w:rsidR="00517825" w:rsidRPr="00911998">
        <w:t>deux parents.</w:t>
      </w:r>
    </w:p>
    <w:p w14:paraId="5BD5360B" w14:textId="3BBE9A06" w:rsidR="00A25650" w:rsidRPr="00911998" w:rsidRDefault="00B641EC" w:rsidP="00A25650">
      <w:pPr>
        <w:pStyle w:val="Paragrsimple"/>
      </w:pPr>
      <w:r w:rsidRPr="00911998">
        <w:t xml:space="preserve"> </w:t>
      </w:r>
      <w:r w:rsidR="00762ABC" w:rsidRPr="00911998">
        <w:t xml:space="preserve">Les Demandeurs dans le </w:t>
      </w:r>
      <w:r w:rsidR="008F5FBC" w:rsidRPr="00911998">
        <w:t>D</w:t>
      </w:r>
      <w:r w:rsidR="00762ABC" w:rsidRPr="00911998">
        <w:t xml:space="preserve">ossier de la Coalition présentent une acception différente du concept de statut familial. Pour eux, </w:t>
      </w:r>
      <w:r w:rsidR="00E91B60" w:rsidRPr="00911998">
        <w:t>cette notion</w:t>
      </w:r>
      <w:r w:rsidR="00762ABC" w:rsidRPr="00911998">
        <w:t xml:space="preserve"> comprend «</w:t>
      </w:r>
      <w:r w:rsidR="00B94B0A" w:rsidRPr="00911998">
        <w:t> </w:t>
      </w:r>
      <w:r w:rsidR="00762ABC" w:rsidRPr="00911998">
        <w:t xml:space="preserve">l’appartenance d’un individu à un modèle de famille en particulier, incluant une famille </w:t>
      </w:r>
      <w:proofErr w:type="spellStart"/>
      <w:r w:rsidR="00762ABC" w:rsidRPr="00911998">
        <w:t>pluriparentale</w:t>
      </w:r>
      <w:proofErr w:type="spellEnd"/>
      <w:r w:rsidR="00B94B0A" w:rsidRPr="00911998">
        <w:t> </w:t>
      </w:r>
      <w:r w:rsidR="00762ABC" w:rsidRPr="00911998">
        <w:t>»</w:t>
      </w:r>
      <w:r w:rsidR="00762ABC" w:rsidRPr="00911998">
        <w:rPr>
          <w:rStyle w:val="Appelnotedebasdep"/>
        </w:rPr>
        <w:footnoteReference w:id="195"/>
      </w:r>
      <w:r w:rsidR="00762ABC" w:rsidRPr="00911998">
        <w:t xml:space="preserve">. Cette </w:t>
      </w:r>
      <w:r w:rsidR="00350F19" w:rsidRPr="00911998">
        <w:t>acception du statut familial est beaucoup plus utile en l’espèce</w:t>
      </w:r>
      <w:r w:rsidR="00D43F0C" w:rsidRPr="00911998">
        <w:t>,</w:t>
      </w:r>
      <w:r w:rsidR="00350F19" w:rsidRPr="00911998">
        <w:t xml:space="preserve"> car la loi </w:t>
      </w:r>
      <w:r w:rsidR="00E91B60" w:rsidRPr="00911998">
        <w:t xml:space="preserve">opère </w:t>
      </w:r>
      <w:r w:rsidR="00350F19" w:rsidRPr="00911998">
        <w:t xml:space="preserve">une distinction entre divers modèles familiaux. </w:t>
      </w:r>
      <w:r w:rsidR="00D43F0C" w:rsidRPr="00911998">
        <w:t>En effet, d</w:t>
      </w:r>
      <w:r w:rsidR="00350F19" w:rsidRPr="00911998">
        <w:t xml:space="preserve">ans le cas des familles </w:t>
      </w:r>
      <w:r w:rsidR="008F5FBC" w:rsidRPr="00911998">
        <w:t>bip</w:t>
      </w:r>
      <w:r w:rsidR="00350F19" w:rsidRPr="00911998">
        <w:t>arentales</w:t>
      </w:r>
      <w:r w:rsidR="009352DC" w:rsidRPr="00911998">
        <w:t>,</w:t>
      </w:r>
      <w:r w:rsidR="00350F19" w:rsidRPr="00911998">
        <w:t xml:space="preserve"> le droit de la filiation permet, en principe, la reconnaissance juridique des liens entre tous les parents et leurs enfants. Ce n’est pas le cas, toutefois, pour ceux qui adoptent un modèle familial </w:t>
      </w:r>
      <w:proofErr w:type="spellStart"/>
      <w:r w:rsidR="00350F19" w:rsidRPr="00911998">
        <w:t>pluriparental</w:t>
      </w:r>
      <w:proofErr w:type="spellEnd"/>
      <w:r w:rsidR="00350F19" w:rsidRPr="00911998">
        <w:t>.</w:t>
      </w:r>
    </w:p>
    <w:p w14:paraId="767331B9" w14:textId="5B130093" w:rsidR="00350F19" w:rsidRPr="00911998" w:rsidRDefault="00D43F0C" w:rsidP="000E3940">
      <w:pPr>
        <w:pStyle w:val="Paragrsimple"/>
      </w:pPr>
      <w:r w:rsidRPr="00911998">
        <w:t>Se pose alors la question </w:t>
      </w:r>
      <w:r w:rsidR="00804462" w:rsidRPr="00911998">
        <w:t>de savoir si</w:t>
      </w:r>
      <w:r w:rsidRPr="00911998">
        <w:t xml:space="preserve"> l</w:t>
      </w:r>
      <w:r w:rsidR="006137E2" w:rsidRPr="00911998">
        <w:t>e</w:t>
      </w:r>
      <w:r w:rsidRPr="00911998">
        <w:t xml:space="preserve"> statut familial</w:t>
      </w:r>
      <w:r w:rsidR="00804462" w:rsidRPr="00911998">
        <w:t>,</w:t>
      </w:r>
      <w:r w:rsidRPr="00911998">
        <w:t xml:space="preserve"> dans le sens de l’appartenance à un modèle familial particulier</w:t>
      </w:r>
      <w:r w:rsidR="00804462" w:rsidRPr="00911998">
        <w:t>,</w:t>
      </w:r>
      <w:r w:rsidRPr="00911998">
        <w:t xml:space="preserve"> constitue un motif de discrimination analogue </w:t>
      </w:r>
      <w:r w:rsidR="00804462" w:rsidRPr="00911998">
        <w:t>à ceux</w:t>
      </w:r>
      <w:r w:rsidRPr="00911998">
        <w:t xml:space="preserve"> énumérés au paragraphe 15(1) de la </w:t>
      </w:r>
      <w:r w:rsidRPr="00911998">
        <w:rPr>
          <w:i/>
          <w:iCs/>
        </w:rPr>
        <w:t>Charte canadienne</w:t>
      </w:r>
      <w:r w:rsidR="00062B8F" w:rsidRPr="00911998">
        <w:t>.</w:t>
      </w:r>
      <w:r w:rsidRPr="00911998">
        <w:t xml:space="preserve"> Une réponse affirmative s’impose. Voici pourquoi.</w:t>
      </w:r>
    </w:p>
    <w:p w14:paraId="31967184" w14:textId="7C0F59EF" w:rsidR="00D43F0C" w:rsidRPr="00911998" w:rsidRDefault="009B6A6D" w:rsidP="006137E2">
      <w:pPr>
        <w:pStyle w:val="Paragrsimple"/>
      </w:pPr>
      <w:r w:rsidRPr="00911998">
        <w:lastRenderedPageBreak/>
        <w:t xml:space="preserve">Comme mentionné par les juges </w:t>
      </w:r>
      <w:proofErr w:type="spellStart"/>
      <w:r w:rsidRPr="00911998">
        <w:t>McLachlin</w:t>
      </w:r>
      <w:proofErr w:type="spellEnd"/>
      <w:r w:rsidRPr="00911998">
        <w:t xml:space="preserve"> et Bastarache dans l’arrêt </w:t>
      </w:r>
      <w:proofErr w:type="spellStart"/>
      <w:r w:rsidRPr="00911998">
        <w:rPr>
          <w:i/>
          <w:iCs/>
        </w:rPr>
        <w:t>Corbiere</w:t>
      </w:r>
      <w:proofErr w:type="spellEnd"/>
      <w:r w:rsidRPr="00911998">
        <w:t>, l’objet de l’</w:t>
      </w:r>
      <w:r w:rsidR="00A60659" w:rsidRPr="00911998">
        <w:t>analyse lorsqu’il s’agit d’identifier des</w:t>
      </w:r>
      <w:r w:rsidRPr="00911998">
        <w:t xml:space="preserve"> motif</w:t>
      </w:r>
      <w:r w:rsidR="00A60659" w:rsidRPr="00911998">
        <w:t>s de discrimination</w:t>
      </w:r>
      <w:r w:rsidRPr="00911998">
        <w:t xml:space="preserve"> analogues consiste à </w:t>
      </w:r>
      <w:r w:rsidR="00A60659" w:rsidRPr="00911998">
        <w:t>déceler</w:t>
      </w:r>
      <w:r w:rsidRPr="00911998">
        <w:t xml:space="preserve"> des caractéristiques personnelles immuables ou considéré</w:t>
      </w:r>
      <w:r w:rsidR="00A60659" w:rsidRPr="00911998">
        <w:t>e</w:t>
      </w:r>
      <w:r w:rsidRPr="00911998">
        <w:t xml:space="preserve">s immuables dans le sens qu’ils sont modifiables uniquement à un prix inacceptable du point de </w:t>
      </w:r>
      <w:r w:rsidR="00545745" w:rsidRPr="00911998">
        <w:t xml:space="preserve">vue de </w:t>
      </w:r>
      <w:r w:rsidR="00B04054" w:rsidRPr="00911998">
        <w:t xml:space="preserve">l’identité personnelle. </w:t>
      </w:r>
      <w:r w:rsidR="00A60659" w:rsidRPr="00911998">
        <w:t>L</w:t>
      </w:r>
      <w:r w:rsidR="00B04054" w:rsidRPr="00911998">
        <w:t>’appartenance à un modèle familial</w:t>
      </w:r>
      <w:r w:rsidR="00A60659" w:rsidRPr="00911998">
        <w:t xml:space="preserve"> particulier constitue une telle caractéristique personnelle</w:t>
      </w:r>
      <w:r w:rsidR="00B04054" w:rsidRPr="00911998">
        <w:t>.</w:t>
      </w:r>
    </w:p>
    <w:p w14:paraId="26118756" w14:textId="09DC0F89" w:rsidR="00B04054" w:rsidRPr="00911998" w:rsidRDefault="00B04054" w:rsidP="00B04054">
      <w:pPr>
        <w:pStyle w:val="Paragrsimple"/>
      </w:pPr>
      <w:r w:rsidRPr="00911998">
        <w:t>En effet, du point de vue de l’enfant</w:t>
      </w:r>
      <w:r w:rsidR="00D27BE9" w:rsidRPr="00911998">
        <w:t xml:space="preserve">, la famille à laquelle il appartient est une caractéristique personnelle </w:t>
      </w:r>
      <w:r w:rsidR="00062B8F" w:rsidRPr="00911998">
        <w:t>parfaite</w:t>
      </w:r>
      <w:r w:rsidR="00D27BE9" w:rsidRPr="00911998">
        <w:t>ment immuable. Chose certaine, on ne choisit pas ses parents</w:t>
      </w:r>
      <w:r w:rsidR="00B94B0A" w:rsidRPr="00911998">
        <w:t> </w:t>
      </w:r>
      <w:r w:rsidR="00D27BE9" w:rsidRPr="00911998">
        <w:t>!</w:t>
      </w:r>
    </w:p>
    <w:p w14:paraId="7E28BFB4" w14:textId="77A9A2E7" w:rsidR="00D27BE9" w:rsidRPr="00911998" w:rsidRDefault="00552A22" w:rsidP="00D27BE9">
      <w:pPr>
        <w:pStyle w:val="Paragrsimple"/>
      </w:pPr>
      <w:r>
        <w:t>Y</w:t>
      </w:r>
      <w:r w:rsidR="00D27BE9" w:rsidRPr="00911998">
        <w:t xml:space="preserve">, </w:t>
      </w:r>
      <w:r w:rsidR="00D90957">
        <w:t>Z</w:t>
      </w:r>
      <w:r w:rsidR="00D27BE9" w:rsidRPr="00911998">
        <w:t xml:space="preserve">, </w:t>
      </w:r>
      <w:r w:rsidR="00D90957">
        <w:t>A</w:t>
      </w:r>
      <w:r w:rsidR="00D27BE9" w:rsidRPr="00911998">
        <w:t xml:space="preserve"> et </w:t>
      </w:r>
      <w:r w:rsidR="00153EC1">
        <w:t>X</w:t>
      </w:r>
      <w:r w:rsidR="00D27BE9" w:rsidRPr="00911998">
        <w:t xml:space="preserve"> n’ont pas choisi de naître dans des familles </w:t>
      </w:r>
      <w:proofErr w:type="spellStart"/>
      <w:r w:rsidR="00D27BE9" w:rsidRPr="00911998">
        <w:t>pluriparentales</w:t>
      </w:r>
      <w:proofErr w:type="spellEnd"/>
      <w:r w:rsidR="00D27BE9" w:rsidRPr="00911998">
        <w:t>. Ils ont chacun trois parents. C’est leur réalité et ils ne peuvent rien faire pour la changer.</w:t>
      </w:r>
      <w:r w:rsidR="009237A5" w:rsidRPr="00911998">
        <w:t xml:space="preserve"> </w:t>
      </w:r>
    </w:p>
    <w:p w14:paraId="22152B99" w14:textId="37F8B626" w:rsidR="0021100B" w:rsidRPr="00911998" w:rsidRDefault="002F09AE" w:rsidP="00BD3349">
      <w:pPr>
        <w:pStyle w:val="Paragrsimple"/>
      </w:pPr>
      <w:r w:rsidRPr="00911998">
        <w:t>En ce qui concerne les</w:t>
      </w:r>
      <w:r w:rsidR="009237A5" w:rsidRPr="00911998">
        <w:t xml:space="preserve"> Demandeurs individuels, pour des raisons qui leur sont profondément </w:t>
      </w:r>
      <w:r w:rsidR="009352DC" w:rsidRPr="00911998">
        <w:t>personnelles</w:t>
      </w:r>
      <w:r w:rsidR="009237A5" w:rsidRPr="00911998">
        <w:t xml:space="preserve">, ils </w:t>
      </w:r>
      <w:r w:rsidR="00C41E05" w:rsidRPr="00911998">
        <w:t>participent tous à un</w:t>
      </w:r>
      <w:r w:rsidR="009237A5" w:rsidRPr="00911998">
        <w:t xml:space="preserve"> projet parental à trois pour élever leurs enfants. </w:t>
      </w:r>
      <w:r w:rsidRPr="00911998">
        <w:t xml:space="preserve">Leur appartenance à un modèle familial particulier, à savoir une famille </w:t>
      </w:r>
      <w:proofErr w:type="spellStart"/>
      <w:r w:rsidRPr="00911998">
        <w:t>pluriparentale</w:t>
      </w:r>
      <w:proofErr w:type="spellEnd"/>
      <w:r w:rsidRPr="00911998">
        <w:t xml:space="preserve">, représente une caractéristique personnelle qui doit être considérée </w:t>
      </w:r>
      <w:r w:rsidR="00062B8F" w:rsidRPr="00911998">
        <w:t xml:space="preserve">comme </w:t>
      </w:r>
      <w:r w:rsidRPr="00911998">
        <w:t>immuable.</w:t>
      </w:r>
    </w:p>
    <w:p w14:paraId="5C696E5C" w14:textId="35E08ACA" w:rsidR="006C0A51" w:rsidRPr="00911998" w:rsidRDefault="0040421E" w:rsidP="00887325">
      <w:pPr>
        <w:pStyle w:val="Paragrsimple"/>
      </w:pPr>
      <w:r w:rsidRPr="00911998">
        <w:t xml:space="preserve">La situation </w:t>
      </w:r>
      <w:r w:rsidR="00307408" w:rsidRPr="00911998">
        <w:t xml:space="preserve">de la famille </w:t>
      </w:r>
      <w:r w:rsidR="000032F7">
        <w:t>Pa...</w:t>
      </w:r>
      <w:r w:rsidR="00307408" w:rsidRPr="00911998">
        <w:noBreakHyphen/>
      </w:r>
      <w:proofErr w:type="gramStart"/>
      <w:r w:rsidR="00E13A68">
        <w:t>J...</w:t>
      </w:r>
      <w:proofErr w:type="gramEnd"/>
      <w:r w:rsidR="00307408" w:rsidRPr="00911998">
        <w:noBreakHyphen/>
      </w:r>
      <w:r w:rsidR="00E13A68">
        <w:t>Je...</w:t>
      </w:r>
      <w:r w:rsidR="00307408" w:rsidRPr="00911998">
        <w:t xml:space="preserve"> </w:t>
      </w:r>
      <w:r w:rsidRPr="00911998">
        <w:t xml:space="preserve">l’illustre bien. </w:t>
      </w:r>
      <w:r w:rsidR="00062B8F" w:rsidRPr="00911998">
        <w:t>En tant que</w:t>
      </w:r>
      <w:r w:rsidR="00EC0D04" w:rsidRPr="00911998">
        <w:t xml:space="preserve"> femmes lesbiennes vivant en couple</w:t>
      </w:r>
      <w:r w:rsidR="00737DF4" w:rsidRPr="00911998">
        <w:t>,</w:t>
      </w:r>
      <w:r w:rsidR="00EC0D04" w:rsidRPr="00911998">
        <w:t xml:space="preserve"> </w:t>
      </w:r>
      <w:r w:rsidR="00307408" w:rsidRPr="00911998">
        <w:t xml:space="preserve">mesdames </w:t>
      </w:r>
      <w:r w:rsidR="000032F7">
        <w:t>Pa...</w:t>
      </w:r>
      <w:r w:rsidR="00307408" w:rsidRPr="00911998">
        <w:t xml:space="preserve"> et </w:t>
      </w:r>
      <w:proofErr w:type="gramStart"/>
      <w:r w:rsidR="00E13A68">
        <w:t>J...</w:t>
      </w:r>
      <w:proofErr w:type="gramEnd"/>
      <w:r w:rsidR="00307408" w:rsidRPr="00911998">
        <w:t xml:space="preserve"> </w:t>
      </w:r>
      <w:r w:rsidR="00EC0D04" w:rsidRPr="00911998">
        <w:t xml:space="preserve">caressaient le rêve </w:t>
      </w:r>
      <w:r w:rsidR="00725F30" w:rsidRPr="00911998">
        <w:t>d</w:t>
      </w:r>
      <w:r w:rsidR="00737DF4" w:rsidRPr="00911998">
        <w:t>’</w:t>
      </w:r>
      <w:r w:rsidR="001E2EBE" w:rsidRPr="00911998">
        <w:t>élever</w:t>
      </w:r>
      <w:r w:rsidR="00737DF4" w:rsidRPr="00911998">
        <w:t xml:space="preserve"> ensemble des enfants</w:t>
      </w:r>
      <w:r w:rsidR="00EC0D04" w:rsidRPr="00911998">
        <w:t xml:space="preserve">. </w:t>
      </w:r>
      <w:r w:rsidR="00725F30" w:rsidRPr="00911998">
        <w:t>Pour ce faire, elles avaient besoin de l’apport de forces génétiques</w:t>
      </w:r>
      <w:r w:rsidR="002F09AE" w:rsidRPr="00911998">
        <w:t xml:space="preserve"> d’un homme</w:t>
      </w:r>
      <w:r w:rsidR="00725F30" w:rsidRPr="00911998">
        <w:t>.</w:t>
      </w:r>
      <w:r w:rsidR="0021100B" w:rsidRPr="00911998">
        <w:t xml:space="preserve"> </w:t>
      </w:r>
      <w:r w:rsidR="00FA7F83" w:rsidRPr="00911998">
        <w:t>Compte tenu de l’importance de leurs pères respecti</w:t>
      </w:r>
      <w:r w:rsidR="001E2EBE" w:rsidRPr="00911998">
        <w:t>fs</w:t>
      </w:r>
      <w:r w:rsidR="00062B8F" w:rsidRPr="00911998">
        <w:t xml:space="preserve"> dans leurs vies</w:t>
      </w:r>
      <w:r w:rsidR="00FA7F83" w:rsidRPr="00911998">
        <w:t xml:space="preserve">, il </w:t>
      </w:r>
      <w:r w:rsidR="00737DF4" w:rsidRPr="00911998">
        <w:t>était</w:t>
      </w:r>
      <w:r w:rsidR="00FA7F83" w:rsidRPr="00911998">
        <w:t xml:space="preserve"> </w:t>
      </w:r>
      <w:r w:rsidR="00737DF4" w:rsidRPr="00911998">
        <w:t xml:space="preserve">très </w:t>
      </w:r>
      <w:r w:rsidR="00FA7F83" w:rsidRPr="00911998">
        <w:t xml:space="preserve">important </w:t>
      </w:r>
      <w:r w:rsidR="00062B8F" w:rsidRPr="00911998">
        <w:t xml:space="preserve">pour ces dernières </w:t>
      </w:r>
      <w:r w:rsidR="00FA7F83" w:rsidRPr="00911998">
        <w:t xml:space="preserve">que </w:t>
      </w:r>
      <w:r w:rsidR="00062B8F" w:rsidRPr="00911998">
        <w:t>l</w:t>
      </w:r>
      <w:r w:rsidR="00FA7F83" w:rsidRPr="00911998">
        <w:t xml:space="preserve">e donneur de forces génétiques </w:t>
      </w:r>
      <w:r w:rsidR="00B94B0A" w:rsidRPr="00911998">
        <w:t>—</w:t>
      </w:r>
      <w:r w:rsidR="00FA7F83" w:rsidRPr="00911998">
        <w:t xml:space="preserve"> en l’occurrence </w:t>
      </w:r>
      <w:r w:rsidR="00737DF4" w:rsidRPr="00911998">
        <w:t xml:space="preserve">monsieur </w:t>
      </w:r>
      <w:r w:rsidR="00E13A68">
        <w:t>Je...</w:t>
      </w:r>
      <w:r w:rsidR="00FA7F83" w:rsidRPr="00911998">
        <w:t xml:space="preserve"> </w:t>
      </w:r>
      <w:r w:rsidR="00B94B0A" w:rsidRPr="00911998">
        <w:t>—</w:t>
      </w:r>
      <w:r w:rsidR="00FA7F83" w:rsidRPr="00911998">
        <w:t xml:space="preserve"> soit impliqué dans la vie de leur enfant, et ce, à titre de </w:t>
      </w:r>
      <w:r w:rsidR="00FA7F83" w:rsidRPr="00911998">
        <w:rPr>
          <w:u w:val="single"/>
        </w:rPr>
        <w:t>père</w:t>
      </w:r>
      <w:r w:rsidR="00FA7F83" w:rsidRPr="00911998">
        <w:t xml:space="preserve">. </w:t>
      </w:r>
    </w:p>
    <w:p w14:paraId="5AECC761" w14:textId="71F46371" w:rsidR="00307408" w:rsidRPr="00911998" w:rsidRDefault="00307408" w:rsidP="00887325">
      <w:pPr>
        <w:pStyle w:val="Paragrsimple"/>
        <w:rPr>
          <w:rFonts w:cs="Arial"/>
          <w:szCs w:val="24"/>
        </w:rPr>
      </w:pPr>
      <w:r w:rsidRPr="00911998">
        <w:rPr>
          <w:rFonts w:cs="Arial"/>
          <w:szCs w:val="24"/>
        </w:rPr>
        <w:t>Or, d</w:t>
      </w:r>
      <w:r w:rsidR="00737DF4" w:rsidRPr="00911998">
        <w:rPr>
          <w:rFonts w:cs="Arial"/>
          <w:szCs w:val="24"/>
        </w:rPr>
        <w:t xml:space="preserve">e quel droit </w:t>
      </w:r>
      <w:r w:rsidR="001E2EBE" w:rsidRPr="00911998">
        <w:rPr>
          <w:rFonts w:cs="Arial"/>
          <w:szCs w:val="24"/>
        </w:rPr>
        <w:t>l’</w:t>
      </w:r>
      <w:r w:rsidR="009352DC" w:rsidRPr="00911998">
        <w:rPr>
          <w:rFonts w:cs="Arial"/>
          <w:szCs w:val="24"/>
        </w:rPr>
        <w:t>État</w:t>
      </w:r>
      <w:r w:rsidR="00737DF4" w:rsidRPr="00911998">
        <w:rPr>
          <w:rFonts w:cs="Arial"/>
          <w:szCs w:val="24"/>
        </w:rPr>
        <w:t xml:space="preserve"> p</w:t>
      </w:r>
      <w:r w:rsidR="002F09AE" w:rsidRPr="00911998">
        <w:rPr>
          <w:rFonts w:cs="Arial"/>
          <w:szCs w:val="24"/>
        </w:rPr>
        <w:t>eu</w:t>
      </w:r>
      <w:r w:rsidR="00737DF4" w:rsidRPr="00911998">
        <w:rPr>
          <w:rFonts w:cs="Arial"/>
          <w:szCs w:val="24"/>
        </w:rPr>
        <w:t>t</w:t>
      </w:r>
      <w:r w:rsidR="00737DF4" w:rsidRPr="00911998">
        <w:rPr>
          <w:rFonts w:cs="Arial"/>
          <w:szCs w:val="24"/>
        </w:rPr>
        <w:noBreakHyphen/>
        <w:t>il légitimement</w:t>
      </w:r>
      <w:r w:rsidRPr="00911998">
        <w:rPr>
          <w:rFonts w:cs="Arial"/>
          <w:szCs w:val="24"/>
        </w:rPr>
        <w:t xml:space="preserve"> s’attendre :</w:t>
      </w:r>
    </w:p>
    <w:p w14:paraId="3EC24683" w14:textId="16BE311F" w:rsidR="00307408" w:rsidRPr="00911998" w:rsidRDefault="005B58F2" w:rsidP="000F6BA9">
      <w:pPr>
        <w:pStyle w:val="Paragraphedeliste"/>
        <w:numPr>
          <w:ilvl w:val="0"/>
          <w:numId w:val="20"/>
        </w:numPr>
        <w:ind w:left="714" w:hanging="357"/>
        <w:contextualSpacing w:val="0"/>
        <w:jc w:val="both"/>
        <w:rPr>
          <w:rFonts w:ascii="Arial" w:hAnsi="Arial" w:cs="Arial"/>
          <w:sz w:val="24"/>
          <w:szCs w:val="24"/>
        </w:rPr>
      </w:pPr>
      <w:proofErr w:type="gramStart"/>
      <w:r w:rsidRPr="00911998">
        <w:rPr>
          <w:rFonts w:ascii="Arial" w:hAnsi="Arial" w:cs="Arial"/>
          <w:sz w:val="24"/>
          <w:szCs w:val="24"/>
        </w:rPr>
        <w:t>que</w:t>
      </w:r>
      <w:proofErr w:type="gramEnd"/>
      <w:r w:rsidR="00737DF4" w:rsidRPr="00911998">
        <w:rPr>
          <w:rFonts w:ascii="Arial" w:hAnsi="Arial" w:cs="Arial"/>
          <w:sz w:val="24"/>
          <w:szCs w:val="24"/>
        </w:rPr>
        <w:t xml:space="preserve"> mesdames </w:t>
      </w:r>
      <w:r w:rsidR="000032F7">
        <w:rPr>
          <w:rFonts w:ascii="Arial" w:hAnsi="Arial" w:cs="Arial"/>
          <w:sz w:val="24"/>
          <w:szCs w:val="24"/>
        </w:rPr>
        <w:t>Pa...</w:t>
      </w:r>
      <w:r w:rsidR="00737DF4" w:rsidRPr="00911998">
        <w:rPr>
          <w:rFonts w:ascii="Arial" w:hAnsi="Arial" w:cs="Arial"/>
          <w:sz w:val="24"/>
          <w:szCs w:val="24"/>
        </w:rPr>
        <w:t xml:space="preserve"> et </w:t>
      </w:r>
      <w:r w:rsidR="00E13A68">
        <w:rPr>
          <w:rFonts w:ascii="Arial" w:hAnsi="Arial" w:cs="Arial"/>
          <w:sz w:val="24"/>
          <w:szCs w:val="24"/>
        </w:rPr>
        <w:t>J...</w:t>
      </w:r>
      <w:r w:rsidR="00737DF4" w:rsidRPr="00911998">
        <w:rPr>
          <w:rFonts w:ascii="Arial" w:hAnsi="Arial" w:cs="Arial"/>
          <w:sz w:val="24"/>
          <w:szCs w:val="24"/>
        </w:rPr>
        <w:t xml:space="preserve"> renoncent à la reconnaissance de monsieur </w:t>
      </w:r>
      <w:r w:rsidR="00E13A68">
        <w:rPr>
          <w:rFonts w:ascii="Arial" w:hAnsi="Arial" w:cs="Arial"/>
          <w:sz w:val="24"/>
          <w:szCs w:val="24"/>
        </w:rPr>
        <w:t>Je...</w:t>
      </w:r>
      <w:r w:rsidR="00737DF4" w:rsidRPr="00911998">
        <w:rPr>
          <w:rFonts w:ascii="Arial" w:hAnsi="Arial" w:cs="Arial"/>
          <w:sz w:val="24"/>
          <w:szCs w:val="24"/>
        </w:rPr>
        <w:t xml:space="preserve"> comme </w:t>
      </w:r>
      <w:r w:rsidRPr="00911998">
        <w:rPr>
          <w:rFonts w:ascii="Arial" w:hAnsi="Arial" w:cs="Arial"/>
          <w:sz w:val="24"/>
          <w:szCs w:val="24"/>
        </w:rPr>
        <w:t xml:space="preserve">le père </w:t>
      </w:r>
      <w:r w:rsidR="00303701">
        <w:rPr>
          <w:rFonts w:ascii="Arial" w:hAnsi="Arial" w:cs="Arial"/>
          <w:sz w:val="24"/>
          <w:szCs w:val="24"/>
        </w:rPr>
        <w:t>de Y</w:t>
      </w:r>
      <w:r w:rsidR="00062B8F" w:rsidRPr="00911998">
        <w:rPr>
          <w:rFonts w:ascii="Arial" w:hAnsi="Arial" w:cs="Arial"/>
          <w:sz w:val="24"/>
          <w:szCs w:val="24"/>
        </w:rPr>
        <w:t>,</w:t>
      </w:r>
      <w:r w:rsidRPr="00911998">
        <w:rPr>
          <w:rFonts w:ascii="Arial" w:hAnsi="Arial" w:cs="Arial"/>
          <w:sz w:val="24"/>
          <w:szCs w:val="24"/>
        </w:rPr>
        <w:t xml:space="preserve"> </w:t>
      </w:r>
      <w:r w:rsidR="00737DF4" w:rsidRPr="00911998">
        <w:rPr>
          <w:rFonts w:ascii="Arial" w:hAnsi="Arial" w:cs="Arial"/>
          <w:sz w:val="24"/>
          <w:szCs w:val="24"/>
        </w:rPr>
        <w:t xml:space="preserve">afin que chacune d’elles </w:t>
      </w:r>
      <w:r w:rsidR="009352DC" w:rsidRPr="00911998">
        <w:rPr>
          <w:rFonts w:ascii="Arial" w:hAnsi="Arial" w:cs="Arial"/>
          <w:sz w:val="24"/>
          <w:szCs w:val="24"/>
        </w:rPr>
        <w:t>soit</w:t>
      </w:r>
      <w:r w:rsidR="00737DF4" w:rsidRPr="00911998">
        <w:rPr>
          <w:rFonts w:ascii="Arial" w:hAnsi="Arial" w:cs="Arial"/>
          <w:sz w:val="24"/>
          <w:szCs w:val="24"/>
        </w:rPr>
        <w:t xml:space="preserve"> </w:t>
      </w:r>
      <w:r w:rsidR="009352DC" w:rsidRPr="00911998">
        <w:rPr>
          <w:rFonts w:ascii="Arial" w:hAnsi="Arial" w:cs="Arial"/>
          <w:sz w:val="24"/>
          <w:szCs w:val="24"/>
        </w:rPr>
        <w:t>reconnue</w:t>
      </w:r>
      <w:r w:rsidR="00737DF4" w:rsidRPr="00911998">
        <w:rPr>
          <w:rFonts w:ascii="Arial" w:hAnsi="Arial" w:cs="Arial"/>
          <w:sz w:val="24"/>
          <w:szCs w:val="24"/>
        </w:rPr>
        <w:t xml:space="preserve"> comme </w:t>
      </w:r>
      <w:r w:rsidRPr="00911998">
        <w:rPr>
          <w:rFonts w:ascii="Arial" w:hAnsi="Arial" w:cs="Arial"/>
          <w:sz w:val="24"/>
          <w:szCs w:val="24"/>
        </w:rPr>
        <w:t xml:space="preserve">ses </w:t>
      </w:r>
      <w:r w:rsidR="00737DF4" w:rsidRPr="00911998">
        <w:rPr>
          <w:rFonts w:ascii="Arial" w:hAnsi="Arial" w:cs="Arial"/>
          <w:sz w:val="24"/>
          <w:szCs w:val="24"/>
        </w:rPr>
        <w:t>mère</w:t>
      </w:r>
      <w:r w:rsidRPr="00911998">
        <w:rPr>
          <w:rFonts w:ascii="Arial" w:hAnsi="Arial" w:cs="Arial"/>
          <w:sz w:val="24"/>
          <w:szCs w:val="24"/>
        </w:rPr>
        <w:t>s</w:t>
      </w:r>
      <w:r w:rsidR="00B94B0A" w:rsidRPr="00911998">
        <w:rPr>
          <w:rFonts w:ascii="Arial" w:hAnsi="Arial" w:cs="Arial"/>
          <w:sz w:val="24"/>
          <w:szCs w:val="24"/>
        </w:rPr>
        <w:t> </w:t>
      </w:r>
      <w:r w:rsidR="00737DF4" w:rsidRPr="00911998">
        <w:rPr>
          <w:rFonts w:ascii="Arial" w:hAnsi="Arial" w:cs="Arial"/>
          <w:sz w:val="24"/>
          <w:szCs w:val="24"/>
        </w:rPr>
        <w:t xml:space="preserve">? </w:t>
      </w:r>
      <w:r w:rsidR="001E2EBE" w:rsidRPr="00911998">
        <w:rPr>
          <w:rFonts w:ascii="Arial" w:hAnsi="Arial" w:cs="Arial"/>
          <w:sz w:val="24"/>
          <w:szCs w:val="24"/>
        </w:rPr>
        <w:t xml:space="preserve">ou </w:t>
      </w:r>
    </w:p>
    <w:p w14:paraId="0F2A4B73" w14:textId="07187F7D" w:rsidR="00307408" w:rsidRPr="00911998" w:rsidRDefault="005B58F2" w:rsidP="000F6BA9">
      <w:pPr>
        <w:pStyle w:val="Paragraphedeliste"/>
        <w:numPr>
          <w:ilvl w:val="0"/>
          <w:numId w:val="20"/>
        </w:numPr>
        <w:ind w:left="714" w:hanging="357"/>
        <w:contextualSpacing w:val="0"/>
        <w:jc w:val="both"/>
        <w:rPr>
          <w:rFonts w:ascii="Arial" w:hAnsi="Arial" w:cs="Arial"/>
          <w:sz w:val="24"/>
          <w:szCs w:val="24"/>
        </w:rPr>
      </w:pPr>
      <w:proofErr w:type="gramStart"/>
      <w:r w:rsidRPr="00911998">
        <w:rPr>
          <w:rFonts w:ascii="Arial" w:hAnsi="Arial" w:cs="Arial"/>
          <w:sz w:val="24"/>
          <w:szCs w:val="24"/>
        </w:rPr>
        <w:t>que</w:t>
      </w:r>
      <w:proofErr w:type="gramEnd"/>
      <w:r w:rsidR="009B0273" w:rsidRPr="00911998">
        <w:rPr>
          <w:rFonts w:ascii="Arial" w:hAnsi="Arial" w:cs="Arial"/>
          <w:sz w:val="24"/>
          <w:szCs w:val="24"/>
        </w:rPr>
        <w:t xml:space="preserve"> l’une </w:t>
      </w:r>
      <w:r w:rsidR="00307408" w:rsidRPr="00911998">
        <w:rPr>
          <w:rFonts w:ascii="Arial" w:hAnsi="Arial" w:cs="Arial"/>
          <w:sz w:val="24"/>
          <w:szCs w:val="24"/>
        </w:rPr>
        <w:t xml:space="preserve">de mesdames </w:t>
      </w:r>
      <w:r w:rsidR="000032F7">
        <w:rPr>
          <w:rFonts w:ascii="Arial" w:hAnsi="Arial" w:cs="Arial"/>
          <w:sz w:val="24"/>
          <w:szCs w:val="24"/>
        </w:rPr>
        <w:t>Pa...</w:t>
      </w:r>
      <w:r w:rsidR="00307408" w:rsidRPr="00911998">
        <w:rPr>
          <w:rFonts w:ascii="Arial" w:hAnsi="Arial" w:cs="Arial"/>
          <w:sz w:val="24"/>
          <w:szCs w:val="24"/>
        </w:rPr>
        <w:t xml:space="preserve"> et </w:t>
      </w:r>
      <w:r w:rsidR="00E13A68">
        <w:rPr>
          <w:rFonts w:ascii="Arial" w:hAnsi="Arial" w:cs="Arial"/>
          <w:sz w:val="24"/>
          <w:szCs w:val="24"/>
        </w:rPr>
        <w:t>J...</w:t>
      </w:r>
      <w:r w:rsidR="009B0273" w:rsidRPr="00911998">
        <w:rPr>
          <w:rFonts w:ascii="Arial" w:hAnsi="Arial" w:cs="Arial"/>
          <w:sz w:val="24"/>
          <w:szCs w:val="24"/>
        </w:rPr>
        <w:t xml:space="preserve"> renonce à la reconnaissance de sa qualité de mère </w:t>
      </w:r>
      <w:r w:rsidR="00303701">
        <w:rPr>
          <w:rFonts w:ascii="Arial" w:hAnsi="Arial" w:cs="Arial"/>
          <w:sz w:val="24"/>
          <w:szCs w:val="24"/>
        </w:rPr>
        <w:t>de Y</w:t>
      </w:r>
      <w:r w:rsidR="00062B8F" w:rsidRPr="00911998">
        <w:rPr>
          <w:rFonts w:ascii="Arial" w:hAnsi="Arial" w:cs="Arial"/>
          <w:sz w:val="24"/>
          <w:szCs w:val="24"/>
        </w:rPr>
        <w:t>,</w:t>
      </w:r>
      <w:r w:rsidR="009B0273" w:rsidRPr="00911998">
        <w:rPr>
          <w:rFonts w:ascii="Arial" w:hAnsi="Arial" w:cs="Arial"/>
          <w:sz w:val="24"/>
          <w:szCs w:val="24"/>
        </w:rPr>
        <w:t xml:space="preserve"> afin que monsieur </w:t>
      </w:r>
      <w:r w:rsidR="00E13A68">
        <w:rPr>
          <w:rFonts w:ascii="Arial" w:hAnsi="Arial" w:cs="Arial"/>
          <w:sz w:val="24"/>
          <w:szCs w:val="24"/>
        </w:rPr>
        <w:t>Je...</w:t>
      </w:r>
      <w:r w:rsidR="009B0273" w:rsidRPr="00911998">
        <w:rPr>
          <w:rFonts w:ascii="Arial" w:hAnsi="Arial" w:cs="Arial"/>
          <w:sz w:val="24"/>
          <w:szCs w:val="24"/>
        </w:rPr>
        <w:t xml:space="preserve"> soit reconnu comme son père</w:t>
      </w:r>
      <w:r w:rsidR="00B94B0A" w:rsidRPr="00911998">
        <w:rPr>
          <w:rFonts w:ascii="Arial" w:hAnsi="Arial" w:cs="Arial"/>
          <w:sz w:val="24"/>
          <w:szCs w:val="24"/>
        </w:rPr>
        <w:t> </w:t>
      </w:r>
      <w:r w:rsidR="00307408" w:rsidRPr="00911998">
        <w:rPr>
          <w:rFonts w:ascii="Arial" w:hAnsi="Arial" w:cs="Arial"/>
          <w:sz w:val="24"/>
          <w:szCs w:val="24"/>
        </w:rPr>
        <w:t>? ou</w:t>
      </w:r>
    </w:p>
    <w:p w14:paraId="4CCD4925" w14:textId="027A9A32" w:rsidR="00FA7F83" w:rsidRPr="00911998" w:rsidRDefault="009B0273" w:rsidP="000F6BA9">
      <w:pPr>
        <w:pStyle w:val="Paragraphedeliste"/>
        <w:numPr>
          <w:ilvl w:val="0"/>
          <w:numId w:val="20"/>
        </w:numPr>
        <w:ind w:left="714" w:hanging="357"/>
        <w:contextualSpacing w:val="0"/>
        <w:jc w:val="both"/>
        <w:rPr>
          <w:rFonts w:ascii="Arial" w:hAnsi="Arial" w:cs="Arial"/>
          <w:sz w:val="24"/>
          <w:szCs w:val="24"/>
        </w:rPr>
      </w:pPr>
      <w:proofErr w:type="gramStart"/>
      <w:r w:rsidRPr="00911998">
        <w:rPr>
          <w:rFonts w:ascii="Arial" w:hAnsi="Arial" w:cs="Arial"/>
          <w:sz w:val="24"/>
          <w:szCs w:val="24"/>
        </w:rPr>
        <w:t>que</w:t>
      </w:r>
      <w:proofErr w:type="gramEnd"/>
      <w:r w:rsidRPr="00911998">
        <w:rPr>
          <w:rFonts w:ascii="Arial" w:hAnsi="Arial" w:cs="Arial"/>
          <w:sz w:val="24"/>
          <w:szCs w:val="24"/>
        </w:rPr>
        <w:t xml:space="preserve"> </w:t>
      </w:r>
      <w:r w:rsidR="005B58F2" w:rsidRPr="00911998">
        <w:rPr>
          <w:rFonts w:ascii="Arial" w:hAnsi="Arial" w:cs="Arial"/>
          <w:sz w:val="24"/>
          <w:szCs w:val="24"/>
        </w:rPr>
        <w:t xml:space="preserve">monsieur </w:t>
      </w:r>
      <w:r w:rsidR="00E13A68">
        <w:rPr>
          <w:rFonts w:ascii="Arial" w:hAnsi="Arial" w:cs="Arial"/>
          <w:sz w:val="24"/>
          <w:szCs w:val="24"/>
        </w:rPr>
        <w:t>Je...</w:t>
      </w:r>
      <w:r w:rsidR="005B58F2" w:rsidRPr="00911998">
        <w:rPr>
          <w:rFonts w:ascii="Arial" w:hAnsi="Arial" w:cs="Arial"/>
          <w:sz w:val="24"/>
          <w:szCs w:val="24"/>
        </w:rPr>
        <w:t xml:space="preserve"> </w:t>
      </w:r>
      <w:r w:rsidR="00B94B0A" w:rsidRPr="00911998">
        <w:rPr>
          <w:rFonts w:ascii="Arial" w:hAnsi="Arial" w:cs="Arial"/>
          <w:sz w:val="24"/>
          <w:szCs w:val="24"/>
        </w:rPr>
        <w:t>—</w:t>
      </w:r>
      <w:r w:rsidR="005B58F2" w:rsidRPr="00911998">
        <w:rPr>
          <w:rFonts w:ascii="Arial" w:hAnsi="Arial" w:cs="Arial"/>
          <w:sz w:val="24"/>
          <w:szCs w:val="24"/>
        </w:rPr>
        <w:t xml:space="preserve"> un homme ga</w:t>
      </w:r>
      <w:r w:rsidR="00B94B0A" w:rsidRPr="00911998">
        <w:rPr>
          <w:rFonts w:ascii="Arial" w:hAnsi="Arial" w:cs="Arial"/>
          <w:sz w:val="24"/>
          <w:szCs w:val="24"/>
        </w:rPr>
        <w:t>i</w:t>
      </w:r>
      <w:r w:rsidR="005B58F2" w:rsidRPr="00911998">
        <w:rPr>
          <w:rFonts w:ascii="Arial" w:hAnsi="Arial" w:cs="Arial"/>
          <w:sz w:val="24"/>
          <w:szCs w:val="24"/>
        </w:rPr>
        <w:t xml:space="preserve"> qui caressait le rêve de devenir père </w:t>
      </w:r>
      <w:r w:rsidR="00B94B0A" w:rsidRPr="00911998">
        <w:rPr>
          <w:rFonts w:ascii="Arial" w:hAnsi="Arial" w:cs="Arial"/>
          <w:sz w:val="24"/>
          <w:szCs w:val="24"/>
        </w:rPr>
        <w:t>—</w:t>
      </w:r>
      <w:r w:rsidR="005B58F2" w:rsidRPr="00911998">
        <w:rPr>
          <w:rFonts w:ascii="Arial" w:hAnsi="Arial" w:cs="Arial"/>
          <w:sz w:val="24"/>
          <w:szCs w:val="24"/>
        </w:rPr>
        <w:t xml:space="preserve"> renonce à </w:t>
      </w:r>
      <w:r w:rsidR="00307408" w:rsidRPr="00911998">
        <w:rPr>
          <w:rFonts w:ascii="Arial" w:hAnsi="Arial" w:cs="Arial"/>
          <w:sz w:val="24"/>
          <w:szCs w:val="24"/>
        </w:rPr>
        <w:t>ce</w:t>
      </w:r>
      <w:r w:rsidR="005B58F2" w:rsidRPr="00911998">
        <w:rPr>
          <w:rFonts w:ascii="Arial" w:hAnsi="Arial" w:cs="Arial"/>
          <w:sz w:val="24"/>
          <w:szCs w:val="24"/>
        </w:rPr>
        <w:t xml:space="preserve"> rêve </w:t>
      </w:r>
      <w:r w:rsidR="00307408" w:rsidRPr="00911998">
        <w:rPr>
          <w:rFonts w:ascii="Arial" w:hAnsi="Arial" w:cs="Arial"/>
          <w:sz w:val="24"/>
          <w:szCs w:val="24"/>
        </w:rPr>
        <w:t>pour</w:t>
      </w:r>
      <w:r w:rsidR="00A33926" w:rsidRPr="00911998">
        <w:rPr>
          <w:rFonts w:ascii="Arial" w:hAnsi="Arial" w:cs="Arial"/>
          <w:sz w:val="24"/>
          <w:szCs w:val="24"/>
        </w:rPr>
        <w:t xml:space="preserve"> permettre </w:t>
      </w:r>
      <w:r w:rsidR="005B58F2" w:rsidRPr="00911998">
        <w:rPr>
          <w:rFonts w:ascii="Arial" w:hAnsi="Arial" w:cs="Arial"/>
          <w:sz w:val="24"/>
          <w:szCs w:val="24"/>
        </w:rPr>
        <w:t xml:space="preserve">que mesdames </w:t>
      </w:r>
      <w:r w:rsidR="000032F7">
        <w:rPr>
          <w:rFonts w:ascii="Arial" w:hAnsi="Arial" w:cs="Arial"/>
          <w:sz w:val="24"/>
          <w:szCs w:val="24"/>
        </w:rPr>
        <w:t>Pa...</w:t>
      </w:r>
      <w:r w:rsidR="005B58F2" w:rsidRPr="00911998">
        <w:rPr>
          <w:rFonts w:ascii="Arial" w:hAnsi="Arial" w:cs="Arial"/>
          <w:sz w:val="24"/>
          <w:szCs w:val="24"/>
        </w:rPr>
        <w:t xml:space="preserve"> et </w:t>
      </w:r>
      <w:r w:rsidR="00E13A68">
        <w:rPr>
          <w:rFonts w:ascii="Arial" w:hAnsi="Arial" w:cs="Arial"/>
          <w:sz w:val="24"/>
          <w:szCs w:val="24"/>
        </w:rPr>
        <w:t>J...</w:t>
      </w:r>
      <w:r w:rsidR="005B58F2" w:rsidRPr="00911998">
        <w:rPr>
          <w:rFonts w:ascii="Arial" w:hAnsi="Arial" w:cs="Arial"/>
          <w:sz w:val="24"/>
          <w:szCs w:val="24"/>
        </w:rPr>
        <w:t xml:space="preserve"> soi</w:t>
      </w:r>
      <w:r w:rsidR="00A33926" w:rsidRPr="00911998">
        <w:rPr>
          <w:rFonts w:ascii="Arial" w:hAnsi="Arial" w:cs="Arial"/>
          <w:sz w:val="24"/>
          <w:szCs w:val="24"/>
        </w:rPr>
        <w:t>en</w:t>
      </w:r>
      <w:r w:rsidR="005B58F2" w:rsidRPr="00911998">
        <w:rPr>
          <w:rFonts w:ascii="Arial" w:hAnsi="Arial" w:cs="Arial"/>
          <w:sz w:val="24"/>
          <w:szCs w:val="24"/>
        </w:rPr>
        <w:t>t reconnu</w:t>
      </w:r>
      <w:r w:rsidR="00A33926" w:rsidRPr="00911998">
        <w:rPr>
          <w:rFonts w:ascii="Arial" w:hAnsi="Arial" w:cs="Arial"/>
          <w:sz w:val="24"/>
          <w:szCs w:val="24"/>
        </w:rPr>
        <w:t xml:space="preserve">es </w:t>
      </w:r>
      <w:r w:rsidR="00062B8F" w:rsidRPr="00911998">
        <w:rPr>
          <w:rFonts w:ascii="Arial" w:hAnsi="Arial" w:cs="Arial"/>
          <w:sz w:val="24"/>
          <w:szCs w:val="24"/>
        </w:rPr>
        <w:t xml:space="preserve">chacune </w:t>
      </w:r>
      <w:r w:rsidR="00307408" w:rsidRPr="00911998">
        <w:rPr>
          <w:rFonts w:ascii="Arial" w:hAnsi="Arial" w:cs="Arial"/>
          <w:sz w:val="24"/>
          <w:szCs w:val="24"/>
        </w:rPr>
        <w:t>comme</w:t>
      </w:r>
      <w:r w:rsidR="00A33926" w:rsidRPr="00911998">
        <w:rPr>
          <w:rFonts w:ascii="Arial" w:hAnsi="Arial" w:cs="Arial"/>
          <w:sz w:val="24"/>
          <w:szCs w:val="24"/>
        </w:rPr>
        <w:t xml:space="preserve"> mères</w:t>
      </w:r>
      <w:r w:rsidR="00B94B0A" w:rsidRPr="00911998">
        <w:rPr>
          <w:rFonts w:ascii="Arial" w:hAnsi="Arial" w:cs="Arial"/>
          <w:sz w:val="24"/>
          <w:szCs w:val="24"/>
        </w:rPr>
        <w:t> </w:t>
      </w:r>
      <w:r w:rsidR="005B58F2" w:rsidRPr="00911998">
        <w:rPr>
          <w:rFonts w:ascii="Arial" w:hAnsi="Arial" w:cs="Arial"/>
          <w:sz w:val="24"/>
          <w:szCs w:val="24"/>
        </w:rPr>
        <w:t>?</w:t>
      </w:r>
    </w:p>
    <w:p w14:paraId="394BB85D" w14:textId="2F9B09CE" w:rsidR="006C0A51" w:rsidRPr="00911998" w:rsidRDefault="00307408" w:rsidP="005B58F2">
      <w:pPr>
        <w:pStyle w:val="Paragrsimple"/>
      </w:pPr>
      <w:r w:rsidRPr="00911998">
        <w:t>L</w:t>
      </w:r>
      <w:r w:rsidR="005B58F2" w:rsidRPr="00911998">
        <w:t xml:space="preserve">e PGQ n’a </w:t>
      </w:r>
      <w:r w:rsidR="00120AB6" w:rsidRPr="00911998">
        <w:t xml:space="preserve">pas </w:t>
      </w:r>
      <w:r w:rsidR="006C0A51" w:rsidRPr="00911998">
        <w:t xml:space="preserve">invoqué </w:t>
      </w:r>
      <w:r w:rsidR="00120AB6" w:rsidRPr="00911998">
        <w:t xml:space="preserve">l’une ou l’autre de ces attentes comme en étant une légitime, ou aucune autre d’ailleurs. </w:t>
      </w:r>
      <w:r w:rsidR="006C0A51" w:rsidRPr="00911998">
        <w:t xml:space="preserve">Le Tribunal </w:t>
      </w:r>
      <w:r w:rsidRPr="00911998">
        <w:t xml:space="preserve">n’en </w:t>
      </w:r>
      <w:r w:rsidR="00120AB6" w:rsidRPr="00911998">
        <w:t xml:space="preserve">identifie </w:t>
      </w:r>
      <w:r w:rsidR="00B7541B" w:rsidRPr="00911998">
        <w:t>aucune</w:t>
      </w:r>
      <w:r w:rsidR="006C0A51" w:rsidRPr="00911998">
        <w:t xml:space="preserve"> non plus.</w:t>
      </w:r>
    </w:p>
    <w:p w14:paraId="6258DB9D" w14:textId="1F2F938E" w:rsidR="00CD5D17" w:rsidRPr="00911998" w:rsidRDefault="006C0A51" w:rsidP="001E0558">
      <w:pPr>
        <w:pStyle w:val="Paragrsimple"/>
        <w:tabs>
          <w:tab w:val="clear" w:pos="360"/>
        </w:tabs>
      </w:pPr>
      <w:r w:rsidRPr="00911998">
        <w:lastRenderedPageBreak/>
        <w:t xml:space="preserve"> </w:t>
      </w:r>
      <w:r w:rsidR="00CD5D17" w:rsidRPr="00911998">
        <w:t xml:space="preserve">Pour ce qui est des autres Demandeurs, ils ont eux aussi formé un projet parental à trois pour des motifs </w:t>
      </w:r>
      <w:r w:rsidR="00A33926" w:rsidRPr="00911998">
        <w:t>en lien avec l</w:t>
      </w:r>
      <w:r w:rsidR="00CD5D17" w:rsidRPr="00911998">
        <w:t xml:space="preserve">eurs </w:t>
      </w:r>
      <w:r w:rsidR="00A33926" w:rsidRPr="00911998">
        <w:t xml:space="preserve">réalités respectives, leurs </w:t>
      </w:r>
      <w:r w:rsidR="00CD5D17" w:rsidRPr="00911998">
        <w:t xml:space="preserve">valeurs fondamentales </w:t>
      </w:r>
      <w:r w:rsidR="00A33926" w:rsidRPr="00911998">
        <w:t>ainsi que</w:t>
      </w:r>
      <w:r w:rsidR="00CD5D17" w:rsidRPr="00911998">
        <w:t xml:space="preserve"> leur vécu. La légitimité de leurs choix de structure familiale n’est aucunement remise en cause par le PGQ</w:t>
      </w:r>
      <w:r w:rsidR="00CD47CD" w:rsidRPr="00911998">
        <w:rPr>
          <w:rStyle w:val="Appelnotedebasdep"/>
        </w:rPr>
        <w:footnoteReference w:id="196"/>
      </w:r>
      <w:r w:rsidR="00CD5D17" w:rsidRPr="00911998">
        <w:t xml:space="preserve">. </w:t>
      </w:r>
    </w:p>
    <w:p w14:paraId="6876E516" w14:textId="2D63BF21" w:rsidR="005B58F2" w:rsidRPr="00911998" w:rsidRDefault="00CD5D17" w:rsidP="005B58F2">
      <w:pPr>
        <w:pStyle w:val="Paragrsimple"/>
      </w:pPr>
      <w:r w:rsidRPr="00911998">
        <w:t xml:space="preserve">En somme, selon la preuve administrée, les personnes qui forment un projet parental à trois et qui adoptent un modèle familial </w:t>
      </w:r>
      <w:proofErr w:type="spellStart"/>
      <w:r w:rsidRPr="00911998">
        <w:t>pluriparental</w:t>
      </w:r>
      <w:proofErr w:type="spellEnd"/>
      <w:r w:rsidRPr="00911998">
        <w:t xml:space="preserve"> le font pour des motifs </w:t>
      </w:r>
      <w:r w:rsidR="00C41E05" w:rsidRPr="00911998">
        <w:t xml:space="preserve">intrinsèquement </w:t>
      </w:r>
      <w:r w:rsidRPr="00911998">
        <w:t>personnels</w:t>
      </w:r>
      <w:r w:rsidR="00A33926" w:rsidRPr="00911998">
        <w:t xml:space="preserve">. L’État ne peut légitimement s’attendre à ce qu’elles renoncent </w:t>
      </w:r>
      <w:r w:rsidR="00203C0D" w:rsidRPr="00911998">
        <w:t>au</w:t>
      </w:r>
      <w:r w:rsidR="00A33926" w:rsidRPr="00911998">
        <w:t xml:space="preserve"> modèle familial qui correspond à leur réalité</w:t>
      </w:r>
      <w:r w:rsidR="00545745" w:rsidRPr="00911998">
        <w:t xml:space="preserve"> </w:t>
      </w:r>
      <w:r w:rsidR="003E433F">
        <w:t>pour</w:t>
      </w:r>
      <w:r w:rsidR="00A33926" w:rsidRPr="00911998">
        <w:t xml:space="preserve"> qu’elles soient reconnues comme parents conformément au droit de la filiation. </w:t>
      </w:r>
    </w:p>
    <w:p w14:paraId="19A670C9" w14:textId="72F0A9DD" w:rsidR="00C41E05" w:rsidRPr="00911998" w:rsidRDefault="00C41E05" w:rsidP="00C41E05">
      <w:pPr>
        <w:pStyle w:val="Paragrsimple"/>
      </w:pPr>
      <w:r w:rsidRPr="00911998">
        <w:t xml:space="preserve">Il importe également de </w:t>
      </w:r>
      <w:r w:rsidR="003D04E2" w:rsidRPr="00911998">
        <w:t>soulign</w:t>
      </w:r>
      <w:r w:rsidRPr="00911998">
        <w:t xml:space="preserve">er le caractère profondément identitaire de l’appartenance à une famille. La famille nous met en relation avec les générations antérieures et celles </w:t>
      </w:r>
      <w:r w:rsidR="003D04E2" w:rsidRPr="00911998">
        <w:t>à venir</w:t>
      </w:r>
      <w:r w:rsidRPr="00911998">
        <w:t xml:space="preserve">. Elle aide à définir qui nous sommes au sein de la communauté. </w:t>
      </w:r>
      <w:r w:rsidR="003D04E2" w:rsidRPr="00911998">
        <w:t>Pour plusieurs,</w:t>
      </w:r>
      <w:r w:rsidR="004D0CD1" w:rsidRPr="00911998">
        <w:t xml:space="preserve"> l’appartenance à une</w:t>
      </w:r>
      <w:r w:rsidRPr="00911998">
        <w:t xml:space="preserve"> famille immédiate </w:t>
      </w:r>
      <w:r w:rsidR="004D0CD1" w:rsidRPr="00911998">
        <w:t>ou</w:t>
      </w:r>
      <w:r w:rsidRPr="00911998">
        <w:t xml:space="preserve"> élargie représente une composante importante de </w:t>
      </w:r>
      <w:r w:rsidR="004D0CD1" w:rsidRPr="00911998">
        <w:t>l’</w:t>
      </w:r>
      <w:r w:rsidRPr="00911998">
        <w:t xml:space="preserve">identité individuelle. Demander à </w:t>
      </w:r>
      <w:r w:rsidR="008D2B14" w:rsidRPr="00911998">
        <w:t>une personne</w:t>
      </w:r>
      <w:r w:rsidRPr="00911998">
        <w:t xml:space="preserve"> de </w:t>
      </w:r>
      <w:r w:rsidR="008D2B14" w:rsidRPr="00911998">
        <w:t>chang</w:t>
      </w:r>
      <w:r w:rsidRPr="00911998">
        <w:t xml:space="preserve">er sa famille </w:t>
      </w:r>
      <w:r w:rsidR="00B94B0A" w:rsidRPr="00911998">
        <w:t>—</w:t>
      </w:r>
      <w:r w:rsidR="008D2B14" w:rsidRPr="00911998">
        <w:t xml:space="preserve"> y compris le modèle familial dans lequel elle évolue </w:t>
      </w:r>
      <w:r w:rsidR="00B94B0A" w:rsidRPr="00911998">
        <w:t>—</w:t>
      </w:r>
      <w:r w:rsidR="008D2B14" w:rsidRPr="00911998">
        <w:t xml:space="preserve"> équivaut à lui demander de renier une partie de son identité.</w:t>
      </w:r>
    </w:p>
    <w:p w14:paraId="7D776261" w14:textId="567F3C46" w:rsidR="008D2B14" w:rsidRPr="00911998" w:rsidRDefault="00C97B62" w:rsidP="008D2B14">
      <w:pPr>
        <w:pStyle w:val="Paragrsimple"/>
      </w:pPr>
      <w:r w:rsidRPr="00911998">
        <w:t>En définitive, l</w:t>
      </w:r>
      <w:r w:rsidR="008D2B14" w:rsidRPr="00911998">
        <w:t>’appartenance à un modèle familial constitue très certainement un</w:t>
      </w:r>
      <w:r w:rsidR="002406EE" w:rsidRPr="00911998">
        <w:t>e</w:t>
      </w:r>
      <w:r w:rsidR="008D2B14" w:rsidRPr="00911998">
        <w:t xml:space="preserve"> caractéristique personnelle</w:t>
      </w:r>
      <w:r w:rsidR="00E569F5" w:rsidRPr="00911998">
        <w:t xml:space="preserve"> qui est soit immuable, soit</w:t>
      </w:r>
      <w:r w:rsidR="008D2B14" w:rsidRPr="00911998">
        <w:t xml:space="preserve"> modifiable à un prix inacceptable du point de vue de l’identité personnelle et qui doit donc être considérée </w:t>
      </w:r>
      <w:r w:rsidR="003D04E2" w:rsidRPr="00911998">
        <w:t xml:space="preserve">comme </w:t>
      </w:r>
      <w:r w:rsidR="008D2B14" w:rsidRPr="00911998">
        <w:t>immuable.</w:t>
      </w:r>
    </w:p>
    <w:p w14:paraId="4D3EE557" w14:textId="5E9D6C26" w:rsidR="00AC57F5" w:rsidRPr="00911998" w:rsidRDefault="00C97B62" w:rsidP="002406EE">
      <w:pPr>
        <w:pStyle w:val="Paragrsimple"/>
        <w:rPr>
          <w:szCs w:val="24"/>
        </w:rPr>
      </w:pPr>
      <w:r w:rsidRPr="00911998">
        <w:t>Par ailleurs, l</w:t>
      </w:r>
      <w:r w:rsidR="00AA7E54" w:rsidRPr="00911998">
        <w:t xml:space="preserve">a jurisprudence antérieure à l’arrêt </w:t>
      </w:r>
      <w:proofErr w:type="spellStart"/>
      <w:r w:rsidR="00AA7E54" w:rsidRPr="00911998">
        <w:rPr>
          <w:i/>
          <w:iCs/>
        </w:rPr>
        <w:t>Corbiere</w:t>
      </w:r>
      <w:proofErr w:type="spellEnd"/>
      <w:r w:rsidR="00AA7E54" w:rsidRPr="00911998">
        <w:rPr>
          <w:i/>
          <w:iCs/>
        </w:rPr>
        <w:t xml:space="preserve"> </w:t>
      </w:r>
      <w:r w:rsidR="00AA7E54" w:rsidRPr="00911998">
        <w:t xml:space="preserve">identifie plusieurs facteurs qui peuvent être utiles dans l’identification d’un motif analogue de discrimination aux termes du paragraphe 15(1) de la </w:t>
      </w:r>
      <w:r w:rsidR="00AA7E54" w:rsidRPr="00911998">
        <w:rPr>
          <w:i/>
          <w:iCs/>
        </w:rPr>
        <w:t>Charte canadienne</w:t>
      </w:r>
      <w:r w:rsidR="00AA7E54" w:rsidRPr="00911998">
        <w:t>. Ceux</w:t>
      </w:r>
      <w:r w:rsidR="00AA7E54" w:rsidRPr="00911998">
        <w:noBreakHyphen/>
        <w:t>ci comprennent</w:t>
      </w:r>
      <w:r w:rsidR="00AC57F5" w:rsidRPr="00911998">
        <w:rPr>
          <w:rStyle w:val="Appelnotedebasdep"/>
        </w:rPr>
        <w:footnoteReference w:id="197"/>
      </w:r>
      <w:r w:rsidR="00AA7E54" w:rsidRPr="00911998">
        <w:t xml:space="preserve"> : </w:t>
      </w:r>
    </w:p>
    <w:p w14:paraId="45D13711" w14:textId="3867B000" w:rsidR="00AC57F5" w:rsidRPr="00911998" w:rsidRDefault="00AA7E54" w:rsidP="000F6BA9">
      <w:pPr>
        <w:pStyle w:val="Paragrsimple"/>
        <w:numPr>
          <w:ilvl w:val="0"/>
          <w:numId w:val="19"/>
        </w:numPr>
        <w:rPr>
          <w:szCs w:val="24"/>
        </w:rPr>
      </w:pPr>
      <w:proofErr w:type="gramStart"/>
      <w:r w:rsidRPr="00911998">
        <w:t>le</w:t>
      </w:r>
      <w:proofErr w:type="gramEnd"/>
      <w:r w:rsidRPr="00911998">
        <w:t xml:space="preserve"> fait que le groupe visé a subi </w:t>
      </w:r>
      <w:r w:rsidR="00B94B0A" w:rsidRPr="00911998">
        <w:t>un désavantage</w:t>
      </w:r>
      <w:r w:rsidRPr="00911998">
        <w:t xml:space="preserve"> historique</w:t>
      </w:r>
      <w:r w:rsidR="00B94B0A" w:rsidRPr="00911998">
        <w:t> </w:t>
      </w:r>
      <w:r w:rsidR="00AC57F5" w:rsidRPr="00911998">
        <w:t>;</w:t>
      </w:r>
    </w:p>
    <w:p w14:paraId="5219806D" w14:textId="7CD7D526" w:rsidR="00AC57F5" w:rsidRPr="00911998" w:rsidRDefault="00AA7E54" w:rsidP="000F6BA9">
      <w:pPr>
        <w:pStyle w:val="Paragrsimple"/>
        <w:numPr>
          <w:ilvl w:val="0"/>
          <w:numId w:val="19"/>
        </w:numPr>
        <w:rPr>
          <w:szCs w:val="24"/>
        </w:rPr>
      </w:pPr>
      <w:proofErr w:type="gramStart"/>
      <w:r w:rsidRPr="00911998">
        <w:t>le</w:t>
      </w:r>
      <w:proofErr w:type="gramEnd"/>
      <w:r w:rsidRPr="00911998">
        <w:t xml:space="preserve"> fait qu’il constitue une minorité discrète et isolée</w:t>
      </w:r>
      <w:r w:rsidR="00B94B0A" w:rsidRPr="00911998">
        <w:t> </w:t>
      </w:r>
      <w:r w:rsidR="00AC57F5" w:rsidRPr="00911998">
        <w:t>;</w:t>
      </w:r>
    </w:p>
    <w:p w14:paraId="59366022" w14:textId="746E8DD3" w:rsidR="00AC57F5" w:rsidRPr="00911998" w:rsidRDefault="00AC57F5" w:rsidP="000F6BA9">
      <w:pPr>
        <w:pStyle w:val="Paragrsimple"/>
        <w:numPr>
          <w:ilvl w:val="0"/>
          <w:numId w:val="19"/>
        </w:numPr>
        <w:rPr>
          <w:szCs w:val="24"/>
        </w:rPr>
      </w:pPr>
      <w:proofErr w:type="gramStart"/>
      <w:r w:rsidRPr="00911998">
        <w:t>la</w:t>
      </w:r>
      <w:proofErr w:type="gramEnd"/>
      <w:r w:rsidRPr="00911998">
        <w:t xml:space="preserve"> similitude </w:t>
      </w:r>
      <w:r w:rsidR="00545745" w:rsidRPr="00911998">
        <w:t xml:space="preserve">entre le </w:t>
      </w:r>
      <w:r w:rsidR="00F67359" w:rsidRPr="00911998">
        <w:t xml:space="preserve">motif soulevé </w:t>
      </w:r>
      <w:r w:rsidR="00545745" w:rsidRPr="00911998">
        <w:t xml:space="preserve">et </w:t>
      </w:r>
      <w:r w:rsidR="00F67359" w:rsidRPr="00911998">
        <w:t>les motifs de discrimination énumérés</w:t>
      </w:r>
      <w:r w:rsidR="00B94B0A" w:rsidRPr="00911998">
        <w:t> </w:t>
      </w:r>
      <w:r w:rsidRPr="00911998">
        <w:t>;</w:t>
      </w:r>
      <w:r w:rsidR="00F67359" w:rsidRPr="00911998">
        <w:t xml:space="preserve"> et </w:t>
      </w:r>
    </w:p>
    <w:p w14:paraId="04BB3FB7" w14:textId="5043BF5A" w:rsidR="00AC57F5" w:rsidRPr="00911998" w:rsidRDefault="00AC57F5" w:rsidP="000F6BA9">
      <w:pPr>
        <w:pStyle w:val="Paragrsimple"/>
        <w:numPr>
          <w:ilvl w:val="0"/>
          <w:numId w:val="19"/>
        </w:numPr>
        <w:rPr>
          <w:szCs w:val="24"/>
        </w:rPr>
      </w:pPr>
      <w:proofErr w:type="gramStart"/>
      <w:r w:rsidRPr="00911998">
        <w:t>le</w:t>
      </w:r>
      <w:proofErr w:type="gramEnd"/>
      <w:r w:rsidRPr="00911998">
        <w:t xml:space="preserve"> fait que </w:t>
      </w:r>
      <w:r w:rsidR="00F67359" w:rsidRPr="00911998">
        <w:t xml:space="preserve">les législateurs et les juristes considèrent que le motif en </w:t>
      </w:r>
      <w:r w:rsidR="00545745" w:rsidRPr="00911998">
        <w:t xml:space="preserve">question </w:t>
      </w:r>
      <w:r w:rsidR="00F67359" w:rsidRPr="00911998">
        <w:t xml:space="preserve">est discriminatoire. </w:t>
      </w:r>
    </w:p>
    <w:p w14:paraId="7A61BC1F" w14:textId="063CDC69" w:rsidR="00782DF2" w:rsidRPr="00911998" w:rsidRDefault="00782DF2" w:rsidP="00782DF2">
      <w:pPr>
        <w:pStyle w:val="Paragrsimple"/>
        <w:rPr>
          <w:szCs w:val="24"/>
        </w:rPr>
      </w:pPr>
      <w:r w:rsidRPr="00911998">
        <w:t xml:space="preserve">Comme le précisent les juges </w:t>
      </w:r>
      <w:proofErr w:type="spellStart"/>
      <w:r w:rsidRPr="00911998">
        <w:t>McLachlin</w:t>
      </w:r>
      <w:proofErr w:type="spellEnd"/>
      <w:r w:rsidRPr="00911998">
        <w:t xml:space="preserve"> et Bastarache dans </w:t>
      </w:r>
      <w:r w:rsidRPr="00911998">
        <w:rPr>
          <w:szCs w:val="24"/>
        </w:rPr>
        <w:t xml:space="preserve">l’arrêt </w:t>
      </w:r>
      <w:proofErr w:type="spellStart"/>
      <w:r w:rsidRPr="00911998">
        <w:rPr>
          <w:i/>
          <w:iCs/>
          <w:szCs w:val="24"/>
        </w:rPr>
        <w:t>Corbiere</w:t>
      </w:r>
      <w:proofErr w:type="spellEnd"/>
      <w:r w:rsidRPr="00911998">
        <w:rPr>
          <w:szCs w:val="24"/>
        </w:rPr>
        <w:t>, ces facteurs «</w:t>
      </w:r>
      <w:r w:rsidR="00B94B0A" w:rsidRPr="00911998">
        <w:rPr>
          <w:szCs w:val="24"/>
        </w:rPr>
        <w:t> </w:t>
      </w:r>
      <w:r w:rsidRPr="00911998">
        <w:rPr>
          <w:szCs w:val="24"/>
        </w:rPr>
        <w:t xml:space="preserve">peuvent être considérés comme émanant du concept central que sont les caractéristiques personnelles immuables ou considérées immuables, caractéristiques qui </w:t>
      </w:r>
      <w:r w:rsidRPr="00911998">
        <w:rPr>
          <w:szCs w:val="24"/>
        </w:rPr>
        <w:lastRenderedPageBreak/>
        <w:t>ont trop souvent servi d’ersatz illégitimes et avilissants de décisions fondées sur le mérite des individus</w:t>
      </w:r>
      <w:r w:rsidR="00B94B0A" w:rsidRPr="00911998">
        <w:rPr>
          <w:szCs w:val="24"/>
        </w:rPr>
        <w:t> </w:t>
      </w:r>
      <w:r w:rsidRPr="00911998">
        <w:rPr>
          <w:szCs w:val="24"/>
        </w:rPr>
        <w:t>»</w:t>
      </w:r>
      <w:r w:rsidRPr="00911998">
        <w:rPr>
          <w:rStyle w:val="Appelnotedebasdep"/>
          <w:szCs w:val="24"/>
        </w:rPr>
        <w:footnoteReference w:id="198"/>
      </w:r>
      <w:r w:rsidRPr="00911998">
        <w:rPr>
          <w:szCs w:val="24"/>
        </w:rPr>
        <w:t>.</w:t>
      </w:r>
    </w:p>
    <w:p w14:paraId="4918A54F" w14:textId="7BBA8CE9" w:rsidR="00AC57F5" w:rsidRPr="00911998" w:rsidRDefault="00AC57F5" w:rsidP="00AC57F5">
      <w:pPr>
        <w:pStyle w:val="Paragrsimple"/>
        <w:rPr>
          <w:szCs w:val="24"/>
        </w:rPr>
      </w:pPr>
      <w:r w:rsidRPr="00911998">
        <w:t>Toutefois</w:t>
      </w:r>
      <w:r w:rsidR="00F67359" w:rsidRPr="00911998">
        <w:t xml:space="preserve">, la présence d’un ou de l’ensemble de ces éléments n’est pas nécessaire pour conclure à </w:t>
      </w:r>
      <w:r w:rsidRPr="00911998">
        <w:t>l’existence</w:t>
      </w:r>
      <w:r w:rsidR="00F67359" w:rsidRPr="00911998">
        <w:t xml:space="preserve"> d’un motif analogue</w:t>
      </w:r>
      <w:r w:rsidR="00782DF2" w:rsidRPr="00911998">
        <w:t xml:space="preserve"> prohibé</w:t>
      </w:r>
      <w:r w:rsidR="00F67359" w:rsidRPr="00911998">
        <w:rPr>
          <w:rStyle w:val="Appelnotedebasdep"/>
        </w:rPr>
        <w:footnoteReference w:id="199"/>
      </w:r>
      <w:r w:rsidR="00F67359" w:rsidRPr="00911998">
        <w:t xml:space="preserve">. </w:t>
      </w:r>
      <w:r w:rsidRPr="00911998">
        <w:t>Par exemple, les motifs analogues de discrimination ne sont pas limités aux groupes historiquement défavorisés</w:t>
      </w:r>
      <w:r w:rsidRPr="00911998">
        <w:rPr>
          <w:rStyle w:val="Appelnotedebasdep"/>
        </w:rPr>
        <w:footnoteReference w:id="200"/>
      </w:r>
      <w:r w:rsidRPr="00911998">
        <w:t xml:space="preserve">. Comme l’explique la juge </w:t>
      </w:r>
      <w:proofErr w:type="spellStart"/>
      <w:r w:rsidRPr="00911998">
        <w:t>McLachlin</w:t>
      </w:r>
      <w:proofErr w:type="spellEnd"/>
      <w:r w:rsidRPr="00911998">
        <w:t xml:space="preserve"> dans </w:t>
      </w:r>
      <w:r w:rsidRPr="00911998">
        <w:rPr>
          <w:i/>
          <w:iCs/>
        </w:rPr>
        <w:t>Miron c. Trudel</w:t>
      </w:r>
      <w:r w:rsidRPr="00911998">
        <w:t>, «</w:t>
      </w:r>
      <w:r w:rsidR="00B94B0A" w:rsidRPr="00911998">
        <w:t> </w:t>
      </w:r>
      <w:r w:rsidRPr="00911998">
        <w:t xml:space="preserve">pour que la </w:t>
      </w:r>
      <w:r w:rsidRPr="00911998">
        <w:rPr>
          <w:i/>
          <w:iCs/>
        </w:rPr>
        <w:t xml:space="preserve">Charte </w:t>
      </w:r>
      <w:r w:rsidRPr="00911998">
        <w:t xml:space="preserve">demeure pertinente pour les générations futures, elle doit permettre de </w:t>
      </w:r>
      <w:r w:rsidR="00B94B0A" w:rsidRPr="00911998">
        <w:t>reconna</w:t>
      </w:r>
      <w:r w:rsidR="003D04E2" w:rsidRPr="00911998">
        <w:t>î</w:t>
      </w:r>
      <w:r w:rsidR="00B94B0A" w:rsidRPr="00911998">
        <w:t>tre</w:t>
      </w:r>
      <w:r w:rsidRPr="00911998">
        <w:t xml:space="preserve"> de nouveaux motifs de discrimination</w:t>
      </w:r>
      <w:r w:rsidR="00B94B0A" w:rsidRPr="00911998">
        <w:t> </w:t>
      </w:r>
      <w:r w:rsidRPr="00911998">
        <w:t>»</w:t>
      </w:r>
      <w:r w:rsidRPr="00911998">
        <w:rPr>
          <w:rStyle w:val="Appelnotedebasdep"/>
        </w:rPr>
        <w:footnoteReference w:id="201"/>
      </w:r>
      <w:r w:rsidRPr="00911998">
        <w:t>.</w:t>
      </w:r>
    </w:p>
    <w:p w14:paraId="41A3929C" w14:textId="653B9352" w:rsidR="00843AD5" w:rsidRPr="00911998" w:rsidRDefault="00843AD5" w:rsidP="00843AD5">
      <w:pPr>
        <w:pStyle w:val="Paragrsimple"/>
      </w:pPr>
      <w:r w:rsidRPr="00911998">
        <w:t xml:space="preserve">En l’espèce, certains de ces facteurs confirment le caractère immuable ou considéré </w:t>
      </w:r>
      <w:r w:rsidR="003D04E2" w:rsidRPr="00911998">
        <w:t>comme tel</w:t>
      </w:r>
      <w:r w:rsidRPr="00911998">
        <w:t xml:space="preserve"> </w:t>
      </w:r>
      <w:r w:rsidR="00AC57F5" w:rsidRPr="00911998">
        <w:t xml:space="preserve">de </w:t>
      </w:r>
      <w:r w:rsidRPr="00911998">
        <w:t>l’appartenance à un modèle familial particulier.</w:t>
      </w:r>
    </w:p>
    <w:p w14:paraId="22E03549" w14:textId="4C1888C8" w:rsidR="00B36AFC" w:rsidRPr="00911998" w:rsidRDefault="00B36AFC" w:rsidP="00B36AFC">
      <w:pPr>
        <w:pStyle w:val="Paragrsimple"/>
      </w:pPr>
      <w:r w:rsidRPr="00911998">
        <w:t>Il est de connaissance judiciaire que le modèle familial historiquement et actuellement dominant dans notre société consiste en un homme et une femme qui forment un couple et qui sont les géniteurs biologiques de leurs enfants. D’autres modèles familiaux existent</w:t>
      </w:r>
      <w:r w:rsidR="00957682" w:rsidRPr="00911998">
        <w:t xml:space="preserve">, mais </w:t>
      </w:r>
      <w:r w:rsidR="003D04E2" w:rsidRPr="00911998">
        <w:t xml:space="preserve">ils </w:t>
      </w:r>
      <w:r w:rsidR="00957682" w:rsidRPr="00911998">
        <w:t>sont nettement minoritaires</w:t>
      </w:r>
      <w:r w:rsidRPr="00911998">
        <w:t xml:space="preserve">. </w:t>
      </w:r>
    </w:p>
    <w:p w14:paraId="56F551EC" w14:textId="000A2048" w:rsidR="00782DF2" w:rsidRPr="00911998" w:rsidRDefault="00782DF2" w:rsidP="00782DF2">
      <w:pPr>
        <w:pStyle w:val="Paragrsimple"/>
      </w:pPr>
      <w:r w:rsidRPr="00911998">
        <w:t xml:space="preserve">La preuve appuie le caractère de minorité discrète et isolée des membres de familles </w:t>
      </w:r>
      <w:proofErr w:type="spellStart"/>
      <w:r w:rsidRPr="00911998">
        <w:t>pluriparentales</w:t>
      </w:r>
      <w:proofErr w:type="spellEnd"/>
      <w:r w:rsidRPr="00911998">
        <w:t xml:space="preserve">. Ceux-ci sont très conscients que leur structure familiale s’écarte de la norme. Ils subissent le jugement des autres et adoptent des mesures pour s’en protéger. Voici </w:t>
      </w:r>
      <w:r w:rsidR="003F213F" w:rsidRPr="00911998">
        <w:t xml:space="preserve">trois </w:t>
      </w:r>
      <w:r w:rsidRPr="00911998">
        <w:t>exemples tirés de l’expérience des Demandeurs individuels :</w:t>
      </w:r>
    </w:p>
    <w:p w14:paraId="2514C5D0" w14:textId="4EB8A51A" w:rsidR="00930499" w:rsidRPr="00911998" w:rsidRDefault="00930499" w:rsidP="000F6BA9">
      <w:pPr>
        <w:pStyle w:val="Paragrsimple"/>
        <w:numPr>
          <w:ilvl w:val="0"/>
          <w:numId w:val="19"/>
        </w:numPr>
      </w:pPr>
      <w:r w:rsidRPr="00911998">
        <w:t xml:space="preserve">Un représentant de l’employeur de monsieur </w:t>
      </w:r>
      <w:proofErr w:type="gramStart"/>
      <w:r w:rsidR="000032F7">
        <w:t>D...</w:t>
      </w:r>
      <w:proofErr w:type="gramEnd"/>
      <w:r w:rsidRPr="00911998">
        <w:t xml:space="preserve"> qualifie </w:t>
      </w:r>
      <w:r w:rsidR="00153EC1">
        <w:t>X</w:t>
      </w:r>
      <w:r w:rsidRPr="00911998">
        <w:t xml:space="preserve"> d’enfant illégitime</w:t>
      </w:r>
      <w:r w:rsidR="00B94B0A" w:rsidRPr="00911998">
        <w:t> </w:t>
      </w:r>
      <w:r w:rsidRPr="00911998">
        <w:t>;</w:t>
      </w:r>
    </w:p>
    <w:p w14:paraId="3DCA9DCE" w14:textId="23C9F713" w:rsidR="00110A31" w:rsidRPr="00911998" w:rsidRDefault="00930499" w:rsidP="000F6BA9">
      <w:pPr>
        <w:pStyle w:val="Paragrsimple"/>
        <w:numPr>
          <w:ilvl w:val="0"/>
          <w:numId w:val="19"/>
        </w:numPr>
      </w:pPr>
      <w:r w:rsidRPr="00911998">
        <w:t xml:space="preserve">Une travailleuse sociale a qualifié d’illégale la structure familiale de la famille </w:t>
      </w:r>
      <w:proofErr w:type="gramStart"/>
      <w:r w:rsidR="00E13A68">
        <w:t>L...</w:t>
      </w:r>
      <w:proofErr w:type="gramEnd"/>
      <w:r w:rsidRPr="00911998">
        <w:t>-</w:t>
      </w:r>
      <w:r w:rsidR="00E13A68">
        <w:t>Mi...</w:t>
      </w:r>
      <w:r w:rsidRPr="00911998">
        <w:noBreakHyphen/>
      </w:r>
      <w:r w:rsidR="00E13A68">
        <w:t>A...</w:t>
      </w:r>
      <w:r w:rsidR="00B94B0A" w:rsidRPr="00911998">
        <w:t> </w:t>
      </w:r>
      <w:r w:rsidRPr="00911998">
        <w:t>;</w:t>
      </w:r>
      <w:r w:rsidR="003F213F" w:rsidRPr="00911998">
        <w:t xml:space="preserve"> et</w:t>
      </w:r>
    </w:p>
    <w:p w14:paraId="4E37D3C5" w14:textId="3D8CDB5F" w:rsidR="00110A31" w:rsidRPr="00911998" w:rsidRDefault="00110A31" w:rsidP="000F6BA9">
      <w:pPr>
        <w:pStyle w:val="Paragrsimple"/>
        <w:numPr>
          <w:ilvl w:val="0"/>
          <w:numId w:val="19"/>
        </w:numPr>
      </w:pPr>
      <w:r w:rsidRPr="00911998">
        <w:t xml:space="preserve">Madame </w:t>
      </w:r>
      <w:proofErr w:type="gramStart"/>
      <w:r w:rsidR="00E13A68">
        <w:t>A...</w:t>
      </w:r>
      <w:proofErr w:type="gramEnd"/>
      <w:r w:rsidRPr="00911998">
        <w:t xml:space="preserve"> ne participe pas aux démarches de madame </w:t>
      </w:r>
      <w:r w:rsidR="00E13A68">
        <w:t>L...</w:t>
      </w:r>
      <w:r w:rsidRPr="00911998">
        <w:t xml:space="preserve"> et </w:t>
      </w:r>
      <w:r w:rsidR="003D04E2" w:rsidRPr="00911998">
        <w:t xml:space="preserve">de </w:t>
      </w:r>
      <w:r w:rsidRPr="00911998">
        <w:t xml:space="preserve">monsieur </w:t>
      </w:r>
      <w:r w:rsidR="00E13A68">
        <w:t>Mi...</w:t>
      </w:r>
      <w:r w:rsidRPr="00911998">
        <w:t xml:space="preserve"> pour </w:t>
      </w:r>
      <w:r w:rsidR="003D04E2" w:rsidRPr="00911998">
        <w:t>trouve</w:t>
      </w:r>
      <w:r w:rsidRPr="00911998">
        <w:t xml:space="preserve">r une mère </w:t>
      </w:r>
      <w:r w:rsidR="009352DC" w:rsidRPr="00911998">
        <w:t>porteuse,</w:t>
      </w:r>
      <w:r w:rsidRPr="00911998">
        <w:t xml:space="preserve"> car ils appréhendent une discrimination </w:t>
      </w:r>
      <w:r w:rsidR="003D04E2" w:rsidRPr="00911998">
        <w:t>à leur égard</w:t>
      </w:r>
      <w:r w:rsidR="003F213F" w:rsidRPr="00911998">
        <w:t>.</w:t>
      </w:r>
    </w:p>
    <w:p w14:paraId="1026F76C" w14:textId="7DDA14DB" w:rsidR="00957682" w:rsidRPr="00911998" w:rsidRDefault="00782DF2" w:rsidP="00957682">
      <w:pPr>
        <w:pStyle w:val="Paragrsimple"/>
      </w:pPr>
      <w:r w:rsidRPr="00911998">
        <w:t>En somme,</w:t>
      </w:r>
      <w:r w:rsidR="00957682" w:rsidRPr="00911998">
        <w:t xml:space="preserve"> </w:t>
      </w:r>
      <w:r w:rsidR="00B94B0A" w:rsidRPr="00911998">
        <w:t xml:space="preserve">ceux </w:t>
      </w:r>
      <w:r w:rsidR="00957682" w:rsidRPr="00911998">
        <w:t xml:space="preserve">et celles qui adoptent des modèles familiaux </w:t>
      </w:r>
      <w:r w:rsidR="00B94B0A" w:rsidRPr="00911998">
        <w:t>non traditionnels</w:t>
      </w:r>
      <w:r w:rsidR="00957682" w:rsidRPr="00911998">
        <w:t xml:space="preserve"> forment très certainement une minorité discrète et isolée, et ce, même si les familles </w:t>
      </w:r>
      <w:r w:rsidR="00B94B0A" w:rsidRPr="00911998">
        <w:t>non traditionnelles</w:t>
      </w:r>
      <w:r w:rsidR="00957682" w:rsidRPr="00911998">
        <w:t xml:space="preserve"> deviennent de plus en plus visibles au sein de notre société. Bien que la présence d’une minorité discrète et isolée ne soit pas nécessaire pour conclure à l’existence d’un motif analogue</w:t>
      </w:r>
      <w:r w:rsidR="00957682" w:rsidRPr="00911998">
        <w:rPr>
          <w:rStyle w:val="Appelnotedebasdep"/>
        </w:rPr>
        <w:footnoteReference w:id="202"/>
      </w:r>
      <w:r w:rsidR="00957682" w:rsidRPr="00911998">
        <w:t xml:space="preserve">, ce facteur joue en faveur de la reconnaissance de </w:t>
      </w:r>
      <w:r w:rsidR="00957682" w:rsidRPr="00911998">
        <w:lastRenderedPageBreak/>
        <w:t xml:space="preserve">l’appartenance à un modèle familial particulier </w:t>
      </w:r>
      <w:r w:rsidR="003D04E2" w:rsidRPr="00911998">
        <w:t>comme</w:t>
      </w:r>
      <w:r w:rsidR="00957682" w:rsidRPr="00911998">
        <w:t xml:space="preserve"> motif prohibé aux termes du paragraphe 15(1) de la </w:t>
      </w:r>
      <w:r w:rsidR="00957682" w:rsidRPr="00911998">
        <w:rPr>
          <w:i/>
          <w:iCs/>
        </w:rPr>
        <w:t>Charte canadienne.</w:t>
      </w:r>
    </w:p>
    <w:p w14:paraId="724E6A54" w14:textId="6DA2B256" w:rsidR="0089562B" w:rsidRPr="00911998" w:rsidRDefault="0089562B" w:rsidP="0089562B">
      <w:pPr>
        <w:pStyle w:val="Paragrsimple"/>
      </w:pPr>
      <w:r w:rsidRPr="00911998">
        <w:t xml:space="preserve">La preuve ne traite pas directement </w:t>
      </w:r>
      <w:r w:rsidR="000437CF" w:rsidRPr="00911998">
        <w:t xml:space="preserve">du désavantage historique vécu par les familles </w:t>
      </w:r>
      <w:proofErr w:type="spellStart"/>
      <w:r w:rsidR="000437CF" w:rsidRPr="00911998">
        <w:t>pluriparentales</w:t>
      </w:r>
      <w:proofErr w:type="spellEnd"/>
      <w:r w:rsidR="00CC4909" w:rsidRPr="00911998">
        <w:t xml:space="preserve">, </w:t>
      </w:r>
      <w:r w:rsidR="001C17FB" w:rsidRPr="00911998">
        <w:t>le</w:t>
      </w:r>
      <w:r w:rsidR="00CC4909" w:rsidRPr="00911998">
        <w:t xml:space="preserve"> phénomène </w:t>
      </w:r>
      <w:r w:rsidR="001C17FB" w:rsidRPr="00911998">
        <w:t xml:space="preserve">de la </w:t>
      </w:r>
      <w:proofErr w:type="spellStart"/>
      <w:r w:rsidR="001C17FB" w:rsidRPr="00911998">
        <w:t>pluriparentalité</w:t>
      </w:r>
      <w:proofErr w:type="spellEnd"/>
      <w:r w:rsidR="001C17FB" w:rsidRPr="00911998">
        <w:t xml:space="preserve"> étant </w:t>
      </w:r>
      <w:r w:rsidR="00CC4909" w:rsidRPr="00911998">
        <w:t>peu étudié jusqu’à présent</w:t>
      </w:r>
      <w:r w:rsidR="000437CF" w:rsidRPr="00911998">
        <w:t xml:space="preserve">. Cela dit, il est manifeste que les personnes ayant adopté </w:t>
      </w:r>
      <w:r w:rsidR="00991F7E" w:rsidRPr="00911998">
        <w:t xml:space="preserve">au fil des époques </w:t>
      </w:r>
      <w:r w:rsidR="000437CF" w:rsidRPr="00911998">
        <w:t xml:space="preserve">des modèles familiaux </w:t>
      </w:r>
      <w:r w:rsidR="00B94B0A" w:rsidRPr="00911998">
        <w:t>non traditionnels</w:t>
      </w:r>
      <w:r w:rsidR="000437CF" w:rsidRPr="00911998">
        <w:t xml:space="preserve"> </w:t>
      </w:r>
      <w:r w:rsidR="00B94B0A" w:rsidRPr="00911998">
        <w:t>—</w:t>
      </w:r>
      <w:r w:rsidR="000437CF" w:rsidRPr="00911998">
        <w:t xml:space="preserve"> pensons aux couples non mariés, aux couples de même sexe ou aux familles monoparentales </w:t>
      </w:r>
      <w:r w:rsidR="00B94B0A" w:rsidRPr="00911998">
        <w:t>—</w:t>
      </w:r>
      <w:r w:rsidR="000437CF" w:rsidRPr="00911998">
        <w:t xml:space="preserve"> ont historiquement fait l’objet de désavantage et de discrimination.</w:t>
      </w:r>
    </w:p>
    <w:p w14:paraId="5C3BE154" w14:textId="6DC05BB1" w:rsidR="000437CF" w:rsidRPr="00911998" w:rsidRDefault="00CC4909" w:rsidP="000437CF">
      <w:pPr>
        <w:pStyle w:val="Paragrsimple"/>
      </w:pPr>
      <w:r w:rsidRPr="00911998">
        <w:t>La reconnaissance de l’état matrimonial</w:t>
      </w:r>
      <w:r w:rsidRPr="00911998">
        <w:rPr>
          <w:rStyle w:val="Appelnotedebasdep"/>
        </w:rPr>
        <w:footnoteReference w:id="203"/>
      </w:r>
      <w:r w:rsidRPr="00911998">
        <w:t xml:space="preserve"> et de l’orientation sexuelle</w:t>
      </w:r>
      <w:r w:rsidR="00A21E45" w:rsidRPr="00911998">
        <w:rPr>
          <w:rStyle w:val="Appelnotedebasdep"/>
        </w:rPr>
        <w:footnoteReference w:id="204"/>
      </w:r>
      <w:r w:rsidRPr="00911998">
        <w:t xml:space="preserve"> </w:t>
      </w:r>
      <w:r w:rsidR="00F37A9C" w:rsidRPr="00911998">
        <w:t>comme</w:t>
      </w:r>
      <w:r w:rsidRPr="00911998">
        <w:t xml:space="preserve"> motifs analogues </w:t>
      </w:r>
      <w:r w:rsidR="00B94B0A" w:rsidRPr="00911998">
        <w:t>témoigne</w:t>
      </w:r>
      <w:r w:rsidR="00A80FE3" w:rsidRPr="00911998">
        <w:t>nt</w:t>
      </w:r>
      <w:r w:rsidRPr="00911998">
        <w:t xml:space="preserve"> de ce désavantage historique. Il en est de même du traitement juridique réservé aux enfants issus de tels modèles familiaux pendant </w:t>
      </w:r>
      <w:r w:rsidR="00B94B0A" w:rsidRPr="00911998">
        <w:t>de</w:t>
      </w:r>
      <w:r w:rsidRPr="00911998">
        <w:t xml:space="preserve"> nombreuses années.</w:t>
      </w:r>
      <w:r w:rsidR="00A21E45" w:rsidRPr="00911998">
        <w:t xml:space="preserve"> </w:t>
      </w:r>
    </w:p>
    <w:p w14:paraId="2FEF4DC7" w14:textId="4EB33034" w:rsidR="00F700D9" w:rsidRPr="00911998" w:rsidRDefault="00246397" w:rsidP="0089562B">
      <w:pPr>
        <w:pStyle w:val="Paragrsimple"/>
      </w:pPr>
      <w:r w:rsidRPr="00911998">
        <w:t xml:space="preserve">En effet, jusqu’à l’adoption </w:t>
      </w:r>
      <w:r w:rsidR="001C17FB" w:rsidRPr="00911998">
        <w:t xml:space="preserve">en 1980 </w:t>
      </w:r>
      <w:r w:rsidRPr="00911998">
        <w:t>du principe de l’égalité des enfants quelles que soient les circonstances de leur naissance</w:t>
      </w:r>
      <w:r w:rsidRPr="00911998">
        <w:rPr>
          <w:rStyle w:val="Appelnotedebasdep"/>
        </w:rPr>
        <w:footnoteReference w:id="205"/>
      </w:r>
      <w:r w:rsidRPr="00911998">
        <w:t xml:space="preserve">, les enfants nés hors mariage </w:t>
      </w:r>
      <w:r w:rsidR="00B94B0A" w:rsidRPr="00911998">
        <w:t>—</w:t>
      </w:r>
      <w:r w:rsidRPr="00911998">
        <w:t xml:space="preserve"> dits «</w:t>
      </w:r>
      <w:r w:rsidR="00B94B0A" w:rsidRPr="00911998">
        <w:t> </w:t>
      </w:r>
      <w:r w:rsidRPr="00911998">
        <w:t>naturels</w:t>
      </w:r>
      <w:r w:rsidR="00B94B0A" w:rsidRPr="00911998">
        <w:t> </w:t>
      </w:r>
      <w:r w:rsidRPr="00911998">
        <w:t>» ou «</w:t>
      </w:r>
      <w:r w:rsidR="00B94B0A" w:rsidRPr="00911998">
        <w:t> </w:t>
      </w:r>
      <w:r w:rsidRPr="00911998">
        <w:t>illégitimes</w:t>
      </w:r>
      <w:r w:rsidR="00B94B0A" w:rsidRPr="00911998">
        <w:t> </w:t>
      </w:r>
      <w:r w:rsidRPr="00911998">
        <w:t xml:space="preserve">» </w:t>
      </w:r>
      <w:r w:rsidR="00B94B0A" w:rsidRPr="00911998">
        <w:t>—</w:t>
      </w:r>
      <w:r w:rsidRPr="00911998">
        <w:t xml:space="preserve"> étaient fortement désavantagé</w:t>
      </w:r>
      <w:r w:rsidR="001C17FB" w:rsidRPr="00911998">
        <w:t>s</w:t>
      </w:r>
      <w:r w:rsidRPr="00911998">
        <w:t xml:space="preserve"> </w:t>
      </w:r>
      <w:r w:rsidR="00F37A9C" w:rsidRPr="00911998">
        <w:t>par le</w:t>
      </w:r>
      <w:r w:rsidRPr="00911998">
        <w:t xml:space="preserve"> droit québécois par rapport aux enfants issus de parents mariés</w:t>
      </w:r>
      <w:r w:rsidRPr="00911998">
        <w:rPr>
          <w:rStyle w:val="Appelnotedebasdep"/>
        </w:rPr>
        <w:footnoteReference w:id="206"/>
      </w:r>
      <w:r w:rsidRPr="00911998">
        <w:t>.</w:t>
      </w:r>
      <w:r w:rsidR="00E347A0" w:rsidRPr="00911998">
        <w:t xml:space="preserve"> </w:t>
      </w:r>
      <w:r w:rsidR="00F700D9" w:rsidRPr="00911998">
        <w:t xml:space="preserve">Même le langage utilisé par les tribunaux reflétait la réprobation sociale et juridique vécue par </w:t>
      </w:r>
      <w:r w:rsidR="00AC57F5" w:rsidRPr="00911998">
        <w:t>c</w:t>
      </w:r>
      <w:r w:rsidR="00F700D9" w:rsidRPr="00911998">
        <w:t>es enfants</w:t>
      </w:r>
      <w:r w:rsidR="00F700D9" w:rsidRPr="00911998">
        <w:rPr>
          <w:rStyle w:val="Appelnotedebasdep"/>
        </w:rPr>
        <w:footnoteReference w:id="207"/>
      </w:r>
      <w:r w:rsidR="00F700D9" w:rsidRPr="00911998">
        <w:t>.</w:t>
      </w:r>
    </w:p>
    <w:p w14:paraId="6BF35C7D" w14:textId="0CFDDA39" w:rsidR="00F700D9" w:rsidRPr="00911998" w:rsidRDefault="00E347A0" w:rsidP="0089562B">
      <w:pPr>
        <w:pStyle w:val="Paragrsimple"/>
      </w:pPr>
      <w:r w:rsidRPr="00911998">
        <w:t>En 1966, alors qu’il était professeur de droit, Jean</w:t>
      </w:r>
      <w:r w:rsidRPr="00911998">
        <w:noBreakHyphen/>
        <w:t>Louis Baudouin qualifie</w:t>
      </w:r>
      <w:r w:rsidR="00F700D9" w:rsidRPr="00911998">
        <w:t xml:space="preserve"> à bon droit</w:t>
      </w:r>
      <w:r w:rsidRPr="00911998">
        <w:t xml:space="preserve"> le traitement juridique des enfants nés hors mariage de «</w:t>
      </w:r>
      <w:r w:rsidR="00B94B0A" w:rsidRPr="00911998">
        <w:t> </w:t>
      </w:r>
      <w:r w:rsidRPr="00911998">
        <w:t>situation inique</w:t>
      </w:r>
      <w:r w:rsidR="00B94B0A" w:rsidRPr="00911998">
        <w:t> </w:t>
      </w:r>
      <w:r w:rsidRPr="00911998">
        <w:t>»</w:t>
      </w:r>
      <w:r w:rsidR="00F700D9" w:rsidRPr="00911998">
        <w:rPr>
          <w:rStyle w:val="Appelnotedebasdep"/>
        </w:rPr>
        <w:footnoteReference w:id="208"/>
      </w:r>
      <w:r w:rsidRPr="00911998">
        <w:t>.</w:t>
      </w:r>
      <w:r w:rsidR="00F700D9" w:rsidRPr="00911998">
        <w:t xml:space="preserve"> Plus de trente ans plus tard, cette fois </w:t>
      </w:r>
      <w:r w:rsidR="006A755C" w:rsidRPr="00911998">
        <w:t>à titre de</w:t>
      </w:r>
      <w:r w:rsidR="00F700D9" w:rsidRPr="00911998">
        <w:t xml:space="preserve"> juge </w:t>
      </w:r>
      <w:r w:rsidR="00F37A9C" w:rsidRPr="00911998">
        <w:t>à</w:t>
      </w:r>
      <w:r w:rsidR="00F700D9" w:rsidRPr="00911998">
        <w:t xml:space="preserve"> la Cour d’appel du Québec</w:t>
      </w:r>
      <w:r w:rsidR="006A755C" w:rsidRPr="00911998">
        <w:t>,</w:t>
      </w:r>
      <w:r w:rsidR="00F700D9" w:rsidRPr="00911998">
        <w:t xml:space="preserve"> il écrit</w:t>
      </w:r>
      <w:r w:rsidR="00DC7246" w:rsidRPr="00911998">
        <w:rPr>
          <w:rStyle w:val="Appelnotedebasdep"/>
        </w:rPr>
        <w:footnoteReference w:id="209"/>
      </w:r>
      <w:r w:rsidR="00F700D9" w:rsidRPr="00911998">
        <w:t> :</w:t>
      </w:r>
    </w:p>
    <w:p w14:paraId="7963C6D7" w14:textId="55B8C5EC" w:rsidR="0089562B" w:rsidRPr="00911998" w:rsidRDefault="00DC7246" w:rsidP="00DC7246">
      <w:pPr>
        <w:ind w:left="567" w:right="560"/>
        <w:jc w:val="both"/>
        <w:rPr>
          <w:rFonts w:cs="Arial"/>
          <w:sz w:val="22"/>
          <w:szCs w:val="22"/>
        </w:rPr>
      </w:pPr>
      <w:r w:rsidRPr="00911998">
        <w:rPr>
          <w:rFonts w:cs="Arial"/>
          <w:sz w:val="22"/>
          <w:szCs w:val="22"/>
        </w:rPr>
        <w:t xml:space="preserve">Le </w:t>
      </w:r>
      <w:r w:rsidRPr="00911998">
        <w:rPr>
          <w:rFonts w:cs="Arial"/>
          <w:i/>
          <w:iCs/>
          <w:sz w:val="22"/>
          <w:szCs w:val="22"/>
        </w:rPr>
        <w:t xml:space="preserve">Code civil </w:t>
      </w:r>
      <w:r w:rsidR="005A74C0" w:rsidRPr="00911998">
        <w:rPr>
          <w:rFonts w:cs="Arial"/>
          <w:i/>
          <w:iCs/>
          <w:sz w:val="22"/>
          <w:szCs w:val="22"/>
        </w:rPr>
        <w:t>[</w:t>
      </w:r>
      <w:r w:rsidRPr="00911998">
        <w:rPr>
          <w:rFonts w:cs="Arial"/>
          <w:i/>
          <w:iCs/>
          <w:sz w:val="22"/>
          <w:szCs w:val="22"/>
        </w:rPr>
        <w:t>du Bas-Canada</w:t>
      </w:r>
      <w:r w:rsidR="005A74C0" w:rsidRPr="00911998">
        <w:rPr>
          <w:rFonts w:cs="Arial"/>
          <w:i/>
          <w:iCs/>
          <w:sz w:val="22"/>
          <w:szCs w:val="22"/>
        </w:rPr>
        <w:t>]</w:t>
      </w:r>
      <w:r w:rsidRPr="00911998">
        <w:rPr>
          <w:rFonts w:cs="Arial"/>
          <w:sz w:val="22"/>
          <w:szCs w:val="22"/>
        </w:rPr>
        <w:t xml:space="preserve"> faisait, à l’origine, une distinction aussi claire que discriminatoire entre les enfants légitimes et les enfants naturels. Ces derniers étaient traités comme des citoyens de seconde zone qui devaient, en quelque sorte, payer pour le « péché » de leurs parents.</w:t>
      </w:r>
      <w:r w:rsidR="005A74C0" w:rsidRPr="00911998">
        <w:rPr>
          <w:rFonts w:cs="Arial"/>
          <w:sz w:val="22"/>
          <w:szCs w:val="22"/>
        </w:rPr>
        <w:t xml:space="preserve"> […]</w:t>
      </w:r>
    </w:p>
    <w:p w14:paraId="06F50E71" w14:textId="42CCB14D" w:rsidR="00DC7246" w:rsidRPr="00911998" w:rsidRDefault="00AF59E0" w:rsidP="00DC7246">
      <w:pPr>
        <w:pStyle w:val="Paragrsimple"/>
      </w:pPr>
      <w:r w:rsidRPr="00911998">
        <w:t xml:space="preserve">Il est manifeste que les personnes ayant adopté un modèle familial </w:t>
      </w:r>
      <w:r w:rsidR="001A1B54" w:rsidRPr="00911998">
        <w:t>non traditionnel</w:t>
      </w:r>
      <w:r w:rsidRPr="00911998">
        <w:t xml:space="preserve"> ont</w:t>
      </w:r>
      <w:r w:rsidR="006A755C" w:rsidRPr="00911998">
        <w:t xml:space="preserve"> fait</w:t>
      </w:r>
      <w:r w:rsidRPr="00911998">
        <w:t xml:space="preserve"> l’objet d’un désavantage historique, </w:t>
      </w:r>
      <w:r w:rsidR="00F37A9C" w:rsidRPr="00911998">
        <w:t>quel que soit</w:t>
      </w:r>
      <w:r w:rsidRPr="00911998">
        <w:t xml:space="preserve"> leur modèle familial spécifique.</w:t>
      </w:r>
    </w:p>
    <w:p w14:paraId="15E14D3A" w14:textId="6131BC41" w:rsidR="009C56F7" w:rsidRPr="00911998" w:rsidRDefault="006A755C" w:rsidP="009C56F7">
      <w:pPr>
        <w:pStyle w:val="Paragrsimple"/>
        <w:rPr>
          <w:rFonts w:cs="Arial"/>
          <w:sz w:val="22"/>
          <w:szCs w:val="22"/>
        </w:rPr>
      </w:pPr>
      <w:r w:rsidRPr="00911998">
        <w:lastRenderedPageBreak/>
        <w:t xml:space="preserve">Signalons </w:t>
      </w:r>
      <w:r w:rsidR="00F37A9C" w:rsidRPr="00911998">
        <w:t>par ailleurs</w:t>
      </w:r>
      <w:r w:rsidRPr="00911998">
        <w:t xml:space="preserve"> que l’appartenance à un modèle familial particulier est une caractéristique personnelle qui ressemble à bien des égards à l’état matrimonial. </w:t>
      </w:r>
      <w:r w:rsidR="009C56F7" w:rsidRPr="00911998">
        <w:t xml:space="preserve">Dans l’arrêt </w:t>
      </w:r>
      <w:r w:rsidR="009C56F7" w:rsidRPr="00911998">
        <w:rPr>
          <w:i/>
          <w:iCs/>
        </w:rPr>
        <w:t xml:space="preserve">Miron c. </w:t>
      </w:r>
      <w:r w:rsidR="009C56F7" w:rsidRPr="00796D3F">
        <w:rPr>
          <w:i/>
          <w:iCs/>
        </w:rPr>
        <w:t>Trudel</w:t>
      </w:r>
      <w:r w:rsidR="009C56F7" w:rsidRPr="00911998">
        <w:t xml:space="preserve">, </w:t>
      </w:r>
      <w:r w:rsidRPr="00911998">
        <w:t xml:space="preserve">la juge </w:t>
      </w:r>
      <w:proofErr w:type="spellStart"/>
      <w:r w:rsidRPr="00911998">
        <w:t>McLachlin</w:t>
      </w:r>
      <w:proofErr w:type="spellEnd"/>
      <w:r w:rsidR="009C56F7" w:rsidRPr="00911998">
        <w:t xml:space="preserve"> note que l’état matrimonial est un motif qui </w:t>
      </w:r>
      <w:r w:rsidR="009C56F7" w:rsidRPr="00911998">
        <w:rPr>
          <w:szCs w:val="24"/>
        </w:rPr>
        <w:t>«</w:t>
      </w:r>
      <w:r w:rsidR="001A1B54" w:rsidRPr="00911998">
        <w:rPr>
          <w:szCs w:val="24"/>
        </w:rPr>
        <w:t> </w:t>
      </w:r>
      <w:r w:rsidR="009C56F7" w:rsidRPr="00911998">
        <w:rPr>
          <w:rFonts w:cs="Arial"/>
          <w:spacing w:val="-3"/>
          <w:szCs w:val="24"/>
        </w:rPr>
        <w:t>touche la liberté d</w:t>
      </w:r>
      <w:r w:rsidR="001A1B54" w:rsidRPr="00911998">
        <w:rPr>
          <w:rFonts w:cs="Arial"/>
          <w:spacing w:val="-3"/>
          <w:szCs w:val="24"/>
        </w:rPr>
        <w:t>’</w:t>
      </w:r>
      <w:r w:rsidR="009C56F7" w:rsidRPr="00911998">
        <w:rPr>
          <w:rFonts w:cs="Arial"/>
          <w:spacing w:val="-3"/>
          <w:szCs w:val="24"/>
        </w:rPr>
        <w:t>une personne de vivre avec le partenaire de son choix, comme elle l</w:t>
      </w:r>
      <w:r w:rsidR="001A1B54" w:rsidRPr="00911998">
        <w:rPr>
          <w:rFonts w:cs="Arial"/>
          <w:spacing w:val="-3"/>
          <w:szCs w:val="24"/>
        </w:rPr>
        <w:t>’</w:t>
      </w:r>
      <w:r w:rsidR="009C56F7" w:rsidRPr="00911998">
        <w:rPr>
          <w:rFonts w:cs="Arial"/>
          <w:spacing w:val="-3"/>
          <w:szCs w:val="24"/>
        </w:rPr>
        <w:t>entend</w:t>
      </w:r>
      <w:r w:rsidR="001A1B54" w:rsidRPr="00911998">
        <w:rPr>
          <w:rFonts w:cs="Arial"/>
          <w:spacing w:val="-3"/>
          <w:szCs w:val="24"/>
        </w:rPr>
        <w:t> </w:t>
      </w:r>
      <w:r w:rsidR="009C56F7" w:rsidRPr="00911998">
        <w:rPr>
          <w:rFonts w:cs="Arial"/>
          <w:spacing w:val="-3"/>
          <w:szCs w:val="24"/>
        </w:rPr>
        <w:t>»</w:t>
      </w:r>
      <w:r w:rsidR="009C56F7" w:rsidRPr="00911998">
        <w:rPr>
          <w:rStyle w:val="Appelnotedebasdep"/>
          <w:szCs w:val="24"/>
        </w:rPr>
        <w:footnoteReference w:id="210"/>
      </w:r>
      <w:r w:rsidR="009C56F7" w:rsidRPr="00911998">
        <w:rPr>
          <w:rFonts w:cs="Arial"/>
          <w:spacing w:val="-3"/>
          <w:szCs w:val="24"/>
        </w:rPr>
        <w:t>.</w:t>
      </w:r>
      <w:r w:rsidR="009C56F7" w:rsidRPr="00911998">
        <w:rPr>
          <w:szCs w:val="24"/>
        </w:rPr>
        <w:t xml:space="preserve"> </w:t>
      </w:r>
      <w:r w:rsidRPr="00911998">
        <w:rPr>
          <w:szCs w:val="24"/>
        </w:rPr>
        <w:t xml:space="preserve"> </w:t>
      </w:r>
      <w:r w:rsidR="009C56F7" w:rsidRPr="00911998">
        <w:rPr>
          <w:szCs w:val="24"/>
        </w:rPr>
        <w:t>Cette remarque s’applique</w:t>
      </w:r>
      <w:r w:rsidRPr="00911998">
        <w:rPr>
          <w:szCs w:val="24"/>
        </w:rPr>
        <w:t xml:space="preserve"> </w:t>
      </w:r>
      <w:r w:rsidRPr="00911998">
        <w:rPr>
          <w:i/>
          <w:iCs/>
          <w:szCs w:val="24"/>
        </w:rPr>
        <w:t xml:space="preserve">mutatis mutandis </w:t>
      </w:r>
      <w:r w:rsidR="00C26B7F" w:rsidRPr="00911998">
        <w:rPr>
          <w:szCs w:val="24"/>
        </w:rPr>
        <w:t>à l’appartenance à un modèle de famille particulier</w:t>
      </w:r>
      <w:r w:rsidR="009C56F7" w:rsidRPr="00911998">
        <w:rPr>
          <w:szCs w:val="24"/>
        </w:rPr>
        <w:t>.</w:t>
      </w:r>
    </w:p>
    <w:p w14:paraId="3D91FBC5" w14:textId="50821303" w:rsidR="00A22B96" w:rsidRPr="00911998" w:rsidRDefault="00A22B96" w:rsidP="00A22B96">
      <w:pPr>
        <w:pStyle w:val="Paragrsimple"/>
      </w:pPr>
      <w:r w:rsidRPr="00911998">
        <w:t xml:space="preserve">Ces éléments suffisent pour confirmer que l’appartenance à </w:t>
      </w:r>
      <w:r w:rsidR="001A1B54" w:rsidRPr="00911998">
        <w:t>un</w:t>
      </w:r>
      <w:r w:rsidRPr="00911998">
        <w:t xml:space="preserve"> modèle familial particulier constitue une caractéristique personnelle immuable ou considérée </w:t>
      </w:r>
      <w:r w:rsidR="00F37A9C" w:rsidRPr="00911998">
        <w:t xml:space="preserve">comme telle, </w:t>
      </w:r>
      <w:r w:rsidRPr="00911998">
        <w:t xml:space="preserve">qui sert souvent à la </w:t>
      </w:r>
      <w:r w:rsidR="00F37A9C" w:rsidRPr="00911998">
        <w:t>prise</w:t>
      </w:r>
      <w:r w:rsidRPr="00911998">
        <w:t xml:space="preserve"> de décisions </w:t>
      </w:r>
      <w:r w:rsidR="001A1B54" w:rsidRPr="00911998">
        <w:t>stéréotypées,</w:t>
      </w:r>
      <w:r w:rsidRPr="00911998">
        <w:t xml:space="preserve"> </w:t>
      </w:r>
      <w:r w:rsidR="009C56F7" w:rsidRPr="00911998">
        <w:t>lesquelles</w:t>
      </w:r>
      <w:r w:rsidRPr="00911998">
        <w:t xml:space="preserve"> ne sont pas </w:t>
      </w:r>
      <w:r w:rsidR="001A1B54" w:rsidRPr="00911998">
        <w:t>fondées</w:t>
      </w:r>
      <w:r w:rsidRPr="00911998">
        <w:t xml:space="preserve"> sur le mérite de l’individu. En somme</w:t>
      </w:r>
      <w:r w:rsidR="009C56F7" w:rsidRPr="00911998">
        <w:t>,</w:t>
      </w:r>
      <w:r w:rsidRPr="00911998">
        <w:t xml:space="preserve"> il convient de reconnaître</w:t>
      </w:r>
      <w:r w:rsidR="00812630" w:rsidRPr="00911998">
        <w:t xml:space="preserve"> le statut familial dans le sens de</w:t>
      </w:r>
      <w:r w:rsidRPr="00911998">
        <w:t xml:space="preserve"> l’appartenance à un modèle familial particulier</w:t>
      </w:r>
      <w:r w:rsidR="009C56F7" w:rsidRPr="00911998">
        <w:t xml:space="preserve">, y compris </w:t>
      </w:r>
      <w:r w:rsidR="007A38B1" w:rsidRPr="00911998">
        <w:t xml:space="preserve">à </w:t>
      </w:r>
      <w:r w:rsidR="009C56F7" w:rsidRPr="00911998">
        <w:t xml:space="preserve">une famille </w:t>
      </w:r>
      <w:proofErr w:type="spellStart"/>
      <w:r w:rsidR="009C56F7" w:rsidRPr="00911998">
        <w:t>pluriparentale</w:t>
      </w:r>
      <w:proofErr w:type="spellEnd"/>
      <w:r w:rsidR="009C56F7" w:rsidRPr="00911998">
        <w:t>,</w:t>
      </w:r>
      <w:r w:rsidRPr="00911998">
        <w:t xml:space="preserve"> </w:t>
      </w:r>
      <w:r w:rsidR="00F37A9C" w:rsidRPr="00911998">
        <w:t xml:space="preserve">comme </w:t>
      </w:r>
      <w:r w:rsidRPr="00911998">
        <w:t xml:space="preserve">motif analogue de discrimination prohibé aux termes du paragraphe 15(1) de la </w:t>
      </w:r>
      <w:r w:rsidRPr="00911998">
        <w:rPr>
          <w:i/>
          <w:iCs/>
        </w:rPr>
        <w:t>Charte canadienne</w:t>
      </w:r>
      <w:r w:rsidRPr="00911998">
        <w:t>.</w:t>
      </w:r>
    </w:p>
    <w:p w14:paraId="374B86A1" w14:textId="776898B4" w:rsidR="009E519C" w:rsidRPr="00911998" w:rsidRDefault="008E1D5D" w:rsidP="00A22B96">
      <w:pPr>
        <w:pStyle w:val="Paragrsimple"/>
      </w:pPr>
      <w:r w:rsidRPr="00911998">
        <w:t xml:space="preserve">Avant de conclure sur </w:t>
      </w:r>
      <w:r w:rsidR="009E519C" w:rsidRPr="00911998">
        <w:t xml:space="preserve">ce sujet, </w:t>
      </w:r>
      <w:r w:rsidR="00AC4BA8" w:rsidRPr="00911998">
        <w:t xml:space="preserve">trois </w:t>
      </w:r>
      <w:r w:rsidR="009E519C" w:rsidRPr="00911998">
        <w:t>remarques s’imposent.</w:t>
      </w:r>
    </w:p>
    <w:p w14:paraId="5EB9E8EC" w14:textId="446202C5" w:rsidR="00A22B96" w:rsidRPr="00911998" w:rsidRDefault="00A22B96" w:rsidP="00A22B96">
      <w:pPr>
        <w:pStyle w:val="Paragrsimple"/>
      </w:pPr>
      <w:r w:rsidRPr="00911998">
        <w:t xml:space="preserve"> </w:t>
      </w:r>
      <w:r w:rsidR="008A78B9" w:rsidRPr="00911998">
        <w:t>D’abord, à l’appui de leur demande de reconnaissance du statut familial à titre de motif analogue, les Demandeurs invoquent le fait que bon nombre de lois dans le domaine des droits de la personne le reconnaissent</w:t>
      </w:r>
      <w:r w:rsidR="00796D3F">
        <w:t xml:space="preserve"> </w:t>
      </w:r>
      <w:r w:rsidR="00796D3F" w:rsidRPr="00911998">
        <w:t>(ou reconnaissent la « situation familiale » ou « l’état familial »)</w:t>
      </w:r>
      <w:r w:rsidR="00465DF8" w:rsidRPr="00911998">
        <w:t xml:space="preserve"> </w:t>
      </w:r>
      <w:r w:rsidR="008A78B9" w:rsidRPr="00911998">
        <w:t>comme motif de discrimination prohibé</w:t>
      </w:r>
      <w:r w:rsidR="008A78B9" w:rsidRPr="00911998">
        <w:rPr>
          <w:rStyle w:val="Appelnotedebasdep"/>
        </w:rPr>
        <w:footnoteReference w:id="211"/>
      </w:r>
      <w:r w:rsidR="008A78B9" w:rsidRPr="00911998">
        <w:t xml:space="preserve">. </w:t>
      </w:r>
      <w:r w:rsidR="007A38B1" w:rsidRPr="00911998">
        <w:t>L</w:t>
      </w:r>
      <w:r w:rsidR="00553A81" w:rsidRPr="00911998">
        <w:t>e Tribunal</w:t>
      </w:r>
      <w:r w:rsidR="007A38B1" w:rsidRPr="00911998">
        <w:t xml:space="preserve"> ne retient pas ce facteur dans son analyse</w:t>
      </w:r>
      <w:r w:rsidR="00553A81" w:rsidRPr="00911998">
        <w:t>.</w:t>
      </w:r>
    </w:p>
    <w:p w14:paraId="1602EDC9" w14:textId="6AD15A00" w:rsidR="00ED62D5" w:rsidRPr="00911998" w:rsidRDefault="00CA650B" w:rsidP="00CA650B">
      <w:pPr>
        <w:pStyle w:val="Paragrsimple"/>
      </w:pPr>
      <w:r w:rsidRPr="00911998">
        <w:t xml:space="preserve">Comme le mentionne le PGQ, la législation </w:t>
      </w:r>
      <w:r w:rsidR="00553A81" w:rsidRPr="00911998">
        <w:t>concernant</w:t>
      </w:r>
      <w:r w:rsidRPr="00911998">
        <w:t xml:space="preserve"> les droits de la personne </w:t>
      </w:r>
      <w:r w:rsidR="001A1B54" w:rsidRPr="00911998">
        <w:t>définit</w:t>
      </w:r>
      <w:r w:rsidR="00553A81" w:rsidRPr="00911998">
        <w:t xml:space="preserve"> souvent </w:t>
      </w:r>
      <w:r w:rsidR="007A38B1" w:rsidRPr="00911998">
        <w:t>le statut familial</w:t>
      </w:r>
      <w:r w:rsidRPr="00911998">
        <w:t xml:space="preserve"> comme «</w:t>
      </w:r>
      <w:r w:rsidR="001A1B54" w:rsidRPr="00911998">
        <w:t> </w:t>
      </w:r>
      <w:r w:rsidRPr="00911998">
        <w:t>le fait de se trouver dans une relation parent-enfant</w:t>
      </w:r>
      <w:r w:rsidR="001A1B54" w:rsidRPr="00911998">
        <w:t> </w:t>
      </w:r>
      <w:r w:rsidRPr="00911998">
        <w:t xml:space="preserve">». </w:t>
      </w:r>
      <w:r w:rsidR="00ED62D5" w:rsidRPr="00911998">
        <w:t xml:space="preserve">Or, nous l’avons vu, cette acception de la notion de statut familial n’est d’aucune utilité </w:t>
      </w:r>
      <w:r w:rsidR="001A1B54" w:rsidRPr="00911998">
        <w:t>en l’espèce,</w:t>
      </w:r>
      <w:r w:rsidR="00ED62D5" w:rsidRPr="00911998">
        <w:t xml:space="preserve"> car la distinction en cause n’est pas fondée sur l’existence d’une relation parent-enfant.</w:t>
      </w:r>
    </w:p>
    <w:p w14:paraId="3FE017D0" w14:textId="6752294E" w:rsidR="00ED62D5" w:rsidRPr="00911998" w:rsidRDefault="00553A81" w:rsidP="00AC4BA8">
      <w:pPr>
        <w:pStyle w:val="Paragrsimple"/>
      </w:pPr>
      <w:r w:rsidRPr="00911998">
        <w:t>Ensuite, l</w:t>
      </w:r>
      <w:r w:rsidR="00ED62D5" w:rsidRPr="00911998">
        <w:t>e PGQ plaide que la notion de «</w:t>
      </w:r>
      <w:r w:rsidR="001A1B54" w:rsidRPr="00911998">
        <w:t> </w:t>
      </w:r>
      <w:r w:rsidR="00ED62D5" w:rsidRPr="00911998">
        <w:t>statut familial</w:t>
      </w:r>
      <w:r w:rsidR="001A1B54" w:rsidRPr="00911998">
        <w:t> </w:t>
      </w:r>
      <w:r w:rsidR="00ED62D5" w:rsidRPr="00911998">
        <w:t xml:space="preserve">» doit toujours s’entendre </w:t>
      </w:r>
      <w:r w:rsidR="00AC4BA8" w:rsidRPr="00911998">
        <w:t xml:space="preserve">au sens </w:t>
      </w:r>
      <w:r w:rsidR="00ED62D5" w:rsidRPr="00911998">
        <w:t>d’une relation parent-enfant.</w:t>
      </w:r>
      <w:r w:rsidR="00CA6E60" w:rsidRPr="00911998">
        <w:t xml:space="preserve"> </w:t>
      </w:r>
      <w:r w:rsidR="00812630" w:rsidRPr="00911998">
        <w:t>Or, m</w:t>
      </w:r>
      <w:r w:rsidR="00AC4BA8" w:rsidRPr="00911998">
        <w:t>ême si cette notion est ainsi définie dans la législation d</w:t>
      </w:r>
      <w:r w:rsidR="00971129" w:rsidRPr="00911998">
        <w:t>’</w:t>
      </w:r>
      <w:r w:rsidR="00AC4BA8" w:rsidRPr="00911998">
        <w:t xml:space="preserve">autres provinces, cela ne constitue </w:t>
      </w:r>
      <w:r w:rsidR="00796D3F">
        <w:t xml:space="preserve">pas </w:t>
      </w:r>
      <w:r w:rsidR="00AC4BA8" w:rsidRPr="00911998">
        <w:t xml:space="preserve">un obstacle à la reconnaissance </w:t>
      </w:r>
      <w:r w:rsidR="00991F7E" w:rsidRPr="00911998">
        <w:t xml:space="preserve">du </w:t>
      </w:r>
      <w:r w:rsidR="00812630" w:rsidRPr="00911998">
        <w:t xml:space="preserve">statut familial dans le sens de l’appartenance à un modèle familial particulier </w:t>
      </w:r>
      <w:r w:rsidR="00AC4BA8" w:rsidRPr="00911998">
        <w:t>comme motif analogue à ceux énoncés au paragraphe 15(1) de la Charte canadienne, et ce, pour les raisons déjà exposées.</w:t>
      </w:r>
    </w:p>
    <w:p w14:paraId="2AC32D19" w14:textId="7F04E4A8" w:rsidR="00FD6A19" w:rsidRPr="00911998" w:rsidRDefault="00FD6A19" w:rsidP="00FD6A19">
      <w:pPr>
        <w:pStyle w:val="Paragrsimple"/>
      </w:pPr>
      <w:r w:rsidRPr="00911998">
        <w:lastRenderedPageBreak/>
        <w:t>En</w:t>
      </w:r>
      <w:r w:rsidR="007A38B1" w:rsidRPr="00911998">
        <w:t>fin</w:t>
      </w:r>
      <w:r w:rsidRPr="00911998">
        <w:t xml:space="preserve">, il importe de souligner que la reconnaissance </w:t>
      </w:r>
      <w:r w:rsidR="00991F7E" w:rsidRPr="00911998">
        <w:t xml:space="preserve">du </w:t>
      </w:r>
      <w:r w:rsidR="00812630" w:rsidRPr="00911998">
        <w:t xml:space="preserve">statut familial dans le sens de l’appartenance à un modèle familial particulier </w:t>
      </w:r>
      <w:r w:rsidRPr="00911998">
        <w:t>comme motif analogue de discrimination ne signifie aucunement que la polygamie ou la bigamie serai</w:t>
      </w:r>
      <w:r w:rsidR="00AC4BA8" w:rsidRPr="00911998">
        <w:t>en</w:t>
      </w:r>
      <w:r w:rsidRPr="00911998">
        <w:t xml:space="preserve">t des modèles familiaux protégés. </w:t>
      </w:r>
      <w:r w:rsidR="009B692A" w:rsidRPr="00911998">
        <w:t xml:space="preserve">La polygamie ou la bigamie consistent en l’existence de </w:t>
      </w:r>
      <w:r w:rsidR="00F8321A" w:rsidRPr="00911998">
        <w:t>plusieurs</w:t>
      </w:r>
      <w:r w:rsidR="009B692A" w:rsidRPr="00911998">
        <w:t xml:space="preserve"> lien</w:t>
      </w:r>
      <w:r w:rsidR="00F8321A" w:rsidRPr="00911998">
        <w:t>s</w:t>
      </w:r>
      <w:r w:rsidR="009B692A" w:rsidRPr="00911998">
        <w:t xml:space="preserve"> matrimoniaux</w:t>
      </w:r>
      <w:r w:rsidR="00F8321A" w:rsidRPr="00911998">
        <w:rPr>
          <w:rStyle w:val="Appelnotedebasdep"/>
        </w:rPr>
        <w:footnoteReference w:id="212"/>
      </w:r>
      <w:r w:rsidR="009B692A" w:rsidRPr="00911998">
        <w:t xml:space="preserve">, ce qui n’est </w:t>
      </w:r>
      <w:r w:rsidR="00796D3F">
        <w:t>pas</w:t>
      </w:r>
      <w:r w:rsidR="009B692A" w:rsidRPr="00911998">
        <w:t xml:space="preserve"> en cause en l’espèce.</w:t>
      </w:r>
    </w:p>
    <w:p w14:paraId="0DA0CDBF" w14:textId="5ABD1FEB" w:rsidR="00BD76A1" w:rsidRPr="00911998" w:rsidRDefault="009F3E0F" w:rsidP="009F3E0F">
      <w:pPr>
        <w:pStyle w:val="Paragrsimple"/>
      </w:pPr>
      <w:r w:rsidRPr="00911998">
        <w:t xml:space="preserve">Ayant conclu que </w:t>
      </w:r>
      <w:r w:rsidR="00812630" w:rsidRPr="00911998">
        <w:t xml:space="preserve">le statut familial dans le sens de l’appartenance à un modèle familial particulier </w:t>
      </w:r>
      <w:r w:rsidRPr="00911998">
        <w:t>constitue un motif analogue aux termes du paragraphe</w:t>
      </w:r>
      <w:r w:rsidR="001A1B54" w:rsidRPr="00911998">
        <w:t> </w:t>
      </w:r>
      <w:r w:rsidRPr="00911998">
        <w:t xml:space="preserve">15(1) de la </w:t>
      </w:r>
      <w:r w:rsidRPr="00911998">
        <w:rPr>
          <w:i/>
          <w:iCs/>
        </w:rPr>
        <w:t>Charte canadienne</w:t>
      </w:r>
      <w:r w:rsidRPr="00911998">
        <w:t>, force est de constater que les Demandeurs individuels subissent une différence de traitement fondé</w:t>
      </w:r>
      <w:r w:rsidR="000F5747" w:rsidRPr="00911998">
        <w:t>e</w:t>
      </w:r>
      <w:r w:rsidRPr="00911998">
        <w:t xml:space="preserve"> sur ce motif. </w:t>
      </w:r>
    </w:p>
    <w:p w14:paraId="046DEAFA" w14:textId="45619BDE" w:rsidR="00246082" w:rsidRPr="00911998" w:rsidRDefault="00BD76A1" w:rsidP="00C101BD">
      <w:pPr>
        <w:pStyle w:val="Paragrsimple"/>
        <w:rPr>
          <w:lang w:eastAsia="fr-CA"/>
        </w:rPr>
      </w:pPr>
      <w:r w:rsidRPr="00911998">
        <w:t xml:space="preserve">En effet, alors que le droit québécois permet aux membres du groupe </w:t>
      </w:r>
      <w:r w:rsidR="00B9506A" w:rsidRPr="00911998">
        <w:t>de comparaison</w:t>
      </w:r>
      <w:r w:rsidRPr="00911998">
        <w:t xml:space="preserve"> </w:t>
      </w:r>
      <w:r w:rsidR="001A1B54" w:rsidRPr="00911998">
        <w:t>—</w:t>
      </w:r>
      <w:r w:rsidRPr="00911998">
        <w:t xml:space="preserve"> soit les familles biparentales </w:t>
      </w:r>
      <w:r w:rsidR="001A1B54" w:rsidRPr="00911998">
        <w:t>—</w:t>
      </w:r>
      <w:r w:rsidRPr="00911998">
        <w:t xml:space="preserve"> d’établir un lien de filiation entre chaque parent et </w:t>
      </w:r>
      <w:r w:rsidR="003622C4" w:rsidRPr="00911998">
        <w:t xml:space="preserve">ses </w:t>
      </w:r>
      <w:r w:rsidRPr="00911998">
        <w:t xml:space="preserve">enfants, ce n’est pas le cas des familles </w:t>
      </w:r>
      <w:proofErr w:type="spellStart"/>
      <w:r w:rsidRPr="00911998">
        <w:t>pluriparentales</w:t>
      </w:r>
      <w:proofErr w:type="spellEnd"/>
      <w:r w:rsidRPr="00911998">
        <w:t xml:space="preserve">. </w:t>
      </w:r>
      <w:r w:rsidR="00725189" w:rsidRPr="00911998">
        <w:rPr>
          <w:lang w:eastAsia="fr-CA"/>
        </w:rPr>
        <w:t>Notamment</w:t>
      </w:r>
      <w:r w:rsidR="00246082" w:rsidRPr="00911998">
        <w:rPr>
          <w:lang w:eastAsia="fr-CA"/>
        </w:rPr>
        <w:t>, en application du droit québécois :</w:t>
      </w:r>
    </w:p>
    <w:p w14:paraId="592C35DF" w14:textId="0FF2DCE9" w:rsidR="00246082" w:rsidRPr="00911998" w:rsidRDefault="000F5747" w:rsidP="000F6BA9">
      <w:pPr>
        <w:pStyle w:val="Paragrsimple"/>
        <w:numPr>
          <w:ilvl w:val="0"/>
          <w:numId w:val="9"/>
        </w:numPr>
        <w:rPr>
          <w:lang w:eastAsia="fr-CA"/>
        </w:rPr>
      </w:pPr>
      <w:r w:rsidRPr="00911998">
        <w:rPr>
          <w:lang w:eastAsia="fr-CA"/>
        </w:rPr>
        <w:t xml:space="preserve">Madame </w:t>
      </w:r>
      <w:proofErr w:type="gramStart"/>
      <w:r w:rsidR="00153EC1">
        <w:rPr>
          <w:lang w:eastAsia="fr-CA"/>
        </w:rPr>
        <w:t>M...</w:t>
      </w:r>
      <w:proofErr w:type="gramEnd"/>
      <w:r w:rsidR="00725189" w:rsidRPr="00911998">
        <w:rPr>
          <w:lang w:eastAsia="fr-CA"/>
        </w:rPr>
        <w:t xml:space="preserve">, une des mères </w:t>
      </w:r>
      <w:r w:rsidR="00900499">
        <w:rPr>
          <w:lang w:eastAsia="fr-CA"/>
        </w:rPr>
        <w:t>de X</w:t>
      </w:r>
      <w:r w:rsidR="00725189" w:rsidRPr="00911998">
        <w:rPr>
          <w:lang w:eastAsia="fr-CA"/>
        </w:rPr>
        <w:t>,</w:t>
      </w:r>
      <w:r w:rsidR="00246082" w:rsidRPr="00911998">
        <w:rPr>
          <w:lang w:eastAsia="fr-CA"/>
        </w:rPr>
        <w:t xml:space="preserve"> ne peut établir un l</w:t>
      </w:r>
      <w:r w:rsidR="00725189" w:rsidRPr="00911998">
        <w:rPr>
          <w:lang w:eastAsia="fr-CA"/>
        </w:rPr>
        <w:t>ien de filiation avec son fils</w:t>
      </w:r>
      <w:r w:rsidR="001A1B54" w:rsidRPr="00911998">
        <w:rPr>
          <w:lang w:eastAsia="fr-CA"/>
        </w:rPr>
        <w:t> </w:t>
      </w:r>
      <w:r w:rsidR="00725189" w:rsidRPr="00911998">
        <w:rPr>
          <w:lang w:eastAsia="fr-CA"/>
        </w:rPr>
        <w:t>;</w:t>
      </w:r>
    </w:p>
    <w:p w14:paraId="0ACDF0E0" w14:textId="0840C483" w:rsidR="00725189" w:rsidRPr="00911998" w:rsidRDefault="000F5747" w:rsidP="000F6BA9">
      <w:pPr>
        <w:pStyle w:val="Paragrsimple"/>
        <w:numPr>
          <w:ilvl w:val="0"/>
          <w:numId w:val="9"/>
        </w:numPr>
        <w:rPr>
          <w:lang w:eastAsia="fr-CA"/>
        </w:rPr>
      </w:pPr>
      <w:r w:rsidRPr="00911998">
        <w:rPr>
          <w:lang w:eastAsia="fr-CA"/>
        </w:rPr>
        <w:t xml:space="preserve">Madame </w:t>
      </w:r>
      <w:proofErr w:type="gramStart"/>
      <w:r w:rsidR="00E13A68">
        <w:rPr>
          <w:lang w:eastAsia="fr-CA"/>
        </w:rPr>
        <w:t>J...</w:t>
      </w:r>
      <w:proofErr w:type="gramEnd"/>
      <w:r w:rsidR="00725189" w:rsidRPr="00911998">
        <w:rPr>
          <w:lang w:eastAsia="fr-CA"/>
        </w:rPr>
        <w:t xml:space="preserve">, une des mères </w:t>
      </w:r>
      <w:r w:rsidR="00900499">
        <w:rPr>
          <w:lang w:eastAsia="fr-CA"/>
        </w:rPr>
        <w:t>de Y</w:t>
      </w:r>
      <w:r w:rsidR="00725189" w:rsidRPr="00911998">
        <w:rPr>
          <w:lang w:eastAsia="fr-CA"/>
        </w:rPr>
        <w:t>, ne peut établir un lien de filiation avec son fils</w:t>
      </w:r>
      <w:r w:rsidR="001A1B54" w:rsidRPr="00911998">
        <w:rPr>
          <w:lang w:eastAsia="fr-CA"/>
        </w:rPr>
        <w:t> </w:t>
      </w:r>
      <w:r w:rsidR="00725189" w:rsidRPr="00911998">
        <w:rPr>
          <w:lang w:eastAsia="fr-CA"/>
        </w:rPr>
        <w:t>; et</w:t>
      </w:r>
    </w:p>
    <w:p w14:paraId="0E352C59" w14:textId="2E84A5A7" w:rsidR="005F36CC" w:rsidRPr="00911998" w:rsidRDefault="000F5747" w:rsidP="000F6BA9">
      <w:pPr>
        <w:pStyle w:val="Paragrsimple"/>
        <w:numPr>
          <w:ilvl w:val="0"/>
          <w:numId w:val="9"/>
        </w:numPr>
        <w:rPr>
          <w:lang w:eastAsia="fr-CA"/>
        </w:rPr>
      </w:pPr>
      <w:r w:rsidRPr="00911998">
        <w:rPr>
          <w:lang w:eastAsia="fr-CA"/>
        </w:rPr>
        <w:t xml:space="preserve">Madame </w:t>
      </w:r>
      <w:proofErr w:type="gramStart"/>
      <w:r w:rsidR="00E13A68">
        <w:rPr>
          <w:lang w:eastAsia="fr-CA"/>
        </w:rPr>
        <w:t>A...</w:t>
      </w:r>
      <w:proofErr w:type="gramEnd"/>
      <w:r w:rsidR="00725189" w:rsidRPr="00911998">
        <w:rPr>
          <w:lang w:eastAsia="fr-CA"/>
        </w:rPr>
        <w:t xml:space="preserve">, une des mères </w:t>
      </w:r>
      <w:r w:rsidR="00900499">
        <w:rPr>
          <w:lang w:eastAsia="fr-CA"/>
        </w:rPr>
        <w:t>de A</w:t>
      </w:r>
      <w:r w:rsidR="00725189" w:rsidRPr="00911998">
        <w:rPr>
          <w:lang w:eastAsia="fr-CA"/>
        </w:rPr>
        <w:t>, ne peut établir un lien de filiation avec son fils</w:t>
      </w:r>
      <w:r w:rsidR="001A1B54" w:rsidRPr="00911998">
        <w:rPr>
          <w:lang w:eastAsia="fr-CA"/>
        </w:rPr>
        <w:t> </w:t>
      </w:r>
      <w:r w:rsidR="005F36CC" w:rsidRPr="00911998">
        <w:rPr>
          <w:lang w:eastAsia="fr-CA"/>
        </w:rPr>
        <w:t>;</w:t>
      </w:r>
    </w:p>
    <w:p w14:paraId="17150822" w14:textId="7FCD6310" w:rsidR="00725189" w:rsidRPr="00911998" w:rsidRDefault="005F36CC" w:rsidP="000F6BA9">
      <w:pPr>
        <w:pStyle w:val="Paragrsimple"/>
        <w:numPr>
          <w:ilvl w:val="0"/>
          <w:numId w:val="9"/>
        </w:numPr>
        <w:rPr>
          <w:lang w:eastAsia="fr-CA"/>
        </w:rPr>
      </w:pPr>
      <w:r w:rsidRPr="00911998">
        <w:rPr>
          <w:lang w:eastAsia="fr-CA"/>
        </w:rPr>
        <w:t xml:space="preserve">Seuls un de </w:t>
      </w:r>
      <w:r w:rsidR="000F5747" w:rsidRPr="00911998">
        <w:rPr>
          <w:lang w:eastAsia="fr-CA"/>
        </w:rPr>
        <w:t xml:space="preserve">madame </w:t>
      </w:r>
      <w:proofErr w:type="gramStart"/>
      <w:r w:rsidR="00E13A68">
        <w:rPr>
          <w:lang w:eastAsia="fr-CA"/>
        </w:rPr>
        <w:t>L...</w:t>
      </w:r>
      <w:proofErr w:type="gramEnd"/>
      <w:r w:rsidRPr="00911998">
        <w:rPr>
          <w:lang w:eastAsia="fr-CA"/>
        </w:rPr>
        <w:t xml:space="preserve"> et </w:t>
      </w:r>
      <w:r w:rsidR="000F5747" w:rsidRPr="00911998">
        <w:rPr>
          <w:lang w:eastAsia="fr-CA"/>
        </w:rPr>
        <w:t xml:space="preserve">de monsieur </w:t>
      </w:r>
      <w:r w:rsidR="00E13A68">
        <w:rPr>
          <w:lang w:eastAsia="fr-CA"/>
        </w:rPr>
        <w:t>Mi...</w:t>
      </w:r>
      <w:r w:rsidR="000F5747" w:rsidRPr="00911998">
        <w:rPr>
          <w:lang w:eastAsia="fr-CA"/>
        </w:rPr>
        <w:t xml:space="preserve"> </w:t>
      </w:r>
      <w:r w:rsidRPr="00911998">
        <w:rPr>
          <w:lang w:eastAsia="fr-CA"/>
        </w:rPr>
        <w:t>peu</w:t>
      </w:r>
      <w:r w:rsidR="00991F7E" w:rsidRPr="00911998">
        <w:rPr>
          <w:lang w:eastAsia="fr-CA"/>
        </w:rPr>
        <w:t>t</w:t>
      </w:r>
      <w:r w:rsidRPr="00911998">
        <w:rPr>
          <w:lang w:eastAsia="fr-CA"/>
        </w:rPr>
        <w:t xml:space="preserve"> établir un lien de filiation avec leur fils</w:t>
      </w:r>
      <w:r w:rsidR="000F5747" w:rsidRPr="00911998">
        <w:rPr>
          <w:lang w:eastAsia="fr-CA"/>
        </w:rPr>
        <w:t>,</w:t>
      </w:r>
      <w:r w:rsidRPr="00911998">
        <w:rPr>
          <w:lang w:eastAsia="fr-CA"/>
        </w:rPr>
        <w:t xml:space="preserve"> </w:t>
      </w:r>
      <w:r w:rsidR="00D90957">
        <w:rPr>
          <w:lang w:eastAsia="fr-CA"/>
        </w:rPr>
        <w:t>Z</w:t>
      </w:r>
      <w:r w:rsidR="00725189" w:rsidRPr="00911998">
        <w:rPr>
          <w:lang w:eastAsia="fr-CA"/>
        </w:rPr>
        <w:t>.</w:t>
      </w:r>
    </w:p>
    <w:p w14:paraId="317CFA9C" w14:textId="628C0B67" w:rsidR="005F36CC" w:rsidRPr="00911998" w:rsidRDefault="005F36CC" w:rsidP="00D647AD">
      <w:pPr>
        <w:pStyle w:val="Paragrsimple"/>
        <w:rPr>
          <w:lang w:eastAsia="fr-CA"/>
        </w:rPr>
      </w:pPr>
      <w:r w:rsidRPr="00911998">
        <w:rPr>
          <w:lang w:eastAsia="fr-CA"/>
        </w:rPr>
        <w:t xml:space="preserve">De même, </w:t>
      </w:r>
      <w:r w:rsidR="000F5747" w:rsidRPr="00911998">
        <w:rPr>
          <w:lang w:eastAsia="fr-CA"/>
        </w:rPr>
        <w:t xml:space="preserve">du point de vue </w:t>
      </w:r>
      <w:r w:rsidRPr="00911998">
        <w:rPr>
          <w:lang w:eastAsia="fr-CA"/>
        </w:rPr>
        <w:t xml:space="preserve">des enfants, </w:t>
      </w:r>
      <w:r w:rsidR="00153EC1">
        <w:rPr>
          <w:lang w:eastAsia="fr-CA"/>
        </w:rPr>
        <w:t>X</w:t>
      </w:r>
      <w:r w:rsidRPr="00911998">
        <w:rPr>
          <w:lang w:eastAsia="fr-CA"/>
        </w:rPr>
        <w:t xml:space="preserve">, </w:t>
      </w:r>
      <w:r w:rsidR="00552A22">
        <w:rPr>
          <w:lang w:eastAsia="fr-CA"/>
        </w:rPr>
        <w:t>Y</w:t>
      </w:r>
      <w:r w:rsidRPr="00911998">
        <w:rPr>
          <w:lang w:eastAsia="fr-CA"/>
        </w:rPr>
        <w:t xml:space="preserve">, </w:t>
      </w:r>
      <w:r w:rsidR="00D90957">
        <w:rPr>
          <w:lang w:eastAsia="fr-CA"/>
        </w:rPr>
        <w:t>Z</w:t>
      </w:r>
      <w:r w:rsidRPr="00911998">
        <w:rPr>
          <w:lang w:eastAsia="fr-CA"/>
        </w:rPr>
        <w:t xml:space="preserve"> et </w:t>
      </w:r>
      <w:r w:rsidR="00D90957">
        <w:rPr>
          <w:lang w:eastAsia="fr-CA"/>
        </w:rPr>
        <w:t>A</w:t>
      </w:r>
      <w:r w:rsidRPr="00911998">
        <w:rPr>
          <w:lang w:eastAsia="fr-CA"/>
        </w:rPr>
        <w:t xml:space="preserve"> ne peuvent </w:t>
      </w:r>
      <w:r w:rsidR="000F5747" w:rsidRPr="00911998">
        <w:rPr>
          <w:lang w:eastAsia="fr-CA"/>
        </w:rPr>
        <w:t xml:space="preserve">bénéficier </w:t>
      </w:r>
      <w:r w:rsidR="00DB14F3" w:rsidRPr="00911998">
        <w:rPr>
          <w:lang w:eastAsia="fr-CA"/>
        </w:rPr>
        <w:t>d’</w:t>
      </w:r>
      <w:r w:rsidRPr="00911998">
        <w:rPr>
          <w:lang w:eastAsia="fr-CA"/>
        </w:rPr>
        <w:t xml:space="preserve">un lien de filiation avec chacun de leurs parents, </w:t>
      </w:r>
      <w:r w:rsidR="000F5747" w:rsidRPr="00911998">
        <w:rPr>
          <w:lang w:eastAsia="fr-CA"/>
        </w:rPr>
        <w:t>contrairement aux</w:t>
      </w:r>
      <w:r w:rsidRPr="00911998">
        <w:rPr>
          <w:lang w:eastAsia="fr-CA"/>
        </w:rPr>
        <w:t xml:space="preserve"> enfants qui évoluent dans des famille</w:t>
      </w:r>
      <w:r w:rsidR="00FA4D79" w:rsidRPr="00911998">
        <w:rPr>
          <w:lang w:eastAsia="fr-CA"/>
        </w:rPr>
        <w:t>s</w:t>
      </w:r>
      <w:r w:rsidRPr="00911998">
        <w:rPr>
          <w:lang w:eastAsia="fr-CA"/>
        </w:rPr>
        <w:t xml:space="preserve"> biparentales.</w:t>
      </w:r>
    </w:p>
    <w:p w14:paraId="0B74E860" w14:textId="505D7F92" w:rsidR="006003D9" w:rsidRPr="00911998" w:rsidRDefault="00BD76A1" w:rsidP="00D647AD">
      <w:pPr>
        <w:pStyle w:val="Paragrsimple"/>
        <w:rPr>
          <w:lang w:eastAsia="fr-CA"/>
        </w:rPr>
      </w:pPr>
      <w:r w:rsidRPr="00911998">
        <w:rPr>
          <w:lang w:eastAsia="fr-CA"/>
        </w:rPr>
        <w:t xml:space="preserve">Il s’agit </w:t>
      </w:r>
      <w:r w:rsidRPr="00911998">
        <w:rPr>
          <w:szCs w:val="24"/>
          <w:lang w:eastAsia="fr-CA"/>
        </w:rPr>
        <w:t xml:space="preserve">là d’une distinction fondée sur un motif </w:t>
      </w:r>
      <w:r w:rsidR="001A1B54" w:rsidRPr="00911998">
        <w:rPr>
          <w:szCs w:val="24"/>
          <w:lang w:eastAsia="fr-CA"/>
        </w:rPr>
        <w:t>analogue,</w:t>
      </w:r>
      <w:r w:rsidR="006003D9" w:rsidRPr="00911998">
        <w:rPr>
          <w:szCs w:val="24"/>
          <w:lang w:eastAsia="fr-CA"/>
        </w:rPr>
        <w:t xml:space="preserve"> </w:t>
      </w:r>
      <w:r w:rsidR="001A1B54" w:rsidRPr="00911998">
        <w:rPr>
          <w:szCs w:val="24"/>
          <w:lang w:eastAsia="fr-CA"/>
        </w:rPr>
        <w:t>à savoir</w:t>
      </w:r>
      <w:r w:rsidR="006003D9" w:rsidRPr="00911998">
        <w:rPr>
          <w:szCs w:val="24"/>
          <w:lang w:eastAsia="fr-CA"/>
        </w:rPr>
        <w:t xml:space="preserve"> </w:t>
      </w:r>
      <w:r w:rsidR="00812630" w:rsidRPr="00911998">
        <w:t>le statut familial dans le sens de l’appartenance à un modèle familial particulier</w:t>
      </w:r>
      <w:r w:rsidRPr="00911998">
        <w:rPr>
          <w:szCs w:val="24"/>
          <w:lang w:eastAsia="fr-CA"/>
        </w:rPr>
        <w:t>.</w:t>
      </w:r>
      <w:r w:rsidR="006003D9" w:rsidRPr="00911998">
        <w:rPr>
          <w:szCs w:val="24"/>
          <w:lang w:eastAsia="fr-CA"/>
        </w:rPr>
        <w:t xml:space="preserve"> Ce</w:t>
      </w:r>
      <w:r w:rsidR="00812630" w:rsidRPr="00911998">
        <w:rPr>
          <w:szCs w:val="24"/>
          <w:lang w:eastAsia="fr-CA"/>
        </w:rPr>
        <w:t>ci</w:t>
      </w:r>
      <w:r w:rsidR="006003D9" w:rsidRPr="00911998">
        <w:rPr>
          <w:szCs w:val="24"/>
          <w:lang w:eastAsia="fr-CA"/>
        </w:rPr>
        <w:t xml:space="preserve"> suffit pour satisfaire le premier volet du critère de l’arrêt </w:t>
      </w:r>
      <w:r w:rsidR="006003D9" w:rsidRPr="00911998">
        <w:rPr>
          <w:i/>
          <w:iCs/>
          <w:szCs w:val="24"/>
          <w:lang w:eastAsia="fr-CA"/>
        </w:rPr>
        <w:t>Sharma</w:t>
      </w:r>
      <w:r w:rsidR="006003D9" w:rsidRPr="00911998">
        <w:rPr>
          <w:szCs w:val="24"/>
          <w:lang w:eastAsia="fr-CA"/>
        </w:rPr>
        <w:t xml:space="preserve">, et ce, sans </w:t>
      </w:r>
      <w:r w:rsidR="000F5747" w:rsidRPr="00911998">
        <w:rPr>
          <w:szCs w:val="24"/>
          <w:lang w:eastAsia="fr-CA"/>
        </w:rPr>
        <w:t xml:space="preserve">avoir à </w:t>
      </w:r>
      <w:r w:rsidR="006003D9" w:rsidRPr="00911998">
        <w:rPr>
          <w:szCs w:val="24"/>
          <w:lang w:eastAsia="fr-CA"/>
        </w:rPr>
        <w:t>se pencher sur l’existence d’une distinction fondée sur des motifs «</w:t>
      </w:r>
      <w:r w:rsidR="001A1B54" w:rsidRPr="00911998">
        <w:rPr>
          <w:szCs w:val="24"/>
          <w:lang w:eastAsia="fr-CA"/>
        </w:rPr>
        <w:t> </w:t>
      </w:r>
      <w:r w:rsidR="006003D9" w:rsidRPr="00911998">
        <w:rPr>
          <w:szCs w:val="24"/>
          <w:lang w:eastAsia="fr-CA"/>
        </w:rPr>
        <w:t>intersectionnels</w:t>
      </w:r>
      <w:r w:rsidR="001A1B54" w:rsidRPr="00911998">
        <w:rPr>
          <w:szCs w:val="24"/>
          <w:lang w:eastAsia="fr-CA"/>
        </w:rPr>
        <w:t> </w:t>
      </w:r>
      <w:r w:rsidR="006003D9" w:rsidRPr="00911998">
        <w:rPr>
          <w:szCs w:val="24"/>
          <w:lang w:eastAsia="fr-CA"/>
        </w:rPr>
        <w:t>»</w:t>
      </w:r>
      <w:r w:rsidR="001A1B54" w:rsidRPr="00911998">
        <w:rPr>
          <w:szCs w:val="24"/>
          <w:lang w:eastAsia="fr-CA"/>
        </w:rPr>
        <w:t>, à savoir</w:t>
      </w:r>
      <w:r w:rsidR="006003D9" w:rsidRPr="00911998">
        <w:rPr>
          <w:szCs w:val="24"/>
          <w:lang w:eastAsia="fr-CA"/>
        </w:rPr>
        <w:t xml:space="preserve"> l’appartenance à un modèle familial</w:t>
      </w:r>
      <w:r w:rsidR="00D06CBC" w:rsidRPr="00911998">
        <w:rPr>
          <w:szCs w:val="24"/>
          <w:lang w:eastAsia="fr-CA"/>
        </w:rPr>
        <w:t xml:space="preserve"> particulier</w:t>
      </w:r>
      <w:r w:rsidR="006003D9" w:rsidRPr="00911998">
        <w:rPr>
          <w:szCs w:val="24"/>
          <w:lang w:eastAsia="fr-CA"/>
        </w:rPr>
        <w:t xml:space="preserve"> et l’orientation sexuelle ou l’infertilité</w:t>
      </w:r>
      <w:r w:rsidR="00885B5A" w:rsidRPr="00911998">
        <w:rPr>
          <w:szCs w:val="24"/>
          <w:lang w:eastAsia="fr-CA"/>
        </w:rPr>
        <w:t>. Comme nous l’avons vu,</w:t>
      </w:r>
      <w:r w:rsidR="006003D9" w:rsidRPr="00911998">
        <w:rPr>
          <w:szCs w:val="24"/>
          <w:lang w:eastAsia="fr-CA"/>
        </w:rPr>
        <w:t xml:space="preserve"> la preuve sur ces </w:t>
      </w:r>
      <w:r w:rsidR="00812630" w:rsidRPr="00911998">
        <w:rPr>
          <w:szCs w:val="24"/>
          <w:lang w:eastAsia="fr-CA"/>
        </w:rPr>
        <w:t xml:space="preserve">derniers </w:t>
      </w:r>
      <w:r w:rsidR="006003D9" w:rsidRPr="00911998">
        <w:rPr>
          <w:szCs w:val="24"/>
          <w:lang w:eastAsia="fr-CA"/>
        </w:rPr>
        <w:t xml:space="preserve">éléments </w:t>
      </w:r>
      <w:r w:rsidR="00885B5A" w:rsidRPr="00911998">
        <w:rPr>
          <w:szCs w:val="24"/>
          <w:lang w:eastAsia="fr-CA"/>
        </w:rPr>
        <w:t>est insuffisante pour une analyse adéquate de ces questions.</w:t>
      </w:r>
    </w:p>
    <w:p w14:paraId="74A3A2C1" w14:textId="27E24C79" w:rsidR="008A67ED" w:rsidRPr="00911998" w:rsidRDefault="001B1105" w:rsidP="00B7541B">
      <w:pPr>
        <w:pStyle w:val="Titre4"/>
        <w:jc w:val="both"/>
        <w:rPr>
          <w:lang w:eastAsia="fr-CA"/>
        </w:rPr>
      </w:pPr>
      <w:r w:rsidRPr="00911998">
        <w:rPr>
          <w:lang w:eastAsia="fr-CA"/>
        </w:rPr>
        <w:lastRenderedPageBreak/>
        <w:t xml:space="preserve">La </w:t>
      </w:r>
      <w:r w:rsidR="006D00C4" w:rsidRPr="00911998">
        <w:rPr>
          <w:lang w:eastAsia="fr-CA"/>
        </w:rPr>
        <w:t xml:space="preserve">deuxième étape du critère d’application du paragraphe 15(1) : la </w:t>
      </w:r>
      <w:r w:rsidRPr="00911998">
        <w:rPr>
          <w:lang w:eastAsia="fr-CA"/>
        </w:rPr>
        <w:t xml:space="preserve">distinction </w:t>
      </w:r>
      <w:r w:rsidR="005C6CE5" w:rsidRPr="00911998">
        <w:rPr>
          <w:lang w:eastAsia="fr-CA"/>
        </w:rPr>
        <w:t xml:space="preserve">nie un avantage ou </w:t>
      </w:r>
      <w:r w:rsidRPr="00911998">
        <w:rPr>
          <w:lang w:eastAsia="fr-CA"/>
        </w:rPr>
        <w:t>impose un fardeau</w:t>
      </w:r>
      <w:r w:rsidR="00ED73F7" w:rsidRPr="00911998">
        <w:rPr>
          <w:lang w:eastAsia="fr-CA"/>
        </w:rPr>
        <w:t>,</w:t>
      </w:r>
      <w:r w:rsidRPr="00911998">
        <w:rPr>
          <w:lang w:eastAsia="fr-CA"/>
        </w:rPr>
        <w:t xml:space="preserve"> </w:t>
      </w:r>
      <w:r w:rsidR="005C6CE5" w:rsidRPr="00911998">
        <w:rPr>
          <w:lang w:eastAsia="fr-CA"/>
        </w:rPr>
        <w:t>renforçant ainsi le désavantage</w:t>
      </w:r>
    </w:p>
    <w:p w14:paraId="3BB33182" w14:textId="6CFD8BD4" w:rsidR="009343A2" w:rsidRPr="00911998" w:rsidRDefault="005C6CE5" w:rsidP="009343A2">
      <w:pPr>
        <w:pStyle w:val="Paragrsimple"/>
      </w:pPr>
      <w:r w:rsidRPr="00911998">
        <w:t>Ayant conclu que la limite de deux liens de filiation crée une différence de traitement fondé</w:t>
      </w:r>
      <w:r w:rsidR="00ED73F7" w:rsidRPr="00911998">
        <w:t>e</w:t>
      </w:r>
      <w:r w:rsidRPr="00911998">
        <w:t xml:space="preserve"> sur un motif analogue </w:t>
      </w:r>
      <w:r w:rsidR="006F7129" w:rsidRPr="00911998">
        <w:t>—</w:t>
      </w:r>
      <w:r w:rsidRPr="00911998">
        <w:t xml:space="preserve"> </w:t>
      </w:r>
      <w:r w:rsidR="001B77F9" w:rsidRPr="00911998">
        <w:t>à savoir le statut familial dans le sens de</w:t>
      </w:r>
      <w:r w:rsidRPr="00911998">
        <w:t xml:space="preserve"> l’appartenance à un modèle familial particulier </w:t>
      </w:r>
      <w:r w:rsidR="006F7129" w:rsidRPr="00911998">
        <w:t>—</w:t>
      </w:r>
      <w:r w:rsidRPr="00911998">
        <w:t xml:space="preserve"> il convient d’aborder le deuxième volet du critère pour l’application du paragraphe 15(1) de la </w:t>
      </w:r>
      <w:r w:rsidRPr="00911998">
        <w:rPr>
          <w:i/>
          <w:iCs/>
        </w:rPr>
        <w:t>Charte canadienne</w:t>
      </w:r>
      <w:r w:rsidRPr="00911998">
        <w:t>. Ce volet permet d’identifier les distinctions qui sont réellement discriminatoires et qui briment le droit à l’égalité réelle.</w:t>
      </w:r>
    </w:p>
    <w:p w14:paraId="39C5F6CD" w14:textId="06CFECDE" w:rsidR="005C6CE5" w:rsidRPr="00911998" w:rsidRDefault="008D7834" w:rsidP="005C6CE5">
      <w:pPr>
        <w:pStyle w:val="Paragrsimple"/>
      </w:pPr>
      <w:r w:rsidRPr="00911998">
        <w:t xml:space="preserve">À ce chapitre, comme le mentionne la juge Abella dans l’arrêt </w:t>
      </w:r>
      <w:r w:rsidRPr="00911998">
        <w:rPr>
          <w:i/>
          <w:iCs/>
        </w:rPr>
        <w:t>Fraser</w:t>
      </w:r>
      <w:r w:rsidRPr="00911998">
        <w:t xml:space="preserve">, l’objectif consiste à examiner </w:t>
      </w:r>
      <w:r w:rsidR="007B3428" w:rsidRPr="00911998">
        <w:t xml:space="preserve">l’effet </w:t>
      </w:r>
      <w:r w:rsidR="00AB1427" w:rsidRPr="00911998">
        <w:t>de la mesure</w:t>
      </w:r>
      <w:r w:rsidR="007B3428" w:rsidRPr="00911998">
        <w:t xml:space="preserve"> sur le groupe en cause</w:t>
      </w:r>
      <w:r w:rsidR="007B3428" w:rsidRPr="00911998">
        <w:rPr>
          <w:rStyle w:val="Appelnotedebasdep"/>
        </w:rPr>
        <w:footnoteReference w:id="213"/>
      </w:r>
      <w:r w:rsidRPr="00911998">
        <w:rPr>
          <w:i/>
          <w:iCs/>
        </w:rPr>
        <w:t> </w:t>
      </w:r>
      <w:r w:rsidRPr="00911998">
        <w:t>:</w:t>
      </w:r>
    </w:p>
    <w:p w14:paraId="6D96AA25" w14:textId="242F6557" w:rsidR="008D7834" w:rsidRPr="00911998" w:rsidRDefault="008D7834" w:rsidP="008D7834">
      <w:pPr>
        <w:ind w:left="567" w:right="560"/>
        <w:jc w:val="both"/>
        <w:rPr>
          <w:sz w:val="22"/>
          <w:szCs w:val="22"/>
        </w:rPr>
      </w:pPr>
      <w:r w:rsidRPr="00911998">
        <w:rPr>
          <w:sz w:val="22"/>
          <w:szCs w:val="22"/>
        </w:rPr>
        <w:t>[</w:t>
      </w:r>
      <w:bookmarkStart w:id="59" w:name="par76"/>
      <w:r w:rsidRPr="00911998">
        <w:rPr>
          <w:sz w:val="22"/>
          <w:szCs w:val="22"/>
        </w:rPr>
        <w:t>76</w:t>
      </w:r>
      <w:bookmarkEnd w:id="59"/>
      <w:proofErr w:type="gramStart"/>
      <w:r w:rsidRPr="00911998">
        <w:rPr>
          <w:sz w:val="22"/>
          <w:szCs w:val="22"/>
        </w:rPr>
        <w:t>]  Cela</w:t>
      </w:r>
      <w:proofErr w:type="gramEnd"/>
      <w:r w:rsidRPr="00911998">
        <w:rPr>
          <w:sz w:val="22"/>
          <w:szCs w:val="22"/>
        </w:rPr>
        <w:t xml:space="preserve"> nous amène à la deuxième étape de l’analyse relative à l’art. 15 : la question de savoir si la loi a pour effet de renforcer, de perpétuer ou d’accentuer un désavantage (</w:t>
      </w:r>
      <w:r w:rsidRPr="00911998">
        <w:rPr>
          <w:i/>
          <w:iCs/>
          <w:sz w:val="22"/>
          <w:szCs w:val="22"/>
        </w:rPr>
        <w:t>Alliance</w:t>
      </w:r>
      <w:r w:rsidRPr="00911998">
        <w:rPr>
          <w:sz w:val="22"/>
          <w:szCs w:val="22"/>
        </w:rPr>
        <w:t xml:space="preserve">, par. 25). Cet examen se déroule habituellement de la même façon dans les cas d’effet distinct et de discrimination explicite. Il n’existe pas </w:t>
      </w:r>
      <w:r w:rsidRPr="00911998">
        <w:rPr>
          <w:rFonts w:cs="Arial"/>
          <w:spacing w:val="-3"/>
          <w:sz w:val="22"/>
          <w:szCs w:val="22"/>
        </w:rPr>
        <w:t>de</w:t>
      </w:r>
      <w:r w:rsidRPr="00911998">
        <w:rPr>
          <w:sz w:val="22"/>
          <w:szCs w:val="22"/>
        </w:rPr>
        <w:t xml:space="preserve"> « modèle rigide » de facteurs pertinents à prendre en considération dans cette analyse (</w:t>
      </w:r>
      <w:r w:rsidRPr="00911998">
        <w:rPr>
          <w:i/>
          <w:iCs/>
          <w:sz w:val="22"/>
          <w:szCs w:val="22"/>
        </w:rPr>
        <w:t>Québec c. A</w:t>
      </w:r>
      <w:r w:rsidRPr="00911998">
        <w:rPr>
          <w:sz w:val="22"/>
          <w:szCs w:val="22"/>
        </w:rPr>
        <w:t>, par. 331, citant </w:t>
      </w:r>
      <w:proofErr w:type="spellStart"/>
      <w:r w:rsidRPr="00911998">
        <w:rPr>
          <w:i/>
          <w:iCs/>
          <w:sz w:val="22"/>
          <w:szCs w:val="22"/>
        </w:rPr>
        <w:t>Withler</w:t>
      </w:r>
      <w:proofErr w:type="spellEnd"/>
      <w:r w:rsidRPr="00911998">
        <w:rPr>
          <w:sz w:val="22"/>
          <w:szCs w:val="22"/>
        </w:rPr>
        <w:t>, par. 66). L’objectif est d’examiner l’effet du préjudice causé au groupe touché. Le préjudice peut inclure [</w:t>
      </w:r>
      <w:r w:rsidRPr="00911998">
        <w:rPr>
          <w:smallCaps/>
          <w:sz w:val="22"/>
          <w:szCs w:val="22"/>
        </w:rPr>
        <w:t>traduction</w:t>
      </w:r>
      <w:r w:rsidRPr="00911998">
        <w:rPr>
          <w:sz w:val="22"/>
          <w:szCs w:val="22"/>
        </w:rPr>
        <w:t>] « une exclusion ou un désavantage économique, une exclusion sociale [. . .] des préjudices psychologiques [. . .] des préjudices physiques [. . .], [ou] une exclusion politique », et il doit être examiné à la lumière des désavantages systémiques ou historiques auxquels fait face le groupe de demandeurs (</w:t>
      </w:r>
      <w:proofErr w:type="spellStart"/>
      <w:r w:rsidRPr="00911998">
        <w:rPr>
          <w:sz w:val="22"/>
          <w:szCs w:val="22"/>
        </w:rPr>
        <w:t>Sheppard</w:t>
      </w:r>
      <w:proofErr w:type="spellEnd"/>
      <w:r w:rsidRPr="00911998">
        <w:rPr>
          <w:sz w:val="22"/>
          <w:szCs w:val="22"/>
        </w:rPr>
        <w:t xml:space="preserve"> (2010), p. 62</w:t>
      </w:r>
      <w:r w:rsidRPr="00911998">
        <w:rPr>
          <w:sz w:val="22"/>
          <w:szCs w:val="22"/>
        </w:rPr>
        <w:noBreakHyphen/>
        <w:t>63 (soulignement supprimé)).</w:t>
      </w:r>
    </w:p>
    <w:p w14:paraId="17577514" w14:textId="3C9AF45D" w:rsidR="009343A2" w:rsidRPr="00911998" w:rsidRDefault="00AB1427" w:rsidP="007B3428">
      <w:pPr>
        <w:pStyle w:val="Paragrsimple"/>
      </w:pPr>
      <w:r w:rsidRPr="00911998">
        <w:t>L</w:t>
      </w:r>
      <w:r w:rsidR="007B3428" w:rsidRPr="00911998">
        <w:t xml:space="preserve">’existence de préjugés ou de stéréotypes </w:t>
      </w:r>
      <w:r w:rsidR="006F7129" w:rsidRPr="00911998">
        <w:t>sont</w:t>
      </w:r>
      <w:r w:rsidR="007B3428" w:rsidRPr="00911998">
        <w:t xml:space="preserve"> des facteurs utiles dans l’analyse, mais ne constituent pas des éléments indispensables pour conclure à la discrimination</w:t>
      </w:r>
      <w:r w:rsidR="007B3428" w:rsidRPr="00911998">
        <w:rPr>
          <w:rStyle w:val="Appelnotedebasdep"/>
        </w:rPr>
        <w:footnoteReference w:id="214"/>
      </w:r>
      <w:r w:rsidR="007B3428" w:rsidRPr="00911998">
        <w:t> :</w:t>
      </w:r>
    </w:p>
    <w:p w14:paraId="36A4DFF3" w14:textId="5E5CA34D" w:rsidR="007B3428" w:rsidRPr="00911998" w:rsidRDefault="007B3428" w:rsidP="007B3428">
      <w:pPr>
        <w:ind w:left="567" w:right="560"/>
        <w:jc w:val="both"/>
        <w:rPr>
          <w:sz w:val="22"/>
          <w:szCs w:val="22"/>
        </w:rPr>
      </w:pPr>
      <w:r w:rsidRPr="00911998">
        <w:rPr>
          <w:sz w:val="22"/>
          <w:szCs w:val="22"/>
        </w:rPr>
        <w:t>[</w:t>
      </w:r>
      <w:bookmarkStart w:id="60" w:name="par78"/>
      <w:r w:rsidRPr="00911998">
        <w:rPr>
          <w:sz w:val="22"/>
          <w:szCs w:val="22"/>
        </w:rPr>
        <w:t>78</w:t>
      </w:r>
      <w:bookmarkEnd w:id="60"/>
      <w:proofErr w:type="gramStart"/>
      <w:r w:rsidRPr="00911998">
        <w:rPr>
          <w:sz w:val="22"/>
          <w:szCs w:val="22"/>
        </w:rPr>
        <w:t>]  En</w:t>
      </w:r>
      <w:proofErr w:type="gramEnd"/>
      <w:r w:rsidRPr="00911998">
        <w:rPr>
          <w:sz w:val="22"/>
          <w:szCs w:val="22"/>
        </w:rPr>
        <w:t xml:space="preserve"> particulier, la présence de préjugés et l’application de stéréotypes sociaux ne sont pas nécessairement des facteurs à prendre en compte dans l’analyse relative au </w:t>
      </w:r>
      <w:proofErr w:type="spellStart"/>
      <w:r w:rsidRPr="00911998">
        <w:rPr>
          <w:sz w:val="22"/>
          <w:szCs w:val="22"/>
        </w:rPr>
        <w:t>par</w:t>
      </w:r>
      <w:proofErr w:type="spellEnd"/>
      <w:r w:rsidRPr="00911998">
        <w:rPr>
          <w:sz w:val="22"/>
          <w:szCs w:val="22"/>
        </w:rPr>
        <w:t>. 15(1). Ceux</w:t>
      </w:r>
      <w:r w:rsidRPr="00911998">
        <w:rPr>
          <w:sz w:val="22"/>
          <w:szCs w:val="22"/>
        </w:rPr>
        <w:noBreakHyphen/>
        <w:t>ci peuvent aider à démontrer qu’une loi a des effets négatifs sur un groupe particulier, mais ils ne sont « ni des éléments particuliers du critère établi dans l’arrêt </w:t>
      </w:r>
      <w:r w:rsidRPr="00911998">
        <w:rPr>
          <w:i/>
          <w:iCs/>
          <w:sz w:val="22"/>
          <w:szCs w:val="22"/>
        </w:rPr>
        <w:t>Andrews</w:t>
      </w:r>
      <w:r w:rsidRPr="00911998">
        <w:rPr>
          <w:sz w:val="22"/>
          <w:szCs w:val="22"/>
        </w:rPr>
        <w:t xml:space="preserve">, ni des catégories auxquelles doit se rattacher la plainte de discrimination » </w:t>
      </w:r>
      <w:r w:rsidRPr="00911998">
        <w:rPr>
          <w:rFonts w:cs="Arial"/>
          <w:sz w:val="22"/>
          <w:szCs w:val="22"/>
        </w:rPr>
        <w:t>[…].</w:t>
      </w:r>
    </w:p>
    <w:p w14:paraId="3E98C277" w14:textId="701F0C97" w:rsidR="007744C9" w:rsidRPr="00911998" w:rsidRDefault="007B3428" w:rsidP="007744C9">
      <w:pPr>
        <w:pStyle w:val="Paragrsimple"/>
        <w:rPr>
          <w:szCs w:val="24"/>
        </w:rPr>
      </w:pPr>
      <w:r w:rsidRPr="00911998">
        <w:rPr>
          <w:szCs w:val="24"/>
        </w:rPr>
        <w:t>De même, les Demandeurs n</w:t>
      </w:r>
      <w:r w:rsidR="00F521A1" w:rsidRPr="00911998">
        <w:rPr>
          <w:szCs w:val="24"/>
        </w:rPr>
        <w:t xml:space="preserve">’ont pas à prouver </w:t>
      </w:r>
      <w:r w:rsidRPr="00911998">
        <w:rPr>
          <w:szCs w:val="24"/>
        </w:rPr>
        <w:t>que la distinction est arbitraire </w:t>
      </w:r>
      <w:r w:rsidR="00ED73F7" w:rsidRPr="00911998">
        <w:rPr>
          <w:szCs w:val="24"/>
        </w:rPr>
        <w:t xml:space="preserve">pour </w:t>
      </w:r>
      <w:r w:rsidRPr="00911998">
        <w:rPr>
          <w:szCs w:val="24"/>
        </w:rPr>
        <w:t>établir une atteinte au paragraphe 15(1)</w:t>
      </w:r>
      <w:r w:rsidRPr="00911998">
        <w:rPr>
          <w:rStyle w:val="Appelnotedebasdep"/>
          <w:szCs w:val="24"/>
        </w:rPr>
        <w:footnoteReference w:id="215"/>
      </w:r>
      <w:r w:rsidRPr="00911998">
        <w:rPr>
          <w:szCs w:val="24"/>
        </w:rPr>
        <w:t>.</w:t>
      </w:r>
    </w:p>
    <w:p w14:paraId="5F68F8A9" w14:textId="434CB154" w:rsidR="00AD397A" w:rsidRPr="00911998" w:rsidRDefault="00AD397A" w:rsidP="00AD397A">
      <w:pPr>
        <w:pStyle w:val="Paragrsimple"/>
      </w:pPr>
      <w:r w:rsidRPr="00911998">
        <w:t xml:space="preserve">En l’espèce, la différence de traitement qui résulte de la limite de deux liens de filiation cause un désavantage économique, une exclusion </w:t>
      </w:r>
      <w:r w:rsidR="0076648F" w:rsidRPr="00911998">
        <w:t>sociojuridique</w:t>
      </w:r>
      <w:r w:rsidRPr="00911998">
        <w:t xml:space="preserve"> et un préjudice </w:t>
      </w:r>
      <w:r w:rsidRPr="00911998">
        <w:lastRenderedPageBreak/>
        <w:t xml:space="preserve">psychologique </w:t>
      </w:r>
      <w:r w:rsidR="00297C66" w:rsidRPr="00911998">
        <w:t>et</w:t>
      </w:r>
      <w:r w:rsidRPr="00911998">
        <w:t xml:space="preserve"> identitaire aux membres du groupe touché. Cette différence de traitement renforce ainsi le désavantage qu’ils vivent. Voici pourquoi.</w:t>
      </w:r>
    </w:p>
    <w:p w14:paraId="2F9C8B1C" w14:textId="29DE6B72" w:rsidR="00AD397A" w:rsidRPr="00911998" w:rsidRDefault="00ED73F7" w:rsidP="007C6E5C">
      <w:pPr>
        <w:pStyle w:val="Paragrsimple"/>
      </w:pPr>
      <w:r w:rsidRPr="00911998">
        <w:t>Tout d</w:t>
      </w:r>
      <w:r w:rsidR="00CC3108" w:rsidRPr="00911998">
        <w:t>’abord</w:t>
      </w:r>
      <w:r w:rsidR="00542B7E" w:rsidRPr="00911998">
        <w:t xml:space="preserve">, pour l’enfant qui évolue dans une famille </w:t>
      </w:r>
      <w:proofErr w:type="spellStart"/>
      <w:r w:rsidR="00542B7E" w:rsidRPr="00911998">
        <w:t>pluriparentale</w:t>
      </w:r>
      <w:proofErr w:type="spellEnd"/>
      <w:r w:rsidR="00542B7E" w:rsidRPr="00911998">
        <w:t>, le fait qu’il ne peut établir de lien de filiation signifie qu’en principe</w:t>
      </w:r>
      <w:r w:rsidR="005C3A9D" w:rsidRPr="00911998">
        <w:t>,</w:t>
      </w:r>
      <w:r w:rsidR="00542B7E" w:rsidRPr="00911998">
        <w:t xml:space="preserve"> il ne peut réclamer une pension alimentaire du parent non reconnu</w:t>
      </w:r>
      <w:r w:rsidR="00542B7E" w:rsidRPr="00911998">
        <w:rPr>
          <w:rStyle w:val="Appelnotedebasdep"/>
        </w:rPr>
        <w:footnoteReference w:id="216"/>
      </w:r>
      <w:r w:rsidR="00542B7E" w:rsidRPr="00911998">
        <w:t xml:space="preserve">. De plus, si ce parent décède </w:t>
      </w:r>
      <w:r w:rsidR="00542B7E" w:rsidRPr="00911998">
        <w:rPr>
          <w:i/>
          <w:iCs/>
        </w:rPr>
        <w:t>ab intestat</w:t>
      </w:r>
      <w:r w:rsidR="00542B7E" w:rsidRPr="00911998">
        <w:t>,</w:t>
      </w:r>
      <w:r w:rsidR="00542B7E" w:rsidRPr="00911998">
        <w:rPr>
          <w:i/>
          <w:iCs/>
        </w:rPr>
        <w:t xml:space="preserve"> </w:t>
      </w:r>
      <w:r w:rsidR="00542B7E" w:rsidRPr="00911998">
        <w:t>l’enfant ne sera pas un successible</w:t>
      </w:r>
      <w:r w:rsidR="002E65D1" w:rsidRPr="00911998">
        <w:rPr>
          <w:rStyle w:val="Appelnotedebasdep"/>
        </w:rPr>
        <w:footnoteReference w:id="217"/>
      </w:r>
      <w:r w:rsidR="00542B7E" w:rsidRPr="00911998">
        <w:t>. En somme, la limite de deux liens de filiation prive l’enfant d’avantages économiques potentiels à l’égard du parent non reconnu.</w:t>
      </w:r>
    </w:p>
    <w:p w14:paraId="4F63A533" w14:textId="55EA2858" w:rsidR="00542B7E" w:rsidRPr="00911998" w:rsidRDefault="005C3A9D" w:rsidP="00542B7E">
      <w:pPr>
        <w:pStyle w:val="Paragrsimple"/>
      </w:pPr>
      <w:r w:rsidRPr="00911998">
        <w:t>Par ailleurs</w:t>
      </w:r>
      <w:r w:rsidR="00542B7E" w:rsidRPr="00911998">
        <w:t xml:space="preserve">, les parents et enfants qui évoluent dans une famille </w:t>
      </w:r>
      <w:proofErr w:type="spellStart"/>
      <w:r w:rsidR="00542B7E" w:rsidRPr="00911998">
        <w:t>pluriparentale</w:t>
      </w:r>
      <w:proofErr w:type="spellEnd"/>
      <w:r w:rsidR="00542B7E" w:rsidRPr="00911998">
        <w:t xml:space="preserve"> subissent une exclusion </w:t>
      </w:r>
      <w:r w:rsidR="0076648F" w:rsidRPr="00911998">
        <w:t>sociojuridique</w:t>
      </w:r>
      <w:r w:rsidR="00542B7E" w:rsidRPr="00911998">
        <w:t>.</w:t>
      </w:r>
      <w:r w:rsidR="00407A27" w:rsidRPr="00911998">
        <w:t xml:space="preserve"> </w:t>
      </w:r>
      <w:r w:rsidR="006D3A38" w:rsidRPr="00911998">
        <w:t>Celle</w:t>
      </w:r>
      <w:r w:rsidR="006D3A38" w:rsidRPr="00911998">
        <w:noBreakHyphen/>
        <w:t>ci résulte du fait que seuls les parents dont la filiation est reconnu</w:t>
      </w:r>
      <w:r w:rsidR="001E4FDF" w:rsidRPr="00911998">
        <w:t>e</w:t>
      </w:r>
      <w:r w:rsidR="006D3A38" w:rsidRPr="00911998">
        <w:t xml:space="preserve"> sont investis de l’autorité parentale</w:t>
      </w:r>
      <w:r w:rsidR="001E4FDF" w:rsidRPr="00911998">
        <w:rPr>
          <w:rStyle w:val="Appelnotedebasdep"/>
        </w:rPr>
        <w:footnoteReference w:id="218"/>
      </w:r>
      <w:r w:rsidR="006D3A38" w:rsidRPr="00911998">
        <w:t>.</w:t>
      </w:r>
      <w:r w:rsidR="00542B7E" w:rsidRPr="00911998">
        <w:t xml:space="preserve"> </w:t>
      </w:r>
    </w:p>
    <w:p w14:paraId="0786A084" w14:textId="5B072134" w:rsidR="00542B7E" w:rsidRPr="00911998" w:rsidRDefault="001E4FDF" w:rsidP="00542B7E">
      <w:pPr>
        <w:pStyle w:val="Paragrsimple"/>
      </w:pPr>
      <w:r w:rsidRPr="00911998">
        <w:t>Ainsi, le parent non reconnu n’a aucun droit en ce qui concerne la garde de son enfant</w:t>
      </w:r>
      <w:r w:rsidR="0046626C" w:rsidRPr="00911998">
        <w:t xml:space="preserve">. Il </w:t>
      </w:r>
      <w:r w:rsidRPr="00911998">
        <w:t xml:space="preserve">n’a aucun droit de participer aux décisions fondamentales concernant l’éducation, la religion, les activités, les déplacements ou même la résidence de l’enfant. Il </w:t>
      </w:r>
      <w:r w:rsidR="0046626C" w:rsidRPr="00911998">
        <w:t xml:space="preserve">n’a </w:t>
      </w:r>
      <w:r w:rsidR="00ED73F7" w:rsidRPr="00911998">
        <w:t xml:space="preserve">pas </w:t>
      </w:r>
      <w:r w:rsidR="0046626C" w:rsidRPr="00911998">
        <w:t xml:space="preserve">non plus </w:t>
      </w:r>
      <w:r w:rsidR="00ED73F7" w:rsidRPr="00911998">
        <w:t xml:space="preserve">le droit </w:t>
      </w:r>
      <w:r w:rsidR="0046626C" w:rsidRPr="00911998">
        <w:t>de participer aux décisions concernant le consentement aux soins médicaux pour l’enfant</w:t>
      </w:r>
      <w:r w:rsidR="0046626C" w:rsidRPr="00911998">
        <w:rPr>
          <w:rStyle w:val="Appelnotedebasdep"/>
        </w:rPr>
        <w:footnoteReference w:id="219"/>
      </w:r>
      <w:r w:rsidR="0046626C" w:rsidRPr="00911998">
        <w:t>.</w:t>
      </w:r>
    </w:p>
    <w:p w14:paraId="6F071EBA" w14:textId="19C59DAB" w:rsidR="001B4D10" w:rsidRPr="00911998" w:rsidRDefault="00D87C0A" w:rsidP="0046626C">
      <w:pPr>
        <w:pStyle w:val="Paragrsimple"/>
      </w:pPr>
      <w:r w:rsidRPr="00911998">
        <w:t xml:space="preserve">Même en l’absence de tout conflit entre les parents, </w:t>
      </w:r>
      <w:r w:rsidR="00CC3108" w:rsidRPr="00911998">
        <w:t>celui</w:t>
      </w:r>
      <w:r w:rsidRPr="00911998">
        <w:t xml:space="preserve"> dont la filiation n’est pas reconnue</w:t>
      </w:r>
      <w:r w:rsidR="00EF50D3" w:rsidRPr="00911998">
        <w:t xml:space="preserve"> se trouve dans une situation </w:t>
      </w:r>
      <w:r w:rsidR="00CC3108" w:rsidRPr="00911998">
        <w:t>précaire</w:t>
      </w:r>
      <w:r w:rsidR="00EF50D3" w:rsidRPr="00911998">
        <w:t xml:space="preserve"> </w:t>
      </w:r>
      <w:r w:rsidR="00CC3108" w:rsidRPr="00911998">
        <w:t xml:space="preserve">dans ses </w:t>
      </w:r>
      <w:r w:rsidR="00EF50D3" w:rsidRPr="00911998">
        <w:t>interaction</w:t>
      </w:r>
      <w:r w:rsidR="00CC3108" w:rsidRPr="00911998">
        <w:t>s</w:t>
      </w:r>
      <w:r w:rsidR="00EF50D3" w:rsidRPr="00911998">
        <w:t xml:space="preserve"> avec des tiers en lien avec son enfant. </w:t>
      </w:r>
      <w:r w:rsidR="00ED73F7" w:rsidRPr="00911998">
        <w:t>Ces derniers</w:t>
      </w:r>
      <w:r w:rsidR="00EF50D3" w:rsidRPr="00911998">
        <w:t xml:space="preserve">, </w:t>
      </w:r>
      <w:r w:rsidR="00ED73F7" w:rsidRPr="00911998">
        <w:t>y compris</w:t>
      </w:r>
      <w:r w:rsidR="00EF50D3" w:rsidRPr="00911998">
        <w:t xml:space="preserve"> notamment des institutions publiques en matière </w:t>
      </w:r>
      <w:r w:rsidR="0076648F" w:rsidRPr="00911998">
        <w:t>d’éducation</w:t>
      </w:r>
      <w:r w:rsidR="00ED73F7" w:rsidRPr="00911998">
        <w:t xml:space="preserve"> ou</w:t>
      </w:r>
      <w:r w:rsidR="00EF50D3" w:rsidRPr="00911998">
        <w:t xml:space="preserve"> de santé, des employeurs</w:t>
      </w:r>
      <w:r w:rsidR="00EF50D3" w:rsidRPr="00911998">
        <w:rPr>
          <w:rStyle w:val="Appelnotedebasdep"/>
        </w:rPr>
        <w:footnoteReference w:id="220"/>
      </w:r>
      <w:r w:rsidR="00EF50D3" w:rsidRPr="00911998">
        <w:t xml:space="preserve"> ou des assureurs, peuvent bien ne pas reconnaître l’existence de la relation avec l’enfant</w:t>
      </w:r>
      <w:r w:rsidR="00EA46BC" w:rsidRPr="00911998">
        <w:t>,</w:t>
      </w:r>
      <w:r w:rsidR="00EF50D3" w:rsidRPr="00911998">
        <w:t xml:space="preserve"> ce qui </w:t>
      </w:r>
      <w:r w:rsidR="00B746A0" w:rsidRPr="00911998">
        <w:t xml:space="preserve">n’est pas sans conséquence </w:t>
      </w:r>
      <w:r w:rsidR="00EF50D3" w:rsidRPr="00911998">
        <w:t xml:space="preserve">pour l’enfant </w:t>
      </w:r>
      <w:r w:rsidR="00ED73F7" w:rsidRPr="00911998">
        <w:t xml:space="preserve">ou </w:t>
      </w:r>
      <w:r w:rsidR="00EA46BC" w:rsidRPr="00911998">
        <w:t>pour</w:t>
      </w:r>
      <w:r w:rsidR="00EF50D3" w:rsidRPr="00911998">
        <w:t xml:space="preserve"> le parent.</w:t>
      </w:r>
      <w:r w:rsidR="001B4D10" w:rsidRPr="00911998">
        <w:t xml:space="preserve"> </w:t>
      </w:r>
    </w:p>
    <w:p w14:paraId="4ED73061" w14:textId="043F493F" w:rsidR="0046626C" w:rsidRPr="00911998" w:rsidRDefault="00B746A0" w:rsidP="0046626C">
      <w:pPr>
        <w:pStyle w:val="Paragrsimple"/>
      </w:pPr>
      <w:r w:rsidRPr="00911998">
        <w:t>Par exemple</w:t>
      </w:r>
      <w:r w:rsidR="001B4D10" w:rsidRPr="00911998">
        <w:t xml:space="preserve">, </w:t>
      </w:r>
      <w:r w:rsidR="00205770" w:rsidRPr="00911998">
        <w:t xml:space="preserve">on peut s’interroger sur </w:t>
      </w:r>
      <w:r w:rsidR="001B4D10" w:rsidRPr="00911998">
        <w:t xml:space="preserve">la capacité du parent non reconnu </w:t>
      </w:r>
      <w:r w:rsidR="001A3AAB" w:rsidRPr="00911998">
        <w:t xml:space="preserve">à </w:t>
      </w:r>
      <w:r w:rsidR="001B4D10" w:rsidRPr="00911998">
        <w:t xml:space="preserve">intervenir auprès des tiers en cas d’urgence et </w:t>
      </w:r>
      <w:r w:rsidR="001A3AAB" w:rsidRPr="00911998">
        <w:t xml:space="preserve">à </w:t>
      </w:r>
      <w:r w:rsidR="001B4D10" w:rsidRPr="00911998">
        <w:t>poser des gestes dans l’intérêt de son enfant</w:t>
      </w:r>
      <w:r w:rsidR="001752BC" w:rsidRPr="00911998">
        <w:t>.</w:t>
      </w:r>
      <w:r w:rsidR="001B4D10" w:rsidRPr="00911998">
        <w:t xml:space="preserve"> </w:t>
      </w:r>
      <w:r w:rsidR="001752BC" w:rsidRPr="00911998">
        <w:t>P</w:t>
      </w:r>
      <w:r w:rsidR="001B4D10" w:rsidRPr="00911998">
        <w:t>ourra-t-il recueillir son enfant à l’école en cas de maladie</w:t>
      </w:r>
      <w:r w:rsidR="001752BC" w:rsidRPr="00911998">
        <w:t> ?</w:t>
      </w:r>
      <w:r w:rsidR="001B4D10" w:rsidRPr="00911998">
        <w:t xml:space="preserve"> </w:t>
      </w:r>
      <w:r w:rsidR="001752BC" w:rsidRPr="00911998">
        <w:t>P</w:t>
      </w:r>
      <w:r w:rsidR="001B4D10" w:rsidRPr="00911998">
        <w:t>ourra-t-il l’amener à des rendez-vous médica</w:t>
      </w:r>
      <w:r w:rsidR="00205770" w:rsidRPr="00911998">
        <w:t>ux</w:t>
      </w:r>
      <w:r w:rsidR="001752BC" w:rsidRPr="00911998">
        <w:t> ?</w:t>
      </w:r>
      <w:r w:rsidR="001B4D10" w:rsidRPr="00911998">
        <w:t xml:space="preserve"> </w:t>
      </w:r>
      <w:r w:rsidR="001752BC" w:rsidRPr="00911998">
        <w:t>P</w:t>
      </w:r>
      <w:r w:rsidR="001B4D10" w:rsidRPr="00911998">
        <w:t>ourra-t-il profiter d’un congé parental pour s’en occupe</w:t>
      </w:r>
      <w:r w:rsidR="001752BC" w:rsidRPr="00911998">
        <w:t>r ?</w:t>
      </w:r>
      <w:r w:rsidR="001B4D10" w:rsidRPr="00911998">
        <w:t xml:space="preserve"> </w:t>
      </w:r>
      <w:r w:rsidR="001752BC" w:rsidRPr="00911998">
        <w:t>L</w:t>
      </w:r>
      <w:r w:rsidR="001B4D10" w:rsidRPr="00911998">
        <w:t xml:space="preserve">’enfant pourra-t-il </w:t>
      </w:r>
      <w:r w:rsidR="0076648F" w:rsidRPr="00911998">
        <w:t>profit</w:t>
      </w:r>
      <w:r w:rsidR="001B4D10" w:rsidRPr="00911998">
        <w:t xml:space="preserve">er des assurances </w:t>
      </w:r>
      <w:r w:rsidR="00205770" w:rsidRPr="00911998">
        <w:t>denta</w:t>
      </w:r>
      <w:r w:rsidR="001A3AAB" w:rsidRPr="00911998">
        <w:t>ire</w:t>
      </w:r>
      <w:r w:rsidR="00205770" w:rsidRPr="00911998">
        <w:t xml:space="preserve">s et de santé </w:t>
      </w:r>
      <w:r w:rsidR="001B4D10" w:rsidRPr="00911998">
        <w:t>du parent</w:t>
      </w:r>
      <w:r w:rsidR="0076648F" w:rsidRPr="00911998">
        <w:t> </w:t>
      </w:r>
      <w:r w:rsidR="00205770" w:rsidRPr="00911998">
        <w:t xml:space="preserve">? En l’absence d’un lien de filiation reconnu, </w:t>
      </w:r>
      <w:r w:rsidR="00DE28A1" w:rsidRPr="00911998">
        <w:t>la possibilité</w:t>
      </w:r>
      <w:r w:rsidR="00205770" w:rsidRPr="00911998">
        <w:t xml:space="preserve"> d’une réponse négative à ces questions ne peut être écarté</w:t>
      </w:r>
      <w:r w:rsidR="00DE28A1" w:rsidRPr="00911998">
        <w:t>e</w:t>
      </w:r>
      <w:r w:rsidR="00205770" w:rsidRPr="00911998">
        <w:t>.</w:t>
      </w:r>
    </w:p>
    <w:p w14:paraId="2CE2BCDE" w14:textId="4266AC40" w:rsidR="00EA46BC" w:rsidRPr="00911998" w:rsidRDefault="00EA46BC" w:rsidP="00EA46BC">
      <w:pPr>
        <w:pStyle w:val="Paragrsimple"/>
      </w:pPr>
      <w:r w:rsidRPr="00911998">
        <w:t>En cas de conflit avec les parents dont la filiation est reconnue, l</w:t>
      </w:r>
      <w:r w:rsidR="00CF264F" w:rsidRPr="00911998">
        <w:t>a situation juridique du</w:t>
      </w:r>
      <w:r w:rsidRPr="00911998">
        <w:t xml:space="preserve"> parent non reconnu est précaire</w:t>
      </w:r>
      <w:r w:rsidR="00CF264F" w:rsidRPr="00911998">
        <w:t>. Il</w:t>
      </w:r>
      <w:r w:rsidRPr="00911998">
        <w:t xml:space="preserve"> peut même se trouver à risque d’être exclu </w:t>
      </w:r>
      <w:r w:rsidRPr="00911998">
        <w:lastRenderedPageBreak/>
        <w:t>de la vie de son enfant. En raison de cette vulnérabilité juridique, la relation de l’enfant avec son parent non reconnu est fragilisée</w:t>
      </w:r>
      <w:r w:rsidR="00CF264F" w:rsidRPr="00911998">
        <w:t>,</w:t>
      </w:r>
      <w:r w:rsidRPr="00911998">
        <w:t xml:space="preserve"> ce qui ne saurait être dans l’intérêt de l’enfant.</w:t>
      </w:r>
    </w:p>
    <w:p w14:paraId="6BDEDFD1" w14:textId="13E6523B" w:rsidR="00EA46BC" w:rsidRPr="00911998" w:rsidRDefault="00EA46BC" w:rsidP="00EA46BC">
      <w:pPr>
        <w:pStyle w:val="Paragrsimple"/>
      </w:pPr>
      <w:r w:rsidRPr="00911998">
        <w:t xml:space="preserve">En réponse, le PGQ souligne que le deuxième volet du critère </w:t>
      </w:r>
      <w:r w:rsidR="00CF264F" w:rsidRPr="00911998">
        <w:t>d’application du</w:t>
      </w:r>
      <w:r w:rsidRPr="00911998">
        <w:t xml:space="preserve"> paragraphe 15(1) de la </w:t>
      </w:r>
      <w:r w:rsidRPr="00911998">
        <w:rPr>
          <w:i/>
          <w:iCs/>
        </w:rPr>
        <w:t>Charte canadienne</w:t>
      </w:r>
      <w:r w:rsidRPr="00911998">
        <w:t xml:space="preserve"> exige une étude du contexte législatif plus large</w:t>
      </w:r>
      <w:r w:rsidRPr="00911998">
        <w:rPr>
          <w:rStyle w:val="Appelnotedebasdep"/>
        </w:rPr>
        <w:footnoteReference w:id="221"/>
      </w:r>
      <w:r w:rsidRPr="00911998">
        <w:t xml:space="preserve">. Selon le PGQ une telle analyse </w:t>
      </w:r>
      <w:r w:rsidR="0076648F" w:rsidRPr="00911998">
        <w:t>ne révèle</w:t>
      </w:r>
      <w:r w:rsidRPr="00911998">
        <w:t xml:space="preserve"> aucun véritable désavantage occasionné par la limite de deux liens de filiation. </w:t>
      </w:r>
    </w:p>
    <w:p w14:paraId="603D39DA" w14:textId="36F5C9E9" w:rsidR="00EA46BC" w:rsidRPr="00911998" w:rsidRDefault="00EA46BC" w:rsidP="00EA46BC">
      <w:pPr>
        <w:pStyle w:val="Paragrsimple"/>
      </w:pPr>
      <w:r w:rsidRPr="00911998">
        <w:t>En effet, comme mentionné, l’article 601 C.c.Q. permet la délégation des attributs de l’autorité parentale à une personne dont la filiation ne peut être établie conformément au droit positif. Par ailleurs, en l’absence d’une telle délégation ou en cas de différend avec les titulaires de l’autorité parentale, la personne dont la filiation n’est pas reconnue peut demander aux tribunaux de reconna</w:t>
      </w:r>
      <w:r w:rsidR="0076648F" w:rsidRPr="00911998">
        <w:t>î</w:t>
      </w:r>
      <w:r w:rsidRPr="00911998">
        <w:t xml:space="preserve">tre son implication dans la vie de l’enfant, et ce, dans l’intérêt de </w:t>
      </w:r>
      <w:r w:rsidR="00CF264F" w:rsidRPr="00911998">
        <w:t>ce dernier</w:t>
      </w:r>
      <w:r w:rsidRPr="00911998">
        <w:rPr>
          <w:rStyle w:val="Appelnotedebasdep"/>
        </w:rPr>
        <w:footnoteReference w:id="222"/>
      </w:r>
      <w:r w:rsidRPr="00911998">
        <w:t>.</w:t>
      </w:r>
    </w:p>
    <w:p w14:paraId="27E153D0" w14:textId="24BAC088" w:rsidR="00EA46BC" w:rsidRPr="00911998" w:rsidRDefault="00EA46BC" w:rsidP="00EA46BC">
      <w:pPr>
        <w:pStyle w:val="Paragrsimple"/>
      </w:pPr>
      <w:r w:rsidRPr="00911998">
        <w:t xml:space="preserve">Contrairement à l’article 7 de la </w:t>
      </w:r>
      <w:r w:rsidRPr="00911998">
        <w:rPr>
          <w:i/>
          <w:iCs/>
        </w:rPr>
        <w:t>Charte canadienne</w:t>
      </w:r>
      <w:r w:rsidRPr="00911998">
        <w:t xml:space="preserve">, l’imposition d’un fardeau ou la négation d’un avantage d’une manière qui renforce ou perpétue le désavantage aux fins </w:t>
      </w:r>
      <w:r w:rsidR="0076648F" w:rsidRPr="00911998">
        <w:t>de la</w:t>
      </w:r>
      <w:r w:rsidRPr="00911998">
        <w:t xml:space="preserve"> deuxième étape de l’analyse sous le paragraphe 15(1) ne comporte </w:t>
      </w:r>
      <w:r w:rsidR="005A74C0" w:rsidRPr="00911998">
        <w:t xml:space="preserve">pas </w:t>
      </w:r>
      <w:r w:rsidR="00796D3F">
        <w:t>d</w:t>
      </w:r>
      <w:r w:rsidR="005A74C0" w:rsidRPr="00911998">
        <w:t xml:space="preserve">e </w:t>
      </w:r>
      <w:r w:rsidRPr="00911998">
        <w:t>seuil préliminaire de sévérité</w:t>
      </w:r>
      <w:r w:rsidRPr="00911998">
        <w:rPr>
          <w:rStyle w:val="Appelnotedebasdep"/>
        </w:rPr>
        <w:footnoteReference w:id="223"/>
      </w:r>
      <w:r w:rsidRPr="00911998">
        <w:t xml:space="preserve">. Si les éléments soulevés par le PGQ permettent de conclure qu’il n’y a pas atteinte au droit à la liberté garanti par l’article 7 de la </w:t>
      </w:r>
      <w:r w:rsidRPr="00911998">
        <w:rPr>
          <w:i/>
          <w:iCs/>
        </w:rPr>
        <w:t>Charte canadienne</w:t>
      </w:r>
      <w:r w:rsidRPr="00911998">
        <w:t>, ils confirment en revanche le désavantage occasionné par la différence de traitement qui résulte de la limite de deux liens de filiation.</w:t>
      </w:r>
    </w:p>
    <w:p w14:paraId="0A591075" w14:textId="68410894" w:rsidR="00EA46BC" w:rsidRPr="00911998" w:rsidRDefault="0076648F" w:rsidP="00EA46BC">
      <w:pPr>
        <w:pStyle w:val="Paragrsimple"/>
      </w:pPr>
      <w:r w:rsidRPr="00911998">
        <w:t>En effet,</w:t>
      </w:r>
      <w:r w:rsidR="00EA46BC" w:rsidRPr="00911998">
        <w:t xml:space="preserve"> une délégation des attributs de l’autorité parentale est en tout temps révocable et représente une solution </w:t>
      </w:r>
      <w:r w:rsidR="004E76EA" w:rsidRPr="00911998">
        <w:t>chancelante</w:t>
      </w:r>
      <w:r w:rsidR="00EA46BC" w:rsidRPr="00911998">
        <w:t xml:space="preserve"> pour le parent et l’enfant dont le lien de filiation n’est pas reconnu. </w:t>
      </w:r>
      <w:r w:rsidR="00CF264F" w:rsidRPr="00911998">
        <w:t>Par ailleurs</w:t>
      </w:r>
      <w:r w:rsidR="00EA46BC" w:rsidRPr="00911998">
        <w:t>, le parent non reconnu qui doit recourir aux tribunaux afin de se voir investi d’une parcelle de l’autorité parentale entreprend une démarche judiciaire lourde, co</w:t>
      </w:r>
      <w:r w:rsidR="00CF264F" w:rsidRPr="00911998">
        <w:t>û</w:t>
      </w:r>
      <w:r w:rsidR="00EA46BC" w:rsidRPr="00911998">
        <w:t>teuse et dont l’issue est incertaine</w:t>
      </w:r>
      <w:r w:rsidR="00EA46BC" w:rsidRPr="00911998">
        <w:rPr>
          <w:rStyle w:val="Appelnotedebasdep"/>
        </w:rPr>
        <w:footnoteReference w:id="224"/>
      </w:r>
      <w:r w:rsidR="00EA46BC" w:rsidRPr="00911998">
        <w:t xml:space="preserve">. Ce fardeau n’est pas imposé au parent dont la filiation est établie, ce qui </w:t>
      </w:r>
      <w:r w:rsidR="00CF264F" w:rsidRPr="00911998">
        <w:t xml:space="preserve">met en évidence </w:t>
      </w:r>
      <w:r w:rsidR="00EA46BC" w:rsidRPr="00911998">
        <w:t>le désavantage qui résulte de la différence de traitement.</w:t>
      </w:r>
    </w:p>
    <w:p w14:paraId="2CF5856A" w14:textId="1F43F2A4" w:rsidR="00F51EC6" w:rsidRPr="00911998" w:rsidRDefault="003B3286" w:rsidP="00EE55CF">
      <w:pPr>
        <w:pStyle w:val="Paragrsimple"/>
      </w:pPr>
      <w:r w:rsidRPr="00911998">
        <w:t xml:space="preserve">En somme, </w:t>
      </w:r>
      <w:r w:rsidR="00EE55CF" w:rsidRPr="00911998">
        <w:t>l’absence d’un lien de filiation occasionne un désavantage sociojuridique tant pour le parent non reconnu que pour son enfant.</w:t>
      </w:r>
    </w:p>
    <w:p w14:paraId="6B50F95E" w14:textId="5B48D117" w:rsidR="00486EC9" w:rsidRPr="00911998" w:rsidRDefault="00B27B90" w:rsidP="00297C66">
      <w:pPr>
        <w:pStyle w:val="Paragrsimple"/>
      </w:pPr>
      <w:r w:rsidRPr="00911998">
        <w:t>De surcroît</w:t>
      </w:r>
      <w:r w:rsidR="00297C66" w:rsidRPr="00911998">
        <w:t xml:space="preserve">, </w:t>
      </w:r>
      <w:r w:rsidR="00B459D2" w:rsidRPr="00911998">
        <w:t>la limite de deux liens de filiation occasionne un préjudice psychologique et identitaire aux</w:t>
      </w:r>
      <w:r w:rsidR="0093784B" w:rsidRPr="00911998">
        <w:t xml:space="preserve"> membres de</w:t>
      </w:r>
      <w:r w:rsidR="00B459D2" w:rsidRPr="00911998">
        <w:t>s</w:t>
      </w:r>
      <w:r w:rsidR="0093784B" w:rsidRPr="00911998">
        <w:t xml:space="preserve"> familles </w:t>
      </w:r>
      <w:proofErr w:type="spellStart"/>
      <w:r w:rsidR="0093784B" w:rsidRPr="00911998">
        <w:t>pluriparentales</w:t>
      </w:r>
      <w:proofErr w:type="spellEnd"/>
      <w:r w:rsidR="0093784B" w:rsidRPr="00911998">
        <w:t xml:space="preserve">. </w:t>
      </w:r>
      <w:r w:rsidR="00B459D2" w:rsidRPr="00911998">
        <w:t xml:space="preserve">Comme </w:t>
      </w:r>
      <w:r w:rsidR="00B459D2" w:rsidRPr="00911998">
        <w:lastRenderedPageBreak/>
        <w:t xml:space="preserve">mentionné lors de l’analyse de l’argument </w:t>
      </w:r>
      <w:r w:rsidR="004E76EA" w:rsidRPr="00911998">
        <w:t>portant sur le</w:t>
      </w:r>
      <w:r w:rsidR="00B459D2" w:rsidRPr="00911998">
        <w:t xml:space="preserve"> droit à la sécurité de la personne protégé par l’article 7 de la </w:t>
      </w:r>
      <w:r w:rsidR="00B459D2" w:rsidRPr="00911998">
        <w:rPr>
          <w:i/>
          <w:iCs/>
        </w:rPr>
        <w:t>Charte canadienne</w:t>
      </w:r>
      <w:r w:rsidR="00B459D2" w:rsidRPr="00911998">
        <w:t xml:space="preserve">, la preuve prépondérante permet de conclure que </w:t>
      </w:r>
      <w:r w:rsidR="00CA65B0" w:rsidRPr="00911998">
        <w:t>la limite</w:t>
      </w:r>
      <w:r w:rsidR="00B459D2" w:rsidRPr="00911998">
        <w:t xml:space="preserve"> de deux liens de filiation </w:t>
      </w:r>
      <w:r w:rsidR="00CA65B0" w:rsidRPr="00911998">
        <w:t>constitue un</w:t>
      </w:r>
      <w:r w:rsidR="001C7311" w:rsidRPr="00911998">
        <w:t>e</w:t>
      </w:r>
      <w:r w:rsidR="00CA65B0" w:rsidRPr="00911998">
        <w:t xml:space="preserve"> </w:t>
      </w:r>
      <w:r w:rsidR="00B459D2" w:rsidRPr="00911998">
        <w:t xml:space="preserve">source de stress et d’anxiété pour les parents qui adoptent </w:t>
      </w:r>
      <w:r w:rsidR="00486EC9" w:rsidRPr="00911998">
        <w:t xml:space="preserve">un modèle familial </w:t>
      </w:r>
      <w:proofErr w:type="spellStart"/>
      <w:r w:rsidR="00486EC9" w:rsidRPr="00911998">
        <w:t>pluriparental</w:t>
      </w:r>
      <w:proofErr w:type="spellEnd"/>
      <w:r w:rsidR="00486EC9" w:rsidRPr="00911998">
        <w:t xml:space="preserve">. Le risque que le parent non reconnu soit exclu de décisions importantes </w:t>
      </w:r>
      <w:r w:rsidR="0076648F" w:rsidRPr="00911998">
        <w:t>—</w:t>
      </w:r>
      <w:r w:rsidR="00DD7ED6" w:rsidRPr="00911998">
        <w:t> </w:t>
      </w:r>
      <w:r w:rsidR="00486EC9" w:rsidRPr="00911998">
        <w:t>notamment de</w:t>
      </w:r>
      <w:r w:rsidR="00DD7ED6" w:rsidRPr="00911998">
        <w:t xml:space="preserve"> celles</w:t>
      </w:r>
      <w:r w:rsidR="00486EC9" w:rsidRPr="00911998">
        <w:t xml:space="preserve"> concernant la santé de l’enfant </w:t>
      </w:r>
      <w:r w:rsidR="0076648F" w:rsidRPr="00911998">
        <w:t>—</w:t>
      </w:r>
      <w:r w:rsidR="00486EC9" w:rsidRPr="00911998">
        <w:t xml:space="preserve"> est une préoccupation constante, tant pour </w:t>
      </w:r>
      <w:r w:rsidR="00DD7ED6" w:rsidRPr="00911998">
        <w:t xml:space="preserve">ce parent </w:t>
      </w:r>
      <w:r w:rsidR="00486EC9" w:rsidRPr="00911998">
        <w:t xml:space="preserve">que pour </w:t>
      </w:r>
      <w:r w:rsidR="00DD7ED6" w:rsidRPr="00911998">
        <w:t>ceux</w:t>
      </w:r>
      <w:r w:rsidR="00486EC9" w:rsidRPr="00911998">
        <w:t xml:space="preserve"> dont la filiation est reconnue.</w:t>
      </w:r>
    </w:p>
    <w:p w14:paraId="3F80C064" w14:textId="7E9A7562" w:rsidR="001B4D10" w:rsidRPr="00911998" w:rsidRDefault="00486EC9" w:rsidP="00297C66">
      <w:pPr>
        <w:pStyle w:val="Paragrsimple"/>
      </w:pPr>
      <w:r w:rsidRPr="00911998">
        <w:t xml:space="preserve"> Si cette situation n’atteint pas le niveau de gravité </w:t>
      </w:r>
      <w:r w:rsidR="00DD7ED6" w:rsidRPr="00911998">
        <w:t xml:space="preserve">requis </w:t>
      </w:r>
      <w:r w:rsidRPr="00911998">
        <w:t xml:space="preserve">pour mettre en cause la sécurité de la personne, elle constitue néanmoins un préjudice psychologique qui résulte de la différence de traitement et qui est pertinent </w:t>
      </w:r>
      <w:r w:rsidR="004E76EA" w:rsidRPr="00911998">
        <w:t xml:space="preserve">en ce qui a trait </w:t>
      </w:r>
      <w:r w:rsidR="001C7311" w:rsidRPr="00911998">
        <w:t xml:space="preserve">au </w:t>
      </w:r>
      <w:r w:rsidRPr="00911998">
        <w:t xml:space="preserve">deuxième volet de l’analyse </w:t>
      </w:r>
      <w:r w:rsidR="00DD7ED6" w:rsidRPr="00911998">
        <w:t>en vertu du</w:t>
      </w:r>
      <w:r w:rsidRPr="00911998">
        <w:t xml:space="preserve"> paragraphe 15(1) de la </w:t>
      </w:r>
      <w:r w:rsidRPr="00911998">
        <w:rPr>
          <w:i/>
          <w:iCs/>
        </w:rPr>
        <w:t>Charte canadienne</w:t>
      </w:r>
      <w:r w:rsidRPr="00911998">
        <w:t>.</w:t>
      </w:r>
    </w:p>
    <w:p w14:paraId="24A48A56" w14:textId="73DAE65C" w:rsidR="00F5263C" w:rsidRPr="00911998" w:rsidRDefault="00B27B90" w:rsidP="00A8642E">
      <w:pPr>
        <w:pStyle w:val="Paragrsimple"/>
      </w:pPr>
      <w:r w:rsidRPr="00911998">
        <w:t xml:space="preserve">Enfin, l’on ne peut passer sous silence les conséquences identitaires de </w:t>
      </w:r>
      <w:r w:rsidR="00CA65B0" w:rsidRPr="00911998">
        <w:t>la limite</w:t>
      </w:r>
      <w:r w:rsidRPr="00911998">
        <w:t xml:space="preserve"> de deux liens de filiation. </w:t>
      </w:r>
      <w:r w:rsidR="00CD33B2" w:rsidRPr="00911998">
        <w:t xml:space="preserve">Le fait d’être le parent ou l’enfant de quelqu’un </w:t>
      </w:r>
      <w:r w:rsidR="007A47AD" w:rsidRPr="00911998">
        <w:t xml:space="preserve">est profondément identitaire et </w:t>
      </w:r>
      <w:r w:rsidR="00CD33B2" w:rsidRPr="00911998">
        <w:t>participe de façon importante à la définition de qui nous sommes</w:t>
      </w:r>
      <w:r w:rsidR="00F5263C" w:rsidRPr="00911998">
        <w:rPr>
          <w:rStyle w:val="Appelnotedebasdep"/>
        </w:rPr>
        <w:footnoteReference w:id="225"/>
      </w:r>
      <w:r w:rsidR="00CD33B2" w:rsidRPr="00911998">
        <w:t xml:space="preserve">. </w:t>
      </w:r>
    </w:p>
    <w:p w14:paraId="043442C1" w14:textId="143732CC" w:rsidR="00B27B90" w:rsidRPr="00911998" w:rsidRDefault="00DD7ED6" w:rsidP="00A8642E">
      <w:pPr>
        <w:pStyle w:val="Paragrsimple"/>
      </w:pPr>
      <w:r w:rsidRPr="00911998">
        <w:t>Notamment, l</w:t>
      </w:r>
      <w:r w:rsidR="004155CD" w:rsidRPr="00911998">
        <w:t>a reconnaissance formelle d</w:t>
      </w:r>
      <w:r w:rsidR="00D17A07" w:rsidRPr="00911998">
        <w:t>es</w:t>
      </w:r>
      <w:r w:rsidR="004155CD" w:rsidRPr="00911998">
        <w:t xml:space="preserve"> liens entre un parent et son enfant dans une déclaration de naissance permet </w:t>
      </w:r>
      <w:r w:rsidR="00D17A07" w:rsidRPr="00911998">
        <w:t>«</w:t>
      </w:r>
      <w:r w:rsidR="0076648F" w:rsidRPr="00911998">
        <w:t> </w:t>
      </w:r>
      <w:r w:rsidR="004155CD" w:rsidRPr="00911998">
        <w:t>d’affirmer ce</w:t>
      </w:r>
      <w:r w:rsidR="00D17A07" w:rsidRPr="00911998">
        <w:t>s</w:t>
      </w:r>
      <w:r w:rsidR="004155CD" w:rsidRPr="00911998">
        <w:t xml:space="preserve"> li</w:t>
      </w:r>
      <w:r w:rsidR="00D17A07" w:rsidRPr="00911998">
        <w:t>ens</w:t>
      </w:r>
      <w:r w:rsidR="0076648F" w:rsidRPr="00911998">
        <w:t> </w:t>
      </w:r>
      <w:r w:rsidR="00D17A07" w:rsidRPr="00911998">
        <w:t>»</w:t>
      </w:r>
      <w:r w:rsidR="00D17A07" w:rsidRPr="00911998">
        <w:rPr>
          <w:rStyle w:val="Appelnotedebasdep"/>
        </w:rPr>
        <w:footnoteReference w:id="226"/>
      </w:r>
      <w:r w:rsidR="00D17A07" w:rsidRPr="00911998">
        <w:t>. À l’inverse, l</w:t>
      </w:r>
      <w:r w:rsidR="00A778EC" w:rsidRPr="00911998">
        <w:t>a non</w:t>
      </w:r>
      <w:r w:rsidR="00A778EC" w:rsidRPr="00911998">
        <w:noBreakHyphen/>
      </w:r>
      <w:r w:rsidR="00CD33B2" w:rsidRPr="00911998">
        <w:t xml:space="preserve">reconnaissance </w:t>
      </w:r>
      <w:r w:rsidR="00A778EC" w:rsidRPr="00911998">
        <w:t xml:space="preserve">de </w:t>
      </w:r>
      <w:r w:rsidR="00EA46BC" w:rsidRPr="00911998">
        <w:t>cette réalité</w:t>
      </w:r>
      <w:r w:rsidR="00A778EC" w:rsidRPr="00911998">
        <w:t xml:space="preserve"> </w:t>
      </w:r>
      <w:r w:rsidR="00CD33B2" w:rsidRPr="00911998">
        <w:t xml:space="preserve">par l’État et par ses institutions </w:t>
      </w:r>
      <w:proofErr w:type="gramStart"/>
      <w:r w:rsidR="001D6309" w:rsidRPr="00911998">
        <w:t>a</w:t>
      </w:r>
      <w:proofErr w:type="gramEnd"/>
      <w:r w:rsidR="001D6309" w:rsidRPr="00911998">
        <w:t xml:space="preserve"> une incidence sur le sens de l’identité et l’estime de soi des personnes </w:t>
      </w:r>
      <w:r w:rsidRPr="00911998">
        <w:t>concern</w:t>
      </w:r>
      <w:r w:rsidR="001D6309" w:rsidRPr="00911998">
        <w:t>ées</w:t>
      </w:r>
      <w:r w:rsidR="008114FA" w:rsidRPr="00911998">
        <w:rPr>
          <w:rStyle w:val="Appelnotedebasdep"/>
        </w:rPr>
        <w:footnoteReference w:id="227"/>
      </w:r>
      <w:r w:rsidR="001D6309" w:rsidRPr="00911998">
        <w:t>.</w:t>
      </w:r>
      <w:r w:rsidR="004155CD" w:rsidRPr="00911998">
        <w:t xml:space="preserve"> </w:t>
      </w:r>
      <w:r w:rsidR="001D6309" w:rsidRPr="00911998">
        <w:t xml:space="preserve"> </w:t>
      </w:r>
    </w:p>
    <w:p w14:paraId="3E323668" w14:textId="06962F29" w:rsidR="00E2754F" w:rsidRPr="00911998" w:rsidRDefault="00961AC7" w:rsidP="00E2754F">
      <w:pPr>
        <w:pStyle w:val="Paragrsimple"/>
      </w:pPr>
      <w:r w:rsidRPr="00911998">
        <w:t xml:space="preserve">En fin d’analyse, la limite de deux liens de filiation </w:t>
      </w:r>
      <w:r w:rsidR="001C7311" w:rsidRPr="00911998">
        <w:t xml:space="preserve">transmet </w:t>
      </w:r>
      <w:r w:rsidRPr="00911998">
        <w:t xml:space="preserve">aux familles </w:t>
      </w:r>
      <w:proofErr w:type="spellStart"/>
      <w:r w:rsidRPr="00911998">
        <w:t>pluriparentales</w:t>
      </w:r>
      <w:proofErr w:type="spellEnd"/>
      <w:r w:rsidRPr="00911998">
        <w:t xml:space="preserve"> et à la société en général </w:t>
      </w:r>
      <w:r w:rsidR="001C7311" w:rsidRPr="00911998">
        <w:t xml:space="preserve">le message </w:t>
      </w:r>
      <w:r w:rsidRPr="00911998">
        <w:t xml:space="preserve">que seules </w:t>
      </w:r>
      <w:r w:rsidR="00DD7ED6" w:rsidRPr="00911998">
        <w:t>l</w:t>
      </w:r>
      <w:r w:rsidRPr="00911998">
        <w:t>es familles dites «</w:t>
      </w:r>
      <w:r w:rsidR="0076648F" w:rsidRPr="00911998">
        <w:t> </w:t>
      </w:r>
      <w:r w:rsidRPr="00911998">
        <w:t>normales</w:t>
      </w:r>
      <w:r w:rsidR="0076648F" w:rsidRPr="00911998">
        <w:t> </w:t>
      </w:r>
      <w:r w:rsidRPr="00911998">
        <w:t>», avec un maximum de deux parents, représentent des structures familiales valides et dignes de reconnaissance juridique</w:t>
      </w:r>
      <w:r w:rsidRPr="00911998">
        <w:rPr>
          <w:rStyle w:val="Appelnotedebasdep"/>
        </w:rPr>
        <w:footnoteReference w:id="228"/>
      </w:r>
      <w:r w:rsidRPr="00911998">
        <w:t>. Ce message renforce et perpétue le désavantage subi par ceux et celles qui évoluent dans un modèle familial non</w:t>
      </w:r>
      <w:r w:rsidR="005342ED" w:rsidRPr="00911998">
        <w:t xml:space="preserve"> </w:t>
      </w:r>
      <w:r w:rsidRPr="00911998">
        <w:t xml:space="preserve">traditionnel. En définitive, la différence de traitement est discriminatoire et porte atteinte au droit à l’égalité garanti par </w:t>
      </w:r>
      <w:r w:rsidR="00811D6F" w:rsidRPr="00911998">
        <w:t xml:space="preserve">le paragraphe 15(1) de la </w:t>
      </w:r>
      <w:r w:rsidR="00811D6F" w:rsidRPr="00911998">
        <w:rPr>
          <w:i/>
          <w:iCs/>
        </w:rPr>
        <w:t>Charte canadienne</w:t>
      </w:r>
      <w:r w:rsidR="00811D6F" w:rsidRPr="00911998">
        <w:t>.</w:t>
      </w:r>
    </w:p>
    <w:p w14:paraId="1A19076F" w14:textId="2C931788" w:rsidR="008E6EDE" w:rsidRPr="00911998" w:rsidRDefault="008E6EDE" w:rsidP="008E6EDE">
      <w:pPr>
        <w:pStyle w:val="Titre3"/>
      </w:pPr>
      <w:bookmarkStart w:id="61" w:name="_Toc196463732"/>
      <w:r w:rsidRPr="00911998">
        <w:lastRenderedPageBreak/>
        <w:t>L</w:t>
      </w:r>
      <w:r w:rsidR="000E5BE0" w:rsidRPr="00911998">
        <w:t>e droit à l’égalité garanti par l</w:t>
      </w:r>
      <w:r w:rsidRPr="00911998">
        <w:t xml:space="preserve">’article 10 de la </w:t>
      </w:r>
      <w:r w:rsidRPr="00911998">
        <w:rPr>
          <w:i/>
          <w:iCs/>
        </w:rPr>
        <w:t>Charte québécoise</w:t>
      </w:r>
      <w:bookmarkEnd w:id="61"/>
    </w:p>
    <w:p w14:paraId="79EF0872" w14:textId="20384F44" w:rsidR="000E5BE0" w:rsidRPr="00911998" w:rsidRDefault="000E5BE0" w:rsidP="000E5BE0">
      <w:pPr>
        <w:pStyle w:val="Paragrsimple"/>
        <w:tabs>
          <w:tab w:val="clear" w:pos="360"/>
        </w:tabs>
        <w:rPr>
          <w:rFonts w:cs="Arial"/>
          <w:sz w:val="22"/>
          <w:szCs w:val="22"/>
        </w:rPr>
      </w:pPr>
      <w:r w:rsidRPr="00911998">
        <w:t xml:space="preserve">L’article 10 de la </w:t>
      </w:r>
      <w:r w:rsidRPr="00911998">
        <w:rPr>
          <w:i/>
          <w:iCs/>
        </w:rPr>
        <w:t>Charte québécoise</w:t>
      </w:r>
      <w:r w:rsidR="00900E3D" w:rsidRPr="00911998">
        <w:t xml:space="preserve"> </w:t>
      </w:r>
      <w:r w:rsidRPr="00911998">
        <w:t>protège la reconnaissance et l’exercice en pleine égalité des droits et libertés de la personne sans distinction fondée sur les motifs énumérés à cette disposition :</w:t>
      </w:r>
    </w:p>
    <w:tbl>
      <w:tblPr>
        <w:tblStyle w:val="Grilledutableau"/>
        <w:tblW w:w="0" w:type="auto"/>
        <w:tblInd w:w="279" w:type="dxa"/>
        <w:tblLook w:val="04A0" w:firstRow="1" w:lastRow="0" w:firstColumn="1" w:lastColumn="0" w:noHBand="0" w:noVBand="1"/>
      </w:tblPr>
      <w:tblGrid>
        <w:gridCol w:w="4394"/>
        <w:gridCol w:w="4536"/>
      </w:tblGrid>
      <w:tr w:rsidR="000E19AB" w:rsidRPr="00C62C88" w14:paraId="0E11C944" w14:textId="77777777" w:rsidTr="008C5704">
        <w:tc>
          <w:tcPr>
            <w:tcW w:w="4394" w:type="dxa"/>
          </w:tcPr>
          <w:p w14:paraId="6224028F" w14:textId="77777777" w:rsidR="000E5BE0" w:rsidRPr="00911998" w:rsidRDefault="00000000" w:rsidP="008C5704">
            <w:pPr>
              <w:jc w:val="both"/>
              <w:rPr>
                <w:rFonts w:cs="Arial"/>
                <w:sz w:val="22"/>
                <w:szCs w:val="22"/>
                <w:lang w:eastAsia="fr-CA"/>
              </w:rPr>
            </w:pPr>
            <w:hyperlink r:id="rId43" w:anchor="se:10" w:history="1">
              <w:r w:rsidR="000E5BE0" w:rsidRPr="00911998">
                <w:rPr>
                  <w:rFonts w:cs="Arial"/>
                  <w:b/>
                  <w:bCs/>
                  <w:sz w:val="22"/>
                  <w:szCs w:val="22"/>
                  <w:lang w:eastAsia="fr-CA"/>
                </w:rPr>
                <w:t>10.</w:t>
              </w:r>
            </w:hyperlink>
            <w:r w:rsidR="000E5BE0" w:rsidRPr="00911998">
              <w:rPr>
                <w:rFonts w:cs="Arial"/>
                <w:sz w:val="22"/>
                <w:szCs w:val="22"/>
                <w:lang w:eastAsia="fr-CA"/>
              </w:rPr>
              <w:t>  Toute personne a droit à la reconnaissance et à l’exercice, en pleine égalité, des droits et libertés de la personne, sans distinction, exclusion ou préférence fondée sur la race, la couleur, le sexe, l’identité ou l’expression de genre, la grossesse, l’orientation sexuelle, l’état civil, l’âge sauf dans la mesure prévue par la loi, la religion, les convictions politiques, la langue, l’origine ethnique ou nationale, la condition sociale, le handicap ou l’utilisation d’un moyen pour pallier ce handicap.</w:t>
            </w:r>
          </w:p>
          <w:p w14:paraId="1A831F9D" w14:textId="77777777" w:rsidR="000E5BE0" w:rsidRPr="00911998" w:rsidRDefault="000E5BE0" w:rsidP="008C5704">
            <w:pPr>
              <w:jc w:val="both"/>
              <w:rPr>
                <w:rFonts w:cs="Arial"/>
                <w:sz w:val="22"/>
                <w:szCs w:val="22"/>
                <w:lang w:eastAsia="fr-CA"/>
              </w:rPr>
            </w:pPr>
          </w:p>
          <w:p w14:paraId="33608096" w14:textId="77777777" w:rsidR="000E5BE0" w:rsidRPr="00911998" w:rsidRDefault="000E5BE0" w:rsidP="008C5704">
            <w:pPr>
              <w:jc w:val="both"/>
              <w:rPr>
                <w:rFonts w:cs="Arial"/>
                <w:sz w:val="22"/>
                <w:szCs w:val="22"/>
                <w:lang w:eastAsia="fr-CA"/>
              </w:rPr>
            </w:pPr>
            <w:r w:rsidRPr="00911998">
              <w:rPr>
                <w:rFonts w:cs="Arial"/>
                <w:sz w:val="22"/>
                <w:szCs w:val="22"/>
                <w:lang w:eastAsia="fr-CA"/>
              </w:rPr>
              <w:t>Il y a discrimination lorsqu’une telle distinction, exclusion ou préférence a pour effet de détruire ou de compromettre ce droit.</w:t>
            </w:r>
          </w:p>
        </w:tc>
        <w:tc>
          <w:tcPr>
            <w:tcW w:w="4536" w:type="dxa"/>
          </w:tcPr>
          <w:p w14:paraId="1831B6F6" w14:textId="77777777" w:rsidR="000E5BE0" w:rsidRPr="00911998" w:rsidRDefault="00000000" w:rsidP="008C5704">
            <w:pPr>
              <w:jc w:val="both"/>
              <w:rPr>
                <w:rFonts w:cs="Arial"/>
                <w:i/>
                <w:iCs/>
                <w:sz w:val="22"/>
                <w:szCs w:val="22"/>
                <w:lang w:val="en-CA" w:eastAsia="fr-CA"/>
              </w:rPr>
            </w:pPr>
            <w:hyperlink r:id="rId44" w:anchor="se:10" w:history="1">
              <w:r w:rsidR="000E5BE0" w:rsidRPr="00911998">
                <w:rPr>
                  <w:rFonts w:cs="Arial"/>
                  <w:b/>
                  <w:bCs/>
                  <w:i/>
                  <w:iCs/>
                  <w:sz w:val="22"/>
                  <w:szCs w:val="22"/>
                  <w:lang w:val="en-CA" w:eastAsia="fr-CA"/>
                </w:rPr>
                <w:t>10.</w:t>
              </w:r>
            </w:hyperlink>
            <w:r w:rsidR="000E5BE0" w:rsidRPr="00911998">
              <w:rPr>
                <w:rFonts w:cs="Arial"/>
                <w:i/>
                <w:iCs/>
                <w:sz w:val="22"/>
                <w:szCs w:val="22"/>
                <w:lang w:val="en-CA" w:eastAsia="fr-CA"/>
              </w:rPr>
              <w:t> Every person has a right to full and equal recognition and exercise of his human rights and freedoms, without distinction, exclusion or preference based on race, colour, sex, gender identity or expression, pregnancy, sexual orientation, civil status, age except as provided by law, religion, political convictions, language, ethnic or national origin, social condition, a handicap or the use of any means to palliate a handicap.</w:t>
            </w:r>
          </w:p>
          <w:p w14:paraId="4644C53F" w14:textId="77777777" w:rsidR="000E5BE0" w:rsidRPr="00911998" w:rsidRDefault="000E5BE0" w:rsidP="008C5704">
            <w:pPr>
              <w:jc w:val="both"/>
              <w:rPr>
                <w:rFonts w:cs="Arial"/>
                <w:i/>
                <w:iCs/>
                <w:sz w:val="22"/>
                <w:szCs w:val="22"/>
                <w:lang w:val="en-CA" w:eastAsia="fr-CA"/>
              </w:rPr>
            </w:pPr>
          </w:p>
          <w:p w14:paraId="574FDF79" w14:textId="77777777" w:rsidR="000E5BE0" w:rsidRPr="00911998" w:rsidRDefault="000E5BE0" w:rsidP="008C5704">
            <w:pPr>
              <w:jc w:val="both"/>
              <w:rPr>
                <w:rFonts w:cs="Arial"/>
                <w:i/>
                <w:iCs/>
                <w:sz w:val="22"/>
                <w:szCs w:val="22"/>
                <w:lang w:val="en-CA" w:eastAsia="fr-CA"/>
              </w:rPr>
            </w:pPr>
          </w:p>
          <w:p w14:paraId="2E3CF9C7" w14:textId="77777777" w:rsidR="000E5BE0" w:rsidRPr="00911998" w:rsidRDefault="000E5BE0" w:rsidP="008C5704">
            <w:pPr>
              <w:jc w:val="both"/>
              <w:rPr>
                <w:rFonts w:cs="Arial"/>
                <w:i/>
                <w:iCs/>
                <w:sz w:val="22"/>
                <w:szCs w:val="22"/>
                <w:lang w:val="en-CA" w:eastAsia="fr-CA"/>
              </w:rPr>
            </w:pPr>
          </w:p>
          <w:p w14:paraId="74471271" w14:textId="77777777" w:rsidR="000E5BE0" w:rsidRPr="00911998" w:rsidRDefault="000E5BE0" w:rsidP="008C5704">
            <w:pPr>
              <w:jc w:val="both"/>
              <w:rPr>
                <w:rFonts w:cs="Arial"/>
                <w:i/>
                <w:iCs/>
                <w:sz w:val="22"/>
                <w:szCs w:val="22"/>
                <w:lang w:val="en-CA" w:eastAsia="fr-CA"/>
              </w:rPr>
            </w:pPr>
          </w:p>
          <w:p w14:paraId="659B805F" w14:textId="77777777" w:rsidR="000E5BE0" w:rsidRPr="00911998" w:rsidRDefault="000E5BE0" w:rsidP="008C5704">
            <w:pPr>
              <w:jc w:val="both"/>
              <w:rPr>
                <w:rFonts w:cs="Arial"/>
                <w:i/>
                <w:iCs/>
                <w:sz w:val="22"/>
                <w:szCs w:val="22"/>
                <w:lang w:val="en-CA" w:eastAsia="fr-CA"/>
              </w:rPr>
            </w:pPr>
            <w:r w:rsidRPr="00911998">
              <w:rPr>
                <w:rFonts w:cs="Arial"/>
                <w:i/>
                <w:iCs/>
                <w:sz w:val="22"/>
                <w:szCs w:val="22"/>
                <w:lang w:val="en-CA" w:eastAsia="fr-CA"/>
              </w:rPr>
              <w:t>Discrimination exists where such a distinction, exclusion or preference has the effect of nullifying or impairing such right.</w:t>
            </w:r>
          </w:p>
          <w:p w14:paraId="19989827" w14:textId="77777777" w:rsidR="000E5BE0" w:rsidRPr="00911998" w:rsidRDefault="00D266F0" w:rsidP="008C5704">
            <w:pPr>
              <w:pStyle w:val="Paragrsimple"/>
              <w:numPr>
                <w:ilvl w:val="0"/>
                <w:numId w:val="0"/>
              </w:numPr>
              <w:rPr>
                <w:rFonts w:cs="Arial"/>
                <w:sz w:val="22"/>
                <w:szCs w:val="22"/>
                <w:lang w:val="en-CA"/>
              </w:rPr>
            </w:pPr>
            <w:hyperlink r:id="rId45" w:anchor="se:54" w:history="1"/>
          </w:p>
        </w:tc>
      </w:tr>
    </w:tbl>
    <w:p w14:paraId="334CED09" w14:textId="14BD0E96" w:rsidR="00905EC1" w:rsidRPr="00911998" w:rsidRDefault="00905EC1" w:rsidP="009940C8">
      <w:pPr>
        <w:pStyle w:val="Paragrsimple"/>
      </w:pPr>
      <w:r w:rsidRPr="00911998">
        <w:t xml:space="preserve">Dans l’arrêt </w:t>
      </w:r>
      <w:r w:rsidR="00796D3F">
        <w:rPr>
          <w:rFonts w:cs="Arial"/>
          <w:i/>
          <w:iCs/>
        </w:rPr>
        <w:t>Québec (</w:t>
      </w:r>
      <w:r w:rsidR="00796D3F" w:rsidRPr="00911998">
        <w:rPr>
          <w:rFonts w:cs="Arial"/>
          <w:i/>
          <w:iCs/>
        </w:rPr>
        <w:t>Commission des droits de la personne et des droits de la jeunesse</w:t>
      </w:r>
      <w:r w:rsidR="00796D3F">
        <w:rPr>
          <w:rFonts w:cs="Arial"/>
          <w:i/>
          <w:iCs/>
        </w:rPr>
        <w:t>)</w:t>
      </w:r>
      <w:r w:rsidR="00796D3F" w:rsidRPr="00911998">
        <w:rPr>
          <w:rFonts w:cs="Arial"/>
          <w:i/>
          <w:iCs/>
        </w:rPr>
        <w:t xml:space="preserve"> c. Bombardier Inc.</w:t>
      </w:r>
      <w:r w:rsidR="00796D3F">
        <w:rPr>
          <w:rFonts w:cs="Arial"/>
          <w:i/>
          <w:iCs/>
        </w:rPr>
        <w:t xml:space="preserve"> </w:t>
      </w:r>
      <w:r w:rsidR="00796D3F">
        <w:rPr>
          <w:rFonts w:cs="Arial"/>
        </w:rPr>
        <w:t>(</w:t>
      </w:r>
      <w:r w:rsidR="00796D3F">
        <w:rPr>
          <w:rFonts w:cs="Arial"/>
          <w:b/>
          <w:bCs/>
          <w:i/>
          <w:iCs/>
        </w:rPr>
        <w:t>Bombardier</w:t>
      </w:r>
      <w:r w:rsidR="00796D3F">
        <w:rPr>
          <w:rFonts w:cs="Arial"/>
        </w:rPr>
        <w:t>)</w:t>
      </w:r>
      <w:r w:rsidRPr="00911998">
        <w:t xml:space="preserve">, la Cour suprême du Canada rappelle que pour établir une discrimination </w:t>
      </w:r>
      <w:r w:rsidRPr="00911998">
        <w:rPr>
          <w:i/>
          <w:iCs/>
        </w:rPr>
        <w:t xml:space="preserve">prima facie </w:t>
      </w:r>
      <w:r w:rsidRPr="00911998">
        <w:t xml:space="preserve">aux termes de l’article 10 de la </w:t>
      </w:r>
      <w:r w:rsidRPr="00911998">
        <w:rPr>
          <w:i/>
          <w:iCs/>
        </w:rPr>
        <w:t>Charte québécoise</w:t>
      </w:r>
      <w:r w:rsidRPr="00911998">
        <w:t>, la partie demanderesse doit prouver</w:t>
      </w:r>
      <w:r w:rsidRPr="00911998">
        <w:rPr>
          <w:rStyle w:val="Appelnotedebasdep"/>
        </w:rPr>
        <w:footnoteReference w:id="229"/>
      </w:r>
      <w:r w:rsidRPr="00911998">
        <w:t xml:space="preserve"> : </w:t>
      </w:r>
    </w:p>
    <w:p w14:paraId="751319BF" w14:textId="4E963FFF" w:rsidR="00905EC1" w:rsidRPr="00911998" w:rsidRDefault="00905EC1" w:rsidP="000F6BA9">
      <w:pPr>
        <w:pStyle w:val="Paragrdouble"/>
        <w:numPr>
          <w:ilvl w:val="0"/>
          <w:numId w:val="10"/>
        </w:numPr>
        <w:spacing w:line="240" w:lineRule="auto"/>
        <w:ind w:left="714" w:hanging="357"/>
      </w:pPr>
      <w:proofErr w:type="gramStart"/>
      <w:r w:rsidRPr="00911998">
        <w:t>l’existence</w:t>
      </w:r>
      <w:proofErr w:type="gramEnd"/>
      <w:r w:rsidRPr="00911998">
        <w:t xml:space="preserve"> d’une distinction</w:t>
      </w:r>
      <w:r w:rsidR="00900E3D" w:rsidRPr="00911998">
        <w:t>,</w:t>
      </w:r>
      <w:r w:rsidRPr="00911998">
        <w:t xml:space="preserve"> exclusion ou préférence</w:t>
      </w:r>
      <w:r w:rsidR="00FD6614" w:rsidRPr="00911998">
        <w:t> </w:t>
      </w:r>
      <w:r w:rsidRPr="00911998">
        <w:t>;</w:t>
      </w:r>
    </w:p>
    <w:p w14:paraId="01AA8F2C" w14:textId="38B15EE7" w:rsidR="00905EC1" w:rsidRPr="00911998" w:rsidRDefault="00905EC1" w:rsidP="000F6BA9">
      <w:pPr>
        <w:pStyle w:val="Paragrdouble"/>
        <w:numPr>
          <w:ilvl w:val="0"/>
          <w:numId w:val="10"/>
        </w:numPr>
        <w:spacing w:line="240" w:lineRule="auto"/>
        <w:ind w:left="714" w:hanging="357"/>
      </w:pPr>
      <w:proofErr w:type="gramStart"/>
      <w:r w:rsidRPr="00911998">
        <w:t>fondé</w:t>
      </w:r>
      <w:r w:rsidR="00900E3D" w:rsidRPr="00911998">
        <w:t>e</w:t>
      </w:r>
      <w:proofErr w:type="gramEnd"/>
      <w:r w:rsidRPr="00911998">
        <w:t xml:space="preserve"> sur l’un des motifs énumérés à l’article</w:t>
      </w:r>
      <w:r w:rsidR="00FD6614" w:rsidRPr="00911998">
        <w:t> </w:t>
      </w:r>
      <w:r w:rsidRPr="00911998">
        <w:t>10</w:t>
      </w:r>
      <w:r w:rsidR="00FD6614" w:rsidRPr="00911998">
        <w:t> </w:t>
      </w:r>
      <w:r w:rsidRPr="00911998">
        <w:t>; et</w:t>
      </w:r>
    </w:p>
    <w:p w14:paraId="76DED6E5" w14:textId="77777777" w:rsidR="00905EC1" w:rsidRPr="00911998" w:rsidRDefault="00905EC1" w:rsidP="000F6BA9">
      <w:pPr>
        <w:pStyle w:val="Paragrdouble"/>
        <w:numPr>
          <w:ilvl w:val="0"/>
          <w:numId w:val="10"/>
        </w:numPr>
        <w:spacing w:line="240" w:lineRule="auto"/>
        <w:ind w:left="714" w:hanging="357"/>
      </w:pPr>
      <w:proofErr w:type="gramStart"/>
      <w:r w:rsidRPr="00911998">
        <w:t>qui</w:t>
      </w:r>
      <w:proofErr w:type="gramEnd"/>
      <w:r w:rsidRPr="00911998">
        <w:t xml:space="preserve"> a pour effet de détruire ou de compromettre le droit à la pleine égalité dans la reconnaissance et l’exercice d’un droit ou d’une liberté de la personne.</w:t>
      </w:r>
    </w:p>
    <w:p w14:paraId="53A1A793" w14:textId="1DF1B634" w:rsidR="00905EC1" w:rsidRPr="00911998" w:rsidRDefault="007F1FDF" w:rsidP="00905EC1">
      <w:pPr>
        <w:pStyle w:val="Paragrsimple"/>
      </w:pPr>
      <w:r w:rsidRPr="00911998">
        <w:t>Le droit à l’égalité garanti par l’article</w:t>
      </w:r>
      <w:r w:rsidR="00FD6614" w:rsidRPr="00911998">
        <w:t> </w:t>
      </w:r>
      <w:r w:rsidRPr="00911998">
        <w:t xml:space="preserve">10 de la </w:t>
      </w:r>
      <w:r w:rsidRPr="00911998">
        <w:rPr>
          <w:i/>
          <w:iCs/>
        </w:rPr>
        <w:t>Charte québécoise</w:t>
      </w:r>
      <w:r w:rsidRPr="00911998">
        <w:t xml:space="preserve"> diffère à certains égards de la protection offerte par </w:t>
      </w:r>
      <w:r w:rsidR="00F06081" w:rsidRPr="00911998">
        <w:t>le paragraphe 15(1)</w:t>
      </w:r>
      <w:r w:rsidRPr="00911998">
        <w:t xml:space="preserve"> de la </w:t>
      </w:r>
      <w:r w:rsidRPr="00911998">
        <w:rPr>
          <w:i/>
          <w:iCs/>
        </w:rPr>
        <w:t>Charte canadienne</w:t>
      </w:r>
      <w:r w:rsidRPr="00911998">
        <w:t>. D’abord, les motifs de discrimination prohibés sont énumérés de façon exhaustive au premier alinéa de l’article 10</w:t>
      </w:r>
      <w:r w:rsidR="00AB52F2" w:rsidRPr="00911998">
        <w:rPr>
          <w:rStyle w:val="Appelnotedebasdep"/>
        </w:rPr>
        <w:footnoteReference w:id="230"/>
      </w:r>
      <w:r w:rsidRPr="00911998">
        <w:t xml:space="preserve">. </w:t>
      </w:r>
      <w:r w:rsidR="00AB52F2" w:rsidRPr="00911998">
        <w:t xml:space="preserve">Contrairement </w:t>
      </w:r>
      <w:r w:rsidR="00F06081" w:rsidRPr="00911998">
        <w:t>au paragraphe</w:t>
      </w:r>
      <w:r w:rsidR="00AB52F2" w:rsidRPr="00911998">
        <w:t> 15</w:t>
      </w:r>
      <w:r w:rsidR="00F06081" w:rsidRPr="00911998">
        <w:t>(1)</w:t>
      </w:r>
      <w:r w:rsidR="00AB52F2" w:rsidRPr="00911998">
        <w:t xml:space="preserve"> de la </w:t>
      </w:r>
      <w:r w:rsidR="00AB52F2" w:rsidRPr="00911998">
        <w:rPr>
          <w:i/>
          <w:iCs/>
        </w:rPr>
        <w:t>Charte canadienne</w:t>
      </w:r>
      <w:r w:rsidR="00AB52F2" w:rsidRPr="00911998">
        <w:t xml:space="preserve">, les </w:t>
      </w:r>
      <w:r w:rsidR="00AB52F2" w:rsidRPr="00911998">
        <w:lastRenderedPageBreak/>
        <w:t>tribunaux ne peuvent identifier des motifs prohibés analogues à ceux qui sont énumérés par le législateur.</w:t>
      </w:r>
    </w:p>
    <w:p w14:paraId="446C8508" w14:textId="0ECC8C7F" w:rsidR="00AB52F2" w:rsidRPr="00911998" w:rsidRDefault="00AB52F2" w:rsidP="00AB52F2">
      <w:pPr>
        <w:pStyle w:val="Paragrsimple"/>
        <w:rPr>
          <w:i/>
          <w:iCs/>
        </w:rPr>
      </w:pPr>
      <w:r w:rsidRPr="00911998">
        <w:t xml:space="preserve">De surcroît, et encore contrairement </w:t>
      </w:r>
      <w:r w:rsidR="00F06081" w:rsidRPr="00911998">
        <w:t>au paragraphe 15(1)</w:t>
      </w:r>
      <w:r w:rsidRPr="00911998">
        <w:t xml:space="preserve"> de la </w:t>
      </w:r>
      <w:r w:rsidRPr="00911998">
        <w:rPr>
          <w:i/>
          <w:iCs/>
        </w:rPr>
        <w:t>Charte canadienne</w:t>
      </w:r>
      <w:r w:rsidRPr="00911998">
        <w:t xml:space="preserve">, l’article 10 de la </w:t>
      </w:r>
      <w:r w:rsidRPr="00911998">
        <w:rPr>
          <w:i/>
          <w:iCs/>
        </w:rPr>
        <w:t xml:space="preserve">Charte québécoise </w:t>
      </w:r>
      <w:r w:rsidRPr="00911998">
        <w:t xml:space="preserve">ne protège pas le droit à l’égalité </w:t>
      </w:r>
      <w:r w:rsidR="00E04ADB" w:rsidRPr="00911998">
        <w:t>de façon indépendante</w:t>
      </w:r>
      <w:r w:rsidR="00E04ADB" w:rsidRPr="00911998">
        <w:rPr>
          <w:rStyle w:val="Appelnotedebasdep"/>
        </w:rPr>
        <w:footnoteReference w:id="231"/>
      </w:r>
      <w:r w:rsidRPr="00911998">
        <w:t xml:space="preserve">. Le droit à l’égalité n’est protégé que dans l’exercice des autres droits et libertés garantis. Comme l’expliquent les juges Wagner (à l’époque juge puîné) et Côté dans l’arrêt </w:t>
      </w:r>
      <w:r w:rsidRPr="00911998">
        <w:rPr>
          <w:i/>
          <w:iCs/>
        </w:rPr>
        <w:t>Bombardier</w:t>
      </w:r>
      <w:r w:rsidRPr="00911998">
        <w:rPr>
          <w:rStyle w:val="Appelnotedebasdep"/>
        </w:rPr>
        <w:footnoteReference w:id="232"/>
      </w:r>
      <w:r w:rsidRPr="00911998">
        <w:t> :</w:t>
      </w:r>
    </w:p>
    <w:p w14:paraId="690F9EDC" w14:textId="01B040AA" w:rsidR="00AB52F2" w:rsidRPr="00911998" w:rsidRDefault="00AB52F2" w:rsidP="00AB52F2">
      <w:pPr>
        <w:ind w:left="567" w:right="560"/>
        <w:jc w:val="both"/>
        <w:rPr>
          <w:sz w:val="22"/>
          <w:szCs w:val="22"/>
        </w:rPr>
      </w:pPr>
      <w:r w:rsidRPr="00911998">
        <w:rPr>
          <w:sz w:val="22"/>
          <w:szCs w:val="22"/>
        </w:rPr>
        <w:t>[</w:t>
      </w:r>
      <w:bookmarkStart w:id="62" w:name="par54"/>
      <w:r w:rsidRPr="00911998">
        <w:rPr>
          <w:sz w:val="22"/>
          <w:szCs w:val="22"/>
        </w:rPr>
        <w:t>54</w:t>
      </w:r>
      <w:bookmarkEnd w:id="62"/>
      <w:proofErr w:type="gramStart"/>
      <w:r w:rsidRPr="00911998">
        <w:rPr>
          <w:sz w:val="22"/>
          <w:szCs w:val="22"/>
        </w:rPr>
        <w:t>]  Cela</w:t>
      </w:r>
      <w:proofErr w:type="gramEnd"/>
      <w:r w:rsidRPr="00911998">
        <w:rPr>
          <w:sz w:val="22"/>
          <w:szCs w:val="22"/>
        </w:rPr>
        <w:t xml:space="preserve"> signifie que le droit à l’absence de discrimination ne peut à lui seul fonder un recours et doit nécessairement être rattaché à un autre droit ou à une autre liberté de la personne reconnus par la loi. Il ne faut toutefois pas confondre cette exigence avec la portée autonome du droit à l’égalité; la </w:t>
      </w:r>
      <w:r w:rsidRPr="00911998">
        <w:rPr>
          <w:i/>
          <w:iCs/>
          <w:sz w:val="22"/>
          <w:szCs w:val="22"/>
        </w:rPr>
        <w:t>Charte</w:t>
      </w:r>
      <w:r w:rsidRPr="00911998">
        <w:rPr>
          <w:sz w:val="22"/>
          <w:szCs w:val="22"/>
        </w:rPr>
        <w:t> n’exige pas une « double violation » (droit à l’égalité et, par exemple, liberté de religion), ce qui rendrait l’art. 10 superflu </w:t>
      </w:r>
      <w:r w:rsidRPr="00911998">
        <w:rPr>
          <w:rFonts w:cs="Arial"/>
          <w:sz w:val="22"/>
          <w:szCs w:val="22"/>
        </w:rPr>
        <w:t>[…].</w:t>
      </w:r>
    </w:p>
    <w:p w14:paraId="343A6556" w14:textId="0CE25F9F" w:rsidR="00AB52F2" w:rsidRPr="00911998" w:rsidRDefault="008114FA" w:rsidP="008114FA">
      <w:pPr>
        <w:pStyle w:val="Paragrsimple"/>
      </w:pPr>
      <w:r w:rsidRPr="00911998">
        <w:t xml:space="preserve">Les Demandeurs invoquent trois motifs de discrimination </w:t>
      </w:r>
      <w:r w:rsidR="00FD6614" w:rsidRPr="00911998">
        <w:t>interdits</w:t>
      </w:r>
      <w:r w:rsidRPr="00911998">
        <w:t xml:space="preserve"> par l’article 10</w:t>
      </w:r>
      <w:r w:rsidR="00AB2E55" w:rsidRPr="00911998">
        <w:t> </w:t>
      </w:r>
      <w:r w:rsidRPr="00911998">
        <w:t xml:space="preserve">de la </w:t>
      </w:r>
      <w:r w:rsidRPr="00911998">
        <w:rPr>
          <w:i/>
          <w:iCs/>
        </w:rPr>
        <w:t>Charte québécoise</w:t>
      </w:r>
      <w:r w:rsidR="00AB2E55" w:rsidRPr="00911998">
        <w:rPr>
          <w:i/>
          <w:iCs/>
        </w:rPr>
        <w:t> </w:t>
      </w:r>
      <w:r w:rsidR="00AB2E55" w:rsidRPr="00911998">
        <w:t>:</w:t>
      </w:r>
      <w:r w:rsidR="00DA7CFC" w:rsidRPr="00911998">
        <w:t xml:space="preserve"> l’orientation sexuelle, le handicap (Demandeurs dans le </w:t>
      </w:r>
      <w:r w:rsidR="008F5FBC" w:rsidRPr="00911998">
        <w:t>Dossier de la Coalition</w:t>
      </w:r>
      <w:r w:rsidR="00DA7CFC" w:rsidRPr="00911998">
        <w:t xml:space="preserve"> uniquement) et </w:t>
      </w:r>
      <w:r w:rsidR="00C5739C" w:rsidRPr="00911998">
        <w:t>l’état civil</w:t>
      </w:r>
      <w:r w:rsidR="00DA7CFC" w:rsidRPr="00911998">
        <w:t>.</w:t>
      </w:r>
    </w:p>
    <w:p w14:paraId="4D5B40DB" w14:textId="077078C6" w:rsidR="00C5739C" w:rsidRPr="00911998" w:rsidRDefault="00C5739C" w:rsidP="00C5739C">
      <w:pPr>
        <w:pStyle w:val="Paragrsimple"/>
      </w:pPr>
      <w:r w:rsidRPr="00911998">
        <w:t xml:space="preserve">Pour les motifs déjà exposés en lien avec </w:t>
      </w:r>
      <w:r w:rsidR="00782F09" w:rsidRPr="00911998">
        <w:t>le paragraphe</w:t>
      </w:r>
      <w:r w:rsidR="00FD6614" w:rsidRPr="00911998">
        <w:t> </w:t>
      </w:r>
      <w:r w:rsidRPr="00911998">
        <w:t>15</w:t>
      </w:r>
      <w:r w:rsidR="00782F09" w:rsidRPr="00911998">
        <w:t>(1)</w:t>
      </w:r>
      <w:r w:rsidRPr="00911998">
        <w:t xml:space="preserve"> de la </w:t>
      </w:r>
      <w:r w:rsidRPr="00911998">
        <w:rPr>
          <w:i/>
          <w:iCs/>
        </w:rPr>
        <w:t>Charte canadienne</w:t>
      </w:r>
      <w:r w:rsidRPr="00911998">
        <w:t>, les Demandeurs n’ont pas fait la preuve d’une distinction fondée sur l’orientation sexuelle et le handicap. Qu’en est</w:t>
      </w:r>
      <w:r w:rsidRPr="00911998">
        <w:noBreakHyphen/>
        <w:t>il de l’état civil</w:t>
      </w:r>
      <w:r w:rsidR="00FD6614" w:rsidRPr="00911998">
        <w:t> </w:t>
      </w:r>
      <w:r w:rsidRPr="00911998">
        <w:t>?</w:t>
      </w:r>
    </w:p>
    <w:p w14:paraId="595ADF0D" w14:textId="670EEB8B" w:rsidR="0014009E" w:rsidRPr="00911998" w:rsidRDefault="0014009E" w:rsidP="002B7905">
      <w:pPr>
        <w:pStyle w:val="Paragrsimple"/>
      </w:pPr>
      <w:r w:rsidRPr="00911998">
        <w:t xml:space="preserve">Dans l’arrêt </w:t>
      </w:r>
      <w:r w:rsidRPr="00911998">
        <w:rPr>
          <w:i/>
          <w:iCs/>
        </w:rPr>
        <w:t>Brossard (Ville) c. Québec (Commission des droits de la personne</w:t>
      </w:r>
      <w:r w:rsidRPr="00911998">
        <w:t xml:space="preserve">), la Cour suprême reconnait que les relations familiales </w:t>
      </w:r>
      <w:r w:rsidR="00FD6614" w:rsidRPr="00911998">
        <w:t>—</w:t>
      </w:r>
      <w:r w:rsidRPr="00911998">
        <w:t xml:space="preserve"> dont la filiation, la fraternité et la sororité </w:t>
      </w:r>
      <w:r w:rsidR="00FD6614" w:rsidRPr="00911998">
        <w:t>—</w:t>
      </w:r>
      <w:r w:rsidRPr="00911998">
        <w:t xml:space="preserve"> font partie de la notion d’état civil visé</w:t>
      </w:r>
      <w:r w:rsidR="005534C0" w:rsidRPr="00911998">
        <w:t>e</w:t>
      </w:r>
      <w:r w:rsidRPr="00911998">
        <w:t xml:space="preserve"> par l’article 10 de la </w:t>
      </w:r>
      <w:r w:rsidRPr="00911998">
        <w:rPr>
          <w:i/>
          <w:iCs/>
        </w:rPr>
        <w:t>Charte québécoise</w:t>
      </w:r>
      <w:r w:rsidRPr="00911998">
        <w:rPr>
          <w:rStyle w:val="Appelnotedebasdep"/>
        </w:rPr>
        <w:footnoteReference w:id="233"/>
      </w:r>
      <w:r w:rsidRPr="00911998">
        <w:t xml:space="preserve">. </w:t>
      </w:r>
      <w:r w:rsidR="0002483B" w:rsidRPr="00911998">
        <w:t xml:space="preserve">En revanche, dans </w:t>
      </w:r>
      <w:r w:rsidR="005534C0" w:rsidRPr="00911998">
        <w:t>l’</w:t>
      </w:r>
      <w:r w:rsidR="00FD6614" w:rsidRPr="00911998">
        <w:t>arrêt</w:t>
      </w:r>
      <w:r w:rsidR="005534C0" w:rsidRPr="00911998">
        <w:t xml:space="preserve"> récent </w:t>
      </w:r>
      <w:r w:rsidR="005534C0" w:rsidRPr="00911998">
        <w:rPr>
          <w:rFonts w:cs="Arial"/>
          <w:i/>
          <w:iCs/>
        </w:rPr>
        <w:t>Syndicat canadien de la fonction publique, section locale 3333 c. Réseau de transport de Longueuil</w:t>
      </w:r>
      <w:r w:rsidR="005534C0" w:rsidRPr="00911998">
        <w:rPr>
          <w:rFonts w:cs="Arial"/>
        </w:rPr>
        <w:t>,</w:t>
      </w:r>
      <w:r w:rsidR="0002483B" w:rsidRPr="00911998">
        <w:t xml:space="preserve"> la Cour d’appel </w:t>
      </w:r>
      <w:r w:rsidR="005534C0" w:rsidRPr="00911998">
        <w:t>enseigne</w:t>
      </w:r>
      <w:r w:rsidR="0002483B" w:rsidRPr="00911998">
        <w:t xml:space="preserve"> que l’état civil ne comprend pas la parentalité, la situation parentale ou encore la situation de famille</w:t>
      </w:r>
      <w:r w:rsidR="0002483B" w:rsidRPr="00911998">
        <w:rPr>
          <w:rStyle w:val="Appelnotedebasdep"/>
        </w:rPr>
        <w:footnoteReference w:id="234"/>
      </w:r>
      <w:r w:rsidR="0002483B" w:rsidRPr="00911998">
        <w:t>.</w:t>
      </w:r>
      <w:r w:rsidR="00FF0807" w:rsidRPr="00911998">
        <w:t xml:space="preserve"> </w:t>
      </w:r>
      <w:r w:rsidR="00900E3D" w:rsidRPr="00911998">
        <w:t>Elle ajoute que</w:t>
      </w:r>
      <w:r w:rsidR="00FF0807" w:rsidRPr="00911998">
        <w:t xml:space="preserve"> l’interprétation large et libérale de la </w:t>
      </w:r>
      <w:r w:rsidR="00FF0807" w:rsidRPr="00911998">
        <w:rPr>
          <w:i/>
          <w:iCs/>
        </w:rPr>
        <w:t xml:space="preserve">Charte québécoise </w:t>
      </w:r>
      <w:r w:rsidR="00FF0807" w:rsidRPr="00911998">
        <w:t>n’autorise pas les tribunaux à «</w:t>
      </w:r>
      <w:r w:rsidR="00FD6614" w:rsidRPr="00911998">
        <w:t> </w:t>
      </w:r>
      <w:r w:rsidR="00FF0807" w:rsidRPr="00911998">
        <w:t xml:space="preserve">ajouter des motifs de discrimination </w:t>
      </w:r>
      <w:r w:rsidR="00FD6614" w:rsidRPr="00911998">
        <w:t>“</w:t>
      </w:r>
      <w:r w:rsidR="00FF0807" w:rsidRPr="00911998">
        <w:t>analogues</w:t>
      </w:r>
      <w:r w:rsidR="00FD6614" w:rsidRPr="00911998">
        <w:t>”</w:t>
      </w:r>
      <w:r w:rsidR="00FF0807" w:rsidRPr="00911998">
        <w:t xml:space="preserve"> à ceux énoncés</w:t>
      </w:r>
      <w:r w:rsidR="00FD6614" w:rsidRPr="00911998">
        <w:t> </w:t>
      </w:r>
      <w:r w:rsidR="00FF0807" w:rsidRPr="00911998">
        <w:t>» à l’article 10</w:t>
      </w:r>
      <w:r w:rsidR="00FF0807" w:rsidRPr="00911998">
        <w:rPr>
          <w:rStyle w:val="Appelnotedebasdep"/>
        </w:rPr>
        <w:footnoteReference w:id="235"/>
      </w:r>
      <w:r w:rsidR="00FF0807" w:rsidRPr="00911998">
        <w:t>.</w:t>
      </w:r>
    </w:p>
    <w:p w14:paraId="5FD1B346" w14:textId="532B500A" w:rsidR="00C5316E" w:rsidRPr="00911998" w:rsidRDefault="00C5316E" w:rsidP="00C5316E">
      <w:pPr>
        <w:pStyle w:val="Paragrsimple"/>
      </w:pPr>
      <w:r w:rsidRPr="00911998">
        <w:t xml:space="preserve">L’argument des Demandeurs </w:t>
      </w:r>
      <w:r w:rsidR="008D3C47" w:rsidRPr="00911998">
        <w:t>selon lequel</w:t>
      </w:r>
      <w:r w:rsidRPr="00911998">
        <w:t xml:space="preserve"> l’état civil s’étend à la structure de </w:t>
      </w:r>
      <w:r w:rsidR="008D3C47" w:rsidRPr="00911998">
        <w:t xml:space="preserve">la </w:t>
      </w:r>
      <w:r w:rsidRPr="00911998">
        <w:t xml:space="preserve">famille ne peut </w:t>
      </w:r>
      <w:r w:rsidR="00FF0807" w:rsidRPr="00911998">
        <w:t xml:space="preserve">donc </w:t>
      </w:r>
      <w:r w:rsidRPr="00911998">
        <w:t>être retenu.</w:t>
      </w:r>
    </w:p>
    <w:p w14:paraId="1BEF468F" w14:textId="13776205" w:rsidR="00FF0807" w:rsidRPr="00911998" w:rsidRDefault="00BB29BE" w:rsidP="00FF0807">
      <w:pPr>
        <w:pStyle w:val="Paragrsimple"/>
      </w:pPr>
      <w:r w:rsidRPr="00911998">
        <w:t xml:space="preserve">Du reste, l’idée que la limite de deux liens de filiation impose une différence de traitement fondée sur l’état civil repose sur une logique circulaire qui ne peut être retenue. En effet, on invoque la non-reconnaissance d’une composante de l’état civil </w:t>
      </w:r>
      <w:r w:rsidR="00FD6614" w:rsidRPr="00911998">
        <w:t>—</w:t>
      </w:r>
      <w:r w:rsidRPr="00911998">
        <w:t xml:space="preserve"> </w:t>
      </w:r>
      <w:r w:rsidR="00900E3D" w:rsidRPr="00911998">
        <w:t xml:space="preserve">à savoir </w:t>
      </w:r>
      <w:r w:rsidRPr="00911998">
        <w:lastRenderedPageBreak/>
        <w:t xml:space="preserve">la filiation </w:t>
      </w:r>
      <w:r w:rsidR="00FD6614" w:rsidRPr="00911998">
        <w:t>—</w:t>
      </w:r>
      <w:r w:rsidRPr="00911998">
        <w:t xml:space="preserve"> pour </w:t>
      </w:r>
      <w:r w:rsidR="009863FB" w:rsidRPr="00911998">
        <w:t>affirmer</w:t>
      </w:r>
      <w:r w:rsidRPr="00911998">
        <w:t xml:space="preserve"> qu’il y a là une différence de traitement fondée sur la </w:t>
      </w:r>
      <w:r w:rsidR="00AB2E55" w:rsidRPr="00911998">
        <w:t>filiation</w:t>
      </w:r>
      <w:r w:rsidRPr="00911998">
        <w:t>. En somme, le moyen fondé sur l’état civil confond le motif de discrimination</w:t>
      </w:r>
      <w:r w:rsidR="00900E3D" w:rsidRPr="00911998">
        <w:t xml:space="preserve"> invoqué, une composante de l’état civil,</w:t>
      </w:r>
      <w:r w:rsidRPr="00911998">
        <w:t xml:space="preserve"> avec ce qui est recherché, </w:t>
      </w:r>
      <w:r w:rsidR="00900E3D" w:rsidRPr="00911998">
        <w:t>cette même</w:t>
      </w:r>
      <w:r w:rsidRPr="00911998">
        <w:t xml:space="preserve"> composante de l’état civil.</w:t>
      </w:r>
    </w:p>
    <w:p w14:paraId="7CEE2A4D" w14:textId="0607C796" w:rsidR="00BB29BE" w:rsidRPr="00911998" w:rsidRDefault="00BB29BE" w:rsidP="00BB29BE">
      <w:pPr>
        <w:pStyle w:val="Paragrsimple"/>
      </w:pPr>
      <w:r w:rsidRPr="00911998">
        <w:t xml:space="preserve">La véritable distinction opérée par la limite de deux liens de filiation est fondée sur </w:t>
      </w:r>
      <w:r w:rsidR="00900E3D" w:rsidRPr="00911998">
        <w:t xml:space="preserve">le statut familial dans le sens de </w:t>
      </w:r>
      <w:r w:rsidRPr="00911998">
        <w:t xml:space="preserve">l’appartenance à un modèle familial particulier, notamment une famille </w:t>
      </w:r>
      <w:proofErr w:type="spellStart"/>
      <w:r w:rsidRPr="00911998">
        <w:t>pluriparentale</w:t>
      </w:r>
      <w:proofErr w:type="spellEnd"/>
      <w:r w:rsidRPr="00911998">
        <w:t xml:space="preserve">. Ce motif </w:t>
      </w:r>
      <w:r w:rsidR="001C7311" w:rsidRPr="00911998">
        <w:t>a été</w:t>
      </w:r>
      <w:r w:rsidRPr="00911998">
        <w:t xml:space="preserve"> reconnu </w:t>
      </w:r>
      <w:r w:rsidR="001C7311" w:rsidRPr="00911998">
        <w:t xml:space="preserve">plus haut </w:t>
      </w:r>
      <w:r w:rsidRPr="00911998">
        <w:t xml:space="preserve">comme motif analogue </w:t>
      </w:r>
      <w:r w:rsidR="009863FB" w:rsidRPr="00911998">
        <w:t>à ceux mentionnés au</w:t>
      </w:r>
      <w:r w:rsidR="00782F09" w:rsidRPr="00911998">
        <w:t xml:space="preserve"> paragraphe</w:t>
      </w:r>
      <w:r w:rsidRPr="00911998">
        <w:t> 15</w:t>
      </w:r>
      <w:r w:rsidR="00782F09" w:rsidRPr="00911998">
        <w:t>(1)</w:t>
      </w:r>
      <w:r w:rsidRPr="00911998">
        <w:t xml:space="preserve"> de la </w:t>
      </w:r>
      <w:r w:rsidRPr="00911998">
        <w:rPr>
          <w:i/>
          <w:iCs/>
        </w:rPr>
        <w:t>Charte canadienne</w:t>
      </w:r>
      <w:r w:rsidRPr="00911998">
        <w:t xml:space="preserve"> </w:t>
      </w:r>
      <w:r w:rsidR="001C7311" w:rsidRPr="00911998">
        <w:t xml:space="preserve">mais il </w:t>
      </w:r>
      <w:r w:rsidR="000422BE" w:rsidRPr="00911998">
        <w:t xml:space="preserve">ne constitue pas un </w:t>
      </w:r>
      <w:r w:rsidR="003875CB">
        <w:t xml:space="preserve">des </w:t>
      </w:r>
      <w:r w:rsidR="000422BE" w:rsidRPr="00911998">
        <w:t>motif</w:t>
      </w:r>
      <w:r w:rsidR="003875CB">
        <w:t>s</w:t>
      </w:r>
      <w:r w:rsidR="000422BE" w:rsidRPr="00911998">
        <w:t xml:space="preserve"> de discrimination prohibé</w:t>
      </w:r>
      <w:r w:rsidR="003875CB">
        <w:t>s</w:t>
      </w:r>
      <w:r w:rsidR="000422BE" w:rsidRPr="00911998">
        <w:t xml:space="preserve"> par l’article 10 de la </w:t>
      </w:r>
      <w:r w:rsidR="000422BE" w:rsidRPr="00911998">
        <w:rPr>
          <w:i/>
          <w:iCs/>
        </w:rPr>
        <w:t>Charte québécoise</w:t>
      </w:r>
      <w:r w:rsidR="000422BE" w:rsidRPr="00911998">
        <w:t xml:space="preserve"> et le Tribunal ne peut ajouter à </w:t>
      </w:r>
      <w:r w:rsidR="00796D3F">
        <w:t>c</w:t>
      </w:r>
      <w:r w:rsidR="003875CB">
        <w:t>eux</w:t>
      </w:r>
      <w:r w:rsidR="003875CB">
        <w:noBreakHyphen/>
        <w:t>ci</w:t>
      </w:r>
      <w:r w:rsidR="000422BE" w:rsidRPr="00911998">
        <w:t xml:space="preserve">. </w:t>
      </w:r>
    </w:p>
    <w:p w14:paraId="3009B400" w14:textId="2E921755" w:rsidR="000422BE" w:rsidRPr="00911998" w:rsidRDefault="000422BE" w:rsidP="000422BE">
      <w:pPr>
        <w:pStyle w:val="Paragrsimple"/>
      </w:pPr>
      <w:r w:rsidRPr="00911998">
        <w:t xml:space="preserve">Il en résulte que la limite de deux liens de filiation ne porte pas atteinte au droit à l’égalité protégé par la </w:t>
      </w:r>
      <w:r w:rsidRPr="00911998">
        <w:rPr>
          <w:i/>
          <w:iCs/>
        </w:rPr>
        <w:t>Charte québécoise</w:t>
      </w:r>
      <w:r w:rsidRPr="00911998">
        <w:t>.</w:t>
      </w:r>
    </w:p>
    <w:p w14:paraId="4FACC7F6" w14:textId="16D239C0" w:rsidR="000422BE" w:rsidRPr="00911998" w:rsidRDefault="00D27D1D" w:rsidP="00D27D1D">
      <w:pPr>
        <w:pStyle w:val="Titre2"/>
      </w:pPr>
      <w:bookmarkStart w:id="63" w:name="_Toc196463733"/>
      <w:r w:rsidRPr="00911998">
        <w:t xml:space="preserve">La </w:t>
      </w:r>
      <w:r w:rsidR="00F65A21" w:rsidRPr="00911998">
        <w:t>j</w:t>
      </w:r>
      <w:r w:rsidRPr="00911998">
        <w:t xml:space="preserve">ustification aux </w:t>
      </w:r>
      <w:r w:rsidR="00F65A21" w:rsidRPr="00911998">
        <w:t>t</w:t>
      </w:r>
      <w:r w:rsidRPr="00911998">
        <w:t>ermes de l’</w:t>
      </w:r>
      <w:r w:rsidR="00F65A21" w:rsidRPr="00911998">
        <w:t>a</w:t>
      </w:r>
      <w:r w:rsidRPr="00911998">
        <w:t xml:space="preserve">rticle </w:t>
      </w:r>
      <w:r w:rsidR="00F65A21" w:rsidRPr="00911998">
        <w:t>p</w:t>
      </w:r>
      <w:r w:rsidRPr="00911998">
        <w:t xml:space="preserve">remier de la </w:t>
      </w:r>
      <w:r w:rsidRPr="00911998">
        <w:rPr>
          <w:i/>
          <w:iCs/>
        </w:rPr>
        <w:t xml:space="preserve">Charte </w:t>
      </w:r>
      <w:r w:rsidR="00F65A21" w:rsidRPr="00911998">
        <w:rPr>
          <w:i/>
          <w:iCs/>
        </w:rPr>
        <w:t>c</w:t>
      </w:r>
      <w:r w:rsidRPr="00911998">
        <w:rPr>
          <w:i/>
          <w:iCs/>
        </w:rPr>
        <w:t>anadienne</w:t>
      </w:r>
      <w:bookmarkEnd w:id="63"/>
    </w:p>
    <w:p w14:paraId="3D9F67FE" w14:textId="0A198326" w:rsidR="00AB70CE" w:rsidRPr="00911998" w:rsidRDefault="00FF6284" w:rsidP="00A10F87">
      <w:pPr>
        <w:pStyle w:val="Paragrsimple"/>
        <w:rPr>
          <w:sz w:val="22"/>
          <w:szCs w:val="22"/>
        </w:rPr>
      </w:pPr>
      <w:r w:rsidRPr="00911998">
        <w:t>L’</w:t>
      </w:r>
      <w:r w:rsidR="00AB70CE" w:rsidRPr="00911998">
        <w:t xml:space="preserve">atteinte au droit à l’égalité garanti par </w:t>
      </w:r>
      <w:r w:rsidR="00782F09" w:rsidRPr="00911998">
        <w:t>le paragraphe</w:t>
      </w:r>
      <w:r w:rsidR="00AB70CE" w:rsidRPr="00911998">
        <w:t> 15</w:t>
      </w:r>
      <w:r w:rsidR="00782F09" w:rsidRPr="00911998">
        <w:t>(1)</w:t>
      </w:r>
      <w:r w:rsidR="00AB70CE" w:rsidRPr="00911998">
        <w:t xml:space="preserve"> de la </w:t>
      </w:r>
      <w:r w:rsidR="00AB70CE" w:rsidRPr="00911998">
        <w:rPr>
          <w:i/>
          <w:iCs/>
        </w:rPr>
        <w:t>Charte canadienne</w:t>
      </w:r>
      <w:r w:rsidR="00CD6B3A" w:rsidRPr="00911998">
        <w:t xml:space="preserve"> qui résulte de</w:t>
      </w:r>
      <w:r w:rsidRPr="00911998">
        <w:t xml:space="preserve"> la limite de deux liens de filiation </w:t>
      </w:r>
      <w:r w:rsidR="00AB70CE" w:rsidRPr="00911998">
        <w:t>peut</w:t>
      </w:r>
      <w:r w:rsidR="00AB70CE" w:rsidRPr="00911998">
        <w:noBreakHyphen/>
        <w:t xml:space="preserve">elle se justifier aux termes de l’article premier de la </w:t>
      </w:r>
      <w:r w:rsidR="00AB70CE" w:rsidRPr="00911998">
        <w:rPr>
          <w:i/>
          <w:iCs/>
        </w:rPr>
        <w:t>Charte canadienne</w:t>
      </w:r>
      <w:r w:rsidR="00513D85" w:rsidRPr="00911998">
        <w:rPr>
          <w:i/>
          <w:iCs/>
        </w:rPr>
        <w:t> </w:t>
      </w:r>
      <w:r w:rsidR="00AB70CE" w:rsidRPr="00911998">
        <w:t>? Cette</w:t>
      </w:r>
      <w:r w:rsidRPr="00911998">
        <w:t xml:space="preserve"> </w:t>
      </w:r>
      <w:r w:rsidR="00AB70CE" w:rsidRPr="00911998">
        <w:t>disposition se lit comme suit :</w:t>
      </w:r>
    </w:p>
    <w:tbl>
      <w:tblPr>
        <w:tblStyle w:val="Grilledutableau"/>
        <w:tblW w:w="0" w:type="auto"/>
        <w:tblInd w:w="279" w:type="dxa"/>
        <w:tblLook w:val="04A0" w:firstRow="1" w:lastRow="0" w:firstColumn="1" w:lastColumn="0" w:noHBand="0" w:noVBand="1"/>
      </w:tblPr>
      <w:tblGrid>
        <w:gridCol w:w="4394"/>
        <w:gridCol w:w="4536"/>
      </w:tblGrid>
      <w:tr w:rsidR="000E19AB" w:rsidRPr="00153EC1" w14:paraId="6CD4FF65" w14:textId="77777777" w:rsidTr="00DE3C5F">
        <w:tc>
          <w:tcPr>
            <w:tcW w:w="4394" w:type="dxa"/>
          </w:tcPr>
          <w:p w14:paraId="276555F0" w14:textId="21495FA3" w:rsidR="00AB70CE" w:rsidRPr="00911998" w:rsidRDefault="00AB70CE" w:rsidP="00DE3C5F">
            <w:pPr>
              <w:pStyle w:val="Paragrsimple"/>
              <w:numPr>
                <w:ilvl w:val="0"/>
                <w:numId w:val="0"/>
              </w:numPr>
              <w:rPr>
                <w:rFonts w:cs="Arial"/>
                <w:sz w:val="22"/>
                <w:szCs w:val="22"/>
                <w:lang w:eastAsia="fr-CA"/>
              </w:rPr>
            </w:pPr>
            <w:proofErr w:type="gramStart"/>
            <w:r w:rsidRPr="00911998">
              <w:rPr>
                <w:rFonts w:cs="Arial"/>
                <w:b/>
                <w:bCs/>
                <w:sz w:val="22"/>
                <w:szCs w:val="22"/>
                <w:lang w:eastAsia="fr-CA"/>
              </w:rPr>
              <w:t>1  </w:t>
            </w:r>
            <w:r w:rsidRPr="00911998">
              <w:rPr>
                <w:rFonts w:cs="Arial"/>
                <w:sz w:val="22"/>
                <w:szCs w:val="22"/>
                <w:lang w:eastAsia="fr-CA"/>
              </w:rPr>
              <w:t>La</w:t>
            </w:r>
            <w:proofErr w:type="gramEnd"/>
            <w:r w:rsidRPr="00911998">
              <w:rPr>
                <w:rFonts w:cs="Arial"/>
                <w:sz w:val="22"/>
                <w:szCs w:val="22"/>
                <w:lang w:eastAsia="fr-CA"/>
              </w:rPr>
              <w:t> </w:t>
            </w:r>
            <w:r w:rsidRPr="00911998">
              <w:rPr>
                <w:rFonts w:cs="Arial"/>
                <w:i/>
                <w:iCs/>
                <w:sz w:val="22"/>
                <w:szCs w:val="22"/>
                <w:lang w:eastAsia="fr-CA"/>
              </w:rPr>
              <w:t>Charte canadienne des droits et libertés</w:t>
            </w:r>
            <w:r w:rsidRPr="00911998">
              <w:rPr>
                <w:rFonts w:cs="Arial"/>
                <w:sz w:val="22"/>
                <w:szCs w:val="22"/>
                <w:lang w:eastAsia="fr-CA"/>
              </w:rPr>
              <w:t> garantit les droits et libertés qui y sont énoncés. Ils ne peuvent être restreints que par une règle de droit, dans des limites qui soient raisonnables et dont la justification puisse se démontrer dans le cadre d’une société libre et démocratique</w:t>
            </w:r>
            <w:r w:rsidRPr="00911998">
              <w:rPr>
                <w:rFonts w:cs="Arial"/>
                <w:b/>
                <w:bCs/>
                <w:sz w:val="22"/>
                <w:szCs w:val="22"/>
                <w:lang w:eastAsia="fr-CA"/>
              </w:rPr>
              <w:t>.</w:t>
            </w:r>
          </w:p>
        </w:tc>
        <w:tc>
          <w:tcPr>
            <w:tcW w:w="4536" w:type="dxa"/>
          </w:tcPr>
          <w:p w14:paraId="62E45670" w14:textId="64A72907" w:rsidR="00AB70CE" w:rsidRPr="00911998" w:rsidRDefault="00AB70CE" w:rsidP="00DE3C5F">
            <w:pPr>
              <w:pStyle w:val="Paragrsimple"/>
              <w:numPr>
                <w:ilvl w:val="0"/>
                <w:numId w:val="0"/>
              </w:numPr>
              <w:rPr>
                <w:rFonts w:cs="Arial"/>
                <w:i/>
                <w:iCs/>
                <w:sz w:val="22"/>
                <w:szCs w:val="22"/>
                <w:lang w:val="en-CA"/>
              </w:rPr>
            </w:pPr>
            <w:r w:rsidRPr="00911998">
              <w:rPr>
                <w:rFonts w:cs="Arial"/>
                <w:b/>
                <w:bCs/>
                <w:i/>
                <w:iCs/>
                <w:sz w:val="22"/>
                <w:szCs w:val="22"/>
                <w:lang w:val="en-CA" w:eastAsia="fr-CA"/>
              </w:rPr>
              <w:t>1</w:t>
            </w:r>
            <w:r w:rsidRPr="00911998">
              <w:rPr>
                <w:rFonts w:cs="Arial"/>
                <w:i/>
                <w:iCs/>
                <w:sz w:val="22"/>
                <w:szCs w:val="22"/>
                <w:lang w:val="en-CA" w:eastAsia="fr-CA"/>
              </w:rPr>
              <w:t>  The Canadian Charter of Rights and Freedoms guarantees the rights and freedoms set out in it subject only to such reasonable limits prescribed by law as can be demonstrably justified in a free and democratic society.</w:t>
            </w:r>
            <w:hyperlink r:id="rId46" w:anchor="se:54" w:history="1"/>
          </w:p>
        </w:tc>
      </w:tr>
    </w:tbl>
    <w:p w14:paraId="55914338" w14:textId="7A5B295D" w:rsidR="00AB70CE" w:rsidRPr="00911998" w:rsidRDefault="00181E00" w:rsidP="00181E00">
      <w:pPr>
        <w:pStyle w:val="Paragrsimple"/>
      </w:pPr>
      <w:r w:rsidRPr="00911998">
        <w:t xml:space="preserve">Le critère de justification de l’article premier de la </w:t>
      </w:r>
      <w:r w:rsidRPr="00911998">
        <w:rPr>
          <w:i/>
          <w:iCs/>
        </w:rPr>
        <w:t>Charte canadienne</w:t>
      </w:r>
      <w:r w:rsidRPr="00911998">
        <w:t xml:space="preserve">, </w:t>
      </w:r>
      <w:r w:rsidR="004636E0" w:rsidRPr="00911998">
        <w:t>tel qu’</w:t>
      </w:r>
      <w:r w:rsidRPr="00911998">
        <w:t xml:space="preserve">élaboré par la Cour suprême dans l’arrêt </w:t>
      </w:r>
      <w:r w:rsidRPr="00911998">
        <w:rPr>
          <w:i/>
          <w:iCs/>
        </w:rPr>
        <w:t xml:space="preserve">R. c. </w:t>
      </w:r>
      <w:proofErr w:type="spellStart"/>
      <w:r w:rsidRPr="00911998">
        <w:rPr>
          <w:i/>
          <w:iCs/>
        </w:rPr>
        <w:t>Oakes</w:t>
      </w:r>
      <w:proofErr w:type="spellEnd"/>
      <w:r w:rsidR="00362329" w:rsidRPr="00911998">
        <w:rPr>
          <w:rStyle w:val="Appelnotedebasdep"/>
        </w:rPr>
        <w:footnoteReference w:id="236"/>
      </w:r>
      <w:r w:rsidR="00FF6284" w:rsidRPr="00911998">
        <w:t>,</w:t>
      </w:r>
      <w:r w:rsidRPr="00911998">
        <w:rPr>
          <w:i/>
          <w:iCs/>
        </w:rPr>
        <w:t xml:space="preserve"> </w:t>
      </w:r>
      <w:r w:rsidRPr="00911998">
        <w:rPr>
          <w:i/>
          <w:iCs/>
        </w:rPr>
        <w:softHyphen/>
      </w:r>
      <w:r w:rsidRPr="00911998">
        <w:t xml:space="preserve">est bien connu. </w:t>
      </w:r>
      <w:r w:rsidR="00362329" w:rsidRPr="00911998">
        <w:t xml:space="preserve">Pour justifier l’atteinte </w:t>
      </w:r>
      <w:r w:rsidR="00366315" w:rsidRPr="00911998">
        <w:t>au paragraphe</w:t>
      </w:r>
      <w:r w:rsidR="00362329" w:rsidRPr="00911998">
        <w:t> 15</w:t>
      </w:r>
      <w:r w:rsidR="00366315" w:rsidRPr="00911998">
        <w:t>(1)</w:t>
      </w:r>
      <w:r w:rsidR="00362329" w:rsidRPr="00911998">
        <w:t>, le PGQ supporte le fardeau de démontrer</w:t>
      </w:r>
      <w:r w:rsidR="00055DBA" w:rsidRPr="00911998">
        <w:t xml:space="preserve">, selon la </w:t>
      </w:r>
      <w:r w:rsidR="00513D85" w:rsidRPr="00911998">
        <w:t>prépondérance de la preuve</w:t>
      </w:r>
      <w:r w:rsidR="00055DBA" w:rsidRPr="00911998">
        <w:t>,</w:t>
      </w:r>
      <w:r w:rsidR="00E777EC" w:rsidRPr="00911998">
        <w:t xml:space="preserve"> que la mesure attentatoire</w:t>
      </w:r>
      <w:r w:rsidR="00B643C4" w:rsidRPr="00911998">
        <w:t xml:space="preserve"> </w:t>
      </w:r>
      <w:r w:rsidR="009861B3" w:rsidRPr="00911998">
        <w:t>découle</w:t>
      </w:r>
      <w:r w:rsidR="00B643C4" w:rsidRPr="00911998">
        <w:t xml:space="preserve"> d’une règle de droit</w:t>
      </w:r>
      <w:r w:rsidR="00B643C4" w:rsidRPr="00911998">
        <w:rPr>
          <w:rStyle w:val="Appelnotedebasdep"/>
        </w:rPr>
        <w:footnoteReference w:id="237"/>
      </w:r>
      <w:r w:rsidR="00B643C4" w:rsidRPr="00911998">
        <w:t xml:space="preserve"> </w:t>
      </w:r>
      <w:r w:rsidR="007D50F1" w:rsidRPr="00911998">
        <w:t>qui</w:t>
      </w:r>
      <w:r w:rsidR="00366315" w:rsidRPr="00911998">
        <w:rPr>
          <w:rStyle w:val="Appelnotedebasdep"/>
        </w:rPr>
        <w:footnoteReference w:id="238"/>
      </w:r>
      <w:r w:rsidR="00362329" w:rsidRPr="00911998">
        <w:t> :</w:t>
      </w:r>
    </w:p>
    <w:p w14:paraId="3E6F7DFB" w14:textId="380A90C2" w:rsidR="00362329" w:rsidRPr="00911998" w:rsidRDefault="00362329" w:rsidP="000F6BA9">
      <w:pPr>
        <w:pStyle w:val="Paragrdouble"/>
        <w:numPr>
          <w:ilvl w:val="0"/>
          <w:numId w:val="11"/>
        </w:numPr>
        <w:spacing w:line="240" w:lineRule="auto"/>
        <w:ind w:left="714" w:hanging="357"/>
      </w:pPr>
      <w:proofErr w:type="gramStart"/>
      <w:r w:rsidRPr="00911998">
        <w:lastRenderedPageBreak/>
        <w:t>poursuit</w:t>
      </w:r>
      <w:proofErr w:type="gramEnd"/>
      <w:r w:rsidRPr="00911998">
        <w:t xml:space="preserve"> un objectif législatif urgent et réel</w:t>
      </w:r>
      <w:r w:rsidR="00513D85" w:rsidRPr="00911998">
        <w:t> </w:t>
      </w:r>
      <w:r w:rsidRPr="00911998">
        <w:t>;</w:t>
      </w:r>
      <w:r w:rsidR="00E777EC" w:rsidRPr="00911998">
        <w:t xml:space="preserve"> et </w:t>
      </w:r>
    </w:p>
    <w:p w14:paraId="5E9040DB" w14:textId="47D8B983" w:rsidR="00AC2933" w:rsidRPr="00911998" w:rsidRDefault="00E777EC" w:rsidP="000F6BA9">
      <w:pPr>
        <w:pStyle w:val="Paragrdouble"/>
        <w:numPr>
          <w:ilvl w:val="0"/>
          <w:numId w:val="11"/>
        </w:numPr>
        <w:spacing w:line="240" w:lineRule="auto"/>
        <w:ind w:left="714" w:hanging="357"/>
      </w:pPr>
      <w:proofErr w:type="gramStart"/>
      <w:r w:rsidRPr="00911998">
        <w:t>ne</w:t>
      </w:r>
      <w:proofErr w:type="gramEnd"/>
      <w:r w:rsidRPr="00911998">
        <w:t xml:space="preserve"> porte pas atteinte de façon disproportionnée aux droits garantis par la </w:t>
      </w:r>
      <w:r w:rsidRPr="00911998">
        <w:rPr>
          <w:i/>
          <w:iCs/>
        </w:rPr>
        <w:t>Charte canadienne</w:t>
      </w:r>
      <w:r w:rsidRPr="00911998">
        <w:t xml:space="preserve">. </w:t>
      </w:r>
      <w:r w:rsidR="00055DBA" w:rsidRPr="00911998">
        <w:t>Ce</w:t>
      </w:r>
      <w:r w:rsidR="00366315" w:rsidRPr="00911998">
        <w:t xml:space="preserve"> critère de proportionnalité comporte trois éléments :</w:t>
      </w:r>
    </w:p>
    <w:p w14:paraId="63C03F7A" w14:textId="086021CB" w:rsidR="00362329" w:rsidRPr="00911998" w:rsidRDefault="00366315" w:rsidP="000F6BA9">
      <w:pPr>
        <w:pStyle w:val="Paragrdouble"/>
        <w:numPr>
          <w:ilvl w:val="1"/>
          <w:numId w:val="11"/>
        </w:numPr>
        <w:spacing w:line="240" w:lineRule="auto"/>
      </w:pPr>
      <w:proofErr w:type="gramStart"/>
      <w:r w:rsidRPr="00911998">
        <w:t>l</w:t>
      </w:r>
      <w:r w:rsidR="00362329" w:rsidRPr="00911998">
        <w:t>’existence</w:t>
      </w:r>
      <w:proofErr w:type="gramEnd"/>
      <w:r w:rsidR="00362329" w:rsidRPr="00911998">
        <w:t xml:space="preserve"> d’un lien rationnel entre la mesure attentatoire et l’objectif législatif</w:t>
      </w:r>
      <w:r w:rsidR="00513D85" w:rsidRPr="00911998">
        <w:t> </w:t>
      </w:r>
      <w:r w:rsidR="00362329" w:rsidRPr="00911998">
        <w:t>;</w:t>
      </w:r>
    </w:p>
    <w:p w14:paraId="7DE616DB" w14:textId="6AFD2EE0" w:rsidR="00362329" w:rsidRPr="00911998" w:rsidRDefault="00362329" w:rsidP="000F6BA9">
      <w:pPr>
        <w:pStyle w:val="Paragrdouble"/>
        <w:numPr>
          <w:ilvl w:val="1"/>
          <w:numId w:val="11"/>
        </w:numPr>
        <w:spacing w:line="240" w:lineRule="auto"/>
      </w:pPr>
      <w:proofErr w:type="gramStart"/>
      <w:r w:rsidRPr="00911998">
        <w:t>la</w:t>
      </w:r>
      <w:proofErr w:type="gramEnd"/>
      <w:r w:rsidRPr="00911998">
        <w:t xml:space="preserve"> mesure représente une atteinte minimale</w:t>
      </w:r>
      <w:r w:rsidR="00513D85" w:rsidRPr="00911998">
        <w:t> </w:t>
      </w:r>
      <w:r w:rsidRPr="00911998">
        <w:t>; et</w:t>
      </w:r>
    </w:p>
    <w:p w14:paraId="6DE7E676" w14:textId="7CA049E9" w:rsidR="00362329" w:rsidRPr="00911998" w:rsidRDefault="00AC2933" w:rsidP="000F6BA9">
      <w:pPr>
        <w:pStyle w:val="Paragrdouble"/>
        <w:numPr>
          <w:ilvl w:val="1"/>
          <w:numId w:val="11"/>
        </w:numPr>
        <w:spacing w:line="240" w:lineRule="auto"/>
      </w:pPr>
      <w:proofErr w:type="gramStart"/>
      <w:r w:rsidRPr="00911998">
        <w:t>les</w:t>
      </w:r>
      <w:proofErr w:type="gramEnd"/>
      <w:r w:rsidRPr="00911998">
        <w:t xml:space="preserve"> </w:t>
      </w:r>
      <w:r w:rsidR="00513D85" w:rsidRPr="00911998">
        <w:t>avantages</w:t>
      </w:r>
      <w:r w:rsidRPr="00911998">
        <w:t xml:space="preserve"> de la mesure l’emportent sur s</w:t>
      </w:r>
      <w:r w:rsidR="00790599" w:rsidRPr="00911998">
        <w:t>es effets préjudiciables</w:t>
      </w:r>
      <w:r w:rsidRPr="00911998">
        <w:t>.</w:t>
      </w:r>
    </w:p>
    <w:p w14:paraId="19A7EFB7" w14:textId="301C8CED" w:rsidR="00C34947" w:rsidRPr="00911998" w:rsidRDefault="00C34947" w:rsidP="00C34947">
      <w:pPr>
        <w:pStyle w:val="Paragrsimple"/>
      </w:pPr>
      <w:r w:rsidRPr="00911998">
        <w:t>En l’espèce, le PGQ ne s’est pas acquitté de son fardeau.</w:t>
      </w:r>
    </w:p>
    <w:p w14:paraId="64ABC1B9" w14:textId="6E4A43C0" w:rsidR="000422BE" w:rsidRPr="00911998" w:rsidRDefault="00862302" w:rsidP="00862302">
      <w:pPr>
        <w:pStyle w:val="Titre3"/>
      </w:pPr>
      <w:bookmarkStart w:id="64" w:name="_Toc196463734"/>
      <w:r w:rsidRPr="00911998">
        <w:t>L’objectif urgent et réel</w:t>
      </w:r>
      <w:bookmarkEnd w:id="64"/>
    </w:p>
    <w:p w14:paraId="65E6B2A7" w14:textId="2A0EBBB7" w:rsidR="004B4E1B" w:rsidRPr="00911998" w:rsidRDefault="004B4E1B" w:rsidP="002B7905">
      <w:pPr>
        <w:pStyle w:val="Paragrsimple"/>
      </w:pPr>
      <w:r w:rsidRPr="00911998">
        <w:t xml:space="preserve">L’objectif pertinent aux fins de l’analyse aux termes de l’article premier de la </w:t>
      </w:r>
      <w:r w:rsidRPr="00911998">
        <w:rPr>
          <w:i/>
          <w:iCs/>
        </w:rPr>
        <w:t xml:space="preserve">Charte canadienne </w:t>
      </w:r>
      <w:r w:rsidRPr="00911998">
        <w:t xml:space="preserve">est </w:t>
      </w:r>
      <w:r w:rsidR="005C3AA7" w:rsidRPr="00911998">
        <w:t>celui</w:t>
      </w:r>
      <w:r w:rsidRPr="00911998">
        <w:t xml:space="preserve"> de la mesure attentatoire</w:t>
      </w:r>
      <w:r w:rsidRPr="00911998">
        <w:rPr>
          <w:rStyle w:val="Appelnotedebasdep"/>
        </w:rPr>
        <w:footnoteReference w:id="239"/>
      </w:r>
      <w:r w:rsidRPr="00911998">
        <w:t xml:space="preserve">. </w:t>
      </w:r>
      <w:r w:rsidR="00950D51" w:rsidRPr="00911998">
        <w:t>I</w:t>
      </w:r>
      <w:r w:rsidRPr="00911998">
        <w:t xml:space="preserve">l faut </w:t>
      </w:r>
      <w:r w:rsidR="00950D51" w:rsidRPr="00911998">
        <w:t xml:space="preserve">donc </w:t>
      </w:r>
      <w:r w:rsidRPr="00911998">
        <w:t xml:space="preserve">cerner </w:t>
      </w:r>
      <w:r w:rsidR="00950D51" w:rsidRPr="00911998">
        <w:t>la finalité</w:t>
      </w:r>
      <w:r w:rsidRPr="00911998">
        <w:t xml:space="preserve"> poursuivi</w:t>
      </w:r>
      <w:r w:rsidR="00950D51" w:rsidRPr="00911998">
        <w:t>e</w:t>
      </w:r>
      <w:r w:rsidRPr="00911998">
        <w:t xml:space="preserve"> par la limite de deux liens de filiation et déterminer </w:t>
      </w:r>
      <w:r w:rsidR="00950D51" w:rsidRPr="00911998">
        <w:t>si</w:t>
      </w:r>
      <w:r w:rsidR="009C7E28" w:rsidRPr="00911998">
        <w:t xml:space="preserve"> elle constitue</w:t>
      </w:r>
      <w:r w:rsidR="00950D51" w:rsidRPr="00911998">
        <w:t xml:space="preserve"> un </w:t>
      </w:r>
      <w:r w:rsidRPr="00911998">
        <w:t>objectif urgent et réel.</w:t>
      </w:r>
    </w:p>
    <w:p w14:paraId="05041BCE" w14:textId="45BB6961" w:rsidR="00FE6995" w:rsidRPr="00911998" w:rsidRDefault="001B364A" w:rsidP="00E21CCA">
      <w:pPr>
        <w:pStyle w:val="Paragrsimple"/>
      </w:pPr>
      <w:r w:rsidRPr="00911998">
        <w:t xml:space="preserve">Le PGQ soutient que l’objectif de </w:t>
      </w:r>
      <w:r w:rsidR="006F4983" w:rsidRPr="00911998">
        <w:t>cette</w:t>
      </w:r>
      <w:r w:rsidRPr="00911998">
        <w:t xml:space="preserve"> limite </w:t>
      </w:r>
      <w:r w:rsidR="00950D51" w:rsidRPr="00911998">
        <w:t>consiste à</w:t>
      </w:r>
      <w:r w:rsidRPr="00911998">
        <w:t xml:space="preserve"> favoriser la prévisibilité et la stabilité des liens de filiation. </w:t>
      </w:r>
      <w:r w:rsidR="00950D51" w:rsidRPr="00911998">
        <w:t>L</w:t>
      </w:r>
      <w:r w:rsidR="00753E9C" w:rsidRPr="00911998">
        <w:t>a prévisibilité et la stabilité des liens de filiation constituent des objectifs étatiques légitimes</w:t>
      </w:r>
      <w:r w:rsidR="00950D51" w:rsidRPr="00911998">
        <w:t>,</w:t>
      </w:r>
      <w:r w:rsidR="00753E9C" w:rsidRPr="00911998">
        <w:t xml:space="preserve"> qui peuvent être qualifiés d’urgents et réels au sens du premier volet du critère de l’arrêt </w:t>
      </w:r>
      <w:proofErr w:type="spellStart"/>
      <w:r w:rsidR="00753E9C" w:rsidRPr="00911998">
        <w:rPr>
          <w:i/>
          <w:iCs/>
        </w:rPr>
        <w:t>Oakes</w:t>
      </w:r>
      <w:proofErr w:type="spellEnd"/>
      <w:r w:rsidR="00753E9C" w:rsidRPr="00911998">
        <w:t>.</w:t>
      </w:r>
      <w:r w:rsidR="00822FC8" w:rsidRPr="00911998">
        <w:t xml:space="preserve"> </w:t>
      </w:r>
    </w:p>
    <w:p w14:paraId="0C7DFA88" w14:textId="460591E9" w:rsidR="00F97FCB" w:rsidRPr="00911998" w:rsidRDefault="00E21CCA" w:rsidP="00FE6995">
      <w:pPr>
        <w:pStyle w:val="Paragrsimple"/>
      </w:pPr>
      <w:r w:rsidRPr="00911998">
        <w:t xml:space="preserve">Selon les Demandeurs, l’objectif proposé par le PGQ </w:t>
      </w:r>
      <w:r w:rsidR="006F4983" w:rsidRPr="00911998">
        <w:t xml:space="preserve">représente </w:t>
      </w:r>
      <w:r w:rsidR="00736668" w:rsidRPr="00911998">
        <w:t xml:space="preserve">un </w:t>
      </w:r>
      <w:r w:rsidR="006F4983" w:rsidRPr="00911998">
        <w:t xml:space="preserve">des </w:t>
      </w:r>
      <w:r w:rsidR="00736668" w:rsidRPr="00911998">
        <w:t>objectif</w:t>
      </w:r>
      <w:r w:rsidR="006F4983" w:rsidRPr="00911998">
        <w:t>s</w:t>
      </w:r>
      <w:r w:rsidR="00736668" w:rsidRPr="00911998">
        <w:t xml:space="preserve"> du régime de la filiation</w:t>
      </w:r>
      <w:r w:rsidR="003F6488" w:rsidRPr="00911998">
        <w:t xml:space="preserve"> en général</w:t>
      </w:r>
      <w:r w:rsidR="00736668" w:rsidRPr="00911998">
        <w:t xml:space="preserve">, mais </w:t>
      </w:r>
      <w:r w:rsidRPr="00911998">
        <w:t>n</w:t>
      </w:r>
      <w:r w:rsidR="00B76DBE" w:rsidRPr="00911998">
        <w:t>e correspond</w:t>
      </w:r>
      <w:r w:rsidRPr="00911998">
        <w:t xml:space="preserve"> pas </w:t>
      </w:r>
      <w:r w:rsidR="00B76DBE" w:rsidRPr="00911998">
        <w:t xml:space="preserve">à </w:t>
      </w:r>
      <w:r w:rsidRPr="00911998">
        <w:t>celui de la mesure attentatoire. Compte tenu du rejet de la théorie de l’objet changeant</w:t>
      </w:r>
      <w:r w:rsidRPr="00911998">
        <w:rPr>
          <w:rStyle w:val="Appelnotedebasdep"/>
        </w:rPr>
        <w:footnoteReference w:id="240"/>
      </w:r>
      <w:r w:rsidRPr="00911998">
        <w:t xml:space="preserve">, </w:t>
      </w:r>
      <w:r w:rsidR="006F4983" w:rsidRPr="00911998">
        <w:t xml:space="preserve">ils soutiennent que </w:t>
      </w:r>
      <w:r w:rsidRPr="00911998">
        <w:t xml:space="preserve">l’objectif de cette mesure doit </w:t>
      </w:r>
      <w:r w:rsidR="00F97FCB" w:rsidRPr="00911998">
        <w:t>être celui qui animait le législateur au moment de son adoption. Or,</w:t>
      </w:r>
      <w:r w:rsidRPr="00911998">
        <w:t xml:space="preserve"> lors de l’adoption du </w:t>
      </w:r>
      <w:r w:rsidRPr="00911998">
        <w:rPr>
          <w:i/>
          <w:iCs/>
        </w:rPr>
        <w:t xml:space="preserve">Code civil du Québec </w:t>
      </w:r>
      <w:r w:rsidRPr="00911998">
        <w:t>en</w:t>
      </w:r>
      <w:r w:rsidR="00736668" w:rsidRPr="00911998">
        <w:t> </w:t>
      </w:r>
      <w:r w:rsidRPr="00911998">
        <w:t xml:space="preserve">1991, la question de la </w:t>
      </w:r>
      <w:proofErr w:type="spellStart"/>
      <w:r w:rsidRPr="00911998">
        <w:t>pluriparenté</w:t>
      </w:r>
      <w:proofErr w:type="spellEnd"/>
      <w:r w:rsidRPr="00911998">
        <w:t xml:space="preserve"> n’était pas du tout à l’ordre du jour législatif ou social. </w:t>
      </w:r>
    </w:p>
    <w:p w14:paraId="052F77C9" w14:textId="258A1B0A" w:rsidR="00E21CCA" w:rsidRPr="00911998" w:rsidRDefault="00F97FCB" w:rsidP="00FE6995">
      <w:pPr>
        <w:pStyle w:val="Paragrsimple"/>
      </w:pPr>
      <w:r w:rsidRPr="00911998">
        <w:t xml:space="preserve">Par conséquent, les Demandeurs plaident </w:t>
      </w:r>
      <w:r w:rsidR="006F4983" w:rsidRPr="00911998">
        <w:t>que</w:t>
      </w:r>
      <w:r w:rsidR="00E21CCA" w:rsidRPr="00911998">
        <w:t xml:space="preserve"> la prévisibilité et la stabilité des liens de filiation ne saurai</w:t>
      </w:r>
      <w:r w:rsidR="00736668" w:rsidRPr="00911998">
        <w:t>en</w:t>
      </w:r>
      <w:r w:rsidR="00E21CCA" w:rsidRPr="00911998">
        <w:t>t constituer l’objectif de la mesure attentatoire, à savoir la limite de deux liens de filiation</w:t>
      </w:r>
      <w:r w:rsidRPr="00911998">
        <w:t xml:space="preserve">. Selon eux, l’objet véritable de </w:t>
      </w:r>
      <w:r w:rsidR="00736668" w:rsidRPr="00911998">
        <w:t xml:space="preserve">cette </w:t>
      </w:r>
      <w:r w:rsidRPr="00911998">
        <w:t xml:space="preserve">limite </w:t>
      </w:r>
      <w:r w:rsidR="006F4983" w:rsidRPr="00911998">
        <w:t>ser</w:t>
      </w:r>
      <w:r w:rsidRPr="00911998">
        <w:t xml:space="preserve">ait de refléter dans le droit de la filiation le modèle familial traditionnel dominant au moment de l’adoption du </w:t>
      </w:r>
      <w:r w:rsidRPr="00911998">
        <w:rPr>
          <w:i/>
          <w:iCs/>
        </w:rPr>
        <w:t>Code civil du Québec</w:t>
      </w:r>
      <w:r w:rsidR="00736668" w:rsidRPr="00911998">
        <w:t xml:space="preserve">. Pour les Demandeurs, </w:t>
      </w:r>
      <w:r w:rsidR="006F4983" w:rsidRPr="00911998">
        <w:t>il</w:t>
      </w:r>
      <w:r w:rsidR="00736668" w:rsidRPr="00911998">
        <w:t xml:space="preserve"> ne s’agit pas</w:t>
      </w:r>
      <w:r w:rsidRPr="00911998">
        <w:t xml:space="preserve"> </w:t>
      </w:r>
      <w:r w:rsidR="00736668" w:rsidRPr="00911998">
        <w:t>d’</w:t>
      </w:r>
      <w:r w:rsidRPr="00911998">
        <w:t>un objectif urgent et réel.</w:t>
      </w:r>
    </w:p>
    <w:p w14:paraId="292EA413" w14:textId="1A9ED5CD" w:rsidR="00A87185" w:rsidRPr="00911998" w:rsidRDefault="00F97FCB" w:rsidP="00A7771A">
      <w:pPr>
        <w:pStyle w:val="Paragrsimple"/>
      </w:pPr>
      <w:r w:rsidRPr="00911998">
        <w:lastRenderedPageBreak/>
        <w:t xml:space="preserve">Compte tenu de la conclusion du Tribunal selon laquelle le critère de proportionnalité n’est pas satisfait en l’espèce, il n’est pas nécessaire de se prononcer sur l’argument des Demandeurs fondé sur le rejet de la théorie de l’objet changeant. Pour les fins de l’analyse du critère de justification, le Tribunal accepte que l’objectif de la limite de deux liens de filiation </w:t>
      </w:r>
      <w:proofErr w:type="gramStart"/>
      <w:r w:rsidRPr="00911998">
        <w:t>est</w:t>
      </w:r>
      <w:proofErr w:type="gramEnd"/>
      <w:r w:rsidRPr="00911998">
        <w:t xml:space="preserve"> celui proposé par le PGQ, à savoir favoriser la prévisibilité et la stabilité des liens de filiation</w:t>
      </w:r>
      <w:r w:rsidR="00B07C2D" w:rsidRPr="00911998">
        <w:t>.</w:t>
      </w:r>
      <w:r w:rsidRPr="00911998">
        <w:t xml:space="preserve"> </w:t>
      </w:r>
      <w:r w:rsidR="00AF407E" w:rsidRPr="00911998">
        <w:t>Cet</w:t>
      </w:r>
      <w:r w:rsidR="00195A87" w:rsidRPr="00911998">
        <w:t xml:space="preserve"> objectif </w:t>
      </w:r>
      <w:r w:rsidR="00AF407E" w:rsidRPr="00911998">
        <w:t xml:space="preserve">est </w:t>
      </w:r>
      <w:r w:rsidR="00195A87" w:rsidRPr="00911998">
        <w:t xml:space="preserve">urgent et réel au sens de l’arrêt </w:t>
      </w:r>
      <w:proofErr w:type="spellStart"/>
      <w:r w:rsidR="00195A87" w:rsidRPr="00911998">
        <w:rPr>
          <w:i/>
          <w:iCs/>
        </w:rPr>
        <w:t>Oakes</w:t>
      </w:r>
      <w:proofErr w:type="spellEnd"/>
      <w:r w:rsidR="00195A87" w:rsidRPr="00911998">
        <w:t>.</w:t>
      </w:r>
    </w:p>
    <w:p w14:paraId="2E2F83DA" w14:textId="167ACC92" w:rsidR="000257B0" w:rsidRPr="00911998" w:rsidRDefault="00C9505E" w:rsidP="00C9505E">
      <w:pPr>
        <w:pStyle w:val="Titre3"/>
      </w:pPr>
      <w:bookmarkStart w:id="65" w:name="_Toc196463735"/>
      <w:r w:rsidRPr="00911998">
        <w:t>Le critère de proporti</w:t>
      </w:r>
      <w:r w:rsidR="00C628A0" w:rsidRPr="00911998">
        <w:t>on</w:t>
      </w:r>
      <w:r w:rsidRPr="00911998">
        <w:t>nalité</w:t>
      </w:r>
      <w:bookmarkEnd w:id="65"/>
    </w:p>
    <w:p w14:paraId="4BB4EAA5" w14:textId="5522ABD5" w:rsidR="00C9505E" w:rsidRPr="00911998" w:rsidRDefault="001C12F5" w:rsidP="0079350D">
      <w:pPr>
        <w:pStyle w:val="Titre4"/>
      </w:pPr>
      <w:r w:rsidRPr="00911998">
        <w:t>Le</w:t>
      </w:r>
      <w:r w:rsidR="0079350D" w:rsidRPr="00911998">
        <w:t xml:space="preserve"> lien rationnel</w:t>
      </w:r>
    </w:p>
    <w:p w14:paraId="0B89472E" w14:textId="6F61B614" w:rsidR="0079350D" w:rsidRPr="00911998" w:rsidRDefault="00CF1A06" w:rsidP="002B7905">
      <w:pPr>
        <w:pStyle w:val="Paragrsimple"/>
      </w:pPr>
      <w:r w:rsidRPr="00911998">
        <w:t xml:space="preserve">La limite de deux liens de filiation comporte un lien rationnel avec au moins un </w:t>
      </w:r>
      <w:r w:rsidR="00074FD6" w:rsidRPr="00911998">
        <w:t xml:space="preserve">des </w:t>
      </w:r>
      <w:r w:rsidRPr="00911998">
        <w:t>objectifs proposés par le PGQ</w:t>
      </w:r>
      <w:r w:rsidR="00BD58B4" w:rsidRPr="00911998">
        <w:t>, à savoir</w:t>
      </w:r>
      <w:r w:rsidRPr="00911998">
        <w:t xml:space="preserve"> la prévisibilité des liens de filiation.</w:t>
      </w:r>
    </w:p>
    <w:p w14:paraId="4EBE5FF6" w14:textId="0A2C6CC9" w:rsidR="00CF1A06" w:rsidRPr="00911998" w:rsidRDefault="00CF1A06" w:rsidP="00CF1A06">
      <w:pPr>
        <w:pStyle w:val="Paragrsimple"/>
      </w:pPr>
      <w:r w:rsidRPr="00911998">
        <w:t xml:space="preserve">En effet, l’existence d’un lien rationnel peut être </w:t>
      </w:r>
      <w:r w:rsidR="00792ED8" w:rsidRPr="00911998">
        <w:t>établie</w:t>
      </w:r>
      <w:r w:rsidRPr="00911998">
        <w:t xml:space="preserve"> sur le fondement de la raison et de la logique</w:t>
      </w:r>
      <w:r w:rsidRPr="00911998">
        <w:rPr>
          <w:rStyle w:val="Appelnotedebasdep"/>
        </w:rPr>
        <w:footnoteReference w:id="241"/>
      </w:r>
      <w:r w:rsidRPr="00911998">
        <w:t xml:space="preserve">. </w:t>
      </w:r>
      <w:r w:rsidR="00074FD6" w:rsidRPr="00911998">
        <w:t>Il est parfaitement logique de croire qu’</w:t>
      </w:r>
      <w:r w:rsidRPr="00911998">
        <w:t xml:space="preserve">une limite </w:t>
      </w:r>
      <w:r w:rsidR="00074FD6" w:rsidRPr="00911998">
        <w:t>numérique aux</w:t>
      </w:r>
      <w:r w:rsidRPr="00911998">
        <w:t xml:space="preserve"> liens de filiation </w:t>
      </w:r>
      <w:r w:rsidR="00BD58B4" w:rsidRPr="00911998">
        <w:t>légalement reconnus</w:t>
      </w:r>
      <w:r w:rsidR="00074FD6" w:rsidRPr="00911998">
        <w:t xml:space="preserve"> </w:t>
      </w:r>
      <w:r w:rsidRPr="00911998">
        <w:t xml:space="preserve">contribue à leur prévisibilité. </w:t>
      </w:r>
      <w:r w:rsidR="00074FD6" w:rsidRPr="00911998">
        <w:t>Dit autrement, e</w:t>
      </w:r>
      <w:r w:rsidR="00DA00FB" w:rsidRPr="00911998">
        <w:t xml:space="preserve">n limitant la filiation à deux parents, la prévisibilité des liens de filiation est sans doute </w:t>
      </w:r>
      <w:r w:rsidR="00792ED8" w:rsidRPr="00911998">
        <w:t>accru</w:t>
      </w:r>
      <w:r w:rsidR="00DA00FB" w:rsidRPr="00911998">
        <w:t xml:space="preserve">e. </w:t>
      </w:r>
    </w:p>
    <w:p w14:paraId="219C6795" w14:textId="05586DDB" w:rsidR="00CF1A06" w:rsidRPr="00911998" w:rsidRDefault="00CF1A06" w:rsidP="00CF1A06">
      <w:pPr>
        <w:pStyle w:val="Paragrsimple"/>
      </w:pPr>
      <w:r w:rsidRPr="00911998">
        <w:t xml:space="preserve">Les Demandeurs soutiennent qu’une limite numérique </w:t>
      </w:r>
      <w:r w:rsidR="00BD58B4" w:rsidRPr="00911998">
        <w:t xml:space="preserve">plus élevée </w:t>
      </w:r>
      <w:r w:rsidRPr="00911998">
        <w:t>contribuerait également à la prévisibilité des liens de filiation. Certes, mais cet argument relève des autres volets du critère de proportionnalité</w:t>
      </w:r>
      <w:r w:rsidR="00DA00FB" w:rsidRPr="00911998">
        <w:t xml:space="preserve"> et n’écarte pas l’existence d’un lien rationnel</w:t>
      </w:r>
      <w:r w:rsidRPr="00911998">
        <w:t xml:space="preserve">. Ce n’est pas parce qu’une mesure </w:t>
      </w:r>
      <w:r w:rsidR="00BD58B4" w:rsidRPr="00911998">
        <w:t xml:space="preserve">différente </w:t>
      </w:r>
      <w:r w:rsidRPr="00911998">
        <w:t xml:space="preserve">servirait </w:t>
      </w:r>
      <w:r w:rsidR="00BD58B4" w:rsidRPr="00911998">
        <w:t>elle</w:t>
      </w:r>
      <w:r w:rsidR="00471358" w:rsidRPr="00911998">
        <w:t xml:space="preserve"> </w:t>
      </w:r>
      <w:r w:rsidR="00BD58B4" w:rsidRPr="00911998">
        <w:t>aussi</w:t>
      </w:r>
      <w:r w:rsidRPr="00911998">
        <w:t xml:space="preserve"> l</w:t>
      </w:r>
      <w:r w:rsidR="00813F45" w:rsidRPr="00911998">
        <w:t>’</w:t>
      </w:r>
      <w:r w:rsidRPr="00911998">
        <w:t>objectif</w:t>
      </w:r>
      <w:r w:rsidR="00813F45" w:rsidRPr="00911998">
        <w:t xml:space="preserve"> pertinent</w:t>
      </w:r>
      <w:r w:rsidRPr="00911998">
        <w:t xml:space="preserve"> qu’il n’existe pas de lien logique et rationnel entre la prévisibilité </w:t>
      </w:r>
      <w:r w:rsidR="00DA00FB" w:rsidRPr="00911998">
        <w:t xml:space="preserve">des liens de filiation </w:t>
      </w:r>
      <w:r w:rsidRPr="00911998">
        <w:t xml:space="preserve">et la limite </w:t>
      </w:r>
      <w:r w:rsidR="00813F45" w:rsidRPr="00911998">
        <w:t xml:space="preserve">numérique </w:t>
      </w:r>
      <w:r w:rsidRPr="00911998">
        <w:t>de deux liens.</w:t>
      </w:r>
    </w:p>
    <w:p w14:paraId="5C1DEA3F" w14:textId="63D6984E" w:rsidR="00CF1A06" w:rsidRPr="00911998" w:rsidRDefault="00CF1A06" w:rsidP="00CF1A06">
      <w:pPr>
        <w:pStyle w:val="Titre4"/>
      </w:pPr>
      <w:r w:rsidRPr="00911998">
        <w:t>L’atteinte minimale</w:t>
      </w:r>
    </w:p>
    <w:p w14:paraId="1E899873" w14:textId="77777777" w:rsidR="00C07B3B" w:rsidRPr="00911998" w:rsidRDefault="00DA00FB" w:rsidP="002B7905">
      <w:pPr>
        <w:pStyle w:val="Paragrsimple"/>
      </w:pPr>
      <w:r w:rsidRPr="00911998">
        <w:t>En revanche,</w:t>
      </w:r>
      <w:r w:rsidR="001D457E" w:rsidRPr="00911998">
        <w:t xml:space="preserve"> le PGQ ne s’est pas acquitté de son fardeau de preuve qui consiste à démontrer que la limite de deux liens de filiation représente une atteinte minimale au droit à l’égalité.</w:t>
      </w:r>
      <w:r w:rsidR="00206C8A" w:rsidRPr="00911998">
        <w:t xml:space="preserve"> </w:t>
      </w:r>
    </w:p>
    <w:p w14:paraId="3BD081D6" w14:textId="4003A596" w:rsidR="001D457E" w:rsidRPr="00911998" w:rsidRDefault="00C07B3B" w:rsidP="00E90D61">
      <w:pPr>
        <w:pStyle w:val="Paragrsimple"/>
      </w:pPr>
      <w:r w:rsidRPr="00911998">
        <w:t xml:space="preserve">Dans l’arrêt </w:t>
      </w:r>
      <w:r w:rsidRPr="00512E07">
        <w:rPr>
          <w:i/>
          <w:iCs/>
        </w:rPr>
        <w:t>RJR-MacDonald</w:t>
      </w:r>
      <w:r w:rsidRPr="00911998">
        <w:rPr>
          <w:i/>
          <w:iCs/>
        </w:rPr>
        <w:t xml:space="preserve"> Inc. c. Canada (Procureur général)</w:t>
      </w:r>
      <w:r w:rsidRPr="00911998">
        <w:t xml:space="preserve">, la juge </w:t>
      </w:r>
      <w:proofErr w:type="spellStart"/>
      <w:r w:rsidRPr="00911998">
        <w:t>McLachlin</w:t>
      </w:r>
      <w:proofErr w:type="spellEnd"/>
      <w:r w:rsidRPr="00911998">
        <w:t xml:space="preserve"> explique que</w:t>
      </w:r>
      <w:r w:rsidRPr="00911998">
        <w:rPr>
          <w:rStyle w:val="Appelnotedebasdep"/>
        </w:rPr>
        <w:footnoteReference w:id="242"/>
      </w:r>
      <w:r w:rsidRPr="00911998">
        <w:t> :</w:t>
      </w:r>
    </w:p>
    <w:p w14:paraId="12C417D9" w14:textId="38D47867" w:rsidR="00C07B3B" w:rsidRPr="00911998" w:rsidRDefault="00C07B3B" w:rsidP="00C07B3B">
      <w:pPr>
        <w:ind w:left="567" w:right="560"/>
        <w:jc w:val="both"/>
        <w:rPr>
          <w:sz w:val="22"/>
          <w:szCs w:val="22"/>
        </w:rPr>
      </w:pPr>
      <w:bookmarkStart w:id="66" w:name="par.160"/>
      <w:r w:rsidRPr="00911998">
        <w:rPr>
          <w:sz w:val="22"/>
          <w:szCs w:val="22"/>
        </w:rPr>
        <w:t>160     À la deuxième étape de l</w:t>
      </w:r>
      <w:r w:rsidR="00971129" w:rsidRPr="00911998">
        <w:rPr>
          <w:sz w:val="22"/>
          <w:szCs w:val="22"/>
        </w:rPr>
        <w:t>’</w:t>
      </w:r>
      <w:r w:rsidRPr="00911998">
        <w:rPr>
          <w:sz w:val="22"/>
          <w:szCs w:val="22"/>
        </w:rPr>
        <w:t>analyse de la proportionnalité, le gouvernement doit établir que les mesures en cause restreignent le droit à la liberté d</w:t>
      </w:r>
      <w:r w:rsidR="00971129" w:rsidRPr="00911998">
        <w:rPr>
          <w:sz w:val="22"/>
          <w:szCs w:val="22"/>
        </w:rPr>
        <w:t>’</w:t>
      </w:r>
      <w:r w:rsidRPr="00911998">
        <w:rPr>
          <w:sz w:val="22"/>
          <w:szCs w:val="22"/>
        </w:rPr>
        <w:t>expression aussi peu que cela est raisonnablement possible aux fins de la réalisation de l</w:t>
      </w:r>
      <w:r w:rsidR="00971129" w:rsidRPr="00911998">
        <w:rPr>
          <w:sz w:val="22"/>
          <w:szCs w:val="22"/>
        </w:rPr>
        <w:t>’</w:t>
      </w:r>
      <w:r w:rsidRPr="00911998">
        <w:rPr>
          <w:sz w:val="22"/>
          <w:szCs w:val="22"/>
        </w:rPr>
        <w:t>objectif législatif. La restriction doit être «</w:t>
      </w:r>
      <w:r w:rsidR="00B32629" w:rsidRPr="00911998">
        <w:rPr>
          <w:sz w:val="22"/>
          <w:szCs w:val="22"/>
        </w:rPr>
        <w:t> </w:t>
      </w:r>
      <w:r w:rsidRPr="00911998">
        <w:rPr>
          <w:sz w:val="22"/>
          <w:szCs w:val="22"/>
        </w:rPr>
        <w:t>minimale</w:t>
      </w:r>
      <w:r w:rsidR="00B32629" w:rsidRPr="00911998">
        <w:rPr>
          <w:sz w:val="22"/>
          <w:szCs w:val="22"/>
        </w:rPr>
        <w:t> </w:t>
      </w:r>
      <w:r w:rsidRPr="00911998">
        <w:rPr>
          <w:sz w:val="22"/>
          <w:szCs w:val="22"/>
        </w:rPr>
        <w:t>», c</w:t>
      </w:r>
      <w:r w:rsidR="00971129" w:rsidRPr="00911998">
        <w:rPr>
          <w:sz w:val="22"/>
          <w:szCs w:val="22"/>
        </w:rPr>
        <w:t>’</w:t>
      </w:r>
      <w:r w:rsidRPr="00911998">
        <w:rPr>
          <w:sz w:val="22"/>
          <w:szCs w:val="22"/>
        </w:rPr>
        <w:t xml:space="preserve">est-à-dire que la loi doit être </w:t>
      </w:r>
      <w:r w:rsidRPr="00911998">
        <w:rPr>
          <w:sz w:val="22"/>
          <w:szCs w:val="22"/>
        </w:rPr>
        <w:lastRenderedPageBreak/>
        <w:t xml:space="preserve">soigneusement adaptée </w:t>
      </w:r>
      <w:proofErr w:type="gramStart"/>
      <w:r w:rsidRPr="00911998">
        <w:rPr>
          <w:sz w:val="22"/>
          <w:szCs w:val="22"/>
        </w:rPr>
        <w:t>de façon à ce</w:t>
      </w:r>
      <w:proofErr w:type="gramEnd"/>
      <w:r w:rsidRPr="00911998">
        <w:rPr>
          <w:sz w:val="22"/>
          <w:szCs w:val="22"/>
        </w:rPr>
        <w:t xml:space="preserve"> que l</w:t>
      </w:r>
      <w:r w:rsidR="00971129" w:rsidRPr="00911998">
        <w:rPr>
          <w:sz w:val="22"/>
          <w:szCs w:val="22"/>
        </w:rPr>
        <w:t>’</w:t>
      </w:r>
      <w:r w:rsidRPr="00911998">
        <w:rPr>
          <w:sz w:val="22"/>
          <w:szCs w:val="22"/>
        </w:rPr>
        <w:t>atteinte aux droits ne dépasse pas ce qui est nécessaire. Le processus d</w:t>
      </w:r>
      <w:r w:rsidR="00971129" w:rsidRPr="00911998">
        <w:rPr>
          <w:sz w:val="22"/>
          <w:szCs w:val="22"/>
        </w:rPr>
        <w:t>’</w:t>
      </w:r>
      <w:r w:rsidRPr="00911998">
        <w:rPr>
          <w:sz w:val="22"/>
          <w:szCs w:val="22"/>
        </w:rPr>
        <w:t>adaptation est rarement parfait et les tribunaux doivent accorder une certaine latitude au législateur. Si la loi se situe à l</w:t>
      </w:r>
      <w:r w:rsidR="00971129" w:rsidRPr="00911998">
        <w:rPr>
          <w:sz w:val="22"/>
          <w:szCs w:val="22"/>
        </w:rPr>
        <w:t>’</w:t>
      </w:r>
      <w:r w:rsidRPr="00911998">
        <w:rPr>
          <w:sz w:val="22"/>
          <w:szCs w:val="22"/>
        </w:rPr>
        <w:t>intérieur d</w:t>
      </w:r>
      <w:r w:rsidR="00971129" w:rsidRPr="00911998">
        <w:rPr>
          <w:sz w:val="22"/>
          <w:szCs w:val="22"/>
        </w:rPr>
        <w:t>’</w:t>
      </w:r>
      <w:r w:rsidRPr="00911998">
        <w:rPr>
          <w:sz w:val="22"/>
          <w:szCs w:val="22"/>
        </w:rPr>
        <w:t>une gamme de mesures raisonnables, les tribunaux ne concluront pas qu</w:t>
      </w:r>
      <w:r w:rsidR="00971129" w:rsidRPr="00911998">
        <w:rPr>
          <w:sz w:val="22"/>
          <w:szCs w:val="22"/>
        </w:rPr>
        <w:t>’</w:t>
      </w:r>
      <w:r w:rsidRPr="00911998">
        <w:rPr>
          <w:sz w:val="22"/>
          <w:szCs w:val="22"/>
        </w:rPr>
        <w:t>elle a une portée trop générale simplement parce qu</w:t>
      </w:r>
      <w:r w:rsidR="00971129" w:rsidRPr="00911998">
        <w:rPr>
          <w:sz w:val="22"/>
          <w:szCs w:val="22"/>
        </w:rPr>
        <w:t>’</w:t>
      </w:r>
      <w:r w:rsidRPr="00911998">
        <w:rPr>
          <w:sz w:val="22"/>
          <w:szCs w:val="22"/>
        </w:rPr>
        <w:t>ils peuvent envisager une solution de rechange qui pourrait être mieux adaptée à l</w:t>
      </w:r>
      <w:r w:rsidR="00971129" w:rsidRPr="00911998">
        <w:rPr>
          <w:sz w:val="22"/>
          <w:szCs w:val="22"/>
        </w:rPr>
        <w:t>’</w:t>
      </w:r>
      <w:r w:rsidRPr="00911998">
        <w:rPr>
          <w:sz w:val="22"/>
          <w:szCs w:val="22"/>
        </w:rPr>
        <w:t xml:space="preserve">objectif et à la violation; </w:t>
      </w:r>
      <w:bookmarkEnd w:id="66"/>
      <w:r w:rsidRPr="00911998">
        <w:rPr>
          <w:rFonts w:cs="Arial"/>
          <w:sz w:val="22"/>
          <w:szCs w:val="22"/>
        </w:rPr>
        <w:t>[…]</w:t>
      </w:r>
      <w:r w:rsidRPr="00911998">
        <w:rPr>
          <w:sz w:val="22"/>
          <w:szCs w:val="22"/>
        </w:rPr>
        <w:t xml:space="preserve"> </w:t>
      </w:r>
      <w:proofErr w:type="gramStart"/>
      <w:r w:rsidRPr="00911998">
        <w:rPr>
          <w:sz w:val="22"/>
          <w:szCs w:val="22"/>
        </w:rPr>
        <w:t>Par contre</w:t>
      </w:r>
      <w:proofErr w:type="gramEnd"/>
      <w:r w:rsidRPr="00911998">
        <w:rPr>
          <w:sz w:val="22"/>
          <w:szCs w:val="22"/>
        </w:rPr>
        <w:t>, si le gouvernement omet d</w:t>
      </w:r>
      <w:r w:rsidR="00971129" w:rsidRPr="00911998">
        <w:rPr>
          <w:sz w:val="22"/>
          <w:szCs w:val="22"/>
        </w:rPr>
        <w:t>’</w:t>
      </w:r>
      <w:r w:rsidRPr="00911998">
        <w:rPr>
          <w:sz w:val="22"/>
          <w:szCs w:val="22"/>
        </w:rPr>
        <w:t>expliquer pourquoi il n</w:t>
      </w:r>
      <w:r w:rsidR="00971129" w:rsidRPr="00911998">
        <w:rPr>
          <w:sz w:val="22"/>
          <w:szCs w:val="22"/>
        </w:rPr>
        <w:t>’</w:t>
      </w:r>
      <w:r w:rsidRPr="00911998">
        <w:rPr>
          <w:sz w:val="22"/>
          <w:szCs w:val="22"/>
        </w:rPr>
        <w:t>a pas choisi une mesure beaucoup moins attentatoire et tout aussi efficace, la loi peut être déclarée non valide.</w:t>
      </w:r>
    </w:p>
    <w:p w14:paraId="0A4C187B" w14:textId="4A3C4DE8" w:rsidR="00206C8A" w:rsidRPr="00911998" w:rsidRDefault="00206C8A" w:rsidP="00206C8A">
      <w:pPr>
        <w:pStyle w:val="Paragrsimple"/>
      </w:pPr>
      <w:r w:rsidRPr="00911998">
        <w:t xml:space="preserve">Le PGQ n’a administré aucune preuve sur la question de l’atteinte minimale. </w:t>
      </w:r>
      <w:r w:rsidR="00B32629" w:rsidRPr="00911998">
        <w:t>Invitant le Tribunal à faire preuve de déférence, s</w:t>
      </w:r>
      <w:r w:rsidRPr="00911998">
        <w:t xml:space="preserve">on argument </w:t>
      </w:r>
      <w:r w:rsidR="003860A4" w:rsidRPr="00911998">
        <w:t xml:space="preserve">se résume </w:t>
      </w:r>
      <w:r w:rsidRPr="00911998">
        <w:t xml:space="preserve">à dire que la limite de deux liens de filiation fait partie d’une gamme de solutions raisonnables. </w:t>
      </w:r>
    </w:p>
    <w:p w14:paraId="4CDE347B" w14:textId="39CCD206" w:rsidR="00B32629" w:rsidRPr="00911998" w:rsidRDefault="00817B0A" w:rsidP="00B32629">
      <w:pPr>
        <w:pStyle w:val="Paragrsimple"/>
      </w:pPr>
      <w:r w:rsidRPr="00911998">
        <w:t>Or</w:t>
      </w:r>
      <w:r w:rsidR="00B32629" w:rsidRPr="00911998">
        <w:t xml:space="preserve">, la question </w:t>
      </w:r>
      <w:r w:rsidR="003860A4" w:rsidRPr="00911998">
        <w:t>consiste à</w:t>
      </w:r>
      <w:r w:rsidR="00B32629" w:rsidRPr="00911998">
        <w:t xml:space="preserve"> savoir s’il existe d’autres moyens moins attentatoires pour atteindre l’objectif proposé par le PGQ de façon réelle et substantielle</w:t>
      </w:r>
      <w:r w:rsidR="00B32629" w:rsidRPr="00911998">
        <w:rPr>
          <w:rStyle w:val="Appelnotedebasdep"/>
        </w:rPr>
        <w:footnoteReference w:id="243"/>
      </w:r>
      <w:r w:rsidR="00B32629" w:rsidRPr="00911998">
        <w:t xml:space="preserve">. </w:t>
      </w:r>
      <w:r w:rsidRPr="00911998">
        <w:t>À ce chapitre, l</w:t>
      </w:r>
      <w:r w:rsidR="00B32629" w:rsidRPr="00911998">
        <w:t xml:space="preserve">a législation </w:t>
      </w:r>
      <w:r w:rsidRPr="00911998">
        <w:t xml:space="preserve">en vigueur </w:t>
      </w:r>
      <w:r w:rsidR="00B32629" w:rsidRPr="00911998">
        <w:t xml:space="preserve">dans </w:t>
      </w:r>
      <w:r w:rsidR="00855622" w:rsidRPr="00911998">
        <w:t>quatre</w:t>
      </w:r>
      <w:r w:rsidR="00B32629" w:rsidRPr="00911998">
        <w:t xml:space="preserve"> autres </w:t>
      </w:r>
      <w:r w:rsidR="00855622" w:rsidRPr="00911998">
        <w:t>ressort</w:t>
      </w:r>
      <w:r w:rsidR="00B32629" w:rsidRPr="00911998">
        <w:t>s canadiens</w:t>
      </w:r>
      <w:r w:rsidR="00040906" w:rsidRPr="00911998">
        <w:t>,</w:t>
      </w:r>
      <w:r w:rsidR="00B32629" w:rsidRPr="00911998">
        <w:t xml:space="preserve"> </w:t>
      </w:r>
      <w:r w:rsidR="00E71F96" w:rsidRPr="00911998">
        <w:t>lesquels</w:t>
      </w:r>
      <w:r w:rsidR="00B32629" w:rsidRPr="00911998">
        <w:t xml:space="preserve"> </w:t>
      </w:r>
      <w:r w:rsidR="003860A4" w:rsidRPr="00911998">
        <w:t>permettent la reconnaissance de plus de deux parents juridiques</w:t>
      </w:r>
      <w:r w:rsidR="00040906" w:rsidRPr="00911998">
        <w:t>,</w:t>
      </w:r>
      <w:r w:rsidR="00B32629" w:rsidRPr="00911998">
        <w:t xml:space="preserve"> </w:t>
      </w:r>
      <w:r w:rsidRPr="00911998">
        <w:t>fournit</w:t>
      </w:r>
      <w:r w:rsidR="00331BD4" w:rsidRPr="00911998">
        <w:t xml:space="preserve"> </w:t>
      </w:r>
      <w:r w:rsidR="00B32629" w:rsidRPr="00911998">
        <w:t>la démonstration</w:t>
      </w:r>
      <w:r w:rsidRPr="00911998">
        <w:t xml:space="preserve"> que de tels moyens existent</w:t>
      </w:r>
      <w:r w:rsidR="00B32629" w:rsidRPr="00911998">
        <w:t>.</w:t>
      </w:r>
    </w:p>
    <w:p w14:paraId="248DF10D" w14:textId="708D4E69" w:rsidR="00817B0A" w:rsidRPr="00911998" w:rsidRDefault="00AB53B5" w:rsidP="00817B0A">
      <w:pPr>
        <w:pStyle w:val="Paragrsimple"/>
      </w:pPr>
      <w:r w:rsidRPr="00911998">
        <w:t>D’abord, en</w:t>
      </w:r>
      <w:r w:rsidR="00817B0A" w:rsidRPr="00911998">
        <w:t xml:space="preserve"> Colombie</w:t>
      </w:r>
      <w:r w:rsidR="00817B0A" w:rsidRPr="00911998">
        <w:noBreakHyphen/>
        <w:t xml:space="preserve">Britannique, la </w:t>
      </w:r>
      <w:r w:rsidR="003860A4" w:rsidRPr="00911998">
        <w:t>reconnaissance légale de trois parents</w:t>
      </w:r>
      <w:r w:rsidR="00817B0A" w:rsidRPr="00911998">
        <w:t xml:space="preserve"> est admise </w:t>
      </w:r>
      <w:r w:rsidR="00A06605" w:rsidRPr="00911998">
        <w:t xml:space="preserve">en cas de procréation assistée et en présence d’une entente écrite préalable. Ainsi, l’article 30 du </w:t>
      </w:r>
      <w:r w:rsidR="00A06605" w:rsidRPr="00911998">
        <w:rPr>
          <w:i/>
          <w:iCs/>
        </w:rPr>
        <w:t xml:space="preserve">Family Law </w:t>
      </w:r>
      <w:proofErr w:type="spellStart"/>
      <w:r w:rsidR="00A06605" w:rsidRPr="00911998">
        <w:rPr>
          <w:i/>
          <w:iCs/>
        </w:rPr>
        <w:t>Act</w:t>
      </w:r>
      <w:proofErr w:type="spellEnd"/>
      <w:r w:rsidR="00A06605" w:rsidRPr="00911998">
        <w:rPr>
          <w:rStyle w:val="Appelnotedebasdep"/>
        </w:rPr>
        <w:footnoteReference w:id="244"/>
      </w:r>
      <w:r w:rsidR="00A06605" w:rsidRPr="00911998">
        <w:t xml:space="preserve"> prévoit :</w:t>
      </w:r>
    </w:p>
    <w:p w14:paraId="4CAF4658" w14:textId="29DC29F0" w:rsidR="00A06605" w:rsidRPr="00911998" w:rsidRDefault="00A06605" w:rsidP="00A06605">
      <w:pPr>
        <w:ind w:left="567" w:right="560"/>
        <w:jc w:val="both"/>
        <w:rPr>
          <w:rFonts w:cs="Arial"/>
          <w:i/>
          <w:iCs/>
          <w:sz w:val="22"/>
          <w:szCs w:val="22"/>
          <w:lang w:val="en-CA"/>
        </w:rPr>
      </w:pPr>
      <w:proofErr w:type="gramStart"/>
      <w:r w:rsidRPr="00911998">
        <w:rPr>
          <w:rStyle w:val="canliisection"/>
          <w:rFonts w:cs="Arial"/>
          <w:b/>
          <w:bCs/>
          <w:i/>
          <w:iCs/>
          <w:sz w:val="22"/>
          <w:szCs w:val="22"/>
          <w:lang w:val="en-CA"/>
        </w:rPr>
        <w:t>30</w:t>
      </w:r>
      <w:bookmarkStart w:id="67" w:name="d2e2822"/>
      <w:bookmarkEnd w:id="67"/>
      <w:r w:rsidRPr="00911998">
        <w:rPr>
          <w:rStyle w:val="secnumholder"/>
          <w:rFonts w:cs="Arial"/>
          <w:i/>
          <w:iCs/>
          <w:sz w:val="22"/>
          <w:szCs w:val="22"/>
          <w:lang w:val="en-CA"/>
        </w:rPr>
        <w:t>  (</w:t>
      </w:r>
      <w:proofErr w:type="gramEnd"/>
      <w:r w:rsidRPr="00911998">
        <w:rPr>
          <w:rStyle w:val="secnumholder"/>
          <w:rFonts w:cs="Arial"/>
          <w:i/>
          <w:iCs/>
          <w:sz w:val="22"/>
          <w:szCs w:val="22"/>
          <w:lang w:val="en-CA"/>
        </w:rPr>
        <w:t>1) </w:t>
      </w:r>
      <w:r w:rsidRPr="00911998">
        <w:rPr>
          <w:rFonts w:cs="Arial"/>
          <w:i/>
          <w:iCs/>
          <w:sz w:val="22"/>
          <w:szCs w:val="22"/>
          <w:lang w:val="en-CA"/>
        </w:rPr>
        <w:t>This section applies if there is a written agreement that</w:t>
      </w:r>
    </w:p>
    <w:p w14:paraId="7E83A6E1" w14:textId="77777777" w:rsidR="00A06605" w:rsidRPr="00911998" w:rsidRDefault="00A06605" w:rsidP="00A06605">
      <w:pPr>
        <w:ind w:left="567" w:right="560"/>
        <w:jc w:val="both"/>
        <w:rPr>
          <w:rFonts w:cs="Arial"/>
          <w:i/>
          <w:iCs/>
          <w:sz w:val="22"/>
          <w:szCs w:val="22"/>
          <w:lang w:val="en-CA" w:eastAsia="fr-CA"/>
        </w:rPr>
      </w:pPr>
    </w:p>
    <w:p w14:paraId="7B2A873D" w14:textId="7E41979A" w:rsidR="00A06605" w:rsidRPr="00911998" w:rsidRDefault="00A06605" w:rsidP="00A06605">
      <w:pPr>
        <w:ind w:left="567" w:right="560" w:firstLine="164"/>
        <w:jc w:val="both"/>
        <w:rPr>
          <w:rFonts w:cs="Arial"/>
          <w:i/>
          <w:iCs/>
          <w:sz w:val="22"/>
          <w:szCs w:val="22"/>
          <w:lang w:val="en-CA"/>
        </w:rPr>
      </w:pPr>
      <w:bookmarkStart w:id="68" w:name="d2e2831"/>
      <w:bookmarkEnd w:id="68"/>
      <w:r w:rsidRPr="00911998">
        <w:rPr>
          <w:rStyle w:val="holder"/>
          <w:rFonts w:cs="Arial"/>
          <w:i/>
          <w:iCs/>
          <w:sz w:val="22"/>
          <w:szCs w:val="22"/>
          <w:lang w:val="en-CA"/>
        </w:rPr>
        <w:t>(a) </w:t>
      </w:r>
      <w:r w:rsidRPr="00911998">
        <w:rPr>
          <w:rFonts w:cs="Arial"/>
          <w:i/>
          <w:iCs/>
          <w:sz w:val="22"/>
          <w:szCs w:val="22"/>
          <w:lang w:val="en-CA"/>
        </w:rPr>
        <w:t>is made before a child is conceived through assisted reproduction,</w:t>
      </w:r>
    </w:p>
    <w:p w14:paraId="4BBA5AD0" w14:textId="77777777" w:rsidR="00A06605" w:rsidRPr="00911998" w:rsidRDefault="00A06605" w:rsidP="00A06605">
      <w:pPr>
        <w:ind w:left="567" w:right="560"/>
        <w:jc w:val="both"/>
        <w:rPr>
          <w:rFonts w:cs="Arial"/>
          <w:i/>
          <w:iCs/>
          <w:sz w:val="22"/>
          <w:szCs w:val="22"/>
          <w:lang w:val="en-CA"/>
        </w:rPr>
      </w:pPr>
    </w:p>
    <w:p w14:paraId="2993373B" w14:textId="3561F0B9" w:rsidR="00A06605" w:rsidRPr="00911998" w:rsidRDefault="00A06605" w:rsidP="00A06605">
      <w:pPr>
        <w:ind w:left="567" w:right="560" w:firstLine="164"/>
        <w:jc w:val="both"/>
        <w:rPr>
          <w:rFonts w:cs="Arial"/>
          <w:i/>
          <w:iCs/>
          <w:sz w:val="22"/>
          <w:szCs w:val="22"/>
          <w:lang w:val="en-CA"/>
        </w:rPr>
      </w:pPr>
      <w:bookmarkStart w:id="69" w:name="d2e2840"/>
      <w:bookmarkEnd w:id="69"/>
      <w:r w:rsidRPr="00911998">
        <w:rPr>
          <w:rStyle w:val="holder"/>
          <w:rFonts w:cs="Arial"/>
          <w:i/>
          <w:iCs/>
          <w:sz w:val="22"/>
          <w:szCs w:val="22"/>
          <w:lang w:val="en-CA"/>
        </w:rPr>
        <w:t>(b) </w:t>
      </w:r>
      <w:r w:rsidRPr="00911998">
        <w:rPr>
          <w:rFonts w:cs="Arial"/>
          <w:i/>
          <w:iCs/>
          <w:sz w:val="22"/>
          <w:szCs w:val="22"/>
          <w:lang w:val="en-CA"/>
        </w:rPr>
        <w:t>is made between</w:t>
      </w:r>
    </w:p>
    <w:p w14:paraId="3110EDCF" w14:textId="77777777" w:rsidR="00A06605" w:rsidRPr="00911998" w:rsidRDefault="00A06605" w:rsidP="00A06605">
      <w:pPr>
        <w:ind w:left="567" w:right="560"/>
        <w:jc w:val="both"/>
        <w:rPr>
          <w:rFonts w:cs="Arial"/>
          <w:i/>
          <w:iCs/>
          <w:sz w:val="22"/>
          <w:szCs w:val="22"/>
          <w:lang w:val="en-CA"/>
        </w:rPr>
      </w:pPr>
    </w:p>
    <w:p w14:paraId="0FBAA6E2" w14:textId="442A100F" w:rsidR="00A06605" w:rsidRPr="00911998" w:rsidRDefault="00A06605" w:rsidP="00A06605">
      <w:pPr>
        <w:ind w:left="731" w:right="560" w:firstLine="164"/>
        <w:jc w:val="both"/>
        <w:rPr>
          <w:rFonts w:cs="Arial"/>
          <w:i/>
          <w:iCs/>
          <w:sz w:val="22"/>
          <w:szCs w:val="22"/>
          <w:lang w:val="en-CA"/>
        </w:rPr>
      </w:pPr>
      <w:bookmarkStart w:id="70" w:name="d2e2850"/>
      <w:bookmarkEnd w:id="70"/>
      <w:r w:rsidRPr="00911998">
        <w:rPr>
          <w:rStyle w:val="holder"/>
          <w:rFonts w:cs="Arial"/>
          <w:i/>
          <w:iCs/>
          <w:sz w:val="22"/>
          <w:szCs w:val="22"/>
          <w:lang w:val="en-CA"/>
        </w:rPr>
        <w:t>(</w:t>
      </w:r>
      <w:proofErr w:type="spellStart"/>
      <w:r w:rsidRPr="00911998">
        <w:rPr>
          <w:rStyle w:val="holder"/>
          <w:rFonts w:cs="Arial"/>
          <w:i/>
          <w:iCs/>
          <w:sz w:val="22"/>
          <w:szCs w:val="22"/>
          <w:lang w:val="en-CA"/>
        </w:rPr>
        <w:t>i</w:t>
      </w:r>
      <w:proofErr w:type="spellEnd"/>
      <w:r w:rsidRPr="00911998">
        <w:rPr>
          <w:rStyle w:val="holder"/>
          <w:rFonts w:cs="Arial"/>
          <w:i/>
          <w:iCs/>
          <w:sz w:val="22"/>
          <w:szCs w:val="22"/>
          <w:lang w:val="en-CA"/>
        </w:rPr>
        <w:t>) </w:t>
      </w:r>
      <w:r w:rsidRPr="00911998">
        <w:rPr>
          <w:rFonts w:cs="Arial"/>
          <w:i/>
          <w:iCs/>
          <w:sz w:val="22"/>
          <w:szCs w:val="22"/>
          <w:lang w:val="en-CA"/>
        </w:rPr>
        <w:t>an intended parent or the intended parents</w:t>
      </w:r>
      <w:r w:rsidRPr="00911998">
        <w:rPr>
          <w:rStyle w:val="Appelnotedebasdep"/>
          <w:rFonts w:cs="Arial"/>
          <w:i/>
          <w:iCs/>
          <w:sz w:val="22"/>
          <w:szCs w:val="22"/>
          <w:lang w:val="en-CA"/>
        </w:rPr>
        <w:footnoteReference w:id="245"/>
      </w:r>
      <w:r w:rsidRPr="00911998">
        <w:rPr>
          <w:rFonts w:cs="Arial"/>
          <w:i/>
          <w:iCs/>
          <w:sz w:val="22"/>
          <w:szCs w:val="22"/>
          <w:lang w:val="en-CA"/>
        </w:rPr>
        <w:t xml:space="preserve"> and a potential birth mother who agrees to be a parent together with the intended parent or intended parents, or</w:t>
      </w:r>
    </w:p>
    <w:p w14:paraId="53A95CD5" w14:textId="77777777" w:rsidR="00A06605" w:rsidRPr="00911998" w:rsidRDefault="00A06605" w:rsidP="00A06605">
      <w:pPr>
        <w:ind w:left="731" w:right="560" w:firstLine="164"/>
        <w:jc w:val="both"/>
        <w:rPr>
          <w:rFonts w:cs="Arial"/>
          <w:i/>
          <w:iCs/>
          <w:sz w:val="22"/>
          <w:szCs w:val="22"/>
          <w:lang w:val="en-CA"/>
        </w:rPr>
      </w:pPr>
    </w:p>
    <w:p w14:paraId="06A0D46B" w14:textId="44690F6A" w:rsidR="00A06605" w:rsidRPr="00911998" w:rsidRDefault="00A06605" w:rsidP="00A06605">
      <w:pPr>
        <w:ind w:left="731" w:right="560" w:firstLine="164"/>
        <w:jc w:val="both"/>
        <w:rPr>
          <w:rFonts w:cs="Arial"/>
          <w:i/>
          <w:iCs/>
          <w:sz w:val="22"/>
          <w:szCs w:val="22"/>
          <w:lang w:val="en-CA"/>
        </w:rPr>
      </w:pPr>
      <w:bookmarkStart w:id="73" w:name="d2e2859"/>
      <w:bookmarkEnd w:id="73"/>
      <w:r w:rsidRPr="00911998">
        <w:rPr>
          <w:rStyle w:val="holder"/>
          <w:rFonts w:cs="Arial"/>
          <w:i/>
          <w:iCs/>
          <w:sz w:val="22"/>
          <w:szCs w:val="22"/>
          <w:lang w:val="en-CA"/>
        </w:rPr>
        <w:t>(ii) </w:t>
      </w:r>
      <w:r w:rsidRPr="00911998">
        <w:rPr>
          <w:rFonts w:cs="Arial"/>
          <w:i/>
          <w:iCs/>
          <w:sz w:val="22"/>
          <w:szCs w:val="22"/>
          <w:lang w:val="en-CA"/>
        </w:rPr>
        <w:t>the potential birth mother, a person who is married to or in a marriage-like relationship with the potential birth mother, and a donor who agrees to be a parent together with the potential birth mother and a person married to or in a marriage-like relationship with the potential birth mother, and</w:t>
      </w:r>
    </w:p>
    <w:p w14:paraId="7DB2750C" w14:textId="77777777" w:rsidR="00A06605" w:rsidRPr="00911998" w:rsidRDefault="00A06605" w:rsidP="00A06605">
      <w:pPr>
        <w:ind w:left="731" w:right="560" w:firstLine="164"/>
        <w:jc w:val="both"/>
        <w:rPr>
          <w:rFonts w:cs="Arial"/>
          <w:i/>
          <w:iCs/>
          <w:sz w:val="22"/>
          <w:szCs w:val="22"/>
          <w:lang w:val="en-CA"/>
        </w:rPr>
      </w:pPr>
    </w:p>
    <w:p w14:paraId="6301B5B5" w14:textId="09F1BA4E" w:rsidR="00A06605" w:rsidRPr="00911998" w:rsidRDefault="00A06605" w:rsidP="00A06605">
      <w:pPr>
        <w:ind w:left="731" w:right="560" w:firstLine="164"/>
        <w:jc w:val="both"/>
        <w:rPr>
          <w:rFonts w:cs="Arial"/>
          <w:i/>
          <w:iCs/>
          <w:sz w:val="22"/>
          <w:szCs w:val="22"/>
          <w:lang w:val="en-CA"/>
        </w:rPr>
      </w:pPr>
      <w:bookmarkStart w:id="74" w:name="d2e2868"/>
      <w:bookmarkEnd w:id="74"/>
      <w:r w:rsidRPr="00911998">
        <w:rPr>
          <w:rStyle w:val="holder"/>
          <w:rFonts w:cs="Arial"/>
          <w:i/>
          <w:iCs/>
          <w:sz w:val="22"/>
          <w:szCs w:val="22"/>
          <w:lang w:val="en-CA"/>
        </w:rPr>
        <w:t>(c) </w:t>
      </w:r>
      <w:r w:rsidRPr="00911998">
        <w:rPr>
          <w:rFonts w:cs="Arial"/>
          <w:i/>
          <w:iCs/>
          <w:sz w:val="22"/>
          <w:szCs w:val="22"/>
          <w:lang w:val="en-CA"/>
        </w:rPr>
        <w:t>provides that</w:t>
      </w:r>
    </w:p>
    <w:p w14:paraId="1F6C207E" w14:textId="77777777" w:rsidR="00A06605" w:rsidRPr="00911998" w:rsidRDefault="00A06605" w:rsidP="00A06605">
      <w:pPr>
        <w:ind w:left="731" w:right="560" w:firstLine="164"/>
        <w:jc w:val="both"/>
        <w:rPr>
          <w:rFonts w:cs="Arial"/>
          <w:i/>
          <w:iCs/>
          <w:sz w:val="22"/>
          <w:szCs w:val="22"/>
          <w:lang w:val="en-CA"/>
        </w:rPr>
      </w:pPr>
    </w:p>
    <w:p w14:paraId="53A4BA5E" w14:textId="59C76E17" w:rsidR="00A06605" w:rsidRPr="00911998" w:rsidRDefault="00A06605" w:rsidP="00A06605">
      <w:pPr>
        <w:ind w:left="731" w:right="560" w:firstLine="164"/>
        <w:jc w:val="both"/>
        <w:rPr>
          <w:rFonts w:cs="Arial"/>
          <w:i/>
          <w:iCs/>
          <w:sz w:val="22"/>
          <w:szCs w:val="22"/>
          <w:lang w:val="en-CA"/>
        </w:rPr>
      </w:pPr>
      <w:bookmarkStart w:id="75" w:name="d2e2877"/>
      <w:bookmarkEnd w:id="75"/>
      <w:r w:rsidRPr="00911998">
        <w:rPr>
          <w:rStyle w:val="holder"/>
          <w:rFonts w:cs="Arial"/>
          <w:i/>
          <w:iCs/>
          <w:sz w:val="22"/>
          <w:szCs w:val="22"/>
          <w:lang w:val="en-CA"/>
        </w:rPr>
        <w:t>(</w:t>
      </w:r>
      <w:proofErr w:type="spellStart"/>
      <w:r w:rsidRPr="00911998">
        <w:rPr>
          <w:rStyle w:val="holder"/>
          <w:rFonts w:cs="Arial"/>
          <w:i/>
          <w:iCs/>
          <w:sz w:val="22"/>
          <w:szCs w:val="22"/>
          <w:lang w:val="en-CA"/>
        </w:rPr>
        <w:t>i</w:t>
      </w:r>
      <w:proofErr w:type="spellEnd"/>
      <w:r w:rsidRPr="00911998">
        <w:rPr>
          <w:rStyle w:val="holder"/>
          <w:rFonts w:cs="Arial"/>
          <w:i/>
          <w:iCs/>
          <w:sz w:val="22"/>
          <w:szCs w:val="22"/>
          <w:lang w:val="en-CA"/>
        </w:rPr>
        <w:t>) </w:t>
      </w:r>
      <w:r w:rsidRPr="00911998">
        <w:rPr>
          <w:rFonts w:cs="Arial"/>
          <w:i/>
          <w:iCs/>
          <w:sz w:val="22"/>
          <w:szCs w:val="22"/>
          <w:lang w:val="en-CA"/>
        </w:rPr>
        <w:t>the potential birth mother will be the birth mother of a child conceived through assisted reproduction, and</w:t>
      </w:r>
    </w:p>
    <w:p w14:paraId="3E6758C6" w14:textId="77777777" w:rsidR="00A06605" w:rsidRPr="00911998" w:rsidRDefault="00A06605" w:rsidP="00A06605">
      <w:pPr>
        <w:ind w:left="731" w:right="560" w:firstLine="164"/>
        <w:jc w:val="both"/>
        <w:rPr>
          <w:rFonts w:cs="Arial"/>
          <w:i/>
          <w:iCs/>
          <w:sz w:val="22"/>
          <w:szCs w:val="22"/>
          <w:lang w:val="en-CA"/>
        </w:rPr>
      </w:pPr>
    </w:p>
    <w:p w14:paraId="718E8B47" w14:textId="59E22896" w:rsidR="00A06605" w:rsidRPr="00911998" w:rsidRDefault="00A06605" w:rsidP="00A06605">
      <w:pPr>
        <w:ind w:left="731" w:right="560" w:firstLine="164"/>
        <w:jc w:val="both"/>
        <w:rPr>
          <w:rFonts w:cs="Arial"/>
          <w:i/>
          <w:iCs/>
          <w:sz w:val="22"/>
          <w:szCs w:val="22"/>
          <w:lang w:val="en-CA"/>
        </w:rPr>
      </w:pPr>
      <w:bookmarkStart w:id="76" w:name="d2e2886"/>
      <w:bookmarkEnd w:id="76"/>
      <w:r w:rsidRPr="00911998">
        <w:rPr>
          <w:rStyle w:val="holder"/>
          <w:rFonts w:cs="Arial"/>
          <w:i/>
          <w:iCs/>
          <w:sz w:val="22"/>
          <w:szCs w:val="22"/>
          <w:lang w:val="en-CA"/>
        </w:rPr>
        <w:t>(ii) </w:t>
      </w:r>
      <w:r w:rsidRPr="00911998">
        <w:rPr>
          <w:rFonts w:cs="Arial"/>
          <w:i/>
          <w:iCs/>
          <w:sz w:val="22"/>
          <w:szCs w:val="22"/>
          <w:lang w:val="en-CA"/>
        </w:rPr>
        <w:t>on the child</w:t>
      </w:r>
      <w:r w:rsidR="00971129" w:rsidRPr="00911998">
        <w:rPr>
          <w:rFonts w:cs="Arial"/>
          <w:i/>
          <w:iCs/>
          <w:sz w:val="22"/>
          <w:szCs w:val="22"/>
          <w:lang w:val="en-CA"/>
        </w:rPr>
        <w:t>’</w:t>
      </w:r>
      <w:r w:rsidRPr="00911998">
        <w:rPr>
          <w:rFonts w:cs="Arial"/>
          <w:i/>
          <w:iCs/>
          <w:sz w:val="22"/>
          <w:szCs w:val="22"/>
          <w:lang w:val="en-CA"/>
        </w:rPr>
        <w:t>s birth, the parties to the agreement will be the parents of the child.</w:t>
      </w:r>
    </w:p>
    <w:p w14:paraId="39DBDE3E" w14:textId="77777777" w:rsidR="00A06605" w:rsidRPr="00911998" w:rsidRDefault="00A06605" w:rsidP="00A06605">
      <w:pPr>
        <w:ind w:left="731" w:right="560" w:firstLine="164"/>
        <w:jc w:val="both"/>
        <w:rPr>
          <w:rFonts w:cs="Arial"/>
          <w:i/>
          <w:iCs/>
          <w:sz w:val="22"/>
          <w:szCs w:val="22"/>
          <w:lang w:val="en-CA"/>
        </w:rPr>
      </w:pPr>
    </w:p>
    <w:p w14:paraId="0482088D" w14:textId="16B183DD" w:rsidR="00A06605" w:rsidRPr="00911998" w:rsidRDefault="00A06605" w:rsidP="00A06605">
      <w:pPr>
        <w:ind w:left="567" w:right="560"/>
        <w:jc w:val="both"/>
        <w:rPr>
          <w:rFonts w:cs="Arial"/>
          <w:i/>
          <w:iCs/>
          <w:sz w:val="22"/>
          <w:szCs w:val="22"/>
          <w:lang w:val="en-CA"/>
        </w:rPr>
      </w:pPr>
      <w:bookmarkStart w:id="77" w:name="d2e2895"/>
      <w:bookmarkEnd w:id="77"/>
      <w:r w:rsidRPr="00911998">
        <w:rPr>
          <w:rStyle w:val="holder"/>
          <w:rFonts w:cs="Arial"/>
          <w:i/>
          <w:iCs/>
          <w:sz w:val="22"/>
          <w:szCs w:val="22"/>
          <w:lang w:val="en-CA"/>
        </w:rPr>
        <w:t>(2) </w:t>
      </w:r>
      <w:r w:rsidRPr="00911998">
        <w:rPr>
          <w:rFonts w:cs="Arial"/>
          <w:i/>
          <w:iCs/>
          <w:sz w:val="22"/>
          <w:szCs w:val="22"/>
          <w:lang w:val="en-CA"/>
        </w:rPr>
        <w:t xml:space="preserve">On the birth of a child born </w:t>
      </w:r>
      <w:proofErr w:type="gramStart"/>
      <w:r w:rsidRPr="00911998">
        <w:rPr>
          <w:rFonts w:cs="Arial"/>
          <w:i/>
          <w:iCs/>
          <w:sz w:val="22"/>
          <w:szCs w:val="22"/>
          <w:lang w:val="en-CA"/>
        </w:rPr>
        <w:t>as a result of</w:t>
      </w:r>
      <w:proofErr w:type="gramEnd"/>
      <w:r w:rsidRPr="00911998">
        <w:rPr>
          <w:rFonts w:cs="Arial"/>
          <w:i/>
          <w:iCs/>
          <w:sz w:val="22"/>
          <w:szCs w:val="22"/>
          <w:lang w:val="en-CA"/>
        </w:rPr>
        <w:t xml:space="preserve"> assisted reproduction in the circumstances described in subsection (1), the child</w:t>
      </w:r>
      <w:r w:rsidR="00971129" w:rsidRPr="00911998">
        <w:rPr>
          <w:rFonts w:cs="Arial"/>
          <w:i/>
          <w:iCs/>
          <w:sz w:val="22"/>
          <w:szCs w:val="22"/>
          <w:lang w:val="en-CA"/>
        </w:rPr>
        <w:t>’</w:t>
      </w:r>
      <w:r w:rsidRPr="00911998">
        <w:rPr>
          <w:rFonts w:cs="Arial"/>
          <w:i/>
          <w:iCs/>
          <w:sz w:val="22"/>
          <w:szCs w:val="22"/>
          <w:lang w:val="en-CA"/>
        </w:rPr>
        <w:t>s parents are the parties to the agreement.</w:t>
      </w:r>
    </w:p>
    <w:p w14:paraId="1D80E969" w14:textId="77777777" w:rsidR="00A06605" w:rsidRPr="00911998" w:rsidRDefault="00A06605" w:rsidP="00A06605">
      <w:pPr>
        <w:ind w:left="567" w:right="560"/>
        <w:jc w:val="both"/>
        <w:rPr>
          <w:rFonts w:cs="Arial"/>
          <w:i/>
          <w:iCs/>
          <w:sz w:val="22"/>
          <w:szCs w:val="22"/>
          <w:lang w:val="en-CA"/>
        </w:rPr>
      </w:pPr>
    </w:p>
    <w:p w14:paraId="0B8EB01D" w14:textId="26445326" w:rsidR="00A06605" w:rsidRPr="00911998" w:rsidRDefault="00A06605" w:rsidP="00A06605">
      <w:pPr>
        <w:ind w:left="567" w:right="560"/>
        <w:jc w:val="both"/>
        <w:rPr>
          <w:rFonts w:cs="Arial"/>
          <w:sz w:val="22"/>
          <w:szCs w:val="22"/>
          <w:lang w:val="en-CA"/>
        </w:rPr>
      </w:pPr>
      <w:bookmarkStart w:id="78" w:name="d2e2905"/>
      <w:bookmarkEnd w:id="78"/>
      <w:r w:rsidRPr="00911998">
        <w:rPr>
          <w:rStyle w:val="holder"/>
          <w:rFonts w:cs="Arial"/>
          <w:i/>
          <w:iCs/>
          <w:sz w:val="22"/>
          <w:szCs w:val="22"/>
          <w:lang w:val="en-CA"/>
        </w:rPr>
        <w:t>(3) </w:t>
      </w:r>
      <w:r w:rsidRPr="00911998">
        <w:rPr>
          <w:rFonts w:cs="Arial"/>
          <w:i/>
          <w:iCs/>
          <w:sz w:val="22"/>
          <w:szCs w:val="22"/>
          <w:lang w:val="en-CA"/>
        </w:rPr>
        <w:t>If an agreement described in subsection (1) is made but, before a child is conceived, a party withdraws from the agreement or dies, the agreement is deemed to be revoked.</w:t>
      </w:r>
    </w:p>
    <w:p w14:paraId="7CDD7708" w14:textId="066A06D3" w:rsidR="00AB53B5" w:rsidRPr="00911998" w:rsidRDefault="00AB53B5" w:rsidP="00AB53B5">
      <w:pPr>
        <w:pStyle w:val="Paragrsimple"/>
        <w:rPr>
          <w:rFonts w:cs="Arial"/>
          <w:sz w:val="22"/>
          <w:szCs w:val="22"/>
        </w:rPr>
      </w:pPr>
      <w:r w:rsidRPr="00911998">
        <w:t xml:space="preserve">Ensuite, en Ontario, la </w:t>
      </w:r>
      <w:r w:rsidR="003860A4" w:rsidRPr="00911998">
        <w:t>reconnaissance de</w:t>
      </w:r>
      <w:r w:rsidR="00203E97" w:rsidRPr="00911998">
        <w:t xml:space="preserve"> quatre parents </w:t>
      </w:r>
      <w:r w:rsidRPr="00911998">
        <w:t xml:space="preserve">est admise tant en cas de procréation assistée qu’en cas de </w:t>
      </w:r>
      <w:r w:rsidR="003860A4" w:rsidRPr="00911998">
        <w:t>concep</w:t>
      </w:r>
      <w:r w:rsidRPr="00911998">
        <w:t>tion par relation sexuelle, et ce</w:t>
      </w:r>
      <w:r w:rsidR="00EB230A" w:rsidRPr="00911998">
        <w:t>,</w:t>
      </w:r>
      <w:r w:rsidRPr="00911998">
        <w:t xml:space="preserve"> sous réserve de certaines conditions</w:t>
      </w:r>
      <w:r w:rsidR="00EB230A" w:rsidRPr="00911998">
        <w:t>,</w:t>
      </w:r>
      <w:r w:rsidRPr="00911998">
        <w:t xml:space="preserve"> </w:t>
      </w:r>
      <w:r w:rsidR="00EB230A" w:rsidRPr="00911998">
        <w:t xml:space="preserve">y compris l’existence </w:t>
      </w:r>
      <w:r w:rsidR="00FE6CC3" w:rsidRPr="00911998">
        <w:t>d’une</w:t>
      </w:r>
      <w:r w:rsidRPr="00911998">
        <w:t xml:space="preserve"> convention de filiation écrite antérieure à la conception de l’enfant. À ce titre, l’article 9 de la </w:t>
      </w:r>
      <w:r w:rsidRPr="00911998">
        <w:rPr>
          <w:i/>
          <w:iCs/>
        </w:rPr>
        <w:t>Loi portant réforme du droit de l’enfance</w:t>
      </w:r>
      <w:r w:rsidR="00203E97" w:rsidRPr="00911998">
        <w:rPr>
          <w:rStyle w:val="Appelnotedebasdep"/>
        </w:rPr>
        <w:footnoteReference w:id="246"/>
      </w:r>
      <w:r w:rsidRPr="00911998">
        <w:rPr>
          <w:i/>
          <w:iCs/>
        </w:rPr>
        <w:t xml:space="preserve"> </w:t>
      </w:r>
      <w:r w:rsidRPr="00911998">
        <w:t>prévoit :</w:t>
      </w:r>
    </w:p>
    <w:tbl>
      <w:tblPr>
        <w:tblStyle w:val="Grilledutableau"/>
        <w:tblW w:w="0" w:type="auto"/>
        <w:tblInd w:w="279" w:type="dxa"/>
        <w:tblLook w:val="04A0" w:firstRow="1" w:lastRow="0" w:firstColumn="1" w:lastColumn="0" w:noHBand="0" w:noVBand="1"/>
      </w:tblPr>
      <w:tblGrid>
        <w:gridCol w:w="4394"/>
        <w:gridCol w:w="4536"/>
      </w:tblGrid>
      <w:tr w:rsidR="000E19AB" w:rsidRPr="00C62C88" w14:paraId="1A92B501" w14:textId="77777777" w:rsidTr="00366B6C">
        <w:tc>
          <w:tcPr>
            <w:tcW w:w="4394" w:type="dxa"/>
          </w:tcPr>
          <w:p w14:paraId="465BC936" w14:textId="77777777" w:rsidR="002F28C4" w:rsidRPr="00911998" w:rsidRDefault="002F28C4" w:rsidP="002F28C4">
            <w:pPr>
              <w:pStyle w:val="Paragrsimple"/>
              <w:numPr>
                <w:ilvl w:val="0"/>
                <w:numId w:val="0"/>
              </w:numPr>
              <w:rPr>
                <w:rFonts w:cs="Arial"/>
                <w:sz w:val="22"/>
                <w:szCs w:val="22"/>
                <w:lang w:eastAsia="fr-CA"/>
              </w:rPr>
            </w:pPr>
            <w:r w:rsidRPr="00911998">
              <w:rPr>
                <w:rStyle w:val="lev"/>
                <w:rFonts w:cs="Arial"/>
                <w:sz w:val="22"/>
                <w:szCs w:val="22"/>
              </w:rPr>
              <w:t>9 </w:t>
            </w:r>
            <w:r w:rsidRPr="00911998">
              <w:rPr>
                <w:rStyle w:val="canliisectionwithsubsection"/>
                <w:rFonts w:cs="Arial"/>
                <w:sz w:val="22"/>
                <w:szCs w:val="22"/>
              </w:rPr>
              <w:t>(1)</w:t>
            </w:r>
            <w:r w:rsidRPr="00911998">
              <w:rPr>
                <w:rFonts w:cs="Arial"/>
                <w:sz w:val="22"/>
                <w:szCs w:val="22"/>
              </w:rPr>
              <w:t xml:space="preserve"> La définition qui suit s’applique au </w:t>
            </w:r>
            <w:r w:rsidRPr="00911998">
              <w:rPr>
                <w:rFonts w:cs="Arial"/>
                <w:sz w:val="22"/>
                <w:szCs w:val="22"/>
                <w:lang w:eastAsia="fr-CA"/>
              </w:rPr>
              <w:t>présent</w:t>
            </w:r>
            <w:r w:rsidRPr="00911998">
              <w:rPr>
                <w:rFonts w:cs="Arial"/>
                <w:sz w:val="22"/>
                <w:szCs w:val="22"/>
              </w:rPr>
              <w:t xml:space="preserve"> article.</w:t>
            </w:r>
          </w:p>
          <w:p w14:paraId="4A42FD33" w14:textId="255F05C4" w:rsidR="002F28C4" w:rsidRPr="00911998" w:rsidRDefault="002F28C4" w:rsidP="002F28C4">
            <w:pPr>
              <w:pStyle w:val="Paragrsimple"/>
              <w:numPr>
                <w:ilvl w:val="0"/>
                <w:numId w:val="0"/>
              </w:numPr>
              <w:rPr>
                <w:rFonts w:cs="Arial"/>
                <w:sz w:val="22"/>
                <w:szCs w:val="22"/>
              </w:rPr>
            </w:pPr>
            <w:proofErr w:type="gramStart"/>
            <w:r w:rsidRPr="00911998">
              <w:rPr>
                <w:rFonts w:cs="Arial"/>
                <w:sz w:val="22"/>
                <w:szCs w:val="22"/>
              </w:rPr>
              <w:t>«convention</w:t>
            </w:r>
            <w:proofErr w:type="gramEnd"/>
            <w:r w:rsidRPr="00911998">
              <w:rPr>
                <w:rFonts w:cs="Arial"/>
                <w:sz w:val="22"/>
                <w:szCs w:val="22"/>
              </w:rPr>
              <w:t xml:space="preserve"> de filiation antérieure à la </w:t>
            </w:r>
            <w:r w:rsidRPr="00911998">
              <w:rPr>
                <w:rFonts w:cs="Arial"/>
                <w:sz w:val="22"/>
                <w:szCs w:val="22"/>
                <w:lang w:eastAsia="fr-CA"/>
              </w:rPr>
              <w:t>conception</w:t>
            </w:r>
            <w:r w:rsidRPr="00911998">
              <w:rPr>
                <w:rFonts w:cs="Arial"/>
                <w:sz w:val="22"/>
                <w:szCs w:val="22"/>
              </w:rPr>
              <w:t>» Convention écrite entre deux parties ou plus selon laquelle elles conviennent d’être, ensemble, les parents d’un enfant qui n’est pas encore conçu. </w:t>
            </w:r>
            <w:r w:rsidR="00203E97" w:rsidRPr="00911998">
              <w:rPr>
                <w:rFonts w:cs="Arial"/>
                <w:sz w:val="22"/>
                <w:szCs w:val="22"/>
              </w:rPr>
              <w:t xml:space="preserve"> </w:t>
            </w:r>
          </w:p>
          <w:p w14:paraId="0368A9E7" w14:textId="77777777" w:rsidR="002F28C4" w:rsidRPr="00911998" w:rsidRDefault="002F28C4" w:rsidP="002F28C4">
            <w:pPr>
              <w:pStyle w:val="Paragrsimple"/>
              <w:numPr>
                <w:ilvl w:val="0"/>
                <w:numId w:val="0"/>
              </w:numPr>
              <w:rPr>
                <w:rFonts w:cs="Arial"/>
                <w:sz w:val="22"/>
                <w:szCs w:val="22"/>
              </w:rPr>
            </w:pPr>
            <w:bookmarkStart w:id="79" w:name="art9par2"/>
            <w:bookmarkEnd w:id="79"/>
            <w:r w:rsidRPr="00911998">
              <w:rPr>
                <w:rStyle w:val="canliisubsection"/>
                <w:rFonts w:cs="Arial"/>
                <w:sz w:val="22"/>
                <w:szCs w:val="22"/>
              </w:rPr>
              <w:t>(2)</w:t>
            </w:r>
            <w:r w:rsidRPr="00911998">
              <w:rPr>
                <w:rFonts w:cs="Arial"/>
                <w:sz w:val="22"/>
                <w:szCs w:val="22"/>
              </w:rPr>
              <w:t xml:space="preserve"> Le présent article ne s’applique à </w:t>
            </w:r>
            <w:r w:rsidRPr="00911998">
              <w:rPr>
                <w:rFonts w:cs="Arial"/>
                <w:sz w:val="22"/>
                <w:szCs w:val="22"/>
                <w:lang w:eastAsia="fr-CA"/>
              </w:rPr>
              <w:t>l’égard</w:t>
            </w:r>
            <w:r w:rsidRPr="00911998">
              <w:rPr>
                <w:rFonts w:cs="Arial"/>
                <w:sz w:val="22"/>
                <w:szCs w:val="22"/>
              </w:rPr>
              <w:t xml:space="preserve"> d’une convention de filiation antérieure à la conception que si les conditions suivantes sont réunies :</w:t>
            </w:r>
          </w:p>
          <w:p w14:paraId="614AA622" w14:textId="77777777" w:rsidR="002F28C4" w:rsidRPr="00911998" w:rsidRDefault="002F28C4" w:rsidP="002F28C4">
            <w:pPr>
              <w:pStyle w:val="Paragrsimple"/>
              <w:numPr>
                <w:ilvl w:val="0"/>
                <w:numId w:val="0"/>
              </w:numPr>
              <w:rPr>
                <w:rFonts w:cs="Arial"/>
                <w:sz w:val="22"/>
                <w:szCs w:val="22"/>
              </w:rPr>
            </w:pPr>
            <w:r w:rsidRPr="00911998">
              <w:rPr>
                <w:rFonts w:cs="Arial"/>
                <w:sz w:val="22"/>
                <w:szCs w:val="22"/>
              </w:rPr>
              <w:t>a)  il n’y a pas plus de quatre parties à la convention;</w:t>
            </w:r>
          </w:p>
          <w:p w14:paraId="07D44E6E" w14:textId="77777777" w:rsidR="002F28C4" w:rsidRPr="00911998" w:rsidRDefault="002F28C4" w:rsidP="002F28C4">
            <w:pPr>
              <w:pStyle w:val="Paragrsimple"/>
              <w:numPr>
                <w:ilvl w:val="0"/>
                <w:numId w:val="0"/>
              </w:numPr>
              <w:rPr>
                <w:rFonts w:cs="Arial"/>
                <w:sz w:val="22"/>
                <w:szCs w:val="22"/>
              </w:rPr>
            </w:pPr>
            <w:r w:rsidRPr="00911998">
              <w:rPr>
                <w:rFonts w:cs="Arial"/>
                <w:sz w:val="22"/>
                <w:szCs w:val="22"/>
              </w:rPr>
              <w:lastRenderedPageBreak/>
              <w:t>b)  le parent de naissance d’intention n’est pas un substitut et est partie à la convention;</w:t>
            </w:r>
          </w:p>
          <w:p w14:paraId="76D190E6" w14:textId="77777777" w:rsidR="002F28C4" w:rsidRPr="00911998" w:rsidRDefault="002F28C4" w:rsidP="002F28C4">
            <w:pPr>
              <w:pStyle w:val="Paragrsimple"/>
              <w:numPr>
                <w:ilvl w:val="0"/>
                <w:numId w:val="0"/>
              </w:numPr>
              <w:rPr>
                <w:rFonts w:cs="Arial"/>
                <w:sz w:val="22"/>
                <w:szCs w:val="22"/>
              </w:rPr>
            </w:pPr>
            <w:r w:rsidRPr="00911998">
              <w:rPr>
                <w:rFonts w:cs="Arial"/>
                <w:sz w:val="22"/>
                <w:szCs w:val="22"/>
              </w:rPr>
              <w:t>c)  si l’enfant doit être conçu par relation sexuelle, mais non par insémination par un donneur de sperme, la personne dont le sperme sera utilisé pour les besoins de la conception est partie à la convention;</w:t>
            </w:r>
          </w:p>
          <w:p w14:paraId="60B0B792" w14:textId="4BA0AF4C" w:rsidR="002F28C4" w:rsidRPr="00911998" w:rsidRDefault="002F28C4" w:rsidP="002F28C4">
            <w:pPr>
              <w:pStyle w:val="Paragrsimple"/>
              <w:numPr>
                <w:ilvl w:val="0"/>
                <w:numId w:val="0"/>
              </w:numPr>
              <w:rPr>
                <w:rFonts w:cs="Arial"/>
                <w:sz w:val="22"/>
                <w:szCs w:val="22"/>
              </w:rPr>
            </w:pPr>
            <w:r w:rsidRPr="00911998">
              <w:rPr>
                <w:rFonts w:cs="Arial"/>
                <w:sz w:val="22"/>
                <w:szCs w:val="22"/>
              </w:rPr>
              <w:t>d)  si l’enfant doit être conçu par procréation assistée ou par insémination par un donneur de sperme, le conjoint, le cas échéant, de la personne qui a l’intention d’être le parent de naissance est partie à la convention, sous réserve du paragraphe (3). </w:t>
            </w:r>
            <w:r w:rsidR="00203E97" w:rsidRPr="00911998">
              <w:rPr>
                <w:rFonts w:cs="Arial"/>
                <w:sz w:val="22"/>
                <w:szCs w:val="22"/>
              </w:rPr>
              <w:t xml:space="preserve"> </w:t>
            </w:r>
          </w:p>
          <w:p w14:paraId="0C7325AF" w14:textId="674DC942" w:rsidR="002F28C4" w:rsidRPr="00911998" w:rsidRDefault="002F28C4" w:rsidP="002F28C4">
            <w:pPr>
              <w:pStyle w:val="Paragrsimple"/>
              <w:numPr>
                <w:ilvl w:val="0"/>
                <w:numId w:val="0"/>
              </w:numPr>
              <w:rPr>
                <w:rFonts w:cs="Arial"/>
                <w:sz w:val="22"/>
                <w:szCs w:val="22"/>
              </w:rPr>
            </w:pPr>
            <w:bookmarkStart w:id="80" w:name="art9par3"/>
            <w:bookmarkEnd w:id="80"/>
            <w:r w:rsidRPr="00911998">
              <w:rPr>
                <w:rStyle w:val="canliisubsection"/>
                <w:rFonts w:cs="Arial"/>
                <w:sz w:val="22"/>
                <w:szCs w:val="22"/>
              </w:rPr>
              <w:t>(3)</w:t>
            </w:r>
            <w:r w:rsidRPr="00911998">
              <w:rPr>
                <w:rFonts w:cs="Arial"/>
                <w:sz w:val="22"/>
                <w:szCs w:val="22"/>
              </w:rPr>
              <w:t> L’alinéa (2) d) ne s’applique pas si, avant la conception de l’enfant, le conjoint du parent de naissance donne une confirmation écrite selon laquelle il ne consent pas à être parent de l’enfant et qu’il ne la retire pas. </w:t>
            </w:r>
            <w:r w:rsidR="00203E97" w:rsidRPr="00911998">
              <w:rPr>
                <w:rFonts w:cs="Arial"/>
                <w:sz w:val="22"/>
                <w:szCs w:val="22"/>
              </w:rPr>
              <w:t xml:space="preserve"> </w:t>
            </w:r>
          </w:p>
          <w:p w14:paraId="572C6F62" w14:textId="7839BD02" w:rsidR="00AB53B5" w:rsidRPr="00911998" w:rsidRDefault="002F28C4" w:rsidP="00203E97">
            <w:pPr>
              <w:pStyle w:val="Paragrsimple"/>
              <w:numPr>
                <w:ilvl w:val="0"/>
                <w:numId w:val="0"/>
              </w:numPr>
              <w:rPr>
                <w:rFonts w:cs="Arial"/>
                <w:sz w:val="22"/>
                <w:szCs w:val="22"/>
                <w:lang w:eastAsia="fr-CA"/>
              </w:rPr>
            </w:pPr>
            <w:bookmarkStart w:id="81" w:name="art9par4"/>
            <w:bookmarkEnd w:id="81"/>
            <w:r w:rsidRPr="00911998">
              <w:rPr>
                <w:rStyle w:val="canliisubsection"/>
                <w:rFonts w:cs="Arial"/>
                <w:sz w:val="22"/>
                <w:szCs w:val="22"/>
              </w:rPr>
              <w:t>(4)</w:t>
            </w:r>
            <w:r w:rsidRPr="00911998">
              <w:rPr>
                <w:rFonts w:cs="Arial"/>
                <w:sz w:val="22"/>
                <w:szCs w:val="22"/>
              </w:rPr>
              <w:t xml:space="preserve"> À la naissance d’un enfant envisagé par une </w:t>
            </w:r>
            <w:r w:rsidRPr="00911998">
              <w:rPr>
                <w:rFonts w:cs="Arial"/>
                <w:sz w:val="22"/>
                <w:szCs w:val="22"/>
                <w:lang w:eastAsia="fr-CA"/>
              </w:rPr>
              <w:t>convention</w:t>
            </w:r>
            <w:r w:rsidRPr="00911998">
              <w:rPr>
                <w:rFonts w:cs="Arial"/>
                <w:sz w:val="22"/>
                <w:szCs w:val="22"/>
              </w:rPr>
              <w:t xml:space="preserve"> de filiation antérieure à la conception, conjointement avec chaque partie à la convention qui est parent de l’enfant aux termes de l’</w:t>
            </w:r>
            <w:hyperlink r:id="rId47" w:anchor="art6_smooth" w:history="1">
              <w:r w:rsidRPr="00911998">
                <w:rPr>
                  <w:rStyle w:val="Hyperlien"/>
                  <w:rFonts w:cs="Arial"/>
                  <w:color w:val="auto"/>
                  <w:sz w:val="22"/>
                  <w:szCs w:val="22"/>
                  <w:u w:val="none"/>
                </w:rPr>
                <w:t>article 6</w:t>
              </w:r>
            </w:hyperlink>
            <w:r w:rsidRPr="00911998">
              <w:rPr>
                <w:rFonts w:cs="Arial"/>
                <w:sz w:val="22"/>
                <w:szCs w:val="22"/>
              </w:rPr>
              <w:t> (parent de naissance), 7  (autre parent biologique) ou 8 (conjoint du parent de naissance), les autres parties à la convention sont parents de l’enfant et sont reconnus comme tels en droit. </w:t>
            </w:r>
            <w:r w:rsidR="00203E97" w:rsidRPr="00911998">
              <w:rPr>
                <w:rFonts w:cs="Arial"/>
                <w:sz w:val="22"/>
                <w:szCs w:val="22"/>
                <w:lang w:eastAsia="fr-CA"/>
              </w:rPr>
              <w:t xml:space="preserve"> </w:t>
            </w:r>
          </w:p>
        </w:tc>
        <w:tc>
          <w:tcPr>
            <w:tcW w:w="4536" w:type="dxa"/>
          </w:tcPr>
          <w:p w14:paraId="39ED4B96" w14:textId="77777777" w:rsidR="00203E97" w:rsidRPr="00911998" w:rsidRDefault="00203E97" w:rsidP="00203E97">
            <w:pPr>
              <w:pStyle w:val="Paragrsimple"/>
              <w:numPr>
                <w:ilvl w:val="0"/>
                <w:numId w:val="0"/>
              </w:numPr>
              <w:rPr>
                <w:rFonts w:cs="Arial"/>
                <w:i/>
                <w:iCs/>
                <w:sz w:val="22"/>
                <w:szCs w:val="22"/>
                <w:lang w:val="en-CA" w:eastAsia="fr-CA"/>
              </w:rPr>
            </w:pPr>
            <w:r w:rsidRPr="00911998">
              <w:rPr>
                <w:rFonts w:cs="Arial"/>
                <w:b/>
                <w:bCs/>
                <w:i/>
                <w:iCs/>
                <w:sz w:val="22"/>
                <w:szCs w:val="22"/>
                <w:lang w:val="en-CA" w:eastAsia="fr-CA"/>
              </w:rPr>
              <w:lastRenderedPageBreak/>
              <w:t>9 </w:t>
            </w:r>
            <w:r w:rsidRPr="00911998">
              <w:rPr>
                <w:rFonts w:cs="Arial"/>
                <w:i/>
                <w:iCs/>
                <w:sz w:val="22"/>
                <w:szCs w:val="22"/>
                <w:lang w:val="en-CA" w:eastAsia="fr-CA"/>
              </w:rPr>
              <w:t>(1) In this section,</w:t>
            </w:r>
          </w:p>
          <w:p w14:paraId="5F79811F" w14:textId="10B2CB08" w:rsidR="00203E97" w:rsidRPr="00911998" w:rsidRDefault="00203E97" w:rsidP="0099169C">
            <w:pPr>
              <w:pStyle w:val="Paragrsimple"/>
              <w:numPr>
                <w:ilvl w:val="0"/>
                <w:numId w:val="0"/>
              </w:numPr>
              <w:spacing w:before="360"/>
              <w:rPr>
                <w:rFonts w:cs="Arial"/>
                <w:i/>
                <w:iCs/>
                <w:sz w:val="22"/>
                <w:szCs w:val="22"/>
                <w:lang w:val="en-CA" w:eastAsia="fr-CA"/>
              </w:rPr>
            </w:pPr>
            <w:r w:rsidRPr="00911998">
              <w:rPr>
                <w:rFonts w:cs="Arial"/>
                <w:i/>
                <w:iCs/>
                <w:sz w:val="22"/>
                <w:szCs w:val="22"/>
                <w:lang w:val="en-CA" w:eastAsia="fr-CA"/>
              </w:rPr>
              <w:t xml:space="preserve">“pre-conception parentage agreement” means a written agreement between two or more parties in which they agree to be, together, the parents of a child yet to be conceived.  </w:t>
            </w:r>
          </w:p>
          <w:p w14:paraId="76A3782E" w14:textId="655FC711" w:rsidR="00203E97" w:rsidRPr="00911998" w:rsidRDefault="00203E97" w:rsidP="00203E97">
            <w:pPr>
              <w:pStyle w:val="Paragrsimple"/>
              <w:numPr>
                <w:ilvl w:val="0"/>
                <w:numId w:val="0"/>
              </w:numPr>
              <w:rPr>
                <w:rFonts w:cs="Arial"/>
                <w:i/>
                <w:iCs/>
                <w:sz w:val="22"/>
                <w:szCs w:val="22"/>
                <w:lang w:val="en-CA" w:eastAsia="fr-CA"/>
              </w:rPr>
            </w:pPr>
            <w:bookmarkStart w:id="82" w:name="sec9subsec2"/>
            <w:bookmarkEnd w:id="82"/>
            <w:r w:rsidRPr="00911998">
              <w:rPr>
                <w:rFonts w:cs="Arial"/>
                <w:i/>
                <w:iCs/>
                <w:sz w:val="22"/>
                <w:szCs w:val="22"/>
                <w:lang w:val="en-CA" w:eastAsia="fr-CA"/>
              </w:rPr>
              <w:t>(2) This section applies with respect to a pre-conception parentage agreement only if,</w:t>
            </w:r>
          </w:p>
          <w:p w14:paraId="784662FC" w14:textId="77777777" w:rsidR="00203E97" w:rsidRPr="00911998" w:rsidRDefault="00203E97" w:rsidP="00203E97">
            <w:pPr>
              <w:pStyle w:val="Paragrsimple"/>
              <w:numPr>
                <w:ilvl w:val="0"/>
                <w:numId w:val="0"/>
              </w:numPr>
              <w:rPr>
                <w:rFonts w:cs="Arial"/>
                <w:i/>
                <w:iCs/>
                <w:sz w:val="22"/>
                <w:szCs w:val="22"/>
                <w:lang w:val="en-CA" w:eastAsia="fr-CA"/>
              </w:rPr>
            </w:pPr>
            <w:r w:rsidRPr="00911998">
              <w:rPr>
                <w:rFonts w:cs="Arial"/>
                <w:i/>
                <w:iCs/>
                <w:sz w:val="22"/>
                <w:szCs w:val="22"/>
                <w:lang w:val="en-CA" w:eastAsia="fr-CA"/>
              </w:rPr>
              <w:t xml:space="preserve">(a)  there are no more than four parties to the </w:t>
            </w:r>
            <w:proofErr w:type="gramStart"/>
            <w:r w:rsidRPr="00911998">
              <w:rPr>
                <w:rFonts w:cs="Arial"/>
                <w:i/>
                <w:iCs/>
                <w:sz w:val="22"/>
                <w:szCs w:val="22"/>
                <w:lang w:val="en-CA" w:eastAsia="fr-CA"/>
              </w:rPr>
              <w:t>agreement;</w:t>
            </w:r>
            <w:proofErr w:type="gramEnd"/>
          </w:p>
          <w:p w14:paraId="3F505B80" w14:textId="77777777" w:rsidR="00203E97" w:rsidRPr="00911998" w:rsidRDefault="00203E97" w:rsidP="00203E97">
            <w:pPr>
              <w:pStyle w:val="Paragrsimple"/>
              <w:numPr>
                <w:ilvl w:val="0"/>
                <w:numId w:val="0"/>
              </w:numPr>
              <w:rPr>
                <w:rFonts w:cs="Arial"/>
                <w:i/>
                <w:iCs/>
                <w:sz w:val="22"/>
                <w:szCs w:val="22"/>
                <w:lang w:val="en-CA" w:eastAsia="fr-CA"/>
              </w:rPr>
            </w:pPr>
            <w:r w:rsidRPr="00911998">
              <w:rPr>
                <w:rFonts w:cs="Arial"/>
                <w:i/>
                <w:iCs/>
                <w:sz w:val="22"/>
                <w:szCs w:val="22"/>
                <w:lang w:val="en-CA" w:eastAsia="fr-CA"/>
              </w:rPr>
              <w:t xml:space="preserve">(b)  the intended birth parent is not a surrogate, and is a party to the </w:t>
            </w:r>
            <w:proofErr w:type="gramStart"/>
            <w:r w:rsidRPr="00911998">
              <w:rPr>
                <w:rFonts w:cs="Arial"/>
                <w:i/>
                <w:iCs/>
                <w:sz w:val="22"/>
                <w:szCs w:val="22"/>
                <w:lang w:val="en-CA" w:eastAsia="fr-CA"/>
              </w:rPr>
              <w:t>agreement;</w:t>
            </w:r>
            <w:proofErr w:type="gramEnd"/>
          </w:p>
          <w:p w14:paraId="08D32461" w14:textId="77777777" w:rsidR="00203E97" w:rsidRPr="00911998" w:rsidRDefault="00203E97" w:rsidP="0099169C">
            <w:pPr>
              <w:pStyle w:val="Paragrsimple"/>
              <w:numPr>
                <w:ilvl w:val="0"/>
                <w:numId w:val="0"/>
              </w:numPr>
              <w:spacing w:before="360"/>
              <w:rPr>
                <w:rFonts w:cs="Arial"/>
                <w:i/>
                <w:iCs/>
                <w:sz w:val="22"/>
                <w:szCs w:val="22"/>
                <w:lang w:val="en-CA" w:eastAsia="fr-CA"/>
              </w:rPr>
            </w:pPr>
            <w:r w:rsidRPr="00911998">
              <w:rPr>
                <w:rFonts w:cs="Arial"/>
                <w:i/>
                <w:iCs/>
                <w:sz w:val="22"/>
                <w:szCs w:val="22"/>
                <w:lang w:val="en-CA" w:eastAsia="fr-CA"/>
              </w:rPr>
              <w:lastRenderedPageBreak/>
              <w:t>(c)  if the child is to be conceived through sexual intercourse but not through insemination by a sperm donor, the person whose sperm is to be used for the purpose of conception is a party to the agreement; and</w:t>
            </w:r>
          </w:p>
          <w:p w14:paraId="27275FC7" w14:textId="1FD341E9" w:rsidR="00203E97" w:rsidRPr="00911998" w:rsidRDefault="00203E97" w:rsidP="00203E97">
            <w:pPr>
              <w:pStyle w:val="Paragrsimple"/>
              <w:numPr>
                <w:ilvl w:val="0"/>
                <w:numId w:val="0"/>
              </w:numPr>
              <w:rPr>
                <w:rFonts w:cs="Arial"/>
                <w:i/>
                <w:iCs/>
                <w:sz w:val="22"/>
                <w:szCs w:val="22"/>
                <w:lang w:val="en-CA" w:eastAsia="fr-CA"/>
              </w:rPr>
            </w:pPr>
            <w:r w:rsidRPr="00911998">
              <w:rPr>
                <w:rFonts w:cs="Arial"/>
                <w:i/>
                <w:iCs/>
                <w:sz w:val="22"/>
                <w:szCs w:val="22"/>
                <w:lang w:val="en-CA" w:eastAsia="fr-CA"/>
              </w:rPr>
              <w:t xml:space="preserve">(d)  if the child is to be conceived through assisted reproduction or through insemination by a sperm donor, the spouse, if any, of the person who intends to be the birth parent is a party to the agreement, subject to subsection (3).  </w:t>
            </w:r>
          </w:p>
          <w:p w14:paraId="7B1C2B94" w14:textId="14A8B393" w:rsidR="00203E97" w:rsidRPr="00911998" w:rsidRDefault="00203E97" w:rsidP="0099169C">
            <w:pPr>
              <w:pStyle w:val="Paragrsimple"/>
              <w:numPr>
                <w:ilvl w:val="0"/>
                <w:numId w:val="0"/>
              </w:numPr>
              <w:spacing w:before="360"/>
              <w:rPr>
                <w:rFonts w:cs="Arial"/>
                <w:i/>
                <w:iCs/>
                <w:sz w:val="22"/>
                <w:szCs w:val="22"/>
                <w:lang w:val="en-CA" w:eastAsia="fr-CA"/>
              </w:rPr>
            </w:pPr>
            <w:bookmarkStart w:id="83" w:name="sec9subsec3"/>
            <w:bookmarkEnd w:id="83"/>
            <w:r w:rsidRPr="00911998">
              <w:rPr>
                <w:rFonts w:cs="Arial"/>
                <w:i/>
                <w:iCs/>
                <w:sz w:val="22"/>
                <w:szCs w:val="22"/>
                <w:lang w:val="en-CA" w:eastAsia="fr-CA"/>
              </w:rPr>
              <w:t xml:space="preserve">(3) Clause (2) (d) does not apply if, before the child is conceived, the birth parent’s spouse provides written confirmation that he or she does not consent to be a parent of the child and does not withdraw the confirmation.  </w:t>
            </w:r>
          </w:p>
          <w:p w14:paraId="378FEE58" w14:textId="104CA835" w:rsidR="00203E97" w:rsidRPr="00911998" w:rsidRDefault="00203E97" w:rsidP="00203E97">
            <w:pPr>
              <w:pStyle w:val="Paragrsimple"/>
              <w:numPr>
                <w:ilvl w:val="0"/>
                <w:numId w:val="0"/>
              </w:numPr>
              <w:rPr>
                <w:rFonts w:cs="Arial"/>
                <w:i/>
                <w:iCs/>
                <w:sz w:val="22"/>
                <w:szCs w:val="22"/>
                <w:lang w:val="en-CA" w:eastAsia="fr-CA"/>
              </w:rPr>
            </w:pPr>
            <w:bookmarkStart w:id="84" w:name="sec9subsec4"/>
            <w:bookmarkEnd w:id="84"/>
            <w:r w:rsidRPr="00911998">
              <w:rPr>
                <w:rFonts w:cs="Arial"/>
                <w:i/>
                <w:iCs/>
                <w:sz w:val="22"/>
                <w:szCs w:val="22"/>
                <w:lang w:val="en-CA" w:eastAsia="fr-CA"/>
              </w:rPr>
              <w:t>(4) On the birth of a child contemplated by a pre-conception parentage agreement, together with every party to a pre-conception parentage agreement who is a parent of the child under </w:t>
            </w:r>
            <w:hyperlink r:id="rId48" w:anchor="sec6_smooth" w:history="1">
              <w:r w:rsidRPr="00911998">
                <w:rPr>
                  <w:rStyle w:val="Hyperlien"/>
                  <w:rFonts w:cs="Arial"/>
                  <w:i/>
                  <w:iCs/>
                  <w:color w:val="auto"/>
                  <w:sz w:val="22"/>
                  <w:szCs w:val="22"/>
                  <w:u w:val="none"/>
                  <w:lang w:val="en-CA" w:eastAsia="fr-CA"/>
                </w:rPr>
                <w:t>section 6</w:t>
              </w:r>
            </w:hyperlink>
            <w:r w:rsidRPr="00911998">
              <w:rPr>
                <w:rFonts w:cs="Arial"/>
                <w:i/>
                <w:iCs/>
                <w:sz w:val="22"/>
                <w:szCs w:val="22"/>
                <w:lang w:val="en-CA" w:eastAsia="fr-CA"/>
              </w:rPr>
              <w:t xml:space="preserve"> (birth parent), 7  (other biological parent) or 8 (birth parent’s spouse), the other parties to the agreement are, and shall be recognized in law to be, parents of the child.  </w:t>
            </w:r>
          </w:p>
          <w:p w14:paraId="5EB9D7A5" w14:textId="509B04F6" w:rsidR="00AB53B5" w:rsidRPr="00911998" w:rsidRDefault="00D266F0" w:rsidP="00366B6C">
            <w:pPr>
              <w:pStyle w:val="Paragrsimple"/>
              <w:numPr>
                <w:ilvl w:val="0"/>
                <w:numId w:val="0"/>
              </w:numPr>
              <w:rPr>
                <w:rFonts w:cs="Arial"/>
                <w:sz w:val="22"/>
                <w:szCs w:val="22"/>
                <w:lang w:val="en-CA"/>
              </w:rPr>
            </w:pPr>
            <w:hyperlink r:id="rId49" w:anchor="se:54" w:history="1"/>
          </w:p>
        </w:tc>
      </w:tr>
    </w:tbl>
    <w:p w14:paraId="0E15C4D5" w14:textId="1E7D7B86" w:rsidR="00AB53B5" w:rsidRPr="00911998" w:rsidRDefault="00855622" w:rsidP="00AB53B5">
      <w:pPr>
        <w:pStyle w:val="Paragrsimple"/>
        <w:rPr>
          <w:szCs w:val="24"/>
        </w:rPr>
      </w:pPr>
      <w:r w:rsidRPr="00911998">
        <w:rPr>
          <w:szCs w:val="24"/>
        </w:rPr>
        <w:lastRenderedPageBreak/>
        <w:t>De même</w:t>
      </w:r>
      <w:r w:rsidR="004F19E8" w:rsidRPr="00911998">
        <w:rPr>
          <w:szCs w:val="24"/>
        </w:rPr>
        <w:t xml:space="preserve">, </w:t>
      </w:r>
      <w:r w:rsidR="00F26135" w:rsidRPr="00911998">
        <w:rPr>
          <w:szCs w:val="24"/>
        </w:rPr>
        <w:t>la l</w:t>
      </w:r>
      <w:r w:rsidR="00B42F66" w:rsidRPr="00911998">
        <w:rPr>
          <w:szCs w:val="24"/>
        </w:rPr>
        <w:t>é</w:t>
      </w:r>
      <w:r w:rsidR="00F26135" w:rsidRPr="00911998">
        <w:rPr>
          <w:szCs w:val="24"/>
        </w:rPr>
        <w:t xml:space="preserve">gislation </w:t>
      </w:r>
      <w:r w:rsidR="00DD569C" w:rsidRPr="00911998">
        <w:rPr>
          <w:szCs w:val="24"/>
        </w:rPr>
        <w:t>de</w:t>
      </w:r>
      <w:r w:rsidR="00FE6CC3" w:rsidRPr="00911998">
        <w:rPr>
          <w:szCs w:val="24"/>
        </w:rPr>
        <w:t xml:space="preserve"> la</w:t>
      </w:r>
      <w:r w:rsidR="00F26135" w:rsidRPr="00911998">
        <w:rPr>
          <w:szCs w:val="24"/>
        </w:rPr>
        <w:t xml:space="preserve"> Sa</w:t>
      </w:r>
      <w:r w:rsidR="00B42F66" w:rsidRPr="00911998">
        <w:rPr>
          <w:szCs w:val="24"/>
        </w:rPr>
        <w:t>s</w:t>
      </w:r>
      <w:r w:rsidR="00F26135" w:rsidRPr="00911998">
        <w:rPr>
          <w:szCs w:val="24"/>
        </w:rPr>
        <w:t>ka</w:t>
      </w:r>
      <w:r w:rsidR="00B42F66" w:rsidRPr="00911998">
        <w:rPr>
          <w:szCs w:val="24"/>
        </w:rPr>
        <w:t>t</w:t>
      </w:r>
      <w:r w:rsidR="00F26135" w:rsidRPr="00911998">
        <w:rPr>
          <w:szCs w:val="24"/>
        </w:rPr>
        <w:t xml:space="preserve">chewan admet </w:t>
      </w:r>
      <w:r w:rsidR="00405F56" w:rsidRPr="00911998">
        <w:rPr>
          <w:szCs w:val="24"/>
        </w:rPr>
        <w:t xml:space="preserve">également la </w:t>
      </w:r>
      <w:r w:rsidR="003860A4" w:rsidRPr="00911998">
        <w:rPr>
          <w:szCs w:val="24"/>
        </w:rPr>
        <w:t>reconnaissance de</w:t>
      </w:r>
      <w:r w:rsidR="00405F56" w:rsidRPr="00911998">
        <w:rPr>
          <w:szCs w:val="24"/>
        </w:rPr>
        <w:t xml:space="preserve"> quatre parents en cas d’accord écrit</w:t>
      </w:r>
      <w:r w:rsidR="00ED7FA1" w:rsidRPr="00911998">
        <w:rPr>
          <w:szCs w:val="24"/>
        </w:rPr>
        <w:t xml:space="preserve"> préalable</w:t>
      </w:r>
      <w:r w:rsidR="00405F56" w:rsidRPr="00911998">
        <w:rPr>
          <w:szCs w:val="24"/>
        </w:rPr>
        <w:t xml:space="preserve">, tant en </w:t>
      </w:r>
      <w:r w:rsidR="00ED7FA1" w:rsidRPr="00911998">
        <w:rPr>
          <w:szCs w:val="24"/>
        </w:rPr>
        <w:t>matière</w:t>
      </w:r>
      <w:r w:rsidR="00405F56" w:rsidRPr="00911998">
        <w:rPr>
          <w:szCs w:val="24"/>
        </w:rPr>
        <w:t xml:space="preserve"> de procréation assistée que</w:t>
      </w:r>
      <w:r w:rsidR="00DD569C" w:rsidRPr="00911998">
        <w:rPr>
          <w:szCs w:val="24"/>
        </w:rPr>
        <w:t xml:space="preserve"> de conception</w:t>
      </w:r>
      <w:r w:rsidR="00405F56" w:rsidRPr="00911998">
        <w:rPr>
          <w:szCs w:val="24"/>
        </w:rPr>
        <w:t xml:space="preserve"> par relation sexuelle. L’article 61 de la </w:t>
      </w:r>
      <w:r w:rsidR="004016D8" w:rsidRPr="00911998">
        <w:rPr>
          <w:i/>
          <w:iCs/>
          <w:szCs w:val="24"/>
        </w:rPr>
        <w:t>Loi de 2020 sur le droit de l’enfance</w:t>
      </w:r>
      <w:r w:rsidR="004016D8" w:rsidRPr="00911998">
        <w:rPr>
          <w:rStyle w:val="Appelnotedebasdep"/>
          <w:szCs w:val="24"/>
        </w:rPr>
        <w:footnoteReference w:id="247"/>
      </w:r>
      <w:r w:rsidR="004016D8" w:rsidRPr="00911998">
        <w:rPr>
          <w:i/>
          <w:iCs/>
          <w:szCs w:val="24"/>
        </w:rPr>
        <w:t xml:space="preserve"> </w:t>
      </w:r>
      <w:r w:rsidR="004016D8" w:rsidRPr="00911998">
        <w:rPr>
          <w:szCs w:val="24"/>
        </w:rPr>
        <w:t>édicte :</w:t>
      </w:r>
    </w:p>
    <w:tbl>
      <w:tblPr>
        <w:tblStyle w:val="Grilledutableau"/>
        <w:tblW w:w="0" w:type="auto"/>
        <w:tblInd w:w="279" w:type="dxa"/>
        <w:tblLook w:val="04A0" w:firstRow="1" w:lastRow="0" w:firstColumn="1" w:lastColumn="0" w:noHBand="0" w:noVBand="1"/>
      </w:tblPr>
      <w:tblGrid>
        <w:gridCol w:w="4394"/>
        <w:gridCol w:w="4536"/>
      </w:tblGrid>
      <w:tr w:rsidR="000E19AB" w:rsidRPr="00153EC1" w14:paraId="3C9A558C" w14:textId="77777777" w:rsidTr="00366B6C">
        <w:tc>
          <w:tcPr>
            <w:tcW w:w="4394" w:type="dxa"/>
          </w:tcPr>
          <w:p w14:paraId="5532CF0C" w14:textId="4187DF92" w:rsidR="002E70D6" w:rsidRPr="00911998" w:rsidRDefault="002E70D6" w:rsidP="002E70D6">
            <w:pPr>
              <w:pStyle w:val="Paragrsimple"/>
              <w:numPr>
                <w:ilvl w:val="0"/>
                <w:numId w:val="0"/>
              </w:numPr>
              <w:rPr>
                <w:rFonts w:cs="Arial"/>
                <w:sz w:val="22"/>
                <w:szCs w:val="22"/>
                <w:lang w:eastAsia="fr-CA"/>
              </w:rPr>
            </w:pPr>
            <w:r w:rsidRPr="00911998">
              <w:rPr>
                <w:rFonts w:cs="Arial"/>
                <w:b/>
                <w:bCs/>
                <w:sz w:val="22"/>
                <w:szCs w:val="22"/>
                <w:lang w:eastAsia="fr-CA"/>
              </w:rPr>
              <w:t>61</w:t>
            </w:r>
            <w:r w:rsidRPr="00911998">
              <w:rPr>
                <w:rFonts w:cs="Arial"/>
                <w:sz w:val="22"/>
                <w:szCs w:val="22"/>
                <w:lang w:eastAsia="fr-CA"/>
              </w:rPr>
              <w:t>(1</w:t>
            </w:r>
            <w:proofErr w:type="gramStart"/>
            <w:r w:rsidRPr="00911998">
              <w:rPr>
                <w:rFonts w:cs="Arial"/>
                <w:sz w:val="22"/>
                <w:szCs w:val="22"/>
                <w:lang w:eastAsia="fr-CA"/>
              </w:rPr>
              <w:t>)  Au</w:t>
            </w:r>
            <w:proofErr w:type="gramEnd"/>
            <w:r w:rsidRPr="00911998">
              <w:rPr>
                <w:rFonts w:cs="Arial"/>
                <w:sz w:val="22"/>
                <w:szCs w:val="22"/>
                <w:lang w:eastAsia="fr-CA"/>
              </w:rPr>
              <w:t xml:space="preserve"> présent article, « accord de parenté » s’entend d’un accord écrit entre plusieurs parties dans lequel elles décident </w:t>
            </w:r>
            <w:r w:rsidRPr="00911998">
              <w:rPr>
                <w:rFonts w:cs="Arial"/>
                <w:sz w:val="22"/>
                <w:szCs w:val="22"/>
                <w:lang w:eastAsia="fr-CA"/>
              </w:rPr>
              <w:lastRenderedPageBreak/>
              <w:t>ensemble qui seront les parents d’un enfant non encore conçu.</w:t>
            </w:r>
          </w:p>
          <w:p w14:paraId="739D1863" w14:textId="326033AD" w:rsidR="002E70D6" w:rsidRPr="00911998" w:rsidRDefault="002E70D6" w:rsidP="002E70D6">
            <w:pPr>
              <w:pStyle w:val="Paragrsimple"/>
              <w:numPr>
                <w:ilvl w:val="0"/>
                <w:numId w:val="0"/>
              </w:numPr>
              <w:rPr>
                <w:rFonts w:cs="Arial"/>
                <w:sz w:val="22"/>
                <w:szCs w:val="22"/>
                <w:lang w:eastAsia="fr-CA"/>
              </w:rPr>
            </w:pPr>
            <w:r w:rsidRPr="00911998">
              <w:rPr>
                <w:rFonts w:cs="Arial"/>
                <w:sz w:val="22"/>
                <w:szCs w:val="22"/>
                <w:lang w:eastAsia="fr-CA"/>
              </w:rPr>
              <w:t>(2)  Le présent article ne s’applique à un accord de parenté que si les conditions suivantes sont réunies :</w:t>
            </w:r>
          </w:p>
          <w:p w14:paraId="6CBD8C11" w14:textId="73550F4C" w:rsidR="002E70D6" w:rsidRPr="00911998" w:rsidRDefault="002E70D6" w:rsidP="002E70D6">
            <w:pPr>
              <w:pStyle w:val="Paragrsimple"/>
              <w:numPr>
                <w:ilvl w:val="0"/>
                <w:numId w:val="0"/>
              </w:numPr>
              <w:rPr>
                <w:rFonts w:cs="Arial"/>
                <w:sz w:val="22"/>
                <w:szCs w:val="22"/>
                <w:lang w:eastAsia="fr-CA"/>
              </w:rPr>
            </w:pPr>
            <w:r w:rsidRPr="00911998">
              <w:rPr>
                <w:rFonts w:cs="Arial"/>
                <w:sz w:val="22"/>
                <w:szCs w:val="22"/>
                <w:lang w:eastAsia="fr-CA"/>
              </w:rPr>
              <w:t>  a)  il n’y a pas plus de 4 parties à l’accord;</w:t>
            </w:r>
          </w:p>
          <w:p w14:paraId="3EB35CFD" w14:textId="1CB559F7" w:rsidR="002E70D6" w:rsidRPr="00911998" w:rsidRDefault="002E70D6" w:rsidP="00A643EA">
            <w:pPr>
              <w:pStyle w:val="Paragrsimple"/>
              <w:numPr>
                <w:ilvl w:val="0"/>
                <w:numId w:val="0"/>
              </w:numPr>
              <w:spacing w:before="360"/>
              <w:rPr>
                <w:rFonts w:cs="Arial"/>
                <w:sz w:val="22"/>
                <w:szCs w:val="22"/>
                <w:lang w:eastAsia="fr-CA"/>
              </w:rPr>
            </w:pPr>
            <w:r w:rsidRPr="00911998">
              <w:rPr>
                <w:rFonts w:cs="Arial"/>
                <w:sz w:val="22"/>
                <w:szCs w:val="22"/>
                <w:lang w:eastAsia="fr-CA"/>
              </w:rPr>
              <w:t>  b)  l’accord satisfait aux prescriptions réglementaires d’un accord de parenté.</w:t>
            </w:r>
          </w:p>
          <w:p w14:paraId="50541E86" w14:textId="0E46DC8F" w:rsidR="002E70D6" w:rsidRPr="00911998" w:rsidRDefault="002E70D6" w:rsidP="002E70D6">
            <w:pPr>
              <w:pStyle w:val="Paragrsimple"/>
              <w:numPr>
                <w:ilvl w:val="0"/>
                <w:numId w:val="0"/>
              </w:numPr>
              <w:rPr>
                <w:rFonts w:cs="Arial"/>
                <w:sz w:val="22"/>
                <w:szCs w:val="22"/>
                <w:lang w:eastAsia="fr-CA"/>
              </w:rPr>
            </w:pPr>
            <w:r w:rsidRPr="00911998">
              <w:rPr>
                <w:rFonts w:cs="Arial"/>
                <w:sz w:val="22"/>
                <w:szCs w:val="22"/>
                <w:lang w:eastAsia="fr-CA"/>
              </w:rPr>
              <w:t>(3)  Le parent de naissance éventuel qui n’est pas gestatrice pour autrui doit être partie à l’accord de parenté.</w:t>
            </w:r>
          </w:p>
          <w:p w14:paraId="68381401" w14:textId="028B3EE7" w:rsidR="002E70D6" w:rsidRPr="00911998" w:rsidRDefault="002E70D6" w:rsidP="002E70D6">
            <w:pPr>
              <w:pStyle w:val="Paragrsimple"/>
              <w:numPr>
                <w:ilvl w:val="0"/>
                <w:numId w:val="0"/>
              </w:numPr>
              <w:rPr>
                <w:rFonts w:cs="Arial"/>
                <w:sz w:val="22"/>
                <w:szCs w:val="22"/>
                <w:lang w:eastAsia="fr-CA"/>
              </w:rPr>
            </w:pPr>
            <w:r w:rsidRPr="00911998">
              <w:rPr>
                <w:rFonts w:cs="Arial"/>
                <w:sz w:val="22"/>
                <w:szCs w:val="22"/>
                <w:lang w:eastAsia="fr-CA"/>
              </w:rPr>
              <w:t>(4)  Toute personne qui satisfait à l’ensemble des conditions suivantes doit être partie à l’accord de parenté :</w:t>
            </w:r>
          </w:p>
          <w:p w14:paraId="09113196" w14:textId="1E5C0253" w:rsidR="002E70D6" w:rsidRPr="00911998" w:rsidRDefault="002E70D6" w:rsidP="002E70D6">
            <w:pPr>
              <w:pStyle w:val="Paragrsimple"/>
              <w:numPr>
                <w:ilvl w:val="0"/>
                <w:numId w:val="0"/>
              </w:numPr>
              <w:rPr>
                <w:rFonts w:cs="Arial"/>
                <w:sz w:val="22"/>
                <w:szCs w:val="22"/>
                <w:lang w:eastAsia="fr-CA"/>
              </w:rPr>
            </w:pPr>
            <w:r w:rsidRPr="00911998">
              <w:rPr>
                <w:rFonts w:cs="Arial"/>
                <w:sz w:val="22"/>
                <w:szCs w:val="22"/>
                <w:lang w:eastAsia="fr-CA"/>
              </w:rPr>
              <w:t>  a)  son sperme doit servir à la conception de l’enfant par relation sexuelle ou par procréation assistée;</w:t>
            </w:r>
          </w:p>
          <w:p w14:paraId="73A7EE74" w14:textId="76C44636" w:rsidR="002E70D6" w:rsidRPr="00911998" w:rsidRDefault="002E70D6" w:rsidP="002E70D6">
            <w:pPr>
              <w:pStyle w:val="Paragrsimple"/>
              <w:numPr>
                <w:ilvl w:val="0"/>
                <w:numId w:val="0"/>
              </w:numPr>
              <w:rPr>
                <w:rFonts w:cs="Arial"/>
                <w:sz w:val="22"/>
                <w:szCs w:val="22"/>
                <w:lang w:eastAsia="fr-CA"/>
              </w:rPr>
            </w:pPr>
            <w:r w:rsidRPr="00911998">
              <w:rPr>
                <w:rFonts w:cs="Arial"/>
                <w:sz w:val="22"/>
                <w:szCs w:val="22"/>
                <w:lang w:eastAsia="fr-CA"/>
              </w:rPr>
              <w:t>  b)  elle entend être parent de l’enfant.</w:t>
            </w:r>
          </w:p>
          <w:p w14:paraId="58CBE66F" w14:textId="4A10EC15" w:rsidR="002E70D6" w:rsidRPr="00911998" w:rsidRDefault="002E70D6" w:rsidP="00A643EA">
            <w:pPr>
              <w:pStyle w:val="Paragrsimple"/>
              <w:numPr>
                <w:ilvl w:val="0"/>
                <w:numId w:val="0"/>
              </w:numPr>
              <w:spacing w:before="360"/>
              <w:rPr>
                <w:rFonts w:cs="Arial"/>
                <w:sz w:val="22"/>
                <w:szCs w:val="22"/>
                <w:lang w:eastAsia="fr-CA"/>
              </w:rPr>
            </w:pPr>
            <w:r w:rsidRPr="00911998">
              <w:rPr>
                <w:rFonts w:cs="Arial"/>
                <w:sz w:val="22"/>
                <w:szCs w:val="22"/>
                <w:lang w:eastAsia="fr-CA"/>
              </w:rPr>
              <w:t>(5)  Le conjoint, s’il en est, du parent de naissance éventuel mentionné au paragraphe (3) ou d’une personne mentionnée au paragraphe (4) doit être partie à l’accord de parenté et doit indiquer dans l’accord s’il consent ou non à être parent de l’enfant.</w:t>
            </w:r>
          </w:p>
          <w:p w14:paraId="3213880A" w14:textId="46408F22" w:rsidR="002E70D6" w:rsidRPr="00911998" w:rsidRDefault="002E70D6" w:rsidP="002E70D6">
            <w:pPr>
              <w:pStyle w:val="Paragrsimple"/>
              <w:numPr>
                <w:ilvl w:val="0"/>
                <w:numId w:val="0"/>
              </w:numPr>
              <w:rPr>
                <w:rFonts w:cs="Arial"/>
                <w:sz w:val="22"/>
                <w:szCs w:val="22"/>
                <w:lang w:eastAsia="fr-CA"/>
              </w:rPr>
            </w:pPr>
            <w:r w:rsidRPr="00911998">
              <w:rPr>
                <w:rFonts w:cs="Arial"/>
                <w:sz w:val="22"/>
                <w:szCs w:val="22"/>
                <w:lang w:eastAsia="fr-CA"/>
              </w:rPr>
              <w:t>(6)  Le conjoint du parent de naissance éventuel qui ne consent pas dans l’accord de parenté à être parent de l’enfant n’est pas reconnu en droit être parent de l’enfant.</w:t>
            </w:r>
          </w:p>
          <w:p w14:paraId="742CE655" w14:textId="551CFA83" w:rsidR="00AB53B5" w:rsidRPr="00911998" w:rsidRDefault="002E70D6" w:rsidP="002E70D6">
            <w:pPr>
              <w:pStyle w:val="Paragrsimple"/>
              <w:numPr>
                <w:ilvl w:val="0"/>
                <w:numId w:val="0"/>
              </w:numPr>
              <w:rPr>
                <w:rFonts w:cs="Arial"/>
                <w:sz w:val="22"/>
                <w:szCs w:val="22"/>
                <w:lang w:eastAsia="fr-CA"/>
              </w:rPr>
            </w:pPr>
            <w:r w:rsidRPr="00911998">
              <w:rPr>
                <w:rFonts w:cs="Arial"/>
                <w:sz w:val="22"/>
                <w:szCs w:val="22"/>
                <w:lang w:eastAsia="fr-CA"/>
              </w:rPr>
              <w:t>(7)  À la naissance d’un enfant visé par un accord de parenté, les parties à l’accord de parenté qui consentent à être parents de l’enfant sont reconnues en droit être les parents de l’enfant.</w:t>
            </w:r>
          </w:p>
        </w:tc>
        <w:tc>
          <w:tcPr>
            <w:tcW w:w="4536" w:type="dxa"/>
          </w:tcPr>
          <w:p w14:paraId="2DDE39BF" w14:textId="1498C599" w:rsidR="0038597F" w:rsidRPr="00911998" w:rsidRDefault="0038597F" w:rsidP="0038597F">
            <w:pPr>
              <w:pStyle w:val="Paragrsimple"/>
              <w:numPr>
                <w:ilvl w:val="0"/>
                <w:numId w:val="0"/>
              </w:numPr>
              <w:rPr>
                <w:rFonts w:cs="Arial"/>
                <w:i/>
                <w:iCs/>
                <w:sz w:val="22"/>
                <w:szCs w:val="22"/>
                <w:lang w:val="en-CA" w:eastAsia="fr-CA"/>
              </w:rPr>
            </w:pPr>
            <w:r w:rsidRPr="00911998">
              <w:rPr>
                <w:rFonts w:cs="Arial"/>
                <w:b/>
                <w:bCs/>
                <w:i/>
                <w:iCs/>
                <w:sz w:val="22"/>
                <w:szCs w:val="22"/>
                <w:lang w:val="en-CA" w:eastAsia="fr-CA"/>
              </w:rPr>
              <w:lastRenderedPageBreak/>
              <w:t>61</w:t>
            </w:r>
            <w:r w:rsidRPr="00911998">
              <w:rPr>
                <w:rFonts w:cs="Arial"/>
                <w:i/>
                <w:iCs/>
                <w:sz w:val="22"/>
                <w:szCs w:val="22"/>
                <w:lang w:val="en-CA" w:eastAsia="fr-CA"/>
              </w:rPr>
              <w:t>(1</w:t>
            </w:r>
            <w:proofErr w:type="gramStart"/>
            <w:r w:rsidRPr="00911998">
              <w:rPr>
                <w:rFonts w:cs="Arial"/>
                <w:i/>
                <w:iCs/>
                <w:sz w:val="22"/>
                <w:szCs w:val="22"/>
                <w:lang w:val="en-CA" w:eastAsia="fr-CA"/>
              </w:rPr>
              <w:t>)  In</w:t>
            </w:r>
            <w:proofErr w:type="gramEnd"/>
            <w:r w:rsidRPr="00911998">
              <w:rPr>
                <w:rFonts w:cs="Arial"/>
                <w:i/>
                <w:iCs/>
                <w:sz w:val="22"/>
                <w:szCs w:val="22"/>
                <w:lang w:val="en-CA" w:eastAsia="fr-CA"/>
              </w:rPr>
              <w:t xml:space="preserve"> this section, “parentage agreement” means a written agreement between 2 or more parties in which they establish, </w:t>
            </w:r>
            <w:r w:rsidRPr="00911998">
              <w:rPr>
                <w:rFonts w:cs="Arial"/>
                <w:i/>
                <w:iCs/>
                <w:sz w:val="22"/>
                <w:szCs w:val="22"/>
                <w:lang w:val="en-CA" w:eastAsia="fr-CA"/>
              </w:rPr>
              <w:lastRenderedPageBreak/>
              <w:t>together, who will be the parents of a child yet to be conceived.</w:t>
            </w:r>
          </w:p>
          <w:p w14:paraId="6CF69544" w14:textId="7917FB4E" w:rsidR="00351B78" w:rsidRPr="00911998" w:rsidRDefault="00351B78" w:rsidP="00351B78">
            <w:pPr>
              <w:pStyle w:val="Paragrsimple"/>
              <w:numPr>
                <w:ilvl w:val="0"/>
                <w:numId w:val="0"/>
              </w:numPr>
              <w:rPr>
                <w:rFonts w:cs="Arial"/>
                <w:i/>
                <w:iCs/>
                <w:sz w:val="22"/>
                <w:szCs w:val="22"/>
                <w:lang w:val="en-CA" w:eastAsia="fr-CA"/>
              </w:rPr>
            </w:pPr>
            <w:r w:rsidRPr="00911998">
              <w:rPr>
                <w:rFonts w:cs="Arial"/>
                <w:i/>
                <w:iCs/>
                <w:sz w:val="22"/>
                <w:szCs w:val="22"/>
                <w:lang w:val="en-CA" w:eastAsia="fr-CA"/>
              </w:rPr>
              <w:t>(2)</w:t>
            </w:r>
            <w:r w:rsidR="00ED7FA1" w:rsidRPr="00911998">
              <w:rPr>
                <w:rFonts w:cs="Arial"/>
                <w:i/>
                <w:iCs/>
                <w:sz w:val="22"/>
                <w:szCs w:val="22"/>
                <w:lang w:val="en-CA" w:eastAsia="fr-CA"/>
              </w:rPr>
              <w:t>  T</w:t>
            </w:r>
            <w:r w:rsidRPr="00911998">
              <w:rPr>
                <w:rFonts w:cs="Arial"/>
                <w:i/>
                <w:iCs/>
                <w:sz w:val="22"/>
                <w:szCs w:val="22"/>
                <w:lang w:val="en-CA" w:eastAsia="fr-CA"/>
              </w:rPr>
              <w:t>his section applies with respect to a parentage agreement only if:</w:t>
            </w:r>
          </w:p>
          <w:p w14:paraId="4AC9526E" w14:textId="4197787E" w:rsidR="00351B78" w:rsidRPr="00911998" w:rsidRDefault="00B24E0D" w:rsidP="00A643EA">
            <w:pPr>
              <w:pStyle w:val="Paragrsimple"/>
              <w:numPr>
                <w:ilvl w:val="0"/>
                <w:numId w:val="0"/>
              </w:numPr>
              <w:spacing w:before="360"/>
              <w:rPr>
                <w:rFonts w:cs="Arial"/>
                <w:i/>
                <w:iCs/>
                <w:sz w:val="22"/>
                <w:szCs w:val="22"/>
                <w:lang w:val="en-CA" w:eastAsia="fr-CA"/>
              </w:rPr>
            </w:pPr>
            <w:r w:rsidRPr="00911998">
              <w:rPr>
                <w:rFonts w:cs="Arial"/>
                <w:i/>
                <w:iCs/>
                <w:sz w:val="22"/>
                <w:szCs w:val="22"/>
                <w:lang w:val="en-CA" w:eastAsia="fr-CA"/>
              </w:rPr>
              <w:t xml:space="preserve">  </w:t>
            </w:r>
            <w:r w:rsidR="00351B78" w:rsidRPr="00911998">
              <w:rPr>
                <w:rFonts w:cs="Arial"/>
                <w:i/>
                <w:iCs/>
                <w:sz w:val="22"/>
                <w:szCs w:val="22"/>
                <w:lang w:val="en-CA" w:eastAsia="fr-CA"/>
              </w:rPr>
              <w:t>(a)</w:t>
            </w:r>
            <w:r w:rsidR="00ED7FA1" w:rsidRPr="00911998">
              <w:rPr>
                <w:rFonts w:cs="Arial"/>
                <w:i/>
                <w:iCs/>
                <w:sz w:val="22"/>
                <w:szCs w:val="22"/>
                <w:lang w:val="en-CA" w:eastAsia="fr-CA"/>
              </w:rPr>
              <w:t>  </w:t>
            </w:r>
            <w:r w:rsidR="00351B78" w:rsidRPr="00911998">
              <w:rPr>
                <w:rFonts w:cs="Arial"/>
                <w:i/>
                <w:iCs/>
                <w:sz w:val="22"/>
                <w:szCs w:val="22"/>
                <w:lang w:val="en-CA" w:eastAsia="fr-CA"/>
              </w:rPr>
              <w:t>there are not more than 4 parties to the agreement; and</w:t>
            </w:r>
          </w:p>
          <w:p w14:paraId="598AF06F" w14:textId="05269467" w:rsidR="00351B78" w:rsidRPr="00911998" w:rsidRDefault="00B24E0D" w:rsidP="00ED7FA1">
            <w:pPr>
              <w:pStyle w:val="Paragrsimple"/>
              <w:numPr>
                <w:ilvl w:val="0"/>
                <w:numId w:val="0"/>
              </w:numPr>
              <w:rPr>
                <w:rFonts w:cs="Arial"/>
                <w:i/>
                <w:iCs/>
                <w:sz w:val="22"/>
                <w:szCs w:val="22"/>
                <w:lang w:val="en-CA" w:eastAsia="fr-CA"/>
              </w:rPr>
            </w:pPr>
            <w:r w:rsidRPr="00911998">
              <w:rPr>
                <w:rFonts w:cs="Arial"/>
                <w:i/>
                <w:iCs/>
                <w:sz w:val="22"/>
                <w:szCs w:val="22"/>
                <w:lang w:val="en-CA" w:eastAsia="fr-CA"/>
              </w:rPr>
              <w:t xml:space="preserve">  </w:t>
            </w:r>
            <w:r w:rsidR="00351B78" w:rsidRPr="00911998">
              <w:rPr>
                <w:rFonts w:cs="Arial"/>
                <w:i/>
                <w:iCs/>
                <w:sz w:val="22"/>
                <w:szCs w:val="22"/>
                <w:lang w:val="en-CA" w:eastAsia="fr-CA"/>
              </w:rPr>
              <w:t>(b)</w:t>
            </w:r>
            <w:r w:rsidR="00ED7FA1" w:rsidRPr="00911998">
              <w:rPr>
                <w:rFonts w:cs="Arial"/>
                <w:i/>
                <w:iCs/>
                <w:sz w:val="22"/>
                <w:szCs w:val="22"/>
                <w:lang w:val="en-CA" w:eastAsia="fr-CA"/>
              </w:rPr>
              <w:t>  </w:t>
            </w:r>
            <w:r w:rsidR="00351B78" w:rsidRPr="00911998">
              <w:rPr>
                <w:rFonts w:cs="Arial"/>
                <w:i/>
                <w:iCs/>
                <w:sz w:val="22"/>
                <w:szCs w:val="22"/>
                <w:lang w:val="en-CA" w:eastAsia="fr-CA"/>
              </w:rPr>
              <w:t>the agreement meets the prescribed requirements for parentage</w:t>
            </w:r>
            <w:r w:rsidR="00ED7FA1" w:rsidRPr="00911998">
              <w:rPr>
                <w:rFonts w:cs="Arial"/>
                <w:i/>
                <w:iCs/>
                <w:sz w:val="22"/>
                <w:szCs w:val="22"/>
                <w:lang w:val="en-CA" w:eastAsia="fr-CA"/>
              </w:rPr>
              <w:t xml:space="preserve"> </w:t>
            </w:r>
            <w:r w:rsidR="00351B78" w:rsidRPr="00911998">
              <w:rPr>
                <w:rFonts w:cs="Arial"/>
                <w:i/>
                <w:iCs/>
                <w:sz w:val="22"/>
                <w:szCs w:val="22"/>
                <w:lang w:val="en-CA" w:eastAsia="fr-CA"/>
              </w:rPr>
              <w:t>agreements.</w:t>
            </w:r>
          </w:p>
          <w:p w14:paraId="47468F9E" w14:textId="59C3E5A4" w:rsidR="00351B78" w:rsidRPr="00911998" w:rsidRDefault="00351B78" w:rsidP="00ED7FA1">
            <w:pPr>
              <w:pStyle w:val="Paragrsimple"/>
              <w:numPr>
                <w:ilvl w:val="0"/>
                <w:numId w:val="0"/>
              </w:numPr>
              <w:rPr>
                <w:rFonts w:cs="Arial"/>
                <w:i/>
                <w:iCs/>
                <w:sz w:val="22"/>
                <w:szCs w:val="22"/>
                <w:lang w:val="en-CA" w:eastAsia="fr-CA"/>
              </w:rPr>
            </w:pPr>
            <w:r w:rsidRPr="00911998">
              <w:rPr>
                <w:rFonts w:cs="Arial"/>
                <w:i/>
                <w:iCs/>
                <w:sz w:val="22"/>
                <w:szCs w:val="22"/>
                <w:lang w:val="en-CA" w:eastAsia="fr-CA"/>
              </w:rPr>
              <w:t>(3)</w:t>
            </w:r>
            <w:r w:rsidR="00ED7FA1" w:rsidRPr="00911998">
              <w:rPr>
                <w:rFonts w:cs="Arial"/>
                <w:i/>
                <w:iCs/>
                <w:sz w:val="22"/>
                <w:szCs w:val="22"/>
                <w:lang w:val="en-CA" w:eastAsia="fr-CA"/>
              </w:rPr>
              <w:t>  </w:t>
            </w:r>
            <w:r w:rsidRPr="00911998">
              <w:rPr>
                <w:rFonts w:cs="Arial"/>
                <w:i/>
                <w:iCs/>
                <w:sz w:val="22"/>
                <w:szCs w:val="22"/>
                <w:lang w:val="en-CA" w:eastAsia="fr-CA"/>
              </w:rPr>
              <w:t>The intended birth parent who is not the surrogate must be a party to the</w:t>
            </w:r>
            <w:r w:rsidR="00ED7FA1" w:rsidRPr="00911998">
              <w:rPr>
                <w:rFonts w:cs="Arial"/>
                <w:i/>
                <w:iCs/>
                <w:sz w:val="22"/>
                <w:szCs w:val="22"/>
                <w:lang w:val="en-CA" w:eastAsia="fr-CA"/>
              </w:rPr>
              <w:t xml:space="preserve"> </w:t>
            </w:r>
            <w:r w:rsidRPr="00911998">
              <w:rPr>
                <w:rFonts w:cs="Arial"/>
                <w:i/>
                <w:iCs/>
                <w:sz w:val="22"/>
                <w:szCs w:val="22"/>
                <w:lang w:val="en-CA" w:eastAsia="fr-CA"/>
              </w:rPr>
              <w:t>parentage agreement.</w:t>
            </w:r>
          </w:p>
          <w:p w14:paraId="790083FA" w14:textId="5DED76C9" w:rsidR="00351B78" w:rsidRPr="00911998" w:rsidRDefault="00351B78" w:rsidP="00351B78">
            <w:pPr>
              <w:pStyle w:val="Paragrsimple"/>
              <w:numPr>
                <w:ilvl w:val="0"/>
                <w:numId w:val="0"/>
              </w:numPr>
              <w:rPr>
                <w:rFonts w:cs="Arial"/>
                <w:i/>
                <w:iCs/>
                <w:sz w:val="22"/>
                <w:szCs w:val="22"/>
                <w:lang w:val="en-CA" w:eastAsia="fr-CA"/>
              </w:rPr>
            </w:pPr>
            <w:r w:rsidRPr="00911998">
              <w:rPr>
                <w:rFonts w:cs="Arial"/>
                <w:i/>
                <w:iCs/>
                <w:sz w:val="22"/>
                <w:szCs w:val="22"/>
                <w:lang w:val="en-CA" w:eastAsia="fr-CA"/>
              </w:rPr>
              <w:t>(4)</w:t>
            </w:r>
            <w:r w:rsidR="00ED7FA1" w:rsidRPr="00911998">
              <w:rPr>
                <w:rFonts w:cs="Arial"/>
                <w:i/>
                <w:iCs/>
                <w:sz w:val="22"/>
                <w:szCs w:val="22"/>
                <w:lang w:val="en-CA" w:eastAsia="fr-CA"/>
              </w:rPr>
              <w:t>  </w:t>
            </w:r>
            <w:r w:rsidRPr="00911998">
              <w:rPr>
                <w:rFonts w:cs="Arial"/>
                <w:i/>
                <w:iCs/>
                <w:sz w:val="22"/>
                <w:szCs w:val="22"/>
                <w:lang w:val="en-CA" w:eastAsia="fr-CA"/>
              </w:rPr>
              <w:t>A person must be a party to the parentage agreement if:</w:t>
            </w:r>
          </w:p>
          <w:p w14:paraId="15B8558F" w14:textId="150A24F8" w:rsidR="00351B78" w:rsidRPr="00911998" w:rsidRDefault="00B24E0D" w:rsidP="00A643EA">
            <w:pPr>
              <w:pStyle w:val="Paragrsimple"/>
              <w:numPr>
                <w:ilvl w:val="0"/>
                <w:numId w:val="0"/>
              </w:numPr>
              <w:spacing w:before="360"/>
              <w:rPr>
                <w:rFonts w:cs="Arial"/>
                <w:i/>
                <w:iCs/>
                <w:sz w:val="22"/>
                <w:szCs w:val="22"/>
                <w:lang w:val="en-CA" w:eastAsia="fr-CA"/>
              </w:rPr>
            </w:pPr>
            <w:r w:rsidRPr="00911998">
              <w:rPr>
                <w:rFonts w:cs="Arial"/>
                <w:i/>
                <w:iCs/>
                <w:sz w:val="22"/>
                <w:szCs w:val="22"/>
                <w:lang w:val="en-CA" w:eastAsia="fr-CA"/>
              </w:rPr>
              <w:t xml:space="preserve">  </w:t>
            </w:r>
            <w:r w:rsidR="00ED7FA1" w:rsidRPr="00911998">
              <w:rPr>
                <w:rFonts w:cs="Arial"/>
                <w:i/>
                <w:iCs/>
                <w:sz w:val="22"/>
                <w:szCs w:val="22"/>
                <w:lang w:val="en-CA" w:eastAsia="fr-CA"/>
              </w:rPr>
              <w:t>(</w:t>
            </w:r>
            <w:r w:rsidR="00351B78" w:rsidRPr="00911998">
              <w:rPr>
                <w:rFonts w:cs="Arial"/>
                <w:i/>
                <w:iCs/>
                <w:sz w:val="22"/>
                <w:szCs w:val="22"/>
                <w:lang w:val="en-CA" w:eastAsia="fr-CA"/>
              </w:rPr>
              <w:t>a)</w:t>
            </w:r>
            <w:r w:rsidR="00ED7FA1" w:rsidRPr="00911998">
              <w:rPr>
                <w:rFonts w:cs="Arial"/>
                <w:i/>
                <w:iCs/>
                <w:sz w:val="22"/>
                <w:szCs w:val="22"/>
                <w:lang w:val="en-CA" w:eastAsia="fr-CA"/>
              </w:rPr>
              <w:t>  </w:t>
            </w:r>
            <w:r w:rsidR="00351B78" w:rsidRPr="00911998">
              <w:rPr>
                <w:rFonts w:cs="Arial"/>
                <w:i/>
                <w:iCs/>
                <w:sz w:val="22"/>
                <w:szCs w:val="22"/>
                <w:lang w:val="en-CA" w:eastAsia="fr-CA"/>
              </w:rPr>
              <w:t>the person’s sperm is to be used to conceive the child through sexual</w:t>
            </w:r>
            <w:r w:rsidR="00ED7FA1" w:rsidRPr="00911998">
              <w:rPr>
                <w:rFonts w:cs="Arial"/>
                <w:i/>
                <w:iCs/>
                <w:sz w:val="22"/>
                <w:szCs w:val="22"/>
                <w:lang w:val="en-CA" w:eastAsia="fr-CA"/>
              </w:rPr>
              <w:t xml:space="preserve"> </w:t>
            </w:r>
            <w:r w:rsidR="00351B78" w:rsidRPr="00911998">
              <w:rPr>
                <w:rFonts w:cs="Arial"/>
                <w:i/>
                <w:iCs/>
                <w:sz w:val="22"/>
                <w:szCs w:val="22"/>
                <w:lang w:val="en-CA" w:eastAsia="fr-CA"/>
              </w:rPr>
              <w:t>intercourse or assisted reproduction; and</w:t>
            </w:r>
          </w:p>
          <w:p w14:paraId="5BB70126" w14:textId="413378BA" w:rsidR="00351B78" w:rsidRPr="00911998" w:rsidRDefault="00B24E0D" w:rsidP="00351B78">
            <w:pPr>
              <w:pStyle w:val="Paragrsimple"/>
              <w:numPr>
                <w:ilvl w:val="0"/>
                <w:numId w:val="0"/>
              </w:numPr>
              <w:rPr>
                <w:rFonts w:cs="Arial"/>
                <w:i/>
                <w:iCs/>
                <w:sz w:val="22"/>
                <w:szCs w:val="22"/>
                <w:lang w:val="en-CA" w:eastAsia="fr-CA"/>
              </w:rPr>
            </w:pPr>
            <w:r w:rsidRPr="00911998">
              <w:rPr>
                <w:rFonts w:cs="Arial"/>
                <w:i/>
                <w:iCs/>
                <w:sz w:val="22"/>
                <w:szCs w:val="22"/>
                <w:lang w:val="en-CA" w:eastAsia="fr-CA"/>
              </w:rPr>
              <w:t xml:space="preserve">  </w:t>
            </w:r>
            <w:r w:rsidR="00351B78" w:rsidRPr="00911998">
              <w:rPr>
                <w:rFonts w:cs="Arial"/>
                <w:i/>
                <w:iCs/>
                <w:sz w:val="22"/>
                <w:szCs w:val="22"/>
                <w:lang w:val="en-CA" w:eastAsia="fr-CA"/>
              </w:rPr>
              <w:t>(b)</w:t>
            </w:r>
            <w:r w:rsidR="00ED7FA1" w:rsidRPr="00911998">
              <w:rPr>
                <w:rFonts w:cs="Arial"/>
                <w:i/>
                <w:iCs/>
                <w:sz w:val="22"/>
                <w:szCs w:val="22"/>
                <w:lang w:val="en-CA" w:eastAsia="fr-CA"/>
              </w:rPr>
              <w:t>  </w:t>
            </w:r>
            <w:r w:rsidR="00351B78" w:rsidRPr="00911998">
              <w:rPr>
                <w:rFonts w:cs="Arial"/>
                <w:i/>
                <w:iCs/>
                <w:sz w:val="22"/>
                <w:szCs w:val="22"/>
                <w:lang w:val="en-CA" w:eastAsia="fr-CA"/>
              </w:rPr>
              <w:t>the person intends to be a parent of the child.</w:t>
            </w:r>
          </w:p>
          <w:p w14:paraId="6E28D769" w14:textId="51023FEA" w:rsidR="00351B78" w:rsidRPr="00911998" w:rsidRDefault="00351B78" w:rsidP="00ED7FA1">
            <w:pPr>
              <w:pStyle w:val="Paragrsimple"/>
              <w:numPr>
                <w:ilvl w:val="0"/>
                <w:numId w:val="0"/>
              </w:numPr>
              <w:rPr>
                <w:rFonts w:cs="Arial"/>
                <w:i/>
                <w:iCs/>
                <w:sz w:val="22"/>
                <w:szCs w:val="22"/>
                <w:lang w:val="en-CA" w:eastAsia="fr-CA"/>
              </w:rPr>
            </w:pPr>
            <w:r w:rsidRPr="00911998">
              <w:rPr>
                <w:rFonts w:cs="Arial"/>
                <w:i/>
                <w:iCs/>
                <w:sz w:val="22"/>
                <w:szCs w:val="22"/>
                <w:lang w:val="en-CA" w:eastAsia="fr-CA"/>
              </w:rPr>
              <w:t>(5)</w:t>
            </w:r>
            <w:r w:rsidR="00ED7FA1" w:rsidRPr="00911998">
              <w:rPr>
                <w:rFonts w:cs="Arial"/>
                <w:i/>
                <w:iCs/>
                <w:sz w:val="22"/>
                <w:szCs w:val="22"/>
                <w:lang w:val="en-CA" w:eastAsia="fr-CA"/>
              </w:rPr>
              <w:t>  </w:t>
            </w:r>
            <w:r w:rsidRPr="00911998">
              <w:rPr>
                <w:rFonts w:cs="Arial"/>
                <w:i/>
                <w:iCs/>
                <w:sz w:val="22"/>
                <w:szCs w:val="22"/>
                <w:lang w:val="en-CA" w:eastAsia="fr-CA"/>
              </w:rPr>
              <w:t>The spouse, if any, of the intended birth parent mentioned in subsection (3) or</w:t>
            </w:r>
            <w:r w:rsidR="00ED7FA1" w:rsidRPr="00911998">
              <w:rPr>
                <w:rFonts w:cs="Arial"/>
                <w:i/>
                <w:iCs/>
                <w:sz w:val="22"/>
                <w:szCs w:val="22"/>
                <w:lang w:val="en-CA" w:eastAsia="fr-CA"/>
              </w:rPr>
              <w:t xml:space="preserve"> </w:t>
            </w:r>
            <w:r w:rsidRPr="00911998">
              <w:rPr>
                <w:rFonts w:cs="Arial"/>
                <w:i/>
                <w:iCs/>
                <w:sz w:val="22"/>
                <w:szCs w:val="22"/>
                <w:lang w:val="en-CA" w:eastAsia="fr-CA"/>
              </w:rPr>
              <w:t>of a person mentioned in subsection (4) must be a party to the parentage agreement</w:t>
            </w:r>
            <w:r w:rsidR="00ED7FA1" w:rsidRPr="00911998">
              <w:rPr>
                <w:rFonts w:cs="Arial"/>
                <w:i/>
                <w:iCs/>
                <w:sz w:val="22"/>
                <w:szCs w:val="22"/>
                <w:lang w:val="en-CA" w:eastAsia="fr-CA"/>
              </w:rPr>
              <w:t xml:space="preserve"> </w:t>
            </w:r>
            <w:r w:rsidRPr="00911998">
              <w:rPr>
                <w:rFonts w:cs="Arial"/>
                <w:i/>
                <w:iCs/>
                <w:sz w:val="22"/>
                <w:szCs w:val="22"/>
                <w:lang w:val="en-CA" w:eastAsia="fr-CA"/>
              </w:rPr>
              <w:t>and must indicate in the agreement whether the spouse consents to be a parent of</w:t>
            </w:r>
            <w:r w:rsidR="00ED7FA1" w:rsidRPr="00911998">
              <w:rPr>
                <w:rFonts w:cs="Arial"/>
                <w:i/>
                <w:iCs/>
                <w:sz w:val="22"/>
                <w:szCs w:val="22"/>
                <w:lang w:val="en-CA" w:eastAsia="fr-CA"/>
              </w:rPr>
              <w:t xml:space="preserve"> </w:t>
            </w:r>
            <w:r w:rsidRPr="00911998">
              <w:rPr>
                <w:rFonts w:cs="Arial"/>
                <w:i/>
                <w:iCs/>
                <w:sz w:val="22"/>
                <w:szCs w:val="22"/>
                <w:lang w:val="en-CA" w:eastAsia="fr-CA"/>
              </w:rPr>
              <w:t>the child.</w:t>
            </w:r>
          </w:p>
          <w:p w14:paraId="65B83B4E" w14:textId="21260BEB" w:rsidR="00351B78" w:rsidRPr="00911998" w:rsidRDefault="00351B78" w:rsidP="00A643EA">
            <w:pPr>
              <w:pStyle w:val="Paragrsimple"/>
              <w:numPr>
                <w:ilvl w:val="0"/>
                <w:numId w:val="0"/>
              </w:numPr>
              <w:spacing w:before="360"/>
              <w:rPr>
                <w:rFonts w:cs="Arial"/>
                <w:i/>
                <w:iCs/>
                <w:sz w:val="22"/>
                <w:szCs w:val="22"/>
                <w:lang w:val="en-CA" w:eastAsia="fr-CA"/>
              </w:rPr>
            </w:pPr>
            <w:r w:rsidRPr="00911998">
              <w:rPr>
                <w:rFonts w:cs="Arial"/>
                <w:i/>
                <w:iCs/>
                <w:sz w:val="22"/>
                <w:szCs w:val="22"/>
                <w:lang w:val="en-CA" w:eastAsia="fr-CA"/>
              </w:rPr>
              <w:t>(6)</w:t>
            </w:r>
            <w:r w:rsidR="00ED7FA1" w:rsidRPr="00911998">
              <w:rPr>
                <w:rFonts w:cs="Arial"/>
                <w:i/>
                <w:iCs/>
                <w:sz w:val="22"/>
                <w:szCs w:val="22"/>
                <w:lang w:val="en-CA" w:eastAsia="fr-CA"/>
              </w:rPr>
              <w:t>  </w:t>
            </w:r>
            <w:r w:rsidRPr="00911998">
              <w:rPr>
                <w:rFonts w:cs="Arial"/>
                <w:i/>
                <w:iCs/>
                <w:sz w:val="22"/>
                <w:szCs w:val="22"/>
                <w:lang w:val="en-CA" w:eastAsia="fr-CA"/>
              </w:rPr>
              <w:t>If the spouse of the intended birth parent does not consent in the parentage</w:t>
            </w:r>
            <w:r w:rsidR="00ED7FA1" w:rsidRPr="00911998">
              <w:rPr>
                <w:rFonts w:cs="Arial"/>
                <w:i/>
                <w:iCs/>
                <w:sz w:val="22"/>
                <w:szCs w:val="22"/>
                <w:lang w:val="en-CA" w:eastAsia="fr-CA"/>
              </w:rPr>
              <w:t xml:space="preserve"> </w:t>
            </w:r>
            <w:r w:rsidRPr="00911998">
              <w:rPr>
                <w:rFonts w:cs="Arial"/>
                <w:i/>
                <w:iCs/>
                <w:sz w:val="22"/>
                <w:szCs w:val="22"/>
                <w:lang w:val="en-CA" w:eastAsia="fr-CA"/>
              </w:rPr>
              <w:t>agreement to be a parent of the child, the spouse is not recognized in law to be a</w:t>
            </w:r>
            <w:r w:rsidR="00ED7FA1" w:rsidRPr="00911998">
              <w:rPr>
                <w:rFonts w:cs="Arial"/>
                <w:i/>
                <w:iCs/>
                <w:sz w:val="22"/>
                <w:szCs w:val="22"/>
                <w:lang w:val="en-CA" w:eastAsia="fr-CA"/>
              </w:rPr>
              <w:t xml:space="preserve"> </w:t>
            </w:r>
            <w:r w:rsidRPr="00911998">
              <w:rPr>
                <w:rFonts w:cs="Arial"/>
                <w:i/>
                <w:iCs/>
                <w:sz w:val="22"/>
                <w:szCs w:val="22"/>
                <w:lang w:val="en-CA" w:eastAsia="fr-CA"/>
              </w:rPr>
              <w:t>parent of the child.</w:t>
            </w:r>
          </w:p>
          <w:p w14:paraId="798D4B9A" w14:textId="6D19EC7F" w:rsidR="00AB53B5" w:rsidRPr="00911998" w:rsidRDefault="00351B78" w:rsidP="00ED7FA1">
            <w:pPr>
              <w:pStyle w:val="Paragrsimple"/>
              <w:numPr>
                <w:ilvl w:val="0"/>
                <w:numId w:val="0"/>
              </w:numPr>
              <w:rPr>
                <w:rFonts w:cs="Arial"/>
                <w:i/>
                <w:iCs/>
                <w:sz w:val="22"/>
                <w:szCs w:val="22"/>
                <w:lang w:val="en-CA"/>
              </w:rPr>
            </w:pPr>
            <w:r w:rsidRPr="00911998">
              <w:rPr>
                <w:rFonts w:cs="Arial"/>
                <w:i/>
                <w:iCs/>
                <w:sz w:val="22"/>
                <w:szCs w:val="22"/>
                <w:lang w:val="en-CA" w:eastAsia="fr-CA"/>
              </w:rPr>
              <w:t>(7)</w:t>
            </w:r>
            <w:r w:rsidR="00ED7FA1" w:rsidRPr="00911998">
              <w:rPr>
                <w:rFonts w:cs="Arial"/>
                <w:i/>
                <w:iCs/>
                <w:sz w:val="22"/>
                <w:szCs w:val="22"/>
                <w:lang w:val="en-CA" w:eastAsia="fr-CA"/>
              </w:rPr>
              <w:t>  </w:t>
            </w:r>
            <w:r w:rsidRPr="00911998">
              <w:rPr>
                <w:rFonts w:cs="Arial"/>
                <w:i/>
                <w:iCs/>
                <w:sz w:val="22"/>
                <w:szCs w:val="22"/>
                <w:lang w:val="en-CA" w:eastAsia="fr-CA"/>
              </w:rPr>
              <w:t>On the birth of a child contemplated by a parentage agreement, the parties</w:t>
            </w:r>
            <w:r w:rsidR="00ED7FA1" w:rsidRPr="00911998">
              <w:rPr>
                <w:rFonts w:cs="Arial"/>
                <w:i/>
                <w:iCs/>
                <w:sz w:val="22"/>
                <w:szCs w:val="22"/>
                <w:lang w:val="en-CA" w:eastAsia="fr-CA"/>
              </w:rPr>
              <w:t xml:space="preserve"> </w:t>
            </w:r>
            <w:r w:rsidRPr="00911998">
              <w:rPr>
                <w:rFonts w:cs="Arial"/>
                <w:i/>
                <w:iCs/>
                <w:sz w:val="22"/>
                <w:szCs w:val="22"/>
                <w:lang w:val="en-CA" w:eastAsia="fr-CA"/>
              </w:rPr>
              <w:t xml:space="preserve">to the parentage agreement who consent to be the </w:t>
            </w:r>
            <w:r w:rsidRPr="00911998">
              <w:rPr>
                <w:rFonts w:cs="Arial"/>
                <w:i/>
                <w:iCs/>
                <w:sz w:val="22"/>
                <w:szCs w:val="22"/>
                <w:lang w:val="en-CA" w:eastAsia="fr-CA"/>
              </w:rPr>
              <w:lastRenderedPageBreak/>
              <w:t>parents of the child shall be</w:t>
            </w:r>
            <w:r w:rsidR="00ED7FA1" w:rsidRPr="00911998">
              <w:rPr>
                <w:rFonts w:cs="Arial"/>
                <w:i/>
                <w:iCs/>
                <w:sz w:val="22"/>
                <w:szCs w:val="22"/>
                <w:lang w:val="en-CA" w:eastAsia="fr-CA"/>
              </w:rPr>
              <w:t xml:space="preserve"> </w:t>
            </w:r>
            <w:r w:rsidRPr="00911998">
              <w:rPr>
                <w:rFonts w:cs="Arial"/>
                <w:i/>
                <w:iCs/>
                <w:sz w:val="22"/>
                <w:szCs w:val="22"/>
                <w:lang w:val="en-CA" w:eastAsia="fr-CA"/>
              </w:rPr>
              <w:t>recognized in law to be the parents of the child.</w:t>
            </w:r>
            <w:r w:rsidR="00ED7FA1" w:rsidRPr="00911998">
              <w:rPr>
                <w:rFonts w:cs="Arial"/>
                <w:i/>
                <w:iCs/>
                <w:sz w:val="22"/>
                <w:szCs w:val="22"/>
                <w:lang w:val="en-CA"/>
              </w:rPr>
              <w:t xml:space="preserve"> </w:t>
            </w:r>
            <w:hyperlink r:id="rId50" w:anchor="se:54" w:history="1"/>
          </w:p>
        </w:tc>
      </w:tr>
    </w:tbl>
    <w:p w14:paraId="14004FA8" w14:textId="132FFD0E" w:rsidR="00855622" w:rsidRPr="00911998" w:rsidRDefault="00855622" w:rsidP="00855622">
      <w:pPr>
        <w:pStyle w:val="Paragrsimple"/>
        <w:rPr>
          <w:szCs w:val="24"/>
        </w:rPr>
      </w:pPr>
      <w:r w:rsidRPr="00911998">
        <w:lastRenderedPageBreak/>
        <w:t>Enfin</w:t>
      </w:r>
      <w:r w:rsidR="00DD569C" w:rsidRPr="00911998">
        <w:t>,</w:t>
      </w:r>
      <w:r w:rsidRPr="00911998">
        <w:t xml:space="preserve"> au Yukon, la législation territoriale </w:t>
      </w:r>
      <w:r w:rsidR="00DD569C" w:rsidRPr="00911998">
        <w:t>autorise</w:t>
      </w:r>
      <w:r w:rsidRPr="00911998">
        <w:t xml:space="preserve"> la reconnaissance de plus de deux parents</w:t>
      </w:r>
      <w:r w:rsidR="00DD569C" w:rsidRPr="00911998">
        <w:t>, à condition que</w:t>
      </w:r>
      <w:r w:rsidRPr="00911998">
        <w:t xml:space="preserve"> ces «</w:t>
      </w:r>
      <w:r w:rsidR="00FE6CC3" w:rsidRPr="00911998">
        <w:t> </w:t>
      </w:r>
      <w:r w:rsidRPr="00911998">
        <w:t>autres parents</w:t>
      </w:r>
      <w:r w:rsidR="00FE6CC3" w:rsidRPr="00911998">
        <w:t> </w:t>
      </w:r>
      <w:r w:rsidRPr="00911998">
        <w:t>» so</w:t>
      </w:r>
      <w:r w:rsidR="00DD569C" w:rsidRPr="00911998">
        <w:t>ie</w:t>
      </w:r>
      <w:r w:rsidRPr="00911998">
        <w:t>nt les conjoints du père ou de la mère biologique. Les</w:t>
      </w:r>
      <w:r w:rsidR="00EB230A" w:rsidRPr="00911998">
        <w:t xml:space="preserve"> portions pertinentes du</w:t>
      </w:r>
      <w:r w:rsidRPr="00911998">
        <w:t xml:space="preserve"> paragraphe</w:t>
      </w:r>
      <w:r w:rsidR="00FE6CC3" w:rsidRPr="00911998">
        <w:t> </w:t>
      </w:r>
      <w:r w:rsidRPr="00911998">
        <w:t>1(1) et</w:t>
      </w:r>
      <w:r w:rsidR="00EB230A" w:rsidRPr="00911998">
        <w:t xml:space="preserve"> le paragraphe</w:t>
      </w:r>
      <w:r w:rsidR="00FE6CC3" w:rsidRPr="00911998">
        <w:t> </w:t>
      </w:r>
      <w:r w:rsidRPr="00911998">
        <w:t xml:space="preserve">4(2) de la </w:t>
      </w:r>
      <w:r w:rsidRPr="00911998">
        <w:rPr>
          <w:i/>
          <w:iCs/>
        </w:rPr>
        <w:t xml:space="preserve">Loi sur les statistiques de l’état civil </w:t>
      </w:r>
      <w:r w:rsidRPr="00911998">
        <w:t>se lisent comme suit</w:t>
      </w:r>
      <w:r w:rsidR="00E25F08" w:rsidRPr="00911998">
        <w:rPr>
          <w:rStyle w:val="Appelnotedebasdep"/>
        </w:rPr>
        <w:footnoteReference w:id="248"/>
      </w:r>
      <w:r w:rsidRPr="00911998">
        <w:t> :</w:t>
      </w:r>
    </w:p>
    <w:tbl>
      <w:tblPr>
        <w:tblStyle w:val="Grilledutableau"/>
        <w:tblW w:w="0" w:type="auto"/>
        <w:tblInd w:w="279" w:type="dxa"/>
        <w:tblLook w:val="04A0" w:firstRow="1" w:lastRow="0" w:firstColumn="1" w:lastColumn="0" w:noHBand="0" w:noVBand="1"/>
      </w:tblPr>
      <w:tblGrid>
        <w:gridCol w:w="4394"/>
        <w:gridCol w:w="4536"/>
      </w:tblGrid>
      <w:tr w:rsidR="000E19AB" w:rsidRPr="00911998" w14:paraId="6F1035D3" w14:textId="77777777" w:rsidTr="002622D1">
        <w:tc>
          <w:tcPr>
            <w:tcW w:w="4394" w:type="dxa"/>
          </w:tcPr>
          <w:p w14:paraId="7BA91576" w14:textId="77777777" w:rsidR="008469B2" w:rsidRPr="00911998" w:rsidRDefault="00855622" w:rsidP="002622D1">
            <w:pPr>
              <w:pStyle w:val="Paragrsimple"/>
              <w:numPr>
                <w:ilvl w:val="0"/>
                <w:numId w:val="0"/>
              </w:numPr>
              <w:rPr>
                <w:rFonts w:cs="Arial"/>
                <w:sz w:val="22"/>
                <w:szCs w:val="22"/>
                <w:lang w:eastAsia="fr-CA"/>
              </w:rPr>
            </w:pPr>
            <w:r w:rsidRPr="00911998">
              <w:rPr>
                <w:rFonts w:cs="Arial"/>
                <w:b/>
                <w:bCs/>
                <w:sz w:val="22"/>
                <w:szCs w:val="22"/>
                <w:lang w:eastAsia="fr-CA"/>
              </w:rPr>
              <w:t>1</w:t>
            </w:r>
            <w:r w:rsidRPr="00911998">
              <w:rPr>
                <w:rFonts w:cs="Arial"/>
                <w:sz w:val="22"/>
                <w:szCs w:val="22"/>
                <w:lang w:eastAsia="fr-CA"/>
              </w:rPr>
              <w:t>(1</w:t>
            </w:r>
            <w:proofErr w:type="gramStart"/>
            <w:r w:rsidRPr="00911998">
              <w:rPr>
                <w:rFonts w:cs="Arial"/>
                <w:sz w:val="22"/>
                <w:szCs w:val="22"/>
                <w:lang w:eastAsia="fr-CA"/>
              </w:rPr>
              <w:t>)  </w:t>
            </w:r>
            <w:r w:rsidR="008469B2" w:rsidRPr="00911998">
              <w:rPr>
                <w:rFonts w:cs="Arial"/>
                <w:sz w:val="22"/>
                <w:szCs w:val="22"/>
                <w:lang w:eastAsia="fr-CA"/>
              </w:rPr>
              <w:t>Les</w:t>
            </w:r>
            <w:proofErr w:type="gramEnd"/>
            <w:r w:rsidR="008469B2" w:rsidRPr="00911998">
              <w:rPr>
                <w:rFonts w:cs="Arial"/>
                <w:sz w:val="22"/>
                <w:szCs w:val="22"/>
                <w:lang w:eastAsia="fr-CA"/>
              </w:rPr>
              <w:t xml:space="preserve"> définitions qui suivent s’appliquent à la présente loi.</w:t>
            </w:r>
          </w:p>
          <w:p w14:paraId="2211D285" w14:textId="5BE94440" w:rsidR="008469B2" w:rsidRPr="00911998" w:rsidRDefault="008469B2" w:rsidP="008469B2">
            <w:pPr>
              <w:pStyle w:val="Paragrsimple"/>
              <w:numPr>
                <w:ilvl w:val="0"/>
                <w:numId w:val="0"/>
              </w:numPr>
              <w:rPr>
                <w:sz w:val="22"/>
                <w:szCs w:val="22"/>
                <w:lang w:eastAsia="fr-CA"/>
              </w:rPr>
            </w:pPr>
            <w:r w:rsidRPr="00911998">
              <w:rPr>
                <w:sz w:val="22"/>
                <w:szCs w:val="22"/>
                <w:lang w:eastAsia="fr-CA"/>
              </w:rPr>
              <w:t>« </w:t>
            </w:r>
            <w:proofErr w:type="gramStart"/>
            <w:r w:rsidRPr="00911998">
              <w:rPr>
                <w:b/>
                <w:bCs/>
                <w:sz w:val="22"/>
                <w:szCs w:val="22"/>
                <w:lang w:eastAsia="fr-CA"/>
              </w:rPr>
              <w:t>autre</w:t>
            </w:r>
            <w:proofErr w:type="gramEnd"/>
            <w:r w:rsidRPr="00911998">
              <w:rPr>
                <w:b/>
                <w:bCs/>
                <w:sz w:val="22"/>
                <w:szCs w:val="22"/>
                <w:lang w:eastAsia="fr-CA"/>
              </w:rPr>
              <w:t xml:space="preserve"> parent</w:t>
            </w:r>
            <w:r w:rsidRPr="00911998">
              <w:rPr>
                <w:sz w:val="22"/>
                <w:szCs w:val="22"/>
                <w:lang w:eastAsia="fr-CA"/>
              </w:rPr>
              <w:t xml:space="preserve"> » À l’égard d’une naissance, s’entend d’une autre personne que la mère ou le père, qui est le conjoint de la </w:t>
            </w:r>
            <w:r w:rsidRPr="00911998">
              <w:rPr>
                <w:rFonts w:cs="Arial"/>
                <w:sz w:val="22"/>
                <w:szCs w:val="22"/>
                <w:lang w:eastAsia="fr-CA"/>
              </w:rPr>
              <w:t>mère</w:t>
            </w:r>
            <w:r w:rsidRPr="00911998">
              <w:rPr>
                <w:sz w:val="22"/>
                <w:szCs w:val="22"/>
                <w:lang w:eastAsia="fr-CA"/>
              </w:rPr>
              <w:t xml:space="preserve"> ou du père et qui entend participer à titre de parent à l’éducation de l’enfant. “</w:t>
            </w:r>
            <w:proofErr w:type="spellStart"/>
            <w:r w:rsidRPr="00911998">
              <w:rPr>
                <w:i/>
                <w:iCs/>
                <w:sz w:val="22"/>
                <w:szCs w:val="22"/>
                <w:lang w:eastAsia="fr-CA"/>
              </w:rPr>
              <w:t>other</w:t>
            </w:r>
            <w:proofErr w:type="spellEnd"/>
            <w:r w:rsidRPr="00911998">
              <w:rPr>
                <w:i/>
                <w:iCs/>
                <w:sz w:val="22"/>
                <w:szCs w:val="22"/>
                <w:lang w:eastAsia="fr-CA"/>
              </w:rPr>
              <w:t xml:space="preserve"> parent</w:t>
            </w:r>
            <w:r w:rsidRPr="00911998">
              <w:rPr>
                <w:sz w:val="22"/>
                <w:szCs w:val="22"/>
                <w:lang w:eastAsia="fr-CA"/>
              </w:rPr>
              <w:t>”</w:t>
            </w:r>
          </w:p>
          <w:p w14:paraId="0469A85A" w14:textId="77777777" w:rsidR="008469B2" w:rsidRPr="00911998" w:rsidRDefault="008469B2" w:rsidP="008469B2">
            <w:pPr>
              <w:pStyle w:val="Paragrsimple"/>
              <w:numPr>
                <w:ilvl w:val="0"/>
                <w:numId w:val="0"/>
              </w:numPr>
              <w:rPr>
                <w:sz w:val="22"/>
                <w:szCs w:val="22"/>
                <w:lang w:eastAsia="fr-CA"/>
              </w:rPr>
            </w:pPr>
            <w:r w:rsidRPr="00911998">
              <w:rPr>
                <w:rFonts w:cs="Arial"/>
                <w:sz w:val="22"/>
                <w:szCs w:val="22"/>
                <w:lang w:eastAsia="fr-CA"/>
              </w:rPr>
              <w:t>[…]</w:t>
            </w:r>
          </w:p>
          <w:p w14:paraId="7307919A" w14:textId="51657209" w:rsidR="008469B2" w:rsidRPr="00911998" w:rsidRDefault="008469B2" w:rsidP="008469B2">
            <w:pPr>
              <w:pStyle w:val="Paragrsimple"/>
              <w:numPr>
                <w:ilvl w:val="0"/>
                <w:numId w:val="0"/>
              </w:numPr>
              <w:rPr>
                <w:sz w:val="22"/>
                <w:szCs w:val="22"/>
                <w:lang w:eastAsia="fr-CA"/>
              </w:rPr>
            </w:pPr>
            <w:r w:rsidRPr="00911998">
              <w:rPr>
                <w:sz w:val="22"/>
                <w:szCs w:val="22"/>
                <w:lang w:eastAsia="fr-CA"/>
              </w:rPr>
              <w:t>« </w:t>
            </w:r>
            <w:proofErr w:type="gramStart"/>
            <w:r w:rsidRPr="00911998">
              <w:rPr>
                <w:b/>
                <w:bCs/>
                <w:sz w:val="22"/>
                <w:szCs w:val="22"/>
                <w:lang w:eastAsia="fr-CA"/>
              </w:rPr>
              <w:t>mère</w:t>
            </w:r>
            <w:proofErr w:type="gramEnd"/>
            <w:r w:rsidRPr="00911998">
              <w:rPr>
                <w:sz w:val="22"/>
                <w:szCs w:val="22"/>
                <w:lang w:eastAsia="fr-CA"/>
              </w:rPr>
              <w:t> » La femme qui a donné naissance à l’enfant. “</w:t>
            </w:r>
            <w:proofErr w:type="spellStart"/>
            <w:r w:rsidRPr="00911998">
              <w:rPr>
                <w:i/>
                <w:iCs/>
                <w:sz w:val="22"/>
                <w:szCs w:val="22"/>
                <w:lang w:eastAsia="fr-CA"/>
              </w:rPr>
              <w:t>mother</w:t>
            </w:r>
            <w:proofErr w:type="spellEnd"/>
            <w:r w:rsidRPr="00911998">
              <w:rPr>
                <w:sz w:val="22"/>
                <w:szCs w:val="22"/>
                <w:lang w:eastAsia="fr-CA"/>
              </w:rPr>
              <w:t>”</w:t>
            </w:r>
          </w:p>
          <w:p w14:paraId="48CB3DC3" w14:textId="77777777" w:rsidR="008469B2" w:rsidRPr="00911998" w:rsidRDefault="008469B2" w:rsidP="008469B2">
            <w:pPr>
              <w:pStyle w:val="Paragrsimple"/>
              <w:numPr>
                <w:ilvl w:val="0"/>
                <w:numId w:val="0"/>
              </w:numPr>
              <w:rPr>
                <w:sz w:val="22"/>
                <w:szCs w:val="22"/>
                <w:lang w:eastAsia="fr-CA"/>
              </w:rPr>
            </w:pPr>
            <w:r w:rsidRPr="00911998">
              <w:rPr>
                <w:rFonts w:cs="Arial"/>
                <w:sz w:val="22"/>
                <w:szCs w:val="22"/>
                <w:lang w:eastAsia="fr-CA"/>
              </w:rPr>
              <w:t>[…]</w:t>
            </w:r>
          </w:p>
          <w:p w14:paraId="1ED620A2" w14:textId="7B4F5C26" w:rsidR="008469B2" w:rsidRPr="00911998" w:rsidRDefault="008469B2" w:rsidP="002622D1">
            <w:pPr>
              <w:pStyle w:val="Paragrsimple"/>
              <w:numPr>
                <w:ilvl w:val="0"/>
                <w:numId w:val="0"/>
              </w:numPr>
              <w:rPr>
                <w:rFonts w:cs="Arial"/>
                <w:sz w:val="22"/>
                <w:szCs w:val="22"/>
                <w:lang w:eastAsia="fr-CA"/>
              </w:rPr>
            </w:pPr>
            <w:r w:rsidRPr="00911998">
              <w:rPr>
                <w:rFonts w:cs="Arial"/>
                <w:sz w:val="22"/>
                <w:szCs w:val="22"/>
                <w:lang w:eastAsia="fr-CA"/>
              </w:rPr>
              <w:t>« </w:t>
            </w:r>
            <w:proofErr w:type="gramStart"/>
            <w:r w:rsidRPr="00911998">
              <w:rPr>
                <w:rFonts w:cs="Arial"/>
                <w:b/>
                <w:bCs/>
                <w:sz w:val="22"/>
                <w:szCs w:val="22"/>
                <w:lang w:eastAsia="fr-CA"/>
              </w:rPr>
              <w:t>père</w:t>
            </w:r>
            <w:proofErr w:type="gramEnd"/>
            <w:r w:rsidRPr="00911998">
              <w:rPr>
                <w:rFonts w:cs="Arial"/>
                <w:sz w:val="22"/>
                <w:szCs w:val="22"/>
                <w:lang w:eastAsia="fr-CA"/>
              </w:rPr>
              <w:t> » Personne qui reconnaît être le père biologique de l’enfant. “</w:t>
            </w:r>
            <w:proofErr w:type="spellStart"/>
            <w:r w:rsidRPr="00911998">
              <w:rPr>
                <w:rFonts w:cs="Arial"/>
                <w:i/>
                <w:iCs/>
                <w:sz w:val="22"/>
                <w:szCs w:val="22"/>
                <w:lang w:eastAsia="fr-CA"/>
              </w:rPr>
              <w:t>father</w:t>
            </w:r>
            <w:proofErr w:type="spellEnd"/>
            <w:r w:rsidRPr="00911998">
              <w:rPr>
                <w:sz w:val="22"/>
                <w:szCs w:val="22"/>
                <w:lang w:eastAsia="fr-CA"/>
              </w:rPr>
              <w:t>”</w:t>
            </w:r>
          </w:p>
          <w:p w14:paraId="320E39D1" w14:textId="77777777" w:rsidR="008469B2" w:rsidRPr="00911998" w:rsidRDefault="008469B2" w:rsidP="008469B2">
            <w:pPr>
              <w:pStyle w:val="Paragrsimple"/>
              <w:numPr>
                <w:ilvl w:val="0"/>
                <w:numId w:val="0"/>
              </w:numPr>
              <w:rPr>
                <w:sz w:val="22"/>
                <w:szCs w:val="22"/>
                <w:lang w:eastAsia="fr-CA"/>
              </w:rPr>
            </w:pPr>
            <w:r w:rsidRPr="00911998">
              <w:rPr>
                <w:rFonts w:cs="Arial"/>
                <w:sz w:val="22"/>
                <w:szCs w:val="22"/>
                <w:lang w:eastAsia="fr-CA"/>
              </w:rPr>
              <w:t>[…]</w:t>
            </w:r>
          </w:p>
          <w:p w14:paraId="46ED3644" w14:textId="6472210E" w:rsidR="008469B2" w:rsidRPr="00911998" w:rsidRDefault="008469B2" w:rsidP="002622D1">
            <w:pPr>
              <w:pStyle w:val="Paragrsimple"/>
              <w:numPr>
                <w:ilvl w:val="0"/>
                <w:numId w:val="0"/>
              </w:numPr>
              <w:rPr>
                <w:rFonts w:cs="Arial"/>
                <w:sz w:val="22"/>
                <w:szCs w:val="22"/>
                <w:lang w:eastAsia="fr-CA"/>
              </w:rPr>
            </w:pPr>
            <w:r w:rsidRPr="00911998">
              <w:rPr>
                <w:rFonts w:cs="Arial"/>
                <w:b/>
                <w:bCs/>
                <w:sz w:val="22"/>
                <w:szCs w:val="22"/>
                <w:lang w:eastAsia="fr-CA"/>
              </w:rPr>
              <w:t>4 </w:t>
            </w:r>
            <w:r w:rsidRPr="00911998">
              <w:rPr>
                <w:rFonts w:cs="Arial"/>
                <w:sz w:val="22"/>
                <w:szCs w:val="22"/>
                <w:lang w:eastAsia="fr-CA"/>
              </w:rPr>
              <w:t>(2</w:t>
            </w:r>
            <w:proofErr w:type="gramStart"/>
            <w:r w:rsidRPr="00911998">
              <w:rPr>
                <w:rFonts w:cs="Arial"/>
                <w:sz w:val="22"/>
                <w:szCs w:val="22"/>
                <w:lang w:eastAsia="fr-CA"/>
              </w:rPr>
              <w:t>)  Dans</w:t>
            </w:r>
            <w:proofErr w:type="gramEnd"/>
            <w:r w:rsidRPr="00911998">
              <w:rPr>
                <w:rFonts w:cs="Arial"/>
                <w:sz w:val="22"/>
                <w:szCs w:val="22"/>
                <w:lang w:eastAsia="fr-CA"/>
              </w:rPr>
              <w:t xml:space="preserve"> les 60 jours suivant la naissance d’un enfant au Yukon, l’une ou l’autre des personnes suivantes remplit et remet ou envoie par la poste au registraire une déclaration selon le formulaire réglementaire relativement à la naissance de l’enfant :</w:t>
            </w:r>
          </w:p>
          <w:p w14:paraId="77874045" w14:textId="302249C4" w:rsidR="008469B2" w:rsidRPr="00911998" w:rsidRDefault="00E25F08" w:rsidP="002622D1">
            <w:pPr>
              <w:pStyle w:val="Paragrsimple"/>
              <w:numPr>
                <w:ilvl w:val="0"/>
                <w:numId w:val="0"/>
              </w:numPr>
              <w:rPr>
                <w:rFonts w:cs="Arial"/>
                <w:sz w:val="22"/>
                <w:szCs w:val="22"/>
                <w:lang w:eastAsia="fr-CA"/>
              </w:rPr>
            </w:pPr>
            <w:r w:rsidRPr="00911998">
              <w:rPr>
                <w:rFonts w:cs="Arial"/>
                <w:sz w:val="22"/>
                <w:szCs w:val="22"/>
                <w:lang w:eastAsia="fr-CA"/>
              </w:rPr>
              <w:t>a) la mère de l’enfant;</w:t>
            </w:r>
          </w:p>
          <w:p w14:paraId="43448F7C" w14:textId="77777777" w:rsidR="00E25F08" w:rsidRPr="00911998" w:rsidRDefault="00E25F08" w:rsidP="002622D1">
            <w:pPr>
              <w:pStyle w:val="Paragrsimple"/>
              <w:numPr>
                <w:ilvl w:val="0"/>
                <w:numId w:val="0"/>
              </w:numPr>
              <w:rPr>
                <w:rFonts w:cs="Arial"/>
                <w:sz w:val="22"/>
                <w:szCs w:val="22"/>
                <w:lang w:eastAsia="fr-CA"/>
              </w:rPr>
            </w:pPr>
            <w:r w:rsidRPr="00911998">
              <w:rPr>
                <w:rFonts w:cs="Arial"/>
                <w:sz w:val="22"/>
                <w:szCs w:val="22"/>
                <w:lang w:eastAsia="fr-CA"/>
              </w:rPr>
              <w:t>b) le père de l’enfant;</w:t>
            </w:r>
          </w:p>
          <w:p w14:paraId="7DBDF459" w14:textId="77777777" w:rsidR="00E25F08" w:rsidRPr="00911998" w:rsidRDefault="00E25F08" w:rsidP="002622D1">
            <w:pPr>
              <w:pStyle w:val="Paragrsimple"/>
              <w:numPr>
                <w:ilvl w:val="0"/>
                <w:numId w:val="0"/>
              </w:numPr>
              <w:rPr>
                <w:rFonts w:cs="Arial"/>
                <w:sz w:val="22"/>
                <w:szCs w:val="22"/>
                <w:lang w:eastAsia="fr-CA"/>
              </w:rPr>
            </w:pPr>
            <w:r w:rsidRPr="00911998">
              <w:rPr>
                <w:rFonts w:cs="Arial"/>
                <w:sz w:val="22"/>
                <w:szCs w:val="22"/>
                <w:lang w:eastAsia="fr-CA"/>
              </w:rPr>
              <w:t>c) un autre parent de l’enfant;</w:t>
            </w:r>
          </w:p>
          <w:p w14:paraId="14BEBED9" w14:textId="41268901" w:rsidR="00855622" w:rsidRPr="00911998" w:rsidRDefault="00E25F08" w:rsidP="00E25F08">
            <w:pPr>
              <w:pStyle w:val="Paragrsimple"/>
              <w:numPr>
                <w:ilvl w:val="0"/>
                <w:numId w:val="0"/>
              </w:numPr>
              <w:rPr>
                <w:rFonts w:cs="Arial"/>
                <w:sz w:val="22"/>
                <w:szCs w:val="22"/>
                <w:lang w:eastAsia="fr-CA"/>
              </w:rPr>
            </w:pPr>
            <w:r w:rsidRPr="00911998">
              <w:rPr>
                <w:rFonts w:cs="Arial"/>
                <w:sz w:val="22"/>
                <w:szCs w:val="22"/>
                <w:lang w:eastAsia="fr-CA"/>
              </w:rPr>
              <w:lastRenderedPageBreak/>
              <w:t>[…]</w:t>
            </w:r>
          </w:p>
        </w:tc>
        <w:tc>
          <w:tcPr>
            <w:tcW w:w="4536" w:type="dxa"/>
          </w:tcPr>
          <w:p w14:paraId="2A00A7DC" w14:textId="70D64C0B" w:rsidR="00855622" w:rsidRPr="00911998" w:rsidRDefault="00855622" w:rsidP="002622D1">
            <w:pPr>
              <w:pStyle w:val="Paragrsimple"/>
              <w:numPr>
                <w:ilvl w:val="0"/>
                <w:numId w:val="0"/>
              </w:numPr>
              <w:rPr>
                <w:rFonts w:cs="Arial"/>
                <w:i/>
                <w:iCs/>
                <w:sz w:val="22"/>
                <w:szCs w:val="22"/>
                <w:lang w:val="en-CA" w:eastAsia="fr-CA"/>
              </w:rPr>
            </w:pPr>
            <w:r w:rsidRPr="00911998">
              <w:rPr>
                <w:rFonts w:cs="Arial"/>
                <w:b/>
                <w:bCs/>
                <w:i/>
                <w:iCs/>
                <w:sz w:val="22"/>
                <w:szCs w:val="22"/>
                <w:lang w:val="en-CA" w:eastAsia="fr-CA"/>
              </w:rPr>
              <w:lastRenderedPageBreak/>
              <w:t>1</w:t>
            </w:r>
            <w:r w:rsidRPr="00911998">
              <w:rPr>
                <w:rFonts w:cs="Arial"/>
                <w:i/>
                <w:iCs/>
                <w:sz w:val="22"/>
                <w:szCs w:val="22"/>
                <w:lang w:val="en-CA" w:eastAsia="fr-CA"/>
              </w:rPr>
              <w:t>(1</w:t>
            </w:r>
            <w:proofErr w:type="gramStart"/>
            <w:r w:rsidRPr="00911998">
              <w:rPr>
                <w:rFonts w:cs="Arial"/>
                <w:i/>
                <w:iCs/>
                <w:sz w:val="22"/>
                <w:szCs w:val="22"/>
                <w:lang w:val="en-CA" w:eastAsia="fr-CA"/>
              </w:rPr>
              <w:t>)  In</w:t>
            </w:r>
            <w:proofErr w:type="gramEnd"/>
            <w:r w:rsidRPr="00911998">
              <w:rPr>
                <w:rFonts w:cs="Arial"/>
                <w:i/>
                <w:iCs/>
                <w:sz w:val="22"/>
                <w:szCs w:val="22"/>
                <w:lang w:val="en-CA" w:eastAsia="fr-CA"/>
              </w:rPr>
              <w:t xml:space="preserve"> this Act</w:t>
            </w:r>
          </w:p>
          <w:p w14:paraId="1EC74BEF" w14:textId="55C08F0C" w:rsidR="00855622" w:rsidRPr="00911998" w:rsidRDefault="00855622" w:rsidP="00855622">
            <w:pPr>
              <w:pStyle w:val="Paragrsimple"/>
              <w:numPr>
                <w:ilvl w:val="0"/>
                <w:numId w:val="0"/>
              </w:numPr>
              <w:rPr>
                <w:i/>
                <w:iCs/>
                <w:sz w:val="22"/>
                <w:szCs w:val="22"/>
                <w:lang w:val="en-CA" w:eastAsia="fr-CA"/>
              </w:rPr>
            </w:pPr>
            <w:r w:rsidRPr="00911998">
              <w:rPr>
                <w:rFonts w:cs="Arial"/>
                <w:i/>
                <w:iCs/>
                <w:sz w:val="22"/>
                <w:szCs w:val="22"/>
                <w:lang w:val="en-CA" w:eastAsia="fr-CA"/>
              </w:rPr>
              <w:t>[…]</w:t>
            </w:r>
          </w:p>
          <w:p w14:paraId="4D54CE1A" w14:textId="30B51A57" w:rsidR="00855622" w:rsidRPr="00911998" w:rsidRDefault="00855622" w:rsidP="002622D1">
            <w:pPr>
              <w:pStyle w:val="Paragrsimple"/>
              <w:numPr>
                <w:ilvl w:val="0"/>
                <w:numId w:val="0"/>
              </w:numPr>
              <w:rPr>
                <w:rFonts w:cs="Arial"/>
                <w:i/>
                <w:iCs/>
                <w:sz w:val="22"/>
                <w:szCs w:val="22"/>
                <w:lang w:val="en-CA" w:eastAsia="fr-CA"/>
              </w:rPr>
            </w:pPr>
            <w:r w:rsidRPr="00911998">
              <w:rPr>
                <w:rFonts w:cs="Arial"/>
                <w:i/>
                <w:iCs/>
                <w:sz w:val="22"/>
                <w:szCs w:val="22"/>
                <w:lang w:val="en-CA" w:eastAsia="fr-CA"/>
              </w:rPr>
              <w:t>“</w:t>
            </w:r>
            <w:r w:rsidRPr="00911998">
              <w:rPr>
                <w:rFonts w:cs="Arial"/>
                <w:b/>
                <w:bCs/>
                <w:i/>
                <w:iCs/>
                <w:sz w:val="22"/>
                <w:szCs w:val="22"/>
                <w:lang w:val="en-CA" w:eastAsia="fr-CA"/>
              </w:rPr>
              <w:t>father</w:t>
            </w:r>
            <w:r w:rsidRPr="00911998">
              <w:rPr>
                <w:rFonts w:cs="Arial"/>
                <w:i/>
                <w:iCs/>
                <w:sz w:val="22"/>
                <w:szCs w:val="22"/>
                <w:lang w:val="en-CA" w:eastAsia="fr-CA"/>
              </w:rPr>
              <w:t>” means a person who acknowledges being the biological father of a child; « père »</w:t>
            </w:r>
          </w:p>
          <w:p w14:paraId="41015A2E" w14:textId="77777777" w:rsidR="00855622" w:rsidRPr="00911998" w:rsidRDefault="00855622" w:rsidP="00855622">
            <w:pPr>
              <w:pStyle w:val="Paragrsimple"/>
              <w:numPr>
                <w:ilvl w:val="0"/>
                <w:numId w:val="0"/>
              </w:numPr>
              <w:rPr>
                <w:i/>
                <w:iCs/>
                <w:sz w:val="22"/>
                <w:szCs w:val="22"/>
                <w:lang w:val="en-CA" w:eastAsia="fr-CA"/>
              </w:rPr>
            </w:pPr>
            <w:r w:rsidRPr="00911998">
              <w:rPr>
                <w:rFonts w:cs="Arial"/>
                <w:i/>
                <w:iCs/>
                <w:sz w:val="22"/>
                <w:szCs w:val="22"/>
                <w:lang w:val="en-CA" w:eastAsia="fr-CA"/>
              </w:rPr>
              <w:t>[…]</w:t>
            </w:r>
          </w:p>
          <w:p w14:paraId="1F22FC05" w14:textId="77777777" w:rsidR="00855622" w:rsidRPr="00911998" w:rsidRDefault="00855622" w:rsidP="00855622">
            <w:pPr>
              <w:pStyle w:val="Paragrsimple"/>
              <w:numPr>
                <w:ilvl w:val="0"/>
                <w:numId w:val="0"/>
              </w:numPr>
              <w:rPr>
                <w:i/>
                <w:iCs/>
                <w:sz w:val="22"/>
                <w:szCs w:val="22"/>
                <w:lang w:val="en-CA" w:eastAsia="fr-CA"/>
              </w:rPr>
            </w:pPr>
            <w:r w:rsidRPr="00911998">
              <w:rPr>
                <w:i/>
                <w:iCs/>
                <w:sz w:val="22"/>
                <w:szCs w:val="22"/>
                <w:lang w:val="en-CA" w:eastAsia="fr-CA"/>
              </w:rPr>
              <w:t>“</w:t>
            </w:r>
            <w:r w:rsidRPr="00911998">
              <w:rPr>
                <w:b/>
                <w:bCs/>
                <w:i/>
                <w:iCs/>
                <w:sz w:val="22"/>
                <w:szCs w:val="22"/>
                <w:lang w:val="en-CA" w:eastAsia="fr-CA"/>
              </w:rPr>
              <w:t>mother</w:t>
            </w:r>
            <w:r w:rsidRPr="00911998">
              <w:rPr>
                <w:i/>
                <w:iCs/>
                <w:sz w:val="22"/>
                <w:szCs w:val="22"/>
                <w:lang w:val="en-CA" w:eastAsia="fr-CA"/>
              </w:rPr>
              <w:t>” means the woman from whom a child is delivered; « mère »</w:t>
            </w:r>
          </w:p>
          <w:p w14:paraId="4CE745EB" w14:textId="1C2B18B2" w:rsidR="00855622" w:rsidRPr="00911998" w:rsidRDefault="00855622" w:rsidP="00855622">
            <w:pPr>
              <w:pStyle w:val="Paragrsimple"/>
              <w:numPr>
                <w:ilvl w:val="0"/>
                <w:numId w:val="0"/>
              </w:numPr>
              <w:rPr>
                <w:i/>
                <w:iCs/>
                <w:sz w:val="22"/>
                <w:szCs w:val="22"/>
                <w:lang w:val="en-CA" w:eastAsia="fr-CA"/>
              </w:rPr>
            </w:pPr>
            <w:r w:rsidRPr="00911998">
              <w:rPr>
                <w:i/>
                <w:iCs/>
                <w:sz w:val="22"/>
                <w:szCs w:val="22"/>
                <w:lang w:val="en-CA" w:eastAsia="fr-CA"/>
              </w:rPr>
              <w:t>“</w:t>
            </w:r>
            <w:proofErr w:type="gramStart"/>
            <w:r w:rsidRPr="00911998">
              <w:rPr>
                <w:b/>
                <w:bCs/>
                <w:i/>
                <w:iCs/>
                <w:sz w:val="22"/>
                <w:szCs w:val="22"/>
                <w:lang w:val="en-CA" w:eastAsia="fr-CA"/>
              </w:rPr>
              <w:t>other</w:t>
            </w:r>
            <w:proofErr w:type="gramEnd"/>
            <w:r w:rsidRPr="00911998">
              <w:rPr>
                <w:b/>
                <w:bCs/>
                <w:i/>
                <w:iCs/>
                <w:sz w:val="22"/>
                <w:szCs w:val="22"/>
                <w:lang w:val="en-CA" w:eastAsia="fr-CA"/>
              </w:rPr>
              <w:t xml:space="preserve"> parent</w:t>
            </w:r>
            <w:r w:rsidRPr="00911998">
              <w:rPr>
                <w:i/>
                <w:iCs/>
                <w:sz w:val="22"/>
                <w:szCs w:val="22"/>
                <w:lang w:val="en-CA" w:eastAsia="fr-CA"/>
              </w:rPr>
              <w:t xml:space="preserve">” in relation to a birth, means a person other than </w:t>
            </w:r>
            <w:r w:rsidRPr="00911998">
              <w:rPr>
                <w:rFonts w:cs="Arial"/>
                <w:i/>
                <w:iCs/>
                <w:sz w:val="22"/>
                <w:szCs w:val="22"/>
                <w:lang w:val="en-CA" w:eastAsia="fr-CA"/>
              </w:rPr>
              <w:t>the</w:t>
            </w:r>
            <w:r w:rsidRPr="00911998">
              <w:rPr>
                <w:i/>
                <w:iCs/>
                <w:sz w:val="22"/>
                <w:szCs w:val="22"/>
                <w:lang w:val="en-CA" w:eastAsia="fr-CA"/>
              </w:rPr>
              <w:t xml:space="preserve"> mother or father, who is the spouse of the mother or father and who intends to participate as a parent in the upbringing of the child; « </w:t>
            </w:r>
            <w:proofErr w:type="spellStart"/>
            <w:r w:rsidRPr="00911998">
              <w:rPr>
                <w:i/>
                <w:iCs/>
                <w:sz w:val="22"/>
                <w:szCs w:val="22"/>
                <w:lang w:val="en-CA" w:eastAsia="fr-CA"/>
              </w:rPr>
              <w:t>autre</w:t>
            </w:r>
            <w:proofErr w:type="spellEnd"/>
            <w:r w:rsidRPr="00911998">
              <w:rPr>
                <w:i/>
                <w:iCs/>
                <w:sz w:val="22"/>
                <w:szCs w:val="22"/>
                <w:lang w:val="en-CA" w:eastAsia="fr-CA"/>
              </w:rPr>
              <w:t xml:space="preserve"> parent »</w:t>
            </w:r>
          </w:p>
          <w:p w14:paraId="0215850A" w14:textId="77777777" w:rsidR="00855622" w:rsidRPr="00911998" w:rsidRDefault="00855622" w:rsidP="00855622">
            <w:pPr>
              <w:pStyle w:val="Paragrsimple"/>
              <w:numPr>
                <w:ilvl w:val="0"/>
                <w:numId w:val="0"/>
              </w:numPr>
              <w:rPr>
                <w:rFonts w:cs="Arial"/>
                <w:i/>
                <w:iCs/>
                <w:sz w:val="22"/>
                <w:szCs w:val="22"/>
                <w:lang w:val="en-CA" w:eastAsia="fr-CA"/>
              </w:rPr>
            </w:pPr>
            <w:r w:rsidRPr="00911998">
              <w:rPr>
                <w:rFonts w:cs="Arial"/>
                <w:i/>
                <w:iCs/>
                <w:sz w:val="22"/>
                <w:szCs w:val="22"/>
                <w:lang w:val="en-CA" w:eastAsia="fr-CA"/>
              </w:rPr>
              <w:t>[…]</w:t>
            </w:r>
          </w:p>
          <w:p w14:paraId="0C2B59E2" w14:textId="77777777" w:rsidR="00B2757C" w:rsidRPr="00911998" w:rsidRDefault="00B2757C" w:rsidP="00B2757C">
            <w:pPr>
              <w:pStyle w:val="Paragrsimple"/>
              <w:numPr>
                <w:ilvl w:val="0"/>
                <w:numId w:val="0"/>
              </w:numPr>
              <w:rPr>
                <w:rFonts w:cs="Arial"/>
                <w:b/>
                <w:bCs/>
                <w:i/>
                <w:iCs/>
                <w:sz w:val="22"/>
                <w:szCs w:val="22"/>
                <w:lang w:val="en-CA" w:eastAsia="fr-CA"/>
              </w:rPr>
            </w:pPr>
          </w:p>
          <w:p w14:paraId="4AD983BE" w14:textId="0095C175" w:rsidR="00855622" w:rsidRPr="00911998" w:rsidRDefault="00855622" w:rsidP="00B2757C">
            <w:pPr>
              <w:pStyle w:val="Paragrsimple"/>
              <w:numPr>
                <w:ilvl w:val="0"/>
                <w:numId w:val="0"/>
              </w:numPr>
              <w:rPr>
                <w:rFonts w:cs="Arial"/>
                <w:b/>
                <w:bCs/>
                <w:i/>
                <w:iCs/>
                <w:sz w:val="22"/>
                <w:szCs w:val="22"/>
                <w:lang w:val="en-CA" w:eastAsia="fr-CA"/>
              </w:rPr>
            </w:pPr>
            <w:r w:rsidRPr="00911998">
              <w:rPr>
                <w:rFonts w:cs="Arial"/>
                <w:b/>
                <w:bCs/>
                <w:i/>
                <w:iCs/>
                <w:sz w:val="22"/>
                <w:szCs w:val="22"/>
                <w:lang w:val="en-CA" w:eastAsia="fr-CA"/>
              </w:rPr>
              <w:t>4</w:t>
            </w:r>
            <w:r w:rsidR="00DC4EED" w:rsidRPr="00911998">
              <w:rPr>
                <w:rFonts w:cs="Arial"/>
                <w:b/>
                <w:bCs/>
                <w:i/>
                <w:iCs/>
                <w:sz w:val="22"/>
                <w:szCs w:val="22"/>
                <w:lang w:val="en-CA" w:eastAsia="fr-CA"/>
              </w:rPr>
              <w:t> </w:t>
            </w:r>
            <w:r w:rsidR="00DC4EED" w:rsidRPr="00911998">
              <w:rPr>
                <w:rFonts w:cs="Arial"/>
                <w:i/>
                <w:iCs/>
                <w:sz w:val="22"/>
                <w:szCs w:val="22"/>
                <w:lang w:val="en-CA" w:eastAsia="fr-CA"/>
              </w:rPr>
              <w:t>(2) The following persons shall, within 60 days after the birth of a child in the Yukon, complete and deliver or mail a statement in the prescribed form respecting the birth to the registrar</w:t>
            </w:r>
          </w:p>
          <w:p w14:paraId="5A20BB23" w14:textId="77777777" w:rsidR="00B2757C" w:rsidRPr="00911998" w:rsidRDefault="00B2757C" w:rsidP="002622D1">
            <w:pPr>
              <w:pStyle w:val="Paragrsimple"/>
              <w:numPr>
                <w:ilvl w:val="0"/>
                <w:numId w:val="0"/>
              </w:numPr>
              <w:rPr>
                <w:rFonts w:cs="Arial"/>
                <w:i/>
                <w:iCs/>
                <w:sz w:val="22"/>
                <w:szCs w:val="22"/>
                <w:lang w:val="en-CA" w:eastAsia="fr-CA"/>
              </w:rPr>
            </w:pPr>
          </w:p>
          <w:p w14:paraId="070BDC20" w14:textId="7623E54D" w:rsidR="00DC4EED" w:rsidRPr="00911998" w:rsidRDefault="00DC4EED" w:rsidP="002622D1">
            <w:pPr>
              <w:pStyle w:val="Paragrsimple"/>
              <w:numPr>
                <w:ilvl w:val="0"/>
                <w:numId w:val="0"/>
              </w:numPr>
              <w:rPr>
                <w:rFonts w:cs="Arial"/>
                <w:i/>
                <w:iCs/>
                <w:sz w:val="22"/>
                <w:szCs w:val="22"/>
                <w:lang w:val="en-CA" w:eastAsia="fr-CA"/>
              </w:rPr>
            </w:pPr>
            <w:r w:rsidRPr="00911998">
              <w:rPr>
                <w:rFonts w:cs="Arial"/>
                <w:i/>
                <w:iCs/>
                <w:sz w:val="22"/>
                <w:szCs w:val="22"/>
                <w:lang w:val="en-CA" w:eastAsia="fr-CA"/>
              </w:rPr>
              <w:t xml:space="preserve">(a) the mother of the </w:t>
            </w:r>
            <w:proofErr w:type="gramStart"/>
            <w:r w:rsidRPr="00911998">
              <w:rPr>
                <w:rFonts w:cs="Arial"/>
                <w:i/>
                <w:iCs/>
                <w:sz w:val="22"/>
                <w:szCs w:val="22"/>
                <w:lang w:val="en-CA" w:eastAsia="fr-CA"/>
              </w:rPr>
              <w:t>child;</w:t>
            </w:r>
            <w:proofErr w:type="gramEnd"/>
          </w:p>
          <w:p w14:paraId="57963B8A" w14:textId="37BDC0D8" w:rsidR="00DC4EED" w:rsidRPr="00911998" w:rsidRDefault="00DC4EED" w:rsidP="00DC4EED">
            <w:pPr>
              <w:pStyle w:val="Paragrsimple"/>
              <w:numPr>
                <w:ilvl w:val="0"/>
                <w:numId w:val="0"/>
              </w:numPr>
              <w:rPr>
                <w:i/>
                <w:iCs/>
                <w:sz w:val="22"/>
                <w:szCs w:val="22"/>
                <w:lang w:val="en-CA" w:eastAsia="fr-CA"/>
              </w:rPr>
            </w:pPr>
            <w:r w:rsidRPr="00911998">
              <w:rPr>
                <w:i/>
                <w:iCs/>
                <w:sz w:val="22"/>
                <w:szCs w:val="22"/>
                <w:lang w:val="en-CA" w:eastAsia="fr-CA"/>
              </w:rPr>
              <w:t xml:space="preserve">(b) the father of the </w:t>
            </w:r>
            <w:proofErr w:type="gramStart"/>
            <w:r w:rsidRPr="00911998">
              <w:rPr>
                <w:i/>
                <w:iCs/>
                <w:sz w:val="22"/>
                <w:szCs w:val="22"/>
                <w:lang w:val="en-CA" w:eastAsia="fr-CA"/>
              </w:rPr>
              <w:t>child;</w:t>
            </w:r>
            <w:proofErr w:type="gramEnd"/>
          </w:p>
          <w:p w14:paraId="79E2C333" w14:textId="28255F2E" w:rsidR="00DC4EED" w:rsidRPr="00911998" w:rsidRDefault="00DC4EED" w:rsidP="00DC4EED">
            <w:pPr>
              <w:pStyle w:val="Paragrsimple"/>
              <w:numPr>
                <w:ilvl w:val="0"/>
                <w:numId w:val="0"/>
              </w:numPr>
              <w:rPr>
                <w:i/>
                <w:iCs/>
                <w:sz w:val="22"/>
                <w:szCs w:val="22"/>
                <w:lang w:val="en-CA" w:eastAsia="fr-CA"/>
              </w:rPr>
            </w:pPr>
            <w:r w:rsidRPr="00911998">
              <w:rPr>
                <w:i/>
                <w:iCs/>
                <w:sz w:val="22"/>
                <w:szCs w:val="22"/>
                <w:lang w:val="en-CA" w:eastAsia="fr-CA"/>
              </w:rPr>
              <w:t xml:space="preserve">(c) </w:t>
            </w:r>
            <w:proofErr w:type="gramStart"/>
            <w:r w:rsidRPr="00911998">
              <w:rPr>
                <w:i/>
                <w:iCs/>
                <w:sz w:val="22"/>
                <w:szCs w:val="22"/>
                <w:lang w:val="en-CA" w:eastAsia="fr-CA"/>
              </w:rPr>
              <w:t>an other</w:t>
            </w:r>
            <w:proofErr w:type="gramEnd"/>
            <w:r w:rsidRPr="00911998">
              <w:rPr>
                <w:i/>
                <w:iCs/>
                <w:sz w:val="22"/>
                <w:szCs w:val="22"/>
                <w:lang w:val="en-CA" w:eastAsia="fr-CA"/>
              </w:rPr>
              <w:t xml:space="preserve"> parent of the child;</w:t>
            </w:r>
          </w:p>
          <w:p w14:paraId="1FE353BD" w14:textId="0F40EF17" w:rsidR="00855622" w:rsidRPr="00911998" w:rsidRDefault="00DC4EED" w:rsidP="00DC4EED">
            <w:pPr>
              <w:pStyle w:val="Paragrsimple"/>
              <w:numPr>
                <w:ilvl w:val="0"/>
                <w:numId w:val="0"/>
              </w:numPr>
              <w:rPr>
                <w:rFonts w:cs="Arial"/>
                <w:sz w:val="22"/>
                <w:szCs w:val="22"/>
                <w:lang w:val="en-CA"/>
              </w:rPr>
            </w:pPr>
            <w:r w:rsidRPr="00911998">
              <w:rPr>
                <w:rFonts w:cs="Arial"/>
                <w:i/>
                <w:iCs/>
                <w:sz w:val="22"/>
                <w:szCs w:val="22"/>
                <w:lang w:val="en-CA" w:eastAsia="fr-CA"/>
              </w:rPr>
              <w:lastRenderedPageBreak/>
              <w:t>[…]</w:t>
            </w:r>
            <w:hyperlink r:id="rId51" w:anchor="se:54" w:history="1"/>
          </w:p>
        </w:tc>
      </w:tr>
    </w:tbl>
    <w:p w14:paraId="01E8169F" w14:textId="49AF1766" w:rsidR="00A06605" w:rsidRPr="00911998" w:rsidRDefault="00266F59" w:rsidP="00AB53B5">
      <w:pPr>
        <w:pStyle w:val="Paragrsimple"/>
      </w:pPr>
      <w:r w:rsidRPr="00911998">
        <w:lastRenderedPageBreak/>
        <w:t>Compte tenu de ces exemples législatifs</w:t>
      </w:r>
      <w:r w:rsidR="00B06112" w:rsidRPr="00911998">
        <w:rPr>
          <w:rStyle w:val="Appelnotedebasdep"/>
        </w:rPr>
        <w:footnoteReference w:id="249"/>
      </w:r>
      <w:r w:rsidRPr="00911998">
        <w:t xml:space="preserve"> </w:t>
      </w:r>
      <w:r w:rsidR="00FE6CC3" w:rsidRPr="00911998">
        <w:t>—</w:t>
      </w:r>
      <w:r w:rsidRPr="00911998">
        <w:t xml:space="preserve"> </w:t>
      </w:r>
      <w:r w:rsidR="00BD32BF" w:rsidRPr="00911998">
        <w:t>lesquels</w:t>
      </w:r>
      <w:r w:rsidRPr="00911998">
        <w:t xml:space="preserve"> élaborent des règles</w:t>
      </w:r>
      <w:r w:rsidR="003860A4" w:rsidRPr="00911998">
        <w:t>, par ailleurs stables et prévisibles,</w:t>
      </w:r>
      <w:r w:rsidRPr="00911998">
        <w:t xml:space="preserve"> permettant </w:t>
      </w:r>
      <w:r w:rsidR="003860A4" w:rsidRPr="00911998">
        <w:t xml:space="preserve">la reconnaissance légale de familles </w:t>
      </w:r>
      <w:proofErr w:type="spellStart"/>
      <w:r w:rsidR="003860A4" w:rsidRPr="00911998">
        <w:t>pluriparentales</w:t>
      </w:r>
      <w:proofErr w:type="spellEnd"/>
      <w:r w:rsidR="003860A4" w:rsidRPr="00911998">
        <w:t> </w:t>
      </w:r>
      <w:r w:rsidR="00FE6CC3" w:rsidRPr="00911998">
        <w:t>—</w:t>
      </w:r>
      <w:r w:rsidRPr="00911998">
        <w:t xml:space="preserve"> il est manifeste qu’il existe d’autres mesures moins attentatoires pour atteindre les objectifs législatifs proposés par le PGQ. </w:t>
      </w:r>
      <w:r w:rsidR="00E71F96" w:rsidRPr="00911998">
        <w:t xml:space="preserve">Du reste, le PGQ n’a pas </w:t>
      </w:r>
      <w:r w:rsidR="00FE6CC3" w:rsidRPr="00911998">
        <w:t>plaidé</w:t>
      </w:r>
      <w:r w:rsidR="00E71F96" w:rsidRPr="00911998">
        <w:t xml:space="preserve"> ni démontré que ces solutions de rechange auraient pour conséquence de compromettre</w:t>
      </w:r>
      <w:r w:rsidR="00EB230A" w:rsidRPr="00911998">
        <w:t xml:space="preserve"> la poursuite des</w:t>
      </w:r>
      <w:r w:rsidR="000F13F5" w:rsidRPr="00911998">
        <w:t>dits</w:t>
      </w:r>
      <w:r w:rsidR="00BD32BF" w:rsidRPr="00911998">
        <w:t xml:space="preserve"> </w:t>
      </w:r>
      <w:r w:rsidR="00E71F96" w:rsidRPr="00911998">
        <w:t>objectif</w:t>
      </w:r>
      <w:r w:rsidR="00B24E0D" w:rsidRPr="00911998">
        <w:t>s</w:t>
      </w:r>
      <w:r w:rsidR="005A74C0" w:rsidRPr="00911998">
        <w:rPr>
          <w:rStyle w:val="Appelnotedebasdep"/>
        </w:rPr>
        <w:footnoteReference w:id="250"/>
      </w:r>
      <w:r w:rsidR="00BD32BF" w:rsidRPr="00911998">
        <w:t>.</w:t>
      </w:r>
    </w:p>
    <w:p w14:paraId="266D5EE5" w14:textId="783794E3" w:rsidR="00B32629" w:rsidRPr="00911998" w:rsidRDefault="00600D0F" w:rsidP="00BB6884">
      <w:pPr>
        <w:pStyle w:val="Paragrsimple"/>
      </w:pPr>
      <w:r w:rsidRPr="00911998">
        <w:t>En revanche, l</w:t>
      </w:r>
      <w:r w:rsidR="00BB6884" w:rsidRPr="00911998">
        <w:t xml:space="preserve">e PGQ plaide que toute autre limite numérique fera </w:t>
      </w:r>
      <w:r w:rsidR="00FE6CC3" w:rsidRPr="00911998">
        <w:t>elle aussi</w:t>
      </w:r>
      <w:r w:rsidR="00BB6884" w:rsidRPr="00911998">
        <w:t xml:space="preserve"> l’objet d’une contestation constitutionnelle. Avec égards, </w:t>
      </w:r>
      <w:r w:rsidR="000F13F5" w:rsidRPr="00911998">
        <w:t>ceci relève</w:t>
      </w:r>
      <w:r w:rsidR="00BB6884" w:rsidRPr="00911998">
        <w:t xml:space="preserve"> de la spéculation et </w:t>
      </w:r>
      <w:r w:rsidR="00FE6CC3" w:rsidRPr="00911998">
        <w:t>l’on</w:t>
      </w:r>
      <w:r w:rsidR="00BB6884" w:rsidRPr="00911998">
        <w:t xml:space="preserve"> ignore le sort d’une contestation éventuelle d’une mesure</w:t>
      </w:r>
      <w:r w:rsidR="00EB230A" w:rsidRPr="00911998">
        <w:t xml:space="preserve"> </w:t>
      </w:r>
      <w:r w:rsidR="00FE6CC3" w:rsidRPr="00911998">
        <w:t>jusqu’</w:t>
      </w:r>
      <w:r w:rsidR="00EB230A" w:rsidRPr="00911998">
        <w:t>à présent</w:t>
      </w:r>
      <w:r w:rsidR="00BB6884" w:rsidRPr="00911998">
        <w:t xml:space="preserve"> inexistante. Il ne s’agit pas d’un argument </w:t>
      </w:r>
      <w:r w:rsidR="00E4227F">
        <w:t>permettant</w:t>
      </w:r>
      <w:r w:rsidR="00BB6884" w:rsidRPr="00911998">
        <w:t xml:space="preserve"> de justifier une mesure attentatoire</w:t>
      </w:r>
      <w:r w:rsidR="00E4227F">
        <w:t xml:space="preserve"> qui</w:t>
      </w:r>
      <w:r w:rsidR="00BB6884" w:rsidRPr="00911998">
        <w:t xml:space="preserve"> ne satisfait pas</w:t>
      </w:r>
      <w:r w:rsidR="000F13F5" w:rsidRPr="00911998">
        <w:t xml:space="preserve"> au</w:t>
      </w:r>
      <w:r w:rsidR="00BB6884" w:rsidRPr="00911998">
        <w:t xml:space="preserve"> critère de l’atteinte minimale. </w:t>
      </w:r>
    </w:p>
    <w:p w14:paraId="20DC6A2C" w14:textId="0154C2F3" w:rsidR="00B32629" w:rsidRPr="00911998" w:rsidRDefault="003860A4" w:rsidP="00277EEA">
      <w:pPr>
        <w:pStyle w:val="Paragrsimple"/>
      </w:pPr>
      <w:r w:rsidRPr="00911998">
        <w:t>En fin d’analyse, l’argument du PGQ</w:t>
      </w:r>
      <w:r w:rsidR="00974864" w:rsidRPr="00911998">
        <w:t xml:space="preserve"> </w:t>
      </w:r>
      <w:r w:rsidR="00FE6CC3" w:rsidRPr="00911998">
        <w:t>—</w:t>
      </w:r>
      <w:r w:rsidR="00974864" w:rsidRPr="00911998">
        <w:t xml:space="preserve"> qui, rappelons-le, n’a administré aucune preuve sur la question de l’atteinte minimale </w:t>
      </w:r>
      <w:r w:rsidR="00FE6CC3" w:rsidRPr="00911998">
        <w:t>—</w:t>
      </w:r>
      <w:r w:rsidR="00371E33" w:rsidRPr="00911998">
        <w:t> </w:t>
      </w:r>
      <w:r w:rsidR="00470191" w:rsidRPr="00911998">
        <w:t>invite</w:t>
      </w:r>
      <w:r w:rsidR="00974864" w:rsidRPr="00911998">
        <w:t xml:space="preserve"> purement et simplement </w:t>
      </w:r>
      <w:r w:rsidR="00470191" w:rsidRPr="00911998">
        <w:t>à la déférence</w:t>
      </w:r>
      <w:r w:rsidRPr="00911998">
        <w:t>. Cette approche</w:t>
      </w:r>
      <w:r w:rsidR="00974864" w:rsidRPr="00911998">
        <w:t xml:space="preserve"> équivaut à </w:t>
      </w:r>
      <w:r w:rsidR="00FE3FE1" w:rsidRPr="00911998">
        <w:t xml:space="preserve">réduire son fardeau de preuve sur la justification à néant. </w:t>
      </w:r>
      <w:r w:rsidRPr="00911998">
        <w:t>Certes, le pouvoir judiciaire doit faire preuve de déférence à l’égard des choix du législateur, mais celle</w:t>
      </w:r>
      <w:r w:rsidRPr="00911998">
        <w:noBreakHyphen/>
        <w:t>ci ne peut être ni absolue ni aveugle</w:t>
      </w:r>
      <w:r w:rsidRPr="00911998">
        <w:rPr>
          <w:rStyle w:val="Appelnotedebasdep"/>
        </w:rPr>
        <w:footnoteReference w:id="251"/>
      </w:r>
      <w:r w:rsidRPr="00911998">
        <w:t xml:space="preserve">. </w:t>
      </w:r>
      <w:r w:rsidR="00B32629" w:rsidRPr="00911998">
        <w:t>Comme l’a écrit la juge Deschamps, «</w:t>
      </w:r>
      <w:r w:rsidR="00FE6CC3" w:rsidRPr="00911998">
        <w:t> </w:t>
      </w:r>
      <w:r w:rsidR="00B32629" w:rsidRPr="00911998">
        <w:t>La déférence ne saurait entraîner l’abdication par le pouvoir judiciaire de son rôle devant le pouvoir législatif ou exécutif</w:t>
      </w:r>
      <w:r w:rsidR="00FE6CC3" w:rsidRPr="00911998">
        <w:t> </w:t>
      </w:r>
      <w:r w:rsidR="00B32629" w:rsidRPr="00911998">
        <w:t>»</w:t>
      </w:r>
      <w:r w:rsidR="00B32629" w:rsidRPr="00911998">
        <w:rPr>
          <w:rStyle w:val="Appelnotedebasdep"/>
        </w:rPr>
        <w:footnoteReference w:id="252"/>
      </w:r>
      <w:r w:rsidR="00B32629" w:rsidRPr="00911998">
        <w:t>.</w:t>
      </w:r>
    </w:p>
    <w:p w14:paraId="0AC65AC3" w14:textId="63A45AEB" w:rsidR="00FE3FE1" w:rsidRPr="00911998" w:rsidRDefault="00FE3FE1" w:rsidP="00FE3FE1">
      <w:pPr>
        <w:pStyle w:val="Paragrsimple"/>
      </w:pPr>
      <w:r w:rsidRPr="00911998">
        <w:t xml:space="preserve">Le volet </w:t>
      </w:r>
      <w:r w:rsidR="00384A02" w:rsidRPr="00911998">
        <w:t>de l’</w:t>
      </w:r>
      <w:r w:rsidRPr="00911998">
        <w:t>atteinte minimale du critère de proportionnalité n’est pas satisfait.</w:t>
      </w:r>
    </w:p>
    <w:p w14:paraId="1C41E2B3" w14:textId="33359823" w:rsidR="00FE3FE1" w:rsidRPr="00911998" w:rsidRDefault="00D61E1E" w:rsidP="00FE3FE1">
      <w:pPr>
        <w:pStyle w:val="Titre4"/>
      </w:pPr>
      <w:r w:rsidRPr="00911998">
        <w:t>La proportionnalité des effets</w:t>
      </w:r>
    </w:p>
    <w:p w14:paraId="4A960C04" w14:textId="252BEAE4" w:rsidR="00B06B73" w:rsidRPr="00911998" w:rsidRDefault="004F7FAE" w:rsidP="00D61E1E">
      <w:pPr>
        <w:pStyle w:val="Paragrsimple"/>
      </w:pPr>
      <w:r w:rsidRPr="00911998">
        <w:t xml:space="preserve">Compte tenu de ce qui précède, il n’est pas strictement nécessaire de s’attarder au dernier volet du critère de </w:t>
      </w:r>
      <w:r w:rsidR="00384A02" w:rsidRPr="00911998">
        <w:t xml:space="preserve">la </w:t>
      </w:r>
      <w:r w:rsidRPr="00911998">
        <w:t>proportionnalité.</w:t>
      </w:r>
      <w:r w:rsidR="00B06B73" w:rsidRPr="00911998">
        <w:t xml:space="preserve"> Le PGQ affirme simplement que l’absence de limite numérique rendrait la filiation floue et instable. Or, comme </w:t>
      </w:r>
      <w:r w:rsidR="00470191" w:rsidRPr="00911998">
        <w:t>l’</w:t>
      </w:r>
      <w:r w:rsidR="00133620" w:rsidRPr="00911998">
        <w:t>illustre</w:t>
      </w:r>
      <w:r w:rsidR="00470191" w:rsidRPr="00911998">
        <w:t xml:space="preserve"> </w:t>
      </w:r>
      <w:r w:rsidR="00B06B73" w:rsidRPr="00911998">
        <w:t>la législation en Colombie</w:t>
      </w:r>
      <w:r w:rsidR="00B06B73" w:rsidRPr="00911998">
        <w:noBreakHyphen/>
        <w:t>Britannique, en Ontario</w:t>
      </w:r>
      <w:r w:rsidR="00470191" w:rsidRPr="00911998">
        <w:t>,</w:t>
      </w:r>
      <w:r w:rsidR="00B06B73" w:rsidRPr="00911998">
        <w:t xml:space="preserve"> </w:t>
      </w:r>
      <w:r w:rsidR="00133620" w:rsidRPr="00911998">
        <w:t>en</w:t>
      </w:r>
      <w:r w:rsidR="00B06B73" w:rsidRPr="00911998">
        <w:t xml:space="preserve"> Saskatchewan</w:t>
      </w:r>
      <w:r w:rsidR="00470191" w:rsidRPr="00911998">
        <w:t xml:space="preserve"> et au Yukon</w:t>
      </w:r>
      <w:r w:rsidR="00B06B73" w:rsidRPr="00911998">
        <w:t xml:space="preserve">, il ne s’agit pas d’un choix binaire entre une limite de deux liens et </w:t>
      </w:r>
      <w:r w:rsidR="004654FC" w:rsidRPr="00911998">
        <w:t>l’absence de</w:t>
      </w:r>
      <w:r w:rsidR="00B06B73" w:rsidRPr="00911998">
        <w:t xml:space="preserve"> limite. Une variété de mesures alternatives existe.</w:t>
      </w:r>
    </w:p>
    <w:p w14:paraId="4D189A33" w14:textId="6AA952A1" w:rsidR="00D61E1E" w:rsidRPr="00911998" w:rsidRDefault="004F7FAE" w:rsidP="00D61E1E">
      <w:pPr>
        <w:pStyle w:val="Paragrsimple"/>
      </w:pPr>
      <w:r w:rsidRPr="00911998">
        <w:t xml:space="preserve">Signalons </w:t>
      </w:r>
      <w:r w:rsidR="00B06B73" w:rsidRPr="00911998">
        <w:t>également q</w:t>
      </w:r>
      <w:r w:rsidRPr="00911998">
        <w:t>u</w:t>
      </w:r>
      <w:r w:rsidR="00FA4749" w:rsidRPr="00911998">
        <w:t>’outre son affirmation qu’elle assure la stabilité et la prévisibilité,</w:t>
      </w:r>
      <w:r w:rsidRPr="00911998">
        <w:t xml:space="preserve"> le PGQ n’a administré aucune preuve </w:t>
      </w:r>
      <w:r w:rsidR="00946685" w:rsidRPr="00911998">
        <w:t>d</w:t>
      </w:r>
      <w:r w:rsidRPr="00911998">
        <w:t xml:space="preserve">es effets </w:t>
      </w:r>
      <w:r w:rsidR="00B06B73" w:rsidRPr="00911998">
        <w:t xml:space="preserve">bénéfiques de la limite de deux liens de filiation. </w:t>
      </w:r>
      <w:r w:rsidR="00FA4749" w:rsidRPr="00911998">
        <w:t xml:space="preserve">Dans les circonstances, il est impossible de conclure que les </w:t>
      </w:r>
      <w:r w:rsidR="00FA4749" w:rsidRPr="00911998">
        <w:lastRenderedPageBreak/>
        <w:t xml:space="preserve">avantages de la mesure outrepassent ses effets néfastes </w:t>
      </w:r>
      <w:r w:rsidR="009E69C7" w:rsidRPr="00911998">
        <w:t>décrits</w:t>
      </w:r>
      <w:r w:rsidR="001F49A5" w:rsidRPr="00911998">
        <w:t xml:space="preserve"> </w:t>
      </w:r>
      <w:r w:rsidR="00600D0F" w:rsidRPr="00911998">
        <w:t>dans le cadre</w:t>
      </w:r>
      <w:r w:rsidR="001F49A5" w:rsidRPr="00911998">
        <w:t xml:space="preserve"> de l’analyse du droit à l’égalité</w:t>
      </w:r>
      <w:r w:rsidR="00FA4749" w:rsidRPr="00911998">
        <w:t>.</w:t>
      </w:r>
    </w:p>
    <w:p w14:paraId="699BB7CE" w14:textId="3A842FF2" w:rsidR="00FA4749" w:rsidRPr="00911998" w:rsidRDefault="00FA4749" w:rsidP="00FA4749">
      <w:pPr>
        <w:pStyle w:val="Paragrsimple"/>
      </w:pPr>
      <w:r w:rsidRPr="00911998">
        <w:t>Pour tous ces motifs, l</w:t>
      </w:r>
      <w:r w:rsidR="001F49A5" w:rsidRPr="00911998">
        <w:t xml:space="preserve">’atteinte au paragraphe 15(1) de la </w:t>
      </w:r>
      <w:r w:rsidR="001F49A5" w:rsidRPr="00911998">
        <w:rPr>
          <w:i/>
          <w:iCs/>
        </w:rPr>
        <w:t xml:space="preserve">Charte canadienne </w:t>
      </w:r>
      <w:r w:rsidR="001F49A5" w:rsidRPr="00911998">
        <w:t xml:space="preserve">ne peut </w:t>
      </w:r>
      <w:r w:rsidR="009E69C7" w:rsidRPr="00911998">
        <w:t>se</w:t>
      </w:r>
      <w:r w:rsidR="001F49A5" w:rsidRPr="00911998">
        <w:t xml:space="preserve"> justifi</w:t>
      </w:r>
      <w:r w:rsidR="009E69C7" w:rsidRPr="00911998">
        <w:t>er</w:t>
      </w:r>
      <w:r w:rsidR="001F49A5" w:rsidRPr="00911998">
        <w:t xml:space="preserve"> aux termes de l’article premier.</w:t>
      </w:r>
    </w:p>
    <w:p w14:paraId="760D7637" w14:textId="1DA2FD6D" w:rsidR="00CE228F" w:rsidRPr="00911998" w:rsidRDefault="00CE228F" w:rsidP="00CE228F">
      <w:pPr>
        <w:pStyle w:val="Titre2"/>
      </w:pPr>
      <w:bookmarkStart w:id="85" w:name="_Toc196463736"/>
      <w:r w:rsidRPr="00911998">
        <w:t xml:space="preserve">Le </w:t>
      </w:r>
      <w:r w:rsidR="00EB1173" w:rsidRPr="00911998">
        <w:t>r</w:t>
      </w:r>
      <w:r w:rsidRPr="00911998">
        <w:t>edressement</w:t>
      </w:r>
      <w:bookmarkEnd w:id="85"/>
    </w:p>
    <w:p w14:paraId="3633F90A" w14:textId="0D50231A" w:rsidR="001B625E" w:rsidRPr="00911998" w:rsidRDefault="001B625E" w:rsidP="001B625E">
      <w:pPr>
        <w:pStyle w:val="Titre3"/>
      </w:pPr>
      <w:bookmarkStart w:id="86" w:name="_Toc196463737"/>
      <w:r w:rsidRPr="00911998">
        <w:t>Introduction</w:t>
      </w:r>
      <w:bookmarkEnd w:id="86"/>
    </w:p>
    <w:p w14:paraId="4B47292C" w14:textId="355DB2DF" w:rsidR="00A759AB" w:rsidRPr="00911998" w:rsidRDefault="00A759AB" w:rsidP="00A759AB">
      <w:pPr>
        <w:pStyle w:val="Paragrsimple"/>
        <w:rPr>
          <w:sz w:val="22"/>
          <w:szCs w:val="22"/>
        </w:rPr>
      </w:pPr>
      <w:r w:rsidRPr="00911998">
        <w:t>L</w:t>
      </w:r>
      <w:r w:rsidR="00D27FEB" w:rsidRPr="00911998">
        <w:t>e paragraphe </w:t>
      </w:r>
      <w:r w:rsidRPr="00911998">
        <w:t xml:space="preserve">52(1) de la </w:t>
      </w:r>
      <w:r w:rsidRPr="00911998">
        <w:rPr>
          <w:i/>
          <w:iCs/>
        </w:rPr>
        <w:t>Loi constitutionnelle de 1982</w:t>
      </w:r>
      <w:r w:rsidRPr="00911998">
        <w:t xml:space="preserve"> </w:t>
      </w:r>
      <w:r w:rsidR="00C65B72" w:rsidRPr="00911998">
        <w:t xml:space="preserve">reconnaît la primauté de la </w:t>
      </w:r>
      <w:r w:rsidR="005D07E1" w:rsidRPr="00911998">
        <w:t>Constitution,</w:t>
      </w:r>
      <w:r w:rsidR="00C65B72" w:rsidRPr="00911998">
        <w:t xml:space="preserve"> y compris des droits et libertés enchâssés par</w:t>
      </w:r>
      <w:r w:rsidRPr="00911998">
        <w:t xml:space="preserve"> la </w:t>
      </w:r>
      <w:r w:rsidRPr="00911998">
        <w:rPr>
          <w:i/>
          <w:iCs/>
        </w:rPr>
        <w:t>Charte canadienne</w:t>
      </w:r>
      <w:r w:rsidR="00C65B72" w:rsidRPr="00911998">
        <w:rPr>
          <w:rStyle w:val="Appelnotedebasdep"/>
        </w:rPr>
        <w:footnoteReference w:id="253"/>
      </w:r>
      <w:r w:rsidRPr="00911998">
        <w:rPr>
          <w:i/>
          <w:iCs/>
        </w:rPr>
        <w:t> </w:t>
      </w:r>
      <w:r w:rsidRPr="00911998">
        <w:t>:</w:t>
      </w:r>
    </w:p>
    <w:tbl>
      <w:tblPr>
        <w:tblStyle w:val="Grilledutableau"/>
        <w:tblW w:w="0" w:type="auto"/>
        <w:tblInd w:w="279" w:type="dxa"/>
        <w:tblLook w:val="04A0" w:firstRow="1" w:lastRow="0" w:firstColumn="1" w:lastColumn="0" w:noHBand="0" w:noVBand="1"/>
      </w:tblPr>
      <w:tblGrid>
        <w:gridCol w:w="4394"/>
        <w:gridCol w:w="4536"/>
      </w:tblGrid>
      <w:tr w:rsidR="000E19AB" w:rsidRPr="00153EC1" w14:paraId="0A6790E5" w14:textId="77777777" w:rsidTr="003A6E71">
        <w:tc>
          <w:tcPr>
            <w:tcW w:w="4394" w:type="dxa"/>
          </w:tcPr>
          <w:p w14:paraId="715BA044" w14:textId="07C8FE0C" w:rsidR="00A759AB" w:rsidRPr="00911998" w:rsidRDefault="00A759AB" w:rsidP="00A759AB">
            <w:pPr>
              <w:pStyle w:val="Paragrsimple"/>
              <w:numPr>
                <w:ilvl w:val="0"/>
                <w:numId w:val="0"/>
              </w:numPr>
              <w:rPr>
                <w:rFonts w:cs="Arial"/>
                <w:sz w:val="22"/>
                <w:szCs w:val="22"/>
                <w:lang w:eastAsia="fr-CA"/>
              </w:rPr>
            </w:pPr>
            <w:r w:rsidRPr="00911998">
              <w:rPr>
                <w:rFonts w:cs="Arial"/>
                <w:b/>
                <w:bCs/>
                <w:sz w:val="22"/>
                <w:szCs w:val="22"/>
                <w:lang w:eastAsia="fr-CA"/>
              </w:rPr>
              <w:t>52</w:t>
            </w:r>
            <w:r w:rsidRPr="00911998">
              <w:rPr>
                <w:rFonts w:cs="Arial"/>
                <w:sz w:val="22"/>
                <w:szCs w:val="22"/>
                <w:lang w:eastAsia="fr-CA"/>
              </w:rPr>
              <w:t> (1) La Constitution du Canada est la loi suprême du Canada; elle rend inopérantes les dispositions incompatibles de toute autre règle de droit.</w:t>
            </w:r>
          </w:p>
        </w:tc>
        <w:tc>
          <w:tcPr>
            <w:tcW w:w="4536" w:type="dxa"/>
          </w:tcPr>
          <w:p w14:paraId="1703DDFA" w14:textId="739B7B45" w:rsidR="00A759AB" w:rsidRPr="00911998" w:rsidRDefault="002F09B3" w:rsidP="002F09B3">
            <w:pPr>
              <w:pStyle w:val="Paragrsimple"/>
              <w:numPr>
                <w:ilvl w:val="0"/>
                <w:numId w:val="0"/>
              </w:numPr>
              <w:rPr>
                <w:rFonts w:cs="Arial"/>
                <w:i/>
                <w:iCs/>
                <w:sz w:val="22"/>
                <w:szCs w:val="22"/>
                <w:lang w:val="en-CA"/>
              </w:rPr>
            </w:pPr>
            <w:r w:rsidRPr="00911998">
              <w:rPr>
                <w:rFonts w:cs="Arial"/>
                <w:b/>
                <w:bCs/>
                <w:i/>
                <w:iCs/>
                <w:sz w:val="22"/>
                <w:szCs w:val="22"/>
                <w:lang w:val="en-CA" w:eastAsia="fr-CA"/>
              </w:rPr>
              <w:t>52 </w:t>
            </w:r>
            <w:r w:rsidRPr="00911998">
              <w:rPr>
                <w:rFonts w:cs="Arial"/>
                <w:i/>
                <w:iCs/>
                <w:sz w:val="22"/>
                <w:szCs w:val="22"/>
                <w:lang w:val="en-CA" w:eastAsia="fr-CA"/>
              </w:rPr>
              <w:t>(1) The Constitution of Canada is the supreme law of Canada, and any law that is inconsistent with the provisions of the Constitution is, to the extent of the inconsistency, of no force or effect.</w:t>
            </w:r>
            <w:hyperlink r:id="rId52" w:anchor="se:54" w:history="1"/>
          </w:p>
        </w:tc>
      </w:tr>
    </w:tbl>
    <w:p w14:paraId="2BA68470" w14:textId="2A0DA427" w:rsidR="00031377" w:rsidRPr="00911998" w:rsidRDefault="00031377" w:rsidP="00A759AB">
      <w:pPr>
        <w:pStyle w:val="Paragrsimple"/>
      </w:pPr>
      <w:r w:rsidRPr="00911998">
        <w:t xml:space="preserve">Comme nous l’avons vu, la limite de deux liens de filiation est incompatible avec le paragraphe 15(1) et cette limite ne peut se justifier aux termes de l’article premier. </w:t>
      </w:r>
      <w:r w:rsidR="00535585" w:rsidRPr="00911998">
        <w:t>Elle</w:t>
      </w:r>
      <w:r w:rsidRPr="00911998">
        <w:t xml:space="preserve"> est</w:t>
      </w:r>
      <w:r w:rsidR="00535585" w:rsidRPr="00911998">
        <w:t xml:space="preserve"> donc</w:t>
      </w:r>
      <w:r w:rsidRPr="00911998">
        <w:t xml:space="preserve"> inopérante</w:t>
      </w:r>
      <w:r w:rsidR="00D27FEB" w:rsidRPr="00911998">
        <w:t xml:space="preserve"> conformément au paragraphe</w:t>
      </w:r>
      <w:r w:rsidR="005D07E1" w:rsidRPr="00911998">
        <w:t> </w:t>
      </w:r>
      <w:r w:rsidR="00D27FEB" w:rsidRPr="00911998">
        <w:t xml:space="preserve">52(1) de la </w:t>
      </w:r>
      <w:r w:rsidR="00D27FEB" w:rsidRPr="00911998">
        <w:rPr>
          <w:i/>
          <w:iCs/>
        </w:rPr>
        <w:t>Loi constitutionnelle de 1982</w:t>
      </w:r>
      <w:r w:rsidRPr="00911998">
        <w:t xml:space="preserve">. Cela dit, les parties </w:t>
      </w:r>
      <w:r w:rsidR="00384A02" w:rsidRPr="00911998">
        <w:t>s’opposent quant au</w:t>
      </w:r>
      <w:r w:rsidRPr="00911998">
        <w:t xml:space="preserve"> redressement </w:t>
      </w:r>
      <w:r w:rsidR="002F3B16" w:rsidRPr="00911998">
        <w:t xml:space="preserve">constitutionnel </w:t>
      </w:r>
      <w:r w:rsidR="00D27FEB" w:rsidRPr="00911998">
        <w:t>précis</w:t>
      </w:r>
      <w:r w:rsidRPr="00911998">
        <w:t xml:space="preserve"> </w:t>
      </w:r>
      <w:r w:rsidR="00535585" w:rsidRPr="00911998">
        <w:t>qui doit</w:t>
      </w:r>
      <w:r w:rsidRPr="00911998">
        <w:t xml:space="preserve"> être prononcé.</w:t>
      </w:r>
    </w:p>
    <w:p w14:paraId="13989595" w14:textId="13116A6F" w:rsidR="00A60DE7" w:rsidRPr="00911998" w:rsidRDefault="009201EC" w:rsidP="00A60DE7">
      <w:pPr>
        <w:pStyle w:val="Paragrsimple"/>
      </w:pPr>
      <w:r w:rsidRPr="00911998">
        <w:t xml:space="preserve">Les Demandeurs dans le </w:t>
      </w:r>
      <w:r w:rsidR="008967A6" w:rsidRPr="00911998">
        <w:t>D</w:t>
      </w:r>
      <w:r w:rsidRPr="00911998">
        <w:t xml:space="preserve">ossier </w:t>
      </w:r>
      <w:proofErr w:type="gramStart"/>
      <w:r w:rsidR="00153EC1">
        <w:t>M...</w:t>
      </w:r>
      <w:proofErr w:type="gramEnd"/>
      <w:r w:rsidR="008967A6" w:rsidRPr="00911998">
        <w:t>-</w:t>
      </w:r>
      <w:r w:rsidR="000032F7">
        <w:t>P...</w:t>
      </w:r>
      <w:r w:rsidR="008967A6" w:rsidRPr="00911998">
        <w:t>-</w:t>
      </w:r>
      <w:r w:rsidR="000032F7">
        <w:t>D...</w:t>
      </w:r>
      <w:r w:rsidRPr="00911998">
        <w:t xml:space="preserve"> sollicitent une déclaration </w:t>
      </w:r>
      <w:r w:rsidR="00535585" w:rsidRPr="00911998">
        <w:t>selon laquelle</w:t>
      </w:r>
      <w:r w:rsidRPr="00911998">
        <w:t xml:space="preserve"> les articles 114, 115, 523 et 524</w:t>
      </w:r>
      <w:r w:rsidR="00606061" w:rsidRPr="00911998">
        <w:t> </w:t>
      </w:r>
      <w:r w:rsidRPr="00911998">
        <w:t>C.c.Q. sont inopérants dans la mesure de leur incompatibilité avec le droit à l’égalité garanti par le paragraphe 15(1)</w:t>
      </w:r>
      <w:r w:rsidR="005621AD" w:rsidRPr="00911998">
        <w:t> </w:t>
      </w:r>
      <w:r w:rsidRPr="00911998">
        <w:t xml:space="preserve">de la </w:t>
      </w:r>
      <w:r w:rsidRPr="00911998">
        <w:rPr>
          <w:i/>
          <w:iCs/>
        </w:rPr>
        <w:t>Charte canadienne</w:t>
      </w:r>
      <w:r w:rsidRPr="00911998">
        <w:t xml:space="preserve">. Ils recherchent également une ordonnance modifiant la déclaration de naissance </w:t>
      </w:r>
      <w:r w:rsidR="00900499">
        <w:t>de X</w:t>
      </w:r>
      <w:r w:rsidRPr="00911998">
        <w:t xml:space="preserve"> afin que mesdames </w:t>
      </w:r>
      <w:proofErr w:type="gramStart"/>
      <w:r w:rsidR="000032F7">
        <w:t>P...</w:t>
      </w:r>
      <w:proofErr w:type="gramEnd"/>
      <w:r w:rsidRPr="00911998">
        <w:t xml:space="preserve"> et </w:t>
      </w:r>
      <w:r w:rsidR="00153EC1">
        <w:t>M...</w:t>
      </w:r>
      <w:r w:rsidRPr="00911998">
        <w:t xml:space="preserve"> soient désignées comme ses mères </w:t>
      </w:r>
      <w:r w:rsidR="00E736D7" w:rsidRPr="00911998">
        <w:t xml:space="preserve">et que monsieur </w:t>
      </w:r>
      <w:r w:rsidR="000032F7">
        <w:t>D...</w:t>
      </w:r>
      <w:r w:rsidR="00E736D7" w:rsidRPr="00911998">
        <w:t xml:space="preserve"> soit désigné comme son père.</w:t>
      </w:r>
      <w:r w:rsidR="00ED4059" w:rsidRPr="00911998">
        <w:t xml:space="preserve"> Dans la mesure o</w:t>
      </w:r>
      <w:r w:rsidR="00ED4059" w:rsidRPr="00911998">
        <w:rPr>
          <w:rFonts w:cs="Arial"/>
        </w:rPr>
        <w:t>ù</w:t>
      </w:r>
      <w:r w:rsidR="00ED4059" w:rsidRPr="00911998">
        <w:t xml:space="preserve"> il convient de suspendre la déclaration d’invalidité recherchée, ils demandent d’</w:t>
      </w:r>
      <w:r w:rsidR="00535585" w:rsidRPr="00911998">
        <w:t xml:space="preserve">en </w:t>
      </w:r>
      <w:r w:rsidR="00ED4059" w:rsidRPr="00911998">
        <w:t>être exemptés.</w:t>
      </w:r>
    </w:p>
    <w:p w14:paraId="46F83BA7" w14:textId="6678E41B" w:rsidR="00ED4059" w:rsidRPr="00911998" w:rsidRDefault="00ED4059" w:rsidP="002F3B16">
      <w:pPr>
        <w:pStyle w:val="Paragrsimple"/>
        <w:rPr>
          <w:szCs w:val="24"/>
        </w:rPr>
      </w:pPr>
      <w:r w:rsidRPr="00911998">
        <w:rPr>
          <w:szCs w:val="24"/>
        </w:rPr>
        <w:t xml:space="preserve">Pour ce qui est des Demandeurs dans le </w:t>
      </w:r>
      <w:r w:rsidR="008F5FBC" w:rsidRPr="00911998">
        <w:rPr>
          <w:szCs w:val="24"/>
        </w:rPr>
        <w:t>Dossier de la Coalition</w:t>
      </w:r>
      <w:r w:rsidRPr="00911998">
        <w:rPr>
          <w:szCs w:val="24"/>
        </w:rPr>
        <w:t xml:space="preserve">, </w:t>
      </w:r>
      <w:r w:rsidR="002F3B16" w:rsidRPr="00911998">
        <w:rPr>
          <w:szCs w:val="24"/>
        </w:rPr>
        <w:t xml:space="preserve">ils recherchent une déclaration </w:t>
      </w:r>
      <w:r w:rsidR="00DB4AA8" w:rsidRPr="00911998">
        <w:rPr>
          <w:szCs w:val="24"/>
        </w:rPr>
        <w:t>selon laquelle</w:t>
      </w:r>
      <w:r w:rsidR="002F3B16" w:rsidRPr="00911998">
        <w:rPr>
          <w:szCs w:val="24"/>
        </w:rPr>
        <w:t xml:space="preserve"> les articles </w:t>
      </w:r>
      <w:r w:rsidR="002F3B16" w:rsidRPr="00911998">
        <w:rPr>
          <w:rFonts w:ascii="ArialMT" w:hAnsi="ArialMT" w:cs="ArialMT"/>
          <w:szCs w:val="24"/>
          <w:lang w:eastAsia="fr-CA"/>
        </w:rPr>
        <w:t>51</w:t>
      </w:r>
      <w:r w:rsidR="005D07E1" w:rsidRPr="00911998">
        <w:rPr>
          <w:rFonts w:ascii="ArialMT" w:hAnsi="ArialMT" w:cs="ArialMT"/>
          <w:szCs w:val="24"/>
          <w:lang w:eastAsia="fr-CA"/>
        </w:rPr>
        <w:t xml:space="preserve"> à </w:t>
      </w:r>
      <w:r w:rsidR="002F3B16" w:rsidRPr="00911998">
        <w:rPr>
          <w:rFonts w:ascii="ArialMT" w:hAnsi="ArialMT" w:cs="ArialMT"/>
          <w:szCs w:val="24"/>
          <w:lang w:eastAsia="fr-CA"/>
        </w:rPr>
        <w:t>52, 65, 66.1, 113</w:t>
      </w:r>
      <w:r w:rsidR="005D07E1" w:rsidRPr="00911998">
        <w:rPr>
          <w:rFonts w:ascii="ArialMT" w:hAnsi="ArialMT" w:cs="ArialMT"/>
          <w:szCs w:val="24"/>
          <w:lang w:eastAsia="fr-CA"/>
        </w:rPr>
        <w:t xml:space="preserve"> à </w:t>
      </w:r>
      <w:r w:rsidR="002F3B16" w:rsidRPr="00911998">
        <w:rPr>
          <w:rFonts w:ascii="ArialMT" w:hAnsi="ArialMT" w:cs="ArialMT"/>
          <w:szCs w:val="24"/>
          <w:lang w:eastAsia="fr-CA"/>
        </w:rPr>
        <w:t>114, 194, 196, 201, 523</w:t>
      </w:r>
      <w:r w:rsidR="005D07E1" w:rsidRPr="00911998">
        <w:rPr>
          <w:rFonts w:ascii="ArialMT" w:hAnsi="ArialMT" w:cs="ArialMT"/>
          <w:szCs w:val="24"/>
          <w:lang w:eastAsia="fr-CA"/>
        </w:rPr>
        <w:t xml:space="preserve"> à </w:t>
      </w:r>
      <w:r w:rsidR="002F3B16" w:rsidRPr="00911998">
        <w:rPr>
          <w:rFonts w:ascii="ArialMT" w:hAnsi="ArialMT" w:cs="ArialMT"/>
          <w:szCs w:val="24"/>
          <w:lang w:eastAsia="fr-CA"/>
        </w:rPr>
        <w:t>524, 538</w:t>
      </w:r>
      <w:r w:rsidR="005D07E1" w:rsidRPr="00911998">
        <w:rPr>
          <w:rFonts w:ascii="ArialMT" w:hAnsi="ArialMT" w:cs="ArialMT"/>
          <w:szCs w:val="24"/>
          <w:lang w:eastAsia="fr-CA"/>
        </w:rPr>
        <w:t xml:space="preserve"> à </w:t>
      </w:r>
      <w:r w:rsidR="002F3B16" w:rsidRPr="00911998">
        <w:rPr>
          <w:rFonts w:ascii="ArialMT" w:hAnsi="ArialMT" w:cs="ArialMT"/>
          <w:szCs w:val="24"/>
          <w:lang w:eastAsia="fr-CA"/>
        </w:rPr>
        <w:t>538.2, 539</w:t>
      </w:r>
      <w:r w:rsidR="005D07E1" w:rsidRPr="00911998">
        <w:rPr>
          <w:rFonts w:ascii="ArialMT" w:hAnsi="ArialMT" w:cs="ArialMT"/>
          <w:szCs w:val="24"/>
          <w:lang w:eastAsia="fr-CA"/>
        </w:rPr>
        <w:t xml:space="preserve"> à </w:t>
      </w:r>
      <w:r w:rsidR="002F3B16" w:rsidRPr="00911998">
        <w:rPr>
          <w:rFonts w:ascii="ArialMT" w:hAnsi="ArialMT" w:cs="ArialMT"/>
          <w:szCs w:val="24"/>
          <w:lang w:eastAsia="fr-CA"/>
        </w:rPr>
        <w:t>539.1, 541.1</w:t>
      </w:r>
      <w:r w:rsidR="005D07E1" w:rsidRPr="00911998">
        <w:rPr>
          <w:rFonts w:ascii="ArialMT" w:hAnsi="ArialMT" w:cs="ArialMT"/>
          <w:szCs w:val="24"/>
          <w:lang w:eastAsia="fr-CA"/>
        </w:rPr>
        <w:t xml:space="preserve"> à </w:t>
      </w:r>
      <w:r w:rsidR="002F3B16" w:rsidRPr="00911998">
        <w:rPr>
          <w:rFonts w:ascii="ArialMT" w:hAnsi="ArialMT" w:cs="ArialMT"/>
          <w:szCs w:val="24"/>
          <w:lang w:eastAsia="fr-CA"/>
        </w:rPr>
        <w:t>541.4, 541.6</w:t>
      </w:r>
      <w:r w:rsidR="005D07E1" w:rsidRPr="00911998">
        <w:rPr>
          <w:rFonts w:ascii="ArialMT" w:hAnsi="ArialMT" w:cs="ArialMT"/>
          <w:szCs w:val="24"/>
          <w:lang w:eastAsia="fr-CA"/>
        </w:rPr>
        <w:t xml:space="preserve"> à </w:t>
      </w:r>
      <w:r w:rsidR="002F3B16" w:rsidRPr="00911998">
        <w:rPr>
          <w:rFonts w:ascii="ArialMT" w:hAnsi="ArialMT" w:cs="ArialMT"/>
          <w:szCs w:val="24"/>
          <w:lang w:eastAsia="fr-CA"/>
        </w:rPr>
        <w:t>541.9, 541.11, 541.14, 541.16</w:t>
      </w:r>
      <w:r w:rsidR="005D07E1" w:rsidRPr="00911998">
        <w:rPr>
          <w:rFonts w:ascii="ArialMT" w:hAnsi="ArialMT" w:cs="ArialMT"/>
          <w:szCs w:val="24"/>
          <w:lang w:eastAsia="fr-CA"/>
        </w:rPr>
        <w:t xml:space="preserve"> à </w:t>
      </w:r>
      <w:r w:rsidR="002F3B16" w:rsidRPr="00911998">
        <w:rPr>
          <w:rFonts w:ascii="ArialMT" w:hAnsi="ArialMT" w:cs="ArialMT"/>
          <w:szCs w:val="24"/>
          <w:lang w:eastAsia="fr-CA"/>
        </w:rPr>
        <w:t>541.22, 541.25</w:t>
      </w:r>
      <w:r w:rsidR="005D07E1" w:rsidRPr="00911998">
        <w:rPr>
          <w:rFonts w:ascii="ArialMT" w:hAnsi="ArialMT" w:cs="ArialMT"/>
          <w:szCs w:val="24"/>
          <w:lang w:eastAsia="fr-CA"/>
        </w:rPr>
        <w:t xml:space="preserve"> à </w:t>
      </w:r>
      <w:r w:rsidR="002F3B16" w:rsidRPr="00911998">
        <w:rPr>
          <w:rFonts w:ascii="ArialMT" w:hAnsi="ArialMT" w:cs="ArialMT"/>
          <w:szCs w:val="24"/>
          <w:lang w:eastAsia="fr-CA"/>
        </w:rPr>
        <w:t>541.29, 541.32</w:t>
      </w:r>
      <w:r w:rsidR="005D07E1" w:rsidRPr="00911998">
        <w:rPr>
          <w:rFonts w:ascii="ArialMT" w:hAnsi="ArialMT" w:cs="ArialMT"/>
          <w:szCs w:val="24"/>
          <w:lang w:eastAsia="fr-CA"/>
        </w:rPr>
        <w:t xml:space="preserve"> à </w:t>
      </w:r>
      <w:r w:rsidR="002F3B16" w:rsidRPr="00911998">
        <w:rPr>
          <w:rFonts w:ascii="ArialMT" w:hAnsi="ArialMT" w:cs="ArialMT"/>
          <w:szCs w:val="24"/>
          <w:lang w:eastAsia="fr-CA"/>
        </w:rPr>
        <w:t>541.37, 542.15</w:t>
      </w:r>
      <w:r w:rsidR="005D07E1" w:rsidRPr="00911998">
        <w:rPr>
          <w:rFonts w:ascii="ArialMT" w:hAnsi="ArialMT" w:cs="ArialMT"/>
          <w:szCs w:val="24"/>
          <w:lang w:eastAsia="fr-CA"/>
        </w:rPr>
        <w:t xml:space="preserve"> à </w:t>
      </w:r>
      <w:r w:rsidR="002F3B16" w:rsidRPr="00911998">
        <w:rPr>
          <w:rFonts w:ascii="ArialMT" w:hAnsi="ArialMT" w:cs="ArialMT"/>
          <w:szCs w:val="24"/>
          <w:lang w:eastAsia="fr-CA"/>
        </w:rPr>
        <w:t>542.17, 542.19</w:t>
      </w:r>
      <w:r w:rsidR="005D07E1" w:rsidRPr="00911998">
        <w:rPr>
          <w:rFonts w:ascii="ArialMT" w:hAnsi="ArialMT" w:cs="ArialMT"/>
          <w:szCs w:val="24"/>
          <w:lang w:eastAsia="fr-CA"/>
        </w:rPr>
        <w:t xml:space="preserve"> à </w:t>
      </w:r>
      <w:r w:rsidR="002F3B16" w:rsidRPr="00911998">
        <w:rPr>
          <w:rFonts w:ascii="ArialMT" w:hAnsi="ArialMT" w:cs="ArialMT"/>
          <w:szCs w:val="24"/>
          <w:lang w:eastAsia="fr-CA"/>
        </w:rPr>
        <w:t>542.21, 542.23, 542.31,</w:t>
      </w:r>
      <w:r w:rsidR="005D07E1" w:rsidRPr="00911998">
        <w:rPr>
          <w:rFonts w:ascii="ArialMT" w:hAnsi="ArialMT" w:cs="ArialMT"/>
          <w:szCs w:val="24"/>
          <w:lang w:eastAsia="fr-CA"/>
        </w:rPr>
        <w:t xml:space="preserve"> </w:t>
      </w:r>
      <w:r w:rsidR="002F3B16" w:rsidRPr="00911998">
        <w:rPr>
          <w:rFonts w:ascii="ArialMT" w:hAnsi="ArialMT" w:cs="ArialMT"/>
          <w:szCs w:val="24"/>
          <w:lang w:eastAsia="fr-CA"/>
        </w:rPr>
        <w:t>551</w:t>
      </w:r>
      <w:r w:rsidR="005D07E1" w:rsidRPr="00911998">
        <w:rPr>
          <w:rFonts w:ascii="ArialMT" w:hAnsi="ArialMT" w:cs="ArialMT"/>
          <w:szCs w:val="24"/>
          <w:lang w:eastAsia="fr-CA"/>
        </w:rPr>
        <w:t xml:space="preserve"> à </w:t>
      </w:r>
      <w:r w:rsidR="002F3B16" w:rsidRPr="00911998">
        <w:rPr>
          <w:rFonts w:ascii="ArialMT" w:hAnsi="ArialMT" w:cs="ArialMT"/>
          <w:szCs w:val="24"/>
          <w:lang w:eastAsia="fr-CA"/>
        </w:rPr>
        <w:t>553 et 578.1</w:t>
      </w:r>
      <w:r w:rsidR="005D07E1" w:rsidRPr="00911998">
        <w:rPr>
          <w:rFonts w:ascii="ArialMT" w:hAnsi="ArialMT" w:cs="ArialMT"/>
          <w:szCs w:val="24"/>
          <w:lang w:eastAsia="fr-CA"/>
        </w:rPr>
        <w:t> </w:t>
      </w:r>
      <w:r w:rsidR="002F3B16" w:rsidRPr="00911998">
        <w:rPr>
          <w:rFonts w:ascii="ArialMT" w:hAnsi="ArialMT" w:cs="ArialMT"/>
          <w:szCs w:val="24"/>
          <w:lang w:eastAsia="fr-CA"/>
        </w:rPr>
        <w:t>C.c.Q. sont invalides et inopérants uniquement dans la mesure o</w:t>
      </w:r>
      <w:r w:rsidR="002F3B16" w:rsidRPr="00911998">
        <w:rPr>
          <w:rFonts w:cs="Arial"/>
          <w:szCs w:val="24"/>
          <w:lang w:eastAsia="fr-CA"/>
        </w:rPr>
        <w:t>ù</w:t>
      </w:r>
      <w:r w:rsidR="002F3B16" w:rsidRPr="00911998">
        <w:rPr>
          <w:rFonts w:ascii="ArialMT" w:hAnsi="ArialMT" w:cs="ArialMT"/>
          <w:szCs w:val="24"/>
          <w:lang w:eastAsia="fr-CA"/>
        </w:rPr>
        <w:t xml:space="preserve"> ils empêchent l’établissement de la filiation à l’égard de plus de deux </w:t>
      </w:r>
      <w:r w:rsidR="002F3B16" w:rsidRPr="00911998">
        <w:rPr>
          <w:rFonts w:ascii="ArialMT" w:hAnsi="ArialMT" w:cs="ArialMT"/>
          <w:szCs w:val="24"/>
          <w:lang w:eastAsia="fr-CA"/>
        </w:rPr>
        <w:lastRenderedPageBreak/>
        <w:t>parties</w:t>
      </w:r>
      <w:r w:rsidR="00B70E6B" w:rsidRPr="00911998">
        <w:rPr>
          <w:rStyle w:val="Appelnotedebasdep"/>
          <w:rFonts w:ascii="ArialMT" w:hAnsi="ArialMT" w:cs="ArialMT"/>
          <w:szCs w:val="24"/>
          <w:lang w:eastAsia="fr-CA"/>
        </w:rPr>
        <w:footnoteReference w:id="254"/>
      </w:r>
      <w:r w:rsidR="002F3B16" w:rsidRPr="00911998">
        <w:rPr>
          <w:rFonts w:ascii="ArialMT" w:hAnsi="ArialMT" w:cs="ArialMT"/>
          <w:szCs w:val="24"/>
          <w:lang w:eastAsia="fr-CA"/>
        </w:rPr>
        <w:t xml:space="preserve">. </w:t>
      </w:r>
      <w:r w:rsidR="00B44A5A" w:rsidRPr="00911998">
        <w:rPr>
          <w:rFonts w:ascii="ArialMT" w:hAnsi="ArialMT" w:cs="ArialMT"/>
          <w:szCs w:val="24"/>
          <w:lang w:eastAsia="fr-CA"/>
        </w:rPr>
        <w:t xml:space="preserve">Ils sollicitent également des déclarations selon lesquelles madame </w:t>
      </w:r>
      <w:proofErr w:type="gramStart"/>
      <w:r w:rsidR="00E13A68">
        <w:rPr>
          <w:rFonts w:ascii="ArialMT" w:hAnsi="ArialMT" w:cs="ArialMT"/>
          <w:szCs w:val="24"/>
          <w:lang w:eastAsia="fr-CA"/>
        </w:rPr>
        <w:t>J...</w:t>
      </w:r>
      <w:proofErr w:type="gramEnd"/>
      <w:r w:rsidR="00B44A5A" w:rsidRPr="00911998">
        <w:rPr>
          <w:rFonts w:ascii="ArialMT" w:hAnsi="ArialMT" w:cs="ArialMT"/>
          <w:szCs w:val="24"/>
          <w:lang w:eastAsia="fr-CA"/>
        </w:rPr>
        <w:t xml:space="preserve"> est </w:t>
      </w:r>
      <w:r w:rsidR="00DB4AA8" w:rsidRPr="00911998">
        <w:rPr>
          <w:rFonts w:ascii="ArialMT" w:hAnsi="ArialMT" w:cs="ArialMT"/>
          <w:szCs w:val="24"/>
          <w:lang w:eastAsia="fr-CA"/>
        </w:rPr>
        <w:t xml:space="preserve">la </w:t>
      </w:r>
      <w:r w:rsidR="00B44A5A" w:rsidRPr="00911998">
        <w:rPr>
          <w:rFonts w:ascii="ArialMT" w:hAnsi="ArialMT" w:cs="ArialMT"/>
          <w:szCs w:val="24"/>
          <w:lang w:eastAsia="fr-CA"/>
        </w:rPr>
        <w:t xml:space="preserve">mère </w:t>
      </w:r>
      <w:r w:rsidR="00900499">
        <w:rPr>
          <w:rFonts w:ascii="ArialMT" w:hAnsi="ArialMT" w:cs="ArialMT"/>
          <w:szCs w:val="24"/>
          <w:lang w:eastAsia="fr-CA"/>
        </w:rPr>
        <w:t>de Y</w:t>
      </w:r>
      <w:r w:rsidR="00B44A5A" w:rsidRPr="00911998">
        <w:rPr>
          <w:rFonts w:ascii="ArialMT" w:hAnsi="ArialMT" w:cs="ArialMT"/>
          <w:szCs w:val="24"/>
          <w:lang w:eastAsia="fr-CA"/>
        </w:rPr>
        <w:t xml:space="preserve">, monsieur </w:t>
      </w:r>
      <w:r w:rsidR="00E13A68">
        <w:rPr>
          <w:rFonts w:ascii="ArialMT" w:hAnsi="ArialMT" w:cs="ArialMT"/>
          <w:szCs w:val="24"/>
          <w:lang w:eastAsia="fr-CA"/>
        </w:rPr>
        <w:t>Mi...</w:t>
      </w:r>
      <w:r w:rsidR="00B44A5A" w:rsidRPr="00911998">
        <w:rPr>
          <w:rFonts w:ascii="ArialMT" w:hAnsi="ArialMT" w:cs="ArialMT"/>
          <w:szCs w:val="24"/>
          <w:lang w:eastAsia="fr-CA"/>
        </w:rPr>
        <w:t xml:space="preserve"> est </w:t>
      </w:r>
      <w:r w:rsidR="00DB4AA8" w:rsidRPr="00911998">
        <w:rPr>
          <w:rFonts w:ascii="ArialMT" w:hAnsi="ArialMT" w:cs="ArialMT"/>
          <w:szCs w:val="24"/>
          <w:lang w:eastAsia="fr-CA"/>
        </w:rPr>
        <w:t xml:space="preserve">le </w:t>
      </w:r>
      <w:r w:rsidR="00B44A5A" w:rsidRPr="00911998">
        <w:rPr>
          <w:rFonts w:ascii="ArialMT" w:hAnsi="ArialMT" w:cs="ArialMT"/>
          <w:szCs w:val="24"/>
          <w:lang w:eastAsia="fr-CA"/>
        </w:rPr>
        <w:t xml:space="preserve">père de </w:t>
      </w:r>
      <w:r w:rsidR="00D90957">
        <w:rPr>
          <w:rFonts w:ascii="ArialMT" w:hAnsi="ArialMT" w:cs="ArialMT"/>
          <w:szCs w:val="24"/>
          <w:lang w:eastAsia="fr-CA"/>
        </w:rPr>
        <w:t>Z</w:t>
      </w:r>
      <w:r w:rsidR="00B44A5A" w:rsidRPr="00911998">
        <w:rPr>
          <w:rFonts w:ascii="ArialMT" w:hAnsi="ArialMT" w:cs="ArialMT"/>
          <w:szCs w:val="24"/>
          <w:lang w:eastAsia="fr-CA"/>
        </w:rPr>
        <w:t xml:space="preserve"> et madame </w:t>
      </w:r>
      <w:r w:rsidR="00E13A68">
        <w:rPr>
          <w:rFonts w:ascii="ArialMT" w:hAnsi="ArialMT" w:cs="ArialMT"/>
          <w:szCs w:val="24"/>
          <w:lang w:eastAsia="fr-CA"/>
        </w:rPr>
        <w:t>A...</w:t>
      </w:r>
      <w:r w:rsidR="00B44A5A" w:rsidRPr="00911998">
        <w:rPr>
          <w:rFonts w:ascii="ArialMT" w:hAnsi="ArialMT" w:cs="ArialMT"/>
          <w:szCs w:val="24"/>
          <w:lang w:eastAsia="fr-CA"/>
        </w:rPr>
        <w:t xml:space="preserve"> est </w:t>
      </w:r>
      <w:r w:rsidR="00DB4AA8" w:rsidRPr="00911998">
        <w:rPr>
          <w:rFonts w:ascii="ArialMT" w:hAnsi="ArialMT" w:cs="ArialMT"/>
          <w:szCs w:val="24"/>
          <w:lang w:eastAsia="fr-CA"/>
        </w:rPr>
        <w:t xml:space="preserve">la </w:t>
      </w:r>
      <w:r w:rsidR="00B44A5A" w:rsidRPr="00911998">
        <w:rPr>
          <w:rFonts w:ascii="ArialMT" w:hAnsi="ArialMT" w:cs="ArialMT"/>
          <w:szCs w:val="24"/>
          <w:lang w:eastAsia="fr-CA"/>
        </w:rPr>
        <w:t xml:space="preserve">mère </w:t>
      </w:r>
      <w:r w:rsidR="00900499">
        <w:rPr>
          <w:rFonts w:ascii="ArialMT" w:hAnsi="ArialMT" w:cs="ArialMT"/>
          <w:szCs w:val="24"/>
          <w:lang w:eastAsia="fr-CA"/>
        </w:rPr>
        <w:t>de A</w:t>
      </w:r>
      <w:r w:rsidR="00B44A5A" w:rsidRPr="00911998">
        <w:rPr>
          <w:rFonts w:ascii="ArialMT" w:hAnsi="ArialMT" w:cs="ArialMT"/>
          <w:szCs w:val="24"/>
          <w:lang w:eastAsia="fr-CA"/>
        </w:rPr>
        <w:t>, et ce, sans que les autres liens de filiation des enfants</w:t>
      </w:r>
      <w:r w:rsidR="005621AD" w:rsidRPr="00911998">
        <w:rPr>
          <w:rFonts w:ascii="ArialMT" w:hAnsi="ArialMT" w:cs="ArialMT"/>
          <w:szCs w:val="24"/>
          <w:lang w:eastAsia="fr-CA"/>
        </w:rPr>
        <w:t xml:space="preserve"> ne</w:t>
      </w:r>
      <w:r w:rsidR="00B44A5A" w:rsidRPr="00911998">
        <w:rPr>
          <w:rFonts w:ascii="ArialMT" w:hAnsi="ArialMT" w:cs="ArialMT"/>
          <w:szCs w:val="24"/>
          <w:lang w:eastAsia="fr-CA"/>
        </w:rPr>
        <w:t xml:space="preserve"> soient affectés. Enfin, ils demandent que le Directeur de l’état civil modifie les actes de naissance </w:t>
      </w:r>
      <w:r w:rsidR="00900499">
        <w:rPr>
          <w:rFonts w:ascii="ArialMT" w:hAnsi="ArialMT" w:cs="ArialMT"/>
          <w:szCs w:val="24"/>
          <w:lang w:eastAsia="fr-CA"/>
        </w:rPr>
        <w:t>de Y</w:t>
      </w:r>
      <w:r w:rsidR="00B44A5A" w:rsidRPr="00911998">
        <w:rPr>
          <w:rFonts w:ascii="ArialMT" w:hAnsi="ArialMT" w:cs="ArialMT"/>
          <w:szCs w:val="24"/>
          <w:lang w:eastAsia="fr-CA"/>
        </w:rPr>
        <w:t xml:space="preserve">, </w:t>
      </w:r>
      <w:r w:rsidR="00514701" w:rsidRPr="00911998">
        <w:rPr>
          <w:rFonts w:ascii="ArialMT" w:hAnsi="ArialMT" w:cs="ArialMT"/>
          <w:szCs w:val="24"/>
          <w:lang w:eastAsia="fr-CA"/>
        </w:rPr>
        <w:t xml:space="preserve">de </w:t>
      </w:r>
      <w:r w:rsidR="00D90957">
        <w:rPr>
          <w:rFonts w:ascii="ArialMT" w:hAnsi="ArialMT" w:cs="ArialMT"/>
          <w:szCs w:val="24"/>
          <w:lang w:eastAsia="fr-CA"/>
        </w:rPr>
        <w:t>Z</w:t>
      </w:r>
      <w:r w:rsidR="00B44A5A" w:rsidRPr="00911998">
        <w:rPr>
          <w:rFonts w:ascii="ArialMT" w:hAnsi="ArialMT" w:cs="ArialMT"/>
          <w:szCs w:val="24"/>
          <w:lang w:eastAsia="fr-CA"/>
        </w:rPr>
        <w:t xml:space="preserve"> et </w:t>
      </w:r>
      <w:r w:rsidR="00900499">
        <w:rPr>
          <w:rFonts w:ascii="ArialMT" w:hAnsi="ArialMT" w:cs="ArialMT"/>
          <w:szCs w:val="24"/>
          <w:lang w:eastAsia="fr-CA"/>
        </w:rPr>
        <w:t>de A</w:t>
      </w:r>
      <w:r w:rsidR="00B44A5A" w:rsidRPr="00911998">
        <w:rPr>
          <w:rFonts w:ascii="ArialMT" w:hAnsi="ArialMT" w:cs="ArialMT"/>
          <w:szCs w:val="24"/>
          <w:lang w:eastAsia="fr-CA"/>
        </w:rPr>
        <w:t xml:space="preserve"> en conséquence.</w:t>
      </w:r>
    </w:p>
    <w:p w14:paraId="4A9CCB15" w14:textId="685F3359" w:rsidR="00CE228F" w:rsidRPr="00911998" w:rsidRDefault="009A4F56" w:rsidP="00A759AB">
      <w:pPr>
        <w:pStyle w:val="Paragrsimple"/>
      </w:pPr>
      <w:r w:rsidRPr="00911998">
        <w:t>Le PGQ soutient que le seul redressement auquel les Demandeurs auraient droit</w:t>
      </w:r>
      <w:r w:rsidR="005621AD" w:rsidRPr="00911998">
        <w:t>, le</w:t>
      </w:r>
      <w:r w:rsidR="00384A02" w:rsidRPr="00911998">
        <w:t xml:space="preserve"> </w:t>
      </w:r>
      <w:r w:rsidR="005621AD" w:rsidRPr="00911998">
        <w:t>cas échéant,</w:t>
      </w:r>
      <w:r w:rsidRPr="00911998">
        <w:t xml:space="preserve"> consiste en une déclaration d’invalidité. Il propose que celle</w:t>
      </w:r>
      <w:r w:rsidRPr="00911998">
        <w:noBreakHyphen/>
        <w:t>ci soit suspendue pendant 24</w:t>
      </w:r>
      <w:r w:rsidR="00CF4471" w:rsidRPr="00911998">
        <w:t> </w:t>
      </w:r>
      <w:r w:rsidRPr="00911998">
        <w:t>mois</w:t>
      </w:r>
      <w:r w:rsidR="00DB4AA8" w:rsidRPr="00911998">
        <w:t xml:space="preserve">, le temps </w:t>
      </w:r>
      <w:r w:rsidR="00384A02" w:rsidRPr="00911998">
        <w:t xml:space="preserve">de </w:t>
      </w:r>
      <w:r w:rsidRPr="00911998">
        <w:t xml:space="preserve">permettre au législateur de modifier les règles de la filiation québécoise </w:t>
      </w:r>
      <w:r w:rsidR="00DB4AA8" w:rsidRPr="00911998">
        <w:t xml:space="preserve">afin de </w:t>
      </w:r>
      <w:r w:rsidRPr="00911998">
        <w:t xml:space="preserve">les rendre </w:t>
      </w:r>
      <w:r w:rsidR="005D07E1" w:rsidRPr="00911998">
        <w:t>conformes</w:t>
      </w:r>
      <w:r w:rsidRPr="00911998">
        <w:t xml:space="preserve"> à la </w:t>
      </w:r>
      <w:r w:rsidRPr="00911998">
        <w:rPr>
          <w:i/>
          <w:iCs/>
        </w:rPr>
        <w:t>Charte canadienne</w:t>
      </w:r>
      <w:r w:rsidRPr="00911998">
        <w:t>.</w:t>
      </w:r>
      <w:r w:rsidR="00CF4471" w:rsidRPr="00911998">
        <w:t xml:space="preserve"> Enfin, il s’oppose à tout redressement individuel au bénéfice des Demandeurs, y compris une exemption constitutionnelle de toute suspension de la déclaration d’invalidité.</w:t>
      </w:r>
    </w:p>
    <w:p w14:paraId="27F1DAF1" w14:textId="1314A8D4" w:rsidR="00A14699" w:rsidRPr="00911998" w:rsidRDefault="00CF4471" w:rsidP="00A14699">
      <w:pPr>
        <w:pStyle w:val="Paragrsimple"/>
      </w:pPr>
      <w:r w:rsidRPr="00911998">
        <w:t xml:space="preserve">La problématique du redressement approprié soulève les </w:t>
      </w:r>
      <w:r w:rsidR="00514701" w:rsidRPr="00911998">
        <w:t xml:space="preserve">questions </w:t>
      </w:r>
      <w:r w:rsidRPr="00911998">
        <w:t>suivantes :</w:t>
      </w:r>
    </w:p>
    <w:p w14:paraId="7282B755" w14:textId="6B04EB07" w:rsidR="00CF4471" w:rsidRPr="00911998" w:rsidRDefault="00CF4471" w:rsidP="000F6BA9">
      <w:pPr>
        <w:pStyle w:val="Paragrdouble"/>
        <w:numPr>
          <w:ilvl w:val="0"/>
          <w:numId w:val="12"/>
        </w:numPr>
        <w:spacing w:line="240" w:lineRule="auto"/>
        <w:ind w:left="714" w:hanging="357"/>
      </w:pPr>
      <w:r w:rsidRPr="00911998">
        <w:t xml:space="preserve">Quelle </w:t>
      </w:r>
      <w:r w:rsidR="005D07E1" w:rsidRPr="00911998">
        <w:t>doit</w:t>
      </w:r>
      <w:r w:rsidRPr="00911998">
        <w:t xml:space="preserve"> être la forme et la portée de la déclaration d’invalidité</w:t>
      </w:r>
      <w:r w:rsidR="00514701" w:rsidRPr="00911998">
        <w:t xml:space="preserve"> qu’il convient de prononcer</w:t>
      </w:r>
      <w:r w:rsidRPr="00911998">
        <w:t xml:space="preserve"> aux termes du paragraphe</w:t>
      </w:r>
      <w:r w:rsidR="005D07E1" w:rsidRPr="00911998">
        <w:t> </w:t>
      </w:r>
      <w:r w:rsidRPr="00911998">
        <w:t xml:space="preserve">52(1) de la </w:t>
      </w:r>
      <w:r w:rsidRPr="00911998">
        <w:rPr>
          <w:i/>
          <w:iCs/>
        </w:rPr>
        <w:t>Loi constitutionnelle de 1982</w:t>
      </w:r>
      <w:r w:rsidR="005D07E1" w:rsidRPr="00911998">
        <w:rPr>
          <w:i/>
          <w:iCs/>
        </w:rPr>
        <w:t> </w:t>
      </w:r>
      <w:r w:rsidRPr="00911998">
        <w:t>?</w:t>
      </w:r>
    </w:p>
    <w:p w14:paraId="5F5CC372" w14:textId="061D43DD" w:rsidR="00CF4471" w:rsidRPr="00911998" w:rsidRDefault="001624AC" w:rsidP="000F6BA9">
      <w:pPr>
        <w:pStyle w:val="Paragrdouble"/>
        <w:numPr>
          <w:ilvl w:val="0"/>
          <w:numId w:val="12"/>
        </w:numPr>
        <w:spacing w:line="240" w:lineRule="auto"/>
        <w:ind w:left="714" w:hanging="357"/>
      </w:pPr>
      <w:r w:rsidRPr="00911998">
        <w:t xml:space="preserve">Convient-il de suspendre </w:t>
      </w:r>
      <w:r w:rsidR="00514701" w:rsidRPr="00911998">
        <w:t>toute</w:t>
      </w:r>
      <w:r w:rsidRPr="00911998">
        <w:t xml:space="preserve"> déclaration d’invalidité et, le cas échéant, pour quelle période</w:t>
      </w:r>
      <w:r w:rsidR="005D07E1" w:rsidRPr="00911998">
        <w:t> </w:t>
      </w:r>
      <w:r w:rsidRPr="00911998">
        <w:t>?</w:t>
      </w:r>
    </w:p>
    <w:p w14:paraId="3A38A333" w14:textId="2BC12ADC" w:rsidR="001624AC" w:rsidRPr="00911998" w:rsidRDefault="001624AC" w:rsidP="000F6BA9">
      <w:pPr>
        <w:pStyle w:val="Paragrdouble"/>
        <w:numPr>
          <w:ilvl w:val="0"/>
          <w:numId w:val="12"/>
        </w:numPr>
        <w:spacing w:line="240" w:lineRule="auto"/>
        <w:ind w:left="714" w:hanging="357"/>
      </w:pPr>
      <w:r w:rsidRPr="00911998">
        <w:t>Dans la mesure o</w:t>
      </w:r>
      <w:r w:rsidRPr="00911998">
        <w:rPr>
          <w:rFonts w:cs="Arial"/>
        </w:rPr>
        <w:t>ù</w:t>
      </w:r>
      <w:r w:rsidRPr="00911998">
        <w:t xml:space="preserve"> la déclaration d’invalidité doit être suspendue, convient-il d’exempter les Demandeurs de cette suspension et de prononcer un redressement individuel en leur faveur</w:t>
      </w:r>
      <w:r w:rsidR="005D07E1" w:rsidRPr="00911998">
        <w:t> </w:t>
      </w:r>
      <w:r w:rsidRPr="00911998">
        <w:t>?</w:t>
      </w:r>
    </w:p>
    <w:p w14:paraId="188622F4" w14:textId="28CEA039" w:rsidR="001624AC" w:rsidRPr="00911998" w:rsidRDefault="00AF588C" w:rsidP="00AF588C">
      <w:pPr>
        <w:pStyle w:val="Paragrsimple"/>
      </w:pPr>
      <w:r w:rsidRPr="00911998">
        <w:t xml:space="preserve">Pour les motifs qui suivent, </w:t>
      </w:r>
      <w:r w:rsidR="002854D5" w:rsidRPr="00911998">
        <w:t>les dispositions contestées par les Demandeurs qui régissent la filiation seront</w:t>
      </w:r>
      <w:r w:rsidRPr="00911998">
        <w:t xml:space="preserve"> déclarée</w:t>
      </w:r>
      <w:r w:rsidR="002854D5" w:rsidRPr="00911998">
        <w:t>s</w:t>
      </w:r>
      <w:r w:rsidRPr="00911998">
        <w:t xml:space="preserve"> inopérante</w:t>
      </w:r>
      <w:r w:rsidR="002854D5" w:rsidRPr="00911998">
        <w:t xml:space="preserve">s, mais </w:t>
      </w:r>
      <w:r w:rsidRPr="00911998">
        <w:t>cette déclaration sera suspendue pour</w:t>
      </w:r>
      <w:r w:rsidR="00A15ACC" w:rsidRPr="00911998">
        <w:t xml:space="preserve"> une durée de</w:t>
      </w:r>
      <w:r w:rsidRPr="00911998">
        <w:t> 12</w:t>
      </w:r>
      <w:r w:rsidR="005D07E1" w:rsidRPr="00911998">
        <w:t> </w:t>
      </w:r>
      <w:r w:rsidRPr="00911998">
        <w:t>mois. Aucun redressement individuel ne peut être prononcé en faveur des Demandeurs</w:t>
      </w:r>
      <w:r w:rsidR="00384A02" w:rsidRPr="00911998">
        <w:t xml:space="preserve"> de sorte que c</w:t>
      </w:r>
      <w:r w:rsidRPr="00911998">
        <w:t xml:space="preserve">eux-ci devront attendre l’intervention du législateur pour établir définitivement la filiation </w:t>
      </w:r>
      <w:r w:rsidR="00900499">
        <w:t>de X</w:t>
      </w:r>
      <w:r w:rsidRPr="00911998">
        <w:t xml:space="preserve">, </w:t>
      </w:r>
      <w:r w:rsidR="00900499">
        <w:t>de Y</w:t>
      </w:r>
      <w:r w:rsidRPr="00911998">
        <w:t xml:space="preserve">, de </w:t>
      </w:r>
      <w:r w:rsidR="00D90957">
        <w:t>Z</w:t>
      </w:r>
      <w:r w:rsidRPr="00911998">
        <w:t xml:space="preserve"> et </w:t>
      </w:r>
      <w:r w:rsidR="00900499">
        <w:t>de A</w:t>
      </w:r>
      <w:r w:rsidRPr="00911998">
        <w:t>.</w:t>
      </w:r>
    </w:p>
    <w:p w14:paraId="38AD3D48" w14:textId="177D7215" w:rsidR="00A759AB" w:rsidRPr="00911998" w:rsidRDefault="005030ED" w:rsidP="00D245F5">
      <w:pPr>
        <w:pStyle w:val="Titre3"/>
      </w:pPr>
      <w:bookmarkStart w:id="87" w:name="_Toc196463738"/>
      <w:r w:rsidRPr="00911998">
        <w:t>Les principes régissant la réparation constitutionnelle</w:t>
      </w:r>
      <w:r w:rsidR="00524BF2" w:rsidRPr="00911998">
        <w:t xml:space="preserve"> aux termes du paragraphe 52(1) de la </w:t>
      </w:r>
      <w:r w:rsidR="00524BF2" w:rsidRPr="00911998">
        <w:rPr>
          <w:i/>
          <w:iCs/>
        </w:rPr>
        <w:t>Loi constitutionnelle de 1982</w:t>
      </w:r>
      <w:bookmarkEnd w:id="87"/>
    </w:p>
    <w:p w14:paraId="5B64AEFB" w14:textId="30859161" w:rsidR="00891E29" w:rsidRPr="00911998" w:rsidRDefault="00574E20" w:rsidP="00145C51">
      <w:pPr>
        <w:pStyle w:val="Paragrsimple"/>
      </w:pPr>
      <w:r w:rsidRPr="00911998">
        <w:t>L’</w:t>
      </w:r>
      <w:proofErr w:type="spellStart"/>
      <w:r w:rsidRPr="00911998">
        <w:t>inopérabilité</w:t>
      </w:r>
      <w:proofErr w:type="spellEnd"/>
      <w:r w:rsidR="00891E29" w:rsidRPr="00911998">
        <w:t xml:space="preserve"> d’une règle de droit incompatible avec la Constitution </w:t>
      </w:r>
      <w:r w:rsidRPr="00911998">
        <w:t>représente</w:t>
      </w:r>
      <w:r w:rsidR="00891E29" w:rsidRPr="00911998">
        <w:t xml:space="preserve"> la conséquence directe et incontournable des termes mêmes du paragraphe 52(1) de la </w:t>
      </w:r>
      <w:r w:rsidR="00891E29" w:rsidRPr="00911998">
        <w:rPr>
          <w:i/>
          <w:iCs/>
        </w:rPr>
        <w:t>Loi constitutionnelle de 1982</w:t>
      </w:r>
      <w:r w:rsidR="00891E29" w:rsidRPr="00911998">
        <w:rPr>
          <w:rStyle w:val="Appelnotedebasdep"/>
        </w:rPr>
        <w:footnoteReference w:id="255"/>
      </w:r>
      <w:r w:rsidR="00891E29" w:rsidRPr="00911998">
        <w:t xml:space="preserve">. Cela dit, comme le prévoit explicitement la version anglaise de cette disposition, la règle de droit n’est inopérante que dans la mesure de son </w:t>
      </w:r>
      <w:r w:rsidR="00891E29" w:rsidRPr="00911998">
        <w:lastRenderedPageBreak/>
        <w:t xml:space="preserve">incompatibilité avec la Constitution. Dans l’arrêt </w:t>
      </w:r>
      <w:r w:rsidR="00891E29" w:rsidRPr="00911998">
        <w:rPr>
          <w:i/>
          <w:iCs/>
        </w:rPr>
        <w:t>Ontario c. G.</w:t>
      </w:r>
      <w:r w:rsidR="00891E29" w:rsidRPr="00911998">
        <w:t xml:space="preserve">, la juge </w:t>
      </w:r>
      <w:proofErr w:type="spellStart"/>
      <w:r w:rsidR="00891E29" w:rsidRPr="00911998">
        <w:t>Karakatsanis</w:t>
      </w:r>
      <w:proofErr w:type="spellEnd"/>
      <w:r w:rsidR="00891E29" w:rsidRPr="00911998">
        <w:t xml:space="preserve"> explique à ce chapitre que</w:t>
      </w:r>
      <w:r w:rsidR="00606061" w:rsidRPr="00911998">
        <w:rPr>
          <w:rStyle w:val="Appelnotedebasdep"/>
        </w:rPr>
        <w:footnoteReference w:id="256"/>
      </w:r>
      <w:r w:rsidR="00891E29" w:rsidRPr="00911998">
        <w:t> :</w:t>
      </w:r>
    </w:p>
    <w:p w14:paraId="3FB0C3CA" w14:textId="30DDDB08" w:rsidR="005030ED" w:rsidRPr="00911998" w:rsidRDefault="00891E29" w:rsidP="00891E29">
      <w:pPr>
        <w:ind w:left="567" w:right="560"/>
        <w:jc w:val="both"/>
        <w:rPr>
          <w:sz w:val="22"/>
          <w:szCs w:val="22"/>
        </w:rPr>
      </w:pPr>
      <w:r w:rsidRPr="00911998">
        <w:rPr>
          <w:sz w:val="22"/>
          <w:szCs w:val="22"/>
        </w:rPr>
        <w:t>[</w:t>
      </w:r>
      <w:bookmarkStart w:id="88" w:name="par86"/>
      <w:r w:rsidRPr="00911998">
        <w:rPr>
          <w:sz w:val="22"/>
          <w:szCs w:val="22"/>
        </w:rPr>
        <w:t>86</w:t>
      </w:r>
      <w:bookmarkEnd w:id="88"/>
      <w:proofErr w:type="gramStart"/>
      <w:r w:rsidRPr="00911998">
        <w:rPr>
          <w:sz w:val="22"/>
          <w:szCs w:val="22"/>
        </w:rPr>
        <w:t>]  Par</w:t>
      </w:r>
      <w:proofErr w:type="gramEnd"/>
      <w:r w:rsidRPr="00911998">
        <w:rPr>
          <w:sz w:val="22"/>
          <w:szCs w:val="22"/>
        </w:rPr>
        <w:t xml:space="preserve"> « rend inopérantes les dispositions incompatibles de toute autre règle de droit », on veut dire que le tribunal qui est appelé à statuer sur la contestation constitutionnelle d’une loi doit déterminer dans quelle mesure la loi contestée est inconstitutionnelle et la déclarer telle. Notre jurisprudence nous enseigne qu’un degré de discrétion est inévitable pour décider comment répondre à l’incompatibilité entre des dispositions législatives et la Constitution. </w:t>
      </w:r>
    </w:p>
    <w:p w14:paraId="43C3AFBA" w14:textId="51E4AAB1" w:rsidR="00B50FEF" w:rsidRPr="00911998" w:rsidRDefault="004040A7" w:rsidP="00145C51">
      <w:pPr>
        <w:pStyle w:val="Paragrsimple"/>
      </w:pPr>
      <w:r w:rsidRPr="00911998">
        <w:t xml:space="preserve">Ainsi, le choix d’une mesure de réparation appropriée </w:t>
      </w:r>
      <w:r w:rsidR="00824769" w:rsidRPr="00911998">
        <w:t>comporte deux étapes</w:t>
      </w:r>
      <w:r w:rsidR="00824769" w:rsidRPr="00911998">
        <w:rPr>
          <w:rStyle w:val="Appelnotedebasdep"/>
        </w:rPr>
        <w:footnoteReference w:id="257"/>
      </w:r>
      <w:r w:rsidR="00824769" w:rsidRPr="00911998">
        <w:t>. L</w:t>
      </w:r>
      <w:r w:rsidRPr="00911998">
        <w:t xml:space="preserve">a première </w:t>
      </w:r>
      <w:r w:rsidR="00824769" w:rsidRPr="00911998">
        <w:t xml:space="preserve">consiste </w:t>
      </w:r>
      <w:r w:rsidRPr="00911998">
        <w:t xml:space="preserve">à délimiter l’étendue de l’incompatibilité entre la loi et </w:t>
      </w:r>
      <w:r w:rsidR="006677E3" w:rsidRPr="00911998">
        <w:t xml:space="preserve">la </w:t>
      </w:r>
      <w:r w:rsidR="00B000E1" w:rsidRPr="00911998">
        <w:t>Constitution</w:t>
      </w:r>
      <w:r w:rsidR="00B50FEF" w:rsidRPr="00911998">
        <w:rPr>
          <w:rStyle w:val="Appelnotedebasdep"/>
        </w:rPr>
        <w:footnoteReference w:id="258"/>
      </w:r>
      <w:r w:rsidRPr="00911998">
        <w:t>.</w:t>
      </w:r>
      <w:r w:rsidR="00AC403A" w:rsidRPr="00911998">
        <w:t xml:space="preserve"> Comme l’explique la juge </w:t>
      </w:r>
      <w:proofErr w:type="spellStart"/>
      <w:r w:rsidR="00AC403A" w:rsidRPr="00911998">
        <w:t>Karakatsanis</w:t>
      </w:r>
      <w:proofErr w:type="spellEnd"/>
      <w:r w:rsidR="00AC403A" w:rsidRPr="00911998">
        <w:t xml:space="preserve"> dans</w:t>
      </w:r>
      <w:r w:rsidR="006677E3" w:rsidRPr="00911998">
        <w:t xml:space="preserve"> l’affaire</w:t>
      </w:r>
      <w:r w:rsidR="00AC403A" w:rsidRPr="00911998">
        <w:t xml:space="preserve"> </w:t>
      </w:r>
      <w:r w:rsidR="00AC403A" w:rsidRPr="00911998">
        <w:rPr>
          <w:i/>
          <w:iCs/>
        </w:rPr>
        <w:t>Ontario c. G.</w:t>
      </w:r>
      <w:r w:rsidR="00BA4395" w:rsidRPr="00911998">
        <w:t>,</w:t>
      </w:r>
      <w:r w:rsidR="00AC403A" w:rsidRPr="00911998">
        <w:rPr>
          <w:i/>
          <w:iCs/>
        </w:rPr>
        <w:t> </w:t>
      </w:r>
      <w:r w:rsidR="00B50FEF" w:rsidRPr="00911998">
        <w:t>«</w:t>
      </w:r>
      <w:r w:rsidR="00AA6B41" w:rsidRPr="00911998">
        <w:t> </w:t>
      </w:r>
      <w:r w:rsidR="00B50FEF" w:rsidRPr="00911998">
        <w:t>L’analyse de la réparation qu’il convient d’accorder repose sur la nature et l’étendue de la violation sous</w:t>
      </w:r>
      <w:r w:rsidR="00B50FEF" w:rsidRPr="00911998">
        <w:noBreakHyphen/>
        <w:t>jacente de la </w:t>
      </w:r>
      <w:r w:rsidR="00B50FEF" w:rsidRPr="00911998">
        <w:rPr>
          <w:i/>
          <w:iCs/>
        </w:rPr>
        <w:t>Charte</w:t>
      </w:r>
      <w:r w:rsidR="00B50FEF" w:rsidRPr="00911998">
        <w:t>, car la portée de la réparation qui est finalement accordée dépend notamment de l’étendue de la violation</w:t>
      </w:r>
      <w:r w:rsidR="00AA6B41" w:rsidRPr="00911998">
        <w:t> </w:t>
      </w:r>
      <w:r w:rsidR="00B50FEF" w:rsidRPr="00911998">
        <w:t>»</w:t>
      </w:r>
      <w:r w:rsidR="00B50FEF" w:rsidRPr="00911998">
        <w:rPr>
          <w:rStyle w:val="Appelnotedebasdep"/>
        </w:rPr>
        <w:footnoteReference w:id="259"/>
      </w:r>
      <w:r w:rsidR="00B50FEF" w:rsidRPr="00911998">
        <w:t>.</w:t>
      </w:r>
    </w:p>
    <w:p w14:paraId="6F94C0ED" w14:textId="5FD3C0DC" w:rsidR="00E94CCB" w:rsidRPr="00911998" w:rsidRDefault="00B50FEF" w:rsidP="00086327">
      <w:pPr>
        <w:pStyle w:val="Paragrsimple"/>
      </w:pPr>
      <w:r w:rsidRPr="00911998">
        <w:t>La deuxième étape consiste à déterminer le type de déclaration à prononcer compte tenu de cette incompatibilité</w:t>
      </w:r>
      <w:r w:rsidR="00BE7767" w:rsidRPr="00911998">
        <w:t>,</w:t>
      </w:r>
      <w:r w:rsidR="00D903E3" w:rsidRPr="00911998">
        <w:t xml:space="preserve"> laquelle doit supprimer </w:t>
      </w:r>
      <w:r w:rsidR="004A07A0" w:rsidRPr="00911998">
        <w:t>les vices constitutionnels</w:t>
      </w:r>
      <w:r w:rsidR="00D903E3" w:rsidRPr="00911998">
        <w:t xml:space="preserve"> </w:t>
      </w:r>
      <w:r w:rsidR="001D57D8" w:rsidRPr="00911998">
        <w:t>entachant</w:t>
      </w:r>
      <w:r w:rsidR="00D903E3" w:rsidRPr="00911998">
        <w:t xml:space="preserve"> la loi</w:t>
      </w:r>
      <w:r w:rsidR="00D903E3" w:rsidRPr="00911998">
        <w:rPr>
          <w:rStyle w:val="Appelnotedebasdep"/>
        </w:rPr>
        <w:footnoteReference w:id="260"/>
      </w:r>
      <w:r w:rsidRPr="00911998">
        <w:t xml:space="preserve">. C’est à cette étape </w:t>
      </w:r>
      <w:r w:rsidR="00BA4395" w:rsidRPr="00911998">
        <w:t>qu’il faut</w:t>
      </w:r>
      <w:r w:rsidRPr="00911998">
        <w:t xml:space="preserve"> examiner la possibilité de prononcer une </w:t>
      </w:r>
      <w:r w:rsidR="007C33B1" w:rsidRPr="00911998">
        <w:t xml:space="preserve">mesure de </w:t>
      </w:r>
      <w:r w:rsidRPr="00911998">
        <w:t xml:space="preserve">réparation adaptée. </w:t>
      </w:r>
    </w:p>
    <w:p w14:paraId="610C7651" w14:textId="2CBA6705" w:rsidR="00B50FEF" w:rsidRPr="00911998" w:rsidRDefault="00B50FEF" w:rsidP="00086327">
      <w:pPr>
        <w:pStyle w:val="Paragrsimple"/>
      </w:pPr>
      <w:r w:rsidRPr="00911998">
        <w:t xml:space="preserve">En effet, le principe </w:t>
      </w:r>
      <w:r w:rsidR="00BA4395" w:rsidRPr="00911998">
        <w:t>voulant que</w:t>
      </w:r>
      <w:r w:rsidRPr="00911998">
        <w:t xml:space="preserve"> la loi est inopérante dans la pleine mesure de son incompatibilité avec une norme constitutionnelle </w:t>
      </w:r>
      <w:r w:rsidR="00042EF3" w:rsidRPr="00911998">
        <w:t>a pour</w:t>
      </w:r>
      <w:r w:rsidR="00E94CCB" w:rsidRPr="00911998">
        <w:t xml:space="preserve"> c</w:t>
      </w:r>
      <w:r w:rsidRPr="00911998">
        <w:t>orollaire qu’il convient de maintenir les aspects de la loi qui s’avèrent compatible</w:t>
      </w:r>
      <w:r w:rsidR="00BE7767" w:rsidRPr="00911998">
        <w:t>s</w:t>
      </w:r>
      <w:r w:rsidRPr="00911998">
        <w:t xml:space="preserve"> avec la Constitution, le public a</w:t>
      </w:r>
      <w:r w:rsidR="00042EF3" w:rsidRPr="00911998">
        <w:t>yant</w:t>
      </w:r>
      <w:r w:rsidRPr="00911998">
        <w:t xml:space="preserve"> droit au bénéfice de </w:t>
      </w:r>
      <w:r w:rsidR="00BE7767" w:rsidRPr="00911998">
        <w:t>ceux</w:t>
      </w:r>
      <w:r w:rsidR="00BE7767" w:rsidRPr="00911998">
        <w:noBreakHyphen/>
        <w:t>ci</w:t>
      </w:r>
      <w:r w:rsidR="007C33B1" w:rsidRPr="00911998">
        <w:rPr>
          <w:rStyle w:val="Appelnotedebasdep"/>
        </w:rPr>
        <w:footnoteReference w:id="261"/>
      </w:r>
      <w:r w:rsidR="007C33B1" w:rsidRPr="00911998">
        <w:t>. À ce chapitre, «</w:t>
      </w:r>
      <w:r w:rsidR="00AA6B41" w:rsidRPr="00911998">
        <w:t> </w:t>
      </w:r>
      <w:r w:rsidR="007C33B1" w:rsidRPr="00911998">
        <w:t>En accordant des réparations adaptées pour corriger un vice constitutionnel en particulier, le tribunal peut préserver les droits constitutionnels de toutes les personnes touchées ainsi que les aspects constitutionnels de la loi en question</w:t>
      </w:r>
      <w:r w:rsidR="00AA6B41" w:rsidRPr="00911998">
        <w:t> </w:t>
      </w:r>
      <w:r w:rsidR="007C33B1" w:rsidRPr="00911998">
        <w:t>»</w:t>
      </w:r>
      <w:r w:rsidR="007C33B1" w:rsidRPr="00911998">
        <w:rPr>
          <w:rStyle w:val="Appelnotedebasdep"/>
        </w:rPr>
        <w:footnoteReference w:id="262"/>
      </w:r>
      <w:r w:rsidR="007C33B1" w:rsidRPr="00911998">
        <w:t>.</w:t>
      </w:r>
    </w:p>
    <w:p w14:paraId="66B43627" w14:textId="65272726" w:rsidR="00AC403A" w:rsidRPr="00911998" w:rsidRDefault="002150FC" w:rsidP="00086327">
      <w:pPr>
        <w:pStyle w:val="Paragrsimple"/>
      </w:pPr>
      <w:r w:rsidRPr="00911998">
        <w:t>La jurisprudence de la Cour suprême identifie t</w:t>
      </w:r>
      <w:r w:rsidR="00B50FEF" w:rsidRPr="00911998">
        <w:t>rois mesures de réparation adaptée</w:t>
      </w:r>
      <w:r w:rsidR="007C33B1" w:rsidRPr="00911998">
        <w:t>s</w:t>
      </w:r>
      <w:r w:rsidR="00B50FEF" w:rsidRPr="00911998">
        <w:t xml:space="preserve"> </w:t>
      </w:r>
      <w:r w:rsidRPr="00911998">
        <w:t>qui peuvent</w:t>
      </w:r>
      <w:r w:rsidR="006A6FCB" w:rsidRPr="00911998">
        <w:t>, le cas échéant, être prononcées à la place d’une déclaration d’invalidité intégrale, afin de préserver les aspects constitutionnels d’une loi contestée</w:t>
      </w:r>
      <w:r w:rsidR="00E94CCB" w:rsidRPr="00911998">
        <w:t xml:space="preserve"> et </w:t>
      </w:r>
      <w:r w:rsidR="00BA4395" w:rsidRPr="00911998">
        <w:t xml:space="preserve">de </w:t>
      </w:r>
      <w:r w:rsidR="00E94CCB" w:rsidRPr="00911998">
        <w:t>permettre au public d’en tirer bénéfice</w:t>
      </w:r>
      <w:r w:rsidR="00E94CCB" w:rsidRPr="00911998">
        <w:rPr>
          <w:rStyle w:val="Appelnotedebasdep"/>
        </w:rPr>
        <w:footnoteReference w:id="263"/>
      </w:r>
      <w:r w:rsidR="00E94CCB" w:rsidRPr="00911998">
        <w:t xml:space="preserve">. </w:t>
      </w:r>
      <w:r w:rsidR="00384A02" w:rsidRPr="00911998">
        <w:t xml:space="preserve">Il </w:t>
      </w:r>
      <w:r w:rsidR="00E94CCB" w:rsidRPr="00911998">
        <w:t>s’agi</w:t>
      </w:r>
      <w:r w:rsidR="00384A02" w:rsidRPr="00911998">
        <w:t>t</w:t>
      </w:r>
      <w:r w:rsidR="00E94CCB" w:rsidRPr="00911998">
        <w:t xml:space="preserve"> de</w:t>
      </w:r>
      <w:r w:rsidR="00E94CCB" w:rsidRPr="00911998">
        <w:rPr>
          <w:rStyle w:val="Appelnotedebasdep"/>
        </w:rPr>
        <w:footnoteReference w:id="264"/>
      </w:r>
      <w:r w:rsidR="006A6FCB" w:rsidRPr="00911998">
        <w:t> :</w:t>
      </w:r>
    </w:p>
    <w:p w14:paraId="23FEA43F" w14:textId="6A23AB52" w:rsidR="006A6FCB" w:rsidRPr="00911998" w:rsidRDefault="00E94CCB" w:rsidP="000F6BA9">
      <w:pPr>
        <w:pStyle w:val="Paragrdouble"/>
        <w:numPr>
          <w:ilvl w:val="0"/>
          <w:numId w:val="13"/>
        </w:numPr>
        <w:spacing w:line="240" w:lineRule="auto"/>
      </w:pPr>
      <w:r w:rsidRPr="00911998">
        <w:rPr>
          <w:u w:val="single"/>
        </w:rPr>
        <w:lastRenderedPageBreak/>
        <w:t>L’interprétation atténuée</w:t>
      </w:r>
      <w:r w:rsidRPr="00911998">
        <w:t> («</w:t>
      </w:r>
      <w:r w:rsidR="00AA6B41" w:rsidRPr="00911998">
        <w:t> </w:t>
      </w:r>
      <w:proofErr w:type="spellStart"/>
      <w:r w:rsidRPr="00911998">
        <w:rPr>
          <w:i/>
          <w:iCs/>
        </w:rPr>
        <w:t>reading</w:t>
      </w:r>
      <w:proofErr w:type="spellEnd"/>
      <w:r w:rsidRPr="00911998">
        <w:rPr>
          <w:i/>
          <w:iCs/>
        </w:rPr>
        <w:t xml:space="preserve"> down</w:t>
      </w:r>
      <w:r w:rsidR="00AA6B41" w:rsidRPr="00911998">
        <w:rPr>
          <w:i/>
          <w:iCs/>
        </w:rPr>
        <w:t> </w:t>
      </w:r>
      <w:r w:rsidRPr="00911998">
        <w:t>»)</w:t>
      </w:r>
      <w:r w:rsidR="00340784" w:rsidRPr="00911998">
        <w:t> </w:t>
      </w:r>
      <w:r w:rsidRPr="00911998">
        <w:t xml:space="preserve">: le tribunal limite la portée d’une loi en la déclarant inopérante dans une mesure </w:t>
      </w:r>
      <w:r w:rsidR="00BE7767" w:rsidRPr="00911998">
        <w:t>définie</w:t>
      </w:r>
      <w:r w:rsidRPr="00911998">
        <w:t xml:space="preserve"> avec précision. Pour prononcer une interprétation atténuée, il faut être en mesure d’isoler la portion de la loi qui est incompatible avec la Constitution</w:t>
      </w:r>
      <w:r w:rsidR="00AA6B41" w:rsidRPr="00911998">
        <w:t> </w:t>
      </w:r>
      <w:r w:rsidRPr="00911998">
        <w:t>;</w:t>
      </w:r>
    </w:p>
    <w:p w14:paraId="441D56C4" w14:textId="5748A97B" w:rsidR="00E94CCB" w:rsidRPr="00911998" w:rsidRDefault="00E94CCB" w:rsidP="000F6BA9">
      <w:pPr>
        <w:pStyle w:val="Paragrdouble"/>
        <w:numPr>
          <w:ilvl w:val="0"/>
          <w:numId w:val="13"/>
        </w:numPr>
        <w:spacing w:line="240" w:lineRule="auto"/>
      </w:pPr>
      <w:r w:rsidRPr="00911998">
        <w:rPr>
          <w:u w:val="single"/>
        </w:rPr>
        <w:t>L’interprétation large</w:t>
      </w:r>
      <w:r w:rsidRPr="00911998">
        <w:t> </w:t>
      </w:r>
      <w:r w:rsidR="00340784" w:rsidRPr="00911998">
        <w:t>(«</w:t>
      </w:r>
      <w:r w:rsidR="00AA6B41" w:rsidRPr="00911998">
        <w:t> </w:t>
      </w:r>
      <w:proofErr w:type="spellStart"/>
      <w:r w:rsidR="00340784" w:rsidRPr="00911998">
        <w:rPr>
          <w:i/>
          <w:iCs/>
        </w:rPr>
        <w:t>reading</w:t>
      </w:r>
      <w:proofErr w:type="spellEnd"/>
      <w:r w:rsidR="00340784" w:rsidRPr="00911998">
        <w:rPr>
          <w:i/>
          <w:iCs/>
        </w:rPr>
        <w:t xml:space="preserve"> in</w:t>
      </w:r>
      <w:r w:rsidR="00AA6B41" w:rsidRPr="00911998">
        <w:t> </w:t>
      </w:r>
      <w:r w:rsidR="00340784" w:rsidRPr="00911998">
        <w:t>») </w:t>
      </w:r>
      <w:r w:rsidRPr="00911998">
        <w:t xml:space="preserve">: </w:t>
      </w:r>
      <w:r w:rsidR="00BA4395" w:rsidRPr="00911998">
        <w:t>il s’agit de</w:t>
      </w:r>
      <w:r w:rsidRPr="00911998">
        <w:t xml:space="preserve"> l’inverse de l’interprétation atténué</w:t>
      </w:r>
      <w:r w:rsidR="00BA4395" w:rsidRPr="00911998">
        <w:t>e</w:t>
      </w:r>
      <w:r w:rsidRPr="00911998">
        <w:t xml:space="preserve">. Le tribunal étend </w:t>
      </w:r>
      <w:r w:rsidR="00340784" w:rsidRPr="00911998">
        <w:t>le champ d’application</w:t>
      </w:r>
      <w:r w:rsidRPr="00911998">
        <w:t xml:space="preserve"> d’une loi </w:t>
      </w:r>
      <w:r w:rsidR="00340784" w:rsidRPr="00911998">
        <w:t>en déclarant inopérante une limite implicite à sa portée. Cette mesure de réparation peut être prononcée «</w:t>
      </w:r>
      <w:r w:rsidR="00AA6B41" w:rsidRPr="00911998">
        <w:t> </w:t>
      </w:r>
      <w:r w:rsidR="00340784" w:rsidRPr="00911998">
        <w:t xml:space="preserve">lorsque l’incompatibilité avec la Constitution </w:t>
      </w:r>
      <w:r w:rsidR="00AA6B41" w:rsidRPr="00911998">
        <w:t>“</w:t>
      </w:r>
      <w:r w:rsidR="00340784" w:rsidRPr="00911998">
        <w:t>découle de ce que la loi </w:t>
      </w:r>
      <w:r w:rsidR="00340784" w:rsidRPr="00911998">
        <w:rPr>
          <w:u w:val="single"/>
        </w:rPr>
        <w:t>exclut</w:t>
      </w:r>
      <w:r w:rsidR="00340784" w:rsidRPr="00911998">
        <w:t> à tort plutôt que de ce qu’elle </w:t>
      </w:r>
      <w:r w:rsidR="00340784" w:rsidRPr="00911998">
        <w:rPr>
          <w:u w:val="single"/>
        </w:rPr>
        <w:t>inclut</w:t>
      </w:r>
      <w:r w:rsidR="00340784" w:rsidRPr="00911998">
        <w:t> à tort</w:t>
      </w:r>
      <w:r w:rsidR="00AA6B41" w:rsidRPr="00911998">
        <w:t>” </w:t>
      </w:r>
      <w:r w:rsidR="00340784" w:rsidRPr="00911998">
        <w:t>»</w:t>
      </w:r>
      <w:r w:rsidR="00BE7767" w:rsidRPr="00911998">
        <w:rPr>
          <w:rStyle w:val="Appelnotedebasdep"/>
        </w:rPr>
        <w:footnoteReference w:id="265"/>
      </w:r>
      <w:r w:rsidR="00BE7767" w:rsidRPr="00911998">
        <w:t xml:space="preserve"> (soulignements dans l’original)</w:t>
      </w:r>
      <w:r w:rsidR="00AA6B41" w:rsidRPr="00911998">
        <w:t> </w:t>
      </w:r>
      <w:r w:rsidR="00340784" w:rsidRPr="00911998">
        <w:t>; et</w:t>
      </w:r>
    </w:p>
    <w:p w14:paraId="50C2F57F" w14:textId="35CCC646" w:rsidR="00AC403A" w:rsidRPr="00911998" w:rsidRDefault="00E94CCB" w:rsidP="000F6BA9">
      <w:pPr>
        <w:pStyle w:val="Paragrdouble"/>
        <w:numPr>
          <w:ilvl w:val="0"/>
          <w:numId w:val="13"/>
        </w:numPr>
        <w:spacing w:line="240" w:lineRule="auto"/>
      </w:pPr>
      <w:r w:rsidRPr="00911998">
        <w:rPr>
          <w:u w:val="single"/>
        </w:rPr>
        <w:t>La dissociation</w:t>
      </w:r>
      <w:r w:rsidRPr="00911998">
        <w:t> </w:t>
      </w:r>
      <w:r w:rsidR="00340784" w:rsidRPr="00911998">
        <w:t>(«</w:t>
      </w:r>
      <w:r w:rsidR="00AA6B41" w:rsidRPr="00911998">
        <w:t> </w:t>
      </w:r>
      <w:proofErr w:type="spellStart"/>
      <w:r w:rsidR="00340784" w:rsidRPr="00911998">
        <w:rPr>
          <w:i/>
          <w:iCs/>
        </w:rPr>
        <w:t>severance</w:t>
      </w:r>
      <w:proofErr w:type="spellEnd"/>
      <w:r w:rsidR="00AA6B41" w:rsidRPr="00911998">
        <w:t> </w:t>
      </w:r>
      <w:r w:rsidR="00340784" w:rsidRPr="00911998">
        <w:t>») </w:t>
      </w:r>
      <w:r w:rsidRPr="00911998">
        <w:t xml:space="preserve">: </w:t>
      </w:r>
      <w:r w:rsidR="00340784" w:rsidRPr="00911998">
        <w:t xml:space="preserve">le tribunal déclare </w:t>
      </w:r>
      <w:r w:rsidR="00BE7767" w:rsidRPr="00911998">
        <w:t>inopérants</w:t>
      </w:r>
      <w:r w:rsidR="00340784" w:rsidRPr="00911998">
        <w:t xml:space="preserve"> certains termes d’une loi </w:t>
      </w:r>
      <w:r w:rsidR="00042EF3" w:rsidRPr="00911998">
        <w:t xml:space="preserve">énoncés explicitement dans son libellé et </w:t>
      </w:r>
      <w:r w:rsidR="00340784" w:rsidRPr="00911998">
        <w:t xml:space="preserve">qui sont </w:t>
      </w:r>
      <w:r w:rsidR="00042EF3" w:rsidRPr="00911998">
        <w:t xml:space="preserve">par ailleurs </w:t>
      </w:r>
      <w:r w:rsidR="00BE7767" w:rsidRPr="00911998">
        <w:t>irrégulier</w:t>
      </w:r>
      <w:r w:rsidR="00042EF3" w:rsidRPr="00911998">
        <w:t>s</w:t>
      </w:r>
      <w:r w:rsidR="00340784" w:rsidRPr="00911998">
        <w:t xml:space="preserve">. </w:t>
      </w:r>
    </w:p>
    <w:p w14:paraId="651236BE" w14:textId="511F5A82" w:rsidR="001D57D8" w:rsidRPr="00911998" w:rsidRDefault="00B0045E" w:rsidP="00825B89">
      <w:pPr>
        <w:pStyle w:val="Paragrsimple"/>
      </w:pPr>
      <w:r w:rsidRPr="00911998">
        <w:t xml:space="preserve">Le pouvoir du tribunal de prononcer une mesure de réparation adaptée est </w:t>
      </w:r>
      <w:r w:rsidR="00BE7767" w:rsidRPr="00911998">
        <w:t>assujetti</w:t>
      </w:r>
      <w:r w:rsidRPr="00911998">
        <w:t xml:space="preserve"> à une limite fondamentale. Un tel redressement ne peut être accordé que «</w:t>
      </w:r>
      <w:r w:rsidR="00AA6B41" w:rsidRPr="00911998">
        <w:t> </w:t>
      </w:r>
      <w:r w:rsidRPr="00911998">
        <w:t>s’il est très plausible de présumer</w:t>
      </w:r>
      <w:r w:rsidR="001961A8" w:rsidRPr="00911998">
        <w:rPr>
          <w:rStyle w:val="Appelnotedebasdep"/>
        </w:rPr>
        <w:footnoteReference w:id="266"/>
      </w:r>
      <w:r w:rsidRPr="00911998">
        <w:t xml:space="preserve"> que </w:t>
      </w:r>
      <w:r w:rsidR="00AA6B41" w:rsidRPr="00911998">
        <w:t>“</w:t>
      </w:r>
      <w:r w:rsidRPr="00911998">
        <w:t>le législateur aurait adopté la partie constitutionnelle de la loi en question sans la partie inconstitutionnelle</w:t>
      </w:r>
      <w:r w:rsidR="00AA6B41" w:rsidRPr="00911998">
        <w:t>” </w:t>
      </w:r>
      <w:r w:rsidR="007E710C" w:rsidRPr="00911998">
        <w:t>»</w:t>
      </w:r>
      <w:r w:rsidR="007E710C" w:rsidRPr="00911998">
        <w:rPr>
          <w:rStyle w:val="Appelnotedebasdep"/>
        </w:rPr>
        <w:footnoteReference w:id="267"/>
      </w:r>
      <w:r w:rsidRPr="00911998">
        <w:t xml:space="preserve">. À ce titre, la juge </w:t>
      </w:r>
      <w:proofErr w:type="spellStart"/>
      <w:r w:rsidRPr="00911998">
        <w:t>Karakatsanis</w:t>
      </w:r>
      <w:proofErr w:type="spellEnd"/>
      <w:r w:rsidRPr="00911998">
        <w:t xml:space="preserve"> mentionne dans </w:t>
      </w:r>
      <w:r w:rsidRPr="00911998">
        <w:rPr>
          <w:i/>
          <w:iCs/>
        </w:rPr>
        <w:t>Ontario c. G.</w:t>
      </w:r>
      <w:r w:rsidR="007E710C" w:rsidRPr="00911998">
        <w:rPr>
          <w:rStyle w:val="Appelnotedebasdep"/>
        </w:rPr>
        <w:footnoteReference w:id="268"/>
      </w:r>
      <w:r w:rsidRPr="00911998">
        <w:rPr>
          <w:i/>
          <w:iCs/>
        </w:rPr>
        <w:t> </w:t>
      </w:r>
      <w:r w:rsidRPr="00911998">
        <w:t>:</w:t>
      </w:r>
    </w:p>
    <w:p w14:paraId="32489E41" w14:textId="6A4BA4F9" w:rsidR="00B0045E" w:rsidRPr="00911998" w:rsidRDefault="00B0045E" w:rsidP="00B0045E">
      <w:pPr>
        <w:ind w:left="567" w:right="560"/>
        <w:jc w:val="both"/>
        <w:rPr>
          <w:sz w:val="22"/>
          <w:szCs w:val="22"/>
        </w:rPr>
      </w:pPr>
      <w:r w:rsidRPr="00911998">
        <w:rPr>
          <w:sz w:val="22"/>
          <w:szCs w:val="22"/>
        </w:rPr>
        <w:t>[114</w:t>
      </w:r>
      <w:proofErr w:type="gramStart"/>
      <w:r w:rsidRPr="00911998">
        <w:rPr>
          <w:sz w:val="22"/>
          <w:szCs w:val="22"/>
        </w:rPr>
        <w:t>]  [</w:t>
      </w:r>
      <w:proofErr w:type="gramEnd"/>
      <w:r w:rsidRPr="00911998">
        <w:rPr>
          <w:sz w:val="22"/>
          <w:szCs w:val="22"/>
        </w:rPr>
        <w:t>…] S’il semble peu probable que le législateur aurait édicté la version adaptée de la loi, l’adaptation de la réparation ne serait pas conforme à son choix de politique et porterait donc atteinte à la souveraineté parlementaire […]. Le sens de la partie de la loi qui reste doit donc être examiné, et des réparations adaptées ne devraient pas être accordées lorsqu’elles risquent de nuire à l’objectif législatif de la loi dans son ensemble […].</w:t>
      </w:r>
    </w:p>
    <w:p w14:paraId="722BDC0E" w14:textId="2A15C974" w:rsidR="007E710C" w:rsidRPr="00911998" w:rsidRDefault="007E710C" w:rsidP="00825B89">
      <w:pPr>
        <w:pStyle w:val="Paragrsimple"/>
      </w:pPr>
      <w:r w:rsidRPr="00911998">
        <w:t>En outre, une réparation adaptée exige qu’il soit possible de définir avec précision la partie inconstitutionnelle de la loi</w:t>
      </w:r>
      <w:r w:rsidRPr="00911998">
        <w:rPr>
          <w:rStyle w:val="Appelnotedebasdep"/>
        </w:rPr>
        <w:footnoteReference w:id="269"/>
      </w:r>
      <w:r w:rsidRPr="00911998">
        <w:t xml:space="preserve">. Il en est ainsi car </w:t>
      </w:r>
      <w:r w:rsidR="004A07A0" w:rsidRPr="00911998">
        <w:t>les tribunaux «</w:t>
      </w:r>
      <w:r w:rsidR="00AA6B41" w:rsidRPr="00911998">
        <w:t> </w:t>
      </w:r>
      <w:r w:rsidR="004A07A0" w:rsidRPr="00911998">
        <w:t xml:space="preserve">ne sont pas aptes à faire </w:t>
      </w:r>
      <w:r w:rsidR="00AA6B41" w:rsidRPr="00911998">
        <w:t>“</w:t>
      </w:r>
      <w:r w:rsidR="004A07A0" w:rsidRPr="00911998">
        <w:t>des choix particuliers entre diverses options</w:t>
      </w:r>
      <w:r w:rsidR="00AA6B41" w:rsidRPr="00911998">
        <w:t>” </w:t>
      </w:r>
      <w:r w:rsidR="004A07A0" w:rsidRPr="00911998">
        <w:t>»</w:t>
      </w:r>
      <w:r w:rsidR="004A07A0" w:rsidRPr="00911998">
        <w:rPr>
          <w:rStyle w:val="Appelnotedebasdep"/>
        </w:rPr>
        <w:footnoteReference w:id="270"/>
      </w:r>
      <w:r w:rsidR="004A07A0" w:rsidRPr="00911998">
        <w:t>.</w:t>
      </w:r>
    </w:p>
    <w:p w14:paraId="0D4E3A23" w14:textId="211C57B8" w:rsidR="004A07A0" w:rsidRPr="00911998" w:rsidRDefault="004A07A0" w:rsidP="00825B89">
      <w:pPr>
        <w:pStyle w:val="Paragrsimple"/>
      </w:pPr>
      <w:r w:rsidRPr="00911998">
        <w:t>L’application d</w:t>
      </w:r>
      <w:r w:rsidR="00B0045E" w:rsidRPr="00911998">
        <w:t xml:space="preserve">es principes mentionnés ci-dessus </w:t>
      </w:r>
      <w:r w:rsidR="00AA6B41" w:rsidRPr="00911998">
        <w:t>implique</w:t>
      </w:r>
      <w:r w:rsidR="00AC403A" w:rsidRPr="00911998">
        <w:t xml:space="preserve"> l’exercice d</w:t>
      </w:r>
      <w:r w:rsidR="00B0045E" w:rsidRPr="00911998">
        <w:t>’une mesure de</w:t>
      </w:r>
      <w:r w:rsidR="00AC403A" w:rsidRPr="00911998">
        <w:t xml:space="preserve"> discrétion judiciaire</w:t>
      </w:r>
      <w:r w:rsidR="00AC403A" w:rsidRPr="00911998">
        <w:rPr>
          <w:rStyle w:val="Appelnotedebasdep"/>
        </w:rPr>
        <w:footnoteReference w:id="271"/>
      </w:r>
      <w:r w:rsidR="00AC403A" w:rsidRPr="00911998">
        <w:t xml:space="preserve">. </w:t>
      </w:r>
      <w:r w:rsidRPr="00911998">
        <w:t>Or, c</w:t>
      </w:r>
      <w:r w:rsidR="00AC403A" w:rsidRPr="00911998">
        <w:t>ette</w:t>
      </w:r>
      <w:r w:rsidR="00825B89" w:rsidRPr="00911998">
        <w:t xml:space="preserve"> discrétion </w:t>
      </w:r>
      <w:r w:rsidR="00524BF2" w:rsidRPr="00911998">
        <w:t xml:space="preserve">est fondée sur des principes, lesquels peuvent être contradictoires, </w:t>
      </w:r>
      <w:r w:rsidR="00354023" w:rsidRPr="00911998">
        <w:t xml:space="preserve">qui </w:t>
      </w:r>
      <w:r w:rsidR="00A1176A" w:rsidRPr="00911998">
        <w:t xml:space="preserve">doivent </w:t>
      </w:r>
      <w:r w:rsidR="00524BF2" w:rsidRPr="00911998">
        <w:t>être soupesés</w:t>
      </w:r>
      <w:r w:rsidR="00354023" w:rsidRPr="00911998">
        <w:t xml:space="preserve"> et</w:t>
      </w:r>
      <w:r w:rsidR="00524BF2" w:rsidRPr="00911998">
        <w:t xml:space="preserve"> </w:t>
      </w:r>
      <w:r w:rsidR="00AA6B41" w:rsidRPr="00911998">
        <w:t>réconciliés</w:t>
      </w:r>
      <w:r w:rsidR="00524BF2" w:rsidRPr="00911998">
        <w:t xml:space="preserve"> et </w:t>
      </w:r>
      <w:r w:rsidR="00354023" w:rsidRPr="00911998">
        <w:t>dont l’importance des uns envers les autres doit être déterminée</w:t>
      </w:r>
      <w:r w:rsidR="00524BF2" w:rsidRPr="00911998">
        <w:rPr>
          <w:rStyle w:val="Appelnotedebasdep"/>
        </w:rPr>
        <w:footnoteReference w:id="272"/>
      </w:r>
      <w:r w:rsidR="00524BF2" w:rsidRPr="00911998">
        <w:t xml:space="preserve">. Dans l’arrêt </w:t>
      </w:r>
      <w:r w:rsidR="00524BF2" w:rsidRPr="00911998">
        <w:rPr>
          <w:i/>
          <w:iCs/>
        </w:rPr>
        <w:t>Ontario c. G.</w:t>
      </w:r>
      <w:r w:rsidR="00524BF2" w:rsidRPr="00911998">
        <w:t xml:space="preserve">, la juge </w:t>
      </w:r>
      <w:proofErr w:type="spellStart"/>
      <w:r w:rsidR="00524BF2" w:rsidRPr="00911998">
        <w:lastRenderedPageBreak/>
        <w:t>Karakatsanis</w:t>
      </w:r>
      <w:proofErr w:type="spellEnd"/>
      <w:r w:rsidR="00524BF2" w:rsidRPr="00911998">
        <w:t xml:space="preserve"> nomme quatre principes fondamentaux </w:t>
      </w:r>
      <w:r w:rsidRPr="00911998">
        <w:t>et d</w:t>
      </w:r>
      <w:r w:rsidR="00042EF3" w:rsidRPr="00911998">
        <w:t>e nature</w:t>
      </w:r>
      <w:r w:rsidRPr="00911998">
        <w:t xml:space="preserve"> constitutionnelle </w:t>
      </w:r>
      <w:r w:rsidR="00524BF2" w:rsidRPr="00911998">
        <w:t>en matière de réparation</w:t>
      </w:r>
      <w:r w:rsidRPr="00911998">
        <w:t xml:space="preserve">, </w:t>
      </w:r>
      <w:r w:rsidR="00BE7767" w:rsidRPr="00911998">
        <w:t>à savoir</w:t>
      </w:r>
      <w:r w:rsidRPr="00911998">
        <w:rPr>
          <w:rStyle w:val="Appelnotedebasdep"/>
        </w:rPr>
        <w:footnoteReference w:id="273"/>
      </w:r>
      <w:r w:rsidRPr="00911998">
        <w:t> :</w:t>
      </w:r>
    </w:p>
    <w:p w14:paraId="4EE4CECE" w14:textId="272C016E" w:rsidR="0078139E" w:rsidRPr="00911998" w:rsidRDefault="0078139E" w:rsidP="000F6BA9">
      <w:pPr>
        <w:pStyle w:val="Paragrdouble"/>
        <w:numPr>
          <w:ilvl w:val="0"/>
          <w:numId w:val="14"/>
        </w:numPr>
        <w:spacing w:line="240" w:lineRule="auto"/>
        <w:rPr>
          <w:szCs w:val="24"/>
        </w:rPr>
      </w:pPr>
      <w:r w:rsidRPr="00911998">
        <w:rPr>
          <w:szCs w:val="24"/>
        </w:rPr>
        <w:t>Les droits garantis par la </w:t>
      </w:r>
      <w:hyperlink r:id="rId53" w:history="1">
        <w:r w:rsidRPr="00911998">
          <w:rPr>
            <w:rStyle w:val="Hyperlien"/>
            <w:i/>
            <w:iCs/>
            <w:color w:val="auto"/>
            <w:szCs w:val="24"/>
            <w:u w:val="none"/>
          </w:rPr>
          <w:t>Charte</w:t>
        </w:r>
      </w:hyperlink>
      <w:r w:rsidRPr="00911998">
        <w:rPr>
          <w:szCs w:val="24"/>
        </w:rPr>
        <w:t> doivent être protégés par l’octroi de réparations efficaces</w:t>
      </w:r>
      <w:r w:rsidR="00AA6B41" w:rsidRPr="00911998">
        <w:rPr>
          <w:szCs w:val="24"/>
        </w:rPr>
        <w:t> </w:t>
      </w:r>
      <w:r w:rsidR="00BE7767" w:rsidRPr="00911998">
        <w:rPr>
          <w:szCs w:val="24"/>
        </w:rPr>
        <w:t>;</w:t>
      </w:r>
    </w:p>
    <w:p w14:paraId="3ADE884F" w14:textId="5E3FADDA" w:rsidR="0078139E" w:rsidRPr="00911998" w:rsidRDefault="0078139E" w:rsidP="000F6BA9">
      <w:pPr>
        <w:pStyle w:val="Paragrdouble"/>
        <w:numPr>
          <w:ilvl w:val="0"/>
          <w:numId w:val="14"/>
        </w:numPr>
        <w:spacing w:line="240" w:lineRule="auto"/>
        <w:rPr>
          <w:szCs w:val="24"/>
        </w:rPr>
      </w:pPr>
      <w:r w:rsidRPr="00911998">
        <w:rPr>
          <w:szCs w:val="24"/>
        </w:rPr>
        <w:t>Il est dans l’intérêt du public que les lois soient conformes à la Constitution</w:t>
      </w:r>
      <w:r w:rsidR="00AA6B41" w:rsidRPr="00911998">
        <w:rPr>
          <w:szCs w:val="24"/>
        </w:rPr>
        <w:t> </w:t>
      </w:r>
      <w:r w:rsidR="00BE7767" w:rsidRPr="00911998">
        <w:rPr>
          <w:szCs w:val="24"/>
        </w:rPr>
        <w:t>;</w:t>
      </w:r>
    </w:p>
    <w:p w14:paraId="061FFF84" w14:textId="4BFD7CAE" w:rsidR="0078139E" w:rsidRPr="00911998" w:rsidRDefault="0078139E" w:rsidP="000F6BA9">
      <w:pPr>
        <w:pStyle w:val="Paragrdouble"/>
        <w:numPr>
          <w:ilvl w:val="0"/>
          <w:numId w:val="14"/>
        </w:numPr>
        <w:spacing w:line="240" w:lineRule="auto"/>
        <w:rPr>
          <w:szCs w:val="24"/>
        </w:rPr>
      </w:pPr>
      <w:r w:rsidRPr="00911998">
        <w:rPr>
          <w:szCs w:val="24"/>
        </w:rPr>
        <w:t>Le public a droit au bénéfice de la loi</w:t>
      </w:r>
      <w:r w:rsidR="00AA6B41" w:rsidRPr="00911998">
        <w:rPr>
          <w:szCs w:val="24"/>
        </w:rPr>
        <w:t> </w:t>
      </w:r>
      <w:r w:rsidR="00BE7767" w:rsidRPr="00911998">
        <w:rPr>
          <w:szCs w:val="24"/>
        </w:rPr>
        <w:t>;</w:t>
      </w:r>
    </w:p>
    <w:p w14:paraId="149A2301" w14:textId="5CE5B8FA" w:rsidR="0078139E" w:rsidRPr="00911998" w:rsidRDefault="0078139E" w:rsidP="000F6BA9">
      <w:pPr>
        <w:pStyle w:val="Paragrdouble"/>
        <w:numPr>
          <w:ilvl w:val="0"/>
          <w:numId w:val="14"/>
        </w:numPr>
        <w:spacing w:line="240" w:lineRule="auto"/>
        <w:rPr>
          <w:szCs w:val="24"/>
        </w:rPr>
      </w:pPr>
      <w:r w:rsidRPr="00911998">
        <w:rPr>
          <w:szCs w:val="24"/>
        </w:rPr>
        <w:t>Les tribunaux et les législateurs jouent des rôles institutionnels différents.</w:t>
      </w:r>
    </w:p>
    <w:p w14:paraId="765F4002" w14:textId="0496DB6C" w:rsidR="004A07A0" w:rsidRPr="00911998" w:rsidRDefault="004A07A0" w:rsidP="00BB64BB">
      <w:pPr>
        <w:pStyle w:val="Paragrsimple"/>
      </w:pPr>
      <w:r w:rsidRPr="00911998">
        <w:t xml:space="preserve">Abordons à présent la première étape de l’analyse du choix de la mesure de réparation aux termes du paragraphe 52(1) de la </w:t>
      </w:r>
      <w:r w:rsidRPr="00911998">
        <w:rPr>
          <w:i/>
          <w:iCs/>
        </w:rPr>
        <w:t>Loi constitutionnelle de 1982</w:t>
      </w:r>
      <w:r w:rsidRPr="00911998">
        <w:t>.</w:t>
      </w:r>
    </w:p>
    <w:p w14:paraId="4456D875" w14:textId="66744DB6" w:rsidR="001D57D8" w:rsidRPr="00911998" w:rsidRDefault="00BC0998" w:rsidP="004A07A0">
      <w:pPr>
        <w:pStyle w:val="Titre3"/>
      </w:pPr>
      <w:bookmarkStart w:id="89" w:name="_Toc196463739"/>
      <w:r w:rsidRPr="00911998">
        <w:t>L’</w:t>
      </w:r>
      <w:r w:rsidR="00517159" w:rsidRPr="00911998">
        <w:t>étendue</w:t>
      </w:r>
      <w:r w:rsidRPr="00911998">
        <w:t xml:space="preserve"> de l’incompatibilité avec la </w:t>
      </w:r>
      <w:r w:rsidRPr="00911998">
        <w:rPr>
          <w:i/>
          <w:iCs/>
        </w:rPr>
        <w:t>Charte canadienne</w:t>
      </w:r>
      <w:bookmarkEnd w:id="89"/>
    </w:p>
    <w:p w14:paraId="581989C3" w14:textId="40940A40" w:rsidR="00BC0998" w:rsidRPr="00911998" w:rsidRDefault="00D123B7" w:rsidP="00DA6D95">
      <w:pPr>
        <w:pStyle w:val="Paragrsimple"/>
      </w:pPr>
      <w:r w:rsidRPr="00911998">
        <w:t xml:space="preserve">En identifiant la réparation appropriée, le Tribunal doit d’abord garder à l’esprit la façon dont la loi viole la </w:t>
      </w:r>
      <w:r w:rsidRPr="00911998">
        <w:rPr>
          <w:i/>
          <w:iCs/>
        </w:rPr>
        <w:t xml:space="preserve">Charte canadienne </w:t>
      </w:r>
      <w:r w:rsidRPr="00911998">
        <w:t>et pourquoi la mesure attentatoire ne peut être justifiée en application de l’article premier</w:t>
      </w:r>
      <w:r w:rsidR="002B211E" w:rsidRPr="00911998">
        <w:rPr>
          <w:rStyle w:val="Appelnotedebasdep"/>
        </w:rPr>
        <w:footnoteReference w:id="274"/>
      </w:r>
      <w:r w:rsidRPr="00911998">
        <w:t>.</w:t>
      </w:r>
    </w:p>
    <w:p w14:paraId="3E069EFB" w14:textId="1F1D3849" w:rsidR="00CD327B" w:rsidRPr="00911998" w:rsidRDefault="002C2B70" w:rsidP="009E69CD">
      <w:pPr>
        <w:pStyle w:val="Paragrsimple"/>
      </w:pPr>
      <w:r w:rsidRPr="00911998">
        <w:t>Comme nous l’avons vu, l</w:t>
      </w:r>
      <w:r w:rsidR="00CD327B" w:rsidRPr="00911998">
        <w:t xml:space="preserve">a limite de deux liens de filiation porte atteinte au droit à l’égalité garanti par le paragraphe 15(1) </w:t>
      </w:r>
      <w:r w:rsidR="00517159" w:rsidRPr="00911998">
        <w:t>en tant que</w:t>
      </w:r>
      <w:r w:rsidR="00CD327B" w:rsidRPr="00911998">
        <w:t xml:space="preserve"> mesure discriminatoire </w:t>
      </w:r>
      <w:r w:rsidR="00517159" w:rsidRPr="00911998">
        <w:t>fondée sur le</w:t>
      </w:r>
      <w:r w:rsidRPr="00911998">
        <w:t xml:space="preserve"> statut familial</w:t>
      </w:r>
      <w:r w:rsidR="00AE4AD0" w:rsidRPr="00911998">
        <w:t xml:space="preserve"> dans le sens de </w:t>
      </w:r>
      <w:r w:rsidR="00CD327B" w:rsidRPr="00911998">
        <w:t xml:space="preserve">l’appartenance à un modèle familial particulier. Cette limite ne se justifie pas en vertu de l’article premier, car </w:t>
      </w:r>
      <w:r w:rsidR="00517159" w:rsidRPr="00911998">
        <w:t>elle</w:t>
      </w:r>
      <w:r w:rsidR="00CD327B" w:rsidRPr="00911998">
        <w:t xml:space="preserve"> ne poursuit </w:t>
      </w:r>
      <w:r w:rsidR="00517159" w:rsidRPr="00911998">
        <w:t>aucun</w:t>
      </w:r>
      <w:r w:rsidR="00CD327B" w:rsidRPr="00911998">
        <w:t xml:space="preserve"> objectif urgent et réel</w:t>
      </w:r>
      <w:r w:rsidR="00CD2F41" w:rsidRPr="00911998">
        <w:t>. De surcroît</w:t>
      </w:r>
      <w:r w:rsidR="00CD327B" w:rsidRPr="00911998">
        <w:t xml:space="preserve">, </w:t>
      </w:r>
      <w:r w:rsidR="00517159" w:rsidRPr="00911998">
        <w:t xml:space="preserve">elle </w:t>
      </w:r>
      <w:r w:rsidR="00CD327B" w:rsidRPr="00911998">
        <w:t xml:space="preserve">ne satisfait pas </w:t>
      </w:r>
      <w:r w:rsidR="00517159" w:rsidRPr="00911998">
        <w:t>au</w:t>
      </w:r>
      <w:r w:rsidR="00CD327B" w:rsidRPr="00911998">
        <w:t xml:space="preserve"> critère de l’atteinte minimale, car </w:t>
      </w:r>
      <w:r w:rsidR="00517159" w:rsidRPr="00911998">
        <w:t xml:space="preserve">il existe </w:t>
      </w:r>
      <w:r w:rsidR="00CD327B" w:rsidRPr="00911998">
        <w:t>d’autres mesures beaucoup moins atte</w:t>
      </w:r>
      <w:r w:rsidR="00BD3241" w:rsidRPr="00911998">
        <w:t>ntatoires</w:t>
      </w:r>
      <w:r w:rsidR="00CD327B" w:rsidRPr="00911998">
        <w:t>.</w:t>
      </w:r>
    </w:p>
    <w:p w14:paraId="501308F5" w14:textId="6C9FC092" w:rsidR="00CD327B" w:rsidRPr="00911998" w:rsidRDefault="00CD327B" w:rsidP="009E69CD">
      <w:pPr>
        <w:pStyle w:val="Paragrsimple"/>
      </w:pPr>
      <w:r w:rsidRPr="00911998">
        <w:t>En somme</w:t>
      </w:r>
      <w:r w:rsidR="00BD3241" w:rsidRPr="00911998">
        <w:t>,</w:t>
      </w:r>
      <w:r w:rsidR="005B76E6" w:rsidRPr="00911998">
        <w:t xml:space="preserve"> ce n’est pas </w:t>
      </w:r>
      <w:r w:rsidR="00517159" w:rsidRPr="00911998">
        <w:t>l’ensemble du</w:t>
      </w:r>
      <w:r w:rsidR="005B76E6" w:rsidRPr="00911998">
        <w:t xml:space="preserve"> régime légal </w:t>
      </w:r>
      <w:r w:rsidR="00CD2F41" w:rsidRPr="00911998">
        <w:t xml:space="preserve">québécois </w:t>
      </w:r>
      <w:r w:rsidR="005B76E6" w:rsidRPr="00911998">
        <w:t xml:space="preserve">de la filiation qui pose </w:t>
      </w:r>
      <w:proofErr w:type="gramStart"/>
      <w:r w:rsidR="005B76E6" w:rsidRPr="00911998">
        <w:t>problème</w:t>
      </w:r>
      <w:proofErr w:type="gramEnd"/>
      <w:r w:rsidR="005B76E6" w:rsidRPr="00911998">
        <w:t>.</w:t>
      </w:r>
      <w:r w:rsidR="00BD3241" w:rsidRPr="00911998">
        <w:t xml:space="preserve"> </w:t>
      </w:r>
      <w:r w:rsidR="005B76E6" w:rsidRPr="00911998">
        <w:t>L</w:t>
      </w:r>
      <w:r w:rsidR="00BD3241" w:rsidRPr="00911998">
        <w:t xml:space="preserve">’incompatibilité avec la Constitution résulte de la portée trop limitative </w:t>
      </w:r>
      <w:r w:rsidR="005B76E6" w:rsidRPr="00911998">
        <w:t xml:space="preserve">de ce </w:t>
      </w:r>
      <w:r w:rsidR="00BD3241" w:rsidRPr="00911998">
        <w:t xml:space="preserve">régime </w:t>
      </w:r>
      <w:r w:rsidR="005B76E6" w:rsidRPr="00911998">
        <w:t>puisqu’il</w:t>
      </w:r>
      <w:r w:rsidR="00BD3241" w:rsidRPr="00911998">
        <w:t xml:space="preserve"> limite la filiation à deux parents</w:t>
      </w:r>
      <w:r w:rsidR="00517159" w:rsidRPr="00911998">
        <w:t xml:space="preserve"> et</w:t>
      </w:r>
      <w:r w:rsidR="00BD3241" w:rsidRPr="00911998">
        <w:t xml:space="preserve"> ne reconna</w:t>
      </w:r>
      <w:r w:rsidR="00517159" w:rsidRPr="00911998">
        <w:t>ît</w:t>
      </w:r>
      <w:r w:rsidR="00BD3241" w:rsidRPr="00911998">
        <w:t xml:space="preserve"> </w:t>
      </w:r>
      <w:r w:rsidR="00517159" w:rsidRPr="00911998">
        <w:t xml:space="preserve">donc </w:t>
      </w:r>
      <w:r w:rsidR="00BD3241" w:rsidRPr="00911998">
        <w:t xml:space="preserve">pas la réalité des familles </w:t>
      </w:r>
      <w:proofErr w:type="spellStart"/>
      <w:r w:rsidR="00BD3241" w:rsidRPr="00911998">
        <w:t>pluriparentales</w:t>
      </w:r>
      <w:proofErr w:type="spellEnd"/>
      <w:r w:rsidR="00BD3241" w:rsidRPr="00911998">
        <w:t xml:space="preserve">. </w:t>
      </w:r>
    </w:p>
    <w:p w14:paraId="503F8529" w14:textId="5DF68C82" w:rsidR="009E69CD" w:rsidRPr="00911998" w:rsidRDefault="00466660" w:rsidP="00466660">
      <w:pPr>
        <w:pStyle w:val="Titre3"/>
        <w:rPr>
          <w:b w:val="0"/>
          <w:bCs/>
        </w:rPr>
      </w:pPr>
      <w:bookmarkStart w:id="90" w:name="_Toc196463740"/>
      <w:r w:rsidRPr="00911998">
        <w:t>Le choix du type de déclaration</w:t>
      </w:r>
      <w:bookmarkEnd w:id="90"/>
    </w:p>
    <w:p w14:paraId="3004D59F" w14:textId="3544F02B" w:rsidR="00C805B2" w:rsidRPr="00911998" w:rsidRDefault="00602246" w:rsidP="000B7B04">
      <w:pPr>
        <w:pStyle w:val="Paragrsimple"/>
        <w:rPr>
          <w:rFonts w:cs="Arial"/>
        </w:rPr>
      </w:pPr>
      <w:r w:rsidRPr="00911998">
        <w:t>L</w:t>
      </w:r>
      <w:r w:rsidR="00D84C77" w:rsidRPr="00911998">
        <w:t xml:space="preserve">es Demandeurs ne recherchent pas une déclaration d’invalidité générale </w:t>
      </w:r>
      <w:r w:rsidR="00DF0A85" w:rsidRPr="00911998">
        <w:t xml:space="preserve">des dispositions </w:t>
      </w:r>
      <w:r w:rsidR="00D84C77" w:rsidRPr="00911998">
        <w:t>du C.c.Q.</w:t>
      </w:r>
      <w:r w:rsidR="00DF0A85" w:rsidRPr="00911998">
        <w:t xml:space="preserve"> qu’ils contestent</w:t>
      </w:r>
      <w:r w:rsidRPr="00911998">
        <w:t>, mais bien une réparation adaptée.</w:t>
      </w:r>
      <w:r w:rsidR="000B7B04" w:rsidRPr="00911998">
        <w:t xml:space="preserve"> </w:t>
      </w:r>
      <w:r w:rsidRPr="00911998">
        <w:t>E</w:t>
      </w:r>
      <w:r w:rsidR="000B7B04" w:rsidRPr="00911998">
        <w:t xml:space="preserve">n demandant que </w:t>
      </w:r>
      <w:r w:rsidR="00DF0A85" w:rsidRPr="00911998">
        <w:t>c</w:t>
      </w:r>
      <w:r w:rsidR="000B7B04" w:rsidRPr="00911998">
        <w:t>es dispositions soient déclarées invalides,</w:t>
      </w:r>
      <w:r w:rsidR="00C805B2" w:rsidRPr="00911998">
        <w:t xml:space="preserve"> mais uniquement dans la mesure o</w:t>
      </w:r>
      <w:r w:rsidR="00C805B2" w:rsidRPr="00911998">
        <w:rPr>
          <w:rFonts w:cs="Arial"/>
        </w:rPr>
        <w:t xml:space="preserve">ù elles limitent la filiation à deux parents, </w:t>
      </w:r>
      <w:r w:rsidR="000B7B04" w:rsidRPr="00911998">
        <w:rPr>
          <w:rFonts w:cs="Arial"/>
        </w:rPr>
        <w:t>ils</w:t>
      </w:r>
      <w:r w:rsidR="00284E9D" w:rsidRPr="00911998">
        <w:rPr>
          <w:rFonts w:cs="Arial"/>
        </w:rPr>
        <w:t xml:space="preserve"> recherchent l’invalidation de cette limite et </w:t>
      </w:r>
      <w:r w:rsidR="00174E9A" w:rsidRPr="00911998">
        <w:rPr>
          <w:rFonts w:cs="Arial"/>
        </w:rPr>
        <w:t xml:space="preserve">souhaitent </w:t>
      </w:r>
      <w:r w:rsidR="00284E9D" w:rsidRPr="00911998">
        <w:rPr>
          <w:rFonts w:cs="Arial"/>
        </w:rPr>
        <w:t>que les règles de la filiation du C.c.Q. soient appliquées sans égard à celle</w:t>
      </w:r>
      <w:r w:rsidR="00284E9D" w:rsidRPr="00911998">
        <w:rPr>
          <w:rFonts w:cs="Arial"/>
        </w:rPr>
        <w:noBreakHyphen/>
        <w:t>ci.</w:t>
      </w:r>
      <w:r w:rsidRPr="00911998">
        <w:rPr>
          <w:rFonts w:cs="Arial"/>
        </w:rPr>
        <w:t xml:space="preserve"> </w:t>
      </w:r>
      <w:r w:rsidRPr="00911998">
        <w:t xml:space="preserve">Le </w:t>
      </w:r>
      <w:r w:rsidRPr="00911998">
        <w:lastRenderedPageBreak/>
        <w:t>redressement sollicité correspond ainsi à une interprétation large qui permettrait la reconnaissance de plus de deux liens de filiation.</w:t>
      </w:r>
    </w:p>
    <w:p w14:paraId="0E07D53E" w14:textId="3E510E48" w:rsidR="00192E80" w:rsidRPr="00911998" w:rsidRDefault="00192E80" w:rsidP="00192E80">
      <w:pPr>
        <w:pStyle w:val="Paragrsimple"/>
      </w:pPr>
      <w:r w:rsidRPr="00911998">
        <w:t xml:space="preserve">Cette réalité est illustrée par le fait que les Demandeurs sollicitent également des ordonnances et déclarations établissant la filiation </w:t>
      </w:r>
      <w:proofErr w:type="spellStart"/>
      <w:r w:rsidRPr="00911998">
        <w:t>triparentale</w:t>
      </w:r>
      <w:proofErr w:type="spellEnd"/>
      <w:r w:rsidRPr="00911998">
        <w:t xml:space="preserve"> des enfants en cause. De tel</w:t>
      </w:r>
      <w:r w:rsidR="00123AEB" w:rsidRPr="00911998">
        <w:t>le</w:t>
      </w:r>
      <w:r w:rsidRPr="00911998">
        <w:t xml:space="preserve">s mesures de redressement ne seraient envisageables que si </w:t>
      </w:r>
      <w:r w:rsidR="00F02EDC" w:rsidRPr="00911998">
        <w:t>l’on appliquait aux diverses situations de</w:t>
      </w:r>
      <w:r w:rsidR="00354023" w:rsidRPr="00911998">
        <w:t>s</w:t>
      </w:r>
      <w:r w:rsidR="00F02EDC" w:rsidRPr="00911998">
        <w:t xml:space="preserve"> familles demanderesses un ensemble de règles régissant la filiation</w:t>
      </w:r>
      <w:r w:rsidRPr="00911998">
        <w:t xml:space="preserve">, mais en </w:t>
      </w:r>
      <w:r w:rsidR="00F02EDC" w:rsidRPr="00911998">
        <w:t>faisant</w:t>
      </w:r>
      <w:r w:rsidRPr="00911998">
        <w:t xml:space="preserve"> abstraction de la limite de deux liens de </w:t>
      </w:r>
      <w:r w:rsidR="00477EFC" w:rsidRPr="00911998">
        <w:t>parenté</w:t>
      </w:r>
      <w:r w:rsidRPr="00911998">
        <w:t>.</w:t>
      </w:r>
    </w:p>
    <w:p w14:paraId="5EC3BC87" w14:textId="5846E322" w:rsidR="001F0A01" w:rsidRPr="00911998" w:rsidRDefault="00B0157F" w:rsidP="00A35F74">
      <w:pPr>
        <w:pStyle w:val="Paragrsimple"/>
      </w:pPr>
      <w:r w:rsidRPr="00911998">
        <w:t xml:space="preserve">Dans le choix du type de </w:t>
      </w:r>
      <w:r w:rsidR="005B76E6" w:rsidRPr="00911998">
        <w:t>déclaration</w:t>
      </w:r>
      <w:r w:rsidR="00602246" w:rsidRPr="00911998">
        <w:t xml:space="preserve"> à prononcer,</w:t>
      </w:r>
      <w:r w:rsidR="005B76E6" w:rsidRPr="00911998">
        <w:t xml:space="preserve"> il convient de cerner précisément la règle de droit qui porte atteinte au paragraphe 15(1) de la </w:t>
      </w:r>
      <w:r w:rsidR="005B76E6" w:rsidRPr="00911998">
        <w:rPr>
          <w:i/>
          <w:iCs/>
        </w:rPr>
        <w:t>Charte canadienne</w:t>
      </w:r>
      <w:r w:rsidR="005B76E6" w:rsidRPr="00911998">
        <w:t xml:space="preserve">. Les Demandeurs dans les </w:t>
      </w:r>
      <w:r w:rsidR="00DF0A85" w:rsidRPr="00911998">
        <w:t xml:space="preserve">deux </w:t>
      </w:r>
      <w:r w:rsidR="005B76E6" w:rsidRPr="00911998">
        <w:t>dossiers identifient à ce chapitre des dispositions différentes</w:t>
      </w:r>
      <w:r w:rsidR="005520CC" w:rsidRPr="00911998">
        <w:t xml:space="preserve"> du C.c.Q. </w:t>
      </w:r>
    </w:p>
    <w:p w14:paraId="5ED6CEAB" w14:textId="575DF806" w:rsidR="005520CC" w:rsidRPr="00911998" w:rsidRDefault="005520CC" w:rsidP="00A35F74">
      <w:pPr>
        <w:pStyle w:val="Paragrsimple"/>
      </w:pPr>
      <w:r w:rsidRPr="00911998">
        <w:t>Comme nous l’avons vu, toutefois, la limite de deux liens de filiation ne découle pas d’une ou</w:t>
      </w:r>
      <w:r w:rsidR="00602246" w:rsidRPr="00911998">
        <w:t xml:space="preserve"> de</w:t>
      </w:r>
      <w:r w:rsidRPr="00911998">
        <w:t xml:space="preserve"> plusieurs dispositions </w:t>
      </w:r>
      <w:r w:rsidR="00602246" w:rsidRPr="00911998">
        <w:t>spécifiques</w:t>
      </w:r>
      <w:r w:rsidRPr="00911998">
        <w:t xml:space="preserve"> du C.c.Q. qui interdisent plus de deux liens de filiation. Compte tenu de la nature de l’institution juridique que constitue la filiation en droit civil québécois, </w:t>
      </w:r>
      <w:r w:rsidR="00BC79CA" w:rsidRPr="00911998">
        <w:t>cette limite</w:t>
      </w:r>
      <w:r w:rsidRPr="00911998">
        <w:t xml:space="preserve"> résulte plutôt de l’absence de toute disposition législative qui </w:t>
      </w:r>
      <w:r w:rsidR="00354023" w:rsidRPr="00911998">
        <w:t xml:space="preserve">permettrait l’établissement de </w:t>
      </w:r>
      <w:r w:rsidR="00602246" w:rsidRPr="00911998">
        <w:t>plus de deux liens</w:t>
      </w:r>
      <w:r w:rsidR="001F0A01" w:rsidRPr="00911998">
        <w:t xml:space="preserve"> et de l’économie générale du C.c.Q., laquelle s’oppose à une interprétation des dispositions régissant la filiation de façon à reconnaître </w:t>
      </w:r>
      <w:r w:rsidR="00602246" w:rsidRPr="00911998">
        <w:t xml:space="preserve">la </w:t>
      </w:r>
      <w:proofErr w:type="spellStart"/>
      <w:r w:rsidR="00602246" w:rsidRPr="00911998">
        <w:t>pluriparenté</w:t>
      </w:r>
      <w:proofErr w:type="spellEnd"/>
      <w:r w:rsidR="001F0A01" w:rsidRPr="00911998">
        <w:t>.</w:t>
      </w:r>
    </w:p>
    <w:p w14:paraId="75FA6D5C" w14:textId="15C693B1" w:rsidR="003C7F21" w:rsidRPr="00911998" w:rsidRDefault="001F0A01" w:rsidP="005D6920">
      <w:pPr>
        <w:pStyle w:val="Paragrsimple"/>
      </w:pPr>
      <w:r w:rsidRPr="00911998">
        <w:t>En somme</w:t>
      </w:r>
      <w:r w:rsidR="005D6920" w:rsidRPr="00911998">
        <w:t>, c’est la portée trop limitative du régime québécois de la filiation qui pose un problème</w:t>
      </w:r>
      <w:r w:rsidR="00DF0A85" w:rsidRPr="00911998">
        <w:t xml:space="preserve"> eu égard au droit à l’égalité protégé par le paragraphe 15(1) de la </w:t>
      </w:r>
      <w:r w:rsidR="00DF0A85" w:rsidRPr="00911998">
        <w:rPr>
          <w:i/>
          <w:iCs/>
        </w:rPr>
        <w:t>Charte canadienne</w:t>
      </w:r>
      <w:r w:rsidR="005D6920" w:rsidRPr="00911998">
        <w:t xml:space="preserve">. </w:t>
      </w:r>
      <w:r w:rsidR="00E970F1" w:rsidRPr="00911998">
        <w:t xml:space="preserve">Comme </w:t>
      </w:r>
      <w:r w:rsidR="00477EFC" w:rsidRPr="00911998">
        <w:t>mentionné</w:t>
      </w:r>
      <w:r w:rsidR="005D6920" w:rsidRPr="00911998">
        <w:t xml:space="preserve">, une mesure de réparation adaptée prenant la forme d’une interprétation large peut constituer le redressement approprié lorsque l’enjeu constitutionnel découle du fait que la loi exclut quelque chose </w:t>
      </w:r>
      <w:r w:rsidRPr="00911998">
        <w:t xml:space="preserve">à tort </w:t>
      </w:r>
      <w:r w:rsidR="00521487" w:rsidRPr="00911998">
        <w:t>—</w:t>
      </w:r>
      <w:r w:rsidR="005D6920" w:rsidRPr="00911998">
        <w:t xml:space="preserve"> en l’espèce</w:t>
      </w:r>
      <w:r w:rsidR="007750B0" w:rsidRPr="00911998">
        <w:t>,</w:t>
      </w:r>
      <w:r w:rsidR="005D6920" w:rsidRPr="00911998">
        <w:t xml:space="preserve"> plus de deux liens de filiation</w:t>
      </w:r>
      <w:r w:rsidRPr="00911998">
        <w:t>.</w:t>
      </w:r>
    </w:p>
    <w:p w14:paraId="11B11505" w14:textId="58F39FA4" w:rsidR="00472DA7" w:rsidRPr="00911998" w:rsidRDefault="00DF0A85" w:rsidP="00B55400">
      <w:pPr>
        <w:pStyle w:val="Paragrsimple"/>
        <w:rPr>
          <w:szCs w:val="24"/>
        </w:rPr>
      </w:pPr>
      <w:r w:rsidRPr="00911998">
        <w:rPr>
          <w:szCs w:val="24"/>
        </w:rPr>
        <w:t>L’interprétation large</w:t>
      </w:r>
      <w:r w:rsidR="00B55400" w:rsidRPr="00911998">
        <w:rPr>
          <w:szCs w:val="24"/>
        </w:rPr>
        <w:t xml:space="preserve"> recherché</w:t>
      </w:r>
      <w:r w:rsidRPr="00911998">
        <w:rPr>
          <w:szCs w:val="24"/>
        </w:rPr>
        <w:t>e</w:t>
      </w:r>
      <w:r w:rsidR="00B55400" w:rsidRPr="00911998">
        <w:rPr>
          <w:szCs w:val="24"/>
        </w:rPr>
        <w:t xml:space="preserve"> par les Demandeurs </w:t>
      </w:r>
      <w:r w:rsidR="00E970F1" w:rsidRPr="00911998">
        <w:t>serait</w:t>
      </w:r>
      <w:r w:rsidR="00B55400" w:rsidRPr="00911998">
        <w:t xml:space="preserve"> efficace </w:t>
      </w:r>
      <w:r w:rsidR="00354023" w:rsidRPr="00911998">
        <w:t>en ce</w:t>
      </w:r>
      <w:r w:rsidR="00B55400" w:rsidRPr="00911998">
        <w:t xml:space="preserve"> sens qu’</w:t>
      </w:r>
      <w:r w:rsidRPr="00911998">
        <w:t>elle</w:t>
      </w:r>
      <w:r w:rsidR="00B55400" w:rsidRPr="00911998">
        <w:t xml:space="preserve"> élimine</w:t>
      </w:r>
      <w:r w:rsidR="007750B0" w:rsidRPr="00911998">
        <w:t>rait</w:t>
      </w:r>
      <w:r w:rsidR="00B55400" w:rsidRPr="00911998">
        <w:t xml:space="preserve"> l’atteinte au paragraphe 15(1) de la </w:t>
      </w:r>
      <w:r w:rsidR="00B55400" w:rsidRPr="00911998">
        <w:rPr>
          <w:i/>
          <w:iCs/>
        </w:rPr>
        <w:t>Charte canadienne</w:t>
      </w:r>
      <w:r w:rsidR="00B55400" w:rsidRPr="00911998">
        <w:t xml:space="preserve">. </w:t>
      </w:r>
      <w:r w:rsidRPr="00911998">
        <w:t>Elle</w:t>
      </w:r>
      <w:r w:rsidR="00B55400" w:rsidRPr="00911998">
        <w:t xml:space="preserve"> </w:t>
      </w:r>
      <w:r w:rsidR="007750B0" w:rsidRPr="00911998">
        <w:t>répond</w:t>
      </w:r>
      <w:r w:rsidR="00354023" w:rsidRPr="00911998">
        <w:t>rait</w:t>
      </w:r>
      <w:r w:rsidR="007750B0" w:rsidRPr="00911998">
        <w:t xml:space="preserve"> </w:t>
      </w:r>
      <w:r w:rsidR="00B55400" w:rsidRPr="00911998">
        <w:t>également</w:t>
      </w:r>
      <w:r w:rsidR="007750B0" w:rsidRPr="00911998">
        <w:t xml:space="preserve"> à</w:t>
      </w:r>
      <w:r w:rsidR="00B55400" w:rsidRPr="00911998">
        <w:t xml:space="preserve"> l’intérêt du public dans la conformité des lois </w:t>
      </w:r>
      <w:r w:rsidR="007750B0" w:rsidRPr="00911998">
        <w:t>à</w:t>
      </w:r>
      <w:r w:rsidR="00B55400" w:rsidRPr="00911998">
        <w:t xml:space="preserve"> la Constitution, tout en préservant</w:t>
      </w:r>
      <w:r w:rsidR="00472DA7" w:rsidRPr="00911998">
        <w:t xml:space="preserve"> le droit du public au bénéfice de la loi.</w:t>
      </w:r>
    </w:p>
    <w:p w14:paraId="33A8277C" w14:textId="28787D70" w:rsidR="00A00A1B" w:rsidRPr="00911998" w:rsidRDefault="006D1340" w:rsidP="00E066AE">
      <w:pPr>
        <w:pStyle w:val="Paragrsimple"/>
      </w:pPr>
      <w:r w:rsidRPr="00911998">
        <w:t>En revanche, le</w:t>
      </w:r>
      <w:r w:rsidR="00D203EE" w:rsidRPr="00911998">
        <w:t xml:space="preserve"> principe </w:t>
      </w:r>
      <w:r w:rsidRPr="00911998">
        <w:t>selon lequel</w:t>
      </w:r>
      <w:r w:rsidR="00D203EE" w:rsidRPr="00911998">
        <w:t xml:space="preserve"> les tribunaux et les législateurs jouent des rôles institutionnels différents</w:t>
      </w:r>
      <w:r w:rsidRPr="00911998">
        <w:t xml:space="preserve"> constitue un obstacle insurmontable à l’interprétation large </w:t>
      </w:r>
      <w:r w:rsidR="00DF0A85" w:rsidRPr="00911998">
        <w:t>propos</w:t>
      </w:r>
      <w:r w:rsidRPr="00911998">
        <w:t>ée par les Demandeurs.</w:t>
      </w:r>
      <w:r w:rsidR="002C48B8" w:rsidRPr="00911998">
        <w:t xml:space="preserve"> </w:t>
      </w:r>
      <w:r w:rsidR="00B11CCB" w:rsidRPr="00911998">
        <w:t>À ce titre,</w:t>
      </w:r>
      <w:r w:rsidR="007A4C18" w:rsidRPr="00911998">
        <w:t xml:space="preserve"> dan</w:t>
      </w:r>
      <w:r w:rsidR="00A00A1B" w:rsidRPr="00911998">
        <w:t xml:space="preserve">s l’arrêt </w:t>
      </w:r>
      <w:r w:rsidR="00A00A1B" w:rsidRPr="00911998">
        <w:rPr>
          <w:i/>
          <w:iCs/>
        </w:rPr>
        <w:t>Ontario c. G.</w:t>
      </w:r>
      <w:r w:rsidR="00A00A1B" w:rsidRPr="00911998">
        <w:t xml:space="preserve">, la juge </w:t>
      </w:r>
      <w:proofErr w:type="spellStart"/>
      <w:r w:rsidR="00A00A1B" w:rsidRPr="00911998">
        <w:t>Karakatsanis</w:t>
      </w:r>
      <w:proofErr w:type="spellEnd"/>
      <w:r w:rsidR="00A00A1B" w:rsidRPr="00911998">
        <w:t xml:space="preserve"> explique que le choix d’une réparation adaptée</w:t>
      </w:r>
      <w:r w:rsidR="00A00A1B" w:rsidRPr="00911998">
        <w:rPr>
          <w:rStyle w:val="Appelnotedebasdep"/>
        </w:rPr>
        <w:footnoteReference w:id="275"/>
      </w:r>
      <w:r w:rsidR="00A00A1B" w:rsidRPr="00911998">
        <w:t> :</w:t>
      </w:r>
    </w:p>
    <w:p w14:paraId="6DA6962F" w14:textId="15C2A277" w:rsidR="00A00A1B" w:rsidRPr="00911998" w:rsidRDefault="00A00A1B" w:rsidP="00A00A1B">
      <w:pPr>
        <w:ind w:left="567" w:right="560"/>
        <w:jc w:val="both"/>
        <w:rPr>
          <w:sz w:val="22"/>
          <w:szCs w:val="22"/>
        </w:rPr>
      </w:pPr>
      <w:r w:rsidRPr="00911998">
        <w:rPr>
          <w:rFonts w:cs="Arial"/>
          <w:sz w:val="22"/>
          <w:szCs w:val="22"/>
        </w:rPr>
        <w:t>[116</w:t>
      </w:r>
      <w:proofErr w:type="gramStart"/>
      <w:r w:rsidRPr="00911998">
        <w:rPr>
          <w:rFonts w:cs="Arial"/>
          <w:sz w:val="22"/>
          <w:szCs w:val="22"/>
        </w:rPr>
        <w:t>]  [</w:t>
      </w:r>
      <w:proofErr w:type="gramEnd"/>
      <w:r w:rsidRPr="00911998">
        <w:rPr>
          <w:rFonts w:cs="Arial"/>
          <w:sz w:val="22"/>
          <w:szCs w:val="22"/>
        </w:rPr>
        <w:t xml:space="preserve">…] </w:t>
      </w:r>
      <w:r w:rsidRPr="00911998">
        <w:rPr>
          <w:sz w:val="22"/>
          <w:szCs w:val="22"/>
        </w:rPr>
        <w:t xml:space="preserve">dépend de la réponse à la question de savoir si l’intention du législateur était telle qu’une cour peut raisonnablement conclure qu’il aurait adopté la loi telle que l’a modifiée la cour. Pour ce faire, la cour doit déterminer si l’objet général de la loi </w:t>
      </w:r>
      <w:r w:rsidRPr="00911998">
        <w:rPr>
          <w:sz w:val="22"/>
          <w:szCs w:val="22"/>
        </w:rPr>
        <w:lastRenderedPageBreak/>
        <w:t>peut être réalisé sans qu’il y ait violation des droits. Si une réparation adaptée peut être accordée sans que la cour empiète sur le rôle du législateur, une telle réparation permettra de préserver les effets conformes sur le plan constitutionnel d’une loi ainsi que le bénéfice que cette loi procure au public. La primauté du droit est donc respectée si l’on veille à la conformité des lois avec la Constitution et si l’on s’assure que le public bénéficie des lois dans la mesure du possible.</w:t>
      </w:r>
    </w:p>
    <w:p w14:paraId="215F03A7" w14:textId="67AA529F" w:rsidR="00EB4AEA" w:rsidRPr="00911998" w:rsidRDefault="000B5071" w:rsidP="00A00A1B">
      <w:pPr>
        <w:pStyle w:val="Paragrsimple"/>
      </w:pPr>
      <w:r w:rsidRPr="00911998">
        <w:t>L</w:t>
      </w:r>
      <w:r w:rsidR="007A4C18" w:rsidRPr="00911998">
        <w:t xml:space="preserve">a question de savoir si le législateur aurait probablement adopté la loi en cause sans l’aspect inconstitutionnel </w:t>
      </w:r>
      <w:r w:rsidR="00CC6A49" w:rsidRPr="00911998">
        <w:t>doit recevoir une réponse nuancée. Il est raisonnable de c</w:t>
      </w:r>
      <w:r w:rsidR="007750B0" w:rsidRPr="00911998">
        <w:t>roire</w:t>
      </w:r>
      <w:r w:rsidR="00CC6A49" w:rsidRPr="00911998">
        <w:t xml:space="preserve"> que si le législateur avait su que la limite de deux liens de filiation était discriminatoire et inconstitutionnelle, il aurait adopté </w:t>
      </w:r>
      <w:r w:rsidR="007A4C18" w:rsidRPr="00911998">
        <w:t>un</w:t>
      </w:r>
      <w:r w:rsidR="00CC6A49" w:rsidRPr="00911998">
        <w:t xml:space="preserve"> régime de filiation </w:t>
      </w:r>
      <w:r w:rsidR="007750B0" w:rsidRPr="00911998">
        <w:t>autorisant</w:t>
      </w:r>
      <w:r w:rsidR="007A4C18" w:rsidRPr="00911998">
        <w:t xml:space="preserve"> la reconnaissance légale de plus de deux parents</w:t>
      </w:r>
      <w:r w:rsidR="00CC6A49" w:rsidRPr="00911998">
        <w:t xml:space="preserve">. </w:t>
      </w:r>
      <w:r w:rsidR="00EB4AEA" w:rsidRPr="00911998">
        <w:t>Mais quel serait ce régime</w:t>
      </w:r>
      <w:r w:rsidR="00521487" w:rsidRPr="00911998">
        <w:t> </w:t>
      </w:r>
      <w:r w:rsidR="00EB4AEA" w:rsidRPr="00911998">
        <w:t>?</w:t>
      </w:r>
    </w:p>
    <w:p w14:paraId="532E4BFD" w14:textId="74734AD8" w:rsidR="000F105E" w:rsidRPr="00911998" w:rsidRDefault="007750B0" w:rsidP="00A00A1B">
      <w:pPr>
        <w:pStyle w:val="Paragrsimple"/>
      </w:pPr>
      <w:r w:rsidRPr="00911998">
        <w:t>À vrai dire</w:t>
      </w:r>
      <w:r w:rsidR="00EB4AEA" w:rsidRPr="00911998">
        <w:t>, il est</w:t>
      </w:r>
      <w:r w:rsidR="00CC6A49" w:rsidRPr="00911998">
        <w:t xml:space="preserve"> </w:t>
      </w:r>
      <w:r w:rsidR="007A4C18" w:rsidRPr="00911998">
        <w:t>probable</w:t>
      </w:r>
      <w:r w:rsidR="00CC6A49" w:rsidRPr="00911998">
        <w:t xml:space="preserve"> que le législateur</w:t>
      </w:r>
      <w:r w:rsidR="000F105E" w:rsidRPr="00911998">
        <w:t xml:space="preserve"> québécois</w:t>
      </w:r>
      <w:r w:rsidR="00CC6A49" w:rsidRPr="00911998">
        <w:t xml:space="preserve"> </w:t>
      </w:r>
      <w:r w:rsidR="00521487" w:rsidRPr="00911998">
        <w:t>—</w:t>
      </w:r>
      <w:r w:rsidR="00CC6A49" w:rsidRPr="00911998">
        <w:t xml:space="preserve"> à l’instar d’autres ressorts</w:t>
      </w:r>
      <w:r w:rsidR="000F105E" w:rsidRPr="00911998">
        <w:t xml:space="preserve"> canadiens</w:t>
      </w:r>
      <w:r w:rsidR="00CC6A49" w:rsidRPr="00911998">
        <w:t xml:space="preserve"> </w:t>
      </w:r>
      <w:r w:rsidR="00521487" w:rsidRPr="00911998">
        <w:t>—</w:t>
      </w:r>
      <w:r w:rsidR="00CC6A49" w:rsidRPr="00911998">
        <w:t xml:space="preserve"> aurait </w:t>
      </w:r>
      <w:r w:rsidR="000F105E" w:rsidRPr="00911998">
        <w:t xml:space="preserve">jugé opportun d’assujettir la reconnaissance de plus de deux liens de filiation à </w:t>
      </w:r>
      <w:r w:rsidR="005E574D" w:rsidRPr="00911998">
        <w:t>des</w:t>
      </w:r>
      <w:r w:rsidR="000F105E" w:rsidRPr="00911998">
        <w:t xml:space="preserve"> conditions </w:t>
      </w:r>
      <w:r w:rsidR="005E574D" w:rsidRPr="00911998">
        <w:t>ou</w:t>
      </w:r>
      <w:r w:rsidR="000F105E" w:rsidRPr="00911998">
        <w:t xml:space="preserve"> </w:t>
      </w:r>
      <w:r w:rsidR="005E574D" w:rsidRPr="00911998">
        <w:t xml:space="preserve">des </w:t>
      </w:r>
      <w:r w:rsidR="000F105E" w:rsidRPr="00911998">
        <w:t xml:space="preserve">critères. </w:t>
      </w:r>
      <w:r w:rsidR="00F964CC" w:rsidRPr="00911998">
        <w:t xml:space="preserve">À ce titre, </w:t>
      </w:r>
      <w:r w:rsidR="000B5071" w:rsidRPr="00911998">
        <w:t>de nombreuses</w:t>
      </w:r>
      <w:r w:rsidR="00F964CC" w:rsidRPr="00911998">
        <w:t xml:space="preserve"> solutions s’offrent au législateur</w:t>
      </w:r>
      <w:r w:rsidR="00A363D8" w:rsidRPr="00911998">
        <w:t xml:space="preserve"> et</w:t>
      </w:r>
      <w:r w:rsidR="00F964CC" w:rsidRPr="00911998">
        <w:t xml:space="preserve"> il ne revient pas au Tribunal de</w:t>
      </w:r>
      <w:r w:rsidR="000B5071" w:rsidRPr="00911998">
        <w:t xml:space="preserve"> prendre la place des élus et de</w:t>
      </w:r>
      <w:r w:rsidR="00F964CC" w:rsidRPr="00911998">
        <w:t xml:space="preserve"> choisir parmi celles</w:t>
      </w:r>
      <w:r w:rsidR="00F964CC" w:rsidRPr="00911998">
        <w:noBreakHyphen/>
        <w:t>ci.</w:t>
      </w:r>
    </w:p>
    <w:p w14:paraId="2257C559" w14:textId="1596B7D6" w:rsidR="000B5071" w:rsidRPr="00911998" w:rsidRDefault="008A45BD" w:rsidP="000B5071">
      <w:pPr>
        <w:pStyle w:val="Paragrsimple"/>
      </w:pPr>
      <w:r w:rsidRPr="00911998">
        <w:t xml:space="preserve">De surcroît, </w:t>
      </w:r>
      <w:r w:rsidR="000B5071" w:rsidRPr="00911998">
        <w:t>p</w:t>
      </w:r>
      <w:r w:rsidR="005229A8" w:rsidRPr="00911998">
        <w:t xml:space="preserve">uisque l’économie générale du C.c.Q. s’oppose à une interprétation de </w:t>
      </w:r>
      <w:r w:rsidR="004F2077" w:rsidRPr="00911998">
        <w:t>s</w:t>
      </w:r>
      <w:r w:rsidR="005229A8" w:rsidRPr="00911998">
        <w:t xml:space="preserve">es dispositions de façon à autoriser la reconnaissance de plus de deux liens de filiation, il n’est pas du tout évident </w:t>
      </w:r>
      <w:r w:rsidR="00AE7E75" w:rsidRPr="00911998">
        <w:t xml:space="preserve">de savoir </w:t>
      </w:r>
      <w:r w:rsidR="005229A8" w:rsidRPr="00911998">
        <w:t>comment le régime de filiation actuel s’appliquerait sans la limite de deux parents</w:t>
      </w:r>
      <w:r w:rsidR="007750B0" w:rsidRPr="00911998">
        <w:t xml:space="preserve"> en cas d’une interprétation large écartant cette limite</w:t>
      </w:r>
      <w:r w:rsidR="005229A8" w:rsidRPr="00911998">
        <w:t>.</w:t>
      </w:r>
      <w:r w:rsidR="0019289D" w:rsidRPr="00911998">
        <w:t xml:space="preserve"> </w:t>
      </w:r>
    </w:p>
    <w:p w14:paraId="593F8F92" w14:textId="2852537D" w:rsidR="000B5071" w:rsidRPr="00911998" w:rsidRDefault="000B5071" w:rsidP="00B14086">
      <w:pPr>
        <w:pStyle w:val="Paragrsimple"/>
      </w:pPr>
      <w:r w:rsidRPr="00911998">
        <w:t>Q</w:t>
      </w:r>
      <w:r w:rsidR="0019289D" w:rsidRPr="00911998">
        <w:t xml:space="preserve">uelles </w:t>
      </w:r>
      <w:r w:rsidR="00056DCA" w:rsidRPr="00911998">
        <w:t xml:space="preserve">seraient les </w:t>
      </w:r>
      <w:r w:rsidR="0019289D" w:rsidRPr="00911998">
        <w:t xml:space="preserve">règles </w:t>
      </w:r>
      <w:r w:rsidR="00245FE8" w:rsidRPr="00911998">
        <w:t xml:space="preserve">applicables pour reconnaître </w:t>
      </w:r>
      <w:r w:rsidR="00E27C60" w:rsidRPr="00911998">
        <w:t>la filiation de plus de deux parents et comment s’appliqueraient</w:t>
      </w:r>
      <w:r w:rsidR="00E27C60" w:rsidRPr="00911998">
        <w:noBreakHyphen/>
        <w:t>elles</w:t>
      </w:r>
      <w:r w:rsidR="00521487" w:rsidRPr="00911998">
        <w:t> </w:t>
      </w:r>
      <w:r w:rsidR="00E27C60" w:rsidRPr="00911998">
        <w:t xml:space="preserve">? </w:t>
      </w:r>
      <w:r w:rsidR="00B14086" w:rsidRPr="00911998">
        <w:t>Toute personne qui s’estime partie à un projet parental devrait-elle, sans plus, être reconnue comme parent</w:t>
      </w:r>
      <w:r w:rsidR="000C6CF1" w:rsidRPr="00911998">
        <w:t> </w:t>
      </w:r>
      <w:r w:rsidR="00B14086" w:rsidRPr="00911998">
        <w:t>? Faudrait-il plutôt exiger une possession constante d’état</w:t>
      </w:r>
      <w:r w:rsidR="000C6CF1" w:rsidRPr="00911998">
        <w:t> </w:t>
      </w:r>
      <w:r w:rsidR="00B14086" w:rsidRPr="00911998">
        <w:t>? L’intérêt de l’enfant devrait-il intervenir comme critère additionnel</w:t>
      </w:r>
      <w:r w:rsidR="000C6CF1" w:rsidRPr="00911998">
        <w:t> </w:t>
      </w:r>
      <w:r w:rsidR="00B14086" w:rsidRPr="00911998">
        <w:t>?</w:t>
      </w:r>
      <w:r w:rsidR="00A80367" w:rsidRPr="00911998">
        <w:t xml:space="preserve"> Dans son état actuel, le </w:t>
      </w:r>
      <w:r w:rsidR="00B14086" w:rsidRPr="00911998">
        <w:t>C.c.Q.</w:t>
      </w:r>
      <w:r w:rsidR="00A80367" w:rsidRPr="00911998">
        <w:t xml:space="preserve"> n’offre aucune </w:t>
      </w:r>
      <w:r w:rsidR="00477EFC" w:rsidRPr="00911998">
        <w:t>solution</w:t>
      </w:r>
      <w:r w:rsidR="00A80367" w:rsidRPr="00911998">
        <w:t xml:space="preserve"> à </w:t>
      </w:r>
      <w:r w:rsidR="00B14086" w:rsidRPr="00911998">
        <w:t>c</w:t>
      </w:r>
      <w:r w:rsidR="00A80367" w:rsidRPr="00911998">
        <w:t>es questions</w:t>
      </w:r>
      <w:r w:rsidRPr="00911998">
        <w:t xml:space="preserve"> et l</w:t>
      </w:r>
      <w:r w:rsidR="000C2F46" w:rsidRPr="00911998">
        <w:t xml:space="preserve">’interprétation large proposée par les Demandeurs </w:t>
      </w:r>
      <w:r w:rsidR="00454CFA" w:rsidRPr="00911998">
        <w:t xml:space="preserve">les </w:t>
      </w:r>
      <w:r w:rsidR="000C2F46" w:rsidRPr="00911998">
        <w:t>laisse également sans réponse</w:t>
      </w:r>
      <w:r w:rsidR="00A80367" w:rsidRPr="00911998">
        <w:t>.</w:t>
      </w:r>
      <w:r w:rsidR="00A037C7" w:rsidRPr="00911998">
        <w:t xml:space="preserve"> </w:t>
      </w:r>
    </w:p>
    <w:p w14:paraId="5AFE5676" w14:textId="7A031E0E" w:rsidR="00B532E1" w:rsidRPr="00911998" w:rsidRDefault="00B532E1" w:rsidP="00DC5522">
      <w:pPr>
        <w:pStyle w:val="Paragrsimple"/>
      </w:pPr>
      <w:r w:rsidRPr="00911998">
        <w:t>Par ailleurs, les tribunaux ne peuvent pas s’ériger en légistes et apporter de multiples modifications au C.c.Q. — et sans doute un grand nombre d’autres lois — afin de permettre que plus de deux liens de filiation soient légalement reconnus avec la clarté et la certitude requises. En somme, une interprétation large créerait une situation juridique confuse et incompatible avec les objectifs législatifs qui sous</w:t>
      </w:r>
      <w:r w:rsidRPr="00911998">
        <w:noBreakHyphen/>
        <w:t>tendent le régime de la filiation, à savoir la stabilité et la prévisibilité des liens de filiation</w:t>
      </w:r>
      <w:r w:rsidRPr="00911998">
        <w:rPr>
          <w:rStyle w:val="Appelnotedebasdep"/>
        </w:rPr>
        <w:footnoteReference w:id="276"/>
      </w:r>
      <w:r w:rsidRPr="00911998">
        <w:t>.</w:t>
      </w:r>
    </w:p>
    <w:p w14:paraId="1F081953" w14:textId="77777777" w:rsidR="00AB27E9" w:rsidRPr="00911998" w:rsidRDefault="00E90C3F" w:rsidP="000F18A2">
      <w:pPr>
        <w:pStyle w:val="Paragrsimple"/>
      </w:pPr>
      <w:r w:rsidRPr="00911998">
        <w:t xml:space="preserve">En </w:t>
      </w:r>
      <w:r w:rsidR="002502B2" w:rsidRPr="00911998">
        <w:t>définitive,</w:t>
      </w:r>
      <w:r w:rsidRPr="00911998">
        <w:t xml:space="preserve"> l’interprétation large proposée par les Demandeurs n</w:t>
      </w:r>
      <w:r w:rsidR="002502B2" w:rsidRPr="00911998">
        <w:t>e constitue</w:t>
      </w:r>
      <w:r w:rsidRPr="00911998">
        <w:t xml:space="preserve"> pas un</w:t>
      </w:r>
      <w:r w:rsidR="002502B2" w:rsidRPr="00911998">
        <w:t>e</w:t>
      </w:r>
      <w:r w:rsidRPr="00911998">
        <w:t xml:space="preserve"> mesure de réparation respectueuse des rôles institutionnels </w:t>
      </w:r>
      <w:r w:rsidR="002502B2" w:rsidRPr="00911998">
        <w:t>différents</w:t>
      </w:r>
      <w:r w:rsidRPr="00911998">
        <w:t xml:space="preserve"> des tribunaux </w:t>
      </w:r>
      <w:r w:rsidRPr="00911998">
        <w:lastRenderedPageBreak/>
        <w:t>et du législateur.</w:t>
      </w:r>
      <w:r w:rsidR="006E1842" w:rsidRPr="00911998">
        <w:t xml:space="preserve"> L</w:t>
      </w:r>
      <w:r w:rsidR="00C75924" w:rsidRPr="00911998">
        <w:t>e redressement approprié consiste</w:t>
      </w:r>
      <w:r w:rsidR="006E1842" w:rsidRPr="00911998">
        <w:t xml:space="preserve"> donc</w:t>
      </w:r>
      <w:r w:rsidR="00C75924" w:rsidRPr="00911998">
        <w:t xml:space="preserve"> en une simple déclaration d’invalidité. </w:t>
      </w:r>
    </w:p>
    <w:p w14:paraId="67C5D3EA" w14:textId="134112E2" w:rsidR="00061550" w:rsidRPr="00911998" w:rsidRDefault="0037397B" w:rsidP="000F18A2">
      <w:pPr>
        <w:pStyle w:val="Paragrsimple"/>
      </w:pPr>
      <w:r w:rsidRPr="00911998">
        <w:t>P</w:t>
      </w:r>
      <w:r w:rsidR="00C75924" w:rsidRPr="00911998">
        <w:t xml:space="preserve">lusieurs dispositions du C.c.Q. sont visées par les Demandeurs. La déclaration d’invalidité </w:t>
      </w:r>
      <w:r w:rsidR="002B1BFB" w:rsidRPr="00911998">
        <w:t xml:space="preserve">prononcée par le Tribunal </w:t>
      </w:r>
      <w:r w:rsidR="000C7C16" w:rsidRPr="00911998">
        <w:t>sera limitée aux</w:t>
      </w:r>
      <w:r w:rsidR="00C75924" w:rsidRPr="00911998">
        <w:t xml:space="preserve"> dispositions </w:t>
      </w:r>
      <w:r w:rsidR="000C7C16" w:rsidRPr="00911998">
        <w:t xml:space="preserve">contestées par ces derniers </w:t>
      </w:r>
      <w:r w:rsidR="00C75924" w:rsidRPr="00911998">
        <w:t xml:space="preserve">qui régissent la filiation </w:t>
      </w:r>
      <w:r w:rsidR="000B5071" w:rsidRPr="00911998">
        <w:t>comme telle</w:t>
      </w:r>
      <w:r w:rsidRPr="00911998">
        <w:t xml:space="preserve"> et qui sont présentement en vigueur</w:t>
      </w:r>
      <w:r w:rsidR="00D6714B" w:rsidRPr="00911998">
        <w:t xml:space="preserve">, </w:t>
      </w:r>
      <w:r w:rsidR="00061550" w:rsidRPr="00911998">
        <w:t>à savoir les articles</w:t>
      </w:r>
      <w:r w:rsidR="00945414" w:rsidRPr="00911998">
        <w:t> </w:t>
      </w:r>
      <w:r w:rsidR="00945414" w:rsidRPr="00911998">
        <w:rPr>
          <w:rFonts w:ascii="ArialMT" w:hAnsi="ArialMT" w:cs="ArialMT"/>
          <w:szCs w:val="24"/>
          <w:lang w:eastAsia="fr-CA"/>
        </w:rPr>
        <w:t>523 à 524, 538 à 538.2, 539 à 539.1, 541.1 à 541.4, 541.6 à 541.9, 541.11, 541.14, 541.16 à 541.22, 541.25 à 541.29, 541.32 à 541.37, 542.19 à 542.21, 542.23</w:t>
      </w:r>
      <w:r w:rsidRPr="00911998">
        <w:rPr>
          <w:rFonts w:ascii="ArialMT" w:hAnsi="ArialMT" w:cs="ArialMT"/>
          <w:szCs w:val="24"/>
          <w:lang w:eastAsia="fr-CA"/>
        </w:rPr>
        <w:t>,</w:t>
      </w:r>
      <w:r w:rsidR="00945414" w:rsidRPr="00911998">
        <w:rPr>
          <w:rFonts w:ascii="ArialMT" w:hAnsi="ArialMT" w:cs="ArialMT"/>
          <w:szCs w:val="24"/>
          <w:lang w:eastAsia="fr-CA"/>
        </w:rPr>
        <w:t xml:space="preserve"> 542.31</w:t>
      </w:r>
      <w:r w:rsidRPr="00911998">
        <w:rPr>
          <w:rFonts w:ascii="ArialMT" w:hAnsi="ArialMT" w:cs="ArialMT"/>
          <w:szCs w:val="24"/>
          <w:lang w:eastAsia="fr-CA"/>
        </w:rPr>
        <w:t>, 551 à 553 et 578.1</w:t>
      </w:r>
      <w:r w:rsidR="00B532E1" w:rsidRPr="00911998">
        <w:rPr>
          <w:rFonts w:ascii="ArialMT" w:hAnsi="ArialMT" w:cs="ArialMT"/>
          <w:szCs w:val="24"/>
          <w:lang w:eastAsia="fr-CA"/>
        </w:rPr>
        <w:t> </w:t>
      </w:r>
      <w:r w:rsidR="00945414" w:rsidRPr="00911998">
        <w:rPr>
          <w:rFonts w:ascii="ArialMT" w:hAnsi="ArialMT" w:cs="ArialMT"/>
          <w:szCs w:val="24"/>
          <w:lang w:eastAsia="fr-CA"/>
        </w:rPr>
        <w:t>C.c.Q.</w:t>
      </w:r>
    </w:p>
    <w:p w14:paraId="20CE52D9" w14:textId="7467E733" w:rsidR="00DC36D1" w:rsidRPr="00911998" w:rsidRDefault="00DC36D1" w:rsidP="00DC36D1">
      <w:pPr>
        <w:pStyle w:val="Titre3"/>
      </w:pPr>
      <w:bookmarkStart w:id="91" w:name="_Toc196463741"/>
      <w:r w:rsidRPr="00911998">
        <w:t>La suspension de la déclaration d’invalidité</w:t>
      </w:r>
      <w:bookmarkEnd w:id="91"/>
    </w:p>
    <w:p w14:paraId="1333FD6F" w14:textId="226CC1DA" w:rsidR="004E133A" w:rsidRPr="00911998" w:rsidRDefault="00C75924" w:rsidP="004E133A">
      <w:pPr>
        <w:pStyle w:val="Paragrsimple"/>
      </w:pPr>
      <w:r w:rsidRPr="00911998">
        <w:t xml:space="preserve"> </w:t>
      </w:r>
      <w:r w:rsidR="0028563C" w:rsidRPr="00911998">
        <w:t xml:space="preserve">Les parties conviennent que </w:t>
      </w:r>
      <w:r w:rsidR="000C052C" w:rsidRPr="00911998">
        <w:t>toute</w:t>
      </w:r>
      <w:r w:rsidR="0028563C" w:rsidRPr="00911998">
        <w:t xml:space="preserve"> déclaration d’invalidité devrait être suspendue</w:t>
      </w:r>
      <w:r w:rsidR="003A4F77" w:rsidRPr="00911998">
        <w:rPr>
          <w:rStyle w:val="Appelnotedebasdep"/>
        </w:rPr>
        <w:footnoteReference w:id="277"/>
      </w:r>
      <w:r w:rsidR="0028563C" w:rsidRPr="00911998">
        <w:t xml:space="preserve">. </w:t>
      </w:r>
      <w:r w:rsidR="000D0F8E" w:rsidRPr="00911998">
        <w:t>Toutefois, e</w:t>
      </w:r>
      <w:r w:rsidR="0028563C" w:rsidRPr="00911998">
        <w:t>lles ne s’entendent pas sur la durée de cette suspension.</w:t>
      </w:r>
    </w:p>
    <w:p w14:paraId="54529435" w14:textId="6A325317" w:rsidR="00123AEB" w:rsidRPr="00911998" w:rsidRDefault="00D960E1" w:rsidP="00A33BB8">
      <w:pPr>
        <w:pStyle w:val="Paragrsimple"/>
      </w:pPr>
      <w:r w:rsidRPr="00911998">
        <w:t xml:space="preserve">Le pouvoir de suspendre une déclaration d’invalidité </w:t>
      </w:r>
      <w:r w:rsidR="000C052C" w:rsidRPr="00911998">
        <w:t>pendant</w:t>
      </w:r>
      <w:r w:rsidRPr="00911998">
        <w:t xml:space="preserve"> une certaine période est compris dans celui de déclarer une loi invalide</w:t>
      </w:r>
      <w:r w:rsidRPr="00911998">
        <w:rPr>
          <w:rStyle w:val="Appelnotedebasdep"/>
        </w:rPr>
        <w:footnoteReference w:id="278"/>
      </w:r>
      <w:r w:rsidRPr="00911998">
        <w:t>.</w:t>
      </w:r>
      <w:r w:rsidR="00243AFD" w:rsidRPr="00911998">
        <w:t xml:space="preserve"> Bien qu’exceptionnelle</w:t>
      </w:r>
      <w:r w:rsidR="005A2B89" w:rsidRPr="00911998">
        <w:t xml:space="preserve"> et </w:t>
      </w:r>
      <w:r w:rsidR="00726D88" w:rsidRPr="00911998">
        <w:t>rare,</w:t>
      </w:r>
      <w:r w:rsidR="005A2B89" w:rsidRPr="00911998">
        <w:rPr>
          <w:rStyle w:val="Appelnotedebasdep"/>
        </w:rPr>
        <w:footnoteReference w:id="279"/>
      </w:r>
      <w:r w:rsidR="00243AFD" w:rsidRPr="00911998">
        <w:t xml:space="preserve"> la suspension d’une déclaration d’invalidité peut s’avérer nécessaire pour protéger d’autres valeurs d’importance constitutionnelle.</w:t>
      </w:r>
      <w:r w:rsidRPr="00911998">
        <w:t xml:space="preserve"> Comme l’explique la juge </w:t>
      </w:r>
      <w:proofErr w:type="spellStart"/>
      <w:r w:rsidRPr="00911998">
        <w:t>Karakatsanis</w:t>
      </w:r>
      <w:proofErr w:type="spellEnd"/>
      <w:r w:rsidR="00243AFD" w:rsidRPr="00911998">
        <w:rPr>
          <w:rStyle w:val="Appelnotedebasdep"/>
        </w:rPr>
        <w:footnoteReference w:id="280"/>
      </w:r>
      <w:r w:rsidRPr="00911998">
        <w:t> :</w:t>
      </w:r>
    </w:p>
    <w:p w14:paraId="1719DD80" w14:textId="1049B957" w:rsidR="00D960E1" w:rsidRPr="00911998" w:rsidRDefault="00243AFD" w:rsidP="00243AFD">
      <w:pPr>
        <w:ind w:left="567" w:right="560"/>
        <w:jc w:val="both"/>
        <w:rPr>
          <w:sz w:val="22"/>
          <w:szCs w:val="22"/>
        </w:rPr>
      </w:pPr>
      <w:r w:rsidRPr="00911998">
        <w:rPr>
          <w:rFonts w:cs="Arial"/>
          <w:sz w:val="22"/>
          <w:szCs w:val="22"/>
        </w:rPr>
        <w:t>[117</w:t>
      </w:r>
      <w:proofErr w:type="gramStart"/>
      <w:r w:rsidRPr="00911998">
        <w:rPr>
          <w:rFonts w:cs="Arial"/>
          <w:sz w:val="22"/>
          <w:szCs w:val="22"/>
        </w:rPr>
        <w:t>]</w:t>
      </w:r>
      <w:r w:rsidRPr="00911998">
        <w:rPr>
          <w:sz w:val="22"/>
          <w:szCs w:val="22"/>
        </w:rPr>
        <w:t>  Il</w:t>
      </w:r>
      <w:proofErr w:type="gramEnd"/>
      <w:r w:rsidRPr="00911998">
        <w:rPr>
          <w:sz w:val="22"/>
          <w:szCs w:val="22"/>
        </w:rPr>
        <w:t xml:space="preserve"> arrive parfois qu’une déclaration d’invalidité avec effet immédiat soit susceptible de porter atteinte à un intérêt qui revêt une importance si grande que, tout bien considéré, les avantages qu’il y a à suspendre l’effet de cette déclaration l’emportent sur les inconvénients du maintien d’une loi inconstitutionnelle qui viole des droits garantis par la </w:t>
      </w:r>
      <w:hyperlink r:id="rId54" w:tgtFrame="_blank" w:history="1">
        <w:r w:rsidRPr="00911998">
          <w:rPr>
            <w:rStyle w:val="Hyperlien"/>
            <w:i/>
            <w:iCs/>
            <w:color w:val="auto"/>
            <w:sz w:val="22"/>
            <w:szCs w:val="22"/>
            <w:u w:val="none"/>
          </w:rPr>
          <w:t>Charte </w:t>
        </w:r>
      </w:hyperlink>
      <w:r w:rsidRPr="00911998">
        <w:rPr>
          <w:sz w:val="22"/>
          <w:szCs w:val="22"/>
        </w:rPr>
        <w:t>.</w:t>
      </w:r>
    </w:p>
    <w:p w14:paraId="7495A9D0" w14:textId="68CD25DF" w:rsidR="00243AFD" w:rsidRPr="00911998" w:rsidRDefault="00726D88" w:rsidP="00A35F74">
      <w:pPr>
        <w:pStyle w:val="Paragrsimple"/>
      </w:pPr>
      <w:r w:rsidRPr="00911998">
        <w:t>Pour faire suspendre une déclaration d’invalidité</w:t>
      </w:r>
      <w:r w:rsidR="004700DF" w:rsidRPr="00911998">
        <w:t>, l</w:t>
      </w:r>
      <w:r w:rsidR="00243AFD" w:rsidRPr="00911998">
        <w:t xml:space="preserve">’État supporte le fardeau de démontrer qu’un intérêt public impérieux </w:t>
      </w:r>
      <w:r w:rsidRPr="00911998">
        <w:t>—</w:t>
      </w:r>
      <w:r w:rsidR="00243AFD" w:rsidRPr="00911998">
        <w:t xml:space="preserve"> intérêt qui doit être lié à un principe </w:t>
      </w:r>
      <w:r w:rsidR="00764AAD" w:rsidRPr="00911998">
        <w:t xml:space="preserve">de </w:t>
      </w:r>
      <w:r w:rsidR="00243AFD" w:rsidRPr="00911998">
        <w:t xml:space="preserve">réparation fondé sur la Constitution </w:t>
      </w:r>
      <w:r w:rsidRPr="00911998">
        <w:t>—</w:t>
      </w:r>
      <w:r w:rsidR="00243AFD" w:rsidRPr="00911998">
        <w:t xml:space="preserve"> justifie </w:t>
      </w:r>
      <w:r w:rsidRPr="00911998">
        <w:t>que l’on</w:t>
      </w:r>
      <w:r w:rsidR="00243AFD" w:rsidRPr="00911998">
        <w:t xml:space="preserve"> permet</w:t>
      </w:r>
      <w:r w:rsidRPr="00911998">
        <w:t>te</w:t>
      </w:r>
      <w:r w:rsidR="00243AFD" w:rsidRPr="00911998">
        <w:t xml:space="preserve"> que la violation de la Constitution se perpétue, du moins de façon temporaire</w:t>
      </w:r>
      <w:r w:rsidR="00D54205" w:rsidRPr="00911998">
        <w:rPr>
          <w:rStyle w:val="Appelnotedebasdep"/>
        </w:rPr>
        <w:footnoteReference w:id="281"/>
      </w:r>
      <w:r w:rsidR="00243AFD" w:rsidRPr="00911998">
        <w:t xml:space="preserve">. </w:t>
      </w:r>
    </w:p>
    <w:p w14:paraId="3F0A6077" w14:textId="0B9D74F0" w:rsidR="003A4F77" w:rsidRPr="00911998" w:rsidRDefault="003A4F77" w:rsidP="003A4F77">
      <w:pPr>
        <w:pStyle w:val="Paragrsimple"/>
      </w:pPr>
      <w:r w:rsidRPr="00911998">
        <w:t xml:space="preserve">Le Tribunal convient avec les parties que le principe selon lequel le public </w:t>
      </w:r>
      <w:r w:rsidR="00726D88" w:rsidRPr="00911998">
        <w:t>a</w:t>
      </w:r>
      <w:r w:rsidRPr="00911998">
        <w:t xml:space="preserve"> droit au bénéfice de la loi </w:t>
      </w:r>
      <w:r w:rsidR="00726D88" w:rsidRPr="00911998">
        <w:t>—</w:t>
      </w:r>
      <w:r w:rsidRPr="00911998">
        <w:t xml:space="preserve"> en l’espèce, le bénéfice du régime de filiation </w:t>
      </w:r>
      <w:r w:rsidR="00726D88" w:rsidRPr="00911998">
        <w:t>—</w:t>
      </w:r>
      <w:r w:rsidRPr="00911998">
        <w:t xml:space="preserve"> justifie la suspension de la déclaration d’invalidité.</w:t>
      </w:r>
    </w:p>
    <w:p w14:paraId="6D393670" w14:textId="26D2CCF3" w:rsidR="006845A2" w:rsidRPr="00911998" w:rsidRDefault="00C045A5" w:rsidP="006845A2">
      <w:pPr>
        <w:pStyle w:val="Paragrsimple"/>
      </w:pPr>
      <w:r w:rsidRPr="00911998">
        <w:t>Quant à la durée de la suspension, l</w:t>
      </w:r>
      <w:r w:rsidR="006845A2" w:rsidRPr="00911998">
        <w:t>e fardeau de</w:t>
      </w:r>
      <w:r w:rsidRPr="00911998">
        <w:t xml:space="preserve"> la</w:t>
      </w:r>
      <w:r w:rsidR="006845A2" w:rsidRPr="00911998">
        <w:t xml:space="preserve"> justifier repose sur l’État</w:t>
      </w:r>
      <w:r w:rsidR="00022090" w:rsidRPr="00911998">
        <w:t>. À ce titre,</w:t>
      </w:r>
      <w:r w:rsidR="006845A2" w:rsidRPr="00911998">
        <w:t xml:space="preserve"> le PGQ </w:t>
      </w:r>
      <w:r w:rsidRPr="00911998">
        <w:t>propos</w:t>
      </w:r>
      <w:r w:rsidR="006845A2" w:rsidRPr="00911998">
        <w:t>e une suspension de 24 mois.</w:t>
      </w:r>
      <w:r w:rsidR="00955A5B" w:rsidRPr="00911998">
        <w:t xml:space="preserve"> Ce </w:t>
      </w:r>
      <w:r w:rsidRPr="00911998">
        <w:t>l</w:t>
      </w:r>
      <w:r w:rsidR="00955A5B" w:rsidRPr="00911998">
        <w:t>ong délai serait justifié par :</w:t>
      </w:r>
    </w:p>
    <w:p w14:paraId="2E2246DC" w14:textId="15402987" w:rsidR="00955A5B" w:rsidRPr="00911998" w:rsidRDefault="00955A5B" w:rsidP="000F6BA9">
      <w:pPr>
        <w:pStyle w:val="Paragrdouble"/>
        <w:numPr>
          <w:ilvl w:val="0"/>
          <w:numId w:val="15"/>
        </w:numPr>
        <w:spacing w:line="240" w:lineRule="auto"/>
      </w:pPr>
      <w:r w:rsidRPr="00911998">
        <w:lastRenderedPageBreak/>
        <w:t>La nécessité d’élaborer un projet de loi couvrant tout le corpus législatif o</w:t>
      </w:r>
      <w:r w:rsidRPr="00911998">
        <w:rPr>
          <w:rFonts w:cs="Arial"/>
        </w:rPr>
        <w:t>ù</w:t>
      </w:r>
      <w:r w:rsidRPr="00911998">
        <w:t xml:space="preserve"> le concept de la filiation joue un rôle et de consulter </w:t>
      </w:r>
      <w:r w:rsidR="00AE7E75" w:rsidRPr="00911998">
        <w:t xml:space="preserve">dans son élaboration </w:t>
      </w:r>
      <w:r w:rsidRPr="00911998">
        <w:t xml:space="preserve">les ministères pertinents ainsi que des groupes de la société </w:t>
      </w:r>
      <w:proofErr w:type="gramStart"/>
      <w:r w:rsidRPr="00911998">
        <w:t xml:space="preserve">civile </w:t>
      </w:r>
      <w:r w:rsidR="00726D88" w:rsidRPr="00911998">
        <w:t> </w:t>
      </w:r>
      <w:r w:rsidRPr="00911998">
        <w:t>;</w:t>
      </w:r>
      <w:proofErr w:type="gramEnd"/>
    </w:p>
    <w:p w14:paraId="628BDA26" w14:textId="361A6DE1" w:rsidR="00955A5B" w:rsidRPr="00911998" w:rsidRDefault="00955A5B" w:rsidP="000F6BA9">
      <w:pPr>
        <w:pStyle w:val="Paragrdouble"/>
        <w:numPr>
          <w:ilvl w:val="0"/>
          <w:numId w:val="15"/>
        </w:numPr>
        <w:spacing w:line="240" w:lineRule="auto"/>
      </w:pPr>
      <w:r w:rsidRPr="00911998">
        <w:t xml:space="preserve">Une fois accepté par le Conseil des ministres, le projet de loi devra cheminer à travers les diverses étapes du processus parlementaire : la présentation, l’adoption du principe, l’étude </w:t>
      </w:r>
      <w:r w:rsidR="00726D88" w:rsidRPr="00911998">
        <w:t>détaillée</w:t>
      </w:r>
      <w:r w:rsidRPr="00911998">
        <w:t xml:space="preserve"> en commission, la prise en considération du rapport de la commission et, enfin, l’adoption</w:t>
      </w:r>
      <w:r w:rsidR="00726D88" w:rsidRPr="00911998">
        <w:t> </w:t>
      </w:r>
      <w:r w:rsidRPr="00911998">
        <w:t>; et</w:t>
      </w:r>
    </w:p>
    <w:p w14:paraId="1283EC0F" w14:textId="18031154" w:rsidR="00955A5B" w:rsidRPr="00911998" w:rsidRDefault="00955A5B" w:rsidP="000F6BA9">
      <w:pPr>
        <w:pStyle w:val="Paragrdouble"/>
        <w:numPr>
          <w:ilvl w:val="0"/>
          <w:numId w:val="15"/>
        </w:numPr>
        <w:spacing w:line="240" w:lineRule="auto"/>
      </w:pPr>
      <w:r w:rsidRPr="00911998">
        <w:t xml:space="preserve">Compte tenu de l’intérêt de la question, il est à prévoir que des consultations particulières et des auditions publiques </w:t>
      </w:r>
      <w:r w:rsidR="00726D88" w:rsidRPr="00911998">
        <w:t>seront</w:t>
      </w:r>
      <w:r w:rsidRPr="00911998">
        <w:t xml:space="preserve"> requises après la présentation du projet de loi et avant l’adoption du principe.</w:t>
      </w:r>
    </w:p>
    <w:p w14:paraId="55285DDA" w14:textId="7297C325" w:rsidR="00D57373" w:rsidRPr="00911998" w:rsidRDefault="00726D88" w:rsidP="00D56831">
      <w:pPr>
        <w:pStyle w:val="Paragrsimple"/>
      </w:pPr>
      <w:r w:rsidRPr="00911998">
        <w:t>Sans doute,</w:t>
      </w:r>
      <w:r w:rsidR="005A2B89" w:rsidRPr="00911998">
        <w:t xml:space="preserve"> un délai est nécessaire pour permettre au législateur d’exercer adéquatement sa responsabilité constitutionnelle et </w:t>
      </w:r>
      <w:r w:rsidRPr="00911998">
        <w:t>d’</w:t>
      </w:r>
      <w:r w:rsidR="005A2B89" w:rsidRPr="00911998">
        <w:t>adopter un régime de filiation qui respecte le droit à l’égalité.</w:t>
      </w:r>
      <w:r w:rsidR="00D57373" w:rsidRPr="00911998">
        <w:t xml:space="preserve"> Des choix de nature politique devront être effectués lors de l’élaboration d’un tel régime</w:t>
      </w:r>
      <w:r w:rsidR="00B06FCA" w:rsidRPr="00911998">
        <w:t>,</w:t>
      </w:r>
      <w:r w:rsidR="00D57373" w:rsidRPr="00911998">
        <w:t xml:space="preserve"> et cette tâche présente son lot de complexité. Le processus législatif comporte </w:t>
      </w:r>
      <w:r w:rsidR="000D0F8E" w:rsidRPr="00911998">
        <w:t>également</w:t>
      </w:r>
      <w:r w:rsidR="00D57373" w:rsidRPr="00911998">
        <w:t xml:space="preserve"> </w:t>
      </w:r>
      <w:r w:rsidR="000D0F8E" w:rsidRPr="00911998">
        <w:t>de</w:t>
      </w:r>
      <w:r w:rsidR="00D57373" w:rsidRPr="00911998">
        <w:t>s délais inhérents</w:t>
      </w:r>
      <w:r w:rsidR="000D0F8E" w:rsidRPr="00911998">
        <w:t xml:space="preserve"> aux diverses étapes à parcourir</w:t>
      </w:r>
      <w:r w:rsidR="00D57373" w:rsidRPr="00911998">
        <w:t xml:space="preserve">. </w:t>
      </w:r>
    </w:p>
    <w:p w14:paraId="1F187C73" w14:textId="372AB86B" w:rsidR="00D57373" w:rsidRPr="00911998" w:rsidRDefault="00D57373" w:rsidP="00D56831">
      <w:pPr>
        <w:pStyle w:val="Paragrsimple"/>
      </w:pPr>
      <w:r w:rsidRPr="00911998">
        <w:t>Cela dit, le délai recherché de</w:t>
      </w:r>
      <w:r w:rsidR="004700DF" w:rsidRPr="00911998">
        <w:t> </w:t>
      </w:r>
      <w:r w:rsidRPr="00911998">
        <w:t>24</w:t>
      </w:r>
      <w:r w:rsidR="004700DF" w:rsidRPr="00911998">
        <w:t> </w:t>
      </w:r>
      <w:r w:rsidRPr="00911998">
        <w:t xml:space="preserve">mois est inhabituellement long. Assurer </w:t>
      </w:r>
      <w:r w:rsidR="00B06FCA" w:rsidRPr="00911998">
        <w:t xml:space="preserve">la </w:t>
      </w:r>
      <w:r w:rsidR="00AE7E75" w:rsidRPr="00911998">
        <w:t xml:space="preserve">compatibilité </w:t>
      </w:r>
      <w:r w:rsidR="00B06FCA" w:rsidRPr="00911998">
        <w:t>de</w:t>
      </w:r>
      <w:r w:rsidRPr="00911998">
        <w:t xml:space="preserve"> la législation québécoise avec les droits et libertés garantis par la Constitution doit </w:t>
      </w:r>
      <w:r w:rsidR="00363BE9" w:rsidRPr="00911998">
        <w:t>correspondre à une priorité</w:t>
      </w:r>
      <w:r w:rsidRPr="00911998">
        <w:t xml:space="preserve"> dans l’élaboration de </w:t>
      </w:r>
      <w:r w:rsidR="00B06FCA" w:rsidRPr="00911998">
        <w:t>l’ordre du jour</w:t>
      </w:r>
      <w:r w:rsidRPr="00911998">
        <w:t xml:space="preserve"> législatif. </w:t>
      </w:r>
      <w:r w:rsidR="00B06112" w:rsidRPr="00911998">
        <w:t>Il convient d’accorder au législateur u</w:t>
      </w:r>
      <w:r w:rsidR="00C045A5" w:rsidRPr="00911998">
        <w:t>n délai de </w:t>
      </w:r>
      <w:r w:rsidRPr="00911998">
        <w:t>12</w:t>
      </w:r>
      <w:r w:rsidR="00C045A5" w:rsidRPr="00911998">
        <w:t> </w:t>
      </w:r>
      <w:r w:rsidRPr="00911998">
        <w:t>mois pour la préparation et l’adoption d’un régime de filiation qui ne comporte pas la limite de deux liens de filiation jugée inconstitutionnelle.</w:t>
      </w:r>
    </w:p>
    <w:p w14:paraId="78F6316F" w14:textId="67605705" w:rsidR="00022090" w:rsidRPr="00911998" w:rsidRDefault="00DA6F75" w:rsidP="00DA6F75">
      <w:pPr>
        <w:pStyle w:val="Titre3"/>
      </w:pPr>
      <w:bookmarkStart w:id="92" w:name="_Toc196463742"/>
      <w:r w:rsidRPr="00911998">
        <w:t>La demande d’exemption de la suspension de la déclaration d’invalidité</w:t>
      </w:r>
      <w:bookmarkEnd w:id="92"/>
    </w:p>
    <w:p w14:paraId="5583116B" w14:textId="17563837" w:rsidR="006E4FAD" w:rsidRPr="00911998" w:rsidRDefault="004131A1" w:rsidP="006E4FAD">
      <w:pPr>
        <w:pStyle w:val="Paragrsimple"/>
      </w:pPr>
      <w:r w:rsidRPr="00911998">
        <w:t>L</w:t>
      </w:r>
      <w:r w:rsidR="00CC2679" w:rsidRPr="00911998">
        <w:t xml:space="preserve">es Demandeurs </w:t>
      </w:r>
      <w:r w:rsidR="000D0F8E" w:rsidRPr="00911998">
        <w:t xml:space="preserve">individuels </w:t>
      </w:r>
      <w:r w:rsidR="006E4FAD" w:rsidRPr="00911998">
        <w:t>souhaitent se voir exemptés de la période de suspension</w:t>
      </w:r>
      <w:r w:rsidR="009208DD" w:rsidRPr="00911998">
        <w:t xml:space="preserve"> de la déclaration d’invalidité</w:t>
      </w:r>
      <w:r w:rsidR="004E6D81" w:rsidRPr="00911998">
        <w:t xml:space="preserve"> et</w:t>
      </w:r>
      <w:r w:rsidR="004F6C22" w:rsidRPr="00911998">
        <w:t xml:space="preserve"> pouvoir</w:t>
      </w:r>
      <w:r w:rsidR="006E4FAD" w:rsidRPr="00911998">
        <w:t xml:space="preserve"> établir </w:t>
      </w:r>
      <w:r w:rsidR="009208DD" w:rsidRPr="00911998">
        <w:t xml:space="preserve">immédiatement </w:t>
      </w:r>
      <w:r w:rsidR="006E4FAD" w:rsidRPr="00911998">
        <w:t>la filiation des parents non reconnus.</w:t>
      </w:r>
    </w:p>
    <w:p w14:paraId="7B5C7676" w14:textId="1D722F30" w:rsidR="00547B5D" w:rsidRPr="00911998" w:rsidRDefault="00547B5D" w:rsidP="00547B5D">
      <w:pPr>
        <w:pStyle w:val="Paragrsimple"/>
        <w:rPr>
          <w:sz w:val="22"/>
          <w:szCs w:val="22"/>
        </w:rPr>
      </w:pPr>
      <w:r w:rsidRPr="00911998">
        <w:t>Le paragraphe</w:t>
      </w:r>
      <w:r w:rsidR="00781A80" w:rsidRPr="00911998">
        <w:t> </w:t>
      </w:r>
      <w:r w:rsidRPr="00911998">
        <w:t xml:space="preserve">24(1) de la </w:t>
      </w:r>
      <w:r w:rsidRPr="00911998">
        <w:rPr>
          <w:i/>
          <w:iCs/>
        </w:rPr>
        <w:t xml:space="preserve">Charte canadienne </w:t>
      </w:r>
      <w:r w:rsidRPr="00911998">
        <w:t xml:space="preserve">autorise </w:t>
      </w:r>
      <w:r w:rsidR="00E62EAB" w:rsidRPr="00911998">
        <w:t>les</w:t>
      </w:r>
      <w:r w:rsidRPr="00911998">
        <w:t xml:space="preserve"> tribunaux compétents </w:t>
      </w:r>
      <w:r w:rsidR="00E62EAB" w:rsidRPr="00911998">
        <w:t>à accorder</w:t>
      </w:r>
      <w:r w:rsidRPr="00911998">
        <w:t xml:space="preserve"> des mesures de réparation individuelles convenables et justes en cas d’atteinte à un droit garanti :</w:t>
      </w:r>
    </w:p>
    <w:tbl>
      <w:tblPr>
        <w:tblStyle w:val="Grilledutableau"/>
        <w:tblW w:w="0" w:type="auto"/>
        <w:tblInd w:w="279" w:type="dxa"/>
        <w:tblLook w:val="04A0" w:firstRow="1" w:lastRow="0" w:firstColumn="1" w:lastColumn="0" w:noHBand="0" w:noVBand="1"/>
      </w:tblPr>
      <w:tblGrid>
        <w:gridCol w:w="4394"/>
        <w:gridCol w:w="4536"/>
      </w:tblGrid>
      <w:tr w:rsidR="000E19AB" w:rsidRPr="00153EC1" w14:paraId="060F31BA" w14:textId="77777777" w:rsidTr="00EA43A3">
        <w:tc>
          <w:tcPr>
            <w:tcW w:w="4394" w:type="dxa"/>
          </w:tcPr>
          <w:p w14:paraId="25398FEB" w14:textId="43DB8184" w:rsidR="00547B5D" w:rsidRPr="00911998" w:rsidRDefault="00547B5D" w:rsidP="00547B5D">
            <w:pPr>
              <w:pStyle w:val="Paragrsimple"/>
              <w:numPr>
                <w:ilvl w:val="0"/>
                <w:numId w:val="0"/>
              </w:numPr>
              <w:rPr>
                <w:rFonts w:cs="Arial"/>
                <w:sz w:val="22"/>
                <w:szCs w:val="22"/>
                <w:lang w:eastAsia="fr-CA"/>
              </w:rPr>
            </w:pPr>
            <w:r w:rsidRPr="00911998">
              <w:rPr>
                <w:rFonts w:cs="Arial"/>
                <w:b/>
                <w:bCs/>
                <w:sz w:val="22"/>
                <w:szCs w:val="22"/>
                <w:lang w:eastAsia="fr-CA"/>
              </w:rPr>
              <w:t>24 (1) </w:t>
            </w:r>
            <w:r w:rsidRPr="00911998">
              <w:rPr>
                <w:rFonts w:cs="Arial"/>
                <w:sz w:val="22"/>
                <w:szCs w:val="22"/>
                <w:lang w:eastAsia="fr-CA"/>
              </w:rPr>
              <w:t>Toute personne, victime de violation ou de négation des droits ou libertés qui lui sont garantis par la présente charte, peut s’adresser à un tribunal compétent pour obtenir la réparation que le tribunal estime convenable et juste eu égard aux circonstances.</w:t>
            </w:r>
          </w:p>
        </w:tc>
        <w:tc>
          <w:tcPr>
            <w:tcW w:w="4536" w:type="dxa"/>
          </w:tcPr>
          <w:p w14:paraId="2C52F85F" w14:textId="5CBB0815" w:rsidR="00547B5D" w:rsidRPr="00911998" w:rsidRDefault="00547B5D" w:rsidP="00547B5D">
            <w:pPr>
              <w:pStyle w:val="Paragrsimple"/>
              <w:numPr>
                <w:ilvl w:val="0"/>
                <w:numId w:val="0"/>
              </w:numPr>
              <w:rPr>
                <w:rFonts w:cs="Arial"/>
                <w:i/>
                <w:iCs/>
                <w:sz w:val="22"/>
                <w:szCs w:val="22"/>
                <w:lang w:val="en-CA"/>
              </w:rPr>
            </w:pPr>
            <w:r w:rsidRPr="00911998">
              <w:rPr>
                <w:rFonts w:cs="Arial"/>
                <w:b/>
                <w:bCs/>
                <w:i/>
                <w:iCs/>
                <w:sz w:val="22"/>
                <w:szCs w:val="22"/>
                <w:lang w:val="en-CA" w:eastAsia="fr-CA"/>
              </w:rPr>
              <w:t>24 (1) </w:t>
            </w:r>
            <w:r w:rsidRPr="00911998">
              <w:rPr>
                <w:rFonts w:cs="Arial"/>
                <w:i/>
                <w:iCs/>
                <w:sz w:val="22"/>
                <w:szCs w:val="22"/>
                <w:lang w:val="en-CA" w:eastAsia="fr-CA"/>
              </w:rPr>
              <w:t>Anyone whose rights or freedoms, as guaranteed by this Charter, have been infringed or denied may apply to a court of competent jurisdiction to obtain such remedy as the court considers appropriate and just in the circumstances.</w:t>
            </w:r>
            <w:r w:rsidRPr="00911998">
              <w:rPr>
                <w:i/>
                <w:iCs/>
                <w:sz w:val="22"/>
                <w:szCs w:val="22"/>
                <w:lang w:val="en-CA"/>
              </w:rPr>
              <w:t xml:space="preserve"> </w:t>
            </w:r>
            <w:hyperlink r:id="rId55" w:anchor="se:54" w:history="1"/>
          </w:p>
        </w:tc>
      </w:tr>
    </w:tbl>
    <w:p w14:paraId="68F457B0" w14:textId="1EC2C94D" w:rsidR="006E4FAD" w:rsidRPr="00911998" w:rsidRDefault="00547B5D" w:rsidP="00547B5D">
      <w:pPr>
        <w:pStyle w:val="Paragrsimple"/>
      </w:pPr>
      <w:r w:rsidRPr="00911998">
        <w:lastRenderedPageBreak/>
        <w:t>Lorsqu’une d</w:t>
      </w:r>
      <w:r w:rsidR="0094445B" w:rsidRPr="00911998">
        <w:t>é</w:t>
      </w:r>
      <w:r w:rsidRPr="00911998">
        <w:t xml:space="preserve">claration d’invalidité est suspendue, </w:t>
      </w:r>
      <w:r w:rsidR="00C61E20" w:rsidRPr="00911998">
        <w:t>accorder au justiciable ayant mené la contestation constitutionnelle une exemption de l’effet de cette suspension représente souvent une réparation convenable et juste aux termes du paragraphe 24(1)</w:t>
      </w:r>
      <w:r w:rsidR="00C61E20" w:rsidRPr="00911998">
        <w:rPr>
          <w:rStyle w:val="Appelnotedebasdep"/>
        </w:rPr>
        <w:footnoteReference w:id="282"/>
      </w:r>
      <w:r w:rsidR="00C61E20" w:rsidRPr="00911998">
        <w:t>.</w:t>
      </w:r>
      <w:r w:rsidR="00EE26F5" w:rsidRPr="00911998">
        <w:t xml:space="preserve"> Le demandeur ainsi exempté reçoit un redressement constitutionnel avec effet immédiat.</w:t>
      </w:r>
    </w:p>
    <w:p w14:paraId="0943628C" w14:textId="13BF2E7E" w:rsidR="00140C97" w:rsidRPr="00911998" w:rsidRDefault="00EE26F5" w:rsidP="00C61E20">
      <w:pPr>
        <w:pStyle w:val="Paragrsimple"/>
      </w:pPr>
      <w:r w:rsidRPr="00911998">
        <w:t xml:space="preserve">Cela dit, une telle exemption </w:t>
      </w:r>
      <w:r w:rsidR="00786E51" w:rsidRPr="00911998">
        <w:t>entraîn</w:t>
      </w:r>
      <w:r w:rsidRPr="00911998">
        <w:t>ant une réparation immédiate</w:t>
      </w:r>
      <w:r w:rsidR="00786E51" w:rsidRPr="00911998">
        <w:t xml:space="preserve"> et</w:t>
      </w:r>
      <w:r w:rsidRPr="00911998">
        <w:t xml:space="preserve"> individuelle pour la partie demanderesse peut être refusée si des motifs impérieux le justifient</w:t>
      </w:r>
      <w:r w:rsidRPr="00911998">
        <w:rPr>
          <w:rStyle w:val="Appelnotedebasdep"/>
        </w:rPr>
        <w:footnoteReference w:id="283"/>
      </w:r>
      <w:r w:rsidRPr="00911998">
        <w:t xml:space="preserve">. </w:t>
      </w:r>
      <w:r w:rsidR="00140C97" w:rsidRPr="00911998">
        <w:t>C’est le cas en l’espèce</w:t>
      </w:r>
      <w:r w:rsidR="00786E51" w:rsidRPr="00911998">
        <w:t xml:space="preserve">, </w:t>
      </w:r>
      <w:r w:rsidR="00140C97" w:rsidRPr="00911998">
        <w:t>pour deux raisons.</w:t>
      </w:r>
    </w:p>
    <w:p w14:paraId="00003C2D" w14:textId="0BF6C9BB" w:rsidR="009208DD" w:rsidRPr="00911998" w:rsidRDefault="00140C97" w:rsidP="00140C97">
      <w:pPr>
        <w:pStyle w:val="Paragrsimple"/>
      </w:pPr>
      <w:r w:rsidRPr="00911998">
        <w:t xml:space="preserve">D’abord, la conséquence de la déclaration prononcée par le Tribunal est d’invalider plusieurs dispositions du C.c.Q. régissant la filiation. En suspendant cette déclaration d’invalidité </w:t>
      </w:r>
      <w:r w:rsidR="0028776C" w:rsidRPr="00911998">
        <w:t>pendant</w:t>
      </w:r>
      <w:r w:rsidRPr="00911998">
        <w:t xml:space="preserve"> une période de 12 mois, ces dispositions continueront à s’appliquer dans leur forme actuelle. </w:t>
      </w:r>
    </w:p>
    <w:p w14:paraId="1065423D" w14:textId="75079C37" w:rsidR="00140C97" w:rsidRPr="00911998" w:rsidRDefault="009208DD" w:rsidP="00140C97">
      <w:pPr>
        <w:pStyle w:val="Paragrsimple"/>
      </w:pPr>
      <w:r w:rsidRPr="00911998">
        <w:t>En revanche, s</w:t>
      </w:r>
      <w:r w:rsidR="00140C97" w:rsidRPr="00911998">
        <w:t>i les Demandeurs étaient exemptés de la suspension, les dispositions seraient immédiatement invalides</w:t>
      </w:r>
      <w:r w:rsidRPr="00911998">
        <w:t xml:space="preserve"> et inapplicables</w:t>
      </w:r>
      <w:r w:rsidR="0028776C" w:rsidRPr="00911998">
        <w:t xml:space="preserve"> pour eux</w:t>
      </w:r>
      <w:r w:rsidRPr="00911998">
        <w:t xml:space="preserve">. </w:t>
      </w:r>
      <w:r w:rsidR="005C2EB5" w:rsidRPr="00911998">
        <w:t>En somme,</w:t>
      </w:r>
      <w:r w:rsidRPr="00911998">
        <w:t xml:space="preserve"> elles n’existeraient plus dans leur cas. Ceci </w:t>
      </w:r>
      <w:r w:rsidR="0028776C" w:rsidRPr="00911998">
        <w:t>n’apporterait</w:t>
      </w:r>
      <w:r w:rsidRPr="00911998">
        <w:t xml:space="preserve"> aucun </w:t>
      </w:r>
      <w:r w:rsidR="00140C97" w:rsidRPr="00911998">
        <w:t xml:space="preserve">avantage </w:t>
      </w:r>
      <w:r w:rsidRPr="00911998">
        <w:t>aux Demandeurs (bien au contraire)</w:t>
      </w:r>
      <w:r w:rsidR="00140C97" w:rsidRPr="00911998">
        <w:t xml:space="preserve"> et </w:t>
      </w:r>
      <w:r w:rsidRPr="00911998">
        <w:t xml:space="preserve">surtout </w:t>
      </w:r>
      <w:r w:rsidR="00140C97" w:rsidRPr="00911998">
        <w:t>ne permet</w:t>
      </w:r>
      <w:r w:rsidRPr="00911998">
        <w:t>trait</w:t>
      </w:r>
      <w:r w:rsidR="00140C97" w:rsidRPr="00911998">
        <w:t xml:space="preserve"> pas la reconnaissance des liens de filiation additionnels recherchés.</w:t>
      </w:r>
    </w:p>
    <w:p w14:paraId="5F8A94D0" w14:textId="7CC8E4D7" w:rsidR="00AB3C79" w:rsidRPr="00911998" w:rsidRDefault="00140C97" w:rsidP="00AB3C79">
      <w:pPr>
        <w:pStyle w:val="Paragrsimple"/>
      </w:pPr>
      <w:r w:rsidRPr="00911998">
        <w:t xml:space="preserve">Ensuite, ce que </w:t>
      </w:r>
      <w:r w:rsidR="009208DD" w:rsidRPr="00911998">
        <w:t>recherchent</w:t>
      </w:r>
      <w:r w:rsidRPr="00911998">
        <w:t xml:space="preserve"> véritablement les Demandeurs correspond à une interprétation large individualisée.</w:t>
      </w:r>
      <w:r w:rsidR="00AB3C79" w:rsidRPr="00911998">
        <w:t xml:space="preserve"> </w:t>
      </w:r>
      <w:r w:rsidRPr="00911998">
        <w:t xml:space="preserve">Or, pour toutes les raisons déjà exposées, l’interprétation large </w:t>
      </w:r>
      <w:r w:rsidR="009208DD" w:rsidRPr="00911998">
        <w:t>sollicit</w:t>
      </w:r>
      <w:r w:rsidRPr="00911998">
        <w:t xml:space="preserve">ée par les Demandeurs </w:t>
      </w:r>
      <w:r w:rsidR="005C2EB5" w:rsidRPr="00911998">
        <w:t>—</w:t>
      </w:r>
      <w:r w:rsidRPr="00911998">
        <w:t xml:space="preserve"> qu’elle soit générale ou individualisée</w:t>
      </w:r>
      <w:r w:rsidR="00AB3C79" w:rsidRPr="00911998">
        <w:t xml:space="preserve"> </w:t>
      </w:r>
      <w:r w:rsidR="005C2EB5" w:rsidRPr="00911998">
        <w:t>—</w:t>
      </w:r>
      <w:r w:rsidR="00AB3C79" w:rsidRPr="00911998">
        <w:t xml:space="preserve"> ne respecte pas les rôles institutionnels différents des tribunaux et du législateur. </w:t>
      </w:r>
    </w:p>
    <w:p w14:paraId="5966182E" w14:textId="786F2844" w:rsidR="00AB3C79" w:rsidRPr="00911998" w:rsidRDefault="00AB3C79" w:rsidP="00AB3C79">
      <w:pPr>
        <w:pStyle w:val="Paragrsimple"/>
      </w:pPr>
      <w:r w:rsidRPr="00911998">
        <w:t>Notamment, pour chacun des enfants en cause, le Tribunal devrait élaborer des règles de filiation autorisant la reconnaissance de plus de deux liens</w:t>
      </w:r>
      <w:r w:rsidR="009208DD" w:rsidRPr="00911998">
        <w:t>,</w:t>
      </w:r>
      <w:r w:rsidRPr="00911998">
        <w:t xml:space="preserve"> </w:t>
      </w:r>
      <w:r w:rsidR="0028776C" w:rsidRPr="00911998">
        <w:t>puis</w:t>
      </w:r>
      <w:r w:rsidRPr="00911998">
        <w:t xml:space="preserve"> les appliquer à chaque situation différente. L’élaboration de telles règles implique nécessairement des choix de nature politique, lesquels reviennent au législateur.</w:t>
      </w:r>
    </w:p>
    <w:p w14:paraId="614AEB9A" w14:textId="47489AF4" w:rsidR="00A21493" w:rsidRPr="00911998" w:rsidRDefault="00386323" w:rsidP="00386323">
      <w:pPr>
        <w:pStyle w:val="Paragrsimple"/>
      </w:pPr>
      <w:r w:rsidRPr="00911998">
        <w:t xml:space="preserve">Dans les circonstances, la solution consiste à laisser au législateur le </w:t>
      </w:r>
      <w:r w:rsidR="00FB1A67" w:rsidRPr="00911998">
        <w:t>soin</w:t>
      </w:r>
      <w:r w:rsidRPr="00911998">
        <w:t xml:space="preserve"> </w:t>
      </w:r>
      <w:r w:rsidR="00FB1A67" w:rsidRPr="00911998">
        <w:t>d’effectuer</w:t>
      </w:r>
      <w:r w:rsidRPr="00911998">
        <w:t xml:space="preserve"> son travail et d’adopter une mesure correct</w:t>
      </w:r>
      <w:r w:rsidR="00BB67F3" w:rsidRPr="00911998">
        <w:t>rice</w:t>
      </w:r>
      <w:r w:rsidRPr="00911998">
        <w:t xml:space="preserve">, laquelle devrait avoir un effet rétroactif afin d’offrir une véritable réparation aux Demandeurs individuels et </w:t>
      </w:r>
      <w:r w:rsidR="000C5A83" w:rsidRPr="00911998">
        <w:t xml:space="preserve">à </w:t>
      </w:r>
      <w:r w:rsidRPr="00911998">
        <w:t xml:space="preserve">toute personne se trouvant dans </w:t>
      </w:r>
      <w:r w:rsidR="00FB1A67" w:rsidRPr="00911998">
        <w:t>leur situation</w:t>
      </w:r>
      <w:r w:rsidR="00FB1A67" w:rsidRPr="00911998">
        <w:rPr>
          <w:rStyle w:val="Appelnotedebasdep"/>
        </w:rPr>
        <w:footnoteReference w:id="284"/>
      </w:r>
      <w:r w:rsidR="00FB1A67" w:rsidRPr="00911998">
        <w:t>.</w:t>
      </w:r>
    </w:p>
    <w:p w14:paraId="2450D9C8" w14:textId="7CB02D4D" w:rsidR="002E2C08" w:rsidRPr="00911998" w:rsidRDefault="0060037C" w:rsidP="0060037C">
      <w:pPr>
        <w:pStyle w:val="Titre2"/>
      </w:pPr>
      <w:bookmarkStart w:id="93" w:name="_Toc196463743"/>
      <w:r w:rsidRPr="00911998">
        <w:lastRenderedPageBreak/>
        <w:t xml:space="preserve">La filiation </w:t>
      </w:r>
      <w:bookmarkEnd w:id="93"/>
      <w:r w:rsidR="00900499">
        <w:t>DE X</w:t>
      </w:r>
    </w:p>
    <w:p w14:paraId="43DD5033" w14:textId="1D39AC4B" w:rsidR="00727BDB" w:rsidRPr="00911998" w:rsidRDefault="00727BDB" w:rsidP="002806F7">
      <w:pPr>
        <w:pStyle w:val="Paragrsimple"/>
      </w:pPr>
      <w:r w:rsidRPr="00911998">
        <w:t xml:space="preserve">De façon subsidiaire, les Demandeurs dans le Dossier </w:t>
      </w:r>
      <w:proofErr w:type="gramStart"/>
      <w:r w:rsidR="00153EC1">
        <w:t>M...</w:t>
      </w:r>
      <w:proofErr w:type="gramEnd"/>
      <w:r w:rsidR="00B42582" w:rsidRPr="00911998">
        <w:noBreakHyphen/>
      </w:r>
      <w:r w:rsidR="000032F7">
        <w:t>P...</w:t>
      </w:r>
      <w:r w:rsidR="00B42582" w:rsidRPr="00911998">
        <w:noBreakHyphen/>
      </w:r>
      <w:r w:rsidR="000032F7">
        <w:t>D...</w:t>
      </w:r>
      <w:r w:rsidRPr="00911998">
        <w:t xml:space="preserve"> contestent la décision du Directeur de l’état civil de dresser l’acte de naissance </w:t>
      </w:r>
      <w:r w:rsidR="00900499">
        <w:t>de X</w:t>
      </w:r>
      <w:r w:rsidRPr="00911998">
        <w:t xml:space="preserve"> en n’y identifiant que madame </w:t>
      </w:r>
      <w:r w:rsidR="000032F7">
        <w:t>P...</w:t>
      </w:r>
      <w:r w:rsidRPr="00911998">
        <w:t xml:space="preserve"> comme mère et en </w:t>
      </w:r>
      <w:r w:rsidR="00B42582" w:rsidRPr="00911998">
        <w:t xml:space="preserve">y </w:t>
      </w:r>
      <w:r w:rsidRPr="00911998">
        <w:t>ajoutant la mention «</w:t>
      </w:r>
      <w:r w:rsidR="00B07D72" w:rsidRPr="00911998">
        <w:t> </w:t>
      </w:r>
      <w:r w:rsidRPr="00911998">
        <w:t>Non déclaré</w:t>
      </w:r>
      <w:r w:rsidR="00B07D72" w:rsidRPr="00911998">
        <w:t> </w:t>
      </w:r>
      <w:r w:rsidRPr="00911998">
        <w:t>» sous la rubrique de l’autre parent</w:t>
      </w:r>
      <w:r w:rsidRPr="00911998">
        <w:rPr>
          <w:rStyle w:val="Appelnotedebasdep"/>
        </w:rPr>
        <w:footnoteReference w:id="285"/>
      </w:r>
      <w:r w:rsidRPr="00911998">
        <w:t xml:space="preserve">. Bien que la question de la filiation </w:t>
      </w:r>
      <w:r w:rsidR="00900499">
        <w:t>de X</w:t>
      </w:r>
      <w:r w:rsidRPr="00911998">
        <w:t xml:space="preserve"> </w:t>
      </w:r>
      <w:r w:rsidR="00B07D72" w:rsidRPr="00911998">
        <w:t>soit</w:t>
      </w:r>
      <w:r w:rsidRPr="00911998">
        <w:t xml:space="preserve"> qualifiée de subsidiaire, compte tenu de la suspension de la déclaration d’invalidité prononcée, il convient néanmoins de se pencher sur celle</w:t>
      </w:r>
      <w:r w:rsidRPr="00911998">
        <w:noBreakHyphen/>
        <w:t>ci.</w:t>
      </w:r>
    </w:p>
    <w:p w14:paraId="65F28901" w14:textId="3BCC4BE5" w:rsidR="00727BDB" w:rsidRPr="00911998" w:rsidRDefault="00727BDB" w:rsidP="00727BDB">
      <w:pPr>
        <w:pStyle w:val="Paragrsimple"/>
      </w:pPr>
      <w:r w:rsidRPr="00911998">
        <w:t xml:space="preserve">Après la naissance </w:t>
      </w:r>
      <w:r w:rsidR="00900499">
        <w:t>de X</w:t>
      </w:r>
      <w:r w:rsidRPr="00911998">
        <w:t xml:space="preserve">, </w:t>
      </w:r>
      <w:r w:rsidR="00DF1178" w:rsidRPr="00911998">
        <w:t>une déclaration</w:t>
      </w:r>
      <w:r w:rsidRPr="00911998">
        <w:t xml:space="preserve"> de naissance est préparé</w:t>
      </w:r>
      <w:r w:rsidR="00DF1178" w:rsidRPr="00911998">
        <w:t>e</w:t>
      </w:r>
      <w:r w:rsidRPr="00911998">
        <w:t xml:space="preserve"> et envoyé</w:t>
      </w:r>
      <w:r w:rsidR="00DF1178" w:rsidRPr="00911998">
        <w:t>e</w:t>
      </w:r>
      <w:r w:rsidRPr="00911998">
        <w:t xml:space="preserve"> au Directeur de l’état civil. </w:t>
      </w:r>
      <w:r w:rsidR="00B42582" w:rsidRPr="00911998">
        <w:t>Elle</w:t>
      </w:r>
      <w:r w:rsidRPr="00911998">
        <w:t xml:space="preserve"> identifie mesdames </w:t>
      </w:r>
      <w:proofErr w:type="gramStart"/>
      <w:r w:rsidR="00153EC1">
        <w:t>M...</w:t>
      </w:r>
      <w:proofErr w:type="gramEnd"/>
      <w:r w:rsidRPr="00911998">
        <w:t xml:space="preserve"> et </w:t>
      </w:r>
      <w:r w:rsidR="000032F7">
        <w:t>P...</w:t>
      </w:r>
      <w:r w:rsidRPr="00911998">
        <w:t xml:space="preserve"> comme </w:t>
      </w:r>
      <w:r w:rsidR="007A200D" w:rsidRPr="00911998">
        <w:t xml:space="preserve">les </w:t>
      </w:r>
      <w:r w:rsidRPr="00911998">
        <w:t>mères</w:t>
      </w:r>
      <w:r w:rsidR="007A200D" w:rsidRPr="00911998">
        <w:t xml:space="preserve"> du nouveau-né</w:t>
      </w:r>
      <w:r w:rsidR="00C74540" w:rsidRPr="00911998">
        <w:rPr>
          <w:rStyle w:val="Appelnotedebasdep"/>
        </w:rPr>
        <w:footnoteReference w:id="286"/>
      </w:r>
      <w:r w:rsidRPr="00911998">
        <w:t xml:space="preserve">. </w:t>
      </w:r>
      <w:r w:rsidR="00DD555F" w:rsidRPr="00911998">
        <w:t>Toutefois, en novembre 2021, bien avant sa naissance,</w:t>
      </w:r>
      <w:r w:rsidR="00297CF4" w:rsidRPr="00911998">
        <w:t xml:space="preserve"> les Demandeurs dans le Dossier </w:t>
      </w:r>
      <w:proofErr w:type="gramStart"/>
      <w:r w:rsidR="00153EC1">
        <w:t>M...</w:t>
      </w:r>
      <w:proofErr w:type="gramEnd"/>
      <w:r w:rsidR="00297CF4" w:rsidRPr="00911998">
        <w:t>-</w:t>
      </w:r>
      <w:r w:rsidR="000032F7">
        <w:t>P...</w:t>
      </w:r>
      <w:r w:rsidR="00297CF4" w:rsidRPr="00911998">
        <w:t>-</w:t>
      </w:r>
      <w:r w:rsidR="000032F7">
        <w:t>D...</w:t>
      </w:r>
      <w:r w:rsidR="00297CF4" w:rsidRPr="00911998">
        <w:t> avaient déjà signifié au Directeur de l’état civil et déposé en Cour supérieure du Québec une Demande en jugement déclaratoire.</w:t>
      </w:r>
      <w:r w:rsidR="00E62209" w:rsidRPr="00911998">
        <w:t xml:space="preserve"> Cette demande est modifiée le 30</w:t>
      </w:r>
      <w:r w:rsidR="00B07D72" w:rsidRPr="00911998">
        <w:t> </w:t>
      </w:r>
      <w:r w:rsidR="00E62209" w:rsidRPr="00911998">
        <w:t>mars 2022</w:t>
      </w:r>
      <w:r w:rsidR="00B42582" w:rsidRPr="00911998">
        <w:t>.</w:t>
      </w:r>
      <w:r w:rsidR="00E62209" w:rsidRPr="00911998">
        <w:t xml:space="preserve"> </w:t>
      </w:r>
      <w:r w:rsidR="00B42582" w:rsidRPr="00911998">
        <w:t>L</w:t>
      </w:r>
      <w:r w:rsidR="00E62209" w:rsidRPr="00911998">
        <w:t>e 30</w:t>
      </w:r>
      <w:r w:rsidR="00B07D72" w:rsidRPr="00911998">
        <w:t> </w:t>
      </w:r>
      <w:r w:rsidR="00E62209" w:rsidRPr="00911998">
        <w:t>mai 2022, chacun des Demandeurs souscrit une déclaration sous</w:t>
      </w:r>
      <w:r w:rsidR="007A200D" w:rsidRPr="00911998">
        <w:t> </w:t>
      </w:r>
      <w:r w:rsidR="00E62209" w:rsidRPr="00911998">
        <w:t xml:space="preserve">serment attestant de la véracité des faits </w:t>
      </w:r>
      <w:r w:rsidR="00B07D72" w:rsidRPr="00911998">
        <w:t>allégués</w:t>
      </w:r>
      <w:r w:rsidR="00E62209" w:rsidRPr="00911998">
        <w:t xml:space="preserve"> dans la demande modifiée.</w:t>
      </w:r>
    </w:p>
    <w:p w14:paraId="421816C5" w14:textId="5549C4FB" w:rsidR="00297CF4" w:rsidRPr="00911998" w:rsidRDefault="00B42582" w:rsidP="00297CF4">
      <w:pPr>
        <w:pStyle w:val="Paragrsimple"/>
      </w:pPr>
      <w:r w:rsidRPr="00911998">
        <w:t>La</w:t>
      </w:r>
      <w:r w:rsidR="00DD555F" w:rsidRPr="00911998">
        <w:t xml:space="preserve"> </w:t>
      </w:r>
      <w:r w:rsidR="003E1C08" w:rsidRPr="00911998">
        <w:t>d</w:t>
      </w:r>
      <w:r w:rsidR="00DD555F" w:rsidRPr="00911998">
        <w:t xml:space="preserve">emande </w:t>
      </w:r>
      <w:r w:rsidR="00E62209" w:rsidRPr="00911998">
        <w:t xml:space="preserve">modifiée </w:t>
      </w:r>
      <w:r w:rsidR="00DD555F" w:rsidRPr="00911998">
        <w:t xml:space="preserve">décrit le projet de </w:t>
      </w:r>
      <w:proofErr w:type="spellStart"/>
      <w:r w:rsidR="00DD555F" w:rsidRPr="00911998">
        <w:t>triparenté</w:t>
      </w:r>
      <w:proofErr w:type="spellEnd"/>
      <w:r w:rsidR="00DD555F" w:rsidRPr="00911998">
        <w:t xml:space="preserve"> des Demandeurs dans le Dossier </w:t>
      </w:r>
      <w:proofErr w:type="gramStart"/>
      <w:r w:rsidR="00153EC1">
        <w:t>M...</w:t>
      </w:r>
      <w:proofErr w:type="gramEnd"/>
      <w:r w:rsidR="00DD555F" w:rsidRPr="00911998">
        <w:t>-</w:t>
      </w:r>
      <w:r w:rsidR="000032F7">
        <w:t>P...</w:t>
      </w:r>
      <w:r w:rsidR="00DD555F" w:rsidRPr="00911998">
        <w:t>-</w:t>
      </w:r>
      <w:r w:rsidR="000032F7">
        <w:t>D...</w:t>
      </w:r>
      <w:r w:rsidR="00DD555F" w:rsidRPr="00911998">
        <w:t xml:space="preserve">. Elle mentionne que madame </w:t>
      </w:r>
      <w:proofErr w:type="gramStart"/>
      <w:r w:rsidR="000032F7">
        <w:t>P...</w:t>
      </w:r>
      <w:proofErr w:type="gramEnd"/>
      <w:r w:rsidR="00DD555F" w:rsidRPr="00911998">
        <w:t xml:space="preserve"> et monsieur </w:t>
      </w:r>
      <w:r w:rsidR="000032F7">
        <w:t>D...</w:t>
      </w:r>
      <w:r w:rsidR="00DD555F" w:rsidRPr="00911998">
        <w:t xml:space="preserve"> sont les parents biologiques de l’enfant à naître et que les trois Demandeurs entendent élever l’enfant ensemble à titre de parents. La demande recherche notamment qu</w:t>
      </w:r>
      <w:r w:rsidR="00AE7E75" w:rsidRPr="00911998">
        <w:t xml:space="preserve">’il soit ordonné au </w:t>
      </w:r>
      <w:r w:rsidR="00DD555F" w:rsidRPr="00911998">
        <w:t>Directeur de l’état civil «</w:t>
      </w:r>
      <w:r w:rsidR="00B07D72" w:rsidRPr="00911998">
        <w:t> </w:t>
      </w:r>
      <w:r w:rsidR="00DD555F" w:rsidRPr="00911998">
        <w:t>de reconnaître les demandeurs à titre de parents de l’enfant à naître lors de l’établissement de l’acte de naissance</w:t>
      </w:r>
      <w:r w:rsidR="00B07D72" w:rsidRPr="00911998">
        <w:t> </w:t>
      </w:r>
      <w:r w:rsidR="00DD555F" w:rsidRPr="00911998">
        <w:t>».</w:t>
      </w:r>
    </w:p>
    <w:p w14:paraId="5D3DDFCE" w14:textId="6E5BC9FF" w:rsidR="00DD555F" w:rsidRPr="00911998" w:rsidRDefault="00153EC1" w:rsidP="00DD555F">
      <w:pPr>
        <w:pStyle w:val="Paragrsimple"/>
      </w:pPr>
      <w:r>
        <w:t>X</w:t>
      </w:r>
      <w:r w:rsidR="003E1C08" w:rsidRPr="00911998">
        <w:t xml:space="preserve"> est né le </w:t>
      </w:r>
      <w:r w:rsidR="00900499">
        <w:t>[...]</w:t>
      </w:r>
      <w:r w:rsidR="003E1C08" w:rsidRPr="00911998">
        <w:t xml:space="preserve"> 2022. </w:t>
      </w:r>
      <w:r w:rsidR="002C0560" w:rsidRPr="00911998">
        <w:t>Le 14</w:t>
      </w:r>
      <w:r w:rsidR="00B07D72" w:rsidRPr="00911998">
        <w:t> </w:t>
      </w:r>
      <w:r w:rsidR="002C0560" w:rsidRPr="00911998">
        <w:t xml:space="preserve">juin, un représentant du Directeur de l’état civil écrit à mesdames </w:t>
      </w:r>
      <w:proofErr w:type="gramStart"/>
      <w:r w:rsidR="000032F7">
        <w:t>P...</w:t>
      </w:r>
      <w:proofErr w:type="gramEnd"/>
      <w:r w:rsidR="002C0560" w:rsidRPr="00911998">
        <w:t xml:space="preserve"> et </w:t>
      </w:r>
      <w:r>
        <w:t>M...</w:t>
      </w:r>
      <w:r w:rsidR="002C0560" w:rsidRPr="00911998">
        <w:t xml:space="preserve"> et </w:t>
      </w:r>
      <w:r w:rsidR="00AE7E75" w:rsidRPr="00911998">
        <w:t xml:space="preserve">les </w:t>
      </w:r>
      <w:r w:rsidR="002C0560" w:rsidRPr="00911998">
        <w:t xml:space="preserve">informe </w:t>
      </w:r>
      <w:r w:rsidR="00B42582" w:rsidRPr="00911998">
        <w:t xml:space="preserve"> </w:t>
      </w:r>
      <w:r w:rsidR="002C0560" w:rsidRPr="00911998">
        <w:t>qu’un acte de naissance ne peut être dressé en les identifiant toutes deux comme mères</w:t>
      </w:r>
      <w:r w:rsidR="002C0560" w:rsidRPr="00911998">
        <w:rPr>
          <w:rStyle w:val="Appelnotedebasdep"/>
        </w:rPr>
        <w:footnoteReference w:id="287"/>
      </w:r>
      <w:r w:rsidR="002C0560" w:rsidRPr="00911998">
        <w:t>. Il explique que</w:t>
      </w:r>
      <w:r w:rsidR="002C0560" w:rsidRPr="00911998">
        <w:rPr>
          <w:rStyle w:val="Appelnotedebasdep"/>
        </w:rPr>
        <w:footnoteReference w:id="288"/>
      </w:r>
      <w:r w:rsidR="002C0560" w:rsidRPr="00911998">
        <w:t> :</w:t>
      </w:r>
    </w:p>
    <w:p w14:paraId="408EF99C" w14:textId="74D77494" w:rsidR="002C0560" w:rsidRPr="00911998" w:rsidRDefault="002C0560" w:rsidP="002C0560">
      <w:pPr>
        <w:ind w:left="567" w:right="560"/>
        <w:jc w:val="both"/>
        <w:rPr>
          <w:rFonts w:cs="Arial"/>
          <w:sz w:val="22"/>
          <w:szCs w:val="22"/>
        </w:rPr>
      </w:pPr>
      <w:r w:rsidRPr="00911998">
        <w:rPr>
          <w:rFonts w:cs="Arial"/>
          <w:sz w:val="22"/>
          <w:szCs w:val="22"/>
        </w:rPr>
        <w:t xml:space="preserve">[…] [L]a naissance de l’enfant ne peut être inscrite telle que demandée considérant votre </w:t>
      </w:r>
      <w:r w:rsidRPr="00911998">
        <w:rPr>
          <w:rFonts w:cs="Arial"/>
          <w:i/>
          <w:iCs/>
          <w:sz w:val="22"/>
          <w:szCs w:val="22"/>
        </w:rPr>
        <w:t xml:space="preserve">Demande en jugement déclaratoire, pourvoi en contrôle judiciaire et avis au Procureur général du Québec </w:t>
      </w:r>
      <w:r w:rsidRPr="00911998">
        <w:rPr>
          <w:rFonts w:cs="Arial"/>
          <w:sz w:val="22"/>
          <w:szCs w:val="22"/>
        </w:rPr>
        <w:t>(500</w:t>
      </w:r>
      <w:r w:rsidRPr="00911998">
        <w:rPr>
          <w:rFonts w:cs="Arial"/>
          <w:sz w:val="22"/>
          <w:szCs w:val="22"/>
        </w:rPr>
        <w:noBreakHyphen/>
        <w:t>17</w:t>
      </w:r>
      <w:r w:rsidRPr="00911998">
        <w:rPr>
          <w:rFonts w:cs="Arial"/>
          <w:sz w:val="22"/>
          <w:szCs w:val="22"/>
        </w:rPr>
        <w:noBreakHyphen/>
        <w:t>119125</w:t>
      </w:r>
      <w:r w:rsidRPr="00911998">
        <w:rPr>
          <w:rFonts w:cs="Arial"/>
          <w:sz w:val="22"/>
          <w:szCs w:val="22"/>
        </w:rPr>
        <w:noBreakHyphen/>
        <w:t xml:space="preserve">212) qui a été signifié au [Directeur de l’état civil] et dans laquelle il appert que Monsieur </w:t>
      </w:r>
      <w:r w:rsidR="00153EC1">
        <w:rPr>
          <w:rFonts w:cs="Arial"/>
          <w:sz w:val="22"/>
          <w:szCs w:val="22"/>
        </w:rPr>
        <w:t xml:space="preserve">N... </w:t>
      </w:r>
      <w:proofErr w:type="gramStart"/>
      <w:r w:rsidR="00153EC1">
        <w:rPr>
          <w:rFonts w:cs="Arial"/>
          <w:sz w:val="22"/>
          <w:szCs w:val="22"/>
        </w:rPr>
        <w:t>D...</w:t>
      </w:r>
      <w:proofErr w:type="gramEnd"/>
      <w:r w:rsidRPr="00911998">
        <w:rPr>
          <w:rFonts w:cs="Arial"/>
          <w:sz w:val="22"/>
          <w:szCs w:val="22"/>
        </w:rPr>
        <w:t xml:space="preserve"> a l’intention d’établir sa filiation à l’égard de l’enfant. En conséquence, les dispositions du Code civil du Québec relatives à l’établissement de la filiation ne permettent pas d’établir la filiation de l’enfant à l’égard de Madame </w:t>
      </w:r>
      <w:r w:rsidR="00153EC1">
        <w:rPr>
          <w:rFonts w:cs="Arial"/>
          <w:sz w:val="22"/>
          <w:szCs w:val="22"/>
        </w:rPr>
        <w:t>V... M...</w:t>
      </w:r>
      <w:r w:rsidRPr="00911998">
        <w:rPr>
          <w:rFonts w:cs="Arial"/>
          <w:sz w:val="22"/>
          <w:szCs w:val="22"/>
        </w:rPr>
        <w:t>.</w:t>
      </w:r>
    </w:p>
    <w:p w14:paraId="3A4E3633" w14:textId="1F70277F" w:rsidR="000E71C1" w:rsidRPr="00911998" w:rsidRDefault="002C0560" w:rsidP="002C0560">
      <w:pPr>
        <w:pStyle w:val="Paragrsimple"/>
      </w:pPr>
      <w:r w:rsidRPr="00911998">
        <w:t xml:space="preserve"> Selon les Demandeurs, le Directeur de l’état civil a </w:t>
      </w:r>
      <w:r w:rsidR="00B42582" w:rsidRPr="00911998">
        <w:t xml:space="preserve">ainsi </w:t>
      </w:r>
      <w:r w:rsidRPr="00911998">
        <w:t>rendu une décision déraisonnable et illégale. Il</w:t>
      </w:r>
      <w:r w:rsidR="00B42582" w:rsidRPr="00911998">
        <w:t xml:space="preserve">s soutiennent qu’il </w:t>
      </w:r>
      <w:r w:rsidRPr="00911998">
        <w:t xml:space="preserve">ne revient pas à ce dernier </w:t>
      </w:r>
      <w:r w:rsidR="000E71C1" w:rsidRPr="00911998">
        <w:t xml:space="preserve">de vérifier la </w:t>
      </w:r>
      <w:r w:rsidRPr="00911998">
        <w:t>filiation</w:t>
      </w:r>
      <w:r w:rsidR="000E71C1" w:rsidRPr="00911998">
        <w:t xml:space="preserve"> de l’enfant</w:t>
      </w:r>
      <w:r w:rsidRPr="00911998">
        <w:t xml:space="preserve">. Son pouvoir est lié et consiste à dresser l’acte de naissance </w:t>
      </w:r>
      <w:r w:rsidRPr="00911998">
        <w:lastRenderedPageBreak/>
        <w:t>conformément aux informations reçu</w:t>
      </w:r>
      <w:r w:rsidR="00DF1178" w:rsidRPr="00911998">
        <w:t>e</w:t>
      </w:r>
      <w:r w:rsidRPr="00911998">
        <w:t xml:space="preserve">s </w:t>
      </w:r>
      <w:r w:rsidR="00DF1178" w:rsidRPr="00911998">
        <w:t>dans la mesure o</w:t>
      </w:r>
      <w:r w:rsidR="00DF1178" w:rsidRPr="00911998">
        <w:rPr>
          <w:rFonts w:cs="Arial"/>
        </w:rPr>
        <w:t>ù</w:t>
      </w:r>
      <w:r w:rsidR="00DF1178" w:rsidRPr="00911998">
        <w:t xml:space="preserve"> celles-ci sont conformes aux exigences de la </w:t>
      </w:r>
      <w:r w:rsidR="00497653" w:rsidRPr="00911998">
        <w:t>loi</w:t>
      </w:r>
      <w:r w:rsidR="000E71C1" w:rsidRPr="00911998">
        <w:rPr>
          <w:rStyle w:val="Appelnotedebasdep"/>
        </w:rPr>
        <w:footnoteReference w:id="289"/>
      </w:r>
      <w:r w:rsidR="000E71C1" w:rsidRPr="00911998">
        <w:t>.</w:t>
      </w:r>
    </w:p>
    <w:p w14:paraId="5BD4957E" w14:textId="172B0464" w:rsidR="002C0560" w:rsidRPr="00911998" w:rsidRDefault="00B42582" w:rsidP="002C0560">
      <w:pPr>
        <w:pStyle w:val="Paragrsimple"/>
      </w:pPr>
      <w:r w:rsidRPr="00911998">
        <w:t>Les Demandeurs</w:t>
      </w:r>
      <w:r w:rsidR="00B13F2A" w:rsidRPr="00911998">
        <w:t xml:space="preserve"> ajoutent que</w:t>
      </w:r>
      <w:r w:rsidR="000E71C1" w:rsidRPr="00911998">
        <w:t xml:space="preserve"> le pouvoir d’enquête </w:t>
      </w:r>
      <w:r w:rsidR="00C73639" w:rsidRPr="00911998">
        <w:t xml:space="preserve">sommaire </w:t>
      </w:r>
      <w:r w:rsidR="000E71C1" w:rsidRPr="00911998">
        <w:t>du Directeur de l’état civil est limité aux cas visés par les articles 109, 114 et 130</w:t>
      </w:r>
      <w:r w:rsidR="00B07D72" w:rsidRPr="00911998">
        <w:t> </w:t>
      </w:r>
      <w:r w:rsidR="000E71C1" w:rsidRPr="00911998">
        <w:t>C.c.Q.</w:t>
      </w:r>
      <w:r w:rsidR="00497653" w:rsidRPr="00911998">
        <w:t xml:space="preserve"> </w:t>
      </w:r>
      <w:r w:rsidR="00F01A42" w:rsidRPr="00911998">
        <w:t>et ne s’applique pas en l’espèce.</w:t>
      </w:r>
      <w:r w:rsidR="001404D6" w:rsidRPr="00911998">
        <w:t xml:space="preserve"> </w:t>
      </w:r>
      <w:r w:rsidRPr="00911998">
        <w:t>L</w:t>
      </w:r>
      <w:r w:rsidR="001404D6" w:rsidRPr="00911998">
        <w:t>e Directeur a</w:t>
      </w:r>
      <w:r w:rsidR="00480400" w:rsidRPr="00911998">
        <w:t>urait</w:t>
      </w:r>
      <w:r w:rsidRPr="00911998">
        <w:t xml:space="preserve"> donc</w:t>
      </w:r>
      <w:r w:rsidR="001404D6" w:rsidRPr="00911998">
        <w:t xml:space="preserve"> rendu une décision déraisonnable en prenant en considération la Demande en jugement déclaratoire pour écarter la déclaration de naissance</w:t>
      </w:r>
      <w:r w:rsidRPr="00911998">
        <w:t>,</w:t>
      </w:r>
      <w:r w:rsidR="001404D6" w:rsidRPr="00911998">
        <w:t xml:space="preserve"> pourtant remplie de façon conforme à la loi.  </w:t>
      </w:r>
    </w:p>
    <w:p w14:paraId="14FCD355" w14:textId="77777777" w:rsidR="00B56FEB" w:rsidRPr="00911998" w:rsidRDefault="001C6D4A" w:rsidP="00480400">
      <w:pPr>
        <w:pStyle w:val="Paragrsimple"/>
      </w:pPr>
      <w:r w:rsidRPr="00911998">
        <w:t>Les arguments des Demandeurs ne peuvent être retenus</w:t>
      </w:r>
      <w:r w:rsidR="00B56FEB" w:rsidRPr="00911998">
        <w:t>. Voici pourquoi.</w:t>
      </w:r>
    </w:p>
    <w:p w14:paraId="30F7FB27" w14:textId="7D04D041" w:rsidR="003750BA" w:rsidRPr="00911998" w:rsidRDefault="00B56FEB" w:rsidP="00B56FEB">
      <w:pPr>
        <w:pStyle w:val="Paragrsimple"/>
      </w:pPr>
      <w:r w:rsidRPr="00911998">
        <w:t xml:space="preserve">C’est la norme de contrôle d’application présumée </w:t>
      </w:r>
      <w:r w:rsidR="00B07D72" w:rsidRPr="00911998">
        <w:t>—</w:t>
      </w:r>
      <w:r w:rsidRPr="00911998">
        <w:t xml:space="preserve"> soit celle de la décision raisonnable </w:t>
      </w:r>
      <w:r w:rsidR="00B07D72" w:rsidRPr="00911998">
        <w:t>—</w:t>
      </w:r>
      <w:r w:rsidR="004A13E7" w:rsidRPr="00911998">
        <w:t xml:space="preserve"> </w:t>
      </w:r>
      <w:r w:rsidRPr="00911998">
        <w:t>qui régit l’intervention du Tribunal eu égard</w:t>
      </w:r>
      <w:r w:rsidR="004A13E7" w:rsidRPr="00911998">
        <w:t xml:space="preserve"> à</w:t>
      </w:r>
      <w:r w:rsidRPr="00911998">
        <w:t xml:space="preserve"> la décision du Directeur de l’état civil de dresser un acte de naissance qui s’écarte de la déclaration de naissance reçue des Demandeurs</w:t>
      </w:r>
      <w:r w:rsidRPr="00911998">
        <w:rPr>
          <w:rStyle w:val="Appelnotedebasdep"/>
        </w:rPr>
        <w:footnoteReference w:id="290"/>
      </w:r>
      <w:r w:rsidRPr="00911998">
        <w:t xml:space="preserve">. </w:t>
      </w:r>
      <w:r w:rsidR="003750BA" w:rsidRPr="00911998">
        <w:t>Dans les circonstances particulières de la présente affaire, faisant preuve de la déférence qui s’impose, force est de conclure que la décision du Directeur n’est pas déraisonnable.</w:t>
      </w:r>
    </w:p>
    <w:p w14:paraId="56573500" w14:textId="7F8C8064" w:rsidR="003750BA" w:rsidRPr="00911998" w:rsidRDefault="003750BA" w:rsidP="003750BA">
      <w:pPr>
        <w:pStyle w:val="Paragrsimple"/>
        <w:rPr>
          <w:rFonts w:cs="Arial"/>
          <w:sz w:val="22"/>
          <w:szCs w:val="22"/>
        </w:rPr>
      </w:pPr>
      <w:r w:rsidRPr="00911998">
        <w:t>Le premier alinéa de l’article 130</w:t>
      </w:r>
      <w:r w:rsidR="00B07D72" w:rsidRPr="00911998">
        <w:t> </w:t>
      </w:r>
      <w:r w:rsidRPr="00911998">
        <w:t>C.c.Q. donne au Directeur de l’état civil un pouvoir d’enquête sommaire quand il constate qu’une naissance est déclarée incorrectement</w:t>
      </w:r>
      <w:r w:rsidR="008E1F16" w:rsidRPr="00911998">
        <w:t xml:space="preserve"> («</w:t>
      </w:r>
      <w:r w:rsidR="00B07D72" w:rsidRPr="00911998">
        <w:t> </w:t>
      </w:r>
      <w:proofErr w:type="spellStart"/>
      <w:r w:rsidR="008E1F16" w:rsidRPr="00911998">
        <w:rPr>
          <w:i/>
          <w:iCs/>
        </w:rPr>
        <w:t>inaccurately</w:t>
      </w:r>
      <w:proofErr w:type="spellEnd"/>
      <w:r w:rsidR="00B07D72" w:rsidRPr="00911998">
        <w:t> </w:t>
      </w:r>
      <w:r w:rsidR="008E1F16" w:rsidRPr="00911998">
        <w:t>» dans la version anglaise)</w:t>
      </w:r>
      <w:r w:rsidRPr="00911998">
        <w:t> :</w:t>
      </w:r>
    </w:p>
    <w:tbl>
      <w:tblPr>
        <w:tblStyle w:val="Grilledutableau"/>
        <w:tblW w:w="0" w:type="auto"/>
        <w:tblInd w:w="279" w:type="dxa"/>
        <w:tblLook w:val="04A0" w:firstRow="1" w:lastRow="0" w:firstColumn="1" w:lastColumn="0" w:noHBand="0" w:noVBand="1"/>
      </w:tblPr>
      <w:tblGrid>
        <w:gridCol w:w="4394"/>
        <w:gridCol w:w="4536"/>
      </w:tblGrid>
      <w:tr w:rsidR="000E19AB" w:rsidRPr="00911998" w14:paraId="05CE9E32" w14:textId="77777777" w:rsidTr="005B63DB">
        <w:tc>
          <w:tcPr>
            <w:tcW w:w="4394" w:type="dxa"/>
          </w:tcPr>
          <w:p w14:paraId="6A9932F7" w14:textId="77777777" w:rsidR="003750BA" w:rsidRPr="00911998" w:rsidRDefault="00000000" w:rsidP="005B63DB">
            <w:pPr>
              <w:pStyle w:val="Paragrsimple"/>
              <w:numPr>
                <w:ilvl w:val="0"/>
                <w:numId w:val="0"/>
              </w:numPr>
              <w:rPr>
                <w:sz w:val="22"/>
                <w:szCs w:val="22"/>
              </w:rPr>
            </w:pPr>
            <w:hyperlink r:id="rId56" w:anchor="se:130" w:history="1">
              <w:r w:rsidR="003750BA" w:rsidRPr="00911998">
                <w:rPr>
                  <w:rStyle w:val="Hyperlien"/>
                  <w:b/>
                  <w:bCs/>
                  <w:color w:val="auto"/>
                  <w:sz w:val="22"/>
                  <w:szCs w:val="22"/>
                  <w:u w:val="none"/>
                </w:rPr>
                <w:t>130.</w:t>
              </w:r>
            </w:hyperlink>
            <w:r w:rsidR="003750BA" w:rsidRPr="00911998">
              <w:rPr>
                <w:sz w:val="22"/>
                <w:szCs w:val="22"/>
              </w:rPr>
              <w:t xml:space="preserve"> Lorsqu’une naissance, un mariage, une union civile ou un décès survenu au Québec </w:t>
            </w:r>
            <w:r w:rsidR="003750BA" w:rsidRPr="00911998">
              <w:rPr>
                <w:rFonts w:cs="Arial"/>
                <w:sz w:val="22"/>
                <w:szCs w:val="22"/>
                <w:lang w:eastAsia="fr-CA"/>
              </w:rPr>
              <w:t>n’est</w:t>
            </w:r>
            <w:r w:rsidR="003750BA" w:rsidRPr="00911998">
              <w:rPr>
                <w:sz w:val="22"/>
                <w:szCs w:val="22"/>
              </w:rPr>
              <w:t xml:space="preserve"> pas constaté ou déclaré, ou l’est incorrectement ou tardivement, le directeur de l’état civil procède à une enquête sommaire, dresse l’acte de l’état civil sur la foi de l’information qu’il obtient et l’insère dans le registre de l’état civil.</w:t>
            </w:r>
          </w:p>
          <w:p w14:paraId="12451223" w14:textId="77777777" w:rsidR="003750BA" w:rsidRPr="00911998" w:rsidRDefault="003750BA" w:rsidP="005B63DB">
            <w:pPr>
              <w:pStyle w:val="Paragrsimple"/>
              <w:numPr>
                <w:ilvl w:val="0"/>
                <w:numId w:val="0"/>
              </w:numPr>
              <w:rPr>
                <w:rFonts w:cs="Arial"/>
                <w:sz w:val="22"/>
                <w:szCs w:val="22"/>
                <w:lang w:eastAsia="fr-CA"/>
              </w:rPr>
            </w:pPr>
            <w:r w:rsidRPr="00911998">
              <w:rPr>
                <w:rStyle w:val="lev"/>
                <w:rFonts w:cs="Arial"/>
                <w:b w:val="0"/>
                <w:bCs w:val="0"/>
                <w:sz w:val="22"/>
                <w:szCs w:val="22"/>
              </w:rPr>
              <w:t>[…]</w:t>
            </w:r>
            <w:r w:rsidRPr="00911998">
              <w:rPr>
                <w:rFonts w:cs="Arial"/>
                <w:sz w:val="22"/>
                <w:szCs w:val="22"/>
                <w:lang w:eastAsia="fr-CA"/>
              </w:rPr>
              <w:t xml:space="preserve"> </w:t>
            </w:r>
          </w:p>
        </w:tc>
        <w:tc>
          <w:tcPr>
            <w:tcW w:w="4536" w:type="dxa"/>
          </w:tcPr>
          <w:p w14:paraId="7ED58B79" w14:textId="77777777" w:rsidR="003750BA" w:rsidRPr="00911998" w:rsidRDefault="00000000" w:rsidP="005B63DB">
            <w:pPr>
              <w:pStyle w:val="Paragrsimple"/>
              <w:numPr>
                <w:ilvl w:val="0"/>
                <w:numId w:val="0"/>
              </w:numPr>
              <w:rPr>
                <w:rFonts w:cs="Arial"/>
                <w:b/>
                <w:bCs/>
                <w:i/>
                <w:iCs/>
                <w:sz w:val="22"/>
                <w:szCs w:val="22"/>
                <w:lang w:val="en-CA" w:eastAsia="fr-CA"/>
              </w:rPr>
            </w:pPr>
            <w:hyperlink r:id="rId57" w:anchor="se:130" w:history="1">
              <w:r w:rsidR="003750BA" w:rsidRPr="00911998">
                <w:rPr>
                  <w:rStyle w:val="Hyperlien"/>
                  <w:rFonts w:cs="Arial"/>
                  <w:b/>
                  <w:bCs/>
                  <w:i/>
                  <w:iCs/>
                  <w:color w:val="auto"/>
                  <w:sz w:val="22"/>
                  <w:szCs w:val="22"/>
                  <w:u w:val="none"/>
                  <w:lang w:val="en-CA" w:eastAsia="fr-CA"/>
                </w:rPr>
                <w:t>130.</w:t>
              </w:r>
            </w:hyperlink>
            <w:r w:rsidR="003750BA" w:rsidRPr="00911998">
              <w:rPr>
                <w:rFonts w:cs="Arial"/>
                <w:b/>
                <w:bCs/>
                <w:i/>
                <w:iCs/>
                <w:sz w:val="22"/>
                <w:szCs w:val="22"/>
                <w:lang w:val="en-CA" w:eastAsia="fr-CA"/>
              </w:rPr>
              <w:t> </w:t>
            </w:r>
            <w:r w:rsidR="003750BA" w:rsidRPr="00911998">
              <w:rPr>
                <w:rFonts w:cs="Arial"/>
                <w:i/>
                <w:iCs/>
                <w:sz w:val="22"/>
                <w:szCs w:val="22"/>
                <w:lang w:val="en-CA" w:eastAsia="fr-CA"/>
              </w:rPr>
              <w:t xml:space="preserve">Where a birth, marriage, civil union or death having occurred in Québec is not attested or declared or is attested or declared inaccurately or late, the registrar of civil status makes a summary investigation, draws up the act of civil status </w:t>
            </w:r>
            <w:proofErr w:type="gramStart"/>
            <w:r w:rsidR="003750BA" w:rsidRPr="00911998">
              <w:rPr>
                <w:rFonts w:cs="Arial"/>
                <w:i/>
                <w:iCs/>
                <w:sz w:val="22"/>
                <w:szCs w:val="22"/>
                <w:lang w:val="en-CA" w:eastAsia="fr-CA"/>
              </w:rPr>
              <w:t>on the basis of</w:t>
            </w:r>
            <w:proofErr w:type="gramEnd"/>
            <w:r w:rsidR="003750BA" w:rsidRPr="00911998">
              <w:rPr>
                <w:rFonts w:cs="Arial"/>
                <w:i/>
                <w:iCs/>
                <w:sz w:val="22"/>
                <w:szCs w:val="22"/>
                <w:lang w:val="en-CA" w:eastAsia="fr-CA"/>
              </w:rPr>
              <w:t xml:space="preserve"> the information he obtains and inserts the act in the register of civil status.</w:t>
            </w:r>
          </w:p>
          <w:p w14:paraId="61549B17" w14:textId="77777777" w:rsidR="003750BA" w:rsidRPr="00911998" w:rsidRDefault="003750BA" w:rsidP="005B63DB">
            <w:pPr>
              <w:pStyle w:val="Paragrsimple"/>
              <w:numPr>
                <w:ilvl w:val="0"/>
                <w:numId w:val="0"/>
              </w:numPr>
              <w:rPr>
                <w:rFonts w:cs="Arial"/>
                <w:sz w:val="22"/>
                <w:szCs w:val="22"/>
                <w:lang w:val="en-CA"/>
              </w:rPr>
            </w:pPr>
            <w:r w:rsidRPr="00911998">
              <w:rPr>
                <w:rStyle w:val="lev"/>
                <w:rFonts w:cs="Arial"/>
                <w:b w:val="0"/>
                <w:bCs w:val="0"/>
                <w:i/>
                <w:iCs/>
                <w:sz w:val="22"/>
                <w:szCs w:val="22"/>
              </w:rPr>
              <w:t>[…]</w:t>
            </w:r>
            <w:hyperlink r:id="rId58" w:anchor="se:54" w:history="1"/>
          </w:p>
        </w:tc>
      </w:tr>
    </w:tbl>
    <w:p w14:paraId="3C7D16F1" w14:textId="517A4B07" w:rsidR="002D1D01" w:rsidRPr="00911998" w:rsidRDefault="002D1D01" w:rsidP="00071616">
      <w:pPr>
        <w:pStyle w:val="Paragrsimple"/>
      </w:pPr>
      <w:r w:rsidRPr="00911998">
        <w:t>Au moment o</w:t>
      </w:r>
      <w:r w:rsidRPr="00911998">
        <w:rPr>
          <w:rFonts w:cs="Arial"/>
        </w:rPr>
        <w:t>ù</w:t>
      </w:r>
      <w:r w:rsidRPr="00911998">
        <w:t xml:space="preserve"> il reçoit la déclaration de naissance complétée par les Demandeurs, le Directeur de l’état civil est informé que monsieur </w:t>
      </w:r>
      <w:proofErr w:type="gramStart"/>
      <w:r w:rsidR="000032F7">
        <w:t>D...</w:t>
      </w:r>
      <w:proofErr w:type="gramEnd"/>
      <w:r w:rsidRPr="00911998">
        <w:t xml:space="preserve"> est le père reconnu </w:t>
      </w:r>
      <w:r w:rsidR="002A2DBC">
        <w:t>de X</w:t>
      </w:r>
      <w:r w:rsidRPr="00911998">
        <w:t xml:space="preserve"> et qu’il réclame la reconnaissance d’un lien de filiation avec son fils. Cette information lui permet de croire que la naissance </w:t>
      </w:r>
      <w:r w:rsidR="002A2DBC">
        <w:t>de X</w:t>
      </w:r>
      <w:r w:rsidRPr="00911998">
        <w:t xml:space="preserve"> n’a pas été déclarée correctement. En effet, l’on n’y retrouve aucune mention de monsieur </w:t>
      </w:r>
      <w:proofErr w:type="gramStart"/>
      <w:r w:rsidR="000032F7">
        <w:t>D...</w:t>
      </w:r>
      <w:proofErr w:type="gramEnd"/>
      <w:r w:rsidRPr="00911998">
        <w:t xml:space="preserve">, bien que son statut de père </w:t>
      </w:r>
      <w:r w:rsidRPr="00911998">
        <w:lastRenderedPageBreak/>
        <w:t>soit reconnu et réclamé. Ceci donne manifestement ouverture au pouvoir d’enquête sommaire du Directeur aux termes d</w:t>
      </w:r>
      <w:r w:rsidR="00E4227F">
        <w:t>u premier</w:t>
      </w:r>
      <w:r w:rsidRPr="00911998">
        <w:t xml:space="preserve"> alinéa de l’article 130 C.c.Q.</w:t>
      </w:r>
      <w:r w:rsidRPr="00911998">
        <w:rPr>
          <w:rStyle w:val="Appelnotedebasdep"/>
        </w:rPr>
        <w:footnoteReference w:id="291"/>
      </w:r>
    </w:p>
    <w:p w14:paraId="51B15966" w14:textId="627EFB57" w:rsidR="009B32A8" w:rsidRPr="00911998" w:rsidRDefault="00F21152" w:rsidP="00071616">
      <w:pPr>
        <w:pStyle w:val="Paragrsimple"/>
      </w:pPr>
      <w:r w:rsidRPr="00911998">
        <w:t>Dans les circonstances, le Directeur de l’état civil n’</w:t>
      </w:r>
      <w:r w:rsidR="003B1155" w:rsidRPr="00911998">
        <w:t>était</w:t>
      </w:r>
      <w:r w:rsidRPr="00911998">
        <w:t xml:space="preserve"> pas tenu de suivre </w:t>
      </w:r>
      <w:r w:rsidR="00B07D72" w:rsidRPr="00911998">
        <w:t>aveuglément</w:t>
      </w:r>
      <w:r w:rsidRPr="00911998">
        <w:t xml:space="preserve"> la déclaration de naissance. Il p</w:t>
      </w:r>
      <w:r w:rsidR="003B1155" w:rsidRPr="00911998">
        <w:t>o</w:t>
      </w:r>
      <w:r w:rsidRPr="00911998">
        <w:t>u</w:t>
      </w:r>
      <w:r w:rsidR="003B1155" w:rsidRPr="00911998">
        <w:t>vai</w:t>
      </w:r>
      <w:r w:rsidRPr="00911998">
        <w:t>t dresser l’acte de naissance sur la foi de</w:t>
      </w:r>
      <w:r w:rsidR="007A200D" w:rsidRPr="00911998">
        <w:t>s</w:t>
      </w:r>
      <w:r w:rsidRPr="00911998">
        <w:t xml:space="preserve"> information</w:t>
      </w:r>
      <w:r w:rsidR="007A200D" w:rsidRPr="00911998">
        <w:t>s</w:t>
      </w:r>
      <w:r w:rsidRPr="00911998">
        <w:t xml:space="preserve"> </w:t>
      </w:r>
      <w:r w:rsidR="00B07D72" w:rsidRPr="00911998">
        <w:t>obtenue</w:t>
      </w:r>
      <w:r w:rsidR="007A200D" w:rsidRPr="00911998">
        <w:t>s</w:t>
      </w:r>
      <w:r w:rsidRPr="00911998">
        <w:t xml:space="preserve"> dans le cadre de son enquête sommaire.</w:t>
      </w:r>
    </w:p>
    <w:p w14:paraId="22137DE2" w14:textId="70C5CD08" w:rsidR="008E1F16" w:rsidRPr="00911998" w:rsidRDefault="004A13E7" w:rsidP="00D52151">
      <w:pPr>
        <w:pStyle w:val="Paragrsimple"/>
      </w:pPr>
      <w:r w:rsidRPr="00911998">
        <w:t>Or, c</w:t>
      </w:r>
      <w:r w:rsidR="003B1155" w:rsidRPr="00911998">
        <w:t xml:space="preserve">ette enquête sommaire révèle que les dispositions du C.c.Q. concernant la filiation par procréation assistée </w:t>
      </w:r>
      <w:r w:rsidR="00B07D72" w:rsidRPr="00911998">
        <w:t>—</w:t>
      </w:r>
      <w:r w:rsidR="003B1155" w:rsidRPr="00911998">
        <w:t xml:space="preserve"> lesquelles permettraient de</w:t>
      </w:r>
      <w:r w:rsidR="00F456D9" w:rsidRPr="00911998">
        <w:t xml:space="preserve"> reconnaître</w:t>
      </w:r>
      <w:r w:rsidR="003B1155" w:rsidRPr="00911998">
        <w:t xml:space="preserve"> </w:t>
      </w:r>
      <w:r w:rsidR="00C40772" w:rsidRPr="00911998">
        <w:t xml:space="preserve">chacune de mesdames </w:t>
      </w:r>
      <w:proofErr w:type="gramStart"/>
      <w:r w:rsidR="000032F7">
        <w:t>P...</w:t>
      </w:r>
      <w:proofErr w:type="gramEnd"/>
      <w:r w:rsidR="00C40772" w:rsidRPr="00911998">
        <w:t xml:space="preserve"> et </w:t>
      </w:r>
      <w:r w:rsidR="00153EC1">
        <w:t>M...</w:t>
      </w:r>
      <w:r w:rsidR="003B1155" w:rsidRPr="00911998">
        <w:t xml:space="preserve"> </w:t>
      </w:r>
      <w:r w:rsidR="00F456D9" w:rsidRPr="00911998">
        <w:t>comme</w:t>
      </w:r>
      <w:r w:rsidR="00C40772" w:rsidRPr="00911998">
        <w:t xml:space="preserve"> </w:t>
      </w:r>
      <w:r w:rsidR="003B1155" w:rsidRPr="00911998">
        <w:t>mères</w:t>
      </w:r>
      <w:r w:rsidR="00C40772" w:rsidRPr="00911998">
        <w:t xml:space="preserve"> dans l’acte de naissance </w:t>
      </w:r>
      <w:r w:rsidR="00B07D72" w:rsidRPr="00911998">
        <w:t>—</w:t>
      </w:r>
      <w:r w:rsidR="00C40772" w:rsidRPr="00911998">
        <w:t xml:space="preserve"> ne s’appliquent pas. </w:t>
      </w:r>
      <w:r w:rsidRPr="00911998">
        <w:t>En effet</w:t>
      </w:r>
      <w:r w:rsidR="00C40772" w:rsidRPr="00911998">
        <w:t>, en cas de procréation assistée, le donneur de forces génétiques</w:t>
      </w:r>
      <w:r w:rsidR="00AF0E1C" w:rsidRPr="00911998">
        <w:t>, en l’</w:t>
      </w:r>
      <w:r w:rsidR="00287EC7" w:rsidRPr="00911998">
        <w:t>occurrence</w:t>
      </w:r>
      <w:r w:rsidR="00AF0E1C" w:rsidRPr="00911998">
        <w:t xml:space="preserve"> monsieur </w:t>
      </w:r>
      <w:proofErr w:type="gramStart"/>
      <w:r w:rsidR="000032F7">
        <w:t>D...</w:t>
      </w:r>
      <w:proofErr w:type="gramEnd"/>
      <w:r w:rsidR="00AF0E1C" w:rsidRPr="00911998">
        <w:t xml:space="preserve">, </w:t>
      </w:r>
      <w:r w:rsidR="00C40772" w:rsidRPr="00911998">
        <w:t xml:space="preserve">ne peut être </w:t>
      </w:r>
      <w:r w:rsidR="003E1C08" w:rsidRPr="00911998">
        <w:t xml:space="preserve">une </w:t>
      </w:r>
      <w:r w:rsidR="00C40772" w:rsidRPr="00911998">
        <w:t>partie au projet parental</w:t>
      </w:r>
      <w:r w:rsidR="007F39C0" w:rsidRPr="00911998">
        <w:rPr>
          <w:rStyle w:val="Appelnotedebasdep"/>
        </w:rPr>
        <w:footnoteReference w:id="292"/>
      </w:r>
      <w:r w:rsidR="00C40772" w:rsidRPr="00911998">
        <w:t>.</w:t>
      </w:r>
      <w:r w:rsidR="00CF486C" w:rsidRPr="00911998">
        <w:t xml:space="preserve"> </w:t>
      </w:r>
      <w:r w:rsidRPr="00911998">
        <w:t>Pourtant</w:t>
      </w:r>
      <w:r w:rsidR="00CF486C" w:rsidRPr="00911998">
        <w:t xml:space="preserve">, les Demandeurs avaient formellement informé le Directeur de l’état civil que monsieur </w:t>
      </w:r>
      <w:proofErr w:type="gramStart"/>
      <w:r w:rsidR="000032F7">
        <w:t>D...</w:t>
      </w:r>
      <w:proofErr w:type="gramEnd"/>
      <w:r w:rsidR="00CF486C" w:rsidRPr="00911998">
        <w:t xml:space="preserve"> faisait partie du projet parental et n’avait pas renoncé à </w:t>
      </w:r>
      <w:r w:rsidR="0003300D" w:rsidRPr="00911998">
        <w:t>son lien de</w:t>
      </w:r>
      <w:r w:rsidR="00CF486C" w:rsidRPr="00911998">
        <w:t xml:space="preserve"> filiation</w:t>
      </w:r>
      <w:r w:rsidR="00AF0E1C" w:rsidRPr="00911998">
        <w:t xml:space="preserve"> avec </w:t>
      </w:r>
      <w:r w:rsidR="00153EC1">
        <w:t>X</w:t>
      </w:r>
      <w:r w:rsidR="00CF486C" w:rsidRPr="00911998">
        <w:t>.</w:t>
      </w:r>
    </w:p>
    <w:p w14:paraId="02CFB75B" w14:textId="11B1BD14" w:rsidR="003750BA" w:rsidRPr="00911998" w:rsidRDefault="0003300D" w:rsidP="00727BDB">
      <w:pPr>
        <w:pStyle w:val="Paragrsimple"/>
      </w:pPr>
      <w:r w:rsidRPr="00911998">
        <w:t xml:space="preserve">Dans les circonstances, la décision du Directeur de l’état civil de ne pas dresser un acte de naissance identifiant mesdames </w:t>
      </w:r>
      <w:proofErr w:type="gramStart"/>
      <w:r w:rsidR="00153EC1">
        <w:t>M...</w:t>
      </w:r>
      <w:proofErr w:type="gramEnd"/>
      <w:r w:rsidRPr="00911998">
        <w:t xml:space="preserve"> et </w:t>
      </w:r>
      <w:r w:rsidR="000032F7">
        <w:t>P...</w:t>
      </w:r>
      <w:r w:rsidRPr="00911998">
        <w:t xml:space="preserve"> </w:t>
      </w:r>
      <w:r w:rsidR="004A13E7" w:rsidRPr="00911998">
        <w:t>comme</w:t>
      </w:r>
      <w:r w:rsidRPr="00911998">
        <w:t xml:space="preserve"> mères est </w:t>
      </w:r>
      <w:r w:rsidR="003750BA" w:rsidRPr="00911998">
        <w:t>transparente, intelligible et justifiée</w:t>
      </w:r>
      <w:r w:rsidRPr="00911998">
        <w:t xml:space="preserve">. Elle </w:t>
      </w:r>
      <w:r w:rsidR="003750BA" w:rsidRPr="00911998">
        <w:t>fait partie des issues possibles</w:t>
      </w:r>
      <w:r w:rsidRPr="00911998">
        <w:t xml:space="preserve"> </w:t>
      </w:r>
      <w:r w:rsidR="00F456D9" w:rsidRPr="00911998">
        <w:t>au regard des</w:t>
      </w:r>
      <w:r w:rsidRPr="00911998">
        <w:t xml:space="preserve"> contraintes factuelles et juridiques applicables</w:t>
      </w:r>
      <w:r w:rsidR="003750BA" w:rsidRPr="00911998">
        <w:t>.</w:t>
      </w:r>
    </w:p>
    <w:p w14:paraId="11AAD14A" w14:textId="4B11E613" w:rsidR="00A05156" w:rsidRPr="00911998" w:rsidRDefault="000C00AB" w:rsidP="00A05156">
      <w:pPr>
        <w:pStyle w:val="Paragrsimple"/>
      </w:pPr>
      <w:r w:rsidRPr="00911998">
        <w:t>Finalement, et d</w:t>
      </w:r>
      <w:r w:rsidR="00A05156" w:rsidRPr="00911998">
        <w:t xml:space="preserve">e </w:t>
      </w:r>
      <w:r w:rsidR="004639F9" w:rsidRPr="00911998">
        <w:t>manière</w:t>
      </w:r>
      <w:r w:rsidRPr="00911998">
        <w:t xml:space="preserve"> subsidiaire à leur moyen fondé sur le caractère déraisonnable de la décision du Directeur</w:t>
      </w:r>
      <w:r w:rsidR="003E1C08" w:rsidRPr="00911998">
        <w:t xml:space="preserve"> de l’état civil</w:t>
      </w:r>
      <w:r w:rsidRPr="00911998">
        <w:t xml:space="preserve">, les Demandeurs dans le Dossier </w:t>
      </w:r>
      <w:proofErr w:type="gramStart"/>
      <w:r w:rsidR="00153EC1">
        <w:t>M...</w:t>
      </w:r>
      <w:proofErr w:type="gramEnd"/>
      <w:r w:rsidRPr="00911998">
        <w:noBreakHyphen/>
      </w:r>
      <w:r w:rsidR="000032F7">
        <w:t>P...</w:t>
      </w:r>
      <w:r w:rsidRPr="00911998">
        <w:noBreakHyphen/>
      </w:r>
      <w:r w:rsidR="000032F7">
        <w:t>D...</w:t>
      </w:r>
      <w:r w:rsidRPr="00911998">
        <w:t xml:space="preserve"> recherche</w:t>
      </w:r>
      <w:r w:rsidR="004A13E7" w:rsidRPr="00911998">
        <w:t>nt</w:t>
      </w:r>
      <w:r w:rsidRPr="00911998">
        <w:t xml:space="preserve"> une ordonnance reconnaissant le lien de filiation entre monsieur </w:t>
      </w:r>
      <w:r w:rsidR="000032F7">
        <w:t>D...</w:t>
      </w:r>
      <w:r w:rsidRPr="00911998">
        <w:t xml:space="preserve"> et </w:t>
      </w:r>
      <w:r w:rsidR="00153EC1">
        <w:t>X</w:t>
      </w:r>
      <w:r w:rsidRPr="00911998">
        <w:t xml:space="preserve">. Le </w:t>
      </w:r>
      <w:r w:rsidR="008A3571" w:rsidRPr="00911998">
        <w:t>PGQ</w:t>
      </w:r>
      <w:r w:rsidRPr="00911998">
        <w:t xml:space="preserve"> convient </w:t>
      </w:r>
      <w:r w:rsidR="004A13E7" w:rsidRPr="00911998">
        <w:t>que conformément aux</w:t>
      </w:r>
      <w:r w:rsidRPr="00911998">
        <w:t xml:space="preserve"> dispositions du C.c.Q. régissant la filiation par le sang, la parenté de monsieur </w:t>
      </w:r>
      <w:proofErr w:type="gramStart"/>
      <w:r w:rsidR="000032F7">
        <w:t>D...</w:t>
      </w:r>
      <w:proofErr w:type="gramEnd"/>
      <w:r w:rsidRPr="00911998">
        <w:t xml:space="preserve"> doit être reconnue.</w:t>
      </w:r>
    </w:p>
    <w:p w14:paraId="041D81DE" w14:textId="04131E24" w:rsidR="000C00AB" w:rsidRPr="00911998" w:rsidRDefault="00241D41" w:rsidP="004639F9">
      <w:pPr>
        <w:pStyle w:val="Paragrsimple"/>
      </w:pPr>
      <w:r w:rsidRPr="00911998">
        <w:t xml:space="preserve">Peu importe la </w:t>
      </w:r>
      <w:r w:rsidR="004A13E7" w:rsidRPr="00911998">
        <w:t>solution</w:t>
      </w:r>
      <w:r w:rsidRPr="00911998">
        <w:t xml:space="preserve"> que le législateur apportera pour corriger l’inconstitutionnalité de la limite de deux liens de filiation, il </w:t>
      </w:r>
      <w:r w:rsidR="004A13E7" w:rsidRPr="00911998">
        <w:t>n’</w:t>
      </w:r>
      <w:r w:rsidRPr="00911998">
        <w:t xml:space="preserve">est </w:t>
      </w:r>
      <w:r w:rsidR="004A13E7" w:rsidRPr="00911998">
        <w:t xml:space="preserve">pas contesté </w:t>
      </w:r>
      <w:r w:rsidRPr="00911998">
        <w:t xml:space="preserve">que le lien de filiation entre monsieur </w:t>
      </w:r>
      <w:proofErr w:type="gramStart"/>
      <w:r w:rsidR="000032F7">
        <w:t>D...</w:t>
      </w:r>
      <w:proofErr w:type="gramEnd"/>
      <w:r w:rsidRPr="00911998">
        <w:t xml:space="preserve"> et </w:t>
      </w:r>
      <w:r w:rsidR="00153EC1">
        <w:t>X</w:t>
      </w:r>
      <w:r w:rsidRPr="00911998">
        <w:t xml:space="preserve"> existe et doit être reconnu. Le Tribunal prononcera donc une ordonnance </w:t>
      </w:r>
      <w:r w:rsidR="004A13E7" w:rsidRPr="00911998">
        <w:t>selon laquelle</w:t>
      </w:r>
      <w:r w:rsidRPr="00911998">
        <w:t xml:space="preserve"> monsieur </w:t>
      </w:r>
      <w:proofErr w:type="gramStart"/>
      <w:r w:rsidR="000032F7">
        <w:t>D...</w:t>
      </w:r>
      <w:proofErr w:type="gramEnd"/>
      <w:r w:rsidRPr="00911998">
        <w:t xml:space="preserve"> </w:t>
      </w:r>
      <w:r w:rsidR="003E1C08" w:rsidRPr="00911998">
        <w:t xml:space="preserve">devra être </w:t>
      </w:r>
      <w:r w:rsidRPr="00911998">
        <w:t xml:space="preserve">inscrit </w:t>
      </w:r>
      <w:r w:rsidR="004A13E7" w:rsidRPr="00911998">
        <w:t xml:space="preserve">comme père </w:t>
      </w:r>
      <w:r w:rsidR="002A2DBC">
        <w:t>de X</w:t>
      </w:r>
      <w:r w:rsidR="00DC2004" w:rsidRPr="00911998">
        <w:t xml:space="preserve"> </w:t>
      </w:r>
      <w:r w:rsidRPr="00911998">
        <w:t>dans l</w:t>
      </w:r>
      <w:r w:rsidR="00DC2004" w:rsidRPr="00911998">
        <w:t>e registre de l’état civil</w:t>
      </w:r>
      <w:r w:rsidRPr="00911998">
        <w:t>.</w:t>
      </w:r>
    </w:p>
    <w:p w14:paraId="741A4731" w14:textId="22BF46EB" w:rsidR="004A037E" w:rsidRPr="00911998" w:rsidRDefault="004A037E" w:rsidP="004A037E">
      <w:pPr>
        <w:pStyle w:val="Titre2"/>
        <w:rPr>
          <w:b w:val="0"/>
          <w:bCs/>
        </w:rPr>
      </w:pPr>
      <w:bookmarkStart w:id="94" w:name="_Toc196463744"/>
      <w:r w:rsidRPr="00911998">
        <w:lastRenderedPageBreak/>
        <w:t>Les frais de justice</w:t>
      </w:r>
      <w:bookmarkEnd w:id="94"/>
    </w:p>
    <w:p w14:paraId="542CCBF9" w14:textId="2B8C405D" w:rsidR="004A037E" w:rsidRPr="00911998" w:rsidRDefault="00C05F62" w:rsidP="009E702F">
      <w:pPr>
        <w:pStyle w:val="Paragrdouble"/>
        <w:spacing w:line="240" w:lineRule="auto"/>
      </w:pPr>
      <w:r w:rsidRPr="00911998">
        <w:t>Habituellement, en matière familiale</w:t>
      </w:r>
      <w:r w:rsidR="006E1F51" w:rsidRPr="00911998">
        <w:t>,</w:t>
      </w:r>
      <w:r w:rsidRPr="00911998">
        <w:t xml:space="preserve"> les frais de justice sont à la charge de chacune des parties. Toutefois, la présente affaire constitue surtout une cause relevant du droit constitutionnel, domaine dans lequel les frais de justice sont généralement attribués. </w:t>
      </w:r>
      <w:r w:rsidR="0085205E" w:rsidRPr="00911998">
        <w:t>Ainsi, c</w:t>
      </w:r>
      <w:r w:rsidR="004B39B7" w:rsidRPr="00911998">
        <w:t>onformément à l’article 340 </w:t>
      </w:r>
      <w:proofErr w:type="spellStart"/>
      <w:r w:rsidR="004B39B7" w:rsidRPr="00911998">
        <w:t>C.p.c</w:t>
      </w:r>
      <w:proofErr w:type="spellEnd"/>
      <w:r w:rsidR="004B39B7" w:rsidRPr="00911998">
        <w:t>, ayant</w:t>
      </w:r>
      <w:r w:rsidR="0075603A" w:rsidRPr="00911998">
        <w:t xml:space="preserve"> obtenu gain de cause, </w:t>
      </w:r>
      <w:r w:rsidR="004B39B7" w:rsidRPr="00911998">
        <w:t>les Demandeurs</w:t>
      </w:r>
      <w:r w:rsidR="0075603A" w:rsidRPr="00911998">
        <w:t xml:space="preserve"> ont droit aux frais de justice. Aux termes de l’article 33</w:t>
      </w:r>
      <w:r w:rsidR="009D0957" w:rsidRPr="00911998">
        <w:t>9</w:t>
      </w:r>
      <w:r w:rsidR="0075603A" w:rsidRPr="00911998">
        <w:t xml:space="preserve"> </w:t>
      </w:r>
      <w:proofErr w:type="spellStart"/>
      <w:r w:rsidR="00DD0C0F" w:rsidRPr="00911998">
        <w:t>C.p.c</w:t>
      </w:r>
      <w:proofErr w:type="spellEnd"/>
      <w:r w:rsidR="00DD0C0F" w:rsidRPr="00911998">
        <w:t>.</w:t>
      </w:r>
      <w:r w:rsidR="0075603A" w:rsidRPr="00911998">
        <w:t>, ceux</w:t>
      </w:r>
      <w:r w:rsidR="0075603A" w:rsidRPr="00911998">
        <w:noBreakHyphen/>
        <w:t>ci comprennent les frais d’expertise.</w:t>
      </w:r>
      <w:r w:rsidR="009D0957" w:rsidRPr="00911998">
        <w:t xml:space="preserve"> </w:t>
      </w:r>
    </w:p>
    <w:p w14:paraId="3A279E79" w14:textId="70773001" w:rsidR="008474CA" w:rsidRPr="00911998" w:rsidRDefault="008474CA" w:rsidP="008474CA">
      <w:pPr>
        <w:pStyle w:val="Paragrdouble"/>
        <w:numPr>
          <w:ilvl w:val="0"/>
          <w:numId w:val="0"/>
        </w:numPr>
        <w:ind w:left="360"/>
        <w:jc w:val="center"/>
      </w:pPr>
      <w:r w:rsidRPr="00911998">
        <w:t>* * * *</w:t>
      </w:r>
    </w:p>
    <w:p w14:paraId="1E69FCCE" w14:textId="470262BC" w:rsidR="00C764D2" w:rsidRPr="00911998" w:rsidRDefault="008474CA" w:rsidP="0096145A">
      <w:pPr>
        <w:pStyle w:val="Titre2"/>
        <w:numPr>
          <w:ilvl w:val="0"/>
          <w:numId w:val="0"/>
        </w:numPr>
        <w:spacing w:after="240"/>
        <w:ind w:left="709" w:hanging="709"/>
      </w:pPr>
      <w:bookmarkStart w:id="95" w:name="_Toc196463745"/>
      <w:r w:rsidRPr="00911998">
        <w:t>D</w:t>
      </w:r>
      <w:r w:rsidR="00DA515C" w:rsidRPr="00911998">
        <w:t>ISPOSITIF</w:t>
      </w:r>
      <w:bookmarkEnd w:id="95"/>
    </w:p>
    <w:p w14:paraId="1AD23B93" w14:textId="77777777" w:rsidR="00CF51ED" w:rsidRPr="00911998" w:rsidRDefault="00C764D2" w:rsidP="00C764D2">
      <w:pPr>
        <w:rPr>
          <w:b/>
        </w:rPr>
      </w:pPr>
      <w:r w:rsidRPr="00911998">
        <w:rPr>
          <w:b/>
        </w:rPr>
        <w:t>POUR CES MOTIFS, LE TRIBUNAL :</w:t>
      </w:r>
    </w:p>
    <w:p w14:paraId="33AD6D49" w14:textId="2837382B" w:rsidR="001E736C" w:rsidRPr="00911998" w:rsidRDefault="001E736C" w:rsidP="00B26C2C">
      <w:pPr>
        <w:pStyle w:val="Paragrsimple"/>
      </w:pPr>
      <w:r w:rsidRPr="00911998">
        <w:rPr>
          <w:b/>
          <w:bCs/>
        </w:rPr>
        <w:t>ACCUEILLE</w:t>
      </w:r>
      <w:r w:rsidRPr="00911998">
        <w:t xml:space="preserve"> en partie la </w:t>
      </w:r>
      <w:r w:rsidRPr="00911998">
        <w:rPr>
          <w:i/>
          <w:iCs/>
        </w:rPr>
        <w:t xml:space="preserve">Demande en jugement déclaratoire et pourvoi en contrôle judiciaire </w:t>
      </w:r>
      <w:proofErr w:type="spellStart"/>
      <w:r w:rsidRPr="00911998">
        <w:rPr>
          <w:i/>
          <w:iCs/>
        </w:rPr>
        <w:t>re-modifiée</w:t>
      </w:r>
      <w:proofErr w:type="spellEnd"/>
      <w:r w:rsidRPr="00911998">
        <w:t xml:space="preserve"> dans le dossier</w:t>
      </w:r>
      <w:r w:rsidR="003427E5" w:rsidRPr="00911998">
        <w:t> </w:t>
      </w:r>
      <w:r w:rsidRPr="00911998">
        <w:rPr>
          <w:lang w:val="fr-FR"/>
        </w:rPr>
        <w:t>500-17-119125-212</w:t>
      </w:r>
      <w:r w:rsidR="003427E5" w:rsidRPr="00911998">
        <w:rPr>
          <w:lang w:val="fr-FR"/>
        </w:rPr>
        <w:t> </w:t>
      </w:r>
      <w:r w:rsidRPr="00911998">
        <w:rPr>
          <w:lang w:val="fr-FR"/>
        </w:rPr>
        <w:t>;</w:t>
      </w:r>
    </w:p>
    <w:p w14:paraId="0E443D5D" w14:textId="690CFEE8" w:rsidR="00CF51ED" w:rsidRPr="00911998" w:rsidRDefault="001E736C" w:rsidP="00B26C2C">
      <w:pPr>
        <w:pStyle w:val="Paragrsimple"/>
        <w:rPr>
          <w:lang w:val="fr-FR"/>
        </w:rPr>
      </w:pPr>
      <w:r w:rsidRPr="00911998">
        <w:rPr>
          <w:b/>
          <w:bCs/>
        </w:rPr>
        <w:t>ACCUEILLE</w:t>
      </w:r>
      <w:r w:rsidRPr="00911998">
        <w:t xml:space="preserve"> en partie la </w:t>
      </w:r>
      <w:r w:rsidRPr="00911998">
        <w:rPr>
          <w:i/>
          <w:iCs/>
        </w:rPr>
        <w:t>Demande introductive d’instance en jugement déclaratoire re</w:t>
      </w:r>
      <w:r w:rsidR="00E4227F">
        <w:rPr>
          <w:i/>
          <w:iCs/>
        </w:rPr>
        <w:t>-re</w:t>
      </w:r>
      <w:r w:rsidRPr="00911998">
        <w:rPr>
          <w:i/>
          <w:iCs/>
        </w:rPr>
        <w:t>-modifiée</w:t>
      </w:r>
      <w:r w:rsidRPr="00911998">
        <w:t xml:space="preserve"> dans le dossier</w:t>
      </w:r>
      <w:r w:rsidR="003427E5" w:rsidRPr="00911998">
        <w:t> </w:t>
      </w:r>
      <w:r w:rsidRPr="00911998">
        <w:rPr>
          <w:lang w:val="fr-FR"/>
        </w:rPr>
        <w:t>500-04-079533-239</w:t>
      </w:r>
      <w:r w:rsidR="003427E5" w:rsidRPr="00911998">
        <w:rPr>
          <w:lang w:val="fr-FR"/>
        </w:rPr>
        <w:t> </w:t>
      </w:r>
      <w:r w:rsidRPr="00911998">
        <w:rPr>
          <w:lang w:val="fr-FR"/>
        </w:rPr>
        <w:t>;</w:t>
      </w:r>
    </w:p>
    <w:p w14:paraId="6F870760" w14:textId="2539ACE4" w:rsidR="0096145A" w:rsidRPr="00911998" w:rsidRDefault="001E736C" w:rsidP="006201E9">
      <w:pPr>
        <w:pStyle w:val="Paragrdouble"/>
        <w:spacing w:line="240" w:lineRule="auto"/>
        <w:rPr>
          <w:lang w:val="fr-FR"/>
        </w:rPr>
      </w:pPr>
      <w:r w:rsidRPr="00911998">
        <w:rPr>
          <w:b/>
          <w:bCs/>
        </w:rPr>
        <w:t xml:space="preserve">DÉCLARE </w:t>
      </w:r>
      <w:r w:rsidRPr="00911998">
        <w:t xml:space="preserve">que parce que le régime de la filiation </w:t>
      </w:r>
      <w:r w:rsidR="00696142" w:rsidRPr="00911998">
        <w:t xml:space="preserve">du </w:t>
      </w:r>
      <w:r w:rsidR="00696142" w:rsidRPr="00911998">
        <w:rPr>
          <w:i/>
          <w:iCs/>
        </w:rPr>
        <w:t>Code civil du Québec</w:t>
      </w:r>
      <w:r w:rsidRPr="00911998">
        <w:t xml:space="preserve"> ne permet pas l’établissement de </w:t>
      </w:r>
      <w:r w:rsidR="0096145A" w:rsidRPr="00911998">
        <w:t>la filiation à l’égard de plus de deux parents</w:t>
      </w:r>
      <w:r w:rsidR="00696142" w:rsidRPr="00911998">
        <w:t>,</w:t>
      </w:r>
      <w:r w:rsidR="0096145A" w:rsidRPr="00911998">
        <w:t xml:space="preserve"> il porte atteinte au droit à l’égalité garanti par le paragraphe 15(1) de la </w:t>
      </w:r>
      <w:r w:rsidR="0096145A" w:rsidRPr="00911998">
        <w:rPr>
          <w:i/>
          <w:iCs/>
        </w:rPr>
        <w:t>Charte canadienne des droits et libertés</w:t>
      </w:r>
      <w:r w:rsidR="003427E5" w:rsidRPr="00911998">
        <w:rPr>
          <w:i/>
          <w:iCs/>
        </w:rPr>
        <w:t> </w:t>
      </w:r>
      <w:r w:rsidR="0096145A" w:rsidRPr="00911998">
        <w:t>;</w:t>
      </w:r>
    </w:p>
    <w:p w14:paraId="4F4C2EEE" w14:textId="30AA7581" w:rsidR="001E736C" w:rsidRPr="00911998" w:rsidRDefault="0096145A" w:rsidP="006201E9">
      <w:pPr>
        <w:pStyle w:val="Paragrdouble"/>
        <w:spacing w:line="240" w:lineRule="auto"/>
        <w:rPr>
          <w:lang w:val="fr-FR"/>
        </w:rPr>
      </w:pPr>
      <w:r w:rsidRPr="00911998">
        <w:rPr>
          <w:b/>
          <w:bCs/>
          <w:lang w:val="fr-FR"/>
        </w:rPr>
        <w:t xml:space="preserve">DÉCLARE </w:t>
      </w:r>
      <w:r w:rsidRPr="00911998">
        <w:rPr>
          <w:lang w:val="fr-FR"/>
        </w:rPr>
        <w:t xml:space="preserve">que cette atteinte au </w:t>
      </w:r>
      <w:r w:rsidRPr="00911998">
        <w:t xml:space="preserve">droit à l’égalité ne peut se justifier aux termes de l’article premier de la </w:t>
      </w:r>
      <w:r w:rsidRPr="00911998">
        <w:rPr>
          <w:i/>
          <w:iCs/>
        </w:rPr>
        <w:t>Charte canadienne des droits et libertés</w:t>
      </w:r>
      <w:r w:rsidR="003427E5" w:rsidRPr="00911998">
        <w:rPr>
          <w:i/>
          <w:iCs/>
        </w:rPr>
        <w:t> </w:t>
      </w:r>
      <w:r w:rsidRPr="00911998">
        <w:t>;</w:t>
      </w:r>
    </w:p>
    <w:p w14:paraId="72FF3AED" w14:textId="7E84A0BA" w:rsidR="006201E9" w:rsidRPr="00911998" w:rsidRDefault="006201E9" w:rsidP="006201E9">
      <w:pPr>
        <w:pStyle w:val="Paragrdouble"/>
        <w:spacing w:line="240" w:lineRule="auto"/>
        <w:rPr>
          <w:lang w:val="fr-FR"/>
        </w:rPr>
      </w:pPr>
      <w:r w:rsidRPr="00911998">
        <w:rPr>
          <w:b/>
          <w:bCs/>
          <w:lang w:val="fr-FR"/>
        </w:rPr>
        <w:t>DÉCLARE</w:t>
      </w:r>
      <w:r w:rsidRPr="00911998">
        <w:rPr>
          <w:lang w:val="fr-FR"/>
        </w:rPr>
        <w:t xml:space="preserve"> que </w:t>
      </w:r>
      <w:r w:rsidR="003B5FF1" w:rsidRPr="00911998">
        <w:t>les articles </w:t>
      </w:r>
      <w:r w:rsidR="003B5FF1" w:rsidRPr="00911998">
        <w:rPr>
          <w:rFonts w:ascii="ArialMT" w:hAnsi="ArialMT" w:cs="ArialMT"/>
          <w:szCs w:val="24"/>
          <w:lang w:eastAsia="fr-CA"/>
        </w:rPr>
        <w:t>523 à 524, 538 à 538.2, 539 à 539.1, 541.1 à 541.4, 541.6 à 541.9, 541.11, 541.14, 541.16 à 541.22, 541.25 à 541.29, 541.32 à 541.37, 542.19 à 542.21, 542.23, 542.31, 551 à 553 et 578.1 </w:t>
      </w:r>
      <w:r w:rsidRPr="00911998">
        <w:rPr>
          <w:rFonts w:ascii="ArialMT" w:hAnsi="ArialMT" w:cs="ArialMT"/>
          <w:szCs w:val="24"/>
          <w:lang w:eastAsia="fr-CA"/>
        </w:rPr>
        <w:t xml:space="preserve">du </w:t>
      </w:r>
      <w:r w:rsidRPr="00911998">
        <w:rPr>
          <w:rFonts w:ascii="ArialMT" w:hAnsi="ArialMT" w:cs="ArialMT"/>
          <w:i/>
          <w:iCs/>
          <w:szCs w:val="24"/>
          <w:lang w:eastAsia="fr-CA"/>
        </w:rPr>
        <w:t xml:space="preserve">Code civil du Québec </w:t>
      </w:r>
      <w:r w:rsidRPr="00911998">
        <w:rPr>
          <w:rFonts w:ascii="ArialMT" w:hAnsi="ArialMT" w:cs="ArialMT"/>
          <w:szCs w:val="24"/>
          <w:lang w:eastAsia="fr-CA"/>
        </w:rPr>
        <w:t>sont</w:t>
      </w:r>
      <w:r w:rsidR="00696142" w:rsidRPr="00911998">
        <w:rPr>
          <w:rFonts w:ascii="ArialMT" w:hAnsi="ArialMT" w:cs="ArialMT"/>
          <w:szCs w:val="24"/>
          <w:lang w:eastAsia="fr-CA"/>
        </w:rPr>
        <w:t xml:space="preserve"> invalides et</w:t>
      </w:r>
      <w:r w:rsidRPr="00911998">
        <w:rPr>
          <w:rFonts w:ascii="ArialMT" w:hAnsi="ArialMT" w:cs="ArialMT"/>
          <w:szCs w:val="24"/>
          <w:lang w:eastAsia="fr-CA"/>
        </w:rPr>
        <w:t xml:space="preserve"> inopérants aux termes de l’article 52 de la </w:t>
      </w:r>
      <w:r w:rsidRPr="00911998">
        <w:rPr>
          <w:rFonts w:ascii="ArialMT" w:hAnsi="ArialMT" w:cs="ArialMT"/>
          <w:i/>
          <w:iCs/>
          <w:szCs w:val="24"/>
          <w:lang w:eastAsia="fr-CA"/>
        </w:rPr>
        <w:t>Loi constitutionnelle de 1982</w:t>
      </w:r>
      <w:r w:rsidR="003427E5" w:rsidRPr="00911998">
        <w:rPr>
          <w:rFonts w:ascii="ArialMT" w:hAnsi="ArialMT" w:cs="ArialMT"/>
          <w:i/>
          <w:iCs/>
          <w:szCs w:val="24"/>
          <w:lang w:eastAsia="fr-CA"/>
        </w:rPr>
        <w:t> </w:t>
      </w:r>
      <w:r w:rsidRPr="00911998">
        <w:rPr>
          <w:rFonts w:ascii="ArialMT" w:hAnsi="ArialMT" w:cs="ArialMT"/>
          <w:szCs w:val="24"/>
          <w:lang w:eastAsia="fr-CA"/>
        </w:rPr>
        <w:t>;</w:t>
      </w:r>
    </w:p>
    <w:p w14:paraId="2E30CE59" w14:textId="238DA8BB" w:rsidR="006201E9" w:rsidRPr="00911998" w:rsidRDefault="006201E9" w:rsidP="006201E9">
      <w:pPr>
        <w:pStyle w:val="Paragrdouble"/>
        <w:spacing w:line="240" w:lineRule="auto"/>
        <w:rPr>
          <w:lang w:val="fr-FR"/>
        </w:rPr>
      </w:pPr>
      <w:r w:rsidRPr="00911998">
        <w:rPr>
          <w:b/>
          <w:bCs/>
          <w:lang w:val="fr-FR"/>
        </w:rPr>
        <w:t xml:space="preserve">SUSPEND </w:t>
      </w:r>
      <w:r w:rsidRPr="00911998">
        <w:rPr>
          <w:lang w:val="fr-FR"/>
        </w:rPr>
        <w:t>la déclaration d’invalidité pour une période de douze (12) mois</w:t>
      </w:r>
      <w:r w:rsidR="003427E5" w:rsidRPr="00911998">
        <w:rPr>
          <w:lang w:val="fr-FR"/>
        </w:rPr>
        <w:t> </w:t>
      </w:r>
      <w:r w:rsidRPr="00911998">
        <w:rPr>
          <w:lang w:val="fr-FR"/>
        </w:rPr>
        <w:t>;</w:t>
      </w:r>
    </w:p>
    <w:p w14:paraId="5EE89950" w14:textId="3982ECC8" w:rsidR="006201E9" w:rsidRPr="00911998" w:rsidRDefault="006201E9" w:rsidP="006201E9">
      <w:pPr>
        <w:pStyle w:val="Paragrdouble"/>
        <w:spacing w:line="240" w:lineRule="auto"/>
        <w:rPr>
          <w:lang w:val="fr-FR"/>
        </w:rPr>
      </w:pPr>
      <w:r w:rsidRPr="00911998">
        <w:rPr>
          <w:rFonts w:ascii="ArialMT" w:hAnsi="ArialMT" w:cs="ArialMT"/>
          <w:b/>
          <w:bCs/>
          <w:szCs w:val="24"/>
          <w:lang w:eastAsia="fr-CA"/>
        </w:rPr>
        <w:t>ORDONNE</w:t>
      </w:r>
      <w:r w:rsidRPr="00911998">
        <w:rPr>
          <w:rFonts w:ascii="ArialMT" w:hAnsi="ArialMT" w:cs="ArialMT"/>
          <w:szCs w:val="24"/>
          <w:lang w:eastAsia="fr-CA"/>
        </w:rPr>
        <w:t xml:space="preserve"> au Directeur de l’état civil d’inscrire monsieur </w:t>
      </w:r>
      <w:r w:rsidR="00153EC1">
        <w:rPr>
          <w:rFonts w:ascii="ArialMT" w:hAnsi="ArialMT" w:cs="ArialMT"/>
          <w:szCs w:val="24"/>
          <w:lang w:eastAsia="fr-CA"/>
        </w:rPr>
        <w:t xml:space="preserve">N... </w:t>
      </w:r>
      <w:proofErr w:type="gramStart"/>
      <w:r w:rsidR="00153EC1">
        <w:rPr>
          <w:rFonts w:ascii="ArialMT" w:hAnsi="ArialMT" w:cs="ArialMT"/>
          <w:szCs w:val="24"/>
          <w:lang w:eastAsia="fr-CA"/>
        </w:rPr>
        <w:t>D...</w:t>
      </w:r>
      <w:proofErr w:type="gramEnd"/>
      <w:r w:rsidRPr="00911998">
        <w:rPr>
          <w:rFonts w:ascii="ArialMT" w:hAnsi="ArialMT" w:cs="ArialMT"/>
          <w:szCs w:val="24"/>
          <w:lang w:eastAsia="fr-CA"/>
        </w:rPr>
        <w:t xml:space="preserve"> comme père de l’enfant </w:t>
      </w:r>
      <w:r w:rsidR="00153EC1">
        <w:rPr>
          <w:rFonts w:ascii="ArialMT" w:hAnsi="ArialMT" w:cs="ArialMT"/>
          <w:szCs w:val="24"/>
          <w:lang w:eastAsia="fr-CA"/>
        </w:rPr>
        <w:t>X</w:t>
      </w:r>
      <w:r w:rsidR="00DC2004" w:rsidRPr="00911998">
        <w:rPr>
          <w:rFonts w:ascii="ArialMT" w:hAnsi="ArialMT" w:cs="ArialMT"/>
          <w:szCs w:val="24"/>
          <w:lang w:eastAsia="fr-CA"/>
        </w:rPr>
        <w:t xml:space="preserve">, né le </w:t>
      </w:r>
      <w:r w:rsidR="002A2DBC">
        <w:rPr>
          <w:rFonts w:ascii="ArialMT" w:hAnsi="ArialMT" w:cs="ArialMT"/>
          <w:szCs w:val="24"/>
          <w:lang w:eastAsia="fr-CA"/>
        </w:rPr>
        <w:t>[...]</w:t>
      </w:r>
      <w:r w:rsidR="005D1328" w:rsidRPr="00911998">
        <w:rPr>
          <w:rFonts w:ascii="ArialMT" w:hAnsi="ArialMT" w:cs="ArialMT"/>
          <w:szCs w:val="24"/>
          <w:lang w:eastAsia="fr-CA"/>
        </w:rPr>
        <w:t xml:space="preserve"> 2022</w:t>
      </w:r>
      <w:r w:rsidR="00DC2004" w:rsidRPr="00911998">
        <w:rPr>
          <w:rFonts w:ascii="ArialMT" w:hAnsi="ArialMT" w:cs="ArialMT"/>
          <w:szCs w:val="24"/>
          <w:lang w:eastAsia="fr-CA"/>
        </w:rPr>
        <w:t xml:space="preserve"> à </w:t>
      </w:r>
      <w:r w:rsidR="002A2DBC">
        <w:rPr>
          <w:rFonts w:ascii="ArialMT" w:hAnsi="ArialMT" w:cs="ArialMT"/>
          <w:szCs w:val="24"/>
          <w:lang w:eastAsia="fr-CA"/>
        </w:rPr>
        <w:t>Ville A</w:t>
      </w:r>
      <w:r w:rsidR="003427E5" w:rsidRPr="00911998">
        <w:rPr>
          <w:rFonts w:ascii="ArialMT" w:hAnsi="ArialMT" w:cs="ArialMT"/>
          <w:szCs w:val="24"/>
          <w:lang w:eastAsia="fr-CA"/>
        </w:rPr>
        <w:t> </w:t>
      </w:r>
      <w:r w:rsidRPr="00911998">
        <w:rPr>
          <w:rFonts w:ascii="ArialMT" w:hAnsi="ArialMT" w:cs="ArialMT"/>
          <w:szCs w:val="24"/>
          <w:lang w:eastAsia="fr-CA"/>
        </w:rPr>
        <w:t>;</w:t>
      </w:r>
    </w:p>
    <w:p w14:paraId="2F95205A" w14:textId="37413A85" w:rsidR="00691EB3" w:rsidRPr="00911998" w:rsidRDefault="00606C92" w:rsidP="006201E9">
      <w:pPr>
        <w:pStyle w:val="Paragrdouble"/>
        <w:spacing w:line="240" w:lineRule="auto"/>
        <w:rPr>
          <w:lang w:val="fr-FR"/>
        </w:rPr>
      </w:pPr>
      <w:r w:rsidRPr="00911998">
        <w:rPr>
          <w:rFonts w:ascii="ArialMT" w:hAnsi="ArialMT" w:cs="ArialMT"/>
          <w:b/>
          <w:bCs/>
          <w:szCs w:val="24"/>
          <w:lang w:eastAsia="fr-CA"/>
        </w:rPr>
        <w:t>AVEC</w:t>
      </w:r>
      <w:r w:rsidR="00691EB3" w:rsidRPr="00911998">
        <w:rPr>
          <w:rFonts w:ascii="ArialMT" w:hAnsi="ArialMT" w:cs="ArialMT"/>
          <w:szCs w:val="24"/>
          <w:lang w:eastAsia="fr-CA"/>
        </w:rPr>
        <w:t xml:space="preserve"> frais de justice, y compris les frais d’expertise, en faveur des demandeurs</w:t>
      </w:r>
      <w:r w:rsidR="00B06112" w:rsidRPr="00911998">
        <w:rPr>
          <w:rFonts w:ascii="ArialMT" w:hAnsi="ArialMT" w:cs="ArialMT"/>
          <w:szCs w:val="24"/>
          <w:lang w:eastAsia="fr-CA"/>
        </w:rPr>
        <w:t>.</w:t>
      </w:r>
    </w:p>
    <w:tbl>
      <w:tblPr>
        <w:tblW w:w="9505" w:type="dxa"/>
        <w:tblLayout w:type="fixed"/>
        <w:tblCellMar>
          <w:left w:w="70" w:type="dxa"/>
          <w:right w:w="70" w:type="dxa"/>
        </w:tblCellMar>
        <w:tblLook w:val="0000" w:firstRow="0" w:lastRow="0" w:firstColumn="0" w:lastColumn="0" w:noHBand="0" w:noVBand="0"/>
      </w:tblPr>
      <w:tblGrid>
        <w:gridCol w:w="2197"/>
        <w:gridCol w:w="2670"/>
        <w:gridCol w:w="4638"/>
      </w:tblGrid>
      <w:tr w:rsidR="00B06112" w:rsidRPr="00911998" w14:paraId="7FA7171A" w14:textId="77777777" w:rsidTr="00BA153A">
        <w:trPr>
          <w:trHeight w:val="576"/>
        </w:trPr>
        <w:tc>
          <w:tcPr>
            <w:tcW w:w="9505" w:type="dxa"/>
            <w:gridSpan w:val="3"/>
          </w:tcPr>
          <w:p w14:paraId="6AF2CCC8" w14:textId="77777777" w:rsidR="00121A72" w:rsidRPr="00911998" w:rsidRDefault="00121A72" w:rsidP="00D26929">
            <w:pPr>
              <w:keepNext/>
              <w:keepLines/>
            </w:pPr>
          </w:p>
        </w:tc>
      </w:tr>
      <w:tr w:rsidR="00B06112" w:rsidRPr="00911998" w14:paraId="4DCCD371" w14:textId="77777777" w:rsidTr="00BA153A">
        <w:tblPrEx>
          <w:tblCellMar>
            <w:left w:w="0" w:type="dxa"/>
            <w:right w:w="0" w:type="dxa"/>
          </w:tblCellMar>
        </w:tblPrEx>
        <w:trPr>
          <w:cantSplit/>
        </w:trPr>
        <w:tc>
          <w:tcPr>
            <w:tcW w:w="4867" w:type="dxa"/>
            <w:gridSpan w:val="2"/>
          </w:tcPr>
          <w:p w14:paraId="482E49CA" w14:textId="77777777" w:rsidR="00121A72" w:rsidRPr="00911998" w:rsidRDefault="00121A72" w:rsidP="00D26929"/>
        </w:tc>
        <w:tc>
          <w:tcPr>
            <w:tcW w:w="4638" w:type="dxa"/>
          </w:tcPr>
          <w:p w14:paraId="32D1A246" w14:textId="77777777" w:rsidR="00051291" w:rsidRPr="00911998" w:rsidRDefault="00051291" w:rsidP="00C764D2">
            <w:pPr>
              <w:pStyle w:val="zSoquijdatSignature3Juge"/>
              <w:pBdr>
                <w:bottom w:val="single" w:sz="12" w:space="1" w:color="auto"/>
              </w:pBdr>
            </w:pPr>
          </w:p>
          <w:p w14:paraId="2F4B33BE" w14:textId="0FE1F30A" w:rsidR="00121A72" w:rsidRPr="00911998" w:rsidRDefault="00D92135" w:rsidP="00C764D2">
            <w:pPr>
              <w:pStyle w:val="zSoquijdatSignature3Juge"/>
              <w:rPr>
                <w:b/>
                <w:bCs/>
                <w:caps/>
              </w:rPr>
            </w:pPr>
            <w:r w:rsidRPr="00911998">
              <w:rPr>
                <w:b/>
                <w:bCs/>
                <w:caps/>
              </w:rPr>
              <w:fldChar w:fldCharType="begin"/>
            </w:r>
            <w:r w:rsidRPr="00911998">
              <w:rPr>
                <w:b/>
                <w:bCs/>
                <w:caps/>
              </w:rPr>
              <w:instrText xml:space="preserve"> NomJuge1 </w:instrText>
            </w:r>
            <w:r w:rsidRPr="00911998">
              <w:rPr>
                <w:b/>
                <w:bCs/>
                <w:caps/>
              </w:rPr>
              <w:fldChar w:fldCharType="separate"/>
            </w:r>
            <w:r w:rsidR="00923C50" w:rsidRPr="00911998">
              <w:rPr>
                <w:b/>
                <w:bCs/>
                <w:caps/>
                <w:lang w:val="fr-FR"/>
              </w:rPr>
              <w:t xml:space="preserve">ANDRES </w:t>
            </w:r>
            <w:r w:rsidR="00B90ABD" w:rsidRPr="00911998">
              <w:rPr>
                <w:b/>
                <w:bCs/>
                <w:caps/>
                <w:lang w:val="fr-FR"/>
              </w:rPr>
              <w:t xml:space="preserve">C. </w:t>
            </w:r>
            <w:r w:rsidR="00923C50" w:rsidRPr="00911998">
              <w:rPr>
                <w:b/>
                <w:bCs/>
                <w:caps/>
                <w:lang w:val="fr-FR"/>
              </w:rPr>
              <w:t>GARIN</w:t>
            </w:r>
            <w:r w:rsidRPr="00911998">
              <w:rPr>
                <w:b/>
                <w:bCs/>
                <w:caps/>
              </w:rPr>
              <w:fldChar w:fldCharType="end"/>
            </w:r>
            <w:r w:rsidR="00F4770B" w:rsidRPr="00911998">
              <w:rPr>
                <w:b/>
                <w:bCs/>
                <w:caps/>
              </w:rPr>
              <w:t xml:space="preserve">, </w:t>
            </w:r>
            <w:r w:rsidR="00CE5A4C" w:rsidRPr="00911998">
              <w:rPr>
                <w:b/>
                <w:bCs/>
                <w:caps/>
              </w:rPr>
              <w:t>j.c.s.</w:t>
            </w:r>
          </w:p>
          <w:p w14:paraId="730CD178" w14:textId="77777777" w:rsidR="004D1C2F" w:rsidRPr="00911998" w:rsidRDefault="004D1C2F" w:rsidP="003954B3">
            <w:pPr>
              <w:pStyle w:val="zSoquijdatSignature3Juge"/>
            </w:pPr>
          </w:p>
        </w:tc>
      </w:tr>
      <w:tr w:rsidR="00B06112" w:rsidRPr="00911998" w14:paraId="1B6BCDF3" w14:textId="77777777" w:rsidTr="00BA153A">
        <w:tc>
          <w:tcPr>
            <w:tcW w:w="9505" w:type="dxa"/>
            <w:gridSpan w:val="3"/>
          </w:tcPr>
          <w:p w14:paraId="45D870CA" w14:textId="77777777" w:rsidR="00121A72" w:rsidRPr="00911998" w:rsidRDefault="00121A72" w:rsidP="00D26929"/>
        </w:tc>
      </w:tr>
      <w:tr w:rsidR="00B06112" w:rsidRPr="00C62C88" w14:paraId="5B514D7C" w14:textId="77777777" w:rsidTr="00BA153A">
        <w:trPr>
          <w:cantSplit/>
        </w:trPr>
        <w:tc>
          <w:tcPr>
            <w:tcW w:w="9505" w:type="dxa"/>
            <w:gridSpan w:val="3"/>
          </w:tcPr>
          <w:p w14:paraId="11C8B195" w14:textId="0488EC67" w:rsidR="00121A72" w:rsidRPr="00911998" w:rsidRDefault="00205646" w:rsidP="00D26929">
            <w:pPr>
              <w:pStyle w:val="zSoquijdatNomProcureurDem"/>
              <w:rPr>
                <w:lang w:val="en-CA"/>
              </w:rPr>
            </w:pPr>
            <w:r w:rsidRPr="00911998">
              <w:rPr>
                <w:lang w:val="en-CA"/>
              </w:rPr>
              <w:t xml:space="preserve">Me Bernard </w:t>
            </w:r>
            <w:proofErr w:type="spellStart"/>
            <w:r w:rsidRPr="00911998">
              <w:rPr>
                <w:lang w:val="en-CA"/>
              </w:rPr>
              <w:t>Amyot</w:t>
            </w:r>
            <w:proofErr w:type="spellEnd"/>
            <w:r w:rsidRPr="00911998">
              <w:rPr>
                <w:lang w:val="en-CA"/>
              </w:rPr>
              <w:t>, Ad. E.</w:t>
            </w:r>
          </w:p>
        </w:tc>
      </w:tr>
      <w:tr w:rsidR="00B06112" w:rsidRPr="00911998" w14:paraId="4EAA1DF6" w14:textId="77777777" w:rsidTr="00BA153A">
        <w:trPr>
          <w:cantSplit/>
        </w:trPr>
        <w:tc>
          <w:tcPr>
            <w:tcW w:w="9505" w:type="dxa"/>
            <w:gridSpan w:val="3"/>
          </w:tcPr>
          <w:p w14:paraId="59167C44" w14:textId="763AFE1B" w:rsidR="00121A72" w:rsidRPr="00911998" w:rsidRDefault="00205646" w:rsidP="00D26929">
            <w:pPr>
              <w:pStyle w:val="zSoquijdatCabinetProcureurDem"/>
            </w:pPr>
            <w:r w:rsidRPr="00911998">
              <w:t>Me Christophe Savoie</w:t>
            </w:r>
          </w:p>
        </w:tc>
      </w:tr>
      <w:tr w:rsidR="00B06112" w:rsidRPr="00911998" w14:paraId="424DBDB6" w14:textId="77777777" w:rsidTr="00BA153A">
        <w:trPr>
          <w:cantSplit/>
        </w:trPr>
        <w:tc>
          <w:tcPr>
            <w:tcW w:w="9505" w:type="dxa"/>
            <w:gridSpan w:val="3"/>
          </w:tcPr>
          <w:p w14:paraId="58013B53" w14:textId="38305498" w:rsidR="00205646" w:rsidRPr="00911998" w:rsidRDefault="00205646" w:rsidP="00D26929">
            <w:pPr>
              <w:pStyle w:val="zSoquijdatCabinetProcureurDem"/>
            </w:pPr>
            <w:r w:rsidRPr="00911998">
              <w:rPr>
                <w:rFonts w:cs="Arial"/>
                <w:b/>
                <w:bCs/>
                <w:smallCaps/>
                <w:shd w:val="clear" w:color="auto" w:fill="FFFFFF"/>
              </w:rPr>
              <w:t xml:space="preserve">LCM Avocats </w:t>
            </w:r>
            <w:proofErr w:type="spellStart"/>
            <w:r w:rsidR="00EE13F8" w:rsidRPr="00911998">
              <w:rPr>
                <w:rFonts w:cs="Arial"/>
                <w:b/>
                <w:bCs/>
                <w:smallCaps/>
                <w:shd w:val="clear" w:color="auto" w:fill="FFFFFF"/>
              </w:rPr>
              <w:t>i</w:t>
            </w:r>
            <w:r w:rsidRPr="00911998">
              <w:rPr>
                <w:rFonts w:cs="Arial"/>
                <w:b/>
                <w:bCs/>
                <w:smallCaps/>
                <w:shd w:val="clear" w:color="auto" w:fill="FFFFFF"/>
              </w:rPr>
              <w:t>nc</w:t>
            </w:r>
            <w:r w:rsidRPr="00911998">
              <w:rPr>
                <w:rFonts w:ascii="Montserrat" w:hAnsi="Montserrat"/>
                <w:shd w:val="clear" w:color="auto" w:fill="FFFFFF"/>
              </w:rPr>
              <w:t>.</w:t>
            </w:r>
            <w:proofErr w:type="spellEnd"/>
          </w:p>
        </w:tc>
      </w:tr>
      <w:tr w:rsidR="00B06112" w:rsidRPr="00911998" w14:paraId="59F4D22F" w14:textId="77777777" w:rsidTr="00BA153A">
        <w:trPr>
          <w:cantSplit/>
        </w:trPr>
        <w:tc>
          <w:tcPr>
            <w:tcW w:w="9505" w:type="dxa"/>
            <w:gridSpan w:val="3"/>
          </w:tcPr>
          <w:p w14:paraId="6F4C375D" w14:textId="37AC20CB" w:rsidR="00121A72" w:rsidRPr="00911998" w:rsidRDefault="00205646" w:rsidP="00D26929">
            <w:pPr>
              <w:pStyle w:val="zSoquijlblProcureurDem"/>
            </w:pPr>
            <w:r w:rsidRPr="00911998">
              <w:t>Me Marc-André Landry</w:t>
            </w:r>
          </w:p>
        </w:tc>
      </w:tr>
      <w:tr w:rsidR="00B06112" w:rsidRPr="00C62C88" w14:paraId="7755ECB5" w14:textId="77777777" w:rsidTr="00BA153A">
        <w:trPr>
          <w:cantSplit/>
        </w:trPr>
        <w:tc>
          <w:tcPr>
            <w:tcW w:w="9505" w:type="dxa"/>
            <w:gridSpan w:val="3"/>
          </w:tcPr>
          <w:p w14:paraId="20304864" w14:textId="44AF5EEE" w:rsidR="00121A72" w:rsidRPr="00911998" w:rsidRDefault="00205646" w:rsidP="00D26929">
            <w:pPr>
              <w:rPr>
                <w:rFonts w:cs="Arial"/>
                <w:b/>
                <w:bCs/>
                <w:smallCaps/>
                <w:lang w:val="en-CA"/>
              </w:rPr>
            </w:pPr>
            <w:proofErr w:type="spellStart"/>
            <w:r w:rsidRPr="00911998">
              <w:rPr>
                <w:rFonts w:cs="Arial"/>
                <w:b/>
                <w:bCs/>
                <w:smallCaps/>
                <w:shd w:val="clear" w:color="auto" w:fill="FFFFFF"/>
                <w:lang w:val="en-CA"/>
              </w:rPr>
              <w:t>Lavery</w:t>
            </w:r>
            <w:proofErr w:type="spellEnd"/>
            <w:r w:rsidRPr="00911998">
              <w:rPr>
                <w:rFonts w:cs="Arial"/>
                <w:b/>
                <w:bCs/>
                <w:smallCaps/>
                <w:shd w:val="clear" w:color="auto" w:fill="FFFFFF"/>
                <w:lang w:val="en-CA"/>
              </w:rPr>
              <w:t xml:space="preserve">, De Billy </w:t>
            </w:r>
            <w:proofErr w:type="spellStart"/>
            <w:r w:rsidRPr="00911998">
              <w:rPr>
                <w:rFonts w:cs="Arial"/>
                <w:b/>
                <w:bCs/>
                <w:smallCaps/>
                <w:shd w:val="clear" w:color="auto" w:fill="FFFFFF"/>
                <w:lang w:val="en-CA"/>
              </w:rPr>
              <w:t>s.e.n.c.r.l</w:t>
            </w:r>
            <w:proofErr w:type="spellEnd"/>
            <w:r w:rsidR="00EE13F8" w:rsidRPr="00911998">
              <w:rPr>
                <w:rFonts w:cs="Arial"/>
                <w:b/>
                <w:bCs/>
                <w:smallCaps/>
                <w:shd w:val="clear" w:color="auto" w:fill="FFFFFF"/>
                <w:lang w:val="en-CA"/>
              </w:rPr>
              <w:t>.</w:t>
            </w:r>
          </w:p>
        </w:tc>
      </w:tr>
      <w:tr w:rsidR="00B06112" w:rsidRPr="00911998" w14:paraId="0BE2B97C" w14:textId="77777777" w:rsidTr="00BA153A">
        <w:trPr>
          <w:cantSplit/>
        </w:trPr>
        <w:tc>
          <w:tcPr>
            <w:tcW w:w="9505" w:type="dxa"/>
            <w:gridSpan w:val="3"/>
          </w:tcPr>
          <w:p w14:paraId="6205999B" w14:textId="1228EDA3" w:rsidR="00205646" w:rsidRPr="00911998" w:rsidRDefault="00FB410B" w:rsidP="00D26929">
            <w:pPr>
              <w:rPr>
                <w:rFonts w:cs="Arial"/>
                <w:shd w:val="clear" w:color="auto" w:fill="FFFFFF"/>
              </w:rPr>
            </w:pPr>
            <w:r w:rsidRPr="00911998">
              <w:rPr>
                <w:rFonts w:cs="Arial"/>
                <w:shd w:val="clear" w:color="auto" w:fill="FFFFFF"/>
              </w:rPr>
              <w:t>Co</w:t>
            </w:r>
            <w:r w:rsidRPr="00911998">
              <w:rPr>
                <w:rFonts w:cs="Arial"/>
                <w:shd w:val="clear" w:color="auto" w:fill="FFFFFF"/>
              </w:rPr>
              <w:noBreakHyphen/>
              <w:t>p</w:t>
            </w:r>
            <w:r w:rsidR="00513ACA" w:rsidRPr="00911998">
              <w:rPr>
                <w:rFonts w:cs="Arial"/>
                <w:shd w:val="clear" w:color="auto" w:fill="FFFFFF"/>
              </w:rPr>
              <w:t>rocureurs</w:t>
            </w:r>
            <w:r w:rsidR="00205646" w:rsidRPr="00911998">
              <w:rPr>
                <w:rFonts w:cs="Arial"/>
                <w:shd w:val="clear" w:color="auto" w:fill="FFFFFF"/>
              </w:rPr>
              <w:t xml:space="preserve"> des demandeurs</w:t>
            </w:r>
            <w:r w:rsidR="00EE13F8" w:rsidRPr="00911998">
              <w:rPr>
                <w:rFonts w:cs="Arial"/>
                <w:shd w:val="clear" w:color="auto" w:fill="FFFFFF"/>
              </w:rPr>
              <w:t xml:space="preserve"> (n</w:t>
            </w:r>
            <w:r w:rsidR="00EE13F8" w:rsidRPr="00911998">
              <w:rPr>
                <w:rFonts w:cs="Arial"/>
                <w:shd w:val="clear" w:color="auto" w:fill="FFFFFF"/>
                <w:vertAlign w:val="superscript"/>
              </w:rPr>
              <w:t>o</w:t>
            </w:r>
            <w:r w:rsidR="00EE13F8" w:rsidRPr="00911998">
              <w:rPr>
                <w:rFonts w:cs="Arial"/>
                <w:shd w:val="clear" w:color="auto" w:fill="FFFFFF"/>
              </w:rPr>
              <w:t> </w:t>
            </w:r>
            <w:r w:rsidR="00EE13F8" w:rsidRPr="00911998">
              <w:t>500-17-119125-212)</w:t>
            </w:r>
            <w:r w:rsidR="00205646" w:rsidRPr="00911998">
              <w:rPr>
                <w:rFonts w:cs="Arial"/>
                <w:shd w:val="clear" w:color="auto" w:fill="FFFFFF"/>
              </w:rPr>
              <w:t xml:space="preserve"> </w:t>
            </w:r>
          </w:p>
        </w:tc>
      </w:tr>
      <w:tr w:rsidR="00B06112" w:rsidRPr="00911998" w14:paraId="2BF685A9" w14:textId="77777777" w:rsidTr="00BA153A">
        <w:trPr>
          <w:cantSplit/>
        </w:trPr>
        <w:tc>
          <w:tcPr>
            <w:tcW w:w="9505" w:type="dxa"/>
            <w:gridSpan w:val="3"/>
          </w:tcPr>
          <w:p w14:paraId="72FB40EC" w14:textId="77777777" w:rsidR="00205646" w:rsidRPr="00911998" w:rsidRDefault="00205646" w:rsidP="00D26929">
            <w:pPr>
              <w:rPr>
                <w:rFonts w:ascii="Montserrat" w:hAnsi="Montserrat"/>
                <w:b/>
                <w:bCs/>
                <w:smallCaps/>
                <w:shd w:val="clear" w:color="auto" w:fill="FFFFFF"/>
              </w:rPr>
            </w:pPr>
          </w:p>
        </w:tc>
      </w:tr>
      <w:tr w:rsidR="00B06112" w:rsidRPr="00911998" w14:paraId="218FC96E" w14:textId="77777777" w:rsidTr="00BA153A">
        <w:trPr>
          <w:cantSplit/>
        </w:trPr>
        <w:tc>
          <w:tcPr>
            <w:tcW w:w="9505" w:type="dxa"/>
            <w:gridSpan w:val="3"/>
          </w:tcPr>
          <w:tbl>
            <w:tblPr>
              <w:tblW w:w="9505" w:type="dxa"/>
              <w:tblLayout w:type="fixed"/>
              <w:tblCellMar>
                <w:left w:w="70" w:type="dxa"/>
                <w:right w:w="70" w:type="dxa"/>
              </w:tblCellMar>
              <w:tblLook w:val="0000" w:firstRow="0" w:lastRow="0" w:firstColumn="0" w:lastColumn="0" w:noHBand="0" w:noVBand="0"/>
            </w:tblPr>
            <w:tblGrid>
              <w:gridCol w:w="9505"/>
            </w:tblGrid>
            <w:tr w:rsidR="00B06112" w:rsidRPr="00911998" w14:paraId="29ED85E3" w14:textId="77777777" w:rsidTr="00660D51">
              <w:trPr>
                <w:cantSplit/>
              </w:trPr>
              <w:tc>
                <w:tcPr>
                  <w:tcW w:w="9505" w:type="dxa"/>
                </w:tcPr>
                <w:p w14:paraId="077B8D6F" w14:textId="77777777" w:rsidR="004B3EC6" w:rsidRPr="00911998" w:rsidRDefault="004B3EC6" w:rsidP="004B3EC6">
                  <w:pPr>
                    <w:pStyle w:val="zSoquijlblProcureurDef"/>
                    <w:rPr>
                      <w:rFonts w:cs="Arial"/>
                      <w:shd w:val="clear" w:color="auto" w:fill="FFFFFF"/>
                    </w:rPr>
                  </w:pPr>
                  <w:r w:rsidRPr="00911998">
                    <w:rPr>
                      <w:rFonts w:cs="Arial"/>
                      <w:shd w:val="clear" w:color="auto" w:fill="FFFFFF"/>
                    </w:rPr>
                    <w:t>Me Sarah Woods</w:t>
                  </w:r>
                </w:p>
              </w:tc>
            </w:tr>
            <w:tr w:rsidR="00B06112" w:rsidRPr="00911998" w14:paraId="6CFECBD7" w14:textId="77777777" w:rsidTr="00660D51">
              <w:trPr>
                <w:cantSplit/>
              </w:trPr>
              <w:tc>
                <w:tcPr>
                  <w:tcW w:w="9505" w:type="dxa"/>
                </w:tcPr>
                <w:p w14:paraId="18360F89" w14:textId="77777777" w:rsidR="004B3EC6" w:rsidRPr="00911998" w:rsidRDefault="004B3EC6" w:rsidP="004B3EC6">
                  <w:pPr>
                    <w:pStyle w:val="zSoquijlblProcureurDef"/>
                    <w:rPr>
                      <w:rFonts w:cs="Arial"/>
                      <w:shd w:val="clear" w:color="auto" w:fill="FFFFFF"/>
                    </w:rPr>
                  </w:pPr>
                  <w:r w:rsidRPr="00911998">
                    <w:rPr>
                      <w:rFonts w:cs="Arial"/>
                      <w:shd w:val="clear" w:color="auto" w:fill="FFFFFF"/>
                    </w:rPr>
                    <w:t xml:space="preserve">Me Frédérique </w:t>
                  </w:r>
                  <w:proofErr w:type="spellStart"/>
                  <w:r w:rsidRPr="00911998">
                    <w:rPr>
                      <w:rFonts w:cs="Arial"/>
                      <w:shd w:val="clear" w:color="auto" w:fill="FFFFFF"/>
                    </w:rPr>
                    <w:t>Drainville</w:t>
                  </w:r>
                  <w:proofErr w:type="spellEnd"/>
                </w:p>
              </w:tc>
            </w:tr>
            <w:tr w:rsidR="00B06112" w:rsidRPr="00911998" w14:paraId="5316423A" w14:textId="77777777" w:rsidTr="00660D51">
              <w:trPr>
                <w:cantSplit/>
              </w:trPr>
              <w:tc>
                <w:tcPr>
                  <w:tcW w:w="9505" w:type="dxa"/>
                </w:tcPr>
                <w:p w14:paraId="05DEE57B" w14:textId="77777777" w:rsidR="004B3EC6" w:rsidRPr="00911998" w:rsidRDefault="004B3EC6" w:rsidP="004B3EC6">
                  <w:pPr>
                    <w:pStyle w:val="zSoquijlblProcureurDef"/>
                    <w:rPr>
                      <w:rFonts w:cs="Arial"/>
                      <w:shd w:val="clear" w:color="auto" w:fill="FFFFFF"/>
                    </w:rPr>
                  </w:pPr>
                  <w:r w:rsidRPr="00911998">
                    <w:rPr>
                      <w:rFonts w:cs="Arial"/>
                      <w:shd w:val="clear" w:color="auto" w:fill="FFFFFF"/>
                    </w:rPr>
                    <w:t xml:space="preserve">Me Adrianne Desmarais </w:t>
                  </w:r>
                  <w:proofErr w:type="spellStart"/>
                  <w:r w:rsidRPr="00911998">
                    <w:rPr>
                      <w:rFonts w:cs="Arial"/>
                      <w:shd w:val="clear" w:color="auto" w:fill="FFFFFF"/>
                    </w:rPr>
                    <w:t>Fyfe</w:t>
                  </w:r>
                  <w:proofErr w:type="spellEnd"/>
                </w:p>
              </w:tc>
            </w:tr>
            <w:tr w:rsidR="00B06112" w:rsidRPr="00911998" w14:paraId="0C2EA1C7" w14:textId="77777777" w:rsidTr="00660D51">
              <w:trPr>
                <w:cantSplit/>
              </w:trPr>
              <w:tc>
                <w:tcPr>
                  <w:tcW w:w="9505" w:type="dxa"/>
                </w:tcPr>
                <w:p w14:paraId="17F77ACC" w14:textId="77777777" w:rsidR="004B3EC6" w:rsidRPr="00911998" w:rsidRDefault="004B3EC6" w:rsidP="004B3EC6">
                  <w:pPr>
                    <w:pStyle w:val="zSoquijlblProcureurDef"/>
                    <w:rPr>
                      <w:rFonts w:cs="Arial"/>
                      <w:shd w:val="clear" w:color="auto" w:fill="FFFFFF"/>
                    </w:rPr>
                  </w:pPr>
                  <w:r w:rsidRPr="00911998">
                    <w:rPr>
                      <w:rFonts w:cs="Arial"/>
                      <w:shd w:val="clear" w:color="auto" w:fill="FFFFFF"/>
                    </w:rPr>
                    <w:t>Me Simon Bouthillier</w:t>
                  </w:r>
                </w:p>
              </w:tc>
            </w:tr>
            <w:tr w:rsidR="00B06112" w:rsidRPr="00911998" w14:paraId="68A590C6" w14:textId="77777777" w:rsidTr="00660D51">
              <w:trPr>
                <w:cantSplit/>
              </w:trPr>
              <w:tc>
                <w:tcPr>
                  <w:tcW w:w="9505" w:type="dxa"/>
                </w:tcPr>
                <w:p w14:paraId="74011593" w14:textId="1FE567BB" w:rsidR="004B3EC6" w:rsidRPr="00911998" w:rsidRDefault="004B3EC6" w:rsidP="004B3EC6">
                  <w:pPr>
                    <w:pStyle w:val="zSoquijlblProcureurDef"/>
                    <w:rPr>
                      <w:rFonts w:cs="Arial"/>
                      <w:shd w:val="clear" w:color="auto" w:fill="FFFFFF"/>
                    </w:rPr>
                  </w:pPr>
                  <w:r w:rsidRPr="00911998">
                    <w:rPr>
                      <w:rFonts w:cs="Arial"/>
                      <w:shd w:val="clear" w:color="auto" w:fill="FFFFFF"/>
                    </w:rPr>
                    <w:t xml:space="preserve">Me </w:t>
                  </w:r>
                  <w:proofErr w:type="spellStart"/>
                  <w:r w:rsidRPr="00911998">
                    <w:rPr>
                      <w:rFonts w:cs="Arial"/>
                      <w:shd w:val="clear" w:color="auto" w:fill="FFFFFF"/>
                    </w:rPr>
                    <w:t>Sajeda</w:t>
                  </w:r>
                  <w:proofErr w:type="spellEnd"/>
                  <w:r w:rsidRPr="00911998">
                    <w:rPr>
                      <w:rFonts w:cs="Arial"/>
                      <w:shd w:val="clear" w:color="auto" w:fill="FFFFFF"/>
                    </w:rPr>
                    <w:t xml:space="preserve"> </w:t>
                  </w:r>
                  <w:proofErr w:type="spellStart"/>
                  <w:r w:rsidRPr="00911998">
                    <w:rPr>
                      <w:rFonts w:cs="Arial"/>
                      <w:shd w:val="clear" w:color="auto" w:fill="FFFFFF"/>
                    </w:rPr>
                    <w:t>H</w:t>
                  </w:r>
                  <w:r w:rsidR="000C775A" w:rsidRPr="00911998">
                    <w:rPr>
                      <w:rFonts w:cs="Arial"/>
                      <w:shd w:val="clear" w:color="auto" w:fill="FFFFFF"/>
                    </w:rPr>
                    <w:t>e</w:t>
                  </w:r>
                  <w:r w:rsidRPr="00911998">
                    <w:rPr>
                      <w:rFonts w:cs="Arial"/>
                      <w:shd w:val="clear" w:color="auto" w:fill="FFFFFF"/>
                    </w:rPr>
                    <w:t>daraly</w:t>
                  </w:r>
                  <w:proofErr w:type="spellEnd"/>
                </w:p>
              </w:tc>
            </w:tr>
            <w:tr w:rsidR="00B06112" w:rsidRPr="00911998" w14:paraId="2490B437" w14:textId="77777777" w:rsidTr="00660D51">
              <w:tc>
                <w:tcPr>
                  <w:tcW w:w="9505" w:type="dxa"/>
                </w:tcPr>
                <w:p w14:paraId="32AFFD2F" w14:textId="77777777" w:rsidR="004B3EC6" w:rsidRPr="00911998" w:rsidRDefault="004B3EC6" w:rsidP="004B3EC6">
                  <w:pPr>
                    <w:rPr>
                      <w:rFonts w:cs="Arial"/>
                      <w:b/>
                      <w:bCs/>
                      <w:smallCaps/>
                    </w:rPr>
                  </w:pPr>
                  <w:r w:rsidRPr="00911998">
                    <w:rPr>
                      <w:rFonts w:cs="Arial"/>
                      <w:b/>
                      <w:bCs/>
                      <w:smallCaps/>
                      <w:shd w:val="clear" w:color="auto" w:fill="FFFFFF"/>
                    </w:rPr>
                    <w:t xml:space="preserve">McCarthy Tétrault </w:t>
                  </w:r>
                  <w:proofErr w:type="spellStart"/>
                  <w:r w:rsidRPr="00911998">
                    <w:rPr>
                      <w:rFonts w:cs="Arial"/>
                      <w:b/>
                      <w:bCs/>
                      <w:smallCaps/>
                      <w:shd w:val="clear" w:color="auto" w:fill="FFFFFF"/>
                    </w:rPr>
                    <w:t>s.e.n.c.r.l</w:t>
                  </w:r>
                  <w:proofErr w:type="spellEnd"/>
                  <w:r w:rsidRPr="00911998">
                    <w:rPr>
                      <w:rFonts w:cs="Arial"/>
                      <w:b/>
                      <w:bCs/>
                      <w:smallCaps/>
                      <w:shd w:val="clear" w:color="auto" w:fill="FFFFFF"/>
                    </w:rPr>
                    <w:t xml:space="preserve">., </w:t>
                  </w:r>
                  <w:proofErr w:type="spellStart"/>
                  <w:r w:rsidRPr="00911998">
                    <w:rPr>
                      <w:rFonts w:cs="Arial"/>
                      <w:b/>
                      <w:bCs/>
                      <w:smallCaps/>
                      <w:shd w:val="clear" w:color="auto" w:fill="FFFFFF"/>
                    </w:rPr>
                    <w:t>s.r.l</w:t>
                  </w:r>
                  <w:proofErr w:type="spellEnd"/>
                  <w:r w:rsidRPr="00911998">
                    <w:rPr>
                      <w:rFonts w:cs="Arial"/>
                      <w:b/>
                      <w:bCs/>
                      <w:smallCaps/>
                      <w:shd w:val="clear" w:color="auto" w:fill="FFFFFF"/>
                    </w:rPr>
                    <w:t>.</w:t>
                  </w:r>
                </w:p>
              </w:tc>
            </w:tr>
          </w:tbl>
          <w:p w14:paraId="15456065" w14:textId="77777777" w:rsidR="004B3EC6" w:rsidRPr="00911998" w:rsidRDefault="004B3EC6" w:rsidP="00D26929">
            <w:pPr>
              <w:rPr>
                <w:rFonts w:ascii="Montserrat" w:hAnsi="Montserrat"/>
                <w:b/>
                <w:bCs/>
                <w:smallCaps/>
                <w:shd w:val="clear" w:color="auto" w:fill="FFFFFF"/>
              </w:rPr>
            </w:pPr>
          </w:p>
        </w:tc>
      </w:tr>
      <w:tr w:rsidR="00B06112" w:rsidRPr="00C62C88" w14:paraId="574D12B3" w14:textId="77777777" w:rsidTr="00BA153A">
        <w:trPr>
          <w:cantSplit/>
        </w:trPr>
        <w:tc>
          <w:tcPr>
            <w:tcW w:w="9505" w:type="dxa"/>
            <w:gridSpan w:val="3"/>
          </w:tcPr>
          <w:tbl>
            <w:tblPr>
              <w:tblW w:w="9505" w:type="dxa"/>
              <w:tblLayout w:type="fixed"/>
              <w:tblCellMar>
                <w:left w:w="70" w:type="dxa"/>
                <w:right w:w="70" w:type="dxa"/>
              </w:tblCellMar>
              <w:tblLook w:val="0000" w:firstRow="0" w:lastRow="0" w:firstColumn="0" w:lastColumn="0" w:noHBand="0" w:noVBand="0"/>
            </w:tblPr>
            <w:tblGrid>
              <w:gridCol w:w="9505"/>
            </w:tblGrid>
            <w:tr w:rsidR="00B06112" w:rsidRPr="00911998" w14:paraId="7CAE8DC9" w14:textId="77777777" w:rsidTr="00660D51">
              <w:trPr>
                <w:cantSplit/>
              </w:trPr>
              <w:tc>
                <w:tcPr>
                  <w:tcW w:w="9505" w:type="dxa"/>
                </w:tcPr>
                <w:p w14:paraId="1CEE4A8C" w14:textId="77777777" w:rsidR="00287EC7" w:rsidRPr="00911998" w:rsidRDefault="00287EC7" w:rsidP="00287EC7">
                  <w:pPr>
                    <w:pStyle w:val="zSoquijlblProcureurDef"/>
                    <w:rPr>
                      <w:rFonts w:cs="Arial"/>
                      <w:shd w:val="clear" w:color="auto" w:fill="FFFFFF"/>
                    </w:rPr>
                  </w:pPr>
                  <w:r w:rsidRPr="00911998">
                    <w:rPr>
                      <w:rFonts w:cs="Arial"/>
                      <w:shd w:val="clear" w:color="auto" w:fill="FFFFFF"/>
                    </w:rPr>
                    <w:t>Me Michel Bélanger-Roy</w:t>
                  </w:r>
                </w:p>
              </w:tc>
            </w:tr>
            <w:tr w:rsidR="00B06112" w:rsidRPr="00911998" w14:paraId="54434E1D" w14:textId="77777777" w:rsidTr="00660D51">
              <w:trPr>
                <w:cantSplit/>
              </w:trPr>
              <w:tc>
                <w:tcPr>
                  <w:tcW w:w="9505" w:type="dxa"/>
                </w:tcPr>
                <w:p w14:paraId="4F82494F" w14:textId="77777777" w:rsidR="00287EC7" w:rsidRPr="00911998" w:rsidRDefault="00287EC7" w:rsidP="00287EC7">
                  <w:pPr>
                    <w:pStyle w:val="zSoquijlblProcureurDef"/>
                    <w:rPr>
                      <w:rFonts w:cs="Arial"/>
                      <w:shd w:val="clear" w:color="auto" w:fill="FFFFFF"/>
                    </w:rPr>
                  </w:pPr>
                  <w:r w:rsidRPr="00911998">
                    <w:rPr>
                      <w:rFonts w:cs="Arial"/>
                      <w:shd w:val="clear" w:color="auto" w:fill="FFFFFF"/>
                    </w:rPr>
                    <w:t>Me Jérémy Boulanger-</w:t>
                  </w:r>
                  <w:proofErr w:type="spellStart"/>
                  <w:r w:rsidRPr="00911998">
                    <w:rPr>
                      <w:rFonts w:cs="Arial"/>
                      <w:shd w:val="clear" w:color="auto" w:fill="FFFFFF"/>
                    </w:rPr>
                    <w:t>Bonnelly</w:t>
                  </w:r>
                  <w:proofErr w:type="spellEnd"/>
                </w:p>
              </w:tc>
            </w:tr>
            <w:tr w:rsidR="00B06112" w:rsidRPr="00911998" w14:paraId="0B4E245E" w14:textId="77777777" w:rsidTr="00660D51">
              <w:trPr>
                <w:cantSplit/>
              </w:trPr>
              <w:tc>
                <w:tcPr>
                  <w:tcW w:w="9505" w:type="dxa"/>
                </w:tcPr>
                <w:p w14:paraId="35189663" w14:textId="77777777" w:rsidR="00287EC7" w:rsidRPr="00911998" w:rsidRDefault="00287EC7" w:rsidP="00287EC7">
                  <w:pPr>
                    <w:pStyle w:val="zSoquijlblProcureurDef"/>
                    <w:rPr>
                      <w:rFonts w:cs="Arial"/>
                      <w:shd w:val="clear" w:color="auto" w:fill="FFFFFF"/>
                    </w:rPr>
                  </w:pPr>
                  <w:r w:rsidRPr="00911998">
                    <w:rPr>
                      <w:rFonts w:cs="Arial"/>
                      <w:shd w:val="clear" w:color="auto" w:fill="FFFFFF"/>
                    </w:rPr>
                    <w:t xml:space="preserve">Me Briana </w:t>
                  </w:r>
                  <w:proofErr w:type="spellStart"/>
                  <w:r w:rsidRPr="00911998">
                    <w:rPr>
                      <w:rFonts w:cs="Arial"/>
                      <w:shd w:val="clear" w:color="auto" w:fill="FFFFFF"/>
                    </w:rPr>
                    <w:t>Fragapane</w:t>
                  </w:r>
                  <w:proofErr w:type="spellEnd"/>
                </w:p>
              </w:tc>
            </w:tr>
            <w:tr w:rsidR="00B06112" w:rsidRPr="00C62C88" w14:paraId="5A117B64" w14:textId="77777777" w:rsidTr="00660D51">
              <w:trPr>
                <w:cantSplit/>
              </w:trPr>
              <w:tc>
                <w:tcPr>
                  <w:tcW w:w="9505" w:type="dxa"/>
                </w:tcPr>
                <w:p w14:paraId="4FD5D9CD" w14:textId="77777777" w:rsidR="00287EC7" w:rsidRPr="00911998" w:rsidRDefault="00287EC7" w:rsidP="00287EC7">
                  <w:pPr>
                    <w:pStyle w:val="zSoquijlblProcureurDef"/>
                    <w:rPr>
                      <w:rFonts w:cs="Arial"/>
                      <w:smallCaps/>
                      <w:shd w:val="clear" w:color="auto" w:fill="FFFFFF"/>
                      <w:lang w:val="en-CA"/>
                    </w:rPr>
                  </w:pPr>
                  <w:r w:rsidRPr="00911998">
                    <w:rPr>
                      <w:rFonts w:cs="Arial"/>
                      <w:b/>
                      <w:bCs/>
                      <w:smallCaps/>
                      <w:shd w:val="clear" w:color="auto" w:fill="FFFFFF"/>
                      <w:lang w:val="en-CA"/>
                    </w:rPr>
                    <w:t xml:space="preserve">Norton Rose Fulbright Canada </w:t>
                  </w:r>
                  <w:proofErr w:type="spellStart"/>
                  <w:r w:rsidRPr="00911998">
                    <w:rPr>
                      <w:rFonts w:ascii="Arial Gras" w:hAnsi="Arial Gras" w:cs="Arial"/>
                      <w:b/>
                      <w:bCs/>
                      <w:smallCaps/>
                      <w:shd w:val="clear" w:color="auto" w:fill="FFFFFF"/>
                      <w:lang w:val="en-CA"/>
                    </w:rPr>
                    <w:t>s.e.n.c.r.l</w:t>
                  </w:r>
                  <w:proofErr w:type="spellEnd"/>
                  <w:r w:rsidRPr="00911998">
                    <w:rPr>
                      <w:rFonts w:ascii="Arial Gras" w:hAnsi="Arial Gras" w:cs="Arial"/>
                      <w:b/>
                      <w:bCs/>
                      <w:smallCaps/>
                      <w:shd w:val="clear" w:color="auto" w:fill="FFFFFF"/>
                      <w:lang w:val="en-CA"/>
                    </w:rPr>
                    <w:t xml:space="preserve">., </w:t>
                  </w:r>
                  <w:proofErr w:type="spellStart"/>
                  <w:r w:rsidRPr="00911998">
                    <w:rPr>
                      <w:rFonts w:ascii="Arial Gras" w:hAnsi="Arial Gras" w:cs="Arial"/>
                      <w:b/>
                      <w:bCs/>
                      <w:smallCaps/>
                      <w:shd w:val="clear" w:color="auto" w:fill="FFFFFF"/>
                      <w:lang w:val="en-CA"/>
                    </w:rPr>
                    <w:t>s.r.l</w:t>
                  </w:r>
                  <w:proofErr w:type="spellEnd"/>
                  <w:r w:rsidRPr="00911998">
                    <w:rPr>
                      <w:rFonts w:ascii="Arial Gras" w:hAnsi="Arial Gras" w:cs="Arial"/>
                      <w:b/>
                      <w:bCs/>
                      <w:smallCaps/>
                      <w:shd w:val="clear" w:color="auto" w:fill="FFFFFF"/>
                      <w:lang w:val="en-CA"/>
                    </w:rPr>
                    <w:t>.</w:t>
                  </w:r>
                </w:p>
              </w:tc>
            </w:tr>
          </w:tbl>
          <w:p w14:paraId="1A29F949" w14:textId="77777777" w:rsidR="004B3EC6" w:rsidRPr="00911998" w:rsidRDefault="004B3EC6" w:rsidP="004B3EC6">
            <w:pPr>
              <w:pStyle w:val="zSoquijlblProcureurDef"/>
              <w:rPr>
                <w:rFonts w:cs="Arial"/>
                <w:shd w:val="clear" w:color="auto" w:fill="FFFFFF"/>
                <w:lang w:val="en-CA"/>
              </w:rPr>
            </w:pPr>
          </w:p>
        </w:tc>
      </w:tr>
      <w:tr w:rsidR="00B06112" w:rsidRPr="00911998" w14:paraId="5FA008BA" w14:textId="77777777" w:rsidTr="00BA153A">
        <w:trPr>
          <w:cantSplit/>
        </w:trPr>
        <w:tc>
          <w:tcPr>
            <w:tcW w:w="9505" w:type="dxa"/>
            <w:gridSpan w:val="3"/>
          </w:tcPr>
          <w:p w14:paraId="696B9780" w14:textId="32E8D52A" w:rsidR="00FB410B" w:rsidRPr="00911998" w:rsidRDefault="00FB410B" w:rsidP="00287EC7">
            <w:pPr>
              <w:pStyle w:val="zSoquijlblProcureurDef"/>
              <w:rPr>
                <w:rFonts w:cs="Arial"/>
                <w:shd w:val="clear" w:color="auto" w:fill="FFFFFF"/>
              </w:rPr>
            </w:pPr>
            <w:r w:rsidRPr="00911998">
              <w:t>Co</w:t>
            </w:r>
            <w:r w:rsidRPr="00911998">
              <w:noBreakHyphen/>
              <w:t>procureurs des demandeurs (</w:t>
            </w:r>
            <w:r w:rsidRPr="00911998">
              <w:rPr>
                <w:rFonts w:cs="Arial"/>
                <w:shd w:val="clear" w:color="auto" w:fill="FFFFFF"/>
              </w:rPr>
              <w:t>n</w:t>
            </w:r>
            <w:r w:rsidRPr="00911998">
              <w:rPr>
                <w:rFonts w:cs="Arial"/>
                <w:shd w:val="clear" w:color="auto" w:fill="FFFFFF"/>
                <w:vertAlign w:val="superscript"/>
              </w:rPr>
              <w:t>o</w:t>
            </w:r>
            <w:r w:rsidRPr="00911998">
              <w:rPr>
                <w:rFonts w:cs="Arial"/>
                <w:shd w:val="clear" w:color="auto" w:fill="FFFFFF"/>
              </w:rPr>
              <w:t> </w:t>
            </w:r>
            <w:r w:rsidRPr="00911998">
              <w:t>500-04-079533-239)</w:t>
            </w:r>
          </w:p>
        </w:tc>
      </w:tr>
      <w:tr w:rsidR="00B06112" w:rsidRPr="00911998" w14:paraId="56F153AD" w14:textId="77777777" w:rsidTr="00BA153A">
        <w:trPr>
          <w:cantSplit/>
        </w:trPr>
        <w:tc>
          <w:tcPr>
            <w:tcW w:w="9505" w:type="dxa"/>
            <w:gridSpan w:val="3"/>
          </w:tcPr>
          <w:p w14:paraId="58B9474E" w14:textId="77777777" w:rsidR="004B3EC6" w:rsidRPr="00911998" w:rsidRDefault="004B3EC6" w:rsidP="00D26929">
            <w:pPr>
              <w:rPr>
                <w:rFonts w:ascii="Montserrat" w:hAnsi="Montserrat"/>
                <w:b/>
                <w:bCs/>
                <w:smallCaps/>
                <w:shd w:val="clear" w:color="auto" w:fill="FFFFFF"/>
              </w:rPr>
            </w:pPr>
          </w:p>
        </w:tc>
      </w:tr>
      <w:tr w:rsidR="00B06112" w:rsidRPr="00911998" w14:paraId="1FFD7B30" w14:textId="77777777" w:rsidTr="00BA153A">
        <w:trPr>
          <w:cantSplit/>
        </w:trPr>
        <w:tc>
          <w:tcPr>
            <w:tcW w:w="9505" w:type="dxa"/>
            <w:gridSpan w:val="3"/>
          </w:tcPr>
          <w:p w14:paraId="3666C76D" w14:textId="7BC8CA79" w:rsidR="00121A72" w:rsidRPr="00911998" w:rsidRDefault="00205646" w:rsidP="00D26929">
            <w:pPr>
              <w:pStyle w:val="zSoquijdatNomProcureurDef"/>
            </w:pPr>
            <w:r w:rsidRPr="00911998">
              <w:t>Me Marie-France Le Bel</w:t>
            </w:r>
          </w:p>
        </w:tc>
      </w:tr>
      <w:tr w:rsidR="00B06112" w:rsidRPr="00911998" w14:paraId="6F8E81B7" w14:textId="77777777" w:rsidTr="00BA153A">
        <w:trPr>
          <w:cantSplit/>
        </w:trPr>
        <w:tc>
          <w:tcPr>
            <w:tcW w:w="9505" w:type="dxa"/>
            <w:gridSpan w:val="3"/>
          </w:tcPr>
          <w:p w14:paraId="5A6BAB11" w14:textId="4594DE15" w:rsidR="00121A72" w:rsidRPr="00911998" w:rsidRDefault="00205646" w:rsidP="00D26929">
            <w:pPr>
              <w:pStyle w:val="zSoquijdatCabinetProcureurDef"/>
            </w:pPr>
            <w:r w:rsidRPr="00911998">
              <w:t>Me Luc-Vincent Gendron-Bouchard</w:t>
            </w:r>
          </w:p>
        </w:tc>
      </w:tr>
      <w:tr w:rsidR="00B06112" w:rsidRPr="00911998" w14:paraId="02D0BDFB" w14:textId="77777777" w:rsidTr="00BA153A">
        <w:trPr>
          <w:cantSplit/>
        </w:trPr>
        <w:tc>
          <w:tcPr>
            <w:tcW w:w="9505" w:type="dxa"/>
            <w:gridSpan w:val="3"/>
          </w:tcPr>
          <w:p w14:paraId="491341D1" w14:textId="71A5CA65" w:rsidR="00121A72" w:rsidRPr="00911998" w:rsidRDefault="00205646" w:rsidP="00D26929">
            <w:pPr>
              <w:pStyle w:val="zSoquijlblProcureurDef"/>
            </w:pPr>
            <w:r w:rsidRPr="00911998">
              <w:t xml:space="preserve">Me Gabrielle St-Martin </w:t>
            </w:r>
            <w:proofErr w:type="spellStart"/>
            <w:r w:rsidRPr="00911998">
              <w:t>Deaudelin</w:t>
            </w:r>
            <w:proofErr w:type="spellEnd"/>
          </w:p>
        </w:tc>
      </w:tr>
      <w:tr w:rsidR="00B06112" w:rsidRPr="00911998" w14:paraId="1E6BA2F5" w14:textId="77777777" w:rsidTr="00BA153A">
        <w:trPr>
          <w:cantSplit/>
        </w:trPr>
        <w:tc>
          <w:tcPr>
            <w:tcW w:w="9505" w:type="dxa"/>
            <w:gridSpan w:val="3"/>
          </w:tcPr>
          <w:p w14:paraId="63786FF3" w14:textId="59E53926" w:rsidR="00205646" w:rsidRPr="00911998" w:rsidRDefault="00205646" w:rsidP="00D26929">
            <w:pPr>
              <w:pStyle w:val="zSoquijlblProcureurDef"/>
            </w:pPr>
            <w:r w:rsidRPr="00911998">
              <w:t xml:space="preserve">Me Christophe </w:t>
            </w:r>
            <w:proofErr w:type="spellStart"/>
            <w:r w:rsidRPr="00911998">
              <w:t>Achdjian</w:t>
            </w:r>
            <w:proofErr w:type="spellEnd"/>
          </w:p>
        </w:tc>
      </w:tr>
      <w:tr w:rsidR="00B06112" w:rsidRPr="00911998" w14:paraId="1CF29FC9" w14:textId="77777777" w:rsidTr="00BA153A">
        <w:trPr>
          <w:cantSplit/>
        </w:trPr>
        <w:tc>
          <w:tcPr>
            <w:tcW w:w="9505" w:type="dxa"/>
            <w:gridSpan w:val="3"/>
          </w:tcPr>
          <w:p w14:paraId="1CEF21DB" w14:textId="47E92AF9" w:rsidR="000C775A" w:rsidRPr="00911998" w:rsidRDefault="000C775A" w:rsidP="00D26929">
            <w:pPr>
              <w:pStyle w:val="zSoquijlblProcureurDef"/>
            </w:pPr>
            <w:r w:rsidRPr="00911998">
              <w:t>Me Philippe Clément</w:t>
            </w:r>
          </w:p>
        </w:tc>
      </w:tr>
      <w:tr w:rsidR="00B06112" w:rsidRPr="00911998" w14:paraId="2E71CD8B" w14:textId="77777777" w:rsidTr="00BA153A">
        <w:trPr>
          <w:cantSplit/>
        </w:trPr>
        <w:tc>
          <w:tcPr>
            <w:tcW w:w="9505" w:type="dxa"/>
            <w:gridSpan w:val="3"/>
          </w:tcPr>
          <w:p w14:paraId="33BE8144" w14:textId="73F37DBD" w:rsidR="00205646" w:rsidRPr="00911998" w:rsidRDefault="00EE13F8" w:rsidP="00D26929">
            <w:pPr>
              <w:pStyle w:val="zSoquijlblProcureurDef"/>
              <w:rPr>
                <w:rFonts w:cs="Arial"/>
                <w:b/>
                <w:bCs/>
                <w:smallCaps/>
              </w:rPr>
            </w:pPr>
            <w:r w:rsidRPr="00911998">
              <w:rPr>
                <w:rFonts w:cs="Arial"/>
                <w:b/>
                <w:bCs/>
                <w:smallCaps/>
                <w:shd w:val="clear" w:color="auto" w:fill="FFFFFF"/>
              </w:rPr>
              <w:t>Bernard, Roy (Justice</w:t>
            </w:r>
            <w:r w:rsidRPr="00911998">
              <w:rPr>
                <w:rFonts w:cs="Arial"/>
                <w:b/>
                <w:bCs/>
                <w:smallCaps/>
                <w:shd w:val="clear" w:color="auto" w:fill="FFFFFF"/>
              </w:rPr>
              <w:noBreakHyphen/>
              <w:t>Québec)</w:t>
            </w:r>
          </w:p>
        </w:tc>
      </w:tr>
      <w:tr w:rsidR="00B06112" w:rsidRPr="00911998" w14:paraId="545E9A96" w14:textId="77777777" w:rsidTr="00BA153A">
        <w:trPr>
          <w:cantSplit/>
        </w:trPr>
        <w:tc>
          <w:tcPr>
            <w:tcW w:w="9505" w:type="dxa"/>
            <w:gridSpan w:val="3"/>
          </w:tcPr>
          <w:p w14:paraId="37EE8484" w14:textId="3C6E72B1" w:rsidR="00205646" w:rsidRPr="00911998" w:rsidRDefault="00EE13F8" w:rsidP="00D26929">
            <w:pPr>
              <w:pStyle w:val="zSoquijlblProcureurDef"/>
            </w:pPr>
            <w:r w:rsidRPr="00911998">
              <w:t>Procureurs</w:t>
            </w:r>
            <w:r w:rsidR="00205646" w:rsidRPr="00911998">
              <w:t xml:space="preserve"> du Directeur de l’</w:t>
            </w:r>
            <w:r w:rsidR="008A3571" w:rsidRPr="00911998">
              <w:t>é</w:t>
            </w:r>
            <w:r w:rsidR="00205646" w:rsidRPr="00911998">
              <w:t xml:space="preserve">tat civil </w:t>
            </w:r>
            <w:r w:rsidR="00205646" w:rsidRPr="00911998">
              <w:br/>
              <w:t xml:space="preserve">et du Procureur général du Québec </w:t>
            </w:r>
          </w:p>
        </w:tc>
      </w:tr>
      <w:tr w:rsidR="00B06112" w:rsidRPr="00911998" w14:paraId="4E6340A9" w14:textId="77777777" w:rsidTr="00BA153A">
        <w:trPr>
          <w:cantSplit/>
        </w:trPr>
        <w:tc>
          <w:tcPr>
            <w:tcW w:w="9505" w:type="dxa"/>
            <w:gridSpan w:val="3"/>
          </w:tcPr>
          <w:p w14:paraId="75F83702" w14:textId="77777777" w:rsidR="00205646" w:rsidRPr="00911998" w:rsidRDefault="00205646" w:rsidP="00D26929">
            <w:pPr>
              <w:pStyle w:val="zSoquijlblProcureurDef"/>
            </w:pPr>
          </w:p>
        </w:tc>
      </w:tr>
      <w:tr w:rsidR="00B06112" w:rsidRPr="00911998" w14:paraId="6CB1D82D" w14:textId="77777777" w:rsidTr="00BA153A">
        <w:trPr>
          <w:cantSplit/>
        </w:trPr>
        <w:tc>
          <w:tcPr>
            <w:tcW w:w="9505" w:type="dxa"/>
            <w:gridSpan w:val="3"/>
          </w:tcPr>
          <w:p w14:paraId="5BB292AD" w14:textId="356CD483" w:rsidR="00205646" w:rsidRPr="00911998" w:rsidRDefault="00205646" w:rsidP="00D26929">
            <w:pPr>
              <w:pStyle w:val="zSoquijlblProcureurDef"/>
            </w:pPr>
            <w:r w:rsidRPr="00911998">
              <w:t>Me Julien Boudreault</w:t>
            </w:r>
          </w:p>
        </w:tc>
      </w:tr>
      <w:tr w:rsidR="00B06112" w:rsidRPr="00911998" w14:paraId="3045A2AB" w14:textId="77777777" w:rsidTr="00BA153A">
        <w:trPr>
          <w:cantSplit/>
        </w:trPr>
        <w:tc>
          <w:tcPr>
            <w:tcW w:w="9505" w:type="dxa"/>
            <w:gridSpan w:val="3"/>
          </w:tcPr>
          <w:p w14:paraId="72DD5653" w14:textId="0A143C0F" w:rsidR="00205646" w:rsidRPr="00911998" w:rsidRDefault="00205646" w:rsidP="00D26929">
            <w:pPr>
              <w:pStyle w:val="zSoquijlblProcureurDef"/>
            </w:pPr>
            <w:r w:rsidRPr="00911998">
              <w:t>Me Renaud Gravel</w:t>
            </w:r>
          </w:p>
        </w:tc>
      </w:tr>
      <w:tr w:rsidR="00B06112" w:rsidRPr="00911998" w14:paraId="5C429A5D" w14:textId="77777777" w:rsidTr="00BA153A">
        <w:trPr>
          <w:cantSplit/>
        </w:trPr>
        <w:tc>
          <w:tcPr>
            <w:tcW w:w="9505" w:type="dxa"/>
            <w:gridSpan w:val="3"/>
          </w:tcPr>
          <w:p w14:paraId="2C79EB3F" w14:textId="0BEF4DF7" w:rsidR="00205646" w:rsidRPr="00911998" w:rsidRDefault="00205646" w:rsidP="00D26929">
            <w:pPr>
              <w:pStyle w:val="zSoquijlblProcureurDef"/>
            </w:pPr>
            <w:r w:rsidRPr="00911998">
              <w:t xml:space="preserve">Me Kevin </w:t>
            </w:r>
            <w:proofErr w:type="spellStart"/>
            <w:r w:rsidRPr="00911998">
              <w:t>Anglehart</w:t>
            </w:r>
            <w:proofErr w:type="spellEnd"/>
          </w:p>
        </w:tc>
      </w:tr>
      <w:tr w:rsidR="00B06112" w:rsidRPr="00C62C88" w14:paraId="125D8DD0" w14:textId="77777777" w:rsidTr="00BA153A">
        <w:trPr>
          <w:cantSplit/>
        </w:trPr>
        <w:tc>
          <w:tcPr>
            <w:tcW w:w="9505" w:type="dxa"/>
            <w:gridSpan w:val="3"/>
          </w:tcPr>
          <w:p w14:paraId="59F7CC18" w14:textId="333BACFB" w:rsidR="00205646" w:rsidRPr="00911998" w:rsidRDefault="001645A4" w:rsidP="00D26929">
            <w:pPr>
              <w:pStyle w:val="zSoquijlblProcureurDef"/>
              <w:rPr>
                <w:rFonts w:cs="Arial"/>
                <w:b/>
                <w:bCs/>
                <w:smallCaps/>
                <w:lang w:val="en-CA"/>
              </w:rPr>
            </w:pPr>
            <w:r w:rsidRPr="00911998">
              <w:rPr>
                <w:rFonts w:cs="Arial"/>
                <w:b/>
                <w:bCs/>
                <w:smallCaps/>
                <w:shd w:val="clear" w:color="auto" w:fill="FFFFFF"/>
                <w:lang w:val="en-CA"/>
              </w:rPr>
              <w:t xml:space="preserve">Borden Ladner Gervais </w:t>
            </w:r>
            <w:proofErr w:type="spellStart"/>
            <w:r w:rsidRPr="00911998">
              <w:rPr>
                <w:rFonts w:cs="Arial"/>
                <w:b/>
                <w:bCs/>
                <w:smallCaps/>
                <w:shd w:val="clear" w:color="auto" w:fill="FFFFFF"/>
                <w:lang w:val="en-CA"/>
              </w:rPr>
              <w:t>s.e.n.c.r.l</w:t>
            </w:r>
            <w:proofErr w:type="spellEnd"/>
            <w:r w:rsidRPr="00911998">
              <w:rPr>
                <w:rFonts w:cs="Arial"/>
                <w:b/>
                <w:bCs/>
                <w:smallCaps/>
                <w:shd w:val="clear" w:color="auto" w:fill="FFFFFF"/>
                <w:lang w:val="en-CA"/>
              </w:rPr>
              <w:t xml:space="preserve">., </w:t>
            </w:r>
            <w:proofErr w:type="spellStart"/>
            <w:r w:rsidRPr="00911998">
              <w:rPr>
                <w:rFonts w:cs="Arial"/>
                <w:b/>
                <w:bCs/>
                <w:smallCaps/>
                <w:shd w:val="clear" w:color="auto" w:fill="FFFFFF"/>
                <w:lang w:val="en-CA"/>
              </w:rPr>
              <w:t>s.r.l</w:t>
            </w:r>
            <w:proofErr w:type="spellEnd"/>
            <w:r w:rsidRPr="00911998">
              <w:rPr>
                <w:rFonts w:cs="Arial"/>
                <w:b/>
                <w:bCs/>
                <w:smallCaps/>
                <w:shd w:val="clear" w:color="auto" w:fill="FFFFFF"/>
                <w:lang w:val="en-CA"/>
              </w:rPr>
              <w:t>.</w:t>
            </w:r>
          </w:p>
        </w:tc>
      </w:tr>
      <w:tr w:rsidR="00B06112" w:rsidRPr="00911998" w14:paraId="1EA013FA" w14:textId="77777777" w:rsidTr="00BA153A">
        <w:trPr>
          <w:cantSplit/>
        </w:trPr>
        <w:tc>
          <w:tcPr>
            <w:tcW w:w="9505" w:type="dxa"/>
            <w:gridSpan w:val="3"/>
          </w:tcPr>
          <w:p w14:paraId="2978E96F" w14:textId="7C1ABCBD" w:rsidR="00205646" w:rsidRPr="00911998" w:rsidRDefault="00EE13F8" w:rsidP="00D26929">
            <w:pPr>
              <w:pStyle w:val="zSoquijlblProcureurDef"/>
            </w:pPr>
            <w:r w:rsidRPr="00911998">
              <w:t>Procureurs</w:t>
            </w:r>
            <w:r w:rsidR="001645A4" w:rsidRPr="00911998">
              <w:t xml:space="preserve"> de</w:t>
            </w:r>
            <w:r w:rsidRPr="00911998">
              <w:t xml:space="preserve"> l’intervenante </w:t>
            </w:r>
            <w:r w:rsidR="001645A4" w:rsidRPr="00911998">
              <w:t xml:space="preserve">Égale Canada </w:t>
            </w:r>
            <w:proofErr w:type="spellStart"/>
            <w:r w:rsidR="001645A4" w:rsidRPr="00911998">
              <w:t>inc.</w:t>
            </w:r>
            <w:proofErr w:type="spellEnd"/>
          </w:p>
        </w:tc>
      </w:tr>
      <w:tr w:rsidR="00D266F0" w:rsidRPr="00911998" w14:paraId="07E3DEB3" w14:textId="77777777" w:rsidTr="00BA153A">
        <w:trPr>
          <w:cantSplit/>
        </w:trPr>
        <w:tc>
          <w:tcPr>
            <w:tcW w:w="9505" w:type="dxa"/>
            <w:gridSpan w:val="3"/>
          </w:tcPr>
          <w:p w14:paraId="55DC84EA" w14:textId="77777777" w:rsidR="00D266F0" w:rsidRPr="00911998" w:rsidRDefault="00D266F0" w:rsidP="00D26929">
            <w:pPr>
              <w:pStyle w:val="zSoquijlblProcureurDef"/>
            </w:pPr>
          </w:p>
        </w:tc>
      </w:tr>
      <w:tr w:rsidR="00B06112" w:rsidRPr="00911998" w14:paraId="1D5EF8E4" w14:textId="77777777" w:rsidTr="00BA153A">
        <w:trPr>
          <w:cantSplit/>
        </w:trPr>
        <w:tc>
          <w:tcPr>
            <w:tcW w:w="9505" w:type="dxa"/>
            <w:gridSpan w:val="3"/>
          </w:tcPr>
          <w:p w14:paraId="3AEFD22E" w14:textId="77777777" w:rsidR="00205646" w:rsidRPr="00911998" w:rsidRDefault="00205646" w:rsidP="00D26929">
            <w:pPr>
              <w:pStyle w:val="zSoquijlblProcureurDef"/>
            </w:pPr>
          </w:p>
        </w:tc>
      </w:tr>
      <w:tr w:rsidR="00B06112" w:rsidRPr="00911998" w14:paraId="74B3D2EC" w14:textId="77777777" w:rsidTr="00BA153A">
        <w:trPr>
          <w:cantSplit/>
        </w:trPr>
        <w:tc>
          <w:tcPr>
            <w:tcW w:w="9505" w:type="dxa"/>
            <w:gridSpan w:val="3"/>
          </w:tcPr>
          <w:p w14:paraId="422731F1" w14:textId="771FDDBB" w:rsidR="00205646" w:rsidRPr="00911998" w:rsidRDefault="001645A4" w:rsidP="00D26929">
            <w:pPr>
              <w:pStyle w:val="zSoquijlblProcureurDef"/>
            </w:pPr>
            <w:r w:rsidRPr="00911998">
              <w:t xml:space="preserve">Me Laura Cárdenas </w:t>
            </w:r>
          </w:p>
        </w:tc>
      </w:tr>
      <w:tr w:rsidR="00B06112" w:rsidRPr="00911998" w14:paraId="1DAD8B3A" w14:textId="77777777" w:rsidTr="00BA153A">
        <w:trPr>
          <w:cantSplit/>
        </w:trPr>
        <w:tc>
          <w:tcPr>
            <w:tcW w:w="9505" w:type="dxa"/>
            <w:gridSpan w:val="3"/>
          </w:tcPr>
          <w:p w14:paraId="6E070090" w14:textId="05AC63F6" w:rsidR="00205646" w:rsidRPr="00911998" w:rsidRDefault="001645A4" w:rsidP="00D26929">
            <w:pPr>
              <w:pStyle w:val="zSoquijlblProcureurDef"/>
            </w:pPr>
            <w:r w:rsidRPr="00911998">
              <w:lastRenderedPageBreak/>
              <w:t>Me Étienne Morin-Lévesque</w:t>
            </w:r>
          </w:p>
        </w:tc>
      </w:tr>
      <w:tr w:rsidR="00B06112" w:rsidRPr="00911998" w14:paraId="52DE4C74" w14:textId="77777777" w:rsidTr="00BA153A">
        <w:trPr>
          <w:cantSplit/>
        </w:trPr>
        <w:tc>
          <w:tcPr>
            <w:tcW w:w="9505" w:type="dxa"/>
            <w:gridSpan w:val="3"/>
          </w:tcPr>
          <w:p w14:paraId="5F7627B6" w14:textId="62F21E70" w:rsidR="000C775A" w:rsidRPr="00911998" w:rsidRDefault="000C775A" w:rsidP="00D26929">
            <w:pPr>
              <w:pStyle w:val="zSoquijlblProcureurDef"/>
            </w:pPr>
            <w:r w:rsidRPr="00911998">
              <w:t>Me Marianne Goyette</w:t>
            </w:r>
          </w:p>
        </w:tc>
      </w:tr>
      <w:tr w:rsidR="00B06112" w:rsidRPr="00911998" w14:paraId="3D87FBFA" w14:textId="77777777" w:rsidTr="00BA153A">
        <w:trPr>
          <w:cantSplit/>
        </w:trPr>
        <w:tc>
          <w:tcPr>
            <w:tcW w:w="9505" w:type="dxa"/>
            <w:gridSpan w:val="3"/>
          </w:tcPr>
          <w:p w14:paraId="73451D75" w14:textId="29F8B11D" w:rsidR="00205646" w:rsidRPr="00911998" w:rsidRDefault="001645A4" w:rsidP="00D26929">
            <w:pPr>
              <w:pStyle w:val="zSoquijlblProcureurDef"/>
              <w:rPr>
                <w:b/>
                <w:bCs/>
              </w:rPr>
            </w:pPr>
            <w:r w:rsidRPr="00911998">
              <w:rPr>
                <w:rFonts w:cs="Arial"/>
                <w:b/>
                <w:bCs/>
                <w:smallCaps/>
                <w:shd w:val="clear" w:color="auto" w:fill="FFFFFF"/>
              </w:rPr>
              <w:t xml:space="preserve">IMK </w:t>
            </w:r>
            <w:proofErr w:type="spellStart"/>
            <w:r w:rsidR="00EE13F8" w:rsidRPr="00911998">
              <w:rPr>
                <w:rFonts w:cs="Arial"/>
                <w:b/>
                <w:bCs/>
                <w:smallCaps/>
                <w:shd w:val="clear" w:color="auto" w:fill="FFFFFF"/>
              </w:rPr>
              <w:t>s.e.n.c.r.l</w:t>
            </w:r>
            <w:proofErr w:type="spellEnd"/>
            <w:r w:rsidR="00EE13F8" w:rsidRPr="00911998">
              <w:rPr>
                <w:rFonts w:cs="Arial"/>
                <w:b/>
                <w:bCs/>
                <w:smallCaps/>
                <w:shd w:val="clear" w:color="auto" w:fill="FFFFFF"/>
              </w:rPr>
              <w:t>.</w:t>
            </w:r>
          </w:p>
        </w:tc>
      </w:tr>
      <w:tr w:rsidR="00B06112" w:rsidRPr="00911998" w14:paraId="1022BB03" w14:textId="77777777" w:rsidTr="00BA153A">
        <w:trPr>
          <w:cantSplit/>
        </w:trPr>
        <w:tc>
          <w:tcPr>
            <w:tcW w:w="9505" w:type="dxa"/>
            <w:gridSpan w:val="3"/>
          </w:tcPr>
          <w:p w14:paraId="0644955D" w14:textId="26EF75B2" w:rsidR="001645A4" w:rsidRPr="00911998" w:rsidRDefault="00EE13F8" w:rsidP="00D26929">
            <w:pPr>
              <w:pStyle w:val="zSoquijlblProcureurDef"/>
              <w:rPr>
                <w:rFonts w:cs="Arial"/>
                <w:shd w:val="clear" w:color="auto" w:fill="FFFFFF"/>
              </w:rPr>
            </w:pPr>
            <w:r w:rsidRPr="00911998">
              <w:rPr>
                <w:rFonts w:cs="Arial"/>
                <w:shd w:val="clear" w:color="auto" w:fill="FFFFFF"/>
              </w:rPr>
              <w:t xml:space="preserve">Procureurs </w:t>
            </w:r>
            <w:r w:rsidR="001645A4" w:rsidRPr="00911998">
              <w:rPr>
                <w:rFonts w:cs="Arial"/>
                <w:shd w:val="clear" w:color="auto" w:fill="FFFFFF"/>
              </w:rPr>
              <w:t>de </w:t>
            </w:r>
            <w:r w:rsidRPr="00911998">
              <w:rPr>
                <w:rFonts w:cs="Arial"/>
                <w:shd w:val="clear" w:color="auto" w:fill="FFFFFF"/>
              </w:rPr>
              <w:t xml:space="preserve">l’intervenante </w:t>
            </w:r>
            <w:r w:rsidR="001645A4" w:rsidRPr="00911998">
              <w:rPr>
                <w:rFonts w:cs="Arial"/>
                <w:shd w:val="clear" w:color="auto" w:fill="FFFFFF"/>
              </w:rPr>
              <w:t>Association des juristes progressistes</w:t>
            </w:r>
          </w:p>
        </w:tc>
      </w:tr>
      <w:tr w:rsidR="00B06112" w:rsidRPr="00911998" w14:paraId="4E25BAB5" w14:textId="77777777" w:rsidTr="00BA153A">
        <w:tc>
          <w:tcPr>
            <w:tcW w:w="9505" w:type="dxa"/>
            <w:gridSpan w:val="3"/>
          </w:tcPr>
          <w:p w14:paraId="31C0D7DB" w14:textId="77777777" w:rsidR="00C56BC4" w:rsidRPr="00911998" w:rsidRDefault="00C56BC4" w:rsidP="00D26929"/>
        </w:tc>
      </w:tr>
      <w:tr w:rsidR="00121A72" w:rsidRPr="00911998" w14:paraId="4C01FB65" w14:textId="77777777" w:rsidTr="00BA153A">
        <w:tc>
          <w:tcPr>
            <w:tcW w:w="2197" w:type="dxa"/>
          </w:tcPr>
          <w:p w14:paraId="110865E1" w14:textId="050506BE" w:rsidR="00121A72" w:rsidRPr="00911998" w:rsidRDefault="00121A72" w:rsidP="00D26929">
            <w:pPr>
              <w:pStyle w:val="zSoquijlblDateAudience"/>
            </w:pPr>
            <w:r w:rsidRPr="00911998">
              <w:t>Date</w:t>
            </w:r>
            <w:r w:rsidR="00205646" w:rsidRPr="00911998">
              <w:t>s</w:t>
            </w:r>
            <w:r w:rsidRPr="00911998">
              <w:t xml:space="preserve"> d’audience</w:t>
            </w:r>
            <w:r w:rsidR="003954B3" w:rsidRPr="00911998">
              <w:t> :</w:t>
            </w:r>
            <w:r w:rsidR="00D24B26" w:rsidRPr="00911998">
              <w:t xml:space="preserve"> </w:t>
            </w:r>
          </w:p>
        </w:tc>
        <w:tc>
          <w:tcPr>
            <w:tcW w:w="7308" w:type="dxa"/>
            <w:gridSpan w:val="2"/>
          </w:tcPr>
          <w:p w14:paraId="0A391C5E" w14:textId="5B8E540C" w:rsidR="00E73F70" w:rsidRPr="00911998" w:rsidRDefault="00701C87" w:rsidP="00D26929">
            <w:pPr>
              <w:pStyle w:val="zSoquijdatDateAudience"/>
            </w:pPr>
            <w:r w:rsidRPr="00911998">
              <w:fldChar w:fldCharType="begin"/>
            </w:r>
            <w:r w:rsidRPr="00911998">
              <w:instrText xml:space="preserve"> DateAudience </w:instrText>
            </w:r>
            <w:r w:rsidRPr="00911998">
              <w:fldChar w:fldCharType="separate"/>
            </w:r>
            <w:r w:rsidR="00205646" w:rsidRPr="00911998">
              <w:t>14, 17, 18, 19, 20 et 21 juin 2024</w:t>
            </w:r>
            <w:r w:rsidR="00121A72" w:rsidRPr="00911998">
              <w:t>.</w:t>
            </w:r>
            <w:r w:rsidRPr="00911998">
              <w:fldChar w:fldCharType="end"/>
            </w:r>
          </w:p>
        </w:tc>
      </w:tr>
    </w:tbl>
    <w:p w14:paraId="031622D8" w14:textId="4DBF58D2" w:rsidR="001148C0" w:rsidRPr="00911998" w:rsidRDefault="001148C0" w:rsidP="00472FB8"/>
    <w:p w14:paraId="71A1391D" w14:textId="77777777" w:rsidR="0068351E" w:rsidRPr="00911998" w:rsidRDefault="001148C0" w:rsidP="0068351E">
      <w:pPr>
        <w:pStyle w:val="Titre2"/>
        <w:numPr>
          <w:ilvl w:val="0"/>
          <w:numId w:val="0"/>
        </w:numPr>
        <w:spacing w:after="240"/>
        <w:ind w:left="709" w:hanging="709"/>
        <w:jc w:val="center"/>
        <w:rPr>
          <w:rFonts w:cs="Arial"/>
          <w:b w:val="0"/>
          <w:caps w:val="0"/>
          <w:szCs w:val="24"/>
          <w:u w:val="none"/>
        </w:rPr>
      </w:pPr>
      <w:r w:rsidRPr="00911998">
        <w:br w:type="page"/>
      </w:r>
      <w:bookmarkStart w:id="96" w:name="_Toc196463746"/>
      <w:r w:rsidR="0068351E" w:rsidRPr="00911998">
        <w:rPr>
          <w:rFonts w:cs="Arial"/>
          <w:bCs/>
          <w:caps w:val="0"/>
          <w:szCs w:val="24"/>
          <w:u w:val="none"/>
        </w:rPr>
        <w:lastRenderedPageBreak/>
        <w:t>ANNEXE A</w:t>
      </w:r>
      <w:bookmarkEnd w:id="96"/>
    </w:p>
    <w:p w14:paraId="511910F5" w14:textId="77777777" w:rsidR="0068351E" w:rsidRPr="00911998" w:rsidRDefault="0068351E" w:rsidP="0068351E">
      <w:pPr>
        <w:jc w:val="center"/>
        <w:rPr>
          <w:b/>
          <w:bCs/>
          <w:sz w:val="22"/>
          <w:szCs w:val="22"/>
        </w:rPr>
      </w:pPr>
    </w:p>
    <w:tbl>
      <w:tblPr>
        <w:tblStyle w:val="Grilledutableau"/>
        <w:tblW w:w="0" w:type="auto"/>
        <w:tblInd w:w="279" w:type="dxa"/>
        <w:tblLook w:val="04A0" w:firstRow="1" w:lastRow="0" w:firstColumn="1" w:lastColumn="0" w:noHBand="0" w:noVBand="1"/>
      </w:tblPr>
      <w:tblGrid>
        <w:gridCol w:w="4394"/>
        <w:gridCol w:w="4536"/>
      </w:tblGrid>
      <w:tr w:rsidR="000E19AB" w:rsidRPr="00C62C88" w14:paraId="1C69EAEC" w14:textId="77777777" w:rsidTr="00B0202E">
        <w:tc>
          <w:tcPr>
            <w:tcW w:w="4394" w:type="dxa"/>
          </w:tcPr>
          <w:p w14:paraId="49AC77EC" w14:textId="77777777" w:rsidR="0068351E" w:rsidRPr="00911998" w:rsidRDefault="0068351E" w:rsidP="0068351E">
            <w:pPr>
              <w:jc w:val="both"/>
              <w:rPr>
                <w:b/>
                <w:bCs/>
                <w:kern w:val="28"/>
                <w:sz w:val="22"/>
                <w:szCs w:val="22"/>
              </w:rPr>
            </w:pPr>
            <w:r w:rsidRPr="00911998">
              <w:rPr>
                <w:b/>
                <w:bCs/>
                <w:kern w:val="28"/>
                <w:sz w:val="22"/>
                <w:szCs w:val="22"/>
              </w:rPr>
              <w:t>CHAPITRE QUATRIÈME</w:t>
            </w:r>
          </w:p>
          <w:p w14:paraId="7881684E" w14:textId="77777777" w:rsidR="0068351E" w:rsidRPr="00911998" w:rsidRDefault="0068351E" w:rsidP="0068351E">
            <w:pPr>
              <w:spacing w:after="120"/>
              <w:jc w:val="both"/>
              <w:rPr>
                <w:kern w:val="28"/>
                <w:sz w:val="22"/>
                <w:szCs w:val="22"/>
              </w:rPr>
            </w:pPr>
            <w:r w:rsidRPr="00911998">
              <w:rPr>
                <w:kern w:val="28"/>
                <w:sz w:val="22"/>
                <w:szCs w:val="22"/>
              </w:rPr>
              <w:t>DU REGISTRE ET DES ACTES DE L’ÉTAT CIVIL</w:t>
            </w:r>
          </w:p>
          <w:p w14:paraId="178B74CB" w14:textId="77777777" w:rsidR="0068351E" w:rsidRPr="00911998" w:rsidRDefault="0068351E" w:rsidP="0068351E">
            <w:pPr>
              <w:spacing w:before="120" w:after="120"/>
              <w:jc w:val="both"/>
              <w:rPr>
                <w:rFonts w:cs="Arial"/>
                <w:kern w:val="28"/>
                <w:sz w:val="22"/>
                <w:szCs w:val="22"/>
              </w:rPr>
            </w:pPr>
            <w:r w:rsidRPr="00911998">
              <w:rPr>
                <w:rFonts w:cs="Arial"/>
                <w:kern w:val="28"/>
                <w:sz w:val="22"/>
                <w:szCs w:val="22"/>
              </w:rPr>
              <w:t>[…]</w:t>
            </w:r>
          </w:p>
          <w:p w14:paraId="5C0C5E58" w14:textId="77777777" w:rsidR="0068351E" w:rsidRPr="00911998" w:rsidRDefault="0068351E" w:rsidP="0068351E">
            <w:pPr>
              <w:jc w:val="both"/>
              <w:rPr>
                <w:b/>
                <w:bCs/>
                <w:kern w:val="28"/>
                <w:sz w:val="22"/>
                <w:szCs w:val="22"/>
              </w:rPr>
            </w:pPr>
            <w:r w:rsidRPr="00911998">
              <w:rPr>
                <w:b/>
                <w:bCs/>
                <w:kern w:val="28"/>
                <w:sz w:val="22"/>
                <w:szCs w:val="22"/>
              </w:rPr>
              <w:t>SECTION III</w:t>
            </w:r>
          </w:p>
          <w:p w14:paraId="618C4490" w14:textId="77777777" w:rsidR="0068351E" w:rsidRPr="00911998" w:rsidRDefault="0068351E" w:rsidP="0068351E">
            <w:pPr>
              <w:spacing w:after="120"/>
              <w:jc w:val="both"/>
              <w:rPr>
                <w:kern w:val="28"/>
                <w:sz w:val="22"/>
                <w:szCs w:val="22"/>
              </w:rPr>
            </w:pPr>
            <w:r w:rsidRPr="00911998">
              <w:rPr>
                <w:kern w:val="28"/>
                <w:sz w:val="22"/>
                <w:szCs w:val="22"/>
              </w:rPr>
              <w:t>DES ACTES DE L’ÉTAT CIVIL</w:t>
            </w:r>
          </w:p>
          <w:p w14:paraId="5D2F260C" w14:textId="77777777" w:rsidR="0068351E" w:rsidRPr="00911998" w:rsidRDefault="0068351E" w:rsidP="0068351E">
            <w:pPr>
              <w:spacing w:before="120" w:after="120"/>
              <w:jc w:val="both"/>
              <w:rPr>
                <w:rFonts w:cs="Arial"/>
                <w:kern w:val="28"/>
                <w:sz w:val="22"/>
                <w:szCs w:val="22"/>
              </w:rPr>
            </w:pPr>
            <w:r w:rsidRPr="00911998">
              <w:rPr>
                <w:rFonts w:cs="Arial"/>
                <w:kern w:val="28"/>
                <w:sz w:val="22"/>
                <w:szCs w:val="22"/>
              </w:rPr>
              <w:t>[…]</w:t>
            </w:r>
          </w:p>
          <w:p w14:paraId="74D37D1D" w14:textId="77777777" w:rsidR="0068351E" w:rsidRPr="00911998" w:rsidRDefault="0068351E" w:rsidP="0068351E">
            <w:pPr>
              <w:spacing w:before="120" w:after="120"/>
              <w:jc w:val="both"/>
              <w:rPr>
                <w:i/>
                <w:iCs/>
                <w:kern w:val="28"/>
                <w:sz w:val="22"/>
                <w:szCs w:val="22"/>
              </w:rPr>
            </w:pPr>
            <w:r w:rsidRPr="00911998">
              <w:rPr>
                <w:kern w:val="28"/>
                <w:sz w:val="22"/>
                <w:szCs w:val="22"/>
              </w:rPr>
              <w:t>§ 2.  — </w:t>
            </w:r>
            <w:r w:rsidRPr="00911998">
              <w:rPr>
                <w:i/>
                <w:iCs/>
                <w:kern w:val="28"/>
                <w:sz w:val="22"/>
                <w:szCs w:val="22"/>
              </w:rPr>
              <w:t>Des actes de naissance</w:t>
            </w:r>
          </w:p>
          <w:p w14:paraId="7073AACF" w14:textId="77777777" w:rsidR="0068351E" w:rsidRPr="00911998" w:rsidRDefault="0068351E" w:rsidP="0068351E">
            <w:pPr>
              <w:spacing w:before="120" w:after="120"/>
              <w:jc w:val="both"/>
              <w:rPr>
                <w:rFonts w:cs="Arial"/>
                <w:kern w:val="28"/>
                <w:sz w:val="22"/>
                <w:szCs w:val="22"/>
              </w:rPr>
            </w:pPr>
            <w:r w:rsidRPr="00911998">
              <w:rPr>
                <w:rFonts w:cs="Arial"/>
                <w:kern w:val="28"/>
                <w:sz w:val="22"/>
                <w:szCs w:val="22"/>
              </w:rPr>
              <w:t>[…]</w:t>
            </w:r>
          </w:p>
          <w:p w14:paraId="206CA8FC" w14:textId="77777777" w:rsidR="0068351E" w:rsidRPr="00911998" w:rsidRDefault="00000000" w:rsidP="0068351E">
            <w:pPr>
              <w:spacing w:before="120" w:after="120"/>
              <w:jc w:val="both"/>
              <w:rPr>
                <w:kern w:val="28"/>
                <w:sz w:val="22"/>
                <w:szCs w:val="22"/>
              </w:rPr>
            </w:pPr>
            <w:hyperlink r:id="rId59" w:anchor="se:114" w:history="1">
              <w:r w:rsidR="0068351E" w:rsidRPr="00911998">
                <w:rPr>
                  <w:b/>
                  <w:bCs/>
                  <w:kern w:val="28"/>
                  <w:sz w:val="22"/>
                  <w:szCs w:val="22"/>
                </w:rPr>
                <w:t>114.</w:t>
              </w:r>
            </w:hyperlink>
            <w:r w:rsidR="0068351E" w:rsidRPr="00911998">
              <w:rPr>
                <w:kern w:val="28"/>
                <w:sz w:val="22"/>
                <w:szCs w:val="22"/>
              </w:rPr>
              <w:t> Seul le père ou la mère ou le parent peut déclarer la filiation de l’enfant à son égard. Cependant, lorsque la conception ou la naissance survient pendant le mariage, l’union civile ou l’union de fait, l’un des conjoints peut déclarer la filiation de l’enfant à l’égard de l’autre.</w:t>
            </w:r>
          </w:p>
          <w:p w14:paraId="039B80AD" w14:textId="77777777" w:rsidR="0068351E" w:rsidRPr="00911998" w:rsidRDefault="0068351E" w:rsidP="0068351E">
            <w:pPr>
              <w:spacing w:before="120" w:after="120"/>
              <w:jc w:val="both"/>
              <w:rPr>
                <w:kern w:val="28"/>
                <w:sz w:val="22"/>
                <w:szCs w:val="22"/>
              </w:rPr>
            </w:pPr>
            <w:r w:rsidRPr="00911998">
              <w:rPr>
                <w:kern w:val="28"/>
                <w:sz w:val="22"/>
                <w:szCs w:val="22"/>
              </w:rPr>
              <w:t>Dans le cas d’une union de fait, le conjoint déclarant doit fournir avec la déclaration de naissance une déclaration sous serment dans laquelle il fait état des faits et des circonstances permettant de démontrer que l’enfant est né pendant l’union ou dans les 300 jours après la fin de celle-ci. Il doit également y joindre une déclaration sous serment d’une tierce personne permettant de corroborer sa déclaration ainsi que, le cas échéant, tout autre élément prouvant son union avec son conjoint. Au besoin, le directeur de l’état civil procède à une enquête sommaire pour obtenir des informations supplémentaires.</w:t>
            </w:r>
          </w:p>
          <w:p w14:paraId="7FA41801" w14:textId="77777777" w:rsidR="0068351E" w:rsidRPr="00911998" w:rsidRDefault="0068351E" w:rsidP="0068351E">
            <w:pPr>
              <w:spacing w:before="120" w:after="120"/>
              <w:jc w:val="both"/>
              <w:rPr>
                <w:kern w:val="28"/>
                <w:sz w:val="22"/>
                <w:szCs w:val="22"/>
              </w:rPr>
            </w:pPr>
            <w:r w:rsidRPr="00911998">
              <w:rPr>
                <w:kern w:val="28"/>
                <w:sz w:val="22"/>
                <w:szCs w:val="22"/>
              </w:rPr>
              <w:t>Aucune autre personne ne peut déclarer la filiation à l’égard d’un parent sans l’autorisation de ce dernier.</w:t>
            </w:r>
          </w:p>
          <w:p w14:paraId="5539D02E" w14:textId="77777777" w:rsidR="0068351E" w:rsidRPr="00911998" w:rsidRDefault="00000000" w:rsidP="0068351E">
            <w:pPr>
              <w:spacing w:before="240" w:after="120"/>
              <w:jc w:val="both"/>
              <w:rPr>
                <w:kern w:val="28"/>
                <w:sz w:val="22"/>
                <w:szCs w:val="22"/>
              </w:rPr>
            </w:pPr>
            <w:hyperlink r:id="rId60" w:anchor="se:115" w:history="1">
              <w:r w:rsidR="0068351E" w:rsidRPr="00911998">
                <w:rPr>
                  <w:b/>
                  <w:bCs/>
                  <w:kern w:val="28"/>
                  <w:sz w:val="22"/>
                  <w:szCs w:val="22"/>
                </w:rPr>
                <w:t>115.</w:t>
              </w:r>
            </w:hyperlink>
            <w:r w:rsidR="0068351E" w:rsidRPr="00911998">
              <w:rPr>
                <w:kern w:val="28"/>
                <w:sz w:val="22"/>
                <w:szCs w:val="22"/>
              </w:rPr>
              <w:t> La déclaration de naissance énonce le nom attribué à l’enfant, son prénom usuel s’il a plusieurs prénoms, son sexe, les lieu, date et heure de sa naissance ainsi que le nom et le domicile de ses père et mère ou de ses parents. Elle énonce également le lien de parenté du déclarant avec l’enfant. Le déclarant est alors désigné comme étant le père, la mère ou le parent selon la mention du sexe figurant à son acte de naissance ou, à son choix, comme étant le parent de l’enfant.</w:t>
            </w:r>
          </w:p>
          <w:p w14:paraId="25F44B41" w14:textId="77777777" w:rsidR="0068351E" w:rsidRPr="00911998" w:rsidRDefault="0068351E" w:rsidP="0068351E">
            <w:pPr>
              <w:spacing w:before="480" w:after="120"/>
              <w:jc w:val="both"/>
              <w:rPr>
                <w:kern w:val="28"/>
                <w:sz w:val="22"/>
                <w:szCs w:val="22"/>
              </w:rPr>
            </w:pPr>
            <w:r w:rsidRPr="00911998">
              <w:rPr>
                <w:rFonts w:cs="Arial"/>
                <w:kern w:val="28"/>
                <w:sz w:val="22"/>
                <w:szCs w:val="22"/>
              </w:rPr>
              <w:t>[…]</w:t>
            </w:r>
          </w:p>
          <w:p w14:paraId="27F7CE96" w14:textId="77777777" w:rsidR="0068351E" w:rsidRPr="00911998" w:rsidRDefault="0068351E" w:rsidP="0068351E">
            <w:pPr>
              <w:spacing w:before="120"/>
              <w:jc w:val="both"/>
              <w:rPr>
                <w:b/>
                <w:bCs/>
                <w:kern w:val="28"/>
                <w:sz w:val="22"/>
                <w:szCs w:val="22"/>
              </w:rPr>
            </w:pPr>
            <w:r w:rsidRPr="00911998">
              <w:rPr>
                <w:b/>
                <w:bCs/>
                <w:kern w:val="28"/>
                <w:sz w:val="22"/>
                <w:szCs w:val="22"/>
              </w:rPr>
              <w:t>TITRE DEUXIÈME</w:t>
            </w:r>
          </w:p>
          <w:p w14:paraId="68BD1F64" w14:textId="77777777" w:rsidR="0068351E" w:rsidRPr="00911998" w:rsidRDefault="0068351E" w:rsidP="0068351E">
            <w:pPr>
              <w:spacing w:after="120"/>
              <w:jc w:val="both"/>
              <w:rPr>
                <w:kern w:val="28"/>
                <w:sz w:val="22"/>
                <w:szCs w:val="22"/>
              </w:rPr>
            </w:pPr>
            <w:r w:rsidRPr="00911998">
              <w:rPr>
                <w:kern w:val="28"/>
                <w:sz w:val="22"/>
                <w:szCs w:val="22"/>
              </w:rPr>
              <w:t>DE LA FILIATION</w:t>
            </w:r>
          </w:p>
          <w:p w14:paraId="3A6A236F" w14:textId="77777777" w:rsidR="0068351E" w:rsidRPr="00911998" w:rsidRDefault="0068351E" w:rsidP="0068351E">
            <w:pPr>
              <w:jc w:val="both"/>
              <w:rPr>
                <w:b/>
                <w:bCs/>
                <w:kern w:val="28"/>
                <w:sz w:val="22"/>
                <w:szCs w:val="22"/>
              </w:rPr>
            </w:pPr>
            <w:bookmarkStart w:id="97" w:name="CHAPITRE_PREMIER_DISPOSITIONS_GENERALES_"/>
            <w:bookmarkEnd w:id="97"/>
            <w:r w:rsidRPr="00911998">
              <w:rPr>
                <w:b/>
                <w:bCs/>
                <w:kern w:val="28"/>
                <w:sz w:val="22"/>
                <w:szCs w:val="22"/>
              </w:rPr>
              <w:t>CHAPITRE PREMIER</w:t>
            </w:r>
          </w:p>
          <w:p w14:paraId="14DE2694" w14:textId="77777777" w:rsidR="0068351E" w:rsidRPr="00911998" w:rsidRDefault="0068351E" w:rsidP="0068351E">
            <w:pPr>
              <w:spacing w:after="120"/>
              <w:jc w:val="both"/>
              <w:rPr>
                <w:kern w:val="28"/>
                <w:sz w:val="22"/>
                <w:szCs w:val="22"/>
              </w:rPr>
            </w:pPr>
            <w:r w:rsidRPr="00911998">
              <w:rPr>
                <w:kern w:val="28"/>
                <w:sz w:val="22"/>
                <w:szCs w:val="22"/>
              </w:rPr>
              <w:t>DISPOSITIONS GÉNÉRALES</w:t>
            </w:r>
          </w:p>
          <w:bookmarkStart w:id="98" w:name="art522"/>
          <w:bookmarkEnd w:id="98"/>
          <w:p w14:paraId="297AB9A8" w14:textId="77777777" w:rsidR="0068351E" w:rsidRPr="00911998" w:rsidRDefault="0068351E" w:rsidP="0068351E">
            <w:pPr>
              <w:spacing w:before="120" w:after="120"/>
              <w:jc w:val="both"/>
              <w:rPr>
                <w:kern w:val="28"/>
                <w:sz w:val="22"/>
                <w:szCs w:val="22"/>
              </w:rPr>
            </w:pPr>
            <w:r w:rsidRPr="00911998">
              <w:rPr>
                <w:b/>
                <w:bCs/>
                <w:kern w:val="28"/>
                <w:sz w:val="22"/>
                <w:szCs w:val="22"/>
              </w:rPr>
              <w:fldChar w:fldCharType="begin"/>
            </w:r>
            <w:r w:rsidRPr="00911998">
              <w:rPr>
                <w:b/>
                <w:bCs/>
                <w:kern w:val="28"/>
                <w:sz w:val="22"/>
                <w:szCs w:val="22"/>
              </w:rPr>
              <w:instrText>HYPERLINK "https://www.canlii.org/fr/qc/legis/lois/rlrq-c-ccq-1991/derniere/rlrq-c-ccq-1991.html" \l "se:522"</w:instrText>
            </w:r>
            <w:r w:rsidRPr="00911998">
              <w:rPr>
                <w:b/>
                <w:bCs/>
                <w:kern w:val="28"/>
                <w:sz w:val="22"/>
                <w:szCs w:val="22"/>
              </w:rPr>
            </w:r>
            <w:r w:rsidRPr="00911998">
              <w:rPr>
                <w:b/>
                <w:bCs/>
                <w:kern w:val="28"/>
                <w:sz w:val="22"/>
                <w:szCs w:val="22"/>
              </w:rPr>
              <w:fldChar w:fldCharType="separate"/>
            </w:r>
            <w:r w:rsidRPr="00911998">
              <w:rPr>
                <w:b/>
                <w:bCs/>
                <w:kern w:val="28"/>
                <w:sz w:val="22"/>
                <w:szCs w:val="22"/>
              </w:rPr>
              <w:t>522.</w:t>
            </w:r>
            <w:r w:rsidRPr="00911998">
              <w:rPr>
                <w:b/>
                <w:bCs/>
                <w:kern w:val="28"/>
                <w:sz w:val="22"/>
                <w:szCs w:val="22"/>
              </w:rPr>
              <w:fldChar w:fldCharType="end"/>
            </w:r>
            <w:r w:rsidRPr="00911998">
              <w:rPr>
                <w:b/>
                <w:bCs/>
                <w:kern w:val="28"/>
                <w:sz w:val="22"/>
                <w:szCs w:val="22"/>
              </w:rPr>
              <w:t> </w:t>
            </w:r>
            <w:r w:rsidRPr="00911998">
              <w:rPr>
                <w:kern w:val="28"/>
                <w:sz w:val="22"/>
                <w:szCs w:val="22"/>
              </w:rPr>
              <w:t>Tous les enfants dont la filiation est établie ont les mêmes droits et les mêmes obligations, quelles que soient les circonstances de leur naissance.</w:t>
            </w:r>
          </w:p>
          <w:bookmarkStart w:id="99" w:name="art522.1"/>
          <w:bookmarkEnd w:id="99"/>
          <w:p w14:paraId="64313D38" w14:textId="77777777" w:rsidR="0068351E" w:rsidRPr="00911998" w:rsidRDefault="0068351E" w:rsidP="0068351E">
            <w:pPr>
              <w:spacing w:before="120" w:after="120"/>
              <w:jc w:val="both"/>
              <w:rPr>
                <w:kern w:val="28"/>
                <w:sz w:val="22"/>
                <w:szCs w:val="22"/>
              </w:rPr>
            </w:pPr>
            <w:r w:rsidRPr="00911998">
              <w:rPr>
                <w:b/>
                <w:bCs/>
                <w:kern w:val="28"/>
                <w:sz w:val="22"/>
                <w:szCs w:val="22"/>
              </w:rPr>
              <w:fldChar w:fldCharType="begin"/>
            </w:r>
            <w:r w:rsidRPr="00911998">
              <w:rPr>
                <w:b/>
                <w:bCs/>
                <w:kern w:val="28"/>
                <w:sz w:val="22"/>
                <w:szCs w:val="22"/>
              </w:rPr>
              <w:instrText>HYPERLINK "https://www.canlii.org/fr/qc/legis/lois/rlrq-c-ccq-1991/derniere/rlrq-c-ccq-1991.html" \l "se:522_1"</w:instrText>
            </w:r>
            <w:r w:rsidRPr="00911998">
              <w:rPr>
                <w:b/>
                <w:bCs/>
                <w:kern w:val="28"/>
                <w:sz w:val="22"/>
                <w:szCs w:val="22"/>
              </w:rPr>
            </w:r>
            <w:r w:rsidRPr="00911998">
              <w:rPr>
                <w:b/>
                <w:bCs/>
                <w:kern w:val="28"/>
                <w:sz w:val="22"/>
                <w:szCs w:val="22"/>
              </w:rPr>
              <w:fldChar w:fldCharType="separate"/>
            </w:r>
            <w:r w:rsidRPr="00911998">
              <w:rPr>
                <w:b/>
                <w:bCs/>
                <w:kern w:val="28"/>
                <w:sz w:val="22"/>
                <w:szCs w:val="22"/>
              </w:rPr>
              <w:t>522.1.</w:t>
            </w:r>
            <w:r w:rsidRPr="00911998">
              <w:rPr>
                <w:b/>
                <w:bCs/>
                <w:kern w:val="28"/>
                <w:sz w:val="22"/>
                <w:szCs w:val="22"/>
              </w:rPr>
              <w:fldChar w:fldCharType="end"/>
            </w:r>
            <w:r w:rsidRPr="00911998">
              <w:rPr>
                <w:b/>
                <w:bCs/>
                <w:kern w:val="28"/>
                <w:sz w:val="22"/>
                <w:szCs w:val="22"/>
              </w:rPr>
              <w:t> </w:t>
            </w:r>
            <w:r w:rsidRPr="00911998">
              <w:rPr>
                <w:kern w:val="28"/>
                <w:sz w:val="22"/>
                <w:szCs w:val="22"/>
              </w:rPr>
              <w:t>La filiation d’un enfant se prouve par son acte de naissance, quelle que soit la façon dont elle est établie.</w:t>
            </w:r>
          </w:p>
          <w:p w14:paraId="5006695B" w14:textId="77777777" w:rsidR="0068351E" w:rsidRPr="00911998" w:rsidRDefault="0068351E" w:rsidP="0068351E">
            <w:pPr>
              <w:jc w:val="both"/>
              <w:rPr>
                <w:b/>
                <w:bCs/>
                <w:kern w:val="28"/>
                <w:sz w:val="22"/>
                <w:szCs w:val="22"/>
              </w:rPr>
            </w:pPr>
            <w:bookmarkStart w:id="100" w:name="CHAPITRE_DEUXIEME_DE_LA_FILIATION_DE_NAI"/>
            <w:bookmarkEnd w:id="100"/>
            <w:r w:rsidRPr="00911998">
              <w:rPr>
                <w:b/>
                <w:bCs/>
                <w:kern w:val="28"/>
                <w:sz w:val="22"/>
                <w:szCs w:val="22"/>
              </w:rPr>
              <w:t>CHAPITRE DEUXIÈME</w:t>
            </w:r>
          </w:p>
          <w:p w14:paraId="2104A3FF" w14:textId="77777777" w:rsidR="0068351E" w:rsidRPr="00911998" w:rsidRDefault="0068351E" w:rsidP="0068351E">
            <w:pPr>
              <w:spacing w:after="120"/>
              <w:jc w:val="both"/>
              <w:rPr>
                <w:kern w:val="28"/>
                <w:sz w:val="22"/>
                <w:szCs w:val="22"/>
              </w:rPr>
            </w:pPr>
            <w:r w:rsidRPr="00911998">
              <w:rPr>
                <w:kern w:val="28"/>
                <w:sz w:val="22"/>
                <w:szCs w:val="22"/>
              </w:rPr>
              <w:t>DE LA FILIATION DE NAISSANCE</w:t>
            </w:r>
          </w:p>
          <w:p w14:paraId="4A14429B" w14:textId="77777777" w:rsidR="0068351E" w:rsidRPr="00911998" w:rsidRDefault="0068351E" w:rsidP="0068351E">
            <w:pPr>
              <w:jc w:val="both"/>
              <w:rPr>
                <w:b/>
                <w:bCs/>
                <w:kern w:val="28"/>
                <w:sz w:val="22"/>
                <w:szCs w:val="22"/>
              </w:rPr>
            </w:pPr>
            <w:bookmarkStart w:id="101" w:name="SECTION_I_DISPOSITION_GENERALE_843592"/>
            <w:bookmarkEnd w:id="101"/>
            <w:r w:rsidRPr="00911998">
              <w:rPr>
                <w:b/>
                <w:bCs/>
                <w:kern w:val="28"/>
                <w:sz w:val="22"/>
                <w:szCs w:val="22"/>
              </w:rPr>
              <w:t>SECTION I</w:t>
            </w:r>
          </w:p>
          <w:p w14:paraId="064C0D67" w14:textId="77777777" w:rsidR="0068351E" w:rsidRPr="00911998" w:rsidRDefault="0068351E" w:rsidP="0068351E">
            <w:pPr>
              <w:spacing w:after="120"/>
              <w:jc w:val="both"/>
              <w:rPr>
                <w:kern w:val="28"/>
                <w:sz w:val="22"/>
                <w:szCs w:val="22"/>
              </w:rPr>
            </w:pPr>
            <w:r w:rsidRPr="00911998">
              <w:rPr>
                <w:kern w:val="28"/>
                <w:sz w:val="22"/>
                <w:szCs w:val="22"/>
              </w:rPr>
              <w:t>DISPOSITION GÉNÉRALE</w:t>
            </w:r>
          </w:p>
          <w:bookmarkStart w:id="102" w:name="art522.2"/>
          <w:bookmarkEnd w:id="102"/>
          <w:p w14:paraId="2EAADAC5" w14:textId="77777777" w:rsidR="0068351E" w:rsidRPr="00911998" w:rsidRDefault="0068351E" w:rsidP="0068351E">
            <w:pPr>
              <w:spacing w:before="120" w:after="120"/>
              <w:jc w:val="both"/>
              <w:rPr>
                <w:b/>
                <w:bCs/>
                <w:kern w:val="28"/>
                <w:sz w:val="22"/>
                <w:szCs w:val="22"/>
              </w:rPr>
            </w:pPr>
            <w:r w:rsidRPr="00911998">
              <w:rPr>
                <w:b/>
                <w:bCs/>
                <w:kern w:val="28"/>
                <w:sz w:val="22"/>
                <w:szCs w:val="22"/>
              </w:rPr>
              <w:fldChar w:fldCharType="begin"/>
            </w:r>
            <w:r w:rsidRPr="00911998">
              <w:rPr>
                <w:b/>
                <w:bCs/>
                <w:kern w:val="28"/>
                <w:sz w:val="22"/>
                <w:szCs w:val="22"/>
              </w:rPr>
              <w:instrText>HYPERLINK "https://www.canlii.org/fr/qc/legis/lois/rlrq-c-ccq-1991/derniere/rlrq-c-ccq-1991.html" \l "se:522_2"</w:instrText>
            </w:r>
            <w:r w:rsidRPr="00911998">
              <w:rPr>
                <w:b/>
                <w:bCs/>
                <w:kern w:val="28"/>
                <w:sz w:val="22"/>
                <w:szCs w:val="22"/>
              </w:rPr>
            </w:r>
            <w:r w:rsidRPr="00911998">
              <w:rPr>
                <w:b/>
                <w:bCs/>
                <w:kern w:val="28"/>
                <w:sz w:val="22"/>
                <w:szCs w:val="22"/>
              </w:rPr>
              <w:fldChar w:fldCharType="separate"/>
            </w:r>
            <w:r w:rsidRPr="00911998">
              <w:rPr>
                <w:b/>
                <w:bCs/>
                <w:kern w:val="28"/>
                <w:sz w:val="22"/>
                <w:szCs w:val="22"/>
              </w:rPr>
              <w:t>522.2.</w:t>
            </w:r>
            <w:r w:rsidRPr="00911998">
              <w:rPr>
                <w:b/>
                <w:bCs/>
                <w:kern w:val="28"/>
                <w:sz w:val="22"/>
                <w:szCs w:val="22"/>
              </w:rPr>
              <w:fldChar w:fldCharType="end"/>
            </w:r>
            <w:r w:rsidRPr="00911998">
              <w:rPr>
                <w:kern w:val="28"/>
                <w:sz w:val="22"/>
                <w:szCs w:val="22"/>
              </w:rPr>
              <w:t> Tous les enfants ont droit à l’établissement de leur filiation dans les conditions prévues au présent chapitre, sans autre considération.</w:t>
            </w:r>
          </w:p>
          <w:p w14:paraId="6B9793CD" w14:textId="77777777" w:rsidR="0068351E" w:rsidRPr="00911998" w:rsidRDefault="0068351E" w:rsidP="0068351E">
            <w:pPr>
              <w:jc w:val="both"/>
              <w:rPr>
                <w:b/>
                <w:bCs/>
                <w:kern w:val="28"/>
                <w:sz w:val="22"/>
                <w:szCs w:val="22"/>
              </w:rPr>
            </w:pPr>
            <w:bookmarkStart w:id="103" w:name="SECTION_II_DE_LA_FILIATION_PAR_LA_RECONN"/>
            <w:bookmarkEnd w:id="103"/>
            <w:r w:rsidRPr="00911998">
              <w:rPr>
                <w:b/>
                <w:bCs/>
                <w:kern w:val="28"/>
                <w:sz w:val="22"/>
                <w:szCs w:val="22"/>
              </w:rPr>
              <w:t>SECTION II</w:t>
            </w:r>
          </w:p>
          <w:p w14:paraId="310E1051" w14:textId="77777777" w:rsidR="0068351E" w:rsidRPr="00911998" w:rsidRDefault="0068351E" w:rsidP="009E4C59">
            <w:pPr>
              <w:jc w:val="both"/>
              <w:rPr>
                <w:kern w:val="28"/>
                <w:sz w:val="22"/>
                <w:szCs w:val="22"/>
              </w:rPr>
            </w:pPr>
            <w:r w:rsidRPr="00911998">
              <w:rPr>
                <w:kern w:val="28"/>
                <w:sz w:val="22"/>
                <w:szCs w:val="22"/>
              </w:rPr>
              <w:t>DE LA FILIATION PAR LA RECONNAISSANCE OU PAR LE SANG</w:t>
            </w:r>
          </w:p>
          <w:bookmarkStart w:id="104" w:name="art523"/>
          <w:bookmarkEnd w:id="104"/>
          <w:p w14:paraId="0394BC2F" w14:textId="77777777" w:rsidR="0068351E" w:rsidRPr="00911998" w:rsidRDefault="0068351E" w:rsidP="009E4C59">
            <w:pPr>
              <w:spacing w:before="120" w:after="120"/>
              <w:jc w:val="both"/>
              <w:rPr>
                <w:kern w:val="28"/>
                <w:sz w:val="22"/>
                <w:szCs w:val="22"/>
              </w:rPr>
            </w:pPr>
            <w:r w:rsidRPr="00911998">
              <w:rPr>
                <w:b/>
                <w:bCs/>
                <w:kern w:val="28"/>
                <w:sz w:val="22"/>
                <w:szCs w:val="22"/>
              </w:rPr>
              <w:fldChar w:fldCharType="begin"/>
            </w:r>
            <w:r w:rsidRPr="00911998">
              <w:rPr>
                <w:b/>
                <w:bCs/>
                <w:kern w:val="28"/>
                <w:sz w:val="22"/>
                <w:szCs w:val="22"/>
              </w:rPr>
              <w:instrText>HYPERLINK "https://www.canlii.org/fr/qc/legis/lois/rlrq-c-ccq-1991/derniere/rlrq-c-ccq-1991.html" \l "se:523"</w:instrText>
            </w:r>
            <w:r w:rsidRPr="00911998">
              <w:rPr>
                <w:b/>
                <w:bCs/>
                <w:kern w:val="28"/>
                <w:sz w:val="22"/>
                <w:szCs w:val="22"/>
              </w:rPr>
            </w:r>
            <w:r w:rsidRPr="00911998">
              <w:rPr>
                <w:b/>
                <w:bCs/>
                <w:kern w:val="28"/>
                <w:sz w:val="22"/>
                <w:szCs w:val="22"/>
              </w:rPr>
              <w:fldChar w:fldCharType="separate"/>
            </w:r>
            <w:r w:rsidRPr="00911998">
              <w:rPr>
                <w:b/>
                <w:bCs/>
                <w:kern w:val="28"/>
                <w:sz w:val="22"/>
                <w:szCs w:val="22"/>
              </w:rPr>
              <w:t>523.</w:t>
            </w:r>
            <w:r w:rsidRPr="00911998">
              <w:rPr>
                <w:b/>
                <w:bCs/>
                <w:kern w:val="28"/>
                <w:sz w:val="22"/>
                <w:szCs w:val="22"/>
              </w:rPr>
              <w:fldChar w:fldCharType="end"/>
            </w:r>
            <w:r w:rsidRPr="00911998">
              <w:rPr>
                <w:kern w:val="28"/>
                <w:sz w:val="22"/>
                <w:szCs w:val="22"/>
              </w:rPr>
              <w:t xml:space="preserve"> La filiation de l’enfant s’établit à l’égard de la mère ou du parent par le fait de lui </w:t>
            </w:r>
            <w:r w:rsidRPr="00911998">
              <w:rPr>
                <w:kern w:val="28"/>
                <w:sz w:val="22"/>
                <w:szCs w:val="22"/>
              </w:rPr>
              <w:lastRenderedPageBreak/>
              <w:t>avoir donné naissance et, à l’égard du père ou de l’autre parent, par la reconnaissance d’un lien de filiation dans la déclaration de naissance conformément aux règles prévues au présent code.</w:t>
            </w:r>
          </w:p>
          <w:p w14:paraId="7C0418DC" w14:textId="77777777" w:rsidR="0068351E" w:rsidRPr="00911998" w:rsidRDefault="0068351E" w:rsidP="0068351E">
            <w:pPr>
              <w:spacing w:before="120" w:after="120"/>
              <w:jc w:val="both"/>
              <w:rPr>
                <w:b/>
                <w:bCs/>
                <w:kern w:val="28"/>
                <w:sz w:val="22"/>
                <w:szCs w:val="22"/>
              </w:rPr>
            </w:pPr>
            <w:r w:rsidRPr="00911998">
              <w:rPr>
                <w:kern w:val="28"/>
                <w:sz w:val="22"/>
                <w:szCs w:val="22"/>
              </w:rPr>
              <w:t>À défaut de cette reconnaissance dans la déclaration de naissance, la possession constante d’état suffit.</w:t>
            </w:r>
          </w:p>
          <w:bookmarkStart w:id="105" w:name="art524"/>
          <w:bookmarkEnd w:id="105"/>
          <w:p w14:paraId="443A9C31" w14:textId="77777777" w:rsidR="0068351E" w:rsidRPr="00911998" w:rsidRDefault="0068351E" w:rsidP="0068351E">
            <w:pPr>
              <w:spacing w:before="120" w:after="120"/>
              <w:jc w:val="both"/>
              <w:rPr>
                <w:kern w:val="28"/>
                <w:sz w:val="22"/>
                <w:szCs w:val="22"/>
              </w:rPr>
            </w:pPr>
            <w:r w:rsidRPr="00911998">
              <w:rPr>
                <w:b/>
                <w:bCs/>
                <w:kern w:val="28"/>
                <w:sz w:val="22"/>
                <w:szCs w:val="22"/>
              </w:rPr>
              <w:fldChar w:fldCharType="begin"/>
            </w:r>
            <w:r w:rsidRPr="00911998">
              <w:rPr>
                <w:b/>
                <w:bCs/>
                <w:kern w:val="28"/>
                <w:sz w:val="22"/>
                <w:szCs w:val="22"/>
              </w:rPr>
              <w:instrText>HYPERLINK "https://www.canlii.org/fr/qc/legis/lois/rlrq-c-ccq-1991/derniere/rlrq-c-ccq-1991.html" \l "se:524"</w:instrText>
            </w:r>
            <w:r w:rsidRPr="00911998">
              <w:rPr>
                <w:b/>
                <w:bCs/>
                <w:kern w:val="28"/>
                <w:sz w:val="22"/>
                <w:szCs w:val="22"/>
              </w:rPr>
            </w:r>
            <w:r w:rsidRPr="00911998">
              <w:rPr>
                <w:b/>
                <w:bCs/>
                <w:kern w:val="28"/>
                <w:sz w:val="22"/>
                <w:szCs w:val="22"/>
              </w:rPr>
              <w:fldChar w:fldCharType="separate"/>
            </w:r>
            <w:r w:rsidRPr="00911998">
              <w:rPr>
                <w:b/>
                <w:bCs/>
                <w:kern w:val="28"/>
                <w:sz w:val="22"/>
                <w:szCs w:val="22"/>
              </w:rPr>
              <w:t>524.</w:t>
            </w:r>
            <w:r w:rsidRPr="00911998">
              <w:rPr>
                <w:b/>
                <w:bCs/>
                <w:kern w:val="28"/>
                <w:sz w:val="22"/>
                <w:szCs w:val="22"/>
              </w:rPr>
              <w:fldChar w:fldCharType="end"/>
            </w:r>
            <w:r w:rsidRPr="00911998">
              <w:rPr>
                <w:kern w:val="28"/>
                <w:sz w:val="22"/>
                <w:szCs w:val="22"/>
              </w:rPr>
              <w:t> La possession constante d’état s’établit par une réunion suffisante de faits qui indiquent les rapports de filiation entre l’enfant et la personne qui se conduit à son égard comme son parent. Pour que la possession soit constante, une telle conduite doit commencer à la naissance de l’enfant et se poursuivre sur une période minimale de 24 mois, sauf circonstances exceptionnelles.</w:t>
            </w:r>
          </w:p>
          <w:p w14:paraId="1786EFC6" w14:textId="77777777" w:rsidR="0068351E" w:rsidRPr="00911998" w:rsidRDefault="0068351E" w:rsidP="0068351E">
            <w:pPr>
              <w:spacing w:before="120" w:after="120"/>
              <w:jc w:val="both"/>
              <w:rPr>
                <w:b/>
                <w:bCs/>
                <w:kern w:val="28"/>
                <w:sz w:val="22"/>
                <w:szCs w:val="22"/>
              </w:rPr>
            </w:pPr>
            <w:r w:rsidRPr="00911998">
              <w:rPr>
                <w:kern w:val="28"/>
                <w:sz w:val="22"/>
                <w:szCs w:val="22"/>
              </w:rPr>
              <w:t>La possession constante d’état ne peut s’établir dans les cas où elle est exercée par plus d’une personne simultanément.</w:t>
            </w:r>
          </w:p>
          <w:bookmarkStart w:id="106" w:name="art525"/>
          <w:bookmarkEnd w:id="106"/>
          <w:p w14:paraId="2EA94EF4" w14:textId="77777777" w:rsidR="0068351E" w:rsidRPr="00911998" w:rsidRDefault="0068351E" w:rsidP="0068351E">
            <w:pPr>
              <w:spacing w:before="120" w:after="120"/>
              <w:jc w:val="both"/>
              <w:rPr>
                <w:kern w:val="28"/>
                <w:sz w:val="22"/>
                <w:szCs w:val="22"/>
              </w:rPr>
            </w:pPr>
            <w:r w:rsidRPr="00911998">
              <w:rPr>
                <w:b/>
                <w:bCs/>
                <w:kern w:val="28"/>
                <w:sz w:val="22"/>
                <w:szCs w:val="22"/>
              </w:rPr>
              <w:fldChar w:fldCharType="begin"/>
            </w:r>
            <w:r w:rsidRPr="00911998">
              <w:rPr>
                <w:b/>
                <w:bCs/>
                <w:kern w:val="28"/>
                <w:sz w:val="22"/>
                <w:szCs w:val="22"/>
              </w:rPr>
              <w:instrText>HYPERLINK "https://www.canlii.org/fr/qc/legis/lois/rlrq-c-ccq-1991/derniere/rlrq-c-ccq-1991.html" \l "se:525"</w:instrText>
            </w:r>
            <w:r w:rsidRPr="00911998">
              <w:rPr>
                <w:b/>
                <w:bCs/>
                <w:kern w:val="28"/>
                <w:sz w:val="22"/>
                <w:szCs w:val="22"/>
              </w:rPr>
            </w:r>
            <w:r w:rsidRPr="00911998">
              <w:rPr>
                <w:b/>
                <w:bCs/>
                <w:kern w:val="28"/>
                <w:sz w:val="22"/>
                <w:szCs w:val="22"/>
              </w:rPr>
              <w:fldChar w:fldCharType="separate"/>
            </w:r>
            <w:r w:rsidRPr="00911998">
              <w:rPr>
                <w:b/>
                <w:bCs/>
                <w:kern w:val="28"/>
                <w:sz w:val="22"/>
                <w:szCs w:val="22"/>
              </w:rPr>
              <w:t>525.</w:t>
            </w:r>
            <w:r w:rsidRPr="00911998">
              <w:rPr>
                <w:b/>
                <w:bCs/>
                <w:kern w:val="28"/>
                <w:sz w:val="22"/>
                <w:szCs w:val="22"/>
              </w:rPr>
              <w:fldChar w:fldCharType="end"/>
            </w:r>
            <w:r w:rsidRPr="00911998">
              <w:rPr>
                <w:kern w:val="28"/>
                <w:sz w:val="22"/>
                <w:szCs w:val="22"/>
              </w:rPr>
              <w:t> L’enfant né pendant le mariage, l’union civile ou l’union de fait ou dans les 300 jours après sa dissolution, son annulation ou, dans le cas de l’union de fait, sa fin, est présumé avoir pour autre parent le conjoint de sa mère ou du parent qui lui a donné naissance.</w:t>
            </w:r>
          </w:p>
          <w:p w14:paraId="3046C02E" w14:textId="77777777" w:rsidR="0068351E" w:rsidRPr="00911998" w:rsidRDefault="0068351E" w:rsidP="0068351E">
            <w:pPr>
              <w:spacing w:before="120" w:after="120"/>
              <w:jc w:val="both"/>
              <w:rPr>
                <w:kern w:val="28"/>
                <w:sz w:val="22"/>
                <w:szCs w:val="22"/>
              </w:rPr>
            </w:pPr>
            <w:r w:rsidRPr="00911998">
              <w:rPr>
                <w:kern w:val="28"/>
                <w:sz w:val="22"/>
                <w:szCs w:val="22"/>
              </w:rPr>
              <w:t>La présomption est écartée à l’égard de l’ex-conjoint lorsque l’enfant est né dans les 300 jours de la dissolution ou de l’annulation du mariage ou de l’union civile ou de la fin de l’union de fait, mais après le mariage, l’union civile ou l’union de fait subséquent de sa mère ou du parent qui lui a donné naissance.</w:t>
            </w:r>
          </w:p>
          <w:p w14:paraId="254780E0" w14:textId="77777777" w:rsidR="0068351E" w:rsidRPr="00911998" w:rsidRDefault="0068351E" w:rsidP="0068351E">
            <w:pPr>
              <w:spacing w:before="120" w:after="120"/>
              <w:jc w:val="both"/>
              <w:rPr>
                <w:kern w:val="28"/>
                <w:sz w:val="22"/>
                <w:szCs w:val="22"/>
              </w:rPr>
            </w:pPr>
            <w:r w:rsidRPr="00911998">
              <w:rPr>
                <w:kern w:val="28"/>
                <w:sz w:val="22"/>
                <w:szCs w:val="22"/>
              </w:rPr>
              <w:t xml:space="preserve">Cette présomption est également écartée lorsque l’enfant naît plus de 300 jours après le jugement prononçant la séparation de corps des époux, sauf s’il y a eu reprise </w:t>
            </w:r>
            <w:r w:rsidRPr="00911998">
              <w:rPr>
                <w:kern w:val="28"/>
                <w:sz w:val="22"/>
                <w:szCs w:val="22"/>
              </w:rPr>
              <w:lastRenderedPageBreak/>
              <w:t>volontaire de la vie commune avant la naissance.</w:t>
            </w:r>
          </w:p>
          <w:p w14:paraId="4327D4E3" w14:textId="77777777" w:rsidR="0068351E" w:rsidRPr="00911998" w:rsidRDefault="0068351E" w:rsidP="0068351E">
            <w:pPr>
              <w:spacing w:before="120" w:after="120"/>
              <w:jc w:val="both"/>
              <w:rPr>
                <w:kern w:val="28"/>
                <w:sz w:val="22"/>
                <w:szCs w:val="22"/>
              </w:rPr>
            </w:pPr>
            <w:r w:rsidRPr="00911998">
              <w:rPr>
                <w:kern w:val="28"/>
                <w:sz w:val="22"/>
                <w:szCs w:val="22"/>
              </w:rPr>
              <w:t>La présomption est aussi écartée lorsque l’enfant est issu d’une activité de procréation assistée réalisée après le décès du conjoint de sa mère ou du parent qui lui a donné naissance.</w:t>
            </w:r>
          </w:p>
          <w:p w14:paraId="6A1ED530" w14:textId="77777777" w:rsidR="0068351E" w:rsidRPr="00911998" w:rsidRDefault="0068351E" w:rsidP="0068351E">
            <w:pPr>
              <w:rPr>
                <w:sz w:val="22"/>
                <w:szCs w:val="22"/>
              </w:rPr>
            </w:pPr>
            <w:r w:rsidRPr="00911998">
              <w:rPr>
                <w:rFonts w:cs="Arial"/>
                <w:sz w:val="22"/>
                <w:szCs w:val="22"/>
              </w:rPr>
              <w:t>[Les a</w:t>
            </w:r>
            <w:r w:rsidRPr="00911998">
              <w:rPr>
                <w:sz w:val="22"/>
                <w:szCs w:val="22"/>
              </w:rPr>
              <w:t>rticles 526 to 537 sont abrogés.</w:t>
            </w:r>
            <w:r w:rsidRPr="00911998">
              <w:rPr>
                <w:rFonts w:cs="Arial"/>
                <w:sz w:val="22"/>
                <w:szCs w:val="22"/>
              </w:rPr>
              <w:t>]</w:t>
            </w:r>
          </w:p>
          <w:p w14:paraId="3BE592A4" w14:textId="77777777" w:rsidR="0068351E" w:rsidRPr="00911998" w:rsidRDefault="0068351E" w:rsidP="0068351E">
            <w:pPr>
              <w:spacing w:before="120" w:after="120" w:line="500" w:lineRule="exact"/>
              <w:jc w:val="both"/>
              <w:rPr>
                <w:kern w:val="28"/>
              </w:rPr>
            </w:pPr>
          </w:p>
          <w:p w14:paraId="71376F3F" w14:textId="77777777" w:rsidR="0068351E" w:rsidRPr="00911998" w:rsidRDefault="0068351E" w:rsidP="0068351E">
            <w:pPr>
              <w:spacing w:before="120" w:after="120"/>
              <w:jc w:val="both"/>
              <w:rPr>
                <w:kern w:val="28"/>
                <w:sz w:val="22"/>
                <w:szCs w:val="22"/>
              </w:rPr>
            </w:pPr>
          </w:p>
        </w:tc>
        <w:tc>
          <w:tcPr>
            <w:tcW w:w="4536" w:type="dxa"/>
          </w:tcPr>
          <w:p w14:paraId="76B3C3A3" w14:textId="77777777" w:rsidR="0068351E" w:rsidRPr="00911998" w:rsidRDefault="0068351E" w:rsidP="0068351E">
            <w:pPr>
              <w:rPr>
                <w:b/>
                <w:bCs/>
                <w:i/>
                <w:iCs/>
                <w:sz w:val="22"/>
                <w:szCs w:val="22"/>
                <w:lang w:val="en-CA"/>
              </w:rPr>
            </w:pPr>
            <w:r w:rsidRPr="00911998">
              <w:rPr>
                <w:b/>
                <w:bCs/>
                <w:i/>
                <w:iCs/>
                <w:sz w:val="22"/>
                <w:szCs w:val="22"/>
                <w:lang w:val="en-CA"/>
              </w:rPr>
              <w:lastRenderedPageBreak/>
              <w:t>CHAPTER IV</w:t>
            </w:r>
          </w:p>
          <w:p w14:paraId="696538E0" w14:textId="77777777" w:rsidR="0068351E" w:rsidRPr="00911998" w:rsidRDefault="0068351E" w:rsidP="0068351E">
            <w:pPr>
              <w:rPr>
                <w:i/>
                <w:iCs/>
                <w:sz w:val="22"/>
                <w:szCs w:val="22"/>
                <w:lang w:val="en-CA"/>
              </w:rPr>
            </w:pPr>
            <w:r w:rsidRPr="00911998">
              <w:rPr>
                <w:i/>
                <w:iCs/>
                <w:sz w:val="22"/>
                <w:szCs w:val="22"/>
                <w:lang w:val="en-CA"/>
              </w:rPr>
              <w:t>REGISTER AND ACTS OF CIVIL STATUS</w:t>
            </w:r>
          </w:p>
          <w:p w14:paraId="6B43E288" w14:textId="77777777" w:rsidR="0068351E" w:rsidRPr="00911998" w:rsidRDefault="0068351E" w:rsidP="0068351E">
            <w:pPr>
              <w:rPr>
                <w:b/>
                <w:bCs/>
                <w:i/>
                <w:iCs/>
                <w:sz w:val="22"/>
                <w:szCs w:val="22"/>
                <w:lang w:val="en-CA"/>
              </w:rPr>
            </w:pPr>
          </w:p>
          <w:p w14:paraId="26567099" w14:textId="77777777" w:rsidR="0068351E" w:rsidRPr="00911998" w:rsidRDefault="0068351E" w:rsidP="0068351E">
            <w:pPr>
              <w:spacing w:before="360" w:after="120"/>
              <w:jc w:val="both"/>
              <w:rPr>
                <w:rFonts w:cs="Arial"/>
                <w:i/>
                <w:iCs/>
                <w:kern w:val="28"/>
                <w:sz w:val="22"/>
                <w:szCs w:val="22"/>
                <w:lang w:val="en-CA"/>
              </w:rPr>
            </w:pPr>
            <w:r w:rsidRPr="00911998">
              <w:rPr>
                <w:rFonts w:cs="Arial"/>
                <w:i/>
                <w:iCs/>
                <w:kern w:val="28"/>
                <w:sz w:val="22"/>
                <w:szCs w:val="22"/>
                <w:lang w:val="en-CA"/>
              </w:rPr>
              <w:t>[…]</w:t>
            </w:r>
          </w:p>
          <w:p w14:paraId="5D2A545A" w14:textId="77777777" w:rsidR="0068351E" w:rsidRPr="00911998" w:rsidRDefault="0068351E" w:rsidP="0068351E">
            <w:pPr>
              <w:rPr>
                <w:b/>
                <w:bCs/>
                <w:i/>
                <w:iCs/>
                <w:sz w:val="22"/>
                <w:szCs w:val="22"/>
                <w:lang w:val="en-CA"/>
              </w:rPr>
            </w:pPr>
            <w:r w:rsidRPr="00911998">
              <w:rPr>
                <w:b/>
                <w:bCs/>
                <w:i/>
                <w:iCs/>
                <w:sz w:val="22"/>
                <w:szCs w:val="22"/>
                <w:lang w:val="en-CA"/>
              </w:rPr>
              <w:t>DIVISION III</w:t>
            </w:r>
          </w:p>
          <w:p w14:paraId="3BF2F86E" w14:textId="77777777" w:rsidR="0068351E" w:rsidRPr="00911998" w:rsidRDefault="0068351E" w:rsidP="0068351E">
            <w:pPr>
              <w:rPr>
                <w:i/>
                <w:iCs/>
                <w:sz w:val="22"/>
                <w:szCs w:val="22"/>
                <w:lang w:val="en-CA"/>
              </w:rPr>
            </w:pPr>
            <w:r w:rsidRPr="00911998">
              <w:rPr>
                <w:i/>
                <w:iCs/>
                <w:sz w:val="22"/>
                <w:szCs w:val="22"/>
                <w:lang w:val="en-CA"/>
              </w:rPr>
              <w:t>ACTS OF CIVIL STATUS</w:t>
            </w:r>
          </w:p>
          <w:p w14:paraId="733177D6" w14:textId="77777777" w:rsidR="0068351E" w:rsidRPr="00911998" w:rsidRDefault="0068351E" w:rsidP="0068351E">
            <w:pPr>
              <w:spacing w:before="120" w:after="120"/>
              <w:jc w:val="both"/>
              <w:rPr>
                <w:rFonts w:cs="Arial"/>
                <w:i/>
                <w:iCs/>
                <w:kern w:val="28"/>
                <w:sz w:val="22"/>
                <w:szCs w:val="22"/>
                <w:lang w:val="en-CA"/>
              </w:rPr>
            </w:pPr>
            <w:r w:rsidRPr="00911998">
              <w:rPr>
                <w:rFonts w:cs="Arial"/>
                <w:i/>
                <w:iCs/>
                <w:kern w:val="28"/>
                <w:sz w:val="22"/>
                <w:szCs w:val="22"/>
                <w:lang w:val="en-CA"/>
              </w:rPr>
              <w:t>[…]</w:t>
            </w:r>
          </w:p>
          <w:p w14:paraId="4BCF51D0" w14:textId="77777777" w:rsidR="0068351E" w:rsidRPr="00911998" w:rsidRDefault="0068351E" w:rsidP="0068351E">
            <w:pPr>
              <w:spacing w:before="120" w:after="120"/>
              <w:rPr>
                <w:i/>
                <w:iCs/>
                <w:sz w:val="22"/>
                <w:szCs w:val="22"/>
                <w:lang w:val="en-CA"/>
              </w:rPr>
            </w:pPr>
            <w:r w:rsidRPr="00911998">
              <w:rPr>
                <w:i/>
                <w:iCs/>
                <w:sz w:val="22"/>
                <w:szCs w:val="22"/>
                <w:lang w:val="en-CA"/>
              </w:rPr>
              <w:t>§ 2.  — Acts of birth</w:t>
            </w:r>
          </w:p>
          <w:p w14:paraId="6B82892D" w14:textId="77777777" w:rsidR="0068351E" w:rsidRPr="00911998" w:rsidRDefault="0068351E" w:rsidP="0068351E">
            <w:pPr>
              <w:spacing w:before="120" w:after="120"/>
              <w:jc w:val="both"/>
              <w:rPr>
                <w:rFonts w:cs="Arial"/>
                <w:i/>
                <w:iCs/>
                <w:kern w:val="28"/>
                <w:sz w:val="22"/>
                <w:szCs w:val="22"/>
                <w:lang w:val="en-CA"/>
              </w:rPr>
            </w:pPr>
            <w:r w:rsidRPr="00911998">
              <w:rPr>
                <w:rFonts w:cs="Arial"/>
                <w:i/>
                <w:iCs/>
                <w:kern w:val="28"/>
                <w:sz w:val="22"/>
                <w:szCs w:val="22"/>
                <w:lang w:val="en-CA"/>
              </w:rPr>
              <w:t>[…]</w:t>
            </w:r>
          </w:p>
          <w:p w14:paraId="09D583C7" w14:textId="77777777" w:rsidR="0068351E" w:rsidRPr="00911998" w:rsidRDefault="00000000" w:rsidP="0068351E">
            <w:pPr>
              <w:spacing w:before="120" w:after="120"/>
              <w:jc w:val="both"/>
              <w:rPr>
                <w:i/>
                <w:iCs/>
                <w:kern w:val="28"/>
                <w:sz w:val="22"/>
                <w:szCs w:val="22"/>
                <w:lang w:val="en-CA"/>
              </w:rPr>
            </w:pPr>
            <w:hyperlink r:id="rId61" w:anchor="se:114" w:history="1">
              <w:r w:rsidR="0068351E" w:rsidRPr="00911998">
                <w:rPr>
                  <w:b/>
                  <w:bCs/>
                  <w:i/>
                  <w:iCs/>
                  <w:kern w:val="28"/>
                  <w:sz w:val="22"/>
                  <w:szCs w:val="22"/>
                  <w:lang w:val="en-CA"/>
                </w:rPr>
                <w:t>114.</w:t>
              </w:r>
            </w:hyperlink>
            <w:r w:rsidR="0068351E" w:rsidRPr="00911998">
              <w:rPr>
                <w:b/>
                <w:bCs/>
                <w:i/>
                <w:iCs/>
                <w:kern w:val="28"/>
                <w:sz w:val="22"/>
                <w:szCs w:val="22"/>
                <w:lang w:val="en-CA"/>
              </w:rPr>
              <w:t> </w:t>
            </w:r>
            <w:r w:rsidR="0068351E" w:rsidRPr="00911998">
              <w:rPr>
                <w:i/>
                <w:iCs/>
                <w:kern w:val="28"/>
                <w:sz w:val="22"/>
                <w:szCs w:val="22"/>
                <w:lang w:val="en-CA"/>
              </w:rPr>
              <w:t xml:space="preserve">Only the father, mother or parent may declare the filiation of a child </w:t>
            </w:r>
            <w:proofErr w:type="gramStart"/>
            <w:r w:rsidR="0068351E" w:rsidRPr="00911998">
              <w:rPr>
                <w:i/>
                <w:iCs/>
                <w:kern w:val="28"/>
                <w:sz w:val="22"/>
                <w:szCs w:val="22"/>
                <w:lang w:val="en-CA"/>
              </w:rPr>
              <w:t>with regard to</w:t>
            </w:r>
            <w:proofErr w:type="gramEnd"/>
            <w:r w:rsidR="0068351E" w:rsidRPr="00911998">
              <w:rPr>
                <w:i/>
                <w:iCs/>
                <w:kern w:val="28"/>
                <w:sz w:val="22"/>
                <w:szCs w:val="22"/>
                <w:lang w:val="en-CA"/>
              </w:rPr>
              <w:t xml:space="preserve"> themselves. However, where the child is conceived or born during the marriage, civil union or de facto union, one of the spouses may declare the filiation of the child </w:t>
            </w:r>
            <w:proofErr w:type="gramStart"/>
            <w:r w:rsidR="0068351E" w:rsidRPr="00911998">
              <w:rPr>
                <w:i/>
                <w:iCs/>
                <w:kern w:val="28"/>
                <w:sz w:val="22"/>
                <w:szCs w:val="22"/>
                <w:lang w:val="en-CA"/>
              </w:rPr>
              <w:t>with regard to</w:t>
            </w:r>
            <w:proofErr w:type="gramEnd"/>
            <w:r w:rsidR="0068351E" w:rsidRPr="00911998">
              <w:rPr>
                <w:i/>
                <w:iCs/>
                <w:kern w:val="28"/>
                <w:sz w:val="22"/>
                <w:szCs w:val="22"/>
                <w:lang w:val="en-CA"/>
              </w:rPr>
              <w:t xml:space="preserve"> the other spouse.</w:t>
            </w:r>
          </w:p>
          <w:p w14:paraId="5F2D29A8" w14:textId="77777777" w:rsidR="0068351E" w:rsidRPr="00911998" w:rsidRDefault="0068351E" w:rsidP="0068351E">
            <w:pPr>
              <w:spacing w:before="120" w:after="120"/>
              <w:jc w:val="both"/>
              <w:rPr>
                <w:i/>
                <w:iCs/>
                <w:kern w:val="28"/>
                <w:sz w:val="22"/>
                <w:szCs w:val="22"/>
                <w:lang w:val="en-CA"/>
              </w:rPr>
            </w:pPr>
            <w:r w:rsidRPr="00911998">
              <w:rPr>
                <w:i/>
                <w:iCs/>
                <w:kern w:val="28"/>
                <w:sz w:val="22"/>
                <w:szCs w:val="22"/>
                <w:lang w:val="en-CA"/>
              </w:rPr>
              <w:t>In the case of a de facto union, the declaring spouse must provide, with the declaration of birth, an affidavit in which the spouse states the facts and circumstances showing that the child was born during the union or within 300 days after the end of the union. The spouse must also attach to the declaration an affidavit from a third person corroborating the spouse’s affidavit and, where applicable, any other evidence proving the union. If need be, the registrar of civil status makes a summary investigation to obtain additional information.</w:t>
            </w:r>
          </w:p>
          <w:p w14:paraId="62A3ECFE" w14:textId="77777777" w:rsidR="0068351E" w:rsidRPr="00911998" w:rsidRDefault="0068351E" w:rsidP="0068351E">
            <w:pPr>
              <w:spacing w:before="120" w:after="120"/>
              <w:jc w:val="both"/>
              <w:rPr>
                <w:i/>
                <w:iCs/>
                <w:kern w:val="28"/>
                <w:sz w:val="22"/>
                <w:szCs w:val="22"/>
                <w:lang w:val="en-CA"/>
              </w:rPr>
            </w:pPr>
            <w:r w:rsidRPr="00911998">
              <w:rPr>
                <w:i/>
                <w:iCs/>
                <w:kern w:val="28"/>
                <w:sz w:val="22"/>
                <w:szCs w:val="22"/>
                <w:lang w:val="en-CA"/>
              </w:rPr>
              <w:t xml:space="preserve">No other person may declare the filiation </w:t>
            </w:r>
            <w:proofErr w:type="gramStart"/>
            <w:r w:rsidRPr="00911998">
              <w:rPr>
                <w:i/>
                <w:iCs/>
                <w:kern w:val="28"/>
                <w:sz w:val="22"/>
                <w:szCs w:val="22"/>
                <w:lang w:val="en-CA"/>
              </w:rPr>
              <w:t>with regard to</w:t>
            </w:r>
            <w:proofErr w:type="gramEnd"/>
            <w:r w:rsidRPr="00911998">
              <w:rPr>
                <w:i/>
                <w:iCs/>
                <w:kern w:val="28"/>
                <w:sz w:val="22"/>
                <w:szCs w:val="22"/>
                <w:lang w:val="en-CA"/>
              </w:rPr>
              <w:t xml:space="preserve"> one of the parents, except with the authorization of that parent.</w:t>
            </w:r>
          </w:p>
          <w:p w14:paraId="1E33A62D" w14:textId="77777777" w:rsidR="0068351E" w:rsidRPr="00911998" w:rsidRDefault="0068351E" w:rsidP="0068351E">
            <w:pPr>
              <w:spacing w:before="240" w:after="120"/>
              <w:jc w:val="both"/>
              <w:rPr>
                <w:i/>
                <w:iCs/>
                <w:kern w:val="28"/>
                <w:sz w:val="22"/>
                <w:szCs w:val="22"/>
                <w:lang w:val="en-CA"/>
              </w:rPr>
            </w:pPr>
          </w:p>
          <w:p w14:paraId="1A2D9654" w14:textId="45B3CFB1" w:rsidR="0068351E" w:rsidRPr="00911998" w:rsidRDefault="00000000" w:rsidP="0068351E">
            <w:pPr>
              <w:spacing w:before="240" w:after="120"/>
              <w:jc w:val="both"/>
              <w:rPr>
                <w:i/>
                <w:iCs/>
                <w:kern w:val="28"/>
                <w:sz w:val="22"/>
                <w:szCs w:val="22"/>
                <w:lang w:val="en-CA"/>
              </w:rPr>
            </w:pPr>
            <w:hyperlink r:id="rId62" w:anchor="se:115" w:history="1">
              <w:r w:rsidR="0068351E" w:rsidRPr="00911998">
                <w:rPr>
                  <w:b/>
                  <w:bCs/>
                  <w:i/>
                  <w:iCs/>
                  <w:kern w:val="28"/>
                  <w:sz w:val="22"/>
                  <w:szCs w:val="22"/>
                  <w:lang w:val="en-CA"/>
                </w:rPr>
                <w:t>115.</w:t>
              </w:r>
            </w:hyperlink>
            <w:r w:rsidR="0068351E" w:rsidRPr="00911998">
              <w:rPr>
                <w:i/>
                <w:iCs/>
                <w:kern w:val="28"/>
                <w:sz w:val="22"/>
                <w:szCs w:val="22"/>
                <w:lang w:val="en-CA"/>
              </w:rPr>
              <w:t> A declaration of birth states the name assigned to the child, the usual given name if the child has more than one given name, the sex, the place, date and time of birth, and the name and domicile of the child’s father and mother or parents. It also states the family relationship between the declarant and the child. The declarant is then designated as being the father, mother or parent according to the designation of sex appearing in the declarant’s act of birth or, at the declarant’s choice, as being the child’s parent.</w:t>
            </w:r>
          </w:p>
          <w:p w14:paraId="61ECC1FF" w14:textId="77777777" w:rsidR="0068351E" w:rsidRPr="00911998" w:rsidRDefault="0068351E" w:rsidP="0068351E">
            <w:pPr>
              <w:spacing w:before="240" w:after="120"/>
              <w:jc w:val="both"/>
              <w:rPr>
                <w:rFonts w:cs="Arial"/>
                <w:i/>
                <w:iCs/>
                <w:kern w:val="28"/>
                <w:sz w:val="22"/>
                <w:szCs w:val="22"/>
                <w:lang w:val="en-CA"/>
              </w:rPr>
            </w:pPr>
            <w:r w:rsidRPr="00911998">
              <w:rPr>
                <w:rFonts w:cs="Arial"/>
                <w:i/>
                <w:iCs/>
                <w:kern w:val="28"/>
                <w:sz w:val="22"/>
                <w:szCs w:val="22"/>
                <w:lang w:val="en-CA"/>
              </w:rPr>
              <w:t>[…]</w:t>
            </w:r>
          </w:p>
          <w:p w14:paraId="52DB374A" w14:textId="77777777" w:rsidR="0068351E" w:rsidRPr="00911998" w:rsidRDefault="0068351E" w:rsidP="0068351E">
            <w:pPr>
              <w:spacing w:before="120"/>
              <w:rPr>
                <w:b/>
                <w:bCs/>
                <w:i/>
                <w:iCs/>
                <w:sz w:val="22"/>
                <w:szCs w:val="22"/>
                <w:lang w:val="en-CA"/>
              </w:rPr>
            </w:pPr>
            <w:r w:rsidRPr="00911998">
              <w:rPr>
                <w:b/>
                <w:bCs/>
                <w:i/>
                <w:iCs/>
                <w:sz w:val="22"/>
                <w:szCs w:val="22"/>
                <w:lang w:val="en-CA"/>
              </w:rPr>
              <w:t>TITLE TWO</w:t>
            </w:r>
          </w:p>
          <w:p w14:paraId="3EE5020D" w14:textId="77777777" w:rsidR="0068351E" w:rsidRPr="00911998" w:rsidRDefault="0068351E" w:rsidP="0068351E">
            <w:pPr>
              <w:spacing w:after="120"/>
              <w:jc w:val="both"/>
              <w:rPr>
                <w:i/>
                <w:iCs/>
                <w:kern w:val="28"/>
                <w:sz w:val="22"/>
                <w:szCs w:val="22"/>
                <w:lang w:val="en-CA"/>
              </w:rPr>
            </w:pPr>
            <w:r w:rsidRPr="00911998">
              <w:rPr>
                <w:i/>
                <w:iCs/>
                <w:kern w:val="28"/>
                <w:sz w:val="22"/>
                <w:szCs w:val="22"/>
                <w:lang w:val="en-CA"/>
              </w:rPr>
              <w:t>FILIATION</w:t>
            </w:r>
          </w:p>
          <w:p w14:paraId="728C8356" w14:textId="77777777" w:rsidR="0068351E" w:rsidRPr="00911998" w:rsidRDefault="0068351E" w:rsidP="0068351E">
            <w:pPr>
              <w:jc w:val="both"/>
              <w:rPr>
                <w:b/>
                <w:bCs/>
                <w:i/>
                <w:iCs/>
                <w:kern w:val="28"/>
                <w:sz w:val="22"/>
                <w:szCs w:val="22"/>
                <w:lang w:val="en-CA"/>
              </w:rPr>
            </w:pPr>
            <w:bookmarkStart w:id="107" w:name="CHAPTER_I_GENERAL_PROVISIONS_875232"/>
            <w:bookmarkEnd w:id="107"/>
            <w:r w:rsidRPr="00911998">
              <w:rPr>
                <w:b/>
                <w:bCs/>
                <w:i/>
                <w:iCs/>
                <w:kern w:val="28"/>
                <w:sz w:val="22"/>
                <w:szCs w:val="22"/>
                <w:lang w:val="en-CA"/>
              </w:rPr>
              <w:t>CHAPTER I</w:t>
            </w:r>
          </w:p>
          <w:p w14:paraId="1397798C" w14:textId="77777777" w:rsidR="0068351E" w:rsidRPr="00911998" w:rsidRDefault="0068351E" w:rsidP="0068351E">
            <w:pPr>
              <w:rPr>
                <w:i/>
                <w:iCs/>
                <w:sz w:val="22"/>
                <w:szCs w:val="22"/>
                <w:lang w:val="en-CA"/>
              </w:rPr>
            </w:pPr>
            <w:r w:rsidRPr="00911998">
              <w:rPr>
                <w:i/>
                <w:iCs/>
                <w:sz w:val="22"/>
                <w:szCs w:val="22"/>
                <w:lang w:val="en-CA"/>
              </w:rPr>
              <w:t>GENERAL PROVISIONS</w:t>
            </w:r>
          </w:p>
          <w:p w14:paraId="351EBAB7" w14:textId="77777777" w:rsidR="0068351E" w:rsidRPr="00911998" w:rsidRDefault="00000000" w:rsidP="0068351E">
            <w:pPr>
              <w:spacing w:before="240" w:after="120"/>
              <w:jc w:val="both"/>
              <w:rPr>
                <w:b/>
                <w:bCs/>
                <w:i/>
                <w:iCs/>
                <w:kern w:val="28"/>
                <w:sz w:val="22"/>
                <w:szCs w:val="22"/>
                <w:lang w:val="en-CA"/>
              </w:rPr>
            </w:pPr>
            <w:hyperlink r:id="rId63" w:anchor="se:522" w:history="1">
              <w:r w:rsidR="0068351E" w:rsidRPr="00911998">
                <w:rPr>
                  <w:b/>
                  <w:bCs/>
                  <w:i/>
                  <w:iCs/>
                  <w:kern w:val="28"/>
                  <w:sz w:val="22"/>
                  <w:szCs w:val="22"/>
                  <w:lang w:val="en-CA"/>
                </w:rPr>
                <w:t>522.</w:t>
              </w:r>
            </w:hyperlink>
            <w:r w:rsidR="0068351E" w:rsidRPr="00911998">
              <w:rPr>
                <w:b/>
                <w:bCs/>
                <w:i/>
                <w:iCs/>
                <w:kern w:val="28"/>
                <w:sz w:val="22"/>
                <w:szCs w:val="22"/>
                <w:lang w:val="en-CA"/>
              </w:rPr>
              <w:t> </w:t>
            </w:r>
            <w:r w:rsidR="0068351E" w:rsidRPr="00911998">
              <w:rPr>
                <w:i/>
                <w:iCs/>
                <w:kern w:val="28"/>
                <w:sz w:val="22"/>
                <w:szCs w:val="22"/>
                <w:lang w:val="en-CA"/>
              </w:rPr>
              <w:t>All children whose filiation is established have the same rights and obligations, regardless of their circumstances of birth.</w:t>
            </w:r>
          </w:p>
          <w:bookmarkStart w:id="108" w:name="sec522.1"/>
          <w:bookmarkEnd w:id="108"/>
          <w:p w14:paraId="76EDC390" w14:textId="77777777" w:rsidR="0068351E" w:rsidRPr="00911998" w:rsidRDefault="0068351E" w:rsidP="0068351E">
            <w:pPr>
              <w:spacing w:before="120" w:after="120"/>
              <w:jc w:val="both"/>
              <w:rPr>
                <w:b/>
                <w:bCs/>
                <w:i/>
                <w:iCs/>
                <w:kern w:val="28"/>
                <w:sz w:val="22"/>
                <w:szCs w:val="22"/>
                <w:lang w:val="en-CA"/>
              </w:rPr>
            </w:pPr>
            <w:r w:rsidRPr="00911998">
              <w:rPr>
                <w:b/>
                <w:bCs/>
                <w:i/>
                <w:iCs/>
                <w:kern w:val="28"/>
                <w:sz w:val="22"/>
                <w:szCs w:val="22"/>
              </w:rPr>
              <w:fldChar w:fldCharType="begin"/>
            </w:r>
            <w:r w:rsidRPr="00911998">
              <w:rPr>
                <w:b/>
                <w:bCs/>
                <w:i/>
                <w:iCs/>
                <w:kern w:val="28"/>
                <w:sz w:val="22"/>
                <w:szCs w:val="22"/>
                <w:lang w:val="en-CA"/>
              </w:rPr>
              <w:instrText>HYPERLINK "https://www.canlii.org/en/qc/laws/stat/cqlr-c-ccq-1991/latest/cqlr-c-ccq-1991.html" \l "se:522_1"</w:instrText>
            </w:r>
            <w:r w:rsidRPr="00911998">
              <w:rPr>
                <w:b/>
                <w:bCs/>
                <w:i/>
                <w:iCs/>
                <w:kern w:val="28"/>
                <w:sz w:val="22"/>
                <w:szCs w:val="22"/>
              </w:rPr>
            </w:r>
            <w:r w:rsidRPr="00911998">
              <w:rPr>
                <w:b/>
                <w:bCs/>
                <w:i/>
                <w:iCs/>
                <w:kern w:val="28"/>
                <w:sz w:val="22"/>
                <w:szCs w:val="22"/>
              </w:rPr>
              <w:fldChar w:fldCharType="separate"/>
            </w:r>
            <w:r w:rsidRPr="00911998">
              <w:rPr>
                <w:b/>
                <w:bCs/>
                <w:i/>
                <w:iCs/>
                <w:kern w:val="28"/>
                <w:sz w:val="22"/>
                <w:szCs w:val="22"/>
                <w:lang w:val="en-CA"/>
              </w:rPr>
              <w:t>522.1.</w:t>
            </w:r>
            <w:r w:rsidRPr="00911998">
              <w:rPr>
                <w:b/>
                <w:bCs/>
                <w:i/>
                <w:iCs/>
                <w:kern w:val="28"/>
                <w:sz w:val="22"/>
                <w:szCs w:val="22"/>
                <w:lang w:val="en-CA"/>
              </w:rPr>
              <w:fldChar w:fldCharType="end"/>
            </w:r>
            <w:r w:rsidRPr="00911998">
              <w:rPr>
                <w:b/>
                <w:bCs/>
                <w:i/>
                <w:iCs/>
                <w:kern w:val="28"/>
                <w:sz w:val="22"/>
                <w:szCs w:val="22"/>
                <w:lang w:val="en-CA"/>
              </w:rPr>
              <w:t> </w:t>
            </w:r>
            <w:r w:rsidRPr="00911998">
              <w:rPr>
                <w:i/>
                <w:iCs/>
                <w:kern w:val="28"/>
                <w:sz w:val="22"/>
                <w:szCs w:val="22"/>
                <w:lang w:val="en-CA"/>
              </w:rPr>
              <w:t xml:space="preserve">The filiation of a child is proved by his act of birth, regardless of the </w:t>
            </w:r>
            <w:proofErr w:type="gramStart"/>
            <w:r w:rsidRPr="00911998">
              <w:rPr>
                <w:i/>
                <w:iCs/>
                <w:kern w:val="28"/>
                <w:sz w:val="22"/>
                <w:szCs w:val="22"/>
                <w:lang w:val="en-CA"/>
              </w:rPr>
              <w:t>manner in which</w:t>
            </w:r>
            <w:proofErr w:type="gramEnd"/>
            <w:r w:rsidRPr="00911998">
              <w:rPr>
                <w:i/>
                <w:iCs/>
                <w:kern w:val="28"/>
                <w:sz w:val="22"/>
                <w:szCs w:val="22"/>
                <w:lang w:val="en-CA"/>
              </w:rPr>
              <w:t xml:space="preserve"> filiation is established.</w:t>
            </w:r>
          </w:p>
          <w:p w14:paraId="1A745749" w14:textId="77777777" w:rsidR="0068351E" w:rsidRPr="00911998" w:rsidRDefault="0068351E" w:rsidP="0068351E">
            <w:pPr>
              <w:rPr>
                <w:b/>
                <w:bCs/>
                <w:i/>
                <w:iCs/>
                <w:sz w:val="22"/>
                <w:szCs w:val="22"/>
                <w:lang w:val="en-CA"/>
              </w:rPr>
            </w:pPr>
            <w:bookmarkStart w:id="109" w:name="CHAPTER_II_FILIATION_BY_BIRTH_877784"/>
            <w:bookmarkEnd w:id="109"/>
            <w:r w:rsidRPr="00911998">
              <w:rPr>
                <w:b/>
                <w:bCs/>
                <w:i/>
                <w:iCs/>
                <w:sz w:val="22"/>
                <w:szCs w:val="22"/>
                <w:lang w:val="en-CA"/>
              </w:rPr>
              <w:t>CHAPTER II</w:t>
            </w:r>
          </w:p>
          <w:p w14:paraId="7C455B9D" w14:textId="77777777" w:rsidR="0068351E" w:rsidRPr="00911998" w:rsidRDefault="0068351E" w:rsidP="0068351E">
            <w:pPr>
              <w:spacing w:after="120"/>
              <w:jc w:val="both"/>
              <w:rPr>
                <w:i/>
                <w:iCs/>
                <w:kern w:val="28"/>
                <w:sz w:val="22"/>
                <w:szCs w:val="22"/>
                <w:lang w:val="en-CA"/>
              </w:rPr>
            </w:pPr>
            <w:r w:rsidRPr="00911998">
              <w:rPr>
                <w:i/>
                <w:iCs/>
                <w:kern w:val="28"/>
                <w:sz w:val="22"/>
                <w:szCs w:val="22"/>
                <w:lang w:val="en-CA"/>
              </w:rPr>
              <w:t>FILIATION BY BIRTH</w:t>
            </w:r>
          </w:p>
          <w:p w14:paraId="0BD89CE9" w14:textId="77777777" w:rsidR="0068351E" w:rsidRPr="00911998" w:rsidRDefault="0068351E" w:rsidP="0068351E">
            <w:pPr>
              <w:rPr>
                <w:b/>
                <w:bCs/>
                <w:i/>
                <w:iCs/>
                <w:sz w:val="22"/>
                <w:szCs w:val="22"/>
                <w:lang w:val="en-CA"/>
              </w:rPr>
            </w:pPr>
            <w:bookmarkStart w:id="110" w:name="DIVISION_I_GENERAL_PROVISION_878673"/>
            <w:bookmarkEnd w:id="110"/>
            <w:r w:rsidRPr="00911998">
              <w:rPr>
                <w:b/>
                <w:bCs/>
                <w:i/>
                <w:iCs/>
                <w:sz w:val="22"/>
                <w:szCs w:val="22"/>
                <w:lang w:val="en-CA"/>
              </w:rPr>
              <w:t>DIVISION I</w:t>
            </w:r>
          </w:p>
          <w:p w14:paraId="10084853" w14:textId="77777777" w:rsidR="0068351E" w:rsidRPr="00911998" w:rsidRDefault="0068351E" w:rsidP="0068351E">
            <w:pPr>
              <w:rPr>
                <w:i/>
                <w:iCs/>
                <w:sz w:val="22"/>
                <w:szCs w:val="22"/>
                <w:lang w:val="en-CA"/>
              </w:rPr>
            </w:pPr>
            <w:r w:rsidRPr="00911998">
              <w:rPr>
                <w:i/>
                <w:iCs/>
                <w:sz w:val="22"/>
                <w:szCs w:val="22"/>
                <w:lang w:val="en-CA"/>
              </w:rPr>
              <w:t>GENERAL PROVISION</w:t>
            </w:r>
          </w:p>
          <w:bookmarkStart w:id="111" w:name="sec522.2"/>
          <w:bookmarkEnd w:id="111"/>
          <w:p w14:paraId="28CB5C0A" w14:textId="77777777" w:rsidR="0068351E" w:rsidRPr="00911998" w:rsidRDefault="0068351E" w:rsidP="009E4C59">
            <w:pPr>
              <w:spacing w:before="240" w:after="120"/>
              <w:jc w:val="both"/>
              <w:rPr>
                <w:i/>
                <w:iCs/>
                <w:kern w:val="28"/>
                <w:sz w:val="22"/>
                <w:szCs w:val="22"/>
                <w:lang w:val="en-CA"/>
              </w:rPr>
            </w:pPr>
            <w:r w:rsidRPr="00911998">
              <w:rPr>
                <w:b/>
                <w:bCs/>
                <w:i/>
                <w:iCs/>
                <w:kern w:val="28"/>
                <w:sz w:val="22"/>
                <w:szCs w:val="22"/>
              </w:rPr>
              <w:fldChar w:fldCharType="begin"/>
            </w:r>
            <w:r w:rsidRPr="00911998">
              <w:rPr>
                <w:b/>
                <w:bCs/>
                <w:i/>
                <w:iCs/>
                <w:kern w:val="28"/>
                <w:sz w:val="22"/>
                <w:szCs w:val="22"/>
                <w:lang w:val="en-CA"/>
              </w:rPr>
              <w:instrText>HYPERLINK "https://www.canlii.org/en/qc/laws/stat/cqlr-c-ccq-1991/latest/cqlr-c-ccq-1991.html" \l "se:522_2"</w:instrText>
            </w:r>
            <w:r w:rsidRPr="00911998">
              <w:rPr>
                <w:b/>
                <w:bCs/>
                <w:i/>
                <w:iCs/>
                <w:kern w:val="28"/>
                <w:sz w:val="22"/>
                <w:szCs w:val="22"/>
              </w:rPr>
            </w:r>
            <w:r w:rsidRPr="00911998">
              <w:rPr>
                <w:b/>
                <w:bCs/>
                <w:i/>
                <w:iCs/>
                <w:kern w:val="28"/>
                <w:sz w:val="22"/>
                <w:szCs w:val="22"/>
              </w:rPr>
              <w:fldChar w:fldCharType="separate"/>
            </w:r>
            <w:r w:rsidRPr="00911998">
              <w:rPr>
                <w:b/>
                <w:bCs/>
                <w:i/>
                <w:iCs/>
                <w:kern w:val="28"/>
                <w:sz w:val="22"/>
                <w:szCs w:val="22"/>
                <w:lang w:val="en-CA"/>
              </w:rPr>
              <w:t>522.2.</w:t>
            </w:r>
            <w:r w:rsidRPr="00911998">
              <w:rPr>
                <w:b/>
                <w:bCs/>
                <w:i/>
                <w:iCs/>
                <w:kern w:val="28"/>
                <w:sz w:val="22"/>
                <w:szCs w:val="22"/>
                <w:lang w:val="en-CA"/>
              </w:rPr>
              <w:fldChar w:fldCharType="end"/>
            </w:r>
            <w:r w:rsidRPr="00911998">
              <w:rPr>
                <w:b/>
                <w:bCs/>
                <w:i/>
                <w:iCs/>
                <w:kern w:val="28"/>
                <w:sz w:val="22"/>
                <w:szCs w:val="22"/>
                <w:lang w:val="en-CA"/>
              </w:rPr>
              <w:t> </w:t>
            </w:r>
            <w:r w:rsidRPr="00911998">
              <w:rPr>
                <w:i/>
                <w:iCs/>
                <w:kern w:val="28"/>
                <w:sz w:val="22"/>
                <w:szCs w:val="22"/>
                <w:lang w:val="en-CA"/>
              </w:rPr>
              <w:t>All children have a right to the establishment of their filiation in accordance with the conditions provided for in this chapter, without further consideration.</w:t>
            </w:r>
          </w:p>
          <w:p w14:paraId="1C96B4D7" w14:textId="77777777" w:rsidR="0068351E" w:rsidRPr="00911998" w:rsidRDefault="0068351E" w:rsidP="0068351E">
            <w:pPr>
              <w:rPr>
                <w:b/>
                <w:bCs/>
                <w:i/>
                <w:iCs/>
                <w:sz w:val="22"/>
                <w:szCs w:val="22"/>
                <w:lang w:val="en-CA"/>
              </w:rPr>
            </w:pPr>
            <w:bookmarkStart w:id="112" w:name="DIVISION_II_FILIATION_BY_ACKNOWLEDGEMENT"/>
            <w:bookmarkEnd w:id="112"/>
            <w:r w:rsidRPr="00911998">
              <w:rPr>
                <w:b/>
                <w:bCs/>
                <w:i/>
                <w:iCs/>
                <w:sz w:val="22"/>
                <w:szCs w:val="22"/>
                <w:lang w:val="en-CA"/>
              </w:rPr>
              <w:t>DIVISION II</w:t>
            </w:r>
          </w:p>
          <w:p w14:paraId="5CA46156" w14:textId="77777777" w:rsidR="0068351E" w:rsidRPr="00911998" w:rsidRDefault="0068351E" w:rsidP="009E4C59">
            <w:pPr>
              <w:rPr>
                <w:i/>
                <w:iCs/>
                <w:sz w:val="22"/>
                <w:szCs w:val="22"/>
                <w:lang w:val="en-CA"/>
              </w:rPr>
            </w:pPr>
            <w:r w:rsidRPr="00911998">
              <w:rPr>
                <w:i/>
                <w:iCs/>
                <w:sz w:val="22"/>
                <w:szCs w:val="22"/>
                <w:lang w:val="en-CA"/>
              </w:rPr>
              <w:t>FILIATION BY ACKNOWLEDGEMENT OR BY BLOOD</w:t>
            </w:r>
          </w:p>
          <w:p w14:paraId="29371A27" w14:textId="77777777" w:rsidR="0068351E" w:rsidRPr="00911998" w:rsidRDefault="00000000" w:rsidP="0068351E">
            <w:pPr>
              <w:spacing w:before="120" w:after="120"/>
              <w:jc w:val="both"/>
              <w:rPr>
                <w:i/>
                <w:iCs/>
                <w:kern w:val="28"/>
                <w:sz w:val="22"/>
                <w:szCs w:val="22"/>
                <w:lang w:val="en-CA"/>
              </w:rPr>
            </w:pPr>
            <w:hyperlink r:id="rId64" w:anchor="se:523" w:history="1">
              <w:r w:rsidR="0068351E" w:rsidRPr="00911998">
                <w:rPr>
                  <w:b/>
                  <w:bCs/>
                  <w:i/>
                  <w:iCs/>
                  <w:kern w:val="28"/>
                  <w:sz w:val="22"/>
                  <w:szCs w:val="22"/>
                  <w:lang w:val="en-CA"/>
                </w:rPr>
                <w:t>523.</w:t>
              </w:r>
            </w:hyperlink>
            <w:r w:rsidR="0068351E" w:rsidRPr="00911998">
              <w:rPr>
                <w:b/>
                <w:bCs/>
                <w:i/>
                <w:iCs/>
                <w:kern w:val="28"/>
                <w:sz w:val="22"/>
                <w:szCs w:val="22"/>
                <w:lang w:val="en-CA"/>
              </w:rPr>
              <w:t> </w:t>
            </w:r>
            <w:r w:rsidR="0068351E" w:rsidRPr="00911998">
              <w:rPr>
                <w:i/>
                <w:iCs/>
                <w:kern w:val="28"/>
                <w:sz w:val="22"/>
                <w:szCs w:val="22"/>
                <w:lang w:val="en-CA"/>
              </w:rPr>
              <w:t xml:space="preserve">The filiation of a child is established </w:t>
            </w:r>
            <w:proofErr w:type="gramStart"/>
            <w:r w:rsidR="0068351E" w:rsidRPr="00911998">
              <w:rPr>
                <w:i/>
                <w:iCs/>
                <w:kern w:val="28"/>
                <w:sz w:val="22"/>
                <w:szCs w:val="22"/>
                <w:lang w:val="en-CA"/>
              </w:rPr>
              <w:t>with regard to</w:t>
            </w:r>
            <w:proofErr w:type="gramEnd"/>
            <w:r w:rsidR="0068351E" w:rsidRPr="00911998">
              <w:rPr>
                <w:i/>
                <w:iCs/>
                <w:kern w:val="28"/>
                <w:sz w:val="22"/>
                <w:szCs w:val="22"/>
                <w:lang w:val="en-CA"/>
              </w:rPr>
              <w:t xml:space="preserve"> the mother or parent by the fact of </w:t>
            </w:r>
            <w:r w:rsidR="0068351E" w:rsidRPr="00911998">
              <w:rPr>
                <w:i/>
                <w:iCs/>
                <w:kern w:val="28"/>
                <w:sz w:val="22"/>
                <w:szCs w:val="22"/>
                <w:lang w:val="en-CA"/>
              </w:rPr>
              <w:lastRenderedPageBreak/>
              <w:t>their having given birth to him and, with regard to the father or other parent, by the acknowledgement of a bond of filiation in the declaration of birth in accordance with the rules prescribed by this Code.</w:t>
            </w:r>
          </w:p>
          <w:p w14:paraId="41F311F3" w14:textId="77777777" w:rsidR="0068351E" w:rsidRPr="00911998" w:rsidRDefault="0068351E" w:rsidP="0068351E">
            <w:pPr>
              <w:spacing w:before="120" w:after="120"/>
              <w:jc w:val="both"/>
              <w:rPr>
                <w:i/>
                <w:iCs/>
                <w:kern w:val="28"/>
                <w:sz w:val="22"/>
                <w:szCs w:val="22"/>
                <w:lang w:val="en-CA"/>
              </w:rPr>
            </w:pPr>
            <w:r w:rsidRPr="00911998">
              <w:rPr>
                <w:i/>
                <w:iCs/>
                <w:kern w:val="28"/>
                <w:sz w:val="22"/>
                <w:szCs w:val="22"/>
                <w:lang w:val="en-CA"/>
              </w:rPr>
              <w:t>In the absence of such an acknowledgement in the declaration of birth, uninterrupted possession of status is sufficient.</w:t>
            </w:r>
          </w:p>
          <w:p w14:paraId="25047191" w14:textId="77777777" w:rsidR="0068351E" w:rsidRPr="00911998" w:rsidRDefault="00000000" w:rsidP="0068351E">
            <w:pPr>
              <w:spacing w:before="120" w:after="120"/>
              <w:jc w:val="both"/>
              <w:rPr>
                <w:i/>
                <w:iCs/>
                <w:kern w:val="28"/>
                <w:sz w:val="22"/>
                <w:szCs w:val="22"/>
                <w:lang w:val="en-CA"/>
              </w:rPr>
            </w:pPr>
            <w:hyperlink r:id="rId65" w:anchor="se:524" w:history="1">
              <w:r w:rsidR="0068351E" w:rsidRPr="00911998">
                <w:rPr>
                  <w:b/>
                  <w:bCs/>
                  <w:i/>
                  <w:iCs/>
                  <w:kern w:val="28"/>
                  <w:sz w:val="22"/>
                  <w:szCs w:val="22"/>
                  <w:lang w:val="en-CA"/>
                </w:rPr>
                <w:t>524.</w:t>
              </w:r>
            </w:hyperlink>
            <w:r w:rsidR="0068351E" w:rsidRPr="00911998">
              <w:rPr>
                <w:i/>
                <w:iCs/>
                <w:kern w:val="28"/>
                <w:sz w:val="22"/>
                <w:szCs w:val="22"/>
                <w:lang w:val="en-CA"/>
              </w:rPr>
              <w:t> Uninterrupted possession of status is established by an adequate combination of facts which indicate the relationship of filiation between the child and the person who acts toward him as his parent. For possession to be uninterrupted, such conduct must begin at the child’s birth and continue for a minimum period of 24 months, except in exceptional circumstances.</w:t>
            </w:r>
          </w:p>
          <w:p w14:paraId="36859CCC" w14:textId="77777777" w:rsidR="0068351E" w:rsidRPr="00911998" w:rsidRDefault="0068351E" w:rsidP="0068351E">
            <w:pPr>
              <w:spacing w:before="120" w:after="120"/>
              <w:jc w:val="both"/>
              <w:rPr>
                <w:b/>
                <w:bCs/>
                <w:i/>
                <w:iCs/>
                <w:kern w:val="28"/>
                <w:sz w:val="22"/>
                <w:szCs w:val="22"/>
                <w:lang w:val="en-CA"/>
              </w:rPr>
            </w:pPr>
            <w:r w:rsidRPr="00911998">
              <w:rPr>
                <w:i/>
                <w:iCs/>
                <w:kern w:val="28"/>
                <w:sz w:val="22"/>
                <w:szCs w:val="22"/>
                <w:lang w:val="en-CA"/>
              </w:rPr>
              <w:t>Uninterrupted possession of status may not be established in cases where it is exercised by more than one person simultaneously.</w:t>
            </w:r>
          </w:p>
          <w:p w14:paraId="3EDCFEC6" w14:textId="77777777" w:rsidR="0068351E" w:rsidRPr="00911998" w:rsidRDefault="00000000" w:rsidP="0068351E">
            <w:pPr>
              <w:spacing w:before="360" w:after="120"/>
              <w:jc w:val="both"/>
              <w:rPr>
                <w:i/>
                <w:iCs/>
                <w:kern w:val="28"/>
                <w:sz w:val="22"/>
                <w:szCs w:val="22"/>
                <w:lang w:val="en-CA"/>
              </w:rPr>
            </w:pPr>
            <w:hyperlink r:id="rId66" w:anchor="se:525" w:history="1">
              <w:r w:rsidR="0068351E" w:rsidRPr="00911998">
                <w:rPr>
                  <w:b/>
                  <w:bCs/>
                  <w:i/>
                  <w:iCs/>
                  <w:kern w:val="28"/>
                  <w:sz w:val="22"/>
                  <w:szCs w:val="22"/>
                  <w:lang w:val="en-CA"/>
                </w:rPr>
                <w:t>525.</w:t>
              </w:r>
            </w:hyperlink>
            <w:r w:rsidR="0068351E" w:rsidRPr="00911998">
              <w:rPr>
                <w:b/>
                <w:bCs/>
                <w:i/>
                <w:iCs/>
                <w:kern w:val="28"/>
                <w:sz w:val="22"/>
                <w:szCs w:val="22"/>
                <w:lang w:val="en-CA"/>
              </w:rPr>
              <w:t> </w:t>
            </w:r>
            <w:r w:rsidR="0068351E" w:rsidRPr="00911998">
              <w:rPr>
                <w:i/>
                <w:iCs/>
                <w:kern w:val="28"/>
                <w:sz w:val="22"/>
                <w:szCs w:val="22"/>
                <w:lang w:val="en-CA"/>
              </w:rPr>
              <w:t>A child born during a marriage, civil union or de facto union or within 300 days after its dissolution or annulment or, in the case of a de facto union, its end, is presumed to have as the other parent the spouse of his mother or of the parent who gave birth to him.</w:t>
            </w:r>
          </w:p>
          <w:p w14:paraId="3F26C267" w14:textId="77777777" w:rsidR="0068351E" w:rsidRPr="00911998" w:rsidRDefault="0068351E" w:rsidP="0068351E">
            <w:pPr>
              <w:spacing w:before="120" w:after="120"/>
              <w:jc w:val="both"/>
              <w:rPr>
                <w:i/>
                <w:iCs/>
                <w:kern w:val="28"/>
                <w:sz w:val="22"/>
                <w:szCs w:val="22"/>
                <w:lang w:val="en-CA"/>
              </w:rPr>
            </w:pPr>
            <w:r w:rsidRPr="00911998">
              <w:rPr>
                <w:i/>
                <w:iCs/>
                <w:kern w:val="28"/>
                <w:sz w:val="22"/>
                <w:szCs w:val="22"/>
                <w:lang w:val="en-CA"/>
              </w:rPr>
              <w:t>The presumption is rebutted with regard to the former spouse where the child is born within 300 days of the dissolution or annulment of the marriage or civil union or of the end of the de facto union, but after a subsequent marriage, civil union or de facto union of his mother or of the parent who gave birth to him.</w:t>
            </w:r>
          </w:p>
          <w:p w14:paraId="4CFCC667" w14:textId="77777777" w:rsidR="0068351E" w:rsidRPr="00911998" w:rsidRDefault="0068351E" w:rsidP="0068351E">
            <w:pPr>
              <w:spacing w:before="120" w:after="120"/>
              <w:jc w:val="both"/>
              <w:rPr>
                <w:i/>
                <w:iCs/>
                <w:kern w:val="28"/>
                <w:sz w:val="22"/>
                <w:szCs w:val="22"/>
                <w:lang w:val="en-CA"/>
              </w:rPr>
            </w:pPr>
            <w:r w:rsidRPr="00911998">
              <w:rPr>
                <w:i/>
                <w:iCs/>
                <w:kern w:val="28"/>
                <w:sz w:val="22"/>
                <w:szCs w:val="22"/>
                <w:lang w:val="en-CA"/>
              </w:rPr>
              <w:t xml:space="preserve">The presumption is also rebutted if the child is born more than 300 days after the judgment ordering separation from bed and board of married spouses, unless the </w:t>
            </w:r>
            <w:r w:rsidRPr="00911998">
              <w:rPr>
                <w:i/>
                <w:iCs/>
                <w:kern w:val="28"/>
                <w:sz w:val="22"/>
                <w:szCs w:val="22"/>
                <w:lang w:val="en-CA"/>
              </w:rPr>
              <w:lastRenderedPageBreak/>
              <w:t>spouses have voluntarily resumed their community of life before the birth.</w:t>
            </w:r>
          </w:p>
          <w:p w14:paraId="18544738" w14:textId="77777777" w:rsidR="0068351E" w:rsidRPr="00911998" w:rsidRDefault="0068351E" w:rsidP="0068351E">
            <w:pPr>
              <w:spacing w:before="120" w:after="120"/>
              <w:jc w:val="both"/>
              <w:rPr>
                <w:b/>
                <w:bCs/>
                <w:i/>
                <w:iCs/>
                <w:kern w:val="28"/>
                <w:sz w:val="22"/>
                <w:szCs w:val="22"/>
                <w:lang w:val="en-CA"/>
              </w:rPr>
            </w:pPr>
            <w:r w:rsidRPr="00911998">
              <w:rPr>
                <w:i/>
                <w:iCs/>
                <w:kern w:val="28"/>
                <w:sz w:val="22"/>
                <w:szCs w:val="22"/>
                <w:lang w:val="en-CA"/>
              </w:rPr>
              <w:t>The presumption is rebutted as well if the child is born of an assisted procreation activity carried out after the death of the spouse of his mother or of the parent who gave birth to him.</w:t>
            </w:r>
          </w:p>
          <w:p w14:paraId="743CF519" w14:textId="77777777" w:rsidR="0068351E" w:rsidRPr="000E19AB" w:rsidRDefault="0068351E" w:rsidP="0068351E">
            <w:pPr>
              <w:rPr>
                <w:i/>
                <w:iCs/>
                <w:sz w:val="22"/>
                <w:szCs w:val="22"/>
                <w:lang w:val="en-CA"/>
              </w:rPr>
            </w:pPr>
            <w:r w:rsidRPr="00911998">
              <w:rPr>
                <w:rFonts w:cs="Arial"/>
                <w:i/>
                <w:iCs/>
                <w:sz w:val="22"/>
                <w:szCs w:val="22"/>
                <w:lang w:val="en-CA"/>
              </w:rPr>
              <w:t>[</w:t>
            </w:r>
            <w:r w:rsidRPr="00911998">
              <w:rPr>
                <w:i/>
                <w:iCs/>
                <w:sz w:val="22"/>
                <w:szCs w:val="22"/>
                <w:lang w:val="en-CA"/>
              </w:rPr>
              <w:t>Articles 526 to 537 have been repealed.</w:t>
            </w:r>
            <w:r w:rsidRPr="00911998">
              <w:rPr>
                <w:rFonts w:cs="Arial"/>
                <w:i/>
                <w:iCs/>
                <w:sz w:val="22"/>
                <w:szCs w:val="22"/>
                <w:lang w:val="en-CA"/>
              </w:rPr>
              <w:t>]</w:t>
            </w:r>
          </w:p>
          <w:p w14:paraId="6193C467" w14:textId="77777777" w:rsidR="0068351E" w:rsidRPr="000E19AB" w:rsidRDefault="0068351E" w:rsidP="0068351E">
            <w:pPr>
              <w:spacing w:before="120" w:after="120"/>
              <w:jc w:val="both"/>
              <w:rPr>
                <w:rFonts w:cs="Arial"/>
                <w:kern w:val="28"/>
                <w:sz w:val="22"/>
                <w:szCs w:val="22"/>
                <w:lang w:val="en-CA"/>
              </w:rPr>
            </w:pPr>
          </w:p>
          <w:p w14:paraId="7CE29B3A" w14:textId="77777777" w:rsidR="0068351E" w:rsidRPr="000E19AB" w:rsidRDefault="0068351E" w:rsidP="0068351E">
            <w:pPr>
              <w:ind w:right="560"/>
              <w:jc w:val="both"/>
              <w:rPr>
                <w:sz w:val="22"/>
                <w:szCs w:val="22"/>
                <w:lang w:val="en-CA"/>
              </w:rPr>
            </w:pPr>
          </w:p>
        </w:tc>
      </w:tr>
    </w:tbl>
    <w:p w14:paraId="2666141C" w14:textId="77777777" w:rsidR="0068351E" w:rsidRPr="000E19AB" w:rsidRDefault="0068351E" w:rsidP="0068351E">
      <w:pPr>
        <w:ind w:left="567" w:right="560"/>
        <w:jc w:val="both"/>
        <w:rPr>
          <w:sz w:val="22"/>
          <w:szCs w:val="22"/>
          <w:lang w:val="en-CA"/>
        </w:rPr>
      </w:pPr>
    </w:p>
    <w:p w14:paraId="351E4EBD" w14:textId="77777777" w:rsidR="0068351E" w:rsidRPr="000E19AB" w:rsidRDefault="0068351E" w:rsidP="0068351E">
      <w:pPr>
        <w:jc w:val="both"/>
        <w:rPr>
          <w:b/>
          <w:bCs/>
          <w:sz w:val="22"/>
          <w:szCs w:val="22"/>
          <w:lang w:val="en-CA"/>
        </w:rPr>
      </w:pPr>
    </w:p>
    <w:p w14:paraId="66BF76F5" w14:textId="77777777" w:rsidR="0068351E" w:rsidRPr="000E19AB" w:rsidRDefault="0068351E" w:rsidP="0068351E">
      <w:pPr>
        <w:rPr>
          <w:sz w:val="22"/>
          <w:szCs w:val="22"/>
          <w:lang w:val="en-CA"/>
        </w:rPr>
      </w:pPr>
    </w:p>
    <w:p w14:paraId="40BF4E8D" w14:textId="5A438E16" w:rsidR="001148C0" w:rsidRPr="000E19AB" w:rsidRDefault="001148C0">
      <w:pPr>
        <w:rPr>
          <w:lang w:val="en-CA"/>
        </w:rPr>
      </w:pPr>
    </w:p>
    <w:sectPr w:rsidR="001148C0" w:rsidRPr="000E19AB">
      <w:headerReference w:type="default" r:id="rId67"/>
      <w:footerReference w:type="even" r:id="rId68"/>
      <w:footnotePr>
        <w:numRestart w:val="eachSect"/>
      </w:footnotePr>
      <w:pgSz w:w="12242" w:h="15842" w:code="1"/>
      <w:pgMar w:top="1440" w:right="1008" w:bottom="1440" w:left="1872" w:header="1440"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7F8D" w14:textId="77777777" w:rsidR="00252B9F" w:rsidRDefault="00252B9F">
      <w:r>
        <w:separator/>
      </w:r>
    </w:p>
  </w:endnote>
  <w:endnote w:type="continuationSeparator" w:id="0">
    <w:p w14:paraId="2B71FD78" w14:textId="77777777" w:rsidR="00252B9F" w:rsidRDefault="0025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Arial Gras">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E5D8" w14:textId="77777777" w:rsidR="00121A72" w:rsidRDefault="00121A72">
    <w:pPr>
      <w:framePr w:wrap="around" w:vAnchor="text" w:hAnchor="margin" w:xAlign="right" w:y="1"/>
    </w:pPr>
    <w:r>
      <w:fldChar w:fldCharType="begin"/>
    </w:r>
    <w:r>
      <w:instrText xml:space="preserve">PAGE  </w:instrText>
    </w:r>
    <w:r>
      <w:fldChar w:fldCharType="end"/>
    </w:r>
  </w:p>
  <w:p w14:paraId="4B33785E" w14:textId="77777777" w:rsidR="00121A72" w:rsidRDefault="00121A7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BB8F" w14:textId="77777777" w:rsidR="00252B9F" w:rsidRDefault="00252B9F">
      <w:r>
        <w:separator/>
      </w:r>
    </w:p>
  </w:footnote>
  <w:footnote w:type="continuationSeparator" w:id="0">
    <w:p w14:paraId="7B775DFA" w14:textId="77777777" w:rsidR="00252B9F" w:rsidRDefault="00252B9F">
      <w:r>
        <w:continuationSeparator/>
      </w:r>
    </w:p>
  </w:footnote>
  <w:footnote w:id="1">
    <w:p w14:paraId="7F05CA8A" w14:textId="6B2B4A49" w:rsidR="00AB582D" w:rsidRPr="00911998" w:rsidRDefault="00AB582D">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Articles 237 à 241 du </w:t>
      </w:r>
      <w:r w:rsidRPr="00911998">
        <w:rPr>
          <w:rFonts w:cs="Arial"/>
          <w:i/>
          <w:iCs/>
        </w:rPr>
        <w:t>Code civil du Bas</w:t>
      </w:r>
      <w:r w:rsidRPr="00911998">
        <w:rPr>
          <w:rFonts w:cs="Arial"/>
          <w:i/>
          <w:iCs/>
        </w:rPr>
        <w:noBreakHyphen/>
        <w:t>Canada</w:t>
      </w:r>
      <w:r w:rsidRPr="00911998">
        <w:rPr>
          <w:rFonts w:cs="Arial"/>
        </w:rPr>
        <w:t>, LC 1865, c. 41.</w:t>
      </w:r>
    </w:p>
  </w:footnote>
  <w:footnote w:id="2">
    <w:p w14:paraId="4242E02A" w14:textId="452E8330" w:rsidR="00C90B5A" w:rsidRPr="00911998" w:rsidRDefault="00C90B5A" w:rsidP="00C90B5A">
      <w:pPr>
        <w:pStyle w:val="Notedebasdepage"/>
      </w:pPr>
      <w:r w:rsidRPr="00911998">
        <w:rPr>
          <w:rStyle w:val="Appelnotedebasdep"/>
        </w:rPr>
        <w:footnoteRef/>
      </w:r>
      <w:r w:rsidRPr="00911998">
        <w:t xml:space="preserve"> </w:t>
      </w:r>
      <w:r w:rsidRPr="00911998">
        <w:tab/>
        <w:t xml:space="preserve">Ou unis civilement (voir les articles 521.1 à 521.19 du </w:t>
      </w:r>
      <w:r w:rsidRPr="00911998">
        <w:rPr>
          <w:i/>
          <w:iCs/>
        </w:rPr>
        <w:t xml:space="preserve">Code civil du Québec </w:t>
      </w:r>
      <w:r w:rsidRPr="00911998">
        <w:t>(</w:t>
      </w:r>
      <w:r w:rsidRPr="00911998">
        <w:rPr>
          <w:b/>
          <w:bCs/>
        </w:rPr>
        <w:t>C.c.Q.</w:t>
      </w:r>
      <w:r w:rsidRPr="00911998">
        <w:t>)).</w:t>
      </w:r>
    </w:p>
  </w:footnote>
  <w:footnote w:id="3">
    <w:p w14:paraId="1D347DAE" w14:textId="5514F197" w:rsidR="000E2647" w:rsidRPr="00911998" w:rsidRDefault="000E2647" w:rsidP="000E2647">
      <w:pPr>
        <w:pStyle w:val="Notedebasdepage"/>
      </w:pPr>
      <w:r w:rsidRPr="00911998">
        <w:rPr>
          <w:rStyle w:val="Appelnotedebasdep"/>
        </w:rPr>
        <w:footnoteRef/>
      </w:r>
      <w:r w:rsidRPr="00911998">
        <w:t xml:space="preserve"> </w:t>
      </w:r>
      <w:r w:rsidRPr="00911998">
        <w:tab/>
        <w:t>Les familles « </w:t>
      </w:r>
      <w:proofErr w:type="spellStart"/>
      <w:r w:rsidRPr="00911998">
        <w:t>pluriparentales</w:t>
      </w:r>
      <w:proofErr w:type="spellEnd"/>
      <w:r w:rsidRPr="00911998">
        <w:t> » comprennent toute famille dans laquelle plus de deux adultes sont considérés comme parents d’un ou de plusieurs enfants. Elles incluent les familles « </w:t>
      </w:r>
      <w:proofErr w:type="spellStart"/>
      <w:r w:rsidRPr="00911998">
        <w:t>triparentales</w:t>
      </w:r>
      <w:proofErr w:type="spellEnd"/>
      <w:r w:rsidRPr="00911998">
        <w:t> » composées de trois adultes qui sont tous parents d’un ou de plusieurs enfants.</w:t>
      </w:r>
    </w:p>
  </w:footnote>
  <w:footnote w:id="4">
    <w:p w14:paraId="7FF8D946" w14:textId="70CD7BAC" w:rsidR="00B42F66" w:rsidRPr="00911998" w:rsidRDefault="00B42F66">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Colombie</w:t>
      </w:r>
      <w:r w:rsidRPr="00911998">
        <w:rPr>
          <w:rFonts w:cs="Arial"/>
        </w:rPr>
        <w:noBreakHyphen/>
        <w:t>Britannique</w:t>
      </w:r>
      <w:r w:rsidR="006D591E" w:rsidRPr="00911998">
        <w:rPr>
          <w:rFonts w:cs="Arial"/>
        </w:rPr>
        <w:t> </w:t>
      </w:r>
      <w:r w:rsidRPr="00911998">
        <w:rPr>
          <w:rFonts w:cs="Arial"/>
        </w:rPr>
        <w:t xml:space="preserve">: article 30 du </w:t>
      </w:r>
      <w:r w:rsidRPr="00911998">
        <w:rPr>
          <w:rFonts w:cs="Arial"/>
          <w:i/>
          <w:iCs/>
        </w:rPr>
        <w:t xml:space="preserve">Family Law </w:t>
      </w:r>
      <w:proofErr w:type="spellStart"/>
      <w:r w:rsidRPr="00911998">
        <w:rPr>
          <w:rFonts w:cs="Arial"/>
          <w:i/>
          <w:iCs/>
        </w:rPr>
        <w:t>Act</w:t>
      </w:r>
      <w:proofErr w:type="spellEnd"/>
      <w:r w:rsidRPr="00911998">
        <w:rPr>
          <w:rFonts w:cs="Arial"/>
        </w:rPr>
        <w:t>, SBC</w:t>
      </w:r>
      <w:r w:rsidR="006F26AF" w:rsidRPr="00911998">
        <w:rPr>
          <w:rFonts w:cs="Arial"/>
        </w:rPr>
        <w:t> </w:t>
      </w:r>
      <w:r w:rsidRPr="00911998">
        <w:rPr>
          <w:rFonts w:cs="Arial"/>
        </w:rPr>
        <w:t xml:space="preserve">2011, c. 25; Ontario : articles 9 et 10 de la </w:t>
      </w:r>
      <w:r w:rsidRPr="00911998">
        <w:rPr>
          <w:rFonts w:cs="Arial"/>
          <w:i/>
          <w:iCs/>
        </w:rPr>
        <w:t>Loi portant réforme du droit de l’enfance</w:t>
      </w:r>
      <w:r w:rsidRPr="00911998">
        <w:rPr>
          <w:rFonts w:cs="Arial"/>
        </w:rPr>
        <w:t>, LRO</w:t>
      </w:r>
      <w:r w:rsidR="006D591E" w:rsidRPr="00911998">
        <w:rPr>
          <w:rFonts w:cs="Arial"/>
        </w:rPr>
        <w:t> </w:t>
      </w:r>
      <w:r w:rsidRPr="00911998">
        <w:rPr>
          <w:rFonts w:cs="Arial"/>
        </w:rPr>
        <w:t>1990, c. C</w:t>
      </w:r>
      <w:r w:rsidR="00225C91" w:rsidRPr="00911998">
        <w:rPr>
          <w:rFonts w:cs="Arial"/>
        </w:rPr>
        <w:t>.1</w:t>
      </w:r>
      <w:r w:rsidRPr="00911998">
        <w:rPr>
          <w:rFonts w:cs="Arial"/>
        </w:rPr>
        <w:t>2</w:t>
      </w:r>
      <w:r w:rsidR="006D591E" w:rsidRPr="00911998">
        <w:rPr>
          <w:rFonts w:cs="Arial"/>
        </w:rPr>
        <w:t> </w:t>
      </w:r>
      <w:r w:rsidRPr="00911998">
        <w:rPr>
          <w:rFonts w:cs="Arial"/>
        </w:rPr>
        <w:t xml:space="preserve">; </w:t>
      </w:r>
      <w:r w:rsidR="00DC1D59" w:rsidRPr="00911998">
        <w:rPr>
          <w:rFonts w:cs="Arial"/>
        </w:rPr>
        <w:t xml:space="preserve">Saskatchewan : article 61 de la </w:t>
      </w:r>
      <w:r w:rsidR="00DC1D59" w:rsidRPr="00911998">
        <w:rPr>
          <w:rFonts w:cs="Arial"/>
          <w:i/>
          <w:iCs/>
        </w:rPr>
        <w:t>Loi de 2020 sur le droit de l’enfance</w:t>
      </w:r>
      <w:r w:rsidR="00DC1D59" w:rsidRPr="00911998">
        <w:rPr>
          <w:rFonts w:cs="Arial"/>
        </w:rPr>
        <w:t>, LS 2020, c. 2</w:t>
      </w:r>
      <w:r w:rsidR="006D591E" w:rsidRPr="00911998">
        <w:rPr>
          <w:rFonts w:cs="Arial"/>
        </w:rPr>
        <w:t> </w:t>
      </w:r>
      <w:r w:rsidR="00DC1D59" w:rsidRPr="00911998">
        <w:rPr>
          <w:rFonts w:cs="Arial"/>
        </w:rPr>
        <w:t>; Yukon : paragraphes</w:t>
      </w:r>
      <w:r w:rsidR="006D591E" w:rsidRPr="00911998">
        <w:rPr>
          <w:rFonts w:cs="Arial"/>
        </w:rPr>
        <w:t> </w:t>
      </w:r>
      <w:r w:rsidR="00DC1D59" w:rsidRPr="00911998">
        <w:rPr>
          <w:rFonts w:cs="Arial"/>
        </w:rPr>
        <w:t xml:space="preserve">1(1), 4(2) et 7(1) de la </w:t>
      </w:r>
      <w:r w:rsidR="00DC1D59" w:rsidRPr="00911998">
        <w:rPr>
          <w:rFonts w:cs="Arial"/>
          <w:i/>
          <w:iCs/>
        </w:rPr>
        <w:t>Loi sur les statistiques de l’état civil</w:t>
      </w:r>
      <w:r w:rsidR="00DC1D59" w:rsidRPr="00911998">
        <w:rPr>
          <w:rFonts w:cs="Arial"/>
        </w:rPr>
        <w:t>, LRY</w:t>
      </w:r>
      <w:r w:rsidR="006D591E" w:rsidRPr="00911998">
        <w:rPr>
          <w:rFonts w:cs="Arial"/>
        </w:rPr>
        <w:t> </w:t>
      </w:r>
      <w:r w:rsidR="00DC1D59" w:rsidRPr="00911998">
        <w:rPr>
          <w:rFonts w:cs="Arial"/>
        </w:rPr>
        <w:t>2002, c. 225.</w:t>
      </w:r>
    </w:p>
  </w:footnote>
  <w:footnote w:id="5">
    <w:p w14:paraId="1D7B7F40" w14:textId="42F20819" w:rsidR="001D22E9" w:rsidRPr="00911998" w:rsidRDefault="001D22E9">
      <w:pPr>
        <w:pStyle w:val="Notedebasdepage"/>
        <w:rPr>
          <w:rFonts w:cs="Arial"/>
          <w:lang w:val="en-CA"/>
        </w:rPr>
      </w:pPr>
      <w:r w:rsidRPr="00911998">
        <w:rPr>
          <w:rStyle w:val="Appelnotedebasdep"/>
          <w:rFonts w:cs="Arial"/>
        </w:rPr>
        <w:footnoteRef/>
      </w:r>
      <w:r w:rsidRPr="00911998">
        <w:rPr>
          <w:rFonts w:cs="Arial"/>
          <w:lang w:val="en-CA"/>
        </w:rPr>
        <w:t xml:space="preserve"> </w:t>
      </w:r>
      <w:r w:rsidRPr="00911998">
        <w:rPr>
          <w:rFonts w:cs="Arial"/>
          <w:lang w:val="en-CA"/>
        </w:rPr>
        <w:tab/>
      </w:r>
      <w:proofErr w:type="spellStart"/>
      <w:r w:rsidRPr="00911998">
        <w:rPr>
          <w:rFonts w:cs="Arial"/>
          <w:lang w:val="en-CA"/>
        </w:rPr>
        <w:t>Voir</w:t>
      </w:r>
      <w:proofErr w:type="spellEnd"/>
      <w:r w:rsidRPr="00911998">
        <w:rPr>
          <w:rFonts w:cs="Arial"/>
          <w:lang w:val="en-CA"/>
        </w:rPr>
        <w:t xml:space="preserve"> </w:t>
      </w:r>
      <w:proofErr w:type="spellStart"/>
      <w:r w:rsidRPr="00911998">
        <w:rPr>
          <w:rFonts w:cs="Arial"/>
          <w:lang w:val="en-CA"/>
        </w:rPr>
        <w:t>notamment</w:t>
      </w:r>
      <w:proofErr w:type="spellEnd"/>
      <w:r w:rsidR="006D591E" w:rsidRPr="00911998">
        <w:rPr>
          <w:rFonts w:cs="Arial"/>
          <w:lang w:val="en-CA"/>
        </w:rPr>
        <w:t> </w:t>
      </w:r>
      <w:r w:rsidRPr="00911998">
        <w:rPr>
          <w:rFonts w:cs="Arial"/>
          <w:lang w:val="en-CA"/>
        </w:rPr>
        <w:t>: N.</w:t>
      </w:r>
      <w:r w:rsidR="006F26AF" w:rsidRPr="00911998">
        <w:rPr>
          <w:rFonts w:cs="Arial"/>
          <w:lang w:val="en-CA"/>
        </w:rPr>
        <w:t> </w:t>
      </w:r>
      <w:proofErr w:type="spellStart"/>
      <w:r w:rsidRPr="00911998">
        <w:rPr>
          <w:rFonts w:cs="Arial"/>
          <w:lang w:val="en-CA"/>
        </w:rPr>
        <w:t>Cammu</w:t>
      </w:r>
      <w:proofErr w:type="spellEnd"/>
      <w:r w:rsidRPr="00911998">
        <w:rPr>
          <w:rFonts w:cs="Arial"/>
          <w:lang w:val="en-CA"/>
        </w:rPr>
        <w:t>, «</w:t>
      </w:r>
      <w:r w:rsidR="006D591E" w:rsidRPr="00911998">
        <w:rPr>
          <w:rFonts w:cs="Arial"/>
          <w:lang w:val="en-CA"/>
        </w:rPr>
        <w:t> </w:t>
      </w:r>
      <w:r w:rsidRPr="00911998">
        <w:rPr>
          <w:rFonts w:cs="Arial"/>
          <w:lang w:val="en-CA"/>
        </w:rPr>
        <w:t>Intent to Parent is What Makes a Parent? A Comparative Analysis of the Role of Intent in Multi</w:t>
      </w:r>
      <w:r w:rsidRPr="00911998">
        <w:rPr>
          <w:rFonts w:cs="Arial"/>
          <w:lang w:val="en-CA"/>
        </w:rPr>
        <w:noBreakHyphen/>
        <w:t xml:space="preserve">Parenthood Recognition » (2019) 32 </w:t>
      </w:r>
      <w:r w:rsidRPr="00911998">
        <w:rPr>
          <w:rFonts w:cs="Arial"/>
          <w:i/>
          <w:iCs/>
          <w:lang w:val="en-CA"/>
        </w:rPr>
        <w:t>Canadian Journal of Family Law</w:t>
      </w:r>
      <w:r w:rsidR="006F26AF" w:rsidRPr="00911998">
        <w:rPr>
          <w:rFonts w:cs="Arial"/>
          <w:lang w:val="en-CA"/>
        </w:rPr>
        <w:t> </w:t>
      </w:r>
      <w:r w:rsidRPr="00911998">
        <w:rPr>
          <w:rFonts w:cs="Arial"/>
          <w:lang w:val="en-CA"/>
        </w:rPr>
        <w:t>281, p. 301</w:t>
      </w:r>
      <w:r w:rsidRPr="00911998">
        <w:rPr>
          <w:rFonts w:cs="Arial"/>
          <w:lang w:val="en-CA"/>
        </w:rPr>
        <w:noBreakHyphen/>
        <w:t>303.</w:t>
      </w:r>
    </w:p>
  </w:footnote>
  <w:footnote w:id="6">
    <w:p w14:paraId="7F628E0E" w14:textId="3750E841" w:rsidR="00807465" w:rsidRPr="00911998" w:rsidRDefault="00807465">
      <w:pPr>
        <w:pStyle w:val="Notedebasdepage"/>
        <w:rPr>
          <w:rFonts w:cs="Arial"/>
          <w:lang w:val="en-CA"/>
        </w:rPr>
      </w:pPr>
      <w:r w:rsidRPr="00911998">
        <w:rPr>
          <w:rStyle w:val="Appelnotedebasdep"/>
          <w:rFonts w:cs="Arial"/>
        </w:rPr>
        <w:footnoteRef/>
      </w:r>
      <w:r w:rsidRPr="00911998">
        <w:rPr>
          <w:rFonts w:cs="Arial"/>
          <w:lang w:val="en-CA"/>
        </w:rPr>
        <w:t xml:space="preserve"> </w:t>
      </w:r>
      <w:r w:rsidRPr="00911998">
        <w:rPr>
          <w:rFonts w:cs="Arial"/>
          <w:lang w:val="en-CA"/>
        </w:rPr>
        <w:tab/>
      </w:r>
      <w:r w:rsidR="007E7FF4" w:rsidRPr="00911998">
        <w:rPr>
          <w:rFonts w:cs="Arial"/>
          <w:i/>
          <w:iCs/>
          <w:lang w:val="en-CA"/>
        </w:rPr>
        <w:t>A.A, c. B.B.</w:t>
      </w:r>
      <w:r w:rsidR="007E7FF4" w:rsidRPr="00911998">
        <w:rPr>
          <w:rFonts w:cs="Arial"/>
          <w:lang w:val="en-CA"/>
        </w:rPr>
        <w:t>, 2007 ONCA 2; </w:t>
      </w:r>
      <w:r w:rsidRPr="00911998">
        <w:rPr>
          <w:rFonts w:cs="Arial"/>
          <w:i/>
          <w:iCs/>
          <w:lang w:val="en-CA"/>
        </w:rPr>
        <w:t>Reference re: Children’s Law Act (Nfld. &amp; Lab.)</w:t>
      </w:r>
      <w:r w:rsidRPr="00911998">
        <w:rPr>
          <w:rFonts w:cs="Arial"/>
          <w:lang w:val="en-CA"/>
        </w:rPr>
        <w:t>, 2018 NLSC</w:t>
      </w:r>
      <w:r w:rsidR="006F26AF" w:rsidRPr="00911998">
        <w:rPr>
          <w:rFonts w:cs="Arial"/>
          <w:lang w:val="en-CA"/>
        </w:rPr>
        <w:t> </w:t>
      </w:r>
      <w:r w:rsidRPr="00911998">
        <w:rPr>
          <w:rFonts w:cs="Arial"/>
          <w:lang w:val="en-CA"/>
        </w:rPr>
        <w:t xml:space="preserve">71; et </w:t>
      </w:r>
      <w:r w:rsidRPr="00911998">
        <w:rPr>
          <w:rFonts w:cs="Arial"/>
          <w:i/>
          <w:iCs/>
          <w:lang w:val="en-CA"/>
        </w:rPr>
        <w:t>British Columbia Birth Registration No.</w:t>
      </w:r>
      <w:r w:rsidR="006F26AF" w:rsidRPr="00911998">
        <w:rPr>
          <w:rFonts w:cs="Arial"/>
          <w:i/>
          <w:iCs/>
          <w:lang w:val="en-CA"/>
        </w:rPr>
        <w:t> </w:t>
      </w:r>
      <w:r w:rsidRPr="00911998">
        <w:rPr>
          <w:rFonts w:cs="Arial"/>
          <w:i/>
          <w:iCs/>
          <w:lang w:val="en-CA"/>
        </w:rPr>
        <w:t>2018-XX-XX5815</w:t>
      </w:r>
      <w:r w:rsidRPr="00911998">
        <w:rPr>
          <w:rFonts w:cs="Arial"/>
          <w:lang w:val="en-CA"/>
        </w:rPr>
        <w:t>, 2021 BCSC</w:t>
      </w:r>
      <w:r w:rsidR="006F26AF" w:rsidRPr="00911998">
        <w:rPr>
          <w:rFonts w:cs="Arial"/>
          <w:lang w:val="en-CA"/>
        </w:rPr>
        <w:t> </w:t>
      </w:r>
      <w:r w:rsidRPr="00911998">
        <w:rPr>
          <w:rFonts w:cs="Arial"/>
          <w:lang w:val="en-CA"/>
        </w:rPr>
        <w:t>767.</w:t>
      </w:r>
    </w:p>
  </w:footnote>
  <w:footnote w:id="7">
    <w:p w14:paraId="572667CD" w14:textId="026DAB2E" w:rsidR="005F0F91" w:rsidRPr="00911998" w:rsidRDefault="005F0F91" w:rsidP="005F0F91">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spacing w:val="-3"/>
        </w:rPr>
        <w:t>W. (V.) c. S. (D.)</w:t>
      </w:r>
      <w:r w:rsidRPr="00911998">
        <w:rPr>
          <w:rFonts w:cs="Arial"/>
          <w:spacing w:val="-3"/>
        </w:rPr>
        <w:t>, [1996] 2</w:t>
      </w:r>
      <w:r w:rsidR="006D591E" w:rsidRPr="00911998">
        <w:rPr>
          <w:rFonts w:cs="Arial"/>
          <w:spacing w:val="-3"/>
        </w:rPr>
        <w:t> </w:t>
      </w:r>
      <w:r w:rsidRPr="00911998">
        <w:rPr>
          <w:rFonts w:cs="Arial"/>
          <w:spacing w:val="-3"/>
        </w:rPr>
        <w:t>RCS</w:t>
      </w:r>
      <w:r w:rsidR="006D591E" w:rsidRPr="00911998">
        <w:rPr>
          <w:rFonts w:cs="Arial"/>
          <w:spacing w:val="-3"/>
        </w:rPr>
        <w:t> </w:t>
      </w:r>
      <w:r w:rsidRPr="00911998">
        <w:rPr>
          <w:rFonts w:cs="Arial"/>
          <w:spacing w:val="-3"/>
        </w:rPr>
        <w:t>108, par. 5</w:t>
      </w:r>
      <w:r w:rsidR="002974FD" w:rsidRPr="00911998">
        <w:rPr>
          <w:rFonts w:cs="Arial"/>
          <w:spacing w:val="-3"/>
        </w:rPr>
        <w:t>9</w:t>
      </w:r>
      <w:r w:rsidRPr="00911998">
        <w:rPr>
          <w:rFonts w:cs="Arial"/>
          <w:spacing w:val="-3"/>
        </w:rPr>
        <w:t>.</w:t>
      </w:r>
    </w:p>
  </w:footnote>
  <w:footnote w:id="8">
    <w:p w14:paraId="7E233242" w14:textId="38EC417E" w:rsidR="00E12B4B" w:rsidRPr="00911998" w:rsidRDefault="00E12B4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Représentations orales au nom du </w:t>
      </w:r>
      <w:r w:rsidR="008A3571" w:rsidRPr="00911998">
        <w:rPr>
          <w:rFonts w:cs="Arial"/>
        </w:rPr>
        <w:t>PGQ</w:t>
      </w:r>
      <w:r w:rsidRPr="00911998">
        <w:rPr>
          <w:rFonts w:cs="Arial"/>
        </w:rPr>
        <w:t xml:space="preserve"> le 19</w:t>
      </w:r>
      <w:r w:rsidR="006D591E" w:rsidRPr="00911998">
        <w:rPr>
          <w:rFonts w:cs="Arial"/>
        </w:rPr>
        <w:t> </w:t>
      </w:r>
      <w:r w:rsidRPr="00911998">
        <w:rPr>
          <w:rFonts w:cs="Arial"/>
        </w:rPr>
        <w:t>juin 2024.</w:t>
      </w:r>
    </w:p>
  </w:footnote>
  <w:footnote w:id="9">
    <w:p w14:paraId="4ADF517F" w14:textId="10F7ED7D" w:rsidR="00E12B4B" w:rsidRPr="00911998" w:rsidRDefault="00E12B4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p>
  </w:footnote>
  <w:footnote w:id="10">
    <w:p w14:paraId="1E9CF475" w14:textId="18BB625A" w:rsidR="008E0E84" w:rsidRPr="00911998" w:rsidRDefault="008E0E84">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I. Côté, </w:t>
      </w:r>
      <w:r w:rsidRPr="00911998">
        <w:rPr>
          <w:rFonts w:cs="Arial"/>
          <w:i/>
          <w:iCs/>
        </w:rPr>
        <w:t xml:space="preserve">Les modalités familiales </w:t>
      </w:r>
      <w:proofErr w:type="spellStart"/>
      <w:r w:rsidRPr="00911998">
        <w:rPr>
          <w:rFonts w:cs="Arial"/>
          <w:i/>
          <w:iCs/>
        </w:rPr>
        <w:t>pluriparentales</w:t>
      </w:r>
      <w:proofErr w:type="spellEnd"/>
      <w:r w:rsidRPr="00911998">
        <w:rPr>
          <w:rFonts w:cs="Arial"/>
        </w:rPr>
        <w:t>, p. </w:t>
      </w:r>
      <w:r w:rsidR="001621A7" w:rsidRPr="00911998">
        <w:rPr>
          <w:rFonts w:cs="Arial"/>
        </w:rPr>
        <w:t>15</w:t>
      </w:r>
      <w:r w:rsidRPr="00911998">
        <w:rPr>
          <w:rFonts w:cs="Arial"/>
        </w:rPr>
        <w:t xml:space="preserve"> (pièce P</w:t>
      </w:r>
      <w:r w:rsidRPr="00911998">
        <w:rPr>
          <w:rFonts w:cs="Arial"/>
        </w:rPr>
        <w:noBreakHyphen/>
        <w:t>8)</w:t>
      </w:r>
      <w:r w:rsidR="00B12F24" w:rsidRPr="00911998">
        <w:rPr>
          <w:rFonts w:cs="Arial"/>
        </w:rPr>
        <w:t xml:space="preserve"> [</w:t>
      </w:r>
      <w:r w:rsidR="00B12F24" w:rsidRPr="00911998">
        <w:rPr>
          <w:rFonts w:cs="Arial"/>
          <w:b/>
          <w:bCs/>
        </w:rPr>
        <w:t>Rapport Côté</w:t>
      </w:r>
      <w:r w:rsidR="00B12F24" w:rsidRPr="00911998">
        <w:rPr>
          <w:rFonts w:cs="Arial"/>
        </w:rPr>
        <w:t>]</w:t>
      </w:r>
      <w:r w:rsidR="006D591E" w:rsidRPr="00911998">
        <w:rPr>
          <w:rFonts w:cs="Arial"/>
        </w:rPr>
        <w:t> </w:t>
      </w:r>
      <w:r w:rsidR="00B12F24" w:rsidRPr="00911998">
        <w:rPr>
          <w:rFonts w:cs="Arial"/>
        </w:rPr>
        <w:t xml:space="preserve">; </w:t>
      </w:r>
      <w:r w:rsidR="00225C91" w:rsidRPr="00911998">
        <w:rPr>
          <w:rFonts w:cs="Arial"/>
        </w:rPr>
        <w:t xml:space="preserve">voir également : </w:t>
      </w:r>
      <w:r w:rsidR="00B12F24" w:rsidRPr="00911998">
        <w:rPr>
          <w:rFonts w:cs="Arial"/>
        </w:rPr>
        <w:t>K.</w:t>
      </w:r>
      <w:r w:rsidR="006F26AF" w:rsidRPr="00911998">
        <w:rPr>
          <w:rFonts w:cs="Arial"/>
        </w:rPr>
        <w:t> </w:t>
      </w:r>
      <w:r w:rsidR="00B12F24" w:rsidRPr="00911998">
        <w:rPr>
          <w:rFonts w:cs="Arial"/>
        </w:rPr>
        <w:t xml:space="preserve">Poitras, </w:t>
      </w:r>
      <w:r w:rsidR="00B12F24" w:rsidRPr="00911998">
        <w:rPr>
          <w:rFonts w:cs="Arial"/>
          <w:i/>
          <w:iCs/>
        </w:rPr>
        <w:t>Rapport d’expertise psychologique et des capacités parentales</w:t>
      </w:r>
      <w:r w:rsidR="00B12F24" w:rsidRPr="00911998">
        <w:rPr>
          <w:rFonts w:cs="Arial"/>
        </w:rPr>
        <w:t>, p. 26 (P</w:t>
      </w:r>
      <w:r w:rsidR="00B12F24" w:rsidRPr="00911998">
        <w:rPr>
          <w:rFonts w:cs="Arial"/>
        </w:rPr>
        <w:noBreakHyphen/>
        <w:t>16) [</w:t>
      </w:r>
      <w:r w:rsidR="00B12F24" w:rsidRPr="00911998">
        <w:rPr>
          <w:rFonts w:cs="Arial"/>
          <w:b/>
          <w:bCs/>
        </w:rPr>
        <w:t>Rapport Poitras</w:t>
      </w:r>
      <w:r w:rsidR="00B12F24" w:rsidRPr="00911998">
        <w:rPr>
          <w:rFonts w:cs="Arial"/>
        </w:rPr>
        <w:t>].</w:t>
      </w:r>
      <w:r w:rsidR="00B95F04" w:rsidRPr="00911998">
        <w:rPr>
          <w:rFonts w:cs="Arial"/>
        </w:rPr>
        <w:t xml:space="preserve"> </w:t>
      </w:r>
      <w:r w:rsidR="00B95F04" w:rsidRPr="00911998">
        <w:t>Selon cette preuve experte, les facteurs qui ont une valeur prédictive sur le bien-être des enfants sont plutôt : 1) la qualité de la relation parents-enfants, 2) la qualité de</w:t>
      </w:r>
      <w:r w:rsidR="00225C91" w:rsidRPr="00911998">
        <w:t>s</w:t>
      </w:r>
      <w:r w:rsidR="00B95F04" w:rsidRPr="00911998">
        <w:t xml:space="preserve"> relation</w:t>
      </w:r>
      <w:r w:rsidR="00225C91" w:rsidRPr="00911998">
        <w:t>s</w:t>
      </w:r>
      <w:r w:rsidR="00B95F04" w:rsidRPr="00911998">
        <w:t xml:space="preserve"> entre les parents, 3) la disponibilité des ressources sociales et économiques, et 4) les caractéristiques personnelles des parents et des enfants : Rapport Côté, p. 17</w:t>
      </w:r>
      <w:r w:rsidR="00B95F04" w:rsidRPr="00911998">
        <w:noBreakHyphen/>
        <w:t>25.</w:t>
      </w:r>
    </w:p>
  </w:footnote>
  <w:footnote w:id="11">
    <w:p w14:paraId="562B073D" w14:textId="04BA6091" w:rsidR="00445E36" w:rsidRPr="00911998" w:rsidRDefault="00445E36">
      <w:pPr>
        <w:pStyle w:val="Notedebasdepage"/>
        <w:rPr>
          <w:rFonts w:cs="Arial"/>
        </w:rPr>
      </w:pPr>
      <w:r w:rsidRPr="00911998">
        <w:rPr>
          <w:rStyle w:val="Appelnotedebasdep"/>
          <w:rFonts w:cs="Arial"/>
        </w:rPr>
        <w:footnoteRef/>
      </w:r>
      <w:r w:rsidRPr="00911998">
        <w:rPr>
          <w:rFonts w:cs="Arial"/>
        </w:rPr>
        <w:t xml:space="preserve"> </w:t>
      </w:r>
      <w:r w:rsidR="005715A7" w:rsidRPr="00911998">
        <w:rPr>
          <w:rFonts w:cs="Arial"/>
        </w:rPr>
        <w:tab/>
      </w:r>
      <w:r w:rsidRPr="00911998">
        <w:rPr>
          <w:rFonts w:cs="Arial"/>
        </w:rPr>
        <w:t>Pièce P</w:t>
      </w:r>
      <w:r w:rsidRPr="00911998">
        <w:rPr>
          <w:rFonts w:cs="Arial"/>
        </w:rPr>
        <w:noBreakHyphen/>
        <w:t>12.</w:t>
      </w:r>
    </w:p>
  </w:footnote>
  <w:footnote w:id="12">
    <w:p w14:paraId="37942631" w14:textId="3DBC8801" w:rsidR="005715A7" w:rsidRPr="00911998" w:rsidRDefault="005715A7">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p>
  </w:footnote>
  <w:footnote w:id="13">
    <w:p w14:paraId="43D4C4AF" w14:textId="3588D659" w:rsidR="005715A7" w:rsidRPr="00911998" w:rsidRDefault="005715A7">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F42D6D" w:rsidRPr="00911998">
        <w:rPr>
          <w:rFonts w:cs="Arial"/>
        </w:rPr>
        <w:t>Au début,</w:t>
      </w:r>
      <w:r w:rsidR="00FA5AD3" w:rsidRPr="00911998">
        <w:rPr>
          <w:rFonts w:cs="Arial"/>
        </w:rPr>
        <w:t xml:space="preserve"> </w:t>
      </w:r>
      <w:r w:rsidR="00F42D6D" w:rsidRPr="00911998">
        <w:rPr>
          <w:rFonts w:cs="Arial"/>
        </w:rPr>
        <w:t>la</w:t>
      </w:r>
      <w:r w:rsidRPr="00911998">
        <w:rPr>
          <w:rFonts w:cs="Arial"/>
        </w:rPr>
        <w:t xml:space="preserve"> fille</w:t>
      </w:r>
      <w:r w:rsidR="00FA5AD3" w:rsidRPr="00911998">
        <w:rPr>
          <w:rFonts w:cs="Arial"/>
        </w:rPr>
        <w:t xml:space="preserve"> adolescente</w:t>
      </w:r>
      <w:r w:rsidRPr="00911998">
        <w:rPr>
          <w:rFonts w:cs="Arial"/>
        </w:rPr>
        <w:t xml:space="preserve"> ainée de madame </w:t>
      </w:r>
      <w:proofErr w:type="gramStart"/>
      <w:r w:rsidR="00153EC1">
        <w:rPr>
          <w:rFonts w:cs="Arial"/>
        </w:rPr>
        <w:t>M...</w:t>
      </w:r>
      <w:proofErr w:type="gramEnd"/>
      <w:r w:rsidRPr="00911998">
        <w:rPr>
          <w:rFonts w:cs="Arial"/>
        </w:rPr>
        <w:t xml:space="preserve"> et de monsieur </w:t>
      </w:r>
      <w:r w:rsidR="000032F7">
        <w:rPr>
          <w:rFonts w:cs="Arial"/>
        </w:rPr>
        <w:t>D...</w:t>
      </w:r>
      <w:r w:rsidRPr="00911998">
        <w:rPr>
          <w:rFonts w:cs="Arial"/>
        </w:rPr>
        <w:t xml:space="preserve"> </w:t>
      </w:r>
      <w:r w:rsidR="00FA5AD3" w:rsidRPr="00911998">
        <w:rPr>
          <w:rFonts w:cs="Arial"/>
        </w:rPr>
        <w:t xml:space="preserve">est </w:t>
      </w:r>
      <w:r w:rsidR="00A331A0" w:rsidRPr="00911998">
        <w:rPr>
          <w:rFonts w:cs="Arial"/>
        </w:rPr>
        <w:t>plus réfractaire à la nouvelle organisation familiale.</w:t>
      </w:r>
    </w:p>
  </w:footnote>
  <w:footnote w:id="14">
    <w:p w14:paraId="053352A5" w14:textId="3144535F" w:rsidR="00A331A0" w:rsidRPr="00911998" w:rsidRDefault="00A331A0">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871E19" w:rsidRPr="00911998">
        <w:rPr>
          <w:rFonts w:cs="Arial"/>
        </w:rPr>
        <w:t>Rapport Poitras, précité</w:t>
      </w:r>
      <w:r w:rsidRPr="00911998">
        <w:rPr>
          <w:rFonts w:cs="Arial"/>
        </w:rPr>
        <w:t>.</w:t>
      </w:r>
    </w:p>
  </w:footnote>
  <w:footnote w:id="15">
    <w:p w14:paraId="6AEDD352" w14:textId="65F22BB6" w:rsidR="00FF253E" w:rsidRPr="00911998" w:rsidRDefault="00FF253E">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 26</w:t>
      </w:r>
      <w:r w:rsidRPr="00911998">
        <w:rPr>
          <w:rFonts w:cs="Arial"/>
        </w:rPr>
        <w:noBreakHyphen/>
        <w:t>27.</w:t>
      </w:r>
    </w:p>
  </w:footnote>
  <w:footnote w:id="16">
    <w:p w14:paraId="7058809C" w14:textId="0A1362F4" w:rsidR="00FF253E" w:rsidRPr="00911998" w:rsidRDefault="00FF253E">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 27.</w:t>
      </w:r>
    </w:p>
  </w:footnote>
  <w:footnote w:id="17">
    <w:p w14:paraId="22FC72C2" w14:textId="67B8C9DF" w:rsidR="003D08CC" w:rsidRPr="00911998" w:rsidRDefault="003D08CC" w:rsidP="003D08CC">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Pièce P</w:t>
      </w:r>
      <w:r w:rsidRPr="00911998">
        <w:rPr>
          <w:rFonts w:cs="Arial"/>
        </w:rPr>
        <w:noBreakHyphen/>
        <w:t>2</w:t>
      </w:r>
      <w:r w:rsidR="00225C91" w:rsidRPr="00911998">
        <w:rPr>
          <w:rFonts w:cs="Arial"/>
        </w:rPr>
        <w:t>.</w:t>
      </w:r>
    </w:p>
  </w:footnote>
  <w:footnote w:id="18">
    <w:p w14:paraId="11522912" w14:textId="5AD4F563" w:rsidR="00CC79B8" w:rsidRPr="00911998" w:rsidRDefault="00CC79B8">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Pièce P</w:t>
      </w:r>
      <w:r w:rsidRPr="00911998">
        <w:rPr>
          <w:rFonts w:cs="Arial"/>
        </w:rPr>
        <w:noBreakHyphen/>
        <w:t>1.</w:t>
      </w:r>
    </w:p>
  </w:footnote>
  <w:footnote w:id="19">
    <w:p w14:paraId="50030817" w14:textId="0648566D" w:rsidR="00565D63" w:rsidRPr="00911998" w:rsidRDefault="00565D63">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Pièce P</w:t>
      </w:r>
      <w:r w:rsidRPr="00911998">
        <w:rPr>
          <w:rFonts w:cs="Arial"/>
        </w:rPr>
        <w:noBreakHyphen/>
        <w:t>3.</w:t>
      </w:r>
    </w:p>
  </w:footnote>
  <w:footnote w:id="20">
    <w:p w14:paraId="09CCEDEF" w14:textId="7E81581C" w:rsidR="00565D63" w:rsidRPr="00911998" w:rsidRDefault="00565D63">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Pièce P</w:t>
      </w:r>
      <w:r w:rsidRPr="00911998">
        <w:rPr>
          <w:rFonts w:cs="Arial"/>
        </w:rPr>
        <w:noBreakHyphen/>
        <w:t>4C</w:t>
      </w:r>
      <w:r w:rsidR="00967DD6" w:rsidRPr="00911998">
        <w:rPr>
          <w:rFonts w:cs="Arial"/>
        </w:rPr>
        <w:t>.</w:t>
      </w:r>
    </w:p>
  </w:footnote>
  <w:footnote w:id="21">
    <w:p w14:paraId="05715370" w14:textId="459BA121" w:rsidR="00EE1ECA" w:rsidRPr="00911998" w:rsidRDefault="00EE1ECA">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Pièce P</w:t>
      </w:r>
      <w:r w:rsidRPr="00911998">
        <w:rPr>
          <w:rFonts w:cs="Arial"/>
        </w:rPr>
        <w:noBreakHyphen/>
        <w:t>4B</w:t>
      </w:r>
      <w:r w:rsidR="00967DD6" w:rsidRPr="00911998">
        <w:rPr>
          <w:rFonts w:cs="Arial"/>
        </w:rPr>
        <w:t>.</w:t>
      </w:r>
    </w:p>
  </w:footnote>
  <w:footnote w:id="22">
    <w:p w14:paraId="61EA49F9" w14:textId="4D8C4EB2" w:rsidR="00967DD6" w:rsidRPr="00911998" w:rsidRDefault="00967DD6">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Pièce P</w:t>
      </w:r>
      <w:r w:rsidRPr="00911998">
        <w:rPr>
          <w:rFonts w:cs="Arial"/>
        </w:rPr>
        <w:noBreakHyphen/>
        <w:t>4A.</w:t>
      </w:r>
    </w:p>
  </w:footnote>
  <w:footnote w:id="23">
    <w:p w14:paraId="6199EE6B" w14:textId="77777777" w:rsidR="00A64FF4" w:rsidRPr="00911998" w:rsidRDefault="00A64FF4" w:rsidP="00A64FF4">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RLRQ c. C</w:t>
      </w:r>
      <w:r w:rsidRPr="00911998">
        <w:rPr>
          <w:rFonts w:cs="Arial"/>
        </w:rPr>
        <w:noBreakHyphen/>
        <w:t>12.</w:t>
      </w:r>
    </w:p>
  </w:footnote>
  <w:footnote w:id="24">
    <w:p w14:paraId="4A2DC82A" w14:textId="29ECB86B" w:rsidR="001701AD" w:rsidRPr="00911998" w:rsidRDefault="001701AD" w:rsidP="001701AD">
      <w:pPr>
        <w:pStyle w:val="Notedebasdepage"/>
        <w:rPr>
          <w:rFonts w:cs="Arial"/>
          <w:i/>
          <w:iCs/>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shd w:val="clear" w:color="auto" w:fill="FFFFFF"/>
        </w:rPr>
        <w:t>Droit de la famille — 20572</w:t>
      </w:r>
      <w:r w:rsidRPr="00911998">
        <w:rPr>
          <w:rFonts w:cs="Arial"/>
          <w:shd w:val="clear" w:color="auto" w:fill="FFFFFF"/>
        </w:rPr>
        <w:t>, 2020 QCCA 585, par. 23</w:t>
      </w:r>
      <w:r w:rsidR="002D789F" w:rsidRPr="00911998">
        <w:rPr>
          <w:rFonts w:cs="Arial"/>
          <w:shd w:val="clear" w:color="auto" w:fill="FFFFFF"/>
        </w:rPr>
        <w:t> </w:t>
      </w:r>
      <w:r w:rsidRPr="00911998">
        <w:rPr>
          <w:rFonts w:cs="Arial"/>
          <w:shd w:val="clear" w:color="auto" w:fill="FFFFFF"/>
        </w:rPr>
        <w:t xml:space="preserve">; </w:t>
      </w:r>
      <w:r w:rsidRPr="00911998">
        <w:rPr>
          <w:rFonts w:cs="Arial"/>
          <w:i/>
          <w:iCs/>
          <w:shd w:val="clear" w:color="auto" w:fill="FFFFFF"/>
        </w:rPr>
        <w:t>Droit de la famille — 191677</w:t>
      </w:r>
      <w:r w:rsidRPr="00911998">
        <w:rPr>
          <w:rFonts w:cs="Arial"/>
          <w:shd w:val="clear" w:color="auto" w:fill="FFFFFF"/>
        </w:rPr>
        <w:t>, 2019</w:t>
      </w:r>
      <w:r w:rsidR="002D789F" w:rsidRPr="00911998">
        <w:rPr>
          <w:rFonts w:cs="Arial"/>
          <w:shd w:val="clear" w:color="auto" w:fill="FFFFFF"/>
        </w:rPr>
        <w:t> </w:t>
      </w:r>
      <w:r w:rsidRPr="00911998">
        <w:rPr>
          <w:rFonts w:cs="Arial"/>
          <w:shd w:val="clear" w:color="auto" w:fill="FFFFFF"/>
        </w:rPr>
        <w:t>QCCA</w:t>
      </w:r>
      <w:r w:rsidR="002D789F" w:rsidRPr="00911998">
        <w:rPr>
          <w:rFonts w:cs="Arial"/>
          <w:shd w:val="clear" w:color="auto" w:fill="FFFFFF"/>
        </w:rPr>
        <w:t> </w:t>
      </w:r>
      <w:r w:rsidRPr="00911998">
        <w:rPr>
          <w:rFonts w:cs="Arial"/>
          <w:shd w:val="clear" w:color="auto" w:fill="FFFFFF"/>
        </w:rPr>
        <w:t>1386, par. 100</w:t>
      </w:r>
      <w:r w:rsidR="00A81CCD" w:rsidRPr="00911998">
        <w:rPr>
          <w:rFonts w:cs="Arial"/>
          <w:shd w:val="clear" w:color="auto" w:fill="FFFFFF"/>
        </w:rPr>
        <w:t xml:space="preserve"> (demande d’autorisation d’appel à la Cour </w:t>
      </w:r>
      <w:r w:rsidR="002D789F" w:rsidRPr="00911998">
        <w:rPr>
          <w:rFonts w:cs="Arial"/>
          <w:shd w:val="clear" w:color="auto" w:fill="FFFFFF"/>
        </w:rPr>
        <w:t>suprême</w:t>
      </w:r>
      <w:r w:rsidR="00A81CCD" w:rsidRPr="00911998">
        <w:rPr>
          <w:rFonts w:cs="Arial"/>
          <w:shd w:val="clear" w:color="auto" w:fill="FFFFFF"/>
        </w:rPr>
        <w:t xml:space="preserve"> du Canada rejetée</w:t>
      </w:r>
      <w:r w:rsidR="002D789F" w:rsidRPr="00911998">
        <w:rPr>
          <w:rFonts w:cs="Arial"/>
          <w:shd w:val="clear" w:color="auto" w:fill="FFFFFF"/>
        </w:rPr>
        <w:t> </w:t>
      </w:r>
      <w:r w:rsidR="00A81CCD" w:rsidRPr="00911998">
        <w:rPr>
          <w:rFonts w:cs="Arial"/>
          <w:shd w:val="clear" w:color="auto" w:fill="FFFFFF"/>
        </w:rPr>
        <w:t>: J</w:t>
      </w:r>
      <w:r w:rsidR="00A81CCD" w:rsidRPr="00911998">
        <w:rPr>
          <w:rFonts w:cs="Arial"/>
          <w:i/>
          <w:iCs/>
          <w:shd w:val="clear" w:color="auto" w:fill="FFFFFF"/>
        </w:rPr>
        <w:t>.M. c. C.L.</w:t>
      </w:r>
      <w:r w:rsidR="00A81CCD" w:rsidRPr="00911998">
        <w:rPr>
          <w:rFonts w:cs="Arial"/>
          <w:shd w:val="clear" w:color="auto" w:fill="FFFFFF"/>
        </w:rPr>
        <w:t>, 2020</w:t>
      </w:r>
      <w:r w:rsidR="002D789F" w:rsidRPr="00911998">
        <w:rPr>
          <w:rFonts w:cs="Arial"/>
          <w:shd w:val="clear" w:color="auto" w:fill="FFFFFF"/>
        </w:rPr>
        <w:t> </w:t>
      </w:r>
      <w:r w:rsidR="00A81CCD" w:rsidRPr="00911998">
        <w:rPr>
          <w:rFonts w:cs="Arial"/>
          <w:shd w:val="clear" w:color="auto" w:fill="FFFFFF"/>
        </w:rPr>
        <w:t>CanLII</w:t>
      </w:r>
      <w:r w:rsidR="002D789F" w:rsidRPr="00911998">
        <w:rPr>
          <w:rFonts w:cs="Arial"/>
          <w:shd w:val="clear" w:color="auto" w:fill="FFFFFF"/>
        </w:rPr>
        <w:t> </w:t>
      </w:r>
      <w:r w:rsidR="00A81CCD" w:rsidRPr="00911998">
        <w:rPr>
          <w:rFonts w:cs="Arial"/>
          <w:shd w:val="clear" w:color="auto" w:fill="FFFFFF"/>
        </w:rPr>
        <w:t>25168 (CSC</w:t>
      </w:r>
      <w:r w:rsidR="002D789F" w:rsidRPr="00911998">
        <w:rPr>
          <w:rFonts w:cs="Arial"/>
          <w:shd w:val="clear" w:color="auto" w:fill="FFFFFF"/>
        </w:rPr>
        <w:t>)</w:t>
      </w:r>
      <w:r w:rsidR="00A81CCD" w:rsidRPr="00911998">
        <w:rPr>
          <w:rFonts w:cs="Arial"/>
          <w:shd w:val="clear" w:color="auto" w:fill="FFFFFF"/>
        </w:rPr>
        <w:t>)</w:t>
      </w:r>
      <w:r w:rsidR="002D789F" w:rsidRPr="00911998">
        <w:rPr>
          <w:rFonts w:cs="Arial"/>
          <w:shd w:val="clear" w:color="auto" w:fill="FFFFFF"/>
        </w:rPr>
        <w:t> </w:t>
      </w:r>
      <w:r w:rsidRPr="00911998">
        <w:rPr>
          <w:rFonts w:cs="Arial"/>
          <w:shd w:val="clear" w:color="auto" w:fill="FFFFFF"/>
        </w:rPr>
        <w:t>; R.</w:t>
      </w:r>
      <w:r w:rsidR="002D789F" w:rsidRPr="00911998">
        <w:rPr>
          <w:rFonts w:cs="Arial"/>
          <w:shd w:val="clear" w:color="auto" w:fill="FFFFFF"/>
        </w:rPr>
        <w:t> </w:t>
      </w:r>
      <w:r w:rsidRPr="00911998">
        <w:rPr>
          <w:rFonts w:cs="Arial"/>
          <w:shd w:val="clear" w:color="auto" w:fill="FFFFFF"/>
        </w:rPr>
        <w:t>Leckey, «</w:t>
      </w:r>
      <w:r w:rsidR="002D789F" w:rsidRPr="00911998">
        <w:rPr>
          <w:rFonts w:cs="Arial"/>
          <w:shd w:val="clear" w:color="auto" w:fill="FFFFFF"/>
        </w:rPr>
        <w:t> </w:t>
      </w:r>
      <w:r w:rsidRPr="00911998">
        <w:rPr>
          <w:rFonts w:cs="Arial"/>
          <w:shd w:val="clear" w:color="auto" w:fill="FFFFFF"/>
        </w:rPr>
        <w:t>Filiation</w:t>
      </w:r>
      <w:r w:rsidR="002D789F" w:rsidRPr="00911998">
        <w:rPr>
          <w:rFonts w:cs="Arial"/>
          <w:shd w:val="clear" w:color="auto" w:fill="FFFFFF"/>
        </w:rPr>
        <w:t> »</w:t>
      </w:r>
      <w:r w:rsidRPr="00911998">
        <w:rPr>
          <w:rFonts w:cs="Arial"/>
          <w:shd w:val="clear" w:color="auto" w:fill="FFFFFF"/>
        </w:rPr>
        <w:t xml:space="preserve"> (2020) 66</w:t>
      </w:r>
      <w:r w:rsidR="002D789F" w:rsidRPr="00911998">
        <w:rPr>
          <w:rFonts w:cs="Arial"/>
          <w:shd w:val="clear" w:color="auto" w:fill="FFFFFF"/>
        </w:rPr>
        <w:t> </w:t>
      </w:r>
      <w:r w:rsidRPr="00911998">
        <w:rPr>
          <w:rFonts w:cs="Arial"/>
          <w:i/>
          <w:iCs/>
          <w:shd w:val="clear" w:color="auto" w:fill="FFFFFF"/>
        </w:rPr>
        <w:t>RD McGill</w:t>
      </w:r>
      <w:r w:rsidR="002D789F" w:rsidRPr="00911998">
        <w:rPr>
          <w:rFonts w:cs="Arial"/>
          <w:shd w:val="clear" w:color="auto" w:fill="FFFFFF"/>
        </w:rPr>
        <w:t> </w:t>
      </w:r>
      <w:r w:rsidRPr="00911998">
        <w:rPr>
          <w:rFonts w:cs="Arial"/>
          <w:shd w:val="clear" w:color="auto" w:fill="FFFFFF"/>
        </w:rPr>
        <w:t>73, p.</w:t>
      </w:r>
      <w:r w:rsidR="002D789F" w:rsidRPr="00911998">
        <w:rPr>
          <w:rFonts w:cs="Arial"/>
          <w:shd w:val="clear" w:color="auto" w:fill="FFFFFF"/>
        </w:rPr>
        <w:t> </w:t>
      </w:r>
      <w:r w:rsidRPr="00911998">
        <w:rPr>
          <w:rFonts w:cs="Arial"/>
          <w:shd w:val="clear" w:color="auto" w:fill="FFFFFF"/>
        </w:rPr>
        <w:t>73 [</w:t>
      </w:r>
      <w:r w:rsidRPr="00911998">
        <w:rPr>
          <w:rFonts w:cs="Arial"/>
          <w:b/>
          <w:bCs/>
          <w:shd w:val="clear" w:color="auto" w:fill="FFFFFF"/>
        </w:rPr>
        <w:t>Leckey 2020</w:t>
      </w:r>
      <w:r w:rsidRPr="00911998">
        <w:rPr>
          <w:rFonts w:cs="Arial"/>
          <w:shd w:val="clear" w:color="auto" w:fill="FFFFFF"/>
        </w:rPr>
        <w:t>]</w:t>
      </w:r>
      <w:r w:rsidR="002D789F" w:rsidRPr="00911998">
        <w:rPr>
          <w:rFonts w:cs="Arial"/>
          <w:shd w:val="clear" w:color="auto" w:fill="FFFFFF"/>
        </w:rPr>
        <w:t> </w:t>
      </w:r>
      <w:r w:rsidRPr="00911998">
        <w:rPr>
          <w:rFonts w:cs="Arial"/>
          <w:shd w:val="clear" w:color="auto" w:fill="FFFFFF"/>
        </w:rPr>
        <w:t xml:space="preserve">; R. </w:t>
      </w:r>
      <w:proofErr w:type="spellStart"/>
      <w:r w:rsidRPr="00911998">
        <w:rPr>
          <w:rFonts w:cs="Arial"/>
          <w:shd w:val="clear" w:color="auto" w:fill="FFFFFF"/>
        </w:rPr>
        <w:t>Leckey</w:t>
      </w:r>
      <w:proofErr w:type="spellEnd"/>
      <w:r w:rsidRPr="00911998">
        <w:rPr>
          <w:rFonts w:cs="Arial"/>
          <w:shd w:val="clear" w:color="auto" w:fill="FFFFFF"/>
        </w:rPr>
        <w:t xml:space="preserve">, </w:t>
      </w:r>
      <w:r w:rsidR="002D789F" w:rsidRPr="00911998">
        <w:rPr>
          <w:rFonts w:cs="Arial"/>
          <w:shd w:val="clear" w:color="auto" w:fill="FFFFFF"/>
        </w:rPr>
        <w:t>“</w:t>
      </w:r>
      <w:r w:rsidRPr="00911998">
        <w:rPr>
          <w:rFonts w:cs="Arial"/>
        </w:rPr>
        <w:t>‘</w:t>
      </w:r>
      <w:proofErr w:type="spellStart"/>
      <w:r w:rsidRPr="00911998">
        <w:rPr>
          <w:rFonts w:cs="Arial"/>
          <w:shd w:val="clear" w:color="auto" w:fill="FFFFFF"/>
        </w:rPr>
        <w:t>Where</w:t>
      </w:r>
      <w:proofErr w:type="spellEnd"/>
      <w:r w:rsidRPr="00911998">
        <w:rPr>
          <w:rFonts w:cs="Arial"/>
          <w:shd w:val="clear" w:color="auto" w:fill="FFFFFF"/>
        </w:rPr>
        <w:t xml:space="preserve"> the parents are of the </w:t>
      </w:r>
      <w:proofErr w:type="spellStart"/>
      <w:r w:rsidRPr="00911998">
        <w:rPr>
          <w:rFonts w:cs="Arial"/>
          <w:shd w:val="clear" w:color="auto" w:fill="FFFFFF"/>
        </w:rPr>
        <w:t>Same</w:t>
      </w:r>
      <w:proofErr w:type="spellEnd"/>
      <w:r w:rsidRPr="00911998">
        <w:rPr>
          <w:rFonts w:cs="Arial"/>
          <w:shd w:val="clear" w:color="auto" w:fill="FFFFFF"/>
        </w:rPr>
        <w:t xml:space="preserve"> </w:t>
      </w:r>
      <w:proofErr w:type="spellStart"/>
      <w:r w:rsidRPr="00911998">
        <w:rPr>
          <w:rFonts w:cs="Arial"/>
          <w:shd w:val="clear" w:color="auto" w:fill="FFFFFF"/>
        </w:rPr>
        <w:t>Sex</w:t>
      </w:r>
      <w:proofErr w:type="spellEnd"/>
      <w:r w:rsidRPr="00911998">
        <w:rPr>
          <w:rFonts w:cs="Arial"/>
        </w:rPr>
        <w:t>’</w:t>
      </w:r>
      <w:r w:rsidRPr="00911998">
        <w:rPr>
          <w:rFonts w:cs="Arial"/>
          <w:shd w:val="clear" w:color="auto" w:fill="FFFFFF"/>
        </w:rPr>
        <w:t xml:space="preserve">: </w:t>
      </w:r>
      <w:proofErr w:type="spellStart"/>
      <w:r w:rsidRPr="00911998">
        <w:rPr>
          <w:rFonts w:cs="Arial"/>
          <w:shd w:val="clear" w:color="auto" w:fill="FFFFFF"/>
        </w:rPr>
        <w:t>Quebec’s</w:t>
      </w:r>
      <w:proofErr w:type="spellEnd"/>
      <w:r w:rsidRPr="00911998">
        <w:rPr>
          <w:rFonts w:cs="Arial"/>
          <w:shd w:val="clear" w:color="auto" w:fill="FFFFFF"/>
        </w:rPr>
        <w:t xml:space="preserve"> </w:t>
      </w:r>
      <w:proofErr w:type="spellStart"/>
      <w:r w:rsidRPr="00911998">
        <w:rPr>
          <w:rFonts w:cs="Arial"/>
          <w:shd w:val="clear" w:color="auto" w:fill="FFFFFF"/>
        </w:rPr>
        <w:t>Reforms</w:t>
      </w:r>
      <w:proofErr w:type="spellEnd"/>
      <w:r w:rsidRPr="00911998">
        <w:rPr>
          <w:rFonts w:cs="Arial"/>
          <w:shd w:val="clear" w:color="auto" w:fill="FFFFFF"/>
        </w:rPr>
        <w:t xml:space="preserve"> to Filiation</w:t>
      </w:r>
      <w:r w:rsidR="002D789F" w:rsidRPr="00911998">
        <w:rPr>
          <w:rFonts w:cs="Arial"/>
          <w:shd w:val="clear" w:color="auto" w:fill="FFFFFF"/>
        </w:rPr>
        <w:t>,”</w:t>
      </w:r>
      <w:r w:rsidRPr="00911998">
        <w:rPr>
          <w:rFonts w:cs="Arial"/>
          <w:shd w:val="clear" w:color="auto" w:fill="FFFFFF"/>
        </w:rPr>
        <w:t xml:space="preserve"> (2009) 23 </w:t>
      </w:r>
      <w:r w:rsidRPr="00911998">
        <w:rPr>
          <w:rFonts w:cs="Arial"/>
          <w:i/>
          <w:iCs/>
          <w:shd w:val="clear" w:color="auto" w:fill="FFFFFF"/>
        </w:rPr>
        <w:t>International Journal of Law and Policy</w:t>
      </w:r>
      <w:r w:rsidR="002D789F" w:rsidRPr="00911998">
        <w:rPr>
          <w:rFonts w:cs="Arial"/>
          <w:shd w:val="clear" w:color="auto" w:fill="FFFFFF"/>
        </w:rPr>
        <w:t> </w:t>
      </w:r>
      <w:r w:rsidRPr="00911998">
        <w:rPr>
          <w:rFonts w:cs="Arial"/>
          <w:shd w:val="clear" w:color="auto" w:fill="FFFFFF"/>
        </w:rPr>
        <w:t>62, p. 63 [</w:t>
      </w:r>
      <w:r w:rsidRPr="00911998">
        <w:rPr>
          <w:rFonts w:cs="Arial"/>
          <w:b/>
          <w:bCs/>
          <w:shd w:val="clear" w:color="auto" w:fill="FFFFFF"/>
        </w:rPr>
        <w:t>Leckey 2009</w:t>
      </w:r>
      <w:r w:rsidRPr="00911998">
        <w:rPr>
          <w:rFonts w:cs="Arial"/>
          <w:shd w:val="clear" w:color="auto" w:fill="FFFFFF"/>
        </w:rPr>
        <w:t>]</w:t>
      </w:r>
      <w:r w:rsidR="006338FB" w:rsidRPr="00911998">
        <w:rPr>
          <w:rFonts w:cs="Arial"/>
          <w:shd w:val="clear" w:color="auto" w:fill="FFFFFF"/>
        </w:rPr>
        <w:t> ;</w:t>
      </w:r>
      <w:r w:rsidRPr="00911998">
        <w:rPr>
          <w:rFonts w:cs="Arial"/>
          <w:shd w:val="clear" w:color="auto" w:fill="FFFFFF"/>
        </w:rPr>
        <w:t xml:space="preserve"> </w:t>
      </w:r>
      <w:r w:rsidR="00225C91" w:rsidRPr="00911998">
        <w:rPr>
          <w:rFonts w:cs="Arial"/>
          <w:shd w:val="clear" w:color="auto" w:fill="FFFFFF"/>
        </w:rPr>
        <w:t>F. Allard</w:t>
      </w:r>
      <w:r w:rsidRPr="00911998">
        <w:rPr>
          <w:rFonts w:cs="Arial"/>
          <w:shd w:val="clear" w:color="auto" w:fill="FFFFFF"/>
        </w:rPr>
        <w:t xml:space="preserve"> et al. (</w:t>
      </w:r>
      <w:proofErr w:type="spellStart"/>
      <w:proofErr w:type="gramStart"/>
      <w:r w:rsidRPr="00911998">
        <w:rPr>
          <w:rFonts w:cs="Arial"/>
          <w:shd w:val="clear" w:color="auto" w:fill="FFFFFF"/>
        </w:rPr>
        <w:t>dir</w:t>
      </w:r>
      <w:proofErr w:type="spellEnd"/>
      <w:r w:rsidRPr="00911998">
        <w:rPr>
          <w:rFonts w:cs="Arial"/>
          <w:shd w:val="clear" w:color="auto" w:fill="FFFFFF"/>
        </w:rPr>
        <w:t>.</w:t>
      </w:r>
      <w:proofErr w:type="gramEnd"/>
      <w:r w:rsidRPr="00911998">
        <w:rPr>
          <w:rFonts w:cs="Arial"/>
          <w:shd w:val="clear" w:color="auto" w:fill="FFFFFF"/>
        </w:rPr>
        <w:t xml:space="preserve">), </w:t>
      </w:r>
      <w:r w:rsidRPr="00911998">
        <w:rPr>
          <w:rFonts w:cs="Arial"/>
          <w:i/>
          <w:iCs/>
          <w:shd w:val="clear" w:color="auto" w:fill="FFFFFF"/>
        </w:rPr>
        <w:t>Dictionnaire de droit privé et lexiques bilingues : Les familles</w:t>
      </w:r>
      <w:r w:rsidRPr="00911998">
        <w:rPr>
          <w:rFonts w:cs="Arial"/>
          <w:shd w:val="clear" w:color="auto" w:fill="FFFFFF"/>
        </w:rPr>
        <w:t>, 2</w:t>
      </w:r>
      <w:r w:rsidRPr="00911998">
        <w:rPr>
          <w:rFonts w:cs="Arial"/>
          <w:shd w:val="clear" w:color="auto" w:fill="FFFFFF"/>
          <w:vertAlign w:val="superscript"/>
        </w:rPr>
        <w:t>e</w:t>
      </w:r>
      <w:r w:rsidR="002D789F" w:rsidRPr="00911998">
        <w:rPr>
          <w:rFonts w:cs="Arial"/>
          <w:shd w:val="clear" w:color="auto" w:fill="FFFFFF"/>
        </w:rPr>
        <w:t> </w:t>
      </w:r>
      <w:r w:rsidRPr="00911998">
        <w:rPr>
          <w:rFonts w:cs="Arial"/>
          <w:shd w:val="clear" w:color="auto" w:fill="FFFFFF"/>
        </w:rPr>
        <w:t>éd. (Montréal, Yvon Blais, 2016), p. 60</w:t>
      </w:r>
      <w:r w:rsidR="002D789F" w:rsidRPr="00911998">
        <w:rPr>
          <w:rFonts w:cs="Arial"/>
          <w:shd w:val="clear" w:color="auto" w:fill="FFFFFF"/>
        </w:rPr>
        <w:t> </w:t>
      </w:r>
      <w:r w:rsidR="006D5A71" w:rsidRPr="00911998">
        <w:rPr>
          <w:rFonts w:cs="Arial"/>
          <w:shd w:val="clear" w:color="auto" w:fill="FFFFFF"/>
        </w:rPr>
        <w:t xml:space="preserve">; M. Tétrault, </w:t>
      </w:r>
      <w:r w:rsidR="006D5A71" w:rsidRPr="00911998">
        <w:rPr>
          <w:rFonts w:cs="Arial"/>
          <w:i/>
          <w:iCs/>
          <w:shd w:val="clear" w:color="auto" w:fill="FFFFFF"/>
        </w:rPr>
        <w:t xml:space="preserve">Droit de la famille : </w:t>
      </w:r>
      <w:r w:rsidR="00225C91" w:rsidRPr="00911998">
        <w:rPr>
          <w:rFonts w:cs="Arial"/>
          <w:i/>
          <w:iCs/>
          <w:shd w:val="clear" w:color="auto" w:fill="FFFFFF"/>
        </w:rPr>
        <w:t>L</w:t>
      </w:r>
      <w:r w:rsidR="006D5A71" w:rsidRPr="00911998">
        <w:rPr>
          <w:rFonts w:cs="Arial"/>
          <w:i/>
          <w:iCs/>
          <w:shd w:val="clear" w:color="auto" w:fill="FFFFFF"/>
        </w:rPr>
        <w:t>a filiation, l’enfant et le litige familial</w:t>
      </w:r>
      <w:r w:rsidR="006D5A71" w:rsidRPr="00911998">
        <w:rPr>
          <w:rFonts w:cs="Arial"/>
          <w:shd w:val="clear" w:color="auto" w:fill="FFFFFF"/>
        </w:rPr>
        <w:t>, vol. 3 (Montréal : Yvon Blais, 2019), p. 2 [</w:t>
      </w:r>
      <w:r w:rsidR="006D5A71" w:rsidRPr="00911998">
        <w:rPr>
          <w:rFonts w:cs="Arial"/>
          <w:b/>
          <w:bCs/>
          <w:shd w:val="clear" w:color="auto" w:fill="FFFFFF"/>
        </w:rPr>
        <w:t>Tétrault</w:t>
      </w:r>
      <w:r w:rsidR="006D5A71" w:rsidRPr="00911998">
        <w:rPr>
          <w:rFonts w:cs="Arial"/>
          <w:shd w:val="clear" w:color="auto" w:fill="FFFFFF"/>
        </w:rPr>
        <w:t>].</w:t>
      </w:r>
      <w:r w:rsidRPr="00911998">
        <w:rPr>
          <w:rFonts w:cs="Arial"/>
          <w:i/>
          <w:iCs/>
          <w:shd w:val="clear" w:color="auto" w:fill="FFFFFF"/>
        </w:rPr>
        <w:t xml:space="preserve"> </w:t>
      </w:r>
    </w:p>
  </w:footnote>
  <w:footnote w:id="25">
    <w:p w14:paraId="5964DACF" w14:textId="7AF5E357" w:rsidR="001701AD" w:rsidRPr="00911998" w:rsidRDefault="001701AD" w:rsidP="001701AD">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shd w:val="clear" w:color="auto" w:fill="FFFFFF"/>
        </w:rPr>
        <w:t>Droit de la famille — 191677</w:t>
      </w:r>
      <w:r w:rsidRPr="00911998">
        <w:rPr>
          <w:rFonts w:cs="Arial"/>
          <w:shd w:val="clear" w:color="auto" w:fill="FFFFFF"/>
        </w:rPr>
        <w:t>, précité, par. 98 et 100</w:t>
      </w:r>
      <w:r w:rsidR="002D789F" w:rsidRPr="00911998">
        <w:rPr>
          <w:rFonts w:cs="Arial"/>
          <w:shd w:val="clear" w:color="auto" w:fill="FFFFFF"/>
        </w:rPr>
        <w:t> </w:t>
      </w:r>
      <w:r w:rsidRPr="00911998">
        <w:rPr>
          <w:rFonts w:cs="Arial"/>
          <w:shd w:val="clear" w:color="auto" w:fill="FFFFFF"/>
        </w:rPr>
        <w:t xml:space="preserve">; </w:t>
      </w:r>
      <w:r w:rsidRPr="00911998">
        <w:rPr>
          <w:rFonts w:cs="Arial"/>
          <w:i/>
          <w:iCs/>
          <w:shd w:val="clear" w:color="auto" w:fill="FFFFFF"/>
        </w:rPr>
        <w:t>Droit de la famille — 11394</w:t>
      </w:r>
      <w:r w:rsidRPr="00911998">
        <w:rPr>
          <w:rFonts w:cs="Arial"/>
          <w:shd w:val="clear" w:color="auto" w:fill="FFFFFF"/>
        </w:rPr>
        <w:t>, 2011</w:t>
      </w:r>
      <w:r w:rsidR="002D789F" w:rsidRPr="00911998">
        <w:rPr>
          <w:rFonts w:cs="Arial"/>
          <w:shd w:val="clear" w:color="auto" w:fill="FFFFFF"/>
        </w:rPr>
        <w:t> </w:t>
      </w:r>
      <w:r w:rsidRPr="00911998">
        <w:rPr>
          <w:rFonts w:cs="Arial"/>
          <w:shd w:val="clear" w:color="auto" w:fill="FFFFFF"/>
        </w:rPr>
        <w:t>QCCA</w:t>
      </w:r>
      <w:r w:rsidR="002D789F" w:rsidRPr="00911998">
        <w:rPr>
          <w:rFonts w:cs="Arial"/>
          <w:shd w:val="clear" w:color="auto" w:fill="FFFFFF"/>
        </w:rPr>
        <w:t> </w:t>
      </w:r>
      <w:r w:rsidRPr="00911998">
        <w:rPr>
          <w:rFonts w:cs="Arial"/>
          <w:shd w:val="clear" w:color="auto" w:fill="FFFFFF"/>
        </w:rPr>
        <w:t>319, par. 24</w:t>
      </w:r>
      <w:r w:rsidR="002D789F" w:rsidRPr="00911998">
        <w:rPr>
          <w:rFonts w:cs="Arial"/>
          <w:shd w:val="clear" w:color="auto" w:fill="FFFFFF"/>
        </w:rPr>
        <w:t> </w:t>
      </w:r>
      <w:r w:rsidRPr="00911998">
        <w:rPr>
          <w:rFonts w:cs="Arial"/>
          <w:shd w:val="clear" w:color="auto" w:fill="FFFFFF"/>
        </w:rPr>
        <w:t xml:space="preserve">; </w:t>
      </w:r>
      <w:r w:rsidRPr="00911998">
        <w:rPr>
          <w:rFonts w:cs="Arial"/>
          <w:i/>
          <w:iCs/>
          <w:shd w:val="clear" w:color="auto" w:fill="FFFFFF"/>
        </w:rPr>
        <w:t>Droit de la famille — 111729</w:t>
      </w:r>
      <w:r w:rsidRPr="00911998">
        <w:rPr>
          <w:rFonts w:cs="Arial"/>
          <w:shd w:val="clear" w:color="auto" w:fill="FFFFFF"/>
        </w:rPr>
        <w:t>, 2011</w:t>
      </w:r>
      <w:r w:rsidR="002D789F" w:rsidRPr="00911998">
        <w:rPr>
          <w:rFonts w:cs="Arial"/>
          <w:shd w:val="clear" w:color="auto" w:fill="FFFFFF"/>
        </w:rPr>
        <w:t> </w:t>
      </w:r>
      <w:r w:rsidRPr="00911998">
        <w:rPr>
          <w:rFonts w:cs="Arial"/>
          <w:shd w:val="clear" w:color="auto" w:fill="FFFFFF"/>
        </w:rPr>
        <w:t>QCCA</w:t>
      </w:r>
      <w:r w:rsidR="002D789F" w:rsidRPr="00911998">
        <w:rPr>
          <w:rFonts w:cs="Arial"/>
          <w:shd w:val="clear" w:color="auto" w:fill="FFFFFF"/>
        </w:rPr>
        <w:t> </w:t>
      </w:r>
      <w:r w:rsidRPr="00911998">
        <w:rPr>
          <w:rFonts w:cs="Arial"/>
          <w:shd w:val="clear" w:color="auto" w:fill="FFFFFF"/>
        </w:rPr>
        <w:t>1180, par. 62</w:t>
      </w:r>
      <w:r w:rsidR="002D789F" w:rsidRPr="00911998">
        <w:rPr>
          <w:rFonts w:cs="Arial"/>
          <w:shd w:val="clear" w:color="auto" w:fill="FFFFFF"/>
        </w:rPr>
        <w:t> </w:t>
      </w:r>
      <w:r w:rsidRPr="00911998">
        <w:rPr>
          <w:rFonts w:cs="Arial"/>
          <w:shd w:val="clear" w:color="auto" w:fill="FFFFFF"/>
        </w:rPr>
        <w:t>; Leckey</w:t>
      </w:r>
      <w:r w:rsidR="00F07F8B" w:rsidRPr="00911998">
        <w:rPr>
          <w:rFonts w:cs="Arial"/>
          <w:shd w:val="clear" w:color="auto" w:fill="FFFFFF"/>
        </w:rPr>
        <w:t> </w:t>
      </w:r>
      <w:r w:rsidRPr="00911998">
        <w:rPr>
          <w:rFonts w:cs="Arial"/>
          <w:shd w:val="clear" w:color="auto" w:fill="FFFFFF"/>
        </w:rPr>
        <w:t>2020, précité, p. 73</w:t>
      </w:r>
      <w:r w:rsidR="002D789F" w:rsidRPr="00911998">
        <w:rPr>
          <w:rFonts w:cs="Arial"/>
          <w:shd w:val="clear" w:color="auto" w:fill="FFFFFF"/>
        </w:rPr>
        <w:t> </w:t>
      </w:r>
      <w:r w:rsidRPr="00911998">
        <w:rPr>
          <w:rFonts w:cs="Arial"/>
          <w:shd w:val="clear" w:color="auto" w:fill="FFFFFF"/>
        </w:rPr>
        <w:t>; Leckey</w:t>
      </w:r>
      <w:r w:rsidR="00F07F8B" w:rsidRPr="00911998">
        <w:rPr>
          <w:rFonts w:cs="Arial"/>
          <w:shd w:val="clear" w:color="auto" w:fill="FFFFFF"/>
        </w:rPr>
        <w:t> </w:t>
      </w:r>
      <w:r w:rsidRPr="00911998">
        <w:rPr>
          <w:rFonts w:cs="Arial"/>
          <w:shd w:val="clear" w:color="auto" w:fill="FFFFFF"/>
        </w:rPr>
        <w:t>2009, précité, p. 64</w:t>
      </w:r>
      <w:r w:rsidRPr="00911998">
        <w:rPr>
          <w:rFonts w:cs="Arial"/>
          <w:shd w:val="clear" w:color="auto" w:fill="FFFFFF"/>
        </w:rPr>
        <w:noBreakHyphen/>
        <w:t>65.</w:t>
      </w:r>
    </w:p>
  </w:footnote>
  <w:footnote w:id="26">
    <w:p w14:paraId="38BE35D6" w14:textId="7F8650AF" w:rsidR="006D5A71" w:rsidRPr="00911998" w:rsidRDefault="006D5A71">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shd w:val="clear" w:color="auto" w:fill="FFFFFF"/>
        </w:rPr>
        <w:t>Droit de la famille — 191677</w:t>
      </w:r>
      <w:r w:rsidRPr="00911998">
        <w:rPr>
          <w:rFonts w:cs="Arial"/>
          <w:shd w:val="clear" w:color="auto" w:fill="FFFFFF"/>
        </w:rPr>
        <w:t>, précité, par. 103</w:t>
      </w:r>
      <w:r w:rsidR="002D789F" w:rsidRPr="00911998">
        <w:rPr>
          <w:rFonts w:cs="Arial"/>
          <w:shd w:val="clear" w:color="auto" w:fill="FFFFFF"/>
        </w:rPr>
        <w:t> </w:t>
      </w:r>
      <w:r w:rsidRPr="00911998">
        <w:rPr>
          <w:rFonts w:cs="Arial"/>
          <w:shd w:val="clear" w:color="auto" w:fill="FFFFFF"/>
        </w:rPr>
        <w:t>; M. D.</w:t>
      </w:r>
      <w:r w:rsidRPr="00911998">
        <w:rPr>
          <w:rFonts w:cs="Arial"/>
          <w:shd w:val="clear" w:color="auto" w:fill="FFFFFF"/>
        </w:rPr>
        <w:noBreakHyphen/>
        <w:t>Castelli et D.</w:t>
      </w:r>
      <w:r w:rsidR="002D789F" w:rsidRPr="00911998">
        <w:rPr>
          <w:rFonts w:cs="Arial"/>
          <w:shd w:val="clear" w:color="auto" w:fill="FFFFFF"/>
        </w:rPr>
        <w:t> </w:t>
      </w:r>
      <w:proofErr w:type="spellStart"/>
      <w:r w:rsidRPr="00911998">
        <w:rPr>
          <w:rFonts w:cs="Arial"/>
          <w:shd w:val="clear" w:color="auto" w:fill="FFFFFF"/>
        </w:rPr>
        <w:t>Goubau</w:t>
      </w:r>
      <w:proofErr w:type="spellEnd"/>
      <w:r w:rsidRPr="00911998">
        <w:rPr>
          <w:rFonts w:cs="Arial"/>
          <w:shd w:val="clear" w:color="auto" w:fill="FFFFFF"/>
        </w:rPr>
        <w:t xml:space="preserve">, </w:t>
      </w:r>
      <w:r w:rsidRPr="00911998">
        <w:rPr>
          <w:rFonts w:cs="Arial"/>
          <w:i/>
          <w:iCs/>
          <w:shd w:val="clear" w:color="auto" w:fill="FFFFFF"/>
        </w:rPr>
        <w:t>Le droit de la famille au Québec</w:t>
      </w:r>
      <w:r w:rsidRPr="00911998">
        <w:rPr>
          <w:rFonts w:cs="Arial"/>
          <w:shd w:val="clear" w:color="auto" w:fill="FFFFFF"/>
        </w:rPr>
        <w:t>,5</w:t>
      </w:r>
      <w:r w:rsidRPr="00911998">
        <w:rPr>
          <w:rFonts w:cs="Arial"/>
          <w:shd w:val="clear" w:color="auto" w:fill="FFFFFF"/>
          <w:vertAlign w:val="superscript"/>
        </w:rPr>
        <w:t>e</w:t>
      </w:r>
      <w:r w:rsidR="002D789F" w:rsidRPr="00911998">
        <w:rPr>
          <w:rFonts w:cs="Arial"/>
          <w:shd w:val="clear" w:color="auto" w:fill="FFFFFF"/>
        </w:rPr>
        <w:t> </w:t>
      </w:r>
      <w:r w:rsidRPr="00911998">
        <w:rPr>
          <w:rFonts w:cs="Arial"/>
          <w:shd w:val="clear" w:color="auto" w:fill="FFFFFF"/>
        </w:rPr>
        <w:t>éd. (Québec : PUL, 2005), p. 183 et 185</w:t>
      </w:r>
      <w:r w:rsidR="002D789F" w:rsidRPr="00911998">
        <w:rPr>
          <w:rFonts w:cs="Arial"/>
          <w:shd w:val="clear" w:color="auto" w:fill="FFFFFF"/>
        </w:rPr>
        <w:t> </w:t>
      </w:r>
      <w:r w:rsidRPr="00911998">
        <w:rPr>
          <w:rFonts w:cs="Arial"/>
          <w:shd w:val="clear" w:color="auto" w:fill="FFFFFF"/>
        </w:rPr>
        <w:t>; Leckey 2009, précité, p. 64</w:t>
      </w:r>
      <w:r w:rsidR="002D789F" w:rsidRPr="00911998">
        <w:rPr>
          <w:rFonts w:cs="Arial"/>
          <w:shd w:val="clear" w:color="auto" w:fill="FFFFFF"/>
        </w:rPr>
        <w:t> </w:t>
      </w:r>
      <w:r w:rsidRPr="00911998">
        <w:rPr>
          <w:rFonts w:cs="Arial"/>
          <w:shd w:val="clear" w:color="auto" w:fill="FFFFFF"/>
        </w:rPr>
        <w:t xml:space="preserve">; </w:t>
      </w:r>
      <w:r w:rsidRPr="00911998">
        <w:rPr>
          <w:rFonts w:cs="Arial"/>
        </w:rPr>
        <w:t>Tétrault, précité, p. 3</w:t>
      </w:r>
      <w:r w:rsidR="00225C91" w:rsidRPr="00911998">
        <w:rPr>
          <w:rFonts w:cs="Arial"/>
        </w:rPr>
        <w:t>.</w:t>
      </w:r>
    </w:p>
  </w:footnote>
  <w:footnote w:id="27">
    <w:p w14:paraId="4861BC7E" w14:textId="06A8087E" w:rsidR="001701AD" w:rsidRPr="00911998" w:rsidRDefault="001701AD" w:rsidP="001701AD">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C63F21" w:rsidRPr="00911998">
        <w:rPr>
          <w:rFonts w:cs="Arial"/>
          <w:i/>
          <w:iCs/>
          <w:shd w:val="clear" w:color="auto" w:fill="FFFFFF"/>
        </w:rPr>
        <w:t>Droit de la famille — 20572</w:t>
      </w:r>
      <w:r w:rsidR="00C63F21" w:rsidRPr="00911998">
        <w:rPr>
          <w:rFonts w:cs="Arial"/>
          <w:shd w:val="clear" w:color="auto" w:fill="FFFFFF"/>
        </w:rPr>
        <w:t xml:space="preserve">, </w:t>
      </w:r>
      <w:r w:rsidR="00225C91" w:rsidRPr="00911998">
        <w:rPr>
          <w:rFonts w:cs="Arial"/>
          <w:shd w:val="clear" w:color="auto" w:fill="FFFFFF"/>
        </w:rPr>
        <w:t>précité</w:t>
      </w:r>
      <w:r w:rsidR="00C63F21" w:rsidRPr="00911998">
        <w:rPr>
          <w:rFonts w:cs="Arial"/>
          <w:shd w:val="clear" w:color="auto" w:fill="FFFFFF"/>
        </w:rPr>
        <w:t xml:space="preserve">, </w:t>
      </w:r>
      <w:r w:rsidRPr="00911998">
        <w:rPr>
          <w:rFonts w:cs="Arial"/>
          <w:shd w:val="clear" w:color="auto" w:fill="FFFFFF"/>
        </w:rPr>
        <w:t>par. 23</w:t>
      </w:r>
      <w:r w:rsidR="006D5A71" w:rsidRPr="00911998">
        <w:rPr>
          <w:rFonts w:cs="Arial"/>
          <w:shd w:val="clear" w:color="auto" w:fill="FFFFFF"/>
        </w:rPr>
        <w:t>.</w:t>
      </w:r>
      <w:r w:rsidRPr="00911998">
        <w:rPr>
          <w:rFonts w:cs="Arial"/>
          <w:shd w:val="clear" w:color="auto" w:fill="FFFFFF"/>
        </w:rPr>
        <w:t xml:space="preserve"> </w:t>
      </w:r>
    </w:p>
  </w:footnote>
  <w:footnote w:id="28">
    <w:p w14:paraId="2BDE809C" w14:textId="0AA5F66C" w:rsidR="006D5A71" w:rsidRPr="00911998" w:rsidRDefault="006D5A71">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shd w:val="clear" w:color="auto" w:fill="FFFFFF"/>
        </w:rPr>
        <w:t>Tétrault, précité, p. 4.</w:t>
      </w:r>
    </w:p>
  </w:footnote>
  <w:footnote w:id="29">
    <w:p w14:paraId="078B66C4" w14:textId="4ECD16C0" w:rsidR="00A178A6" w:rsidRPr="00911998" w:rsidRDefault="00A178A6" w:rsidP="00A178A6">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Voir à ce titre : Leckey 2009, </w:t>
      </w:r>
      <w:r w:rsidR="006338FB" w:rsidRPr="00911998">
        <w:rPr>
          <w:rFonts w:cs="Arial"/>
        </w:rPr>
        <w:t xml:space="preserve">précité, </w:t>
      </w:r>
      <w:r w:rsidRPr="00911998">
        <w:rPr>
          <w:rFonts w:cs="Arial"/>
        </w:rPr>
        <w:t>p. 64</w:t>
      </w:r>
      <w:r w:rsidRPr="00911998">
        <w:rPr>
          <w:rFonts w:cs="Arial"/>
        </w:rPr>
        <w:noBreakHyphen/>
        <w:t>69.</w:t>
      </w:r>
    </w:p>
  </w:footnote>
  <w:footnote w:id="30">
    <w:p w14:paraId="2F803FAC" w14:textId="690F3752" w:rsidR="00082DDC" w:rsidRPr="00911998" w:rsidRDefault="00082DDC">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Voir les articles 218 à 241 du </w:t>
      </w:r>
      <w:r w:rsidRPr="00911998">
        <w:rPr>
          <w:rFonts w:cs="Arial"/>
          <w:i/>
          <w:iCs/>
        </w:rPr>
        <w:t>Code civil du Bas</w:t>
      </w:r>
      <w:r w:rsidRPr="00911998">
        <w:rPr>
          <w:rFonts w:cs="Arial"/>
          <w:i/>
          <w:iCs/>
        </w:rPr>
        <w:noBreakHyphen/>
        <w:t>Canada</w:t>
      </w:r>
      <w:r w:rsidRPr="00911998">
        <w:rPr>
          <w:rFonts w:cs="Arial"/>
        </w:rPr>
        <w:t>.</w:t>
      </w:r>
    </w:p>
  </w:footnote>
  <w:footnote w:id="31">
    <w:p w14:paraId="7460516C" w14:textId="2304B9C0" w:rsidR="006D5A71" w:rsidRPr="00911998" w:rsidRDefault="006D5A71">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Tétrault, précité, p. 4.</w:t>
      </w:r>
    </w:p>
  </w:footnote>
  <w:footnote w:id="32">
    <w:p w14:paraId="387DB541" w14:textId="1D5284E2" w:rsidR="000301E3" w:rsidRPr="00911998" w:rsidRDefault="000301E3">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Article 594 du </w:t>
      </w:r>
      <w:r w:rsidRPr="00911998">
        <w:rPr>
          <w:rFonts w:cs="Arial"/>
          <w:i/>
          <w:iCs/>
        </w:rPr>
        <w:t>Code civil du Québec (1980)</w:t>
      </w:r>
      <w:r w:rsidRPr="00911998">
        <w:rPr>
          <w:rFonts w:cs="Arial"/>
        </w:rPr>
        <w:t>, L.Q.</w:t>
      </w:r>
      <w:r w:rsidR="00C936C5" w:rsidRPr="00911998">
        <w:rPr>
          <w:rFonts w:cs="Arial"/>
        </w:rPr>
        <w:t> </w:t>
      </w:r>
      <w:r w:rsidRPr="00911998">
        <w:rPr>
          <w:rFonts w:cs="Arial"/>
        </w:rPr>
        <w:t>1980, c. 39.</w:t>
      </w:r>
    </w:p>
  </w:footnote>
  <w:footnote w:id="33">
    <w:p w14:paraId="0E018FA8" w14:textId="775A862A" w:rsidR="00361A0B" w:rsidRPr="00911998" w:rsidRDefault="00361A0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Loi instituant l</w:t>
      </w:r>
      <w:r w:rsidR="00C936C5" w:rsidRPr="00911998">
        <w:rPr>
          <w:rFonts w:cs="Arial"/>
          <w:i/>
          <w:iCs/>
        </w:rPr>
        <w:t>’</w:t>
      </w:r>
      <w:r w:rsidRPr="00911998">
        <w:rPr>
          <w:rFonts w:cs="Arial"/>
          <w:i/>
          <w:iCs/>
        </w:rPr>
        <w:t>union civile et établissant de nouvelles règles de filiation</w:t>
      </w:r>
      <w:r w:rsidRPr="00911998">
        <w:rPr>
          <w:rFonts w:cs="Arial"/>
        </w:rPr>
        <w:t>, LQ</w:t>
      </w:r>
      <w:r w:rsidR="00C936C5" w:rsidRPr="00911998">
        <w:rPr>
          <w:rFonts w:cs="Arial"/>
        </w:rPr>
        <w:t> </w:t>
      </w:r>
      <w:r w:rsidRPr="00911998">
        <w:rPr>
          <w:rFonts w:cs="Arial"/>
        </w:rPr>
        <w:t>2002, c</w:t>
      </w:r>
      <w:r w:rsidR="00225C91" w:rsidRPr="00911998">
        <w:rPr>
          <w:rFonts w:cs="Arial"/>
        </w:rPr>
        <w:t>.</w:t>
      </w:r>
      <w:r w:rsidR="00C936C5" w:rsidRPr="00911998">
        <w:rPr>
          <w:rFonts w:cs="Arial"/>
        </w:rPr>
        <w:t> </w:t>
      </w:r>
      <w:r w:rsidRPr="00911998">
        <w:rPr>
          <w:rFonts w:cs="Arial"/>
        </w:rPr>
        <w:t>6, art. 30.</w:t>
      </w:r>
    </w:p>
  </w:footnote>
  <w:footnote w:id="34">
    <w:p w14:paraId="22370492" w14:textId="29511812" w:rsidR="00A23BC1" w:rsidRPr="00911998" w:rsidRDefault="00A23BC1" w:rsidP="00A23BC1">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shd w:val="clear" w:color="auto" w:fill="FFFFFF"/>
        </w:rPr>
        <w:t>Droit de la famille — 20572</w:t>
      </w:r>
      <w:r w:rsidRPr="00911998">
        <w:rPr>
          <w:rFonts w:cs="Arial"/>
          <w:shd w:val="clear" w:color="auto" w:fill="FFFFFF"/>
        </w:rPr>
        <w:t>, précité, par. 24</w:t>
      </w:r>
      <w:r w:rsidR="00C936C5" w:rsidRPr="00911998">
        <w:rPr>
          <w:rFonts w:cs="Arial"/>
          <w:shd w:val="clear" w:color="auto" w:fill="FFFFFF"/>
        </w:rPr>
        <w:t> </w:t>
      </w:r>
      <w:r w:rsidRPr="00911998">
        <w:rPr>
          <w:rFonts w:cs="Arial"/>
          <w:shd w:val="clear" w:color="auto" w:fill="FFFFFF"/>
        </w:rPr>
        <w:t xml:space="preserve">; </w:t>
      </w:r>
      <w:r w:rsidRPr="00911998">
        <w:rPr>
          <w:rFonts w:cs="Arial"/>
          <w:i/>
          <w:iCs/>
          <w:shd w:val="clear" w:color="auto" w:fill="FFFFFF"/>
        </w:rPr>
        <w:t>Droit de la famille — 11394</w:t>
      </w:r>
      <w:r w:rsidRPr="00911998">
        <w:rPr>
          <w:rFonts w:cs="Arial"/>
          <w:shd w:val="clear" w:color="auto" w:fill="FFFFFF"/>
        </w:rPr>
        <w:t>, précité, par. 24</w:t>
      </w:r>
      <w:r w:rsidR="00C936C5" w:rsidRPr="00911998">
        <w:rPr>
          <w:rFonts w:cs="Arial"/>
          <w:shd w:val="clear" w:color="auto" w:fill="FFFFFF"/>
        </w:rPr>
        <w:t> </w:t>
      </w:r>
      <w:r w:rsidR="00FE6AB6" w:rsidRPr="00911998">
        <w:rPr>
          <w:rFonts w:cs="Arial"/>
          <w:shd w:val="clear" w:color="auto" w:fill="FFFFFF"/>
        </w:rPr>
        <w:t>; Tétrault, précité, p. 4</w:t>
      </w:r>
      <w:r w:rsidR="00FE6AB6" w:rsidRPr="00911998">
        <w:rPr>
          <w:rFonts w:cs="Arial"/>
          <w:shd w:val="clear" w:color="auto" w:fill="FFFFFF"/>
        </w:rPr>
        <w:noBreakHyphen/>
        <w:t>5.</w:t>
      </w:r>
    </w:p>
  </w:footnote>
  <w:footnote w:id="35">
    <w:p w14:paraId="115E0FA7" w14:textId="604FAE7E" w:rsidR="00A23BC1" w:rsidRPr="00911998" w:rsidRDefault="00A23BC1">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Le Tribunal réfère aux </w:t>
      </w:r>
      <w:r w:rsidR="00225C91" w:rsidRPr="00911998">
        <w:rPr>
          <w:rFonts w:cs="Arial"/>
        </w:rPr>
        <w:t xml:space="preserve">versions des </w:t>
      </w:r>
      <w:r w:rsidRPr="00911998">
        <w:rPr>
          <w:rFonts w:cs="Arial"/>
        </w:rPr>
        <w:t>articles du C.c.Q. en vigueur avant le 6</w:t>
      </w:r>
      <w:r w:rsidR="00C936C5" w:rsidRPr="00911998">
        <w:rPr>
          <w:rFonts w:cs="Arial"/>
        </w:rPr>
        <w:t> </w:t>
      </w:r>
      <w:r w:rsidRPr="00911998">
        <w:rPr>
          <w:rFonts w:cs="Arial"/>
        </w:rPr>
        <w:t>juin 2023.</w:t>
      </w:r>
    </w:p>
  </w:footnote>
  <w:footnote w:id="36">
    <w:p w14:paraId="17F8A930" w14:textId="1FB53CB9" w:rsidR="00C63F21" w:rsidRPr="00911998" w:rsidRDefault="00C63F21" w:rsidP="00C63F21">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shd w:val="clear" w:color="auto" w:fill="FFFFFF"/>
        </w:rPr>
        <w:t>Droit de la famille — 171644</w:t>
      </w:r>
      <w:r w:rsidRPr="00911998">
        <w:rPr>
          <w:rFonts w:cs="Arial"/>
          <w:shd w:val="clear" w:color="auto" w:fill="FFFFFF"/>
        </w:rPr>
        <w:t>, 2017</w:t>
      </w:r>
      <w:r w:rsidR="00C936C5" w:rsidRPr="00911998">
        <w:rPr>
          <w:rFonts w:cs="Arial"/>
          <w:shd w:val="clear" w:color="auto" w:fill="FFFFFF"/>
        </w:rPr>
        <w:t> </w:t>
      </w:r>
      <w:r w:rsidRPr="00911998">
        <w:rPr>
          <w:rFonts w:cs="Arial"/>
          <w:shd w:val="clear" w:color="auto" w:fill="FFFFFF"/>
        </w:rPr>
        <w:t>QCCA</w:t>
      </w:r>
      <w:r w:rsidR="00C936C5" w:rsidRPr="00911998">
        <w:rPr>
          <w:rFonts w:cs="Arial"/>
          <w:shd w:val="clear" w:color="auto" w:fill="FFFFFF"/>
        </w:rPr>
        <w:t> </w:t>
      </w:r>
      <w:r w:rsidRPr="00911998">
        <w:rPr>
          <w:rFonts w:cs="Arial"/>
          <w:shd w:val="clear" w:color="auto" w:fill="FFFFFF"/>
        </w:rPr>
        <w:t>1088, par. 24</w:t>
      </w:r>
      <w:r w:rsidR="00C936C5" w:rsidRPr="00911998">
        <w:rPr>
          <w:rFonts w:cs="Arial"/>
          <w:shd w:val="clear" w:color="auto" w:fill="FFFFFF"/>
        </w:rPr>
        <w:t> </w:t>
      </w:r>
      <w:r w:rsidRPr="00911998">
        <w:rPr>
          <w:rFonts w:cs="Arial"/>
          <w:shd w:val="clear" w:color="auto" w:fill="FFFFFF"/>
        </w:rPr>
        <w:t>; Leckey 2020, précité, p. 73</w:t>
      </w:r>
      <w:r w:rsidRPr="00911998">
        <w:rPr>
          <w:rFonts w:cs="Arial"/>
          <w:shd w:val="clear" w:color="auto" w:fill="FFFFFF"/>
        </w:rPr>
        <w:noBreakHyphen/>
        <w:t>74</w:t>
      </w:r>
      <w:r w:rsidR="00C936C5" w:rsidRPr="00911998">
        <w:rPr>
          <w:rFonts w:cs="Arial"/>
          <w:shd w:val="clear" w:color="auto" w:fill="FFFFFF"/>
        </w:rPr>
        <w:t> </w:t>
      </w:r>
      <w:r w:rsidR="00FE6AB6" w:rsidRPr="00911998">
        <w:rPr>
          <w:rFonts w:cs="Arial"/>
          <w:shd w:val="clear" w:color="auto" w:fill="FFFFFF"/>
        </w:rPr>
        <w:t>; Tétrault, précité, p. 6.</w:t>
      </w:r>
    </w:p>
  </w:footnote>
  <w:footnote w:id="37">
    <w:p w14:paraId="01C8841D" w14:textId="6A7DB26C" w:rsidR="00C63F21" w:rsidRPr="00911998" w:rsidRDefault="00C63F21">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shd w:val="clear" w:color="auto" w:fill="FFFFFF"/>
        </w:rPr>
        <w:t>Droit de la famille — 20572</w:t>
      </w:r>
      <w:r w:rsidRPr="00911998">
        <w:rPr>
          <w:rFonts w:cs="Arial"/>
          <w:shd w:val="clear" w:color="auto" w:fill="FFFFFF"/>
        </w:rPr>
        <w:t xml:space="preserve">, </w:t>
      </w:r>
      <w:r w:rsidR="002947D4" w:rsidRPr="00911998">
        <w:rPr>
          <w:rFonts w:cs="Arial"/>
          <w:shd w:val="clear" w:color="auto" w:fill="FFFFFF"/>
        </w:rPr>
        <w:t>précité</w:t>
      </w:r>
      <w:r w:rsidRPr="00911998">
        <w:rPr>
          <w:rFonts w:cs="Arial"/>
          <w:shd w:val="clear" w:color="auto" w:fill="FFFFFF"/>
        </w:rPr>
        <w:t>, par. 25.</w:t>
      </w:r>
    </w:p>
  </w:footnote>
  <w:footnote w:id="38">
    <w:p w14:paraId="4E32862A" w14:textId="6BE5F103" w:rsidR="00C63F21" w:rsidRPr="00911998" w:rsidRDefault="00C63F21">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26</w:t>
      </w:r>
      <w:r w:rsidRPr="00911998">
        <w:rPr>
          <w:rFonts w:cs="Arial"/>
        </w:rPr>
        <w:noBreakHyphen/>
        <w:t>27</w:t>
      </w:r>
      <w:r w:rsidR="00225C91" w:rsidRPr="00911998">
        <w:rPr>
          <w:rFonts w:cs="Arial"/>
        </w:rPr>
        <w:t>.</w:t>
      </w:r>
    </w:p>
  </w:footnote>
  <w:footnote w:id="39">
    <w:p w14:paraId="3DC0E30E" w14:textId="10907A65" w:rsidR="001F19B6" w:rsidRPr="00911998" w:rsidRDefault="001F19B6">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Loi portant sur la réforme du droit de la famille en matière de filiation et visant la protection des enfants nés à la suite d’une agression sexuelle et des personnes victimes de cette agression ainsi que les droits des mères porteuses et des enfants issus d’un projet de grossesse pour autrui</w:t>
      </w:r>
      <w:r w:rsidRPr="00911998">
        <w:rPr>
          <w:rFonts w:cs="Arial"/>
        </w:rPr>
        <w:t>, LQ 2023, c. 13</w:t>
      </w:r>
      <w:r w:rsidR="00BF58D4" w:rsidRPr="00911998">
        <w:rPr>
          <w:rFonts w:cs="Arial"/>
        </w:rPr>
        <w:t xml:space="preserve"> [</w:t>
      </w:r>
      <w:r w:rsidR="00BF58D4" w:rsidRPr="00911998">
        <w:rPr>
          <w:rFonts w:cs="Arial"/>
          <w:b/>
          <w:bCs/>
          <w:i/>
          <w:iCs/>
        </w:rPr>
        <w:t>Projet de loi n</w:t>
      </w:r>
      <w:r w:rsidR="00BF58D4" w:rsidRPr="00911998">
        <w:rPr>
          <w:rFonts w:cs="Arial"/>
          <w:b/>
          <w:bCs/>
          <w:i/>
          <w:iCs/>
          <w:vertAlign w:val="superscript"/>
        </w:rPr>
        <w:t>o</w:t>
      </w:r>
      <w:r w:rsidR="00BF58D4" w:rsidRPr="00911998">
        <w:rPr>
          <w:rFonts w:cs="Arial"/>
          <w:b/>
          <w:bCs/>
          <w:i/>
          <w:iCs/>
        </w:rPr>
        <w:t> 12</w:t>
      </w:r>
      <w:r w:rsidR="00BF58D4" w:rsidRPr="00911998">
        <w:rPr>
          <w:rFonts w:cs="Arial"/>
        </w:rPr>
        <w:t>]</w:t>
      </w:r>
      <w:r w:rsidRPr="00911998">
        <w:rPr>
          <w:rFonts w:cs="Arial"/>
        </w:rPr>
        <w:t xml:space="preserve">. Il convient aussi de mentionner la </w:t>
      </w:r>
      <w:r w:rsidR="002B59DC" w:rsidRPr="00911998">
        <w:rPr>
          <w:rFonts w:cs="Arial"/>
          <w:i/>
          <w:iCs/>
        </w:rPr>
        <w:t>Loi portant sur la réforme du droit de la famille en matière de filiation et modifiant le Code civil en matière de droits de la personnalité et d’état civil</w:t>
      </w:r>
      <w:r w:rsidR="002B59DC" w:rsidRPr="00911998">
        <w:rPr>
          <w:rFonts w:cs="Arial"/>
        </w:rPr>
        <w:t>, LQ 2022, c. 22</w:t>
      </w:r>
      <w:r w:rsidR="00BF58D4" w:rsidRPr="00911998">
        <w:rPr>
          <w:rFonts w:cs="Arial"/>
        </w:rPr>
        <w:t xml:space="preserve"> [</w:t>
      </w:r>
      <w:r w:rsidR="00BF58D4" w:rsidRPr="00911998">
        <w:rPr>
          <w:rFonts w:cs="Arial"/>
          <w:b/>
          <w:bCs/>
          <w:i/>
          <w:iCs/>
        </w:rPr>
        <w:t>Projet de loi n</w:t>
      </w:r>
      <w:r w:rsidR="00BF58D4" w:rsidRPr="00911998">
        <w:rPr>
          <w:rFonts w:cs="Arial"/>
          <w:b/>
          <w:bCs/>
          <w:i/>
          <w:iCs/>
          <w:vertAlign w:val="superscript"/>
        </w:rPr>
        <w:t>o </w:t>
      </w:r>
      <w:r w:rsidR="00BF58D4" w:rsidRPr="00911998">
        <w:rPr>
          <w:rFonts w:cs="Arial"/>
          <w:b/>
          <w:bCs/>
          <w:i/>
          <w:iCs/>
        </w:rPr>
        <w:t>2</w:t>
      </w:r>
      <w:r w:rsidR="00BF58D4" w:rsidRPr="00911998">
        <w:rPr>
          <w:rFonts w:cs="Arial"/>
        </w:rPr>
        <w:t>]</w:t>
      </w:r>
      <w:r w:rsidR="002B59DC" w:rsidRPr="00911998">
        <w:rPr>
          <w:rFonts w:cs="Arial"/>
        </w:rPr>
        <w:t>, laquelle apporte notamment des modifications terminologiques aux dispositions régissant la filiation afin de tenir compte des différentes réalités des personnes de minorités sexuelles ou des parents trans ou non binaires.</w:t>
      </w:r>
    </w:p>
  </w:footnote>
  <w:footnote w:id="40">
    <w:p w14:paraId="4195CB65" w14:textId="441DBF1F" w:rsidR="00A178A6" w:rsidRPr="00911998" w:rsidRDefault="00A178A6" w:rsidP="00A178A6">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shd w:val="clear" w:color="auto" w:fill="FFFFFF"/>
        </w:rPr>
        <w:t>Droit de la famille — 11394</w:t>
      </w:r>
      <w:r w:rsidRPr="00911998">
        <w:rPr>
          <w:rFonts w:cs="Arial"/>
          <w:shd w:val="clear" w:color="auto" w:fill="FFFFFF"/>
        </w:rPr>
        <w:t>, précité, par. 58</w:t>
      </w:r>
      <w:r w:rsidR="00C936C5" w:rsidRPr="00911998">
        <w:rPr>
          <w:rFonts w:cs="Arial"/>
          <w:shd w:val="clear" w:color="auto" w:fill="FFFFFF"/>
        </w:rPr>
        <w:t> </w:t>
      </w:r>
      <w:r w:rsidRPr="00911998">
        <w:rPr>
          <w:rFonts w:cs="Arial"/>
          <w:shd w:val="clear" w:color="auto" w:fill="FFFFFF"/>
        </w:rPr>
        <w:t xml:space="preserve">; </w:t>
      </w:r>
      <w:r w:rsidRPr="00911998">
        <w:rPr>
          <w:rFonts w:cs="Arial"/>
          <w:i/>
          <w:iCs/>
          <w:shd w:val="clear" w:color="auto" w:fill="FFFFFF"/>
        </w:rPr>
        <w:t xml:space="preserve">Droit de la famille </w:t>
      </w:r>
      <w:r w:rsidR="00C936C5" w:rsidRPr="00911998">
        <w:rPr>
          <w:rFonts w:cs="Arial"/>
          <w:i/>
          <w:iCs/>
          <w:shd w:val="clear" w:color="auto" w:fill="FFFFFF"/>
        </w:rPr>
        <w:t>—</w:t>
      </w:r>
      <w:r w:rsidRPr="00911998">
        <w:rPr>
          <w:rFonts w:cs="Arial"/>
          <w:i/>
          <w:iCs/>
          <w:shd w:val="clear" w:color="auto" w:fill="FFFFFF"/>
        </w:rPr>
        <w:t xml:space="preserve"> 191677</w:t>
      </w:r>
      <w:r w:rsidRPr="00911998">
        <w:rPr>
          <w:rFonts w:cs="Arial"/>
          <w:shd w:val="clear" w:color="auto" w:fill="FFFFFF"/>
        </w:rPr>
        <w:t>, précité, par. 66.</w:t>
      </w:r>
    </w:p>
  </w:footnote>
  <w:footnote w:id="41">
    <w:p w14:paraId="2110704E" w14:textId="2365D741" w:rsidR="009A66C4" w:rsidRPr="00911998" w:rsidRDefault="009A66C4">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shd w:val="clear" w:color="auto" w:fill="FFFFFF"/>
        </w:rPr>
        <w:t>Droit de la famille — 191677</w:t>
      </w:r>
      <w:r w:rsidRPr="00911998">
        <w:rPr>
          <w:rFonts w:cs="Arial"/>
          <w:shd w:val="clear" w:color="auto" w:fill="FFFFFF"/>
        </w:rPr>
        <w:t>, précité, par. 18.</w:t>
      </w:r>
    </w:p>
  </w:footnote>
  <w:footnote w:id="42">
    <w:p w14:paraId="1A32E965" w14:textId="150B262A" w:rsidR="00B30F69" w:rsidRPr="00911998" w:rsidRDefault="00B30F69">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100</w:t>
      </w:r>
      <w:r w:rsidRPr="00911998">
        <w:rPr>
          <w:rFonts w:cs="Arial"/>
        </w:rPr>
        <w:noBreakHyphen/>
        <w:t>101.</w:t>
      </w:r>
    </w:p>
  </w:footnote>
  <w:footnote w:id="43">
    <w:p w14:paraId="50B5E7B0" w14:textId="105DE44E" w:rsidR="00B30F69" w:rsidRPr="00911998" w:rsidRDefault="00B30F69">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103.</w:t>
      </w:r>
    </w:p>
  </w:footnote>
  <w:footnote w:id="44">
    <w:p w14:paraId="1B99FC11" w14:textId="70F0EB45" w:rsidR="0081270A" w:rsidRPr="00911998" w:rsidRDefault="0081270A">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Leckey 2020, </w:t>
      </w:r>
      <w:r w:rsidR="00225C91" w:rsidRPr="00911998">
        <w:rPr>
          <w:rFonts w:cs="Arial"/>
        </w:rPr>
        <w:t xml:space="preserve">précité, </w:t>
      </w:r>
      <w:r w:rsidRPr="00911998">
        <w:rPr>
          <w:rFonts w:cs="Arial"/>
        </w:rPr>
        <w:t>p. 73.</w:t>
      </w:r>
    </w:p>
  </w:footnote>
  <w:footnote w:id="45">
    <w:p w14:paraId="1672E21E" w14:textId="77777777" w:rsidR="00857886" w:rsidRPr="00911998" w:rsidRDefault="00857886" w:rsidP="00857886">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shd w:val="clear" w:color="auto" w:fill="FFFFFF"/>
        </w:rPr>
        <w:t xml:space="preserve">Épiciers Unis Métro-Richelieu Inc., division </w:t>
      </w:r>
      <w:proofErr w:type="spellStart"/>
      <w:r w:rsidRPr="00911998">
        <w:rPr>
          <w:rFonts w:cs="Arial"/>
          <w:i/>
          <w:iCs/>
          <w:shd w:val="clear" w:color="auto" w:fill="FFFFFF"/>
        </w:rPr>
        <w:t>Éconogros</w:t>
      </w:r>
      <w:proofErr w:type="spellEnd"/>
      <w:r w:rsidRPr="00911998">
        <w:rPr>
          <w:rFonts w:cs="Arial"/>
          <w:i/>
          <w:iCs/>
          <w:shd w:val="clear" w:color="auto" w:fill="FFFFFF"/>
        </w:rPr>
        <w:t xml:space="preserve"> c. Collin</w:t>
      </w:r>
      <w:r w:rsidRPr="00911998">
        <w:rPr>
          <w:rFonts w:cs="Arial"/>
          <w:shd w:val="clear" w:color="auto" w:fill="FFFFFF"/>
        </w:rPr>
        <w:t>, 2004 CSC 59.</w:t>
      </w:r>
    </w:p>
  </w:footnote>
  <w:footnote w:id="46">
    <w:p w14:paraId="505951EB" w14:textId="5A00B170" w:rsidR="00857886" w:rsidRPr="00911998" w:rsidRDefault="00857886" w:rsidP="00857886">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20</w:t>
      </w:r>
      <w:r w:rsidRPr="00911998">
        <w:rPr>
          <w:rFonts w:cs="Arial"/>
        </w:rPr>
        <w:noBreakHyphen/>
        <w:t>22</w:t>
      </w:r>
      <w:r w:rsidR="00225C91" w:rsidRPr="00911998">
        <w:rPr>
          <w:rFonts w:cs="Arial"/>
          <w:shd w:val="clear" w:color="auto" w:fill="FFFFFF"/>
        </w:rPr>
        <w:t> ;</w:t>
      </w:r>
      <w:r w:rsidRPr="00911998">
        <w:rPr>
          <w:rFonts w:cs="Arial"/>
        </w:rPr>
        <w:t xml:space="preserve"> voir aussi : </w:t>
      </w:r>
      <w:r w:rsidRPr="00911998">
        <w:rPr>
          <w:rFonts w:cs="Arial"/>
          <w:i/>
          <w:iCs/>
          <w:shd w:val="clear" w:color="auto" w:fill="FFFFFF"/>
        </w:rPr>
        <w:t>Droit de la famille — 2197</w:t>
      </w:r>
      <w:r w:rsidRPr="00911998">
        <w:rPr>
          <w:rFonts w:cs="Arial"/>
          <w:shd w:val="clear" w:color="auto" w:fill="FFFFFF"/>
        </w:rPr>
        <w:t>, 2021 QCCA 165, par. 4</w:t>
      </w:r>
      <w:r w:rsidR="00225C91" w:rsidRPr="00911998">
        <w:rPr>
          <w:rFonts w:cs="Arial"/>
          <w:shd w:val="clear" w:color="auto" w:fill="FFFFFF"/>
        </w:rPr>
        <w:t>0 ;</w:t>
      </w:r>
      <w:r w:rsidRPr="00911998">
        <w:rPr>
          <w:rFonts w:cs="Arial"/>
          <w:shd w:val="clear" w:color="auto" w:fill="FFFFFF"/>
        </w:rPr>
        <w:t xml:space="preserve"> et P.</w:t>
      </w:r>
      <w:r w:rsidRPr="00911998">
        <w:rPr>
          <w:rFonts w:cs="Arial"/>
          <w:shd w:val="clear" w:color="auto" w:fill="FFFFFF"/>
        </w:rPr>
        <w:noBreakHyphen/>
        <w:t>A. Côté et M.</w:t>
      </w:r>
      <w:r w:rsidR="006338FB" w:rsidRPr="00911998">
        <w:rPr>
          <w:rFonts w:cs="Arial"/>
          <w:shd w:val="clear" w:color="auto" w:fill="FFFFFF"/>
        </w:rPr>
        <w:t> </w:t>
      </w:r>
      <w:proofErr w:type="spellStart"/>
      <w:r w:rsidRPr="00911998">
        <w:rPr>
          <w:rFonts w:cs="Arial"/>
          <w:shd w:val="clear" w:color="auto" w:fill="FFFFFF"/>
        </w:rPr>
        <w:t>Devinat</w:t>
      </w:r>
      <w:proofErr w:type="spellEnd"/>
      <w:r w:rsidRPr="00911998">
        <w:rPr>
          <w:rFonts w:cs="Arial"/>
          <w:shd w:val="clear" w:color="auto" w:fill="FFFFFF"/>
        </w:rPr>
        <w:t xml:space="preserve">, </w:t>
      </w:r>
      <w:r w:rsidRPr="00911998">
        <w:rPr>
          <w:rFonts w:cs="Arial"/>
          <w:i/>
          <w:iCs/>
          <w:shd w:val="clear" w:color="auto" w:fill="FFFFFF"/>
        </w:rPr>
        <w:t>Interprétation des lois</w:t>
      </w:r>
      <w:r w:rsidRPr="00911998">
        <w:rPr>
          <w:rFonts w:cs="Arial"/>
          <w:shd w:val="clear" w:color="auto" w:fill="FFFFFF"/>
        </w:rPr>
        <w:t>, 5</w:t>
      </w:r>
      <w:r w:rsidRPr="00911998">
        <w:rPr>
          <w:rFonts w:cs="Arial"/>
          <w:shd w:val="clear" w:color="auto" w:fill="FFFFFF"/>
          <w:vertAlign w:val="superscript"/>
        </w:rPr>
        <w:t>e</w:t>
      </w:r>
      <w:r w:rsidRPr="00911998">
        <w:rPr>
          <w:rFonts w:cs="Arial"/>
          <w:shd w:val="clear" w:color="auto" w:fill="FFFFFF"/>
        </w:rPr>
        <w:t xml:space="preserve"> éd. (Montréal : Yvon Blais, 2021), par. 102 à 109 [</w:t>
      </w:r>
      <w:r w:rsidRPr="00911998">
        <w:rPr>
          <w:rFonts w:cs="Arial"/>
          <w:b/>
          <w:bCs/>
          <w:shd w:val="clear" w:color="auto" w:fill="FFFFFF"/>
        </w:rPr>
        <w:t xml:space="preserve">Côté &amp; </w:t>
      </w:r>
      <w:proofErr w:type="spellStart"/>
      <w:r w:rsidRPr="00911998">
        <w:rPr>
          <w:rFonts w:cs="Arial"/>
          <w:b/>
          <w:bCs/>
          <w:shd w:val="clear" w:color="auto" w:fill="FFFFFF"/>
        </w:rPr>
        <w:t>Devinat</w:t>
      </w:r>
      <w:proofErr w:type="spellEnd"/>
      <w:r w:rsidRPr="00911998">
        <w:rPr>
          <w:rFonts w:cs="Arial"/>
          <w:shd w:val="clear" w:color="auto" w:fill="FFFFFF"/>
        </w:rPr>
        <w:t>].</w:t>
      </w:r>
    </w:p>
  </w:footnote>
  <w:footnote w:id="47">
    <w:p w14:paraId="0DA886FB" w14:textId="11E5BE91" w:rsidR="00857886" w:rsidRPr="00911998" w:rsidRDefault="00857886" w:rsidP="00857886">
      <w:pPr>
        <w:pStyle w:val="Notedebasdepage"/>
        <w:rPr>
          <w:rFonts w:cs="Arial"/>
          <w:lang w:val="en-CA"/>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 xml:space="preserve">Rizzo &amp; Rizzo </w:t>
      </w:r>
      <w:proofErr w:type="spellStart"/>
      <w:r w:rsidRPr="00911998">
        <w:rPr>
          <w:rFonts w:cs="Arial"/>
          <w:i/>
          <w:iCs/>
        </w:rPr>
        <w:t>Shoes</w:t>
      </w:r>
      <w:proofErr w:type="spellEnd"/>
      <w:r w:rsidRPr="00911998">
        <w:rPr>
          <w:rFonts w:cs="Arial"/>
          <w:i/>
          <w:iCs/>
        </w:rPr>
        <w:t xml:space="preserve"> Ltd. </w:t>
      </w:r>
      <w:r w:rsidRPr="00911998">
        <w:rPr>
          <w:rFonts w:cs="Arial"/>
          <w:i/>
          <w:iCs/>
          <w:lang w:val="en-CA"/>
        </w:rPr>
        <w:t>(Re)</w:t>
      </w:r>
      <w:r w:rsidRPr="00911998">
        <w:rPr>
          <w:rFonts w:cs="Arial"/>
          <w:lang w:val="en-CA"/>
        </w:rPr>
        <w:t>,</w:t>
      </w:r>
      <w:r w:rsidRPr="00911998">
        <w:rPr>
          <w:rFonts w:cs="Arial"/>
          <w:i/>
          <w:iCs/>
          <w:lang w:val="en-CA"/>
        </w:rPr>
        <w:t> </w:t>
      </w:r>
      <w:r w:rsidRPr="00911998">
        <w:rPr>
          <w:rFonts w:cs="Arial"/>
          <w:lang w:val="en-CA"/>
        </w:rPr>
        <w:t xml:space="preserve"> [1998] 1 RCS 27, par. 21, </w:t>
      </w:r>
      <w:proofErr w:type="spellStart"/>
      <w:r w:rsidRPr="00911998">
        <w:rPr>
          <w:rFonts w:cs="Arial"/>
          <w:lang w:val="en-CA"/>
        </w:rPr>
        <w:t>citant</w:t>
      </w:r>
      <w:proofErr w:type="spellEnd"/>
      <w:r w:rsidRPr="00911998">
        <w:rPr>
          <w:rFonts w:cs="Arial"/>
          <w:lang w:val="en-CA"/>
        </w:rPr>
        <w:t xml:space="preserve"> E.A. </w:t>
      </w:r>
      <w:proofErr w:type="spellStart"/>
      <w:r w:rsidRPr="00911998">
        <w:rPr>
          <w:rFonts w:cs="Arial"/>
          <w:lang w:val="en-CA"/>
        </w:rPr>
        <w:t>Driedger</w:t>
      </w:r>
      <w:proofErr w:type="spellEnd"/>
      <w:r w:rsidRPr="00911998">
        <w:rPr>
          <w:rFonts w:cs="Arial"/>
          <w:lang w:val="en-CA"/>
        </w:rPr>
        <w:t>, </w:t>
      </w:r>
      <w:r w:rsidRPr="00911998">
        <w:rPr>
          <w:rFonts w:cs="Arial"/>
          <w:i/>
          <w:iCs/>
          <w:lang w:val="en-CA"/>
        </w:rPr>
        <w:t>Construction of Statutes</w:t>
      </w:r>
      <w:r w:rsidRPr="00911998">
        <w:rPr>
          <w:rFonts w:cs="Arial"/>
          <w:lang w:val="en-CA"/>
        </w:rPr>
        <w:t>, 2</w:t>
      </w:r>
      <w:r w:rsidRPr="00911998">
        <w:rPr>
          <w:rFonts w:cs="Arial"/>
          <w:vertAlign w:val="superscript"/>
          <w:lang w:val="en-CA"/>
        </w:rPr>
        <w:t>e</w:t>
      </w:r>
      <w:r w:rsidRPr="00911998">
        <w:rPr>
          <w:rFonts w:cs="Arial"/>
          <w:lang w:val="en-CA"/>
        </w:rPr>
        <w:t> </w:t>
      </w:r>
      <w:proofErr w:type="spellStart"/>
      <w:r w:rsidRPr="00911998">
        <w:rPr>
          <w:rFonts w:cs="Arial"/>
          <w:lang w:val="en-CA"/>
        </w:rPr>
        <w:t>éd</w:t>
      </w:r>
      <w:proofErr w:type="spellEnd"/>
      <w:r w:rsidRPr="00911998">
        <w:rPr>
          <w:rFonts w:cs="Arial"/>
          <w:lang w:val="en-CA"/>
        </w:rPr>
        <w:t>. (Toronto : Butterworths, 1983), p. 87.</w:t>
      </w:r>
    </w:p>
  </w:footnote>
  <w:footnote w:id="48">
    <w:p w14:paraId="5B13FEB4" w14:textId="0FFCE5F5" w:rsidR="00857886" w:rsidRPr="00911998" w:rsidRDefault="00857886" w:rsidP="00EB4C70">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Article 41 de la </w:t>
      </w:r>
      <w:r w:rsidRPr="00911998">
        <w:rPr>
          <w:rFonts w:cs="Arial"/>
          <w:i/>
          <w:iCs/>
        </w:rPr>
        <w:t>Loi d’interprétation</w:t>
      </w:r>
      <w:r w:rsidRPr="00911998">
        <w:rPr>
          <w:rFonts w:cs="Arial"/>
        </w:rPr>
        <w:t xml:space="preserve">, </w:t>
      </w:r>
      <w:r w:rsidR="00EB4C70" w:rsidRPr="00911998">
        <w:rPr>
          <w:rFonts w:cs="Arial"/>
        </w:rPr>
        <w:t>RLRQ c. I</w:t>
      </w:r>
      <w:r w:rsidR="00EB4C70" w:rsidRPr="00911998">
        <w:rPr>
          <w:rFonts w:cs="Arial"/>
        </w:rPr>
        <w:noBreakHyphen/>
        <w:t xml:space="preserve">16. </w:t>
      </w:r>
    </w:p>
  </w:footnote>
  <w:footnote w:id="49">
    <w:p w14:paraId="291F1D47" w14:textId="67F5FB78" w:rsidR="00857886" w:rsidRPr="00911998" w:rsidRDefault="00857886" w:rsidP="00857886">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shd w:val="clear" w:color="auto" w:fill="FFFFFF"/>
        </w:rPr>
        <w:t>Doré c. Verdun (Ville)</w:t>
      </w:r>
      <w:r w:rsidRPr="00911998">
        <w:rPr>
          <w:rFonts w:cs="Arial"/>
          <w:shd w:val="clear" w:color="auto" w:fill="FFFFFF"/>
        </w:rPr>
        <w:t>, [1997] 2 RCS 862, p</w:t>
      </w:r>
      <w:r w:rsidR="00225C91" w:rsidRPr="00911998">
        <w:rPr>
          <w:rFonts w:cs="Arial"/>
          <w:shd w:val="clear" w:color="auto" w:fill="FFFFFF"/>
        </w:rPr>
        <w:t>ar. 15</w:t>
      </w:r>
      <w:r w:rsidR="00225C91" w:rsidRPr="00911998">
        <w:rPr>
          <w:rFonts w:cs="Arial"/>
          <w:shd w:val="clear" w:color="auto" w:fill="FFFFFF"/>
        </w:rPr>
        <w:noBreakHyphen/>
        <w:t>16</w:t>
      </w:r>
      <w:r w:rsidRPr="00911998">
        <w:rPr>
          <w:rFonts w:cs="Arial"/>
          <w:shd w:val="clear" w:color="auto" w:fill="FFFFFF"/>
        </w:rPr>
        <w:t>.</w:t>
      </w:r>
    </w:p>
  </w:footnote>
  <w:footnote w:id="50">
    <w:p w14:paraId="7058ED84" w14:textId="77777777" w:rsidR="00EB4C70" w:rsidRPr="00911998" w:rsidRDefault="00EB4C70" w:rsidP="00EB4C70">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Article 41.1 de la </w:t>
      </w:r>
      <w:r w:rsidRPr="00911998">
        <w:rPr>
          <w:rFonts w:cs="Arial"/>
          <w:i/>
          <w:iCs/>
        </w:rPr>
        <w:t>Loi d’interprétation</w:t>
      </w:r>
      <w:r w:rsidRPr="00911998">
        <w:rPr>
          <w:rFonts w:cs="Arial"/>
        </w:rPr>
        <w:t xml:space="preserve">, précitée. </w:t>
      </w:r>
    </w:p>
  </w:footnote>
  <w:footnote w:id="51">
    <w:p w14:paraId="3814EE18" w14:textId="1048EE15" w:rsidR="00857886" w:rsidRPr="00911998" w:rsidRDefault="00857886" w:rsidP="00857886">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Côté &amp; </w:t>
      </w:r>
      <w:proofErr w:type="spellStart"/>
      <w:r w:rsidRPr="00911998">
        <w:rPr>
          <w:rFonts w:cs="Arial"/>
        </w:rPr>
        <w:t>Devinat</w:t>
      </w:r>
      <w:proofErr w:type="spellEnd"/>
      <w:r w:rsidRPr="00911998">
        <w:rPr>
          <w:rFonts w:cs="Arial"/>
        </w:rPr>
        <w:t xml:space="preserve">, précité, par. 1070. Voir aussi : </w:t>
      </w:r>
      <w:proofErr w:type="spellStart"/>
      <w:r w:rsidRPr="00911998">
        <w:rPr>
          <w:rFonts w:cs="Arial"/>
          <w:i/>
          <w:iCs/>
        </w:rPr>
        <w:t>GreCon</w:t>
      </w:r>
      <w:proofErr w:type="spellEnd"/>
      <w:r w:rsidRPr="00911998">
        <w:rPr>
          <w:rFonts w:cs="Arial"/>
          <w:i/>
          <w:iCs/>
        </w:rPr>
        <w:t xml:space="preserve"> </w:t>
      </w:r>
      <w:proofErr w:type="spellStart"/>
      <w:r w:rsidRPr="00911998">
        <w:rPr>
          <w:rFonts w:cs="Arial"/>
          <w:i/>
          <w:iCs/>
        </w:rPr>
        <w:t>Dimter</w:t>
      </w:r>
      <w:proofErr w:type="spellEnd"/>
      <w:r w:rsidRPr="00911998">
        <w:rPr>
          <w:rFonts w:cs="Arial"/>
          <w:i/>
          <w:iCs/>
        </w:rPr>
        <w:t xml:space="preserve"> </w:t>
      </w:r>
      <w:proofErr w:type="spellStart"/>
      <w:r w:rsidRPr="00911998">
        <w:rPr>
          <w:rFonts w:cs="Arial"/>
          <w:i/>
          <w:iCs/>
        </w:rPr>
        <w:t>inc.</w:t>
      </w:r>
      <w:proofErr w:type="spellEnd"/>
      <w:r w:rsidRPr="00911998">
        <w:rPr>
          <w:rFonts w:cs="Arial"/>
          <w:i/>
          <w:iCs/>
        </w:rPr>
        <w:t xml:space="preserve"> c. J.R. Normand </w:t>
      </w:r>
      <w:proofErr w:type="spellStart"/>
      <w:r w:rsidRPr="00911998">
        <w:rPr>
          <w:rFonts w:cs="Arial"/>
          <w:i/>
          <w:iCs/>
        </w:rPr>
        <w:t>inc.</w:t>
      </w:r>
      <w:proofErr w:type="spellEnd"/>
      <w:r w:rsidRPr="00911998">
        <w:rPr>
          <w:rFonts w:cs="Arial"/>
        </w:rPr>
        <w:t>, 2005 CSC 46, par. 19</w:t>
      </w:r>
      <w:r w:rsidR="00225C91" w:rsidRPr="00911998">
        <w:rPr>
          <w:rFonts w:cs="Arial"/>
          <w:shd w:val="clear" w:color="auto" w:fill="FFFFFF"/>
        </w:rPr>
        <w:t> ;</w:t>
      </w:r>
      <w:r w:rsidRPr="00911998">
        <w:rPr>
          <w:rFonts w:cs="Arial"/>
        </w:rPr>
        <w:t xml:space="preserve"> </w:t>
      </w:r>
      <w:r w:rsidRPr="00911998">
        <w:rPr>
          <w:rFonts w:cs="Arial"/>
          <w:i/>
          <w:iCs/>
          <w:shd w:val="clear" w:color="auto" w:fill="FFFFFF"/>
        </w:rPr>
        <w:t>Droit de la famille — 211290</w:t>
      </w:r>
      <w:r w:rsidRPr="00911998">
        <w:rPr>
          <w:rFonts w:cs="Arial"/>
          <w:shd w:val="clear" w:color="auto" w:fill="FFFFFF"/>
        </w:rPr>
        <w:t>, 2021 QCCA 1123, par. 45.</w:t>
      </w:r>
    </w:p>
  </w:footnote>
  <w:footnote w:id="52">
    <w:p w14:paraId="15FEE39E" w14:textId="77777777" w:rsidR="00857886" w:rsidRPr="00911998" w:rsidRDefault="00857886" w:rsidP="00857886">
      <w:pPr>
        <w:pStyle w:val="Notedebasdepage"/>
        <w:rPr>
          <w:rFonts w:cs="Arial"/>
          <w:lang w:val="en-CA"/>
        </w:rPr>
      </w:pPr>
      <w:r w:rsidRPr="00911998">
        <w:rPr>
          <w:rStyle w:val="Appelnotedebasdep"/>
          <w:rFonts w:cs="Arial"/>
        </w:rPr>
        <w:footnoteRef/>
      </w:r>
      <w:r w:rsidRPr="00911998">
        <w:rPr>
          <w:rFonts w:cs="Arial"/>
          <w:lang w:val="en-CA"/>
        </w:rPr>
        <w:t xml:space="preserve"> </w:t>
      </w:r>
      <w:r w:rsidRPr="00911998">
        <w:rPr>
          <w:rFonts w:cs="Arial"/>
          <w:lang w:val="en-CA"/>
        </w:rPr>
        <w:tab/>
        <w:t>J.E.C. </w:t>
      </w:r>
      <w:r w:rsidRPr="00911998">
        <w:rPr>
          <w:rStyle w:val="solexhl"/>
          <w:rFonts w:cs="Arial"/>
          <w:lang w:val="en-CA"/>
        </w:rPr>
        <w:t>Brierley</w:t>
      </w:r>
      <w:r w:rsidRPr="00911998">
        <w:rPr>
          <w:rFonts w:cs="Arial"/>
          <w:lang w:val="en-CA"/>
        </w:rPr>
        <w:t> et R.A. </w:t>
      </w:r>
      <w:r w:rsidRPr="00911998">
        <w:rPr>
          <w:rStyle w:val="solexhl"/>
          <w:rFonts w:cs="Arial"/>
          <w:lang w:val="en-CA"/>
        </w:rPr>
        <w:t>Macdonald</w:t>
      </w:r>
      <w:r w:rsidRPr="00911998">
        <w:rPr>
          <w:rFonts w:cs="Arial"/>
          <w:lang w:val="en-CA"/>
        </w:rPr>
        <w:t>, (dir.), </w:t>
      </w:r>
      <w:r w:rsidRPr="00911998">
        <w:rPr>
          <w:rFonts w:cs="Arial"/>
          <w:i/>
          <w:iCs/>
          <w:lang w:val="en-CA"/>
        </w:rPr>
        <w:t>Quebec Civil Law:  An Introduction to Quebec Private Law</w:t>
      </w:r>
      <w:r w:rsidRPr="00911998">
        <w:rPr>
          <w:rFonts w:cs="Arial"/>
          <w:lang w:val="en-CA"/>
        </w:rPr>
        <w:t> (Toronto : Emond Montgomery, 1993), p. 139</w:t>
      </w:r>
      <w:r w:rsidRPr="00911998">
        <w:rPr>
          <w:rFonts w:cs="Arial"/>
          <w:lang w:val="en-CA"/>
        </w:rPr>
        <w:noBreakHyphen/>
        <w:t>140. </w:t>
      </w:r>
    </w:p>
  </w:footnote>
  <w:footnote w:id="53">
    <w:p w14:paraId="7E210845" w14:textId="61A5C807" w:rsidR="000D68E6" w:rsidRPr="00911998" w:rsidRDefault="000D68E6">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225C91" w:rsidRPr="00911998">
        <w:rPr>
          <w:rFonts w:cs="Arial"/>
        </w:rPr>
        <w:t>Leckey 2020, précité, p. 73.</w:t>
      </w:r>
    </w:p>
  </w:footnote>
  <w:footnote w:id="54">
    <w:p w14:paraId="64D0DA0C" w14:textId="23536DD2" w:rsidR="00FE6AB6" w:rsidRPr="00911998" w:rsidRDefault="00FE6AB6">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Tétrault, précité, p. 5.</w:t>
      </w:r>
    </w:p>
  </w:footnote>
  <w:footnote w:id="55">
    <w:p w14:paraId="5604C70E" w14:textId="340F782F" w:rsidR="00110623" w:rsidRPr="00911998" w:rsidRDefault="00110623">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Article 538 C.c.Q.</w:t>
      </w:r>
    </w:p>
  </w:footnote>
  <w:footnote w:id="56">
    <w:p w14:paraId="386F4388" w14:textId="6EB91BC7" w:rsidR="00110623" w:rsidRPr="00911998" w:rsidRDefault="00110623">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Article 61.1 de la </w:t>
      </w:r>
      <w:r w:rsidRPr="00911998">
        <w:rPr>
          <w:rFonts w:cs="Arial"/>
          <w:i/>
          <w:iCs/>
        </w:rPr>
        <w:t>Loi d’interprétation</w:t>
      </w:r>
      <w:r w:rsidRPr="00911998">
        <w:rPr>
          <w:rFonts w:cs="Arial"/>
        </w:rPr>
        <w:t xml:space="preserve">, </w:t>
      </w:r>
      <w:r w:rsidR="00EB4C70" w:rsidRPr="00911998">
        <w:rPr>
          <w:rFonts w:cs="Arial"/>
        </w:rPr>
        <w:t>précitée</w:t>
      </w:r>
      <w:r w:rsidRPr="00911998">
        <w:rPr>
          <w:rFonts w:cs="Arial"/>
        </w:rPr>
        <w:t>.</w:t>
      </w:r>
    </w:p>
  </w:footnote>
  <w:footnote w:id="57">
    <w:p w14:paraId="664C79D5" w14:textId="4E2F6FCF" w:rsidR="002D4D2B" w:rsidRPr="00911998" w:rsidRDefault="002D4D2B" w:rsidP="002D4D2B">
      <w:pPr>
        <w:pStyle w:val="Notedebasdepage"/>
      </w:pPr>
      <w:r w:rsidRPr="00911998">
        <w:rPr>
          <w:rStyle w:val="Appelnotedebasdep"/>
        </w:rPr>
        <w:footnoteRef/>
      </w:r>
      <w:r w:rsidRPr="00911998">
        <w:t xml:space="preserve"> </w:t>
      </w:r>
      <w:r w:rsidRPr="00911998">
        <w:tab/>
      </w:r>
      <w:r w:rsidRPr="00911998">
        <w:rPr>
          <w:i/>
          <w:iCs/>
        </w:rPr>
        <w:t>Droit de la famille — 111729</w:t>
      </w:r>
      <w:r w:rsidRPr="00911998">
        <w:t>, précité, par. 41</w:t>
      </w:r>
      <w:r w:rsidRPr="00911998">
        <w:noBreakHyphen/>
        <w:t>42</w:t>
      </w:r>
      <w:r w:rsidR="005677A6" w:rsidRPr="00911998">
        <w:t> </w:t>
      </w:r>
      <w:r w:rsidRPr="00911998">
        <w:t xml:space="preserve">; </w:t>
      </w:r>
      <w:r w:rsidRPr="00911998">
        <w:rPr>
          <w:rFonts w:cs="Arial"/>
          <w:i/>
          <w:iCs/>
          <w:shd w:val="clear" w:color="auto" w:fill="FFFFFF"/>
        </w:rPr>
        <w:t>Droit de la famille — 191677</w:t>
      </w:r>
      <w:r w:rsidRPr="00911998">
        <w:rPr>
          <w:rFonts w:cs="Arial"/>
          <w:shd w:val="clear" w:color="auto" w:fill="FFFFFF"/>
        </w:rPr>
        <w:t>, précité, par. 93</w:t>
      </w:r>
      <w:r w:rsidRPr="00911998">
        <w:rPr>
          <w:rFonts w:cs="Arial"/>
          <w:shd w:val="clear" w:color="auto" w:fill="FFFFFF"/>
        </w:rPr>
        <w:noBreakHyphen/>
        <w:t>95.</w:t>
      </w:r>
    </w:p>
  </w:footnote>
  <w:footnote w:id="58">
    <w:p w14:paraId="7B07AD5A" w14:textId="724FE349" w:rsidR="00AB3CD4" w:rsidRPr="00911998" w:rsidRDefault="00AB3CD4">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6C3C03" w:rsidRPr="00911998">
        <w:rPr>
          <w:rFonts w:cs="Arial"/>
        </w:rPr>
        <w:t xml:space="preserve">La version présentement en vigueur de ces dispositions est reproduite à l’Annexe A. </w:t>
      </w:r>
      <w:r w:rsidRPr="00911998">
        <w:rPr>
          <w:rFonts w:cs="Arial"/>
        </w:rPr>
        <w:t>À l’époque, les articles</w:t>
      </w:r>
      <w:r w:rsidR="005677A6" w:rsidRPr="00911998">
        <w:rPr>
          <w:rFonts w:cs="Arial"/>
        </w:rPr>
        <w:t> </w:t>
      </w:r>
      <w:r w:rsidRPr="00911998">
        <w:rPr>
          <w:rFonts w:cs="Arial"/>
        </w:rPr>
        <w:t>530 à 537</w:t>
      </w:r>
      <w:r w:rsidR="005677A6" w:rsidRPr="00911998">
        <w:rPr>
          <w:rFonts w:cs="Arial"/>
        </w:rPr>
        <w:t> </w:t>
      </w:r>
      <w:r w:rsidRPr="00911998">
        <w:rPr>
          <w:rFonts w:cs="Arial"/>
        </w:rPr>
        <w:t xml:space="preserve">C.c.Q. </w:t>
      </w:r>
      <w:r w:rsidR="006C3C03" w:rsidRPr="00911998">
        <w:rPr>
          <w:rFonts w:cs="Arial"/>
        </w:rPr>
        <w:t>régissait les</w:t>
      </w:r>
      <w:r w:rsidRPr="00911998">
        <w:rPr>
          <w:rFonts w:cs="Arial"/>
        </w:rPr>
        <w:t xml:space="preserve"> actions relatives à la filiation. Il n’est pas nécessaire de </w:t>
      </w:r>
      <w:r w:rsidR="006C3C03" w:rsidRPr="00911998">
        <w:rPr>
          <w:rFonts w:cs="Arial"/>
        </w:rPr>
        <w:t xml:space="preserve">les </w:t>
      </w:r>
      <w:r w:rsidRPr="00911998">
        <w:rPr>
          <w:rFonts w:cs="Arial"/>
        </w:rPr>
        <w:t>reproduire.</w:t>
      </w:r>
      <w:r w:rsidR="0014157E" w:rsidRPr="00911998">
        <w:rPr>
          <w:rFonts w:cs="Arial"/>
        </w:rPr>
        <w:t xml:space="preserve"> </w:t>
      </w:r>
    </w:p>
  </w:footnote>
  <w:footnote w:id="59">
    <w:p w14:paraId="117696F9" w14:textId="0F24DFA9" w:rsidR="00A95DAA" w:rsidRPr="00911998" w:rsidRDefault="00A95DAA" w:rsidP="00A95DAA">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14157E" w:rsidRPr="00911998">
        <w:rPr>
          <w:rFonts w:cs="Arial"/>
        </w:rPr>
        <w:t xml:space="preserve">La version présentement en vigueur de ces dispositions est également reproduite à l’Annexe A. </w:t>
      </w:r>
      <w:r w:rsidR="00D152F0" w:rsidRPr="00911998">
        <w:rPr>
          <w:rFonts w:cs="Arial"/>
        </w:rPr>
        <w:t>En décembre 2011, a</w:t>
      </w:r>
      <w:r w:rsidRPr="00911998">
        <w:rPr>
          <w:rFonts w:cs="Arial"/>
        </w:rPr>
        <w:t xml:space="preserve">u moment de la naissance </w:t>
      </w:r>
      <w:r w:rsidR="007714A1">
        <w:rPr>
          <w:rFonts w:cs="Arial"/>
        </w:rPr>
        <w:t>de Y</w:t>
      </w:r>
      <w:r w:rsidR="00D152F0" w:rsidRPr="00911998">
        <w:rPr>
          <w:rFonts w:cs="Arial"/>
        </w:rPr>
        <w:t>,</w:t>
      </w:r>
      <w:r w:rsidRPr="00911998">
        <w:rPr>
          <w:rFonts w:cs="Arial"/>
        </w:rPr>
        <w:t xml:space="preserve"> l’article 115 C.c.Q. se lisait ainsi :</w:t>
      </w:r>
    </w:p>
    <w:p w14:paraId="0D8A93EB" w14:textId="77777777" w:rsidR="00A95DAA" w:rsidRPr="00911998" w:rsidRDefault="00A95DAA" w:rsidP="00A95DAA">
      <w:pPr>
        <w:pStyle w:val="Notedebasdepage"/>
        <w:rPr>
          <w:rFonts w:cs="Arial"/>
        </w:rPr>
      </w:pPr>
    </w:p>
    <w:tbl>
      <w:tblPr>
        <w:tblStyle w:val="Grilledutableau"/>
        <w:tblW w:w="0" w:type="auto"/>
        <w:tblInd w:w="279" w:type="dxa"/>
        <w:tblLook w:val="04A0" w:firstRow="1" w:lastRow="0" w:firstColumn="1" w:lastColumn="0" w:noHBand="0" w:noVBand="1"/>
      </w:tblPr>
      <w:tblGrid>
        <w:gridCol w:w="4394"/>
        <w:gridCol w:w="4536"/>
      </w:tblGrid>
      <w:tr w:rsidR="00DA3271" w:rsidRPr="00C62C88" w14:paraId="608B0DA7" w14:textId="77777777" w:rsidTr="00F677F9">
        <w:tc>
          <w:tcPr>
            <w:tcW w:w="4394" w:type="dxa"/>
          </w:tcPr>
          <w:p w14:paraId="18596076" w14:textId="25FEF7E2" w:rsidR="00A95DAA" w:rsidRPr="00911998" w:rsidRDefault="00A95DAA" w:rsidP="00A95DAA">
            <w:pPr>
              <w:jc w:val="both"/>
              <w:rPr>
                <w:rFonts w:cs="Arial"/>
                <w:sz w:val="20"/>
                <w:lang w:eastAsia="fr-CA"/>
              </w:rPr>
            </w:pPr>
            <w:r w:rsidRPr="00911998">
              <w:rPr>
                <w:rFonts w:cs="Arial"/>
                <w:b/>
                <w:bCs/>
                <w:sz w:val="20"/>
                <w:lang w:eastAsia="fr-CA"/>
              </w:rPr>
              <w:t>115.</w:t>
            </w:r>
            <w:r w:rsidRPr="00911998">
              <w:rPr>
                <w:rFonts w:cs="Arial"/>
                <w:sz w:val="20"/>
                <w:lang w:eastAsia="fr-CA"/>
              </w:rPr>
              <w:t> La déclaration de naissance énonce le nom attribué à l</w:t>
            </w:r>
            <w:r w:rsidR="00971129" w:rsidRPr="00911998">
              <w:rPr>
                <w:rFonts w:cs="Arial"/>
                <w:sz w:val="20"/>
                <w:lang w:eastAsia="fr-CA"/>
              </w:rPr>
              <w:t>’</w:t>
            </w:r>
            <w:r w:rsidRPr="00911998">
              <w:rPr>
                <w:rFonts w:cs="Arial"/>
                <w:sz w:val="20"/>
                <w:lang w:eastAsia="fr-CA"/>
              </w:rPr>
              <w:t>enfant, son sexe, les lieu, date et heure de la naissance, le nom et le domicile des père et mère et du témoin, de même que le lien de parenté du déclarant avec l</w:t>
            </w:r>
            <w:r w:rsidR="00971129" w:rsidRPr="00911998">
              <w:rPr>
                <w:rFonts w:cs="Arial"/>
                <w:sz w:val="20"/>
                <w:lang w:eastAsia="fr-CA"/>
              </w:rPr>
              <w:t>’</w:t>
            </w:r>
            <w:r w:rsidRPr="00911998">
              <w:rPr>
                <w:rFonts w:cs="Arial"/>
                <w:sz w:val="20"/>
                <w:lang w:eastAsia="fr-CA"/>
              </w:rPr>
              <w:t>enfant. Lorsque les parents sont de même sexe, ils sont désignés comme les mères ou les pères de l</w:t>
            </w:r>
            <w:r w:rsidR="00971129" w:rsidRPr="00911998">
              <w:rPr>
                <w:rFonts w:cs="Arial"/>
                <w:sz w:val="20"/>
                <w:lang w:eastAsia="fr-CA"/>
              </w:rPr>
              <w:t>’</w:t>
            </w:r>
            <w:r w:rsidRPr="00911998">
              <w:rPr>
                <w:rFonts w:cs="Arial"/>
                <w:sz w:val="20"/>
                <w:lang w:eastAsia="fr-CA"/>
              </w:rPr>
              <w:t>enfant, selon le cas.</w:t>
            </w:r>
          </w:p>
          <w:p w14:paraId="37D64A49" w14:textId="77777777" w:rsidR="00A95DAA" w:rsidRPr="00911998" w:rsidRDefault="00A95DAA" w:rsidP="00A95DAA">
            <w:pPr>
              <w:jc w:val="both"/>
              <w:rPr>
                <w:rFonts w:cs="Arial"/>
                <w:sz w:val="20"/>
                <w:lang w:eastAsia="fr-CA"/>
              </w:rPr>
            </w:pPr>
          </w:p>
          <w:p w14:paraId="32ECADEF" w14:textId="41DBFBE2" w:rsidR="00A95DAA" w:rsidRPr="00911998" w:rsidRDefault="00A95DAA" w:rsidP="00A95DAA">
            <w:pPr>
              <w:jc w:val="both"/>
              <w:rPr>
                <w:rFonts w:cs="Arial"/>
                <w:sz w:val="20"/>
                <w:lang w:eastAsia="fr-CA"/>
              </w:rPr>
            </w:pPr>
            <w:r w:rsidRPr="00911998">
              <w:rPr>
                <w:rFonts w:cs="Arial"/>
                <w:sz w:val="20"/>
                <w:lang w:eastAsia="fr-CA"/>
              </w:rPr>
              <w:t>L</w:t>
            </w:r>
            <w:r w:rsidR="00971129" w:rsidRPr="00911998">
              <w:rPr>
                <w:rFonts w:cs="Arial"/>
                <w:sz w:val="20"/>
                <w:lang w:eastAsia="fr-CA"/>
              </w:rPr>
              <w:t>’</w:t>
            </w:r>
            <w:r w:rsidRPr="00911998">
              <w:rPr>
                <w:rFonts w:cs="Arial"/>
                <w:sz w:val="20"/>
                <w:lang w:eastAsia="fr-CA"/>
              </w:rPr>
              <w:t>auteur de la déclaration joint à celle-ci un exemplaire du constat de naissance.</w:t>
            </w:r>
          </w:p>
          <w:p w14:paraId="3CD97461" w14:textId="77777777" w:rsidR="00A95DAA" w:rsidRPr="00911998" w:rsidRDefault="00A95DAA" w:rsidP="00A95DAA">
            <w:pPr>
              <w:jc w:val="both"/>
              <w:rPr>
                <w:rFonts w:cs="Arial"/>
                <w:sz w:val="20"/>
              </w:rPr>
            </w:pPr>
          </w:p>
        </w:tc>
        <w:tc>
          <w:tcPr>
            <w:tcW w:w="4536" w:type="dxa"/>
          </w:tcPr>
          <w:p w14:paraId="065C331A" w14:textId="77777777" w:rsidR="00B01296" w:rsidRPr="00911998" w:rsidRDefault="00B01296" w:rsidP="00D152F0">
            <w:pPr>
              <w:jc w:val="both"/>
              <w:rPr>
                <w:rFonts w:cs="Arial"/>
                <w:i/>
                <w:iCs/>
                <w:sz w:val="20"/>
                <w:lang w:val="en-CA" w:eastAsia="fr-CA"/>
              </w:rPr>
            </w:pPr>
            <w:r w:rsidRPr="00911998">
              <w:rPr>
                <w:rFonts w:cs="Arial"/>
                <w:b/>
                <w:bCs/>
                <w:i/>
                <w:iCs/>
                <w:sz w:val="20"/>
                <w:lang w:val="en-CA" w:eastAsia="fr-CA"/>
              </w:rPr>
              <w:t>115.</w:t>
            </w:r>
            <w:r w:rsidRPr="00911998">
              <w:rPr>
                <w:rFonts w:cs="Arial"/>
                <w:i/>
                <w:iCs/>
                <w:sz w:val="20"/>
                <w:lang w:val="en-CA" w:eastAsia="fr-CA"/>
              </w:rPr>
              <w:t> A declaration of birth states the name assigned to the child, the sex and the place, date and time of birth of the child, the name and domicile of the father, of the mother, and of the witness, and the family relationship between the declarant and the child. Where the parents are of the same sex, they are designated as the mothers or fathers of the child, as the case may be.</w:t>
            </w:r>
          </w:p>
          <w:p w14:paraId="1A210FAA" w14:textId="77777777" w:rsidR="00B01296" w:rsidRPr="00911998" w:rsidRDefault="00B01296" w:rsidP="00B01296">
            <w:pPr>
              <w:rPr>
                <w:rFonts w:cs="Arial"/>
                <w:i/>
                <w:iCs/>
                <w:sz w:val="20"/>
                <w:lang w:val="en-CA" w:eastAsia="fr-CA"/>
              </w:rPr>
            </w:pPr>
          </w:p>
          <w:p w14:paraId="7D527CCF" w14:textId="1CC42C81" w:rsidR="00A95DAA" w:rsidRPr="00911998" w:rsidRDefault="00B01296" w:rsidP="00D152F0">
            <w:pPr>
              <w:jc w:val="both"/>
              <w:rPr>
                <w:rFonts w:cs="Arial"/>
                <w:sz w:val="20"/>
                <w:lang w:val="en-CA"/>
              </w:rPr>
            </w:pPr>
            <w:r w:rsidRPr="00911998">
              <w:rPr>
                <w:rFonts w:cs="Arial"/>
                <w:i/>
                <w:iCs/>
                <w:sz w:val="20"/>
                <w:lang w:val="en-CA" w:eastAsia="fr-CA"/>
              </w:rPr>
              <w:t>The person who makes the declaration attaches to it a copy of the attestation of birth.</w:t>
            </w:r>
          </w:p>
        </w:tc>
      </w:tr>
    </w:tbl>
    <w:p w14:paraId="5197B4A1" w14:textId="77777777" w:rsidR="00A95DAA" w:rsidRPr="00911998" w:rsidRDefault="00A95DAA" w:rsidP="00A95DAA">
      <w:pPr>
        <w:pStyle w:val="Notedebasdepage"/>
        <w:rPr>
          <w:rFonts w:cs="Arial"/>
          <w:lang w:val="en-CA"/>
        </w:rPr>
      </w:pPr>
    </w:p>
    <w:p w14:paraId="43F97315" w14:textId="77777777" w:rsidR="00A95DAA" w:rsidRPr="00911998" w:rsidRDefault="00A95DAA" w:rsidP="00A95DAA">
      <w:pPr>
        <w:pStyle w:val="Notedebasdepage"/>
        <w:rPr>
          <w:rFonts w:cs="Arial"/>
          <w:lang w:val="en-CA"/>
        </w:rPr>
      </w:pPr>
    </w:p>
  </w:footnote>
  <w:footnote w:id="60">
    <w:p w14:paraId="464ABE18" w14:textId="309C3EF7" w:rsidR="0014157E" w:rsidRPr="00911998" w:rsidRDefault="0014157E">
      <w:pPr>
        <w:pStyle w:val="Notedebasdepage"/>
      </w:pPr>
      <w:r w:rsidRPr="00911998">
        <w:rPr>
          <w:rStyle w:val="Appelnotedebasdep"/>
        </w:rPr>
        <w:footnoteRef/>
      </w:r>
      <w:r w:rsidRPr="00911998">
        <w:t xml:space="preserve"> </w:t>
      </w:r>
      <w:r w:rsidRPr="00911998">
        <w:tab/>
        <w:t xml:space="preserve">Il en est également de même pour ce qui est des dispositions équivalentes présentement en vigueur. Voir l’Annexe A. </w:t>
      </w:r>
    </w:p>
  </w:footnote>
  <w:footnote w:id="61">
    <w:p w14:paraId="4F3D3947" w14:textId="1B384E77" w:rsidR="003160F7" w:rsidRPr="00911998" w:rsidRDefault="004D3F49">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2F7225" w:rsidRPr="00911998">
        <w:rPr>
          <w:rFonts w:cs="Arial"/>
        </w:rPr>
        <w:t>Article 524 C.c.Q.</w:t>
      </w:r>
    </w:p>
  </w:footnote>
  <w:footnote w:id="62">
    <w:p w14:paraId="1E5D1E70" w14:textId="2FA36244" w:rsidR="00294E81" w:rsidRPr="00911998" w:rsidRDefault="00294E81">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Voir aussi les articles 552 et 553</w:t>
      </w:r>
      <w:r w:rsidR="001B76A6" w:rsidRPr="00911998">
        <w:rPr>
          <w:rFonts w:cs="Arial"/>
        </w:rPr>
        <w:t> </w:t>
      </w:r>
      <w:r w:rsidRPr="00911998">
        <w:rPr>
          <w:rFonts w:cs="Arial"/>
        </w:rPr>
        <w:t>C.c.Q. qui mentionnent également les deux «</w:t>
      </w:r>
      <w:r w:rsidR="001B76A6" w:rsidRPr="00911998">
        <w:rPr>
          <w:rFonts w:cs="Arial"/>
        </w:rPr>
        <w:t> </w:t>
      </w:r>
      <w:r w:rsidRPr="00911998">
        <w:rPr>
          <w:rFonts w:cs="Arial"/>
        </w:rPr>
        <w:t>parents</w:t>
      </w:r>
      <w:r w:rsidR="001B76A6" w:rsidRPr="00911998">
        <w:rPr>
          <w:rFonts w:cs="Arial"/>
        </w:rPr>
        <w:t> </w:t>
      </w:r>
      <w:r w:rsidRPr="00911998">
        <w:rPr>
          <w:rFonts w:cs="Arial"/>
        </w:rPr>
        <w:t>» de l’enfant avant son adoption.</w:t>
      </w:r>
    </w:p>
  </w:footnote>
  <w:footnote w:id="63">
    <w:p w14:paraId="4B1D1DF9" w14:textId="22F0A80B" w:rsidR="00294E81" w:rsidRPr="00911998" w:rsidRDefault="00294E81">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L’alinéa 2 de l’article 577 C.c.Q. comporte également une limite implicite </w:t>
      </w:r>
      <w:r w:rsidR="006338FB" w:rsidRPr="00911998">
        <w:rPr>
          <w:rFonts w:cs="Arial"/>
        </w:rPr>
        <w:t xml:space="preserve">de </w:t>
      </w:r>
      <w:r w:rsidRPr="00911998">
        <w:rPr>
          <w:rFonts w:cs="Arial"/>
        </w:rPr>
        <w:t>deux liens de filiation.</w:t>
      </w:r>
    </w:p>
  </w:footnote>
  <w:footnote w:id="64">
    <w:p w14:paraId="138B355A" w14:textId="680D4541" w:rsidR="00294E81" w:rsidRPr="00911998" w:rsidRDefault="00294E81">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Le </w:t>
      </w:r>
      <w:r w:rsidR="00BA04D2" w:rsidRPr="00911998">
        <w:rPr>
          <w:rFonts w:cs="Arial"/>
        </w:rPr>
        <w:t>Tribunal ne se prononce pas sur les adoptions</w:t>
      </w:r>
      <w:r w:rsidRPr="00911998">
        <w:rPr>
          <w:rFonts w:cs="Arial"/>
        </w:rPr>
        <w:t xml:space="preserve"> en vertu d</w:t>
      </w:r>
      <w:r w:rsidR="00B00426" w:rsidRPr="00911998">
        <w:rPr>
          <w:rFonts w:cs="Arial"/>
        </w:rPr>
        <w:t>’un</w:t>
      </w:r>
      <w:r w:rsidRPr="00911998">
        <w:rPr>
          <w:rFonts w:cs="Arial"/>
        </w:rPr>
        <w:t xml:space="preserve"> droit coutumier autochtone, ni des liens de filiation qui pourraient en résulter ou survivre à une telle adoption (</w:t>
      </w:r>
      <w:r w:rsidR="00B00426" w:rsidRPr="00911998">
        <w:rPr>
          <w:rFonts w:cs="Arial"/>
        </w:rPr>
        <w:t xml:space="preserve">voir notamment les </w:t>
      </w:r>
      <w:r w:rsidRPr="00911998">
        <w:rPr>
          <w:rFonts w:cs="Arial"/>
        </w:rPr>
        <w:t>articles </w:t>
      </w:r>
      <w:r w:rsidR="00B00426" w:rsidRPr="00911998">
        <w:rPr>
          <w:rFonts w:cs="Arial"/>
        </w:rPr>
        <w:t>132, 132.0.1, 149.1 et 577.1</w:t>
      </w:r>
      <w:r w:rsidR="001B76A6" w:rsidRPr="00911998">
        <w:rPr>
          <w:rFonts w:cs="Arial"/>
        </w:rPr>
        <w:t> </w:t>
      </w:r>
      <w:r w:rsidR="00B00426" w:rsidRPr="00911998">
        <w:rPr>
          <w:rFonts w:cs="Arial"/>
        </w:rPr>
        <w:t>C.c.Q.).</w:t>
      </w:r>
    </w:p>
  </w:footnote>
  <w:footnote w:id="65">
    <w:p w14:paraId="4B5506CE" w14:textId="79C00539" w:rsidR="002C2BE1" w:rsidRPr="00911998" w:rsidRDefault="002C2BE1" w:rsidP="002C2BE1">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Article 61.1 de la </w:t>
      </w:r>
      <w:r w:rsidRPr="00911998">
        <w:rPr>
          <w:rFonts w:cs="Arial"/>
          <w:i/>
          <w:iCs/>
        </w:rPr>
        <w:t>Loi d’interprétation</w:t>
      </w:r>
      <w:r w:rsidRPr="00911998">
        <w:rPr>
          <w:rFonts w:cs="Arial"/>
        </w:rPr>
        <w:t xml:space="preserve">, </w:t>
      </w:r>
      <w:r w:rsidR="00EB4C70" w:rsidRPr="00911998">
        <w:rPr>
          <w:rFonts w:cs="Arial"/>
        </w:rPr>
        <w:t>précitée</w:t>
      </w:r>
      <w:r w:rsidRPr="00911998">
        <w:rPr>
          <w:rFonts w:cs="Arial"/>
        </w:rPr>
        <w:t>.</w:t>
      </w:r>
    </w:p>
  </w:footnote>
  <w:footnote w:id="66">
    <w:p w14:paraId="3D5A4C7B" w14:textId="77777777" w:rsidR="00E61A6A" w:rsidRPr="00911998" w:rsidRDefault="00E61A6A" w:rsidP="00E61A6A">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Projet de loi n</w:t>
      </w:r>
      <w:r w:rsidRPr="00911998">
        <w:rPr>
          <w:rFonts w:cs="Arial"/>
          <w:i/>
          <w:iCs/>
          <w:vertAlign w:val="superscript"/>
        </w:rPr>
        <w:t>o</w:t>
      </w:r>
      <w:r w:rsidRPr="00911998">
        <w:rPr>
          <w:rFonts w:cs="Arial"/>
          <w:i/>
          <w:iCs/>
        </w:rPr>
        <w:t> 2</w:t>
      </w:r>
      <w:r w:rsidRPr="00911998">
        <w:rPr>
          <w:rFonts w:cs="Arial"/>
        </w:rPr>
        <w:t xml:space="preserve">, précité ; et </w:t>
      </w:r>
      <w:r w:rsidRPr="00911998">
        <w:rPr>
          <w:rFonts w:cs="Arial"/>
          <w:i/>
          <w:iCs/>
        </w:rPr>
        <w:t>Projet de loi n</w:t>
      </w:r>
      <w:r w:rsidRPr="00911998">
        <w:rPr>
          <w:rFonts w:cs="Arial"/>
          <w:i/>
          <w:iCs/>
          <w:vertAlign w:val="superscript"/>
        </w:rPr>
        <w:t>o</w:t>
      </w:r>
      <w:r w:rsidRPr="00911998">
        <w:rPr>
          <w:rFonts w:cs="Arial"/>
          <w:i/>
          <w:iCs/>
        </w:rPr>
        <w:t> 12</w:t>
      </w:r>
      <w:r w:rsidRPr="00911998">
        <w:rPr>
          <w:rFonts w:cs="Arial"/>
        </w:rPr>
        <w:t>, précité.</w:t>
      </w:r>
    </w:p>
  </w:footnote>
  <w:footnote w:id="67">
    <w:p w14:paraId="5DF8072A" w14:textId="2AEC42F4" w:rsidR="00443AA9" w:rsidRPr="00911998" w:rsidRDefault="00443AA9">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Le nouvel article 538.1 C.c.Q. suit cette même logique fondée sur un modèle de </w:t>
      </w:r>
      <w:r w:rsidR="00573D75" w:rsidRPr="00911998">
        <w:rPr>
          <w:rFonts w:cs="Arial"/>
        </w:rPr>
        <w:t xml:space="preserve">parenté </w:t>
      </w:r>
      <w:r w:rsidRPr="00911998">
        <w:rPr>
          <w:rFonts w:cs="Arial"/>
        </w:rPr>
        <w:t>bi</w:t>
      </w:r>
      <w:r w:rsidR="00573D75" w:rsidRPr="00911998">
        <w:rPr>
          <w:rFonts w:cs="Arial"/>
        </w:rPr>
        <w:t>partite</w:t>
      </w:r>
      <w:r w:rsidRPr="00911998">
        <w:rPr>
          <w:rFonts w:cs="Arial"/>
        </w:rPr>
        <w:t>.</w:t>
      </w:r>
    </w:p>
  </w:footnote>
  <w:footnote w:id="68">
    <w:p w14:paraId="580BF6B8" w14:textId="2FE4C7A2" w:rsidR="00624F38" w:rsidRPr="00911998" w:rsidRDefault="00624F38">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Articles 524, 538.1</w:t>
      </w:r>
      <w:r w:rsidR="00443AA9" w:rsidRPr="00911998">
        <w:rPr>
          <w:rFonts w:cs="Arial"/>
        </w:rPr>
        <w:t>, 542.19 C.c.Q.</w:t>
      </w:r>
      <w:r w:rsidR="002F7225" w:rsidRPr="00911998">
        <w:rPr>
          <w:rFonts w:cs="Arial"/>
        </w:rPr>
        <w:t xml:space="preserve"> En particulier, l’article 524 C.c.Q. est modifié en 2023 par l’ajout notamment d’un deuxième alinéa qui prévoit que « La possession constante d’état ne peut s’établir dans les cas où elle est exercée par plus d’une personne simultanément. / </w:t>
      </w:r>
      <w:proofErr w:type="spellStart"/>
      <w:r w:rsidR="002F7225" w:rsidRPr="00911998">
        <w:rPr>
          <w:rFonts w:cs="Arial"/>
          <w:i/>
          <w:iCs/>
        </w:rPr>
        <w:t>Uninterrupted</w:t>
      </w:r>
      <w:proofErr w:type="spellEnd"/>
      <w:r w:rsidR="002F7225" w:rsidRPr="00911998">
        <w:rPr>
          <w:rFonts w:cs="Arial"/>
          <w:i/>
          <w:iCs/>
        </w:rPr>
        <w:t xml:space="preserve"> possession of </w:t>
      </w:r>
      <w:proofErr w:type="spellStart"/>
      <w:r w:rsidR="002F7225" w:rsidRPr="00911998">
        <w:rPr>
          <w:rFonts w:cs="Arial"/>
          <w:i/>
          <w:iCs/>
        </w:rPr>
        <w:t>status</w:t>
      </w:r>
      <w:proofErr w:type="spellEnd"/>
      <w:r w:rsidR="002F7225" w:rsidRPr="00911998">
        <w:rPr>
          <w:rFonts w:cs="Arial"/>
          <w:i/>
          <w:iCs/>
        </w:rPr>
        <w:t xml:space="preserve"> </w:t>
      </w:r>
      <w:proofErr w:type="spellStart"/>
      <w:r w:rsidR="002F7225" w:rsidRPr="00911998">
        <w:rPr>
          <w:rFonts w:cs="Arial"/>
          <w:i/>
          <w:iCs/>
        </w:rPr>
        <w:t>may</w:t>
      </w:r>
      <w:proofErr w:type="spellEnd"/>
      <w:r w:rsidR="002F7225" w:rsidRPr="00911998">
        <w:rPr>
          <w:rFonts w:cs="Arial"/>
          <w:i/>
          <w:iCs/>
        </w:rPr>
        <w:t xml:space="preserve"> not </w:t>
      </w:r>
      <w:proofErr w:type="spellStart"/>
      <w:r w:rsidR="002F7225" w:rsidRPr="00911998">
        <w:rPr>
          <w:rFonts w:cs="Arial"/>
          <w:i/>
          <w:iCs/>
        </w:rPr>
        <w:t>be</w:t>
      </w:r>
      <w:proofErr w:type="spellEnd"/>
      <w:r w:rsidR="002F7225" w:rsidRPr="00911998">
        <w:rPr>
          <w:rFonts w:cs="Arial"/>
          <w:i/>
          <w:iCs/>
        </w:rPr>
        <w:t xml:space="preserve"> </w:t>
      </w:r>
      <w:proofErr w:type="spellStart"/>
      <w:r w:rsidR="002F7225" w:rsidRPr="00911998">
        <w:rPr>
          <w:rFonts w:cs="Arial"/>
          <w:i/>
          <w:iCs/>
        </w:rPr>
        <w:t>established</w:t>
      </w:r>
      <w:proofErr w:type="spellEnd"/>
      <w:r w:rsidR="002F7225" w:rsidRPr="00911998">
        <w:rPr>
          <w:rFonts w:cs="Arial"/>
          <w:i/>
          <w:iCs/>
        </w:rPr>
        <w:t xml:space="preserve"> in cases </w:t>
      </w:r>
      <w:proofErr w:type="spellStart"/>
      <w:r w:rsidR="002F7225" w:rsidRPr="00911998">
        <w:rPr>
          <w:rFonts w:cs="Arial"/>
          <w:i/>
          <w:iCs/>
        </w:rPr>
        <w:t>where</w:t>
      </w:r>
      <w:proofErr w:type="spellEnd"/>
      <w:r w:rsidR="002F7225" w:rsidRPr="00911998">
        <w:rPr>
          <w:rFonts w:cs="Arial"/>
          <w:i/>
          <w:iCs/>
        </w:rPr>
        <w:t xml:space="preserve"> </w:t>
      </w:r>
      <w:proofErr w:type="spellStart"/>
      <w:r w:rsidR="002F7225" w:rsidRPr="00911998">
        <w:rPr>
          <w:rFonts w:cs="Arial"/>
          <w:i/>
          <w:iCs/>
        </w:rPr>
        <w:t>it</w:t>
      </w:r>
      <w:proofErr w:type="spellEnd"/>
      <w:r w:rsidR="002F7225" w:rsidRPr="00911998">
        <w:rPr>
          <w:rFonts w:cs="Arial"/>
          <w:i/>
          <w:iCs/>
        </w:rPr>
        <w:t xml:space="preserve"> </w:t>
      </w:r>
      <w:proofErr w:type="spellStart"/>
      <w:r w:rsidR="002F7225" w:rsidRPr="00911998">
        <w:rPr>
          <w:rFonts w:cs="Arial"/>
          <w:i/>
          <w:iCs/>
        </w:rPr>
        <w:t>is</w:t>
      </w:r>
      <w:proofErr w:type="spellEnd"/>
      <w:r w:rsidR="002F7225" w:rsidRPr="00911998">
        <w:rPr>
          <w:rFonts w:cs="Arial"/>
          <w:i/>
          <w:iCs/>
        </w:rPr>
        <w:t xml:space="preserve"> </w:t>
      </w:r>
      <w:proofErr w:type="spellStart"/>
      <w:r w:rsidR="002F7225" w:rsidRPr="00911998">
        <w:rPr>
          <w:rFonts w:cs="Arial"/>
          <w:i/>
          <w:iCs/>
        </w:rPr>
        <w:t>exercised</w:t>
      </w:r>
      <w:proofErr w:type="spellEnd"/>
      <w:r w:rsidR="002F7225" w:rsidRPr="00911998">
        <w:rPr>
          <w:rFonts w:cs="Arial"/>
          <w:i/>
          <w:iCs/>
        </w:rPr>
        <w:t xml:space="preserve"> by more </w:t>
      </w:r>
      <w:proofErr w:type="spellStart"/>
      <w:r w:rsidR="002F7225" w:rsidRPr="00911998">
        <w:rPr>
          <w:rFonts w:cs="Arial"/>
          <w:i/>
          <w:iCs/>
        </w:rPr>
        <w:t>than</w:t>
      </w:r>
      <w:proofErr w:type="spellEnd"/>
      <w:r w:rsidR="002F7225" w:rsidRPr="00911998">
        <w:rPr>
          <w:rFonts w:cs="Arial"/>
          <w:i/>
          <w:iCs/>
        </w:rPr>
        <w:t xml:space="preserve"> one </w:t>
      </w:r>
      <w:proofErr w:type="spellStart"/>
      <w:r w:rsidR="002F7225" w:rsidRPr="00911998">
        <w:rPr>
          <w:rFonts w:cs="Arial"/>
          <w:i/>
          <w:iCs/>
        </w:rPr>
        <w:t>person</w:t>
      </w:r>
      <w:proofErr w:type="spellEnd"/>
      <w:r w:rsidR="002F7225" w:rsidRPr="00911998">
        <w:rPr>
          <w:rFonts w:cs="Arial"/>
          <w:i/>
          <w:iCs/>
        </w:rPr>
        <w:t xml:space="preserve"> </w:t>
      </w:r>
      <w:proofErr w:type="spellStart"/>
      <w:r w:rsidR="002F7225" w:rsidRPr="00911998">
        <w:rPr>
          <w:rFonts w:cs="Arial"/>
          <w:i/>
          <w:iCs/>
        </w:rPr>
        <w:t>simultaneously</w:t>
      </w:r>
      <w:proofErr w:type="spellEnd"/>
      <w:r w:rsidR="002F7225" w:rsidRPr="00911998">
        <w:rPr>
          <w:rFonts w:cs="Arial"/>
        </w:rPr>
        <w:t> ». Les Demandeurs plaident que puisque cette disposition n’est pas d’application rétroactive, elle ne s’applique pas à leur situation. Elle reflète néanmoins l’économie générale du Code, laquelle s’oppose à plus de deux liens de filiation.</w:t>
      </w:r>
    </w:p>
  </w:footnote>
  <w:footnote w:id="69">
    <w:p w14:paraId="5549BE10" w14:textId="1E8A2CDD" w:rsidR="00443AA9" w:rsidRPr="00911998" w:rsidRDefault="00443AA9">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Articles</w:t>
      </w:r>
      <w:r w:rsidR="0040473D" w:rsidRPr="00911998">
        <w:rPr>
          <w:rFonts w:cs="Arial"/>
        </w:rPr>
        <w:t> </w:t>
      </w:r>
      <w:r w:rsidRPr="00911998">
        <w:rPr>
          <w:rFonts w:cs="Arial"/>
        </w:rPr>
        <w:t xml:space="preserve">541.1 à </w:t>
      </w:r>
      <w:r w:rsidR="0040473D" w:rsidRPr="00911998">
        <w:rPr>
          <w:rFonts w:cs="Arial"/>
        </w:rPr>
        <w:t>541.4</w:t>
      </w:r>
      <w:r w:rsidRPr="00911998">
        <w:rPr>
          <w:rFonts w:cs="Arial"/>
        </w:rPr>
        <w:t xml:space="preserve"> et </w:t>
      </w:r>
      <w:r w:rsidR="0040473D" w:rsidRPr="00911998">
        <w:rPr>
          <w:rFonts w:cs="Arial"/>
        </w:rPr>
        <w:t>541.6</w:t>
      </w:r>
      <w:r w:rsidRPr="00911998">
        <w:rPr>
          <w:rFonts w:cs="Arial"/>
        </w:rPr>
        <w:t xml:space="preserve"> à </w:t>
      </w:r>
      <w:r w:rsidR="0040473D" w:rsidRPr="00911998">
        <w:rPr>
          <w:rFonts w:cs="Arial"/>
        </w:rPr>
        <w:t>541.9</w:t>
      </w:r>
      <w:r w:rsidRPr="00911998">
        <w:rPr>
          <w:rFonts w:cs="Arial"/>
        </w:rPr>
        <w:t xml:space="preserve">, </w:t>
      </w:r>
      <w:r w:rsidR="0040473D" w:rsidRPr="00911998">
        <w:rPr>
          <w:rFonts w:cs="Arial"/>
        </w:rPr>
        <w:t>541.21</w:t>
      </w:r>
      <w:r w:rsidRPr="00911998">
        <w:rPr>
          <w:rFonts w:cs="Arial"/>
        </w:rPr>
        <w:t xml:space="preserve"> et </w:t>
      </w:r>
      <w:r w:rsidR="0040473D" w:rsidRPr="00911998">
        <w:rPr>
          <w:rFonts w:cs="Arial"/>
        </w:rPr>
        <w:t>541.36 </w:t>
      </w:r>
      <w:r w:rsidRPr="00911998">
        <w:rPr>
          <w:rFonts w:cs="Arial"/>
        </w:rPr>
        <w:t>C.c.Q.</w:t>
      </w:r>
    </w:p>
  </w:footnote>
  <w:footnote w:id="70">
    <w:p w14:paraId="184C4517" w14:textId="49DB746D" w:rsidR="00B51EA0" w:rsidRPr="00911998" w:rsidRDefault="00B51EA0">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shd w:val="clear" w:color="auto" w:fill="FFFFFF"/>
        </w:rPr>
        <w:t>Droit de la famille – 07528</w:t>
      </w:r>
      <w:r w:rsidRPr="00911998">
        <w:rPr>
          <w:rFonts w:cs="Arial"/>
          <w:shd w:val="clear" w:color="auto" w:fill="FFFFFF"/>
        </w:rPr>
        <w:t>, 2007</w:t>
      </w:r>
      <w:r w:rsidR="0040473D" w:rsidRPr="00911998">
        <w:rPr>
          <w:rFonts w:cs="Arial"/>
          <w:shd w:val="clear" w:color="auto" w:fill="FFFFFF"/>
        </w:rPr>
        <w:t> </w:t>
      </w:r>
      <w:r w:rsidRPr="00911998">
        <w:rPr>
          <w:rFonts w:cs="Arial"/>
          <w:shd w:val="clear" w:color="auto" w:fill="FFFFFF"/>
        </w:rPr>
        <w:t>QCCA</w:t>
      </w:r>
      <w:r w:rsidR="0040473D" w:rsidRPr="00911998">
        <w:rPr>
          <w:rFonts w:cs="Arial"/>
          <w:shd w:val="clear" w:color="auto" w:fill="FFFFFF"/>
        </w:rPr>
        <w:t> </w:t>
      </w:r>
      <w:r w:rsidRPr="00911998">
        <w:rPr>
          <w:rFonts w:cs="Arial"/>
          <w:shd w:val="clear" w:color="auto" w:fill="FFFFFF"/>
        </w:rPr>
        <w:t>361, par.</w:t>
      </w:r>
      <w:r w:rsidR="0040473D" w:rsidRPr="00911998">
        <w:rPr>
          <w:rFonts w:cs="Arial"/>
          <w:shd w:val="clear" w:color="auto" w:fill="FFFFFF"/>
        </w:rPr>
        <w:t> </w:t>
      </w:r>
      <w:r w:rsidRPr="00911998">
        <w:rPr>
          <w:rFonts w:cs="Arial"/>
          <w:shd w:val="clear" w:color="auto" w:fill="FFFFFF"/>
        </w:rPr>
        <w:t>55</w:t>
      </w:r>
      <w:r w:rsidR="0040473D" w:rsidRPr="00911998">
        <w:rPr>
          <w:rFonts w:cs="Arial"/>
          <w:shd w:val="clear" w:color="auto" w:fill="FFFFFF"/>
        </w:rPr>
        <w:t> </w:t>
      </w:r>
      <w:r w:rsidRPr="00911998">
        <w:rPr>
          <w:rFonts w:cs="Arial"/>
          <w:shd w:val="clear" w:color="auto" w:fill="FFFFFF"/>
        </w:rPr>
        <w:t xml:space="preserve">; voir aussi : </w:t>
      </w:r>
      <w:r w:rsidRPr="00911998">
        <w:rPr>
          <w:rFonts w:cs="Arial"/>
          <w:i/>
          <w:iCs/>
          <w:shd w:val="clear" w:color="auto" w:fill="FFFFFF"/>
        </w:rPr>
        <w:t xml:space="preserve">Droit de la famille — </w:t>
      </w:r>
      <w:r w:rsidR="0040473D" w:rsidRPr="00911998">
        <w:rPr>
          <w:rFonts w:cs="Arial"/>
          <w:i/>
          <w:iCs/>
          <w:shd w:val="clear" w:color="auto" w:fill="FFFFFF"/>
        </w:rPr>
        <w:t>181478</w:t>
      </w:r>
      <w:r w:rsidRPr="00911998">
        <w:rPr>
          <w:rFonts w:cs="Arial"/>
          <w:shd w:val="clear" w:color="auto" w:fill="FFFFFF"/>
        </w:rPr>
        <w:t>, 2018</w:t>
      </w:r>
      <w:r w:rsidR="0040473D" w:rsidRPr="00911998">
        <w:rPr>
          <w:rFonts w:cs="Arial"/>
          <w:shd w:val="clear" w:color="auto" w:fill="FFFFFF"/>
        </w:rPr>
        <w:t> </w:t>
      </w:r>
      <w:r w:rsidRPr="00911998">
        <w:rPr>
          <w:rFonts w:cs="Arial"/>
          <w:shd w:val="clear" w:color="auto" w:fill="FFFFFF"/>
        </w:rPr>
        <w:t>QCCA</w:t>
      </w:r>
      <w:r w:rsidR="0040473D" w:rsidRPr="00911998">
        <w:rPr>
          <w:rFonts w:cs="Arial"/>
          <w:shd w:val="clear" w:color="auto" w:fill="FFFFFF"/>
        </w:rPr>
        <w:t> </w:t>
      </w:r>
      <w:r w:rsidRPr="00911998">
        <w:rPr>
          <w:rFonts w:cs="Arial"/>
          <w:shd w:val="clear" w:color="auto" w:fill="FFFFFF"/>
        </w:rPr>
        <w:t>1120, par.</w:t>
      </w:r>
      <w:r w:rsidR="0040473D" w:rsidRPr="00911998">
        <w:rPr>
          <w:rFonts w:cs="Arial"/>
          <w:shd w:val="clear" w:color="auto" w:fill="FFFFFF"/>
        </w:rPr>
        <w:t> </w:t>
      </w:r>
      <w:r w:rsidRPr="00911998">
        <w:rPr>
          <w:rFonts w:cs="Arial"/>
          <w:shd w:val="clear" w:color="auto" w:fill="FFFFFF"/>
        </w:rPr>
        <w:t>5</w:t>
      </w:r>
      <w:r w:rsidR="0040473D" w:rsidRPr="00911998">
        <w:rPr>
          <w:rFonts w:cs="Arial"/>
          <w:shd w:val="clear" w:color="auto" w:fill="FFFFFF"/>
        </w:rPr>
        <w:t> </w:t>
      </w:r>
      <w:r w:rsidRPr="00911998">
        <w:rPr>
          <w:rFonts w:cs="Arial"/>
          <w:shd w:val="clear" w:color="auto" w:fill="FFFFFF"/>
        </w:rPr>
        <w:t xml:space="preserve">; </w:t>
      </w:r>
      <w:r w:rsidRPr="00911998">
        <w:rPr>
          <w:rFonts w:cs="Arial"/>
          <w:i/>
          <w:iCs/>
          <w:shd w:val="clear" w:color="auto" w:fill="FFFFFF"/>
        </w:rPr>
        <w:t xml:space="preserve">Droit de la famille — </w:t>
      </w:r>
      <w:r w:rsidR="0040473D" w:rsidRPr="00911998">
        <w:rPr>
          <w:rFonts w:cs="Arial"/>
          <w:i/>
          <w:iCs/>
          <w:shd w:val="clear" w:color="auto" w:fill="FFFFFF"/>
        </w:rPr>
        <w:t>161633</w:t>
      </w:r>
      <w:r w:rsidRPr="00911998">
        <w:rPr>
          <w:rFonts w:cs="Arial"/>
          <w:shd w:val="clear" w:color="auto" w:fill="FFFFFF"/>
        </w:rPr>
        <w:t>, 2016 QCCA 1142, par.</w:t>
      </w:r>
      <w:r w:rsidR="0040473D" w:rsidRPr="00911998">
        <w:rPr>
          <w:rFonts w:cs="Arial"/>
          <w:shd w:val="clear" w:color="auto" w:fill="FFFFFF"/>
        </w:rPr>
        <w:t> </w:t>
      </w:r>
      <w:r w:rsidRPr="00911998">
        <w:rPr>
          <w:rFonts w:cs="Arial"/>
          <w:shd w:val="clear" w:color="auto" w:fill="FFFFFF"/>
        </w:rPr>
        <w:t>19</w:t>
      </w:r>
      <w:r w:rsidR="0040473D" w:rsidRPr="00911998">
        <w:rPr>
          <w:rFonts w:cs="Arial"/>
          <w:shd w:val="clear" w:color="auto" w:fill="FFFFFF"/>
        </w:rPr>
        <w:t> </w:t>
      </w:r>
      <w:r w:rsidRPr="00911998">
        <w:rPr>
          <w:rFonts w:cs="Arial"/>
          <w:shd w:val="clear" w:color="auto" w:fill="FFFFFF"/>
        </w:rPr>
        <w:t xml:space="preserve">; </w:t>
      </w:r>
      <w:r w:rsidRPr="00911998">
        <w:rPr>
          <w:rFonts w:cs="Arial"/>
          <w:i/>
          <w:iCs/>
          <w:shd w:val="clear" w:color="auto" w:fill="FFFFFF"/>
        </w:rPr>
        <w:t xml:space="preserve">Droit de la famille — </w:t>
      </w:r>
      <w:r w:rsidR="0040473D" w:rsidRPr="00911998">
        <w:rPr>
          <w:rFonts w:cs="Arial"/>
          <w:i/>
          <w:iCs/>
          <w:shd w:val="clear" w:color="auto" w:fill="FFFFFF"/>
        </w:rPr>
        <w:t>221332</w:t>
      </w:r>
      <w:r w:rsidRPr="00911998">
        <w:rPr>
          <w:rFonts w:cs="Arial"/>
          <w:shd w:val="clear" w:color="auto" w:fill="FFFFFF"/>
        </w:rPr>
        <w:t>, 2022</w:t>
      </w:r>
      <w:r w:rsidR="0040473D" w:rsidRPr="00911998">
        <w:rPr>
          <w:rFonts w:cs="Arial"/>
          <w:shd w:val="clear" w:color="auto" w:fill="FFFFFF"/>
        </w:rPr>
        <w:t> </w:t>
      </w:r>
      <w:r w:rsidRPr="00911998">
        <w:rPr>
          <w:rFonts w:cs="Arial"/>
          <w:shd w:val="clear" w:color="auto" w:fill="FFFFFF"/>
        </w:rPr>
        <w:t>QCCS</w:t>
      </w:r>
      <w:r w:rsidR="0040473D" w:rsidRPr="00911998">
        <w:rPr>
          <w:rFonts w:cs="Arial"/>
          <w:shd w:val="clear" w:color="auto" w:fill="FFFFFF"/>
        </w:rPr>
        <w:t> </w:t>
      </w:r>
      <w:r w:rsidRPr="00911998">
        <w:rPr>
          <w:rFonts w:cs="Arial"/>
          <w:shd w:val="clear" w:color="auto" w:fill="FFFFFF"/>
        </w:rPr>
        <w:t>2867, par.</w:t>
      </w:r>
      <w:r w:rsidR="0040473D" w:rsidRPr="00911998">
        <w:rPr>
          <w:rFonts w:cs="Arial"/>
          <w:shd w:val="clear" w:color="auto" w:fill="FFFFFF"/>
        </w:rPr>
        <w:t> </w:t>
      </w:r>
      <w:r w:rsidRPr="00911998">
        <w:rPr>
          <w:rFonts w:cs="Arial"/>
          <w:shd w:val="clear" w:color="auto" w:fill="FFFFFF"/>
        </w:rPr>
        <w:t>42</w:t>
      </w:r>
      <w:r w:rsidR="0040473D" w:rsidRPr="00911998">
        <w:rPr>
          <w:rFonts w:cs="Arial"/>
          <w:shd w:val="clear" w:color="auto" w:fill="FFFFFF"/>
        </w:rPr>
        <w:t> </w:t>
      </w:r>
      <w:r w:rsidRPr="00911998">
        <w:rPr>
          <w:rFonts w:cs="Arial"/>
          <w:shd w:val="clear" w:color="auto" w:fill="FFFFFF"/>
        </w:rPr>
        <w:t>; </w:t>
      </w:r>
      <w:r w:rsidRPr="00911998">
        <w:rPr>
          <w:rFonts w:cs="Arial"/>
          <w:i/>
          <w:iCs/>
          <w:shd w:val="clear" w:color="auto" w:fill="FFFFFF"/>
        </w:rPr>
        <w:t xml:space="preserve">Droit de la famille — </w:t>
      </w:r>
      <w:r w:rsidR="0040473D" w:rsidRPr="00911998">
        <w:rPr>
          <w:rFonts w:cs="Arial"/>
          <w:i/>
          <w:iCs/>
          <w:shd w:val="clear" w:color="auto" w:fill="FFFFFF"/>
        </w:rPr>
        <w:t>181937</w:t>
      </w:r>
      <w:r w:rsidRPr="00911998">
        <w:rPr>
          <w:rFonts w:cs="Arial"/>
          <w:shd w:val="clear" w:color="auto" w:fill="FFFFFF"/>
        </w:rPr>
        <w:t>, 2018</w:t>
      </w:r>
      <w:r w:rsidR="0040473D" w:rsidRPr="00911998">
        <w:rPr>
          <w:rFonts w:cs="Arial"/>
          <w:shd w:val="clear" w:color="auto" w:fill="FFFFFF"/>
        </w:rPr>
        <w:t> </w:t>
      </w:r>
      <w:r w:rsidRPr="00911998">
        <w:rPr>
          <w:rFonts w:cs="Arial"/>
          <w:shd w:val="clear" w:color="auto" w:fill="FFFFFF"/>
        </w:rPr>
        <w:t>QCCS</w:t>
      </w:r>
      <w:r w:rsidR="0040473D" w:rsidRPr="00911998">
        <w:rPr>
          <w:rFonts w:cs="Arial"/>
          <w:shd w:val="clear" w:color="auto" w:fill="FFFFFF"/>
        </w:rPr>
        <w:t> </w:t>
      </w:r>
      <w:r w:rsidRPr="00911998">
        <w:rPr>
          <w:rFonts w:cs="Arial"/>
          <w:shd w:val="clear" w:color="auto" w:fill="FFFFFF"/>
        </w:rPr>
        <w:t>3904, par.</w:t>
      </w:r>
      <w:r w:rsidR="0040473D" w:rsidRPr="00911998">
        <w:rPr>
          <w:rFonts w:cs="Arial"/>
          <w:shd w:val="clear" w:color="auto" w:fill="FFFFFF"/>
        </w:rPr>
        <w:t> </w:t>
      </w:r>
      <w:r w:rsidRPr="00911998">
        <w:rPr>
          <w:rFonts w:cs="Arial"/>
          <w:shd w:val="clear" w:color="auto" w:fill="FFFFFF"/>
        </w:rPr>
        <w:t>1</w:t>
      </w:r>
      <w:r w:rsidR="0040473D" w:rsidRPr="00911998">
        <w:rPr>
          <w:rFonts w:cs="Arial"/>
          <w:shd w:val="clear" w:color="auto" w:fill="FFFFFF"/>
        </w:rPr>
        <w:t> </w:t>
      </w:r>
      <w:r w:rsidR="004C6535" w:rsidRPr="00911998">
        <w:rPr>
          <w:rFonts w:cs="Arial"/>
          <w:shd w:val="clear" w:color="auto" w:fill="FFFFFF"/>
        </w:rPr>
        <w:t xml:space="preserve">; voir aussi : M. Lessard, « Les amoureux sur les bancs publics : le traitement juridique du polyamour en droit québécois », (2019) 32 </w:t>
      </w:r>
      <w:r w:rsidR="004C6535" w:rsidRPr="00911998">
        <w:rPr>
          <w:rFonts w:cs="Arial"/>
          <w:i/>
          <w:iCs/>
          <w:shd w:val="clear" w:color="auto" w:fill="FFFFFF"/>
        </w:rPr>
        <w:t>Canadian Journal of Family Law</w:t>
      </w:r>
      <w:r w:rsidR="0040473D" w:rsidRPr="00911998">
        <w:rPr>
          <w:rFonts w:cs="Arial"/>
          <w:shd w:val="clear" w:color="auto" w:fill="FFFFFF"/>
        </w:rPr>
        <w:t> </w:t>
      </w:r>
      <w:r w:rsidR="004C6535" w:rsidRPr="00911998">
        <w:rPr>
          <w:rFonts w:cs="Arial"/>
          <w:shd w:val="clear" w:color="auto" w:fill="FFFFFF"/>
        </w:rPr>
        <w:t>1, p. 31</w:t>
      </w:r>
      <w:r w:rsidR="004C6535" w:rsidRPr="00911998">
        <w:rPr>
          <w:rFonts w:cs="Arial"/>
          <w:shd w:val="clear" w:color="auto" w:fill="FFFFFF"/>
        </w:rPr>
        <w:noBreakHyphen/>
        <w:t>35.</w:t>
      </w:r>
    </w:p>
  </w:footnote>
  <w:footnote w:id="71">
    <w:p w14:paraId="7BBFB95B" w14:textId="22A26D1A" w:rsidR="003C3B86" w:rsidRPr="00911998" w:rsidRDefault="003C3B86">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E708FD" w:rsidRPr="00911998">
        <w:rPr>
          <w:rFonts w:cs="Arial"/>
        </w:rPr>
        <w:t>Précité, par.</w:t>
      </w:r>
      <w:r w:rsidR="0040473D" w:rsidRPr="00911998">
        <w:rPr>
          <w:rFonts w:cs="Arial"/>
        </w:rPr>
        <w:t> </w:t>
      </w:r>
      <w:r w:rsidR="008F2042" w:rsidRPr="00911998">
        <w:rPr>
          <w:rFonts w:cs="Arial"/>
        </w:rPr>
        <w:t>5</w:t>
      </w:r>
      <w:r w:rsidR="00E708FD" w:rsidRPr="00911998">
        <w:rPr>
          <w:rFonts w:cs="Arial"/>
        </w:rPr>
        <w:t>5.</w:t>
      </w:r>
    </w:p>
  </w:footnote>
  <w:footnote w:id="72">
    <w:p w14:paraId="723B3C17" w14:textId="77EE16A0" w:rsidR="00161859" w:rsidRPr="00911998" w:rsidRDefault="00161859">
      <w:pPr>
        <w:pStyle w:val="Notedebasdepage"/>
        <w:rPr>
          <w:rFonts w:cs="Arial"/>
          <w:shd w:val="clear" w:color="auto" w:fill="FFFFFF"/>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shd w:val="clear" w:color="auto" w:fill="FFFFFF"/>
        </w:rPr>
        <w:t>Droit de la famille — 191677</w:t>
      </w:r>
      <w:r w:rsidRPr="00911998">
        <w:rPr>
          <w:rFonts w:cs="Arial"/>
          <w:shd w:val="clear" w:color="auto" w:fill="FFFFFF"/>
        </w:rPr>
        <w:t>, précité, par.</w:t>
      </w:r>
      <w:r w:rsidR="0040473D" w:rsidRPr="00911998">
        <w:rPr>
          <w:rFonts w:cs="Arial"/>
          <w:shd w:val="clear" w:color="auto" w:fill="FFFFFF"/>
        </w:rPr>
        <w:t xml:space="preserve"> </w:t>
      </w:r>
      <w:r w:rsidRPr="00911998">
        <w:rPr>
          <w:rFonts w:cs="Arial"/>
          <w:shd w:val="clear" w:color="auto" w:fill="FFFFFF"/>
        </w:rPr>
        <w:t xml:space="preserve">68. Le juge </w:t>
      </w:r>
      <w:proofErr w:type="spellStart"/>
      <w:r w:rsidRPr="00911998">
        <w:rPr>
          <w:rFonts w:cs="Arial"/>
          <w:shd w:val="clear" w:color="auto" w:fill="FFFFFF"/>
        </w:rPr>
        <w:t>Kasirer</w:t>
      </w:r>
      <w:proofErr w:type="spellEnd"/>
      <w:r w:rsidRPr="00911998">
        <w:rPr>
          <w:rFonts w:cs="Arial"/>
          <w:shd w:val="clear" w:color="auto" w:fill="FFFFFF"/>
        </w:rPr>
        <w:t xml:space="preserve"> s’exprime ainsi sur la question de la reconnaissance de la triple filiation :</w:t>
      </w:r>
    </w:p>
    <w:p w14:paraId="27C445F0" w14:textId="77777777" w:rsidR="00161859" w:rsidRPr="00911998" w:rsidRDefault="00161859">
      <w:pPr>
        <w:pStyle w:val="Notedebasdepage"/>
        <w:rPr>
          <w:rFonts w:cs="Arial"/>
          <w:shd w:val="clear" w:color="auto" w:fill="FFFFFF"/>
        </w:rPr>
      </w:pPr>
    </w:p>
    <w:p w14:paraId="52B05CAF" w14:textId="02C9BC73" w:rsidR="00161859" w:rsidRPr="00911998" w:rsidRDefault="00161859" w:rsidP="00161859">
      <w:pPr>
        <w:ind w:left="567" w:right="560"/>
        <w:jc w:val="both"/>
        <w:rPr>
          <w:rFonts w:cs="Arial"/>
          <w:sz w:val="20"/>
        </w:rPr>
      </w:pPr>
      <w:r w:rsidRPr="00911998">
        <w:rPr>
          <w:rFonts w:cs="Arial"/>
          <w:sz w:val="20"/>
        </w:rPr>
        <w:t>[</w:t>
      </w:r>
      <w:bookmarkStart w:id="41" w:name="par68"/>
      <w:r w:rsidRPr="00911998">
        <w:rPr>
          <w:rFonts w:cs="Arial"/>
          <w:sz w:val="20"/>
        </w:rPr>
        <w:t>68</w:t>
      </w:r>
      <w:bookmarkEnd w:id="41"/>
      <w:r w:rsidRPr="00911998">
        <w:rPr>
          <w:rFonts w:cs="Arial"/>
          <w:sz w:val="20"/>
        </w:rPr>
        <w:t>]      </w:t>
      </w:r>
      <w:r w:rsidRPr="00911998">
        <w:rPr>
          <w:rFonts w:cs="Arial"/>
          <w:sz w:val="20"/>
          <w:u w:val="single"/>
        </w:rPr>
        <w:t xml:space="preserve">Bien que le juge de première instance ait cru utile d’exposer son point de vue sur la triple filiation en détail </w:t>
      </w:r>
      <w:r w:rsidR="0040473D" w:rsidRPr="00911998">
        <w:rPr>
          <w:rFonts w:cs="Arial"/>
          <w:sz w:val="20"/>
          <w:u w:val="single"/>
        </w:rPr>
        <w:t>—</w:t>
      </w:r>
      <w:r w:rsidRPr="00911998">
        <w:rPr>
          <w:rFonts w:cs="Arial"/>
          <w:sz w:val="20"/>
          <w:u w:val="single"/>
        </w:rPr>
        <w:t xml:space="preserve"> quant à son inexistence en droit québécois et à l’opportunité pressante de la reconnaître à titre de </w:t>
      </w:r>
      <w:proofErr w:type="spellStart"/>
      <w:r w:rsidRPr="00911998">
        <w:rPr>
          <w:rFonts w:cs="Arial"/>
          <w:i/>
          <w:iCs/>
          <w:sz w:val="20"/>
          <w:u w:val="single"/>
        </w:rPr>
        <w:t>lex</w:t>
      </w:r>
      <w:proofErr w:type="spellEnd"/>
      <w:r w:rsidRPr="00911998">
        <w:rPr>
          <w:rFonts w:cs="Arial"/>
          <w:i/>
          <w:iCs/>
          <w:sz w:val="20"/>
          <w:u w:val="single"/>
        </w:rPr>
        <w:t xml:space="preserve"> </w:t>
      </w:r>
      <w:proofErr w:type="spellStart"/>
      <w:r w:rsidRPr="00911998">
        <w:rPr>
          <w:rFonts w:cs="Arial"/>
          <w:i/>
          <w:iCs/>
          <w:sz w:val="20"/>
          <w:u w:val="single"/>
        </w:rPr>
        <w:t>ferenda</w:t>
      </w:r>
      <w:proofErr w:type="spellEnd"/>
      <w:r w:rsidR="0040473D" w:rsidRPr="00911998">
        <w:rPr>
          <w:rFonts w:cs="Arial"/>
          <w:sz w:val="20"/>
          <w:u w:val="single"/>
        </w:rPr>
        <w:t xml:space="preserve"> —</w:t>
      </w:r>
      <w:r w:rsidRPr="00911998">
        <w:rPr>
          <w:rFonts w:cs="Arial"/>
          <w:sz w:val="20"/>
          <w:u w:val="single"/>
        </w:rPr>
        <w:t xml:space="preserve"> je m’abstiendrai de le faire ici. Je prends bonne note que la Cour, dans des circonstances fort différentes des nôtres, a pu observer que le droit positif ne la consacre pas formellement</w:t>
      </w:r>
      <w:bookmarkStart w:id="42" w:name="_Ref14947141"/>
      <w:bookmarkEnd w:id="42"/>
      <w:r w:rsidRPr="00911998">
        <w:rPr>
          <w:rFonts w:cs="Arial"/>
          <w:sz w:val="20"/>
          <w:u w:val="single"/>
        </w:rPr>
        <w:t>. Aussi suis-je sensible aux arguments de texte qui laissent croire que le législateur n’admet pas la tri-parenté</w:t>
      </w:r>
      <w:r w:rsidRPr="00911998">
        <w:rPr>
          <w:rFonts w:cs="Arial"/>
          <w:sz w:val="20"/>
        </w:rPr>
        <w:t xml:space="preserve">. Si certaines provinces canadiennes s’ouvrent à la possibilité qu’un enfant ait trois parents, le droit civil québécois diffère du droit positif applicable ailleurs au pays en la matière. D’une part, l’établissement de la filiation par la loi, dans ce contexte, ne laisse que peu ou pas de place au pouvoir discrétionnaire du juge au Québec et, d’autre part, la distinction qui nous concerne ici </w:t>
      </w:r>
      <w:r w:rsidR="0040473D" w:rsidRPr="00911998">
        <w:rPr>
          <w:rFonts w:cs="Arial"/>
          <w:sz w:val="20"/>
        </w:rPr>
        <w:t>—</w:t>
      </w:r>
      <w:r w:rsidRPr="00911998">
        <w:rPr>
          <w:rFonts w:cs="Arial"/>
          <w:sz w:val="20"/>
        </w:rPr>
        <w:t xml:space="preserve"> entre parenté et parentalité </w:t>
      </w:r>
      <w:r w:rsidR="0040473D" w:rsidRPr="00911998">
        <w:rPr>
          <w:rFonts w:cs="Arial"/>
          <w:sz w:val="20"/>
        </w:rPr>
        <w:t>—</w:t>
      </w:r>
      <w:r w:rsidRPr="00911998">
        <w:rPr>
          <w:rFonts w:cs="Arial"/>
          <w:sz w:val="20"/>
        </w:rPr>
        <w:t xml:space="preserve"> s’articule autrement en </w:t>
      </w:r>
      <w:proofErr w:type="spellStart"/>
      <w:r w:rsidRPr="00911998">
        <w:rPr>
          <w:rFonts w:cs="Arial"/>
          <w:sz w:val="20"/>
        </w:rPr>
        <w:t>common</w:t>
      </w:r>
      <w:proofErr w:type="spellEnd"/>
      <w:r w:rsidRPr="00911998">
        <w:rPr>
          <w:rFonts w:cs="Arial"/>
          <w:sz w:val="20"/>
        </w:rPr>
        <w:t xml:space="preserve"> </w:t>
      </w:r>
      <w:proofErr w:type="spellStart"/>
      <w:r w:rsidRPr="00911998">
        <w:rPr>
          <w:rFonts w:cs="Arial"/>
          <w:sz w:val="20"/>
        </w:rPr>
        <w:t>law</w:t>
      </w:r>
      <w:bookmarkStart w:id="43" w:name="_Ref14954698"/>
      <w:bookmarkEnd w:id="43"/>
      <w:proofErr w:type="spellEnd"/>
      <w:r w:rsidRPr="00911998">
        <w:rPr>
          <w:rFonts w:cs="Arial"/>
          <w:sz w:val="20"/>
        </w:rPr>
        <w:t>. […].</w:t>
      </w:r>
    </w:p>
    <w:p w14:paraId="425FE8C1" w14:textId="77777777" w:rsidR="00443AA9" w:rsidRPr="00911998" w:rsidRDefault="00443AA9" w:rsidP="00161859">
      <w:pPr>
        <w:ind w:left="567" w:right="560"/>
        <w:jc w:val="both"/>
        <w:rPr>
          <w:rFonts w:cs="Arial"/>
          <w:sz w:val="20"/>
        </w:rPr>
      </w:pPr>
    </w:p>
    <w:p w14:paraId="310E715B" w14:textId="3AFB1B72" w:rsidR="00443AA9" w:rsidRPr="00911998" w:rsidRDefault="00443AA9" w:rsidP="00443AA9">
      <w:pPr>
        <w:ind w:left="567" w:right="560"/>
        <w:jc w:val="right"/>
        <w:rPr>
          <w:rFonts w:cs="Arial"/>
          <w:sz w:val="20"/>
          <w:shd w:val="clear" w:color="auto" w:fill="FFFFFF"/>
        </w:rPr>
      </w:pPr>
      <w:r w:rsidRPr="00911998">
        <w:rPr>
          <w:rFonts w:cs="Arial"/>
          <w:sz w:val="20"/>
        </w:rPr>
        <w:t>[Soulignements ajoutés]</w:t>
      </w:r>
    </w:p>
    <w:p w14:paraId="44430BBC" w14:textId="77777777" w:rsidR="00161859" w:rsidRPr="00911998" w:rsidRDefault="00161859">
      <w:pPr>
        <w:pStyle w:val="Notedebasdepage"/>
        <w:rPr>
          <w:rFonts w:cs="Arial"/>
        </w:rPr>
      </w:pPr>
    </w:p>
  </w:footnote>
  <w:footnote w:id="73">
    <w:p w14:paraId="3EE90001" w14:textId="40E0CC84" w:rsidR="008D2EBB" w:rsidRPr="00911998" w:rsidRDefault="008D2EB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Voir par analogie : </w:t>
      </w:r>
      <w:r w:rsidRPr="00911998">
        <w:rPr>
          <w:rFonts w:cs="Arial"/>
          <w:i/>
          <w:iCs/>
        </w:rPr>
        <w:t xml:space="preserve">6362222 Canada </w:t>
      </w:r>
      <w:proofErr w:type="spellStart"/>
      <w:r w:rsidRPr="00911998">
        <w:rPr>
          <w:rFonts w:cs="Arial"/>
          <w:i/>
          <w:iCs/>
        </w:rPr>
        <w:t>inc.</w:t>
      </w:r>
      <w:proofErr w:type="spellEnd"/>
      <w:r w:rsidRPr="00911998">
        <w:rPr>
          <w:rFonts w:cs="Arial"/>
          <w:i/>
          <w:iCs/>
        </w:rPr>
        <w:t> c. </w:t>
      </w:r>
      <w:proofErr w:type="spellStart"/>
      <w:r w:rsidRPr="00911998">
        <w:rPr>
          <w:rFonts w:cs="Arial"/>
          <w:i/>
          <w:iCs/>
        </w:rPr>
        <w:t>Prelco</w:t>
      </w:r>
      <w:proofErr w:type="spellEnd"/>
      <w:r w:rsidRPr="00911998">
        <w:rPr>
          <w:rFonts w:cs="Arial"/>
          <w:i/>
          <w:iCs/>
        </w:rPr>
        <w:t xml:space="preserve"> </w:t>
      </w:r>
      <w:proofErr w:type="spellStart"/>
      <w:r w:rsidRPr="00911998">
        <w:rPr>
          <w:rFonts w:cs="Arial"/>
          <w:i/>
          <w:iCs/>
        </w:rPr>
        <w:t>inc.</w:t>
      </w:r>
      <w:proofErr w:type="spellEnd"/>
      <w:r w:rsidRPr="00911998">
        <w:rPr>
          <w:rFonts w:cs="Arial"/>
        </w:rPr>
        <w:t>, 2021</w:t>
      </w:r>
      <w:r w:rsidR="0040473D" w:rsidRPr="00911998">
        <w:rPr>
          <w:rFonts w:cs="Arial"/>
        </w:rPr>
        <w:t> </w:t>
      </w:r>
      <w:r w:rsidRPr="00911998">
        <w:rPr>
          <w:rFonts w:cs="Arial"/>
        </w:rPr>
        <w:t>CSC 39, par.</w:t>
      </w:r>
      <w:r w:rsidR="0040473D" w:rsidRPr="00911998">
        <w:rPr>
          <w:rFonts w:cs="Arial"/>
        </w:rPr>
        <w:t xml:space="preserve"> </w:t>
      </w:r>
      <w:r w:rsidRPr="00911998">
        <w:rPr>
          <w:rFonts w:cs="Arial"/>
        </w:rPr>
        <w:t>91.</w:t>
      </w:r>
    </w:p>
  </w:footnote>
  <w:footnote w:id="74">
    <w:p w14:paraId="33A8C886" w14:textId="7AFA281F" w:rsidR="00CB783B" w:rsidRPr="00911998" w:rsidRDefault="00CB783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 xml:space="preserve">Bell </w:t>
      </w:r>
      <w:proofErr w:type="spellStart"/>
      <w:r w:rsidRPr="00911998">
        <w:rPr>
          <w:rFonts w:cs="Arial"/>
          <w:i/>
          <w:iCs/>
        </w:rPr>
        <w:t>ExpressVu</w:t>
      </w:r>
      <w:proofErr w:type="spellEnd"/>
      <w:r w:rsidRPr="00911998">
        <w:rPr>
          <w:rFonts w:cs="Arial"/>
          <w:i/>
          <w:iCs/>
        </w:rPr>
        <w:t xml:space="preserve"> Limited Partnership c. Rex</w:t>
      </w:r>
      <w:r w:rsidRPr="00911998">
        <w:rPr>
          <w:rFonts w:cs="Arial"/>
        </w:rPr>
        <w:t>, 2002 CSC</w:t>
      </w:r>
      <w:r w:rsidR="0048708A" w:rsidRPr="00911998">
        <w:rPr>
          <w:rFonts w:cs="Arial"/>
        </w:rPr>
        <w:t> </w:t>
      </w:r>
      <w:r w:rsidRPr="00911998">
        <w:rPr>
          <w:rFonts w:cs="Arial"/>
        </w:rPr>
        <w:t>42, par. </w:t>
      </w:r>
      <w:r w:rsidR="00220B24" w:rsidRPr="00911998">
        <w:rPr>
          <w:rFonts w:cs="Arial"/>
        </w:rPr>
        <w:t>62</w:t>
      </w:r>
      <w:r w:rsidR="006338FB" w:rsidRPr="00911998">
        <w:rPr>
          <w:rFonts w:cs="Arial"/>
          <w:shd w:val="clear" w:color="auto" w:fill="FFFFFF"/>
        </w:rPr>
        <w:t> ;</w:t>
      </w:r>
      <w:r w:rsidR="00220B24" w:rsidRPr="00911998">
        <w:rPr>
          <w:rFonts w:cs="Arial"/>
        </w:rPr>
        <w:t xml:space="preserve"> voir aussi </w:t>
      </w:r>
      <w:r w:rsidR="006338FB" w:rsidRPr="00911998">
        <w:rPr>
          <w:rFonts w:cs="Arial"/>
        </w:rPr>
        <w:t xml:space="preserve">les </w:t>
      </w:r>
      <w:r w:rsidR="00220B24" w:rsidRPr="00911998">
        <w:rPr>
          <w:rFonts w:cs="Arial"/>
        </w:rPr>
        <w:t>par. 63</w:t>
      </w:r>
      <w:r w:rsidR="00220B24" w:rsidRPr="00911998">
        <w:rPr>
          <w:rFonts w:cs="Arial"/>
        </w:rPr>
        <w:noBreakHyphen/>
        <w:t>66</w:t>
      </w:r>
      <w:r w:rsidR="0048708A" w:rsidRPr="00911998">
        <w:rPr>
          <w:rFonts w:cs="Arial"/>
        </w:rPr>
        <w:t> </w:t>
      </w:r>
      <w:r w:rsidR="00220B24" w:rsidRPr="00911998">
        <w:rPr>
          <w:rFonts w:cs="Arial"/>
        </w:rPr>
        <w:t xml:space="preserve">; </w:t>
      </w:r>
      <w:r w:rsidR="00220B24" w:rsidRPr="00911998">
        <w:rPr>
          <w:rFonts w:cs="Arial"/>
          <w:i/>
          <w:iCs/>
        </w:rPr>
        <w:t xml:space="preserve">La Presse </w:t>
      </w:r>
      <w:proofErr w:type="spellStart"/>
      <w:r w:rsidR="00220B24" w:rsidRPr="00911998">
        <w:rPr>
          <w:rFonts w:cs="Arial"/>
          <w:i/>
          <w:iCs/>
        </w:rPr>
        <w:t>inc.</w:t>
      </w:r>
      <w:proofErr w:type="spellEnd"/>
      <w:r w:rsidR="00220B24" w:rsidRPr="00911998">
        <w:rPr>
          <w:rFonts w:cs="Arial"/>
          <w:i/>
          <w:iCs/>
        </w:rPr>
        <w:t> c. Québec</w:t>
      </w:r>
      <w:r w:rsidR="00220B24" w:rsidRPr="00911998">
        <w:rPr>
          <w:rFonts w:cs="Arial"/>
        </w:rPr>
        <w:t>, 2023 CSC</w:t>
      </w:r>
      <w:r w:rsidR="0048708A" w:rsidRPr="00911998">
        <w:rPr>
          <w:rFonts w:cs="Arial"/>
        </w:rPr>
        <w:t> </w:t>
      </w:r>
      <w:r w:rsidR="00220B24" w:rsidRPr="00911998">
        <w:rPr>
          <w:rFonts w:cs="Arial"/>
        </w:rPr>
        <w:t>22, par. 24 et 58</w:t>
      </w:r>
      <w:r w:rsidR="0048708A" w:rsidRPr="00911998">
        <w:rPr>
          <w:rFonts w:cs="Arial"/>
        </w:rPr>
        <w:t> </w:t>
      </w:r>
      <w:r w:rsidR="005C7223" w:rsidRPr="00911998">
        <w:rPr>
          <w:rFonts w:cs="Arial"/>
        </w:rPr>
        <w:t xml:space="preserve">; et </w:t>
      </w:r>
      <w:r w:rsidR="005C7223" w:rsidRPr="00911998">
        <w:rPr>
          <w:rFonts w:cs="Arial"/>
          <w:i/>
          <w:iCs/>
        </w:rPr>
        <w:t xml:space="preserve">Harvard </w:t>
      </w:r>
      <w:proofErr w:type="spellStart"/>
      <w:r w:rsidR="005C7223" w:rsidRPr="00911998">
        <w:rPr>
          <w:rFonts w:cs="Arial"/>
          <w:i/>
          <w:iCs/>
        </w:rPr>
        <w:t>College</w:t>
      </w:r>
      <w:proofErr w:type="spellEnd"/>
      <w:r w:rsidR="005C7223" w:rsidRPr="00911998">
        <w:rPr>
          <w:rFonts w:cs="Arial"/>
          <w:i/>
          <w:iCs/>
        </w:rPr>
        <w:t> c. Canada (Commissaire aux brevets)</w:t>
      </w:r>
      <w:r w:rsidR="005C7223" w:rsidRPr="00911998">
        <w:rPr>
          <w:rFonts w:cs="Arial"/>
        </w:rPr>
        <w:t>, 2002</w:t>
      </w:r>
      <w:r w:rsidR="0048708A" w:rsidRPr="00911998">
        <w:rPr>
          <w:rFonts w:cs="Arial"/>
        </w:rPr>
        <w:t> </w:t>
      </w:r>
      <w:r w:rsidR="005C7223" w:rsidRPr="00911998">
        <w:rPr>
          <w:rFonts w:cs="Arial"/>
        </w:rPr>
        <w:t>CSC</w:t>
      </w:r>
      <w:r w:rsidR="0048708A" w:rsidRPr="00911998">
        <w:rPr>
          <w:rFonts w:cs="Arial"/>
        </w:rPr>
        <w:t> </w:t>
      </w:r>
      <w:r w:rsidR="005C7223" w:rsidRPr="00911998">
        <w:rPr>
          <w:rFonts w:cs="Arial"/>
        </w:rPr>
        <w:t>76, par. 178</w:t>
      </w:r>
      <w:r w:rsidR="00220B24" w:rsidRPr="00911998">
        <w:rPr>
          <w:rFonts w:cs="Arial"/>
        </w:rPr>
        <w:t>.</w:t>
      </w:r>
    </w:p>
  </w:footnote>
  <w:footnote w:id="75">
    <w:p w14:paraId="6D01A6D5" w14:textId="55086CFE" w:rsidR="00D66BD5" w:rsidRPr="00911998" w:rsidRDefault="00D66BD5" w:rsidP="00D66BD5">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Précité, par. 28</w:t>
      </w:r>
      <w:r w:rsidR="0048708A" w:rsidRPr="00911998">
        <w:rPr>
          <w:rFonts w:cs="Arial"/>
        </w:rPr>
        <w:t> </w:t>
      </w:r>
      <w:r w:rsidRPr="00911998">
        <w:rPr>
          <w:rFonts w:cs="Arial"/>
        </w:rPr>
        <w:t xml:space="preserve">; voir aussi : </w:t>
      </w:r>
      <w:r w:rsidRPr="00911998">
        <w:rPr>
          <w:rFonts w:cs="Arial"/>
          <w:i/>
          <w:iCs/>
          <w:shd w:val="clear" w:color="auto" w:fill="FFFFFF"/>
        </w:rPr>
        <w:t>Droit de la famille — 11394</w:t>
      </w:r>
      <w:r w:rsidRPr="00911998">
        <w:rPr>
          <w:rFonts w:cs="Arial"/>
          <w:shd w:val="clear" w:color="auto" w:fill="FFFFFF"/>
        </w:rPr>
        <w:t>, précité, par. 57</w:t>
      </w:r>
      <w:r w:rsidRPr="00911998">
        <w:rPr>
          <w:rFonts w:cs="Arial"/>
          <w:shd w:val="clear" w:color="auto" w:fill="FFFFFF"/>
        </w:rPr>
        <w:noBreakHyphen/>
        <w:t>58</w:t>
      </w:r>
      <w:r w:rsidR="0048708A" w:rsidRPr="00911998">
        <w:rPr>
          <w:rFonts w:cs="Arial"/>
          <w:shd w:val="clear" w:color="auto" w:fill="FFFFFF"/>
        </w:rPr>
        <w:t> </w:t>
      </w:r>
      <w:r w:rsidRPr="00911998">
        <w:rPr>
          <w:rFonts w:cs="Arial"/>
          <w:shd w:val="clear" w:color="auto" w:fill="FFFFFF"/>
        </w:rPr>
        <w:t xml:space="preserve">; </w:t>
      </w:r>
      <w:r w:rsidRPr="00911998">
        <w:rPr>
          <w:rFonts w:cs="Arial"/>
          <w:i/>
          <w:iCs/>
          <w:shd w:val="clear" w:color="auto" w:fill="FFFFFF"/>
        </w:rPr>
        <w:t>Droit de la famille — 191677</w:t>
      </w:r>
      <w:r w:rsidRPr="00911998">
        <w:rPr>
          <w:rFonts w:cs="Arial"/>
          <w:shd w:val="clear" w:color="auto" w:fill="FFFFFF"/>
        </w:rPr>
        <w:t>, précité, par. 106 et 169.</w:t>
      </w:r>
    </w:p>
  </w:footnote>
  <w:footnote w:id="76">
    <w:p w14:paraId="0AC15897" w14:textId="76A43960" w:rsidR="00320027" w:rsidRPr="00911998" w:rsidRDefault="00320027" w:rsidP="00320027">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B. Moore (</w:t>
      </w:r>
      <w:proofErr w:type="spellStart"/>
      <w:r w:rsidRPr="00911998">
        <w:rPr>
          <w:rFonts w:cs="Arial"/>
        </w:rPr>
        <w:t>dir</w:t>
      </w:r>
      <w:proofErr w:type="spellEnd"/>
      <w:r w:rsidRPr="00911998">
        <w:rPr>
          <w:rFonts w:cs="Arial"/>
        </w:rPr>
        <w:t xml:space="preserve">.) </w:t>
      </w:r>
      <w:r w:rsidRPr="00911998">
        <w:rPr>
          <w:rFonts w:cs="Arial"/>
          <w:i/>
          <w:iCs/>
        </w:rPr>
        <w:t xml:space="preserve">Code civil du Québec : </w:t>
      </w:r>
      <w:r w:rsidR="008F2042" w:rsidRPr="00911998">
        <w:rPr>
          <w:rFonts w:cs="Arial"/>
          <w:i/>
          <w:iCs/>
        </w:rPr>
        <w:t>A</w:t>
      </w:r>
      <w:r w:rsidRPr="00911998">
        <w:rPr>
          <w:rFonts w:cs="Arial"/>
          <w:i/>
          <w:iCs/>
        </w:rPr>
        <w:t xml:space="preserve">nnotations – </w:t>
      </w:r>
      <w:r w:rsidR="008F2042" w:rsidRPr="00911998">
        <w:rPr>
          <w:rFonts w:cs="Arial"/>
          <w:i/>
          <w:iCs/>
        </w:rPr>
        <w:t>C</w:t>
      </w:r>
      <w:r w:rsidRPr="00911998">
        <w:rPr>
          <w:rFonts w:cs="Arial"/>
          <w:i/>
          <w:iCs/>
        </w:rPr>
        <w:t>ommentaires</w:t>
      </w:r>
      <w:r w:rsidRPr="00911998">
        <w:rPr>
          <w:rFonts w:cs="Arial"/>
        </w:rPr>
        <w:t xml:space="preserve">, </w:t>
      </w:r>
      <w:r w:rsidR="008F2042" w:rsidRPr="00911998">
        <w:rPr>
          <w:rFonts w:cs="Arial"/>
        </w:rPr>
        <w:t>8</w:t>
      </w:r>
      <w:r w:rsidRPr="00911998">
        <w:rPr>
          <w:rFonts w:cs="Arial"/>
          <w:vertAlign w:val="superscript"/>
        </w:rPr>
        <w:t>e</w:t>
      </w:r>
      <w:r w:rsidR="0048708A" w:rsidRPr="00911998">
        <w:rPr>
          <w:rFonts w:cs="Arial"/>
        </w:rPr>
        <w:t> </w:t>
      </w:r>
      <w:r w:rsidRPr="00911998">
        <w:rPr>
          <w:rFonts w:cs="Arial"/>
        </w:rPr>
        <w:t>éd. (Montréal : Yvon Blais, 202</w:t>
      </w:r>
      <w:r w:rsidR="008F2042" w:rsidRPr="00911998">
        <w:rPr>
          <w:rFonts w:cs="Arial"/>
        </w:rPr>
        <w:t>3</w:t>
      </w:r>
      <w:r w:rsidRPr="00911998">
        <w:rPr>
          <w:rFonts w:cs="Arial"/>
        </w:rPr>
        <w:t>), art. 33</w:t>
      </w:r>
      <w:r w:rsidR="0048708A" w:rsidRPr="00911998">
        <w:rPr>
          <w:rFonts w:cs="Arial"/>
        </w:rPr>
        <w:t> </w:t>
      </w:r>
      <w:r w:rsidRPr="00911998">
        <w:rPr>
          <w:rFonts w:cs="Arial"/>
        </w:rPr>
        <w:t>; voir aussi : C.</w:t>
      </w:r>
      <w:r w:rsidR="0048708A" w:rsidRPr="00911998">
        <w:rPr>
          <w:rFonts w:cs="Arial"/>
        </w:rPr>
        <w:t> </w:t>
      </w:r>
      <w:r w:rsidRPr="00911998">
        <w:rPr>
          <w:rFonts w:cs="Arial"/>
        </w:rPr>
        <w:t xml:space="preserve">Lavallée, </w:t>
      </w:r>
      <w:r w:rsidRPr="00911998">
        <w:rPr>
          <w:rFonts w:cs="Arial"/>
          <w:i/>
          <w:iCs/>
        </w:rPr>
        <w:t>L’enfant, ses familles et les institutions de l’adoption : regards sur le droit français et le droit québécois</w:t>
      </w:r>
      <w:r w:rsidRPr="00911998">
        <w:rPr>
          <w:rFonts w:cs="Arial"/>
        </w:rPr>
        <w:t xml:space="preserve"> (Montréal : Wilson &amp; Lafleur, 2005), par. 347.</w:t>
      </w:r>
      <w:r w:rsidRPr="00911998">
        <w:rPr>
          <w:rFonts w:cs="Arial"/>
          <w:i/>
          <w:iCs/>
        </w:rPr>
        <w:t xml:space="preserve"> </w:t>
      </w:r>
    </w:p>
  </w:footnote>
  <w:footnote w:id="77">
    <w:p w14:paraId="759EC659" w14:textId="25EF6BAE" w:rsidR="003768B2" w:rsidRPr="00911998" w:rsidRDefault="003768B2">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shd w:val="clear" w:color="auto" w:fill="FFFFFF"/>
        </w:rPr>
        <w:t>Droit de la famille — 131294</w:t>
      </w:r>
      <w:r w:rsidRPr="00911998">
        <w:rPr>
          <w:rFonts w:cs="Arial"/>
          <w:shd w:val="clear" w:color="auto" w:fill="FFFFFF"/>
        </w:rPr>
        <w:t>, 2013</w:t>
      </w:r>
      <w:r w:rsidR="0048708A" w:rsidRPr="00911998">
        <w:rPr>
          <w:rFonts w:cs="Arial"/>
          <w:shd w:val="clear" w:color="auto" w:fill="FFFFFF"/>
        </w:rPr>
        <w:t> </w:t>
      </w:r>
      <w:r w:rsidRPr="00911998">
        <w:rPr>
          <w:rFonts w:cs="Arial"/>
          <w:shd w:val="clear" w:color="auto" w:fill="FFFFFF"/>
        </w:rPr>
        <w:t>QCCA</w:t>
      </w:r>
      <w:r w:rsidR="0048708A" w:rsidRPr="00911998">
        <w:rPr>
          <w:rFonts w:cs="Arial"/>
          <w:shd w:val="clear" w:color="auto" w:fill="FFFFFF"/>
        </w:rPr>
        <w:t> </w:t>
      </w:r>
      <w:r w:rsidRPr="00911998">
        <w:rPr>
          <w:rFonts w:cs="Arial"/>
          <w:shd w:val="clear" w:color="auto" w:fill="FFFFFF"/>
        </w:rPr>
        <w:t>883, par. 36</w:t>
      </w:r>
      <w:r w:rsidR="0048708A" w:rsidRPr="00911998">
        <w:rPr>
          <w:rFonts w:cs="Arial"/>
          <w:shd w:val="clear" w:color="auto" w:fill="FFFFFF"/>
        </w:rPr>
        <w:t> </w:t>
      </w:r>
      <w:r w:rsidRPr="00911998">
        <w:rPr>
          <w:rFonts w:cs="Arial"/>
          <w:shd w:val="clear" w:color="auto" w:fill="FFFFFF"/>
        </w:rPr>
        <w:t xml:space="preserve">; </w:t>
      </w:r>
      <w:r w:rsidRPr="00911998">
        <w:rPr>
          <w:rFonts w:cs="Arial"/>
          <w:i/>
          <w:iCs/>
        </w:rPr>
        <w:t xml:space="preserve">Michel c. </w:t>
      </w:r>
      <w:proofErr w:type="spellStart"/>
      <w:r w:rsidRPr="00911998">
        <w:rPr>
          <w:rFonts w:cs="Arial"/>
          <w:i/>
          <w:iCs/>
        </w:rPr>
        <w:t>Graydon</w:t>
      </w:r>
      <w:proofErr w:type="spellEnd"/>
      <w:r w:rsidRPr="00911998">
        <w:rPr>
          <w:rFonts w:cs="Arial"/>
        </w:rPr>
        <w:t>, 2020</w:t>
      </w:r>
      <w:r w:rsidR="0048708A" w:rsidRPr="00911998">
        <w:rPr>
          <w:rFonts w:cs="Arial"/>
        </w:rPr>
        <w:t> </w:t>
      </w:r>
      <w:r w:rsidRPr="00911998">
        <w:rPr>
          <w:rFonts w:cs="Arial"/>
        </w:rPr>
        <w:t>CSC</w:t>
      </w:r>
      <w:r w:rsidR="0048708A" w:rsidRPr="00911998">
        <w:rPr>
          <w:rFonts w:cs="Arial"/>
        </w:rPr>
        <w:t> </w:t>
      </w:r>
      <w:r w:rsidRPr="00911998">
        <w:rPr>
          <w:rFonts w:cs="Arial"/>
        </w:rPr>
        <w:t>24, par. 72 et 102.</w:t>
      </w:r>
    </w:p>
  </w:footnote>
  <w:footnote w:id="78">
    <w:p w14:paraId="14D024F8" w14:textId="1FA15CD3" w:rsidR="00426870" w:rsidRPr="00911998" w:rsidRDefault="00426870">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967B6B" w:rsidRPr="00911998">
        <w:rPr>
          <w:rFonts w:cs="Arial"/>
        </w:rPr>
        <w:t xml:space="preserve">Voir l’article 3 de la </w:t>
      </w:r>
      <w:r w:rsidR="00967B6B" w:rsidRPr="00911998">
        <w:rPr>
          <w:rFonts w:cs="Arial"/>
          <w:i/>
          <w:iCs/>
        </w:rPr>
        <w:t>Convention relative aux droits de l</w:t>
      </w:r>
      <w:r w:rsidR="0048708A" w:rsidRPr="00911998">
        <w:rPr>
          <w:rFonts w:cs="Arial"/>
          <w:i/>
          <w:iCs/>
        </w:rPr>
        <w:t>’</w:t>
      </w:r>
      <w:r w:rsidR="00967B6B" w:rsidRPr="00911998">
        <w:rPr>
          <w:rFonts w:cs="Arial"/>
          <w:i/>
          <w:iCs/>
        </w:rPr>
        <w:t>enfant</w:t>
      </w:r>
      <w:r w:rsidR="00967B6B" w:rsidRPr="00911998">
        <w:rPr>
          <w:rFonts w:cs="Arial"/>
        </w:rPr>
        <w:t xml:space="preserve">, </w:t>
      </w:r>
      <w:r w:rsidR="006338FB" w:rsidRPr="00911998">
        <w:rPr>
          <w:rFonts w:cs="Arial"/>
        </w:rPr>
        <w:t>R.T. Can. 1992, n</w:t>
      </w:r>
      <w:r w:rsidR="006338FB" w:rsidRPr="00911998">
        <w:rPr>
          <w:rFonts w:cs="Arial"/>
          <w:vertAlign w:val="superscript"/>
        </w:rPr>
        <w:t>o</w:t>
      </w:r>
      <w:r w:rsidR="006338FB" w:rsidRPr="00911998">
        <w:rPr>
          <w:rFonts w:cs="Arial"/>
        </w:rPr>
        <w:t> 3 (</w:t>
      </w:r>
      <w:r w:rsidR="00967B6B" w:rsidRPr="00911998">
        <w:rPr>
          <w:rFonts w:cs="Arial"/>
        </w:rPr>
        <w:t>ratifiée par le Canada en 199</w:t>
      </w:r>
      <w:r w:rsidR="008F2042" w:rsidRPr="00911998">
        <w:rPr>
          <w:rFonts w:cs="Arial"/>
        </w:rPr>
        <w:t>1</w:t>
      </w:r>
      <w:r w:rsidR="006338FB" w:rsidRPr="00911998">
        <w:rPr>
          <w:rFonts w:cs="Arial"/>
        </w:rPr>
        <w:t>)</w:t>
      </w:r>
      <w:r w:rsidR="00967B6B" w:rsidRPr="00911998">
        <w:rPr>
          <w:rFonts w:cs="Arial"/>
        </w:rPr>
        <w:t xml:space="preserve">. Sur la présomption de conformité de la législation avec les obligations internationales du Canada voir : </w:t>
      </w:r>
      <w:r w:rsidR="00E16424" w:rsidRPr="00911998">
        <w:rPr>
          <w:rFonts w:cs="Arial"/>
          <w:i/>
          <w:iCs/>
        </w:rPr>
        <w:t>Québec (Commission des droits de la personne et des droits de la jeunesse) c. Directrice de la protection de la jeunesse du CISSS A</w:t>
      </w:r>
      <w:r w:rsidR="00E16424" w:rsidRPr="00911998">
        <w:rPr>
          <w:rFonts w:cs="Arial"/>
        </w:rPr>
        <w:t>, 2024</w:t>
      </w:r>
      <w:r w:rsidR="0048708A" w:rsidRPr="00911998">
        <w:rPr>
          <w:rFonts w:cs="Arial"/>
        </w:rPr>
        <w:t> </w:t>
      </w:r>
      <w:r w:rsidR="00E16424" w:rsidRPr="00911998">
        <w:rPr>
          <w:rFonts w:cs="Arial"/>
        </w:rPr>
        <w:t>CSC</w:t>
      </w:r>
      <w:r w:rsidR="0048708A" w:rsidRPr="00911998">
        <w:rPr>
          <w:rFonts w:cs="Arial"/>
        </w:rPr>
        <w:t> </w:t>
      </w:r>
      <w:r w:rsidR="00E16424" w:rsidRPr="00911998">
        <w:rPr>
          <w:rFonts w:cs="Arial"/>
        </w:rPr>
        <w:t>43, par. 26</w:t>
      </w:r>
      <w:r w:rsidR="0048708A" w:rsidRPr="00911998">
        <w:rPr>
          <w:rFonts w:cs="Arial"/>
        </w:rPr>
        <w:t> </w:t>
      </w:r>
      <w:r w:rsidR="00E16424" w:rsidRPr="00911998">
        <w:rPr>
          <w:rFonts w:cs="Arial"/>
        </w:rPr>
        <w:t xml:space="preserve">; </w:t>
      </w:r>
      <w:r w:rsidR="00967B6B" w:rsidRPr="00911998">
        <w:rPr>
          <w:rFonts w:cs="Arial"/>
          <w:i/>
          <w:iCs/>
        </w:rPr>
        <w:t>R. c. </w:t>
      </w:r>
      <w:proofErr w:type="spellStart"/>
      <w:r w:rsidR="00967B6B" w:rsidRPr="00911998">
        <w:rPr>
          <w:rFonts w:cs="Arial"/>
          <w:i/>
          <w:iCs/>
        </w:rPr>
        <w:t>Appulonappa</w:t>
      </w:r>
      <w:proofErr w:type="spellEnd"/>
      <w:r w:rsidR="00967B6B" w:rsidRPr="00911998">
        <w:rPr>
          <w:rFonts w:cs="Arial"/>
        </w:rPr>
        <w:t>, 2015</w:t>
      </w:r>
      <w:r w:rsidR="0048708A" w:rsidRPr="00911998">
        <w:rPr>
          <w:rFonts w:cs="Arial"/>
        </w:rPr>
        <w:t> </w:t>
      </w:r>
      <w:r w:rsidR="00967B6B" w:rsidRPr="00911998">
        <w:rPr>
          <w:rFonts w:cs="Arial"/>
        </w:rPr>
        <w:t>CSC</w:t>
      </w:r>
      <w:r w:rsidR="0048708A" w:rsidRPr="00911998">
        <w:rPr>
          <w:rFonts w:cs="Arial"/>
        </w:rPr>
        <w:t> </w:t>
      </w:r>
      <w:r w:rsidR="00967B6B" w:rsidRPr="00911998">
        <w:rPr>
          <w:rFonts w:cs="Arial"/>
        </w:rPr>
        <w:t>59</w:t>
      </w:r>
      <w:r w:rsidR="00967B6B" w:rsidRPr="00911998">
        <w:rPr>
          <w:rStyle w:val="sccappellantforrunningheadchar"/>
          <w:rFonts w:cs="Arial"/>
        </w:rPr>
        <w:t>, par. 40</w:t>
      </w:r>
      <w:r w:rsidR="0048708A" w:rsidRPr="00911998">
        <w:rPr>
          <w:rStyle w:val="sccappellantforrunningheadchar"/>
          <w:rFonts w:cs="Arial"/>
        </w:rPr>
        <w:t> </w:t>
      </w:r>
      <w:r w:rsidR="00967B6B" w:rsidRPr="00911998">
        <w:rPr>
          <w:rStyle w:val="sccappellantforrunningheadchar"/>
          <w:rFonts w:cs="Arial"/>
        </w:rPr>
        <w:t xml:space="preserve">; </w:t>
      </w:r>
      <w:r w:rsidR="00967B6B" w:rsidRPr="00911998">
        <w:rPr>
          <w:rFonts w:cs="Arial"/>
          <w:i/>
          <w:iCs/>
        </w:rPr>
        <w:t>R. c. Hape</w:t>
      </w:r>
      <w:r w:rsidR="00967B6B" w:rsidRPr="00911998">
        <w:rPr>
          <w:rFonts w:cs="Arial"/>
        </w:rPr>
        <w:t>, 2007</w:t>
      </w:r>
      <w:r w:rsidR="0048708A" w:rsidRPr="00911998">
        <w:rPr>
          <w:rFonts w:cs="Arial"/>
        </w:rPr>
        <w:t> </w:t>
      </w:r>
      <w:r w:rsidR="00967B6B" w:rsidRPr="00911998">
        <w:rPr>
          <w:rFonts w:cs="Arial"/>
        </w:rPr>
        <w:t>CSC</w:t>
      </w:r>
      <w:r w:rsidR="0048708A" w:rsidRPr="00911998">
        <w:rPr>
          <w:rFonts w:cs="Arial"/>
        </w:rPr>
        <w:t> </w:t>
      </w:r>
      <w:r w:rsidR="00967B6B" w:rsidRPr="00911998">
        <w:rPr>
          <w:rFonts w:cs="Arial"/>
        </w:rPr>
        <w:t>26, par. 53</w:t>
      </w:r>
      <w:r w:rsidR="00967B6B" w:rsidRPr="00911998">
        <w:rPr>
          <w:rFonts w:cs="Arial"/>
        </w:rPr>
        <w:noBreakHyphen/>
        <w:t>54</w:t>
      </w:r>
      <w:r w:rsidR="0048708A" w:rsidRPr="00911998">
        <w:rPr>
          <w:rFonts w:cs="Arial"/>
        </w:rPr>
        <w:t> </w:t>
      </w:r>
      <w:r w:rsidR="00967B6B" w:rsidRPr="00911998">
        <w:rPr>
          <w:rFonts w:cs="Arial"/>
        </w:rPr>
        <w:t xml:space="preserve">; </w:t>
      </w:r>
      <w:r w:rsidR="00AD4753" w:rsidRPr="00911998">
        <w:rPr>
          <w:rFonts w:cs="Arial"/>
          <w:i/>
          <w:iCs/>
        </w:rPr>
        <w:t>Baker c. Canada (</w:t>
      </w:r>
      <w:proofErr w:type="gramStart"/>
      <w:r w:rsidR="00AD4753" w:rsidRPr="00911998">
        <w:rPr>
          <w:rFonts w:cs="Arial"/>
          <w:i/>
          <w:iCs/>
        </w:rPr>
        <w:t>Ministre</w:t>
      </w:r>
      <w:proofErr w:type="gramEnd"/>
      <w:r w:rsidR="00AD4753" w:rsidRPr="00911998">
        <w:rPr>
          <w:rFonts w:cs="Arial"/>
          <w:i/>
          <w:iCs/>
        </w:rPr>
        <w:t xml:space="preserve"> de la Citoyenneté et de l’Immigration)</w:t>
      </w:r>
      <w:r w:rsidR="00AD4753" w:rsidRPr="00911998">
        <w:rPr>
          <w:rFonts w:cs="Arial"/>
        </w:rPr>
        <w:t>, [1999] 2</w:t>
      </w:r>
      <w:r w:rsidR="0048708A" w:rsidRPr="00911998">
        <w:rPr>
          <w:rFonts w:cs="Arial"/>
        </w:rPr>
        <w:t> </w:t>
      </w:r>
      <w:r w:rsidR="00AD4753" w:rsidRPr="00911998">
        <w:rPr>
          <w:rFonts w:cs="Arial"/>
        </w:rPr>
        <w:t>RCS</w:t>
      </w:r>
      <w:r w:rsidR="0048708A" w:rsidRPr="00911998">
        <w:rPr>
          <w:rFonts w:cs="Arial"/>
        </w:rPr>
        <w:t> </w:t>
      </w:r>
      <w:r w:rsidR="00AD4753" w:rsidRPr="00911998">
        <w:rPr>
          <w:rFonts w:cs="Arial"/>
        </w:rPr>
        <w:t>817, par. 70</w:t>
      </w:r>
      <w:r w:rsidR="0018029D" w:rsidRPr="00911998">
        <w:rPr>
          <w:rFonts w:cs="Arial"/>
        </w:rPr>
        <w:t>.</w:t>
      </w:r>
    </w:p>
  </w:footnote>
  <w:footnote w:id="79">
    <w:p w14:paraId="26209F40" w14:textId="2FD9A957" w:rsidR="00E95A85" w:rsidRPr="00911998" w:rsidRDefault="00E95A85">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Conseil canadien pour les réfugiés c. Canada (Citoyenneté et Immigration)</w:t>
      </w:r>
      <w:r w:rsidRPr="00911998">
        <w:rPr>
          <w:rFonts w:cs="Arial"/>
        </w:rPr>
        <w:t>, 2023</w:t>
      </w:r>
      <w:r w:rsidR="009E3ED2" w:rsidRPr="00911998">
        <w:rPr>
          <w:rFonts w:cs="Arial"/>
        </w:rPr>
        <w:t> </w:t>
      </w:r>
      <w:r w:rsidRPr="00911998">
        <w:rPr>
          <w:rFonts w:cs="Arial"/>
        </w:rPr>
        <w:t>CSC</w:t>
      </w:r>
      <w:r w:rsidR="009E3ED2" w:rsidRPr="00911998">
        <w:rPr>
          <w:rFonts w:cs="Arial"/>
        </w:rPr>
        <w:t>, </w:t>
      </w:r>
      <w:r w:rsidRPr="00911998">
        <w:rPr>
          <w:rFonts w:cs="Arial"/>
        </w:rPr>
        <w:t>17, par. 56.</w:t>
      </w:r>
    </w:p>
  </w:footnote>
  <w:footnote w:id="80">
    <w:p w14:paraId="5E4AAEE3" w14:textId="40CDF8CC" w:rsidR="00FF5835" w:rsidRPr="00911998" w:rsidRDefault="00FF5835">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shd w:val="clear" w:color="auto" w:fill="FFFFFF"/>
        </w:rPr>
        <w:t>Nouveau-Brunswick (</w:t>
      </w:r>
      <w:proofErr w:type="gramStart"/>
      <w:r w:rsidRPr="00911998">
        <w:rPr>
          <w:rFonts w:cs="Arial"/>
          <w:i/>
          <w:iCs/>
          <w:shd w:val="clear" w:color="auto" w:fill="FFFFFF"/>
        </w:rPr>
        <w:t>Ministre</w:t>
      </w:r>
      <w:proofErr w:type="gramEnd"/>
      <w:r w:rsidRPr="00911998">
        <w:rPr>
          <w:rFonts w:cs="Arial"/>
          <w:i/>
          <w:iCs/>
          <w:shd w:val="clear" w:color="auto" w:fill="FFFFFF"/>
        </w:rPr>
        <w:t xml:space="preserve"> de la Santé et des Services communautaires) c. G. (J.)</w:t>
      </w:r>
      <w:r w:rsidRPr="00911998">
        <w:rPr>
          <w:rFonts w:cs="Arial"/>
          <w:shd w:val="clear" w:color="auto" w:fill="FFFFFF"/>
        </w:rPr>
        <w:t>, [1999] 3</w:t>
      </w:r>
      <w:r w:rsidR="006E74A0" w:rsidRPr="00911998">
        <w:rPr>
          <w:rFonts w:cs="Arial"/>
          <w:shd w:val="clear" w:color="auto" w:fill="FFFFFF"/>
        </w:rPr>
        <w:t> </w:t>
      </w:r>
      <w:r w:rsidRPr="00911998">
        <w:rPr>
          <w:rFonts w:cs="Arial"/>
          <w:shd w:val="clear" w:color="auto" w:fill="FFFFFF"/>
        </w:rPr>
        <w:t>RCS</w:t>
      </w:r>
      <w:r w:rsidR="006E74A0" w:rsidRPr="00911998">
        <w:rPr>
          <w:rFonts w:cs="Arial"/>
          <w:shd w:val="clear" w:color="auto" w:fill="FFFFFF"/>
        </w:rPr>
        <w:t> </w:t>
      </w:r>
      <w:r w:rsidRPr="00911998">
        <w:rPr>
          <w:rFonts w:cs="Arial"/>
          <w:shd w:val="clear" w:color="auto" w:fill="FFFFFF"/>
        </w:rPr>
        <w:t>46, par. 58 [</w:t>
      </w:r>
      <w:r w:rsidRPr="00911998">
        <w:rPr>
          <w:rFonts w:cs="Arial"/>
          <w:b/>
          <w:bCs/>
          <w:i/>
          <w:iCs/>
          <w:shd w:val="clear" w:color="auto" w:fill="FFFFFF"/>
        </w:rPr>
        <w:t>G. (J.)</w:t>
      </w:r>
      <w:r w:rsidRPr="00911998">
        <w:rPr>
          <w:rFonts w:cs="Arial"/>
          <w:shd w:val="clear" w:color="auto" w:fill="FFFFFF"/>
        </w:rPr>
        <w:t>]</w:t>
      </w:r>
      <w:r w:rsidR="006E74A0" w:rsidRPr="00911998">
        <w:rPr>
          <w:rFonts w:cs="Arial"/>
          <w:shd w:val="clear" w:color="auto" w:fill="FFFFFF"/>
        </w:rPr>
        <w:t> </w:t>
      </w:r>
      <w:r w:rsidRPr="00911998">
        <w:rPr>
          <w:rFonts w:cs="Arial"/>
          <w:shd w:val="clear" w:color="auto" w:fill="FFFFFF"/>
        </w:rPr>
        <w:t xml:space="preserve">; </w:t>
      </w:r>
      <w:proofErr w:type="spellStart"/>
      <w:r w:rsidRPr="00911998">
        <w:rPr>
          <w:rFonts w:cs="Arial"/>
          <w:i/>
          <w:iCs/>
          <w:shd w:val="clear" w:color="auto" w:fill="FFFFFF"/>
        </w:rPr>
        <w:t>Blencoe</w:t>
      </w:r>
      <w:proofErr w:type="spellEnd"/>
      <w:r w:rsidRPr="00911998">
        <w:rPr>
          <w:rFonts w:cs="Arial"/>
          <w:i/>
          <w:iCs/>
          <w:shd w:val="clear" w:color="auto" w:fill="FFFFFF"/>
        </w:rPr>
        <w:t xml:space="preserve"> c. Colombie-Britannique (Human </w:t>
      </w:r>
      <w:proofErr w:type="spellStart"/>
      <w:r w:rsidRPr="00911998">
        <w:rPr>
          <w:rFonts w:cs="Arial"/>
          <w:i/>
          <w:iCs/>
          <w:shd w:val="clear" w:color="auto" w:fill="FFFFFF"/>
        </w:rPr>
        <w:t>Rights</w:t>
      </w:r>
      <w:proofErr w:type="spellEnd"/>
      <w:r w:rsidRPr="00911998">
        <w:rPr>
          <w:rFonts w:cs="Arial"/>
          <w:i/>
          <w:iCs/>
          <w:shd w:val="clear" w:color="auto" w:fill="FFFFFF"/>
        </w:rPr>
        <w:t xml:space="preserve"> Commission)</w:t>
      </w:r>
      <w:r w:rsidRPr="00911998">
        <w:rPr>
          <w:rFonts w:cs="Arial"/>
          <w:shd w:val="clear" w:color="auto" w:fill="FFFFFF"/>
        </w:rPr>
        <w:t>, 2000</w:t>
      </w:r>
      <w:r w:rsidR="006E74A0" w:rsidRPr="00911998">
        <w:rPr>
          <w:rFonts w:cs="Arial"/>
          <w:shd w:val="clear" w:color="auto" w:fill="FFFFFF"/>
        </w:rPr>
        <w:t> </w:t>
      </w:r>
      <w:r w:rsidRPr="00911998">
        <w:rPr>
          <w:rFonts w:cs="Arial"/>
          <w:shd w:val="clear" w:color="auto" w:fill="FFFFFF"/>
        </w:rPr>
        <w:t>CSC</w:t>
      </w:r>
      <w:r w:rsidR="006E74A0" w:rsidRPr="00911998">
        <w:rPr>
          <w:rFonts w:cs="Arial"/>
          <w:shd w:val="clear" w:color="auto" w:fill="FFFFFF"/>
        </w:rPr>
        <w:t> </w:t>
      </w:r>
      <w:r w:rsidRPr="00911998">
        <w:rPr>
          <w:rFonts w:cs="Arial"/>
          <w:shd w:val="clear" w:color="auto" w:fill="FFFFFF"/>
        </w:rPr>
        <w:t>44, par. 55 [</w:t>
      </w:r>
      <w:proofErr w:type="spellStart"/>
      <w:r w:rsidRPr="00911998">
        <w:rPr>
          <w:rFonts w:cs="Arial"/>
          <w:b/>
          <w:bCs/>
          <w:i/>
          <w:iCs/>
          <w:shd w:val="clear" w:color="auto" w:fill="FFFFFF"/>
        </w:rPr>
        <w:t>Blencoe</w:t>
      </w:r>
      <w:proofErr w:type="spellEnd"/>
      <w:r w:rsidRPr="00911998">
        <w:rPr>
          <w:rFonts w:cs="Arial"/>
          <w:shd w:val="clear" w:color="auto" w:fill="FFFFFF"/>
        </w:rPr>
        <w:t>]</w:t>
      </w:r>
      <w:r w:rsidR="006E74A0" w:rsidRPr="00911998">
        <w:rPr>
          <w:rFonts w:cs="Arial"/>
          <w:shd w:val="clear" w:color="auto" w:fill="FFFFFF"/>
        </w:rPr>
        <w:t> </w:t>
      </w:r>
      <w:r w:rsidRPr="00911998">
        <w:rPr>
          <w:rFonts w:cs="Arial"/>
          <w:shd w:val="clear" w:color="auto" w:fill="FFFFFF"/>
        </w:rPr>
        <w:t xml:space="preserve">; </w:t>
      </w:r>
      <w:r w:rsidRPr="00911998">
        <w:rPr>
          <w:rFonts w:cs="Arial"/>
          <w:i/>
          <w:iCs/>
          <w:shd w:val="clear" w:color="auto" w:fill="FFFFFF"/>
        </w:rPr>
        <w:t>Office des services à l</w:t>
      </w:r>
      <w:r w:rsidR="006E74A0" w:rsidRPr="00911998">
        <w:rPr>
          <w:rFonts w:cs="Arial"/>
          <w:i/>
          <w:iCs/>
          <w:shd w:val="clear" w:color="auto" w:fill="FFFFFF"/>
        </w:rPr>
        <w:t>’</w:t>
      </w:r>
      <w:r w:rsidRPr="00911998">
        <w:rPr>
          <w:rFonts w:cs="Arial"/>
          <w:i/>
          <w:iCs/>
          <w:shd w:val="clear" w:color="auto" w:fill="FFFFFF"/>
        </w:rPr>
        <w:t>enfant et à la famille de Winnipeg c. K.L.W.</w:t>
      </w:r>
      <w:r w:rsidRPr="00911998">
        <w:rPr>
          <w:rFonts w:cs="Arial"/>
          <w:shd w:val="clear" w:color="auto" w:fill="FFFFFF"/>
        </w:rPr>
        <w:t>, 2000</w:t>
      </w:r>
      <w:r w:rsidR="006E74A0" w:rsidRPr="00911998">
        <w:rPr>
          <w:rFonts w:cs="Arial"/>
          <w:shd w:val="clear" w:color="auto" w:fill="FFFFFF"/>
        </w:rPr>
        <w:t> </w:t>
      </w:r>
      <w:r w:rsidRPr="00911998">
        <w:rPr>
          <w:rFonts w:cs="Arial"/>
          <w:shd w:val="clear" w:color="auto" w:fill="FFFFFF"/>
        </w:rPr>
        <w:t>CSC</w:t>
      </w:r>
      <w:r w:rsidR="006E74A0" w:rsidRPr="00911998">
        <w:rPr>
          <w:rFonts w:cs="Arial"/>
          <w:shd w:val="clear" w:color="auto" w:fill="FFFFFF"/>
        </w:rPr>
        <w:t> </w:t>
      </w:r>
      <w:r w:rsidRPr="00911998">
        <w:rPr>
          <w:rFonts w:cs="Arial"/>
          <w:shd w:val="clear" w:color="auto" w:fill="FFFFFF"/>
        </w:rPr>
        <w:t>48, par. 85 [</w:t>
      </w:r>
      <w:r w:rsidRPr="00911998">
        <w:rPr>
          <w:rFonts w:cs="Arial"/>
          <w:b/>
          <w:bCs/>
          <w:i/>
          <w:iCs/>
          <w:shd w:val="clear" w:color="auto" w:fill="FFFFFF"/>
        </w:rPr>
        <w:t>K.L.W.</w:t>
      </w:r>
      <w:r w:rsidRPr="00911998">
        <w:rPr>
          <w:rFonts w:cs="Arial"/>
          <w:shd w:val="clear" w:color="auto" w:fill="FFFFFF"/>
        </w:rPr>
        <w:t xml:space="preserve">]. </w:t>
      </w:r>
    </w:p>
  </w:footnote>
  <w:footnote w:id="81">
    <w:p w14:paraId="79E22883" w14:textId="65301861" w:rsidR="003F5337" w:rsidRPr="00911998" w:rsidRDefault="003F5337">
      <w:pPr>
        <w:pStyle w:val="Notedebasdepage"/>
        <w:rPr>
          <w:rFonts w:cs="Arial"/>
          <w:i/>
          <w:iCs/>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G. (J.)</w:t>
      </w:r>
      <w:r w:rsidRPr="00911998">
        <w:rPr>
          <w:rFonts w:cs="Arial"/>
        </w:rPr>
        <w:t>, précité, par. 60</w:t>
      </w:r>
      <w:r w:rsidR="006E74A0" w:rsidRPr="00911998">
        <w:rPr>
          <w:rFonts w:cs="Arial"/>
        </w:rPr>
        <w:t> </w:t>
      </w:r>
      <w:r w:rsidRPr="00911998">
        <w:rPr>
          <w:rFonts w:cs="Arial"/>
        </w:rPr>
        <w:t>; </w:t>
      </w:r>
      <w:r w:rsidR="009260C0" w:rsidRPr="00911998">
        <w:rPr>
          <w:rFonts w:cs="Arial"/>
          <w:i/>
          <w:iCs/>
        </w:rPr>
        <w:t>K.L.W.</w:t>
      </w:r>
      <w:r w:rsidR="009260C0" w:rsidRPr="00911998">
        <w:rPr>
          <w:rFonts w:cs="Arial"/>
        </w:rPr>
        <w:t>, précité, par. 85</w:t>
      </w:r>
      <w:r w:rsidR="006E74A0" w:rsidRPr="00911998">
        <w:rPr>
          <w:rFonts w:cs="Arial"/>
        </w:rPr>
        <w:t> </w:t>
      </w:r>
      <w:r w:rsidR="00B457AA" w:rsidRPr="00911998">
        <w:rPr>
          <w:rFonts w:cs="Arial"/>
        </w:rPr>
        <w:t xml:space="preserve">; </w:t>
      </w:r>
      <w:r w:rsidR="00B457AA" w:rsidRPr="00911998">
        <w:rPr>
          <w:rFonts w:cs="Arial"/>
          <w:i/>
          <w:iCs/>
        </w:rPr>
        <w:t>Carter c. Canada (Procureur général)</w:t>
      </w:r>
      <w:r w:rsidR="00B457AA" w:rsidRPr="00911998">
        <w:rPr>
          <w:rFonts w:cs="Arial"/>
        </w:rPr>
        <w:t>, 2015</w:t>
      </w:r>
      <w:r w:rsidR="006E74A0" w:rsidRPr="00911998">
        <w:rPr>
          <w:rFonts w:cs="Arial"/>
        </w:rPr>
        <w:t> </w:t>
      </w:r>
      <w:r w:rsidR="00B457AA" w:rsidRPr="00911998">
        <w:rPr>
          <w:rFonts w:cs="Arial"/>
        </w:rPr>
        <w:t>CSC</w:t>
      </w:r>
      <w:r w:rsidR="006E74A0" w:rsidRPr="00911998">
        <w:rPr>
          <w:rFonts w:cs="Arial"/>
        </w:rPr>
        <w:t> </w:t>
      </w:r>
      <w:r w:rsidR="00B457AA" w:rsidRPr="00911998">
        <w:rPr>
          <w:rFonts w:cs="Arial"/>
        </w:rPr>
        <w:t>5, par. 64 [</w:t>
      </w:r>
      <w:r w:rsidR="00B457AA" w:rsidRPr="00911998">
        <w:rPr>
          <w:rFonts w:cs="Arial"/>
          <w:b/>
          <w:bCs/>
          <w:i/>
          <w:iCs/>
        </w:rPr>
        <w:t>Carter</w:t>
      </w:r>
      <w:r w:rsidR="00B457AA" w:rsidRPr="00911998">
        <w:rPr>
          <w:rFonts w:cs="Arial"/>
        </w:rPr>
        <w:t>].</w:t>
      </w:r>
    </w:p>
  </w:footnote>
  <w:footnote w:id="82">
    <w:p w14:paraId="2B728664" w14:textId="51F581BB" w:rsidR="003F5337" w:rsidRPr="00911998" w:rsidRDefault="003F5337">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proofErr w:type="spellStart"/>
      <w:r w:rsidRPr="00911998">
        <w:rPr>
          <w:rFonts w:cs="Arial"/>
          <w:i/>
          <w:iCs/>
        </w:rPr>
        <w:t>Blencoe</w:t>
      </w:r>
      <w:proofErr w:type="spellEnd"/>
      <w:r w:rsidRPr="00911998">
        <w:rPr>
          <w:rFonts w:cs="Arial"/>
        </w:rPr>
        <w:t>, précité, par. 57.</w:t>
      </w:r>
    </w:p>
  </w:footnote>
  <w:footnote w:id="83">
    <w:p w14:paraId="6E9492EA" w14:textId="4884F2EE" w:rsidR="009260C0" w:rsidRPr="00911998" w:rsidRDefault="009260C0">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Le PGQ </w:t>
      </w:r>
      <w:r w:rsidR="00505EB3" w:rsidRPr="00911998">
        <w:rPr>
          <w:rFonts w:cs="Arial"/>
        </w:rPr>
        <w:t xml:space="preserve">soutient que les conséquences </w:t>
      </w:r>
      <w:r w:rsidR="003D4AE6" w:rsidRPr="00911998">
        <w:rPr>
          <w:rFonts w:cs="Arial"/>
        </w:rPr>
        <w:t xml:space="preserve">psychologiques dont se plaignent les Demandeurs ne sont pas imputables à l’État. </w:t>
      </w:r>
      <w:r w:rsidR="00E958C1" w:rsidRPr="00911998">
        <w:rPr>
          <w:rFonts w:cs="Arial"/>
        </w:rPr>
        <w:t xml:space="preserve">À ce titre, l’article 7 de la </w:t>
      </w:r>
      <w:r w:rsidR="00E958C1" w:rsidRPr="00911998">
        <w:rPr>
          <w:rFonts w:cs="Arial"/>
          <w:i/>
          <w:iCs/>
        </w:rPr>
        <w:t xml:space="preserve">Charte canadienne </w:t>
      </w:r>
      <w:r w:rsidR="00E958C1" w:rsidRPr="00911998">
        <w:rPr>
          <w:rFonts w:cs="Arial"/>
        </w:rPr>
        <w:t xml:space="preserve">exige un lien de causalité suffisant </w:t>
      </w:r>
      <w:r w:rsidR="006E74A0" w:rsidRPr="00911998">
        <w:rPr>
          <w:rFonts w:cs="Arial"/>
        </w:rPr>
        <w:t>—</w:t>
      </w:r>
      <w:r w:rsidR="00E64D67" w:rsidRPr="00911998">
        <w:rPr>
          <w:rFonts w:cs="Arial"/>
        </w:rPr>
        <w:t xml:space="preserve"> c’est-à-dire </w:t>
      </w:r>
      <w:r w:rsidR="00BF0DCC" w:rsidRPr="00911998">
        <w:rPr>
          <w:rFonts w:cs="Arial"/>
        </w:rPr>
        <w:t xml:space="preserve">une </w:t>
      </w:r>
      <w:r w:rsidR="00E64D67" w:rsidRPr="00911998">
        <w:rPr>
          <w:rFonts w:cs="Arial"/>
        </w:rPr>
        <w:t xml:space="preserve">cause contributoire suffisante </w:t>
      </w:r>
      <w:r w:rsidR="006E74A0" w:rsidRPr="00911998">
        <w:rPr>
          <w:rFonts w:cs="Arial"/>
        </w:rPr>
        <w:t>—</w:t>
      </w:r>
      <w:r w:rsidR="00E64D67" w:rsidRPr="00911998">
        <w:rPr>
          <w:rFonts w:cs="Arial"/>
        </w:rPr>
        <w:t xml:space="preserve"> </w:t>
      </w:r>
      <w:r w:rsidR="00E958C1" w:rsidRPr="00911998">
        <w:rPr>
          <w:rFonts w:cs="Arial"/>
        </w:rPr>
        <w:t>entre le préjudice subi</w:t>
      </w:r>
      <w:r w:rsidR="00E64D67" w:rsidRPr="00911998">
        <w:rPr>
          <w:rFonts w:cs="Arial"/>
        </w:rPr>
        <w:t xml:space="preserve"> et la disposition contestée (</w:t>
      </w:r>
      <w:r w:rsidR="00E64D67" w:rsidRPr="00911998">
        <w:rPr>
          <w:rFonts w:cs="Arial"/>
          <w:i/>
          <w:iCs/>
        </w:rPr>
        <w:t>Canada (Procureur général)</w:t>
      </w:r>
      <w:r w:rsidR="00037641" w:rsidRPr="00911998">
        <w:rPr>
          <w:rFonts w:cs="Arial"/>
          <w:i/>
          <w:iCs/>
        </w:rPr>
        <w:t xml:space="preserve"> </w:t>
      </w:r>
      <w:r w:rsidR="00E64D67" w:rsidRPr="00911998">
        <w:rPr>
          <w:rFonts w:cs="Arial"/>
          <w:i/>
          <w:iCs/>
        </w:rPr>
        <w:t>c.</w:t>
      </w:r>
      <w:r w:rsidR="00037641" w:rsidRPr="00911998">
        <w:rPr>
          <w:rFonts w:cs="Arial"/>
          <w:i/>
          <w:iCs/>
        </w:rPr>
        <w:t xml:space="preserve"> </w:t>
      </w:r>
      <w:r w:rsidR="00E64D67" w:rsidRPr="00911998">
        <w:rPr>
          <w:rFonts w:cs="Arial"/>
          <w:i/>
          <w:iCs/>
        </w:rPr>
        <w:t>Bedford</w:t>
      </w:r>
      <w:r w:rsidR="00E64D67" w:rsidRPr="00911998">
        <w:rPr>
          <w:rFonts w:cs="Arial"/>
        </w:rPr>
        <w:t>, 2013</w:t>
      </w:r>
      <w:r w:rsidR="006E74A0" w:rsidRPr="00911998">
        <w:rPr>
          <w:rFonts w:cs="Arial"/>
        </w:rPr>
        <w:t> </w:t>
      </w:r>
      <w:r w:rsidR="00E64D67" w:rsidRPr="00911998">
        <w:rPr>
          <w:rFonts w:cs="Arial"/>
        </w:rPr>
        <w:t>CSC</w:t>
      </w:r>
      <w:r w:rsidR="006E74A0" w:rsidRPr="00911998">
        <w:rPr>
          <w:rFonts w:cs="Arial"/>
        </w:rPr>
        <w:t> </w:t>
      </w:r>
      <w:r w:rsidR="00E64D67" w:rsidRPr="00911998">
        <w:rPr>
          <w:rFonts w:cs="Arial"/>
        </w:rPr>
        <w:t>72, par.</w:t>
      </w:r>
      <w:r w:rsidR="00EA1FAB" w:rsidRPr="00911998">
        <w:rPr>
          <w:rFonts w:cs="Arial"/>
        </w:rPr>
        <w:t> </w:t>
      </w:r>
      <w:r w:rsidR="00E64D67" w:rsidRPr="00911998">
        <w:rPr>
          <w:rFonts w:cs="Arial"/>
        </w:rPr>
        <w:t>75</w:t>
      </w:r>
      <w:r w:rsidR="00E64D67" w:rsidRPr="00911998">
        <w:rPr>
          <w:rFonts w:cs="Arial"/>
        </w:rPr>
        <w:noBreakHyphen/>
        <w:t>76</w:t>
      </w:r>
      <w:r w:rsidR="006E74A0" w:rsidRPr="00911998">
        <w:rPr>
          <w:rFonts w:cs="Arial"/>
        </w:rPr>
        <w:t> </w:t>
      </w:r>
      <w:r w:rsidR="00E64D67" w:rsidRPr="00911998">
        <w:rPr>
          <w:rFonts w:cs="Arial"/>
        </w:rPr>
        <w:t>; P. W. Hogg et W. K. Wright,</w:t>
      </w:r>
      <w:r w:rsidR="00EA1FAB" w:rsidRPr="00911998">
        <w:rPr>
          <w:rFonts w:cs="Arial"/>
        </w:rPr>
        <w:t xml:space="preserve"> </w:t>
      </w:r>
      <w:proofErr w:type="spellStart"/>
      <w:r w:rsidR="00E64D67" w:rsidRPr="00911998">
        <w:rPr>
          <w:rFonts w:cs="Arial"/>
          <w:i/>
          <w:iCs/>
        </w:rPr>
        <w:t>Constitutional</w:t>
      </w:r>
      <w:proofErr w:type="spellEnd"/>
      <w:r w:rsidR="00E64D67" w:rsidRPr="00911998">
        <w:rPr>
          <w:rFonts w:cs="Arial"/>
          <w:i/>
          <w:iCs/>
        </w:rPr>
        <w:t xml:space="preserve"> Law of Canada</w:t>
      </w:r>
      <w:r w:rsidR="001B07D3" w:rsidRPr="00911998">
        <w:rPr>
          <w:rFonts w:cs="Arial"/>
        </w:rPr>
        <w:t xml:space="preserve">, </w:t>
      </w:r>
      <w:r w:rsidR="00E64D67" w:rsidRPr="00911998">
        <w:rPr>
          <w:rFonts w:cs="Arial"/>
        </w:rPr>
        <w:t>5</w:t>
      </w:r>
      <w:r w:rsidR="00E64D67" w:rsidRPr="00911998">
        <w:rPr>
          <w:rFonts w:cs="Arial"/>
          <w:vertAlign w:val="superscript"/>
        </w:rPr>
        <w:t>e</w:t>
      </w:r>
      <w:r w:rsidR="00E64D67" w:rsidRPr="00911998">
        <w:rPr>
          <w:rFonts w:cs="Arial"/>
        </w:rPr>
        <w:t> éd. suppl.</w:t>
      </w:r>
      <w:r w:rsidR="001B07D3" w:rsidRPr="00911998">
        <w:rPr>
          <w:rFonts w:cs="Arial"/>
        </w:rPr>
        <w:t xml:space="preserve"> (Toronto : Thomson Reuters, 2024)</w:t>
      </w:r>
      <w:r w:rsidR="00E64D67" w:rsidRPr="00911998">
        <w:rPr>
          <w:rFonts w:cs="Arial"/>
        </w:rPr>
        <w:t>, § </w:t>
      </w:r>
      <w:r w:rsidR="001B07D3" w:rsidRPr="00911998">
        <w:rPr>
          <w:rFonts w:cs="Arial"/>
        </w:rPr>
        <w:t>47</w:t>
      </w:r>
      <w:r w:rsidR="00E64D67" w:rsidRPr="00911998">
        <w:rPr>
          <w:rFonts w:cs="Arial"/>
        </w:rPr>
        <w:t>:</w:t>
      </w:r>
      <w:r w:rsidR="001B07D3" w:rsidRPr="00911998">
        <w:rPr>
          <w:rFonts w:cs="Arial"/>
        </w:rPr>
        <w:t>7:50)</w:t>
      </w:r>
      <w:r w:rsidR="00E64D67" w:rsidRPr="00911998">
        <w:rPr>
          <w:rFonts w:cs="Arial"/>
        </w:rPr>
        <w:t>.</w:t>
      </w:r>
      <w:r w:rsidR="00E958C1" w:rsidRPr="00911998">
        <w:rPr>
          <w:rFonts w:cs="Arial"/>
        </w:rPr>
        <w:t xml:space="preserve"> </w:t>
      </w:r>
      <w:r w:rsidR="003D4AE6" w:rsidRPr="00911998">
        <w:rPr>
          <w:rFonts w:cs="Arial"/>
        </w:rPr>
        <w:t xml:space="preserve">Or, </w:t>
      </w:r>
      <w:r w:rsidR="001B07D3" w:rsidRPr="00911998">
        <w:rPr>
          <w:rFonts w:cs="Arial"/>
        </w:rPr>
        <w:t>p</w:t>
      </w:r>
      <w:r w:rsidR="003D4AE6" w:rsidRPr="00911998">
        <w:rPr>
          <w:rFonts w:cs="Arial"/>
        </w:rPr>
        <w:t>uisque le critère de la gravité de l’atteinte psychologique n’est pas satisfait</w:t>
      </w:r>
      <w:r w:rsidR="001B07D3" w:rsidRPr="00911998">
        <w:rPr>
          <w:rFonts w:cs="Arial"/>
        </w:rPr>
        <w:t xml:space="preserve"> en l’espèce,</w:t>
      </w:r>
      <w:r w:rsidR="003D4AE6" w:rsidRPr="00911998">
        <w:rPr>
          <w:rFonts w:cs="Arial"/>
        </w:rPr>
        <w:t xml:space="preserve"> il n’est pas nécessaire de se prononcer sur la suffisance du lien causal. Le PGQ plaide également que les Demandeurs recherchent une action positive</w:t>
      </w:r>
      <w:r w:rsidR="001B07D3" w:rsidRPr="00911998">
        <w:rPr>
          <w:rFonts w:cs="Arial"/>
        </w:rPr>
        <w:t xml:space="preserve"> de la part de</w:t>
      </w:r>
      <w:r w:rsidR="003D4AE6" w:rsidRPr="00911998">
        <w:rPr>
          <w:rFonts w:cs="Arial"/>
        </w:rPr>
        <w:t xml:space="preserve"> l’État </w:t>
      </w:r>
      <w:r w:rsidR="006E74A0" w:rsidRPr="00911998">
        <w:rPr>
          <w:rFonts w:cs="Arial"/>
        </w:rPr>
        <w:t>—</w:t>
      </w:r>
      <w:r w:rsidR="003D4AE6" w:rsidRPr="00911998">
        <w:rPr>
          <w:rFonts w:cs="Arial"/>
        </w:rPr>
        <w:t xml:space="preserve"> </w:t>
      </w:r>
      <w:r w:rsidR="00BF0DCC" w:rsidRPr="00911998">
        <w:rPr>
          <w:rFonts w:cs="Arial"/>
        </w:rPr>
        <w:t>à savoir</w:t>
      </w:r>
      <w:r w:rsidR="003D4AE6" w:rsidRPr="00911998">
        <w:rPr>
          <w:rFonts w:cs="Arial"/>
        </w:rPr>
        <w:t xml:space="preserve"> la création d</w:t>
      </w:r>
      <w:r w:rsidR="001B07D3" w:rsidRPr="00911998">
        <w:rPr>
          <w:rFonts w:cs="Arial"/>
        </w:rPr>
        <w:t xml:space="preserve">e </w:t>
      </w:r>
      <w:r w:rsidR="003D4AE6" w:rsidRPr="00911998">
        <w:rPr>
          <w:rFonts w:cs="Arial"/>
        </w:rPr>
        <w:t>lien</w:t>
      </w:r>
      <w:r w:rsidR="001B07D3" w:rsidRPr="00911998">
        <w:rPr>
          <w:rFonts w:cs="Arial"/>
        </w:rPr>
        <w:t>s</w:t>
      </w:r>
      <w:r w:rsidR="003D4AE6" w:rsidRPr="00911998">
        <w:rPr>
          <w:rFonts w:cs="Arial"/>
        </w:rPr>
        <w:t xml:space="preserve"> de filiation</w:t>
      </w:r>
      <w:r w:rsidR="001B07D3" w:rsidRPr="00911998">
        <w:rPr>
          <w:rFonts w:cs="Arial"/>
        </w:rPr>
        <w:t xml:space="preserve"> additionnels</w:t>
      </w:r>
      <w:r w:rsidR="003D4AE6" w:rsidRPr="00911998">
        <w:rPr>
          <w:rFonts w:cs="Arial"/>
        </w:rPr>
        <w:t xml:space="preserve">. Selon le PGQ, l’article 7 de la </w:t>
      </w:r>
      <w:r w:rsidR="003D4AE6" w:rsidRPr="00911998">
        <w:rPr>
          <w:rFonts w:cs="Arial"/>
          <w:i/>
          <w:iCs/>
        </w:rPr>
        <w:t xml:space="preserve">Charte </w:t>
      </w:r>
      <w:r w:rsidR="003D4AE6" w:rsidRPr="00911998">
        <w:rPr>
          <w:rFonts w:cs="Arial"/>
        </w:rPr>
        <w:t xml:space="preserve">n’impose aucune obligation positive à l’État. Dans l’arrêt </w:t>
      </w:r>
      <w:r w:rsidR="003D4AE6" w:rsidRPr="00911998">
        <w:rPr>
          <w:rFonts w:cs="Arial"/>
          <w:i/>
          <w:iCs/>
        </w:rPr>
        <w:t>Gosselin c. Québec (Procureur général)</w:t>
      </w:r>
      <w:r w:rsidR="003D4AE6" w:rsidRPr="00911998">
        <w:rPr>
          <w:rFonts w:cs="Arial"/>
        </w:rPr>
        <w:t>, 2002</w:t>
      </w:r>
      <w:r w:rsidR="006E74A0" w:rsidRPr="00911998">
        <w:rPr>
          <w:rFonts w:cs="Arial"/>
        </w:rPr>
        <w:t> </w:t>
      </w:r>
      <w:r w:rsidR="003D4AE6" w:rsidRPr="00911998">
        <w:rPr>
          <w:rFonts w:cs="Arial"/>
        </w:rPr>
        <w:t>CSC</w:t>
      </w:r>
      <w:r w:rsidR="006E74A0" w:rsidRPr="00911998">
        <w:rPr>
          <w:rFonts w:cs="Arial"/>
        </w:rPr>
        <w:t> </w:t>
      </w:r>
      <w:r w:rsidR="003D4AE6" w:rsidRPr="00911998">
        <w:rPr>
          <w:rFonts w:cs="Arial"/>
        </w:rPr>
        <w:t>84, la majorité de la Cour suprême</w:t>
      </w:r>
      <w:r w:rsidR="0009464C" w:rsidRPr="00911998">
        <w:rPr>
          <w:rFonts w:cs="Arial"/>
        </w:rPr>
        <w:t xml:space="preserve"> mentionne que rien dans la jurisprudence ne tend à indiquer que l’article 7 impose à l’État une obligation positive (par. 81). </w:t>
      </w:r>
      <w:r w:rsidR="00BF0DCC" w:rsidRPr="00911998">
        <w:rPr>
          <w:rFonts w:cs="Arial"/>
        </w:rPr>
        <w:t>Cependant</w:t>
      </w:r>
      <w:r w:rsidR="0009464C" w:rsidRPr="00911998">
        <w:rPr>
          <w:rFonts w:cs="Arial"/>
        </w:rPr>
        <w:t xml:space="preserve">, elle ne ferme pas catégoriquement la porte à cette possibilité (par. 83). En l’espèce, les Demandeurs n’ont pas démontré </w:t>
      </w:r>
      <w:r w:rsidR="004C51B3" w:rsidRPr="00911998">
        <w:rPr>
          <w:rFonts w:cs="Arial"/>
        </w:rPr>
        <w:t>que</w:t>
      </w:r>
      <w:r w:rsidR="0009464C" w:rsidRPr="00911998">
        <w:rPr>
          <w:rFonts w:cs="Arial"/>
        </w:rPr>
        <w:t xml:space="preserve"> la sécurité de la personne ou la liberté</w:t>
      </w:r>
      <w:r w:rsidR="004C51B3" w:rsidRPr="00911998">
        <w:rPr>
          <w:rFonts w:cs="Arial"/>
        </w:rPr>
        <w:t xml:space="preserve"> son</w:t>
      </w:r>
      <w:r w:rsidR="007C69EF" w:rsidRPr="00911998">
        <w:rPr>
          <w:rFonts w:cs="Arial"/>
        </w:rPr>
        <w:t>t</w:t>
      </w:r>
      <w:r w:rsidR="004C51B3" w:rsidRPr="00911998">
        <w:rPr>
          <w:rFonts w:cs="Arial"/>
        </w:rPr>
        <w:t xml:space="preserve"> «</w:t>
      </w:r>
      <w:r w:rsidR="006E74A0" w:rsidRPr="00911998">
        <w:rPr>
          <w:rFonts w:cs="Arial"/>
        </w:rPr>
        <w:t> </w:t>
      </w:r>
      <w:r w:rsidR="004C51B3" w:rsidRPr="00911998">
        <w:rPr>
          <w:rFonts w:cs="Arial"/>
        </w:rPr>
        <w:t>en jeu</w:t>
      </w:r>
      <w:r w:rsidR="006E74A0" w:rsidRPr="00911998">
        <w:rPr>
          <w:rFonts w:cs="Arial"/>
        </w:rPr>
        <w:t> </w:t>
      </w:r>
      <w:r w:rsidR="004C51B3" w:rsidRPr="00911998">
        <w:rPr>
          <w:rFonts w:cs="Arial"/>
        </w:rPr>
        <w:t>»</w:t>
      </w:r>
      <w:r w:rsidR="0009464C" w:rsidRPr="00911998">
        <w:rPr>
          <w:rFonts w:cs="Arial"/>
        </w:rPr>
        <w:t xml:space="preserve">. Il n’est donc pas nécessaire de se prononcer sur la question </w:t>
      </w:r>
      <w:r w:rsidR="00BF0DCC" w:rsidRPr="00911998">
        <w:rPr>
          <w:rFonts w:cs="Arial"/>
        </w:rPr>
        <w:t>de</w:t>
      </w:r>
      <w:r w:rsidR="0009464C" w:rsidRPr="00911998">
        <w:rPr>
          <w:rFonts w:cs="Arial"/>
        </w:rPr>
        <w:t xml:space="preserve"> savoir si </w:t>
      </w:r>
      <w:r w:rsidR="001B07D3" w:rsidRPr="00911998">
        <w:rPr>
          <w:rFonts w:cs="Arial"/>
        </w:rPr>
        <w:t>ceux</w:t>
      </w:r>
      <w:r w:rsidR="001B07D3" w:rsidRPr="00911998">
        <w:rPr>
          <w:rFonts w:cs="Arial"/>
        </w:rPr>
        <w:noBreakHyphen/>
        <w:t>ci</w:t>
      </w:r>
      <w:r w:rsidR="0009464C" w:rsidRPr="00911998">
        <w:rPr>
          <w:rFonts w:cs="Arial"/>
        </w:rPr>
        <w:t xml:space="preserve"> recherchent véritablement une action positive et, le cas échéant, si l’article 7 peut donner ouverture à une telle réclamation.</w:t>
      </w:r>
    </w:p>
  </w:footnote>
  <w:footnote w:id="84">
    <w:p w14:paraId="00D057EB" w14:textId="65A76745" w:rsidR="00C56008" w:rsidRPr="00911998" w:rsidRDefault="00C56008" w:rsidP="00C56008">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Témoignage de</w:t>
      </w:r>
      <w:r w:rsidR="00B459D2" w:rsidRPr="00911998">
        <w:rPr>
          <w:rFonts w:cs="Arial"/>
        </w:rPr>
        <w:t xml:space="preserve"> I. Côté</w:t>
      </w:r>
      <w:r w:rsidR="006E74A0" w:rsidRPr="00911998">
        <w:rPr>
          <w:rFonts w:cs="Arial"/>
        </w:rPr>
        <w:t> </w:t>
      </w:r>
      <w:r w:rsidRPr="00911998">
        <w:rPr>
          <w:rFonts w:cs="Arial"/>
        </w:rPr>
        <w:t xml:space="preserve">; témoignage de </w:t>
      </w:r>
      <w:r w:rsidR="00B459D2" w:rsidRPr="00911998">
        <w:rPr>
          <w:rFonts w:cs="Arial"/>
        </w:rPr>
        <w:t>K.</w:t>
      </w:r>
      <w:r w:rsidR="006E74A0" w:rsidRPr="00911998">
        <w:rPr>
          <w:rFonts w:cs="Arial"/>
        </w:rPr>
        <w:t> </w:t>
      </w:r>
      <w:r w:rsidR="00B459D2" w:rsidRPr="00911998">
        <w:rPr>
          <w:rFonts w:cs="Arial"/>
        </w:rPr>
        <w:t>Lavoie</w:t>
      </w:r>
      <w:r w:rsidRPr="00911998">
        <w:rPr>
          <w:rFonts w:cs="Arial"/>
        </w:rPr>
        <w:t>.</w:t>
      </w:r>
    </w:p>
  </w:footnote>
  <w:footnote w:id="85">
    <w:p w14:paraId="53C9870B" w14:textId="2FE13846" w:rsidR="00C56008" w:rsidRPr="00911998" w:rsidRDefault="00C56008" w:rsidP="00C56008">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0A719D" w:rsidRPr="00911998">
        <w:rPr>
          <w:rFonts w:cs="Arial"/>
        </w:rPr>
        <w:t xml:space="preserve">K. Lavoie, </w:t>
      </w:r>
      <w:r w:rsidR="000A719D" w:rsidRPr="00911998">
        <w:rPr>
          <w:rFonts w:cs="Arial"/>
          <w:i/>
          <w:iCs/>
        </w:rPr>
        <w:t xml:space="preserve">Faire famille au-delà du couple : </w:t>
      </w:r>
      <w:proofErr w:type="spellStart"/>
      <w:r w:rsidR="000A719D" w:rsidRPr="00911998">
        <w:rPr>
          <w:rFonts w:cs="Arial"/>
          <w:i/>
          <w:iCs/>
        </w:rPr>
        <w:t>pluriparenté</w:t>
      </w:r>
      <w:proofErr w:type="spellEnd"/>
      <w:r w:rsidR="000A719D" w:rsidRPr="00911998">
        <w:rPr>
          <w:rFonts w:cs="Arial"/>
          <w:i/>
          <w:iCs/>
        </w:rPr>
        <w:t xml:space="preserve"> et coparentalité élective</w:t>
      </w:r>
      <w:r w:rsidR="000A719D" w:rsidRPr="00911998">
        <w:rPr>
          <w:rFonts w:cs="Arial"/>
        </w:rPr>
        <w:t>, par. 53 (pièce P</w:t>
      </w:r>
      <w:r w:rsidR="000A719D" w:rsidRPr="00911998">
        <w:rPr>
          <w:rFonts w:cs="Arial"/>
        </w:rPr>
        <w:noBreakHyphen/>
        <w:t>5A) [</w:t>
      </w:r>
      <w:r w:rsidR="000A719D" w:rsidRPr="00911998">
        <w:rPr>
          <w:rFonts w:cs="Arial"/>
          <w:b/>
          <w:bCs/>
        </w:rPr>
        <w:t>Rapport Lavoie</w:t>
      </w:r>
      <w:r w:rsidR="000A719D" w:rsidRPr="00911998">
        <w:rPr>
          <w:rFonts w:cs="Arial"/>
        </w:rPr>
        <w:t>].</w:t>
      </w:r>
    </w:p>
  </w:footnote>
  <w:footnote w:id="86">
    <w:p w14:paraId="754EA56F" w14:textId="0DBFB19A" w:rsidR="00C56008" w:rsidRPr="00911998" w:rsidRDefault="00C56008" w:rsidP="00C56008">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51</w:t>
      </w:r>
      <w:r w:rsidRPr="00911998">
        <w:rPr>
          <w:rFonts w:cs="Arial"/>
        </w:rPr>
        <w:noBreakHyphen/>
        <w:t xml:space="preserve">52. </w:t>
      </w:r>
    </w:p>
  </w:footnote>
  <w:footnote w:id="87">
    <w:p w14:paraId="4E101CDA" w14:textId="25E60B12" w:rsidR="006D510B" w:rsidRPr="00911998" w:rsidRDefault="006D510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D. Béchard en collaboration avec J.</w:t>
      </w:r>
      <w:r w:rsidR="006E74A0" w:rsidRPr="00911998">
        <w:rPr>
          <w:rFonts w:cs="Arial"/>
        </w:rPr>
        <w:t> </w:t>
      </w:r>
      <w:r w:rsidRPr="00911998">
        <w:rPr>
          <w:rFonts w:cs="Arial"/>
        </w:rPr>
        <w:t>Béchard, </w:t>
      </w:r>
      <w:r w:rsidRPr="00911998">
        <w:rPr>
          <w:rFonts w:cs="Arial"/>
          <w:i/>
          <w:iCs/>
        </w:rPr>
        <w:t>L’expert</w:t>
      </w:r>
      <w:r w:rsidRPr="00911998">
        <w:rPr>
          <w:rFonts w:cs="Arial"/>
        </w:rPr>
        <w:t>, (Cowansville : Yvon Blais, 2011), p, 182</w:t>
      </w:r>
      <w:r w:rsidR="006E74A0" w:rsidRPr="00911998">
        <w:rPr>
          <w:rFonts w:cs="Arial"/>
        </w:rPr>
        <w:t> </w:t>
      </w:r>
      <w:r w:rsidRPr="00911998">
        <w:rPr>
          <w:rFonts w:cs="Arial"/>
        </w:rPr>
        <w:t xml:space="preserve">; </w:t>
      </w:r>
      <w:r w:rsidRPr="00911998">
        <w:rPr>
          <w:rFonts w:cs="Arial"/>
          <w:i/>
          <w:iCs/>
          <w:shd w:val="clear" w:color="auto" w:fill="FFFFFF"/>
        </w:rPr>
        <w:t xml:space="preserve">Churchill </w:t>
      </w:r>
      <w:proofErr w:type="spellStart"/>
      <w:r w:rsidRPr="00911998">
        <w:rPr>
          <w:rFonts w:cs="Arial"/>
          <w:i/>
          <w:iCs/>
          <w:shd w:val="clear" w:color="auto" w:fill="FFFFFF"/>
        </w:rPr>
        <w:t>Falls</w:t>
      </w:r>
      <w:proofErr w:type="spellEnd"/>
      <w:r w:rsidRPr="00911998">
        <w:rPr>
          <w:rFonts w:cs="Arial"/>
          <w:i/>
          <w:iCs/>
          <w:shd w:val="clear" w:color="auto" w:fill="FFFFFF"/>
        </w:rPr>
        <w:t xml:space="preserve"> (Labrador) Corporation Ltd. c. Hydro-Québec</w:t>
      </w:r>
      <w:r w:rsidRPr="00911998">
        <w:rPr>
          <w:rFonts w:cs="Arial"/>
          <w:shd w:val="clear" w:color="auto" w:fill="FFFFFF"/>
        </w:rPr>
        <w:t>, 2014 QCCS</w:t>
      </w:r>
      <w:r w:rsidR="006E74A0" w:rsidRPr="00911998">
        <w:rPr>
          <w:rFonts w:cs="Arial"/>
          <w:shd w:val="clear" w:color="auto" w:fill="FFFFFF"/>
        </w:rPr>
        <w:t> </w:t>
      </w:r>
      <w:r w:rsidRPr="00911998">
        <w:rPr>
          <w:rFonts w:cs="Arial"/>
          <w:shd w:val="clear" w:color="auto" w:fill="FFFFFF"/>
        </w:rPr>
        <w:t>3590, par. 293</w:t>
      </w:r>
      <w:r w:rsidRPr="00911998">
        <w:rPr>
          <w:rFonts w:cs="Arial"/>
        </w:rPr>
        <w:t>.</w:t>
      </w:r>
    </w:p>
  </w:footnote>
  <w:footnote w:id="88">
    <w:p w14:paraId="170C8589" w14:textId="51502271" w:rsidR="00970601" w:rsidRPr="00911998" w:rsidRDefault="00970601">
      <w:pPr>
        <w:pStyle w:val="Notedebasdepage"/>
      </w:pPr>
      <w:r w:rsidRPr="00911998">
        <w:rPr>
          <w:rStyle w:val="Appelnotedebasdep"/>
        </w:rPr>
        <w:footnoteRef/>
      </w:r>
      <w:r w:rsidRPr="00911998">
        <w:t xml:space="preserve"> </w:t>
      </w:r>
      <w:r w:rsidRPr="00911998">
        <w:tab/>
        <w:t>La preuve du professeur Lavoie a néanmoins été d’une certaine utilité pour le Tribunal.</w:t>
      </w:r>
    </w:p>
  </w:footnote>
  <w:footnote w:id="89">
    <w:p w14:paraId="450DAC01" w14:textId="301FC3BE" w:rsidR="00E83DA4" w:rsidRPr="00911998" w:rsidRDefault="00E83DA4">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Par exemple, la famille </w:t>
      </w:r>
      <w:proofErr w:type="gramStart"/>
      <w:r w:rsidR="00153EC1">
        <w:rPr>
          <w:rFonts w:cs="Arial"/>
        </w:rPr>
        <w:t>M...</w:t>
      </w:r>
      <w:proofErr w:type="gramEnd"/>
      <w:r w:rsidRPr="00911998">
        <w:rPr>
          <w:rFonts w:cs="Arial"/>
        </w:rPr>
        <w:noBreakHyphen/>
      </w:r>
      <w:r w:rsidR="000032F7">
        <w:rPr>
          <w:rFonts w:cs="Arial"/>
        </w:rPr>
        <w:t>P...</w:t>
      </w:r>
      <w:r w:rsidRPr="00911998">
        <w:rPr>
          <w:rFonts w:cs="Arial"/>
        </w:rPr>
        <w:noBreakHyphen/>
      </w:r>
      <w:r w:rsidR="000032F7">
        <w:rPr>
          <w:rFonts w:cs="Arial"/>
        </w:rPr>
        <w:t>D...</w:t>
      </w:r>
      <w:r w:rsidRPr="00911998">
        <w:rPr>
          <w:rFonts w:cs="Arial"/>
        </w:rPr>
        <w:t>, plaide que la limite de deux liens de filiation nie le droit de leur fils de bénéficier de liens fraternels avec ses demi</w:t>
      </w:r>
      <w:r w:rsidRPr="00911998">
        <w:rPr>
          <w:rFonts w:cs="Arial"/>
        </w:rPr>
        <w:noBreakHyphen/>
        <w:t>frère</w:t>
      </w:r>
      <w:r w:rsidR="007B494D" w:rsidRPr="00911998">
        <w:rPr>
          <w:rFonts w:cs="Arial"/>
        </w:rPr>
        <w:t xml:space="preserve">s et demi-sœurs (Plan d’argumentation modifié, par. 388). Elle </w:t>
      </w:r>
      <w:r w:rsidR="004140C0" w:rsidRPr="00911998">
        <w:rPr>
          <w:rFonts w:cs="Arial"/>
        </w:rPr>
        <w:t>soutient</w:t>
      </w:r>
      <w:r w:rsidR="007B494D" w:rsidRPr="00911998">
        <w:rPr>
          <w:rFonts w:cs="Arial"/>
        </w:rPr>
        <w:t xml:space="preserve"> également que cette limite affecte </w:t>
      </w:r>
      <w:r w:rsidR="00153EC1">
        <w:rPr>
          <w:rFonts w:cs="Arial"/>
        </w:rPr>
        <w:t>X</w:t>
      </w:r>
      <w:r w:rsidR="007B494D" w:rsidRPr="00911998">
        <w:rPr>
          <w:rFonts w:cs="Arial"/>
        </w:rPr>
        <w:t xml:space="preserve"> dans sa faculté de construire son identité propre (Plan d’argumentation modifié, par. 389). Aucune preuve ne vient appuyer ces arguments.</w:t>
      </w:r>
    </w:p>
  </w:footnote>
  <w:footnote w:id="90">
    <w:p w14:paraId="56B3377D" w14:textId="387B86C4" w:rsidR="0069544B" w:rsidRPr="00911998" w:rsidRDefault="0069544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Même en cas de rupture familiale menant à </w:t>
      </w:r>
      <w:r w:rsidR="004140C0" w:rsidRPr="00911998">
        <w:rPr>
          <w:rFonts w:cs="Arial"/>
        </w:rPr>
        <w:t xml:space="preserve">un </w:t>
      </w:r>
      <w:r w:rsidRPr="00911998">
        <w:rPr>
          <w:rFonts w:cs="Arial"/>
        </w:rPr>
        <w:t xml:space="preserve">différend judiciarisé, les questions de la garde et des droits d’accès, le cas échéant, seront tranchées en fonction de l’intérêt de l’enfant. À ce titre, le parent qui n’entretient pas de lien de filiation avec l’enfant </w:t>
      </w:r>
      <w:r w:rsidR="003F2A16" w:rsidRPr="00911998">
        <w:rPr>
          <w:rFonts w:cs="Arial"/>
        </w:rPr>
        <w:t>peu</w:t>
      </w:r>
      <w:r w:rsidRPr="00911998">
        <w:rPr>
          <w:rFonts w:cs="Arial"/>
        </w:rPr>
        <w:t>t néanmoins se voir attribuer des droits d’accès ou même la garde.</w:t>
      </w:r>
      <w:r w:rsidR="00291897" w:rsidRPr="00911998">
        <w:rPr>
          <w:rFonts w:cs="Arial"/>
        </w:rPr>
        <w:t xml:space="preserve"> Voir </w:t>
      </w:r>
      <w:r w:rsidR="00291897" w:rsidRPr="00911998">
        <w:rPr>
          <w:rFonts w:cs="Arial"/>
          <w:i/>
          <w:iCs/>
        </w:rPr>
        <w:t xml:space="preserve">Droit de la famille </w:t>
      </w:r>
      <w:r w:rsidR="006E74A0" w:rsidRPr="00911998">
        <w:rPr>
          <w:rFonts w:cs="Arial"/>
          <w:i/>
          <w:iCs/>
        </w:rPr>
        <w:t>—</w:t>
      </w:r>
      <w:r w:rsidR="00291897" w:rsidRPr="00911998">
        <w:rPr>
          <w:rFonts w:cs="Arial"/>
          <w:i/>
          <w:iCs/>
        </w:rPr>
        <w:t xml:space="preserve"> 191677</w:t>
      </w:r>
      <w:r w:rsidR="00291897" w:rsidRPr="00911998">
        <w:rPr>
          <w:rFonts w:cs="Arial"/>
        </w:rPr>
        <w:t>, précité, par. 104.</w:t>
      </w:r>
    </w:p>
  </w:footnote>
  <w:footnote w:id="91">
    <w:p w14:paraId="5647DB87" w14:textId="64D53F8B" w:rsidR="00EA1FAB" w:rsidRPr="00911998" w:rsidRDefault="00EA1FAB">
      <w:pPr>
        <w:pStyle w:val="Notedebasdepage"/>
      </w:pPr>
      <w:r w:rsidRPr="00911998">
        <w:rPr>
          <w:rStyle w:val="Appelnotedebasdep"/>
        </w:rPr>
        <w:footnoteRef/>
      </w:r>
      <w:r w:rsidRPr="00911998">
        <w:t xml:space="preserve"> </w:t>
      </w:r>
      <w:r w:rsidRPr="00911998">
        <w:tab/>
        <w:t>Précité, par. 59.</w:t>
      </w:r>
    </w:p>
  </w:footnote>
  <w:footnote w:id="92">
    <w:p w14:paraId="581C337E" w14:textId="3A54AE19" w:rsidR="00004FAC" w:rsidRPr="00911998" w:rsidRDefault="00004FAC">
      <w:pPr>
        <w:pStyle w:val="Notedebasdepage"/>
        <w:rPr>
          <w:rFonts w:cs="Arial"/>
          <w:vertAlign w:val="superscript"/>
        </w:rPr>
      </w:pPr>
      <w:r w:rsidRPr="00911998">
        <w:rPr>
          <w:rStyle w:val="Appelnotedebasdep"/>
          <w:rFonts w:cs="Arial"/>
        </w:rPr>
        <w:footnoteRef/>
      </w:r>
      <w:r w:rsidRPr="00911998">
        <w:rPr>
          <w:rFonts w:cs="Arial"/>
        </w:rPr>
        <w:t xml:space="preserve"> </w:t>
      </w:r>
      <w:r w:rsidRPr="00911998">
        <w:rPr>
          <w:rFonts w:cs="Arial"/>
        </w:rPr>
        <w:tab/>
        <w:t xml:space="preserve">Plan d’argumentation </w:t>
      </w:r>
      <w:r w:rsidR="006338FB" w:rsidRPr="00911998">
        <w:rPr>
          <w:rFonts w:cs="Arial"/>
        </w:rPr>
        <w:t xml:space="preserve">modifié </w:t>
      </w:r>
      <w:r w:rsidRPr="00911998">
        <w:rPr>
          <w:rFonts w:cs="Arial"/>
        </w:rPr>
        <w:t xml:space="preserve">de la famille </w:t>
      </w:r>
      <w:proofErr w:type="gramStart"/>
      <w:r w:rsidR="00153EC1">
        <w:rPr>
          <w:rFonts w:cs="Arial"/>
        </w:rPr>
        <w:t>M...</w:t>
      </w:r>
      <w:proofErr w:type="gramEnd"/>
      <w:r w:rsidRPr="00911998">
        <w:rPr>
          <w:rFonts w:cs="Arial"/>
        </w:rPr>
        <w:noBreakHyphen/>
      </w:r>
      <w:r w:rsidR="000032F7">
        <w:rPr>
          <w:rFonts w:cs="Arial"/>
        </w:rPr>
        <w:t>P...</w:t>
      </w:r>
      <w:r w:rsidRPr="00911998">
        <w:rPr>
          <w:rFonts w:cs="Arial"/>
        </w:rPr>
        <w:noBreakHyphen/>
      </w:r>
      <w:r w:rsidR="000032F7">
        <w:rPr>
          <w:rFonts w:cs="Arial"/>
        </w:rPr>
        <w:t>D...</w:t>
      </w:r>
      <w:r w:rsidRPr="00911998">
        <w:rPr>
          <w:rFonts w:cs="Arial"/>
        </w:rPr>
        <w:t>, par. </w:t>
      </w:r>
      <w:r w:rsidR="008D5352" w:rsidRPr="00911998">
        <w:rPr>
          <w:rFonts w:cs="Arial"/>
        </w:rPr>
        <w:t>370</w:t>
      </w:r>
      <w:r w:rsidR="008D5352" w:rsidRPr="00911998">
        <w:rPr>
          <w:rFonts w:cs="Arial"/>
        </w:rPr>
        <w:noBreakHyphen/>
        <w:t>385</w:t>
      </w:r>
      <w:r w:rsidR="00564982" w:rsidRPr="00911998">
        <w:rPr>
          <w:rFonts w:cs="Arial"/>
        </w:rPr>
        <w:t> </w:t>
      </w:r>
      <w:r w:rsidR="008D5352" w:rsidRPr="00911998">
        <w:rPr>
          <w:rFonts w:cs="Arial"/>
        </w:rPr>
        <w:t xml:space="preserve">; Notes et autorités des Demandeurs dans le </w:t>
      </w:r>
      <w:r w:rsidR="008F5FBC" w:rsidRPr="00911998">
        <w:rPr>
          <w:rFonts w:cs="Arial"/>
        </w:rPr>
        <w:t>Dossier de la Coalition</w:t>
      </w:r>
      <w:r w:rsidR="008D5352" w:rsidRPr="00911998">
        <w:rPr>
          <w:rFonts w:cs="Arial"/>
        </w:rPr>
        <w:t>, par. 420</w:t>
      </w:r>
      <w:r w:rsidR="008D5352" w:rsidRPr="00911998">
        <w:rPr>
          <w:rFonts w:cs="Arial"/>
        </w:rPr>
        <w:noBreakHyphen/>
        <w:t>421.</w:t>
      </w:r>
    </w:p>
  </w:footnote>
  <w:footnote w:id="93">
    <w:p w14:paraId="1F53A4E6" w14:textId="74579267" w:rsidR="00DF7EC9" w:rsidRPr="00911998" w:rsidRDefault="00DF7EC9" w:rsidP="00DF7EC9">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R. c. Morgentaler</w:t>
      </w:r>
      <w:r w:rsidRPr="00911998">
        <w:rPr>
          <w:rFonts w:cs="Arial"/>
        </w:rPr>
        <w:t>, [1988] 1</w:t>
      </w:r>
      <w:r w:rsidR="00EA4E50" w:rsidRPr="00911998">
        <w:rPr>
          <w:rFonts w:cs="Arial"/>
        </w:rPr>
        <w:t> </w:t>
      </w:r>
      <w:r w:rsidRPr="00911998">
        <w:rPr>
          <w:rFonts w:cs="Arial"/>
        </w:rPr>
        <w:t>RCS</w:t>
      </w:r>
      <w:r w:rsidR="00EA4E50" w:rsidRPr="00911998">
        <w:rPr>
          <w:rFonts w:cs="Arial"/>
        </w:rPr>
        <w:t> </w:t>
      </w:r>
      <w:r w:rsidRPr="00911998">
        <w:rPr>
          <w:rFonts w:cs="Arial"/>
        </w:rPr>
        <w:t>30, p. 164</w:t>
      </w:r>
      <w:r w:rsidRPr="00911998">
        <w:rPr>
          <w:rFonts w:cs="Arial"/>
        </w:rPr>
        <w:noBreakHyphen/>
        <w:t>171.</w:t>
      </w:r>
    </w:p>
  </w:footnote>
  <w:footnote w:id="94">
    <w:p w14:paraId="558FB4E6" w14:textId="2FBAD7A9" w:rsidR="00D307E3" w:rsidRPr="00911998" w:rsidRDefault="00D307E3">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[1995] 1 RCS</w:t>
      </w:r>
      <w:r w:rsidR="00EA4E50" w:rsidRPr="00911998">
        <w:rPr>
          <w:rFonts w:cs="Arial"/>
        </w:rPr>
        <w:t> </w:t>
      </w:r>
      <w:r w:rsidRPr="00911998">
        <w:rPr>
          <w:rFonts w:cs="Arial"/>
        </w:rPr>
        <w:t>315</w:t>
      </w:r>
      <w:r w:rsidR="00141678" w:rsidRPr="00911998">
        <w:rPr>
          <w:rFonts w:cs="Arial"/>
        </w:rPr>
        <w:t>, par. 80</w:t>
      </w:r>
      <w:r w:rsidR="00141678" w:rsidRPr="00911998">
        <w:rPr>
          <w:rFonts w:cs="Arial"/>
        </w:rPr>
        <w:noBreakHyphen/>
        <w:t>81</w:t>
      </w:r>
      <w:r w:rsidR="005A7887" w:rsidRPr="00911998">
        <w:rPr>
          <w:rFonts w:cs="Arial"/>
        </w:rPr>
        <w:t xml:space="preserve"> [</w:t>
      </w:r>
      <w:r w:rsidR="005A7887" w:rsidRPr="00911998">
        <w:rPr>
          <w:rFonts w:cs="Arial"/>
          <w:b/>
          <w:bCs/>
          <w:i/>
          <w:iCs/>
        </w:rPr>
        <w:t>B. (R.)</w:t>
      </w:r>
      <w:r w:rsidR="005A7887" w:rsidRPr="00911998">
        <w:rPr>
          <w:rFonts w:cs="Arial"/>
        </w:rPr>
        <w:t>]</w:t>
      </w:r>
      <w:r w:rsidRPr="00911998">
        <w:rPr>
          <w:rFonts w:cs="Arial"/>
        </w:rPr>
        <w:t>.</w:t>
      </w:r>
    </w:p>
  </w:footnote>
  <w:footnote w:id="95">
    <w:p w14:paraId="18E66264" w14:textId="1A14D469" w:rsidR="00141678" w:rsidRPr="00911998" w:rsidRDefault="00141678">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97024D" w:rsidRPr="00911998">
        <w:rPr>
          <w:rFonts w:cs="Arial"/>
          <w:shd w:val="clear" w:color="auto" w:fill="FFFFFF"/>
        </w:rPr>
        <w:t>[1997] 3 RCS 844, par. 65</w:t>
      </w:r>
      <w:r w:rsidR="0097024D" w:rsidRPr="00911998">
        <w:rPr>
          <w:rFonts w:cs="Arial"/>
          <w:shd w:val="clear" w:color="auto" w:fill="FFFFFF"/>
        </w:rPr>
        <w:noBreakHyphen/>
        <w:t>67 [</w:t>
      </w:r>
      <w:r w:rsidR="0097024D" w:rsidRPr="00911998">
        <w:rPr>
          <w:rFonts w:cs="Arial"/>
          <w:b/>
          <w:bCs/>
          <w:i/>
          <w:iCs/>
          <w:shd w:val="clear" w:color="auto" w:fill="FFFFFF"/>
        </w:rPr>
        <w:t>Godbout</w:t>
      </w:r>
      <w:r w:rsidR="0097024D" w:rsidRPr="00911998">
        <w:rPr>
          <w:rFonts w:cs="Arial"/>
          <w:shd w:val="clear" w:color="auto" w:fill="FFFFFF"/>
        </w:rPr>
        <w:t>]</w:t>
      </w:r>
      <w:r w:rsidRPr="00911998">
        <w:rPr>
          <w:rFonts w:cs="Arial"/>
        </w:rPr>
        <w:t>.</w:t>
      </w:r>
    </w:p>
  </w:footnote>
  <w:footnote w:id="96">
    <w:p w14:paraId="368CBCD3" w14:textId="51B19050" w:rsidR="005A7887" w:rsidRPr="00911998" w:rsidRDefault="005A7887" w:rsidP="005A7887">
      <w:pPr>
        <w:pStyle w:val="Notedebasdepage"/>
        <w:rPr>
          <w:rFonts w:cs="Arial"/>
          <w:i/>
          <w:iCs/>
        </w:rPr>
      </w:pPr>
      <w:r w:rsidRPr="00911998">
        <w:rPr>
          <w:rStyle w:val="Appelnotedebasdep"/>
          <w:rFonts w:cs="Arial"/>
        </w:rPr>
        <w:footnoteRef/>
      </w:r>
      <w:r w:rsidRPr="00911998">
        <w:rPr>
          <w:rFonts w:cs="Arial"/>
        </w:rPr>
        <w:t xml:space="preserve"> </w:t>
      </w:r>
      <w:r w:rsidRPr="00911998">
        <w:rPr>
          <w:rFonts w:cs="Arial"/>
        </w:rPr>
        <w:tab/>
      </w:r>
      <w:proofErr w:type="spellStart"/>
      <w:r w:rsidR="00D92B4A" w:rsidRPr="00911998">
        <w:rPr>
          <w:rFonts w:cs="Arial"/>
          <w:i/>
          <w:iCs/>
        </w:rPr>
        <w:t>Blencoe</w:t>
      </w:r>
      <w:proofErr w:type="spellEnd"/>
      <w:r w:rsidR="00D92B4A" w:rsidRPr="00911998">
        <w:rPr>
          <w:rFonts w:cs="Arial"/>
        </w:rPr>
        <w:t>, précité, par. 49</w:t>
      </w:r>
      <w:r w:rsidR="00EA4E50" w:rsidRPr="00911998">
        <w:rPr>
          <w:rFonts w:cs="Arial"/>
        </w:rPr>
        <w:t> </w:t>
      </w:r>
      <w:r w:rsidR="00D92B4A" w:rsidRPr="00911998">
        <w:rPr>
          <w:rFonts w:cs="Arial"/>
        </w:rPr>
        <w:t xml:space="preserve">; </w:t>
      </w:r>
      <w:r w:rsidRPr="00911998">
        <w:rPr>
          <w:rFonts w:cs="Arial"/>
          <w:i/>
          <w:iCs/>
        </w:rPr>
        <w:t>R. c. </w:t>
      </w:r>
      <w:proofErr w:type="spellStart"/>
      <w:r w:rsidRPr="00911998">
        <w:rPr>
          <w:rFonts w:cs="Arial"/>
          <w:i/>
          <w:iCs/>
        </w:rPr>
        <w:t>Malmo</w:t>
      </w:r>
      <w:proofErr w:type="spellEnd"/>
      <w:r w:rsidRPr="00911998">
        <w:rPr>
          <w:rFonts w:cs="Arial"/>
          <w:i/>
          <w:iCs/>
        </w:rPr>
        <w:noBreakHyphen/>
        <w:t>Levine</w:t>
      </w:r>
      <w:r w:rsidR="00EA4E50" w:rsidRPr="00911998">
        <w:rPr>
          <w:rFonts w:cs="Arial"/>
          <w:i/>
          <w:iCs/>
        </w:rPr>
        <w:t> </w:t>
      </w:r>
      <w:r w:rsidRPr="00911998">
        <w:rPr>
          <w:rFonts w:cs="Arial"/>
          <w:i/>
          <w:iCs/>
        </w:rPr>
        <w:t>; R. c. Caine</w:t>
      </w:r>
      <w:r w:rsidRPr="00911998">
        <w:rPr>
          <w:rFonts w:cs="Arial"/>
        </w:rPr>
        <w:t>, 2003</w:t>
      </w:r>
      <w:r w:rsidR="00EA4E50" w:rsidRPr="00911998">
        <w:rPr>
          <w:rFonts w:cs="Arial"/>
        </w:rPr>
        <w:t> </w:t>
      </w:r>
      <w:r w:rsidRPr="00911998">
        <w:rPr>
          <w:rFonts w:cs="Arial"/>
        </w:rPr>
        <w:t>CSC</w:t>
      </w:r>
      <w:r w:rsidR="00EA4E50" w:rsidRPr="00911998">
        <w:rPr>
          <w:rFonts w:cs="Arial"/>
        </w:rPr>
        <w:t> </w:t>
      </w:r>
      <w:r w:rsidRPr="00911998">
        <w:rPr>
          <w:rFonts w:cs="Arial"/>
        </w:rPr>
        <w:t>74, par. 85 [</w:t>
      </w:r>
      <w:proofErr w:type="spellStart"/>
      <w:r w:rsidRPr="00911998">
        <w:rPr>
          <w:rFonts w:cs="Arial"/>
          <w:b/>
          <w:bCs/>
          <w:i/>
          <w:iCs/>
        </w:rPr>
        <w:t>Malmo</w:t>
      </w:r>
      <w:proofErr w:type="spellEnd"/>
      <w:r w:rsidRPr="00911998">
        <w:rPr>
          <w:rFonts w:cs="Arial"/>
          <w:b/>
          <w:bCs/>
          <w:i/>
          <w:iCs/>
        </w:rPr>
        <w:noBreakHyphen/>
        <w:t>Levine</w:t>
      </w:r>
      <w:r w:rsidRPr="00911998">
        <w:rPr>
          <w:rFonts w:cs="Arial"/>
        </w:rPr>
        <w:t>]</w:t>
      </w:r>
      <w:r w:rsidR="00C549E0" w:rsidRPr="00911998">
        <w:rPr>
          <w:rFonts w:cs="Arial"/>
        </w:rPr>
        <w:t>.</w:t>
      </w:r>
    </w:p>
  </w:footnote>
  <w:footnote w:id="97">
    <w:p w14:paraId="656F7A89" w14:textId="26711E26" w:rsidR="00104021" w:rsidRPr="00911998" w:rsidRDefault="00104021">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proofErr w:type="spellStart"/>
      <w:r w:rsidRPr="00911998">
        <w:rPr>
          <w:rFonts w:cs="Arial"/>
          <w:i/>
          <w:iCs/>
        </w:rPr>
        <w:t>Blencoe</w:t>
      </w:r>
      <w:proofErr w:type="spellEnd"/>
      <w:r w:rsidRPr="00911998">
        <w:rPr>
          <w:rFonts w:cs="Arial"/>
        </w:rPr>
        <w:t>, précité, par. 49</w:t>
      </w:r>
      <w:r w:rsidRPr="00911998">
        <w:rPr>
          <w:rFonts w:cs="Arial"/>
        </w:rPr>
        <w:noBreakHyphen/>
        <w:t>54</w:t>
      </w:r>
      <w:r w:rsidR="000A75F2" w:rsidRPr="00911998">
        <w:rPr>
          <w:rFonts w:cs="Arial"/>
        </w:rPr>
        <w:t>.</w:t>
      </w:r>
    </w:p>
  </w:footnote>
  <w:footnote w:id="98">
    <w:p w14:paraId="33F1D403" w14:textId="515F5ECF" w:rsidR="00561414" w:rsidRPr="00911998" w:rsidRDefault="00561414">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Carter</w:t>
      </w:r>
      <w:r w:rsidRPr="00911998">
        <w:rPr>
          <w:rFonts w:cs="Arial"/>
        </w:rPr>
        <w:t>, précité, par. 64</w:t>
      </w:r>
      <w:r w:rsidR="00EA4E50" w:rsidRPr="00911998">
        <w:rPr>
          <w:rFonts w:cs="Arial"/>
        </w:rPr>
        <w:t> </w:t>
      </w:r>
      <w:r w:rsidRPr="00911998">
        <w:rPr>
          <w:rFonts w:cs="Arial"/>
        </w:rPr>
        <w:t xml:space="preserve">; voir aussi : </w:t>
      </w:r>
      <w:r w:rsidRPr="00911998">
        <w:rPr>
          <w:rFonts w:cs="Arial"/>
          <w:i/>
          <w:iCs/>
        </w:rPr>
        <w:t>A.C. c. Manitoba (Directeur des services à l’enfant et à la famille),</w:t>
      </w:r>
      <w:r w:rsidRPr="00911998">
        <w:rPr>
          <w:rFonts w:cs="Arial"/>
        </w:rPr>
        <w:t> 2009</w:t>
      </w:r>
      <w:r w:rsidR="00EA4E50" w:rsidRPr="00911998">
        <w:rPr>
          <w:rFonts w:cs="Arial"/>
        </w:rPr>
        <w:t> </w:t>
      </w:r>
      <w:r w:rsidRPr="00911998">
        <w:rPr>
          <w:rFonts w:cs="Arial"/>
        </w:rPr>
        <w:t>CSC</w:t>
      </w:r>
      <w:r w:rsidR="00EA4E50" w:rsidRPr="00911998">
        <w:rPr>
          <w:rFonts w:cs="Arial"/>
        </w:rPr>
        <w:t> </w:t>
      </w:r>
      <w:r w:rsidRPr="00911998">
        <w:rPr>
          <w:rFonts w:cs="Arial"/>
        </w:rPr>
        <w:t>30, par. 100 [</w:t>
      </w:r>
      <w:r w:rsidRPr="00911998">
        <w:rPr>
          <w:rFonts w:cs="Arial"/>
          <w:b/>
          <w:bCs/>
          <w:i/>
          <w:iCs/>
        </w:rPr>
        <w:t>A.C.</w:t>
      </w:r>
      <w:r w:rsidRPr="00911998">
        <w:rPr>
          <w:rFonts w:cs="Arial"/>
        </w:rPr>
        <w:t>].</w:t>
      </w:r>
    </w:p>
  </w:footnote>
  <w:footnote w:id="99">
    <w:p w14:paraId="69229A24" w14:textId="3DF376AF" w:rsidR="00561414" w:rsidRPr="00911998" w:rsidRDefault="00561414" w:rsidP="00561414">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proofErr w:type="spellStart"/>
      <w:r w:rsidRPr="00911998">
        <w:rPr>
          <w:rFonts w:cs="Arial"/>
          <w:i/>
          <w:iCs/>
        </w:rPr>
        <w:t>Blencoe</w:t>
      </w:r>
      <w:proofErr w:type="spellEnd"/>
      <w:r w:rsidRPr="00911998">
        <w:rPr>
          <w:rFonts w:cs="Arial"/>
        </w:rPr>
        <w:t>, précité, par. 49</w:t>
      </w:r>
      <w:r w:rsidR="00EA4E50" w:rsidRPr="00911998">
        <w:rPr>
          <w:rFonts w:cs="Arial"/>
        </w:rPr>
        <w:t> </w:t>
      </w:r>
      <w:r w:rsidRPr="00911998">
        <w:rPr>
          <w:rFonts w:cs="Arial"/>
        </w:rPr>
        <w:t xml:space="preserve">; </w:t>
      </w:r>
      <w:r w:rsidR="00EA1FAB" w:rsidRPr="00911998">
        <w:rPr>
          <w:rFonts w:cs="Arial"/>
          <w:i/>
          <w:iCs/>
        </w:rPr>
        <w:t>Carter</w:t>
      </w:r>
      <w:r w:rsidR="00EA1FAB" w:rsidRPr="00911998">
        <w:rPr>
          <w:rFonts w:cs="Arial"/>
        </w:rPr>
        <w:t xml:space="preserve">, précité, par. 68 ; </w:t>
      </w:r>
      <w:r w:rsidRPr="00911998">
        <w:rPr>
          <w:rFonts w:cs="Arial"/>
          <w:i/>
          <w:iCs/>
        </w:rPr>
        <w:t>A.C.</w:t>
      </w:r>
      <w:r w:rsidRPr="00911998">
        <w:rPr>
          <w:rFonts w:cs="Arial"/>
        </w:rPr>
        <w:t>, précité, par. 100.</w:t>
      </w:r>
    </w:p>
  </w:footnote>
  <w:footnote w:id="100">
    <w:p w14:paraId="1A1FF6D1" w14:textId="5B638A52" w:rsidR="00694E7C" w:rsidRPr="00911998" w:rsidRDefault="00694E7C">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Godbout</w:t>
      </w:r>
      <w:r w:rsidRPr="00911998">
        <w:rPr>
          <w:rFonts w:cs="Arial"/>
        </w:rPr>
        <w:t>, précité, par. 66</w:t>
      </w:r>
      <w:r w:rsidR="00EA4E50" w:rsidRPr="00911998">
        <w:rPr>
          <w:rFonts w:cs="Arial"/>
        </w:rPr>
        <w:t> </w:t>
      </w:r>
      <w:r w:rsidRPr="00911998">
        <w:rPr>
          <w:rFonts w:cs="Arial"/>
        </w:rPr>
        <w:t xml:space="preserve">; </w:t>
      </w:r>
      <w:proofErr w:type="spellStart"/>
      <w:r w:rsidRPr="00911998">
        <w:rPr>
          <w:rFonts w:cs="Arial"/>
          <w:i/>
          <w:iCs/>
        </w:rPr>
        <w:t>Blencoe</w:t>
      </w:r>
      <w:proofErr w:type="spellEnd"/>
      <w:r w:rsidRPr="00911998">
        <w:rPr>
          <w:rFonts w:cs="Arial"/>
        </w:rPr>
        <w:t>, précité, par. 51.</w:t>
      </w:r>
    </w:p>
  </w:footnote>
  <w:footnote w:id="101">
    <w:p w14:paraId="27DEC265" w14:textId="1E5EE98C" w:rsidR="00694E7C" w:rsidRPr="00911998" w:rsidRDefault="00694E7C">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p>
  </w:footnote>
  <w:footnote w:id="102">
    <w:p w14:paraId="7B60E90D" w14:textId="77777777" w:rsidR="00694E7C" w:rsidRPr="00911998" w:rsidRDefault="00694E7C" w:rsidP="00694E7C">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Godbout</w:t>
      </w:r>
      <w:r w:rsidRPr="00911998">
        <w:rPr>
          <w:rFonts w:cs="Arial"/>
        </w:rPr>
        <w:t>, précité, par. 68.</w:t>
      </w:r>
    </w:p>
  </w:footnote>
  <w:footnote w:id="103">
    <w:p w14:paraId="0AD60621" w14:textId="72D26726" w:rsidR="00B2285B" w:rsidRPr="00911998" w:rsidRDefault="00B2285B" w:rsidP="00B2285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proofErr w:type="spellStart"/>
      <w:r w:rsidRPr="00911998">
        <w:rPr>
          <w:rFonts w:cs="Arial"/>
          <w:i/>
          <w:iCs/>
        </w:rPr>
        <w:t>Blencoe</w:t>
      </w:r>
      <w:proofErr w:type="spellEnd"/>
      <w:r w:rsidRPr="00911998">
        <w:rPr>
          <w:rFonts w:cs="Arial"/>
        </w:rPr>
        <w:t>, précité, par. 49</w:t>
      </w:r>
      <w:r w:rsidR="00EA1FAB" w:rsidRPr="00911998">
        <w:rPr>
          <w:rFonts w:cs="Arial"/>
        </w:rPr>
        <w:t xml:space="preserve"> ; </w:t>
      </w:r>
      <w:r w:rsidR="00EA1FAB" w:rsidRPr="00911998">
        <w:rPr>
          <w:rFonts w:cs="Arial"/>
          <w:i/>
          <w:iCs/>
        </w:rPr>
        <w:t>Carter</w:t>
      </w:r>
      <w:r w:rsidR="00EA1FAB" w:rsidRPr="00911998">
        <w:rPr>
          <w:rFonts w:cs="Arial"/>
        </w:rPr>
        <w:t>, précité, par. 68</w:t>
      </w:r>
      <w:r w:rsidR="00EA4E50" w:rsidRPr="00911998">
        <w:rPr>
          <w:rFonts w:cs="Arial"/>
        </w:rPr>
        <w:t> </w:t>
      </w:r>
      <w:r w:rsidRPr="00911998">
        <w:rPr>
          <w:rFonts w:cs="Arial"/>
        </w:rPr>
        <w:t xml:space="preserve">; </w:t>
      </w:r>
      <w:r w:rsidRPr="00911998">
        <w:rPr>
          <w:rFonts w:cs="Arial"/>
          <w:i/>
          <w:iCs/>
        </w:rPr>
        <w:t>A.C.</w:t>
      </w:r>
      <w:r w:rsidRPr="00911998">
        <w:rPr>
          <w:rFonts w:cs="Arial"/>
        </w:rPr>
        <w:t>, précité, par. 100.</w:t>
      </w:r>
    </w:p>
  </w:footnote>
  <w:footnote w:id="104">
    <w:p w14:paraId="3ABB6903" w14:textId="02D79E10" w:rsidR="00F94A75" w:rsidRPr="00911998" w:rsidRDefault="00F94A75">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proofErr w:type="spellStart"/>
      <w:r w:rsidRPr="00911998">
        <w:rPr>
          <w:rFonts w:cs="Arial"/>
          <w:i/>
          <w:iCs/>
        </w:rPr>
        <w:t>Blencoe</w:t>
      </w:r>
      <w:proofErr w:type="spellEnd"/>
      <w:r w:rsidRPr="00911998">
        <w:rPr>
          <w:rFonts w:cs="Arial"/>
        </w:rPr>
        <w:t>, précité, par. 54.</w:t>
      </w:r>
    </w:p>
  </w:footnote>
  <w:footnote w:id="105">
    <w:p w14:paraId="692A7513" w14:textId="426FC2C1" w:rsidR="00915CAA" w:rsidRPr="00911998" w:rsidRDefault="00915CAA">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B. (R.)</w:t>
      </w:r>
      <w:r w:rsidRPr="00911998">
        <w:rPr>
          <w:rFonts w:cs="Arial"/>
        </w:rPr>
        <w:t>, précité.</w:t>
      </w:r>
    </w:p>
  </w:footnote>
  <w:footnote w:id="106">
    <w:p w14:paraId="54C92CEA" w14:textId="559C4AB7" w:rsidR="00AE18C1" w:rsidRPr="00911998" w:rsidRDefault="00AE18C1">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EA1FAB" w:rsidRPr="00911998">
        <w:rPr>
          <w:rFonts w:cs="Arial"/>
          <w:i/>
          <w:iCs/>
        </w:rPr>
        <w:t>Ibid.</w:t>
      </w:r>
      <w:r w:rsidRPr="00911998">
        <w:rPr>
          <w:rFonts w:cs="Arial"/>
        </w:rPr>
        <w:t>, par. 83.</w:t>
      </w:r>
    </w:p>
  </w:footnote>
  <w:footnote w:id="107">
    <w:p w14:paraId="1E41B02C" w14:textId="573F48F6" w:rsidR="007E4F3B" w:rsidRPr="00911998" w:rsidRDefault="007E4F3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85.</w:t>
      </w:r>
    </w:p>
  </w:footnote>
  <w:footnote w:id="108">
    <w:p w14:paraId="374F5935" w14:textId="17575A0C" w:rsidR="00FD0522" w:rsidRPr="00911998" w:rsidRDefault="00FD0522" w:rsidP="00FD0522">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Les juges L’Heureux</w:t>
      </w:r>
      <w:r w:rsidRPr="00911998">
        <w:rPr>
          <w:rFonts w:cs="Arial"/>
        </w:rPr>
        <w:noBreakHyphen/>
        <w:t>Dubé, Gonthier et McLachlin.</w:t>
      </w:r>
      <w:r w:rsidR="004C4B1B" w:rsidRPr="00911998">
        <w:rPr>
          <w:rFonts w:cs="Arial"/>
        </w:rPr>
        <w:t xml:space="preserve"> </w:t>
      </w:r>
    </w:p>
  </w:footnote>
  <w:footnote w:id="109">
    <w:p w14:paraId="7357412C" w14:textId="52B1C640" w:rsidR="002A3F8F" w:rsidRPr="00911998" w:rsidRDefault="002A3F8F">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Godbout</w:t>
      </w:r>
      <w:r w:rsidRPr="00911998">
        <w:rPr>
          <w:rFonts w:cs="Arial"/>
        </w:rPr>
        <w:t>, précité.</w:t>
      </w:r>
    </w:p>
  </w:footnote>
  <w:footnote w:id="110">
    <w:p w14:paraId="10C39095" w14:textId="790A1C6E" w:rsidR="00E414BF" w:rsidRPr="00911998" w:rsidRDefault="00E414BF">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Les juges L’Heureux-Dubé et McLachlin.</w:t>
      </w:r>
    </w:p>
  </w:footnote>
  <w:footnote w:id="111">
    <w:p w14:paraId="2F8179C9" w14:textId="387C8BD2" w:rsidR="00D91C12" w:rsidRPr="00911998" w:rsidRDefault="00D91C12">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Pour une critique de la «</w:t>
      </w:r>
      <w:r w:rsidR="00012D64" w:rsidRPr="00911998">
        <w:rPr>
          <w:rFonts w:cs="Arial"/>
        </w:rPr>
        <w:t> </w:t>
      </w:r>
      <w:r w:rsidRPr="00911998">
        <w:rPr>
          <w:rFonts w:cs="Arial"/>
        </w:rPr>
        <w:t>liberté parentale</w:t>
      </w:r>
      <w:r w:rsidR="00012D64" w:rsidRPr="00911998">
        <w:rPr>
          <w:rFonts w:cs="Arial"/>
        </w:rPr>
        <w:t> </w:t>
      </w:r>
      <w:r w:rsidRPr="00911998">
        <w:rPr>
          <w:rFonts w:cs="Arial"/>
        </w:rPr>
        <w:t xml:space="preserve">» à titre de volet du droit à la liberté de l’article 7 de la </w:t>
      </w:r>
      <w:r w:rsidRPr="00911998">
        <w:rPr>
          <w:rFonts w:cs="Arial"/>
          <w:i/>
          <w:iCs/>
        </w:rPr>
        <w:t>Ch</w:t>
      </w:r>
      <w:r w:rsidR="00922546" w:rsidRPr="00911998">
        <w:rPr>
          <w:rFonts w:cs="Arial"/>
          <w:i/>
          <w:iCs/>
        </w:rPr>
        <w:t>a</w:t>
      </w:r>
      <w:r w:rsidRPr="00911998">
        <w:rPr>
          <w:rFonts w:cs="Arial"/>
          <w:i/>
          <w:iCs/>
        </w:rPr>
        <w:t>rte canadienne</w:t>
      </w:r>
      <w:r w:rsidRPr="00911998">
        <w:rPr>
          <w:rFonts w:cs="Arial"/>
        </w:rPr>
        <w:t>, voir : M.</w:t>
      </w:r>
      <w:r w:rsidR="005950C7" w:rsidRPr="00911998">
        <w:rPr>
          <w:rFonts w:cs="Arial"/>
        </w:rPr>
        <w:t> </w:t>
      </w:r>
      <w:r w:rsidRPr="00911998">
        <w:rPr>
          <w:rFonts w:cs="Arial"/>
        </w:rPr>
        <w:t>Carter, «</w:t>
      </w:r>
      <w:r w:rsidR="00012D64" w:rsidRPr="00911998">
        <w:rPr>
          <w:rFonts w:cs="Arial"/>
        </w:rPr>
        <w:t> </w:t>
      </w:r>
      <w:r w:rsidR="005E7A84" w:rsidRPr="00911998">
        <w:rPr>
          <w:rFonts w:cs="Arial"/>
        </w:rPr>
        <w:t> </w:t>
      </w:r>
      <w:r w:rsidR="006C117B" w:rsidRPr="00911998">
        <w:rPr>
          <w:i/>
          <w:iCs/>
          <w:sz w:val="22"/>
          <w:szCs w:val="22"/>
        </w:rPr>
        <w:t>“</w:t>
      </w:r>
      <w:proofErr w:type="spellStart"/>
      <w:r w:rsidRPr="00911998">
        <w:rPr>
          <w:rFonts w:cs="Arial"/>
          <w:i/>
          <w:iCs/>
        </w:rPr>
        <w:t>Debunking</w:t>
      </w:r>
      <w:proofErr w:type="spellEnd"/>
      <w:r w:rsidR="006C117B" w:rsidRPr="00911998">
        <w:rPr>
          <w:i/>
          <w:iCs/>
          <w:sz w:val="22"/>
          <w:szCs w:val="22"/>
        </w:rPr>
        <w:t xml:space="preserve">” </w:t>
      </w:r>
      <w:r w:rsidRPr="00911998">
        <w:rPr>
          <w:rFonts w:cs="Arial"/>
          <w:i/>
          <w:iCs/>
        </w:rPr>
        <w:t xml:space="preserve">Parents’ </w:t>
      </w:r>
      <w:proofErr w:type="spellStart"/>
      <w:r w:rsidRPr="00911998">
        <w:rPr>
          <w:rFonts w:cs="Arial"/>
          <w:i/>
          <w:iCs/>
        </w:rPr>
        <w:t>Rights</w:t>
      </w:r>
      <w:proofErr w:type="spellEnd"/>
      <w:r w:rsidRPr="00911998">
        <w:rPr>
          <w:rFonts w:cs="Arial"/>
          <w:i/>
          <w:iCs/>
        </w:rPr>
        <w:t xml:space="preserve"> in the Canadian </w:t>
      </w:r>
      <w:proofErr w:type="spellStart"/>
      <w:r w:rsidRPr="00911998">
        <w:rPr>
          <w:rFonts w:cs="Arial"/>
          <w:i/>
          <w:iCs/>
        </w:rPr>
        <w:t>Constitutional</w:t>
      </w:r>
      <w:proofErr w:type="spellEnd"/>
      <w:r w:rsidRPr="00911998">
        <w:rPr>
          <w:rFonts w:cs="Arial"/>
          <w:i/>
          <w:iCs/>
        </w:rPr>
        <w:t xml:space="preserve"> </w:t>
      </w:r>
      <w:proofErr w:type="spellStart"/>
      <w:r w:rsidRPr="00911998">
        <w:rPr>
          <w:rFonts w:cs="Arial"/>
          <w:i/>
          <w:iCs/>
        </w:rPr>
        <w:t>Context</w:t>
      </w:r>
      <w:proofErr w:type="spellEnd"/>
      <w:r w:rsidR="00012D64" w:rsidRPr="00911998">
        <w:rPr>
          <w:rFonts w:cs="Arial"/>
        </w:rPr>
        <w:t> </w:t>
      </w:r>
      <w:r w:rsidRPr="00911998">
        <w:rPr>
          <w:rFonts w:cs="Arial"/>
        </w:rPr>
        <w:t>» (2008) 86</w:t>
      </w:r>
      <w:r w:rsidR="00012D64" w:rsidRPr="00911998">
        <w:rPr>
          <w:rFonts w:cs="Arial"/>
        </w:rPr>
        <w:t> </w:t>
      </w:r>
      <w:r w:rsidRPr="00911998">
        <w:rPr>
          <w:rFonts w:cs="Arial"/>
          <w:i/>
          <w:iCs/>
        </w:rPr>
        <w:t xml:space="preserve">Revue du Barreau </w:t>
      </w:r>
      <w:r w:rsidR="00012D64" w:rsidRPr="00911998">
        <w:rPr>
          <w:rFonts w:cs="Arial"/>
          <w:i/>
          <w:iCs/>
        </w:rPr>
        <w:t>canadien </w:t>
      </w:r>
      <w:r w:rsidRPr="00911998">
        <w:rPr>
          <w:rFonts w:cs="Arial"/>
        </w:rPr>
        <w:t>479, p. 500</w:t>
      </w:r>
      <w:r w:rsidRPr="00911998">
        <w:rPr>
          <w:rFonts w:cs="Arial"/>
        </w:rPr>
        <w:noBreakHyphen/>
        <w:t xml:space="preserve">502. </w:t>
      </w:r>
    </w:p>
  </w:footnote>
  <w:footnote w:id="112">
    <w:p w14:paraId="5ED02C1A" w14:textId="16E418F1" w:rsidR="002A3F8F" w:rsidRPr="00911998" w:rsidRDefault="002A3F8F">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Dans l’affaire </w:t>
      </w:r>
      <w:r w:rsidRPr="00911998">
        <w:rPr>
          <w:rFonts w:cs="Arial"/>
          <w:i/>
          <w:iCs/>
        </w:rPr>
        <w:t>Centrale de l</w:t>
      </w:r>
      <w:r w:rsidR="00012D64" w:rsidRPr="00911998">
        <w:rPr>
          <w:rFonts w:cs="Arial"/>
          <w:i/>
          <w:iCs/>
        </w:rPr>
        <w:t>’</w:t>
      </w:r>
      <w:r w:rsidRPr="00911998">
        <w:rPr>
          <w:rFonts w:cs="Arial"/>
          <w:i/>
          <w:iCs/>
        </w:rPr>
        <w:t>enseignement du Québec c. Québec (Procureur général)</w:t>
      </w:r>
      <w:r w:rsidRPr="00911998">
        <w:rPr>
          <w:rFonts w:cs="Arial"/>
        </w:rPr>
        <w:t>, 1998</w:t>
      </w:r>
      <w:r w:rsidR="00205749" w:rsidRPr="00911998">
        <w:rPr>
          <w:rFonts w:cs="Arial"/>
        </w:rPr>
        <w:t> </w:t>
      </w:r>
      <w:r w:rsidRPr="00911998">
        <w:rPr>
          <w:rFonts w:cs="Arial"/>
        </w:rPr>
        <w:t>CanLII</w:t>
      </w:r>
      <w:r w:rsidR="00205749" w:rsidRPr="00911998">
        <w:rPr>
          <w:rFonts w:cs="Arial"/>
        </w:rPr>
        <w:t> </w:t>
      </w:r>
      <w:r w:rsidRPr="00911998">
        <w:rPr>
          <w:rFonts w:cs="Arial"/>
        </w:rPr>
        <w:t>12481 (QC CA), la juge Rousseau</w:t>
      </w:r>
      <w:r w:rsidRPr="00911998">
        <w:rPr>
          <w:rFonts w:cs="Arial"/>
        </w:rPr>
        <w:noBreakHyphen/>
        <w:t>Houle note l’absence d</w:t>
      </w:r>
      <w:r w:rsidR="00586953" w:rsidRPr="00911998">
        <w:rPr>
          <w:rFonts w:cs="Arial"/>
        </w:rPr>
        <w:t>’une</w:t>
      </w:r>
      <w:r w:rsidRPr="00911998">
        <w:rPr>
          <w:rFonts w:cs="Arial"/>
        </w:rPr>
        <w:t xml:space="preserve"> majorité au sein de la Cour suprême sur la question de la protection de la liberté parentale </w:t>
      </w:r>
      <w:r w:rsidR="0025447B" w:rsidRPr="00911998">
        <w:rPr>
          <w:rFonts w:cs="Arial"/>
        </w:rPr>
        <w:t>aux termes de</w:t>
      </w:r>
      <w:r w:rsidRPr="00911998">
        <w:rPr>
          <w:rFonts w:cs="Arial"/>
        </w:rPr>
        <w:t xml:space="preserve"> l’article 7 de la </w:t>
      </w:r>
      <w:r w:rsidRPr="00911998">
        <w:rPr>
          <w:rFonts w:cs="Arial"/>
          <w:i/>
          <w:iCs/>
        </w:rPr>
        <w:t>Charte canadienne</w:t>
      </w:r>
      <w:r w:rsidRPr="00911998">
        <w:rPr>
          <w:rFonts w:cs="Arial"/>
        </w:rPr>
        <w:t xml:space="preserve"> (p. 66)</w:t>
      </w:r>
      <w:r w:rsidR="00012D64" w:rsidRPr="00911998">
        <w:rPr>
          <w:rFonts w:cs="Arial"/>
        </w:rPr>
        <w:t> </w:t>
      </w:r>
      <w:r w:rsidRPr="00911998">
        <w:rPr>
          <w:rFonts w:cs="Arial"/>
        </w:rPr>
        <w:t xml:space="preserve">; </w:t>
      </w:r>
      <w:r w:rsidR="007E77BA" w:rsidRPr="00911998">
        <w:rPr>
          <w:rFonts w:cs="Arial"/>
        </w:rPr>
        <w:t>i</w:t>
      </w:r>
      <w:r w:rsidRPr="00911998">
        <w:rPr>
          <w:rFonts w:cs="Arial"/>
        </w:rPr>
        <w:t xml:space="preserve">l en est de même </w:t>
      </w:r>
      <w:r w:rsidR="004844A1" w:rsidRPr="00911998">
        <w:rPr>
          <w:rFonts w:cs="Arial"/>
        </w:rPr>
        <w:t>pour</w:t>
      </w:r>
      <w:r w:rsidRPr="00911998">
        <w:rPr>
          <w:rFonts w:cs="Arial"/>
        </w:rPr>
        <w:t xml:space="preserve"> la Cour d’appel de la Colombie</w:t>
      </w:r>
      <w:r w:rsidRPr="00911998">
        <w:rPr>
          <w:rFonts w:cs="Arial"/>
        </w:rPr>
        <w:noBreakHyphen/>
        <w:t>Britannique dans l’affaire</w:t>
      </w:r>
      <w:r w:rsidR="007E77BA" w:rsidRPr="00911998">
        <w:rPr>
          <w:rFonts w:cs="Arial"/>
        </w:rPr>
        <w:t xml:space="preserve"> </w:t>
      </w:r>
      <w:r w:rsidR="007E77BA" w:rsidRPr="00911998">
        <w:rPr>
          <w:rFonts w:cs="Arial"/>
          <w:i/>
          <w:iCs/>
        </w:rPr>
        <w:t>B.S. c. British Columbia (</w:t>
      </w:r>
      <w:proofErr w:type="spellStart"/>
      <w:r w:rsidR="007E77BA" w:rsidRPr="00911998">
        <w:rPr>
          <w:rFonts w:cs="Arial"/>
          <w:i/>
          <w:iCs/>
        </w:rPr>
        <w:t>Director</w:t>
      </w:r>
      <w:proofErr w:type="spellEnd"/>
      <w:r w:rsidR="007E77BA" w:rsidRPr="00911998">
        <w:rPr>
          <w:rFonts w:cs="Arial"/>
          <w:i/>
          <w:iCs/>
        </w:rPr>
        <w:t xml:space="preserve"> of Child, Family and Community Services)</w:t>
      </w:r>
      <w:r w:rsidR="007E77BA" w:rsidRPr="00911998">
        <w:rPr>
          <w:rFonts w:cs="Arial"/>
        </w:rPr>
        <w:t>, 1998</w:t>
      </w:r>
      <w:r w:rsidR="00012D64" w:rsidRPr="00911998">
        <w:rPr>
          <w:rFonts w:cs="Arial"/>
        </w:rPr>
        <w:t> </w:t>
      </w:r>
      <w:r w:rsidR="007E77BA" w:rsidRPr="00911998">
        <w:rPr>
          <w:rFonts w:cs="Arial"/>
        </w:rPr>
        <w:t>CanLII</w:t>
      </w:r>
      <w:r w:rsidR="00012D64" w:rsidRPr="00911998">
        <w:rPr>
          <w:rFonts w:cs="Arial"/>
        </w:rPr>
        <w:t> </w:t>
      </w:r>
      <w:r w:rsidR="007E77BA" w:rsidRPr="00911998">
        <w:rPr>
          <w:rFonts w:cs="Arial"/>
        </w:rPr>
        <w:t>5958 (BC</w:t>
      </w:r>
      <w:r w:rsidR="00E47E25" w:rsidRPr="00911998">
        <w:rPr>
          <w:rFonts w:cs="Arial"/>
        </w:rPr>
        <w:t> </w:t>
      </w:r>
      <w:r w:rsidR="007E77BA" w:rsidRPr="00911998">
        <w:rPr>
          <w:rFonts w:cs="Arial"/>
        </w:rPr>
        <w:t>CA), par. 37. Quant à la Cour d’appel de l’Alberta, elle présume, sans décider de la question, que l’article 7 protège la liberté parentale </w:t>
      </w:r>
      <w:r w:rsidR="0025447B" w:rsidRPr="00911998">
        <w:rPr>
          <w:rFonts w:cs="Arial"/>
        </w:rPr>
        <w:t>dans l’arrêt</w:t>
      </w:r>
      <w:r w:rsidR="007E77BA" w:rsidRPr="00911998">
        <w:rPr>
          <w:rFonts w:cs="Arial"/>
        </w:rPr>
        <w:t xml:space="preserve"> </w:t>
      </w:r>
      <w:r w:rsidR="007E77BA" w:rsidRPr="00911998">
        <w:rPr>
          <w:rFonts w:cs="Arial"/>
          <w:i/>
          <w:iCs/>
        </w:rPr>
        <w:t xml:space="preserve">C.J.S. </w:t>
      </w:r>
      <w:r w:rsidR="00214E1A" w:rsidRPr="00911998">
        <w:rPr>
          <w:rFonts w:cs="Arial"/>
          <w:i/>
          <w:iCs/>
        </w:rPr>
        <w:t>c</w:t>
      </w:r>
      <w:r w:rsidR="007E77BA" w:rsidRPr="00911998">
        <w:rPr>
          <w:rFonts w:cs="Arial"/>
          <w:i/>
          <w:iCs/>
        </w:rPr>
        <w:t>. K.L.</w:t>
      </w:r>
      <w:r w:rsidR="007E77BA" w:rsidRPr="00911998">
        <w:rPr>
          <w:rFonts w:cs="Arial"/>
        </w:rPr>
        <w:t>, 1997</w:t>
      </w:r>
      <w:r w:rsidR="00012D64" w:rsidRPr="00911998">
        <w:rPr>
          <w:rFonts w:cs="Arial"/>
        </w:rPr>
        <w:t> </w:t>
      </w:r>
      <w:r w:rsidR="007E77BA" w:rsidRPr="00911998">
        <w:rPr>
          <w:rFonts w:cs="Arial"/>
        </w:rPr>
        <w:t>ABCA</w:t>
      </w:r>
      <w:r w:rsidR="00012D64" w:rsidRPr="00911998">
        <w:rPr>
          <w:rFonts w:cs="Arial"/>
        </w:rPr>
        <w:t> </w:t>
      </w:r>
      <w:r w:rsidR="007E77BA" w:rsidRPr="00911998">
        <w:rPr>
          <w:rFonts w:cs="Arial"/>
        </w:rPr>
        <w:t>381, par. 19</w:t>
      </w:r>
      <w:r w:rsidR="00012D64" w:rsidRPr="00911998">
        <w:rPr>
          <w:rFonts w:cs="Arial"/>
        </w:rPr>
        <w:t> </w:t>
      </w:r>
      <w:r w:rsidR="007E77BA" w:rsidRPr="00911998">
        <w:rPr>
          <w:rFonts w:cs="Arial"/>
        </w:rPr>
        <w:t>; dans un autre arrêt, elle mentionne que la liberté sous l’article 7 entre possiblement en jeu («</w:t>
      </w:r>
      <w:r w:rsidR="00012D64" w:rsidRPr="00911998">
        <w:rPr>
          <w:rFonts w:cs="Arial"/>
        </w:rPr>
        <w:t> </w:t>
      </w:r>
      <w:proofErr w:type="spellStart"/>
      <w:r w:rsidR="007E77BA" w:rsidRPr="00911998">
        <w:rPr>
          <w:rFonts w:cs="Arial"/>
          <w:i/>
          <w:iCs/>
        </w:rPr>
        <w:t>arguably</w:t>
      </w:r>
      <w:proofErr w:type="spellEnd"/>
      <w:r w:rsidR="007E77BA" w:rsidRPr="00911998">
        <w:rPr>
          <w:rFonts w:cs="Arial"/>
          <w:i/>
          <w:iCs/>
        </w:rPr>
        <w:t xml:space="preserve"> </w:t>
      </w:r>
      <w:proofErr w:type="spellStart"/>
      <w:r w:rsidR="007E77BA" w:rsidRPr="00911998">
        <w:rPr>
          <w:rFonts w:cs="Arial"/>
          <w:i/>
          <w:iCs/>
        </w:rPr>
        <w:t>engaged</w:t>
      </w:r>
      <w:proofErr w:type="spellEnd"/>
      <w:r w:rsidR="00012D64" w:rsidRPr="00911998">
        <w:rPr>
          <w:rFonts w:cs="Arial"/>
        </w:rPr>
        <w:t> </w:t>
      </w:r>
      <w:r w:rsidR="007E77BA" w:rsidRPr="00911998">
        <w:rPr>
          <w:rFonts w:cs="Arial"/>
        </w:rPr>
        <w:t xml:space="preserve">») par la décision de devenir ou non un parent : </w:t>
      </w:r>
      <w:r w:rsidR="007E77BA" w:rsidRPr="00911998">
        <w:rPr>
          <w:rFonts w:cs="Arial"/>
          <w:i/>
          <w:iCs/>
        </w:rPr>
        <w:t xml:space="preserve">Doe </w:t>
      </w:r>
      <w:r w:rsidR="00214E1A" w:rsidRPr="00911998">
        <w:rPr>
          <w:rFonts w:cs="Arial"/>
          <w:i/>
          <w:iCs/>
        </w:rPr>
        <w:t>c</w:t>
      </w:r>
      <w:r w:rsidR="007E77BA" w:rsidRPr="00911998">
        <w:rPr>
          <w:rFonts w:cs="Arial"/>
          <w:i/>
          <w:iCs/>
        </w:rPr>
        <w:t>. Alberta</w:t>
      </w:r>
      <w:r w:rsidR="007E77BA" w:rsidRPr="00911998">
        <w:rPr>
          <w:rFonts w:cs="Arial"/>
        </w:rPr>
        <w:t>, 2007</w:t>
      </w:r>
      <w:r w:rsidR="00012D64" w:rsidRPr="00911998">
        <w:rPr>
          <w:rFonts w:cs="Arial"/>
        </w:rPr>
        <w:t> </w:t>
      </w:r>
      <w:r w:rsidR="007E77BA" w:rsidRPr="00911998">
        <w:rPr>
          <w:rFonts w:cs="Arial"/>
        </w:rPr>
        <w:t>ABCA</w:t>
      </w:r>
      <w:r w:rsidR="00012D64" w:rsidRPr="00911998">
        <w:rPr>
          <w:rFonts w:cs="Arial"/>
        </w:rPr>
        <w:t> </w:t>
      </w:r>
      <w:r w:rsidR="007E77BA" w:rsidRPr="00911998">
        <w:rPr>
          <w:rFonts w:cs="Arial"/>
        </w:rPr>
        <w:t xml:space="preserve">50, par. 27. En revanche, dans l’affaire </w:t>
      </w:r>
      <w:r w:rsidR="007E77BA" w:rsidRPr="00911998">
        <w:rPr>
          <w:rFonts w:cs="Arial"/>
          <w:i/>
          <w:iCs/>
        </w:rPr>
        <w:t xml:space="preserve">A.B. </w:t>
      </w:r>
      <w:r w:rsidR="00214E1A" w:rsidRPr="00911998">
        <w:rPr>
          <w:rFonts w:cs="Arial"/>
          <w:i/>
          <w:iCs/>
        </w:rPr>
        <w:t>c</w:t>
      </w:r>
      <w:r w:rsidR="007E77BA" w:rsidRPr="00911998">
        <w:rPr>
          <w:rFonts w:cs="Arial"/>
          <w:i/>
          <w:iCs/>
        </w:rPr>
        <w:t>. C.D.</w:t>
      </w:r>
      <w:r w:rsidR="007E77BA" w:rsidRPr="00911998">
        <w:rPr>
          <w:rFonts w:cs="Arial"/>
        </w:rPr>
        <w:t>, 2020</w:t>
      </w:r>
      <w:r w:rsidR="00012D64" w:rsidRPr="00911998">
        <w:rPr>
          <w:rFonts w:cs="Arial"/>
        </w:rPr>
        <w:t> </w:t>
      </w:r>
      <w:r w:rsidR="007E77BA" w:rsidRPr="00911998">
        <w:rPr>
          <w:rFonts w:cs="Arial"/>
        </w:rPr>
        <w:t>BCCA</w:t>
      </w:r>
      <w:r w:rsidR="00012D64" w:rsidRPr="00911998">
        <w:rPr>
          <w:rFonts w:cs="Arial"/>
        </w:rPr>
        <w:t> </w:t>
      </w:r>
      <w:r w:rsidR="007E77BA" w:rsidRPr="00911998">
        <w:rPr>
          <w:rFonts w:cs="Arial"/>
        </w:rPr>
        <w:t>11, la Cour d’appel de la Colombie</w:t>
      </w:r>
      <w:r w:rsidR="007E77BA" w:rsidRPr="00911998">
        <w:rPr>
          <w:rFonts w:cs="Arial"/>
        </w:rPr>
        <w:noBreakHyphen/>
        <w:t xml:space="preserve">Britannique mentionne que l’article 7 protège le droit des parents de prendre </w:t>
      </w:r>
      <w:r w:rsidR="00214E1A" w:rsidRPr="00911998">
        <w:rPr>
          <w:rFonts w:cs="Arial"/>
        </w:rPr>
        <w:t xml:space="preserve">des décisions pour leurs enfants concernant des questions fondamentales, comme les soins de santé (par. 208). Le juge en chef </w:t>
      </w:r>
      <w:proofErr w:type="spellStart"/>
      <w:r w:rsidR="00214E1A" w:rsidRPr="00911998">
        <w:rPr>
          <w:rFonts w:cs="Arial"/>
        </w:rPr>
        <w:t>Bauman</w:t>
      </w:r>
      <w:proofErr w:type="spellEnd"/>
      <w:r w:rsidR="00214E1A" w:rsidRPr="00911998">
        <w:rPr>
          <w:rFonts w:cs="Arial"/>
        </w:rPr>
        <w:t xml:space="preserve"> et la juge Fisher citent à l’appui l’arrêt </w:t>
      </w:r>
      <w:r w:rsidR="00214E1A" w:rsidRPr="00911998">
        <w:rPr>
          <w:rFonts w:cs="Arial"/>
          <w:i/>
          <w:iCs/>
        </w:rPr>
        <w:t>B. (R.)</w:t>
      </w:r>
      <w:r w:rsidR="00214E1A" w:rsidRPr="00911998">
        <w:rPr>
          <w:rFonts w:cs="Arial"/>
        </w:rPr>
        <w:t>, précité, sans mentionner que les motifs du juge La Forest sur cette question ne reçoivent pas l’adhésion de la majorité de ses collègues. L</w:t>
      </w:r>
      <w:r w:rsidR="009557E7" w:rsidRPr="00911998">
        <w:rPr>
          <w:rFonts w:cs="Arial"/>
        </w:rPr>
        <w:t>a</w:t>
      </w:r>
      <w:r w:rsidR="00214E1A" w:rsidRPr="00911998">
        <w:rPr>
          <w:rFonts w:cs="Arial"/>
        </w:rPr>
        <w:t xml:space="preserve"> même </w:t>
      </w:r>
      <w:r w:rsidR="009557E7" w:rsidRPr="00911998">
        <w:rPr>
          <w:rFonts w:cs="Arial"/>
        </w:rPr>
        <w:t>remarqu</w:t>
      </w:r>
      <w:r w:rsidR="00214E1A" w:rsidRPr="00911998">
        <w:rPr>
          <w:rFonts w:cs="Arial"/>
        </w:rPr>
        <w:t>e s’impose quant au jugement de la Cour divisionnaire de l’Ontario dans l’affaire </w:t>
      </w:r>
      <w:proofErr w:type="spellStart"/>
      <w:r w:rsidR="00214E1A" w:rsidRPr="00911998">
        <w:rPr>
          <w:rFonts w:cs="Arial"/>
          <w:i/>
          <w:iCs/>
        </w:rPr>
        <w:t>Kudrocova</w:t>
      </w:r>
      <w:proofErr w:type="spellEnd"/>
      <w:r w:rsidR="00214E1A" w:rsidRPr="00911998">
        <w:rPr>
          <w:rFonts w:cs="Arial"/>
          <w:i/>
          <w:iCs/>
        </w:rPr>
        <w:t xml:space="preserve"> c. Waterloo </w:t>
      </w:r>
      <w:proofErr w:type="spellStart"/>
      <w:r w:rsidR="00214E1A" w:rsidRPr="00911998">
        <w:rPr>
          <w:rFonts w:cs="Arial"/>
          <w:i/>
          <w:iCs/>
        </w:rPr>
        <w:t>Region</w:t>
      </w:r>
      <w:proofErr w:type="spellEnd"/>
      <w:r w:rsidR="00214E1A" w:rsidRPr="00911998">
        <w:rPr>
          <w:rFonts w:cs="Arial"/>
          <w:i/>
          <w:iCs/>
        </w:rPr>
        <w:t xml:space="preserve"> District </w:t>
      </w:r>
      <w:proofErr w:type="spellStart"/>
      <w:r w:rsidR="00214E1A" w:rsidRPr="00911998">
        <w:rPr>
          <w:rFonts w:cs="Arial"/>
          <w:i/>
          <w:iCs/>
        </w:rPr>
        <w:t>School</w:t>
      </w:r>
      <w:proofErr w:type="spellEnd"/>
      <w:r w:rsidR="00214E1A" w:rsidRPr="00911998">
        <w:rPr>
          <w:rFonts w:cs="Arial"/>
          <w:i/>
          <w:iCs/>
        </w:rPr>
        <w:t xml:space="preserve"> </w:t>
      </w:r>
      <w:proofErr w:type="spellStart"/>
      <w:r w:rsidR="00214E1A" w:rsidRPr="00911998">
        <w:rPr>
          <w:rFonts w:cs="Arial"/>
          <w:i/>
          <w:iCs/>
        </w:rPr>
        <w:t>Board</w:t>
      </w:r>
      <w:proofErr w:type="spellEnd"/>
      <w:r w:rsidR="00214E1A" w:rsidRPr="00911998">
        <w:rPr>
          <w:rFonts w:cs="Arial"/>
        </w:rPr>
        <w:t>, 2023</w:t>
      </w:r>
      <w:r w:rsidR="00012D64" w:rsidRPr="00911998">
        <w:rPr>
          <w:rFonts w:cs="Arial"/>
        </w:rPr>
        <w:t> </w:t>
      </w:r>
      <w:r w:rsidR="00214E1A" w:rsidRPr="00911998">
        <w:rPr>
          <w:rFonts w:cs="Arial"/>
        </w:rPr>
        <w:t>ONSC</w:t>
      </w:r>
      <w:r w:rsidR="00012D64" w:rsidRPr="00911998">
        <w:rPr>
          <w:rFonts w:cs="Arial"/>
        </w:rPr>
        <w:t> </w:t>
      </w:r>
      <w:r w:rsidR="00214E1A" w:rsidRPr="00911998">
        <w:rPr>
          <w:rFonts w:cs="Arial"/>
        </w:rPr>
        <w:t xml:space="preserve">6950, par. 40. </w:t>
      </w:r>
    </w:p>
  </w:footnote>
  <w:footnote w:id="113">
    <w:p w14:paraId="2EB8FFB7" w14:textId="3D9639E5" w:rsidR="004D189D" w:rsidRPr="00911998" w:rsidRDefault="004D189D">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Dans </w:t>
      </w:r>
      <w:proofErr w:type="spellStart"/>
      <w:r w:rsidRPr="00911998">
        <w:rPr>
          <w:rFonts w:cs="Arial"/>
          <w:i/>
          <w:iCs/>
        </w:rPr>
        <w:t>Karounis</w:t>
      </w:r>
      <w:proofErr w:type="spellEnd"/>
      <w:r w:rsidRPr="00911998">
        <w:rPr>
          <w:rFonts w:cs="Arial"/>
          <w:i/>
          <w:iCs/>
        </w:rPr>
        <w:t xml:space="preserve"> c. Procureur général du Québec</w:t>
      </w:r>
      <w:r w:rsidRPr="00911998">
        <w:rPr>
          <w:rFonts w:cs="Arial"/>
        </w:rPr>
        <w:t>, 2021</w:t>
      </w:r>
      <w:r w:rsidR="00012D64" w:rsidRPr="00911998">
        <w:rPr>
          <w:rFonts w:cs="Arial"/>
        </w:rPr>
        <w:t> </w:t>
      </w:r>
      <w:r w:rsidRPr="00911998">
        <w:rPr>
          <w:rFonts w:cs="Arial"/>
        </w:rPr>
        <w:t>QCCS</w:t>
      </w:r>
      <w:r w:rsidR="00012D64" w:rsidRPr="00911998">
        <w:rPr>
          <w:rFonts w:cs="Arial"/>
        </w:rPr>
        <w:t> </w:t>
      </w:r>
      <w:r w:rsidRPr="00911998">
        <w:rPr>
          <w:rFonts w:cs="Arial"/>
        </w:rPr>
        <w:t xml:space="preserve">310, cette Cour mentionne que la liberté parentale est protégée par l’article 7 de la </w:t>
      </w:r>
      <w:r w:rsidRPr="00911998">
        <w:rPr>
          <w:rFonts w:cs="Arial"/>
          <w:i/>
          <w:iCs/>
        </w:rPr>
        <w:t xml:space="preserve">Charte canadienne </w:t>
      </w:r>
      <w:r w:rsidRPr="00911998">
        <w:rPr>
          <w:rFonts w:cs="Arial"/>
        </w:rPr>
        <w:t>(par. 80). Or</w:t>
      </w:r>
      <w:r w:rsidR="0025447B" w:rsidRPr="00911998">
        <w:rPr>
          <w:rFonts w:cs="Arial"/>
        </w:rPr>
        <w:t>,</w:t>
      </w:r>
      <w:r w:rsidRPr="00911998">
        <w:rPr>
          <w:rFonts w:cs="Arial"/>
        </w:rPr>
        <w:t xml:space="preserve"> il s’agit d’un </w:t>
      </w:r>
      <w:r w:rsidRPr="00911998">
        <w:rPr>
          <w:rFonts w:cs="Arial"/>
          <w:i/>
          <w:iCs/>
        </w:rPr>
        <w:t xml:space="preserve">obiter dictum </w:t>
      </w:r>
      <w:r w:rsidR="004844A1" w:rsidRPr="00911998">
        <w:rPr>
          <w:rFonts w:cs="Arial"/>
        </w:rPr>
        <w:t>(</w:t>
      </w:r>
      <w:r w:rsidRPr="00911998">
        <w:rPr>
          <w:rFonts w:cs="Arial"/>
        </w:rPr>
        <w:t>fondé sur une admission du PGQ</w:t>
      </w:r>
      <w:r w:rsidR="004844A1" w:rsidRPr="00911998">
        <w:rPr>
          <w:rFonts w:cs="Arial"/>
        </w:rPr>
        <w:t>) qui</w:t>
      </w:r>
      <w:r w:rsidRPr="00911998">
        <w:rPr>
          <w:rFonts w:cs="Arial"/>
        </w:rPr>
        <w:t xml:space="preserve"> ne lie pas le Tribunal.</w:t>
      </w:r>
    </w:p>
  </w:footnote>
  <w:footnote w:id="114">
    <w:p w14:paraId="667ADEA5" w14:textId="0DE960C1" w:rsidR="00A95495" w:rsidRPr="00911998" w:rsidRDefault="00A95495" w:rsidP="00A95495">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5950C7" w:rsidRPr="00911998">
        <w:rPr>
          <w:rFonts w:cs="Arial"/>
        </w:rPr>
        <w:t>Il est loisible de s’interroger quant aux conséquences de l</w:t>
      </w:r>
      <w:r w:rsidRPr="00911998">
        <w:rPr>
          <w:rFonts w:cs="Arial"/>
        </w:rPr>
        <w:t>a reconnaissance de la «</w:t>
      </w:r>
      <w:r w:rsidR="00632582" w:rsidRPr="00911998">
        <w:rPr>
          <w:rFonts w:cs="Arial"/>
        </w:rPr>
        <w:t> </w:t>
      </w:r>
      <w:r w:rsidRPr="00911998">
        <w:rPr>
          <w:rFonts w:cs="Arial"/>
        </w:rPr>
        <w:t>liberté parentale</w:t>
      </w:r>
      <w:r w:rsidR="00632582" w:rsidRPr="00911998">
        <w:rPr>
          <w:rFonts w:cs="Arial"/>
        </w:rPr>
        <w:t> </w:t>
      </w:r>
      <w:r w:rsidRPr="00911998">
        <w:rPr>
          <w:rFonts w:cs="Arial"/>
        </w:rPr>
        <w:t xml:space="preserve">» à titre d’intérêt protégé par l’article 7 de la </w:t>
      </w:r>
      <w:r w:rsidRPr="00911998">
        <w:rPr>
          <w:rFonts w:cs="Arial"/>
          <w:i/>
          <w:iCs/>
        </w:rPr>
        <w:t>Charte canadienne</w:t>
      </w:r>
      <w:r w:rsidRPr="00911998">
        <w:rPr>
          <w:rFonts w:cs="Arial"/>
        </w:rPr>
        <w:t xml:space="preserve"> </w:t>
      </w:r>
      <w:r w:rsidR="005950C7" w:rsidRPr="00911998">
        <w:rPr>
          <w:rFonts w:cs="Arial"/>
        </w:rPr>
        <w:t>sur</w:t>
      </w:r>
      <w:r w:rsidRPr="00911998">
        <w:rPr>
          <w:rFonts w:cs="Arial"/>
        </w:rPr>
        <w:t xml:space="preserve"> l’exercice par le pouvoir judiciaire de la compétence accordée par les articles 16, 604 et 606</w:t>
      </w:r>
      <w:r w:rsidR="00632582" w:rsidRPr="00911998">
        <w:rPr>
          <w:rFonts w:cs="Arial"/>
        </w:rPr>
        <w:t> </w:t>
      </w:r>
      <w:r w:rsidRPr="00911998">
        <w:rPr>
          <w:rFonts w:cs="Arial"/>
        </w:rPr>
        <w:t>C.c.Q.</w:t>
      </w:r>
    </w:p>
  </w:footnote>
  <w:footnote w:id="115">
    <w:p w14:paraId="7F8FD911" w14:textId="6498E64F" w:rsidR="009E15B2" w:rsidRPr="00911998" w:rsidRDefault="009E15B2">
      <w:pPr>
        <w:pStyle w:val="Notedebasdepage"/>
      </w:pPr>
      <w:r w:rsidRPr="00911998">
        <w:rPr>
          <w:rStyle w:val="Appelnotedebasdep"/>
        </w:rPr>
        <w:footnoteRef/>
      </w:r>
      <w:r w:rsidRPr="00911998">
        <w:t xml:space="preserve"> </w:t>
      </w:r>
      <w:r w:rsidRPr="00911998">
        <w:tab/>
        <w:t>2010 QCCA 1561, par. 36 ; voir aussi le par. 31.</w:t>
      </w:r>
    </w:p>
  </w:footnote>
  <w:footnote w:id="116">
    <w:p w14:paraId="784DA34C" w14:textId="218217E2" w:rsidR="00A95495" w:rsidRPr="00911998" w:rsidRDefault="00A95495">
      <w:pPr>
        <w:pStyle w:val="Notedebasdepage"/>
      </w:pPr>
      <w:r w:rsidRPr="00911998">
        <w:rPr>
          <w:rStyle w:val="Appelnotedebasdep"/>
        </w:rPr>
        <w:footnoteRef/>
      </w:r>
      <w:r w:rsidRPr="00911998">
        <w:t xml:space="preserve"> </w:t>
      </w:r>
      <w:r w:rsidRPr="00911998">
        <w:tab/>
        <w:t xml:space="preserve">Le Tribunal ne retient pas l’argument du PGQ voulant que seul un parent reconnu conformément aux règles de la filiation </w:t>
      </w:r>
      <w:r w:rsidR="00632582" w:rsidRPr="00911998">
        <w:t>puisse</w:t>
      </w:r>
      <w:r w:rsidRPr="00911998">
        <w:t xml:space="preserve"> invoquer la «</w:t>
      </w:r>
      <w:r w:rsidR="00632582" w:rsidRPr="00911998">
        <w:t> </w:t>
      </w:r>
      <w:r w:rsidRPr="00911998">
        <w:t>liberté parentale</w:t>
      </w:r>
      <w:r w:rsidR="00632582" w:rsidRPr="00911998">
        <w:t> </w:t>
      </w:r>
      <w:r w:rsidRPr="00911998">
        <w:t>». Avec égards, il s’agit d’un argument circulaire qui fait dépendre l’étendu</w:t>
      </w:r>
      <w:r w:rsidR="008C7596" w:rsidRPr="00911998">
        <w:t>e</w:t>
      </w:r>
      <w:r w:rsidRPr="00911998">
        <w:t xml:space="preserve"> du droit à la liberté garanti par la </w:t>
      </w:r>
      <w:r w:rsidRPr="00911998">
        <w:rPr>
          <w:i/>
          <w:iCs/>
        </w:rPr>
        <w:t>Charte canadienne</w:t>
      </w:r>
      <w:r w:rsidRPr="00911998">
        <w:t xml:space="preserve"> </w:t>
      </w:r>
      <w:r w:rsidR="00870FD9" w:rsidRPr="00911998">
        <w:t>des</w:t>
      </w:r>
      <w:r w:rsidRPr="00911998">
        <w:t xml:space="preserve"> règles provinciales concernant la filiation </w:t>
      </w:r>
      <w:r w:rsidR="00632582" w:rsidRPr="00911998">
        <w:t>—</w:t>
      </w:r>
      <w:r w:rsidRPr="00911998">
        <w:t xml:space="preserve"> règles qui peuvent varier d</w:t>
      </w:r>
      <w:r w:rsidR="00963B63" w:rsidRPr="00911998">
        <w:t>’une</w:t>
      </w:r>
      <w:r w:rsidRPr="00911998">
        <w:t xml:space="preserve"> province </w:t>
      </w:r>
      <w:r w:rsidR="00963B63" w:rsidRPr="00911998">
        <w:t>à l’autre</w:t>
      </w:r>
      <w:r w:rsidRPr="00911998">
        <w:t>. Sans remettre en cause la diversité juridique</w:t>
      </w:r>
      <w:r w:rsidR="00963B63" w:rsidRPr="00911998">
        <w:t>,</w:t>
      </w:r>
      <w:r w:rsidRPr="00911998">
        <w:t xml:space="preserve"> qui est une caractéristique du fédéralisme canadien, l’étendu</w:t>
      </w:r>
      <w:r w:rsidR="008C7596" w:rsidRPr="00911998">
        <w:t>e</w:t>
      </w:r>
      <w:r w:rsidRPr="00911998">
        <w:t xml:space="preserve"> de la protection offerte par l’article 7 ne saurait dépendre de la province dans laquelle on se trouve.</w:t>
      </w:r>
    </w:p>
  </w:footnote>
  <w:footnote w:id="117">
    <w:p w14:paraId="6440B348" w14:textId="3D1B1B5F" w:rsidR="00867B9B" w:rsidRPr="00911998" w:rsidRDefault="00867B9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Notes et autorités des Demandeurs dans le </w:t>
      </w:r>
      <w:r w:rsidR="008F5FBC" w:rsidRPr="00911998">
        <w:rPr>
          <w:rFonts w:cs="Arial"/>
        </w:rPr>
        <w:t>Dossier de la Coalition</w:t>
      </w:r>
      <w:r w:rsidRPr="00911998">
        <w:rPr>
          <w:rFonts w:cs="Arial"/>
        </w:rPr>
        <w:t>, par. 442.</w:t>
      </w:r>
    </w:p>
  </w:footnote>
  <w:footnote w:id="118">
    <w:p w14:paraId="6E8153F4" w14:textId="6FB9E685" w:rsidR="00BB22E2" w:rsidRPr="00911998" w:rsidRDefault="00BB22E2">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shd w:val="clear" w:color="auto" w:fill="FFFFFF"/>
        </w:rPr>
        <w:t>Droit de la famille — 191677</w:t>
      </w:r>
      <w:r w:rsidRPr="00911998">
        <w:rPr>
          <w:rFonts w:cs="Arial"/>
          <w:shd w:val="clear" w:color="auto" w:fill="FFFFFF"/>
        </w:rPr>
        <w:t>, p</w:t>
      </w:r>
      <w:r w:rsidRPr="00911998">
        <w:rPr>
          <w:rFonts w:cs="Arial"/>
        </w:rPr>
        <w:t>récité, par. 105.</w:t>
      </w:r>
    </w:p>
  </w:footnote>
  <w:footnote w:id="119">
    <w:p w14:paraId="47B6E1AE" w14:textId="3AE7B87E" w:rsidR="00BB22E2" w:rsidRPr="00911998" w:rsidRDefault="00BB22E2">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shd w:val="clear" w:color="auto" w:fill="FFFFFF"/>
        </w:rPr>
        <w:t>Droit de la famille — 221341</w:t>
      </w:r>
      <w:r w:rsidRPr="00911998">
        <w:rPr>
          <w:rFonts w:cs="Arial"/>
          <w:shd w:val="clear" w:color="auto" w:fill="FFFFFF"/>
        </w:rPr>
        <w:t>, 2022 QCCA 1036, par. 12.</w:t>
      </w:r>
    </w:p>
  </w:footnote>
  <w:footnote w:id="120">
    <w:p w14:paraId="787F9933" w14:textId="6DBB4F5D" w:rsidR="00554E25" w:rsidRPr="00911998" w:rsidRDefault="00554E25">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Précité, par. 105</w:t>
      </w:r>
      <w:r w:rsidR="00B37A7D" w:rsidRPr="00911998">
        <w:rPr>
          <w:rFonts w:cs="Arial"/>
        </w:rPr>
        <w:t>.</w:t>
      </w:r>
      <w:r w:rsidRPr="00911998">
        <w:rPr>
          <w:rFonts w:cs="Arial"/>
        </w:rPr>
        <w:t xml:space="preserve"> </w:t>
      </w:r>
    </w:p>
  </w:footnote>
  <w:footnote w:id="121">
    <w:p w14:paraId="00F66EB3" w14:textId="2BAEEABD" w:rsidR="00B37A7D" w:rsidRPr="00911998" w:rsidRDefault="00B37A7D">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Dans l’arrêt </w:t>
      </w:r>
      <w:proofErr w:type="gramStart"/>
      <w:r w:rsidRPr="00911998">
        <w:rPr>
          <w:rFonts w:cs="Arial"/>
          <w:i/>
          <w:iCs/>
          <w:spacing w:val="-3"/>
        </w:rPr>
        <w:t>C.(</w:t>
      </w:r>
      <w:proofErr w:type="gramEnd"/>
      <w:r w:rsidRPr="00911998">
        <w:rPr>
          <w:rFonts w:cs="Arial"/>
          <w:i/>
          <w:iCs/>
          <w:spacing w:val="-3"/>
        </w:rPr>
        <w:t>G.) c. V.</w:t>
      </w:r>
      <w:r w:rsidRPr="00911998">
        <w:rPr>
          <w:rFonts w:cs="Arial"/>
          <w:i/>
          <w:iCs/>
          <w:spacing w:val="-3"/>
        </w:rPr>
        <w:noBreakHyphen/>
        <w:t>F.(T.)</w:t>
      </w:r>
      <w:r w:rsidRPr="00911998">
        <w:rPr>
          <w:rFonts w:cs="Arial"/>
          <w:spacing w:val="-3"/>
        </w:rPr>
        <w:t xml:space="preserve">, [1987] 2 RCS 244, la Cour suprême du Canada invoque l’intérêt de l’enfant codifié à l’article 30 du </w:t>
      </w:r>
      <w:r w:rsidRPr="00911998">
        <w:rPr>
          <w:rFonts w:cs="Arial"/>
          <w:i/>
          <w:iCs/>
          <w:spacing w:val="-3"/>
        </w:rPr>
        <w:t>Code civil du Bas</w:t>
      </w:r>
      <w:r w:rsidRPr="00911998">
        <w:rPr>
          <w:rFonts w:cs="Arial"/>
          <w:i/>
          <w:iCs/>
          <w:spacing w:val="-3"/>
        </w:rPr>
        <w:noBreakHyphen/>
        <w:t xml:space="preserve">Canada </w:t>
      </w:r>
      <w:r w:rsidRPr="00911998">
        <w:rPr>
          <w:rFonts w:cs="Arial"/>
          <w:spacing w:val="-3"/>
        </w:rPr>
        <w:t>(maintenant l’article 33 C.c.Q.) pour conclure que la garde d’un enfant peut être confié à un tiers, sans que les parents de celui</w:t>
      </w:r>
      <w:r w:rsidRPr="00911998">
        <w:rPr>
          <w:rFonts w:cs="Arial"/>
          <w:spacing w:val="-3"/>
        </w:rPr>
        <w:noBreakHyphen/>
        <w:t>ci soient déchus, en totalité ou en partie, de leur autorité parentale</w:t>
      </w:r>
      <w:r w:rsidR="00205749" w:rsidRPr="00911998">
        <w:rPr>
          <w:rFonts w:cs="Arial"/>
          <w:spacing w:val="-3"/>
        </w:rPr>
        <w:t xml:space="preserve"> (p. 267</w:t>
      </w:r>
      <w:r w:rsidR="00205749" w:rsidRPr="00911998">
        <w:rPr>
          <w:rFonts w:cs="Arial"/>
          <w:spacing w:val="-3"/>
        </w:rPr>
        <w:noBreakHyphen/>
        <w:t>272) </w:t>
      </w:r>
      <w:r w:rsidR="00EA02A7" w:rsidRPr="00911998">
        <w:rPr>
          <w:rFonts w:cs="Arial"/>
          <w:spacing w:val="-3"/>
        </w:rPr>
        <w:t xml:space="preserve">; voir également : </w:t>
      </w:r>
      <w:r w:rsidR="00EA02A7" w:rsidRPr="00911998">
        <w:rPr>
          <w:rFonts w:cs="Arial"/>
          <w:i/>
          <w:iCs/>
          <w:spacing w:val="-3"/>
        </w:rPr>
        <w:t>Droit de la famille – 072895</w:t>
      </w:r>
      <w:r w:rsidR="00EA02A7" w:rsidRPr="00911998">
        <w:rPr>
          <w:rFonts w:cs="Arial"/>
          <w:spacing w:val="-3"/>
        </w:rPr>
        <w:t>, 2007</w:t>
      </w:r>
      <w:r w:rsidR="00E47E25" w:rsidRPr="00911998">
        <w:rPr>
          <w:rFonts w:cs="Arial"/>
          <w:spacing w:val="-3"/>
        </w:rPr>
        <w:t> </w:t>
      </w:r>
      <w:r w:rsidR="00EA02A7" w:rsidRPr="00911998">
        <w:rPr>
          <w:rFonts w:cs="Arial"/>
          <w:spacing w:val="-3"/>
        </w:rPr>
        <w:t>QCCA</w:t>
      </w:r>
      <w:r w:rsidR="00E47E25" w:rsidRPr="00911998">
        <w:rPr>
          <w:rFonts w:cs="Arial"/>
          <w:spacing w:val="-3"/>
        </w:rPr>
        <w:t> </w:t>
      </w:r>
      <w:r w:rsidR="00EA02A7" w:rsidRPr="00911998">
        <w:rPr>
          <w:rFonts w:cs="Arial"/>
          <w:spacing w:val="-3"/>
        </w:rPr>
        <w:t>1640, par. 49</w:t>
      </w:r>
      <w:r w:rsidR="00EA02A7" w:rsidRPr="00911998">
        <w:rPr>
          <w:rFonts w:cs="Arial"/>
          <w:spacing w:val="-3"/>
        </w:rPr>
        <w:noBreakHyphen/>
        <w:t>51</w:t>
      </w:r>
      <w:r w:rsidR="00E47E25" w:rsidRPr="00911998">
        <w:rPr>
          <w:rFonts w:cs="Arial"/>
          <w:shd w:val="clear" w:color="auto" w:fill="FFFFFF"/>
        </w:rPr>
        <w:t> ;</w:t>
      </w:r>
      <w:r w:rsidR="00862F4D" w:rsidRPr="00911998">
        <w:rPr>
          <w:rFonts w:cs="Arial"/>
          <w:spacing w:val="-3"/>
        </w:rPr>
        <w:t xml:space="preserve"> </w:t>
      </w:r>
      <w:r w:rsidR="00862F4D" w:rsidRPr="00911998">
        <w:rPr>
          <w:rFonts w:cs="Arial"/>
          <w:i/>
          <w:iCs/>
          <w:spacing w:val="-3"/>
        </w:rPr>
        <w:t>Droit de la famille – 092011</w:t>
      </w:r>
      <w:r w:rsidR="00862F4D" w:rsidRPr="00911998">
        <w:rPr>
          <w:rFonts w:cs="Arial"/>
          <w:spacing w:val="-3"/>
        </w:rPr>
        <w:t xml:space="preserve">, 2009 QCCS 3782 </w:t>
      </w:r>
      <w:r w:rsidR="00E47E25" w:rsidRPr="00911998">
        <w:rPr>
          <w:rFonts w:cs="Arial"/>
          <w:spacing w:val="-3"/>
        </w:rPr>
        <w:t>(</w:t>
      </w:r>
      <w:r w:rsidR="00862F4D" w:rsidRPr="00911998">
        <w:rPr>
          <w:rFonts w:cs="Arial"/>
          <w:spacing w:val="-3"/>
        </w:rPr>
        <w:t>appel rejeté 2010</w:t>
      </w:r>
      <w:r w:rsidR="00E47E25" w:rsidRPr="00911998">
        <w:rPr>
          <w:rFonts w:cs="Arial"/>
          <w:spacing w:val="-3"/>
        </w:rPr>
        <w:t> </w:t>
      </w:r>
      <w:r w:rsidR="00862F4D" w:rsidRPr="00911998">
        <w:rPr>
          <w:rFonts w:cs="Arial"/>
          <w:spacing w:val="-3"/>
        </w:rPr>
        <w:t>QCCA</w:t>
      </w:r>
      <w:r w:rsidR="00E47E25" w:rsidRPr="00911998">
        <w:rPr>
          <w:rFonts w:cs="Arial"/>
          <w:spacing w:val="-3"/>
        </w:rPr>
        <w:t> </w:t>
      </w:r>
      <w:r w:rsidR="00862F4D" w:rsidRPr="00911998">
        <w:rPr>
          <w:rFonts w:cs="Arial"/>
          <w:spacing w:val="-3"/>
        </w:rPr>
        <w:t>1561</w:t>
      </w:r>
      <w:r w:rsidR="00E47E25" w:rsidRPr="00911998">
        <w:rPr>
          <w:rFonts w:cs="Arial"/>
          <w:spacing w:val="-3"/>
        </w:rPr>
        <w:t>)</w:t>
      </w:r>
      <w:r w:rsidR="00EA02A7" w:rsidRPr="00911998">
        <w:rPr>
          <w:rFonts w:cs="Arial"/>
          <w:spacing w:val="-3"/>
        </w:rPr>
        <w:t>.</w:t>
      </w:r>
    </w:p>
  </w:footnote>
  <w:footnote w:id="122">
    <w:p w14:paraId="75FE308D" w14:textId="1AD70618" w:rsidR="00644A28" w:rsidRPr="00911998" w:rsidRDefault="00644A28">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Notes et autorités des Demandeurs dans le </w:t>
      </w:r>
      <w:r w:rsidR="008F5FBC" w:rsidRPr="00911998">
        <w:rPr>
          <w:rFonts w:cs="Arial"/>
        </w:rPr>
        <w:t>Dossier de la Coalition</w:t>
      </w:r>
      <w:r w:rsidRPr="00911998">
        <w:rPr>
          <w:rFonts w:cs="Arial"/>
        </w:rPr>
        <w:t>, par. 435.</w:t>
      </w:r>
    </w:p>
  </w:footnote>
  <w:footnote w:id="123">
    <w:p w14:paraId="41BE889B" w14:textId="10EBEB41" w:rsidR="0082315B" w:rsidRPr="00911998" w:rsidRDefault="0082315B" w:rsidP="0082315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proofErr w:type="spellStart"/>
      <w:r w:rsidRPr="00911998">
        <w:rPr>
          <w:rFonts w:cs="Arial"/>
          <w:i/>
          <w:iCs/>
          <w:shd w:val="clear" w:color="auto" w:fill="FFFFFF"/>
        </w:rPr>
        <w:t>Chaoulli</w:t>
      </w:r>
      <w:proofErr w:type="spellEnd"/>
      <w:r w:rsidRPr="00911998">
        <w:rPr>
          <w:rFonts w:cs="Arial"/>
          <w:i/>
          <w:iCs/>
          <w:shd w:val="clear" w:color="auto" w:fill="FFFFFF"/>
        </w:rPr>
        <w:t xml:space="preserve"> c. Québec (Procureur général)</w:t>
      </w:r>
      <w:r w:rsidRPr="00911998">
        <w:rPr>
          <w:rFonts w:cs="Arial"/>
          <w:shd w:val="clear" w:color="auto" w:fill="FFFFFF"/>
        </w:rPr>
        <w:t>, 2005</w:t>
      </w:r>
      <w:r w:rsidR="003706C9" w:rsidRPr="00911998">
        <w:rPr>
          <w:rFonts w:cs="Arial"/>
          <w:shd w:val="clear" w:color="auto" w:fill="FFFFFF"/>
        </w:rPr>
        <w:t> </w:t>
      </w:r>
      <w:r w:rsidRPr="00911998">
        <w:rPr>
          <w:rFonts w:cs="Arial"/>
          <w:shd w:val="clear" w:color="auto" w:fill="FFFFFF"/>
        </w:rPr>
        <w:t>CSC</w:t>
      </w:r>
      <w:r w:rsidR="003706C9" w:rsidRPr="00911998">
        <w:rPr>
          <w:rFonts w:cs="Arial"/>
          <w:shd w:val="clear" w:color="auto" w:fill="FFFFFF"/>
        </w:rPr>
        <w:t> </w:t>
      </w:r>
      <w:r w:rsidRPr="00911998">
        <w:rPr>
          <w:rFonts w:cs="Arial"/>
          <w:shd w:val="clear" w:color="auto" w:fill="FFFFFF"/>
        </w:rPr>
        <w:t>35, par. 29 [</w:t>
      </w:r>
      <w:proofErr w:type="spellStart"/>
      <w:r w:rsidRPr="00911998">
        <w:rPr>
          <w:rFonts w:cs="Arial"/>
          <w:b/>
          <w:bCs/>
          <w:i/>
          <w:iCs/>
          <w:shd w:val="clear" w:color="auto" w:fill="FFFFFF"/>
        </w:rPr>
        <w:t>Chaoulli</w:t>
      </w:r>
      <w:proofErr w:type="spellEnd"/>
      <w:r w:rsidRPr="00911998">
        <w:rPr>
          <w:rFonts w:cs="Arial"/>
          <w:shd w:val="clear" w:color="auto" w:fill="FFFFFF"/>
        </w:rPr>
        <w:t>].</w:t>
      </w:r>
    </w:p>
  </w:footnote>
  <w:footnote w:id="124">
    <w:p w14:paraId="7E3074BA" w14:textId="7879D361" w:rsidR="00675DD5" w:rsidRPr="00911998" w:rsidRDefault="00675DD5">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29</w:t>
      </w:r>
      <w:r w:rsidRPr="00911998">
        <w:rPr>
          <w:rFonts w:cs="Arial"/>
        </w:rPr>
        <w:noBreakHyphen/>
        <w:t>30.</w:t>
      </w:r>
    </w:p>
  </w:footnote>
  <w:footnote w:id="125">
    <w:p w14:paraId="68E9FB01" w14:textId="4E3DDDA1" w:rsidR="00BF293F" w:rsidRPr="00911998" w:rsidRDefault="00BF293F">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28.</w:t>
      </w:r>
    </w:p>
  </w:footnote>
  <w:footnote w:id="126">
    <w:p w14:paraId="2365DAFC" w14:textId="37457035" w:rsidR="00BF293F" w:rsidRPr="00911998" w:rsidRDefault="00BF293F">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41</w:t>
      </w:r>
      <w:r w:rsidR="003706C9" w:rsidRPr="00911998">
        <w:rPr>
          <w:rFonts w:cs="Arial"/>
        </w:rPr>
        <w:t> </w:t>
      </w:r>
      <w:r w:rsidRPr="00911998">
        <w:rPr>
          <w:rFonts w:cs="Arial"/>
        </w:rPr>
        <w:t xml:space="preserve">; </w:t>
      </w:r>
      <w:r w:rsidR="005E6BAE" w:rsidRPr="00911998">
        <w:rPr>
          <w:rFonts w:cs="Arial"/>
        </w:rPr>
        <w:t xml:space="preserve">dans l’arrêt </w:t>
      </w:r>
      <w:r w:rsidR="005E6BAE" w:rsidRPr="00911998">
        <w:rPr>
          <w:rFonts w:cs="Arial"/>
          <w:i/>
          <w:iCs/>
          <w:shd w:val="clear" w:color="auto" w:fill="FFFFFF"/>
        </w:rPr>
        <w:t>Québec (Curateur public) c. Syndicat national des employés de l</w:t>
      </w:r>
      <w:r w:rsidR="003706C9" w:rsidRPr="00911998">
        <w:rPr>
          <w:rFonts w:cs="Arial"/>
          <w:i/>
          <w:iCs/>
          <w:shd w:val="clear" w:color="auto" w:fill="FFFFFF"/>
        </w:rPr>
        <w:t>’</w:t>
      </w:r>
      <w:r w:rsidR="005E6BAE" w:rsidRPr="00911998">
        <w:rPr>
          <w:rFonts w:cs="Arial"/>
          <w:i/>
          <w:iCs/>
          <w:shd w:val="clear" w:color="auto" w:fill="FFFFFF"/>
        </w:rPr>
        <w:t>hôpital St</w:t>
      </w:r>
      <w:r w:rsidR="003D49B9" w:rsidRPr="00911998">
        <w:rPr>
          <w:rFonts w:cs="Arial"/>
          <w:i/>
          <w:iCs/>
          <w:shd w:val="clear" w:color="auto" w:fill="FFFFFF"/>
        </w:rPr>
        <w:noBreakHyphen/>
      </w:r>
      <w:r w:rsidR="005E6BAE" w:rsidRPr="00911998">
        <w:rPr>
          <w:rFonts w:cs="Arial"/>
          <w:i/>
          <w:iCs/>
          <w:shd w:val="clear" w:color="auto" w:fill="FFFFFF"/>
        </w:rPr>
        <w:t>Ferdinand</w:t>
      </w:r>
      <w:r w:rsidR="005E6BAE" w:rsidRPr="00911998">
        <w:rPr>
          <w:rFonts w:cs="Arial"/>
          <w:shd w:val="clear" w:color="auto" w:fill="FFFFFF"/>
        </w:rPr>
        <w:t>, [1996] 3</w:t>
      </w:r>
      <w:r w:rsidR="003706C9" w:rsidRPr="00911998">
        <w:rPr>
          <w:rFonts w:cs="Arial"/>
          <w:shd w:val="clear" w:color="auto" w:fill="FFFFFF"/>
        </w:rPr>
        <w:t> </w:t>
      </w:r>
      <w:r w:rsidR="005E6BAE" w:rsidRPr="00911998">
        <w:rPr>
          <w:rFonts w:cs="Arial"/>
          <w:shd w:val="clear" w:color="auto" w:fill="FFFFFF"/>
        </w:rPr>
        <w:t>RCS</w:t>
      </w:r>
      <w:r w:rsidR="003706C9" w:rsidRPr="00911998">
        <w:rPr>
          <w:rFonts w:cs="Arial"/>
          <w:shd w:val="clear" w:color="auto" w:fill="FFFFFF"/>
        </w:rPr>
        <w:t> </w:t>
      </w:r>
      <w:r w:rsidR="005E6BAE" w:rsidRPr="00911998">
        <w:rPr>
          <w:rFonts w:cs="Arial"/>
          <w:shd w:val="clear" w:color="auto" w:fill="FFFFFF"/>
        </w:rPr>
        <w:t>211</w:t>
      </w:r>
      <w:r w:rsidR="00205749" w:rsidRPr="00911998">
        <w:rPr>
          <w:rFonts w:cs="Arial"/>
          <w:shd w:val="clear" w:color="auto" w:fill="FFFFFF"/>
        </w:rPr>
        <w:t xml:space="preserve"> [</w:t>
      </w:r>
      <w:r w:rsidR="00205749" w:rsidRPr="00911998">
        <w:rPr>
          <w:rFonts w:cs="Arial"/>
          <w:b/>
          <w:bCs/>
          <w:i/>
          <w:iCs/>
          <w:shd w:val="clear" w:color="auto" w:fill="FFFFFF"/>
        </w:rPr>
        <w:t>St</w:t>
      </w:r>
      <w:r w:rsidR="00205749" w:rsidRPr="00911998">
        <w:rPr>
          <w:rFonts w:cs="Arial"/>
          <w:b/>
          <w:bCs/>
          <w:i/>
          <w:iCs/>
          <w:shd w:val="clear" w:color="auto" w:fill="FFFFFF"/>
        </w:rPr>
        <w:noBreakHyphen/>
        <w:t>Ferdinand</w:t>
      </w:r>
      <w:r w:rsidR="00205749" w:rsidRPr="00911998">
        <w:rPr>
          <w:rFonts w:cs="Arial"/>
          <w:shd w:val="clear" w:color="auto" w:fill="FFFFFF"/>
        </w:rPr>
        <w:t>]</w:t>
      </w:r>
      <w:r w:rsidR="005E6BAE" w:rsidRPr="00911998">
        <w:rPr>
          <w:rFonts w:cs="Arial"/>
          <w:shd w:val="clear" w:color="auto" w:fill="FFFFFF"/>
        </w:rPr>
        <w:t xml:space="preserve">, la Cour suprême </w:t>
      </w:r>
      <w:r w:rsidR="009B1DDE" w:rsidRPr="00911998">
        <w:rPr>
          <w:rFonts w:cs="Arial"/>
          <w:shd w:val="clear" w:color="auto" w:fill="FFFFFF"/>
        </w:rPr>
        <w:t xml:space="preserve">du Canada </w:t>
      </w:r>
      <w:r w:rsidR="005E6BAE" w:rsidRPr="00911998">
        <w:rPr>
          <w:rFonts w:cs="Arial"/>
          <w:shd w:val="clear" w:color="auto" w:fill="FFFFFF"/>
        </w:rPr>
        <w:t xml:space="preserve">précise que </w:t>
      </w:r>
      <w:r w:rsidR="009B1DDE" w:rsidRPr="00911998">
        <w:rPr>
          <w:rFonts w:cs="Arial"/>
          <w:shd w:val="clear" w:color="auto" w:fill="FFFFFF"/>
        </w:rPr>
        <w:t xml:space="preserve">l’article 1 de la </w:t>
      </w:r>
      <w:r w:rsidR="009B1DDE" w:rsidRPr="00911998">
        <w:rPr>
          <w:rFonts w:cs="Arial"/>
          <w:i/>
          <w:iCs/>
          <w:shd w:val="clear" w:color="auto" w:fill="FFFFFF"/>
        </w:rPr>
        <w:t xml:space="preserve">Charte québécoise </w:t>
      </w:r>
      <w:r w:rsidR="009B1DDE" w:rsidRPr="00911998">
        <w:rPr>
          <w:rFonts w:cs="Arial"/>
          <w:shd w:val="clear" w:color="auto" w:fill="FFFFFF"/>
        </w:rPr>
        <w:t>vise «</w:t>
      </w:r>
      <w:r w:rsidR="003706C9" w:rsidRPr="00911998">
        <w:rPr>
          <w:rFonts w:cs="Arial"/>
          <w:shd w:val="clear" w:color="auto" w:fill="FFFFFF"/>
        </w:rPr>
        <w:t> </w:t>
      </w:r>
      <w:r w:rsidR="009B1DDE" w:rsidRPr="00911998">
        <w:rPr>
          <w:rFonts w:cs="Arial"/>
        </w:rPr>
        <w:t>vise à la fois l</w:t>
      </w:r>
      <w:r w:rsidR="003706C9" w:rsidRPr="00911998">
        <w:rPr>
          <w:rFonts w:cs="Arial"/>
        </w:rPr>
        <w:t>’</w:t>
      </w:r>
      <w:r w:rsidR="009B1DDE" w:rsidRPr="00911998">
        <w:rPr>
          <w:rFonts w:cs="Arial"/>
        </w:rPr>
        <w:t>intégrité physique, psychologique, morale et sociale</w:t>
      </w:r>
      <w:r w:rsidR="003706C9" w:rsidRPr="00911998">
        <w:rPr>
          <w:rFonts w:cs="Arial"/>
        </w:rPr>
        <w:t> </w:t>
      </w:r>
      <w:r w:rsidR="009B1DDE" w:rsidRPr="00911998">
        <w:rPr>
          <w:rFonts w:cs="Arial"/>
        </w:rPr>
        <w:t>» (par. 95).</w:t>
      </w:r>
    </w:p>
  </w:footnote>
  <w:footnote w:id="127">
    <w:p w14:paraId="50BD92D1" w14:textId="67A53879" w:rsidR="00E0568B" w:rsidRPr="00911998" w:rsidRDefault="00E0568B" w:rsidP="00E0568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St</w:t>
      </w:r>
      <w:r w:rsidRPr="00911998">
        <w:rPr>
          <w:rFonts w:cs="Arial"/>
          <w:i/>
          <w:iCs/>
        </w:rPr>
        <w:noBreakHyphen/>
        <w:t>Ferdinand</w:t>
      </w:r>
      <w:r w:rsidRPr="00911998">
        <w:rPr>
          <w:rFonts w:cs="Arial"/>
        </w:rPr>
        <w:t xml:space="preserve">, </w:t>
      </w:r>
      <w:r w:rsidR="00205749" w:rsidRPr="00911998">
        <w:rPr>
          <w:rFonts w:cs="Arial"/>
        </w:rPr>
        <w:t>précité</w:t>
      </w:r>
      <w:r w:rsidRPr="00911998">
        <w:rPr>
          <w:rFonts w:cs="Arial"/>
        </w:rPr>
        <w:t>, par. 105.</w:t>
      </w:r>
    </w:p>
  </w:footnote>
  <w:footnote w:id="128">
    <w:p w14:paraId="13B6388A" w14:textId="3648E200" w:rsidR="00E0568B" w:rsidRPr="00911998" w:rsidRDefault="00E0568B" w:rsidP="00E0568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Ward c. Québec (Commission des droits de la personne et des droits de la jeunesse)</w:t>
      </w:r>
      <w:r w:rsidRPr="00911998">
        <w:rPr>
          <w:rFonts w:cs="Arial"/>
        </w:rPr>
        <w:t>, 2021</w:t>
      </w:r>
      <w:r w:rsidR="00205749" w:rsidRPr="00911998">
        <w:rPr>
          <w:rFonts w:cs="Arial"/>
        </w:rPr>
        <w:t> </w:t>
      </w:r>
      <w:r w:rsidRPr="00911998">
        <w:rPr>
          <w:rFonts w:cs="Arial"/>
        </w:rPr>
        <w:t>CSC 43, par. 56 [</w:t>
      </w:r>
      <w:r w:rsidRPr="00911998">
        <w:rPr>
          <w:rFonts w:cs="Arial"/>
          <w:b/>
          <w:bCs/>
          <w:i/>
          <w:iCs/>
        </w:rPr>
        <w:t>Ward</w:t>
      </w:r>
      <w:r w:rsidRPr="00911998">
        <w:rPr>
          <w:rFonts w:cs="Arial"/>
        </w:rPr>
        <w:t>].</w:t>
      </w:r>
    </w:p>
  </w:footnote>
  <w:footnote w:id="129">
    <w:p w14:paraId="50A3CD17" w14:textId="77777777" w:rsidR="00E0568B" w:rsidRPr="00911998" w:rsidRDefault="00E0568B" w:rsidP="00E0568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citant : T. De Koninck, </w:t>
      </w:r>
      <w:r w:rsidRPr="00911998">
        <w:rPr>
          <w:rFonts w:cs="Arial"/>
          <w:i/>
          <w:iCs/>
        </w:rPr>
        <w:t>De la dignité humaine </w:t>
      </w:r>
      <w:r w:rsidRPr="00911998">
        <w:rPr>
          <w:rFonts w:cs="Arial"/>
        </w:rPr>
        <w:t>(Paris : Quadrige/PUF, 2002), p. 16.</w:t>
      </w:r>
    </w:p>
  </w:footnote>
  <w:footnote w:id="130">
    <w:p w14:paraId="36FFC5B8" w14:textId="27E1661B" w:rsidR="00E0568B" w:rsidRPr="00911998" w:rsidRDefault="00E0568B" w:rsidP="00E0568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0E328F" w:rsidRPr="00911998">
        <w:rPr>
          <w:rFonts w:cs="Arial"/>
          <w:i/>
          <w:iCs/>
        </w:rPr>
        <w:t>Ward</w:t>
      </w:r>
      <w:r w:rsidRPr="00911998">
        <w:rPr>
          <w:rFonts w:cs="Arial"/>
        </w:rPr>
        <w:t xml:space="preserve">, </w:t>
      </w:r>
      <w:r w:rsidR="000E328F" w:rsidRPr="00911998">
        <w:rPr>
          <w:rFonts w:cs="Arial"/>
        </w:rPr>
        <w:t xml:space="preserve">précité, </w:t>
      </w:r>
      <w:r w:rsidRPr="00911998">
        <w:rPr>
          <w:rFonts w:cs="Arial"/>
        </w:rPr>
        <w:t>par. 57</w:t>
      </w:r>
      <w:r w:rsidRPr="00911998">
        <w:rPr>
          <w:rFonts w:cs="Arial"/>
        </w:rPr>
        <w:noBreakHyphen/>
        <w:t xml:space="preserve">58. Voir aussi : </w:t>
      </w:r>
      <w:r w:rsidRPr="00911998">
        <w:rPr>
          <w:rFonts w:cs="Arial"/>
          <w:i/>
          <w:iCs/>
          <w:shd w:val="clear" w:color="auto" w:fill="FFFFFF"/>
        </w:rPr>
        <w:t>Procureur général du Québec c. Centre de lutte contre l’oppression des genres</w:t>
      </w:r>
      <w:r w:rsidRPr="00911998">
        <w:rPr>
          <w:rFonts w:cs="Arial"/>
          <w:shd w:val="clear" w:color="auto" w:fill="FFFFFF"/>
        </w:rPr>
        <w:t>, 2024 QCCA 348, par. 127 [</w:t>
      </w:r>
      <w:r w:rsidRPr="00911998">
        <w:rPr>
          <w:rFonts w:cs="Arial"/>
          <w:b/>
          <w:bCs/>
          <w:i/>
          <w:iCs/>
          <w:shd w:val="clear" w:color="auto" w:fill="FFFFFF"/>
        </w:rPr>
        <w:t>Centre de lutte</w:t>
      </w:r>
      <w:r w:rsidRPr="00911998">
        <w:rPr>
          <w:rFonts w:cs="Arial"/>
          <w:shd w:val="clear" w:color="auto" w:fill="FFFFFF"/>
        </w:rPr>
        <w:t xml:space="preserve">] ; et </w:t>
      </w:r>
      <w:r w:rsidRPr="00911998">
        <w:rPr>
          <w:rFonts w:cs="Arial"/>
          <w:i/>
          <w:iCs/>
          <w:shd w:val="clear" w:color="auto" w:fill="FFFFFF"/>
        </w:rPr>
        <w:t>Commission des droits de la personne et des droits de la jeunesse (Bellemare) c. Club de soccer Les Braves d’Ahuntsic</w:t>
      </w:r>
      <w:r w:rsidRPr="00911998">
        <w:rPr>
          <w:rFonts w:cs="Arial"/>
          <w:shd w:val="clear" w:color="auto" w:fill="FFFFFF"/>
        </w:rPr>
        <w:t>, 2024 QCCA 462, par. 61.</w:t>
      </w:r>
    </w:p>
  </w:footnote>
  <w:footnote w:id="131">
    <w:p w14:paraId="7777305D" w14:textId="77777777" w:rsidR="00E0568B" w:rsidRPr="00911998" w:rsidRDefault="00E0568B" w:rsidP="00E0568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Contrairement aux prétentions des Demandeurs dans le Dossier de la Coalition (Notes et autorités des Demandeurs, par. 511), ces conséquences ne sont aucunement assimilables à celles subies par les personnes transgenres et non binaires dans l’affaire </w:t>
      </w:r>
      <w:r w:rsidRPr="00911998">
        <w:rPr>
          <w:rFonts w:cs="Arial"/>
          <w:i/>
          <w:iCs/>
        </w:rPr>
        <w:t>Centre de lutte</w:t>
      </w:r>
      <w:r w:rsidRPr="00911998">
        <w:rPr>
          <w:rFonts w:cs="Arial"/>
        </w:rPr>
        <w:t>, précitée, par. 128</w:t>
      </w:r>
      <w:r w:rsidRPr="00911998">
        <w:rPr>
          <w:rFonts w:cs="Arial"/>
        </w:rPr>
        <w:noBreakHyphen/>
        <w:t>134.</w:t>
      </w:r>
    </w:p>
  </w:footnote>
  <w:footnote w:id="132">
    <w:p w14:paraId="328756FF" w14:textId="492729C2" w:rsidR="00E0568B" w:rsidRPr="00911998" w:rsidRDefault="00E0568B" w:rsidP="00E0568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shd w:val="clear" w:color="auto" w:fill="FFFFFF"/>
        </w:rPr>
        <w:t>Godbout</w:t>
      </w:r>
      <w:r w:rsidRPr="00911998">
        <w:rPr>
          <w:rFonts w:cs="Arial"/>
          <w:shd w:val="clear" w:color="auto" w:fill="FFFFFF"/>
        </w:rPr>
        <w:t xml:space="preserve">, </w:t>
      </w:r>
      <w:r w:rsidR="0097024D" w:rsidRPr="00911998">
        <w:rPr>
          <w:rFonts w:cs="Arial"/>
          <w:shd w:val="clear" w:color="auto" w:fill="FFFFFF"/>
        </w:rPr>
        <w:t>précité</w:t>
      </w:r>
      <w:r w:rsidRPr="00911998">
        <w:rPr>
          <w:rFonts w:cs="Arial"/>
          <w:shd w:val="clear" w:color="auto" w:fill="FFFFFF"/>
        </w:rPr>
        <w:t xml:space="preserve">, par. 98 ; </w:t>
      </w:r>
      <w:r w:rsidRPr="00911998">
        <w:rPr>
          <w:rFonts w:cs="Arial"/>
          <w:i/>
          <w:iCs/>
          <w:shd w:val="clear" w:color="auto" w:fill="FFFFFF"/>
        </w:rPr>
        <w:t>Laroche c. Lamothe</w:t>
      </w:r>
      <w:r w:rsidRPr="00911998">
        <w:rPr>
          <w:rFonts w:cs="Arial"/>
          <w:shd w:val="clear" w:color="auto" w:fill="FFFFFF"/>
        </w:rPr>
        <w:t>, 2018 QCCA 1726, par. 59</w:t>
      </w:r>
      <w:r w:rsidRPr="00911998">
        <w:rPr>
          <w:rFonts w:cs="Arial"/>
          <w:shd w:val="clear" w:color="auto" w:fill="FFFFFF"/>
        </w:rPr>
        <w:noBreakHyphen/>
        <w:t>60.</w:t>
      </w:r>
    </w:p>
  </w:footnote>
  <w:footnote w:id="133">
    <w:p w14:paraId="0D214E2E" w14:textId="77777777" w:rsidR="00E0568B" w:rsidRPr="00911998" w:rsidRDefault="00E0568B" w:rsidP="00E0568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shd w:val="clear" w:color="auto" w:fill="FFFFFF"/>
        </w:rPr>
        <w:t>Droit de la famille — 191677</w:t>
      </w:r>
      <w:r w:rsidRPr="00911998">
        <w:rPr>
          <w:rFonts w:cs="Arial"/>
          <w:shd w:val="clear" w:color="auto" w:fill="FFFFFF"/>
        </w:rPr>
        <w:t>, précité, par. 17.</w:t>
      </w:r>
    </w:p>
  </w:footnote>
  <w:footnote w:id="134">
    <w:p w14:paraId="51C0F082" w14:textId="77777777" w:rsidR="00E0568B" w:rsidRPr="00911998" w:rsidRDefault="00E0568B" w:rsidP="00E0568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19.</w:t>
      </w:r>
    </w:p>
  </w:footnote>
  <w:footnote w:id="135">
    <w:p w14:paraId="71D79519" w14:textId="77777777" w:rsidR="00E0568B" w:rsidRPr="00911998" w:rsidRDefault="00E0568B" w:rsidP="00E0568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shd w:val="clear" w:color="auto" w:fill="FFFFFF"/>
        </w:rPr>
        <w:t xml:space="preserve">9179-3588 Québec </w:t>
      </w:r>
      <w:proofErr w:type="spellStart"/>
      <w:r w:rsidRPr="00911998">
        <w:rPr>
          <w:rFonts w:cs="Arial"/>
          <w:i/>
          <w:iCs/>
          <w:shd w:val="clear" w:color="auto" w:fill="FFFFFF"/>
        </w:rPr>
        <w:t>inc.</w:t>
      </w:r>
      <w:proofErr w:type="spellEnd"/>
      <w:r w:rsidRPr="00911998">
        <w:rPr>
          <w:rFonts w:cs="Arial"/>
          <w:i/>
          <w:iCs/>
          <w:shd w:val="clear" w:color="auto" w:fill="FFFFFF"/>
        </w:rPr>
        <w:t xml:space="preserve"> (Institut Drouin) c. Drouin</w:t>
      </w:r>
      <w:r w:rsidRPr="00911998">
        <w:rPr>
          <w:rFonts w:cs="Arial"/>
          <w:shd w:val="clear" w:color="auto" w:fill="FFFFFF"/>
        </w:rPr>
        <w:t>, 2013 QCCA 2146, par. 51.</w:t>
      </w:r>
    </w:p>
  </w:footnote>
  <w:footnote w:id="136">
    <w:p w14:paraId="0710405E" w14:textId="11F98BD0" w:rsidR="00FD7A22" w:rsidRPr="00911998" w:rsidRDefault="00FD7A22" w:rsidP="00FD7A22">
      <w:pPr>
        <w:pStyle w:val="Notedebasdepage"/>
        <w:rPr>
          <w:rFonts w:cs="Arial"/>
          <w:lang w:val="en-CA"/>
        </w:rPr>
      </w:pPr>
      <w:r w:rsidRPr="00911998">
        <w:rPr>
          <w:rStyle w:val="Appelnotedebasdep"/>
          <w:rFonts w:cs="Arial"/>
        </w:rPr>
        <w:footnoteRef/>
      </w:r>
      <w:r w:rsidRPr="00911998">
        <w:rPr>
          <w:rFonts w:cs="Arial"/>
          <w:lang w:val="en-CA"/>
        </w:rPr>
        <w:t xml:space="preserve"> </w:t>
      </w:r>
      <w:r w:rsidRPr="00911998">
        <w:rPr>
          <w:rFonts w:cs="Arial"/>
          <w:lang w:val="en-CA"/>
        </w:rPr>
        <w:tab/>
      </w:r>
      <w:r w:rsidRPr="00911998">
        <w:rPr>
          <w:rFonts w:cs="Arial"/>
          <w:i/>
          <w:iCs/>
          <w:spacing w:val="-3"/>
          <w:lang w:val="en-GB"/>
        </w:rPr>
        <w:t>Andrews c. Law Society of British Columbia</w:t>
      </w:r>
      <w:r w:rsidRPr="00911998">
        <w:rPr>
          <w:rFonts w:cs="Arial"/>
          <w:spacing w:val="-3"/>
          <w:lang w:val="en-GB"/>
        </w:rPr>
        <w:t>, [1989] 1 RCS 143, p. 174</w:t>
      </w:r>
      <w:r w:rsidRPr="00911998">
        <w:rPr>
          <w:rFonts w:cs="Arial"/>
          <w:spacing w:val="-3"/>
          <w:lang w:val="en-GB"/>
        </w:rPr>
        <w:noBreakHyphen/>
        <w:t>175 [</w:t>
      </w:r>
      <w:r w:rsidRPr="00911998">
        <w:rPr>
          <w:rFonts w:cs="Arial"/>
          <w:b/>
          <w:bCs/>
          <w:i/>
          <w:iCs/>
          <w:spacing w:val="-3"/>
          <w:lang w:val="en-GB"/>
        </w:rPr>
        <w:t>Andrews</w:t>
      </w:r>
      <w:r w:rsidRPr="00911998">
        <w:rPr>
          <w:rFonts w:cs="Arial"/>
          <w:spacing w:val="-3"/>
          <w:lang w:val="en-GB"/>
        </w:rPr>
        <w:t xml:space="preserve">]; </w:t>
      </w:r>
      <w:proofErr w:type="spellStart"/>
      <w:r w:rsidRPr="00911998">
        <w:rPr>
          <w:rFonts w:cs="Arial"/>
          <w:spacing w:val="-3"/>
          <w:lang w:val="en-GB"/>
        </w:rPr>
        <w:t>voir</w:t>
      </w:r>
      <w:proofErr w:type="spellEnd"/>
      <w:r w:rsidRPr="00911998">
        <w:rPr>
          <w:rFonts w:cs="Arial"/>
          <w:spacing w:val="-3"/>
          <w:lang w:val="en-GB"/>
        </w:rPr>
        <w:t xml:space="preserve"> </w:t>
      </w:r>
      <w:proofErr w:type="spellStart"/>
      <w:r w:rsidRPr="00911998">
        <w:rPr>
          <w:rFonts w:cs="Arial"/>
          <w:spacing w:val="-3"/>
          <w:lang w:val="en-GB"/>
        </w:rPr>
        <w:t>aussi</w:t>
      </w:r>
      <w:proofErr w:type="spellEnd"/>
      <w:r w:rsidRPr="00911998">
        <w:rPr>
          <w:rFonts w:cs="Arial"/>
          <w:spacing w:val="-3"/>
          <w:lang w:val="en-GB"/>
        </w:rPr>
        <w:t xml:space="preserve"> </w:t>
      </w:r>
      <w:proofErr w:type="spellStart"/>
      <w:r w:rsidRPr="00911998">
        <w:rPr>
          <w:rFonts w:cs="Arial"/>
          <w:i/>
          <w:iCs/>
          <w:lang w:val="en-CA"/>
        </w:rPr>
        <w:t>Withler</w:t>
      </w:r>
      <w:proofErr w:type="spellEnd"/>
      <w:r w:rsidRPr="00911998">
        <w:rPr>
          <w:rFonts w:cs="Arial"/>
          <w:i/>
          <w:iCs/>
          <w:lang w:val="en-CA"/>
        </w:rPr>
        <w:t xml:space="preserve"> c. Canada (Procureur </w:t>
      </w:r>
      <w:proofErr w:type="spellStart"/>
      <w:r w:rsidRPr="00911998">
        <w:rPr>
          <w:rFonts w:cs="Arial"/>
          <w:i/>
          <w:iCs/>
          <w:lang w:val="en-CA"/>
        </w:rPr>
        <w:t>général</w:t>
      </w:r>
      <w:proofErr w:type="spellEnd"/>
      <w:r w:rsidRPr="00911998">
        <w:rPr>
          <w:rFonts w:cs="Arial"/>
          <w:i/>
          <w:iCs/>
          <w:lang w:val="en-CA"/>
        </w:rPr>
        <w:t>)</w:t>
      </w:r>
      <w:r w:rsidRPr="00911998">
        <w:rPr>
          <w:rFonts w:cs="Arial"/>
          <w:lang w:val="en-CA"/>
        </w:rPr>
        <w:t>, </w:t>
      </w:r>
      <w:r w:rsidRPr="00911998">
        <w:rPr>
          <w:rStyle w:val="sccrespondentforindexchar"/>
          <w:rFonts w:cs="Arial"/>
          <w:lang w:val="en-CA"/>
        </w:rPr>
        <w:t>2011</w:t>
      </w:r>
      <w:r w:rsidR="00856EA3" w:rsidRPr="00911998">
        <w:rPr>
          <w:rStyle w:val="sccrespondentforindexchar"/>
          <w:rFonts w:cs="Arial"/>
          <w:lang w:val="en-CA"/>
        </w:rPr>
        <w:t> </w:t>
      </w:r>
      <w:r w:rsidRPr="00911998">
        <w:rPr>
          <w:rStyle w:val="sccrespondentforindexchar"/>
          <w:rFonts w:cs="Arial"/>
          <w:lang w:val="en-CA"/>
        </w:rPr>
        <w:t>CSC</w:t>
      </w:r>
      <w:r w:rsidR="00856EA3" w:rsidRPr="00911998">
        <w:rPr>
          <w:rStyle w:val="sccrespondentforindexchar"/>
          <w:rFonts w:cs="Arial"/>
          <w:lang w:val="en-CA"/>
        </w:rPr>
        <w:t> </w:t>
      </w:r>
      <w:r w:rsidRPr="00911998">
        <w:rPr>
          <w:rStyle w:val="sccrespondentforindexchar"/>
          <w:rFonts w:cs="Arial"/>
          <w:lang w:val="en-CA"/>
        </w:rPr>
        <w:t>12, par. 29 [</w:t>
      </w:r>
      <w:proofErr w:type="spellStart"/>
      <w:r w:rsidRPr="00911998">
        <w:rPr>
          <w:rStyle w:val="sccrespondentforindexchar"/>
          <w:rFonts w:cs="Arial"/>
          <w:b/>
          <w:bCs/>
          <w:i/>
          <w:iCs/>
          <w:lang w:val="en-CA"/>
        </w:rPr>
        <w:t>Withler</w:t>
      </w:r>
      <w:proofErr w:type="spellEnd"/>
      <w:r w:rsidRPr="00911998">
        <w:rPr>
          <w:rStyle w:val="sccrespondentforindexchar"/>
          <w:rFonts w:cs="Arial"/>
          <w:lang w:val="en-CA"/>
        </w:rPr>
        <w:t>].</w:t>
      </w:r>
    </w:p>
  </w:footnote>
  <w:footnote w:id="137">
    <w:p w14:paraId="07ACFA38" w14:textId="44F3CCC4" w:rsidR="009A2B97" w:rsidRPr="00911998" w:rsidRDefault="009A2B97">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Ontario (Procureur général) c. G</w:t>
      </w:r>
      <w:r w:rsidRPr="00911998">
        <w:rPr>
          <w:rFonts w:cs="Arial"/>
        </w:rPr>
        <w:t>, 2020 CSC 38, par. 39 [</w:t>
      </w:r>
      <w:r w:rsidRPr="00911998">
        <w:rPr>
          <w:rFonts w:cs="Arial"/>
          <w:b/>
          <w:bCs/>
          <w:i/>
          <w:iCs/>
        </w:rPr>
        <w:t>Ontario c. G.</w:t>
      </w:r>
      <w:r w:rsidRPr="00911998">
        <w:rPr>
          <w:rFonts w:cs="Arial"/>
        </w:rPr>
        <w:t>].</w:t>
      </w:r>
    </w:p>
  </w:footnote>
  <w:footnote w:id="138">
    <w:p w14:paraId="4F190D4E" w14:textId="37A3B0B0" w:rsidR="000F5A8D" w:rsidRPr="00911998" w:rsidRDefault="000F5A8D" w:rsidP="000F5A8D">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475A7B" w:rsidRPr="00911998">
        <w:rPr>
          <w:i/>
          <w:iCs/>
        </w:rPr>
        <w:t>R. c. Sharma</w:t>
      </w:r>
      <w:r w:rsidRPr="00911998">
        <w:rPr>
          <w:rFonts w:cs="Arial"/>
        </w:rPr>
        <w:t xml:space="preserve">, </w:t>
      </w:r>
      <w:r w:rsidR="00475A7B" w:rsidRPr="00911998">
        <w:rPr>
          <w:rFonts w:cs="Arial"/>
        </w:rPr>
        <w:t xml:space="preserve">2022 CSC 39 </w:t>
      </w:r>
      <w:r w:rsidRPr="00911998">
        <w:rPr>
          <w:rFonts w:cs="Arial"/>
        </w:rPr>
        <w:t>par. 63</w:t>
      </w:r>
      <w:r w:rsidR="00475A7B" w:rsidRPr="00911998">
        <w:rPr>
          <w:rFonts w:cs="Arial"/>
        </w:rPr>
        <w:t xml:space="preserve"> [</w:t>
      </w:r>
      <w:r w:rsidR="00475A7B" w:rsidRPr="00911998">
        <w:rPr>
          <w:rFonts w:cs="Arial"/>
          <w:b/>
          <w:bCs/>
          <w:i/>
          <w:iCs/>
        </w:rPr>
        <w:t>Sharma</w:t>
      </w:r>
      <w:r w:rsidR="00475A7B" w:rsidRPr="00911998">
        <w:rPr>
          <w:rFonts w:cs="Arial"/>
        </w:rPr>
        <w:t>]</w:t>
      </w:r>
      <w:r w:rsidRPr="00911998">
        <w:rPr>
          <w:rFonts w:cs="Arial"/>
        </w:rPr>
        <w:t xml:space="preserve"> ; voir aussi : </w:t>
      </w:r>
      <w:r w:rsidR="00475A7B" w:rsidRPr="00911998">
        <w:rPr>
          <w:rFonts w:cs="Arial"/>
          <w:i/>
          <w:iCs/>
          <w:shd w:val="clear" w:color="auto" w:fill="FFFFFF"/>
        </w:rPr>
        <w:t>Alliance autochtone du Québec c. Procureur général du Québec (</w:t>
      </w:r>
      <w:proofErr w:type="gramStart"/>
      <w:r w:rsidR="00475A7B" w:rsidRPr="00911998">
        <w:rPr>
          <w:rFonts w:cs="Arial"/>
          <w:i/>
          <w:iCs/>
          <w:shd w:val="clear" w:color="auto" w:fill="FFFFFF"/>
        </w:rPr>
        <w:t>Ministre</w:t>
      </w:r>
      <w:proofErr w:type="gramEnd"/>
      <w:r w:rsidR="00475A7B" w:rsidRPr="00911998">
        <w:rPr>
          <w:rFonts w:cs="Arial"/>
          <w:i/>
          <w:iCs/>
          <w:shd w:val="clear" w:color="auto" w:fill="FFFFFF"/>
        </w:rPr>
        <w:t xml:space="preserve"> des Ressources naturelles et de la Faune du Québec et Ministre délégué aux Affaires autochtones du Québec)</w:t>
      </w:r>
      <w:r w:rsidR="00475A7B" w:rsidRPr="00911998">
        <w:rPr>
          <w:rFonts w:cs="Arial"/>
          <w:shd w:val="clear" w:color="auto" w:fill="FFFFFF"/>
        </w:rPr>
        <w:t>, 2024 QCCA 1472, par. 97 [</w:t>
      </w:r>
      <w:r w:rsidR="00475A7B" w:rsidRPr="00911998">
        <w:rPr>
          <w:rFonts w:cs="Arial"/>
          <w:b/>
          <w:bCs/>
          <w:i/>
          <w:iCs/>
          <w:shd w:val="clear" w:color="auto" w:fill="FFFFFF"/>
        </w:rPr>
        <w:t>Alliance autochtone</w:t>
      </w:r>
      <w:r w:rsidR="00475A7B" w:rsidRPr="00911998">
        <w:rPr>
          <w:rFonts w:cs="Arial"/>
          <w:shd w:val="clear" w:color="auto" w:fill="FFFFFF"/>
        </w:rPr>
        <w:t>]</w:t>
      </w:r>
      <w:r w:rsidRPr="00911998">
        <w:rPr>
          <w:rFonts w:cs="Arial"/>
        </w:rPr>
        <w:t xml:space="preserve">. </w:t>
      </w:r>
    </w:p>
  </w:footnote>
  <w:footnote w:id="139">
    <w:p w14:paraId="2EA5B092" w14:textId="7BDB1A2E" w:rsidR="002C5B80" w:rsidRPr="00911998" w:rsidRDefault="002C5B80" w:rsidP="002C5B80">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3D6341" w:rsidRPr="00911998">
        <w:rPr>
          <w:rFonts w:cs="Arial"/>
          <w:i/>
          <w:iCs/>
        </w:rPr>
        <w:t>Fraser c. Canada (Procureur général)</w:t>
      </w:r>
      <w:r w:rsidR="003D6341" w:rsidRPr="00911998">
        <w:rPr>
          <w:rFonts w:cs="Arial"/>
        </w:rPr>
        <w:t>, 2020</w:t>
      </w:r>
      <w:r w:rsidR="00856EA3" w:rsidRPr="00911998">
        <w:rPr>
          <w:rFonts w:cs="Arial"/>
        </w:rPr>
        <w:t> </w:t>
      </w:r>
      <w:r w:rsidR="003D6341" w:rsidRPr="00911998">
        <w:rPr>
          <w:rFonts w:cs="Arial"/>
        </w:rPr>
        <w:t>CSC</w:t>
      </w:r>
      <w:r w:rsidR="00856EA3" w:rsidRPr="00911998">
        <w:rPr>
          <w:rFonts w:cs="Arial"/>
        </w:rPr>
        <w:t> </w:t>
      </w:r>
      <w:r w:rsidR="003D6341" w:rsidRPr="00911998">
        <w:rPr>
          <w:rFonts w:cs="Arial"/>
        </w:rPr>
        <w:t>28, par. 40 [</w:t>
      </w:r>
      <w:r w:rsidR="003D6341" w:rsidRPr="00911998">
        <w:rPr>
          <w:rFonts w:cs="Arial"/>
          <w:b/>
          <w:bCs/>
          <w:i/>
          <w:iCs/>
        </w:rPr>
        <w:t>Fraser</w:t>
      </w:r>
      <w:r w:rsidR="003D6341" w:rsidRPr="00911998">
        <w:rPr>
          <w:rFonts w:cs="Arial"/>
        </w:rPr>
        <w:t>]</w:t>
      </w:r>
      <w:r w:rsidR="00856EA3" w:rsidRPr="00911998">
        <w:rPr>
          <w:rFonts w:cs="Arial"/>
        </w:rPr>
        <w:t> </w:t>
      </w:r>
      <w:r w:rsidR="003D6341" w:rsidRPr="00911998">
        <w:rPr>
          <w:rFonts w:cs="Arial"/>
        </w:rPr>
        <w:t xml:space="preserve">; </w:t>
      </w:r>
      <w:proofErr w:type="spellStart"/>
      <w:r w:rsidRPr="00911998">
        <w:rPr>
          <w:rFonts w:cs="Arial"/>
          <w:i/>
          <w:iCs/>
        </w:rPr>
        <w:t>Withler</w:t>
      </w:r>
      <w:proofErr w:type="spellEnd"/>
      <w:r w:rsidRPr="00911998">
        <w:rPr>
          <w:rFonts w:cs="Arial"/>
        </w:rPr>
        <w:t>, précité, par. 31, 39 et 41</w:t>
      </w:r>
      <w:r w:rsidR="00856EA3" w:rsidRPr="00911998">
        <w:rPr>
          <w:rFonts w:cs="Arial"/>
        </w:rPr>
        <w:t> </w:t>
      </w:r>
      <w:r w:rsidR="004B1CA4" w:rsidRPr="00911998">
        <w:rPr>
          <w:rFonts w:cs="Arial"/>
        </w:rPr>
        <w:t xml:space="preserve">; </w:t>
      </w:r>
      <w:r w:rsidR="004B1CA4" w:rsidRPr="00911998">
        <w:rPr>
          <w:rFonts w:cs="Arial"/>
          <w:i/>
          <w:iCs/>
        </w:rPr>
        <w:t>Ontario c. G.</w:t>
      </w:r>
      <w:r w:rsidR="004B1CA4" w:rsidRPr="00911998">
        <w:rPr>
          <w:rFonts w:cs="Arial"/>
        </w:rPr>
        <w:t>, précité, par. 43</w:t>
      </w:r>
      <w:r w:rsidR="00ED0DC3" w:rsidRPr="00911998">
        <w:rPr>
          <w:rFonts w:cs="Arial"/>
        </w:rPr>
        <w:t xml:space="preserve"> ; </w:t>
      </w:r>
      <w:r w:rsidR="00ED0DC3" w:rsidRPr="00911998">
        <w:rPr>
          <w:rFonts w:cs="Arial"/>
          <w:i/>
          <w:iCs/>
        </w:rPr>
        <w:t>Centre de lutte</w:t>
      </w:r>
      <w:r w:rsidR="00ED0DC3" w:rsidRPr="00911998">
        <w:rPr>
          <w:rFonts w:cs="Arial"/>
        </w:rPr>
        <w:t>, précité, par. 111</w:t>
      </w:r>
      <w:r w:rsidR="00ED0DC3" w:rsidRPr="00911998">
        <w:rPr>
          <w:rFonts w:cs="Arial"/>
        </w:rPr>
        <w:noBreakHyphen/>
        <w:t>112.</w:t>
      </w:r>
    </w:p>
  </w:footnote>
  <w:footnote w:id="140">
    <w:p w14:paraId="6CA1685B" w14:textId="569B1506" w:rsidR="003715AA" w:rsidRPr="00911998" w:rsidRDefault="003715AA">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Fraser</w:t>
      </w:r>
      <w:r w:rsidRPr="00911998">
        <w:rPr>
          <w:rFonts w:cs="Arial"/>
        </w:rPr>
        <w:t>, précité, par. 47</w:t>
      </w:r>
      <w:r w:rsidR="00ED0DC3" w:rsidRPr="00911998">
        <w:rPr>
          <w:rFonts w:cs="Arial"/>
        </w:rPr>
        <w:t xml:space="preserve"> ; </w:t>
      </w:r>
      <w:r w:rsidR="00ED0DC3" w:rsidRPr="00911998">
        <w:rPr>
          <w:rFonts w:cs="Arial"/>
          <w:i/>
          <w:iCs/>
        </w:rPr>
        <w:t>Centre de lutte</w:t>
      </w:r>
      <w:r w:rsidR="00ED0DC3" w:rsidRPr="00911998">
        <w:rPr>
          <w:rFonts w:cs="Arial"/>
        </w:rPr>
        <w:t>, précité, par. 111.</w:t>
      </w:r>
    </w:p>
  </w:footnote>
  <w:footnote w:id="141">
    <w:p w14:paraId="4E4C592B" w14:textId="215ADA9F" w:rsidR="003E5B3E" w:rsidRPr="00911998" w:rsidRDefault="003E5B3E">
      <w:pPr>
        <w:pStyle w:val="Notedebasdepage"/>
      </w:pPr>
      <w:r w:rsidRPr="00911998">
        <w:rPr>
          <w:rStyle w:val="Appelnotedebasdep"/>
        </w:rPr>
        <w:footnoteRef/>
      </w:r>
      <w:r w:rsidRPr="00911998">
        <w:t xml:space="preserve"> </w:t>
      </w:r>
      <w:r w:rsidRPr="00911998">
        <w:tab/>
      </w:r>
      <w:r w:rsidRPr="00911998">
        <w:rPr>
          <w:i/>
          <w:iCs/>
        </w:rPr>
        <w:t>Centre de lutte</w:t>
      </w:r>
      <w:r w:rsidRPr="00911998">
        <w:t>, précité, par. 219.</w:t>
      </w:r>
    </w:p>
  </w:footnote>
  <w:footnote w:id="142">
    <w:p w14:paraId="04240D6A" w14:textId="107A234C" w:rsidR="0048501A" w:rsidRPr="00911998" w:rsidRDefault="0048501A">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Fraser</w:t>
      </w:r>
      <w:r w:rsidRPr="00911998">
        <w:rPr>
          <w:rFonts w:cs="Arial"/>
        </w:rPr>
        <w:t xml:space="preserve">, </w:t>
      </w:r>
      <w:r w:rsidR="003D6341" w:rsidRPr="00911998">
        <w:rPr>
          <w:rFonts w:cs="Arial"/>
        </w:rPr>
        <w:t>précité</w:t>
      </w:r>
      <w:r w:rsidRPr="00911998">
        <w:rPr>
          <w:rFonts w:cs="Arial"/>
        </w:rPr>
        <w:t>, par. 30.</w:t>
      </w:r>
    </w:p>
  </w:footnote>
  <w:footnote w:id="143">
    <w:p w14:paraId="34C0FE47" w14:textId="7317492A" w:rsidR="00A03A34" w:rsidRPr="00911998" w:rsidRDefault="00A03A34">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475A7B" w:rsidRPr="00911998">
        <w:rPr>
          <w:rFonts w:cs="Arial"/>
        </w:rPr>
        <w:t>Précité</w:t>
      </w:r>
      <w:r w:rsidR="00843182" w:rsidRPr="00911998">
        <w:rPr>
          <w:rFonts w:cs="Arial"/>
        </w:rPr>
        <w:t>.</w:t>
      </w:r>
    </w:p>
  </w:footnote>
  <w:footnote w:id="144">
    <w:p w14:paraId="2C20052A" w14:textId="708CF142" w:rsidR="00A03A34" w:rsidRPr="00911998" w:rsidRDefault="00A03A34">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28</w:t>
      </w:r>
      <w:r w:rsidR="00856EA3" w:rsidRPr="00911998">
        <w:rPr>
          <w:rFonts w:cs="Arial"/>
        </w:rPr>
        <w:t> </w:t>
      </w:r>
      <w:r w:rsidR="00D3150E" w:rsidRPr="00911998">
        <w:rPr>
          <w:rFonts w:cs="Arial"/>
        </w:rPr>
        <w:t>;</w:t>
      </w:r>
      <w:r w:rsidR="00B72A17" w:rsidRPr="00911998">
        <w:rPr>
          <w:rFonts w:cs="Arial"/>
        </w:rPr>
        <w:t xml:space="preserve"> </w:t>
      </w:r>
      <w:r w:rsidR="0048501A" w:rsidRPr="00911998">
        <w:rPr>
          <w:rFonts w:cs="Arial"/>
        </w:rPr>
        <w:t xml:space="preserve">Voir aussi : </w:t>
      </w:r>
      <w:r w:rsidR="00475A7B" w:rsidRPr="00911998">
        <w:rPr>
          <w:rFonts w:cs="Arial"/>
          <w:i/>
          <w:iCs/>
        </w:rPr>
        <w:t>Dickson c. </w:t>
      </w:r>
      <w:proofErr w:type="spellStart"/>
      <w:r w:rsidR="00475A7B" w:rsidRPr="00911998">
        <w:rPr>
          <w:rFonts w:cs="Arial"/>
          <w:i/>
          <w:iCs/>
        </w:rPr>
        <w:t>Vuntut</w:t>
      </w:r>
      <w:proofErr w:type="spellEnd"/>
      <w:r w:rsidR="00475A7B" w:rsidRPr="00911998">
        <w:rPr>
          <w:rFonts w:cs="Arial"/>
          <w:i/>
          <w:iCs/>
        </w:rPr>
        <w:t xml:space="preserve"> </w:t>
      </w:r>
      <w:proofErr w:type="spellStart"/>
      <w:r w:rsidR="00475A7B" w:rsidRPr="00911998">
        <w:rPr>
          <w:rFonts w:cs="Arial"/>
          <w:i/>
          <w:iCs/>
        </w:rPr>
        <w:t>Gwitchin</w:t>
      </w:r>
      <w:proofErr w:type="spellEnd"/>
      <w:r w:rsidR="00475A7B" w:rsidRPr="00911998">
        <w:rPr>
          <w:rFonts w:cs="Arial"/>
          <w:i/>
          <w:iCs/>
        </w:rPr>
        <w:t xml:space="preserve"> First Nation</w:t>
      </w:r>
      <w:r w:rsidR="00475A7B" w:rsidRPr="00911998">
        <w:rPr>
          <w:rFonts w:cs="Arial"/>
        </w:rPr>
        <w:t>, 2024 CSC 10, par. 188 [</w:t>
      </w:r>
      <w:r w:rsidR="00475A7B" w:rsidRPr="00911998">
        <w:rPr>
          <w:rFonts w:cs="Arial"/>
          <w:b/>
          <w:bCs/>
          <w:i/>
          <w:iCs/>
        </w:rPr>
        <w:t>Dickson</w:t>
      </w:r>
      <w:r w:rsidR="00475A7B" w:rsidRPr="00911998">
        <w:rPr>
          <w:rFonts w:cs="Arial"/>
        </w:rPr>
        <w:t>]</w:t>
      </w:r>
      <w:r w:rsidR="00843182" w:rsidRPr="00911998">
        <w:rPr>
          <w:rFonts w:cs="Arial"/>
          <w:shd w:val="clear" w:color="auto" w:fill="FFFFFF"/>
        </w:rPr>
        <w:t> ;</w:t>
      </w:r>
      <w:r w:rsidR="00475A7B" w:rsidRPr="00911998">
        <w:rPr>
          <w:rFonts w:cs="Arial"/>
        </w:rPr>
        <w:t xml:space="preserve"> </w:t>
      </w:r>
      <w:r w:rsidR="0048501A" w:rsidRPr="00911998">
        <w:rPr>
          <w:rFonts w:cs="Arial"/>
          <w:i/>
          <w:iCs/>
        </w:rPr>
        <w:t>Fraser</w:t>
      </w:r>
      <w:r w:rsidR="0048501A" w:rsidRPr="00911998">
        <w:rPr>
          <w:rFonts w:cs="Arial"/>
        </w:rPr>
        <w:t>, précité, par. 27</w:t>
      </w:r>
      <w:r w:rsidR="00A70C83" w:rsidRPr="00911998">
        <w:rPr>
          <w:rFonts w:cs="Arial"/>
        </w:rPr>
        <w:t>,</w:t>
      </w:r>
      <w:r w:rsidR="003715AA" w:rsidRPr="00911998">
        <w:rPr>
          <w:rFonts w:cs="Arial"/>
        </w:rPr>
        <w:t xml:space="preserve"> 50</w:t>
      </w:r>
      <w:r w:rsidR="00A70C83" w:rsidRPr="00911998">
        <w:rPr>
          <w:rFonts w:cs="Arial"/>
        </w:rPr>
        <w:t xml:space="preserve"> et 81</w:t>
      </w:r>
      <w:r w:rsidR="00856EA3" w:rsidRPr="00911998">
        <w:rPr>
          <w:rFonts w:cs="Arial"/>
        </w:rPr>
        <w:t> </w:t>
      </w:r>
      <w:r w:rsidR="0048501A" w:rsidRPr="00911998">
        <w:rPr>
          <w:rFonts w:cs="Arial"/>
        </w:rPr>
        <w:t xml:space="preserve">; </w:t>
      </w:r>
      <w:r w:rsidR="00F54C1B" w:rsidRPr="00911998">
        <w:rPr>
          <w:rFonts w:cs="Arial"/>
          <w:i/>
          <w:iCs/>
        </w:rPr>
        <w:t>Ontario c. G.</w:t>
      </w:r>
      <w:r w:rsidR="00F54C1B" w:rsidRPr="00911998">
        <w:rPr>
          <w:rFonts w:cs="Arial"/>
        </w:rPr>
        <w:t>, précité, par. 40</w:t>
      </w:r>
      <w:r w:rsidR="00856EA3" w:rsidRPr="00911998">
        <w:rPr>
          <w:rFonts w:cs="Arial"/>
        </w:rPr>
        <w:t> </w:t>
      </w:r>
      <w:r w:rsidR="00F54C1B" w:rsidRPr="00911998">
        <w:rPr>
          <w:rFonts w:cs="Arial"/>
        </w:rPr>
        <w:t xml:space="preserve">; </w:t>
      </w:r>
      <w:r w:rsidR="00D3150E" w:rsidRPr="00911998">
        <w:rPr>
          <w:rFonts w:cs="Arial"/>
          <w:i/>
          <w:iCs/>
          <w:shd w:val="clear" w:color="auto" w:fill="FFFFFF"/>
        </w:rPr>
        <w:t>Alliance autochtone</w:t>
      </w:r>
      <w:r w:rsidR="00D3150E" w:rsidRPr="00911998">
        <w:rPr>
          <w:rFonts w:cs="Arial"/>
          <w:shd w:val="clear" w:color="auto" w:fill="FFFFFF"/>
        </w:rPr>
        <w:t xml:space="preserve">, </w:t>
      </w:r>
      <w:r w:rsidR="00475A7B" w:rsidRPr="00911998">
        <w:rPr>
          <w:rFonts w:cs="Arial"/>
          <w:shd w:val="clear" w:color="auto" w:fill="FFFFFF"/>
        </w:rPr>
        <w:t>précité</w:t>
      </w:r>
      <w:r w:rsidR="00D3150E" w:rsidRPr="00911998">
        <w:rPr>
          <w:rFonts w:cs="Arial"/>
          <w:shd w:val="clear" w:color="auto" w:fill="FFFFFF"/>
        </w:rPr>
        <w:t>, par. 90</w:t>
      </w:r>
      <w:r w:rsidR="00ED0DC3" w:rsidRPr="00911998">
        <w:rPr>
          <w:rFonts w:cs="Arial"/>
        </w:rPr>
        <w:t xml:space="preserve"> ; </w:t>
      </w:r>
      <w:r w:rsidR="00ED0DC3" w:rsidRPr="00911998">
        <w:rPr>
          <w:rFonts w:cs="Arial"/>
          <w:i/>
          <w:iCs/>
        </w:rPr>
        <w:t>Centre de lutte</w:t>
      </w:r>
      <w:r w:rsidR="00ED0DC3" w:rsidRPr="00911998">
        <w:rPr>
          <w:rFonts w:cs="Arial"/>
        </w:rPr>
        <w:t>, précité, par. 113.</w:t>
      </w:r>
    </w:p>
  </w:footnote>
  <w:footnote w:id="145">
    <w:p w14:paraId="32A41DB9" w14:textId="028A9537" w:rsidR="002C5B80" w:rsidRPr="00911998" w:rsidRDefault="002C5B80">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Andrews</w:t>
      </w:r>
      <w:r w:rsidRPr="00911998">
        <w:rPr>
          <w:rFonts w:cs="Arial"/>
        </w:rPr>
        <w:t>, précité, p. 164</w:t>
      </w:r>
      <w:r w:rsidR="00856EA3" w:rsidRPr="00911998">
        <w:rPr>
          <w:rFonts w:cs="Arial"/>
        </w:rPr>
        <w:t> </w:t>
      </w:r>
      <w:r w:rsidRPr="00911998">
        <w:rPr>
          <w:rFonts w:cs="Arial"/>
        </w:rPr>
        <w:t xml:space="preserve">; </w:t>
      </w:r>
      <w:proofErr w:type="spellStart"/>
      <w:r w:rsidRPr="00911998">
        <w:rPr>
          <w:rFonts w:cs="Arial"/>
          <w:i/>
          <w:iCs/>
        </w:rPr>
        <w:t>Withler</w:t>
      </w:r>
      <w:proofErr w:type="spellEnd"/>
      <w:r w:rsidRPr="00911998">
        <w:rPr>
          <w:rFonts w:cs="Arial"/>
        </w:rPr>
        <w:t>, précité, par. 41.</w:t>
      </w:r>
    </w:p>
  </w:footnote>
  <w:footnote w:id="146">
    <w:p w14:paraId="3BEF245C" w14:textId="64F15AF9" w:rsidR="00B9506A" w:rsidRPr="00911998" w:rsidRDefault="00B9506A">
      <w:pPr>
        <w:pStyle w:val="Notedebasdepage"/>
      </w:pPr>
      <w:r w:rsidRPr="00911998">
        <w:rPr>
          <w:rStyle w:val="Appelnotedebasdep"/>
        </w:rPr>
        <w:footnoteRef/>
      </w:r>
      <w:r w:rsidRPr="00911998">
        <w:t xml:space="preserve"> </w:t>
      </w:r>
      <w:r w:rsidRPr="00911998">
        <w:tab/>
      </w:r>
      <w:proofErr w:type="spellStart"/>
      <w:r w:rsidRPr="00911998">
        <w:rPr>
          <w:i/>
          <w:iCs/>
        </w:rPr>
        <w:t>Withler</w:t>
      </w:r>
      <w:proofErr w:type="spellEnd"/>
      <w:r w:rsidRPr="00911998">
        <w:t>, précité, par. 55</w:t>
      </w:r>
      <w:r w:rsidRPr="00911998">
        <w:noBreakHyphen/>
        <w:t>64.</w:t>
      </w:r>
    </w:p>
  </w:footnote>
  <w:footnote w:id="147">
    <w:p w14:paraId="29CE0AE7" w14:textId="198B11AC" w:rsidR="0073286F" w:rsidRPr="00911998" w:rsidRDefault="0073286F">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D3150E" w:rsidRPr="00911998">
        <w:rPr>
          <w:rFonts w:cs="Arial"/>
          <w:i/>
          <w:iCs/>
        </w:rPr>
        <w:t>Sharma</w:t>
      </w:r>
      <w:r w:rsidR="00D3150E" w:rsidRPr="00911998">
        <w:rPr>
          <w:rFonts w:cs="Arial"/>
        </w:rPr>
        <w:t xml:space="preserve">, précité, </w:t>
      </w:r>
      <w:r w:rsidRPr="00911998">
        <w:rPr>
          <w:rFonts w:cs="Arial"/>
        </w:rPr>
        <w:t>par. 31</w:t>
      </w:r>
      <w:r w:rsidR="00856EA3" w:rsidRPr="00911998">
        <w:rPr>
          <w:rFonts w:cs="Arial"/>
        </w:rPr>
        <w:t> </w:t>
      </w:r>
      <w:r w:rsidR="00D3150E" w:rsidRPr="00911998">
        <w:rPr>
          <w:rFonts w:cs="Arial"/>
        </w:rPr>
        <w:t xml:space="preserve">; </w:t>
      </w:r>
      <w:r w:rsidR="00D3150E" w:rsidRPr="00911998">
        <w:rPr>
          <w:rFonts w:cs="Arial"/>
          <w:i/>
          <w:iCs/>
        </w:rPr>
        <w:t>Alliance autochtone</w:t>
      </w:r>
      <w:r w:rsidR="00D3150E" w:rsidRPr="00911998">
        <w:rPr>
          <w:rFonts w:cs="Arial"/>
        </w:rPr>
        <w:t>, précité, par. 91.</w:t>
      </w:r>
    </w:p>
  </w:footnote>
  <w:footnote w:id="148">
    <w:p w14:paraId="6AB175C8" w14:textId="0731B58A" w:rsidR="006C7616" w:rsidRPr="00911998" w:rsidRDefault="006C7616">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D3150E" w:rsidRPr="00911998">
        <w:rPr>
          <w:rFonts w:cs="Arial"/>
          <w:i/>
          <w:iCs/>
        </w:rPr>
        <w:t>Sharma</w:t>
      </w:r>
      <w:r w:rsidR="00D3150E" w:rsidRPr="00911998">
        <w:rPr>
          <w:rFonts w:cs="Arial"/>
        </w:rPr>
        <w:t xml:space="preserve">, précité, </w:t>
      </w:r>
      <w:r w:rsidRPr="00911998">
        <w:rPr>
          <w:rFonts w:cs="Arial"/>
        </w:rPr>
        <w:t>par. 40 et 42</w:t>
      </w:r>
      <w:r w:rsidR="00856EA3" w:rsidRPr="00911998">
        <w:rPr>
          <w:rFonts w:cs="Arial"/>
        </w:rPr>
        <w:t> </w:t>
      </w:r>
      <w:r w:rsidR="003715AA" w:rsidRPr="00911998">
        <w:rPr>
          <w:rFonts w:cs="Arial"/>
        </w:rPr>
        <w:t xml:space="preserve">; </w:t>
      </w:r>
      <w:r w:rsidR="003715AA" w:rsidRPr="00911998">
        <w:rPr>
          <w:rFonts w:cs="Arial"/>
          <w:i/>
          <w:iCs/>
        </w:rPr>
        <w:t>Fraser</w:t>
      </w:r>
      <w:r w:rsidR="003715AA" w:rsidRPr="00911998">
        <w:rPr>
          <w:rFonts w:cs="Arial"/>
        </w:rPr>
        <w:t>, précité, par. 51</w:t>
      </w:r>
      <w:r w:rsidR="003715AA" w:rsidRPr="00911998">
        <w:rPr>
          <w:rFonts w:cs="Arial"/>
        </w:rPr>
        <w:noBreakHyphen/>
        <w:t>52</w:t>
      </w:r>
      <w:r w:rsidRPr="00911998">
        <w:rPr>
          <w:rFonts w:cs="Arial"/>
        </w:rPr>
        <w:t>.</w:t>
      </w:r>
    </w:p>
  </w:footnote>
  <w:footnote w:id="149">
    <w:p w14:paraId="0DA135BE" w14:textId="62B6DA65" w:rsidR="001C57E2" w:rsidRPr="00911998" w:rsidRDefault="001C57E2">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D3150E" w:rsidRPr="00911998">
        <w:rPr>
          <w:rFonts w:cs="Arial"/>
          <w:i/>
          <w:iCs/>
        </w:rPr>
        <w:t>Sharma</w:t>
      </w:r>
      <w:r w:rsidR="00D3150E" w:rsidRPr="00911998">
        <w:rPr>
          <w:rFonts w:cs="Arial"/>
        </w:rPr>
        <w:t xml:space="preserve">, précité, </w:t>
      </w:r>
      <w:r w:rsidRPr="00911998">
        <w:rPr>
          <w:rFonts w:cs="Arial"/>
        </w:rPr>
        <w:t>par. 44 et 45</w:t>
      </w:r>
      <w:r w:rsidR="00856EA3" w:rsidRPr="00911998">
        <w:rPr>
          <w:rFonts w:cs="Arial"/>
        </w:rPr>
        <w:t> </w:t>
      </w:r>
      <w:r w:rsidR="00476428" w:rsidRPr="00911998">
        <w:rPr>
          <w:rFonts w:cs="Arial"/>
        </w:rPr>
        <w:t xml:space="preserve">; </w:t>
      </w:r>
      <w:r w:rsidR="00476428" w:rsidRPr="00911998">
        <w:rPr>
          <w:rFonts w:cs="Arial"/>
          <w:i/>
          <w:iCs/>
        </w:rPr>
        <w:t>Alliance autochtone</w:t>
      </w:r>
      <w:r w:rsidR="00476428" w:rsidRPr="00911998">
        <w:rPr>
          <w:rFonts w:cs="Arial"/>
        </w:rPr>
        <w:t>, précité, par. 91.</w:t>
      </w:r>
    </w:p>
  </w:footnote>
  <w:footnote w:id="150">
    <w:p w14:paraId="70A2BC3A" w14:textId="442DF272" w:rsidR="001A07BD" w:rsidRPr="00911998" w:rsidRDefault="001A07BD">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Dickson</w:t>
      </w:r>
      <w:r w:rsidRPr="00911998">
        <w:rPr>
          <w:rFonts w:cs="Arial"/>
        </w:rPr>
        <w:t>, précité, par. 190</w:t>
      </w:r>
      <w:r w:rsidR="00856EA3" w:rsidRPr="00911998">
        <w:rPr>
          <w:rFonts w:cs="Arial"/>
        </w:rPr>
        <w:t> </w:t>
      </w:r>
      <w:r w:rsidR="00FD7A22" w:rsidRPr="00911998">
        <w:rPr>
          <w:rFonts w:cs="Arial"/>
        </w:rPr>
        <w:t xml:space="preserve">; </w:t>
      </w:r>
      <w:proofErr w:type="spellStart"/>
      <w:r w:rsidR="00FD7A22" w:rsidRPr="00911998">
        <w:rPr>
          <w:rFonts w:cs="Arial"/>
          <w:i/>
          <w:iCs/>
        </w:rPr>
        <w:t>Withler</w:t>
      </w:r>
      <w:proofErr w:type="spellEnd"/>
      <w:r w:rsidR="00FD7A22" w:rsidRPr="00911998">
        <w:rPr>
          <w:rFonts w:cs="Arial"/>
        </w:rPr>
        <w:t>, précité, par. 31</w:t>
      </w:r>
      <w:r w:rsidR="00856EA3" w:rsidRPr="00911998">
        <w:rPr>
          <w:rFonts w:cs="Arial"/>
        </w:rPr>
        <w:t> </w:t>
      </w:r>
      <w:r w:rsidR="003D6341" w:rsidRPr="00911998">
        <w:rPr>
          <w:rFonts w:cs="Arial"/>
        </w:rPr>
        <w:t xml:space="preserve">; </w:t>
      </w:r>
      <w:r w:rsidR="003D6341" w:rsidRPr="00911998">
        <w:rPr>
          <w:rFonts w:cs="Arial"/>
          <w:i/>
          <w:iCs/>
        </w:rPr>
        <w:t>Fraser</w:t>
      </w:r>
      <w:r w:rsidR="003D6341" w:rsidRPr="00911998">
        <w:rPr>
          <w:rFonts w:cs="Arial"/>
        </w:rPr>
        <w:t>, précité, par. 41</w:t>
      </w:r>
      <w:r w:rsidR="00FD7A22" w:rsidRPr="00911998">
        <w:rPr>
          <w:rFonts w:cs="Arial"/>
        </w:rPr>
        <w:t>.</w:t>
      </w:r>
    </w:p>
  </w:footnote>
  <w:footnote w:id="151">
    <w:p w14:paraId="5ABA9B26" w14:textId="694437BD" w:rsidR="00CC7ED5" w:rsidRPr="00911998" w:rsidRDefault="00CC7ED5">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Sharma</w:t>
      </w:r>
      <w:r w:rsidRPr="00911998">
        <w:rPr>
          <w:rFonts w:cs="Arial"/>
        </w:rPr>
        <w:t>, précité, par. 31</w:t>
      </w:r>
      <w:r w:rsidR="00856EA3" w:rsidRPr="00911998">
        <w:rPr>
          <w:rFonts w:cs="Arial"/>
        </w:rPr>
        <w:t> </w:t>
      </w:r>
      <w:r w:rsidR="001A07BD" w:rsidRPr="00911998">
        <w:rPr>
          <w:rFonts w:cs="Arial"/>
        </w:rPr>
        <w:t xml:space="preserve">; </w:t>
      </w:r>
      <w:r w:rsidR="001A07BD" w:rsidRPr="00911998">
        <w:rPr>
          <w:rFonts w:cs="Arial"/>
          <w:i/>
          <w:iCs/>
        </w:rPr>
        <w:t>Dickson</w:t>
      </w:r>
      <w:r w:rsidR="001A07BD" w:rsidRPr="00911998">
        <w:rPr>
          <w:rFonts w:cs="Arial"/>
        </w:rPr>
        <w:t>, précité, par. 199</w:t>
      </w:r>
      <w:r w:rsidR="00856EA3" w:rsidRPr="00911998">
        <w:rPr>
          <w:rFonts w:cs="Arial"/>
        </w:rPr>
        <w:t> </w:t>
      </w:r>
      <w:r w:rsidR="00A70C83" w:rsidRPr="00911998">
        <w:rPr>
          <w:rFonts w:cs="Arial"/>
        </w:rPr>
        <w:t xml:space="preserve">; </w:t>
      </w:r>
      <w:r w:rsidR="00A70C83" w:rsidRPr="00911998">
        <w:rPr>
          <w:rFonts w:cs="Arial"/>
          <w:i/>
          <w:iCs/>
        </w:rPr>
        <w:t>Fraser</w:t>
      </w:r>
      <w:r w:rsidR="00A70C83" w:rsidRPr="00911998">
        <w:rPr>
          <w:rFonts w:cs="Arial"/>
        </w:rPr>
        <w:t>, précité, par. 76</w:t>
      </w:r>
      <w:r w:rsidRPr="00911998">
        <w:rPr>
          <w:rFonts w:cs="Arial"/>
        </w:rPr>
        <w:t>. </w:t>
      </w:r>
    </w:p>
  </w:footnote>
  <w:footnote w:id="152">
    <w:p w14:paraId="623766B0" w14:textId="0E73E8F3" w:rsidR="00486531" w:rsidRPr="00911998" w:rsidRDefault="00486531">
      <w:pPr>
        <w:pStyle w:val="Notedebasdepage"/>
      </w:pPr>
      <w:r w:rsidRPr="00911998">
        <w:rPr>
          <w:rStyle w:val="Appelnotedebasdep"/>
        </w:rPr>
        <w:footnoteRef/>
      </w:r>
      <w:r w:rsidRPr="00911998">
        <w:t xml:space="preserve"> </w:t>
      </w:r>
      <w:r w:rsidRPr="00911998">
        <w:tab/>
      </w:r>
      <w:r w:rsidRPr="00911998">
        <w:rPr>
          <w:i/>
          <w:iCs/>
        </w:rPr>
        <w:t>Sharma</w:t>
      </w:r>
      <w:r w:rsidRPr="00911998">
        <w:t>, précité, par. 51.</w:t>
      </w:r>
    </w:p>
  </w:footnote>
  <w:footnote w:id="153">
    <w:p w14:paraId="16308D38" w14:textId="365151D5" w:rsidR="00CC7ED5" w:rsidRPr="00911998" w:rsidRDefault="00CC7ED5">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Alliance autochtone</w:t>
      </w:r>
      <w:r w:rsidRPr="00911998">
        <w:rPr>
          <w:rFonts w:cs="Arial"/>
        </w:rPr>
        <w:t>, précité, par. 94.</w:t>
      </w:r>
    </w:p>
  </w:footnote>
  <w:footnote w:id="154">
    <w:p w14:paraId="01028BCD" w14:textId="4ADA6EA2" w:rsidR="00160F7F" w:rsidRPr="00911998" w:rsidRDefault="00160F7F">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D3150E" w:rsidRPr="00911998">
        <w:rPr>
          <w:rFonts w:cs="Arial"/>
          <w:i/>
          <w:iCs/>
        </w:rPr>
        <w:t>Sharma</w:t>
      </w:r>
      <w:r w:rsidR="00D3150E" w:rsidRPr="00911998">
        <w:rPr>
          <w:rFonts w:cs="Arial"/>
        </w:rPr>
        <w:t xml:space="preserve">, précité, </w:t>
      </w:r>
      <w:r w:rsidRPr="00911998">
        <w:rPr>
          <w:rFonts w:cs="Arial"/>
        </w:rPr>
        <w:t>par. 52</w:t>
      </w:r>
      <w:r w:rsidR="00856EA3" w:rsidRPr="00911998">
        <w:rPr>
          <w:rFonts w:cs="Arial"/>
        </w:rPr>
        <w:t> </w:t>
      </w:r>
      <w:r w:rsidR="00A70C83" w:rsidRPr="00911998">
        <w:rPr>
          <w:rFonts w:cs="Arial"/>
        </w:rPr>
        <w:t xml:space="preserve">; </w:t>
      </w:r>
      <w:r w:rsidR="00A70C83" w:rsidRPr="00911998">
        <w:rPr>
          <w:rFonts w:cs="Arial"/>
          <w:i/>
          <w:iCs/>
        </w:rPr>
        <w:t>Fraser</w:t>
      </w:r>
      <w:r w:rsidR="00A70C83" w:rsidRPr="00911998">
        <w:rPr>
          <w:rFonts w:cs="Arial"/>
        </w:rPr>
        <w:t>, précité, par. 76</w:t>
      </w:r>
      <w:r w:rsidRPr="00911998">
        <w:rPr>
          <w:rFonts w:cs="Arial"/>
        </w:rPr>
        <w:t>.</w:t>
      </w:r>
    </w:p>
  </w:footnote>
  <w:footnote w:id="155">
    <w:p w14:paraId="3DB23AB7" w14:textId="38D30BFA" w:rsidR="00CC7ED5" w:rsidRPr="00911998" w:rsidRDefault="00CC7ED5">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A70C83" w:rsidRPr="00911998">
        <w:rPr>
          <w:rFonts w:cs="Arial"/>
          <w:i/>
          <w:iCs/>
        </w:rPr>
        <w:t>Fraser</w:t>
      </w:r>
      <w:r w:rsidR="00A70C83" w:rsidRPr="00911998">
        <w:rPr>
          <w:rFonts w:cs="Arial"/>
        </w:rPr>
        <w:t>, précité, par. 78</w:t>
      </w:r>
      <w:r w:rsidR="00856EA3" w:rsidRPr="00911998">
        <w:rPr>
          <w:rFonts w:cs="Arial"/>
        </w:rPr>
        <w:t> </w:t>
      </w:r>
      <w:r w:rsidR="00A70C83" w:rsidRPr="00911998">
        <w:rPr>
          <w:rFonts w:cs="Arial"/>
        </w:rPr>
        <w:t xml:space="preserve">; </w:t>
      </w:r>
      <w:r w:rsidRPr="00911998">
        <w:rPr>
          <w:rFonts w:cs="Arial"/>
          <w:i/>
          <w:iCs/>
        </w:rPr>
        <w:t>Alliance autochtone</w:t>
      </w:r>
      <w:r w:rsidRPr="00911998">
        <w:rPr>
          <w:rFonts w:cs="Arial"/>
        </w:rPr>
        <w:t>, précité, par. 95.</w:t>
      </w:r>
    </w:p>
  </w:footnote>
  <w:footnote w:id="156">
    <w:p w14:paraId="2265B4F0" w14:textId="7612D58A" w:rsidR="00BA6109" w:rsidRPr="00911998" w:rsidRDefault="00BA6109">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D3150E" w:rsidRPr="00911998">
        <w:rPr>
          <w:rFonts w:cs="Arial"/>
          <w:i/>
          <w:iCs/>
        </w:rPr>
        <w:t>Sharma</w:t>
      </w:r>
      <w:r w:rsidR="00D3150E" w:rsidRPr="00911998">
        <w:rPr>
          <w:rFonts w:cs="Arial"/>
        </w:rPr>
        <w:t xml:space="preserve">, précité, </w:t>
      </w:r>
      <w:r w:rsidRPr="00911998">
        <w:rPr>
          <w:rFonts w:cs="Arial"/>
        </w:rPr>
        <w:t>par. 53.</w:t>
      </w:r>
    </w:p>
  </w:footnote>
  <w:footnote w:id="157">
    <w:p w14:paraId="1CA22723" w14:textId="1D8BE14A" w:rsidR="001A07BD" w:rsidRPr="00911998" w:rsidRDefault="001A07BD">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Voir également </w:t>
      </w:r>
      <w:r w:rsidRPr="00911998">
        <w:rPr>
          <w:rFonts w:cs="Arial"/>
          <w:i/>
          <w:iCs/>
        </w:rPr>
        <w:t>Dickson</w:t>
      </w:r>
      <w:r w:rsidRPr="00911998">
        <w:rPr>
          <w:rFonts w:cs="Arial"/>
        </w:rPr>
        <w:t>,</w:t>
      </w:r>
      <w:r w:rsidR="00AF02CD" w:rsidRPr="00911998">
        <w:rPr>
          <w:rFonts w:cs="Arial"/>
        </w:rPr>
        <w:t xml:space="preserve"> </w:t>
      </w:r>
      <w:r w:rsidRPr="00911998">
        <w:rPr>
          <w:rFonts w:cs="Arial"/>
        </w:rPr>
        <w:t>précité, par. 202.</w:t>
      </w:r>
    </w:p>
  </w:footnote>
  <w:footnote w:id="158">
    <w:p w14:paraId="5DA4A9FA" w14:textId="137F4878" w:rsidR="00CC7ED5" w:rsidRPr="00911998" w:rsidRDefault="00CC7ED5">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Sharma</w:t>
      </w:r>
      <w:r w:rsidRPr="00911998">
        <w:rPr>
          <w:rFonts w:cs="Arial"/>
        </w:rPr>
        <w:t>, précité, par. 57 et 59</w:t>
      </w:r>
      <w:r w:rsidR="00856EA3" w:rsidRPr="00911998">
        <w:rPr>
          <w:rFonts w:cs="Arial"/>
        </w:rPr>
        <w:t> </w:t>
      </w:r>
      <w:r w:rsidRPr="00911998">
        <w:rPr>
          <w:rFonts w:cs="Arial"/>
        </w:rPr>
        <w:t xml:space="preserve">; </w:t>
      </w:r>
      <w:r w:rsidRPr="00911998">
        <w:rPr>
          <w:rFonts w:cs="Arial"/>
          <w:i/>
          <w:iCs/>
        </w:rPr>
        <w:t>Alliance autochtone</w:t>
      </w:r>
      <w:r w:rsidRPr="00911998">
        <w:rPr>
          <w:rFonts w:cs="Arial"/>
        </w:rPr>
        <w:t>, précité, par. 96.</w:t>
      </w:r>
    </w:p>
  </w:footnote>
  <w:footnote w:id="159">
    <w:p w14:paraId="58F5F5E1" w14:textId="04492811" w:rsidR="00942158" w:rsidRPr="00911998" w:rsidRDefault="00942158" w:rsidP="00942158">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D3150E" w:rsidRPr="00911998">
        <w:rPr>
          <w:rFonts w:cs="Arial"/>
          <w:i/>
          <w:iCs/>
        </w:rPr>
        <w:t>Sharma</w:t>
      </w:r>
      <w:r w:rsidR="00D3150E" w:rsidRPr="00911998">
        <w:rPr>
          <w:rFonts w:cs="Arial"/>
        </w:rPr>
        <w:t xml:space="preserve">, précité, </w:t>
      </w:r>
      <w:r w:rsidRPr="00911998">
        <w:rPr>
          <w:rFonts w:cs="Arial"/>
        </w:rPr>
        <w:t>par. 55</w:t>
      </w:r>
      <w:r w:rsidR="00856EA3" w:rsidRPr="00911998">
        <w:rPr>
          <w:rFonts w:cs="Arial"/>
        </w:rPr>
        <w:t> </w:t>
      </w:r>
      <w:r w:rsidR="003715AA" w:rsidRPr="00911998">
        <w:rPr>
          <w:rFonts w:cs="Arial"/>
        </w:rPr>
        <w:t xml:space="preserve">; </w:t>
      </w:r>
      <w:r w:rsidR="003715AA" w:rsidRPr="00911998">
        <w:rPr>
          <w:rFonts w:cs="Arial"/>
          <w:i/>
          <w:iCs/>
        </w:rPr>
        <w:t>Fraser</w:t>
      </w:r>
      <w:r w:rsidR="003715AA" w:rsidRPr="00911998">
        <w:rPr>
          <w:rFonts w:cs="Arial"/>
        </w:rPr>
        <w:t>, précité, par. </w:t>
      </w:r>
      <w:r w:rsidR="001453DB" w:rsidRPr="00911998">
        <w:rPr>
          <w:rFonts w:cs="Arial"/>
        </w:rPr>
        <w:t>69</w:t>
      </w:r>
      <w:r w:rsidR="00856EA3" w:rsidRPr="00911998">
        <w:rPr>
          <w:rFonts w:cs="Arial"/>
        </w:rPr>
        <w:t> </w:t>
      </w:r>
      <w:r w:rsidR="009A2B97" w:rsidRPr="00911998">
        <w:rPr>
          <w:rFonts w:cs="Arial"/>
        </w:rPr>
        <w:t xml:space="preserve">; </w:t>
      </w:r>
      <w:r w:rsidR="009A2B97" w:rsidRPr="00911998">
        <w:rPr>
          <w:rFonts w:cs="Arial"/>
          <w:i/>
          <w:iCs/>
        </w:rPr>
        <w:t>Ontario c. G.</w:t>
      </w:r>
      <w:r w:rsidR="009A2B97" w:rsidRPr="00911998">
        <w:rPr>
          <w:rFonts w:cs="Arial"/>
        </w:rPr>
        <w:t>, précité, par. 46</w:t>
      </w:r>
      <w:r w:rsidR="001453DB" w:rsidRPr="00911998">
        <w:rPr>
          <w:rFonts w:cs="Arial"/>
        </w:rPr>
        <w:t>.</w:t>
      </w:r>
    </w:p>
  </w:footnote>
  <w:footnote w:id="160">
    <w:p w14:paraId="2F6F5EA8" w14:textId="77777777" w:rsidR="007347F8" w:rsidRPr="00911998" w:rsidRDefault="007347F8" w:rsidP="007347F8">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Fraser</w:t>
      </w:r>
      <w:r w:rsidRPr="00911998">
        <w:rPr>
          <w:rFonts w:cs="Arial"/>
        </w:rPr>
        <w:t>, précité, par. 31.</w:t>
      </w:r>
    </w:p>
  </w:footnote>
  <w:footnote w:id="161">
    <w:p w14:paraId="05B5A114" w14:textId="0C551AB3" w:rsidR="009A2B97" w:rsidRPr="00911998" w:rsidRDefault="009A2B97">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Ontario c. G.</w:t>
      </w:r>
      <w:r w:rsidRPr="00911998">
        <w:rPr>
          <w:rFonts w:cs="Arial"/>
        </w:rPr>
        <w:t>, précité, par. 39.</w:t>
      </w:r>
    </w:p>
  </w:footnote>
  <w:footnote w:id="162">
    <w:p w14:paraId="3111C58D" w14:textId="4A23F489" w:rsidR="004B1CA4" w:rsidRPr="00911998" w:rsidRDefault="004B1CA4">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42.</w:t>
      </w:r>
    </w:p>
  </w:footnote>
  <w:footnote w:id="163">
    <w:p w14:paraId="41145E1D" w14:textId="2AD6BBD1" w:rsidR="00955C78" w:rsidRPr="00911998" w:rsidRDefault="00955C78">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La déficience physique et le mode de conception sont invoqués uniquement par les Demandeurs dans le </w:t>
      </w:r>
      <w:r w:rsidR="008F5FBC" w:rsidRPr="00911998">
        <w:rPr>
          <w:rFonts w:cs="Arial"/>
        </w:rPr>
        <w:t>Dossier de la Coalition</w:t>
      </w:r>
      <w:r w:rsidRPr="00911998">
        <w:rPr>
          <w:rFonts w:cs="Arial"/>
        </w:rPr>
        <w:t>.</w:t>
      </w:r>
    </w:p>
  </w:footnote>
  <w:footnote w:id="164">
    <w:p w14:paraId="3FF0167B" w14:textId="1F155B6A" w:rsidR="007744C9" w:rsidRPr="00911998" w:rsidRDefault="007744C9">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proofErr w:type="spellStart"/>
      <w:r w:rsidRPr="00911998">
        <w:rPr>
          <w:rFonts w:cs="Arial"/>
          <w:i/>
          <w:iCs/>
        </w:rPr>
        <w:t>Auton</w:t>
      </w:r>
      <w:proofErr w:type="spellEnd"/>
      <w:r w:rsidRPr="00911998">
        <w:rPr>
          <w:rFonts w:cs="Arial"/>
          <w:i/>
          <w:iCs/>
        </w:rPr>
        <w:t xml:space="preserve"> (Tutrice à l’instance de) c. Colombie-Britannique (Procureur général)</w:t>
      </w:r>
      <w:r w:rsidRPr="00911998">
        <w:rPr>
          <w:rFonts w:cs="Arial"/>
        </w:rPr>
        <w:t>, 2004</w:t>
      </w:r>
      <w:r w:rsidR="00EA04D7" w:rsidRPr="00911998">
        <w:rPr>
          <w:rFonts w:cs="Arial"/>
        </w:rPr>
        <w:t> </w:t>
      </w:r>
      <w:r w:rsidRPr="00911998">
        <w:rPr>
          <w:rFonts w:cs="Arial"/>
        </w:rPr>
        <w:t>CSC</w:t>
      </w:r>
      <w:r w:rsidR="00EA04D7" w:rsidRPr="00911998">
        <w:rPr>
          <w:rFonts w:cs="Arial"/>
        </w:rPr>
        <w:t> </w:t>
      </w:r>
      <w:r w:rsidRPr="00911998">
        <w:rPr>
          <w:rFonts w:cs="Arial"/>
        </w:rPr>
        <w:t>78, par. 27.</w:t>
      </w:r>
    </w:p>
  </w:footnote>
  <w:footnote w:id="165">
    <w:p w14:paraId="31FE547B" w14:textId="63617EB1" w:rsidR="004B1CA4" w:rsidRPr="00911998" w:rsidRDefault="004B1CA4">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Ontario c. G.</w:t>
      </w:r>
      <w:r w:rsidRPr="00911998">
        <w:rPr>
          <w:rFonts w:cs="Arial"/>
        </w:rPr>
        <w:t>, précité, par. 45.</w:t>
      </w:r>
    </w:p>
  </w:footnote>
  <w:footnote w:id="166">
    <w:p w14:paraId="3C8FC985" w14:textId="7DB82AF8" w:rsidR="004B1CA4" w:rsidRPr="00911998" w:rsidRDefault="004B1CA4">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44.</w:t>
      </w:r>
    </w:p>
  </w:footnote>
  <w:footnote w:id="167">
    <w:p w14:paraId="577F7E96" w14:textId="18754794" w:rsidR="00FC7EF3" w:rsidRPr="00911998" w:rsidRDefault="00FC7EF3">
      <w:pPr>
        <w:pStyle w:val="Notedebasdepage"/>
      </w:pPr>
      <w:r w:rsidRPr="00911998">
        <w:rPr>
          <w:rStyle w:val="Appelnotedebasdep"/>
        </w:rPr>
        <w:footnoteRef/>
      </w:r>
      <w:r w:rsidRPr="00911998">
        <w:t xml:space="preserve"> </w:t>
      </w:r>
      <w:r w:rsidRPr="00911998">
        <w:tab/>
        <w:t xml:space="preserve">Voir également : </w:t>
      </w:r>
      <w:r w:rsidRPr="00911998">
        <w:rPr>
          <w:i/>
          <w:iCs/>
        </w:rPr>
        <w:t>Cameron c. Nova Scotia (Attorney General)</w:t>
      </w:r>
      <w:r w:rsidRPr="00911998">
        <w:t>, 1999 NSCA 14, par. 144</w:t>
      </w:r>
      <w:r w:rsidRPr="00911998">
        <w:noBreakHyphen/>
        <w:t>145.</w:t>
      </w:r>
    </w:p>
  </w:footnote>
  <w:footnote w:id="168">
    <w:p w14:paraId="34F2007E" w14:textId="641FC27D" w:rsidR="00735CDB" w:rsidRPr="00911998" w:rsidRDefault="00735CD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92196B" w:rsidRPr="00911998">
        <w:rPr>
          <w:rFonts w:cs="Arial"/>
        </w:rPr>
        <w:t>Rapport Lavoie, précité</w:t>
      </w:r>
      <w:r w:rsidRPr="00911998">
        <w:rPr>
          <w:rFonts w:cs="Arial"/>
        </w:rPr>
        <w:t>, par. 20.</w:t>
      </w:r>
    </w:p>
  </w:footnote>
  <w:footnote w:id="169">
    <w:p w14:paraId="196C134C" w14:textId="603C0674" w:rsidR="00A0178D" w:rsidRPr="00911998" w:rsidRDefault="00A0178D" w:rsidP="00A0178D">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Selon le professeur Lavoie, «</w:t>
      </w:r>
      <w:r w:rsidR="00216F52" w:rsidRPr="00911998">
        <w:rPr>
          <w:rFonts w:cs="Arial"/>
        </w:rPr>
        <w:t> </w:t>
      </w:r>
      <w:r w:rsidRPr="00911998">
        <w:rPr>
          <w:rFonts w:cs="Arial"/>
        </w:rPr>
        <w:t>La coparentalité élective (ou coparentalité planifiée) survient lorsqu’au moins deux personnes ne partageant pas une relation conjugale décident de mettre en commun leur désir d’enfant et de fonder une famille</w:t>
      </w:r>
      <w:r w:rsidR="00216F52" w:rsidRPr="00911998">
        <w:rPr>
          <w:rFonts w:cs="Arial"/>
        </w:rPr>
        <w:t> </w:t>
      </w:r>
      <w:r w:rsidRPr="00911998">
        <w:rPr>
          <w:rFonts w:cs="Arial"/>
        </w:rPr>
        <w:t>»</w:t>
      </w:r>
      <w:r w:rsidR="009B71CB" w:rsidRPr="00911998">
        <w:rPr>
          <w:rFonts w:cs="Arial"/>
        </w:rPr>
        <w:t xml:space="preserve"> : </w:t>
      </w:r>
      <w:r w:rsidR="000A719D" w:rsidRPr="00911998">
        <w:rPr>
          <w:rFonts w:cs="Arial"/>
        </w:rPr>
        <w:t>Rapport Lavoie, précité</w:t>
      </w:r>
      <w:r w:rsidR="009B71CB" w:rsidRPr="00911998">
        <w:rPr>
          <w:rFonts w:cs="Arial"/>
        </w:rPr>
        <w:t>, par. 15</w:t>
      </w:r>
      <w:r w:rsidRPr="00911998">
        <w:rPr>
          <w:rFonts w:cs="Arial"/>
        </w:rPr>
        <w:t>.</w:t>
      </w:r>
    </w:p>
  </w:footnote>
  <w:footnote w:id="170">
    <w:p w14:paraId="09195868" w14:textId="4AD5FC9D" w:rsidR="009F6FA2" w:rsidRPr="00911998" w:rsidRDefault="009F6FA2" w:rsidP="009F6FA2">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Egan c. Canada</w:t>
      </w:r>
      <w:r w:rsidRPr="00911998">
        <w:rPr>
          <w:rFonts w:cs="Arial"/>
        </w:rPr>
        <w:t>, [1995] 2</w:t>
      </w:r>
      <w:r w:rsidR="00911599" w:rsidRPr="00911998">
        <w:rPr>
          <w:rFonts w:cs="Arial"/>
        </w:rPr>
        <w:t> </w:t>
      </w:r>
      <w:r w:rsidRPr="00911998">
        <w:rPr>
          <w:rFonts w:cs="Arial"/>
        </w:rPr>
        <w:t>RCS</w:t>
      </w:r>
      <w:r w:rsidR="00911599" w:rsidRPr="00911998">
        <w:rPr>
          <w:rFonts w:cs="Arial"/>
        </w:rPr>
        <w:t> </w:t>
      </w:r>
      <w:r w:rsidRPr="00911998">
        <w:rPr>
          <w:rFonts w:cs="Arial"/>
        </w:rPr>
        <w:t>513</w:t>
      </w:r>
      <w:r w:rsidR="00911599" w:rsidRPr="00911998">
        <w:rPr>
          <w:rFonts w:cs="Arial"/>
        </w:rPr>
        <w:t> </w:t>
      </w:r>
      <w:r w:rsidRPr="00911998">
        <w:rPr>
          <w:rFonts w:cs="Arial"/>
        </w:rPr>
        <w:t xml:space="preserve">; </w:t>
      </w:r>
      <w:proofErr w:type="spellStart"/>
      <w:r w:rsidRPr="00911998">
        <w:rPr>
          <w:rFonts w:cs="Arial"/>
          <w:i/>
          <w:iCs/>
        </w:rPr>
        <w:t>Vriend</w:t>
      </w:r>
      <w:proofErr w:type="spellEnd"/>
      <w:r w:rsidRPr="00911998">
        <w:rPr>
          <w:rFonts w:cs="Arial"/>
          <w:i/>
          <w:iCs/>
        </w:rPr>
        <w:t> c. </w:t>
      </w:r>
      <w:bookmarkStart w:id="58" w:name="QuickMark"/>
      <w:bookmarkEnd w:id="58"/>
      <w:r w:rsidRPr="00911998">
        <w:rPr>
          <w:rFonts w:cs="Arial"/>
          <w:i/>
          <w:iCs/>
        </w:rPr>
        <w:t>Alberta</w:t>
      </w:r>
      <w:r w:rsidRPr="00911998">
        <w:rPr>
          <w:rFonts w:cs="Arial"/>
        </w:rPr>
        <w:t>, [1998] 1</w:t>
      </w:r>
      <w:r w:rsidR="00911599" w:rsidRPr="00911998">
        <w:rPr>
          <w:rFonts w:cs="Arial"/>
        </w:rPr>
        <w:t> </w:t>
      </w:r>
      <w:r w:rsidRPr="00911998">
        <w:rPr>
          <w:rFonts w:cs="Arial"/>
        </w:rPr>
        <w:t>RCS</w:t>
      </w:r>
      <w:r w:rsidR="00911599" w:rsidRPr="00911998">
        <w:rPr>
          <w:rFonts w:cs="Arial"/>
        </w:rPr>
        <w:t> </w:t>
      </w:r>
      <w:r w:rsidRPr="00911998">
        <w:rPr>
          <w:rFonts w:cs="Arial"/>
        </w:rPr>
        <w:t>493, par. 90</w:t>
      </w:r>
      <w:r w:rsidR="00911599" w:rsidRPr="00911998">
        <w:rPr>
          <w:rFonts w:cs="Arial"/>
        </w:rPr>
        <w:t> </w:t>
      </w:r>
      <w:r w:rsidRPr="00911998">
        <w:rPr>
          <w:rFonts w:cs="Arial"/>
        </w:rPr>
        <w:t xml:space="preserve">; </w:t>
      </w:r>
      <w:r w:rsidRPr="00911998">
        <w:rPr>
          <w:rFonts w:cs="Arial"/>
          <w:i/>
          <w:iCs/>
        </w:rPr>
        <w:t>M. c. H.</w:t>
      </w:r>
      <w:r w:rsidRPr="00911998">
        <w:rPr>
          <w:rFonts w:cs="Arial"/>
        </w:rPr>
        <w:t>, [1999] 2</w:t>
      </w:r>
      <w:r w:rsidR="00911599" w:rsidRPr="00911998">
        <w:rPr>
          <w:rFonts w:cs="Arial"/>
        </w:rPr>
        <w:t> </w:t>
      </w:r>
      <w:r w:rsidRPr="00911998">
        <w:rPr>
          <w:rFonts w:cs="Arial"/>
        </w:rPr>
        <w:t>RCS</w:t>
      </w:r>
      <w:r w:rsidR="00911599" w:rsidRPr="00911998">
        <w:rPr>
          <w:rFonts w:cs="Arial"/>
        </w:rPr>
        <w:t> </w:t>
      </w:r>
      <w:r w:rsidRPr="00911998">
        <w:rPr>
          <w:rFonts w:cs="Arial"/>
        </w:rPr>
        <w:t xml:space="preserve">3, par. 64. </w:t>
      </w:r>
    </w:p>
  </w:footnote>
  <w:footnote w:id="171">
    <w:p w14:paraId="6A96039B" w14:textId="776C5706" w:rsidR="000B4100" w:rsidRPr="00911998" w:rsidRDefault="000B4100">
      <w:pPr>
        <w:pStyle w:val="Notedebasdepage"/>
      </w:pPr>
      <w:r w:rsidRPr="00911998">
        <w:rPr>
          <w:rStyle w:val="Appelnotedebasdep"/>
        </w:rPr>
        <w:footnoteRef/>
      </w:r>
      <w:r w:rsidRPr="00911998">
        <w:t xml:space="preserve"> </w:t>
      </w:r>
      <w:r w:rsidRPr="00911998">
        <w:tab/>
        <w:t>Le Tribunal emploie le terme « LGBTQ+ » pour désigner toutes les orientations sexuelles et les identités de genre autres que l’hétérosexualité et l’identité cisgenre.</w:t>
      </w:r>
    </w:p>
  </w:footnote>
  <w:footnote w:id="172">
    <w:p w14:paraId="255B3883" w14:textId="36EDBFDC" w:rsidR="009F6FA2" w:rsidRPr="00911998" w:rsidRDefault="009F6FA2">
      <w:pPr>
        <w:pStyle w:val="Notedebasdepage"/>
      </w:pPr>
      <w:r w:rsidRPr="00911998">
        <w:rPr>
          <w:rStyle w:val="Appelnotedebasdep"/>
        </w:rPr>
        <w:footnoteRef/>
      </w:r>
      <w:r w:rsidRPr="00911998">
        <w:t xml:space="preserve"> </w:t>
      </w:r>
      <w:r w:rsidRPr="00911998">
        <w:tab/>
        <w:t>Signalons qu’à l’audience les Demandeurs n’ont pas plaidé que le polyamour constitue une orientation sexuelle qui tombe sous la rubrique du motif analogue protégé aux termes du paragraphe</w:t>
      </w:r>
      <w:r w:rsidR="00911599" w:rsidRPr="00911998">
        <w:t> </w:t>
      </w:r>
      <w:r w:rsidRPr="00911998">
        <w:t xml:space="preserve">15(1) de la </w:t>
      </w:r>
      <w:r w:rsidRPr="00911998">
        <w:rPr>
          <w:i/>
          <w:iCs/>
        </w:rPr>
        <w:t>Charte canadienne</w:t>
      </w:r>
      <w:r w:rsidRPr="00911998">
        <w:t>.</w:t>
      </w:r>
      <w:r w:rsidRPr="00911998">
        <w:rPr>
          <w:i/>
          <w:iCs/>
        </w:rPr>
        <w:t xml:space="preserve"> </w:t>
      </w:r>
      <w:r w:rsidRPr="00911998">
        <w:t xml:space="preserve">Bien entendu, le Tribunal n’exprime aucune opinion ou conclusion </w:t>
      </w:r>
      <w:r w:rsidR="0087222C" w:rsidRPr="00911998">
        <w:t>à ce sujet</w:t>
      </w:r>
      <w:r w:rsidRPr="00911998">
        <w:t>.</w:t>
      </w:r>
    </w:p>
  </w:footnote>
  <w:footnote w:id="173">
    <w:p w14:paraId="2ADD10B8" w14:textId="2A4FB15A" w:rsidR="008F4954" w:rsidRPr="00911998" w:rsidRDefault="008F4954">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Témoignage de Marie</w:t>
      </w:r>
      <w:r w:rsidRPr="00911998">
        <w:rPr>
          <w:rFonts w:cs="Arial"/>
        </w:rPr>
        <w:noBreakHyphen/>
        <w:t>Pierre Boisvert.</w:t>
      </w:r>
    </w:p>
  </w:footnote>
  <w:footnote w:id="174">
    <w:p w14:paraId="4B8ACD51" w14:textId="5619C810" w:rsidR="008F4954" w:rsidRPr="00911998" w:rsidRDefault="008F4954">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p>
  </w:footnote>
  <w:footnote w:id="175">
    <w:p w14:paraId="6D3B361F" w14:textId="33D61A60" w:rsidR="00B524DB" w:rsidRPr="00911998" w:rsidRDefault="00B524D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BD6FC5" w:rsidRPr="00911998">
        <w:rPr>
          <w:rFonts w:cs="Arial"/>
        </w:rPr>
        <w:t>Rapport Côté, précité,</w:t>
      </w:r>
      <w:r w:rsidRPr="00911998">
        <w:rPr>
          <w:rFonts w:cs="Arial"/>
        </w:rPr>
        <w:t xml:space="preserve"> p. 9</w:t>
      </w:r>
      <w:r w:rsidRPr="00911998">
        <w:rPr>
          <w:rFonts w:cs="Arial"/>
        </w:rPr>
        <w:noBreakHyphen/>
        <w:t>10.</w:t>
      </w:r>
    </w:p>
  </w:footnote>
  <w:footnote w:id="176">
    <w:p w14:paraId="2F4C8101" w14:textId="0398ABDD" w:rsidR="00B524DB" w:rsidRPr="00911998" w:rsidRDefault="00B524D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Dans ce système, les vies </w:t>
      </w:r>
      <w:r w:rsidR="00911599" w:rsidRPr="00911998">
        <w:rPr>
          <w:rFonts w:cs="Arial"/>
        </w:rPr>
        <w:t>amoureuses</w:t>
      </w:r>
      <w:r w:rsidRPr="00911998">
        <w:rPr>
          <w:rFonts w:cs="Arial"/>
        </w:rPr>
        <w:t xml:space="preserve"> et </w:t>
      </w:r>
      <w:r w:rsidR="00911599" w:rsidRPr="00911998">
        <w:rPr>
          <w:rFonts w:cs="Arial"/>
        </w:rPr>
        <w:t>parentales</w:t>
      </w:r>
      <w:r w:rsidRPr="00911998">
        <w:rPr>
          <w:rFonts w:cs="Arial"/>
        </w:rPr>
        <w:t xml:space="preserve"> évoluent en parallèle et seuls les parents biologiques et légaux ont la responsabilité des enfants. </w:t>
      </w:r>
      <w:r w:rsidR="00911599" w:rsidRPr="00911998">
        <w:rPr>
          <w:rFonts w:cs="Arial"/>
        </w:rPr>
        <w:t>Souvent,</w:t>
      </w:r>
      <w:r w:rsidRPr="00911998">
        <w:rPr>
          <w:rFonts w:cs="Arial"/>
        </w:rPr>
        <w:t xml:space="preserve"> les enfants ne sont pas au courant des autres relations amoureuses de leurs parents : </w:t>
      </w:r>
      <w:r w:rsidR="00BD6FC5" w:rsidRPr="00911998">
        <w:rPr>
          <w:rFonts w:cs="Arial"/>
        </w:rPr>
        <w:t>Rapport Côté, précité,</w:t>
      </w:r>
      <w:r w:rsidRPr="00911998">
        <w:rPr>
          <w:rFonts w:cs="Arial"/>
        </w:rPr>
        <w:t xml:space="preserve"> p. 9.</w:t>
      </w:r>
    </w:p>
  </w:footnote>
  <w:footnote w:id="177">
    <w:p w14:paraId="02A37D28" w14:textId="32FEC8F5" w:rsidR="00B524DB" w:rsidRPr="00911998" w:rsidRDefault="00B524D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Ce système inclut plus de deux parents, mais implique des parents principaux et des parents secondaires ayant une implication différente dans les soins et l’éducation des enfants : </w:t>
      </w:r>
      <w:r w:rsidR="00BD6FC5" w:rsidRPr="00911998">
        <w:rPr>
          <w:rFonts w:cs="Arial"/>
        </w:rPr>
        <w:t xml:space="preserve">Rapport Côté, précité, </w:t>
      </w:r>
      <w:r w:rsidRPr="00911998">
        <w:rPr>
          <w:rFonts w:cs="Arial"/>
        </w:rPr>
        <w:t>p. 10.</w:t>
      </w:r>
    </w:p>
  </w:footnote>
  <w:footnote w:id="178">
    <w:p w14:paraId="7832BB3C" w14:textId="2FA81396" w:rsidR="001C0363" w:rsidRPr="00911998" w:rsidRDefault="001C0363">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BD6FC5" w:rsidRPr="00911998">
        <w:rPr>
          <w:rFonts w:cs="Arial"/>
        </w:rPr>
        <w:t>Rapport Côté, précité,</w:t>
      </w:r>
      <w:r w:rsidRPr="00911998">
        <w:rPr>
          <w:rFonts w:cs="Arial"/>
        </w:rPr>
        <w:t xml:space="preserve"> p. 10.</w:t>
      </w:r>
    </w:p>
  </w:footnote>
  <w:footnote w:id="179">
    <w:p w14:paraId="3A1AE4F4" w14:textId="15C7C1C6" w:rsidR="00377B8B" w:rsidRPr="00911998" w:rsidRDefault="00377B8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8D669E" w:rsidRPr="00911998">
        <w:rPr>
          <w:rFonts w:cs="Arial"/>
        </w:rPr>
        <w:t>Rapport Lavoie, précité</w:t>
      </w:r>
      <w:r w:rsidRPr="00911998">
        <w:rPr>
          <w:rFonts w:cs="Arial"/>
        </w:rPr>
        <w:t>, par. 19.</w:t>
      </w:r>
    </w:p>
  </w:footnote>
  <w:footnote w:id="180">
    <w:p w14:paraId="41AD8A75" w14:textId="043BCF0F" w:rsidR="00377B8B" w:rsidRPr="00911998" w:rsidRDefault="00377B8B">
      <w:pPr>
        <w:pStyle w:val="Notedebasdepage"/>
        <w:rPr>
          <w:rFonts w:cs="Arial"/>
          <w:lang w:val="en-CA"/>
        </w:rPr>
      </w:pPr>
      <w:r w:rsidRPr="00911998">
        <w:rPr>
          <w:rStyle w:val="Appelnotedebasdep"/>
          <w:rFonts w:cs="Arial"/>
        </w:rPr>
        <w:footnoteRef/>
      </w:r>
      <w:r w:rsidRPr="00911998">
        <w:rPr>
          <w:rFonts w:cs="Arial"/>
          <w:lang w:val="en-CA"/>
        </w:rPr>
        <w:t xml:space="preserve"> </w:t>
      </w:r>
      <w:r w:rsidRPr="00911998">
        <w:rPr>
          <w:rFonts w:cs="Arial"/>
          <w:lang w:val="en-CA"/>
        </w:rPr>
        <w:tab/>
      </w:r>
      <w:r w:rsidR="00091A14" w:rsidRPr="00911998">
        <w:rPr>
          <w:rFonts w:cs="Arial"/>
          <w:lang w:val="en-CA"/>
        </w:rPr>
        <w:t xml:space="preserve">C. </w:t>
      </w:r>
      <w:proofErr w:type="spellStart"/>
      <w:r w:rsidR="00091A14" w:rsidRPr="00911998">
        <w:rPr>
          <w:rFonts w:cs="Arial"/>
          <w:lang w:val="en-CA"/>
        </w:rPr>
        <w:t>Herbrand</w:t>
      </w:r>
      <w:proofErr w:type="spellEnd"/>
      <w:r w:rsidR="00091A14" w:rsidRPr="00911998">
        <w:rPr>
          <w:rFonts w:cs="Arial"/>
          <w:lang w:val="en-CA"/>
        </w:rPr>
        <w:t xml:space="preserve"> « </w:t>
      </w:r>
      <w:r w:rsidR="00091A14" w:rsidRPr="00911998">
        <w:rPr>
          <w:rFonts w:cs="Arial"/>
          <w:i/>
          <w:iCs/>
          <w:lang w:val="en-CA"/>
        </w:rPr>
        <w:t>Co</w:t>
      </w:r>
      <w:r w:rsidR="00091A14" w:rsidRPr="00911998">
        <w:rPr>
          <w:rFonts w:cs="Arial"/>
          <w:i/>
          <w:iCs/>
          <w:lang w:val="en-CA"/>
        </w:rPr>
        <w:noBreakHyphen/>
        <w:t>parenting arrangements in lesbian and gay families: when the ‘mum and dad’ ideal generates innovative family forms</w:t>
      </w:r>
      <w:r w:rsidR="00091A14" w:rsidRPr="00911998">
        <w:rPr>
          <w:rFonts w:cs="Arial"/>
          <w:lang w:val="en-CA"/>
        </w:rPr>
        <w:t> »</w:t>
      </w:r>
      <w:r w:rsidR="00843182" w:rsidRPr="00911998">
        <w:rPr>
          <w:rFonts w:cs="Arial"/>
          <w:lang w:val="en-CA"/>
        </w:rPr>
        <w:t xml:space="preserve"> (pièce PGQ</w:t>
      </w:r>
      <w:r w:rsidR="00843182" w:rsidRPr="00911998">
        <w:rPr>
          <w:rFonts w:cs="Arial"/>
          <w:lang w:val="en-CA"/>
        </w:rPr>
        <w:noBreakHyphen/>
        <w:t>15)</w:t>
      </w:r>
      <w:r w:rsidRPr="00911998">
        <w:rPr>
          <w:rFonts w:cs="Arial"/>
          <w:lang w:val="en-CA"/>
        </w:rPr>
        <w:t>.</w:t>
      </w:r>
    </w:p>
  </w:footnote>
  <w:footnote w:id="181">
    <w:p w14:paraId="2DE183DC" w14:textId="77777777" w:rsidR="00A13AC8" w:rsidRPr="00911998" w:rsidRDefault="00A13AC8" w:rsidP="00A13AC8">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 6; voir aussi le p. 18 sur le caractère non représentatif de l’étude.</w:t>
      </w:r>
    </w:p>
  </w:footnote>
  <w:footnote w:id="182">
    <w:p w14:paraId="7E32C95E" w14:textId="26BC30EE" w:rsidR="00E02B86" w:rsidRPr="00911998" w:rsidRDefault="00E02B86" w:rsidP="00E02B86">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Voir à ce titre : </w:t>
      </w:r>
      <w:r w:rsidRPr="00911998">
        <w:rPr>
          <w:rFonts w:cs="Arial"/>
          <w:i/>
          <w:iCs/>
          <w:shd w:val="clear" w:color="auto" w:fill="FFFFFF"/>
        </w:rPr>
        <w:t>Caron c. Attorney General of Canada</w:t>
      </w:r>
      <w:r w:rsidRPr="00911998">
        <w:rPr>
          <w:rFonts w:cs="Arial"/>
          <w:shd w:val="clear" w:color="auto" w:fill="FFFFFF"/>
        </w:rPr>
        <w:t xml:space="preserve">, 2020 QCCS 2700, par. 21; </w:t>
      </w:r>
      <w:proofErr w:type="spellStart"/>
      <w:r w:rsidRPr="00911998">
        <w:rPr>
          <w:rFonts w:cs="Arial"/>
          <w:i/>
          <w:iCs/>
          <w:shd w:val="clear" w:color="auto" w:fill="FFFFFF"/>
        </w:rPr>
        <w:t>Pratten</w:t>
      </w:r>
      <w:proofErr w:type="spellEnd"/>
      <w:r w:rsidRPr="00911998">
        <w:rPr>
          <w:rFonts w:cs="Arial"/>
          <w:i/>
          <w:iCs/>
          <w:shd w:val="clear" w:color="auto" w:fill="FFFFFF"/>
        </w:rPr>
        <w:t xml:space="preserve"> c. British Columbia (Attorney General)</w:t>
      </w:r>
      <w:r w:rsidRPr="00911998">
        <w:rPr>
          <w:rFonts w:cs="Arial"/>
          <w:shd w:val="clear" w:color="auto" w:fill="FFFFFF"/>
        </w:rPr>
        <w:t>, 2012 BCCA</w:t>
      </w:r>
      <w:r w:rsidR="00AA3440" w:rsidRPr="00911998">
        <w:rPr>
          <w:rFonts w:cs="Arial"/>
          <w:shd w:val="clear" w:color="auto" w:fill="FFFFFF"/>
        </w:rPr>
        <w:t> </w:t>
      </w:r>
      <w:r w:rsidRPr="00911998">
        <w:rPr>
          <w:rFonts w:cs="Arial"/>
          <w:shd w:val="clear" w:color="auto" w:fill="FFFFFF"/>
        </w:rPr>
        <w:t>480, par. 18 et 36</w:t>
      </w:r>
      <w:r w:rsidR="00AA3440" w:rsidRPr="00911998">
        <w:rPr>
          <w:rFonts w:cs="Arial"/>
          <w:shd w:val="clear" w:color="auto" w:fill="FFFFFF"/>
        </w:rPr>
        <w:t> </w:t>
      </w:r>
      <w:r w:rsidRPr="00911998">
        <w:rPr>
          <w:rFonts w:cs="Arial"/>
          <w:shd w:val="clear" w:color="auto" w:fill="FFFFFF"/>
        </w:rPr>
        <w:t xml:space="preserve">; </w:t>
      </w:r>
      <w:proofErr w:type="spellStart"/>
      <w:r w:rsidRPr="00911998">
        <w:rPr>
          <w:rFonts w:cs="Arial"/>
          <w:i/>
          <w:iCs/>
          <w:shd w:val="clear" w:color="auto" w:fill="FFFFFF"/>
        </w:rPr>
        <w:t>Kandola</w:t>
      </w:r>
      <w:proofErr w:type="spellEnd"/>
      <w:r w:rsidRPr="00911998">
        <w:rPr>
          <w:rFonts w:cs="Arial"/>
          <w:i/>
          <w:iCs/>
          <w:shd w:val="clear" w:color="auto" w:fill="FFFFFF"/>
        </w:rPr>
        <w:t xml:space="preserve"> c. Canada </w:t>
      </w:r>
      <w:r w:rsidR="00CF751B" w:rsidRPr="00911998">
        <w:rPr>
          <w:rFonts w:cs="Arial"/>
          <w:i/>
          <w:iCs/>
          <w:shd w:val="clear" w:color="auto" w:fill="FFFFFF"/>
        </w:rPr>
        <w:t>(Citoyenneté et Immigration)</w:t>
      </w:r>
      <w:r w:rsidRPr="00911998">
        <w:rPr>
          <w:rFonts w:cs="Arial"/>
          <w:shd w:val="clear" w:color="auto" w:fill="FFFFFF"/>
        </w:rPr>
        <w:t>, 2014</w:t>
      </w:r>
      <w:r w:rsidR="00A13AC8" w:rsidRPr="00911998">
        <w:rPr>
          <w:rFonts w:cs="Arial"/>
          <w:shd w:val="clear" w:color="auto" w:fill="FFFFFF"/>
        </w:rPr>
        <w:t> CAF </w:t>
      </w:r>
      <w:r w:rsidRPr="00911998">
        <w:rPr>
          <w:rFonts w:cs="Arial"/>
          <w:shd w:val="clear" w:color="auto" w:fill="FFFFFF"/>
        </w:rPr>
        <w:t>85, par. 120.</w:t>
      </w:r>
    </w:p>
  </w:footnote>
  <w:footnote w:id="183">
    <w:p w14:paraId="7788B794" w14:textId="5D5EAC3C" w:rsidR="00157FB2" w:rsidRPr="00911998" w:rsidRDefault="00157FB2" w:rsidP="00157FB2">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A13AC8" w:rsidRPr="00911998">
        <w:rPr>
          <w:rFonts w:cs="Arial"/>
        </w:rPr>
        <w:t xml:space="preserve">Notes et autorités des Demandeurs dans le Dossier de la Coalition, </w:t>
      </w:r>
      <w:r w:rsidRPr="00911998">
        <w:rPr>
          <w:rFonts w:cs="Arial"/>
        </w:rPr>
        <w:t>par. 311.</w:t>
      </w:r>
    </w:p>
  </w:footnote>
  <w:footnote w:id="184">
    <w:p w14:paraId="52F79E2D" w14:textId="6DAC4F4C" w:rsidR="00157FB2" w:rsidRPr="00911998" w:rsidRDefault="00157FB2" w:rsidP="00157FB2">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Articles 538</w:t>
      </w:r>
      <w:r w:rsidR="00AA3440" w:rsidRPr="00911998">
        <w:rPr>
          <w:rFonts w:cs="Arial"/>
        </w:rPr>
        <w:t> </w:t>
      </w:r>
      <w:r w:rsidR="00843182" w:rsidRPr="00911998">
        <w:rPr>
          <w:rFonts w:cs="Arial"/>
        </w:rPr>
        <w:t xml:space="preserve">et </w:t>
      </w:r>
      <w:proofErr w:type="spellStart"/>
      <w:r w:rsidRPr="00911998">
        <w:rPr>
          <w:rFonts w:cs="Arial"/>
        </w:rPr>
        <w:t>ss</w:t>
      </w:r>
      <w:proofErr w:type="spellEnd"/>
      <w:r w:rsidRPr="00911998">
        <w:rPr>
          <w:rFonts w:cs="Arial"/>
        </w:rPr>
        <w:t>. C.c.Q.</w:t>
      </w:r>
    </w:p>
  </w:footnote>
  <w:footnote w:id="185">
    <w:p w14:paraId="7D6411C2" w14:textId="34D5CA31" w:rsidR="00E02B86" w:rsidRPr="00911998" w:rsidRDefault="00E02B86" w:rsidP="00E02B86">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Notes et autorités des Demandeurs dans le </w:t>
      </w:r>
      <w:r w:rsidR="008F5FBC" w:rsidRPr="00911998">
        <w:rPr>
          <w:rFonts w:cs="Arial"/>
        </w:rPr>
        <w:t>Dossier de la Coalition</w:t>
      </w:r>
      <w:r w:rsidRPr="00911998">
        <w:rPr>
          <w:rFonts w:cs="Arial"/>
        </w:rPr>
        <w:t>, par. 307.</w:t>
      </w:r>
    </w:p>
  </w:footnote>
  <w:footnote w:id="186">
    <w:p w14:paraId="333EC957" w14:textId="36F1DFB7" w:rsidR="003E1BCC" w:rsidRPr="00911998" w:rsidRDefault="003E1BCC">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proofErr w:type="spellStart"/>
      <w:r w:rsidRPr="00911998">
        <w:rPr>
          <w:rFonts w:cs="Arial"/>
          <w:i/>
          <w:iCs/>
        </w:rPr>
        <w:t>Corbiere</w:t>
      </w:r>
      <w:proofErr w:type="spellEnd"/>
      <w:r w:rsidRPr="00911998">
        <w:rPr>
          <w:rFonts w:cs="Arial"/>
          <w:i/>
          <w:iCs/>
        </w:rPr>
        <w:t> c. Canada (</w:t>
      </w:r>
      <w:proofErr w:type="gramStart"/>
      <w:r w:rsidRPr="00911998">
        <w:rPr>
          <w:rFonts w:cs="Arial"/>
          <w:i/>
          <w:iCs/>
        </w:rPr>
        <w:t>Ministre</w:t>
      </w:r>
      <w:proofErr w:type="gramEnd"/>
      <w:r w:rsidRPr="00911998">
        <w:rPr>
          <w:rFonts w:cs="Arial"/>
          <w:i/>
          <w:iCs/>
        </w:rPr>
        <w:t xml:space="preserve"> des Affaires indiennes et du Nord canadien)</w:t>
      </w:r>
      <w:r w:rsidRPr="00911998">
        <w:rPr>
          <w:rFonts w:cs="Arial"/>
        </w:rPr>
        <w:t>, [1999] 2</w:t>
      </w:r>
      <w:r w:rsidR="009352DC" w:rsidRPr="00911998">
        <w:rPr>
          <w:rFonts w:cs="Arial"/>
        </w:rPr>
        <w:t> </w:t>
      </w:r>
      <w:r w:rsidRPr="00911998">
        <w:rPr>
          <w:rFonts w:cs="Arial"/>
        </w:rPr>
        <w:t>RCS</w:t>
      </w:r>
      <w:r w:rsidR="009352DC" w:rsidRPr="00911998">
        <w:rPr>
          <w:rFonts w:cs="Arial"/>
        </w:rPr>
        <w:t> </w:t>
      </w:r>
      <w:r w:rsidRPr="00911998">
        <w:rPr>
          <w:rFonts w:cs="Arial"/>
        </w:rPr>
        <w:t>203, par. 13</w:t>
      </w:r>
      <w:r w:rsidR="00843182" w:rsidRPr="00911998">
        <w:rPr>
          <w:rFonts w:cs="Arial"/>
        </w:rPr>
        <w:t xml:space="preserve"> [</w:t>
      </w:r>
      <w:proofErr w:type="spellStart"/>
      <w:r w:rsidR="00843182" w:rsidRPr="00911998">
        <w:rPr>
          <w:rFonts w:cs="Arial"/>
          <w:b/>
          <w:bCs/>
          <w:i/>
          <w:iCs/>
        </w:rPr>
        <w:t>Corbiere</w:t>
      </w:r>
      <w:proofErr w:type="spellEnd"/>
      <w:r w:rsidR="00843182" w:rsidRPr="00911998">
        <w:rPr>
          <w:rFonts w:cs="Arial"/>
        </w:rPr>
        <w:t>]</w:t>
      </w:r>
      <w:r w:rsidR="009352DC" w:rsidRPr="00911998">
        <w:rPr>
          <w:rFonts w:cs="Arial"/>
        </w:rPr>
        <w:t> </w:t>
      </w:r>
      <w:r w:rsidR="00D10F68" w:rsidRPr="00911998">
        <w:rPr>
          <w:rFonts w:cs="Arial"/>
        </w:rPr>
        <w:t xml:space="preserve">; voir aussi : </w:t>
      </w:r>
      <w:proofErr w:type="spellStart"/>
      <w:r w:rsidR="00D10F68" w:rsidRPr="00911998">
        <w:rPr>
          <w:rFonts w:cs="Arial"/>
          <w:i/>
          <w:iCs/>
          <w:shd w:val="clear" w:color="auto" w:fill="FFFFFF"/>
        </w:rPr>
        <w:t>Withler</w:t>
      </w:r>
      <w:proofErr w:type="spellEnd"/>
      <w:r w:rsidR="00D10F68" w:rsidRPr="00911998">
        <w:rPr>
          <w:rFonts w:cs="Arial"/>
          <w:shd w:val="clear" w:color="auto" w:fill="FFFFFF"/>
        </w:rPr>
        <w:t>, précité, par. 33.</w:t>
      </w:r>
    </w:p>
  </w:footnote>
  <w:footnote w:id="187">
    <w:p w14:paraId="11560BB6" w14:textId="0679B95A" w:rsidR="00863BA6" w:rsidRPr="00911998" w:rsidRDefault="00863BA6">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proofErr w:type="spellStart"/>
      <w:r w:rsidR="00341E2A" w:rsidRPr="00911998">
        <w:rPr>
          <w:rFonts w:cs="Arial"/>
          <w:i/>
          <w:iCs/>
        </w:rPr>
        <w:t>Corbiere</w:t>
      </w:r>
      <w:proofErr w:type="spellEnd"/>
      <w:r w:rsidR="00341E2A" w:rsidRPr="00911998">
        <w:rPr>
          <w:rFonts w:cs="Arial"/>
        </w:rPr>
        <w:t>, précité,</w:t>
      </w:r>
      <w:r w:rsidRPr="00911998">
        <w:rPr>
          <w:rFonts w:cs="Arial"/>
        </w:rPr>
        <w:t xml:space="preserve"> par. 10</w:t>
      </w:r>
      <w:r w:rsidR="00B94B0A" w:rsidRPr="00911998">
        <w:rPr>
          <w:rFonts w:cs="Arial"/>
        </w:rPr>
        <w:t> </w:t>
      </w:r>
      <w:r w:rsidRPr="00911998">
        <w:rPr>
          <w:rFonts w:cs="Arial"/>
        </w:rPr>
        <w:t>; voir aussi le par. 8.</w:t>
      </w:r>
    </w:p>
  </w:footnote>
  <w:footnote w:id="188">
    <w:p w14:paraId="037F1562" w14:textId="2D9D42CB" w:rsidR="00363FE9" w:rsidRPr="00911998" w:rsidRDefault="00363FE9">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Fraser</w:t>
      </w:r>
      <w:r w:rsidRPr="00911998">
        <w:rPr>
          <w:rFonts w:cs="Arial"/>
        </w:rPr>
        <w:t>, précité, par. </w:t>
      </w:r>
      <w:r w:rsidR="00E71B78" w:rsidRPr="00911998">
        <w:rPr>
          <w:rFonts w:cs="Arial"/>
        </w:rPr>
        <w:t>118</w:t>
      </w:r>
      <w:r w:rsidR="00E71B78" w:rsidRPr="00911998">
        <w:rPr>
          <w:rFonts w:cs="Arial"/>
        </w:rPr>
        <w:noBreakHyphen/>
        <w:t>119, 183 et 238.</w:t>
      </w:r>
      <w:r w:rsidR="007F5AC8" w:rsidRPr="00911998">
        <w:rPr>
          <w:rFonts w:cs="Arial"/>
        </w:rPr>
        <w:t xml:space="preserve"> </w:t>
      </w:r>
      <w:r w:rsidR="00F565AE" w:rsidRPr="00911998">
        <w:rPr>
          <w:rFonts w:cs="Arial"/>
        </w:rPr>
        <w:t xml:space="preserve">De même, dans l’affaire </w:t>
      </w:r>
      <w:r w:rsidR="00F565AE" w:rsidRPr="00911998">
        <w:rPr>
          <w:rFonts w:cs="Arial"/>
          <w:i/>
          <w:iCs/>
          <w:shd w:val="clear" w:color="auto" w:fill="FFFFFF"/>
        </w:rPr>
        <w:t>Procureure générale du Québec c. Association des juristes de l</w:t>
      </w:r>
      <w:r w:rsidR="00B94B0A" w:rsidRPr="00911998">
        <w:rPr>
          <w:rFonts w:cs="Arial"/>
          <w:i/>
          <w:iCs/>
          <w:shd w:val="clear" w:color="auto" w:fill="FFFFFF"/>
        </w:rPr>
        <w:t>’</w:t>
      </w:r>
      <w:r w:rsidR="00F565AE" w:rsidRPr="00911998">
        <w:rPr>
          <w:rFonts w:cs="Arial"/>
          <w:i/>
          <w:iCs/>
          <w:shd w:val="clear" w:color="auto" w:fill="FFFFFF"/>
        </w:rPr>
        <w:t>État</w:t>
      </w:r>
      <w:r w:rsidR="00F565AE" w:rsidRPr="00911998">
        <w:rPr>
          <w:rFonts w:cs="Arial"/>
          <w:shd w:val="clear" w:color="auto" w:fill="FFFFFF"/>
        </w:rPr>
        <w:t>, 2017</w:t>
      </w:r>
      <w:r w:rsidR="00B94B0A" w:rsidRPr="00911998">
        <w:rPr>
          <w:rFonts w:cs="Arial"/>
          <w:shd w:val="clear" w:color="auto" w:fill="FFFFFF"/>
        </w:rPr>
        <w:t> </w:t>
      </w:r>
      <w:r w:rsidR="00F565AE" w:rsidRPr="00911998">
        <w:rPr>
          <w:rFonts w:cs="Arial"/>
          <w:shd w:val="clear" w:color="auto" w:fill="FFFFFF"/>
        </w:rPr>
        <w:t>QCCA</w:t>
      </w:r>
      <w:r w:rsidR="00B94B0A" w:rsidRPr="00911998">
        <w:rPr>
          <w:rFonts w:cs="Arial"/>
          <w:shd w:val="clear" w:color="auto" w:fill="FFFFFF"/>
        </w:rPr>
        <w:t> </w:t>
      </w:r>
      <w:r w:rsidR="00F565AE" w:rsidRPr="00911998">
        <w:rPr>
          <w:rFonts w:cs="Arial"/>
          <w:shd w:val="clear" w:color="auto" w:fill="FFFFFF"/>
        </w:rPr>
        <w:t>103 [</w:t>
      </w:r>
      <w:r w:rsidR="00F565AE" w:rsidRPr="00911998">
        <w:rPr>
          <w:rFonts w:cs="Arial"/>
          <w:b/>
          <w:bCs/>
          <w:i/>
          <w:iCs/>
          <w:shd w:val="clear" w:color="auto" w:fill="FFFFFF"/>
        </w:rPr>
        <w:t>Association des juristes</w:t>
      </w:r>
      <w:r w:rsidR="00467404" w:rsidRPr="00911998">
        <w:rPr>
          <w:rFonts w:cs="Arial"/>
          <w:b/>
          <w:bCs/>
          <w:i/>
          <w:iCs/>
          <w:shd w:val="clear" w:color="auto" w:fill="FFFFFF"/>
        </w:rPr>
        <w:t xml:space="preserve"> (CA)</w:t>
      </w:r>
      <w:r w:rsidR="00F565AE" w:rsidRPr="00911998">
        <w:rPr>
          <w:rFonts w:cs="Arial"/>
          <w:shd w:val="clear" w:color="auto" w:fill="FFFFFF"/>
        </w:rPr>
        <w:t xml:space="preserve">], la Cour d’appel ne se prononce pas sur la question de savoir si la situation de famille est un motif analogue (par. 33). </w:t>
      </w:r>
      <w:r w:rsidR="00FE7026" w:rsidRPr="00911998">
        <w:rPr>
          <w:rFonts w:cs="Arial"/>
          <w:shd w:val="clear" w:color="auto" w:fill="FFFFFF"/>
        </w:rPr>
        <w:t>Voir également</w:t>
      </w:r>
      <w:r w:rsidR="000E5B68" w:rsidRPr="00911998">
        <w:rPr>
          <w:rFonts w:cs="Arial"/>
          <w:shd w:val="clear" w:color="auto" w:fill="FFFFFF"/>
        </w:rPr>
        <w:t xml:space="preserve"> </w:t>
      </w:r>
      <w:r w:rsidR="000E5B68" w:rsidRPr="00911998">
        <w:rPr>
          <w:rFonts w:cs="Arial"/>
          <w:i/>
          <w:iCs/>
        </w:rPr>
        <w:t>British Columbia Birth Registration No.</w:t>
      </w:r>
      <w:r w:rsidR="00B94B0A" w:rsidRPr="00911998">
        <w:rPr>
          <w:rFonts w:cs="Arial"/>
          <w:i/>
          <w:iCs/>
        </w:rPr>
        <w:t> </w:t>
      </w:r>
      <w:r w:rsidR="000E5B68" w:rsidRPr="00911998">
        <w:rPr>
          <w:rFonts w:cs="Arial"/>
          <w:i/>
          <w:iCs/>
        </w:rPr>
        <w:t>2018-XX-XX5815</w:t>
      </w:r>
      <w:r w:rsidR="000E5B68" w:rsidRPr="00911998">
        <w:rPr>
          <w:rFonts w:cs="Arial"/>
        </w:rPr>
        <w:t>, précité, par. 88</w:t>
      </w:r>
      <w:r w:rsidR="000E5B68" w:rsidRPr="00911998">
        <w:rPr>
          <w:rFonts w:cs="Arial"/>
        </w:rPr>
        <w:noBreakHyphen/>
        <w:t>90, et</w:t>
      </w:r>
      <w:r w:rsidR="00FE7026" w:rsidRPr="00911998">
        <w:rPr>
          <w:rFonts w:cs="Arial"/>
          <w:shd w:val="clear" w:color="auto" w:fill="FFFFFF"/>
        </w:rPr>
        <w:t xml:space="preserve"> les jugements de la Cour fédérale dans : </w:t>
      </w:r>
      <w:r w:rsidR="00FE7026" w:rsidRPr="00911998">
        <w:rPr>
          <w:rFonts w:cs="Arial"/>
          <w:i/>
          <w:iCs/>
          <w:shd w:val="clear" w:color="auto" w:fill="FFFFFF"/>
        </w:rPr>
        <w:t>Zhou c. Canada (Citoyenneté et Immigration)</w:t>
      </w:r>
      <w:r w:rsidR="00FE7026" w:rsidRPr="00911998">
        <w:rPr>
          <w:rFonts w:cs="Arial"/>
          <w:shd w:val="clear" w:color="auto" w:fill="FFFFFF"/>
        </w:rPr>
        <w:t>, 2021 CF 1424, par. 74</w:t>
      </w:r>
      <w:r w:rsidR="00FE7026" w:rsidRPr="00911998">
        <w:rPr>
          <w:rFonts w:cs="Arial"/>
          <w:shd w:val="clear" w:color="auto" w:fill="FFFFFF"/>
        </w:rPr>
        <w:noBreakHyphen/>
        <w:t>75</w:t>
      </w:r>
      <w:r w:rsidR="00843182" w:rsidRPr="00911998">
        <w:rPr>
          <w:rFonts w:cs="Arial"/>
        </w:rPr>
        <w:t> ;</w:t>
      </w:r>
      <w:r w:rsidR="00FE7026" w:rsidRPr="00911998">
        <w:rPr>
          <w:rFonts w:cs="Arial"/>
          <w:shd w:val="clear" w:color="auto" w:fill="FFFFFF"/>
        </w:rPr>
        <w:t xml:space="preserve"> et </w:t>
      </w:r>
      <w:r w:rsidR="00FE7026" w:rsidRPr="00911998">
        <w:rPr>
          <w:rFonts w:cs="Arial"/>
          <w:i/>
          <w:iCs/>
          <w:shd w:val="clear" w:color="auto" w:fill="FFFFFF"/>
        </w:rPr>
        <w:t>Dor c. Canada (Citoyenneté et Immigration)</w:t>
      </w:r>
      <w:r w:rsidR="00FE7026" w:rsidRPr="00911998">
        <w:rPr>
          <w:rFonts w:cs="Arial"/>
          <w:shd w:val="clear" w:color="auto" w:fill="FFFFFF"/>
        </w:rPr>
        <w:t>, 2021 CF 892, par. 58.</w:t>
      </w:r>
      <w:r w:rsidR="00F565AE" w:rsidRPr="00911998">
        <w:rPr>
          <w:rFonts w:cs="Arial"/>
          <w:shd w:val="clear" w:color="auto" w:fill="FFFFFF"/>
        </w:rPr>
        <w:t xml:space="preserve"> </w:t>
      </w:r>
    </w:p>
  </w:footnote>
  <w:footnote w:id="189">
    <w:p w14:paraId="49A06F43" w14:textId="4642E2D6" w:rsidR="003B7ED8" w:rsidRPr="00911998" w:rsidRDefault="003B7ED8">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shd w:val="clear" w:color="auto" w:fill="FFFFFF"/>
        </w:rPr>
        <w:t>Association des juristes de l</w:t>
      </w:r>
      <w:r w:rsidR="00B94B0A" w:rsidRPr="00911998">
        <w:rPr>
          <w:rFonts w:cs="Arial"/>
          <w:i/>
          <w:iCs/>
          <w:shd w:val="clear" w:color="auto" w:fill="FFFFFF"/>
        </w:rPr>
        <w:t>’</w:t>
      </w:r>
      <w:r w:rsidRPr="00911998">
        <w:rPr>
          <w:rFonts w:cs="Arial"/>
          <w:i/>
          <w:iCs/>
          <w:shd w:val="clear" w:color="auto" w:fill="FFFFFF"/>
        </w:rPr>
        <w:t xml:space="preserve">État c. </w:t>
      </w:r>
      <w:proofErr w:type="spellStart"/>
      <w:r w:rsidRPr="00911998">
        <w:rPr>
          <w:rFonts w:cs="Arial"/>
          <w:i/>
          <w:iCs/>
          <w:shd w:val="clear" w:color="auto" w:fill="FFFFFF"/>
        </w:rPr>
        <w:t>Létourneau</w:t>
      </w:r>
      <w:proofErr w:type="spellEnd"/>
      <w:r w:rsidRPr="00911998">
        <w:rPr>
          <w:rFonts w:cs="Arial"/>
          <w:shd w:val="clear" w:color="auto" w:fill="FFFFFF"/>
        </w:rPr>
        <w:t>, 2014</w:t>
      </w:r>
      <w:r w:rsidR="00B94B0A" w:rsidRPr="00911998">
        <w:rPr>
          <w:rFonts w:cs="Arial"/>
          <w:shd w:val="clear" w:color="auto" w:fill="FFFFFF"/>
        </w:rPr>
        <w:t> </w:t>
      </w:r>
      <w:r w:rsidRPr="00911998">
        <w:rPr>
          <w:rFonts w:cs="Arial"/>
          <w:shd w:val="clear" w:color="auto" w:fill="FFFFFF"/>
        </w:rPr>
        <w:t>QCCS</w:t>
      </w:r>
      <w:r w:rsidR="00B94B0A" w:rsidRPr="00911998">
        <w:rPr>
          <w:rFonts w:cs="Arial"/>
          <w:shd w:val="clear" w:color="auto" w:fill="FFFFFF"/>
        </w:rPr>
        <w:t> </w:t>
      </w:r>
      <w:r w:rsidRPr="00911998">
        <w:rPr>
          <w:rFonts w:cs="Arial"/>
          <w:shd w:val="clear" w:color="auto" w:fill="FFFFFF"/>
        </w:rPr>
        <w:t>5955</w:t>
      </w:r>
      <w:r w:rsidRPr="00911998">
        <w:rPr>
          <w:rFonts w:cs="Arial"/>
          <w:i/>
          <w:iCs/>
          <w:shd w:val="clear" w:color="auto" w:fill="FFFFFF"/>
        </w:rPr>
        <w:t xml:space="preserve">, </w:t>
      </w:r>
      <w:r w:rsidRPr="00911998">
        <w:rPr>
          <w:rFonts w:cs="Arial"/>
          <w:shd w:val="clear" w:color="auto" w:fill="FFFFFF"/>
        </w:rPr>
        <w:t>par. 39.</w:t>
      </w:r>
    </w:p>
  </w:footnote>
  <w:footnote w:id="190">
    <w:p w14:paraId="1BFF24B9" w14:textId="3B8A241A" w:rsidR="0042289C" w:rsidRPr="00911998" w:rsidRDefault="0042289C">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shd w:val="clear" w:color="auto" w:fill="FFFFFF"/>
        </w:rPr>
        <w:t xml:space="preserve">Association des juristes </w:t>
      </w:r>
      <w:r w:rsidR="00467404" w:rsidRPr="00911998">
        <w:rPr>
          <w:rFonts w:cs="Arial"/>
          <w:i/>
          <w:iCs/>
          <w:shd w:val="clear" w:color="auto" w:fill="FFFFFF"/>
        </w:rPr>
        <w:t>(CA)</w:t>
      </w:r>
      <w:r w:rsidRPr="00911998">
        <w:rPr>
          <w:rFonts w:cs="Arial"/>
          <w:shd w:val="clear" w:color="auto" w:fill="FFFFFF"/>
        </w:rPr>
        <w:t xml:space="preserve">, </w:t>
      </w:r>
      <w:r w:rsidR="00467404" w:rsidRPr="00911998">
        <w:rPr>
          <w:rFonts w:cs="Arial"/>
          <w:shd w:val="clear" w:color="auto" w:fill="FFFFFF"/>
        </w:rPr>
        <w:t>précité</w:t>
      </w:r>
      <w:r w:rsidRPr="00911998">
        <w:rPr>
          <w:rFonts w:cs="Arial"/>
          <w:shd w:val="clear" w:color="auto" w:fill="FFFFFF"/>
        </w:rPr>
        <w:t>, par. 32</w:t>
      </w:r>
      <w:r w:rsidRPr="00911998">
        <w:rPr>
          <w:rFonts w:cs="Arial"/>
          <w:shd w:val="clear" w:color="auto" w:fill="FFFFFF"/>
        </w:rPr>
        <w:noBreakHyphen/>
        <w:t>33.</w:t>
      </w:r>
    </w:p>
  </w:footnote>
  <w:footnote w:id="191">
    <w:p w14:paraId="40811C3D" w14:textId="71856624" w:rsidR="000B42F1" w:rsidRPr="00911998" w:rsidRDefault="000B42F1">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shd w:val="clear" w:color="auto" w:fill="FFFFFF"/>
        </w:rPr>
        <w:t>2018 QCCS 1784, par. 199.</w:t>
      </w:r>
    </w:p>
  </w:footnote>
  <w:footnote w:id="192">
    <w:p w14:paraId="72BEBD56" w14:textId="39E6AEE8" w:rsidR="000B42F1" w:rsidRPr="00911998" w:rsidRDefault="000B42F1">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 </w:t>
      </w:r>
      <w:r w:rsidRPr="00911998">
        <w:rPr>
          <w:rFonts w:cs="Arial"/>
        </w:rPr>
        <w:t xml:space="preserve">par. 209. </w:t>
      </w:r>
      <w:r w:rsidR="00B0572B" w:rsidRPr="00911998">
        <w:rPr>
          <w:rFonts w:cs="Arial"/>
        </w:rPr>
        <w:t>Bien que le jugement</w:t>
      </w:r>
      <w:r w:rsidRPr="00911998">
        <w:rPr>
          <w:rFonts w:cs="Arial"/>
        </w:rPr>
        <w:t xml:space="preserve"> mentionne que </w:t>
      </w:r>
      <w:r w:rsidRPr="00911998">
        <w:rPr>
          <w:rFonts w:cs="Arial"/>
          <w:u w:val="single"/>
        </w:rPr>
        <w:t>l’état civil</w:t>
      </w:r>
      <w:r w:rsidRPr="00911998">
        <w:rPr>
          <w:rFonts w:cs="Arial"/>
        </w:rPr>
        <w:t xml:space="preserve"> («</w:t>
      </w:r>
      <w:r w:rsidR="00B94B0A" w:rsidRPr="00911998">
        <w:rPr>
          <w:rFonts w:cs="Arial"/>
        </w:rPr>
        <w:t> </w:t>
      </w:r>
      <w:r w:rsidRPr="00911998">
        <w:rPr>
          <w:rFonts w:cs="Arial"/>
          <w:i/>
          <w:iCs/>
        </w:rPr>
        <w:t xml:space="preserve">civil </w:t>
      </w:r>
      <w:proofErr w:type="spellStart"/>
      <w:r w:rsidRPr="00911998">
        <w:rPr>
          <w:rFonts w:cs="Arial"/>
          <w:i/>
          <w:iCs/>
        </w:rPr>
        <w:t>status</w:t>
      </w:r>
      <w:proofErr w:type="spellEnd"/>
      <w:r w:rsidR="00B94B0A" w:rsidRPr="00911998">
        <w:rPr>
          <w:rFonts w:cs="Arial"/>
        </w:rPr>
        <w:t> </w:t>
      </w:r>
      <w:r w:rsidRPr="00911998">
        <w:rPr>
          <w:rFonts w:cs="Arial"/>
        </w:rPr>
        <w:t>») est un motif analogue</w:t>
      </w:r>
      <w:r w:rsidR="00B0572B" w:rsidRPr="00911998">
        <w:rPr>
          <w:rFonts w:cs="Arial"/>
        </w:rPr>
        <w:t>,</w:t>
      </w:r>
      <w:r w:rsidRPr="00911998">
        <w:rPr>
          <w:rFonts w:cs="Arial"/>
        </w:rPr>
        <w:t xml:space="preserve"> il cite</w:t>
      </w:r>
      <w:r w:rsidR="00B0572B" w:rsidRPr="00911998">
        <w:rPr>
          <w:rFonts w:cs="Arial"/>
        </w:rPr>
        <w:t xml:space="preserve"> à l’appui</w:t>
      </w:r>
      <w:r w:rsidRPr="00911998">
        <w:rPr>
          <w:rFonts w:cs="Arial"/>
        </w:rPr>
        <w:t xml:space="preserve"> l’arrêt de la Cour suprême dans </w:t>
      </w:r>
      <w:r w:rsidRPr="00911998">
        <w:rPr>
          <w:rFonts w:cs="Arial"/>
          <w:i/>
          <w:iCs/>
        </w:rPr>
        <w:t>Miron c. Trudel</w:t>
      </w:r>
      <w:r w:rsidRPr="00911998">
        <w:rPr>
          <w:rFonts w:cs="Arial"/>
        </w:rPr>
        <w:t xml:space="preserve">, </w:t>
      </w:r>
      <w:r w:rsidRPr="00911998">
        <w:rPr>
          <w:rFonts w:cs="Arial"/>
          <w:spacing w:val="-3"/>
        </w:rPr>
        <w:t>[1995] 2</w:t>
      </w:r>
      <w:r w:rsidR="00B94B0A" w:rsidRPr="00911998">
        <w:rPr>
          <w:rFonts w:cs="Arial"/>
          <w:spacing w:val="-3"/>
        </w:rPr>
        <w:t> </w:t>
      </w:r>
      <w:r w:rsidR="00467404" w:rsidRPr="00911998">
        <w:rPr>
          <w:rFonts w:cs="Arial"/>
          <w:spacing w:val="-3"/>
        </w:rPr>
        <w:t>RCS</w:t>
      </w:r>
      <w:r w:rsidR="00B94B0A" w:rsidRPr="00911998">
        <w:rPr>
          <w:rFonts w:cs="Arial"/>
          <w:spacing w:val="-3"/>
        </w:rPr>
        <w:t> </w:t>
      </w:r>
      <w:r w:rsidRPr="00911998">
        <w:rPr>
          <w:rFonts w:cs="Arial"/>
          <w:spacing w:val="-3"/>
        </w:rPr>
        <w:t>418</w:t>
      </w:r>
      <w:r w:rsidR="00F67359" w:rsidRPr="00911998">
        <w:rPr>
          <w:rFonts w:cs="Arial"/>
          <w:spacing w:val="-3"/>
        </w:rPr>
        <w:t xml:space="preserve"> [</w:t>
      </w:r>
      <w:r w:rsidR="00F67359" w:rsidRPr="00911998">
        <w:rPr>
          <w:rFonts w:cs="Arial"/>
          <w:b/>
          <w:bCs/>
          <w:i/>
          <w:iCs/>
          <w:spacing w:val="-3"/>
        </w:rPr>
        <w:t>Miron</w:t>
      </w:r>
      <w:r w:rsidR="00F67359" w:rsidRPr="00911998">
        <w:rPr>
          <w:rFonts w:cs="Arial"/>
          <w:spacing w:val="-3"/>
        </w:rPr>
        <w:t>]</w:t>
      </w:r>
      <w:r w:rsidRPr="00911998">
        <w:rPr>
          <w:rFonts w:cs="Arial"/>
          <w:spacing w:val="-3"/>
        </w:rPr>
        <w:t xml:space="preserve">, par. 62-63. Dans cette affaire, la majorité de la Cour suprême reconnait </w:t>
      </w:r>
      <w:r w:rsidRPr="00911998">
        <w:rPr>
          <w:rFonts w:cs="Arial"/>
          <w:spacing w:val="-3"/>
          <w:u w:val="single"/>
        </w:rPr>
        <w:t>l’état matrimonial</w:t>
      </w:r>
      <w:r w:rsidRPr="00911998">
        <w:rPr>
          <w:rFonts w:cs="Arial"/>
          <w:spacing w:val="-3"/>
        </w:rPr>
        <w:t xml:space="preserve"> à titre de motif analogue aux termes du paragraphe 15(1) de la </w:t>
      </w:r>
      <w:r w:rsidRPr="00911998">
        <w:rPr>
          <w:rFonts w:cs="Arial"/>
          <w:i/>
          <w:iCs/>
          <w:spacing w:val="-3"/>
        </w:rPr>
        <w:t>Charte canadienne</w:t>
      </w:r>
      <w:r w:rsidRPr="00911998">
        <w:rPr>
          <w:rFonts w:cs="Arial"/>
          <w:spacing w:val="-3"/>
        </w:rPr>
        <w:t>. Le juge</w:t>
      </w:r>
      <w:r w:rsidR="00B0572B" w:rsidRPr="00911998">
        <w:rPr>
          <w:rFonts w:cs="Arial"/>
          <w:spacing w:val="-3"/>
        </w:rPr>
        <w:t>ment</w:t>
      </w:r>
      <w:r w:rsidRPr="00911998">
        <w:rPr>
          <w:rFonts w:cs="Arial"/>
          <w:spacing w:val="-3"/>
        </w:rPr>
        <w:t xml:space="preserve"> cite également </w:t>
      </w:r>
      <w:r w:rsidRPr="00911998">
        <w:rPr>
          <w:rFonts w:cs="Arial"/>
          <w:i/>
          <w:iCs/>
          <w:shd w:val="clear" w:color="auto" w:fill="FFFFFF"/>
        </w:rPr>
        <w:t>Jean c. Canada (Affaires indiennes et du Nord canadien)</w:t>
      </w:r>
      <w:r w:rsidRPr="00911998">
        <w:rPr>
          <w:rFonts w:cs="Arial"/>
          <w:shd w:val="clear" w:color="auto" w:fill="FFFFFF"/>
        </w:rPr>
        <w:t xml:space="preserve">, 2009 CAF 377, par. 65. Dans cette affaire, la juge Trudel de la Cour d’appel fédérale mentionne simplement que </w:t>
      </w:r>
      <w:r w:rsidRPr="00911998">
        <w:rPr>
          <w:rFonts w:cs="Arial"/>
          <w:u w:val="single"/>
          <w:shd w:val="clear" w:color="auto" w:fill="FFFFFF"/>
        </w:rPr>
        <w:t>l’état matrimonial</w:t>
      </w:r>
      <w:r w:rsidRPr="00911998">
        <w:rPr>
          <w:rFonts w:cs="Arial"/>
          <w:shd w:val="clear" w:color="auto" w:fill="FFFFFF"/>
        </w:rPr>
        <w:t xml:space="preserve"> est un des motifs analogues reconnus dans la jurisprudence de la Cour suprême.</w:t>
      </w:r>
    </w:p>
  </w:footnote>
  <w:footnote w:id="193">
    <w:p w14:paraId="74041EC8" w14:textId="0B3EA6DC" w:rsidR="000B42F1" w:rsidRPr="00911998" w:rsidRDefault="000B42F1">
      <w:pPr>
        <w:pStyle w:val="Notedebasdepage"/>
        <w:rPr>
          <w:rFonts w:cs="Arial"/>
          <w:i/>
          <w:iCs/>
        </w:rPr>
      </w:pPr>
      <w:r w:rsidRPr="00911998">
        <w:rPr>
          <w:rStyle w:val="Appelnotedebasdep"/>
          <w:rFonts w:cs="Arial"/>
        </w:rPr>
        <w:footnoteRef/>
      </w:r>
      <w:r w:rsidRPr="00911998">
        <w:rPr>
          <w:rFonts w:cs="Arial"/>
        </w:rPr>
        <w:t xml:space="preserve"> </w:t>
      </w:r>
      <w:r w:rsidRPr="00911998">
        <w:rPr>
          <w:rFonts w:cs="Arial"/>
        </w:rPr>
        <w:tab/>
      </w:r>
      <w:r w:rsidR="007F5AC8" w:rsidRPr="00911998">
        <w:rPr>
          <w:rFonts w:cs="Arial"/>
        </w:rPr>
        <w:t xml:space="preserve">Voir par exemple : </w:t>
      </w:r>
      <w:r w:rsidR="004F3F9B" w:rsidRPr="00911998">
        <w:rPr>
          <w:rFonts w:cs="Arial"/>
          <w:i/>
          <w:iCs/>
        </w:rPr>
        <w:t xml:space="preserve">Flette c. The </w:t>
      </w:r>
      <w:proofErr w:type="spellStart"/>
      <w:r w:rsidR="004F3F9B" w:rsidRPr="00911998">
        <w:rPr>
          <w:rFonts w:cs="Arial"/>
          <w:i/>
          <w:iCs/>
        </w:rPr>
        <w:t>Government</w:t>
      </w:r>
      <w:proofErr w:type="spellEnd"/>
      <w:r w:rsidR="004F3F9B" w:rsidRPr="00911998">
        <w:rPr>
          <w:rFonts w:cs="Arial"/>
          <w:i/>
          <w:iCs/>
        </w:rPr>
        <w:t xml:space="preserve"> of Manitoba</w:t>
      </w:r>
      <w:r w:rsidR="004F3F9B" w:rsidRPr="00911998">
        <w:rPr>
          <w:rFonts w:cs="Arial"/>
        </w:rPr>
        <w:t>, 2022</w:t>
      </w:r>
      <w:r w:rsidR="00B94B0A" w:rsidRPr="00911998">
        <w:rPr>
          <w:rFonts w:cs="Arial"/>
        </w:rPr>
        <w:t> </w:t>
      </w:r>
      <w:r w:rsidR="004F3F9B" w:rsidRPr="00911998">
        <w:rPr>
          <w:rFonts w:cs="Arial"/>
        </w:rPr>
        <w:t>MBQB</w:t>
      </w:r>
      <w:r w:rsidR="00B94B0A" w:rsidRPr="00911998">
        <w:rPr>
          <w:rFonts w:cs="Arial"/>
        </w:rPr>
        <w:t> </w:t>
      </w:r>
      <w:r w:rsidR="004F3F9B" w:rsidRPr="00911998">
        <w:rPr>
          <w:rFonts w:cs="Arial"/>
        </w:rPr>
        <w:t>104,</w:t>
      </w:r>
      <w:r w:rsidR="007F5AC8" w:rsidRPr="00911998">
        <w:rPr>
          <w:rFonts w:cs="Arial"/>
        </w:rPr>
        <w:t xml:space="preserve"> où</w:t>
      </w:r>
      <w:r w:rsidR="004F3F9B" w:rsidRPr="00911998">
        <w:rPr>
          <w:rFonts w:cs="Arial"/>
        </w:rPr>
        <w:t xml:space="preserve"> la Cour du Banc du Roi du Manitoba reconnait que le statut familial constitue un motif analogue aux termes du paragraphe 15(1) et que ce motif comprend la situation d’être un enfant placé en famille d’accueil (par. 206</w:t>
      </w:r>
      <w:r w:rsidR="004F3F9B" w:rsidRPr="00911998">
        <w:rPr>
          <w:rFonts w:cs="Arial"/>
        </w:rPr>
        <w:noBreakHyphen/>
        <w:t>210)</w:t>
      </w:r>
      <w:r w:rsidR="00B94B0A" w:rsidRPr="00911998">
        <w:rPr>
          <w:rFonts w:cs="Arial"/>
        </w:rPr>
        <w:t> </w:t>
      </w:r>
      <w:r w:rsidR="007F5AC8" w:rsidRPr="00911998">
        <w:rPr>
          <w:rFonts w:cs="Arial"/>
        </w:rPr>
        <w:t>; et</w:t>
      </w:r>
      <w:r w:rsidR="004F3F9B" w:rsidRPr="00911998">
        <w:rPr>
          <w:rFonts w:cs="Arial"/>
        </w:rPr>
        <w:t xml:space="preserve"> </w:t>
      </w:r>
      <w:proofErr w:type="spellStart"/>
      <w:r w:rsidR="004F3F9B" w:rsidRPr="00911998">
        <w:rPr>
          <w:rFonts w:cs="Arial"/>
          <w:i/>
          <w:iCs/>
        </w:rPr>
        <w:t>Inglis</w:t>
      </w:r>
      <w:proofErr w:type="spellEnd"/>
      <w:r w:rsidR="004F3F9B" w:rsidRPr="00911998">
        <w:rPr>
          <w:rFonts w:cs="Arial"/>
          <w:i/>
          <w:iCs/>
        </w:rPr>
        <w:t xml:space="preserve"> c. British Columbia (</w:t>
      </w:r>
      <w:proofErr w:type="spellStart"/>
      <w:r w:rsidR="004F3F9B" w:rsidRPr="00911998">
        <w:rPr>
          <w:rFonts w:cs="Arial"/>
          <w:i/>
          <w:iCs/>
        </w:rPr>
        <w:t>Minister</w:t>
      </w:r>
      <w:proofErr w:type="spellEnd"/>
      <w:r w:rsidR="004F3F9B" w:rsidRPr="00911998">
        <w:rPr>
          <w:rFonts w:cs="Arial"/>
          <w:i/>
          <w:iCs/>
        </w:rPr>
        <w:t xml:space="preserve"> of Public </w:t>
      </w:r>
      <w:proofErr w:type="spellStart"/>
      <w:r w:rsidR="004F3F9B" w:rsidRPr="00911998">
        <w:rPr>
          <w:rFonts w:cs="Arial"/>
          <w:i/>
          <w:iCs/>
        </w:rPr>
        <w:t>Safety</w:t>
      </w:r>
      <w:proofErr w:type="spellEnd"/>
      <w:r w:rsidR="004F3F9B" w:rsidRPr="00911998">
        <w:rPr>
          <w:rFonts w:cs="Arial"/>
          <w:i/>
          <w:iCs/>
        </w:rPr>
        <w:t>)</w:t>
      </w:r>
      <w:r w:rsidR="004F3F9B" w:rsidRPr="00911998">
        <w:rPr>
          <w:rFonts w:cs="Arial"/>
        </w:rPr>
        <w:t>, 2013</w:t>
      </w:r>
      <w:r w:rsidR="00B94B0A" w:rsidRPr="00911998">
        <w:rPr>
          <w:rFonts w:cs="Arial"/>
        </w:rPr>
        <w:t> </w:t>
      </w:r>
      <w:r w:rsidR="004F3F9B" w:rsidRPr="00911998">
        <w:rPr>
          <w:rFonts w:cs="Arial"/>
        </w:rPr>
        <w:t>BCSC</w:t>
      </w:r>
      <w:r w:rsidR="00B94B0A" w:rsidRPr="00911998">
        <w:rPr>
          <w:rFonts w:cs="Arial"/>
        </w:rPr>
        <w:t> </w:t>
      </w:r>
      <w:r w:rsidR="004F3F9B" w:rsidRPr="00911998">
        <w:rPr>
          <w:rFonts w:cs="Arial"/>
        </w:rPr>
        <w:t xml:space="preserve">2309, </w:t>
      </w:r>
      <w:r w:rsidR="007F5AC8" w:rsidRPr="00911998">
        <w:rPr>
          <w:rFonts w:cs="Arial"/>
        </w:rPr>
        <w:t xml:space="preserve">où </w:t>
      </w:r>
      <w:r w:rsidR="004F3F9B" w:rsidRPr="00911998">
        <w:rPr>
          <w:rFonts w:cs="Arial"/>
        </w:rPr>
        <w:t>la Cour suprême de la Colombie</w:t>
      </w:r>
      <w:r w:rsidR="004F3F9B" w:rsidRPr="00911998">
        <w:rPr>
          <w:rFonts w:cs="Arial"/>
        </w:rPr>
        <w:noBreakHyphen/>
        <w:t>Britannique conclut également que le statut familial constitue un motif analogue prohibé et comprend la situation d’être l’enfant d’une mère incarcérée</w:t>
      </w:r>
      <w:r w:rsidR="007F5AC8" w:rsidRPr="00911998">
        <w:rPr>
          <w:rFonts w:cs="Arial"/>
        </w:rPr>
        <w:t xml:space="preserve"> (par. 567 et 571)</w:t>
      </w:r>
      <w:r w:rsidR="004F3F9B" w:rsidRPr="00911998">
        <w:rPr>
          <w:rFonts w:cs="Arial"/>
        </w:rPr>
        <w:t xml:space="preserve">. </w:t>
      </w:r>
    </w:p>
  </w:footnote>
  <w:footnote w:id="194">
    <w:p w14:paraId="119BB070" w14:textId="643EC3B5" w:rsidR="00B641EC" w:rsidRPr="00911998" w:rsidRDefault="00B641EC">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Plan d’argument modifié des Demandeurs dans le </w:t>
      </w:r>
      <w:r w:rsidR="008967A6" w:rsidRPr="00911998">
        <w:rPr>
          <w:rFonts w:cs="Arial"/>
        </w:rPr>
        <w:t>D</w:t>
      </w:r>
      <w:r w:rsidRPr="00911998">
        <w:rPr>
          <w:rFonts w:cs="Arial"/>
        </w:rPr>
        <w:t xml:space="preserve">ossier </w:t>
      </w:r>
      <w:proofErr w:type="gramStart"/>
      <w:r w:rsidR="00153EC1">
        <w:t>M...</w:t>
      </w:r>
      <w:proofErr w:type="gramEnd"/>
      <w:r w:rsidR="008967A6" w:rsidRPr="00911998">
        <w:t>-</w:t>
      </w:r>
      <w:r w:rsidR="000032F7">
        <w:t>P...</w:t>
      </w:r>
      <w:r w:rsidR="008967A6" w:rsidRPr="00911998">
        <w:t>-</w:t>
      </w:r>
      <w:r w:rsidR="000032F7">
        <w:t>D...</w:t>
      </w:r>
      <w:r w:rsidRPr="00911998">
        <w:rPr>
          <w:rFonts w:cs="Arial"/>
        </w:rPr>
        <w:t>, par. 283</w:t>
      </w:r>
      <w:r w:rsidRPr="00911998">
        <w:rPr>
          <w:rFonts w:cs="Arial"/>
        </w:rPr>
        <w:noBreakHyphen/>
        <w:t>305.</w:t>
      </w:r>
    </w:p>
  </w:footnote>
  <w:footnote w:id="195">
    <w:p w14:paraId="44625AAA" w14:textId="76B3A3C9" w:rsidR="00762ABC" w:rsidRPr="00911998" w:rsidRDefault="00762ABC">
      <w:pPr>
        <w:pStyle w:val="Notedebasdepage"/>
        <w:rPr>
          <w:rFonts w:cs="Arial"/>
          <w:i/>
          <w:iCs/>
        </w:rPr>
      </w:pPr>
      <w:r w:rsidRPr="00911998">
        <w:rPr>
          <w:rStyle w:val="Appelnotedebasdep"/>
          <w:rFonts w:cs="Arial"/>
        </w:rPr>
        <w:footnoteRef/>
      </w:r>
      <w:r w:rsidRPr="00911998">
        <w:rPr>
          <w:rFonts w:cs="Arial"/>
        </w:rPr>
        <w:t xml:space="preserve"> </w:t>
      </w:r>
      <w:r w:rsidRPr="00911998">
        <w:rPr>
          <w:rFonts w:cs="Arial"/>
        </w:rPr>
        <w:tab/>
        <w:t xml:space="preserve">Notes et autorités de Demandeurs dans le </w:t>
      </w:r>
      <w:r w:rsidR="008F5FBC" w:rsidRPr="00911998">
        <w:rPr>
          <w:rFonts w:cs="Arial"/>
        </w:rPr>
        <w:t>Dossier de la Coalition</w:t>
      </w:r>
      <w:r w:rsidRPr="00911998">
        <w:rPr>
          <w:rFonts w:cs="Arial"/>
        </w:rPr>
        <w:t>, par. 201.</w:t>
      </w:r>
    </w:p>
  </w:footnote>
  <w:footnote w:id="196">
    <w:p w14:paraId="37B93138" w14:textId="595C55FA" w:rsidR="00CD47CD" w:rsidRPr="00911998" w:rsidRDefault="00CD47CD">
      <w:pPr>
        <w:pStyle w:val="Notedebasdepage"/>
      </w:pPr>
      <w:r w:rsidRPr="00911998">
        <w:rPr>
          <w:rStyle w:val="Appelnotedebasdep"/>
        </w:rPr>
        <w:footnoteRef/>
      </w:r>
      <w:r w:rsidRPr="00911998">
        <w:t xml:space="preserve"> </w:t>
      </w:r>
      <w:r w:rsidRPr="00911998">
        <w:tab/>
        <w:t xml:space="preserve">Signalons, par ailleurs, qu’une différence de traitement peut être discriminatoire même si elle est fondée sur des choix faits par l’individu ou le groupe touché. Voir : </w:t>
      </w:r>
      <w:r w:rsidRPr="00911998">
        <w:rPr>
          <w:rFonts w:cs="Arial"/>
          <w:i/>
          <w:iCs/>
        </w:rPr>
        <w:t>Fraser</w:t>
      </w:r>
      <w:r w:rsidRPr="00911998">
        <w:rPr>
          <w:rFonts w:cs="Arial"/>
        </w:rPr>
        <w:t>, précité, par. 86.</w:t>
      </w:r>
    </w:p>
  </w:footnote>
  <w:footnote w:id="197">
    <w:p w14:paraId="0346362A" w14:textId="77777777" w:rsidR="00AC57F5" w:rsidRPr="00911998" w:rsidRDefault="00AC57F5" w:rsidP="00AC57F5">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Miron</w:t>
      </w:r>
      <w:r w:rsidRPr="00911998">
        <w:rPr>
          <w:rFonts w:cs="Arial"/>
        </w:rPr>
        <w:t>, précité, par. 148.</w:t>
      </w:r>
    </w:p>
  </w:footnote>
  <w:footnote w:id="198">
    <w:p w14:paraId="127AFBE2" w14:textId="77777777" w:rsidR="00782DF2" w:rsidRPr="00911998" w:rsidRDefault="00782DF2" w:rsidP="00782DF2">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proofErr w:type="spellStart"/>
      <w:r w:rsidRPr="00911998">
        <w:rPr>
          <w:rFonts w:cs="Arial"/>
          <w:i/>
          <w:iCs/>
        </w:rPr>
        <w:t>Corbiere</w:t>
      </w:r>
      <w:proofErr w:type="spellEnd"/>
      <w:r w:rsidRPr="00911998">
        <w:rPr>
          <w:rFonts w:cs="Arial"/>
        </w:rPr>
        <w:t>, précité, par. 13.</w:t>
      </w:r>
    </w:p>
  </w:footnote>
  <w:footnote w:id="199">
    <w:p w14:paraId="0E861809" w14:textId="71EEC71E" w:rsidR="00F67359" w:rsidRPr="00911998" w:rsidRDefault="00F67359">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467404" w:rsidRPr="00911998">
        <w:rPr>
          <w:rFonts w:cs="Arial"/>
          <w:i/>
          <w:iCs/>
        </w:rPr>
        <w:t>Miron</w:t>
      </w:r>
      <w:r w:rsidRPr="00911998">
        <w:rPr>
          <w:rFonts w:cs="Arial"/>
        </w:rPr>
        <w:t xml:space="preserve">, </w:t>
      </w:r>
      <w:r w:rsidR="00467404" w:rsidRPr="00911998">
        <w:rPr>
          <w:rFonts w:cs="Arial"/>
        </w:rPr>
        <w:t xml:space="preserve">précité, </w:t>
      </w:r>
      <w:r w:rsidRPr="00911998">
        <w:rPr>
          <w:rFonts w:cs="Arial"/>
        </w:rPr>
        <w:t>par. 149.</w:t>
      </w:r>
    </w:p>
  </w:footnote>
  <w:footnote w:id="200">
    <w:p w14:paraId="7BC8A8E8" w14:textId="77777777" w:rsidR="00AC57F5" w:rsidRPr="00911998" w:rsidRDefault="00AC57F5" w:rsidP="00AC57F5">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p>
  </w:footnote>
  <w:footnote w:id="201">
    <w:p w14:paraId="5C04BFF8" w14:textId="77777777" w:rsidR="00AC57F5" w:rsidRPr="00911998" w:rsidRDefault="00AC57F5" w:rsidP="00AC57F5">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p>
  </w:footnote>
  <w:footnote w:id="202">
    <w:p w14:paraId="729BF4F8" w14:textId="465B49DC" w:rsidR="00957682" w:rsidRPr="00911998" w:rsidRDefault="00957682">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2B7DE7" w:rsidRPr="00911998">
        <w:rPr>
          <w:rFonts w:cs="Arial"/>
          <w:i/>
          <w:iCs/>
        </w:rPr>
        <w:t>Ibid</w:t>
      </w:r>
      <w:r w:rsidRPr="00911998">
        <w:rPr>
          <w:rFonts w:cs="Arial"/>
        </w:rPr>
        <w:t>.</w:t>
      </w:r>
    </w:p>
  </w:footnote>
  <w:footnote w:id="203">
    <w:p w14:paraId="7D2629E2" w14:textId="5DC43D0F" w:rsidR="00CC4909" w:rsidRPr="00911998" w:rsidRDefault="00CC4909">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Miron</w:t>
      </w:r>
      <w:r w:rsidRPr="00911998">
        <w:rPr>
          <w:rFonts w:cs="Arial"/>
        </w:rPr>
        <w:t>, précité</w:t>
      </w:r>
      <w:r w:rsidR="00B94B0A" w:rsidRPr="00911998">
        <w:rPr>
          <w:rFonts w:cs="Arial"/>
        </w:rPr>
        <w:t> </w:t>
      </w:r>
      <w:r w:rsidRPr="00911998">
        <w:rPr>
          <w:rFonts w:cs="Arial"/>
        </w:rPr>
        <w:t xml:space="preserve">; </w:t>
      </w:r>
      <w:r w:rsidRPr="00911998">
        <w:rPr>
          <w:rFonts w:cs="Arial"/>
          <w:i/>
          <w:iCs/>
        </w:rPr>
        <w:t>Nouvelle</w:t>
      </w:r>
      <w:r w:rsidRPr="00911998">
        <w:rPr>
          <w:rFonts w:cs="Arial"/>
          <w:i/>
          <w:iCs/>
        </w:rPr>
        <w:noBreakHyphen/>
        <w:t>Écosse (Procureur général) c. Walsh</w:t>
      </w:r>
      <w:r w:rsidRPr="00911998">
        <w:rPr>
          <w:rFonts w:cs="Arial"/>
        </w:rPr>
        <w:t>, 2002</w:t>
      </w:r>
      <w:r w:rsidR="00B94B0A" w:rsidRPr="00911998">
        <w:rPr>
          <w:rFonts w:cs="Arial"/>
        </w:rPr>
        <w:t> </w:t>
      </w:r>
      <w:r w:rsidRPr="00911998">
        <w:rPr>
          <w:rFonts w:cs="Arial"/>
        </w:rPr>
        <w:t>CSC</w:t>
      </w:r>
      <w:r w:rsidR="00B94B0A" w:rsidRPr="00911998">
        <w:rPr>
          <w:rFonts w:cs="Arial"/>
        </w:rPr>
        <w:t> </w:t>
      </w:r>
      <w:r w:rsidRPr="00911998">
        <w:rPr>
          <w:rFonts w:cs="Arial"/>
        </w:rPr>
        <w:t>83</w:t>
      </w:r>
      <w:r w:rsidR="00B94B0A" w:rsidRPr="00911998">
        <w:rPr>
          <w:rFonts w:cs="Arial"/>
        </w:rPr>
        <w:t> </w:t>
      </w:r>
      <w:r w:rsidRPr="00911998">
        <w:rPr>
          <w:rFonts w:cs="Arial"/>
        </w:rPr>
        <w:t xml:space="preserve">; </w:t>
      </w:r>
      <w:r w:rsidR="00A21E45" w:rsidRPr="00911998">
        <w:rPr>
          <w:rFonts w:cs="Arial"/>
          <w:i/>
          <w:iCs/>
        </w:rPr>
        <w:t>Québec (Procureur général) c. A</w:t>
      </w:r>
      <w:r w:rsidR="00A21E45" w:rsidRPr="00911998">
        <w:rPr>
          <w:rFonts w:cs="Arial"/>
        </w:rPr>
        <w:t>, 2013</w:t>
      </w:r>
      <w:r w:rsidR="00B94B0A" w:rsidRPr="00911998">
        <w:rPr>
          <w:rFonts w:cs="Arial"/>
        </w:rPr>
        <w:t> </w:t>
      </w:r>
      <w:r w:rsidR="00A21E45" w:rsidRPr="00911998">
        <w:rPr>
          <w:rFonts w:cs="Arial"/>
        </w:rPr>
        <w:t>CSC</w:t>
      </w:r>
      <w:r w:rsidR="00B94B0A" w:rsidRPr="00911998">
        <w:rPr>
          <w:rFonts w:cs="Arial"/>
        </w:rPr>
        <w:t> </w:t>
      </w:r>
      <w:r w:rsidR="00A21E45" w:rsidRPr="00911998">
        <w:rPr>
          <w:rFonts w:cs="Arial"/>
        </w:rPr>
        <w:t>5.</w:t>
      </w:r>
    </w:p>
  </w:footnote>
  <w:footnote w:id="204">
    <w:p w14:paraId="49620023" w14:textId="3F017ADE" w:rsidR="00A21E45" w:rsidRPr="00911998" w:rsidRDefault="00A21E45">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Egan c. Canada</w:t>
      </w:r>
      <w:r w:rsidRPr="00911998">
        <w:rPr>
          <w:rFonts w:cs="Arial"/>
        </w:rPr>
        <w:t xml:space="preserve">, </w:t>
      </w:r>
      <w:r w:rsidR="002B7DE7" w:rsidRPr="00911998">
        <w:rPr>
          <w:rFonts w:cs="Arial"/>
        </w:rPr>
        <w:t>précité</w:t>
      </w:r>
      <w:r w:rsidR="00B94B0A" w:rsidRPr="00911998">
        <w:rPr>
          <w:rFonts w:cs="Arial"/>
        </w:rPr>
        <w:t> </w:t>
      </w:r>
      <w:r w:rsidRPr="00911998">
        <w:rPr>
          <w:rFonts w:cs="Arial"/>
        </w:rPr>
        <w:t xml:space="preserve">; </w:t>
      </w:r>
      <w:r w:rsidRPr="00911998">
        <w:rPr>
          <w:rFonts w:cs="Arial"/>
          <w:i/>
          <w:iCs/>
        </w:rPr>
        <w:t>M. c. H</w:t>
      </w:r>
      <w:r w:rsidRPr="00911998">
        <w:rPr>
          <w:rFonts w:cs="Arial"/>
        </w:rPr>
        <w:t xml:space="preserve">., </w:t>
      </w:r>
      <w:r w:rsidR="002B7DE7" w:rsidRPr="00911998">
        <w:rPr>
          <w:rFonts w:cs="Arial"/>
        </w:rPr>
        <w:t>précité</w:t>
      </w:r>
      <w:r w:rsidR="00B94B0A" w:rsidRPr="00911998">
        <w:rPr>
          <w:rFonts w:cs="Arial"/>
        </w:rPr>
        <w:t> </w:t>
      </w:r>
      <w:r w:rsidRPr="00911998">
        <w:rPr>
          <w:rFonts w:cs="Arial"/>
        </w:rPr>
        <w:t xml:space="preserve">; </w:t>
      </w:r>
      <w:proofErr w:type="spellStart"/>
      <w:r w:rsidRPr="00911998">
        <w:rPr>
          <w:rFonts w:cs="Arial"/>
          <w:i/>
          <w:iCs/>
        </w:rPr>
        <w:t>Vriend</w:t>
      </w:r>
      <w:proofErr w:type="spellEnd"/>
      <w:r w:rsidRPr="00911998">
        <w:rPr>
          <w:rFonts w:cs="Arial"/>
          <w:i/>
          <w:iCs/>
        </w:rPr>
        <w:t> c. Alberta</w:t>
      </w:r>
      <w:r w:rsidRPr="00911998">
        <w:rPr>
          <w:rFonts w:cs="Arial"/>
        </w:rPr>
        <w:t xml:space="preserve">, </w:t>
      </w:r>
      <w:r w:rsidR="002B7DE7" w:rsidRPr="00911998">
        <w:rPr>
          <w:rFonts w:cs="Arial"/>
        </w:rPr>
        <w:t>précité</w:t>
      </w:r>
      <w:r w:rsidRPr="00911998">
        <w:rPr>
          <w:rFonts w:cs="Arial"/>
        </w:rPr>
        <w:t>.</w:t>
      </w:r>
    </w:p>
  </w:footnote>
  <w:footnote w:id="205">
    <w:p w14:paraId="034F6F1D" w14:textId="29AB0ADF" w:rsidR="00246397" w:rsidRPr="00911998" w:rsidRDefault="00246397">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Article 594 du </w:t>
      </w:r>
      <w:r w:rsidRPr="00911998">
        <w:rPr>
          <w:rFonts w:cs="Arial"/>
          <w:i/>
          <w:iCs/>
        </w:rPr>
        <w:t>Code civil du Québec (1980)</w:t>
      </w:r>
      <w:r w:rsidRPr="00911998">
        <w:rPr>
          <w:rFonts w:cs="Arial"/>
        </w:rPr>
        <w:t xml:space="preserve">, </w:t>
      </w:r>
      <w:r w:rsidR="002B7DE7" w:rsidRPr="00911998">
        <w:rPr>
          <w:rFonts w:cs="Arial"/>
        </w:rPr>
        <w:t>précité</w:t>
      </w:r>
      <w:r w:rsidRPr="00911998">
        <w:rPr>
          <w:rFonts w:cs="Arial"/>
        </w:rPr>
        <w:t>.</w:t>
      </w:r>
    </w:p>
  </w:footnote>
  <w:footnote w:id="206">
    <w:p w14:paraId="6E75048F" w14:textId="7C3F704C" w:rsidR="00246397" w:rsidRPr="00911998" w:rsidRDefault="00246397">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Pour une description du régime qui leur était applicable voir : </w:t>
      </w:r>
      <w:r w:rsidR="00E347A0" w:rsidRPr="00911998">
        <w:rPr>
          <w:rFonts w:cs="Arial"/>
        </w:rPr>
        <w:t>J.</w:t>
      </w:r>
      <w:r w:rsidR="00E347A0" w:rsidRPr="00911998">
        <w:rPr>
          <w:rFonts w:cs="Arial"/>
        </w:rPr>
        <w:noBreakHyphen/>
        <w:t>L. Baudouin, «</w:t>
      </w:r>
      <w:r w:rsidR="00B94B0A" w:rsidRPr="00911998">
        <w:rPr>
          <w:rFonts w:cs="Arial"/>
        </w:rPr>
        <w:t> </w:t>
      </w:r>
      <w:r w:rsidR="00E347A0" w:rsidRPr="00911998">
        <w:rPr>
          <w:rFonts w:cs="Arial"/>
        </w:rPr>
        <w:t>Examen critique de la situation juridique de l’enfant naturel</w:t>
      </w:r>
      <w:r w:rsidR="00B94B0A" w:rsidRPr="00911998">
        <w:rPr>
          <w:rFonts w:cs="Arial"/>
        </w:rPr>
        <w:t> </w:t>
      </w:r>
      <w:r w:rsidR="00E347A0" w:rsidRPr="00911998">
        <w:rPr>
          <w:rFonts w:cs="Arial"/>
        </w:rPr>
        <w:t xml:space="preserve">» (1966) 12 </w:t>
      </w:r>
      <w:r w:rsidR="00E347A0" w:rsidRPr="00911998">
        <w:rPr>
          <w:rFonts w:cs="Arial"/>
          <w:i/>
          <w:iCs/>
        </w:rPr>
        <w:t>McGill Law Journal</w:t>
      </w:r>
      <w:r w:rsidR="00B94B0A" w:rsidRPr="00911998">
        <w:rPr>
          <w:rFonts w:cs="Arial"/>
        </w:rPr>
        <w:t> </w:t>
      </w:r>
      <w:r w:rsidR="00E347A0" w:rsidRPr="00911998">
        <w:rPr>
          <w:rFonts w:cs="Arial"/>
        </w:rPr>
        <w:t>157 [</w:t>
      </w:r>
      <w:r w:rsidR="00E347A0" w:rsidRPr="00911998">
        <w:rPr>
          <w:rFonts w:cs="Arial"/>
          <w:b/>
          <w:bCs/>
        </w:rPr>
        <w:t>Baudouin, Examen critique</w:t>
      </w:r>
      <w:r w:rsidR="00E347A0" w:rsidRPr="00911998">
        <w:rPr>
          <w:rFonts w:cs="Arial"/>
        </w:rPr>
        <w:t>]</w:t>
      </w:r>
      <w:r w:rsidR="00B94B0A" w:rsidRPr="00911998">
        <w:rPr>
          <w:rFonts w:cs="Arial"/>
        </w:rPr>
        <w:t> </w:t>
      </w:r>
      <w:r w:rsidR="00E347A0" w:rsidRPr="00911998">
        <w:rPr>
          <w:rFonts w:cs="Arial"/>
        </w:rPr>
        <w:t>; et J.</w:t>
      </w:r>
      <w:r w:rsidR="00B94B0A" w:rsidRPr="00911998">
        <w:rPr>
          <w:rFonts w:cs="Arial"/>
        </w:rPr>
        <w:t> </w:t>
      </w:r>
      <w:r w:rsidR="00E347A0" w:rsidRPr="00911998">
        <w:rPr>
          <w:rFonts w:cs="Arial"/>
        </w:rPr>
        <w:t>Pineau, «</w:t>
      </w:r>
      <w:r w:rsidR="00B94B0A" w:rsidRPr="00911998">
        <w:rPr>
          <w:rFonts w:cs="Arial"/>
        </w:rPr>
        <w:t> </w:t>
      </w:r>
      <w:r w:rsidR="00E347A0" w:rsidRPr="00911998">
        <w:rPr>
          <w:rFonts w:cs="Arial"/>
        </w:rPr>
        <w:t>La situation juridique des enfants nés hors mariage</w:t>
      </w:r>
      <w:r w:rsidR="00B94B0A" w:rsidRPr="00911998">
        <w:rPr>
          <w:rFonts w:cs="Arial"/>
        </w:rPr>
        <w:t> </w:t>
      </w:r>
      <w:r w:rsidR="00E347A0" w:rsidRPr="00911998">
        <w:rPr>
          <w:rFonts w:cs="Arial"/>
        </w:rPr>
        <w:t>» (1973) 8</w:t>
      </w:r>
      <w:r w:rsidR="00B94B0A" w:rsidRPr="00911998">
        <w:rPr>
          <w:rFonts w:cs="Arial"/>
        </w:rPr>
        <w:t> </w:t>
      </w:r>
      <w:r w:rsidR="00E347A0" w:rsidRPr="00911998">
        <w:rPr>
          <w:rFonts w:cs="Arial"/>
          <w:i/>
          <w:iCs/>
        </w:rPr>
        <w:t>Revue juridique Thémis</w:t>
      </w:r>
      <w:r w:rsidR="00B94B0A" w:rsidRPr="00911998">
        <w:rPr>
          <w:rFonts w:cs="Arial"/>
        </w:rPr>
        <w:t> </w:t>
      </w:r>
      <w:r w:rsidR="00E347A0" w:rsidRPr="00911998">
        <w:rPr>
          <w:rFonts w:cs="Arial"/>
        </w:rPr>
        <w:t>209.</w:t>
      </w:r>
    </w:p>
  </w:footnote>
  <w:footnote w:id="207">
    <w:p w14:paraId="41CB296E" w14:textId="05BFFE4F" w:rsidR="00F700D9" w:rsidRPr="00911998" w:rsidRDefault="00F700D9">
      <w:pPr>
        <w:pStyle w:val="Notedebasdepage"/>
        <w:rPr>
          <w:rFonts w:cs="Arial"/>
          <w:lang w:val="en-CA"/>
        </w:rPr>
      </w:pPr>
      <w:r w:rsidRPr="00911998">
        <w:rPr>
          <w:rStyle w:val="Appelnotedebasdep"/>
          <w:rFonts w:cs="Arial"/>
        </w:rPr>
        <w:footnoteRef/>
      </w:r>
      <w:r w:rsidRPr="00911998">
        <w:rPr>
          <w:rFonts w:cs="Arial"/>
          <w:lang w:val="en-CA"/>
        </w:rPr>
        <w:t xml:space="preserve"> </w:t>
      </w:r>
      <w:r w:rsidRPr="00911998">
        <w:rPr>
          <w:rFonts w:cs="Arial"/>
          <w:lang w:val="en-CA"/>
        </w:rPr>
        <w:tab/>
      </w:r>
      <w:proofErr w:type="spellStart"/>
      <w:r w:rsidRPr="00911998">
        <w:rPr>
          <w:rFonts w:cs="Arial"/>
          <w:lang w:val="en-CA"/>
        </w:rPr>
        <w:t>Voir</w:t>
      </w:r>
      <w:proofErr w:type="spellEnd"/>
      <w:r w:rsidRPr="00911998">
        <w:rPr>
          <w:rFonts w:cs="Arial"/>
          <w:lang w:val="en-CA"/>
        </w:rPr>
        <w:t xml:space="preserve"> </w:t>
      </w:r>
      <w:proofErr w:type="spellStart"/>
      <w:r w:rsidRPr="00911998">
        <w:rPr>
          <w:rFonts w:cs="Arial"/>
          <w:lang w:val="en-CA"/>
        </w:rPr>
        <w:t>notamment</w:t>
      </w:r>
      <w:proofErr w:type="spellEnd"/>
      <w:r w:rsidRPr="00911998">
        <w:rPr>
          <w:rFonts w:cs="Arial"/>
          <w:lang w:val="en-CA"/>
        </w:rPr>
        <w:t xml:space="preserve"> : </w:t>
      </w:r>
      <w:r w:rsidRPr="00911998">
        <w:rPr>
          <w:rFonts w:cs="Arial"/>
          <w:i/>
          <w:iCs/>
          <w:shd w:val="clear" w:color="auto" w:fill="FFFFFF"/>
          <w:lang w:val="en-CA"/>
        </w:rPr>
        <w:t xml:space="preserve">Town of Montreal West </w:t>
      </w:r>
      <w:r w:rsidR="00DC7246" w:rsidRPr="00911998">
        <w:rPr>
          <w:rFonts w:cs="Arial"/>
          <w:i/>
          <w:iCs/>
          <w:shd w:val="clear" w:color="auto" w:fill="FFFFFF"/>
          <w:lang w:val="en-CA"/>
        </w:rPr>
        <w:t>c</w:t>
      </w:r>
      <w:r w:rsidRPr="00911998">
        <w:rPr>
          <w:rFonts w:cs="Arial"/>
          <w:i/>
          <w:iCs/>
          <w:shd w:val="clear" w:color="auto" w:fill="FFFFFF"/>
          <w:lang w:val="en-CA"/>
        </w:rPr>
        <w:t>. Hough</w:t>
      </w:r>
      <w:r w:rsidRPr="00911998">
        <w:rPr>
          <w:rFonts w:cs="Arial"/>
          <w:shd w:val="clear" w:color="auto" w:fill="FFFFFF"/>
          <w:lang w:val="en-CA"/>
        </w:rPr>
        <w:t>, [1931] SCR</w:t>
      </w:r>
      <w:r w:rsidR="00B94B0A" w:rsidRPr="00911998">
        <w:rPr>
          <w:rFonts w:cs="Arial"/>
          <w:shd w:val="clear" w:color="auto" w:fill="FFFFFF"/>
          <w:lang w:val="en-CA"/>
        </w:rPr>
        <w:t> </w:t>
      </w:r>
      <w:r w:rsidRPr="00911998">
        <w:rPr>
          <w:rFonts w:cs="Arial"/>
          <w:shd w:val="clear" w:color="auto" w:fill="FFFFFF"/>
          <w:lang w:val="en-CA"/>
        </w:rPr>
        <w:t>113.</w:t>
      </w:r>
    </w:p>
  </w:footnote>
  <w:footnote w:id="208">
    <w:p w14:paraId="15DD5FFE" w14:textId="09F1C59D" w:rsidR="00F700D9" w:rsidRPr="00911998" w:rsidRDefault="00F700D9">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Baudouin, Examen critique, précité, p. 158.</w:t>
      </w:r>
    </w:p>
  </w:footnote>
  <w:footnote w:id="209">
    <w:p w14:paraId="3550E9E6" w14:textId="30890380" w:rsidR="00DC7246" w:rsidRPr="00911998" w:rsidRDefault="00DC7246">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shd w:val="clear" w:color="auto" w:fill="FFFFFF"/>
        </w:rPr>
        <w:t xml:space="preserve">Droit de la famille </w:t>
      </w:r>
      <w:r w:rsidR="00B94B0A" w:rsidRPr="00911998">
        <w:rPr>
          <w:rFonts w:cs="Arial"/>
          <w:i/>
          <w:iCs/>
          <w:shd w:val="clear" w:color="auto" w:fill="FFFFFF"/>
        </w:rPr>
        <w:t>—</w:t>
      </w:r>
      <w:r w:rsidRPr="00911998">
        <w:rPr>
          <w:rFonts w:cs="Arial"/>
          <w:i/>
          <w:iCs/>
          <w:shd w:val="clear" w:color="auto" w:fill="FFFFFF"/>
        </w:rPr>
        <w:t xml:space="preserve"> 766</w:t>
      </w:r>
      <w:r w:rsidRPr="00911998">
        <w:rPr>
          <w:rFonts w:cs="Arial"/>
          <w:shd w:val="clear" w:color="auto" w:fill="FFFFFF"/>
        </w:rPr>
        <w:t>, [1990] RJQ</w:t>
      </w:r>
      <w:r w:rsidR="00B94B0A" w:rsidRPr="00911998">
        <w:rPr>
          <w:rFonts w:cs="Arial"/>
          <w:shd w:val="clear" w:color="auto" w:fill="FFFFFF"/>
        </w:rPr>
        <w:t> </w:t>
      </w:r>
      <w:r w:rsidRPr="00911998">
        <w:rPr>
          <w:rFonts w:cs="Arial"/>
          <w:shd w:val="clear" w:color="auto" w:fill="FFFFFF"/>
        </w:rPr>
        <w:t>289</w:t>
      </w:r>
      <w:r w:rsidR="00843182" w:rsidRPr="00911998">
        <w:rPr>
          <w:rFonts w:cs="Arial"/>
          <w:shd w:val="clear" w:color="auto" w:fill="FFFFFF"/>
        </w:rPr>
        <w:t xml:space="preserve"> (C.A.)</w:t>
      </w:r>
      <w:r w:rsidRPr="00911998">
        <w:rPr>
          <w:rFonts w:cs="Arial"/>
          <w:shd w:val="clear" w:color="auto" w:fill="FFFFFF"/>
        </w:rPr>
        <w:t>, p. </w:t>
      </w:r>
      <w:r w:rsidR="005A74C0" w:rsidRPr="00911998">
        <w:rPr>
          <w:rFonts w:cs="Arial"/>
          <w:shd w:val="clear" w:color="auto" w:fill="FFFFFF"/>
        </w:rPr>
        <w:t>293</w:t>
      </w:r>
      <w:r w:rsidRPr="00911998">
        <w:rPr>
          <w:rFonts w:cs="Arial"/>
          <w:shd w:val="clear" w:color="auto" w:fill="FFFFFF"/>
        </w:rPr>
        <w:t>.</w:t>
      </w:r>
    </w:p>
  </w:footnote>
  <w:footnote w:id="210">
    <w:p w14:paraId="0A61F41E" w14:textId="1F6DE52C" w:rsidR="009C56F7" w:rsidRPr="00911998" w:rsidRDefault="009C56F7" w:rsidP="009C56F7">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Miron</w:t>
      </w:r>
      <w:r w:rsidRPr="00911998">
        <w:rPr>
          <w:rFonts w:cs="Arial"/>
        </w:rPr>
        <w:t>, précité, par. 151</w:t>
      </w:r>
      <w:r w:rsidR="001A1B54" w:rsidRPr="00911998">
        <w:rPr>
          <w:rFonts w:cs="Arial"/>
        </w:rPr>
        <w:t> </w:t>
      </w:r>
      <w:r w:rsidRPr="00911998">
        <w:rPr>
          <w:rFonts w:cs="Arial"/>
        </w:rPr>
        <w:t>; voir aussi les par. 152</w:t>
      </w:r>
      <w:r w:rsidRPr="00911998">
        <w:rPr>
          <w:rFonts w:cs="Arial"/>
        </w:rPr>
        <w:noBreakHyphen/>
        <w:t>154.</w:t>
      </w:r>
    </w:p>
  </w:footnote>
  <w:footnote w:id="211">
    <w:p w14:paraId="0FC7E811" w14:textId="13580DE2" w:rsidR="008A78B9" w:rsidRPr="00911998" w:rsidRDefault="008A78B9">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Voir : </w:t>
      </w:r>
      <w:r w:rsidR="00465DF8" w:rsidRPr="00911998">
        <w:rPr>
          <w:rFonts w:cs="Arial"/>
        </w:rPr>
        <w:t xml:space="preserve">le paragraphe 3(1) de la </w:t>
      </w:r>
      <w:r w:rsidR="00465DF8" w:rsidRPr="00911998">
        <w:rPr>
          <w:rFonts w:cs="Arial"/>
          <w:i/>
          <w:iCs/>
          <w:shd w:val="clear" w:color="auto" w:fill="FFFFFF"/>
        </w:rPr>
        <w:t>Loi canadienne sur les droits de la personne</w:t>
      </w:r>
      <w:r w:rsidR="00465DF8" w:rsidRPr="00911998">
        <w:rPr>
          <w:rFonts w:cs="Arial"/>
          <w:shd w:val="clear" w:color="auto" w:fill="FFFFFF"/>
        </w:rPr>
        <w:t>, LRC</w:t>
      </w:r>
      <w:r w:rsidR="001A1B54" w:rsidRPr="00911998">
        <w:rPr>
          <w:rFonts w:cs="Arial"/>
          <w:shd w:val="clear" w:color="auto" w:fill="FFFFFF"/>
        </w:rPr>
        <w:t> </w:t>
      </w:r>
      <w:r w:rsidR="00465DF8" w:rsidRPr="00911998">
        <w:rPr>
          <w:rFonts w:cs="Arial"/>
          <w:shd w:val="clear" w:color="auto" w:fill="FFFFFF"/>
        </w:rPr>
        <w:t>1985, c. H-6</w:t>
      </w:r>
      <w:r w:rsidR="001A1B54" w:rsidRPr="00911998">
        <w:rPr>
          <w:rFonts w:cs="Arial"/>
          <w:shd w:val="clear" w:color="auto" w:fill="FFFFFF"/>
        </w:rPr>
        <w:t> </w:t>
      </w:r>
      <w:r w:rsidR="00465DF8" w:rsidRPr="00911998">
        <w:rPr>
          <w:rFonts w:cs="Arial"/>
          <w:shd w:val="clear" w:color="auto" w:fill="FFFFFF"/>
        </w:rPr>
        <w:t xml:space="preserve">; article 1 du </w:t>
      </w:r>
      <w:r w:rsidR="00465DF8" w:rsidRPr="00911998">
        <w:rPr>
          <w:rFonts w:cs="Arial"/>
          <w:i/>
          <w:iCs/>
          <w:shd w:val="clear" w:color="auto" w:fill="FFFFFF"/>
        </w:rPr>
        <w:t>Code des droits de la personne</w:t>
      </w:r>
      <w:r w:rsidR="00465DF8" w:rsidRPr="00911998">
        <w:rPr>
          <w:rFonts w:cs="Arial"/>
          <w:shd w:val="clear" w:color="auto" w:fill="FFFFFF"/>
        </w:rPr>
        <w:t>, LRO</w:t>
      </w:r>
      <w:r w:rsidR="001A1B54" w:rsidRPr="00911998">
        <w:rPr>
          <w:rFonts w:cs="Arial"/>
          <w:shd w:val="clear" w:color="auto" w:fill="FFFFFF"/>
        </w:rPr>
        <w:t> </w:t>
      </w:r>
      <w:r w:rsidR="00465DF8" w:rsidRPr="00911998">
        <w:rPr>
          <w:rFonts w:cs="Arial"/>
          <w:shd w:val="clear" w:color="auto" w:fill="FFFFFF"/>
        </w:rPr>
        <w:t>1990, c</w:t>
      </w:r>
      <w:r w:rsidR="00A22376" w:rsidRPr="00911998">
        <w:rPr>
          <w:rFonts w:cs="Arial"/>
          <w:shd w:val="clear" w:color="auto" w:fill="FFFFFF"/>
        </w:rPr>
        <w:t>.</w:t>
      </w:r>
      <w:r w:rsidR="00465DF8" w:rsidRPr="00911998">
        <w:rPr>
          <w:rFonts w:cs="Arial"/>
          <w:shd w:val="clear" w:color="auto" w:fill="FFFFFF"/>
        </w:rPr>
        <w:t xml:space="preserve"> H.19</w:t>
      </w:r>
      <w:r w:rsidR="001A1B54" w:rsidRPr="00911998">
        <w:rPr>
          <w:rFonts w:cs="Arial"/>
          <w:shd w:val="clear" w:color="auto" w:fill="FFFFFF"/>
        </w:rPr>
        <w:t> </w:t>
      </w:r>
      <w:r w:rsidR="00465DF8" w:rsidRPr="00911998">
        <w:rPr>
          <w:rFonts w:cs="Arial"/>
          <w:shd w:val="clear" w:color="auto" w:fill="FFFFFF"/>
        </w:rPr>
        <w:t xml:space="preserve">; </w:t>
      </w:r>
      <w:r w:rsidR="00465DF8" w:rsidRPr="00911998">
        <w:rPr>
          <w:rFonts w:cs="Arial"/>
          <w:i/>
          <w:iCs/>
          <w:shd w:val="clear" w:color="auto" w:fill="FFFFFF"/>
        </w:rPr>
        <w:t xml:space="preserve">Human </w:t>
      </w:r>
      <w:proofErr w:type="spellStart"/>
      <w:r w:rsidR="00465DF8" w:rsidRPr="00911998">
        <w:rPr>
          <w:rFonts w:cs="Arial"/>
          <w:i/>
          <w:iCs/>
          <w:shd w:val="clear" w:color="auto" w:fill="FFFFFF"/>
        </w:rPr>
        <w:t>Rights</w:t>
      </w:r>
      <w:proofErr w:type="spellEnd"/>
      <w:r w:rsidR="00465DF8" w:rsidRPr="00911998">
        <w:rPr>
          <w:rFonts w:cs="Arial"/>
          <w:i/>
          <w:iCs/>
          <w:shd w:val="clear" w:color="auto" w:fill="FFFFFF"/>
        </w:rPr>
        <w:t xml:space="preserve"> Code</w:t>
      </w:r>
      <w:r w:rsidR="00465DF8" w:rsidRPr="00911998">
        <w:rPr>
          <w:rFonts w:cs="Arial"/>
          <w:shd w:val="clear" w:color="auto" w:fill="FFFFFF"/>
        </w:rPr>
        <w:t>, RSBC</w:t>
      </w:r>
      <w:r w:rsidR="001A1B54" w:rsidRPr="00911998">
        <w:rPr>
          <w:rFonts w:cs="Arial"/>
          <w:shd w:val="clear" w:color="auto" w:fill="FFFFFF"/>
        </w:rPr>
        <w:t> </w:t>
      </w:r>
      <w:r w:rsidR="00465DF8" w:rsidRPr="00911998">
        <w:rPr>
          <w:rFonts w:cs="Arial"/>
          <w:shd w:val="clear" w:color="auto" w:fill="FFFFFF"/>
        </w:rPr>
        <w:t xml:space="preserve">1996, c. 210 ; </w:t>
      </w:r>
      <w:r w:rsidR="00CA650B" w:rsidRPr="00911998">
        <w:rPr>
          <w:rFonts w:cs="Arial"/>
          <w:shd w:val="clear" w:color="auto" w:fill="FFFFFF"/>
        </w:rPr>
        <w:t>paragraphe</w:t>
      </w:r>
      <w:r w:rsidR="00A22376" w:rsidRPr="00911998">
        <w:rPr>
          <w:rFonts w:cs="Arial"/>
          <w:shd w:val="clear" w:color="auto" w:fill="FFFFFF"/>
        </w:rPr>
        <w:t xml:space="preserve"> 2(1) du </w:t>
      </w:r>
      <w:r w:rsidR="00A22376" w:rsidRPr="00911998">
        <w:rPr>
          <w:rFonts w:cs="Arial"/>
          <w:i/>
          <w:iCs/>
          <w:shd w:val="clear" w:color="auto" w:fill="FFFFFF"/>
        </w:rPr>
        <w:t>Code des droits de la personne de la Saskatchewan de 2018</w:t>
      </w:r>
      <w:r w:rsidR="00A22376" w:rsidRPr="00911998">
        <w:rPr>
          <w:rFonts w:cs="Arial"/>
          <w:shd w:val="clear" w:color="auto" w:fill="FFFFFF"/>
        </w:rPr>
        <w:t>, LS</w:t>
      </w:r>
      <w:r w:rsidR="001A1B54" w:rsidRPr="00911998">
        <w:rPr>
          <w:rFonts w:cs="Arial"/>
          <w:shd w:val="clear" w:color="auto" w:fill="FFFFFF"/>
        </w:rPr>
        <w:t> </w:t>
      </w:r>
      <w:r w:rsidR="00A22376" w:rsidRPr="00911998">
        <w:rPr>
          <w:rFonts w:cs="Arial"/>
          <w:shd w:val="clear" w:color="auto" w:fill="FFFFFF"/>
        </w:rPr>
        <w:t>2018, c. S-24.2</w:t>
      </w:r>
      <w:r w:rsidR="001A1B54" w:rsidRPr="00911998">
        <w:rPr>
          <w:rFonts w:cs="Arial"/>
          <w:shd w:val="clear" w:color="auto" w:fill="FFFFFF"/>
        </w:rPr>
        <w:t> </w:t>
      </w:r>
      <w:r w:rsidR="00A22376" w:rsidRPr="00911998">
        <w:rPr>
          <w:rFonts w:cs="Arial"/>
          <w:shd w:val="clear" w:color="auto" w:fill="FFFFFF"/>
        </w:rPr>
        <w:t xml:space="preserve">; </w:t>
      </w:r>
      <w:r w:rsidR="00CA650B" w:rsidRPr="00911998">
        <w:rPr>
          <w:rFonts w:cs="Arial"/>
          <w:i/>
          <w:iCs/>
          <w:shd w:val="clear" w:color="auto" w:fill="FFFFFF"/>
        </w:rPr>
        <w:t xml:space="preserve">Alberta Human </w:t>
      </w:r>
      <w:proofErr w:type="spellStart"/>
      <w:r w:rsidR="00CA650B" w:rsidRPr="00911998">
        <w:rPr>
          <w:rFonts w:cs="Arial"/>
          <w:i/>
          <w:iCs/>
          <w:shd w:val="clear" w:color="auto" w:fill="FFFFFF"/>
        </w:rPr>
        <w:t>Rights</w:t>
      </w:r>
      <w:proofErr w:type="spellEnd"/>
      <w:r w:rsidR="00CA650B" w:rsidRPr="00911998">
        <w:rPr>
          <w:rFonts w:cs="Arial"/>
          <w:i/>
          <w:iCs/>
          <w:shd w:val="clear" w:color="auto" w:fill="FFFFFF"/>
        </w:rPr>
        <w:t xml:space="preserve"> </w:t>
      </w:r>
      <w:proofErr w:type="spellStart"/>
      <w:r w:rsidR="00CA650B" w:rsidRPr="00911998">
        <w:rPr>
          <w:rFonts w:cs="Arial"/>
          <w:i/>
          <w:iCs/>
          <w:shd w:val="clear" w:color="auto" w:fill="FFFFFF"/>
        </w:rPr>
        <w:t>Act</w:t>
      </w:r>
      <w:proofErr w:type="spellEnd"/>
      <w:r w:rsidR="00CA650B" w:rsidRPr="00911998">
        <w:rPr>
          <w:rFonts w:cs="Arial"/>
          <w:shd w:val="clear" w:color="auto" w:fill="FFFFFF"/>
        </w:rPr>
        <w:t>, RSA</w:t>
      </w:r>
      <w:r w:rsidR="001A1B54" w:rsidRPr="00911998">
        <w:rPr>
          <w:rFonts w:cs="Arial"/>
          <w:shd w:val="clear" w:color="auto" w:fill="FFFFFF"/>
        </w:rPr>
        <w:t> </w:t>
      </w:r>
      <w:r w:rsidR="00CA650B" w:rsidRPr="00911998">
        <w:rPr>
          <w:rFonts w:cs="Arial"/>
          <w:shd w:val="clear" w:color="auto" w:fill="FFFFFF"/>
        </w:rPr>
        <w:t>2000, c. A-25.5; alinéa</w:t>
      </w:r>
      <w:r w:rsidR="001A1B54" w:rsidRPr="00911998">
        <w:rPr>
          <w:rFonts w:cs="Arial"/>
          <w:shd w:val="clear" w:color="auto" w:fill="FFFFFF"/>
        </w:rPr>
        <w:t> </w:t>
      </w:r>
      <w:r w:rsidR="00CA650B" w:rsidRPr="00911998">
        <w:rPr>
          <w:rFonts w:cs="Arial"/>
          <w:shd w:val="clear" w:color="auto" w:fill="FFFFFF"/>
        </w:rPr>
        <w:t xml:space="preserve">9(2)(i) </w:t>
      </w:r>
      <w:r w:rsidR="00CA650B" w:rsidRPr="00911998">
        <w:rPr>
          <w:rFonts w:cs="Arial"/>
          <w:i/>
          <w:iCs/>
          <w:shd w:val="clear" w:color="auto" w:fill="FFFFFF"/>
        </w:rPr>
        <w:t>du Code des droits de la personne</w:t>
      </w:r>
      <w:r w:rsidR="00CA650B" w:rsidRPr="00911998">
        <w:rPr>
          <w:rFonts w:cs="Arial"/>
          <w:shd w:val="clear" w:color="auto" w:fill="FFFFFF"/>
        </w:rPr>
        <w:t>, CPLM c. H175</w:t>
      </w:r>
      <w:r w:rsidR="001A1B54" w:rsidRPr="00911998">
        <w:rPr>
          <w:rFonts w:cs="Arial"/>
          <w:shd w:val="clear" w:color="auto" w:fill="FFFFFF"/>
        </w:rPr>
        <w:t> </w:t>
      </w:r>
      <w:r w:rsidR="00CA650B" w:rsidRPr="00911998">
        <w:rPr>
          <w:rFonts w:cs="Arial"/>
          <w:shd w:val="clear" w:color="auto" w:fill="FFFFFF"/>
        </w:rPr>
        <w:t xml:space="preserve">; paragraphe 3(h) de la </w:t>
      </w:r>
      <w:r w:rsidR="00CA650B" w:rsidRPr="00911998">
        <w:rPr>
          <w:rFonts w:cs="Arial"/>
          <w:i/>
          <w:iCs/>
          <w:shd w:val="clear" w:color="auto" w:fill="FFFFFF"/>
        </w:rPr>
        <w:t>Loi sur les droits de la personne</w:t>
      </w:r>
      <w:r w:rsidR="00CA650B" w:rsidRPr="00911998">
        <w:rPr>
          <w:rFonts w:cs="Arial"/>
          <w:shd w:val="clear" w:color="auto" w:fill="FFFFFF"/>
        </w:rPr>
        <w:t>, RSNS</w:t>
      </w:r>
      <w:r w:rsidR="001A1B54" w:rsidRPr="00911998">
        <w:rPr>
          <w:rFonts w:cs="Arial"/>
          <w:shd w:val="clear" w:color="auto" w:fill="FFFFFF"/>
        </w:rPr>
        <w:t> </w:t>
      </w:r>
      <w:r w:rsidR="00CA650B" w:rsidRPr="00911998">
        <w:rPr>
          <w:rFonts w:cs="Arial"/>
          <w:shd w:val="clear" w:color="auto" w:fill="FFFFFF"/>
        </w:rPr>
        <w:t>1989, c.</w:t>
      </w:r>
      <w:r w:rsidR="001A1B54" w:rsidRPr="00911998">
        <w:rPr>
          <w:rFonts w:cs="Arial"/>
          <w:shd w:val="clear" w:color="auto" w:fill="FFFFFF"/>
        </w:rPr>
        <w:t> </w:t>
      </w:r>
      <w:r w:rsidR="00CA650B" w:rsidRPr="00911998">
        <w:rPr>
          <w:rFonts w:cs="Arial"/>
          <w:shd w:val="clear" w:color="auto" w:fill="FFFFFF"/>
        </w:rPr>
        <w:t>214</w:t>
      </w:r>
      <w:r w:rsidR="001A1B54" w:rsidRPr="00911998">
        <w:rPr>
          <w:rFonts w:cs="Arial"/>
          <w:shd w:val="clear" w:color="auto" w:fill="FFFFFF"/>
        </w:rPr>
        <w:t> </w:t>
      </w:r>
      <w:r w:rsidR="00CA650B" w:rsidRPr="00911998">
        <w:rPr>
          <w:rFonts w:cs="Arial"/>
          <w:shd w:val="clear" w:color="auto" w:fill="FFFFFF"/>
        </w:rPr>
        <w:t>; et l’alinéa</w:t>
      </w:r>
      <w:r w:rsidR="001A1B54" w:rsidRPr="00911998">
        <w:rPr>
          <w:rFonts w:cs="Arial"/>
          <w:shd w:val="clear" w:color="auto" w:fill="FFFFFF"/>
        </w:rPr>
        <w:t> </w:t>
      </w:r>
      <w:r w:rsidR="00CA650B" w:rsidRPr="00911998">
        <w:rPr>
          <w:rFonts w:cs="Arial"/>
          <w:shd w:val="clear" w:color="auto" w:fill="FFFFFF"/>
        </w:rPr>
        <w:t>1(</w:t>
      </w:r>
      <w:proofErr w:type="gramStart"/>
      <w:r w:rsidR="00CA650B" w:rsidRPr="00911998">
        <w:rPr>
          <w:rFonts w:cs="Arial"/>
          <w:shd w:val="clear" w:color="auto" w:fill="FFFFFF"/>
        </w:rPr>
        <w:t>1)(</w:t>
      </w:r>
      <w:proofErr w:type="gramEnd"/>
      <w:r w:rsidR="00CA650B" w:rsidRPr="00911998">
        <w:rPr>
          <w:rFonts w:cs="Arial"/>
          <w:shd w:val="clear" w:color="auto" w:fill="FFFFFF"/>
        </w:rPr>
        <w:t xml:space="preserve">h.11) de la </w:t>
      </w:r>
      <w:r w:rsidR="00CA650B" w:rsidRPr="00911998">
        <w:rPr>
          <w:rFonts w:cs="Arial"/>
          <w:i/>
          <w:iCs/>
          <w:shd w:val="clear" w:color="auto" w:fill="FFFFFF"/>
        </w:rPr>
        <w:t xml:space="preserve">Human </w:t>
      </w:r>
      <w:proofErr w:type="spellStart"/>
      <w:r w:rsidR="00CA650B" w:rsidRPr="00911998">
        <w:rPr>
          <w:rFonts w:cs="Arial"/>
          <w:i/>
          <w:iCs/>
          <w:shd w:val="clear" w:color="auto" w:fill="FFFFFF"/>
        </w:rPr>
        <w:t>Rights</w:t>
      </w:r>
      <w:proofErr w:type="spellEnd"/>
      <w:r w:rsidR="00CA650B" w:rsidRPr="00911998">
        <w:rPr>
          <w:rFonts w:cs="Arial"/>
          <w:i/>
          <w:iCs/>
          <w:shd w:val="clear" w:color="auto" w:fill="FFFFFF"/>
        </w:rPr>
        <w:t xml:space="preserve"> </w:t>
      </w:r>
      <w:proofErr w:type="spellStart"/>
      <w:r w:rsidR="00CA650B" w:rsidRPr="00911998">
        <w:rPr>
          <w:rFonts w:cs="Arial"/>
          <w:i/>
          <w:iCs/>
          <w:shd w:val="clear" w:color="auto" w:fill="FFFFFF"/>
        </w:rPr>
        <w:t>Act</w:t>
      </w:r>
      <w:proofErr w:type="spellEnd"/>
      <w:r w:rsidR="00CA650B" w:rsidRPr="00911998">
        <w:rPr>
          <w:rFonts w:cs="Arial"/>
          <w:shd w:val="clear" w:color="auto" w:fill="FFFFFF"/>
        </w:rPr>
        <w:t>, RSPEI</w:t>
      </w:r>
      <w:r w:rsidR="001A1B54" w:rsidRPr="00911998">
        <w:rPr>
          <w:rFonts w:cs="Arial"/>
          <w:shd w:val="clear" w:color="auto" w:fill="FFFFFF"/>
        </w:rPr>
        <w:t> </w:t>
      </w:r>
      <w:r w:rsidR="00CA650B" w:rsidRPr="00911998">
        <w:rPr>
          <w:rFonts w:cs="Arial"/>
          <w:shd w:val="clear" w:color="auto" w:fill="FFFFFF"/>
        </w:rPr>
        <w:t>1988, c</w:t>
      </w:r>
      <w:r w:rsidR="002E65D1" w:rsidRPr="00911998">
        <w:rPr>
          <w:rFonts w:cs="Arial"/>
          <w:shd w:val="clear" w:color="auto" w:fill="FFFFFF"/>
        </w:rPr>
        <w:t>.</w:t>
      </w:r>
      <w:r w:rsidR="001A1B54" w:rsidRPr="00911998">
        <w:rPr>
          <w:rFonts w:cs="Arial"/>
          <w:shd w:val="clear" w:color="auto" w:fill="FFFFFF"/>
        </w:rPr>
        <w:t> </w:t>
      </w:r>
      <w:r w:rsidR="00CA650B" w:rsidRPr="00911998">
        <w:rPr>
          <w:rFonts w:cs="Arial"/>
          <w:shd w:val="clear" w:color="auto" w:fill="FFFFFF"/>
        </w:rPr>
        <w:t>H-12.</w:t>
      </w:r>
    </w:p>
  </w:footnote>
  <w:footnote w:id="212">
    <w:p w14:paraId="67616A97" w14:textId="61F71139" w:rsidR="00F8321A" w:rsidRPr="00911998" w:rsidRDefault="00F8321A">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Voir les articles 290 et 293 du </w:t>
      </w:r>
      <w:r w:rsidRPr="00911998">
        <w:rPr>
          <w:rFonts w:cs="Arial"/>
          <w:i/>
          <w:iCs/>
        </w:rPr>
        <w:t>Code criminel</w:t>
      </w:r>
      <w:r w:rsidRPr="00911998">
        <w:rPr>
          <w:rFonts w:cs="Arial"/>
        </w:rPr>
        <w:t>, LRC 1985, c. C</w:t>
      </w:r>
      <w:r w:rsidRPr="00911998">
        <w:rPr>
          <w:rFonts w:cs="Arial"/>
        </w:rPr>
        <w:noBreakHyphen/>
        <w:t>46</w:t>
      </w:r>
      <w:r w:rsidR="001A1B54" w:rsidRPr="00911998">
        <w:rPr>
          <w:rFonts w:cs="Arial"/>
        </w:rPr>
        <w:t> </w:t>
      </w:r>
      <w:r w:rsidRPr="00911998">
        <w:rPr>
          <w:rFonts w:cs="Arial"/>
        </w:rPr>
        <w:t xml:space="preserve">; et </w:t>
      </w:r>
      <w:r w:rsidRPr="00911998">
        <w:rPr>
          <w:rFonts w:cs="Arial"/>
          <w:i/>
          <w:iCs/>
          <w:shd w:val="clear" w:color="auto" w:fill="FFFFFF"/>
        </w:rPr>
        <w:t>Reference re: Section</w:t>
      </w:r>
      <w:r w:rsidR="001A1B54" w:rsidRPr="00911998">
        <w:rPr>
          <w:rFonts w:cs="Arial"/>
          <w:i/>
          <w:iCs/>
          <w:shd w:val="clear" w:color="auto" w:fill="FFFFFF"/>
        </w:rPr>
        <w:t> </w:t>
      </w:r>
      <w:r w:rsidRPr="00911998">
        <w:rPr>
          <w:rFonts w:cs="Arial"/>
          <w:i/>
          <w:iCs/>
          <w:shd w:val="clear" w:color="auto" w:fill="FFFFFF"/>
        </w:rPr>
        <w:t>293 of the Criminal Code of Canada</w:t>
      </w:r>
      <w:r w:rsidRPr="00911998">
        <w:rPr>
          <w:rFonts w:cs="Arial"/>
          <w:shd w:val="clear" w:color="auto" w:fill="FFFFFF"/>
        </w:rPr>
        <w:t>, 2011 BCSC</w:t>
      </w:r>
      <w:r w:rsidR="001A1B54" w:rsidRPr="00911998">
        <w:rPr>
          <w:rFonts w:cs="Arial"/>
          <w:shd w:val="clear" w:color="auto" w:fill="FFFFFF"/>
        </w:rPr>
        <w:t> </w:t>
      </w:r>
      <w:r w:rsidRPr="00911998">
        <w:rPr>
          <w:rFonts w:cs="Arial"/>
          <w:shd w:val="clear" w:color="auto" w:fill="FFFFFF"/>
        </w:rPr>
        <w:t>1588, par. 969</w:t>
      </w:r>
      <w:r w:rsidRPr="00911998">
        <w:rPr>
          <w:rFonts w:cs="Arial"/>
          <w:shd w:val="clear" w:color="auto" w:fill="FFFFFF"/>
        </w:rPr>
        <w:noBreakHyphen/>
        <w:t>1042.</w:t>
      </w:r>
    </w:p>
  </w:footnote>
  <w:footnote w:id="213">
    <w:p w14:paraId="028C0388" w14:textId="75B709C0" w:rsidR="007B3428" w:rsidRPr="00911998" w:rsidRDefault="007B3428">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Fraser</w:t>
      </w:r>
      <w:r w:rsidRPr="00911998">
        <w:rPr>
          <w:rFonts w:cs="Arial"/>
        </w:rPr>
        <w:t>, précité, par. 76.</w:t>
      </w:r>
    </w:p>
  </w:footnote>
  <w:footnote w:id="214">
    <w:p w14:paraId="48D5A619" w14:textId="365AF5F1" w:rsidR="007B3428" w:rsidRPr="00911998" w:rsidRDefault="007B3428">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78.</w:t>
      </w:r>
    </w:p>
  </w:footnote>
  <w:footnote w:id="215">
    <w:p w14:paraId="05DCAE90" w14:textId="67358543" w:rsidR="007B3428" w:rsidRPr="00911998" w:rsidRDefault="007B3428">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80.</w:t>
      </w:r>
    </w:p>
  </w:footnote>
  <w:footnote w:id="216">
    <w:p w14:paraId="47921A12" w14:textId="51FB99BC" w:rsidR="00542B7E" w:rsidRPr="00911998" w:rsidRDefault="00542B7E">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Article 585 C.c.Q.</w:t>
      </w:r>
    </w:p>
  </w:footnote>
  <w:footnote w:id="217">
    <w:p w14:paraId="54CCCB1B" w14:textId="77777777" w:rsidR="002E65D1" w:rsidRPr="00911998" w:rsidRDefault="002E65D1" w:rsidP="002E65D1">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Articles 653, 655</w:t>
      </w:r>
      <w:r w:rsidRPr="00911998">
        <w:rPr>
          <w:rFonts w:cs="Arial"/>
        </w:rPr>
        <w:noBreakHyphen/>
        <w:t>658 et 667</w:t>
      </w:r>
      <w:r w:rsidRPr="00911998">
        <w:rPr>
          <w:rFonts w:cs="Arial"/>
        </w:rPr>
        <w:noBreakHyphen/>
        <w:t>668 C.c.Q.</w:t>
      </w:r>
    </w:p>
  </w:footnote>
  <w:footnote w:id="218">
    <w:p w14:paraId="57A75FD8" w14:textId="6967F996" w:rsidR="001E4FDF" w:rsidRPr="00911998" w:rsidRDefault="001E4FDF">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76648F" w:rsidRPr="00911998">
        <w:rPr>
          <w:rFonts w:cs="Arial"/>
        </w:rPr>
        <w:t xml:space="preserve">Articles </w:t>
      </w:r>
      <w:r w:rsidRPr="00911998">
        <w:rPr>
          <w:rFonts w:cs="Arial"/>
        </w:rPr>
        <w:t>599</w:t>
      </w:r>
      <w:r w:rsidRPr="00911998">
        <w:rPr>
          <w:rFonts w:cs="Arial"/>
        </w:rPr>
        <w:noBreakHyphen/>
        <w:t>600 C.c.Q.</w:t>
      </w:r>
    </w:p>
  </w:footnote>
  <w:footnote w:id="219">
    <w:p w14:paraId="3FB6E9D1" w14:textId="02AAAA5F" w:rsidR="0046626C" w:rsidRPr="00911998" w:rsidRDefault="0046626C">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Articles</w:t>
      </w:r>
      <w:r w:rsidR="0076648F" w:rsidRPr="00911998">
        <w:rPr>
          <w:rFonts w:cs="Arial"/>
        </w:rPr>
        <w:t xml:space="preserve"> </w:t>
      </w:r>
      <w:r w:rsidRPr="00911998">
        <w:rPr>
          <w:rFonts w:cs="Arial"/>
        </w:rPr>
        <w:t>14 et 17</w:t>
      </w:r>
      <w:r w:rsidRPr="00911998">
        <w:rPr>
          <w:rFonts w:cs="Arial"/>
        </w:rPr>
        <w:noBreakHyphen/>
        <w:t>18 C.c.Q.</w:t>
      </w:r>
    </w:p>
  </w:footnote>
  <w:footnote w:id="220">
    <w:p w14:paraId="448D3E40" w14:textId="276258EC" w:rsidR="00EF50D3" w:rsidRPr="00911998" w:rsidRDefault="00EF50D3">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76648F" w:rsidRPr="00911998">
        <w:rPr>
          <w:rFonts w:cs="Arial"/>
        </w:rPr>
        <w:t>Par exemple,</w:t>
      </w:r>
      <w:r w:rsidRPr="00911998">
        <w:rPr>
          <w:rFonts w:cs="Arial"/>
        </w:rPr>
        <w:t xml:space="preserve"> la relation de madame </w:t>
      </w:r>
      <w:proofErr w:type="gramStart"/>
      <w:r w:rsidR="00153EC1">
        <w:rPr>
          <w:rFonts w:cs="Arial"/>
        </w:rPr>
        <w:t>M...</w:t>
      </w:r>
      <w:proofErr w:type="gramEnd"/>
      <w:r w:rsidRPr="00911998">
        <w:rPr>
          <w:rFonts w:cs="Arial"/>
        </w:rPr>
        <w:t xml:space="preserve"> et de monsieur </w:t>
      </w:r>
      <w:r w:rsidR="000032F7">
        <w:rPr>
          <w:rFonts w:cs="Arial"/>
        </w:rPr>
        <w:t>D...</w:t>
      </w:r>
      <w:r w:rsidRPr="00911998">
        <w:rPr>
          <w:rFonts w:cs="Arial"/>
        </w:rPr>
        <w:t xml:space="preserve"> avec </w:t>
      </w:r>
      <w:r w:rsidR="00153EC1">
        <w:rPr>
          <w:rFonts w:cs="Arial"/>
        </w:rPr>
        <w:t>X</w:t>
      </w:r>
      <w:r w:rsidRPr="00911998">
        <w:rPr>
          <w:rFonts w:cs="Arial"/>
        </w:rPr>
        <w:t xml:space="preserve"> n’est pas reconnu</w:t>
      </w:r>
      <w:r w:rsidR="00CC3108" w:rsidRPr="00911998">
        <w:rPr>
          <w:rFonts w:cs="Arial"/>
        </w:rPr>
        <w:t>e</w:t>
      </w:r>
      <w:r w:rsidRPr="00911998">
        <w:rPr>
          <w:rFonts w:cs="Arial"/>
        </w:rPr>
        <w:t xml:space="preserve"> par leur employeur.</w:t>
      </w:r>
    </w:p>
  </w:footnote>
  <w:footnote w:id="221">
    <w:p w14:paraId="15D90D55" w14:textId="25004537" w:rsidR="00EA46BC" w:rsidRPr="00911998" w:rsidRDefault="00EA46BC" w:rsidP="00EA46BC">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Sharma</w:t>
      </w:r>
      <w:r w:rsidRPr="00911998">
        <w:rPr>
          <w:rFonts w:cs="Arial"/>
        </w:rPr>
        <w:t>, précité, par. 5</w:t>
      </w:r>
      <w:r w:rsidR="00F5263C" w:rsidRPr="00911998">
        <w:rPr>
          <w:rFonts w:cs="Arial"/>
        </w:rPr>
        <w:t>6</w:t>
      </w:r>
      <w:r w:rsidR="00F5263C" w:rsidRPr="00911998">
        <w:rPr>
          <w:rFonts w:cs="Arial"/>
        </w:rPr>
        <w:noBreakHyphen/>
        <w:t>59</w:t>
      </w:r>
      <w:r w:rsidRPr="00911998">
        <w:rPr>
          <w:rFonts w:cs="Arial"/>
        </w:rPr>
        <w:t>.</w:t>
      </w:r>
    </w:p>
  </w:footnote>
  <w:footnote w:id="222">
    <w:p w14:paraId="42E12B87" w14:textId="100BCB5B" w:rsidR="00EA46BC" w:rsidRPr="00911998" w:rsidRDefault="00EA46BC" w:rsidP="00EA46BC">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shd w:val="clear" w:color="auto" w:fill="FFFFFF"/>
        </w:rPr>
        <w:t>Droit de la famille — 191677</w:t>
      </w:r>
      <w:r w:rsidRPr="00911998">
        <w:rPr>
          <w:rFonts w:cs="Arial"/>
          <w:shd w:val="clear" w:color="auto" w:fill="FFFFFF"/>
        </w:rPr>
        <w:t>, précité, par. 104</w:t>
      </w:r>
      <w:r w:rsidR="0076648F" w:rsidRPr="00911998">
        <w:rPr>
          <w:rFonts w:cs="Arial"/>
          <w:shd w:val="clear" w:color="auto" w:fill="FFFFFF"/>
        </w:rPr>
        <w:t> </w:t>
      </w:r>
      <w:r w:rsidRPr="00911998">
        <w:rPr>
          <w:rFonts w:cs="Arial"/>
          <w:shd w:val="clear" w:color="auto" w:fill="FFFFFF"/>
        </w:rPr>
        <w:t xml:space="preserve">; </w:t>
      </w:r>
      <w:r w:rsidRPr="00911998">
        <w:rPr>
          <w:rFonts w:cs="Arial"/>
          <w:i/>
          <w:iCs/>
          <w:spacing w:val="-3"/>
        </w:rPr>
        <w:t xml:space="preserve">Droit de la famille </w:t>
      </w:r>
      <w:r w:rsidR="0076648F" w:rsidRPr="00911998">
        <w:rPr>
          <w:rFonts w:cs="Arial"/>
          <w:i/>
          <w:iCs/>
          <w:spacing w:val="-3"/>
        </w:rPr>
        <w:t>—</w:t>
      </w:r>
      <w:r w:rsidRPr="00911998">
        <w:rPr>
          <w:rFonts w:cs="Arial"/>
          <w:i/>
          <w:iCs/>
          <w:spacing w:val="-3"/>
        </w:rPr>
        <w:t xml:space="preserve"> 072895</w:t>
      </w:r>
      <w:r w:rsidRPr="00911998">
        <w:rPr>
          <w:rFonts w:cs="Arial"/>
          <w:spacing w:val="-3"/>
        </w:rPr>
        <w:t>, précité, par. 49</w:t>
      </w:r>
      <w:r w:rsidRPr="00911998">
        <w:rPr>
          <w:rFonts w:cs="Arial"/>
          <w:spacing w:val="-3"/>
        </w:rPr>
        <w:noBreakHyphen/>
        <w:t>51</w:t>
      </w:r>
      <w:r w:rsidR="0076648F" w:rsidRPr="00911998">
        <w:rPr>
          <w:rFonts w:cs="Arial"/>
          <w:spacing w:val="-3"/>
        </w:rPr>
        <w:t> </w:t>
      </w:r>
      <w:r w:rsidRPr="00911998">
        <w:rPr>
          <w:rFonts w:cs="Arial"/>
          <w:spacing w:val="-3"/>
        </w:rPr>
        <w:t xml:space="preserve">; </w:t>
      </w:r>
      <w:r w:rsidRPr="00911998">
        <w:rPr>
          <w:rFonts w:cs="Arial"/>
          <w:i/>
          <w:iCs/>
          <w:spacing w:val="-3"/>
        </w:rPr>
        <w:t>Droit de la famille — 212386</w:t>
      </w:r>
      <w:r w:rsidRPr="00911998">
        <w:rPr>
          <w:rFonts w:cs="Arial"/>
          <w:spacing w:val="-3"/>
        </w:rPr>
        <w:t>, 2021</w:t>
      </w:r>
      <w:r w:rsidR="0076648F" w:rsidRPr="00911998">
        <w:rPr>
          <w:rFonts w:cs="Arial"/>
          <w:spacing w:val="-3"/>
        </w:rPr>
        <w:t> </w:t>
      </w:r>
      <w:r w:rsidRPr="00911998">
        <w:rPr>
          <w:rFonts w:cs="Arial"/>
          <w:spacing w:val="-3"/>
        </w:rPr>
        <w:t>QCCS</w:t>
      </w:r>
      <w:r w:rsidR="0076648F" w:rsidRPr="00911998">
        <w:rPr>
          <w:rFonts w:cs="Arial"/>
          <w:spacing w:val="-3"/>
        </w:rPr>
        <w:t xml:space="preserve"> </w:t>
      </w:r>
      <w:r w:rsidRPr="00911998">
        <w:rPr>
          <w:rFonts w:cs="Arial"/>
          <w:spacing w:val="-3"/>
        </w:rPr>
        <w:t>5233, par. 115</w:t>
      </w:r>
      <w:r w:rsidRPr="00911998">
        <w:rPr>
          <w:rFonts w:cs="Arial"/>
          <w:spacing w:val="-3"/>
        </w:rPr>
        <w:noBreakHyphen/>
        <w:t xml:space="preserve">127 (appel rejeté : </w:t>
      </w:r>
      <w:r w:rsidRPr="00911998">
        <w:rPr>
          <w:rFonts w:cs="Arial"/>
          <w:i/>
          <w:iCs/>
          <w:spacing w:val="-3"/>
        </w:rPr>
        <w:t>Droit de la famille — 221341</w:t>
      </w:r>
      <w:r w:rsidRPr="00911998">
        <w:rPr>
          <w:rFonts w:cs="Arial"/>
          <w:spacing w:val="-3"/>
        </w:rPr>
        <w:t>, précité)</w:t>
      </w:r>
      <w:r w:rsidR="0076648F" w:rsidRPr="00911998">
        <w:rPr>
          <w:rFonts w:cs="Arial"/>
          <w:spacing w:val="-3"/>
        </w:rPr>
        <w:t> </w:t>
      </w:r>
      <w:r w:rsidRPr="00911998">
        <w:rPr>
          <w:rFonts w:cs="Arial"/>
          <w:spacing w:val="-3"/>
        </w:rPr>
        <w:t xml:space="preserve">; </w:t>
      </w:r>
      <w:r w:rsidRPr="00911998">
        <w:rPr>
          <w:rFonts w:cs="Arial"/>
          <w:i/>
          <w:iCs/>
          <w:spacing w:val="-3"/>
        </w:rPr>
        <w:t>Droit de la famille — 092011</w:t>
      </w:r>
      <w:r w:rsidRPr="00911998">
        <w:rPr>
          <w:rFonts w:cs="Arial"/>
          <w:spacing w:val="-3"/>
        </w:rPr>
        <w:t>, 2009</w:t>
      </w:r>
      <w:r w:rsidR="0076648F" w:rsidRPr="00911998">
        <w:rPr>
          <w:rFonts w:cs="Arial"/>
          <w:spacing w:val="-3"/>
        </w:rPr>
        <w:t> </w:t>
      </w:r>
      <w:r w:rsidRPr="00911998">
        <w:rPr>
          <w:rFonts w:cs="Arial"/>
          <w:spacing w:val="-3"/>
        </w:rPr>
        <w:t>QCCS</w:t>
      </w:r>
      <w:r w:rsidR="0076648F" w:rsidRPr="00911998">
        <w:rPr>
          <w:rFonts w:cs="Arial"/>
          <w:spacing w:val="-3"/>
        </w:rPr>
        <w:t xml:space="preserve"> </w:t>
      </w:r>
      <w:r w:rsidRPr="00911998">
        <w:rPr>
          <w:rFonts w:cs="Arial"/>
          <w:spacing w:val="-3"/>
        </w:rPr>
        <w:t>3782.</w:t>
      </w:r>
    </w:p>
  </w:footnote>
  <w:footnote w:id="223">
    <w:p w14:paraId="534FB5FB" w14:textId="77777777" w:rsidR="00EA46BC" w:rsidRPr="00911998" w:rsidRDefault="00EA46BC" w:rsidP="00EA46BC">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Ontario c. G.</w:t>
      </w:r>
      <w:r w:rsidRPr="00911998">
        <w:rPr>
          <w:rFonts w:cs="Arial"/>
        </w:rPr>
        <w:t>, précité, par. 64.</w:t>
      </w:r>
    </w:p>
  </w:footnote>
  <w:footnote w:id="224">
    <w:p w14:paraId="34053327" w14:textId="0222F8AC" w:rsidR="00EA46BC" w:rsidRPr="00911998" w:rsidRDefault="00EA46BC" w:rsidP="00EA46BC">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A.</w:t>
      </w:r>
      <w:r w:rsidR="0076648F" w:rsidRPr="00911998">
        <w:rPr>
          <w:rFonts w:cs="Arial"/>
        </w:rPr>
        <w:t> </w:t>
      </w:r>
      <w:r w:rsidRPr="00911998">
        <w:rPr>
          <w:rFonts w:cs="Arial"/>
        </w:rPr>
        <w:t>Roy, «</w:t>
      </w:r>
      <w:r w:rsidR="0076648F" w:rsidRPr="00911998">
        <w:rPr>
          <w:rFonts w:cs="Arial"/>
        </w:rPr>
        <w:t> </w:t>
      </w:r>
      <w:r w:rsidRPr="00911998">
        <w:rPr>
          <w:rFonts w:cs="Arial"/>
        </w:rPr>
        <w:t>Revue de la jurisprudence</w:t>
      </w:r>
      <w:r w:rsidR="0076648F" w:rsidRPr="00911998">
        <w:rPr>
          <w:rFonts w:cs="Arial"/>
        </w:rPr>
        <w:t xml:space="preserve"> </w:t>
      </w:r>
      <w:r w:rsidRPr="00911998">
        <w:rPr>
          <w:rFonts w:cs="Arial"/>
        </w:rPr>
        <w:t xml:space="preserve">2020 en droit de la famille </w:t>
      </w:r>
      <w:r w:rsidR="0076648F" w:rsidRPr="00911998">
        <w:rPr>
          <w:rFonts w:cs="Arial"/>
        </w:rPr>
        <w:t>—</w:t>
      </w:r>
      <w:r w:rsidRPr="00911998">
        <w:rPr>
          <w:rFonts w:cs="Arial"/>
        </w:rPr>
        <w:t xml:space="preserve"> Les limites du droit de la filiation et du droit matrimonial une fois de plus mises à l’épreuve</w:t>
      </w:r>
      <w:r w:rsidR="0076648F" w:rsidRPr="00911998">
        <w:rPr>
          <w:rFonts w:cs="Arial"/>
        </w:rPr>
        <w:t> </w:t>
      </w:r>
      <w:r w:rsidRPr="00911998">
        <w:rPr>
          <w:rFonts w:cs="Arial"/>
        </w:rPr>
        <w:t>» (2021</w:t>
      </w:r>
      <w:r w:rsidRPr="00911998">
        <w:rPr>
          <w:rFonts w:cs="Arial"/>
        </w:rPr>
        <w:noBreakHyphen/>
        <w:t>2022)</w:t>
      </w:r>
      <w:r w:rsidR="00ED73F7" w:rsidRPr="00911998">
        <w:rPr>
          <w:rFonts w:cs="Arial"/>
        </w:rPr>
        <w:t> 123</w:t>
      </w:r>
      <w:r w:rsidRPr="00911998">
        <w:rPr>
          <w:rFonts w:cs="Arial"/>
        </w:rPr>
        <w:t xml:space="preserve"> </w:t>
      </w:r>
      <w:r w:rsidRPr="00911998">
        <w:rPr>
          <w:rFonts w:cs="Arial"/>
          <w:i/>
          <w:iCs/>
        </w:rPr>
        <w:t>R. du N.</w:t>
      </w:r>
      <w:r w:rsidR="0076648F" w:rsidRPr="00911998">
        <w:rPr>
          <w:rFonts w:cs="Arial"/>
        </w:rPr>
        <w:t xml:space="preserve"> </w:t>
      </w:r>
      <w:r w:rsidRPr="00911998">
        <w:rPr>
          <w:rFonts w:cs="Arial"/>
        </w:rPr>
        <w:t>1, p. 14</w:t>
      </w:r>
      <w:r w:rsidRPr="00911998">
        <w:rPr>
          <w:rFonts w:cs="Arial"/>
        </w:rPr>
        <w:noBreakHyphen/>
        <w:t>15.</w:t>
      </w:r>
    </w:p>
  </w:footnote>
  <w:footnote w:id="225">
    <w:p w14:paraId="72AA0219" w14:textId="41CB989F" w:rsidR="00F5263C" w:rsidRPr="00911998" w:rsidRDefault="00F5263C" w:rsidP="00F5263C">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proofErr w:type="spellStart"/>
      <w:r w:rsidRPr="00911998">
        <w:rPr>
          <w:rFonts w:cs="Arial"/>
          <w:i/>
          <w:iCs/>
        </w:rPr>
        <w:t>Trociuk</w:t>
      </w:r>
      <w:proofErr w:type="spellEnd"/>
      <w:r w:rsidRPr="00911998">
        <w:rPr>
          <w:rFonts w:cs="Arial"/>
          <w:i/>
          <w:iCs/>
        </w:rPr>
        <w:t> c. Colombie</w:t>
      </w:r>
      <w:r w:rsidRPr="00911998">
        <w:rPr>
          <w:rFonts w:cs="Arial"/>
          <w:i/>
          <w:iCs/>
        </w:rPr>
        <w:noBreakHyphen/>
        <w:t>Britannique (Procureur général)</w:t>
      </w:r>
      <w:r w:rsidRPr="00911998">
        <w:rPr>
          <w:rFonts w:cs="Arial"/>
        </w:rPr>
        <w:t>, 2003 CSC 34, par. 15 [</w:t>
      </w:r>
      <w:proofErr w:type="spellStart"/>
      <w:r w:rsidRPr="00911998">
        <w:rPr>
          <w:rFonts w:cs="Arial"/>
          <w:b/>
          <w:bCs/>
          <w:i/>
          <w:iCs/>
        </w:rPr>
        <w:t>Trociuk</w:t>
      </w:r>
      <w:proofErr w:type="spellEnd"/>
      <w:r w:rsidRPr="00911998">
        <w:rPr>
          <w:rFonts w:cs="Arial"/>
        </w:rPr>
        <w:t>]</w:t>
      </w:r>
      <w:r w:rsidR="00CE7557" w:rsidRPr="00911998">
        <w:rPr>
          <w:rFonts w:cs="Arial"/>
        </w:rPr>
        <w:t xml:space="preserve"> ; </w:t>
      </w:r>
      <w:r w:rsidR="00CE7557" w:rsidRPr="00911998">
        <w:rPr>
          <w:rFonts w:cs="Arial"/>
          <w:i/>
          <w:iCs/>
          <w:shd w:val="clear" w:color="auto" w:fill="FFFFFF"/>
        </w:rPr>
        <w:t>Droit de la famille — 171644</w:t>
      </w:r>
      <w:r w:rsidR="00CE7557" w:rsidRPr="00911998">
        <w:rPr>
          <w:rFonts w:cs="Arial"/>
          <w:shd w:val="clear" w:color="auto" w:fill="FFFFFF"/>
        </w:rPr>
        <w:t>, précité, par. 24</w:t>
      </w:r>
      <w:r w:rsidR="00CE7557" w:rsidRPr="00911998">
        <w:rPr>
          <w:rFonts w:cs="Arial"/>
          <w:shd w:val="clear" w:color="auto" w:fill="FFFFFF"/>
        </w:rPr>
        <w:noBreakHyphen/>
        <w:t>25.</w:t>
      </w:r>
    </w:p>
  </w:footnote>
  <w:footnote w:id="226">
    <w:p w14:paraId="6AFBFA8D" w14:textId="76C924F6" w:rsidR="00D17A07" w:rsidRPr="00911998" w:rsidRDefault="00D17A07">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proofErr w:type="spellStart"/>
      <w:r w:rsidRPr="00911998">
        <w:rPr>
          <w:rFonts w:cs="Arial"/>
          <w:i/>
          <w:iCs/>
        </w:rPr>
        <w:t>Trociuk</w:t>
      </w:r>
      <w:proofErr w:type="spellEnd"/>
      <w:r w:rsidRPr="00911998">
        <w:rPr>
          <w:rFonts w:cs="Arial"/>
        </w:rPr>
        <w:t>, précité, par. 16.</w:t>
      </w:r>
    </w:p>
  </w:footnote>
  <w:footnote w:id="227">
    <w:p w14:paraId="79D94AAE" w14:textId="151E76D9" w:rsidR="008114FA" w:rsidRPr="00911998" w:rsidRDefault="008114FA">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Voir par analogie : </w:t>
      </w:r>
      <w:r w:rsidRPr="00911998">
        <w:rPr>
          <w:rFonts w:cs="Arial"/>
          <w:i/>
          <w:iCs/>
        </w:rPr>
        <w:t xml:space="preserve">Centre for </w:t>
      </w:r>
      <w:proofErr w:type="spellStart"/>
      <w:r w:rsidRPr="00911998">
        <w:rPr>
          <w:rFonts w:cs="Arial"/>
          <w:i/>
          <w:iCs/>
        </w:rPr>
        <w:t>Gender</w:t>
      </w:r>
      <w:proofErr w:type="spellEnd"/>
      <w:r w:rsidRPr="00911998">
        <w:rPr>
          <w:rFonts w:cs="Arial"/>
          <w:i/>
          <w:iCs/>
        </w:rPr>
        <w:t xml:space="preserve"> </w:t>
      </w:r>
      <w:proofErr w:type="spellStart"/>
      <w:r w:rsidRPr="00911998">
        <w:rPr>
          <w:rFonts w:cs="Arial"/>
          <w:i/>
          <w:iCs/>
        </w:rPr>
        <w:t>Advocacy</w:t>
      </w:r>
      <w:proofErr w:type="spellEnd"/>
      <w:r w:rsidRPr="00911998">
        <w:rPr>
          <w:rFonts w:cs="Arial"/>
          <w:i/>
          <w:iCs/>
        </w:rPr>
        <w:t xml:space="preserve"> c. Attorney General of </w:t>
      </w:r>
      <w:proofErr w:type="spellStart"/>
      <w:r w:rsidRPr="00911998">
        <w:rPr>
          <w:rFonts w:cs="Arial"/>
          <w:i/>
          <w:iCs/>
        </w:rPr>
        <w:t>Quebec</w:t>
      </w:r>
      <w:proofErr w:type="spellEnd"/>
      <w:r w:rsidRPr="00911998">
        <w:rPr>
          <w:rFonts w:cs="Arial"/>
        </w:rPr>
        <w:t>, 2021 QCCS 191, par. 170.</w:t>
      </w:r>
    </w:p>
  </w:footnote>
  <w:footnote w:id="228">
    <w:p w14:paraId="11E2B52E" w14:textId="1E9E71EB" w:rsidR="00961AC7" w:rsidRPr="00911998" w:rsidRDefault="00961AC7" w:rsidP="00961AC7">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Voir par analogie : </w:t>
      </w:r>
      <w:r w:rsidRPr="00911998">
        <w:rPr>
          <w:rFonts w:cs="Arial"/>
          <w:i/>
          <w:iCs/>
        </w:rPr>
        <w:t>S.M. (Re)</w:t>
      </w:r>
      <w:r w:rsidRPr="00911998">
        <w:rPr>
          <w:rFonts w:cs="Arial"/>
        </w:rPr>
        <w:t>, 2018</w:t>
      </w:r>
      <w:r w:rsidR="0076648F" w:rsidRPr="00911998">
        <w:rPr>
          <w:rFonts w:cs="Arial"/>
        </w:rPr>
        <w:t> </w:t>
      </w:r>
      <w:r w:rsidRPr="00911998">
        <w:rPr>
          <w:rFonts w:cs="Arial"/>
        </w:rPr>
        <w:t>ONSC</w:t>
      </w:r>
      <w:r w:rsidR="0076648F" w:rsidRPr="00911998">
        <w:rPr>
          <w:rFonts w:cs="Arial"/>
        </w:rPr>
        <w:t xml:space="preserve"> </w:t>
      </w:r>
      <w:r w:rsidRPr="00911998">
        <w:rPr>
          <w:rFonts w:cs="Arial"/>
        </w:rPr>
        <w:t>5145, par. 105.</w:t>
      </w:r>
      <w:r w:rsidR="008E6EDE" w:rsidRPr="00911998">
        <w:rPr>
          <w:rFonts w:cs="Arial"/>
        </w:rPr>
        <w:t xml:space="preserve"> La situation présente également une certaine analogie avec la question du mariage des couples d</w:t>
      </w:r>
      <w:r w:rsidR="00A538CE" w:rsidRPr="00911998">
        <w:rPr>
          <w:rFonts w:cs="Arial"/>
        </w:rPr>
        <w:t>e</w:t>
      </w:r>
      <w:r w:rsidR="008E6EDE" w:rsidRPr="00911998">
        <w:rPr>
          <w:rFonts w:cs="Arial"/>
        </w:rPr>
        <w:t xml:space="preserve"> même sexe. La règle voulant que le mariage ne pouvait </w:t>
      </w:r>
      <w:r w:rsidR="00A538CE" w:rsidRPr="00911998">
        <w:rPr>
          <w:rFonts w:cs="Arial"/>
        </w:rPr>
        <w:t>être célébré</w:t>
      </w:r>
      <w:r w:rsidR="008E6EDE" w:rsidRPr="00911998">
        <w:rPr>
          <w:rFonts w:cs="Arial"/>
        </w:rPr>
        <w:t xml:space="preserve"> qu’entre un homme et une femme communiquait aux conjoints de même sexe que leurs relations étaient moins importantes, moi</w:t>
      </w:r>
      <w:r w:rsidR="00A538CE" w:rsidRPr="00911998">
        <w:rPr>
          <w:rFonts w:cs="Arial"/>
        </w:rPr>
        <w:t>n</w:t>
      </w:r>
      <w:r w:rsidR="008E6EDE" w:rsidRPr="00911998">
        <w:rPr>
          <w:rFonts w:cs="Arial"/>
        </w:rPr>
        <w:t xml:space="preserve">s valables et moins dignes de reconnaissance. Les tribunaux canadiens ont </w:t>
      </w:r>
      <w:r w:rsidR="00396126" w:rsidRPr="00911998">
        <w:rPr>
          <w:rFonts w:cs="Arial"/>
        </w:rPr>
        <w:t xml:space="preserve">ainsi </w:t>
      </w:r>
      <w:r w:rsidR="008E6EDE" w:rsidRPr="00911998">
        <w:rPr>
          <w:rFonts w:cs="Arial"/>
        </w:rPr>
        <w:t>conclu que l’exclusion des couples d</w:t>
      </w:r>
      <w:r w:rsidR="00A538CE" w:rsidRPr="00911998">
        <w:rPr>
          <w:rFonts w:cs="Arial"/>
        </w:rPr>
        <w:t>e</w:t>
      </w:r>
      <w:r w:rsidR="008E6EDE" w:rsidRPr="00911998">
        <w:rPr>
          <w:rFonts w:cs="Arial"/>
        </w:rPr>
        <w:t xml:space="preserve"> même sexe du mariage </w:t>
      </w:r>
      <w:r w:rsidR="00A538CE" w:rsidRPr="00911998">
        <w:rPr>
          <w:rFonts w:cs="Arial"/>
        </w:rPr>
        <w:t>en tant qu’</w:t>
      </w:r>
      <w:r w:rsidR="008E6EDE" w:rsidRPr="00911998">
        <w:rPr>
          <w:rFonts w:cs="Arial"/>
        </w:rPr>
        <w:t xml:space="preserve">institution juridique était discriminatoire : </w:t>
      </w:r>
      <w:r w:rsidR="008E6EDE" w:rsidRPr="00911998">
        <w:rPr>
          <w:rFonts w:cs="Arial"/>
          <w:i/>
          <w:iCs/>
        </w:rPr>
        <w:t>Hendricks c. Québec (Procureur général)</w:t>
      </w:r>
      <w:r w:rsidR="008E6EDE" w:rsidRPr="00911998">
        <w:rPr>
          <w:rFonts w:cs="Arial"/>
        </w:rPr>
        <w:t>, 2002 CanLII</w:t>
      </w:r>
      <w:r w:rsidR="0076648F" w:rsidRPr="00911998">
        <w:rPr>
          <w:rFonts w:cs="Arial"/>
        </w:rPr>
        <w:t xml:space="preserve"> </w:t>
      </w:r>
      <w:r w:rsidR="008E6EDE" w:rsidRPr="00911998">
        <w:rPr>
          <w:rFonts w:cs="Arial"/>
        </w:rPr>
        <w:t>23808 (QC CS) (</w:t>
      </w:r>
      <w:r w:rsidR="009940C8" w:rsidRPr="00911998">
        <w:rPr>
          <w:rFonts w:cs="Arial"/>
        </w:rPr>
        <w:t xml:space="preserve">appel rejeté : </w:t>
      </w:r>
      <w:r w:rsidR="009940C8" w:rsidRPr="00911998">
        <w:rPr>
          <w:rFonts w:cs="Arial"/>
          <w:i/>
          <w:iCs/>
        </w:rPr>
        <w:t>Ligue catholique pour les droits de l</w:t>
      </w:r>
      <w:r w:rsidR="0076648F" w:rsidRPr="00911998">
        <w:rPr>
          <w:rFonts w:cs="Arial"/>
          <w:i/>
          <w:iCs/>
        </w:rPr>
        <w:t>’</w:t>
      </w:r>
      <w:r w:rsidR="009940C8" w:rsidRPr="00911998">
        <w:rPr>
          <w:rFonts w:cs="Arial"/>
          <w:i/>
          <w:iCs/>
        </w:rPr>
        <w:t>homme c. Hendricks</w:t>
      </w:r>
      <w:r w:rsidR="009940C8" w:rsidRPr="00911998">
        <w:rPr>
          <w:rFonts w:cs="Arial"/>
        </w:rPr>
        <w:t>, 2004</w:t>
      </w:r>
      <w:r w:rsidR="0076648F" w:rsidRPr="00911998">
        <w:rPr>
          <w:rFonts w:cs="Arial"/>
        </w:rPr>
        <w:t> </w:t>
      </w:r>
      <w:r w:rsidR="009940C8" w:rsidRPr="00911998">
        <w:rPr>
          <w:rFonts w:cs="Arial"/>
        </w:rPr>
        <w:t>CanLII</w:t>
      </w:r>
      <w:r w:rsidR="0076648F" w:rsidRPr="00911998">
        <w:rPr>
          <w:rFonts w:cs="Arial"/>
        </w:rPr>
        <w:t xml:space="preserve"> </w:t>
      </w:r>
      <w:r w:rsidR="009940C8" w:rsidRPr="00911998">
        <w:rPr>
          <w:rFonts w:cs="Arial"/>
        </w:rPr>
        <w:t>20538 (QC CA</w:t>
      </w:r>
      <w:r w:rsidR="0076648F" w:rsidRPr="00911998">
        <w:rPr>
          <w:rFonts w:cs="Arial"/>
        </w:rPr>
        <w:t>)</w:t>
      </w:r>
      <w:r w:rsidR="009940C8" w:rsidRPr="00911998">
        <w:rPr>
          <w:rFonts w:cs="Arial"/>
        </w:rPr>
        <w:t>)</w:t>
      </w:r>
      <w:r w:rsidR="0076648F" w:rsidRPr="00911998">
        <w:rPr>
          <w:rFonts w:cs="Arial"/>
        </w:rPr>
        <w:t> </w:t>
      </w:r>
      <w:r w:rsidR="009940C8" w:rsidRPr="00911998">
        <w:rPr>
          <w:rFonts w:cs="Arial"/>
        </w:rPr>
        <w:t xml:space="preserve">; </w:t>
      </w:r>
      <w:r w:rsidR="009940C8" w:rsidRPr="00911998">
        <w:rPr>
          <w:rFonts w:cs="Arial"/>
          <w:i/>
          <w:iCs/>
        </w:rPr>
        <w:t>Barbeau c. British Columbia (Attorney General)</w:t>
      </w:r>
      <w:r w:rsidR="009940C8" w:rsidRPr="00911998">
        <w:rPr>
          <w:rFonts w:cs="Arial"/>
        </w:rPr>
        <w:t>, 2003</w:t>
      </w:r>
      <w:r w:rsidR="0076648F" w:rsidRPr="00911998">
        <w:rPr>
          <w:rFonts w:cs="Arial"/>
        </w:rPr>
        <w:t> </w:t>
      </w:r>
      <w:r w:rsidR="009940C8" w:rsidRPr="00911998">
        <w:rPr>
          <w:rFonts w:cs="Arial"/>
        </w:rPr>
        <w:t>BCCA</w:t>
      </w:r>
      <w:r w:rsidR="00F5263C" w:rsidRPr="00911998">
        <w:rPr>
          <w:rFonts w:cs="Arial"/>
        </w:rPr>
        <w:t> </w:t>
      </w:r>
      <w:r w:rsidR="009940C8" w:rsidRPr="00911998">
        <w:rPr>
          <w:rFonts w:cs="Arial"/>
        </w:rPr>
        <w:t>251</w:t>
      </w:r>
      <w:r w:rsidR="0076648F" w:rsidRPr="00911998">
        <w:rPr>
          <w:rFonts w:cs="Arial"/>
        </w:rPr>
        <w:t> </w:t>
      </w:r>
      <w:r w:rsidR="009940C8" w:rsidRPr="00911998">
        <w:rPr>
          <w:rFonts w:cs="Arial"/>
        </w:rPr>
        <w:t xml:space="preserve">; et </w:t>
      </w:r>
      <w:r w:rsidR="009940C8" w:rsidRPr="00911998">
        <w:rPr>
          <w:rFonts w:cs="Arial"/>
          <w:i/>
          <w:iCs/>
        </w:rPr>
        <w:t xml:space="preserve">Halpern c. Canada (Attorney </w:t>
      </w:r>
      <w:proofErr w:type="spellStart"/>
      <w:r w:rsidR="009940C8" w:rsidRPr="00911998">
        <w:rPr>
          <w:rFonts w:cs="Arial"/>
          <w:i/>
          <w:iCs/>
        </w:rPr>
        <w:t>general</w:t>
      </w:r>
      <w:proofErr w:type="spellEnd"/>
      <w:r w:rsidR="009940C8" w:rsidRPr="00911998">
        <w:rPr>
          <w:rFonts w:cs="Arial"/>
          <w:i/>
          <w:iCs/>
        </w:rPr>
        <w:t>)</w:t>
      </w:r>
      <w:r w:rsidR="009940C8" w:rsidRPr="00911998">
        <w:rPr>
          <w:rFonts w:cs="Arial"/>
        </w:rPr>
        <w:t>, 2003 CanLII</w:t>
      </w:r>
      <w:r w:rsidR="0076648F" w:rsidRPr="00911998">
        <w:rPr>
          <w:rFonts w:cs="Arial"/>
        </w:rPr>
        <w:t xml:space="preserve"> </w:t>
      </w:r>
      <w:r w:rsidR="009940C8" w:rsidRPr="00911998">
        <w:rPr>
          <w:rFonts w:cs="Arial"/>
        </w:rPr>
        <w:t>26403 (ON CA).</w:t>
      </w:r>
    </w:p>
  </w:footnote>
  <w:footnote w:id="229">
    <w:p w14:paraId="1018EB8E" w14:textId="0F4073E9" w:rsidR="00905EC1" w:rsidRPr="00911998" w:rsidRDefault="00905EC1">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882599" w:rsidRPr="00911998">
        <w:rPr>
          <w:rFonts w:cs="Arial"/>
        </w:rPr>
        <w:t>2015 CSC 39, par. 35 [</w:t>
      </w:r>
      <w:r w:rsidR="00882599" w:rsidRPr="00911998">
        <w:rPr>
          <w:rFonts w:cs="Arial"/>
          <w:b/>
          <w:bCs/>
          <w:i/>
          <w:iCs/>
        </w:rPr>
        <w:t>Bombardier</w:t>
      </w:r>
      <w:r w:rsidR="00882599" w:rsidRPr="00911998">
        <w:rPr>
          <w:rFonts w:cs="Arial"/>
        </w:rPr>
        <w:t>]</w:t>
      </w:r>
      <w:r w:rsidR="00FD6614" w:rsidRPr="00911998">
        <w:rPr>
          <w:rFonts w:cs="Arial"/>
        </w:rPr>
        <w:t> </w:t>
      </w:r>
      <w:r w:rsidR="00E04ADB" w:rsidRPr="00911998">
        <w:rPr>
          <w:rFonts w:cs="Arial"/>
        </w:rPr>
        <w:t xml:space="preserve">; </w:t>
      </w:r>
      <w:r w:rsidR="00E04ADB" w:rsidRPr="00911998">
        <w:rPr>
          <w:rFonts w:cs="Arial"/>
          <w:i/>
          <w:iCs/>
        </w:rPr>
        <w:t>Syndicat canadien de la fonction publique, section locale 3333</w:t>
      </w:r>
      <w:r w:rsidR="00FD6614" w:rsidRPr="00911998">
        <w:rPr>
          <w:rFonts w:cs="Arial"/>
          <w:i/>
          <w:iCs/>
        </w:rPr>
        <w:t> </w:t>
      </w:r>
      <w:r w:rsidR="00E04ADB" w:rsidRPr="00911998">
        <w:rPr>
          <w:rFonts w:cs="Arial"/>
          <w:i/>
          <w:iCs/>
        </w:rPr>
        <w:t>c. Réseau de transport de Longueuil</w:t>
      </w:r>
      <w:r w:rsidR="00E04ADB" w:rsidRPr="00911998">
        <w:rPr>
          <w:rFonts w:cs="Arial"/>
        </w:rPr>
        <w:t>, 2024</w:t>
      </w:r>
      <w:r w:rsidR="00FD6614" w:rsidRPr="00911998">
        <w:rPr>
          <w:rFonts w:cs="Arial"/>
        </w:rPr>
        <w:t> </w:t>
      </w:r>
      <w:r w:rsidR="00E04ADB" w:rsidRPr="00911998">
        <w:rPr>
          <w:rFonts w:cs="Arial"/>
        </w:rPr>
        <w:t>QCCA</w:t>
      </w:r>
      <w:r w:rsidR="00FD6614" w:rsidRPr="00911998">
        <w:rPr>
          <w:rFonts w:cs="Arial"/>
        </w:rPr>
        <w:t> </w:t>
      </w:r>
      <w:r w:rsidR="00E04ADB" w:rsidRPr="00911998">
        <w:rPr>
          <w:rFonts w:cs="Arial"/>
        </w:rPr>
        <w:t>204, par. 44 et 48 [</w:t>
      </w:r>
      <w:r w:rsidR="00E04ADB" w:rsidRPr="00911998">
        <w:rPr>
          <w:rFonts w:cs="Arial"/>
          <w:b/>
          <w:bCs/>
          <w:i/>
          <w:iCs/>
        </w:rPr>
        <w:t>Syndicat canadien</w:t>
      </w:r>
      <w:r w:rsidR="00E04ADB" w:rsidRPr="00911998">
        <w:rPr>
          <w:rFonts w:cs="Arial"/>
        </w:rPr>
        <w:t>].</w:t>
      </w:r>
    </w:p>
  </w:footnote>
  <w:footnote w:id="230">
    <w:p w14:paraId="170D7760" w14:textId="7BC526E0" w:rsidR="00AB52F2" w:rsidRPr="00911998" w:rsidRDefault="00AB52F2">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E04ADB" w:rsidRPr="00911998">
        <w:rPr>
          <w:rFonts w:cs="Arial"/>
          <w:i/>
          <w:iCs/>
        </w:rPr>
        <w:t>Bombardier</w:t>
      </w:r>
      <w:r w:rsidR="00E04ADB" w:rsidRPr="00911998">
        <w:rPr>
          <w:rFonts w:cs="Arial"/>
        </w:rPr>
        <w:t>, précité</w:t>
      </w:r>
      <w:r w:rsidRPr="00911998">
        <w:rPr>
          <w:rFonts w:cs="Arial"/>
        </w:rPr>
        <w:t>, par. 52</w:t>
      </w:r>
      <w:r w:rsidR="00FD6614" w:rsidRPr="00911998">
        <w:rPr>
          <w:rFonts w:cs="Arial"/>
        </w:rPr>
        <w:t> </w:t>
      </w:r>
      <w:r w:rsidR="0002483B" w:rsidRPr="00911998">
        <w:rPr>
          <w:rFonts w:cs="Arial"/>
        </w:rPr>
        <w:t xml:space="preserve">; </w:t>
      </w:r>
      <w:r w:rsidR="0002483B" w:rsidRPr="00911998">
        <w:rPr>
          <w:rFonts w:cs="Arial"/>
          <w:i/>
          <w:iCs/>
        </w:rPr>
        <w:t>Syndicat canadien</w:t>
      </w:r>
      <w:r w:rsidR="0002483B" w:rsidRPr="00911998">
        <w:rPr>
          <w:rFonts w:cs="Arial"/>
        </w:rPr>
        <w:t>, précité, par. 71.</w:t>
      </w:r>
    </w:p>
  </w:footnote>
  <w:footnote w:id="231">
    <w:p w14:paraId="4325B1E6" w14:textId="55716100" w:rsidR="00E04ADB" w:rsidRPr="00911998" w:rsidRDefault="00E04AD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02483B" w:rsidRPr="00911998">
        <w:rPr>
          <w:rFonts w:cs="Arial"/>
          <w:i/>
          <w:iCs/>
        </w:rPr>
        <w:t>Bombardier</w:t>
      </w:r>
      <w:r w:rsidR="0002483B" w:rsidRPr="00911998">
        <w:rPr>
          <w:rFonts w:cs="Arial"/>
        </w:rPr>
        <w:t xml:space="preserve">, précité, </w:t>
      </w:r>
      <w:r w:rsidRPr="00911998">
        <w:rPr>
          <w:rFonts w:cs="Arial"/>
        </w:rPr>
        <w:t>par. 53</w:t>
      </w:r>
      <w:r w:rsidR="00FD6614" w:rsidRPr="00911998">
        <w:rPr>
          <w:rFonts w:cs="Arial"/>
        </w:rPr>
        <w:t> </w:t>
      </w:r>
      <w:r w:rsidRPr="00911998">
        <w:rPr>
          <w:rFonts w:cs="Arial"/>
        </w:rPr>
        <w:t xml:space="preserve">; </w:t>
      </w:r>
      <w:r w:rsidRPr="00911998">
        <w:rPr>
          <w:rFonts w:cs="Arial"/>
          <w:i/>
          <w:iCs/>
        </w:rPr>
        <w:t>Syndicat canadien</w:t>
      </w:r>
      <w:r w:rsidRPr="00911998">
        <w:rPr>
          <w:rFonts w:cs="Arial"/>
        </w:rPr>
        <w:t>, précité, par. 53.</w:t>
      </w:r>
    </w:p>
  </w:footnote>
  <w:footnote w:id="232">
    <w:p w14:paraId="52CC04EC" w14:textId="2E687F2E" w:rsidR="00AB52F2" w:rsidRPr="00911998" w:rsidRDefault="00AB52F2">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E04ADB" w:rsidRPr="00911998">
        <w:rPr>
          <w:rFonts w:cs="Arial"/>
          <w:i/>
          <w:iCs/>
        </w:rPr>
        <w:t>Bombardier</w:t>
      </w:r>
      <w:r w:rsidR="00E04ADB" w:rsidRPr="00911998">
        <w:rPr>
          <w:rFonts w:cs="Arial"/>
        </w:rPr>
        <w:t>, précité</w:t>
      </w:r>
      <w:r w:rsidRPr="00911998">
        <w:rPr>
          <w:rFonts w:cs="Arial"/>
        </w:rPr>
        <w:t>, par. 54</w:t>
      </w:r>
      <w:r w:rsidR="00E04ADB" w:rsidRPr="00911998">
        <w:rPr>
          <w:rFonts w:cs="Arial"/>
        </w:rPr>
        <w:t>.</w:t>
      </w:r>
    </w:p>
  </w:footnote>
  <w:footnote w:id="233">
    <w:p w14:paraId="3BF8EE3B" w14:textId="42498003" w:rsidR="0014009E" w:rsidRPr="00911998" w:rsidRDefault="0014009E" w:rsidP="0014009E">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[1988] 2 RCS</w:t>
      </w:r>
      <w:r w:rsidR="00FD6614" w:rsidRPr="00911998">
        <w:rPr>
          <w:rFonts w:cs="Arial"/>
        </w:rPr>
        <w:t> </w:t>
      </w:r>
      <w:r w:rsidRPr="00911998">
        <w:rPr>
          <w:rFonts w:cs="Arial"/>
        </w:rPr>
        <w:t>279, p. 291</w:t>
      </w:r>
      <w:r w:rsidRPr="00911998">
        <w:rPr>
          <w:rFonts w:cs="Arial"/>
        </w:rPr>
        <w:noBreakHyphen/>
        <w:t>293</w:t>
      </w:r>
      <w:r w:rsidR="00FD6614" w:rsidRPr="00911998">
        <w:rPr>
          <w:rFonts w:cs="Arial"/>
        </w:rPr>
        <w:t> </w:t>
      </w:r>
      <w:r w:rsidR="00DC6319" w:rsidRPr="00911998">
        <w:rPr>
          <w:rFonts w:cs="Arial"/>
        </w:rPr>
        <w:t xml:space="preserve">; </w:t>
      </w:r>
      <w:r w:rsidR="0002483B" w:rsidRPr="00911998">
        <w:rPr>
          <w:rFonts w:cs="Arial"/>
          <w:i/>
          <w:iCs/>
        </w:rPr>
        <w:t>Laroche c. Lamothe</w:t>
      </w:r>
      <w:r w:rsidR="0002483B" w:rsidRPr="00911998">
        <w:rPr>
          <w:rFonts w:cs="Arial"/>
        </w:rPr>
        <w:t xml:space="preserve">, </w:t>
      </w:r>
      <w:r w:rsidR="00882599" w:rsidRPr="00911998">
        <w:rPr>
          <w:rFonts w:cs="Arial"/>
        </w:rPr>
        <w:t>précité</w:t>
      </w:r>
      <w:r w:rsidR="0002483B" w:rsidRPr="00911998">
        <w:rPr>
          <w:rFonts w:cs="Arial"/>
        </w:rPr>
        <w:t>, par. 4</w:t>
      </w:r>
      <w:r w:rsidR="00882599" w:rsidRPr="00911998">
        <w:rPr>
          <w:rFonts w:cs="Arial"/>
        </w:rPr>
        <w:t>6</w:t>
      </w:r>
      <w:r w:rsidR="0002483B" w:rsidRPr="00911998">
        <w:rPr>
          <w:rFonts w:cs="Arial"/>
        </w:rPr>
        <w:t>.</w:t>
      </w:r>
    </w:p>
  </w:footnote>
  <w:footnote w:id="234">
    <w:p w14:paraId="581AB62A" w14:textId="33AEEC21" w:rsidR="0002483B" w:rsidRPr="00911998" w:rsidRDefault="0002483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C5316E" w:rsidRPr="00911998">
        <w:rPr>
          <w:rFonts w:cs="Arial"/>
          <w:i/>
          <w:iCs/>
        </w:rPr>
        <w:t>Syndicat canadien</w:t>
      </w:r>
      <w:r w:rsidR="00C5316E" w:rsidRPr="00911998">
        <w:rPr>
          <w:rFonts w:cs="Arial"/>
        </w:rPr>
        <w:t>, précité, par. 67</w:t>
      </w:r>
      <w:r w:rsidR="00C5316E" w:rsidRPr="00911998">
        <w:rPr>
          <w:rFonts w:cs="Arial"/>
        </w:rPr>
        <w:noBreakHyphen/>
        <w:t>76.</w:t>
      </w:r>
    </w:p>
  </w:footnote>
  <w:footnote w:id="235">
    <w:p w14:paraId="04A46BD2" w14:textId="77777777" w:rsidR="00FF0807" w:rsidRPr="00911998" w:rsidRDefault="00FF0807" w:rsidP="00FF0807">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71.</w:t>
      </w:r>
    </w:p>
  </w:footnote>
  <w:footnote w:id="236">
    <w:p w14:paraId="6BFC5E16" w14:textId="111182A7" w:rsidR="00362329" w:rsidRPr="00911998" w:rsidRDefault="00362329">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[1986] 1 </w:t>
      </w:r>
      <w:r w:rsidR="00D84E54" w:rsidRPr="00911998">
        <w:rPr>
          <w:rFonts w:cs="Arial"/>
        </w:rPr>
        <w:t>RCS</w:t>
      </w:r>
      <w:r w:rsidR="00513D85" w:rsidRPr="00911998">
        <w:rPr>
          <w:rFonts w:cs="Arial"/>
        </w:rPr>
        <w:t> </w:t>
      </w:r>
      <w:r w:rsidRPr="00911998">
        <w:rPr>
          <w:rFonts w:cs="Arial"/>
        </w:rPr>
        <w:t>103.</w:t>
      </w:r>
    </w:p>
  </w:footnote>
  <w:footnote w:id="237">
    <w:p w14:paraId="726F18FC" w14:textId="5ECF348C" w:rsidR="00B643C4" w:rsidRPr="00911998" w:rsidRDefault="00B643C4" w:rsidP="00B643C4">
      <w:pPr>
        <w:pStyle w:val="Notedebasdepage"/>
      </w:pPr>
      <w:r w:rsidRPr="00911998">
        <w:rPr>
          <w:rStyle w:val="Appelnotedebasdep"/>
        </w:rPr>
        <w:footnoteRef/>
      </w:r>
      <w:r w:rsidRPr="00911998">
        <w:t xml:space="preserve"> </w:t>
      </w:r>
      <w:r w:rsidRPr="00911998">
        <w:tab/>
        <w:t xml:space="preserve">Les Demandeurs n’ont pas plaidé que la limite ne résulte pas d’une règle de droit aux fins de l’article premier de la </w:t>
      </w:r>
      <w:r w:rsidRPr="00911998">
        <w:rPr>
          <w:i/>
          <w:iCs/>
        </w:rPr>
        <w:t>Charte canadienne</w:t>
      </w:r>
      <w:r w:rsidRPr="00911998">
        <w:t>. En l’absence d’arguments sur cette question, le Tribunal présumera</w:t>
      </w:r>
      <w:r w:rsidR="000417C7" w:rsidRPr="00911998">
        <w:t>,</w:t>
      </w:r>
      <w:r w:rsidRPr="00911998">
        <w:t xml:space="preserve"> pour les fins de l’analyse</w:t>
      </w:r>
      <w:r w:rsidR="000417C7" w:rsidRPr="00911998">
        <w:t>,</w:t>
      </w:r>
      <w:r w:rsidRPr="00911998">
        <w:t xml:space="preserve"> que cette exigence est satisfaite.</w:t>
      </w:r>
    </w:p>
  </w:footnote>
  <w:footnote w:id="238">
    <w:p w14:paraId="06054F5A" w14:textId="0657028A" w:rsidR="00366315" w:rsidRPr="00911998" w:rsidRDefault="00366315" w:rsidP="00366315">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D84E54" w:rsidRPr="00911998">
        <w:rPr>
          <w:rFonts w:cs="Arial"/>
          <w:i/>
          <w:iCs/>
        </w:rPr>
        <w:t xml:space="preserve">R. c. </w:t>
      </w:r>
      <w:proofErr w:type="spellStart"/>
      <w:r w:rsidR="00D84E54" w:rsidRPr="00911998">
        <w:rPr>
          <w:rFonts w:cs="Arial"/>
          <w:i/>
          <w:iCs/>
        </w:rPr>
        <w:t>Oakes</w:t>
      </w:r>
      <w:proofErr w:type="spellEnd"/>
      <w:r w:rsidR="00D84E54" w:rsidRPr="00911998">
        <w:rPr>
          <w:rFonts w:cs="Arial"/>
        </w:rPr>
        <w:t>, précité,</w:t>
      </w:r>
      <w:r w:rsidRPr="00911998">
        <w:rPr>
          <w:rFonts w:cs="Arial"/>
        </w:rPr>
        <w:t xml:space="preserve"> p. 138</w:t>
      </w:r>
      <w:r w:rsidRPr="00911998">
        <w:rPr>
          <w:rFonts w:cs="Arial"/>
        </w:rPr>
        <w:noBreakHyphen/>
        <w:t>140</w:t>
      </w:r>
      <w:r w:rsidR="00513D85" w:rsidRPr="00911998">
        <w:rPr>
          <w:rFonts w:cs="Arial"/>
        </w:rPr>
        <w:t> </w:t>
      </w:r>
      <w:r w:rsidRPr="00911998">
        <w:rPr>
          <w:rFonts w:cs="Arial"/>
        </w:rPr>
        <w:t xml:space="preserve">; </w:t>
      </w:r>
      <w:r w:rsidRPr="00911998">
        <w:rPr>
          <w:rFonts w:cs="Arial"/>
          <w:i/>
          <w:iCs/>
        </w:rPr>
        <w:t>Ontario c. G</w:t>
      </w:r>
      <w:r w:rsidRPr="00911998">
        <w:rPr>
          <w:rFonts w:cs="Arial"/>
        </w:rPr>
        <w:t xml:space="preserve">, </w:t>
      </w:r>
      <w:r w:rsidR="009A2B97" w:rsidRPr="00911998">
        <w:rPr>
          <w:rFonts w:cs="Arial"/>
        </w:rPr>
        <w:t>précité</w:t>
      </w:r>
      <w:r w:rsidRPr="00911998">
        <w:rPr>
          <w:rFonts w:cs="Arial"/>
        </w:rPr>
        <w:t>, par. </w:t>
      </w:r>
      <w:r w:rsidR="001113D5" w:rsidRPr="00911998">
        <w:rPr>
          <w:rFonts w:cs="Arial"/>
        </w:rPr>
        <w:t>7</w:t>
      </w:r>
      <w:r w:rsidRPr="00911998">
        <w:rPr>
          <w:rFonts w:cs="Arial"/>
        </w:rPr>
        <w:t>1</w:t>
      </w:r>
      <w:r w:rsidR="00513D85" w:rsidRPr="00911998">
        <w:rPr>
          <w:rFonts w:cs="Arial"/>
        </w:rPr>
        <w:t> </w:t>
      </w:r>
      <w:r w:rsidRPr="00911998">
        <w:rPr>
          <w:rFonts w:cs="Arial"/>
        </w:rPr>
        <w:t xml:space="preserve">; </w:t>
      </w:r>
      <w:r w:rsidRPr="00911998">
        <w:rPr>
          <w:rFonts w:cs="Arial"/>
          <w:i/>
          <w:iCs/>
        </w:rPr>
        <w:t>Frank c. Canada (Procureur général)</w:t>
      </w:r>
      <w:r w:rsidRPr="00911998">
        <w:rPr>
          <w:rFonts w:cs="Arial"/>
        </w:rPr>
        <w:t>, 2019</w:t>
      </w:r>
      <w:r w:rsidR="00513D85" w:rsidRPr="00911998">
        <w:rPr>
          <w:rFonts w:cs="Arial"/>
        </w:rPr>
        <w:t> </w:t>
      </w:r>
      <w:r w:rsidRPr="00911998">
        <w:rPr>
          <w:rFonts w:cs="Arial"/>
        </w:rPr>
        <w:t>CSC</w:t>
      </w:r>
      <w:r w:rsidR="00513D85" w:rsidRPr="00911998">
        <w:rPr>
          <w:rFonts w:cs="Arial"/>
        </w:rPr>
        <w:t> </w:t>
      </w:r>
      <w:r w:rsidRPr="00911998">
        <w:rPr>
          <w:rFonts w:cs="Arial"/>
        </w:rPr>
        <w:t>1, par. 38</w:t>
      </w:r>
      <w:r w:rsidR="004B4E1B" w:rsidRPr="00911998">
        <w:rPr>
          <w:rFonts w:cs="Arial"/>
        </w:rPr>
        <w:t xml:space="preserve"> [</w:t>
      </w:r>
      <w:r w:rsidR="004B4E1B" w:rsidRPr="00911998">
        <w:rPr>
          <w:rFonts w:cs="Arial"/>
          <w:b/>
          <w:bCs/>
          <w:i/>
          <w:iCs/>
        </w:rPr>
        <w:t>Frank</w:t>
      </w:r>
      <w:r w:rsidR="004B4E1B" w:rsidRPr="00911998">
        <w:rPr>
          <w:rFonts w:cs="Arial"/>
        </w:rPr>
        <w:t>]</w:t>
      </w:r>
      <w:r w:rsidR="00513D85" w:rsidRPr="00911998">
        <w:rPr>
          <w:rFonts w:cs="Arial"/>
        </w:rPr>
        <w:t> </w:t>
      </w:r>
      <w:r w:rsidRPr="00911998">
        <w:rPr>
          <w:rFonts w:cs="Arial"/>
        </w:rPr>
        <w:t xml:space="preserve">; </w:t>
      </w:r>
      <w:r w:rsidRPr="00911998">
        <w:rPr>
          <w:rFonts w:cs="Arial"/>
          <w:i/>
          <w:iCs/>
        </w:rPr>
        <w:t>Carter</w:t>
      </w:r>
      <w:r w:rsidRPr="00911998">
        <w:rPr>
          <w:rFonts w:cs="Arial"/>
        </w:rPr>
        <w:t xml:space="preserve">, </w:t>
      </w:r>
      <w:r w:rsidR="00D84E54" w:rsidRPr="00911998">
        <w:rPr>
          <w:rFonts w:cs="Arial"/>
        </w:rPr>
        <w:t>précité</w:t>
      </w:r>
      <w:r w:rsidRPr="00911998">
        <w:rPr>
          <w:rFonts w:cs="Arial"/>
        </w:rPr>
        <w:t>, par. 94</w:t>
      </w:r>
      <w:r w:rsidR="009861B3" w:rsidRPr="00911998">
        <w:rPr>
          <w:rFonts w:cs="Arial"/>
        </w:rPr>
        <w:t xml:space="preserve"> ; </w:t>
      </w:r>
      <w:r w:rsidR="009861B3" w:rsidRPr="00911998">
        <w:rPr>
          <w:rFonts w:cs="Arial"/>
          <w:i/>
          <w:iCs/>
        </w:rPr>
        <w:t>John Howard Society of Saskatchewan</w:t>
      </w:r>
      <w:r w:rsidR="00D84E54" w:rsidRPr="00911998">
        <w:rPr>
          <w:rFonts w:cs="Arial"/>
          <w:i/>
          <w:iCs/>
        </w:rPr>
        <w:t xml:space="preserve"> </w:t>
      </w:r>
      <w:r w:rsidR="009861B3" w:rsidRPr="00911998">
        <w:rPr>
          <w:rFonts w:cs="Arial"/>
          <w:i/>
          <w:iCs/>
        </w:rPr>
        <w:t>c.</w:t>
      </w:r>
      <w:r w:rsidR="00D84E54" w:rsidRPr="00911998">
        <w:rPr>
          <w:rFonts w:cs="Arial"/>
          <w:i/>
          <w:iCs/>
        </w:rPr>
        <w:t xml:space="preserve"> </w:t>
      </w:r>
      <w:r w:rsidR="009861B3" w:rsidRPr="00911998">
        <w:rPr>
          <w:rFonts w:cs="Arial"/>
          <w:i/>
          <w:iCs/>
        </w:rPr>
        <w:t>Saskatchewan (Procureur général)</w:t>
      </w:r>
      <w:r w:rsidR="009861B3" w:rsidRPr="00911998">
        <w:rPr>
          <w:rFonts w:cs="Arial"/>
        </w:rPr>
        <w:t>, 2025</w:t>
      </w:r>
      <w:r w:rsidR="00D84E54" w:rsidRPr="00911998">
        <w:rPr>
          <w:rFonts w:cs="Arial"/>
        </w:rPr>
        <w:t> </w:t>
      </w:r>
      <w:r w:rsidR="009861B3" w:rsidRPr="00911998">
        <w:rPr>
          <w:rFonts w:cs="Arial"/>
        </w:rPr>
        <w:t>CSC</w:t>
      </w:r>
      <w:r w:rsidR="00D84E54" w:rsidRPr="00911998">
        <w:rPr>
          <w:rFonts w:cs="Arial"/>
        </w:rPr>
        <w:t> </w:t>
      </w:r>
      <w:r w:rsidR="009861B3" w:rsidRPr="00911998">
        <w:rPr>
          <w:rFonts w:cs="Arial"/>
        </w:rPr>
        <w:t>6, par. 91 [</w:t>
      </w:r>
      <w:r w:rsidR="009861B3" w:rsidRPr="00911998">
        <w:rPr>
          <w:rFonts w:cs="Arial"/>
          <w:b/>
          <w:bCs/>
          <w:i/>
          <w:iCs/>
        </w:rPr>
        <w:t>John Howard Society</w:t>
      </w:r>
      <w:r w:rsidR="009861B3" w:rsidRPr="00911998">
        <w:rPr>
          <w:rFonts w:cs="Arial"/>
        </w:rPr>
        <w:t>]</w:t>
      </w:r>
      <w:r w:rsidRPr="00911998">
        <w:rPr>
          <w:rFonts w:cs="Arial"/>
        </w:rPr>
        <w:t>.</w:t>
      </w:r>
    </w:p>
    <w:p w14:paraId="37D6A7A5" w14:textId="14C1F408" w:rsidR="00366315" w:rsidRPr="00911998" w:rsidRDefault="00366315">
      <w:pPr>
        <w:pStyle w:val="Notedebasdepage"/>
        <w:rPr>
          <w:rFonts w:cs="Arial"/>
        </w:rPr>
      </w:pPr>
    </w:p>
  </w:footnote>
  <w:footnote w:id="239">
    <w:p w14:paraId="10FCF90B" w14:textId="231011C3" w:rsidR="004B4E1B" w:rsidRPr="00911998" w:rsidRDefault="004B4E1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Frank</w:t>
      </w:r>
      <w:r w:rsidRPr="00911998">
        <w:rPr>
          <w:rFonts w:cs="Arial"/>
        </w:rPr>
        <w:t>, précité, par. 46</w:t>
      </w:r>
      <w:r w:rsidR="005C3AA7" w:rsidRPr="00911998">
        <w:rPr>
          <w:rFonts w:cs="Arial"/>
        </w:rPr>
        <w:t> </w:t>
      </w:r>
      <w:r w:rsidR="001113D5" w:rsidRPr="00911998">
        <w:rPr>
          <w:rFonts w:cs="Arial"/>
        </w:rPr>
        <w:t xml:space="preserve">; </w:t>
      </w:r>
      <w:r w:rsidR="001113D5" w:rsidRPr="00911998">
        <w:rPr>
          <w:rFonts w:cs="Arial"/>
          <w:i/>
          <w:iCs/>
        </w:rPr>
        <w:t>Ontario c. G.</w:t>
      </w:r>
      <w:r w:rsidR="001113D5" w:rsidRPr="00911998">
        <w:rPr>
          <w:rFonts w:cs="Arial"/>
        </w:rPr>
        <w:t>, précité, par. 72</w:t>
      </w:r>
      <w:r w:rsidR="003B353B" w:rsidRPr="00911998">
        <w:rPr>
          <w:rFonts w:cs="Arial"/>
        </w:rPr>
        <w:t>.</w:t>
      </w:r>
      <w:r w:rsidRPr="00911998">
        <w:rPr>
          <w:rFonts w:cs="Arial"/>
        </w:rPr>
        <w:t xml:space="preserve"> </w:t>
      </w:r>
    </w:p>
  </w:footnote>
  <w:footnote w:id="240">
    <w:p w14:paraId="30ABC6B5" w14:textId="551B1F0F" w:rsidR="00E21CCA" w:rsidRPr="00911998" w:rsidRDefault="00E21CCA" w:rsidP="00E21CCA">
      <w:pPr>
        <w:pStyle w:val="Notedebasdepage"/>
        <w:rPr>
          <w:rFonts w:cs="Arial"/>
          <w:lang w:val="en-CA"/>
        </w:rPr>
      </w:pPr>
      <w:r w:rsidRPr="00911998">
        <w:rPr>
          <w:rStyle w:val="Appelnotedebasdep"/>
          <w:rFonts w:cs="Arial"/>
        </w:rPr>
        <w:footnoteRef/>
      </w:r>
      <w:r w:rsidRPr="00911998">
        <w:rPr>
          <w:rFonts w:cs="Arial"/>
          <w:lang w:val="en-CA"/>
        </w:rPr>
        <w:t xml:space="preserve"> </w:t>
      </w:r>
      <w:r w:rsidRPr="00911998">
        <w:rPr>
          <w:rFonts w:cs="Arial"/>
          <w:lang w:val="en-CA"/>
        </w:rPr>
        <w:tab/>
      </w:r>
      <w:r w:rsidRPr="00911998">
        <w:rPr>
          <w:i/>
          <w:iCs/>
          <w:lang w:val="en-CA"/>
        </w:rPr>
        <w:t>R. c. Big M Drug Mart Ltd.</w:t>
      </w:r>
      <w:r w:rsidRPr="00911998">
        <w:rPr>
          <w:lang w:val="en-CA"/>
        </w:rPr>
        <w:t>,</w:t>
      </w:r>
      <w:r w:rsidRPr="00911998">
        <w:rPr>
          <w:rFonts w:cs="Arial"/>
          <w:lang w:val="en-CA"/>
        </w:rPr>
        <w:t xml:space="preserve"> [1985] 1 RCS 295, p. 335.</w:t>
      </w:r>
    </w:p>
  </w:footnote>
  <w:footnote w:id="241">
    <w:p w14:paraId="47035206" w14:textId="220F41F4" w:rsidR="00CF1A06" w:rsidRPr="00911998" w:rsidRDefault="00CF1A06" w:rsidP="00CF1A06">
      <w:pPr>
        <w:pStyle w:val="Notedebasdepage"/>
        <w:rPr>
          <w:rFonts w:cs="Arial"/>
          <w:lang w:val="en-CA"/>
        </w:rPr>
      </w:pPr>
      <w:r w:rsidRPr="00911998">
        <w:rPr>
          <w:rStyle w:val="Appelnotedebasdep"/>
          <w:rFonts w:cs="Arial"/>
        </w:rPr>
        <w:footnoteRef/>
      </w:r>
      <w:r w:rsidRPr="00911998">
        <w:rPr>
          <w:rFonts w:cs="Arial"/>
          <w:lang w:val="en-CA"/>
        </w:rPr>
        <w:t xml:space="preserve"> </w:t>
      </w:r>
      <w:r w:rsidRPr="00911998">
        <w:rPr>
          <w:rFonts w:cs="Arial"/>
          <w:lang w:val="en-CA"/>
        </w:rPr>
        <w:tab/>
      </w:r>
      <w:r w:rsidRPr="00911998">
        <w:rPr>
          <w:rFonts w:cs="Arial"/>
          <w:i/>
          <w:iCs/>
          <w:lang w:val="en-CA"/>
        </w:rPr>
        <w:t>Alberta c. Hutterian Brethren of Wilson Colony</w:t>
      </w:r>
      <w:r w:rsidRPr="00911998">
        <w:rPr>
          <w:rFonts w:cs="Arial"/>
          <w:lang w:val="en-CA"/>
        </w:rPr>
        <w:t>, 2009 CSC</w:t>
      </w:r>
      <w:r w:rsidR="00792ED8" w:rsidRPr="00911998">
        <w:rPr>
          <w:rFonts w:cs="Arial"/>
          <w:lang w:val="en-CA"/>
        </w:rPr>
        <w:t> </w:t>
      </w:r>
      <w:r w:rsidRPr="00911998">
        <w:rPr>
          <w:rFonts w:cs="Arial"/>
          <w:lang w:val="en-CA"/>
        </w:rPr>
        <w:t>37, par. 48</w:t>
      </w:r>
      <w:r w:rsidR="00C07B3B" w:rsidRPr="00911998">
        <w:rPr>
          <w:rFonts w:cs="Arial"/>
          <w:lang w:val="en-CA"/>
        </w:rPr>
        <w:t xml:space="preserve"> [</w:t>
      </w:r>
      <w:r w:rsidR="00C07B3B" w:rsidRPr="00911998">
        <w:rPr>
          <w:rFonts w:cs="Arial"/>
          <w:b/>
          <w:bCs/>
          <w:i/>
          <w:iCs/>
          <w:lang w:val="en-CA"/>
        </w:rPr>
        <w:t>Hutterian Brethren</w:t>
      </w:r>
      <w:r w:rsidR="00C07B3B" w:rsidRPr="00911998">
        <w:rPr>
          <w:rFonts w:cs="Arial"/>
          <w:lang w:val="en-CA"/>
        </w:rPr>
        <w:t>]</w:t>
      </w:r>
      <w:r w:rsidRPr="00911998">
        <w:rPr>
          <w:rFonts w:cs="Arial"/>
          <w:lang w:val="en-CA"/>
        </w:rPr>
        <w:t>.</w:t>
      </w:r>
    </w:p>
  </w:footnote>
  <w:footnote w:id="242">
    <w:p w14:paraId="0807E2E8" w14:textId="7D02DB07" w:rsidR="00C07B3B" w:rsidRPr="00911998" w:rsidRDefault="00C07B3B" w:rsidP="00C07B3B">
      <w:pPr>
        <w:pStyle w:val="Notedebasdepage"/>
        <w:rPr>
          <w:rFonts w:cs="Arial"/>
          <w:lang w:eastAsia="fr-CA"/>
        </w:rPr>
      </w:pPr>
      <w:r w:rsidRPr="00911998">
        <w:rPr>
          <w:rStyle w:val="Appelnotedebasdep"/>
          <w:rFonts w:cs="Arial"/>
        </w:rPr>
        <w:footnoteRef/>
      </w:r>
      <w:r w:rsidRPr="00911998">
        <w:rPr>
          <w:rFonts w:cs="Arial"/>
        </w:rPr>
        <w:t xml:space="preserve"> </w:t>
      </w:r>
      <w:r w:rsidRPr="00911998">
        <w:rPr>
          <w:rFonts w:cs="Arial"/>
        </w:rPr>
        <w:tab/>
      </w:r>
      <w:r w:rsidRPr="00911998">
        <w:rPr>
          <w:rFonts w:cs="Arial"/>
          <w:lang w:eastAsia="fr-CA"/>
        </w:rPr>
        <w:t>[1995] 3 RCS</w:t>
      </w:r>
      <w:r w:rsidR="00FE6CC3" w:rsidRPr="00911998">
        <w:rPr>
          <w:rFonts w:cs="Arial"/>
          <w:lang w:eastAsia="fr-CA"/>
        </w:rPr>
        <w:t> </w:t>
      </w:r>
      <w:r w:rsidRPr="00911998">
        <w:rPr>
          <w:rFonts w:cs="Arial"/>
          <w:lang w:eastAsia="fr-CA"/>
        </w:rPr>
        <w:t>199, par. 160</w:t>
      </w:r>
      <w:r w:rsidR="006A08C5" w:rsidRPr="00911998">
        <w:rPr>
          <w:rFonts w:cs="Arial"/>
          <w:lang w:eastAsia="fr-CA"/>
        </w:rPr>
        <w:t xml:space="preserve"> [</w:t>
      </w:r>
      <w:r w:rsidR="006A08C5" w:rsidRPr="00911998">
        <w:rPr>
          <w:b/>
          <w:bCs/>
          <w:i/>
          <w:iCs/>
        </w:rPr>
        <w:t>RJR-MacDonald</w:t>
      </w:r>
      <w:r w:rsidR="006A08C5" w:rsidRPr="00911998">
        <w:rPr>
          <w:rFonts w:cs="Arial"/>
          <w:lang w:eastAsia="fr-CA"/>
        </w:rPr>
        <w:t>] </w:t>
      </w:r>
      <w:r w:rsidRPr="00911998">
        <w:rPr>
          <w:rFonts w:cs="Arial"/>
          <w:lang w:eastAsia="fr-CA"/>
        </w:rPr>
        <w:t xml:space="preserve">; </w:t>
      </w:r>
      <w:proofErr w:type="spellStart"/>
      <w:r w:rsidRPr="00911998">
        <w:rPr>
          <w:rFonts w:cs="Arial"/>
          <w:i/>
          <w:iCs/>
        </w:rPr>
        <w:t>Hutterian</w:t>
      </w:r>
      <w:proofErr w:type="spellEnd"/>
      <w:r w:rsidRPr="00911998">
        <w:rPr>
          <w:rFonts w:cs="Arial"/>
          <w:i/>
          <w:iCs/>
        </w:rPr>
        <w:t xml:space="preserve"> </w:t>
      </w:r>
      <w:proofErr w:type="spellStart"/>
      <w:r w:rsidRPr="00911998">
        <w:rPr>
          <w:rFonts w:cs="Arial"/>
          <w:i/>
          <w:iCs/>
        </w:rPr>
        <w:t>Brethren</w:t>
      </w:r>
      <w:proofErr w:type="spellEnd"/>
      <w:r w:rsidRPr="00911998">
        <w:rPr>
          <w:rFonts w:cs="Arial"/>
        </w:rPr>
        <w:t>, précité, par. 53</w:t>
      </w:r>
      <w:r w:rsidR="006A08C5" w:rsidRPr="00911998">
        <w:rPr>
          <w:rFonts w:cs="Arial"/>
        </w:rPr>
        <w:noBreakHyphen/>
        <w:t>54</w:t>
      </w:r>
      <w:r w:rsidRPr="00911998">
        <w:rPr>
          <w:rFonts w:cs="Arial"/>
        </w:rPr>
        <w:t>.</w:t>
      </w:r>
    </w:p>
    <w:p w14:paraId="66F43572" w14:textId="52FD839F" w:rsidR="00C07B3B" w:rsidRPr="00911998" w:rsidRDefault="00C07B3B">
      <w:pPr>
        <w:pStyle w:val="Notedebasdepage"/>
        <w:rPr>
          <w:rFonts w:cs="Arial"/>
        </w:rPr>
      </w:pPr>
    </w:p>
  </w:footnote>
  <w:footnote w:id="243">
    <w:p w14:paraId="627945D0" w14:textId="4BFB02A8" w:rsidR="00B32629" w:rsidRPr="00911998" w:rsidRDefault="00B32629">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proofErr w:type="spellStart"/>
      <w:r w:rsidR="00331BD4" w:rsidRPr="00911998">
        <w:rPr>
          <w:rFonts w:cs="Arial"/>
          <w:i/>
          <w:iCs/>
        </w:rPr>
        <w:t>Hutterian</w:t>
      </w:r>
      <w:proofErr w:type="spellEnd"/>
      <w:r w:rsidR="00331BD4" w:rsidRPr="00911998">
        <w:rPr>
          <w:rFonts w:cs="Arial"/>
          <w:i/>
          <w:iCs/>
        </w:rPr>
        <w:t xml:space="preserve"> </w:t>
      </w:r>
      <w:proofErr w:type="spellStart"/>
      <w:r w:rsidR="00331BD4" w:rsidRPr="00911998">
        <w:rPr>
          <w:rFonts w:cs="Arial"/>
          <w:i/>
          <w:iCs/>
        </w:rPr>
        <w:t>Brethren</w:t>
      </w:r>
      <w:proofErr w:type="spellEnd"/>
      <w:r w:rsidR="00331BD4" w:rsidRPr="00911998">
        <w:rPr>
          <w:rFonts w:cs="Arial"/>
        </w:rPr>
        <w:t>, précité, par. 55</w:t>
      </w:r>
      <w:r w:rsidR="00843182" w:rsidRPr="00911998">
        <w:rPr>
          <w:rFonts w:cs="Arial"/>
        </w:rPr>
        <w:t> ;</w:t>
      </w:r>
      <w:r w:rsidR="002A228B" w:rsidRPr="00911998">
        <w:rPr>
          <w:rFonts w:cs="Arial"/>
        </w:rPr>
        <w:t xml:space="preserve"> </w:t>
      </w:r>
      <w:r w:rsidR="002A228B" w:rsidRPr="00911998">
        <w:rPr>
          <w:rFonts w:cs="Arial"/>
          <w:i/>
          <w:iCs/>
        </w:rPr>
        <w:t>John Howard Society</w:t>
      </w:r>
      <w:r w:rsidR="002A228B" w:rsidRPr="00911998">
        <w:rPr>
          <w:rFonts w:cs="Arial"/>
        </w:rPr>
        <w:t>, précité, par. 95</w:t>
      </w:r>
      <w:r w:rsidR="00331BD4" w:rsidRPr="00911998">
        <w:rPr>
          <w:rFonts w:cs="Arial"/>
        </w:rPr>
        <w:t>.</w:t>
      </w:r>
    </w:p>
  </w:footnote>
  <w:footnote w:id="244">
    <w:p w14:paraId="19D807FB" w14:textId="46FA03B7" w:rsidR="00A06605" w:rsidRPr="00911998" w:rsidRDefault="00A06605">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6A08C5" w:rsidRPr="00911998">
        <w:rPr>
          <w:rFonts w:cs="Arial"/>
        </w:rPr>
        <w:t>Précitée</w:t>
      </w:r>
      <w:r w:rsidRPr="00911998">
        <w:rPr>
          <w:rFonts w:cs="Arial"/>
        </w:rPr>
        <w:t>.</w:t>
      </w:r>
    </w:p>
  </w:footnote>
  <w:footnote w:id="245">
    <w:p w14:paraId="1CB6E326" w14:textId="6FFE03C4" w:rsidR="00A06605" w:rsidRPr="00911998" w:rsidRDefault="00A06605">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La notion de « </w:t>
      </w:r>
      <w:proofErr w:type="spellStart"/>
      <w:r w:rsidRPr="00911998">
        <w:rPr>
          <w:rFonts w:cs="Arial"/>
        </w:rPr>
        <w:t>intended</w:t>
      </w:r>
      <w:proofErr w:type="spellEnd"/>
      <w:r w:rsidRPr="00911998">
        <w:rPr>
          <w:rFonts w:cs="Arial"/>
        </w:rPr>
        <w:t xml:space="preserve"> parent » ou</w:t>
      </w:r>
      <w:r w:rsidR="00471358" w:rsidRPr="00911998">
        <w:rPr>
          <w:rFonts w:cs="Arial"/>
        </w:rPr>
        <w:t xml:space="preserve"> de</w:t>
      </w:r>
      <w:r w:rsidRPr="00911998">
        <w:rPr>
          <w:rFonts w:cs="Arial"/>
        </w:rPr>
        <w:t xml:space="preserve"> « </w:t>
      </w:r>
      <w:proofErr w:type="spellStart"/>
      <w:r w:rsidRPr="00911998">
        <w:rPr>
          <w:rFonts w:cs="Arial"/>
        </w:rPr>
        <w:t>intended</w:t>
      </w:r>
      <w:proofErr w:type="spellEnd"/>
      <w:r w:rsidRPr="00911998">
        <w:rPr>
          <w:rFonts w:cs="Arial"/>
        </w:rPr>
        <w:t xml:space="preserve"> parents » est définie à l’article 20(1) de la </w:t>
      </w:r>
      <w:r w:rsidRPr="00911998">
        <w:rPr>
          <w:rFonts w:cs="Arial"/>
          <w:i/>
          <w:iCs/>
        </w:rPr>
        <w:t xml:space="preserve">Family Law </w:t>
      </w:r>
      <w:proofErr w:type="spellStart"/>
      <w:r w:rsidRPr="00911998">
        <w:rPr>
          <w:rFonts w:cs="Arial"/>
          <w:i/>
          <w:iCs/>
        </w:rPr>
        <w:t>Act</w:t>
      </w:r>
      <w:proofErr w:type="spellEnd"/>
      <w:r w:rsidRPr="00911998">
        <w:rPr>
          <w:rFonts w:cs="Arial"/>
          <w:i/>
          <w:iCs/>
        </w:rPr>
        <w:t> </w:t>
      </w:r>
      <w:r w:rsidRPr="00911998">
        <w:rPr>
          <w:rFonts w:cs="Arial"/>
        </w:rPr>
        <w:t>:</w:t>
      </w:r>
    </w:p>
    <w:p w14:paraId="6BC305DD" w14:textId="77777777" w:rsidR="00AB53B5" w:rsidRPr="00911998" w:rsidRDefault="00AB53B5">
      <w:pPr>
        <w:pStyle w:val="Notedebasdepage"/>
        <w:rPr>
          <w:rFonts w:cs="Arial"/>
        </w:rPr>
      </w:pPr>
    </w:p>
    <w:p w14:paraId="283050E0" w14:textId="78935B7D" w:rsidR="00947303" w:rsidRPr="00911998" w:rsidRDefault="00AB53B5" w:rsidP="00AB53B5">
      <w:pPr>
        <w:ind w:left="567" w:right="560"/>
        <w:jc w:val="both"/>
        <w:rPr>
          <w:rFonts w:cs="Arial"/>
          <w:i/>
          <w:iCs/>
          <w:sz w:val="20"/>
          <w:lang w:val="en-CA"/>
        </w:rPr>
      </w:pPr>
      <w:r w:rsidRPr="00911998">
        <w:rPr>
          <w:rFonts w:cs="Arial"/>
          <w:b/>
          <w:bCs/>
          <w:i/>
          <w:iCs/>
          <w:sz w:val="20"/>
          <w:lang w:val="en-CA"/>
        </w:rPr>
        <w:t>“</w:t>
      </w:r>
      <w:proofErr w:type="gramStart"/>
      <w:r w:rsidR="00947303" w:rsidRPr="00911998">
        <w:rPr>
          <w:rFonts w:cs="Arial"/>
          <w:b/>
          <w:bCs/>
          <w:i/>
          <w:iCs/>
          <w:sz w:val="20"/>
          <w:lang w:val="en-CA"/>
        </w:rPr>
        <w:t>intended</w:t>
      </w:r>
      <w:proofErr w:type="gramEnd"/>
      <w:r w:rsidR="00947303" w:rsidRPr="00911998">
        <w:rPr>
          <w:rFonts w:cs="Arial"/>
          <w:b/>
          <w:bCs/>
          <w:i/>
          <w:iCs/>
          <w:sz w:val="20"/>
          <w:lang w:val="en-CA"/>
        </w:rPr>
        <w:t xml:space="preserve"> parent</w:t>
      </w:r>
      <w:r w:rsidRPr="00911998">
        <w:rPr>
          <w:rFonts w:cs="Arial"/>
          <w:b/>
          <w:bCs/>
          <w:i/>
          <w:iCs/>
          <w:sz w:val="20"/>
          <w:lang w:val="en-CA"/>
        </w:rPr>
        <w:t>”</w:t>
      </w:r>
      <w:r w:rsidR="00947303" w:rsidRPr="00911998">
        <w:rPr>
          <w:rFonts w:cs="Arial"/>
          <w:i/>
          <w:iCs/>
          <w:sz w:val="20"/>
          <w:lang w:val="en-CA"/>
        </w:rPr>
        <w:t> or </w:t>
      </w:r>
      <w:r w:rsidRPr="00911998">
        <w:rPr>
          <w:rFonts w:cs="Arial"/>
          <w:b/>
          <w:bCs/>
          <w:i/>
          <w:iCs/>
          <w:sz w:val="20"/>
          <w:lang w:val="en-CA"/>
        </w:rPr>
        <w:t>“</w:t>
      </w:r>
      <w:r w:rsidR="00947303" w:rsidRPr="00911998">
        <w:rPr>
          <w:rFonts w:cs="Arial"/>
          <w:b/>
          <w:bCs/>
          <w:i/>
          <w:iCs/>
          <w:sz w:val="20"/>
          <w:lang w:val="en-CA"/>
        </w:rPr>
        <w:t>intended parents</w:t>
      </w:r>
      <w:r w:rsidRPr="00911998">
        <w:rPr>
          <w:rFonts w:cs="Arial"/>
          <w:b/>
          <w:bCs/>
          <w:i/>
          <w:iCs/>
          <w:sz w:val="20"/>
          <w:lang w:val="en-CA"/>
        </w:rPr>
        <w:t>”</w:t>
      </w:r>
      <w:r w:rsidR="00947303" w:rsidRPr="00911998">
        <w:rPr>
          <w:rFonts w:cs="Arial"/>
          <w:i/>
          <w:iCs/>
          <w:sz w:val="20"/>
          <w:lang w:val="en-CA"/>
        </w:rPr>
        <w:t> means a person who intends, or 2 persons who are married or in a marriage-like relationship who intend, to be a parent of a child and, for that purpose, the person makes or the 2 persons make an agreement with another person before the child is conceived that</w:t>
      </w:r>
    </w:p>
    <w:p w14:paraId="629C68E2" w14:textId="77777777" w:rsidR="00AB53B5" w:rsidRPr="00911998" w:rsidRDefault="00AB53B5" w:rsidP="00AB53B5">
      <w:pPr>
        <w:ind w:left="567" w:right="560"/>
        <w:jc w:val="both"/>
        <w:rPr>
          <w:rFonts w:cs="Arial"/>
          <w:i/>
          <w:iCs/>
          <w:sz w:val="20"/>
          <w:lang w:val="en-CA"/>
        </w:rPr>
      </w:pPr>
    </w:p>
    <w:p w14:paraId="609B62B6" w14:textId="2B5AC655" w:rsidR="00947303" w:rsidRPr="00911998" w:rsidRDefault="00947303" w:rsidP="00AB53B5">
      <w:pPr>
        <w:ind w:left="567" w:right="560" w:firstLine="164"/>
        <w:jc w:val="both"/>
        <w:rPr>
          <w:rFonts w:cs="Arial"/>
          <w:i/>
          <w:iCs/>
          <w:sz w:val="20"/>
          <w:lang w:val="en-CA"/>
        </w:rPr>
      </w:pPr>
      <w:bookmarkStart w:id="71" w:name="d2e2044"/>
      <w:bookmarkEnd w:id="71"/>
      <w:r w:rsidRPr="00911998">
        <w:rPr>
          <w:rFonts w:cs="Arial"/>
          <w:i/>
          <w:iCs/>
          <w:sz w:val="20"/>
          <w:lang w:val="en-CA"/>
        </w:rPr>
        <w:t>(a)</w:t>
      </w:r>
      <w:r w:rsidR="00AB53B5" w:rsidRPr="00911998">
        <w:rPr>
          <w:rFonts w:cs="Arial"/>
          <w:i/>
          <w:iCs/>
          <w:sz w:val="20"/>
          <w:lang w:val="en-CA"/>
        </w:rPr>
        <w:t> </w:t>
      </w:r>
      <w:r w:rsidRPr="00911998">
        <w:rPr>
          <w:rFonts w:cs="Arial"/>
          <w:i/>
          <w:iCs/>
          <w:sz w:val="20"/>
          <w:lang w:val="en-CA"/>
        </w:rPr>
        <w:t>the other person will be the birth mother of a child conceived through assisted reproduction, and</w:t>
      </w:r>
    </w:p>
    <w:p w14:paraId="1B8729C9" w14:textId="77777777" w:rsidR="00AB53B5" w:rsidRPr="00911998" w:rsidRDefault="00AB53B5" w:rsidP="00AB53B5">
      <w:pPr>
        <w:ind w:left="567" w:right="560" w:firstLine="164"/>
        <w:jc w:val="both"/>
        <w:rPr>
          <w:rFonts w:cs="Arial"/>
          <w:i/>
          <w:iCs/>
          <w:sz w:val="20"/>
          <w:lang w:val="en-CA"/>
        </w:rPr>
      </w:pPr>
    </w:p>
    <w:p w14:paraId="4426C8F1" w14:textId="52858B88" w:rsidR="00947303" w:rsidRPr="00911998" w:rsidRDefault="00947303" w:rsidP="00AB53B5">
      <w:pPr>
        <w:ind w:left="567" w:right="560" w:firstLine="164"/>
        <w:jc w:val="both"/>
        <w:rPr>
          <w:rFonts w:cs="Arial"/>
          <w:sz w:val="20"/>
          <w:lang w:val="en-CA"/>
        </w:rPr>
      </w:pPr>
      <w:bookmarkStart w:id="72" w:name="d2e2053"/>
      <w:bookmarkEnd w:id="72"/>
      <w:r w:rsidRPr="00911998">
        <w:rPr>
          <w:rFonts w:cs="Arial"/>
          <w:i/>
          <w:iCs/>
          <w:sz w:val="20"/>
          <w:lang w:val="en-CA"/>
        </w:rPr>
        <w:t>(b)</w:t>
      </w:r>
      <w:r w:rsidR="00AB53B5" w:rsidRPr="00911998">
        <w:rPr>
          <w:rFonts w:cs="Arial"/>
          <w:i/>
          <w:iCs/>
          <w:sz w:val="20"/>
          <w:lang w:val="en-CA"/>
        </w:rPr>
        <w:t> </w:t>
      </w:r>
      <w:r w:rsidRPr="00911998">
        <w:rPr>
          <w:rFonts w:cs="Arial"/>
          <w:i/>
          <w:iCs/>
          <w:sz w:val="20"/>
          <w:lang w:val="en-CA"/>
        </w:rPr>
        <w:t>the person, or the 2 persons, will be the child</w:t>
      </w:r>
      <w:r w:rsidR="00971129" w:rsidRPr="00911998">
        <w:rPr>
          <w:rFonts w:cs="Arial"/>
          <w:i/>
          <w:iCs/>
          <w:sz w:val="20"/>
          <w:lang w:val="en-CA"/>
        </w:rPr>
        <w:t>’</w:t>
      </w:r>
      <w:r w:rsidRPr="00911998">
        <w:rPr>
          <w:rFonts w:cs="Arial"/>
          <w:i/>
          <w:iCs/>
          <w:sz w:val="20"/>
          <w:lang w:val="en-CA"/>
        </w:rPr>
        <w:t>s parent or parents on the child</w:t>
      </w:r>
      <w:r w:rsidR="00971129" w:rsidRPr="00911998">
        <w:rPr>
          <w:rFonts w:cs="Arial"/>
          <w:i/>
          <w:iCs/>
          <w:sz w:val="20"/>
          <w:lang w:val="en-CA"/>
        </w:rPr>
        <w:t>’</w:t>
      </w:r>
      <w:r w:rsidRPr="00911998">
        <w:rPr>
          <w:rFonts w:cs="Arial"/>
          <w:i/>
          <w:iCs/>
          <w:sz w:val="20"/>
          <w:lang w:val="en-CA"/>
        </w:rPr>
        <w:t>s birth, regardless of whether that person</w:t>
      </w:r>
      <w:r w:rsidR="00971129" w:rsidRPr="00911998">
        <w:rPr>
          <w:rFonts w:cs="Arial"/>
          <w:i/>
          <w:iCs/>
          <w:sz w:val="20"/>
          <w:lang w:val="en-CA"/>
        </w:rPr>
        <w:t>’</w:t>
      </w:r>
      <w:r w:rsidRPr="00911998">
        <w:rPr>
          <w:rFonts w:cs="Arial"/>
          <w:i/>
          <w:iCs/>
          <w:sz w:val="20"/>
          <w:lang w:val="en-CA"/>
        </w:rPr>
        <w:t>s or those persons</w:t>
      </w:r>
      <w:r w:rsidR="00971129" w:rsidRPr="00911998">
        <w:rPr>
          <w:rFonts w:cs="Arial"/>
          <w:i/>
          <w:iCs/>
          <w:sz w:val="20"/>
          <w:lang w:val="en-CA"/>
        </w:rPr>
        <w:t>’</w:t>
      </w:r>
      <w:r w:rsidRPr="00911998">
        <w:rPr>
          <w:rFonts w:cs="Arial"/>
          <w:i/>
          <w:iCs/>
          <w:sz w:val="20"/>
          <w:lang w:val="en-CA"/>
        </w:rPr>
        <w:t xml:space="preserve"> human reproductive material was used in the child</w:t>
      </w:r>
      <w:r w:rsidR="00971129" w:rsidRPr="00911998">
        <w:rPr>
          <w:rFonts w:cs="Arial"/>
          <w:i/>
          <w:iCs/>
          <w:sz w:val="20"/>
          <w:lang w:val="en-CA"/>
        </w:rPr>
        <w:t>’</w:t>
      </w:r>
      <w:r w:rsidRPr="00911998">
        <w:rPr>
          <w:rFonts w:cs="Arial"/>
          <w:i/>
          <w:iCs/>
          <w:sz w:val="20"/>
          <w:lang w:val="en-CA"/>
        </w:rPr>
        <w:t>s conception.</w:t>
      </w:r>
    </w:p>
    <w:p w14:paraId="7894E0EF" w14:textId="77777777" w:rsidR="00A06605" w:rsidRPr="00911998" w:rsidRDefault="00A06605">
      <w:pPr>
        <w:pStyle w:val="Notedebasdepage"/>
        <w:rPr>
          <w:rFonts w:cs="Arial"/>
          <w:lang w:val="en-CA"/>
        </w:rPr>
      </w:pPr>
    </w:p>
  </w:footnote>
  <w:footnote w:id="246">
    <w:p w14:paraId="6A5C05CF" w14:textId="4D6C5228" w:rsidR="00203E97" w:rsidRPr="00911998" w:rsidRDefault="00203E97">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6A08C5" w:rsidRPr="00911998">
        <w:rPr>
          <w:rFonts w:cs="Arial"/>
        </w:rPr>
        <w:t>Précitée</w:t>
      </w:r>
      <w:r w:rsidRPr="00911998">
        <w:rPr>
          <w:rFonts w:cs="Arial"/>
        </w:rPr>
        <w:t>.</w:t>
      </w:r>
      <w:r w:rsidR="00405F56" w:rsidRPr="00911998">
        <w:rPr>
          <w:rFonts w:cs="Arial"/>
        </w:rPr>
        <w:t xml:space="preserve"> Voir également l’article 10 qui admet quatre parents potentiels en </w:t>
      </w:r>
      <w:r w:rsidR="00A257E2" w:rsidRPr="00911998">
        <w:rPr>
          <w:rFonts w:cs="Arial"/>
        </w:rPr>
        <w:t>cas</w:t>
      </w:r>
      <w:r w:rsidR="00405F56" w:rsidRPr="00911998">
        <w:rPr>
          <w:rFonts w:cs="Arial"/>
        </w:rPr>
        <w:t xml:space="preserve"> de gestation pour autrui.</w:t>
      </w:r>
    </w:p>
  </w:footnote>
  <w:footnote w:id="247">
    <w:p w14:paraId="6E1E80E9" w14:textId="1FCD6526" w:rsidR="004016D8" w:rsidRPr="00911998" w:rsidRDefault="004016D8">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6A08C5" w:rsidRPr="00911998">
        <w:rPr>
          <w:rFonts w:cs="Arial"/>
        </w:rPr>
        <w:t>Précitée</w:t>
      </w:r>
      <w:r w:rsidRPr="00911998">
        <w:rPr>
          <w:rFonts w:cs="Arial"/>
        </w:rPr>
        <w:t>.</w:t>
      </w:r>
    </w:p>
  </w:footnote>
  <w:footnote w:id="248">
    <w:p w14:paraId="607647B9" w14:textId="43723919" w:rsidR="00E25F08" w:rsidRPr="00911998" w:rsidRDefault="00E25F08">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6A08C5" w:rsidRPr="00911998">
        <w:rPr>
          <w:rFonts w:cs="Arial"/>
        </w:rPr>
        <w:t>Précitée</w:t>
      </w:r>
      <w:r w:rsidRPr="00911998">
        <w:rPr>
          <w:rFonts w:cs="Arial"/>
        </w:rPr>
        <w:t>. Voir également le paragraphe 7(1).</w:t>
      </w:r>
    </w:p>
  </w:footnote>
  <w:footnote w:id="249">
    <w:p w14:paraId="401E773A" w14:textId="77777777" w:rsidR="00B06112" w:rsidRPr="00911998" w:rsidRDefault="00B06112" w:rsidP="00B06112">
      <w:pPr>
        <w:pStyle w:val="Notedebasdepage"/>
      </w:pPr>
      <w:r w:rsidRPr="00911998">
        <w:rPr>
          <w:rStyle w:val="Appelnotedebasdep"/>
        </w:rPr>
        <w:footnoteRef/>
      </w:r>
      <w:r w:rsidRPr="00911998">
        <w:t xml:space="preserve"> </w:t>
      </w:r>
      <w:r w:rsidRPr="00911998">
        <w:tab/>
        <w:t xml:space="preserve">Voir par analogie : </w:t>
      </w:r>
      <w:proofErr w:type="spellStart"/>
      <w:r w:rsidRPr="00911998">
        <w:rPr>
          <w:i/>
          <w:iCs/>
        </w:rPr>
        <w:t>Charkaoui</w:t>
      </w:r>
      <w:proofErr w:type="spellEnd"/>
      <w:r w:rsidRPr="00911998">
        <w:rPr>
          <w:i/>
          <w:iCs/>
        </w:rPr>
        <w:t xml:space="preserve"> c. Canada (Citoyenneté et Immigration)</w:t>
      </w:r>
      <w:r w:rsidRPr="00911998">
        <w:t>, 2007 CSC 9, par. 85</w:t>
      </w:r>
      <w:r w:rsidRPr="00911998">
        <w:noBreakHyphen/>
        <w:t>87</w:t>
      </w:r>
    </w:p>
  </w:footnote>
  <w:footnote w:id="250">
    <w:p w14:paraId="25230696" w14:textId="319B27BA" w:rsidR="005A74C0" w:rsidRPr="00911998" w:rsidRDefault="005A74C0">
      <w:pPr>
        <w:pStyle w:val="Notedebasdepage"/>
      </w:pPr>
      <w:r w:rsidRPr="00911998">
        <w:rPr>
          <w:rStyle w:val="Appelnotedebasdep"/>
        </w:rPr>
        <w:footnoteRef/>
      </w:r>
      <w:r w:rsidRPr="00911998">
        <w:t xml:space="preserve"> </w:t>
      </w:r>
      <w:r w:rsidRPr="00911998">
        <w:tab/>
        <w:t xml:space="preserve">Voir : </w:t>
      </w:r>
      <w:r w:rsidRPr="00911998">
        <w:rPr>
          <w:i/>
          <w:iCs/>
        </w:rPr>
        <w:t>RJR-MacDonald</w:t>
      </w:r>
      <w:r w:rsidRPr="00911998">
        <w:t xml:space="preserve">, </w:t>
      </w:r>
      <w:r w:rsidR="006A08C5" w:rsidRPr="00911998">
        <w:t>précité</w:t>
      </w:r>
      <w:r w:rsidRPr="00911998">
        <w:t>, par. 1</w:t>
      </w:r>
      <w:r w:rsidR="000943E4" w:rsidRPr="00911998">
        <w:t>4</w:t>
      </w:r>
      <w:r w:rsidRPr="00911998">
        <w:t>9</w:t>
      </w:r>
      <w:r w:rsidR="000943E4" w:rsidRPr="00911998">
        <w:t xml:space="preserve"> et 152</w:t>
      </w:r>
      <w:r w:rsidRPr="00911998">
        <w:t>.</w:t>
      </w:r>
    </w:p>
  </w:footnote>
  <w:footnote w:id="251">
    <w:p w14:paraId="24A79392" w14:textId="77777777" w:rsidR="003860A4" w:rsidRPr="00911998" w:rsidRDefault="003860A4" w:rsidP="003860A4">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proofErr w:type="spellStart"/>
      <w:r w:rsidRPr="00911998">
        <w:rPr>
          <w:rFonts w:cs="Arial"/>
          <w:i/>
          <w:iCs/>
        </w:rPr>
        <w:t>Hutterian</w:t>
      </w:r>
      <w:proofErr w:type="spellEnd"/>
      <w:r w:rsidRPr="00911998">
        <w:rPr>
          <w:rFonts w:cs="Arial"/>
          <w:i/>
          <w:iCs/>
        </w:rPr>
        <w:t xml:space="preserve"> </w:t>
      </w:r>
      <w:proofErr w:type="spellStart"/>
      <w:r w:rsidRPr="00911998">
        <w:rPr>
          <w:rFonts w:cs="Arial"/>
          <w:i/>
          <w:iCs/>
        </w:rPr>
        <w:t>Brethren</w:t>
      </w:r>
      <w:proofErr w:type="spellEnd"/>
      <w:r w:rsidRPr="00911998">
        <w:rPr>
          <w:rFonts w:cs="Arial"/>
        </w:rPr>
        <w:t>, précité, par. 55.</w:t>
      </w:r>
    </w:p>
  </w:footnote>
  <w:footnote w:id="252">
    <w:p w14:paraId="113F960F" w14:textId="77777777" w:rsidR="00B32629" w:rsidRPr="00911998" w:rsidRDefault="00B32629" w:rsidP="00B32629">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proofErr w:type="spellStart"/>
      <w:r w:rsidRPr="00911998">
        <w:rPr>
          <w:rFonts w:cs="Arial"/>
          <w:i/>
          <w:iCs/>
        </w:rPr>
        <w:t>Chaoulli</w:t>
      </w:r>
      <w:proofErr w:type="spellEnd"/>
      <w:r w:rsidRPr="00911998">
        <w:rPr>
          <w:rFonts w:cs="Arial"/>
        </w:rPr>
        <w:t>, précité, par. 87.</w:t>
      </w:r>
    </w:p>
  </w:footnote>
  <w:footnote w:id="253">
    <w:p w14:paraId="34967CF8" w14:textId="0770E35E" w:rsidR="00C65B72" w:rsidRPr="00911998" w:rsidRDefault="00C65B72">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Ontario c. G.</w:t>
      </w:r>
      <w:r w:rsidRPr="00911998">
        <w:rPr>
          <w:rFonts w:cs="Arial"/>
        </w:rPr>
        <w:t>, précité, par. 89.</w:t>
      </w:r>
    </w:p>
  </w:footnote>
  <w:footnote w:id="254">
    <w:p w14:paraId="797636B3" w14:textId="0A9FBDD8" w:rsidR="00B70E6B" w:rsidRPr="00911998" w:rsidRDefault="00B70E6B">
      <w:pPr>
        <w:pStyle w:val="Notedebasdepage"/>
      </w:pPr>
      <w:r w:rsidRPr="00911998">
        <w:rPr>
          <w:rStyle w:val="Appelnotedebasdep"/>
        </w:rPr>
        <w:footnoteRef/>
      </w:r>
      <w:r w:rsidRPr="00911998">
        <w:t xml:space="preserve"> </w:t>
      </w:r>
      <w:r w:rsidRPr="00911998">
        <w:tab/>
        <w:t>Les Demandeurs dans le Dossier de la Coalition contestent la validité de toutes les dispositions du C.c.Q. qui, selon leur lecture du Code, pourraient constituer un obstacle à la reconnaissance de plus de deux liens de filiation.</w:t>
      </w:r>
    </w:p>
  </w:footnote>
  <w:footnote w:id="255">
    <w:p w14:paraId="3519C8C7" w14:textId="64983884" w:rsidR="00891E29" w:rsidRPr="00911998" w:rsidRDefault="00891E29">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85</w:t>
      </w:r>
      <w:r w:rsidR="00BE7767" w:rsidRPr="00911998">
        <w:rPr>
          <w:rFonts w:cs="Arial"/>
        </w:rPr>
        <w:t> </w:t>
      </w:r>
      <w:r w:rsidR="00E03CD5" w:rsidRPr="00911998">
        <w:rPr>
          <w:rFonts w:cs="Arial"/>
        </w:rPr>
        <w:t xml:space="preserve">; </w:t>
      </w:r>
      <w:r w:rsidR="00E03CD5" w:rsidRPr="00911998">
        <w:rPr>
          <w:rFonts w:cs="Arial"/>
          <w:i/>
          <w:iCs/>
        </w:rPr>
        <w:t>R. c. Ferguson</w:t>
      </w:r>
      <w:r w:rsidR="00E03CD5" w:rsidRPr="00911998">
        <w:rPr>
          <w:rFonts w:cs="Arial"/>
        </w:rPr>
        <w:t>, 2008</w:t>
      </w:r>
      <w:r w:rsidR="00BE7767" w:rsidRPr="00911998">
        <w:rPr>
          <w:rFonts w:cs="Arial"/>
        </w:rPr>
        <w:t> </w:t>
      </w:r>
      <w:r w:rsidR="00E03CD5" w:rsidRPr="00911998">
        <w:rPr>
          <w:rFonts w:cs="Arial"/>
        </w:rPr>
        <w:t>CSC</w:t>
      </w:r>
      <w:r w:rsidR="00BE7767" w:rsidRPr="00911998">
        <w:rPr>
          <w:rFonts w:cs="Arial"/>
        </w:rPr>
        <w:t> </w:t>
      </w:r>
      <w:r w:rsidR="00E03CD5" w:rsidRPr="00911998">
        <w:rPr>
          <w:rFonts w:cs="Arial"/>
        </w:rPr>
        <w:t>6, par. 35 [</w:t>
      </w:r>
      <w:r w:rsidR="00E03CD5" w:rsidRPr="00911998">
        <w:rPr>
          <w:rFonts w:cs="Arial"/>
          <w:b/>
          <w:bCs/>
          <w:i/>
          <w:iCs/>
        </w:rPr>
        <w:t>Ferguson</w:t>
      </w:r>
      <w:r w:rsidR="00E03CD5" w:rsidRPr="00911998">
        <w:rPr>
          <w:rFonts w:cs="Arial"/>
        </w:rPr>
        <w:t>].</w:t>
      </w:r>
    </w:p>
  </w:footnote>
  <w:footnote w:id="256">
    <w:p w14:paraId="0F27145A" w14:textId="190E7AC1" w:rsidR="00606061" w:rsidRPr="00911998" w:rsidRDefault="00606061" w:rsidP="00606061">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Ontario c. G.</w:t>
      </w:r>
      <w:r w:rsidRPr="00911998">
        <w:rPr>
          <w:rFonts w:cs="Arial"/>
        </w:rPr>
        <w:t xml:space="preserve">, précité, par. 86 ; voir également : </w:t>
      </w:r>
      <w:r w:rsidRPr="00911998">
        <w:rPr>
          <w:rFonts w:cs="Arial"/>
          <w:i/>
          <w:iCs/>
        </w:rPr>
        <w:t>Ferguson</w:t>
      </w:r>
      <w:r w:rsidRPr="00911998">
        <w:rPr>
          <w:rFonts w:cs="Arial"/>
        </w:rPr>
        <w:t>, précité, par. 49 et 59.</w:t>
      </w:r>
    </w:p>
  </w:footnote>
  <w:footnote w:id="257">
    <w:p w14:paraId="5EB7344E" w14:textId="6E497A90" w:rsidR="00824769" w:rsidRPr="00911998" w:rsidRDefault="00824769">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E03CD5" w:rsidRPr="00911998">
        <w:rPr>
          <w:rFonts w:cs="Arial"/>
          <w:i/>
          <w:iCs/>
        </w:rPr>
        <w:t>Ontario c. G.</w:t>
      </w:r>
      <w:r w:rsidR="00E03CD5" w:rsidRPr="00911998">
        <w:rPr>
          <w:rFonts w:cs="Arial"/>
        </w:rPr>
        <w:t xml:space="preserve">, précité, </w:t>
      </w:r>
      <w:r w:rsidRPr="00911998">
        <w:rPr>
          <w:rFonts w:cs="Arial"/>
        </w:rPr>
        <w:t>par. 103.</w:t>
      </w:r>
    </w:p>
  </w:footnote>
  <w:footnote w:id="258">
    <w:p w14:paraId="321B9BF7" w14:textId="4FE428DC" w:rsidR="00B50FEF" w:rsidRPr="00911998" w:rsidRDefault="00B50FEF">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w:t>
      </w:r>
      <w:r w:rsidR="00606061" w:rsidRPr="00911998">
        <w:rPr>
          <w:rFonts w:cs="Arial"/>
        </w:rPr>
        <w:t xml:space="preserve">103 et </w:t>
      </w:r>
      <w:r w:rsidRPr="00911998">
        <w:rPr>
          <w:rFonts w:cs="Arial"/>
        </w:rPr>
        <w:t>108.</w:t>
      </w:r>
    </w:p>
  </w:footnote>
  <w:footnote w:id="259">
    <w:p w14:paraId="6743AEB8" w14:textId="63A7EAB6" w:rsidR="00B50FEF" w:rsidRPr="00911998" w:rsidRDefault="00B50FEF">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p>
  </w:footnote>
  <w:footnote w:id="260">
    <w:p w14:paraId="5FA9ED79" w14:textId="3AA69961" w:rsidR="00D903E3" w:rsidRPr="00911998" w:rsidRDefault="00D903E3" w:rsidP="00D903E3">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w:t>
      </w:r>
      <w:r w:rsidR="00606061" w:rsidRPr="00911998">
        <w:rPr>
          <w:rFonts w:cs="Arial"/>
        </w:rPr>
        <w:t xml:space="preserve">103 et </w:t>
      </w:r>
      <w:r w:rsidRPr="00911998">
        <w:rPr>
          <w:rFonts w:cs="Arial"/>
        </w:rPr>
        <w:t>112.</w:t>
      </w:r>
    </w:p>
  </w:footnote>
  <w:footnote w:id="261">
    <w:p w14:paraId="6480E3A3" w14:textId="3C981405" w:rsidR="007C33B1" w:rsidRPr="00911998" w:rsidRDefault="007C33B1" w:rsidP="007C33B1">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109 et 111.</w:t>
      </w:r>
    </w:p>
  </w:footnote>
  <w:footnote w:id="262">
    <w:p w14:paraId="722E5FBE" w14:textId="3EC592A8" w:rsidR="007C33B1" w:rsidRPr="00911998" w:rsidRDefault="007C33B1">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111.</w:t>
      </w:r>
    </w:p>
  </w:footnote>
  <w:footnote w:id="263">
    <w:p w14:paraId="6658832A" w14:textId="6E4559F3" w:rsidR="00E94CCB" w:rsidRPr="00911998" w:rsidRDefault="00E94CC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112.</w:t>
      </w:r>
    </w:p>
  </w:footnote>
  <w:footnote w:id="264">
    <w:p w14:paraId="439F584E" w14:textId="47F68149" w:rsidR="00E94CCB" w:rsidRPr="00911998" w:rsidRDefault="00E94CC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113</w:t>
      </w:r>
      <w:r w:rsidR="00AA6B41" w:rsidRPr="00911998">
        <w:rPr>
          <w:rFonts w:cs="Arial"/>
        </w:rPr>
        <w:t> </w:t>
      </w:r>
      <w:r w:rsidR="00E03CD5" w:rsidRPr="00911998">
        <w:rPr>
          <w:rFonts w:cs="Arial"/>
        </w:rPr>
        <w:t xml:space="preserve">; </w:t>
      </w:r>
      <w:r w:rsidR="00E03CD5" w:rsidRPr="00911998">
        <w:rPr>
          <w:rFonts w:cs="Arial"/>
          <w:i/>
          <w:iCs/>
        </w:rPr>
        <w:t>Ferguson</w:t>
      </w:r>
      <w:r w:rsidR="00E03CD5" w:rsidRPr="00911998">
        <w:rPr>
          <w:rFonts w:cs="Arial"/>
        </w:rPr>
        <w:t>, précité, par. 49</w:t>
      </w:r>
    </w:p>
  </w:footnote>
  <w:footnote w:id="265">
    <w:p w14:paraId="60D7D7C2" w14:textId="761FF495" w:rsidR="00BE7767" w:rsidRPr="00911998" w:rsidRDefault="00BE7767">
      <w:pPr>
        <w:pStyle w:val="Notedebasdepage"/>
      </w:pPr>
      <w:r w:rsidRPr="00911998">
        <w:rPr>
          <w:rStyle w:val="Appelnotedebasdep"/>
        </w:rPr>
        <w:footnoteRef/>
      </w:r>
      <w:r w:rsidRPr="00911998">
        <w:t xml:space="preserve"> </w:t>
      </w:r>
      <w:r w:rsidRPr="00911998">
        <w:tab/>
      </w:r>
      <w:r w:rsidRPr="00911998">
        <w:rPr>
          <w:rFonts w:cs="Arial"/>
          <w:i/>
          <w:iCs/>
        </w:rPr>
        <w:t>Ontario c. G.</w:t>
      </w:r>
      <w:r w:rsidRPr="00911998">
        <w:rPr>
          <w:rFonts w:cs="Arial"/>
        </w:rPr>
        <w:t>, précité, par. 113.</w:t>
      </w:r>
    </w:p>
  </w:footnote>
  <w:footnote w:id="266">
    <w:p w14:paraId="66730490" w14:textId="1CEFD20A" w:rsidR="001961A8" w:rsidRPr="00911998" w:rsidRDefault="001961A8">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L’expression «</w:t>
      </w:r>
      <w:r w:rsidR="00AA6B41" w:rsidRPr="00911998">
        <w:rPr>
          <w:rFonts w:cs="Arial"/>
        </w:rPr>
        <w:t> </w:t>
      </w:r>
      <w:r w:rsidRPr="00911998">
        <w:rPr>
          <w:rFonts w:cs="Arial"/>
        </w:rPr>
        <w:t>très plausible de présumer</w:t>
      </w:r>
      <w:r w:rsidR="00AA6B41" w:rsidRPr="00911998">
        <w:rPr>
          <w:rFonts w:cs="Arial"/>
        </w:rPr>
        <w:t> </w:t>
      </w:r>
      <w:r w:rsidRPr="00911998">
        <w:rPr>
          <w:rFonts w:cs="Arial"/>
        </w:rPr>
        <w:t>» traduit «</w:t>
      </w:r>
      <w:r w:rsidR="00AA6B41" w:rsidRPr="00911998">
        <w:rPr>
          <w:rFonts w:cs="Arial"/>
        </w:rPr>
        <w:t> </w:t>
      </w:r>
      <w:proofErr w:type="spellStart"/>
      <w:r w:rsidRPr="00911998">
        <w:rPr>
          <w:rFonts w:cs="Arial"/>
          <w:i/>
          <w:iCs/>
        </w:rPr>
        <w:t>fairly</w:t>
      </w:r>
      <w:proofErr w:type="spellEnd"/>
      <w:r w:rsidRPr="00911998">
        <w:rPr>
          <w:rFonts w:cs="Arial"/>
          <w:i/>
          <w:iCs/>
        </w:rPr>
        <w:t xml:space="preserve"> </w:t>
      </w:r>
      <w:proofErr w:type="spellStart"/>
      <w:r w:rsidRPr="00911998">
        <w:rPr>
          <w:rFonts w:cs="Arial"/>
          <w:i/>
          <w:iCs/>
        </w:rPr>
        <w:t>assumed</w:t>
      </w:r>
      <w:proofErr w:type="spellEnd"/>
      <w:r w:rsidR="00AA6B41" w:rsidRPr="00911998">
        <w:rPr>
          <w:rFonts w:cs="Arial"/>
        </w:rPr>
        <w:t> </w:t>
      </w:r>
      <w:r w:rsidRPr="00911998">
        <w:rPr>
          <w:rFonts w:cs="Arial"/>
        </w:rPr>
        <w:t xml:space="preserve">» utilisée dans la version originale anglaise des motifs de la juge </w:t>
      </w:r>
      <w:proofErr w:type="spellStart"/>
      <w:r w:rsidRPr="00911998">
        <w:rPr>
          <w:rFonts w:cs="Arial"/>
        </w:rPr>
        <w:t>Karakatsanis</w:t>
      </w:r>
      <w:proofErr w:type="spellEnd"/>
      <w:r w:rsidRPr="00911998">
        <w:rPr>
          <w:rFonts w:cs="Arial"/>
        </w:rPr>
        <w:t xml:space="preserve">. </w:t>
      </w:r>
    </w:p>
  </w:footnote>
  <w:footnote w:id="267">
    <w:p w14:paraId="45023FF7" w14:textId="30414CEF" w:rsidR="007E710C" w:rsidRPr="00911998" w:rsidRDefault="007E710C" w:rsidP="007E710C">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E03CD5" w:rsidRPr="00911998">
        <w:rPr>
          <w:rFonts w:cs="Arial"/>
          <w:i/>
          <w:iCs/>
        </w:rPr>
        <w:t>Ontario c. G.</w:t>
      </w:r>
      <w:r w:rsidRPr="00911998">
        <w:rPr>
          <w:rFonts w:cs="Arial"/>
        </w:rPr>
        <w:t xml:space="preserve">, </w:t>
      </w:r>
      <w:r w:rsidR="00E03CD5" w:rsidRPr="00911998">
        <w:rPr>
          <w:rFonts w:cs="Arial"/>
        </w:rPr>
        <w:t xml:space="preserve">précité, </w:t>
      </w:r>
      <w:r w:rsidRPr="00911998">
        <w:rPr>
          <w:rFonts w:cs="Arial"/>
        </w:rPr>
        <w:t>par. 114</w:t>
      </w:r>
      <w:r w:rsidR="00AA6B41" w:rsidRPr="00911998">
        <w:rPr>
          <w:rFonts w:cs="Arial"/>
        </w:rPr>
        <w:t> </w:t>
      </w:r>
      <w:r w:rsidR="00B00F19" w:rsidRPr="00911998">
        <w:rPr>
          <w:rFonts w:cs="Arial"/>
        </w:rPr>
        <w:t>;</w:t>
      </w:r>
      <w:r w:rsidR="00292999" w:rsidRPr="00911998">
        <w:rPr>
          <w:rFonts w:cs="Arial"/>
        </w:rPr>
        <w:t xml:space="preserve"> voir aussi :</w:t>
      </w:r>
      <w:r w:rsidR="00B00F19" w:rsidRPr="00911998">
        <w:rPr>
          <w:rFonts w:cs="Arial"/>
        </w:rPr>
        <w:t xml:space="preserve"> </w:t>
      </w:r>
      <w:r w:rsidR="00B00F19" w:rsidRPr="00911998">
        <w:rPr>
          <w:rFonts w:cs="Arial"/>
          <w:i/>
          <w:iCs/>
        </w:rPr>
        <w:t>Ferguson</w:t>
      </w:r>
      <w:r w:rsidR="00B00F19" w:rsidRPr="00911998">
        <w:rPr>
          <w:rFonts w:cs="Arial"/>
        </w:rPr>
        <w:t>, précité, par. 51</w:t>
      </w:r>
      <w:r w:rsidRPr="00911998">
        <w:rPr>
          <w:rFonts w:cs="Arial"/>
        </w:rPr>
        <w:t>.</w:t>
      </w:r>
    </w:p>
  </w:footnote>
  <w:footnote w:id="268">
    <w:p w14:paraId="62E2497E" w14:textId="5C0EA68D" w:rsidR="007E710C" w:rsidRPr="00911998" w:rsidRDefault="007E710C">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B00F19" w:rsidRPr="00911998">
        <w:rPr>
          <w:rFonts w:cs="Arial"/>
          <w:i/>
          <w:iCs/>
        </w:rPr>
        <w:t>Ontario c. G.</w:t>
      </w:r>
      <w:r w:rsidR="00B00F19" w:rsidRPr="00911998">
        <w:rPr>
          <w:rFonts w:cs="Arial"/>
        </w:rPr>
        <w:t>, précité, par. 114.</w:t>
      </w:r>
    </w:p>
  </w:footnote>
  <w:footnote w:id="269">
    <w:p w14:paraId="530F68B4" w14:textId="3918501B" w:rsidR="007E710C" w:rsidRPr="00911998" w:rsidRDefault="007E710C" w:rsidP="007E710C">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w:t>
      </w:r>
    </w:p>
  </w:footnote>
  <w:footnote w:id="270">
    <w:p w14:paraId="091326BB" w14:textId="4F7BDE36" w:rsidR="004A07A0" w:rsidRPr="00911998" w:rsidRDefault="004A07A0">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115.</w:t>
      </w:r>
    </w:p>
  </w:footnote>
  <w:footnote w:id="271">
    <w:p w14:paraId="6E747E61" w14:textId="77777777" w:rsidR="00AC403A" w:rsidRPr="00911998" w:rsidRDefault="00AC403A" w:rsidP="00AC403A">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86.</w:t>
      </w:r>
    </w:p>
  </w:footnote>
  <w:footnote w:id="272">
    <w:p w14:paraId="3C6CF9DF" w14:textId="26E589F5" w:rsidR="00524BF2" w:rsidRPr="00911998" w:rsidRDefault="00524BF2">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92.</w:t>
      </w:r>
    </w:p>
  </w:footnote>
  <w:footnote w:id="273">
    <w:p w14:paraId="65141B9B" w14:textId="4DCFD559" w:rsidR="004A07A0" w:rsidRPr="00911998" w:rsidRDefault="004A07A0" w:rsidP="004A07A0">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94 et 158.</w:t>
      </w:r>
    </w:p>
  </w:footnote>
  <w:footnote w:id="274">
    <w:p w14:paraId="0A5A1C9C" w14:textId="0FA6AB34" w:rsidR="002B211E" w:rsidRPr="00911998" w:rsidRDefault="002B211E">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108.</w:t>
      </w:r>
    </w:p>
  </w:footnote>
  <w:footnote w:id="275">
    <w:p w14:paraId="06BC05F1" w14:textId="3B381B64" w:rsidR="00A00A1B" w:rsidRPr="00911998" w:rsidRDefault="00A00A1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843182" w:rsidRPr="00911998">
        <w:rPr>
          <w:rFonts w:cs="Arial"/>
          <w:i/>
          <w:iCs/>
        </w:rPr>
        <w:t>Ibid.</w:t>
      </w:r>
      <w:r w:rsidRPr="00911998">
        <w:rPr>
          <w:rFonts w:cs="Arial"/>
        </w:rPr>
        <w:t>, par. </w:t>
      </w:r>
      <w:r w:rsidR="005E5294" w:rsidRPr="00911998">
        <w:rPr>
          <w:rFonts w:cs="Arial"/>
        </w:rPr>
        <w:t>116.</w:t>
      </w:r>
    </w:p>
  </w:footnote>
  <w:footnote w:id="276">
    <w:p w14:paraId="108FDC4D" w14:textId="5CF5DFE8" w:rsidR="00B532E1" w:rsidRPr="00911998" w:rsidRDefault="00B532E1" w:rsidP="00B532E1">
      <w:pPr>
        <w:pStyle w:val="Notedebasdepage"/>
      </w:pPr>
      <w:r w:rsidRPr="00911998">
        <w:rPr>
          <w:rStyle w:val="Appelnotedebasdep"/>
        </w:rPr>
        <w:footnoteRef/>
      </w:r>
      <w:r w:rsidRPr="00911998">
        <w:t xml:space="preserve"> </w:t>
      </w:r>
      <w:r w:rsidRPr="00911998">
        <w:tab/>
      </w:r>
      <w:r w:rsidR="00843182" w:rsidRPr="00911998">
        <w:rPr>
          <w:rFonts w:cs="Arial"/>
          <w:i/>
          <w:iCs/>
        </w:rPr>
        <w:t>Ibid.</w:t>
      </w:r>
      <w:r w:rsidRPr="00911998">
        <w:rPr>
          <w:rFonts w:cs="Arial"/>
        </w:rPr>
        <w:t>, par. 114</w:t>
      </w:r>
      <w:r w:rsidR="00477EFC" w:rsidRPr="00911998">
        <w:rPr>
          <w:rFonts w:cs="Arial"/>
        </w:rPr>
        <w:t>.</w:t>
      </w:r>
    </w:p>
  </w:footnote>
  <w:footnote w:id="277">
    <w:p w14:paraId="042C4189" w14:textId="7D13EA50" w:rsidR="003A4F77" w:rsidRPr="00911998" w:rsidRDefault="003A4F77">
      <w:pPr>
        <w:pStyle w:val="Notedebasdepage"/>
      </w:pPr>
      <w:r w:rsidRPr="00911998">
        <w:rPr>
          <w:rStyle w:val="Appelnotedebasdep"/>
        </w:rPr>
        <w:footnoteRef/>
      </w:r>
      <w:r w:rsidRPr="00911998">
        <w:t xml:space="preserve"> </w:t>
      </w:r>
      <w:r w:rsidRPr="00911998">
        <w:tab/>
        <w:t>Procès-verbal d’audience du 21</w:t>
      </w:r>
      <w:r w:rsidR="00726D88" w:rsidRPr="00911998">
        <w:t> </w:t>
      </w:r>
      <w:r w:rsidRPr="00911998">
        <w:t>juin 202</w:t>
      </w:r>
      <w:r w:rsidR="00AE7E75" w:rsidRPr="00911998">
        <w:t>4</w:t>
      </w:r>
      <w:r w:rsidRPr="00911998">
        <w:t>.</w:t>
      </w:r>
    </w:p>
  </w:footnote>
  <w:footnote w:id="278">
    <w:p w14:paraId="19986F89" w14:textId="638B5B86" w:rsidR="00D960E1" w:rsidRPr="00911998" w:rsidRDefault="00D960E1">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3A4F77" w:rsidRPr="00911998">
        <w:rPr>
          <w:rFonts w:cs="Arial"/>
          <w:i/>
          <w:iCs/>
        </w:rPr>
        <w:t>Ontario c. G.</w:t>
      </w:r>
      <w:r w:rsidR="003A4F77" w:rsidRPr="00911998">
        <w:rPr>
          <w:rFonts w:cs="Arial"/>
        </w:rPr>
        <w:t xml:space="preserve">, précité, </w:t>
      </w:r>
      <w:r w:rsidRPr="00911998">
        <w:rPr>
          <w:rFonts w:cs="Arial"/>
        </w:rPr>
        <w:t>par. 121.</w:t>
      </w:r>
    </w:p>
  </w:footnote>
  <w:footnote w:id="279">
    <w:p w14:paraId="07DC8ED1" w14:textId="7A9542AB" w:rsidR="005A2B89" w:rsidRPr="00911998" w:rsidRDefault="005A2B89">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83 et 133.</w:t>
      </w:r>
    </w:p>
  </w:footnote>
  <w:footnote w:id="280">
    <w:p w14:paraId="04E33650" w14:textId="46798D9D" w:rsidR="00243AFD" w:rsidRPr="00911998" w:rsidRDefault="00243AFD">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117.</w:t>
      </w:r>
    </w:p>
  </w:footnote>
  <w:footnote w:id="281">
    <w:p w14:paraId="7A378477" w14:textId="0B40FE4D" w:rsidR="00D54205" w:rsidRPr="00911998" w:rsidRDefault="00D54205">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126, 133 et 139.</w:t>
      </w:r>
    </w:p>
  </w:footnote>
  <w:footnote w:id="282">
    <w:p w14:paraId="72318CE8" w14:textId="5B5B66C2" w:rsidR="00C61E20" w:rsidRPr="00911998" w:rsidRDefault="00C61E20">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142 et 147.</w:t>
      </w:r>
    </w:p>
  </w:footnote>
  <w:footnote w:id="283">
    <w:p w14:paraId="47514824" w14:textId="6AA15890" w:rsidR="00EE26F5" w:rsidRPr="00911998" w:rsidRDefault="00EE26F5">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r w:rsidRPr="00911998">
        <w:rPr>
          <w:rFonts w:cs="Arial"/>
        </w:rPr>
        <w:t>, par. 149.</w:t>
      </w:r>
    </w:p>
  </w:footnote>
  <w:footnote w:id="284">
    <w:p w14:paraId="28884E47" w14:textId="1715E22D" w:rsidR="00FB1A67" w:rsidRPr="00911998" w:rsidRDefault="00FB1A67">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007239FF" w:rsidRPr="00911998">
        <w:rPr>
          <w:rFonts w:cs="Arial"/>
        </w:rPr>
        <w:t>Voir par analogie</w:t>
      </w:r>
      <w:r w:rsidR="005C2EB5" w:rsidRPr="00911998">
        <w:rPr>
          <w:rFonts w:cs="Arial"/>
        </w:rPr>
        <w:t> :</w:t>
      </w:r>
      <w:r w:rsidR="007239FF" w:rsidRPr="00911998">
        <w:rPr>
          <w:rFonts w:cs="Arial"/>
        </w:rPr>
        <w:t xml:space="preserve"> </w:t>
      </w:r>
      <w:r w:rsidRPr="00911998">
        <w:rPr>
          <w:rFonts w:cs="Arial"/>
          <w:i/>
          <w:iCs/>
        </w:rPr>
        <w:t>Fraser</w:t>
      </w:r>
      <w:r w:rsidRPr="00911998">
        <w:rPr>
          <w:rFonts w:cs="Arial"/>
        </w:rPr>
        <w:t>, précité, par. 138.</w:t>
      </w:r>
    </w:p>
  </w:footnote>
  <w:footnote w:id="285">
    <w:p w14:paraId="7485C040" w14:textId="2CFD0C8E" w:rsidR="00727BDB" w:rsidRPr="00911998" w:rsidRDefault="00727BDB">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Pièce P</w:t>
      </w:r>
      <w:r w:rsidRPr="00911998">
        <w:rPr>
          <w:rFonts w:cs="Arial"/>
        </w:rPr>
        <w:noBreakHyphen/>
        <w:t>12.</w:t>
      </w:r>
    </w:p>
  </w:footnote>
  <w:footnote w:id="286">
    <w:p w14:paraId="20F95169" w14:textId="7C11C4A8" w:rsidR="00C74540" w:rsidRPr="00911998" w:rsidRDefault="00C74540">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Pièce P</w:t>
      </w:r>
      <w:r w:rsidRPr="00911998">
        <w:rPr>
          <w:rFonts w:cs="Arial"/>
        </w:rPr>
        <w:noBreakHyphen/>
        <w:t>4.</w:t>
      </w:r>
    </w:p>
  </w:footnote>
  <w:footnote w:id="287">
    <w:p w14:paraId="170666A3" w14:textId="5721DD1E" w:rsidR="002C0560" w:rsidRPr="00911998" w:rsidRDefault="002C0560">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Pièce P</w:t>
      </w:r>
      <w:r w:rsidRPr="00911998">
        <w:rPr>
          <w:rFonts w:cs="Arial"/>
        </w:rPr>
        <w:noBreakHyphen/>
        <w:t>5.</w:t>
      </w:r>
    </w:p>
  </w:footnote>
  <w:footnote w:id="288">
    <w:p w14:paraId="7B431FFC" w14:textId="79F2F90D" w:rsidR="002C0560" w:rsidRPr="00911998" w:rsidRDefault="002C0560">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r>
      <w:r w:rsidRPr="00911998">
        <w:rPr>
          <w:rFonts w:cs="Arial"/>
          <w:i/>
          <w:iCs/>
        </w:rPr>
        <w:t>Ibid.</w:t>
      </w:r>
    </w:p>
  </w:footnote>
  <w:footnote w:id="289">
    <w:p w14:paraId="1F0BF64C" w14:textId="4C12CBF7" w:rsidR="000E71C1" w:rsidRPr="00911998" w:rsidRDefault="000E71C1">
      <w:pPr>
        <w:pStyle w:val="Notedebasdepage"/>
        <w:rPr>
          <w:rFonts w:cs="Arial"/>
        </w:rPr>
      </w:pPr>
      <w:r w:rsidRPr="00911998">
        <w:rPr>
          <w:rStyle w:val="Appelnotedebasdep"/>
          <w:rFonts w:cs="Arial"/>
        </w:rPr>
        <w:footnoteRef/>
      </w:r>
      <w:r w:rsidRPr="00911998">
        <w:rPr>
          <w:rFonts w:cs="Arial"/>
        </w:rPr>
        <w:t xml:space="preserve"> </w:t>
      </w:r>
      <w:r w:rsidRPr="00911998">
        <w:rPr>
          <w:rFonts w:cs="Arial"/>
        </w:rPr>
        <w:tab/>
        <w:t xml:space="preserve">Voir notamment l’article 115 </w:t>
      </w:r>
      <w:r w:rsidR="00F01A42" w:rsidRPr="00911998">
        <w:rPr>
          <w:rFonts w:cs="Arial"/>
        </w:rPr>
        <w:t>C.c.Q.</w:t>
      </w:r>
      <w:r w:rsidRPr="00911998">
        <w:rPr>
          <w:rFonts w:cs="Arial"/>
        </w:rPr>
        <w:t xml:space="preserve"> et l’article 3 du </w:t>
      </w:r>
      <w:r w:rsidRPr="00911998">
        <w:rPr>
          <w:rFonts w:cs="Arial"/>
          <w:i/>
          <w:iCs/>
        </w:rPr>
        <w:t>Règlement relatif à la tenue et à la publicité du registre de l</w:t>
      </w:r>
      <w:r w:rsidR="00971129" w:rsidRPr="00911998">
        <w:rPr>
          <w:rFonts w:cs="Arial"/>
          <w:i/>
          <w:iCs/>
        </w:rPr>
        <w:t>’</w:t>
      </w:r>
      <w:r w:rsidRPr="00911998">
        <w:rPr>
          <w:rFonts w:cs="Arial"/>
          <w:i/>
          <w:iCs/>
        </w:rPr>
        <w:t>état civil</w:t>
      </w:r>
      <w:r w:rsidRPr="00911998">
        <w:rPr>
          <w:rFonts w:cs="Arial"/>
        </w:rPr>
        <w:t>, RLRQ c. CCQ, r.11.</w:t>
      </w:r>
    </w:p>
  </w:footnote>
  <w:footnote w:id="290">
    <w:p w14:paraId="5A5AF78E" w14:textId="6F88C2B8" w:rsidR="00B56FEB" w:rsidRPr="00911998" w:rsidRDefault="00B56FEB">
      <w:pPr>
        <w:pStyle w:val="Notedebasdepage"/>
      </w:pPr>
      <w:r w:rsidRPr="00911998">
        <w:rPr>
          <w:rStyle w:val="Appelnotedebasdep"/>
        </w:rPr>
        <w:footnoteRef/>
      </w:r>
      <w:r w:rsidRPr="00911998">
        <w:t xml:space="preserve"> </w:t>
      </w:r>
      <w:r w:rsidRPr="00911998">
        <w:tab/>
      </w:r>
      <w:r w:rsidRPr="00911998">
        <w:rPr>
          <w:i/>
          <w:iCs/>
        </w:rPr>
        <w:t>Canada (</w:t>
      </w:r>
      <w:proofErr w:type="gramStart"/>
      <w:r w:rsidRPr="00911998">
        <w:rPr>
          <w:i/>
          <w:iCs/>
        </w:rPr>
        <w:t>Ministre</w:t>
      </w:r>
      <w:proofErr w:type="gramEnd"/>
      <w:r w:rsidRPr="00911998">
        <w:rPr>
          <w:i/>
          <w:iCs/>
        </w:rPr>
        <w:t xml:space="preserve"> de la Citoyenneté et de l’Immigration) c. </w:t>
      </w:r>
      <w:proofErr w:type="spellStart"/>
      <w:r w:rsidRPr="00911998">
        <w:rPr>
          <w:i/>
          <w:iCs/>
        </w:rPr>
        <w:t>Vavilov</w:t>
      </w:r>
      <w:proofErr w:type="spellEnd"/>
      <w:r w:rsidRPr="00911998">
        <w:t>, 2019</w:t>
      </w:r>
      <w:r w:rsidR="00B07D72" w:rsidRPr="00911998">
        <w:t> </w:t>
      </w:r>
      <w:r w:rsidRPr="00911998">
        <w:t>CSC</w:t>
      </w:r>
      <w:r w:rsidR="00B07D72" w:rsidRPr="00911998">
        <w:t> </w:t>
      </w:r>
      <w:r w:rsidRPr="00911998">
        <w:t>65.</w:t>
      </w:r>
    </w:p>
  </w:footnote>
  <w:footnote w:id="291">
    <w:p w14:paraId="6CC49306" w14:textId="613E1344" w:rsidR="002D1D01" w:rsidRPr="00911998" w:rsidRDefault="002D1D01" w:rsidP="002D1D01">
      <w:pPr>
        <w:pStyle w:val="Notedebasdepage"/>
      </w:pPr>
      <w:r w:rsidRPr="00911998">
        <w:rPr>
          <w:rStyle w:val="Appelnotedebasdep"/>
        </w:rPr>
        <w:footnoteRef/>
      </w:r>
      <w:r w:rsidRPr="00911998">
        <w:t xml:space="preserve"> </w:t>
      </w:r>
      <w:r w:rsidRPr="00911998">
        <w:tab/>
        <w:t xml:space="preserve">Ces éléments factuels distinguent le Dossier </w:t>
      </w:r>
      <w:proofErr w:type="gramStart"/>
      <w:r w:rsidR="00153EC1">
        <w:t>M...</w:t>
      </w:r>
      <w:proofErr w:type="gramEnd"/>
      <w:r w:rsidRPr="00911998">
        <w:noBreakHyphen/>
      </w:r>
      <w:r w:rsidR="000032F7">
        <w:t>P...</w:t>
      </w:r>
      <w:r w:rsidRPr="00911998">
        <w:noBreakHyphen/>
      </w:r>
      <w:r w:rsidR="000032F7">
        <w:t>D...</w:t>
      </w:r>
      <w:r w:rsidRPr="00911998">
        <w:t xml:space="preserve"> de la situation de la famille </w:t>
      </w:r>
      <w:r w:rsidR="00E13A68">
        <w:t>L...</w:t>
      </w:r>
      <w:r w:rsidRPr="00911998">
        <w:t>-</w:t>
      </w:r>
      <w:r w:rsidR="00E13A68">
        <w:t>Mi...</w:t>
      </w:r>
      <w:r w:rsidRPr="00911998">
        <w:t>-</w:t>
      </w:r>
      <w:r w:rsidR="00E13A68">
        <w:t>A...</w:t>
      </w:r>
      <w:r w:rsidRPr="00911998">
        <w:t xml:space="preserve">. Dans cette dernière affaire, le Directeur de l’état civil reçoit la déclaration de naissance pour </w:t>
      </w:r>
      <w:r w:rsidR="00D90957">
        <w:t>Z</w:t>
      </w:r>
      <w:r w:rsidRPr="00911998">
        <w:t xml:space="preserve">, laquelle indique que mesdames </w:t>
      </w:r>
      <w:proofErr w:type="gramStart"/>
      <w:r w:rsidR="00E13A68">
        <w:t>L...</w:t>
      </w:r>
      <w:proofErr w:type="gramEnd"/>
      <w:r w:rsidRPr="00911998">
        <w:t xml:space="preserve"> et </w:t>
      </w:r>
      <w:r w:rsidR="00E13A68">
        <w:t>A...</w:t>
      </w:r>
      <w:r w:rsidRPr="00911998">
        <w:t xml:space="preserve"> sont les mères. Il dresse alors l’acte de naissance en conséquence. Or, contrairement au Dossier </w:t>
      </w:r>
      <w:proofErr w:type="gramStart"/>
      <w:r w:rsidR="00153EC1">
        <w:t>M...</w:t>
      </w:r>
      <w:proofErr w:type="gramEnd"/>
      <w:r w:rsidRPr="00911998">
        <w:noBreakHyphen/>
      </w:r>
      <w:r w:rsidR="000032F7">
        <w:t>P...</w:t>
      </w:r>
      <w:r w:rsidRPr="00911998">
        <w:noBreakHyphen/>
      </w:r>
      <w:r w:rsidR="000032F7">
        <w:t>D...</w:t>
      </w:r>
      <w:r w:rsidRPr="00911998">
        <w:t xml:space="preserve">, le Directeur n’est pas informé du fait que monsieur </w:t>
      </w:r>
      <w:r w:rsidR="00E13A68">
        <w:t>Mi...</w:t>
      </w:r>
      <w:r w:rsidRPr="00911998">
        <w:t xml:space="preserve"> est le père de </w:t>
      </w:r>
      <w:r w:rsidR="00D90957">
        <w:t>Z</w:t>
      </w:r>
      <w:r w:rsidRPr="00911998">
        <w:t xml:space="preserve"> et qu’il souhaite également que son lien de filiation soit reconnu. En d’autres termes, le Directeur ne disposait d’aucune information lui permettant de croire que la naissance ait été déclarée incorrectement, ce qui donnerait ouverture à son pouvoir d’enquête sommaire. En revanche, la transparence des Demandeurs dans le Dossier </w:t>
      </w:r>
      <w:proofErr w:type="gramStart"/>
      <w:r w:rsidR="00153EC1">
        <w:t>M...</w:t>
      </w:r>
      <w:proofErr w:type="gramEnd"/>
      <w:r w:rsidRPr="00911998">
        <w:noBreakHyphen/>
      </w:r>
      <w:r w:rsidR="000032F7">
        <w:t>P...</w:t>
      </w:r>
      <w:r w:rsidRPr="00911998">
        <w:noBreakHyphen/>
      </w:r>
      <w:r w:rsidR="000032F7">
        <w:t>D...</w:t>
      </w:r>
      <w:r w:rsidRPr="00911998">
        <w:t xml:space="preserve"> lui donne cette information pour ce qui est de la déclaration de naissance </w:t>
      </w:r>
      <w:r w:rsidR="002A2DBC">
        <w:t>de X</w:t>
      </w:r>
      <w:r w:rsidRPr="00911998">
        <w:t>.</w:t>
      </w:r>
    </w:p>
  </w:footnote>
  <w:footnote w:id="292">
    <w:p w14:paraId="5AE77283" w14:textId="039C3501" w:rsidR="007F39C0" w:rsidRPr="00DA3271" w:rsidRDefault="007F39C0">
      <w:pPr>
        <w:pStyle w:val="Notedebasdepage"/>
      </w:pPr>
      <w:r w:rsidRPr="00911998">
        <w:rPr>
          <w:rStyle w:val="Appelnotedebasdep"/>
        </w:rPr>
        <w:footnoteRef/>
      </w:r>
      <w:r w:rsidRPr="00911998">
        <w:t xml:space="preserve"> </w:t>
      </w:r>
      <w:r w:rsidRPr="00911998">
        <w:tab/>
      </w:r>
      <w:r w:rsidR="004A13E7" w:rsidRPr="00911998">
        <w:t>Article 538 C.c.Q.</w:t>
      </w:r>
      <w:r w:rsidR="00B07D72" w:rsidRPr="00911998">
        <w:t> </w:t>
      </w:r>
      <w:r w:rsidR="004A13E7" w:rsidRPr="00911998">
        <w:t xml:space="preserve">; </w:t>
      </w:r>
      <w:r w:rsidRPr="00911998">
        <w:rPr>
          <w:i/>
          <w:iCs/>
        </w:rPr>
        <w:t>Droit de la famille — 111729</w:t>
      </w:r>
      <w:r w:rsidRPr="00911998">
        <w:t>, précité, par. 41</w:t>
      </w:r>
      <w:r w:rsidRPr="00911998">
        <w:noBreakHyphen/>
        <w:t>42</w:t>
      </w:r>
      <w:r w:rsidR="00B07D72" w:rsidRPr="00911998">
        <w:t> </w:t>
      </w:r>
      <w:r w:rsidRPr="00911998">
        <w:t xml:space="preserve">; </w:t>
      </w:r>
      <w:r w:rsidRPr="00911998">
        <w:rPr>
          <w:rFonts w:cs="Arial"/>
          <w:i/>
          <w:iCs/>
          <w:shd w:val="clear" w:color="auto" w:fill="FFFFFF"/>
        </w:rPr>
        <w:t>Droit de la famille — 191677</w:t>
      </w:r>
      <w:r w:rsidRPr="00911998">
        <w:rPr>
          <w:rFonts w:cs="Arial"/>
          <w:shd w:val="clear" w:color="auto" w:fill="FFFFFF"/>
        </w:rPr>
        <w:t>, précité, par. </w:t>
      </w:r>
      <w:r w:rsidR="0003300D" w:rsidRPr="00911998">
        <w:rPr>
          <w:rFonts w:cs="Arial"/>
          <w:shd w:val="clear" w:color="auto" w:fill="FFFFFF"/>
        </w:rPr>
        <w:t>93</w:t>
      </w:r>
      <w:r w:rsidR="0003300D" w:rsidRPr="00911998">
        <w:rPr>
          <w:rFonts w:cs="Arial"/>
          <w:shd w:val="clear" w:color="auto" w:fill="FFFFFF"/>
        </w:rPr>
        <w:noBreakHyphen/>
        <w:t>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3636" w14:textId="3100E28C" w:rsidR="00121A72" w:rsidRDefault="00701C87">
    <w:pPr>
      <w:tabs>
        <w:tab w:val="center" w:pos="4709"/>
        <w:tab w:val="right" w:pos="9360"/>
      </w:tabs>
      <w:ind w:right="524"/>
    </w:pPr>
    <w:r>
      <w:fldChar w:fldCharType="begin"/>
    </w:r>
    <w:r>
      <w:instrText xml:space="preserve"> NoDossier </w:instrText>
    </w:r>
    <w:r>
      <w:fldChar w:fldCharType="separate"/>
    </w:r>
    <w:r w:rsidR="006868FC" w:rsidRPr="006868FC">
      <w:rPr>
        <w:lang w:val="fr-FR"/>
      </w:rPr>
      <w:t>500-17-119125-212 et 500-04-079533-239</w:t>
    </w:r>
    <w:r>
      <w:rPr>
        <w:lang w:val="fr-FR"/>
      </w:rPr>
      <w:fldChar w:fldCharType="end"/>
    </w:r>
    <w:r w:rsidR="00121A72" w:rsidRPr="006868FC">
      <w:tab/>
    </w:r>
    <w:r w:rsidR="00121A72">
      <w:tab/>
      <w:t xml:space="preserve">PAGE : </w:t>
    </w:r>
    <w:r w:rsidR="00121A72">
      <w:fldChar w:fldCharType="begin"/>
    </w:r>
    <w:r w:rsidR="00121A72">
      <w:instrText xml:space="preserve"> PAGE </w:instrText>
    </w:r>
    <w:r w:rsidR="00121A72">
      <w:fldChar w:fldCharType="separate"/>
    </w:r>
    <w:r w:rsidR="00686921">
      <w:rPr>
        <w:noProof/>
      </w:rPr>
      <w:t>2</w:t>
    </w:r>
    <w:r w:rsidR="00121A72">
      <w:fldChar w:fldCharType="end"/>
    </w:r>
  </w:p>
  <w:p w14:paraId="57FA84CB" w14:textId="77777777" w:rsidR="006868FC" w:rsidRDefault="006868FC">
    <w:pPr>
      <w:tabs>
        <w:tab w:val="center" w:pos="4709"/>
        <w:tab w:val="right" w:pos="9360"/>
      </w:tabs>
      <w:ind w:right="524"/>
    </w:pPr>
  </w:p>
  <w:p w14:paraId="6AD44EED" w14:textId="77777777" w:rsidR="006868FC" w:rsidRDefault="006868FC">
    <w:pPr>
      <w:tabs>
        <w:tab w:val="center" w:pos="4709"/>
        <w:tab w:val="right" w:pos="9360"/>
      </w:tabs>
      <w:ind w:right="524"/>
    </w:pPr>
  </w:p>
  <w:p w14:paraId="776274B4" w14:textId="77777777" w:rsidR="00121A72" w:rsidRDefault="00121A72">
    <w:pPr>
      <w:tabs>
        <w:tab w:val="center" w:pos="4709"/>
        <w:tab w:val="right" w:pos="9090"/>
      </w:tabs>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040A24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2233CE"/>
    <w:multiLevelType w:val="hybridMultilevel"/>
    <w:tmpl w:val="646E64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022B60"/>
    <w:multiLevelType w:val="hybridMultilevel"/>
    <w:tmpl w:val="8ACE70E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34210FE"/>
    <w:multiLevelType w:val="hybridMultilevel"/>
    <w:tmpl w:val="6B3403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6A32E31"/>
    <w:multiLevelType w:val="hybridMultilevel"/>
    <w:tmpl w:val="8C0290E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9B11B71"/>
    <w:multiLevelType w:val="multilevel"/>
    <w:tmpl w:val="713A5CE4"/>
    <w:name w:val="Style1"/>
    <w:styleLink w:val="Style1"/>
    <w:lvl w:ilvl="0">
      <w:start w:val="1"/>
      <w:numFmt w:val="decimal"/>
      <w:pStyle w:val="Titre2"/>
      <w:lvlText w:val="%1."/>
      <w:lvlJc w:val="left"/>
      <w:pPr>
        <w:ind w:left="431" w:hanging="431"/>
      </w:pPr>
      <w:rPr>
        <w:rFonts w:hint="default"/>
      </w:rPr>
    </w:lvl>
    <w:lvl w:ilvl="1">
      <w:start w:val="1"/>
      <w:numFmt w:val="decimal"/>
      <w:pStyle w:val="Titre3"/>
      <w:lvlText w:val="%1.%2"/>
      <w:lvlJc w:val="left"/>
      <w:pPr>
        <w:ind w:left="431" w:hanging="431"/>
      </w:pPr>
      <w:rPr>
        <w:rFonts w:hint="default"/>
      </w:rPr>
    </w:lvl>
    <w:lvl w:ilvl="2">
      <w:start w:val="1"/>
      <w:numFmt w:val="decimal"/>
      <w:pStyle w:val="Titre4"/>
      <w:lvlText w:val="%1.%2.%3"/>
      <w:lvlJc w:val="left"/>
      <w:pPr>
        <w:ind w:left="431" w:hanging="431"/>
      </w:pPr>
      <w:rPr>
        <w:rFonts w:hint="default"/>
      </w:rPr>
    </w:lvl>
    <w:lvl w:ilvl="3">
      <w:start w:val="1"/>
      <w:numFmt w:val="decimal"/>
      <w:pStyle w:val="Titre5"/>
      <w:lvlText w:val="%1.%2.%3.%4"/>
      <w:lvlJc w:val="left"/>
      <w:pPr>
        <w:ind w:left="431" w:hanging="431"/>
      </w:pPr>
      <w:rPr>
        <w:rFonts w:hint="default"/>
      </w:rPr>
    </w:lvl>
    <w:lvl w:ilvl="4">
      <w:start w:val="1"/>
      <w:numFmt w:val="decimal"/>
      <w:pStyle w:val="Titre6"/>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 w15:restartNumberingAfterBreak="0">
    <w:nsid w:val="2ABB00AC"/>
    <w:multiLevelType w:val="multilevel"/>
    <w:tmpl w:val="B8565C9A"/>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pStyle w:val="Titre7"/>
      <w:lvlText w:val="%1.%2.%3.%4.%5.%6.%7"/>
      <w:lvlJc w:val="left"/>
      <w:pPr>
        <w:ind w:left="431" w:hanging="431"/>
      </w:pPr>
      <w:rPr>
        <w:rFonts w:hint="default"/>
      </w:rPr>
    </w:lvl>
    <w:lvl w:ilvl="7">
      <w:start w:val="1"/>
      <w:numFmt w:val="decimal"/>
      <w:pStyle w:val="Titre8"/>
      <w:lvlText w:val="%1.%2.%3.%4.%5.%6.%7.%8"/>
      <w:lvlJc w:val="left"/>
      <w:pPr>
        <w:ind w:left="431" w:hanging="431"/>
      </w:pPr>
      <w:rPr>
        <w:rFonts w:hint="default"/>
      </w:rPr>
    </w:lvl>
    <w:lvl w:ilvl="8">
      <w:start w:val="1"/>
      <w:numFmt w:val="decimal"/>
      <w:pStyle w:val="Titre9"/>
      <w:lvlText w:val="%1.%2.%3.%4.%5.%6.%7.%8.%9"/>
      <w:lvlJc w:val="left"/>
      <w:pPr>
        <w:ind w:left="431" w:hanging="431"/>
      </w:pPr>
      <w:rPr>
        <w:rFonts w:hint="default"/>
      </w:rPr>
    </w:lvl>
  </w:abstractNum>
  <w:abstractNum w:abstractNumId="7" w15:restartNumberingAfterBreak="0">
    <w:nsid w:val="2E262995"/>
    <w:multiLevelType w:val="hybridMultilevel"/>
    <w:tmpl w:val="FBFEE5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FD020D"/>
    <w:multiLevelType w:val="hybridMultilevel"/>
    <w:tmpl w:val="9AECBFA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75266A4"/>
    <w:multiLevelType w:val="hybridMultilevel"/>
    <w:tmpl w:val="8ACE70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BD06AC"/>
    <w:multiLevelType w:val="hybridMultilevel"/>
    <w:tmpl w:val="2E7CD85E"/>
    <w:lvl w:ilvl="0" w:tplc="0C0C0001">
      <w:start w:val="1"/>
      <w:numFmt w:val="bullet"/>
      <w:lvlText w:val=""/>
      <w:lvlJc w:val="left"/>
      <w:pPr>
        <w:ind w:left="785" w:hanging="360"/>
      </w:pPr>
      <w:rPr>
        <w:rFonts w:ascii="Symbol" w:hAnsi="Symbol" w:hint="default"/>
      </w:rPr>
    </w:lvl>
    <w:lvl w:ilvl="1" w:tplc="0C0C0003" w:tentative="1">
      <w:start w:val="1"/>
      <w:numFmt w:val="bullet"/>
      <w:lvlText w:val="o"/>
      <w:lvlJc w:val="left"/>
      <w:pPr>
        <w:ind w:left="1505" w:hanging="360"/>
      </w:pPr>
      <w:rPr>
        <w:rFonts w:ascii="Courier New" w:hAnsi="Courier New" w:cs="Courier New" w:hint="default"/>
      </w:rPr>
    </w:lvl>
    <w:lvl w:ilvl="2" w:tplc="0C0C0005" w:tentative="1">
      <w:start w:val="1"/>
      <w:numFmt w:val="bullet"/>
      <w:lvlText w:val=""/>
      <w:lvlJc w:val="left"/>
      <w:pPr>
        <w:ind w:left="2225" w:hanging="360"/>
      </w:pPr>
      <w:rPr>
        <w:rFonts w:ascii="Wingdings" w:hAnsi="Wingdings" w:hint="default"/>
      </w:rPr>
    </w:lvl>
    <w:lvl w:ilvl="3" w:tplc="0C0C0001" w:tentative="1">
      <w:start w:val="1"/>
      <w:numFmt w:val="bullet"/>
      <w:lvlText w:val=""/>
      <w:lvlJc w:val="left"/>
      <w:pPr>
        <w:ind w:left="2945" w:hanging="360"/>
      </w:pPr>
      <w:rPr>
        <w:rFonts w:ascii="Symbol" w:hAnsi="Symbol" w:hint="default"/>
      </w:rPr>
    </w:lvl>
    <w:lvl w:ilvl="4" w:tplc="0C0C0003" w:tentative="1">
      <w:start w:val="1"/>
      <w:numFmt w:val="bullet"/>
      <w:lvlText w:val="o"/>
      <w:lvlJc w:val="left"/>
      <w:pPr>
        <w:ind w:left="3665" w:hanging="360"/>
      </w:pPr>
      <w:rPr>
        <w:rFonts w:ascii="Courier New" w:hAnsi="Courier New" w:cs="Courier New" w:hint="default"/>
      </w:rPr>
    </w:lvl>
    <w:lvl w:ilvl="5" w:tplc="0C0C0005" w:tentative="1">
      <w:start w:val="1"/>
      <w:numFmt w:val="bullet"/>
      <w:lvlText w:val=""/>
      <w:lvlJc w:val="left"/>
      <w:pPr>
        <w:ind w:left="4385" w:hanging="360"/>
      </w:pPr>
      <w:rPr>
        <w:rFonts w:ascii="Wingdings" w:hAnsi="Wingdings" w:hint="default"/>
      </w:rPr>
    </w:lvl>
    <w:lvl w:ilvl="6" w:tplc="0C0C0001" w:tentative="1">
      <w:start w:val="1"/>
      <w:numFmt w:val="bullet"/>
      <w:lvlText w:val=""/>
      <w:lvlJc w:val="left"/>
      <w:pPr>
        <w:ind w:left="5105" w:hanging="360"/>
      </w:pPr>
      <w:rPr>
        <w:rFonts w:ascii="Symbol" w:hAnsi="Symbol" w:hint="default"/>
      </w:rPr>
    </w:lvl>
    <w:lvl w:ilvl="7" w:tplc="0C0C0003" w:tentative="1">
      <w:start w:val="1"/>
      <w:numFmt w:val="bullet"/>
      <w:lvlText w:val="o"/>
      <w:lvlJc w:val="left"/>
      <w:pPr>
        <w:ind w:left="5825" w:hanging="360"/>
      </w:pPr>
      <w:rPr>
        <w:rFonts w:ascii="Courier New" w:hAnsi="Courier New" w:cs="Courier New" w:hint="default"/>
      </w:rPr>
    </w:lvl>
    <w:lvl w:ilvl="8" w:tplc="0C0C0005" w:tentative="1">
      <w:start w:val="1"/>
      <w:numFmt w:val="bullet"/>
      <w:lvlText w:val=""/>
      <w:lvlJc w:val="left"/>
      <w:pPr>
        <w:ind w:left="6545" w:hanging="360"/>
      </w:pPr>
      <w:rPr>
        <w:rFonts w:ascii="Wingdings" w:hAnsi="Wingdings" w:hint="default"/>
      </w:rPr>
    </w:lvl>
  </w:abstractNum>
  <w:abstractNum w:abstractNumId="11" w15:restartNumberingAfterBreak="0">
    <w:nsid w:val="4BF423AA"/>
    <w:multiLevelType w:val="multilevel"/>
    <w:tmpl w:val="713A5CE4"/>
    <w:name w:val="Style12"/>
    <w:numStyleLink w:val="Style1"/>
  </w:abstractNum>
  <w:abstractNum w:abstractNumId="12" w15:restartNumberingAfterBreak="0">
    <w:nsid w:val="4C261483"/>
    <w:multiLevelType w:val="hybridMultilevel"/>
    <w:tmpl w:val="FBFEE5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71620B"/>
    <w:multiLevelType w:val="hybridMultilevel"/>
    <w:tmpl w:val="8ACE70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CE0947"/>
    <w:multiLevelType w:val="hybridMultilevel"/>
    <w:tmpl w:val="8ACE70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341823"/>
    <w:multiLevelType w:val="hybridMultilevel"/>
    <w:tmpl w:val="58D44C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A0C4719"/>
    <w:multiLevelType w:val="multilevel"/>
    <w:tmpl w:val="713A5CE4"/>
    <w:name w:val="Style13"/>
    <w:numStyleLink w:val="Style1"/>
  </w:abstractNum>
  <w:abstractNum w:abstractNumId="17" w15:restartNumberingAfterBreak="0">
    <w:nsid w:val="609C0DCC"/>
    <w:multiLevelType w:val="multilevel"/>
    <w:tmpl w:val="5720EF72"/>
    <w:lvl w:ilvl="0">
      <w:start w:val="1"/>
      <w:numFmt w:val="decimal"/>
      <w:pStyle w:val="Paragrdouble"/>
      <w:lvlText w:val="[%1]"/>
      <w:lvlJc w:val="left"/>
      <w:pPr>
        <w:tabs>
          <w:tab w:val="num" w:pos="2769"/>
        </w:tabs>
        <w:ind w:left="2409" w:firstLine="0"/>
      </w:pPr>
      <w:rPr>
        <w:rFonts w:ascii="Arial" w:hAnsi="Arial" w:hint="default"/>
        <w:b w:val="0"/>
        <w:i w:val="0"/>
        <w:sz w:val="24"/>
      </w:rPr>
    </w:lvl>
    <w:lvl w:ilvl="1">
      <w:start w:val="1"/>
      <w:numFmt w:val="decimal"/>
      <w:pStyle w:val="Sous-paragraphe"/>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62C32CA9"/>
    <w:multiLevelType w:val="hybridMultilevel"/>
    <w:tmpl w:val="FBFEE5B6"/>
    <w:lvl w:ilvl="0" w:tplc="FFFFFFF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6D3E1FEE"/>
    <w:multiLevelType w:val="hybridMultilevel"/>
    <w:tmpl w:val="FBFEE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1337757">
    <w:abstractNumId w:val="17"/>
  </w:num>
  <w:num w:numId="2" w16cid:durableId="1926452025">
    <w:abstractNumId w:val="6"/>
  </w:num>
  <w:num w:numId="3" w16cid:durableId="559709504">
    <w:abstractNumId w:val="5"/>
    <w:lvlOverride w:ilvl="0">
      <w:lvl w:ilvl="0">
        <w:start w:val="1"/>
        <w:numFmt w:val="decimal"/>
        <w:pStyle w:val="Titre2"/>
        <w:lvlText w:val="%1."/>
        <w:lvlJc w:val="left"/>
        <w:pPr>
          <w:ind w:left="431" w:hanging="431"/>
        </w:pPr>
        <w:rPr>
          <w:rFonts w:hint="default"/>
          <w:b/>
          <w:bCs w:val="0"/>
        </w:rPr>
      </w:lvl>
    </w:lvlOverride>
    <w:lvlOverride w:ilvl="1">
      <w:lvl w:ilvl="1">
        <w:start w:val="1"/>
        <w:numFmt w:val="decimal"/>
        <w:pStyle w:val="Titre3"/>
        <w:lvlText w:val="%1.%2"/>
        <w:lvlJc w:val="left"/>
        <w:pPr>
          <w:ind w:left="431" w:hanging="431"/>
        </w:pPr>
        <w:rPr>
          <w:rFonts w:hint="default"/>
          <w:b/>
          <w:bCs w:val="0"/>
        </w:rPr>
      </w:lvl>
    </w:lvlOverride>
    <w:lvlOverride w:ilvl="2">
      <w:lvl w:ilvl="2">
        <w:start w:val="1"/>
        <w:numFmt w:val="decimal"/>
        <w:pStyle w:val="Titre4"/>
        <w:lvlText w:val="%1.%2.%3"/>
        <w:lvlJc w:val="left"/>
        <w:pPr>
          <w:ind w:left="431" w:hanging="431"/>
        </w:pPr>
        <w:rPr>
          <w:rFonts w:hint="default"/>
          <w:b/>
          <w:bCs w:val="0"/>
        </w:rPr>
      </w:lvl>
    </w:lvlOverride>
    <w:lvlOverride w:ilvl="3">
      <w:lvl w:ilvl="3">
        <w:start w:val="1"/>
        <w:numFmt w:val="decimal"/>
        <w:pStyle w:val="Titre5"/>
        <w:lvlText w:val="%1.%2.%3.%4"/>
        <w:lvlJc w:val="left"/>
        <w:pPr>
          <w:ind w:left="431" w:hanging="431"/>
        </w:pPr>
        <w:rPr>
          <w:rFonts w:hint="default"/>
        </w:rPr>
      </w:lvl>
    </w:lvlOverride>
    <w:lvlOverride w:ilvl="4">
      <w:lvl w:ilvl="4">
        <w:start w:val="1"/>
        <w:numFmt w:val="decimal"/>
        <w:pStyle w:val="Titre6"/>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4" w16cid:durableId="1006591493">
    <w:abstractNumId w:val="5"/>
  </w:num>
  <w:num w:numId="5" w16cid:durableId="1973320591">
    <w:abstractNumId w:val="18"/>
  </w:num>
  <w:num w:numId="6" w16cid:durableId="388847627">
    <w:abstractNumId w:val="19"/>
  </w:num>
  <w:num w:numId="7" w16cid:durableId="1667702595">
    <w:abstractNumId w:val="1"/>
  </w:num>
  <w:num w:numId="8" w16cid:durableId="944192335">
    <w:abstractNumId w:val="0"/>
  </w:num>
  <w:num w:numId="9" w16cid:durableId="1864974678">
    <w:abstractNumId w:val="10"/>
  </w:num>
  <w:num w:numId="10" w16cid:durableId="74284384">
    <w:abstractNumId w:val="4"/>
  </w:num>
  <w:num w:numId="11" w16cid:durableId="598877931">
    <w:abstractNumId w:val="8"/>
  </w:num>
  <w:num w:numId="12" w16cid:durableId="1458328277">
    <w:abstractNumId w:val="2"/>
  </w:num>
  <w:num w:numId="13" w16cid:durableId="1619098487">
    <w:abstractNumId w:val="9"/>
  </w:num>
  <w:num w:numId="14" w16cid:durableId="219101312">
    <w:abstractNumId w:val="13"/>
  </w:num>
  <w:num w:numId="15" w16cid:durableId="261765728">
    <w:abstractNumId w:val="14"/>
  </w:num>
  <w:num w:numId="16" w16cid:durableId="2000380700">
    <w:abstractNumId w:val="5"/>
    <w:lvlOverride w:ilvl="0">
      <w:startOverride w:val="1"/>
      <w:lvl w:ilvl="0">
        <w:start w:val="1"/>
        <w:numFmt w:val="decimal"/>
        <w:pStyle w:val="Titre2"/>
        <w:lvlText w:val="%1."/>
        <w:lvlJc w:val="left"/>
        <w:pPr>
          <w:ind w:left="431" w:hanging="431"/>
        </w:pPr>
        <w:rPr>
          <w:rFonts w:hint="default"/>
        </w:rPr>
      </w:lvl>
    </w:lvlOverride>
    <w:lvlOverride w:ilvl="1">
      <w:startOverride w:val="1"/>
      <w:lvl w:ilvl="1">
        <w:start w:val="1"/>
        <w:numFmt w:val="decimal"/>
        <w:pStyle w:val="Titre3"/>
        <w:lvlText w:val="%1.%2"/>
        <w:lvlJc w:val="left"/>
        <w:pPr>
          <w:ind w:left="431" w:hanging="431"/>
        </w:pPr>
        <w:rPr>
          <w:rFonts w:hint="default"/>
        </w:rPr>
      </w:lvl>
    </w:lvlOverride>
    <w:lvlOverride w:ilvl="2">
      <w:startOverride w:val="1"/>
      <w:lvl w:ilvl="2">
        <w:start w:val="1"/>
        <w:numFmt w:val="decimal"/>
        <w:pStyle w:val="Titre4"/>
        <w:lvlText w:val="%1.%2.%3"/>
        <w:lvlJc w:val="left"/>
        <w:pPr>
          <w:ind w:left="431" w:hanging="431"/>
        </w:pPr>
        <w:rPr>
          <w:rFonts w:hint="default"/>
        </w:rPr>
      </w:lvl>
    </w:lvlOverride>
    <w:lvlOverride w:ilvl="3">
      <w:startOverride w:val="1"/>
      <w:lvl w:ilvl="3">
        <w:start w:val="1"/>
        <w:numFmt w:val="decimal"/>
        <w:pStyle w:val="Titre5"/>
        <w:lvlText w:val="%1.%2.%3.%4"/>
        <w:lvlJc w:val="left"/>
        <w:pPr>
          <w:ind w:left="431" w:hanging="431"/>
        </w:pPr>
        <w:rPr>
          <w:rFonts w:hint="default"/>
        </w:rPr>
      </w:lvl>
    </w:lvlOverride>
    <w:lvlOverride w:ilvl="4">
      <w:startOverride w:val="1"/>
      <w:lvl w:ilvl="4">
        <w:start w:val="1"/>
        <w:numFmt w:val="decimal"/>
        <w:pStyle w:val="Titre6"/>
        <w:lvlText w:val="%1.%2.%3.%4.%5"/>
        <w:lvlJc w:val="left"/>
        <w:pPr>
          <w:ind w:left="431" w:hanging="431"/>
        </w:pPr>
        <w:rPr>
          <w:rFonts w:hint="default"/>
        </w:rPr>
      </w:lvl>
    </w:lvlOverride>
    <w:lvlOverride w:ilvl="5">
      <w:startOverride w:val="1"/>
      <w:lvl w:ilvl="5">
        <w:start w:val="1"/>
        <w:numFmt w:val="decimal"/>
        <w:lvlText w:val="%1.%2.%3.%4.%5.%6"/>
        <w:lvlJc w:val="left"/>
        <w:pPr>
          <w:ind w:left="431" w:hanging="431"/>
        </w:pPr>
        <w:rPr>
          <w:rFonts w:hint="default"/>
        </w:rPr>
      </w:lvl>
    </w:lvlOverride>
    <w:lvlOverride w:ilvl="6">
      <w:startOverride w:val="1"/>
      <w:lvl w:ilvl="6">
        <w:start w:val="1"/>
        <w:numFmt w:val="decimal"/>
        <w:lvlText w:val="%1.%2.%3.%4.%5.%6.%7"/>
        <w:lvlJc w:val="left"/>
        <w:pPr>
          <w:ind w:left="431" w:hanging="431"/>
        </w:pPr>
        <w:rPr>
          <w:rFonts w:hint="default"/>
        </w:rPr>
      </w:lvl>
    </w:lvlOverride>
    <w:lvlOverride w:ilvl="7">
      <w:startOverride w:val="1"/>
      <w:lvl w:ilvl="7">
        <w:start w:val="1"/>
        <w:numFmt w:val="decimal"/>
        <w:lvlText w:val="%1.%2.%3.%4.%5.%6.%7.%8"/>
        <w:lvlJc w:val="left"/>
        <w:pPr>
          <w:ind w:left="431" w:hanging="431"/>
        </w:pPr>
        <w:rPr>
          <w:rFonts w:hint="default"/>
        </w:rPr>
      </w:lvl>
    </w:lvlOverride>
    <w:lvlOverride w:ilvl="8">
      <w:startOverride w:val="1"/>
      <w:lvl w:ilvl="8">
        <w:start w:val="1"/>
        <w:numFmt w:val="decimal"/>
        <w:lvlText w:val="%1.%2.%3.%4.%5.%6.%7.%8.%9"/>
        <w:lvlJc w:val="left"/>
        <w:pPr>
          <w:ind w:left="431" w:hanging="431"/>
        </w:pPr>
        <w:rPr>
          <w:rFonts w:hint="default"/>
        </w:rPr>
      </w:lvl>
    </w:lvlOverride>
  </w:num>
  <w:num w:numId="17" w16cid:durableId="197277351">
    <w:abstractNumId w:val="12"/>
  </w:num>
  <w:num w:numId="18" w16cid:durableId="1687631250">
    <w:abstractNumId w:val="7"/>
  </w:num>
  <w:num w:numId="19" w16cid:durableId="551968008">
    <w:abstractNumId w:val="15"/>
  </w:num>
  <w:num w:numId="20" w16cid:durableId="1436830234">
    <w:abstractNumId w:val="3"/>
  </w:num>
  <w:num w:numId="21" w16cid:durableId="1649088260">
    <w:abstractNumId w:val="5"/>
    <w:lvlOverride w:ilvl="0">
      <w:lvl w:ilvl="0">
        <w:start w:val="1"/>
        <w:numFmt w:val="decimal"/>
        <w:pStyle w:val="Titre2"/>
        <w:lvlText w:val="%1."/>
        <w:lvlJc w:val="left"/>
        <w:pPr>
          <w:ind w:left="431" w:hanging="431"/>
        </w:pPr>
        <w:rPr>
          <w:rFonts w:hint="default"/>
          <w:b/>
          <w:bCs w:val="0"/>
        </w:rPr>
      </w:lvl>
    </w:lvlOverride>
    <w:lvlOverride w:ilvl="1">
      <w:lvl w:ilvl="1">
        <w:start w:val="1"/>
        <w:numFmt w:val="decimal"/>
        <w:pStyle w:val="Titre3"/>
        <w:lvlText w:val="%1.%2"/>
        <w:lvlJc w:val="left"/>
        <w:pPr>
          <w:ind w:left="431" w:hanging="431"/>
        </w:pPr>
        <w:rPr>
          <w:rFonts w:hint="default"/>
          <w:b/>
          <w:bCs w:val="0"/>
        </w:rPr>
      </w:lvl>
    </w:lvlOverride>
    <w:lvlOverride w:ilvl="2">
      <w:lvl w:ilvl="2">
        <w:start w:val="1"/>
        <w:numFmt w:val="decimal"/>
        <w:pStyle w:val="Titre4"/>
        <w:lvlText w:val="%1.%2.%3"/>
        <w:lvlJc w:val="left"/>
        <w:pPr>
          <w:ind w:left="431" w:hanging="431"/>
        </w:pPr>
        <w:rPr>
          <w:rFonts w:hint="default"/>
          <w:b/>
          <w:bCs w:val="0"/>
        </w:rPr>
      </w:lvl>
    </w:lvlOverride>
    <w:lvlOverride w:ilvl="3">
      <w:lvl w:ilvl="3">
        <w:start w:val="1"/>
        <w:numFmt w:val="decimal"/>
        <w:pStyle w:val="Titre5"/>
        <w:lvlText w:val="%1.%2.%3.%4"/>
        <w:lvlJc w:val="left"/>
        <w:pPr>
          <w:ind w:left="431" w:hanging="431"/>
        </w:pPr>
        <w:rPr>
          <w:rFonts w:hint="default"/>
        </w:rPr>
      </w:lvl>
    </w:lvlOverride>
    <w:lvlOverride w:ilvl="4">
      <w:lvl w:ilvl="4">
        <w:start w:val="1"/>
        <w:numFmt w:val="decimal"/>
        <w:pStyle w:val="Titre6"/>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22" w16cid:durableId="1402556683">
    <w:abstractNumId w:val="5"/>
    <w:lvlOverride w:ilvl="0">
      <w:lvl w:ilvl="0">
        <w:start w:val="1"/>
        <w:numFmt w:val="decimal"/>
        <w:pStyle w:val="Titre2"/>
        <w:lvlText w:val="%1."/>
        <w:lvlJc w:val="left"/>
        <w:pPr>
          <w:ind w:left="431" w:hanging="431"/>
        </w:pPr>
        <w:rPr>
          <w:rFonts w:hint="default"/>
          <w:b/>
          <w:bCs w:val="0"/>
        </w:rPr>
      </w:lvl>
    </w:lvlOverride>
    <w:lvlOverride w:ilvl="1">
      <w:lvl w:ilvl="1">
        <w:start w:val="1"/>
        <w:numFmt w:val="decimal"/>
        <w:pStyle w:val="Titre3"/>
        <w:lvlText w:val="%1.%2"/>
        <w:lvlJc w:val="left"/>
        <w:pPr>
          <w:ind w:left="431" w:hanging="431"/>
        </w:pPr>
        <w:rPr>
          <w:rFonts w:hint="default"/>
          <w:b/>
          <w:bCs w:val="0"/>
        </w:rPr>
      </w:lvl>
    </w:lvlOverride>
    <w:lvlOverride w:ilvl="2">
      <w:lvl w:ilvl="2">
        <w:start w:val="1"/>
        <w:numFmt w:val="decimal"/>
        <w:pStyle w:val="Titre4"/>
        <w:lvlText w:val="%1.%2.%3"/>
        <w:lvlJc w:val="left"/>
        <w:pPr>
          <w:ind w:left="431" w:hanging="431"/>
        </w:pPr>
        <w:rPr>
          <w:rFonts w:hint="default"/>
          <w:b/>
          <w:bCs w:val="0"/>
        </w:rPr>
      </w:lvl>
    </w:lvlOverride>
    <w:lvlOverride w:ilvl="3">
      <w:lvl w:ilvl="3">
        <w:start w:val="1"/>
        <w:numFmt w:val="decimal"/>
        <w:pStyle w:val="Titre5"/>
        <w:lvlText w:val="%1.%2.%3.%4"/>
        <w:lvlJc w:val="left"/>
        <w:pPr>
          <w:ind w:left="431" w:hanging="431"/>
        </w:pPr>
        <w:rPr>
          <w:rFonts w:hint="default"/>
        </w:rPr>
      </w:lvl>
    </w:lvlOverride>
    <w:lvlOverride w:ilvl="4">
      <w:lvl w:ilvl="4">
        <w:start w:val="1"/>
        <w:numFmt w:val="decimal"/>
        <w:pStyle w:val="Titre6"/>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23" w16cid:durableId="1487548774">
    <w:abstractNumId w:val="5"/>
    <w:lvlOverride w:ilvl="0">
      <w:lvl w:ilvl="0">
        <w:start w:val="1"/>
        <w:numFmt w:val="decimal"/>
        <w:pStyle w:val="Titre2"/>
        <w:lvlText w:val="%1."/>
        <w:lvlJc w:val="left"/>
        <w:pPr>
          <w:ind w:left="431" w:hanging="431"/>
        </w:pPr>
        <w:rPr>
          <w:rFonts w:hint="default"/>
          <w:b/>
          <w:bCs w:val="0"/>
        </w:rPr>
      </w:lvl>
    </w:lvlOverride>
    <w:lvlOverride w:ilvl="1">
      <w:lvl w:ilvl="1">
        <w:start w:val="1"/>
        <w:numFmt w:val="decimal"/>
        <w:pStyle w:val="Titre3"/>
        <w:lvlText w:val="%1.%2"/>
        <w:lvlJc w:val="left"/>
        <w:pPr>
          <w:ind w:left="431" w:hanging="431"/>
        </w:pPr>
        <w:rPr>
          <w:rFonts w:hint="default"/>
          <w:b/>
          <w:bCs w:val="0"/>
        </w:rPr>
      </w:lvl>
    </w:lvlOverride>
    <w:lvlOverride w:ilvl="2">
      <w:lvl w:ilvl="2">
        <w:start w:val="1"/>
        <w:numFmt w:val="decimal"/>
        <w:pStyle w:val="Titre4"/>
        <w:lvlText w:val="%1.%2.%3"/>
        <w:lvlJc w:val="left"/>
        <w:pPr>
          <w:ind w:left="431" w:hanging="431"/>
        </w:pPr>
        <w:rPr>
          <w:rFonts w:hint="default"/>
          <w:b/>
          <w:bCs w:val="0"/>
        </w:rPr>
      </w:lvl>
    </w:lvlOverride>
    <w:lvlOverride w:ilvl="3">
      <w:lvl w:ilvl="3">
        <w:start w:val="1"/>
        <w:numFmt w:val="decimal"/>
        <w:pStyle w:val="Titre5"/>
        <w:lvlText w:val="%1.%2.%3.%4"/>
        <w:lvlJc w:val="left"/>
        <w:pPr>
          <w:ind w:left="431" w:hanging="431"/>
        </w:pPr>
        <w:rPr>
          <w:rFonts w:hint="default"/>
        </w:rPr>
      </w:lvl>
    </w:lvlOverride>
    <w:lvlOverride w:ilvl="4">
      <w:lvl w:ilvl="4">
        <w:start w:val="1"/>
        <w:numFmt w:val="decimal"/>
        <w:pStyle w:val="Titre6"/>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24" w16cid:durableId="1961720734">
    <w:abstractNumId w:val="5"/>
    <w:lvlOverride w:ilvl="0">
      <w:lvl w:ilvl="0">
        <w:start w:val="1"/>
        <w:numFmt w:val="decimal"/>
        <w:pStyle w:val="Titre2"/>
        <w:lvlText w:val="%1."/>
        <w:lvlJc w:val="left"/>
        <w:pPr>
          <w:ind w:left="431" w:hanging="431"/>
        </w:pPr>
        <w:rPr>
          <w:rFonts w:hint="default"/>
          <w:b/>
          <w:bCs w:val="0"/>
        </w:rPr>
      </w:lvl>
    </w:lvlOverride>
    <w:lvlOverride w:ilvl="1">
      <w:lvl w:ilvl="1">
        <w:start w:val="1"/>
        <w:numFmt w:val="decimal"/>
        <w:pStyle w:val="Titre3"/>
        <w:lvlText w:val="%1.%2"/>
        <w:lvlJc w:val="left"/>
        <w:pPr>
          <w:ind w:left="431" w:hanging="431"/>
        </w:pPr>
        <w:rPr>
          <w:rFonts w:hint="default"/>
          <w:b/>
          <w:bCs w:val="0"/>
        </w:rPr>
      </w:lvl>
    </w:lvlOverride>
    <w:lvlOverride w:ilvl="2">
      <w:lvl w:ilvl="2">
        <w:start w:val="1"/>
        <w:numFmt w:val="decimal"/>
        <w:pStyle w:val="Titre4"/>
        <w:lvlText w:val="%1.%2.%3"/>
        <w:lvlJc w:val="left"/>
        <w:pPr>
          <w:ind w:left="431" w:hanging="431"/>
        </w:pPr>
        <w:rPr>
          <w:rFonts w:hint="default"/>
          <w:b/>
          <w:bCs w:val="0"/>
        </w:rPr>
      </w:lvl>
    </w:lvlOverride>
    <w:lvlOverride w:ilvl="3">
      <w:lvl w:ilvl="3">
        <w:start w:val="1"/>
        <w:numFmt w:val="decimal"/>
        <w:pStyle w:val="Titre5"/>
        <w:lvlText w:val="%1.%2.%3.%4"/>
        <w:lvlJc w:val="left"/>
        <w:pPr>
          <w:ind w:left="431" w:hanging="431"/>
        </w:pPr>
        <w:rPr>
          <w:rFonts w:hint="default"/>
        </w:rPr>
      </w:lvl>
    </w:lvlOverride>
    <w:lvlOverride w:ilvl="4">
      <w:lvl w:ilvl="4">
        <w:start w:val="1"/>
        <w:numFmt w:val="decimal"/>
        <w:pStyle w:val="Titre6"/>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25" w16cid:durableId="1755086691">
    <w:abstractNumId w:val="5"/>
    <w:lvlOverride w:ilvl="0">
      <w:lvl w:ilvl="0">
        <w:start w:val="1"/>
        <w:numFmt w:val="decimal"/>
        <w:pStyle w:val="Titre2"/>
        <w:lvlText w:val="%1."/>
        <w:lvlJc w:val="left"/>
        <w:pPr>
          <w:ind w:left="431" w:hanging="431"/>
        </w:pPr>
        <w:rPr>
          <w:rFonts w:hint="default"/>
          <w:b/>
          <w:bCs w:val="0"/>
        </w:rPr>
      </w:lvl>
    </w:lvlOverride>
    <w:lvlOverride w:ilvl="1">
      <w:lvl w:ilvl="1">
        <w:start w:val="1"/>
        <w:numFmt w:val="decimal"/>
        <w:pStyle w:val="Titre3"/>
        <w:lvlText w:val="%1.%2"/>
        <w:lvlJc w:val="left"/>
        <w:pPr>
          <w:ind w:left="431" w:hanging="431"/>
        </w:pPr>
        <w:rPr>
          <w:rFonts w:hint="default"/>
          <w:b/>
          <w:bCs w:val="0"/>
        </w:rPr>
      </w:lvl>
    </w:lvlOverride>
    <w:lvlOverride w:ilvl="2">
      <w:lvl w:ilvl="2">
        <w:start w:val="1"/>
        <w:numFmt w:val="decimal"/>
        <w:pStyle w:val="Titre4"/>
        <w:lvlText w:val="%1.%2.%3"/>
        <w:lvlJc w:val="left"/>
        <w:pPr>
          <w:ind w:left="431" w:hanging="431"/>
        </w:pPr>
        <w:rPr>
          <w:rFonts w:hint="default"/>
          <w:b/>
          <w:bCs w:val="0"/>
        </w:rPr>
      </w:lvl>
    </w:lvlOverride>
    <w:lvlOverride w:ilvl="3">
      <w:lvl w:ilvl="3">
        <w:start w:val="1"/>
        <w:numFmt w:val="decimal"/>
        <w:pStyle w:val="Titre5"/>
        <w:lvlText w:val="%1.%2.%3.%4"/>
        <w:lvlJc w:val="left"/>
        <w:pPr>
          <w:ind w:left="431" w:hanging="431"/>
        </w:pPr>
        <w:rPr>
          <w:rFonts w:hint="default"/>
        </w:rPr>
      </w:lvl>
    </w:lvlOverride>
    <w:lvlOverride w:ilvl="4">
      <w:lvl w:ilvl="4">
        <w:start w:val="1"/>
        <w:numFmt w:val="decimal"/>
        <w:pStyle w:val="Titre6"/>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removePersonalInformation/>
  <w:removeDateAndTime/>
  <w:proofState w:spelling="clean" w:grammar="clean"/>
  <w:defaultTabStop w:val="731"/>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B4"/>
    <w:rsid w:val="00000519"/>
    <w:rsid w:val="00002731"/>
    <w:rsid w:val="0000281E"/>
    <w:rsid w:val="00003026"/>
    <w:rsid w:val="000032F7"/>
    <w:rsid w:val="0000420E"/>
    <w:rsid w:val="000043D4"/>
    <w:rsid w:val="00004FAC"/>
    <w:rsid w:val="00005446"/>
    <w:rsid w:val="00007687"/>
    <w:rsid w:val="0001076C"/>
    <w:rsid w:val="000121D5"/>
    <w:rsid w:val="00012D64"/>
    <w:rsid w:val="00014D33"/>
    <w:rsid w:val="000173EC"/>
    <w:rsid w:val="00017A7A"/>
    <w:rsid w:val="00022090"/>
    <w:rsid w:val="00022A7E"/>
    <w:rsid w:val="0002483B"/>
    <w:rsid w:val="000257B0"/>
    <w:rsid w:val="00025CA8"/>
    <w:rsid w:val="00026A6F"/>
    <w:rsid w:val="000301E3"/>
    <w:rsid w:val="00031377"/>
    <w:rsid w:val="00031BCB"/>
    <w:rsid w:val="0003300D"/>
    <w:rsid w:val="0003354D"/>
    <w:rsid w:val="00035A0C"/>
    <w:rsid w:val="000365E3"/>
    <w:rsid w:val="0003752C"/>
    <w:rsid w:val="00037641"/>
    <w:rsid w:val="000407A6"/>
    <w:rsid w:val="00040906"/>
    <w:rsid w:val="000417C7"/>
    <w:rsid w:val="000422BE"/>
    <w:rsid w:val="000428B7"/>
    <w:rsid w:val="00042EF3"/>
    <w:rsid w:val="000437CF"/>
    <w:rsid w:val="00043D13"/>
    <w:rsid w:val="000440AB"/>
    <w:rsid w:val="0004716C"/>
    <w:rsid w:val="000471BD"/>
    <w:rsid w:val="00051291"/>
    <w:rsid w:val="000525B5"/>
    <w:rsid w:val="00052CA1"/>
    <w:rsid w:val="00054495"/>
    <w:rsid w:val="00055DBA"/>
    <w:rsid w:val="00056DCA"/>
    <w:rsid w:val="00060F72"/>
    <w:rsid w:val="00061550"/>
    <w:rsid w:val="00061B99"/>
    <w:rsid w:val="00062417"/>
    <w:rsid w:val="0006272E"/>
    <w:rsid w:val="00062B8F"/>
    <w:rsid w:val="00063E48"/>
    <w:rsid w:val="000718A0"/>
    <w:rsid w:val="00074FD6"/>
    <w:rsid w:val="000755CB"/>
    <w:rsid w:val="00075C2D"/>
    <w:rsid w:val="00081103"/>
    <w:rsid w:val="000819C2"/>
    <w:rsid w:val="00081B05"/>
    <w:rsid w:val="00082DDC"/>
    <w:rsid w:val="00090834"/>
    <w:rsid w:val="00091A14"/>
    <w:rsid w:val="0009429C"/>
    <w:rsid w:val="000943E4"/>
    <w:rsid w:val="0009464C"/>
    <w:rsid w:val="000955D4"/>
    <w:rsid w:val="0009572B"/>
    <w:rsid w:val="0009591A"/>
    <w:rsid w:val="0009708E"/>
    <w:rsid w:val="00097575"/>
    <w:rsid w:val="000A09FD"/>
    <w:rsid w:val="000A3312"/>
    <w:rsid w:val="000A719D"/>
    <w:rsid w:val="000A75F2"/>
    <w:rsid w:val="000B3A8D"/>
    <w:rsid w:val="000B4100"/>
    <w:rsid w:val="000B42F1"/>
    <w:rsid w:val="000B4F94"/>
    <w:rsid w:val="000B5071"/>
    <w:rsid w:val="000B78E3"/>
    <w:rsid w:val="000B7B04"/>
    <w:rsid w:val="000C00AB"/>
    <w:rsid w:val="000C052C"/>
    <w:rsid w:val="000C1AF9"/>
    <w:rsid w:val="000C251F"/>
    <w:rsid w:val="000C2F46"/>
    <w:rsid w:val="000C5A83"/>
    <w:rsid w:val="000C6CF1"/>
    <w:rsid w:val="000C7672"/>
    <w:rsid w:val="000C775A"/>
    <w:rsid w:val="000C796A"/>
    <w:rsid w:val="000C7C16"/>
    <w:rsid w:val="000D0F8E"/>
    <w:rsid w:val="000D18B3"/>
    <w:rsid w:val="000D36E7"/>
    <w:rsid w:val="000D37EA"/>
    <w:rsid w:val="000D58EB"/>
    <w:rsid w:val="000D68E6"/>
    <w:rsid w:val="000D747C"/>
    <w:rsid w:val="000D74C7"/>
    <w:rsid w:val="000E19AB"/>
    <w:rsid w:val="000E1F8E"/>
    <w:rsid w:val="000E2378"/>
    <w:rsid w:val="000E2647"/>
    <w:rsid w:val="000E2948"/>
    <w:rsid w:val="000E328F"/>
    <w:rsid w:val="000E3940"/>
    <w:rsid w:val="000E4314"/>
    <w:rsid w:val="000E448F"/>
    <w:rsid w:val="000E5656"/>
    <w:rsid w:val="000E5B68"/>
    <w:rsid w:val="000E5BE0"/>
    <w:rsid w:val="000E71C1"/>
    <w:rsid w:val="000E755C"/>
    <w:rsid w:val="000E75AF"/>
    <w:rsid w:val="000E7948"/>
    <w:rsid w:val="000F105E"/>
    <w:rsid w:val="000F13F5"/>
    <w:rsid w:val="000F1AD9"/>
    <w:rsid w:val="000F28D9"/>
    <w:rsid w:val="000F4412"/>
    <w:rsid w:val="000F477B"/>
    <w:rsid w:val="000F5747"/>
    <w:rsid w:val="000F5A8D"/>
    <w:rsid w:val="000F62B0"/>
    <w:rsid w:val="000F6BA9"/>
    <w:rsid w:val="000F79EF"/>
    <w:rsid w:val="00102846"/>
    <w:rsid w:val="00102D87"/>
    <w:rsid w:val="00103555"/>
    <w:rsid w:val="00104021"/>
    <w:rsid w:val="00106045"/>
    <w:rsid w:val="00106A31"/>
    <w:rsid w:val="00110623"/>
    <w:rsid w:val="00110A31"/>
    <w:rsid w:val="00110CD2"/>
    <w:rsid w:val="00110F55"/>
    <w:rsid w:val="001113D5"/>
    <w:rsid w:val="001148C0"/>
    <w:rsid w:val="00115901"/>
    <w:rsid w:val="0011608F"/>
    <w:rsid w:val="0011631E"/>
    <w:rsid w:val="00120AB6"/>
    <w:rsid w:val="00121A72"/>
    <w:rsid w:val="00121CD7"/>
    <w:rsid w:val="00123AEB"/>
    <w:rsid w:val="001240DD"/>
    <w:rsid w:val="00124887"/>
    <w:rsid w:val="001265EB"/>
    <w:rsid w:val="001266C3"/>
    <w:rsid w:val="001319BE"/>
    <w:rsid w:val="0013303D"/>
    <w:rsid w:val="00133620"/>
    <w:rsid w:val="001338B3"/>
    <w:rsid w:val="0014009E"/>
    <w:rsid w:val="001404D6"/>
    <w:rsid w:val="00140AC7"/>
    <w:rsid w:val="00140C97"/>
    <w:rsid w:val="00140CAB"/>
    <w:rsid w:val="001410D9"/>
    <w:rsid w:val="0014157E"/>
    <w:rsid w:val="00141678"/>
    <w:rsid w:val="00143E9D"/>
    <w:rsid w:val="00144FA3"/>
    <w:rsid w:val="001453DB"/>
    <w:rsid w:val="00145C51"/>
    <w:rsid w:val="0015388A"/>
    <w:rsid w:val="00153B42"/>
    <w:rsid w:val="00153EC1"/>
    <w:rsid w:val="001544A9"/>
    <w:rsid w:val="00155EBD"/>
    <w:rsid w:val="00157FB2"/>
    <w:rsid w:val="00160803"/>
    <w:rsid w:val="00160F7F"/>
    <w:rsid w:val="00161859"/>
    <w:rsid w:val="00162139"/>
    <w:rsid w:val="001621A7"/>
    <w:rsid w:val="001624AC"/>
    <w:rsid w:val="00163DCE"/>
    <w:rsid w:val="001645A4"/>
    <w:rsid w:val="001645ED"/>
    <w:rsid w:val="001701AD"/>
    <w:rsid w:val="00170991"/>
    <w:rsid w:val="00172BCC"/>
    <w:rsid w:val="001742F1"/>
    <w:rsid w:val="00174E9A"/>
    <w:rsid w:val="00175145"/>
    <w:rsid w:val="001752BC"/>
    <w:rsid w:val="0018029D"/>
    <w:rsid w:val="00181A60"/>
    <w:rsid w:val="00181E00"/>
    <w:rsid w:val="00182393"/>
    <w:rsid w:val="00183513"/>
    <w:rsid w:val="001841AA"/>
    <w:rsid w:val="00185D60"/>
    <w:rsid w:val="001865DA"/>
    <w:rsid w:val="001874A6"/>
    <w:rsid w:val="0019015A"/>
    <w:rsid w:val="00190B4F"/>
    <w:rsid w:val="00190B9E"/>
    <w:rsid w:val="00190C71"/>
    <w:rsid w:val="0019289D"/>
    <w:rsid w:val="00192E80"/>
    <w:rsid w:val="00193565"/>
    <w:rsid w:val="0019407F"/>
    <w:rsid w:val="0019415C"/>
    <w:rsid w:val="0019467B"/>
    <w:rsid w:val="00195A87"/>
    <w:rsid w:val="001961A8"/>
    <w:rsid w:val="0019624C"/>
    <w:rsid w:val="001A07BD"/>
    <w:rsid w:val="001A164B"/>
    <w:rsid w:val="001A1B54"/>
    <w:rsid w:val="001A2701"/>
    <w:rsid w:val="001A3AAB"/>
    <w:rsid w:val="001A5881"/>
    <w:rsid w:val="001B0685"/>
    <w:rsid w:val="001B07D3"/>
    <w:rsid w:val="001B0DA6"/>
    <w:rsid w:val="001B1105"/>
    <w:rsid w:val="001B1AE5"/>
    <w:rsid w:val="001B2E0A"/>
    <w:rsid w:val="001B364A"/>
    <w:rsid w:val="001B4D10"/>
    <w:rsid w:val="001B4D29"/>
    <w:rsid w:val="001B5678"/>
    <w:rsid w:val="001B625E"/>
    <w:rsid w:val="001B76A6"/>
    <w:rsid w:val="001B7764"/>
    <w:rsid w:val="001B77F9"/>
    <w:rsid w:val="001C0363"/>
    <w:rsid w:val="001C074C"/>
    <w:rsid w:val="001C12F5"/>
    <w:rsid w:val="001C17FB"/>
    <w:rsid w:val="001C3CDD"/>
    <w:rsid w:val="001C57B0"/>
    <w:rsid w:val="001C57E2"/>
    <w:rsid w:val="001C5CD5"/>
    <w:rsid w:val="001C64FE"/>
    <w:rsid w:val="001C6878"/>
    <w:rsid w:val="001C6D4A"/>
    <w:rsid w:val="001C7311"/>
    <w:rsid w:val="001D22E9"/>
    <w:rsid w:val="001D4310"/>
    <w:rsid w:val="001D457E"/>
    <w:rsid w:val="001D57D8"/>
    <w:rsid w:val="001D5F69"/>
    <w:rsid w:val="001D6309"/>
    <w:rsid w:val="001D723D"/>
    <w:rsid w:val="001E1E37"/>
    <w:rsid w:val="001E2EBE"/>
    <w:rsid w:val="001E34C2"/>
    <w:rsid w:val="001E3773"/>
    <w:rsid w:val="001E48F9"/>
    <w:rsid w:val="001E4FDF"/>
    <w:rsid w:val="001E566B"/>
    <w:rsid w:val="001E5BAE"/>
    <w:rsid w:val="001E6D7C"/>
    <w:rsid w:val="001E736C"/>
    <w:rsid w:val="001F09BC"/>
    <w:rsid w:val="001F0A01"/>
    <w:rsid w:val="001F19B6"/>
    <w:rsid w:val="001F1F18"/>
    <w:rsid w:val="001F49A5"/>
    <w:rsid w:val="001F56C5"/>
    <w:rsid w:val="001F5BA3"/>
    <w:rsid w:val="001F6B2D"/>
    <w:rsid w:val="001F7332"/>
    <w:rsid w:val="001F77BD"/>
    <w:rsid w:val="001F7A59"/>
    <w:rsid w:val="00201C7F"/>
    <w:rsid w:val="00202351"/>
    <w:rsid w:val="002034D8"/>
    <w:rsid w:val="00203C0D"/>
    <w:rsid w:val="00203E97"/>
    <w:rsid w:val="0020447C"/>
    <w:rsid w:val="00205646"/>
    <w:rsid w:val="00205749"/>
    <w:rsid w:val="00205770"/>
    <w:rsid w:val="00206C8A"/>
    <w:rsid w:val="0021100B"/>
    <w:rsid w:val="00214E1A"/>
    <w:rsid w:val="00214E48"/>
    <w:rsid w:val="002150FC"/>
    <w:rsid w:val="00215E36"/>
    <w:rsid w:val="00216F52"/>
    <w:rsid w:val="00216FFD"/>
    <w:rsid w:val="00220649"/>
    <w:rsid w:val="002208B9"/>
    <w:rsid w:val="00220B24"/>
    <w:rsid w:val="002256E4"/>
    <w:rsid w:val="00225C91"/>
    <w:rsid w:val="0023008A"/>
    <w:rsid w:val="0023277D"/>
    <w:rsid w:val="00233EAF"/>
    <w:rsid w:val="00235585"/>
    <w:rsid w:val="002406EE"/>
    <w:rsid w:val="00241D41"/>
    <w:rsid w:val="002431B4"/>
    <w:rsid w:val="00243AFD"/>
    <w:rsid w:val="00245FE8"/>
    <w:rsid w:val="00246082"/>
    <w:rsid w:val="00246397"/>
    <w:rsid w:val="00246A67"/>
    <w:rsid w:val="002502B2"/>
    <w:rsid w:val="00250E44"/>
    <w:rsid w:val="002515D3"/>
    <w:rsid w:val="002528CF"/>
    <w:rsid w:val="00252B9F"/>
    <w:rsid w:val="00253068"/>
    <w:rsid w:val="00253804"/>
    <w:rsid w:val="0025447B"/>
    <w:rsid w:val="002545F7"/>
    <w:rsid w:val="00256FFC"/>
    <w:rsid w:val="002579C0"/>
    <w:rsid w:val="00260053"/>
    <w:rsid w:val="00261BE3"/>
    <w:rsid w:val="00263A5E"/>
    <w:rsid w:val="00266279"/>
    <w:rsid w:val="00266F59"/>
    <w:rsid w:val="002679FF"/>
    <w:rsid w:val="00271999"/>
    <w:rsid w:val="00272654"/>
    <w:rsid w:val="00273722"/>
    <w:rsid w:val="002741AE"/>
    <w:rsid w:val="00277D03"/>
    <w:rsid w:val="002807B9"/>
    <w:rsid w:val="00280920"/>
    <w:rsid w:val="00281A9E"/>
    <w:rsid w:val="00282E32"/>
    <w:rsid w:val="00284E9D"/>
    <w:rsid w:val="002854D5"/>
    <w:rsid w:val="0028563C"/>
    <w:rsid w:val="002866DB"/>
    <w:rsid w:val="0028776C"/>
    <w:rsid w:val="00287EC7"/>
    <w:rsid w:val="00291485"/>
    <w:rsid w:val="00291897"/>
    <w:rsid w:val="00292999"/>
    <w:rsid w:val="002936EF"/>
    <w:rsid w:val="002947D4"/>
    <w:rsid w:val="00294E81"/>
    <w:rsid w:val="0029518B"/>
    <w:rsid w:val="00296D3B"/>
    <w:rsid w:val="00296ECE"/>
    <w:rsid w:val="002974FD"/>
    <w:rsid w:val="00297C66"/>
    <w:rsid w:val="00297CF4"/>
    <w:rsid w:val="002A046C"/>
    <w:rsid w:val="002A15AD"/>
    <w:rsid w:val="002A228B"/>
    <w:rsid w:val="002A2DBC"/>
    <w:rsid w:val="002A3F8F"/>
    <w:rsid w:val="002A402D"/>
    <w:rsid w:val="002A4761"/>
    <w:rsid w:val="002A724A"/>
    <w:rsid w:val="002A7B92"/>
    <w:rsid w:val="002B1BFB"/>
    <w:rsid w:val="002B1F05"/>
    <w:rsid w:val="002B211E"/>
    <w:rsid w:val="002B3938"/>
    <w:rsid w:val="002B3940"/>
    <w:rsid w:val="002B46AD"/>
    <w:rsid w:val="002B59DC"/>
    <w:rsid w:val="002B78CB"/>
    <w:rsid w:val="002B7905"/>
    <w:rsid w:val="002B7DE7"/>
    <w:rsid w:val="002C0560"/>
    <w:rsid w:val="002C28DF"/>
    <w:rsid w:val="002C2B70"/>
    <w:rsid w:val="002C2BE1"/>
    <w:rsid w:val="002C48B8"/>
    <w:rsid w:val="002C5B80"/>
    <w:rsid w:val="002D106E"/>
    <w:rsid w:val="002D1D01"/>
    <w:rsid w:val="002D30DA"/>
    <w:rsid w:val="002D3757"/>
    <w:rsid w:val="002D3D1C"/>
    <w:rsid w:val="002D457E"/>
    <w:rsid w:val="002D4D2B"/>
    <w:rsid w:val="002D6D08"/>
    <w:rsid w:val="002D789F"/>
    <w:rsid w:val="002D78F5"/>
    <w:rsid w:val="002E178D"/>
    <w:rsid w:val="002E2C08"/>
    <w:rsid w:val="002E4A8C"/>
    <w:rsid w:val="002E65D1"/>
    <w:rsid w:val="002E70D6"/>
    <w:rsid w:val="002F09AE"/>
    <w:rsid w:val="002F09B3"/>
    <w:rsid w:val="002F24B3"/>
    <w:rsid w:val="002F28C4"/>
    <w:rsid w:val="002F3B16"/>
    <w:rsid w:val="002F6075"/>
    <w:rsid w:val="002F7225"/>
    <w:rsid w:val="002F7EF4"/>
    <w:rsid w:val="003031E6"/>
    <w:rsid w:val="00303701"/>
    <w:rsid w:val="00303C34"/>
    <w:rsid w:val="00305941"/>
    <w:rsid w:val="003072A9"/>
    <w:rsid w:val="00307408"/>
    <w:rsid w:val="0030795D"/>
    <w:rsid w:val="00307BE0"/>
    <w:rsid w:val="00310D40"/>
    <w:rsid w:val="00311CB0"/>
    <w:rsid w:val="00312A78"/>
    <w:rsid w:val="0031391B"/>
    <w:rsid w:val="00314715"/>
    <w:rsid w:val="003160F3"/>
    <w:rsid w:val="003160F7"/>
    <w:rsid w:val="00316CDC"/>
    <w:rsid w:val="00320027"/>
    <w:rsid w:val="00320FAE"/>
    <w:rsid w:val="00321ABD"/>
    <w:rsid w:val="0032507E"/>
    <w:rsid w:val="00331BD4"/>
    <w:rsid w:val="00332EE9"/>
    <w:rsid w:val="00335210"/>
    <w:rsid w:val="00336A50"/>
    <w:rsid w:val="00337561"/>
    <w:rsid w:val="00337B57"/>
    <w:rsid w:val="00337FD7"/>
    <w:rsid w:val="00340784"/>
    <w:rsid w:val="00341E2A"/>
    <w:rsid w:val="003427E5"/>
    <w:rsid w:val="00342C29"/>
    <w:rsid w:val="003436D2"/>
    <w:rsid w:val="00343B34"/>
    <w:rsid w:val="00343C36"/>
    <w:rsid w:val="00345B94"/>
    <w:rsid w:val="003461E9"/>
    <w:rsid w:val="00346957"/>
    <w:rsid w:val="003506B5"/>
    <w:rsid w:val="00350F19"/>
    <w:rsid w:val="00351B78"/>
    <w:rsid w:val="00354023"/>
    <w:rsid w:val="00354E31"/>
    <w:rsid w:val="00361A0B"/>
    <w:rsid w:val="00361FA3"/>
    <w:rsid w:val="003622C4"/>
    <w:rsid w:val="00362329"/>
    <w:rsid w:val="00362CA6"/>
    <w:rsid w:val="00362F69"/>
    <w:rsid w:val="0036366E"/>
    <w:rsid w:val="00363BE9"/>
    <w:rsid w:val="00363FE9"/>
    <w:rsid w:val="00366315"/>
    <w:rsid w:val="003671A1"/>
    <w:rsid w:val="003706C9"/>
    <w:rsid w:val="003715AA"/>
    <w:rsid w:val="00371E33"/>
    <w:rsid w:val="003735AD"/>
    <w:rsid w:val="0037397B"/>
    <w:rsid w:val="003750BA"/>
    <w:rsid w:val="003768B2"/>
    <w:rsid w:val="00377023"/>
    <w:rsid w:val="00377B8B"/>
    <w:rsid w:val="00377D7E"/>
    <w:rsid w:val="00380810"/>
    <w:rsid w:val="00381597"/>
    <w:rsid w:val="003816DA"/>
    <w:rsid w:val="00383B21"/>
    <w:rsid w:val="00384A02"/>
    <w:rsid w:val="0038597F"/>
    <w:rsid w:val="00385FA0"/>
    <w:rsid w:val="003860A4"/>
    <w:rsid w:val="00386323"/>
    <w:rsid w:val="00387198"/>
    <w:rsid w:val="003875CB"/>
    <w:rsid w:val="00390E9A"/>
    <w:rsid w:val="003912E9"/>
    <w:rsid w:val="003924AF"/>
    <w:rsid w:val="003954B3"/>
    <w:rsid w:val="00396126"/>
    <w:rsid w:val="00396B73"/>
    <w:rsid w:val="00396C99"/>
    <w:rsid w:val="00397069"/>
    <w:rsid w:val="003A0C3B"/>
    <w:rsid w:val="003A1B98"/>
    <w:rsid w:val="003A1D38"/>
    <w:rsid w:val="003A402C"/>
    <w:rsid w:val="003A4F77"/>
    <w:rsid w:val="003A7456"/>
    <w:rsid w:val="003B07CC"/>
    <w:rsid w:val="003B1155"/>
    <w:rsid w:val="003B3286"/>
    <w:rsid w:val="003B353B"/>
    <w:rsid w:val="003B4178"/>
    <w:rsid w:val="003B5A89"/>
    <w:rsid w:val="003B5FF1"/>
    <w:rsid w:val="003B742E"/>
    <w:rsid w:val="003B7ED8"/>
    <w:rsid w:val="003C16C8"/>
    <w:rsid w:val="003C2911"/>
    <w:rsid w:val="003C3B86"/>
    <w:rsid w:val="003C7C6E"/>
    <w:rsid w:val="003C7F21"/>
    <w:rsid w:val="003D04E2"/>
    <w:rsid w:val="003D08CC"/>
    <w:rsid w:val="003D0922"/>
    <w:rsid w:val="003D10A3"/>
    <w:rsid w:val="003D4939"/>
    <w:rsid w:val="003D49B9"/>
    <w:rsid w:val="003D4AE6"/>
    <w:rsid w:val="003D515D"/>
    <w:rsid w:val="003D6341"/>
    <w:rsid w:val="003D6E65"/>
    <w:rsid w:val="003D7211"/>
    <w:rsid w:val="003E1BCC"/>
    <w:rsid w:val="003E1C08"/>
    <w:rsid w:val="003E2835"/>
    <w:rsid w:val="003E2B03"/>
    <w:rsid w:val="003E2CE4"/>
    <w:rsid w:val="003E433F"/>
    <w:rsid w:val="003E522E"/>
    <w:rsid w:val="003E5B3E"/>
    <w:rsid w:val="003E6463"/>
    <w:rsid w:val="003E690D"/>
    <w:rsid w:val="003E7708"/>
    <w:rsid w:val="003E7BD9"/>
    <w:rsid w:val="003F0E03"/>
    <w:rsid w:val="003F213F"/>
    <w:rsid w:val="003F2A16"/>
    <w:rsid w:val="003F2A97"/>
    <w:rsid w:val="003F2BC2"/>
    <w:rsid w:val="003F51FB"/>
    <w:rsid w:val="003F5337"/>
    <w:rsid w:val="003F6437"/>
    <w:rsid w:val="003F6488"/>
    <w:rsid w:val="003F7C12"/>
    <w:rsid w:val="004016D8"/>
    <w:rsid w:val="0040347F"/>
    <w:rsid w:val="004040A7"/>
    <w:rsid w:val="0040421E"/>
    <w:rsid w:val="00404506"/>
    <w:rsid w:val="004046A3"/>
    <w:rsid w:val="0040473D"/>
    <w:rsid w:val="004048EE"/>
    <w:rsid w:val="0040569C"/>
    <w:rsid w:val="00405F56"/>
    <w:rsid w:val="00406343"/>
    <w:rsid w:val="00406D5B"/>
    <w:rsid w:val="00407023"/>
    <w:rsid w:val="00407A27"/>
    <w:rsid w:val="004131A1"/>
    <w:rsid w:val="004140C0"/>
    <w:rsid w:val="004145DA"/>
    <w:rsid w:val="004148DF"/>
    <w:rsid w:val="004155CD"/>
    <w:rsid w:val="004161F9"/>
    <w:rsid w:val="00416904"/>
    <w:rsid w:val="00416C5D"/>
    <w:rsid w:val="0042289C"/>
    <w:rsid w:val="00423DF2"/>
    <w:rsid w:val="00426870"/>
    <w:rsid w:val="004303A0"/>
    <w:rsid w:val="00431AED"/>
    <w:rsid w:val="0043448C"/>
    <w:rsid w:val="00435B76"/>
    <w:rsid w:val="00436142"/>
    <w:rsid w:val="00437C70"/>
    <w:rsid w:val="00440744"/>
    <w:rsid w:val="004409E5"/>
    <w:rsid w:val="00443AA9"/>
    <w:rsid w:val="004443E3"/>
    <w:rsid w:val="00445B03"/>
    <w:rsid w:val="00445E36"/>
    <w:rsid w:val="004506B4"/>
    <w:rsid w:val="0045152A"/>
    <w:rsid w:val="00454CFA"/>
    <w:rsid w:val="00462207"/>
    <w:rsid w:val="004634A9"/>
    <w:rsid w:val="004636E0"/>
    <w:rsid w:val="004639F9"/>
    <w:rsid w:val="004646B2"/>
    <w:rsid w:val="004654FC"/>
    <w:rsid w:val="00465DF8"/>
    <w:rsid w:val="0046626C"/>
    <w:rsid w:val="00466660"/>
    <w:rsid w:val="0046702B"/>
    <w:rsid w:val="00467356"/>
    <w:rsid w:val="00467404"/>
    <w:rsid w:val="004700DF"/>
    <w:rsid w:val="00470191"/>
    <w:rsid w:val="00471358"/>
    <w:rsid w:val="00472DA7"/>
    <w:rsid w:val="00472FB8"/>
    <w:rsid w:val="004737AD"/>
    <w:rsid w:val="0047591B"/>
    <w:rsid w:val="00475A7B"/>
    <w:rsid w:val="00476428"/>
    <w:rsid w:val="00477D00"/>
    <w:rsid w:val="00477EFC"/>
    <w:rsid w:val="00480400"/>
    <w:rsid w:val="00481343"/>
    <w:rsid w:val="0048164E"/>
    <w:rsid w:val="004844A1"/>
    <w:rsid w:val="0048501A"/>
    <w:rsid w:val="00485C3C"/>
    <w:rsid w:val="00486531"/>
    <w:rsid w:val="00486EC9"/>
    <w:rsid w:val="0048708A"/>
    <w:rsid w:val="0048772C"/>
    <w:rsid w:val="00487B4B"/>
    <w:rsid w:val="00490016"/>
    <w:rsid w:val="004918F8"/>
    <w:rsid w:val="00491F35"/>
    <w:rsid w:val="004923DB"/>
    <w:rsid w:val="00497653"/>
    <w:rsid w:val="004A037E"/>
    <w:rsid w:val="004A07A0"/>
    <w:rsid w:val="004A13E7"/>
    <w:rsid w:val="004A1D09"/>
    <w:rsid w:val="004A269D"/>
    <w:rsid w:val="004A2BD7"/>
    <w:rsid w:val="004A65A4"/>
    <w:rsid w:val="004B02EA"/>
    <w:rsid w:val="004B1C83"/>
    <w:rsid w:val="004B1CA4"/>
    <w:rsid w:val="004B39B7"/>
    <w:rsid w:val="004B3EC6"/>
    <w:rsid w:val="004B3F95"/>
    <w:rsid w:val="004B4D1B"/>
    <w:rsid w:val="004B4E1B"/>
    <w:rsid w:val="004B7E9A"/>
    <w:rsid w:val="004C3C1A"/>
    <w:rsid w:val="004C4B1B"/>
    <w:rsid w:val="004C51B3"/>
    <w:rsid w:val="004C6535"/>
    <w:rsid w:val="004D0508"/>
    <w:rsid w:val="004D0CD1"/>
    <w:rsid w:val="004D189D"/>
    <w:rsid w:val="004D1C2F"/>
    <w:rsid w:val="004D3F49"/>
    <w:rsid w:val="004E133A"/>
    <w:rsid w:val="004E286A"/>
    <w:rsid w:val="004E3A93"/>
    <w:rsid w:val="004E40F9"/>
    <w:rsid w:val="004E6D81"/>
    <w:rsid w:val="004E76EA"/>
    <w:rsid w:val="004F19E8"/>
    <w:rsid w:val="004F2077"/>
    <w:rsid w:val="004F3F9B"/>
    <w:rsid w:val="004F4BBC"/>
    <w:rsid w:val="004F5305"/>
    <w:rsid w:val="004F5B4E"/>
    <w:rsid w:val="004F5E63"/>
    <w:rsid w:val="004F6C22"/>
    <w:rsid w:val="004F7FAE"/>
    <w:rsid w:val="005004EB"/>
    <w:rsid w:val="005030ED"/>
    <w:rsid w:val="00503A40"/>
    <w:rsid w:val="0050581B"/>
    <w:rsid w:val="00505A9F"/>
    <w:rsid w:val="00505EB3"/>
    <w:rsid w:val="00506148"/>
    <w:rsid w:val="00506F20"/>
    <w:rsid w:val="0050759E"/>
    <w:rsid w:val="00510F5E"/>
    <w:rsid w:val="00512E07"/>
    <w:rsid w:val="00513ACA"/>
    <w:rsid w:val="00513D85"/>
    <w:rsid w:val="00514701"/>
    <w:rsid w:val="005149CF"/>
    <w:rsid w:val="00515097"/>
    <w:rsid w:val="00515402"/>
    <w:rsid w:val="00515638"/>
    <w:rsid w:val="00516D1A"/>
    <w:rsid w:val="00517159"/>
    <w:rsid w:val="00517825"/>
    <w:rsid w:val="0052092F"/>
    <w:rsid w:val="00521487"/>
    <w:rsid w:val="005229A8"/>
    <w:rsid w:val="00524BF2"/>
    <w:rsid w:val="0052628A"/>
    <w:rsid w:val="0053154F"/>
    <w:rsid w:val="00533DD2"/>
    <w:rsid w:val="005342ED"/>
    <w:rsid w:val="00534D06"/>
    <w:rsid w:val="00535585"/>
    <w:rsid w:val="00537F9B"/>
    <w:rsid w:val="005413D4"/>
    <w:rsid w:val="00541BCB"/>
    <w:rsid w:val="00542B7E"/>
    <w:rsid w:val="00542C9D"/>
    <w:rsid w:val="00544608"/>
    <w:rsid w:val="0054536D"/>
    <w:rsid w:val="00545745"/>
    <w:rsid w:val="00546323"/>
    <w:rsid w:val="0054665D"/>
    <w:rsid w:val="00547B5D"/>
    <w:rsid w:val="00550570"/>
    <w:rsid w:val="005520CC"/>
    <w:rsid w:val="005523FD"/>
    <w:rsid w:val="00552740"/>
    <w:rsid w:val="00552A22"/>
    <w:rsid w:val="005534C0"/>
    <w:rsid w:val="00553A81"/>
    <w:rsid w:val="00554E25"/>
    <w:rsid w:val="00554FC7"/>
    <w:rsid w:val="00555548"/>
    <w:rsid w:val="005569BE"/>
    <w:rsid w:val="005600D3"/>
    <w:rsid w:val="00560A4C"/>
    <w:rsid w:val="00560AC0"/>
    <w:rsid w:val="00560DAC"/>
    <w:rsid w:val="00561414"/>
    <w:rsid w:val="00561511"/>
    <w:rsid w:val="005621AD"/>
    <w:rsid w:val="00562FCD"/>
    <w:rsid w:val="00563389"/>
    <w:rsid w:val="0056358B"/>
    <w:rsid w:val="00564982"/>
    <w:rsid w:val="0056599D"/>
    <w:rsid w:val="00565D34"/>
    <w:rsid w:val="00565D63"/>
    <w:rsid w:val="00567558"/>
    <w:rsid w:val="005677A6"/>
    <w:rsid w:val="005701FC"/>
    <w:rsid w:val="00571357"/>
    <w:rsid w:val="005715A7"/>
    <w:rsid w:val="00573D75"/>
    <w:rsid w:val="00573F29"/>
    <w:rsid w:val="00574B26"/>
    <w:rsid w:val="00574E20"/>
    <w:rsid w:val="0058091C"/>
    <w:rsid w:val="00585ACD"/>
    <w:rsid w:val="00585D1B"/>
    <w:rsid w:val="00586953"/>
    <w:rsid w:val="00587593"/>
    <w:rsid w:val="0058780C"/>
    <w:rsid w:val="0059032F"/>
    <w:rsid w:val="00590FD1"/>
    <w:rsid w:val="00590FF7"/>
    <w:rsid w:val="00593595"/>
    <w:rsid w:val="005950C7"/>
    <w:rsid w:val="005952CF"/>
    <w:rsid w:val="00597FC0"/>
    <w:rsid w:val="005A0179"/>
    <w:rsid w:val="005A0852"/>
    <w:rsid w:val="005A2B89"/>
    <w:rsid w:val="005A627D"/>
    <w:rsid w:val="005A6776"/>
    <w:rsid w:val="005A6CFD"/>
    <w:rsid w:val="005A6D11"/>
    <w:rsid w:val="005A7307"/>
    <w:rsid w:val="005A74C0"/>
    <w:rsid w:val="005A7887"/>
    <w:rsid w:val="005B060F"/>
    <w:rsid w:val="005B089C"/>
    <w:rsid w:val="005B23B5"/>
    <w:rsid w:val="005B58F2"/>
    <w:rsid w:val="005B76E6"/>
    <w:rsid w:val="005C2EB5"/>
    <w:rsid w:val="005C3217"/>
    <w:rsid w:val="005C3A9D"/>
    <w:rsid w:val="005C3AA7"/>
    <w:rsid w:val="005C6CE5"/>
    <w:rsid w:val="005C7223"/>
    <w:rsid w:val="005D07E1"/>
    <w:rsid w:val="005D1328"/>
    <w:rsid w:val="005D140D"/>
    <w:rsid w:val="005D3272"/>
    <w:rsid w:val="005D43F0"/>
    <w:rsid w:val="005D56F1"/>
    <w:rsid w:val="005D657D"/>
    <w:rsid w:val="005D6920"/>
    <w:rsid w:val="005D6DBE"/>
    <w:rsid w:val="005D7FBC"/>
    <w:rsid w:val="005E04E8"/>
    <w:rsid w:val="005E2AC9"/>
    <w:rsid w:val="005E348E"/>
    <w:rsid w:val="005E4E6E"/>
    <w:rsid w:val="005E500D"/>
    <w:rsid w:val="005E5294"/>
    <w:rsid w:val="005E574D"/>
    <w:rsid w:val="005E6BAE"/>
    <w:rsid w:val="005E7761"/>
    <w:rsid w:val="005E7A5F"/>
    <w:rsid w:val="005E7A84"/>
    <w:rsid w:val="005F09BF"/>
    <w:rsid w:val="005F0F91"/>
    <w:rsid w:val="005F25DD"/>
    <w:rsid w:val="005F36CC"/>
    <w:rsid w:val="005F42A4"/>
    <w:rsid w:val="005F7668"/>
    <w:rsid w:val="005F7BDD"/>
    <w:rsid w:val="0060037C"/>
    <w:rsid w:val="006003D9"/>
    <w:rsid w:val="0060058D"/>
    <w:rsid w:val="00600D0F"/>
    <w:rsid w:val="00602246"/>
    <w:rsid w:val="00603E01"/>
    <w:rsid w:val="00604D81"/>
    <w:rsid w:val="0060509F"/>
    <w:rsid w:val="00606061"/>
    <w:rsid w:val="00606C92"/>
    <w:rsid w:val="006122F9"/>
    <w:rsid w:val="006123A3"/>
    <w:rsid w:val="006136FD"/>
    <w:rsid w:val="006137E2"/>
    <w:rsid w:val="00613F88"/>
    <w:rsid w:val="00615702"/>
    <w:rsid w:val="0061583C"/>
    <w:rsid w:val="00616E5D"/>
    <w:rsid w:val="00617802"/>
    <w:rsid w:val="0062005A"/>
    <w:rsid w:val="00620130"/>
    <w:rsid w:val="006201E9"/>
    <w:rsid w:val="00622372"/>
    <w:rsid w:val="00622D4C"/>
    <w:rsid w:val="00623CB0"/>
    <w:rsid w:val="00624F38"/>
    <w:rsid w:val="006261BA"/>
    <w:rsid w:val="00627B47"/>
    <w:rsid w:val="00632464"/>
    <w:rsid w:val="00632582"/>
    <w:rsid w:val="006338FB"/>
    <w:rsid w:val="00633B6C"/>
    <w:rsid w:val="00633CE2"/>
    <w:rsid w:val="00635164"/>
    <w:rsid w:val="00636791"/>
    <w:rsid w:val="00640633"/>
    <w:rsid w:val="00642306"/>
    <w:rsid w:val="00643A87"/>
    <w:rsid w:val="0064413B"/>
    <w:rsid w:val="00644A28"/>
    <w:rsid w:val="006459A3"/>
    <w:rsid w:val="00645EA8"/>
    <w:rsid w:val="00647ABF"/>
    <w:rsid w:val="0065175D"/>
    <w:rsid w:val="00653FB0"/>
    <w:rsid w:val="00655DDE"/>
    <w:rsid w:val="00656E00"/>
    <w:rsid w:val="0066117D"/>
    <w:rsid w:val="00662466"/>
    <w:rsid w:val="00663F8A"/>
    <w:rsid w:val="00665857"/>
    <w:rsid w:val="0066587A"/>
    <w:rsid w:val="00666C7A"/>
    <w:rsid w:val="006677E3"/>
    <w:rsid w:val="006700D7"/>
    <w:rsid w:val="006718B0"/>
    <w:rsid w:val="00672B6F"/>
    <w:rsid w:val="00672D1F"/>
    <w:rsid w:val="00673CEE"/>
    <w:rsid w:val="0067581B"/>
    <w:rsid w:val="00675DD5"/>
    <w:rsid w:val="00682296"/>
    <w:rsid w:val="00682F54"/>
    <w:rsid w:val="0068351E"/>
    <w:rsid w:val="006843AB"/>
    <w:rsid w:val="006845A2"/>
    <w:rsid w:val="00685D85"/>
    <w:rsid w:val="00685DB8"/>
    <w:rsid w:val="006868FC"/>
    <w:rsid w:val="00686921"/>
    <w:rsid w:val="00687EC2"/>
    <w:rsid w:val="00690B83"/>
    <w:rsid w:val="00691EB3"/>
    <w:rsid w:val="00692C41"/>
    <w:rsid w:val="00694E7C"/>
    <w:rsid w:val="0069544B"/>
    <w:rsid w:val="006954C9"/>
    <w:rsid w:val="00695F70"/>
    <w:rsid w:val="00696142"/>
    <w:rsid w:val="006A08C5"/>
    <w:rsid w:val="006A1197"/>
    <w:rsid w:val="006A25C7"/>
    <w:rsid w:val="006A3415"/>
    <w:rsid w:val="006A3F56"/>
    <w:rsid w:val="006A580F"/>
    <w:rsid w:val="006A5B61"/>
    <w:rsid w:val="006A6FCB"/>
    <w:rsid w:val="006A755C"/>
    <w:rsid w:val="006A763A"/>
    <w:rsid w:val="006B2574"/>
    <w:rsid w:val="006B4F26"/>
    <w:rsid w:val="006B7B22"/>
    <w:rsid w:val="006C0A51"/>
    <w:rsid w:val="006C117B"/>
    <w:rsid w:val="006C1569"/>
    <w:rsid w:val="006C3C03"/>
    <w:rsid w:val="006C49A8"/>
    <w:rsid w:val="006C5C79"/>
    <w:rsid w:val="006C7616"/>
    <w:rsid w:val="006D00C4"/>
    <w:rsid w:val="006D0AC2"/>
    <w:rsid w:val="006D0E70"/>
    <w:rsid w:val="006D1340"/>
    <w:rsid w:val="006D1E92"/>
    <w:rsid w:val="006D275C"/>
    <w:rsid w:val="006D2F0E"/>
    <w:rsid w:val="006D3A38"/>
    <w:rsid w:val="006D4F4A"/>
    <w:rsid w:val="006D510B"/>
    <w:rsid w:val="006D591E"/>
    <w:rsid w:val="006D5A71"/>
    <w:rsid w:val="006E0652"/>
    <w:rsid w:val="006E109E"/>
    <w:rsid w:val="006E1842"/>
    <w:rsid w:val="006E1A33"/>
    <w:rsid w:val="006E1F51"/>
    <w:rsid w:val="006E4FAD"/>
    <w:rsid w:val="006E57C7"/>
    <w:rsid w:val="006E5904"/>
    <w:rsid w:val="006E5EA1"/>
    <w:rsid w:val="006E74A0"/>
    <w:rsid w:val="006F26AF"/>
    <w:rsid w:val="006F3F24"/>
    <w:rsid w:val="006F4983"/>
    <w:rsid w:val="006F7129"/>
    <w:rsid w:val="00700A8E"/>
    <w:rsid w:val="00701AE8"/>
    <w:rsid w:val="00701C87"/>
    <w:rsid w:val="0070339F"/>
    <w:rsid w:val="00705445"/>
    <w:rsid w:val="00706EA2"/>
    <w:rsid w:val="00710F17"/>
    <w:rsid w:val="0071409A"/>
    <w:rsid w:val="0071736F"/>
    <w:rsid w:val="00723693"/>
    <w:rsid w:val="007239FF"/>
    <w:rsid w:val="00723FC6"/>
    <w:rsid w:val="00724512"/>
    <w:rsid w:val="00725189"/>
    <w:rsid w:val="00725F30"/>
    <w:rsid w:val="00726396"/>
    <w:rsid w:val="00726D88"/>
    <w:rsid w:val="00727747"/>
    <w:rsid w:val="00727A4F"/>
    <w:rsid w:val="00727BDB"/>
    <w:rsid w:val="0073028E"/>
    <w:rsid w:val="0073133E"/>
    <w:rsid w:val="0073286F"/>
    <w:rsid w:val="00732886"/>
    <w:rsid w:val="00733E3B"/>
    <w:rsid w:val="007347F8"/>
    <w:rsid w:val="00735CDB"/>
    <w:rsid w:val="00736668"/>
    <w:rsid w:val="00737739"/>
    <w:rsid w:val="00737DF4"/>
    <w:rsid w:val="007411D9"/>
    <w:rsid w:val="00741469"/>
    <w:rsid w:val="007432D1"/>
    <w:rsid w:val="00744972"/>
    <w:rsid w:val="00745159"/>
    <w:rsid w:val="00746839"/>
    <w:rsid w:val="00750200"/>
    <w:rsid w:val="00752479"/>
    <w:rsid w:val="00753D09"/>
    <w:rsid w:val="00753E9C"/>
    <w:rsid w:val="00755281"/>
    <w:rsid w:val="0075603A"/>
    <w:rsid w:val="007569FA"/>
    <w:rsid w:val="00756A5C"/>
    <w:rsid w:val="0076057D"/>
    <w:rsid w:val="00762521"/>
    <w:rsid w:val="00762946"/>
    <w:rsid w:val="00762ABC"/>
    <w:rsid w:val="00764A3B"/>
    <w:rsid w:val="00764AAD"/>
    <w:rsid w:val="0076648F"/>
    <w:rsid w:val="00766E15"/>
    <w:rsid w:val="00766E1D"/>
    <w:rsid w:val="00767A9F"/>
    <w:rsid w:val="007714A1"/>
    <w:rsid w:val="00772863"/>
    <w:rsid w:val="00773221"/>
    <w:rsid w:val="00773C3E"/>
    <w:rsid w:val="007741A3"/>
    <w:rsid w:val="007744C9"/>
    <w:rsid w:val="007750B0"/>
    <w:rsid w:val="00775265"/>
    <w:rsid w:val="0078139E"/>
    <w:rsid w:val="00781A80"/>
    <w:rsid w:val="00782A0B"/>
    <w:rsid w:val="00782DF2"/>
    <w:rsid w:val="00782F09"/>
    <w:rsid w:val="007853F6"/>
    <w:rsid w:val="0078638E"/>
    <w:rsid w:val="00786E51"/>
    <w:rsid w:val="0078786C"/>
    <w:rsid w:val="00790599"/>
    <w:rsid w:val="0079269B"/>
    <w:rsid w:val="007926AD"/>
    <w:rsid w:val="00792934"/>
    <w:rsid w:val="00792ED8"/>
    <w:rsid w:val="0079350D"/>
    <w:rsid w:val="00793CB1"/>
    <w:rsid w:val="00796798"/>
    <w:rsid w:val="00796D3F"/>
    <w:rsid w:val="00796F2D"/>
    <w:rsid w:val="007A0781"/>
    <w:rsid w:val="007A200D"/>
    <w:rsid w:val="007A38B1"/>
    <w:rsid w:val="007A4326"/>
    <w:rsid w:val="007A47AD"/>
    <w:rsid w:val="007A4B5F"/>
    <w:rsid w:val="007A4C18"/>
    <w:rsid w:val="007A4D9E"/>
    <w:rsid w:val="007A5E10"/>
    <w:rsid w:val="007B0DB5"/>
    <w:rsid w:val="007B3428"/>
    <w:rsid w:val="007B349C"/>
    <w:rsid w:val="007B35D3"/>
    <w:rsid w:val="007B374A"/>
    <w:rsid w:val="007B377A"/>
    <w:rsid w:val="007B3856"/>
    <w:rsid w:val="007B48B3"/>
    <w:rsid w:val="007B494D"/>
    <w:rsid w:val="007B7A76"/>
    <w:rsid w:val="007C13E3"/>
    <w:rsid w:val="007C33B1"/>
    <w:rsid w:val="007C3DEE"/>
    <w:rsid w:val="007C69EF"/>
    <w:rsid w:val="007C6E5C"/>
    <w:rsid w:val="007D0416"/>
    <w:rsid w:val="007D16C7"/>
    <w:rsid w:val="007D1A11"/>
    <w:rsid w:val="007D1ABB"/>
    <w:rsid w:val="007D25FC"/>
    <w:rsid w:val="007D2671"/>
    <w:rsid w:val="007D50F1"/>
    <w:rsid w:val="007D53D9"/>
    <w:rsid w:val="007D6A9D"/>
    <w:rsid w:val="007D77DC"/>
    <w:rsid w:val="007E1090"/>
    <w:rsid w:val="007E234B"/>
    <w:rsid w:val="007E38E3"/>
    <w:rsid w:val="007E4ED8"/>
    <w:rsid w:val="007E4F3B"/>
    <w:rsid w:val="007E710C"/>
    <w:rsid w:val="007E77BA"/>
    <w:rsid w:val="007E7FF4"/>
    <w:rsid w:val="007F18CF"/>
    <w:rsid w:val="007F1FDF"/>
    <w:rsid w:val="007F39C0"/>
    <w:rsid w:val="007F4E1E"/>
    <w:rsid w:val="007F5AC8"/>
    <w:rsid w:val="007F610E"/>
    <w:rsid w:val="008005EB"/>
    <w:rsid w:val="00800DC3"/>
    <w:rsid w:val="00800F93"/>
    <w:rsid w:val="008034D9"/>
    <w:rsid w:val="00804462"/>
    <w:rsid w:val="00805A37"/>
    <w:rsid w:val="00806798"/>
    <w:rsid w:val="00807465"/>
    <w:rsid w:val="00807CCF"/>
    <w:rsid w:val="00810937"/>
    <w:rsid w:val="008114FA"/>
    <w:rsid w:val="00811621"/>
    <w:rsid w:val="00811D6F"/>
    <w:rsid w:val="008125DA"/>
    <w:rsid w:val="00812630"/>
    <w:rsid w:val="0081270A"/>
    <w:rsid w:val="00812B74"/>
    <w:rsid w:val="00812CB4"/>
    <w:rsid w:val="00813F45"/>
    <w:rsid w:val="008146F4"/>
    <w:rsid w:val="008158CA"/>
    <w:rsid w:val="0081691F"/>
    <w:rsid w:val="00817B0A"/>
    <w:rsid w:val="0082233B"/>
    <w:rsid w:val="00822FC8"/>
    <w:rsid w:val="0082315B"/>
    <w:rsid w:val="00824451"/>
    <w:rsid w:val="00824769"/>
    <w:rsid w:val="0082580E"/>
    <w:rsid w:val="00825B89"/>
    <w:rsid w:val="008262AA"/>
    <w:rsid w:val="00827EF7"/>
    <w:rsid w:val="00830EB1"/>
    <w:rsid w:val="0083769C"/>
    <w:rsid w:val="008413EC"/>
    <w:rsid w:val="008425BC"/>
    <w:rsid w:val="00843120"/>
    <w:rsid w:val="00843182"/>
    <w:rsid w:val="008431FF"/>
    <w:rsid w:val="00843AD5"/>
    <w:rsid w:val="00844077"/>
    <w:rsid w:val="00844117"/>
    <w:rsid w:val="00844220"/>
    <w:rsid w:val="008469B2"/>
    <w:rsid w:val="008474CA"/>
    <w:rsid w:val="00850144"/>
    <w:rsid w:val="008516A5"/>
    <w:rsid w:val="00851764"/>
    <w:rsid w:val="00851922"/>
    <w:rsid w:val="00851A0D"/>
    <w:rsid w:val="0085205E"/>
    <w:rsid w:val="00852F77"/>
    <w:rsid w:val="00853557"/>
    <w:rsid w:val="00853657"/>
    <w:rsid w:val="008541F0"/>
    <w:rsid w:val="00854A1F"/>
    <w:rsid w:val="00855622"/>
    <w:rsid w:val="00856EA3"/>
    <w:rsid w:val="008575D4"/>
    <w:rsid w:val="00857886"/>
    <w:rsid w:val="00860712"/>
    <w:rsid w:val="008622F9"/>
    <w:rsid w:val="00862302"/>
    <w:rsid w:val="0086259C"/>
    <w:rsid w:val="008627C1"/>
    <w:rsid w:val="00862F4D"/>
    <w:rsid w:val="00863BA6"/>
    <w:rsid w:val="008646F8"/>
    <w:rsid w:val="00864E10"/>
    <w:rsid w:val="008661E9"/>
    <w:rsid w:val="00867B9B"/>
    <w:rsid w:val="00870FD9"/>
    <w:rsid w:val="00871E19"/>
    <w:rsid w:val="0087222C"/>
    <w:rsid w:val="00873B75"/>
    <w:rsid w:val="00874BDE"/>
    <w:rsid w:val="00875FAA"/>
    <w:rsid w:val="00876697"/>
    <w:rsid w:val="008766F4"/>
    <w:rsid w:val="0087776A"/>
    <w:rsid w:val="00880C71"/>
    <w:rsid w:val="00881506"/>
    <w:rsid w:val="00882599"/>
    <w:rsid w:val="00883995"/>
    <w:rsid w:val="00885B5A"/>
    <w:rsid w:val="00885C6A"/>
    <w:rsid w:val="0089096F"/>
    <w:rsid w:val="00891A2A"/>
    <w:rsid w:val="00891E29"/>
    <w:rsid w:val="0089562B"/>
    <w:rsid w:val="00896696"/>
    <w:rsid w:val="008967A6"/>
    <w:rsid w:val="008A105E"/>
    <w:rsid w:val="008A3571"/>
    <w:rsid w:val="008A4532"/>
    <w:rsid w:val="008A45BD"/>
    <w:rsid w:val="008A67ED"/>
    <w:rsid w:val="008A6A4B"/>
    <w:rsid w:val="008A6B02"/>
    <w:rsid w:val="008A78B9"/>
    <w:rsid w:val="008A7B3C"/>
    <w:rsid w:val="008A7FCA"/>
    <w:rsid w:val="008B0C7E"/>
    <w:rsid w:val="008B15B0"/>
    <w:rsid w:val="008C0BB6"/>
    <w:rsid w:val="008C2394"/>
    <w:rsid w:val="008C2985"/>
    <w:rsid w:val="008C425F"/>
    <w:rsid w:val="008C4548"/>
    <w:rsid w:val="008C4A1B"/>
    <w:rsid w:val="008C7596"/>
    <w:rsid w:val="008C7C83"/>
    <w:rsid w:val="008D093A"/>
    <w:rsid w:val="008D0A6C"/>
    <w:rsid w:val="008D1B9F"/>
    <w:rsid w:val="008D1C38"/>
    <w:rsid w:val="008D224B"/>
    <w:rsid w:val="008D28D8"/>
    <w:rsid w:val="008D2B14"/>
    <w:rsid w:val="008D2EBB"/>
    <w:rsid w:val="008D332D"/>
    <w:rsid w:val="008D3C47"/>
    <w:rsid w:val="008D3EA3"/>
    <w:rsid w:val="008D5352"/>
    <w:rsid w:val="008D669E"/>
    <w:rsid w:val="008D70B8"/>
    <w:rsid w:val="008D7834"/>
    <w:rsid w:val="008E0E84"/>
    <w:rsid w:val="008E1D5D"/>
    <w:rsid w:val="008E1F16"/>
    <w:rsid w:val="008E2923"/>
    <w:rsid w:val="008E4795"/>
    <w:rsid w:val="008E6EDE"/>
    <w:rsid w:val="008E72F3"/>
    <w:rsid w:val="008E7601"/>
    <w:rsid w:val="008F0316"/>
    <w:rsid w:val="008F2042"/>
    <w:rsid w:val="008F35A5"/>
    <w:rsid w:val="008F4954"/>
    <w:rsid w:val="008F5FBC"/>
    <w:rsid w:val="008F6493"/>
    <w:rsid w:val="009001A9"/>
    <w:rsid w:val="00900499"/>
    <w:rsid w:val="009004E5"/>
    <w:rsid w:val="00900C3D"/>
    <w:rsid w:val="00900E3D"/>
    <w:rsid w:val="009037F5"/>
    <w:rsid w:val="009057A7"/>
    <w:rsid w:val="009057AA"/>
    <w:rsid w:val="00905EC1"/>
    <w:rsid w:val="00910597"/>
    <w:rsid w:val="00911599"/>
    <w:rsid w:val="00911998"/>
    <w:rsid w:val="00915CAA"/>
    <w:rsid w:val="009167AC"/>
    <w:rsid w:val="009201EC"/>
    <w:rsid w:val="009208DD"/>
    <w:rsid w:val="00920A20"/>
    <w:rsid w:val="00921796"/>
    <w:rsid w:val="0092196B"/>
    <w:rsid w:val="00921D03"/>
    <w:rsid w:val="00922546"/>
    <w:rsid w:val="009227B9"/>
    <w:rsid w:val="009237A5"/>
    <w:rsid w:val="00923A4D"/>
    <w:rsid w:val="00923C50"/>
    <w:rsid w:val="009247AC"/>
    <w:rsid w:val="009260C0"/>
    <w:rsid w:val="0092657B"/>
    <w:rsid w:val="00927453"/>
    <w:rsid w:val="00927CA4"/>
    <w:rsid w:val="00930499"/>
    <w:rsid w:val="00930661"/>
    <w:rsid w:val="009343A2"/>
    <w:rsid w:val="009352DC"/>
    <w:rsid w:val="00935F4C"/>
    <w:rsid w:val="00936370"/>
    <w:rsid w:val="00937281"/>
    <w:rsid w:val="00937818"/>
    <w:rsid w:val="0093784B"/>
    <w:rsid w:val="00940917"/>
    <w:rsid w:val="00940FBE"/>
    <w:rsid w:val="009410E7"/>
    <w:rsid w:val="00942158"/>
    <w:rsid w:val="0094283E"/>
    <w:rsid w:val="00942CD2"/>
    <w:rsid w:val="009431F9"/>
    <w:rsid w:val="00943D50"/>
    <w:rsid w:val="00943FBA"/>
    <w:rsid w:val="0094445B"/>
    <w:rsid w:val="00944542"/>
    <w:rsid w:val="00944758"/>
    <w:rsid w:val="00944A64"/>
    <w:rsid w:val="00945414"/>
    <w:rsid w:val="00946435"/>
    <w:rsid w:val="00946685"/>
    <w:rsid w:val="00947303"/>
    <w:rsid w:val="00950D51"/>
    <w:rsid w:val="00951BAF"/>
    <w:rsid w:val="00954C05"/>
    <w:rsid w:val="009557E7"/>
    <w:rsid w:val="00955A5B"/>
    <w:rsid w:val="00955C78"/>
    <w:rsid w:val="009568DB"/>
    <w:rsid w:val="00957682"/>
    <w:rsid w:val="00957877"/>
    <w:rsid w:val="0096145A"/>
    <w:rsid w:val="00961AC7"/>
    <w:rsid w:val="00962067"/>
    <w:rsid w:val="00962A24"/>
    <w:rsid w:val="00963269"/>
    <w:rsid w:val="00963B63"/>
    <w:rsid w:val="00963DC3"/>
    <w:rsid w:val="00963DCA"/>
    <w:rsid w:val="0096623C"/>
    <w:rsid w:val="0096725C"/>
    <w:rsid w:val="00967B6B"/>
    <w:rsid w:val="00967DD6"/>
    <w:rsid w:val="0097024D"/>
    <w:rsid w:val="00970601"/>
    <w:rsid w:val="00971129"/>
    <w:rsid w:val="00971250"/>
    <w:rsid w:val="00971731"/>
    <w:rsid w:val="00972751"/>
    <w:rsid w:val="009744A5"/>
    <w:rsid w:val="00974864"/>
    <w:rsid w:val="00975127"/>
    <w:rsid w:val="009758B7"/>
    <w:rsid w:val="0097596C"/>
    <w:rsid w:val="00980884"/>
    <w:rsid w:val="00981FF1"/>
    <w:rsid w:val="009822B8"/>
    <w:rsid w:val="009829C6"/>
    <w:rsid w:val="009855E8"/>
    <w:rsid w:val="009861B3"/>
    <w:rsid w:val="009863FB"/>
    <w:rsid w:val="00986FC5"/>
    <w:rsid w:val="00987E97"/>
    <w:rsid w:val="0099169C"/>
    <w:rsid w:val="00991F7E"/>
    <w:rsid w:val="00992D23"/>
    <w:rsid w:val="00993BAF"/>
    <w:rsid w:val="009940C8"/>
    <w:rsid w:val="009A062D"/>
    <w:rsid w:val="009A2B97"/>
    <w:rsid w:val="009A4F56"/>
    <w:rsid w:val="009A66C4"/>
    <w:rsid w:val="009B0273"/>
    <w:rsid w:val="009B0883"/>
    <w:rsid w:val="009B1563"/>
    <w:rsid w:val="009B1DDE"/>
    <w:rsid w:val="009B32A8"/>
    <w:rsid w:val="009B38C1"/>
    <w:rsid w:val="009B5F2C"/>
    <w:rsid w:val="009B669B"/>
    <w:rsid w:val="009B692A"/>
    <w:rsid w:val="009B6A6D"/>
    <w:rsid w:val="009B71CB"/>
    <w:rsid w:val="009C203B"/>
    <w:rsid w:val="009C331E"/>
    <w:rsid w:val="009C3B25"/>
    <w:rsid w:val="009C56F7"/>
    <w:rsid w:val="009C6D86"/>
    <w:rsid w:val="009C7E28"/>
    <w:rsid w:val="009D075C"/>
    <w:rsid w:val="009D0957"/>
    <w:rsid w:val="009D22B1"/>
    <w:rsid w:val="009D2899"/>
    <w:rsid w:val="009D3350"/>
    <w:rsid w:val="009E15B2"/>
    <w:rsid w:val="009E19FA"/>
    <w:rsid w:val="009E3ED2"/>
    <w:rsid w:val="009E49A1"/>
    <w:rsid w:val="009E4C59"/>
    <w:rsid w:val="009E519C"/>
    <w:rsid w:val="009E5FD2"/>
    <w:rsid w:val="009E615C"/>
    <w:rsid w:val="009E661B"/>
    <w:rsid w:val="009E69C7"/>
    <w:rsid w:val="009E69CD"/>
    <w:rsid w:val="009E702F"/>
    <w:rsid w:val="009E7500"/>
    <w:rsid w:val="009E7E11"/>
    <w:rsid w:val="009F029E"/>
    <w:rsid w:val="009F031B"/>
    <w:rsid w:val="009F0F81"/>
    <w:rsid w:val="009F3E0F"/>
    <w:rsid w:val="009F4A6C"/>
    <w:rsid w:val="009F567A"/>
    <w:rsid w:val="009F6FA2"/>
    <w:rsid w:val="00A00A1B"/>
    <w:rsid w:val="00A0178D"/>
    <w:rsid w:val="00A01B8E"/>
    <w:rsid w:val="00A037C7"/>
    <w:rsid w:val="00A03A34"/>
    <w:rsid w:val="00A03B5D"/>
    <w:rsid w:val="00A04A5F"/>
    <w:rsid w:val="00A05156"/>
    <w:rsid w:val="00A05BB8"/>
    <w:rsid w:val="00A064D7"/>
    <w:rsid w:val="00A06605"/>
    <w:rsid w:val="00A06C39"/>
    <w:rsid w:val="00A06C45"/>
    <w:rsid w:val="00A1176A"/>
    <w:rsid w:val="00A1386A"/>
    <w:rsid w:val="00A13AC8"/>
    <w:rsid w:val="00A14699"/>
    <w:rsid w:val="00A152A2"/>
    <w:rsid w:val="00A15398"/>
    <w:rsid w:val="00A15ACC"/>
    <w:rsid w:val="00A16608"/>
    <w:rsid w:val="00A178A6"/>
    <w:rsid w:val="00A17C0D"/>
    <w:rsid w:val="00A21493"/>
    <w:rsid w:val="00A21E45"/>
    <w:rsid w:val="00A22376"/>
    <w:rsid w:val="00A22B96"/>
    <w:rsid w:val="00A23BC1"/>
    <w:rsid w:val="00A246CE"/>
    <w:rsid w:val="00A25650"/>
    <w:rsid w:val="00A257E2"/>
    <w:rsid w:val="00A26081"/>
    <w:rsid w:val="00A2637C"/>
    <w:rsid w:val="00A326F0"/>
    <w:rsid w:val="00A32B91"/>
    <w:rsid w:val="00A331A0"/>
    <w:rsid w:val="00A33926"/>
    <w:rsid w:val="00A33BB8"/>
    <w:rsid w:val="00A34426"/>
    <w:rsid w:val="00A3455B"/>
    <w:rsid w:val="00A363D8"/>
    <w:rsid w:val="00A41188"/>
    <w:rsid w:val="00A42391"/>
    <w:rsid w:val="00A42787"/>
    <w:rsid w:val="00A42AAA"/>
    <w:rsid w:val="00A4607F"/>
    <w:rsid w:val="00A51D63"/>
    <w:rsid w:val="00A53037"/>
    <w:rsid w:val="00A5303F"/>
    <w:rsid w:val="00A53390"/>
    <w:rsid w:val="00A538CE"/>
    <w:rsid w:val="00A569E5"/>
    <w:rsid w:val="00A57AAF"/>
    <w:rsid w:val="00A60659"/>
    <w:rsid w:val="00A60DE7"/>
    <w:rsid w:val="00A643EA"/>
    <w:rsid w:val="00A64A86"/>
    <w:rsid w:val="00A64FF4"/>
    <w:rsid w:val="00A667C1"/>
    <w:rsid w:val="00A70C83"/>
    <w:rsid w:val="00A70D01"/>
    <w:rsid w:val="00A719C9"/>
    <w:rsid w:val="00A73563"/>
    <w:rsid w:val="00A7563A"/>
    <w:rsid w:val="00A759AB"/>
    <w:rsid w:val="00A76D30"/>
    <w:rsid w:val="00A778EC"/>
    <w:rsid w:val="00A800EA"/>
    <w:rsid w:val="00A801E5"/>
    <w:rsid w:val="00A80367"/>
    <w:rsid w:val="00A803E7"/>
    <w:rsid w:val="00A80FE3"/>
    <w:rsid w:val="00A815C6"/>
    <w:rsid w:val="00A81CCD"/>
    <w:rsid w:val="00A826FB"/>
    <w:rsid w:val="00A82C6B"/>
    <w:rsid w:val="00A86D4F"/>
    <w:rsid w:val="00A87185"/>
    <w:rsid w:val="00A874BF"/>
    <w:rsid w:val="00A87E1E"/>
    <w:rsid w:val="00A904EE"/>
    <w:rsid w:val="00A9390F"/>
    <w:rsid w:val="00A93D97"/>
    <w:rsid w:val="00A93E5A"/>
    <w:rsid w:val="00A944A6"/>
    <w:rsid w:val="00A95495"/>
    <w:rsid w:val="00A95DAA"/>
    <w:rsid w:val="00AA02B2"/>
    <w:rsid w:val="00AA1F72"/>
    <w:rsid w:val="00AA1FE8"/>
    <w:rsid w:val="00AA3440"/>
    <w:rsid w:val="00AA4984"/>
    <w:rsid w:val="00AA5672"/>
    <w:rsid w:val="00AA5D40"/>
    <w:rsid w:val="00AA64AB"/>
    <w:rsid w:val="00AA683F"/>
    <w:rsid w:val="00AA6B41"/>
    <w:rsid w:val="00AA7E54"/>
    <w:rsid w:val="00AB1427"/>
    <w:rsid w:val="00AB1C1D"/>
    <w:rsid w:val="00AB27E9"/>
    <w:rsid w:val="00AB2C3D"/>
    <w:rsid w:val="00AB2E55"/>
    <w:rsid w:val="00AB3C79"/>
    <w:rsid w:val="00AB3CD4"/>
    <w:rsid w:val="00AB52F2"/>
    <w:rsid w:val="00AB53AE"/>
    <w:rsid w:val="00AB53B5"/>
    <w:rsid w:val="00AB582D"/>
    <w:rsid w:val="00AB5913"/>
    <w:rsid w:val="00AB5EB8"/>
    <w:rsid w:val="00AB70CE"/>
    <w:rsid w:val="00AB7C20"/>
    <w:rsid w:val="00AC2764"/>
    <w:rsid w:val="00AC2933"/>
    <w:rsid w:val="00AC403A"/>
    <w:rsid w:val="00AC4BA8"/>
    <w:rsid w:val="00AC552B"/>
    <w:rsid w:val="00AC57F5"/>
    <w:rsid w:val="00AC6B71"/>
    <w:rsid w:val="00AC6CDC"/>
    <w:rsid w:val="00AC6F6A"/>
    <w:rsid w:val="00AD077D"/>
    <w:rsid w:val="00AD38FD"/>
    <w:rsid w:val="00AD397A"/>
    <w:rsid w:val="00AD4753"/>
    <w:rsid w:val="00AD5187"/>
    <w:rsid w:val="00AD5CD1"/>
    <w:rsid w:val="00AD7BE4"/>
    <w:rsid w:val="00AE0BFC"/>
    <w:rsid w:val="00AE18C1"/>
    <w:rsid w:val="00AE40EC"/>
    <w:rsid w:val="00AE4AD0"/>
    <w:rsid w:val="00AE6C47"/>
    <w:rsid w:val="00AE723D"/>
    <w:rsid w:val="00AE7913"/>
    <w:rsid w:val="00AE79EC"/>
    <w:rsid w:val="00AE7E75"/>
    <w:rsid w:val="00AF02CD"/>
    <w:rsid w:val="00AF0E1C"/>
    <w:rsid w:val="00AF1575"/>
    <w:rsid w:val="00AF3CCA"/>
    <w:rsid w:val="00AF407E"/>
    <w:rsid w:val="00AF5419"/>
    <w:rsid w:val="00AF588C"/>
    <w:rsid w:val="00AF59E0"/>
    <w:rsid w:val="00AF7610"/>
    <w:rsid w:val="00B000E1"/>
    <w:rsid w:val="00B00426"/>
    <w:rsid w:val="00B0045E"/>
    <w:rsid w:val="00B00CAB"/>
    <w:rsid w:val="00B00F19"/>
    <w:rsid w:val="00B00FDD"/>
    <w:rsid w:val="00B01296"/>
    <w:rsid w:val="00B0157F"/>
    <w:rsid w:val="00B04054"/>
    <w:rsid w:val="00B0572B"/>
    <w:rsid w:val="00B06112"/>
    <w:rsid w:val="00B066FD"/>
    <w:rsid w:val="00B06B73"/>
    <w:rsid w:val="00B06FCA"/>
    <w:rsid w:val="00B074DB"/>
    <w:rsid w:val="00B07C2D"/>
    <w:rsid w:val="00B07D72"/>
    <w:rsid w:val="00B1029F"/>
    <w:rsid w:val="00B109BF"/>
    <w:rsid w:val="00B11428"/>
    <w:rsid w:val="00B11CCB"/>
    <w:rsid w:val="00B12F24"/>
    <w:rsid w:val="00B131F3"/>
    <w:rsid w:val="00B13F2A"/>
    <w:rsid w:val="00B14086"/>
    <w:rsid w:val="00B1488B"/>
    <w:rsid w:val="00B15E51"/>
    <w:rsid w:val="00B1656E"/>
    <w:rsid w:val="00B16B7E"/>
    <w:rsid w:val="00B16FA2"/>
    <w:rsid w:val="00B20242"/>
    <w:rsid w:val="00B22165"/>
    <w:rsid w:val="00B2285B"/>
    <w:rsid w:val="00B22C7F"/>
    <w:rsid w:val="00B2398C"/>
    <w:rsid w:val="00B2430F"/>
    <w:rsid w:val="00B24E0D"/>
    <w:rsid w:val="00B2544E"/>
    <w:rsid w:val="00B26C2C"/>
    <w:rsid w:val="00B27428"/>
    <w:rsid w:val="00B2757C"/>
    <w:rsid w:val="00B27B90"/>
    <w:rsid w:val="00B27D43"/>
    <w:rsid w:val="00B30F69"/>
    <w:rsid w:val="00B31F55"/>
    <w:rsid w:val="00B32629"/>
    <w:rsid w:val="00B3293E"/>
    <w:rsid w:val="00B34700"/>
    <w:rsid w:val="00B36AFC"/>
    <w:rsid w:val="00B37532"/>
    <w:rsid w:val="00B37604"/>
    <w:rsid w:val="00B37A7D"/>
    <w:rsid w:val="00B37B51"/>
    <w:rsid w:val="00B42320"/>
    <w:rsid w:val="00B42582"/>
    <w:rsid w:val="00B42D3B"/>
    <w:rsid w:val="00B42E80"/>
    <w:rsid w:val="00B42F66"/>
    <w:rsid w:val="00B4441E"/>
    <w:rsid w:val="00B44A5A"/>
    <w:rsid w:val="00B45580"/>
    <w:rsid w:val="00B4576D"/>
    <w:rsid w:val="00B457AA"/>
    <w:rsid w:val="00B459D2"/>
    <w:rsid w:val="00B461CA"/>
    <w:rsid w:val="00B501F4"/>
    <w:rsid w:val="00B50FEF"/>
    <w:rsid w:val="00B51EA0"/>
    <w:rsid w:val="00B5200D"/>
    <w:rsid w:val="00B52274"/>
    <w:rsid w:val="00B524DB"/>
    <w:rsid w:val="00B532E1"/>
    <w:rsid w:val="00B553B6"/>
    <w:rsid w:val="00B55400"/>
    <w:rsid w:val="00B55E13"/>
    <w:rsid w:val="00B56FEB"/>
    <w:rsid w:val="00B57F48"/>
    <w:rsid w:val="00B6145C"/>
    <w:rsid w:val="00B6231B"/>
    <w:rsid w:val="00B641EC"/>
    <w:rsid w:val="00B643C4"/>
    <w:rsid w:val="00B6502A"/>
    <w:rsid w:val="00B671B1"/>
    <w:rsid w:val="00B67F0D"/>
    <w:rsid w:val="00B70325"/>
    <w:rsid w:val="00B70E6B"/>
    <w:rsid w:val="00B70EF2"/>
    <w:rsid w:val="00B72073"/>
    <w:rsid w:val="00B723EA"/>
    <w:rsid w:val="00B72A17"/>
    <w:rsid w:val="00B737FE"/>
    <w:rsid w:val="00B746A0"/>
    <w:rsid w:val="00B748E7"/>
    <w:rsid w:val="00B7541B"/>
    <w:rsid w:val="00B75B38"/>
    <w:rsid w:val="00B76A7D"/>
    <w:rsid w:val="00B76DBE"/>
    <w:rsid w:val="00B7741D"/>
    <w:rsid w:val="00B775FD"/>
    <w:rsid w:val="00B80B31"/>
    <w:rsid w:val="00B84BC2"/>
    <w:rsid w:val="00B8523A"/>
    <w:rsid w:val="00B860EE"/>
    <w:rsid w:val="00B8668C"/>
    <w:rsid w:val="00B8740C"/>
    <w:rsid w:val="00B875A6"/>
    <w:rsid w:val="00B87C92"/>
    <w:rsid w:val="00B90ABD"/>
    <w:rsid w:val="00B91063"/>
    <w:rsid w:val="00B9180F"/>
    <w:rsid w:val="00B921B3"/>
    <w:rsid w:val="00B94B0A"/>
    <w:rsid w:val="00B9506A"/>
    <w:rsid w:val="00B95F04"/>
    <w:rsid w:val="00BA0001"/>
    <w:rsid w:val="00BA04D2"/>
    <w:rsid w:val="00BA153A"/>
    <w:rsid w:val="00BA2863"/>
    <w:rsid w:val="00BA3435"/>
    <w:rsid w:val="00BA4395"/>
    <w:rsid w:val="00BA4E97"/>
    <w:rsid w:val="00BA5037"/>
    <w:rsid w:val="00BA6109"/>
    <w:rsid w:val="00BA6893"/>
    <w:rsid w:val="00BB0BD7"/>
    <w:rsid w:val="00BB22E2"/>
    <w:rsid w:val="00BB29BE"/>
    <w:rsid w:val="00BB33BF"/>
    <w:rsid w:val="00BB35D3"/>
    <w:rsid w:val="00BB4F94"/>
    <w:rsid w:val="00BB64BB"/>
    <w:rsid w:val="00BB67F3"/>
    <w:rsid w:val="00BB6884"/>
    <w:rsid w:val="00BC0998"/>
    <w:rsid w:val="00BC1A78"/>
    <w:rsid w:val="00BC1E93"/>
    <w:rsid w:val="00BC60C5"/>
    <w:rsid w:val="00BC750A"/>
    <w:rsid w:val="00BC79CA"/>
    <w:rsid w:val="00BC7C3A"/>
    <w:rsid w:val="00BD208D"/>
    <w:rsid w:val="00BD2CD5"/>
    <w:rsid w:val="00BD2EA9"/>
    <w:rsid w:val="00BD3241"/>
    <w:rsid w:val="00BD32BF"/>
    <w:rsid w:val="00BD3566"/>
    <w:rsid w:val="00BD58B4"/>
    <w:rsid w:val="00BD6FC5"/>
    <w:rsid w:val="00BD7343"/>
    <w:rsid w:val="00BD76A1"/>
    <w:rsid w:val="00BD7FF1"/>
    <w:rsid w:val="00BE254F"/>
    <w:rsid w:val="00BE7767"/>
    <w:rsid w:val="00BF0DCC"/>
    <w:rsid w:val="00BF12A6"/>
    <w:rsid w:val="00BF1E3D"/>
    <w:rsid w:val="00BF26BB"/>
    <w:rsid w:val="00BF273C"/>
    <w:rsid w:val="00BF277E"/>
    <w:rsid w:val="00BF293F"/>
    <w:rsid w:val="00BF560A"/>
    <w:rsid w:val="00BF58D4"/>
    <w:rsid w:val="00BF6719"/>
    <w:rsid w:val="00BF7CCA"/>
    <w:rsid w:val="00BF7D6C"/>
    <w:rsid w:val="00C006EE"/>
    <w:rsid w:val="00C00D38"/>
    <w:rsid w:val="00C025FC"/>
    <w:rsid w:val="00C045A5"/>
    <w:rsid w:val="00C04CBB"/>
    <w:rsid w:val="00C04F7D"/>
    <w:rsid w:val="00C0525C"/>
    <w:rsid w:val="00C05F62"/>
    <w:rsid w:val="00C0670E"/>
    <w:rsid w:val="00C068E5"/>
    <w:rsid w:val="00C06FB3"/>
    <w:rsid w:val="00C07B3B"/>
    <w:rsid w:val="00C10905"/>
    <w:rsid w:val="00C1133F"/>
    <w:rsid w:val="00C12E6D"/>
    <w:rsid w:val="00C13153"/>
    <w:rsid w:val="00C1384D"/>
    <w:rsid w:val="00C164E2"/>
    <w:rsid w:val="00C2300D"/>
    <w:rsid w:val="00C23968"/>
    <w:rsid w:val="00C25DEE"/>
    <w:rsid w:val="00C265FB"/>
    <w:rsid w:val="00C26B7F"/>
    <w:rsid w:val="00C30CA2"/>
    <w:rsid w:val="00C31B9A"/>
    <w:rsid w:val="00C34122"/>
    <w:rsid w:val="00C34947"/>
    <w:rsid w:val="00C34E15"/>
    <w:rsid w:val="00C3569C"/>
    <w:rsid w:val="00C4006C"/>
    <w:rsid w:val="00C40772"/>
    <w:rsid w:val="00C41E05"/>
    <w:rsid w:val="00C44EAE"/>
    <w:rsid w:val="00C456DD"/>
    <w:rsid w:val="00C45E7C"/>
    <w:rsid w:val="00C51B59"/>
    <w:rsid w:val="00C5316E"/>
    <w:rsid w:val="00C549E0"/>
    <w:rsid w:val="00C54D2D"/>
    <w:rsid w:val="00C56008"/>
    <w:rsid w:val="00C56BC4"/>
    <w:rsid w:val="00C5739C"/>
    <w:rsid w:val="00C6140B"/>
    <w:rsid w:val="00C61E20"/>
    <w:rsid w:val="00C62859"/>
    <w:rsid w:val="00C628A0"/>
    <w:rsid w:val="00C62C88"/>
    <w:rsid w:val="00C63AA3"/>
    <w:rsid w:val="00C63AEB"/>
    <w:rsid w:val="00C63D17"/>
    <w:rsid w:val="00C63F21"/>
    <w:rsid w:val="00C65696"/>
    <w:rsid w:val="00C65B72"/>
    <w:rsid w:val="00C65EDC"/>
    <w:rsid w:val="00C65EEE"/>
    <w:rsid w:val="00C66374"/>
    <w:rsid w:val="00C6641A"/>
    <w:rsid w:val="00C718B0"/>
    <w:rsid w:val="00C73639"/>
    <w:rsid w:val="00C74540"/>
    <w:rsid w:val="00C74DC1"/>
    <w:rsid w:val="00C75924"/>
    <w:rsid w:val="00C764D2"/>
    <w:rsid w:val="00C76E15"/>
    <w:rsid w:val="00C805B2"/>
    <w:rsid w:val="00C81AEC"/>
    <w:rsid w:val="00C83F54"/>
    <w:rsid w:val="00C8562D"/>
    <w:rsid w:val="00C85A6A"/>
    <w:rsid w:val="00C868A1"/>
    <w:rsid w:val="00C86A71"/>
    <w:rsid w:val="00C90B5A"/>
    <w:rsid w:val="00C936C5"/>
    <w:rsid w:val="00C93A8A"/>
    <w:rsid w:val="00C9505E"/>
    <w:rsid w:val="00C9672D"/>
    <w:rsid w:val="00C97B62"/>
    <w:rsid w:val="00CA12A9"/>
    <w:rsid w:val="00CA1B12"/>
    <w:rsid w:val="00CA1F70"/>
    <w:rsid w:val="00CA3724"/>
    <w:rsid w:val="00CA3C68"/>
    <w:rsid w:val="00CA53C2"/>
    <w:rsid w:val="00CA5D69"/>
    <w:rsid w:val="00CA650B"/>
    <w:rsid w:val="00CA65B0"/>
    <w:rsid w:val="00CA6E60"/>
    <w:rsid w:val="00CA7B9F"/>
    <w:rsid w:val="00CB1E7C"/>
    <w:rsid w:val="00CB2604"/>
    <w:rsid w:val="00CB43AD"/>
    <w:rsid w:val="00CB6308"/>
    <w:rsid w:val="00CB6ECD"/>
    <w:rsid w:val="00CB783B"/>
    <w:rsid w:val="00CC2679"/>
    <w:rsid w:val="00CC2B83"/>
    <w:rsid w:val="00CC2F42"/>
    <w:rsid w:val="00CC3108"/>
    <w:rsid w:val="00CC37C7"/>
    <w:rsid w:val="00CC4909"/>
    <w:rsid w:val="00CC5DB6"/>
    <w:rsid w:val="00CC6A49"/>
    <w:rsid w:val="00CC79B8"/>
    <w:rsid w:val="00CC7ED5"/>
    <w:rsid w:val="00CD2CB5"/>
    <w:rsid w:val="00CD2F41"/>
    <w:rsid w:val="00CD327B"/>
    <w:rsid w:val="00CD33B2"/>
    <w:rsid w:val="00CD47CD"/>
    <w:rsid w:val="00CD4D14"/>
    <w:rsid w:val="00CD5397"/>
    <w:rsid w:val="00CD5B6B"/>
    <w:rsid w:val="00CD5D17"/>
    <w:rsid w:val="00CD673C"/>
    <w:rsid w:val="00CD6B3A"/>
    <w:rsid w:val="00CE1205"/>
    <w:rsid w:val="00CE1CAF"/>
    <w:rsid w:val="00CE228F"/>
    <w:rsid w:val="00CE5A4C"/>
    <w:rsid w:val="00CE5B3C"/>
    <w:rsid w:val="00CE6422"/>
    <w:rsid w:val="00CE7557"/>
    <w:rsid w:val="00CE7EFB"/>
    <w:rsid w:val="00CF0312"/>
    <w:rsid w:val="00CF09BA"/>
    <w:rsid w:val="00CF1A06"/>
    <w:rsid w:val="00CF264F"/>
    <w:rsid w:val="00CF410F"/>
    <w:rsid w:val="00CF4471"/>
    <w:rsid w:val="00CF486C"/>
    <w:rsid w:val="00CF51ED"/>
    <w:rsid w:val="00CF751B"/>
    <w:rsid w:val="00CF77CA"/>
    <w:rsid w:val="00CF7D51"/>
    <w:rsid w:val="00D02631"/>
    <w:rsid w:val="00D02F5F"/>
    <w:rsid w:val="00D0341B"/>
    <w:rsid w:val="00D0483F"/>
    <w:rsid w:val="00D0615E"/>
    <w:rsid w:val="00D06CBC"/>
    <w:rsid w:val="00D07DD2"/>
    <w:rsid w:val="00D10F68"/>
    <w:rsid w:val="00D123B7"/>
    <w:rsid w:val="00D12B87"/>
    <w:rsid w:val="00D12D92"/>
    <w:rsid w:val="00D13288"/>
    <w:rsid w:val="00D151CD"/>
    <w:rsid w:val="00D152F0"/>
    <w:rsid w:val="00D172B7"/>
    <w:rsid w:val="00D17A07"/>
    <w:rsid w:val="00D203EE"/>
    <w:rsid w:val="00D20AFA"/>
    <w:rsid w:val="00D215CA"/>
    <w:rsid w:val="00D219E8"/>
    <w:rsid w:val="00D245F5"/>
    <w:rsid w:val="00D24B26"/>
    <w:rsid w:val="00D266F0"/>
    <w:rsid w:val="00D26929"/>
    <w:rsid w:val="00D26CD3"/>
    <w:rsid w:val="00D27BE9"/>
    <w:rsid w:val="00D27D1D"/>
    <w:rsid w:val="00D27FEB"/>
    <w:rsid w:val="00D307E3"/>
    <w:rsid w:val="00D31154"/>
    <w:rsid w:val="00D3150E"/>
    <w:rsid w:val="00D31B3A"/>
    <w:rsid w:val="00D31D24"/>
    <w:rsid w:val="00D322AB"/>
    <w:rsid w:val="00D34BA8"/>
    <w:rsid w:val="00D37EB9"/>
    <w:rsid w:val="00D37EF8"/>
    <w:rsid w:val="00D42671"/>
    <w:rsid w:val="00D42E3B"/>
    <w:rsid w:val="00D43C12"/>
    <w:rsid w:val="00D43F0C"/>
    <w:rsid w:val="00D44164"/>
    <w:rsid w:val="00D46BF2"/>
    <w:rsid w:val="00D47420"/>
    <w:rsid w:val="00D50394"/>
    <w:rsid w:val="00D51A11"/>
    <w:rsid w:val="00D51B43"/>
    <w:rsid w:val="00D52151"/>
    <w:rsid w:val="00D5243F"/>
    <w:rsid w:val="00D5305D"/>
    <w:rsid w:val="00D5329E"/>
    <w:rsid w:val="00D54205"/>
    <w:rsid w:val="00D55740"/>
    <w:rsid w:val="00D56831"/>
    <w:rsid w:val="00D56B4E"/>
    <w:rsid w:val="00D57373"/>
    <w:rsid w:val="00D6030C"/>
    <w:rsid w:val="00D61E1E"/>
    <w:rsid w:val="00D63596"/>
    <w:rsid w:val="00D6385A"/>
    <w:rsid w:val="00D63C26"/>
    <w:rsid w:val="00D63FF7"/>
    <w:rsid w:val="00D647AD"/>
    <w:rsid w:val="00D65979"/>
    <w:rsid w:val="00D65FDC"/>
    <w:rsid w:val="00D66BD5"/>
    <w:rsid w:val="00D6714B"/>
    <w:rsid w:val="00D702C4"/>
    <w:rsid w:val="00D703B5"/>
    <w:rsid w:val="00D7118C"/>
    <w:rsid w:val="00D755FE"/>
    <w:rsid w:val="00D7684B"/>
    <w:rsid w:val="00D77950"/>
    <w:rsid w:val="00D81D83"/>
    <w:rsid w:val="00D84C77"/>
    <w:rsid w:val="00D84E54"/>
    <w:rsid w:val="00D87C0A"/>
    <w:rsid w:val="00D87E2E"/>
    <w:rsid w:val="00D87EC2"/>
    <w:rsid w:val="00D903E3"/>
    <w:rsid w:val="00D90957"/>
    <w:rsid w:val="00D90AC9"/>
    <w:rsid w:val="00D91C12"/>
    <w:rsid w:val="00D92135"/>
    <w:rsid w:val="00D92B4A"/>
    <w:rsid w:val="00D947BD"/>
    <w:rsid w:val="00D95041"/>
    <w:rsid w:val="00D9527A"/>
    <w:rsid w:val="00D957D8"/>
    <w:rsid w:val="00D960E1"/>
    <w:rsid w:val="00D97C2A"/>
    <w:rsid w:val="00DA006A"/>
    <w:rsid w:val="00DA00FB"/>
    <w:rsid w:val="00DA3271"/>
    <w:rsid w:val="00DA515C"/>
    <w:rsid w:val="00DA51FA"/>
    <w:rsid w:val="00DA6D95"/>
    <w:rsid w:val="00DA6F75"/>
    <w:rsid w:val="00DA7CFC"/>
    <w:rsid w:val="00DB14F3"/>
    <w:rsid w:val="00DB4AA8"/>
    <w:rsid w:val="00DB5F0C"/>
    <w:rsid w:val="00DB5F40"/>
    <w:rsid w:val="00DB64A1"/>
    <w:rsid w:val="00DB695F"/>
    <w:rsid w:val="00DC107F"/>
    <w:rsid w:val="00DC1D59"/>
    <w:rsid w:val="00DC2004"/>
    <w:rsid w:val="00DC226A"/>
    <w:rsid w:val="00DC36D1"/>
    <w:rsid w:val="00DC4546"/>
    <w:rsid w:val="00DC4EED"/>
    <w:rsid w:val="00DC6319"/>
    <w:rsid w:val="00DC7246"/>
    <w:rsid w:val="00DC7315"/>
    <w:rsid w:val="00DD01B4"/>
    <w:rsid w:val="00DD0C0F"/>
    <w:rsid w:val="00DD0DE1"/>
    <w:rsid w:val="00DD1DF3"/>
    <w:rsid w:val="00DD234D"/>
    <w:rsid w:val="00DD4337"/>
    <w:rsid w:val="00DD46C8"/>
    <w:rsid w:val="00DD555F"/>
    <w:rsid w:val="00DD569C"/>
    <w:rsid w:val="00DD5E2A"/>
    <w:rsid w:val="00DD645D"/>
    <w:rsid w:val="00DD7022"/>
    <w:rsid w:val="00DD7ED6"/>
    <w:rsid w:val="00DE054E"/>
    <w:rsid w:val="00DE28A1"/>
    <w:rsid w:val="00DE3BC5"/>
    <w:rsid w:val="00DE7A32"/>
    <w:rsid w:val="00DF0A85"/>
    <w:rsid w:val="00DF1178"/>
    <w:rsid w:val="00DF603F"/>
    <w:rsid w:val="00DF6F04"/>
    <w:rsid w:val="00DF7EC9"/>
    <w:rsid w:val="00E0023D"/>
    <w:rsid w:val="00E02B86"/>
    <w:rsid w:val="00E03CD5"/>
    <w:rsid w:val="00E0481E"/>
    <w:rsid w:val="00E04ADB"/>
    <w:rsid w:val="00E04D7D"/>
    <w:rsid w:val="00E0568B"/>
    <w:rsid w:val="00E11B99"/>
    <w:rsid w:val="00E12B18"/>
    <w:rsid w:val="00E12B4B"/>
    <w:rsid w:val="00E138DD"/>
    <w:rsid w:val="00E13A68"/>
    <w:rsid w:val="00E14C2D"/>
    <w:rsid w:val="00E16424"/>
    <w:rsid w:val="00E204BA"/>
    <w:rsid w:val="00E21415"/>
    <w:rsid w:val="00E21CCA"/>
    <w:rsid w:val="00E2301E"/>
    <w:rsid w:val="00E241A9"/>
    <w:rsid w:val="00E25F08"/>
    <w:rsid w:val="00E2754F"/>
    <w:rsid w:val="00E27802"/>
    <w:rsid w:val="00E27C60"/>
    <w:rsid w:val="00E27F19"/>
    <w:rsid w:val="00E3095C"/>
    <w:rsid w:val="00E30D7D"/>
    <w:rsid w:val="00E3117B"/>
    <w:rsid w:val="00E34583"/>
    <w:rsid w:val="00E34684"/>
    <w:rsid w:val="00E346DF"/>
    <w:rsid w:val="00E347A0"/>
    <w:rsid w:val="00E3590D"/>
    <w:rsid w:val="00E375E2"/>
    <w:rsid w:val="00E37A49"/>
    <w:rsid w:val="00E4002F"/>
    <w:rsid w:val="00E414BF"/>
    <w:rsid w:val="00E4227F"/>
    <w:rsid w:val="00E425FD"/>
    <w:rsid w:val="00E42A20"/>
    <w:rsid w:val="00E458DF"/>
    <w:rsid w:val="00E474A7"/>
    <w:rsid w:val="00E47E25"/>
    <w:rsid w:val="00E51F64"/>
    <w:rsid w:val="00E538CA"/>
    <w:rsid w:val="00E542E0"/>
    <w:rsid w:val="00E569F5"/>
    <w:rsid w:val="00E57A23"/>
    <w:rsid w:val="00E57AEB"/>
    <w:rsid w:val="00E6070C"/>
    <w:rsid w:val="00E60886"/>
    <w:rsid w:val="00E61A6A"/>
    <w:rsid w:val="00E61C53"/>
    <w:rsid w:val="00E61D28"/>
    <w:rsid w:val="00E62209"/>
    <w:rsid w:val="00E62EAB"/>
    <w:rsid w:val="00E64035"/>
    <w:rsid w:val="00E64916"/>
    <w:rsid w:val="00E64D67"/>
    <w:rsid w:val="00E708FD"/>
    <w:rsid w:val="00E71B78"/>
    <w:rsid w:val="00E71F96"/>
    <w:rsid w:val="00E736D7"/>
    <w:rsid w:val="00E73F70"/>
    <w:rsid w:val="00E74D15"/>
    <w:rsid w:val="00E75649"/>
    <w:rsid w:val="00E761D4"/>
    <w:rsid w:val="00E77265"/>
    <w:rsid w:val="00E776DA"/>
    <w:rsid w:val="00E777EC"/>
    <w:rsid w:val="00E77DC0"/>
    <w:rsid w:val="00E805BF"/>
    <w:rsid w:val="00E80AD3"/>
    <w:rsid w:val="00E825D9"/>
    <w:rsid w:val="00E83503"/>
    <w:rsid w:val="00E83DA4"/>
    <w:rsid w:val="00E83E1E"/>
    <w:rsid w:val="00E8462C"/>
    <w:rsid w:val="00E87545"/>
    <w:rsid w:val="00E9092C"/>
    <w:rsid w:val="00E90C3F"/>
    <w:rsid w:val="00E91B60"/>
    <w:rsid w:val="00E92DA4"/>
    <w:rsid w:val="00E9304E"/>
    <w:rsid w:val="00E94CCB"/>
    <w:rsid w:val="00E95751"/>
    <w:rsid w:val="00E958C1"/>
    <w:rsid w:val="00E95A85"/>
    <w:rsid w:val="00E969AB"/>
    <w:rsid w:val="00E970F1"/>
    <w:rsid w:val="00E97121"/>
    <w:rsid w:val="00E976BE"/>
    <w:rsid w:val="00EA02A7"/>
    <w:rsid w:val="00EA04D7"/>
    <w:rsid w:val="00EA1275"/>
    <w:rsid w:val="00EA1FAB"/>
    <w:rsid w:val="00EA3532"/>
    <w:rsid w:val="00EA381F"/>
    <w:rsid w:val="00EA46BC"/>
    <w:rsid w:val="00EA4E50"/>
    <w:rsid w:val="00EA670A"/>
    <w:rsid w:val="00EA7497"/>
    <w:rsid w:val="00EA7FF3"/>
    <w:rsid w:val="00EB1173"/>
    <w:rsid w:val="00EB12BB"/>
    <w:rsid w:val="00EB230A"/>
    <w:rsid w:val="00EB4957"/>
    <w:rsid w:val="00EB4AEA"/>
    <w:rsid w:val="00EB4C70"/>
    <w:rsid w:val="00EB6EC3"/>
    <w:rsid w:val="00EC0D04"/>
    <w:rsid w:val="00EC1044"/>
    <w:rsid w:val="00EC1676"/>
    <w:rsid w:val="00EC4868"/>
    <w:rsid w:val="00EC4941"/>
    <w:rsid w:val="00EC4D90"/>
    <w:rsid w:val="00EC50E7"/>
    <w:rsid w:val="00EC705F"/>
    <w:rsid w:val="00ED0375"/>
    <w:rsid w:val="00ED075A"/>
    <w:rsid w:val="00ED0DC3"/>
    <w:rsid w:val="00ED0DC5"/>
    <w:rsid w:val="00ED1160"/>
    <w:rsid w:val="00ED1E8B"/>
    <w:rsid w:val="00ED4059"/>
    <w:rsid w:val="00ED5A7C"/>
    <w:rsid w:val="00ED62D5"/>
    <w:rsid w:val="00ED6FE1"/>
    <w:rsid w:val="00ED73F7"/>
    <w:rsid w:val="00ED7FA1"/>
    <w:rsid w:val="00EE13F8"/>
    <w:rsid w:val="00EE184F"/>
    <w:rsid w:val="00EE1ECA"/>
    <w:rsid w:val="00EE211D"/>
    <w:rsid w:val="00EE2160"/>
    <w:rsid w:val="00EE26F5"/>
    <w:rsid w:val="00EE34E6"/>
    <w:rsid w:val="00EE3D59"/>
    <w:rsid w:val="00EE55CF"/>
    <w:rsid w:val="00EE5E79"/>
    <w:rsid w:val="00EF34B7"/>
    <w:rsid w:val="00EF4549"/>
    <w:rsid w:val="00EF50D3"/>
    <w:rsid w:val="00F0192B"/>
    <w:rsid w:val="00F01A42"/>
    <w:rsid w:val="00F01DE7"/>
    <w:rsid w:val="00F021D1"/>
    <w:rsid w:val="00F02EDC"/>
    <w:rsid w:val="00F04374"/>
    <w:rsid w:val="00F04EC2"/>
    <w:rsid w:val="00F06081"/>
    <w:rsid w:val="00F07F8B"/>
    <w:rsid w:val="00F1055D"/>
    <w:rsid w:val="00F110C2"/>
    <w:rsid w:val="00F1178C"/>
    <w:rsid w:val="00F1350C"/>
    <w:rsid w:val="00F168D8"/>
    <w:rsid w:val="00F20771"/>
    <w:rsid w:val="00F21152"/>
    <w:rsid w:val="00F2226D"/>
    <w:rsid w:val="00F222E8"/>
    <w:rsid w:val="00F2269B"/>
    <w:rsid w:val="00F226FD"/>
    <w:rsid w:val="00F26135"/>
    <w:rsid w:val="00F26FA1"/>
    <w:rsid w:val="00F27477"/>
    <w:rsid w:val="00F30D61"/>
    <w:rsid w:val="00F325AF"/>
    <w:rsid w:val="00F33CA0"/>
    <w:rsid w:val="00F345FE"/>
    <w:rsid w:val="00F349C8"/>
    <w:rsid w:val="00F379DC"/>
    <w:rsid w:val="00F37A9C"/>
    <w:rsid w:val="00F40684"/>
    <w:rsid w:val="00F414C6"/>
    <w:rsid w:val="00F42573"/>
    <w:rsid w:val="00F42863"/>
    <w:rsid w:val="00F42D6D"/>
    <w:rsid w:val="00F44118"/>
    <w:rsid w:val="00F446F6"/>
    <w:rsid w:val="00F451C1"/>
    <w:rsid w:val="00F456D9"/>
    <w:rsid w:val="00F46E1B"/>
    <w:rsid w:val="00F4770B"/>
    <w:rsid w:val="00F47845"/>
    <w:rsid w:val="00F51EC6"/>
    <w:rsid w:val="00F521A1"/>
    <w:rsid w:val="00F5263C"/>
    <w:rsid w:val="00F532DE"/>
    <w:rsid w:val="00F542EE"/>
    <w:rsid w:val="00F54C1B"/>
    <w:rsid w:val="00F565AE"/>
    <w:rsid w:val="00F57033"/>
    <w:rsid w:val="00F640AF"/>
    <w:rsid w:val="00F64F25"/>
    <w:rsid w:val="00F65A21"/>
    <w:rsid w:val="00F67359"/>
    <w:rsid w:val="00F700D9"/>
    <w:rsid w:val="00F73257"/>
    <w:rsid w:val="00F74585"/>
    <w:rsid w:val="00F745FA"/>
    <w:rsid w:val="00F7574B"/>
    <w:rsid w:val="00F757B8"/>
    <w:rsid w:val="00F75CF0"/>
    <w:rsid w:val="00F8276F"/>
    <w:rsid w:val="00F8321A"/>
    <w:rsid w:val="00F86948"/>
    <w:rsid w:val="00F92BBF"/>
    <w:rsid w:val="00F94A75"/>
    <w:rsid w:val="00F964CC"/>
    <w:rsid w:val="00F97FCB"/>
    <w:rsid w:val="00FA0982"/>
    <w:rsid w:val="00FA3179"/>
    <w:rsid w:val="00FA420F"/>
    <w:rsid w:val="00FA4749"/>
    <w:rsid w:val="00FA4D79"/>
    <w:rsid w:val="00FA5124"/>
    <w:rsid w:val="00FA5AD3"/>
    <w:rsid w:val="00FA7F83"/>
    <w:rsid w:val="00FB05FA"/>
    <w:rsid w:val="00FB1A67"/>
    <w:rsid w:val="00FB1C45"/>
    <w:rsid w:val="00FB410B"/>
    <w:rsid w:val="00FB4D0A"/>
    <w:rsid w:val="00FB6BFA"/>
    <w:rsid w:val="00FB79E2"/>
    <w:rsid w:val="00FC1253"/>
    <w:rsid w:val="00FC3C6B"/>
    <w:rsid w:val="00FC6B55"/>
    <w:rsid w:val="00FC701C"/>
    <w:rsid w:val="00FC7EF3"/>
    <w:rsid w:val="00FD0522"/>
    <w:rsid w:val="00FD26A3"/>
    <w:rsid w:val="00FD5318"/>
    <w:rsid w:val="00FD5D2C"/>
    <w:rsid w:val="00FD6614"/>
    <w:rsid w:val="00FD6A19"/>
    <w:rsid w:val="00FD6A58"/>
    <w:rsid w:val="00FD7A22"/>
    <w:rsid w:val="00FE059C"/>
    <w:rsid w:val="00FE3FE1"/>
    <w:rsid w:val="00FE5151"/>
    <w:rsid w:val="00FE6265"/>
    <w:rsid w:val="00FE6995"/>
    <w:rsid w:val="00FE6AB6"/>
    <w:rsid w:val="00FE6CC3"/>
    <w:rsid w:val="00FE7026"/>
    <w:rsid w:val="00FE7216"/>
    <w:rsid w:val="00FF0807"/>
    <w:rsid w:val="00FF22DE"/>
    <w:rsid w:val="00FF253E"/>
    <w:rsid w:val="00FF4BEC"/>
    <w:rsid w:val="00FF5835"/>
    <w:rsid w:val="00FF600B"/>
    <w:rsid w:val="00FF62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833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fr-FR"/>
    </w:rPr>
  </w:style>
  <w:style w:type="paragraph" w:styleId="Titre1">
    <w:name w:val="heading 1"/>
    <w:basedOn w:val="Normal"/>
    <w:next w:val="Paragrdouble"/>
    <w:qFormat/>
    <w:rsid w:val="00D12D92"/>
    <w:pPr>
      <w:keepNext/>
      <w:spacing w:before="240" w:after="60"/>
      <w:ind w:left="432" w:hanging="432"/>
      <w:outlineLvl w:val="0"/>
    </w:pPr>
    <w:rPr>
      <w:b/>
      <w:kern w:val="28"/>
      <w:u w:val="single"/>
    </w:rPr>
  </w:style>
  <w:style w:type="paragraph" w:styleId="Titre2">
    <w:name w:val="heading 2"/>
    <w:basedOn w:val="Normal"/>
    <w:next w:val="Paragrdouble"/>
    <w:qFormat/>
    <w:rsid w:val="00BA153A"/>
    <w:pPr>
      <w:keepNext/>
      <w:numPr>
        <w:numId w:val="3"/>
      </w:numPr>
      <w:spacing w:before="240" w:after="60"/>
      <w:outlineLvl w:val="1"/>
    </w:pPr>
    <w:rPr>
      <w:b/>
      <w:caps/>
      <w:u w:val="single"/>
    </w:rPr>
  </w:style>
  <w:style w:type="paragraph" w:styleId="Titre3">
    <w:name w:val="heading 3"/>
    <w:basedOn w:val="Normal"/>
    <w:next w:val="Paragrdouble"/>
    <w:qFormat/>
    <w:rsid w:val="00AF1575"/>
    <w:pPr>
      <w:keepNext/>
      <w:numPr>
        <w:ilvl w:val="1"/>
        <w:numId w:val="3"/>
      </w:numPr>
      <w:spacing w:before="240" w:after="60"/>
      <w:outlineLvl w:val="2"/>
    </w:pPr>
    <w:rPr>
      <w:b/>
    </w:rPr>
  </w:style>
  <w:style w:type="paragraph" w:styleId="Titre4">
    <w:name w:val="heading 4"/>
    <w:basedOn w:val="Normal"/>
    <w:next w:val="Paragrdouble"/>
    <w:qFormat/>
    <w:rsid w:val="00AF1575"/>
    <w:pPr>
      <w:keepNext/>
      <w:numPr>
        <w:ilvl w:val="2"/>
        <w:numId w:val="3"/>
      </w:numPr>
      <w:spacing w:before="240" w:after="60"/>
      <w:outlineLvl w:val="3"/>
    </w:pPr>
    <w:rPr>
      <w:b/>
    </w:rPr>
  </w:style>
  <w:style w:type="paragraph" w:styleId="Titre5">
    <w:name w:val="heading 5"/>
    <w:basedOn w:val="Titre4"/>
    <w:next w:val="Paragrdouble"/>
    <w:qFormat/>
    <w:rsid w:val="001B0DA6"/>
    <w:pPr>
      <w:numPr>
        <w:ilvl w:val="3"/>
      </w:numPr>
      <w:outlineLvl w:val="4"/>
    </w:pPr>
  </w:style>
  <w:style w:type="paragraph" w:styleId="Titre6">
    <w:name w:val="heading 6"/>
    <w:basedOn w:val="Titre5"/>
    <w:next w:val="Paragrdouble"/>
    <w:qFormat/>
    <w:rsid w:val="00C025FC"/>
    <w:pPr>
      <w:numPr>
        <w:ilvl w:val="4"/>
      </w:numPr>
      <w:outlineLvl w:val="5"/>
    </w:pPr>
  </w:style>
  <w:style w:type="paragraph" w:styleId="Titre7">
    <w:name w:val="heading 7"/>
    <w:basedOn w:val="Normal"/>
    <w:next w:val="Normal"/>
    <w:qFormat/>
    <w:pPr>
      <w:numPr>
        <w:ilvl w:val="6"/>
        <w:numId w:val="2"/>
      </w:numPr>
      <w:spacing w:before="240" w:after="60"/>
      <w:outlineLvl w:val="6"/>
    </w:pPr>
    <w:rPr>
      <w:sz w:val="20"/>
    </w:rPr>
  </w:style>
  <w:style w:type="paragraph" w:styleId="Titre8">
    <w:name w:val="heading 8"/>
    <w:basedOn w:val="Normal"/>
    <w:next w:val="Normal"/>
    <w:qFormat/>
    <w:pPr>
      <w:numPr>
        <w:ilvl w:val="7"/>
        <w:numId w:val="2"/>
      </w:numPr>
      <w:spacing w:before="240" w:after="60"/>
      <w:outlineLvl w:val="7"/>
    </w:pPr>
    <w:rPr>
      <w:i/>
      <w:sz w:val="20"/>
    </w:rPr>
  </w:style>
  <w:style w:type="paragraph" w:styleId="Titre9">
    <w:name w:val="heading 9"/>
    <w:basedOn w:val="Normal"/>
    <w:next w:val="Normal"/>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double">
    <w:name w:val="Paragr. double"/>
    <w:basedOn w:val="Normal"/>
    <w:rsid w:val="00AF1575"/>
    <w:pPr>
      <w:numPr>
        <w:numId w:val="1"/>
      </w:numPr>
      <w:tabs>
        <w:tab w:val="clear" w:pos="2769"/>
        <w:tab w:val="num" w:pos="360"/>
      </w:tabs>
      <w:spacing w:before="120" w:after="120" w:line="500" w:lineRule="exact"/>
      <w:ind w:left="0"/>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uiPriority w:val="99"/>
    <w:semiHidden/>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jc w:val="center"/>
    </w:pPr>
    <w:rPr>
      <w:b/>
      <w:sz w:val="36"/>
    </w:rPr>
  </w:style>
  <w:style w:type="paragraph" w:customStyle="1" w:styleId="zSoquijlblPays">
    <w:name w:val="zSoquij_lblPays"/>
    <w:basedOn w:val="Normal"/>
    <w:rsid w:val="00C025FC"/>
    <w:rPr>
      <w:caps/>
    </w:rPr>
  </w:style>
  <w:style w:type="paragraph" w:customStyle="1" w:styleId="zSoquijlblProvince">
    <w:name w:val="zSoquij_lblProvince"/>
    <w:basedOn w:val="Normal"/>
    <w:rsid w:val="00C025FC"/>
    <w:rPr>
      <w:caps/>
    </w:rPr>
  </w:style>
  <w:style w:type="paragraph" w:customStyle="1" w:styleId="zSoquijlblGreffe">
    <w:name w:val="zSoquij_lblGreffe"/>
    <w:basedOn w:val="Normal"/>
    <w:rsid w:val="00C025FC"/>
    <w:pPr>
      <w:ind w:left="70"/>
    </w:pPr>
    <w:rPr>
      <w:caps/>
    </w:rPr>
  </w:style>
  <w:style w:type="paragraph" w:customStyle="1" w:styleId="zSoquijdatGreffe">
    <w:name w:val="zSoquij_datGreffe"/>
    <w:basedOn w:val="Normal"/>
    <w:rsid w:val="00C025FC"/>
    <w:pPr>
      <w:ind w:left="29"/>
    </w:pPr>
    <w:rPr>
      <w:caps/>
    </w:r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sid w:val="00C025FC"/>
    <w:pPr>
      <w:ind w:left="70"/>
    </w:pPr>
    <w:rPr>
      <w:b/>
      <w:caps/>
    </w:rPr>
  </w:style>
  <w:style w:type="paragraph" w:customStyle="1" w:styleId="zSoquijdatQteJuge">
    <w:name w:val="zSoquij_datQteJuge"/>
    <w:basedOn w:val="Normal"/>
    <w:rsid w:val="00C025FC"/>
    <w:pPr>
      <w:ind w:left="29"/>
    </w:pPr>
    <w:rPr>
      <w:b/>
      <w:caps/>
    </w:rPr>
  </w:style>
  <w:style w:type="paragraph" w:customStyle="1" w:styleId="zSoquijdatJuge">
    <w:name w:val="zSoquij_datJuge"/>
    <w:basedOn w:val="Normal"/>
    <w:rsid w:val="00BA153A"/>
    <w:pPr>
      <w:ind w:left="52"/>
    </w:pPr>
    <w:rPr>
      <w:b/>
      <w:caps/>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rsid w:val="00C025FC"/>
    <w:pPr>
      <w:jc w:val="center"/>
    </w:pPr>
    <w:rPr>
      <w:caps/>
    </w:r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doubl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rsid w:val="00CF51ED"/>
    <w:pPr>
      <w:widowControl w:val="0"/>
      <w:numPr>
        <w:ilvl w:val="1"/>
        <w:numId w:val="1"/>
      </w:numPr>
      <w:spacing w:before="120" w:after="120"/>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next w:val="Paragrdouble"/>
    <w:rsid w:val="00CF51ED"/>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rsid w:val="00E75649"/>
  </w:style>
  <w:style w:type="paragraph" w:customStyle="1" w:styleId="zSoquijdatLocalite">
    <w:name w:val="zSoquij_datLocalite"/>
    <w:basedOn w:val="zSoquijdatGreffe"/>
    <w:rsid w:val="00E75649"/>
  </w:style>
  <w:style w:type="numbering" w:customStyle="1" w:styleId="Style1">
    <w:name w:val="Style1"/>
    <w:uiPriority w:val="99"/>
    <w:rsid w:val="00CE1CAF"/>
    <w:pPr>
      <w:numPr>
        <w:numId w:val="4"/>
      </w:numPr>
    </w:pPr>
  </w:style>
  <w:style w:type="paragraph" w:customStyle="1" w:styleId="Paragrsimple">
    <w:name w:val="Paragr. simple"/>
    <w:basedOn w:val="Paragrdouble"/>
    <w:next w:val="Paragrdouble"/>
    <w:qFormat/>
    <w:rsid w:val="00BA153A"/>
    <w:pPr>
      <w:spacing w:line="240" w:lineRule="auto"/>
    </w:pPr>
  </w:style>
  <w:style w:type="paragraph" w:styleId="En-ttedetabledesmatires">
    <w:name w:val="TOC Heading"/>
    <w:basedOn w:val="Titre1"/>
    <w:next w:val="Normal"/>
    <w:uiPriority w:val="39"/>
    <w:qFormat/>
    <w:rsid w:val="00BA153A"/>
    <w:pPr>
      <w:keepLines/>
      <w:spacing w:before="480" w:after="0" w:line="276" w:lineRule="auto"/>
      <w:ind w:left="0" w:firstLine="0"/>
      <w:outlineLvl w:val="9"/>
    </w:pPr>
    <w:rPr>
      <w:rFonts w:ascii="Cambria" w:hAnsi="Cambria"/>
      <w:bCs/>
      <w:color w:val="365F91"/>
      <w:kern w:val="0"/>
      <w:sz w:val="28"/>
      <w:szCs w:val="28"/>
      <w:u w:val="none"/>
      <w:lang w:eastAsia="fr-CA"/>
    </w:rPr>
  </w:style>
  <w:style w:type="paragraph" w:styleId="TM1">
    <w:name w:val="toc 1"/>
    <w:basedOn w:val="Normal"/>
    <w:next w:val="Normal"/>
    <w:autoRedefine/>
    <w:uiPriority w:val="39"/>
    <w:unhideWhenUsed/>
    <w:rsid w:val="00BA153A"/>
  </w:style>
  <w:style w:type="paragraph" w:styleId="TM2">
    <w:name w:val="toc 2"/>
    <w:basedOn w:val="Normal"/>
    <w:next w:val="Normal"/>
    <w:autoRedefine/>
    <w:uiPriority w:val="39"/>
    <w:unhideWhenUsed/>
    <w:rsid w:val="00051291"/>
    <w:pPr>
      <w:tabs>
        <w:tab w:val="right" w:leader="dot" w:pos="9352"/>
      </w:tabs>
      <w:ind w:left="240"/>
    </w:pPr>
  </w:style>
  <w:style w:type="paragraph" w:styleId="TM3">
    <w:name w:val="toc 3"/>
    <w:basedOn w:val="Normal"/>
    <w:next w:val="Normal"/>
    <w:autoRedefine/>
    <w:uiPriority w:val="39"/>
    <w:unhideWhenUsed/>
    <w:rsid w:val="00BA153A"/>
    <w:pPr>
      <w:ind w:left="480"/>
    </w:pPr>
  </w:style>
  <w:style w:type="character" w:styleId="Hyperlien">
    <w:name w:val="Hyperlink"/>
    <w:uiPriority w:val="99"/>
    <w:unhideWhenUsed/>
    <w:rsid w:val="00BA153A"/>
    <w:rPr>
      <w:color w:val="0000FF"/>
      <w:u w:val="single"/>
      <w:lang w:val="fr-CA"/>
    </w:rPr>
  </w:style>
  <w:style w:type="paragraph" w:styleId="Explorateurdedocuments">
    <w:name w:val="Document Map"/>
    <w:basedOn w:val="Normal"/>
    <w:semiHidden/>
    <w:rsid w:val="00007687"/>
    <w:pPr>
      <w:shd w:val="clear" w:color="auto" w:fill="000080"/>
    </w:pPr>
    <w:rPr>
      <w:rFonts w:ascii="Tahoma" w:hAnsi="Tahoma" w:cs="Tahoma"/>
      <w:sz w:val="20"/>
    </w:rPr>
  </w:style>
  <w:style w:type="paragraph" w:styleId="Titre">
    <w:name w:val="Title"/>
    <w:basedOn w:val="Normal"/>
    <w:qFormat/>
    <w:rsid w:val="008A4532"/>
    <w:pPr>
      <w:spacing w:before="240" w:after="60"/>
      <w:jc w:val="center"/>
      <w:outlineLvl w:val="0"/>
    </w:pPr>
    <w:rPr>
      <w:rFonts w:cs="Arial"/>
      <w:b/>
      <w:bCs/>
      <w:kern w:val="28"/>
      <w:sz w:val="32"/>
      <w:szCs w:val="32"/>
    </w:rPr>
  </w:style>
  <w:style w:type="character" w:styleId="Marquedecommentaire">
    <w:name w:val="annotation reference"/>
    <w:basedOn w:val="Policepardfaut"/>
    <w:uiPriority w:val="99"/>
    <w:semiHidden/>
    <w:unhideWhenUsed/>
    <w:rsid w:val="00E75649"/>
    <w:rPr>
      <w:sz w:val="16"/>
      <w:szCs w:val="16"/>
    </w:rPr>
  </w:style>
  <w:style w:type="paragraph" w:styleId="Commentaire">
    <w:name w:val="annotation text"/>
    <w:basedOn w:val="Normal"/>
    <w:link w:val="CommentaireCar"/>
    <w:uiPriority w:val="99"/>
    <w:unhideWhenUsed/>
    <w:rsid w:val="00E75649"/>
    <w:rPr>
      <w:sz w:val="20"/>
    </w:rPr>
  </w:style>
  <w:style w:type="character" w:customStyle="1" w:styleId="CommentaireCar">
    <w:name w:val="Commentaire Car"/>
    <w:basedOn w:val="Policepardfaut"/>
    <w:link w:val="Commentaire"/>
    <w:uiPriority w:val="99"/>
    <w:rsid w:val="00E75649"/>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E75649"/>
    <w:rPr>
      <w:b/>
      <w:bCs/>
    </w:rPr>
  </w:style>
  <w:style w:type="character" w:customStyle="1" w:styleId="ObjetducommentaireCar">
    <w:name w:val="Objet du commentaire Car"/>
    <w:basedOn w:val="CommentaireCar"/>
    <w:link w:val="Objetducommentaire"/>
    <w:uiPriority w:val="99"/>
    <w:semiHidden/>
    <w:rsid w:val="00E75649"/>
    <w:rPr>
      <w:rFonts w:ascii="Arial" w:hAnsi="Arial"/>
      <w:b/>
      <w:bCs/>
      <w:lang w:eastAsia="fr-FR"/>
    </w:rPr>
  </w:style>
  <w:style w:type="paragraph" w:styleId="Textedebulles">
    <w:name w:val="Balloon Text"/>
    <w:basedOn w:val="Normal"/>
    <w:link w:val="TextedebullesCar"/>
    <w:uiPriority w:val="99"/>
    <w:semiHidden/>
    <w:unhideWhenUsed/>
    <w:rsid w:val="00E7564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5649"/>
    <w:rPr>
      <w:rFonts w:ascii="Segoe UI" w:hAnsi="Segoe UI" w:cs="Segoe UI"/>
      <w:sz w:val="18"/>
      <w:szCs w:val="18"/>
      <w:lang w:eastAsia="fr-FR"/>
    </w:rPr>
  </w:style>
  <w:style w:type="table" w:styleId="Grilledutableau">
    <w:name w:val="Table Grid"/>
    <w:basedOn w:val="TableauNormal"/>
    <w:uiPriority w:val="59"/>
    <w:rsid w:val="00DD1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868FC"/>
    <w:pPr>
      <w:tabs>
        <w:tab w:val="center" w:pos="4320"/>
        <w:tab w:val="right" w:pos="8640"/>
      </w:tabs>
    </w:pPr>
  </w:style>
  <w:style w:type="character" w:customStyle="1" w:styleId="En-tteCar">
    <w:name w:val="En-tête Car"/>
    <w:basedOn w:val="Policepardfaut"/>
    <w:link w:val="En-tte"/>
    <w:uiPriority w:val="99"/>
    <w:rsid w:val="006868FC"/>
    <w:rPr>
      <w:rFonts w:ascii="Arial" w:hAnsi="Arial"/>
      <w:sz w:val="24"/>
      <w:lang w:eastAsia="fr-FR"/>
    </w:rPr>
  </w:style>
  <w:style w:type="paragraph" w:styleId="Pieddepage">
    <w:name w:val="footer"/>
    <w:basedOn w:val="Normal"/>
    <w:link w:val="PieddepageCar"/>
    <w:uiPriority w:val="99"/>
    <w:unhideWhenUsed/>
    <w:rsid w:val="006868FC"/>
    <w:pPr>
      <w:tabs>
        <w:tab w:val="center" w:pos="4320"/>
        <w:tab w:val="right" w:pos="8640"/>
      </w:tabs>
    </w:pPr>
  </w:style>
  <w:style w:type="character" w:customStyle="1" w:styleId="PieddepageCar">
    <w:name w:val="Pied de page Car"/>
    <w:basedOn w:val="Policepardfaut"/>
    <w:link w:val="Pieddepage"/>
    <w:uiPriority w:val="99"/>
    <w:rsid w:val="006868FC"/>
    <w:rPr>
      <w:rFonts w:ascii="Arial" w:hAnsi="Arial"/>
      <w:sz w:val="24"/>
      <w:lang w:eastAsia="fr-FR"/>
    </w:rPr>
  </w:style>
  <w:style w:type="paragraph" w:styleId="Paragraphedeliste">
    <w:name w:val="List Paragraph"/>
    <w:basedOn w:val="Normal"/>
    <w:uiPriority w:val="34"/>
    <w:qFormat/>
    <w:rsid w:val="008474C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otedebasdepageCar">
    <w:name w:val="Note de bas de page Car"/>
    <w:basedOn w:val="Policepardfaut"/>
    <w:link w:val="Notedebasdepage"/>
    <w:uiPriority w:val="99"/>
    <w:semiHidden/>
    <w:rsid w:val="008474CA"/>
    <w:rPr>
      <w:rFonts w:ascii="Arial" w:hAnsi="Arial"/>
      <w:lang w:eastAsia="fr-FR"/>
    </w:rPr>
  </w:style>
  <w:style w:type="character" w:styleId="Appelnotedebasdep">
    <w:name w:val="footnote reference"/>
    <w:basedOn w:val="Policepardfaut"/>
    <w:uiPriority w:val="99"/>
    <w:semiHidden/>
    <w:unhideWhenUsed/>
    <w:rsid w:val="008474CA"/>
    <w:rPr>
      <w:vertAlign w:val="superscript"/>
    </w:rPr>
  </w:style>
  <w:style w:type="paragraph" w:customStyle="1" w:styleId="paragraphe">
    <w:name w:val="paragraphe"/>
    <w:basedOn w:val="Normal"/>
    <w:rsid w:val="00B30F69"/>
    <w:pPr>
      <w:spacing w:before="100" w:beforeAutospacing="1" w:after="100" w:afterAutospacing="1"/>
    </w:pPr>
    <w:rPr>
      <w:rFonts w:ascii="Times New Roman" w:hAnsi="Times New Roman"/>
      <w:szCs w:val="24"/>
      <w:lang w:eastAsia="fr-CA"/>
    </w:rPr>
  </w:style>
  <w:style w:type="character" w:customStyle="1" w:styleId="reflex3-missing">
    <w:name w:val="reflex3-missing"/>
    <w:basedOn w:val="Policepardfaut"/>
    <w:rsid w:val="003C3B86"/>
  </w:style>
  <w:style w:type="character" w:customStyle="1" w:styleId="canliisection">
    <w:name w:val="canlii_section"/>
    <w:basedOn w:val="Policepardfaut"/>
    <w:rsid w:val="00A95DAA"/>
  </w:style>
  <w:style w:type="character" w:customStyle="1" w:styleId="label-section">
    <w:name w:val="label-section"/>
    <w:basedOn w:val="Policepardfaut"/>
    <w:rsid w:val="00C9672D"/>
  </w:style>
  <w:style w:type="character" w:customStyle="1" w:styleId="subsection">
    <w:name w:val="subsection"/>
    <w:basedOn w:val="Policepardfaut"/>
    <w:rsid w:val="00C9672D"/>
  </w:style>
  <w:style w:type="character" w:customStyle="1" w:styleId="label-group5">
    <w:name w:val="label-group5"/>
    <w:basedOn w:val="Policepardfaut"/>
    <w:rsid w:val="00C9672D"/>
  </w:style>
  <w:style w:type="character" w:customStyle="1" w:styleId="label-group6">
    <w:name w:val="label-group6"/>
    <w:basedOn w:val="Policepardfaut"/>
    <w:rsid w:val="00C9672D"/>
  </w:style>
  <w:style w:type="character" w:customStyle="1" w:styleId="titletext-group6">
    <w:name w:val="titletext-group6"/>
    <w:basedOn w:val="Policepardfaut"/>
    <w:rsid w:val="00C9672D"/>
  </w:style>
  <w:style w:type="paragraph" w:styleId="Citation">
    <w:name w:val="Quote"/>
    <w:basedOn w:val="Normal"/>
    <w:link w:val="CitationCar"/>
    <w:uiPriority w:val="29"/>
    <w:qFormat/>
    <w:rsid w:val="00C63F21"/>
    <w:pPr>
      <w:spacing w:before="100" w:beforeAutospacing="1" w:after="100" w:afterAutospacing="1"/>
    </w:pPr>
    <w:rPr>
      <w:rFonts w:ascii="Times New Roman" w:hAnsi="Times New Roman"/>
      <w:szCs w:val="24"/>
      <w:lang w:eastAsia="fr-CA"/>
    </w:rPr>
  </w:style>
  <w:style w:type="character" w:customStyle="1" w:styleId="CitationCar">
    <w:name w:val="Citation Car"/>
    <w:basedOn w:val="Policepardfaut"/>
    <w:link w:val="Citation"/>
    <w:uiPriority w:val="29"/>
    <w:rsid w:val="00C63F21"/>
    <w:rPr>
      <w:sz w:val="24"/>
      <w:szCs w:val="24"/>
    </w:rPr>
  </w:style>
  <w:style w:type="paragraph" w:customStyle="1" w:styleId="1">
    <w:name w:val="1"/>
    <w:basedOn w:val="Normal"/>
    <w:rsid w:val="00CF09BA"/>
    <w:pPr>
      <w:spacing w:before="100" w:beforeAutospacing="1" w:after="100" w:afterAutospacing="1"/>
    </w:pPr>
    <w:rPr>
      <w:rFonts w:ascii="Times New Roman" w:hAnsi="Times New Roman"/>
      <w:szCs w:val="24"/>
      <w:lang w:eastAsia="fr-CA"/>
    </w:rPr>
  </w:style>
  <w:style w:type="character" w:customStyle="1" w:styleId="reflex2-link">
    <w:name w:val="reflex2-link"/>
    <w:basedOn w:val="Policepardfaut"/>
    <w:rsid w:val="00CF09BA"/>
  </w:style>
  <w:style w:type="character" w:customStyle="1" w:styleId="parafoonote">
    <w:name w:val="parafoonote"/>
    <w:basedOn w:val="Policepardfaut"/>
    <w:rsid w:val="00D42671"/>
  </w:style>
  <w:style w:type="character" w:customStyle="1" w:styleId="solexhl">
    <w:name w:val="solexhl"/>
    <w:basedOn w:val="Policepardfaut"/>
    <w:rsid w:val="009F4A6C"/>
  </w:style>
  <w:style w:type="character" w:customStyle="1" w:styleId="sccappellantforrunningheadchar">
    <w:name w:val="sccappellantforrunningheadchar"/>
    <w:basedOn w:val="Policepardfaut"/>
    <w:rsid w:val="00967B6B"/>
  </w:style>
  <w:style w:type="paragraph" w:customStyle="1" w:styleId="paranondepar-altn">
    <w:name w:val="paranondepar-altn"/>
    <w:basedOn w:val="Normal"/>
    <w:rsid w:val="00106A31"/>
    <w:pPr>
      <w:spacing w:before="100" w:beforeAutospacing="1" w:after="100" w:afterAutospacing="1"/>
    </w:pPr>
    <w:rPr>
      <w:rFonts w:ascii="Times New Roman" w:hAnsi="Times New Roman"/>
      <w:szCs w:val="24"/>
      <w:lang w:eastAsia="fr-CA"/>
    </w:rPr>
  </w:style>
  <w:style w:type="paragraph" w:styleId="Listepuces">
    <w:name w:val="List Bullet"/>
    <w:basedOn w:val="Normal"/>
    <w:uiPriority w:val="99"/>
    <w:unhideWhenUsed/>
    <w:rsid w:val="00A5303F"/>
    <w:pPr>
      <w:numPr>
        <w:numId w:val="8"/>
      </w:numPr>
      <w:contextualSpacing/>
    </w:pPr>
  </w:style>
  <w:style w:type="character" w:customStyle="1" w:styleId="sectionlabel">
    <w:name w:val="sectionlabel"/>
    <w:basedOn w:val="Policepardfaut"/>
    <w:rsid w:val="00F446F6"/>
  </w:style>
  <w:style w:type="character" w:customStyle="1" w:styleId="lawlabel">
    <w:name w:val="lawlabel"/>
    <w:basedOn w:val="Policepardfaut"/>
    <w:rsid w:val="00F446F6"/>
  </w:style>
  <w:style w:type="paragraph" w:customStyle="1" w:styleId="citation-altc">
    <w:name w:val="citation-altc"/>
    <w:basedOn w:val="Normal"/>
    <w:rsid w:val="00A03A34"/>
    <w:pPr>
      <w:spacing w:before="100" w:beforeAutospacing="1" w:after="100" w:afterAutospacing="1"/>
    </w:pPr>
    <w:rPr>
      <w:rFonts w:ascii="Times New Roman" w:hAnsi="Times New Roman"/>
      <w:szCs w:val="24"/>
      <w:lang w:eastAsia="fr-CA"/>
    </w:rPr>
  </w:style>
  <w:style w:type="character" w:customStyle="1" w:styleId="sccrespondentforindexchar">
    <w:name w:val="sccrespondentforindexchar"/>
    <w:basedOn w:val="Policepardfaut"/>
    <w:rsid w:val="00FD7A22"/>
  </w:style>
  <w:style w:type="character" w:customStyle="1" w:styleId="decisia-reflex2-icon">
    <w:name w:val="decisia-reflex2-icon"/>
    <w:basedOn w:val="Policepardfaut"/>
    <w:rsid w:val="00812CB4"/>
  </w:style>
  <w:style w:type="character" w:styleId="Mentionnonrsolue">
    <w:name w:val="Unresolved Mention"/>
    <w:basedOn w:val="Policepardfaut"/>
    <w:uiPriority w:val="99"/>
    <w:semiHidden/>
    <w:unhideWhenUsed/>
    <w:rsid w:val="002B7905"/>
    <w:rPr>
      <w:color w:val="605E5C"/>
      <w:shd w:val="clear" w:color="auto" w:fill="E1DFDD"/>
    </w:rPr>
  </w:style>
  <w:style w:type="paragraph" w:customStyle="1" w:styleId="sec">
    <w:name w:val="sec"/>
    <w:basedOn w:val="Normal"/>
    <w:rsid w:val="00A06605"/>
    <w:pPr>
      <w:spacing w:before="100" w:beforeAutospacing="1" w:after="100" w:afterAutospacing="1"/>
    </w:pPr>
    <w:rPr>
      <w:rFonts w:ascii="Times New Roman" w:hAnsi="Times New Roman"/>
      <w:szCs w:val="24"/>
      <w:lang w:eastAsia="fr-CA"/>
    </w:rPr>
  </w:style>
  <w:style w:type="character" w:customStyle="1" w:styleId="secnumholder">
    <w:name w:val="secnumholder"/>
    <w:basedOn w:val="Policepardfaut"/>
    <w:rsid w:val="00A06605"/>
  </w:style>
  <w:style w:type="paragraph" w:customStyle="1" w:styleId="para">
    <w:name w:val="para"/>
    <w:basedOn w:val="Normal"/>
    <w:rsid w:val="00A06605"/>
    <w:pPr>
      <w:spacing w:before="100" w:beforeAutospacing="1" w:after="100" w:afterAutospacing="1"/>
    </w:pPr>
    <w:rPr>
      <w:rFonts w:ascii="Times New Roman" w:hAnsi="Times New Roman"/>
      <w:szCs w:val="24"/>
      <w:lang w:eastAsia="fr-CA"/>
    </w:rPr>
  </w:style>
  <w:style w:type="character" w:customStyle="1" w:styleId="holder">
    <w:name w:val="holder"/>
    <w:basedOn w:val="Policepardfaut"/>
    <w:rsid w:val="00A06605"/>
  </w:style>
  <w:style w:type="paragraph" w:customStyle="1" w:styleId="subpara">
    <w:name w:val="subpara"/>
    <w:basedOn w:val="Normal"/>
    <w:rsid w:val="00A06605"/>
    <w:pPr>
      <w:spacing w:before="100" w:beforeAutospacing="1" w:after="100" w:afterAutospacing="1"/>
    </w:pPr>
    <w:rPr>
      <w:rFonts w:ascii="Times New Roman" w:hAnsi="Times New Roman"/>
      <w:szCs w:val="24"/>
      <w:lang w:eastAsia="fr-CA"/>
    </w:rPr>
  </w:style>
  <w:style w:type="paragraph" w:customStyle="1" w:styleId="sub">
    <w:name w:val="sub"/>
    <w:basedOn w:val="Normal"/>
    <w:rsid w:val="00A06605"/>
    <w:pPr>
      <w:spacing w:before="100" w:beforeAutospacing="1" w:after="100" w:afterAutospacing="1"/>
    </w:pPr>
    <w:rPr>
      <w:rFonts w:ascii="Times New Roman" w:hAnsi="Times New Roman"/>
      <w:szCs w:val="24"/>
      <w:lang w:eastAsia="fr-CA"/>
    </w:rPr>
  </w:style>
  <w:style w:type="paragraph" w:customStyle="1" w:styleId="section">
    <w:name w:val="section"/>
    <w:basedOn w:val="Normal"/>
    <w:rsid w:val="002F28C4"/>
    <w:pPr>
      <w:spacing w:before="100" w:beforeAutospacing="1" w:after="100" w:afterAutospacing="1"/>
    </w:pPr>
    <w:rPr>
      <w:rFonts w:ascii="Times New Roman" w:hAnsi="Times New Roman"/>
      <w:szCs w:val="24"/>
      <w:lang w:eastAsia="fr-CA"/>
    </w:rPr>
  </w:style>
  <w:style w:type="character" w:styleId="lev">
    <w:name w:val="Strong"/>
    <w:basedOn w:val="Policepardfaut"/>
    <w:uiPriority w:val="22"/>
    <w:qFormat/>
    <w:rsid w:val="002F28C4"/>
    <w:rPr>
      <w:b/>
      <w:bCs/>
    </w:rPr>
  </w:style>
  <w:style w:type="character" w:customStyle="1" w:styleId="canliisectionwithsubsection">
    <w:name w:val="canlii_section_with_subsection"/>
    <w:basedOn w:val="Policepardfaut"/>
    <w:rsid w:val="002F28C4"/>
  </w:style>
  <w:style w:type="paragraph" w:customStyle="1" w:styleId="definition">
    <w:name w:val="definition"/>
    <w:basedOn w:val="Normal"/>
    <w:rsid w:val="002F28C4"/>
    <w:pPr>
      <w:spacing w:before="100" w:beforeAutospacing="1" w:after="100" w:afterAutospacing="1"/>
    </w:pPr>
    <w:rPr>
      <w:rFonts w:ascii="Times New Roman" w:hAnsi="Times New Roman"/>
      <w:szCs w:val="24"/>
      <w:lang w:eastAsia="fr-CA"/>
    </w:rPr>
  </w:style>
  <w:style w:type="paragraph" w:customStyle="1" w:styleId="headnote">
    <w:name w:val="headnote"/>
    <w:basedOn w:val="Normal"/>
    <w:rsid w:val="002F28C4"/>
    <w:pPr>
      <w:spacing w:before="100" w:beforeAutospacing="1" w:after="100" w:afterAutospacing="1"/>
    </w:pPr>
    <w:rPr>
      <w:rFonts w:ascii="Times New Roman" w:hAnsi="Times New Roman"/>
      <w:szCs w:val="24"/>
      <w:lang w:eastAsia="fr-CA"/>
    </w:rPr>
  </w:style>
  <w:style w:type="character" w:customStyle="1" w:styleId="canliisubsection">
    <w:name w:val="canlii_subsection"/>
    <w:basedOn w:val="Policepardfaut"/>
    <w:rsid w:val="002F28C4"/>
  </w:style>
  <w:style w:type="paragraph" w:customStyle="1" w:styleId="paragraph">
    <w:name w:val="paragraph"/>
    <w:basedOn w:val="Normal"/>
    <w:rsid w:val="002F28C4"/>
    <w:pPr>
      <w:spacing w:before="100" w:beforeAutospacing="1" w:after="100" w:afterAutospacing="1"/>
    </w:pPr>
    <w:rPr>
      <w:rFonts w:ascii="Times New Roman" w:hAnsi="Times New Roman"/>
      <w:szCs w:val="24"/>
      <w:lang w:eastAsia="fr-CA"/>
    </w:rPr>
  </w:style>
  <w:style w:type="paragraph" w:styleId="PrformatHTML">
    <w:name w:val="HTML Preformatted"/>
    <w:basedOn w:val="Normal"/>
    <w:link w:val="PrformatHTMLCar"/>
    <w:uiPriority w:val="99"/>
    <w:semiHidden/>
    <w:unhideWhenUsed/>
    <w:rsid w:val="002E7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fr-CA"/>
    </w:rPr>
  </w:style>
  <w:style w:type="character" w:customStyle="1" w:styleId="PrformatHTMLCar">
    <w:name w:val="Préformaté HTML Car"/>
    <w:basedOn w:val="Policepardfaut"/>
    <w:link w:val="PrformatHTML"/>
    <w:uiPriority w:val="99"/>
    <w:semiHidden/>
    <w:rsid w:val="002E70D6"/>
    <w:rPr>
      <w:rFonts w:ascii="Courier New" w:hAnsi="Courier New" w:cs="Courier New"/>
    </w:rPr>
  </w:style>
  <w:style w:type="paragraph" w:styleId="Rvision">
    <w:name w:val="Revision"/>
    <w:hidden/>
    <w:uiPriority w:val="99"/>
    <w:semiHidden/>
    <w:rsid w:val="00361FA3"/>
    <w:rPr>
      <w:rFonts w:ascii="Arial" w:hAnsi="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342">
      <w:bodyDiv w:val="1"/>
      <w:marLeft w:val="0"/>
      <w:marRight w:val="0"/>
      <w:marTop w:val="0"/>
      <w:marBottom w:val="0"/>
      <w:divBdr>
        <w:top w:val="none" w:sz="0" w:space="0" w:color="auto"/>
        <w:left w:val="none" w:sz="0" w:space="0" w:color="auto"/>
        <w:bottom w:val="none" w:sz="0" w:space="0" w:color="auto"/>
        <w:right w:val="none" w:sz="0" w:space="0" w:color="auto"/>
      </w:divBdr>
    </w:div>
    <w:div w:id="91174201">
      <w:bodyDiv w:val="1"/>
      <w:marLeft w:val="0"/>
      <w:marRight w:val="0"/>
      <w:marTop w:val="0"/>
      <w:marBottom w:val="0"/>
      <w:divBdr>
        <w:top w:val="none" w:sz="0" w:space="0" w:color="auto"/>
        <w:left w:val="none" w:sz="0" w:space="0" w:color="auto"/>
        <w:bottom w:val="none" w:sz="0" w:space="0" w:color="auto"/>
        <w:right w:val="none" w:sz="0" w:space="0" w:color="auto"/>
      </w:divBdr>
      <w:divsChild>
        <w:div w:id="360328939">
          <w:marLeft w:val="0"/>
          <w:marRight w:val="0"/>
          <w:marTop w:val="219"/>
          <w:marBottom w:val="0"/>
          <w:divBdr>
            <w:top w:val="none" w:sz="0" w:space="0" w:color="auto"/>
            <w:left w:val="none" w:sz="0" w:space="0" w:color="auto"/>
            <w:bottom w:val="none" w:sz="0" w:space="0" w:color="auto"/>
            <w:right w:val="none" w:sz="0" w:space="0" w:color="auto"/>
          </w:divBdr>
          <w:divsChild>
            <w:div w:id="1357192536">
              <w:marLeft w:val="0"/>
              <w:marRight w:val="0"/>
              <w:marTop w:val="0"/>
              <w:marBottom w:val="0"/>
              <w:divBdr>
                <w:top w:val="none" w:sz="0" w:space="0" w:color="auto"/>
                <w:left w:val="none" w:sz="0" w:space="0" w:color="auto"/>
                <w:bottom w:val="none" w:sz="0" w:space="0" w:color="auto"/>
                <w:right w:val="none" w:sz="0" w:space="0" w:color="auto"/>
              </w:divBdr>
              <w:divsChild>
                <w:div w:id="230818781">
                  <w:marLeft w:val="0"/>
                  <w:marRight w:val="0"/>
                  <w:marTop w:val="219"/>
                  <w:marBottom w:val="240"/>
                  <w:divBdr>
                    <w:top w:val="none" w:sz="0" w:space="0" w:color="auto"/>
                    <w:left w:val="none" w:sz="0" w:space="0" w:color="auto"/>
                    <w:bottom w:val="none" w:sz="0" w:space="0" w:color="auto"/>
                    <w:right w:val="none" w:sz="0" w:space="0" w:color="auto"/>
                  </w:divBdr>
                </w:div>
              </w:divsChild>
            </w:div>
            <w:div w:id="1043597593">
              <w:marLeft w:val="0"/>
              <w:marRight w:val="0"/>
              <w:marTop w:val="260"/>
              <w:marBottom w:val="240"/>
              <w:divBdr>
                <w:top w:val="none" w:sz="0" w:space="0" w:color="auto"/>
                <w:left w:val="none" w:sz="0" w:space="0" w:color="auto"/>
                <w:bottom w:val="none" w:sz="0" w:space="0" w:color="auto"/>
                <w:right w:val="none" w:sz="0" w:space="0" w:color="auto"/>
              </w:divBdr>
            </w:div>
            <w:div w:id="432171486">
              <w:marLeft w:val="0"/>
              <w:marRight w:val="0"/>
              <w:marTop w:val="240"/>
              <w:marBottom w:val="0"/>
              <w:divBdr>
                <w:top w:val="none" w:sz="0" w:space="0" w:color="auto"/>
                <w:left w:val="none" w:sz="0" w:space="0" w:color="auto"/>
                <w:bottom w:val="none" w:sz="0" w:space="0" w:color="auto"/>
                <w:right w:val="none" w:sz="0" w:space="0" w:color="auto"/>
              </w:divBdr>
            </w:div>
          </w:divsChild>
        </w:div>
        <w:div w:id="1168864327">
          <w:marLeft w:val="0"/>
          <w:marRight w:val="0"/>
          <w:marTop w:val="219"/>
          <w:marBottom w:val="0"/>
          <w:divBdr>
            <w:top w:val="none" w:sz="0" w:space="0" w:color="auto"/>
            <w:left w:val="none" w:sz="0" w:space="0" w:color="auto"/>
            <w:bottom w:val="none" w:sz="0" w:space="0" w:color="auto"/>
            <w:right w:val="none" w:sz="0" w:space="0" w:color="auto"/>
          </w:divBdr>
          <w:divsChild>
            <w:div w:id="827481877">
              <w:marLeft w:val="0"/>
              <w:marRight w:val="0"/>
              <w:marTop w:val="0"/>
              <w:marBottom w:val="0"/>
              <w:divBdr>
                <w:top w:val="none" w:sz="0" w:space="0" w:color="auto"/>
                <w:left w:val="none" w:sz="0" w:space="0" w:color="auto"/>
                <w:bottom w:val="none" w:sz="0" w:space="0" w:color="auto"/>
                <w:right w:val="none" w:sz="0" w:space="0" w:color="auto"/>
              </w:divBdr>
              <w:divsChild>
                <w:div w:id="92213037">
                  <w:marLeft w:val="0"/>
                  <w:marRight w:val="0"/>
                  <w:marTop w:val="219"/>
                  <w:marBottom w:val="240"/>
                  <w:divBdr>
                    <w:top w:val="none" w:sz="0" w:space="0" w:color="auto"/>
                    <w:left w:val="none" w:sz="0" w:space="0" w:color="auto"/>
                    <w:bottom w:val="none" w:sz="0" w:space="0" w:color="auto"/>
                    <w:right w:val="none" w:sz="0" w:space="0" w:color="auto"/>
                  </w:divBdr>
                </w:div>
              </w:divsChild>
            </w:div>
          </w:divsChild>
        </w:div>
      </w:divsChild>
    </w:div>
    <w:div w:id="101192502">
      <w:bodyDiv w:val="1"/>
      <w:marLeft w:val="0"/>
      <w:marRight w:val="0"/>
      <w:marTop w:val="0"/>
      <w:marBottom w:val="0"/>
      <w:divBdr>
        <w:top w:val="none" w:sz="0" w:space="0" w:color="auto"/>
        <w:left w:val="none" w:sz="0" w:space="0" w:color="auto"/>
        <w:bottom w:val="none" w:sz="0" w:space="0" w:color="auto"/>
        <w:right w:val="none" w:sz="0" w:space="0" w:color="auto"/>
      </w:divBdr>
    </w:div>
    <w:div w:id="144324939">
      <w:bodyDiv w:val="1"/>
      <w:marLeft w:val="0"/>
      <w:marRight w:val="0"/>
      <w:marTop w:val="0"/>
      <w:marBottom w:val="0"/>
      <w:divBdr>
        <w:top w:val="none" w:sz="0" w:space="0" w:color="auto"/>
        <w:left w:val="none" w:sz="0" w:space="0" w:color="auto"/>
        <w:bottom w:val="none" w:sz="0" w:space="0" w:color="auto"/>
        <w:right w:val="none" w:sz="0" w:space="0" w:color="auto"/>
      </w:divBdr>
    </w:div>
    <w:div w:id="238682728">
      <w:bodyDiv w:val="1"/>
      <w:marLeft w:val="0"/>
      <w:marRight w:val="0"/>
      <w:marTop w:val="0"/>
      <w:marBottom w:val="0"/>
      <w:divBdr>
        <w:top w:val="none" w:sz="0" w:space="0" w:color="auto"/>
        <w:left w:val="none" w:sz="0" w:space="0" w:color="auto"/>
        <w:bottom w:val="none" w:sz="0" w:space="0" w:color="auto"/>
        <w:right w:val="none" w:sz="0" w:space="0" w:color="auto"/>
      </w:divBdr>
      <w:divsChild>
        <w:div w:id="1461875829">
          <w:marLeft w:val="0"/>
          <w:marRight w:val="0"/>
          <w:marTop w:val="219"/>
          <w:marBottom w:val="240"/>
          <w:divBdr>
            <w:top w:val="none" w:sz="0" w:space="0" w:color="auto"/>
            <w:left w:val="none" w:sz="0" w:space="0" w:color="auto"/>
            <w:bottom w:val="none" w:sz="0" w:space="0" w:color="auto"/>
            <w:right w:val="none" w:sz="0" w:space="0" w:color="auto"/>
          </w:divBdr>
        </w:div>
        <w:div w:id="1263952474">
          <w:marLeft w:val="0"/>
          <w:marRight w:val="0"/>
          <w:marTop w:val="260"/>
          <w:marBottom w:val="240"/>
          <w:divBdr>
            <w:top w:val="none" w:sz="0" w:space="0" w:color="auto"/>
            <w:left w:val="none" w:sz="0" w:space="0" w:color="auto"/>
            <w:bottom w:val="none" w:sz="0" w:space="0" w:color="auto"/>
            <w:right w:val="none" w:sz="0" w:space="0" w:color="auto"/>
          </w:divBdr>
        </w:div>
        <w:div w:id="1032606863">
          <w:marLeft w:val="0"/>
          <w:marRight w:val="0"/>
          <w:marTop w:val="260"/>
          <w:marBottom w:val="240"/>
          <w:divBdr>
            <w:top w:val="none" w:sz="0" w:space="0" w:color="auto"/>
            <w:left w:val="none" w:sz="0" w:space="0" w:color="auto"/>
            <w:bottom w:val="none" w:sz="0" w:space="0" w:color="auto"/>
            <w:right w:val="none" w:sz="0" w:space="0" w:color="auto"/>
          </w:divBdr>
        </w:div>
      </w:divsChild>
    </w:div>
    <w:div w:id="273824629">
      <w:bodyDiv w:val="1"/>
      <w:marLeft w:val="0"/>
      <w:marRight w:val="0"/>
      <w:marTop w:val="0"/>
      <w:marBottom w:val="0"/>
      <w:divBdr>
        <w:top w:val="none" w:sz="0" w:space="0" w:color="auto"/>
        <w:left w:val="none" w:sz="0" w:space="0" w:color="auto"/>
        <w:bottom w:val="none" w:sz="0" w:space="0" w:color="auto"/>
        <w:right w:val="none" w:sz="0" w:space="0" w:color="auto"/>
      </w:divBdr>
    </w:div>
    <w:div w:id="312638171">
      <w:bodyDiv w:val="1"/>
      <w:marLeft w:val="0"/>
      <w:marRight w:val="0"/>
      <w:marTop w:val="0"/>
      <w:marBottom w:val="0"/>
      <w:divBdr>
        <w:top w:val="none" w:sz="0" w:space="0" w:color="auto"/>
        <w:left w:val="none" w:sz="0" w:space="0" w:color="auto"/>
        <w:bottom w:val="none" w:sz="0" w:space="0" w:color="auto"/>
        <w:right w:val="none" w:sz="0" w:space="0" w:color="auto"/>
      </w:divBdr>
    </w:div>
    <w:div w:id="340594984">
      <w:bodyDiv w:val="1"/>
      <w:marLeft w:val="0"/>
      <w:marRight w:val="0"/>
      <w:marTop w:val="0"/>
      <w:marBottom w:val="0"/>
      <w:divBdr>
        <w:top w:val="none" w:sz="0" w:space="0" w:color="auto"/>
        <w:left w:val="none" w:sz="0" w:space="0" w:color="auto"/>
        <w:bottom w:val="none" w:sz="0" w:space="0" w:color="auto"/>
        <w:right w:val="none" w:sz="0" w:space="0" w:color="auto"/>
      </w:divBdr>
      <w:divsChild>
        <w:div w:id="55327939">
          <w:marLeft w:val="0"/>
          <w:marRight w:val="0"/>
          <w:marTop w:val="0"/>
          <w:marBottom w:val="0"/>
          <w:divBdr>
            <w:top w:val="none" w:sz="0" w:space="0" w:color="auto"/>
            <w:left w:val="none" w:sz="0" w:space="0" w:color="auto"/>
            <w:bottom w:val="none" w:sz="0" w:space="0" w:color="auto"/>
            <w:right w:val="none" w:sz="0" w:space="0" w:color="auto"/>
          </w:divBdr>
        </w:div>
      </w:divsChild>
    </w:div>
    <w:div w:id="376203087">
      <w:bodyDiv w:val="1"/>
      <w:marLeft w:val="0"/>
      <w:marRight w:val="0"/>
      <w:marTop w:val="0"/>
      <w:marBottom w:val="0"/>
      <w:divBdr>
        <w:top w:val="none" w:sz="0" w:space="0" w:color="auto"/>
        <w:left w:val="none" w:sz="0" w:space="0" w:color="auto"/>
        <w:bottom w:val="none" w:sz="0" w:space="0" w:color="auto"/>
        <w:right w:val="none" w:sz="0" w:space="0" w:color="auto"/>
      </w:divBdr>
    </w:div>
    <w:div w:id="399524744">
      <w:bodyDiv w:val="1"/>
      <w:marLeft w:val="0"/>
      <w:marRight w:val="0"/>
      <w:marTop w:val="0"/>
      <w:marBottom w:val="0"/>
      <w:divBdr>
        <w:top w:val="none" w:sz="0" w:space="0" w:color="auto"/>
        <w:left w:val="none" w:sz="0" w:space="0" w:color="auto"/>
        <w:bottom w:val="none" w:sz="0" w:space="0" w:color="auto"/>
        <w:right w:val="none" w:sz="0" w:space="0" w:color="auto"/>
      </w:divBdr>
    </w:div>
    <w:div w:id="407574777">
      <w:bodyDiv w:val="1"/>
      <w:marLeft w:val="0"/>
      <w:marRight w:val="0"/>
      <w:marTop w:val="0"/>
      <w:marBottom w:val="0"/>
      <w:divBdr>
        <w:top w:val="none" w:sz="0" w:space="0" w:color="auto"/>
        <w:left w:val="none" w:sz="0" w:space="0" w:color="auto"/>
        <w:bottom w:val="none" w:sz="0" w:space="0" w:color="auto"/>
        <w:right w:val="none" w:sz="0" w:space="0" w:color="auto"/>
      </w:divBdr>
    </w:div>
    <w:div w:id="417100671">
      <w:bodyDiv w:val="1"/>
      <w:marLeft w:val="0"/>
      <w:marRight w:val="0"/>
      <w:marTop w:val="0"/>
      <w:marBottom w:val="0"/>
      <w:divBdr>
        <w:top w:val="none" w:sz="0" w:space="0" w:color="auto"/>
        <w:left w:val="none" w:sz="0" w:space="0" w:color="auto"/>
        <w:bottom w:val="none" w:sz="0" w:space="0" w:color="auto"/>
        <w:right w:val="none" w:sz="0" w:space="0" w:color="auto"/>
      </w:divBdr>
    </w:div>
    <w:div w:id="477113441">
      <w:bodyDiv w:val="1"/>
      <w:marLeft w:val="0"/>
      <w:marRight w:val="0"/>
      <w:marTop w:val="0"/>
      <w:marBottom w:val="0"/>
      <w:divBdr>
        <w:top w:val="none" w:sz="0" w:space="0" w:color="auto"/>
        <w:left w:val="none" w:sz="0" w:space="0" w:color="auto"/>
        <w:bottom w:val="none" w:sz="0" w:space="0" w:color="auto"/>
        <w:right w:val="none" w:sz="0" w:space="0" w:color="auto"/>
      </w:divBdr>
    </w:div>
    <w:div w:id="477572179">
      <w:bodyDiv w:val="1"/>
      <w:marLeft w:val="0"/>
      <w:marRight w:val="0"/>
      <w:marTop w:val="0"/>
      <w:marBottom w:val="0"/>
      <w:divBdr>
        <w:top w:val="none" w:sz="0" w:space="0" w:color="auto"/>
        <w:left w:val="none" w:sz="0" w:space="0" w:color="auto"/>
        <w:bottom w:val="none" w:sz="0" w:space="0" w:color="auto"/>
        <w:right w:val="none" w:sz="0" w:space="0" w:color="auto"/>
      </w:divBdr>
    </w:div>
    <w:div w:id="540365514">
      <w:bodyDiv w:val="1"/>
      <w:marLeft w:val="0"/>
      <w:marRight w:val="0"/>
      <w:marTop w:val="0"/>
      <w:marBottom w:val="0"/>
      <w:divBdr>
        <w:top w:val="none" w:sz="0" w:space="0" w:color="auto"/>
        <w:left w:val="none" w:sz="0" w:space="0" w:color="auto"/>
        <w:bottom w:val="none" w:sz="0" w:space="0" w:color="auto"/>
        <w:right w:val="none" w:sz="0" w:space="0" w:color="auto"/>
      </w:divBdr>
      <w:divsChild>
        <w:div w:id="1741705976">
          <w:marLeft w:val="0"/>
          <w:marRight w:val="0"/>
          <w:marTop w:val="0"/>
          <w:marBottom w:val="0"/>
          <w:divBdr>
            <w:top w:val="none" w:sz="0" w:space="0" w:color="auto"/>
            <w:left w:val="none" w:sz="0" w:space="0" w:color="auto"/>
            <w:bottom w:val="none" w:sz="0" w:space="0" w:color="auto"/>
            <w:right w:val="none" w:sz="0" w:space="0" w:color="auto"/>
          </w:divBdr>
          <w:divsChild>
            <w:div w:id="250965222">
              <w:marLeft w:val="450"/>
              <w:marRight w:val="0"/>
              <w:marTop w:val="0"/>
              <w:marBottom w:val="0"/>
              <w:divBdr>
                <w:top w:val="none" w:sz="0" w:space="0" w:color="auto"/>
                <w:left w:val="none" w:sz="0" w:space="0" w:color="auto"/>
                <w:bottom w:val="none" w:sz="0" w:space="0" w:color="auto"/>
                <w:right w:val="none" w:sz="0" w:space="0" w:color="auto"/>
              </w:divBdr>
            </w:div>
          </w:divsChild>
        </w:div>
        <w:div w:id="263537516">
          <w:marLeft w:val="450"/>
          <w:marRight w:val="0"/>
          <w:marTop w:val="0"/>
          <w:marBottom w:val="0"/>
          <w:divBdr>
            <w:top w:val="none" w:sz="0" w:space="0" w:color="auto"/>
            <w:left w:val="none" w:sz="0" w:space="0" w:color="auto"/>
            <w:bottom w:val="none" w:sz="0" w:space="0" w:color="auto"/>
            <w:right w:val="none" w:sz="0" w:space="0" w:color="auto"/>
          </w:divBdr>
        </w:div>
      </w:divsChild>
    </w:div>
    <w:div w:id="555363165">
      <w:bodyDiv w:val="1"/>
      <w:marLeft w:val="0"/>
      <w:marRight w:val="0"/>
      <w:marTop w:val="0"/>
      <w:marBottom w:val="0"/>
      <w:divBdr>
        <w:top w:val="none" w:sz="0" w:space="0" w:color="auto"/>
        <w:left w:val="none" w:sz="0" w:space="0" w:color="auto"/>
        <w:bottom w:val="none" w:sz="0" w:space="0" w:color="auto"/>
        <w:right w:val="none" w:sz="0" w:space="0" w:color="auto"/>
      </w:divBdr>
    </w:div>
    <w:div w:id="586159626">
      <w:bodyDiv w:val="1"/>
      <w:marLeft w:val="0"/>
      <w:marRight w:val="0"/>
      <w:marTop w:val="0"/>
      <w:marBottom w:val="0"/>
      <w:divBdr>
        <w:top w:val="none" w:sz="0" w:space="0" w:color="auto"/>
        <w:left w:val="none" w:sz="0" w:space="0" w:color="auto"/>
        <w:bottom w:val="none" w:sz="0" w:space="0" w:color="auto"/>
        <w:right w:val="none" w:sz="0" w:space="0" w:color="auto"/>
      </w:divBdr>
    </w:div>
    <w:div w:id="595598545">
      <w:bodyDiv w:val="1"/>
      <w:marLeft w:val="0"/>
      <w:marRight w:val="0"/>
      <w:marTop w:val="0"/>
      <w:marBottom w:val="0"/>
      <w:divBdr>
        <w:top w:val="none" w:sz="0" w:space="0" w:color="auto"/>
        <w:left w:val="none" w:sz="0" w:space="0" w:color="auto"/>
        <w:bottom w:val="none" w:sz="0" w:space="0" w:color="auto"/>
        <w:right w:val="none" w:sz="0" w:space="0" w:color="auto"/>
      </w:divBdr>
    </w:div>
    <w:div w:id="638799489">
      <w:bodyDiv w:val="1"/>
      <w:marLeft w:val="0"/>
      <w:marRight w:val="0"/>
      <w:marTop w:val="0"/>
      <w:marBottom w:val="0"/>
      <w:divBdr>
        <w:top w:val="none" w:sz="0" w:space="0" w:color="auto"/>
        <w:left w:val="none" w:sz="0" w:space="0" w:color="auto"/>
        <w:bottom w:val="none" w:sz="0" w:space="0" w:color="auto"/>
        <w:right w:val="none" w:sz="0" w:space="0" w:color="auto"/>
      </w:divBdr>
    </w:div>
    <w:div w:id="661203106">
      <w:bodyDiv w:val="1"/>
      <w:marLeft w:val="0"/>
      <w:marRight w:val="0"/>
      <w:marTop w:val="0"/>
      <w:marBottom w:val="0"/>
      <w:divBdr>
        <w:top w:val="none" w:sz="0" w:space="0" w:color="auto"/>
        <w:left w:val="none" w:sz="0" w:space="0" w:color="auto"/>
        <w:bottom w:val="none" w:sz="0" w:space="0" w:color="auto"/>
        <w:right w:val="none" w:sz="0" w:space="0" w:color="auto"/>
      </w:divBdr>
      <w:divsChild>
        <w:div w:id="922493773">
          <w:marLeft w:val="0"/>
          <w:marRight w:val="0"/>
          <w:marTop w:val="219"/>
          <w:marBottom w:val="240"/>
          <w:divBdr>
            <w:top w:val="none" w:sz="0" w:space="0" w:color="auto"/>
            <w:left w:val="none" w:sz="0" w:space="0" w:color="auto"/>
            <w:bottom w:val="none" w:sz="0" w:space="0" w:color="auto"/>
            <w:right w:val="none" w:sz="0" w:space="0" w:color="auto"/>
          </w:divBdr>
        </w:div>
        <w:div w:id="1195389558">
          <w:marLeft w:val="0"/>
          <w:marRight w:val="0"/>
          <w:marTop w:val="260"/>
          <w:marBottom w:val="240"/>
          <w:divBdr>
            <w:top w:val="none" w:sz="0" w:space="0" w:color="auto"/>
            <w:left w:val="none" w:sz="0" w:space="0" w:color="auto"/>
            <w:bottom w:val="none" w:sz="0" w:space="0" w:color="auto"/>
            <w:right w:val="none" w:sz="0" w:space="0" w:color="auto"/>
          </w:divBdr>
        </w:div>
        <w:div w:id="1744788604">
          <w:marLeft w:val="0"/>
          <w:marRight w:val="0"/>
          <w:marTop w:val="260"/>
          <w:marBottom w:val="240"/>
          <w:divBdr>
            <w:top w:val="none" w:sz="0" w:space="0" w:color="auto"/>
            <w:left w:val="none" w:sz="0" w:space="0" w:color="auto"/>
            <w:bottom w:val="none" w:sz="0" w:space="0" w:color="auto"/>
            <w:right w:val="none" w:sz="0" w:space="0" w:color="auto"/>
          </w:divBdr>
        </w:div>
      </w:divsChild>
    </w:div>
    <w:div w:id="688407357">
      <w:bodyDiv w:val="1"/>
      <w:marLeft w:val="0"/>
      <w:marRight w:val="0"/>
      <w:marTop w:val="0"/>
      <w:marBottom w:val="0"/>
      <w:divBdr>
        <w:top w:val="none" w:sz="0" w:space="0" w:color="auto"/>
        <w:left w:val="none" w:sz="0" w:space="0" w:color="auto"/>
        <w:bottom w:val="none" w:sz="0" w:space="0" w:color="auto"/>
        <w:right w:val="none" w:sz="0" w:space="0" w:color="auto"/>
      </w:divBdr>
    </w:div>
    <w:div w:id="701172468">
      <w:bodyDiv w:val="1"/>
      <w:marLeft w:val="0"/>
      <w:marRight w:val="0"/>
      <w:marTop w:val="0"/>
      <w:marBottom w:val="0"/>
      <w:divBdr>
        <w:top w:val="none" w:sz="0" w:space="0" w:color="auto"/>
        <w:left w:val="none" w:sz="0" w:space="0" w:color="auto"/>
        <w:bottom w:val="none" w:sz="0" w:space="0" w:color="auto"/>
        <w:right w:val="none" w:sz="0" w:space="0" w:color="auto"/>
      </w:divBdr>
      <w:divsChild>
        <w:div w:id="85663653">
          <w:marLeft w:val="0"/>
          <w:marRight w:val="0"/>
          <w:marTop w:val="219"/>
          <w:marBottom w:val="240"/>
          <w:divBdr>
            <w:top w:val="none" w:sz="0" w:space="0" w:color="auto"/>
            <w:left w:val="none" w:sz="0" w:space="0" w:color="auto"/>
            <w:bottom w:val="none" w:sz="0" w:space="0" w:color="auto"/>
            <w:right w:val="none" w:sz="0" w:space="0" w:color="auto"/>
          </w:divBdr>
        </w:div>
        <w:div w:id="31006046">
          <w:marLeft w:val="0"/>
          <w:marRight w:val="0"/>
          <w:marTop w:val="260"/>
          <w:marBottom w:val="240"/>
          <w:divBdr>
            <w:top w:val="none" w:sz="0" w:space="0" w:color="auto"/>
            <w:left w:val="none" w:sz="0" w:space="0" w:color="auto"/>
            <w:bottom w:val="none" w:sz="0" w:space="0" w:color="auto"/>
            <w:right w:val="none" w:sz="0" w:space="0" w:color="auto"/>
          </w:divBdr>
        </w:div>
        <w:div w:id="940257127">
          <w:marLeft w:val="0"/>
          <w:marRight w:val="0"/>
          <w:marTop w:val="260"/>
          <w:marBottom w:val="240"/>
          <w:divBdr>
            <w:top w:val="none" w:sz="0" w:space="0" w:color="auto"/>
            <w:left w:val="none" w:sz="0" w:space="0" w:color="auto"/>
            <w:bottom w:val="none" w:sz="0" w:space="0" w:color="auto"/>
            <w:right w:val="none" w:sz="0" w:space="0" w:color="auto"/>
          </w:divBdr>
        </w:div>
      </w:divsChild>
    </w:div>
    <w:div w:id="740448447">
      <w:bodyDiv w:val="1"/>
      <w:marLeft w:val="0"/>
      <w:marRight w:val="0"/>
      <w:marTop w:val="0"/>
      <w:marBottom w:val="0"/>
      <w:divBdr>
        <w:top w:val="none" w:sz="0" w:space="0" w:color="auto"/>
        <w:left w:val="none" w:sz="0" w:space="0" w:color="auto"/>
        <w:bottom w:val="none" w:sz="0" w:space="0" w:color="auto"/>
        <w:right w:val="none" w:sz="0" w:space="0" w:color="auto"/>
      </w:divBdr>
    </w:div>
    <w:div w:id="755594384">
      <w:bodyDiv w:val="1"/>
      <w:marLeft w:val="0"/>
      <w:marRight w:val="0"/>
      <w:marTop w:val="0"/>
      <w:marBottom w:val="0"/>
      <w:divBdr>
        <w:top w:val="none" w:sz="0" w:space="0" w:color="auto"/>
        <w:left w:val="none" w:sz="0" w:space="0" w:color="auto"/>
        <w:bottom w:val="none" w:sz="0" w:space="0" w:color="auto"/>
        <w:right w:val="none" w:sz="0" w:space="0" w:color="auto"/>
      </w:divBdr>
      <w:divsChild>
        <w:div w:id="1612275783">
          <w:marLeft w:val="0"/>
          <w:marRight w:val="0"/>
          <w:marTop w:val="219"/>
          <w:marBottom w:val="240"/>
          <w:divBdr>
            <w:top w:val="none" w:sz="0" w:space="0" w:color="auto"/>
            <w:left w:val="none" w:sz="0" w:space="0" w:color="auto"/>
            <w:bottom w:val="none" w:sz="0" w:space="0" w:color="auto"/>
            <w:right w:val="none" w:sz="0" w:space="0" w:color="auto"/>
          </w:divBdr>
        </w:div>
        <w:div w:id="774793401">
          <w:marLeft w:val="0"/>
          <w:marRight w:val="0"/>
          <w:marTop w:val="260"/>
          <w:marBottom w:val="240"/>
          <w:divBdr>
            <w:top w:val="none" w:sz="0" w:space="0" w:color="auto"/>
            <w:left w:val="none" w:sz="0" w:space="0" w:color="auto"/>
            <w:bottom w:val="none" w:sz="0" w:space="0" w:color="auto"/>
            <w:right w:val="none" w:sz="0" w:space="0" w:color="auto"/>
          </w:divBdr>
        </w:div>
      </w:divsChild>
    </w:div>
    <w:div w:id="758598241">
      <w:bodyDiv w:val="1"/>
      <w:marLeft w:val="0"/>
      <w:marRight w:val="0"/>
      <w:marTop w:val="0"/>
      <w:marBottom w:val="0"/>
      <w:divBdr>
        <w:top w:val="none" w:sz="0" w:space="0" w:color="auto"/>
        <w:left w:val="none" w:sz="0" w:space="0" w:color="auto"/>
        <w:bottom w:val="none" w:sz="0" w:space="0" w:color="auto"/>
        <w:right w:val="none" w:sz="0" w:space="0" w:color="auto"/>
      </w:divBdr>
    </w:div>
    <w:div w:id="804353026">
      <w:bodyDiv w:val="1"/>
      <w:marLeft w:val="0"/>
      <w:marRight w:val="0"/>
      <w:marTop w:val="0"/>
      <w:marBottom w:val="0"/>
      <w:divBdr>
        <w:top w:val="none" w:sz="0" w:space="0" w:color="auto"/>
        <w:left w:val="none" w:sz="0" w:space="0" w:color="auto"/>
        <w:bottom w:val="none" w:sz="0" w:space="0" w:color="auto"/>
        <w:right w:val="none" w:sz="0" w:space="0" w:color="auto"/>
      </w:divBdr>
    </w:div>
    <w:div w:id="922685878">
      <w:bodyDiv w:val="1"/>
      <w:marLeft w:val="0"/>
      <w:marRight w:val="0"/>
      <w:marTop w:val="0"/>
      <w:marBottom w:val="0"/>
      <w:divBdr>
        <w:top w:val="none" w:sz="0" w:space="0" w:color="auto"/>
        <w:left w:val="none" w:sz="0" w:space="0" w:color="auto"/>
        <w:bottom w:val="none" w:sz="0" w:space="0" w:color="auto"/>
        <w:right w:val="none" w:sz="0" w:space="0" w:color="auto"/>
      </w:divBdr>
      <w:divsChild>
        <w:div w:id="674725668">
          <w:marLeft w:val="0"/>
          <w:marRight w:val="0"/>
          <w:marTop w:val="219"/>
          <w:marBottom w:val="240"/>
          <w:divBdr>
            <w:top w:val="none" w:sz="0" w:space="0" w:color="auto"/>
            <w:left w:val="none" w:sz="0" w:space="0" w:color="auto"/>
            <w:bottom w:val="none" w:sz="0" w:space="0" w:color="auto"/>
            <w:right w:val="none" w:sz="0" w:space="0" w:color="auto"/>
          </w:divBdr>
        </w:div>
        <w:div w:id="1044451420">
          <w:marLeft w:val="0"/>
          <w:marRight w:val="0"/>
          <w:marTop w:val="260"/>
          <w:marBottom w:val="240"/>
          <w:divBdr>
            <w:top w:val="none" w:sz="0" w:space="0" w:color="auto"/>
            <w:left w:val="none" w:sz="0" w:space="0" w:color="auto"/>
            <w:bottom w:val="none" w:sz="0" w:space="0" w:color="auto"/>
            <w:right w:val="none" w:sz="0" w:space="0" w:color="auto"/>
          </w:divBdr>
        </w:div>
      </w:divsChild>
    </w:div>
    <w:div w:id="923807111">
      <w:bodyDiv w:val="1"/>
      <w:marLeft w:val="0"/>
      <w:marRight w:val="0"/>
      <w:marTop w:val="0"/>
      <w:marBottom w:val="0"/>
      <w:divBdr>
        <w:top w:val="none" w:sz="0" w:space="0" w:color="auto"/>
        <w:left w:val="none" w:sz="0" w:space="0" w:color="auto"/>
        <w:bottom w:val="none" w:sz="0" w:space="0" w:color="auto"/>
        <w:right w:val="none" w:sz="0" w:space="0" w:color="auto"/>
      </w:divBdr>
      <w:divsChild>
        <w:div w:id="1425764394">
          <w:marLeft w:val="0"/>
          <w:marRight w:val="0"/>
          <w:marTop w:val="219"/>
          <w:marBottom w:val="240"/>
          <w:divBdr>
            <w:top w:val="none" w:sz="0" w:space="0" w:color="auto"/>
            <w:left w:val="none" w:sz="0" w:space="0" w:color="auto"/>
            <w:bottom w:val="none" w:sz="0" w:space="0" w:color="auto"/>
            <w:right w:val="none" w:sz="0" w:space="0" w:color="auto"/>
          </w:divBdr>
        </w:div>
        <w:div w:id="406609915">
          <w:marLeft w:val="0"/>
          <w:marRight w:val="0"/>
          <w:marTop w:val="260"/>
          <w:marBottom w:val="240"/>
          <w:divBdr>
            <w:top w:val="none" w:sz="0" w:space="0" w:color="auto"/>
            <w:left w:val="none" w:sz="0" w:space="0" w:color="auto"/>
            <w:bottom w:val="none" w:sz="0" w:space="0" w:color="auto"/>
            <w:right w:val="none" w:sz="0" w:space="0" w:color="auto"/>
          </w:divBdr>
        </w:div>
      </w:divsChild>
    </w:div>
    <w:div w:id="929118675">
      <w:bodyDiv w:val="1"/>
      <w:marLeft w:val="0"/>
      <w:marRight w:val="0"/>
      <w:marTop w:val="0"/>
      <w:marBottom w:val="0"/>
      <w:divBdr>
        <w:top w:val="none" w:sz="0" w:space="0" w:color="auto"/>
        <w:left w:val="none" w:sz="0" w:space="0" w:color="auto"/>
        <w:bottom w:val="none" w:sz="0" w:space="0" w:color="auto"/>
        <w:right w:val="none" w:sz="0" w:space="0" w:color="auto"/>
      </w:divBdr>
      <w:divsChild>
        <w:div w:id="1519734013">
          <w:marLeft w:val="0"/>
          <w:marRight w:val="0"/>
          <w:marTop w:val="0"/>
          <w:marBottom w:val="0"/>
          <w:divBdr>
            <w:top w:val="none" w:sz="0" w:space="0" w:color="auto"/>
            <w:left w:val="none" w:sz="0" w:space="0" w:color="auto"/>
            <w:bottom w:val="none" w:sz="0" w:space="0" w:color="auto"/>
            <w:right w:val="none" w:sz="0" w:space="0" w:color="auto"/>
          </w:divBdr>
        </w:div>
      </w:divsChild>
    </w:div>
    <w:div w:id="940261165">
      <w:bodyDiv w:val="1"/>
      <w:marLeft w:val="0"/>
      <w:marRight w:val="0"/>
      <w:marTop w:val="0"/>
      <w:marBottom w:val="0"/>
      <w:divBdr>
        <w:top w:val="none" w:sz="0" w:space="0" w:color="auto"/>
        <w:left w:val="none" w:sz="0" w:space="0" w:color="auto"/>
        <w:bottom w:val="none" w:sz="0" w:space="0" w:color="auto"/>
        <w:right w:val="none" w:sz="0" w:space="0" w:color="auto"/>
      </w:divBdr>
    </w:div>
    <w:div w:id="959991997">
      <w:bodyDiv w:val="1"/>
      <w:marLeft w:val="0"/>
      <w:marRight w:val="0"/>
      <w:marTop w:val="0"/>
      <w:marBottom w:val="0"/>
      <w:divBdr>
        <w:top w:val="none" w:sz="0" w:space="0" w:color="auto"/>
        <w:left w:val="none" w:sz="0" w:space="0" w:color="auto"/>
        <w:bottom w:val="none" w:sz="0" w:space="0" w:color="auto"/>
        <w:right w:val="none" w:sz="0" w:space="0" w:color="auto"/>
      </w:divBdr>
    </w:div>
    <w:div w:id="968710095">
      <w:bodyDiv w:val="1"/>
      <w:marLeft w:val="0"/>
      <w:marRight w:val="0"/>
      <w:marTop w:val="0"/>
      <w:marBottom w:val="0"/>
      <w:divBdr>
        <w:top w:val="none" w:sz="0" w:space="0" w:color="auto"/>
        <w:left w:val="none" w:sz="0" w:space="0" w:color="auto"/>
        <w:bottom w:val="none" w:sz="0" w:space="0" w:color="auto"/>
        <w:right w:val="none" w:sz="0" w:space="0" w:color="auto"/>
      </w:divBdr>
    </w:div>
    <w:div w:id="971054550">
      <w:bodyDiv w:val="1"/>
      <w:marLeft w:val="0"/>
      <w:marRight w:val="0"/>
      <w:marTop w:val="0"/>
      <w:marBottom w:val="0"/>
      <w:divBdr>
        <w:top w:val="none" w:sz="0" w:space="0" w:color="auto"/>
        <w:left w:val="none" w:sz="0" w:space="0" w:color="auto"/>
        <w:bottom w:val="none" w:sz="0" w:space="0" w:color="auto"/>
        <w:right w:val="none" w:sz="0" w:space="0" w:color="auto"/>
      </w:divBdr>
    </w:div>
    <w:div w:id="999843934">
      <w:bodyDiv w:val="1"/>
      <w:marLeft w:val="0"/>
      <w:marRight w:val="0"/>
      <w:marTop w:val="0"/>
      <w:marBottom w:val="0"/>
      <w:divBdr>
        <w:top w:val="none" w:sz="0" w:space="0" w:color="auto"/>
        <w:left w:val="none" w:sz="0" w:space="0" w:color="auto"/>
        <w:bottom w:val="none" w:sz="0" w:space="0" w:color="auto"/>
        <w:right w:val="none" w:sz="0" w:space="0" w:color="auto"/>
      </w:divBdr>
    </w:div>
    <w:div w:id="1002585189">
      <w:bodyDiv w:val="1"/>
      <w:marLeft w:val="0"/>
      <w:marRight w:val="0"/>
      <w:marTop w:val="0"/>
      <w:marBottom w:val="0"/>
      <w:divBdr>
        <w:top w:val="none" w:sz="0" w:space="0" w:color="auto"/>
        <w:left w:val="none" w:sz="0" w:space="0" w:color="auto"/>
        <w:bottom w:val="none" w:sz="0" w:space="0" w:color="auto"/>
        <w:right w:val="none" w:sz="0" w:space="0" w:color="auto"/>
      </w:divBdr>
      <w:divsChild>
        <w:div w:id="868184515">
          <w:marLeft w:val="0"/>
          <w:marRight w:val="0"/>
          <w:marTop w:val="0"/>
          <w:marBottom w:val="0"/>
          <w:divBdr>
            <w:top w:val="none" w:sz="0" w:space="0" w:color="auto"/>
            <w:left w:val="none" w:sz="0" w:space="0" w:color="auto"/>
            <w:bottom w:val="none" w:sz="0" w:space="0" w:color="auto"/>
            <w:right w:val="none" w:sz="0" w:space="0" w:color="auto"/>
          </w:divBdr>
          <w:divsChild>
            <w:div w:id="1905094942">
              <w:marLeft w:val="450"/>
              <w:marRight w:val="0"/>
              <w:marTop w:val="0"/>
              <w:marBottom w:val="0"/>
              <w:divBdr>
                <w:top w:val="none" w:sz="0" w:space="0" w:color="auto"/>
                <w:left w:val="none" w:sz="0" w:space="0" w:color="auto"/>
                <w:bottom w:val="none" w:sz="0" w:space="0" w:color="auto"/>
                <w:right w:val="none" w:sz="0" w:space="0" w:color="auto"/>
              </w:divBdr>
            </w:div>
          </w:divsChild>
        </w:div>
        <w:div w:id="1997683581">
          <w:marLeft w:val="450"/>
          <w:marRight w:val="0"/>
          <w:marTop w:val="0"/>
          <w:marBottom w:val="0"/>
          <w:divBdr>
            <w:top w:val="none" w:sz="0" w:space="0" w:color="auto"/>
            <w:left w:val="none" w:sz="0" w:space="0" w:color="auto"/>
            <w:bottom w:val="none" w:sz="0" w:space="0" w:color="auto"/>
            <w:right w:val="none" w:sz="0" w:space="0" w:color="auto"/>
          </w:divBdr>
        </w:div>
      </w:divsChild>
    </w:div>
    <w:div w:id="1105074462">
      <w:bodyDiv w:val="1"/>
      <w:marLeft w:val="0"/>
      <w:marRight w:val="0"/>
      <w:marTop w:val="0"/>
      <w:marBottom w:val="0"/>
      <w:divBdr>
        <w:top w:val="none" w:sz="0" w:space="0" w:color="auto"/>
        <w:left w:val="none" w:sz="0" w:space="0" w:color="auto"/>
        <w:bottom w:val="none" w:sz="0" w:space="0" w:color="auto"/>
        <w:right w:val="none" w:sz="0" w:space="0" w:color="auto"/>
      </w:divBdr>
    </w:div>
    <w:div w:id="1116675592">
      <w:bodyDiv w:val="1"/>
      <w:marLeft w:val="0"/>
      <w:marRight w:val="0"/>
      <w:marTop w:val="0"/>
      <w:marBottom w:val="0"/>
      <w:divBdr>
        <w:top w:val="none" w:sz="0" w:space="0" w:color="auto"/>
        <w:left w:val="none" w:sz="0" w:space="0" w:color="auto"/>
        <w:bottom w:val="none" w:sz="0" w:space="0" w:color="auto"/>
        <w:right w:val="none" w:sz="0" w:space="0" w:color="auto"/>
      </w:divBdr>
      <w:divsChild>
        <w:div w:id="1650937758">
          <w:marLeft w:val="0"/>
          <w:marRight w:val="0"/>
          <w:marTop w:val="219"/>
          <w:marBottom w:val="240"/>
          <w:divBdr>
            <w:top w:val="none" w:sz="0" w:space="0" w:color="auto"/>
            <w:left w:val="none" w:sz="0" w:space="0" w:color="auto"/>
            <w:bottom w:val="none" w:sz="0" w:space="0" w:color="auto"/>
            <w:right w:val="none" w:sz="0" w:space="0" w:color="auto"/>
          </w:divBdr>
        </w:div>
        <w:div w:id="193811697">
          <w:marLeft w:val="0"/>
          <w:marRight w:val="0"/>
          <w:marTop w:val="260"/>
          <w:marBottom w:val="240"/>
          <w:divBdr>
            <w:top w:val="none" w:sz="0" w:space="0" w:color="auto"/>
            <w:left w:val="none" w:sz="0" w:space="0" w:color="auto"/>
            <w:bottom w:val="none" w:sz="0" w:space="0" w:color="auto"/>
            <w:right w:val="none" w:sz="0" w:space="0" w:color="auto"/>
          </w:divBdr>
        </w:div>
      </w:divsChild>
    </w:div>
    <w:div w:id="1123769216">
      <w:bodyDiv w:val="1"/>
      <w:marLeft w:val="0"/>
      <w:marRight w:val="0"/>
      <w:marTop w:val="0"/>
      <w:marBottom w:val="0"/>
      <w:divBdr>
        <w:top w:val="none" w:sz="0" w:space="0" w:color="auto"/>
        <w:left w:val="none" w:sz="0" w:space="0" w:color="auto"/>
        <w:bottom w:val="none" w:sz="0" w:space="0" w:color="auto"/>
        <w:right w:val="none" w:sz="0" w:space="0" w:color="auto"/>
      </w:divBdr>
    </w:div>
    <w:div w:id="1235819436">
      <w:bodyDiv w:val="1"/>
      <w:marLeft w:val="0"/>
      <w:marRight w:val="0"/>
      <w:marTop w:val="0"/>
      <w:marBottom w:val="0"/>
      <w:divBdr>
        <w:top w:val="none" w:sz="0" w:space="0" w:color="auto"/>
        <w:left w:val="none" w:sz="0" w:space="0" w:color="auto"/>
        <w:bottom w:val="none" w:sz="0" w:space="0" w:color="auto"/>
        <w:right w:val="none" w:sz="0" w:space="0" w:color="auto"/>
      </w:divBdr>
    </w:div>
    <w:div w:id="1298687447">
      <w:bodyDiv w:val="1"/>
      <w:marLeft w:val="0"/>
      <w:marRight w:val="0"/>
      <w:marTop w:val="0"/>
      <w:marBottom w:val="0"/>
      <w:divBdr>
        <w:top w:val="none" w:sz="0" w:space="0" w:color="auto"/>
        <w:left w:val="none" w:sz="0" w:space="0" w:color="auto"/>
        <w:bottom w:val="none" w:sz="0" w:space="0" w:color="auto"/>
        <w:right w:val="none" w:sz="0" w:space="0" w:color="auto"/>
      </w:divBdr>
    </w:div>
    <w:div w:id="1393042099">
      <w:bodyDiv w:val="1"/>
      <w:marLeft w:val="0"/>
      <w:marRight w:val="0"/>
      <w:marTop w:val="0"/>
      <w:marBottom w:val="0"/>
      <w:divBdr>
        <w:top w:val="none" w:sz="0" w:space="0" w:color="auto"/>
        <w:left w:val="none" w:sz="0" w:space="0" w:color="auto"/>
        <w:bottom w:val="none" w:sz="0" w:space="0" w:color="auto"/>
        <w:right w:val="none" w:sz="0" w:space="0" w:color="auto"/>
      </w:divBdr>
    </w:div>
    <w:div w:id="1407994284">
      <w:bodyDiv w:val="1"/>
      <w:marLeft w:val="0"/>
      <w:marRight w:val="0"/>
      <w:marTop w:val="0"/>
      <w:marBottom w:val="0"/>
      <w:divBdr>
        <w:top w:val="none" w:sz="0" w:space="0" w:color="auto"/>
        <w:left w:val="none" w:sz="0" w:space="0" w:color="auto"/>
        <w:bottom w:val="none" w:sz="0" w:space="0" w:color="auto"/>
        <w:right w:val="none" w:sz="0" w:space="0" w:color="auto"/>
      </w:divBdr>
      <w:divsChild>
        <w:div w:id="794523665">
          <w:marLeft w:val="0"/>
          <w:marRight w:val="0"/>
          <w:marTop w:val="219"/>
          <w:marBottom w:val="240"/>
          <w:divBdr>
            <w:top w:val="none" w:sz="0" w:space="0" w:color="auto"/>
            <w:left w:val="none" w:sz="0" w:space="0" w:color="auto"/>
            <w:bottom w:val="none" w:sz="0" w:space="0" w:color="auto"/>
            <w:right w:val="none" w:sz="0" w:space="0" w:color="auto"/>
          </w:divBdr>
        </w:div>
        <w:div w:id="1616517664">
          <w:marLeft w:val="0"/>
          <w:marRight w:val="0"/>
          <w:marTop w:val="260"/>
          <w:marBottom w:val="240"/>
          <w:divBdr>
            <w:top w:val="none" w:sz="0" w:space="0" w:color="auto"/>
            <w:left w:val="none" w:sz="0" w:space="0" w:color="auto"/>
            <w:bottom w:val="none" w:sz="0" w:space="0" w:color="auto"/>
            <w:right w:val="none" w:sz="0" w:space="0" w:color="auto"/>
          </w:divBdr>
        </w:div>
      </w:divsChild>
    </w:div>
    <w:div w:id="1413501562">
      <w:bodyDiv w:val="1"/>
      <w:marLeft w:val="0"/>
      <w:marRight w:val="0"/>
      <w:marTop w:val="0"/>
      <w:marBottom w:val="0"/>
      <w:divBdr>
        <w:top w:val="none" w:sz="0" w:space="0" w:color="auto"/>
        <w:left w:val="none" w:sz="0" w:space="0" w:color="auto"/>
        <w:bottom w:val="none" w:sz="0" w:space="0" w:color="auto"/>
        <w:right w:val="none" w:sz="0" w:space="0" w:color="auto"/>
      </w:divBdr>
      <w:divsChild>
        <w:div w:id="616332005">
          <w:marLeft w:val="0"/>
          <w:marRight w:val="0"/>
          <w:marTop w:val="0"/>
          <w:marBottom w:val="0"/>
          <w:divBdr>
            <w:top w:val="none" w:sz="0" w:space="0" w:color="auto"/>
            <w:left w:val="none" w:sz="0" w:space="0" w:color="auto"/>
            <w:bottom w:val="none" w:sz="0" w:space="0" w:color="auto"/>
            <w:right w:val="none" w:sz="0" w:space="0" w:color="auto"/>
          </w:divBdr>
        </w:div>
      </w:divsChild>
    </w:div>
    <w:div w:id="1419792314">
      <w:bodyDiv w:val="1"/>
      <w:marLeft w:val="0"/>
      <w:marRight w:val="0"/>
      <w:marTop w:val="0"/>
      <w:marBottom w:val="0"/>
      <w:divBdr>
        <w:top w:val="none" w:sz="0" w:space="0" w:color="auto"/>
        <w:left w:val="none" w:sz="0" w:space="0" w:color="auto"/>
        <w:bottom w:val="none" w:sz="0" w:space="0" w:color="auto"/>
        <w:right w:val="none" w:sz="0" w:space="0" w:color="auto"/>
      </w:divBdr>
      <w:divsChild>
        <w:div w:id="341981214">
          <w:marLeft w:val="0"/>
          <w:marRight w:val="0"/>
          <w:marTop w:val="219"/>
          <w:marBottom w:val="240"/>
          <w:divBdr>
            <w:top w:val="none" w:sz="0" w:space="0" w:color="auto"/>
            <w:left w:val="none" w:sz="0" w:space="0" w:color="auto"/>
            <w:bottom w:val="none" w:sz="0" w:space="0" w:color="auto"/>
            <w:right w:val="none" w:sz="0" w:space="0" w:color="auto"/>
          </w:divBdr>
        </w:div>
        <w:div w:id="1581060773">
          <w:marLeft w:val="0"/>
          <w:marRight w:val="0"/>
          <w:marTop w:val="260"/>
          <w:marBottom w:val="240"/>
          <w:divBdr>
            <w:top w:val="none" w:sz="0" w:space="0" w:color="auto"/>
            <w:left w:val="none" w:sz="0" w:space="0" w:color="auto"/>
            <w:bottom w:val="none" w:sz="0" w:space="0" w:color="auto"/>
            <w:right w:val="none" w:sz="0" w:space="0" w:color="auto"/>
          </w:divBdr>
        </w:div>
        <w:div w:id="1073160629">
          <w:marLeft w:val="0"/>
          <w:marRight w:val="0"/>
          <w:marTop w:val="260"/>
          <w:marBottom w:val="240"/>
          <w:divBdr>
            <w:top w:val="none" w:sz="0" w:space="0" w:color="auto"/>
            <w:left w:val="none" w:sz="0" w:space="0" w:color="auto"/>
            <w:bottom w:val="none" w:sz="0" w:space="0" w:color="auto"/>
            <w:right w:val="none" w:sz="0" w:space="0" w:color="auto"/>
          </w:divBdr>
        </w:div>
      </w:divsChild>
    </w:div>
    <w:div w:id="1441678096">
      <w:bodyDiv w:val="1"/>
      <w:marLeft w:val="0"/>
      <w:marRight w:val="0"/>
      <w:marTop w:val="0"/>
      <w:marBottom w:val="0"/>
      <w:divBdr>
        <w:top w:val="none" w:sz="0" w:space="0" w:color="auto"/>
        <w:left w:val="none" w:sz="0" w:space="0" w:color="auto"/>
        <w:bottom w:val="none" w:sz="0" w:space="0" w:color="auto"/>
        <w:right w:val="none" w:sz="0" w:space="0" w:color="auto"/>
      </w:divBdr>
    </w:div>
    <w:div w:id="1452557898">
      <w:bodyDiv w:val="1"/>
      <w:marLeft w:val="0"/>
      <w:marRight w:val="0"/>
      <w:marTop w:val="0"/>
      <w:marBottom w:val="0"/>
      <w:divBdr>
        <w:top w:val="none" w:sz="0" w:space="0" w:color="auto"/>
        <w:left w:val="none" w:sz="0" w:space="0" w:color="auto"/>
        <w:bottom w:val="none" w:sz="0" w:space="0" w:color="auto"/>
        <w:right w:val="none" w:sz="0" w:space="0" w:color="auto"/>
      </w:divBdr>
      <w:divsChild>
        <w:div w:id="1556888215">
          <w:marLeft w:val="0"/>
          <w:marRight w:val="0"/>
          <w:marTop w:val="0"/>
          <w:marBottom w:val="0"/>
          <w:divBdr>
            <w:top w:val="none" w:sz="0" w:space="0" w:color="auto"/>
            <w:left w:val="none" w:sz="0" w:space="0" w:color="auto"/>
            <w:bottom w:val="none" w:sz="0" w:space="0" w:color="auto"/>
            <w:right w:val="none" w:sz="0" w:space="0" w:color="auto"/>
          </w:divBdr>
        </w:div>
      </w:divsChild>
    </w:div>
    <w:div w:id="1495337405">
      <w:bodyDiv w:val="1"/>
      <w:marLeft w:val="0"/>
      <w:marRight w:val="0"/>
      <w:marTop w:val="0"/>
      <w:marBottom w:val="0"/>
      <w:divBdr>
        <w:top w:val="none" w:sz="0" w:space="0" w:color="auto"/>
        <w:left w:val="none" w:sz="0" w:space="0" w:color="auto"/>
        <w:bottom w:val="none" w:sz="0" w:space="0" w:color="auto"/>
        <w:right w:val="none" w:sz="0" w:space="0" w:color="auto"/>
      </w:divBdr>
      <w:divsChild>
        <w:div w:id="1382900696">
          <w:marLeft w:val="0"/>
          <w:marRight w:val="0"/>
          <w:marTop w:val="0"/>
          <w:marBottom w:val="0"/>
          <w:divBdr>
            <w:top w:val="none" w:sz="0" w:space="0" w:color="auto"/>
            <w:left w:val="none" w:sz="0" w:space="0" w:color="auto"/>
            <w:bottom w:val="none" w:sz="0" w:space="0" w:color="auto"/>
            <w:right w:val="none" w:sz="0" w:space="0" w:color="auto"/>
          </w:divBdr>
          <w:divsChild>
            <w:div w:id="535045542">
              <w:marLeft w:val="0"/>
              <w:marRight w:val="0"/>
              <w:marTop w:val="0"/>
              <w:marBottom w:val="0"/>
              <w:divBdr>
                <w:top w:val="none" w:sz="0" w:space="0" w:color="auto"/>
                <w:left w:val="none" w:sz="0" w:space="0" w:color="auto"/>
                <w:bottom w:val="none" w:sz="0" w:space="0" w:color="auto"/>
                <w:right w:val="none" w:sz="0" w:space="0" w:color="auto"/>
              </w:divBdr>
            </w:div>
          </w:divsChild>
        </w:div>
        <w:div w:id="997921659">
          <w:marLeft w:val="0"/>
          <w:marRight w:val="0"/>
          <w:marTop w:val="0"/>
          <w:marBottom w:val="0"/>
          <w:divBdr>
            <w:top w:val="none" w:sz="0" w:space="0" w:color="auto"/>
            <w:left w:val="none" w:sz="0" w:space="0" w:color="auto"/>
            <w:bottom w:val="none" w:sz="0" w:space="0" w:color="auto"/>
            <w:right w:val="none" w:sz="0" w:space="0" w:color="auto"/>
          </w:divBdr>
          <w:divsChild>
            <w:div w:id="1753432840">
              <w:marLeft w:val="0"/>
              <w:marRight w:val="0"/>
              <w:marTop w:val="0"/>
              <w:marBottom w:val="0"/>
              <w:divBdr>
                <w:top w:val="none" w:sz="0" w:space="0" w:color="auto"/>
                <w:left w:val="none" w:sz="0" w:space="0" w:color="auto"/>
                <w:bottom w:val="none" w:sz="0" w:space="0" w:color="auto"/>
                <w:right w:val="none" w:sz="0" w:space="0" w:color="auto"/>
              </w:divBdr>
            </w:div>
            <w:div w:id="4406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67843">
      <w:bodyDiv w:val="1"/>
      <w:marLeft w:val="0"/>
      <w:marRight w:val="0"/>
      <w:marTop w:val="0"/>
      <w:marBottom w:val="0"/>
      <w:divBdr>
        <w:top w:val="none" w:sz="0" w:space="0" w:color="auto"/>
        <w:left w:val="none" w:sz="0" w:space="0" w:color="auto"/>
        <w:bottom w:val="none" w:sz="0" w:space="0" w:color="auto"/>
        <w:right w:val="none" w:sz="0" w:space="0" w:color="auto"/>
      </w:divBdr>
    </w:div>
    <w:div w:id="1516383023">
      <w:bodyDiv w:val="1"/>
      <w:marLeft w:val="0"/>
      <w:marRight w:val="0"/>
      <w:marTop w:val="0"/>
      <w:marBottom w:val="0"/>
      <w:divBdr>
        <w:top w:val="none" w:sz="0" w:space="0" w:color="auto"/>
        <w:left w:val="none" w:sz="0" w:space="0" w:color="auto"/>
        <w:bottom w:val="none" w:sz="0" w:space="0" w:color="auto"/>
        <w:right w:val="none" w:sz="0" w:space="0" w:color="auto"/>
      </w:divBdr>
      <w:divsChild>
        <w:div w:id="1635716143">
          <w:marLeft w:val="0"/>
          <w:marRight w:val="0"/>
          <w:marTop w:val="219"/>
          <w:marBottom w:val="240"/>
          <w:divBdr>
            <w:top w:val="none" w:sz="0" w:space="0" w:color="auto"/>
            <w:left w:val="none" w:sz="0" w:space="0" w:color="auto"/>
            <w:bottom w:val="none" w:sz="0" w:space="0" w:color="auto"/>
            <w:right w:val="none" w:sz="0" w:space="0" w:color="auto"/>
          </w:divBdr>
        </w:div>
        <w:div w:id="1671566913">
          <w:marLeft w:val="0"/>
          <w:marRight w:val="0"/>
          <w:marTop w:val="260"/>
          <w:marBottom w:val="240"/>
          <w:divBdr>
            <w:top w:val="none" w:sz="0" w:space="0" w:color="auto"/>
            <w:left w:val="none" w:sz="0" w:space="0" w:color="auto"/>
            <w:bottom w:val="none" w:sz="0" w:space="0" w:color="auto"/>
            <w:right w:val="none" w:sz="0" w:space="0" w:color="auto"/>
          </w:divBdr>
        </w:div>
      </w:divsChild>
    </w:div>
    <w:div w:id="1516923095">
      <w:bodyDiv w:val="1"/>
      <w:marLeft w:val="0"/>
      <w:marRight w:val="0"/>
      <w:marTop w:val="0"/>
      <w:marBottom w:val="0"/>
      <w:divBdr>
        <w:top w:val="none" w:sz="0" w:space="0" w:color="auto"/>
        <w:left w:val="none" w:sz="0" w:space="0" w:color="auto"/>
        <w:bottom w:val="none" w:sz="0" w:space="0" w:color="auto"/>
        <w:right w:val="none" w:sz="0" w:space="0" w:color="auto"/>
      </w:divBdr>
      <w:divsChild>
        <w:div w:id="749470856">
          <w:marLeft w:val="0"/>
          <w:marRight w:val="0"/>
          <w:marTop w:val="0"/>
          <w:marBottom w:val="0"/>
          <w:divBdr>
            <w:top w:val="none" w:sz="0" w:space="0" w:color="auto"/>
            <w:left w:val="none" w:sz="0" w:space="0" w:color="auto"/>
            <w:bottom w:val="none" w:sz="0" w:space="0" w:color="auto"/>
            <w:right w:val="none" w:sz="0" w:space="0" w:color="auto"/>
          </w:divBdr>
        </w:div>
      </w:divsChild>
    </w:div>
    <w:div w:id="1546257154">
      <w:bodyDiv w:val="1"/>
      <w:marLeft w:val="0"/>
      <w:marRight w:val="0"/>
      <w:marTop w:val="0"/>
      <w:marBottom w:val="0"/>
      <w:divBdr>
        <w:top w:val="none" w:sz="0" w:space="0" w:color="auto"/>
        <w:left w:val="none" w:sz="0" w:space="0" w:color="auto"/>
        <w:bottom w:val="none" w:sz="0" w:space="0" w:color="auto"/>
        <w:right w:val="none" w:sz="0" w:space="0" w:color="auto"/>
      </w:divBdr>
    </w:div>
    <w:div w:id="1596674048">
      <w:bodyDiv w:val="1"/>
      <w:marLeft w:val="0"/>
      <w:marRight w:val="0"/>
      <w:marTop w:val="0"/>
      <w:marBottom w:val="0"/>
      <w:divBdr>
        <w:top w:val="none" w:sz="0" w:space="0" w:color="auto"/>
        <w:left w:val="none" w:sz="0" w:space="0" w:color="auto"/>
        <w:bottom w:val="none" w:sz="0" w:space="0" w:color="auto"/>
        <w:right w:val="none" w:sz="0" w:space="0" w:color="auto"/>
      </w:divBdr>
    </w:div>
    <w:div w:id="1724403204">
      <w:bodyDiv w:val="1"/>
      <w:marLeft w:val="0"/>
      <w:marRight w:val="0"/>
      <w:marTop w:val="0"/>
      <w:marBottom w:val="0"/>
      <w:divBdr>
        <w:top w:val="none" w:sz="0" w:space="0" w:color="auto"/>
        <w:left w:val="none" w:sz="0" w:space="0" w:color="auto"/>
        <w:bottom w:val="none" w:sz="0" w:space="0" w:color="auto"/>
        <w:right w:val="none" w:sz="0" w:space="0" w:color="auto"/>
      </w:divBdr>
      <w:divsChild>
        <w:div w:id="34238067">
          <w:marLeft w:val="0"/>
          <w:marRight w:val="0"/>
          <w:marTop w:val="0"/>
          <w:marBottom w:val="0"/>
          <w:divBdr>
            <w:top w:val="none" w:sz="0" w:space="0" w:color="auto"/>
            <w:left w:val="none" w:sz="0" w:space="0" w:color="auto"/>
            <w:bottom w:val="none" w:sz="0" w:space="0" w:color="auto"/>
            <w:right w:val="none" w:sz="0" w:space="0" w:color="auto"/>
          </w:divBdr>
        </w:div>
      </w:divsChild>
    </w:div>
    <w:div w:id="1740665164">
      <w:bodyDiv w:val="1"/>
      <w:marLeft w:val="0"/>
      <w:marRight w:val="0"/>
      <w:marTop w:val="0"/>
      <w:marBottom w:val="0"/>
      <w:divBdr>
        <w:top w:val="none" w:sz="0" w:space="0" w:color="auto"/>
        <w:left w:val="none" w:sz="0" w:space="0" w:color="auto"/>
        <w:bottom w:val="none" w:sz="0" w:space="0" w:color="auto"/>
        <w:right w:val="none" w:sz="0" w:space="0" w:color="auto"/>
      </w:divBdr>
      <w:divsChild>
        <w:div w:id="513956064">
          <w:marLeft w:val="0"/>
          <w:marRight w:val="0"/>
          <w:marTop w:val="219"/>
          <w:marBottom w:val="240"/>
          <w:divBdr>
            <w:top w:val="none" w:sz="0" w:space="0" w:color="auto"/>
            <w:left w:val="none" w:sz="0" w:space="0" w:color="auto"/>
            <w:bottom w:val="none" w:sz="0" w:space="0" w:color="auto"/>
            <w:right w:val="none" w:sz="0" w:space="0" w:color="auto"/>
          </w:divBdr>
        </w:div>
        <w:div w:id="923804951">
          <w:marLeft w:val="0"/>
          <w:marRight w:val="0"/>
          <w:marTop w:val="260"/>
          <w:marBottom w:val="240"/>
          <w:divBdr>
            <w:top w:val="none" w:sz="0" w:space="0" w:color="auto"/>
            <w:left w:val="none" w:sz="0" w:space="0" w:color="auto"/>
            <w:bottom w:val="none" w:sz="0" w:space="0" w:color="auto"/>
            <w:right w:val="none" w:sz="0" w:space="0" w:color="auto"/>
          </w:divBdr>
        </w:div>
      </w:divsChild>
    </w:div>
    <w:div w:id="1748846517">
      <w:bodyDiv w:val="1"/>
      <w:marLeft w:val="0"/>
      <w:marRight w:val="0"/>
      <w:marTop w:val="0"/>
      <w:marBottom w:val="0"/>
      <w:divBdr>
        <w:top w:val="none" w:sz="0" w:space="0" w:color="auto"/>
        <w:left w:val="none" w:sz="0" w:space="0" w:color="auto"/>
        <w:bottom w:val="none" w:sz="0" w:space="0" w:color="auto"/>
        <w:right w:val="none" w:sz="0" w:space="0" w:color="auto"/>
      </w:divBdr>
    </w:div>
    <w:div w:id="1756659037">
      <w:bodyDiv w:val="1"/>
      <w:marLeft w:val="0"/>
      <w:marRight w:val="0"/>
      <w:marTop w:val="0"/>
      <w:marBottom w:val="0"/>
      <w:divBdr>
        <w:top w:val="none" w:sz="0" w:space="0" w:color="auto"/>
        <w:left w:val="none" w:sz="0" w:space="0" w:color="auto"/>
        <w:bottom w:val="none" w:sz="0" w:space="0" w:color="auto"/>
        <w:right w:val="none" w:sz="0" w:space="0" w:color="auto"/>
      </w:divBdr>
      <w:divsChild>
        <w:div w:id="2027902112">
          <w:marLeft w:val="0"/>
          <w:marRight w:val="0"/>
          <w:marTop w:val="219"/>
          <w:marBottom w:val="240"/>
          <w:divBdr>
            <w:top w:val="none" w:sz="0" w:space="0" w:color="auto"/>
            <w:left w:val="none" w:sz="0" w:space="0" w:color="auto"/>
            <w:bottom w:val="none" w:sz="0" w:space="0" w:color="auto"/>
            <w:right w:val="none" w:sz="0" w:space="0" w:color="auto"/>
          </w:divBdr>
        </w:div>
        <w:div w:id="505023108">
          <w:marLeft w:val="0"/>
          <w:marRight w:val="0"/>
          <w:marTop w:val="260"/>
          <w:marBottom w:val="240"/>
          <w:divBdr>
            <w:top w:val="none" w:sz="0" w:space="0" w:color="auto"/>
            <w:left w:val="none" w:sz="0" w:space="0" w:color="auto"/>
            <w:bottom w:val="none" w:sz="0" w:space="0" w:color="auto"/>
            <w:right w:val="none" w:sz="0" w:space="0" w:color="auto"/>
          </w:divBdr>
        </w:div>
      </w:divsChild>
    </w:div>
    <w:div w:id="1768193761">
      <w:bodyDiv w:val="1"/>
      <w:marLeft w:val="0"/>
      <w:marRight w:val="0"/>
      <w:marTop w:val="0"/>
      <w:marBottom w:val="0"/>
      <w:divBdr>
        <w:top w:val="none" w:sz="0" w:space="0" w:color="auto"/>
        <w:left w:val="none" w:sz="0" w:space="0" w:color="auto"/>
        <w:bottom w:val="none" w:sz="0" w:space="0" w:color="auto"/>
        <w:right w:val="none" w:sz="0" w:space="0" w:color="auto"/>
      </w:divBdr>
    </w:div>
    <w:div w:id="1777363682">
      <w:bodyDiv w:val="1"/>
      <w:marLeft w:val="0"/>
      <w:marRight w:val="0"/>
      <w:marTop w:val="0"/>
      <w:marBottom w:val="0"/>
      <w:divBdr>
        <w:top w:val="none" w:sz="0" w:space="0" w:color="auto"/>
        <w:left w:val="none" w:sz="0" w:space="0" w:color="auto"/>
        <w:bottom w:val="none" w:sz="0" w:space="0" w:color="auto"/>
        <w:right w:val="none" w:sz="0" w:space="0" w:color="auto"/>
      </w:divBdr>
      <w:divsChild>
        <w:div w:id="2071999914">
          <w:marLeft w:val="0"/>
          <w:marRight w:val="0"/>
          <w:marTop w:val="0"/>
          <w:marBottom w:val="0"/>
          <w:divBdr>
            <w:top w:val="none" w:sz="0" w:space="0" w:color="auto"/>
            <w:left w:val="none" w:sz="0" w:space="0" w:color="auto"/>
            <w:bottom w:val="none" w:sz="0" w:space="0" w:color="auto"/>
            <w:right w:val="none" w:sz="0" w:space="0" w:color="auto"/>
          </w:divBdr>
          <w:divsChild>
            <w:div w:id="364792767">
              <w:marLeft w:val="450"/>
              <w:marRight w:val="0"/>
              <w:marTop w:val="0"/>
              <w:marBottom w:val="0"/>
              <w:divBdr>
                <w:top w:val="none" w:sz="0" w:space="0" w:color="auto"/>
                <w:left w:val="none" w:sz="0" w:space="0" w:color="auto"/>
                <w:bottom w:val="none" w:sz="0" w:space="0" w:color="auto"/>
                <w:right w:val="none" w:sz="0" w:space="0" w:color="auto"/>
              </w:divBdr>
            </w:div>
          </w:divsChild>
        </w:div>
        <w:div w:id="1383480537">
          <w:marLeft w:val="450"/>
          <w:marRight w:val="0"/>
          <w:marTop w:val="0"/>
          <w:marBottom w:val="0"/>
          <w:divBdr>
            <w:top w:val="none" w:sz="0" w:space="0" w:color="auto"/>
            <w:left w:val="none" w:sz="0" w:space="0" w:color="auto"/>
            <w:bottom w:val="none" w:sz="0" w:space="0" w:color="auto"/>
            <w:right w:val="none" w:sz="0" w:space="0" w:color="auto"/>
          </w:divBdr>
        </w:div>
      </w:divsChild>
    </w:div>
    <w:div w:id="1804888374">
      <w:bodyDiv w:val="1"/>
      <w:marLeft w:val="0"/>
      <w:marRight w:val="0"/>
      <w:marTop w:val="0"/>
      <w:marBottom w:val="0"/>
      <w:divBdr>
        <w:top w:val="none" w:sz="0" w:space="0" w:color="auto"/>
        <w:left w:val="none" w:sz="0" w:space="0" w:color="auto"/>
        <w:bottom w:val="none" w:sz="0" w:space="0" w:color="auto"/>
        <w:right w:val="none" w:sz="0" w:space="0" w:color="auto"/>
      </w:divBdr>
    </w:div>
    <w:div w:id="1843424566">
      <w:bodyDiv w:val="1"/>
      <w:marLeft w:val="0"/>
      <w:marRight w:val="0"/>
      <w:marTop w:val="0"/>
      <w:marBottom w:val="0"/>
      <w:divBdr>
        <w:top w:val="none" w:sz="0" w:space="0" w:color="auto"/>
        <w:left w:val="none" w:sz="0" w:space="0" w:color="auto"/>
        <w:bottom w:val="none" w:sz="0" w:space="0" w:color="auto"/>
        <w:right w:val="none" w:sz="0" w:space="0" w:color="auto"/>
      </w:divBdr>
    </w:div>
    <w:div w:id="1958832644">
      <w:bodyDiv w:val="1"/>
      <w:marLeft w:val="0"/>
      <w:marRight w:val="0"/>
      <w:marTop w:val="0"/>
      <w:marBottom w:val="0"/>
      <w:divBdr>
        <w:top w:val="none" w:sz="0" w:space="0" w:color="auto"/>
        <w:left w:val="none" w:sz="0" w:space="0" w:color="auto"/>
        <w:bottom w:val="none" w:sz="0" w:space="0" w:color="auto"/>
        <w:right w:val="none" w:sz="0" w:space="0" w:color="auto"/>
      </w:divBdr>
      <w:divsChild>
        <w:div w:id="1541474980">
          <w:marLeft w:val="0"/>
          <w:marRight w:val="0"/>
          <w:marTop w:val="219"/>
          <w:marBottom w:val="240"/>
          <w:divBdr>
            <w:top w:val="none" w:sz="0" w:space="0" w:color="auto"/>
            <w:left w:val="none" w:sz="0" w:space="0" w:color="auto"/>
            <w:bottom w:val="none" w:sz="0" w:space="0" w:color="auto"/>
            <w:right w:val="none" w:sz="0" w:space="0" w:color="auto"/>
          </w:divBdr>
        </w:div>
        <w:div w:id="1151747363">
          <w:marLeft w:val="0"/>
          <w:marRight w:val="0"/>
          <w:marTop w:val="260"/>
          <w:marBottom w:val="240"/>
          <w:divBdr>
            <w:top w:val="none" w:sz="0" w:space="0" w:color="auto"/>
            <w:left w:val="none" w:sz="0" w:space="0" w:color="auto"/>
            <w:bottom w:val="none" w:sz="0" w:space="0" w:color="auto"/>
            <w:right w:val="none" w:sz="0" w:space="0" w:color="auto"/>
          </w:divBdr>
        </w:div>
      </w:divsChild>
    </w:div>
    <w:div w:id="2032754656">
      <w:bodyDiv w:val="1"/>
      <w:marLeft w:val="0"/>
      <w:marRight w:val="0"/>
      <w:marTop w:val="0"/>
      <w:marBottom w:val="0"/>
      <w:divBdr>
        <w:top w:val="none" w:sz="0" w:space="0" w:color="auto"/>
        <w:left w:val="none" w:sz="0" w:space="0" w:color="auto"/>
        <w:bottom w:val="none" w:sz="0" w:space="0" w:color="auto"/>
        <w:right w:val="none" w:sz="0" w:space="0" w:color="auto"/>
      </w:divBdr>
    </w:div>
    <w:div w:id="2074694844">
      <w:bodyDiv w:val="1"/>
      <w:marLeft w:val="0"/>
      <w:marRight w:val="0"/>
      <w:marTop w:val="0"/>
      <w:marBottom w:val="0"/>
      <w:divBdr>
        <w:top w:val="none" w:sz="0" w:space="0" w:color="auto"/>
        <w:left w:val="none" w:sz="0" w:space="0" w:color="auto"/>
        <w:bottom w:val="none" w:sz="0" w:space="0" w:color="auto"/>
        <w:right w:val="none" w:sz="0" w:space="0" w:color="auto"/>
      </w:divBdr>
      <w:divsChild>
        <w:div w:id="713236458">
          <w:marLeft w:val="0"/>
          <w:marRight w:val="0"/>
          <w:marTop w:val="280"/>
          <w:marBottom w:val="0"/>
          <w:divBdr>
            <w:top w:val="none" w:sz="0" w:space="0" w:color="auto"/>
            <w:left w:val="none" w:sz="0" w:space="0" w:color="auto"/>
            <w:bottom w:val="none" w:sz="0" w:space="0" w:color="auto"/>
            <w:right w:val="none" w:sz="0" w:space="0" w:color="auto"/>
          </w:divBdr>
          <w:divsChild>
            <w:div w:id="315845594">
              <w:marLeft w:val="0"/>
              <w:marRight w:val="0"/>
              <w:marTop w:val="0"/>
              <w:marBottom w:val="0"/>
              <w:divBdr>
                <w:top w:val="none" w:sz="0" w:space="0" w:color="auto"/>
                <w:left w:val="none" w:sz="0" w:space="0" w:color="auto"/>
                <w:bottom w:val="none" w:sz="0" w:space="0" w:color="auto"/>
                <w:right w:val="none" w:sz="0" w:space="0" w:color="auto"/>
              </w:divBdr>
            </w:div>
            <w:div w:id="994142206">
              <w:marLeft w:val="0"/>
              <w:marRight w:val="0"/>
              <w:marTop w:val="0"/>
              <w:marBottom w:val="220"/>
              <w:divBdr>
                <w:top w:val="none" w:sz="0" w:space="0" w:color="auto"/>
                <w:left w:val="none" w:sz="0" w:space="0" w:color="auto"/>
                <w:bottom w:val="none" w:sz="0" w:space="0" w:color="auto"/>
                <w:right w:val="none" w:sz="0" w:space="0" w:color="auto"/>
              </w:divBdr>
            </w:div>
          </w:divsChild>
        </w:div>
        <w:div w:id="576938607">
          <w:marLeft w:val="0"/>
          <w:marRight w:val="0"/>
          <w:marTop w:val="0"/>
          <w:marBottom w:val="0"/>
          <w:divBdr>
            <w:top w:val="none" w:sz="0" w:space="0" w:color="auto"/>
            <w:left w:val="none" w:sz="0" w:space="0" w:color="auto"/>
            <w:bottom w:val="none" w:sz="0" w:space="0" w:color="auto"/>
            <w:right w:val="none" w:sz="0" w:space="0" w:color="auto"/>
          </w:divBdr>
          <w:divsChild>
            <w:div w:id="711613353">
              <w:marLeft w:val="0"/>
              <w:marRight w:val="0"/>
              <w:marTop w:val="280"/>
              <w:marBottom w:val="0"/>
              <w:divBdr>
                <w:top w:val="none" w:sz="0" w:space="0" w:color="auto"/>
                <w:left w:val="none" w:sz="0" w:space="0" w:color="auto"/>
                <w:bottom w:val="none" w:sz="0" w:space="0" w:color="auto"/>
                <w:right w:val="none" w:sz="0" w:space="0" w:color="auto"/>
              </w:divBdr>
              <w:divsChild>
                <w:div w:id="1410883575">
                  <w:marLeft w:val="0"/>
                  <w:marRight w:val="0"/>
                  <w:marTop w:val="284"/>
                  <w:marBottom w:val="284"/>
                  <w:divBdr>
                    <w:top w:val="none" w:sz="0" w:space="0" w:color="auto"/>
                    <w:left w:val="none" w:sz="0" w:space="0" w:color="auto"/>
                    <w:bottom w:val="none" w:sz="0" w:space="0" w:color="auto"/>
                    <w:right w:val="none" w:sz="0" w:space="0" w:color="auto"/>
                  </w:divBdr>
                </w:div>
              </w:divsChild>
            </w:div>
            <w:div w:id="1114328287">
              <w:marLeft w:val="0"/>
              <w:marRight w:val="0"/>
              <w:marTop w:val="219"/>
              <w:marBottom w:val="0"/>
              <w:divBdr>
                <w:top w:val="none" w:sz="0" w:space="0" w:color="auto"/>
                <w:left w:val="none" w:sz="0" w:space="0" w:color="auto"/>
                <w:bottom w:val="none" w:sz="0" w:space="0" w:color="auto"/>
                <w:right w:val="none" w:sz="0" w:space="0" w:color="auto"/>
              </w:divBdr>
              <w:divsChild>
                <w:div w:id="1524634391">
                  <w:marLeft w:val="0"/>
                  <w:marRight w:val="0"/>
                  <w:marTop w:val="0"/>
                  <w:marBottom w:val="0"/>
                  <w:divBdr>
                    <w:top w:val="none" w:sz="0" w:space="0" w:color="auto"/>
                    <w:left w:val="none" w:sz="0" w:space="0" w:color="auto"/>
                    <w:bottom w:val="none" w:sz="0" w:space="0" w:color="auto"/>
                    <w:right w:val="none" w:sz="0" w:space="0" w:color="auto"/>
                  </w:divBdr>
                  <w:divsChild>
                    <w:div w:id="294260496">
                      <w:marLeft w:val="0"/>
                      <w:marRight w:val="0"/>
                      <w:marTop w:val="219"/>
                      <w:marBottom w:val="240"/>
                      <w:divBdr>
                        <w:top w:val="none" w:sz="0" w:space="0" w:color="auto"/>
                        <w:left w:val="none" w:sz="0" w:space="0" w:color="auto"/>
                        <w:bottom w:val="none" w:sz="0" w:space="0" w:color="auto"/>
                        <w:right w:val="none" w:sz="0" w:space="0" w:color="auto"/>
                      </w:divBdr>
                    </w:div>
                  </w:divsChild>
                </w:div>
                <w:div w:id="16700645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17848539">
          <w:marLeft w:val="0"/>
          <w:marRight w:val="0"/>
          <w:marTop w:val="0"/>
          <w:marBottom w:val="0"/>
          <w:divBdr>
            <w:top w:val="none" w:sz="0" w:space="0" w:color="auto"/>
            <w:left w:val="none" w:sz="0" w:space="0" w:color="auto"/>
            <w:bottom w:val="none" w:sz="0" w:space="0" w:color="auto"/>
            <w:right w:val="none" w:sz="0" w:space="0" w:color="auto"/>
          </w:divBdr>
          <w:divsChild>
            <w:div w:id="447551822">
              <w:marLeft w:val="0"/>
              <w:marRight w:val="0"/>
              <w:marTop w:val="280"/>
              <w:marBottom w:val="0"/>
              <w:divBdr>
                <w:top w:val="none" w:sz="0" w:space="0" w:color="auto"/>
                <w:left w:val="none" w:sz="0" w:space="0" w:color="auto"/>
                <w:bottom w:val="none" w:sz="0" w:space="0" w:color="auto"/>
                <w:right w:val="none" w:sz="0" w:space="0" w:color="auto"/>
              </w:divBdr>
              <w:divsChild>
                <w:div w:id="1901286837">
                  <w:marLeft w:val="0"/>
                  <w:marRight w:val="0"/>
                  <w:marTop w:val="0"/>
                  <w:marBottom w:val="0"/>
                  <w:divBdr>
                    <w:top w:val="none" w:sz="0" w:space="0" w:color="auto"/>
                    <w:left w:val="none" w:sz="0" w:space="0" w:color="auto"/>
                    <w:bottom w:val="none" w:sz="0" w:space="0" w:color="auto"/>
                    <w:right w:val="none" w:sz="0" w:space="0" w:color="auto"/>
                  </w:divBdr>
                </w:div>
                <w:div w:id="584803165">
                  <w:marLeft w:val="0"/>
                  <w:marRight w:val="0"/>
                  <w:marTop w:val="0"/>
                  <w:marBottom w:val="220"/>
                  <w:divBdr>
                    <w:top w:val="none" w:sz="0" w:space="0" w:color="auto"/>
                    <w:left w:val="none" w:sz="0" w:space="0" w:color="auto"/>
                    <w:bottom w:val="none" w:sz="0" w:space="0" w:color="auto"/>
                    <w:right w:val="none" w:sz="0" w:space="0" w:color="auto"/>
                  </w:divBdr>
                </w:div>
              </w:divsChild>
            </w:div>
            <w:div w:id="2046831071">
              <w:marLeft w:val="0"/>
              <w:marRight w:val="0"/>
              <w:marTop w:val="0"/>
              <w:marBottom w:val="0"/>
              <w:divBdr>
                <w:top w:val="none" w:sz="0" w:space="0" w:color="auto"/>
                <w:left w:val="none" w:sz="0" w:space="0" w:color="auto"/>
                <w:bottom w:val="none" w:sz="0" w:space="0" w:color="auto"/>
                <w:right w:val="none" w:sz="0" w:space="0" w:color="auto"/>
              </w:divBdr>
              <w:divsChild>
                <w:div w:id="1196848694">
                  <w:marLeft w:val="0"/>
                  <w:marRight w:val="0"/>
                  <w:marTop w:val="280"/>
                  <w:marBottom w:val="0"/>
                  <w:divBdr>
                    <w:top w:val="none" w:sz="0" w:space="0" w:color="auto"/>
                    <w:left w:val="none" w:sz="0" w:space="0" w:color="auto"/>
                    <w:bottom w:val="none" w:sz="0" w:space="0" w:color="auto"/>
                    <w:right w:val="none" w:sz="0" w:space="0" w:color="auto"/>
                  </w:divBdr>
                  <w:divsChild>
                    <w:div w:id="1678581253">
                      <w:marLeft w:val="0"/>
                      <w:marRight w:val="0"/>
                      <w:marTop w:val="0"/>
                      <w:marBottom w:val="220"/>
                      <w:divBdr>
                        <w:top w:val="none" w:sz="0" w:space="0" w:color="auto"/>
                        <w:left w:val="none" w:sz="0" w:space="0" w:color="auto"/>
                        <w:bottom w:val="none" w:sz="0" w:space="0" w:color="auto"/>
                        <w:right w:val="none" w:sz="0" w:space="0" w:color="auto"/>
                      </w:divBdr>
                    </w:div>
                  </w:divsChild>
                </w:div>
                <w:div w:id="509181243">
                  <w:marLeft w:val="0"/>
                  <w:marRight w:val="0"/>
                  <w:marTop w:val="0"/>
                  <w:marBottom w:val="0"/>
                  <w:divBdr>
                    <w:top w:val="none" w:sz="0" w:space="0" w:color="auto"/>
                    <w:left w:val="none" w:sz="0" w:space="0" w:color="auto"/>
                    <w:bottom w:val="none" w:sz="0" w:space="0" w:color="auto"/>
                    <w:right w:val="none" w:sz="0" w:space="0" w:color="auto"/>
                  </w:divBdr>
                  <w:divsChild>
                    <w:div w:id="500850568">
                      <w:marLeft w:val="0"/>
                      <w:marRight w:val="0"/>
                      <w:marTop w:val="280"/>
                      <w:marBottom w:val="0"/>
                      <w:divBdr>
                        <w:top w:val="none" w:sz="0" w:space="0" w:color="auto"/>
                        <w:left w:val="none" w:sz="0" w:space="0" w:color="auto"/>
                        <w:bottom w:val="none" w:sz="0" w:space="0" w:color="auto"/>
                        <w:right w:val="none" w:sz="0" w:space="0" w:color="auto"/>
                      </w:divBdr>
                    </w:div>
                    <w:div w:id="56711755">
                      <w:marLeft w:val="0"/>
                      <w:marRight w:val="0"/>
                      <w:marTop w:val="219"/>
                      <w:marBottom w:val="0"/>
                      <w:divBdr>
                        <w:top w:val="none" w:sz="0" w:space="0" w:color="auto"/>
                        <w:left w:val="none" w:sz="0" w:space="0" w:color="auto"/>
                        <w:bottom w:val="none" w:sz="0" w:space="0" w:color="auto"/>
                        <w:right w:val="none" w:sz="0" w:space="0" w:color="auto"/>
                      </w:divBdr>
                      <w:divsChild>
                        <w:div w:id="1742873992">
                          <w:marLeft w:val="0"/>
                          <w:marRight w:val="0"/>
                          <w:marTop w:val="0"/>
                          <w:marBottom w:val="0"/>
                          <w:divBdr>
                            <w:top w:val="none" w:sz="0" w:space="0" w:color="auto"/>
                            <w:left w:val="none" w:sz="0" w:space="0" w:color="auto"/>
                            <w:bottom w:val="none" w:sz="0" w:space="0" w:color="auto"/>
                            <w:right w:val="none" w:sz="0" w:space="0" w:color="auto"/>
                          </w:divBdr>
                          <w:divsChild>
                            <w:div w:id="245920111">
                              <w:marLeft w:val="0"/>
                              <w:marRight w:val="0"/>
                              <w:marTop w:val="219"/>
                              <w:marBottom w:val="240"/>
                              <w:divBdr>
                                <w:top w:val="none" w:sz="0" w:space="0" w:color="auto"/>
                                <w:left w:val="none" w:sz="0" w:space="0" w:color="auto"/>
                                <w:bottom w:val="none" w:sz="0" w:space="0" w:color="auto"/>
                                <w:right w:val="none" w:sz="0" w:space="0" w:color="auto"/>
                              </w:divBdr>
                            </w:div>
                          </w:divsChild>
                        </w:div>
                        <w:div w:id="1918972189">
                          <w:marLeft w:val="0"/>
                          <w:marRight w:val="0"/>
                          <w:marTop w:val="260"/>
                          <w:marBottom w:val="240"/>
                          <w:divBdr>
                            <w:top w:val="none" w:sz="0" w:space="0" w:color="auto"/>
                            <w:left w:val="none" w:sz="0" w:space="0" w:color="auto"/>
                            <w:bottom w:val="none" w:sz="0" w:space="0" w:color="auto"/>
                            <w:right w:val="none" w:sz="0" w:space="0" w:color="auto"/>
                          </w:divBdr>
                        </w:div>
                        <w:div w:id="708411284">
                          <w:marLeft w:val="0"/>
                          <w:marRight w:val="0"/>
                          <w:marTop w:val="240"/>
                          <w:marBottom w:val="0"/>
                          <w:divBdr>
                            <w:top w:val="none" w:sz="0" w:space="0" w:color="auto"/>
                            <w:left w:val="none" w:sz="0" w:space="0" w:color="auto"/>
                            <w:bottom w:val="none" w:sz="0" w:space="0" w:color="auto"/>
                            <w:right w:val="none" w:sz="0" w:space="0" w:color="auto"/>
                          </w:divBdr>
                        </w:div>
                      </w:divsChild>
                    </w:div>
                    <w:div w:id="238177469">
                      <w:marLeft w:val="0"/>
                      <w:marRight w:val="0"/>
                      <w:marTop w:val="219"/>
                      <w:marBottom w:val="0"/>
                      <w:divBdr>
                        <w:top w:val="none" w:sz="0" w:space="0" w:color="auto"/>
                        <w:left w:val="none" w:sz="0" w:space="0" w:color="auto"/>
                        <w:bottom w:val="none" w:sz="0" w:space="0" w:color="auto"/>
                        <w:right w:val="none" w:sz="0" w:space="0" w:color="auto"/>
                      </w:divBdr>
                      <w:divsChild>
                        <w:div w:id="1676415414">
                          <w:marLeft w:val="0"/>
                          <w:marRight w:val="0"/>
                          <w:marTop w:val="0"/>
                          <w:marBottom w:val="0"/>
                          <w:divBdr>
                            <w:top w:val="none" w:sz="0" w:space="0" w:color="auto"/>
                            <w:left w:val="none" w:sz="0" w:space="0" w:color="auto"/>
                            <w:bottom w:val="none" w:sz="0" w:space="0" w:color="auto"/>
                            <w:right w:val="none" w:sz="0" w:space="0" w:color="auto"/>
                          </w:divBdr>
                          <w:divsChild>
                            <w:div w:id="503858981">
                              <w:marLeft w:val="0"/>
                              <w:marRight w:val="0"/>
                              <w:marTop w:val="219"/>
                              <w:marBottom w:val="240"/>
                              <w:divBdr>
                                <w:top w:val="none" w:sz="0" w:space="0" w:color="auto"/>
                                <w:left w:val="none" w:sz="0" w:space="0" w:color="auto"/>
                                <w:bottom w:val="none" w:sz="0" w:space="0" w:color="auto"/>
                                <w:right w:val="none" w:sz="0" w:space="0" w:color="auto"/>
                              </w:divBdr>
                            </w:div>
                          </w:divsChild>
                        </w:div>
                        <w:div w:id="21079215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102330266">
                  <w:marLeft w:val="0"/>
                  <w:marRight w:val="0"/>
                  <w:marTop w:val="0"/>
                  <w:marBottom w:val="0"/>
                  <w:divBdr>
                    <w:top w:val="none" w:sz="0" w:space="0" w:color="auto"/>
                    <w:left w:val="none" w:sz="0" w:space="0" w:color="auto"/>
                    <w:bottom w:val="none" w:sz="0" w:space="0" w:color="auto"/>
                    <w:right w:val="none" w:sz="0" w:space="0" w:color="auto"/>
                  </w:divBdr>
                  <w:divsChild>
                    <w:div w:id="15935290">
                      <w:marLeft w:val="0"/>
                      <w:marRight w:val="0"/>
                      <w:marTop w:val="280"/>
                      <w:marBottom w:val="0"/>
                      <w:divBdr>
                        <w:top w:val="none" w:sz="0" w:space="0" w:color="auto"/>
                        <w:left w:val="none" w:sz="0" w:space="0" w:color="auto"/>
                        <w:bottom w:val="none" w:sz="0" w:space="0" w:color="auto"/>
                        <w:right w:val="none" w:sz="0" w:space="0" w:color="auto"/>
                      </w:divBdr>
                    </w:div>
                    <w:div w:id="1872255949">
                      <w:marLeft w:val="0"/>
                      <w:marRight w:val="0"/>
                      <w:marTop w:val="219"/>
                      <w:marBottom w:val="0"/>
                      <w:divBdr>
                        <w:top w:val="none" w:sz="0" w:space="0" w:color="auto"/>
                        <w:left w:val="none" w:sz="0" w:space="0" w:color="auto"/>
                        <w:bottom w:val="none" w:sz="0" w:space="0" w:color="auto"/>
                        <w:right w:val="none" w:sz="0" w:space="0" w:color="auto"/>
                      </w:divBdr>
                      <w:divsChild>
                        <w:div w:id="1532453826">
                          <w:marLeft w:val="0"/>
                          <w:marRight w:val="0"/>
                          <w:marTop w:val="0"/>
                          <w:marBottom w:val="0"/>
                          <w:divBdr>
                            <w:top w:val="none" w:sz="0" w:space="0" w:color="auto"/>
                            <w:left w:val="none" w:sz="0" w:space="0" w:color="auto"/>
                            <w:bottom w:val="none" w:sz="0" w:space="0" w:color="auto"/>
                            <w:right w:val="none" w:sz="0" w:space="0" w:color="auto"/>
                          </w:divBdr>
                          <w:divsChild>
                            <w:div w:id="1558934111">
                              <w:marLeft w:val="0"/>
                              <w:marRight w:val="0"/>
                              <w:marTop w:val="219"/>
                              <w:marBottom w:val="240"/>
                              <w:divBdr>
                                <w:top w:val="none" w:sz="0" w:space="0" w:color="auto"/>
                                <w:left w:val="none" w:sz="0" w:space="0" w:color="auto"/>
                                <w:bottom w:val="none" w:sz="0" w:space="0" w:color="auto"/>
                                <w:right w:val="none" w:sz="0" w:space="0" w:color="auto"/>
                              </w:divBdr>
                            </w:div>
                          </w:divsChild>
                        </w:div>
                        <w:div w:id="761607608">
                          <w:marLeft w:val="0"/>
                          <w:marRight w:val="0"/>
                          <w:marTop w:val="260"/>
                          <w:marBottom w:val="240"/>
                          <w:divBdr>
                            <w:top w:val="none" w:sz="0" w:space="0" w:color="auto"/>
                            <w:left w:val="none" w:sz="0" w:space="0" w:color="auto"/>
                            <w:bottom w:val="none" w:sz="0" w:space="0" w:color="auto"/>
                            <w:right w:val="none" w:sz="0" w:space="0" w:color="auto"/>
                          </w:divBdr>
                        </w:div>
                        <w:div w:id="2075927082">
                          <w:marLeft w:val="0"/>
                          <w:marRight w:val="0"/>
                          <w:marTop w:val="260"/>
                          <w:marBottom w:val="240"/>
                          <w:divBdr>
                            <w:top w:val="none" w:sz="0" w:space="0" w:color="auto"/>
                            <w:left w:val="none" w:sz="0" w:space="0" w:color="auto"/>
                            <w:bottom w:val="none" w:sz="0" w:space="0" w:color="auto"/>
                            <w:right w:val="none" w:sz="0" w:space="0" w:color="auto"/>
                          </w:divBdr>
                        </w:div>
                        <w:div w:id="11882515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86653345">
                  <w:marLeft w:val="0"/>
                  <w:marRight w:val="0"/>
                  <w:marTop w:val="0"/>
                  <w:marBottom w:val="0"/>
                  <w:divBdr>
                    <w:top w:val="none" w:sz="0" w:space="0" w:color="auto"/>
                    <w:left w:val="none" w:sz="0" w:space="0" w:color="auto"/>
                    <w:bottom w:val="none" w:sz="0" w:space="0" w:color="auto"/>
                    <w:right w:val="none" w:sz="0" w:space="0" w:color="auto"/>
                  </w:divBdr>
                  <w:divsChild>
                    <w:div w:id="932982131">
                      <w:marLeft w:val="0"/>
                      <w:marRight w:val="0"/>
                      <w:marTop w:val="280"/>
                      <w:marBottom w:val="0"/>
                      <w:divBdr>
                        <w:top w:val="none" w:sz="0" w:space="0" w:color="auto"/>
                        <w:left w:val="none" w:sz="0" w:space="0" w:color="auto"/>
                        <w:bottom w:val="none" w:sz="0" w:space="0" w:color="auto"/>
                        <w:right w:val="none" w:sz="0" w:space="0" w:color="auto"/>
                      </w:divBdr>
                    </w:div>
                    <w:div w:id="220143943">
                      <w:marLeft w:val="0"/>
                      <w:marRight w:val="0"/>
                      <w:marTop w:val="219"/>
                      <w:marBottom w:val="0"/>
                      <w:divBdr>
                        <w:top w:val="none" w:sz="0" w:space="0" w:color="auto"/>
                        <w:left w:val="none" w:sz="0" w:space="0" w:color="auto"/>
                        <w:bottom w:val="none" w:sz="0" w:space="0" w:color="auto"/>
                        <w:right w:val="none" w:sz="0" w:space="0" w:color="auto"/>
                      </w:divBdr>
                      <w:divsChild>
                        <w:div w:id="1750689557">
                          <w:marLeft w:val="0"/>
                          <w:marRight w:val="0"/>
                          <w:marTop w:val="0"/>
                          <w:marBottom w:val="0"/>
                          <w:divBdr>
                            <w:top w:val="none" w:sz="0" w:space="0" w:color="auto"/>
                            <w:left w:val="none" w:sz="0" w:space="0" w:color="auto"/>
                            <w:bottom w:val="none" w:sz="0" w:space="0" w:color="auto"/>
                            <w:right w:val="none" w:sz="0" w:space="0" w:color="auto"/>
                          </w:divBdr>
                          <w:divsChild>
                            <w:div w:id="475144447">
                              <w:marLeft w:val="0"/>
                              <w:marRight w:val="0"/>
                              <w:marTop w:val="219"/>
                              <w:marBottom w:val="240"/>
                              <w:divBdr>
                                <w:top w:val="none" w:sz="0" w:space="0" w:color="auto"/>
                                <w:left w:val="none" w:sz="0" w:space="0" w:color="auto"/>
                                <w:bottom w:val="none" w:sz="0" w:space="0" w:color="auto"/>
                                <w:right w:val="none" w:sz="0" w:space="0" w:color="auto"/>
                              </w:divBdr>
                            </w:div>
                          </w:divsChild>
                        </w:div>
                        <w:div w:id="997657037">
                          <w:marLeft w:val="0"/>
                          <w:marRight w:val="0"/>
                          <w:marTop w:val="240"/>
                          <w:marBottom w:val="0"/>
                          <w:divBdr>
                            <w:top w:val="none" w:sz="0" w:space="0" w:color="auto"/>
                            <w:left w:val="none" w:sz="0" w:space="0" w:color="auto"/>
                            <w:bottom w:val="none" w:sz="0" w:space="0" w:color="auto"/>
                            <w:right w:val="none" w:sz="0" w:space="0" w:color="auto"/>
                          </w:divBdr>
                        </w:div>
                      </w:divsChild>
                    </w:div>
                    <w:div w:id="1098939534">
                      <w:marLeft w:val="0"/>
                      <w:marRight w:val="0"/>
                      <w:marTop w:val="219"/>
                      <w:marBottom w:val="0"/>
                      <w:divBdr>
                        <w:top w:val="none" w:sz="0" w:space="0" w:color="auto"/>
                        <w:left w:val="none" w:sz="0" w:space="0" w:color="auto"/>
                        <w:bottom w:val="none" w:sz="0" w:space="0" w:color="auto"/>
                        <w:right w:val="none" w:sz="0" w:space="0" w:color="auto"/>
                      </w:divBdr>
                      <w:divsChild>
                        <w:div w:id="1414934599">
                          <w:marLeft w:val="0"/>
                          <w:marRight w:val="0"/>
                          <w:marTop w:val="0"/>
                          <w:marBottom w:val="0"/>
                          <w:divBdr>
                            <w:top w:val="none" w:sz="0" w:space="0" w:color="auto"/>
                            <w:left w:val="none" w:sz="0" w:space="0" w:color="auto"/>
                            <w:bottom w:val="none" w:sz="0" w:space="0" w:color="auto"/>
                            <w:right w:val="none" w:sz="0" w:space="0" w:color="auto"/>
                          </w:divBdr>
                          <w:divsChild>
                            <w:div w:id="679088091">
                              <w:marLeft w:val="0"/>
                              <w:marRight w:val="0"/>
                              <w:marTop w:val="219"/>
                              <w:marBottom w:val="240"/>
                              <w:divBdr>
                                <w:top w:val="none" w:sz="0" w:space="0" w:color="auto"/>
                                <w:left w:val="none" w:sz="0" w:space="0" w:color="auto"/>
                                <w:bottom w:val="none" w:sz="0" w:space="0" w:color="auto"/>
                                <w:right w:val="none" w:sz="0" w:space="0" w:color="auto"/>
                              </w:divBdr>
                            </w:div>
                          </w:divsChild>
                        </w:div>
                        <w:div w:id="635574556">
                          <w:marLeft w:val="0"/>
                          <w:marRight w:val="0"/>
                          <w:marTop w:val="260"/>
                          <w:marBottom w:val="240"/>
                          <w:divBdr>
                            <w:top w:val="none" w:sz="0" w:space="0" w:color="auto"/>
                            <w:left w:val="none" w:sz="0" w:space="0" w:color="auto"/>
                            <w:bottom w:val="none" w:sz="0" w:space="0" w:color="auto"/>
                            <w:right w:val="none" w:sz="0" w:space="0" w:color="auto"/>
                          </w:divBdr>
                        </w:div>
                        <w:div w:id="1444154340">
                          <w:marLeft w:val="0"/>
                          <w:marRight w:val="0"/>
                          <w:marTop w:val="240"/>
                          <w:marBottom w:val="0"/>
                          <w:divBdr>
                            <w:top w:val="none" w:sz="0" w:space="0" w:color="auto"/>
                            <w:left w:val="none" w:sz="0" w:space="0" w:color="auto"/>
                            <w:bottom w:val="none" w:sz="0" w:space="0" w:color="auto"/>
                            <w:right w:val="none" w:sz="0" w:space="0" w:color="auto"/>
                          </w:divBdr>
                        </w:div>
                      </w:divsChild>
                    </w:div>
                    <w:div w:id="1466852492">
                      <w:marLeft w:val="0"/>
                      <w:marRight w:val="0"/>
                      <w:marTop w:val="219"/>
                      <w:marBottom w:val="0"/>
                      <w:divBdr>
                        <w:top w:val="none" w:sz="0" w:space="0" w:color="auto"/>
                        <w:left w:val="none" w:sz="0" w:space="0" w:color="auto"/>
                        <w:bottom w:val="none" w:sz="0" w:space="0" w:color="auto"/>
                        <w:right w:val="none" w:sz="0" w:space="0" w:color="auto"/>
                      </w:divBdr>
                      <w:divsChild>
                        <w:div w:id="699359784">
                          <w:marLeft w:val="0"/>
                          <w:marRight w:val="0"/>
                          <w:marTop w:val="0"/>
                          <w:marBottom w:val="0"/>
                          <w:divBdr>
                            <w:top w:val="none" w:sz="0" w:space="0" w:color="auto"/>
                            <w:left w:val="none" w:sz="0" w:space="0" w:color="auto"/>
                            <w:bottom w:val="none" w:sz="0" w:space="0" w:color="auto"/>
                            <w:right w:val="none" w:sz="0" w:space="0" w:color="auto"/>
                          </w:divBdr>
                          <w:divsChild>
                            <w:div w:id="261377537">
                              <w:marLeft w:val="0"/>
                              <w:marRight w:val="0"/>
                              <w:marTop w:val="219"/>
                              <w:marBottom w:val="240"/>
                              <w:divBdr>
                                <w:top w:val="none" w:sz="0" w:space="0" w:color="auto"/>
                                <w:left w:val="none" w:sz="0" w:space="0" w:color="auto"/>
                                <w:bottom w:val="none" w:sz="0" w:space="0" w:color="auto"/>
                                <w:right w:val="none" w:sz="0" w:space="0" w:color="auto"/>
                              </w:divBdr>
                            </w:div>
                          </w:divsChild>
                        </w:div>
                        <w:div w:id="1144814169">
                          <w:marLeft w:val="0"/>
                          <w:marRight w:val="0"/>
                          <w:marTop w:val="240"/>
                          <w:marBottom w:val="0"/>
                          <w:divBdr>
                            <w:top w:val="none" w:sz="0" w:space="0" w:color="auto"/>
                            <w:left w:val="none" w:sz="0" w:space="0" w:color="auto"/>
                            <w:bottom w:val="none" w:sz="0" w:space="0" w:color="auto"/>
                            <w:right w:val="none" w:sz="0" w:space="0" w:color="auto"/>
                          </w:divBdr>
                        </w:div>
                      </w:divsChild>
                    </w:div>
                    <w:div w:id="1977832056">
                      <w:marLeft w:val="0"/>
                      <w:marRight w:val="0"/>
                      <w:marTop w:val="219"/>
                      <w:marBottom w:val="0"/>
                      <w:divBdr>
                        <w:top w:val="none" w:sz="0" w:space="0" w:color="auto"/>
                        <w:left w:val="none" w:sz="0" w:space="0" w:color="auto"/>
                        <w:bottom w:val="none" w:sz="0" w:space="0" w:color="auto"/>
                        <w:right w:val="none" w:sz="0" w:space="0" w:color="auto"/>
                      </w:divBdr>
                      <w:divsChild>
                        <w:div w:id="1877740219">
                          <w:marLeft w:val="0"/>
                          <w:marRight w:val="0"/>
                          <w:marTop w:val="219"/>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02291223">
      <w:bodyDiv w:val="1"/>
      <w:marLeft w:val="0"/>
      <w:marRight w:val="0"/>
      <w:marTop w:val="0"/>
      <w:marBottom w:val="0"/>
      <w:divBdr>
        <w:top w:val="none" w:sz="0" w:space="0" w:color="auto"/>
        <w:left w:val="none" w:sz="0" w:space="0" w:color="auto"/>
        <w:bottom w:val="none" w:sz="0" w:space="0" w:color="auto"/>
        <w:right w:val="none" w:sz="0" w:space="0" w:color="auto"/>
      </w:divBdr>
      <w:divsChild>
        <w:div w:id="695277908">
          <w:marLeft w:val="0"/>
          <w:marRight w:val="0"/>
          <w:marTop w:val="0"/>
          <w:marBottom w:val="0"/>
          <w:divBdr>
            <w:top w:val="none" w:sz="0" w:space="0" w:color="auto"/>
            <w:left w:val="none" w:sz="0" w:space="0" w:color="auto"/>
            <w:bottom w:val="none" w:sz="0" w:space="0" w:color="auto"/>
            <w:right w:val="none" w:sz="0" w:space="0" w:color="auto"/>
          </w:divBdr>
        </w:div>
        <w:div w:id="1215118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lii.org/fr/qc/legis/lois/rlrq-c-ccq-1991/derniere/rlrq-c-ccq-1991.html" TargetMode="External"/><Relationship Id="rId18" Type="http://schemas.openxmlformats.org/officeDocument/2006/relationships/hyperlink" Target="https://www.canlii.org/fr/ca/csc/doc/2002/2002csc73/2002csc73.html" TargetMode="External"/><Relationship Id="rId26" Type="http://schemas.openxmlformats.org/officeDocument/2006/relationships/hyperlink" Target="https://www.canlii.org/fr/qc/legis/lois/rlrq-c-i-16/derniere/rlrq-c-i-16.html" TargetMode="External"/><Relationship Id="rId39" Type="http://schemas.openxmlformats.org/officeDocument/2006/relationships/hyperlink" Target="https://www.canlii.org/fr/qc/legis/lois/rlrq-c-ccq-1991/derniere/rlrq-c-ccq-1991.html" TargetMode="External"/><Relationship Id="rId21" Type="http://schemas.openxmlformats.org/officeDocument/2006/relationships/hyperlink" Target="https://www.canlii.org/fr/ca/csc/doc/1998/1998canlii837/1998canlii837.html" TargetMode="External"/><Relationship Id="rId34" Type="http://schemas.openxmlformats.org/officeDocument/2006/relationships/hyperlink" Target="https://www.canlii.org/en/qc/laws/stat/cqlr-c-ccq-1991/latest/cqlr-c-ccq-1991.html" TargetMode="External"/><Relationship Id="rId42" Type="http://schemas.openxmlformats.org/officeDocument/2006/relationships/hyperlink" Target="https://www.canlii.org/en/qc/laws/stat/cqlr-c-i-16/latest/cqlr-c-i-16.html" TargetMode="External"/><Relationship Id="rId47" Type="http://schemas.openxmlformats.org/officeDocument/2006/relationships/hyperlink" Target="https://www.canlii.org/fr/on/legis/lois/lro-1990-c-c12/derniere/lro-1990-c-c12.html" TargetMode="External"/><Relationship Id="rId50" Type="http://schemas.openxmlformats.org/officeDocument/2006/relationships/hyperlink" Target="https://www.canlii.org/en/qc/laws/stat/cqlr-c-i-16/latest/cqlr-c-i-16.html" TargetMode="External"/><Relationship Id="rId55" Type="http://schemas.openxmlformats.org/officeDocument/2006/relationships/hyperlink" Target="https://www.canlii.org/en/qc/laws/stat/cqlr-c-i-16/latest/cqlr-c-i-16.html" TargetMode="External"/><Relationship Id="rId63" Type="http://schemas.openxmlformats.org/officeDocument/2006/relationships/hyperlink" Target="https://www.canlii.org/en/qc/laws/stat/cqlr-c-ccq-1991/latest/cqlr-c-ccq-1991.html"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nlii.org/fr/ca/csc/doc/1979/1979canlii22/1979canlii22.html" TargetMode="External"/><Relationship Id="rId29" Type="http://schemas.openxmlformats.org/officeDocument/2006/relationships/hyperlink" Target="https://www.canlii.org/fr/on/onca/doc/2007/2007onca2/2007onca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lii.org/fr/qc/legis/lois/rlrq-c-ccq-1991/derniere/rlrq-c-ccq-1991.html" TargetMode="External"/><Relationship Id="rId24" Type="http://schemas.openxmlformats.org/officeDocument/2006/relationships/hyperlink" Target="https://www.canlii.org/fr/qc/legis/lois/rlrq-c-i-16/derniere/rlrq-c-i-16.html" TargetMode="External"/><Relationship Id="rId32" Type="http://schemas.openxmlformats.org/officeDocument/2006/relationships/hyperlink" Target="https://qweri.lexum.com/w/calegis/annexe-b-de-la-loi-de-1982-sur-le-canada-r-u-1982-c-11-fr" TargetMode="External"/><Relationship Id="rId37" Type="http://schemas.openxmlformats.org/officeDocument/2006/relationships/hyperlink" Target="https://www.canlii.org/en/qc/laws/stat/cqlr-c-ccq-1991/latest/cqlr-c-ccq-1991.html" TargetMode="External"/><Relationship Id="rId40" Type="http://schemas.openxmlformats.org/officeDocument/2006/relationships/hyperlink" Target="https://www.canlii.org/en/qc/laws/stat/cqlr-c-i-16/latest/cqlr-c-i-16.html" TargetMode="External"/><Relationship Id="rId45" Type="http://schemas.openxmlformats.org/officeDocument/2006/relationships/hyperlink" Target="https://www.canlii.org/en/qc/laws/stat/cqlr-c-i-16/latest/cqlr-c-i-16.html" TargetMode="External"/><Relationship Id="rId53" Type="http://schemas.openxmlformats.org/officeDocument/2006/relationships/hyperlink" Target="https://www.canlii.org/fr/ca/legis/lois/annexe-b-de-la-loi-de-1982-sur-le-canada-r-u-1982-c-11/derniere/annexe-b-de-la-loi-de-1982-sur-le-canada-r-u-1982-c-11.html" TargetMode="External"/><Relationship Id="rId58" Type="http://schemas.openxmlformats.org/officeDocument/2006/relationships/hyperlink" Target="https://www.canlii.org/en/qc/laws/stat/cqlr-c-i-16/latest/cqlr-c-i-16.html" TargetMode="External"/><Relationship Id="rId66" Type="http://schemas.openxmlformats.org/officeDocument/2006/relationships/hyperlink" Target="https://www.canlii.org/en/qc/laws/stat/cqlr-c-ccq-1991/latest/cqlr-c-ccq-1991.html" TargetMode="External"/><Relationship Id="rId5" Type="http://schemas.openxmlformats.org/officeDocument/2006/relationships/webSettings" Target="webSettings.xml"/><Relationship Id="rId15" Type="http://schemas.openxmlformats.org/officeDocument/2006/relationships/hyperlink" Target="https://www.canlii.org/fr/ca/csc/doc/1997/1997canlii315/1997canlii315.html" TargetMode="External"/><Relationship Id="rId23" Type="http://schemas.openxmlformats.org/officeDocument/2006/relationships/hyperlink" Target="https://www.canlii.org/fr/qc/legis/lois/rlrq-c-i-16/derniere/rlrq-c-i-16.html" TargetMode="External"/><Relationship Id="rId28" Type="http://schemas.openxmlformats.org/officeDocument/2006/relationships/hyperlink" Target="https://www.canlii.org/fr/qc/legis/lois/rlrq-c-ccq-1991/derniere/rlrq-c-ccq-1991.html" TargetMode="External"/><Relationship Id="rId36" Type="http://schemas.openxmlformats.org/officeDocument/2006/relationships/hyperlink" Target="https://www.canlii.org/fr/qc/legis/lois/rlrq-c-ccq-1991/derniere/rlrq-c-ccq-1991.html" TargetMode="External"/><Relationship Id="rId49" Type="http://schemas.openxmlformats.org/officeDocument/2006/relationships/hyperlink" Target="https://www.canlii.org/en/qc/laws/stat/cqlr-c-i-16/latest/cqlr-c-i-16.html" TargetMode="External"/><Relationship Id="rId57" Type="http://schemas.openxmlformats.org/officeDocument/2006/relationships/hyperlink" Target="https://www.canlii.org/en/qc/laws/stat/cqlr-c-ccq-1991/latest/cqlr-c-ccq-1991.html" TargetMode="External"/><Relationship Id="rId61" Type="http://schemas.openxmlformats.org/officeDocument/2006/relationships/hyperlink" Target="https://www.canlii.org/en/qc/laws/stat/cqlr-c-ccq-1991/latest/cqlr-c-ccq-1991.html" TargetMode="External"/><Relationship Id="rId10" Type="http://schemas.openxmlformats.org/officeDocument/2006/relationships/hyperlink" Target="https://www.canlii.org/fr/qc/legis/lois/rlrq-c-ccq-1991/derniere/rlrq-c-ccq-1991.html" TargetMode="External"/><Relationship Id="rId19" Type="http://schemas.openxmlformats.org/officeDocument/2006/relationships/hyperlink" Target="https://www.canlii.org/fr/ca/legis/lois/lrc-1985-c-i-21/derniere/lrc-1985-c-i-21.html" TargetMode="External"/><Relationship Id="rId31" Type="http://schemas.openxmlformats.org/officeDocument/2006/relationships/hyperlink" Target="https://qweri.lexum.com/w/calegis/annexe-b-de-la-loi-de-1982-sur-le-canada-r-u-1982-c-11-fr" TargetMode="External"/><Relationship Id="rId44" Type="http://schemas.openxmlformats.org/officeDocument/2006/relationships/hyperlink" Target="https://www.canlii.org/en/qc/laws/stat/cqlr-c-c-12/latest/cqlr-c-c-12.html" TargetMode="External"/><Relationship Id="rId52" Type="http://schemas.openxmlformats.org/officeDocument/2006/relationships/hyperlink" Target="https://www.canlii.org/en/qc/laws/stat/cqlr-c-i-16/latest/cqlr-c-i-16.html" TargetMode="External"/><Relationship Id="rId60" Type="http://schemas.openxmlformats.org/officeDocument/2006/relationships/hyperlink" Target="https://www.canlii.org/fr/qc/legis/lois/rlrq-c-ccq-1991/derniere/rlrq-c-ccq-1991.html" TargetMode="External"/><Relationship Id="rId65" Type="http://schemas.openxmlformats.org/officeDocument/2006/relationships/hyperlink" Target="https://www.canlii.org/en/qc/laws/stat/cqlr-c-ccq-1991/latest/cqlr-c-ccq-1991.html" TargetMode="External"/><Relationship Id="rId4" Type="http://schemas.openxmlformats.org/officeDocument/2006/relationships/settings" Target="settings.xml"/><Relationship Id="rId9" Type="http://schemas.openxmlformats.org/officeDocument/2006/relationships/hyperlink" Target="https://www.canlii.org/fr/qc/legis/lois/rlrq-c-ccq-1991/derniere/rlrq-c-ccq-1991.html" TargetMode="External"/><Relationship Id="rId14" Type="http://schemas.openxmlformats.org/officeDocument/2006/relationships/hyperlink" Target="https://www.canlii.org/fr/qc/legis/lois/rlrq-c-ccq-1991/derniere/rlrq-c-ccq-1991.html" TargetMode="External"/><Relationship Id="rId22" Type="http://schemas.openxmlformats.org/officeDocument/2006/relationships/hyperlink" Target="https://www.canlii.org/fr/ca/csc/doc/1999/1999canlii679/1999canlii679.html" TargetMode="External"/><Relationship Id="rId27" Type="http://schemas.openxmlformats.org/officeDocument/2006/relationships/hyperlink" Target="https://www.canlii.org/en/qc/laws/stat/cqlr-c-i-16/latest/cqlr-c-i-16.html" TargetMode="External"/><Relationship Id="rId30" Type="http://schemas.openxmlformats.org/officeDocument/2006/relationships/hyperlink" Target="https://www.canlii.org/en/qc/laws/stat/cqlr-c-i-16/latest/cqlr-c-i-16.html" TargetMode="External"/><Relationship Id="rId35" Type="http://schemas.openxmlformats.org/officeDocument/2006/relationships/hyperlink" Target="https://www.canlii.org/en/qc/laws/stat/cqlr-c-i-16/latest/cqlr-c-i-16.html" TargetMode="External"/><Relationship Id="rId43" Type="http://schemas.openxmlformats.org/officeDocument/2006/relationships/hyperlink" Target="https://www.canlii.org/fr/qc/legis/lois/rlrq-c-c-12/derniere/rlrq-c-c-12.html" TargetMode="External"/><Relationship Id="rId48" Type="http://schemas.openxmlformats.org/officeDocument/2006/relationships/hyperlink" Target="https://www.canlii.org/en/on/laws/stat/rso-1990-c-c12/latest/rso-1990-c-c12.html" TargetMode="External"/><Relationship Id="rId56" Type="http://schemas.openxmlformats.org/officeDocument/2006/relationships/hyperlink" Target="https://www.canlii.org/fr/qc/legis/lois/rlrq-c-ccq-1991/derniere/rlrq-c-ccq-1991.html" TargetMode="External"/><Relationship Id="rId64" Type="http://schemas.openxmlformats.org/officeDocument/2006/relationships/hyperlink" Target="https://www.canlii.org/en/qc/laws/stat/cqlr-c-ccq-1991/latest/cqlr-c-ccq-1991.html" TargetMode="External"/><Relationship Id="rId69" Type="http://schemas.openxmlformats.org/officeDocument/2006/relationships/fontTable" Target="fontTable.xml"/><Relationship Id="rId8" Type="http://schemas.openxmlformats.org/officeDocument/2006/relationships/hyperlink" Target="https://www.canlii.org/fr/qc/legis/lois/rlrq-c-ccq-1991/derniere/rlrq-c-ccq-1991.html" TargetMode="External"/><Relationship Id="rId51" Type="http://schemas.openxmlformats.org/officeDocument/2006/relationships/hyperlink" Target="https://www.canlii.org/en/qc/laws/stat/cqlr-c-i-16/latest/cqlr-c-i-16.html" TargetMode="External"/><Relationship Id="rId3" Type="http://schemas.openxmlformats.org/officeDocument/2006/relationships/styles" Target="styles.xml"/><Relationship Id="rId12" Type="http://schemas.openxmlformats.org/officeDocument/2006/relationships/hyperlink" Target="https://www.canlii.org/fr/qc/legis/lois/rlrq-c-ccq-1991/derniere/rlrq-c-ccq-1991.html" TargetMode="External"/><Relationship Id="rId17" Type="http://schemas.openxmlformats.org/officeDocument/2006/relationships/hyperlink" Target="https://www.canlii.org/fr/ca/csc/doc/2002/2002csc73/2002csc73.html" TargetMode="External"/><Relationship Id="rId25" Type="http://schemas.openxmlformats.org/officeDocument/2006/relationships/hyperlink" Target="https://www.canlii.org/fr/qc/legis/lois/rlrq-c-ccq-1991/derniere/rlrq-c-ccq-1991.html" TargetMode="External"/><Relationship Id="rId33" Type="http://schemas.openxmlformats.org/officeDocument/2006/relationships/hyperlink" Target="https://www.canlii.org/fr/qc/legis/lois/rlrq-c-ccq-1991/derniere/rlrq-c-ccq-1991.html" TargetMode="External"/><Relationship Id="rId38" Type="http://schemas.openxmlformats.org/officeDocument/2006/relationships/hyperlink" Target="https://www.canlii.org/fr/qc/legis/lois/rlrq-c-ccq-1991/derniere/rlrq-c-ccq-1991.html" TargetMode="External"/><Relationship Id="rId46" Type="http://schemas.openxmlformats.org/officeDocument/2006/relationships/hyperlink" Target="https://www.canlii.org/en/qc/laws/stat/cqlr-c-i-16/latest/cqlr-c-i-16.html" TargetMode="External"/><Relationship Id="rId59" Type="http://schemas.openxmlformats.org/officeDocument/2006/relationships/hyperlink" Target="https://www.canlii.org/fr/qc/legis/lois/rlrq-c-ccq-1991/derniere/rlrq-c-ccq-1991.html" TargetMode="External"/><Relationship Id="rId67" Type="http://schemas.openxmlformats.org/officeDocument/2006/relationships/header" Target="header1.xml"/><Relationship Id="rId20" Type="http://schemas.openxmlformats.org/officeDocument/2006/relationships/hyperlink" Target="https://www.canlii.org/fr/ca/csc/doc/2002/2002csc42/2002csc42.html" TargetMode="External"/><Relationship Id="rId41" Type="http://schemas.openxmlformats.org/officeDocument/2006/relationships/hyperlink" Target="https://www.canlii.org/en/qc/laws/stat/cqlr-c-i-16/latest/cqlr-c-i-16.html" TargetMode="External"/><Relationship Id="rId54" Type="http://schemas.openxmlformats.org/officeDocument/2006/relationships/hyperlink" Target="https://qweri.lexum.com/w/calegis/annexe-b-de-la-loi-de-1982-sur-le-canada-r-u-1982-c-11-fr" TargetMode="External"/><Relationship Id="rId62" Type="http://schemas.openxmlformats.org/officeDocument/2006/relationships/hyperlink" Target="https://www.canlii.org/en/qc/laws/stat/cqlr-c-ccq-1991/latest/cqlr-c-ccq-1991.html" TargetMode="External"/><Relationship Id="rId7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09FEE-0B4F-4B49-B01F-95FCD542D64C}">
  <ds:schemaRefs>
    <ds:schemaRef ds:uri="http://schemas.openxmlformats.org/officeDocument/2006/bibliography"/>
  </ds:schemaRefs>
</ds:datastoreItem>
</file>

<file path=docMetadata/LabelInfo.xml><?xml version="1.0" encoding="utf-8"?>
<clbl:labelList xmlns:clbl="http://schemas.microsoft.com/office/2020/mipLabelMetadata">
  <clbl:label id="{3f6dec78-7ded-4395-975c-6edbb7d10b16}" enabled="0" method="" siteId="{3f6dec78-7ded-4395-975c-6edbb7d10b1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105</Pages>
  <Words>36610</Words>
  <Characters>201358</Characters>
  <Application>Microsoft Office Word</Application>
  <DocSecurity>0</DocSecurity>
  <Lines>1677</Lines>
  <Paragraphs>474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237494</CharactersWithSpaces>
  <SharedDoc>false</SharedDoc>
  <HLinks>
    <vt:vector size="42" baseType="variant">
      <vt:variant>
        <vt:i4>1835061</vt:i4>
      </vt:variant>
      <vt:variant>
        <vt:i4>89</vt:i4>
      </vt:variant>
      <vt:variant>
        <vt:i4>0</vt:i4>
      </vt:variant>
      <vt:variant>
        <vt:i4>5</vt:i4>
      </vt:variant>
      <vt:variant>
        <vt:lpwstr/>
      </vt:variant>
      <vt:variant>
        <vt:lpwstr>_Toc430945549</vt:lpwstr>
      </vt:variant>
      <vt:variant>
        <vt:i4>1835061</vt:i4>
      </vt:variant>
      <vt:variant>
        <vt:i4>83</vt:i4>
      </vt:variant>
      <vt:variant>
        <vt:i4>0</vt:i4>
      </vt:variant>
      <vt:variant>
        <vt:i4>5</vt:i4>
      </vt:variant>
      <vt:variant>
        <vt:lpwstr/>
      </vt:variant>
      <vt:variant>
        <vt:lpwstr>_Toc430945548</vt:lpwstr>
      </vt:variant>
      <vt:variant>
        <vt:i4>1835061</vt:i4>
      </vt:variant>
      <vt:variant>
        <vt:i4>77</vt:i4>
      </vt:variant>
      <vt:variant>
        <vt:i4>0</vt:i4>
      </vt:variant>
      <vt:variant>
        <vt:i4>5</vt:i4>
      </vt:variant>
      <vt:variant>
        <vt:lpwstr/>
      </vt:variant>
      <vt:variant>
        <vt:lpwstr>_Toc430945547</vt:lpwstr>
      </vt:variant>
      <vt:variant>
        <vt:i4>1835061</vt:i4>
      </vt:variant>
      <vt:variant>
        <vt:i4>71</vt:i4>
      </vt:variant>
      <vt:variant>
        <vt:i4>0</vt:i4>
      </vt:variant>
      <vt:variant>
        <vt:i4>5</vt:i4>
      </vt:variant>
      <vt:variant>
        <vt:lpwstr/>
      </vt:variant>
      <vt:variant>
        <vt:lpwstr>_Toc430945546</vt:lpwstr>
      </vt:variant>
      <vt:variant>
        <vt:i4>1835061</vt:i4>
      </vt:variant>
      <vt:variant>
        <vt:i4>65</vt:i4>
      </vt:variant>
      <vt:variant>
        <vt:i4>0</vt:i4>
      </vt:variant>
      <vt:variant>
        <vt:i4>5</vt:i4>
      </vt:variant>
      <vt:variant>
        <vt:lpwstr/>
      </vt:variant>
      <vt:variant>
        <vt:lpwstr>_Toc430945545</vt:lpwstr>
      </vt:variant>
      <vt:variant>
        <vt:i4>1835061</vt:i4>
      </vt:variant>
      <vt:variant>
        <vt:i4>59</vt:i4>
      </vt:variant>
      <vt:variant>
        <vt:i4>0</vt:i4>
      </vt:variant>
      <vt:variant>
        <vt:i4>5</vt:i4>
      </vt:variant>
      <vt:variant>
        <vt:lpwstr/>
      </vt:variant>
      <vt:variant>
        <vt:lpwstr>_Toc430945544</vt:lpwstr>
      </vt:variant>
      <vt:variant>
        <vt:i4>1835061</vt:i4>
      </vt:variant>
      <vt:variant>
        <vt:i4>53</vt:i4>
      </vt:variant>
      <vt:variant>
        <vt:i4>0</vt:i4>
      </vt:variant>
      <vt:variant>
        <vt:i4>5</vt:i4>
      </vt:variant>
      <vt:variant>
        <vt:lpwstr/>
      </vt:variant>
      <vt:variant>
        <vt:lpwstr>_Toc430945543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2025-05-02T17:20:00Z</dcterms:created>
  <dcterms:modified xsi:type="dcterms:W3CDTF">2025-05-02T17:30:00Z</dcterms:modified>
</cp:coreProperties>
</file>