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52DD" w14:textId="006C10C6" w:rsidR="00532FBC" w:rsidRPr="00040A74" w:rsidRDefault="00532FBC">
      <w:pPr>
        <w:rPr>
          <w:b/>
          <w:bCs/>
          <w:lang w:val="en-CA"/>
        </w:rPr>
      </w:pPr>
      <w:r w:rsidRPr="00040A74">
        <w:rPr>
          <w:b/>
          <w:bCs/>
          <w:lang w:val="en-CA"/>
        </w:rPr>
        <w:t>Translated from the original French</w:t>
      </w:r>
    </w:p>
    <w:tbl>
      <w:tblPr>
        <w:tblW w:w="9581" w:type="dxa"/>
        <w:tblLayout w:type="fixed"/>
        <w:tblCellMar>
          <w:left w:w="70" w:type="dxa"/>
          <w:right w:w="70" w:type="dxa"/>
        </w:tblCellMar>
        <w:tblLook w:val="0000" w:firstRow="0" w:lastRow="0" w:firstColumn="0" w:lastColumn="0" w:noHBand="0" w:noVBand="0"/>
      </w:tblPr>
      <w:tblGrid>
        <w:gridCol w:w="70"/>
        <w:gridCol w:w="1063"/>
        <w:gridCol w:w="562"/>
        <w:gridCol w:w="148"/>
        <w:gridCol w:w="2410"/>
        <w:gridCol w:w="849"/>
        <w:gridCol w:w="1983"/>
        <w:gridCol w:w="70"/>
        <w:gridCol w:w="2350"/>
        <w:gridCol w:w="70"/>
        <w:gridCol w:w="6"/>
      </w:tblGrid>
      <w:tr w:rsidR="00DF0274" w:rsidRPr="007960A2" w14:paraId="42349DF7" w14:textId="77777777" w:rsidTr="00C96B39">
        <w:trPr>
          <w:gridAfter w:val="2"/>
          <w:wAfter w:w="76" w:type="dxa"/>
          <w:trHeight w:val="360"/>
        </w:trPr>
        <w:tc>
          <w:tcPr>
            <w:tcW w:w="7085" w:type="dxa"/>
            <w:gridSpan w:val="7"/>
          </w:tcPr>
          <w:p w14:paraId="2B705942" w14:textId="65B359E2" w:rsidR="00DF0274" w:rsidRPr="007960A2" w:rsidRDefault="00DF0274" w:rsidP="00DF0274">
            <w:pPr>
              <w:pStyle w:val="zSoquijdatRepertorie"/>
              <w:rPr>
                <w:lang w:val="en-CA"/>
              </w:rPr>
            </w:pPr>
            <w:r>
              <w:rPr>
                <w:rFonts w:cs="Arial"/>
              </w:rPr>
              <w:t>Commission des droits de la personne et des droits de la jeunesse (E.B.) c. 9302-6573 Québec inc. (Bar Lucky 7)</w:t>
            </w:r>
          </w:p>
        </w:tc>
        <w:tc>
          <w:tcPr>
            <w:tcW w:w="2420" w:type="dxa"/>
            <w:gridSpan w:val="2"/>
          </w:tcPr>
          <w:p w14:paraId="101CF6CC" w14:textId="60C67D81" w:rsidR="00DF0274" w:rsidRPr="007960A2" w:rsidRDefault="00DF0274" w:rsidP="00DF0274">
            <w:pPr>
              <w:pStyle w:val="zSoquijdatRefNeutre"/>
              <w:jc w:val="right"/>
              <w:rPr>
                <w:lang w:val="en-CA"/>
              </w:rPr>
            </w:pPr>
            <w:r w:rsidRPr="00A23E18">
              <w:rPr>
                <w:rFonts w:cs="Arial"/>
              </w:rPr>
              <w:t>2024 QCTDP 9</w:t>
            </w:r>
          </w:p>
        </w:tc>
      </w:tr>
      <w:tr w:rsidR="00DF0274" w:rsidRPr="007960A2" w14:paraId="26481E79" w14:textId="77777777" w:rsidTr="00C96B39">
        <w:trPr>
          <w:gridBefore w:val="1"/>
          <w:gridAfter w:val="1"/>
          <w:wBefore w:w="70" w:type="dxa"/>
          <w:wAfter w:w="6" w:type="dxa"/>
          <w:trHeight w:val="360"/>
        </w:trPr>
        <w:tc>
          <w:tcPr>
            <w:tcW w:w="7085" w:type="dxa"/>
            <w:gridSpan w:val="7"/>
          </w:tcPr>
          <w:p w14:paraId="779CECDC" w14:textId="2C8C3255" w:rsidR="00DF0274" w:rsidRPr="007960A2" w:rsidRDefault="00DF0274" w:rsidP="00DF0274">
            <w:pPr>
              <w:pStyle w:val="zSoquijdatRepertorie"/>
              <w:rPr>
                <w:lang w:val="en-CA"/>
              </w:rPr>
            </w:pPr>
          </w:p>
        </w:tc>
        <w:tc>
          <w:tcPr>
            <w:tcW w:w="2420" w:type="dxa"/>
            <w:gridSpan w:val="2"/>
          </w:tcPr>
          <w:p w14:paraId="5A37B5D9" w14:textId="77777777" w:rsidR="00DF0274" w:rsidRPr="007960A2" w:rsidRDefault="00DF0274" w:rsidP="00DF0274">
            <w:pPr>
              <w:pStyle w:val="zSoquijdatRefNeutre"/>
              <w:rPr>
                <w:lang w:val="en-CA"/>
              </w:rPr>
            </w:pPr>
          </w:p>
        </w:tc>
      </w:tr>
      <w:tr w:rsidR="00DF0274" w:rsidRPr="007960A2" w14:paraId="3CC4C8AC" w14:textId="77777777" w:rsidTr="00C96B39">
        <w:trPr>
          <w:gridBefore w:val="1"/>
          <w:gridAfter w:val="1"/>
          <w:wBefore w:w="70" w:type="dxa"/>
          <w:wAfter w:w="6" w:type="dxa"/>
          <w:trHeight w:val="900"/>
        </w:trPr>
        <w:tc>
          <w:tcPr>
            <w:tcW w:w="9505" w:type="dxa"/>
            <w:gridSpan w:val="9"/>
            <w:vAlign w:val="bottom"/>
          </w:tcPr>
          <w:p w14:paraId="37C5DD3A" w14:textId="4FDBFF1C" w:rsidR="00DF0274" w:rsidRPr="007960A2" w:rsidRDefault="00DF0274" w:rsidP="00DF0274">
            <w:pPr>
              <w:pStyle w:val="zSoquijlblCour"/>
              <w:rPr>
                <w:lang w:val="en-CA"/>
              </w:rPr>
            </w:pPr>
            <w:r w:rsidRPr="007960A2">
              <w:rPr>
                <w:lang w:val="en-CA"/>
              </w:rPr>
              <w:t>HUMAN RIGHTS TRIBUNAL</w:t>
            </w:r>
          </w:p>
        </w:tc>
      </w:tr>
      <w:tr w:rsidR="00DF0274" w:rsidRPr="007960A2" w14:paraId="6766E837" w14:textId="77777777" w:rsidTr="00C96B39">
        <w:trPr>
          <w:gridBefore w:val="1"/>
          <w:gridAfter w:val="1"/>
          <w:wBefore w:w="70" w:type="dxa"/>
          <w:wAfter w:w="6" w:type="dxa"/>
          <w:trHeight w:val="540"/>
        </w:trPr>
        <w:tc>
          <w:tcPr>
            <w:tcW w:w="9505" w:type="dxa"/>
            <w:gridSpan w:val="9"/>
          </w:tcPr>
          <w:p w14:paraId="645336B7" w14:textId="77777777" w:rsidR="00DF0274" w:rsidRPr="007960A2" w:rsidRDefault="00DF0274" w:rsidP="00DF0274">
            <w:pPr>
              <w:pStyle w:val="zSoquijdatDivision"/>
              <w:rPr>
                <w:lang w:val="en-CA"/>
              </w:rPr>
            </w:pPr>
          </w:p>
        </w:tc>
      </w:tr>
      <w:tr w:rsidR="00DF0274" w:rsidRPr="007960A2" w14:paraId="55A9DD92" w14:textId="77777777" w:rsidTr="00C96B39">
        <w:trPr>
          <w:gridBefore w:val="1"/>
          <w:gridAfter w:val="1"/>
          <w:wBefore w:w="70" w:type="dxa"/>
          <w:wAfter w:w="6" w:type="dxa"/>
        </w:trPr>
        <w:tc>
          <w:tcPr>
            <w:tcW w:w="9505" w:type="dxa"/>
            <w:gridSpan w:val="9"/>
          </w:tcPr>
          <w:p w14:paraId="71E768BC" w14:textId="58E7ED8B" w:rsidR="00DF0274" w:rsidRPr="007960A2" w:rsidRDefault="00DF0274" w:rsidP="00DF0274">
            <w:pPr>
              <w:pStyle w:val="zSoquijlblPays"/>
              <w:rPr>
                <w:lang w:val="en-CA"/>
              </w:rPr>
            </w:pPr>
            <w:r w:rsidRPr="007960A2">
              <w:rPr>
                <w:lang w:val="en-CA"/>
              </w:rPr>
              <w:t>CANADA</w:t>
            </w:r>
          </w:p>
        </w:tc>
      </w:tr>
      <w:tr w:rsidR="00DF0274" w:rsidRPr="007960A2" w14:paraId="2D2052B4" w14:textId="77777777" w:rsidTr="00C96B39">
        <w:trPr>
          <w:gridBefore w:val="1"/>
          <w:gridAfter w:val="1"/>
          <w:wBefore w:w="70" w:type="dxa"/>
          <w:wAfter w:w="6" w:type="dxa"/>
        </w:trPr>
        <w:tc>
          <w:tcPr>
            <w:tcW w:w="9505" w:type="dxa"/>
            <w:gridSpan w:val="9"/>
          </w:tcPr>
          <w:p w14:paraId="70A60BD1" w14:textId="541EBEAD" w:rsidR="00DF0274" w:rsidRPr="007960A2" w:rsidRDefault="00DF0274" w:rsidP="00DF0274">
            <w:pPr>
              <w:pStyle w:val="zSoquijlblProvince"/>
              <w:rPr>
                <w:lang w:val="en-CA"/>
              </w:rPr>
            </w:pPr>
            <w:r w:rsidRPr="007960A2">
              <w:rPr>
                <w:lang w:val="en-CA"/>
              </w:rPr>
              <w:t>PROVINCE OF QUEBEC</w:t>
            </w:r>
          </w:p>
        </w:tc>
      </w:tr>
      <w:tr w:rsidR="00DF0274" w:rsidRPr="007960A2" w14:paraId="26A62D81" w14:textId="77777777" w:rsidTr="00C96B39">
        <w:tblPrEx>
          <w:tblCellMar>
            <w:left w:w="0" w:type="dxa"/>
            <w:right w:w="0" w:type="dxa"/>
          </w:tblCellMar>
        </w:tblPrEx>
        <w:trPr>
          <w:gridBefore w:val="1"/>
          <w:gridAfter w:val="1"/>
          <w:wBefore w:w="70" w:type="dxa"/>
          <w:wAfter w:w="6" w:type="dxa"/>
          <w:cantSplit/>
        </w:trPr>
        <w:tc>
          <w:tcPr>
            <w:tcW w:w="1625" w:type="dxa"/>
            <w:gridSpan w:val="2"/>
          </w:tcPr>
          <w:p w14:paraId="4C118DF2" w14:textId="3C3AD464" w:rsidR="00DF0274" w:rsidRPr="007960A2" w:rsidRDefault="00DF0274" w:rsidP="00DF0274">
            <w:pPr>
              <w:pStyle w:val="zSoquijlblGreffe"/>
              <w:rPr>
                <w:lang w:val="en-CA"/>
              </w:rPr>
            </w:pPr>
            <w:r w:rsidRPr="007960A2">
              <w:rPr>
                <w:lang w:val="en-CA"/>
              </w:rPr>
              <w:t xml:space="preserve">DISTRICT OF </w:t>
            </w:r>
          </w:p>
        </w:tc>
        <w:tc>
          <w:tcPr>
            <w:tcW w:w="7880" w:type="dxa"/>
            <w:gridSpan w:val="7"/>
          </w:tcPr>
          <w:p w14:paraId="587F4C7D" w14:textId="4310AAD9" w:rsidR="00DF0274" w:rsidRPr="007960A2" w:rsidRDefault="00DF0274" w:rsidP="00DF0274">
            <w:pPr>
              <w:pStyle w:val="zSoquijdatGreffe"/>
              <w:rPr>
                <w:caps/>
                <w:lang w:val="en-CA"/>
              </w:rPr>
            </w:pPr>
            <w:r w:rsidRPr="007960A2">
              <w:rPr>
                <w:caps/>
                <w:lang w:val="en-CA"/>
              </w:rPr>
              <w:t>MONTREAL</w:t>
            </w:r>
          </w:p>
        </w:tc>
      </w:tr>
      <w:tr w:rsidR="00DF0274" w:rsidRPr="007960A2" w14:paraId="55ACC997" w14:textId="77777777" w:rsidTr="00C96B39">
        <w:trPr>
          <w:gridBefore w:val="1"/>
          <w:gridAfter w:val="1"/>
          <w:wBefore w:w="70" w:type="dxa"/>
          <w:wAfter w:w="6" w:type="dxa"/>
          <w:cantSplit/>
          <w:trHeight w:val="235"/>
        </w:trPr>
        <w:tc>
          <w:tcPr>
            <w:tcW w:w="9505" w:type="dxa"/>
            <w:gridSpan w:val="9"/>
          </w:tcPr>
          <w:p w14:paraId="502C7C63" w14:textId="77777777" w:rsidR="00DF0274" w:rsidRPr="007960A2" w:rsidRDefault="00DF0274" w:rsidP="00DF0274">
            <w:pPr>
              <w:rPr>
                <w:lang w:val="en-CA"/>
              </w:rPr>
            </w:pPr>
          </w:p>
        </w:tc>
      </w:tr>
      <w:tr w:rsidR="00DF0274" w:rsidRPr="007960A2" w14:paraId="46E97BEF" w14:textId="77777777" w:rsidTr="00C96B39">
        <w:trPr>
          <w:gridBefore w:val="1"/>
          <w:gridAfter w:val="1"/>
          <w:wBefore w:w="70" w:type="dxa"/>
          <w:wAfter w:w="6" w:type="dxa"/>
        </w:trPr>
        <w:tc>
          <w:tcPr>
            <w:tcW w:w="1063" w:type="dxa"/>
          </w:tcPr>
          <w:p w14:paraId="60BE87B6" w14:textId="3593564E" w:rsidR="00DF0274" w:rsidRPr="007960A2" w:rsidRDefault="00DF0274" w:rsidP="00DF0274">
            <w:pPr>
              <w:pStyle w:val="zSoquijlblNoDossier"/>
              <w:rPr>
                <w:lang w:val="en-CA"/>
              </w:rPr>
            </w:pPr>
            <w:r w:rsidRPr="007960A2">
              <w:rPr>
                <w:lang w:val="en-CA"/>
              </w:rPr>
              <w:t>No.:</w:t>
            </w:r>
          </w:p>
        </w:tc>
        <w:tc>
          <w:tcPr>
            <w:tcW w:w="8442" w:type="dxa"/>
            <w:gridSpan w:val="8"/>
          </w:tcPr>
          <w:p w14:paraId="08693380" w14:textId="77777777" w:rsidR="00DF0274" w:rsidRPr="007960A2" w:rsidRDefault="00DF0274" w:rsidP="00DF0274">
            <w:pPr>
              <w:pStyle w:val="zSoquijdatNoDossier"/>
              <w:rPr>
                <w:lang w:val="en-CA"/>
              </w:rPr>
            </w:pPr>
            <w:r w:rsidRPr="007960A2">
              <w:rPr>
                <w:lang w:val="en-CA"/>
              </w:rPr>
              <w:t>500-53-000603-215</w:t>
            </w:r>
          </w:p>
        </w:tc>
      </w:tr>
      <w:tr w:rsidR="00DF0274" w:rsidRPr="007960A2" w14:paraId="05B53181" w14:textId="77777777" w:rsidTr="00C96B39">
        <w:trPr>
          <w:gridBefore w:val="1"/>
          <w:gridAfter w:val="1"/>
          <w:wBefore w:w="70" w:type="dxa"/>
          <w:wAfter w:w="6" w:type="dxa"/>
          <w:cantSplit/>
          <w:trHeight w:val="235"/>
        </w:trPr>
        <w:tc>
          <w:tcPr>
            <w:tcW w:w="9505" w:type="dxa"/>
            <w:gridSpan w:val="9"/>
          </w:tcPr>
          <w:p w14:paraId="06444FC7" w14:textId="77777777" w:rsidR="00DF0274" w:rsidRPr="007960A2" w:rsidRDefault="00DF0274" w:rsidP="00DF0274">
            <w:pPr>
              <w:rPr>
                <w:lang w:val="en-CA"/>
              </w:rPr>
            </w:pPr>
          </w:p>
        </w:tc>
      </w:tr>
      <w:tr w:rsidR="00DF0274" w:rsidRPr="007960A2" w14:paraId="4D85DBC7" w14:textId="77777777" w:rsidTr="00C96B39">
        <w:trPr>
          <w:gridBefore w:val="1"/>
          <w:gridAfter w:val="1"/>
          <w:wBefore w:w="70" w:type="dxa"/>
          <w:wAfter w:w="6" w:type="dxa"/>
        </w:trPr>
        <w:tc>
          <w:tcPr>
            <w:tcW w:w="1063" w:type="dxa"/>
          </w:tcPr>
          <w:p w14:paraId="1338DBC9" w14:textId="103D15EF" w:rsidR="00DF0274" w:rsidRPr="007960A2" w:rsidRDefault="00DF0274" w:rsidP="00DF0274">
            <w:pPr>
              <w:pStyle w:val="zSoquijlblDateJugement"/>
              <w:rPr>
                <w:lang w:val="en-CA"/>
              </w:rPr>
            </w:pPr>
            <w:r w:rsidRPr="007960A2">
              <w:rPr>
                <w:lang w:val="en-CA"/>
              </w:rPr>
              <w:t>DATE:</w:t>
            </w:r>
          </w:p>
        </w:tc>
        <w:tc>
          <w:tcPr>
            <w:tcW w:w="8442" w:type="dxa"/>
            <w:gridSpan w:val="8"/>
          </w:tcPr>
          <w:p w14:paraId="07547129" w14:textId="32457277" w:rsidR="00DF0274" w:rsidRPr="007960A2" w:rsidRDefault="00DF0274" w:rsidP="00DF0274">
            <w:pPr>
              <w:pStyle w:val="zSoquijdatDateJugement"/>
              <w:rPr>
                <w:lang w:val="en-CA"/>
              </w:rPr>
            </w:pPr>
            <w:r w:rsidRPr="007960A2">
              <w:rPr>
                <w:lang w:val="en-CA"/>
              </w:rPr>
              <w:t>June 10, 2024</w:t>
            </w:r>
          </w:p>
        </w:tc>
      </w:tr>
      <w:tr w:rsidR="00DF0274" w:rsidRPr="007960A2" w14:paraId="67F8D575" w14:textId="77777777" w:rsidTr="00C96B39">
        <w:trPr>
          <w:gridBefore w:val="1"/>
          <w:gridAfter w:val="1"/>
          <w:wBefore w:w="70" w:type="dxa"/>
          <w:wAfter w:w="6" w:type="dxa"/>
        </w:trPr>
        <w:tc>
          <w:tcPr>
            <w:tcW w:w="9505" w:type="dxa"/>
            <w:gridSpan w:val="9"/>
          </w:tcPr>
          <w:p w14:paraId="234D4FBD" w14:textId="77777777" w:rsidR="00DF0274" w:rsidRPr="007960A2" w:rsidRDefault="00DF0274" w:rsidP="00DF0274">
            <w:pPr>
              <w:ind w:left="14" w:right="-67"/>
              <w:rPr>
                <w:lang w:val="en-CA"/>
              </w:rPr>
            </w:pPr>
            <w:r w:rsidRPr="007960A2">
              <w:rPr>
                <w:lang w:val="en-CA"/>
              </w:rPr>
              <w:t>______________________________________________________________________</w:t>
            </w:r>
          </w:p>
        </w:tc>
      </w:tr>
      <w:tr w:rsidR="00DF0274" w:rsidRPr="007960A2" w14:paraId="3CE21B07" w14:textId="77777777" w:rsidTr="00C96B39">
        <w:trPr>
          <w:gridBefore w:val="1"/>
          <w:gridAfter w:val="1"/>
          <w:wBefore w:w="70" w:type="dxa"/>
          <w:wAfter w:w="6" w:type="dxa"/>
        </w:trPr>
        <w:tc>
          <w:tcPr>
            <w:tcW w:w="9505" w:type="dxa"/>
            <w:gridSpan w:val="9"/>
          </w:tcPr>
          <w:p w14:paraId="5021D480" w14:textId="77777777" w:rsidR="00DF0274" w:rsidRPr="007960A2" w:rsidRDefault="00DF0274" w:rsidP="00DF0274">
            <w:pPr>
              <w:rPr>
                <w:lang w:val="en-CA"/>
              </w:rPr>
            </w:pPr>
          </w:p>
        </w:tc>
      </w:tr>
      <w:tr w:rsidR="00DF0274" w:rsidRPr="00DA71F1" w14:paraId="395C470D" w14:textId="77777777" w:rsidTr="009A2EED">
        <w:tblPrEx>
          <w:tblCellMar>
            <w:left w:w="0" w:type="dxa"/>
            <w:right w:w="0" w:type="dxa"/>
          </w:tblCellMar>
        </w:tblPrEx>
        <w:trPr>
          <w:gridBefore w:val="1"/>
          <w:wBefore w:w="70" w:type="dxa"/>
        </w:trPr>
        <w:tc>
          <w:tcPr>
            <w:tcW w:w="1773" w:type="dxa"/>
            <w:gridSpan w:val="3"/>
          </w:tcPr>
          <w:p w14:paraId="49339DEE" w14:textId="4DDA04FB" w:rsidR="00DF0274" w:rsidRPr="007960A2" w:rsidRDefault="00DF0274" w:rsidP="00DF0274">
            <w:pPr>
              <w:pStyle w:val="zSoquijlblJuge"/>
              <w:rPr>
                <w:lang w:val="en-CA"/>
              </w:rPr>
            </w:pPr>
            <w:r w:rsidRPr="007960A2">
              <w:rPr>
                <w:lang w:val="en-CA"/>
              </w:rPr>
              <w:t>PRESIDING:</w:t>
            </w:r>
          </w:p>
        </w:tc>
        <w:tc>
          <w:tcPr>
            <w:tcW w:w="2410" w:type="dxa"/>
          </w:tcPr>
          <w:p w14:paraId="5C3E8AC0" w14:textId="09D24681" w:rsidR="00DF0274" w:rsidRPr="007960A2" w:rsidRDefault="00DF0274" w:rsidP="00DF0274">
            <w:pPr>
              <w:pStyle w:val="zSoquijdatQteJuge"/>
              <w:rPr>
                <w:lang w:val="en-CA"/>
              </w:rPr>
            </w:pPr>
            <w:r w:rsidRPr="007960A2">
              <w:rPr>
                <w:lang w:val="en-CA"/>
              </w:rPr>
              <w:t xml:space="preserve">THE HONOURABLE </w:t>
            </w:r>
          </w:p>
        </w:tc>
        <w:tc>
          <w:tcPr>
            <w:tcW w:w="5328" w:type="dxa"/>
            <w:gridSpan w:val="6"/>
          </w:tcPr>
          <w:p w14:paraId="665DD90A" w14:textId="649F9A2E" w:rsidR="00DF0274" w:rsidRPr="007960A2" w:rsidRDefault="00DF0274" w:rsidP="00DF0274">
            <w:pPr>
              <w:pStyle w:val="zSoquijdatJuge"/>
              <w:ind w:left="0"/>
              <w:rPr>
                <w:lang w:val="en-CA"/>
              </w:rPr>
            </w:pPr>
            <w:r w:rsidRPr="007960A2">
              <w:rPr>
                <w:lang w:val="en-CA"/>
              </w:rPr>
              <w:t>CATHERINE PILON, J.C.Q.</w:t>
            </w:r>
          </w:p>
        </w:tc>
      </w:tr>
      <w:tr w:rsidR="00DF0274" w:rsidRPr="007960A2" w14:paraId="3C179056" w14:textId="77777777" w:rsidTr="00C96B39">
        <w:trPr>
          <w:gridBefore w:val="1"/>
          <w:gridAfter w:val="1"/>
          <w:wBefore w:w="70" w:type="dxa"/>
          <w:wAfter w:w="6" w:type="dxa"/>
        </w:trPr>
        <w:tc>
          <w:tcPr>
            <w:tcW w:w="5032" w:type="dxa"/>
            <w:gridSpan w:val="5"/>
            <w:vAlign w:val="center"/>
          </w:tcPr>
          <w:p w14:paraId="241E7F36" w14:textId="1FC551E2" w:rsidR="00DF0274" w:rsidRPr="007960A2" w:rsidRDefault="00DF0274" w:rsidP="00DF0274">
            <w:pPr>
              <w:pStyle w:val="zSoquijlblAssesseurs"/>
              <w:rPr>
                <w:b/>
                <w:bCs/>
                <w:sz w:val="23"/>
                <w:szCs w:val="23"/>
                <w:lang w:val="en-CA"/>
              </w:rPr>
            </w:pPr>
            <w:r w:rsidRPr="007960A2">
              <w:rPr>
                <w:sz w:val="23"/>
                <w:szCs w:val="23"/>
                <w:lang w:val="en-CA"/>
              </w:rPr>
              <w:t>WITH THE ASSISTANCE OF ASSESSORS:</w:t>
            </w:r>
          </w:p>
        </w:tc>
        <w:tc>
          <w:tcPr>
            <w:tcW w:w="4473" w:type="dxa"/>
            <w:gridSpan w:val="4"/>
            <w:vAlign w:val="center"/>
          </w:tcPr>
          <w:p w14:paraId="41030B04" w14:textId="77777777" w:rsidR="00DF0274" w:rsidRPr="007960A2" w:rsidRDefault="00DF0274" w:rsidP="00DF0274">
            <w:pPr>
              <w:pStyle w:val="zSoquijdatAssesseurs"/>
              <w:rPr>
                <w:lang w:val="en-CA"/>
              </w:rPr>
            </w:pPr>
          </w:p>
          <w:p w14:paraId="2CCA6E79" w14:textId="73E29333" w:rsidR="00DF0274" w:rsidRPr="00CD23D1" w:rsidRDefault="00DF0274" w:rsidP="00DF0274">
            <w:pPr>
              <w:pStyle w:val="zSoquijdatAssesseurs"/>
            </w:pPr>
            <w:r w:rsidRPr="00CD23D1">
              <w:t>Mtre Marie-Josée Paiement</w:t>
            </w:r>
          </w:p>
          <w:p w14:paraId="6CFCDF83" w14:textId="7186E106" w:rsidR="00DF0274" w:rsidRPr="00CD23D1" w:rsidRDefault="00DF0274" w:rsidP="00DF0274">
            <w:pPr>
              <w:pStyle w:val="zSoquijdatAssesseurs"/>
            </w:pPr>
            <w:r w:rsidRPr="00CD23D1">
              <w:t>Mtre Myriam Paris-Boukdjadja</w:t>
            </w:r>
          </w:p>
        </w:tc>
      </w:tr>
      <w:tr w:rsidR="00DF0274" w:rsidRPr="007960A2" w14:paraId="4A72A2DA" w14:textId="77777777" w:rsidTr="00C96B39">
        <w:trPr>
          <w:gridBefore w:val="1"/>
          <w:gridAfter w:val="1"/>
          <w:wBefore w:w="70" w:type="dxa"/>
          <w:wAfter w:w="6" w:type="dxa"/>
        </w:trPr>
        <w:tc>
          <w:tcPr>
            <w:tcW w:w="9505" w:type="dxa"/>
            <w:gridSpan w:val="9"/>
          </w:tcPr>
          <w:p w14:paraId="6F0914DF" w14:textId="77777777" w:rsidR="00DF0274" w:rsidRPr="007960A2" w:rsidRDefault="00DF0274" w:rsidP="00DF0274">
            <w:pPr>
              <w:ind w:left="14" w:right="-67"/>
              <w:rPr>
                <w:lang w:val="en-CA"/>
              </w:rPr>
            </w:pPr>
            <w:r w:rsidRPr="007960A2">
              <w:rPr>
                <w:lang w:val="en-CA"/>
              </w:rPr>
              <w:t>______________________________________________________________________</w:t>
            </w:r>
          </w:p>
        </w:tc>
      </w:tr>
      <w:tr w:rsidR="00DF0274" w:rsidRPr="007960A2" w14:paraId="2EE839D7" w14:textId="77777777" w:rsidTr="00C96B39">
        <w:trPr>
          <w:gridBefore w:val="1"/>
          <w:gridAfter w:val="1"/>
          <w:wBefore w:w="70" w:type="dxa"/>
          <w:wAfter w:w="6" w:type="dxa"/>
        </w:trPr>
        <w:tc>
          <w:tcPr>
            <w:tcW w:w="9505" w:type="dxa"/>
            <w:gridSpan w:val="9"/>
          </w:tcPr>
          <w:p w14:paraId="2ADE5824" w14:textId="77777777" w:rsidR="00DF0274" w:rsidRPr="007960A2" w:rsidRDefault="00DF0274" w:rsidP="00DF0274">
            <w:pPr>
              <w:pStyle w:val="zSoquijlblTitrePartie"/>
              <w:rPr>
                <w:lang w:val="en-CA"/>
              </w:rPr>
            </w:pPr>
          </w:p>
        </w:tc>
      </w:tr>
      <w:tr w:rsidR="00DF0274" w:rsidRPr="007960A2" w14:paraId="77C24C1E" w14:textId="77777777" w:rsidTr="00C96B39">
        <w:trPr>
          <w:gridBefore w:val="1"/>
          <w:gridAfter w:val="1"/>
          <w:wBefore w:w="70" w:type="dxa"/>
          <w:wAfter w:w="6" w:type="dxa"/>
        </w:trPr>
        <w:tc>
          <w:tcPr>
            <w:tcW w:w="9505" w:type="dxa"/>
            <w:gridSpan w:val="9"/>
          </w:tcPr>
          <w:p w14:paraId="1DFFC200" w14:textId="77777777" w:rsidR="00DF0274" w:rsidRPr="007960A2" w:rsidRDefault="00DF0274" w:rsidP="00DF0274">
            <w:pPr>
              <w:rPr>
                <w:lang w:val="en-CA"/>
              </w:rPr>
            </w:pPr>
          </w:p>
        </w:tc>
      </w:tr>
      <w:tr w:rsidR="00DF0274" w:rsidRPr="007960A2" w14:paraId="37628105" w14:textId="77777777" w:rsidTr="00C96B39">
        <w:trPr>
          <w:gridBefore w:val="1"/>
          <w:gridAfter w:val="1"/>
          <w:wBefore w:w="70" w:type="dxa"/>
          <w:wAfter w:w="6" w:type="dxa"/>
        </w:trPr>
        <w:tc>
          <w:tcPr>
            <w:tcW w:w="9505" w:type="dxa"/>
            <w:gridSpan w:val="9"/>
          </w:tcPr>
          <w:p w14:paraId="73EF1E18" w14:textId="0F1AE1CB" w:rsidR="00DF0274" w:rsidRPr="00F57A2B" w:rsidRDefault="00DF0274" w:rsidP="00DF0274">
            <w:pPr>
              <w:pStyle w:val="zSoquijdatNomPartieDem"/>
              <w:jc w:val="both"/>
              <w:rPr>
                <w:b w:val="0"/>
              </w:rPr>
            </w:pPr>
            <w:r w:rsidRPr="00F57A2B">
              <w:t>COMMISSION DES DROITS DE LA PERSONNE ET DES DROITS DE LA JEUNESSE</w:t>
            </w:r>
            <w:r w:rsidRPr="00F57A2B">
              <w:rPr>
                <w:b w:val="0"/>
              </w:rPr>
              <w:t>, acting in the public interest and on behalf of E.B.</w:t>
            </w:r>
          </w:p>
        </w:tc>
      </w:tr>
      <w:tr w:rsidR="00DF0274" w:rsidRPr="007960A2" w14:paraId="67A8E4FA" w14:textId="77777777" w:rsidTr="00C96B39">
        <w:trPr>
          <w:gridBefore w:val="1"/>
          <w:gridAfter w:val="1"/>
          <w:wBefore w:w="70" w:type="dxa"/>
          <w:wAfter w:w="6" w:type="dxa"/>
        </w:trPr>
        <w:tc>
          <w:tcPr>
            <w:tcW w:w="9505" w:type="dxa"/>
            <w:gridSpan w:val="9"/>
          </w:tcPr>
          <w:p w14:paraId="58FC71DC" w14:textId="3D561D5A" w:rsidR="00DF0274" w:rsidRPr="007960A2" w:rsidRDefault="00DF0274" w:rsidP="00DF0274">
            <w:pPr>
              <w:pStyle w:val="zSoquijdatQtePartieDem"/>
              <w:rPr>
                <w:lang w:val="en-CA"/>
              </w:rPr>
            </w:pPr>
            <w:r w:rsidRPr="007960A2">
              <w:rPr>
                <w:lang w:val="en-CA"/>
              </w:rPr>
              <w:t>Plaintiff</w:t>
            </w:r>
          </w:p>
        </w:tc>
      </w:tr>
      <w:tr w:rsidR="00DF0274" w:rsidRPr="007960A2" w14:paraId="2932BFE8" w14:textId="77777777" w:rsidTr="00C96B39">
        <w:trPr>
          <w:gridBefore w:val="1"/>
          <w:gridAfter w:val="1"/>
          <w:wBefore w:w="70" w:type="dxa"/>
          <w:wAfter w:w="6" w:type="dxa"/>
        </w:trPr>
        <w:tc>
          <w:tcPr>
            <w:tcW w:w="9505" w:type="dxa"/>
            <w:gridSpan w:val="9"/>
          </w:tcPr>
          <w:p w14:paraId="556545C7" w14:textId="37C55004" w:rsidR="00DF0274" w:rsidRPr="007960A2" w:rsidRDefault="00DF0274" w:rsidP="00DF0274">
            <w:pPr>
              <w:pStyle w:val="zSoquijlblLienParties"/>
              <w:rPr>
                <w:lang w:val="en-CA"/>
              </w:rPr>
            </w:pPr>
            <w:r w:rsidRPr="007960A2">
              <w:rPr>
                <w:lang w:val="en-CA"/>
              </w:rPr>
              <w:t>v.</w:t>
            </w:r>
          </w:p>
        </w:tc>
      </w:tr>
      <w:tr w:rsidR="00DF0274" w:rsidRPr="007960A2" w14:paraId="5AD87486" w14:textId="77777777" w:rsidTr="00C96B39">
        <w:trPr>
          <w:gridBefore w:val="1"/>
          <w:gridAfter w:val="1"/>
          <w:wBefore w:w="70" w:type="dxa"/>
          <w:wAfter w:w="6" w:type="dxa"/>
        </w:trPr>
        <w:tc>
          <w:tcPr>
            <w:tcW w:w="9505" w:type="dxa"/>
            <w:gridSpan w:val="9"/>
          </w:tcPr>
          <w:p w14:paraId="1AF8EE3E" w14:textId="12313B21" w:rsidR="00DF0274" w:rsidRPr="007960A2" w:rsidRDefault="00DF0274" w:rsidP="00DF0274">
            <w:pPr>
              <w:pStyle w:val="zSoquijdatNomPartieDef"/>
              <w:jc w:val="both"/>
              <w:rPr>
                <w:caps/>
                <w:lang w:val="en-CA"/>
              </w:rPr>
            </w:pPr>
            <w:r w:rsidRPr="007960A2">
              <w:rPr>
                <w:caps/>
                <w:lang w:val="en-CA"/>
              </w:rPr>
              <w:t>9302-6573 QUÉBEC INC. “BAR LUCKY 7”</w:t>
            </w:r>
          </w:p>
        </w:tc>
      </w:tr>
      <w:tr w:rsidR="00DF0274" w:rsidRPr="007960A2" w14:paraId="0758861D" w14:textId="77777777" w:rsidTr="00C96B39">
        <w:trPr>
          <w:gridBefore w:val="1"/>
          <w:gridAfter w:val="1"/>
          <w:wBefore w:w="70" w:type="dxa"/>
          <w:wAfter w:w="6" w:type="dxa"/>
        </w:trPr>
        <w:tc>
          <w:tcPr>
            <w:tcW w:w="9505" w:type="dxa"/>
            <w:gridSpan w:val="9"/>
          </w:tcPr>
          <w:p w14:paraId="3CFB14C4" w14:textId="38B702D0" w:rsidR="00DF0274" w:rsidRPr="007960A2" w:rsidRDefault="00DF0274" w:rsidP="00DF0274">
            <w:pPr>
              <w:pStyle w:val="zSoquijdatNomPartieDef"/>
              <w:rPr>
                <w:b w:val="0"/>
                <w:lang w:val="en-CA"/>
              </w:rPr>
            </w:pPr>
            <w:r w:rsidRPr="007960A2">
              <w:rPr>
                <w:b w:val="0"/>
                <w:lang w:val="en-CA"/>
              </w:rPr>
              <w:t>-and-</w:t>
            </w:r>
          </w:p>
        </w:tc>
      </w:tr>
      <w:tr w:rsidR="00DF0274" w:rsidRPr="007960A2" w14:paraId="101CE649" w14:textId="77777777" w:rsidTr="00C96B39">
        <w:trPr>
          <w:gridBefore w:val="1"/>
          <w:gridAfter w:val="1"/>
          <w:wBefore w:w="70" w:type="dxa"/>
          <w:wAfter w:w="6" w:type="dxa"/>
        </w:trPr>
        <w:tc>
          <w:tcPr>
            <w:tcW w:w="9505" w:type="dxa"/>
            <w:gridSpan w:val="9"/>
          </w:tcPr>
          <w:p w14:paraId="6A1DB104" w14:textId="77777777" w:rsidR="00DF0274" w:rsidRPr="007960A2" w:rsidRDefault="00DF0274" w:rsidP="00DF0274">
            <w:pPr>
              <w:pStyle w:val="zSoquijdatNomPartieDef"/>
              <w:rPr>
                <w:lang w:val="en-CA"/>
              </w:rPr>
            </w:pPr>
            <w:r w:rsidRPr="007960A2">
              <w:rPr>
                <w:lang w:val="en-CA"/>
              </w:rPr>
              <w:t>SAYEED AHMED SIKDER</w:t>
            </w:r>
          </w:p>
        </w:tc>
      </w:tr>
      <w:tr w:rsidR="00DF0274" w:rsidRPr="007960A2" w14:paraId="0AC79D55" w14:textId="77777777" w:rsidTr="00C96B39">
        <w:trPr>
          <w:gridBefore w:val="1"/>
          <w:gridAfter w:val="1"/>
          <w:wBefore w:w="70" w:type="dxa"/>
          <w:wAfter w:w="6" w:type="dxa"/>
        </w:trPr>
        <w:tc>
          <w:tcPr>
            <w:tcW w:w="9505" w:type="dxa"/>
            <w:gridSpan w:val="9"/>
          </w:tcPr>
          <w:p w14:paraId="3FBB2D5A" w14:textId="31ABFA55" w:rsidR="00DF0274" w:rsidRPr="007960A2" w:rsidRDefault="00DF0274" w:rsidP="00DF0274">
            <w:pPr>
              <w:pStyle w:val="zSoquijdatQtePartieDef"/>
              <w:rPr>
                <w:lang w:val="en-CA"/>
              </w:rPr>
            </w:pPr>
            <w:r w:rsidRPr="007960A2">
              <w:rPr>
                <w:lang w:val="en-CA"/>
              </w:rPr>
              <w:t>Defendants</w:t>
            </w:r>
          </w:p>
        </w:tc>
      </w:tr>
      <w:tr w:rsidR="00DF0274" w:rsidRPr="007960A2" w14:paraId="30960103" w14:textId="77777777" w:rsidTr="00C96B39">
        <w:trPr>
          <w:gridBefore w:val="1"/>
          <w:gridAfter w:val="1"/>
          <w:wBefore w:w="70" w:type="dxa"/>
          <w:wAfter w:w="6" w:type="dxa"/>
        </w:trPr>
        <w:tc>
          <w:tcPr>
            <w:tcW w:w="9505" w:type="dxa"/>
            <w:gridSpan w:val="9"/>
          </w:tcPr>
          <w:p w14:paraId="26EB6BDF" w14:textId="2336B8C9" w:rsidR="00DF0274" w:rsidRPr="007960A2" w:rsidRDefault="00DF0274" w:rsidP="00DF0274">
            <w:pPr>
              <w:pStyle w:val="zSoquijdatQtePartieDef"/>
              <w:ind w:left="0"/>
              <w:rPr>
                <w:lang w:val="en-CA"/>
              </w:rPr>
            </w:pPr>
            <w:r w:rsidRPr="007960A2">
              <w:rPr>
                <w:lang w:val="en-CA"/>
              </w:rPr>
              <w:t>-and-</w:t>
            </w:r>
          </w:p>
        </w:tc>
      </w:tr>
      <w:tr w:rsidR="00DF0274" w:rsidRPr="007960A2" w14:paraId="07EE4DE2" w14:textId="77777777" w:rsidTr="00C96B39">
        <w:trPr>
          <w:gridBefore w:val="1"/>
          <w:gridAfter w:val="1"/>
          <w:wBefore w:w="70" w:type="dxa"/>
          <w:wAfter w:w="6" w:type="dxa"/>
        </w:trPr>
        <w:tc>
          <w:tcPr>
            <w:tcW w:w="9505" w:type="dxa"/>
            <w:gridSpan w:val="9"/>
          </w:tcPr>
          <w:p w14:paraId="05B19002" w14:textId="77777777" w:rsidR="00DF0274" w:rsidRPr="007960A2" w:rsidRDefault="00DF0274" w:rsidP="00DF0274">
            <w:pPr>
              <w:pStyle w:val="zSoquijdatQtePartieDef"/>
              <w:ind w:left="0"/>
              <w:rPr>
                <w:b/>
                <w:lang w:val="en-CA"/>
              </w:rPr>
            </w:pPr>
            <w:r w:rsidRPr="007960A2">
              <w:rPr>
                <w:b/>
                <w:caps/>
                <w:lang w:val="en-CA"/>
              </w:rPr>
              <w:t>E.B.</w:t>
            </w:r>
            <w:r w:rsidRPr="007960A2">
              <w:rPr>
                <w:rStyle w:val="Appelnotedebasdep"/>
                <w:b/>
                <w:caps/>
                <w:lang w:val="en-CA"/>
              </w:rPr>
              <w:footnoteReference w:id="1"/>
            </w:r>
          </w:p>
        </w:tc>
      </w:tr>
      <w:tr w:rsidR="00DF0274" w:rsidRPr="007960A2" w14:paraId="016D1718" w14:textId="77777777" w:rsidTr="00C96B39">
        <w:trPr>
          <w:gridBefore w:val="1"/>
          <w:gridAfter w:val="1"/>
          <w:wBefore w:w="70" w:type="dxa"/>
          <w:wAfter w:w="6" w:type="dxa"/>
        </w:trPr>
        <w:tc>
          <w:tcPr>
            <w:tcW w:w="9505" w:type="dxa"/>
            <w:gridSpan w:val="9"/>
          </w:tcPr>
          <w:p w14:paraId="5C2E9092" w14:textId="0E1525E8" w:rsidR="00DF0274" w:rsidRPr="007960A2" w:rsidRDefault="00DF0274" w:rsidP="00DF0274">
            <w:pPr>
              <w:pStyle w:val="zSoquijdatQtePartieDef"/>
              <w:ind w:left="734"/>
              <w:rPr>
                <w:lang w:val="en-CA"/>
              </w:rPr>
            </w:pPr>
            <w:r w:rsidRPr="007960A2">
              <w:rPr>
                <w:lang w:val="en-CA"/>
              </w:rPr>
              <w:t>Alleged victim and complainant</w:t>
            </w:r>
          </w:p>
        </w:tc>
      </w:tr>
      <w:tr w:rsidR="00DF0274" w:rsidRPr="007960A2" w14:paraId="2F2EA0B7" w14:textId="77777777" w:rsidTr="00C96B39">
        <w:trPr>
          <w:gridBefore w:val="1"/>
          <w:gridAfter w:val="1"/>
          <w:wBefore w:w="70" w:type="dxa"/>
          <w:wAfter w:w="6" w:type="dxa"/>
        </w:trPr>
        <w:tc>
          <w:tcPr>
            <w:tcW w:w="9505" w:type="dxa"/>
            <w:gridSpan w:val="9"/>
          </w:tcPr>
          <w:p w14:paraId="511BB654" w14:textId="77777777" w:rsidR="00DF0274" w:rsidRPr="007960A2" w:rsidRDefault="00DF0274" w:rsidP="00DF0274">
            <w:pPr>
              <w:ind w:left="14" w:right="-95"/>
              <w:rPr>
                <w:lang w:val="en-CA"/>
              </w:rPr>
            </w:pPr>
            <w:r w:rsidRPr="007960A2">
              <w:rPr>
                <w:lang w:val="en-CA"/>
              </w:rPr>
              <w:t>______________________________________________________________________</w:t>
            </w:r>
          </w:p>
        </w:tc>
      </w:tr>
      <w:tr w:rsidR="00DF0274" w:rsidRPr="007960A2" w14:paraId="487BA4C0" w14:textId="77777777" w:rsidTr="00C96B39">
        <w:trPr>
          <w:gridBefore w:val="1"/>
          <w:gridAfter w:val="1"/>
          <w:wBefore w:w="70" w:type="dxa"/>
          <w:wAfter w:w="6" w:type="dxa"/>
        </w:trPr>
        <w:tc>
          <w:tcPr>
            <w:tcW w:w="9505" w:type="dxa"/>
            <w:gridSpan w:val="9"/>
          </w:tcPr>
          <w:p w14:paraId="2AD85683" w14:textId="77777777" w:rsidR="00DF0274" w:rsidRPr="007960A2" w:rsidRDefault="00DF0274" w:rsidP="00DF0274">
            <w:pPr>
              <w:jc w:val="center"/>
              <w:rPr>
                <w:lang w:val="en-CA"/>
              </w:rPr>
            </w:pPr>
          </w:p>
        </w:tc>
      </w:tr>
      <w:tr w:rsidR="00DF0274" w:rsidRPr="007960A2" w14:paraId="3207306B" w14:textId="77777777" w:rsidTr="00C96B39">
        <w:trPr>
          <w:gridBefore w:val="1"/>
          <w:gridAfter w:val="1"/>
          <w:wBefore w:w="70" w:type="dxa"/>
          <w:wAfter w:w="6" w:type="dxa"/>
        </w:trPr>
        <w:tc>
          <w:tcPr>
            <w:tcW w:w="9505" w:type="dxa"/>
            <w:gridSpan w:val="9"/>
          </w:tcPr>
          <w:p w14:paraId="4A6C2654" w14:textId="4E16DF79" w:rsidR="00DF0274" w:rsidRPr="007960A2" w:rsidRDefault="00DF0274" w:rsidP="00DF0274">
            <w:pPr>
              <w:pStyle w:val="zSoquijlblTypeDocument"/>
              <w:rPr>
                <w:lang w:val="en-CA"/>
              </w:rPr>
            </w:pPr>
            <w:r w:rsidRPr="007960A2">
              <w:rPr>
                <w:lang w:val="en-CA"/>
              </w:rPr>
              <w:t>JUDGMENT</w:t>
            </w:r>
          </w:p>
        </w:tc>
      </w:tr>
      <w:tr w:rsidR="00DF0274" w:rsidRPr="007960A2" w14:paraId="2449C1A9" w14:textId="77777777" w:rsidTr="00C96B39">
        <w:trPr>
          <w:gridBefore w:val="1"/>
          <w:gridAfter w:val="1"/>
          <w:wBefore w:w="70" w:type="dxa"/>
          <w:wAfter w:w="6" w:type="dxa"/>
        </w:trPr>
        <w:tc>
          <w:tcPr>
            <w:tcW w:w="9505" w:type="dxa"/>
            <w:gridSpan w:val="9"/>
          </w:tcPr>
          <w:p w14:paraId="58D952C9" w14:textId="77777777" w:rsidR="00DF0274" w:rsidRPr="007960A2" w:rsidRDefault="00DF0274" w:rsidP="00DF0274">
            <w:pPr>
              <w:ind w:left="14" w:right="-70"/>
              <w:rPr>
                <w:lang w:val="en-CA"/>
              </w:rPr>
            </w:pPr>
            <w:r w:rsidRPr="007960A2">
              <w:rPr>
                <w:lang w:val="en-CA"/>
              </w:rPr>
              <w:t>______________________________________________________________________</w:t>
            </w:r>
          </w:p>
        </w:tc>
      </w:tr>
    </w:tbl>
    <w:p w14:paraId="3C9745AA" w14:textId="77777777" w:rsidR="00E676AD" w:rsidRPr="007960A2" w:rsidRDefault="00E676AD" w:rsidP="00E676AD">
      <w:pPr>
        <w:pStyle w:val="Paragraphe"/>
      </w:pPr>
    </w:p>
    <w:p w14:paraId="1258595C" w14:textId="24ED0B43" w:rsidR="00E676AD" w:rsidRPr="007960A2" w:rsidRDefault="00532FBC" w:rsidP="00E676AD">
      <w:pPr>
        <w:pStyle w:val="Paragraphe"/>
        <w:numPr>
          <w:ilvl w:val="0"/>
          <w:numId w:val="1"/>
        </w:numPr>
        <w:tabs>
          <w:tab w:val="clear" w:pos="2629"/>
          <w:tab w:val="num" w:pos="567"/>
          <w:tab w:val="num" w:pos="2203"/>
        </w:tabs>
        <w:ind w:left="0"/>
      </w:pPr>
      <w:r w:rsidRPr="007960A2">
        <w:lastRenderedPageBreak/>
        <w:t>The Commission des droits de la personne et des droits de la jeunesse (CDPDJ) is acting in the public interest and on behalf of the alleged victim and complainant, E.B.</w:t>
      </w:r>
    </w:p>
    <w:p w14:paraId="6268E6A7" w14:textId="6FA3AAED" w:rsidR="00C96B39" w:rsidRPr="007960A2" w:rsidRDefault="009A2EED" w:rsidP="00E45AF5">
      <w:pPr>
        <w:pStyle w:val="Paragraphe"/>
        <w:numPr>
          <w:ilvl w:val="0"/>
          <w:numId w:val="1"/>
        </w:numPr>
        <w:tabs>
          <w:tab w:val="clear" w:pos="2629"/>
        </w:tabs>
        <w:ind w:left="0"/>
      </w:pPr>
      <w:r w:rsidRPr="007960A2">
        <w:t>E.B. identifies as a trans woman.</w:t>
      </w:r>
      <w:r w:rsidR="00E641F1" w:rsidRPr="007960A2">
        <w:t xml:space="preserve"> </w:t>
      </w:r>
      <w:r w:rsidRPr="007960A2">
        <w:t xml:space="preserve">She applied for a job </w:t>
      </w:r>
      <w:r w:rsidR="007960A2">
        <w:t>at</w:t>
      </w:r>
      <w:r w:rsidRPr="007960A2">
        <w:t xml:space="preserve"> Bar Lucky 7</w:t>
      </w:r>
      <w:r w:rsidR="007960A2">
        <w:t>,</w:t>
      </w:r>
      <w:r w:rsidRPr="007960A2">
        <w:t xml:space="preserve"> operated by the defendant 9302-6573 Canada Inc.</w:t>
      </w:r>
      <w:r w:rsidR="00E641F1" w:rsidRPr="007960A2">
        <w:t xml:space="preserve"> </w:t>
      </w:r>
      <w:r w:rsidRPr="007960A2">
        <w:t>(the Bar)</w:t>
      </w:r>
      <w:r w:rsidR="007960A2">
        <w:t>,</w:t>
      </w:r>
      <w:r w:rsidRPr="007960A2">
        <w:t xml:space="preserve"> and </w:t>
      </w:r>
      <w:r w:rsidR="007960A2">
        <w:t xml:space="preserve">attended </w:t>
      </w:r>
      <w:r w:rsidRPr="007960A2">
        <w:t>a training at the request of the defendant, Sayeed Ahmed Sik</w:t>
      </w:r>
      <w:r w:rsidR="004536D2">
        <w:t>d</w:t>
      </w:r>
      <w:r w:rsidRPr="007960A2">
        <w:t>er, the Bar manager.</w:t>
      </w:r>
      <w:r w:rsidR="00E641F1" w:rsidRPr="007960A2">
        <w:t xml:space="preserve"> </w:t>
      </w:r>
      <w:r w:rsidRPr="007960A2">
        <w:t xml:space="preserve">The employee who trained her was </w:t>
      </w:r>
      <w:r w:rsidR="007960A2">
        <w:t xml:space="preserve">entirely </w:t>
      </w:r>
      <w:r w:rsidRPr="007960A2">
        <w:t xml:space="preserve">satisfied with her </w:t>
      </w:r>
      <w:r w:rsidR="007960A2">
        <w:t>work</w:t>
      </w:r>
      <w:r w:rsidRPr="007960A2">
        <w:t>.</w:t>
      </w:r>
      <w:r w:rsidR="00E641F1" w:rsidRPr="007960A2">
        <w:t xml:space="preserve"> </w:t>
      </w:r>
      <w:r w:rsidR="007960A2">
        <w:t>A</w:t>
      </w:r>
      <w:r w:rsidRPr="007960A2">
        <w:t xml:space="preserve">fter a few hours, </w:t>
      </w:r>
      <w:r w:rsidR="007960A2">
        <w:t xml:space="preserve">however, </w:t>
      </w:r>
      <w:r w:rsidRPr="007960A2">
        <w:t xml:space="preserve">Mr. Sikder asked E.B. if she was trans, to which she replied </w:t>
      </w:r>
      <w:r w:rsidR="00352364">
        <w:t>in the affirmative</w:t>
      </w:r>
      <w:r w:rsidRPr="007960A2">
        <w:t>.</w:t>
      </w:r>
      <w:r w:rsidR="00E641F1" w:rsidRPr="007960A2">
        <w:t xml:space="preserve"> </w:t>
      </w:r>
      <w:r w:rsidRPr="007960A2">
        <w:t>The defendants then refused to hire her.</w:t>
      </w:r>
    </w:p>
    <w:p w14:paraId="6D657267" w14:textId="588D11CA" w:rsidR="00AE7B0A" w:rsidRPr="007960A2" w:rsidRDefault="009A2EED" w:rsidP="00264F0E">
      <w:pPr>
        <w:pStyle w:val="Paragraphe"/>
        <w:numPr>
          <w:ilvl w:val="0"/>
          <w:numId w:val="1"/>
        </w:numPr>
        <w:tabs>
          <w:tab w:val="clear" w:pos="2629"/>
        </w:tabs>
        <w:ind w:left="0"/>
      </w:pPr>
      <w:r w:rsidRPr="007960A2">
        <w:t xml:space="preserve">Mr. Sikder </w:t>
      </w:r>
      <w:r w:rsidR="006B6957">
        <w:t xml:space="preserve">justified his refusal </w:t>
      </w:r>
      <w:r w:rsidRPr="007960A2">
        <w:t xml:space="preserve">to hire E.B. because of the risk to her safety </w:t>
      </w:r>
      <w:r w:rsidR="007960A2">
        <w:t>or</w:t>
      </w:r>
      <w:r w:rsidRPr="007960A2">
        <w:t xml:space="preserve"> </w:t>
      </w:r>
      <w:r w:rsidR="007960A2">
        <w:t xml:space="preserve">his customers’ </w:t>
      </w:r>
      <w:r w:rsidRPr="007960A2">
        <w:t>reaction</w:t>
      </w:r>
      <w:r w:rsidR="00B510BE">
        <w:t>s</w:t>
      </w:r>
      <w:r w:rsidRPr="007960A2">
        <w:t>.</w:t>
      </w:r>
    </w:p>
    <w:p w14:paraId="67E2BC2C" w14:textId="38845436" w:rsidR="00AE7B0A" w:rsidRPr="007960A2" w:rsidRDefault="009A2EED" w:rsidP="00264F0E">
      <w:pPr>
        <w:pStyle w:val="Paragraphe"/>
        <w:numPr>
          <w:ilvl w:val="0"/>
          <w:numId w:val="1"/>
        </w:numPr>
        <w:tabs>
          <w:tab w:val="clear" w:pos="2629"/>
        </w:tabs>
        <w:ind w:left="0"/>
      </w:pPr>
      <w:r w:rsidRPr="007960A2">
        <w:t>E.B. filed a complaint with the CDPDJ for a discriminatory refusal to hire.</w:t>
      </w:r>
    </w:p>
    <w:p w14:paraId="47AF861D" w14:textId="47AC774A" w:rsidR="009A2EED" w:rsidRPr="007960A2" w:rsidRDefault="009A2EED" w:rsidP="009A2EED">
      <w:pPr>
        <w:pStyle w:val="Paragraphe"/>
        <w:numPr>
          <w:ilvl w:val="0"/>
          <w:numId w:val="1"/>
        </w:numPr>
        <w:tabs>
          <w:tab w:val="clear" w:pos="2629"/>
        </w:tabs>
        <w:ind w:left="0"/>
      </w:pPr>
      <w:r w:rsidRPr="007960A2">
        <w:t xml:space="preserve">The CDPDJ found the evidence sufficient and, acting in the public interest and </w:t>
      </w:r>
      <w:r w:rsidR="00FD71AF">
        <w:t>on behalf</w:t>
      </w:r>
      <w:r w:rsidRPr="007960A2">
        <w:t xml:space="preserve"> of E.B., argues in its </w:t>
      </w:r>
      <w:r w:rsidR="006B6957">
        <w:t>factum</w:t>
      </w:r>
      <w:r w:rsidR="006B6957" w:rsidRPr="007960A2">
        <w:t xml:space="preserve"> </w:t>
      </w:r>
      <w:r w:rsidRPr="007960A2">
        <w:t>that she was discriminated against based on her gender identity:</w:t>
      </w:r>
    </w:p>
    <w:p w14:paraId="4B17DD41" w14:textId="18B2412B" w:rsidR="009A2EED" w:rsidRPr="007960A2" w:rsidRDefault="009A2EED" w:rsidP="00C96B39">
      <w:pPr>
        <w:pStyle w:val="Citationenretrait"/>
        <w:rPr>
          <w:rFonts w:eastAsia="Calibri"/>
          <w:lang w:val="en-CA" w:eastAsia="en-US"/>
        </w:rPr>
      </w:pPr>
      <w:r w:rsidRPr="007960A2">
        <w:rPr>
          <w:rFonts w:eastAsia="Calibri" w:cs="Arial"/>
          <w:lang w:val="en-CA" w:eastAsia="en-US"/>
        </w:rPr>
        <w:t>[</w:t>
      </w:r>
      <w:r w:rsidRPr="007960A2">
        <w:rPr>
          <w:rFonts w:eastAsia="Calibri" w:cs="Arial"/>
          <w:smallCaps/>
          <w:lang w:val="en-CA" w:eastAsia="en-US"/>
        </w:rPr>
        <w:t>translation</w:t>
      </w:r>
      <w:r w:rsidRPr="007960A2">
        <w:rPr>
          <w:rFonts w:eastAsia="Calibri" w:cs="Arial"/>
          <w:lang w:val="en-CA" w:eastAsia="en-US"/>
        </w:rPr>
        <w:t>]</w:t>
      </w:r>
    </w:p>
    <w:p w14:paraId="1029FE6D" w14:textId="356EAD58" w:rsidR="00C96B39" w:rsidRPr="007960A2" w:rsidRDefault="00E641F1" w:rsidP="00C96B39">
      <w:pPr>
        <w:pStyle w:val="Citationenretrait"/>
        <w:rPr>
          <w:rFonts w:eastAsia="Calibri"/>
          <w:lang w:val="en-CA" w:eastAsia="en-US"/>
        </w:rPr>
      </w:pPr>
      <w:r w:rsidRPr="007960A2">
        <w:rPr>
          <w:rFonts w:eastAsia="Calibri"/>
          <w:lang w:val="en-CA" w:eastAsia="en-US"/>
        </w:rPr>
        <w:t xml:space="preserve">22. </w:t>
      </w:r>
      <w:r w:rsidR="009A2EED" w:rsidRPr="007960A2">
        <w:rPr>
          <w:rFonts w:eastAsia="Calibri"/>
          <w:lang w:val="en-CA" w:eastAsia="en-US"/>
        </w:rPr>
        <w:t xml:space="preserve">Thus, by refusing to hire </w:t>
      </w:r>
      <w:r w:rsidR="00FD71AF">
        <w:rPr>
          <w:rFonts w:eastAsia="Calibri" w:cs="Arial"/>
          <w:lang w:val="en-CA" w:eastAsia="en-US"/>
        </w:rPr>
        <w:t>[</w:t>
      </w:r>
      <w:r w:rsidR="009A2EED" w:rsidRPr="007960A2">
        <w:rPr>
          <w:rFonts w:eastAsia="Calibri"/>
          <w:spacing w:val="-20"/>
          <w:lang w:val="en-CA" w:eastAsia="en-US"/>
        </w:rPr>
        <w:t>E.</w:t>
      </w:r>
      <w:r w:rsidRPr="007960A2">
        <w:rPr>
          <w:rFonts w:eastAsia="Calibri"/>
          <w:spacing w:val="-20"/>
          <w:lang w:val="en-CA" w:eastAsia="en-US"/>
        </w:rPr>
        <w:t xml:space="preserve"> </w:t>
      </w:r>
      <w:r w:rsidR="009A2EED" w:rsidRPr="007960A2">
        <w:rPr>
          <w:rFonts w:eastAsia="Calibri"/>
          <w:spacing w:val="-20"/>
          <w:lang w:val="en-CA" w:eastAsia="en-US"/>
        </w:rPr>
        <w:t>B.</w:t>
      </w:r>
      <w:r w:rsidR="00FD71AF">
        <w:rPr>
          <w:rFonts w:eastAsia="Calibri" w:cs="Arial"/>
          <w:lang w:val="en-CA" w:eastAsia="en-US"/>
        </w:rPr>
        <w:t>]</w:t>
      </w:r>
      <w:r w:rsidR="009A2EED" w:rsidRPr="007960A2">
        <w:rPr>
          <w:rFonts w:eastAsia="Calibri"/>
          <w:lang w:val="en-CA" w:eastAsia="en-US"/>
        </w:rPr>
        <w:t xml:space="preserve"> as a server based </w:t>
      </w:r>
      <w:r w:rsidR="00FD71AF" w:rsidRPr="007960A2">
        <w:rPr>
          <w:rFonts w:eastAsia="Calibri"/>
          <w:lang w:val="en-CA" w:eastAsia="en-US"/>
        </w:rPr>
        <w:t xml:space="preserve">in whole or in part </w:t>
      </w:r>
      <w:r w:rsidR="009A2EED" w:rsidRPr="007960A2">
        <w:rPr>
          <w:rFonts w:eastAsia="Calibri"/>
          <w:lang w:val="en-CA" w:eastAsia="en-US"/>
        </w:rPr>
        <w:t>on her transsexuality, the defendants in</w:t>
      </w:r>
      <w:r w:rsidR="00FD71AF">
        <w:rPr>
          <w:rFonts w:eastAsia="Calibri"/>
          <w:lang w:val="en-CA" w:eastAsia="en-US"/>
        </w:rPr>
        <w:t>terfered with</w:t>
      </w:r>
      <w:r w:rsidR="009A2EED" w:rsidRPr="007960A2">
        <w:rPr>
          <w:rFonts w:eastAsia="Calibri"/>
          <w:lang w:val="en-CA" w:eastAsia="en-US"/>
        </w:rPr>
        <w:t xml:space="preserve"> her right to </w:t>
      </w:r>
      <w:r w:rsidR="00B25712">
        <w:rPr>
          <w:rFonts w:eastAsia="Calibri"/>
          <w:lang w:val="en-CA" w:eastAsia="en-US"/>
        </w:rPr>
        <w:t xml:space="preserve">equality in </w:t>
      </w:r>
      <w:r w:rsidR="009A2EED" w:rsidRPr="007960A2">
        <w:rPr>
          <w:rFonts w:eastAsia="Calibri"/>
          <w:lang w:val="en-CA" w:eastAsia="en-US"/>
        </w:rPr>
        <w:t xml:space="preserve">employment, without distinction or exclusion based on gender identity, the whole contrary to sections 10 and 16 of the </w:t>
      </w:r>
      <w:r w:rsidR="009A2EED" w:rsidRPr="007960A2">
        <w:rPr>
          <w:rFonts w:eastAsia="Calibri"/>
          <w:i/>
          <w:lang w:val="en-CA" w:eastAsia="en-US"/>
        </w:rPr>
        <w:t>Charter of human rights and freedoms</w:t>
      </w:r>
      <w:r w:rsidR="009A2EED" w:rsidRPr="007960A2">
        <w:rPr>
          <w:rFonts w:eastAsia="Calibri"/>
          <w:lang w:val="en-CA" w:eastAsia="en-US"/>
        </w:rPr>
        <w:t xml:space="preserve">, CQLR, c. C-12 (the </w:t>
      </w:r>
      <w:r w:rsidR="009A2EED" w:rsidRPr="00606F77">
        <w:rPr>
          <w:rFonts w:eastAsia="Calibri"/>
          <w:iCs/>
          <w:lang w:val="en-CA" w:eastAsia="en-US"/>
        </w:rPr>
        <w:t>“</w:t>
      </w:r>
      <w:r w:rsidR="009A2EED" w:rsidRPr="007960A2">
        <w:rPr>
          <w:rFonts w:eastAsia="Calibri"/>
          <w:i/>
          <w:lang w:val="en-CA" w:eastAsia="en-US"/>
        </w:rPr>
        <w:t>Charter</w:t>
      </w:r>
      <w:r w:rsidR="009A2EED" w:rsidRPr="007960A2">
        <w:rPr>
          <w:rFonts w:eastAsia="Calibri"/>
          <w:lang w:val="en-CA" w:eastAsia="en-US"/>
        </w:rPr>
        <w:t>”).</w:t>
      </w:r>
    </w:p>
    <w:p w14:paraId="361267CD" w14:textId="011FD2B7" w:rsidR="00C96B39" w:rsidRPr="007960A2" w:rsidRDefault="00E641F1" w:rsidP="00AE7B0A">
      <w:pPr>
        <w:pStyle w:val="Citationenretrait"/>
        <w:rPr>
          <w:rFonts w:eastAsia="Calibri"/>
          <w:lang w:val="en-CA" w:eastAsia="en-US"/>
        </w:rPr>
      </w:pPr>
      <w:r w:rsidRPr="007960A2">
        <w:rPr>
          <w:rFonts w:eastAsia="Calibri"/>
          <w:lang w:val="en-CA" w:eastAsia="en-US"/>
        </w:rPr>
        <w:t xml:space="preserve">23. </w:t>
      </w:r>
      <w:r w:rsidR="009A2EED" w:rsidRPr="007960A2">
        <w:rPr>
          <w:rFonts w:eastAsia="Calibri"/>
          <w:lang w:val="en-CA" w:eastAsia="en-US"/>
        </w:rPr>
        <w:t xml:space="preserve">At the same time, the defendants </w:t>
      </w:r>
      <w:r w:rsidR="00816505">
        <w:rPr>
          <w:rFonts w:eastAsia="Calibri"/>
          <w:lang w:val="en-CA" w:eastAsia="en-US"/>
        </w:rPr>
        <w:t>interfer</w:t>
      </w:r>
      <w:r w:rsidR="009A2EED" w:rsidRPr="007960A2">
        <w:rPr>
          <w:rFonts w:eastAsia="Calibri"/>
          <w:lang w:val="en-CA" w:eastAsia="en-US"/>
        </w:rPr>
        <w:t xml:space="preserve">ed </w:t>
      </w:r>
      <w:r w:rsidR="00816505">
        <w:rPr>
          <w:rFonts w:eastAsia="Calibri"/>
          <w:lang w:val="en-CA" w:eastAsia="en-US"/>
        </w:rPr>
        <w:t xml:space="preserve">with </w:t>
      </w:r>
      <w:r w:rsidR="00816505">
        <w:rPr>
          <w:rFonts w:eastAsia="Calibri" w:cs="Arial"/>
          <w:lang w:val="en-CA" w:eastAsia="en-US"/>
        </w:rPr>
        <w:t>[</w:t>
      </w:r>
      <w:r w:rsidR="00816505" w:rsidRPr="007960A2">
        <w:rPr>
          <w:rFonts w:eastAsia="Calibri"/>
          <w:spacing w:val="-20"/>
          <w:lang w:val="en-CA" w:eastAsia="en-US"/>
        </w:rPr>
        <w:t>E. B.</w:t>
      </w:r>
      <w:r w:rsidR="00816505">
        <w:rPr>
          <w:rFonts w:eastAsia="Calibri"/>
          <w:spacing w:val="-20"/>
          <w:lang w:val="en-CA" w:eastAsia="en-US"/>
        </w:rPr>
        <w:t>’s</w:t>
      </w:r>
      <w:r w:rsidR="00816505">
        <w:rPr>
          <w:rFonts w:eastAsia="Calibri" w:cs="Arial"/>
          <w:lang w:val="en-CA" w:eastAsia="en-US"/>
        </w:rPr>
        <w:t>]</w:t>
      </w:r>
      <w:r w:rsidR="009A2EED" w:rsidRPr="007960A2">
        <w:rPr>
          <w:rFonts w:eastAsia="Calibri"/>
          <w:lang w:val="en-CA" w:eastAsia="en-US"/>
        </w:rPr>
        <w:t xml:space="preserve"> right to the safeguard of her dignity, without distinction or exclusion based on gender identify, the whole contrary to sections 4 and 10 of the </w:t>
      </w:r>
      <w:r w:rsidR="009A2EED" w:rsidRPr="007960A2">
        <w:rPr>
          <w:rFonts w:eastAsia="Calibri"/>
          <w:i/>
          <w:lang w:val="en-CA" w:eastAsia="en-US"/>
        </w:rPr>
        <w:t>Charter</w:t>
      </w:r>
      <w:r w:rsidR="009A2EED" w:rsidRPr="007960A2">
        <w:rPr>
          <w:rFonts w:eastAsia="Calibri"/>
          <w:lang w:val="en-CA" w:eastAsia="en-US"/>
        </w:rPr>
        <w:t>.</w:t>
      </w:r>
    </w:p>
    <w:p w14:paraId="7B250143" w14:textId="64E40026" w:rsidR="00C96B39" w:rsidRPr="007960A2" w:rsidRDefault="009A2EED" w:rsidP="00264F0E">
      <w:pPr>
        <w:pStyle w:val="Paragraphe"/>
        <w:numPr>
          <w:ilvl w:val="0"/>
          <w:numId w:val="1"/>
        </w:numPr>
        <w:tabs>
          <w:tab w:val="clear" w:pos="2629"/>
        </w:tabs>
        <w:ind w:left="0"/>
      </w:pPr>
      <w:r w:rsidRPr="007960A2">
        <w:t xml:space="preserve">The CDPDJ proposed </w:t>
      </w:r>
      <w:r w:rsidR="00816505">
        <w:t xml:space="preserve">measures of </w:t>
      </w:r>
      <w:r w:rsidRPr="007960A2">
        <w:t xml:space="preserve">redress that include indemnities of $118.40 for loss of income, $12,000 for moral </w:t>
      </w:r>
      <w:r w:rsidR="00816505">
        <w:t>prejudice</w:t>
      </w:r>
      <w:r w:rsidRPr="007960A2">
        <w:t>, and $2,000 each fr</w:t>
      </w:r>
      <w:r w:rsidR="00816505">
        <w:t>om</w:t>
      </w:r>
      <w:r w:rsidRPr="007960A2">
        <w:t xml:space="preserve"> the Bar and Mr. Sikder as punitive damages.</w:t>
      </w:r>
    </w:p>
    <w:p w14:paraId="55AE58EE" w14:textId="26E77CD1" w:rsidR="00C66C89" w:rsidRPr="007960A2" w:rsidRDefault="009A2EED" w:rsidP="00264F0E">
      <w:pPr>
        <w:pStyle w:val="Paragraphe"/>
        <w:numPr>
          <w:ilvl w:val="0"/>
          <w:numId w:val="1"/>
        </w:numPr>
        <w:tabs>
          <w:tab w:val="clear" w:pos="2629"/>
        </w:tabs>
        <w:ind w:left="0"/>
      </w:pPr>
      <w:r w:rsidRPr="007960A2">
        <w:t xml:space="preserve">Mr. Sikder and the Bar </w:t>
      </w:r>
      <w:r w:rsidR="00816505">
        <w:t>ignored</w:t>
      </w:r>
      <w:r w:rsidRPr="007960A2">
        <w:t xml:space="preserve"> the proposed measures </w:t>
      </w:r>
      <w:r w:rsidR="00816505">
        <w:t>of redress</w:t>
      </w:r>
      <w:r w:rsidR="008C6927">
        <w:t>,</w:t>
      </w:r>
      <w:r w:rsidR="00816505">
        <w:t xml:space="preserve"> </w:t>
      </w:r>
      <w:r w:rsidRPr="007960A2">
        <w:t>and the CDPDJ filed this application before the Tribunal.</w:t>
      </w:r>
    </w:p>
    <w:p w14:paraId="1C968A64" w14:textId="2881AC9F" w:rsidR="00886BBC" w:rsidRPr="007960A2" w:rsidRDefault="009A2EED" w:rsidP="00264F0E">
      <w:pPr>
        <w:pStyle w:val="Paragraphe"/>
        <w:numPr>
          <w:ilvl w:val="0"/>
          <w:numId w:val="1"/>
        </w:numPr>
        <w:tabs>
          <w:tab w:val="clear" w:pos="2629"/>
        </w:tabs>
        <w:ind w:left="0"/>
      </w:pPr>
      <w:r w:rsidRPr="007960A2">
        <w:t>The defendants never answered the application and did not attend the hearing, such that the Tribunal proceeded by default based on the evidence adduced by the CDPDJ.</w:t>
      </w:r>
    </w:p>
    <w:p w14:paraId="5647CF55" w14:textId="7F8892ED" w:rsidR="00886BBC" w:rsidRPr="007960A2" w:rsidRDefault="009A2EED" w:rsidP="00606F77">
      <w:pPr>
        <w:pStyle w:val="Paragraphe"/>
        <w:keepNext/>
        <w:tabs>
          <w:tab w:val="clear" w:pos="567"/>
        </w:tabs>
        <w:rPr>
          <w:b/>
          <w:bCs/>
          <w:u w:val="single"/>
        </w:rPr>
      </w:pPr>
      <w:r w:rsidRPr="007960A2">
        <w:rPr>
          <w:b/>
          <w:bCs/>
          <w:u w:val="single"/>
        </w:rPr>
        <w:lastRenderedPageBreak/>
        <w:t>Issues</w:t>
      </w:r>
    </w:p>
    <w:p w14:paraId="1BE9C1C7" w14:textId="798B2816" w:rsidR="00886BBC" w:rsidRPr="007960A2" w:rsidRDefault="009A2EED" w:rsidP="00606F77">
      <w:pPr>
        <w:pStyle w:val="Paragraphe"/>
        <w:keepNext/>
        <w:numPr>
          <w:ilvl w:val="0"/>
          <w:numId w:val="1"/>
        </w:numPr>
        <w:tabs>
          <w:tab w:val="clear" w:pos="2629"/>
        </w:tabs>
        <w:ind w:left="0"/>
      </w:pPr>
      <w:r w:rsidRPr="007960A2">
        <w:t>To decide this dispute, the Tribunal must answer the following questions:</w:t>
      </w:r>
    </w:p>
    <w:p w14:paraId="71BBB739" w14:textId="25A6A3BC" w:rsidR="00886BBC" w:rsidRPr="007960A2" w:rsidRDefault="009A2EED" w:rsidP="00606F77">
      <w:pPr>
        <w:pStyle w:val="Paragraphe"/>
        <w:keepNext/>
        <w:numPr>
          <w:ilvl w:val="0"/>
          <w:numId w:val="5"/>
        </w:numPr>
      </w:pPr>
      <w:r w:rsidRPr="007960A2">
        <w:t xml:space="preserve">During the hiring process, was E.B., as a trans woman, discriminated against by the Bar and by Mr. Sikder based on her gender identity, </w:t>
      </w:r>
      <w:r w:rsidR="00CD2379">
        <w:t xml:space="preserve">contrary to </w:t>
      </w:r>
      <w:r w:rsidRPr="007960A2">
        <w:t xml:space="preserve">sections 4, 10, and 16 of the </w:t>
      </w:r>
      <w:r w:rsidRPr="007960A2">
        <w:rPr>
          <w:i/>
        </w:rPr>
        <w:t>Charter of human rights and freedoms</w:t>
      </w:r>
      <w:r w:rsidRPr="007960A2">
        <w:t>?</w:t>
      </w:r>
      <w:bookmarkStart w:id="0" w:name="_Ref168403709"/>
      <w:r w:rsidRPr="007960A2">
        <w:rPr>
          <w:rStyle w:val="Appelnotedebasdep"/>
        </w:rPr>
        <w:footnoteReference w:id="2"/>
      </w:r>
      <w:bookmarkEnd w:id="0"/>
    </w:p>
    <w:p w14:paraId="4970EDEF" w14:textId="01F291D9" w:rsidR="00886BBC" w:rsidRPr="007960A2" w:rsidRDefault="009A2EED">
      <w:pPr>
        <w:pStyle w:val="Paragraphe"/>
        <w:numPr>
          <w:ilvl w:val="0"/>
          <w:numId w:val="5"/>
        </w:numPr>
      </w:pPr>
      <w:r w:rsidRPr="007960A2">
        <w:t>If so, is E.B. entitled to the amounts claimed?</w:t>
      </w:r>
    </w:p>
    <w:p w14:paraId="0C64B6C7" w14:textId="73F13081" w:rsidR="00886BBC" w:rsidRPr="007960A2" w:rsidRDefault="009A2EED" w:rsidP="00FD2EBC">
      <w:pPr>
        <w:pStyle w:val="Paragraphe"/>
        <w:tabs>
          <w:tab w:val="clear" w:pos="567"/>
        </w:tabs>
        <w:rPr>
          <w:b/>
          <w:bCs/>
          <w:u w:val="single"/>
        </w:rPr>
      </w:pPr>
      <w:r w:rsidRPr="007960A2">
        <w:rPr>
          <w:b/>
          <w:bCs/>
          <w:u w:val="single"/>
        </w:rPr>
        <w:t>Background</w:t>
      </w:r>
    </w:p>
    <w:p w14:paraId="0EC4B8AD" w14:textId="3D767232" w:rsidR="00886BBC" w:rsidRPr="007960A2" w:rsidRDefault="0005674E" w:rsidP="00264F0E">
      <w:pPr>
        <w:pStyle w:val="Paragraphe"/>
        <w:numPr>
          <w:ilvl w:val="0"/>
          <w:numId w:val="1"/>
        </w:numPr>
        <w:tabs>
          <w:tab w:val="clear" w:pos="2629"/>
        </w:tabs>
        <w:ind w:left="0"/>
      </w:pPr>
      <w:r>
        <w:t>Given</w:t>
      </w:r>
      <w:r w:rsidR="009A2EED" w:rsidRPr="007960A2">
        <w:t xml:space="preserve"> the </w:t>
      </w:r>
      <w:r>
        <w:t xml:space="preserve">lack </w:t>
      </w:r>
      <w:r w:rsidR="009A2EED" w:rsidRPr="007960A2">
        <w:t>of any answer or participation by the defendants in the proceeding, the Tribunal considers that the allegations on the events as re</w:t>
      </w:r>
      <w:r>
        <w:t>count</w:t>
      </w:r>
      <w:r w:rsidR="009A2EED" w:rsidRPr="007960A2">
        <w:t xml:space="preserve">ed in </w:t>
      </w:r>
      <w:r>
        <w:t xml:space="preserve">the </w:t>
      </w:r>
      <w:r w:rsidR="009A2EED" w:rsidRPr="007960A2">
        <w:t xml:space="preserve">originating application and the </w:t>
      </w:r>
      <w:r w:rsidR="00FA2761">
        <w:t>factum</w:t>
      </w:r>
      <w:r w:rsidR="00FA2761" w:rsidRPr="007960A2">
        <w:t xml:space="preserve"> </w:t>
      </w:r>
      <w:r>
        <w:t xml:space="preserve">have been </w:t>
      </w:r>
      <w:r w:rsidR="009A2EED" w:rsidRPr="007960A2">
        <w:t xml:space="preserve">established on a balance of probabilities </w:t>
      </w:r>
      <w:r>
        <w:t xml:space="preserve">in light of </w:t>
      </w:r>
      <w:r w:rsidR="009A2EED" w:rsidRPr="007960A2">
        <w:t>the affidavits and exhibits filed.</w:t>
      </w:r>
    </w:p>
    <w:p w14:paraId="2BED8A28" w14:textId="164C1EFD" w:rsidR="00886BBC" w:rsidRPr="007960A2" w:rsidRDefault="009A2EED" w:rsidP="00617327">
      <w:pPr>
        <w:pStyle w:val="Paragraphe"/>
        <w:numPr>
          <w:ilvl w:val="0"/>
          <w:numId w:val="1"/>
        </w:numPr>
        <w:tabs>
          <w:tab w:val="clear" w:pos="2629"/>
        </w:tabs>
        <w:ind w:left="0"/>
      </w:pPr>
      <w:r w:rsidRPr="007960A2">
        <w:t>E.B. has identified as a woman since she was a child.</w:t>
      </w:r>
    </w:p>
    <w:p w14:paraId="52D9FB0B" w14:textId="5D01A787" w:rsidR="00886BBC" w:rsidRPr="007960A2" w:rsidRDefault="009A2EED" w:rsidP="00617327">
      <w:pPr>
        <w:pStyle w:val="Paragraphe"/>
        <w:numPr>
          <w:ilvl w:val="0"/>
          <w:numId w:val="1"/>
        </w:numPr>
        <w:tabs>
          <w:tab w:val="clear" w:pos="2629"/>
        </w:tabs>
        <w:ind w:left="0"/>
      </w:pPr>
      <w:r w:rsidRPr="007960A2">
        <w:t xml:space="preserve">After she moved to Montreal, E.B. started to look for work </w:t>
      </w:r>
      <w:r w:rsidR="008C6927">
        <w:t>at</w:t>
      </w:r>
      <w:r w:rsidR="008C6927" w:rsidRPr="007960A2">
        <w:t xml:space="preserve"> </w:t>
      </w:r>
      <w:r w:rsidRPr="007960A2">
        <w:t>a bar.</w:t>
      </w:r>
      <w:r w:rsidR="00E641F1" w:rsidRPr="007960A2">
        <w:t xml:space="preserve"> </w:t>
      </w:r>
      <w:r w:rsidRPr="007960A2">
        <w:t xml:space="preserve">She kept her mother informed of her </w:t>
      </w:r>
      <w:r w:rsidR="0005674E">
        <w:t xml:space="preserve">efforts </w:t>
      </w:r>
      <w:r w:rsidRPr="007960A2">
        <w:t>during their frequent telephone calls.</w:t>
      </w:r>
    </w:p>
    <w:p w14:paraId="0F80BF06" w14:textId="52B1FC48" w:rsidR="00886BBC" w:rsidRPr="007960A2" w:rsidRDefault="009A2EED" w:rsidP="002E62C9">
      <w:pPr>
        <w:pStyle w:val="Paragraphe"/>
        <w:numPr>
          <w:ilvl w:val="0"/>
          <w:numId w:val="1"/>
        </w:numPr>
        <w:tabs>
          <w:tab w:val="clear" w:pos="2629"/>
        </w:tabs>
        <w:ind w:left="0"/>
      </w:pPr>
      <w:r w:rsidRPr="007960A2">
        <w:t>On March 29, 2017, E.B. applied for a job as a server at the Bar and sent in her curriculum vitae.</w:t>
      </w:r>
    </w:p>
    <w:p w14:paraId="592CFD7A" w14:textId="06BF8006" w:rsidR="00886BBC" w:rsidRPr="007960A2" w:rsidRDefault="009A2EED" w:rsidP="002E62C9">
      <w:pPr>
        <w:pStyle w:val="Paragraphe"/>
        <w:numPr>
          <w:ilvl w:val="0"/>
          <w:numId w:val="1"/>
        </w:numPr>
        <w:tabs>
          <w:tab w:val="clear" w:pos="2629"/>
        </w:tabs>
        <w:ind w:left="0"/>
      </w:pPr>
      <w:r w:rsidRPr="007960A2">
        <w:t>Shortly after, Mr. Sikder contacted her on Facebook</w:t>
      </w:r>
      <w:r w:rsidR="0005674E">
        <w:t>,</w:t>
      </w:r>
      <w:r w:rsidRPr="007960A2">
        <w:t xml:space="preserve"> </w:t>
      </w:r>
      <w:r w:rsidR="0005674E">
        <w:t xml:space="preserve">told her </w:t>
      </w:r>
      <w:r w:rsidRPr="007960A2">
        <w:t>he was interested in her application</w:t>
      </w:r>
      <w:r w:rsidR="0005674E">
        <w:t>, and</w:t>
      </w:r>
      <w:r w:rsidRPr="007960A2">
        <w:t xml:space="preserve"> informed </w:t>
      </w:r>
      <w:r w:rsidR="0005674E">
        <w:t xml:space="preserve">her </w:t>
      </w:r>
      <w:r w:rsidRPr="007960A2">
        <w:t>of the jobs available.</w:t>
      </w:r>
      <w:bookmarkStart w:id="1" w:name="_Ref163037176"/>
      <w:r w:rsidRPr="007960A2">
        <w:rPr>
          <w:rStyle w:val="Appelnotedebasdep"/>
        </w:rPr>
        <w:footnoteReference w:id="3"/>
      </w:r>
      <w:bookmarkEnd w:id="1"/>
      <w:r w:rsidR="00E641F1" w:rsidRPr="007960A2">
        <w:t xml:space="preserve"> </w:t>
      </w:r>
      <w:r w:rsidRPr="007960A2">
        <w:t>They talked on the telephone, at Mr. Sikder’s request.</w:t>
      </w:r>
    </w:p>
    <w:p w14:paraId="2E052948" w14:textId="02C1F777" w:rsidR="00886BBC" w:rsidRPr="007960A2" w:rsidRDefault="009A2EED" w:rsidP="002E62C9">
      <w:pPr>
        <w:pStyle w:val="Paragraphe"/>
        <w:numPr>
          <w:ilvl w:val="0"/>
          <w:numId w:val="1"/>
        </w:numPr>
        <w:tabs>
          <w:tab w:val="clear" w:pos="2629"/>
        </w:tabs>
        <w:ind w:left="0"/>
      </w:pPr>
      <w:r w:rsidRPr="007960A2">
        <w:t xml:space="preserve">Mr. Siker asked her to come to the Bar the </w:t>
      </w:r>
      <w:r w:rsidR="0005674E">
        <w:t>following</w:t>
      </w:r>
      <w:r w:rsidRPr="007960A2">
        <w:t xml:space="preserve"> evening for training</w:t>
      </w:r>
      <w:r w:rsidR="0005674E">
        <w:t>.</w:t>
      </w:r>
      <w:r w:rsidRPr="007960A2">
        <w:t xml:space="preserve"> </w:t>
      </w:r>
      <w:r w:rsidR="0005674E">
        <w:t xml:space="preserve">He said </w:t>
      </w:r>
      <w:r w:rsidRPr="007960A2">
        <w:t xml:space="preserve">that he would not be there but </w:t>
      </w:r>
      <w:r w:rsidR="00E641F1" w:rsidRPr="007960A2">
        <w:t xml:space="preserve">that </w:t>
      </w:r>
      <w:r w:rsidRPr="007960A2">
        <w:t xml:space="preserve">she would be greeted by other employees who would </w:t>
      </w:r>
      <w:r w:rsidR="005D0140">
        <w:t>teach</w:t>
      </w:r>
      <w:r w:rsidR="005D0140" w:rsidRPr="007960A2">
        <w:t xml:space="preserve"> </w:t>
      </w:r>
      <w:r w:rsidRPr="007960A2">
        <w:t xml:space="preserve">her what </w:t>
      </w:r>
      <w:r w:rsidR="0005674E">
        <w:t>she needed to know</w:t>
      </w:r>
      <w:r w:rsidRPr="007960A2">
        <w:t>.</w:t>
      </w:r>
    </w:p>
    <w:p w14:paraId="170D8195" w14:textId="579BB79A" w:rsidR="00886BBC" w:rsidRPr="007960A2" w:rsidRDefault="0005674E" w:rsidP="002E62C9">
      <w:pPr>
        <w:pStyle w:val="Paragraphe"/>
        <w:numPr>
          <w:ilvl w:val="0"/>
          <w:numId w:val="1"/>
        </w:numPr>
        <w:tabs>
          <w:tab w:val="clear" w:pos="2629"/>
        </w:tabs>
        <w:ind w:left="0"/>
      </w:pPr>
      <w:r>
        <w:t>E</w:t>
      </w:r>
      <w:r w:rsidRPr="007960A2">
        <w:t xml:space="preserve">arly </w:t>
      </w:r>
      <w:r>
        <w:t xml:space="preserve">in the </w:t>
      </w:r>
      <w:r w:rsidRPr="007960A2">
        <w:t xml:space="preserve">evening </w:t>
      </w:r>
      <w:r>
        <w:t>o</w:t>
      </w:r>
      <w:r w:rsidR="009A2EED" w:rsidRPr="007960A2">
        <w:t>n March 30, 2017, E.B. went to the Bar and was greeted by Mr. Sikder’s father, identified as the person in charge of the premises.</w:t>
      </w:r>
      <w:r w:rsidR="00E641F1" w:rsidRPr="007960A2">
        <w:t xml:space="preserve"> </w:t>
      </w:r>
      <w:r w:rsidR="009A2EED" w:rsidRPr="007960A2">
        <w:t xml:space="preserve">He gave her the price list and </w:t>
      </w:r>
      <w:r w:rsidR="005D0140">
        <w:t xml:space="preserve">the </w:t>
      </w:r>
      <w:r w:rsidR="009A2EED" w:rsidRPr="007960A2">
        <w:t xml:space="preserve">code to open the cash </w:t>
      </w:r>
      <w:r w:rsidR="005D0140">
        <w:t xml:space="preserve">register </w:t>
      </w:r>
      <w:r w:rsidR="009A2EED" w:rsidRPr="007960A2">
        <w:t xml:space="preserve">and introduced her to </w:t>
      </w:r>
      <w:r w:rsidR="00644E91">
        <w:t>D.</w:t>
      </w:r>
      <w:r w:rsidR="009A2EED" w:rsidRPr="00C07F47">
        <w:t xml:space="preserve"> </w:t>
      </w:r>
      <w:r w:rsidR="00644E91">
        <w:t>S.</w:t>
      </w:r>
      <w:r w:rsidR="009A2EED" w:rsidRPr="007960A2">
        <w:t>, an employee, to continue the training.</w:t>
      </w:r>
      <w:r w:rsidR="00E641F1" w:rsidRPr="007960A2">
        <w:t xml:space="preserve"> </w:t>
      </w:r>
      <w:r w:rsidR="009A2EED" w:rsidRPr="007960A2">
        <w:t xml:space="preserve">He stayed in the room </w:t>
      </w:r>
      <w:r>
        <w:t xml:space="preserve">within </w:t>
      </w:r>
      <w:r w:rsidR="009A2EED" w:rsidRPr="007960A2">
        <w:t xml:space="preserve">view of the bar </w:t>
      </w:r>
      <w:r>
        <w:t xml:space="preserve">during </w:t>
      </w:r>
      <w:r w:rsidR="009A2EED" w:rsidRPr="007960A2">
        <w:t>the training.</w:t>
      </w:r>
    </w:p>
    <w:p w14:paraId="7C30DD1C" w14:textId="0493EA4B" w:rsidR="00886BBC" w:rsidRPr="007960A2" w:rsidRDefault="009A2EED" w:rsidP="002E62C9">
      <w:pPr>
        <w:pStyle w:val="Paragraphe"/>
        <w:numPr>
          <w:ilvl w:val="0"/>
          <w:numId w:val="1"/>
        </w:numPr>
        <w:tabs>
          <w:tab w:val="clear" w:pos="2629"/>
        </w:tabs>
        <w:ind w:left="0"/>
      </w:pPr>
      <w:r w:rsidRPr="007960A2">
        <w:lastRenderedPageBreak/>
        <w:t>During the hiring process, E.B. provided her identity documents</w:t>
      </w:r>
      <w:r w:rsidR="005D0140">
        <w:t>,</w:t>
      </w:r>
      <w:r w:rsidRPr="007960A2">
        <w:t xml:space="preserve"> and photos were taken.</w:t>
      </w:r>
      <w:r w:rsidR="00E641F1" w:rsidRPr="007960A2">
        <w:t xml:space="preserve"> </w:t>
      </w:r>
      <w:r w:rsidRPr="007960A2">
        <w:t>She was given employment documents to read at home.</w:t>
      </w:r>
    </w:p>
    <w:p w14:paraId="799F6CE9" w14:textId="60CF5616" w:rsidR="00886BBC" w:rsidRPr="007960A2" w:rsidRDefault="009A2EED" w:rsidP="002E62C9">
      <w:pPr>
        <w:pStyle w:val="Paragraphe"/>
        <w:numPr>
          <w:ilvl w:val="0"/>
          <w:numId w:val="1"/>
        </w:numPr>
        <w:tabs>
          <w:tab w:val="clear" w:pos="2629"/>
        </w:tabs>
        <w:ind w:left="0"/>
      </w:pPr>
      <w:r w:rsidRPr="007960A2">
        <w:t xml:space="preserve">E.B. continued her training with </w:t>
      </w:r>
      <w:r w:rsidRPr="00C07F47">
        <w:t xml:space="preserve">Ms. </w:t>
      </w:r>
      <w:r w:rsidR="00644E91">
        <w:t>S.</w:t>
      </w:r>
      <w:r w:rsidRPr="007960A2">
        <w:t xml:space="preserve">, who </w:t>
      </w:r>
      <w:r w:rsidR="0005674E">
        <w:t xml:space="preserve">explained to </w:t>
      </w:r>
      <w:r w:rsidRPr="007960A2">
        <w:t xml:space="preserve">her how to deal with </w:t>
      </w:r>
      <w:r w:rsidR="0005674E">
        <w:t xml:space="preserve">customers </w:t>
      </w:r>
      <w:r w:rsidRPr="007960A2">
        <w:t xml:space="preserve">and about the type of </w:t>
      </w:r>
      <w:r w:rsidR="0005674E">
        <w:t xml:space="preserve">customers </w:t>
      </w:r>
      <w:r w:rsidRPr="007960A2">
        <w:t>who patronized the Bar</w:t>
      </w:r>
      <w:r w:rsidRPr="00C07F47">
        <w:t>.</w:t>
      </w:r>
      <w:r w:rsidR="00E641F1" w:rsidRPr="00C07F47">
        <w:t xml:space="preserve"> </w:t>
      </w:r>
      <w:r w:rsidRPr="00C07F47">
        <w:t xml:space="preserve">Ms. </w:t>
      </w:r>
      <w:r w:rsidR="00644E91">
        <w:t>S.</w:t>
      </w:r>
      <w:r w:rsidRPr="007960A2">
        <w:t xml:space="preserve"> told her she was happy with her work and that she </w:t>
      </w:r>
      <w:r w:rsidR="0005674E">
        <w:t xml:space="preserve">was a good </w:t>
      </w:r>
      <w:r w:rsidRPr="007960A2">
        <w:t>worke</w:t>
      </w:r>
      <w:r w:rsidR="0005674E">
        <w:t>r</w:t>
      </w:r>
      <w:r w:rsidRPr="007960A2">
        <w:t>.</w:t>
      </w:r>
    </w:p>
    <w:p w14:paraId="74221CA7" w14:textId="5A9E4645" w:rsidR="00886BBC" w:rsidRPr="007960A2" w:rsidRDefault="009A2EED" w:rsidP="001A608D">
      <w:pPr>
        <w:pStyle w:val="Paragraphe"/>
        <w:numPr>
          <w:ilvl w:val="0"/>
          <w:numId w:val="1"/>
        </w:numPr>
        <w:tabs>
          <w:tab w:val="clear" w:pos="2629"/>
        </w:tabs>
        <w:ind w:left="0"/>
      </w:pPr>
      <w:r w:rsidRPr="007960A2">
        <w:t>After about three hours of training, E.B. was informed that her training was over and that she would be contacted and given her work hours.</w:t>
      </w:r>
    </w:p>
    <w:p w14:paraId="5BB2362A" w14:textId="20DCA57F" w:rsidR="00886BBC" w:rsidRPr="007960A2" w:rsidRDefault="009A2EED" w:rsidP="001A608D">
      <w:pPr>
        <w:pStyle w:val="Paragraphe"/>
        <w:numPr>
          <w:ilvl w:val="0"/>
          <w:numId w:val="1"/>
        </w:numPr>
        <w:tabs>
          <w:tab w:val="clear" w:pos="2629"/>
        </w:tabs>
        <w:ind w:left="0"/>
      </w:pPr>
      <w:r w:rsidRPr="007960A2">
        <w:t xml:space="preserve">E.B. was overjoyed and called her mother to tell her she had the job as </w:t>
      </w:r>
      <w:r w:rsidR="0005674E">
        <w:t xml:space="preserve">a </w:t>
      </w:r>
      <w:r w:rsidRPr="007960A2">
        <w:t>server and would receive her schedule shortly.</w:t>
      </w:r>
    </w:p>
    <w:p w14:paraId="5ED4E111" w14:textId="18C48688" w:rsidR="00886BBC" w:rsidRPr="007960A2" w:rsidRDefault="0005674E" w:rsidP="001A608D">
      <w:pPr>
        <w:pStyle w:val="Paragraphe"/>
        <w:numPr>
          <w:ilvl w:val="0"/>
          <w:numId w:val="1"/>
        </w:numPr>
        <w:tabs>
          <w:tab w:val="clear" w:pos="2629"/>
        </w:tabs>
        <w:ind w:left="0"/>
      </w:pPr>
      <w:r w:rsidRPr="007960A2">
        <w:t xml:space="preserve">E.B. </w:t>
      </w:r>
      <w:r>
        <w:t xml:space="preserve">knew </w:t>
      </w:r>
      <w:r w:rsidR="009A2EED" w:rsidRPr="007960A2">
        <w:t xml:space="preserve">that Mr. Sikder </w:t>
      </w:r>
      <w:r w:rsidR="00B96D22">
        <w:t>would</w:t>
      </w:r>
      <w:r w:rsidR="009A2EED" w:rsidRPr="007960A2">
        <w:t xml:space="preserve"> return to </w:t>
      </w:r>
      <w:r>
        <w:t xml:space="preserve">the </w:t>
      </w:r>
      <w:r w:rsidR="009A2EED" w:rsidRPr="007960A2">
        <w:t xml:space="preserve">Bar later and </w:t>
      </w:r>
      <w:r w:rsidR="00B96D22">
        <w:t xml:space="preserve">she </w:t>
      </w:r>
      <w:r w:rsidR="009A2EED" w:rsidRPr="007960A2">
        <w:t>want</w:t>
      </w:r>
      <w:r w:rsidR="00B96D22">
        <w:t>ed</w:t>
      </w:r>
      <w:r w:rsidR="009A2EED" w:rsidRPr="007960A2">
        <w:t xml:space="preserve"> to thank him, </w:t>
      </w:r>
      <w:r w:rsidR="00B96D22">
        <w:t xml:space="preserve">so she </w:t>
      </w:r>
      <w:r w:rsidR="009A2EED" w:rsidRPr="007960A2">
        <w:t xml:space="preserve">decided to stay to </w:t>
      </w:r>
      <w:r w:rsidR="00B96D22">
        <w:t xml:space="preserve">introduce herself </w:t>
      </w:r>
      <w:r w:rsidR="009A2EED" w:rsidRPr="007960A2">
        <w:t xml:space="preserve">in person. She liked the ambiance at the Bar and chatted with Ms. </w:t>
      </w:r>
      <w:r w:rsidR="00644E91">
        <w:t>S.</w:t>
      </w:r>
      <w:r w:rsidR="009A2EED" w:rsidRPr="007960A2">
        <w:t xml:space="preserve"> and the </w:t>
      </w:r>
      <w:r w:rsidR="00B96D22">
        <w:t>customers</w:t>
      </w:r>
      <w:r w:rsidR="009A2EED" w:rsidRPr="007960A2">
        <w:t>, as well as with the disk jockey and his spouse.</w:t>
      </w:r>
    </w:p>
    <w:p w14:paraId="27CB3406" w14:textId="24B24558" w:rsidR="00886BBC" w:rsidRPr="007960A2" w:rsidRDefault="009A2EED" w:rsidP="001A608D">
      <w:pPr>
        <w:pStyle w:val="Paragraphe"/>
        <w:numPr>
          <w:ilvl w:val="0"/>
          <w:numId w:val="1"/>
        </w:numPr>
        <w:tabs>
          <w:tab w:val="clear" w:pos="2629"/>
        </w:tabs>
        <w:ind w:left="0"/>
      </w:pPr>
      <w:r w:rsidRPr="007960A2">
        <w:t xml:space="preserve">Mr. Sikder arrived a few hours later, around 1 a.m. He invited E.B. into his office and asked her </w:t>
      </w:r>
      <w:r w:rsidR="00B96D22">
        <w:t>what she thought about</w:t>
      </w:r>
      <w:r w:rsidRPr="007960A2">
        <w:t xml:space="preserve"> the training.</w:t>
      </w:r>
      <w:r w:rsidR="00E641F1" w:rsidRPr="007960A2">
        <w:t xml:space="preserve"> </w:t>
      </w:r>
      <w:r w:rsidRPr="007960A2">
        <w:t>He then asked her whether she was trans.</w:t>
      </w:r>
    </w:p>
    <w:p w14:paraId="3997A4C5" w14:textId="766B6336" w:rsidR="00886BBC" w:rsidRPr="007960A2" w:rsidRDefault="009A2EED" w:rsidP="001A608D">
      <w:pPr>
        <w:pStyle w:val="Paragraphe"/>
        <w:numPr>
          <w:ilvl w:val="0"/>
          <w:numId w:val="1"/>
        </w:numPr>
        <w:tabs>
          <w:tab w:val="clear" w:pos="2629"/>
        </w:tabs>
        <w:ind w:left="0"/>
      </w:pPr>
      <w:r w:rsidRPr="007960A2">
        <w:t xml:space="preserve">E.B. answered </w:t>
      </w:r>
      <w:r w:rsidR="00A75D45">
        <w:t>in the affirmative</w:t>
      </w:r>
      <w:r w:rsidR="00A75D45" w:rsidRPr="007960A2">
        <w:t xml:space="preserve"> </w:t>
      </w:r>
      <w:r w:rsidRPr="007960A2">
        <w:t>and said that all her legal documents were up-to-date</w:t>
      </w:r>
      <w:r w:rsidR="00B96D22">
        <w:t xml:space="preserve"> and that</w:t>
      </w:r>
      <w:r w:rsidRPr="007960A2">
        <w:t xml:space="preserve"> she had completed her transition, had </w:t>
      </w:r>
      <w:r w:rsidR="00B96D22">
        <w:t xml:space="preserve">undergone </w:t>
      </w:r>
      <w:r w:rsidRPr="007960A2">
        <w:t>sex reassignment surgery, and was a woman.</w:t>
      </w:r>
    </w:p>
    <w:p w14:paraId="0998E433" w14:textId="2207A0B8" w:rsidR="00886BBC" w:rsidRPr="007960A2" w:rsidRDefault="009A2EED" w:rsidP="001A608D">
      <w:pPr>
        <w:pStyle w:val="Paragraphe"/>
        <w:numPr>
          <w:ilvl w:val="0"/>
          <w:numId w:val="1"/>
        </w:numPr>
        <w:tabs>
          <w:tab w:val="clear" w:pos="2629"/>
        </w:tabs>
        <w:ind w:left="0"/>
      </w:pPr>
      <w:r w:rsidRPr="007960A2">
        <w:t xml:space="preserve">Mr. Sikder immediately </w:t>
      </w:r>
      <w:r w:rsidR="00B96D22">
        <w:t xml:space="preserve">informed </w:t>
      </w:r>
      <w:r w:rsidRPr="007960A2">
        <w:t>her that he could not hire her.</w:t>
      </w:r>
    </w:p>
    <w:p w14:paraId="497728B5" w14:textId="06370BF7" w:rsidR="00886BBC" w:rsidRPr="007960A2" w:rsidRDefault="009A2EED" w:rsidP="001A608D">
      <w:pPr>
        <w:pStyle w:val="Paragraphe"/>
        <w:numPr>
          <w:ilvl w:val="0"/>
          <w:numId w:val="1"/>
        </w:numPr>
        <w:tabs>
          <w:tab w:val="clear" w:pos="2629"/>
        </w:tabs>
        <w:ind w:left="0"/>
      </w:pPr>
      <w:r w:rsidRPr="007960A2">
        <w:t xml:space="preserve">E.B. </w:t>
      </w:r>
      <w:r w:rsidR="00B96D22">
        <w:t xml:space="preserve">replied </w:t>
      </w:r>
      <w:r w:rsidRPr="007960A2">
        <w:t xml:space="preserve">that it was discrimination, that under the </w:t>
      </w:r>
      <w:r w:rsidRPr="007960A2">
        <w:rPr>
          <w:i/>
        </w:rPr>
        <w:t>Charter</w:t>
      </w:r>
      <w:r w:rsidR="005626A9">
        <w:rPr>
          <w:iCs/>
        </w:rPr>
        <w:t>,</w:t>
      </w:r>
      <w:r w:rsidRPr="007960A2">
        <w:t xml:space="preserve"> he could not refuse to hire her for th</w:t>
      </w:r>
      <w:r w:rsidR="00B96D22">
        <w:t>is</w:t>
      </w:r>
      <w:r w:rsidRPr="007960A2">
        <w:t xml:space="preserve"> reason, that it would be like refusing to hire a woman because she is pregnant.</w:t>
      </w:r>
    </w:p>
    <w:p w14:paraId="7B6179B9" w14:textId="04490309" w:rsidR="00793CCF" w:rsidRPr="007960A2" w:rsidRDefault="009A2EED" w:rsidP="001A608D">
      <w:pPr>
        <w:pStyle w:val="Paragraphe"/>
        <w:numPr>
          <w:ilvl w:val="0"/>
          <w:numId w:val="1"/>
        </w:numPr>
        <w:tabs>
          <w:tab w:val="clear" w:pos="2629"/>
        </w:tabs>
        <w:ind w:left="0"/>
      </w:pPr>
      <w:r w:rsidRPr="007960A2">
        <w:t>Mr. Sikder was indifferent to these arguments and told her:</w:t>
      </w:r>
    </w:p>
    <w:p w14:paraId="3F1E0E35" w14:textId="4CD164FF" w:rsidR="00B96D22" w:rsidRDefault="00B96D22" w:rsidP="00793CCF">
      <w:pPr>
        <w:pStyle w:val="Paragraphe"/>
        <w:ind w:left="567"/>
        <w:rPr>
          <w:sz w:val="22"/>
          <w:szCs w:val="22"/>
        </w:rPr>
      </w:pPr>
      <w:r>
        <w:rPr>
          <w:rFonts w:cs="Arial"/>
          <w:sz w:val="22"/>
          <w:szCs w:val="22"/>
        </w:rPr>
        <w:t>[</w:t>
      </w:r>
      <w:r>
        <w:rPr>
          <w:rFonts w:cs="Arial"/>
          <w:smallCaps/>
          <w:sz w:val="22"/>
          <w:szCs w:val="22"/>
        </w:rPr>
        <w:t>translation</w:t>
      </w:r>
      <w:r>
        <w:rPr>
          <w:rFonts w:cs="Arial"/>
          <w:sz w:val="22"/>
          <w:szCs w:val="22"/>
        </w:rPr>
        <w:t>]</w:t>
      </w:r>
    </w:p>
    <w:p w14:paraId="6587A378" w14:textId="7D8865D2" w:rsidR="00793CCF" w:rsidRPr="007960A2" w:rsidRDefault="009A2EED" w:rsidP="00793CCF">
      <w:pPr>
        <w:pStyle w:val="Paragraphe"/>
        <w:ind w:left="567"/>
        <w:rPr>
          <w:sz w:val="22"/>
          <w:szCs w:val="22"/>
        </w:rPr>
      </w:pPr>
      <w:r w:rsidRPr="007960A2">
        <w:rPr>
          <w:sz w:val="22"/>
          <w:szCs w:val="22"/>
        </w:rPr>
        <w:t xml:space="preserve">Yes, you can hear it a </w:t>
      </w:r>
      <w:r w:rsidR="00B96D22">
        <w:rPr>
          <w:sz w:val="22"/>
          <w:szCs w:val="22"/>
        </w:rPr>
        <w:t>little</w:t>
      </w:r>
      <w:r w:rsidRPr="007960A2">
        <w:rPr>
          <w:sz w:val="22"/>
          <w:szCs w:val="22"/>
        </w:rPr>
        <w:t xml:space="preserve"> in your voice.</w:t>
      </w:r>
      <w:r w:rsidR="00E641F1" w:rsidRPr="007960A2">
        <w:rPr>
          <w:sz w:val="22"/>
          <w:szCs w:val="22"/>
        </w:rPr>
        <w:t xml:space="preserve"> </w:t>
      </w:r>
      <w:r w:rsidRPr="007960A2">
        <w:rPr>
          <w:sz w:val="22"/>
          <w:szCs w:val="22"/>
        </w:rPr>
        <w:t>It doesn’t bother me, but my father is against it...</w:t>
      </w:r>
      <w:r w:rsidR="00E641F1" w:rsidRPr="007960A2">
        <w:rPr>
          <w:sz w:val="22"/>
          <w:szCs w:val="22"/>
        </w:rPr>
        <w:t xml:space="preserve"> </w:t>
      </w:r>
      <w:r w:rsidRPr="007960A2">
        <w:rPr>
          <w:sz w:val="22"/>
          <w:szCs w:val="22"/>
        </w:rPr>
        <w:t>Just last week I had to throw out someone with a baseball bat.</w:t>
      </w:r>
      <w:r w:rsidR="00E641F1" w:rsidRPr="007960A2">
        <w:rPr>
          <w:sz w:val="22"/>
          <w:szCs w:val="22"/>
        </w:rPr>
        <w:t xml:space="preserve"> </w:t>
      </w:r>
      <w:r w:rsidRPr="007960A2">
        <w:rPr>
          <w:sz w:val="22"/>
          <w:szCs w:val="22"/>
        </w:rPr>
        <w:t xml:space="preserve">The </w:t>
      </w:r>
      <w:r w:rsidR="00B96D22">
        <w:rPr>
          <w:sz w:val="22"/>
          <w:szCs w:val="22"/>
        </w:rPr>
        <w:t xml:space="preserve">customers </w:t>
      </w:r>
      <w:r w:rsidRPr="007960A2">
        <w:rPr>
          <w:sz w:val="22"/>
          <w:szCs w:val="22"/>
        </w:rPr>
        <w:t>are old</w:t>
      </w:r>
      <w:r w:rsidR="00E641F1" w:rsidRPr="007960A2">
        <w:rPr>
          <w:sz w:val="22"/>
          <w:szCs w:val="22"/>
        </w:rPr>
        <w:t xml:space="preserve"> school</w:t>
      </w:r>
      <w:r w:rsidRPr="007960A2">
        <w:rPr>
          <w:sz w:val="22"/>
          <w:szCs w:val="22"/>
        </w:rPr>
        <w:t>, I don’t want to have to defend you every day.</w:t>
      </w:r>
    </w:p>
    <w:p w14:paraId="1F9716C6" w14:textId="501258CC" w:rsidR="00793CCF" w:rsidRPr="007960A2" w:rsidRDefault="00E641F1" w:rsidP="00BB198A">
      <w:pPr>
        <w:pStyle w:val="Paragraphe"/>
        <w:keepNext/>
        <w:ind w:left="567"/>
        <w:rPr>
          <w:sz w:val="22"/>
          <w:szCs w:val="22"/>
        </w:rPr>
      </w:pPr>
      <w:r w:rsidRPr="007960A2">
        <w:rPr>
          <w:rFonts w:cs="Arial"/>
          <w:sz w:val="22"/>
          <w:szCs w:val="22"/>
        </w:rPr>
        <w:lastRenderedPageBreak/>
        <w:t>…</w:t>
      </w:r>
    </w:p>
    <w:p w14:paraId="02517E27" w14:textId="0DD343DF" w:rsidR="00886BBC" w:rsidRPr="007960A2" w:rsidRDefault="009A2EED" w:rsidP="00BB198A">
      <w:pPr>
        <w:pStyle w:val="Paragraphe"/>
        <w:keepNext/>
        <w:ind w:left="567"/>
        <w:rPr>
          <w:sz w:val="22"/>
          <w:szCs w:val="22"/>
        </w:rPr>
      </w:pPr>
      <w:bookmarkStart w:id="2" w:name="_Ref168403228"/>
      <w:r w:rsidRPr="007960A2">
        <w:rPr>
          <w:sz w:val="22"/>
          <w:szCs w:val="22"/>
        </w:rPr>
        <w:t>I can offer you a drink before you leave.</w:t>
      </w:r>
      <w:r w:rsidR="00E641F1" w:rsidRPr="007960A2">
        <w:rPr>
          <w:rStyle w:val="Appelnotedebasdep"/>
          <w:sz w:val="22"/>
          <w:szCs w:val="22"/>
        </w:rPr>
        <w:footnoteReference w:id="4"/>
      </w:r>
      <w:bookmarkEnd w:id="2"/>
    </w:p>
    <w:p w14:paraId="0B6157F1" w14:textId="05CE18F0" w:rsidR="00886BBC" w:rsidRPr="007960A2" w:rsidRDefault="009A2EED" w:rsidP="00394428">
      <w:pPr>
        <w:pStyle w:val="Paragraphe"/>
        <w:numPr>
          <w:ilvl w:val="0"/>
          <w:numId w:val="1"/>
        </w:numPr>
        <w:tabs>
          <w:tab w:val="clear" w:pos="2629"/>
        </w:tabs>
        <w:ind w:left="0"/>
      </w:pPr>
      <w:r w:rsidRPr="007960A2">
        <w:t>E.B. was not paid for her training at the Bar and did not receive her share of the tips.</w:t>
      </w:r>
    </w:p>
    <w:p w14:paraId="30776DC1" w14:textId="6368DE22" w:rsidR="00886BBC" w:rsidRPr="007960A2" w:rsidRDefault="009A2EED" w:rsidP="00394428">
      <w:pPr>
        <w:pStyle w:val="Paragraphe"/>
        <w:numPr>
          <w:ilvl w:val="0"/>
          <w:numId w:val="1"/>
        </w:numPr>
        <w:tabs>
          <w:tab w:val="clear" w:pos="2629"/>
        </w:tabs>
        <w:ind w:left="0"/>
      </w:pPr>
      <w:r w:rsidRPr="007960A2">
        <w:t xml:space="preserve">Devastated, E.B. left the office and told Ms. </w:t>
      </w:r>
      <w:r w:rsidR="00644E91">
        <w:t>S.</w:t>
      </w:r>
      <w:r w:rsidRPr="007960A2">
        <w:t xml:space="preserve"> why she was not being hired.</w:t>
      </w:r>
      <w:r w:rsidR="00E641F1" w:rsidRPr="007960A2">
        <w:t xml:space="preserve"> </w:t>
      </w:r>
      <w:r w:rsidRPr="007960A2">
        <w:t xml:space="preserve">E.B. did not expect </w:t>
      </w:r>
      <w:r w:rsidR="00683E05">
        <w:t>this</w:t>
      </w:r>
      <w:r w:rsidR="00226981">
        <w:t>;</w:t>
      </w:r>
      <w:r w:rsidR="00226981" w:rsidRPr="007960A2">
        <w:t xml:space="preserve"> </w:t>
      </w:r>
      <w:r w:rsidRPr="007960A2">
        <w:t xml:space="preserve">she was shocked and felt like everything had just </w:t>
      </w:r>
      <w:r w:rsidR="00126E69">
        <w:t>collapsed</w:t>
      </w:r>
      <w:r w:rsidRPr="007960A2">
        <w:t>.</w:t>
      </w:r>
      <w:r w:rsidR="00E641F1" w:rsidRPr="007960A2">
        <w:t xml:space="preserve"> </w:t>
      </w:r>
      <w:r w:rsidRPr="007960A2">
        <w:t>She was discouraged.</w:t>
      </w:r>
    </w:p>
    <w:p w14:paraId="70BA4E3B" w14:textId="3798CC44" w:rsidR="00886BBC" w:rsidRPr="007960A2" w:rsidRDefault="009A2EED" w:rsidP="00394428">
      <w:pPr>
        <w:pStyle w:val="Paragraphe"/>
        <w:numPr>
          <w:ilvl w:val="0"/>
          <w:numId w:val="1"/>
        </w:numPr>
        <w:tabs>
          <w:tab w:val="clear" w:pos="2629"/>
        </w:tabs>
        <w:ind w:left="0"/>
      </w:pPr>
      <w:r w:rsidRPr="007960A2">
        <w:t xml:space="preserve">Ms. </w:t>
      </w:r>
      <w:r w:rsidR="00644E91">
        <w:t>S.</w:t>
      </w:r>
      <w:r w:rsidRPr="007960A2">
        <w:t xml:space="preserve"> told her that she </w:t>
      </w:r>
      <w:r w:rsidR="002B56EA">
        <w:t>was aware</w:t>
      </w:r>
      <w:r w:rsidRPr="007960A2">
        <w:t xml:space="preserve"> and had defended her because she was amply satisfied with her </w:t>
      </w:r>
      <w:r w:rsidR="002B56EA">
        <w:t xml:space="preserve">work </w:t>
      </w:r>
      <w:r w:rsidRPr="007960A2">
        <w:t>performance during the training.</w:t>
      </w:r>
      <w:r w:rsidRPr="007960A2">
        <w:rPr>
          <w:rStyle w:val="Appelnotedebasdep"/>
        </w:rPr>
        <w:footnoteReference w:id="5"/>
      </w:r>
    </w:p>
    <w:p w14:paraId="3658292E" w14:textId="03F2DDD1" w:rsidR="00886BBC" w:rsidRPr="007960A2" w:rsidRDefault="009A2EED" w:rsidP="00394428">
      <w:pPr>
        <w:pStyle w:val="Paragraphe"/>
        <w:numPr>
          <w:ilvl w:val="0"/>
          <w:numId w:val="1"/>
        </w:numPr>
        <w:tabs>
          <w:tab w:val="clear" w:pos="2629"/>
        </w:tabs>
        <w:ind w:left="0"/>
      </w:pPr>
      <w:r w:rsidRPr="007960A2">
        <w:t xml:space="preserve">Despite Ms. </w:t>
      </w:r>
      <w:r w:rsidR="00644E91">
        <w:t>S.</w:t>
      </w:r>
      <w:r w:rsidRPr="00C07F47">
        <w:t>’</w:t>
      </w:r>
      <w:r w:rsidRPr="007960A2">
        <w:t>s positive comments about E.B., Mr. Sikder firm</w:t>
      </w:r>
      <w:r w:rsidR="00E641F1" w:rsidRPr="007960A2">
        <w:t>ly</w:t>
      </w:r>
      <w:r w:rsidRPr="007960A2">
        <w:t xml:space="preserve"> refused to hire her.</w:t>
      </w:r>
    </w:p>
    <w:p w14:paraId="6F308F9E" w14:textId="1E02707C" w:rsidR="00886BBC" w:rsidRPr="007960A2" w:rsidRDefault="009A2EED" w:rsidP="00394428">
      <w:pPr>
        <w:pStyle w:val="Paragraphe"/>
        <w:numPr>
          <w:ilvl w:val="0"/>
          <w:numId w:val="1"/>
        </w:numPr>
        <w:tabs>
          <w:tab w:val="clear" w:pos="2629"/>
        </w:tabs>
        <w:ind w:left="0"/>
      </w:pPr>
      <w:r w:rsidRPr="007960A2">
        <w:t xml:space="preserve">E.B. went to her car and </w:t>
      </w:r>
      <w:r w:rsidR="002B56EA">
        <w:t>burst into tears</w:t>
      </w:r>
      <w:r w:rsidRPr="007960A2">
        <w:t>.</w:t>
      </w:r>
      <w:r w:rsidR="00E641F1" w:rsidRPr="007960A2">
        <w:t xml:space="preserve"> </w:t>
      </w:r>
      <w:r w:rsidRPr="007960A2">
        <w:t>She called her mother and told her she was considering suicide.</w:t>
      </w:r>
      <w:r w:rsidR="00E641F1" w:rsidRPr="007960A2">
        <w:t xml:space="preserve"> </w:t>
      </w:r>
      <w:r w:rsidRPr="007960A2">
        <w:t>She was inconsolable</w:t>
      </w:r>
      <w:r w:rsidR="00CF097C">
        <w:t xml:space="preserve">, </w:t>
      </w:r>
      <w:r w:rsidRPr="007960A2">
        <w:t>repeat</w:t>
      </w:r>
      <w:r w:rsidR="00CF097C">
        <w:t>ing</w:t>
      </w:r>
      <w:r w:rsidRPr="007960A2">
        <w:t xml:space="preserve"> that her life was ruined because </w:t>
      </w:r>
      <w:r w:rsidR="009A1235">
        <w:t>she would never be a woman due to</w:t>
      </w:r>
      <w:r w:rsidRPr="007960A2">
        <w:t xml:space="preserve"> her voice.</w:t>
      </w:r>
      <w:r w:rsidR="00E641F1" w:rsidRPr="007960A2">
        <w:t xml:space="preserve"> </w:t>
      </w:r>
      <w:r w:rsidRPr="007960A2">
        <w:t>She revealed a rather detailed plan to use her car to cause a fatal collision.</w:t>
      </w:r>
    </w:p>
    <w:p w14:paraId="35028C4C" w14:textId="01BE323E" w:rsidR="00886BBC" w:rsidRPr="007960A2" w:rsidRDefault="009A2EED" w:rsidP="00394428">
      <w:pPr>
        <w:pStyle w:val="Paragraphe"/>
        <w:numPr>
          <w:ilvl w:val="0"/>
          <w:numId w:val="1"/>
        </w:numPr>
        <w:tabs>
          <w:tab w:val="clear" w:pos="2629"/>
        </w:tabs>
        <w:ind w:left="0"/>
      </w:pPr>
      <w:r w:rsidRPr="007960A2">
        <w:t xml:space="preserve">E.B.’s mother, then her sister, managed to console her </w:t>
      </w:r>
      <w:r w:rsidR="00CF097C">
        <w:t xml:space="preserve">somewhat </w:t>
      </w:r>
      <w:r w:rsidRPr="007960A2">
        <w:t>and convince her not to do anything.</w:t>
      </w:r>
    </w:p>
    <w:p w14:paraId="3DCD08AA" w14:textId="00301841" w:rsidR="00886BBC" w:rsidRPr="007960A2" w:rsidRDefault="009A2EED" w:rsidP="00394428">
      <w:pPr>
        <w:pStyle w:val="Paragraphe"/>
        <w:numPr>
          <w:ilvl w:val="0"/>
          <w:numId w:val="1"/>
        </w:numPr>
        <w:tabs>
          <w:tab w:val="clear" w:pos="2629"/>
        </w:tabs>
        <w:ind w:left="0"/>
      </w:pPr>
      <w:r w:rsidRPr="007960A2">
        <w:t xml:space="preserve">The next day, E.B. felt </w:t>
      </w:r>
      <w:r w:rsidR="00CF097C">
        <w:t xml:space="preserve">that </w:t>
      </w:r>
      <w:r w:rsidRPr="007960A2">
        <w:t>she had been wronged and tried to contact Mr. Sikder again on Facebook.</w:t>
      </w:r>
      <w:r w:rsidR="00E641F1" w:rsidRPr="007960A2">
        <w:t xml:space="preserve"> </w:t>
      </w:r>
      <w:r w:rsidRPr="007960A2">
        <w:t xml:space="preserve">She sent him an excerpt from the </w:t>
      </w:r>
      <w:r w:rsidRPr="007960A2">
        <w:rPr>
          <w:i/>
        </w:rPr>
        <w:t>Charter</w:t>
      </w:r>
      <w:r w:rsidRPr="007960A2">
        <w:t xml:space="preserve"> stating that </w:t>
      </w:r>
      <w:r w:rsidR="007D3EB8">
        <w:t>the</w:t>
      </w:r>
      <w:r w:rsidRPr="007960A2">
        <w:t xml:space="preserve"> refusal to hire </w:t>
      </w:r>
      <w:r w:rsidR="007D3EB8">
        <w:t xml:space="preserve">her because of </w:t>
      </w:r>
      <w:r w:rsidRPr="007960A2">
        <w:t xml:space="preserve">gender identity </w:t>
      </w:r>
      <w:r w:rsidR="007D3EB8">
        <w:t>wa</w:t>
      </w:r>
      <w:r w:rsidRPr="007960A2">
        <w:t>s discriminatory.</w:t>
      </w:r>
      <w:r w:rsidRPr="007960A2">
        <w:rPr>
          <w:rStyle w:val="Appelnotedebasdep"/>
        </w:rPr>
        <w:footnoteReference w:id="6"/>
      </w:r>
      <w:r w:rsidRPr="007960A2">
        <w:t xml:space="preserve"> Mr. Sikder never answered.</w:t>
      </w:r>
    </w:p>
    <w:p w14:paraId="7DD23F6A" w14:textId="7C30DC7E" w:rsidR="00886BBC" w:rsidRPr="007960A2" w:rsidRDefault="009A2EED" w:rsidP="00394428">
      <w:pPr>
        <w:pStyle w:val="Paragraphe"/>
        <w:numPr>
          <w:ilvl w:val="0"/>
          <w:numId w:val="1"/>
        </w:numPr>
        <w:tabs>
          <w:tab w:val="clear" w:pos="2629"/>
        </w:tabs>
        <w:ind w:left="0"/>
      </w:pPr>
      <w:r w:rsidRPr="007960A2">
        <w:t>E.B. filed a complaint with the CDPDJ two weeks later.</w:t>
      </w:r>
    </w:p>
    <w:p w14:paraId="05D7C7AA" w14:textId="5EFEB35C" w:rsidR="00886BBC" w:rsidRPr="007960A2" w:rsidRDefault="007D3EB8" w:rsidP="00394428">
      <w:pPr>
        <w:pStyle w:val="Paragraphe"/>
        <w:numPr>
          <w:ilvl w:val="0"/>
          <w:numId w:val="1"/>
        </w:numPr>
        <w:tabs>
          <w:tab w:val="clear" w:pos="2629"/>
        </w:tabs>
        <w:ind w:left="0"/>
      </w:pPr>
      <w:r w:rsidRPr="007960A2">
        <w:t xml:space="preserve">E.B. was depressed </w:t>
      </w:r>
      <w:r>
        <w:t>i</w:t>
      </w:r>
      <w:r w:rsidR="009A2EED" w:rsidRPr="007960A2">
        <w:t xml:space="preserve">n the days and weeks following the </w:t>
      </w:r>
      <w:r w:rsidR="00E21A03">
        <w:t>incident</w:t>
      </w:r>
      <w:r w:rsidR="009A2EED" w:rsidRPr="007960A2">
        <w:t xml:space="preserve"> on March 31, 2017.</w:t>
      </w:r>
      <w:r w:rsidR="00E641F1" w:rsidRPr="007960A2">
        <w:t xml:space="preserve"> </w:t>
      </w:r>
      <w:r w:rsidR="009A2EED" w:rsidRPr="007960A2">
        <w:t xml:space="preserve">She felt as though </w:t>
      </w:r>
      <w:r w:rsidR="006B2434" w:rsidRPr="007960A2">
        <w:t>her</w:t>
      </w:r>
      <w:r>
        <w:t xml:space="preserve"> </w:t>
      </w:r>
      <w:r w:rsidR="009A1235">
        <w:t xml:space="preserve">wings had been clipped </w:t>
      </w:r>
      <w:r>
        <w:t>after</w:t>
      </w:r>
      <w:r w:rsidR="009A2EED" w:rsidRPr="007960A2">
        <w:t xml:space="preserve"> she had done everything to be considered a </w:t>
      </w:r>
      <w:r>
        <w:rPr>
          <w:rFonts w:cs="Arial"/>
        </w:rPr>
        <w:t>[</w:t>
      </w:r>
      <w:r>
        <w:rPr>
          <w:rFonts w:cs="Arial"/>
          <w:smallCaps/>
        </w:rPr>
        <w:t>translation</w:t>
      </w:r>
      <w:r>
        <w:rPr>
          <w:rFonts w:cs="Arial"/>
        </w:rPr>
        <w:t>]</w:t>
      </w:r>
      <w:r>
        <w:t xml:space="preserve"> </w:t>
      </w:r>
      <w:r w:rsidR="009A2EED" w:rsidRPr="007960A2">
        <w:t>“real woman”.</w:t>
      </w:r>
      <w:r w:rsidR="00E641F1" w:rsidRPr="007960A2">
        <w:t xml:space="preserve"> </w:t>
      </w:r>
      <w:r w:rsidR="009A2EED" w:rsidRPr="007960A2">
        <w:t>She lost all self-esteem.</w:t>
      </w:r>
    </w:p>
    <w:p w14:paraId="42136580" w14:textId="6636E8BB" w:rsidR="00886BBC" w:rsidRPr="007960A2" w:rsidRDefault="009A2EED" w:rsidP="00394428">
      <w:pPr>
        <w:pStyle w:val="Paragraphe"/>
        <w:numPr>
          <w:ilvl w:val="0"/>
          <w:numId w:val="1"/>
        </w:numPr>
        <w:tabs>
          <w:tab w:val="clear" w:pos="2629"/>
        </w:tabs>
        <w:ind w:left="0"/>
      </w:pPr>
      <w:r w:rsidRPr="007960A2">
        <w:t xml:space="preserve">E.B.’s mother </w:t>
      </w:r>
      <w:r w:rsidR="00DA0C35" w:rsidRPr="007960A2">
        <w:t xml:space="preserve">witnessed </w:t>
      </w:r>
      <w:r w:rsidRPr="007960A2">
        <w:t xml:space="preserve">her </w:t>
      </w:r>
      <w:r w:rsidR="000C2D01">
        <w:t>distress</w:t>
      </w:r>
      <w:r w:rsidRPr="007960A2">
        <w:t>, sadness, anxiety, lack of motivation, and depressi</w:t>
      </w:r>
      <w:r w:rsidR="0013566A">
        <w:t>ve state</w:t>
      </w:r>
      <w:r w:rsidRPr="007960A2">
        <w:t>.</w:t>
      </w:r>
      <w:r w:rsidR="00E641F1" w:rsidRPr="007960A2">
        <w:t xml:space="preserve"> </w:t>
      </w:r>
      <w:r w:rsidRPr="007960A2">
        <w:t xml:space="preserve">She also </w:t>
      </w:r>
      <w:r w:rsidR="00DA0C35" w:rsidRPr="007960A2">
        <w:t>observed</w:t>
      </w:r>
      <w:r w:rsidRPr="007960A2">
        <w:t xml:space="preserve"> E.B.’s fear of looking for work and the </w:t>
      </w:r>
      <w:r w:rsidR="009A5101">
        <w:t xml:space="preserve">scars </w:t>
      </w:r>
      <w:r w:rsidRPr="007960A2">
        <w:t>still present today because E.B. is preoccupied with her physical appearance.</w:t>
      </w:r>
    </w:p>
    <w:p w14:paraId="7D29C7CC" w14:textId="5B22599F" w:rsidR="00886BBC" w:rsidRPr="007960A2" w:rsidRDefault="009A2EED" w:rsidP="00394428">
      <w:pPr>
        <w:pStyle w:val="Paragraphe"/>
        <w:numPr>
          <w:ilvl w:val="0"/>
          <w:numId w:val="1"/>
        </w:numPr>
        <w:tabs>
          <w:tab w:val="clear" w:pos="2629"/>
        </w:tabs>
        <w:ind w:left="0"/>
      </w:pPr>
      <w:r w:rsidRPr="007960A2">
        <w:t>E.B. became obsessed with the timb</w:t>
      </w:r>
      <w:r w:rsidR="007D3EB8">
        <w:t>r</w:t>
      </w:r>
      <w:r w:rsidRPr="007960A2">
        <w:t>e of her voice and</w:t>
      </w:r>
      <w:r w:rsidR="00D04761">
        <w:t xml:space="preserve"> subsequently</w:t>
      </w:r>
      <w:r w:rsidRPr="007960A2">
        <w:t xml:space="preserve"> </w:t>
      </w:r>
      <w:r w:rsidR="007D3EB8">
        <w:t>travel</w:t>
      </w:r>
      <w:r w:rsidR="00D04761">
        <w:t>l</w:t>
      </w:r>
      <w:r w:rsidR="007D3EB8">
        <w:t xml:space="preserve">ed </w:t>
      </w:r>
      <w:r w:rsidRPr="007960A2">
        <w:t xml:space="preserve">to the United States </w:t>
      </w:r>
      <w:r w:rsidR="00D04761">
        <w:t xml:space="preserve">twice </w:t>
      </w:r>
      <w:r w:rsidRPr="007960A2">
        <w:t xml:space="preserve">for surgery on her vocal </w:t>
      </w:r>
      <w:r w:rsidR="00350031" w:rsidRPr="007960A2">
        <w:t>cords</w:t>
      </w:r>
      <w:r w:rsidRPr="007960A2">
        <w:t>.</w:t>
      </w:r>
    </w:p>
    <w:p w14:paraId="46E2D751" w14:textId="41C4A054" w:rsidR="00C96B39" w:rsidRPr="007960A2" w:rsidRDefault="009A2EED" w:rsidP="00042D5D">
      <w:pPr>
        <w:pStyle w:val="Paragraphe"/>
        <w:jc w:val="left"/>
        <w:rPr>
          <w:rFonts w:cs="Arial"/>
          <w:b/>
          <w:bCs/>
          <w:color w:val="000000"/>
          <w:u w:val="single"/>
        </w:rPr>
      </w:pPr>
      <w:r w:rsidRPr="007960A2">
        <w:rPr>
          <w:rFonts w:cs="Arial"/>
          <w:b/>
          <w:bCs/>
          <w:color w:val="000000"/>
          <w:u w:val="single"/>
        </w:rPr>
        <w:lastRenderedPageBreak/>
        <w:t>Applicable law on discrimination based on gender identity or expression</w:t>
      </w:r>
    </w:p>
    <w:p w14:paraId="076B2229" w14:textId="2D5B2282" w:rsidR="00C96B39" w:rsidRPr="007960A2" w:rsidRDefault="008F3732" w:rsidP="0069100B">
      <w:pPr>
        <w:pStyle w:val="Paragraphe"/>
        <w:numPr>
          <w:ilvl w:val="0"/>
          <w:numId w:val="1"/>
        </w:numPr>
        <w:tabs>
          <w:tab w:val="clear" w:pos="2629"/>
        </w:tabs>
        <w:ind w:left="0"/>
      </w:pPr>
      <w:r w:rsidRPr="007960A2">
        <w:t xml:space="preserve">The </w:t>
      </w:r>
      <w:r w:rsidRPr="007960A2">
        <w:rPr>
          <w:i/>
        </w:rPr>
        <w:t>Charter</w:t>
      </w:r>
      <w:r w:rsidRPr="007960A2">
        <w:t xml:space="preserve"> </w:t>
      </w:r>
      <w:r w:rsidR="003A43DA">
        <w:t xml:space="preserve">provisions </w:t>
      </w:r>
      <w:r w:rsidRPr="007960A2">
        <w:t>relevant to resolving the dispute are as follows:</w:t>
      </w:r>
    </w:p>
    <w:p w14:paraId="340A294E" w14:textId="093360A3" w:rsidR="00C96B39" w:rsidRPr="007960A2" w:rsidRDefault="00E641F1" w:rsidP="002D79CD">
      <w:pPr>
        <w:pStyle w:val="Citationenretrait"/>
        <w:rPr>
          <w:lang w:val="en-CA"/>
        </w:rPr>
      </w:pPr>
      <w:r w:rsidRPr="007960A2">
        <w:rPr>
          <w:b/>
          <w:bCs/>
          <w:lang w:val="en-CA"/>
        </w:rPr>
        <w:t>4.</w:t>
      </w:r>
      <w:r w:rsidRPr="007960A2">
        <w:rPr>
          <w:lang w:val="en-CA"/>
        </w:rPr>
        <w:tab/>
      </w:r>
      <w:r w:rsidR="008F3732" w:rsidRPr="007960A2">
        <w:rPr>
          <w:lang w:val="en-CA"/>
        </w:rPr>
        <w:t>Every person has a right to the safeguard of his dignity, honour and reputation.</w:t>
      </w:r>
    </w:p>
    <w:p w14:paraId="04DF67D6" w14:textId="52B645CF" w:rsidR="00C96B39" w:rsidRPr="007960A2" w:rsidRDefault="00E641F1" w:rsidP="002D79CD">
      <w:pPr>
        <w:pStyle w:val="Citationenretrait"/>
        <w:rPr>
          <w:lang w:val="en-CA"/>
        </w:rPr>
      </w:pPr>
      <w:r w:rsidRPr="007960A2">
        <w:rPr>
          <w:b/>
          <w:bCs/>
          <w:lang w:val="en-CA"/>
        </w:rPr>
        <w:t>10.</w:t>
      </w:r>
      <w:r w:rsidRPr="007960A2">
        <w:rPr>
          <w:lang w:val="en-CA"/>
        </w:rPr>
        <w:tab/>
      </w:r>
      <w:r w:rsidR="008F3732" w:rsidRPr="007960A2">
        <w:rPr>
          <w:lang w:val="en-CA"/>
        </w:rPr>
        <w:t>Every person has a right to full and equal recognition and exercise of his human rights and freedoms, without distinction, exclusion or preference based on race, colour, sex, gender identity or expression, pregnancy, sexual orientation, civil status, age except as provided by law, religion, political convictions, language, ethnic or national origin, social condition, a handicap or the use of any means to palliate a handicap.</w:t>
      </w:r>
    </w:p>
    <w:p w14:paraId="099F2FB2" w14:textId="50EC7E81" w:rsidR="00C96B39" w:rsidRPr="007960A2" w:rsidRDefault="008F3732" w:rsidP="002D79CD">
      <w:pPr>
        <w:pStyle w:val="Citationenretrait"/>
        <w:rPr>
          <w:lang w:val="en-CA"/>
        </w:rPr>
      </w:pPr>
      <w:r w:rsidRPr="007960A2">
        <w:rPr>
          <w:lang w:val="en-CA"/>
        </w:rPr>
        <w:t>Discrimination exists where such a distinction, exclusion or preference has the effect of nullifying or impairing such right.</w:t>
      </w:r>
    </w:p>
    <w:p w14:paraId="3AF586EC" w14:textId="12D69F7D" w:rsidR="00C96B39" w:rsidRPr="007960A2" w:rsidRDefault="00E641F1" w:rsidP="002D79CD">
      <w:pPr>
        <w:pStyle w:val="Citationenretrait"/>
        <w:rPr>
          <w:lang w:val="en-CA"/>
        </w:rPr>
      </w:pPr>
      <w:r w:rsidRPr="007960A2">
        <w:rPr>
          <w:b/>
          <w:bCs/>
          <w:lang w:val="en-CA"/>
        </w:rPr>
        <w:t>16.</w:t>
      </w:r>
      <w:r w:rsidRPr="007960A2">
        <w:rPr>
          <w:lang w:val="en-CA"/>
        </w:rPr>
        <w:tab/>
      </w:r>
      <w:r w:rsidR="008F3732" w:rsidRPr="007960A2">
        <w:rPr>
          <w:lang w:val="en-CA"/>
        </w:rPr>
        <w:t>No one may practise discrimination in respect of the hiring, apprenticeship, duration of the probationary period, vocational training, promotion, transfer, displacement, laying-off, suspension, dismissal or conditions of employment of a person or in the establishment of categories or classes of employment.</w:t>
      </w:r>
    </w:p>
    <w:p w14:paraId="7845DB9B" w14:textId="6F21C38D" w:rsidR="00C96B39" w:rsidRPr="007960A2" w:rsidRDefault="00E641F1" w:rsidP="002D79CD">
      <w:pPr>
        <w:pStyle w:val="Citationenretrait"/>
        <w:rPr>
          <w:lang w:val="en-CA"/>
        </w:rPr>
      </w:pPr>
      <w:r w:rsidRPr="007960A2">
        <w:rPr>
          <w:b/>
          <w:bCs/>
          <w:lang w:val="en-CA"/>
        </w:rPr>
        <w:t>49.</w:t>
      </w:r>
      <w:r w:rsidRPr="007960A2">
        <w:rPr>
          <w:lang w:val="en-CA"/>
        </w:rPr>
        <w:tab/>
      </w:r>
      <w:r w:rsidR="008F3732" w:rsidRPr="007960A2">
        <w:rPr>
          <w:lang w:val="en-CA"/>
        </w:rPr>
        <w:t>Any unlawful interference with any right or freedom recognized by this Charter entitles the victim to obtain the cessation of such interference and compensation for the moral or material prejudice resulting therefrom.</w:t>
      </w:r>
    </w:p>
    <w:p w14:paraId="2B06BB47" w14:textId="3DEDC6E6" w:rsidR="00C96B39" w:rsidRPr="007960A2" w:rsidRDefault="008F3732" w:rsidP="008E4525">
      <w:pPr>
        <w:pStyle w:val="Citationenretrait"/>
        <w:rPr>
          <w:lang w:val="en-CA"/>
        </w:rPr>
      </w:pPr>
      <w:r w:rsidRPr="007960A2">
        <w:rPr>
          <w:lang w:val="en-CA"/>
        </w:rPr>
        <w:t>In case of unlawful and intentional interference, the tribunal may, in addition, condemn the person guilty of it to punitive damages.</w:t>
      </w:r>
    </w:p>
    <w:p w14:paraId="3C4B50E9" w14:textId="6F319550" w:rsidR="00582630" w:rsidRPr="007960A2" w:rsidRDefault="008F3732" w:rsidP="00042D5D">
      <w:pPr>
        <w:pStyle w:val="Paragraphe"/>
        <w:numPr>
          <w:ilvl w:val="0"/>
          <w:numId w:val="1"/>
        </w:numPr>
        <w:tabs>
          <w:tab w:val="clear" w:pos="2629"/>
        </w:tabs>
        <w:ind w:left="0"/>
      </w:pPr>
      <w:r w:rsidRPr="007960A2">
        <w:rPr>
          <w:rFonts w:cs="Arial"/>
          <w:szCs w:val="24"/>
        </w:rPr>
        <w:t>In recent years, the legislation and case law on gender identity and expression have been rapidly changing.</w:t>
      </w:r>
    </w:p>
    <w:p w14:paraId="306BC460" w14:textId="69446A7A" w:rsidR="00C22DEE" w:rsidRPr="007960A2" w:rsidRDefault="008F3732" w:rsidP="00042D5D">
      <w:pPr>
        <w:pStyle w:val="Paragraphe"/>
        <w:numPr>
          <w:ilvl w:val="0"/>
          <w:numId w:val="1"/>
        </w:numPr>
        <w:tabs>
          <w:tab w:val="clear" w:pos="2629"/>
        </w:tabs>
        <w:ind w:left="0"/>
      </w:pPr>
      <w:r w:rsidRPr="007960A2">
        <w:rPr>
          <w:rFonts w:cs="Arial"/>
          <w:szCs w:val="24"/>
        </w:rPr>
        <w:t xml:space="preserve">Before </w:t>
      </w:r>
      <w:r w:rsidR="00221054">
        <w:rPr>
          <w:rFonts w:cs="Arial"/>
          <w:szCs w:val="24"/>
        </w:rPr>
        <w:t xml:space="preserve">embarking on </w:t>
      </w:r>
      <w:r w:rsidRPr="007960A2">
        <w:rPr>
          <w:rFonts w:cs="Arial"/>
          <w:szCs w:val="24"/>
        </w:rPr>
        <w:t xml:space="preserve"> the analysis, the Tribunal finds it </w:t>
      </w:r>
      <w:r w:rsidR="00C96B2A">
        <w:rPr>
          <w:rFonts w:cs="Arial"/>
          <w:szCs w:val="24"/>
        </w:rPr>
        <w:t>useful</w:t>
      </w:r>
      <w:r w:rsidR="00C96B2A" w:rsidRPr="007960A2">
        <w:rPr>
          <w:rFonts w:cs="Arial"/>
          <w:szCs w:val="24"/>
        </w:rPr>
        <w:t xml:space="preserve"> </w:t>
      </w:r>
      <w:r w:rsidRPr="007960A2">
        <w:rPr>
          <w:rFonts w:cs="Arial"/>
          <w:szCs w:val="24"/>
        </w:rPr>
        <w:t xml:space="preserve">to provide a brief historical overview and </w:t>
      </w:r>
      <w:r w:rsidR="007F633C">
        <w:rPr>
          <w:rFonts w:cs="Arial"/>
          <w:szCs w:val="24"/>
        </w:rPr>
        <w:t xml:space="preserve">a </w:t>
      </w:r>
      <w:r w:rsidRPr="007960A2">
        <w:rPr>
          <w:rFonts w:cs="Arial"/>
          <w:szCs w:val="24"/>
        </w:rPr>
        <w:t xml:space="preserve">review of the </w:t>
      </w:r>
      <w:r w:rsidR="007F633C">
        <w:rPr>
          <w:rFonts w:cs="Arial"/>
          <w:szCs w:val="24"/>
        </w:rPr>
        <w:t>statutory and jurisprudential framework</w:t>
      </w:r>
      <w:r w:rsidRPr="007960A2">
        <w:rPr>
          <w:rFonts w:cs="Arial"/>
          <w:szCs w:val="24"/>
        </w:rPr>
        <w:t xml:space="preserve"> on the matter in Quebec and the rest of Canada.</w:t>
      </w:r>
      <w:r w:rsidR="00590DCF" w:rsidRPr="007960A2">
        <w:rPr>
          <w:rFonts w:cs="Arial"/>
          <w:szCs w:val="24"/>
        </w:rPr>
        <w:t xml:space="preserve"> </w:t>
      </w:r>
      <w:r w:rsidRPr="007960A2">
        <w:rPr>
          <w:rFonts w:cs="Arial"/>
          <w:szCs w:val="24"/>
        </w:rPr>
        <w:t>The terminology has also changed</w:t>
      </w:r>
      <w:r w:rsidR="00F776C2">
        <w:rPr>
          <w:rFonts w:cs="Arial"/>
          <w:szCs w:val="24"/>
        </w:rPr>
        <w:t>,</w:t>
      </w:r>
      <w:r w:rsidRPr="007960A2">
        <w:rPr>
          <w:rFonts w:cs="Arial"/>
          <w:szCs w:val="24"/>
        </w:rPr>
        <w:t xml:space="preserve"> and the Tribunal will use the terms as </w:t>
      </w:r>
      <w:r w:rsidR="00F776C2">
        <w:rPr>
          <w:rFonts w:cs="Arial"/>
          <w:szCs w:val="24"/>
        </w:rPr>
        <w:t>us</w:t>
      </w:r>
      <w:r w:rsidRPr="007960A2">
        <w:rPr>
          <w:rFonts w:cs="Arial"/>
          <w:szCs w:val="24"/>
        </w:rPr>
        <w:t>ed in the different judgments referred to.</w:t>
      </w:r>
      <w:r w:rsidR="00590DCF" w:rsidRPr="007960A2">
        <w:rPr>
          <w:rFonts w:cs="Arial"/>
          <w:szCs w:val="24"/>
        </w:rPr>
        <w:t xml:space="preserve"> </w:t>
      </w:r>
      <w:r w:rsidRPr="007960A2">
        <w:rPr>
          <w:rFonts w:cs="Arial"/>
          <w:szCs w:val="24"/>
        </w:rPr>
        <w:t xml:space="preserve">The Tribunal will end this </w:t>
      </w:r>
      <w:r w:rsidR="00F776C2">
        <w:rPr>
          <w:rFonts w:cs="Arial"/>
          <w:szCs w:val="24"/>
        </w:rPr>
        <w:t xml:space="preserve">section </w:t>
      </w:r>
      <w:r w:rsidRPr="007960A2">
        <w:rPr>
          <w:rFonts w:cs="Arial"/>
          <w:szCs w:val="24"/>
        </w:rPr>
        <w:t xml:space="preserve">with </w:t>
      </w:r>
      <w:r w:rsidR="00F776C2">
        <w:rPr>
          <w:rFonts w:cs="Arial"/>
          <w:szCs w:val="24"/>
        </w:rPr>
        <w:t xml:space="preserve">an attempted </w:t>
      </w:r>
      <w:r w:rsidRPr="007960A2">
        <w:rPr>
          <w:rFonts w:cs="Arial"/>
          <w:szCs w:val="24"/>
        </w:rPr>
        <w:t xml:space="preserve">glossary of the </w:t>
      </w:r>
      <w:r w:rsidR="00221054">
        <w:rPr>
          <w:rFonts w:cs="Arial"/>
          <w:szCs w:val="24"/>
        </w:rPr>
        <w:t>terms</w:t>
      </w:r>
      <w:r w:rsidR="00221054" w:rsidRPr="007960A2">
        <w:rPr>
          <w:rFonts w:cs="Arial"/>
          <w:szCs w:val="24"/>
        </w:rPr>
        <w:t xml:space="preserve"> </w:t>
      </w:r>
      <w:r w:rsidRPr="007960A2">
        <w:rPr>
          <w:rFonts w:cs="Arial"/>
          <w:szCs w:val="24"/>
        </w:rPr>
        <w:t>related to gender identity or expression as they are currently understood.</w:t>
      </w:r>
    </w:p>
    <w:p w14:paraId="31596686" w14:textId="37323EA3" w:rsidR="008F719A" w:rsidRPr="007960A2" w:rsidRDefault="008F3732" w:rsidP="00C96B2A">
      <w:pPr>
        <w:pStyle w:val="Paragraphe"/>
        <w:keepNext/>
        <w:numPr>
          <w:ilvl w:val="0"/>
          <w:numId w:val="6"/>
        </w:numPr>
        <w:spacing w:line="240" w:lineRule="auto"/>
        <w:rPr>
          <w:b/>
          <w:bCs/>
        </w:rPr>
      </w:pPr>
      <w:r w:rsidRPr="007960A2">
        <w:rPr>
          <w:b/>
          <w:bCs/>
        </w:rPr>
        <w:lastRenderedPageBreak/>
        <w:t>Legislative history and case law</w:t>
      </w:r>
    </w:p>
    <w:p w14:paraId="4DBEFFBD" w14:textId="6B972D65" w:rsidR="006657DF" w:rsidRPr="007960A2" w:rsidRDefault="00DA0C35" w:rsidP="00C96B2A">
      <w:pPr>
        <w:pStyle w:val="Paragraphe"/>
        <w:keepNext/>
        <w:numPr>
          <w:ilvl w:val="0"/>
          <w:numId w:val="1"/>
        </w:numPr>
        <w:tabs>
          <w:tab w:val="clear" w:pos="2629"/>
        </w:tabs>
        <w:spacing w:line="240" w:lineRule="auto"/>
        <w:ind w:left="0"/>
      </w:pPr>
      <w:r w:rsidRPr="007960A2">
        <w:rPr>
          <w:rFonts w:cs="Arial"/>
          <w:szCs w:val="24"/>
        </w:rPr>
        <w:t xml:space="preserve">In 1978, the Quebec legislature </w:t>
      </w:r>
      <w:r w:rsidR="004352B6">
        <w:rPr>
          <w:rFonts w:cs="Arial"/>
          <w:szCs w:val="24"/>
        </w:rPr>
        <w:t>introduced,</w:t>
      </w:r>
      <w:r w:rsidR="00526D02">
        <w:rPr>
          <w:rFonts w:cs="Arial"/>
          <w:szCs w:val="24"/>
        </w:rPr>
        <w:t xml:space="preserve"> in </w:t>
      </w:r>
      <w:r w:rsidRPr="007960A2">
        <w:rPr>
          <w:rFonts w:cs="Arial"/>
          <w:szCs w:val="24"/>
        </w:rPr>
        <w:t xml:space="preserve">the </w:t>
      </w:r>
      <w:r w:rsidRPr="007960A2">
        <w:rPr>
          <w:rFonts w:cs="Arial"/>
          <w:i/>
          <w:szCs w:val="24"/>
        </w:rPr>
        <w:t>Civil Code of Québec</w:t>
      </w:r>
      <w:r w:rsidRPr="007960A2">
        <w:rPr>
          <w:rFonts w:cs="Arial"/>
          <w:szCs w:val="24"/>
        </w:rPr>
        <w:t xml:space="preserve"> (CCQ)</w:t>
      </w:r>
      <w:r w:rsidR="00526D02">
        <w:rPr>
          <w:rFonts w:cs="Arial"/>
          <w:szCs w:val="24"/>
        </w:rPr>
        <w:t>,</w:t>
      </w:r>
      <w:r w:rsidRPr="007960A2">
        <w:rPr>
          <w:rFonts w:cs="Arial"/>
          <w:szCs w:val="24"/>
        </w:rPr>
        <w:t xml:space="preserve"> </w:t>
      </w:r>
      <w:r w:rsidR="004352B6">
        <w:rPr>
          <w:rFonts w:cs="Arial"/>
          <w:szCs w:val="24"/>
        </w:rPr>
        <w:t xml:space="preserve">the possibility </w:t>
      </w:r>
      <w:r w:rsidRPr="007960A2">
        <w:rPr>
          <w:rFonts w:cs="Arial"/>
          <w:szCs w:val="24"/>
        </w:rPr>
        <w:t xml:space="preserve">to change </w:t>
      </w:r>
      <w:r w:rsidR="004352B6">
        <w:rPr>
          <w:rFonts w:cs="Arial"/>
          <w:szCs w:val="24"/>
        </w:rPr>
        <w:t xml:space="preserve">one’s </w:t>
      </w:r>
      <w:r w:rsidRPr="007960A2">
        <w:rPr>
          <w:rFonts w:cs="Arial"/>
          <w:szCs w:val="24"/>
        </w:rPr>
        <w:t xml:space="preserve">name and </w:t>
      </w:r>
      <w:r w:rsidR="00526D02">
        <w:rPr>
          <w:rFonts w:cs="Arial"/>
          <w:szCs w:val="24"/>
        </w:rPr>
        <w:t xml:space="preserve">designation of </w:t>
      </w:r>
      <w:r w:rsidRPr="007960A2">
        <w:rPr>
          <w:rFonts w:cs="Arial"/>
          <w:szCs w:val="24"/>
        </w:rPr>
        <w:t xml:space="preserve">sex in the </w:t>
      </w:r>
      <w:r w:rsidR="00526D02">
        <w:rPr>
          <w:rFonts w:cs="Arial"/>
          <w:szCs w:val="24"/>
        </w:rPr>
        <w:t>register of c</w:t>
      </w:r>
      <w:r w:rsidRPr="007960A2">
        <w:rPr>
          <w:rFonts w:cs="Arial"/>
          <w:szCs w:val="24"/>
        </w:rPr>
        <w:t xml:space="preserve">ivil </w:t>
      </w:r>
      <w:r w:rsidR="00526D02">
        <w:rPr>
          <w:rFonts w:cs="Arial"/>
          <w:szCs w:val="24"/>
        </w:rPr>
        <w:t>s</w:t>
      </w:r>
      <w:r w:rsidRPr="007960A2">
        <w:rPr>
          <w:rFonts w:cs="Arial"/>
          <w:szCs w:val="24"/>
        </w:rPr>
        <w:t>tatus</w:t>
      </w:r>
      <w:r w:rsidRPr="007960A2">
        <w:rPr>
          <w:rStyle w:val="Appelnotedebasdep"/>
          <w:rFonts w:cs="Arial"/>
          <w:szCs w:val="24"/>
        </w:rPr>
        <w:footnoteReference w:id="7"/>
      </w:r>
      <w:r w:rsidR="004352B6">
        <w:rPr>
          <w:rFonts w:cs="Arial"/>
          <w:szCs w:val="24"/>
        </w:rPr>
        <w:t>,</w:t>
      </w:r>
      <w:r w:rsidRPr="007960A2">
        <w:rPr>
          <w:rFonts w:cs="Arial"/>
          <w:szCs w:val="24"/>
        </w:rPr>
        <w:t xml:space="preserve"> th</w:t>
      </w:r>
      <w:r w:rsidR="00526D02">
        <w:rPr>
          <w:rFonts w:cs="Arial"/>
          <w:szCs w:val="24"/>
        </w:rPr>
        <w:t>ereby</w:t>
      </w:r>
      <w:r w:rsidRPr="007960A2">
        <w:rPr>
          <w:rFonts w:cs="Arial"/>
          <w:szCs w:val="24"/>
        </w:rPr>
        <w:t xml:space="preserve"> recognizing the existence of transgender </w:t>
      </w:r>
      <w:r w:rsidR="00526D02">
        <w:rPr>
          <w:rFonts w:cs="Arial"/>
          <w:szCs w:val="24"/>
        </w:rPr>
        <w:t xml:space="preserve">people </w:t>
      </w:r>
      <w:r w:rsidRPr="007960A2">
        <w:rPr>
          <w:rFonts w:cs="Arial"/>
          <w:szCs w:val="24"/>
        </w:rPr>
        <w:t>in Quebec law.</w:t>
      </w:r>
    </w:p>
    <w:p w14:paraId="3365E66E" w14:textId="12A99CE7" w:rsidR="004A66B4" w:rsidRPr="007960A2" w:rsidRDefault="00DA0C35" w:rsidP="009F3DEC">
      <w:pPr>
        <w:pStyle w:val="Paragraphe"/>
        <w:numPr>
          <w:ilvl w:val="0"/>
          <w:numId w:val="1"/>
        </w:numPr>
        <w:tabs>
          <w:tab w:val="clear" w:pos="2629"/>
        </w:tabs>
        <w:ind w:left="0"/>
      </w:pPr>
      <w:r w:rsidRPr="007960A2">
        <w:rPr>
          <w:rFonts w:cs="Arial"/>
          <w:iCs/>
          <w:szCs w:val="24"/>
        </w:rPr>
        <w:t xml:space="preserve">In 1998, in </w:t>
      </w:r>
      <w:r w:rsidRPr="007960A2">
        <w:rPr>
          <w:rFonts w:cs="Arial"/>
          <w:i/>
          <w:iCs/>
          <w:szCs w:val="24"/>
        </w:rPr>
        <w:t>Maison des jeunes</w:t>
      </w:r>
      <w:bookmarkStart w:id="3" w:name="_Ref168403421"/>
      <w:r w:rsidRPr="007960A2">
        <w:rPr>
          <w:rFonts w:cs="Arial"/>
          <w:szCs w:val="24"/>
          <w:vertAlign w:val="superscript"/>
        </w:rPr>
        <w:footnoteReference w:id="8"/>
      </w:r>
      <w:bookmarkEnd w:id="3"/>
      <w:r w:rsidR="004352B6">
        <w:rPr>
          <w:rFonts w:cs="Arial"/>
          <w:iCs/>
          <w:szCs w:val="24"/>
        </w:rPr>
        <w:t>,</w:t>
      </w:r>
      <w:r w:rsidRPr="007960A2">
        <w:rPr>
          <w:rFonts w:cs="Arial"/>
          <w:szCs w:val="24"/>
        </w:rPr>
        <w:t xml:space="preserve"> </w:t>
      </w:r>
      <w:r w:rsidR="00526D02">
        <w:rPr>
          <w:rFonts w:cs="Arial"/>
          <w:szCs w:val="24"/>
        </w:rPr>
        <w:t xml:space="preserve">at a time when </w:t>
      </w:r>
      <w:r w:rsidRPr="007960A2">
        <w:rPr>
          <w:rFonts w:cs="Arial"/>
          <w:szCs w:val="24"/>
        </w:rPr>
        <w:t xml:space="preserve">gender identity and expression did not yet appear </w:t>
      </w:r>
      <w:r w:rsidR="00526D02" w:rsidRPr="007960A2">
        <w:rPr>
          <w:rFonts w:cs="Arial"/>
          <w:szCs w:val="24"/>
        </w:rPr>
        <w:t xml:space="preserve">as grounds of discrimination </w:t>
      </w:r>
      <w:r w:rsidRPr="007960A2">
        <w:rPr>
          <w:rFonts w:cs="Arial"/>
          <w:szCs w:val="24"/>
        </w:rPr>
        <w:t xml:space="preserve">in section 10 of the </w:t>
      </w:r>
      <w:r w:rsidRPr="007960A2">
        <w:rPr>
          <w:rFonts w:cs="Arial"/>
          <w:i/>
          <w:szCs w:val="24"/>
        </w:rPr>
        <w:t>Charter</w:t>
      </w:r>
      <w:r w:rsidRPr="007960A2">
        <w:rPr>
          <w:rFonts w:cs="Arial"/>
          <w:szCs w:val="24"/>
        </w:rPr>
        <w:t xml:space="preserve">, the Human Rights Tribunal considered discrimination against trans people and, as it was </w:t>
      </w:r>
      <w:r w:rsidR="0010656B">
        <w:rPr>
          <w:rFonts w:cs="Arial"/>
          <w:szCs w:val="24"/>
        </w:rPr>
        <w:t>called</w:t>
      </w:r>
      <w:r w:rsidRPr="007960A2">
        <w:rPr>
          <w:rFonts w:cs="Arial"/>
          <w:szCs w:val="24"/>
        </w:rPr>
        <w:t xml:space="preserve"> at the time, transsexuality.</w:t>
      </w:r>
      <w:r w:rsidR="00E641F1" w:rsidRPr="007960A2">
        <w:rPr>
          <w:rFonts w:cs="Arial"/>
          <w:i/>
          <w:iCs/>
          <w:szCs w:val="24"/>
        </w:rPr>
        <w:t xml:space="preserve"> </w:t>
      </w:r>
      <w:r w:rsidRPr="007960A2">
        <w:rPr>
          <w:rFonts w:cs="Arial"/>
          <w:szCs w:val="24"/>
        </w:rPr>
        <w:t>It concluded that discrimination based on transsexuality was covered by the ground of sex.</w:t>
      </w:r>
      <w:r w:rsidRPr="007960A2">
        <w:rPr>
          <w:rStyle w:val="Appelnotedebasdep"/>
          <w:rFonts w:cs="Arial"/>
          <w:szCs w:val="24"/>
        </w:rPr>
        <w:footnoteReference w:id="9"/>
      </w:r>
    </w:p>
    <w:p w14:paraId="6745CB99" w14:textId="4CDD7876" w:rsidR="004A66B4" w:rsidRPr="007960A2" w:rsidRDefault="00DA0C35" w:rsidP="00651A2D">
      <w:pPr>
        <w:pStyle w:val="Paragraphe"/>
        <w:numPr>
          <w:ilvl w:val="0"/>
          <w:numId w:val="1"/>
        </w:numPr>
        <w:tabs>
          <w:tab w:val="clear" w:pos="2629"/>
        </w:tabs>
        <w:spacing w:line="240" w:lineRule="auto"/>
        <w:ind w:left="0"/>
      </w:pPr>
      <w:r w:rsidRPr="007960A2">
        <w:rPr>
          <w:rFonts w:cs="Arial"/>
          <w:szCs w:val="24"/>
        </w:rPr>
        <w:t xml:space="preserve">The discriminatory interference alleged in </w:t>
      </w:r>
      <w:r w:rsidRPr="007960A2">
        <w:rPr>
          <w:rFonts w:cs="Arial"/>
          <w:i/>
          <w:szCs w:val="24"/>
        </w:rPr>
        <w:t>Maison des jeunes</w:t>
      </w:r>
      <w:r w:rsidRPr="007960A2">
        <w:rPr>
          <w:rFonts w:cs="Arial"/>
          <w:szCs w:val="24"/>
        </w:rPr>
        <w:t xml:space="preserve"> occurred in an employment context.</w:t>
      </w:r>
      <w:r w:rsidR="00E641F1" w:rsidRPr="007960A2">
        <w:rPr>
          <w:rFonts w:cs="Arial"/>
          <w:szCs w:val="24"/>
        </w:rPr>
        <w:t xml:space="preserve"> </w:t>
      </w:r>
      <w:r w:rsidRPr="007960A2">
        <w:rPr>
          <w:rFonts w:cs="Arial"/>
          <w:szCs w:val="24"/>
        </w:rPr>
        <w:t xml:space="preserve">The complainant </w:t>
      </w:r>
      <w:r w:rsidR="00821371">
        <w:rPr>
          <w:rFonts w:cs="Arial"/>
          <w:szCs w:val="24"/>
        </w:rPr>
        <w:t xml:space="preserve">was </w:t>
      </w:r>
      <w:r w:rsidRPr="007960A2">
        <w:rPr>
          <w:rFonts w:cs="Arial"/>
          <w:szCs w:val="24"/>
        </w:rPr>
        <w:t xml:space="preserve">fired during </w:t>
      </w:r>
      <w:r w:rsidR="00821371">
        <w:rPr>
          <w:rFonts w:cs="Arial"/>
          <w:szCs w:val="24"/>
        </w:rPr>
        <w:t>he</w:t>
      </w:r>
      <w:r w:rsidR="0088390A">
        <w:rPr>
          <w:rFonts w:cs="Arial"/>
          <w:szCs w:val="24"/>
        </w:rPr>
        <w:t>r</w:t>
      </w:r>
      <w:r w:rsidR="00821371">
        <w:rPr>
          <w:rFonts w:cs="Arial"/>
          <w:szCs w:val="24"/>
        </w:rPr>
        <w:t xml:space="preserve"> sex</w:t>
      </w:r>
      <w:r w:rsidR="0010656B">
        <w:rPr>
          <w:rFonts w:cs="Arial"/>
          <w:szCs w:val="24"/>
        </w:rPr>
        <w:t xml:space="preserve"> </w:t>
      </w:r>
      <w:r w:rsidR="00821371">
        <w:rPr>
          <w:rFonts w:cs="Arial"/>
          <w:szCs w:val="24"/>
        </w:rPr>
        <w:t>change process</w:t>
      </w:r>
      <w:r w:rsidRPr="007960A2">
        <w:rPr>
          <w:rFonts w:cs="Arial"/>
          <w:szCs w:val="24"/>
        </w:rPr>
        <w:t>.</w:t>
      </w:r>
      <w:r w:rsidRPr="007960A2">
        <w:rPr>
          <w:rStyle w:val="Appelnotedebasdep"/>
          <w:rFonts w:cs="Arial"/>
          <w:szCs w:val="24"/>
        </w:rPr>
        <w:footnoteReference w:id="10"/>
      </w:r>
      <w:r w:rsidR="00E641F1" w:rsidRPr="007960A2">
        <w:rPr>
          <w:rFonts w:cs="Arial"/>
          <w:szCs w:val="24"/>
        </w:rPr>
        <w:t xml:space="preserve"> </w:t>
      </w:r>
      <w:r w:rsidRPr="007960A2">
        <w:rPr>
          <w:rFonts w:cs="Arial"/>
          <w:szCs w:val="24"/>
        </w:rPr>
        <w:t xml:space="preserve">Given that it happened </w:t>
      </w:r>
      <w:r w:rsidR="00821371">
        <w:rPr>
          <w:rFonts w:cs="Arial"/>
          <w:szCs w:val="24"/>
        </w:rPr>
        <w:t xml:space="preserve">concomitantly with </w:t>
      </w:r>
      <w:r w:rsidRPr="007960A2">
        <w:rPr>
          <w:rFonts w:cs="Arial"/>
          <w:szCs w:val="24"/>
        </w:rPr>
        <w:t xml:space="preserve">the sex change, the Tribunal found that </w:t>
      </w:r>
      <w:r w:rsidR="00821371">
        <w:rPr>
          <w:rFonts w:cs="Arial"/>
          <w:szCs w:val="24"/>
        </w:rPr>
        <w:t xml:space="preserve">the </w:t>
      </w:r>
      <w:r w:rsidRPr="007960A2">
        <w:rPr>
          <w:rFonts w:cs="Arial"/>
          <w:szCs w:val="24"/>
        </w:rPr>
        <w:t xml:space="preserve">transsexualism and </w:t>
      </w:r>
      <w:r w:rsidR="00821371">
        <w:rPr>
          <w:rFonts w:cs="Arial"/>
          <w:szCs w:val="24"/>
        </w:rPr>
        <w:t xml:space="preserve">process of changing </w:t>
      </w:r>
      <w:r w:rsidRPr="007960A2">
        <w:rPr>
          <w:rFonts w:cs="Arial"/>
          <w:szCs w:val="24"/>
        </w:rPr>
        <w:t>sex</w:t>
      </w:r>
      <w:r w:rsidR="00821371">
        <w:rPr>
          <w:rFonts w:cs="Arial"/>
          <w:szCs w:val="24"/>
        </w:rPr>
        <w:t>ual</w:t>
      </w:r>
      <w:r w:rsidRPr="007960A2">
        <w:rPr>
          <w:rFonts w:cs="Arial"/>
          <w:szCs w:val="24"/>
        </w:rPr>
        <w:t xml:space="preserve"> identity played a role in her dismissal.</w:t>
      </w:r>
      <w:r w:rsidRPr="007960A2">
        <w:rPr>
          <w:rStyle w:val="Appelnotedebasdep"/>
          <w:rFonts w:cs="Arial"/>
          <w:szCs w:val="24"/>
        </w:rPr>
        <w:footnoteReference w:id="11"/>
      </w:r>
      <w:r w:rsidR="00E641F1" w:rsidRPr="007960A2">
        <w:rPr>
          <w:rFonts w:cs="Arial"/>
          <w:szCs w:val="24"/>
        </w:rPr>
        <w:t xml:space="preserve"> </w:t>
      </w:r>
      <w:r w:rsidRPr="007960A2">
        <w:rPr>
          <w:rFonts w:cs="Arial"/>
          <w:szCs w:val="24"/>
        </w:rPr>
        <w:t xml:space="preserve">The Tribunal rejected the defence that her sexual identity would rationally prevent her from performing her job as a </w:t>
      </w:r>
      <w:r w:rsidR="003776F8">
        <w:rPr>
          <w:rFonts w:cs="Arial"/>
          <w:szCs w:val="24"/>
        </w:rPr>
        <w:t xml:space="preserve">youth </w:t>
      </w:r>
      <w:r w:rsidRPr="007960A2">
        <w:rPr>
          <w:rFonts w:cs="Arial"/>
          <w:szCs w:val="24"/>
        </w:rPr>
        <w:t xml:space="preserve">worker and </w:t>
      </w:r>
      <w:r w:rsidR="00821371">
        <w:rPr>
          <w:rFonts w:cs="Arial"/>
          <w:szCs w:val="24"/>
        </w:rPr>
        <w:t xml:space="preserve">would </w:t>
      </w:r>
      <w:r w:rsidRPr="007960A2">
        <w:rPr>
          <w:rFonts w:cs="Arial"/>
          <w:szCs w:val="24"/>
        </w:rPr>
        <w:t>put them at risk.</w:t>
      </w:r>
      <w:r w:rsidRPr="007960A2">
        <w:rPr>
          <w:rStyle w:val="Appelnotedebasdep"/>
          <w:rFonts w:cs="Arial"/>
          <w:szCs w:val="24"/>
        </w:rPr>
        <w:footnoteReference w:id="12"/>
      </w:r>
    </w:p>
    <w:p w14:paraId="7BA08AEA" w14:textId="3DDEDCBF" w:rsidR="00955B3B" w:rsidRPr="007960A2" w:rsidRDefault="00DA0C35" w:rsidP="00651A2D">
      <w:pPr>
        <w:pStyle w:val="Paragraphe"/>
        <w:numPr>
          <w:ilvl w:val="0"/>
          <w:numId w:val="1"/>
        </w:numPr>
        <w:tabs>
          <w:tab w:val="clear" w:pos="2629"/>
        </w:tabs>
        <w:spacing w:line="240" w:lineRule="auto"/>
        <w:ind w:left="0"/>
      </w:pPr>
      <w:r w:rsidRPr="007960A2">
        <w:rPr>
          <w:rFonts w:cs="Arial"/>
          <w:szCs w:val="24"/>
        </w:rPr>
        <w:t>In its analysis, the Tribunal based itself on</w:t>
      </w:r>
      <w:r w:rsidR="00CF278C">
        <w:rPr>
          <w:rFonts w:cs="Arial"/>
          <w:szCs w:val="24"/>
        </w:rPr>
        <w:t>,</w:t>
      </w:r>
      <w:r w:rsidRPr="007960A2">
        <w:rPr>
          <w:rFonts w:cs="Arial"/>
          <w:szCs w:val="24"/>
        </w:rPr>
        <w:t xml:space="preserve"> </w:t>
      </w:r>
      <w:r w:rsidR="00D041E1">
        <w:rPr>
          <w:rFonts w:cs="Arial"/>
          <w:szCs w:val="24"/>
        </w:rPr>
        <w:t xml:space="preserve">one, </w:t>
      </w:r>
      <w:r w:rsidRPr="007960A2">
        <w:rPr>
          <w:rFonts w:cs="Arial"/>
          <w:szCs w:val="24"/>
        </w:rPr>
        <w:t xml:space="preserve">the social changes and </w:t>
      </w:r>
      <w:r w:rsidR="007F7E46">
        <w:rPr>
          <w:rFonts w:cs="Arial"/>
          <w:szCs w:val="24"/>
        </w:rPr>
        <w:t xml:space="preserve">growing </w:t>
      </w:r>
      <w:r w:rsidRPr="007960A2">
        <w:rPr>
          <w:rFonts w:cs="Arial"/>
          <w:szCs w:val="24"/>
        </w:rPr>
        <w:t>awareness of this reality in Quebec</w:t>
      </w:r>
      <w:r w:rsidRPr="007960A2">
        <w:rPr>
          <w:rStyle w:val="Appelnotedebasdep"/>
          <w:rFonts w:cs="Arial"/>
          <w:szCs w:val="24"/>
        </w:rPr>
        <w:footnoteReference w:id="13"/>
      </w:r>
      <w:r w:rsidRPr="007960A2">
        <w:rPr>
          <w:rFonts w:cs="Arial"/>
          <w:szCs w:val="24"/>
        </w:rPr>
        <w:t xml:space="preserve"> and internationally</w:t>
      </w:r>
      <w:r w:rsidR="00CF278C">
        <w:rPr>
          <w:rFonts w:cs="Arial"/>
          <w:szCs w:val="24"/>
        </w:rPr>
        <w:t>,</w:t>
      </w:r>
      <w:r w:rsidRPr="007960A2">
        <w:rPr>
          <w:rStyle w:val="Appelnotedebasdep"/>
          <w:rFonts w:cs="Arial"/>
          <w:szCs w:val="24"/>
        </w:rPr>
        <w:footnoteReference w:id="14"/>
      </w:r>
      <w:r w:rsidRPr="007960A2">
        <w:rPr>
          <w:rFonts w:cs="Arial"/>
          <w:szCs w:val="24"/>
        </w:rPr>
        <w:t xml:space="preserve"> and </w:t>
      </w:r>
      <w:r w:rsidR="00D041E1">
        <w:rPr>
          <w:rFonts w:cs="Arial"/>
          <w:szCs w:val="24"/>
        </w:rPr>
        <w:t xml:space="preserve">two, </w:t>
      </w:r>
      <w:r w:rsidRPr="007960A2">
        <w:rPr>
          <w:rFonts w:cs="Arial"/>
          <w:szCs w:val="24"/>
        </w:rPr>
        <w:t xml:space="preserve">the fact that transsexuality is </w:t>
      </w:r>
      <w:r w:rsidR="00E74D63" w:rsidRPr="007960A2">
        <w:rPr>
          <w:rFonts w:cs="Arial"/>
          <w:szCs w:val="24"/>
        </w:rPr>
        <w:t>[</w:t>
      </w:r>
      <w:r w:rsidR="00E74D63" w:rsidRPr="007960A2">
        <w:rPr>
          <w:rFonts w:cs="Arial"/>
          <w:smallCaps/>
          <w:szCs w:val="24"/>
        </w:rPr>
        <w:t>translation</w:t>
      </w:r>
      <w:r w:rsidR="00E74D63" w:rsidRPr="007960A2">
        <w:rPr>
          <w:rFonts w:cs="Arial"/>
          <w:szCs w:val="24"/>
        </w:rPr>
        <w:t xml:space="preserve">] </w:t>
      </w:r>
      <w:r w:rsidRPr="007960A2">
        <w:rPr>
          <w:rFonts w:cs="Arial"/>
          <w:szCs w:val="24"/>
        </w:rPr>
        <w:t>“a discordance between the objective and subjective elements of sex”</w:t>
      </w:r>
      <w:r w:rsidRPr="007960A2">
        <w:rPr>
          <w:rStyle w:val="Appelnotedebasdep"/>
          <w:rFonts w:cs="Arial"/>
          <w:szCs w:val="24"/>
        </w:rPr>
        <w:footnoteReference w:id="15"/>
      </w:r>
      <w:r w:rsidRPr="007960A2">
        <w:rPr>
          <w:rFonts w:cs="Arial"/>
          <w:szCs w:val="24"/>
        </w:rPr>
        <w:t xml:space="preserve"> and an attempt to </w:t>
      </w:r>
      <w:r w:rsidR="00D041E1" w:rsidRPr="007960A2">
        <w:rPr>
          <w:rFonts w:cs="Arial"/>
          <w:szCs w:val="24"/>
        </w:rPr>
        <w:t>[</w:t>
      </w:r>
      <w:r w:rsidR="00D041E1" w:rsidRPr="007960A2">
        <w:rPr>
          <w:rFonts w:cs="Arial"/>
          <w:smallCaps/>
          <w:szCs w:val="24"/>
        </w:rPr>
        <w:t>translation</w:t>
      </w:r>
      <w:r w:rsidR="00D041E1" w:rsidRPr="007960A2">
        <w:rPr>
          <w:rFonts w:cs="Arial"/>
          <w:szCs w:val="24"/>
        </w:rPr>
        <w:t xml:space="preserve">] </w:t>
      </w:r>
      <w:r w:rsidRPr="007960A2">
        <w:rPr>
          <w:rFonts w:cs="Arial"/>
          <w:szCs w:val="24"/>
        </w:rPr>
        <w:t>“reunite the disparate criteria that constitute sex”.</w:t>
      </w:r>
      <w:r w:rsidRPr="007960A2">
        <w:rPr>
          <w:rStyle w:val="Appelnotedebasdep"/>
          <w:rFonts w:cs="Arial"/>
          <w:szCs w:val="24"/>
        </w:rPr>
        <w:footnoteReference w:id="16"/>
      </w:r>
      <w:r w:rsidR="004A66B4" w:rsidRPr="007960A2">
        <w:rPr>
          <w:rFonts w:cs="Arial"/>
          <w:szCs w:val="24"/>
        </w:rPr>
        <w:t xml:space="preserve"> </w:t>
      </w:r>
      <w:r w:rsidRPr="007960A2">
        <w:rPr>
          <w:rFonts w:cs="Arial"/>
          <w:szCs w:val="24"/>
        </w:rPr>
        <w:t>In this sense, transsexuality is itself an issue of sex and is therefore covered by this ground.</w:t>
      </w:r>
    </w:p>
    <w:p w14:paraId="58FE2725" w14:textId="57B55EF3" w:rsidR="002D662C" w:rsidRPr="007960A2" w:rsidRDefault="00D041E1" w:rsidP="00651A2D">
      <w:pPr>
        <w:pStyle w:val="Paragraphe"/>
        <w:numPr>
          <w:ilvl w:val="0"/>
          <w:numId w:val="1"/>
        </w:numPr>
        <w:tabs>
          <w:tab w:val="clear" w:pos="2629"/>
        </w:tabs>
        <w:spacing w:line="240" w:lineRule="auto"/>
        <w:ind w:left="0"/>
      </w:pPr>
      <w:r>
        <w:rPr>
          <w:rFonts w:cs="Arial"/>
          <w:szCs w:val="24"/>
        </w:rPr>
        <w:t>A</w:t>
      </w:r>
      <w:r w:rsidR="00DA0C35" w:rsidRPr="007960A2">
        <w:rPr>
          <w:rFonts w:cs="Arial"/>
          <w:szCs w:val="24"/>
        </w:rPr>
        <w:t xml:space="preserve">t the time, the Tribunal </w:t>
      </w:r>
      <w:r>
        <w:rPr>
          <w:rFonts w:cs="Arial"/>
          <w:szCs w:val="24"/>
        </w:rPr>
        <w:t xml:space="preserve">already </w:t>
      </w:r>
      <w:r w:rsidR="00DA0C35" w:rsidRPr="007960A2">
        <w:rPr>
          <w:rFonts w:cs="Arial"/>
          <w:szCs w:val="24"/>
        </w:rPr>
        <w:t xml:space="preserve">recognized that a sex change operation is not a </w:t>
      </w:r>
      <w:r>
        <w:rPr>
          <w:rFonts w:cs="Arial"/>
          <w:szCs w:val="24"/>
        </w:rPr>
        <w:t>necessary condition</w:t>
      </w:r>
      <w:r w:rsidR="00DA0C35" w:rsidRPr="007960A2">
        <w:rPr>
          <w:rFonts w:cs="Arial"/>
          <w:szCs w:val="24"/>
        </w:rPr>
        <w:t xml:space="preserve"> for access to this ground of discrimination,</w:t>
      </w:r>
      <w:r w:rsidR="00DA0C35" w:rsidRPr="007960A2">
        <w:rPr>
          <w:rStyle w:val="Appelnotedebasdep"/>
          <w:rFonts w:cs="Arial"/>
          <w:szCs w:val="24"/>
        </w:rPr>
        <w:footnoteReference w:id="17"/>
      </w:r>
      <w:r w:rsidR="00DA0C35" w:rsidRPr="007960A2">
        <w:rPr>
          <w:rFonts w:cs="Arial"/>
          <w:szCs w:val="24"/>
        </w:rPr>
        <w:t xml:space="preserve"> th</w:t>
      </w:r>
      <w:r>
        <w:rPr>
          <w:rFonts w:cs="Arial"/>
          <w:szCs w:val="24"/>
        </w:rPr>
        <w:t>ereby</w:t>
      </w:r>
      <w:r w:rsidR="00DA0C35" w:rsidRPr="007960A2">
        <w:rPr>
          <w:rFonts w:cs="Arial"/>
          <w:szCs w:val="24"/>
        </w:rPr>
        <w:t xml:space="preserve"> departing from the CCQ requirements </w:t>
      </w:r>
      <w:r>
        <w:rPr>
          <w:rFonts w:cs="Arial"/>
          <w:szCs w:val="24"/>
        </w:rPr>
        <w:t xml:space="preserve">regarding </w:t>
      </w:r>
      <w:r w:rsidR="00DA0C35" w:rsidRPr="007960A2">
        <w:rPr>
          <w:rFonts w:cs="Arial"/>
          <w:szCs w:val="24"/>
        </w:rPr>
        <w:t xml:space="preserve">sex change in the </w:t>
      </w:r>
      <w:r>
        <w:rPr>
          <w:rFonts w:cs="Arial"/>
          <w:szCs w:val="24"/>
        </w:rPr>
        <w:t>register of c</w:t>
      </w:r>
      <w:r w:rsidR="00DA0C35" w:rsidRPr="007960A2">
        <w:rPr>
          <w:rFonts w:cs="Arial"/>
          <w:szCs w:val="24"/>
        </w:rPr>
        <w:t xml:space="preserve">ivil </w:t>
      </w:r>
      <w:r>
        <w:rPr>
          <w:rFonts w:cs="Arial"/>
          <w:szCs w:val="24"/>
        </w:rPr>
        <w:t>s</w:t>
      </w:r>
      <w:r w:rsidR="00DA0C35" w:rsidRPr="007960A2">
        <w:rPr>
          <w:rFonts w:cs="Arial"/>
          <w:szCs w:val="24"/>
        </w:rPr>
        <w:t>tatus.</w:t>
      </w:r>
      <w:r w:rsidR="00DA0C35" w:rsidRPr="007960A2">
        <w:rPr>
          <w:rStyle w:val="Appelnotedebasdep"/>
          <w:rFonts w:cs="Arial"/>
          <w:szCs w:val="24"/>
        </w:rPr>
        <w:footnoteReference w:id="18"/>
      </w:r>
    </w:p>
    <w:p w14:paraId="2930A543" w14:textId="56D3AFC1" w:rsidR="004D5186" w:rsidRPr="007960A2" w:rsidRDefault="00DA0C35" w:rsidP="00B84E69">
      <w:pPr>
        <w:pStyle w:val="Paragraphe"/>
        <w:numPr>
          <w:ilvl w:val="0"/>
          <w:numId w:val="1"/>
        </w:numPr>
        <w:tabs>
          <w:tab w:val="clear" w:pos="2629"/>
        </w:tabs>
        <w:ind w:left="0"/>
      </w:pPr>
      <w:r w:rsidRPr="007960A2">
        <w:rPr>
          <w:rFonts w:cs="Arial"/>
          <w:kern w:val="0"/>
        </w:rPr>
        <w:lastRenderedPageBreak/>
        <w:t>Legislative amendments in 2013 that came into force on October 1, 2015, removed the requirement for medical treatment and surg</w:t>
      </w:r>
      <w:r w:rsidR="00D041E1">
        <w:rPr>
          <w:rFonts w:cs="Arial"/>
          <w:kern w:val="0"/>
        </w:rPr>
        <w:t>ical operation</w:t>
      </w:r>
      <w:r w:rsidRPr="007960A2">
        <w:rPr>
          <w:rFonts w:cs="Arial"/>
          <w:kern w:val="0"/>
        </w:rPr>
        <w:t xml:space="preserve"> to change the designation of sex appearing on an act of birth.</w:t>
      </w:r>
      <w:r w:rsidRPr="007960A2">
        <w:rPr>
          <w:rStyle w:val="Appelnotedebasdep"/>
          <w:rFonts w:cs="Arial"/>
          <w:color w:val="000000"/>
          <w:kern w:val="0"/>
        </w:rPr>
        <w:footnoteReference w:id="19"/>
      </w:r>
    </w:p>
    <w:p w14:paraId="4A40C79E" w14:textId="71411BDE" w:rsidR="00234507" w:rsidRPr="007960A2" w:rsidRDefault="00DA0C35" w:rsidP="00B84E69">
      <w:pPr>
        <w:pStyle w:val="Paragraphe"/>
        <w:numPr>
          <w:ilvl w:val="0"/>
          <w:numId w:val="1"/>
        </w:numPr>
        <w:tabs>
          <w:tab w:val="clear" w:pos="2629"/>
        </w:tabs>
        <w:ind w:left="0"/>
      </w:pPr>
      <w:r w:rsidRPr="007960A2">
        <w:rPr>
          <w:rFonts w:cs="Arial"/>
          <w:color w:val="000000"/>
          <w:kern w:val="0"/>
        </w:rPr>
        <w:t xml:space="preserve">Other legislative amendments in 2016 added “gender identity or expression” as protected grounds of discrimination to section 10 of the </w:t>
      </w:r>
      <w:r w:rsidRPr="007960A2">
        <w:rPr>
          <w:rFonts w:cs="Arial"/>
          <w:i/>
          <w:kern w:val="0"/>
        </w:rPr>
        <w:t>Charter</w:t>
      </w:r>
      <w:r w:rsidRPr="007960A2">
        <w:rPr>
          <w:rFonts w:cs="Arial"/>
          <w:kern w:val="0"/>
        </w:rPr>
        <w:t>.</w:t>
      </w:r>
    </w:p>
    <w:p w14:paraId="3236CECB" w14:textId="2041E9BF" w:rsidR="003F22D5" w:rsidRPr="007960A2" w:rsidRDefault="00DA0C35" w:rsidP="00844D69">
      <w:pPr>
        <w:pStyle w:val="Paragraphe"/>
        <w:numPr>
          <w:ilvl w:val="0"/>
          <w:numId w:val="1"/>
        </w:numPr>
        <w:tabs>
          <w:tab w:val="clear" w:pos="2629"/>
        </w:tabs>
        <w:ind w:left="0"/>
      </w:pPr>
      <w:r w:rsidRPr="007960A2">
        <w:t>Since 2016</w:t>
      </w:r>
      <w:r w:rsidR="00A86984">
        <w:t>,</w:t>
      </w:r>
      <w:r w:rsidRPr="007960A2">
        <w:t xml:space="preserve"> </w:t>
      </w:r>
      <w:r w:rsidR="00B63F9C">
        <w:t xml:space="preserve">it has been possible to change </w:t>
      </w:r>
      <w:r w:rsidRPr="007960A2">
        <w:t xml:space="preserve">the designation of sex </w:t>
      </w:r>
      <w:r w:rsidR="00B63F9C">
        <w:t xml:space="preserve">appearing </w:t>
      </w:r>
      <w:r w:rsidRPr="007960A2">
        <w:t xml:space="preserve">on </w:t>
      </w:r>
      <w:r w:rsidR="00FC6AC1" w:rsidRPr="007960A2">
        <w:t xml:space="preserve">a minor’s </w:t>
      </w:r>
      <w:r w:rsidRPr="007960A2">
        <w:t xml:space="preserve">act of birth: an adult, </w:t>
      </w:r>
      <w:r w:rsidR="00A86984">
        <w:t xml:space="preserve">a </w:t>
      </w:r>
      <w:r w:rsidRPr="007960A2">
        <w:t xml:space="preserve">tutor to a minor child, or </w:t>
      </w:r>
      <w:r w:rsidR="00B63F9C">
        <w:t xml:space="preserve">a </w:t>
      </w:r>
      <w:r w:rsidRPr="007960A2">
        <w:t xml:space="preserve">minor </w:t>
      </w:r>
      <w:r w:rsidR="00B63F9C">
        <w:t xml:space="preserve">aged </w:t>
      </w:r>
      <w:r w:rsidRPr="007960A2">
        <w:t xml:space="preserve">14 years or older </w:t>
      </w:r>
      <w:r w:rsidR="00B63F9C">
        <w:t xml:space="preserve">may </w:t>
      </w:r>
      <w:r w:rsidRPr="007960A2">
        <w:t xml:space="preserve">apply </w:t>
      </w:r>
      <w:r w:rsidR="00B63F9C">
        <w:t xml:space="preserve">for </w:t>
      </w:r>
      <w:r w:rsidR="00906CA4">
        <w:t>change of</w:t>
      </w:r>
      <w:r w:rsidR="00B63F9C">
        <w:t xml:space="preserve"> name </w:t>
      </w:r>
      <w:r w:rsidRPr="007960A2">
        <w:t xml:space="preserve">to </w:t>
      </w:r>
      <w:r w:rsidR="00906CA4">
        <w:t xml:space="preserve">correspond to </w:t>
      </w:r>
      <w:r w:rsidRPr="007960A2">
        <w:t>gender identity.</w:t>
      </w:r>
    </w:p>
    <w:p w14:paraId="7BA805C7" w14:textId="528CB1E3" w:rsidR="009539D4" w:rsidRPr="007960A2" w:rsidRDefault="00E74D63" w:rsidP="00B84E69">
      <w:pPr>
        <w:pStyle w:val="Paragraphe"/>
        <w:numPr>
          <w:ilvl w:val="0"/>
          <w:numId w:val="1"/>
        </w:numPr>
        <w:tabs>
          <w:tab w:val="clear" w:pos="2629"/>
        </w:tabs>
        <w:ind w:left="0"/>
      </w:pPr>
      <w:r w:rsidRPr="007960A2">
        <w:t xml:space="preserve">The Human Rights Tribunal has since applied this ground once, in </w:t>
      </w:r>
      <w:r w:rsidRPr="007960A2">
        <w:rPr>
          <w:i/>
        </w:rPr>
        <w:t>Kin</w:t>
      </w:r>
      <w:r w:rsidRPr="007960A2">
        <w:t>, where it granted the application in the context of discriminatory remarks.</w:t>
      </w:r>
      <w:r w:rsidRPr="007960A2">
        <w:rPr>
          <w:rStyle w:val="Appelnotedebasdep"/>
          <w:rFonts w:cs="Arial"/>
          <w:szCs w:val="24"/>
        </w:rPr>
        <w:footnoteReference w:id="20"/>
      </w:r>
      <w:r w:rsidR="00E641F1" w:rsidRPr="007960A2">
        <w:t xml:space="preserve"> </w:t>
      </w:r>
      <w:r w:rsidRPr="007960A2">
        <w:t>In its analysis, the Tribunal interpreted the ground of gender identity and expression in light of the earlier case law on the ground of sexual orientation.</w:t>
      </w:r>
      <w:r w:rsidR="00E641F1" w:rsidRPr="007960A2">
        <w:t xml:space="preserve"> </w:t>
      </w:r>
      <w:r w:rsidRPr="007960A2">
        <w:t xml:space="preserve">The Tribunal noted that insulting someone </w:t>
      </w:r>
      <w:r w:rsidR="00B63F9C">
        <w:t>because of</w:t>
      </w:r>
      <w:r w:rsidRPr="007960A2">
        <w:t xml:space="preserve"> their gender identity </w:t>
      </w:r>
      <w:r w:rsidR="00B63F9C">
        <w:t xml:space="preserve">violated </w:t>
      </w:r>
      <w:r w:rsidRPr="007960A2">
        <w:t>their right to the safeguard of their dignity in a discriminatory manner.</w:t>
      </w:r>
      <w:r w:rsidRPr="007960A2">
        <w:rPr>
          <w:rStyle w:val="Appelnotedebasdep"/>
        </w:rPr>
        <w:footnoteReference w:id="21"/>
      </w:r>
    </w:p>
    <w:p w14:paraId="77F2A0CB" w14:textId="40DD8F55" w:rsidR="003573F1" w:rsidRPr="007960A2" w:rsidRDefault="00E74D63" w:rsidP="005F16D7">
      <w:pPr>
        <w:pStyle w:val="Paragraphe"/>
        <w:numPr>
          <w:ilvl w:val="0"/>
          <w:numId w:val="1"/>
        </w:numPr>
        <w:tabs>
          <w:tab w:val="clear" w:pos="2629"/>
        </w:tabs>
        <w:ind w:left="0"/>
      </w:pPr>
      <w:r w:rsidRPr="007960A2">
        <w:rPr>
          <w:rFonts w:cs="Arial"/>
          <w:szCs w:val="24"/>
        </w:rPr>
        <w:t xml:space="preserve">In 2021, </w:t>
      </w:r>
      <w:r w:rsidR="00B63F9C">
        <w:rPr>
          <w:rFonts w:cs="Arial"/>
          <w:szCs w:val="24"/>
        </w:rPr>
        <w:t>the Superior Court heard</w:t>
      </w:r>
      <w:r w:rsidRPr="007960A2">
        <w:rPr>
          <w:rFonts w:cs="Arial"/>
          <w:szCs w:val="24"/>
        </w:rPr>
        <w:t xml:space="preserve"> an application for a declaratory judgment in </w:t>
      </w:r>
      <w:r w:rsidRPr="007960A2">
        <w:rPr>
          <w:rFonts w:cs="Arial"/>
          <w:i/>
          <w:szCs w:val="24"/>
        </w:rPr>
        <w:t>Cent</w:t>
      </w:r>
      <w:r w:rsidR="005147D7" w:rsidRPr="007960A2">
        <w:rPr>
          <w:rFonts w:cs="Arial"/>
          <w:i/>
          <w:szCs w:val="24"/>
        </w:rPr>
        <w:t>re</w:t>
      </w:r>
      <w:r w:rsidRPr="007960A2">
        <w:rPr>
          <w:rFonts w:cs="Arial"/>
          <w:i/>
          <w:szCs w:val="24"/>
        </w:rPr>
        <w:t xml:space="preserve"> for Gender Advocacy</w:t>
      </w:r>
      <w:bookmarkStart w:id="4" w:name="_Ref168395486"/>
      <w:bookmarkStart w:id="5" w:name="_Ref168396157"/>
      <w:r w:rsidRPr="007960A2">
        <w:rPr>
          <w:rStyle w:val="Appelnotedebasdep"/>
          <w:rFonts w:cs="Arial"/>
          <w:szCs w:val="24"/>
        </w:rPr>
        <w:footnoteReference w:id="22"/>
      </w:r>
      <w:bookmarkEnd w:id="4"/>
      <w:bookmarkEnd w:id="5"/>
      <w:r w:rsidRPr="007960A2">
        <w:rPr>
          <w:rFonts w:cs="Arial"/>
          <w:szCs w:val="24"/>
        </w:rPr>
        <w:t xml:space="preserve"> </w:t>
      </w:r>
      <w:r w:rsidR="00B63F9C">
        <w:rPr>
          <w:rFonts w:cs="Arial"/>
          <w:szCs w:val="24"/>
        </w:rPr>
        <w:t xml:space="preserve">and </w:t>
      </w:r>
      <w:r w:rsidRPr="007960A2">
        <w:rPr>
          <w:rFonts w:cs="Arial"/>
          <w:szCs w:val="24"/>
        </w:rPr>
        <w:t>considered in detail the place of transgender and non</w:t>
      </w:r>
      <w:r w:rsidR="00733B32">
        <w:rPr>
          <w:rFonts w:cs="Arial"/>
          <w:szCs w:val="24"/>
        </w:rPr>
        <w:noBreakHyphen/>
      </w:r>
      <w:r w:rsidRPr="007960A2">
        <w:rPr>
          <w:rFonts w:cs="Arial"/>
          <w:szCs w:val="24"/>
        </w:rPr>
        <w:t xml:space="preserve">binary people in Quebec civil law, the designation and change of designation </w:t>
      </w:r>
      <w:r w:rsidR="00CD23D1">
        <w:rPr>
          <w:rFonts w:cs="Arial"/>
          <w:szCs w:val="24"/>
        </w:rPr>
        <w:t xml:space="preserve">of sex </w:t>
      </w:r>
      <w:r w:rsidRPr="007960A2">
        <w:rPr>
          <w:rFonts w:cs="Arial"/>
          <w:szCs w:val="24"/>
        </w:rPr>
        <w:t xml:space="preserve">in the </w:t>
      </w:r>
      <w:r w:rsidR="00B63F9C">
        <w:rPr>
          <w:rFonts w:cs="Arial"/>
          <w:szCs w:val="24"/>
        </w:rPr>
        <w:t xml:space="preserve">register of </w:t>
      </w:r>
      <w:r w:rsidRPr="007960A2">
        <w:rPr>
          <w:rFonts w:cs="Arial"/>
          <w:szCs w:val="24"/>
        </w:rPr>
        <w:t xml:space="preserve">civil status, and the designation of parents </w:t>
      </w:r>
      <w:r w:rsidR="00B63F9C">
        <w:rPr>
          <w:rFonts w:cs="Arial"/>
          <w:szCs w:val="24"/>
        </w:rPr>
        <w:t>i</w:t>
      </w:r>
      <w:r w:rsidRPr="007960A2">
        <w:rPr>
          <w:rFonts w:cs="Arial"/>
          <w:szCs w:val="24"/>
        </w:rPr>
        <w:t>n a child’s act of birth.</w:t>
      </w:r>
    </w:p>
    <w:p w14:paraId="320F958A" w14:textId="79DFA84F" w:rsidR="00E413BD" w:rsidRPr="007960A2" w:rsidRDefault="00E74D63" w:rsidP="005F16D7">
      <w:pPr>
        <w:pStyle w:val="Paragraphe"/>
        <w:numPr>
          <w:ilvl w:val="0"/>
          <w:numId w:val="1"/>
        </w:numPr>
        <w:tabs>
          <w:tab w:val="clear" w:pos="2629"/>
        </w:tabs>
        <w:ind w:left="0"/>
      </w:pPr>
      <w:r w:rsidRPr="007960A2">
        <w:rPr>
          <w:rFonts w:cs="Arial"/>
          <w:szCs w:val="24"/>
        </w:rPr>
        <w:t xml:space="preserve">Mtre Audrey Boctor, counsel </w:t>
      </w:r>
      <w:r w:rsidR="008769D5">
        <w:rPr>
          <w:rFonts w:cs="Arial"/>
          <w:szCs w:val="24"/>
        </w:rPr>
        <w:t>for</w:t>
      </w:r>
      <w:r w:rsidRPr="007960A2">
        <w:rPr>
          <w:rFonts w:cs="Arial"/>
          <w:szCs w:val="24"/>
        </w:rPr>
        <w:t xml:space="preserve"> the plaintiffs, made the following comment regarding the judgment rendered by the Honourable Gregory Moore:</w:t>
      </w:r>
    </w:p>
    <w:p w14:paraId="7CE11229" w14:textId="3EDD2B00" w:rsidR="005147D7" w:rsidRPr="007960A2" w:rsidRDefault="005147D7" w:rsidP="00E413BD">
      <w:pPr>
        <w:pStyle w:val="Citationenretrait"/>
        <w:rPr>
          <w:shd w:val="clear" w:color="auto" w:fill="FFFFFF"/>
          <w:lang w:val="en-CA"/>
        </w:rPr>
      </w:pPr>
      <w:r w:rsidRPr="007960A2">
        <w:rPr>
          <w:rFonts w:cs="Arial"/>
          <w:shd w:val="clear" w:color="auto" w:fill="FFFFFF"/>
          <w:lang w:val="en-CA"/>
        </w:rPr>
        <w:t>[</w:t>
      </w:r>
      <w:r w:rsidRPr="007960A2">
        <w:rPr>
          <w:rFonts w:cs="Arial"/>
          <w:smallCaps/>
          <w:shd w:val="clear" w:color="auto" w:fill="FFFFFF"/>
          <w:lang w:val="en-CA"/>
        </w:rPr>
        <w:t>translation</w:t>
      </w:r>
      <w:r w:rsidRPr="007960A2">
        <w:rPr>
          <w:rFonts w:cs="Arial"/>
          <w:shd w:val="clear" w:color="auto" w:fill="FFFFFF"/>
          <w:lang w:val="en-CA"/>
        </w:rPr>
        <w:t>]</w:t>
      </w:r>
    </w:p>
    <w:p w14:paraId="1AE8AA79" w14:textId="1DBC0688" w:rsidR="00D0162C" w:rsidRPr="007960A2" w:rsidRDefault="00E74D63" w:rsidP="00E413BD">
      <w:pPr>
        <w:pStyle w:val="Citationenretrait"/>
        <w:rPr>
          <w:lang w:val="en-CA"/>
        </w:rPr>
      </w:pPr>
      <w:r w:rsidRPr="007960A2">
        <w:rPr>
          <w:shd w:val="clear" w:color="auto" w:fill="FFFFFF"/>
          <w:lang w:val="en-CA"/>
        </w:rPr>
        <w:t xml:space="preserve">The judgment </w:t>
      </w:r>
      <w:r w:rsidR="00CD23D1">
        <w:rPr>
          <w:shd w:val="clear" w:color="auto" w:fill="FFFFFF"/>
          <w:lang w:val="en-CA"/>
        </w:rPr>
        <w:t>describes</w:t>
      </w:r>
      <w:r w:rsidRPr="007960A2">
        <w:rPr>
          <w:shd w:val="clear" w:color="auto" w:fill="FFFFFF"/>
          <w:lang w:val="en-CA"/>
        </w:rPr>
        <w:t xml:space="preserve"> the extreme vulnerability of trans and non</w:t>
      </w:r>
      <w:r w:rsidR="00B535FF">
        <w:rPr>
          <w:shd w:val="clear" w:color="auto" w:fill="FFFFFF"/>
          <w:lang w:val="en-CA"/>
        </w:rPr>
        <w:t>-</w:t>
      </w:r>
      <w:r w:rsidRPr="007960A2">
        <w:rPr>
          <w:shd w:val="clear" w:color="auto" w:fill="FFFFFF"/>
          <w:lang w:val="en-CA"/>
        </w:rPr>
        <w:t xml:space="preserve">binary </w:t>
      </w:r>
      <w:r w:rsidR="00733B32">
        <w:rPr>
          <w:shd w:val="clear" w:color="auto" w:fill="FFFFFF"/>
          <w:lang w:val="en-CA"/>
        </w:rPr>
        <w:t>people</w:t>
      </w:r>
      <w:r w:rsidR="00733B32" w:rsidRPr="007960A2">
        <w:rPr>
          <w:shd w:val="clear" w:color="auto" w:fill="FFFFFF"/>
          <w:lang w:val="en-CA"/>
        </w:rPr>
        <w:t xml:space="preserve"> </w:t>
      </w:r>
      <w:r w:rsidRPr="007960A2">
        <w:rPr>
          <w:shd w:val="clear" w:color="auto" w:fill="FFFFFF"/>
          <w:lang w:val="en-CA"/>
        </w:rPr>
        <w:t xml:space="preserve">and </w:t>
      </w:r>
      <w:r w:rsidR="00CD23D1">
        <w:rPr>
          <w:shd w:val="clear" w:color="auto" w:fill="FFFFFF"/>
          <w:lang w:val="en-CA"/>
        </w:rPr>
        <w:t xml:space="preserve">acknowledges </w:t>
      </w:r>
      <w:r w:rsidRPr="007960A2">
        <w:rPr>
          <w:shd w:val="clear" w:color="auto" w:fill="FFFFFF"/>
          <w:lang w:val="en-CA"/>
        </w:rPr>
        <w:t xml:space="preserve">the fact that this vulnerability is aggravated by the inaccessibility to identity documents that </w:t>
      </w:r>
      <w:r w:rsidR="00CD23D1">
        <w:rPr>
          <w:shd w:val="clear" w:color="auto" w:fill="FFFFFF"/>
          <w:lang w:val="en-CA"/>
        </w:rPr>
        <w:t xml:space="preserve">properly </w:t>
      </w:r>
      <w:r w:rsidRPr="007960A2">
        <w:rPr>
          <w:shd w:val="clear" w:color="auto" w:fill="FFFFFF"/>
          <w:lang w:val="en-CA"/>
        </w:rPr>
        <w:t>reflect their gender identity.</w:t>
      </w:r>
      <w:r w:rsidR="00ED18C7" w:rsidRPr="007960A2">
        <w:rPr>
          <w:shd w:val="clear" w:color="auto" w:fill="FFFFFF"/>
          <w:lang w:val="en-CA"/>
        </w:rPr>
        <w:t xml:space="preserve"> </w:t>
      </w:r>
      <w:r w:rsidRPr="007960A2">
        <w:rPr>
          <w:shd w:val="clear" w:color="auto" w:fill="FFFFFF"/>
          <w:lang w:val="en-CA"/>
        </w:rPr>
        <w:t>We had to introduce testimony and studies showing the shocking rates of suicide in this community, especially for trans and non</w:t>
      </w:r>
      <w:r w:rsidR="00B535FF">
        <w:rPr>
          <w:shd w:val="clear" w:color="auto" w:fill="FFFFFF"/>
          <w:lang w:val="en-CA"/>
        </w:rPr>
        <w:t>-</w:t>
      </w:r>
      <w:r w:rsidRPr="007960A2">
        <w:rPr>
          <w:shd w:val="clear" w:color="auto" w:fill="FFFFFF"/>
          <w:lang w:val="en-CA"/>
        </w:rPr>
        <w:t>binary adolescents without family support.</w:t>
      </w:r>
      <w:r w:rsidR="00E641F1" w:rsidRPr="007960A2">
        <w:rPr>
          <w:rStyle w:val="Appelnotedebasdep"/>
          <w:shd w:val="clear" w:color="auto" w:fill="FFFFFF"/>
          <w:lang w:val="en-CA"/>
        </w:rPr>
        <w:footnoteReference w:id="23"/>
      </w:r>
    </w:p>
    <w:p w14:paraId="6AE0A78A" w14:textId="0BDEB30A" w:rsidR="008B179D" w:rsidRPr="007960A2" w:rsidRDefault="00E74D63" w:rsidP="000161D5">
      <w:pPr>
        <w:pStyle w:val="Paragraphe"/>
        <w:numPr>
          <w:ilvl w:val="0"/>
          <w:numId w:val="1"/>
        </w:numPr>
        <w:tabs>
          <w:tab w:val="clear" w:pos="2629"/>
        </w:tabs>
        <w:ind w:left="0"/>
      </w:pPr>
      <w:r w:rsidRPr="007960A2">
        <w:rPr>
          <w:rFonts w:cs="Arial"/>
          <w:color w:val="000000"/>
          <w:kern w:val="0"/>
        </w:rPr>
        <w:lastRenderedPageBreak/>
        <w:t>In response to the judgment, the legislature introduced legislative amendments in 2022.</w:t>
      </w:r>
      <w:r w:rsidRPr="007960A2">
        <w:rPr>
          <w:rStyle w:val="Appelnotedebasdep"/>
          <w:rFonts w:cs="Arial"/>
          <w:color w:val="000000"/>
          <w:kern w:val="0"/>
        </w:rPr>
        <w:footnoteReference w:id="24"/>
      </w:r>
      <w:r w:rsidR="00FC2130" w:rsidRPr="007960A2">
        <w:rPr>
          <w:rFonts w:cs="Arial"/>
          <w:color w:val="000000"/>
          <w:kern w:val="0"/>
        </w:rPr>
        <w:t xml:space="preserve"> </w:t>
      </w:r>
      <w:r w:rsidRPr="007960A2">
        <w:rPr>
          <w:rFonts w:cs="Arial"/>
          <w:color w:val="000000"/>
          <w:kern w:val="0"/>
        </w:rPr>
        <w:t xml:space="preserve">Among other things, it added the new article 70.1 CCQ </w:t>
      </w:r>
      <w:r w:rsidR="00A27A0E">
        <w:rPr>
          <w:rFonts w:cs="Arial"/>
          <w:color w:val="000000"/>
          <w:kern w:val="0"/>
        </w:rPr>
        <w:t xml:space="preserve">stating </w:t>
      </w:r>
      <w:r w:rsidRPr="007960A2">
        <w:rPr>
          <w:rFonts w:cs="Arial"/>
          <w:color w:val="000000"/>
          <w:kern w:val="0"/>
        </w:rPr>
        <w:t xml:space="preserve">that the designation of sex appearing in a person’s act of birth </w:t>
      </w:r>
      <w:r w:rsidR="00A27A0E">
        <w:rPr>
          <w:rFonts w:cs="Arial"/>
          <w:color w:val="000000"/>
          <w:kern w:val="0"/>
        </w:rPr>
        <w:t>or</w:t>
      </w:r>
      <w:r w:rsidRPr="007960A2">
        <w:rPr>
          <w:rFonts w:cs="Arial"/>
          <w:color w:val="000000"/>
          <w:kern w:val="0"/>
        </w:rPr>
        <w:t xml:space="preserve"> death may refer to the identifier “non-binary”.</w:t>
      </w:r>
      <w:r w:rsidRPr="007960A2">
        <w:rPr>
          <w:rStyle w:val="Appelnotedebasdep"/>
          <w:rFonts w:cs="Arial"/>
          <w:color w:val="000000"/>
          <w:kern w:val="0"/>
        </w:rPr>
        <w:footnoteReference w:id="25"/>
      </w:r>
      <w:r w:rsidR="00FC2130" w:rsidRPr="007960A2">
        <w:rPr>
          <w:rFonts w:cs="Arial"/>
          <w:color w:val="000000"/>
          <w:kern w:val="0"/>
        </w:rPr>
        <w:t xml:space="preserve"> </w:t>
      </w:r>
      <w:r w:rsidR="009E5343" w:rsidRPr="007960A2">
        <w:rPr>
          <w:rFonts w:cs="Arial"/>
          <w:kern w:val="0"/>
        </w:rPr>
        <w:t xml:space="preserve">It amended several CCQ provisions </w:t>
      </w:r>
      <w:r w:rsidR="00CD23D1">
        <w:rPr>
          <w:rFonts w:cs="Arial"/>
          <w:kern w:val="0"/>
        </w:rPr>
        <w:t xml:space="preserve">that </w:t>
      </w:r>
      <w:r w:rsidR="009E5343" w:rsidRPr="007960A2">
        <w:rPr>
          <w:rFonts w:cs="Arial"/>
          <w:kern w:val="0"/>
        </w:rPr>
        <w:t>refer to the father or mother, including articles 111 and 115 CCQ, to add the notion of “parent”</w:t>
      </w:r>
      <w:r w:rsidR="009E5343" w:rsidRPr="007960A2">
        <w:rPr>
          <w:rStyle w:val="Appelnotedebasdep"/>
          <w:rFonts w:cs="Arial"/>
          <w:color w:val="000000"/>
          <w:kern w:val="0"/>
        </w:rPr>
        <w:footnoteReference w:id="26"/>
      </w:r>
      <w:r w:rsidR="009E5343" w:rsidRPr="007960A2">
        <w:rPr>
          <w:rFonts w:cs="Arial"/>
          <w:kern w:val="0"/>
        </w:rPr>
        <w:t xml:space="preserve"> and allow</w:t>
      </w:r>
      <w:r w:rsidR="00A27A0E">
        <w:rPr>
          <w:rFonts w:cs="Arial"/>
          <w:kern w:val="0"/>
        </w:rPr>
        <w:t>s</w:t>
      </w:r>
      <w:r w:rsidR="009E5343" w:rsidRPr="007960A2">
        <w:rPr>
          <w:rFonts w:cs="Arial"/>
          <w:kern w:val="0"/>
        </w:rPr>
        <w:t xml:space="preserve"> the designation </w:t>
      </w:r>
      <w:r w:rsidR="00CD23D1">
        <w:rPr>
          <w:rFonts w:cs="Arial"/>
          <w:kern w:val="0"/>
        </w:rPr>
        <w:t>of</w:t>
      </w:r>
      <w:r w:rsidR="009E5343" w:rsidRPr="007960A2">
        <w:rPr>
          <w:rFonts w:cs="Arial"/>
          <w:kern w:val="0"/>
        </w:rPr>
        <w:t xml:space="preserve"> father, mother</w:t>
      </w:r>
      <w:r w:rsidR="001E70A4">
        <w:rPr>
          <w:rFonts w:cs="Arial"/>
          <w:kern w:val="0"/>
        </w:rPr>
        <w:t>,</w:t>
      </w:r>
      <w:r w:rsidR="009E5343" w:rsidRPr="007960A2">
        <w:rPr>
          <w:rFonts w:cs="Arial"/>
          <w:kern w:val="0"/>
        </w:rPr>
        <w:t xml:space="preserve"> or parent of a person appearing on the act of birth of their child to be changed </w:t>
      </w:r>
      <w:r w:rsidR="00A27A0E">
        <w:rPr>
          <w:rFonts w:cs="Arial"/>
          <w:kern w:val="0"/>
        </w:rPr>
        <w:t>t</w:t>
      </w:r>
      <w:r w:rsidR="009E5343" w:rsidRPr="007960A2">
        <w:rPr>
          <w:rFonts w:cs="Arial"/>
          <w:kern w:val="0"/>
        </w:rPr>
        <w:t xml:space="preserve">o </w:t>
      </w:r>
      <w:r w:rsidR="00A27A0E">
        <w:rPr>
          <w:rFonts w:cs="Arial"/>
          <w:kern w:val="0"/>
        </w:rPr>
        <w:t xml:space="preserve">correspond to </w:t>
      </w:r>
      <w:r w:rsidR="009E5343" w:rsidRPr="007960A2">
        <w:rPr>
          <w:rFonts w:cs="Arial"/>
          <w:kern w:val="0"/>
        </w:rPr>
        <w:t xml:space="preserve">the designation of sex appearing </w:t>
      </w:r>
      <w:r w:rsidR="00A27A0E">
        <w:rPr>
          <w:rFonts w:cs="Arial"/>
          <w:kern w:val="0"/>
        </w:rPr>
        <w:t>i</w:t>
      </w:r>
      <w:r w:rsidR="009E5343" w:rsidRPr="007960A2">
        <w:rPr>
          <w:rFonts w:cs="Arial"/>
          <w:kern w:val="0"/>
        </w:rPr>
        <w:t xml:space="preserve">n their act of birth or </w:t>
      </w:r>
      <w:r w:rsidR="00A27A0E">
        <w:rPr>
          <w:rFonts w:cs="Arial"/>
          <w:kern w:val="0"/>
        </w:rPr>
        <w:t xml:space="preserve">to have </w:t>
      </w:r>
      <w:r w:rsidR="009E5343" w:rsidRPr="007960A2">
        <w:rPr>
          <w:rFonts w:cs="Arial"/>
          <w:kern w:val="0"/>
        </w:rPr>
        <w:t>the designation “parent” appear instead.</w:t>
      </w:r>
      <w:r w:rsidR="009E5343" w:rsidRPr="007960A2">
        <w:rPr>
          <w:rStyle w:val="Appelnotedebasdep"/>
          <w:rFonts w:cs="Arial"/>
          <w:color w:val="000000"/>
          <w:kern w:val="0"/>
        </w:rPr>
        <w:footnoteReference w:id="27"/>
      </w:r>
    </w:p>
    <w:p w14:paraId="47885331" w14:textId="7F4A6EE4" w:rsidR="005A1DAF" w:rsidRPr="007960A2" w:rsidRDefault="009E5343" w:rsidP="009649C1">
      <w:pPr>
        <w:pStyle w:val="Paragraphe"/>
        <w:numPr>
          <w:ilvl w:val="0"/>
          <w:numId w:val="1"/>
        </w:numPr>
        <w:tabs>
          <w:tab w:val="clear" w:pos="2629"/>
        </w:tabs>
        <w:ind w:left="0"/>
        <w:rPr>
          <w:lang w:eastAsia="fr-CA"/>
        </w:rPr>
      </w:pPr>
      <w:r w:rsidRPr="007960A2">
        <w:rPr>
          <w:rFonts w:cs="Arial"/>
          <w:szCs w:val="24"/>
        </w:rPr>
        <w:t xml:space="preserve">The Court of Appeal was asked to rule </w:t>
      </w:r>
      <w:r w:rsidR="005147D7" w:rsidRPr="007960A2">
        <w:rPr>
          <w:rFonts w:cs="Arial"/>
          <w:szCs w:val="24"/>
        </w:rPr>
        <w:t xml:space="preserve">on </w:t>
      </w:r>
      <w:r w:rsidRPr="007960A2">
        <w:rPr>
          <w:rFonts w:cs="Arial"/>
          <w:szCs w:val="24"/>
        </w:rPr>
        <w:t xml:space="preserve">interpretation issues in </w:t>
      </w:r>
      <w:r w:rsidRPr="007960A2">
        <w:rPr>
          <w:rFonts w:cs="Arial"/>
          <w:i/>
          <w:szCs w:val="24"/>
        </w:rPr>
        <w:t>Centr</w:t>
      </w:r>
      <w:r w:rsidR="00987EE8">
        <w:rPr>
          <w:rFonts w:cs="Arial"/>
          <w:i/>
          <w:szCs w:val="24"/>
        </w:rPr>
        <w:t>e</w:t>
      </w:r>
      <w:r w:rsidRPr="007960A2">
        <w:rPr>
          <w:rFonts w:cs="Arial"/>
          <w:i/>
          <w:szCs w:val="24"/>
        </w:rPr>
        <w:t xml:space="preserve"> for Gender Advocacy</w:t>
      </w:r>
      <w:r w:rsidRPr="007960A2">
        <w:rPr>
          <w:rStyle w:val="Appelnotedebasdep"/>
          <w:rFonts w:cs="Arial"/>
          <w:szCs w:val="24"/>
        </w:rPr>
        <w:footnoteReference w:id="28"/>
      </w:r>
      <w:r w:rsidRPr="007960A2">
        <w:rPr>
          <w:rFonts w:cs="Arial"/>
          <w:szCs w:val="24"/>
        </w:rPr>
        <w:t xml:space="preserve"> and rendered judgment in March 2024</w:t>
      </w:r>
      <w:bookmarkStart w:id="6" w:name="_Ref168404000"/>
      <w:r w:rsidRPr="007960A2">
        <w:rPr>
          <w:rStyle w:val="Appelnotedebasdep"/>
          <w:rFonts w:cs="Arial"/>
          <w:szCs w:val="24"/>
        </w:rPr>
        <w:footnoteReference w:id="29"/>
      </w:r>
      <w:bookmarkEnd w:id="6"/>
      <w:r w:rsidR="00222BF6">
        <w:rPr>
          <w:rFonts w:cs="Arial"/>
          <w:szCs w:val="24"/>
        </w:rPr>
        <w:t>,</w:t>
      </w:r>
      <w:r w:rsidRPr="007960A2">
        <w:rPr>
          <w:rFonts w:cs="Arial"/>
          <w:szCs w:val="24"/>
        </w:rPr>
        <w:t xml:space="preserve"> the conclusions of which are as follows:</w:t>
      </w:r>
    </w:p>
    <w:p w14:paraId="53EC5498" w14:textId="2FFE5819" w:rsidR="005A1DAF" w:rsidRPr="007960A2" w:rsidRDefault="00E641F1" w:rsidP="005A1DAF">
      <w:pPr>
        <w:pStyle w:val="Citationenretrait"/>
        <w:rPr>
          <w:lang w:val="en-CA"/>
        </w:rPr>
      </w:pPr>
      <w:r w:rsidRPr="007960A2">
        <w:rPr>
          <w:lang w:val="en-CA"/>
        </w:rPr>
        <w:t xml:space="preserve">… </w:t>
      </w:r>
      <w:r w:rsidR="00614461" w:rsidRPr="007960A2">
        <w:rPr>
          <w:b/>
          <w:bCs/>
          <w:lang w:val="en-CA"/>
        </w:rPr>
        <w:t>THE</w:t>
      </w:r>
      <w:r w:rsidRPr="007960A2">
        <w:rPr>
          <w:b/>
          <w:bCs/>
          <w:lang w:val="en-CA"/>
        </w:rPr>
        <w:t xml:space="preserve"> COUR</w:t>
      </w:r>
      <w:r w:rsidR="00614461" w:rsidRPr="007960A2">
        <w:rPr>
          <w:b/>
          <w:bCs/>
          <w:lang w:val="en-CA"/>
        </w:rPr>
        <w:t>T</w:t>
      </w:r>
      <w:r w:rsidRPr="007960A2">
        <w:rPr>
          <w:lang w:val="en-CA"/>
        </w:rPr>
        <w:t>:</w:t>
      </w:r>
    </w:p>
    <w:p w14:paraId="2C76243C" w14:textId="4EEA3714" w:rsidR="005D5BE3" w:rsidRPr="007960A2" w:rsidRDefault="00E641F1" w:rsidP="005A1DAF">
      <w:pPr>
        <w:pStyle w:val="Citationenretrait"/>
        <w:rPr>
          <w:lang w:val="en-CA"/>
        </w:rPr>
      </w:pPr>
      <w:r w:rsidRPr="007960A2">
        <w:rPr>
          <w:lang w:val="en-CA"/>
        </w:rPr>
        <w:t>…</w:t>
      </w:r>
    </w:p>
    <w:p w14:paraId="4B58E38B" w14:textId="76F6E646" w:rsidR="005A1DAF" w:rsidRPr="007960A2" w:rsidRDefault="00614461" w:rsidP="005A1DAF">
      <w:pPr>
        <w:pStyle w:val="Citationenretrait"/>
        <w:rPr>
          <w:b/>
          <w:bCs/>
          <w:lang w:val="en-CA"/>
        </w:rPr>
      </w:pPr>
      <w:r w:rsidRPr="007960A2">
        <w:rPr>
          <w:b/>
          <w:bCs/>
          <w:lang w:val="en-CA"/>
        </w:rPr>
        <w:t>STRIKES OUT </w:t>
      </w:r>
      <w:r w:rsidRPr="007960A2">
        <w:rPr>
          <w:lang w:val="en-CA"/>
        </w:rPr>
        <w:t>paragraph 341 of the judgment in first instance that declares invalid section 23.2 of the </w:t>
      </w:r>
      <w:r w:rsidRPr="007960A2">
        <w:rPr>
          <w:i/>
          <w:iCs/>
          <w:lang w:val="en-CA"/>
        </w:rPr>
        <w:t>Regulation respecting change of name and of other particulars of civil status</w:t>
      </w:r>
      <w:r w:rsidR="00987EE8">
        <w:rPr>
          <w:lang w:val="en-CA"/>
        </w:rPr>
        <w:t>;</w:t>
      </w:r>
    </w:p>
    <w:p w14:paraId="2C1E2BDB" w14:textId="14FB464F" w:rsidR="00BC1ADE" w:rsidRPr="007960A2" w:rsidRDefault="00E641F1" w:rsidP="005A1DAF">
      <w:pPr>
        <w:pStyle w:val="Citationenretrait"/>
        <w:rPr>
          <w:lang w:val="en-CA" w:eastAsia="fr-CA"/>
        </w:rPr>
      </w:pPr>
      <w:r w:rsidRPr="007960A2">
        <w:rPr>
          <w:lang w:val="en-CA"/>
        </w:rPr>
        <w:t>…</w:t>
      </w:r>
    </w:p>
    <w:p w14:paraId="1C853AAA" w14:textId="0A296FD0" w:rsidR="005A1DAF" w:rsidRPr="007960A2" w:rsidRDefault="00614461" w:rsidP="005A1DAF">
      <w:pPr>
        <w:pStyle w:val="Citationenretrait"/>
        <w:rPr>
          <w:lang w:val="en-CA"/>
        </w:rPr>
      </w:pPr>
      <w:r w:rsidRPr="007960A2">
        <w:rPr>
          <w:b/>
          <w:bCs/>
          <w:lang w:val="en-CA"/>
        </w:rPr>
        <w:t>DECLARES </w:t>
      </w:r>
      <w:r w:rsidRPr="007960A2">
        <w:rPr>
          <w:lang w:val="en-CA"/>
        </w:rPr>
        <w:t>that article 62 </w:t>
      </w:r>
      <w:r w:rsidRPr="007960A2">
        <w:rPr>
          <w:i/>
          <w:iCs/>
          <w:lang w:val="en-CA"/>
        </w:rPr>
        <w:t>C.C.Q.</w:t>
      </w:r>
      <w:r w:rsidRPr="007960A2">
        <w:rPr>
          <w:lang w:val="en-CA"/>
        </w:rPr>
        <w:t> must be read and interpreted such that the application for a change of given name made by a minor 14 years of age or over and motivated by a gender identity issue constitutes a </w:t>
      </w:r>
      <w:r w:rsidRPr="007960A2">
        <w:rPr>
          <w:i/>
          <w:iCs/>
          <w:lang w:val="en-CA"/>
        </w:rPr>
        <w:t>compelling reason</w:t>
      </w:r>
      <w:r w:rsidRPr="007960A2">
        <w:rPr>
          <w:lang w:val="en-CA"/>
        </w:rPr>
        <w:t> within the meaning of that article</w:t>
      </w:r>
      <w:r w:rsidR="008509DD" w:rsidRPr="007960A2">
        <w:rPr>
          <w:lang w:val="en-CA"/>
        </w:rPr>
        <w:t>.</w:t>
      </w:r>
      <w:r w:rsidR="00E641F1" w:rsidRPr="007960A2">
        <w:rPr>
          <w:rStyle w:val="Appelnotedebasdep"/>
          <w:lang w:val="en-CA"/>
        </w:rPr>
        <w:footnoteReference w:id="30"/>
      </w:r>
    </w:p>
    <w:p w14:paraId="3E2857E3" w14:textId="4E94E5C4" w:rsidR="002C064D" w:rsidRPr="007960A2" w:rsidRDefault="009E5343" w:rsidP="009F71EC">
      <w:pPr>
        <w:pStyle w:val="Paragraphe"/>
        <w:numPr>
          <w:ilvl w:val="0"/>
          <w:numId w:val="1"/>
        </w:numPr>
        <w:tabs>
          <w:tab w:val="clear" w:pos="2629"/>
        </w:tabs>
        <w:ind w:left="0"/>
        <w:rPr>
          <w:lang w:eastAsia="fr-CA"/>
        </w:rPr>
      </w:pPr>
      <w:r w:rsidRPr="007960A2">
        <w:t>The Court of Appeal defined the debate as follows:</w:t>
      </w:r>
    </w:p>
    <w:p w14:paraId="2CC067EC" w14:textId="16FEBF1B" w:rsidR="008B179D" w:rsidRPr="007960A2" w:rsidRDefault="00E641F1" w:rsidP="00987EE8">
      <w:pPr>
        <w:pStyle w:val="Paragraphe"/>
        <w:ind w:left="567" w:right="715"/>
        <w:rPr>
          <w:sz w:val="22"/>
          <w:szCs w:val="22"/>
          <w:lang w:eastAsia="fr-CA"/>
        </w:rPr>
      </w:pPr>
      <w:r w:rsidRPr="007960A2">
        <w:rPr>
          <w:sz w:val="22"/>
          <w:szCs w:val="22"/>
        </w:rPr>
        <w:t xml:space="preserve">[2] </w:t>
      </w:r>
      <w:r w:rsidR="00614461" w:rsidRPr="007960A2">
        <w:rPr>
          <w:sz w:val="22"/>
          <w:szCs w:val="22"/>
        </w:rPr>
        <w:t>Whereas several legislative provisions were in dispute at trial, this appeal only concerns two of them, which impose specific requirements on minors who wish to change the designation of their sex or one or more of their given names on their acts of civil status.</w:t>
      </w:r>
      <w:r w:rsidRPr="007960A2">
        <w:rPr>
          <w:rStyle w:val="Appelnotedebasdep"/>
          <w:sz w:val="22"/>
          <w:szCs w:val="22"/>
        </w:rPr>
        <w:footnoteReference w:id="31"/>
      </w:r>
    </w:p>
    <w:p w14:paraId="6C5F9502" w14:textId="53EC781A" w:rsidR="00062814" w:rsidRPr="007960A2" w:rsidRDefault="009E5343" w:rsidP="009F71EC">
      <w:pPr>
        <w:pStyle w:val="Paragraphe"/>
        <w:numPr>
          <w:ilvl w:val="0"/>
          <w:numId w:val="1"/>
        </w:numPr>
        <w:tabs>
          <w:tab w:val="clear" w:pos="2629"/>
        </w:tabs>
        <w:ind w:left="0"/>
      </w:pPr>
      <w:r w:rsidRPr="007960A2">
        <w:rPr>
          <w:rFonts w:cs="Arial"/>
        </w:rPr>
        <w:lastRenderedPageBreak/>
        <w:t xml:space="preserve">The </w:t>
      </w:r>
      <w:r w:rsidR="00AD6982" w:rsidRPr="007960A2">
        <w:rPr>
          <w:rFonts w:cs="Arial"/>
        </w:rPr>
        <w:t>Cour</w:t>
      </w:r>
      <w:r w:rsidRPr="007960A2">
        <w:rPr>
          <w:rFonts w:cs="Arial"/>
        </w:rPr>
        <w:t>t</w:t>
      </w:r>
      <w:r w:rsidR="00AD6982" w:rsidRPr="007960A2">
        <w:rPr>
          <w:rFonts w:cs="Arial"/>
        </w:rPr>
        <w:t xml:space="preserve"> </w:t>
      </w:r>
      <w:r w:rsidRPr="007960A2">
        <w:rPr>
          <w:rFonts w:cs="Arial"/>
        </w:rPr>
        <w:t xml:space="preserve">of Appeal recognized that </w:t>
      </w:r>
      <w:r w:rsidR="00614461" w:rsidRPr="007960A2">
        <w:rPr>
          <w:rFonts w:cs="Arial"/>
        </w:rPr>
        <w:t>“</w:t>
      </w:r>
      <w:r w:rsidR="00614461" w:rsidRPr="007960A2">
        <w:rPr>
          <w:rFonts w:cs="Arial"/>
          <w:color w:val="000000"/>
        </w:rPr>
        <w:t>[t]ransgender and non-binary youths between the ages of 14 and 17 are certainly part of a protected group, transgender and non-binary people having undisputedly been disadvantaged on account of their gender identity”.</w:t>
      </w:r>
      <w:r w:rsidR="00E641F1" w:rsidRPr="007960A2">
        <w:rPr>
          <w:rStyle w:val="Appelnotedebasdep"/>
          <w:rFonts w:cs="Arial"/>
          <w:color w:val="000000"/>
        </w:rPr>
        <w:footnoteReference w:id="32"/>
      </w:r>
    </w:p>
    <w:p w14:paraId="29E46A7C" w14:textId="264A8268" w:rsidR="0006456D" w:rsidRPr="007960A2" w:rsidRDefault="009E5343" w:rsidP="009F71EC">
      <w:pPr>
        <w:pStyle w:val="Paragraphe"/>
        <w:numPr>
          <w:ilvl w:val="0"/>
          <w:numId w:val="1"/>
        </w:numPr>
        <w:tabs>
          <w:tab w:val="clear" w:pos="2629"/>
        </w:tabs>
        <w:ind w:left="0"/>
      </w:pPr>
      <w:r w:rsidRPr="007960A2">
        <w:rPr>
          <w:rFonts w:cs="Arial"/>
          <w:color w:val="000000"/>
        </w:rPr>
        <w:t xml:space="preserve">Regarding the publication of an application </w:t>
      </w:r>
      <w:r w:rsidR="00906CA4">
        <w:rPr>
          <w:rFonts w:cs="Arial"/>
          <w:color w:val="000000"/>
        </w:rPr>
        <w:t>for a</w:t>
      </w:r>
      <w:r w:rsidRPr="007960A2">
        <w:rPr>
          <w:rFonts w:cs="Arial"/>
          <w:color w:val="000000"/>
        </w:rPr>
        <w:t xml:space="preserve"> change </w:t>
      </w:r>
      <w:r w:rsidR="00906CA4">
        <w:rPr>
          <w:rFonts w:cs="Arial"/>
          <w:color w:val="000000"/>
        </w:rPr>
        <w:t xml:space="preserve">of </w:t>
      </w:r>
      <w:r w:rsidRPr="007960A2">
        <w:rPr>
          <w:rFonts w:cs="Arial"/>
          <w:color w:val="000000"/>
        </w:rPr>
        <w:t xml:space="preserve">name or sex or other conditions set out in </w:t>
      </w:r>
      <w:r w:rsidR="00E641F1" w:rsidRPr="007960A2">
        <w:rPr>
          <w:rFonts w:cs="Arial"/>
          <w:color w:val="000000"/>
        </w:rPr>
        <w:t xml:space="preserve">articles 72 </w:t>
      </w:r>
      <w:r w:rsidRPr="007960A2">
        <w:rPr>
          <w:rFonts w:cs="Arial"/>
          <w:color w:val="000000"/>
        </w:rPr>
        <w:t>and</w:t>
      </w:r>
      <w:r w:rsidR="00E641F1" w:rsidRPr="007960A2">
        <w:rPr>
          <w:rFonts w:cs="Arial"/>
          <w:color w:val="000000"/>
        </w:rPr>
        <w:t xml:space="preserve"> 73 </w:t>
      </w:r>
      <w:r w:rsidRPr="007960A2">
        <w:rPr>
          <w:rFonts w:cs="Arial"/>
          <w:color w:val="000000"/>
        </w:rPr>
        <w:t>CCQ</w:t>
      </w:r>
      <w:r w:rsidR="00E641F1" w:rsidRPr="007960A2">
        <w:rPr>
          <w:rFonts w:cs="Arial"/>
          <w:color w:val="000000"/>
        </w:rPr>
        <w:t xml:space="preserve">, </w:t>
      </w:r>
      <w:r w:rsidRPr="007960A2">
        <w:rPr>
          <w:rFonts w:cs="Arial"/>
          <w:color w:val="000000"/>
        </w:rPr>
        <w:t>the</w:t>
      </w:r>
      <w:r w:rsidR="00E641F1" w:rsidRPr="007960A2">
        <w:rPr>
          <w:rFonts w:cs="Arial"/>
          <w:color w:val="000000"/>
        </w:rPr>
        <w:t xml:space="preserve"> Cour</w:t>
      </w:r>
      <w:r w:rsidRPr="007960A2">
        <w:rPr>
          <w:rFonts w:cs="Arial"/>
          <w:color w:val="000000"/>
        </w:rPr>
        <w:t>t</w:t>
      </w:r>
      <w:r w:rsidR="00E641F1" w:rsidRPr="007960A2">
        <w:rPr>
          <w:rFonts w:cs="Arial"/>
          <w:color w:val="000000"/>
        </w:rPr>
        <w:t xml:space="preserve"> </w:t>
      </w:r>
      <w:r w:rsidRPr="007960A2">
        <w:rPr>
          <w:rFonts w:cs="Arial"/>
          <w:color w:val="000000"/>
        </w:rPr>
        <w:t xml:space="preserve">of Appeal understood from these provisions </w:t>
      </w:r>
      <w:r w:rsidR="00614461" w:rsidRPr="007960A2">
        <w:rPr>
          <w:rFonts w:cs="Arial"/>
          <w:color w:val="000000"/>
        </w:rPr>
        <w:t>“</w:t>
      </w:r>
      <w:r w:rsidR="00614461" w:rsidRPr="007960A2">
        <w:rPr>
          <w:rFonts w:cs="Arial"/>
          <w:color w:val="000000"/>
          <w:kern w:val="0"/>
        </w:rPr>
        <w:t>that the legislator was aware of the importance of protecting the dignity and privacy of people whose gender identity does not correspond to the designation of sex that appears in their act of birth”.</w:t>
      </w:r>
      <w:r w:rsidR="00E641F1" w:rsidRPr="007960A2">
        <w:rPr>
          <w:rStyle w:val="Appelnotedebasdep"/>
          <w:rFonts w:cs="Arial"/>
          <w:color w:val="000000"/>
          <w:kern w:val="0"/>
        </w:rPr>
        <w:footnoteReference w:id="33"/>
      </w:r>
    </w:p>
    <w:p w14:paraId="3AD5DB28" w14:textId="3CBE919A" w:rsidR="00CE77D3" w:rsidRPr="007960A2" w:rsidRDefault="009E5343" w:rsidP="009F71EC">
      <w:pPr>
        <w:pStyle w:val="Paragraphe"/>
        <w:numPr>
          <w:ilvl w:val="0"/>
          <w:numId w:val="1"/>
        </w:numPr>
        <w:tabs>
          <w:tab w:val="clear" w:pos="2629"/>
        </w:tabs>
        <w:ind w:left="0"/>
      </w:pPr>
      <w:r w:rsidRPr="007960A2">
        <w:t>Hamilton, J.A., on behalf of the Court of Appeal, added:</w:t>
      </w:r>
    </w:p>
    <w:p w14:paraId="39456BA4" w14:textId="7F3CAC0F" w:rsidR="0006456D" w:rsidRPr="007960A2" w:rsidRDefault="00E641F1" w:rsidP="00CE77D3">
      <w:pPr>
        <w:pStyle w:val="Citationenretrait"/>
        <w:rPr>
          <w:lang w:val="en-CA"/>
        </w:rPr>
      </w:pPr>
      <w:r w:rsidRPr="007960A2">
        <w:rPr>
          <w:szCs w:val="22"/>
          <w:lang w:val="en-CA"/>
        </w:rPr>
        <w:t xml:space="preserve">[220] </w:t>
      </w:r>
      <w:r w:rsidR="00646CDF" w:rsidRPr="00646CDF">
        <w:rPr>
          <w:szCs w:val="22"/>
          <w:lang w:val="en-CA"/>
        </w:rPr>
        <w:t>To begin with, I find that transgender and non-binary persons are a protected group. Gender identity is not listed in </w:t>
      </w:r>
      <w:bookmarkStart w:id="7" w:name="_Hlk160362197"/>
      <w:bookmarkEnd w:id="7"/>
      <w:r w:rsidR="00646CDF" w:rsidRPr="00646CDF">
        <w:rPr>
          <w:szCs w:val="22"/>
          <w:lang w:val="en-CA"/>
        </w:rPr>
        <w:t>section 15 of the </w:t>
      </w:r>
      <w:r w:rsidR="00646CDF" w:rsidRPr="00646CDF">
        <w:rPr>
          <w:i/>
          <w:iCs/>
          <w:szCs w:val="22"/>
          <w:lang w:val="en-CA"/>
        </w:rPr>
        <w:t>Canadian Charter</w:t>
      </w:r>
      <w:r w:rsidR="00646CDF" w:rsidRPr="00646CDF">
        <w:rPr>
          <w:szCs w:val="22"/>
          <w:lang w:val="en-CA"/>
        </w:rPr>
        <w:t>. However, under the test articulated by the Supreme Court in </w:t>
      </w:r>
      <w:r w:rsidR="00646CDF" w:rsidRPr="00646CDF">
        <w:rPr>
          <w:i/>
          <w:iCs/>
          <w:szCs w:val="22"/>
          <w:lang w:val="en-CA"/>
        </w:rPr>
        <w:t>Corbiere</w:t>
      </w:r>
      <w:r w:rsidR="00646CDF" w:rsidRPr="00646CDF">
        <w:rPr>
          <w:szCs w:val="22"/>
          <w:lang w:val="en-CA"/>
        </w:rPr>
        <w:t xml:space="preserve">, gender identity is analogous to the grounds enumerated in that section in that it is a personal characteristic “that is immutable or changeable only at unacceptable cost to personal identity.” The witnesses heard at trial were unanimous and the trial judge reached that conclusion, which should be adopted here. </w:t>
      </w:r>
      <w:r w:rsidR="00626A00" w:rsidRPr="007960A2">
        <w:rPr>
          <w:szCs w:val="22"/>
          <w:lang w:val="en-CA"/>
        </w:rPr>
        <w:t xml:space="preserve">As for the </w:t>
      </w:r>
      <w:r w:rsidR="00626A00" w:rsidRPr="007960A2">
        <w:rPr>
          <w:i/>
          <w:iCs/>
          <w:szCs w:val="22"/>
          <w:lang w:val="en-CA"/>
        </w:rPr>
        <w:t>Quebec</w:t>
      </w:r>
      <w:r w:rsidR="00626A00" w:rsidRPr="007960A2">
        <w:rPr>
          <w:szCs w:val="22"/>
          <w:lang w:val="en-CA"/>
        </w:rPr>
        <w:t xml:space="preserve"> </w:t>
      </w:r>
      <w:r w:rsidR="00626A00" w:rsidRPr="007960A2">
        <w:rPr>
          <w:i/>
          <w:szCs w:val="22"/>
          <w:lang w:val="en-CA"/>
        </w:rPr>
        <w:t>Charter</w:t>
      </w:r>
      <w:r w:rsidR="00626A00" w:rsidRPr="007960A2">
        <w:rPr>
          <w:szCs w:val="22"/>
          <w:lang w:val="en-CA"/>
        </w:rPr>
        <w:t>, gender identity is one of the grounds of discrimination expressly prohibited by section 10.</w:t>
      </w:r>
      <w:r w:rsidRPr="007960A2">
        <w:rPr>
          <w:rStyle w:val="Appelnotedebasdep"/>
          <w:kern w:val="0"/>
          <w:lang w:val="en-CA"/>
        </w:rPr>
        <w:footnoteReference w:id="34"/>
      </w:r>
    </w:p>
    <w:p w14:paraId="373F51D0" w14:textId="3DCF9754" w:rsidR="00D2358C" w:rsidRPr="007960A2" w:rsidRDefault="00C700C8" w:rsidP="009F71EC">
      <w:pPr>
        <w:pStyle w:val="Paragraphe"/>
        <w:numPr>
          <w:ilvl w:val="0"/>
          <w:numId w:val="1"/>
        </w:numPr>
        <w:tabs>
          <w:tab w:val="clear" w:pos="2629"/>
        </w:tabs>
        <w:ind w:left="0"/>
        <w:rPr>
          <w:rFonts w:cs="Arial"/>
          <w:color w:val="000000"/>
          <w:spacing w:val="-3"/>
          <w:sz w:val="22"/>
          <w:lang w:eastAsia="en-US"/>
        </w:rPr>
      </w:pPr>
      <w:r w:rsidRPr="007960A2">
        <w:t>In</w:t>
      </w:r>
      <w:r w:rsidR="00791312" w:rsidRPr="007960A2">
        <w:t xml:space="preserve"> 2023,</w:t>
      </w:r>
      <w:r w:rsidRPr="007960A2">
        <w:t xml:space="preserve"> the Canadian Human Rights</w:t>
      </w:r>
      <w:r w:rsidR="00791312" w:rsidRPr="007960A2">
        <w:t xml:space="preserve"> Tribunal </w:t>
      </w:r>
      <w:r w:rsidRPr="007960A2">
        <w:t xml:space="preserve">discussed the social context and vulnerability of transgender </w:t>
      </w:r>
      <w:r w:rsidR="00646CDF">
        <w:t xml:space="preserve">people </w:t>
      </w:r>
      <w:r w:rsidRPr="007960A2">
        <w:t xml:space="preserve">in </w:t>
      </w:r>
      <w:r w:rsidR="00791312" w:rsidRPr="007960A2">
        <w:rPr>
          <w:i/>
          <w:iCs/>
        </w:rPr>
        <w:t>Bilac</w:t>
      </w:r>
      <w:bookmarkStart w:id="8" w:name="_Ref168403441"/>
      <w:r w:rsidRPr="007960A2">
        <w:t>.</w:t>
      </w:r>
      <w:r w:rsidR="00E641F1" w:rsidRPr="007960A2">
        <w:rPr>
          <w:rStyle w:val="Appelnotedebasdep"/>
        </w:rPr>
        <w:footnoteReference w:id="35"/>
      </w:r>
      <w:bookmarkEnd w:id="8"/>
      <w:r w:rsidR="00791312" w:rsidRPr="007960A2">
        <w:t xml:space="preserve"> </w:t>
      </w:r>
      <w:r w:rsidRPr="007960A2">
        <w:t>Th</w:t>
      </w:r>
      <w:r w:rsidR="00646CDF">
        <w:t>at</w:t>
      </w:r>
      <w:r w:rsidRPr="007960A2">
        <w:t xml:space="preserve"> case involv</w:t>
      </w:r>
      <w:r w:rsidR="00646CDF">
        <w:t>ed</w:t>
      </w:r>
      <w:r w:rsidRPr="007960A2">
        <w:t xml:space="preserve"> a transgender man </w:t>
      </w:r>
      <w:r w:rsidR="00646CDF">
        <w:t xml:space="preserve">and dealt with </w:t>
      </w:r>
      <w:r w:rsidRPr="007960A2">
        <w:t>gender identity and the harassment he experienced in his workplace</w:t>
      </w:r>
      <w:r w:rsidR="00791312" w:rsidRPr="007960A2">
        <w:t>: </w:t>
      </w:r>
    </w:p>
    <w:p w14:paraId="13326D3C" w14:textId="3FA2C4E3" w:rsidR="00D2358C" w:rsidRPr="007960A2" w:rsidRDefault="00E641F1" w:rsidP="00D2358C">
      <w:pPr>
        <w:pStyle w:val="Citationenretrait"/>
        <w:rPr>
          <w:lang w:val="en-CA" w:eastAsia="fr-CA"/>
        </w:rPr>
      </w:pPr>
      <w:r w:rsidRPr="007960A2">
        <w:rPr>
          <w:lang w:val="en-CA" w:eastAsia="fr-CA"/>
        </w:rPr>
        <w:t>[</w:t>
      </w:r>
      <w:bookmarkStart w:id="9" w:name="par149"/>
      <w:r w:rsidRPr="007960A2">
        <w:rPr>
          <w:lang w:val="en-CA" w:eastAsia="fr-CA"/>
        </w:rPr>
        <w:t>149</w:t>
      </w:r>
      <w:bookmarkEnd w:id="9"/>
      <w:r w:rsidRPr="007960A2">
        <w:rPr>
          <w:lang w:val="en-CA" w:eastAsia="fr-CA"/>
        </w:rPr>
        <w:t xml:space="preserve">] </w:t>
      </w:r>
      <w:r w:rsidR="00614461" w:rsidRPr="007960A2">
        <w:rPr>
          <w:lang w:val="en-CA" w:eastAsia="fr-CA"/>
        </w:rPr>
        <w:t>With respect to Mr. Bilac’s social context or vulnerability, I find the following comment by the BCHRT to be very relevant to the present complaint: “Vulnerability has different aspects, including that which relates to a complainant’s individual situation and that which relates to their membership in a group which society has stereotyped, disadvantaged, or marginalized”</w:t>
      </w:r>
      <w:r w:rsidR="0002216C" w:rsidRPr="007960A2">
        <w:rPr>
          <w:lang w:val="en-CA" w:eastAsia="fr-CA"/>
        </w:rPr>
        <w:t>.</w:t>
      </w:r>
    </w:p>
    <w:p w14:paraId="10955404" w14:textId="70EB07F1" w:rsidR="00D2358C" w:rsidRPr="007960A2" w:rsidRDefault="00E641F1" w:rsidP="00D2358C">
      <w:pPr>
        <w:pStyle w:val="Citationenretrait"/>
        <w:rPr>
          <w:lang w:val="en-CA" w:eastAsia="fr-CA"/>
        </w:rPr>
      </w:pPr>
      <w:r w:rsidRPr="007960A2">
        <w:rPr>
          <w:lang w:val="en-CA" w:eastAsia="fr-CA"/>
        </w:rPr>
        <w:t>[</w:t>
      </w:r>
      <w:bookmarkStart w:id="10" w:name="par150"/>
      <w:r w:rsidRPr="007960A2">
        <w:rPr>
          <w:lang w:val="en-CA" w:eastAsia="fr-CA"/>
        </w:rPr>
        <w:t>150</w:t>
      </w:r>
      <w:bookmarkEnd w:id="10"/>
      <w:r w:rsidRPr="007960A2">
        <w:rPr>
          <w:lang w:val="en-CA" w:eastAsia="fr-CA"/>
        </w:rPr>
        <w:t>]</w:t>
      </w:r>
      <w:r w:rsidR="00042476" w:rsidRPr="007960A2">
        <w:rPr>
          <w:rFonts w:ascii="Times New Roman" w:hAnsi="Times New Roman"/>
          <w:sz w:val="14"/>
          <w:szCs w:val="14"/>
          <w:lang w:val="en-CA" w:eastAsia="fr-CA"/>
        </w:rPr>
        <w:t xml:space="preserve"> </w:t>
      </w:r>
      <w:r w:rsidR="00614461" w:rsidRPr="007960A2">
        <w:rPr>
          <w:lang w:val="en-CA" w:eastAsia="fr-CA"/>
        </w:rPr>
        <w:t>There are several aspects to Mr. Bilac’s vulnerability in this case. Like the complainant in </w:t>
      </w:r>
      <w:r w:rsidR="00614461" w:rsidRPr="007960A2">
        <w:rPr>
          <w:i/>
          <w:iCs/>
          <w:lang w:val="en-CA" w:eastAsia="fr-CA"/>
        </w:rPr>
        <w:t>Nelson v Goodberry</w:t>
      </w:r>
      <w:r w:rsidR="00614461" w:rsidRPr="007960A2">
        <w:rPr>
          <w:lang w:val="en-CA" w:eastAsia="fr-CA"/>
        </w:rPr>
        <w:t>, Mr. Bilac was “vulnerable because of the forces of systemic inequality that continue to oppress, marginalize, and discriminate against transgender people” (at para 37). This context was effectively summarized by the BCHRT in </w:t>
      </w:r>
      <w:r w:rsidR="00614461" w:rsidRPr="007960A2">
        <w:rPr>
          <w:i/>
          <w:iCs/>
          <w:lang w:val="en-CA" w:eastAsia="fr-CA"/>
        </w:rPr>
        <w:t>Oger v. Whatcott</w:t>
      </w:r>
    </w:p>
    <w:p w14:paraId="5ADD519F" w14:textId="6B01A276" w:rsidR="000F0A7D" w:rsidRPr="007960A2" w:rsidRDefault="00614461" w:rsidP="00D2358C">
      <w:pPr>
        <w:spacing w:after="100"/>
        <w:ind w:left="720" w:right="720"/>
        <w:jc w:val="both"/>
        <w:rPr>
          <w:kern w:val="24"/>
          <w:sz w:val="22"/>
          <w:lang w:val="en-CA" w:eastAsia="fr-CA"/>
        </w:rPr>
      </w:pPr>
      <w:r w:rsidRPr="007960A2">
        <w:rPr>
          <w:kern w:val="24"/>
          <w:sz w:val="22"/>
          <w:lang w:val="en-CA" w:eastAsia="fr-CA"/>
        </w:rPr>
        <w:t xml:space="preserve">And so, despite some gains, transgender people remain among the most marginalized in our society. Their lives are marked by "disadvantage, prejudice, stereotyping, and vulnerability”… Transpeople face barriers to employment and housing, inequitable access to health care and other vital public services, and </w:t>
      </w:r>
      <w:r w:rsidRPr="007960A2">
        <w:rPr>
          <w:kern w:val="24"/>
          <w:sz w:val="22"/>
          <w:lang w:val="en-CA" w:eastAsia="fr-CA"/>
        </w:rPr>
        <w:lastRenderedPageBreak/>
        <w:t>heightened risks of targeted harassment and violence. The results include social isolation, as well as higher rates of substance use, poor mental health, suicide, and poverty … .</w:t>
      </w:r>
      <w:r w:rsidR="00E641F1" w:rsidRPr="007960A2">
        <w:rPr>
          <w:rStyle w:val="Appelnotedebasdep"/>
          <w:rFonts w:cs="Arial"/>
          <w:color w:val="000000"/>
          <w:spacing w:val="-3"/>
          <w:szCs w:val="24"/>
          <w:lang w:val="en-CA" w:eastAsia="fr-CA"/>
        </w:rPr>
        <w:footnoteReference w:id="36"/>
      </w:r>
    </w:p>
    <w:p w14:paraId="77911953" w14:textId="5EFB1F5F" w:rsidR="00281D6D" w:rsidRPr="007960A2" w:rsidRDefault="00C700C8" w:rsidP="00281D6D">
      <w:pPr>
        <w:spacing w:after="100"/>
        <w:ind w:left="720" w:right="720"/>
        <w:jc w:val="right"/>
        <w:rPr>
          <w:rFonts w:cs="Arial"/>
          <w:color w:val="000000"/>
          <w:spacing w:val="-3"/>
          <w:sz w:val="20"/>
          <w:lang w:val="en-CA" w:eastAsia="fr-CA"/>
        </w:rPr>
      </w:pPr>
      <w:r w:rsidRPr="007960A2">
        <w:rPr>
          <w:rFonts w:cs="Arial"/>
          <w:kern w:val="24"/>
          <w:sz w:val="20"/>
          <w:lang w:val="en-CA" w:eastAsia="fr-CA"/>
        </w:rPr>
        <w:t>[</w:t>
      </w:r>
      <w:r w:rsidR="00E641F1" w:rsidRPr="007960A2">
        <w:rPr>
          <w:kern w:val="24"/>
          <w:sz w:val="20"/>
          <w:lang w:val="en-CA" w:eastAsia="fr-CA"/>
        </w:rPr>
        <w:t>R</w:t>
      </w:r>
      <w:r w:rsidRPr="007960A2">
        <w:rPr>
          <w:kern w:val="24"/>
          <w:sz w:val="20"/>
          <w:lang w:val="en-CA" w:eastAsia="fr-CA"/>
        </w:rPr>
        <w:t>e</w:t>
      </w:r>
      <w:r w:rsidR="00E641F1" w:rsidRPr="007960A2">
        <w:rPr>
          <w:kern w:val="24"/>
          <w:sz w:val="20"/>
          <w:lang w:val="en-CA" w:eastAsia="fr-CA"/>
        </w:rPr>
        <w:t>f</w:t>
      </w:r>
      <w:r w:rsidRPr="007960A2">
        <w:rPr>
          <w:kern w:val="24"/>
          <w:sz w:val="20"/>
          <w:lang w:val="en-CA" w:eastAsia="fr-CA"/>
        </w:rPr>
        <w:t>e</w:t>
      </w:r>
      <w:r w:rsidR="00E641F1" w:rsidRPr="007960A2">
        <w:rPr>
          <w:kern w:val="24"/>
          <w:sz w:val="20"/>
          <w:lang w:val="en-CA" w:eastAsia="fr-CA"/>
        </w:rPr>
        <w:t xml:space="preserve">rences </w:t>
      </w:r>
      <w:r w:rsidRPr="007960A2">
        <w:rPr>
          <w:kern w:val="24"/>
          <w:sz w:val="20"/>
          <w:lang w:val="en-CA" w:eastAsia="fr-CA"/>
        </w:rPr>
        <w:t>omitted</w:t>
      </w:r>
      <w:r w:rsidR="008D6A1A">
        <w:rPr>
          <w:kern w:val="24"/>
          <w:sz w:val="20"/>
          <w:lang w:val="en-CA" w:eastAsia="fr-CA"/>
        </w:rPr>
        <w:t>.</w:t>
      </w:r>
      <w:r w:rsidRPr="007960A2">
        <w:rPr>
          <w:rFonts w:cs="Arial"/>
          <w:kern w:val="24"/>
          <w:sz w:val="20"/>
          <w:lang w:val="en-CA" w:eastAsia="fr-CA"/>
        </w:rPr>
        <w:t>]</w:t>
      </w:r>
    </w:p>
    <w:p w14:paraId="148579D2" w14:textId="24C38F79" w:rsidR="00E00A18" w:rsidRPr="007960A2" w:rsidRDefault="00626A00" w:rsidP="009F71EC">
      <w:pPr>
        <w:pStyle w:val="Paragraphe"/>
        <w:numPr>
          <w:ilvl w:val="0"/>
          <w:numId w:val="1"/>
        </w:numPr>
        <w:tabs>
          <w:tab w:val="clear" w:pos="2629"/>
        </w:tabs>
        <w:ind w:left="0"/>
      </w:pPr>
      <w:r w:rsidRPr="007960A2">
        <w:rPr>
          <w:rFonts w:cs="Arial"/>
          <w:szCs w:val="24"/>
        </w:rPr>
        <w:t>Most Canadian provinces have legislated to prohibit any discrimination based on gender identity and expression, including Ontario</w:t>
      </w:r>
      <w:r w:rsidRPr="007960A2">
        <w:rPr>
          <w:rStyle w:val="Appelnotedebasdep"/>
          <w:rFonts w:cs="Arial"/>
          <w:szCs w:val="24"/>
        </w:rPr>
        <w:footnoteReference w:id="37"/>
      </w:r>
      <w:r w:rsidRPr="007960A2">
        <w:rPr>
          <w:rFonts w:cs="Arial"/>
          <w:szCs w:val="24"/>
        </w:rPr>
        <w:t xml:space="preserve"> and Manitoba in 2012</w:t>
      </w:r>
      <w:r w:rsidRPr="007960A2">
        <w:rPr>
          <w:rStyle w:val="Appelnotedebasdep"/>
          <w:rFonts w:cs="Arial"/>
          <w:szCs w:val="24"/>
        </w:rPr>
        <w:footnoteReference w:id="38"/>
      </w:r>
      <w:r w:rsidRPr="007960A2">
        <w:rPr>
          <w:rFonts w:cs="Arial"/>
          <w:szCs w:val="24"/>
        </w:rPr>
        <w:t xml:space="preserve"> and British Columbia in 2016.</w:t>
      </w:r>
      <w:r w:rsidRPr="007960A2">
        <w:rPr>
          <w:rStyle w:val="Appelnotedebasdep"/>
          <w:rFonts w:cs="Arial"/>
          <w:szCs w:val="24"/>
        </w:rPr>
        <w:footnoteReference w:id="39"/>
      </w:r>
      <w:r w:rsidR="000A533E" w:rsidRPr="007960A2">
        <w:rPr>
          <w:rFonts w:cs="Arial"/>
          <w:szCs w:val="24"/>
        </w:rPr>
        <w:t xml:space="preserve"> </w:t>
      </w:r>
      <w:r w:rsidRPr="007960A2">
        <w:rPr>
          <w:rFonts w:cs="Arial"/>
          <w:szCs w:val="24"/>
        </w:rPr>
        <w:t xml:space="preserve">Parliament also amended the </w:t>
      </w:r>
      <w:r w:rsidRPr="007960A2">
        <w:rPr>
          <w:rFonts w:cs="Arial"/>
          <w:i/>
          <w:szCs w:val="24"/>
        </w:rPr>
        <w:t>Canadian Human Rights Act</w:t>
      </w:r>
      <w:r w:rsidRPr="007960A2">
        <w:rPr>
          <w:rStyle w:val="Appelnotedebasdep"/>
          <w:rFonts w:cs="Arial"/>
          <w:szCs w:val="24"/>
        </w:rPr>
        <w:footnoteReference w:id="40"/>
      </w:r>
      <w:r w:rsidRPr="007960A2">
        <w:rPr>
          <w:rFonts w:cs="Arial"/>
          <w:szCs w:val="24"/>
        </w:rPr>
        <w:t xml:space="preserve"> in 2016</w:t>
      </w:r>
      <w:r w:rsidRPr="007960A2">
        <w:rPr>
          <w:rStyle w:val="Appelnotedebasdep"/>
          <w:rFonts w:cs="Arial"/>
          <w:szCs w:val="24"/>
        </w:rPr>
        <w:footnoteReference w:id="41"/>
      </w:r>
      <w:r w:rsidRPr="007960A2">
        <w:rPr>
          <w:rFonts w:cs="Arial"/>
          <w:szCs w:val="24"/>
        </w:rPr>
        <w:t xml:space="preserve"> to include the grounds of gender identity and expression.</w:t>
      </w:r>
      <w:r w:rsidR="0070419A" w:rsidRPr="007960A2">
        <w:rPr>
          <w:rFonts w:cs="Arial"/>
          <w:szCs w:val="24"/>
        </w:rPr>
        <w:t xml:space="preserve"> </w:t>
      </w:r>
      <w:r w:rsidRPr="007960A2">
        <w:rPr>
          <w:rFonts w:cs="Arial"/>
          <w:szCs w:val="24"/>
        </w:rPr>
        <w:t>The application of these grounds of discrimination is very similar throughout Canada.</w:t>
      </w:r>
    </w:p>
    <w:p w14:paraId="5F9F19B8" w14:textId="607E2265" w:rsidR="003F174A" w:rsidRPr="007960A2" w:rsidRDefault="00626A00" w:rsidP="009F71EC">
      <w:pPr>
        <w:pStyle w:val="Paragraphe"/>
        <w:numPr>
          <w:ilvl w:val="0"/>
          <w:numId w:val="1"/>
        </w:numPr>
        <w:tabs>
          <w:tab w:val="clear" w:pos="2629"/>
        </w:tabs>
        <w:ind w:left="0"/>
      </w:pPr>
      <w:r w:rsidRPr="007960A2">
        <w:t xml:space="preserve">The courts in the other provinces have dealt with three issues relevant to the grounds of discrimination that are gender identity and expression: the </w:t>
      </w:r>
      <w:r w:rsidR="00F57A2B">
        <w:t>non-necessity of</w:t>
      </w:r>
      <w:r w:rsidRPr="007960A2">
        <w:t xml:space="preserve"> surgery, </w:t>
      </w:r>
      <w:r w:rsidR="00356E80">
        <w:t xml:space="preserve">the </w:t>
      </w:r>
      <w:r w:rsidRPr="007960A2">
        <w:t xml:space="preserve">respect for chosen pronouns, and the neutral identification of </w:t>
      </w:r>
      <w:r w:rsidR="00646CDF">
        <w:t xml:space="preserve">sex </w:t>
      </w:r>
      <w:r w:rsidRPr="007960A2">
        <w:t xml:space="preserve">in the </w:t>
      </w:r>
      <w:r w:rsidR="00646CDF">
        <w:t xml:space="preserve">register of </w:t>
      </w:r>
      <w:r w:rsidRPr="007960A2">
        <w:t>civil status.</w:t>
      </w:r>
    </w:p>
    <w:p w14:paraId="75AA9D07" w14:textId="28040DCC" w:rsidR="0059000C" w:rsidRPr="007960A2" w:rsidRDefault="00626A00" w:rsidP="009F71EC">
      <w:pPr>
        <w:pStyle w:val="Paragraphe"/>
        <w:numPr>
          <w:ilvl w:val="0"/>
          <w:numId w:val="1"/>
        </w:numPr>
        <w:tabs>
          <w:tab w:val="clear" w:pos="2629"/>
        </w:tabs>
        <w:ind w:left="0"/>
      </w:pPr>
      <w:r w:rsidRPr="007960A2">
        <w:t xml:space="preserve">First, in </w:t>
      </w:r>
      <w:r w:rsidRPr="007960A2">
        <w:rPr>
          <w:i/>
        </w:rPr>
        <w:t>XY v. Ontario (Government and Consumer Services)</w:t>
      </w:r>
      <w:r w:rsidRPr="007960A2">
        <w:rPr>
          <w:vertAlign w:val="superscript"/>
        </w:rPr>
        <w:footnoteReference w:id="42"/>
      </w:r>
      <w:r w:rsidR="00ED0461">
        <w:rPr>
          <w:iCs/>
        </w:rPr>
        <w:t>,</w:t>
      </w:r>
      <w:r w:rsidRPr="007960A2">
        <w:t xml:space="preserve"> </w:t>
      </w:r>
      <w:r w:rsidR="005C7DAD" w:rsidRPr="007960A2">
        <w:t xml:space="preserve">the Human Rights Tribunal of Ontario </w:t>
      </w:r>
      <w:r w:rsidRPr="007960A2">
        <w:t xml:space="preserve">found that the requirement for “transsexual surgery” to change the </w:t>
      </w:r>
      <w:r w:rsidR="00252094">
        <w:t xml:space="preserve">sex </w:t>
      </w:r>
      <w:r w:rsidRPr="007960A2">
        <w:t xml:space="preserve">designation in the Ontario </w:t>
      </w:r>
      <w:r w:rsidR="00252094">
        <w:t xml:space="preserve">register of </w:t>
      </w:r>
      <w:r w:rsidRPr="007960A2">
        <w:t>civil status was discriminatory.</w:t>
      </w:r>
      <w:r w:rsidR="00E641F1" w:rsidRPr="007960A2">
        <w:t xml:space="preserve"> </w:t>
      </w:r>
      <w:r w:rsidR="002C41AC">
        <w:t>Accordingly</w:t>
      </w:r>
      <w:r w:rsidRPr="007960A2">
        <w:t xml:space="preserve">, all forms of medical treatment may no longer be a condition to change gender in the Ontario </w:t>
      </w:r>
      <w:r w:rsidR="00252094">
        <w:t>r</w:t>
      </w:r>
      <w:r w:rsidRPr="007960A2">
        <w:t xml:space="preserve">egister of </w:t>
      </w:r>
      <w:r w:rsidR="00252094">
        <w:t>c</w:t>
      </w:r>
      <w:r w:rsidRPr="007960A2">
        <w:t xml:space="preserve">ivil </w:t>
      </w:r>
      <w:r w:rsidR="00252094">
        <w:t>s</w:t>
      </w:r>
      <w:r w:rsidRPr="007960A2">
        <w:t xml:space="preserve">tatus or </w:t>
      </w:r>
      <w:r w:rsidR="00252094">
        <w:t xml:space="preserve">to </w:t>
      </w:r>
      <w:r w:rsidRPr="007960A2">
        <w:t xml:space="preserve">raise the ground of discrimination based on gender identification under the Ontario </w:t>
      </w:r>
      <w:r w:rsidRPr="007960A2">
        <w:rPr>
          <w:i/>
        </w:rPr>
        <w:t>Human Rights Code</w:t>
      </w:r>
      <w:r w:rsidRPr="007960A2">
        <w:t>.</w:t>
      </w:r>
    </w:p>
    <w:p w14:paraId="2D57190B" w14:textId="34FBA54C" w:rsidR="005B484A" w:rsidRPr="007960A2" w:rsidRDefault="00626A00" w:rsidP="009F71EC">
      <w:pPr>
        <w:pStyle w:val="Paragraphe"/>
        <w:numPr>
          <w:ilvl w:val="0"/>
          <w:numId w:val="1"/>
        </w:numPr>
        <w:tabs>
          <w:tab w:val="clear" w:pos="2629"/>
        </w:tabs>
        <w:ind w:left="0"/>
      </w:pPr>
      <w:r w:rsidRPr="007960A2">
        <w:t xml:space="preserve">In </w:t>
      </w:r>
      <w:r w:rsidRPr="007960A2">
        <w:rPr>
          <w:i/>
        </w:rPr>
        <w:t>Nelson v. Goodberry Restaurant Group Ltd. dba Buono Osteria and others</w:t>
      </w:r>
      <w:r w:rsidRPr="007960A2">
        <w:t>,</w:t>
      </w:r>
      <w:r w:rsidRPr="007960A2">
        <w:rPr>
          <w:rStyle w:val="Appelnotedebasdep"/>
        </w:rPr>
        <w:footnoteReference w:id="43"/>
      </w:r>
      <w:r w:rsidRPr="007960A2">
        <w:t xml:space="preserve"> the British Columbia Human Rights Tribunal determined that the complainant, Jessie Nelson, had been discriminated against </w:t>
      </w:r>
      <w:r w:rsidR="005D1FAA">
        <w:t xml:space="preserve">in their </w:t>
      </w:r>
      <w:r w:rsidRPr="007960A2">
        <w:t xml:space="preserve">employment </w:t>
      </w:r>
      <w:r w:rsidR="005D1FAA">
        <w:t xml:space="preserve">on the basis </w:t>
      </w:r>
      <w:r w:rsidRPr="007960A2">
        <w:t xml:space="preserve">of </w:t>
      </w:r>
      <w:r w:rsidR="005D1FAA">
        <w:t xml:space="preserve">their </w:t>
      </w:r>
      <w:r w:rsidRPr="007960A2">
        <w:t>gender identity and expression.</w:t>
      </w:r>
      <w:r w:rsidR="005E1B52" w:rsidRPr="007960A2">
        <w:t xml:space="preserve"> </w:t>
      </w:r>
      <w:r w:rsidR="005D1FAA">
        <w:t>Their</w:t>
      </w:r>
      <w:r w:rsidRPr="007960A2">
        <w:t xml:space="preserve"> supervisor misgendered </w:t>
      </w:r>
      <w:r w:rsidR="005D1FAA">
        <w:t>them</w:t>
      </w:r>
      <w:r w:rsidRPr="007960A2">
        <w:t xml:space="preserve"> and called </w:t>
      </w:r>
      <w:r w:rsidR="005D1FAA">
        <w:t>t</w:t>
      </w:r>
      <w:r w:rsidRPr="007960A2">
        <w:t>h</w:t>
      </w:r>
      <w:r w:rsidR="005D1FAA">
        <w:t>e</w:t>
      </w:r>
      <w:r w:rsidRPr="007960A2">
        <w:t xml:space="preserve">m by typically female </w:t>
      </w:r>
      <w:r w:rsidR="005D1FAA">
        <w:t>nick</w:t>
      </w:r>
      <w:r w:rsidRPr="007960A2">
        <w:t>names.</w:t>
      </w:r>
      <w:r w:rsidR="005E1B52" w:rsidRPr="007960A2">
        <w:t xml:space="preserve"> </w:t>
      </w:r>
      <w:r w:rsidRPr="007960A2">
        <w:t xml:space="preserve">The Tribunal noted that trans employees are entitled to </w:t>
      </w:r>
      <w:r w:rsidR="00C74276">
        <w:t xml:space="preserve">respect for </w:t>
      </w:r>
      <w:r w:rsidRPr="007960A2">
        <w:t xml:space="preserve">their gender identity and that using the </w:t>
      </w:r>
      <w:r w:rsidR="00C74276">
        <w:t xml:space="preserve">correct </w:t>
      </w:r>
      <w:r w:rsidRPr="007960A2">
        <w:t>names and pronouns is not an accommodation.</w:t>
      </w:r>
      <w:r w:rsidRPr="007960A2">
        <w:rPr>
          <w:rStyle w:val="Appelnotedebasdep"/>
        </w:rPr>
        <w:footnoteReference w:id="44"/>
      </w:r>
      <w:r w:rsidR="005E1B52" w:rsidRPr="007960A2">
        <w:t xml:space="preserve"> </w:t>
      </w:r>
      <w:r w:rsidRPr="007960A2">
        <w:t xml:space="preserve">The use of female </w:t>
      </w:r>
      <w:r w:rsidR="00C74276">
        <w:t>nick</w:t>
      </w:r>
      <w:r w:rsidRPr="007960A2">
        <w:t xml:space="preserve">names was </w:t>
      </w:r>
      <w:r w:rsidR="00FD2AD8">
        <w:t xml:space="preserve">meant </w:t>
      </w:r>
      <w:r w:rsidRPr="007960A2">
        <w:t xml:space="preserve">not only to infantilize the complainant, but also to undermine and degrade </w:t>
      </w:r>
      <w:r w:rsidR="00C74276">
        <w:t xml:space="preserve">their </w:t>
      </w:r>
      <w:r w:rsidRPr="007960A2">
        <w:t>gender identity.</w:t>
      </w:r>
      <w:r w:rsidRPr="007960A2">
        <w:rPr>
          <w:rStyle w:val="Appelnotedebasdep"/>
        </w:rPr>
        <w:footnoteReference w:id="45"/>
      </w:r>
      <w:r w:rsidR="005E1B52" w:rsidRPr="007960A2">
        <w:t xml:space="preserve"> </w:t>
      </w:r>
      <w:r w:rsidRPr="007960A2">
        <w:t xml:space="preserve">For these </w:t>
      </w:r>
      <w:r w:rsidRPr="007960A2">
        <w:lastRenderedPageBreak/>
        <w:t xml:space="preserve">reasons, the Tribunal found that </w:t>
      </w:r>
      <w:r w:rsidR="00C74276">
        <w:t xml:space="preserve">their </w:t>
      </w:r>
      <w:r w:rsidRPr="007960A2">
        <w:t xml:space="preserve">supervisor had discriminated against the complainant </w:t>
      </w:r>
      <w:r w:rsidR="00C74276">
        <w:t xml:space="preserve">in </w:t>
      </w:r>
      <w:r w:rsidR="005D1FAA">
        <w:t xml:space="preserve">their </w:t>
      </w:r>
      <w:r w:rsidRPr="007960A2">
        <w:t xml:space="preserve">employment based on </w:t>
      </w:r>
      <w:r w:rsidR="005D1FAA">
        <w:t xml:space="preserve">their </w:t>
      </w:r>
      <w:r w:rsidRPr="007960A2">
        <w:t xml:space="preserve">gender identity and expression. Last, the Tribunal found that </w:t>
      </w:r>
      <w:r w:rsidR="005D1FAA">
        <w:t xml:space="preserve">their </w:t>
      </w:r>
      <w:r w:rsidRPr="007960A2">
        <w:t xml:space="preserve">employer also discriminated against </w:t>
      </w:r>
      <w:r w:rsidR="005D1FAA">
        <w:t xml:space="preserve">them </w:t>
      </w:r>
      <w:r w:rsidRPr="007960A2">
        <w:t xml:space="preserve">by </w:t>
      </w:r>
      <w:r w:rsidR="00C74276">
        <w:t xml:space="preserve">terminating </w:t>
      </w:r>
      <w:r w:rsidRPr="007960A2">
        <w:t xml:space="preserve">the complainant in part </w:t>
      </w:r>
      <w:r w:rsidR="00C74276">
        <w:t xml:space="preserve">because </w:t>
      </w:r>
      <w:r w:rsidRPr="007960A2">
        <w:t xml:space="preserve">of </w:t>
      </w:r>
      <w:r w:rsidR="005D1FAA">
        <w:t xml:space="preserve">their </w:t>
      </w:r>
      <w:r w:rsidRPr="007960A2">
        <w:t>gender identity.</w:t>
      </w:r>
      <w:r w:rsidRPr="007960A2">
        <w:rPr>
          <w:rStyle w:val="Appelnotedebasdep"/>
        </w:rPr>
        <w:footnoteReference w:id="46"/>
      </w:r>
    </w:p>
    <w:p w14:paraId="01688C73" w14:textId="0DE5CFEB" w:rsidR="0059000C" w:rsidRPr="007960A2" w:rsidRDefault="008B765B" w:rsidP="009F71EC">
      <w:pPr>
        <w:pStyle w:val="Paragraphe"/>
        <w:numPr>
          <w:ilvl w:val="0"/>
          <w:numId w:val="1"/>
        </w:numPr>
        <w:tabs>
          <w:tab w:val="clear" w:pos="2629"/>
        </w:tabs>
        <w:ind w:left="0"/>
      </w:pPr>
      <w:r w:rsidRPr="007960A2">
        <w:t>Human rights tribunals have declared several times that fail</w:t>
      </w:r>
      <w:r w:rsidR="00FD2AD8">
        <w:t xml:space="preserve">ing </w:t>
      </w:r>
      <w:r w:rsidRPr="007960A2">
        <w:t xml:space="preserve">to respect a person’s chosen pronouns is discrimination </w:t>
      </w:r>
      <w:r w:rsidR="00FD2AD8">
        <w:t xml:space="preserve">on the basis of </w:t>
      </w:r>
      <w:r w:rsidRPr="007960A2">
        <w:t>gender identity.</w:t>
      </w:r>
      <w:r w:rsidRPr="007960A2">
        <w:rPr>
          <w:rStyle w:val="Appelnotedebasdep"/>
          <w:rFonts w:cs="Arial"/>
          <w:szCs w:val="24"/>
        </w:rPr>
        <w:footnoteReference w:id="47"/>
      </w:r>
    </w:p>
    <w:p w14:paraId="22E0B5E7" w14:textId="4A2323EC" w:rsidR="0059000C" w:rsidRPr="007960A2" w:rsidRDefault="008B765B" w:rsidP="009F71EC">
      <w:pPr>
        <w:pStyle w:val="Paragraphe"/>
        <w:numPr>
          <w:ilvl w:val="0"/>
          <w:numId w:val="1"/>
        </w:numPr>
        <w:tabs>
          <w:tab w:val="clear" w:pos="2629"/>
        </w:tabs>
        <w:ind w:left="0"/>
      </w:pPr>
      <w:r w:rsidRPr="007960A2">
        <w:t xml:space="preserve">In </w:t>
      </w:r>
      <w:r w:rsidRPr="007960A2">
        <w:rPr>
          <w:i/>
        </w:rPr>
        <w:t>Oger v. Whatcott (No. 7)</w:t>
      </w:r>
      <w:r w:rsidRPr="007960A2">
        <w:rPr>
          <w:rStyle w:val="Appelnotedebasdep"/>
        </w:rPr>
        <w:footnoteReference w:id="48"/>
      </w:r>
      <w:r w:rsidR="00753DEA">
        <w:t>,</w:t>
      </w:r>
      <w:r w:rsidRPr="007960A2">
        <w:t xml:space="preserve"> the British Columbia Human Rights Tribunal found that the defendant discriminated against the complainant because of her gender identity.</w:t>
      </w:r>
      <w:r w:rsidR="00E641F1" w:rsidRPr="007960A2">
        <w:t xml:space="preserve"> </w:t>
      </w:r>
      <w:r w:rsidRPr="007960A2">
        <w:t>The complainant was a trans woman who was running for provincial election.</w:t>
      </w:r>
      <w:r w:rsidR="00E641F1" w:rsidRPr="007960A2">
        <w:t xml:space="preserve"> </w:t>
      </w:r>
      <w:r w:rsidRPr="007960A2">
        <w:t>The defendant distributed flyers describing the complainant as a “biological male who has renamed himself ... after he embraced a transvestite lifestyle”.</w:t>
      </w:r>
      <w:r w:rsidRPr="007960A2">
        <w:rPr>
          <w:rStyle w:val="Appelnotedebasdep"/>
        </w:rPr>
        <w:footnoteReference w:id="49"/>
      </w:r>
      <w:r w:rsidR="00E641F1" w:rsidRPr="007960A2">
        <w:t xml:space="preserve"> </w:t>
      </w:r>
      <w:r w:rsidRPr="007960A2">
        <w:t>He also expressed a concern “about the promotion and growth of homosexuality and transvestitism in British Columbia and how it is obscuring the immutable truth about our God given gender”.</w:t>
      </w:r>
      <w:r w:rsidRPr="007960A2">
        <w:rPr>
          <w:rStyle w:val="Appelnotedebasdep"/>
        </w:rPr>
        <w:footnoteReference w:id="50"/>
      </w:r>
      <w:r w:rsidR="00E641F1" w:rsidRPr="007960A2">
        <w:t xml:space="preserve"> </w:t>
      </w:r>
      <w:r w:rsidRPr="007960A2">
        <w:t>Last, he asked voters not to vote for the complainant.</w:t>
      </w:r>
      <w:r w:rsidRPr="007960A2">
        <w:rPr>
          <w:rStyle w:val="Appelnotedebasdep"/>
        </w:rPr>
        <w:footnoteReference w:id="51"/>
      </w:r>
      <w:r w:rsidR="00E64BAC" w:rsidRPr="007960A2">
        <w:t xml:space="preserve"> </w:t>
      </w:r>
      <w:r w:rsidRPr="007960A2">
        <w:t>The Tribunal found that the statistics adduced in evidence showed the marginalization, stigmatization, and discrimination faced by transgender people.</w:t>
      </w:r>
      <w:r w:rsidRPr="007960A2">
        <w:rPr>
          <w:rStyle w:val="Appelnotedebasdep"/>
        </w:rPr>
        <w:footnoteReference w:id="52"/>
      </w:r>
    </w:p>
    <w:p w14:paraId="21AF1325" w14:textId="56F18D4D" w:rsidR="008F719A" w:rsidRPr="007960A2" w:rsidRDefault="008B765B">
      <w:pPr>
        <w:pStyle w:val="Paragraphe"/>
        <w:numPr>
          <w:ilvl w:val="0"/>
          <w:numId w:val="6"/>
        </w:numPr>
        <w:rPr>
          <w:b/>
          <w:bCs/>
        </w:rPr>
      </w:pPr>
      <w:r w:rsidRPr="007960A2">
        <w:rPr>
          <w:b/>
          <w:bCs/>
        </w:rPr>
        <w:t>Terminology</w:t>
      </w:r>
    </w:p>
    <w:p w14:paraId="547E4892" w14:textId="32FC82C7" w:rsidR="00E64BAC" w:rsidRPr="007960A2" w:rsidRDefault="008B765B" w:rsidP="009F71EC">
      <w:pPr>
        <w:pStyle w:val="Paragraphe"/>
        <w:numPr>
          <w:ilvl w:val="0"/>
          <w:numId w:val="1"/>
        </w:numPr>
        <w:tabs>
          <w:tab w:val="clear" w:pos="2629"/>
        </w:tabs>
        <w:ind w:left="0"/>
      </w:pPr>
      <w:r w:rsidRPr="007960A2">
        <w:t>The legislature and the courts have been attempting for several years to define the concepts of sex and gender.</w:t>
      </w:r>
      <w:r w:rsidR="00E641F1" w:rsidRPr="007960A2">
        <w:t xml:space="preserve"> </w:t>
      </w:r>
      <w:r w:rsidRPr="007960A2">
        <w:t>The scholarly commentary and the case law define the following terms thus:</w:t>
      </w:r>
    </w:p>
    <w:p w14:paraId="0BB2EE3C" w14:textId="278938FF" w:rsidR="005D783F" w:rsidRPr="007960A2" w:rsidRDefault="004F0300" w:rsidP="005D783F">
      <w:pPr>
        <w:pStyle w:val="numration"/>
      </w:pPr>
      <w:r w:rsidRPr="007960A2">
        <w:rPr>
          <w:b/>
          <w:bCs/>
        </w:rPr>
        <w:t>S</w:t>
      </w:r>
      <w:r w:rsidR="00E641F1" w:rsidRPr="007960A2">
        <w:rPr>
          <w:b/>
          <w:bCs/>
        </w:rPr>
        <w:t>ex</w:t>
      </w:r>
      <w:r w:rsidR="00E641F1" w:rsidRPr="007960A2">
        <w:t xml:space="preserve"> </w:t>
      </w:r>
      <w:r w:rsidRPr="007960A2">
        <w:t>may be defined as</w:t>
      </w:r>
      <w:r w:rsidR="00E641F1" w:rsidRPr="007960A2">
        <w:t>:</w:t>
      </w:r>
    </w:p>
    <w:p w14:paraId="6A6A1FDA" w14:textId="2E432BA6" w:rsidR="005D783F" w:rsidRPr="007960A2" w:rsidRDefault="004F0300" w:rsidP="004E4A15">
      <w:pPr>
        <w:pStyle w:val="Citationenretrait"/>
        <w:ind w:left="734"/>
        <w:rPr>
          <w:rFonts w:cs="Neue Haas Unica Pro"/>
          <w:color w:val="000000"/>
          <w:szCs w:val="22"/>
          <w:lang w:val="en-CA"/>
        </w:rPr>
      </w:pPr>
      <w:r w:rsidRPr="007960A2">
        <w:rPr>
          <w:rFonts w:cs="Neue Haas Unica Pro"/>
          <w:color w:val="000000"/>
          <w:szCs w:val="22"/>
          <w:lang w:val="en-CA"/>
        </w:rPr>
        <w:t xml:space="preserve">A set of </w:t>
      </w:r>
      <w:r w:rsidRPr="007960A2">
        <w:rPr>
          <w:rFonts w:cs="Neue Haas Unica Pro"/>
          <w:color w:val="000000"/>
          <w:szCs w:val="22"/>
          <w:u w:val="single"/>
          <w:lang w:val="en-CA"/>
        </w:rPr>
        <w:t>biological attributes</w:t>
      </w:r>
      <w:r w:rsidR="00E641F1" w:rsidRPr="007960A2">
        <w:rPr>
          <w:rFonts w:cs="Neue Haas Unica Pro"/>
          <w:color w:val="000000"/>
          <w:szCs w:val="22"/>
          <w:lang w:val="en-CA"/>
        </w:rPr>
        <w:t xml:space="preserve"> … </w:t>
      </w:r>
      <w:r w:rsidRPr="007960A2">
        <w:rPr>
          <w:rFonts w:cs="Neue Haas Unica Pro"/>
          <w:color w:val="000000"/>
          <w:szCs w:val="22"/>
          <w:lang w:val="en-CA"/>
        </w:rPr>
        <w:t xml:space="preserve">primarily associated with </w:t>
      </w:r>
      <w:r w:rsidRPr="007960A2">
        <w:rPr>
          <w:rFonts w:cs="Neue Haas Unica Pro"/>
          <w:color w:val="000000"/>
          <w:szCs w:val="22"/>
          <w:u w:val="single"/>
          <w:lang w:val="en-CA"/>
        </w:rPr>
        <w:t>physical and physiological features</w:t>
      </w:r>
      <w:r w:rsidRPr="007960A2">
        <w:rPr>
          <w:rFonts w:cs="Neue Haas Unica Pro"/>
          <w:color w:val="000000"/>
          <w:szCs w:val="22"/>
          <w:lang w:val="en-CA"/>
        </w:rPr>
        <w:t xml:space="preserve"> including chromosomes</w:t>
      </w:r>
      <w:r w:rsidR="00E641F1" w:rsidRPr="007960A2">
        <w:rPr>
          <w:rFonts w:cs="Neue Haas Unica Pro"/>
          <w:color w:val="000000"/>
          <w:szCs w:val="22"/>
          <w:lang w:val="en-CA"/>
        </w:rPr>
        <w:t xml:space="preserve"> …, </w:t>
      </w:r>
      <w:r w:rsidRPr="007960A2">
        <w:rPr>
          <w:rFonts w:cs="Neue Haas Unica Pro"/>
          <w:color w:val="000000"/>
          <w:szCs w:val="22"/>
          <w:lang w:val="en-CA"/>
        </w:rPr>
        <w:t>hormone levels</w:t>
      </w:r>
      <w:r w:rsidR="00E641F1" w:rsidRPr="007960A2">
        <w:rPr>
          <w:rFonts w:cs="Neue Haas Unica Pro"/>
          <w:color w:val="000000"/>
          <w:szCs w:val="22"/>
          <w:lang w:val="en-CA"/>
        </w:rPr>
        <w:t xml:space="preserve"> … </w:t>
      </w:r>
      <w:r w:rsidR="00561B98">
        <w:rPr>
          <w:rFonts w:cs="Neue Haas Unica Pro"/>
          <w:color w:val="000000"/>
          <w:szCs w:val="22"/>
          <w:lang w:val="en-CA"/>
        </w:rPr>
        <w:t xml:space="preserve">and </w:t>
      </w:r>
      <w:r w:rsidRPr="007960A2">
        <w:rPr>
          <w:rFonts w:cs="Neue Haas Unica Pro"/>
          <w:color w:val="000000"/>
          <w:szCs w:val="22"/>
          <w:lang w:val="en-CA"/>
        </w:rPr>
        <w:t>reproductive and sexual anatomy</w:t>
      </w:r>
      <w:r w:rsidR="00E641F1" w:rsidRPr="007960A2">
        <w:rPr>
          <w:rFonts w:cs="Neue Haas Unica Pro"/>
          <w:color w:val="000000"/>
          <w:szCs w:val="22"/>
          <w:lang w:val="en-CA"/>
        </w:rPr>
        <w:t xml:space="preserve">. … </w:t>
      </w:r>
      <w:r w:rsidRPr="007960A2">
        <w:rPr>
          <w:rFonts w:cs="Neue Haas Unica Pro"/>
          <w:color w:val="000000"/>
          <w:szCs w:val="22"/>
          <w:lang w:val="en-CA"/>
        </w:rPr>
        <w:t xml:space="preserve">A person’s sex is most often designated by a medical assessment at the moment of </w:t>
      </w:r>
      <w:r w:rsidRPr="007960A2">
        <w:rPr>
          <w:rFonts w:cs="Neue Haas Unica Pro"/>
          <w:color w:val="000000"/>
          <w:szCs w:val="22"/>
          <w:u w:val="single"/>
          <w:lang w:val="en-CA"/>
        </w:rPr>
        <w:t>birth or pre-birth</w:t>
      </w:r>
      <w:r w:rsidR="008B5C00" w:rsidRPr="007960A2">
        <w:rPr>
          <w:rFonts w:cs="Neue Haas Unica Pro"/>
          <w:color w:val="000000"/>
          <w:szCs w:val="22"/>
          <w:lang w:val="en-CA"/>
        </w:rPr>
        <w:t xml:space="preserve"> … </w:t>
      </w:r>
      <w:r w:rsidRPr="007960A2">
        <w:rPr>
          <w:rFonts w:cs="Neue Haas Unica Pro"/>
          <w:color w:val="000000"/>
          <w:szCs w:val="22"/>
          <w:lang w:val="en-CA"/>
        </w:rPr>
        <w:t>This is also often referred to as birth-assigned sex or sex assigned at birth</w:t>
      </w:r>
      <w:r w:rsidR="008B5C00" w:rsidRPr="007960A2">
        <w:rPr>
          <w:rFonts w:cs="Neue Haas Unica Pro"/>
          <w:color w:val="000000"/>
          <w:szCs w:val="22"/>
          <w:lang w:val="en-CA"/>
        </w:rPr>
        <w:t>.</w:t>
      </w:r>
      <w:bookmarkStart w:id="11" w:name="_Ref168396316"/>
      <w:r w:rsidR="00E641F1" w:rsidRPr="007960A2">
        <w:rPr>
          <w:rStyle w:val="Appelnotedebasdep"/>
          <w:lang w:val="en-CA"/>
        </w:rPr>
        <w:footnoteReference w:id="53"/>
      </w:r>
      <w:bookmarkEnd w:id="11"/>
    </w:p>
    <w:p w14:paraId="0454E6E9" w14:textId="482B13F0" w:rsidR="005D783F" w:rsidRPr="007960A2" w:rsidRDefault="008B765B" w:rsidP="005D783F">
      <w:pPr>
        <w:pStyle w:val="Citationenretrait"/>
        <w:jc w:val="right"/>
        <w:rPr>
          <w:sz w:val="20"/>
          <w:szCs w:val="22"/>
          <w:lang w:val="en-CA"/>
        </w:rPr>
      </w:pPr>
      <w:r w:rsidRPr="007960A2">
        <w:rPr>
          <w:sz w:val="20"/>
          <w:szCs w:val="22"/>
          <w:lang w:val="en-CA"/>
        </w:rPr>
        <w:lastRenderedPageBreak/>
        <w:t>[Emphasis added</w:t>
      </w:r>
      <w:r w:rsidR="000B5C17">
        <w:rPr>
          <w:sz w:val="20"/>
          <w:szCs w:val="22"/>
          <w:lang w:val="en-CA"/>
        </w:rPr>
        <w:t>.</w:t>
      </w:r>
      <w:r w:rsidRPr="007960A2">
        <w:rPr>
          <w:sz w:val="20"/>
          <w:szCs w:val="22"/>
          <w:lang w:val="en-CA"/>
        </w:rPr>
        <w:t>]</w:t>
      </w:r>
    </w:p>
    <w:p w14:paraId="482B1DA9" w14:textId="4630DC3A" w:rsidR="005D783F" w:rsidRPr="007960A2" w:rsidRDefault="004F0300" w:rsidP="005D783F">
      <w:pPr>
        <w:pStyle w:val="numration"/>
      </w:pPr>
      <w:r w:rsidRPr="007960A2">
        <w:rPr>
          <w:b/>
          <w:bCs/>
        </w:rPr>
        <w:t>G</w:t>
      </w:r>
      <w:r w:rsidR="00E641F1" w:rsidRPr="007960A2">
        <w:rPr>
          <w:b/>
          <w:bCs/>
        </w:rPr>
        <w:t>en</w:t>
      </w:r>
      <w:r w:rsidRPr="007960A2">
        <w:rPr>
          <w:b/>
          <w:bCs/>
        </w:rPr>
        <w:t>de</w:t>
      </w:r>
      <w:r w:rsidR="00E641F1" w:rsidRPr="007960A2">
        <w:rPr>
          <w:b/>
          <w:bCs/>
        </w:rPr>
        <w:t>r</w:t>
      </w:r>
      <w:r w:rsidR="00E641F1" w:rsidRPr="007960A2">
        <w:t xml:space="preserve"> </w:t>
      </w:r>
      <w:r w:rsidRPr="007960A2">
        <w:t>may be defined as</w:t>
      </w:r>
      <w:r w:rsidR="00E641F1" w:rsidRPr="007960A2">
        <w:t>:</w:t>
      </w:r>
    </w:p>
    <w:p w14:paraId="391DABE5" w14:textId="03827D5D" w:rsidR="00144F17" w:rsidRPr="007960A2" w:rsidRDefault="004F0300" w:rsidP="004E4A15">
      <w:pPr>
        <w:pStyle w:val="Citationenretrait"/>
        <w:ind w:left="734"/>
        <w:rPr>
          <w:rFonts w:cs="Neue Haas Unica Pro"/>
          <w:color w:val="000000"/>
          <w:szCs w:val="22"/>
          <w:lang w:val="en-CA"/>
        </w:rPr>
      </w:pPr>
      <w:r w:rsidRPr="007960A2">
        <w:rPr>
          <w:rFonts w:cs="Neue Haas Unica Pro"/>
          <w:color w:val="000000"/>
          <w:szCs w:val="22"/>
          <w:lang w:val="en-CA"/>
        </w:rPr>
        <w:t xml:space="preserve">The </w:t>
      </w:r>
      <w:r w:rsidRPr="007960A2">
        <w:rPr>
          <w:rFonts w:cs="Neue Haas Unica Pro"/>
          <w:color w:val="000000"/>
          <w:szCs w:val="22"/>
          <w:u w:val="single"/>
          <w:lang w:val="en-CA"/>
        </w:rPr>
        <w:t>socially constructed roles, behaviours, expressions and identities</w:t>
      </w:r>
      <w:r w:rsidRPr="007960A2">
        <w:rPr>
          <w:rFonts w:cs="Neue Haas Unica Pro"/>
          <w:color w:val="000000"/>
          <w:szCs w:val="22"/>
          <w:lang w:val="en-CA"/>
        </w:rPr>
        <w:t xml:space="preserve"> of girls, women, boys, men and non-binary people</w:t>
      </w:r>
      <w:r w:rsidR="008C0B03" w:rsidRPr="007960A2">
        <w:rPr>
          <w:rFonts w:cs="Neue Haas Unica Pro"/>
          <w:color w:val="000000"/>
          <w:szCs w:val="22"/>
          <w:lang w:val="en-CA"/>
        </w:rPr>
        <w:t>.…</w:t>
      </w:r>
      <w:r w:rsidR="00E641F1" w:rsidRPr="007960A2">
        <w:rPr>
          <w:rStyle w:val="Appelnotedebasdep"/>
          <w:rFonts w:cs="Neue Haas Unica Pro"/>
          <w:color w:val="000000"/>
          <w:szCs w:val="22"/>
          <w:lang w:val="en-CA"/>
        </w:rPr>
        <w:footnoteReference w:id="54"/>
      </w:r>
    </w:p>
    <w:p w14:paraId="40794591" w14:textId="7A2561AD" w:rsidR="00F63C85" w:rsidRDefault="00561B98" w:rsidP="000248FF">
      <w:pPr>
        <w:pStyle w:val="Citationenretrait"/>
        <w:ind w:left="734"/>
        <w:rPr>
          <w:rStyle w:val="cf01"/>
          <w:rFonts w:ascii="Arial" w:hAnsi="Arial" w:cs="Arial"/>
          <w:sz w:val="22"/>
          <w:szCs w:val="22"/>
          <w:lang w:val="en-CA"/>
        </w:rPr>
      </w:pPr>
      <w:r>
        <w:rPr>
          <w:rStyle w:val="cf01"/>
          <w:rFonts w:ascii="Arial" w:hAnsi="Arial" w:cs="Arial"/>
          <w:sz w:val="22"/>
          <w:szCs w:val="22"/>
          <w:lang w:val="en-CA"/>
        </w:rPr>
        <w:t>[</w:t>
      </w:r>
      <w:r>
        <w:rPr>
          <w:rStyle w:val="cf01"/>
          <w:rFonts w:ascii="Arial" w:hAnsi="Arial" w:cs="Arial"/>
          <w:smallCaps/>
          <w:sz w:val="22"/>
          <w:szCs w:val="22"/>
          <w:lang w:val="en-CA"/>
        </w:rPr>
        <w:t>translation</w:t>
      </w:r>
      <w:r>
        <w:rPr>
          <w:rStyle w:val="cf01"/>
          <w:rFonts w:ascii="Arial" w:hAnsi="Arial" w:cs="Arial"/>
          <w:sz w:val="22"/>
          <w:szCs w:val="22"/>
          <w:lang w:val="en-CA"/>
        </w:rPr>
        <w:t>]</w:t>
      </w:r>
    </w:p>
    <w:p w14:paraId="42583F51" w14:textId="7D2EA922" w:rsidR="000248FF" w:rsidRPr="007960A2" w:rsidRDefault="008B765B" w:rsidP="000248FF">
      <w:pPr>
        <w:pStyle w:val="Citationenretrait"/>
        <w:ind w:left="734"/>
        <w:rPr>
          <w:rFonts w:cs="Arial"/>
          <w:szCs w:val="22"/>
          <w:lang w:val="en-CA" w:eastAsia="fr-CA"/>
        </w:rPr>
      </w:pPr>
      <w:r w:rsidRPr="007960A2">
        <w:rPr>
          <w:rStyle w:val="cf01"/>
          <w:rFonts w:ascii="Arial" w:hAnsi="Arial" w:cs="Arial"/>
          <w:sz w:val="22"/>
          <w:szCs w:val="22"/>
          <w:lang w:val="en-CA"/>
        </w:rPr>
        <w:t xml:space="preserve">Gender is a concept that </w:t>
      </w:r>
      <w:r w:rsidR="00FA6F43">
        <w:rPr>
          <w:rStyle w:val="cf01"/>
          <w:rFonts w:ascii="Arial" w:hAnsi="Arial" w:cs="Arial"/>
          <w:sz w:val="22"/>
          <w:szCs w:val="22"/>
          <w:lang w:val="en-CA"/>
        </w:rPr>
        <w:t>describes</w:t>
      </w:r>
      <w:r w:rsidRPr="007960A2">
        <w:rPr>
          <w:rStyle w:val="cf01"/>
          <w:rFonts w:ascii="Arial" w:hAnsi="Arial" w:cs="Arial"/>
          <w:sz w:val="22"/>
          <w:szCs w:val="22"/>
          <w:lang w:val="en-CA"/>
        </w:rPr>
        <w:t xml:space="preserve"> both personal feelings and categories of social roles.</w:t>
      </w:r>
      <w:r w:rsidR="00E641F1" w:rsidRPr="007960A2">
        <w:rPr>
          <w:rStyle w:val="cf01"/>
          <w:rFonts w:ascii="Arial" w:hAnsi="Arial" w:cs="Arial"/>
          <w:sz w:val="22"/>
          <w:szCs w:val="22"/>
          <w:lang w:val="en-CA"/>
        </w:rPr>
        <w:t xml:space="preserve"> </w:t>
      </w:r>
      <w:r w:rsidRPr="007960A2">
        <w:rPr>
          <w:rStyle w:val="cf01"/>
          <w:rFonts w:ascii="Arial" w:hAnsi="Arial" w:cs="Arial"/>
          <w:sz w:val="22"/>
          <w:szCs w:val="22"/>
          <w:lang w:val="en-CA"/>
        </w:rPr>
        <w:t xml:space="preserve">Gender is usually defined </w:t>
      </w:r>
      <w:r w:rsidR="00FA6F43">
        <w:rPr>
          <w:rStyle w:val="cf01"/>
          <w:rFonts w:ascii="Arial" w:hAnsi="Arial" w:cs="Arial"/>
          <w:sz w:val="22"/>
          <w:szCs w:val="22"/>
          <w:lang w:val="en-CA"/>
        </w:rPr>
        <w:t xml:space="preserve">according to </w:t>
      </w:r>
      <w:r w:rsidRPr="007960A2">
        <w:rPr>
          <w:rStyle w:val="cf01"/>
          <w:rFonts w:ascii="Arial" w:hAnsi="Arial" w:cs="Arial"/>
          <w:sz w:val="22"/>
          <w:szCs w:val="22"/>
          <w:lang w:val="en-CA"/>
        </w:rPr>
        <w:t>two major categories (</w:t>
      </w:r>
      <w:r w:rsidR="00FA6F43">
        <w:rPr>
          <w:rStyle w:val="cf01"/>
          <w:rFonts w:ascii="Arial" w:hAnsi="Arial" w:cs="Arial"/>
          <w:sz w:val="22"/>
          <w:szCs w:val="22"/>
          <w:lang w:val="en-CA"/>
        </w:rPr>
        <w:t>man and woman</w:t>
      </w:r>
      <w:r w:rsidRPr="007960A2">
        <w:rPr>
          <w:rStyle w:val="cf01"/>
          <w:rFonts w:ascii="Arial" w:hAnsi="Arial" w:cs="Arial"/>
          <w:sz w:val="22"/>
          <w:szCs w:val="22"/>
          <w:lang w:val="en-CA"/>
        </w:rPr>
        <w:t>).</w:t>
      </w:r>
      <w:r w:rsidR="00E641F1" w:rsidRPr="007960A2">
        <w:rPr>
          <w:rStyle w:val="cf01"/>
          <w:rFonts w:ascii="Arial" w:hAnsi="Arial" w:cs="Arial"/>
          <w:sz w:val="22"/>
          <w:szCs w:val="22"/>
          <w:lang w:val="en-CA"/>
        </w:rPr>
        <w:t xml:space="preserve"> </w:t>
      </w:r>
      <w:r w:rsidRPr="007960A2">
        <w:rPr>
          <w:rStyle w:val="cf11"/>
          <w:rFonts w:ascii="Arial" w:hAnsi="Arial" w:cs="Arial"/>
          <w:sz w:val="22"/>
          <w:szCs w:val="22"/>
          <w:lang w:val="en-CA"/>
        </w:rPr>
        <w:t>Gender may also be understood as a continuum or constellation that includes but is not limited to both these categories.</w:t>
      </w:r>
      <w:r w:rsidR="00E641F1" w:rsidRPr="007960A2">
        <w:rPr>
          <w:rStyle w:val="cf01"/>
          <w:rFonts w:ascii="Arial" w:hAnsi="Arial" w:cs="Arial"/>
          <w:sz w:val="22"/>
          <w:szCs w:val="22"/>
          <w:lang w:val="en-CA"/>
        </w:rPr>
        <w:t xml:space="preserve"> </w:t>
      </w:r>
      <w:r w:rsidRPr="007960A2">
        <w:rPr>
          <w:rStyle w:val="cf01"/>
          <w:rFonts w:ascii="Arial" w:hAnsi="Arial" w:cs="Arial"/>
          <w:sz w:val="22"/>
          <w:szCs w:val="22"/>
          <w:lang w:val="en-CA"/>
        </w:rPr>
        <w:t xml:space="preserve">Historically, the term is rooted in medicine and was reappropriated, </w:t>
      </w:r>
      <w:r w:rsidR="00FA6F43">
        <w:rPr>
          <w:rStyle w:val="cf01"/>
          <w:rFonts w:ascii="Arial" w:hAnsi="Arial" w:cs="Arial"/>
          <w:sz w:val="22"/>
          <w:szCs w:val="22"/>
          <w:lang w:val="en-CA"/>
        </w:rPr>
        <w:t>initially</w:t>
      </w:r>
      <w:r w:rsidRPr="007960A2">
        <w:rPr>
          <w:rStyle w:val="cf01"/>
          <w:rFonts w:ascii="Arial" w:hAnsi="Arial" w:cs="Arial"/>
          <w:sz w:val="22"/>
          <w:szCs w:val="22"/>
          <w:lang w:val="en-CA"/>
        </w:rPr>
        <w:t xml:space="preserve"> from a feminist perspective, to question the social roles a</w:t>
      </w:r>
      <w:r w:rsidR="00FA6F43">
        <w:rPr>
          <w:rStyle w:val="cf01"/>
          <w:rFonts w:ascii="Arial" w:hAnsi="Arial" w:cs="Arial"/>
          <w:sz w:val="22"/>
          <w:szCs w:val="22"/>
          <w:lang w:val="en-CA"/>
        </w:rPr>
        <w:t>ssign</w:t>
      </w:r>
      <w:r w:rsidRPr="007960A2">
        <w:rPr>
          <w:rStyle w:val="cf01"/>
          <w:rFonts w:ascii="Arial" w:hAnsi="Arial" w:cs="Arial"/>
          <w:sz w:val="22"/>
          <w:szCs w:val="22"/>
          <w:lang w:val="en-CA"/>
        </w:rPr>
        <w:t>ed to people based on their sex and gender expression.</w:t>
      </w:r>
      <w:r w:rsidR="00E641F1" w:rsidRPr="007960A2">
        <w:rPr>
          <w:rStyle w:val="Appelnotedebasdep"/>
          <w:rFonts w:cs="Arial"/>
          <w:szCs w:val="22"/>
          <w:lang w:val="en-CA"/>
        </w:rPr>
        <w:footnoteReference w:id="55"/>
      </w:r>
    </w:p>
    <w:p w14:paraId="4E81D912" w14:textId="55BADA81" w:rsidR="00D37F62" w:rsidRPr="007960A2" w:rsidRDefault="008B765B" w:rsidP="00FF2B0B">
      <w:pPr>
        <w:pStyle w:val="Citationenretrait"/>
        <w:jc w:val="right"/>
        <w:rPr>
          <w:rFonts w:cs="Arial"/>
          <w:sz w:val="20"/>
          <w:lang w:val="en-CA"/>
        </w:rPr>
      </w:pPr>
      <w:r w:rsidRPr="007960A2">
        <w:rPr>
          <w:rFonts w:cs="Arial"/>
          <w:sz w:val="20"/>
          <w:lang w:val="en-CA"/>
        </w:rPr>
        <w:t>[Emphasis added</w:t>
      </w:r>
      <w:r w:rsidR="000B5C17">
        <w:rPr>
          <w:rFonts w:cs="Arial"/>
          <w:sz w:val="20"/>
          <w:lang w:val="en-CA"/>
        </w:rPr>
        <w:t>.</w:t>
      </w:r>
      <w:r w:rsidRPr="007960A2">
        <w:rPr>
          <w:rFonts w:cs="Arial"/>
          <w:sz w:val="20"/>
          <w:lang w:val="en-CA"/>
        </w:rPr>
        <w:t>]</w:t>
      </w:r>
    </w:p>
    <w:p w14:paraId="66716ECA" w14:textId="61DBDB56" w:rsidR="00D37F62" w:rsidRPr="007960A2" w:rsidRDefault="005147D7" w:rsidP="00D37F62">
      <w:pPr>
        <w:pStyle w:val="numration"/>
        <w:rPr>
          <w:rFonts w:cs="Neue Haas Unica Pro"/>
          <w:color w:val="000000"/>
          <w:szCs w:val="22"/>
        </w:rPr>
      </w:pPr>
      <w:r w:rsidRPr="007960A2">
        <w:rPr>
          <w:b/>
          <w:bCs/>
        </w:rPr>
        <w:t>Gender identity</w:t>
      </w:r>
      <w:r w:rsidR="00E641F1" w:rsidRPr="007960A2">
        <w:rPr>
          <w:b/>
          <w:bCs/>
        </w:rPr>
        <w:t xml:space="preserve"> </w:t>
      </w:r>
      <w:r w:rsidRPr="007960A2">
        <w:t>is central to person</w:t>
      </w:r>
      <w:bookmarkStart w:id="12" w:name="_Ref168396135"/>
      <w:r w:rsidRPr="007960A2">
        <w:t>hood.</w:t>
      </w:r>
      <w:r w:rsidR="00E641F1" w:rsidRPr="007960A2">
        <w:rPr>
          <w:rStyle w:val="Appelnotedebasdep"/>
        </w:rPr>
        <w:footnoteReference w:id="56"/>
      </w:r>
      <w:bookmarkEnd w:id="12"/>
      <w:r w:rsidR="00E641F1" w:rsidRPr="007960A2">
        <w:t xml:space="preserve"> </w:t>
      </w:r>
      <w:r w:rsidRPr="007960A2">
        <w:t>It is the way a person identifies with respect to their gender, be it as a man, a woman, both, neither, or another gender</w:t>
      </w:r>
      <w:r w:rsidR="00E641F1" w:rsidRPr="007960A2">
        <w:t xml:space="preserve">, </w:t>
      </w:r>
      <w:r w:rsidRPr="007960A2">
        <w:t>independently of the sex assigned at birth</w:t>
      </w:r>
      <w:bookmarkStart w:id="13" w:name="_Ref168396050"/>
      <w:r w:rsidRPr="007960A2">
        <w:t>.</w:t>
      </w:r>
      <w:r w:rsidR="00E641F1" w:rsidRPr="007960A2">
        <w:rPr>
          <w:rStyle w:val="Appelnotedebasdep"/>
        </w:rPr>
        <w:footnoteReference w:id="57"/>
      </w:r>
      <w:bookmarkEnd w:id="13"/>
      <w:r w:rsidR="00E641F1" w:rsidRPr="007960A2">
        <w:t xml:space="preserve"> </w:t>
      </w:r>
      <w:r w:rsidRPr="007960A2">
        <w:t>Gender identity develops at a young age, around 3 or 5 years old.</w:t>
      </w:r>
      <w:r w:rsidR="00E641F1" w:rsidRPr="007960A2">
        <w:rPr>
          <w:rStyle w:val="Appelnotedebasdep"/>
        </w:rPr>
        <w:footnoteReference w:id="58"/>
      </w:r>
    </w:p>
    <w:p w14:paraId="28B420C3" w14:textId="745C84F8" w:rsidR="000248FF" w:rsidRPr="007960A2" w:rsidRDefault="005147D7" w:rsidP="002F594E">
      <w:pPr>
        <w:pStyle w:val="numration"/>
        <w:numPr>
          <w:ilvl w:val="0"/>
          <w:numId w:val="0"/>
        </w:numPr>
        <w:ind w:left="734"/>
      </w:pPr>
      <w:r w:rsidRPr="007960A2">
        <w:t xml:space="preserve">As the Superior Court recalls in </w:t>
      </w:r>
      <w:r w:rsidR="00E641F1" w:rsidRPr="007960A2">
        <w:rPr>
          <w:i/>
          <w:iCs/>
        </w:rPr>
        <w:t>Centr</w:t>
      </w:r>
      <w:r w:rsidR="00D17AC3">
        <w:rPr>
          <w:i/>
          <w:iCs/>
        </w:rPr>
        <w:t>e</w:t>
      </w:r>
      <w:r w:rsidR="00E641F1" w:rsidRPr="007960A2">
        <w:rPr>
          <w:i/>
          <w:iCs/>
        </w:rPr>
        <w:t xml:space="preserve"> for Gender Advocacy</w:t>
      </w:r>
      <w:r w:rsidR="00E641F1" w:rsidRPr="007960A2">
        <w:rPr>
          <w:rStyle w:val="Appelnotedebasdep"/>
        </w:rPr>
        <w:footnoteReference w:id="59"/>
      </w:r>
      <w:r w:rsidR="00AA383D">
        <w:t>,</w:t>
      </w:r>
      <w:r w:rsidR="00E641F1" w:rsidRPr="007960A2">
        <w:rPr>
          <w:i/>
          <w:iCs/>
        </w:rPr>
        <w:t xml:space="preserve"> </w:t>
      </w:r>
      <w:r w:rsidRPr="007960A2">
        <w:t>“</w:t>
      </w:r>
      <w:r w:rsidR="00456F81">
        <w:rPr>
          <w:rFonts w:cs="Arial"/>
        </w:rPr>
        <w:t>[</w:t>
      </w:r>
      <w:r w:rsidRPr="007960A2">
        <w:t>g</w:t>
      </w:r>
      <w:r w:rsidR="00456F81">
        <w:rPr>
          <w:rFonts w:cs="Arial"/>
        </w:rPr>
        <w:t>]</w:t>
      </w:r>
      <w:r w:rsidRPr="007960A2">
        <w:t>ender identity is an immutable personal characteristic”</w:t>
      </w:r>
      <w:r w:rsidR="002530BF">
        <w:t>,</w:t>
      </w:r>
      <w:r w:rsidRPr="007960A2">
        <w:t xml:space="preserve"> not merely a choice</w:t>
      </w:r>
      <w:r w:rsidR="00E641F1" w:rsidRPr="007960A2">
        <w:t>.</w:t>
      </w:r>
      <w:r w:rsidR="00E641F1" w:rsidRPr="007960A2">
        <w:rPr>
          <w:rStyle w:val="Appelnotedebasdep"/>
        </w:rPr>
        <w:footnoteReference w:id="60"/>
      </w:r>
    </w:p>
    <w:p w14:paraId="2159A977" w14:textId="2D63C578" w:rsidR="000248FF" w:rsidRPr="007960A2" w:rsidRDefault="005147D7" w:rsidP="002F594E">
      <w:pPr>
        <w:pStyle w:val="numration"/>
        <w:numPr>
          <w:ilvl w:val="0"/>
          <w:numId w:val="0"/>
        </w:numPr>
        <w:ind w:left="734"/>
        <w:rPr>
          <w:rFonts w:cs="Neue Haas Unica Pro"/>
          <w:color w:val="000000"/>
          <w:szCs w:val="22"/>
        </w:rPr>
      </w:pPr>
      <w:r w:rsidRPr="007960A2">
        <w:t xml:space="preserve">In </w:t>
      </w:r>
      <w:r w:rsidR="00E641F1" w:rsidRPr="007960A2">
        <w:rPr>
          <w:i/>
          <w:iCs/>
        </w:rPr>
        <w:t>Bilac</w:t>
      </w:r>
      <w:r w:rsidR="00E641F1" w:rsidRPr="007960A2">
        <w:rPr>
          <w:rStyle w:val="Appelnotedebasdep"/>
        </w:rPr>
        <w:footnoteReference w:id="61"/>
      </w:r>
      <w:r w:rsidR="00AA383D">
        <w:t>,</w:t>
      </w:r>
      <w:r w:rsidR="00E641F1" w:rsidRPr="007960A2">
        <w:t xml:space="preserve"> </w:t>
      </w:r>
      <w:r w:rsidRPr="007960A2">
        <w:t xml:space="preserve">the </w:t>
      </w:r>
      <w:r w:rsidR="00E641F1" w:rsidRPr="007960A2">
        <w:t xml:space="preserve">Tribunal </w:t>
      </w:r>
      <w:r w:rsidRPr="007960A2">
        <w:t>stated that “</w:t>
      </w:r>
      <w:r w:rsidR="00E641F1" w:rsidRPr="007960A2">
        <w:t>[</w:t>
      </w:r>
      <w:r w:rsidRPr="007960A2">
        <w:t>g</w:t>
      </w:r>
      <w:r w:rsidR="00E641F1" w:rsidRPr="007960A2">
        <w:t>]</w:t>
      </w:r>
      <w:r w:rsidRPr="007960A2">
        <w:t>ender identity refers to how a person internally and individually experiences gender, and gender expression refers to how a person publicly presents their gender. Trans individuals such as Mr. Bilac have a gender identity which differs from the sex they were assigned at birth”.</w:t>
      </w:r>
      <w:r w:rsidR="00E641F1" w:rsidRPr="007960A2">
        <w:rPr>
          <w:rStyle w:val="Appelnotedebasdep"/>
        </w:rPr>
        <w:footnoteReference w:id="62"/>
      </w:r>
    </w:p>
    <w:p w14:paraId="07C6FECB" w14:textId="2E5F5776" w:rsidR="00D37F62" w:rsidRPr="007960A2" w:rsidRDefault="005147D7" w:rsidP="00D37F62">
      <w:pPr>
        <w:pStyle w:val="numration"/>
        <w:rPr>
          <w:rFonts w:cs="Neue Haas Unica Pro"/>
          <w:color w:val="000000"/>
          <w:sz w:val="20"/>
        </w:rPr>
      </w:pPr>
      <w:r w:rsidRPr="007960A2">
        <w:rPr>
          <w:b/>
          <w:bCs/>
        </w:rPr>
        <w:t xml:space="preserve">Gender </w:t>
      </w:r>
      <w:r w:rsidR="00E641F1" w:rsidRPr="007960A2">
        <w:rPr>
          <w:b/>
          <w:bCs/>
        </w:rPr>
        <w:t xml:space="preserve">expression </w:t>
      </w:r>
      <w:r w:rsidRPr="007960A2">
        <w:t>is the way an individual presents and communicates their gender</w:t>
      </w:r>
      <w:r w:rsidR="00E641F1" w:rsidRPr="007960A2">
        <w:t xml:space="preserve">, </w:t>
      </w:r>
      <w:r w:rsidRPr="007960A2">
        <w:t xml:space="preserve">whether </w:t>
      </w:r>
      <w:r w:rsidR="008B765B" w:rsidRPr="007960A2">
        <w:t>through</w:t>
      </w:r>
      <w:r w:rsidRPr="007960A2">
        <w:t xml:space="preserve"> </w:t>
      </w:r>
      <w:r w:rsidR="002530BF">
        <w:t xml:space="preserve">dress codes, </w:t>
      </w:r>
      <w:r w:rsidRPr="007960A2">
        <w:t>clothing</w:t>
      </w:r>
      <w:r w:rsidR="00E641F1" w:rsidRPr="007960A2">
        <w:t xml:space="preserve">, </w:t>
      </w:r>
      <w:r w:rsidRPr="007960A2">
        <w:t>hairstyle</w:t>
      </w:r>
      <w:r w:rsidR="00E641F1" w:rsidRPr="007960A2">
        <w:t xml:space="preserve">, </w:t>
      </w:r>
      <w:r w:rsidRPr="007960A2">
        <w:t>voice</w:t>
      </w:r>
      <w:r w:rsidR="00E641F1" w:rsidRPr="007960A2">
        <w:t xml:space="preserve">, </w:t>
      </w:r>
      <w:r w:rsidRPr="007960A2">
        <w:t>speech</w:t>
      </w:r>
      <w:r w:rsidR="00E641F1" w:rsidRPr="007960A2">
        <w:t xml:space="preserve">, </w:t>
      </w:r>
      <w:r w:rsidRPr="007960A2">
        <w:t>body</w:t>
      </w:r>
      <w:r w:rsidR="00E641F1" w:rsidRPr="007960A2">
        <w:t xml:space="preserve"> lang</w:t>
      </w:r>
      <w:r w:rsidRPr="007960A2">
        <w:t>u</w:t>
      </w:r>
      <w:r w:rsidR="00E641F1" w:rsidRPr="007960A2">
        <w:t xml:space="preserve">age, </w:t>
      </w:r>
      <w:r w:rsidRPr="007960A2">
        <w:t>choice of name</w:t>
      </w:r>
      <w:r w:rsidR="000276B2">
        <w:t>,</w:t>
      </w:r>
      <w:r w:rsidRPr="007960A2">
        <w:t xml:space="preserve"> and personal pronouns.</w:t>
      </w:r>
      <w:r w:rsidR="00E641F1" w:rsidRPr="007960A2">
        <w:rPr>
          <w:rStyle w:val="Appelnotedebasdep"/>
        </w:rPr>
        <w:footnoteReference w:id="63"/>
      </w:r>
    </w:p>
    <w:p w14:paraId="78296CF0" w14:textId="00EDC392" w:rsidR="005D783F" w:rsidRPr="007960A2" w:rsidRDefault="005147D7" w:rsidP="00D37F62">
      <w:pPr>
        <w:pStyle w:val="numration"/>
        <w:rPr>
          <w:rFonts w:cs="Neue Haas Unica Pro"/>
          <w:color w:val="000000"/>
          <w:sz w:val="20"/>
        </w:rPr>
      </w:pPr>
      <w:r w:rsidRPr="007960A2">
        <w:rPr>
          <w:b/>
          <w:bCs/>
        </w:rPr>
        <w:lastRenderedPageBreak/>
        <w:t>T</w:t>
      </w:r>
      <w:r w:rsidR="00E641F1" w:rsidRPr="007960A2">
        <w:rPr>
          <w:b/>
          <w:bCs/>
        </w:rPr>
        <w:t>rans</w:t>
      </w:r>
      <w:r w:rsidR="00E641F1" w:rsidRPr="007960A2">
        <w:t xml:space="preserve"> </w:t>
      </w:r>
      <w:r w:rsidRPr="007960A2">
        <w:t>is an umbrella term that encompasses a diversity of gender identities</w:t>
      </w:r>
      <w:r w:rsidR="00E641F1" w:rsidRPr="007960A2">
        <w:rPr>
          <w:rStyle w:val="Appelnotedebasdep"/>
        </w:rPr>
        <w:footnoteReference w:id="64"/>
      </w:r>
      <w:r w:rsidR="00E641F1" w:rsidRPr="007960A2">
        <w:t xml:space="preserve"> </w:t>
      </w:r>
      <w:r w:rsidRPr="007960A2">
        <w:t xml:space="preserve">and refers to a person whose gender identity does not </w:t>
      </w:r>
      <w:r w:rsidR="002530BF">
        <w:t xml:space="preserve">align with </w:t>
      </w:r>
      <w:r w:rsidRPr="007960A2">
        <w:t xml:space="preserve">the sex assigned </w:t>
      </w:r>
      <w:r w:rsidR="00465934">
        <w:t xml:space="preserve">to them </w:t>
      </w:r>
      <w:r w:rsidRPr="007960A2">
        <w:t>at birth</w:t>
      </w:r>
      <w:r w:rsidR="00E641F1" w:rsidRPr="007960A2">
        <w:t>.</w:t>
      </w:r>
    </w:p>
    <w:p w14:paraId="6845200E" w14:textId="5AEFDBE9" w:rsidR="00A40E29" w:rsidRPr="007960A2" w:rsidRDefault="008B765B" w:rsidP="002F594E">
      <w:pPr>
        <w:pStyle w:val="numration"/>
        <w:numPr>
          <w:ilvl w:val="0"/>
          <w:numId w:val="0"/>
        </w:numPr>
        <w:ind w:left="734"/>
      </w:pPr>
      <w:r w:rsidRPr="007960A2">
        <w:t xml:space="preserve">In </w:t>
      </w:r>
      <w:r w:rsidRPr="007960A2">
        <w:rPr>
          <w:i/>
        </w:rPr>
        <w:t>Centre de lutte contre l’oppression des genres</w:t>
      </w:r>
      <w:r w:rsidRPr="007960A2">
        <w:t>,</w:t>
      </w:r>
      <w:r w:rsidRPr="007960A2">
        <w:rPr>
          <w:rStyle w:val="Appelnotedebasdep"/>
        </w:rPr>
        <w:footnoteReference w:id="65"/>
      </w:r>
      <w:r w:rsidRPr="007960A2">
        <w:t xml:space="preserve"> the Court of Appeal uses the terms “transgender person” and “non-binary person” the way the Superior Court </w:t>
      </w:r>
      <w:r w:rsidR="002E2BE0">
        <w:t xml:space="preserve">did </w:t>
      </w:r>
      <w:r w:rsidRPr="007960A2">
        <w:t xml:space="preserve">in that </w:t>
      </w:r>
      <w:r w:rsidR="002E2BE0">
        <w:t xml:space="preserve">same </w:t>
      </w:r>
      <w:r w:rsidRPr="007960A2">
        <w:t>case to designate the respondents, “that is to say people whose gender identity does not correspond to the sex indicated on their act of birth”.</w:t>
      </w:r>
      <w:r w:rsidR="00E641F1" w:rsidRPr="007960A2">
        <w:rPr>
          <w:rStyle w:val="Appelnotedebasdep"/>
        </w:rPr>
        <w:footnoteReference w:id="66"/>
      </w:r>
    </w:p>
    <w:p w14:paraId="3EEBB671" w14:textId="42AB14E6" w:rsidR="00A40E29" w:rsidRPr="007960A2" w:rsidRDefault="00465934" w:rsidP="002F594E">
      <w:pPr>
        <w:pStyle w:val="numration"/>
        <w:numPr>
          <w:ilvl w:val="0"/>
          <w:numId w:val="0"/>
        </w:numPr>
        <w:tabs>
          <w:tab w:val="left" w:pos="1276"/>
        </w:tabs>
        <w:ind w:left="709"/>
      </w:pPr>
      <w:r>
        <w:t>As of</w:t>
      </w:r>
      <w:r w:rsidR="008B765B" w:rsidRPr="007960A2">
        <w:t xml:space="preserve"> May 2021, there were over 100,000 trans people aged 15 and older in Canada, which is about 1 out of every 300 people.</w:t>
      </w:r>
      <w:r w:rsidR="008B765B" w:rsidRPr="007960A2">
        <w:rPr>
          <w:rStyle w:val="Appelnotedebasdep"/>
        </w:rPr>
        <w:footnoteReference w:id="67"/>
      </w:r>
      <w:r w:rsidR="00E641F1" w:rsidRPr="007960A2">
        <w:t xml:space="preserve"> </w:t>
      </w:r>
      <w:r w:rsidR="008B765B" w:rsidRPr="007960A2">
        <w:t xml:space="preserve">The term </w:t>
      </w:r>
      <w:r w:rsidR="008B765B" w:rsidRPr="007960A2">
        <w:rPr>
          <w:b/>
        </w:rPr>
        <w:t>trans woman</w:t>
      </w:r>
      <w:r w:rsidR="008B765B" w:rsidRPr="007960A2">
        <w:t xml:space="preserve"> </w:t>
      </w:r>
      <w:r w:rsidR="008B765B" w:rsidRPr="007960A2">
        <w:rPr>
          <w:rFonts w:cs="Arial"/>
        </w:rPr>
        <w:t>[</w:t>
      </w:r>
      <w:r w:rsidR="008B765B" w:rsidRPr="007960A2">
        <w:rPr>
          <w:rFonts w:cs="Arial"/>
          <w:smallCaps/>
        </w:rPr>
        <w:t>translation</w:t>
      </w:r>
      <w:r w:rsidR="008B765B" w:rsidRPr="007960A2">
        <w:rPr>
          <w:rFonts w:cs="Arial"/>
        </w:rPr>
        <w:t>]</w:t>
      </w:r>
      <w:r w:rsidR="008B765B" w:rsidRPr="007960A2">
        <w:t xml:space="preserve"> “refers to a person who identifies as a woman (or on the </w:t>
      </w:r>
      <w:r w:rsidR="00C0119C">
        <w:t>feminine</w:t>
      </w:r>
      <w:r w:rsidR="00C0119C" w:rsidRPr="007960A2">
        <w:t xml:space="preserve"> </w:t>
      </w:r>
      <w:r w:rsidR="008B765B" w:rsidRPr="007960A2">
        <w:t xml:space="preserve">spectrum) although assigned </w:t>
      </w:r>
      <w:r>
        <w:t xml:space="preserve">the </w:t>
      </w:r>
      <w:r w:rsidR="008B765B" w:rsidRPr="007960A2">
        <w:t>male gender at birth”.</w:t>
      </w:r>
      <w:r w:rsidR="008B765B" w:rsidRPr="007960A2">
        <w:rPr>
          <w:rStyle w:val="Appelnotedebasdep"/>
        </w:rPr>
        <w:footnoteReference w:id="68"/>
      </w:r>
      <w:r w:rsidR="00E641F1" w:rsidRPr="007960A2">
        <w:t xml:space="preserve"> </w:t>
      </w:r>
      <w:r w:rsidR="008B765B" w:rsidRPr="007960A2">
        <w:t xml:space="preserve">The term </w:t>
      </w:r>
      <w:r w:rsidR="008B765B" w:rsidRPr="007960A2">
        <w:rPr>
          <w:b/>
        </w:rPr>
        <w:t>trans man</w:t>
      </w:r>
      <w:r w:rsidR="008B765B" w:rsidRPr="007960A2">
        <w:t xml:space="preserve"> </w:t>
      </w:r>
      <w:r w:rsidR="008B765B" w:rsidRPr="007960A2">
        <w:rPr>
          <w:rFonts w:cs="Arial"/>
        </w:rPr>
        <w:t>[</w:t>
      </w:r>
      <w:r w:rsidR="008B765B" w:rsidRPr="007960A2">
        <w:rPr>
          <w:rFonts w:cs="Arial"/>
          <w:smallCaps/>
        </w:rPr>
        <w:t>translation</w:t>
      </w:r>
      <w:r w:rsidR="008B765B" w:rsidRPr="007960A2">
        <w:rPr>
          <w:rFonts w:cs="Arial"/>
        </w:rPr>
        <w:t>]</w:t>
      </w:r>
      <w:r w:rsidR="008B765B" w:rsidRPr="007960A2">
        <w:t xml:space="preserve"> “refers to a person who identifies as a man (or on the </w:t>
      </w:r>
      <w:r w:rsidR="00C0119C">
        <w:t>masculine</w:t>
      </w:r>
      <w:r w:rsidR="00C0119C" w:rsidRPr="007960A2">
        <w:t xml:space="preserve"> </w:t>
      </w:r>
      <w:r w:rsidR="008B765B" w:rsidRPr="007960A2">
        <w:t xml:space="preserve">spectrum) although assigned </w:t>
      </w:r>
      <w:r>
        <w:t xml:space="preserve">the </w:t>
      </w:r>
      <w:r w:rsidR="008B765B" w:rsidRPr="007960A2">
        <w:t>female gender at birth”.</w:t>
      </w:r>
      <w:r w:rsidR="008B765B" w:rsidRPr="007960A2">
        <w:rPr>
          <w:rStyle w:val="Appelnotedebasdep"/>
        </w:rPr>
        <w:footnoteReference w:id="69"/>
      </w:r>
    </w:p>
    <w:p w14:paraId="73C2E277" w14:textId="2789055D" w:rsidR="001811AA" w:rsidRPr="007960A2" w:rsidRDefault="00465934" w:rsidP="00D36846">
      <w:pPr>
        <w:pStyle w:val="numration"/>
        <w:tabs>
          <w:tab w:val="clear" w:pos="1094"/>
          <w:tab w:val="left" w:pos="1276"/>
        </w:tabs>
        <w:ind w:left="709"/>
      </w:pPr>
      <w:r>
        <w:rPr>
          <w:b/>
        </w:rPr>
        <w:t>N</w:t>
      </w:r>
      <w:r w:rsidR="008B765B" w:rsidRPr="007960A2">
        <w:rPr>
          <w:b/>
        </w:rPr>
        <w:t>on-binary</w:t>
      </w:r>
      <w:r w:rsidR="008B765B" w:rsidRPr="007960A2">
        <w:t xml:space="preserve"> is defined as “an umbrella term to reflect a variety of gender identities that are not exclusively man or woman, and may be neither”.</w:t>
      </w:r>
      <w:r w:rsidR="008B765B" w:rsidRPr="007960A2">
        <w:rPr>
          <w:rStyle w:val="Appelnotedebasdep"/>
        </w:rPr>
        <w:footnoteReference w:id="70"/>
      </w:r>
    </w:p>
    <w:p w14:paraId="1676F222" w14:textId="3B0CC489" w:rsidR="00D37F62" w:rsidRPr="007960A2" w:rsidRDefault="00465934" w:rsidP="00F56551">
      <w:pPr>
        <w:pStyle w:val="numration"/>
        <w:tabs>
          <w:tab w:val="clear" w:pos="1094"/>
          <w:tab w:val="left" w:pos="1276"/>
        </w:tabs>
        <w:ind w:left="709"/>
      </w:pPr>
      <w:r>
        <w:rPr>
          <w:b/>
        </w:rPr>
        <w:t>T</w:t>
      </w:r>
      <w:r w:rsidR="008B765B" w:rsidRPr="007960A2">
        <w:rPr>
          <w:b/>
        </w:rPr>
        <w:t xml:space="preserve">ranssexual </w:t>
      </w:r>
      <w:r>
        <w:t xml:space="preserve">refers to </w:t>
      </w:r>
      <w:r w:rsidR="008B765B" w:rsidRPr="007960A2">
        <w:t xml:space="preserve">a person who </w:t>
      </w:r>
      <w:r w:rsidR="008B765B" w:rsidRPr="007960A2">
        <w:rPr>
          <w:rFonts w:cs="Arial"/>
        </w:rPr>
        <w:t>[</w:t>
      </w:r>
      <w:r w:rsidR="008B765B" w:rsidRPr="007960A2">
        <w:rPr>
          <w:rFonts w:cs="Arial"/>
          <w:smallCaps/>
        </w:rPr>
        <w:t>translation</w:t>
      </w:r>
      <w:r w:rsidR="008B765B" w:rsidRPr="007960A2">
        <w:rPr>
          <w:rFonts w:cs="Arial"/>
        </w:rPr>
        <w:t>]</w:t>
      </w:r>
      <w:r w:rsidR="008B765B" w:rsidRPr="007960A2">
        <w:t xml:space="preserve"> “wish</w:t>
      </w:r>
      <w:r>
        <w:rPr>
          <w:rFonts w:cs="Arial"/>
        </w:rPr>
        <w:t>[es]</w:t>
      </w:r>
      <w:r w:rsidR="008B765B" w:rsidRPr="007960A2">
        <w:t xml:space="preserve"> to change their body through hormonal or surgical treatment so that it matches their gender identity”.</w:t>
      </w:r>
      <w:r w:rsidR="008B765B" w:rsidRPr="007960A2">
        <w:rPr>
          <w:rStyle w:val="Appelnotedebasdep"/>
        </w:rPr>
        <w:footnoteReference w:id="71"/>
      </w:r>
      <w:r w:rsidR="00E641F1" w:rsidRPr="007960A2">
        <w:t xml:space="preserve"> </w:t>
      </w:r>
      <w:r w:rsidR="008B765B" w:rsidRPr="007960A2">
        <w:t xml:space="preserve">This term is considered archaic, even offensive, for certain trans people </w:t>
      </w:r>
      <w:r w:rsidRPr="007960A2">
        <w:rPr>
          <w:rFonts w:cs="Arial"/>
        </w:rPr>
        <w:t>[</w:t>
      </w:r>
      <w:r w:rsidRPr="007960A2">
        <w:rPr>
          <w:rFonts w:cs="Arial"/>
          <w:smallCaps/>
        </w:rPr>
        <w:t>translation</w:t>
      </w:r>
      <w:r w:rsidRPr="007960A2">
        <w:rPr>
          <w:rFonts w:cs="Arial"/>
        </w:rPr>
        <w:t>]</w:t>
      </w:r>
      <w:r w:rsidRPr="007960A2">
        <w:t xml:space="preserve"> </w:t>
      </w:r>
      <w:r w:rsidR="008B765B" w:rsidRPr="007960A2">
        <w:t xml:space="preserve">“because it </w:t>
      </w:r>
      <w:r w:rsidR="0031048E">
        <w:t>has</w:t>
      </w:r>
      <w:r w:rsidR="0031048E" w:rsidRPr="007960A2">
        <w:t xml:space="preserve"> </w:t>
      </w:r>
      <w:r w:rsidR="008B765B" w:rsidRPr="007960A2">
        <w:t>a medical connotation”.</w:t>
      </w:r>
      <w:r w:rsidR="008B765B" w:rsidRPr="007960A2">
        <w:rPr>
          <w:rStyle w:val="Appelnotedebasdep"/>
        </w:rPr>
        <w:footnoteReference w:id="72"/>
      </w:r>
    </w:p>
    <w:p w14:paraId="6C33C26A" w14:textId="03FCE6FC" w:rsidR="00907619" w:rsidRPr="007960A2" w:rsidRDefault="00465934" w:rsidP="00F56551">
      <w:pPr>
        <w:pStyle w:val="numration"/>
        <w:tabs>
          <w:tab w:val="clear" w:pos="1094"/>
          <w:tab w:val="left" w:pos="1276"/>
        </w:tabs>
        <w:ind w:left="709"/>
      </w:pPr>
      <w:r>
        <w:rPr>
          <w:b/>
          <w:bCs/>
        </w:rPr>
        <w:t>C</w:t>
      </w:r>
      <w:r w:rsidR="008B765B" w:rsidRPr="007960A2">
        <w:rPr>
          <w:b/>
          <w:bCs/>
        </w:rPr>
        <w:t>isgender</w:t>
      </w:r>
      <w:r w:rsidR="008B765B" w:rsidRPr="007960A2">
        <w:rPr>
          <w:bCs/>
        </w:rPr>
        <w:t xml:space="preserve"> </w:t>
      </w:r>
      <w:r>
        <w:rPr>
          <w:bCs/>
        </w:rPr>
        <w:t xml:space="preserve">refers to </w:t>
      </w:r>
      <w:r w:rsidR="008B765B" w:rsidRPr="007960A2">
        <w:rPr>
          <w:bCs/>
        </w:rPr>
        <w:t>a person “whose gender identity corresponds with what is socially expected based on their sex assigned at birth”.</w:t>
      </w:r>
      <w:r w:rsidR="00E641F1" w:rsidRPr="007960A2">
        <w:rPr>
          <w:rStyle w:val="Appelnotedebasdep"/>
        </w:rPr>
        <w:footnoteReference w:id="73"/>
      </w:r>
    </w:p>
    <w:p w14:paraId="18B641F7" w14:textId="3F553F89" w:rsidR="0083130E" w:rsidRPr="007960A2" w:rsidRDefault="009870C5" w:rsidP="0083130E">
      <w:pPr>
        <w:pStyle w:val="Paragraphe"/>
        <w:numPr>
          <w:ilvl w:val="0"/>
          <w:numId w:val="1"/>
        </w:numPr>
        <w:tabs>
          <w:tab w:val="clear" w:pos="2629"/>
        </w:tabs>
        <w:ind w:left="0"/>
      </w:pPr>
      <w:r w:rsidRPr="007960A2">
        <w:t xml:space="preserve"> </w:t>
      </w:r>
      <w:r w:rsidR="00E31FB9">
        <w:t xml:space="preserve">It follows from the foregoing </w:t>
      </w:r>
      <w:r w:rsidRPr="007960A2">
        <w:t xml:space="preserve">that the words “gender identity or expression” in section 10 of the </w:t>
      </w:r>
      <w:r w:rsidRPr="007960A2">
        <w:rPr>
          <w:i/>
        </w:rPr>
        <w:t>Charter</w:t>
      </w:r>
      <w:r w:rsidRPr="007960A2">
        <w:t xml:space="preserve"> include trans pe</w:t>
      </w:r>
      <w:r w:rsidR="002E2BE0">
        <w:t>ople</w:t>
      </w:r>
      <w:r w:rsidRPr="007960A2">
        <w:t>.</w:t>
      </w:r>
    </w:p>
    <w:p w14:paraId="230D521C" w14:textId="23E48D0B" w:rsidR="00C01E1A" w:rsidRPr="007960A2" w:rsidRDefault="009870C5" w:rsidP="008B10C3">
      <w:pPr>
        <w:pStyle w:val="Paragraphe"/>
        <w:keepNext/>
        <w:rPr>
          <w:rFonts w:cs="Arial"/>
          <w:b/>
          <w:bCs/>
          <w:color w:val="000000"/>
          <w:u w:val="single"/>
        </w:rPr>
      </w:pPr>
      <w:r w:rsidRPr="007960A2">
        <w:rPr>
          <w:rFonts w:cs="Arial"/>
          <w:b/>
          <w:bCs/>
          <w:color w:val="000000"/>
          <w:u w:val="single"/>
        </w:rPr>
        <w:lastRenderedPageBreak/>
        <w:t>Analysis</w:t>
      </w:r>
    </w:p>
    <w:p w14:paraId="5113CA8C" w14:textId="434E8897" w:rsidR="00C96B39" w:rsidRPr="007960A2" w:rsidRDefault="003E55B5" w:rsidP="008B10C3">
      <w:pPr>
        <w:pStyle w:val="Paragraphe"/>
        <w:keepNext/>
        <w:numPr>
          <w:ilvl w:val="0"/>
          <w:numId w:val="8"/>
        </w:numPr>
        <w:rPr>
          <w:b/>
          <w:bCs/>
        </w:rPr>
      </w:pPr>
      <w:r w:rsidRPr="007960A2">
        <w:rPr>
          <w:b/>
          <w:bCs/>
        </w:rPr>
        <w:t xml:space="preserve">During the hiring process, was E.B., as a trans woman, discriminated against by the Bar and by Mr. Sikder based on her gender identity, </w:t>
      </w:r>
      <w:r w:rsidR="005747A3">
        <w:rPr>
          <w:b/>
          <w:bCs/>
        </w:rPr>
        <w:t xml:space="preserve">contrary to </w:t>
      </w:r>
      <w:r w:rsidRPr="007960A2">
        <w:rPr>
          <w:b/>
          <w:bCs/>
        </w:rPr>
        <w:t xml:space="preserve">sections 4, 10, and 16 of the </w:t>
      </w:r>
      <w:r w:rsidRPr="007960A2">
        <w:rPr>
          <w:b/>
          <w:bCs/>
          <w:i/>
        </w:rPr>
        <w:t>Charter</w:t>
      </w:r>
      <w:r w:rsidRPr="007960A2">
        <w:rPr>
          <w:b/>
          <w:bCs/>
        </w:rPr>
        <w:t>?</w:t>
      </w:r>
    </w:p>
    <w:p w14:paraId="7F4E368C" w14:textId="0F853183" w:rsidR="00886BBC" w:rsidRPr="007960A2" w:rsidRDefault="003E55B5" w:rsidP="009F71EC">
      <w:pPr>
        <w:pStyle w:val="Paragraphe"/>
        <w:numPr>
          <w:ilvl w:val="0"/>
          <w:numId w:val="1"/>
        </w:numPr>
        <w:tabs>
          <w:tab w:val="clear" w:pos="2629"/>
        </w:tabs>
        <w:ind w:left="0"/>
      </w:pPr>
      <w:bookmarkStart w:id="14" w:name="_Hlk163048871"/>
      <w:r w:rsidRPr="007960A2">
        <w:t xml:space="preserve">Discrimination was defined by the Supreme Court of Canada in </w:t>
      </w:r>
      <w:r w:rsidRPr="007960A2">
        <w:rPr>
          <w:i/>
        </w:rPr>
        <w:t>Andrews</w:t>
      </w:r>
      <w:r w:rsidRPr="007960A2">
        <w:t>:</w:t>
      </w:r>
      <w:r w:rsidRPr="007960A2">
        <w:rPr>
          <w:rStyle w:val="Appelnotedebasdep"/>
          <w:color w:val="000000"/>
        </w:rPr>
        <w:footnoteReference w:id="74"/>
      </w:r>
    </w:p>
    <w:bookmarkEnd w:id="14"/>
    <w:p w14:paraId="768F82F4" w14:textId="7F75DE1B" w:rsidR="00C96B39" w:rsidRPr="007960A2" w:rsidRDefault="003E55B5" w:rsidP="005747A3">
      <w:pPr>
        <w:pStyle w:val="Paragraphe"/>
        <w:ind w:left="567" w:right="573"/>
        <w:rPr>
          <w:sz w:val="22"/>
          <w:szCs w:val="22"/>
        </w:rPr>
      </w:pPr>
      <w:r w:rsidRPr="007960A2">
        <w:rPr>
          <w:color w:val="000000"/>
          <w:sz w:val="22"/>
          <w:szCs w:val="22"/>
        </w:rPr>
        <w:t>... a distinction</w:t>
      </w:r>
      <w:r w:rsidR="005747A3">
        <w:rPr>
          <w:color w:val="000000"/>
          <w:sz w:val="22"/>
          <w:szCs w:val="22"/>
        </w:rPr>
        <w:t xml:space="preserve"> which</w:t>
      </w:r>
      <w:r w:rsidRPr="007960A2">
        <w:rPr>
          <w:color w:val="000000"/>
          <w:sz w:val="22"/>
          <w:szCs w:val="22"/>
        </w:rPr>
        <w:t xml:space="preserve">, whether intentional or not but based on grounds relating to personal characteristics of the individual or group, has </w:t>
      </w:r>
      <w:r w:rsidR="005747A3">
        <w:rPr>
          <w:color w:val="000000"/>
          <w:sz w:val="22"/>
          <w:szCs w:val="22"/>
        </w:rPr>
        <w:t xml:space="preserve">an </w:t>
      </w:r>
      <w:r w:rsidRPr="007960A2">
        <w:rPr>
          <w:color w:val="000000"/>
          <w:sz w:val="22"/>
          <w:szCs w:val="22"/>
        </w:rPr>
        <w:t xml:space="preserve">effect </w:t>
      </w:r>
      <w:r w:rsidR="005747A3">
        <w:rPr>
          <w:color w:val="000000"/>
          <w:sz w:val="22"/>
          <w:szCs w:val="22"/>
        </w:rPr>
        <w:t xml:space="preserve">which </w:t>
      </w:r>
      <w:r w:rsidRPr="007960A2">
        <w:rPr>
          <w:color w:val="000000"/>
          <w:sz w:val="22"/>
          <w:szCs w:val="22"/>
        </w:rPr>
        <w:t>impos</w:t>
      </w:r>
      <w:r w:rsidR="005747A3">
        <w:rPr>
          <w:color w:val="000000"/>
          <w:sz w:val="22"/>
          <w:szCs w:val="22"/>
        </w:rPr>
        <w:t>es</w:t>
      </w:r>
      <w:r w:rsidRPr="007960A2">
        <w:rPr>
          <w:color w:val="000000"/>
          <w:sz w:val="22"/>
          <w:szCs w:val="22"/>
        </w:rPr>
        <w:t xml:space="preserve"> disadvantages not imposed upon others or which withholds or limits access to advantages available to other members of society.</w:t>
      </w:r>
    </w:p>
    <w:p w14:paraId="7A9FD2A2" w14:textId="58191E72" w:rsidR="00C96B39" w:rsidRPr="007960A2" w:rsidRDefault="003E55B5" w:rsidP="00601907">
      <w:pPr>
        <w:pStyle w:val="Paragraphe"/>
        <w:numPr>
          <w:ilvl w:val="0"/>
          <w:numId w:val="1"/>
        </w:numPr>
        <w:tabs>
          <w:tab w:val="clear" w:pos="2629"/>
        </w:tabs>
        <w:ind w:left="0"/>
      </w:pPr>
      <w:r w:rsidRPr="007960A2">
        <w:t xml:space="preserve">A discrimination </w:t>
      </w:r>
      <w:r w:rsidR="008A324A">
        <w:t xml:space="preserve">analysis </w:t>
      </w:r>
      <w:r w:rsidRPr="007960A2">
        <w:t xml:space="preserve">under section 10 of the </w:t>
      </w:r>
      <w:r w:rsidRPr="008B10C3">
        <w:rPr>
          <w:i/>
          <w:iCs/>
        </w:rPr>
        <w:t>Charter</w:t>
      </w:r>
      <w:r w:rsidRPr="007960A2">
        <w:t xml:space="preserve"> is a two-step process.</w:t>
      </w:r>
      <w:r w:rsidR="00E641F1" w:rsidRPr="007960A2">
        <w:t xml:space="preserve"> </w:t>
      </w:r>
      <w:r w:rsidRPr="007960A2">
        <w:t xml:space="preserve">At the first step, the plaintiff must </w:t>
      </w:r>
      <w:r w:rsidR="00E22260">
        <w:t>show</w:t>
      </w:r>
      <w:r w:rsidRPr="007960A2">
        <w:t xml:space="preserve"> </w:t>
      </w:r>
      <w:r w:rsidRPr="007960A2">
        <w:rPr>
          <w:i/>
        </w:rPr>
        <w:t>prima facie</w:t>
      </w:r>
      <w:r w:rsidRPr="007960A2">
        <w:t xml:space="preserve"> discrimination </w:t>
      </w:r>
      <w:r w:rsidR="00A66873">
        <w:t xml:space="preserve">based on </w:t>
      </w:r>
      <w:r w:rsidR="00E22260">
        <w:t xml:space="preserve">proof </w:t>
      </w:r>
      <w:r w:rsidR="00A66873">
        <w:t xml:space="preserve">of </w:t>
      </w:r>
      <w:r w:rsidRPr="007960A2">
        <w:t>the following three elements:</w:t>
      </w:r>
    </w:p>
    <w:p w14:paraId="606084C4" w14:textId="79797B49" w:rsidR="00C96B39" w:rsidRPr="007960A2" w:rsidRDefault="003E55B5">
      <w:pPr>
        <w:pStyle w:val="Citationenretrait"/>
        <w:numPr>
          <w:ilvl w:val="0"/>
          <w:numId w:val="4"/>
        </w:numPr>
        <w:rPr>
          <w:sz w:val="24"/>
          <w:szCs w:val="24"/>
          <w:lang w:val="en-CA"/>
        </w:rPr>
      </w:pPr>
      <w:r w:rsidRPr="007960A2">
        <w:rPr>
          <w:sz w:val="24"/>
          <w:szCs w:val="24"/>
          <w:lang w:val="en-CA"/>
        </w:rPr>
        <w:t>a</w:t>
      </w:r>
      <w:r w:rsidR="00E641F1" w:rsidRPr="007960A2">
        <w:rPr>
          <w:sz w:val="24"/>
          <w:szCs w:val="24"/>
          <w:lang w:val="en-CA"/>
        </w:rPr>
        <w:t xml:space="preserve"> </w:t>
      </w:r>
      <w:r w:rsidRPr="007960A2">
        <w:rPr>
          <w:sz w:val="24"/>
          <w:szCs w:val="24"/>
          <w:lang w:val="en-CA"/>
        </w:rPr>
        <w:t>“distinction, exclusion or preference”</w:t>
      </w:r>
      <w:r w:rsidR="00E641F1" w:rsidRPr="007960A2">
        <w:rPr>
          <w:sz w:val="24"/>
          <w:szCs w:val="24"/>
          <w:lang w:val="en-CA"/>
        </w:rPr>
        <w:t>;</w:t>
      </w:r>
    </w:p>
    <w:p w14:paraId="71D22D0A" w14:textId="6A605053" w:rsidR="00C96B39" w:rsidRPr="007960A2" w:rsidRDefault="003E55B5">
      <w:pPr>
        <w:pStyle w:val="Citationenretrait"/>
        <w:numPr>
          <w:ilvl w:val="0"/>
          <w:numId w:val="4"/>
        </w:numPr>
        <w:rPr>
          <w:sz w:val="24"/>
          <w:szCs w:val="24"/>
          <w:lang w:val="en-CA"/>
        </w:rPr>
      </w:pPr>
      <w:r w:rsidRPr="007960A2">
        <w:rPr>
          <w:sz w:val="24"/>
          <w:szCs w:val="24"/>
          <w:lang w:val="en-CA"/>
        </w:rPr>
        <w:t xml:space="preserve">based on one of the grounds listed in the first paragraph of section 10 of the </w:t>
      </w:r>
      <w:r w:rsidRPr="007960A2">
        <w:rPr>
          <w:i/>
          <w:iCs/>
          <w:sz w:val="24"/>
          <w:szCs w:val="24"/>
          <w:lang w:val="en-CA"/>
        </w:rPr>
        <w:t>Charter</w:t>
      </w:r>
      <w:r w:rsidRPr="007960A2">
        <w:rPr>
          <w:sz w:val="24"/>
          <w:szCs w:val="24"/>
          <w:lang w:val="en-CA"/>
        </w:rPr>
        <w:t>, and</w:t>
      </w:r>
    </w:p>
    <w:p w14:paraId="2716D0AB" w14:textId="3EC84BC0" w:rsidR="00C96B39" w:rsidRPr="007960A2" w:rsidRDefault="003E55B5">
      <w:pPr>
        <w:pStyle w:val="Citationenretrait"/>
        <w:numPr>
          <w:ilvl w:val="0"/>
          <w:numId w:val="4"/>
        </w:numPr>
        <w:rPr>
          <w:sz w:val="24"/>
          <w:szCs w:val="24"/>
          <w:lang w:val="en-CA"/>
        </w:rPr>
      </w:pPr>
      <w:r w:rsidRPr="007960A2">
        <w:rPr>
          <w:sz w:val="24"/>
          <w:szCs w:val="24"/>
          <w:lang w:val="en-CA"/>
        </w:rPr>
        <w:t>which</w:t>
      </w:r>
      <w:r w:rsidR="00E641F1" w:rsidRPr="007960A2">
        <w:rPr>
          <w:sz w:val="24"/>
          <w:szCs w:val="24"/>
          <w:lang w:val="en-CA"/>
        </w:rPr>
        <w:t xml:space="preserve"> </w:t>
      </w:r>
      <w:r w:rsidRPr="007960A2">
        <w:rPr>
          <w:sz w:val="24"/>
          <w:szCs w:val="24"/>
          <w:lang w:val="en-CA"/>
        </w:rPr>
        <w:t>“</w:t>
      </w:r>
      <w:bookmarkStart w:id="15" w:name="_Ref163036816"/>
      <w:r w:rsidRPr="007960A2">
        <w:rPr>
          <w:sz w:val="24"/>
          <w:szCs w:val="24"/>
          <w:lang w:val="en-CA"/>
        </w:rPr>
        <w:t>has the effect of nullifying or impairing</w:t>
      </w:r>
      <w:r w:rsidR="00E22260">
        <w:rPr>
          <w:sz w:val="24"/>
          <w:szCs w:val="24"/>
          <w:lang w:val="en-CA"/>
        </w:rPr>
        <w:t>”</w:t>
      </w:r>
      <w:r w:rsidRPr="007960A2">
        <w:rPr>
          <w:sz w:val="24"/>
          <w:szCs w:val="24"/>
          <w:lang w:val="en-CA"/>
        </w:rPr>
        <w:t xml:space="preserve"> the right to full and equal recognition and exercise of a human right or freedom</w:t>
      </w:r>
      <w:r w:rsidR="003F7627" w:rsidRPr="007960A2">
        <w:rPr>
          <w:sz w:val="24"/>
          <w:szCs w:val="24"/>
          <w:lang w:val="en-CA"/>
        </w:rPr>
        <w:t>.</w:t>
      </w:r>
      <w:bookmarkStart w:id="16" w:name="_Ref168401148"/>
      <w:r w:rsidR="00E641F1" w:rsidRPr="007960A2">
        <w:rPr>
          <w:sz w:val="24"/>
          <w:szCs w:val="24"/>
          <w:vertAlign w:val="superscript"/>
          <w:lang w:val="en-CA"/>
        </w:rPr>
        <w:footnoteReference w:id="75"/>
      </w:r>
      <w:bookmarkEnd w:id="15"/>
      <w:bookmarkEnd w:id="16"/>
    </w:p>
    <w:p w14:paraId="315009A9" w14:textId="5EC68BCD" w:rsidR="00C96B39" w:rsidRPr="007960A2" w:rsidRDefault="00755BBE" w:rsidP="00601907">
      <w:pPr>
        <w:pStyle w:val="Paragraphe"/>
        <w:numPr>
          <w:ilvl w:val="0"/>
          <w:numId w:val="1"/>
        </w:numPr>
        <w:tabs>
          <w:tab w:val="clear" w:pos="2629"/>
        </w:tabs>
        <w:ind w:left="0"/>
      </w:pPr>
      <w:r w:rsidRPr="007960A2">
        <w:t xml:space="preserve">Specifically with respect to the second element, the defendant’s decision need not necessarily be based </w:t>
      </w:r>
      <w:r w:rsidR="00E22260">
        <w:t xml:space="preserve">exclusively </w:t>
      </w:r>
      <w:r w:rsidRPr="007960A2">
        <w:t>on a prohibited ground.</w:t>
      </w:r>
      <w:r w:rsidR="00E641F1" w:rsidRPr="007960A2">
        <w:t xml:space="preserve"> </w:t>
      </w:r>
      <w:r w:rsidRPr="007960A2">
        <w:t>Indeed, “it is enough if that decision or action is based in part on such a ground”.</w:t>
      </w:r>
      <w:r w:rsidRPr="007960A2">
        <w:rPr>
          <w:rStyle w:val="Appelnotedebasdep"/>
        </w:rPr>
        <w:footnoteReference w:id="76"/>
      </w:r>
      <w:r w:rsidR="00E641F1" w:rsidRPr="007960A2">
        <w:t xml:space="preserve"> </w:t>
      </w:r>
      <w:r w:rsidRPr="007960A2">
        <w:t xml:space="preserve">Therefore, the ground must </w:t>
      </w:r>
      <w:r w:rsidR="00E22260">
        <w:t>simp</w:t>
      </w:r>
      <w:r w:rsidRPr="007960A2">
        <w:t>ly be a factor in the distinction, exclusion</w:t>
      </w:r>
      <w:r w:rsidR="00E22260">
        <w:t>,</w:t>
      </w:r>
      <w:r w:rsidRPr="007960A2">
        <w:t xml:space="preserve"> or preference.</w:t>
      </w:r>
      <w:r w:rsidRPr="007960A2">
        <w:rPr>
          <w:rStyle w:val="Appelnotedebasdep"/>
        </w:rPr>
        <w:footnoteReference w:id="77"/>
      </w:r>
      <w:r w:rsidR="00E641F1" w:rsidRPr="007960A2">
        <w:t xml:space="preserve"> </w:t>
      </w:r>
      <w:r w:rsidRPr="007960A2">
        <w:t>For the last element</w:t>
      </w:r>
      <w:r w:rsidR="00E641F1" w:rsidRPr="007960A2">
        <w:t xml:space="preserve">, </w:t>
      </w:r>
      <w:r w:rsidR="00E22260">
        <w:t xml:space="preserve">proof of </w:t>
      </w:r>
      <w:r w:rsidRPr="007960A2">
        <w:t>a “</w:t>
      </w:r>
      <w:r w:rsidR="00E641F1" w:rsidRPr="007960A2">
        <w:t>double violation</w:t>
      </w:r>
      <w:r w:rsidRPr="007960A2">
        <w:t>”</w:t>
      </w:r>
      <w:r w:rsidR="00E22260">
        <w:t xml:space="preserve"> is not required</w:t>
      </w:r>
      <w:r w:rsidRPr="007960A2">
        <w:t>.</w:t>
      </w:r>
      <w:r w:rsidR="00E641F1" w:rsidRPr="007960A2">
        <w:rPr>
          <w:rStyle w:val="Appelnotedebasdep"/>
        </w:rPr>
        <w:footnoteReference w:id="78"/>
      </w:r>
    </w:p>
    <w:p w14:paraId="668F748E" w14:textId="3BDAD3DC" w:rsidR="00C96B39" w:rsidRPr="007960A2" w:rsidRDefault="00D91D35" w:rsidP="00601907">
      <w:pPr>
        <w:pStyle w:val="Paragraphe"/>
        <w:numPr>
          <w:ilvl w:val="0"/>
          <w:numId w:val="1"/>
        </w:numPr>
        <w:tabs>
          <w:tab w:val="clear" w:pos="2629"/>
        </w:tabs>
        <w:ind w:left="0"/>
      </w:pPr>
      <w:r w:rsidRPr="007960A2">
        <w:t xml:space="preserve">Once the plaintiff has </w:t>
      </w:r>
      <w:r w:rsidR="009A0988">
        <w:t>proved</w:t>
      </w:r>
      <w:r w:rsidRPr="007960A2">
        <w:t xml:space="preserve"> these three elements, </w:t>
      </w:r>
      <w:r w:rsidRPr="007960A2">
        <w:rPr>
          <w:i/>
        </w:rPr>
        <w:t>prima facie</w:t>
      </w:r>
      <w:r w:rsidRPr="007960A2">
        <w:t xml:space="preserve"> discrimination </w:t>
      </w:r>
      <w:r w:rsidR="009A0988">
        <w:t xml:space="preserve">has been established </w:t>
      </w:r>
      <w:r w:rsidRPr="007960A2">
        <w:t>and the first part of the analysis is complete.</w:t>
      </w:r>
      <w:r w:rsidR="002F594E" w:rsidRPr="007960A2">
        <w:t xml:space="preserve"> </w:t>
      </w:r>
      <w:r w:rsidRPr="007960A2">
        <w:t xml:space="preserve">Moreover, the Supreme Court previously stated that </w:t>
      </w:r>
      <w:r w:rsidR="00DA71F1">
        <w:t xml:space="preserve">under </w:t>
      </w:r>
      <w:r w:rsidRPr="007960A2">
        <w:t>“Quebec law, the plaintiff is not required to prove that the defendant intended to discriminate against him or her”.</w:t>
      </w:r>
      <w:r w:rsidRPr="007960A2">
        <w:rPr>
          <w:rStyle w:val="Appelnotedebasdep"/>
        </w:rPr>
        <w:footnoteReference w:id="79"/>
      </w:r>
      <w:r w:rsidR="00E641F1" w:rsidRPr="007960A2">
        <w:t xml:space="preserve"> </w:t>
      </w:r>
      <w:r w:rsidRPr="007960A2">
        <w:t xml:space="preserve">At this stage, the defendant has the </w:t>
      </w:r>
      <w:r w:rsidR="00D30B64">
        <w:t>onus</w:t>
      </w:r>
      <w:r w:rsidRPr="007960A2">
        <w:t xml:space="preserve"> of justifying his or her decision or conduct on the basis of a defence or by </w:t>
      </w:r>
      <w:r w:rsidRPr="007960A2">
        <w:lastRenderedPageBreak/>
        <w:t>refuting the alleged act.</w:t>
      </w:r>
      <w:r w:rsidRPr="007960A2">
        <w:rPr>
          <w:rStyle w:val="Appelnotedebasdep"/>
        </w:rPr>
        <w:footnoteReference w:id="80"/>
      </w:r>
      <w:r w:rsidR="00E641F1" w:rsidRPr="007960A2">
        <w:t xml:space="preserve"> </w:t>
      </w:r>
      <w:r w:rsidRPr="007960A2">
        <w:t xml:space="preserve">However, if proof of </w:t>
      </w:r>
      <w:r w:rsidRPr="007960A2">
        <w:rPr>
          <w:i/>
        </w:rPr>
        <w:t>prima facie</w:t>
      </w:r>
      <w:r w:rsidRPr="007960A2">
        <w:t xml:space="preserve"> discrimination is not made, the courts will not </w:t>
      </w:r>
      <w:r w:rsidR="00D30B64">
        <w:t>examine</w:t>
      </w:r>
      <w:r w:rsidRPr="007960A2">
        <w:t xml:space="preserve"> the second step and will dismiss the application.</w:t>
      </w:r>
    </w:p>
    <w:p w14:paraId="28775576" w14:textId="63B581D6" w:rsidR="00C96B39" w:rsidRPr="007960A2" w:rsidRDefault="00D91D35" w:rsidP="00601907">
      <w:pPr>
        <w:pStyle w:val="Paragraphe"/>
        <w:numPr>
          <w:ilvl w:val="0"/>
          <w:numId w:val="1"/>
        </w:numPr>
        <w:tabs>
          <w:tab w:val="clear" w:pos="2629"/>
        </w:tabs>
        <w:ind w:left="0"/>
      </w:pPr>
      <w:r w:rsidRPr="007960A2">
        <w:t>The CDPDJ must show that the distinction, exclusion</w:t>
      </w:r>
      <w:r w:rsidR="00D30B64">
        <w:t>,</w:t>
      </w:r>
      <w:r w:rsidRPr="007960A2">
        <w:t xml:space="preserve"> or preference affects the full and equal exercise of one of E.B.’s rights or freedoms guaranteed by the </w:t>
      </w:r>
      <w:r w:rsidRPr="007960A2">
        <w:rPr>
          <w:i/>
        </w:rPr>
        <w:t>Charter</w:t>
      </w:r>
      <w:r w:rsidRPr="007960A2">
        <w:t>.</w:t>
      </w:r>
      <w:r w:rsidR="00E641F1" w:rsidRPr="007960A2">
        <w:t xml:space="preserve"> </w:t>
      </w:r>
      <w:r w:rsidR="007C403B">
        <w:t>Section</w:t>
      </w:r>
      <w:r w:rsidR="007C403B" w:rsidRPr="007960A2">
        <w:t xml:space="preserve"> </w:t>
      </w:r>
      <w:r w:rsidRPr="007960A2">
        <w:t>10 must be joined with another right because it does not protect the right to equality as an independent right.</w:t>
      </w:r>
      <w:r w:rsidRPr="007960A2">
        <w:rPr>
          <w:rStyle w:val="Appelnotedebasdep"/>
          <w:rFonts w:cs="Arial"/>
        </w:rPr>
        <w:footnoteReference w:id="81"/>
      </w:r>
      <w:r w:rsidR="00E641F1" w:rsidRPr="007960A2">
        <w:t xml:space="preserve"> </w:t>
      </w:r>
      <w:r w:rsidRPr="007960A2">
        <w:t xml:space="preserve">The right to equality in employment and the right to the safeguard of dignity set out </w:t>
      </w:r>
      <w:r w:rsidR="00D05164" w:rsidRPr="007960A2">
        <w:t xml:space="preserve">respectively </w:t>
      </w:r>
      <w:r w:rsidRPr="007960A2">
        <w:t xml:space="preserve">in sections 16 and 4 of the </w:t>
      </w:r>
      <w:r w:rsidRPr="007960A2">
        <w:rPr>
          <w:i/>
        </w:rPr>
        <w:t>Charter</w:t>
      </w:r>
      <w:r w:rsidRPr="007960A2">
        <w:t xml:space="preserve"> are part of these other </w:t>
      </w:r>
      <w:r w:rsidR="00D05164" w:rsidRPr="00D05164">
        <w:rPr>
          <w:i/>
          <w:iCs/>
        </w:rPr>
        <w:t>Charter</w:t>
      </w:r>
      <w:r w:rsidR="00D05164">
        <w:t>-</w:t>
      </w:r>
      <w:r w:rsidRPr="007960A2">
        <w:t>guaranteed rights.</w:t>
      </w:r>
    </w:p>
    <w:p w14:paraId="05165C99" w14:textId="4A25DE57" w:rsidR="00C96B39" w:rsidRPr="007960A2" w:rsidRDefault="00D91D35" w:rsidP="00601907">
      <w:pPr>
        <w:pStyle w:val="Paragraphe"/>
        <w:numPr>
          <w:ilvl w:val="0"/>
          <w:numId w:val="1"/>
        </w:numPr>
        <w:tabs>
          <w:tab w:val="clear" w:pos="2629"/>
        </w:tabs>
        <w:ind w:left="0"/>
      </w:pPr>
      <w:r w:rsidRPr="007960A2">
        <w:t xml:space="preserve">The right to equality in employment set out in section 16 of the </w:t>
      </w:r>
      <w:r w:rsidRPr="007960A2">
        <w:rPr>
          <w:i/>
        </w:rPr>
        <w:t>Charter</w:t>
      </w:r>
      <w:r w:rsidRPr="007960A2">
        <w:t xml:space="preserve"> is inseparable from section 10.</w:t>
      </w:r>
      <w:r w:rsidR="00E641F1" w:rsidRPr="007960A2">
        <w:t xml:space="preserve"> </w:t>
      </w:r>
      <w:r w:rsidRPr="007960A2">
        <w:t>Thus, a violation of this right will be established once the plaintiff prove</w:t>
      </w:r>
      <w:r w:rsidR="00212E4F">
        <w:t>s</w:t>
      </w:r>
      <w:r w:rsidRPr="007960A2">
        <w:t xml:space="preserve"> that the differential treatment of which she complains is based </w:t>
      </w:r>
      <w:r w:rsidR="00216F25" w:rsidRPr="007960A2">
        <w:rPr>
          <w:rFonts w:cs="Arial"/>
        </w:rPr>
        <w:t>[</w:t>
      </w:r>
      <w:r w:rsidR="00216F25" w:rsidRPr="007960A2">
        <w:rPr>
          <w:rFonts w:cs="Arial"/>
          <w:smallCaps/>
        </w:rPr>
        <w:t>translation</w:t>
      </w:r>
      <w:r w:rsidR="00216F25" w:rsidRPr="007960A2">
        <w:rPr>
          <w:rFonts w:cs="Arial"/>
        </w:rPr>
        <w:t>]</w:t>
      </w:r>
      <w:r w:rsidR="00216F25" w:rsidRPr="007960A2">
        <w:t xml:space="preserve"> </w:t>
      </w:r>
      <w:r w:rsidRPr="007960A2">
        <w:t>“on a prohibited ground in the exercise of her right to be hired”.</w:t>
      </w:r>
      <w:r w:rsidRPr="007960A2">
        <w:rPr>
          <w:rStyle w:val="Appelnotedebasdep"/>
        </w:rPr>
        <w:footnoteReference w:id="82"/>
      </w:r>
      <w:r w:rsidR="00E641F1" w:rsidRPr="007960A2">
        <w:t xml:space="preserve"> </w:t>
      </w:r>
      <w:r w:rsidRPr="007960A2">
        <w:t xml:space="preserve">Without denying </w:t>
      </w:r>
      <w:r w:rsidR="00212E4F">
        <w:t xml:space="preserve">the </w:t>
      </w:r>
      <w:r w:rsidRPr="007960A2">
        <w:t xml:space="preserve">flexibility </w:t>
      </w:r>
      <w:r w:rsidR="00212E4F">
        <w:t xml:space="preserve">employers enjoy </w:t>
      </w:r>
      <w:r w:rsidRPr="007960A2">
        <w:t xml:space="preserve">with respect to the hiring requirements and process of their staff, this discretion is circumscribed </w:t>
      </w:r>
      <w:r w:rsidR="00212E4F">
        <w:t xml:space="preserve">in particular </w:t>
      </w:r>
      <w:r w:rsidRPr="007960A2">
        <w:t xml:space="preserve">by the grounds set out in section 10 of the </w:t>
      </w:r>
      <w:r w:rsidRPr="007960A2">
        <w:rPr>
          <w:i/>
        </w:rPr>
        <w:t>Charter</w:t>
      </w:r>
      <w:r w:rsidRPr="007960A2">
        <w:t>.</w:t>
      </w:r>
      <w:r w:rsidRPr="007960A2">
        <w:rPr>
          <w:rStyle w:val="Appelnotedebasdep"/>
          <w:rFonts w:cs="Arial"/>
        </w:rPr>
        <w:footnoteReference w:id="83"/>
      </w:r>
    </w:p>
    <w:p w14:paraId="45EB0D0F" w14:textId="3147D3D6" w:rsidR="00C96B39" w:rsidRPr="007960A2" w:rsidRDefault="00D91D35" w:rsidP="00601907">
      <w:pPr>
        <w:pStyle w:val="Paragraphe"/>
        <w:numPr>
          <w:ilvl w:val="0"/>
          <w:numId w:val="1"/>
        </w:numPr>
        <w:tabs>
          <w:tab w:val="clear" w:pos="2629"/>
        </w:tabs>
        <w:ind w:left="0"/>
        <w:rPr>
          <w:lang w:eastAsia="fr-CA"/>
        </w:rPr>
      </w:pPr>
      <w:r w:rsidRPr="007960A2">
        <w:t xml:space="preserve">The right to </w:t>
      </w:r>
      <w:r w:rsidR="000942FD">
        <w:t xml:space="preserve">equality in </w:t>
      </w:r>
      <w:r w:rsidR="00212E4F">
        <w:t>employment</w:t>
      </w:r>
      <w:r w:rsidRPr="007960A2">
        <w:t xml:space="preserve"> is violated where the employer’s refusal is based, in whole or in part, on a prohibited ground of discrimination.</w:t>
      </w:r>
    </w:p>
    <w:p w14:paraId="6560CA1E" w14:textId="3C997DE0" w:rsidR="00C96B39" w:rsidRPr="007960A2" w:rsidRDefault="00D91D35" w:rsidP="00601907">
      <w:pPr>
        <w:pStyle w:val="Paragraphe"/>
        <w:numPr>
          <w:ilvl w:val="0"/>
          <w:numId w:val="1"/>
        </w:numPr>
        <w:tabs>
          <w:tab w:val="clear" w:pos="2629"/>
        </w:tabs>
        <w:ind w:left="0"/>
        <w:rPr>
          <w:lang w:eastAsia="fr-CA"/>
        </w:rPr>
      </w:pPr>
      <w:r w:rsidRPr="007960A2">
        <w:t xml:space="preserve">In this case, the defendants’ refusal to hire the complainant is an exclusion or distinction within the meaning of section 10 of the </w:t>
      </w:r>
      <w:r w:rsidRPr="007960A2">
        <w:rPr>
          <w:i/>
        </w:rPr>
        <w:t>Charter</w:t>
      </w:r>
      <w:r w:rsidRPr="007960A2">
        <w:t>.</w:t>
      </w:r>
    </w:p>
    <w:p w14:paraId="4D36E0A7" w14:textId="41F1649B" w:rsidR="00C96B39" w:rsidRPr="007960A2" w:rsidRDefault="00D91D35" w:rsidP="00601907">
      <w:pPr>
        <w:pStyle w:val="Paragraphe"/>
        <w:numPr>
          <w:ilvl w:val="0"/>
          <w:numId w:val="1"/>
        </w:numPr>
        <w:tabs>
          <w:tab w:val="clear" w:pos="2629"/>
        </w:tabs>
        <w:ind w:left="0"/>
      </w:pPr>
      <w:r w:rsidRPr="007960A2">
        <w:t>The Tribunal must determine whether this distinction or exclusion is based on a</w:t>
      </w:r>
      <w:r w:rsidR="000942FD">
        <w:t xml:space="preserve">n enumerated </w:t>
      </w:r>
      <w:r w:rsidRPr="007960A2">
        <w:t xml:space="preserve">ground in section 10 of the </w:t>
      </w:r>
      <w:r w:rsidRPr="007960A2">
        <w:rPr>
          <w:i/>
        </w:rPr>
        <w:t>Charter</w:t>
      </w:r>
      <w:r w:rsidRPr="007960A2">
        <w:t>.</w:t>
      </w:r>
      <w:r w:rsidR="00E641F1" w:rsidRPr="007960A2">
        <w:t xml:space="preserve"> </w:t>
      </w:r>
      <w:r w:rsidRPr="007960A2">
        <w:t xml:space="preserve">The plaintiff need not prove that E.B.’s gender identity </w:t>
      </w:r>
      <w:r w:rsidR="000942FD">
        <w:t>wa</w:t>
      </w:r>
      <w:r w:rsidRPr="007960A2">
        <w:t xml:space="preserve">s the </w:t>
      </w:r>
      <w:r w:rsidR="000942FD">
        <w:t>sole</w:t>
      </w:r>
      <w:r w:rsidRPr="007960A2">
        <w:t xml:space="preserve"> ground or causal factor for the refusal to hire.</w:t>
      </w:r>
      <w:r w:rsidR="00E641F1" w:rsidRPr="007960A2">
        <w:t xml:space="preserve"> </w:t>
      </w:r>
      <w:r w:rsidRPr="007960A2">
        <w:t>I</w:t>
      </w:r>
      <w:r w:rsidR="00216F25" w:rsidRPr="007960A2">
        <w:t>t</w:t>
      </w:r>
      <w:r w:rsidRPr="007960A2">
        <w:t xml:space="preserve"> is sufficient if the prohibited ground was considered to find that there was in fact discrimination.</w:t>
      </w:r>
      <w:r w:rsidRPr="007960A2">
        <w:rPr>
          <w:rStyle w:val="Appelnotedebasdep"/>
        </w:rPr>
        <w:footnoteReference w:id="84"/>
      </w:r>
    </w:p>
    <w:p w14:paraId="4D5534E5" w14:textId="3843FF3F" w:rsidR="00C96B39" w:rsidRPr="007960A2" w:rsidRDefault="00D91D35" w:rsidP="00601907">
      <w:pPr>
        <w:pStyle w:val="Paragraphe"/>
        <w:numPr>
          <w:ilvl w:val="0"/>
          <w:numId w:val="1"/>
        </w:numPr>
        <w:tabs>
          <w:tab w:val="clear" w:pos="2629"/>
        </w:tabs>
        <w:ind w:left="0"/>
      </w:pPr>
      <w:r w:rsidRPr="007960A2">
        <w:t>The CDPDJ argues that the decision not to hire E.B. as a server at the Bar on March</w:t>
      </w:r>
      <w:r w:rsidR="000942FD">
        <w:t> </w:t>
      </w:r>
      <w:r w:rsidRPr="007960A2">
        <w:t>31, 2017, was based on the fact that the defendants did not want to hire a trans woman.</w:t>
      </w:r>
      <w:r w:rsidR="00E641F1" w:rsidRPr="007960A2">
        <w:t xml:space="preserve"> </w:t>
      </w:r>
      <w:r w:rsidRPr="007960A2">
        <w:t xml:space="preserve">The CDPDJ must therefore prove that the differential treatment </w:t>
      </w:r>
      <w:r w:rsidR="000942FD">
        <w:t>wa</w:t>
      </w:r>
      <w:r w:rsidRPr="007960A2">
        <w:t>s based, even in part, on a prohibited ground, in this case the complainant’s gender identity.</w:t>
      </w:r>
    </w:p>
    <w:p w14:paraId="58DB00F1" w14:textId="4A43B306" w:rsidR="00C96B39" w:rsidRPr="007960A2" w:rsidRDefault="00D91D35" w:rsidP="00601907">
      <w:pPr>
        <w:pStyle w:val="Paragraphe"/>
        <w:numPr>
          <w:ilvl w:val="0"/>
          <w:numId w:val="1"/>
        </w:numPr>
        <w:tabs>
          <w:tab w:val="clear" w:pos="2629"/>
        </w:tabs>
        <w:ind w:left="0"/>
      </w:pPr>
      <w:r w:rsidRPr="007960A2">
        <w:lastRenderedPageBreak/>
        <w:t xml:space="preserve">The Tribunal has no doubt that the defendants’ refusal to hire </w:t>
      </w:r>
      <w:r w:rsidR="00372082">
        <w:t>wa</w:t>
      </w:r>
      <w:r w:rsidRPr="007960A2">
        <w:t xml:space="preserve">s based on E.B.’s gender identity. She went to the Bar at Mr. Sikder’s request after </w:t>
      </w:r>
      <w:r w:rsidR="00372082">
        <w:t xml:space="preserve">she </w:t>
      </w:r>
      <w:r w:rsidRPr="007960A2">
        <w:t>express</w:t>
      </w:r>
      <w:r w:rsidR="00372082">
        <w:t>ed</w:t>
      </w:r>
      <w:r w:rsidRPr="007960A2">
        <w:t xml:space="preserve"> an interest in the </w:t>
      </w:r>
      <w:r w:rsidR="0050641D">
        <w:t xml:space="preserve">server </w:t>
      </w:r>
      <w:r w:rsidR="00372082">
        <w:t>position</w:t>
      </w:r>
      <w:r w:rsidRPr="007960A2">
        <w:t xml:space="preserve">, </w:t>
      </w:r>
      <w:r w:rsidR="00372082">
        <w:t xml:space="preserve">followed by </w:t>
      </w:r>
      <w:r w:rsidRPr="007960A2">
        <w:t xml:space="preserve">a telephone interview and </w:t>
      </w:r>
      <w:r w:rsidR="00372082">
        <w:t xml:space="preserve">an </w:t>
      </w:r>
      <w:r w:rsidRPr="007960A2">
        <w:t>invit</w:t>
      </w:r>
      <w:r w:rsidR="00372082">
        <w:t>ation to attend</w:t>
      </w:r>
      <w:r w:rsidRPr="007960A2">
        <w:t xml:space="preserve"> training the next day.</w:t>
      </w:r>
      <w:r w:rsidR="00E641F1" w:rsidRPr="007960A2">
        <w:t xml:space="preserve"> </w:t>
      </w:r>
      <w:r w:rsidRPr="007960A2">
        <w:t>Once at the bar, the complainant’s identity documents and hiring documents were exchanged.</w:t>
      </w:r>
      <w:r w:rsidR="00E641F1" w:rsidRPr="007960A2">
        <w:t xml:space="preserve"> </w:t>
      </w:r>
      <w:r w:rsidRPr="007960A2">
        <w:t>The training went well according to the trainer, Ms.</w:t>
      </w:r>
      <w:r w:rsidR="00372082">
        <w:t> </w:t>
      </w:r>
      <w:r w:rsidR="00644E91">
        <w:t>S.</w:t>
      </w:r>
      <w:r w:rsidRPr="007960A2">
        <w:t xml:space="preserve">, who </w:t>
      </w:r>
      <w:r w:rsidR="00372082">
        <w:t xml:space="preserve">informed </w:t>
      </w:r>
      <w:r w:rsidRPr="007960A2">
        <w:t>Mr. Sikder</w:t>
      </w:r>
      <w:r w:rsidR="00372082">
        <w:t xml:space="preserve"> of everything</w:t>
      </w:r>
      <w:r w:rsidRPr="007960A2">
        <w:t>.</w:t>
      </w:r>
    </w:p>
    <w:p w14:paraId="64C00FE4" w14:textId="574FAE56" w:rsidR="00C96B39" w:rsidRPr="007960A2" w:rsidRDefault="00D91D35" w:rsidP="00601907">
      <w:pPr>
        <w:pStyle w:val="Paragraphe"/>
        <w:numPr>
          <w:ilvl w:val="0"/>
          <w:numId w:val="1"/>
        </w:numPr>
        <w:tabs>
          <w:tab w:val="clear" w:pos="2629"/>
        </w:tabs>
        <w:ind w:left="0"/>
      </w:pPr>
      <w:r w:rsidRPr="007960A2">
        <w:t xml:space="preserve">It is clear that </w:t>
      </w:r>
      <w:r w:rsidRPr="007960A2">
        <w:rPr>
          <w:i/>
        </w:rPr>
        <w:t>prima facie</w:t>
      </w:r>
      <w:r w:rsidRPr="007960A2">
        <w:t xml:space="preserve"> discrimination has been </w:t>
      </w:r>
      <w:r w:rsidR="00372082">
        <w:t>established</w:t>
      </w:r>
      <w:r w:rsidRPr="007960A2">
        <w:t xml:space="preserve">: a </w:t>
      </w:r>
      <w:r w:rsidR="0050641D">
        <w:t xml:space="preserve">server </w:t>
      </w:r>
      <w:r w:rsidR="00372082">
        <w:t>position</w:t>
      </w:r>
      <w:r w:rsidRPr="007960A2">
        <w:t xml:space="preserve"> was advertised. </w:t>
      </w:r>
      <w:r w:rsidR="00372082">
        <w:t>A</w:t>
      </w:r>
      <w:r w:rsidRPr="007960A2">
        <w:t xml:space="preserve">t Mr. Sikder’s request, </w:t>
      </w:r>
      <w:r w:rsidR="00372082">
        <w:t>t</w:t>
      </w:r>
      <w:r w:rsidR="00372082" w:rsidRPr="007960A2">
        <w:t xml:space="preserve">he complainant attended </w:t>
      </w:r>
      <w:r w:rsidRPr="007960A2">
        <w:t>a training session that went well.</w:t>
      </w:r>
      <w:r w:rsidR="00E641F1" w:rsidRPr="007960A2">
        <w:t xml:space="preserve"> </w:t>
      </w:r>
      <w:r w:rsidRPr="007960A2">
        <w:t>Mr. Sikder’s father told her that she would receive a work schedule.</w:t>
      </w:r>
      <w:r w:rsidR="00E641F1" w:rsidRPr="007960A2">
        <w:t xml:space="preserve"> </w:t>
      </w:r>
      <w:r w:rsidRPr="007960A2">
        <w:t xml:space="preserve">E.B. was refused the </w:t>
      </w:r>
      <w:r w:rsidR="00372082">
        <w:t>position</w:t>
      </w:r>
      <w:r w:rsidRPr="007960A2">
        <w:t xml:space="preserve"> because she is trans.</w:t>
      </w:r>
      <w:r w:rsidR="00E641F1" w:rsidRPr="007960A2">
        <w:t xml:space="preserve"> </w:t>
      </w:r>
      <w:r w:rsidRPr="007960A2">
        <w:t xml:space="preserve">She was excluded because of her gender identity, a prohibited ground of discrimination under section 10 of the </w:t>
      </w:r>
      <w:r w:rsidRPr="007960A2">
        <w:rPr>
          <w:i/>
        </w:rPr>
        <w:t>Charter</w:t>
      </w:r>
      <w:r w:rsidRPr="007960A2">
        <w:t>.</w:t>
      </w:r>
    </w:p>
    <w:p w14:paraId="372E7EB6" w14:textId="2702F6E8" w:rsidR="00D201AC" w:rsidRPr="007960A2" w:rsidRDefault="00D91D35" w:rsidP="00D201AC">
      <w:pPr>
        <w:pStyle w:val="Paragraphe"/>
        <w:numPr>
          <w:ilvl w:val="0"/>
          <w:numId w:val="1"/>
        </w:numPr>
        <w:tabs>
          <w:tab w:val="clear" w:pos="2629"/>
        </w:tabs>
        <w:ind w:left="0"/>
      </w:pPr>
      <w:r w:rsidRPr="007960A2">
        <w:t>The second step in the analysis is the rebuttal or justification</w:t>
      </w:r>
      <w:r w:rsidR="0050641D">
        <w:t xml:space="preserve">, </w:t>
      </w:r>
      <w:r w:rsidR="00D5203B">
        <w:t xml:space="preserve">when </w:t>
      </w:r>
      <w:r w:rsidR="0050641D">
        <w:t>the</w:t>
      </w:r>
      <w:r w:rsidRPr="007960A2">
        <w:t xml:space="preserve"> burden of proof shifts.</w:t>
      </w:r>
      <w:r w:rsidR="00E641F1" w:rsidRPr="007960A2">
        <w:t xml:space="preserve"> </w:t>
      </w:r>
      <w:r w:rsidRPr="007960A2">
        <w:t>The defendant can rebut or justify his conduct on the basis of an exemption or defence provided for in the law or developed by the courts.</w:t>
      </w:r>
      <w:r w:rsidRPr="007960A2">
        <w:rPr>
          <w:vertAlign w:val="superscript"/>
        </w:rPr>
        <w:footnoteReference w:id="85"/>
      </w:r>
    </w:p>
    <w:p w14:paraId="0DBFE0A4" w14:textId="485526E2" w:rsidR="00012F2D" w:rsidRPr="007960A2" w:rsidRDefault="00C127DA" w:rsidP="00012F2D">
      <w:pPr>
        <w:pStyle w:val="Paragraphe"/>
        <w:numPr>
          <w:ilvl w:val="0"/>
          <w:numId w:val="1"/>
        </w:numPr>
        <w:tabs>
          <w:tab w:val="clear" w:pos="2629"/>
        </w:tabs>
        <w:ind w:left="0"/>
      </w:pPr>
      <w:r w:rsidRPr="007960A2">
        <w:t xml:space="preserve">Section 20 of the </w:t>
      </w:r>
      <w:r w:rsidRPr="007960A2">
        <w:rPr>
          <w:i/>
        </w:rPr>
        <w:t>Charter</w:t>
      </w:r>
      <w:r w:rsidRPr="007960A2">
        <w:t xml:space="preserve"> prescribes specific grounds that allow an employer to exclude or prefer certain people for </w:t>
      </w:r>
      <w:r w:rsidR="0008615C">
        <w:t xml:space="preserve">an employment </w:t>
      </w:r>
      <w:r w:rsidRPr="007960A2">
        <w:t>without it being considered discriminatory:</w:t>
      </w:r>
    </w:p>
    <w:p w14:paraId="1519A2DC" w14:textId="1C73F5A8" w:rsidR="00012F2D" w:rsidRPr="007960A2" w:rsidRDefault="00E641F1" w:rsidP="0008615C">
      <w:pPr>
        <w:pStyle w:val="Paragraphe"/>
        <w:ind w:left="567" w:right="573"/>
      </w:pPr>
      <w:r w:rsidRPr="007960A2">
        <w:rPr>
          <w:rFonts w:cs="Arial"/>
          <w:b/>
          <w:bCs/>
          <w:color w:val="212529"/>
          <w:sz w:val="22"/>
          <w:szCs w:val="22"/>
          <w:shd w:val="clear" w:color="auto" w:fill="FFFFFF"/>
        </w:rPr>
        <w:t>20.</w:t>
      </w:r>
      <w:r w:rsidRPr="007960A2">
        <w:rPr>
          <w:rFonts w:cs="Arial"/>
          <w:color w:val="212529"/>
          <w:sz w:val="22"/>
          <w:szCs w:val="22"/>
          <w:shd w:val="clear" w:color="auto" w:fill="FFFFFF"/>
        </w:rPr>
        <w:t xml:space="preserve"> </w:t>
      </w:r>
      <w:r w:rsidR="00C127DA" w:rsidRPr="007960A2">
        <w:rPr>
          <w:rFonts w:cs="Arial"/>
          <w:color w:val="212529"/>
          <w:sz w:val="22"/>
          <w:szCs w:val="22"/>
          <w:shd w:val="clear" w:color="auto" w:fill="FFFFFF"/>
        </w:rPr>
        <w:t>A distinction, exclusion or preference based on the aptitudes or qualifications required for an employment, or justified by the charitable, philanthropic, religious, political or educational nature of a non-profit institution or of an institution devoted exclusively to the well-being of an ethnic group, is deemed non-discriminatory.</w:t>
      </w:r>
    </w:p>
    <w:p w14:paraId="13899D01" w14:textId="1AA8F77B" w:rsidR="00C96B39" w:rsidRPr="007960A2" w:rsidRDefault="00C127DA" w:rsidP="00601907">
      <w:pPr>
        <w:pStyle w:val="Paragraphe"/>
        <w:numPr>
          <w:ilvl w:val="0"/>
          <w:numId w:val="1"/>
        </w:numPr>
        <w:tabs>
          <w:tab w:val="clear" w:pos="2629"/>
        </w:tabs>
        <w:ind w:left="0"/>
      </w:pPr>
      <w:r w:rsidRPr="007960A2">
        <w:t xml:space="preserve">With respect to </w:t>
      </w:r>
      <w:r w:rsidR="0008615C">
        <w:t xml:space="preserve">hiring </w:t>
      </w:r>
      <w:r w:rsidRPr="007960A2">
        <w:t xml:space="preserve">discrimination, section 20 of the </w:t>
      </w:r>
      <w:r w:rsidRPr="007960A2">
        <w:rPr>
          <w:i/>
        </w:rPr>
        <w:t>Charter</w:t>
      </w:r>
      <w:r w:rsidRPr="007960A2">
        <w:t xml:space="preserve"> sets out the two possible defences: (1) a defence based on the “aptitudes or qualifications required for an employment” and (2) a defence based on the “charitable, philanthropic, religious, political or educational nature of a non-profit institution or of an institution devoted exclusively to the well-being of an ethnic group, is deemed non-discriminatory”.</w:t>
      </w:r>
      <w:r w:rsidR="006D1D5E" w:rsidRPr="007960A2">
        <w:t xml:space="preserve"> </w:t>
      </w:r>
      <w:r w:rsidRPr="007960A2">
        <w:t>The second defence is irrelevant to this case, but what about the first</w:t>
      </w:r>
      <w:r w:rsidR="0008615C">
        <w:t xml:space="preserve"> defence</w:t>
      </w:r>
      <w:r w:rsidRPr="007960A2">
        <w:t>?</w:t>
      </w:r>
    </w:p>
    <w:p w14:paraId="2158E2FE" w14:textId="740A3DE0" w:rsidR="00C96B39" w:rsidRPr="007960A2" w:rsidRDefault="00C127DA" w:rsidP="00601907">
      <w:pPr>
        <w:pStyle w:val="Paragraphe"/>
        <w:numPr>
          <w:ilvl w:val="0"/>
          <w:numId w:val="1"/>
        </w:numPr>
        <w:tabs>
          <w:tab w:val="clear" w:pos="2629"/>
        </w:tabs>
        <w:ind w:left="0"/>
      </w:pPr>
      <w:r w:rsidRPr="007960A2">
        <w:t xml:space="preserve">To rely on a defence </w:t>
      </w:r>
      <w:r w:rsidR="0008615C">
        <w:t xml:space="preserve">based on </w:t>
      </w:r>
      <w:r w:rsidRPr="007960A2">
        <w:t xml:space="preserve">the aptitudes or qualifications required for an employment, the employer must justify its discriminatory standard by proving that it is a </w:t>
      </w:r>
      <w:r w:rsidRPr="007960A2">
        <w:rPr>
          <w:i/>
        </w:rPr>
        <w:t>bona fide</w:t>
      </w:r>
      <w:r w:rsidRPr="007960A2">
        <w:t xml:space="preserve"> occupational requirement.</w:t>
      </w:r>
      <w:r w:rsidR="00E641F1" w:rsidRPr="007960A2">
        <w:t xml:space="preserve"> </w:t>
      </w:r>
      <w:r w:rsidRPr="007960A2">
        <w:t xml:space="preserve">To do so, the employer must </w:t>
      </w:r>
      <w:r w:rsidR="0008615C">
        <w:t>show</w:t>
      </w:r>
      <w:r w:rsidRPr="007960A2">
        <w:t>:</w:t>
      </w:r>
    </w:p>
    <w:p w14:paraId="6A08E384" w14:textId="095A8D74" w:rsidR="00C96B39" w:rsidRPr="007960A2" w:rsidRDefault="00E641F1" w:rsidP="00F13E06">
      <w:pPr>
        <w:pStyle w:val="Citationenretrait"/>
        <w:rPr>
          <w:lang w:val="en-CA"/>
        </w:rPr>
      </w:pPr>
      <w:r w:rsidRPr="007960A2">
        <w:rPr>
          <w:lang w:val="en-CA"/>
        </w:rPr>
        <w:t>(1)</w:t>
      </w:r>
      <w:r w:rsidRPr="007960A2">
        <w:rPr>
          <w:lang w:val="en-CA"/>
        </w:rPr>
        <w:tab/>
      </w:r>
      <w:r w:rsidR="00C127DA" w:rsidRPr="007960A2">
        <w:rPr>
          <w:lang w:val="en-CA"/>
        </w:rPr>
        <w:t>that the employer adopted the standard for a purpose rationally connected to the performance of the job;</w:t>
      </w:r>
    </w:p>
    <w:p w14:paraId="720D3676" w14:textId="0B2D767C" w:rsidR="00B63E91" w:rsidRPr="007960A2" w:rsidRDefault="00E641F1" w:rsidP="00F13E06">
      <w:pPr>
        <w:pStyle w:val="Citationenretrait"/>
        <w:rPr>
          <w:lang w:val="en-CA"/>
        </w:rPr>
      </w:pPr>
      <w:r w:rsidRPr="007960A2">
        <w:rPr>
          <w:lang w:val="en-CA"/>
        </w:rPr>
        <w:lastRenderedPageBreak/>
        <w:t>(2)</w:t>
      </w:r>
      <w:r w:rsidRPr="007960A2">
        <w:rPr>
          <w:lang w:val="en-CA"/>
        </w:rPr>
        <w:tab/>
      </w:r>
      <w:r w:rsidR="00C127DA" w:rsidRPr="007960A2">
        <w:rPr>
          <w:lang w:val="en-CA"/>
        </w:rPr>
        <w:t>that the employer adopted the particular standard in an honest and good faith belief that it was necessary to the fulfilment of that legitimate work-related purpose; and</w:t>
      </w:r>
    </w:p>
    <w:p w14:paraId="7FEF4234" w14:textId="7BAEA8CE" w:rsidR="00C96B39" w:rsidRPr="007960A2" w:rsidRDefault="00C127DA" w:rsidP="00F13E06">
      <w:pPr>
        <w:pStyle w:val="Citationenretrait"/>
        <w:rPr>
          <w:lang w:val="en-CA"/>
        </w:rPr>
      </w:pPr>
      <w:bookmarkStart w:id="17" w:name="_Ref163037914"/>
      <w:r w:rsidRPr="007960A2">
        <w:rPr>
          <w:lang w:val="en-CA"/>
        </w:rPr>
        <w:t>(3)</w:t>
      </w:r>
      <w:r w:rsidR="00633E84">
        <w:rPr>
          <w:lang w:val="en-CA"/>
        </w:rPr>
        <w:tab/>
      </w:r>
      <w:r w:rsidRPr="007960A2">
        <w:rPr>
          <w:lang w:val="en-CA"/>
        </w:rPr>
        <w:t>that the standard is reasonably necessary to the accomplishment of that legitimate work-related purpose.</w:t>
      </w:r>
      <w:r w:rsidR="00E641F1" w:rsidRPr="007960A2">
        <w:rPr>
          <w:vertAlign w:val="superscript"/>
          <w:lang w:val="en-CA"/>
        </w:rPr>
        <w:footnoteReference w:id="86"/>
      </w:r>
      <w:bookmarkEnd w:id="17"/>
    </w:p>
    <w:p w14:paraId="18CBB01E" w14:textId="76CB24CF" w:rsidR="00C96B39" w:rsidRPr="007960A2" w:rsidRDefault="00C127DA" w:rsidP="00601907">
      <w:pPr>
        <w:pStyle w:val="Paragraphe"/>
        <w:numPr>
          <w:ilvl w:val="0"/>
          <w:numId w:val="1"/>
        </w:numPr>
        <w:tabs>
          <w:tab w:val="clear" w:pos="2629"/>
        </w:tabs>
        <w:ind w:left="0"/>
      </w:pPr>
      <w:r w:rsidRPr="007960A2">
        <w:t>The standard will be reasonably necessary if it is impossible to accommodate individual employees sharing the characteristics of the claimant without imposing undue hardship upon the employer.</w:t>
      </w:r>
      <w:r w:rsidRPr="007960A2">
        <w:rPr>
          <w:vertAlign w:val="superscript"/>
        </w:rPr>
        <w:footnoteReference w:id="87"/>
      </w:r>
    </w:p>
    <w:p w14:paraId="59301FAD" w14:textId="1AD91C49" w:rsidR="00C96B39" w:rsidRPr="007960A2" w:rsidRDefault="00C127DA" w:rsidP="00601907">
      <w:pPr>
        <w:pStyle w:val="Paragraphe"/>
        <w:numPr>
          <w:ilvl w:val="0"/>
          <w:numId w:val="1"/>
        </w:numPr>
        <w:tabs>
          <w:tab w:val="clear" w:pos="2629"/>
        </w:tabs>
        <w:ind w:left="0"/>
      </w:pPr>
      <w:r w:rsidRPr="007960A2">
        <w:t xml:space="preserve">The defendants have </w:t>
      </w:r>
      <w:r w:rsidR="0023146E">
        <w:t>offer</w:t>
      </w:r>
      <w:r w:rsidRPr="007960A2">
        <w:t>ed no justification.</w:t>
      </w:r>
      <w:r w:rsidR="00E641F1" w:rsidRPr="007960A2">
        <w:t xml:space="preserve"> </w:t>
      </w:r>
      <w:r w:rsidRPr="007960A2">
        <w:t xml:space="preserve">However, according to the complainant’s affidavit and the plaintiff’s </w:t>
      </w:r>
      <w:r w:rsidR="00AC19B1">
        <w:t>factum</w:t>
      </w:r>
      <w:r w:rsidRPr="007960A2">
        <w:t xml:space="preserve">, Mr. Sikder raised two elements to justify his refusal to hire: the complainant’s safety and </w:t>
      </w:r>
      <w:r w:rsidR="0023146E">
        <w:t>his customers’</w:t>
      </w:r>
      <w:r w:rsidRPr="007960A2">
        <w:t xml:space="preserve"> reaction</w:t>
      </w:r>
      <w:r w:rsidR="005C38D5">
        <w:t>s</w:t>
      </w:r>
      <w:r w:rsidRPr="007960A2">
        <w:t xml:space="preserve"> to a trans woman</w:t>
      </w:r>
      <w:r w:rsidR="005C38D5">
        <w:t xml:space="preserve"> being hired</w:t>
      </w:r>
      <w:r w:rsidRPr="007960A2">
        <w:t>.</w:t>
      </w:r>
      <w:r w:rsidRPr="007960A2">
        <w:rPr>
          <w:vertAlign w:val="superscript"/>
        </w:rPr>
        <w:footnoteReference w:id="88"/>
      </w:r>
      <w:r w:rsidR="00A60CFC" w:rsidRPr="007960A2">
        <w:t xml:space="preserve"> </w:t>
      </w:r>
      <w:r w:rsidRPr="007960A2">
        <w:t xml:space="preserve">The Tribunal must </w:t>
      </w:r>
      <w:r w:rsidR="00633E84">
        <w:t xml:space="preserve">therefore </w:t>
      </w:r>
      <w:r w:rsidRPr="007960A2">
        <w:t>consider these two grounds.</w:t>
      </w:r>
    </w:p>
    <w:p w14:paraId="263C1334" w14:textId="7EAC5637" w:rsidR="00C96B39" w:rsidRPr="007960A2" w:rsidRDefault="003651C4" w:rsidP="00601907">
      <w:pPr>
        <w:pStyle w:val="Paragraphe"/>
        <w:numPr>
          <w:ilvl w:val="0"/>
          <w:numId w:val="1"/>
        </w:numPr>
        <w:tabs>
          <w:tab w:val="clear" w:pos="2629"/>
        </w:tabs>
        <w:ind w:left="0"/>
      </w:pPr>
      <w:r w:rsidRPr="007960A2">
        <w:t>An analogy with situations where an employer refuses to hire a disabled person by claiming the person poses a danger to themselves or to others is helpful.</w:t>
      </w:r>
      <w:r w:rsidR="00E641F1" w:rsidRPr="007960A2">
        <w:t xml:space="preserve"> </w:t>
      </w:r>
      <w:r w:rsidRPr="007960A2">
        <w:t xml:space="preserve">It is not sufficient to refer to a </w:t>
      </w:r>
      <w:r w:rsidR="00F8173F">
        <w:t xml:space="preserve">simple </w:t>
      </w:r>
      <w:r w:rsidRPr="007960A2">
        <w:t>risk of danger to refuse to hire a person.</w:t>
      </w:r>
      <w:r w:rsidR="00E641F1" w:rsidRPr="007960A2">
        <w:t xml:space="preserve"> </w:t>
      </w:r>
      <w:r w:rsidRPr="007960A2">
        <w:t>The risk must be sufficiently serious or excessive to constitute undue hardship.</w:t>
      </w:r>
      <w:r w:rsidRPr="007960A2">
        <w:rPr>
          <w:vertAlign w:val="superscript"/>
        </w:rPr>
        <w:footnoteReference w:id="89"/>
      </w:r>
    </w:p>
    <w:p w14:paraId="69B9862F" w14:textId="15D02FEC" w:rsidR="00C96B39" w:rsidRPr="007960A2" w:rsidRDefault="003651C4" w:rsidP="00601907">
      <w:pPr>
        <w:pStyle w:val="Paragraphe"/>
        <w:numPr>
          <w:ilvl w:val="0"/>
          <w:numId w:val="1"/>
        </w:numPr>
        <w:tabs>
          <w:tab w:val="clear" w:pos="2629"/>
        </w:tabs>
        <w:ind w:left="0"/>
      </w:pPr>
      <w:r w:rsidRPr="007960A2">
        <w:t xml:space="preserve">First, in </w:t>
      </w:r>
      <w:r w:rsidRPr="007960A2">
        <w:rPr>
          <w:i/>
        </w:rPr>
        <w:t>Camping du Lac Morin</w:t>
      </w:r>
      <w:bookmarkStart w:id="18" w:name="_Ref168401459"/>
      <w:r w:rsidRPr="007960A2">
        <w:rPr>
          <w:vertAlign w:val="superscript"/>
        </w:rPr>
        <w:footnoteReference w:id="90"/>
      </w:r>
      <w:bookmarkEnd w:id="18"/>
      <w:r w:rsidR="00A80363">
        <w:t>,</w:t>
      </w:r>
      <w:r w:rsidRPr="007960A2">
        <w:t xml:space="preserve"> the defendant dismissed the complainant because it was afraid that she would injure herself while working </w:t>
      </w:r>
      <w:r w:rsidR="00E275B5">
        <w:t>at</w:t>
      </w:r>
      <w:r w:rsidRPr="007960A2">
        <w:t xml:space="preserve"> reception </w:t>
      </w:r>
      <w:r w:rsidR="00E275B5">
        <w:t xml:space="preserve">using </w:t>
      </w:r>
      <w:r w:rsidRPr="007960A2">
        <w:t>her crutches.</w:t>
      </w:r>
      <w:r w:rsidR="00E641F1" w:rsidRPr="007960A2">
        <w:t xml:space="preserve"> </w:t>
      </w:r>
      <w:r w:rsidRPr="007960A2">
        <w:t xml:space="preserve">The Tribunal rejected this justification because the risk was not </w:t>
      </w:r>
      <w:r w:rsidR="00E275B5">
        <w:t xml:space="preserve">sufficiently </w:t>
      </w:r>
      <w:r w:rsidRPr="007960A2">
        <w:t>serious to constitute undue hardship.</w:t>
      </w:r>
      <w:r w:rsidRPr="007960A2">
        <w:rPr>
          <w:vertAlign w:val="superscript"/>
        </w:rPr>
        <w:footnoteReference w:id="91"/>
      </w:r>
      <w:r w:rsidR="00E641F1" w:rsidRPr="007960A2">
        <w:t xml:space="preserve"> </w:t>
      </w:r>
      <w:r w:rsidRPr="007960A2">
        <w:t>The defendant’s fear was not based on objective evidence because the plaintiff had never fallen.</w:t>
      </w:r>
    </w:p>
    <w:p w14:paraId="0D5DA02E" w14:textId="39328AA1" w:rsidR="00C96B39" w:rsidRPr="007960A2" w:rsidRDefault="003651C4" w:rsidP="00601907">
      <w:pPr>
        <w:pStyle w:val="Paragraphe"/>
        <w:numPr>
          <w:ilvl w:val="0"/>
          <w:numId w:val="1"/>
        </w:numPr>
        <w:tabs>
          <w:tab w:val="clear" w:pos="2629"/>
        </w:tabs>
        <w:ind w:left="0"/>
      </w:pPr>
      <w:r w:rsidRPr="007960A2">
        <w:t xml:space="preserve">In </w:t>
      </w:r>
      <w:r w:rsidRPr="007960A2">
        <w:rPr>
          <w:i/>
        </w:rPr>
        <w:t>Samson-Thibault</w:t>
      </w:r>
      <w:r w:rsidRPr="007960A2">
        <w:rPr>
          <w:vertAlign w:val="superscript"/>
        </w:rPr>
        <w:footnoteReference w:id="92"/>
      </w:r>
      <w:r w:rsidR="004372E2">
        <w:t>,</w:t>
      </w:r>
      <w:r w:rsidRPr="007960A2">
        <w:t xml:space="preserve"> the defendant refused to hire the complainant as a firefighter </w:t>
      </w:r>
      <w:r w:rsidR="00E275B5">
        <w:t xml:space="preserve">due to his </w:t>
      </w:r>
      <w:r w:rsidRPr="007960A2">
        <w:t>colour blind</w:t>
      </w:r>
      <w:r w:rsidR="00E275B5">
        <w:t>ness</w:t>
      </w:r>
      <w:r w:rsidRPr="007960A2">
        <w:t xml:space="preserve"> </w:t>
      </w:r>
      <w:r w:rsidR="00E275B5">
        <w:t xml:space="preserve">because </w:t>
      </w:r>
      <w:r w:rsidRPr="007960A2">
        <w:t>it feared for the safety of its employees and the public.</w:t>
      </w:r>
      <w:r w:rsidRPr="007960A2">
        <w:rPr>
          <w:vertAlign w:val="superscript"/>
        </w:rPr>
        <w:footnoteReference w:id="93"/>
      </w:r>
      <w:r w:rsidR="00E641F1" w:rsidRPr="007960A2">
        <w:t xml:space="preserve"> </w:t>
      </w:r>
      <w:r w:rsidRPr="007960A2">
        <w:t xml:space="preserve">The Tribunal rejected this justification because the risk raised was not sufficiently </w:t>
      </w:r>
      <w:r w:rsidRPr="007960A2">
        <w:lastRenderedPageBreak/>
        <w:t>serious or excessive to constitute undue hardship.</w:t>
      </w:r>
      <w:r w:rsidRPr="007960A2">
        <w:rPr>
          <w:vertAlign w:val="superscript"/>
        </w:rPr>
        <w:footnoteReference w:id="94"/>
      </w:r>
      <w:r w:rsidR="00E641F1" w:rsidRPr="007960A2">
        <w:t xml:space="preserve"> </w:t>
      </w:r>
      <w:r w:rsidRPr="007960A2">
        <w:t xml:space="preserve">The defendant </w:t>
      </w:r>
      <w:r w:rsidR="00FD2A21">
        <w:t>had not</w:t>
      </w:r>
      <w:r w:rsidR="00FD2A21" w:rsidRPr="007960A2">
        <w:t xml:space="preserve"> </w:t>
      </w:r>
      <w:r w:rsidRPr="007960A2">
        <w:t xml:space="preserve">assessed the complainant’s ability to work as a firefighter even though he already </w:t>
      </w:r>
      <w:r w:rsidR="00202EFB">
        <w:t xml:space="preserve">held this employment </w:t>
      </w:r>
      <w:r w:rsidRPr="007960A2">
        <w:t xml:space="preserve">in another municipality and had offered credible and logical explanations </w:t>
      </w:r>
      <w:r w:rsidR="00D652EB">
        <w:t xml:space="preserve">to palliate </w:t>
      </w:r>
      <w:r w:rsidRPr="007960A2">
        <w:t xml:space="preserve">his </w:t>
      </w:r>
      <w:r w:rsidR="00E4337F">
        <w:t>handicap</w:t>
      </w:r>
      <w:r w:rsidRPr="007960A2">
        <w:t>.</w:t>
      </w:r>
    </w:p>
    <w:p w14:paraId="5BD6B5CA" w14:textId="6BA2E663" w:rsidR="00C96B39" w:rsidRPr="007960A2" w:rsidRDefault="003651C4" w:rsidP="00601907">
      <w:pPr>
        <w:pStyle w:val="Paragraphe"/>
        <w:numPr>
          <w:ilvl w:val="0"/>
          <w:numId w:val="1"/>
        </w:numPr>
        <w:tabs>
          <w:tab w:val="clear" w:pos="2629"/>
        </w:tabs>
        <w:ind w:left="0"/>
      </w:pPr>
      <w:r w:rsidRPr="007960A2">
        <w:t xml:space="preserve">In both cases, the defendants claimed that the prohibited ground of discrimination was the serious risk of danger </w:t>
      </w:r>
      <w:r w:rsidR="00E275B5">
        <w:t>t</w:t>
      </w:r>
      <w:r w:rsidRPr="007960A2">
        <w:t xml:space="preserve">o the complainant, </w:t>
      </w:r>
      <w:r w:rsidR="00E275B5">
        <w:t xml:space="preserve">the complainant’s </w:t>
      </w:r>
      <w:r w:rsidRPr="007960A2">
        <w:t>colleagues, or the public.</w:t>
      </w:r>
      <w:r w:rsidR="00E641F1" w:rsidRPr="007960A2">
        <w:t xml:space="preserve"> </w:t>
      </w:r>
      <w:r w:rsidRPr="007960A2">
        <w:t>A simple risk, however, is insufficient.</w:t>
      </w:r>
    </w:p>
    <w:p w14:paraId="5708DF3F" w14:textId="2CB3C21F" w:rsidR="00C96B39" w:rsidRPr="007960A2" w:rsidRDefault="003651C4" w:rsidP="00601907">
      <w:pPr>
        <w:pStyle w:val="Paragraphe"/>
        <w:numPr>
          <w:ilvl w:val="0"/>
          <w:numId w:val="1"/>
        </w:numPr>
        <w:tabs>
          <w:tab w:val="clear" w:pos="2629"/>
        </w:tabs>
        <w:ind w:left="0"/>
      </w:pPr>
      <w:r w:rsidRPr="007960A2">
        <w:t xml:space="preserve">In this case, according to E.B.’s written testimony, Mr. Sikder told her that he refused to hire her because </w:t>
      </w:r>
      <w:r w:rsidR="00E275B5">
        <w:t>she would be at</w:t>
      </w:r>
      <w:r w:rsidRPr="007960A2">
        <w:t xml:space="preserve"> risk of violence by </w:t>
      </w:r>
      <w:r w:rsidR="00E275B5">
        <w:t xml:space="preserve">customers </w:t>
      </w:r>
      <w:r w:rsidRPr="007960A2">
        <w:t>if they discovered that she was a trans woman.</w:t>
      </w:r>
    </w:p>
    <w:p w14:paraId="0A695E10" w14:textId="0BC50930" w:rsidR="00C96B39" w:rsidRPr="007960A2" w:rsidRDefault="003651C4" w:rsidP="00601907">
      <w:pPr>
        <w:pStyle w:val="Paragraphe"/>
        <w:numPr>
          <w:ilvl w:val="0"/>
          <w:numId w:val="1"/>
        </w:numPr>
        <w:tabs>
          <w:tab w:val="clear" w:pos="2629"/>
        </w:tabs>
        <w:ind w:left="0"/>
      </w:pPr>
      <w:r w:rsidRPr="007960A2">
        <w:t>In the absence of evidence adduced by the defendants, these fears are merely allegations or speculation.</w:t>
      </w:r>
      <w:r w:rsidR="00E641F1" w:rsidRPr="007960A2">
        <w:t xml:space="preserve"> </w:t>
      </w:r>
      <w:r w:rsidRPr="007960A2">
        <w:t xml:space="preserve">It has not been </w:t>
      </w:r>
      <w:r w:rsidR="00222452">
        <w:t>establish</w:t>
      </w:r>
      <w:r w:rsidRPr="007960A2">
        <w:t>ed that there is a serious or excessive risk.</w:t>
      </w:r>
    </w:p>
    <w:p w14:paraId="074A4E0E" w14:textId="6C924106" w:rsidR="00C96B39" w:rsidRPr="007960A2" w:rsidRDefault="00216F25" w:rsidP="00601907">
      <w:pPr>
        <w:pStyle w:val="Paragraphe"/>
        <w:numPr>
          <w:ilvl w:val="0"/>
          <w:numId w:val="1"/>
        </w:numPr>
        <w:tabs>
          <w:tab w:val="clear" w:pos="2629"/>
        </w:tabs>
        <w:ind w:left="0"/>
      </w:pPr>
      <w:r w:rsidRPr="007960A2">
        <w:t>Like</w:t>
      </w:r>
      <w:r w:rsidR="003651C4" w:rsidRPr="007960A2">
        <w:t xml:space="preserve"> in </w:t>
      </w:r>
      <w:r w:rsidR="003651C4" w:rsidRPr="007960A2">
        <w:rPr>
          <w:i/>
        </w:rPr>
        <w:t>Camping du Lac Morin</w:t>
      </w:r>
      <w:r w:rsidR="003651C4" w:rsidRPr="007960A2">
        <w:rPr>
          <w:rStyle w:val="Appelnotedebasdep"/>
        </w:rPr>
        <w:footnoteReference w:id="95"/>
      </w:r>
      <w:r w:rsidR="00092A2B">
        <w:t>,</w:t>
      </w:r>
      <w:r w:rsidR="003651C4" w:rsidRPr="007960A2">
        <w:t xml:space="preserve"> th</w:t>
      </w:r>
      <w:r w:rsidR="00222452">
        <w:t>is</w:t>
      </w:r>
      <w:r w:rsidR="003651C4" w:rsidRPr="007960A2">
        <w:t xml:space="preserve"> fear </w:t>
      </w:r>
      <w:r w:rsidR="00222452">
        <w:t>is</w:t>
      </w:r>
      <w:r w:rsidR="003651C4" w:rsidRPr="007960A2">
        <w:t xml:space="preserve"> unfounded even though trans women </w:t>
      </w:r>
      <w:r w:rsidR="0077119F">
        <w:t xml:space="preserve">may be </w:t>
      </w:r>
      <w:r w:rsidR="00222452">
        <w:t xml:space="preserve">likely to </w:t>
      </w:r>
      <w:r w:rsidR="003651C4" w:rsidRPr="007960A2">
        <w:t>experience violence.</w:t>
      </w:r>
    </w:p>
    <w:p w14:paraId="48A11214" w14:textId="6B0A1CB1" w:rsidR="00C96B39" w:rsidRPr="007960A2" w:rsidRDefault="003651C4" w:rsidP="00601907">
      <w:pPr>
        <w:pStyle w:val="Paragraphe"/>
        <w:numPr>
          <w:ilvl w:val="0"/>
          <w:numId w:val="1"/>
        </w:numPr>
        <w:tabs>
          <w:tab w:val="clear" w:pos="2629"/>
        </w:tabs>
        <w:ind w:left="0"/>
      </w:pPr>
      <w:r w:rsidRPr="007960A2">
        <w:t xml:space="preserve">It </w:t>
      </w:r>
      <w:r w:rsidR="00216F25" w:rsidRPr="007960A2">
        <w:t>should</w:t>
      </w:r>
      <w:r w:rsidRPr="007960A2">
        <w:t xml:space="preserve"> also </w:t>
      </w:r>
      <w:r w:rsidR="00216F25" w:rsidRPr="007960A2">
        <w:t xml:space="preserve">be </w:t>
      </w:r>
      <w:r w:rsidRPr="007960A2">
        <w:t>recall</w:t>
      </w:r>
      <w:r w:rsidR="00216F25" w:rsidRPr="007960A2">
        <w:t>ed</w:t>
      </w:r>
      <w:r w:rsidRPr="007960A2">
        <w:t xml:space="preserve"> that employer</w:t>
      </w:r>
      <w:r w:rsidR="00216F25" w:rsidRPr="007960A2">
        <w:t>s</w:t>
      </w:r>
      <w:r w:rsidRPr="007960A2">
        <w:t xml:space="preserve"> ha</w:t>
      </w:r>
      <w:r w:rsidR="00216F25" w:rsidRPr="007960A2">
        <w:t>ve</w:t>
      </w:r>
      <w:r w:rsidRPr="007960A2">
        <w:t xml:space="preserve"> an obligation to protect the safety of </w:t>
      </w:r>
      <w:r w:rsidR="00216F25" w:rsidRPr="007960A2">
        <w:t>their</w:t>
      </w:r>
      <w:r w:rsidRPr="007960A2">
        <w:t xml:space="preserve"> employees, </w:t>
      </w:r>
      <w:r w:rsidR="00B871B3">
        <w:t>particularly</w:t>
      </w:r>
      <w:r w:rsidRPr="007960A2">
        <w:t xml:space="preserve"> under the </w:t>
      </w:r>
      <w:r w:rsidRPr="007960A2">
        <w:rPr>
          <w:i/>
        </w:rPr>
        <w:t>Act respecting occupational health and safety</w:t>
      </w:r>
      <w:r w:rsidRPr="007960A2">
        <w:t>.</w:t>
      </w:r>
      <w:r w:rsidRPr="007960A2">
        <w:rPr>
          <w:vertAlign w:val="superscript"/>
        </w:rPr>
        <w:footnoteReference w:id="96"/>
      </w:r>
      <w:r w:rsidR="00E641F1" w:rsidRPr="007960A2">
        <w:t xml:space="preserve"> </w:t>
      </w:r>
      <w:r w:rsidR="00216F25" w:rsidRPr="007960A2">
        <w:t>Employers must see that their establishments are so equipped and laid out as to protect workers.</w:t>
      </w:r>
      <w:r w:rsidR="00216F25" w:rsidRPr="007960A2">
        <w:rPr>
          <w:vertAlign w:val="superscript"/>
        </w:rPr>
        <w:footnoteReference w:id="97"/>
      </w:r>
      <w:r w:rsidR="00E641F1" w:rsidRPr="007960A2">
        <w:t xml:space="preserve"> </w:t>
      </w:r>
      <w:r w:rsidR="00216F25" w:rsidRPr="007960A2">
        <w:t>They must also “take the measures to ensure the protection of a worker exposed to physical or psychological violence, including spousal, family or sexual violence, in the workplace”.</w:t>
      </w:r>
      <w:r w:rsidR="00216F25" w:rsidRPr="007960A2">
        <w:rPr>
          <w:vertAlign w:val="superscript"/>
        </w:rPr>
        <w:footnoteReference w:id="98"/>
      </w:r>
    </w:p>
    <w:p w14:paraId="663F5C6F" w14:textId="35861CB8" w:rsidR="00C96B39" w:rsidRPr="007960A2" w:rsidRDefault="00216F25" w:rsidP="00601907">
      <w:pPr>
        <w:pStyle w:val="Paragraphe"/>
        <w:numPr>
          <w:ilvl w:val="0"/>
          <w:numId w:val="1"/>
        </w:numPr>
        <w:tabs>
          <w:tab w:val="clear" w:pos="2629"/>
        </w:tabs>
        <w:ind w:left="0"/>
      </w:pPr>
      <w:r w:rsidRPr="007960A2">
        <w:t xml:space="preserve">The employer’s obligation under section 51 </w:t>
      </w:r>
      <w:r w:rsidRPr="00171181">
        <w:rPr>
          <w:i/>
          <w:iCs/>
        </w:rPr>
        <w:t>AOHS</w:t>
      </w:r>
      <w:r w:rsidRPr="007960A2">
        <w:t xml:space="preserve"> was analyzed in </w:t>
      </w:r>
      <w:r w:rsidRPr="007960A2">
        <w:rPr>
          <w:i/>
        </w:rPr>
        <w:t>Domtar inc.</w:t>
      </w:r>
      <w:r w:rsidRPr="007960A2">
        <w:t>,</w:t>
      </w:r>
      <w:bookmarkStart w:id="19" w:name="_Ref163038478"/>
      <w:r w:rsidRPr="007960A2">
        <w:rPr>
          <w:vertAlign w:val="superscript"/>
        </w:rPr>
        <w:footnoteReference w:id="99"/>
      </w:r>
      <w:bookmarkEnd w:id="19"/>
      <w:r w:rsidRPr="007960A2">
        <w:t xml:space="preserve"> cited many times since.</w:t>
      </w:r>
      <w:bookmarkStart w:id="20" w:name="_Ref168401699"/>
      <w:r w:rsidRPr="007960A2">
        <w:rPr>
          <w:vertAlign w:val="superscript"/>
        </w:rPr>
        <w:footnoteReference w:id="100"/>
      </w:r>
      <w:bookmarkEnd w:id="20"/>
      <w:r w:rsidR="00E641F1" w:rsidRPr="007960A2">
        <w:t xml:space="preserve"> </w:t>
      </w:r>
      <w:r w:rsidRPr="007960A2">
        <w:t>The Court of Appe</w:t>
      </w:r>
      <w:r w:rsidR="00171181">
        <w:t>a</w:t>
      </w:r>
      <w:r w:rsidRPr="007960A2">
        <w:t xml:space="preserve">l noted that the </w:t>
      </w:r>
      <w:r w:rsidRPr="007960A2">
        <w:rPr>
          <w:i/>
        </w:rPr>
        <w:t>AOHS</w:t>
      </w:r>
      <w:r w:rsidRPr="007960A2">
        <w:t xml:space="preserve"> is </w:t>
      </w:r>
      <w:r w:rsidR="00171181">
        <w:t xml:space="preserve">a </w:t>
      </w:r>
      <w:r w:rsidRPr="007960A2">
        <w:t>social l</w:t>
      </w:r>
      <w:r w:rsidR="00171181">
        <w:t xml:space="preserve">aw </w:t>
      </w:r>
      <w:r w:rsidRPr="007960A2">
        <w:t xml:space="preserve">of </w:t>
      </w:r>
      <w:r w:rsidRPr="007960A2">
        <w:lastRenderedPageBreak/>
        <w:t>public order that must be broadly interpreted.</w:t>
      </w:r>
      <w:r w:rsidRPr="007960A2">
        <w:rPr>
          <w:vertAlign w:val="superscript"/>
        </w:rPr>
        <w:footnoteReference w:id="101"/>
      </w:r>
      <w:r w:rsidR="00E641F1" w:rsidRPr="007960A2">
        <w:t xml:space="preserve"> </w:t>
      </w:r>
      <w:r w:rsidRPr="007960A2">
        <w:t xml:space="preserve">The protections set out in section 51 are not exhaustive and the employer must take all </w:t>
      </w:r>
      <w:r w:rsidRPr="007960A2">
        <w:rPr>
          <w:rFonts w:cs="Arial"/>
        </w:rPr>
        <w:t>[</w:t>
      </w:r>
      <w:r w:rsidRPr="007960A2">
        <w:rPr>
          <w:rFonts w:cs="Arial"/>
          <w:smallCaps/>
        </w:rPr>
        <w:t>translation</w:t>
      </w:r>
      <w:r w:rsidRPr="007960A2">
        <w:rPr>
          <w:rFonts w:cs="Arial"/>
        </w:rPr>
        <w:t>]</w:t>
      </w:r>
      <w:r w:rsidRPr="007960A2">
        <w:t xml:space="preserve"> “measures “humanly logical and reasonable” to protect the health, safety, and physical integrity of workers”.</w:t>
      </w:r>
      <w:r w:rsidRPr="007960A2">
        <w:rPr>
          <w:vertAlign w:val="superscript"/>
        </w:rPr>
        <w:footnoteReference w:id="102"/>
      </w:r>
      <w:r w:rsidR="00E641F1" w:rsidRPr="007960A2">
        <w:t xml:space="preserve"> </w:t>
      </w:r>
      <w:r w:rsidRPr="007960A2">
        <w:t xml:space="preserve">Indeed, the employer’s responsibility to protect health and safety </w:t>
      </w:r>
      <w:r w:rsidR="00461BA0" w:rsidRPr="007960A2">
        <w:rPr>
          <w:rFonts w:cs="Arial"/>
        </w:rPr>
        <w:t>[</w:t>
      </w:r>
      <w:r w:rsidR="00461BA0" w:rsidRPr="007960A2">
        <w:rPr>
          <w:rFonts w:cs="Arial"/>
          <w:smallCaps/>
        </w:rPr>
        <w:t>translation</w:t>
      </w:r>
      <w:r w:rsidR="00461BA0" w:rsidRPr="007960A2">
        <w:rPr>
          <w:rFonts w:cs="Arial"/>
        </w:rPr>
        <w:t>]</w:t>
      </w:r>
      <w:r w:rsidR="00461BA0" w:rsidRPr="007960A2">
        <w:t xml:space="preserve"> </w:t>
      </w:r>
      <w:r w:rsidRPr="007960A2">
        <w:t xml:space="preserve">“requires that all the necessary measures </w:t>
      </w:r>
      <w:r w:rsidR="005441B2">
        <w:t>be</w:t>
      </w:r>
      <w:r w:rsidR="005441B2" w:rsidRPr="007960A2">
        <w:t xml:space="preserve"> </w:t>
      </w:r>
      <w:r w:rsidRPr="007960A2">
        <w:t>taken to achieve this objective, that the employer cannot merely do no harm and must instead actively seek and eliminate the sources of danger”.</w:t>
      </w:r>
      <w:r w:rsidRPr="007960A2">
        <w:rPr>
          <w:vertAlign w:val="superscript"/>
        </w:rPr>
        <w:footnoteReference w:id="103"/>
      </w:r>
    </w:p>
    <w:p w14:paraId="27C9FFFE" w14:textId="52AC2663" w:rsidR="00C96B39" w:rsidRPr="007960A2" w:rsidRDefault="00216F25" w:rsidP="00601907">
      <w:pPr>
        <w:pStyle w:val="Paragraphe"/>
        <w:numPr>
          <w:ilvl w:val="0"/>
          <w:numId w:val="1"/>
        </w:numPr>
        <w:tabs>
          <w:tab w:val="clear" w:pos="2629"/>
        </w:tabs>
        <w:ind w:left="0"/>
      </w:pPr>
      <w:r w:rsidRPr="007960A2">
        <w:t xml:space="preserve">In this case, the defendants had an obligation to protect the safety of all their employees, particularly with regard to their </w:t>
      </w:r>
      <w:r w:rsidR="00E84211" w:rsidRPr="007960A2">
        <w:rPr>
          <w:rFonts w:cs="Arial"/>
        </w:rPr>
        <w:t>[</w:t>
      </w:r>
      <w:r w:rsidR="00E84211" w:rsidRPr="007960A2">
        <w:rPr>
          <w:rFonts w:cs="Arial"/>
          <w:smallCaps/>
        </w:rPr>
        <w:t>translation</w:t>
      </w:r>
      <w:r w:rsidR="00E84211" w:rsidRPr="007960A2">
        <w:rPr>
          <w:rFonts w:cs="Arial"/>
        </w:rPr>
        <w:t>]</w:t>
      </w:r>
      <w:r w:rsidR="00E84211" w:rsidRPr="007960A2">
        <w:t xml:space="preserve"> </w:t>
      </w:r>
      <w:r w:rsidRPr="007960A2">
        <w:t>“old</w:t>
      </w:r>
      <w:r w:rsidR="00684949">
        <w:t xml:space="preserve"> </w:t>
      </w:r>
      <w:r w:rsidRPr="007960A2">
        <w:t xml:space="preserve">school” </w:t>
      </w:r>
      <w:r w:rsidR="00E84211">
        <w:t>customers</w:t>
      </w:r>
      <w:r w:rsidRPr="007960A2">
        <w:t>.</w:t>
      </w:r>
      <w:r w:rsidRPr="007960A2">
        <w:rPr>
          <w:vertAlign w:val="superscript"/>
        </w:rPr>
        <w:footnoteReference w:id="104"/>
      </w:r>
      <w:r w:rsidR="00E641F1" w:rsidRPr="007960A2">
        <w:t xml:space="preserve"> </w:t>
      </w:r>
      <w:r w:rsidRPr="007960A2">
        <w:t>The risk of violence to</w:t>
      </w:r>
      <w:r w:rsidR="00E84211">
        <w:t>ward</w:t>
      </w:r>
      <w:r w:rsidRPr="007960A2">
        <w:t xml:space="preserve"> the complainant, if </w:t>
      </w:r>
      <w:r w:rsidR="00E84211">
        <w:t xml:space="preserve">this </w:t>
      </w:r>
      <w:r w:rsidRPr="007960A2">
        <w:t>risk</w:t>
      </w:r>
      <w:r w:rsidR="00E84211">
        <w:t xml:space="preserve"> actually existed</w:t>
      </w:r>
      <w:r w:rsidRPr="007960A2">
        <w:t xml:space="preserve">, </w:t>
      </w:r>
      <w:r w:rsidR="00E84211">
        <w:t xml:space="preserve">does </w:t>
      </w:r>
      <w:r w:rsidRPr="007960A2">
        <w:t>not relieve them of their obligation to protect the safety of their employees at the workplace.</w:t>
      </w:r>
    </w:p>
    <w:p w14:paraId="0B6E7BCF" w14:textId="6AD06170" w:rsidR="00BA4C2D" w:rsidRPr="007960A2" w:rsidRDefault="00216F25" w:rsidP="00601907">
      <w:pPr>
        <w:pStyle w:val="Paragraphe"/>
        <w:numPr>
          <w:ilvl w:val="0"/>
          <w:numId w:val="1"/>
        </w:numPr>
        <w:tabs>
          <w:tab w:val="clear" w:pos="2629"/>
        </w:tabs>
        <w:ind w:left="0"/>
      </w:pPr>
      <w:r w:rsidRPr="007960A2">
        <w:t xml:space="preserve">The Tribunal also </w:t>
      </w:r>
      <w:r w:rsidR="00154AFC">
        <w:t>considers</w:t>
      </w:r>
      <w:r w:rsidRPr="007960A2">
        <w:t xml:space="preserve"> it relevant to </w:t>
      </w:r>
      <w:r w:rsidR="00154AFC">
        <w:t xml:space="preserve">address </w:t>
      </w:r>
      <w:r w:rsidRPr="007960A2">
        <w:t>the justifications raised about the defendant</w:t>
      </w:r>
      <w:r w:rsidR="00154AFC">
        <w:t>’</w:t>
      </w:r>
      <w:r w:rsidRPr="007960A2">
        <w:t xml:space="preserve">s </w:t>
      </w:r>
      <w:r w:rsidR="00154AFC">
        <w:t>customers</w:t>
      </w:r>
      <w:r w:rsidRPr="007960A2">
        <w:t>.</w:t>
      </w:r>
      <w:r w:rsidR="00E641F1" w:rsidRPr="007960A2">
        <w:t xml:space="preserve"> </w:t>
      </w:r>
      <w:r w:rsidRPr="007960A2">
        <w:t xml:space="preserve">At one time in the past, fortunately </w:t>
      </w:r>
      <w:r w:rsidR="00872E1B" w:rsidRPr="007960A2">
        <w:t>by</w:t>
      </w:r>
      <w:r w:rsidRPr="007960A2">
        <w:t>gone, economic justifications for discrimination were judged acceptable.</w:t>
      </w:r>
      <w:r w:rsidR="00E641F1" w:rsidRPr="007960A2">
        <w:t xml:space="preserve"> </w:t>
      </w:r>
      <w:r w:rsidRPr="007960A2">
        <w:t xml:space="preserve">In 1940, in </w:t>
      </w:r>
      <w:r w:rsidRPr="007960A2">
        <w:rPr>
          <w:i/>
        </w:rPr>
        <w:t>Christie v. The York Corporation</w:t>
      </w:r>
      <w:r w:rsidRPr="007960A2">
        <w:rPr>
          <w:vertAlign w:val="superscript"/>
        </w:rPr>
        <w:footnoteReference w:id="105"/>
      </w:r>
      <w:r w:rsidR="003E7DB5">
        <w:t>,</w:t>
      </w:r>
      <w:r w:rsidRPr="007960A2">
        <w:t xml:space="preserve"> the Supreme Court held</w:t>
      </w:r>
      <w:r w:rsidR="005441B2">
        <w:t xml:space="preserve"> that</w:t>
      </w:r>
      <w:r w:rsidRPr="007960A2">
        <w:t xml:space="preserve"> freedom of commerce prevailed over human rights and freedoms.</w:t>
      </w:r>
      <w:r w:rsidR="00E641F1" w:rsidRPr="007960A2">
        <w:t xml:space="preserve"> </w:t>
      </w:r>
      <w:r w:rsidRPr="007960A2">
        <w:t>That case involved a tavern that refused to serve a Black man because of the colour of his skin.</w:t>
      </w:r>
      <w:r w:rsidR="00E641F1" w:rsidRPr="007960A2">
        <w:t xml:space="preserve"> </w:t>
      </w:r>
      <w:r w:rsidR="00353BE3" w:rsidRPr="007960A2">
        <w:t>The Supreme Court concluded that freedom of commerce allowed customers to be refused, even on discriminatory grounds.</w:t>
      </w:r>
      <w:r w:rsidR="00353BE3" w:rsidRPr="007960A2">
        <w:rPr>
          <w:vertAlign w:val="superscript"/>
        </w:rPr>
        <w:footnoteReference w:id="106"/>
      </w:r>
    </w:p>
    <w:p w14:paraId="28906115" w14:textId="7F70B5FA" w:rsidR="002F594E" w:rsidRPr="007960A2" w:rsidRDefault="00353BE3" w:rsidP="00601907">
      <w:pPr>
        <w:pStyle w:val="Paragraphe"/>
        <w:numPr>
          <w:ilvl w:val="0"/>
          <w:numId w:val="1"/>
        </w:numPr>
        <w:tabs>
          <w:tab w:val="clear" w:pos="2629"/>
        </w:tabs>
        <w:ind w:left="0"/>
      </w:pPr>
      <w:r w:rsidRPr="007960A2">
        <w:t xml:space="preserve">This justification was rejected in 1992 in </w:t>
      </w:r>
      <w:r w:rsidRPr="007960A2">
        <w:rPr>
          <w:i/>
        </w:rPr>
        <w:t>Zurich Insurance Co. v. Ontario (Human Rights Commission)</w:t>
      </w:r>
      <w:r w:rsidRPr="007960A2">
        <w:t>.</w:t>
      </w:r>
      <w:r w:rsidRPr="007960A2">
        <w:rPr>
          <w:vertAlign w:val="superscript"/>
        </w:rPr>
        <w:footnoteReference w:id="107"/>
      </w:r>
      <w:r w:rsidR="00E641F1" w:rsidRPr="007960A2">
        <w:t xml:space="preserve"> </w:t>
      </w:r>
      <w:r w:rsidRPr="007960A2">
        <w:t>The Supreme Court determined that “</w:t>
      </w:r>
      <w:r w:rsidR="00EE432A">
        <w:rPr>
          <w:rFonts w:cs="Arial"/>
        </w:rPr>
        <w:t>[</w:t>
      </w:r>
      <w:r w:rsidRPr="007960A2">
        <w:t>h</w:t>
      </w:r>
      <w:r w:rsidR="00EE432A">
        <w:rPr>
          <w:rFonts w:cs="Arial"/>
        </w:rPr>
        <w:t>]</w:t>
      </w:r>
      <w:r w:rsidRPr="007960A2">
        <w:t>uman rights values cannot be over-ridden by business expediency alone”.</w:t>
      </w:r>
      <w:r w:rsidRPr="007960A2">
        <w:rPr>
          <w:vertAlign w:val="superscript"/>
        </w:rPr>
        <w:footnoteReference w:id="108"/>
      </w:r>
    </w:p>
    <w:p w14:paraId="45E934E6" w14:textId="5FBB12EC" w:rsidR="00C96B39" w:rsidRPr="007960A2" w:rsidRDefault="00353BE3" w:rsidP="00601907">
      <w:pPr>
        <w:pStyle w:val="Paragraphe"/>
        <w:numPr>
          <w:ilvl w:val="0"/>
          <w:numId w:val="1"/>
        </w:numPr>
        <w:tabs>
          <w:tab w:val="clear" w:pos="2629"/>
        </w:tabs>
        <w:ind w:left="0"/>
      </w:pPr>
      <w:r w:rsidRPr="007960A2">
        <w:t xml:space="preserve">The Tribunal </w:t>
      </w:r>
      <w:r w:rsidR="00DA48A7">
        <w:t xml:space="preserve">subsequently </w:t>
      </w:r>
      <w:r w:rsidRPr="007960A2">
        <w:t>reiterated that a discriminatory act based on colour cannot be justified on monetary or economic grounds.</w:t>
      </w:r>
      <w:bookmarkStart w:id="21" w:name="_Ref163038920"/>
      <w:r w:rsidRPr="007960A2">
        <w:rPr>
          <w:vertAlign w:val="superscript"/>
        </w:rPr>
        <w:footnoteReference w:id="109"/>
      </w:r>
      <w:bookmarkEnd w:id="21"/>
    </w:p>
    <w:p w14:paraId="1E9F4654" w14:textId="1171160E" w:rsidR="00C96B39" w:rsidRPr="007960A2" w:rsidRDefault="00353BE3" w:rsidP="00601907">
      <w:pPr>
        <w:pStyle w:val="Paragraphe"/>
        <w:numPr>
          <w:ilvl w:val="0"/>
          <w:numId w:val="1"/>
        </w:numPr>
        <w:tabs>
          <w:tab w:val="clear" w:pos="2629"/>
        </w:tabs>
        <w:ind w:left="0"/>
      </w:pPr>
      <w:r w:rsidRPr="007960A2">
        <w:lastRenderedPageBreak/>
        <w:t xml:space="preserve">More specifically, discrimination cannot be justified based on </w:t>
      </w:r>
      <w:r w:rsidR="00430851">
        <w:t xml:space="preserve">customers’ </w:t>
      </w:r>
      <w:r w:rsidRPr="007960A2">
        <w:t>preferences.</w:t>
      </w:r>
      <w:r w:rsidR="00E641F1" w:rsidRPr="007960A2">
        <w:t xml:space="preserve"> </w:t>
      </w:r>
      <w:r w:rsidRPr="007960A2">
        <w:t xml:space="preserve">In </w:t>
      </w:r>
      <w:r w:rsidRPr="007960A2">
        <w:rPr>
          <w:i/>
        </w:rPr>
        <w:t>Jeudy</w:t>
      </w:r>
      <w:r w:rsidRPr="007960A2">
        <w:rPr>
          <w:vertAlign w:val="superscript"/>
        </w:rPr>
        <w:footnoteReference w:id="110"/>
      </w:r>
      <w:r w:rsidR="001130A5">
        <w:t>,</w:t>
      </w:r>
      <w:r w:rsidRPr="007960A2">
        <w:t xml:space="preserve"> the defendant refused to hire the complainant because of the colour of his skin.</w:t>
      </w:r>
      <w:r w:rsidR="00E641F1" w:rsidRPr="007960A2">
        <w:t xml:space="preserve"> </w:t>
      </w:r>
      <w:r w:rsidRPr="007960A2">
        <w:t xml:space="preserve">The defendant tried to justify its discriminatory refusal by alleging that it would lose </w:t>
      </w:r>
      <w:r w:rsidR="00AD6C06">
        <w:t>its customers</w:t>
      </w:r>
      <w:r w:rsidRPr="007960A2">
        <w:t>.</w:t>
      </w:r>
      <w:r w:rsidRPr="007960A2">
        <w:rPr>
          <w:vertAlign w:val="superscript"/>
        </w:rPr>
        <w:footnoteReference w:id="111"/>
      </w:r>
      <w:r w:rsidR="00E641F1" w:rsidRPr="007960A2">
        <w:t xml:space="preserve"> </w:t>
      </w:r>
      <w:r w:rsidRPr="007960A2">
        <w:t xml:space="preserve">The Tribunal stated that </w:t>
      </w:r>
      <w:r w:rsidRPr="007960A2">
        <w:rPr>
          <w:rFonts w:cs="Arial"/>
        </w:rPr>
        <w:t>[</w:t>
      </w:r>
      <w:r w:rsidRPr="007960A2">
        <w:rPr>
          <w:rFonts w:cs="Arial"/>
          <w:smallCaps/>
        </w:rPr>
        <w:t>translation</w:t>
      </w:r>
      <w:r w:rsidRPr="007960A2">
        <w:rPr>
          <w:rFonts w:cs="Arial"/>
        </w:rPr>
        <w:t xml:space="preserve">] </w:t>
      </w:r>
      <w:r w:rsidRPr="007960A2">
        <w:t>“the fear of losing all or part of the clientele is a monetary or economic ground that is not set out in section 20</w:t>
      </w:r>
      <w:r w:rsidR="00AD6C06">
        <w:t>, which deals</w:t>
      </w:r>
      <w:r w:rsidRPr="007960A2">
        <w:t xml:space="preserve"> with non-discriminatory distinctions based on aptitudes or </w:t>
      </w:r>
      <w:r w:rsidR="00430851">
        <w:t>qualifications</w:t>
      </w:r>
      <w:r w:rsidRPr="007960A2">
        <w:t xml:space="preserve"> required for </w:t>
      </w:r>
      <w:r w:rsidR="00430851">
        <w:t xml:space="preserve">an </w:t>
      </w:r>
      <w:r w:rsidRPr="007960A2">
        <w:t>employment”.</w:t>
      </w:r>
      <w:r w:rsidRPr="007960A2">
        <w:rPr>
          <w:vertAlign w:val="superscript"/>
        </w:rPr>
        <w:footnoteReference w:id="112"/>
      </w:r>
    </w:p>
    <w:p w14:paraId="5F59D822" w14:textId="466C9943" w:rsidR="00C96B39" w:rsidRPr="007960A2" w:rsidRDefault="00353BE3" w:rsidP="00601907">
      <w:pPr>
        <w:pStyle w:val="Paragraphe"/>
        <w:numPr>
          <w:ilvl w:val="0"/>
          <w:numId w:val="1"/>
        </w:numPr>
        <w:tabs>
          <w:tab w:val="clear" w:pos="2629"/>
        </w:tabs>
        <w:ind w:left="0"/>
      </w:pPr>
      <w:r w:rsidRPr="007960A2">
        <w:t xml:space="preserve">In </w:t>
      </w:r>
      <w:r w:rsidRPr="007960A2">
        <w:rPr>
          <w:i/>
        </w:rPr>
        <w:t>Picard</w:t>
      </w:r>
      <w:r w:rsidRPr="007960A2">
        <w:rPr>
          <w:vertAlign w:val="superscript"/>
        </w:rPr>
        <w:footnoteReference w:id="113"/>
      </w:r>
      <w:r w:rsidR="00E15689">
        <w:t>,</w:t>
      </w:r>
      <w:r w:rsidRPr="007960A2">
        <w:t xml:space="preserve"> the Tribunal rejected the idea that </w:t>
      </w:r>
      <w:r w:rsidR="00A62D8B">
        <w:t xml:space="preserve">customers’ </w:t>
      </w:r>
      <w:r w:rsidRPr="007960A2">
        <w:t xml:space="preserve">prejudices or preferences </w:t>
      </w:r>
      <w:r w:rsidR="00A62D8B">
        <w:t>can</w:t>
      </w:r>
      <w:r w:rsidRPr="007960A2">
        <w:t xml:space="preserve"> justify hiring discrimination.</w:t>
      </w:r>
      <w:r w:rsidRPr="007960A2">
        <w:rPr>
          <w:vertAlign w:val="superscript"/>
        </w:rPr>
        <w:footnoteReference w:id="114"/>
      </w:r>
      <w:r w:rsidR="00E641F1" w:rsidRPr="007960A2">
        <w:t xml:space="preserve"> </w:t>
      </w:r>
      <w:r w:rsidRPr="007960A2">
        <w:t xml:space="preserve">In that case, the complainant was not hired as a barman </w:t>
      </w:r>
      <w:r w:rsidR="00A62D8B">
        <w:t xml:space="preserve">due to </w:t>
      </w:r>
      <w:r w:rsidRPr="007960A2">
        <w:t>his sex.</w:t>
      </w:r>
      <w:r w:rsidR="00E641F1" w:rsidRPr="007960A2">
        <w:t xml:space="preserve"> </w:t>
      </w:r>
      <w:r w:rsidRPr="007960A2">
        <w:t xml:space="preserve">The defendant tried to justify its refusal to hire by claiming that its </w:t>
      </w:r>
      <w:r w:rsidR="00A62D8B">
        <w:t xml:space="preserve">customers </w:t>
      </w:r>
      <w:r w:rsidRPr="007960A2">
        <w:t>preferred women serving at the bar.</w:t>
      </w:r>
    </w:p>
    <w:p w14:paraId="14C58578" w14:textId="4D6CB60A" w:rsidR="00C96B39" w:rsidRPr="007960A2" w:rsidRDefault="00353BE3" w:rsidP="00601907">
      <w:pPr>
        <w:pStyle w:val="Paragraphe"/>
        <w:numPr>
          <w:ilvl w:val="0"/>
          <w:numId w:val="1"/>
        </w:numPr>
        <w:tabs>
          <w:tab w:val="clear" w:pos="2629"/>
        </w:tabs>
        <w:ind w:left="0"/>
      </w:pPr>
      <w:r w:rsidRPr="007960A2">
        <w:t xml:space="preserve">More recently in </w:t>
      </w:r>
      <w:r w:rsidRPr="007960A2">
        <w:rPr>
          <w:i/>
        </w:rPr>
        <w:t>Resto-bar Le Surf</w:t>
      </w:r>
      <w:r w:rsidRPr="007960A2">
        <w:rPr>
          <w:rStyle w:val="Appelnotedebasdep"/>
        </w:rPr>
        <w:footnoteReference w:id="115"/>
      </w:r>
      <w:r w:rsidR="00E15689">
        <w:t>,</w:t>
      </w:r>
      <w:r w:rsidRPr="007960A2">
        <w:t xml:space="preserve"> the Tribunal rejected the defendant’s justification based on economic grounds.</w:t>
      </w:r>
      <w:r w:rsidR="00E641F1" w:rsidRPr="007960A2">
        <w:t xml:space="preserve"> </w:t>
      </w:r>
      <w:r w:rsidRPr="007960A2">
        <w:t xml:space="preserve">The defendant refused </w:t>
      </w:r>
      <w:r w:rsidR="00A62D8B">
        <w:t xml:space="preserve">to let </w:t>
      </w:r>
      <w:r w:rsidRPr="007960A2">
        <w:t xml:space="preserve">Black people </w:t>
      </w:r>
      <w:r w:rsidR="00A62D8B">
        <w:t>in</w:t>
      </w:r>
      <w:r w:rsidRPr="007960A2">
        <w:t>to its establishment</w:t>
      </w:r>
      <w:r w:rsidR="00EB28D6">
        <w:t>,</w:t>
      </w:r>
      <w:r w:rsidRPr="007960A2">
        <w:t xml:space="preserve"> claiming that it had </w:t>
      </w:r>
      <w:r w:rsidR="00A62D8B">
        <w:t xml:space="preserve">previously </w:t>
      </w:r>
      <w:r w:rsidRPr="007960A2">
        <w:t xml:space="preserve">had problems with groups of young Black </w:t>
      </w:r>
      <w:r w:rsidR="00684949">
        <w:t>people</w:t>
      </w:r>
      <w:r w:rsidRPr="007960A2">
        <w:t xml:space="preserve"> and received complaints from its </w:t>
      </w:r>
      <w:r w:rsidR="00A62D8B">
        <w:t xml:space="preserve">customers </w:t>
      </w:r>
      <w:r w:rsidRPr="007960A2">
        <w:t>about them.</w:t>
      </w:r>
      <w:r w:rsidR="00E641F1" w:rsidRPr="007960A2">
        <w:t xml:space="preserve"> </w:t>
      </w:r>
      <w:r w:rsidRPr="007960A2">
        <w:t xml:space="preserve">The Tribunal reiterated that </w:t>
      </w:r>
      <w:r w:rsidR="00A62D8B">
        <w:t>customers</w:t>
      </w:r>
      <w:r w:rsidRPr="007960A2">
        <w:t>’ desires or preferences cannot justify discrimination.</w:t>
      </w:r>
      <w:r w:rsidRPr="007960A2">
        <w:rPr>
          <w:vertAlign w:val="superscript"/>
        </w:rPr>
        <w:footnoteReference w:id="116"/>
      </w:r>
    </w:p>
    <w:p w14:paraId="789DFC65" w14:textId="408831A4" w:rsidR="00C96B39" w:rsidRPr="007960A2" w:rsidRDefault="00353BE3" w:rsidP="00601907">
      <w:pPr>
        <w:pStyle w:val="Paragraphe"/>
        <w:numPr>
          <w:ilvl w:val="0"/>
          <w:numId w:val="1"/>
        </w:numPr>
        <w:tabs>
          <w:tab w:val="clear" w:pos="2629"/>
        </w:tabs>
        <w:ind w:left="0"/>
      </w:pPr>
      <w:r w:rsidRPr="007960A2">
        <w:t xml:space="preserve">When the Tribunal takes into consideration the justifications Mr. Sikder gave the complainant, as contained in the complainant’s written statement, two elements are raised: (1) his father said he was afraid of violent reactions by his </w:t>
      </w:r>
      <w:r w:rsidR="00684949">
        <w:t>customers</w:t>
      </w:r>
      <w:r w:rsidRPr="007960A2">
        <w:t>,</w:t>
      </w:r>
      <w:bookmarkStart w:id="22" w:name="_Ref168403272"/>
      <w:r w:rsidRPr="007960A2">
        <w:rPr>
          <w:vertAlign w:val="superscript"/>
        </w:rPr>
        <w:footnoteReference w:id="117"/>
      </w:r>
      <w:bookmarkEnd w:id="22"/>
      <w:r w:rsidRPr="007960A2">
        <w:t xml:space="preserve"> who were</w:t>
      </w:r>
      <w:r w:rsidR="00684949">
        <w:t xml:space="preserve"> rather</w:t>
      </w:r>
      <w:r w:rsidRPr="007960A2">
        <w:t xml:space="preserve"> </w:t>
      </w:r>
      <w:r w:rsidR="0095722C" w:rsidRPr="007960A2">
        <w:rPr>
          <w:rFonts w:cs="Arial"/>
        </w:rPr>
        <w:t>[</w:t>
      </w:r>
      <w:r w:rsidR="0095722C" w:rsidRPr="007960A2">
        <w:rPr>
          <w:rFonts w:cs="Arial"/>
          <w:smallCaps/>
        </w:rPr>
        <w:t>translation</w:t>
      </w:r>
      <w:r w:rsidR="0095722C" w:rsidRPr="007960A2">
        <w:rPr>
          <w:rFonts w:cs="Arial"/>
        </w:rPr>
        <w:t>]</w:t>
      </w:r>
      <w:r w:rsidR="0095722C" w:rsidRPr="007960A2">
        <w:t xml:space="preserve"> </w:t>
      </w:r>
      <w:r w:rsidRPr="007960A2">
        <w:t>“old</w:t>
      </w:r>
      <w:r w:rsidR="00684949">
        <w:t xml:space="preserve"> </w:t>
      </w:r>
      <w:r w:rsidRPr="007960A2">
        <w:t>school”</w:t>
      </w:r>
      <w:r w:rsidR="00EB28D6">
        <w:t>,</w:t>
      </w:r>
      <w:r w:rsidRPr="007960A2">
        <w:t xml:space="preserve"> and (2) he did not want to have to defend her every day.</w:t>
      </w:r>
      <w:r w:rsidRPr="007960A2">
        <w:rPr>
          <w:vertAlign w:val="superscript"/>
        </w:rPr>
        <w:footnoteReference w:id="118"/>
      </w:r>
      <w:r w:rsidR="00E641F1" w:rsidRPr="007960A2">
        <w:t xml:space="preserve"> </w:t>
      </w:r>
      <w:r w:rsidR="00684949">
        <w:t>I</w:t>
      </w:r>
      <w:r w:rsidR="00684949" w:rsidRPr="007960A2">
        <w:t xml:space="preserve">n the Tribunal’s view, </w:t>
      </w:r>
      <w:r w:rsidR="00684949">
        <w:t>t</w:t>
      </w:r>
      <w:r w:rsidRPr="007960A2">
        <w:t xml:space="preserve">hese grounds are not </w:t>
      </w:r>
      <w:r w:rsidR="00684949">
        <w:t xml:space="preserve">a </w:t>
      </w:r>
      <w:r w:rsidRPr="007960A2">
        <w:t xml:space="preserve">justification set out in section 20 of the </w:t>
      </w:r>
      <w:r w:rsidRPr="007960A2">
        <w:rPr>
          <w:i/>
        </w:rPr>
        <w:t>Charter</w:t>
      </w:r>
      <w:r w:rsidRPr="007960A2">
        <w:t>.</w:t>
      </w:r>
      <w:r w:rsidR="00E641F1" w:rsidRPr="007960A2">
        <w:t xml:space="preserve"> </w:t>
      </w:r>
      <w:r w:rsidRPr="007960A2">
        <w:t xml:space="preserve">The fact that </w:t>
      </w:r>
      <w:r w:rsidR="00684949">
        <w:t>customers</w:t>
      </w:r>
      <w:r w:rsidRPr="007960A2">
        <w:t xml:space="preserve"> were prejudiced against trans people or even violent cannot justify the refusal to hire her.</w:t>
      </w:r>
    </w:p>
    <w:p w14:paraId="5FE8AA8C" w14:textId="29B4B369" w:rsidR="00C96B39" w:rsidRPr="007960A2" w:rsidRDefault="00353BE3" w:rsidP="00601907">
      <w:pPr>
        <w:pStyle w:val="Paragraphe"/>
        <w:numPr>
          <w:ilvl w:val="0"/>
          <w:numId w:val="1"/>
        </w:numPr>
        <w:tabs>
          <w:tab w:val="clear" w:pos="2629"/>
        </w:tabs>
        <w:ind w:left="0"/>
      </w:pPr>
      <w:r w:rsidRPr="007960A2">
        <w:t xml:space="preserve">In conclusion, the justifications the defendants </w:t>
      </w:r>
      <w:r w:rsidR="00D002AA">
        <w:t>could</w:t>
      </w:r>
      <w:r w:rsidRPr="007960A2">
        <w:t xml:space="preserve"> have raised cannot be accepted.</w:t>
      </w:r>
      <w:r w:rsidR="00E641F1" w:rsidRPr="007960A2">
        <w:t xml:space="preserve"> </w:t>
      </w:r>
      <w:r w:rsidRPr="007960A2">
        <w:t>First, the burden of proof of justifications rested on the defendants</w:t>
      </w:r>
      <w:r w:rsidR="00EB28D6">
        <w:t>.</w:t>
      </w:r>
      <w:r w:rsidR="00D002AA">
        <w:t xml:space="preserve"> </w:t>
      </w:r>
      <w:r w:rsidR="00EB28D6">
        <w:t>H</w:t>
      </w:r>
      <w:r w:rsidR="00D002AA">
        <w:t>owever,</w:t>
      </w:r>
      <w:r w:rsidR="00E641F1" w:rsidRPr="007960A2">
        <w:t xml:space="preserve"> </w:t>
      </w:r>
      <w:r w:rsidR="00D002AA">
        <w:t>t</w:t>
      </w:r>
      <w:r w:rsidRPr="007960A2">
        <w:t xml:space="preserve">hey </w:t>
      </w:r>
      <w:r w:rsidR="00D002AA">
        <w:t xml:space="preserve">did not </w:t>
      </w:r>
      <w:r w:rsidRPr="007960A2">
        <w:t xml:space="preserve">participate in the hearing </w:t>
      </w:r>
      <w:r w:rsidR="00EB28D6">
        <w:t>or adduce any</w:t>
      </w:r>
      <w:r w:rsidRPr="007960A2">
        <w:t xml:space="preserve"> evidence.</w:t>
      </w:r>
      <w:r w:rsidR="00E641F1" w:rsidRPr="007960A2">
        <w:t xml:space="preserve"> </w:t>
      </w:r>
      <w:r w:rsidRPr="007960A2">
        <w:t>Second, the justification regarding the complainant’s safety cannot be accepted.</w:t>
      </w:r>
      <w:r w:rsidR="00E641F1" w:rsidRPr="007960A2">
        <w:t xml:space="preserve"> </w:t>
      </w:r>
      <w:r w:rsidRPr="007960A2">
        <w:t xml:space="preserve">The risk of violence raised </w:t>
      </w:r>
      <w:r w:rsidR="00D002AA">
        <w:t xml:space="preserve">at the </w:t>
      </w:r>
      <w:r w:rsidR="00D002AA">
        <w:lastRenderedPageBreak/>
        <w:t>time of the refusal to hire wa</w:t>
      </w:r>
      <w:r w:rsidRPr="007960A2">
        <w:t xml:space="preserve">s </w:t>
      </w:r>
      <w:r w:rsidR="00EB28D6">
        <w:t>merely a</w:t>
      </w:r>
      <w:r w:rsidRPr="007960A2">
        <w:t xml:space="preserve"> </w:t>
      </w:r>
      <w:r w:rsidR="00D002AA">
        <w:t xml:space="preserve">risk </w:t>
      </w:r>
      <w:r w:rsidRPr="007960A2">
        <w:t>such that it cannot constitute undue hardship.</w:t>
      </w:r>
      <w:r w:rsidR="00E641F1" w:rsidRPr="007960A2">
        <w:t xml:space="preserve"> </w:t>
      </w:r>
      <w:r w:rsidRPr="007960A2">
        <w:t>Moreover, employers have an obligation to protect the safety of their employees</w:t>
      </w:r>
      <w:r w:rsidR="00EB28D6">
        <w:t>;</w:t>
      </w:r>
      <w:r w:rsidRPr="007960A2">
        <w:t xml:space="preserve"> therefore</w:t>
      </w:r>
      <w:r w:rsidR="00EB28D6">
        <w:t>,</w:t>
      </w:r>
      <w:r w:rsidRPr="007960A2">
        <w:t xml:space="preserve"> this argument must be rejected.</w:t>
      </w:r>
      <w:r w:rsidR="00E641F1" w:rsidRPr="007960A2">
        <w:t xml:space="preserve"> </w:t>
      </w:r>
      <w:r w:rsidRPr="007960A2">
        <w:t xml:space="preserve">Third, the justification regarding the reactions of the defendants’ </w:t>
      </w:r>
      <w:r w:rsidR="00D002AA">
        <w:t xml:space="preserve">customers </w:t>
      </w:r>
      <w:r w:rsidRPr="007960A2">
        <w:t xml:space="preserve">is an economic justification, which the case </w:t>
      </w:r>
      <w:r w:rsidR="00D002AA">
        <w:t xml:space="preserve">law </w:t>
      </w:r>
      <w:r w:rsidRPr="007960A2">
        <w:t>reject</w:t>
      </w:r>
      <w:r w:rsidR="00D002AA">
        <w:t>s</w:t>
      </w:r>
      <w:r w:rsidRPr="007960A2">
        <w:t xml:space="preserve"> as justification for a discriminatory act.</w:t>
      </w:r>
    </w:p>
    <w:p w14:paraId="7BE3A070" w14:textId="172B6EE8" w:rsidR="00C96B39" w:rsidRPr="007960A2" w:rsidRDefault="00353BE3" w:rsidP="00DC225B">
      <w:pPr>
        <w:pStyle w:val="Paragraphe"/>
        <w:keepNext/>
        <w:numPr>
          <w:ilvl w:val="0"/>
          <w:numId w:val="8"/>
        </w:numPr>
        <w:rPr>
          <w:b/>
          <w:bCs/>
        </w:rPr>
      </w:pPr>
      <w:r w:rsidRPr="007960A2">
        <w:rPr>
          <w:b/>
          <w:bCs/>
        </w:rPr>
        <w:t>Is E.B. entitled to the amounts claimed?</w:t>
      </w:r>
    </w:p>
    <w:p w14:paraId="668ED1E3" w14:textId="2BE030EE" w:rsidR="00C96B39" w:rsidRPr="007960A2" w:rsidRDefault="00353BE3" w:rsidP="00DC225B">
      <w:pPr>
        <w:pStyle w:val="Paragraphe"/>
        <w:keepNext/>
        <w:numPr>
          <w:ilvl w:val="0"/>
          <w:numId w:val="1"/>
        </w:numPr>
        <w:tabs>
          <w:tab w:val="clear" w:pos="567"/>
          <w:tab w:val="clear" w:pos="2629"/>
          <w:tab w:val="left" w:pos="709"/>
        </w:tabs>
        <w:ind w:left="0"/>
      </w:pPr>
      <w:r w:rsidRPr="007960A2">
        <w:t xml:space="preserve">The CDPDJ proposes measures of redress that include an indemnity of $118.40 as damages for material </w:t>
      </w:r>
      <w:r w:rsidR="00DC225B">
        <w:t>prejudice</w:t>
      </w:r>
      <w:r w:rsidRPr="007960A2">
        <w:t xml:space="preserve"> for loss of income, $12,000 as damages for moral </w:t>
      </w:r>
      <w:r w:rsidR="00DC225B">
        <w:t>prejudice</w:t>
      </w:r>
      <w:r w:rsidRPr="007960A2">
        <w:t>, and $2,000 each from the Bar and Mr. Sikder as punitive damages.</w:t>
      </w:r>
    </w:p>
    <w:p w14:paraId="1016CC35" w14:textId="49BB78A3" w:rsidR="00C96B39" w:rsidRPr="007960A2" w:rsidRDefault="00353BE3" w:rsidP="00651A2D">
      <w:pPr>
        <w:pStyle w:val="Paragraphe"/>
        <w:numPr>
          <w:ilvl w:val="0"/>
          <w:numId w:val="7"/>
        </w:numPr>
        <w:spacing w:beforeLines="120" w:before="288" w:line="240" w:lineRule="auto"/>
        <w:rPr>
          <w:b/>
          <w:bCs/>
        </w:rPr>
      </w:pPr>
      <w:r w:rsidRPr="007960A2">
        <w:rPr>
          <w:b/>
          <w:bCs/>
        </w:rPr>
        <w:t>Damages for m</w:t>
      </w:r>
      <w:r w:rsidR="00DC225B">
        <w:rPr>
          <w:b/>
          <w:bCs/>
        </w:rPr>
        <w:t>aterial</w:t>
      </w:r>
      <w:r w:rsidRPr="007960A2">
        <w:rPr>
          <w:b/>
          <w:bCs/>
        </w:rPr>
        <w:t xml:space="preserve"> </w:t>
      </w:r>
      <w:r w:rsidR="00DC225B" w:rsidRPr="00DC225B">
        <w:rPr>
          <w:b/>
          <w:bCs/>
        </w:rPr>
        <w:t>prejudice</w:t>
      </w:r>
    </w:p>
    <w:p w14:paraId="55A4BF74" w14:textId="15F97B71" w:rsidR="00C96B39" w:rsidRPr="007960A2" w:rsidRDefault="0095722C" w:rsidP="00651A2D">
      <w:pPr>
        <w:pStyle w:val="Paragraphe"/>
        <w:numPr>
          <w:ilvl w:val="0"/>
          <w:numId w:val="1"/>
        </w:numPr>
        <w:tabs>
          <w:tab w:val="clear" w:pos="567"/>
          <w:tab w:val="clear" w:pos="2629"/>
          <w:tab w:val="left" w:pos="709"/>
        </w:tabs>
        <w:spacing w:beforeLines="120" w:before="288" w:line="240" w:lineRule="auto"/>
        <w:ind w:left="0"/>
      </w:pPr>
      <w:r w:rsidRPr="007960A2">
        <w:rPr>
          <w:rFonts w:cs="Arial"/>
          <w:color w:val="000000"/>
          <w:spacing w:val="-3"/>
        </w:rPr>
        <w:t>The Tribunal may order victims of discrimination to be fully or partially compensated for los</w:t>
      </w:r>
      <w:r w:rsidR="008830A7">
        <w:rPr>
          <w:rFonts w:cs="Arial"/>
          <w:color w:val="000000"/>
          <w:spacing w:val="-3"/>
        </w:rPr>
        <w:t>t</w:t>
      </w:r>
      <w:r w:rsidRPr="007960A2">
        <w:rPr>
          <w:rFonts w:cs="Arial"/>
          <w:color w:val="000000"/>
          <w:spacing w:val="-3"/>
        </w:rPr>
        <w:t xml:space="preserve"> wages </w:t>
      </w:r>
      <w:r w:rsidR="008830A7">
        <w:rPr>
          <w:rFonts w:cs="Arial"/>
          <w:color w:val="000000"/>
          <w:spacing w:val="-3"/>
        </w:rPr>
        <w:t xml:space="preserve">caused by </w:t>
      </w:r>
      <w:r w:rsidRPr="007960A2">
        <w:rPr>
          <w:rFonts w:cs="Arial"/>
          <w:color w:val="000000"/>
          <w:spacing w:val="-3"/>
        </w:rPr>
        <w:t>the discriminatory act.</w:t>
      </w:r>
    </w:p>
    <w:p w14:paraId="2C51B9CE" w14:textId="02C506F4" w:rsidR="00C96B39" w:rsidRPr="007960A2" w:rsidRDefault="0095722C" w:rsidP="00651A2D">
      <w:pPr>
        <w:pStyle w:val="Paragraphe"/>
        <w:numPr>
          <w:ilvl w:val="0"/>
          <w:numId w:val="1"/>
        </w:numPr>
        <w:tabs>
          <w:tab w:val="clear" w:pos="567"/>
          <w:tab w:val="clear" w:pos="2629"/>
          <w:tab w:val="left" w:pos="709"/>
        </w:tabs>
        <w:spacing w:beforeLines="120" w:before="288" w:line="240" w:lineRule="auto"/>
        <w:ind w:left="0"/>
      </w:pPr>
      <w:r w:rsidRPr="007960A2">
        <w:t>The complainant was not compensated for her training session at the Bar on March</w:t>
      </w:r>
      <w:r w:rsidR="008830A7">
        <w:t> </w:t>
      </w:r>
      <w:r w:rsidRPr="007960A2">
        <w:t>30, 2017.</w:t>
      </w:r>
      <w:r w:rsidR="00E641F1" w:rsidRPr="007960A2">
        <w:t xml:space="preserve"> </w:t>
      </w:r>
      <w:r w:rsidRPr="007960A2">
        <w:t xml:space="preserve">She received none of the tips from the </w:t>
      </w:r>
      <w:r w:rsidR="008830A7">
        <w:t xml:space="preserve">customers </w:t>
      </w:r>
      <w:r w:rsidRPr="007960A2">
        <w:t>she served.</w:t>
      </w:r>
      <w:r w:rsidR="00E641F1" w:rsidRPr="007960A2">
        <w:t xml:space="preserve"> </w:t>
      </w:r>
      <w:r w:rsidRPr="007960A2">
        <w:t>The Tribunal finds that the complainant is entitled to the indemnity claimed of $118.40 for loss of income.</w:t>
      </w:r>
    </w:p>
    <w:p w14:paraId="5651E68E" w14:textId="6EAE8617" w:rsidR="00C96B39" w:rsidRPr="007960A2" w:rsidRDefault="0095722C" w:rsidP="00651A2D">
      <w:pPr>
        <w:pStyle w:val="Paragraphe"/>
        <w:keepNext/>
        <w:numPr>
          <w:ilvl w:val="0"/>
          <w:numId w:val="7"/>
        </w:numPr>
        <w:spacing w:beforeLines="120" w:before="288" w:line="240" w:lineRule="auto"/>
        <w:rPr>
          <w:b/>
          <w:bCs/>
        </w:rPr>
      </w:pPr>
      <w:r w:rsidRPr="007960A2">
        <w:rPr>
          <w:b/>
          <w:bCs/>
        </w:rPr>
        <w:t xml:space="preserve">Damages for moral </w:t>
      </w:r>
      <w:r w:rsidR="00DC225B" w:rsidRPr="00DC225B">
        <w:rPr>
          <w:b/>
          <w:bCs/>
        </w:rPr>
        <w:t>prejudice</w:t>
      </w:r>
    </w:p>
    <w:p w14:paraId="1F06C3CF" w14:textId="03D414DA" w:rsidR="00C96B39" w:rsidRPr="007960A2" w:rsidRDefault="0095722C" w:rsidP="00651A2D">
      <w:pPr>
        <w:pStyle w:val="Paragraphe"/>
        <w:keepNext/>
        <w:numPr>
          <w:ilvl w:val="0"/>
          <w:numId w:val="1"/>
        </w:numPr>
        <w:tabs>
          <w:tab w:val="clear" w:pos="567"/>
          <w:tab w:val="clear" w:pos="2629"/>
          <w:tab w:val="left" w:pos="709"/>
        </w:tabs>
        <w:spacing w:beforeLines="120" w:before="288" w:line="240" w:lineRule="auto"/>
        <w:ind w:left="0"/>
      </w:pPr>
      <w:r w:rsidRPr="007960A2">
        <w:t xml:space="preserve">The CDPDJ states that the complainant </w:t>
      </w:r>
      <w:r w:rsidRPr="007960A2">
        <w:rPr>
          <w:rFonts w:cs="Arial"/>
        </w:rPr>
        <w:t>[</w:t>
      </w:r>
      <w:r w:rsidRPr="007960A2">
        <w:rPr>
          <w:rFonts w:cs="Arial"/>
          <w:smallCaps/>
        </w:rPr>
        <w:t>translation</w:t>
      </w:r>
      <w:r w:rsidRPr="007960A2">
        <w:rPr>
          <w:rFonts w:cs="Arial"/>
        </w:rPr>
        <w:t>]</w:t>
      </w:r>
      <w:r w:rsidRPr="007960A2">
        <w:t xml:space="preserve"> “felt denigrated and diminished by the defendants, </w:t>
      </w:r>
      <w:r w:rsidR="008830A7">
        <w:t xml:space="preserve">particularly by </w:t>
      </w:r>
      <w:r w:rsidRPr="007960A2">
        <w:t>Mr. Sikder’s remarks that denied her intrinsic value as a human being”.</w:t>
      </w:r>
      <w:r w:rsidRPr="007960A2">
        <w:rPr>
          <w:rStyle w:val="Appelnotedebasdep"/>
        </w:rPr>
        <w:footnoteReference w:id="119"/>
      </w:r>
    </w:p>
    <w:p w14:paraId="61929717" w14:textId="72A36665" w:rsidR="00C96B39" w:rsidRPr="007960A2" w:rsidRDefault="0095722C" w:rsidP="000A732B">
      <w:pPr>
        <w:pStyle w:val="Paragraphe"/>
        <w:numPr>
          <w:ilvl w:val="0"/>
          <w:numId w:val="1"/>
        </w:numPr>
        <w:tabs>
          <w:tab w:val="clear" w:pos="567"/>
          <w:tab w:val="clear" w:pos="2629"/>
          <w:tab w:val="left" w:pos="709"/>
        </w:tabs>
        <w:spacing w:beforeLines="120" w:before="288" w:after="0" w:line="240" w:lineRule="auto"/>
        <w:ind w:left="0"/>
        <w:rPr>
          <w:lang w:eastAsia="fr-CA"/>
        </w:rPr>
      </w:pPr>
      <w:r w:rsidRPr="007960A2">
        <w:t xml:space="preserve">In </w:t>
      </w:r>
      <w:r w:rsidRPr="007960A2">
        <w:rPr>
          <w:i/>
        </w:rPr>
        <w:t>Nyassa</w:t>
      </w:r>
      <w:r w:rsidRPr="007960A2">
        <w:t>, the Tribunal wrote:</w:t>
      </w:r>
      <w:r w:rsidRPr="007960A2">
        <w:rPr>
          <w:rStyle w:val="Appelnotedebasdep"/>
        </w:rPr>
        <w:footnoteReference w:id="120"/>
      </w:r>
    </w:p>
    <w:p w14:paraId="3BB26A73" w14:textId="46AA8290" w:rsidR="006B2434" w:rsidRPr="007960A2" w:rsidRDefault="006B2434" w:rsidP="0027005E">
      <w:pPr>
        <w:pStyle w:val="Citationenretrait"/>
        <w:spacing w:beforeLines="120" w:before="288" w:after="0" w:line="240" w:lineRule="auto"/>
        <w:rPr>
          <w:rFonts w:cs="Arial"/>
          <w:lang w:val="en-CA"/>
        </w:rPr>
      </w:pPr>
      <w:r w:rsidRPr="007960A2">
        <w:rPr>
          <w:rFonts w:cs="Arial"/>
          <w:color w:val="000016"/>
          <w:spacing w:val="2"/>
          <w:szCs w:val="22"/>
          <w:lang w:val="en-CA"/>
        </w:rPr>
        <w:t>[</w:t>
      </w:r>
      <w:r w:rsidRPr="007960A2">
        <w:rPr>
          <w:rFonts w:cs="Arial"/>
          <w:smallCaps/>
          <w:color w:val="000016"/>
          <w:spacing w:val="2"/>
          <w:szCs w:val="22"/>
          <w:lang w:val="en-CA"/>
        </w:rPr>
        <w:t>translation</w:t>
      </w:r>
      <w:r w:rsidRPr="007960A2">
        <w:rPr>
          <w:rFonts w:cs="Arial"/>
          <w:color w:val="000016"/>
          <w:spacing w:val="2"/>
          <w:szCs w:val="22"/>
          <w:lang w:val="en-CA"/>
        </w:rPr>
        <w:t>]</w:t>
      </w:r>
    </w:p>
    <w:p w14:paraId="4FBB44B7" w14:textId="11F34CC0" w:rsidR="00C96B39" w:rsidRPr="007960A2" w:rsidRDefault="006B2434" w:rsidP="000A732B">
      <w:pPr>
        <w:pStyle w:val="Citationenretrait"/>
        <w:spacing w:beforeLines="120" w:before="288" w:line="240" w:lineRule="auto"/>
        <w:rPr>
          <w:lang w:val="en-CA"/>
        </w:rPr>
      </w:pPr>
      <w:r w:rsidRPr="007960A2">
        <w:rPr>
          <w:rFonts w:cs="Arial"/>
          <w:lang w:val="en-CA"/>
        </w:rPr>
        <w:t>[59] The “</w:t>
      </w:r>
      <w:r w:rsidR="008830A7">
        <w:rPr>
          <w:rFonts w:cs="Arial"/>
          <w:lang w:val="en-CA"/>
        </w:rPr>
        <w:t>crumbling skull</w:t>
      </w:r>
      <w:r w:rsidRPr="007960A2">
        <w:rPr>
          <w:rFonts w:cs="Arial"/>
          <w:lang w:val="en-CA"/>
        </w:rPr>
        <w:t xml:space="preserve">” </w:t>
      </w:r>
      <w:r w:rsidR="008830A7">
        <w:rPr>
          <w:rFonts w:cs="Arial"/>
          <w:lang w:val="en-CA"/>
        </w:rPr>
        <w:t xml:space="preserve">rule </w:t>
      </w:r>
      <w:r w:rsidRPr="007960A2">
        <w:rPr>
          <w:rFonts w:cs="Arial"/>
          <w:lang w:val="en-CA"/>
        </w:rPr>
        <w:t xml:space="preserve">is inextricably linked to the victim’s pre-existing condition. </w:t>
      </w:r>
      <w:r w:rsidRPr="007960A2">
        <w:rPr>
          <w:lang w:val="en-CA"/>
        </w:rPr>
        <w:t>While it may give rise to compensation for damage</w:t>
      </w:r>
      <w:r w:rsidR="00324BC1">
        <w:rPr>
          <w:lang w:val="en-CA"/>
        </w:rPr>
        <w:t xml:space="preserve"> </w:t>
      </w:r>
      <w:r w:rsidR="00324BC1" w:rsidRPr="007960A2">
        <w:rPr>
          <w:lang w:val="en-CA"/>
        </w:rPr>
        <w:t>greater</w:t>
      </w:r>
      <w:r w:rsidRPr="007960A2">
        <w:rPr>
          <w:lang w:val="en-CA"/>
        </w:rPr>
        <w:t xml:space="preserve"> than those that may be reasonably expected, it is not meant to </w:t>
      </w:r>
      <w:r w:rsidR="0018089F">
        <w:rPr>
          <w:lang w:val="en-CA"/>
        </w:rPr>
        <w:t xml:space="preserve">return </w:t>
      </w:r>
      <w:r w:rsidRPr="007960A2">
        <w:rPr>
          <w:lang w:val="en-CA"/>
        </w:rPr>
        <w:t xml:space="preserve">the victim to a </w:t>
      </w:r>
      <w:r w:rsidR="0018089F">
        <w:rPr>
          <w:lang w:val="en-CA"/>
        </w:rPr>
        <w:t xml:space="preserve">position better </w:t>
      </w:r>
      <w:r w:rsidRPr="007960A2">
        <w:rPr>
          <w:lang w:val="en-CA"/>
        </w:rPr>
        <w:t xml:space="preserve">than the original </w:t>
      </w:r>
      <w:r w:rsidR="0018089F">
        <w:rPr>
          <w:lang w:val="en-CA"/>
        </w:rPr>
        <w:t>position</w:t>
      </w:r>
      <w:r w:rsidRPr="007960A2">
        <w:rPr>
          <w:lang w:val="en-CA"/>
        </w:rPr>
        <w:t>.</w:t>
      </w:r>
      <w:r w:rsidR="00E641F1" w:rsidRPr="007960A2">
        <w:rPr>
          <w:lang w:val="en-CA"/>
        </w:rPr>
        <w:t xml:space="preserve"> </w:t>
      </w:r>
      <w:r w:rsidRPr="007960A2">
        <w:rPr>
          <w:lang w:val="en-CA"/>
        </w:rPr>
        <w:t xml:space="preserve">In short, Mr. Levasseur “is liable for </w:t>
      </w:r>
      <w:r w:rsidR="0018089F">
        <w:rPr>
          <w:lang w:val="en-CA"/>
        </w:rPr>
        <w:t xml:space="preserve">the </w:t>
      </w:r>
      <w:r w:rsidRPr="007960A2">
        <w:rPr>
          <w:lang w:val="en-CA"/>
        </w:rPr>
        <w:t xml:space="preserve">additional damage but not </w:t>
      </w:r>
      <w:r w:rsidR="0018089F">
        <w:rPr>
          <w:lang w:val="en-CA"/>
        </w:rPr>
        <w:t xml:space="preserve">the </w:t>
      </w:r>
      <w:r w:rsidRPr="007960A2">
        <w:rPr>
          <w:lang w:val="en-CA"/>
        </w:rPr>
        <w:t>pre-existing damage”.</w:t>
      </w:r>
    </w:p>
    <w:p w14:paraId="5E4807E1" w14:textId="30B8D343" w:rsidR="00C96B39" w:rsidRPr="007960A2" w:rsidRDefault="006B2434" w:rsidP="0022392F">
      <w:pPr>
        <w:pStyle w:val="Paragraphe"/>
        <w:numPr>
          <w:ilvl w:val="0"/>
          <w:numId w:val="1"/>
        </w:numPr>
        <w:tabs>
          <w:tab w:val="clear" w:pos="567"/>
          <w:tab w:val="clear" w:pos="2629"/>
          <w:tab w:val="left" w:pos="709"/>
        </w:tabs>
        <w:ind w:left="0"/>
      </w:pPr>
      <w:r w:rsidRPr="007960A2">
        <w:lastRenderedPageBreak/>
        <w:t xml:space="preserve">Furthermore, damages are not automatically </w:t>
      </w:r>
      <w:r w:rsidR="0018089F">
        <w:t>award</w:t>
      </w:r>
      <w:r w:rsidRPr="007960A2">
        <w:t xml:space="preserve">ed just because a </w:t>
      </w:r>
      <w:r w:rsidRPr="007960A2">
        <w:rPr>
          <w:i/>
        </w:rPr>
        <w:t>Charter</w:t>
      </w:r>
      <w:r w:rsidRPr="007960A2">
        <w:t xml:space="preserve"> right has been </w:t>
      </w:r>
      <w:r w:rsidR="0018089F">
        <w:t>interfered with</w:t>
      </w:r>
      <w:r w:rsidRPr="007960A2">
        <w:t xml:space="preserve">. Proof of </w:t>
      </w:r>
      <w:r w:rsidR="00DC225B">
        <w:t>prejudice</w:t>
      </w:r>
      <w:r w:rsidRPr="007960A2">
        <w:t xml:space="preserve"> is still required.</w:t>
      </w:r>
    </w:p>
    <w:p w14:paraId="0C63360E" w14:textId="63547B25" w:rsidR="00B24E4D" w:rsidRPr="008B10C3" w:rsidRDefault="006B2434" w:rsidP="00B24E4D">
      <w:pPr>
        <w:pStyle w:val="Paragraphe"/>
        <w:numPr>
          <w:ilvl w:val="0"/>
          <w:numId w:val="1"/>
        </w:numPr>
        <w:tabs>
          <w:tab w:val="clear" w:pos="567"/>
          <w:tab w:val="clear" w:pos="2629"/>
          <w:tab w:val="left" w:pos="709"/>
        </w:tabs>
        <w:ind w:left="0"/>
        <w:rPr>
          <w:rFonts w:cs="Arial"/>
          <w:color w:val="000016"/>
          <w:spacing w:val="2"/>
          <w:lang w:eastAsia="fr-CA"/>
        </w:rPr>
      </w:pPr>
      <w:r w:rsidRPr="007960A2">
        <w:rPr>
          <w:rFonts w:cs="Arial"/>
          <w:color w:val="000016"/>
          <w:spacing w:val="2"/>
        </w:rPr>
        <w:t xml:space="preserve">Moreover, as the Court of Appeal noted, </w:t>
      </w:r>
      <w:r w:rsidR="002B7AC7">
        <w:rPr>
          <w:rFonts w:cs="Arial"/>
          <w:color w:val="000016"/>
          <w:spacing w:val="2"/>
        </w:rPr>
        <w:t xml:space="preserve">assessing </w:t>
      </w:r>
      <w:r w:rsidR="00551805" w:rsidRPr="007960A2">
        <w:rPr>
          <w:rFonts w:cs="Arial"/>
          <w:color w:val="000016"/>
          <w:spacing w:val="2"/>
        </w:rPr>
        <w:t xml:space="preserve">moral </w:t>
      </w:r>
      <w:r w:rsidR="00551805">
        <w:t>prejudice</w:t>
      </w:r>
      <w:r w:rsidR="00551805" w:rsidRPr="007960A2">
        <w:rPr>
          <w:rFonts w:cs="Arial"/>
          <w:color w:val="000016"/>
          <w:spacing w:val="2"/>
        </w:rPr>
        <w:t xml:space="preserve"> is </w:t>
      </w:r>
      <w:r w:rsidR="002B7AC7">
        <w:rPr>
          <w:rFonts w:cs="Arial"/>
          <w:color w:val="000016"/>
          <w:spacing w:val="2"/>
        </w:rPr>
        <w:t xml:space="preserve">a </w:t>
      </w:r>
      <w:r w:rsidRPr="007960A2">
        <w:rPr>
          <w:rFonts w:cs="Arial"/>
          <w:color w:val="000016"/>
          <w:spacing w:val="2"/>
        </w:rPr>
        <w:t xml:space="preserve">delicate </w:t>
      </w:r>
      <w:r w:rsidR="002B7AC7">
        <w:rPr>
          <w:rFonts w:cs="Arial"/>
          <w:color w:val="000016"/>
          <w:spacing w:val="2"/>
        </w:rPr>
        <w:t xml:space="preserve">task that is discretionary </w:t>
      </w:r>
      <w:r w:rsidRPr="007960A2">
        <w:rPr>
          <w:rFonts w:cs="Arial"/>
          <w:color w:val="000016"/>
          <w:spacing w:val="2"/>
        </w:rPr>
        <w:t>in several regards:</w:t>
      </w:r>
    </w:p>
    <w:p w14:paraId="651BB585" w14:textId="730F9E48" w:rsidR="006B2434" w:rsidRPr="007960A2" w:rsidRDefault="006B2434" w:rsidP="00DC225B">
      <w:pPr>
        <w:pStyle w:val="Citationenretrait"/>
        <w:keepNext/>
        <w:rPr>
          <w:rFonts w:cs="Arial"/>
          <w:color w:val="000016"/>
          <w:spacing w:val="2"/>
          <w:szCs w:val="22"/>
          <w:lang w:val="en-CA"/>
        </w:rPr>
      </w:pPr>
      <w:r w:rsidRPr="007960A2">
        <w:rPr>
          <w:rFonts w:cs="Arial"/>
          <w:color w:val="000016"/>
          <w:spacing w:val="2"/>
          <w:szCs w:val="22"/>
          <w:lang w:val="en-CA"/>
        </w:rPr>
        <w:t>[</w:t>
      </w:r>
      <w:r w:rsidRPr="007960A2">
        <w:rPr>
          <w:rFonts w:cs="Arial"/>
          <w:smallCaps/>
          <w:color w:val="000016"/>
          <w:spacing w:val="2"/>
          <w:szCs w:val="22"/>
          <w:lang w:val="en-CA"/>
        </w:rPr>
        <w:t>translation</w:t>
      </w:r>
      <w:r w:rsidRPr="007960A2">
        <w:rPr>
          <w:rFonts w:cs="Arial"/>
          <w:color w:val="000016"/>
          <w:spacing w:val="2"/>
          <w:szCs w:val="22"/>
          <w:lang w:val="en-CA"/>
        </w:rPr>
        <w:t>]</w:t>
      </w:r>
    </w:p>
    <w:p w14:paraId="551D7F77" w14:textId="3F3B1180" w:rsidR="00B24E4D" w:rsidRPr="007960A2" w:rsidRDefault="006B2434" w:rsidP="00DC225B">
      <w:pPr>
        <w:pStyle w:val="Citationenretrait"/>
        <w:keepNext/>
        <w:rPr>
          <w:lang w:val="en-CA"/>
        </w:rPr>
      </w:pPr>
      <w:r w:rsidRPr="007960A2">
        <w:rPr>
          <w:rFonts w:cs="Arial"/>
          <w:color w:val="000016"/>
          <w:spacing w:val="2"/>
          <w:szCs w:val="22"/>
          <w:lang w:val="en-CA"/>
        </w:rPr>
        <w:t>Translating moral prejudice into damages, that is, into monetary terms, is always delicate.</w:t>
      </w:r>
      <w:r w:rsidR="00D27F85" w:rsidRPr="007960A2">
        <w:rPr>
          <w:rFonts w:cs="Arial"/>
          <w:color w:val="000016"/>
          <w:spacing w:val="2"/>
          <w:szCs w:val="22"/>
          <w:lang w:val="en-CA"/>
        </w:rPr>
        <w:t xml:space="preserve"> </w:t>
      </w:r>
      <w:bookmarkStart w:id="23" w:name="_ftnref83"/>
      <w:bookmarkEnd w:id="23"/>
      <w:r w:rsidRPr="007960A2">
        <w:rPr>
          <w:rFonts w:cs="Arial"/>
          <w:color w:val="000016"/>
          <w:spacing w:val="2"/>
          <w:szCs w:val="22"/>
          <w:lang w:val="en-CA"/>
        </w:rPr>
        <w:t>As Vézina</w:t>
      </w:r>
      <w:r w:rsidR="002B7AC7">
        <w:rPr>
          <w:rFonts w:cs="Arial"/>
          <w:color w:val="000016"/>
          <w:spacing w:val="2"/>
          <w:szCs w:val="22"/>
          <w:lang w:val="en-CA"/>
        </w:rPr>
        <w:t>,</w:t>
      </w:r>
      <w:r w:rsidRPr="007960A2">
        <w:rPr>
          <w:rFonts w:cs="Arial"/>
          <w:color w:val="000016"/>
          <w:spacing w:val="2"/>
          <w:szCs w:val="22"/>
          <w:lang w:val="en-CA"/>
        </w:rPr>
        <w:t xml:space="preserve"> J.A. wrote in </w:t>
      </w:r>
      <w:r w:rsidRPr="007960A2">
        <w:rPr>
          <w:rFonts w:cs="Arial"/>
          <w:i/>
          <w:color w:val="000016"/>
          <w:spacing w:val="2"/>
          <w:szCs w:val="22"/>
          <w:lang w:val="en-CA"/>
        </w:rPr>
        <w:t>Calego International inc. c. Commission des droits de la personne et des droits de la jeunesse</w:t>
      </w:r>
      <w:r w:rsidRPr="007960A2">
        <w:rPr>
          <w:rFonts w:cs="Arial"/>
          <w:color w:val="000016"/>
          <w:spacing w:val="2"/>
          <w:szCs w:val="22"/>
          <w:lang w:val="en-CA"/>
        </w:rPr>
        <w:t>, [</w:t>
      </w:r>
      <w:r w:rsidRPr="007960A2">
        <w:rPr>
          <w:rFonts w:cs="Arial"/>
          <w:smallCaps/>
          <w:color w:val="000016"/>
          <w:spacing w:val="2"/>
          <w:szCs w:val="22"/>
          <w:lang w:val="en-CA"/>
        </w:rPr>
        <w:t>translation</w:t>
      </w:r>
      <w:r w:rsidRPr="007960A2">
        <w:rPr>
          <w:rFonts w:cs="Arial"/>
          <w:color w:val="000016"/>
          <w:spacing w:val="2"/>
          <w:szCs w:val="22"/>
          <w:lang w:val="en-CA"/>
        </w:rPr>
        <w:t>] “</w:t>
      </w:r>
      <w:r w:rsidR="002B7AC7">
        <w:rPr>
          <w:rFonts w:cs="Arial"/>
          <w:color w:val="000016"/>
          <w:spacing w:val="2"/>
          <w:szCs w:val="22"/>
          <w:lang w:val="en-CA"/>
        </w:rPr>
        <w:t>[</w:t>
      </w:r>
      <w:r w:rsidRPr="007960A2">
        <w:rPr>
          <w:rFonts w:cs="Arial"/>
          <w:color w:val="000016"/>
          <w:spacing w:val="2"/>
          <w:szCs w:val="22"/>
          <w:lang w:val="en-CA"/>
        </w:rPr>
        <w:t>m</w:t>
      </w:r>
      <w:r w:rsidR="002B7AC7">
        <w:rPr>
          <w:rFonts w:cs="Arial"/>
          <w:color w:val="000016"/>
          <w:spacing w:val="2"/>
          <w:szCs w:val="22"/>
          <w:lang w:val="en-CA"/>
        </w:rPr>
        <w:t>]</w:t>
      </w:r>
      <w:r w:rsidRPr="007960A2">
        <w:rPr>
          <w:rFonts w:cs="Arial"/>
          <w:color w:val="000016"/>
          <w:spacing w:val="2"/>
          <w:szCs w:val="22"/>
          <w:lang w:val="en-CA"/>
        </w:rPr>
        <w:t xml:space="preserve">easuring moral </w:t>
      </w:r>
      <w:r w:rsidR="002B7AC7">
        <w:rPr>
          <w:rFonts w:cs="Arial"/>
          <w:color w:val="000016"/>
          <w:spacing w:val="2"/>
          <w:szCs w:val="22"/>
          <w:lang w:val="en-CA"/>
        </w:rPr>
        <w:t>prejudice</w:t>
      </w:r>
      <w:r w:rsidRPr="007960A2">
        <w:rPr>
          <w:rFonts w:cs="Arial"/>
          <w:color w:val="000016"/>
          <w:spacing w:val="2"/>
          <w:szCs w:val="22"/>
          <w:lang w:val="en-CA"/>
        </w:rPr>
        <w:t xml:space="preserve"> and the resulting compensation is a delicate task that is necessarily discretionary”, and, </w:t>
      </w:r>
      <w:r w:rsidR="002B7AC7">
        <w:rPr>
          <w:rFonts w:cs="Arial"/>
          <w:color w:val="000016"/>
          <w:spacing w:val="2"/>
          <w:szCs w:val="22"/>
          <w:lang w:val="en-CA"/>
        </w:rPr>
        <w:t>I am</w:t>
      </w:r>
      <w:r w:rsidRPr="007960A2">
        <w:rPr>
          <w:rFonts w:cs="Arial"/>
          <w:color w:val="000016"/>
          <w:spacing w:val="2"/>
          <w:szCs w:val="22"/>
          <w:lang w:val="en-CA"/>
        </w:rPr>
        <w:t xml:space="preserve"> tempted to add, almost arbitrary.</w:t>
      </w:r>
      <w:r w:rsidR="00E641F1" w:rsidRPr="007960A2">
        <w:rPr>
          <w:rStyle w:val="Appelnotedebasdep"/>
          <w:rFonts w:cs="Arial"/>
          <w:color w:val="000016"/>
          <w:spacing w:val="2"/>
          <w:szCs w:val="22"/>
          <w:lang w:val="en-CA"/>
        </w:rPr>
        <w:footnoteReference w:id="121"/>
      </w:r>
    </w:p>
    <w:p w14:paraId="67AFE3E6" w14:textId="5ECF09AA" w:rsidR="00C96B39" w:rsidRPr="007960A2" w:rsidRDefault="006B2434" w:rsidP="0022392F">
      <w:pPr>
        <w:pStyle w:val="Paragraphe"/>
        <w:numPr>
          <w:ilvl w:val="0"/>
          <w:numId w:val="1"/>
        </w:numPr>
        <w:tabs>
          <w:tab w:val="clear" w:pos="567"/>
          <w:tab w:val="clear" w:pos="2629"/>
          <w:tab w:val="left" w:pos="709"/>
        </w:tabs>
        <w:ind w:left="0"/>
      </w:pPr>
      <w:r w:rsidRPr="007960A2">
        <w:t xml:space="preserve">Has the CDPDJ </w:t>
      </w:r>
      <w:r w:rsidR="002B7AC7">
        <w:t>established</w:t>
      </w:r>
      <w:r w:rsidRPr="007960A2">
        <w:t xml:space="preserve"> that E.B. suffered a moral </w:t>
      </w:r>
      <w:r w:rsidR="00DC225B">
        <w:t>prejudice</w:t>
      </w:r>
      <w:r w:rsidRPr="007960A2">
        <w:t>?</w:t>
      </w:r>
    </w:p>
    <w:p w14:paraId="61C6EF6E" w14:textId="3565FDDB" w:rsidR="00C96B39" w:rsidRPr="007960A2" w:rsidRDefault="006B2434" w:rsidP="0022392F">
      <w:pPr>
        <w:pStyle w:val="Paragraphe"/>
        <w:numPr>
          <w:ilvl w:val="0"/>
          <w:numId w:val="1"/>
        </w:numPr>
        <w:tabs>
          <w:tab w:val="clear" w:pos="567"/>
          <w:tab w:val="clear" w:pos="2629"/>
          <w:tab w:val="left" w:pos="709"/>
        </w:tabs>
        <w:ind w:left="0"/>
      </w:pPr>
      <w:r w:rsidRPr="007960A2">
        <w:t>E.B.’s affidavit states that when she left the Bar, she burst into tears in her car.</w:t>
      </w:r>
      <w:r w:rsidR="00E641F1" w:rsidRPr="007960A2">
        <w:t xml:space="preserve"> </w:t>
      </w:r>
      <w:r w:rsidRPr="007960A2">
        <w:t xml:space="preserve">She had a lengthy telephone conversation with her mother and confessed that she was </w:t>
      </w:r>
      <w:r w:rsidR="002B7AC7">
        <w:t>considering</w:t>
      </w:r>
      <w:r w:rsidRPr="007960A2">
        <w:t xml:space="preserve"> suicide.</w:t>
      </w:r>
    </w:p>
    <w:p w14:paraId="27DC38FC" w14:textId="3BA8E55B" w:rsidR="00C96B39" w:rsidRPr="007960A2" w:rsidRDefault="007F13AE" w:rsidP="0022392F">
      <w:pPr>
        <w:pStyle w:val="Paragraphe"/>
        <w:numPr>
          <w:ilvl w:val="0"/>
          <w:numId w:val="1"/>
        </w:numPr>
        <w:tabs>
          <w:tab w:val="clear" w:pos="567"/>
          <w:tab w:val="clear" w:pos="2629"/>
          <w:tab w:val="left" w:pos="709"/>
        </w:tabs>
        <w:ind w:left="0"/>
      </w:pPr>
      <w:r>
        <w:t>The intervention of h</w:t>
      </w:r>
      <w:r w:rsidR="006B2434" w:rsidRPr="007960A2">
        <w:t xml:space="preserve">er sister and </w:t>
      </w:r>
      <w:r w:rsidR="002B7AC7">
        <w:t xml:space="preserve">her </w:t>
      </w:r>
      <w:r w:rsidR="006B2434" w:rsidRPr="007960A2">
        <w:t xml:space="preserve">social worker </w:t>
      </w:r>
      <w:r>
        <w:t xml:space="preserve">was required to prevent her </w:t>
      </w:r>
      <w:r w:rsidR="006B2434" w:rsidRPr="007960A2">
        <w:t xml:space="preserve">from doing </w:t>
      </w:r>
      <w:r w:rsidR="002B7AC7">
        <w:t>so,</w:t>
      </w:r>
      <w:r w:rsidR="006B2434" w:rsidRPr="007960A2">
        <w:t xml:space="preserve"> because </w:t>
      </w:r>
      <w:r w:rsidR="002B7AC7">
        <w:t xml:space="preserve">she had </w:t>
      </w:r>
      <w:r w:rsidR="006B2434" w:rsidRPr="007960A2">
        <w:t>plan</w:t>
      </w:r>
      <w:r w:rsidR="002B7AC7">
        <w:t xml:space="preserve">ned </w:t>
      </w:r>
      <w:r w:rsidR="006B2434" w:rsidRPr="007960A2">
        <w:t>to collide with another car.</w:t>
      </w:r>
    </w:p>
    <w:p w14:paraId="4682F636" w14:textId="48069EF0" w:rsidR="00C96B39" w:rsidRPr="007960A2" w:rsidRDefault="006B2434" w:rsidP="0022392F">
      <w:pPr>
        <w:pStyle w:val="Paragraphe"/>
        <w:numPr>
          <w:ilvl w:val="0"/>
          <w:numId w:val="1"/>
        </w:numPr>
        <w:tabs>
          <w:tab w:val="clear" w:pos="567"/>
          <w:tab w:val="clear" w:pos="2629"/>
          <w:tab w:val="left" w:pos="709"/>
        </w:tabs>
        <w:ind w:left="0"/>
      </w:pPr>
      <w:r w:rsidRPr="007960A2">
        <w:t>E.B. calm</w:t>
      </w:r>
      <w:r w:rsidR="002B7AC7">
        <w:t>ed</w:t>
      </w:r>
      <w:r w:rsidRPr="007960A2">
        <w:t xml:space="preserve"> </w:t>
      </w:r>
      <w:r w:rsidR="002B7AC7">
        <w:t xml:space="preserve">herself </w:t>
      </w:r>
      <w:r w:rsidRPr="007960A2">
        <w:t>down and</w:t>
      </w:r>
      <w:r w:rsidR="00DA7593">
        <w:t>,</w:t>
      </w:r>
      <w:r w:rsidRPr="007960A2">
        <w:t xml:space="preserve"> exhausted, went home.</w:t>
      </w:r>
      <w:r w:rsidR="00E641F1" w:rsidRPr="007960A2">
        <w:t xml:space="preserve"> </w:t>
      </w:r>
      <w:r w:rsidRPr="007960A2">
        <w:t>She tried to contact Mr.</w:t>
      </w:r>
      <w:r w:rsidR="002B7AC7">
        <w:t> </w:t>
      </w:r>
      <w:r w:rsidRPr="007960A2">
        <w:t>S</w:t>
      </w:r>
      <w:r w:rsidR="002B7AC7">
        <w:t>i</w:t>
      </w:r>
      <w:r w:rsidRPr="007960A2">
        <w:t>kder on Facebook the next day to see if he would give her an actual chance.</w:t>
      </w:r>
      <w:r w:rsidR="00E641F1" w:rsidRPr="007960A2">
        <w:t xml:space="preserve"> </w:t>
      </w:r>
      <w:r w:rsidRPr="007960A2">
        <w:t xml:space="preserve">He did not </w:t>
      </w:r>
      <w:r w:rsidR="002B7AC7">
        <w:t xml:space="preserve">reply to </w:t>
      </w:r>
      <w:r w:rsidRPr="007960A2">
        <w:t xml:space="preserve">her messages, even though he had been </w:t>
      </w:r>
      <w:r w:rsidR="002B7AC7">
        <w:t xml:space="preserve">told </w:t>
      </w:r>
      <w:r w:rsidRPr="007960A2">
        <w:t xml:space="preserve">that his actions were </w:t>
      </w:r>
      <w:r w:rsidR="002B7AC7">
        <w:t>contrary to</w:t>
      </w:r>
      <w:r w:rsidRPr="007960A2">
        <w:t xml:space="preserve"> the </w:t>
      </w:r>
      <w:r w:rsidRPr="007960A2">
        <w:rPr>
          <w:i/>
        </w:rPr>
        <w:t>Charter</w:t>
      </w:r>
      <w:r w:rsidRPr="007960A2">
        <w:t>.</w:t>
      </w:r>
      <w:r w:rsidRPr="007960A2">
        <w:rPr>
          <w:rStyle w:val="Appelnotedebasdep"/>
        </w:rPr>
        <w:footnoteReference w:id="122"/>
      </w:r>
    </w:p>
    <w:p w14:paraId="292C4737" w14:textId="4C069C90" w:rsidR="000E202A" w:rsidRPr="007960A2" w:rsidRDefault="002B7AC7" w:rsidP="0022392F">
      <w:pPr>
        <w:pStyle w:val="Paragraphe"/>
        <w:numPr>
          <w:ilvl w:val="0"/>
          <w:numId w:val="1"/>
        </w:numPr>
        <w:tabs>
          <w:tab w:val="clear" w:pos="567"/>
          <w:tab w:val="clear" w:pos="2629"/>
          <w:tab w:val="left" w:pos="709"/>
        </w:tabs>
        <w:ind w:left="0"/>
        <w:rPr>
          <w:i/>
          <w:iCs/>
        </w:rPr>
      </w:pPr>
      <w:r>
        <w:t>Some time</w:t>
      </w:r>
      <w:r w:rsidR="006B2434" w:rsidRPr="007960A2">
        <w:t xml:space="preserve"> later, E.B. started to become depressed.</w:t>
      </w:r>
      <w:r w:rsidR="00E641F1" w:rsidRPr="007960A2">
        <w:t xml:space="preserve"> </w:t>
      </w:r>
      <w:r w:rsidR="006B2434" w:rsidRPr="007960A2">
        <w:t xml:space="preserve">This incident was </w:t>
      </w:r>
      <w:r w:rsidR="0027005E" w:rsidRPr="007960A2">
        <w:rPr>
          <w:rFonts w:cs="Arial"/>
          <w:color w:val="000016"/>
          <w:spacing w:val="2"/>
          <w:szCs w:val="22"/>
        </w:rPr>
        <w:t>[</w:t>
      </w:r>
      <w:r w:rsidR="0027005E" w:rsidRPr="007960A2">
        <w:rPr>
          <w:rFonts w:cs="Arial"/>
          <w:smallCaps/>
          <w:color w:val="000016"/>
          <w:spacing w:val="2"/>
          <w:szCs w:val="22"/>
        </w:rPr>
        <w:t>translation</w:t>
      </w:r>
      <w:r w:rsidR="0027005E" w:rsidRPr="007960A2">
        <w:rPr>
          <w:rFonts w:cs="Arial"/>
          <w:color w:val="000016"/>
          <w:spacing w:val="2"/>
          <w:szCs w:val="22"/>
        </w:rPr>
        <w:t>]</w:t>
      </w:r>
      <w:r w:rsidR="0027005E" w:rsidRPr="007960A2">
        <w:t xml:space="preserve"> </w:t>
      </w:r>
      <w:r w:rsidR="006B2434" w:rsidRPr="007960A2">
        <w:t>“the straw that broke the camel’s back”.</w:t>
      </w:r>
      <w:r w:rsidR="00E641F1" w:rsidRPr="007960A2">
        <w:t xml:space="preserve"> </w:t>
      </w:r>
      <w:r w:rsidR="006B2434" w:rsidRPr="007960A2">
        <w:t xml:space="preserve">She </w:t>
      </w:r>
      <w:r w:rsidR="00E21A03">
        <w:t>stat</w:t>
      </w:r>
      <w:r>
        <w:t>ed</w:t>
      </w:r>
      <w:r w:rsidR="006B2434" w:rsidRPr="007960A2">
        <w:t>:</w:t>
      </w:r>
    </w:p>
    <w:p w14:paraId="475BA17B" w14:textId="04590655" w:rsidR="0027005E" w:rsidRPr="007960A2" w:rsidRDefault="0027005E" w:rsidP="000E202A">
      <w:pPr>
        <w:pStyle w:val="Citationenretrait"/>
        <w:rPr>
          <w:lang w:val="en-CA"/>
        </w:rPr>
      </w:pPr>
      <w:r w:rsidRPr="007960A2">
        <w:rPr>
          <w:rFonts w:cs="Arial"/>
          <w:color w:val="000016"/>
          <w:spacing w:val="2"/>
          <w:szCs w:val="22"/>
          <w:lang w:val="en-CA"/>
        </w:rPr>
        <w:t>[</w:t>
      </w:r>
      <w:r w:rsidRPr="007960A2">
        <w:rPr>
          <w:rFonts w:cs="Arial"/>
          <w:smallCaps/>
          <w:color w:val="000016"/>
          <w:spacing w:val="2"/>
          <w:szCs w:val="22"/>
          <w:lang w:val="en-CA"/>
        </w:rPr>
        <w:t>translation</w:t>
      </w:r>
      <w:r w:rsidRPr="007960A2">
        <w:rPr>
          <w:rFonts w:cs="Arial"/>
          <w:color w:val="000016"/>
          <w:spacing w:val="2"/>
          <w:szCs w:val="22"/>
          <w:lang w:val="en-CA"/>
        </w:rPr>
        <w:t>]</w:t>
      </w:r>
    </w:p>
    <w:p w14:paraId="22B4DB67" w14:textId="3801D6F4" w:rsidR="00C96B39" w:rsidRPr="007960A2" w:rsidRDefault="006B2434" w:rsidP="000E202A">
      <w:pPr>
        <w:pStyle w:val="Citationenretrait"/>
        <w:rPr>
          <w:lang w:val="en-CA"/>
        </w:rPr>
      </w:pPr>
      <w:bookmarkStart w:id="24" w:name="_Hlk194565717"/>
      <w:r w:rsidRPr="007960A2">
        <w:rPr>
          <w:lang w:val="en-CA"/>
        </w:rPr>
        <w:t xml:space="preserve">I felt like </w:t>
      </w:r>
      <w:r w:rsidR="00DA7593">
        <w:rPr>
          <w:lang w:val="en-CA"/>
        </w:rPr>
        <w:t>my wings had been clipped</w:t>
      </w:r>
      <w:r w:rsidRPr="007960A2">
        <w:rPr>
          <w:lang w:val="en-CA"/>
        </w:rPr>
        <w:t>.</w:t>
      </w:r>
      <w:r w:rsidR="00E641F1" w:rsidRPr="007960A2">
        <w:rPr>
          <w:lang w:val="en-CA"/>
        </w:rPr>
        <w:t xml:space="preserve"> </w:t>
      </w:r>
      <w:r w:rsidRPr="007960A2">
        <w:rPr>
          <w:lang w:val="en-CA"/>
        </w:rPr>
        <w:t xml:space="preserve">I had done everything to be </w:t>
      </w:r>
      <w:r w:rsidR="007D3EB8">
        <w:rPr>
          <w:lang w:val="en-CA"/>
        </w:rPr>
        <w:t xml:space="preserve">considered </w:t>
      </w:r>
      <w:r w:rsidRPr="007960A2">
        <w:rPr>
          <w:lang w:val="en-CA"/>
        </w:rPr>
        <w:t>a “real woman”</w:t>
      </w:r>
      <w:r w:rsidR="00E641F1" w:rsidRPr="007960A2">
        <w:rPr>
          <w:lang w:val="en-CA"/>
        </w:rPr>
        <w:t xml:space="preserve">. </w:t>
      </w:r>
      <w:r w:rsidRPr="007960A2">
        <w:rPr>
          <w:lang w:val="en-CA"/>
        </w:rPr>
        <w:t>I had surgery.</w:t>
      </w:r>
      <w:r w:rsidR="00E641F1" w:rsidRPr="007960A2">
        <w:rPr>
          <w:lang w:val="en-CA"/>
        </w:rPr>
        <w:t xml:space="preserve"> </w:t>
      </w:r>
      <w:r w:rsidRPr="007960A2">
        <w:rPr>
          <w:lang w:val="en-CA"/>
        </w:rPr>
        <w:t>I legally changed my name.</w:t>
      </w:r>
      <w:r w:rsidR="00E641F1" w:rsidRPr="007960A2">
        <w:rPr>
          <w:lang w:val="en-CA"/>
        </w:rPr>
        <w:t xml:space="preserve"> </w:t>
      </w:r>
      <w:r w:rsidRPr="007960A2">
        <w:rPr>
          <w:lang w:val="en-CA"/>
        </w:rPr>
        <w:t xml:space="preserve">I felt </w:t>
      </w:r>
      <w:r w:rsidR="00841A22">
        <w:rPr>
          <w:lang w:val="en-CA"/>
        </w:rPr>
        <w:t xml:space="preserve">that </w:t>
      </w:r>
      <w:r w:rsidRPr="007960A2">
        <w:rPr>
          <w:lang w:val="en-CA"/>
        </w:rPr>
        <w:t xml:space="preserve">there was nothing </w:t>
      </w:r>
      <w:r w:rsidR="00841A22">
        <w:rPr>
          <w:lang w:val="en-CA"/>
        </w:rPr>
        <w:t>else</w:t>
      </w:r>
      <w:r w:rsidRPr="007960A2">
        <w:rPr>
          <w:lang w:val="en-CA"/>
        </w:rPr>
        <w:t xml:space="preserve"> I could </w:t>
      </w:r>
      <w:r w:rsidR="00841A22">
        <w:rPr>
          <w:lang w:val="en-CA"/>
        </w:rPr>
        <w:t xml:space="preserve">do </w:t>
      </w:r>
      <w:r w:rsidR="00E21A03">
        <w:rPr>
          <w:lang w:val="en-CA"/>
        </w:rPr>
        <w:t xml:space="preserve">that would make me </w:t>
      </w:r>
      <w:r w:rsidRPr="007960A2">
        <w:rPr>
          <w:lang w:val="en-CA"/>
        </w:rPr>
        <w:t>a woman.</w:t>
      </w:r>
      <w:r w:rsidR="00E641F1" w:rsidRPr="007960A2">
        <w:rPr>
          <w:lang w:val="en-CA"/>
        </w:rPr>
        <w:t xml:space="preserve"> </w:t>
      </w:r>
      <w:r w:rsidRPr="007960A2">
        <w:rPr>
          <w:lang w:val="en-CA"/>
        </w:rPr>
        <w:t xml:space="preserve">I </w:t>
      </w:r>
      <w:r w:rsidR="00E21A03">
        <w:rPr>
          <w:lang w:val="en-CA"/>
        </w:rPr>
        <w:t xml:space="preserve">had </w:t>
      </w:r>
      <w:r w:rsidRPr="007960A2">
        <w:rPr>
          <w:lang w:val="en-CA"/>
        </w:rPr>
        <w:t>lost all self-esteem</w:t>
      </w:r>
      <w:bookmarkEnd w:id="24"/>
      <w:r w:rsidRPr="007960A2">
        <w:rPr>
          <w:lang w:val="en-CA"/>
        </w:rPr>
        <w:t>.</w:t>
      </w:r>
    </w:p>
    <w:p w14:paraId="0F51D0C4" w14:textId="21F0D3CB" w:rsidR="00C96B39" w:rsidRPr="007960A2" w:rsidRDefault="006B2434" w:rsidP="0022392F">
      <w:pPr>
        <w:pStyle w:val="Paragraphe"/>
        <w:numPr>
          <w:ilvl w:val="0"/>
          <w:numId w:val="1"/>
        </w:numPr>
        <w:tabs>
          <w:tab w:val="clear" w:pos="567"/>
          <w:tab w:val="clear" w:pos="2629"/>
          <w:tab w:val="left" w:pos="709"/>
        </w:tabs>
        <w:ind w:left="0"/>
        <w:rPr>
          <w:i/>
          <w:iCs/>
        </w:rPr>
      </w:pPr>
      <w:r w:rsidRPr="007960A2">
        <w:t xml:space="preserve">The effects of Mr. Sikder’s conduct and </w:t>
      </w:r>
      <w:r w:rsidR="00E21A03">
        <w:t xml:space="preserve">his </w:t>
      </w:r>
      <w:r w:rsidRPr="007960A2">
        <w:t xml:space="preserve">remarks about her voice had a marked </w:t>
      </w:r>
      <w:r w:rsidR="00E21A03">
        <w:t>e</w:t>
      </w:r>
      <w:r w:rsidRPr="007960A2">
        <w:t xml:space="preserve">ffect on E.B. She explained that she </w:t>
      </w:r>
      <w:r w:rsidR="00E21A03">
        <w:t xml:space="preserve">subsequently went </w:t>
      </w:r>
      <w:r w:rsidRPr="007960A2">
        <w:t xml:space="preserve">to the United States twice for </w:t>
      </w:r>
      <w:r w:rsidRPr="007960A2">
        <w:lastRenderedPageBreak/>
        <w:t>operation</w:t>
      </w:r>
      <w:r w:rsidR="00E21A03">
        <w:t>s</w:t>
      </w:r>
      <w:r w:rsidRPr="007960A2">
        <w:t xml:space="preserve"> on her vocal </w:t>
      </w:r>
      <w:r w:rsidR="00350031" w:rsidRPr="007960A2">
        <w:t>cords</w:t>
      </w:r>
      <w:r w:rsidRPr="007960A2">
        <w:t>.</w:t>
      </w:r>
      <w:r w:rsidR="00E21A03">
        <w:t xml:space="preserve"> S</w:t>
      </w:r>
      <w:r w:rsidRPr="007960A2">
        <w:t>he s</w:t>
      </w:r>
      <w:r w:rsidR="00E21A03">
        <w:t>tated</w:t>
      </w:r>
      <w:r w:rsidRPr="007960A2">
        <w:t xml:space="preserve"> that </w:t>
      </w:r>
      <w:r w:rsidR="00E21A03">
        <w:t>t</w:t>
      </w:r>
      <w:r w:rsidR="00E21A03" w:rsidRPr="007960A2">
        <w:t>o this day</w:t>
      </w:r>
      <w:r w:rsidR="0017718D">
        <w:t>,</w:t>
      </w:r>
      <w:r w:rsidR="00E21A03" w:rsidRPr="007960A2">
        <w:t xml:space="preserve"> </w:t>
      </w:r>
      <w:r w:rsidRPr="007960A2">
        <w:t xml:space="preserve">she </w:t>
      </w:r>
      <w:r w:rsidR="00E21A03">
        <w:t xml:space="preserve">still </w:t>
      </w:r>
      <w:r w:rsidRPr="007960A2">
        <w:t>has a complex about her voice.</w:t>
      </w:r>
    </w:p>
    <w:p w14:paraId="50C2BA95" w14:textId="0CCFB949" w:rsidR="00C96B39" w:rsidRPr="007960A2" w:rsidRDefault="006B2434" w:rsidP="00C6172E">
      <w:pPr>
        <w:pStyle w:val="Paragraphe"/>
        <w:numPr>
          <w:ilvl w:val="0"/>
          <w:numId w:val="1"/>
        </w:numPr>
        <w:tabs>
          <w:tab w:val="clear" w:pos="567"/>
          <w:tab w:val="clear" w:pos="2629"/>
          <w:tab w:val="left" w:pos="709"/>
        </w:tabs>
        <w:ind w:left="0"/>
        <w:rPr>
          <w:i/>
          <w:iCs/>
        </w:rPr>
      </w:pPr>
      <w:r w:rsidRPr="007960A2">
        <w:t xml:space="preserve">The affidavit of E.B.’s mother corroborates E.B.’s </w:t>
      </w:r>
      <w:r w:rsidR="0017718D">
        <w:t>distress</w:t>
      </w:r>
      <w:r w:rsidR="0017718D" w:rsidRPr="007960A2">
        <w:t xml:space="preserve"> </w:t>
      </w:r>
      <w:r w:rsidRPr="007960A2">
        <w:t>after leaving the Bar.</w:t>
      </w:r>
      <w:r w:rsidR="00E641F1" w:rsidRPr="007960A2">
        <w:t xml:space="preserve"> </w:t>
      </w:r>
      <w:r w:rsidRPr="007960A2">
        <w:t xml:space="preserve">In addition to </w:t>
      </w:r>
      <w:r w:rsidR="0017718D">
        <w:t xml:space="preserve">the </w:t>
      </w:r>
      <w:r w:rsidRPr="007960A2">
        <w:t xml:space="preserve">suicidal remarks </w:t>
      </w:r>
      <w:r w:rsidR="0017718D">
        <w:t xml:space="preserve">her daughter </w:t>
      </w:r>
      <w:r w:rsidR="004F011C">
        <w:t xml:space="preserve">made </w:t>
      </w:r>
      <w:r w:rsidRPr="007960A2">
        <w:t xml:space="preserve">during their telephone conversation on March 30, 2017, she also said that she was going to have her mouth sewn shut so that she would never </w:t>
      </w:r>
      <w:r w:rsidR="004F011C">
        <w:t xml:space="preserve">have to </w:t>
      </w:r>
      <w:r w:rsidRPr="007960A2">
        <w:t xml:space="preserve">go through </w:t>
      </w:r>
      <w:r w:rsidR="0017718D">
        <w:t>such</w:t>
      </w:r>
      <w:r w:rsidR="0017718D" w:rsidRPr="007960A2">
        <w:t xml:space="preserve"> </w:t>
      </w:r>
      <w:r w:rsidRPr="007960A2">
        <w:t>humiliation again.</w:t>
      </w:r>
      <w:r w:rsidR="00E641F1" w:rsidRPr="007960A2">
        <w:t xml:space="preserve"> </w:t>
      </w:r>
      <w:r w:rsidRPr="007960A2">
        <w:t xml:space="preserve">E.B. felt </w:t>
      </w:r>
      <w:r w:rsidR="004F011C">
        <w:t xml:space="preserve">that </w:t>
      </w:r>
      <w:r w:rsidRPr="007960A2">
        <w:t xml:space="preserve">her </w:t>
      </w:r>
      <w:r w:rsidR="004F011C">
        <w:t xml:space="preserve">voice had ruined her </w:t>
      </w:r>
      <w:r w:rsidRPr="007960A2">
        <w:t>life because she would never be viewed as a woman.</w:t>
      </w:r>
    </w:p>
    <w:p w14:paraId="597CB5A0" w14:textId="4949B089" w:rsidR="00C96B39" w:rsidRPr="007960A2" w:rsidRDefault="006B2434" w:rsidP="0022392F">
      <w:pPr>
        <w:pStyle w:val="Paragraphe"/>
        <w:numPr>
          <w:ilvl w:val="0"/>
          <w:numId w:val="1"/>
        </w:numPr>
        <w:tabs>
          <w:tab w:val="clear" w:pos="567"/>
          <w:tab w:val="clear" w:pos="2629"/>
          <w:tab w:val="left" w:pos="709"/>
        </w:tabs>
        <w:ind w:left="0"/>
        <w:rPr>
          <w:i/>
          <w:iCs/>
        </w:rPr>
      </w:pPr>
      <w:r w:rsidRPr="007960A2">
        <w:t xml:space="preserve">E.B.’s mother confirmed the devastating repercussions of this episode on the life of her daughter, who </w:t>
      </w:r>
      <w:r w:rsidR="004F011C">
        <w:t xml:space="preserve">remains </w:t>
      </w:r>
      <w:r w:rsidRPr="007960A2">
        <w:t>constantly preoccupied by her physical appearance.</w:t>
      </w:r>
    </w:p>
    <w:p w14:paraId="2050B09D" w14:textId="6C4D0CB9" w:rsidR="00C96B39" w:rsidRPr="007960A2" w:rsidRDefault="006B2434" w:rsidP="0022392F">
      <w:pPr>
        <w:pStyle w:val="Paragraphe"/>
        <w:numPr>
          <w:ilvl w:val="0"/>
          <w:numId w:val="1"/>
        </w:numPr>
        <w:tabs>
          <w:tab w:val="clear" w:pos="567"/>
          <w:tab w:val="clear" w:pos="2629"/>
          <w:tab w:val="left" w:pos="709"/>
        </w:tabs>
        <w:ind w:left="0"/>
        <w:rPr>
          <w:i/>
          <w:iCs/>
        </w:rPr>
      </w:pPr>
      <w:r w:rsidRPr="007960A2">
        <w:t>She added that she witnessed her daughter’s subsequent fear of looking for a job.</w:t>
      </w:r>
    </w:p>
    <w:p w14:paraId="529449AE" w14:textId="43FF5265" w:rsidR="00C96B39" w:rsidRPr="007960A2" w:rsidRDefault="006B2434" w:rsidP="0022392F">
      <w:pPr>
        <w:pStyle w:val="Paragraphe"/>
        <w:numPr>
          <w:ilvl w:val="0"/>
          <w:numId w:val="1"/>
        </w:numPr>
        <w:tabs>
          <w:tab w:val="clear" w:pos="567"/>
          <w:tab w:val="clear" w:pos="2629"/>
          <w:tab w:val="left" w:pos="709"/>
        </w:tabs>
        <w:ind w:left="0"/>
        <w:rPr>
          <w:i/>
          <w:iCs/>
        </w:rPr>
      </w:pPr>
      <w:r w:rsidRPr="007960A2">
        <w:t xml:space="preserve">The Tribunal does not doubt that E.B. was hurt by the refusal </w:t>
      </w:r>
      <w:r w:rsidR="00945B04">
        <w:t xml:space="preserve">to </w:t>
      </w:r>
      <w:r w:rsidR="00F94C2D">
        <w:t xml:space="preserve">hire </w:t>
      </w:r>
      <w:r w:rsidRPr="007960A2">
        <w:t>based solely on her identity as a trans person.</w:t>
      </w:r>
      <w:r w:rsidR="00E641F1" w:rsidRPr="007960A2">
        <w:t xml:space="preserve"> </w:t>
      </w:r>
      <w:r w:rsidRPr="007960A2">
        <w:t>The consequences of the refusal triggered a depressi</w:t>
      </w:r>
      <w:r w:rsidR="0013566A">
        <w:t>ve state</w:t>
      </w:r>
      <w:r w:rsidRPr="007960A2">
        <w:t xml:space="preserve"> and significant</w:t>
      </w:r>
      <w:r w:rsidR="00E92241">
        <w:t>ly</w:t>
      </w:r>
      <w:r w:rsidRPr="007960A2">
        <w:t xml:space="preserve"> damage</w:t>
      </w:r>
      <w:r w:rsidR="00E92241">
        <w:t>d</w:t>
      </w:r>
      <w:r w:rsidRPr="007960A2">
        <w:t xml:space="preserve"> her self-esteem.</w:t>
      </w:r>
    </w:p>
    <w:p w14:paraId="1DDB7F77" w14:textId="0C018387" w:rsidR="00C96B39" w:rsidRPr="007960A2" w:rsidRDefault="006B2434" w:rsidP="0022392F">
      <w:pPr>
        <w:pStyle w:val="Paragraphe"/>
        <w:numPr>
          <w:ilvl w:val="0"/>
          <w:numId w:val="1"/>
        </w:numPr>
        <w:tabs>
          <w:tab w:val="clear" w:pos="567"/>
          <w:tab w:val="clear" w:pos="2629"/>
          <w:tab w:val="left" w:pos="709"/>
        </w:tabs>
        <w:ind w:left="0"/>
        <w:rPr>
          <w:i/>
          <w:iCs/>
        </w:rPr>
      </w:pPr>
      <w:r w:rsidRPr="007960A2">
        <w:t xml:space="preserve">The suicidal thoughts and vocal </w:t>
      </w:r>
      <w:r w:rsidR="00350031" w:rsidRPr="007960A2">
        <w:t>cord</w:t>
      </w:r>
      <w:r w:rsidRPr="007960A2">
        <w:t xml:space="preserve"> surgeries are evidence of the serious prejudicial effects arising from the defendants’ </w:t>
      </w:r>
      <w:r w:rsidR="00366A84">
        <w:t>employment refusal</w:t>
      </w:r>
      <w:r w:rsidRPr="007960A2">
        <w:t>.</w:t>
      </w:r>
    </w:p>
    <w:p w14:paraId="08B5B740" w14:textId="11D60BDB" w:rsidR="00C96B39" w:rsidRPr="007960A2" w:rsidRDefault="006B2434" w:rsidP="0022392F">
      <w:pPr>
        <w:pStyle w:val="Paragraphe"/>
        <w:numPr>
          <w:ilvl w:val="0"/>
          <w:numId w:val="1"/>
        </w:numPr>
        <w:tabs>
          <w:tab w:val="clear" w:pos="567"/>
          <w:tab w:val="clear" w:pos="2629"/>
          <w:tab w:val="left" w:pos="709"/>
        </w:tabs>
        <w:ind w:left="0"/>
        <w:rPr>
          <w:i/>
          <w:iCs/>
        </w:rPr>
      </w:pPr>
      <w:r w:rsidRPr="007960A2">
        <w:t xml:space="preserve">Even though there </w:t>
      </w:r>
      <w:r w:rsidR="00366A84">
        <w:t>wa</w:t>
      </w:r>
      <w:r w:rsidRPr="007960A2">
        <w:t xml:space="preserve">s no direct medical evidence of E.B.’s depressive </w:t>
      </w:r>
      <w:r w:rsidR="0013566A">
        <w:t>state</w:t>
      </w:r>
      <w:r w:rsidRPr="007960A2">
        <w:t xml:space="preserve">, the facts are sufficiently detailed to </w:t>
      </w:r>
      <w:r w:rsidR="00366A84">
        <w:t xml:space="preserve">find </w:t>
      </w:r>
      <w:r w:rsidRPr="007960A2">
        <w:t xml:space="preserve">that she suffered a </w:t>
      </w:r>
      <w:r w:rsidR="00366A84">
        <w:t xml:space="preserve">significant </w:t>
      </w:r>
      <w:r w:rsidRPr="007960A2">
        <w:t xml:space="preserve">moral </w:t>
      </w:r>
      <w:r w:rsidR="00DC225B">
        <w:t>prejudice</w:t>
      </w:r>
      <w:r w:rsidRPr="007960A2">
        <w:t xml:space="preserve"> that could have caused a depressi</w:t>
      </w:r>
      <w:r w:rsidR="00366A84">
        <w:t xml:space="preserve">ve </w:t>
      </w:r>
      <w:r w:rsidR="0013566A">
        <w:t>state</w:t>
      </w:r>
      <w:r w:rsidRPr="007960A2">
        <w:t>, or at the very least make her depressed.</w:t>
      </w:r>
      <w:r w:rsidR="00B24E4D" w:rsidRPr="007960A2">
        <w:t xml:space="preserve"> </w:t>
      </w:r>
      <w:r w:rsidRPr="007960A2">
        <w:t>In this regard, the Tribunal refers to a request to postpone the trial in the course of the proceedings while E.B. was in residential therapy under a physician’s supervision, five years after the incident.</w:t>
      </w:r>
    </w:p>
    <w:p w14:paraId="3E43BC83" w14:textId="64C25B59" w:rsidR="0069324F" w:rsidRPr="007960A2" w:rsidRDefault="006B2434" w:rsidP="00C6172E">
      <w:pPr>
        <w:pStyle w:val="Paragraphe"/>
        <w:numPr>
          <w:ilvl w:val="0"/>
          <w:numId w:val="1"/>
        </w:numPr>
        <w:tabs>
          <w:tab w:val="clear" w:pos="567"/>
          <w:tab w:val="clear" w:pos="2629"/>
          <w:tab w:val="left" w:pos="709"/>
        </w:tabs>
        <w:ind w:left="0"/>
        <w:rPr>
          <w:i/>
          <w:iCs/>
        </w:rPr>
      </w:pPr>
      <w:r w:rsidRPr="007960A2">
        <w:rPr>
          <w:rFonts w:cs="Arial"/>
          <w:color w:val="000000"/>
        </w:rPr>
        <w:t>The CDPDJ claim</w:t>
      </w:r>
      <w:r w:rsidR="00E92241">
        <w:rPr>
          <w:rFonts w:cs="Arial"/>
          <w:color w:val="000000"/>
        </w:rPr>
        <w:t>s</w:t>
      </w:r>
      <w:r w:rsidRPr="007960A2">
        <w:rPr>
          <w:rFonts w:cs="Arial"/>
          <w:color w:val="000000"/>
        </w:rPr>
        <w:t xml:space="preserve"> $12,000 on behalf of E.B. to compensate her moral </w:t>
      </w:r>
      <w:r w:rsidR="00DC225B">
        <w:rPr>
          <w:rFonts w:cs="Arial"/>
          <w:color w:val="000000"/>
        </w:rPr>
        <w:t>prejudice</w:t>
      </w:r>
      <w:r w:rsidRPr="007960A2">
        <w:rPr>
          <w:rFonts w:cs="Arial"/>
          <w:color w:val="000000"/>
        </w:rPr>
        <w:t>.</w:t>
      </w:r>
    </w:p>
    <w:p w14:paraId="47A3B226" w14:textId="31068FD0" w:rsidR="00D804DE" w:rsidRPr="007960A2" w:rsidRDefault="006B2434" w:rsidP="00C6172E">
      <w:pPr>
        <w:pStyle w:val="Paragraphe"/>
        <w:numPr>
          <w:ilvl w:val="0"/>
          <w:numId w:val="1"/>
        </w:numPr>
        <w:tabs>
          <w:tab w:val="clear" w:pos="567"/>
          <w:tab w:val="clear" w:pos="2629"/>
          <w:tab w:val="left" w:pos="709"/>
        </w:tabs>
        <w:ind w:left="0"/>
        <w:rPr>
          <w:i/>
          <w:iCs/>
        </w:rPr>
      </w:pPr>
      <w:r w:rsidRPr="007960A2">
        <w:rPr>
          <w:rFonts w:cs="Arial"/>
          <w:color w:val="000000"/>
        </w:rPr>
        <w:t xml:space="preserve">In comparison, in </w:t>
      </w:r>
      <w:r w:rsidRPr="007960A2">
        <w:rPr>
          <w:rFonts w:cs="Arial"/>
          <w:i/>
          <w:color w:val="000000"/>
        </w:rPr>
        <w:t>Maison des jeunes</w:t>
      </w:r>
      <w:r w:rsidRPr="007960A2">
        <w:rPr>
          <w:rFonts w:cs="Arial"/>
          <w:color w:val="000000"/>
        </w:rPr>
        <w:t>, the Tribunal awarded the complainant $4,000 as damages</w:t>
      </w:r>
      <w:r w:rsidR="00DC225B">
        <w:rPr>
          <w:rFonts w:cs="Arial"/>
          <w:color w:val="000000"/>
        </w:rPr>
        <w:t xml:space="preserve"> for moral prejudice</w:t>
      </w:r>
      <w:r w:rsidRPr="007960A2">
        <w:rPr>
          <w:rFonts w:cs="Arial"/>
          <w:color w:val="000000"/>
        </w:rPr>
        <w:t>.</w:t>
      </w:r>
      <w:r w:rsidRPr="007960A2">
        <w:rPr>
          <w:rStyle w:val="Appelnotedebasdep"/>
          <w:rFonts w:cs="Arial"/>
          <w:color w:val="000000"/>
        </w:rPr>
        <w:footnoteReference w:id="123"/>
      </w:r>
      <w:r w:rsidR="0069324F" w:rsidRPr="007960A2">
        <w:rPr>
          <w:rFonts w:cs="Arial"/>
          <w:color w:val="000000"/>
        </w:rPr>
        <w:t xml:space="preserve"> </w:t>
      </w:r>
      <w:r w:rsidR="0013566A">
        <w:rPr>
          <w:rFonts w:cs="Arial"/>
          <w:color w:val="000000"/>
        </w:rPr>
        <w:t>However, t</w:t>
      </w:r>
      <w:r w:rsidR="006D5393" w:rsidRPr="007960A2">
        <w:rPr>
          <w:rFonts w:cs="Arial"/>
          <w:color w:val="000000"/>
        </w:rPr>
        <w:t xml:space="preserve">hat decision dates </w:t>
      </w:r>
      <w:r w:rsidR="0013566A">
        <w:rPr>
          <w:rFonts w:cs="Arial"/>
          <w:color w:val="000000"/>
        </w:rPr>
        <w:t xml:space="preserve">from </w:t>
      </w:r>
      <w:r w:rsidR="006D5393" w:rsidRPr="007960A2">
        <w:rPr>
          <w:rFonts w:cs="Arial"/>
          <w:color w:val="000000"/>
        </w:rPr>
        <w:t>1998.</w:t>
      </w:r>
    </w:p>
    <w:p w14:paraId="6DF63D5C" w14:textId="53DD6677" w:rsidR="0069324F" w:rsidRPr="007960A2" w:rsidRDefault="006D5393" w:rsidP="00C6172E">
      <w:pPr>
        <w:pStyle w:val="Paragraphe"/>
        <w:numPr>
          <w:ilvl w:val="0"/>
          <w:numId w:val="1"/>
        </w:numPr>
        <w:tabs>
          <w:tab w:val="clear" w:pos="567"/>
          <w:tab w:val="clear" w:pos="2629"/>
          <w:tab w:val="left" w:pos="709"/>
        </w:tabs>
        <w:ind w:left="0"/>
        <w:rPr>
          <w:i/>
          <w:iCs/>
        </w:rPr>
      </w:pPr>
      <w:r w:rsidRPr="007960A2">
        <w:rPr>
          <w:rFonts w:cs="Arial"/>
          <w:color w:val="000000"/>
        </w:rPr>
        <w:t xml:space="preserve">In the recent </w:t>
      </w:r>
      <w:r w:rsidRPr="007960A2">
        <w:rPr>
          <w:rFonts w:cs="Arial"/>
          <w:i/>
          <w:color w:val="000000"/>
        </w:rPr>
        <w:t>Bilac</w:t>
      </w:r>
      <w:r w:rsidRPr="007960A2">
        <w:rPr>
          <w:rFonts w:cs="Arial"/>
          <w:color w:val="000000"/>
        </w:rPr>
        <w:t>, rendered in 2023, the Canadian Human Rights Tribunal awarded the complainant $15,000.</w:t>
      </w:r>
      <w:r w:rsidRPr="007960A2">
        <w:rPr>
          <w:rStyle w:val="Appelnotedebasdep"/>
          <w:rFonts w:cs="Arial"/>
          <w:color w:val="000000"/>
        </w:rPr>
        <w:footnoteReference w:id="124"/>
      </w:r>
      <w:r w:rsidR="00E641F1" w:rsidRPr="007960A2">
        <w:rPr>
          <w:rFonts w:cs="Arial"/>
          <w:color w:val="000000"/>
        </w:rPr>
        <w:t xml:space="preserve"> </w:t>
      </w:r>
      <w:r w:rsidRPr="007960A2">
        <w:rPr>
          <w:rFonts w:cs="Arial"/>
          <w:color w:val="000000"/>
        </w:rPr>
        <w:t>However, his situation was different from that of E.B. because the discriminatory harass</w:t>
      </w:r>
      <w:r w:rsidR="0013566A">
        <w:rPr>
          <w:rFonts w:cs="Arial"/>
          <w:color w:val="000000"/>
        </w:rPr>
        <w:t>ment</w:t>
      </w:r>
      <w:r w:rsidRPr="007960A2">
        <w:rPr>
          <w:rFonts w:cs="Arial"/>
          <w:color w:val="000000"/>
        </w:rPr>
        <w:t xml:space="preserve"> </w:t>
      </w:r>
      <w:r w:rsidR="0013566A">
        <w:rPr>
          <w:rFonts w:cs="Arial"/>
          <w:color w:val="000000"/>
        </w:rPr>
        <w:t xml:space="preserve">was spread out </w:t>
      </w:r>
      <w:r w:rsidRPr="007960A2">
        <w:rPr>
          <w:rFonts w:cs="Arial"/>
          <w:color w:val="000000"/>
        </w:rPr>
        <w:t>over more than a year.</w:t>
      </w:r>
    </w:p>
    <w:p w14:paraId="1A9CDF4C" w14:textId="774CC7C9" w:rsidR="00C96B39" w:rsidRPr="007960A2" w:rsidRDefault="006D5393" w:rsidP="00C6172E">
      <w:pPr>
        <w:pStyle w:val="Paragraphe"/>
        <w:numPr>
          <w:ilvl w:val="0"/>
          <w:numId w:val="1"/>
        </w:numPr>
        <w:tabs>
          <w:tab w:val="clear" w:pos="567"/>
          <w:tab w:val="clear" w:pos="2629"/>
          <w:tab w:val="left" w:pos="709"/>
        </w:tabs>
        <w:ind w:left="0"/>
        <w:rPr>
          <w:i/>
          <w:iCs/>
        </w:rPr>
      </w:pPr>
      <w:r w:rsidRPr="007960A2">
        <w:rPr>
          <w:rFonts w:cs="Arial"/>
          <w:color w:val="000000"/>
        </w:rPr>
        <w:t xml:space="preserve">The Tribunal finds that in the circumstances of this case, E.B. should be awarded $10,000 for the moral </w:t>
      </w:r>
      <w:r w:rsidR="00DC225B">
        <w:rPr>
          <w:rFonts w:cs="Arial"/>
          <w:color w:val="000000"/>
        </w:rPr>
        <w:t xml:space="preserve">prejudice suffered due to </w:t>
      </w:r>
      <w:r w:rsidRPr="007960A2">
        <w:rPr>
          <w:rFonts w:cs="Arial"/>
          <w:color w:val="000000"/>
        </w:rPr>
        <w:t>the defendants’ discriminatory act.</w:t>
      </w:r>
    </w:p>
    <w:p w14:paraId="0F2F173E" w14:textId="7E9D7497" w:rsidR="00C96B39" w:rsidRPr="007960A2" w:rsidRDefault="006D5393" w:rsidP="003F24FF">
      <w:pPr>
        <w:pStyle w:val="Paragraphe"/>
        <w:keepNext/>
        <w:numPr>
          <w:ilvl w:val="0"/>
          <w:numId w:val="7"/>
        </w:numPr>
        <w:rPr>
          <w:b/>
          <w:bCs/>
        </w:rPr>
      </w:pPr>
      <w:r w:rsidRPr="007960A2">
        <w:rPr>
          <w:b/>
          <w:bCs/>
        </w:rPr>
        <w:lastRenderedPageBreak/>
        <w:t>Punitive damages</w:t>
      </w:r>
    </w:p>
    <w:p w14:paraId="1C9B5495" w14:textId="557A7EBA" w:rsidR="00C96B39" w:rsidRPr="007960A2" w:rsidRDefault="006D5393" w:rsidP="003F24FF">
      <w:pPr>
        <w:pStyle w:val="Paragraphe"/>
        <w:keepNext/>
        <w:numPr>
          <w:ilvl w:val="0"/>
          <w:numId w:val="1"/>
        </w:numPr>
        <w:tabs>
          <w:tab w:val="clear" w:pos="567"/>
          <w:tab w:val="clear" w:pos="2629"/>
          <w:tab w:val="left" w:pos="709"/>
        </w:tabs>
        <w:ind w:left="0"/>
        <w:rPr>
          <w:lang w:eastAsia="fr-CA"/>
        </w:rPr>
      </w:pPr>
      <w:r w:rsidRPr="007960A2">
        <w:rPr>
          <w:lang w:eastAsia="fr-CA"/>
        </w:rPr>
        <w:t xml:space="preserve">Section 49 of the </w:t>
      </w:r>
      <w:r w:rsidRPr="007960A2">
        <w:rPr>
          <w:i/>
          <w:lang w:eastAsia="fr-CA"/>
        </w:rPr>
        <w:t>Charter</w:t>
      </w:r>
      <w:r w:rsidRPr="007960A2">
        <w:rPr>
          <w:lang w:eastAsia="fr-CA"/>
        </w:rPr>
        <w:t xml:space="preserve"> authorizes punitive damages in case of “unlawful and intentional interference”.</w:t>
      </w:r>
      <w:r w:rsidR="008D4472" w:rsidRPr="007960A2">
        <w:rPr>
          <w:lang w:eastAsia="fr-CA"/>
        </w:rPr>
        <w:t xml:space="preserve"> </w:t>
      </w:r>
      <w:r w:rsidR="00D52DE8">
        <w:rPr>
          <w:lang w:eastAsia="fr-CA"/>
        </w:rPr>
        <w:t>In</w:t>
      </w:r>
      <w:r w:rsidRPr="007960A2">
        <w:rPr>
          <w:lang w:eastAsia="fr-CA"/>
        </w:rPr>
        <w:t xml:space="preserve"> </w:t>
      </w:r>
      <w:r w:rsidRPr="007960A2">
        <w:rPr>
          <w:i/>
          <w:lang w:eastAsia="fr-CA"/>
        </w:rPr>
        <w:t>Hôpital St-Ferdinand</w:t>
      </w:r>
      <w:r w:rsidRPr="007960A2">
        <w:rPr>
          <w:rStyle w:val="Appelnotedebasdep"/>
          <w:lang w:eastAsia="fr-CA"/>
        </w:rPr>
        <w:footnoteReference w:id="125"/>
      </w:r>
      <w:r w:rsidR="00F94C2D">
        <w:rPr>
          <w:iCs/>
          <w:lang w:eastAsia="fr-CA"/>
        </w:rPr>
        <w:t>,</w:t>
      </w:r>
      <w:r w:rsidRPr="007960A2">
        <w:rPr>
          <w:lang w:eastAsia="fr-CA"/>
        </w:rPr>
        <w:t xml:space="preserve"> </w:t>
      </w:r>
      <w:r w:rsidR="00D52DE8">
        <w:rPr>
          <w:lang w:eastAsia="fr-CA"/>
        </w:rPr>
        <w:t xml:space="preserve">the Supreme Court </w:t>
      </w:r>
      <w:r w:rsidRPr="007960A2">
        <w:rPr>
          <w:lang w:eastAsia="fr-CA"/>
        </w:rPr>
        <w:t>shed light on the conditions required to grant this type of damages:</w:t>
      </w:r>
    </w:p>
    <w:p w14:paraId="0E088E4E" w14:textId="3A4BD845" w:rsidR="00C96B39" w:rsidRPr="007960A2" w:rsidRDefault="006D5393" w:rsidP="008D4472">
      <w:pPr>
        <w:pStyle w:val="Citationenretrait"/>
        <w:rPr>
          <w:szCs w:val="24"/>
          <w:lang w:val="en-CA" w:eastAsia="fr-CA"/>
        </w:rPr>
      </w:pPr>
      <w:r w:rsidRPr="007960A2">
        <w:rPr>
          <w:rFonts w:cs="Arial"/>
          <w:lang w:val="en-CA" w:eastAsia="fr-CA"/>
        </w:rPr>
        <w:t>[</w:t>
      </w:r>
      <w:r w:rsidRPr="007960A2">
        <w:rPr>
          <w:lang w:val="en-CA" w:eastAsia="fr-CA"/>
        </w:rPr>
        <w:t>121</w:t>
      </w:r>
      <w:r w:rsidRPr="007960A2">
        <w:rPr>
          <w:rFonts w:cs="Arial"/>
          <w:lang w:val="en-CA" w:eastAsia="fr-CA"/>
        </w:rPr>
        <w:t>]</w:t>
      </w:r>
      <w:r w:rsidRPr="007960A2">
        <w:rPr>
          <w:lang w:val="en-CA" w:eastAsia="fr-CA"/>
        </w:rPr>
        <w:t xml:space="preserve"> Consequently, there will be unlawful and intentional interference within the meaning of the second paragraph of s. 49 of the </w:t>
      </w:r>
      <w:r w:rsidRPr="007960A2">
        <w:rPr>
          <w:i/>
          <w:lang w:val="en-CA" w:eastAsia="fr-CA"/>
        </w:rPr>
        <w:t>Charter</w:t>
      </w:r>
      <w:r w:rsidRPr="007960A2">
        <w:rPr>
          <w:lang w:val="en-CA" w:eastAsia="fr-CA"/>
        </w:rPr>
        <w:t xml:space="preserve"> when the person who commits the unlawful interference has a state of mind that implies a desire or intent to cause the consequences of his or her wrongful conduct, or when that person acts with full knowledge of the immediate and natural or at least extremely probable consequences that his or her conduct will cause.</w:t>
      </w:r>
      <w:r w:rsidR="00E641F1" w:rsidRPr="007960A2">
        <w:rPr>
          <w:lang w:val="en-CA" w:eastAsia="fr-CA"/>
        </w:rPr>
        <w:t xml:space="preserve"> </w:t>
      </w:r>
      <w:r w:rsidRPr="007960A2">
        <w:rPr>
          <w:lang w:val="en-CA" w:eastAsia="fr-CA"/>
        </w:rPr>
        <w:t>This test is not as strict as specific intent, but it does go beyond simple negligence.</w:t>
      </w:r>
      <w:r w:rsidR="00E641F1" w:rsidRPr="007960A2">
        <w:rPr>
          <w:lang w:val="en-CA" w:eastAsia="fr-CA"/>
        </w:rPr>
        <w:t xml:space="preserve"> </w:t>
      </w:r>
      <w:r w:rsidRPr="007960A2">
        <w:rPr>
          <w:lang w:val="en-CA" w:eastAsia="fr-CA"/>
        </w:rPr>
        <w:t>Thus, an individual’s recklessness, however wild and foolhardy, as to the consequences of his or her wrongful acts will not in itself satisfy this test.</w:t>
      </w:r>
    </w:p>
    <w:p w14:paraId="79480652" w14:textId="5D9169CB" w:rsidR="00C96B39" w:rsidRPr="007960A2" w:rsidRDefault="006D5393" w:rsidP="00D27F85">
      <w:pPr>
        <w:pStyle w:val="Paragraphe"/>
        <w:numPr>
          <w:ilvl w:val="0"/>
          <w:numId w:val="1"/>
        </w:numPr>
        <w:tabs>
          <w:tab w:val="clear" w:pos="567"/>
          <w:tab w:val="clear" w:pos="2629"/>
          <w:tab w:val="left" w:pos="709"/>
        </w:tabs>
        <w:ind w:left="0"/>
        <w:rPr>
          <w:lang w:eastAsia="fr-CA"/>
        </w:rPr>
      </w:pPr>
      <w:r w:rsidRPr="007960A2">
        <w:rPr>
          <w:lang w:eastAsia="fr-CA"/>
        </w:rPr>
        <w:t xml:space="preserve">Punitive damages </w:t>
      </w:r>
      <w:r w:rsidR="001277C1">
        <w:rPr>
          <w:lang w:eastAsia="fr-CA"/>
        </w:rPr>
        <w:t>are</w:t>
      </w:r>
      <w:r w:rsidRPr="007960A2">
        <w:rPr>
          <w:lang w:eastAsia="fr-CA"/>
        </w:rPr>
        <w:t xml:space="preserve"> exceptional and satisf</w:t>
      </w:r>
      <w:r w:rsidR="001277C1">
        <w:rPr>
          <w:lang w:eastAsia="fr-CA"/>
        </w:rPr>
        <w:t xml:space="preserve">y </w:t>
      </w:r>
      <w:r w:rsidRPr="007960A2">
        <w:rPr>
          <w:lang w:eastAsia="fr-CA"/>
        </w:rPr>
        <w:t>the objectives of punishment, deterrence</w:t>
      </w:r>
      <w:r w:rsidR="001277C1">
        <w:rPr>
          <w:lang w:eastAsia="fr-CA"/>
        </w:rPr>
        <w:t>,</w:t>
      </w:r>
      <w:r w:rsidRPr="007960A2">
        <w:rPr>
          <w:lang w:eastAsia="fr-CA"/>
        </w:rPr>
        <w:t xml:space="preserve"> and denunciation of conduct deemed particularly reprehensible.</w:t>
      </w:r>
      <w:r w:rsidR="00E641F1" w:rsidRPr="007960A2">
        <w:rPr>
          <w:lang w:eastAsia="fr-CA"/>
        </w:rPr>
        <w:t xml:space="preserve"> </w:t>
      </w:r>
      <w:r w:rsidR="00DB0354">
        <w:rPr>
          <w:lang w:eastAsia="fr-CA"/>
        </w:rPr>
        <w:t>P</w:t>
      </w:r>
      <w:r w:rsidRPr="007960A2">
        <w:rPr>
          <w:lang w:eastAsia="fr-CA"/>
        </w:rPr>
        <w:t xml:space="preserve">unitive damages </w:t>
      </w:r>
      <w:r w:rsidR="00DB0354">
        <w:rPr>
          <w:lang w:eastAsia="fr-CA"/>
        </w:rPr>
        <w:t xml:space="preserve">are intended </w:t>
      </w:r>
      <w:r w:rsidRPr="007960A2">
        <w:rPr>
          <w:lang w:eastAsia="fr-CA"/>
        </w:rPr>
        <w:t xml:space="preserve">to </w:t>
      </w:r>
      <w:r w:rsidR="00DB0354">
        <w:rPr>
          <w:lang w:eastAsia="fr-CA"/>
        </w:rPr>
        <w:t xml:space="preserve">punish </w:t>
      </w:r>
      <w:r w:rsidRPr="007960A2">
        <w:rPr>
          <w:lang w:eastAsia="fr-CA"/>
        </w:rPr>
        <w:t xml:space="preserve">the perpetrator of an unlawful and intentional interference with a </w:t>
      </w:r>
      <w:r w:rsidRPr="007960A2">
        <w:rPr>
          <w:i/>
          <w:lang w:eastAsia="fr-CA"/>
        </w:rPr>
        <w:t>Charter</w:t>
      </w:r>
      <w:r w:rsidRPr="007960A2">
        <w:rPr>
          <w:lang w:eastAsia="fr-CA"/>
        </w:rPr>
        <w:t>-protected right, deter that person from re</w:t>
      </w:r>
      <w:r w:rsidR="00DB0354">
        <w:rPr>
          <w:lang w:eastAsia="fr-CA"/>
        </w:rPr>
        <w:t>offending</w:t>
      </w:r>
      <w:r w:rsidRPr="007960A2">
        <w:rPr>
          <w:lang w:eastAsia="fr-CA"/>
        </w:rPr>
        <w:t>, dis</w:t>
      </w:r>
      <w:r w:rsidR="00DB0354">
        <w:rPr>
          <w:lang w:eastAsia="fr-CA"/>
        </w:rPr>
        <w:t>courage</w:t>
      </w:r>
      <w:r w:rsidRPr="007960A2">
        <w:rPr>
          <w:lang w:eastAsia="fr-CA"/>
        </w:rPr>
        <w:t xml:space="preserve"> </w:t>
      </w:r>
      <w:r w:rsidR="00DB0354">
        <w:rPr>
          <w:lang w:eastAsia="fr-CA"/>
        </w:rPr>
        <w:t xml:space="preserve">others </w:t>
      </w:r>
      <w:r w:rsidRPr="007960A2">
        <w:rPr>
          <w:lang w:eastAsia="fr-CA"/>
        </w:rPr>
        <w:t xml:space="preserve">from acting in the same way, and express the Tribunal's disapproval of such </w:t>
      </w:r>
      <w:r w:rsidR="008769D5">
        <w:rPr>
          <w:lang w:eastAsia="fr-CA"/>
        </w:rPr>
        <w:t>conduct</w:t>
      </w:r>
      <w:r w:rsidRPr="007960A2">
        <w:rPr>
          <w:lang w:eastAsia="fr-CA"/>
        </w:rPr>
        <w:t>.</w:t>
      </w:r>
    </w:p>
    <w:p w14:paraId="5B277CA3" w14:textId="201FF2CD" w:rsidR="00C96B39" w:rsidRPr="007960A2" w:rsidRDefault="000A732B" w:rsidP="0022392F">
      <w:pPr>
        <w:pStyle w:val="Paragraphe"/>
        <w:numPr>
          <w:ilvl w:val="0"/>
          <w:numId w:val="1"/>
        </w:numPr>
        <w:tabs>
          <w:tab w:val="clear" w:pos="567"/>
          <w:tab w:val="clear" w:pos="2629"/>
          <w:tab w:val="left" w:pos="709"/>
        </w:tabs>
        <w:ind w:left="0"/>
        <w:rPr>
          <w:lang w:eastAsia="fr-CA"/>
        </w:rPr>
      </w:pPr>
      <w:r w:rsidRPr="007960A2">
        <w:rPr>
          <w:lang w:eastAsia="fr-CA"/>
        </w:rPr>
        <w:t xml:space="preserve">In </w:t>
      </w:r>
      <w:r w:rsidR="00E641F1" w:rsidRPr="007960A2">
        <w:rPr>
          <w:i/>
          <w:iCs/>
          <w:lang w:eastAsia="fr-CA"/>
        </w:rPr>
        <w:t xml:space="preserve">Richard </w:t>
      </w:r>
      <w:r w:rsidRPr="007960A2">
        <w:rPr>
          <w:i/>
          <w:iCs/>
          <w:lang w:eastAsia="fr-CA"/>
        </w:rPr>
        <w:t>v</w:t>
      </w:r>
      <w:r w:rsidR="00E641F1" w:rsidRPr="007960A2">
        <w:rPr>
          <w:i/>
          <w:iCs/>
          <w:lang w:eastAsia="fr-CA"/>
        </w:rPr>
        <w:t xml:space="preserve">. Time </w:t>
      </w:r>
      <w:r w:rsidR="001277C1">
        <w:rPr>
          <w:i/>
          <w:iCs/>
          <w:lang w:eastAsia="fr-CA"/>
        </w:rPr>
        <w:t>I</w:t>
      </w:r>
      <w:r w:rsidR="00E641F1" w:rsidRPr="007960A2">
        <w:rPr>
          <w:i/>
          <w:iCs/>
          <w:lang w:eastAsia="fr-CA"/>
        </w:rPr>
        <w:t>nc.</w:t>
      </w:r>
      <w:r w:rsidR="00E641F1" w:rsidRPr="007960A2">
        <w:rPr>
          <w:rStyle w:val="Appelnotedebasdep"/>
          <w:lang w:eastAsia="fr-CA"/>
        </w:rPr>
        <w:footnoteReference w:id="126"/>
      </w:r>
      <w:r w:rsidR="008F2EFD">
        <w:rPr>
          <w:lang w:eastAsia="fr-CA"/>
        </w:rPr>
        <w:t>,</w:t>
      </w:r>
      <w:r w:rsidR="00E641F1" w:rsidRPr="007960A2">
        <w:rPr>
          <w:lang w:eastAsia="fr-CA"/>
        </w:rPr>
        <w:t xml:space="preserve"> </w:t>
      </w:r>
      <w:r w:rsidRPr="007960A2">
        <w:rPr>
          <w:lang w:eastAsia="fr-CA"/>
        </w:rPr>
        <w:t>the Supreme Court wrote about the context of the analysis</w:t>
      </w:r>
      <w:r w:rsidR="00E641F1" w:rsidRPr="007960A2">
        <w:rPr>
          <w:lang w:eastAsia="fr-CA"/>
        </w:rPr>
        <w:t>:</w:t>
      </w:r>
    </w:p>
    <w:p w14:paraId="14E55501" w14:textId="011B0C06" w:rsidR="00C96B39" w:rsidRPr="007960A2" w:rsidRDefault="006D5393" w:rsidP="008D4472">
      <w:pPr>
        <w:pStyle w:val="Citationenretrait"/>
        <w:rPr>
          <w:szCs w:val="24"/>
          <w:lang w:val="en-CA" w:eastAsia="fr-CA"/>
        </w:rPr>
      </w:pPr>
      <w:r w:rsidRPr="007960A2">
        <w:rPr>
          <w:lang w:val="en-CA" w:eastAsia="fr-CA"/>
        </w:rPr>
        <w:t>[210] Where a court decides to award punitive damages, it must relate the facts of the case before it to the objectives that underlie such damages and ask itself how, in that particular case, awarding them would further those objectives.</w:t>
      </w:r>
      <w:r w:rsidR="00E641F1" w:rsidRPr="007960A2">
        <w:rPr>
          <w:lang w:val="en-CA" w:eastAsia="fr-CA"/>
        </w:rPr>
        <w:t xml:space="preserve"> </w:t>
      </w:r>
      <w:r w:rsidRPr="007960A2">
        <w:rPr>
          <w:lang w:val="en-CA" w:eastAsia="fr-CA"/>
        </w:rPr>
        <w:t>It must try to fix the most appropriate amount, that is, the lowest amount that would serve the purpose.</w:t>
      </w:r>
    </w:p>
    <w:p w14:paraId="3CFACE65" w14:textId="0E997495" w:rsidR="00C96B39" w:rsidRPr="007960A2" w:rsidRDefault="00393396" w:rsidP="0022392F">
      <w:pPr>
        <w:pStyle w:val="Paragraphe"/>
        <w:numPr>
          <w:ilvl w:val="0"/>
          <w:numId w:val="1"/>
        </w:numPr>
        <w:tabs>
          <w:tab w:val="clear" w:pos="567"/>
          <w:tab w:val="clear" w:pos="2629"/>
          <w:tab w:val="left" w:pos="709"/>
        </w:tabs>
        <w:ind w:left="0"/>
      </w:pPr>
      <w:r w:rsidRPr="007960A2">
        <w:t xml:space="preserve">Even though his employee informed him that the refusal to hire was discriminatory, Mr. Sikder </w:t>
      </w:r>
      <w:r w:rsidR="0050551B">
        <w:t xml:space="preserve">remained </w:t>
      </w:r>
      <w:r w:rsidRPr="007960A2">
        <w:t>totally closed to the complainant.</w:t>
      </w:r>
      <w:r w:rsidR="00E641F1" w:rsidRPr="007960A2">
        <w:t xml:space="preserve"> </w:t>
      </w:r>
      <w:r w:rsidRPr="007960A2">
        <w:t xml:space="preserve">He also did not </w:t>
      </w:r>
      <w:r w:rsidR="0050551B">
        <w:t xml:space="preserve">reply to </w:t>
      </w:r>
      <w:r w:rsidRPr="007960A2">
        <w:t xml:space="preserve">the complainant’s </w:t>
      </w:r>
      <w:r w:rsidR="0050551B" w:rsidRPr="007960A2">
        <w:t xml:space="preserve">Facebook </w:t>
      </w:r>
      <w:r w:rsidRPr="007960A2">
        <w:t>messages on March 31.</w:t>
      </w:r>
      <w:r w:rsidR="00E641F1" w:rsidRPr="007960A2">
        <w:t xml:space="preserve"> </w:t>
      </w:r>
      <w:r w:rsidRPr="007960A2">
        <w:t xml:space="preserve">He cannot claim </w:t>
      </w:r>
      <w:r w:rsidR="0050551B">
        <w:t xml:space="preserve">that </w:t>
      </w:r>
      <w:r w:rsidRPr="007960A2">
        <w:t xml:space="preserve">he </w:t>
      </w:r>
      <w:r w:rsidR="0050551B">
        <w:t xml:space="preserve">did not know </w:t>
      </w:r>
      <w:r w:rsidRPr="007960A2">
        <w:t>his conduct was discriminatory</w:t>
      </w:r>
      <w:r w:rsidR="00611AA2">
        <w:t>,</w:t>
      </w:r>
      <w:r w:rsidRPr="007960A2">
        <w:t xml:space="preserve"> and </w:t>
      </w:r>
      <w:r w:rsidR="00611AA2">
        <w:t xml:space="preserve">he never sought </w:t>
      </w:r>
      <w:r w:rsidRPr="007960A2">
        <w:t>to discuss the situation to consider possible solutions.</w:t>
      </w:r>
    </w:p>
    <w:p w14:paraId="7CCCDA05" w14:textId="438F7947" w:rsidR="00C96B39" w:rsidRPr="007960A2" w:rsidRDefault="00F75F45" w:rsidP="0022392F">
      <w:pPr>
        <w:pStyle w:val="Paragraphe"/>
        <w:numPr>
          <w:ilvl w:val="0"/>
          <w:numId w:val="1"/>
        </w:numPr>
        <w:tabs>
          <w:tab w:val="clear" w:pos="567"/>
          <w:tab w:val="clear" w:pos="2629"/>
          <w:tab w:val="left" w:pos="709"/>
        </w:tabs>
        <w:ind w:left="0"/>
      </w:pPr>
      <w:r>
        <w:lastRenderedPageBreak/>
        <w:t>Moreover</w:t>
      </w:r>
      <w:r w:rsidR="00393396" w:rsidRPr="007960A2">
        <w:t xml:space="preserve">, the defendants did not appear in this case, which compounds their deliberate and reckless </w:t>
      </w:r>
      <w:r w:rsidR="008769D5">
        <w:t>behaviour</w:t>
      </w:r>
      <w:r w:rsidR="00393396" w:rsidRPr="007960A2">
        <w:t>.</w:t>
      </w:r>
    </w:p>
    <w:p w14:paraId="59D4F025" w14:textId="32FA62DE" w:rsidR="00C96B39" w:rsidRPr="007960A2" w:rsidRDefault="00DB0354" w:rsidP="0022392F">
      <w:pPr>
        <w:pStyle w:val="Paragraphe"/>
        <w:numPr>
          <w:ilvl w:val="0"/>
          <w:numId w:val="1"/>
        </w:numPr>
        <w:tabs>
          <w:tab w:val="clear" w:pos="567"/>
          <w:tab w:val="clear" w:pos="2629"/>
          <w:tab w:val="left" w:pos="709"/>
        </w:tabs>
        <w:ind w:left="0"/>
      </w:pPr>
      <w:r>
        <w:t>This</w:t>
      </w:r>
      <w:r w:rsidR="00393396" w:rsidRPr="007960A2">
        <w:t xml:space="preserve"> </w:t>
      </w:r>
      <w:r w:rsidR="008769D5">
        <w:t>conduct</w:t>
      </w:r>
      <w:r w:rsidR="00393396" w:rsidRPr="007960A2">
        <w:t xml:space="preserve"> </w:t>
      </w:r>
      <w:r>
        <w:t>show</w:t>
      </w:r>
      <w:r w:rsidR="00393396" w:rsidRPr="007960A2">
        <w:t>s th</w:t>
      </w:r>
      <w:r>
        <w:t xml:space="preserve">at </w:t>
      </w:r>
      <w:r w:rsidR="00393396" w:rsidRPr="007960A2">
        <w:t>the interference</w:t>
      </w:r>
      <w:r>
        <w:t xml:space="preserve"> was intentional</w:t>
      </w:r>
      <w:r w:rsidR="00393396" w:rsidRPr="007960A2">
        <w:t>.</w:t>
      </w:r>
    </w:p>
    <w:p w14:paraId="590D9EDF" w14:textId="3CEF4947" w:rsidR="00C96B39" w:rsidRDefault="00393396" w:rsidP="0022392F">
      <w:pPr>
        <w:pStyle w:val="Paragraphe"/>
        <w:numPr>
          <w:ilvl w:val="0"/>
          <w:numId w:val="1"/>
        </w:numPr>
        <w:tabs>
          <w:tab w:val="clear" w:pos="567"/>
          <w:tab w:val="clear" w:pos="2629"/>
          <w:tab w:val="left" w:pos="709"/>
        </w:tabs>
        <w:ind w:left="0"/>
      </w:pPr>
      <w:r w:rsidRPr="007960A2">
        <w:t xml:space="preserve">The Tribunal finds </w:t>
      </w:r>
      <w:r w:rsidR="00DB0354">
        <w:t xml:space="preserve">that </w:t>
      </w:r>
      <w:r w:rsidR="008769D5">
        <w:t xml:space="preserve">such conduct </w:t>
      </w:r>
      <w:r w:rsidR="00DB0354">
        <w:t xml:space="preserve">must be denounced </w:t>
      </w:r>
      <w:r w:rsidRPr="007960A2">
        <w:t>and considers that ordering the Bar and Mr. Sikder to pay $2,000 as punitive damages is reasonable in the circumstances.</w:t>
      </w:r>
      <w:r w:rsidR="00E641F1" w:rsidRPr="007960A2">
        <w:t xml:space="preserve"> </w:t>
      </w:r>
      <w:r w:rsidRPr="007960A2">
        <w:t xml:space="preserve">The Tribunal cannot </w:t>
      </w:r>
      <w:r w:rsidR="00DB0354">
        <w:t xml:space="preserve">allow </w:t>
      </w:r>
      <w:r w:rsidRPr="007960A2">
        <w:t xml:space="preserve">this </w:t>
      </w:r>
      <w:r w:rsidR="00DB0354">
        <w:t xml:space="preserve">kind of </w:t>
      </w:r>
      <w:r w:rsidRPr="007960A2">
        <w:t xml:space="preserve">practice </w:t>
      </w:r>
      <w:r w:rsidR="00DB0354">
        <w:t xml:space="preserve">to continue </w:t>
      </w:r>
      <w:r w:rsidRPr="007960A2">
        <w:t>in Quebec and therefore awards the amounts claimed by the CDPDJ against each defendant.</w:t>
      </w:r>
    </w:p>
    <w:tbl>
      <w:tblPr>
        <w:tblW w:w="9505" w:type="dxa"/>
        <w:tblLayout w:type="fixed"/>
        <w:tblCellMar>
          <w:left w:w="70" w:type="dxa"/>
          <w:right w:w="70" w:type="dxa"/>
        </w:tblCellMar>
        <w:tblLook w:val="0000" w:firstRow="0" w:lastRow="0" w:firstColumn="0" w:lastColumn="0" w:noHBand="0" w:noVBand="0"/>
      </w:tblPr>
      <w:tblGrid>
        <w:gridCol w:w="2197"/>
        <w:gridCol w:w="2670"/>
        <w:gridCol w:w="4638"/>
      </w:tblGrid>
      <w:tr w:rsidR="005F4C8E" w:rsidRPr="00DA71F1" w14:paraId="7A6B8FBB" w14:textId="77777777" w:rsidTr="007972EB">
        <w:trPr>
          <w:trHeight w:val="8114"/>
        </w:trPr>
        <w:tc>
          <w:tcPr>
            <w:tcW w:w="9505" w:type="dxa"/>
            <w:gridSpan w:val="3"/>
          </w:tcPr>
          <w:p w14:paraId="7A94AC45" w14:textId="52BFEAD8" w:rsidR="00827DF2" w:rsidRPr="007960A2" w:rsidRDefault="00393396" w:rsidP="007972EB">
            <w:pPr>
              <w:pStyle w:val="Paragraphe"/>
              <w:keepNext/>
              <w:tabs>
                <w:tab w:val="clear" w:pos="567"/>
                <w:tab w:val="left" w:pos="709"/>
              </w:tabs>
              <w:spacing w:line="240" w:lineRule="auto"/>
              <w:rPr>
                <w:b/>
                <w:bCs/>
              </w:rPr>
            </w:pPr>
            <w:r w:rsidRPr="007960A2">
              <w:rPr>
                <w:b/>
                <w:bCs/>
              </w:rPr>
              <w:lastRenderedPageBreak/>
              <w:t>FOR THESE REASONS, THE TRIBUNAL:</w:t>
            </w:r>
          </w:p>
          <w:p w14:paraId="34A1DC69" w14:textId="26B0B4AC" w:rsidR="00C96B39" w:rsidRPr="007960A2" w:rsidRDefault="00393396" w:rsidP="007972EB">
            <w:pPr>
              <w:pStyle w:val="Paragraphe"/>
              <w:keepNext/>
              <w:numPr>
                <w:ilvl w:val="0"/>
                <w:numId w:val="1"/>
              </w:numPr>
              <w:tabs>
                <w:tab w:val="clear" w:pos="567"/>
                <w:tab w:val="clear" w:pos="2629"/>
                <w:tab w:val="left" w:pos="709"/>
              </w:tabs>
              <w:spacing w:line="240" w:lineRule="auto"/>
              <w:ind w:left="0"/>
            </w:pPr>
            <w:r w:rsidRPr="007960A2">
              <w:rPr>
                <w:b/>
                <w:bCs/>
              </w:rPr>
              <w:t>GRANTS</w:t>
            </w:r>
            <w:r w:rsidRPr="007960A2">
              <w:rPr>
                <w:bCs/>
              </w:rPr>
              <w:t xml:space="preserve"> in part the plaintiff’s originating application;</w:t>
            </w:r>
          </w:p>
          <w:p w14:paraId="40918009" w14:textId="5020A124" w:rsidR="00827DF2" w:rsidRPr="007960A2" w:rsidRDefault="00393396" w:rsidP="007972EB">
            <w:pPr>
              <w:pStyle w:val="Paragraphe"/>
              <w:keepNext/>
              <w:numPr>
                <w:ilvl w:val="0"/>
                <w:numId w:val="1"/>
              </w:numPr>
              <w:tabs>
                <w:tab w:val="clear" w:pos="567"/>
                <w:tab w:val="clear" w:pos="2629"/>
                <w:tab w:val="left" w:pos="709"/>
              </w:tabs>
              <w:spacing w:line="240" w:lineRule="auto"/>
              <w:ind w:left="0"/>
            </w:pPr>
            <w:r w:rsidRPr="007960A2">
              <w:rPr>
                <w:b/>
                <w:bCs/>
              </w:rPr>
              <w:t>CONDEMNS</w:t>
            </w:r>
            <w:r w:rsidRPr="007960A2">
              <w:rPr>
                <w:bCs/>
              </w:rPr>
              <w:t xml:space="preserve"> the defendants solidarily to pay E.B.</w:t>
            </w:r>
            <w:r w:rsidR="00E641F1" w:rsidRPr="007960A2">
              <w:t xml:space="preserve"> </w:t>
            </w:r>
            <w:r w:rsidR="00D8239C" w:rsidRPr="007960A2">
              <w:t xml:space="preserve">$118.40 as damages for material </w:t>
            </w:r>
            <w:r w:rsidR="008769D5">
              <w:t>prejudice,</w:t>
            </w:r>
            <w:r w:rsidR="00D8239C" w:rsidRPr="007960A2">
              <w:t xml:space="preserve"> with interest at the legal rate plus the additional indemnity set out in article 1619 of the </w:t>
            </w:r>
            <w:r w:rsidR="00D8239C" w:rsidRPr="007960A2">
              <w:rPr>
                <w:i/>
              </w:rPr>
              <w:t>Civil Code of Québec</w:t>
            </w:r>
            <w:r w:rsidR="00D8239C" w:rsidRPr="007960A2">
              <w:t xml:space="preserve"> since the Commission des droits de la personne et des droits de la jeunesse</w:t>
            </w:r>
            <w:r w:rsidR="008769D5">
              <w:t>’s</w:t>
            </w:r>
            <w:r w:rsidR="00D8239C" w:rsidRPr="007960A2">
              <w:t xml:space="preserve"> </w:t>
            </w:r>
            <w:r w:rsidR="008769D5">
              <w:t>proposal on</w:t>
            </w:r>
            <w:r w:rsidR="00D8239C" w:rsidRPr="007960A2">
              <w:t xml:space="preserve"> measures of redress was served on December</w:t>
            </w:r>
            <w:r w:rsidR="00A50E53">
              <w:t> </w:t>
            </w:r>
            <w:r w:rsidR="00D8239C" w:rsidRPr="007960A2">
              <w:t>18, 2019;</w:t>
            </w:r>
          </w:p>
          <w:p w14:paraId="28E9B595" w14:textId="27864A11" w:rsidR="00827DF2" w:rsidRPr="007960A2" w:rsidRDefault="00D8239C" w:rsidP="007972EB">
            <w:pPr>
              <w:pStyle w:val="Paragraphe"/>
              <w:keepNext/>
              <w:numPr>
                <w:ilvl w:val="0"/>
                <w:numId w:val="1"/>
              </w:numPr>
              <w:tabs>
                <w:tab w:val="clear" w:pos="567"/>
                <w:tab w:val="clear" w:pos="2629"/>
                <w:tab w:val="left" w:pos="709"/>
              </w:tabs>
              <w:spacing w:line="240" w:lineRule="auto"/>
              <w:ind w:left="0"/>
            </w:pPr>
            <w:r w:rsidRPr="007960A2">
              <w:rPr>
                <w:b/>
                <w:bCs/>
              </w:rPr>
              <w:t>CONDEMNS</w:t>
            </w:r>
            <w:r w:rsidRPr="007960A2">
              <w:rPr>
                <w:bCs/>
              </w:rPr>
              <w:t xml:space="preserve"> the defendants solidarily to pay E.B. $10,000 as damages for moral </w:t>
            </w:r>
            <w:r w:rsidR="008769D5">
              <w:t>prejudice</w:t>
            </w:r>
            <w:r w:rsidRPr="007960A2">
              <w:rPr>
                <w:bCs/>
              </w:rPr>
              <w:t xml:space="preserve">, with interest at the legal rate plus the additional indemnity set out in article 1619 of </w:t>
            </w:r>
            <w:r w:rsidRPr="007960A2">
              <w:rPr>
                <w:bCs/>
                <w:i/>
              </w:rPr>
              <w:t>the Civil Code of Québec</w:t>
            </w:r>
            <w:r w:rsidRPr="007960A2">
              <w:rPr>
                <w:bCs/>
              </w:rPr>
              <w:t xml:space="preserve"> </w:t>
            </w:r>
            <w:r w:rsidR="008769D5" w:rsidRPr="007960A2">
              <w:t>since the Commission des droits de la personne et des droits de la jeunesse</w:t>
            </w:r>
            <w:r w:rsidR="008769D5">
              <w:t>’s</w:t>
            </w:r>
            <w:r w:rsidR="008769D5" w:rsidRPr="007960A2">
              <w:t xml:space="preserve"> </w:t>
            </w:r>
            <w:r w:rsidR="008769D5">
              <w:t>proposal on</w:t>
            </w:r>
            <w:r w:rsidR="008769D5" w:rsidRPr="007960A2">
              <w:t xml:space="preserve"> measures of redress was served on December 18, 2019</w:t>
            </w:r>
            <w:r w:rsidRPr="007960A2">
              <w:rPr>
                <w:bCs/>
              </w:rPr>
              <w:t>;</w:t>
            </w:r>
          </w:p>
          <w:p w14:paraId="28E7E694" w14:textId="65D432F5" w:rsidR="00827DF2" w:rsidRPr="007960A2" w:rsidRDefault="00D8239C" w:rsidP="007972EB">
            <w:pPr>
              <w:pStyle w:val="Paragraphe"/>
              <w:keepNext/>
              <w:numPr>
                <w:ilvl w:val="0"/>
                <w:numId w:val="1"/>
              </w:numPr>
              <w:tabs>
                <w:tab w:val="clear" w:pos="567"/>
                <w:tab w:val="clear" w:pos="2629"/>
                <w:tab w:val="left" w:pos="709"/>
              </w:tabs>
              <w:spacing w:line="240" w:lineRule="auto"/>
              <w:ind w:left="0"/>
            </w:pPr>
            <w:r w:rsidRPr="007960A2">
              <w:rPr>
                <w:b/>
                <w:bCs/>
              </w:rPr>
              <w:t>CONDEMNS</w:t>
            </w:r>
            <w:r w:rsidRPr="007960A2">
              <w:rPr>
                <w:bCs/>
              </w:rPr>
              <w:t xml:space="preserve"> the defendant 9302-Québec Inc.</w:t>
            </w:r>
            <w:r w:rsidR="00E641F1" w:rsidRPr="007960A2">
              <w:t xml:space="preserve"> </w:t>
            </w:r>
            <w:r w:rsidRPr="007960A2">
              <w:t>“Bar Lucky 7” to pay E.B.</w:t>
            </w:r>
            <w:r w:rsidR="00E641F1" w:rsidRPr="007960A2">
              <w:t xml:space="preserve"> </w:t>
            </w:r>
            <w:r w:rsidRPr="007960A2">
              <w:t>$2,000 as punitive damages</w:t>
            </w:r>
            <w:r w:rsidR="008769D5">
              <w:t>,</w:t>
            </w:r>
            <w:r w:rsidRPr="007960A2">
              <w:t xml:space="preserve"> with interest at the legal rate plus the additional indemnity set out in article 1619 of the </w:t>
            </w:r>
            <w:r w:rsidRPr="007960A2">
              <w:rPr>
                <w:i/>
              </w:rPr>
              <w:t>Civil Code of Québec</w:t>
            </w:r>
            <w:r w:rsidRPr="007960A2">
              <w:t xml:space="preserve"> as of the date of this judgment;</w:t>
            </w:r>
          </w:p>
          <w:p w14:paraId="63858040" w14:textId="18B3D778" w:rsidR="00827DF2" w:rsidRPr="007960A2" w:rsidRDefault="00D8239C" w:rsidP="007972EB">
            <w:pPr>
              <w:pStyle w:val="Paragraphe"/>
              <w:keepNext/>
              <w:numPr>
                <w:ilvl w:val="0"/>
                <w:numId w:val="1"/>
              </w:numPr>
              <w:tabs>
                <w:tab w:val="clear" w:pos="567"/>
                <w:tab w:val="clear" w:pos="2629"/>
                <w:tab w:val="left" w:pos="709"/>
              </w:tabs>
              <w:spacing w:line="240" w:lineRule="auto"/>
              <w:ind w:left="0"/>
            </w:pPr>
            <w:r w:rsidRPr="007960A2">
              <w:rPr>
                <w:b/>
                <w:bCs/>
              </w:rPr>
              <w:t>CONDEMNS</w:t>
            </w:r>
            <w:r w:rsidRPr="007960A2">
              <w:rPr>
                <w:bCs/>
              </w:rPr>
              <w:t xml:space="preserve"> the defendant Sayeed Ahmed Sikder to pay E.B.</w:t>
            </w:r>
            <w:r w:rsidR="00E641F1" w:rsidRPr="007960A2">
              <w:t xml:space="preserve"> </w:t>
            </w:r>
            <w:r w:rsidRPr="007960A2">
              <w:t>$2,000 as punitive damages</w:t>
            </w:r>
            <w:r w:rsidR="008769D5">
              <w:t>,</w:t>
            </w:r>
            <w:r w:rsidRPr="007960A2">
              <w:t xml:space="preserve"> with interest at the legal rate plus the additional indemnity set out in article 1619 of the </w:t>
            </w:r>
            <w:r w:rsidRPr="007960A2">
              <w:rPr>
                <w:i/>
              </w:rPr>
              <w:t>Civil Code of Québec</w:t>
            </w:r>
            <w:r w:rsidRPr="007960A2">
              <w:t xml:space="preserve"> as of the date of this judgment;</w:t>
            </w:r>
          </w:p>
          <w:p w14:paraId="1395F1D7" w14:textId="42909C52" w:rsidR="007972EB" w:rsidRPr="007960A2" w:rsidRDefault="00D8239C" w:rsidP="007972EB">
            <w:pPr>
              <w:pStyle w:val="Paragraphe"/>
              <w:keepNext/>
              <w:numPr>
                <w:ilvl w:val="0"/>
                <w:numId w:val="1"/>
              </w:numPr>
              <w:tabs>
                <w:tab w:val="clear" w:pos="567"/>
                <w:tab w:val="clear" w:pos="2629"/>
                <w:tab w:val="left" w:pos="709"/>
              </w:tabs>
              <w:spacing w:line="240" w:lineRule="auto"/>
              <w:ind w:left="0"/>
            </w:pPr>
            <w:r w:rsidRPr="007960A2">
              <w:rPr>
                <w:b/>
                <w:bCs/>
              </w:rPr>
              <w:t>THE WHOLE,</w:t>
            </w:r>
            <w:r w:rsidRPr="007960A2">
              <w:rPr>
                <w:bCs/>
              </w:rPr>
              <w:t xml:space="preserve"> with legal costs.</w:t>
            </w:r>
          </w:p>
        </w:tc>
      </w:tr>
      <w:tr w:rsidR="005F4C8E" w:rsidRPr="00DA71F1" w14:paraId="5069153D" w14:textId="77777777" w:rsidTr="007A0339">
        <w:tblPrEx>
          <w:tblCellMar>
            <w:left w:w="0" w:type="dxa"/>
            <w:right w:w="0" w:type="dxa"/>
          </w:tblCellMar>
        </w:tblPrEx>
        <w:trPr>
          <w:cantSplit/>
        </w:trPr>
        <w:tc>
          <w:tcPr>
            <w:tcW w:w="4867" w:type="dxa"/>
            <w:gridSpan w:val="2"/>
          </w:tcPr>
          <w:p w14:paraId="0B75F5D8" w14:textId="77777777" w:rsidR="00C96B39" w:rsidRPr="007960A2" w:rsidRDefault="00C96B39" w:rsidP="007972EB">
            <w:pPr>
              <w:keepNext/>
              <w:rPr>
                <w:lang w:val="en-CA"/>
              </w:rPr>
            </w:pPr>
          </w:p>
        </w:tc>
        <w:tc>
          <w:tcPr>
            <w:tcW w:w="4638" w:type="dxa"/>
          </w:tcPr>
          <w:p w14:paraId="47650B27" w14:textId="77777777" w:rsidR="00C96B39" w:rsidRPr="007960A2" w:rsidRDefault="00E641F1" w:rsidP="007972EB">
            <w:pPr>
              <w:pStyle w:val="zSoquijdatSignature3Juge"/>
              <w:keepNext/>
              <w:rPr>
                <w:lang w:val="en-CA"/>
              </w:rPr>
            </w:pPr>
            <w:r w:rsidRPr="007960A2">
              <w:rPr>
                <w:lang w:val="en-CA"/>
              </w:rPr>
              <w:t>__________________________________</w:t>
            </w:r>
          </w:p>
          <w:p w14:paraId="0A69AD0A" w14:textId="77777777" w:rsidR="00FF5B2D" w:rsidRPr="007960A2" w:rsidRDefault="00E641F1" w:rsidP="00FF5B2D">
            <w:pPr>
              <w:pStyle w:val="zSoquijdatSignature3Juge"/>
              <w:keepNext/>
              <w:rPr>
                <w:lang w:val="en-CA"/>
              </w:rPr>
            </w:pPr>
            <w:r w:rsidRPr="007960A2">
              <w:rPr>
                <w:lang w:val="en-CA"/>
              </w:rPr>
              <w:t>CATHERINE PILON,</w:t>
            </w:r>
          </w:p>
          <w:p w14:paraId="13201241" w14:textId="69BA3388" w:rsidR="00C96B39" w:rsidRPr="007960A2" w:rsidRDefault="00E641F1" w:rsidP="00FF5B2D">
            <w:pPr>
              <w:pStyle w:val="zSoquijdatSignature3Juge"/>
              <w:keepNext/>
              <w:rPr>
                <w:lang w:val="en-CA"/>
              </w:rPr>
            </w:pPr>
            <w:bookmarkStart w:id="25" w:name="_Hlk201142839"/>
            <w:r w:rsidRPr="007960A2">
              <w:rPr>
                <w:b/>
                <w:lang w:val="en-CA"/>
              </w:rPr>
              <w:t>Ju</w:t>
            </w:r>
            <w:r w:rsidR="00216F25" w:rsidRPr="007960A2">
              <w:rPr>
                <w:b/>
                <w:lang w:val="en-CA"/>
              </w:rPr>
              <w:t>d</w:t>
            </w:r>
            <w:r w:rsidRPr="007960A2">
              <w:rPr>
                <w:b/>
                <w:lang w:val="en-CA"/>
              </w:rPr>
              <w:t>ge</w:t>
            </w:r>
            <w:r w:rsidR="008F2EFD">
              <w:rPr>
                <w:b/>
                <w:lang w:val="en-CA"/>
              </w:rPr>
              <w:t xml:space="preserve"> of the </w:t>
            </w:r>
            <w:r w:rsidR="00216F25" w:rsidRPr="007960A2">
              <w:rPr>
                <w:b/>
                <w:lang w:val="en-CA"/>
              </w:rPr>
              <w:t xml:space="preserve">Human Rights </w:t>
            </w:r>
            <w:r w:rsidRPr="007960A2">
              <w:rPr>
                <w:b/>
                <w:lang w:val="en-CA"/>
              </w:rPr>
              <w:t>Tribunal</w:t>
            </w:r>
            <w:bookmarkEnd w:id="25"/>
          </w:p>
        </w:tc>
      </w:tr>
      <w:tr w:rsidR="005F4C8E" w:rsidRPr="007960A2" w14:paraId="736271D0" w14:textId="77777777" w:rsidTr="007A0339">
        <w:trPr>
          <w:cantSplit/>
        </w:trPr>
        <w:tc>
          <w:tcPr>
            <w:tcW w:w="9505" w:type="dxa"/>
            <w:gridSpan w:val="3"/>
          </w:tcPr>
          <w:p w14:paraId="6A60A5E4" w14:textId="3EADB575" w:rsidR="00FF5B2D" w:rsidRPr="00CD23D1" w:rsidRDefault="00E641F1" w:rsidP="00FF5B2D">
            <w:pPr>
              <w:pStyle w:val="zSoquijdatNomProcureurDem"/>
              <w:keepNext/>
            </w:pPr>
            <w:r w:rsidRPr="00CD23D1">
              <w:t>M</w:t>
            </w:r>
            <w:r w:rsidR="00216F25" w:rsidRPr="00CD23D1">
              <w:t>tr</w:t>
            </w:r>
            <w:r w:rsidRPr="00CD23D1">
              <w:t>e Justine St-Jacques</w:t>
            </w:r>
          </w:p>
          <w:p w14:paraId="18C908C7" w14:textId="77777777" w:rsidR="00C96B39" w:rsidRPr="00CD23D1" w:rsidRDefault="00E641F1" w:rsidP="00FF5B2D">
            <w:pPr>
              <w:pStyle w:val="zSoquijdatNomProcureurDem"/>
              <w:keepNext/>
            </w:pPr>
            <w:r w:rsidRPr="00CD23D1">
              <w:t>BITZAKIDIS CLÉMENT-MAJOR FOURNIER</w:t>
            </w:r>
          </w:p>
        </w:tc>
      </w:tr>
      <w:tr w:rsidR="005F4C8E" w:rsidRPr="007960A2" w14:paraId="66E79D74" w14:textId="77777777" w:rsidTr="007A0339">
        <w:trPr>
          <w:cantSplit/>
        </w:trPr>
        <w:tc>
          <w:tcPr>
            <w:tcW w:w="9505" w:type="dxa"/>
            <w:gridSpan w:val="3"/>
          </w:tcPr>
          <w:p w14:paraId="64533365" w14:textId="5199415C" w:rsidR="00C96B39" w:rsidRPr="007960A2" w:rsidRDefault="00216F25" w:rsidP="007972EB">
            <w:pPr>
              <w:pStyle w:val="zSoquijlblProcureurDem"/>
              <w:keepNext/>
              <w:rPr>
                <w:lang w:val="en-CA"/>
              </w:rPr>
            </w:pPr>
            <w:r w:rsidRPr="007960A2">
              <w:rPr>
                <w:lang w:val="en-CA"/>
              </w:rPr>
              <w:t>For the plaintiff</w:t>
            </w:r>
          </w:p>
        </w:tc>
      </w:tr>
      <w:tr w:rsidR="005F4C8E" w:rsidRPr="007960A2" w14:paraId="635958D3" w14:textId="77777777" w:rsidTr="007A0339">
        <w:trPr>
          <w:cantSplit/>
        </w:trPr>
        <w:tc>
          <w:tcPr>
            <w:tcW w:w="9505" w:type="dxa"/>
            <w:gridSpan w:val="3"/>
          </w:tcPr>
          <w:p w14:paraId="5E905D54" w14:textId="77777777" w:rsidR="00C96B39" w:rsidRPr="007960A2" w:rsidRDefault="00C96B39" w:rsidP="007972EB">
            <w:pPr>
              <w:keepNext/>
              <w:rPr>
                <w:sz w:val="16"/>
                <w:szCs w:val="16"/>
                <w:lang w:val="en-CA"/>
              </w:rPr>
            </w:pPr>
          </w:p>
        </w:tc>
      </w:tr>
      <w:tr w:rsidR="005F4C8E" w:rsidRPr="00DA71F1" w14:paraId="33A57E67" w14:textId="77777777" w:rsidTr="007A0339">
        <w:trPr>
          <w:cantSplit/>
        </w:trPr>
        <w:tc>
          <w:tcPr>
            <w:tcW w:w="9505" w:type="dxa"/>
            <w:gridSpan w:val="3"/>
          </w:tcPr>
          <w:p w14:paraId="75B17369" w14:textId="7B825996" w:rsidR="00C96B39" w:rsidRPr="007960A2" w:rsidRDefault="00E641F1" w:rsidP="007972EB">
            <w:pPr>
              <w:pStyle w:val="zSoquijdatNomProcureurDem"/>
              <w:keepNext/>
              <w:rPr>
                <w:lang w:val="en-CA"/>
              </w:rPr>
            </w:pPr>
            <w:r w:rsidRPr="007960A2">
              <w:rPr>
                <w:noProof/>
                <w:lang w:val="en-CA"/>
              </w:rPr>
              <w:t>9302</w:t>
            </w:r>
            <w:r w:rsidR="002E4EAD" w:rsidRPr="007960A2">
              <w:rPr>
                <w:lang w:val="en-CA"/>
              </w:rPr>
              <w:t xml:space="preserve">-6573 Québec Inc. </w:t>
            </w:r>
            <w:r w:rsidR="00216F25" w:rsidRPr="007960A2">
              <w:rPr>
                <w:lang w:val="en-CA"/>
              </w:rPr>
              <w:t>“</w:t>
            </w:r>
            <w:r w:rsidR="002E4EAD" w:rsidRPr="007960A2">
              <w:rPr>
                <w:lang w:val="en-CA"/>
              </w:rPr>
              <w:t>Bar Lucky 7</w:t>
            </w:r>
            <w:r w:rsidR="00216F25" w:rsidRPr="007960A2">
              <w:rPr>
                <w:lang w:val="en-CA"/>
              </w:rPr>
              <w:t>”</w:t>
            </w:r>
            <w:r w:rsidR="002E4EAD" w:rsidRPr="007960A2">
              <w:rPr>
                <w:lang w:val="en-CA"/>
              </w:rPr>
              <w:t xml:space="preserve">, absent </w:t>
            </w:r>
            <w:r w:rsidR="00A50E53">
              <w:rPr>
                <w:lang w:val="en-CA"/>
              </w:rPr>
              <w:t>from</w:t>
            </w:r>
            <w:r w:rsidR="00A50E53" w:rsidRPr="007960A2">
              <w:rPr>
                <w:lang w:val="en-CA"/>
              </w:rPr>
              <w:t xml:space="preserve"> </w:t>
            </w:r>
            <w:r w:rsidR="00216F25" w:rsidRPr="007960A2">
              <w:rPr>
                <w:lang w:val="en-CA"/>
              </w:rPr>
              <w:t>the hearing</w:t>
            </w:r>
          </w:p>
        </w:tc>
      </w:tr>
      <w:tr w:rsidR="005F4C8E" w:rsidRPr="007960A2" w14:paraId="6303F5D6" w14:textId="77777777" w:rsidTr="007A0339">
        <w:trPr>
          <w:cantSplit/>
        </w:trPr>
        <w:tc>
          <w:tcPr>
            <w:tcW w:w="9505" w:type="dxa"/>
            <w:gridSpan w:val="3"/>
          </w:tcPr>
          <w:p w14:paraId="6EEF079D" w14:textId="29AB502C" w:rsidR="00AF20D4" w:rsidRPr="007960A2" w:rsidRDefault="00532FBC" w:rsidP="007972EB">
            <w:pPr>
              <w:pStyle w:val="zSoquijdatNomProcureurDem"/>
              <w:keepNext/>
              <w:rPr>
                <w:lang w:val="en-CA"/>
              </w:rPr>
            </w:pPr>
            <w:r w:rsidRPr="007960A2">
              <w:rPr>
                <w:lang w:val="en-CA"/>
              </w:rPr>
              <w:t>-and-</w:t>
            </w:r>
          </w:p>
        </w:tc>
      </w:tr>
      <w:tr w:rsidR="005F4C8E" w:rsidRPr="00DA71F1" w14:paraId="1FC22336" w14:textId="77777777" w:rsidTr="007A0339">
        <w:trPr>
          <w:cantSplit/>
        </w:trPr>
        <w:tc>
          <w:tcPr>
            <w:tcW w:w="9505" w:type="dxa"/>
            <w:gridSpan w:val="3"/>
          </w:tcPr>
          <w:p w14:paraId="29FB10D9" w14:textId="7882282F" w:rsidR="00AF20D4" w:rsidRPr="007960A2" w:rsidRDefault="002E4EAD" w:rsidP="007972EB">
            <w:pPr>
              <w:pStyle w:val="zSoquijdatNomProcureurDem"/>
              <w:keepNext/>
              <w:rPr>
                <w:lang w:val="en-CA"/>
              </w:rPr>
            </w:pPr>
            <w:r w:rsidRPr="007960A2">
              <w:rPr>
                <w:lang w:val="en-CA"/>
              </w:rPr>
              <w:t xml:space="preserve">SAYEED AHMED SIKDER, absent </w:t>
            </w:r>
            <w:r w:rsidR="00A50E53">
              <w:rPr>
                <w:lang w:val="en-CA"/>
              </w:rPr>
              <w:t>from</w:t>
            </w:r>
            <w:r w:rsidR="00A50E53" w:rsidRPr="007960A2">
              <w:rPr>
                <w:lang w:val="en-CA"/>
              </w:rPr>
              <w:t xml:space="preserve"> </w:t>
            </w:r>
            <w:r w:rsidR="00216F25" w:rsidRPr="007960A2">
              <w:rPr>
                <w:lang w:val="en-CA"/>
              </w:rPr>
              <w:t>the hearing</w:t>
            </w:r>
          </w:p>
        </w:tc>
      </w:tr>
      <w:tr w:rsidR="005F4C8E" w:rsidRPr="007960A2" w14:paraId="67FEE4A6" w14:textId="77777777" w:rsidTr="007A0339">
        <w:trPr>
          <w:cantSplit/>
        </w:trPr>
        <w:tc>
          <w:tcPr>
            <w:tcW w:w="9505" w:type="dxa"/>
            <w:gridSpan w:val="3"/>
          </w:tcPr>
          <w:p w14:paraId="75CD81F1" w14:textId="39B39629" w:rsidR="00C96B39" w:rsidRPr="007960A2" w:rsidRDefault="00532FBC" w:rsidP="007972EB">
            <w:pPr>
              <w:pStyle w:val="zSoquijlblProcureurDem"/>
              <w:keepNext/>
              <w:rPr>
                <w:lang w:val="en-CA"/>
              </w:rPr>
            </w:pPr>
            <w:r w:rsidRPr="007960A2">
              <w:rPr>
                <w:lang w:val="en-CA"/>
              </w:rPr>
              <w:t>Defendants</w:t>
            </w:r>
          </w:p>
        </w:tc>
      </w:tr>
      <w:tr w:rsidR="005F4C8E" w:rsidRPr="007960A2" w14:paraId="0402E5AB" w14:textId="77777777" w:rsidTr="007A0339">
        <w:tc>
          <w:tcPr>
            <w:tcW w:w="9505" w:type="dxa"/>
            <w:gridSpan w:val="3"/>
          </w:tcPr>
          <w:p w14:paraId="389695F0" w14:textId="77777777" w:rsidR="00C96B39" w:rsidRPr="007960A2" w:rsidRDefault="00C96B39" w:rsidP="007972EB">
            <w:pPr>
              <w:keepNext/>
              <w:rPr>
                <w:sz w:val="16"/>
                <w:szCs w:val="16"/>
                <w:lang w:val="en-CA"/>
              </w:rPr>
            </w:pPr>
          </w:p>
        </w:tc>
      </w:tr>
      <w:tr w:rsidR="005F4C8E" w:rsidRPr="00DA71F1" w14:paraId="66E6BC47" w14:textId="77777777" w:rsidTr="007972EB">
        <w:trPr>
          <w:trHeight w:val="710"/>
        </w:trPr>
        <w:tc>
          <w:tcPr>
            <w:tcW w:w="2197" w:type="dxa"/>
          </w:tcPr>
          <w:p w14:paraId="7E317D8D" w14:textId="29A805AF" w:rsidR="00C96B39" w:rsidRPr="007960A2" w:rsidRDefault="00E641F1" w:rsidP="007972EB">
            <w:pPr>
              <w:pStyle w:val="zSoquijlblDateAudience"/>
              <w:keepNext/>
              <w:rPr>
                <w:lang w:val="en-CA"/>
              </w:rPr>
            </w:pPr>
            <w:r w:rsidRPr="007960A2">
              <w:rPr>
                <w:lang w:val="en-CA"/>
              </w:rPr>
              <w:t xml:space="preserve">Dates </w:t>
            </w:r>
            <w:r w:rsidR="00216F25" w:rsidRPr="007960A2">
              <w:rPr>
                <w:lang w:val="en-CA"/>
              </w:rPr>
              <w:t>of hearing</w:t>
            </w:r>
            <w:r w:rsidRPr="007960A2">
              <w:rPr>
                <w:lang w:val="en-CA"/>
              </w:rPr>
              <w:t>:</w:t>
            </w:r>
          </w:p>
        </w:tc>
        <w:tc>
          <w:tcPr>
            <w:tcW w:w="7308" w:type="dxa"/>
            <w:gridSpan w:val="2"/>
          </w:tcPr>
          <w:p w14:paraId="4BAA7F69" w14:textId="53FA7E2C" w:rsidR="00C96B39" w:rsidRPr="007960A2" w:rsidRDefault="00216F25" w:rsidP="007972EB">
            <w:pPr>
              <w:pStyle w:val="zSoquijdatDateAudience"/>
              <w:keepNext/>
              <w:jc w:val="both"/>
              <w:rPr>
                <w:lang w:val="en-CA"/>
              </w:rPr>
            </w:pPr>
            <w:r w:rsidRPr="007960A2">
              <w:rPr>
                <w:lang w:val="en-CA"/>
              </w:rPr>
              <w:t xml:space="preserve">January </w:t>
            </w:r>
            <w:r w:rsidR="00837255" w:rsidRPr="007960A2">
              <w:rPr>
                <w:lang w:val="en-CA"/>
              </w:rPr>
              <w:t>23</w:t>
            </w:r>
            <w:r w:rsidRPr="007960A2">
              <w:rPr>
                <w:lang w:val="en-CA"/>
              </w:rPr>
              <w:t>,</w:t>
            </w:r>
            <w:r w:rsidR="00837255" w:rsidRPr="007960A2">
              <w:rPr>
                <w:lang w:val="en-CA"/>
              </w:rPr>
              <w:t xml:space="preserve"> 2023 (</w:t>
            </w:r>
            <w:r w:rsidRPr="007960A2">
              <w:rPr>
                <w:lang w:val="en-CA"/>
              </w:rPr>
              <w:t xml:space="preserve">case taken under advisement after </w:t>
            </w:r>
            <w:r w:rsidR="00A50E53">
              <w:rPr>
                <w:lang w:val="en-CA"/>
              </w:rPr>
              <w:t>receipt</w:t>
            </w:r>
            <w:r w:rsidR="00A50E53" w:rsidRPr="007960A2">
              <w:rPr>
                <w:lang w:val="en-CA"/>
              </w:rPr>
              <w:t xml:space="preserve"> </w:t>
            </w:r>
            <w:r w:rsidRPr="007960A2">
              <w:rPr>
                <w:lang w:val="en-CA"/>
              </w:rPr>
              <w:t xml:space="preserve">of the plaintiff’s written submissions </w:t>
            </w:r>
            <w:r w:rsidR="00A50E53">
              <w:rPr>
                <w:lang w:val="en-CA"/>
              </w:rPr>
              <w:t>on</w:t>
            </w:r>
            <w:r w:rsidR="00A50E53" w:rsidRPr="007960A2">
              <w:rPr>
                <w:lang w:val="en-CA"/>
              </w:rPr>
              <w:t xml:space="preserve"> </w:t>
            </w:r>
            <w:r w:rsidRPr="007960A2">
              <w:rPr>
                <w:lang w:val="en-CA"/>
              </w:rPr>
              <w:t xml:space="preserve">October </w:t>
            </w:r>
            <w:r w:rsidR="00837255" w:rsidRPr="007960A2">
              <w:rPr>
                <w:lang w:val="en-CA"/>
              </w:rPr>
              <w:t>20</w:t>
            </w:r>
            <w:r w:rsidRPr="007960A2">
              <w:rPr>
                <w:lang w:val="en-CA"/>
              </w:rPr>
              <w:t>,</w:t>
            </w:r>
            <w:r w:rsidR="00837255" w:rsidRPr="007960A2">
              <w:rPr>
                <w:lang w:val="en-CA"/>
              </w:rPr>
              <w:t> 2023)</w:t>
            </w:r>
          </w:p>
        </w:tc>
      </w:tr>
    </w:tbl>
    <w:p w14:paraId="3CD1E787" w14:textId="77777777" w:rsidR="00EF5343" w:rsidRPr="007960A2" w:rsidRDefault="00EF5343" w:rsidP="007D17A6">
      <w:pPr>
        <w:rPr>
          <w:sz w:val="16"/>
          <w:szCs w:val="16"/>
          <w:lang w:val="en-CA"/>
        </w:rPr>
      </w:pPr>
    </w:p>
    <w:sectPr w:rsidR="00EF5343" w:rsidRPr="007960A2" w:rsidSect="005624E1">
      <w:headerReference w:type="even" r:id="rId8"/>
      <w:headerReference w:type="default" r:id="rId9"/>
      <w:footerReference w:type="even" r:id="rId10"/>
      <w:headerReference w:type="first" r:id="rId11"/>
      <w:footnotePr>
        <w:numRestart w:val="eachSect"/>
      </w:footnotePr>
      <w:pgSz w:w="12242" w:h="15842" w:code="1"/>
      <w:pgMar w:top="1440" w:right="1008" w:bottom="1440" w:left="1872" w:header="1276"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B46D" w14:textId="77777777" w:rsidR="00D21793" w:rsidRDefault="00D21793">
      <w:r>
        <w:separator/>
      </w:r>
    </w:p>
  </w:endnote>
  <w:endnote w:type="continuationSeparator" w:id="0">
    <w:p w14:paraId="3C571E63" w14:textId="77777777" w:rsidR="00D21793" w:rsidRDefault="00D2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Unica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EB51" w14:textId="77777777" w:rsidR="00D025F2" w:rsidRDefault="00E641F1">
    <w:pPr>
      <w:framePr w:wrap="around" w:vAnchor="text" w:hAnchor="margin" w:xAlign="right" w:y="1"/>
    </w:pPr>
    <w:r>
      <w:fldChar w:fldCharType="begin"/>
    </w:r>
    <w:r>
      <w:instrText xml:space="preserve">PAGE  </w:instrText>
    </w:r>
    <w:r>
      <w:fldChar w:fldCharType="separate"/>
    </w:r>
    <w:r w:rsidR="00936A52">
      <w:rPr>
        <w:noProof/>
      </w:rPr>
      <w:t>2</w:t>
    </w:r>
    <w:r>
      <w:fldChar w:fldCharType="end"/>
    </w:r>
  </w:p>
  <w:p w14:paraId="20C05F7D" w14:textId="77777777" w:rsidR="00D025F2" w:rsidRDefault="00D025F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AB97" w14:textId="77777777" w:rsidR="00D21793" w:rsidRDefault="00D21793">
      <w:r>
        <w:separator/>
      </w:r>
    </w:p>
  </w:footnote>
  <w:footnote w:type="continuationSeparator" w:id="0">
    <w:p w14:paraId="183109DC" w14:textId="77777777" w:rsidR="00D21793" w:rsidRDefault="00D21793">
      <w:r>
        <w:continuationSeparator/>
      </w:r>
    </w:p>
  </w:footnote>
  <w:footnote w:id="1">
    <w:p w14:paraId="0BE1A1A7" w14:textId="28C5CB4B" w:rsidR="00DF0274" w:rsidRPr="00B535FF" w:rsidRDefault="00DF0274">
      <w:pPr>
        <w:pStyle w:val="Notedebasdepage"/>
        <w:rPr>
          <w:lang w:val="en-CA"/>
        </w:rPr>
      </w:pPr>
      <w:r w:rsidRPr="00B535FF">
        <w:rPr>
          <w:rStyle w:val="Appelnotedebasdep"/>
          <w:lang w:val="en-CA"/>
        </w:rPr>
        <w:footnoteRef/>
      </w:r>
      <w:r w:rsidRPr="00B535FF">
        <w:rPr>
          <w:lang w:val="en-CA"/>
        </w:rPr>
        <w:t xml:space="preserve"> </w:t>
      </w:r>
      <w:r w:rsidRPr="00B535FF">
        <w:rPr>
          <w:lang w:val="en-CA"/>
        </w:rPr>
        <w:tab/>
        <w:t xml:space="preserve">In a judgment rendered on February 2, 2024, the Tribunal banned the </w:t>
      </w:r>
      <w:r>
        <w:rPr>
          <w:lang w:val="en-CA"/>
        </w:rPr>
        <w:t xml:space="preserve">disclosure, </w:t>
      </w:r>
      <w:r w:rsidRPr="00B535FF">
        <w:rPr>
          <w:lang w:val="en-CA"/>
        </w:rPr>
        <w:t>publication</w:t>
      </w:r>
      <w:r>
        <w:rPr>
          <w:lang w:val="en-CA"/>
        </w:rPr>
        <w:t>,</w:t>
      </w:r>
      <w:r w:rsidRPr="00B535FF">
        <w:rPr>
          <w:lang w:val="en-CA"/>
        </w:rPr>
        <w:t xml:space="preserve"> </w:t>
      </w:r>
      <w:r>
        <w:rPr>
          <w:lang w:val="en-CA"/>
        </w:rPr>
        <w:t>and</w:t>
      </w:r>
      <w:r w:rsidRPr="00B535FF">
        <w:rPr>
          <w:lang w:val="en-CA"/>
        </w:rPr>
        <w:t xml:space="preserve"> broadcast of the complainant’s name</w:t>
      </w:r>
      <w:r>
        <w:rPr>
          <w:lang w:val="en-CA"/>
        </w:rPr>
        <w:t>,</w:t>
      </w:r>
      <w:r w:rsidRPr="00B535FF">
        <w:rPr>
          <w:lang w:val="en-CA"/>
        </w:rPr>
        <w:t xml:space="preserve"> </w:t>
      </w:r>
      <w:r>
        <w:rPr>
          <w:lang w:val="en-CA"/>
        </w:rPr>
        <w:t>and ordered that she be identified</w:t>
      </w:r>
      <w:r w:rsidRPr="00B535FF">
        <w:rPr>
          <w:lang w:val="en-CA"/>
        </w:rPr>
        <w:t xml:space="preserve"> by the initials E.B.</w:t>
      </w:r>
    </w:p>
  </w:footnote>
  <w:footnote w:id="2">
    <w:p w14:paraId="511ECF6E" w14:textId="0791A5B6" w:rsidR="009A2EED" w:rsidRPr="00B535FF" w:rsidRDefault="009A2EED" w:rsidP="009A2EED">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05674E" w:rsidRPr="00B535FF">
        <w:rPr>
          <w:lang w:val="en-CA"/>
        </w:rPr>
        <w:t>CQLR,</w:t>
      </w:r>
      <w:r w:rsidRPr="00B535FF">
        <w:rPr>
          <w:lang w:val="en-CA"/>
        </w:rPr>
        <w:t xml:space="preserve"> c. C-12 </w:t>
      </w:r>
      <w:r w:rsidR="0005674E" w:rsidRPr="00B535FF">
        <w:rPr>
          <w:rFonts w:cs="Arial"/>
          <w:lang w:val="en-CA"/>
        </w:rPr>
        <w:t>[</w:t>
      </w:r>
      <w:r w:rsidRPr="00B535FF">
        <w:rPr>
          <w:i/>
          <w:iCs/>
          <w:lang w:val="en-CA"/>
        </w:rPr>
        <w:t>Charte</w:t>
      </w:r>
      <w:r w:rsidR="0005674E" w:rsidRPr="00B535FF">
        <w:rPr>
          <w:i/>
          <w:iCs/>
          <w:lang w:val="en-CA"/>
        </w:rPr>
        <w:t>r</w:t>
      </w:r>
      <w:r w:rsidR="0005674E" w:rsidRPr="00B535FF">
        <w:rPr>
          <w:rFonts w:cs="Arial"/>
          <w:lang w:val="en-CA"/>
        </w:rPr>
        <w:t>]</w:t>
      </w:r>
      <w:r w:rsidRPr="00B535FF">
        <w:rPr>
          <w:lang w:val="en-CA"/>
        </w:rPr>
        <w:t>.</w:t>
      </w:r>
    </w:p>
  </w:footnote>
  <w:footnote w:id="3">
    <w:p w14:paraId="1821816A" w14:textId="56021AA1" w:rsidR="009A2EED" w:rsidRPr="00B535FF" w:rsidRDefault="009A2EED" w:rsidP="009A2EED">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lang w:val="en-CA"/>
        </w:rPr>
        <w:t>Exhibit</w:t>
      </w:r>
      <w:r w:rsidRPr="00B535FF">
        <w:rPr>
          <w:lang w:val="en-CA"/>
        </w:rPr>
        <w:t xml:space="preserve"> P-3, </w:t>
      </w:r>
      <w:r w:rsidRPr="004862BE">
        <w:rPr>
          <w:lang w:val="en-CA"/>
        </w:rPr>
        <w:t>Facebook</w:t>
      </w:r>
      <w:r w:rsidRPr="00B535FF">
        <w:rPr>
          <w:i/>
          <w:iCs/>
          <w:lang w:val="en-CA"/>
        </w:rPr>
        <w:t xml:space="preserve"> </w:t>
      </w:r>
      <w:r w:rsidR="0005674E" w:rsidRPr="00B535FF">
        <w:rPr>
          <w:lang w:val="en-CA"/>
        </w:rPr>
        <w:t>conversations</w:t>
      </w:r>
      <w:r w:rsidR="0005674E" w:rsidRPr="00B535FF">
        <w:rPr>
          <w:i/>
          <w:iCs/>
          <w:lang w:val="en-CA"/>
        </w:rPr>
        <w:t xml:space="preserve"> </w:t>
      </w:r>
      <w:r w:rsidR="0005674E" w:rsidRPr="00B535FF">
        <w:rPr>
          <w:lang w:val="en-CA"/>
        </w:rPr>
        <w:t xml:space="preserve">between </w:t>
      </w:r>
      <w:r w:rsidRPr="00B535FF">
        <w:rPr>
          <w:lang w:val="en-CA"/>
        </w:rPr>
        <w:t xml:space="preserve">E.B. </w:t>
      </w:r>
      <w:r w:rsidR="0005674E" w:rsidRPr="00B535FF">
        <w:rPr>
          <w:lang w:val="en-CA"/>
        </w:rPr>
        <w:t>and</w:t>
      </w:r>
      <w:r w:rsidRPr="00B535FF">
        <w:rPr>
          <w:lang w:val="en-CA"/>
        </w:rPr>
        <w:t xml:space="preserve"> Sayeed Ahmed Sikder </w:t>
      </w:r>
      <w:r w:rsidR="0005674E" w:rsidRPr="00B535FF">
        <w:rPr>
          <w:lang w:val="en-CA"/>
        </w:rPr>
        <w:t>on March</w:t>
      </w:r>
      <w:r w:rsidR="00F33329" w:rsidRPr="00B535FF">
        <w:rPr>
          <w:lang w:val="en-CA"/>
        </w:rPr>
        <w:t xml:space="preserve"> 30,</w:t>
      </w:r>
      <w:r w:rsidRPr="00B535FF">
        <w:rPr>
          <w:lang w:val="en-CA"/>
        </w:rPr>
        <w:t xml:space="preserve"> 2017.</w:t>
      </w:r>
    </w:p>
  </w:footnote>
  <w:footnote w:id="4">
    <w:p w14:paraId="75639186" w14:textId="7E55CC21" w:rsidR="003F7627" w:rsidRPr="008D6A1A" w:rsidRDefault="00E641F1">
      <w:pPr>
        <w:pStyle w:val="Notedebasdepage"/>
        <w:rPr>
          <w:lang w:val="en-CA"/>
        </w:rPr>
      </w:pPr>
      <w:r w:rsidRPr="00B535FF">
        <w:rPr>
          <w:rStyle w:val="Appelnotedebasdep"/>
          <w:lang w:val="en-CA"/>
        </w:rPr>
        <w:footnoteRef/>
      </w:r>
      <w:r w:rsidRPr="008D6A1A">
        <w:rPr>
          <w:lang w:val="en-CA"/>
        </w:rPr>
        <w:t xml:space="preserve"> </w:t>
      </w:r>
      <w:r w:rsidRPr="008D6A1A">
        <w:rPr>
          <w:lang w:val="en-CA"/>
        </w:rPr>
        <w:tab/>
      </w:r>
      <w:r w:rsidR="00614461" w:rsidRPr="008D6A1A">
        <w:rPr>
          <w:lang w:val="en-CA"/>
        </w:rPr>
        <w:t xml:space="preserve">Affidavit of </w:t>
      </w:r>
      <w:r w:rsidRPr="008D6A1A">
        <w:rPr>
          <w:lang w:val="en-CA"/>
        </w:rPr>
        <w:t xml:space="preserve">E.B., </w:t>
      </w:r>
      <w:r w:rsidR="00614461" w:rsidRPr="008D6A1A">
        <w:rPr>
          <w:lang w:val="en-CA"/>
        </w:rPr>
        <w:t>June</w:t>
      </w:r>
      <w:r w:rsidRPr="008D6A1A">
        <w:rPr>
          <w:lang w:val="en-CA"/>
        </w:rPr>
        <w:t xml:space="preserve"> </w:t>
      </w:r>
      <w:r w:rsidR="00F33329" w:rsidRPr="008D6A1A">
        <w:rPr>
          <w:lang w:val="en-CA"/>
        </w:rPr>
        <w:t xml:space="preserve">9, </w:t>
      </w:r>
      <w:r w:rsidRPr="008D6A1A">
        <w:rPr>
          <w:lang w:val="en-CA"/>
        </w:rPr>
        <w:t>2023.</w:t>
      </w:r>
    </w:p>
  </w:footnote>
  <w:footnote w:id="5">
    <w:p w14:paraId="6D351820" w14:textId="42B27D77" w:rsidR="009A2EED" w:rsidRPr="00B535FF" w:rsidRDefault="009A2EED" w:rsidP="009A2EED">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lang w:val="en-CA"/>
        </w:rPr>
        <w:t>Exhibit</w:t>
      </w:r>
      <w:r w:rsidRPr="00B535FF">
        <w:rPr>
          <w:lang w:val="en-CA"/>
        </w:rPr>
        <w:t xml:space="preserve"> P-4, </w:t>
      </w:r>
      <w:r w:rsidRPr="004862BE">
        <w:rPr>
          <w:lang w:val="en-CA"/>
        </w:rPr>
        <w:t>Facebook</w:t>
      </w:r>
      <w:r w:rsidRPr="00B535FF">
        <w:rPr>
          <w:i/>
          <w:iCs/>
          <w:lang w:val="en-CA"/>
        </w:rPr>
        <w:t xml:space="preserve"> </w:t>
      </w:r>
      <w:r w:rsidR="00614461" w:rsidRPr="00B535FF">
        <w:rPr>
          <w:lang w:val="en-CA"/>
        </w:rPr>
        <w:t xml:space="preserve">conversations between </w:t>
      </w:r>
      <w:r w:rsidRPr="00B535FF">
        <w:rPr>
          <w:lang w:val="en-CA"/>
        </w:rPr>
        <w:t xml:space="preserve">E.B. </w:t>
      </w:r>
      <w:r w:rsidR="00614461" w:rsidRPr="00B535FF">
        <w:rPr>
          <w:lang w:val="en-CA"/>
        </w:rPr>
        <w:t>and</w:t>
      </w:r>
      <w:r w:rsidRPr="00B535FF">
        <w:rPr>
          <w:lang w:val="en-CA"/>
        </w:rPr>
        <w:t xml:space="preserve"> </w:t>
      </w:r>
      <w:r w:rsidRPr="00C07F47">
        <w:rPr>
          <w:lang w:val="en-CA"/>
        </w:rPr>
        <w:t>D</w:t>
      </w:r>
      <w:r w:rsidR="00644E91">
        <w:rPr>
          <w:lang w:val="en-CA"/>
        </w:rPr>
        <w:t>…</w:t>
      </w:r>
      <w:r w:rsidRPr="00C07F47">
        <w:rPr>
          <w:lang w:val="en-CA"/>
        </w:rPr>
        <w:t xml:space="preserve"> </w:t>
      </w:r>
      <w:r w:rsidR="00644E91">
        <w:rPr>
          <w:lang w:val="en-CA"/>
        </w:rPr>
        <w:t>S...</w:t>
      </w:r>
      <w:r w:rsidRPr="00B535FF">
        <w:rPr>
          <w:lang w:val="en-CA"/>
        </w:rPr>
        <w:t xml:space="preserve"> </w:t>
      </w:r>
      <w:r w:rsidR="00614461" w:rsidRPr="00B535FF">
        <w:rPr>
          <w:lang w:val="en-CA"/>
        </w:rPr>
        <w:t>on</w:t>
      </w:r>
      <w:r w:rsidR="003A43DA" w:rsidRPr="00B535FF">
        <w:rPr>
          <w:lang w:val="en-CA"/>
        </w:rPr>
        <w:t xml:space="preserve"> March</w:t>
      </w:r>
      <w:r w:rsidR="00614461" w:rsidRPr="00B535FF">
        <w:rPr>
          <w:lang w:val="en-CA"/>
        </w:rPr>
        <w:t xml:space="preserve"> </w:t>
      </w:r>
      <w:r w:rsidRPr="00B535FF">
        <w:rPr>
          <w:lang w:val="en-CA"/>
        </w:rPr>
        <w:t>31</w:t>
      </w:r>
      <w:r w:rsidR="003A43DA" w:rsidRPr="00B535FF">
        <w:rPr>
          <w:lang w:val="en-CA"/>
        </w:rPr>
        <w:t>,</w:t>
      </w:r>
      <w:r w:rsidRPr="00B535FF">
        <w:rPr>
          <w:lang w:val="en-CA"/>
        </w:rPr>
        <w:t xml:space="preserve"> 2017.</w:t>
      </w:r>
    </w:p>
  </w:footnote>
  <w:footnote w:id="6">
    <w:p w14:paraId="3109AE51" w14:textId="354F1D5D" w:rsidR="009A2EED" w:rsidRPr="00B535FF" w:rsidRDefault="009A2EED" w:rsidP="009A2EED">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lang w:val="en-CA"/>
        </w:rPr>
        <w:t>Exhibit</w:t>
      </w:r>
      <w:r w:rsidRPr="00B535FF">
        <w:rPr>
          <w:lang w:val="en-CA"/>
        </w:rPr>
        <w:t xml:space="preserve"> P-3, </w:t>
      </w:r>
      <w:r w:rsidR="00614461" w:rsidRPr="00B535FF">
        <w:rPr>
          <w:i/>
          <w:iCs/>
          <w:lang w:val="en-CA"/>
        </w:rPr>
        <w:t>supra</w:t>
      </w:r>
      <w:r w:rsidRPr="00B535FF">
        <w:rPr>
          <w:lang w:val="en-CA"/>
        </w:rPr>
        <w:t xml:space="preserve"> note </w:t>
      </w:r>
      <w:r w:rsidRPr="00B535FF">
        <w:rPr>
          <w:lang w:val="en-CA"/>
        </w:rPr>
        <w:fldChar w:fldCharType="begin"/>
      </w:r>
      <w:r w:rsidRPr="00B535FF">
        <w:rPr>
          <w:lang w:val="en-CA"/>
        </w:rPr>
        <w:instrText xml:space="preserve"> NOTEREF _Ref163037176 \h </w:instrText>
      </w:r>
      <w:r w:rsidRPr="00B535FF">
        <w:rPr>
          <w:lang w:val="en-CA"/>
        </w:rPr>
      </w:r>
      <w:r w:rsidRPr="00B535FF">
        <w:rPr>
          <w:lang w:val="en-CA"/>
        </w:rPr>
        <w:fldChar w:fldCharType="separate"/>
      </w:r>
      <w:r w:rsidR="00034ABA">
        <w:rPr>
          <w:lang w:val="en-CA"/>
        </w:rPr>
        <w:t>3</w:t>
      </w:r>
      <w:r w:rsidRPr="00B535FF">
        <w:rPr>
          <w:lang w:val="en-CA"/>
        </w:rPr>
        <w:fldChar w:fldCharType="end"/>
      </w:r>
      <w:r w:rsidRPr="00B535FF">
        <w:rPr>
          <w:lang w:val="en-CA"/>
        </w:rPr>
        <w:t>.</w:t>
      </w:r>
    </w:p>
  </w:footnote>
  <w:footnote w:id="7">
    <w:p w14:paraId="6CF3DF39" w14:textId="77777777"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 xml:space="preserve">Act respecting the change of name and of other particulars of civil status, </w:t>
      </w:r>
      <w:r w:rsidRPr="00B535FF">
        <w:rPr>
          <w:lang w:val="en-CA"/>
        </w:rPr>
        <w:t>SQ 1977, c. 19</w:t>
      </w:r>
    </w:p>
  </w:footnote>
  <w:footnote w:id="8">
    <w:p w14:paraId="39289823" w14:textId="0985365E" w:rsidR="00DA0C35" w:rsidRPr="00F57A2B" w:rsidRDefault="00DA0C35" w:rsidP="00DA0C35">
      <w:pPr>
        <w:pStyle w:val="Notedebasdepage"/>
      </w:pPr>
      <w:r w:rsidRPr="00B535FF">
        <w:rPr>
          <w:rStyle w:val="Appelnotedebasdep"/>
          <w:lang w:val="en-CA"/>
        </w:rPr>
        <w:footnoteRef/>
      </w:r>
      <w:r w:rsidRPr="00F57A2B">
        <w:t xml:space="preserve"> </w:t>
      </w:r>
      <w:r w:rsidRPr="00F57A2B">
        <w:tab/>
      </w:r>
      <w:r w:rsidRPr="00F57A2B">
        <w:rPr>
          <w:i/>
          <w:iCs/>
        </w:rPr>
        <w:t xml:space="preserve">Commission des droits de la personne et des droits de la jeunesse (M.L.) c. Maison des jeunes A..., </w:t>
      </w:r>
      <w:r w:rsidRPr="00F57A2B">
        <w:t>1998 CanLII 28 (QC TDP)</w:t>
      </w:r>
      <w:r w:rsidRPr="00F57A2B">
        <w:rPr>
          <w:i/>
          <w:iCs/>
        </w:rPr>
        <w:t xml:space="preserve"> </w:t>
      </w:r>
      <w:r w:rsidR="00526D02" w:rsidRPr="00F57A2B">
        <w:rPr>
          <w:rFonts w:cs="Arial"/>
        </w:rPr>
        <w:t>[</w:t>
      </w:r>
      <w:r w:rsidRPr="00F57A2B">
        <w:rPr>
          <w:i/>
          <w:iCs/>
        </w:rPr>
        <w:t>Maison des jeunes</w:t>
      </w:r>
      <w:r w:rsidR="00526D02" w:rsidRPr="00F57A2B">
        <w:rPr>
          <w:rFonts w:cs="Arial"/>
        </w:rPr>
        <w:t>]</w:t>
      </w:r>
      <w:r w:rsidRPr="00F57A2B">
        <w:t>.</w:t>
      </w:r>
    </w:p>
  </w:footnote>
  <w:footnote w:id="9">
    <w:p w14:paraId="7F614F33" w14:textId="2162503E"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w:t>
      </w:r>
      <w:r w:rsidR="00614461" w:rsidRPr="00B535FF">
        <w:rPr>
          <w:i/>
          <w:iCs/>
          <w:lang w:val="en-CA"/>
        </w:rPr>
        <w:t>bid.</w:t>
      </w:r>
      <w:r w:rsidRPr="00B535FF">
        <w:rPr>
          <w:lang w:val="en-CA"/>
        </w:rPr>
        <w:t xml:space="preserve"> </w:t>
      </w:r>
      <w:r w:rsidR="00614461" w:rsidRPr="00B535FF">
        <w:rPr>
          <w:lang w:val="en-CA"/>
        </w:rPr>
        <w:t>at para.</w:t>
      </w:r>
      <w:r w:rsidRPr="00B535FF">
        <w:rPr>
          <w:lang w:val="en-CA"/>
        </w:rPr>
        <w:t xml:space="preserve"> 111.</w:t>
      </w:r>
    </w:p>
  </w:footnote>
  <w:footnote w:id="10">
    <w:p w14:paraId="6EC4BCEE" w14:textId="1E8ABD7C"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lang w:val="en-CA"/>
        </w:rPr>
        <w:t xml:space="preserve"> </w:t>
      </w:r>
      <w:r w:rsidR="00614461" w:rsidRPr="00B535FF">
        <w:rPr>
          <w:lang w:val="en-CA"/>
        </w:rPr>
        <w:t>at para.</w:t>
      </w:r>
      <w:r w:rsidRPr="00B535FF">
        <w:rPr>
          <w:lang w:val="en-CA"/>
        </w:rPr>
        <w:t xml:space="preserve"> 128.</w:t>
      </w:r>
    </w:p>
  </w:footnote>
  <w:footnote w:id="11">
    <w:p w14:paraId="448863CA" w14:textId="4B93F8CA"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lang w:val="en-CA"/>
        </w:rPr>
        <w:t xml:space="preserve"> </w:t>
      </w:r>
      <w:r w:rsidR="00614461" w:rsidRPr="00B535FF">
        <w:rPr>
          <w:lang w:val="en-CA"/>
        </w:rPr>
        <w:t>at para.</w:t>
      </w:r>
      <w:r w:rsidRPr="00B535FF">
        <w:rPr>
          <w:lang w:val="en-CA"/>
        </w:rPr>
        <w:t xml:space="preserve"> 130.</w:t>
      </w:r>
    </w:p>
  </w:footnote>
  <w:footnote w:id="12">
    <w:p w14:paraId="2C98C1A7" w14:textId="53E00C58"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lang w:val="en-CA"/>
        </w:rPr>
        <w:t xml:space="preserve"> </w:t>
      </w:r>
      <w:r w:rsidR="00614461" w:rsidRPr="00B535FF">
        <w:rPr>
          <w:lang w:val="en-CA"/>
        </w:rPr>
        <w:t>at paras.</w:t>
      </w:r>
      <w:r w:rsidRPr="00B535FF">
        <w:rPr>
          <w:lang w:val="en-CA"/>
        </w:rPr>
        <w:t xml:space="preserve"> 150 </w:t>
      </w:r>
      <w:r w:rsidR="00821371" w:rsidRPr="00B535FF">
        <w:rPr>
          <w:lang w:val="en-CA"/>
        </w:rPr>
        <w:t>and</w:t>
      </w:r>
      <w:r w:rsidRPr="00B535FF">
        <w:rPr>
          <w:lang w:val="en-CA"/>
        </w:rPr>
        <w:t xml:space="preserve"> 161.</w:t>
      </w:r>
    </w:p>
  </w:footnote>
  <w:footnote w:id="13">
    <w:p w14:paraId="2F2E704E" w14:textId="7FF53C7A"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lang w:val="en-CA"/>
        </w:rPr>
        <w:t xml:space="preserve"> </w:t>
      </w:r>
      <w:r w:rsidR="00614461" w:rsidRPr="00B535FF">
        <w:rPr>
          <w:lang w:val="en-CA"/>
        </w:rPr>
        <w:t>at para.</w:t>
      </w:r>
      <w:r w:rsidRPr="00B535FF">
        <w:rPr>
          <w:lang w:val="en-CA"/>
        </w:rPr>
        <w:t xml:space="preserve"> 67</w:t>
      </w:r>
    </w:p>
  </w:footnote>
  <w:footnote w:id="14">
    <w:p w14:paraId="05B39574" w14:textId="7E1E06E2"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lang w:val="en-CA"/>
        </w:rPr>
        <w:t xml:space="preserve"> </w:t>
      </w:r>
      <w:r w:rsidR="00614461" w:rsidRPr="00B535FF">
        <w:rPr>
          <w:lang w:val="en-CA"/>
        </w:rPr>
        <w:t>at para.</w:t>
      </w:r>
      <w:r w:rsidRPr="00B535FF">
        <w:rPr>
          <w:lang w:val="en-CA"/>
        </w:rPr>
        <w:t xml:space="preserve"> 82.</w:t>
      </w:r>
    </w:p>
  </w:footnote>
  <w:footnote w:id="15">
    <w:p w14:paraId="5D65C5B2" w14:textId="60FB01F6"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lang w:val="en-CA"/>
        </w:rPr>
        <w:t xml:space="preserve"> </w:t>
      </w:r>
      <w:r w:rsidR="00614461" w:rsidRPr="00B535FF">
        <w:rPr>
          <w:lang w:val="en-CA"/>
        </w:rPr>
        <w:t>at para.</w:t>
      </w:r>
      <w:r w:rsidRPr="00B535FF">
        <w:rPr>
          <w:lang w:val="en-CA"/>
        </w:rPr>
        <w:t xml:space="preserve"> 95.</w:t>
      </w:r>
    </w:p>
  </w:footnote>
  <w:footnote w:id="16">
    <w:p w14:paraId="00107559" w14:textId="18872FEF"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lang w:val="en-CA"/>
        </w:rPr>
        <w:t xml:space="preserve"> </w:t>
      </w:r>
      <w:r w:rsidR="00614461" w:rsidRPr="00B535FF">
        <w:rPr>
          <w:lang w:val="en-CA"/>
        </w:rPr>
        <w:t>at para.</w:t>
      </w:r>
      <w:r w:rsidRPr="00B535FF">
        <w:rPr>
          <w:lang w:val="en-CA"/>
        </w:rPr>
        <w:t xml:space="preserve"> 99.</w:t>
      </w:r>
    </w:p>
  </w:footnote>
  <w:footnote w:id="17">
    <w:p w14:paraId="7C06F048" w14:textId="15469714"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lang w:val="en-CA"/>
        </w:rPr>
        <w:t xml:space="preserve"> </w:t>
      </w:r>
      <w:r w:rsidR="00614461" w:rsidRPr="00B535FF">
        <w:rPr>
          <w:lang w:val="en-CA"/>
        </w:rPr>
        <w:t>at para.</w:t>
      </w:r>
      <w:r w:rsidRPr="00B535FF">
        <w:rPr>
          <w:lang w:val="en-CA"/>
        </w:rPr>
        <w:t xml:space="preserve"> 114. </w:t>
      </w:r>
    </w:p>
  </w:footnote>
  <w:footnote w:id="18">
    <w:p w14:paraId="355BCBF1" w14:textId="7BA87E76"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D041E1" w:rsidRPr="00B535FF">
        <w:rPr>
          <w:lang w:val="en-CA"/>
        </w:rPr>
        <w:t>I</w:t>
      </w:r>
      <w:r w:rsidRPr="00B535FF">
        <w:rPr>
          <w:lang w:val="en-CA"/>
        </w:rPr>
        <w:t xml:space="preserve">n 2013, </w:t>
      </w:r>
      <w:r w:rsidR="00D041E1" w:rsidRPr="00B535FF">
        <w:rPr>
          <w:lang w:val="en-CA"/>
        </w:rPr>
        <w:t xml:space="preserve">the Quebec legislature removed surgery as an essential </w:t>
      </w:r>
      <w:r w:rsidR="00B535FF" w:rsidRPr="00B535FF">
        <w:rPr>
          <w:lang w:val="en-CA"/>
        </w:rPr>
        <w:t>requirement</w:t>
      </w:r>
      <w:r w:rsidR="00D041E1" w:rsidRPr="00B535FF">
        <w:rPr>
          <w:lang w:val="en-CA"/>
        </w:rPr>
        <w:t xml:space="preserve"> to change </w:t>
      </w:r>
      <w:r w:rsidR="00A86984">
        <w:rPr>
          <w:lang w:val="en-CA"/>
        </w:rPr>
        <w:t>one’s</w:t>
      </w:r>
      <w:r w:rsidR="00A86984" w:rsidRPr="00B535FF">
        <w:rPr>
          <w:lang w:val="en-CA"/>
        </w:rPr>
        <w:t xml:space="preserve"> </w:t>
      </w:r>
      <w:r w:rsidR="00D041E1" w:rsidRPr="00B535FF">
        <w:rPr>
          <w:lang w:val="en-CA"/>
        </w:rPr>
        <w:t xml:space="preserve">name and sex </w:t>
      </w:r>
      <w:r w:rsidR="00B535FF" w:rsidRPr="00B535FF">
        <w:rPr>
          <w:lang w:val="en-CA"/>
        </w:rPr>
        <w:t xml:space="preserve">in the register of </w:t>
      </w:r>
      <w:r w:rsidR="00D041E1" w:rsidRPr="00B535FF">
        <w:rPr>
          <w:lang w:val="en-CA"/>
        </w:rPr>
        <w:t xml:space="preserve">civil status through the </w:t>
      </w:r>
      <w:r w:rsidR="00D041E1" w:rsidRPr="00B535FF">
        <w:rPr>
          <w:i/>
          <w:iCs/>
          <w:lang w:val="en-CA"/>
        </w:rPr>
        <w:t>Act to amend the Civil Code as regards civil status, successions and the publication of rights</w:t>
      </w:r>
      <w:r w:rsidRPr="00B535FF">
        <w:rPr>
          <w:lang w:val="en-CA"/>
        </w:rPr>
        <w:t xml:space="preserve">, </w:t>
      </w:r>
      <w:r w:rsidR="00D041E1" w:rsidRPr="00B535FF">
        <w:rPr>
          <w:lang w:val="en-CA"/>
        </w:rPr>
        <w:t>S</w:t>
      </w:r>
      <w:r w:rsidRPr="00B535FF">
        <w:rPr>
          <w:lang w:val="en-CA"/>
        </w:rPr>
        <w:t xml:space="preserve">Q 2013, c. 27, </w:t>
      </w:r>
      <w:r w:rsidR="00FC6AC1" w:rsidRPr="00B535FF">
        <w:rPr>
          <w:lang w:val="en-CA"/>
        </w:rPr>
        <w:t>ss</w:t>
      </w:r>
      <w:r w:rsidRPr="00B535FF">
        <w:rPr>
          <w:lang w:val="en-CA"/>
        </w:rPr>
        <w:t xml:space="preserve">. 3 </w:t>
      </w:r>
      <w:r w:rsidR="00FC6AC1" w:rsidRPr="00B535FF">
        <w:rPr>
          <w:lang w:val="en-CA"/>
        </w:rPr>
        <w:t>and</w:t>
      </w:r>
      <w:r w:rsidRPr="00B535FF">
        <w:rPr>
          <w:lang w:val="en-CA"/>
        </w:rPr>
        <w:t xml:space="preserve"> 4.</w:t>
      </w:r>
    </w:p>
  </w:footnote>
  <w:footnote w:id="19">
    <w:p w14:paraId="48E6A412" w14:textId="4094F3A9" w:rsidR="00DA0C35" w:rsidRPr="00B535FF" w:rsidRDefault="00DA0C35" w:rsidP="00DA0C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p>
  </w:footnote>
  <w:footnote w:id="20">
    <w:p w14:paraId="6291F937" w14:textId="77777777" w:rsidR="00E74D63" w:rsidRPr="00B535FF" w:rsidRDefault="00E74D63" w:rsidP="00E74D6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Kin c. McNicoll</w:t>
      </w:r>
      <w:r w:rsidRPr="00B535FF">
        <w:rPr>
          <w:lang w:val="en-CA"/>
        </w:rPr>
        <w:t>, 2021 QCTDP 34.</w:t>
      </w:r>
    </w:p>
  </w:footnote>
  <w:footnote w:id="21">
    <w:p w14:paraId="52F3730C" w14:textId="3AA628C5" w:rsidR="00E74D63" w:rsidRPr="00F57A2B" w:rsidRDefault="00E74D63" w:rsidP="00E74D63">
      <w:pPr>
        <w:pStyle w:val="Notedebasdepage"/>
      </w:pPr>
      <w:r w:rsidRPr="00B535FF">
        <w:rPr>
          <w:rStyle w:val="Appelnotedebasdep"/>
          <w:lang w:val="en-CA"/>
        </w:rPr>
        <w:footnoteRef/>
      </w:r>
      <w:r w:rsidRPr="00F57A2B">
        <w:t xml:space="preserve"> </w:t>
      </w:r>
      <w:r w:rsidRPr="00F57A2B">
        <w:tab/>
      </w:r>
      <w:r w:rsidRPr="00F57A2B">
        <w:rPr>
          <w:i/>
          <w:iCs/>
        </w:rPr>
        <w:t>Ibid.</w:t>
      </w:r>
      <w:r w:rsidRPr="00F57A2B">
        <w:t xml:space="preserve"> at para. 66. </w:t>
      </w:r>
      <w:r w:rsidR="00FC6AC1" w:rsidRPr="00F57A2B">
        <w:t xml:space="preserve">This judgment was rendered a few months before </w:t>
      </w:r>
      <w:r w:rsidRPr="00F57A2B">
        <w:rPr>
          <w:i/>
          <w:iCs/>
        </w:rPr>
        <w:t xml:space="preserve">Ward </w:t>
      </w:r>
      <w:r w:rsidR="00FC6AC1" w:rsidRPr="00F57A2B">
        <w:rPr>
          <w:i/>
          <w:iCs/>
        </w:rPr>
        <w:t>v</w:t>
      </w:r>
      <w:r w:rsidRPr="00F57A2B">
        <w:rPr>
          <w:i/>
          <w:iCs/>
        </w:rPr>
        <w:t>. Qu</w:t>
      </w:r>
      <w:r w:rsidR="00FC6AC1" w:rsidRPr="00F57A2B">
        <w:rPr>
          <w:i/>
          <w:iCs/>
        </w:rPr>
        <w:t>e</w:t>
      </w:r>
      <w:r w:rsidRPr="00F57A2B">
        <w:rPr>
          <w:i/>
          <w:iCs/>
        </w:rPr>
        <w:t>bec (Commission des droits de la personne et des droits de la jeunesse)</w:t>
      </w:r>
      <w:r w:rsidRPr="00F57A2B">
        <w:t>, 2021 S</w:t>
      </w:r>
      <w:r w:rsidR="00FC6AC1" w:rsidRPr="00F57A2B">
        <w:t>C</w:t>
      </w:r>
      <w:r w:rsidRPr="00F57A2B">
        <w:t>C 43.</w:t>
      </w:r>
    </w:p>
  </w:footnote>
  <w:footnote w:id="22">
    <w:p w14:paraId="3DA26553" w14:textId="78A0A289" w:rsidR="00E74D63" w:rsidRPr="00B535FF" w:rsidRDefault="00E74D63" w:rsidP="00E74D6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 xml:space="preserve">Centre </w:t>
      </w:r>
      <w:r w:rsidR="005147D7" w:rsidRPr="00B535FF">
        <w:rPr>
          <w:i/>
          <w:iCs/>
          <w:lang w:val="en-CA"/>
        </w:rPr>
        <w:t>for Gender Advocacy c.</w:t>
      </w:r>
      <w:r w:rsidRPr="00B535FF">
        <w:rPr>
          <w:i/>
          <w:iCs/>
          <w:lang w:val="en-CA"/>
        </w:rPr>
        <w:t xml:space="preserve"> </w:t>
      </w:r>
      <w:r w:rsidR="005147D7" w:rsidRPr="00B535FF">
        <w:rPr>
          <w:i/>
          <w:iCs/>
          <w:lang w:val="en-CA"/>
        </w:rPr>
        <w:t xml:space="preserve">Attorney General of </w:t>
      </w:r>
      <w:r w:rsidRPr="00B535FF">
        <w:rPr>
          <w:i/>
          <w:iCs/>
          <w:lang w:val="en-CA"/>
        </w:rPr>
        <w:t>Qu</w:t>
      </w:r>
      <w:r w:rsidR="005147D7" w:rsidRPr="00B535FF">
        <w:rPr>
          <w:i/>
          <w:iCs/>
          <w:lang w:val="en-CA"/>
        </w:rPr>
        <w:t>e</w:t>
      </w:r>
      <w:r w:rsidRPr="00B535FF">
        <w:rPr>
          <w:i/>
          <w:iCs/>
          <w:lang w:val="en-CA"/>
        </w:rPr>
        <w:t>bec</w:t>
      </w:r>
      <w:r w:rsidRPr="00B535FF">
        <w:rPr>
          <w:lang w:val="en-CA"/>
        </w:rPr>
        <w:t xml:space="preserve">, 2021 QCCS 191 </w:t>
      </w:r>
      <w:r w:rsidR="005147D7" w:rsidRPr="00B535FF">
        <w:rPr>
          <w:rFonts w:cs="Arial"/>
          <w:lang w:val="en-CA"/>
        </w:rPr>
        <w:t>[</w:t>
      </w:r>
      <w:r w:rsidRPr="00B535FF">
        <w:rPr>
          <w:i/>
          <w:iCs/>
          <w:lang w:val="en-CA"/>
        </w:rPr>
        <w:t>Cen</w:t>
      </w:r>
      <w:r w:rsidR="00987EE8" w:rsidRPr="00B535FF">
        <w:rPr>
          <w:i/>
          <w:iCs/>
          <w:lang w:val="en-CA"/>
        </w:rPr>
        <w:t>tr</w:t>
      </w:r>
      <w:r w:rsidRPr="00B535FF">
        <w:rPr>
          <w:i/>
          <w:iCs/>
          <w:lang w:val="en-CA"/>
        </w:rPr>
        <w:t>e for Gender Advocacy</w:t>
      </w:r>
      <w:r w:rsidR="005147D7" w:rsidRPr="00B535FF">
        <w:rPr>
          <w:rFonts w:cs="Arial"/>
          <w:lang w:val="en-CA"/>
        </w:rPr>
        <w:t>]</w:t>
      </w:r>
      <w:r w:rsidRPr="00B535FF">
        <w:rPr>
          <w:lang w:val="en-CA"/>
        </w:rPr>
        <w:t>.</w:t>
      </w:r>
    </w:p>
  </w:footnote>
  <w:footnote w:id="23">
    <w:p w14:paraId="24F2C3AF" w14:textId="09EEB919" w:rsidR="00B06A15" w:rsidRPr="00F57A2B" w:rsidRDefault="00E641F1">
      <w:pPr>
        <w:pStyle w:val="Notedebasdepage"/>
        <w:rPr>
          <w:i/>
          <w:iCs/>
          <w:u w:val="single"/>
        </w:rPr>
      </w:pPr>
      <w:r w:rsidRPr="00B535FF">
        <w:rPr>
          <w:rStyle w:val="Appelnotedebasdep"/>
          <w:lang w:val="en-CA"/>
        </w:rPr>
        <w:footnoteRef/>
      </w:r>
      <w:r w:rsidR="0039414F" w:rsidRPr="00F57A2B">
        <w:t xml:space="preserve"> </w:t>
      </w:r>
      <w:r w:rsidR="0039414F" w:rsidRPr="00F57A2B">
        <w:tab/>
      </w:r>
      <w:r w:rsidR="00614461" w:rsidRPr="00F57A2B">
        <w:t xml:space="preserve">Canadian Bar </w:t>
      </w:r>
      <w:r w:rsidR="0039414F" w:rsidRPr="00F57A2B">
        <w:t xml:space="preserve">Association, </w:t>
      </w:r>
      <w:r w:rsidR="00FA6F43" w:rsidRPr="00F57A2B">
        <w:t>“</w:t>
      </w:r>
      <w:r w:rsidR="0039414F" w:rsidRPr="00F57A2B">
        <w:t>Une décision historique de la Cour supérieure du Québec en droits de la personne : Me Steeve Bujold s’entretient avec Me Audrey Boctor, avocate ayant plaidé la cause</w:t>
      </w:r>
      <w:r w:rsidR="00FA6F43" w:rsidRPr="00F57A2B">
        <w:t>”</w:t>
      </w:r>
      <w:r w:rsidR="0039414F" w:rsidRPr="00F57A2B">
        <w:t xml:space="preserve">, </w:t>
      </w:r>
      <w:r w:rsidR="00FA6F43" w:rsidRPr="00F57A2B">
        <w:t>February</w:t>
      </w:r>
      <w:r w:rsidR="00B535FF" w:rsidRPr="00F57A2B">
        <w:t xml:space="preserve"> 3,</w:t>
      </w:r>
      <w:r w:rsidR="0039414F" w:rsidRPr="00F57A2B">
        <w:t xml:space="preserve"> 2021, </w:t>
      </w:r>
      <w:r w:rsidR="00FA6F43" w:rsidRPr="00F57A2B">
        <w:t>online</w:t>
      </w:r>
      <w:r w:rsidR="0039414F" w:rsidRPr="00F57A2B">
        <w:t>: &lt;</w:t>
      </w:r>
      <w:hyperlink r:id="rId1" w:history="1">
        <w:r w:rsidR="0039414F" w:rsidRPr="00F57A2B">
          <w:rPr>
            <w:rStyle w:val="Hyperlien"/>
          </w:rPr>
          <w:t>https://www.abcqc.qc.ca/Publications-Resources/Articles/2020-2021/Une-decision-historique-de-la-Cour-superieure-du-Q</w:t>
        </w:r>
      </w:hyperlink>
      <w:r w:rsidR="0039414F" w:rsidRPr="00F57A2B">
        <w:t>&gt;.</w:t>
      </w:r>
    </w:p>
  </w:footnote>
  <w:footnote w:id="24">
    <w:p w14:paraId="6AB20E0D" w14:textId="2517DF95" w:rsidR="00E74D63" w:rsidRPr="00B535FF" w:rsidRDefault="00E74D63" w:rsidP="00E74D6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 xml:space="preserve">Act respecting family law reform with regard to filiation and amending the Civil Code in relation to personality rights and civil status, </w:t>
      </w:r>
      <w:r w:rsidRPr="00B535FF">
        <w:rPr>
          <w:lang w:val="en-CA"/>
        </w:rPr>
        <w:t>SQ 2022, c. 22.</w:t>
      </w:r>
    </w:p>
  </w:footnote>
  <w:footnote w:id="25">
    <w:p w14:paraId="4E8B25A0" w14:textId="19DDF59A" w:rsidR="00E74D63" w:rsidRPr="00B535FF" w:rsidRDefault="00E74D63" w:rsidP="00E74D6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00B535FF">
        <w:rPr>
          <w:i/>
          <w:iCs/>
          <w:lang w:val="en-CA"/>
        </w:rPr>
        <w:t>,</w:t>
      </w:r>
      <w:r w:rsidRPr="00B535FF">
        <w:rPr>
          <w:lang w:val="en-CA"/>
        </w:rPr>
        <w:t xml:space="preserve"> s. 26.</w:t>
      </w:r>
    </w:p>
  </w:footnote>
  <w:footnote w:id="26">
    <w:p w14:paraId="777611E0" w14:textId="0986F7D2" w:rsidR="009E5343" w:rsidRPr="00B535FF" w:rsidRDefault="009E5343" w:rsidP="009E5343">
      <w:pPr>
        <w:pStyle w:val="Notedebasdepage"/>
        <w:rPr>
          <w:i/>
          <w:iCs/>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00B535FF">
        <w:rPr>
          <w:i/>
          <w:iCs/>
          <w:lang w:val="en-CA"/>
        </w:rPr>
        <w:t>,</w:t>
      </w:r>
      <w:r w:rsidRPr="00B535FF">
        <w:rPr>
          <w:i/>
          <w:iCs/>
          <w:lang w:val="en-CA"/>
        </w:rPr>
        <w:t xml:space="preserve"> </w:t>
      </w:r>
      <w:r w:rsidRPr="00B535FF">
        <w:rPr>
          <w:lang w:val="en-CA"/>
        </w:rPr>
        <w:t>ss. 32 and 34.</w:t>
      </w:r>
    </w:p>
  </w:footnote>
  <w:footnote w:id="27">
    <w:p w14:paraId="4F949443" w14:textId="7323E544" w:rsidR="009E5343" w:rsidRPr="00B535FF" w:rsidRDefault="009E5343" w:rsidP="009E534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00B535FF">
        <w:rPr>
          <w:i/>
          <w:iCs/>
          <w:lang w:val="en-CA"/>
        </w:rPr>
        <w:t>,</w:t>
      </w:r>
      <w:r w:rsidRPr="00B535FF">
        <w:rPr>
          <w:i/>
          <w:iCs/>
          <w:lang w:val="en-CA"/>
        </w:rPr>
        <w:t xml:space="preserve"> </w:t>
      </w:r>
      <w:r w:rsidR="00987EE8" w:rsidRPr="00B535FF">
        <w:rPr>
          <w:lang w:val="en-CA"/>
        </w:rPr>
        <w:t>s</w:t>
      </w:r>
      <w:r w:rsidRPr="00B535FF">
        <w:rPr>
          <w:lang w:val="en-CA"/>
        </w:rPr>
        <w:t>. 39.</w:t>
      </w:r>
    </w:p>
  </w:footnote>
  <w:footnote w:id="28">
    <w:p w14:paraId="2A9B7C5F" w14:textId="506861E5" w:rsidR="009E5343" w:rsidRPr="00B535FF" w:rsidRDefault="009E5343" w:rsidP="009E5343">
      <w:pPr>
        <w:pStyle w:val="Notedebasdepage"/>
        <w:rPr>
          <w:lang w:val="en-CA"/>
        </w:rPr>
      </w:pPr>
      <w:r w:rsidRPr="00B535FF">
        <w:rPr>
          <w:rStyle w:val="Appelnotedebasdep"/>
          <w:lang w:val="en-CA"/>
        </w:rPr>
        <w:footnoteRef/>
      </w:r>
      <w:r w:rsidRPr="00B535FF">
        <w:rPr>
          <w:i/>
          <w:iCs/>
          <w:lang w:val="en-CA"/>
        </w:rPr>
        <w:t xml:space="preserve"> </w:t>
      </w:r>
      <w:r w:rsidRPr="00B535FF">
        <w:rPr>
          <w:i/>
          <w:iCs/>
          <w:lang w:val="en-CA"/>
        </w:rPr>
        <w:tab/>
        <w:t>Centr</w:t>
      </w:r>
      <w:r w:rsidR="00987EE8" w:rsidRPr="00B535FF">
        <w:rPr>
          <w:i/>
          <w:iCs/>
          <w:lang w:val="en-CA"/>
        </w:rPr>
        <w:t>e</w:t>
      </w:r>
      <w:r w:rsidRPr="00B535FF">
        <w:rPr>
          <w:i/>
          <w:iCs/>
          <w:lang w:val="en-CA"/>
        </w:rPr>
        <w:t xml:space="preserve"> for Gender Advocacy, </w:t>
      </w:r>
      <w:r w:rsidR="005147D7" w:rsidRPr="00B535FF">
        <w:rPr>
          <w:i/>
          <w:iCs/>
          <w:lang w:val="en-CA"/>
        </w:rPr>
        <w:t>supra</w:t>
      </w:r>
      <w:r w:rsidRPr="00B535FF">
        <w:rPr>
          <w:lang w:val="en-CA"/>
        </w:rPr>
        <w:t xml:space="preserve"> note </w:t>
      </w:r>
      <w:r w:rsidRPr="00B535FF">
        <w:rPr>
          <w:lang w:val="en-CA"/>
        </w:rPr>
        <w:fldChar w:fldCharType="begin"/>
      </w:r>
      <w:r w:rsidRPr="00B535FF">
        <w:rPr>
          <w:lang w:val="en-CA"/>
        </w:rPr>
        <w:instrText xml:space="preserve"> NOTEREF _Ref168396157 \h </w:instrText>
      </w:r>
      <w:r w:rsidRPr="00B535FF">
        <w:rPr>
          <w:lang w:val="en-CA"/>
        </w:rPr>
      </w:r>
      <w:r w:rsidRPr="00B535FF">
        <w:rPr>
          <w:lang w:val="en-CA"/>
        </w:rPr>
        <w:fldChar w:fldCharType="separate"/>
      </w:r>
      <w:r w:rsidR="00034ABA">
        <w:rPr>
          <w:lang w:val="en-CA"/>
        </w:rPr>
        <w:t>22</w:t>
      </w:r>
      <w:r w:rsidRPr="00B535FF">
        <w:rPr>
          <w:lang w:val="en-CA"/>
        </w:rPr>
        <w:fldChar w:fldCharType="end"/>
      </w:r>
      <w:r w:rsidRPr="00B535FF">
        <w:rPr>
          <w:lang w:val="en-CA"/>
        </w:rPr>
        <w:t>.</w:t>
      </w:r>
    </w:p>
  </w:footnote>
  <w:footnote w:id="29">
    <w:p w14:paraId="51320E4B" w14:textId="41869674" w:rsidR="009E5343" w:rsidRPr="00F57A2B" w:rsidRDefault="009E5343" w:rsidP="009E5343">
      <w:pPr>
        <w:pStyle w:val="Notedebasdepage"/>
      </w:pPr>
      <w:r w:rsidRPr="00B535FF">
        <w:rPr>
          <w:rStyle w:val="Appelnotedebasdep"/>
          <w:lang w:val="en-CA"/>
        </w:rPr>
        <w:footnoteRef/>
      </w:r>
      <w:r w:rsidRPr="00F57A2B">
        <w:t xml:space="preserve"> </w:t>
      </w:r>
      <w:r w:rsidRPr="00F57A2B">
        <w:tab/>
      </w:r>
      <w:r w:rsidRPr="00F57A2B">
        <w:rPr>
          <w:i/>
          <w:iCs/>
        </w:rPr>
        <w:t xml:space="preserve">Procureur général du Québec c. Centre de lutte contre l’oppression des genres, </w:t>
      </w:r>
      <w:r w:rsidRPr="00F57A2B">
        <w:t xml:space="preserve">2024 QCCA 348 </w:t>
      </w:r>
      <w:r w:rsidR="004848FF" w:rsidRPr="00F57A2B">
        <w:rPr>
          <w:rFonts w:cs="Arial"/>
        </w:rPr>
        <w:t>[</w:t>
      </w:r>
      <w:r w:rsidRPr="00F57A2B">
        <w:rPr>
          <w:i/>
          <w:iCs/>
        </w:rPr>
        <w:t>Centre de lutte contre l’oppression des genres</w:t>
      </w:r>
      <w:r w:rsidR="004848FF" w:rsidRPr="00F57A2B">
        <w:rPr>
          <w:rFonts w:cs="Arial"/>
        </w:rPr>
        <w:t>]</w:t>
      </w:r>
      <w:r w:rsidRPr="00F57A2B">
        <w:t>.</w:t>
      </w:r>
    </w:p>
  </w:footnote>
  <w:footnote w:id="30">
    <w:p w14:paraId="4EF712A9" w14:textId="431F571E" w:rsidR="005A1DAF" w:rsidRPr="00B535FF" w:rsidRDefault="00E641F1" w:rsidP="005A1DAF">
      <w:pPr>
        <w:pStyle w:val="Notedebasdepage"/>
        <w:rPr>
          <w:lang w:val="en-CA"/>
        </w:rPr>
      </w:pPr>
      <w:r w:rsidRPr="00B535FF">
        <w:rPr>
          <w:rStyle w:val="Appelnotedebasdep"/>
          <w:lang w:val="en-CA"/>
        </w:rPr>
        <w:footnoteRef/>
      </w:r>
      <w:r w:rsidR="0069500E" w:rsidRPr="00B535FF">
        <w:rPr>
          <w:lang w:val="en-CA"/>
        </w:rPr>
        <w:t xml:space="preserve"> </w:t>
      </w:r>
      <w:r w:rsidR="0069500E" w:rsidRPr="00B535FF">
        <w:rPr>
          <w:lang w:val="en-CA"/>
        </w:rPr>
        <w:tab/>
      </w:r>
      <w:r w:rsidR="00614461" w:rsidRPr="00B535FF">
        <w:rPr>
          <w:i/>
          <w:iCs/>
          <w:lang w:val="en-CA"/>
        </w:rPr>
        <w:t>Ibid.</w:t>
      </w:r>
      <w:r w:rsidRPr="00B535FF">
        <w:rPr>
          <w:i/>
          <w:iCs/>
          <w:lang w:val="en-CA"/>
        </w:rPr>
        <w:t xml:space="preserve"> </w:t>
      </w:r>
      <w:r w:rsidR="00614461" w:rsidRPr="00B535FF">
        <w:rPr>
          <w:lang w:val="en-CA"/>
        </w:rPr>
        <w:t>at para</w:t>
      </w:r>
      <w:r w:rsidR="00987EE8" w:rsidRPr="00B535FF">
        <w:rPr>
          <w:lang w:val="en-CA"/>
        </w:rPr>
        <w:t>s</w:t>
      </w:r>
      <w:r w:rsidR="00614461" w:rsidRPr="00B535FF">
        <w:rPr>
          <w:lang w:val="en-CA"/>
        </w:rPr>
        <w:t>.</w:t>
      </w:r>
      <w:r w:rsidRPr="00B535FF">
        <w:rPr>
          <w:lang w:val="en-CA"/>
        </w:rPr>
        <w:t xml:space="preserve"> 4, 8</w:t>
      </w:r>
      <w:r w:rsidR="00B535FF">
        <w:rPr>
          <w:lang w:val="en-CA"/>
        </w:rPr>
        <w:t>,</w:t>
      </w:r>
      <w:r w:rsidRPr="00B535FF">
        <w:rPr>
          <w:lang w:val="en-CA"/>
        </w:rPr>
        <w:t xml:space="preserve"> </w:t>
      </w:r>
      <w:r w:rsidR="00987EE8" w:rsidRPr="00B535FF">
        <w:rPr>
          <w:lang w:val="en-CA"/>
        </w:rPr>
        <w:t>and</w:t>
      </w:r>
      <w:r w:rsidRPr="00B535FF">
        <w:rPr>
          <w:lang w:val="en-CA"/>
        </w:rPr>
        <w:t xml:space="preserve"> 9.</w:t>
      </w:r>
    </w:p>
  </w:footnote>
  <w:footnote w:id="31">
    <w:p w14:paraId="7793BA61" w14:textId="6CB35530" w:rsidR="0060090E" w:rsidRPr="00B535FF" w:rsidRDefault="00E641F1">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p>
  </w:footnote>
  <w:footnote w:id="32">
    <w:p w14:paraId="79620509" w14:textId="6346A8E5" w:rsidR="00AD716D" w:rsidRPr="00B535FF" w:rsidRDefault="00E641F1" w:rsidP="009F3419">
      <w:pPr>
        <w:pStyle w:val="Notedebasdepage"/>
        <w:rPr>
          <w:lang w:val="en-CA"/>
        </w:rPr>
      </w:pPr>
      <w:r w:rsidRPr="00B535FF">
        <w:rPr>
          <w:rStyle w:val="Appelnotedebasdep"/>
          <w:lang w:val="en-CA"/>
        </w:rPr>
        <w:footnoteRef/>
      </w:r>
      <w:r w:rsidR="009F3419" w:rsidRPr="00B535FF">
        <w:rPr>
          <w:lang w:val="en-CA"/>
        </w:rPr>
        <w:t xml:space="preserve"> </w:t>
      </w:r>
      <w:r w:rsidR="009F3419" w:rsidRPr="00B535FF">
        <w:rPr>
          <w:lang w:val="en-CA"/>
        </w:rPr>
        <w:tab/>
      </w:r>
      <w:r w:rsidR="00614461" w:rsidRPr="00B535FF">
        <w:rPr>
          <w:i/>
          <w:iCs/>
          <w:lang w:val="en-CA"/>
        </w:rPr>
        <w:t>Ibid.</w:t>
      </w:r>
      <w:r w:rsidRPr="00B535FF">
        <w:rPr>
          <w:i/>
          <w:iCs/>
          <w:lang w:val="en-CA"/>
        </w:rPr>
        <w:t xml:space="preserve"> </w:t>
      </w:r>
      <w:r w:rsidR="00614461" w:rsidRPr="00B535FF">
        <w:rPr>
          <w:lang w:val="en-CA"/>
        </w:rPr>
        <w:t>at para.</w:t>
      </w:r>
      <w:r w:rsidRPr="00B535FF">
        <w:rPr>
          <w:lang w:val="en-CA"/>
        </w:rPr>
        <w:t xml:space="preserve"> 121.</w:t>
      </w:r>
    </w:p>
  </w:footnote>
  <w:footnote w:id="33">
    <w:p w14:paraId="40681664" w14:textId="28CA4158" w:rsidR="0006456D" w:rsidRPr="00B535FF" w:rsidRDefault="00E641F1">
      <w:pPr>
        <w:pStyle w:val="Notedebasdepage"/>
        <w:rPr>
          <w:lang w:val="en-CA"/>
        </w:rPr>
      </w:pPr>
      <w:r w:rsidRPr="00B535FF">
        <w:rPr>
          <w:rStyle w:val="Appelnotedebasdep"/>
          <w:lang w:val="en-CA"/>
        </w:rPr>
        <w:footnoteRef/>
      </w:r>
      <w:r w:rsidR="009F3419" w:rsidRPr="00B535FF">
        <w:rPr>
          <w:lang w:val="en-CA"/>
        </w:rPr>
        <w:t xml:space="preserve"> </w:t>
      </w:r>
      <w:r w:rsidR="009F3419" w:rsidRPr="00B535FF">
        <w:rPr>
          <w:lang w:val="en-CA"/>
        </w:rPr>
        <w:tab/>
      </w:r>
      <w:r w:rsidR="00614461" w:rsidRPr="00B535FF">
        <w:rPr>
          <w:i/>
          <w:iCs/>
          <w:lang w:val="en-CA"/>
        </w:rPr>
        <w:t>Ibid.</w:t>
      </w:r>
      <w:r w:rsidRPr="00B535FF">
        <w:rPr>
          <w:i/>
          <w:iCs/>
          <w:lang w:val="en-CA"/>
        </w:rPr>
        <w:t xml:space="preserve"> </w:t>
      </w:r>
      <w:r w:rsidR="00614461" w:rsidRPr="00B535FF">
        <w:rPr>
          <w:lang w:val="en-CA"/>
        </w:rPr>
        <w:t>at para.</w:t>
      </w:r>
      <w:r w:rsidRPr="00B535FF">
        <w:rPr>
          <w:lang w:val="en-CA"/>
        </w:rPr>
        <w:t xml:space="preserve"> 201.</w:t>
      </w:r>
    </w:p>
  </w:footnote>
  <w:footnote w:id="34">
    <w:p w14:paraId="742FD85C" w14:textId="6BF99F1B" w:rsidR="004128FF" w:rsidRPr="00B535FF" w:rsidRDefault="00E641F1" w:rsidP="009F3419">
      <w:pPr>
        <w:pStyle w:val="Notedebasdepage"/>
        <w:rPr>
          <w:lang w:val="en-CA"/>
        </w:rPr>
      </w:pPr>
      <w:r w:rsidRPr="00B535FF">
        <w:rPr>
          <w:rStyle w:val="Appelnotedebasdep"/>
          <w:lang w:val="en-CA"/>
        </w:rPr>
        <w:footnoteRef/>
      </w:r>
      <w:r w:rsidRPr="00B535FF">
        <w:rPr>
          <w:rStyle w:val="Appelnotedebasdep"/>
          <w:lang w:val="en-CA"/>
        </w:rPr>
        <w:t xml:space="preserve"> </w:t>
      </w:r>
      <w:r w:rsidR="009F3419" w:rsidRPr="00B535FF">
        <w:rPr>
          <w:lang w:val="en-CA"/>
        </w:rPr>
        <w:t xml:space="preserve"> </w:t>
      </w:r>
      <w:r w:rsidR="009F3419" w:rsidRPr="00B535FF">
        <w:rPr>
          <w:lang w:val="en-CA"/>
        </w:rPr>
        <w:tab/>
      </w:r>
      <w:r w:rsidR="00614461" w:rsidRPr="00B535FF">
        <w:rPr>
          <w:i/>
          <w:iCs/>
          <w:lang w:val="en-CA"/>
        </w:rPr>
        <w:t>Ibid.</w:t>
      </w:r>
    </w:p>
  </w:footnote>
  <w:footnote w:id="35">
    <w:p w14:paraId="6A8C400C" w14:textId="2F3EE95B" w:rsidR="00791312" w:rsidRPr="00B535FF" w:rsidRDefault="00E641F1">
      <w:pPr>
        <w:pStyle w:val="Notedebasdepage"/>
        <w:rPr>
          <w:lang w:val="en-CA"/>
        </w:rPr>
      </w:pPr>
      <w:r w:rsidRPr="00B535FF">
        <w:rPr>
          <w:rStyle w:val="Appelnotedebasdep"/>
          <w:lang w:val="en-CA"/>
        </w:rPr>
        <w:footnoteRef/>
      </w:r>
      <w:r w:rsidR="009F3419" w:rsidRPr="00B535FF">
        <w:rPr>
          <w:lang w:val="en-CA"/>
        </w:rPr>
        <w:t xml:space="preserve"> </w:t>
      </w:r>
      <w:r w:rsidR="009F3419" w:rsidRPr="00B535FF">
        <w:rPr>
          <w:lang w:val="en-CA"/>
        </w:rPr>
        <w:tab/>
      </w:r>
      <w:r w:rsidRPr="00B535FF">
        <w:rPr>
          <w:i/>
          <w:iCs/>
          <w:lang w:val="en-CA"/>
        </w:rPr>
        <w:t xml:space="preserve">Bilac </w:t>
      </w:r>
      <w:r w:rsidR="00614461" w:rsidRPr="00B535FF">
        <w:rPr>
          <w:i/>
          <w:iCs/>
          <w:lang w:val="en-CA"/>
        </w:rPr>
        <w:t>v</w:t>
      </w:r>
      <w:r w:rsidRPr="00B535FF">
        <w:rPr>
          <w:i/>
          <w:iCs/>
          <w:lang w:val="en-CA"/>
        </w:rPr>
        <w:t xml:space="preserve">. Abbey, Currie </w:t>
      </w:r>
      <w:r w:rsidR="00614461" w:rsidRPr="00B535FF">
        <w:rPr>
          <w:i/>
          <w:iCs/>
          <w:lang w:val="en-CA"/>
        </w:rPr>
        <w:t>and</w:t>
      </w:r>
      <w:r w:rsidRPr="00B535FF">
        <w:rPr>
          <w:i/>
          <w:iCs/>
          <w:lang w:val="en-CA"/>
        </w:rPr>
        <w:t xml:space="preserve"> NC Tractor Services Inc., </w:t>
      </w:r>
      <w:r w:rsidR="0002216C" w:rsidRPr="00B535FF">
        <w:rPr>
          <w:lang w:val="en-CA"/>
        </w:rPr>
        <w:t>2023 C</w:t>
      </w:r>
      <w:r w:rsidR="00614461" w:rsidRPr="00B535FF">
        <w:rPr>
          <w:lang w:val="en-CA"/>
        </w:rPr>
        <w:t>HRT</w:t>
      </w:r>
      <w:r w:rsidR="0002216C" w:rsidRPr="00B535FF">
        <w:rPr>
          <w:lang w:val="en-CA"/>
        </w:rPr>
        <w:t xml:space="preserve"> 43 </w:t>
      </w:r>
      <w:r w:rsidR="00DE2E55" w:rsidRPr="00B535FF">
        <w:rPr>
          <w:rFonts w:cs="Arial"/>
          <w:lang w:val="en-CA"/>
        </w:rPr>
        <w:t>[</w:t>
      </w:r>
      <w:r w:rsidR="0002216C" w:rsidRPr="00B535FF">
        <w:rPr>
          <w:i/>
          <w:iCs/>
          <w:lang w:val="en-CA"/>
        </w:rPr>
        <w:t>Bilac</w:t>
      </w:r>
      <w:r w:rsidR="00DE2E55" w:rsidRPr="00B535FF">
        <w:rPr>
          <w:rFonts w:cs="Arial"/>
          <w:lang w:val="en-CA"/>
        </w:rPr>
        <w:t>]</w:t>
      </w:r>
      <w:r w:rsidR="00E62932" w:rsidRPr="00B535FF">
        <w:rPr>
          <w:lang w:val="en-CA"/>
        </w:rPr>
        <w:t>.</w:t>
      </w:r>
    </w:p>
  </w:footnote>
  <w:footnote w:id="36">
    <w:p w14:paraId="21820BAA" w14:textId="25E9AB92" w:rsidR="00D2358C" w:rsidRPr="00B535FF" w:rsidRDefault="00E641F1">
      <w:pPr>
        <w:pStyle w:val="Notedebasdepage"/>
        <w:rPr>
          <w:lang w:val="en-CA"/>
        </w:rPr>
      </w:pPr>
      <w:r w:rsidRPr="00B535FF">
        <w:rPr>
          <w:rStyle w:val="Appelnotedebasdep"/>
          <w:lang w:val="en-CA"/>
        </w:rPr>
        <w:footnoteRef/>
      </w:r>
      <w:r w:rsidR="00142661" w:rsidRPr="00B535FF">
        <w:rPr>
          <w:lang w:val="en-CA"/>
        </w:rPr>
        <w:t xml:space="preserve"> </w:t>
      </w:r>
      <w:r w:rsidR="00142661" w:rsidRPr="00B535FF">
        <w:rPr>
          <w:lang w:val="en-CA"/>
        </w:rPr>
        <w:tab/>
      </w:r>
      <w:r w:rsidR="00614461" w:rsidRPr="00B535FF">
        <w:rPr>
          <w:i/>
          <w:iCs/>
          <w:lang w:val="en-CA"/>
        </w:rPr>
        <w:t>Ibid.</w:t>
      </w:r>
    </w:p>
  </w:footnote>
  <w:footnote w:id="37">
    <w:p w14:paraId="17B2C2E3" w14:textId="414003A5" w:rsidR="00626A00" w:rsidRPr="00B535FF" w:rsidRDefault="00626A00" w:rsidP="00626A00">
      <w:pPr>
        <w:pStyle w:val="Notedebasdepage"/>
        <w:jc w:val="left"/>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A</w:t>
      </w:r>
      <w:r w:rsidR="002C41AC" w:rsidRPr="00B535FF">
        <w:rPr>
          <w:i/>
          <w:iCs/>
          <w:lang w:val="en-CA"/>
        </w:rPr>
        <w:t>n A</w:t>
      </w:r>
      <w:r w:rsidRPr="00B535FF">
        <w:rPr>
          <w:i/>
          <w:iCs/>
          <w:lang w:val="en-CA"/>
        </w:rPr>
        <w:t>ct to amend the Human Rights Code with respect to gender identity and gender expression</w:t>
      </w:r>
      <w:r w:rsidRPr="00B535FF">
        <w:rPr>
          <w:lang w:val="en-CA"/>
        </w:rPr>
        <w:t>, S</w:t>
      </w:r>
      <w:r w:rsidR="00B535FF">
        <w:rPr>
          <w:lang w:val="en-CA"/>
        </w:rPr>
        <w:t>.</w:t>
      </w:r>
      <w:r w:rsidRPr="00B535FF">
        <w:rPr>
          <w:lang w:val="en-CA"/>
        </w:rPr>
        <w:t>O</w:t>
      </w:r>
      <w:r w:rsidR="00B535FF">
        <w:rPr>
          <w:lang w:val="en-CA"/>
        </w:rPr>
        <w:t>.</w:t>
      </w:r>
      <w:r w:rsidRPr="00B535FF">
        <w:rPr>
          <w:lang w:val="en-CA"/>
        </w:rPr>
        <w:t xml:space="preserve"> 2012</w:t>
      </w:r>
      <w:r w:rsidR="002C41AC" w:rsidRPr="00B535FF">
        <w:rPr>
          <w:lang w:val="en-CA"/>
        </w:rPr>
        <w:t>,</w:t>
      </w:r>
      <w:r w:rsidRPr="00B535FF">
        <w:rPr>
          <w:lang w:val="en-CA"/>
        </w:rPr>
        <w:t xml:space="preserve"> c</w:t>
      </w:r>
      <w:r w:rsidR="009F01E2" w:rsidRPr="00B535FF">
        <w:rPr>
          <w:lang w:val="en-CA"/>
        </w:rPr>
        <w:t>.</w:t>
      </w:r>
      <w:r w:rsidR="002C41AC" w:rsidRPr="00B535FF">
        <w:rPr>
          <w:lang w:val="en-CA"/>
        </w:rPr>
        <w:t xml:space="preserve"> </w:t>
      </w:r>
      <w:r w:rsidRPr="00B535FF">
        <w:rPr>
          <w:lang w:val="en-CA"/>
        </w:rPr>
        <w:t>7.</w:t>
      </w:r>
    </w:p>
  </w:footnote>
  <w:footnote w:id="38">
    <w:p w14:paraId="0BAC5055" w14:textId="19D5D87C" w:rsidR="00626A00" w:rsidRPr="00B535FF" w:rsidRDefault="00626A00" w:rsidP="00626A00">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7F188A" w:rsidRPr="00B535FF">
        <w:rPr>
          <w:lang w:val="en-CA"/>
        </w:rPr>
        <w:t xml:space="preserve">Bill 38, </w:t>
      </w:r>
      <w:r w:rsidRPr="00B535FF">
        <w:rPr>
          <w:i/>
          <w:iCs/>
          <w:lang w:val="en-CA"/>
        </w:rPr>
        <w:t>The Human Rights Code Amendment Act</w:t>
      </w:r>
      <w:r w:rsidRPr="00B535FF">
        <w:rPr>
          <w:lang w:val="en-CA"/>
        </w:rPr>
        <w:t>, 2012, 1</w:t>
      </w:r>
      <w:r w:rsidR="004536D2" w:rsidRPr="00B535FF">
        <w:rPr>
          <w:lang w:val="en-CA"/>
        </w:rPr>
        <w:t>st Sess</w:t>
      </w:r>
      <w:r w:rsidR="009F01E2" w:rsidRPr="00B535FF">
        <w:rPr>
          <w:lang w:val="en-CA"/>
        </w:rPr>
        <w:t>.</w:t>
      </w:r>
      <w:r w:rsidR="004536D2" w:rsidRPr="00B535FF">
        <w:rPr>
          <w:lang w:val="en-CA"/>
        </w:rPr>
        <w:t xml:space="preserve">, </w:t>
      </w:r>
      <w:r w:rsidRPr="00B535FF">
        <w:rPr>
          <w:lang w:val="en-CA"/>
        </w:rPr>
        <w:t>40</w:t>
      </w:r>
      <w:r w:rsidR="004536D2" w:rsidRPr="00B535FF">
        <w:rPr>
          <w:lang w:val="en-CA"/>
        </w:rPr>
        <w:t xml:space="preserve">th </w:t>
      </w:r>
      <w:r w:rsidR="007F188A" w:rsidRPr="00B535FF">
        <w:rPr>
          <w:lang w:val="en-CA"/>
        </w:rPr>
        <w:t>L</w:t>
      </w:r>
      <w:r w:rsidR="004536D2" w:rsidRPr="00B535FF">
        <w:rPr>
          <w:lang w:val="en-CA"/>
        </w:rPr>
        <w:t>eg</w:t>
      </w:r>
      <w:r w:rsidR="009F01E2" w:rsidRPr="00B535FF">
        <w:rPr>
          <w:lang w:val="en-CA"/>
        </w:rPr>
        <w:t>.</w:t>
      </w:r>
      <w:r w:rsidRPr="00B535FF">
        <w:rPr>
          <w:lang w:val="en-CA"/>
        </w:rPr>
        <w:t>, Manitoba, 61 Elizabeth II, 2012.</w:t>
      </w:r>
    </w:p>
  </w:footnote>
  <w:footnote w:id="39">
    <w:p w14:paraId="0BDBFE5A" w14:textId="3A6B855B" w:rsidR="00626A00" w:rsidRPr="00B535FF" w:rsidRDefault="00626A00" w:rsidP="00626A00">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Human Rights Code Amendment Act</w:t>
      </w:r>
      <w:r w:rsidRPr="00B535FF">
        <w:rPr>
          <w:lang w:val="en-CA"/>
        </w:rPr>
        <w:t>, 2016, SBC</w:t>
      </w:r>
      <w:r w:rsidR="002C41AC" w:rsidRPr="00B535FF">
        <w:rPr>
          <w:lang w:val="en-CA"/>
        </w:rPr>
        <w:t xml:space="preserve"> </w:t>
      </w:r>
      <w:r w:rsidRPr="00B535FF">
        <w:rPr>
          <w:lang w:val="en-CA"/>
        </w:rPr>
        <w:t>, c</w:t>
      </w:r>
      <w:r w:rsidR="007F188A" w:rsidRPr="00B535FF">
        <w:rPr>
          <w:lang w:val="en-CA"/>
        </w:rPr>
        <w:t>.</w:t>
      </w:r>
      <w:r w:rsidRPr="00B535FF">
        <w:rPr>
          <w:lang w:val="en-CA"/>
        </w:rPr>
        <w:t xml:space="preserve"> 26.</w:t>
      </w:r>
    </w:p>
  </w:footnote>
  <w:footnote w:id="40">
    <w:p w14:paraId="66E71FAC" w14:textId="47126D94" w:rsidR="00626A00" w:rsidRPr="00B535FF" w:rsidRDefault="00626A00" w:rsidP="00626A00">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Canadian Human Rights Act</w:t>
      </w:r>
      <w:r w:rsidRPr="00B535FF">
        <w:rPr>
          <w:lang w:val="en-CA"/>
        </w:rPr>
        <w:t>, RSC 1985, c</w:t>
      </w:r>
      <w:r w:rsidR="007F188A" w:rsidRPr="00B535FF">
        <w:rPr>
          <w:lang w:val="en-CA"/>
        </w:rPr>
        <w:t>.</w:t>
      </w:r>
      <w:r w:rsidRPr="00B535FF">
        <w:rPr>
          <w:lang w:val="en-CA"/>
        </w:rPr>
        <w:t xml:space="preserve"> H-6.</w:t>
      </w:r>
    </w:p>
  </w:footnote>
  <w:footnote w:id="41">
    <w:p w14:paraId="0BAD5F3F" w14:textId="35B21A70" w:rsidR="00626A00" w:rsidRPr="00B535FF" w:rsidRDefault="00626A00" w:rsidP="00626A00">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8B765B" w:rsidRPr="00B535FF">
        <w:rPr>
          <w:i/>
          <w:iCs/>
          <w:lang w:val="en-CA"/>
        </w:rPr>
        <w:t>Act to amend the Canadian Human Rights Act and the Criminal Code</w:t>
      </w:r>
      <w:r w:rsidRPr="00B535FF">
        <w:rPr>
          <w:lang w:val="en-CA"/>
        </w:rPr>
        <w:t xml:space="preserve">, </w:t>
      </w:r>
      <w:r w:rsidR="008B765B" w:rsidRPr="00B535FF">
        <w:rPr>
          <w:lang w:val="en-CA"/>
        </w:rPr>
        <w:t>S</w:t>
      </w:r>
      <w:r w:rsidRPr="00B535FF">
        <w:rPr>
          <w:lang w:val="en-CA"/>
        </w:rPr>
        <w:t>C 2017, c</w:t>
      </w:r>
      <w:r w:rsidR="007F188A" w:rsidRPr="00B535FF">
        <w:rPr>
          <w:lang w:val="en-CA"/>
        </w:rPr>
        <w:t>.</w:t>
      </w:r>
      <w:r w:rsidR="002C41AC" w:rsidRPr="00B535FF">
        <w:rPr>
          <w:lang w:val="en-CA"/>
        </w:rPr>
        <w:t xml:space="preserve"> </w:t>
      </w:r>
      <w:r w:rsidRPr="00B535FF">
        <w:rPr>
          <w:lang w:val="en-CA"/>
        </w:rPr>
        <w:t>13.</w:t>
      </w:r>
    </w:p>
  </w:footnote>
  <w:footnote w:id="42">
    <w:p w14:paraId="17CE9723" w14:textId="2C9D7433" w:rsidR="00626A00" w:rsidRPr="00B535FF" w:rsidRDefault="00626A00" w:rsidP="00626A00">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 xml:space="preserve">XY </w:t>
      </w:r>
      <w:r w:rsidR="00252094" w:rsidRPr="00B535FF">
        <w:rPr>
          <w:i/>
          <w:iCs/>
          <w:lang w:val="en-CA"/>
        </w:rPr>
        <w:t>v</w:t>
      </w:r>
      <w:r w:rsidRPr="00B535FF">
        <w:rPr>
          <w:i/>
          <w:iCs/>
          <w:lang w:val="en-CA"/>
        </w:rPr>
        <w:t xml:space="preserve">. Ontario (Government and Consumer Services), </w:t>
      </w:r>
      <w:r w:rsidRPr="00B535FF">
        <w:rPr>
          <w:lang w:val="en-CA"/>
        </w:rPr>
        <w:t>2012 HRTO 726 at para</w:t>
      </w:r>
      <w:r w:rsidR="00252094" w:rsidRPr="00B535FF">
        <w:rPr>
          <w:lang w:val="en-CA"/>
        </w:rPr>
        <w:t>s</w:t>
      </w:r>
      <w:r w:rsidRPr="00B535FF">
        <w:rPr>
          <w:lang w:val="en-CA"/>
        </w:rPr>
        <w:t>. 14</w:t>
      </w:r>
      <w:r w:rsidR="00ED0461">
        <w:rPr>
          <w:lang w:val="en-CA"/>
        </w:rPr>
        <w:t>-</w:t>
      </w:r>
      <w:r w:rsidRPr="00B535FF">
        <w:rPr>
          <w:lang w:val="en-CA"/>
        </w:rPr>
        <w:t xml:space="preserve">15 </w:t>
      </w:r>
      <w:r w:rsidR="00252094" w:rsidRPr="00B535FF">
        <w:rPr>
          <w:rFonts w:cs="Arial"/>
          <w:lang w:val="en-CA"/>
        </w:rPr>
        <w:t>[</w:t>
      </w:r>
      <w:r w:rsidRPr="00B535FF">
        <w:rPr>
          <w:i/>
          <w:iCs/>
          <w:lang w:val="en-CA"/>
        </w:rPr>
        <w:t>XY</w:t>
      </w:r>
      <w:r w:rsidR="00252094" w:rsidRPr="00B535FF">
        <w:rPr>
          <w:rFonts w:cs="Arial"/>
          <w:lang w:val="en-CA"/>
        </w:rPr>
        <w:t>]</w:t>
      </w:r>
      <w:r w:rsidRPr="00B535FF">
        <w:rPr>
          <w:lang w:val="en-CA"/>
        </w:rPr>
        <w:t>.</w:t>
      </w:r>
    </w:p>
  </w:footnote>
  <w:footnote w:id="43">
    <w:p w14:paraId="6F62BD41" w14:textId="5F47DAA1" w:rsidR="00626A00" w:rsidRPr="00B535FF" w:rsidRDefault="00626A00" w:rsidP="00626A00">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Nelson v. Goodberry Restaurant Group Ltd. dba Buono Osteria and others</w:t>
      </w:r>
      <w:r w:rsidRPr="00B535FF">
        <w:rPr>
          <w:lang w:val="en-CA"/>
        </w:rPr>
        <w:t xml:space="preserve">, 2021 BCHRT 137 </w:t>
      </w:r>
      <w:r w:rsidR="00252094" w:rsidRPr="00B535FF">
        <w:rPr>
          <w:rFonts w:cs="Arial"/>
          <w:lang w:val="en-CA"/>
        </w:rPr>
        <w:t>[</w:t>
      </w:r>
      <w:r w:rsidRPr="00B535FF">
        <w:rPr>
          <w:i/>
          <w:iCs/>
          <w:lang w:val="en-CA"/>
        </w:rPr>
        <w:t>Nelson</w:t>
      </w:r>
      <w:r w:rsidR="00252094" w:rsidRPr="00B535FF">
        <w:rPr>
          <w:rFonts w:cs="Arial"/>
          <w:lang w:val="en-CA"/>
        </w:rPr>
        <w:t>]</w:t>
      </w:r>
      <w:r w:rsidRPr="00B535FF">
        <w:rPr>
          <w:lang w:val="en-CA"/>
        </w:rPr>
        <w:t>.</w:t>
      </w:r>
    </w:p>
  </w:footnote>
  <w:footnote w:id="44">
    <w:p w14:paraId="233FA061" w14:textId="6757105E" w:rsidR="00626A00" w:rsidRPr="00B535FF" w:rsidRDefault="00626A00" w:rsidP="00626A00">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para. 80.</w:t>
      </w:r>
    </w:p>
  </w:footnote>
  <w:footnote w:id="45">
    <w:p w14:paraId="599A588D" w14:textId="4FB22054" w:rsidR="00626A00" w:rsidRPr="00B535FF" w:rsidRDefault="00626A00" w:rsidP="00626A00">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008B765B" w:rsidRPr="00B535FF">
        <w:rPr>
          <w:i/>
          <w:iCs/>
          <w:lang w:val="en-CA"/>
        </w:rPr>
        <w:t>.</w:t>
      </w:r>
      <w:r w:rsidRPr="00B535FF">
        <w:rPr>
          <w:lang w:val="en-CA"/>
        </w:rPr>
        <w:t xml:space="preserve"> at para. 86.</w:t>
      </w:r>
    </w:p>
  </w:footnote>
  <w:footnote w:id="46">
    <w:p w14:paraId="17903FE2" w14:textId="2391B56D" w:rsidR="00626A00" w:rsidRPr="00B535FF" w:rsidRDefault="00626A00" w:rsidP="00626A00">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para</w:t>
      </w:r>
      <w:r w:rsidR="008B765B" w:rsidRPr="00B535FF">
        <w:rPr>
          <w:lang w:val="en-CA"/>
        </w:rPr>
        <w:t>s</w:t>
      </w:r>
      <w:r w:rsidRPr="00B535FF">
        <w:rPr>
          <w:lang w:val="en-CA"/>
        </w:rPr>
        <w:t xml:space="preserve">. 89 </w:t>
      </w:r>
      <w:r w:rsidR="008B765B" w:rsidRPr="00B535FF">
        <w:rPr>
          <w:lang w:val="en-CA"/>
        </w:rPr>
        <w:t>and</w:t>
      </w:r>
      <w:r w:rsidRPr="00B535FF">
        <w:rPr>
          <w:lang w:val="en-CA"/>
        </w:rPr>
        <w:t xml:space="preserve"> 119.</w:t>
      </w:r>
    </w:p>
  </w:footnote>
  <w:footnote w:id="47">
    <w:p w14:paraId="3873B3FF" w14:textId="60343ECD" w:rsidR="008B765B" w:rsidRPr="00B535FF" w:rsidRDefault="008B765B" w:rsidP="008B765B">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BA770F" w:rsidRPr="00B535FF">
        <w:rPr>
          <w:lang w:val="en-CA"/>
        </w:rPr>
        <w:t>See in particular</w:t>
      </w:r>
      <w:r w:rsidRPr="00B535FF">
        <w:rPr>
          <w:lang w:val="en-CA"/>
        </w:rPr>
        <w:t xml:space="preserve"> </w:t>
      </w:r>
      <w:r w:rsidRPr="00B535FF">
        <w:rPr>
          <w:i/>
          <w:iCs/>
          <w:lang w:val="en-CA"/>
        </w:rPr>
        <w:t>Dawson v. Vancouver Police Board (No. 2)</w:t>
      </w:r>
      <w:r w:rsidRPr="00B535FF">
        <w:rPr>
          <w:lang w:val="en-CA"/>
        </w:rPr>
        <w:t xml:space="preserve">, 2015 BCHRT 54 at para. 270; </w:t>
      </w:r>
      <w:r w:rsidRPr="00B535FF">
        <w:rPr>
          <w:i/>
          <w:iCs/>
          <w:lang w:val="en-CA"/>
        </w:rPr>
        <w:t>Oger v. Whatcott (No. 3)</w:t>
      </w:r>
      <w:r w:rsidRPr="00B535FF">
        <w:rPr>
          <w:lang w:val="en-CA"/>
        </w:rPr>
        <w:t xml:space="preserve">, 2018 BCHRT 183 at para. 39; </w:t>
      </w:r>
      <w:r w:rsidRPr="00B535FF">
        <w:rPr>
          <w:i/>
          <w:iCs/>
          <w:lang w:val="en-CA"/>
        </w:rPr>
        <w:t>Oger v. Whatcott (No. 7)</w:t>
      </w:r>
      <w:r w:rsidRPr="00B535FF">
        <w:rPr>
          <w:lang w:val="en-CA"/>
        </w:rPr>
        <w:t xml:space="preserve">, 2019 BCHRT 58 at para. 253; </w:t>
      </w:r>
      <w:r w:rsidRPr="00B535FF">
        <w:rPr>
          <w:i/>
          <w:iCs/>
          <w:lang w:val="en-CA"/>
        </w:rPr>
        <w:t>Nelson</w:t>
      </w:r>
      <w:r w:rsidRPr="00B535FF">
        <w:rPr>
          <w:lang w:val="en-CA"/>
        </w:rPr>
        <w:t>,</w:t>
      </w:r>
      <w:r w:rsidRPr="00B535FF">
        <w:rPr>
          <w:i/>
          <w:iCs/>
          <w:lang w:val="en-CA"/>
        </w:rPr>
        <w:t xml:space="preserve"> </w:t>
      </w:r>
      <w:r w:rsidR="00BA770F" w:rsidRPr="00B535FF">
        <w:rPr>
          <w:i/>
          <w:iCs/>
          <w:lang w:val="en-CA"/>
        </w:rPr>
        <w:t>supra</w:t>
      </w:r>
      <w:r w:rsidR="00BA770F" w:rsidRPr="00B535FF">
        <w:rPr>
          <w:lang w:val="en-CA"/>
        </w:rPr>
        <w:t xml:space="preserve"> </w:t>
      </w:r>
      <w:r w:rsidRPr="00B535FF">
        <w:rPr>
          <w:lang w:val="en-CA"/>
        </w:rPr>
        <w:t>note 43 at paras. 89 and 102.</w:t>
      </w:r>
    </w:p>
  </w:footnote>
  <w:footnote w:id="48">
    <w:p w14:paraId="1679106A" w14:textId="77777777" w:rsidR="008B765B" w:rsidRPr="00B535FF" w:rsidRDefault="008B765B" w:rsidP="008B765B">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Oger v. Whatcott (No. 7)</w:t>
      </w:r>
      <w:r w:rsidRPr="00B535FF">
        <w:rPr>
          <w:lang w:val="en-CA"/>
        </w:rPr>
        <w:t>, 2019 BCHRT 58.</w:t>
      </w:r>
    </w:p>
  </w:footnote>
  <w:footnote w:id="49">
    <w:p w14:paraId="5303D12E" w14:textId="5BD9F561" w:rsidR="008B765B" w:rsidRPr="00B535FF" w:rsidRDefault="008B765B" w:rsidP="008B765B">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para. 3.</w:t>
      </w:r>
    </w:p>
  </w:footnote>
  <w:footnote w:id="50">
    <w:p w14:paraId="03E2EC24" w14:textId="77777777" w:rsidR="008B765B" w:rsidRPr="00B535FF" w:rsidRDefault="008B765B" w:rsidP="008B765B">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p>
  </w:footnote>
  <w:footnote w:id="51">
    <w:p w14:paraId="48AB45F9" w14:textId="4AA3DF3A" w:rsidR="008B765B" w:rsidRPr="00B535FF" w:rsidRDefault="008B765B" w:rsidP="008B765B">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p>
  </w:footnote>
  <w:footnote w:id="52">
    <w:p w14:paraId="2ED88E05" w14:textId="23B38630" w:rsidR="008B765B" w:rsidRPr="00B535FF" w:rsidRDefault="008B765B" w:rsidP="008B765B">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para. 64.</w:t>
      </w:r>
    </w:p>
  </w:footnote>
  <w:footnote w:id="53">
    <w:p w14:paraId="151385D7" w14:textId="6C783ADE" w:rsidR="005D783F" w:rsidRPr="00B535FF" w:rsidRDefault="00E641F1" w:rsidP="005D783F">
      <w:pPr>
        <w:pStyle w:val="Notedebasdepage"/>
        <w:contextualSpacing/>
        <w:rPr>
          <w:lang w:val="en-CA"/>
        </w:rPr>
      </w:pPr>
      <w:r w:rsidRPr="00B535FF">
        <w:rPr>
          <w:rStyle w:val="Appelnotedebasdep"/>
          <w:lang w:val="en-CA"/>
        </w:rPr>
        <w:footnoteRef/>
      </w:r>
      <w:r w:rsidR="00644912" w:rsidRPr="00B535FF">
        <w:rPr>
          <w:lang w:val="en-CA"/>
        </w:rPr>
        <w:t xml:space="preserve"> </w:t>
      </w:r>
      <w:r w:rsidR="00644912" w:rsidRPr="00B535FF">
        <w:rPr>
          <w:lang w:val="en-CA"/>
        </w:rPr>
        <w:tab/>
      </w:r>
      <w:r w:rsidR="008B765B" w:rsidRPr="00B535FF">
        <w:rPr>
          <w:lang w:val="en-CA"/>
        </w:rPr>
        <w:t xml:space="preserve">Canadian Bar </w:t>
      </w:r>
      <w:r w:rsidR="00644912" w:rsidRPr="00B535FF">
        <w:rPr>
          <w:lang w:val="en-CA"/>
        </w:rPr>
        <w:t>A</w:t>
      </w:r>
      <w:r w:rsidR="008B765B" w:rsidRPr="00B535FF">
        <w:rPr>
          <w:lang w:val="en-CA"/>
        </w:rPr>
        <w:t>ssociation</w:t>
      </w:r>
      <w:r w:rsidR="00644912" w:rsidRPr="00B535FF">
        <w:rPr>
          <w:lang w:val="en-CA"/>
        </w:rPr>
        <w:t xml:space="preserve">, </w:t>
      </w:r>
      <w:r w:rsidR="008B765B" w:rsidRPr="00B535FF">
        <w:rPr>
          <w:lang w:val="en-CA"/>
        </w:rPr>
        <w:t>“Access to Justice for Trans People”</w:t>
      </w:r>
      <w:r w:rsidR="00644912" w:rsidRPr="00B535FF">
        <w:rPr>
          <w:lang w:val="en-CA"/>
        </w:rPr>
        <w:t xml:space="preserve">, </w:t>
      </w:r>
      <w:r w:rsidR="008B765B" w:rsidRPr="00B535FF">
        <w:rPr>
          <w:lang w:val="en-CA"/>
        </w:rPr>
        <w:t>S</w:t>
      </w:r>
      <w:r w:rsidR="00644912" w:rsidRPr="00B535FF">
        <w:rPr>
          <w:lang w:val="en-CA"/>
        </w:rPr>
        <w:t>eptemb</w:t>
      </w:r>
      <w:r w:rsidR="008B765B" w:rsidRPr="00B535FF">
        <w:rPr>
          <w:lang w:val="en-CA"/>
        </w:rPr>
        <w:t>e</w:t>
      </w:r>
      <w:r w:rsidR="00644912" w:rsidRPr="00B535FF">
        <w:rPr>
          <w:lang w:val="en-CA"/>
        </w:rPr>
        <w:t xml:space="preserve">r 2022 </w:t>
      </w:r>
      <w:r w:rsidR="008B765B" w:rsidRPr="00B535FF">
        <w:rPr>
          <w:lang w:val="en-CA"/>
        </w:rPr>
        <w:t>at</w:t>
      </w:r>
      <w:r w:rsidR="00644912" w:rsidRPr="00B535FF">
        <w:rPr>
          <w:lang w:val="en-CA"/>
        </w:rPr>
        <w:t> </w:t>
      </w:r>
      <w:r w:rsidR="00AC7B84" w:rsidRPr="00B535FF">
        <w:rPr>
          <w:lang w:val="en-CA"/>
        </w:rPr>
        <w:t>44</w:t>
      </w:r>
      <w:r w:rsidR="00644912" w:rsidRPr="00B535FF">
        <w:rPr>
          <w:lang w:val="en-CA"/>
        </w:rPr>
        <w:t xml:space="preserve">, </w:t>
      </w:r>
      <w:r w:rsidR="008B765B" w:rsidRPr="00B535FF">
        <w:rPr>
          <w:lang w:val="en-CA"/>
        </w:rPr>
        <w:t>online</w:t>
      </w:r>
      <w:r w:rsidR="00644912" w:rsidRPr="00B535FF">
        <w:rPr>
          <w:lang w:val="en-CA"/>
        </w:rPr>
        <w:t>: &lt;</w:t>
      </w:r>
      <w:hyperlink r:id="rId2" w:history="1">
        <w:r w:rsidR="00644912" w:rsidRPr="00B535FF">
          <w:rPr>
            <w:rStyle w:val="Hyperlien"/>
            <w:lang w:val="en-CA"/>
          </w:rPr>
          <w:t>CBA Access to Justice f</w:t>
        </w:r>
        <w:r w:rsidR="00AC7B84" w:rsidRPr="00B535FF">
          <w:rPr>
            <w:rStyle w:val="Hyperlien"/>
            <w:lang w:val="en-CA"/>
          </w:rPr>
          <w:t>o</w:t>
        </w:r>
        <w:r w:rsidR="00644912" w:rsidRPr="00B535FF">
          <w:rPr>
            <w:rStyle w:val="Hyperlien"/>
            <w:lang w:val="en-CA"/>
          </w:rPr>
          <w:t>r Trans People</w:t>
        </w:r>
      </w:hyperlink>
      <w:r w:rsidRPr="00B535FF">
        <w:rPr>
          <w:lang w:val="en-CA"/>
        </w:rPr>
        <w:t>&gt;.</w:t>
      </w:r>
    </w:p>
  </w:footnote>
  <w:footnote w:id="54">
    <w:p w14:paraId="290248CC" w14:textId="682BA429" w:rsidR="005D783F" w:rsidRPr="00F57A2B" w:rsidRDefault="00E641F1" w:rsidP="005D783F">
      <w:pPr>
        <w:pStyle w:val="Notedebasdepage"/>
      </w:pPr>
      <w:r w:rsidRPr="00B535FF">
        <w:rPr>
          <w:rStyle w:val="Appelnotedebasdep"/>
          <w:lang w:val="en-CA"/>
        </w:rPr>
        <w:footnoteRef/>
      </w:r>
      <w:r w:rsidRPr="00F57A2B">
        <w:t xml:space="preserve"> </w:t>
      </w:r>
      <w:r w:rsidRPr="00F57A2B">
        <w:tab/>
      </w:r>
      <w:r w:rsidR="00614461" w:rsidRPr="00F57A2B">
        <w:rPr>
          <w:i/>
          <w:iCs/>
        </w:rPr>
        <w:t>Ibid.</w:t>
      </w:r>
      <w:r w:rsidRPr="00F57A2B">
        <w:t xml:space="preserve"> </w:t>
      </w:r>
      <w:r w:rsidR="005147D7" w:rsidRPr="00F57A2B">
        <w:t>at</w:t>
      </w:r>
      <w:r w:rsidRPr="00F57A2B">
        <w:t> 4</w:t>
      </w:r>
      <w:r w:rsidR="00561B98" w:rsidRPr="00F57A2B">
        <w:t>2</w:t>
      </w:r>
      <w:r w:rsidRPr="00F57A2B">
        <w:t>.</w:t>
      </w:r>
    </w:p>
  </w:footnote>
  <w:footnote w:id="55">
    <w:p w14:paraId="57AF7CB8" w14:textId="39AAD7D3" w:rsidR="000248FF" w:rsidRPr="00F57A2B" w:rsidRDefault="00E641F1" w:rsidP="005F33A3">
      <w:pPr>
        <w:pStyle w:val="Notedebasdepage"/>
        <w:contextualSpacing/>
      </w:pPr>
      <w:r w:rsidRPr="00B535FF">
        <w:rPr>
          <w:rStyle w:val="Appelnotedebasdep"/>
          <w:lang w:val="en-CA"/>
        </w:rPr>
        <w:footnoteRef/>
      </w:r>
      <w:r w:rsidR="00644912" w:rsidRPr="00F57A2B">
        <w:t xml:space="preserve"> </w:t>
      </w:r>
      <w:r w:rsidR="00644912" w:rsidRPr="00F57A2B">
        <w:tab/>
        <w:t>Loïs C</w:t>
      </w:r>
      <w:r w:rsidR="005147D7" w:rsidRPr="00F57A2B">
        <w:t>rémier</w:t>
      </w:r>
      <w:r w:rsidR="00644912" w:rsidRPr="00F57A2B">
        <w:t xml:space="preserve"> </w:t>
      </w:r>
      <w:r w:rsidR="005147D7" w:rsidRPr="00F57A2B">
        <w:t>&amp;</w:t>
      </w:r>
      <w:r w:rsidR="00644912" w:rsidRPr="00F57A2B">
        <w:t xml:space="preserve"> Lou T</w:t>
      </w:r>
      <w:r w:rsidR="005147D7" w:rsidRPr="00F57A2B">
        <w:t>ajeddine</w:t>
      </w:r>
      <w:r w:rsidR="00644912" w:rsidRPr="00F57A2B">
        <w:t xml:space="preserve">, </w:t>
      </w:r>
      <w:r w:rsidR="00561B98" w:rsidRPr="00F57A2B">
        <w:t>“</w:t>
      </w:r>
      <w:r w:rsidR="00644912" w:rsidRPr="00F57A2B">
        <w:t>Mieux nommer et mieux comprendre : changer de regard sur les réalités de la diversité de genre et les enjeux trans</w:t>
      </w:r>
      <w:r w:rsidR="00561B98" w:rsidRPr="00F57A2B">
        <w:t>”</w:t>
      </w:r>
      <w:r w:rsidR="00644912" w:rsidRPr="00F57A2B">
        <w:t xml:space="preserve">, Conseil québécois LGBT, 2021 </w:t>
      </w:r>
      <w:r w:rsidR="008B765B" w:rsidRPr="00F57A2B">
        <w:t>at</w:t>
      </w:r>
      <w:r w:rsidR="00644912" w:rsidRPr="00F57A2B">
        <w:t xml:space="preserve"> 24, </w:t>
      </w:r>
      <w:r w:rsidR="008B765B" w:rsidRPr="00F57A2B">
        <w:t>online</w:t>
      </w:r>
      <w:r w:rsidR="00644912" w:rsidRPr="00F57A2B">
        <w:t xml:space="preserve">: &lt; </w:t>
      </w:r>
      <w:hyperlink r:id="rId3" w:history="1">
        <w:r w:rsidR="00644912" w:rsidRPr="00F57A2B">
          <w:rPr>
            <w:rStyle w:val="Hyperlien"/>
          </w:rPr>
          <w:t>guide-mieuxcomprendre-FINAL-web.indd (conseil-lgbt.ca)</w:t>
        </w:r>
      </w:hyperlink>
      <w:r w:rsidR="00925115" w:rsidRPr="00F57A2B">
        <w:t>&gt;.</w:t>
      </w:r>
    </w:p>
  </w:footnote>
  <w:footnote w:id="56">
    <w:p w14:paraId="02508B0B" w14:textId="3CBFB973" w:rsidR="00D37F62" w:rsidRPr="00F57A2B" w:rsidRDefault="00E641F1" w:rsidP="00D37F62">
      <w:pPr>
        <w:pStyle w:val="Notedebasdepage"/>
      </w:pPr>
      <w:r w:rsidRPr="00B535FF">
        <w:rPr>
          <w:rStyle w:val="Appelnotedebasdep"/>
          <w:lang w:val="en-CA"/>
        </w:rPr>
        <w:footnoteRef/>
      </w:r>
      <w:r w:rsidRPr="00B535FF">
        <w:rPr>
          <w:lang w:val="en-CA"/>
        </w:rPr>
        <w:t xml:space="preserve"> </w:t>
      </w:r>
      <w:r w:rsidRPr="00B535FF">
        <w:rPr>
          <w:lang w:val="en-CA"/>
        </w:rPr>
        <w:tab/>
      </w:r>
      <w:r w:rsidRPr="00B535FF">
        <w:rPr>
          <w:i/>
          <w:iCs/>
          <w:lang w:val="en-CA"/>
        </w:rPr>
        <w:t>T.A. v. Manitoba (Justice)</w:t>
      </w:r>
      <w:r w:rsidRPr="00B535FF">
        <w:rPr>
          <w:lang w:val="en-CA"/>
        </w:rPr>
        <w:t xml:space="preserve">, 2019 MBHR 12 </w:t>
      </w:r>
      <w:r w:rsidR="00614461" w:rsidRPr="00B535FF">
        <w:rPr>
          <w:lang w:val="en-CA"/>
        </w:rPr>
        <w:t>at para.</w:t>
      </w:r>
      <w:r w:rsidRPr="00B535FF">
        <w:rPr>
          <w:lang w:val="en-CA"/>
        </w:rPr>
        <w:t xml:space="preserve"> </w:t>
      </w:r>
      <w:r w:rsidRPr="00F57A2B">
        <w:t xml:space="preserve">22 </w:t>
      </w:r>
      <w:r w:rsidR="003E55B5" w:rsidRPr="00F57A2B">
        <w:rPr>
          <w:rFonts w:cs="Arial"/>
        </w:rPr>
        <w:t>[</w:t>
      </w:r>
      <w:r w:rsidRPr="00F57A2B">
        <w:rPr>
          <w:i/>
          <w:iCs/>
        </w:rPr>
        <w:t>T.A.</w:t>
      </w:r>
      <w:r w:rsidR="003E55B5" w:rsidRPr="00F57A2B">
        <w:rPr>
          <w:rFonts w:cs="Arial"/>
        </w:rPr>
        <w:t>]</w:t>
      </w:r>
      <w:r w:rsidRPr="00F57A2B">
        <w:t>.</w:t>
      </w:r>
    </w:p>
  </w:footnote>
  <w:footnote w:id="57">
    <w:p w14:paraId="66F2E38F" w14:textId="37263D8A" w:rsidR="00D37F62" w:rsidRPr="00F57A2B" w:rsidRDefault="00E641F1" w:rsidP="00D37F62">
      <w:pPr>
        <w:pStyle w:val="Notedebasdepage"/>
      </w:pPr>
      <w:r w:rsidRPr="00B535FF">
        <w:rPr>
          <w:rStyle w:val="Appelnotedebasdep"/>
          <w:lang w:val="en-CA"/>
        </w:rPr>
        <w:footnoteRef/>
      </w:r>
      <w:r w:rsidRPr="00F57A2B">
        <w:t xml:space="preserve"> </w:t>
      </w:r>
      <w:r w:rsidRPr="00F57A2B">
        <w:tab/>
      </w:r>
      <w:r w:rsidR="005747A3" w:rsidRPr="00F57A2B">
        <w:t>Chaire de recherche sur l’homophobie</w:t>
      </w:r>
      <w:r w:rsidRPr="00F57A2B">
        <w:t xml:space="preserve">, </w:t>
      </w:r>
      <w:r w:rsidR="00587E4C" w:rsidRPr="00F57A2B">
        <w:t>“</w:t>
      </w:r>
      <w:r w:rsidRPr="00F57A2B">
        <w:t>Définitions sur la diversité sexuelle et de genre</w:t>
      </w:r>
      <w:r w:rsidR="00587E4C" w:rsidRPr="00F57A2B">
        <w:t>”</w:t>
      </w:r>
      <w:r w:rsidRPr="00F57A2B">
        <w:t xml:space="preserve">, 2014, </w:t>
      </w:r>
      <w:r w:rsidR="003E55B5" w:rsidRPr="00F57A2B">
        <w:t>online</w:t>
      </w:r>
      <w:r w:rsidRPr="00F57A2B">
        <w:t>: &lt;</w:t>
      </w:r>
      <w:hyperlink r:id="rId4" w:history="1">
        <w:r w:rsidRPr="00F57A2B">
          <w:rPr>
            <w:rStyle w:val="Hyperlien"/>
          </w:rPr>
          <w:t>Définitions sur la diversité sexuelle et de genre (uqam.ca)</w:t>
        </w:r>
      </w:hyperlink>
      <w:r w:rsidRPr="00F57A2B">
        <w:t xml:space="preserve">&gt; </w:t>
      </w:r>
      <w:r w:rsidR="008B765B" w:rsidRPr="00F57A2B">
        <w:t>at</w:t>
      </w:r>
      <w:r w:rsidRPr="00F57A2B">
        <w:t> 2.</w:t>
      </w:r>
    </w:p>
  </w:footnote>
  <w:footnote w:id="58">
    <w:p w14:paraId="0F10D87F" w14:textId="0FB30396" w:rsidR="00DA5203" w:rsidRPr="00B535FF" w:rsidRDefault="00E641F1">
      <w:pPr>
        <w:pStyle w:val="Notedebasdepage"/>
        <w:rPr>
          <w:lang w:val="en-CA"/>
        </w:rPr>
      </w:pPr>
      <w:r w:rsidRPr="00B535FF">
        <w:rPr>
          <w:rStyle w:val="Appelnotedebasdep"/>
          <w:lang w:val="en-CA"/>
        </w:rPr>
        <w:footnoteRef/>
      </w:r>
      <w:r w:rsidR="00FA6977" w:rsidRPr="00B535FF">
        <w:rPr>
          <w:lang w:val="en-CA"/>
        </w:rPr>
        <w:t xml:space="preserve"> </w:t>
      </w:r>
      <w:r w:rsidR="00FA6977" w:rsidRPr="00B535FF">
        <w:rPr>
          <w:lang w:val="en-CA"/>
        </w:rPr>
        <w:tab/>
      </w:r>
      <w:r w:rsidRPr="00B535FF">
        <w:rPr>
          <w:i/>
          <w:iCs/>
          <w:lang w:val="en-CA"/>
        </w:rPr>
        <w:t>Cent</w:t>
      </w:r>
      <w:r w:rsidR="00D17AC3" w:rsidRPr="00B535FF">
        <w:rPr>
          <w:i/>
          <w:iCs/>
          <w:lang w:val="en-CA"/>
        </w:rPr>
        <w:t>r</w:t>
      </w:r>
      <w:r w:rsidRPr="00B535FF">
        <w:rPr>
          <w:i/>
          <w:iCs/>
          <w:lang w:val="en-CA"/>
        </w:rPr>
        <w:t xml:space="preserve">e for Gender Advocacy, </w:t>
      </w:r>
      <w:r w:rsidR="008B765B" w:rsidRPr="00B535FF">
        <w:rPr>
          <w:i/>
          <w:iCs/>
          <w:lang w:val="en-CA"/>
        </w:rPr>
        <w:t>supra</w:t>
      </w:r>
      <w:r w:rsidR="00AE4337" w:rsidRPr="00B535FF">
        <w:rPr>
          <w:lang w:val="en-CA"/>
        </w:rPr>
        <w:t xml:space="preserve"> note </w:t>
      </w:r>
      <w:r w:rsidR="004360EC" w:rsidRPr="00B535FF">
        <w:rPr>
          <w:lang w:val="en-CA"/>
        </w:rPr>
        <w:fldChar w:fldCharType="begin"/>
      </w:r>
      <w:r w:rsidR="004360EC" w:rsidRPr="00B535FF">
        <w:rPr>
          <w:lang w:val="en-CA"/>
        </w:rPr>
        <w:instrText xml:space="preserve"> NOTEREF _Ref168395486 \h </w:instrText>
      </w:r>
      <w:r w:rsidR="004360EC" w:rsidRPr="00B535FF">
        <w:rPr>
          <w:lang w:val="en-CA"/>
        </w:rPr>
      </w:r>
      <w:r w:rsidR="004360EC" w:rsidRPr="00B535FF">
        <w:rPr>
          <w:lang w:val="en-CA"/>
        </w:rPr>
        <w:fldChar w:fldCharType="separate"/>
      </w:r>
      <w:r w:rsidR="00034ABA">
        <w:rPr>
          <w:lang w:val="en-CA"/>
        </w:rPr>
        <w:t>22</w:t>
      </w:r>
      <w:r w:rsidR="004360EC" w:rsidRPr="00B535FF">
        <w:rPr>
          <w:lang w:val="en-CA"/>
        </w:rPr>
        <w:fldChar w:fldCharType="end"/>
      </w:r>
      <w:r w:rsidR="00CA0114" w:rsidRPr="00B535FF">
        <w:rPr>
          <w:lang w:val="en-CA"/>
        </w:rPr>
        <w:t xml:space="preserve"> </w:t>
      </w:r>
      <w:r w:rsidR="00614461" w:rsidRPr="00B535FF">
        <w:rPr>
          <w:lang w:val="en-CA"/>
        </w:rPr>
        <w:t>at para.</w:t>
      </w:r>
      <w:r w:rsidR="00CA0114" w:rsidRPr="00B535FF">
        <w:rPr>
          <w:lang w:val="en-CA"/>
        </w:rPr>
        <w:t xml:space="preserve"> 101.</w:t>
      </w:r>
    </w:p>
  </w:footnote>
  <w:footnote w:id="59">
    <w:p w14:paraId="144E27B4" w14:textId="1C0C7E83" w:rsidR="000248FF" w:rsidRPr="00B535FF" w:rsidRDefault="00E641F1" w:rsidP="000248FF">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p>
  </w:footnote>
  <w:footnote w:id="60">
    <w:p w14:paraId="1555D446" w14:textId="091EDDBD" w:rsidR="000248FF" w:rsidRPr="00B535FF" w:rsidRDefault="00E641F1" w:rsidP="000248FF">
      <w:pPr>
        <w:pStyle w:val="Notedebasdepage"/>
        <w:rPr>
          <w:i/>
          <w:iCs/>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i/>
          <w:iCs/>
          <w:lang w:val="en-CA"/>
        </w:rPr>
        <w:t xml:space="preserve"> </w:t>
      </w:r>
      <w:r w:rsidR="00614461" w:rsidRPr="00B535FF">
        <w:rPr>
          <w:lang w:val="en-CA"/>
        </w:rPr>
        <w:t>at para.</w:t>
      </w:r>
      <w:r w:rsidRPr="00B535FF">
        <w:rPr>
          <w:lang w:val="en-CA"/>
        </w:rPr>
        <w:t xml:space="preserve"> 106</w:t>
      </w:r>
      <w:r w:rsidRPr="00B535FF">
        <w:rPr>
          <w:i/>
          <w:iCs/>
          <w:lang w:val="en-CA"/>
        </w:rPr>
        <w:t>.</w:t>
      </w:r>
    </w:p>
  </w:footnote>
  <w:footnote w:id="61">
    <w:p w14:paraId="18BD3788" w14:textId="690CD408" w:rsidR="000248FF" w:rsidRPr="00B535FF" w:rsidRDefault="00E641F1" w:rsidP="000248FF">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EE4B76" w:rsidRPr="00B535FF">
        <w:rPr>
          <w:i/>
          <w:iCs/>
          <w:lang w:val="en-CA"/>
        </w:rPr>
        <w:t>Bilac</w:t>
      </w:r>
      <w:r w:rsidRPr="00B535FF">
        <w:rPr>
          <w:lang w:val="en-CA"/>
        </w:rPr>
        <w:t xml:space="preserve">, </w:t>
      </w:r>
      <w:r w:rsidR="005147D7" w:rsidRPr="00B535FF">
        <w:rPr>
          <w:i/>
          <w:iCs/>
          <w:lang w:val="en-CA"/>
        </w:rPr>
        <w:t>supra</w:t>
      </w:r>
      <w:r w:rsidRPr="00B535FF">
        <w:rPr>
          <w:lang w:val="en-CA"/>
        </w:rPr>
        <w:t xml:space="preserve"> note </w:t>
      </w:r>
      <w:r w:rsidR="00DC67A3" w:rsidRPr="00B535FF">
        <w:rPr>
          <w:lang w:val="en-CA"/>
        </w:rPr>
        <w:fldChar w:fldCharType="begin"/>
      </w:r>
      <w:r w:rsidR="00DC67A3" w:rsidRPr="00B535FF">
        <w:rPr>
          <w:lang w:val="en-CA"/>
        </w:rPr>
        <w:instrText xml:space="preserve"> NOTEREF _Ref168403441 \h </w:instrText>
      </w:r>
      <w:r w:rsidR="00DC67A3" w:rsidRPr="00B535FF">
        <w:rPr>
          <w:lang w:val="en-CA"/>
        </w:rPr>
      </w:r>
      <w:r w:rsidR="00DC67A3" w:rsidRPr="00B535FF">
        <w:rPr>
          <w:lang w:val="en-CA"/>
        </w:rPr>
        <w:fldChar w:fldCharType="separate"/>
      </w:r>
      <w:r w:rsidR="00034ABA">
        <w:rPr>
          <w:lang w:val="en-CA"/>
        </w:rPr>
        <w:t>35</w:t>
      </w:r>
      <w:r w:rsidR="00DC67A3" w:rsidRPr="00B535FF">
        <w:rPr>
          <w:lang w:val="en-CA"/>
        </w:rPr>
        <w:fldChar w:fldCharType="end"/>
      </w:r>
      <w:r w:rsidRPr="00B535FF">
        <w:rPr>
          <w:lang w:val="en-CA"/>
        </w:rPr>
        <w:t>.</w:t>
      </w:r>
    </w:p>
  </w:footnote>
  <w:footnote w:id="62">
    <w:p w14:paraId="2E08156E" w14:textId="002D500A" w:rsidR="000248FF" w:rsidRPr="00B535FF" w:rsidRDefault="00E641F1" w:rsidP="000248FF">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i/>
          <w:iCs/>
          <w:lang w:val="en-CA"/>
        </w:rPr>
        <w:t xml:space="preserve"> </w:t>
      </w:r>
      <w:r w:rsidR="00614461" w:rsidRPr="00B535FF">
        <w:rPr>
          <w:lang w:val="en-CA"/>
        </w:rPr>
        <w:t>at para.</w:t>
      </w:r>
      <w:r w:rsidRPr="00B535FF">
        <w:rPr>
          <w:lang w:val="en-CA"/>
        </w:rPr>
        <w:t xml:space="preserve"> 21.</w:t>
      </w:r>
    </w:p>
  </w:footnote>
  <w:footnote w:id="63">
    <w:p w14:paraId="072AD935" w14:textId="27B2FDC1" w:rsidR="00D37F62" w:rsidRPr="00F04DCB" w:rsidRDefault="00E641F1" w:rsidP="00D37F62">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T.A.</w:t>
      </w:r>
      <w:r w:rsidR="00907619" w:rsidRPr="00B535FF">
        <w:rPr>
          <w:lang w:val="en-CA"/>
        </w:rPr>
        <w:t xml:space="preserve">, </w:t>
      </w:r>
      <w:r w:rsidR="005147D7" w:rsidRPr="00B535FF">
        <w:rPr>
          <w:i/>
          <w:iCs/>
          <w:lang w:val="en-CA"/>
        </w:rPr>
        <w:t>supra</w:t>
      </w:r>
      <w:r w:rsidR="00907619" w:rsidRPr="00B535FF">
        <w:rPr>
          <w:lang w:val="en-CA"/>
        </w:rPr>
        <w:t xml:space="preserve"> note </w:t>
      </w:r>
      <w:r w:rsidR="00EA23ED" w:rsidRPr="00B535FF">
        <w:rPr>
          <w:lang w:val="en-CA"/>
        </w:rPr>
        <w:fldChar w:fldCharType="begin"/>
      </w:r>
      <w:r w:rsidR="00EA23ED" w:rsidRPr="00B535FF">
        <w:rPr>
          <w:lang w:val="en-CA"/>
        </w:rPr>
        <w:instrText xml:space="preserve"> NOTEREF _Ref168396135 \h </w:instrText>
      </w:r>
      <w:r w:rsidR="00EA23ED" w:rsidRPr="00B535FF">
        <w:rPr>
          <w:lang w:val="en-CA"/>
        </w:rPr>
      </w:r>
      <w:r w:rsidR="00EA23ED" w:rsidRPr="00B535FF">
        <w:rPr>
          <w:lang w:val="en-CA"/>
        </w:rPr>
        <w:fldChar w:fldCharType="separate"/>
      </w:r>
      <w:r w:rsidR="00034ABA">
        <w:rPr>
          <w:lang w:val="en-CA"/>
        </w:rPr>
        <w:t>56</w:t>
      </w:r>
      <w:r w:rsidR="00EA23ED" w:rsidRPr="00B535FF">
        <w:rPr>
          <w:lang w:val="en-CA"/>
        </w:rPr>
        <w:fldChar w:fldCharType="end"/>
      </w:r>
      <w:r w:rsidRPr="00B535FF">
        <w:rPr>
          <w:lang w:val="en-CA"/>
        </w:rPr>
        <w:t xml:space="preserve"> </w:t>
      </w:r>
      <w:r w:rsidR="00614461" w:rsidRPr="00B535FF">
        <w:rPr>
          <w:lang w:val="en-CA"/>
        </w:rPr>
        <w:t>at para.</w:t>
      </w:r>
      <w:r w:rsidRPr="00B535FF">
        <w:rPr>
          <w:lang w:val="en-CA"/>
        </w:rPr>
        <w:t xml:space="preserve"> </w:t>
      </w:r>
      <w:r w:rsidRPr="00F04DCB">
        <w:rPr>
          <w:lang w:val="en-CA"/>
        </w:rPr>
        <w:t>22.</w:t>
      </w:r>
    </w:p>
  </w:footnote>
  <w:footnote w:id="64">
    <w:p w14:paraId="11DB7B3B" w14:textId="3DFC4EB0" w:rsidR="00D37F62" w:rsidRPr="00DA71F1" w:rsidRDefault="00E641F1" w:rsidP="00D37F62">
      <w:pPr>
        <w:pStyle w:val="Notedebasdepage"/>
        <w:contextualSpacing/>
        <w:rPr>
          <w:lang w:val="en-CA"/>
        </w:rPr>
      </w:pPr>
      <w:r w:rsidRPr="00B535FF">
        <w:rPr>
          <w:rStyle w:val="Appelnotedebasdep"/>
          <w:lang w:val="en-CA"/>
        </w:rPr>
        <w:footnoteRef/>
      </w:r>
      <w:r w:rsidRPr="00DA71F1">
        <w:rPr>
          <w:lang w:val="en-CA"/>
        </w:rPr>
        <w:t xml:space="preserve"> </w:t>
      </w:r>
      <w:r w:rsidRPr="00DA71F1">
        <w:rPr>
          <w:lang w:val="en-CA"/>
        </w:rPr>
        <w:tab/>
      </w:r>
      <w:r w:rsidR="005747A3" w:rsidRPr="00DA71F1">
        <w:rPr>
          <w:lang w:val="en-CA"/>
        </w:rPr>
        <w:t>Chaire de recherche sur l’homophobie</w:t>
      </w:r>
      <w:r w:rsidRPr="00DA71F1">
        <w:rPr>
          <w:lang w:val="en-CA"/>
        </w:rPr>
        <w:t xml:space="preserve">, </w:t>
      </w:r>
      <w:r w:rsidR="008B765B" w:rsidRPr="00DA71F1">
        <w:rPr>
          <w:i/>
          <w:iCs/>
          <w:lang w:val="en-CA"/>
        </w:rPr>
        <w:t>supra</w:t>
      </w:r>
      <w:r w:rsidR="008B765B" w:rsidRPr="00DA71F1">
        <w:rPr>
          <w:lang w:val="en-CA"/>
        </w:rPr>
        <w:t xml:space="preserve"> </w:t>
      </w:r>
      <w:r w:rsidRPr="00DA71F1">
        <w:rPr>
          <w:lang w:val="en-CA"/>
        </w:rPr>
        <w:t xml:space="preserve">note </w:t>
      </w:r>
      <w:r w:rsidR="00F3378E" w:rsidRPr="00B535FF">
        <w:rPr>
          <w:lang w:val="en-CA"/>
        </w:rPr>
        <w:fldChar w:fldCharType="begin"/>
      </w:r>
      <w:r w:rsidR="00F3378E" w:rsidRPr="00DA71F1">
        <w:rPr>
          <w:lang w:val="en-CA"/>
        </w:rPr>
        <w:instrText xml:space="preserve"> NOTEREF _Ref168396050 \h </w:instrText>
      </w:r>
      <w:r w:rsidR="00F3378E" w:rsidRPr="00B535FF">
        <w:rPr>
          <w:lang w:val="en-CA"/>
        </w:rPr>
      </w:r>
      <w:r w:rsidR="00F3378E" w:rsidRPr="00B535FF">
        <w:rPr>
          <w:lang w:val="en-CA"/>
        </w:rPr>
        <w:fldChar w:fldCharType="separate"/>
      </w:r>
      <w:r w:rsidR="00034ABA" w:rsidRPr="00DA71F1">
        <w:rPr>
          <w:lang w:val="en-CA"/>
        </w:rPr>
        <w:t>57</w:t>
      </w:r>
      <w:r w:rsidR="00F3378E" w:rsidRPr="00B535FF">
        <w:rPr>
          <w:lang w:val="en-CA"/>
        </w:rPr>
        <w:fldChar w:fldCharType="end"/>
      </w:r>
      <w:r w:rsidRPr="00DA71F1">
        <w:rPr>
          <w:lang w:val="en-CA"/>
        </w:rPr>
        <w:t xml:space="preserve"> </w:t>
      </w:r>
      <w:r w:rsidR="008B765B" w:rsidRPr="00DA71F1">
        <w:rPr>
          <w:lang w:val="en-CA"/>
        </w:rPr>
        <w:t>at</w:t>
      </w:r>
      <w:r w:rsidRPr="00DA71F1">
        <w:rPr>
          <w:lang w:val="en-CA"/>
        </w:rPr>
        <w:t xml:space="preserve"> 1.</w:t>
      </w:r>
    </w:p>
  </w:footnote>
  <w:footnote w:id="65">
    <w:p w14:paraId="475D4604" w14:textId="6B1A1349" w:rsidR="008B765B" w:rsidRPr="00252A82" w:rsidRDefault="008B765B" w:rsidP="008B765B">
      <w:pPr>
        <w:pStyle w:val="Notedebasdepage"/>
      </w:pPr>
      <w:r w:rsidRPr="00B535FF">
        <w:rPr>
          <w:rStyle w:val="Appelnotedebasdep"/>
          <w:lang w:val="en-CA"/>
        </w:rPr>
        <w:footnoteRef/>
      </w:r>
      <w:r w:rsidRPr="00252A82">
        <w:t xml:space="preserve"> </w:t>
      </w:r>
      <w:r w:rsidRPr="00252A82">
        <w:tab/>
      </w:r>
      <w:r w:rsidRPr="00252A82">
        <w:rPr>
          <w:i/>
          <w:iCs/>
        </w:rPr>
        <w:t>Centre de lutte contre l’oppression des genres</w:t>
      </w:r>
      <w:r w:rsidRPr="00252A82">
        <w:t xml:space="preserve">, </w:t>
      </w:r>
      <w:r w:rsidRPr="00252A82">
        <w:rPr>
          <w:i/>
          <w:iCs/>
        </w:rPr>
        <w:t>supra</w:t>
      </w:r>
      <w:r w:rsidRPr="00252A82">
        <w:t xml:space="preserve"> note </w:t>
      </w:r>
      <w:r w:rsidRPr="00B535FF">
        <w:rPr>
          <w:lang w:val="en-CA"/>
        </w:rPr>
        <w:fldChar w:fldCharType="begin"/>
      </w:r>
      <w:r w:rsidRPr="00252A82">
        <w:instrText xml:space="preserve"> NOTEREF _Ref168404000 \h </w:instrText>
      </w:r>
      <w:r w:rsidRPr="00B535FF">
        <w:rPr>
          <w:lang w:val="en-CA"/>
        </w:rPr>
      </w:r>
      <w:r w:rsidRPr="00B535FF">
        <w:rPr>
          <w:lang w:val="en-CA"/>
        </w:rPr>
        <w:fldChar w:fldCharType="separate"/>
      </w:r>
      <w:r w:rsidR="00034ABA">
        <w:t>29</w:t>
      </w:r>
      <w:r w:rsidRPr="00B535FF">
        <w:rPr>
          <w:lang w:val="en-CA"/>
        </w:rPr>
        <w:fldChar w:fldCharType="end"/>
      </w:r>
      <w:r w:rsidRPr="00252A82">
        <w:t>.</w:t>
      </w:r>
    </w:p>
  </w:footnote>
  <w:footnote w:id="66">
    <w:p w14:paraId="7B0B7582" w14:textId="5D994B4B" w:rsidR="00A40E29" w:rsidRPr="00B535FF" w:rsidRDefault="00E641F1" w:rsidP="00A40E29">
      <w:pPr>
        <w:pStyle w:val="Notedebasdepage"/>
        <w:rPr>
          <w:lang w:val="en-CA"/>
        </w:rPr>
      </w:pPr>
      <w:r w:rsidRPr="00B535FF">
        <w:rPr>
          <w:rStyle w:val="Appelnotedebasdep"/>
          <w:lang w:val="en-CA"/>
        </w:rPr>
        <w:footnoteRef/>
      </w:r>
      <w:r w:rsidR="00AE4337" w:rsidRPr="00B535FF">
        <w:rPr>
          <w:lang w:val="en-CA"/>
        </w:rPr>
        <w:t xml:space="preserve"> </w:t>
      </w:r>
      <w:r w:rsidR="00AE4337" w:rsidRPr="00B535FF">
        <w:rPr>
          <w:lang w:val="en-CA"/>
        </w:rPr>
        <w:tab/>
      </w:r>
      <w:r w:rsidR="00614461" w:rsidRPr="00B535FF">
        <w:rPr>
          <w:i/>
          <w:iCs/>
          <w:lang w:val="en-CA"/>
        </w:rPr>
        <w:t>Ibid.</w:t>
      </w:r>
      <w:r w:rsidRPr="00B535FF">
        <w:rPr>
          <w:i/>
          <w:iCs/>
          <w:lang w:val="en-CA"/>
        </w:rPr>
        <w:t xml:space="preserve"> </w:t>
      </w:r>
      <w:r w:rsidR="00614461" w:rsidRPr="00B535FF">
        <w:rPr>
          <w:lang w:val="en-CA"/>
        </w:rPr>
        <w:t>at para.</w:t>
      </w:r>
      <w:r w:rsidRPr="00B535FF">
        <w:rPr>
          <w:lang w:val="en-CA"/>
        </w:rPr>
        <w:t xml:space="preserve"> 23.</w:t>
      </w:r>
    </w:p>
  </w:footnote>
  <w:footnote w:id="67">
    <w:p w14:paraId="01F6B1FE" w14:textId="77777777" w:rsidR="008B765B" w:rsidRPr="0048531D" w:rsidRDefault="008B765B" w:rsidP="008B765B">
      <w:pPr>
        <w:pStyle w:val="Notedebasdepage"/>
        <w:contextualSpacing/>
      </w:pPr>
      <w:r w:rsidRPr="00B535FF">
        <w:rPr>
          <w:rStyle w:val="Appelnotedebasdep"/>
          <w:lang w:val="en-CA"/>
        </w:rPr>
        <w:footnoteRef/>
      </w:r>
      <w:r w:rsidRPr="00B535FF">
        <w:rPr>
          <w:lang w:val="en-CA"/>
        </w:rPr>
        <w:t xml:space="preserve"> </w:t>
      </w:r>
      <w:r w:rsidRPr="00B535FF">
        <w:rPr>
          <w:lang w:val="en-CA"/>
        </w:rPr>
        <w:tab/>
      </w:r>
      <w:r w:rsidRPr="00B535FF">
        <w:rPr>
          <w:i/>
          <w:iCs/>
          <w:lang w:val="en-CA"/>
        </w:rPr>
        <w:t>Hansman v. Neufeld</w:t>
      </w:r>
      <w:r w:rsidRPr="00B535FF">
        <w:rPr>
          <w:lang w:val="en-CA"/>
        </w:rPr>
        <w:t xml:space="preserve">, 2023 SCC 14 at para. </w:t>
      </w:r>
      <w:r w:rsidRPr="0048531D">
        <w:t xml:space="preserve">12 </w:t>
      </w:r>
      <w:r w:rsidRPr="0048531D">
        <w:rPr>
          <w:rFonts w:cs="Arial"/>
        </w:rPr>
        <w:t>[</w:t>
      </w:r>
      <w:r w:rsidRPr="0048531D">
        <w:rPr>
          <w:i/>
          <w:iCs/>
        </w:rPr>
        <w:t>Hansman</w:t>
      </w:r>
      <w:r w:rsidRPr="0048531D">
        <w:rPr>
          <w:rFonts w:cs="Arial"/>
        </w:rPr>
        <w:t>]</w:t>
      </w:r>
      <w:r w:rsidRPr="0048531D">
        <w:t>.</w:t>
      </w:r>
    </w:p>
  </w:footnote>
  <w:footnote w:id="68">
    <w:p w14:paraId="19C446BA" w14:textId="022EE63C" w:rsidR="008B765B" w:rsidRPr="00252A82" w:rsidRDefault="008B765B" w:rsidP="008B765B">
      <w:pPr>
        <w:pStyle w:val="Notedebasdepage"/>
        <w:contextualSpacing/>
      </w:pPr>
      <w:r w:rsidRPr="00B535FF">
        <w:rPr>
          <w:rStyle w:val="Appelnotedebasdep"/>
          <w:lang w:val="en-CA"/>
        </w:rPr>
        <w:footnoteRef/>
      </w:r>
      <w:r w:rsidRPr="00252A82">
        <w:t xml:space="preserve"> </w:t>
      </w:r>
      <w:r w:rsidRPr="00252A82">
        <w:tab/>
        <w:t>C</w:t>
      </w:r>
      <w:r w:rsidR="005747A3" w:rsidRPr="00252A82">
        <w:t>haire de recherche sur l’homophobie</w:t>
      </w:r>
      <w:r w:rsidRPr="00252A82">
        <w:t xml:space="preserve">, </w:t>
      </w:r>
      <w:r w:rsidRPr="00252A82">
        <w:rPr>
          <w:i/>
          <w:iCs/>
        </w:rPr>
        <w:t>supra</w:t>
      </w:r>
      <w:r w:rsidRPr="00252A82">
        <w:t xml:space="preserve"> note </w:t>
      </w:r>
      <w:r w:rsidRPr="00B535FF">
        <w:rPr>
          <w:lang w:val="en-CA"/>
        </w:rPr>
        <w:fldChar w:fldCharType="begin"/>
      </w:r>
      <w:r w:rsidRPr="00252A82">
        <w:instrText xml:space="preserve"> NOTEREF _Ref168396050 \h </w:instrText>
      </w:r>
      <w:r w:rsidRPr="00B535FF">
        <w:rPr>
          <w:lang w:val="en-CA"/>
        </w:rPr>
      </w:r>
      <w:r w:rsidRPr="00B535FF">
        <w:rPr>
          <w:lang w:val="en-CA"/>
        </w:rPr>
        <w:fldChar w:fldCharType="separate"/>
      </w:r>
      <w:r w:rsidR="00034ABA">
        <w:t>57</w:t>
      </w:r>
      <w:r w:rsidRPr="00B535FF">
        <w:rPr>
          <w:lang w:val="en-CA"/>
        </w:rPr>
        <w:fldChar w:fldCharType="end"/>
      </w:r>
      <w:r w:rsidRPr="00252A82">
        <w:t xml:space="preserve"> at 1.</w:t>
      </w:r>
    </w:p>
  </w:footnote>
  <w:footnote w:id="69">
    <w:p w14:paraId="2F1709F0" w14:textId="77777777" w:rsidR="008B765B" w:rsidRPr="00B535FF" w:rsidRDefault="008B765B" w:rsidP="008B765B">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p>
  </w:footnote>
  <w:footnote w:id="70">
    <w:p w14:paraId="5904298E" w14:textId="1B71CB83" w:rsidR="008B765B" w:rsidRPr="00B535FF" w:rsidRDefault="008B765B" w:rsidP="008B765B">
      <w:pPr>
        <w:pStyle w:val="Notedebasdepage"/>
        <w:rPr>
          <w:lang w:val="en-CA"/>
        </w:rPr>
      </w:pPr>
      <w:r w:rsidRPr="00B535FF">
        <w:rPr>
          <w:rStyle w:val="Appelnotedebasdep"/>
          <w:lang w:val="en-CA"/>
        </w:rPr>
        <w:footnoteRef/>
      </w:r>
      <w:r w:rsidRPr="00B535FF">
        <w:rPr>
          <w:lang w:val="en-CA"/>
        </w:rPr>
        <w:t xml:space="preserve"> </w:t>
      </w:r>
      <w:r w:rsidRPr="00B535FF">
        <w:rPr>
          <w:lang w:val="en-CA"/>
        </w:rPr>
        <w:tab/>
        <w:t xml:space="preserve">Canadian Bar Association, </w:t>
      </w:r>
      <w:r w:rsidRPr="00B535FF">
        <w:rPr>
          <w:i/>
          <w:iCs/>
          <w:lang w:val="en-CA"/>
        </w:rPr>
        <w:t>supra</w:t>
      </w:r>
      <w:r w:rsidRPr="00B535FF">
        <w:rPr>
          <w:lang w:val="en-CA"/>
        </w:rPr>
        <w:t xml:space="preserve"> note </w:t>
      </w:r>
      <w:r w:rsidRPr="00B535FF">
        <w:rPr>
          <w:lang w:val="en-CA"/>
        </w:rPr>
        <w:fldChar w:fldCharType="begin"/>
      </w:r>
      <w:r w:rsidRPr="00B535FF">
        <w:rPr>
          <w:lang w:val="en-CA"/>
        </w:rPr>
        <w:instrText xml:space="preserve"> NOTEREF _Ref168396316 \h </w:instrText>
      </w:r>
      <w:r w:rsidRPr="00B535FF">
        <w:rPr>
          <w:lang w:val="en-CA"/>
        </w:rPr>
      </w:r>
      <w:r w:rsidRPr="00B535FF">
        <w:rPr>
          <w:lang w:val="en-CA"/>
        </w:rPr>
        <w:fldChar w:fldCharType="separate"/>
      </w:r>
      <w:r w:rsidR="00034ABA">
        <w:rPr>
          <w:lang w:val="en-CA"/>
        </w:rPr>
        <w:t>53</w:t>
      </w:r>
      <w:r w:rsidRPr="00B535FF">
        <w:rPr>
          <w:lang w:val="en-CA"/>
        </w:rPr>
        <w:fldChar w:fldCharType="end"/>
      </w:r>
      <w:r w:rsidRPr="00B535FF">
        <w:rPr>
          <w:lang w:val="en-CA"/>
        </w:rPr>
        <w:t xml:space="preserve"> at 43.</w:t>
      </w:r>
    </w:p>
  </w:footnote>
  <w:footnote w:id="71">
    <w:p w14:paraId="3B7E5899" w14:textId="77777777" w:rsidR="008B765B" w:rsidRPr="00981C85" w:rsidRDefault="008B765B" w:rsidP="008B765B">
      <w:pPr>
        <w:pStyle w:val="Notedebasdepage"/>
      </w:pPr>
      <w:r w:rsidRPr="00B535FF">
        <w:rPr>
          <w:rStyle w:val="Appelnotedebasdep"/>
          <w:lang w:val="en-CA"/>
        </w:rPr>
        <w:footnoteRef/>
      </w:r>
      <w:r w:rsidRPr="00981C85">
        <w:t xml:space="preserve"> </w:t>
      </w:r>
      <w:r w:rsidRPr="00981C85">
        <w:tab/>
      </w:r>
      <w:r w:rsidRPr="00981C85">
        <w:rPr>
          <w:i/>
          <w:iCs/>
        </w:rPr>
        <w:t>Ibid.</w:t>
      </w:r>
    </w:p>
  </w:footnote>
  <w:footnote w:id="72">
    <w:p w14:paraId="411A3F62" w14:textId="6638A2B7" w:rsidR="008B765B" w:rsidRPr="00120975" w:rsidRDefault="008B765B" w:rsidP="008B765B">
      <w:pPr>
        <w:pStyle w:val="Notedebasdepage"/>
      </w:pPr>
      <w:r w:rsidRPr="00B535FF">
        <w:rPr>
          <w:rStyle w:val="Appelnotedebasdep"/>
          <w:lang w:val="en-CA"/>
        </w:rPr>
        <w:footnoteRef/>
      </w:r>
      <w:r w:rsidRPr="00981C85">
        <w:t xml:space="preserve"> </w:t>
      </w:r>
      <w:r w:rsidRPr="00981C85">
        <w:tab/>
        <w:t>L</w:t>
      </w:r>
      <w:r w:rsidR="005747A3" w:rsidRPr="00981C85">
        <w:t>arousse</w:t>
      </w:r>
      <w:r w:rsidRPr="00981C85">
        <w:t xml:space="preserve">, </w:t>
      </w:r>
      <w:r w:rsidR="003E55B5" w:rsidRPr="00981C85">
        <w:t>“transsexu</w:t>
      </w:r>
      <w:r w:rsidR="005747A3" w:rsidRPr="00981C85">
        <w:t>e</w:t>
      </w:r>
      <w:r w:rsidR="003E55B5" w:rsidRPr="00981C85">
        <w:t>l”</w:t>
      </w:r>
      <w:r w:rsidR="005747A3" w:rsidRPr="00981C85">
        <w:t xml:space="preserve"> </w:t>
      </w:r>
      <w:r w:rsidR="005747A3" w:rsidRPr="00981C85">
        <w:rPr>
          <w:rFonts w:cs="Arial"/>
        </w:rPr>
        <w:t>[transsexual]</w:t>
      </w:r>
      <w:r w:rsidRPr="00981C85">
        <w:t xml:space="preserve">, </w:t>
      </w:r>
      <w:r w:rsidR="003E55B5" w:rsidRPr="00981C85">
        <w:t>online</w:t>
      </w:r>
      <w:r w:rsidRPr="00981C85">
        <w:t>: &lt;</w:t>
      </w:r>
      <w:hyperlink r:id="rId5" w:history="1">
        <w:r w:rsidRPr="00906CA4">
          <w:rPr>
            <w:rStyle w:val="Hyperlien"/>
          </w:rPr>
          <w:t>Définitions : transsexuel - Dictionnaire de français Larousse</w:t>
        </w:r>
      </w:hyperlink>
      <w:r w:rsidRPr="00906CA4">
        <w:t>&gt;; O</w:t>
      </w:r>
      <w:r w:rsidR="005747A3" w:rsidRPr="00906CA4">
        <w:t xml:space="preserve">ffice </w:t>
      </w:r>
      <w:r w:rsidR="0031048E" w:rsidRPr="00906CA4">
        <w:t>q</w:t>
      </w:r>
      <w:r w:rsidR="005747A3" w:rsidRPr="00906CA4">
        <w:t>uébécois de la</w:t>
      </w:r>
      <w:r w:rsidRPr="00906CA4">
        <w:t xml:space="preserve"> </w:t>
      </w:r>
      <w:r w:rsidR="005747A3" w:rsidRPr="00906CA4">
        <w:t>langue française</w:t>
      </w:r>
      <w:r w:rsidRPr="00906CA4">
        <w:t xml:space="preserve">, </w:t>
      </w:r>
      <w:r w:rsidR="005747A3" w:rsidRPr="00906CA4">
        <w:t xml:space="preserve">“personne </w:t>
      </w:r>
      <w:r w:rsidRPr="00906CA4">
        <w:t>trans</w:t>
      </w:r>
      <w:r w:rsidR="005747A3" w:rsidRPr="00906CA4">
        <w:t xml:space="preserve">” </w:t>
      </w:r>
      <w:r w:rsidR="005747A3" w:rsidRPr="00906CA4">
        <w:rPr>
          <w:rFonts w:cs="Arial"/>
        </w:rPr>
        <w:t>[trans person]</w:t>
      </w:r>
      <w:r w:rsidRPr="00906CA4">
        <w:t xml:space="preserve">, 2019, </w:t>
      </w:r>
      <w:r w:rsidR="003E55B5" w:rsidRPr="00906CA4">
        <w:t>online</w:t>
      </w:r>
      <w:r w:rsidRPr="00906CA4">
        <w:t>: &lt;</w:t>
      </w:r>
      <w:hyperlink r:id="rId6" w:history="1">
        <w:r w:rsidRPr="00906CA4">
          <w:rPr>
            <w:rStyle w:val="Hyperlien"/>
          </w:rPr>
          <w:t>personne trans | GDT (gouv.qc.ca)</w:t>
        </w:r>
      </w:hyperlink>
      <w:r w:rsidRPr="00906CA4">
        <w:t>&gt;; Alexandre V</w:t>
      </w:r>
      <w:r w:rsidR="005747A3" w:rsidRPr="00906CA4">
        <w:t>igneault</w:t>
      </w:r>
      <w:r w:rsidRPr="00906CA4">
        <w:t xml:space="preserve">, </w:t>
      </w:r>
      <w:r w:rsidR="005747A3" w:rsidRPr="00906CA4">
        <w:t>“</w:t>
      </w:r>
      <w:r w:rsidRPr="00906CA4">
        <w:t>Fierté Montréal : Lexique LGBTQ</w:t>
      </w:r>
      <w:r w:rsidR="005747A3" w:rsidRPr="00906CA4">
        <w:t>”</w:t>
      </w:r>
      <w:r w:rsidRPr="00906CA4">
        <w:t>, La</w:t>
      </w:r>
      <w:r w:rsidR="0031048E" w:rsidRPr="00606F77">
        <w:t> </w:t>
      </w:r>
      <w:r w:rsidRPr="00906CA4">
        <w:t xml:space="preserve">Presse, </w:t>
      </w:r>
      <w:r w:rsidR="003E55B5" w:rsidRPr="00906CA4">
        <w:t>August</w:t>
      </w:r>
      <w:r w:rsidR="00AB66FB" w:rsidRPr="00906CA4">
        <w:t xml:space="preserve"> 9,</w:t>
      </w:r>
      <w:r w:rsidR="003E55B5" w:rsidRPr="00906CA4">
        <w:t xml:space="preserve"> </w:t>
      </w:r>
      <w:r w:rsidRPr="00906CA4">
        <w:t xml:space="preserve">2016, </w:t>
      </w:r>
      <w:r w:rsidR="003E55B5" w:rsidRPr="00906CA4">
        <w:t>online</w:t>
      </w:r>
      <w:r w:rsidRPr="00906CA4">
        <w:t>: &lt;</w:t>
      </w:r>
      <w:hyperlink r:id="rId7" w:history="1">
        <w:r w:rsidR="00120975">
          <w:rPr>
            <w:rStyle w:val="Hyperlien"/>
          </w:rPr>
          <w:t>Lexique LGBTQ - La Presse+</w:t>
        </w:r>
      </w:hyperlink>
      <w:r w:rsidRPr="00906CA4">
        <w:t>&gt;; F</w:t>
      </w:r>
      <w:r w:rsidR="005747A3" w:rsidRPr="00906CA4">
        <w:t xml:space="preserve">ondation </w:t>
      </w:r>
      <w:r w:rsidRPr="00906CA4">
        <w:t>É</w:t>
      </w:r>
      <w:r w:rsidR="005747A3" w:rsidRPr="00906CA4">
        <w:t>mergence</w:t>
      </w:r>
      <w:r w:rsidRPr="00906CA4">
        <w:t xml:space="preserve">, </w:t>
      </w:r>
      <w:r w:rsidR="005747A3" w:rsidRPr="00906CA4">
        <w:t>“</w:t>
      </w:r>
      <w:r w:rsidRPr="00906CA4">
        <w:t>Lexique</w:t>
      </w:r>
      <w:r w:rsidR="005747A3" w:rsidRPr="00906CA4">
        <w:t>”</w:t>
      </w:r>
      <w:r w:rsidRPr="00906CA4">
        <w:t xml:space="preserve">, </w:t>
      </w:r>
      <w:r w:rsidR="003E55B5" w:rsidRPr="00906CA4">
        <w:t>online</w:t>
      </w:r>
      <w:r w:rsidRPr="00906CA4">
        <w:t>: &lt;</w:t>
      </w:r>
      <w:hyperlink r:id="rId8" w:anchor=":~:text=Les%20pronoms%20correspondent%20g%C3%A9n%C3%A9ralement%20%C3%A0,eux%E2%80%9D%20ou%20%C2%AB%20ul%20%C2%BB." w:history="1">
        <w:r w:rsidRPr="00906CA4">
          <w:rPr>
            <w:rStyle w:val="Hyperlien"/>
          </w:rPr>
          <w:t>Lexique | Fondation Émergence (fondationemergence.org)</w:t>
        </w:r>
      </w:hyperlink>
      <w:r w:rsidRPr="00120975">
        <w:t>&gt;.</w:t>
      </w:r>
    </w:p>
  </w:footnote>
  <w:footnote w:id="73">
    <w:p w14:paraId="0DB07C75" w14:textId="47449A9B" w:rsidR="00404E5B" w:rsidRPr="00B535FF" w:rsidRDefault="00E641F1">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8B765B" w:rsidRPr="00B535FF">
        <w:rPr>
          <w:lang w:val="en-CA"/>
        </w:rPr>
        <w:t>Canadian Bar Association</w:t>
      </w:r>
      <w:r w:rsidRPr="00B535FF">
        <w:rPr>
          <w:lang w:val="en-CA"/>
        </w:rPr>
        <w:t xml:space="preserve">, </w:t>
      </w:r>
      <w:r w:rsidR="008B765B" w:rsidRPr="00B535FF">
        <w:rPr>
          <w:i/>
          <w:iCs/>
          <w:lang w:val="en-CA"/>
        </w:rPr>
        <w:t>supra</w:t>
      </w:r>
      <w:r w:rsidRPr="00B535FF">
        <w:rPr>
          <w:lang w:val="en-CA"/>
        </w:rPr>
        <w:t xml:space="preserve"> note </w:t>
      </w:r>
      <w:r w:rsidR="002D0676" w:rsidRPr="00B535FF">
        <w:rPr>
          <w:lang w:val="en-CA"/>
        </w:rPr>
        <w:fldChar w:fldCharType="begin"/>
      </w:r>
      <w:r w:rsidR="002D0676" w:rsidRPr="00B535FF">
        <w:rPr>
          <w:lang w:val="en-CA"/>
        </w:rPr>
        <w:instrText xml:space="preserve"> NOTEREF _Ref168396316 \h </w:instrText>
      </w:r>
      <w:r w:rsidR="002D0676" w:rsidRPr="00B535FF">
        <w:rPr>
          <w:lang w:val="en-CA"/>
        </w:rPr>
      </w:r>
      <w:r w:rsidR="002D0676" w:rsidRPr="00B535FF">
        <w:rPr>
          <w:lang w:val="en-CA"/>
        </w:rPr>
        <w:fldChar w:fldCharType="separate"/>
      </w:r>
      <w:r w:rsidR="00034ABA">
        <w:rPr>
          <w:lang w:val="en-CA"/>
        </w:rPr>
        <w:t>53</w:t>
      </w:r>
      <w:r w:rsidR="002D0676" w:rsidRPr="00B535FF">
        <w:rPr>
          <w:lang w:val="en-CA"/>
        </w:rPr>
        <w:fldChar w:fldCharType="end"/>
      </w:r>
      <w:r w:rsidRPr="00B535FF">
        <w:rPr>
          <w:lang w:val="en-CA"/>
        </w:rPr>
        <w:t xml:space="preserve"> </w:t>
      </w:r>
      <w:r w:rsidR="008B765B" w:rsidRPr="00B535FF">
        <w:rPr>
          <w:lang w:val="en-CA"/>
        </w:rPr>
        <w:t xml:space="preserve">at </w:t>
      </w:r>
      <w:r w:rsidRPr="00B535FF">
        <w:rPr>
          <w:lang w:val="en-CA"/>
        </w:rPr>
        <w:t>4</w:t>
      </w:r>
      <w:r w:rsidR="008B765B" w:rsidRPr="00B535FF">
        <w:rPr>
          <w:lang w:val="en-CA"/>
        </w:rPr>
        <w:t>2</w:t>
      </w:r>
      <w:r w:rsidRPr="00B535FF">
        <w:rPr>
          <w:lang w:val="en-CA"/>
        </w:rPr>
        <w:t>.</w:t>
      </w:r>
    </w:p>
  </w:footnote>
  <w:footnote w:id="74">
    <w:p w14:paraId="3EF1F0E9" w14:textId="111E3CCE" w:rsidR="003E55B5" w:rsidRPr="00981C85" w:rsidRDefault="003E55B5" w:rsidP="003E55B5">
      <w:pPr>
        <w:pStyle w:val="Notedebasdepage"/>
      </w:pPr>
      <w:r w:rsidRPr="00B535FF">
        <w:rPr>
          <w:rStyle w:val="Appelnotedebasdep"/>
          <w:lang w:val="en-CA"/>
        </w:rPr>
        <w:footnoteRef/>
      </w:r>
      <w:r w:rsidRPr="00B535FF">
        <w:rPr>
          <w:lang w:val="en-CA"/>
        </w:rPr>
        <w:t xml:space="preserve"> </w:t>
      </w:r>
      <w:r w:rsidRPr="00B535FF">
        <w:rPr>
          <w:lang w:val="en-CA"/>
        </w:rPr>
        <w:tab/>
      </w:r>
      <w:r w:rsidRPr="00B535FF">
        <w:rPr>
          <w:rFonts w:cs="Arial"/>
          <w:i/>
          <w:iCs/>
          <w:color w:val="212529"/>
          <w:lang w:val="en-CA"/>
        </w:rPr>
        <w:t>Andrews v. Law Society of British Columbia</w:t>
      </w:r>
      <w:r w:rsidRPr="00B535FF">
        <w:rPr>
          <w:rFonts w:cs="Arial"/>
          <w:color w:val="212529"/>
          <w:lang w:val="en-CA"/>
        </w:rPr>
        <w:t xml:space="preserve">, 1989 CanLII 2 (SCC), [1989] 1 SCR 143 at para. </w:t>
      </w:r>
      <w:r w:rsidRPr="00981C85">
        <w:rPr>
          <w:rFonts w:cs="Arial"/>
          <w:color w:val="212529"/>
        </w:rPr>
        <w:t xml:space="preserve">174 </w:t>
      </w:r>
      <w:r w:rsidR="00C14D94" w:rsidRPr="00981C85">
        <w:rPr>
          <w:rFonts w:cs="Arial"/>
          <w:color w:val="212529"/>
        </w:rPr>
        <w:t>[</w:t>
      </w:r>
      <w:r w:rsidRPr="00981C85">
        <w:rPr>
          <w:rFonts w:cs="Arial"/>
          <w:i/>
          <w:iCs/>
          <w:color w:val="212529"/>
        </w:rPr>
        <w:t>Andrews</w:t>
      </w:r>
      <w:r w:rsidR="00C14D94" w:rsidRPr="00981C85">
        <w:rPr>
          <w:rFonts w:cs="Arial"/>
          <w:color w:val="212529"/>
        </w:rPr>
        <w:t>]</w:t>
      </w:r>
      <w:r w:rsidRPr="00981C85">
        <w:rPr>
          <w:rFonts w:cs="Arial"/>
          <w:color w:val="212529"/>
        </w:rPr>
        <w:t>.</w:t>
      </w:r>
    </w:p>
  </w:footnote>
  <w:footnote w:id="75">
    <w:p w14:paraId="013857EB" w14:textId="4F534403" w:rsidR="00C96B39" w:rsidRPr="00B535FF" w:rsidRDefault="00E641F1" w:rsidP="00C96B39">
      <w:pPr>
        <w:pStyle w:val="Notedebasdepage"/>
        <w:rPr>
          <w:lang w:val="en-CA"/>
        </w:rPr>
      </w:pPr>
      <w:r w:rsidRPr="00B535FF">
        <w:rPr>
          <w:rStyle w:val="Appelnotedebasdep"/>
          <w:lang w:val="en-CA"/>
        </w:rPr>
        <w:footnoteRef/>
      </w:r>
      <w:r w:rsidRPr="00F57A2B">
        <w:t xml:space="preserve"> </w:t>
      </w:r>
      <w:r w:rsidRPr="00F57A2B">
        <w:tab/>
      </w:r>
      <w:r w:rsidRPr="00F57A2B">
        <w:rPr>
          <w:i/>
          <w:iCs/>
        </w:rPr>
        <w:t xml:space="preserve">Québec (Commission des droits de la personne et des droits de la jeunesse) </w:t>
      </w:r>
      <w:r w:rsidR="003F24FF" w:rsidRPr="00F57A2B">
        <w:rPr>
          <w:i/>
          <w:iCs/>
        </w:rPr>
        <w:t>v</w:t>
      </w:r>
      <w:r w:rsidRPr="00F57A2B">
        <w:rPr>
          <w:i/>
          <w:iCs/>
        </w:rPr>
        <w:t>.</w:t>
      </w:r>
      <w:r w:rsidRPr="00F57A2B">
        <w:t xml:space="preserve"> </w:t>
      </w:r>
      <w:r w:rsidRPr="00F57A2B">
        <w:rPr>
          <w:i/>
          <w:iCs/>
        </w:rPr>
        <w:t xml:space="preserve">Bombardier Inc. </w:t>
      </w:r>
      <w:r w:rsidRPr="00B535FF">
        <w:rPr>
          <w:i/>
          <w:iCs/>
          <w:lang w:val="en-CA"/>
        </w:rPr>
        <w:t>(Bombardier A</w:t>
      </w:r>
      <w:r w:rsidR="003E55B5" w:rsidRPr="00B535FF">
        <w:rPr>
          <w:i/>
          <w:iCs/>
          <w:lang w:val="en-CA"/>
        </w:rPr>
        <w:t xml:space="preserve">erospace Training </w:t>
      </w:r>
      <w:r w:rsidRPr="00B535FF">
        <w:rPr>
          <w:i/>
          <w:iCs/>
          <w:lang w:val="en-CA"/>
        </w:rPr>
        <w:t>Cent</w:t>
      </w:r>
      <w:r w:rsidR="003E55B5" w:rsidRPr="00B535FF">
        <w:rPr>
          <w:i/>
          <w:iCs/>
          <w:lang w:val="en-CA"/>
        </w:rPr>
        <w:t>e</w:t>
      </w:r>
      <w:r w:rsidRPr="00B535FF">
        <w:rPr>
          <w:i/>
          <w:iCs/>
          <w:lang w:val="en-CA"/>
        </w:rPr>
        <w:t>r)</w:t>
      </w:r>
      <w:r w:rsidRPr="00B535FF">
        <w:rPr>
          <w:lang w:val="en-CA"/>
        </w:rPr>
        <w:t>, 2015 S</w:t>
      </w:r>
      <w:r w:rsidR="003E55B5" w:rsidRPr="00B535FF">
        <w:rPr>
          <w:lang w:val="en-CA"/>
        </w:rPr>
        <w:t>C</w:t>
      </w:r>
      <w:r w:rsidRPr="00B535FF">
        <w:rPr>
          <w:lang w:val="en-CA"/>
        </w:rPr>
        <w:t xml:space="preserve">C 39 </w:t>
      </w:r>
      <w:r w:rsidR="00614461" w:rsidRPr="00B535FF">
        <w:rPr>
          <w:lang w:val="en-CA"/>
        </w:rPr>
        <w:t>at para.</w:t>
      </w:r>
      <w:r w:rsidRPr="00B535FF">
        <w:rPr>
          <w:lang w:val="en-CA"/>
        </w:rPr>
        <w:t xml:space="preserve"> 35 </w:t>
      </w:r>
      <w:r w:rsidR="003E55B5" w:rsidRPr="00B535FF">
        <w:rPr>
          <w:rFonts w:cs="Arial"/>
          <w:lang w:val="en-CA"/>
        </w:rPr>
        <w:t>[</w:t>
      </w:r>
      <w:r w:rsidRPr="00B535FF">
        <w:rPr>
          <w:i/>
          <w:iCs/>
          <w:lang w:val="en-CA"/>
        </w:rPr>
        <w:t>Bombardier</w:t>
      </w:r>
      <w:r w:rsidR="003E55B5" w:rsidRPr="00B535FF">
        <w:rPr>
          <w:rFonts w:cs="Arial"/>
          <w:lang w:val="en-CA"/>
        </w:rPr>
        <w:t>]</w:t>
      </w:r>
      <w:r w:rsidRPr="00B535FF">
        <w:rPr>
          <w:lang w:val="en-CA"/>
        </w:rPr>
        <w:t>.</w:t>
      </w:r>
    </w:p>
  </w:footnote>
  <w:footnote w:id="76">
    <w:p w14:paraId="6D5678CA" w14:textId="1902D1EB" w:rsidR="00755BBE" w:rsidRPr="00B535FF" w:rsidRDefault="00755BBE" w:rsidP="00755BBE">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 xml:space="preserve">Ibid. </w:t>
      </w:r>
      <w:r w:rsidRPr="00B535FF">
        <w:rPr>
          <w:lang w:val="en-CA"/>
        </w:rPr>
        <w:t>at para. 48.</w:t>
      </w:r>
    </w:p>
  </w:footnote>
  <w:footnote w:id="77">
    <w:p w14:paraId="63B97331" w14:textId="1C3BF320" w:rsidR="00755BBE" w:rsidRPr="00B535FF" w:rsidRDefault="00755BBE" w:rsidP="00755BBE">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para. 52.</w:t>
      </w:r>
    </w:p>
  </w:footnote>
  <w:footnote w:id="78">
    <w:p w14:paraId="65E4B99D" w14:textId="42EAC26E" w:rsidR="00C96B39" w:rsidRPr="00B535FF" w:rsidRDefault="00E641F1" w:rsidP="00C96B39">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00614461" w:rsidRPr="00B535FF">
        <w:rPr>
          <w:i/>
          <w:iCs/>
          <w:lang w:val="en-CA"/>
        </w:rPr>
        <w:t>Ibid.</w:t>
      </w:r>
      <w:r w:rsidRPr="00B535FF">
        <w:rPr>
          <w:lang w:val="en-CA"/>
        </w:rPr>
        <w:t xml:space="preserve"> </w:t>
      </w:r>
      <w:r w:rsidR="00614461" w:rsidRPr="00B535FF">
        <w:rPr>
          <w:lang w:val="en-CA"/>
        </w:rPr>
        <w:t>at para.</w:t>
      </w:r>
      <w:r w:rsidRPr="00B535FF">
        <w:rPr>
          <w:lang w:val="en-CA"/>
        </w:rPr>
        <w:t xml:space="preserve"> 54.</w:t>
      </w:r>
    </w:p>
  </w:footnote>
  <w:footnote w:id="79">
    <w:p w14:paraId="2BCA3CF8" w14:textId="3E6F9430" w:rsidR="00D91D35" w:rsidRPr="00B535FF" w:rsidRDefault="00D91D35" w:rsidP="00D91D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 xml:space="preserve">Ibid. </w:t>
      </w:r>
      <w:r w:rsidRPr="00B535FF">
        <w:rPr>
          <w:lang w:val="en-CA"/>
        </w:rPr>
        <w:t>at para. 40.</w:t>
      </w:r>
    </w:p>
  </w:footnote>
  <w:footnote w:id="80">
    <w:p w14:paraId="5CCEAD31" w14:textId="77777777" w:rsidR="00D91D35" w:rsidRPr="00B535FF" w:rsidRDefault="00D91D35" w:rsidP="00D91D3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para. 37.</w:t>
      </w:r>
    </w:p>
  </w:footnote>
  <w:footnote w:id="81">
    <w:p w14:paraId="6B50FF9E" w14:textId="77777777" w:rsidR="00D91D35" w:rsidRPr="00F57A2B" w:rsidRDefault="00D91D35" w:rsidP="00D91D35">
      <w:pPr>
        <w:pStyle w:val="Notedebasdepage"/>
      </w:pPr>
      <w:r w:rsidRPr="00B535FF">
        <w:rPr>
          <w:rStyle w:val="Appelnotedebasdep"/>
          <w:lang w:val="en-CA"/>
        </w:rPr>
        <w:footnoteRef/>
      </w:r>
      <w:r w:rsidRPr="00B535FF">
        <w:rPr>
          <w:lang w:val="en-CA"/>
        </w:rPr>
        <w:t xml:space="preserve"> </w:t>
      </w:r>
      <w:r w:rsidRPr="00B535FF">
        <w:rPr>
          <w:lang w:val="en-CA"/>
        </w:rPr>
        <w:tab/>
      </w:r>
      <w:r w:rsidRPr="00B535FF">
        <w:rPr>
          <w:rStyle w:val="title1"/>
          <w:rFonts w:cs="Arial"/>
          <w:i/>
          <w:iCs/>
          <w:color w:val="000000"/>
          <w:lang w:val="en-CA"/>
        </w:rPr>
        <w:t>Gosselin</w:t>
      </w:r>
      <w:r w:rsidRPr="00B535FF">
        <w:rPr>
          <w:rStyle w:val="title1"/>
          <w:rFonts w:cs="Arial"/>
          <w:color w:val="000000"/>
          <w:lang w:val="en-CA"/>
        </w:rPr>
        <w:t xml:space="preserve"> </w:t>
      </w:r>
      <w:r w:rsidRPr="00B535FF">
        <w:rPr>
          <w:rStyle w:val="title1"/>
          <w:rFonts w:cs="Arial"/>
          <w:i/>
          <w:iCs/>
          <w:color w:val="000000"/>
          <w:lang w:val="en-CA"/>
        </w:rPr>
        <w:t>v.</w:t>
      </w:r>
      <w:r w:rsidRPr="00B535FF">
        <w:rPr>
          <w:rStyle w:val="title1"/>
          <w:rFonts w:cs="Arial"/>
          <w:color w:val="000000"/>
          <w:lang w:val="en-CA"/>
        </w:rPr>
        <w:t xml:space="preserve"> </w:t>
      </w:r>
      <w:r w:rsidRPr="00B535FF">
        <w:rPr>
          <w:rStyle w:val="title1"/>
          <w:rFonts w:cs="Arial"/>
          <w:i/>
          <w:iCs/>
          <w:color w:val="000000"/>
          <w:lang w:val="en-CA"/>
        </w:rPr>
        <w:t>Quebec (Attorney General)</w:t>
      </w:r>
      <w:r w:rsidRPr="00B535FF">
        <w:rPr>
          <w:rFonts w:cs="Arial"/>
          <w:color w:val="000000"/>
          <w:lang w:val="en-CA"/>
        </w:rPr>
        <w:t xml:space="preserve">, 2002 SCC 84 at para. </w:t>
      </w:r>
      <w:r w:rsidRPr="00F57A2B">
        <w:rPr>
          <w:rFonts w:cs="Arial"/>
          <w:color w:val="000000"/>
        </w:rPr>
        <w:t xml:space="preserve">430; </w:t>
      </w:r>
      <w:r w:rsidRPr="00F57A2B">
        <w:rPr>
          <w:rFonts w:cs="Arial"/>
          <w:i/>
          <w:iCs/>
          <w:color w:val="000000"/>
        </w:rPr>
        <w:t>Bombardier</w:t>
      </w:r>
      <w:r w:rsidRPr="00F57A2B">
        <w:rPr>
          <w:rFonts w:cs="Arial"/>
          <w:color w:val="000000"/>
        </w:rPr>
        <w:t xml:space="preserve">, </w:t>
      </w:r>
      <w:r w:rsidRPr="00F57A2B">
        <w:rPr>
          <w:rFonts w:cs="Arial"/>
          <w:i/>
          <w:iCs/>
          <w:color w:val="000000"/>
        </w:rPr>
        <w:t>i</w:t>
      </w:r>
      <w:r w:rsidRPr="00F57A2B">
        <w:rPr>
          <w:i/>
          <w:iCs/>
        </w:rPr>
        <w:t>bid.</w:t>
      </w:r>
      <w:r w:rsidRPr="00F57A2B">
        <w:rPr>
          <w:rFonts w:cs="Arial"/>
          <w:i/>
          <w:iCs/>
          <w:color w:val="000000"/>
        </w:rPr>
        <w:t xml:space="preserve"> </w:t>
      </w:r>
      <w:r w:rsidRPr="00F57A2B">
        <w:rPr>
          <w:rFonts w:cs="Arial"/>
          <w:color w:val="000000"/>
        </w:rPr>
        <w:t>at para. 53.</w:t>
      </w:r>
    </w:p>
  </w:footnote>
  <w:footnote w:id="82">
    <w:p w14:paraId="1195AD08" w14:textId="77777777" w:rsidR="00D91D35" w:rsidRPr="00F57A2B" w:rsidRDefault="00D91D35" w:rsidP="00D91D35">
      <w:pPr>
        <w:pStyle w:val="Notedebasdepage"/>
      </w:pPr>
      <w:r w:rsidRPr="00B535FF">
        <w:rPr>
          <w:rStyle w:val="Appelnotedebasdep"/>
          <w:lang w:val="en-CA"/>
        </w:rPr>
        <w:footnoteRef/>
      </w:r>
      <w:r w:rsidRPr="00F57A2B">
        <w:t xml:space="preserve"> </w:t>
      </w:r>
      <w:r w:rsidRPr="00F57A2B">
        <w:tab/>
      </w:r>
      <w:r w:rsidRPr="00F57A2B">
        <w:rPr>
          <w:rFonts w:cs="Arial"/>
          <w:i/>
          <w:iCs/>
          <w:color w:val="000000"/>
        </w:rPr>
        <w:t>Commission des droits de la personne et des droits de la jeunesse c. Nicolet (Ville de)</w:t>
      </w:r>
      <w:r w:rsidRPr="00F57A2B">
        <w:rPr>
          <w:rFonts w:cs="Arial"/>
          <w:color w:val="000000"/>
        </w:rPr>
        <w:t xml:space="preserve">, 2001 CanLII 88, at para. 65 (QC TDP), citing </w:t>
      </w:r>
      <w:r w:rsidRPr="00F57A2B">
        <w:rPr>
          <w:rFonts w:cs="Arial"/>
          <w:i/>
          <w:iCs/>
          <w:color w:val="000000"/>
        </w:rPr>
        <w:t>Québec (Commission des droits de la personne) c. Collège Mérici</w:t>
      </w:r>
      <w:r w:rsidRPr="00F57A2B">
        <w:rPr>
          <w:rFonts w:cs="Arial"/>
          <w:color w:val="000000"/>
        </w:rPr>
        <w:t>, 1990 CanLII 3828 (QC CQ) at 607.</w:t>
      </w:r>
    </w:p>
  </w:footnote>
  <w:footnote w:id="83">
    <w:p w14:paraId="1C857280" w14:textId="4FAC25ED" w:rsidR="00D91D35" w:rsidRPr="00F57A2B" w:rsidRDefault="00D91D35" w:rsidP="00D91D35">
      <w:pPr>
        <w:pStyle w:val="Notedebasdepage"/>
      </w:pPr>
      <w:r w:rsidRPr="00B535FF">
        <w:rPr>
          <w:rStyle w:val="Appelnotedebasdep"/>
          <w:lang w:val="en-CA"/>
        </w:rPr>
        <w:footnoteRef/>
      </w:r>
      <w:r w:rsidRPr="00F57A2B">
        <w:t xml:space="preserve"> </w:t>
      </w:r>
      <w:r w:rsidRPr="00F57A2B">
        <w:tab/>
      </w:r>
      <w:r w:rsidRPr="00F57A2B">
        <w:rPr>
          <w:i/>
          <w:iCs/>
        </w:rPr>
        <w:t>Commission des droits de la personne et des droits de la jeunesse (Arsenault) c. Institut Demers inc.</w:t>
      </w:r>
      <w:r w:rsidRPr="00F57A2B">
        <w:t>, 1999 CanLII 51 (QC TDP)</w:t>
      </w:r>
      <w:r w:rsidRPr="00F57A2B">
        <w:rPr>
          <w:rFonts w:cs="Arial"/>
          <w:color w:val="000000"/>
        </w:rPr>
        <w:t xml:space="preserve"> at para. 63.</w:t>
      </w:r>
    </w:p>
  </w:footnote>
  <w:footnote w:id="84">
    <w:p w14:paraId="6335F0D0" w14:textId="645B8F2A" w:rsidR="00D91D35" w:rsidRPr="0048531D" w:rsidRDefault="00D91D35" w:rsidP="00D91D35">
      <w:pPr>
        <w:pStyle w:val="Notedebasdepage"/>
      </w:pPr>
      <w:r w:rsidRPr="00B535FF">
        <w:rPr>
          <w:rStyle w:val="Appelnotedebasdep"/>
          <w:lang w:val="en-CA"/>
        </w:rPr>
        <w:footnoteRef/>
      </w:r>
      <w:r w:rsidRPr="00F57A2B">
        <w:t xml:space="preserve"> </w:t>
      </w:r>
      <w:r w:rsidRPr="00F57A2B">
        <w:tab/>
      </w:r>
      <w:r w:rsidRPr="00F57A2B">
        <w:rPr>
          <w:rFonts w:cs="Arial"/>
          <w:i/>
          <w:iCs/>
          <w:color w:val="000000"/>
        </w:rPr>
        <w:t>Gaz métropolitain inc</w:t>
      </w:r>
      <w:r w:rsidRPr="00F57A2B">
        <w:rPr>
          <w:rFonts w:cs="Arial"/>
          <w:color w:val="000000"/>
        </w:rPr>
        <w:t xml:space="preserve">., </w:t>
      </w:r>
      <w:r w:rsidRPr="00F57A2B">
        <w:rPr>
          <w:rFonts w:cs="Arial"/>
          <w:i/>
          <w:iCs/>
          <w:color w:val="000000"/>
        </w:rPr>
        <w:t>Commission des droits de la personne et des droits de la jeunesse c. Gaz métropolitain</w:t>
      </w:r>
      <w:r w:rsidRPr="00F57A2B">
        <w:rPr>
          <w:rFonts w:cs="Arial"/>
          <w:color w:val="000000"/>
        </w:rPr>
        <w:t xml:space="preserve">, 2008 QCTDP 24 at para. </w:t>
      </w:r>
      <w:r w:rsidRPr="0048531D">
        <w:rPr>
          <w:rFonts w:cs="Arial"/>
          <w:color w:val="000000"/>
        </w:rPr>
        <w:t>415, rev’d in part by 2011 QCCA 1201 [</w:t>
      </w:r>
      <w:r w:rsidRPr="0048531D">
        <w:rPr>
          <w:rFonts w:cs="Arial"/>
          <w:i/>
          <w:iCs/>
          <w:color w:val="000000"/>
        </w:rPr>
        <w:t>Gaz métropolitain</w:t>
      </w:r>
      <w:r w:rsidRPr="0048531D">
        <w:rPr>
          <w:rFonts w:cs="Arial"/>
          <w:color w:val="000000"/>
        </w:rPr>
        <w:t>].</w:t>
      </w:r>
    </w:p>
  </w:footnote>
  <w:footnote w:id="85">
    <w:p w14:paraId="57964010" w14:textId="52923307" w:rsidR="00D91D35" w:rsidRPr="00F04DCB" w:rsidRDefault="00D91D35" w:rsidP="00D91D35">
      <w:pPr>
        <w:pStyle w:val="Notedebasdepage"/>
      </w:pPr>
      <w:r w:rsidRPr="00B535FF">
        <w:rPr>
          <w:rStyle w:val="Appelnotedebasdep"/>
          <w:lang w:val="en-CA"/>
        </w:rPr>
        <w:footnoteRef/>
      </w:r>
      <w:r w:rsidRPr="00606709">
        <w:t xml:space="preserve"> </w:t>
      </w:r>
      <w:r w:rsidRPr="00606709">
        <w:tab/>
      </w:r>
      <w:r w:rsidRPr="00606709">
        <w:rPr>
          <w:i/>
          <w:iCs/>
        </w:rPr>
        <w:t>Bombardier</w:t>
      </w:r>
      <w:r w:rsidRPr="00606709">
        <w:t xml:space="preserve">, </w:t>
      </w:r>
      <w:r w:rsidRPr="00606709">
        <w:rPr>
          <w:i/>
          <w:iCs/>
        </w:rPr>
        <w:t>supra</w:t>
      </w:r>
      <w:r w:rsidRPr="00606709">
        <w:t xml:space="preserve"> note </w:t>
      </w:r>
      <w:r w:rsidRPr="00B535FF">
        <w:rPr>
          <w:lang w:val="en-CA"/>
        </w:rPr>
        <w:fldChar w:fldCharType="begin"/>
      </w:r>
      <w:r w:rsidRPr="00606709">
        <w:instrText xml:space="preserve"> NOTEREF _Ref168401148 \h </w:instrText>
      </w:r>
      <w:r w:rsidRPr="00B535FF">
        <w:rPr>
          <w:lang w:val="en-CA"/>
        </w:rPr>
      </w:r>
      <w:r w:rsidRPr="00B535FF">
        <w:rPr>
          <w:lang w:val="en-CA"/>
        </w:rPr>
        <w:fldChar w:fldCharType="separate"/>
      </w:r>
      <w:r w:rsidR="00034ABA">
        <w:t>75</w:t>
      </w:r>
      <w:r w:rsidRPr="00B535FF">
        <w:rPr>
          <w:lang w:val="en-CA"/>
        </w:rPr>
        <w:fldChar w:fldCharType="end"/>
      </w:r>
      <w:r w:rsidRPr="00606709">
        <w:t xml:space="preserve"> at para. </w:t>
      </w:r>
      <w:r w:rsidRPr="00F04DCB">
        <w:t>37.</w:t>
      </w:r>
    </w:p>
  </w:footnote>
  <w:footnote w:id="86">
    <w:p w14:paraId="5D0350BE" w14:textId="563A3CCF" w:rsidR="00C96B39" w:rsidRPr="00B535FF" w:rsidRDefault="00E641F1" w:rsidP="00C96B39">
      <w:pPr>
        <w:pStyle w:val="Notedebasdepage"/>
        <w:rPr>
          <w:lang w:val="en-CA"/>
        </w:rPr>
      </w:pPr>
      <w:r w:rsidRPr="00B535FF">
        <w:rPr>
          <w:rStyle w:val="Appelnotedebasdep"/>
          <w:lang w:val="en-CA"/>
        </w:rPr>
        <w:footnoteRef/>
      </w:r>
      <w:r w:rsidRPr="00F04DCB">
        <w:t xml:space="preserve"> </w:t>
      </w:r>
      <w:r w:rsidRPr="00F04DCB">
        <w:tab/>
      </w:r>
      <w:r w:rsidR="005E30B6" w:rsidRPr="00F04DCB">
        <w:rPr>
          <w:i/>
          <w:iCs/>
        </w:rPr>
        <w:t>British Columbia</w:t>
      </w:r>
      <w:r w:rsidR="009D60F2" w:rsidRPr="00F04DCB">
        <w:rPr>
          <w:i/>
          <w:iCs/>
        </w:rPr>
        <w:t xml:space="preserve"> (Public Service Employee Relations Commission) </w:t>
      </w:r>
      <w:r w:rsidR="005E30B6" w:rsidRPr="00F04DCB">
        <w:rPr>
          <w:i/>
          <w:iCs/>
        </w:rPr>
        <w:t>v</w:t>
      </w:r>
      <w:r w:rsidR="009D60F2" w:rsidRPr="00F04DCB">
        <w:rPr>
          <w:i/>
          <w:iCs/>
        </w:rPr>
        <w:t>. BCGSEU</w:t>
      </w:r>
      <w:r w:rsidRPr="00F04DCB">
        <w:t>, 1999 CanLII 652 (S</w:t>
      </w:r>
      <w:r w:rsidR="005E30B6" w:rsidRPr="00F04DCB">
        <w:t>C</w:t>
      </w:r>
      <w:r w:rsidRPr="00F04DCB">
        <w:t>C), [1999] 3 </w:t>
      </w:r>
      <w:r w:rsidR="005E30B6" w:rsidRPr="00F04DCB">
        <w:t>SCR</w:t>
      </w:r>
      <w:r w:rsidRPr="00F04DCB">
        <w:t xml:space="preserve"> 3 </w:t>
      </w:r>
      <w:r w:rsidR="00614461" w:rsidRPr="00F04DCB">
        <w:t>at para.</w:t>
      </w:r>
      <w:r w:rsidRPr="00F04DCB">
        <w:t xml:space="preserve"> </w:t>
      </w:r>
      <w:r w:rsidRPr="00B535FF">
        <w:rPr>
          <w:lang w:val="en-CA"/>
        </w:rPr>
        <w:t xml:space="preserve">54 </w:t>
      </w:r>
      <w:r w:rsidR="003651C4" w:rsidRPr="00B535FF">
        <w:rPr>
          <w:rFonts w:cs="Arial"/>
          <w:lang w:val="en-CA"/>
        </w:rPr>
        <w:t>[</w:t>
      </w:r>
      <w:r w:rsidRPr="00B535FF">
        <w:rPr>
          <w:i/>
          <w:iCs/>
          <w:lang w:val="en-CA"/>
        </w:rPr>
        <w:t>BCGSEU</w:t>
      </w:r>
      <w:r w:rsidR="003651C4" w:rsidRPr="00B535FF">
        <w:rPr>
          <w:rFonts w:cs="Arial"/>
          <w:lang w:val="en-CA"/>
        </w:rPr>
        <w:t>]</w:t>
      </w:r>
      <w:r w:rsidRPr="00B535FF">
        <w:rPr>
          <w:lang w:val="en-CA"/>
        </w:rPr>
        <w:t>.</w:t>
      </w:r>
    </w:p>
  </w:footnote>
  <w:footnote w:id="87">
    <w:p w14:paraId="2D18233B" w14:textId="77777777" w:rsidR="00C127DA" w:rsidRPr="00B535FF" w:rsidRDefault="00C127DA" w:rsidP="00C127DA">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para. 62.</w:t>
      </w:r>
    </w:p>
  </w:footnote>
  <w:footnote w:id="88">
    <w:p w14:paraId="11654F3F" w14:textId="0EA0D9B2" w:rsidR="00C127DA" w:rsidRPr="00F57A2B" w:rsidRDefault="00C127DA" w:rsidP="00C127DA">
      <w:pPr>
        <w:pStyle w:val="Notedebasdepage"/>
      </w:pPr>
      <w:r w:rsidRPr="00B535FF">
        <w:rPr>
          <w:rStyle w:val="Appelnotedebasdep"/>
          <w:lang w:val="en-CA"/>
        </w:rPr>
        <w:footnoteRef/>
      </w:r>
      <w:r w:rsidRPr="00B535FF">
        <w:rPr>
          <w:lang w:val="en-CA"/>
        </w:rPr>
        <w:t xml:space="preserve"> </w:t>
      </w:r>
      <w:r w:rsidRPr="00B535FF">
        <w:rPr>
          <w:lang w:val="en-CA"/>
        </w:rPr>
        <w:tab/>
        <w:t xml:space="preserve">Affidavit of E.B., June </w:t>
      </w:r>
      <w:r w:rsidR="006F11C9">
        <w:rPr>
          <w:lang w:val="en-CA"/>
        </w:rPr>
        <w:t xml:space="preserve">9, </w:t>
      </w:r>
      <w:r w:rsidRPr="00B535FF">
        <w:rPr>
          <w:lang w:val="en-CA"/>
        </w:rPr>
        <w:t>2023</w:t>
      </w:r>
      <w:r w:rsidR="006F11C9">
        <w:rPr>
          <w:lang w:val="en-CA"/>
        </w:rPr>
        <w:t>,</w:t>
      </w:r>
      <w:r w:rsidRPr="00B535FF">
        <w:rPr>
          <w:lang w:val="en-CA"/>
        </w:rPr>
        <w:t xml:space="preserve"> at para. </w:t>
      </w:r>
      <w:r w:rsidRPr="00F57A2B">
        <w:t>40.</w:t>
      </w:r>
    </w:p>
  </w:footnote>
  <w:footnote w:id="89">
    <w:p w14:paraId="64252CFC" w14:textId="7379FA0E" w:rsidR="003651C4" w:rsidRPr="00F57A2B" w:rsidRDefault="003651C4" w:rsidP="003651C4">
      <w:pPr>
        <w:pStyle w:val="Notedebasdepage"/>
      </w:pPr>
      <w:r w:rsidRPr="00B535FF">
        <w:rPr>
          <w:rStyle w:val="Appelnotedebasdep"/>
          <w:lang w:val="en-CA"/>
        </w:rPr>
        <w:footnoteRef/>
      </w:r>
      <w:r w:rsidRPr="00252A82">
        <w:t xml:space="preserve"> </w:t>
      </w:r>
      <w:r w:rsidRPr="00252A82">
        <w:tab/>
      </w:r>
      <w:r w:rsidRPr="00252A82">
        <w:rPr>
          <w:i/>
          <w:iCs/>
        </w:rPr>
        <w:t>BCGSEU</w:t>
      </w:r>
      <w:r w:rsidRPr="00252A82">
        <w:t xml:space="preserve">, </w:t>
      </w:r>
      <w:r w:rsidRPr="00252A82">
        <w:rPr>
          <w:i/>
          <w:iCs/>
        </w:rPr>
        <w:t>supra</w:t>
      </w:r>
      <w:r w:rsidRPr="00252A82">
        <w:t xml:space="preserve"> note </w:t>
      </w:r>
      <w:r w:rsidRPr="00B535FF">
        <w:rPr>
          <w:lang w:val="en-CA"/>
        </w:rPr>
        <w:fldChar w:fldCharType="begin"/>
      </w:r>
      <w:r w:rsidRPr="00252A82">
        <w:instrText xml:space="preserve"> NOTEREF _Ref163037914 \h </w:instrText>
      </w:r>
      <w:r w:rsidRPr="00B535FF">
        <w:rPr>
          <w:lang w:val="en-CA"/>
        </w:rPr>
      </w:r>
      <w:r w:rsidRPr="00B535FF">
        <w:rPr>
          <w:lang w:val="en-CA"/>
        </w:rPr>
        <w:fldChar w:fldCharType="separate"/>
      </w:r>
      <w:r w:rsidR="00034ABA">
        <w:t>86</w:t>
      </w:r>
      <w:r w:rsidRPr="00B535FF">
        <w:rPr>
          <w:lang w:val="en-CA"/>
        </w:rPr>
        <w:fldChar w:fldCharType="end"/>
      </w:r>
      <w:r w:rsidRPr="00252A82">
        <w:t xml:space="preserve"> at paras. </w:t>
      </w:r>
      <w:r w:rsidRPr="00F57A2B">
        <w:t>2, 18</w:t>
      </w:r>
      <w:r w:rsidR="00E275B5" w:rsidRPr="00F57A2B">
        <w:t>,</w:t>
      </w:r>
      <w:r w:rsidRPr="00F57A2B">
        <w:t xml:space="preserve"> and 79; </w:t>
      </w:r>
      <w:r w:rsidRPr="00F57A2B">
        <w:rPr>
          <w:i/>
          <w:iCs/>
        </w:rPr>
        <w:t xml:space="preserve">Commission des droits de la personne et des droits de la jeunesse c. 9185-2152 Québec inc., </w:t>
      </w:r>
      <w:r w:rsidRPr="00F57A2B">
        <w:t>2015 QCCA 577 at paras. 56</w:t>
      </w:r>
      <w:r w:rsidR="004372E2">
        <w:t>-</w:t>
      </w:r>
      <w:r w:rsidRPr="00F57A2B">
        <w:t>57, 66</w:t>
      </w:r>
      <w:r w:rsidR="006F11C9" w:rsidRPr="00F57A2B">
        <w:t>,</w:t>
      </w:r>
      <w:r w:rsidRPr="00F57A2B">
        <w:t xml:space="preserve"> and 68 </w:t>
      </w:r>
      <w:r w:rsidR="003F24FF" w:rsidRPr="00F57A2B">
        <w:rPr>
          <w:rFonts w:cs="Arial"/>
        </w:rPr>
        <w:t>[</w:t>
      </w:r>
      <w:r w:rsidRPr="00F57A2B">
        <w:rPr>
          <w:i/>
          <w:iCs/>
        </w:rPr>
        <w:t>Radio Lounge Brossard</w:t>
      </w:r>
      <w:r w:rsidR="003F24FF" w:rsidRPr="00F57A2B">
        <w:rPr>
          <w:rFonts w:cs="Arial"/>
        </w:rPr>
        <w:t>]</w:t>
      </w:r>
      <w:r w:rsidRPr="00F57A2B">
        <w:t xml:space="preserve">; </w:t>
      </w:r>
      <w:r w:rsidRPr="00F57A2B">
        <w:rPr>
          <w:i/>
          <w:iCs/>
        </w:rPr>
        <w:t>Commission des droits de la personne et des droits de la jeunesse (Bencheqroun) c. Société de transport de Montréal</w:t>
      </w:r>
      <w:r w:rsidRPr="00F57A2B">
        <w:t xml:space="preserve">, 2020 QCCA 602 at para. 31; </w:t>
      </w:r>
      <w:r w:rsidRPr="00F57A2B">
        <w:rPr>
          <w:i/>
          <w:iCs/>
        </w:rPr>
        <w:t>Commission des droits de la personne et des droits de la jeunesse (M.R.) c. Société de transport de Montréal (STM)</w:t>
      </w:r>
      <w:r w:rsidRPr="00F57A2B">
        <w:t>, 2021 QCTDP 35 at para. 95.</w:t>
      </w:r>
    </w:p>
  </w:footnote>
  <w:footnote w:id="90">
    <w:p w14:paraId="2FAE3B47" w14:textId="77777777" w:rsidR="003651C4" w:rsidRPr="00F57A2B" w:rsidRDefault="003651C4" w:rsidP="003651C4">
      <w:pPr>
        <w:pStyle w:val="Notedebasdepage"/>
      </w:pPr>
      <w:r w:rsidRPr="00B535FF">
        <w:rPr>
          <w:rStyle w:val="Appelnotedebasdep"/>
          <w:lang w:val="en-CA"/>
        </w:rPr>
        <w:footnoteRef/>
      </w:r>
      <w:r w:rsidRPr="00F57A2B">
        <w:t xml:space="preserve"> </w:t>
      </w:r>
      <w:r w:rsidRPr="00F57A2B">
        <w:tab/>
      </w:r>
      <w:r w:rsidRPr="00F57A2B">
        <w:rPr>
          <w:i/>
          <w:iCs/>
        </w:rPr>
        <w:t>Commission des droits de la personne et des droits de la jeunesse (Houle) c. Camping du Lac Morin (9166-5018 Québec inc.)</w:t>
      </w:r>
      <w:r w:rsidRPr="00F57A2B">
        <w:t xml:space="preserve">, 2021 QCTDP 19 </w:t>
      </w:r>
      <w:r w:rsidRPr="00F57A2B">
        <w:rPr>
          <w:rFonts w:cs="Arial"/>
        </w:rPr>
        <w:t>[</w:t>
      </w:r>
      <w:r w:rsidRPr="00F57A2B">
        <w:rPr>
          <w:i/>
          <w:iCs/>
        </w:rPr>
        <w:t>Camping du Lac Morin</w:t>
      </w:r>
      <w:r w:rsidRPr="00F57A2B">
        <w:rPr>
          <w:rFonts w:cs="Arial"/>
        </w:rPr>
        <w:t>]</w:t>
      </w:r>
      <w:r w:rsidRPr="00F57A2B">
        <w:t>.</w:t>
      </w:r>
    </w:p>
  </w:footnote>
  <w:footnote w:id="91">
    <w:p w14:paraId="1F449288" w14:textId="77777777" w:rsidR="003651C4" w:rsidRPr="00F57A2B" w:rsidRDefault="003651C4" w:rsidP="003651C4">
      <w:pPr>
        <w:pStyle w:val="Notedebasdepage"/>
      </w:pPr>
      <w:r w:rsidRPr="00B535FF">
        <w:rPr>
          <w:rStyle w:val="Appelnotedebasdep"/>
          <w:lang w:val="en-CA"/>
        </w:rPr>
        <w:footnoteRef/>
      </w:r>
      <w:r w:rsidRPr="00F57A2B">
        <w:t xml:space="preserve"> </w:t>
      </w:r>
      <w:r w:rsidRPr="00F57A2B">
        <w:tab/>
      </w:r>
      <w:r w:rsidRPr="00F57A2B">
        <w:rPr>
          <w:i/>
          <w:iCs/>
        </w:rPr>
        <w:t>Ibid.</w:t>
      </w:r>
      <w:r w:rsidRPr="00F57A2B">
        <w:t xml:space="preserve"> at para. 93.</w:t>
      </w:r>
    </w:p>
  </w:footnote>
  <w:footnote w:id="92">
    <w:p w14:paraId="306A5B15" w14:textId="77777777" w:rsidR="003651C4" w:rsidRPr="00F57A2B" w:rsidRDefault="003651C4" w:rsidP="003651C4">
      <w:pPr>
        <w:pStyle w:val="Notedebasdepage"/>
      </w:pPr>
      <w:r w:rsidRPr="00B535FF">
        <w:rPr>
          <w:rStyle w:val="Appelnotedebasdep"/>
          <w:lang w:val="en-CA"/>
        </w:rPr>
        <w:footnoteRef/>
      </w:r>
      <w:r w:rsidRPr="00F57A2B">
        <w:t xml:space="preserve"> </w:t>
      </w:r>
      <w:r w:rsidRPr="00F57A2B">
        <w:tab/>
      </w:r>
      <w:r w:rsidRPr="00F57A2B">
        <w:rPr>
          <w:i/>
          <w:iCs/>
        </w:rPr>
        <w:t>Commission des droits de la personne et des droits de la jeunesse (Samson-Thibault) c. Ville de Québec</w:t>
      </w:r>
      <w:r w:rsidRPr="00F57A2B">
        <w:t>, 2023 QCTDP 2.</w:t>
      </w:r>
    </w:p>
  </w:footnote>
  <w:footnote w:id="93">
    <w:p w14:paraId="08D20C21" w14:textId="77777777" w:rsidR="003651C4" w:rsidRPr="00B535FF" w:rsidRDefault="003651C4" w:rsidP="003651C4">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para. 426.</w:t>
      </w:r>
    </w:p>
  </w:footnote>
  <w:footnote w:id="94">
    <w:p w14:paraId="6CC4BCB5" w14:textId="22D570DD" w:rsidR="003651C4" w:rsidRPr="0048531D" w:rsidRDefault="003651C4" w:rsidP="003651C4">
      <w:pPr>
        <w:pStyle w:val="Notedebasdepage"/>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paras. </w:t>
      </w:r>
      <w:r w:rsidRPr="0048531D">
        <w:t>186</w:t>
      </w:r>
      <w:r w:rsidR="00A80363">
        <w:t>-</w:t>
      </w:r>
      <w:r w:rsidRPr="0048531D">
        <w:t>188.</w:t>
      </w:r>
    </w:p>
  </w:footnote>
  <w:footnote w:id="95">
    <w:p w14:paraId="3E57E60D" w14:textId="246A6B4F" w:rsidR="003651C4" w:rsidRPr="00252A82" w:rsidRDefault="003651C4" w:rsidP="003651C4">
      <w:pPr>
        <w:pStyle w:val="Notedebasdepage"/>
      </w:pPr>
      <w:r w:rsidRPr="00B535FF">
        <w:rPr>
          <w:rStyle w:val="Appelnotedebasdep"/>
          <w:lang w:val="en-CA"/>
        </w:rPr>
        <w:footnoteRef/>
      </w:r>
      <w:r w:rsidRPr="00252A82">
        <w:t xml:space="preserve"> </w:t>
      </w:r>
      <w:r w:rsidRPr="00252A82">
        <w:tab/>
      </w:r>
      <w:r w:rsidRPr="00252A82">
        <w:rPr>
          <w:i/>
          <w:iCs/>
        </w:rPr>
        <w:t>Camping du Lac Morin</w:t>
      </w:r>
      <w:r w:rsidRPr="00252A82">
        <w:t xml:space="preserve">, </w:t>
      </w:r>
      <w:r w:rsidRPr="00252A82">
        <w:rPr>
          <w:i/>
          <w:iCs/>
        </w:rPr>
        <w:t>supra</w:t>
      </w:r>
      <w:r w:rsidRPr="00252A82">
        <w:t xml:space="preserve"> note </w:t>
      </w:r>
      <w:r w:rsidRPr="00B535FF">
        <w:rPr>
          <w:lang w:val="en-CA"/>
        </w:rPr>
        <w:fldChar w:fldCharType="begin"/>
      </w:r>
      <w:r w:rsidRPr="00252A82">
        <w:instrText xml:space="preserve"> NOTEREF _Ref168401459 \h </w:instrText>
      </w:r>
      <w:r w:rsidRPr="00B535FF">
        <w:rPr>
          <w:lang w:val="en-CA"/>
        </w:rPr>
      </w:r>
      <w:r w:rsidRPr="00B535FF">
        <w:rPr>
          <w:lang w:val="en-CA"/>
        </w:rPr>
        <w:fldChar w:fldCharType="separate"/>
      </w:r>
      <w:r w:rsidR="00034ABA">
        <w:t>90</w:t>
      </w:r>
      <w:r w:rsidRPr="00B535FF">
        <w:rPr>
          <w:lang w:val="en-CA"/>
        </w:rPr>
        <w:fldChar w:fldCharType="end"/>
      </w:r>
      <w:r w:rsidRPr="00252A82">
        <w:t>.</w:t>
      </w:r>
    </w:p>
  </w:footnote>
  <w:footnote w:id="96">
    <w:p w14:paraId="63D63BCD" w14:textId="7EC60C76" w:rsidR="003651C4" w:rsidRPr="00B535FF" w:rsidRDefault="003651C4" w:rsidP="003651C4">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Act respecting occupational health and safety</w:t>
      </w:r>
      <w:r w:rsidRPr="00B535FF">
        <w:rPr>
          <w:lang w:val="en-CA"/>
        </w:rPr>
        <w:t xml:space="preserve">, CQLR, c. S-2.1 </w:t>
      </w:r>
      <w:r w:rsidR="006F11C9">
        <w:rPr>
          <w:rFonts w:cs="Arial"/>
          <w:lang w:val="en-CA"/>
        </w:rPr>
        <w:t>[</w:t>
      </w:r>
      <w:r w:rsidRPr="00B535FF">
        <w:rPr>
          <w:i/>
          <w:iCs/>
          <w:lang w:val="en-CA"/>
        </w:rPr>
        <w:t>AOHS</w:t>
      </w:r>
      <w:r w:rsidR="006F11C9">
        <w:rPr>
          <w:rFonts w:cs="Arial"/>
          <w:lang w:val="en-CA"/>
        </w:rPr>
        <w:t>]</w:t>
      </w:r>
      <w:r w:rsidRPr="00B535FF">
        <w:rPr>
          <w:lang w:val="en-CA"/>
        </w:rPr>
        <w:t>.</w:t>
      </w:r>
    </w:p>
  </w:footnote>
  <w:footnote w:id="97">
    <w:p w14:paraId="35971DC5" w14:textId="77777777" w:rsidR="00216F25" w:rsidRPr="00F57A2B" w:rsidRDefault="00216F25" w:rsidP="00216F25">
      <w:pPr>
        <w:pStyle w:val="Notedebasdepage"/>
      </w:pPr>
      <w:r w:rsidRPr="00B535FF">
        <w:rPr>
          <w:rStyle w:val="Appelnotedebasdep"/>
          <w:lang w:val="en-CA"/>
        </w:rPr>
        <w:footnoteRef/>
      </w:r>
      <w:r w:rsidRPr="00F57A2B">
        <w:t xml:space="preserve"> </w:t>
      </w:r>
      <w:r w:rsidRPr="00F57A2B">
        <w:tab/>
        <w:t xml:space="preserve">Section 51(1) </w:t>
      </w:r>
      <w:r w:rsidRPr="00F57A2B">
        <w:rPr>
          <w:i/>
          <w:iCs/>
        </w:rPr>
        <w:t>AOHS</w:t>
      </w:r>
      <w:r w:rsidRPr="00F57A2B">
        <w:t>.</w:t>
      </w:r>
    </w:p>
  </w:footnote>
  <w:footnote w:id="98">
    <w:p w14:paraId="0E24D274" w14:textId="77777777" w:rsidR="00216F25" w:rsidRPr="00F57A2B" w:rsidRDefault="00216F25" w:rsidP="00216F25">
      <w:pPr>
        <w:pStyle w:val="Notedebasdepage"/>
      </w:pPr>
      <w:r w:rsidRPr="00B535FF">
        <w:rPr>
          <w:rStyle w:val="Appelnotedebasdep"/>
          <w:lang w:val="en-CA"/>
        </w:rPr>
        <w:footnoteRef/>
      </w:r>
      <w:r w:rsidRPr="00F57A2B">
        <w:t xml:space="preserve"> </w:t>
      </w:r>
      <w:r w:rsidRPr="00F57A2B">
        <w:tab/>
        <w:t xml:space="preserve">Section 51(16) </w:t>
      </w:r>
      <w:r w:rsidRPr="00F57A2B">
        <w:rPr>
          <w:i/>
          <w:iCs/>
        </w:rPr>
        <w:t>AOHS</w:t>
      </w:r>
      <w:r w:rsidRPr="00F57A2B">
        <w:t>.</w:t>
      </w:r>
    </w:p>
  </w:footnote>
  <w:footnote w:id="99">
    <w:p w14:paraId="30D493B6" w14:textId="42948508" w:rsidR="00216F25" w:rsidRPr="00F57A2B" w:rsidRDefault="00216F25" w:rsidP="00216F25">
      <w:pPr>
        <w:pStyle w:val="Notedebasdepage"/>
      </w:pPr>
      <w:r w:rsidRPr="00B535FF">
        <w:rPr>
          <w:rStyle w:val="Appelnotedebasdep"/>
          <w:lang w:val="en-CA"/>
        </w:rPr>
        <w:footnoteRef/>
      </w:r>
      <w:r w:rsidRPr="00F57A2B">
        <w:t xml:space="preserve"> </w:t>
      </w:r>
      <w:r w:rsidRPr="00F57A2B">
        <w:tab/>
      </w:r>
      <w:r w:rsidRPr="00F57A2B">
        <w:rPr>
          <w:i/>
          <w:iCs/>
        </w:rPr>
        <w:t>Domtar inc.</w:t>
      </w:r>
      <w:r w:rsidRPr="00F57A2B">
        <w:t xml:space="preserve"> </w:t>
      </w:r>
      <w:r w:rsidRPr="00F57A2B">
        <w:rPr>
          <w:i/>
          <w:iCs/>
        </w:rPr>
        <w:t>c.</w:t>
      </w:r>
      <w:r w:rsidRPr="00F57A2B">
        <w:t xml:space="preserve"> </w:t>
      </w:r>
      <w:r w:rsidRPr="00F57A2B">
        <w:rPr>
          <w:i/>
          <w:iCs/>
        </w:rPr>
        <w:t>Commission d’appel en matière de lésions professionnelles du Québec</w:t>
      </w:r>
      <w:r w:rsidRPr="00F57A2B">
        <w:t xml:space="preserve">, 1990 CanLII 3151 (QC CA) </w:t>
      </w:r>
      <w:r w:rsidRPr="00F57A2B">
        <w:rPr>
          <w:rFonts w:cs="Arial"/>
        </w:rPr>
        <w:t>[</w:t>
      </w:r>
      <w:r w:rsidRPr="00F57A2B">
        <w:rPr>
          <w:i/>
          <w:iCs/>
        </w:rPr>
        <w:t>Domtar</w:t>
      </w:r>
      <w:r w:rsidRPr="00F57A2B">
        <w:rPr>
          <w:rFonts w:cs="Arial"/>
        </w:rPr>
        <w:t>]</w:t>
      </w:r>
      <w:r w:rsidRPr="00F57A2B">
        <w:t>. See also:</w:t>
      </w:r>
      <w:r w:rsidRPr="00F57A2B">
        <w:rPr>
          <w:i/>
          <w:iCs/>
        </w:rPr>
        <w:t xml:space="preserve"> Dollarama, s.e.c. #111 et Commission de la santé et de la sécurité du travail</w:t>
      </w:r>
      <w:r w:rsidRPr="00F57A2B">
        <w:t xml:space="preserve">, 2014 QCCLP 6679 (application for judicial review dismissed, </w:t>
      </w:r>
      <w:r w:rsidRPr="00F57A2B">
        <w:rPr>
          <w:rFonts w:cs="Arial"/>
          <w:shd w:val="clear" w:color="auto" w:fill="FFFFFF"/>
        </w:rPr>
        <w:t>TAT, 07-03-2016, 472124-62-1205-3R; application for judicial review, S</w:t>
      </w:r>
      <w:r w:rsidR="00606E65" w:rsidRPr="00F57A2B">
        <w:rPr>
          <w:rFonts w:cs="Arial"/>
          <w:shd w:val="clear" w:color="auto" w:fill="FFFFFF"/>
        </w:rPr>
        <w:t>up. Ct.</w:t>
      </w:r>
      <w:r w:rsidRPr="00F57A2B">
        <w:rPr>
          <w:rFonts w:cs="Arial"/>
          <w:shd w:val="clear" w:color="auto" w:fill="FFFFFF"/>
        </w:rPr>
        <w:t>,</w:t>
      </w:r>
      <w:r w:rsidRPr="00F57A2B">
        <w:t xml:space="preserve"> 15-06-</w:t>
      </w:r>
      <w:r w:rsidRPr="00F57A2B">
        <w:rPr>
          <w:rFonts w:cs="Arial"/>
          <w:shd w:val="clear" w:color="auto" w:fill="FFFFFF"/>
        </w:rPr>
        <w:t>2018, 500-17-093376-161 - discontinued)</w:t>
      </w:r>
      <w:r w:rsidRPr="00F57A2B">
        <w:t xml:space="preserve"> </w:t>
      </w:r>
      <w:r w:rsidR="003F24FF" w:rsidRPr="00F57A2B">
        <w:rPr>
          <w:rFonts w:cs="Arial"/>
        </w:rPr>
        <w:t>[</w:t>
      </w:r>
      <w:r w:rsidRPr="00F57A2B">
        <w:rPr>
          <w:i/>
          <w:iCs/>
        </w:rPr>
        <w:t>Dollarama</w:t>
      </w:r>
      <w:r w:rsidR="003F24FF" w:rsidRPr="00F57A2B">
        <w:rPr>
          <w:rFonts w:cs="Arial"/>
        </w:rPr>
        <w:t>]</w:t>
      </w:r>
      <w:r w:rsidRPr="00F57A2B">
        <w:t>.</w:t>
      </w:r>
    </w:p>
  </w:footnote>
  <w:footnote w:id="100">
    <w:p w14:paraId="15C765C1" w14:textId="049F5338" w:rsidR="00216F25" w:rsidRPr="002C3110" w:rsidRDefault="00216F25" w:rsidP="00216F25">
      <w:pPr>
        <w:pStyle w:val="Notedebasdepage"/>
        <w:rPr>
          <w:lang w:val="en-CA"/>
        </w:rPr>
      </w:pPr>
      <w:r w:rsidRPr="00B535FF">
        <w:rPr>
          <w:rStyle w:val="Appelnotedebasdep"/>
          <w:lang w:val="en-CA"/>
        </w:rPr>
        <w:footnoteRef/>
      </w:r>
      <w:r w:rsidRPr="00F57A2B">
        <w:t xml:space="preserve"> </w:t>
      </w:r>
      <w:r w:rsidRPr="00F57A2B">
        <w:tab/>
        <w:t xml:space="preserve">See in particular: </w:t>
      </w:r>
      <w:r w:rsidRPr="00F57A2B">
        <w:rPr>
          <w:i/>
          <w:iCs/>
        </w:rPr>
        <w:t>Commission des normes, de l’équité, de la santé et de la sécurité du travail (CNESST) c. Brasserie Knowlton</w:t>
      </w:r>
      <w:r w:rsidRPr="00F57A2B">
        <w:t xml:space="preserve">, 2023 QCCQ 9840 at para. 4 </w:t>
      </w:r>
      <w:r w:rsidR="003F24FF" w:rsidRPr="00F57A2B">
        <w:rPr>
          <w:rFonts w:cs="Arial"/>
        </w:rPr>
        <w:t>[</w:t>
      </w:r>
      <w:r w:rsidRPr="00F57A2B">
        <w:rPr>
          <w:i/>
          <w:iCs/>
        </w:rPr>
        <w:t>Brasserie Knowlton</w:t>
      </w:r>
      <w:r w:rsidR="003F24FF" w:rsidRPr="00F57A2B">
        <w:rPr>
          <w:rFonts w:cs="Arial"/>
        </w:rPr>
        <w:t>]</w:t>
      </w:r>
      <w:r w:rsidRPr="00F57A2B">
        <w:t xml:space="preserve">; </w:t>
      </w:r>
      <w:r w:rsidRPr="00F57A2B">
        <w:rPr>
          <w:i/>
          <w:iCs/>
        </w:rPr>
        <w:t>Commission des normes, de l’équité, de la santé et de la sécurité du travail c. 9398-7113 Québec inc</w:t>
      </w:r>
      <w:r w:rsidRPr="00F57A2B">
        <w:t xml:space="preserve">., 2023 QCCQ 5261 at para. 24; </w:t>
      </w:r>
      <w:r w:rsidRPr="00F57A2B">
        <w:rPr>
          <w:i/>
          <w:iCs/>
        </w:rPr>
        <w:t>Professionnel(le)s en soins de santé unis (PSSU-FIQP) et CHSLD Vigi Reine-Élizabeth</w:t>
      </w:r>
      <w:r w:rsidRPr="00F57A2B">
        <w:t>, 2021 QCTAT 1401 at paras. 85</w:t>
      </w:r>
      <w:r w:rsidR="00A80363">
        <w:t>-</w:t>
      </w:r>
      <w:r w:rsidRPr="00F57A2B">
        <w:t xml:space="preserve">93; </w:t>
      </w:r>
      <w:r w:rsidRPr="00F57A2B">
        <w:rPr>
          <w:i/>
          <w:iCs/>
        </w:rPr>
        <w:t>Union des employés et employées de service, section locale 800 c</w:t>
      </w:r>
      <w:r w:rsidRPr="00F57A2B">
        <w:t>.</w:t>
      </w:r>
      <w:r w:rsidRPr="00F57A2B">
        <w:rPr>
          <w:i/>
          <w:iCs/>
        </w:rPr>
        <w:t xml:space="preserve"> Services ménagers Roy ltée.</w:t>
      </w:r>
      <w:r w:rsidRPr="00F57A2B">
        <w:t xml:space="preserve">, 2021 CanLII 114756 (QC SAT) at paras. </w:t>
      </w:r>
      <w:r w:rsidRPr="002C3110">
        <w:rPr>
          <w:lang w:val="en-CA"/>
        </w:rPr>
        <w:t>52</w:t>
      </w:r>
      <w:r w:rsidR="00A80363" w:rsidRPr="00F04DCB">
        <w:rPr>
          <w:lang w:val="en-CA"/>
        </w:rPr>
        <w:t>-</w:t>
      </w:r>
      <w:r w:rsidRPr="002C3110">
        <w:rPr>
          <w:lang w:val="en-CA"/>
        </w:rPr>
        <w:t>59.</w:t>
      </w:r>
    </w:p>
  </w:footnote>
  <w:footnote w:id="101">
    <w:p w14:paraId="01E00F88" w14:textId="18764D73" w:rsidR="00216F25" w:rsidRPr="0048531D" w:rsidRDefault="00216F25" w:rsidP="00216F25">
      <w:pPr>
        <w:pStyle w:val="Notedebasdepage"/>
      </w:pPr>
      <w:r w:rsidRPr="00B535FF">
        <w:rPr>
          <w:rStyle w:val="Appelnotedebasdep"/>
          <w:lang w:val="en-CA"/>
        </w:rPr>
        <w:footnoteRef/>
      </w:r>
      <w:r w:rsidRPr="00B535FF">
        <w:rPr>
          <w:lang w:val="en-CA"/>
        </w:rPr>
        <w:t xml:space="preserve"> </w:t>
      </w:r>
      <w:r w:rsidRPr="00B535FF">
        <w:rPr>
          <w:lang w:val="en-CA"/>
        </w:rPr>
        <w:tab/>
      </w:r>
      <w:r w:rsidRPr="00B535FF">
        <w:rPr>
          <w:i/>
          <w:iCs/>
          <w:lang w:val="en-CA"/>
        </w:rPr>
        <w:t>Domtar</w:t>
      </w:r>
      <w:r w:rsidRPr="00B535FF">
        <w:rPr>
          <w:lang w:val="en-CA"/>
        </w:rPr>
        <w:t xml:space="preserve">, </w:t>
      </w:r>
      <w:r w:rsidRPr="00B535FF">
        <w:rPr>
          <w:i/>
          <w:iCs/>
          <w:lang w:val="en-CA"/>
        </w:rPr>
        <w:t>supra</w:t>
      </w:r>
      <w:r w:rsidRPr="00B535FF">
        <w:rPr>
          <w:lang w:val="en-CA"/>
        </w:rPr>
        <w:t xml:space="preserve"> note </w:t>
      </w:r>
      <w:r w:rsidRPr="00B535FF">
        <w:rPr>
          <w:lang w:val="en-CA"/>
        </w:rPr>
        <w:fldChar w:fldCharType="begin"/>
      </w:r>
      <w:r w:rsidRPr="00B535FF">
        <w:rPr>
          <w:lang w:val="en-CA"/>
        </w:rPr>
        <w:instrText xml:space="preserve"> NOTEREF _Ref163038478 \h </w:instrText>
      </w:r>
      <w:r w:rsidRPr="00B535FF">
        <w:rPr>
          <w:lang w:val="en-CA"/>
        </w:rPr>
      </w:r>
      <w:r w:rsidRPr="00B535FF">
        <w:rPr>
          <w:lang w:val="en-CA"/>
        </w:rPr>
        <w:fldChar w:fldCharType="separate"/>
      </w:r>
      <w:r w:rsidR="00034ABA">
        <w:rPr>
          <w:lang w:val="en-CA"/>
        </w:rPr>
        <w:t>99</w:t>
      </w:r>
      <w:r w:rsidRPr="00B535FF">
        <w:rPr>
          <w:lang w:val="en-CA"/>
        </w:rPr>
        <w:fldChar w:fldCharType="end"/>
      </w:r>
      <w:r w:rsidRPr="00B535FF">
        <w:rPr>
          <w:lang w:val="en-CA"/>
        </w:rPr>
        <w:t xml:space="preserve"> at 5 and 20. See also:</w:t>
      </w:r>
      <w:r w:rsidRPr="00B535FF">
        <w:rPr>
          <w:i/>
          <w:iCs/>
          <w:lang w:val="en-CA"/>
        </w:rPr>
        <w:t xml:space="preserve"> Brasserie Knowlton</w:t>
      </w:r>
      <w:r w:rsidRPr="00B535FF">
        <w:rPr>
          <w:lang w:val="en-CA"/>
        </w:rPr>
        <w:t xml:space="preserve">, </w:t>
      </w:r>
      <w:r w:rsidR="006F11C9" w:rsidRPr="006F11C9">
        <w:rPr>
          <w:i/>
          <w:iCs/>
          <w:lang w:val="en-CA"/>
        </w:rPr>
        <w:t>supr</w:t>
      </w:r>
      <w:r w:rsidR="006F11C9">
        <w:rPr>
          <w:i/>
          <w:iCs/>
          <w:lang w:val="en-CA"/>
        </w:rPr>
        <w:t>a</w:t>
      </w:r>
      <w:r w:rsidR="006F11C9">
        <w:rPr>
          <w:lang w:val="en-CA"/>
        </w:rPr>
        <w:t xml:space="preserve"> note 100</w:t>
      </w:r>
      <w:r w:rsidRPr="00B535FF">
        <w:rPr>
          <w:lang w:val="en-CA"/>
        </w:rPr>
        <w:t xml:space="preserve">; </w:t>
      </w:r>
      <w:r w:rsidRPr="00B535FF">
        <w:rPr>
          <w:i/>
          <w:iCs/>
          <w:lang w:val="en-CA"/>
        </w:rPr>
        <w:t>Dollarama</w:t>
      </w:r>
      <w:r w:rsidRPr="00B535FF">
        <w:rPr>
          <w:lang w:val="en-CA"/>
        </w:rPr>
        <w:t xml:space="preserve">, </w:t>
      </w:r>
      <w:r w:rsidR="00E84211" w:rsidRPr="00B535FF">
        <w:rPr>
          <w:i/>
          <w:iCs/>
          <w:lang w:val="en-CA"/>
        </w:rPr>
        <w:t xml:space="preserve">supra </w:t>
      </w:r>
      <w:r w:rsidR="00E84211" w:rsidRPr="00B535FF">
        <w:rPr>
          <w:lang w:val="en-CA"/>
        </w:rPr>
        <w:t>note 99</w:t>
      </w:r>
      <w:r w:rsidRPr="00B535FF">
        <w:rPr>
          <w:i/>
          <w:iCs/>
          <w:lang w:val="en-CA"/>
        </w:rPr>
        <w:t xml:space="preserve"> </w:t>
      </w:r>
      <w:r w:rsidRPr="00B535FF">
        <w:rPr>
          <w:lang w:val="en-CA"/>
        </w:rPr>
        <w:t xml:space="preserve">at para. </w:t>
      </w:r>
      <w:r w:rsidRPr="0048531D">
        <w:t>321.</w:t>
      </w:r>
    </w:p>
  </w:footnote>
  <w:footnote w:id="102">
    <w:p w14:paraId="647ADAE2" w14:textId="5E84E8D0" w:rsidR="00216F25" w:rsidRPr="00F04DCB" w:rsidRDefault="00216F25" w:rsidP="00216F25">
      <w:pPr>
        <w:pStyle w:val="Notedebasdepage"/>
        <w:rPr>
          <w:lang w:val="es-CL"/>
        </w:rPr>
      </w:pPr>
      <w:r w:rsidRPr="00B535FF">
        <w:rPr>
          <w:rStyle w:val="Appelnotedebasdep"/>
          <w:lang w:val="en-CA"/>
        </w:rPr>
        <w:footnoteRef/>
      </w:r>
      <w:r w:rsidRPr="00252A82">
        <w:t xml:space="preserve"> </w:t>
      </w:r>
      <w:r w:rsidRPr="00252A82">
        <w:tab/>
      </w:r>
      <w:r w:rsidRPr="00606F77">
        <w:rPr>
          <w:i/>
          <w:iCs/>
        </w:rPr>
        <w:t>Couture c. Hydro Québec</w:t>
      </w:r>
      <w:r w:rsidRPr="00606F77">
        <w:t xml:space="preserve">, [1982] DTE T82-746 at 19; </w:t>
      </w:r>
      <w:r w:rsidRPr="00606F77">
        <w:rPr>
          <w:i/>
          <w:iCs/>
        </w:rPr>
        <w:t>Domtar</w:t>
      </w:r>
      <w:r w:rsidRPr="00606F77">
        <w:t xml:space="preserve">, </w:t>
      </w:r>
      <w:r w:rsidR="006F11C9" w:rsidRPr="00606F77">
        <w:rPr>
          <w:i/>
          <w:iCs/>
        </w:rPr>
        <w:t>supra</w:t>
      </w:r>
      <w:r w:rsidR="006F11C9" w:rsidRPr="00606F77">
        <w:t xml:space="preserve"> note 99</w:t>
      </w:r>
      <w:r w:rsidRPr="00606F77">
        <w:t xml:space="preserve"> at 20. See also: </w:t>
      </w:r>
      <w:r w:rsidRPr="00606F77">
        <w:rPr>
          <w:i/>
          <w:iCs/>
        </w:rPr>
        <w:t>Commission des normes, de l’équité, de la santé et de la sécurité du travail c. 9398-7113 Québec inc</w:t>
      </w:r>
      <w:r w:rsidRPr="00606F77">
        <w:t xml:space="preserve">., </w:t>
      </w:r>
      <w:r w:rsidRPr="00606F77">
        <w:rPr>
          <w:i/>
          <w:iCs/>
        </w:rPr>
        <w:t>supra</w:t>
      </w:r>
      <w:r w:rsidRPr="00606F77">
        <w:t xml:space="preserve"> note </w:t>
      </w:r>
      <w:r w:rsidR="00F04DCB">
        <w:fldChar w:fldCharType="begin"/>
      </w:r>
      <w:r w:rsidR="00F04DCB">
        <w:instrText xml:space="preserve"> NOTEREF _Ref163038616 \h </w:instrText>
      </w:r>
      <w:r w:rsidR="00F04DCB">
        <w:fldChar w:fldCharType="separate"/>
      </w:r>
      <w:r w:rsidR="00F04DCB">
        <w:t>100</w:t>
      </w:r>
      <w:r w:rsidR="00F04DCB">
        <w:fldChar w:fldCharType="end"/>
      </w:r>
      <w:r w:rsidRPr="00F04DCB">
        <w:t xml:space="preserve"> at para. </w:t>
      </w:r>
      <w:r w:rsidRPr="00F04DCB">
        <w:rPr>
          <w:lang w:val="es-CL"/>
        </w:rPr>
        <w:t xml:space="preserve">24; </w:t>
      </w:r>
      <w:r w:rsidRPr="00F04DCB">
        <w:rPr>
          <w:i/>
          <w:iCs/>
          <w:lang w:val="es-CL"/>
        </w:rPr>
        <w:t>Dollarama</w:t>
      </w:r>
      <w:r w:rsidRPr="00F04DCB">
        <w:rPr>
          <w:lang w:val="es-CL"/>
        </w:rPr>
        <w:t xml:space="preserve">, </w:t>
      </w:r>
      <w:r w:rsidR="00E84211" w:rsidRPr="00F04DCB">
        <w:rPr>
          <w:i/>
          <w:iCs/>
          <w:lang w:val="es-CL"/>
        </w:rPr>
        <w:t xml:space="preserve">supra </w:t>
      </w:r>
      <w:r w:rsidR="00E84211" w:rsidRPr="00F04DCB">
        <w:rPr>
          <w:lang w:val="es-CL"/>
        </w:rPr>
        <w:t>note 99</w:t>
      </w:r>
      <w:r w:rsidRPr="00F04DCB">
        <w:rPr>
          <w:i/>
          <w:iCs/>
          <w:lang w:val="es-CL"/>
        </w:rPr>
        <w:t xml:space="preserve"> </w:t>
      </w:r>
      <w:r w:rsidRPr="00F04DCB">
        <w:rPr>
          <w:lang w:val="es-CL"/>
        </w:rPr>
        <w:t>at para. 324.</w:t>
      </w:r>
    </w:p>
  </w:footnote>
  <w:footnote w:id="103">
    <w:p w14:paraId="50743C3B" w14:textId="53269408" w:rsidR="00216F25" w:rsidRPr="00B535FF" w:rsidRDefault="00216F25" w:rsidP="00216F25">
      <w:pPr>
        <w:pStyle w:val="Notedebasdepage"/>
        <w:rPr>
          <w:lang w:val="en-CA"/>
        </w:rPr>
      </w:pPr>
      <w:r w:rsidRPr="00B535FF">
        <w:rPr>
          <w:rStyle w:val="Appelnotedebasdep"/>
          <w:lang w:val="en-CA"/>
        </w:rPr>
        <w:footnoteRef/>
      </w:r>
      <w:r w:rsidRPr="00F04DCB">
        <w:rPr>
          <w:lang w:val="es-CL"/>
        </w:rPr>
        <w:t xml:space="preserve"> </w:t>
      </w:r>
      <w:r w:rsidRPr="00F04DCB">
        <w:rPr>
          <w:lang w:val="es-CL"/>
        </w:rPr>
        <w:tab/>
      </w:r>
      <w:r w:rsidRPr="00F04DCB">
        <w:rPr>
          <w:i/>
          <w:iCs/>
          <w:lang w:val="es-CL"/>
        </w:rPr>
        <w:t>Dollarama</w:t>
      </w:r>
      <w:r w:rsidRPr="00F04DCB">
        <w:rPr>
          <w:lang w:val="es-CL"/>
        </w:rPr>
        <w:t xml:space="preserve">, </w:t>
      </w:r>
      <w:r w:rsidR="00E84211" w:rsidRPr="00F04DCB">
        <w:rPr>
          <w:i/>
          <w:iCs/>
          <w:lang w:val="es-CL"/>
        </w:rPr>
        <w:t xml:space="preserve">supra </w:t>
      </w:r>
      <w:r w:rsidR="00E84211" w:rsidRPr="00F04DCB">
        <w:rPr>
          <w:lang w:val="es-CL"/>
        </w:rPr>
        <w:t>note 99</w:t>
      </w:r>
      <w:r w:rsidRPr="00F04DCB">
        <w:rPr>
          <w:i/>
          <w:iCs/>
          <w:lang w:val="es-CL"/>
        </w:rPr>
        <w:t xml:space="preserve"> </w:t>
      </w:r>
      <w:r w:rsidRPr="00F04DCB">
        <w:rPr>
          <w:lang w:val="es-CL"/>
        </w:rPr>
        <w:t xml:space="preserve">at para. </w:t>
      </w:r>
      <w:r w:rsidRPr="00B535FF">
        <w:rPr>
          <w:lang w:val="en-CA"/>
        </w:rPr>
        <w:t xml:space="preserve">321; See also: </w:t>
      </w:r>
      <w:r w:rsidRPr="00B535FF">
        <w:rPr>
          <w:i/>
          <w:iCs/>
          <w:lang w:val="en-CA"/>
        </w:rPr>
        <w:t>Domtar</w:t>
      </w:r>
      <w:r w:rsidRPr="00B535FF">
        <w:rPr>
          <w:lang w:val="en-CA"/>
        </w:rPr>
        <w:t xml:space="preserve">, </w:t>
      </w:r>
      <w:r w:rsidR="006F11C9">
        <w:rPr>
          <w:i/>
          <w:iCs/>
          <w:lang w:val="en-CA"/>
        </w:rPr>
        <w:t>supra</w:t>
      </w:r>
      <w:r w:rsidR="006F11C9">
        <w:rPr>
          <w:lang w:val="en-CA"/>
        </w:rPr>
        <w:t xml:space="preserve"> note 99</w:t>
      </w:r>
      <w:r w:rsidRPr="00B535FF">
        <w:rPr>
          <w:i/>
          <w:iCs/>
          <w:lang w:val="en-CA"/>
        </w:rPr>
        <w:t xml:space="preserve"> </w:t>
      </w:r>
      <w:r w:rsidRPr="00B535FF">
        <w:rPr>
          <w:lang w:val="en-CA"/>
        </w:rPr>
        <w:t xml:space="preserve">at 19; </w:t>
      </w:r>
      <w:r w:rsidRPr="00B535FF">
        <w:rPr>
          <w:i/>
          <w:iCs/>
          <w:lang w:val="en-CA"/>
        </w:rPr>
        <w:t xml:space="preserve">C.S.S.T. c. G.T.E. Sylvania Canada Ltée, </w:t>
      </w:r>
      <w:r w:rsidRPr="00B535FF">
        <w:rPr>
          <w:lang w:val="en-CA"/>
        </w:rPr>
        <w:t>[1984] TT 388, DTE 84T-878 at 18.</w:t>
      </w:r>
    </w:p>
  </w:footnote>
  <w:footnote w:id="104">
    <w:p w14:paraId="673A0FC3" w14:textId="7CCF33E1" w:rsidR="00216F25" w:rsidRPr="00B535FF" w:rsidRDefault="00216F25" w:rsidP="00216F25">
      <w:pPr>
        <w:pStyle w:val="Notedebasdepage"/>
        <w:rPr>
          <w:lang w:val="en-CA"/>
        </w:rPr>
      </w:pPr>
      <w:r w:rsidRPr="00B535FF">
        <w:rPr>
          <w:rStyle w:val="Appelnotedebasdep"/>
          <w:lang w:val="en-CA"/>
        </w:rPr>
        <w:footnoteRef/>
      </w:r>
      <w:r w:rsidRPr="00B535FF">
        <w:rPr>
          <w:lang w:val="en-CA"/>
        </w:rPr>
        <w:t xml:space="preserve"> </w:t>
      </w:r>
      <w:r w:rsidRPr="00B535FF">
        <w:rPr>
          <w:lang w:val="en-CA"/>
        </w:rPr>
        <w:tab/>
        <w:t xml:space="preserve">Affidavit of E.B., June </w:t>
      </w:r>
      <w:r w:rsidR="006F11C9">
        <w:rPr>
          <w:lang w:val="en-CA"/>
        </w:rPr>
        <w:t xml:space="preserve">9, </w:t>
      </w:r>
      <w:r w:rsidRPr="00B535FF">
        <w:rPr>
          <w:lang w:val="en-CA"/>
        </w:rPr>
        <w:t>2023, at para. 40.</w:t>
      </w:r>
    </w:p>
  </w:footnote>
  <w:footnote w:id="105">
    <w:p w14:paraId="5B6670C6" w14:textId="77777777" w:rsidR="00216F25" w:rsidRPr="00B535FF" w:rsidRDefault="00216F25" w:rsidP="00216F25">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Christie v. The York Corporation</w:t>
      </w:r>
      <w:r w:rsidRPr="00B535FF">
        <w:rPr>
          <w:lang w:val="en-CA"/>
        </w:rPr>
        <w:t>, 1939 CanLII 39 (SCC), [1940] SCR 139.</w:t>
      </w:r>
    </w:p>
  </w:footnote>
  <w:footnote w:id="106">
    <w:p w14:paraId="3FD9A801" w14:textId="0CE96E1D" w:rsidR="00353BE3" w:rsidRPr="00B535FF" w:rsidRDefault="00353BE3" w:rsidP="00353BE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141</w:t>
      </w:r>
      <w:r w:rsidR="004B79DB">
        <w:rPr>
          <w:lang w:val="en-CA"/>
        </w:rPr>
        <w:t>-</w:t>
      </w:r>
      <w:r w:rsidRPr="00B535FF">
        <w:rPr>
          <w:lang w:val="en-CA"/>
        </w:rPr>
        <w:t>146.</w:t>
      </w:r>
    </w:p>
  </w:footnote>
  <w:footnote w:id="107">
    <w:p w14:paraId="03B9B2E2" w14:textId="77777777" w:rsidR="00353BE3" w:rsidRPr="00B535FF" w:rsidRDefault="00353BE3" w:rsidP="00353BE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Zurich Insurance Co. v. Ontario (Human Rights Commission)</w:t>
      </w:r>
      <w:r w:rsidRPr="00B535FF">
        <w:rPr>
          <w:lang w:val="en-CA"/>
        </w:rPr>
        <w:t>, 1992 CanLII 67 (SCC), [1992] 2 SCR 321.</w:t>
      </w:r>
    </w:p>
  </w:footnote>
  <w:footnote w:id="108">
    <w:p w14:paraId="3D0F2BF6" w14:textId="77777777" w:rsidR="00353BE3" w:rsidRPr="00F57A2B" w:rsidRDefault="00353BE3" w:rsidP="00353BE3">
      <w:pPr>
        <w:pStyle w:val="Notedebasdepage"/>
      </w:pPr>
      <w:r w:rsidRPr="00B535FF">
        <w:rPr>
          <w:rStyle w:val="Appelnotedebasdep"/>
          <w:lang w:val="en-CA"/>
        </w:rPr>
        <w:footnoteRef/>
      </w:r>
      <w:r w:rsidRPr="00F57A2B">
        <w:t xml:space="preserve"> </w:t>
      </w:r>
      <w:r w:rsidRPr="00F57A2B">
        <w:tab/>
      </w:r>
      <w:r w:rsidRPr="00F57A2B">
        <w:rPr>
          <w:i/>
          <w:iCs/>
        </w:rPr>
        <w:t xml:space="preserve">Ibid. </w:t>
      </w:r>
      <w:r w:rsidRPr="00F57A2B">
        <w:t>at 349.</w:t>
      </w:r>
    </w:p>
  </w:footnote>
  <w:footnote w:id="109">
    <w:p w14:paraId="04EFA5D6" w14:textId="270385B1" w:rsidR="00353BE3" w:rsidRPr="00F57A2B" w:rsidRDefault="00353BE3" w:rsidP="00353BE3">
      <w:pPr>
        <w:pStyle w:val="Notedebasdepage"/>
        <w:rPr>
          <w:sz w:val="24"/>
          <w:szCs w:val="24"/>
        </w:rPr>
      </w:pPr>
      <w:r w:rsidRPr="00B535FF">
        <w:rPr>
          <w:vertAlign w:val="superscript"/>
          <w:lang w:val="en-CA"/>
        </w:rPr>
        <w:footnoteRef/>
      </w:r>
      <w:r w:rsidRPr="00F57A2B">
        <w:rPr>
          <w:sz w:val="24"/>
          <w:szCs w:val="24"/>
          <w:vertAlign w:val="superscript"/>
        </w:rPr>
        <w:t xml:space="preserve"> </w:t>
      </w:r>
      <w:r w:rsidRPr="00F57A2B">
        <w:rPr>
          <w:sz w:val="24"/>
          <w:szCs w:val="24"/>
          <w:vertAlign w:val="superscript"/>
        </w:rPr>
        <w:tab/>
      </w:r>
      <w:r w:rsidRPr="00F57A2B">
        <w:rPr>
          <w:i/>
          <w:iCs/>
        </w:rPr>
        <w:t>Commission des droits de la personne (Jeudy)</w:t>
      </w:r>
      <w:r w:rsidRPr="00F57A2B">
        <w:t xml:space="preserve"> </w:t>
      </w:r>
      <w:r w:rsidRPr="00F57A2B">
        <w:rPr>
          <w:i/>
          <w:iCs/>
        </w:rPr>
        <w:t>c.</w:t>
      </w:r>
      <w:r w:rsidRPr="00F57A2B">
        <w:t xml:space="preserve"> </w:t>
      </w:r>
      <w:r w:rsidRPr="00F57A2B">
        <w:rPr>
          <w:i/>
          <w:iCs/>
        </w:rPr>
        <w:t xml:space="preserve">Entreprises L.D. Skelling inc., </w:t>
      </w:r>
      <w:r w:rsidRPr="00F57A2B">
        <w:t xml:space="preserve">1994 CanLII 1791 (QC TDP) at 8 </w:t>
      </w:r>
      <w:r w:rsidR="00A02F72" w:rsidRPr="00F57A2B">
        <w:rPr>
          <w:rFonts w:cs="Arial"/>
        </w:rPr>
        <w:t>[</w:t>
      </w:r>
      <w:r w:rsidRPr="00F57A2B">
        <w:rPr>
          <w:i/>
          <w:iCs/>
        </w:rPr>
        <w:t>Jeudy</w:t>
      </w:r>
      <w:r w:rsidR="00A02F72" w:rsidRPr="00F57A2B">
        <w:rPr>
          <w:rFonts w:cs="Arial"/>
        </w:rPr>
        <w:t>]</w:t>
      </w:r>
      <w:r w:rsidRPr="00F57A2B">
        <w:t xml:space="preserve">; </w:t>
      </w:r>
      <w:r w:rsidRPr="00F57A2B">
        <w:rPr>
          <w:i/>
          <w:iCs/>
        </w:rPr>
        <w:t>Commission des droits de la personne et des droits de la jeunesse c. 2314-4207 Québec inc. (Resto-bar Le Surf),</w:t>
      </w:r>
      <w:r w:rsidRPr="00F57A2B">
        <w:t xml:space="preserve"> 2007 QCTDP 9 at paras. 36</w:t>
      </w:r>
      <w:r w:rsidR="004B79DB">
        <w:t>-</w:t>
      </w:r>
      <w:r w:rsidRPr="00F57A2B">
        <w:t xml:space="preserve">38 </w:t>
      </w:r>
      <w:r w:rsidRPr="00F57A2B">
        <w:rPr>
          <w:rFonts w:cs="Arial"/>
        </w:rPr>
        <w:t>[</w:t>
      </w:r>
      <w:r w:rsidRPr="00F57A2B">
        <w:rPr>
          <w:i/>
          <w:iCs/>
        </w:rPr>
        <w:t>Resto-bar Le Surf</w:t>
      </w:r>
      <w:r w:rsidRPr="00F57A2B">
        <w:rPr>
          <w:rFonts w:cs="Arial"/>
        </w:rPr>
        <w:t>]</w:t>
      </w:r>
      <w:r w:rsidRPr="00F57A2B">
        <w:t xml:space="preserve">. See also: </w:t>
      </w:r>
      <w:r w:rsidRPr="00F57A2B">
        <w:rPr>
          <w:i/>
          <w:iCs/>
        </w:rPr>
        <w:t>Procureur général du Québec c. Service des Taxis Nord-Est</w:t>
      </w:r>
      <w:r w:rsidRPr="00F57A2B">
        <w:t xml:space="preserve">, 1984 CanLII 5082 (QC SC) </w:t>
      </w:r>
      <w:r w:rsidRPr="00F57A2B">
        <w:rPr>
          <w:rFonts w:cs="Arial"/>
        </w:rPr>
        <w:t>[</w:t>
      </w:r>
      <w:r w:rsidRPr="00F57A2B">
        <w:rPr>
          <w:i/>
          <w:iCs/>
        </w:rPr>
        <w:t>Service de taxis Nord-Est</w:t>
      </w:r>
      <w:r w:rsidRPr="00F57A2B">
        <w:rPr>
          <w:rFonts w:cs="Arial"/>
        </w:rPr>
        <w:t>]</w:t>
      </w:r>
      <w:r w:rsidRPr="00F57A2B">
        <w:t>.</w:t>
      </w:r>
    </w:p>
  </w:footnote>
  <w:footnote w:id="110">
    <w:p w14:paraId="6FBCBD80" w14:textId="06B26ECA" w:rsidR="00353BE3" w:rsidRPr="00B535FF" w:rsidRDefault="00353BE3" w:rsidP="00353BE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Jeudy</w:t>
      </w:r>
      <w:r w:rsidRPr="00B535FF">
        <w:rPr>
          <w:lang w:val="en-CA"/>
        </w:rPr>
        <w:t xml:space="preserve">, </w:t>
      </w:r>
      <w:r w:rsidR="00A02F72" w:rsidRPr="00B535FF">
        <w:rPr>
          <w:i/>
          <w:iCs/>
          <w:lang w:val="en-CA"/>
        </w:rPr>
        <w:t>supra</w:t>
      </w:r>
      <w:r w:rsidR="00A02F72" w:rsidRPr="00B535FF">
        <w:rPr>
          <w:lang w:val="en-CA"/>
        </w:rPr>
        <w:t xml:space="preserve"> note 109.</w:t>
      </w:r>
    </w:p>
  </w:footnote>
  <w:footnote w:id="111">
    <w:p w14:paraId="1D41E37E" w14:textId="77777777" w:rsidR="00353BE3" w:rsidRPr="00B535FF" w:rsidRDefault="00353BE3" w:rsidP="00353BE3">
      <w:pPr>
        <w:pStyle w:val="Notedebasdepage"/>
        <w:rPr>
          <w:i/>
          <w:iCs/>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p>
  </w:footnote>
  <w:footnote w:id="112">
    <w:p w14:paraId="4E0FBEB5" w14:textId="77777777" w:rsidR="00353BE3" w:rsidRPr="00B535FF" w:rsidRDefault="00353BE3" w:rsidP="00353BE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 xml:space="preserve">Ibid. </w:t>
      </w:r>
      <w:r w:rsidRPr="00B535FF">
        <w:rPr>
          <w:lang w:val="en-CA"/>
        </w:rPr>
        <w:t>at 8.</w:t>
      </w:r>
    </w:p>
  </w:footnote>
  <w:footnote w:id="113">
    <w:p w14:paraId="1E1AA36E" w14:textId="77777777" w:rsidR="00353BE3" w:rsidRPr="00F57A2B" w:rsidRDefault="00353BE3" w:rsidP="00353BE3">
      <w:pPr>
        <w:pStyle w:val="Notedebasdepage"/>
      </w:pPr>
      <w:r w:rsidRPr="00B535FF">
        <w:rPr>
          <w:rStyle w:val="Appelnotedebasdep"/>
          <w:lang w:val="en-CA"/>
        </w:rPr>
        <w:footnoteRef/>
      </w:r>
      <w:r w:rsidRPr="00F57A2B">
        <w:t xml:space="preserve"> </w:t>
      </w:r>
      <w:r w:rsidRPr="00F57A2B">
        <w:tab/>
      </w:r>
      <w:r w:rsidRPr="00F57A2B">
        <w:rPr>
          <w:i/>
          <w:iCs/>
        </w:rPr>
        <w:t>Commission des droits de la personne (Patry) c. Picard</w:t>
      </w:r>
      <w:r w:rsidRPr="00F57A2B">
        <w:t>, 1995 CanLII 1731 (QC TDP).</w:t>
      </w:r>
    </w:p>
  </w:footnote>
  <w:footnote w:id="114">
    <w:p w14:paraId="7C35D0A6" w14:textId="6D06335F" w:rsidR="00353BE3" w:rsidRPr="00B535FF" w:rsidRDefault="00353BE3" w:rsidP="00353BE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Ibid.</w:t>
      </w:r>
      <w:r w:rsidRPr="00B535FF">
        <w:rPr>
          <w:lang w:val="en-CA"/>
        </w:rPr>
        <w:t xml:space="preserve"> at 4</w:t>
      </w:r>
      <w:r w:rsidR="007F13AE">
        <w:rPr>
          <w:lang w:val="en-CA"/>
        </w:rPr>
        <w:t>-</w:t>
      </w:r>
      <w:r w:rsidRPr="00B535FF">
        <w:rPr>
          <w:lang w:val="en-CA"/>
        </w:rPr>
        <w:t>5.</w:t>
      </w:r>
    </w:p>
  </w:footnote>
  <w:footnote w:id="115">
    <w:p w14:paraId="2BA556D2" w14:textId="596B8CE7" w:rsidR="00353BE3" w:rsidRPr="00B535FF" w:rsidRDefault="00353BE3" w:rsidP="00353BE3">
      <w:pPr>
        <w:pStyle w:val="Notedebasdepage"/>
        <w:rPr>
          <w:lang w:val="en-CA"/>
        </w:rPr>
      </w:pPr>
      <w:r w:rsidRPr="00B535FF">
        <w:rPr>
          <w:rStyle w:val="Appelnotedebasdep"/>
          <w:lang w:val="en-CA"/>
        </w:rPr>
        <w:footnoteRef/>
      </w:r>
      <w:r w:rsidRPr="00B535FF">
        <w:rPr>
          <w:lang w:val="en-CA"/>
        </w:rPr>
        <w:t xml:space="preserve"> </w:t>
      </w:r>
      <w:r w:rsidRPr="00B535FF">
        <w:rPr>
          <w:lang w:val="en-CA"/>
        </w:rPr>
        <w:tab/>
      </w:r>
      <w:r w:rsidRPr="00B535FF">
        <w:rPr>
          <w:i/>
          <w:iCs/>
          <w:lang w:val="en-CA"/>
        </w:rPr>
        <w:t>Resto-bar Le Surf</w:t>
      </w:r>
      <w:r w:rsidRPr="00B535FF">
        <w:rPr>
          <w:lang w:val="en-CA"/>
        </w:rPr>
        <w:t xml:space="preserve">, </w:t>
      </w:r>
      <w:r w:rsidRPr="00B535FF">
        <w:rPr>
          <w:i/>
          <w:iCs/>
          <w:lang w:val="en-CA"/>
        </w:rPr>
        <w:t>supra</w:t>
      </w:r>
      <w:r w:rsidRPr="00B535FF">
        <w:rPr>
          <w:lang w:val="en-CA"/>
        </w:rPr>
        <w:t xml:space="preserve"> note </w:t>
      </w:r>
      <w:r w:rsidRPr="00B535FF">
        <w:rPr>
          <w:lang w:val="en-CA"/>
        </w:rPr>
        <w:fldChar w:fldCharType="begin"/>
      </w:r>
      <w:r w:rsidRPr="00B535FF">
        <w:rPr>
          <w:lang w:val="en-CA"/>
        </w:rPr>
        <w:instrText xml:space="preserve"> NOTEREF _Ref163038920 \h </w:instrText>
      </w:r>
      <w:r w:rsidRPr="00B535FF">
        <w:rPr>
          <w:lang w:val="en-CA"/>
        </w:rPr>
      </w:r>
      <w:r w:rsidRPr="00B535FF">
        <w:rPr>
          <w:lang w:val="en-CA"/>
        </w:rPr>
        <w:fldChar w:fldCharType="separate"/>
      </w:r>
      <w:r w:rsidR="00034ABA">
        <w:rPr>
          <w:lang w:val="en-CA"/>
        </w:rPr>
        <w:t>109</w:t>
      </w:r>
      <w:r w:rsidRPr="00B535FF">
        <w:rPr>
          <w:lang w:val="en-CA"/>
        </w:rPr>
        <w:fldChar w:fldCharType="end"/>
      </w:r>
      <w:r w:rsidRPr="00B535FF">
        <w:rPr>
          <w:lang w:val="en-CA"/>
        </w:rPr>
        <w:t>.</w:t>
      </w:r>
    </w:p>
  </w:footnote>
  <w:footnote w:id="116">
    <w:p w14:paraId="7AA884CC" w14:textId="782A7181" w:rsidR="00353BE3" w:rsidRPr="00B535FF" w:rsidRDefault="00353BE3" w:rsidP="00353BE3">
      <w:pPr>
        <w:pStyle w:val="Notedebasdepage"/>
        <w:rPr>
          <w:lang w:val="en-CA"/>
        </w:rPr>
      </w:pPr>
      <w:r w:rsidRPr="00B535FF">
        <w:rPr>
          <w:rStyle w:val="Appelnotedebasdep"/>
          <w:lang w:val="en-CA"/>
        </w:rPr>
        <w:footnoteRef/>
      </w:r>
      <w:r w:rsidRPr="00B535FF">
        <w:rPr>
          <w:lang w:val="en-CA"/>
        </w:rPr>
        <w:t xml:space="preserve"> </w:t>
      </w:r>
      <w:r w:rsidRPr="00B535FF">
        <w:rPr>
          <w:i/>
          <w:iCs/>
          <w:lang w:val="en-CA"/>
        </w:rPr>
        <w:tab/>
        <w:t>Ibid.</w:t>
      </w:r>
      <w:r w:rsidRPr="00B535FF">
        <w:rPr>
          <w:lang w:val="en-CA"/>
        </w:rPr>
        <w:t xml:space="preserve"> at paras. 36</w:t>
      </w:r>
      <w:r w:rsidR="007F13AE">
        <w:rPr>
          <w:lang w:val="en-CA"/>
        </w:rPr>
        <w:t>-</w:t>
      </w:r>
      <w:r w:rsidRPr="00B535FF">
        <w:rPr>
          <w:lang w:val="en-CA"/>
        </w:rPr>
        <w:t>39.</w:t>
      </w:r>
    </w:p>
  </w:footnote>
  <w:footnote w:id="117">
    <w:p w14:paraId="7AFD91FB" w14:textId="4D8E8A1D" w:rsidR="00353BE3" w:rsidRPr="00B535FF" w:rsidRDefault="00353BE3" w:rsidP="00353BE3">
      <w:pPr>
        <w:pStyle w:val="Notedebasdepage"/>
        <w:rPr>
          <w:lang w:val="en-CA"/>
        </w:rPr>
      </w:pPr>
      <w:r w:rsidRPr="00B535FF">
        <w:rPr>
          <w:rStyle w:val="Appelnotedebasdep"/>
          <w:lang w:val="en-CA"/>
        </w:rPr>
        <w:footnoteRef/>
      </w:r>
      <w:r w:rsidRPr="00B535FF">
        <w:rPr>
          <w:lang w:val="en-CA"/>
        </w:rPr>
        <w:t xml:space="preserve"> </w:t>
      </w:r>
      <w:r w:rsidRPr="00B535FF">
        <w:rPr>
          <w:lang w:val="en-CA"/>
        </w:rPr>
        <w:tab/>
        <w:t xml:space="preserve">Plaintiff’s </w:t>
      </w:r>
      <w:r w:rsidR="007F13AE">
        <w:rPr>
          <w:lang w:val="en-CA"/>
        </w:rPr>
        <w:t>factum</w:t>
      </w:r>
      <w:r w:rsidRPr="00B535FF">
        <w:rPr>
          <w:lang w:val="en-CA"/>
        </w:rPr>
        <w:t xml:space="preserve">, August </w:t>
      </w:r>
      <w:r w:rsidR="007F5F36">
        <w:rPr>
          <w:lang w:val="en-CA"/>
        </w:rPr>
        <w:t xml:space="preserve">5, </w:t>
      </w:r>
      <w:r w:rsidRPr="00B535FF">
        <w:rPr>
          <w:lang w:val="en-CA"/>
        </w:rPr>
        <w:t>2021</w:t>
      </w:r>
      <w:r w:rsidR="007F5F36">
        <w:rPr>
          <w:lang w:val="en-CA"/>
        </w:rPr>
        <w:t>,</w:t>
      </w:r>
      <w:r w:rsidRPr="00B535FF">
        <w:rPr>
          <w:lang w:val="en-CA"/>
        </w:rPr>
        <w:t xml:space="preserve"> at para. 16.</w:t>
      </w:r>
    </w:p>
  </w:footnote>
  <w:footnote w:id="118">
    <w:p w14:paraId="475F019A" w14:textId="19406FBC" w:rsidR="00353BE3" w:rsidRPr="0048531D" w:rsidRDefault="00353BE3" w:rsidP="00353BE3">
      <w:pPr>
        <w:pStyle w:val="Notedebasdepage"/>
      </w:pPr>
      <w:r w:rsidRPr="00B535FF">
        <w:rPr>
          <w:rStyle w:val="Appelnotedebasdep"/>
          <w:lang w:val="en-CA"/>
        </w:rPr>
        <w:footnoteRef/>
      </w:r>
      <w:r w:rsidRPr="00B535FF">
        <w:rPr>
          <w:lang w:val="en-CA"/>
        </w:rPr>
        <w:t xml:space="preserve"> </w:t>
      </w:r>
      <w:r w:rsidRPr="00B535FF">
        <w:rPr>
          <w:lang w:val="en-CA"/>
        </w:rPr>
        <w:tab/>
        <w:t xml:space="preserve">Affidavit of E.B., </w:t>
      </w:r>
      <w:r w:rsidRPr="00B535FF">
        <w:rPr>
          <w:i/>
          <w:iCs/>
          <w:lang w:val="en-CA"/>
        </w:rPr>
        <w:t>supra</w:t>
      </w:r>
      <w:r w:rsidRPr="00B535FF">
        <w:rPr>
          <w:lang w:val="en-CA"/>
        </w:rPr>
        <w:t xml:space="preserve"> note </w:t>
      </w:r>
      <w:r w:rsidRPr="00B535FF">
        <w:rPr>
          <w:lang w:val="en-CA"/>
        </w:rPr>
        <w:fldChar w:fldCharType="begin"/>
      </w:r>
      <w:r w:rsidRPr="00B535FF">
        <w:rPr>
          <w:lang w:val="en-CA"/>
        </w:rPr>
        <w:instrText xml:space="preserve"> NOTEREF _Ref168403228 \h </w:instrText>
      </w:r>
      <w:r w:rsidRPr="00B535FF">
        <w:rPr>
          <w:lang w:val="en-CA"/>
        </w:rPr>
      </w:r>
      <w:r w:rsidRPr="00B535FF">
        <w:rPr>
          <w:lang w:val="en-CA"/>
        </w:rPr>
        <w:fldChar w:fldCharType="separate"/>
      </w:r>
      <w:r w:rsidR="00034ABA">
        <w:rPr>
          <w:lang w:val="en-CA"/>
        </w:rPr>
        <w:t>4</w:t>
      </w:r>
      <w:r w:rsidRPr="00B535FF">
        <w:rPr>
          <w:lang w:val="en-CA"/>
        </w:rPr>
        <w:fldChar w:fldCharType="end"/>
      </w:r>
      <w:r w:rsidRPr="00B535FF">
        <w:rPr>
          <w:lang w:val="en-CA"/>
        </w:rPr>
        <w:t xml:space="preserve"> at para. </w:t>
      </w:r>
      <w:r w:rsidRPr="0048531D">
        <w:t>40.</w:t>
      </w:r>
    </w:p>
  </w:footnote>
  <w:footnote w:id="119">
    <w:p w14:paraId="3F4604C9" w14:textId="7E4B7FCB" w:rsidR="0095722C" w:rsidRPr="00F57A2B" w:rsidRDefault="0095722C" w:rsidP="0095722C">
      <w:pPr>
        <w:pStyle w:val="Notedebasdepage"/>
      </w:pPr>
      <w:r w:rsidRPr="00B535FF">
        <w:rPr>
          <w:rStyle w:val="Appelnotedebasdep"/>
          <w:lang w:val="en-CA"/>
        </w:rPr>
        <w:footnoteRef/>
      </w:r>
      <w:r w:rsidRPr="00DA71F1">
        <w:t xml:space="preserve"> </w:t>
      </w:r>
      <w:r w:rsidRPr="00DA71F1">
        <w:tab/>
        <w:t xml:space="preserve">Plaintiff’s </w:t>
      </w:r>
      <w:r w:rsidR="002608FA" w:rsidRPr="00DA71F1">
        <w:t>factum</w:t>
      </w:r>
      <w:r w:rsidRPr="00DA71F1">
        <w:t xml:space="preserve">, </w:t>
      </w:r>
      <w:r w:rsidRPr="00DA71F1">
        <w:rPr>
          <w:i/>
          <w:iCs/>
        </w:rPr>
        <w:t>supra</w:t>
      </w:r>
      <w:r w:rsidRPr="00DA71F1">
        <w:t xml:space="preserve"> note </w:t>
      </w:r>
      <w:r w:rsidRPr="00B535FF">
        <w:rPr>
          <w:lang w:val="en-CA"/>
        </w:rPr>
        <w:fldChar w:fldCharType="begin"/>
      </w:r>
      <w:r w:rsidRPr="00DA71F1">
        <w:instrText xml:space="preserve"> NOTEREF _Ref168403272 \h </w:instrText>
      </w:r>
      <w:r w:rsidRPr="00B535FF">
        <w:rPr>
          <w:lang w:val="en-CA"/>
        </w:rPr>
      </w:r>
      <w:r w:rsidRPr="00B535FF">
        <w:rPr>
          <w:lang w:val="en-CA"/>
        </w:rPr>
        <w:fldChar w:fldCharType="separate"/>
      </w:r>
      <w:r w:rsidR="00034ABA" w:rsidRPr="00DA71F1">
        <w:t>117</w:t>
      </w:r>
      <w:r w:rsidRPr="00B535FF">
        <w:rPr>
          <w:lang w:val="en-CA"/>
        </w:rPr>
        <w:fldChar w:fldCharType="end"/>
      </w:r>
      <w:r w:rsidRPr="00DA71F1">
        <w:t xml:space="preserve"> at para. </w:t>
      </w:r>
      <w:r w:rsidRPr="00F57A2B">
        <w:t>25.</w:t>
      </w:r>
    </w:p>
  </w:footnote>
  <w:footnote w:id="120">
    <w:p w14:paraId="2B4F0D40" w14:textId="77777777" w:rsidR="0095722C" w:rsidRPr="00F57A2B" w:rsidRDefault="0095722C" w:rsidP="0095722C">
      <w:pPr>
        <w:pStyle w:val="Notedebasdepage"/>
      </w:pPr>
      <w:r w:rsidRPr="00B535FF">
        <w:rPr>
          <w:rStyle w:val="Appelnotedebasdep"/>
          <w:lang w:val="en-CA"/>
        </w:rPr>
        <w:footnoteRef/>
      </w:r>
      <w:r w:rsidRPr="00F57A2B">
        <w:t xml:space="preserve"> </w:t>
      </w:r>
      <w:r w:rsidRPr="00F57A2B">
        <w:tab/>
      </w:r>
      <w:r w:rsidRPr="00F57A2B">
        <w:rPr>
          <w:rFonts w:cs="Arial"/>
          <w:i/>
          <w:iCs/>
          <w:color w:val="000000"/>
        </w:rPr>
        <w:t>Tchakounte Nyassa c. Levasseur</w:t>
      </w:r>
      <w:r w:rsidRPr="00F57A2B">
        <w:rPr>
          <w:rFonts w:cs="Arial"/>
          <w:color w:val="000000"/>
        </w:rPr>
        <w:t>, 2018 QCTDP 1.</w:t>
      </w:r>
    </w:p>
  </w:footnote>
  <w:footnote w:id="121">
    <w:p w14:paraId="4675AC9E" w14:textId="0CD18D32" w:rsidR="00D27F85" w:rsidRPr="0048531D" w:rsidRDefault="00E641F1">
      <w:pPr>
        <w:pStyle w:val="Notedebasdepage"/>
      </w:pPr>
      <w:r w:rsidRPr="00B535FF">
        <w:rPr>
          <w:rStyle w:val="Appelnotedebasdep"/>
          <w:lang w:val="en-CA"/>
        </w:rPr>
        <w:footnoteRef/>
      </w:r>
      <w:r w:rsidRPr="00F57A2B">
        <w:t xml:space="preserve"> </w:t>
      </w:r>
      <w:r w:rsidRPr="00F57A2B">
        <w:tab/>
      </w:r>
      <w:r w:rsidRPr="00F57A2B">
        <w:rPr>
          <w:rFonts w:cs="Arial"/>
          <w:i/>
          <w:iCs/>
          <w:color w:val="000016"/>
          <w:spacing w:val="2"/>
          <w:shd w:val="clear" w:color="auto" w:fill="FFFFFF"/>
        </w:rPr>
        <w:t xml:space="preserve">Commission des droits de la personne et des droits de la jeunesse (X) c. Commission scolaire de Montréal, </w:t>
      </w:r>
      <w:r w:rsidRPr="00F57A2B">
        <w:rPr>
          <w:rFonts w:cs="Arial"/>
          <w:color w:val="000016"/>
          <w:spacing w:val="2"/>
          <w:shd w:val="clear" w:color="auto" w:fill="FFFFFF"/>
        </w:rPr>
        <w:t>2017 QCCA 286 (</w:t>
      </w:r>
      <w:r w:rsidR="00216F25" w:rsidRPr="00F57A2B">
        <w:rPr>
          <w:rFonts w:cs="Arial"/>
          <w:color w:val="000016"/>
          <w:spacing w:val="2"/>
          <w:shd w:val="clear" w:color="auto" w:fill="FFFFFF"/>
        </w:rPr>
        <w:t>leave to appeal to SCC refused, 37538</w:t>
      </w:r>
      <w:r w:rsidRPr="00F57A2B">
        <w:rPr>
          <w:rFonts w:cs="Arial"/>
          <w:color w:val="000016"/>
          <w:spacing w:val="2"/>
          <w:shd w:val="clear" w:color="auto" w:fill="FFFFFF"/>
        </w:rPr>
        <w:t xml:space="preserve"> </w:t>
      </w:r>
      <w:r w:rsidR="00216F25" w:rsidRPr="00F57A2B">
        <w:rPr>
          <w:rFonts w:cs="Arial"/>
          <w:color w:val="000016"/>
          <w:spacing w:val="2"/>
          <w:shd w:val="clear" w:color="auto" w:fill="FFFFFF"/>
        </w:rPr>
        <w:t>(</w:t>
      </w:r>
      <w:r w:rsidRPr="00F57A2B">
        <w:rPr>
          <w:rFonts w:cs="Arial"/>
          <w:color w:val="000016"/>
          <w:spacing w:val="2"/>
          <w:shd w:val="clear" w:color="auto" w:fill="FFFFFF"/>
        </w:rPr>
        <w:t>17</w:t>
      </w:r>
      <w:r w:rsidR="00216F25" w:rsidRPr="00F57A2B">
        <w:rPr>
          <w:rFonts w:cs="Arial"/>
          <w:color w:val="000016"/>
          <w:spacing w:val="2"/>
          <w:shd w:val="clear" w:color="auto" w:fill="FFFFFF"/>
        </w:rPr>
        <w:t xml:space="preserve"> August </w:t>
      </w:r>
      <w:r w:rsidRPr="00F57A2B">
        <w:rPr>
          <w:rFonts w:cs="Arial"/>
          <w:color w:val="000016"/>
          <w:spacing w:val="2"/>
          <w:shd w:val="clear" w:color="auto" w:fill="FFFFFF"/>
        </w:rPr>
        <w:t>2017</w:t>
      </w:r>
      <w:r w:rsidR="00AF560F" w:rsidRPr="00F57A2B">
        <w:rPr>
          <w:rFonts w:cs="Arial"/>
          <w:color w:val="000016"/>
          <w:spacing w:val="2"/>
          <w:shd w:val="clear" w:color="auto" w:fill="FFFFFF"/>
        </w:rPr>
        <w:t>)</w:t>
      </w:r>
      <w:r w:rsidRPr="00F57A2B">
        <w:rPr>
          <w:rFonts w:cs="Arial"/>
          <w:color w:val="000016"/>
          <w:spacing w:val="2"/>
          <w:shd w:val="clear" w:color="auto" w:fill="FFFFFF"/>
        </w:rPr>
        <w:t xml:space="preserve">) </w:t>
      </w:r>
      <w:r w:rsidR="00216F25" w:rsidRPr="00F57A2B">
        <w:rPr>
          <w:rFonts w:cs="Arial"/>
          <w:color w:val="000016"/>
          <w:spacing w:val="2"/>
          <w:shd w:val="clear" w:color="auto" w:fill="FFFFFF"/>
        </w:rPr>
        <w:t xml:space="preserve">cited in </w:t>
      </w:r>
      <w:r w:rsidRPr="00F57A2B">
        <w:rPr>
          <w:rFonts w:cs="Arial"/>
          <w:i/>
          <w:iCs/>
          <w:color w:val="000016"/>
          <w:spacing w:val="2"/>
          <w:shd w:val="clear" w:color="auto" w:fill="FFFFFF"/>
        </w:rPr>
        <w:t>Commission des droits de la personne et des droits de la jeunesse (DeBellefeuille) c. Ville de Longueuil</w:t>
      </w:r>
      <w:r w:rsidRPr="00F57A2B">
        <w:rPr>
          <w:rFonts w:cs="Arial"/>
          <w:color w:val="000016"/>
          <w:spacing w:val="2"/>
          <w:shd w:val="clear" w:color="auto" w:fill="FFFFFF"/>
        </w:rPr>
        <w:t xml:space="preserve">, 2020 QCTDP 21 </w:t>
      </w:r>
      <w:r w:rsidR="00614461" w:rsidRPr="00F57A2B">
        <w:rPr>
          <w:rFonts w:cs="Arial"/>
          <w:color w:val="000016"/>
          <w:spacing w:val="2"/>
          <w:shd w:val="clear" w:color="auto" w:fill="FFFFFF"/>
        </w:rPr>
        <w:t>at para.</w:t>
      </w:r>
      <w:r w:rsidRPr="00F57A2B">
        <w:rPr>
          <w:rFonts w:cs="Arial"/>
          <w:color w:val="000016"/>
          <w:spacing w:val="2"/>
          <w:shd w:val="clear" w:color="auto" w:fill="FFFFFF"/>
        </w:rPr>
        <w:t xml:space="preserve"> </w:t>
      </w:r>
      <w:r w:rsidRPr="0048531D">
        <w:rPr>
          <w:rFonts w:cs="Arial"/>
          <w:color w:val="000016"/>
          <w:spacing w:val="2"/>
          <w:shd w:val="clear" w:color="auto" w:fill="FFFFFF"/>
        </w:rPr>
        <w:t>220.</w:t>
      </w:r>
    </w:p>
  </w:footnote>
  <w:footnote w:id="122">
    <w:p w14:paraId="7950B953" w14:textId="5A0C5FC5" w:rsidR="006B2434" w:rsidRPr="00252A82" w:rsidRDefault="006B2434" w:rsidP="006B2434">
      <w:pPr>
        <w:pStyle w:val="Notedebasdepage"/>
      </w:pPr>
      <w:r w:rsidRPr="00B535FF">
        <w:rPr>
          <w:rStyle w:val="Appelnotedebasdep"/>
          <w:lang w:val="en-CA"/>
        </w:rPr>
        <w:footnoteRef/>
      </w:r>
      <w:r w:rsidRPr="00252A82">
        <w:t xml:space="preserve"> </w:t>
      </w:r>
      <w:r w:rsidRPr="00252A82">
        <w:tab/>
        <w:t xml:space="preserve">Exhibit P-3, </w:t>
      </w:r>
      <w:r w:rsidRPr="00252A82">
        <w:rPr>
          <w:i/>
          <w:iCs/>
        </w:rPr>
        <w:t>supra</w:t>
      </w:r>
      <w:r w:rsidRPr="00252A82">
        <w:t xml:space="preserve"> note </w:t>
      </w:r>
      <w:r w:rsidRPr="00B535FF">
        <w:rPr>
          <w:lang w:val="en-CA"/>
        </w:rPr>
        <w:fldChar w:fldCharType="begin"/>
      </w:r>
      <w:r w:rsidRPr="00252A82">
        <w:instrText xml:space="preserve"> NOTEREF _Ref163037176 \h </w:instrText>
      </w:r>
      <w:r w:rsidRPr="00B535FF">
        <w:rPr>
          <w:lang w:val="en-CA"/>
        </w:rPr>
      </w:r>
      <w:r w:rsidRPr="00B535FF">
        <w:rPr>
          <w:lang w:val="en-CA"/>
        </w:rPr>
        <w:fldChar w:fldCharType="separate"/>
      </w:r>
      <w:r w:rsidR="00034ABA">
        <w:t>3</w:t>
      </w:r>
      <w:r w:rsidRPr="00B535FF">
        <w:rPr>
          <w:lang w:val="en-CA"/>
        </w:rPr>
        <w:fldChar w:fldCharType="end"/>
      </w:r>
      <w:r w:rsidRPr="00252A82">
        <w:t>.</w:t>
      </w:r>
    </w:p>
  </w:footnote>
  <w:footnote w:id="123">
    <w:p w14:paraId="3BF776B0" w14:textId="7D881E04" w:rsidR="006B2434" w:rsidRPr="00F57A2B" w:rsidRDefault="006B2434" w:rsidP="006B2434">
      <w:pPr>
        <w:pStyle w:val="Notedebasdepage"/>
      </w:pPr>
      <w:r w:rsidRPr="00B535FF">
        <w:rPr>
          <w:rStyle w:val="Appelnotedebasdep"/>
          <w:lang w:val="en-CA"/>
        </w:rPr>
        <w:footnoteRef/>
      </w:r>
      <w:r w:rsidRPr="00252A82">
        <w:t xml:space="preserve"> </w:t>
      </w:r>
      <w:r w:rsidRPr="00252A82">
        <w:tab/>
      </w:r>
      <w:r w:rsidRPr="00252A82">
        <w:rPr>
          <w:i/>
          <w:iCs/>
        </w:rPr>
        <w:t>Maison des jeunes,</w:t>
      </w:r>
      <w:r w:rsidRPr="00252A82">
        <w:t xml:space="preserve"> </w:t>
      </w:r>
      <w:r w:rsidRPr="00252A82">
        <w:rPr>
          <w:i/>
          <w:iCs/>
        </w:rPr>
        <w:t>supra</w:t>
      </w:r>
      <w:r w:rsidRPr="00252A82">
        <w:t xml:space="preserve"> note </w:t>
      </w:r>
      <w:r w:rsidRPr="00B535FF">
        <w:rPr>
          <w:lang w:val="en-CA"/>
        </w:rPr>
        <w:fldChar w:fldCharType="begin"/>
      </w:r>
      <w:r w:rsidRPr="00252A82">
        <w:instrText xml:space="preserve"> NOTEREF _Ref168403421 \h </w:instrText>
      </w:r>
      <w:r w:rsidRPr="00B535FF">
        <w:rPr>
          <w:lang w:val="en-CA"/>
        </w:rPr>
      </w:r>
      <w:r w:rsidRPr="00B535FF">
        <w:rPr>
          <w:lang w:val="en-CA"/>
        </w:rPr>
        <w:fldChar w:fldCharType="separate"/>
      </w:r>
      <w:r w:rsidR="00034ABA">
        <w:t>8</w:t>
      </w:r>
      <w:r w:rsidRPr="00B535FF">
        <w:rPr>
          <w:lang w:val="en-CA"/>
        </w:rPr>
        <w:fldChar w:fldCharType="end"/>
      </w:r>
      <w:r w:rsidRPr="00252A82">
        <w:t xml:space="preserve"> at para. </w:t>
      </w:r>
      <w:r w:rsidRPr="00F57A2B">
        <w:t>171.</w:t>
      </w:r>
    </w:p>
  </w:footnote>
  <w:footnote w:id="124">
    <w:p w14:paraId="4ECAAC20" w14:textId="6142BF43" w:rsidR="006D5393" w:rsidRPr="00F57A2B" w:rsidRDefault="006D5393" w:rsidP="006D5393">
      <w:pPr>
        <w:pStyle w:val="Notedebasdepage"/>
      </w:pPr>
      <w:r w:rsidRPr="00B535FF">
        <w:rPr>
          <w:rStyle w:val="Appelnotedebasdep"/>
          <w:lang w:val="en-CA"/>
        </w:rPr>
        <w:footnoteRef/>
      </w:r>
      <w:r w:rsidRPr="00F57A2B">
        <w:t xml:space="preserve"> </w:t>
      </w:r>
      <w:r w:rsidRPr="00F57A2B">
        <w:tab/>
      </w:r>
      <w:r w:rsidRPr="00F57A2B">
        <w:rPr>
          <w:i/>
          <w:iCs/>
        </w:rPr>
        <w:t>Bilac, supra</w:t>
      </w:r>
      <w:r w:rsidRPr="00F57A2B">
        <w:t xml:space="preserve"> note </w:t>
      </w:r>
      <w:r w:rsidRPr="00B535FF">
        <w:rPr>
          <w:lang w:val="en-CA"/>
        </w:rPr>
        <w:fldChar w:fldCharType="begin"/>
      </w:r>
      <w:r w:rsidRPr="00F57A2B">
        <w:instrText xml:space="preserve"> NOTEREF _Ref168403441 \h </w:instrText>
      </w:r>
      <w:r w:rsidRPr="00B535FF">
        <w:rPr>
          <w:lang w:val="en-CA"/>
        </w:rPr>
      </w:r>
      <w:r w:rsidRPr="00B535FF">
        <w:rPr>
          <w:lang w:val="en-CA"/>
        </w:rPr>
        <w:fldChar w:fldCharType="separate"/>
      </w:r>
      <w:r w:rsidR="00034ABA">
        <w:t>35</w:t>
      </w:r>
      <w:r w:rsidRPr="00B535FF">
        <w:rPr>
          <w:lang w:val="en-CA"/>
        </w:rPr>
        <w:fldChar w:fldCharType="end"/>
      </w:r>
      <w:r w:rsidRPr="00F57A2B">
        <w:t xml:space="preserve"> at para. 158.</w:t>
      </w:r>
    </w:p>
  </w:footnote>
  <w:footnote w:id="125">
    <w:p w14:paraId="654488FF" w14:textId="77777777" w:rsidR="006D5393" w:rsidRPr="00B535FF" w:rsidRDefault="006D5393" w:rsidP="006D5393">
      <w:pPr>
        <w:pStyle w:val="Notedebasdepage"/>
        <w:rPr>
          <w:lang w:val="en-CA"/>
        </w:rPr>
      </w:pPr>
      <w:r w:rsidRPr="00B535FF">
        <w:rPr>
          <w:rStyle w:val="Appelnotedebasdep"/>
          <w:lang w:val="en-CA"/>
        </w:rPr>
        <w:footnoteRef/>
      </w:r>
      <w:r w:rsidRPr="00F57A2B">
        <w:t xml:space="preserve"> </w:t>
      </w:r>
      <w:r w:rsidRPr="00F57A2B">
        <w:rPr>
          <w:rFonts w:cs="Arial"/>
          <w:color w:val="000000"/>
        </w:rPr>
        <w:tab/>
      </w:r>
      <w:r w:rsidRPr="00F57A2B">
        <w:rPr>
          <w:rFonts w:cs="Arial"/>
          <w:i/>
          <w:iCs/>
          <w:color w:val="000000"/>
        </w:rPr>
        <w:t>Quebec (Public Curator) v. Syndicat national des employés de l'hôpital St-Ferdinand</w:t>
      </w:r>
      <w:r w:rsidRPr="00F57A2B">
        <w:rPr>
          <w:rFonts w:cs="Arial"/>
          <w:color w:val="000000"/>
        </w:rPr>
        <w:t xml:space="preserve">, 1996 CanLII 172 (SCC), [1996] 3 SCR 211 at para. </w:t>
      </w:r>
      <w:r w:rsidRPr="00B535FF">
        <w:rPr>
          <w:rFonts w:cs="Arial"/>
          <w:color w:val="000000"/>
          <w:lang w:val="en-CA"/>
        </w:rPr>
        <w:t>121 [</w:t>
      </w:r>
      <w:r w:rsidRPr="00B535FF">
        <w:rPr>
          <w:rFonts w:cs="Arial"/>
          <w:i/>
          <w:iCs/>
          <w:color w:val="000000"/>
          <w:lang w:val="en-CA"/>
        </w:rPr>
        <w:t>Hôpital St-Ferdinand</w:t>
      </w:r>
      <w:r w:rsidRPr="00B535FF">
        <w:rPr>
          <w:rFonts w:cs="Arial"/>
          <w:color w:val="000000"/>
          <w:lang w:val="en-CA"/>
        </w:rPr>
        <w:t>].</w:t>
      </w:r>
    </w:p>
  </w:footnote>
  <w:footnote w:id="126">
    <w:p w14:paraId="69B3EBEE" w14:textId="7BB7743F" w:rsidR="00C96B39" w:rsidRPr="00B535FF" w:rsidRDefault="00E641F1" w:rsidP="00C96B39">
      <w:pPr>
        <w:pStyle w:val="Notedebasdepage"/>
        <w:rPr>
          <w:lang w:val="en-CA"/>
        </w:rPr>
      </w:pPr>
      <w:r w:rsidRPr="00B535FF">
        <w:rPr>
          <w:rStyle w:val="Appelnotedebasdep"/>
          <w:lang w:val="en-CA"/>
        </w:rPr>
        <w:footnoteRef/>
      </w:r>
      <w:r w:rsidR="00D56820" w:rsidRPr="00B535FF">
        <w:rPr>
          <w:lang w:val="en-CA"/>
        </w:rPr>
        <w:t xml:space="preserve"> </w:t>
      </w:r>
      <w:r w:rsidR="00D56820" w:rsidRPr="00B535FF">
        <w:rPr>
          <w:lang w:val="en-CA"/>
        </w:rPr>
        <w:tab/>
      </w:r>
      <w:r w:rsidRPr="00B535FF">
        <w:rPr>
          <w:rFonts w:cs="Arial"/>
          <w:i/>
          <w:iCs/>
          <w:color w:val="000000"/>
          <w:lang w:val="en-CA"/>
        </w:rPr>
        <w:t xml:space="preserve">Richard </w:t>
      </w:r>
      <w:r w:rsidR="005C7375" w:rsidRPr="00B535FF">
        <w:rPr>
          <w:rFonts w:cs="Arial"/>
          <w:i/>
          <w:iCs/>
          <w:color w:val="000000"/>
          <w:lang w:val="en-CA"/>
        </w:rPr>
        <w:t>v</w:t>
      </w:r>
      <w:r w:rsidRPr="00B535FF">
        <w:rPr>
          <w:rFonts w:cs="Arial"/>
          <w:color w:val="000000"/>
          <w:lang w:val="en-CA"/>
        </w:rPr>
        <w:t>.</w:t>
      </w:r>
      <w:r w:rsidRPr="00B535FF">
        <w:rPr>
          <w:rFonts w:cs="Arial"/>
          <w:i/>
          <w:iCs/>
          <w:color w:val="000000"/>
          <w:lang w:val="en-CA"/>
        </w:rPr>
        <w:t xml:space="preserve"> Time </w:t>
      </w:r>
      <w:r w:rsidR="005C7375" w:rsidRPr="00B535FF">
        <w:rPr>
          <w:rFonts w:cs="Arial"/>
          <w:i/>
          <w:iCs/>
          <w:color w:val="000000"/>
          <w:lang w:val="en-CA"/>
        </w:rPr>
        <w:t>I</w:t>
      </w:r>
      <w:r w:rsidRPr="00B535FF">
        <w:rPr>
          <w:rFonts w:cs="Arial"/>
          <w:i/>
          <w:iCs/>
          <w:color w:val="000000"/>
          <w:lang w:val="en-CA"/>
        </w:rPr>
        <w:t>nc.</w:t>
      </w:r>
      <w:r w:rsidRPr="00B535FF">
        <w:rPr>
          <w:rFonts w:cs="Arial"/>
          <w:color w:val="000000"/>
          <w:lang w:val="en-CA"/>
        </w:rPr>
        <w:t>, 2012 S</w:t>
      </w:r>
      <w:r w:rsidR="005C7375" w:rsidRPr="00B535FF">
        <w:rPr>
          <w:rFonts w:cs="Arial"/>
          <w:color w:val="000000"/>
          <w:lang w:val="en-CA"/>
        </w:rPr>
        <w:t>C</w:t>
      </w:r>
      <w:r w:rsidRPr="00B535FF">
        <w:rPr>
          <w:rFonts w:cs="Arial"/>
          <w:color w:val="000000"/>
          <w:lang w:val="en-CA"/>
        </w:rPr>
        <w:t>C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F637" w14:textId="533FE855" w:rsidR="00E92EA5" w:rsidRDefault="00000000">
    <w:pPr>
      <w:pStyle w:val="En-tte"/>
    </w:pPr>
    <w:r>
      <w:rPr>
        <w:noProof/>
      </w:rPr>
      <w:pict w14:anchorId="0292C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5907" o:spid="_x0000_s1026" type="#_x0000_t136" style="position:absolute;margin-left:0;margin-top:0;width:594pt;height:66pt;rotation:315;z-index:-251655168;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2E9" w14:textId="5FEA148A" w:rsidR="00D025F2" w:rsidRDefault="00000000">
    <w:pPr>
      <w:tabs>
        <w:tab w:val="center" w:pos="4709"/>
        <w:tab w:val="right" w:pos="9360"/>
      </w:tabs>
      <w:ind w:right="524"/>
    </w:pPr>
    <w:r>
      <w:rPr>
        <w:noProof/>
      </w:rPr>
      <w:pict w14:anchorId="459E2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5908" o:spid="_x0000_s1027" type="#_x0000_t136" style="position:absolute;margin-left:0;margin-top:0;width:594pt;height:66pt;rotation:315;z-index:-251653120;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r w:rsidR="00EF5343">
      <w:t>500-53-000603-215</w:t>
    </w:r>
    <w:r w:rsidR="00EF5343">
      <w:tab/>
    </w:r>
    <w:r w:rsidR="00EF5343">
      <w:tab/>
    </w:r>
    <w:r w:rsidR="00EF5343" w:rsidRPr="00ED5EBB">
      <w:t>PAGE:</w:t>
    </w:r>
    <w:r w:rsidR="00EF5343">
      <w:t xml:space="preserve"> </w:t>
    </w:r>
    <w:r w:rsidR="00EF5343">
      <w:fldChar w:fldCharType="begin"/>
    </w:r>
    <w:r w:rsidR="00EF5343">
      <w:instrText xml:space="preserve"> PAGE </w:instrText>
    </w:r>
    <w:r w:rsidR="00EF5343">
      <w:fldChar w:fldCharType="separate"/>
    </w:r>
    <w:r w:rsidR="007A3C58">
      <w:rPr>
        <w:noProof/>
      </w:rPr>
      <w:t>2</w:t>
    </w:r>
    <w:r w:rsidR="00EF5343">
      <w:fldChar w:fldCharType="end"/>
    </w:r>
  </w:p>
  <w:p w14:paraId="6EDE56FD" w14:textId="77777777" w:rsidR="00D025F2" w:rsidRDefault="00D025F2">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EE7E" w14:textId="41908CCD" w:rsidR="00E92EA5" w:rsidRDefault="00000000">
    <w:pPr>
      <w:pStyle w:val="En-tte"/>
    </w:pPr>
    <w:r>
      <w:rPr>
        <w:noProof/>
      </w:rPr>
      <w:pict w14:anchorId="7C00B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95906" o:spid="_x0000_s1025" type="#_x0000_t136" style="position:absolute;margin-left:0;margin-top:0;width:594pt;height:66pt;rotation:315;z-index:-251657216;mso-position-horizontal:center;mso-position-horizontal-relative:margin;mso-position-vertical:center;mso-position-vertical-relative:margin" o:allowincell="f" fillcolor="silver" stroked="f">
          <v:fill opacity=".5"/>
          <v:textpath style="font-family:&quot;Arial&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322C"/>
    <w:multiLevelType w:val="hybridMultilevel"/>
    <w:tmpl w:val="177C3C74"/>
    <w:lvl w:ilvl="0" w:tplc="78306E94">
      <w:start w:val="1"/>
      <w:numFmt w:val="decimal"/>
      <w:lvlText w:val="%1)"/>
      <w:lvlJc w:val="left"/>
      <w:pPr>
        <w:ind w:left="1020" w:hanging="360"/>
      </w:pPr>
    </w:lvl>
    <w:lvl w:ilvl="1" w:tplc="BB9619D0">
      <w:start w:val="1"/>
      <w:numFmt w:val="decimal"/>
      <w:lvlText w:val="%2)"/>
      <w:lvlJc w:val="left"/>
      <w:pPr>
        <w:ind w:left="1020" w:hanging="360"/>
      </w:pPr>
    </w:lvl>
    <w:lvl w:ilvl="2" w:tplc="9C2E040C">
      <w:start w:val="1"/>
      <w:numFmt w:val="decimal"/>
      <w:lvlText w:val="%3)"/>
      <w:lvlJc w:val="left"/>
      <w:pPr>
        <w:ind w:left="1020" w:hanging="360"/>
      </w:pPr>
    </w:lvl>
    <w:lvl w:ilvl="3" w:tplc="807EFA84">
      <w:start w:val="1"/>
      <w:numFmt w:val="decimal"/>
      <w:lvlText w:val="%4)"/>
      <w:lvlJc w:val="left"/>
      <w:pPr>
        <w:ind w:left="1020" w:hanging="360"/>
      </w:pPr>
    </w:lvl>
    <w:lvl w:ilvl="4" w:tplc="23BE850E">
      <w:start w:val="1"/>
      <w:numFmt w:val="decimal"/>
      <w:lvlText w:val="%5)"/>
      <w:lvlJc w:val="left"/>
      <w:pPr>
        <w:ind w:left="1020" w:hanging="360"/>
      </w:pPr>
    </w:lvl>
    <w:lvl w:ilvl="5" w:tplc="0456D1F6">
      <w:start w:val="1"/>
      <w:numFmt w:val="decimal"/>
      <w:lvlText w:val="%6)"/>
      <w:lvlJc w:val="left"/>
      <w:pPr>
        <w:ind w:left="1020" w:hanging="360"/>
      </w:pPr>
    </w:lvl>
    <w:lvl w:ilvl="6" w:tplc="464C5E06">
      <w:start w:val="1"/>
      <w:numFmt w:val="decimal"/>
      <w:lvlText w:val="%7)"/>
      <w:lvlJc w:val="left"/>
      <w:pPr>
        <w:ind w:left="1020" w:hanging="360"/>
      </w:pPr>
    </w:lvl>
    <w:lvl w:ilvl="7" w:tplc="8A6259C2">
      <w:start w:val="1"/>
      <w:numFmt w:val="decimal"/>
      <w:lvlText w:val="%8)"/>
      <w:lvlJc w:val="left"/>
      <w:pPr>
        <w:ind w:left="1020" w:hanging="360"/>
      </w:pPr>
    </w:lvl>
    <w:lvl w:ilvl="8" w:tplc="C83E80CA">
      <w:start w:val="1"/>
      <w:numFmt w:val="decimal"/>
      <w:lvlText w:val="%9)"/>
      <w:lvlJc w:val="left"/>
      <w:pPr>
        <w:ind w:left="1020" w:hanging="360"/>
      </w:pPr>
    </w:lvl>
  </w:abstractNum>
  <w:abstractNum w:abstractNumId="1" w15:restartNumberingAfterBreak="0">
    <w:nsid w:val="218824EF"/>
    <w:multiLevelType w:val="hybridMultilevel"/>
    <w:tmpl w:val="30FCC3F8"/>
    <w:lvl w:ilvl="0" w:tplc="82A471AC">
      <w:start w:val="1"/>
      <w:numFmt w:val="decimal"/>
      <w:lvlText w:val="%1)"/>
      <w:lvlJc w:val="left"/>
      <w:pPr>
        <w:ind w:left="720" w:hanging="360"/>
      </w:pPr>
    </w:lvl>
    <w:lvl w:ilvl="1" w:tplc="35D47BC0">
      <w:start w:val="1"/>
      <w:numFmt w:val="decimal"/>
      <w:lvlText w:val="%2)"/>
      <w:lvlJc w:val="left"/>
      <w:pPr>
        <w:ind w:left="720" w:hanging="360"/>
      </w:pPr>
    </w:lvl>
    <w:lvl w:ilvl="2" w:tplc="F72ACF34">
      <w:start w:val="1"/>
      <w:numFmt w:val="decimal"/>
      <w:lvlText w:val="%3)"/>
      <w:lvlJc w:val="left"/>
      <w:pPr>
        <w:ind w:left="720" w:hanging="360"/>
      </w:pPr>
    </w:lvl>
    <w:lvl w:ilvl="3" w:tplc="B382002E">
      <w:start w:val="1"/>
      <w:numFmt w:val="decimal"/>
      <w:lvlText w:val="%4)"/>
      <w:lvlJc w:val="left"/>
      <w:pPr>
        <w:ind w:left="720" w:hanging="360"/>
      </w:pPr>
    </w:lvl>
    <w:lvl w:ilvl="4" w:tplc="58422EFA">
      <w:start w:val="1"/>
      <w:numFmt w:val="decimal"/>
      <w:lvlText w:val="%5)"/>
      <w:lvlJc w:val="left"/>
      <w:pPr>
        <w:ind w:left="720" w:hanging="360"/>
      </w:pPr>
    </w:lvl>
    <w:lvl w:ilvl="5" w:tplc="76D656AA">
      <w:start w:val="1"/>
      <w:numFmt w:val="decimal"/>
      <w:lvlText w:val="%6)"/>
      <w:lvlJc w:val="left"/>
      <w:pPr>
        <w:ind w:left="720" w:hanging="360"/>
      </w:pPr>
    </w:lvl>
    <w:lvl w:ilvl="6" w:tplc="4A1C7D82">
      <w:start w:val="1"/>
      <w:numFmt w:val="decimal"/>
      <w:lvlText w:val="%7)"/>
      <w:lvlJc w:val="left"/>
      <w:pPr>
        <w:ind w:left="720" w:hanging="360"/>
      </w:pPr>
    </w:lvl>
    <w:lvl w:ilvl="7" w:tplc="5FF47754">
      <w:start w:val="1"/>
      <w:numFmt w:val="decimal"/>
      <w:lvlText w:val="%8)"/>
      <w:lvlJc w:val="left"/>
      <w:pPr>
        <w:ind w:left="720" w:hanging="360"/>
      </w:pPr>
    </w:lvl>
    <w:lvl w:ilvl="8" w:tplc="68D2A5D6">
      <w:start w:val="1"/>
      <w:numFmt w:val="decimal"/>
      <w:lvlText w:val="%9)"/>
      <w:lvlJc w:val="left"/>
      <w:pPr>
        <w:ind w:left="720" w:hanging="360"/>
      </w:pPr>
    </w:lvl>
  </w:abstractNum>
  <w:abstractNum w:abstractNumId="2" w15:restartNumberingAfterBreak="0">
    <w:nsid w:val="2262325D"/>
    <w:multiLevelType w:val="hybridMultilevel"/>
    <w:tmpl w:val="2AE4B126"/>
    <w:lvl w:ilvl="0" w:tplc="56322EDE">
      <w:start w:val="1"/>
      <w:numFmt w:val="upperLetter"/>
      <w:lvlText w:val="%1."/>
      <w:lvlJc w:val="left"/>
      <w:pPr>
        <w:ind w:left="720" w:hanging="360"/>
      </w:pPr>
      <w:rPr>
        <w:b/>
        <w:bCs/>
      </w:rPr>
    </w:lvl>
    <w:lvl w:ilvl="1" w:tplc="51EE8C86" w:tentative="1">
      <w:start w:val="1"/>
      <w:numFmt w:val="lowerLetter"/>
      <w:lvlText w:val="%2."/>
      <w:lvlJc w:val="left"/>
      <w:pPr>
        <w:ind w:left="1440" w:hanging="360"/>
      </w:pPr>
    </w:lvl>
    <w:lvl w:ilvl="2" w:tplc="74FA353A" w:tentative="1">
      <w:start w:val="1"/>
      <w:numFmt w:val="lowerRoman"/>
      <w:lvlText w:val="%3."/>
      <w:lvlJc w:val="right"/>
      <w:pPr>
        <w:ind w:left="2160" w:hanging="180"/>
      </w:pPr>
    </w:lvl>
    <w:lvl w:ilvl="3" w:tplc="61440596" w:tentative="1">
      <w:start w:val="1"/>
      <w:numFmt w:val="decimal"/>
      <w:lvlText w:val="%4."/>
      <w:lvlJc w:val="left"/>
      <w:pPr>
        <w:ind w:left="2880" w:hanging="360"/>
      </w:pPr>
    </w:lvl>
    <w:lvl w:ilvl="4" w:tplc="A538D876" w:tentative="1">
      <w:start w:val="1"/>
      <w:numFmt w:val="lowerLetter"/>
      <w:lvlText w:val="%5."/>
      <w:lvlJc w:val="left"/>
      <w:pPr>
        <w:ind w:left="3600" w:hanging="360"/>
      </w:pPr>
    </w:lvl>
    <w:lvl w:ilvl="5" w:tplc="E0A82CE2" w:tentative="1">
      <w:start w:val="1"/>
      <w:numFmt w:val="lowerRoman"/>
      <w:lvlText w:val="%6."/>
      <w:lvlJc w:val="right"/>
      <w:pPr>
        <w:ind w:left="4320" w:hanging="180"/>
      </w:pPr>
    </w:lvl>
    <w:lvl w:ilvl="6" w:tplc="3EC8EDBA" w:tentative="1">
      <w:start w:val="1"/>
      <w:numFmt w:val="decimal"/>
      <w:lvlText w:val="%7."/>
      <w:lvlJc w:val="left"/>
      <w:pPr>
        <w:ind w:left="5040" w:hanging="360"/>
      </w:pPr>
    </w:lvl>
    <w:lvl w:ilvl="7" w:tplc="B0DEBF38" w:tentative="1">
      <w:start w:val="1"/>
      <w:numFmt w:val="lowerLetter"/>
      <w:lvlText w:val="%8."/>
      <w:lvlJc w:val="left"/>
      <w:pPr>
        <w:ind w:left="5760" w:hanging="360"/>
      </w:pPr>
    </w:lvl>
    <w:lvl w:ilvl="8" w:tplc="7098D85C" w:tentative="1">
      <w:start w:val="1"/>
      <w:numFmt w:val="lowerRoman"/>
      <w:lvlText w:val="%9."/>
      <w:lvlJc w:val="right"/>
      <w:pPr>
        <w:ind w:left="6480" w:hanging="180"/>
      </w:pPr>
    </w:lvl>
  </w:abstractNum>
  <w:abstractNum w:abstractNumId="3" w15:restartNumberingAfterBreak="0">
    <w:nsid w:val="25BA0CAE"/>
    <w:multiLevelType w:val="hybridMultilevel"/>
    <w:tmpl w:val="4F109AE4"/>
    <w:lvl w:ilvl="0" w:tplc="74BCDDAA">
      <w:start w:val="1"/>
      <w:numFmt w:val="bullet"/>
      <w:lvlText w:val=""/>
      <w:lvlJc w:val="left"/>
      <w:pPr>
        <w:ind w:left="1287" w:hanging="360"/>
      </w:pPr>
      <w:rPr>
        <w:rFonts w:ascii="Symbol" w:hAnsi="Symbol" w:hint="default"/>
      </w:rPr>
    </w:lvl>
    <w:lvl w:ilvl="1" w:tplc="8294CF80" w:tentative="1">
      <w:start w:val="1"/>
      <w:numFmt w:val="lowerLetter"/>
      <w:lvlText w:val="%2."/>
      <w:lvlJc w:val="left"/>
      <w:pPr>
        <w:ind w:left="2007" w:hanging="360"/>
      </w:pPr>
    </w:lvl>
    <w:lvl w:ilvl="2" w:tplc="1FE26E22" w:tentative="1">
      <w:start w:val="1"/>
      <w:numFmt w:val="lowerRoman"/>
      <w:lvlText w:val="%3."/>
      <w:lvlJc w:val="right"/>
      <w:pPr>
        <w:ind w:left="2727" w:hanging="180"/>
      </w:pPr>
    </w:lvl>
    <w:lvl w:ilvl="3" w:tplc="67B86F44" w:tentative="1">
      <w:start w:val="1"/>
      <w:numFmt w:val="decimal"/>
      <w:lvlText w:val="%4."/>
      <w:lvlJc w:val="left"/>
      <w:pPr>
        <w:ind w:left="3447" w:hanging="360"/>
      </w:pPr>
    </w:lvl>
    <w:lvl w:ilvl="4" w:tplc="E0F6F9AE" w:tentative="1">
      <w:start w:val="1"/>
      <w:numFmt w:val="lowerLetter"/>
      <w:lvlText w:val="%5."/>
      <w:lvlJc w:val="left"/>
      <w:pPr>
        <w:ind w:left="4167" w:hanging="360"/>
      </w:pPr>
    </w:lvl>
    <w:lvl w:ilvl="5" w:tplc="0D582F50" w:tentative="1">
      <w:start w:val="1"/>
      <w:numFmt w:val="lowerRoman"/>
      <w:lvlText w:val="%6."/>
      <w:lvlJc w:val="right"/>
      <w:pPr>
        <w:ind w:left="4887" w:hanging="180"/>
      </w:pPr>
    </w:lvl>
    <w:lvl w:ilvl="6" w:tplc="85C439C2" w:tentative="1">
      <w:start w:val="1"/>
      <w:numFmt w:val="decimal"/>
      <w:lvlText w:val="%7."/>
      <w:lvlJc w:val="left"/>
      <w:pPr>
        <w:ind w:left="5607" w:hanging="360"/>
      </w:pPr>
    </w:lvl>
    <w:lvl w:ilvl="7" w:tplc="1342511A" w:tentative="1">
      <w:start w:val="1"/>
      <w:numFmt w:val="lowerLetter"/>
      <w:lvlText w:val="%8."/>
      <w:lvlJc w:val="left"/>
      <w:pPr>
        <w:ind w:left="6327" w:hanging="360"/>
      </w:pPr>
    </w:lvl>
    <w:lvl w:ilvl="8" w:tplc="C5F62014" w:tentative="1">
      <w:start w:val="1"/>
      <w:numFmt w:val="lowerRoman"/>
      <w:lvlText w:val="%9."/>
      <w:lvlJc w:val="right"/>
      <w:pPr>
        <w:ind w:left="7047" w:hanging="180"/>
      </w:pPr>
    </w:lvl>
  </w:abstractNum>
  <w:abstractNum w:abstractNumId="4" w15:restartNumberingAfterBreak="0">
    <w:nsid w:val="29DE545F"/>
    <w:multiLevelType w:val="multilevel"/>
    <w:tmpl w:val="07F82EE6"/>
    <w:lvl w:ilvl="0">
      <w:start w:val="1"/>
      <w:numFmt w:val="upperRoman"/>
      <w:pStyle w:val="Titre1"/>
      <w:lvlText w:val="%1."/>
      <w:lvlJc w:val="left"/>
      <w:pPr>
        <w:ind w:left="0" w:firstLine="0"/>
      </w:pPr>
      <w:rPr>
        <w:rFonts w:hint="default"/>
      </w:rPr>
    </w:lvl>
    <w:lvl w:ilvl="1">
      <w:start w:val="1"/>
      <w:numFmt w:val="upperLetter"/>
      <w:lvlText w:val="%2."/>
      <w:lvlJc w:val="left"/>
      <w:pPr>
        <w:ind w:left="720" w:hanging="360"/>
      </w:pPr>
    </w:lvl>
    <w:lvl w:ilvl="2">
      <w:start w:val="1"/>
      <w:numFmt w:val="decimal"/>
      <w:lvlText w:val="%3."/>
      <w:lvlJc w:val="left"/>
      <w:pPr>
        <w:ind w:left="1287" w:hanging="360"/>
      </w:pPr>
    </w:lvl>
    <w:lvl w:ilvl="3">
      <w:start w:val="1"/>
      <w:numFmt w:val="lowerLetter"/>
      <w:pStyle w:val="Titre4"/>
      <w:lvlText w:val="%4)"/>
      <w:lvlJc w:val="left"/>
      <w:pPr>
        <w:ind w:left="2160" w:firstLine="0"/>
      </w:pPr>
      <w:rPr>
        <w:rFonts w:hint="default"/>
      </w:rPr>
    </w:lvl>
    <w:lvl w:ilvl="4">
      <w:start w:val="1"/>
      <w:numFmt w:val="lowerRoman"/>
      <w:pStyle w:val="Titre5"/>
      <w:lvlText w:val="(%5)"/>
      <w:lvlJc w:val="left"/>
      <w:pPr>
        <w:ind w:left="2880" w:firstLine="0"/>
      </w:pPr>
      <w:rPr>
        <w:rFonts w:hint="default"/>
        <w:b w:val="0"/>
        <w:i w:val="0"/>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5" w15:restartNumberingAfterBreak="0">
    <w:nsid w:val="2BD12CF1"/>
    <w:multiLevelType w:val="multilevel"/>
    <w:tmpl w:val="AA703ED0"/>
    <w:lvl w:ilvl="0">
      <w:start w:val="1"/>
      <w:numFmt w:val="decimal"/>
      <w:pStyle w:val="numration"/>
      <w:lvlText w:val="%1)"/>
      <w:lvlJc w:val="left"/>
      <w:pPr>
        <w:tabs>
          <w:tab w:val="num" w:pos="1094"/>
        </w:tabs>
        <w:ind w:left="734" w:firstLine="0"/>
      </w:pPr>
      <w:rPr>
        <w:rFonts w:hint="default"/>
        <w:b w:val="0"/>
        <w:i w:val="0"/>
        <w:sz w:val="24"/>
      </w:rPr>
    </w:lvl>
    <w:lvl w:ilvl="1">
      <w:start w:val="1"/>
      <w:numFmt w:val="decimal"/>
      <w:lvlText w:val="%1.%2."/>
      <w:lvlJc w:val="left"/>
      <w:pPr>
        <w:tabs>
          <w:tab w:val="num" w:pos="1526"/>
        </w:tabs>
        <w:ind w:left="1526" w:hanging="432"/>
      </w:pPr>
      <w:rPr>
        <w:rFonts w:hint="default"/>
      </w:rPr>
    </w:lvl>
    <w:lvl w:ilvl="2">
      <w:start w:val="1"/>
      <w:numFmt w:val="decimal"/>
      <w:lvlText w:val="%1.%2.%3."/>
      <w:lvlJc w:val="left"/>
      <w:pPr>
        <w:tabs>
          <w:tab w:val="num" w:pos="2174"/>
        </w:tabs>
        <w:ind w:left="1958" w:hanging="504"/>
      </w:pPr>
      <w:rPr>
        <w:rFonts w:hint="default"/>
      </w:rPr>
    </w:lvl>
    <w:lvl w:ilvl="3">
      <w:start w:val="1"/>
      <w:numFmt w:val="decimal"/>
      <w:lvlText w:val="%1.%2.%3.%4."/>
      <w:lvlJc w:val="left"/>
      <w:pPr>
        <w:tabs>
          <w:tab w:val="num" w:pos="2462"/>
        </w:tabs>
        <w:ind w:left="2462" w:hanging="648"/>
      </w:pPr>
      <w:rPr>
        <w:rFonts w:hint="default"/>
      </w:rPr>
    </w:lvl>
    <w:lvl w:ilvl="4">
      <w:start w:val="1"/>
      <w:numFmt w:val="decimal"/>
      <w:lvlText w:val="%1.%2.%3.%4.%5."/>
      <w:lvlJc w:val="left"/>
      <w:pPr>
        <w:tabs>
          <w:tab w:val="num" w:pos="3254"/>
        </w:tabs>
        <w:ind w:left="2966" w:hanging="792"/>
      </w:pPr>
      <w:rPr>
        <w:rFonts w:hint="default"/>
      </w:rPr>
    </w:lvl>
    <w:lvl w:ilvl="5">
      <w:start w:val="1"/>
      <w:numFmt w:val="decimal"/>
      <w:lvlText w:val="%1.%2.%3.%4.%5.%6."/>
      <w:lvlJc w:val="left"/>
      <w:pPr>
        <w:tabs>
          <w:tab w:val="num" w:pos="3974"/>
        </w:tabs>
        <w:ind w:left="3470" w:hanging="936"/>
      </w:pPr>
      <w:rPr>
        <w:rFonts w:hint="default"/>
      </w:rPr>
    </w:lvl>
    <w:lvl w:ilvl="6">
      <w:start w:val="1"/>
      <w:numFmt w:val="decimal"/>
      <w:lvlText w:val="%1.%2.%3.%4.%5.%6.%7."/>
      <w:lvlJc w:val="left"/>
      <w:pPr>
        <w:tabs>
          <w:tab w:val="num" w:pos="4334"/>
        </w:tabs>
        <w:ind w:left="3974" w:hanging="1080"/>
      </w:pPr>
      <w:rPr>
        <w:rFonts w:hint="default"/>
      </w:rPr>
    </w:lvl>
    <w:lvl w:ilvl="7">
      <w:start w:val="1"/>
      <w:numFmt w:val="decimal"/>
      <w:lvlText w:val="%1.%2.%3.%4.%5.%6.%7.%8."/>
      <w:lvlJc w:val="left"/>
      <w:pPr>
        <w:tabs>
          <w:tab w:val="num" w:pos="5054"/>
        </w:tabs>
        <w:ind w:left="4478" w:hanging="1224"/>
      </w:pPr>
      <w:rPr>
        <w:rFonts w:hint="default"/>
      </w:rPr>
    </w:lvl>
    <w:lvl w:ilvl="8">
      <w:start w:val="1"/>
      <w:numFmt w:val="decimal"/>
      <w:lvlText w:val="%1.%2.%3.%4.%5.%6.%7.%8.%9."/>
      <w:lvlJc w:val="left"/>
      <w:pPr>
        <w:tabs>
          <w:tab w:val="num" w:pos="5774"/>
        </w:tabs>
        <w:ind w:left="5054" w:hanging="1440"/>
      </w:pPr>
      <w:rPr>
        <w:rFonts w:hint="default"/>
      </w:rPr>
    </w:lvl>
  </w:abstractNum>
  <w:abstractNum w:abstractNumId="6" w15:restartNumberingAfterBreak="0">
    <w:nsid w:val="2EB75758"/>
    <w:multiLevelType w:val="hybridMultilevel"/>
    <w:tmpl w:val="4B9AC1E8"/>
    <w:lvl w:ilvl="0" w:tplc="536486FE">
      <w:start w:val="1"/>
      <w:numFmt w:val="decimal"/>
      <w:lvlText w:val="%1)"/>
      <w:lvlJc w:val="left"/>
      <w:pPr>
        <w:ind w:left="720" w:hanging="360"/>
      </w:pPr>
    </w:lvl>
    <w:lvl w:ilvl="1" w:tplc="64FA49CE">
      <w:start w:val="1"/>
      <w:numFmt w:val="decimal"/>
      <w:lvlText w:val="%2)"/>
      <w:lvlJc w:val="left"/>
      <w:pPr>
        <w:ind w:left="720" w:hanging="360"/>
      </w:pPr>
    </w:lvl>
    <w:lvl w:ilvl="2" w:tplc="F634C6B4">
      <w:start w:val="1"/>
      <w:numFmt w:val="decimal"/>
      <w:lvlText w:val="%3)"/>
      <w:lvlJc w:val="left"/>
      <w:pPr>
        <w:ind w:left="720" w:hanging="360"/>
      </w:pPr>
    </w:lvl>
    <w:lvl w:ilvl="3" w:tplc="6C22BADA">
      <w:start w:val="1"/>
      <w:numFmt w:val="decimal"/>
      <w:lvlText w:val="%4)"/>
      <w:lvlJc w:val="left"/>
      <w:pPr>
        <w:ind w:left="720" w:hanging="360"/>
      </w:pPr>
    </w:lvl>
    <w:lvl w:ilvl="4" w:tplc="CBEA626C">
      <w:start w:val="1"/>
      <w:numFmt w:val="decimal"/>
      <w:lvlText w:val="%5)"/>
      <w:lvlJc w:val="left"/>
      <w:pPr>
        <w:ind w:left="720" w:hanging="360"/>
      </w:pPr>
    </w:lvl>
    <w:lvl w:ilvl="5" w:tplc="3E582286">
      <w:start w:val="1"/>
      <w:numFmt w:val="decimal"/>
      <w:lvlText w:val="%6)"/>
      <w:lvlJc w:val="left"/>
      <w:pPr>
        <w:ind w:left="720" w:hanging="360"/>
      </w:pPr>
    </w:lvl>
    <w:lvl w:ilvl="6" w:tplc="B6DA7D68">
      <w:start w:val="1"/>
      <w:numFmt w:val="decimal"/>
      <w:lvlText w:val="%7)"/>
      <w:lvlJc w:val="left"/>
      <w:pPr>
        <w:ind w:left="720" w:hanging="360"/>
      </w:pPr>
    </w:lvl>
    <w:lvl w:ilvl="7" w:tplc="98846E10">
      <w:start w:val="1"/>
      <w:numFmt w:val="decimal"/>
      <w:lvlText w:val="%8)"/>
      <w:lvlJc w:val="left"/>
      <w:pPr>
        <w:ind w:left="720" w:hanging="360"/>
      </w:pPr>
    </w:lvl>
    <w:lvl w:ilvl="8" w:tplc="F0A0A8DC">
      <w:start w:val="1"/>
      <w:numFmt w:val="decimal"/>
      <w:lvlText w:val="%9)"/>
      <w:lvlJc w:val="left"/>
      <w:pPr>
        <w:ind w:left="720" w:hanging="360"/>
      </w:pPr>
    </w:lvl>
  </w:abstractNum>
  <w:abstractNum w:abstractNumId="7" w15:restartNumberingAfterBreak="0">
    <w:nsid w:val="36604756"/>
    <w:multiLevelType w:val="hybridMultilevel"/>
    <w:tmpl w:val="D7BE3910"/>
    <w:lvl w:ilvl="0" w:tplc="FAA67596">
      <w:start w:val="1"/>
      <w:numFmt w:val="lowerRoman"/>
      <w:lvlText w:val="%1."/>
      <w:lvlJc w:val="right"/>
      <w:pPr>
        <w:ind w:left="720" w:hanging="360"/>
      </w:pPr>
    </w:lvl>
    <w:lvl w:ilvl="1" w:tplc="5C521742" w:tentative="1">
      <w:start w:val="1"/>
      <w:numFmt w:val="lowerLetter"/>
      <w:lvlText w:val="%2."/>
      <w:lvlJc w:val="left"/>
      <w:pPr>
        <w:ind w:left="1440" w:hanging="360"/>
      </w:pPr>
    </w:lvl>
    <w:lvl w:ilvl="2" w:tplc="A8626732" w:tentative="1">
      <w:start w:val="1"/>
      <w:numFmt w:val="lowerRoman"/>
      <w:lvlText w:val="%3."/>
      <w:lvlJc w:val="right"/>
      <w:pPr>
        <w:ind w:left="2160" w:hanging="180"/>
      </w:pPr>
    </w:lvl>
    <w:lvl w:ilvl="3" w:tplc="470CFE88" w:tentative="1">
      <w:start w:val="1"/>
      <w:numFmt w:val="decimal"/>
      <w:lvlText w:val="%4."/>
      <w:lvlJc w:val="left"/>
      <w:pPr>
        <w:ind w:left="2880" w:hanging="360"/>
      </w:pPr>
    </w:lvl>
    <w:lvl w:ilvl="4" w:tplc="630C59E8" w:tentative="1">
      <w:start w:val="1"/>
      <w:numFmt w:val="lowerLetter"/>
      <w:lvlText w:val="%5."/>
      <w:lvlJc w:val="left"/>
      <w:pPr>
        <w:ind w:left="3600" w:hanging="360"/>
      </w:pPr>
    </w:lvl>
    <w:lvl w:ilvl="5" w:tplc="8958830A" w:tentative="1">
      <w:start w:val="1"/>
      <w:numFmt w:val="lowerRoman"/>
      <w:lvlText w:val="%6."/>
      <w:lvlJc w:val="right"/>
      <w:pPr>
        <w:ind w:left="4320" w:hanging="180"/>
      </w:pPr>
    </w:lvl>
    <w:lvl w:ilvl="6" w:tplc="B44443C0" w:tentative="1">
      <w:start w:val="1"/>
      <w:numFmt w:val="decimal"/>
      <w:lvlText w:val="%7."/>
      <w:lvlJc w:val="left"/>
      <w:pPr>
        <w:ind w:left="5040" w:hanging="360"/>
      </w:pPr>
    </w:lvl>
    <w:lvl w:ilvl="7" w:tplc="82F6A576" w:tentative="1">
      <w:start w:val="1"/>
      <w:numFmt w:val="lowerLetter"/>
      <w:lvlText w:val="%8."/>
      <w:lvlJc w:val="left"/>
      <w:pPr>
        <w:ind w:left="5760" w:hanging="360"/>
      </w:pPr>
    </w:lvl>
    <w:lvl w:ilvl="8" w:tplc="3BF0E3EA" w:tentative="1">
      <w:start w:val="1"/>
      <w:numFmt w:val="lowerRoman"/>
      <w:lvlText w:val="%9."/>
      <w:lvlJc w:val="right"/>
      <w:pPr>
        <w:ind w:left="6480" w:hanging="180"/>
      </w:pPr>
    </w:lvl>
  </w:abstractNum>
  <w:abstractNum w:abstractNumId="8" w15:restartNumberingAfterBreak="0">
    <w:nsid w:val="3CDB5AB8"/>
    <w:multiLevelType w:val="hybridMultilevel"/>
    <w:tmpl w:val="332EBEA6"/>
    <w:lvl w:ilvl="0" w:tplc="86E8FA56">
      <w:start w:val="1"/>
      <w:numFmt w:val="decimal"/>
      <w:lvlText w:val="%1)"/>
      <w:lvlJc w:val="left"/>
      <w:pPr>
        <w:ind w:left="1020" w:hanging="360"/>
      </w:pPr>
    </w:lvl>
    <w:lvl w:ilvl="1" w:tplc="41BA10EE">
      <w:start w:val="1"/>
      <w:numFmt w:val="decimal"/>
      <w:lvlText w:val="%2)"/>
      <w:lvlJc w:val="left"/>
      <w:pPr>
        <w:ind w:left="1020" w:hanging="360"/>
      </w:pPr>
    </w:lvl>
    <w:lvl w:ilvl="2" w:tplc="00228356">
      <w:start w:val="1"/>
      <w:numFmt w:val="decimal"/>
      <w:lvlText w:val="%3)"/>
      <w:lvlJc w:val="left"/>
      <w:pPr>
        <w:ind w:left="1020" w:hanging="360"/>
      </w:pPr>
    </w:lvl>
    <w:lvl w:ilvl="3" w:tplc="ECA0720C">
      <w:start w:val="1"/>
      <w:numFmt w:val="decimal"/>
      <w:lvlText w:val="%4)"/>
      <w:lvlJc w:val="left"/>
      <w:pPr>
        <w:ind w:left="1020" w:hanging="360"/>
      </w:pPr>
    </w:lvl>
    <w:lvl w:ilvl="4" w:tplc="CC6AB1B6">
      <w:start w:val="1"/>
      <w:numFmt w:val="decimal"/>
      <w:lvlText w:val="%5)"/>
      <w:lvlJc w:val="left"/>
      <w:pPr>
        <w:ind w:left="1020" w:hanging="360"/>
      </w:pPr>
    </w:lvl>
    <w:lvl w:ilvl="5" w:tplc="32A2E0C0">
      <w:start w:val="1"/>
      <w:numFmt w:val="decimal"/>
      <w:lvlText w:val="%6)"/>
      <w:lvlJc w:val="left"/>
      <w:pPr>
        <w:ind w:left="1020" w:hanging="360"/>
      </w:pPr>
    </w:lvl>
    <w:lvl w:ilvl="6" w:tplc="CBB09312">
      <w:start w:val="1"/>
      <w:numFmt w:val="decimal"/>
      <w:lvlText w:val="%7)"/>
      <w:lvlJc w:val="left"/>
      <w:pPr>
        <w:ind w:left="1020" w:hanging="360"/>
      </w:pPr>
    </w:lvl>
    <w:lvl w:ilvl="7" w:tplc="B6CC3DA0">
      <w:start w:val="1"/>
      <w:numFmt w:val="decimal"/>
      <w:lvlText w:val="%8)"/>
      <w:lvlJc w:val="left"/>
      <w:pPr>
        <w:ind w:left="1020" w:hanging="360"/>
      </w:pPr>
    </w:lvl>
    <w:lvl w:ilvl="8" w:tplc="7DFEDF40">
      <w:start w:val="1"/>
      <w:numFmt w:val="decimal"/>
      <w:lvlText w:val="%9)"/>
      <w:lvlJc w:val="left"/>
      <w:pPr>
        <w:ind w:left="1020" w:hanging="360"/>
      </w:pPr>
    </w:lvl>
  </w:abstractNum>
  <w:abstractNum w:abstractNumId="9" w15:restartNumberingAfterBreak="0">
    <w:nsid w:val="3E7314DA"/>
    <w:multiLevelType w:val="hybridMultilevel"/>
    <w:tmpl w:val="3A22B054"/>
    <w:lvl w:ilvl="0" w:tplc="10AA9E3C">
      <w:start w:val="1"/>
      <w:numFmt w:val="decimal"/>
      <w:lvlText w:val="%1)"/>
      <w:lvlJc w:val="left"/>
      <w:pPr>
        <w:ind w:left="1020" w:hanging="360"/>
      </w:pPr>
    </w:lvl>
    <w:lvl w:ilvl="1" w:tplc="1092FC1C">
      <w:start w:val="1"/>
      <w:numFmt w:val="decimal"/>
      <w:lvlText w:val="%2)"/>
      <w:lvlJc w:val="left"/>
      <w:pPr>
        <w:ind w:left="1020" w:hanging="360"/>
      </w:pPr>
    </w:lvl>
    <w:lvl w:ilvl="2" w:tplc="85D02712">
      <w:start w:val="1"/>
      <w:numFmt w:val="decimal"/>
      <w:lvlText w:val="%3)"/>
      <w:lvlJc w:val="left"/>
      <w:pPr>
        <w:ind w:left="1020" w:hanging="360"/>
      </w:pPr>
    </w:lvl>
    <w:lvl w:ilvl="3" w:tplc="51348C80">
      <w:start w:val="1"/>
      <w:numFmt w:val="decimal"/>
      <w:lvlText w:val="%4)"/>
      <w:lvlJc w:val="left"/>
      <w:pPr>
        <w:ind w:left="1020" w:hanging="360"/>
      </w:pPr>
    </w:lvl>
    <w:lvl w:ilvl="4" w:tplc="9D4E2A2E">
      <w:start w:val="1"/>
      <w:numFmt w:val="decimal"/>
      <w:lvlText w:val="%5)"/>
      <w:lvlJc w:val="left"/>
      <w:pPr>
        <w:ind w:left="1020" w:hanging="360"/>
      </w:pPr>
    </w:lvl>
    <w:lvl w:ilvl="5" w:tplc="83A0127A">
      <w:start w:val="1"/>
      <w:numFmt w:val="decimal"/>
      <w:lvlText w:val="%6)"/>
      <w:lvlJc w:val="left"/>
      <w:pPr>
        <w:ind w:left="1020" w:hanging="360"/>
      </w:pPr>
    </w:lvl>
    <w:lvl w:ilvl="6" w:tplc="45D0CE54">
      <w:start w:val="1"/>
      <w:numFmt w:val="decimal"/>
      <w:lvlText w:val="%7)"/>
      <w:lvlJc w:val="left"/>
      <w:pPr>
        <w:ind w:left="1020" w:hanging="360"/>
      </w:pPr>
    </w:lvl>
    <w:lvl w:ilvl="7" w:tplc="F384A056">
      <w:start w:val="1"/>
      <w:numFmt w:val="decimal"/>
      <w:lvlText w:val="%8)"/>
      <w:lvlJc w:val="left"/>
      <w:pPr>
        <w:ind w:left="1020" w:hanging="360"/>
      </w:pPr>
    </w:lvl>
    <w:lvl w:ilvl="8" w:tplc="8648DC84">
      <w:start w:val="1"/>
      <w:numFmt w:val="decimal"/>
      <w:lvlText w:val="%9)"/>
      <w:lvlJc w:val="left"/>
      <w:pPr>
        <w:ind w:left="1020" w:hanging="360"/>
      </w:pPr>
    </w:lvl>
  </w:abstractNum>
  <w:abstractNum w:abstractNumId="10" w15:restartNumberingAfterBreak="0">
    <w:nsid w:val="4DA74D25"/>
    <w:multiLevelType w:val="hybridMultilevel"/>
    <w:tmpl w:val="77B28472"/>
    <w:lvl w:ilvl="0" w:tplc="A378C746">
      <w:start w:val="1"/>
      <w:numFmt w:val="decimal"/>
      <w:lvlText w:val="%1)"/>
      <w:lvlJc w:val="left"/>
      <w:pPr>
        <w:ind w:left="1020" w:hanging="360"/>
      </w:pPr>
    </w:lvl>
    <w:lvl w:ilvl="1" w:tplc="3FD40DA8">
      <w:start w:val="1"/>
      <w:numFmt w:val="decimal"/>
      <w:lvlText w:val="%2)"/>
      <w:lvlJc w:val="left"/>
      <w:pPr>
        <w:ind w:left="1020" w:hanging="360"/>
      </w:pPr>
    </w:lvl>
    <w:lvl w:ilvl="2" w:tplc="298669B4">
      <w:start w:val="1"/>
      <w:numFmt w:val="decimal"/>
      <w:lvlText w:val="%3)"/>
      <w:lvlJc w:val="left"/>
      <w:pPr>
        <w:ind w:left="1020" w:hanging="360"/>
      </w:pPr>
    </w:lvl>
    <w:lvl w:ilvl="3" w:tplc="B0D8C828">
      <w:start w:val="1"/>
      <w:numFmt w:val="decimal"/>
      <w:lvlText w:val="%4)"/>
      <w:lvlJc w:val="left"/>
      <w:pPr>
        <w:ind w:left="1020" w:hanging="360"/>
      </w:pPr>
    </w:lvl>
    <w:lvl w:ilvl="4" w:tplc="31283B3E">
      <w:start w:val="1"/>
      <w:numFmt w:val="decimal"/>
      <w:lvlText w:val="%5)"/>
      <w:lvlJc w:val="left"/>
      <w:pPr>
        <w:ind w:left="1020" w:hanging="360"/>
      </w:pPr>
    </w:lvl>
    <w:lvl w:ilvl="5" w:tplc="17CA041E">
      <w:start w:val="1"/>
      <w:numFmt w:val="decimal"/>
      <w:lvlText w:val="%6)"/>
      <w:lvlJc w:val="left"/>
      <w:pPr>
        <w:ind w:left="1020" w:hanging="360"/>
      </w:pPr>
    </w:lvl>
    <w:lvl w:ilvl="6" w:tplc="621AFBB6">
      <w:start w:val="1"/>
      <w:numFmt w:val="decimal"/>
      <w:lvlText w:val="%7)"/>
      <w:lvlJc w:val="left"/>
      <w:pPr>
        <w:ind w:left="1020" w:hanging="360"/>
      </w:pPr>
    </w:lvl>
    <w:lvl w:ilvl="7" w:tplc="F6C0DD62">
      <w:start w:val="1"/>
      <w:numFmt w:val="decimal"/>
      <w:lvlText w:val="%8)"/>
      <w:lvlJc w:val="left"/>
      <w:pPr>
        <w:ind w:left="1020" w:hanging="360"/>
      </w:pPr>
    </w:lvl>
    <w:lvl w:ilvl="8" w:tplc="96CA3FA4">
      <w:start w:val="1"/>
      <w:numFmt w:val="decimal"/>
      <w:lvlText w:val="%9)"/>
      <w:lvlJc w:val="left"/>
      <w:pPr>
        <w:ind w:left="1020" w:hanging="360"/>
      </w:pPr>
    </w:lvl>
  </w:abstractNum>
  <w:abstractNum w:abstractNumId="11" w15:restartNumberingAfterBreak="0">
    <w:nsid w:val="525A0100"/>
    <w:multiLevelType w:val="hybridMultilevel"/>
    <w:tmpl w:val="ADAC43C6"/>
    <w:lvl w:ilvl="0" w:tplc="2F5AF428">
      <w:start w:val="1"/>
      <w:numFmt w:val="upperLetter"/>
      <w:lvlText w:val="%1."/>
      <w:lvlJc w:val="left"/>
      <w:pPr>
        <w:ind w:left="720" w:hanging="360"/>
      </w:pPr>
    </w:lvl>
    <w:lvl w:ilvl="1" w:tplc="4EAA4B04" w:tentative="1">
      <w:start w:val="1"/>
      <w:numFmt w:val="lowerLetter"/>
      <w:lvlText w:val="%2."/>
      <w:lvlJc w:val="left"/>
      <w:pPr>
        <w:ind w:left="1440" w:hanging="360"/>
      </w:pPr>
    </w:lvl>
    <w:lvl w:ilvl="2" w:tplc="290E815E" w:tentative="1">
      <w:start w:val="1"/>
      <w:numFmt w:val="lowerRoman"/>
      <w:lvlText w:val="%3."/>
      <w:lvlJc w:val="right"/>
      <w:pPr>
        <w:ind w:left="2160" w:hanging="180"/>
      </w:pPr>
    </w:lvl>
    <w:lvl w:ilvl="3" w:tplc="969A2B68" w:tentative="1">
      <w:start w:val="1"/>
      <w:numFmt w:val="decimal"/>
      <w:lvlText w:val="%4."/>
      <w:lvlJc w:val="left"/>
      <w:pPr>
        <w:ind w:left="2880" w:hanging="360"/>
      </w:pPr>
    </w:lvl>
    <w:lvl w:ilvl="4" w:tplc="90F240C8" w:tentative="1">
      <w:start w:val="1"/>
      <w:numFmt w:val="lowerLetter"/>
      <w:lvlText w:val="%5."/>
      <w:lvlJc w:val="left"/>
      <w:pPr>
        <w:ind w:left="3600" w:hanging="360"/>
      </w:pPr>
    </w:lvl>
    <w:lvl w:ilvl="5" w:tplc="966ADAE0" w:tentative="1">
      <w:start w:val="1"/>
      <w:numFmt w:val="lowerRoman"/>
      <w:lvlText w:val="%6."/>
      <w:lvlJc w:val="right"/>
      <w:pPr>
        <w:ind w:left="4320" w:hanging="180"/>
      </w:pPr>
    </w:lvl>
    <w:lvl w:ilvl="6" w:tplc="5D32D360" w:tentative="1">
      <w:start w:val="1"/>
      <w:numFmt w:val="decimal"/>
      <w:lvlText w:val="%7."/>
      <w:lvlJc w:val="left"/>
      <w:pPr>
        <w:ind w:left="5040" w:hanging="360"/>
      </w:pPr>
    </w:lvl>
    <w:lvl w:ilvl="7" w:tplc="9BD0E0BA" w:tentative="1">
      <w:start w:val="1"/>
      <w:numFmt w:val="lowerLetter"/>
      <w:lvlText w:val="%8."/>
      <w:lvlJc w:val="left"/>
      <w:pPr>
        <w:ind w:left="5760" w:hanging="360"/>
      </w:pPr>
    </w:lvl>
    <w:lvl w:ilvl="8" w:tplc="C8A61866" w:tentative="1">
      <w:start w:val="1"/>
      <w:numFmt w:val="lowerRoman"/>
      <w:lvlText w:val="%9."/>
      <w:lvlJc w:val="right"/>
      <w:pPr>
        <w:ind w:left="6480" w:hanging="180"/>
      </w:pPr>
    </w:lvl>
  </w:abstractNum>
  <w:abstractNum w:abstractNumId="12" w15:restartNumberingAfterBreak="0">
    <w:nsid w:val="53FB16D7"/>
    <w:multiLevelType w:val="hybridMultilevel"/>
    <w:tmpl w:val="D0CE06A4"/>
    <w:lvl w:ilvl="0" w:tplc="3C18D660">
      <w:start w:val="1"/>
      <w:numFmt w:val="decimal"/>
      <w:lvlText w:val="%1)"/>
      <w:lvlJc w:val="left"/>
      <w:pPr>
        <w:ind w:left="1020" w:hanging="360"/>
      </w:pPr>
    </w:lvl>
    <w:lvl w:ilvl="1" w:tplc="BF16262E">
      <w:start w:val="1"/>
      <w:numFmt w:val="decimal"/>
      <w:lvlText w:val="%2)"/>
      <w:lvlJc w:val="left"/>
      <w:pPr>
        <w:ind w:left="1020" w:hanging="360"/>
      </w:pPr>
    </w:lvl>
    <w:lvl w:ilvl="2" w:tplc="11E287EE">
      <w:start w:val="1"/>
      <w:numFmt w:val="decimal"/>
      <w:lvlText w:val="%3)"/>
      <w:lvlJc w:val="left"/>
      <w:pPr>
        <w:ind w:left="1020" w:hanging="360"/>
      </w:pPr>
    </w:lvl>
    <w:lvl w:ilvl="3" w:tplc="18C80636">
      <w:start w:val="1"/>
      <w:numFmt w:val="decimal"/>
      <w:lvlText w:val="%4)"/>
      <w:lvlJc w:val="left"/>
      <w:pPr>
        <w:ind w:left="1020" w:hanging="360"/>
      </w:pPr>
    </w:lvl>
    <w:lvl w:ilvl="4" w:tplc="B2E6CBD4">
      <w:start w:val="1"/>
      <w:numFmt w:val="decimal"/>
      <w:lvlText w:val="%5)"/>
      <w:lvlJc w:val="left"/>
      <w:pPr>
        <w:ind w:left="1020" w:hanging="360"/>
      </w:pPr>
    </w:lvl>
    <w:lvl w:ilvl="5" w:tplc="00AAC80C">
      <w:start w:val="1"/>
      <w:numFmt w:val="decimal"/>
      <w:lvlText w:val="%6)"/>
      <w:lvlJc w:val="left"/>
      <w:pPr>
        <w:ind w:left="1020" w:hanging="360"/>
      </w:pPr>
    </w:lvl>
    <w:lvl w:ilvl="6" w:tplc="1092FB08">
      <w:start w:val="1"/>
      <w:numFmt w:val="decimal"/>
      <w:lvlText w:val="%7)"/>
      <w:lvlJc w:val="left"/>
      <w:pPr>
        <w:ind w:left="1020" w:hanging="360"/>
      </w:pPr>
    </w:lvl>
    <w:lvl w:ilvl="7" w:tplc="F50A2AA6">
      <w:start w:val="1"/>
      <w:numFmt w:val="decimal"/>
      <w:lvlText w:val="%8)"/>
      <w:lvlJc w:val="left"/>
      <w:pPr>
        <w:ind w:left="1020" w:hanging="360"/>
      </w:pPr>
    </w:lvl>
    <w:lvl w:ilvl="8" w:tplc="7382E490">
      <w:start w:val="1"/>
      <w:numFmt w:val="decimal"/>
      <w:lvlText w:val="%9)"/>
      <w:lvlJc w:val="left"/>
      <w:pPr>
        <w:ind w:left="1020" w:hanging="360"/>
      </w:pPr>
    </w:lvl>
  </w:abstractNum>
  <w:abstractNum w:abstractNumId="13" w15:restartNumberingAfterBreak="0">
    <w:nsid w:val="5CCE1660"/>
    <w:multiLevelType w:val="hybridMultilevel"/>
    <w:tmpl w:val="504CC40C"/>
    <w:lvl w:ilvl="0" w:tplc="8EDC3A78">
      <w:start w:val="1"/>
      <w:numFmt w:val="decimal"/>
      <w:lvlText w:val="%1)"/>
      <w:lvlJc w:val="left"/>
      <w:pPr>
        <w:ind w:left="1020" w:hanging="360"/>
      </w:pPr>
    </w:lvl>
    <w:lvl w:ilvl="1" w:tplc="9EB4CF12">
      <w:start w:val="1"/>
      <w:numFmt w:val="decimal"/>
      <w:lvlText w:val="%2)"/>
      <w:lvlJc w:val="left"/>
      <w:pPr>
        <w:ind w:left="1020" w:hanging="360"/>
      </w:pPr>
    </w:lvl>
    <w:lvl w:ilvl="2" w:tplc="5ACA48DA">
      <w:start w:val="1"/>
      <w:numFmt w:val="decimal"/>
      <w:lvlText w:val="%3)"/>
      <w:lvlJc w:val="left"/>
      <w:pPr>
        <w:ind w:left="1020" w:hanging="360"/>
      </w:pPr>
    </w:lvl>
    <w:lvl w:ilvl="3" w:tplc="61AC837A">
      <w:start w:val="1"/>
      <w:numFmt w:val="decimal"/>
      <w:lvlText w:val="%4)"/>
      <w:lvlJc w:val="left"/>
      <w:pPr>
        <w:ind w:left="1020" w:hanging="360"/>
      </w:pPr>
    </w:lvl>
    <w:lvl w:ilvl="4" w:tplc="44BAE35E">
      <w:start w:val="1"/>
      <w:numFmt w:val="decimal"/>
      <w:lvlText w:val="%5)"/>
      <w:lvlJc w:val="left"/>
      <w:pPr>
        <w:ind w:left="1020" w:hanging="360"/>
      </w:pPr>
    </w:lvl>
    <w:lvl w:ilvl="5" w:tplc="1098D304">
      <w:start w:val="1"/>
      <w:numFmt w:val="decimal"/>
      <w:lvlText w:val="%6)"/>
      <w:lvlJc w:val="left"/>
      <w:pPr>
        <w:ind w:left="1020" w:hanging="360"/>
      </w:pPr>
    </w:lvl>
    <w:lvl w:ilvl="6" w:tplc="FD4E5BE6">
      <w:start w:val="1"/>
      <w:numFmt w:val="decimal"/>
      <w:lvlText w:val="%7)"/>
      <w:lvlJc w:val="left"/>
      <w:pPr>
        <w:ind w:left="1020" w:hanging="360"/>
      </w:pPr>
    </w:lvl>
    <w:lvl w:ilvl="7" w:tplc="EB84B472">
      <w:start w:val="1"/>
      <w:numFmt w:val="decimal"/>
      <w:lvlText w:val="%8)"/>
      <w:lvlJc w:val="left"/>
      <w:pPr>
        <w:ind w:left="1020" w:hanging="360"/>
      </w:pPr>
    </w:lvl>
    <w:lvl w:ilvl="8" w:tplc="F2CAD7DA">
      <w:start w:val="1"/>
      <w:numFmt w:val="decimal"/>
      <w:lvlText w:val="%9)"/>
      <w:lvlJc w:val="left"/>
      <w:pPr>
        <w:ind w:left="1020" w:hanging="360"/>
      </w:pPr>
    </w:lvl>
  </w:abstractNum>
  <w:abstractNum w:abstractNumId="14" w15:restartNumberingAfterBreak="0">
    <w:nsid w:val="5D3B7212"/>
    <w:multiLevelType w:val="hybridMultilevel"/>
    <w:tmpl w:val="DFD22F9C"/>
    <w:lvl w:ilvl="0" w:tplc="FFF0561E">
      <w:start w:val="1"/>
      <w:numFmt w:val="decimal"/>
      <w:lvlText w:val="%1)"/>
      <w:lvlJc w:val="left"/>
      <w:pPr>
        <w:ind w:left="1020" w:hanging="360"/>
      </w:pPr>
    </w:lvl>
    <w:lvl w:ilvl="1" w:tplc="0DDAA0BE">
      <w:start w:val="1"/>
      <w:numFmt w:val="decimal"/>
      <w:lvlText w:val="%2)"/>
      <w:lvlJc w:val="left"/>
      <w:pPr>
        <w:ind w:left="1020" w:hanging="360"/>
      </w:pPr>
    </w:lvl>
    <w:lvl w:ilvl="2" w:tplc="06820934">
      <w:start w:val="1"/>
      <w:numFmt w:val="decimal"/>
      <w:lvlText w:val="%3)"/>
      <w:lvlJc w:val="left"/>
      <w:pPr>
        <w:ind w:left="1020" w:hanging="360"/>
      </w:pPr>
    </w:lvl>
    <w:lvl w:ilvl="3" w:tplc="601440CC">
      <w:start w:val="1"/>
      <w:numFmt w:val="decimal"/>
      <w:lvlText w:val="%4)"/>
      <w:lvlJc w:val="left"/>
      <w:pPr>
        <w:ind w:left="1020" w:hanging="360"/>
      </w:pPr>
    </w:lvl>
    <w:lvl w:ilvl="4" w:tplc="3856A05C">
      <w:start w:val="1"/>
      <w:numFmt w:val="decimal"/>
      <w:lvlText w:val="%5)"/>
      <w:lvlJc w:val="left"/>
      <w:pPr>
        <w:ind w:left="1020" w:hanging="360"/>
      </w:pPr>
    </w:lvl>
    <w:lvl w:ilvl="5" w:tplc="7E62DBC4">
      <w:start w:val="1"/>
      <w:numFmt w:val="decimal"/>
      <w:lvlText w:val="%6)"/>
      <w:lvlJc w:val="left"/>
      <w:pPr>
        <w:ind w:left="1020" w:hanging="360"/>
      </w:pPr>
    </w:lvl>
    <w:lvl w:ilvl="6" w:tplc="9BE8BA78">
      <w:start w:val="1"/>
      <w:numFmt w:val="decimal"/>
      <w:lvlText w:val="%7)"/>
      <w:lvlJc w:val="left"/>
      <w:pPr>
        <w:ind w:left="1020" w:hanging="360"/>
      </w:pPr>
    </w:lvl>
    <w:lvl w:ilvl="7" w:tplc="0198A24A">
      <w:start w:val="1"/>
      <w:numFmt w:val="decimal"/>
      <w:lvlText w:val="%8)"/>
      <w:lvlJc w:val="left"/>
      <w:pPr>
        <w:ind w:left="1020" w:hanging="360"/>
      </w:pPr>
    </w:lvl>
    <w:lvl w:ilvl="8" w:tplc="78248CCE">
      <w:start w:val="1"/>
      <w:numFmt w:val="decimal"/>
      <w:lvlText w:val="%9)"/>
      <w:lvlJc w:val="left"/>
      <w:pPr>
        <w:ind w:left="1020" w:hanging="360"/>
      </w:pPr>
    </w:lvl>
  </w:abstractNum>
  <w:abstractNum w:abstractNumId="15" w15:restartNumberingAfterBreak="0">
    <w:nsid w:val="609C0DCC"/>
    <w:multiLevelType w:val="multilevel"/>
    <w:tmpl w:val="98DA7FD4"/>
    <w:lvl w:ilvl="0">
      <w:start w:val="1"/>
      <w:numFmt w:val="decimal"/>
      <w:lvlText w:val="[%1]"/>
      <w:lvlJc w:val="left"/>
      <w:pPr>
        <w:tabs>
          <w:tab w:val="num" w:pos="2629"/>
        </w:tabs>
        <w:ind w:left="2269"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64460D13"/>
    <w:multiLevelType w:val="hybridMultilevel"/>
    <w:tmpl w:val="A98A954C"/>
    <w:lvl w:ilvl="0" w:tplc="FA7E5DEA">
      <w:start w:val="1"/>
      <w:numFmt w:val="decimal"/>
      <w:lvlText w:val="%1)"/>
      <w:lvlJc w:val="left"/>
      <w:pPr>
        <w:ind w:left="720" w:hanging="360"/>
      </w:pPr>
    </w:lvl>
    <w:lvl w:ilvl="1" w:tplc="47DC2152">
      <w:start w:val="1"/>
      <w:numFmt w:val="decimal"/>
      <w:lvlText w:val="%2)"/>
      <w:lvlJc w:val="left"/>
      <w:pPr>
        <w:ind w:left="720" w:hanging="360"/>
      </w:pPr>
    </w:lvl>
    <w:lvl w:ilvl="2" w:tplc="A3882964">
      <w:start w:val="1"/>
      <w:numFmt w:val="decimal"/>
      <w:lvlText w:val="%3)"/>
      <w:lvlJc w:val="left"/>
      <w:pPr>
        <w:ind w:left="720" w:hanging="360"/>
      </w:pPr>
    </w:lvl>
    <w:lvl w:ilvl="3" w:tplc="67A2427C">
      <w:start w:val="1"/>
      <w:numFmt w:val="decimal"/>
      <w:lvlText w:val="%4)"/>
      <w:lvlJc w:val="left"/>
      <w:pPr>
        <w:ind w:left="720" w:hanging="360"/>
      </w:pPr>
    </w:lvl>
    <w:lvl w:ilvl="4" w:tplc="EC24CC50">
      <w:start w:val="1"/>
      <w:numFmt w:val="decimal"/>
      <w:lvlText w:val="%5)"/>
      <w:lvlJc w:val="left"/>
      <w:pPr>
        <w:ind w:left="720" w:hanging="360"/>
      </w:pPr>
    </w:lvl>
    <w:lvl w:ilvl="5" w:tplc="B1C2DC50">
      <w:start w:val="1"/>
      <w:numFmt w:val="decimal"/>
      <w:lvlText w:val="%6)"/>
      <w:lvlJc w:val="left"/>
      <w:pPr>
        <w:ind w:left="720" w:hanging="360"/>
      </w:pPr>
    </w:lvl>
    <w:lvl w:ilvl="6" w:tplc="8F38DE6A">
      <w:start w:val="1"/>
      <w:numFmt w:val="decimal"/>
      <w:lvlText w:val="%7)"/>
      <w:lvlJc w:val="left"/>
      <w:pPr>
        <w:ind w:left="720" w:hanging="360"/>
      </w:pPr>
    </w:lvl>
    <w:lvl w:ilvl="7" w:tplc="124C3806">
      <w:start w:val="1"/>
      <w:numFmt w:val="decimal"/>
      <w:lvlText w:val="%8)"/>
      <w:lvlJc w:val="left"/>
      <w:pPr>
        <w:ind w:left="720" w:hanging="360"/>
      </w:pPr>
    </w:lvl>
    <w:lvl w:ilvl="8" w:tplc="A79A5E2E">
      <w:start w:val="1"/>
      <w:numFmt w:val="decimal"/>
      <w:lvlText w:val="%9)"/>
      <w:lvlJc w:val="left"/>
      <w:pPr>
        <w:ind w:left="720" w:hanging="360"/>
      </w:pPr>
    </w:lvl>
  </w:abstractNum>
  <w:abstractNum w:abstractNumId="17" w15:restartNumberingAfterBreak="0">
    <w:nsid w:val="67EE6C29"/>
    <w:multiLevelType w:val="hybridMultilevel"/>
    <w:tmpl w:val="7464B572"/>
    <w:lvl w:ilvl="0" w:tplc="80AE3822">
      <w:start w:val="1"/>
      <w:numFmt w:val="decimal"/>
      <w:lvlText w:val="%1)"/>
      <w:lvlJc w:val="left"/>
      <w:pPr>
        <w:ind w:left="1020" w:hanging="360"/>
      </w:pPr>
    </w:lvl>
    <w:lvl w:ilvl="1" w:tplc="ED102A5A">
      <w:start w:val="1"/>
      <w:numFmt w:val="decimal"/>
      <w:lvlText w:val="%2)"/>
      <w:lvlJc w:val="left"/>
      <w:pPr>
        <w:ind w:left="1020" w:hanging="360"/>
      </w:pPr>
    </w:lvl>
    <w:lvl w:ilvl="2" w:tplc="32320A04">
      <w:start w:val="1"/>
      <w:numFmt w:val="decimal"/>
      <w:lvlText w:val="%3)"/>
      <w:lvlJc w:val="left"/>
      <w:pPr>
        <w:ind w:left="1020" w:hanging="360"/>
      </w:pPr>
    </w:lvl>
    <w:lvl w:ilvl="3" w:tplc="C0AE4D22">
      <w:start w:val="1"/>
      <w:numFmt w:val="decimal"/>
      <w:lvlText w:val="%4)"/>
      <w:lvlJc w:val="left"/>
      <w:pPr>
        <w:ind w:left="1020" w:hanging="360"/>
      </w:pPr>
    </w:lvl>
    <w:lvl w:ilvl="4" w:tplc="90D6E262">
      <w:start w:val="1"/>
      <w:numFmt w:val="decimal"/>
      <w:lvlText w:val="%5)"/>
      <w:lvlJc w:val="left"/>
      <w:pPr>
        <w:ind w:left="1020" w:hanging="360"/>
      </w:pPr>
    </w:lvl>
    <w:lvl w:ilvl="5" w:tplc="58D8DA24">
      <w:start w:val="1"/>
      <w:numFmt w:val="decimal"/>
      <w:lvlText w:val="%6)"/>
      <w:lvlJc w:val="left"/>
      <w:pPr>
        <w:ind w:left="1020" w:hanging="360"/>
      </w:pPr>
    </w:lvl>
    <w:lvl w:ilvl="6" w:tplc="412452C8">
      <w:start w:val="1"/>
      <w:numFmt w:val="decimal"/>
      <w:lvlText w:val="%7)"/>
      <w:lvlJc w:val="left"/>
      <w:pPr>
        <w:ind w:left="1020" w:hanging="360"/>
      </w:pPr>
    </w:lvl>
    <w:lvl w:ilvl="7" w:tplc="1A963C82">
      <w:start w:val="1"/>
      <w:numFmt w:val="decimal"/>
      <w:lvlText w:val="%8)"/>
      <w:lvlJc w:val="left"/>
      <w:pPr>
        <w:ind w:left="1020" w:hanging="360"/>
      </w:pPr>
    </w:lvl>
    <w:lvl w:ilvl="8" w:tplc="AAFCF20E">
      <w:start w:val="1"/>
      <w:numFmt w:val="decimal"/>
      <w:lvlText w:val="%9)"/>
      <w:lvlJc w:val="left"/>
      <w:pPr>
        <w:ind w:left="1020" w:hanging="360"/>
      </w:pPr>
    </w:lvl>
  </w:abstractNum>
  <w:abstractNum w:abstractNumId="18" w15:restartNumberingAfterBreak="0">
    <w:nsid w:val="710D4533"/>
    <w:multiLevelType w:val="hybridMultilevel"/>
    <w:tmpl w:val="2AE4B126"/>
    <w:lvl w:ilvl="0" w:tplc="BB6252C4">
      <w:start w:val="1"/>
      <w:numFmt w:val="upperLetter"/>
      <w:lvlText w:val="%1."/>
      <w:lvlJc w:val="left"/>
      <w:pPr>
        <w:ind w:left="720" w:hanging="360"/>
      </w:pPr>
      <w:rPr>
        <w:b/>
        <w:bCs/>
      </w:rPr>
    </w:lvl>
    <w:lvl w:ilvl="1" w:tplc="BAF4B040" w:tentative="1">
      <w:start w:val="1"/>
      <w:numFmt w:val="lowerLetter"/>
      <w:lvlText w:val="%2."/>
      <w:lvlJc w:val="left"/>
      <w:pPr>
        <w:ind w:left="1440" w:hanging="360"/>
      </w:pPr>
    </w:lvl>
    <w:lvl w:ilvl="2" w:tplc="FFF4C8F2" w:tentative="1">
      <w:start w:val="1"/>
      <w:numFmt w:val="lowerRoman"/>
      <w:lvlText w:val="%3."/>
      <w:lvlJc w:val="right"/>
      <w:pPr>
        <w:ind w:left="2160" w:hanging="180"/>
      </w:pPr>
    </w:lvl>
    <w:lvl w:ilvl="3" w:tplc="6DAA7D36" w:tentative="1">
      <w:start w:val="1"/>
      <w:numFmt w:val="decimal"/>
      <w:lvlText w:val="%4."/>
      <w:lvlJc w:val="left"/>
      <w:pPr>
        <w:ind w:left="2880" w:hanging="360"/>
      </w:pPr>
    </w:lvl>
    <w:lvl w:ilvl="4" w:tplc="F9A6DED6" w:tentative="1">
      <w:start w:val="1"/>
      <w:numFmt w:val="lowerLetter"/>
      <w:lvlText w:val="%5."/>
      <w:lvlJc w:val="left"/>
      <w:pPr>
        <w:ind w:left="3600" w:hanging="360"/>
      </w:pPr>
    </w:lvl>
    <w:lvl w:ilvl="5" w:tplc="44DAB23A" w:tentative="1">
      <w:start w:val="1"/>
      <w:numFmt w:val="lowerRoman"/>
      <w:lvlText w:val="%6."/>
      <w:lvlJc w:val="right"/>
      <w:pPr>
        <w:ind w:left="4320" w:hanging="180"/>
      </w:pPr>
    </w:lvl>
    <w:lvl w:ilvl="6" w:tplc="E1E8258C" w:tentative="1">
      <w:start w:val="1"/>
      <w:numFmt w:val="decimal"/>
      <w:lvlText w:val="%7."/>
      <w:lvlJc w:val="left"/>
      <w:pPr>
        <w:ind w:left="5040" w:hanging="360"/>
      </w:pPr>
    </w:lvl>
    <w:lvl w:ilvl="7" w:tplc="BAD06A1E" w:tentative="1">
      <w:start w:val="1"/>
      <w:numFmt w:val="lowerLetter"/>
      <w:lvlText w:val="%8."/>
      <w:lvlJc w:val="left"/>
      <w:pPr>
        <w:ind w:left="5760" w:hanging="360"/>
      </w:pPr>
    </w:lvl>
    <w:lvl w:ilvl="8" w:tplc="74EA959C" w:tentative="1">
      <w:start w:val="1"/>
      <w:numFmt w:val="lowerRoman"/>
      <w:lvlText w:val="%9."/>
      <w:lvlJc w:val="right"/>
      <w:pPr>
        <w:ind w:left="6480" w:hanging="180"/>
      </w:pPr>
    </w:lvl>
  </w:abstractNum>
  <w:abstractNum w:abstractNumId="19" w15:restartNumberingAfterBreak="0">
    <w:nsid w:val="7DDC3F9C"/>
    <w:multiLevelType w:val="hybridMultilevel"/>
    <w:tmpl w:val="01D0FF2C"/>
    <w:lvl w:ilvl="0" w:tplc="E25C97D2">
      <w:start w:val="1"/>
      <w:numFmt w:val="decimal"/>
      <w:lvlText w:val="%1)"/>
      <w:lvlJc w:val="left"/>
      <w:pPr>
        <w:ind w:left="1020" w:hanging="360"/>
      </w:pPr>
    </w:lvl>
    <w:lvl w:ilvl="1" w:tplc="CB7018DA">
      <w:start w:val="1"/>
      <w:numFmt w:val="decimal"/>
      <w:lvlText w:val="%2)"/>
      <w:lvlJc w:val="left"/>
      <w:pPr>
        <w:ind w:left="1020" w:hanging="360"/>
      </w:pPr>
    </w:lvl>
    <w:lvl w:ilvl="2" w:tplc="E60028AC">
      <w:start w:val="1"/>
      <w:numFmt w:val="decimal"/>
      <w:lvlText w:val="%3)"/>
      <w:lvlJc w:val="left"/>
      <w:pPr>
        <w:ind w:left="1020" w:hanging="360"/>
      </w:pPr>
    </w:lvl>
    <w:lvl w:ilvl="3" w:tplc="99F24A0E">
      <w:start w:val="1"/>
      <w:numFmt w:val="decimal"/>
      <w:lvlText w:val="%4)"/>
      <w:lvlJc w:val="left"/>
      <w:pPr>
        <w:ind w:left="1020" w:hanging="360"/>
      </w:pPr>
    </w:lvl>
    <w:lvl w:ilvl="4" w:tplc="7744E04E">
      <w:start w:val="1"/>
      <w:numFmt w:val="decimal"/>
      <w:lvlText w:val="%5)"/>
      <w:lvlJc w:val="left"/>
      <w:pPr>
        <w:ind w:left="1020" w:hanging="360"/>
      </w:pPr>
    </w:lvl>
    <w:lvl w:ilvl="5" w:tplc="A88A5160">
      <w:start w:val="1"/>
      <w:numFmt w:val="decimal"/>
      <w:lvlText w:val="%6)"/>
      <w:lvlJc w:val="left"/>
      <w:pPr>
        <w:ind w:left="1020" w:hanging="360"/>
      </w:pPr>
    </w:lvl>
    <w:lvl w:ilvl="6" w:tplc="53D20570">
      <w:start w:val="1"/>
      <w:numFmt w:val="decimal"/>
      <w:lvlText w:val="%7)"/>
      <w:lvlJc w:val="left"/>
      <w:pPr>
        <w:ind w:left="1020" w:hanging="360"/>
      </w:pPr>
    </w:lvl>
    <w:lvl w:ilvl="7" w:tplc="1034FA9C">
      <w:start w:val="1"/>
      <w:numFmt w:val="decimal"/>
      <w:lvlText w:val="%8)"/>
      <w:lvlJc w:val="left"/>
      <w:pPr>
        <w:ind w:left="1020" w:hanging="360"/>
      </w:pPr>
    </w:lvl>
    <w:lvl w:ilvl="8" w:tplc="ECBC8680">
      <w:start w:val="1"/>
      <w:numFmt w:val="decimal"/>
      <w:lvlText w:val="%9)"/>
      <w:lvlJc w:val="left"/>
      <w:pPr>
        <w:ind w:left="1020" w:hanging="360"/>
      </w:pPr>
    </w:lvl>
  </w:abstractNum>
  <w:num w:numId="1" w16cid:durableId="357004217">
    <w:abstractNumId w:val="15"/>
  </w:num>
  <w:num w:numId="2" w16cid:durableId="1176962647">
    <w:abstractNumId w:val="5"/>
  </w:num>
  <w:num w:numId="3" w16cid:durableId="1894079062">
    <w:abstractNumId w:val="4"/>
  </w:num>
  <w:num w:numId="4" w16cid:durableId="1463032690">
    <w:abstractNumId w:val="3"/>
  </w:num>
  <w:num w:numId="5" w16cid:durableId="332798771">
    <w:abstractNumId w:val="11"/>
  </w:num>
  <w:num w:numId="6" w16cid:durableId="704064217">
    <w:abstractNumId w:val="2"/>
  </w:num>
  <w:num w:numId="7" w16cid:durableId="236061457">
    <w:abstractNumId w:val="7"/>
  </w:num>
  <w:num w:numId="8" w16cid:durableId="1518689710">
    <w:abstractNumId w:val="18"/>
  </w:num>
  <w:num w:numId="9" w16cid:durableId="647245818">
    <w:abstractNumId w:val="8"/>
  </w:num>
  <w:num w:numId="10" w16cid:durableId="1834181411">
    <w:abstractNumId w:val="10"/>
  </w:num>
  <w:num w:numId="11" w16cid:durableId="608858900">
    <w:abstractNumId w:val="13"/>
  </w:num>
  <w:num w:numId="12" w16cid:durableId="424886868">
    <w:abstractNumId w:val="0"/>
  </w:num>
  <w:num w:numId="13" w16cid:durableId="1088772726">
    <w:abstractNumId w:val="6"/>
  </w:num>
  <w:num w:numId="14" w16cid:durableId="922959583">
    <w:abstractNumId w:val="9"/>
  </w:num>
  <w:num w:numId="15" w16cid:durableId="438137660">
    <w:abstractNumId w:val="14"/>
  </w:num>
  <w:num w:numId="16" w16cid:durableId="1256666352">
    <w:abstractNumId w:val="1"/>
  </w:num>
  <w:num w:numId="17" w16cid:durableId="2101219542">
    <w:abstractNumId w:val="12"/>
  </w:num>
  <w:num w:numId="18" w16cid:durableId="1040857038">
    <w:abstractNumId w:val="19"/>
  </w:num>
  <w:num w:numId="19" w16cid:durableId="1386443819">
    <w:abstractNumId w:val="16"/>
  </w:num>
  <w:num w:numId="20" w16cid:durableId="147544428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E"/>
    <w:rsid w:val="00004769"/>
    <w:rsid w:val="00012307"/>
    <w:rsid w:val="00012F2D"/>
    <w:rsid w:val="000161D5"/>
    <w:rsid w:val="000162F3"/>
    <w:rsid w:val="000200BC"/>
    <w:rsid w:val="0002216C"/>
    <w:rsid w:val="000223F6"/>
    <w:rsid w:val="000248FF"/>
    <w:rsid w:val="00026183"/>
    <w:rsid w:val="00026524"/>
    <w:rsid w:val="000276B2"/>
    <w:rsid w:val="00027FB0"/>
    <w:rsid w:val="00030457"/>
    <w:rsid w:val="00031A5A"/>
    <w:rsid w:val="000321DF"/>
    <w:rsid w:val="00034ABA"/>
    <w:rsid w:val="000376D0"/>
    <w:rsid w:val="00040A74"/>
    <w:rsid w:val="00042476"/>
    <w:rsid w:val="00042D5D"/>
    <w:rsid w:val="00044576"/>
    <w:rsid w:val="00044C9F"/>
    <w:rsid w:val="00047E54"/>
    <w:rsid w:val="00054076"/>
    <w:rsid w:val="000540C3"/>
    <w:rsid w:val="00054C27"/>
    <w:rsid w:val="0005674E"/>
    <w:rsid w:val="00061399"/>
    <w:rsid w:val="00062814"/>
    <w:rsid w:val="000634F0"/>
    <w:rsid w:val="0006456D"/>
    <w:rsid w:val="000666E4"/>
    <w:rsid w:val="000715A2"/>
    <w:rsid w:val="000730EB"/>
    <w:rsid w:val="00073D69"/>
    <w:rsid w:val="00077756"/>
    <w:rsid w:val="00081B70"/>
    <w:rsid w:val="0008325A"/>
    <w:rsid w:val="00085C32"/>
    <w:rsid w:val="0008615C"/>
    <w:rsid w:val="00087109"/>
    <w:rsid w:val="00092A2B"/>
    <w:rsid w:val="000942FD"/>
    <w:rsid w:val="000967CD"/>
    <w:rsid w:val="000A0FAB"/>
    <w:rsid w:val="000A3220"/>
    <w:rsid w:val="000A38CB"/>
    <w:rsid w:val="000A533E"/>
    <w:rsid w:val="000A732B"/>
    <w:rsid w:val="000B278E"/>
    <w:rsid w:val="000B3C17"/>
    <w:rsid w:val="000B558F"/>
    <w:rsid w:val="000B5C17"/>
    <w:rsid w:val="000C2D01"/>
    <w:rsid w:val="000C6F57"/>
    <w:rsid w:val="000D0475"/>
    <w:rsid w:val="000D3622"/>
    <w:rsid w:val="000D5F3E"/>
    <w:rsid w:val="000E202A"/>
    <w:rsid w:val="000E2B61"/>
    <w:rsid w:val="000E54CA"/>
    <w:rsid w:val="000E761A"/>
    <w:rsid w:val="000E7677"/>
    <w:rsid w:val="000F0A7D"/>
    <w:rsid w:val="000F2783"/>
    <w:rsid w:val="000F3DFC"/>
    <w:rsid w:val="000F5EC5"/>
    <w:rsid w:val="00102AF7"/>
    <w:rsid w:val="001031F2"/>
    <w:rsid w:val="0010350A"/>
    <w:rsid w:val="00105AEF"/>
    <w:rsid w:val="0010656B"/>
    <w:rsid w:val="001073DE"/>
    <w:rsid w:val="00110F9C"/>
    <w:rsid w:val="001130A5"/>
    <w:rsid w:val="00120975"/>
    <w:rsid w:val="001215CE"/>
    <w:rsid w:val="001232ED"/>
    <w:rsid w:val="00124AE5"/>
    <w:rsid w:val="00126E69"/>
    <w:rsid w:val="001277C1"/>
    <w:rsid w:val="00132E26"/>
    <w:rsid w:val="00133628"/>
    <w:rsid w:val="00134709"/>
    <w:rsid w:val="0013566A"/>
    <w:rsid w:val="00137E2B"/>
    <w:rsid w:val="00141136"/>
    <w:rsid w:val="00142661"/>
    <w:rsid w:val="001426E5"/>
    <w:rsid w:val="00143FA7"/>
    <w:rsid w:val="00144F17"/>
    <w:rsid w:val="00150D3D"/>
    <w:rsid w:val="00151E64"/>
    <w:rsid w:val="00154099"/>
    <w:rsid w:val="00154AFC"/>
    <w:rsid w:val="00154EC0"/>
    <w:rsid w:val="001609C2"/>
    <w:rsid w:val="00162926"/>
    <w:rsid w:val="00163CC2"/>
    <w:rsid w:val="00163DDF"/>
    <w:rsid w:val="0016440E"/>
    <w:rsid w:val="00164AC8"/>
    <w:rsid w:val="001677C1"/>
    <w:rsid w:val="00171181"/>
    <w:rsid w:val="0017289D"/>
    <w:rsid w:val="00173AAA"/>
    <w:rsid w:val="0017718D"/>
    <w:rsid w:val="0018089F"/>
    <w:rsid w:val="001811AA"/>
    <w:rsid w:val="001811FE"/>
    <w:rsid w:val="00182F92"/>
    <w:rsid w:val="001845B0"/>
    <w:rsid w:val="00190920"/>
    <w:rsid w:val="00191CD0"/>
    <w:rsid w:val="00192C94"/>
    <w:rsid w:val="00193047"/>
    <w:rsid w:val="00194D44"/>
    <w:rsid w:val="001957D3"/>
    <w:rsid w:val="001A16B9"/>
    <w:rsid w:val="001A31F3"/>
    <w:rsid w:val="001A409D"/>
    <w:rsid w:val="001A608D"/>
    <w:rsid w:val="001A69BB"/>
    <w:rsid w:val="001B090E"/>
    <w:rsid w:val="001C0E66"/>
    <w:rsid w:val="001C1363"/>
    <w:rsid w:val="001C1458"/>
    <w:rsid w:val="001C2BC8"/>
    <w:rsid w:val="001D2824"/>
    <w:rsid w:val="001D4E31"/>
    <w:rsid w:val="001E56D2"/>
    <w:rsid w:val="001E70A4"/>
    <w:rsid w:val="001E7F64"/>
    <w:rsid w:val="001F031A"/>
    <w:rsid w:val="001F1668"/>
    <w:rsid w:val="001F384E"/>
    <w:rsid w:val="001F4703"/>
    <w:rsid w:val="001F62F3"/>
    <w:rsid w:val="001F7D67"/>
    <w:rsid w:val="00202EFB"/>
    <w:rsid w:val="002051DB"/>
    <w:rsid w:val="002055B3"/>
    <w:rsid w:val="00205D93"/>
    <w:rsid w:val="00210E8F"/>
    <w:rsid w:val="0021192E"/>
    <w:rsid w:val="00212E4F"/>
    <w:rsid w:val="0021508B"/>
    <w:rsid w:val="00215CC7"/>
    <w:rsid w:val="00216F25"/>
    <w:rsid w:val="00221054"/>
    <w:rsid w:val="00221D80"/>
    <w:rsid w:val="00222452"/>
    <w:rsid w:val="00222BF6"/>
    <w:rsid w:val="00222EB4"/>
    <w:rsid w:val="002230E1"/>
    <w:rsid w:val="0022392F"/>
    <w:rsid w:val="002239F9"/>
    <w:rsid w:val="00226981"/>
    <w:rsid w:val="00230DF5"/>
    <w:rsid w:val="0023146E"/>
    <w:rsid w:val="00233AEB"/>
    <w:rsid w:val="00234507"/>
    <w:rsid w:val="00235F3C"/>
    <w:rsid w:val="002373A4"/>
    <w:rsid w:val="002402E7"/>
    <w:rsid w:val="0024220C"/>
    <w:rsid w:val="00242D8A"/>
    <w:rsid w:val="002440F6"/>
    <w:rsid w:val="00244124"/>
    <w:rsid w:val="0024740C"/>
    <w:rsid w:val="00252094"/>
    <w:rsid w:val="00252A82"/>
    <w:rsid w:val="002530BF"/>
    <w:rsid w:val="0025657F"/>
    <w:rsid w:val="002608FA"/>
    <w:rsid w:val="0026128E"/>
    <w:rsid w:val="00261869"/>
    <w:rsid w:val="00262CA7"/>
    <w:rsid w:val="00264F0E"/>
    <w:rsid w:val="0027005E"/>
    <w:rsid w:val="00273C26"/>
    <w:rsid w:val="00274CF4"/>
    <w:rsid w:val="00281D6D"/>
    <w:rsid w:val="002864E6"/>
    <w:rsid w:val="00287164"/>
    <w:rsid w:val="0028721F"/>
    <w:rsid w:val="002903AE"/>
    <w:rsid w:val="00295D38"/>
    <w:rsid w:val="002A0953"/>
    <w:rsid w:val="002A2350"/>
    <w:rsid w:val="002B261E"/>
    <w:rsid w:val="002B4F0C"/>
    <w:rsid w:val="002B56EA"/>
    <w:rsid w:val="002B695F"/>
    <w:rsid w:val="002B7AC7"/>
    <w:rsid w:val="002B7C39"/>
    <w:rsid w:val="002C064D"/>
    <w:rsid w:val="002C3110"/>
    <w:rsid w:val="002C41AC"/>
    <w:rsid w:val="002D0676"/>
    <w:rsid w:val="002D662C"/>
    <w:rsid w:val="002D79CD"/>
    <w:rsid w:val="002E1D62"/>
    <w:rsid w:val="002E2BE0"/>
    <w:rsid w:val="002E3784"/>
    <w:rsid w:val="002E4EAD"/>
    <w:rsid w:val="002E60FB"/>
    <w:rsid w:val="002E62C9"/>
    <w:rsid w:val="002F3D1C"/>
    <w:rsid w:val="002F4580"/>
    <w:rsid w:val="002F46E5"/>
    <w:rsid w:val="002F594E"/>
    <w:rsid w:val="00301E4C"/>
    <w:rsid w:val="00303293"/>
    <w:rsid w:val="00304B8E"/>
    <w:rsid w:val="00306E67"/>
    <w:rsid w:val="00307533"/>
    <w:rsid w:val="0031048E"/>
    <w:rsid w:val="00310EBF"/>
    <w:rsid w:val="003119E5"/>
    <w:rsid w:val="003129A1"/>
    <w:rsid w:val="003170D5"/>
    <w:rsid w:val="00323F6C"/>
    <w:rsid w:val="00324BC1"/>
    <w:rsid w:val="0032558C"/>
    <w:rsid w:val="0032764E"/>
    <w:rsid w:val="0033170A"/>
    <w:rsid w:val="003337D9"/>
    <w:rsid w:val="00333C5E"/>
    <w:rsid w:val="0033527B"/>
    <w:rsid w:val="00337402"/>
    <w:rsid w:val="003441C9"/>
    <w:rsid w:val="00346702"/>
    <w:rsid w:val="00346FBA"/>
    <w:rsid w:val="00350031"/>
    <w:rsid w:val="00352364"/>
    <w:rsid w:val="00352A29"/>
    <w:rsid w:val="00353BE3"/>
    <w:rsid w:val="00354011"/>
    <w:rsid w:val="0035467C"/>
    <w:rsid w:val="0035628B"/>
    <w:rsid w:val="00356E80"/>
    <w:rsid w:val="003573F1"/>
    <w:rsid w:val="00364CD9"/>
    <w:rsid w:val="003651C4"/>
    <w:rsid w:val="00365ACF"/>
    <w:rsid w:val="00366923"/>
    <w:rsid w:val="00366A84"/>
    <w:rsid w:val="0037094B"/>
    <w:rsid w:val="00372082"/>
    <w:rsid w:val="0037514B"/>
    <w:rsid w:val="00377347"/>
    <w:rsid w:val="003776F8"/>
    <w:rsid w:val="003866FD"/>
    <w:rsid w:val="003877EF"/>
    <w:rsid w:val="00391B04"/>
    <w:rsid w:val="00393396"/>
    <w:rsid w:val="0039414F"/>
    <w:rsid w:val="00394428"/>
    <w:rsid w:val="00394A5F"/>
    <w:rsid w:val="00396117"/>
    <w:rsid w:val="003A250D"/>
    <w:rsid w:val="003A43DA"/>
    <w:rsid w:val="003B010A"/>
    <w:rsid w:val="003B49D1"/>
    <w:rsid w:val="003B5CB2"/>
    <w:rsid w:val="003C32FB"/>
    <w:rsid w:val="003C35C4"/>
    <w:rsid w:val="003C7E63"/>
    <w:rsid w:val="003D137E"/>
    <w:rsid w:val="003D39FD"/>
    <w:rsid w:val="003D48B8"/>
    <w:rsid w:val="003D4EA8"/>
    <w:rsid w:val="003D5D82"/>
    <w:rsid w:val="003E01EB"/>
    <w:rsid w:val="003E34B0"/>
    <w:rsid w:val="003E55B5"/>
    <w:rsid w:val="003E7DB5"/>
    <w:rsid w:val="003F05B4"/>
    <w:rsid w:val="003F16E5"/>
    <w:rsid w:val="003F174A"/>
    <w:rsid w:val="003F22D5"/>
    <w:rsid w:val="003F24FF"/>
    <w:rsid w:val="003F48A6"/>
    <w:rsid w:val="003F584C"/>
    <w:rsid w:val="003F61F3"/>
    <w:rsid w:val="003F6658"/>
    <w:rsid w:val="003F73B4"/>
    <w:rsid w:val="003F7627"/>
    <w:rsid w:val="00401689"/>
    <w:rsid w:val="00402B40"/>
    <w:rsid w:val="00404E5B"/>
    <w:rsid w:val="004103A8"/>
    <w:rsid w:val="004128FF"/>
    <w:rsid w:val="004166F2"/>
    <w:rsid w:val="00416F74"/>
    <w:rsid w:val="00420959"/>
    <w:rsid w:val="004254EB"/>
    <w:rsid w:val="0042569C"/>
    <w:rsid w:val="00430851"/>
    <w:rsid w:val="0043144F"/>
    <w:rsid w:val="004320B3"/>
    <w:rsid w:val="004326BE"/>
    <w:rsid w:val="004352B6"/>
    <w:rsid w:val="004360EC"/>
    <w:rsid w:val="004372E2"/>
    <w:rsid w:val="00437F91"/>
    <w:rsid w:val="00441107"/>
    <w:rsid w:val="00441E3B"/>
    <w:rsid w:val="00445586"/>
    <w:rsid w:val="004536D2"/>
    <w:rsid w:val="00456F81"/>
    <w:rsid w:val="0046174A"/>
    <w:rsid w:val="00461BA0"/>
    <w:rsid w:val="004622A3"/>
    <w:rsid w:val="004650A9"/>
    <w:rsid w:val="00465934"/>
    <w:rsid w:val="00467489"/>
    <w:rsid w:val="00467CD7"/>
    <w:rsid w:val="0047297F"/>
    <w:rsid w:val="00473743"/>
    <w:rsid w:val="00474F0B"/>
    <w:rsid w:val="00476F74"/>
    <w:rsid w:val="00480FB8"/>
    <w:rsid w:val="00483023"/>
    <w:rsid w:val="004848FF"/>
    <w:rsid w:val="00484EBD"/>
    <w:rsid w:val="0048531D"/>
    <w:rsid w:val="004862BE"/>
    <w:rsid w:val="004867D3"/>
    <w:rsid w:val="004874FD"/>
    <w:rsid w:val="004908C0"/>
    <w:rsid w:val="00491B66"/>
    <w:rsid w:val="004922A7"/>
    <w:rsid w:val="004924B9"/>
    <w:rsid w:val="00492BB4"/>
    <w:rsid w:val="00495107"/>
    <w:rsid w:val="004A0731"/>
    <w:rsid w:val="004A33DF"/>
    <w:rsid w:val="004A66B4"/>
    <w:rsid w:val="004A7735"/>
    <w:rsid w:val="004B03B8"/>
    <w:rsid w:val="004B259C"/>
    <w:rsid w:val="004B30FA"/>
    <w:rsid w:val="004B45E1"/>
    <w:rsid w:val="004B79DB"/>
    <w:rsid w:val="004C22A6"/>
    <w:rsid w:val="004D232E"/>
    <w:rsid w:val="004D5117"/>
    <w:rsid w:val="004D5186"/>
    <w:rsid w:val="004E1169"/>
    <w:rsid w:val="004E12F8"/>
    <w:rsid w:val="004E3C61"/>
    <w:rsid w:val="004E4A15"/>
    <w:rsid w:val="004E66D5"/>
    <w:rsid w:val="004E772B"/>
    <w:rsid w:val="004F011C"/>
    <w:rsid w:val="004F0300"/>
    <w:rsid w:val="004F080F"/>
    <w:rsid w:val="004F12B6"/>
    <w:rsid w:val="004F2654"/>
    <w:rsid w:val="004F30AE"/>
    <w:rsid w:val="004F463C"/>
    <w:rsid w:val="004F5765"/>
    <w:rsid w:val="005039F8"/>
    <w:rsid w:val="005040AE"/>
    <w:rsid w:val="005053B6"/>
    <w:rsid w:val="0050551B"/>
    <w:rsid w:val="00506384"/>
    <w:rsid w:val="0050641D"/>
    <w:rsid w:val="00512915"/>
    <w:rsid w:val="005136D6"/>
    <w:rsid w:val="00513F15"/>
    <w:rsid w:val="005147D7"/>
    <w:rsid w:val="00515D82"/>
    <w:rsid w:val="00521433"/>
    <w:rsid w:val="005225E1"/>
    <w:rsid w:val="00523E52"/>
    <w:rsid w:val="005257ED"/>
    <w:rsid w:val="00526D02"/>
    <w:rsid w:val="00527212"/>
    <w:rsid w:val="005278C2"/>
    <w:rsid w:val="00532FBC"/>
    <w:rsid w:val="005423CD"/>
    <w:rsid w:val="005441B2"/>
    <w:rsid w:val="00544B63"/>
    <w:rsid w:val="00546FF5"/>
    <w:rsid w:val="00551805"/>
    <w:rsid w:val="00555FD0"/>
    <w:rsid w:val="00556443"/>
    <w:rsid w:val="0055691D"/>
    <w:rsid w:val="00561B98"/>
    <w:rsid w:val="005624E1"/>
    <w:rsid w:val="005626A9"/>
    <w:rsid w:val="00563CDF"/>
    <w:rsid w:val="0057109B"/>
    <w:rsid w:val="005724FC"/>
    <w:rsid w:val="005746C9"/>
    <w:rsid w:val="005747A3"/>
    <w:rsid w:val="0057544D"/>
    <w:rsid w:val="00582630"/>
    <w:rsid w:val="0058434B"/>
    <w:rsid w:val="00587E4C"/>
    <w:rsid w:val="0059000C"/>
    <w:rsid w:val="00590DCF"/>
    <w:rsid w:val="00590E00"/>
    <w:rsid w:val="005923AA"/>
    <w:rsid w:val="005A1C19"/>
    <w:rsid w:val="005A1DAF"/>
    <w:rsid w:val="005B0F5C"/>
    <w:rsid w:val="005B3C36"/>
    <w:rsid w:val="005B484A"/>
    <w:rsid w:val="005C0430"/>
    <w:rsid w:val="005C0E8F"/>
    <w:rsid w:val="005C253F"/>
    <w:rsid w:val="005C38D5"/>
    <w:rsid w:val="005C7375"/>
    <w:rsid w:val="005C7485"/>
    <w:rsid w:val="005C7DAD"/>
    <w:rsid w:val="005D0140"/>
    <w:rsid w:val="005D0C10"/>
    <w:rsid w:val="005D1FAA"/>
    <w:rsid w:val="005D205C"/>
    <w:rsid w:val="005D2687"/>
    <w:rsid w:val="005D3F9F"/>
    <w:rsid w:val="005D44AD"/>
    <w:rsid w:val="005D4E75"/>
    <w:rsid w:val="005D5BE3"/>
    <w:rsid w:val="005D783F"/>
    <w:rsid w:val="005D7919"/>
    <w:rsid w:val="005E1B52"/>
    <w:rsid w:val="005E1E85"/>
    <w:rsid w:val="005E30B6"/>
    <w:rsid w:val="005F0AE4"/>
    <w:rsid w:val="005F16D7"/>
    <w:rsid w:val="005F33A3"/>
    <w:rsid w:val="005F47C9"/>
    <w:rsid w:val="005F4C8E"/>
    <w:rsid w:val="005F724B"/>
    <w:rsid w:val="0060090E"/>
    <w:rsid w:val="00601907"/>
    <w:rsid w:val="006019CB"/>
    <w:rsid w:val="00604814"/>
    <w:rsid w:val="00606709"/>
    <w:rsid w:val="00606E65"/>
    <w:rsid w:val="00606F77"/>
    <w:rsid w:val="0060726F"/>
    <w:rsid w:val="00611AA2"/>
    <w:rsid w:val="0061397C"/>
    <w:rsid w:val="006140B6"/>
    <w:rsid w:val="00614461"/>
    <w:rsid w:val="006146ED"/>
    <w:rsid w:val="00614AAA"/>
    <w:rsid w:val="00617327"/>
    <w:rsid w:val="00620C95"/>
    <w:rsid w:val="0062482A"/>
    <w:rsid w:val="00626A00"/>
    <w:rsid w:val="00630DBE"/>
    <w:rsid w:val="00633C47"/>
    <w:rsid w:val="00633E84"/>
    <w:rsid w:val="006435CF"/>
    <w:rsid w:val="00643A93"/>
    <w:rsid w:val="00644912"/>
    <w:rsid w:val="00644E91"/>
    <w:rsid w:val="00646CDF"/>
    <w:rsid w:val="00646E42"/>
    <w:rsid w:val="006478D2"/>
    <w:rsid w:val="00647AE8"/>
    <w:rsid w:val="00651A2D"/>
    <w:rsid w:val="006538AE"/>
    <w:rsid w:val="00660CA0"/>
    <w:rsid w:val="0066548F"/>
    <w:rsid w:val="006657DF"/>
    <w:rsid w:val="006738BA"/>
    <w:rsid w:val="00681770"/>
    <w:rsid w:val="00683E05"/>
    <w:rsid w:val="0068490E"/>
    <w:rsid w:val="00684949"/>
    <w:rsid w:val="0069100B"/>
    <w:rsid w:val="00691253"/>
    <w:rsid w:val="0069324F"/>
    <w:rsid w:val="0069392D"/>
    <w:rsid w:val="0069500E"/>
    <w:rsid w:val="00697E5B"/>
    <w:rsid w:val="006A12EB"/>
    <w:rsid w:val="006A3BE1"/>
    <w:rsid w:val="006B2434"/>
    <w:rsid w:val="006B2D2F"/>
    <w:rsid w:val="006B40EB"/>
    <w:rsid w:val="006B416A"/>
    <w:rsid w:val="006B5793"/>
    <w:rsid w:val="006B6957"/>
    <w:rsid w:val="006B6A2A"/>
    <w:rsid w:val="006C259E"/>
    <w:rsid w:val="006C5836"/>
    <w:rsid w:val="006C780F"/>
    <w:rsid w:val="006D1D5E"/>
    <w:rsid w:val="006D3CB4"/>
    <w:rsid w:val="006D5393"/>
    <w:rsid w:val="006D684C"/>
    <w:rsid w:val="006D7025"/>
    <w:rsid w:val="006D7611"/>
    <w:rsid w:val="006E4228"/>
    <w:rsid w:val="006E7A04"/>
    <w:rsid w:val="006F07C0"/>
    <w:rsid w:val="006F11C9"/>
    <w:rsid w:val="00701DE1"/>
    <w:rsid w:val="0070419A"/>
    <w:rsid w:val="007045EE"/>
    <w:rsid w:val="00705261"/>
    <w:rsid w:val="00713758"/>
    <w:rsid w:val="00715A0A"/>
    <w:rsid w:val="00716CDB"/>
    <w:rsid w:val="0072537C"/>
    <w:rsid w:val="00730B8F"/>
    <w:rsid w:val="007330CD"/>
    <w:rsid w:val="00733B32"/>
    <w:rsid w:val="00734FF3"/>
    <w:rsid w:val="00737ABE"/>
    <w:rsid w:val="00737B63"/>
    <w:rsid w:val="00740F4B"/>
    <w:rsid w:val="0074112A"/>
    <w:rsid w:val="00742DE0"/>
    <w:rsid w:val="007442AD"/>
    <w:rsid w:val="00744898"/>
    <w:rsid w:val="007521F4"/>
    <w:rsid w:val="00753DEA"/>
    <w:rsid w:val="00755BBE"/>
    <w:rsid w:val="00760D20"/>
    <w:rsid w:val="00764530"/>
    <w:rsid w:val="00765C7E"/>
    <w:rsid w:val="007666E7"/>
    <w:rsid w:val="00767E32"/>
    <w:rsid w:val="0077083D"/>
    <w:rsid w:val="0077119F"/>
    <w:rsid w:val="0078367D"/>
    <w:rsid w:val="00784E04"/>
    <w:rsid w:val="007861C4"/>
    <w:rsid w:val="007900AD"/>
    <w:rsid w:val="0079029F"/>
    <w:rsid w:val="00791312"/>
    <w:rsid w:val="007913F7"/>
    <w:rsid w:val="00793CCF"/>
    <w:rsid w:val="00795E8D"/>
    <w:rsid w:val="007960A2"/>
    <w:rsid w:val="007972EB"/>
    <w:rsid w:val="0079754C"/>
    <w:rsid w:val="007A0339"/>
    <w:rsid w:val="007A36C8"/>
    <w:rsid w:val="007A3C58"/>
    <w:rsid w:val="007B2005"/>
    <w:rsid w:val="007B6950"/>
    <w:rsid w:val="007C0BFE"/>
    <w:rsid w:val="007C0D23"/>
    <w:rsid w:val="007C13A0"/>
    <w:rsid w:val="007C2B86"/>
    <w:rsid w:val="007C3B08"/>
    <w:rsid w:val="007C403B"/>
    <w:rsid w:val="007C5A38"/>
    <w:rsid w:val="007C6322"/>
    <w:rsid w:val="007D17A6"/>
    <w:rsid w:val="007D3EB8"/>
    <w:rsid w:val="007E2376"/>
    <w:rsid w:val="007E4C43"/>
    <w:rsid w:val="007E6779"/>
    <w:rsid w:val="007E6C50"/>
    <w:rsid w:val="007F13AE"/>
    <w:rsid w:val="007F17D3"/>
    <w:rsid w:val="007F188A"/>
    <w:rsid w:val="007F42CB"/>
    <w:rsid w:val="007F506A"/>
    <w:rsid w:val="007F5F36"/>
    <w:rsid w:val="007F633C"/>
    <w:rsid w:val="007F7E46"/>
    <w:rsid w:val="00801593"/>
    <w:rsid w:val="008126CE"/>
    <w:rsid w:val="00814C93"/>
    <w:rsid w:val="00815FEF"/>
    <w:rsid w:val="00816505"/>
    <w:rsid w:val="00820C7B"/>
    <w:rsid w:val="00821371"/>
    <w:rsid w:val="00823E9A"/>
    <w:rsid w:val="00824FF9"/>
    <w:rsid w:val="00827DF2"/>
    <w:rsid w:val="0083130E"/>
    <w:rsid w:val="00833B2E"/>
    <w:rsid w:val="00837255"/>
    <w:rsid w:val="0083768E"/>
    <w:rsid w:val="00837710"/>
    <w:rsid w:val="00841A22"/>
    <w:rsid w:val="00842489"/>
    <w:rsid w:val="00842F55"/>
    <w:rsid w:val="00844D69"/>
    <w:rsid w:val="0084757E"/>
    <w:rsid w:val="008509DD"/>
    <w:rsid w:val="008607BE"/>
    <w:rsid w:val="0086261C"/>
    <w:rsid w:val="0086354C"/>
    <w:rsid w:val="008702AD"/>
    <w:rsid w:val="00870E83"/>
    <w:rsid w:val="0087206A"/>
    <w:rsid w:val="00872E1B"/>
    <w:rsid w:val="008769D5"/>
    <w:rsid w:val="00880EC5"/>
    <w:rsid w:val="008830A7"/>
    <w:rsid w:val="0088390A"/>
    <w:rsid w:val="00883CDD"/>
    <w:rsid w:val="00885F1C"/>
    <w:rsid w:val="00886BBC"/>
    <w:rsid w:val="00891A39"/>
    <w:rsid w:val="0089234E"/>
    <w:rsid w:val="00895023"/>
    <w:rsid w:val="008951BC"/>
    <w:rsid w:val="00895286"/>
    <w:rsid w:val="00895E5E"/>
    <w:rsid w:val="008A0CA6"/>
    <w:rsid w:val="008A2196"/>
    <w:rsid w:val="008A324A"/>
    <w:rsid w:val="008A419B"/>
    <w:rsid w:val="008B0854"/>
    <w:rsid w:val="008B0EF7"/>
    <w:rsid w:val="008B10C3"/>
    <w:rsid w:val="008B179D"/>
    <w:rsid w:val="008B2C5B"/>
    <w:rsid w:val="008B2CEF"/>
    <w:rsid w:val="008B5C00"/>
    <w:rsid w:val="008B6EBB"/>
    <w:rsid w:val="008B765B"/>
    <w:rsid w:val="008C0B03"/>
    <w:rsid w:val="008C5639"/>
    <w:rsid w:val="008C6927"/>
    <w:rsid w:val="008D0FB6"/>
    <w:rsid w:val="008D4472"/>
    <w:rsid w:val="008D5A95"/>
    <w:rsid w:val="008D64C1"/>
    <w:rsid w:val="008D6A1A"/>
    <w:rsid w:val="008E2BBE"/>
    <w:rsid w:val="008E4525"/>
    <w:rsid w:val="008E482D"/>
    <w:rsid w:val="008E70EE"/>
    <w:rsid w:val="008E74D2"/>
    <w:rsid w:val="008F2EFD"/>
    <w:rsid w:val="008F3533"/>
    <w:rsid w:val="008F3732"/>
    <w:rsid w:val="008F42BE"/>
    <w:rsid w:val="008F4D93"/>
    <w:rsid w:val="008F719A"/>
    <w:rsid w:val="009045C2"/>
    <w:rsid w:val="00906CA4"/>
    <w:rsid w:val="00907619"/>
    <w:rsid w:val="00911688"/>
    <w:rsid w:val="00916B49"/>
    <w:rsid w:val="0092167D"/>
    <w:rsid w:val="009222E3"/>
    <w:rsid w:val="0092361B"/>
    <w:rsid w:val="00924397"/>
    <w:rsid w:val="0092443A"/>
    <w:rsid w:val="00925115"/>
    <w:rsid w:val="00927F22"/>
    <w:rsid w:val="0093003F"/>
    <w:rsid w:val="00931EF9"/>
    <w:rsid w:val="0093281A"/>
    <w:rsid w:val="009339A6"/>
    <w:rsid w:val="00934911"/>
    <w:rsid w:val="00936A52"/>
    <w:rsid w:val="00940742"/>
    <w:rsid w:val="0094310A"/>
    <w:rsid w:val="009437AE"/>
    <w:rsid w:val="00945B04"/>
    <w:rsid w:val="009539D4"/>
    <w:rsid w:val="00955B3B"/>
    <w:rsid w:val="0095722C"/>
    <w:rsid w:val="00964427"/>
    <w:rsid w:val="009649C1"/>
    <w:rsid w:val="009662D1"/>
    <w:rsid w:val="0096675B"/>
    <w:rsid w:val="00967C0A"/>
    <w:rsid w:val="00970723"/>
    <w:rsid w:val="00971CFA"/>
    <w:rsid w:val="009742C3"/>
    <w:rsid w:val="00974B3E"/>
    <w:rsid w:val="00981C85"/>
    <w:rsid w:val="00983794"/>
    <w:rsid w:val="009870C5"/>
    <w:rsid w:val="00987EE8"/>
    <w:rsid w:val="009906C5"/>
    <w:rsid w:val="00996769"/>
    <w:rsid w:val="00997FB8"/>
    <w:rsid w:val="009A0988"/>
    <w:rsid w:val="009A1235"/>
    <w:rsid w:val="009A1E85"/>
    <w:rsid w:val="009A2AD6"/>
    <w:rsid w:val="009A2EED"/>
    <w:rsid w:val="009A5101"/>
    <w:rsid w:val="009A7474"/>
    <w:rsid w:val="009B1340"/>
    <w:rsid w:val="009B415C"/>
    <w:rsid w:val="009B4484"/>
    <w:rsid w:val="009C0EEB"/>
    <w:rsid w:val="009C549E"/>
    <w:rsid w:val="009C7CCB"/>
    <w:rsid w:val="009D4508"/>
    <w:rsid w:val="009D60F2"/>
    <w:rsid w:val="009D7B9B"/>
    <w:rsid w:val="009E2174"/>
    <w:rsid w:val="009E5343"/>
    <w:rsid w:val="009F01E2"/>
    <w:rsid w:val="009F3419"/>
    <w:rsid w:val="009F3DEC"/>
    <w:rsid w:val="009F4686"/>
    <w:rsid w:val="009F71EC"/>
    <w:rsid w:val="00A02F72"/>
    <w:rsid w:val="00A030E7"/>
    <w:rsid w:val="00A03DBA"/>
    <w:rsid w:val="00A04A24"/>
    <w:rsid w:val="00A05BA1"/>
    <w:rsid w:val="00A10820"/>
    <w:rsid w:val="00A118F0"/>
    <w:rsid w:val="00A11BBD"/>
    <w:rsid w:val="00A16DED"/>
    <w:rsid w:val="00A20868"/>
    <w:rsid w:val="00A221A7"/>
    <w:rsid w:val="00A222AA"/>
    <w:rsid w:val="00A2785B"/>
    <w:rsid w:val="00A27A0E"/>
    <w:rsid w:val="00A30E80"/>
    <w:rsid w:val="00A320A9"/>
    <w:rsid w:val="00A34121"/>
    <w:rsid w:val="00A34889"/>
    <w:rsid w:val="00A369EA"/>
    <w:rsid w:val="00A37A6A"/>
    <w:rsid w:val="00A40167"/>
    <w:rsid w:val="00A40E29"/>
    <w:rsid w:val="00A41699"/>
    <w:rsid w:val="00A437E9"/>
    <w:rsid w:val="00A460B7"/>
    <w:rsid w:val="00A502F1"/>
    <w:rsid w:val="00A50E53"/>
    <w:rsid w:val="00A53A0C"/>
    <w:rsid w:val="00A53B1D"/>
    <w:rsid w:val="00A53C20"/>
    <w:rsid w:val="00A569CD"/>
    <w:rsid w:val="00A57743"/>
    <w:rsid w:val="00A60CFC"/>
    <w:rsid w:val="00A61425"/>
    <w:rsid w:val="00A62D8B"/>
    <w:rsid w:val="00A63453"/>
    <w:rsid w:val="00A63700"/>
    <w:rsid w:val="00A66873"/>
    <w:rsid w:val="00A66B03"/>
    <w:rsid w:val="00A67091"/>
    <w:rsid w:val="00A67182"/>
    <w:rsid w:val="00A6783C"/>
    <w:rsid w:val="00A73722"/>
    <w:rsid w:val="00A73F3F"/>
    <w:rsid w:val="00A75D45"/>
    <w:rsid w:val="00A76FAE"/>
    <w:rsid w:val="00A77593"/>
    <w:rsid w:val="00A80363"/>
    <w:rsid w:val="00A808CB"/>
    <w:rsid w:val="00A849C7"/>
    <w:rsid w:val="00A84B85"/>
    <w:rsid w:val="00A86984"/>
    <w:rsid w:val="00A9007B"/>
    <w:rsid w:val="00A91DE6"/>
    <w:rsid w:val="00A95016"/>
    <w:rsid w:val="00A95C28"/>
    <w:rsid w:val="00A96968"/>
    <w:rsid w:val="00A96C36"/>
    <w:rsid w:val="00AA0F52"/>
    <w:rsid w:val="00AA36D3"/>
    <w:rsid w:val="00AA383D"/>
    <w:rsid w:val="00AA535F"/>
    <w:rsid w:val="00AA72EA"/>
    <w:rsid w:val="00AB01FE"/>
    <w:rsid w:val="00AB1A15"/>
    <w:rsid w:val="00AB543C"/>
    <w:rsid w:val="00AB591D"/>
    <w:rsid w:val="00AB5D33"/>
    <w:rsid w:val="00AB617A"/>
    <w:rsid w:val="00AB66FB"/>
    <w:rsid w:val="00AB72B3"/>
    <w:rsid w:val="00AC19B1"/>
    <w:rsid w:val="00AC1BA8"/>
    <w:rsid w:val="00AC536A"/>
    <w:rsid w:val="00AC7B84"/>
    <w:rsid w:val="00AD09B0"/>
    <w:rsid w:val="00AD0F08"/>
    <w:rsid w:val="00AD6982"/>
    <w:rsid w:val="00AD6C06"/>
    <w:rsid w:val="00AD6FE6"/>
    <w:rsid w:val="00AD716D"/>
    <w:rsid w:val="00AE0048"/>
    <w:rsid w:val="00AE4337"/>
    <w:rsid w:val="00AE5BC4"/>
    <w:rsid w:val="00AE7B0A"/>
    <w:rsid w:val="00AF196A"/>
    <w:rsid w:val="00AF20D4"/>
    <w:rsid w:val="00AF4D2B"/>
    <w:rsid w:val="00AF560F"/>
    <w:rsid w:val="00AF57A9"/>
    <w:rsid w:val="00B02402"/>
    <w:rsid w:val="00B03383"/>
    <w:rsid w:val="00B04765"/>
    <w:rsid w:val="00B048E7"/>
    <w:rsid w:val="00B05C36"/>
    <w:rsid w:val="00B06A15"/>
    <w:rsid w:val="00B10951"/>
    <w:rsid w:val="00B13C24"/>
    <w:rsid w:val="00B17748"/>
    <w:rsid w:val="00B2080C"/>
    <w:rsid w:val="00B22552"/>
    <w:rsid w:val="00B22C31"/>
    <w:rsid w:val="00B24D45"/>
    <w:rsid w:val="00B24E4D"/>
    <w:rsid w:val="00B25712"/>
    <w:rsid w:val="00B351F3"/>
    <w:rsid w:val="00B37623"/>
    <w:rsid w:val="00B413CA"/>
    <w:rsid w:val="00B4554F"/>
    <w:rsid w:val="00B460B9"/>
    <w:rsid w:val="00B4721A"/>
    <w:rsid w:val="00B500A7"/>
    <w:rsid w:val="00B50469"/>
    <w:rsid w:val="00B50DFB"/>
    <w:rsid w:val="00B510BE"/>
    <w:rsid w:val="00B51ECD"/>
    <w:rsid w:val="00B535FF"/>
    <w:rsid w:val="00B5560D"/>
    <w:rsid w:val="00B610A4"/>
    <w:rsid w:val="00B6164D"/>
    <w:rsid w:val="00B632D6"/>
    <w:rsid w:val="00B63E91"/>
    <w:rsid w:val="00B63F9C"/>
    <w:rsid w:val="00B6462C"/>
    <w:rsid w:val="00B65C77"/>
    <w:rsid w:val="00B7119D"/>
    <w:rsid w:val="00B74E58"/>
    <w:rsid w:val="00B80CAB"/>
    <w:rsid w:val="00B82B9F"/>
    <w:rsid w:val="00B84E69"/>
    <w:rsid w:val="00B8522F"/>
    <w:rsid w:val="00B871B3"/>
    <w:rsid w:val="00B9063E"/>
    <w:rsid w:val="00B96D22"/>
    <w:rsid w:val="00BA2B02"/>
    <w:rsid w:val="00BA3540"/>
    <w:rsid w:val="00BA4C2D"/>
    <w:rsid w:val="00BA5B47"/>
    <w:rsid w:val="00BA6E56"/>
    <w:rsid w:val="00BA770F"/>
    <w:rsid w:val="00BB0129"/>
    <w:rsid w:val="00BB198A"/>
    <w:rsid w:val="00BB547A"/>
    <w:rsid w:val="00BC013E"/>
    <w:rsid w:val="00BC1ADE"/>
    <w:rsid w:val="00BC390B"/>
    <w:rsid w:val="00BC4E42"/>
    <w:rsid w:val="00BC506A"/>
    <w:rsid w:val="00BC5D38"/>
    <w:rsid w:val="00BC5F4F"/>
    <w:rsid w:val="00BC72F7"/>
    <w:rsid w:val="00BD3AF9"/>
    <w:rsid w:val="00BD5794"/>
    <w:rsid w:val="00BD63B7"/>
    <w:rsid w:val="00BD7349"/>
    <w:rsid w:val="00BD7699"/>
    <w:rsid w:val="00BE45BC"/>
    <w:rsid w:val="00BF274E"/>
    <w:rsid w:val="00C0119C"/>
    <w:rsid w:val="00C0141C"/>
    <w:rsid w:val="00C01E1A"/>
    <w:rsid w:val="00C027A5"/>
    <w:rsid w:val="00C03C5C"/>
    <w:rsid w:val="00C075E5"/>
    <w:rsid w:val="00C07F47"/>
    <w:rsid w:val="00C10A87"/>
    <w:rsid w:val="00C127DA"/>
    <w:rsid w:val="00C1434C"/>
    <w:rsid w:val="00C147BF"/>
    <w:rsid w:val="00C14D94"/>
    <w:rsid w:val="00C21F2A"/>
    <w:rsid w:val="00C2246D"/>
    <w:rsid w:val="00C22DEE"/>
    <w:rsid w:val="00C268BF"/>
    <w:rsid w:val="00C26FED"/>
    <w:rsid w:val="00C27CAB"/>
    <w:rsid w:val="00C318BB"/>
    <w:rsid w:val="00C36976"/>
    <w:rsid w:val="00C37F28"/>
    <w:rsid w:val="00C41081"/>
    <w:rsid w:val="00C412E0"/>
    <w:rsid w:val="00C41D1B"/>
    <w:rsid w:val="00C4333F"/>
    <w:rsid w:val="00C45671"/>
    <w:rsid w:val="00C5136A"/>
    <w:rsid w:val="00C53B94"/>
    <w:rsid w:val="00C541FE"/>
    <w:rsid w:val="00C56457"/>
    <w:rsid w:val="00C60B14"/>
    <w:rsid w:val="00C6172E"/>
    <w:rsid w:val="00C61794"/>
    <w:rsid w:val="00C656DA"/>
    <w:rsid w:val="00C66C89"/>
    <w:rsid w:val="00C700C8"/>
    <w:rsid w:val="00C71D53"/>
    <w:rsid w:val="00C74276"/>
    <w:rsid w:val="00C74BF1"/>
    <w:rsid w:val="00C74C61"/>
    <w:rsid w:val="00C75032"/>
    <w:rsid w:val="00C77DC0"/>
    <w:rsid w:val="00C80632"/>
    <w:rsid w:val="00C83AC9"/>
    <w:rsid w:val="00C848EF"/>
    <w:rsid w:val="00C863E0"/>
    <w:rsid w:val="00C96B2A"/>
    <w:rsid w:val="00C96B39"/>
    <w:rsid w:val="00CA0114"/>
    <w:rsid w:val="00CA11D4"/>
    <w:rsid w:val="00CA2A76"/>
    <w:rsid w:val="00CA6CFF"/>
    <w:rsid w:val="00CA6FE2"/>
    <w:rsid w:val="00CB07E2"/>
    <w:rsid w:val="00CB0AFC"/>
    <w:rsid w:val="00CB49D5"/>
    <w:rsid w:val="00CC116D"/>
    <w:rsid w:val="00CC1745"/>
    <w:rsid w:val="00CC1E4B"/>
    <w:rsid w:val="00CC7A33"/>
    <w:rsid w:val="00CC7C18"/>
    <w:rsid w:val="00CD02C5"/>
    <w:rsid w:val="00CD043B"/>
    <w:rsid w:val="00CD2379"/>
    <w:rsid w:val="00CD23D1"/>
    <w:rsid w:val="00CD347A"/>
    <w:rsid w:val="00CE05EF"/>
    <w:rsid w:val="00CE327C"/>
    <w:rsid w:val="00CE3EE6"/>
    <w:rsid w:val="00CE5ADB"/>
    <w:rsid w:val="00CE77D3"/>
    <w:rsid w:val="00CF097C"/>
    <w:rsid w:val="00CF278C"/>
    <w:rsid w:val="00D002AA"/>
    <w:rsid w:val="00D0162C"/>
    <w:rsid w:val="00D025F2"/>
    <w:rsid w:val="00D02900"/>
    <w:rsid w:val="00D041E1"/>
    <w:rsid w:val="00D04761"/>
    <w:rsid w:val="00D05164"/>
    <w:rsid w:val="00D0534A"/>
    <w:rsid w:val="00D13FA2"/>
    <w:rsid w:val="00D17AC3"/>
    <w:rsid w:val="00D201AC"/>
    <w:rsid w:val="00D21793"/>
    <w:rsid w:val="00D2358C"/>
    <w:rsid w:val="00D245C1"/>
    <w:rsid w:val="00D2591A"/>
    <w:rsid w:val="00D259DA"/>
    <w:rsid w:val="00D27F85"/>
    <w:rsid w:val="00D306C0"/>
    <w:rsid w:val="00D30B64"/>
    <w:rsid w:val="00D31715"/>
    <w:rsid w:val="00D335FC"/>
    <w:rsid w:val="00D36846"/>
    <w:rsid w:val="00D37F62"/>
    <w:rsid w:val="00D4110F"/>
    <w:rsid w:val="00D414AD"/>
    <w:rsid w:val="00D41901"/>
    <w:rsid w:val="00D42859"/>
    <w:rsid w:val="00D516B6"/>
    <w:rsid w:val="00D5203B"/>
    <w:rsid w:val="00D529E5"/>
    <w:rsid w:val="00D52DE8"/>
    <w:rsid w:val="00D54B04"/>
    <w:rsid w:val="00D56820"/>
    <w:rsid w:val="00D56C2D"/>
    <w:rsid w:val="00D56F94"/>
    <w:rsid w:val="00D62B13"/>
    <w:rsid w:val="00D63B79"/>
    <w:rsid w:val="00D652EB"/>
    <w:rsid w:val="00D7003D"/>
    <w:rsid w:val="00D70225"/>
    <w:rsid w:val="00D71779"/>
    <w:rsid w:val="00D71E90"/>
    <w:rsid w:val="00D74145"/>
    <w:rsid w:val="00D804DE"/>
    <w:rsid w:val="00D81E92"/>
    <w:rsid w:val="00D8239C"/>
    <w:rsid w:val="00D87FEB"/>
    <w:rsid w:val="00D908BF"/>
    <w:rsid w:val="00D9108F"/>
    <w:rsid w:val="00D91D35"/>
    <w:rsid w:val="00D91F97"/>
    <w:rsid w:val="00D9373E"/>
    <w:rsid w:val="00D946C4"/>
    <w:rsid w:val="00D94A30"/>
    <w:rsid w:val="00DA03ED"/>
    <w:rsid w:val="00DA0C35"/>
    <w:rsid w:val="00DA4135"/>
    <w:rsid w:val="00DA48A7"/>
    <w:rsid w:val="00DA5203"/>
    <w:rsid w:val="00DA5D7C"/>
    <w:rsid w:val="00DA6B5A"/>
    <w:rsid w:val="00DA71F1"/>
    <w:rsid w:val="00DA7593"/>
    <w:rsid w:val="00DB0354"/>
    <w:rsid w:val="00DB684A"/>
    <w:rsid w:val="00DC225B"/>
    <w:rsid w:val="00DC2972"/>
    <w:rsid w:val="00DC67A3"/>
    <w:rsid w:val="00DD0E75"/>
    <w:rsid w:val="00DD30B7"/>
    <w:rsid w:val="00DE077B"/>
    <w:rsid w:val="00DE11C6"/>
    <w:rsid w:val="00DE1DA5"/>
    <w:rsid w:val="00DE2E55"/>
    <w:rsid w:val="00DE7B22"/>
    <w:rsid w:val="00DF01FA"/>
    <w:rsid w:val="00DF0274"/>
    <w:rsid w:val="00DF1102"/>
    <w:rsid w:val="00DF5716"/>
    <w:rsid w:val="00DF6592"/>
    <w:rsid w:val="00DF7910"/>
    <w:rsid w:val="00DF7F86"/>
    <w:rsid w:val="00E00A18"/>
    <w:rsid w:val="00E03903"/>
    <w:rsid w:val="00E07047"/>
    <w:rsid w:val="00E15689"/>
    <w:rsid w:val="00E16040"/>
    <w:rsid w:val="00E16DCF"/>
    <w:rsid w:val="00E173AF"/>
    <w:rsid w:val="00E2105C"/>
    <w:rsid w:val="00E21A03"/>
    <w:rsid w:val="00E22260"/>
    <w:rsid w:val="00E227E8"/>
    <w:rsid w:val="00E23089"/>
    <w:rsid w:val="00E26B26"/>
    <w:rsid w:val="00E275B5"/>
    <w:rsid w:val="00E27893"/>
    <w:rsid w:val="00E31FB9"/>
    <w:rsid w:val="00E370E8"/>
    <w:rsid w:val="00E40870"/>
    <w:rsid w:val="00E40C44"/>
    <w:rsid w:val="00E413BD"/>
    <w:rsid w:val="00E4337F"/>
    <w:rsid w:val="00E438C2"/>
    <w:rsid w:val="00E43DA0"/>
    <w:rsid w:val="00E45AF5"/>
    <w:rsid w:val="00E45C16"/>
    <w:rsid w:val="00E479BD"/>
    <w:rsid w:val="00E51726"/>
    <w:rsid w:val="00E551B0"/>
    <w:rsid w:val="00E622B1"/>
    <w:rsid w:val="00E62932"/>
    <w:rsid w:val="00E641F1"/>
    <w:rsid w:val="00E64BAC"/>
    <w:rsid w:val="00E676AD"/>
    <w:rsid w:val="00E728B8"/>
    <w:rsid w:val="00E730FF"/>
    <w:rsid w:val="00E73647"/>
    <w:rsid w:val="00E73D3F"/>
    <w:rsid w:val="00E74D63"/>
    <w:rsid w:val="00E75B77"/>
    <w:rsid w:val="00E76937"/>
    <w:rsid w:val="00E77128"/>
    <w:rsid w:val="00E83C5E"/>
    <w:rsid w:val="00E84211"/>
    <w:rsid w:val="00E845E4"/>
    <w:rsid w:val="00E92241"/>
    <w:rsid w:val="00E92EA5"/>
    <w:rsid w:val="00E947FD"/>
    <w:rsid w:val="00EA0853"/>
    <w:rsid w:val="00EA0BA6"/>
    <w:rsid w:val="00EA23ED"/>
    <w:rsid w:val="00EA24D8"/>
    <w:rsid w:val="00EB28D6"/>
    <w:rsid w:val="00EB6D53"/>
    <w:rsid w:val="00EB6E18"/>
    <w:rsid w:val="00EC0001"/>
    <w:rsid w:val="00EC11B7"/>
    <w:rsid w:val="00EC4AC3"/>
    <w:rsid w:val="00ED026C"/>
    <w:rsid w:val="00ED0461"/>
    <w:rsid w:val="00ED06B5"/>
    <w:rsid w:val="00ED18C7"/>
    <w:rsid w:val="00ED1E6C"/>
    <w:rsid w:val="00ED5EBB"/>
    <w:rsid w:val="00ED70A0"/>
    <w:rsid w:val="00ED79C7"/>
    <w:rsid w:val="00EE432A"/>
    <w:rsid w:val="00EE4B76"/>
    <w:rsid w:val="00EE55BC"/>
    <w:rsid w:val="00EE7A5D"/>
    <w:rsid w:val="00EF07E3"/>
    <w:rsid w:val="00EF5343"/>
    <w:rsid w:val="00F02AAC"/>
    <w:rsid w:val="00F04DCB"/>
    <w:rsid w:val="00F11547"/>
    <w:rsid w:val="00F13E06"/>
    <w:rsid w:val="00F146D8"/>
    <w:rsid w:val="00F16072"/>
    <w:rsid w:val="00F1613D"/>
    <w:rsid w:val="00F17FBC"/>
    <w:rsid w:val="00F30570"/>
    <w:rsid w:val="00F32221"/>
    <w:rsid w:val="00F322A8"/>
    <w:rsid w:val="00F33329"/>
    <w:rsid w:val="00F3378E"/>
    <w:rsid w:val="00F37F27"/>
    <w:rsid w:val="00F44185"/>
    <w:rsid w:val="00F46635"/>
    <w:rsid w:val="00F5373E"/>
    <w:rsid w:val="00F56551"/>
    <w:rsid w:val="00F57A2B"/>
    <w:rsid w:val="00F6025C"/>
    <w:rsid w:val="00F6111C"/>
    <w:rsid w:val="00F63C85"/>
    <w:rsid w:val="00F64784"/>
    <w:rsid w:val="00F64845"/>
    <w:rsid w:val="00F673E2"/>
    <w:rsid w:val="00F67C27"/>
    <w:rsid w:val="00F7019C"/>
    <w:rsid w:val="00F72FD7"/>
    <w:rsid w:val="00F75F45"/>
    <w:rsid w:val="00F776C2"/>
    <w:rsid w:val="00F8045C"/>
    <w:rsid w:val="00F8173F"/>
    <w:rsid w:val="00F817B4"/>
    <w:rsid w:val="00F9238A"/>
    <w:rsid w:val="00F93919"/>
    <w:rsid w:val="00F9440A"/>
    <w:rsid w:val="00F94C2D"/>
    <w:rsid w:val="00F953C2"/>
    <w:rsid w:val="00F966B6"/>
    <w:rsid w:val="00FA21FD"/>
    <w:rsid w:val="00FA2761"/>
    <w:rsid w:val="00FA6375"/>
    <w:rsid w:val="00FA6977"/>
    <w:rsid w:val="00FA6F43"/>
    <w:rsid w:val="00FB1C00"/>
    <w:rsid w:val="00FB5DA2"/>
    <w:rsid w:val="00FC2130"/>
    <w:rsid w:val="00FC22D4"/>
    <w:rsid w:val="00FC2C3C"/>
    <w:rsid w:val="00FC3B86"/>
    <w:rsid w:val="00FC3F3A"/>
    <w:rsid w:val="00FC48C7"/>
    <w:rsid w:val="00FC622E"/>
    <w:rsid w:val="00FC6AC1"/>
    <w:rsid w:val="00FC78D7"/>
    <w:rsid w:val="00FD03D0"/>
    <w:rsid w:val="00FD2A21"/>
    <w:rsid w:val="00FD2AD8"/>
    <w:rsid w:val="00FD2EBC"/>
    <w:rsid w:val="00FD42B7"/>
    <w:rsid w:val="00FD71AF"/>
    <w:rsid w:val="00FE32AB"/>
    <w:rsid w:val="00FE394F"/>
    <w:rsid w:val="00FF2B0B"/>
    <w:rsid w:val="00FF5B2D"/>
    <w:rsid w:val="00FF63D6"/>
    <w:rsid w:val="00FF6BE4"/>
    <w:rsid w:val="00FF7D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F2622"/>
  <w15:chartTrackingRefBased/>
  <w15:docId w15:val="{5AFE7E02-8E86-4B9D-99FD-BDB00481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5BC4"/>
    <w:rPr>
      <w:rFonts w:ascii="Arial" w:hAnsi="Arial"/>
      <w:sz w:val="24"/>
      <w:lang w:eastAsia="fr-FR"/>
    </w:rPr>
  </w:style>
  <w:style w:type="paragraph" w:styleId="Titre1">
    <w:name w:val="heading 1"/>
    <w:basedOn w:val="Normal"/>
    <w:next w:val="Normal"/>
    <w:link w:val="Titre1Car"/>
    <w:uiPriority w:val="9"/>
    <w:qFormat/>
    <w:rsid w:val="00DF7910"/>
    <w:pPr>
      <w:keepNext/>
      <w:numPr>
        <w:numId w:val="3"/>
      </w:numPr>
      <w:tabs>
        <w:tab w:val="left" w:pos="567"/>
      </w:tabs>
      <w:spacing w:before="120" w:after="120" w:line="480" w:lineRule="exact"/>
      <w:outlineLvl w:val="0"/>
    </w:pPr>
    <w:rPr>
      <w:b/>
      <w:smallCaps/>
      <w:kern w:val="28"/>
      <w:u w:val="single"/>
    </w:rPr>
  </w:style>
  <w:style w:type="paragraph" w:styleId="Titre2">
    <w:name w:val="heading 2"/>
    <w:basedOn w:val="Normal"/>
    <w:next w:val="Normal"/>
    <w:qFormat/>
    <w:rsid w:val="00D74145"/>
    <w:pPr>
      <w:keepNext/>
      <w:spacing w:before="120" w:after="120" w:line="480" w:lineRule="exact"/>
      <w:outlineLvl w:val="1"/>
    </w:pPr>
    <w:rPr>
      <w:b/>
    </w:rPr>
  </w:style>
  <w:style w:type="paragraph" w:styleId="Titre3">
    <w:name w:val="heading 3"/>
    <w:basedOn w:val="Normal"/>
    <w:next w:val="Normal"/>
    <w:qFormat/>
    <w:rsid w:val="00D74145"/>
    <w:pPr>
      <w:keepNext/>
      <w:spacing w:before="120" w:after="120" w:line="480" w:lineRule="exact"/>
      <w:outlineLvl w:val="2"/>
    </w:pPr>
    <w:rPr>
      <w:u w:val="single"/>
    </w:rPr>
  </w:style>
  <w:style w:type="paragraph" w:styleId="Titre4">
    <w:name w:val="heading 4"/>
    <w:basedOn w:val="Normal"/>
    <w:next w:val="Normal"/>
    <w:qFormat/>
    <w:rsid w:val="00D74145"/>
    <w:pPr>
      <w:keepNext/>
      <w:numPr>
        <w:ilvl w:val="3"/>
        <w:numId w:val="3"/>
      </w:numPr>
      <w:spacing w:before="120" w:after="120" w:line="480" w:lineRule="exact"/>
      <w:ind w:left="567" w:hanging="567"/>
      <w:outlineLvl w:val="3"/>
    </w:pPr>
    <w:rPr>
      <w:iCs/>
    </w:rPr>
  </w:style>
  <w:style w:type="paragraph" w:styleId="Titre5">
    <w:name w:val="heading 5"/>
    <w:basedOn w:val="Normal"/>
    <w:next w:val="Normal"/>
    <w:qFormat/>
    <w:rsid w:val="00D74145"/>
    <w:pPr>
      <w:numPr>
        <w:ilvl w:val="4"/>
        <w:numId w:val="3"/>
      </w:numPr>
      <w:spacing w:before="240" w:after="60"/>
      <w:ind w:left="567" w:hanging="567"/>
      <w:outlineLvl w:val="4"/>
    </w:pPr>
    <w:rPr>
      <w:i/>
      <w:iCs/>
      <w:szCs w:val="24"/>
    </w:rPr>
  </w:style>
  <w:style w:type="paragraph" w:styleId="Titre6">
    <w:name w:val="heading 6"/>
    <w:basedOn w:val="Normal"/>
    <w:next w:val="Normal"/>
    <w:pPr>
      <w:numPr>
        <w:ilvl w:val="5"/>
        <w:numId w:val="3"/>
      </w:numPr>
      <w:spacing w:before="240" w:after="60"/>
      <w:outlineLvl w:val="5"/>
    </w:pPr>
    <w:rPr>
      <w:i/>
      <w:sz w:val="22"/>
    </w:rPr>
  </w:style>
  <w:style w:type="paragraph" w:styleId="Titre7">
    <w:name w:val="heading 7"/>
    <w:basedOn w:val="Normal"/>
    <w:next w:val="Normal"/>
    <w:pPr>
      <w:numPr>
        <w:ilvl w:val="6"/>
        <w:numId w:val="3"/>
      </w:numPr>
      <w:spacing w:before="240" w:after="60"/>
      <w:outlineLvl w:val="6"/>
    </w:pPr>
    <w:rPr>
      <w:sz w:val="20"/>
    </w:rPr>
  </w:style>
  <w:style w:type="paragraph" w:styleId="Titre8">
    <w:name w:val="heading 8"/>
    <w:basedOn w:val="Normal"/>
    <w:next w:val="Normal"/>
    <w:pPr>
      <w:numPr>
        <w:ilvl w:val="7"/>
        <w:numId w:val="3"/>
      </w:numPr>
      <w:spacing w:before="240" w:after="60"/>
      <w:outlineLvl w:val="7"/>
    </w:pPr>
    <w:rPr>
      <w:i/>
      <w:sz w:val="20"/>
    </w:rPr>
  </w:style>
  <w:style w:type="paragraph" w:styleId="Titre9">
    <w:name w:val="heading 9"/>
    <w:basedOn w:val="Normal"/>
    <w:next w:val="Normal"/>
    <w:pPr>
      <w:numPr>
        <w:ilvl w:val="8"/>
        <w:numId w:val="3"/>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rsid w:val="00495107"/>
    <w:pPr>
      <w:tabs>
        <w:tab w:val="left" w:pos="567"/>
      </w:tabs>
      <w:spacing w:before="120" w:after="120" w:line="276" w:lineRule="auto"/>
      <w:jc w:val="both"/>
    </w:pPr>
    <w:rPr>
      <w:kern w:val="28"/>
      <w:lang w:val="en-CA"/>
    </w:rPr>
  </w:style>
  <w:style w:type="paragraph" w:customStyle="1" w:styleId="Citationenretrait">
    <w:name w:val="Citation en retrait"/>
    <w:basedOn w:val="Normal"/>
    <w:link w:val="CitationenretraitCar"/>
    <w:qFormat/>
    <w:rsid w:val="00AE5BC4"/>
    <w:pPr>
      <w:spacing w:after="120" w:line="276" w:lineRule="auto"/>
      <w:ind w:left="567"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link w:val="CorpsdetexteCar"/>
    <w:semiHidden/>
    <w:pPr>
      <w:spacing w:after="120"/>
    </w:pPr>
  </w:style>
  <w:style w:type="paragraph" w:styleId="Notedebasdepage">
    <w:name w:val="footnote text"/>
    <w:basedOn w:val="Normal"/>
    <w:link w:val="NotedebasdepageCar"/>
    <w:qFormat/>
    <w:pPr>
      <w:ind w:left="360" w:hanging="360"/>
      <w:jc w:val="both"/>
    </w:pPr>
    <w:rPr>
      <w:sz w:val="20"/>
    </w:rPr>
  </w:style>
  <w:style w:type="paragraph" w:styleId="Notedefin">
    <w:name w:val="endnote text"/>
    <w:basedOn w:val="Normal"/>
    <w:link w:val="NotedefinCar"/>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lamarge">
    <w:name w:val="Par. à la marge"/>
    <w:basedOn w:val="ParagNonNum"/>
    <w:qFormat/>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En-tte">
    <w:name w:val="header"/>
    <w:basedOn w:val="Normal"/>
    <w:link w:val="En-tteCar"/>
    <w:unhideWhenUsed/>
    <w:rsid w:val="00E728B8"/>
    <w:pPr>
      <w:tabs>
        <w:tab w:val="center" w:pos="4320"/>
        <w:tab w:val="right" w:pos="8640"/>
      </w:tabs>
    </w:pPr>
  </w:style>
  <w:style w:type="character" w:customStyle="1" w:styleId="En-tteCar">
    <w:name w:val="En-tête Car"/>
    <w:link w:val="En-tte"/>
    <w:rsid w:val="00E728B8"/>
    <w:rPr>
      <w:rFonts w:ascii="Arial" w:hAnsi="Arial"/>
      <w:sz w:val="24"/>
      <w:lang w:eastAsia="fr-FR"/>
    </w:rPr>
  </w:style>
  <w:style w:type="paragraph" w:styleId="Pieddepage">
    <w:name w:val="footer"/>
    <w:basedOn w:val="Normal"/>
    <w:link w:val="PieddepageCar"/>
    <w:uiPriority w:val="99"/>
    <w:unhideWhenUsed/>
    <w:rsid w:val="00E728B8"/>
    <w:pPr>
      <w:tabs>
        <w:tab w:val="center" w:pos="4320"/>
        <w:tab w:val="right" w:pos="8640"/>
      </w:tabs>
    </w:pPr>
  </w:style>
  <w:style w:type="character" w:customStyle="1" w:styleId="PieddepageCar">
    <w:name w:val="Pied de page Car"/>
    <w:link w:val="Pieddepage"/>
    <w:uiPriority w:val="99"/>
    <w:rsid w:val="00E728B8"/>
    <w:rPr>
      <w:rFonts w:ascii="Arial" w:hAnsi="Arial"/>
      <w:sz w:val="24"/>
      <w:lang w:eastAsia="fr-FR"/>
    </w:rPr>
  </w:style>
  <w:style w:type="paragraph" w:customStyle="1" w:styleId="numration">
    <w:name w:val="Énumération"/>
    <w:basedOn w:val="Paragraphe"/>
    <w:qFormat/>
    <w:rsid w:val="00495107"/>
    <w:pPr>
      <w:numPr>
        <w:numId w:val="2"/>
      </w:numPr>
      <w:tabs>
        <w:tab w:val="clear" w:pos="567"/>
      </w:tabs>
      <w:spacing w:before="0"/>
    </w:pPr>
  </w:style>
  <w:style w:type="character" w:styleId="Appelnotedebasdep">
    <w:name w:val="footnote reference"/>
    <w:uiPriority w:val="99"/>
    <w:semiHidden/>
    <w:unhideWhenUsed/>
    <w:rsid w:val="00AE5BC4"/>
    <w:rPr>
      <w:vertAlign w:val="superscript"/>
    </w:rPr>
  </w:style>
  <w:style w:type="character" w:customStyle="1" w:styleId="CorpsdetexteCar">
    <w:name w:val="Corps de texte Car"/>
    <w:link w:val="Corpsdetexte"/>
    <w:semiHidden/>
    <w:rsid w:val="00AE5BC4"/>
    <w:rPr>
      <w:rFonts w:ascii="Arial" w:hAnsi="Arial"/>
      <w:sz w:val="24"/>
      <w:lang w:eastAsia="fr-FR"/>
    </w:rPr>
  </w:style>
  <w:style w:type="paragraph" w:customStyle="1" w:styleId="Citationdansunecitation">
    <w:name w:val="Citation dans une citation"/>
    <w:basedOn w:val="Citationenretrait"/>
    <w:link w:val="CitationdansunecitationCar"/>
    <w:qFormat/>
    <w:rsid w:val="005C0430"/>
    <w:pPr>
      <w:ind w:left="1134" w:right="1282"/>
    </w:pPr>
    <w:rPr>
      <w:sz w:val="20"/>
    </w:rPr>
  </w:style>
  <w:style w:type="character" w:customStyle="1" w:styleId="CitationenretraitCar">
    <w:name w:val="Citation en retrait Car"/>
    <w:link w:val="Citationenretrait"/>
    <w:rsid w:val="005C0430"/>
    <w:rPr>
      <w:rFonts w:ascii="Arial" w:hAnsi="Arial"/>
      <w:kern w:val="24"/>
      <w:sz w:val="22"/>
      <w:lang w:eastAsia="fr-FR"/>
    </w:rPr>
  </w:style>
  <w:style w:type="character" w:customStyle="1" w:styleId="CitationdansunecitationCar">
    <w:name w:val="Citation dans une citation Car"/>
    <w:link w:val="Citationdansunecitation"/>
    <w:rsid w:val="005C0430"/>
    <w:rPr>
      <w:rFonts w:ascii="Arial" w:hAnsi="Arial"/>
      <w:kern w:val="24"/>
      <w:sz w:val="22"/>
      <w:lang w:eastAsia="fr-FR"/>
    </w:rPr>
  </w:style>
  <w:style w:type="character" w:customStyle="1" w:styleId="NotedebasdepageCar">
    <w:name w:val="Note de bas de page Car"/>
    <w:link w:val="Notedebasdepage"/>
    <w:rsid w:val="00996769"/>
    <w:rPr>
      <w:rFonts w:ascii="Arial" w:hAnsi="Arial"/>
      <w:lang w:eastAsia="fr-FR"/>
    </w:rPr>
  </w:style>
  <w:style w:type="character" w:styleId="Hyperlien">
    <w:name w:val="Hyperlink"/>
    <w:uiPriority w:val="99"/>
    <w:unhideWhenUsed/>
    <w:rsid w:val="00996769"/>
    <w:rPr>
      <w:color w:val="0000FF"/>
      <w:u w:val="single"/>
    </w:rPr>
  </w:style>
  <w:style w:type="character" w:customStyle="1" w:styleId="subsection">
    <w:name w:val="subsection"/>
    <w:basedOn w:val="Policepardfaut"/>
    <w:rsid w:val="00996769"/>
  </w:style>
  <w:style w:type="paragraph" w:styleId="Paragraphedeliste">
    <w:name w:val="List Paragraph"/>
    <w:basedOn w:val="Normal"/>
    <w:uiPriority w:val="34"/>
    <w:qFormat/>
    <w:rsid w:val="005D2687"/>
    <w:pPr>
      <w:spacing w:after="160" w:line="259" w:lineRule="auto"/>
      <w:ind w:left="720"/>
      <w:contextualSpacing/>
    </w:pPr>
    <w:rPr>
      <w:rFonts w:ascii="Calibri" w:eastAsia="Calibri" w:hAnsi="Calibri"/>
      <w:sz w:val="22"/>
      <w:szCs w:val="22"/>
      <w:lang w:eastAsia="en-US"/>
    </w:rPr>
  </w:style>
  <w:style w:type="paragraph" w:styleId="Rvision">
    <w:name w:val="Revision"/>
    <w:hidden/>
    <w:uiPriority w:val="99"/>
    <w:semiHidden/>
    <w:rsid w:val="005E1E85"/>
    <w:rPr>
      <w:rFonts w:ascii="Arial" w:hAnsi="Arial"/>
      <w:sz w:val="24"/>
      <w:lang w:eastAsia="fr-FR"/>
    </w:rPr>
  </w:style>
  <w:style w:type="character" w:styleId="Marquedecommentaire">
    <w:name w:val="annotation reference"/>
    <w:unhideWhenUsed/>
    <w:rsid w:val="00D245C1"/>
    <w:rPr>
      <w:sz w:val="16"/>
      <w:szCs w:val="16"/>
    </w:rPr>
  </w:style>
  <w:style w:type="paragraph" w:styleId="Commentaire">
    <w:name w:val="annotation text"/>
    <w:basedOn w:val="Normal"/>
    <w:link w:val="CommentaireCar"/>
    <w:unhideWhenUsed/>
    <w:rsid w:val="00D245C1"/>
    <w:rPr>
      <w:sz w:val="20"/>
    </w:rPr>
  </w:style>
  <w:style w:type="character" w:customStyle="1" w:styleId="CommentaireCar">
    <w:name w:val="Commentaire Car"/>
    <w:link w:val="Commentaire"/>
    <w:rsid w:val="00D245C1"/>
    <w:rPr>
      <w:rFonts w:ascii="Arial" w:hAnsi="Arial"/>
      <w:lang w:eastAsia="fr-FR"/>
    </w:rPr>
  </w:style>
  <w:style w:type="paragraph" w:styleId="Objetducommentaire">
    <w:name w:val="annotation subject"/>
    <w:basedOn w:val="Commentaire"/>
    <w:next w:val="Commentaire"/>
    <w:link w:val="ObjetducommentaireCar"/>
    <w:unhideWhenUsed/>
    <w:rsid w:val="00D245C1"/>
    <w:rPr>
      <w:b/>
      <w:bCs/>
    </w:rPr>
  </w:style>
  <w:style w:type="character" w:customStyle="1" w:styleId="ObjetducommentaireCar">
    <w:name w:val="Objet du commentaire Car"/>
    <w:link w:val="Objetducommentaire"/>
    <w:rsid w:val="00D245C1"/>
    <w:rPr>
      <w:rFonts w:ascii="Arial" w:hAnsi="Arial"/>
      <w:b/>
      <w:bCs/>
      <w:lang w:eastAsia="fr-FR"/>
    </w:rPr>
  </w:style>
  <w:style w:type="character" w:customStyle="1" w:styleId="dictionnaires">
    <w:name w:val="dictionnaires"/>
    <w:basedOn w:val="Policepardfaut"/>
    <w:rsid w:val="00B04765"/>
  </w:style>
  <w:style w:type="character" w:customStyle="1" w:styleId="apple-converted-space">
    <w:name w:val="apple-converted-space"/>
    <w:basedOn w:val="Policepardfaut"/>
    <w:rsid w:val="00B04765"/>
  </w:style>
  <w:style w:type="character" w:customStyle="1" w:styleId="noteexpr">
    <w:name w:val="note_expr"/>
    <w:basedOn w:val="Policepardfaut"/>
    <w:rsid w:val="00B04765"/>
  </w:style>
  <w:style w:type="character" w:customStyle="1" w:styleId="noteexprsecond">
    <w:name w:val="note_exprsecond"/>
    <w:basedOn w:val="Policepardfaut"/>
    <w:rsid w:val="00B04765"/>
  </w:style>
  <w:style w:type="character" w:customStyle="1" w:styleId="noteequiv">
    <w:name w:val="note_equiv"/>
    <w:basedOn w:val="Policepardfaut"/>
    <w:rsid w:val="00B04765"/>
  </w:style>
  <w:style w:type="paragraph" w:customStyle="1" w:styleId="paragraphe0">
    <w:name w:val="paragraphe"/>
    <w:basedOn w:val="Normal"/>
    <w:rsid w:val="00C96B39"/>
    <w:pPr>
      <w:spacing w:before="100" w:beforeAutospacing="1" w:after="100" w:afterAutospacing="1"/>
    </w:pPr>
    <w:rPr>
      <w:rFonts w:ascii="Times New Roman" w:hAnsi="Times New Roman"/>
      <w:szCs w:val="24"/>
      <w:lang w:eastAsia="fr-CA"/>
    </w:rPr>
  </w:style>
  <w:style w:type="character" w:customStyle="1" w:styleId="irofootnotereference">
    <w:name w:val="irofootnotereference"/>
    <w:basedOn w:val="Policepardfaut"/>
    <w:rsid w:val="00C96B39"/>
  </w:style>
  <w:style w:type="paragraph" w:customStyle="1" w:styleId="paragraphedeliste0">
    <w:name w:val="paragraphedeliste"/>
    <w:basedOn w:val="Normal"/>
    <w:rsid w:val="00C96B39"/>
    <w:pPr>
      <w:spacing w:before="100" w:beforeAutospacing="1" w:after="100" w:afterAutospacing="1"/>
    </w:pPr>
    <w:rPr>
      <w:rFonts w:ascii="Times New Roman" w:hAnsi="Times New Roman"/>
      <w:szCs w:val="24"/>
      <w:lang w:eastAsia="fr-CA"/>
    </w:rPr>
  </w:style>
  <w:style w:type="table" w:styleId="Grilledutableau">
    <w:name w:val="Table Grid"/>
    <w:basedOn w:val="TableauNormal"/>
    <w:rsid w:val="00C96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qFormat/>
    <w:rsid w:val="00C96B39"/>
    <w:pPr>
      <w:spacing w:before="240" w:after="60" w:line="276" w:lineRule="auto"/>
      <w:jc w:val="center"/>
      <w:outlineLvl w:val="0"/>
    </w:pPr>
    <w:rPr>
      <w:rFonts w:cs="Arial"/>
      <w:b/>
      <w:bCs/>
      <w:kern w:val="28"/>
      <w:sz w:val="32"/>
      <w:szCs w:val="32"/>
    </w:rPr>
  </w:style>
  <w:style w:type="character" w:customStyle="1" w:styleId="TitreCar">
    <w:name w:val="Titre Car"/>
    <w:link w:val="Titre"/>
    <w:rsid w:val="00C96B39"/>
    <w:rPr>
      <w:rFonts w:ascii="Arial" w:hAnsi="Arial" w:cs="Arial"/>
      <w:b/>
      <w:bCs/>
      <w:kern w:val="28"/>
      <w:sz w:val="32"/>
      <w:szCs w:val="32"/>
      <w:lang w:eastAsia="fr-FR"/>
    </w:rPr>
  </w:style>
  <w:style w:type="character" w:styleId="Numrodepage">
    <w:name w:val="page number"/>
    <w:rsid w:val="00C96B39"/>
    <w:rPr>
      <w:rFonts w:ascii="Arial" w:hAnsi="Arial"/>
    </w:rPr>
  </w:style>
  <w:style w:type="paragraph" w:styleId="Textedebulles">
    <w:name w:val="Balloon Text"/>
    <w:basedOn w:val="Normal"/>
    <w:link w:val="TextedebullesCar"/>
    <w:rsid w:val="00C96B39"/>
    <w:pPr>
      <w:spacing w:before="120" w:line="276" w:lineRule="auto"/>
      <w:jc w:val="both"/>
    </w:pPr>
    <w:rPr>
      <w:rFonts w:ascii="Segoe UI" w:hAnsi="Segoe UI" w:cs="Segoe UI"/>
      <w:sz w:val="18"/>
      <w:szCs w:val="18"/>
    </w:rPr>
  </w:style>
  <w:style w:type="character" w:customStyle="1" w:styleId="TextedebullesCar">
    <w:name w:val="Texte de bulles Car"/>
    <w:link w:val="Textedebulles"/>
    <w:rsid w:val="00C96B39"/>
    <w:rPr>
      <w:rFonts w:ascii="Segoe UI" w:hAnsi="Segoe UI" w:cs="Segoe UI"/>
      <w:sz w:val="18"/>
      <w:szCs w:val="18"/>
      <w:lang w:eastAsia="fr-FR"/>
    </w:rPr>
  </w:style>
  <w:style w:type="character" w:customStyle="1" w:styleId="Titre1Car">
    <w:name w:val="Titre 1 Car"/>
    <w:link w:val="Titre1"/>
    <w:uiPriority w:val="9"/>
    <w:rsid w:val="00C96B39"/>
    <w:rPr>
      <w:rFonts w:ascii="Arial" w:hAnsi="Arial"/>
      <w:b/>
      <w:smallCaps/>
      <w:kern w:val="28"/>
      <w:sz w:val="24"/>
      <w:u w:val="single"/>
      <w:lang w:eastAsia="fr-FR"/>
    </w:rPr>
  </w:style>
  <w:style w:type="character" w:customStyle="1" w:styleId="NotedefinCar">
    <w:name w:val="Note de fin Car"/>
    <w:link w:val="Notedefin"/>
    <w:rsid w:val="00C96B39"/>
    <w:rPr>
      <w:rFonts w:ascii="Arial" w:hAnsi="Arial"/>
      <w:lang w:eastAsia="fr-FR"/>
    </w:rPr>
  </w:style>
  <w:style w:type="character" w:styleId="Appeldenotedefin">
    <w:name w:val="endnote reference"/>
    <w:rsid w:val="00C96B39"/>
    <w:rPr>
      <w:vertAlign w:val="superscript"/>
    </w:rPr>
  </w:style>
  <w:style w:type="character" w:styleId="Lienvisit">
    <w:name w:val="FollowedHyperlink"/>
    <w:rsid w:val="00C96B39"/>
    <w:rPr>
      <w:color w:val="954F72"/>
      <w:u w:val="single"/>
    </w:rPr>
  </w:style>
  <w:style w:type="paragraph" w:styleId="NormalWeb">
    <w:name w:val="Normal (Web)"/>
    <w:basedOn w:val="Normal"/>
    <w:uiPriority w:val="99"/>
    <w:unhideWhenUsed/>
    <w:rsid w:val="00C96B39"/>
    <w:pPr>
      <w:spacing w:before="100" w:beforeAutospacing="1" w:after="100" w:afterAutospacing="1"/>
    </w:pPr>
    <w:rPr>
      <w:rFonts w:ascii="Times New Roman" w:hAnsi="Times New Roman"/>
      <w:szCs w:val="24"/>
      <w:lang w:eastAsia="fr-CA"/>
    </w:rPr>
  </w:style>
  <w:style w:type="character" w:styleId="Accentuation">
    <w:name w:val="Emphasis"/>
    <w:uiPriority w:val="20"/>
    <w:qFormat/>
    <w:rsid w:val="00C96B39"/>
    <w:rPr>
      <w:i/>
      <w:iCs/>
    </w:rPr>
  </w:style>
  <w:style w:type="character" w:customStyle="1" w:styleId="legds">
    <w:name w:val="legds"/>
    <w:basedOn w:val="Policepardfaut"/>
    <w:rsid w:val="00C96B39"/>
  </w:style>
  <w:style w:type="paragraph" w:customStyle="1" w:styleId="legclearfix">
    <w:name w:val="legclearfix"/>
    <w:basedOn w:val="Normal"/>
    <w:rsid w:val="00C96B39"/>
    <w:pPr>
      <w:spacing w:before="100" w:beforeAutospacing="1" w:after="100" w:afterAutospacing="1"/>
    </w:pPr>
    <w:rPr>
      <w:rFonts w:ascii="Times New Roman" w:hAnsi="Times New Roman"/>
      <w:szCs w:val="24"/>
      <w:lang w:eastAsia="fr-CA"/>
    </w:rPr>
  </w:style>
  <w:style w:type="paragraph" w:customStyle="1" w:styleId="legrhs">
    <w:name w:val="legrhs"/>
    <w:basedOn w:val="Normal"/>
    <w:rsid w:val="00C96B39"/>
    <w:pPr>
      <w:spacing w:before="100" w:beforeAutospacing="1" w:after="100" w:afterAutospacing="1"/>
    </w:pPr>
    <w:rPr>
      <w:rFonts w:ascii="Times New Roman" w:hAnsi="Times New Roman"/>
      <w:szCs w:val="24"/>
      <w:lang w:eastAsia="fr-CA"/>
    </w:rPr>
  </w:style>
  <w:style w:type="character" w:customStyle="1" w:styleId="title1">
    <w:name w:val="title1"/>
    <w:basedOn w:val="Policepardfaut"/>
    <w:rsid w:val="00C96B39"/>
  </w:style>
  <w:style w:type="character" w:styleId="Mentionnonrsolue">
    <w:name w:val="Unresolved Mention"/>
    <w:uiPriority w:val="99"/>
    <w:semiHidden/>
    <w:unhideWhenUsed/>
    <w:rsid w:val="00B06A15"/>
    <w:rPr>
      <w:color w:val="605E5C"/>
      <w:shd w:val="clear" w:color="auto" w:fill="E1DFDD"/>
    </w:rPr>
  </w:style>
  <w:style w:type="character" w:customStyle="1" w:styleId="ParagrapheCar">
    <w:name w:val="Paragraphe Car"/>
    <w:link w:val="Paragraphe"/>
    <w:rsid w:val="00E676AD"/>
    <w:rPr>
      <w:rFonts w:ascii="Arial" w:hAnsi="Arial"/>
      <w:kern w:val="28"/>
      <w:sz w:val="24"/>
      <w:lang w:val="en-CA" w:eastAsia="fr-FR"/>
    </w:rPr>
  </w:style>
  <w:style w:type="paragraph" w:customStyle="1" w:styleId="pf0">
    <w:name w:val="pf0"/>
    <w:basedOn w:val="Normal"/>
    <w:rsid w:val="000248FF"/>
    <w:pPr>
      <w:spacing w:before="100" w:beforeAutospacing="1" w:after="100" w:afterAutospacing="1"/>
    </w:pPr>
    <w:rPr>
      <w:rFonts w:ascii="Times New Roman" w:hAnsi="Times New Roman"/>
      <w:szCs w:val="24"/>
      <w:lang w:eastAsia="fr-CA"/>
    </w:rPr>
  </w:style>
  <w:style w:type="character" w:customStyle="1" w:styleId="cf01">
    <w:name w:val="cf01"/>
    <w:rsid w:val="000248FF"/>
    <w:rPr>
      <w:rFonts w:ascii="Segoe UI" w:hAnsi="Segoe UI" w:cs="Segoe UI" w:hint="default"/>
      <w:sz w:val="18"/>
      <w:szCs w:val="18"/>
    </w:rPr>
  </w:style>
  <w:style w:type="character" w:customStyle="1" w:styleId="cf11">
    <w:name w:val="cf11"/>
    <w:rsid w:val="000248FF"/>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fondationemergence.org/lexique" TargetMode="External"/><Relationship Id="rId3" Type="http://schemas.openxmlformats.org/officeDocument/2006/relationships/hyperlink" Target="https://conseil-lgbt.ca/wp-content/uploads/2023/05/Tajeddine-et-Cremier-CQLGBT-2021-Enjeux-trans-diversite-de-genre.pdf" TargetMode="External"/><Relationship Id="rId7" Type="http://schemas.openxmlformats.org/officeDocument/2006/relationships/hyperlink" Target="https://plus.lapresse.ca/screens/adccfac9-849e-4701-87aa-6f168cd54f35%7C_0.html" TargetMode="External"/><Relationship Id="rId2" Type="http://schemas.openxmlformats.org/officeDocument/2006/relationships/hyperlink" Target="https://cba.org/CBAMediaLibrary/cba_na/images/Equal%20Justice%20-%20Microsite/PDFs/CBA_AccesstoJusticeforTransPeople.pdf" TargetMode="External"/><Relationship Id="rId1" Type="http://schemas.openxmlformats.org/officeDocument/2006/relationships/hyperlink" Target="https://www.abcqc.qc.ca/Publications-Resources/Articles/2020-2021/Une-decision-historique-de-la-Cour-superieure-du-Q" TargetMode="External"/><Relationship Id="rId6" Type="http://schemas.openxmlformats.org/officeDocument/2006/relationships/hyperlink" Target="https://vitrinelinguistique.oqlf.gouv.qc.ca/fiche-gdt/fiche/26532486/personne-trans" TargetMode="External"/><Relationship Id="rId5" Type="http://schemas.openxmlformats.org/officeDocument/2006/relationships/hyperlink" Target="https://www.larousse.fr/dictionnaires/francais/transsexuel/79231" TargetMode="External"/><Relationship Id="rId4" Type="http://schemas.openxmlformats.org/officeDocument/2006/relationships/hyperlink" Target="https://chairedspg.uqam.ca/upload/files/fiches-realises/D%C3%A9finitions_diversit%C3%A9_sexuelle_et_de_genr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41CCB-1D35-43FF-ABD7-70D11B77FD30}">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27</Pages>
  <Words>7652</Words>
  <Characters>42088</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Gabarit EDJ</vt:lpstr>
    </vt:vector>
  </TitlesOfParts>
  <Manager>Stéphane Renauld</Manager>
  <Company>SOQUIJ</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EDJ</dc:title>
  <dc:creator>Ann-Marie Jones</dc:creator>
  <cp:lastModifiedBy>Gauthier, François</cp:lastModifiedBy>
  <cp:revision>7</cp:revision>
  <cp:lastPrinted>2024-06-10T18:42:00Z</cp:lastPrinted>
  <dcterms:created xsi:type="dcterms:W3CDTF">2025-06-18T18:32:00Z</dcterms:created>
  <dcterms:modified xsi:type="dcterms:W3CDTF">2025-06-19T18:17:00Z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Cour">
    <vt:lpwstr>CQ</vt:lpwstr>
  </property>
  <property fmtid="{D5CDD505-2E9C-101B-9397-08002B2CF9AE}" pid="3" name="Soquij_DateModification">
    <vt:lpwstr>01/24/2002</vt:lpwstr>
  </property>
  <property fmtid="{D5CDD505-2E9C-101B-9397-08002B2CF9AE}" pid="4" name="Soquij_Langue">
    <vt:lpwstr>Fra</vt:lpwstr>
  </property>
  <property fmtid="{D5CDD505-2E9C-101B-9397-08002B2CF9AE}" pid="5" name="Soquij_Modele">
    <vt:lpwstr>edj</vt:lpwstr>
  </property>
  <property fmtid="{D5CDD505-2E9C-101B-9397-08002B2CF9AE}" pid="6" name="Soquij_ModifiePar">
    <vt:lpwstr>renste</vt:lpwstr>
  </property>
  <property fmtid="{D5CDD505-2E9C-101B-9397-08002B2CF9AE}" pid="7" name="Soquij_Version">
    <vt:lpwstr>1.6</vt:lpwstr>
  </property>
</Properties>
</file>