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232FA" w14:paraId="5E720D25" w14:textId="77777777">
        <w:tc>
          <w:tcPr>
            <w:tcW w:w="4680" w:type="dxa"/>
          </w:tcPr>
          <w:p w14:paraId="7C412B64" w14:textId="4214EB92" w:rsidR="004232FA" w:rsidRPr="002508EC" w:rsidRDefault="002508EC">
            <w:pPr>
              <w:rPr>
                <w:b/>
                <w:bCs/>
                <w:sz w:val="22"/>
                <w:szCs w:val="22"/>
              </w:rPr>
            </w:pPr>
            <w:r w:rsidRPr="002508EC">
              <w:rPr>
                <w:b/>
                <w:bCs/>
                <w:sz w:val="22"/>
                <w:szCs w:val="22"/>
              </w:rPr>
              <w:t>Droit de la famille — 241524</w:t>
            </w:r>
          </w:p>
        </w:tc>
        <w:tc>
          <w:tcPr>
            <w:tcW w:w="4680" w:type="dxa"/>
          </w:tcPr>
          <w:p w14:paraId="6B2AA7BE" w14:textId="0186A264" w:rsidR="004232FA" w:rsidRPr="002508EC" w:rsidRDefault="002508EC" w:rsidP="002508EC">
            <w:pPr>
              <w:jc w:val="right"/>
              <w:rPr>
                <w:b/>
                <w:bCs/>
                <w:sz w:val="22"/>
                <w:szCs w:val="22"/>
              </w:rPr>
            </w:pPr>
            <w:r w:rsidRPr="002508EC">
              <w:rPr>
                <w:b/>
                <w:bCs/>
                <w:sz w:val="22"/>
                <w:szCs w:val="22"/>
              </w:rPr>
              <w:t>2024 QCC</w:t>
            </w:r>
            <w:r w:rsidR="00410B2A">
              <w:rPr>
                <w:b/>
                <w:bCs/>
                <w:sz w:val="22"/>
                <w:szCs w:val="22"/>
              </w:rPr>
              <w:t>A</w:t>
            </w:r>
            <w:r w:rsidRPr="002508EC">
              <w:rPr>
                <w:b/>
                <w:bCs/>
                <w:sz w:val="22"/>
                <w:szCs w:val="22"/>
              </w:rPr>
              <w:t xml:space="preserve"> 1314</w:t>
            </w:r>
          </w:p>
        </w:tc>
      </w:tr>
    </w:tbl>
    <w:tbl>
      <w:tblPr>
        <w:tblStyle w:val="Grilledutableau"/>
        <w:tblW w:w="0" w:type="auto"/>
        <w:tblInd w:w="-90" w:type="dxa"/>
        <w:tblLook w:val="04A0" w:firstRow="1" w:lastRow="0" w:firstColumn="1" w:lastColumn="0" w:noHBand="0" w:noVBand="1"/>
      </w:tblPr>
      <w:tblGrid>
        <w:gridCol w:w="1800"/>
        <w:gridCol w:w="5427"/>
        <w:gridCol w:w="2223"/>
      </w:tblGrid>
      <w:tr w:rsidR="007F42F1" w14:paraId="5A8AC2AF" w14:textId="77777777" w:rsidTr="004A5694">
        <w:tc>
          <w:tcPr>
            <w:tcW w:w="7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22EDC" w14:textId="77777777" w:rsidR="007F42F1" w:rsidRPr="002508EC" w:rsidRDefault="007F42F1" w:rsidP="00E8178A">
            <w:pPr>
              <w:pStyle w:val="zSoquijdatRepertorie"/>
              <w:rPr>
                <w:b w:val="0"/>
                <w:bCs/>
                <w:sz w:val="24"/>
              </w:rPr>
            </w:pPr>
            <w:r w:rsidRPr="002508EC">
              <w:rPr>
                <w:b w:val="0"/>
                <w:bCs/>
                <w:sz w:val="24"/>
              </w:rPr>
              <w:t>English translation of the judgment of the Court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14:paraId="5DECA535" w14:textId="77777777" w:rsidR="007F42F1" w:rsidRPr="00E8178A" w:rsidRDefault="007F42F1" w:rsidP="00E8178A">
            <w:pPr>
              <w:pStyle w:val="zSoquijdatRefNeutre"/>
            </w:pPr>
          </w:p>
        </w:tc>
      </w:tr>
      <w:tr w:rsidR="007F42F1" w14:paraId="0FBC5A19" w14:textId="77777777" w:rsidTr="004A5694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BAB03" w14:textId="77777777" w:rsidR="007F42F1" w:rsidRPr="00385784" w:rsidRDefault="007F42F1" w:rsidP="00E8178A">
            <w:pPr>
              <w:pStyle w:val="zSoquijlblCour"/>
            </w:pPr>
            <w:r w:rsidRPr="00385784">
              <w:t xml:space="preserve">COURT OF </w:t>
            </w:r>
            <w:r w:rsidRPr="00E8178A">
              <w:t>APPEAL</w:t>
            </w:r>
          </w:p>
        </w:tc>
      </w:tr>
      <w:tr w:rsidR="007F42F1" w14:paraId="738F8EC3" w14:textId="77777777" w:rsidTr="004A5694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939EA" w14:textId="77777777" w:rsidR="007F42F1" w:rsidRPr="00E8178A" w:rsidRDefault="007F42F1" w:rsidP="00E8178A">
            <w:pPr>
              <w:pStyle w:val="zSoquijlblPays"/>
            </w:pPr>
            <w:r w:rsidRPr="00E8178A">
              <w:t>CANADA</w:t>
            </w:r>
          </w:p>
        </w:tc>
      </w:tr>
      <w:tr w:rsidR="007F42F1" w14:paraId="63CCF454" w14:textId="77777777" w:rsidTr="004A5694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4B6FD" w14:textId="77777777" w:rsidR="007F42F1" w:rsidRPr="00E8178A" w:rsidRDefault="007F42F1" w:rsidP="00E8178A">
            <w:pPr>
              <w:pStyle w:val="zSoquijlblProvince"/>
            </w:pPr>
            <w:r w:rsidRPr="00E8178A">
              <w:t>PROVINCE OF QUEBEC</w:t>
            </w:r>
          </w:p>
        </w:tc>
      </w:tr>
      <w:tr w:rsidR="007F42F1" w14:paraId="1CB956A4" w14:textId="77777777" w:rsidTr="00E8178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8C63459" w14:textId="77777777" w:rsidR="007F42F1" w:rsidRPr="00E8178A" w:rsidRDefault="007F42F1" w:rsidP="00E8178A">
            <w:pPr>
              <w:pStyle w:val="zSoquijlblGreffe"/>
            </w:pPr>
            <w:r w:rsidRPr="00E8178A">
              <w:t xml:space="preserve">REGISTRY OF </w:t>
            </w:r>
          </w:p>
        </w:tc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32181" w14:textId="77777777" w:rsidR="007F42F1" w:rsidRPr="00385784" w:rsidRDefault="007F42F1" w:rsidP="00F95FC5">
            <w:pPr>
              <w:pStyle w:val="zSoquijdatGreffe"/>
              <w:rPr>
                <w:lang w:val="en-CA"/>
              </w:rPr>
            </w:pPr>
            <w:r>
              <w:rPr>
                <w:lang w:val="en-CA"/>
              </w:rPr>
              <w:t>MONTREAL</w:t>
            </w:r>
          </w:p>
        </w:tc>
      </w:tr>
      <w:tr w:rsidR="007F42F1" w14:paraId="0B62C48E" w14:textId="77777777" w:rsidTr="004A5694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D7FF6" w14:textId="77777777" w:rsidR="007F42F1" w:rsidRPr="00385784" w:rsidRDefault="007F42F1" w:rsidP="002C7179">
            <w:pPr>
              <w:ind w:left="-108"/>
              <w:rPr>
                <w:lang w:val="en-CA"/>
              </w:rPr>
            </w:pPr>
          </w:p>
        </w:tc>
      </w:tr>
      <w:tr w:rsidR="007F42F1" w14:paraId="1A987717" w14:textId="77777777" w:rsidTr="004A5694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B3A4D" w14:textId="77777777" w:rsidR="007F42F1" w:rsidRPr="00385784" w:rsidRDefault="007F42F1" w:rsidP="00160465">
            <w:pPr>
              <w:pStyle w:val="zSoquijdatNoDossier"/>
              <w:rPr>
                <w:lang w:val="en-CA"/>
              </w:rPr>
            </w:pPr>
            <w:r w:rsidRPr="00385784">
              <w:rPr>
                <w:lang w:val="en-CA"/>
              </w:rPr>
              <w:t>No</w:t>
            </w:r>
            <w:r>
              <w:rPr>
                <w:lang w:val="en-CA"/>
              </w:rPr>
              <w:t>.</w:t>
            </w:r>
            <w:r w:rsidRPr="00385784">
              <w:rPr>
                <w:lang w:val="en-CA"/>
              </w:rPr>
              <w:t xml:space="preserve">:  </w:t>
            </w:r>
            <w:bookmarkStart w:id="0" w:name="NoDossier"/>
            <w:bookmarkEnd w:id="0"/>
            <w:r>
              <w:rPr>
                <w:lang w:val="en-CA"/>
              </w:rPr>
              <w:t>500-09-031146-244</w:t>
            </w:r>
          </w:p>
        </w:tc>
      </w:tr>
      <w:tr w:rsidR="007F42F1" w14:paraId="0F60A555" w14:textId="77777777" w:rsidTr="004A5694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D5C09" w14:textId="77777777" w:rsidR="007F42F1" w:rsidRPr="00385784" w:rsidRDefault="007F42F1" w:rsidP="00160465">
            <w:pPr>
              <w:pStyle w:val="zSoquijdatNoDossierAnt"/>
              <w:rPr>
                <w:lang w:val="en-CA"/>
              </w:rPr>
            </w:pPr>
            <w:r w:rsidRPr="00385784">
              <w:rPr>
                <w:lang w:val="en-CA"/>
              </w:rPr>
              <w:t xml:space="preserve">      </w:t>
            </w:r>
            <w:r>
              <w:rPr>
                <w:lang w:val="en-CA"/>
              </w:rPr>
              <w:t xml:space="preserve"> </w:t>
            </w:r>
            <w:r w:rsidRPr="00385784">
              <w:rPr>
                <w:lang w:val="en-CA"/>
              </w:rPr>
              <w:t>(</w:t>
            </w:r>
            <w:bookmarkStart w:id="1" w:name="DossierAnt"/>
            <w:bookmarkEnd w:id="1"/>
            <w:r>
              <w:rPr>
                <w:lang w:val="en-CA"/>
              </w:rPr>
              <w:t>500-12-332205-164</w:t>
            </w:r>
            <w:r w:rsidRPr="00385784">
              <w:rPr>
                <w:lang w:val="en-CA"/>
              </w:rPr>
              <w:t>)</w:t>
            </w:r>
          </w:p>
        </w:tc>
      </w:tr>
      <w:tr w:rsidR="007F42F1" w14:paraId="40E17AC9" w14:textId="77777777" w:rsidTr="004A5694">
        <w:tc>
          <w:tcPr>
            <w:tcW w:w="9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35C1D" w14:textId="77777777" w:rsidR="007F42F1" w:rsidRPr="00385784" w:rsidRDefault="007F42F1">
            <w:pPr>
              <w:rPr>
                <w:lang w:val="en-CA"/>
              </w:rPr>
            </w:pPr>
          </w:p>
        </w:tc>
      </w:tr>
      <w:tr w:rsidR="007F42F1" w14:paraId="45E04C2F" w14:textId="77777777" w:rsidTr="004A5694">
        <w:tc>
          <w:tcPr>
            <w:tcW w:w="9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037FB" w14:textId="77777777" w:rsidR="007F42F1" w:rsidRPr="00385784" w:rsidRDefault="007F42F1">
            <w:pPr>
              <w:rPr>
                <w:lang w:val="en-CA"/>
              </w:rPr>
            </w:pPr>
          </w:p>
        </w:tc>
      </w:tr>
      <w:tr w:rsidR="007F42F1" w14:paraId="0ECF9ECE" w14:textId="77777777" w:rsidTr="004A5694"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78329" w14:textId="77777777" w:rsidR="007F42F1" w:rsidRPr="00E8178A" w:rsidRDefault="007F42F1" w:rsidP="00E8178A">
            <w:pPr>
              <w:pStyle w:val="zSoquijlblTypeDocument"/>
            </w:pPr>
            <w:r w:rsidRPr="00E8178A">
              <w:t>MINUTES OF HEARING</w:t>
            </w:r>
          </w:p>
        </w:tc>
      </w:tr>
      <w:tr w:rsidR="007F42F1" w14:paraId="3AE8F641" w14:textId="77777777" w:rsidTr="004A5694">
        <w:tc>
          <w:tcPr>
            <w:tcW w:w="9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BEF52" w14:textId="77777777" w:rsidR="007F42F1" w:rsidRPr="00385784" w:rsidRDefault="007F42F1">
            <w:pPr>
              <w:rPr>
                <w:lang w:val="en-CA"/>
              </w:rPr>
            </w:pPr>
          </w:p>
        </w:tc>
      </w:tr>
    </w:tbl>
    <w:p w14:paraId="163BF0CF" w14:textId="77777777" w:rsidR="007F42F1" w:rsidRPr="004A5694" w:rsidRDefault="007F42F1" w:rsidP="004A5694">
      <w:pPr>
        <w:tabs>
          <w:tab w:val="left" w:pos="630"/>
        </w:tabs>
        <w:spacing w:line="240" w:lineRule="auto"/>
        <w:ind w:left="-90"/>
        <w:jc w:val="both"/>
        <w:rPr>
          <w:rFonts w:cs="Arial"/>
          <w:b/>
          <w:szCs w:val="24"/>
          <w:lang w:val="en-CA"/>
        </w:rPr>
      </w:pPr>
      <w:r w:rsidRPr="004A5694">
        <w:rPr>
          <w:rFonts w:cs="Arial"/>
          <w:b/>
          <w:szCs w:val="24"/>
          <w:lang w:val="en-CA"/>
        </w:rPr>
        <w:fldChar w:fldCharType="begin"/>
      </w:r>
      <w:r w:rsidRPr="004A5694">
        <w:rPr>
          <w:rFonts w:cs="Arial"/>
          <w:b/>
          <w:szCs w:val="24"/>
          <w:lang w:val="en-CA"/>
        </w:rPr>
        <w:instrText xml:space="preserve"> REF ORDONNANCE_DE \h  \* MERGEFORMAT </w:instrText>
      </w:r>
      <w:r w:rsidRPr="004A5694">
        <w:rPr>
          <w:rFonts w:cs="Arial"/>
          <w:b/>
          <w:szCs w:val="24"/>
          <w:lang w:val="en-CA"/>
        </w:rPr>
      </w:r>
      <w:r w:rsidR="00410B2A">
        <w:rPr>
          <w:rFonts w:cs="Arial"/>
          <w:b/>
          <w:szCs w:val="24"/>
          <w:lang w:val="en-CA"/>
        </w:rPr>
        <w:fldChar w:fldCharType="separate"/>
      </w:r>
      <w:r w:rsidRPr="004A5694">
        <w:rPr>
          <w:rFonts w:cs="Arial"/>
          <w:b/>
          <w:szCs w:val="24"/>
          <w:lang w:val="en-CA"/>
        </w:rPr>
        <w:fldChar w:fldCharType="end"/>
      </w:r>
    </w:p>
    <w:p w14:paraId="1491FCD5" w14:textId="77777777" w:rsidR="007F42F1" w:rsidRPr="00C61E6B" w:rsidRDefault="007F42F1" w:rsidP="00887EEB">
      <w:pPr>
        <w:tabs>
          <w:tab w:val="left" w:pos="630"/>
        </w:tabs>
        <w:spacing w:line="240" w:lineRule="auto"/>
        <w:jc w:val="both"/>
        <w:rPr>
          <w:rStyle w:val="eop"/>
          <w:rFonts w:cs="Arial"/>
          <w:color w:val="000000"/>
          <w:shd w:val="clear" w:color="auto" w:fill="FFFFFF"/>
          <w:lang w:val="en-CA"/>
        </w:rPr>
      </w:pPr>
      <w:r>
        <w:rPr>
          <w:rStyle w:val="normaltextrun"/>
          <w:rFonts w:cs="Arial"/>
          <w:b/>
          <w:bCs/>
          <w:color w:val="000000"/>
          <w:u w:val="single"/>
          <w:shd w:val="clear" w:color="auto" w:fill="FFFFFF"/>
          <w:lang w:val="en-CA"/>
        </w:rPr>
        <w:t>WARNING</w:t>
      </w:r>
      <w:r>
        <w:rPr>
          <w:rStyle w:val="normaltextrun"/>
          <w:rFonts w:cs="Arial"/>
          <w:b/>
          <w:bCs/>
          <w:color w:val="000000"/>
          <w:shd w:val="clear" w:color="auto" w:fill="FFFFFF"/>
          <w:lang w:val="en-CA"/>
        </w:rPr>
        <w:t xml:space="preserve">: Disclosure and circulation prohibited: The </w:t>
      </w:r>
      <w:r>
        <w:rPr>
          <w:rStyle w:val="normaltextrun"/>
          <w:rFonts w:cs="Arial"/>
          <w:b/>
          <w:bCs/>
          <w:i/>
          <w:iCs/>
          <w:color w:val="000000"/>
          <w:shd w:val="clear" w:color="auto" w:fill="FFFFFF"/>
          <w:lang w:val="en-CA"/>
        </w:rPr>
        <w:t>Code of Civil Procedure</w:t>
      </w:r>
      <w:r>
        <w:rPr>
          <w:rStyle w:val="normaltextrun"/>
          <w:rFonts w:cs="Arial"/>
          <w:b/>
          <w:bCs/>
          <w:color w:val="000000"/>
          <w:shd w:val="clear" w:color="auto" w:fill="FFFFFF"/>
          <w:lang w:val="en-CA"/>
        </w:rPr>
        <w:t xml:space="preserve"> (“</w:t>
      </w:r>
      <w:r>
        <w:rPr>
          <w:rStyle w:val="normaltextrun"/>
          <w:rFonts w:cs="Arial"/>
          <w:b/>
          <w:bCs/>
          <w:i/>
          <w:iCs/>
          <w:color w:val="000000"/>
          <w:shd w:val="clear" w:color="auto" w:fill="FFFFFF"/>
          <w:lang w:val="en-CA"/>
        </w:rPr>
        <w:t>C.C.P</w:t>
      </w:r>
      <w:r>
        <w:rPr>
          <w:rStyle w:val="normaltextrun"/>
          <w:rFonts w:cs="Arial"/>
          <w:b/>
          <w:bCs/>
          <w:color w:val="000000"/>
          <w:shd w:val="clear" w:color="auto" w:fill="FFFFFF"/>
          <w:lang w:val="en-CA"/>
        </w:rPr>
        <w:t>.”) provides that, except as authorized by the court, no person shall disclose or circulate any information that would allow a party or a child whose interests are at stake in a proceeding in a family matter to be identified (art. 16 </w:t>
      </w:r>
      <w:r>
        <w:rPr>
          <w:rStyle w:val="normaltextrun"/>
          <w:rFonts w:cs="Arial"/>
          <w:b/>
          <w:bCs/>
          <w:i/>
          <w:iCs/>
          <w:color w:val="000000"/>
          <w:shd w:val="clear" w:color="auto" w:fill="FFFFFF"/>
          <w:lang w:val="en-CA"/>
        </w:rPr>
        <w:t>C.C.P</w:t>
      </w:r>
      <w:r>
        <w:rPr>
          <w:rStyle w:val="normaltextrun"/>
          <w:rFonts w:cs="Arial"/>
          <w:b/>
          <w:bCs/>
          <w:color w:val="000000"/>
          <w:shd w:val="clear" w:color="auto" w:fill="FFFFFF"/>
          <w:lang w:val="en-CA"/>
        </w:rPr>
        <w:t>.).</w:t>
      </w:r>
      <w:r w:rsidRPr="00C61E6B">
        <w:rPr>
          <w:rStyle w:val="eop"/>
          <w:rFonts w:cs="Arial"/>
          <w:color w:val="000000"/>
          <w:shd w:val="clear" w:color="auto" w:fill="FFFFFF"/>
          <w:lang w:val="en-CA"/>
        </w:rPr>
        <w:t> </w:t>
      </w:r>
    </w:p>
    <w:p w14:paraId="3F9D43BB" w14:textId="77777777" w:rsidR="007F42F1" w:rsidRDefault="007F42F1" w:rsidP="00887EEB">
      <w:pPr>
        <w:tabs>
          <w:tab w:val="left" w:pos="630"/>
        </w:tabs>
        <w:spacing w:line="240" w:lineRule="auto"/>
        <w:jc w:val="both"/>
        <w:rPr>
          <w:rFonts w:cs="Arial"/>
          <w:szCs w:val="24"/>
          <w:lang w:val="en-CA"/>
        </w:rPr>
      </w:pPr>
    </w:p>
    <w:tbl>
      <w:tblPr>
        <w:tblStyle w:val="Grilledutableau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025"/>
      </w:tblGrid>
      <w:tr w:rsidR="007F42F1" w14:paraId="3B332D32" w14:textId="77777777" w:rsidTr="00775649">
        <w:tc>
          <w:tcPr>
            <w:tcW w:w="3420" w:type="dxa"/>
          </w:tcPr>
          <w:p w14:paraId="0F3C3A4C" w14:textId="77777777" w:rsidR="007F42F1" w:rsidRDefault="007F42F1" w:rsidP="00E8178A">
            <w:pPr>
              <w:pStyle w:val="zSoquijdatDateJugement"/>
            </w:pPr>
            <w:r w:rsidRPr="00385784">
              <w:t xml:space="preserve">DATE: </w:t>
            </w:r>
            <w:sdt>
              <w:sdtPr>
                <w:id w:val="342980581"/>
                <w:placeholder>
                  <w:docPart w:val="A9B4D3007ACA479C872B154D2D46844F"/>
                </w:placeholder>
                <w:date w:fullDate="2024-10-04T00:00:00Z"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>
                  <w:t>October 4, 2024</w:t>
                </w:r>
              </w:sdtContent>
            </w:sdt>
          </w:p>
        </w:tc>
        <w:tc>
          <w:tcPr>
            <w:tcW w:w="6025" w:type="dxa"/>
          </w:tcPr>
          <w:p w14:paraId="14953587" w14:textId="77777777" w:rsidR="007F42F1" w:rsidRDefault="007F42F1" w:rsidP="00887EEB">
            <w:pPr>
              <w:tabs>
                <w:tab w:val="left" w:pos="630"/>
              </w:tabs>
              <w:spacing w:line="240" w:lineRule="auto"/>
              <w:jc w:val="both"/>
              <w:rPr>
                <w:lang w:val="en-CA"/>
              </w:rPr>
            </w:pPr>
          </w:p>
        </w:tc>
      </w:tr>
      <w:tr w:rsidR="007F42F1" w14:paraId="7BAE5AE9" w14:textId="77777777" w:rsidTr="00775649">
        <w:tc>
          <w:tcPr>
            <w:tcW w:w="3420" w:type="dxa"/>
          </w:tcPr>
          <w:p w14:paraId="3559B700" w14:textId="77777777" w:rsidR="007F42F1" w:rsidRPr="00385784" w:rsidRDefault="007F42F1" w:rsidP="00887EEB">
            <w:pPr>
              <w:tabs>
                <w:tab w:val="left" w:pos="630"/>
              </w:tabs>
              <w:spacing w:line="240" w:lineRule="auto"/>
              <w:jc w:val="both"/>
              <w:rPr>
                <w:lang w:val="en-CA"/>
              </w:rPr>
            </w:pPr>
          </w:p>
        </w:tc>
        <w:tc>
          <w:tcPr>
            <w:tcW w:w="6025" w:type="dxa"/>
          </w:tcPr>
          <w:p w14:paraId="4DCE3AB0" w14:textId="77777777" w:rsidR="007F42F1" w:rsidRDefault="007F42F1" w:rsidP="00887EEB">
            <w:pPr>
              <w:tabs>
                <w:tab w:val="left" w:pos="630"/>
              </w:tabs>
              <w:spacing w:line="240" w:lineRule="auto"/>
              <w:jc w:val="both"/>
              <w:rPr>
                <w:lang w:val="en-CA"/>
              </w:rPr>
            </w:pPr>
          </w:p>
        </w:tc>
      </w:tr>
      <w:tr w:rsidR="007F42F1" w14:paraId="4F047785" w14:textId="77777777" w:rsidTr="00775649">
        <w:tc>
          <w:tcPr>
            <w:tcW w:w="3420" w:type="dxa"/>
          </w:tcPr>
          <w:p w14:paraId="6AE288D7" w14:textId="77777777" w:rsidR="007F42F1" w:rsidRPr="00385784" w:rsidRDefault="007F42F1" w:rsidP="004A5694">
            <w:pPr>
              <w:tabs>
                <w:tab w:val="left" w:pos="630"/>
              </w:tabs>
              <w:spacing w:line="240" w:lineRule="auto"/>
              <w:ind w:left="-108"/>
              <w:jc w:val="both"/>
              <w:rPr>
                <w:lang w:val="en-CA"/>
              </w:rPr>
            </w:pPr>
            <w:r>
              <w:rPr>
                <w:lang w:val="en-CA"/>
              </w:rPr>
              <w:t>CORAM</w:t>
            </w:r>
            <w:r w:rsidRPr="00385784">
              <w:rPr>
                <w:lang w:val="en-CA"/>
              </w:rPr>
              <w:t xml:space="preserve">: </w:t>
            </w:r>
            <w:r>
              <w:rPr>
                <w:lang w:val="en-CA"/>
              </w:rPr>
              <w:t>THE HONOURABLE</w:t>
            </w:r>
          </w:p>
        </w:tc>
        <w:tc>
          <w:tcPr>
            <w:tcW w:w="6025" w:type="dxa"/>
          </w:tcPr>
          <w:p w14:paraId="0FA8850A" w14:textId="77777777" w:rsidR="007F42F1" w:rsidRPr="00C61E6B" w:rsidRDefault="007F42F1" w:rsidP="008C6A18">
            <w:pPr>
              <w:pStyle w:val="zSoquijdatJuge"/>
              <w:rPr>
                <w:lang w:val="fr-CA"/>
              </w:rPr>
            </w:pPr>
            <w:r w:rsidRPr="00C61E6B">
              <w:rPr>
                <w:lang w:val="fr-CA"/>
              </w:rPr>
              <w:t>MARIE-FRANCE BICH, J.A.</w:t>
            </w:r>
          </w:p>
        </w:tc>
      </w:tr>
      <w:tr w:rsidR="007F42F1" w14:paraId="71790E28" w14:textId="77777777" w:rsidTr="00775649">
        <w:tc>
          <w:tcPr>
            <w:tcW w:w="3420" w:type="dxa"/>
          </w:tcPr>
          <w:p w14:paraId="796A0D91" w14:textId="77777777" w:rsidR="007F42F1" w:rsidRPr="00C61E6B" w:rsidRDefault="007F42F1" w:rsidP="004A5694">
            <w:pPr>
              <w:tabs>
                <w:tab w:val="left" w:pos="630"/>
              </w:tabs>
              <w:spacing w:line="240" w:lineRule="auto"/>
              <w:ind w:left="-108"/>
              <w:jc w:val="both"/>
            </w:pPr>
          </w:p>
        </w:tc>
        <w:tc>
          <w:tcPr>
            <w:tcW w:w="6025" w:type="dxa"/>
          </w:tcPr>
          <w:p w14:paraId="74977539" w14:textId="77777777" w:rsidR="007F42F1" w:rsidRDefault="007F42F1" w:rsidP="00E8178A">
            <w:pPr>
              <w:pStyle w:val="zSoquijdatJuge2"/>
            </w:pPr>
            <w:r>
              <w:t>STÉPHANE SANSFAÇON, J.A.</w:t>
            </w:r>
          </w:p>
        </w:tc>
      </w:tr>
      <w:tr w:rsidR="007F42F1" w14:paraId="2D1E2EFF" w14:textId="77777777" w:rsidTr="00775649">
        <w:trPr>
          <w:trHeight w:val="297"/>
        </w:trPr>
        <w:tc>
          <w:tcPr>
            <w:tcW w:w="3420" w:type="dxa"/>
          </w:tcPr>
          <w:p w14:paraId="4C20F783" w14:textId="77777777" w:rsidR="007F42F1" w:rsidRDefault="007F42F1" w:rsidP="004A5694">
            <w:pPr>
              <w:tabs>
                <w:tab w:val="left" w:pos="630"/>
              </w:tabs>
              <w:spacing w:line="240" w:lineRule="auto"/>
              <w:ind w:left="-108"/>
              <w:jc w:val="both"/>
              <w:rPr>
                <w:lang w:val="en-CA"/>
              </w:rPr>
            </w:pPr>
          </w:p>
        </w:tc>
        <w:tc>
          <w:tcPr>
            <w:tcW w:w="6025" w:type="dxa"/>
          </w:tcPr>
          <w:p w14:paraId="27C4347C" w14:textId="77777777" w:rsidR="007F42F1" w:rsidRDefault="007F42F1" w:rsidP="00E8178A">
            <w:pPr>
              <w:pStyle w:val="zSoquijdatJuge30"/>
            </w:pPr>
            <w:r>
              <w:t>BENOÎT MOORE, J.A.</w:t>
            </w:r>
          </w:p>
        </w:tc>
      </w:tr>
    </w:tbl>
    <w:p w14:paraId="79FDBE15" w14:textId="77777777" w:rsidR="007F42F1" w:rsidRPr="00385784" w:rsidRDefault="007F42F1" w:rsidP="00887EEB">
      <w:pPr>
        <w:spacing w:line="240" w:lineRule="auto"/>
        <w:jc w:val="both"/>
        <w:rPr>
          <w:rFonts w:cs="Arial"/>
          <w:szCs w:val="24"/>
          <w:lang w:val="en-CA"/>
        </w:rPr>
      </w:pPr>
    </w:p>
    <w:tbl>
      <w:tblPr>
        <w:tblStyle w:val="Grilledutableau1"/>
        <w:tblW w:w="0" w:type="auto"/>
        <w:tblInd w:w="-9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904"/>
      </w:tblGrid>
      <w:tr w:rsidR="007F42F1" w14:paraId="58621503" w14:textId="77777777" w:rsidTr="008C6A18">
        <w:tc>
          <w:tcPr>
            <w:tcW w:w="4541" w:type="dxa"/>
          </w:tcPr>
          <w:p w14:paraId="1672167B" w14:textId="77777777" w:rsidR="007F42F1" w:rsidRPr="002B5913" w:rsidRDefault="007F42F1" w:rsidP="002B5913">
            <w:pPr>
              <w:pStyle w:val="zSoquijdatQtePartieDem"/>
            </w:pPr>
            <w:r>
              <w:t>APPELLANT</w:t>
            </w:r>
          </w:p>
        </w:tc>
        <w:tc>
          <w:tcPr>
            <w:tcW w:w="4904" w:type="dxa"/>
            <w:vAlign w:val="center"/>
          </w:tcPr>
          <w:p w14:paraId="31D5210F" w14:textId="77777777" w:rsidR="007F42F1" w:rsidRPr="002B5913" w:rsidRDefault="007F42F1" w:rsidP="002B5913">
            <w:pPr>
              <w:pStyle w:val="zSoquijlblProcureurDem"/>
            </w:pPr>
          </w:p>
        </w:tc>
      </w:tr>
      <w:tr w:rsidR="007F42F1" w14:paraId="61D25BC8" w14:textId="77777777" w:rsidTr="008C6A18">
        <w:tc>
          <w:tcPr>
            <w:tcW w:w="4541" w:type="dxa"/>
          </w:tcPr>
          <w:p w14:paraId="45CD08C1" w14:textId="77777777" w:rsidR="007F42F1" w:rsidRPr="00385784" w:rsidRDefault="007F42F1" w:rsidP="00033ACA">
            <w:pPr>
              <w:tabs>
                <w:tab w:val="center" w:pos="2162"/>
              </w:tabs>
              <w:spacing w:line="240" w:lineRule="auto"/>
              <w:jc w:val="center"/>
              <w:rPr>
                <w:b/>
                <w:lang w:val="en-CA"/>
              </w:rPr>
            </w:pPr>
          </w:p>
          <w:p w14:paraId="65D5A6D5" w14:textId="5BD29574" w:rsidR="007F42F1" w:rsidRPr="00385784" w:rsidRDefault="007F42F1" w:rsidP="00F12661">
            <w:pPr>
              <w:pStyle w:val="zSoquijdatNomPartieDem"/>
              <w:tabs>
                <w:tab w:val="center" w:pos="2412"/>
              </w:tabs>
              <w:rPr>
                <w:lang w:val="en-CA"/>
              </w:rPr>
            </w:pPr>
            <w:bookmarkStart w:id="2" w:name="App"/>
            <w:bookmarkEnd w:id="2"/>
            <w:r>
              <w:rPr>
                <w:lang w:val="en-CA"/>
              </w:rPr>
              <w:t>J</w:t>
            </w:r>
            <w:r w:rsidR="006A7DB0">
              <w:rPr>
                <w:lang w:val="en-CA"/>
              </w:rPr>
              <w:t>.</w:t>
            </w:r>
            <w:r>
              <w:rPr>
                <w:lang w:val="en-CA"/>
              </w:rPr>
              <w:t xml:space="preserve"> </w:t>
            </w:r>
            <w:r w:rsidR="006A7DB0">
              <w:rPr>
                <w:lang w:val="en-CA"/>
              </w:rPr>
              <w:t>F.</w:t>
            </w:r>
          </w:p>
        </w:tc>
        <w:tc>
          <w:tcPr>
            <w:tcW w:w="4904" w:type="dxa"/>
          </w:tcPr>
          <w:p w14:paraId="506E2799" w14:textId="77777777" w:rsidR="007F42F1" w:rsidRPr="00385784" w:rsidRDefault="007F42F1" w:rsidP="00887EEB">
            <w:pPr>
              <w:spacing w:line="240" w:lineRule="auto"/>
              <w:jc w:val="center"/>
              <w:rPr>
                <w:rFonts w:cs="Arial"/>
                <w:szCs w:val="24"/>
                <w:lang w:val="en-CA"/>
              </w:rPr>
            </w:pPr>
          </w:p>
          <w:p w14:paraId="2CF1F9D7" w14:textId="77777777" w:rsidR="007F42F1" w:rsidRPr="00385784" w:rsidRDefault="007F42F1" w:rsidP="00F12661">
            <w:pPr>
              <w:pStyle w:val="zSoquijdatCabinetProcureurDem"/>
              <w:rPr>
                <w:lang w:val="en-CA"/>
              </w:rPr>
            </w:pPr>
            <w:r>
              <w:rPr>
                <w:lang w:val="en-CA"/>
              </w:rPr>
              <w:t>ABSENT AND UNREPRESENTED</w:t>
            </w:r>
          </w:p>
          <w:p w14:paraId="5A0A7E1A" w14:textId="77777777" w:rsidR="007F42F1" w:rsidRPr="00385784" w:rsidRDefault="007F42F1" w:rsidP="00887EEB">
            <w:pPr>
              <w:spacing w:line="240" w:lineRule="auto"/>
              <w:jc w:val="center"/>
              <w:rPr>
                <w:rFonts w:cs="Arial"/>
                <w:szCs w:val="24"/>
                <w:lang w:val="en-CA"/>
              </w:rPr>
            </w:pPr>
            <w:bookmarkStart w:id="3" w:name="Présent_app"/>
            <w:bookmarkEnd w:id="3"/>
          </w:p>
          <w:p w14:paraId="5F9492D8" w14:textId="77777777" w:rsidR="007F42F1" w:rsidRPr="00385784" w:rsidRDefault="007F42F1" w:rsidP="00887EEB">
            <w:pPr>
              <w:spacing w:line="240" w:lineRule="auto"/>
              <w:jc w:val="center"/>
              <w:rPr>
                <w:rFonts w:cs="Arial"/>
                <w:szCs w:val="24"/>
                <w:lang w:val="en-CA"/>
              </w:rPr>
            </w:pPr>
          </w:p>
        </w:tc>
      </w:tr>
      <w:tr w:rsidR="007F42F1" w14:paraId="3F8DC416" w14:textId="77777777" w:rsidTr="008C6A18">
        <w:tc>
          <w:tcPr>
            <w:tcW w:w="4541" w:type="dxa"/>
          </w:tcPr>
          <w:p w14:paraId="5E17F666" w14:textId="77777777" w:rsidR="007F42F1" w:rsidRPr="002B5913" w:rsidRDefault="007F42F1" w:rsidP="002B5913">
            <w:pPr>
              <w:pStyle w:val="zSoquijdatQtePartieDef"/>
            </w:pPr>
            <w:r w:rsidRPr="002B5913">
              <w:t>RESPONDENT</w:t>
            </w:r>
          </w:p>
        </w:tc>
        <w:tc>
          <w:tcPr>
            <w:tcW w:w="4904" w:type="dxa"/>
            <w:vAlign w:val="center"/>
          </w:tcPr>
          <w:p w14:paraId="585492BA" w14:textId="77777777" w:rsidR="007F42F1" w:rsidRPr="002B5913" w:rsidRDefault="007F42F1" w:rsidP="002B5913">
            <w:pPr>
              <w:pStyle w:val="zSoquijlblProcureurDef"/>
            </w:pPr>
            <w:r w:rsidRPr="002B5913">
              <w:t>COUNSEL</w:t>
            </w:r>
          </w:p>
        </w:tc>
      </w:tr>
      <w:tr w:rsidR="007F42F1" w14:paraId="78EBB053" w14:textId="77777777" w:rsidTr="008C6A18">
        <w:tc>
          <w:tcPr>
            <w:tcW w:w="4541" w:type="dxa"/>
          </w:tcPr>
          <w:p w14:paraId="3CA843A7" w14:textId="77777777" w:rsidR="007F42F1" w:rsidRPr="00385784" w:rsidRDefault="007F42F1" w:rsidP="00887EEB">
            <w:pPr>
              <w:spacing w:line="240" w:lineRule="auto"/>
              <w:jc w:val="center"/>
              <w:rPr>
                <w:b/>
                <w:lang w:val="en-CA"/>
              </w:rPr>
            </w:pPr>
          </w:p>
          <w:p w14:paraId="1E383855" w14:textId="23EA302E" w:rsidR="007F42F1" w:rsidRPr="00385784" w:rsidRDefault="006A7DB0" w:rsidP="007377D2">
            <w:pPr>
              <w:pStyle w:val="zSoquijdatNomPartieDef"/>
              <w:tabs>
                <w:tab w:val="center" w:pos="2412"/>
              </w:tabs>
              <w:rPr>
                <w:lang w:val="en-CA"/>
              </w:rPr>
            </w:pPr>
            <w:bookmarkStart w:id="4" w:name="Intimé"/>
            <w:bookmarkEnd w:id="4"/>
            <w:r>
              <w:rPr>
                <w:lang w:val="en-CA"/>
              </w:rPr>
              <w:t>S.</w:t>
            </w:r>
            <w:r w:rsidR="007F42F1">
              <w:rPr>
                <w:lang w:val="en-CA"/>
              </w:rPr>
              <w:t xml:space="preserve"> </w:t>
            </w:r>
            <w:r>
              <w:rPr>
                <w:lang w:val="en-CA"/>
              </w:rPr>
              <w:t>FL.</w:t>
            </w:r>
          </w:p>
        </w:tc>
        <w:tc>
          <w:tcPr>
            <w:tcW w:w="4904" w:type="dxa"/>
          </w:tcPr>
          <w:p w14:paraId="6DD5E679" w14:textId="77777777" w:rsidR="007F42F1" w:rsidRPr="00385784" w:rsidRDefault="007F42F1" w:rsidP="00887EEB">
            <w:pPr>
              <w:spacing w:line="240" w:lineRule="auto"/>
              <w:jc w:val="center"/>
              <w:rPr>
                <w:rFonts w:cs="Arial"/>
                <w:szCs w:val="24"/>
                <w:lang w:val="en-CA"/>
              </w:rPr>
            </w:pPr>
          </w:p>
          <w:p w14:paraId="41F7A8BE" w14:textId="77777777" w:rsidR="007F42F1" w:rsidRPr="00385784" w:rsidRDefault="007F42F1" w:rsidP="002B5913">
            <w:pPr>
              <w:pStyle w:val="zSoquijdatNomProcureurDef"/>
            </w:pPr>
            <w:r w:rsidRPr="00385784">
              <w:t>M</w:t>
            </w:r>
            <w:r>
              <w:t>tr</w:t>
            </w:r>
            <w:r w:rsidRPr="00385784">
              <w:t xml:space="preserve">e </w:t>
            </w:r>
            <w:bookmarkStart w:id="5" w:name="Avocat_int"/>
            <w:bookmarkEnd w:id="5"/>
            <w:r>
              <w:t>MANUELA SANTOS</w:t>
            </w:r>
          </w:p>
          <w:p w14:paraId="5511535E" w14:textId="77777777" w:rsidR="007F42F1" w:rsidRPr="00385784" w:rsidRDefault="007F42F1" w:rsidP="00887EEB">
            <w:pPr>
              <w:spacing w:line="240" w:lineRule="auto"/>
              <w:jc w:val="center"/>
              <w:rPr>
                <w:rFonts w:cs="Arial"/>
                <w:szCs w:val="24"/>
                <w:lang w:val="en-CA"/>
              </w:rPr>
            </w:pPr>
            <w:bookmarkStart w:id="6" w:name="Présent_int"/>
            <w:bookmarkEnd w:id="6"/>
            <w:r>
              <w:rPr>
                <w:rFonts w:cs="Arial"/>
                <w:szCs w:val="24"/>
                <w:lang w:val="en-CA"/>
              </w:rPr>
              <w:t>Absent</w:t>
            </w:r>
          </w:p>
          <w:p w14:paraId="14B82EE4" w14:textId="77777777" w:rsidR="007F42F1" w:rsidRPr="00385784" w:rsidRDefault="007F42F1" w:rsidP="00887EEB">
            <w:pPr>
              <w:spacing w:line="240" w:lineRule="auto"/>
              <w:jc w:val="center"/>
              <w:rPr>
                <w:rFonts w:cs="Arial"/>
                <w:szCs w:val="24"/>
                <w:lang w:val="en-CA"/>
              </w:rPr>
            </w:pPr>
          </w:p>
        </w:tc>
      </w:tr>
    </w:tbl>
    <w:p w14:paraId="04D855A5" w14:textId="77777777" w:rsidR="007F42F1" w:rsidRPr="00385784" w:rsidRDefault="007F42F1" w:rsidP="00887EEB">
      <w:pPr>
        <w:spacing w:line="240" w:lineRule="auto"/>
        <w:jc w:val="both"/>
        <w:rPr>
          <w:rFonts w:cs="Arial"/>
          <w:szCs w:val="24"/>
          <w:lang w:val="en-CA"/>
        </w:rPr>
      </w:pPr>
    </w:p>
    <w:tbl>
      <w:tblPr>
        <w:tblStyle w:val="Grilledutableau1"/>
        <w:tblW w:w="9450" w:type="dxa"/>
        <w:tblInd w:w="-9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7527"/>
      </w:tblGrid>
      <w:tr w:rsidR="007F42F1" w14:paraId="44BA5148" w14:textId="77777777" w:rsidTr="00825D79">
        <w:tc>
          <w:tcPr>
            <w:tcW w:w="1923" w:type="dxa"/>
            <w:shd w:val="clear" w:color="auto" w:fill="auto"/>
          </w:tcPr>
          <w:p w14:paraId="7A5A4739" w14:textId="77777777" w:rsidR="007F42F1" w:rsidRPr="00385784" w:rsidRDefault="007F42F1" w:rsidP="00AE18BC">
            <w:pPr>
              <w:spacing w:line="240" w:lineRule="auto"/>
              <w:ind w:left="-108"/>
              <w:jc w:val="both"/>
              <w:rPr>
                <w:rFonts w:cs="Arial"/>
                <w:kern w:val="28"/>
                <w:szCs w:val="24"/>
                <w:lang w:val="en-CA"/>
              </w:rPr>
            </w:pPr>
            <w:r>
              <w:rPr>
                <w:rFonts w:cs="Arial"/>
                <w:kern w:val="28"/>
                <w:szCs w:val="24"/>
                <w:lang w:val="en-CA"/>
              </w:rPr>
              <w:t>DESCRIPTION</w:t>
            </w:r>
            <w:r w:rsidRPr="00385784">
              <w:rPr>
                <w:rFonts w:cs="Arial"/>
                <w:kern w:val="28"/>
                <w:szCs w:val="24"/>
                <w:lang w:val="en-CA"/>
              </w:rPr>
              <w:t>:</w:t>
            </w:r>
          </w:p>
        </w:tc>
        <w:tc>
          <w:tcPr>
            <w:tcW w:w="7527" w:type="dxa"/>
            <w:vAlign w:val="center"/>
          </w:tcPr>
          <w:p w14:paraId="746B3CF5" w14:textId="77777777" w:rsidR="007F42F1" w:rsidRDefault="007F42F1" w:rsidP="00887EEB">
            <w:pPr>
              <w:spacing w:line="240" w:lineRule="auto"/>
              <w:jc w:val="both"/>
              <w:rPr>
                <w:rFonts w:cs="Arial"/>
                <w:kern w:val="28"/>
                <w:szCs w:val="24"/>
                <w:lang w:val="en-CA"/>
              </w:rPr>
            </w:pPr>
            <w:bookmarkStart w:id="7" w:name="Nature"/>
            <w:bookmarkEnd w:id="7"/>
            <w:r>
              <w:rPr>
                <w:rFonts w:cs="Arial"/>
                <w:b/>
                <w:bCs/>
                <w:kern w:val="28"/>
                <w:szCs w:val="24"/>
                <w:lang w:val="en-CA"/>
              </w:rPr>
              <w:t xml:space="preserve">Application </w:t>
            </w:r>
            <w:r w:rsidRPr="00B74F0B">
              <w:rPr>
                <w:rFonts w:cs="Arial"/>
                <w:b/>
                <w:bCs/>
                <w:kern w:val="28"/>
                <w:szCs w:val="24"/>
                <w:lang w:val="en-CA"/>
              </w:rPr>
              <w:t>to suspend the execution</w:t>
            </w:r>
            <w:r>
              <w:rPr>
                <w:rFonts w:cs="Arial"/>
                <w:kern w:val="28"/>
                <w:szCs w:val="24"/>
                <w:lang w:val="en-CA"/>
              </w:rPr>
              <w:t xml:space="preserve"> (art. 660 </w:t>
            </w:r>
            <w:r w:rsidRPr="00B74F0B">
              <w:rPr>
                <w:rFonts w:cs="Arial"/>
                <w:i/>
                <w:iCs/>
                <w:kern w:val="28"/>
                <w:szCs w:val="24"/>
                <w:lang w:val="en-CA"/>
              </w:rPr>
              <w:t>C.C.P</w:t>
            </w:r>
            <w:r>
              <w:rPr>
                <w:rFonts w:cs="Arial"/>
                <w:kern w:val="28"/>
                <w:szCs w:val="24"/>
                <w:lang w:val="en-CA"/>
              </w:rPr>
              <w:t>)</w:t>
            </w:r>
          </w:p>
          <w:p w14:paraId="510E6888" w14:textId="77777777" w:rsidR="007F42F1" w:rsidRDefault="007F42F1" w:rsidP="00887EEB">
            <w:pPr>
              <w:spacing w:line="240" w:lineRule="auto"/>
              <w:jc w:val="both"/>
              <w:rPr>
                <w:rFonts w:cs="Arial"/>
                <w:kern w:val="28"/>
                <w:szCs w:val="24"/>
                <w:lang w:val="en-CA"/>
              </w:rPr>
            </w:pPr>
            <w:r w:rsidRPr="00B74F0B">
              <w:rPr>
                <w:rFonts w:cs="Arial"/>
                <w:b/>
                <w:bCs/>
                <w:kern w:val="28"/>
                <w:szCs w:val="24"/>
                <w:lang w:val="en-CA"/>
              </w:rPr>
              <w:t>Application for leave to appeal after the expiry of the time limit</w:t>
            </w:r>
            <w:r>
              <w:rPr>
                <w:rFonts w:cs="Arial"/>
                <w:kern w:val="28"/>
                <w:szCs w:val="24"/>
                <w:lang w:val="en-CA"/>
              </w:rPr>
              <w:t xml:space="preserve"> (art. 363 </w:t>
            </w:r>
            <w:r w:rsidRPr="00B74F0B">
              <w:rPr>
                <w:rFonts w:cs="Arial"/>
                <w:i/>
                <w:iCs/>
                <w:kern w:val="28"/>
                <w:szCs w:val="24"/>
                <w:lang w:val="en-CA"/>
              </w:rPr>
              <w:t>C.C.P</w:t>
            </w:r>
            <w:r>
              <w:rPr>
                <w:rFonts w:cs="Arial"/>
                <w:kern w:val="28"/>
                <w:szCs w:val="24"/>
                <w:lang w:val="en-CA"/>
              </w:rPr>
              <w:t>.)</w:t>
            </w:r>
          </w:p>
          <w:p w14:paraId="30CD080B" w14:textId="77777777" w:rsidR="007F42F1" w:rsidRPr="00385784" w:rsidRDefault="007F42F1" w:rsidP="00887EEB">
            <w:pPr>
              <w:spacing w:line="240" w:lineRule="auto"/>
              <w:jc w:val="both"/>
              <w:rPr>
                <w:rFonts w:cs="Arial"/>
                <w:kern w:val="28"/>
                <w:szCs w:val="24"/>
                <w:lang w:val="en-CA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n-CA"/>
              </w:rPr>
              <w:t xml:space="preserve">Application </w:t>
            </w:r>
            <w:r w:rsidRPr="00B74F0B">
              <w:rPr>
                <w:rFonts w:cs="Arial"/>
                <w:b/>
                <w:bCs/>
                <w:kern w:val="28"/>
                <w:szCs w:val="24"/>
                <w:lang w:val="en-CA"/>
              </w:rPr>
              <w:t>to dismiss the appeal</w:t>
            </w:r>
            <w:r>
              <w:rPr>
                <w:rFonts w:cs="Arial"/>
                <w:kern w:val="28"/>
                <w:szCs w:val="24"/>
                <w:lang w:val="en-CA"/>
              </w:rPr>
              <w:t xml:space="preserve"> (art. 365 </w:t>
            </w:r>
            <w:r w:rsidRPr="00B74F0B">
              <w:rPr>
                <w:rFonts w:cs="Arial"/>
                <w:i/>
                <w:iCs/>
                <w:kern w:val="28"/>
                <w:szCs w:val="24"/>
                <w:lang w:val="en-CA"/>
              </w:rPr>
              <w:t>C.C.P</w:t>
            </w:r>
            <w:r>
              <w:rPr>
                <w:rFonts w:cs="Arial"/>
                <w:kern w:val="28"/>
                <w:szCs w:val="24"/>
                <w:lang w:val="en-CA"/>
              </w:rPr>
              <w:t>.)</w:t>
            </w:r>
          </w:p>
        </w:tc>
      </w:tr>
    </w:tbl>
    <w:p w14:paraId="3ACD1557" w14:textId="77777777" w:rsidR="007F42F1" w:rsidRPr="00385784" w:rsidRDefault="007F42F1" w:rsidP="00887EEB">
      <w:pPr>
        <w:spacing w:line="240" w:lineRule="auto"/>
        <w:jc w:val="both"/>
        <w:rPr>
          <w:rFonts w:cs="Arial"/>
          <w:szCs w:val="24"/>
          <w:lang w:val="en-CA"/>
        </w:rPr>
      </w:pPr>
    </w:p>
    <w:tbl>
      <w:tblPr>
        <w:tblW w:w="9450" w:type="dxa"/>
        <w:tblInd w:w="-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0"/>
        <w:gridCol w:w="4430"/>
      </w:tblGrid>
      <w:tr w:rsidR="007F42F1" w14:paraId="66ECF457" w14:textId="77777777" w:rsidTr="00825D79">
        <w:trPr>
          <w:cantSplit/>
          <w:trHeight w:val="397"/>
        </w:trPr>
        <w:tc>
          <w:tcPr>
            <w:tcW w:w="5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90CE" w14:textId="77777777" w:rsidR="007F42F1" w:rsidRPr="00385784" w:rsidRDefault="007F42F1" w:rsidP="00887EEB">
            <w:pPr>
              <w:spacing w:before="120" w:after="120" w:line="240" w:lineRule="auto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Clerk at the hearing</w:t>
            </w:r>
            <w:r w:rsidRPr="00385784">
              <w:rPr>
                <w:rFonts w:cs="Arial"/>
                <w:szCs w:val="24"/>
                <w:lang w:val="en-CA"/>
              </w:rPr>
              <w:t>:</w:t>
            </w:r>
            <w:r>
              <w:rPr>
                <w:rFonts w:cs="Arial"/>
                <w:szCs w:val="24"/>
                <w:lang w:val="en-CA"/>
              </w:rPr>
              <w:t xml:space="preserve"> Élizabeth Lanthier</w:t>
            </w:r>
            <w:r w:rsidRPr="00385784">
              <w:rPr>
                <w:rFonts w:cs="Arial"/>
                <w:szCs w:val="24"/>
                <w:lang w:val="en-CA"/>
              </w:rPr>
              <w:t xml:space="preserve"> </w:t>
            </w:r>
            <w:bookmarkStart w:id="8" w:name="Nom_greffier"/>
            <w:bookmarkEnd w:id="8"/>
          </w:p>
        </w:tc>
        <w:tc>
          <w:tcPr>
            <w:tcW w:w="4430" w:type="dxa"/>
            <w:tcBorders>
              <w:left w:val="single" w:sz="4" w:space="0" w:color="auto"/>
            </w:tcBorders>
            <w:vAlign w:val="center"/>
          </w:tcPr>
          <w:p w14:paraId="0B9825C0" w14:textId="77777777" w:rsidR="007F42F1" w:rsidRPr="00385784" w:rsidRDefault="007F42F1" w:rsidP="00887EEB">
            <w:pPr>
              <w:spacing w:line="240" w:lineRule="auto"/>
              <w:jc w:val="both"/>
              <w:rPr>
                <w:rFonts w:eastAsiaTheme="minorHAnsi" w:cs="Arial"/>
                <w:szCs w:val="24"/>
                <w:lang w:val="en-CA" w:eastAsia="en-US"/>
              </w:rPr>
            </w:pPr>
            <w:r>
              <w:rPr>
                <w:rFonts w:cs="Arial"/>
                <w:szCs w:val="24"/>
                <w:lang w:val="en-CA"/>
              </w:rPr>
              <w:t>Courtroom</w:t>
            </w:r>
            <w:r w:rsidRPr="00385784">
              <w:rPr>
                <w:rFonts w:cs="Arial"/>
                <w:szCs w:val="24"/>
                <w:lang w:val="en-CA"/>
              </w:rPr>
              <w:t xml:space="preserve">: </w:t>
            </w:r>
            <w:r>
              <w:rPr>
                <w:rFonts w:cs="Arial"/>
                <w:szCs w:val="24"/>
                <w:lang w:val="en-CA"/>
              </w:rPr>
              <w:t>Pierre-Basile-Mignault</w:t>
            </w:r>
            <w:r w:rsidRPr="00385784">
              <w:rPr>
                <w:rFonts w:cs="Arial"/>
                <w:szCs w:val="24"/>
                <w:lang w:val="en-CA"/>
              </w:rPr>
              <w:fldChar w:fldCharType="begin"/>
            </w:r>
            <w:r w:rsidRPr="00385784">
              <w:rPr>
                <w:rFonts w:cs="Arial"/>
                <w:szCs w:val="24"/>
                <w:lang w:val="en-CA"/>
              </w:rPr>
              <w:instrText xml:space="preserve">  </w:instrText>
            </w:r>
            <w:r w:rsidRPr="00385784">
              <w:rPr>
                <w:rFonts w:cs="Arial"/>
                <w:szCs w:val="24"/>
                <w:lang w:val="en-CA"/>
              </w:rPr>
              <w:fldChar w:fldCharType="end"/>
            </w:r>
          </w:p>
        </w:tc>
      </w:tr>
    </w:tbl>
    <w:p w14:paraId="2B669349" w14:textId="77777777" w:rsidR="007F42F1" w:rsidRPr="00385784" w:rsidRDefault="007F42F1" w:rsidP="00887EEB">
      <w:pPr>
        <w:spacing w:line="240" w:lineRule="auto"/>
        <w:jc w:val="both"/>
        <w:rPr>
          <w:rFonts w:cs="Arial"/>
          <w:szCs w:val="24"/>
          <w:lang w:val="en-CA"/>
        </w:rPr>
      </w:pPr>
    </w:p>
    <w:p w14:paraId="192D1DA8" w14:textId="77777777" w:rsidR="007F42F1" w:rsidRPr="00385784" w:rsidRDefault="007F42F1">
      <w:pPr>
        <w:spacing w:line="240" w:lineRule="auto"/>
        <w:rPr>
          <w:rFonts w:cs="Arial"/>
          <w:szCs w:val="24"/>
          <w:lang w:val="en-CA"/>
        </w:rPr>
      </w:pPr>
      <w:r w:rsidRPr="00385784">
        <w:rPr>
          <w:rFonts w:cs="Arial"/>
          <w:szCs w:val="24"/>
          <w:lang w:val="en-CA"/>
        </w:rPr>
        <w:br w:type="page"/>
      </w:r>
    </w:p>
    <w:tbl>
      <w:tblPr>
        <w:tblStyle w:val="Grilledutableau1"/>
        <w:tblW w:w="9450" w:type="dxa"/>
        <w:tblInd w:w="-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7F42F1" w14:paraId="4D0E70DD" w14:textId="77777777" w:rsidTr="00825D79">
        <w:tc>
          <w:tcPr>
            <w:tcW w:w="9450" w:type="dxa"/>
            <w:vAlign w:val="center"/>
          </w:tcPr>
          <w:p w14:paraId="72D76A1B" w14:textId="77777777" w:rsidR="007F42F1" w:rsidRPr="00385784" w:rsidRDefault="007F42F1" w:rsidP="00887EEB">
            <w:pPr>
              <w:spacing w:before="240" w:after="240" w:line="240" w:lineRule="auto"/>
              <w:jc w:val="center"/>
              <w:rPr>
                <w:lang w:val="en-CA"/>
              </w:rPr>
            </w:pPr>
            <w:r>
              <w:rPr>
                <w:lang w:val="en-CA"/>
              </w:rPr>
              <w:lastRenderedPageBreak/>
              <w:t>HEARING</w:t>
            </w:r>
          </w:p>
        </w:tc>
      </w:tr>
    </w:tbl>
    <w:p w14:paraId="3E0CAD38" w14:textId="77777777" w:rsidR="007F42F1" w:rsidRPr="00385784" w:rsidRDefault="007F42F1" w:rsidP="00887EEB">
      <w:pPr>
        <w:spacing w:line="240" w:lineRule="auto"/>
        <w:jc w:val="both"/>
        <w:rPr>
          <w:rFonts w:cs="Arial"/>
          <w:szCs w:val="24"/>
          <w:lang w:val="en-CA"/>
        </w:rPr>
      </w:pPr>
    </w:p>
    <w:tbl>
      <w:tblPr>
        <w:tblW w:w="9450" w:type="dxa"/>
        <w:tblInd w:w="-9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8100"/>
      </w:tblGrid>
      <w:tr w:rsidR="007F42F1" w14:paraId="0DCC7DE1" w14:textId="77777777" w:rsidTr="00825D79">
        <w:trPr>
          <w:trHeight w:val="260"/>
        </w:trPr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</w:tcPr>
          <w:p w14:paraId="075E1C82" w14:textId="77777777" w:rsidR="007F42F1" w:rsidRPr="00385784" w:rsidRDefault="007F42F1" w:rsidP="00360A34">
            <w:pPr>
              <w:spacing w:before="120" w:after="120" w:line="240" w:lineRule="auto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9:31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</w:tcPr>
          <w:p w14:paraId="40784E90" w14:textId="77777777" w:rsidR="007F42F1" w:rsidRDefault="007F42F1" w:rsidP="00887EEB">
            <w:pPr>
              <w:spacing w:before="120" w:after="120" w:line="240" w:lineRule="auto"/>
              <w:jc w:val="both"/>
              <w:rPr>
                <w:rFonts w:cs="Arial"/>
                <w:szCs w:val="24"/>
                <w:lang w:val="en-CA"/>
              </w:rPr>
            </w:pPr>
            <w:r w:rsidRPr="003A5BAB">
              <w:rPr>
                <w:rFonts w:cs="Arial"/>
                <w:szCs w:val="24"/>
                <w:lang w:val="en-CA"/>
              </w:rPr>
              <w:t>Commencement of the hearing</w:t>
            </w:r>
            <w:r>
              <w:rPr>
                <w:rFonts w:cs="Arial"/>
                <w:szCs w:val="24"/>
                <w:lang w:val="en-CA"/>
              </w:rPr>
              <w:t>.</w:t>
            </w:r>
          </w:p>
          <w:p w14:paraId="626AD203" w14:textId="77777777" w:rsidR="007F42F1" w:rsidRDefault="007F42F1" w:rsidP="00887EEB">
            <w:pPr>
              <w:spacing w:before="120" w:after="120" w:line="240" w:lineRule="auto"/>
              <w:jc w:val="both"/>
              <w:rPr>
                <w:rFonts w:cs="Arial"/>
                <w:szCs w:val="24"/>
                <w:lang w:val="en-CA"/>
              </w:rPr>
            </w:pPr>
            <w:r w:rsidRPr="00360A34">
              <w:rPr>
                <w:rFonts w:cs="Arial"/>
                <w:szCs w:val="24"/>
                <w:lang w:val="en-CA"/>
              </w:rPr>
              <w:t>Continuation of the hearing held on</w:t>
            </w:r>
            <w:r>
              <w:rPr>
                <w:rFonts w:cs="Arial"/>
                <w:szCs w:val="24"/>
                <w:lang w:val="en-CA"/>
              </w:rPr>
              <w:t xml:space="preserve"> September 30</w:t>
            </w:r>
            <w:r w:rsidRPr="00360A34">
              <w:rPr>
                <w:rFonts w:cs="Arial"/>
                <w:szCs w:val="24"/>
                <w:lang w:val="en-CA"/>
              </w:rPr>
              <w:t>, 20</w:t>
            </w:r>
            <w:r>
              <w:rPr>
                <w:rFonts w:cs="Arial"/>
                <w:szCs w:val="24"/>
                <w:lang w:val="en-CA"/>
              </w:rPr>
              <w:t>24</w:t>
            </w:r>
            <w:r w:rsidRPr="00360A34">
              <w:rPr>
                <w:rFonts w:cs="Arial"/>
                <w:szCs w:val="24"/>
                <w:lang w:val="en-CA"/>
              </w:rPr>
              <w:t>. The parties were excused from appearing in Court.</w:t>
            </w:r>
          </w:p>
          <w:p w14:paraId="3707A5EA" w14:textId="77777777" w:rsidR="007F42F1" w:rsidRDefault="007F42F1" w:rsidP="00887EEB">
            <w:pPr>
              <w:spacing w:before="120" w:after="120" w:line="240" w:lineRule="auto"/>
              <w:jc w:val="both"/>
              <w:rPr>
                <w:rFonts w:cs="Arial"/>
                <w:szCs w:val="24"/>
                <w:lang w:val="en-CA"/>
              </w:rPr>
            </w:pPr>
            <w:r w:rsidRPr="006C04B3">
              <w:rPr>
                <w:rFonts w:cs="Arial"/>
                <w:b/>
                <w:bCs/>
                <w:szCs w:val="24"/>
                <w:lang w:val="en-CA"/>
              </w:rPr>
              <w:t>BY THE COURT</w:t>
            </w:r>
            <w:r>
              <w:rPr>
                <w:rFonts w:cs="Arial"/>
                <w:szCs w:val="24"/>
                <w:lang w:val="en-CA"/>
              </w:rPr>
              <w:t>: Judgment – see page 3.</w:t>
            </w:r>
          </w:p>
          <w:p w14:paraId="3B74E045" w14:textId="77777777" w:rsidR="007F42F1" w:rsidRPr="00385784" w:rsidRDefault="007F42F1" w:rsidP="00887EEB">
            <w:pPr>
              <w:spacing w:before="120" w:after="120" w:line="240" w:lineRule="auto"/>
              <w:jc w:val="both"/>
              <w:rPr>
                <w:rFonts w:cs="Arial"/>
                <w:szCs w:val="24"/>
                <w:lang w:val="en-CA"/>
              </w:rPr>
            </w:pPr>
            <w:r w:rsidRPr="003A5BAB">
              <w:rPr>
                <w:rFonts w:cs="Arial"/>
                <w:szCs w:val="24"/>
                <w:lang w:val="en-CA"/>
              </w:rPr>
              <w:t>Conclusion of the hearing.</w:t>
            </w:r>
          </w:p>
        </w:tc>
      </w:tr>
      <w:tr w:rsidR="007F42F1" w14:paraId="75E1BCB3" w14:textId="77777777" w:rsidTr="00825D79">
        <w:trPr>
          <w:trHeight w:val="251"/>
        </w:trPr>
        <w:tc>
          <w:tcPr>
            <w:tcW w:w="1350" w:type="dxa"/>
            <w:tcBorders>
              <w:top w:val="single" w:sz="4" w:space="0" w:color="auto"/>
              <w:bottom w:val="nil"/>
              <w:right w:val="nil"/>
            </w:tcBorders>
          </w:tcPr>
          <w:p w14:paraId="7905C6CC" w14:textId="77777777" w:rsidR="007F42F1" w:rsidRPr="00385784" w:rsidRDefault="007F42F1" w:rsidP="00887EEB">
            <w:pPr>
              <w:spacing w:before="120" w:after="120" w:line="240" w:lineRule="auto"/>
              <w:jc w:val="both"/>
              <w:rPr>
                <w:rFonts w:cs="Arial"/>
                <w:szCs w:val="24"/>
                <w:lang w:val="en-CA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</w:tcBorders>
          </w:tcPr>
          <w:p w14:paraId="6DA88ACD" w14:textId="77777777" w:rsidR="007F42F1" w:rsidRPr="00385784" w:rsidRDefault="007F42F1" w:rsidP="00887EEB">
            <w:pPr>
              <w:spacing w:before="120" w:after="120" w:line="240" w:lineRule="auto"/>
              <w:jc w:val="both"/>
              <w:rPr>
                <w:rFonts w:cs="Arial"/>
                <w:szCs w:val="24"/>
                <w:lang w:val="en-CA"/>
              </w:rPr>
            </w:pPr>
          </w:p>
        </w:tc>
      </w:tr>
    </w:tbl>
    <w:p w14:paraId="70112452" w14:textId="77777777" w:rsidR="007F42F1" w:rsidRPr="00385784" w:rsidRDefault="007F42F1" w:rsidP="00887EEB">
      <w:pPr>
        <w:spacing w:line="240" w:lineRule="auto"/>
        <w:rPr>
          <w:rFonts w:cs="Arial"/>
          <w:szCs w:val="24"/>
          <w:lang w:val="en-CA"/>
        </w:rPr>
      </w:pPr>
    </w:p>
    <w:tbl>
      <w:tblPr>
        <w:tblStyle w:val="Grilledutableau1"/>
        <w:tblW w:w="0" w:type="auto"/>
        <w:tblInd w:w="-9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7F42F1" w14:paraId="3610A1B6" w14:textId="77777777" w:rsidTr="00E06061">
        <w:tc>
          <w:tcPr>
            <w:tcW w:w="4860" w:type="dxa"/>
            <w:tcBorders>
              <w:bottom w:val="single" w:sz="4" w:space="0" w:color="auto"/>
            </w:tcBorders>
          </w:tcPr>
          <w:p w14:paraId="5CAB6363" w14:textId="77777777" w:rsidR="007F42F1" w:rsidRPr="00385784" w:rsidRDefault="007F42F1" w:rsidP="00887EEB">
            <w:pPr>
              <w:spacing w:line="240" w:lineRule="auto"/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7F42F1" w14:paraId="430B7A0D" w14:textId="77777777" w:rsidTr="00E06061">
        <w:tc>
          <w:tcPr>
            <w:tcW w:w="4860" w:type="dxa"/>
            <w:tcBorders>
              <w:top w:val="single" w:sz="4" w:space="0" w:color="auto"/>
            </w:tcBorders>
          </w:tcPr>
          <w:p w14:paraId="3718874E" w14:textId="77777777" w:rsidR="007F42F1" w:rsidRPr="00385784" w:rsidRDefault="007F42F1" w:rsidP="00887EEB">
            <w:pPr>
              <w:spacing w:line="240" w:lineRule="auto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Élizabeth Lanthier</w:t>
            </w:r>
            <w:r w:rsidRPr="00385784">
              <w:rPr>
                <w:rFonts w:cs="Arial"/>
                <w:szCs w:val="24"/>
                <w:lang w:val="en-CA"/>
              </w:rPr>
              <w:fldChar w:fldCharType="begin"/>
            </w:r>
            <w:r w:rsidRPr="00385784">
              <w:rPr>
                <w:rFonts w:cs="Arial"/>
                <w:szCs w:val="24"/>
                <w:lang w:val="en-CA"/>
              </w:rPr>
              <w:instrText xml:space="preserve"> REF Nom_greffier \h </w:instrText>
            </w:r>
            <w:r w:rsidRPr="00385784">
              <w:rPr>
                <w:rFonts w:cs="Arial"/>
                <w:szCs w:val="24"/>
                <w:lang w:val="en-CA"/>
              </w:rPr>
            </w:r>
            <w:r w:rsidR="00410B2A">
              <w:rPr>
                <w:rFonts w:cs="Arial"/>
                <w:szCs w:val="24"/>
                <w:lang w:val="en-CA"/>
              </w:rPr>
              <w:fldChar w:fldCharType="separate"/>
            </w:r>
            <w:r w:rsidRPr="00385784">
              <w:rPr>
                <w:rFonts w:cs="Arial"/>
                <w:szCs w:val="24"/>
                <w:lang w:val="en-CA"/>
              </w:rPr>
              <w:fldChar w:fldCharType="end"/>
            </w:r>
            <w:r w:rsidRPr="00385784">
              <w:rPr>
                <w:rFonts w:cs="Arial"/>
                <w:szCs w:val="24"/>
                <w:lang w:val="en-CA"/>
              </w:rPr>
              <w:t xml:space="preserve">, </w:t>
            </w:r>
            <w:r>
              <w:rPr>
                <w:rFonts w:cs="Arial"/>
                <w:szCs w:val="24"/>
                <w:lang w:val="en-CA"/>
              </w:rPr>
              <w:t>Clerk at the hearing</w:t>
            </w:r>
            <w:r w:rsidRPr="00385784">
              <w:rPr>
                <w:rFonts w:cs="Arial"/>
                <w:szCs w:val="24"/>
                <w:lang w:val="en-CA"/>
              </w:rPr>
              <w:fldChar w:fldCharType="begin"/>
            </w:r>
            <w:r w:rsidRPr="00385784">
              <w:rPr>
                <w:rFonts w:cs="Arial"/>
                <w:szCs w:val="24"/>
                <w:lang w:val="en-CA"/>
              </w:rPr>
              <w:instrText xml:space="preserve"> REF Greffier \h </w:instrText>
            </w:r>
            <w:r w:rsidRPr="00385784">
              <w:rPr>
                <w:rFonts w:cs="Arial"/>
                <w:szCs w:val="24"/>
                <w:lang w:val="en-CA"/>
              </w:rPr>
            </w:r>
            <w:r w:rsidR="00410B2A">
              <w:rPr>
                <w:rFonts w:cs="Arial"/>
                <w:szCs w:val="24"/>
                <w:lang w:val="en-CA"/>
              </w:rPr>
              <w:fldChar w:fldCharType="separate"/>
            </w:r>
            <w:r w:rsidRPr="00385784">
              <w:rPr>
                <w:rFonts w:cs="Arial"/>
                <w:szCs w:val="24"/>
                <w:lang w:val="en-CA"/>
              </w:rPr>
              <w:fldChar w:fldCharType="end"/>
            </w:r>
          </w:p>
        </w:tc>
      </w:tr>
    </w:tbl>
    <w:p w14:paraId="2A561FD6" w14:textId="77777777" w:rsidR="007F42F1" w:rsidRPr="00385784" w:rsidRDefault="007F42F1" w:rsidP="002C7179">
      <w:pPr>
        <w:spacing w:after="160" w:line="259" w:lineRule="auto"/>
        <w:rPr>
          <w:rFonts w:cs="Arial"/>
          <w:szCs w:val="24"/>
          <w:lang w:val="en-CA"/>
        </w:rPr>
      </w:pPr>
    </w:p>
    <w:p w14:paraId="451029C9" w14:textId="77777777" w:rsidR="007F42F1" w:rsidRDefault="007F42F1">
      <w:pPr>
        <w:spacing w:line="240" w:lineRule="auto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br w:type="page"/>
      </w:r>
    </w:p>
    <w:p w14:paraId="181FE415" w14:textId="77777777" w:rsidR="007F42F1" w:rsidRPr="00385784" w:rsidRDefault="007F42F1">
      <w:pPr>
        <w:spacing w:line="240" w:lineRule="auto"/>
        <w:rPr>
          <w:rFonts w:cs="Arial"/>
          <w:szCs w:val="24"/>
          <w:lang w:val="en-CA"/>
        </w:rPr>
      </w:pPr>
    </w:p>
    <w:tbl>
      <w:tblPr>
        <w:tblStyle w:val="Grilledutableau1"/>
        <w:tblW w:w="9450" w:type="dxa"/>
        <w:tblInd w:w="-90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7F42F1" w14:paraId="619D7F88" w14:textId="77777777" w:rsidTr="00825D79">
        <w:tc>
          <w:tcPr>
            <w:tcW w:w="9450" w:type="dxa"/>
            <w:vAlign w:val="center"/>
          </w:tcPr>
          <w:p w14:paraId="1A7DA7DD" w14:textId="77777777" w:rsidR="007F42F1" w:rsidRPr="00385784" w:rsidRDefault="007F42F1" w:rsidP="00887EEB">
            <w:pPr>
              <w:spacing w:before="240" w:after="240" w:line="240" w:lineRule="exact"/>
              <w:jc w:val="center"/>
              <w:rPr>
                <w:lang w:val="en-CA"/>
              </w:rPr>
            </w:pPr>
            <w:r>
              <w:rPr>
                <w:lang w:val="en-CA"/>
              </w:rPr>
              <w:t>JUDGMENT</w:t>
            </w:r>
          </w:p>
        </w:tc>
      </w:tr>
    </w:tbl>
    <w:p w14:paraId="723271B9" w14:textId="77777777" w:rsidR="007F42F1" w:rsidRPr="00385784" w:rsidRDefault="007F42F1" w:rsidP="00887EEB">
      <w:pPr>
        <w:spacing w:line="240" w:lineRule="auto"/>
        <w:jc w:val="both"/>
        <w:rPr>
          <w:lang w:val="en-CA"/>
        </w:rPr>
      </w:pPr>
    </w:p>
    <w:p w14:paraId="1441C6F0" w14:textId="77777777" w:rsidR="007F42F1" w:rsidRPr="00385784" w:rsidRDefault="007F42F1" w:rsidP="002E7991">
      <w:pPr>
        <w:spacing w:before="80" w:after="80" w:line="240" w:lineRule="auto"/>
        <w:jc w:val="both"/>
        <w:rPr>
          <w:lang w:val="en-CA"/>
        </w:rPr>
      </w:pPr>
      <w:r>
        <w:rPr>
          <w:rStyle w:val="normaltextrun"/>
          <w:rFonts w:cs="Arial"/>
          <w:b/>
          <w:bCs/>
          <w:color w:val="000000"/>
          <w:u w:val="single"/>
          <w:shd w:val="clear" w:color="auto" w:fill="FFFFFF"/>
          <w:lang w:val="en-CA"/>
        </w:rPr>
        <w:t>WARNING</w:t>
      </w:r>
      <w:r>
        <w:rPr>
          <w:rStyle w:val="normaltextrun"/>
          <w:rFonts w:cs="Arial"/>
          <w:b/>
          <w:bCs/>
          <w:color w:val="000000"/>
          <w:shd w:val="clear" w:color="auto" w:fill="FFFFFF"/>
          <w:lang w:val="en-CA"/>
        </w:rPr>
        <w:t xml:space="preserve">: Disclosure and circulation prohibited: The </w:t>
      </w:r>
      <w:r>
        <w:rPr>
          <w:rStyle w:val="normaltextrun"/>
          <w:rFonts w:cs="Arial"/>
          <w:b/>
          <w:bCs/>
          <w:i/>
          <w:iCs/>
          <w:color w:val="000000"/>
          <w:shd w:val="clear" w:color="auto" w:fill="FFFFFF"/>
          <w:lang w:val="en-CA"/>
        </w:rPr>
        <w:t>Code of Civil Procedure</w:t>
      </w:r>
      <w:r>
        <w:rPr>
          <w:rStyle w:val="normaltextrun"/>
          <w:rFonts w:cs="Arial"/>
          <w:b/>
          <w:bCs/>
          <w:color w:val="000000"/>
          <w:shd w:val="clear" w:color="auto" w:fill="FFFFFF"/>
          <w:lang w:val="en-CA"/>
        </w:rPr>
        <w:t xml:space="preserve"> (“</w:t>
      </w:r>
      <w:r>
        <w:rPr>
          <w:rStyle w:val="normaltextrun"/>
          <w:rFonts w:cs="Arial"/>
          <w:b/>
          <w:bCs/>
          <w:i/>
          <w:iCs/>
          <w:color w:val="000000"/>
          <w:shd w:val="clear" w:color="auto" w:fill="FFFFFF"/>
          <w:lang w:val="en-CA"/>
        </w:rPr>
        <w:t>C.C.P</w:t>
      </w:r>
      <w:r>
        <w:rPr>
          <w:rStyle w:val="normaltextrun"/>
          <w:rFonts w:cs="Arial"/>
          <w:b/>
          <w:bCs/>
          <w:color w:val="000000"/>
          <w:shd w:val="clear" w:color="auto" w:fill="FFFFFF"/>
          <w:lang w:val="en-CA"/>
        </w:rPr>
        <w:t>.”) provides that, except as authorized by the court, no person shall disclose or circulate any information that would allow a party or a child whose interests are at stake in a proceeding in a family matter to be identified (art. 16 </w:t>
      </w:r>
      <w:r>
        <w:rPr>
          <w:rStyle w:val="normaltextrun"/>
          <w:rFonts w:cs="Arial"/>
          <w:b/>
          <w:bCs/>
          <w:i/>
          <w:iCs/>
          <w:color w:val="000000"/>
          <w:shd w:val="clear" w:color="auto" w:fill="FFFFFF"/>
          <w:lang w:val="en-CA"/>
        </w:rPr>
        <w:t>C.C.P</w:t>
      </w:r>
      <w:r>
        <w:rPr>
          <w:rStyle w:val="normaltextrun"/>
          <w:rFonts w:cs="Arial"/>
          <w:b/>
          <w:bCs/>
          <w:color w:val="000000"/>
          <w:shd w:val="clear" w:color="auto" w:fill="FFFFFF"/>
          <w:lang w:val="en-CA"/>
        </w:rPr>
        <w:t>.).</w:t>
      </w:r>
      <w:r w:rsidRPr="00C61E6B">
        <w:rPr>
          <w:rStyle w:val="eop"/>
          <w:rFonts w:cs="Arial"/>
          <w:color w:val="000000"/>
          <w:shd w:val="clear" w:color="auto" w:fill="FFFFFF"/>
          <w:lang w:val="en-CA"/>
        </w:rPr>
        <w:t> </w:t>
      </w:r>
    </w:p>
    <w:p w14:paraId="3A799B10" w14:textId="77777777" w:rsidR="007F42F1" w:rsidRPr="007F42F1" w:rsidRDefault="007F42F1" w:rsidP="007F42F1">
      <w:pPr>
        <w:pStyle w:val="Paragraphe"/>
        <w:numPr>
          <w:ilvl w:val="0"/>
          <w:numId w:val="19"/>
        </w:numPr>
        <w:spacing w:before="80" w:after="80"/>
        <w:ind w:left="0"/>
        <w:rPr>
          <w:lang w:val="en-CA"/>
        </w:rPr>
      </w:pPr>
      <w:r w:rsidRPr="007F42F1">
        <w:rPr>
          <w:lang w:val="en-CA"/>
        </w:rPr>
        <w:t>In a judgment dated June 19, 2024 (the Honourable Justice Marc St-Pierre), the Superior Court modified the sharing of parenting time for the parties’ two children, authorized one of the children to be registered in a new school, attributed income to the appellant, condemned him to pay child support based on that attributed income and further condemned him to pay $1,767.24 as overdue special expenses. It also condemned him to pay $9,776.61 for serious breaches of procedure under art. 342 </w:t>
      </w:r>
      <w:r w:rsidRPr="007F42F1">
        <w:rPr>
          <w:i/>
          <w:iCs/>
          <w:lang w:val="en-CA"/>
        </w:rPr>
        <w:t>C.C.P.</w:t>
      </w:r>
    </w:p>
    <w:p w14:paraId="663E7F4A" w14:textId="77777777" w:rsidR="007F42F1" w:rsidRPr="00C11E72" w:rsidRDefault="007F42F1" w:rsidP="002E7991">
      <w:pPr>
        <w:pStyle w:val="Paragraphe"/>
        <w:spacing w:before="80" w:after="80"/>
        <w:rPr>
          <w:lang w:val="en-CA"/>
        </w:rPr>
      </w:pPr>
      <w:r w:rsidRPr="00C11E72">
        <w:rPr>
          <w:lang w:val="en-CA"/>
        </w:rPr>
        <w:t xml:space="preserve">In his notice of appeal, the appellant alleges that the judge erred: (1) in modifying the sharing of parenting time </w:t>
      </w:r>
      <w:r>
        <w:rPr>
          <w:lang w:val="en-CA"/>
        </w:rPr>
        <w:t xml:space="preserve">when there was no </w:t>
      </w:r>
      <w:r w:rsidRPr="00C11E72">
        <w:rPr>
          <w:lang w:val="en-CA"/>
        </w:rPr>
        <w:t xml:space="preserve">justification </w:t>
      </w:r>
      <w:r>
        <w:rPr>
          <w:lang w:val="en-CA"/>
        </w:rPr>
        <w:t xml:space="preserve">for doing so </w:t>
      </w:r>
      <w:r w:rsidRPr="00C11E72">
        <w:rPr>
          <w:lang w:val="en-CA"/>
        </w:rPr>
        <w:t>and even though the respondent had not requested it; (2) in attributing income of $67,077 to him, although he is currently unemployed and is trying to start up a business; (3) in taking into account a loan he received from his current wife; and (4) in finding that there were breaches of procedure under art.</w:t>
      </w:r>
      <w:r>
        <w:rPr>
          <w:lang w:val="en-CA"/>
        </w:rPr>
        <w:t> </w:t>
      </w:r>
      <w:r w:rsidRPr="00C11E72">
        <w:rPr>
          <w:lang w:val="en-CA"/>
        </w:rPr>
        <w:t>342</w:t>
      </w:r>
      <w:r>
        <w:rPr>
          <w:lang w:val="en-CA"/>
        </w:rPr>
        <w:t> </w:t>
      </w:r>
      <w:r w:rsidRPr="00C11E72">
        <w:rPr>
          <w:i/>
          <w:iCs/>
          <w:lang w:val="en-CA"/>
        </w:rPr>
        <w:t>C.C.P.</w:t>
      </w:r>
    </w:p>
    <w:p w14:paraId="06A628DB" w14:textId="77777777" w:rsidR="007F42F1" w:rsidRPr="00C11E72" w:rsidRDefault="007F42F1" w:rsidP="002E7991">
      <w:pPr>
        <w:pStyle w:val="Paragraphe"/>
        <w:spacing w:before="80" w:after="80"/>
        <w:rPr>
          <w:lang w:val="en-CA"/>
        </w:rPr>
      </w:pPr>
      <w:r w:rsidRPr="00C11E72">
        <w:rPr>
          <w:lang w:val="en-CA"/>
        </w:rPr>
        <w:t>Although the appellant can appeal as of right on his first three grounds</w:t>
      </w:r>
      <w:r>
        <w:rPr>
          <w:lang w:val="en-CA"/>
        </w:rPr>
        <w:t xml:space="preserve"> (subject to para. [8] hereinbelow)</w:t>
      </w:r>
      <w:r w:rsidRPr="00C11E72">
        <w:rPr>
          <w:lang w:val="en-CA"/>
        </w:rPr>
        <w:t>, the fourth requires leave under art.</w:t>
      </w:r>
      <w:r>
        <w:rPr>
          <w:lang w:val="en-CA"/>
        </w:rPr>
        <w:t> </w:t>
      </w:r>
      <w:r w:rsidRPr="00C11E72">
        <w:rPr>
          <w:lang w:val="en-CA"/>
        </w:rPr>
        <w:t>30</w:t>
      </w:r>
      <w:r>
        <w:rPr>
          <w:lang w:val="en-CA"/>
        </w:rPr>
        <w:t> </w:t>
      </w:r>
      <w:r w:rsidRPr="00C11E72">
        <w:rPr>
          <w:lang w:val="en-CA"/>
        </w:rPr>
        <w:t>para.</w:t>
      </w:r>
      <w:r>
        <w:rPr>
          <w:lang w:val="en-CA"/>
        </w:rPr>
        <w:t> </w:t>
      </w:r>
      <w:r w:rsidRPr="00C11E72">
        <w:rPr>
          <w:lang w:val="en-CA"/>
        </w:rPr>
        <w:t>2(6)</w:t>
      </w:r>
      <w:r>
        <w:rPr>
          <w:lang w:val="en-CA"/>
        </w:rPr>
        <w:t> </w:t>
      </w:r>
      <w:r w:rsidRPr="00C11E72">
        <w:rPr>
          <w:i/>
          <w:iCs/>
          <w:lang w:val="en-CA"/>
        </w:rPr>
        <w:t>C.C.P.</w:t>
      </w:r>
      <w:r w:rsidRPr="00C11E72">
        <w:rPr>
          <w:lang w:val="en-CA"/>
        </w:rPr>
        <w:t xml:space="preserve"> The appellant has therefore seized this Court of an application for leave to appeal after the expiry of the time limit from the order made under art.</w:t>
      </w:r>
      <w:r>
        <w:rPr>
          <w:lang w:val="en-CA"/>
        </w:rPr>
        <w:t> </w:t>
      </w:r>
      <w:r w:rsidRPr="00C11E72">
        <w:rPr>
          <w:lang w:val="en-CA"/>
        </w:rPr>
        <w:t>342</w:t>
      </w:r>
      <w:r>
        <w:rPr>
          <w:lang w:val="en-CA"/>
        </w:rPr>
        <w:t> </w:t>
      </w:r>
      <w:r w:rsidRPr="00C11E72">
        <w:rPr>
          <w:i/>
          <w:iCs/>
          <w:lang w:val="en-CA"/>
        </w:rPr>
        <w:t xml:space="preserve">C.C.P. </w:t>
      </w:r>
      <w:r w:rsidRPr="00C11E72">
        <w:rPr>
          <w:lang w:val="en-CA"/>
        </w:rPr>
        <w:t>as well as an application to stay the provisional execution of the judgment. As for the respondent, she filed an application to dismiss the appeal</w:t>
      </w:r>
      <w:r>
        <w:rPr>
          <w:lang w:val="en-CA"/>
        </w:rPr>
        <w:t>.</w:t>
      </w:r>
    </w:p>
    <w:p w14:paraId="2F7A0D69" w14:textId="77777777" w:rsidR="007F42F1" w:rsidRPr="00C11E72" w:rsidRDefault="007F42F1" w:rsidP="002E7991">
      <w:pPr>
        <w:pStyle w:val="Paragraphe"/>
        <w:spacing w:before="80" w:after="80"/>
        <w:rPr>
          <w:lang w:val="en-CA"/>
        </w:rPr>
      </w:pPr>
      <w:r w:rsidRPr="00C11E72">
        <w:rPr>
          <w:lang w:val="en-CA"/>
        </w:rPr>
        <w:t>With respect to the application for leave to appeal from the order made under art.</w:t>
      </w:r>
      <w:r>
        <w:rPr>
          <w:lang w:val="en-CA"/>
        </w:rPr>
        <w:t> </w:t>
      </w:r>
      <w:r w:rsidRPr="00C11E72">
        <w:rPr>
          <w:lang w:val="en-CA"/>
        </w:rPr>
        <w:t>342</w:t>
      </w:r>
      <w:r>
        <w:rPr>
          <w:lang w:val="en-CA"/>
        </w:rPr>
        <w:t> </w:t>
      </w:r>
      <w:r w:rsidRPr="00C11E72">
        <w:rPr>
          <w:i/>
          <w:iCs/>
          <w:lang w:val="en-CA"/>
        </w:rPr>
        <w:t>C.C.P.</w:t>
      </w:r>
      <w:r w:rsidRPr="00C11E72">
        <w:rPr>
          <w:lang w:val="en-CA"/>
        </w:rPr>
        <w:t>, the appellant submits that the case raises a question of principle – namely, what constitutes a breach of procedure – and he argues that seeking to have a subpoena quashed is a normal and legitimate procedure. The appellant</w:t>
      </w:r>
      <w:r>
        <w:rPr>
          <w:lang w:val="en-CA"/>
        </w:rPr>
        <w:t>’</w:t>
      </w:r>
      <w:r w:rsidRPr="00C11E72">
        <w:rPr>
          <w:lang w:val="en-CA"/>
        </w:rPr>
        <w:t>s argument is not convincing. The points he has raised pertain solely to the judge</w:t>
      </w:r>
      <w:r>
        <w:rPr>
          <w:lang w:val="en-CA"/>
        </w:rPr>
        <w:t>’</w:t>
      </w:r>
      <w:r w:rsidRPr="00C11E72">
        <w:rPr>
          <w:lang w:val="en-CA"/>
        </w:rPr>
        <w:t>s application of art.</w:t>
      </w:r>
      <w:r>
        <w:rPr>
          <w:lang w:val="en-CA"/>
        </w:rPr>
        <w:t> </w:t>
      </w:r>
      <w:r w:rsidRPr="00C11E72">
        <w:rPr>
          <w:lang w:val="en-CA"/>
        </w:rPr>
        <w:t>342</w:t>
      </w:r>
      <w:r>
        <w:rPr>
          <w:lang w:val="en-CA"/>
        </w:rPr>
        <w:t> </w:t>
      </w:r>
      <w:r w:rsidRPr="00C11E72">
        <w:rPr>
          <w:i/>
          <w:iCs/>
          <w:lang w:val="en-CA"/>
        </w:rPr>
        <w:t>C.C.P.</w:t>
      </w:r>
      <w:r w:rsidRPr="00C11E72">
        <w:rPr>
          <w:lang w:val="en-CA"/>
        </w:rPr>
        <w:t xml:space="preserve"> to the circumstances of the case. The judge noted the appellant</w:t>
      </w:r>
      <w:r>
        <w:rPr>
          <w:lang w:val="en-CA"/>
        </w:rPr>
        <w:t>’</w:t>
      </w:r>
      <w:r w:rsidRPr="00C11E72">
        <w:rPr>
          <w:lang w:val="en-CA"/>
        </w:rPr>
        <w:t>s [</w:t>
      </w:r>
      <w:r w:rsidRPr="00DF7715">
        <w:rPr>
          <w:smallCaps/>
          <w:lang w:val="en-CA"/>
        </w:rPr>
        <w:t>translation</w:t>
      </w:r>
      <w:r w:rsidRPr="00C11E72">
        <w:rPr>
          <w:lang w:val="en-CA"/>
        </w:rPr>
        <w:t>]</w:t>
      </w:r>
      <w:r>
        <w:rPr>
          <w:lang w:val="en-CA"/>
        </w:rPr>
        <w:t> “</w:t>
      </w:r>
      <w:r w:rsidRPr="00C11E72">
        <w:rPr>
          <w:lang w:val="en-CA"/>
        </w:rPr>
        <w:t>obstinacy</w:t>
      </w:r>
      <w:r>
        <w:rPr>
          <w:lang w:val="en-CA"/>
        </w:rPr>
        <w:t>”</w:t>
      </w:r>
      <w:r w:rsidRPr="00C11E72">
        <w:rPr>
          <w:lang w:val="en-CA"/>
        </w:rPr>
        <w:t xml:space="preserve"> in not providing the relevant financial information and in his multiple procedures to that end. This matter involves the trial judge</w:t>
      </w:r>
      <w:r>
        <w:rPr>
          <w:lang w:val="en-CA"/>
        </w:rPr>
        <w:t>’</w:t>
      </w:r>
      <w:r w:rsidRPr="00C11E72">
        <w:rPr>
          <w:lang w:val="en-CA"/>
        </w:rPr>
        <w:t xml:space="preserve">s exercise of his discretion, and there is nothing that warrants having it come before the Court. </w:t>
      </w:r>
    </w:p>
    <w:p w14:paraId="7861434B" w14:textId="77777777" w:rsidR="007F42F1" w:rsidRPr="00C11E72" w:rsidRDefault="007F42F1" w:rsidP="002E7991">
      <w:pPr>
        <w:pStyle w:val="Paragraphe"/>
        <w:spacing w:before="80" w:after="80"/>
        <w:rPr>
          <w:lang w:val="en-CA"/>
        </w:rPr>
      </w:pPr>
      <w:r w:rsidRPr="00C11E72">
        <w:rPr>
          <w:lang w:val="en-CA"/>
        </w:rPr>
        <w:t xml:space="preserve">In her application to dismiss, the respondent submits that the appeal is doomed to fail. She is </w:t>
      </w:r>
      <w:r>
        <w:rPr>
          <w:lang w:val="en-CA"/>
        </w:rPr>
        <w:t>correct</w:t>
      </w:r>
      <w:r w:rsidRPr="00C11E72">
        <w:rPr>
          <w:lang w:val="en-CA"/>
        </w:rPr>
        <w:t xml:space="preserve">. </w:t>
      </w:r>
    </w:p>
    <w:p w14:paraId="465F7F65" w14:textId="77777777" w:rsidR="007F42F1" w:rsidRPr="00C11E72" w:rsidRDefault="007F42F1" w:rsidP="002E7991">
      <w:pPr>
        <w:pStyle w:val="Paragraphe"/>
        <w:spacing w:before="80" w:after="80"/>
        <w:rPr>
          <w:lang w:val="en-CA"/>
        </w:rPr>
      </w:pPr>
      <w:r>
        <w:rPr>
          <w:lang w:val="en-CA"/>
        </w:rPr>
        <w:t xml:space="preserve">With respect </w:t>
      </w:r>
      <w:r w:rsidRPr="00C11E72">
        <w:rPr>
          <w:lang w:val="en-CA"/>
        </w:rPr>
        <w:t xml:space="preserve">to the sharing of parenting time, the record indicates that this request was indeed before the judge and that he essentially followed the recommendations in the </w:t>
      </w:r>
      <w:r w:rsidRPr="00C11E72">
        <w:rPr>
          <w:lang w:val="en-CA"/>
        </w:rPr>
        <w:lastRenderedPageBreak/>
        <w:t>psychosocial report, except for Friday overnight stays by one of the children, given that child</w:t>
      </w:r>
      <w:r>
        <w:rPr>
          <w:lang w:val="en-CA"/>
        </w:rPr>
        <w:t>’</w:t>
      </w:r>
      <w:r w:rsidRPr="00C11E72">
        <w:rPr>
          <w:lang w:val="en-CA"/>
        </w:rPr>
        <w:t>s refusal</w:t>
      </w:r>
      <w:r>
        <w:rPr>
          <w:lang w:val="en-CA"/>
        </w:rPr>
        <w:t xml:space="preserve"> to stay overnight</w:t>
      </w:r>
      <w:r w:rsidRPr="00C11E72">
        <w:rPr>
          <w:lang w:val="en-CA"/>
        </w:rPr>
        <w:t>. The appellant has not shown any error that would justify the Court</w:t>
      </w:r>
      <w:r>
        <w:rPr>
          <w:lang w:val="en-CA"/>
        </w:rPr>
        <w:t>’</w:t>
      </w:r>
      <w:r w:rsidRPr="00C11E72">
        <w:rPr>
          <w:lang w:val="en-CA"/>
        </w:rPr>
        <w:t>s intervention.</w:t>
      </w:r>
    </w:p>
    <w:p w14:paraId="58A715F0" w14:textId="77777777" w:rsidR="007F42F1" w:rsidRPr="00C11E72" w:rsidRDefault="007F42F1" w:rsidP="002E7991">
      <w:pPr>
        <w:pStyle w:val="Paragraphe"/>
        <w:spacing w:before="80" w:after="80"/>
        <w:rPr>
          <w:lang w:val="en-CA"/>
        </w:rPr>
      </w:pPr>
      <w:r>
        <w:rPr>
          <w:lang w:val="en-CA"/>
        </w:rPr>
        <w:t xml:space="preserve">Regarding </w:t>
      </w:r>
      <w:r w:rsidRPr="00C11E72">
        <w:rPr>
          <w:lang w:val="en-CA"/>
        </w:rPr>
        <w:t xml:space="preserve">the child support and income attribution, these are </w:t>
      </w:r>
      <w:r>
        <w:rPr>
          <w:lang w:val="en-CA"/>
        </w:rPr>
        <w:t xml:space="preserve">also </w:t>
      </w:r>
      <w:r w:rsidRPr="00C11E72">
        <w:rPr>
          <w:lang w:val="en-CA"/>
        </w:rPr>
        <w:t>matters that involve the trial judge</w:t>
      </w:r>
      <w:r>
        <w:rPr>
          <w:lang w:val="en-CA"/>
        </w:rPr>
        <w:t>’</w:t>
      </w:r>
      <w:r w:rsidRPr="00C11E72">
        <w:rPr>
          <w:lang w:val="en-CA"/>
        </w:rPr>
        <w:t>s exercise of his discretion, which calls for a great deal of deference from this Court.</w:t>
      </w:r>
      <w:r>
        <w:rPr>
          <w:rStyle w:val="Appelnotedebasdep"/>
          <w:lang w:val="en-CA"/>
        </w:rPr>
        <w:footnoteReference w:id="1"/>
      </w:r>
      <w:r w:rsidRPr="00C11E72">
        <w:rPr>
          <w:lang w:val="en-CA"/>
        </w:rPr>
        <w:t xml:space="preserve"> In his notice of appeal, the appellant simply allege</w:t>
      </w:r>
      <w:r>
        <w:rPr>
          <w:lang w:val="en-CA"/>
        </w:rPr>
        <w:t>s</w:t>
      </w:r>
      <w:r w:rsidRPr="00C11E72">
        <w:rPr>
          <w:lang w:val="en-CA"/>
        </w:rPr>
        <w:t xml:space="preserve"> that he does not earn the income attributed to him and reiterate</w:t>
      </w:r>
      <w:r>
        <w:rPr>
          <w:lang w:val="en-CA"/>
        </w:rPr>
        <w:t>s</w:t>
      </w:r>
      <w:r w:rsidRPr="00C11E72">
        <w:rPr>
          <w:lang w:val="en-CA"/>
        </w:rPr>
        <w:t xml:space="preserve"> the arguments the judge rejected. As he has failed to identify a palpable and overriding error in the assessment of the evidence and in the trial judge</w:t>
      </w:r>
      <w:r>
        <w:rPr>
          <w:lang w:val="en-CA"/>
        </w:rPr>
        <w:t>’</w:t>
      </w:r>
      <w:r w:rsidRPr="00C11E72">
        <w:rPr>
          <w:lang w:val="en-CA"/>
        </w:rPr>
        <w:t>s exercise of his discretion, the appeal on this point is doomed to fail.</w:t>
      </w:r>
    </w:p>
    <w:p w14:paraId="1D0186A2" w14:textId="77777777" w:rsidR="007F42F1" w:rsidRPr="00C11E72" w:rsidRDefault="007F42F1" w:rsidP="002E7991">
      <w:pPr>
        <w:pStyle w:val="Paragraphe"/>
        <w:spacing w:before="80" w:after="80"/>
        <w:rPr>
          <w:lang w:val="en-CA"/>
        </w:rPr>
      </w:pPr>
      <w:bookmarkStart w:id="9" w:name="_Ref178838717"/>
      <w:r w:rsidRPr="00C11E72">
        <w:rPr>
          <w:lang w:val="en-CA"/>
        </w:rPr>
        <w:t xml:space="preserve">Finally, although the respondent did not raise the following point, we would add that the appeal is tardy on the first three grounds. Indeed, the appeal </w:t>
      </w:r>
      <w:r>
        <w:rPr>
          <w:lang w:val="en-CA"/>
        </w:rPr>
        <w:t xml:space="preserve">in that regard </w:t>
      </w:r>
      <w:r w:rsidRPr="00C11E72">
        <w:rPr>
          <w:lang w:val="en-CA"/>
        </w:rPr>
        <w:t>pertains to corollary relief in connection with a divorce, and pursuant to s.</w:t>
      </w:r>
      <w:r>
        <w:rPr>
          <w:lang w:val="en-CA"/>
        </w:rPr>
        <w:t> </w:t>
      </w:r>
      <w:r w:rsidRPr="00C11E72">
        <w:rPr>
          <w:lang w:val="en-CA"/>
        </w:rPr>
        <w:t xml:space="preserve">21(3) of the </w:t>
      </w:r>
      <w:r w:rsidRPr="00C11E72">
        <w:rPr>
          <w:i/>
          <w:iCs/>
          <w:lang w:val="en-CA"/>
        </w:rPr>
        <w:t>Divorce Act</w:t>
      </w:r>
      <w:r w:rsidRPr="00C11E72">
        <w:rPr>
          <w:lang w:val="en-CA"/>
        </w:rPr>
        <w:t>,</w:t>
      </w:r>
      <w:r>
        <w:rPr>
          <w:rStyle w:val="Appelnotedebasdep"/>
          <w:i/>
          <w:iCs/>
          <w:lang w:val="en-CA"/>
        </w:rPr>
        <w:footnoteReference w:id="2"/>
      </w:r>
      <w:r w:rsidRPr="00C11E72">
        <w:rPr>
          <w:lang w:val="en-CA"/>
        </w:rPr>
        <w:t xml:space="preserve"> such an appeal must be instituted within thirty days of the order and not, as art.</w:t>
      </w:r>
      <w:r>
        <w:rPr>
          <w:lang w:val="en-CA"/>
        </w:rPr>
        <w:t> </w:t>
      </w:r>
      <w:r w:rsidRPr="00C11E72">
        <w:rPr>
          <w:lang w:val="en-CA"/>
        </w:rPr>
        <w:t>360</w:t>
      </w:r>
      <w:r>
        <w:rPr>
          <w:lang w:val="en-CA"/>
        </w:rPr>
        <w:t> </w:t>
      </w:r>
      <w:r w:rsidRPr="00C11E72">
        <w:rPr>
          <w:i/>
          <w:iCs/>
          <w:lang w:val="en-CA"/>
        </w:rPr>
        <w:t>C.C.P.</w:t>
      </w:r>
      <w:r w:rsidRPr="00C11E72">
        <w:rPr>
          <w:lang w:val="en-CA"/>
        </w:rPr>
        <w:t xml:space="preserve"> provides, within </w:t>
      </w:r>
      <w:r>
        <w:rPr>
          <w:lang w:val="en-CA"/>
        </w:rPr>
        <w:t xml:space="preserve">thirty </w:t>
      </w:r>
      <w:r w:rsidRPr="00C11E72">
        <w:rPr>
          <w:lang w:val="en-CA"/>
        </w:rPr>
        <w:t>days of the notice of judgment.</w:t>
      </w:r>
      <w:r>
        <w:rPr>
          <w:rStyle w:val="Appelnotedebasdep"/>
          <w:lang w:val="en-CA"/>
        </w:rPr>
        <w:footnoteReference w:id="3"/>
      </w:r>
      <w:r w:rsidRPr="00C11E72">
        <w:rPr>
          <w:lang w:val="en-CA"/>
        </w:rPr>
        <w:t xml:space="preserve"> In the matter at hand, the judgment was rendered on June 19, 2024, but the appeal was only </w:t>
      </w:r>
      <w:r>
        <w:rPr>
          <w:lang w:val="en-CA"/>
        </w:rPr>
        <w:t>inst</w:t>
      </w:r>
      <w:r w:rsidRPr="00C11E72">
        <w:rPr>
          <w:lang w:val="en-CA"/>
        </w:rPr>
        <w:t>ituted on August 5, 2024.</w:t>
      </w:r>
      <w:bookmarkEnd w:id="9"/>
    </w:p>
    <w:p w14:paraId="5E96C4A6" w14:textId="77777777" w:rsidR="007F42F1" w:rsidRPr="00C11E72" w:rsidRDefault="007F42F1" w:rsidP="002E7991">
      <w:pPr>
        <w:pStyle w:val="Paragraphe"/>
        <w:spacing w:before="80" w:after="80"/>
        <w:rPr>
          <w:lang w:val="en-CA"/>
        </w:rPr>
      </w:pPr>
      <w:r w:rsidRPr="00C11E72">
        <w:rPr>
          <w:lang w:val="en-CA"/>
        </w:rPr>
        <w:t>Given the outcome of these first two applications, the application to stay the provisional execution of the judgment is moot.</w:t>
      </w:r>
    </w:p>
    <w:p w14:paraId="5902FF4D" w14:textId="77777777" w:rsidR="007F42F1" w:rsidRPr="00C11E72" w:rsidRDefault="007F42F1" w:rsidP="002E7991">
      <w:pPr>
        <w:pStyle w:val="Paragraphe"/>
        <w:numPr>
          <w:ilvl w:val="0"/>
          <w:numId w:val="0"/>
        </w:numPr>
        <w:spacing w:before="80" w:after="80"/>
        <w:rPr>
          <w:b/>
          <w:bCs/>
          <w:lang w:val="en-CA"/>
        </w:rPr>
      </w:pPr>
      <w:r w:rsidRPr="00C11E72">
        <w:rPr>
          <w:b/>
          <w:bCs/>
          <w:lang w:val="en-CA"/>
        </w:rPr>
        <w:t>FOR THESE REASONS, THE COURT:</w:t>
      </w:r>
    </w:p>
    <w:p w14:paraId="6309157F" w14:textId="77777777" w:rsidR="007F42F1" w:rsidRPr="00C11E72" w:rsidRDefault="007F42F1" w:rsidP="002E7991">
      <w:pPr>
        <w:pStyle w:val="Paragraphe"/>
        <w:spacing w:before="80" w:after="80"/>
        <w:rPr>
          <w:lang w:val="en-CA"/>
        </w:rPr>
      </w:pPr>
      <w:r w:rsidRPr="00C11E72">
        <w:rPr>
          <w:b/>
          <w:bCs/>
          <w:lang w:val="en-CA"/>
        </w:rPr>
        <w:t>DISMISSES</w:t>
      </w:r>
      <w:r w:rsidRPr="00C11E72">
        <w:rPr>
          <w:lang w:val="en-CA"/>
        </w:rPr>
        <w:t xml:space="preserve"> the application for leave to appeal after the expiry of the time limit;</w:t>
      </w:r>
    </w:p>
    <w:p w14:paraId="6E8A91E2" w14:textId="77777777" w:rsidR="007F42F1" w:rsidRDefault="007F42F1" w:rsidP="002E7991">
      <w:pPr>
        <w:pStyle w:val="Paragraphe"/>
        <w:spacing w:before="80" w:after="80"/>
        <w:rPr>
          <w:lang w:val="en-CA"/>
        </w:rPr>
      </w:pPr>
      <w:r w:rsidRPr="00C11E72">
        <w:rPr>
          <w:b/>
          <w:bCs/>
          <w:lang w:val="en-CA"/>
        </w:rPr>
        <w:t>GRANTS</w:t>
      </w:r>
      <w:r w:rsidRPr="00C11E72">
        <w:rPr>
          <w:lang w:val="en-CA"/>
        </w:rPr>
        <w:t xml:space="preserve"> the respondent</w:t>
      </w:r>
      <w:r>
        <w:rPr>
          <w:lang w:val="en-CA"/>
        </w:rPr>
        <w:t>’</w:t>
      </w:r>
      <w:r w:rsidRPr="00C11E72">
        <w:rPr>
          <w:lang w:val="en-CA"/>
        </w:rPr>
        <w:t>s application to dismiss the appeal;</w:t>
      </w:r>
    </w:p>
    <w:p w14:paraId="550B88C1" w14:textId="77777777" w:rsidR="007F42F1" w:rsidRPr="00C11E72" w:rsidRDefault="007F42F1" w:rsidP="002E7991">
      <w:pPr>
        <w:pStyle w:val="Paragraphe"/>
        <w:spacing w:before="80" w:after="80"/>
        <w:rPr>
          <w:lang w:val="en-CA"/>
        </w:rPr>
      </w:pPr>
      <w:r>
        <w:rPr>
          <w:b/>
          <w:bCs/>
          <w:lang w:val="en-CA"/>
        </w:rPr>
        <w:t>DISMISSES</w:t>
      </w:r>
      <w:r>
        <w:rPr>
          <w:lang w:val="en-CA"/>
        </w:rPr>
        <w:t xml:space="preserve"> the appeal;</w:t>
      </w:r>
    </w:p>
    <w:p w14:paraId="368A457B" w14:textId="77777777" w:rsidR="007F42F1" w:rsidRPr="00C11E72" w:rsidRDefault="007F42F1" w:rsidP="002E7991">
      <w:pPr>
        <w:pStyle w:val="Paragraphe"/>
        <w:spacing w:before="80" w:after="80"/>
        <w:rPr>
          <w:lang w:val="en-CA"/>
        </w:rPr>
      </w:pPr>
      <w:r w:rsidRPr="00C11E72">
        <w:rPr>
          <w:b/>
          <w:bCs/>
          <w:lang w:val="en-CA"/>
        </w:rPr>
        <w:t>DECLARES</w:t>
      </w:r>
      <w:r w:rsidRPr="00C11E72">
        <w:rPr>
          <w:lang w:val="en-CA"/>
        </w:rPr>
        <w:t xml:space="preserve"> that the application to stay the provisional execution of the judgment is moot;</w:t>
      </w:r>
    </w:p>
    <w:p w14:paraId="719852B4" w14:textId="77777777" w:rsidR="007F42F1" w:rsidRDefault="007F42F1" w:rsidP="002E7991">
      <w:pPr>
        <w:pStyle w:val="Paragraphe"/>
        <w:spacing w:before="80" w:after="80"/>
        <w:rPr>
          <w:lang w:val="en-CA"/>
        </w:rPr>
      </w:pPr>
      <w:r w:rsidRPr="00C11E72">
        <w:rPr>
          <w:b/>
          <w:bCs/>
          <w:lang w:val="en-CA"/>
        </w:rPr>
        <w:t>THE WHOLE</w:t>
      </w:r>
      <w:r w:rsidRPr="00C11E72">
        <w:rPr>
          <w:lang w:val="en-CA"/>
        </w:rPr>
        <w:t xml:space="preserve"> without legal costs, given the nature of the case.</w:t>
      </w:r>
    </w:p>
    <w:p w14:paraId="7BA9A71E" w14:textId="77777777" w:rsidR="007F42F1" w:rsidRDefault="007F42F1" w:rsidP="00C61E6B">
      <w:pPr>
        <w:pStyle w:val="Paragraphe"/>
        <w:numPr>
          <w:ilvl w:val="0"/>
          <w:numId w:val="0"/>
        </w:numPr>
        <w:rPr>
          <w:lang w:val="en-CA"/>
        </w:rPr>
      </w:pPr>
    </w:p>
    <w:tbl>
      <w:tblPr>
        <w:tblW w:w="9450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860"/>
      </w:tblGrid>
      <w:tr w:rsidR="007F42F1" w14:paraId="40970A47" w14:textId="77777777" w:rsidTr="00825D79">
        <w:tc>
          <w:tcPr>
            <w:tcW w:w="4590" w:type="dxa"/>
          </w:tcPr>
          <w:p w14:paraId="367D211C" w14:textId="77777777" w:rsidR="007F42F1" w:rsidRPr="00385784" w:rsidRDefault="007F42F1" w:rsidP="00887EEB">
            <w:pPr>
              <w:keepNext/>
              <w:spacing w:line="240" w:lineRule="auto"/>
              <w:jc w:val="both"/>
              <w:rPr>
                <w:rFonts w:cs="Arial"/>
                <w:szCs w:val="24"/>
                <w:lang w:val="en-CA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796C08B5" w14:textId="77777777" w:rsidR="007F42F1" w:rsidRPr="00C61E6B" w:rsidRDefault="007F42F1" w:rsidP="00887EEB">
            <w:pPr>
              <w:keepNext/>
              <w:spacing w:line="240" w:lineRule="auto"/>
              <w:rPr>
                <w:rFonts w:cs="Arial"/>
                <w:caps/>
                <w:szCs w:val="24"/>
              </w:rPr>
            </w:pPr>
            <w:r w:rsidRPr="00C61E6B">
              <w:rPr>
                <w:rFonts w:cs="Arial"/>
                <w:caps/>
                <w:szCs w:val="24"/>
              </w:rPr>
              <w:t>MARIE-FRANCE BICH, J.A.</w:t>
            </w:r>
            <w:r w:rsidRPr="00385784">
              <w:rPr>
                <w:rFonts w:cs="Arial"/>
                <w:caps/>
                <w:szCs w:val="24"/>
                <w:lang w:val="en-CA"/>
              </w:rPr>
              <w:fldChar w:fldCharType="begin"/>
            </w:r>
            <w:r w:rsidRPr="00C61E6B">
              <w:rPr>
                <w:rFonts w:cs="Arial"/>
                <w:caps/>
                <w:szCs w:val="24"/>
              </w:rPr>
              <w:instrText xml:space="preserve"> REF NomJuge1 \h  \* MERGEFORMAT </w:instrText>
            </w:r>
            <w:r w:rsidRPr="00385784">
              <w:rPr>
                <w:rFonts w:cs="Arial"/>
                <w:caps/>
                <w:szCs w:val="24"/>
                <w:lang w:val="en-CA"/>
              </w:rPr>
            </w:r>
            <w:r w:rsidR="00410B2A">
              <w:rPr>
                <w:rFonts w:cs="Arial"/>
                <w:caps/>
                <w:szCs w:val="24"/>
                <w:lang w:val="en-CA"/>
              </w:rPr>
              <w:fldChar w:fldCharType="separate"/>
            </w:r>
            <w:r w:rsidRPr="00385784">
              <w:rPr>
                <w:rFonts w:cs="Arial"/>
                <w:caps/>
                <w:szCs w:val="24"/>
                <w:lang w:val="en-CA"/>
              </w:rPr>
              <w:fldChar w:fldCharType="end"/>
            </w:r>
          </w:p>
        </w:tc>
      </w:tr>
    </w:tbl>
    <w:p w14:paraId="7D722FD0" w14:textId="77777777" w:rsidR="007F42F1" w:rsidRPr="00C61E6B" w:rsidRDefault="007F42F1" w:rsidP="00887EEB">
      <w:pPr>
        <w:keepNext/>
        <w:spacing w:line="240" w:lineRule="auto"/>
        <w:jc w:val="both"/>
        <w:rPr>
          <w:rFonts w:cs="Arial"/>
          <w:szCs w:val="24"/>
        </w:rPr>
      </w:pPr>
    </w:p>
    <w:p w14:paraId="20A13F97" w14:textId="77777777" w:rsidR="007F42F1" w:rsidRPr="00C61E6B" w:rsidRDefault="007F42F1" w:rsidP="00887EEB">
      <w:pPr>
        <w:keepNext/>
        <w:spacing w:line="240" w:lineRule="auto"/>
        <w:jc w:val="both"/>
        <w:rPr>
          <w:rFonts w:cs="Arial"/>
          <w:szCs w:val="24"/>
        </w:rPr>
      </w:pPr>
    </w:p>
    <w:tbl>
      <w:tblPr>
        <w:tblW w:w="9450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860"/>
      </w:tblGrid>
      <w:tr w:rsidR="007F42F1" w14:paraId="5EBCDB70" w14:textId="77777777" w:rsidTr="00825D79">
        <w:tc>
          <w:tcPr>
            <w:tcW w:w="4590" w:type="dxa"/>
          </w:tcPr>
          <w:p w14:paraId="6511559A" w14:textId="77777777" w:rsidR="007F42F1" w:rsidRPr="00C61E6B" w:rsidRDefault="007F42F1" w:rsidP="00887EEB">
            <w:pPr>
              <w:keepNext/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650DD54D" w14:textId="77777777" w:rsidR="007F42F1" w:rsidRPr="00385784" w:rsidRDefault="007F42F1" w:rsidP="00887EEB">
            <w:pPr>
              <w:keepNext/>
              <w:spacing w:line="240" w:lineRule="auto"/>
              <w:rPr>
                <w:rFonts w:cs="Arial"/>
                <w:caps/>
                <w:szCs w:val="24"/>
                <w:lang w:val="en-CA"/>
              </w:rPr>
            </w:pPr>
            <w:r>
              <w:rPr>
                <w:rFonts w:cs="Arial"/>
                <w:caps/>
                <w:szCs w:val="24"/>
                <w:lang w:val="en-CA"/>
              </w:rPr>
              <w:t>STÉPHANE SANSFAÇON, J.A.</w:t>
            </w:r>
            <w:r w:rsidRPr="00385784">
              <w:rPr>
                <w:rFonts w:cs="Arial"/>
                <w:caps/>
                <w:szCs w:val="24"/>
                <w:lang w:val="en-CA"/>
              </w:rPr>
              <w:fldChar w:fldCharType="begin"/>
            </w:r>
            <w:r w:rsidRPr="00385784">
              <w:rPr>
                <w:rFonts w:cs="Arial"/>
                <w:caps/>
                <w:szCs w:val="24"/>
                <w:lang w:val="en-CA"/>
              </w:rPr>
              <w:instrText xml:space="preserve"> REF NomJuge2 \h  \* MERGEFORMAT </w:instrText>
            </w:r>
            <w:r w:rsidRPr="00385784">
              <w:rPr>
                <w:rFonts w:cs="Arial"/>
                <w:caps/>
                <w:szCs w:val="24"/>
                <w:lang w:val="en-CA"/>
              </w:rPr>
            </w:r>
            <w:r w:rsidR="00410B2A">
              <w:rPr>
                <w:rFonts w:cs="Arial"/>
                <w:caps/>
                <w:szCs w:val="24"/>
                <w:lang w:val="en-CA"/>
              </w:rPr>
              <w:fldChar w:fldCharType="separate"/>
            </w:r>
            <w:r w:rsidRPr="00385784">
              <w:rPr>
                <w:rFonts w:cs="Arial"/>
                <w:caps/>
                <w:szCs w:val="24"/>
                <w:lang w:val="en-CA"/>
              </w:rPr>
              <w:fldChar w:fldCharType="end"/>
            </w:r>
          </w:p>
        </w:tc>
      </w:tr>
    </w:tbl>
    <w:p w14:paraId="0E3B4A2E" w14:textId="77777777" w:rsidR="007F42F1" w:rsidRPr="00385784" w:rsidRDefault="007F42F1" w:rsidP="00887EEB">
      <w:pPr>
        <w:keepNext/>
        <w:spacing w:line="240" w:lineRule="auto"/>
        <w:jc w:val="both"/>
        <w:rPr>
          <w:rFonts w:cs="Arial"/>
          <w:szCs w:val="24"/>
          <w:lang w:val="en-CA"/>
        </w:rPr>
      </w:pPr>
    </w:p>
    <w:p w14:paraId="13998F2B" w14:textId="77777777" w:rsidR="007F42F1" w:rsidRPr="00385784" w:rsidRDefault="007F42F1" w:rsidP="00887EEB">
      <w:pPr>
        <w:keepNext/>
        <w:spacing w:line="240" w:lineRule="auto"/>
        <w:jc w:val="both"/>
        <w:rPr>
          <w:rFonts w:cs="Arial"/>
          <w:szCs w:val="24"/>
          <w:lang w:val="en-CA"/>
        </w:rPr>
      </w:pPr>
    </w:p>
    <w:tbl>
      <w:tblPr>
        <w:tblW w:w="9450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860"/>
      </w:tblGrid>
      <w:tr w:rsidR="007F42F1" w14:paraId="30A9D750" w14:textId="77777777" w:rsidTr="00825D79">
        <w:tc>
          <w:tcPr>
            <w:tcW w:w="4590" w:type="dxa"/>
          </w:tcPr>
          <w:p w14:paraId="051630E7" w14:textId="77777777" w:rsidR="007F42F1" w:rsidRPr="00385784" w:rsidRDefault="007F42F1" w:rsidP="00887EEB">
            <w:pPr>
              <w:keepNext/>
              <w:spacing w:line="240" w:lineRule="auto"/>
              <w:jc w:val="both"/>
              <w:rPr>
                <w:rFonts w:cs="Arial"/>
                <w:szCs w:val="24"/>
                <w:lang w:val="en-CA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3F5EBDF3" w14:textId="77777777" w:rsidR="007F42F1" w:rsidRPr="00385784" w:rsidRDefault="007F42F1" w:rsidP="00887EEB">
            <w:pPr>
              <w:keepNext/>
              <w:spacing w:line="240" w:lineRule="auto"/>
              <w:rPr>
                <w:rFonts w:cs="Arial"/>
                <w:caps/>
                <w:szCs w:val="24"/>
                <w:lang w:val="en-CA"/>
              </w:rPr>
            </w:pPr>
            <w:r>
              <w:rPr>
                <w:rFonts w:cs="Arial"/>
                <w:caps/>
                <w:szCs w:val="24"/>
                <w:lang w:val="en-CA"/>
              </w:rPr>
              <w:t>BENOÎT MOORE, J.A.</w:t>
            </w:r>
            <w:r w:rsidRPr="00385784">
              <w:rPr>
                <w:rFonts w:cs="Arial"/>
                <w:caps/>
                <w:szCs w:val="24"/>
                <w:lang w:val="en-CA"/>
              </w:rPr>
              <w:fldChar w:fldCharType="begin"/>
            </w:r>
            <w:r w:rsidRPr="00385784">
              <w:rPr>
                <w:rFonts w:cs="Arial"/>
                <w:caps/>
                <w:szCs w:val="24"/>
                <w:lang w:val="en-CA"/>
              </w:rPr>
              <w:instrText xml:space="preserve"> REF NomJuge3 \h  \* MERGEFORMAT </w:instrText>
            </w:r>
            <w:r w:rsidRPr="00385784">
              <w:rPr>
                <w:rFonts w:cs="Arial"/>
                <w:caps/>
                <w:szCs w:val="24"/>
                <w:lang w:val="en-CA"/>
              </w:rPr>
            </w:r>
            <w:r w:rsidR="00410B2A">
              <w:rPr>
                <w:rFonts w:cs="Arial"/>
                <w:caps/>
                <w:szCs w:val="24"/>
                <w:lang w:val="en-CA"/>
              </w:rPr>
              <w:fldChar w:fldCharType="separate"/>
            </w:r>
            <w:r w:rsidRPr="00385784">
              <w:rPr>
                <w:rFonts w:cs="Arial"/>
                <w:caps/>
                <w:szCs w:val="24"/>
                <w:lang w:val="en-CA"/>
              </w:rPr>
              <w:fldChar w:fldCharType="end"/>
            </w:r>
          </w:p>
        </w:tc>
      </w:tr>
    </w:tbl>
    <w:p w14:paraId="7EB5EF33" w14:textId="77777777" w:rsidR="007F42F1" w:rsidRPr="00385784" w:rsidRDefault="007F42F1" w:rsidP="00C61E6B">
      <w:pPr>
        <w:pStyle w:val="Paragraphe"/>
        <w:numPr>
          <w:ilvl w:val="0"/>
          <w:numId w:val="0"/>
        </w:numPr>
        <w:rPr>
          <w:lang w:val="en-CA"/>
        </w:rPr>
      </w:pPr>
    </w:p>
    <w:sectPr w:rsidR="007F42F1" w:rsidRPr="00385784" w:rsidSect="007F42F1">
      <w:headerReference w:type="default" r:id="rId11"/>
      <w:footerReference w:type="default" r:id="rId12"/>
      <w:footnotePr>
        <w:numRestart w:val="eachSect"/>
      </w:footnotePr>
      <w:pgSz w:w="12242" w:h="15842" w:code="1"/>
      <w:pgMar w:top="567" w:right="1262" w:bottom="1135" w:left="1620" w:header="1440" w:footer="792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415E" w14:textId="77777777" w:rsidR="00D3357C" w:rsidRDefault="00D3357C">
      <w:pPr>
        <w:spacing w:line="240" w:lineRule="auto"/>
      </w:pPr>
      <w:r>
        <w:separator/>
      </w:r>
    </w:p>
  </w:endnote>
  <w:endnote w:type="continuationSeparator" w:id="0">
    <w:p w14:paraId="73A2742D" w14:textId="77777777" w:rsidR="00D3357C" w:rsidRDefault="00D33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3333" w14:textId="77777777" w:rsidR="006A7DB0" w:rsidRPr="00FF0FA0" w:rsidRDefault="006A7DB0" w:rsidP="00AB4491">
    <w:pPr>
      <w:pStyle w:val="Pieddepage"/>
      <w:jc w:val="right"/>
      <w:rPr>
        <w:lang w:val="en-CA"/>
      </w:rPr>
    </w:pPr>
    <w:r w:rsidRPr="00FF0FA0">
      <w:rPr>
        <w:lang w:val="en-CA"/>
      </w:rPr>
      <w:t>English translation of the judgment of the 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F83D" w14:textId="77777777" w:rsidR="00D3357C" w:rsidRDefault="00D3357C">
      <w:r>
        <w:separator/>
      </w:r>
    </w:p>
  </w:footnote>
  <w:footnote w:type="continuationSeparator" w:id="0">
    <w:p w14:paraId="4F067773" w14:textId="77777777" w:rsidR="00D3357C" w:rsidRDefault="00D3357C">
      <w:r>
        <w:continuationSeparator/>
      </w:r>
    </w:p>
  </w:footnote>
  <w:footnote w:id="1">
    <w:p w14:paraId="24A6813F" w14:textId="77777777" w:rsidR="007F42F1" w:rsidRPr="00A55CA1" w:rsidRDefault="007F42F1" w:rsidP="00C61E6B">
      <w:pPr>
        <w:pStyle w:val="Notedebasdepage"/>
      </w:pPr>
      <w:r w:rsidRPr="00C11E72">
        <w:rPr>
          <w:rStyle w:val="Appelnotedebasdep"/>
          <w:lang w:val="en-CA"/>
        </w:rPr>
        <w:footnoteRef/>
      </w:r>
      <w:r w:rsidRPr="00A55CA1">
        <w:t xml:space="preserve"> </w:t>
      </w:r>
      <w:r w:rsidRPr="00A55CA1">
        <w:tab/>
      </w:r>
      <w:r w:rsidRPr="00A55CA1">
        <w:rPr>
          <w:i/>
          <w:iCs/>
        </w:rPr>
        <w:t>Droit de la famille — 211587</w:t>
      </w:r>
      <w:r w:rsidRPr="00A55CA1">
        <w:t>, 2021 QCCA 1273</w:t>
      </w:r>
      <w:r w:rsidRPr="00C61E6B">
        <w:t>, para. 10</w:t>
      </w:r>
      <w:r w:rsidRPr="00A55CA1">
        <w:t xml:space="preserve">; </w:t>
      </w:r>
      <w:r w:rsidRPr="00A55CA1">
        <w:rPr>
          <w:i/>
          <w:iCs/>
        </w:rPr>
        <w:t>Droit de la famille — 171068</w:t>
      </w:r>
      <w:r w:rsidRPr="00A55CA1">
        <w:t xml:space="preserve">, 2017 QCCA 814, para. 18; </w:t>
      </w:r>
      <w:r w:rsidRPr="00A55CA1">
        <w:rPr>
          <w:i/>
          <w:iCs/>
        </w:rPr>
        <w:t>Droit de la famille — 172619</w:t>
      </w:r>
      <w:r w:rsidRPr="00A55CA1">
        <w:t>, 2017 QCCA 1732, para. 23.</w:t>
      </w:r>
    </w:p>
  </w:footnote>
  <w:footnote w:id="2">
    <w:p w14:paraId="22B92255" w14:textId="77777777" w:rsidR="007F42F1" w:rsidRPr="00A55CA1" w:rsidRDefault="007F42F1" w:rsidP="00C61E6B">
      <w:pPr>
        <w:pStyle w:val="Notedebasdepage"/>
      </w:pPr>
      <w:r w:rsidRPr="00C11E72">
        <w:rPr>
          <w:rStyle w:val="Appelnotedebasdep"/>
          <w:lang w:val="en-CA"/>
        </w:rPr>
        <w:footnoteRef/>
      </w:r>
      <w:r w:rsidRPr="00A55CA1">
        <w:t xml:space="preserve"> </w:t>
      </w:r>
      <w:r w:rsidRPr="00A55CA1">
        <w:tab/>
        <w:t>R.S.C. 1985, c. 3 (2nd Suppl.).</w:t>
      </w:r>
    </w:p>
  </w:footnote>
  <w:footnote w:id="3">
    <w:p w14:paraId="3366E58E" w14:textId="77777777" w:rsidR="007F42F1" w:rsidRPr="00FC321D" w:rsidRDefault="007F42F1" w:rsidP="00C61E6B">
      <w:pPr>
        <w:pStyle w:val="Notedebasdepage"/>
      </w:pPr>
      <w:r w:rsidRPr="00C11E72">
        <w:rPr>
          <w:rStyle w:val="Appelnotedebasdep"/>
          <w:lang w:val="en-CA"/>
        </w:rPr>
        <w:footnoteRef/>
      </w:r>
      <w:r w:rsidRPr="00A55CA1">
        <w:t xml:space="preserve"> </w:t>
      </w:r>
      <w:r w:rsidRPr="00A55CA1">
        <w:tab/>
      </w:r>
      <w:r w:rsidRPr="00A55CA1">
        <w:rPr>
          <w:i/>
          <w:iCs/>
        </w:rPr>
        <w:t>Droit de la famille — 22</w:t>
      </w:r>
      <w:r>
        <w:rPr>
          <w:i/>
          <w:iCs/>
        </w:rPr>
        <w:t>2</w:t>
      </w:r>
      <w:r w:rsidRPr="00A55CA1">
        <w:rPr>
          <w:i/>
          <w:iCs/>
        </w:rPr>
        <w:t>215</w:t>
      </w:r>
      <w:r w:rsidRPr="00A55CA1">
        <w:t xml:space="preserve">, 2022 QCCA 1719, paras. </w:t>
      </w:r>
      <w:r w:rsidRPr="00FC321D">
        <w:t>27 and 28.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3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</w:tblCellMar>
      <w:tblLook w:val="04A0" w:firstRow="1" w:lastRow="0" w:firstColumn="1" w:lastColumn="0" w:noHBand="0" w:noVBand="1"/>
    </w:tblPr>
    <w:tblGrid>
      <w:gridCol w:w="7470"/>
      <w:gridCol w:w="2160"/>
    </w:tblGrid>
    <w:tr w:rsidR="00D84CB1" w14:paraId="5F7D00FB" w14:textId="77777777" w:rsidTr="006721EA">
      <w:tc>
        <w:tcPr>
          <w:tcW w:w="7470" w:type="dxa"/>
        </w:tcPr>
        <w:p w14:paraId="0D8147CA" w14:textId="77777777" w:rsidR="006A7DB0" w:rsidRDefault="006A7DB0" w:rsidP="00637D6F">
          <w:pPr>
            <w:tabs>
              <w:tab w:val="left" w:pos="442"/>
              <w:tab w:val="center" w:pos="4709"/>
              <w:tab w:val="right" w:pos="9360"/>
            </w:tabs>
            <w:ind w:right="524"/>
          </w:pPr>
          <w:bookmarkStart w:id="10" w:name="EntDossier"/>
          <w:bookmarkEnd w:id="10"/>
        </w:p>
      </w:tc>
      <w:tc>
        <w:tcPr>
          <w:tcW w:w="2160" w:type="dxa"/>
        </w:tcPr>
        <w:p w14:paraId="33ABC3A3" w14:textId="77777777" w:rsidR="006A7DB0" w:rsidRDefault="006A7DB0" w:rsidP="00CD58FC">
          <w:pPr>
            <w:tabs>
              <w:tab w:val="left" w:pos="442"/>
              <w:tab w:val="center" w:pos="4709"/>
              <w:tab w:val="right" w:pos="9360"/>
            </w:tabs>
            <w:ind w:right="159"/>
            <w:jc w:val="right"/>
          </w:pPr>
          <w:r>
            <w:tab/>
            <w:t xml:space="preserve">PAGE :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 w14:paraId="599B82EF" w14:textId="77777777" w:rsidR="006A7DB0" w:rsidRDefault="006A7DB0" w:rsidP="00A86BD7">
    <w:pPr>
      <w:tabs>
        <w:tab w:val="left" w:pos="442"/>
        <w:tab w:val="center" w:pos="4709"/>
        <w:tab w:val="right" w:pos="9360"/>
      </w:tabs>
      <w:ind w:right="5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1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12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264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C3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EAB8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121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07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643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E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4A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BB52DE"/>
    <w:multiLevelType w:val="multilevel"/>
    <w:tmpl w:val="5C103B16"/>
    <w:lvl w:ilvl="0">
      <w:start w:val="1"/>
      <w:numFmt w:val="decimal"/>
      <w:pStyle w:val="Paragraphe"/>
      <w:lvlText w:val="[%1]"/>
      <w:lvlJc w:val="left"/>
      <w:pPr>
        <w:tabs>
          <w:tab w:val="num" w:pos="990"/>
        </w:tabs>
        <w:ind w:left="2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A9D1B84"/>
    <w:multiLevelType w:val="multilevel"/>
    <w:tmpl w:val="2766DEE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09C0DCC"/>
    <w:multiLevelType w:val="multilevel"/>
    <w:tmpl w:val="F11C8164"/>
    <w:lvl w:ilvl="0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01286445">
    <w:abstractNumId w:val="12"/>
  </w:num>
  <w:num w:numId="2" w16cid:durableId="1547835162">
    <w:abstractNumId w:val="12"/>
  </w:num>
  <w:num w:numId="3" w16cid:durableId="1305620785">
    <w:abstractNumId w:val="12"/>
  </w:num>
  <w:num w:numId="4" w16cid:durableId="1782600888">
    <w:abstractNumId w:val="8"/>
  </w:num>
  <w:num w:numId="5" w16cid:durableId="1974751033">
    <w:abstractNumId w:val="3"/>
  </w:num>
  <w:num w:numId="6" w16cid:durableId="124741672">
    <w:abstractNumId w:val="2"/>
  </w:num>
  <w:num w:numId="7" w16cid:durableId="636960393">
    <w:abstractNumId w:val="1"/>
  </w:num>
  <w:num w:numId="8" w16cid:durableId="121117280">
    <w:abstractNumId w:val="0"/>
  </w:num>
  <w:num w:numId="9" w16cid:durableId="1153107827">
    <w:abstractNumId w:val="9"/>
  </w:num>
  <w:num w:numId="10" w16cid:durableId="570166069">
    <w:abstractNumId w:val="7"/>
  </w:num>
  <w:num w:numId="11" w16cid:durableId="1332638274">
    <w:abstractNumId w:val="6"/>
  </w:num>
  <w:num w:numId="12" w16cid:durableId="78333265">
    <w:abstractNumId w:val="5"/>
  </w:num>
  <w:num w:numId="13" w16cid:durableId="2065062775">
    <w:abstractNumId w:val="4"/>
  </w:num>
  <w:num w:numId="14" w16cid:durableId="194857516">
    <w:abstractNumId w:val="12"/>
  </w:num>
  <w:num w:numId="15" w16cid:durableId="2067028846">
    <w:abstractNumId w:val="12"/>
  </w:num>
  <w:num w:numId="16" w16cid:durableId="327905319">
    <w:abstractNumId w:val="12"/>
  </w:num>
  <w:num w:numId="17" w16cid:durableId="1500658267">
    <w:abstractNumId w:val="11"/>
  </w:num>
  <w:num w:numId="18" w16cid:durableId="1188521277">
    <w:abstractNumId w:val="10"/>
  </w:num>
  <w:num w:numId="19" w16cid:durableId="151147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E3"/>
    <w:rsid w:val="000023F4"/>
    <w:rsid w:val="00005741"/>
    <w:rsid w:val="00023377"/>
    <w:rsid w:val="000250C2"/>
    <w:rsid w:val="00033ACA"/>
    <w:rsid w:val="00061C3F"/>
    <w:rsid w:val="00075207"/>
    <w:rsid w:val="00080D1F"/>
    <w:rsid w:val="00082F0A"/>
    <w:rsid w:val="000867B8"/>
    <w:rsid w:val="000B60BA"/>
    <w:rsid w:val="000C54D9"/>
    <w:rsid w:val="000D749A"/>
    <w:rsid w:val="000E3231"/>
    <w:rsid w:val="000F1BBC"/>
    <w:rsid w:val="000F74B3"/>
    <w:rsid w:val="001009B2"/>
    <w:rsid w:val="00103275"/>
    <w:rsid w:val="00104397"/>
    <w:rsid w:val="0010484E"/>
    <w:rsid w:val="00106BD1"/>
    <w:rsid w:val="001077CF"/>
    <w:rsid w:val="0013180C"/>
    <w:rsid w:val="00135014"/>
    <w:rsid w:val="00137252"/>
    <w:rsid w:val="00146ED1"/>
    <w:rsid w:val="00151498"/>
    <w:rsid w:val="00153DD9"/>
    <w:rsid w:val="00155805"/>
    <w:rsid w:val="00165BD8"/>
    <w:rsid w:val="001717DB"/>
    <w:rsid w:val="00175437"/>
    <w:rsid w:val="00180114"/>
    <w:rsid w:val="00186B64"/>
    <w:rsid w:val="00186E4B"/>
    <w:rsid w:val="001949A0"/>
    <w:rsid w:val="001A4667"/>
    <w:rsid w:val="001B1B44"/>
    <w:rsid w:val="001B3129"/>
    <w:rsid w:val="001B3898"/>
    <w:rsid w:val="001C28B0"/>
    <w:rsid w:val="001C75F4"/>
    <w:rsid w:val="001D1FFC"/>
    <w:rsid w:val="001D5303"/>
    <w:rsid w:val="001E13E3"/>
    <w:rsid w:val="001F5985"/>
    <w:rsid w:val="0021091C"/>
    <w:rsid w:val="00214548"/>
    <w:rsid w:val="00215559"/>
    <w:rsid w:val="00221170"/>
    <w:rsid w:val="0023213C"/>
    <w:rsid w:val="00235C58"/>
    <w:rsid w:val="002508EC"/>
    <w:rsid w:val="00256E77"/>
    <w:rsid w:val="00266D03"/>
    <w:rsid w:val="002730FA"/>
    <w:rsid w:val="002745AE"/>
    <w:rsid w:val="002A0AED"/>
    <w:rsid w:val="002A0B7A"/>
    <w:rsid w:val="002A295B"/>
    <w:rsid w:val="002C1B95"/>
    <w:rsid w:val="002C4107"/>
    <w:rsid w:val="002C5F4D"/>
    <w:rsid w:val="002C7179"/>
    <w:rsid w:val="002D6A15"/>
    <w:rsid w:val="002E05CB"/>
    <w:rsid w:val="002E7403"/>
    <w:rsid w:val="003041AF"/>
    <w:rsid w:val="00320C2D"/>
    <w:rsid w:val="0033020E"/>
    <w:rsid w:val="00334B52"/>
    <w:rsid w:val="00335CD9"/>
    <w:rsid w:val="0033631D"/>
    <w:rsid w:val="00340122"/>
    <w:rsid w:val="003513C7"/>
    <w:rsid w:val="00377198"/>
    <w:rsid w:val="00382966"/>
    <w:rsid w:val="0039120A"/>
    <w:rsid w:val="00394476"/>
    <w:rsid w:val="003B65F2"/>
    <w:rsid w:val="003C6BAA"/>
    <w:rsid w:val="003D6509"/>
    <w:rsid w:val="003F01E4"/>
    <w:rsid w:val="004048B6"/>
    <w:rsid w:val="00410B2A"/>
    <w:rsid w:val="004232FA"/>
    <w:rsid w:val="00424BE3"/>
    <w:rsid w:val="004331C4"/>
    <w:rsid w:val="00441059"/>
    <w:rsid w:val="00446437"/>
    <w:rsid w:val="004505FD"/>
    <w:rsid w:val="004546D6"/>
    <w:rsid w:val="00462BF3"/>
    <w:rsid w:val="00471573"/>
    <w:rsid w:val="004845CF"/>
    <w:rsid w:val="00487C68"/>
    <w:rsid w:val="004B0146"/>
    <w:rsid w:val="004D37E3"/>
    <w:rsid w:val="004D3CB0"/>
    <w:rsid w:val="004F15FC"/>
    <w:rsid w:val="004F4B7D"/>
    <w:rsid w:val="00501C58"/>
    <w:rsid w:val="00501E09"/>
    <w:rsid w:val="00540690"/>
    <w:rsid w:val="0054437A"/>
    <w:rsid w:val="005504D5"/>
    <w:rsid w:val="00552F21"/>
    <w:rsid w:val="00566BF6"/>
    <w:rsid w:val="0057662E"/>
    <w:rsid w:val="00590040"/>
    <w:rsid w:val="00594FBA"/>
    <w:rsid w:val="005A752A"/>
    <w:rsid w:val="005B4976"/>
    <w:rsid w:val="005C2276"/>
    <w:rsid w:val="005D1522"/>
    <w:rsid w:val="005D29E7"/>
    <w:rsid w:val="005D3520"/>
    <w:rsid w:val="005F0450"/>
    <w:rsid w:val="0061085C"/>
    <w:rsid w:val="00610C95"/>
    <w:rsid w:val="0062746D"/>
    <w:rsid w:val="006330C5"/>
    <w:rsid w:val="00634544"/>
    <w:rsid w:val="00634FC9"/>
    <w:rsid w:val="00637D6F"/>
    <w:rsid w:val="006404AA"/>
    <w:rsid w:val="00641114"/>
    <w:rsid w:val="00650105"/>
    <w:rsid w:val="006527B6"/>
    <w:rsid w:val="0065602B"/>
    <w:rsid w:val="00656303"/>
    <w:rsid w:val="00670ADD"/>
    <w:rsid w:val="00685221"/>
    <w:rsid w:val="00692E06"/>
    <w:rsid w:val="006A0876"/>
    <w:rsid w:val="006A7DB0"/>
    <w:rsid w:val="006C6451"/>
    <w:rsid w:val="006D1CB1"/>
    <w:rsid w:val="006D5C25"/>
    <w:rsid w:val="006E152D"/>
    <w:rsid w:val="006E187B"/>
    <w:rsid w:val="006F3F09"/>
    <w:rsid w:val="00702C6D"/>
    <w:rsid w:val="00711DD5"/>
    <w:rsid w:val="007149F6"/>
    <w:rsid w:val="007215F6"/>
    <w:rsid w:val="00735423"/>
    <w:rsid w:val="007377D2"/>
    <w:rsid w:val="00740A17"/>
    <w:rsid w:val="007519EA"/>
    <w:rsid w:val="00752373"/>
    <w:rsid w:val="007547CE"/>
    <w:rsid w:val="00756956"/>
    <w:rsid w:val="00757467"/>
    <w:rsid w:val="0077096E"/>
    <w:rsid w:val="00770C57"/>
    <w:rsid w:val="007818B0"/>
    <w:rsid w:val="00783C21"/>
    <w:rsid w:val="00792082"/>
    <w:rsid w:val="007953F3"/>
    <w:rsid w:val="007B3A28"/>
    <w:rsid w:val="007B70ED"/>
    <w:rsid w:val="007C678F"/>
    <w:rsid w:val="007D13F3"/>
    <w:rsid w:val="007D632A"/>
    <w:rsid w:val="007E62A2"/>
    <w:rsid w:val="007E6A41"/>
    <w:rsid w:val="007F2157"/>
    <w:rsid w:val="007F42F1"/>
    <w:rsid w:val="008157DA"/>
    <w:rsid w:val="00827B04"/>
    <w:rsid w:val="00831C53"/>
    <w:rsid w:val="00834C9C"/>
    <w:rsid w:val="008430CA"/>
    <w:rsid w:val="00850063"/>
    <w:rsid w:val="00854C3E"/>
    <w:rsid w:val="00864D19"/>
    <w:rsid w:val="008757BD"/>
    <w:rsid w:val="008821CE"/>
    <w:rsid w:val="00882210"/>
    <w:rsid w:val="0088670F"/>
    <w:rsid w:val="00887EEB"/>
    <w:rsid w:val="008A1AD8"/>
    <w:rsid w:val="008C50FF"/>
    <w:rsid w:val="008D2FB6"/>
    <w:rsid w:val="008E0ED5"/>
    <w:rsid w:val="008E13C7"/>
    <w:rsid w:val="008E5EA2"/>
    <w:rsid w:val="008F024E"/>
    <w:rsid w:val="008F2ACD"/>
    <w:rsid w:val="008F364A"/>
    <w:rsid w:val="008F3A32"/>
    <w:rsid w:val="0090715A"/>
    <w:rsid w:val="00907492"/>
    <w:rsid w:val="00931017"/>
    <w:rsid w:val="0093677F"/>
    <w:rsid w:val="00944995"/>
    <w:rsid w:val="00950F4A"/>
    <w:rsid w:val="00950FA6"/>
    <w:rsid w:val="00953B63"/>
    <w:rsid w:val="009542F2"/>
    <w:rsid w:val="00954DC2"/>
    <w:rsid w:val="00957A8C"/>
    <w:rsid w:val="0096293D"/>
    <w:rsid w:val="00967A34"/>
    <w:rsid w:val="009866BC"/>
    <w:rsid w:val="00996C51"/>
    <w:rsid w:val="009A162F"/>
    <w:rsid w:val="009A2428"/>
    <w:rsid w:val="009B6D72"/>
    <w:rsid w:val="009B77AF"/>
    <w:rsid w:val="009C3ACF"/>
    <w:rsid w:val="009D1618"/>
    <w:rsid w:val="009D3F35"/>
    <w:rsid w:val="009F0E98"/>
    <w:rsid w:val="009F4E2B"/>
    <w:rsid w:val="009F6783"/>
    <w:rsid w:val="00A00FEB"/>
    <w:rsid w:val="00A12875"/>
    <w:rsid w:val="00A55EE8"/>
    <w:rsid w:val="00A62FEE"/>
    <w:rsid w:val="00A73A89"/>
    <w:rsid w:val="00A91FEA"/>
    <w:rsid w:val="00AA0AE4"/>
    <w:rsid w:val="00AA7870"/>
    <w:rsid w:val="00AC5BB3"/>
    <w:rsid w:val="00AE19DE"/>
    <w:rsid w:val="00AE1C2E"/>
    <w:rsid w:val="00AF5327"/>
    <w:rsid w:val="00AF563B"/>
    <w:rsid w:val="00B15536"/>
    <w:rsid w:val="00B32F63"/>
    <w:rsid w:val="00B3786E"/>
    <w:rsid w:val="00B451C3"/>
    <w:rsid w:val="00B65CE4"/>
    <w:rsid w:val="00B71015"/>
    <w:rsid w:val="00B71E57"/>
    <w:rsid w:val="00B82A13"/>
    <w:rsid w:val="00BA2F32"/>
    <w:rsid w:val="00BA6528"/>
    <w:rsid w:val="00BB0501"/>
    <w:rsid w:val="00BB483F"/>
    <w:rsid w:val="00BD31B6"/>
    <w:rsid w:val="00BF09C1"/>
    <w:rsid w:val="00BF1A06"/>
    <w:rsid w:val="00BF481E"/>
    <w:rsid w:val="00C1429C"/>
    <w:rsid w:val="00C148F8"/>
    <w:rsid w:val="00C1622E"/>
    <w:rsid w:val="00C27F38"/>
    <w:rsid w:val="00C300EA"/>
    <w:rsid w:val="00C30F2F"/>
    <w:rsid w:val="00C40A6B"/>
    <w:rsid w:val="00C47029"/>
    <w:rsid w:val="00C47211"/>
    <w:rsid w:val="00C477EB"/>
    <w:rsid w:val="00C92E57"/>
    <w:rsid w:val="00C96021"/>
    <w:rsid w:val="00CA21CC"/>
    <w:rsid w:val="00CC7EE5"/>
    <w:rsid w:val="00CD58FC"/>
    <w:rsid w:val="00CD6985"/>
    <w:rsid w:val="00CE39B0"/>
    <w:rsid w:val="00D030D3"/>
    <w:rsid w:val="00D26AB1"/>
    <w:rsid w:val="00D334E3"/>
    <w:rsid w:val="00D3357C"/>
    <w:rsid w:val="00D44480"/>
    <w:rsid w:val="00D63C96"/>
    <w:rsid w:val="00D67052"/>
    <w:rsid w:val="00D830F0"/>
    <w:rsid w:val="00DC0087"/>
    <w:rsid w:val="00DD3A24"/>
    <w:rsid w:val="00DD63B1"/>
    <w:rsid w:val="00DE3438"/>
    <w:rsid w:val="00DE5386"/>
    <w:rsid w:val="00DF3EE2"/>
    <w:rsid w:val="00DF501C"/>
    <w:rsid w:val="00DF7D37"/>
    <w:rsid w:val="00E05136"/>
    <w:rsid w:val="00E06061"/>
    <w:rsid w:val="00E132BA"/>
    <w:rsid w:val="00E1376E"/>
    <w:rsid w:val="00E25C04"/>
    <w:rsid w:val="00E311DC"/>
    <w:rsid w:val="00E50EA6"/>
    <w:rsid w:val="00E50F09"/>
    <w:rsid w:val="00E51293"/>
    <w:rsid w:val="00E55CDF"/>
    <w:rsid w:val="00E733E4"/>
    <w:rsid w:val="00E85342"/>
    <w:rsid w:val="00EC0348"/>
    <w:rsid w:val="00EC2D0A"/>
    <w:rsid w:val="00EC57E1"/>
    <w:rsid w:val="00ED4595"/>
    <w:rsid w:val="00EE28F3"/>
    <w:rsid w:val="00EE4894"/>
    <w:rsid w:val="00F019F9"/>
    <w:rsid w:val="00F050F0"/>
    <w:rsid w:val="00F12661"/>
    <w:rsid w:val="00F12B0D"/>
    <w:rsid w:val="00F1760F"/>
    <w:rsid w:val="00F257C5"/>
    <w:rsid w:val="00F3537E"/>
    <w:rsid w:val="00F44D2D"/>
    <w:rsid w:val="00F47DB9"/>
    <w:rsid w:val="00F5562C"/>
    <w:rsid w:val="00F55CD4"/>
    <w:rsid w:val="00F601F1"/>
    <w:rsid w:val="00F62B8D"/>
    <w:rsid w:val="00F64DD4"/>
    <w:rsid w:val="00F7072E"/>
    <w:rsid w:val="00F72BD0"/>
    <w:rsid w:val="00F80CD1"/>
    <w:rsid w:val="00F8403B"/>
    <w:rsid w:val="00F853BE"/>
    <w:rsid w:val="00F87D18"/>
    <w:rsid w:val="00F903C2"/>
    <w:rsid w:val="00F909F1"/>
    <w:rsid w:val="00F943C5"/>
    <w:rsid w:val="00F951F6"/>
    <w:rsid w:val="00FA3580"/>
    <w:rsid w:val="00FB0212"/>
    <w:rsid w:val="00FB3A36"/>
    <w:rsid w:val="00FB66A4"/>
    <w:rsid w:val="00FC1957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590EA"/>
  <w15:chartTrackingRefBased/>
  <w15:docId w15:val="{682DE862-B928-4D43-812B-465BD51A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 w:line="500" w:lineRule="exact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E06061"/>
    <w:pPr>
      <w:numPr>
        <w:numId w:val="18"/>
      </w:numPr>
      <w:tabs>
        <w:tab w:val="clear" w:pos="990"/>
      </w:tabs>
      <w:spacing w:before="120" w:after="120" w:line="240" w:lineRule="auto"/>
      <w:ind w:left="0"/>
      <w:jc w:val="both"/>
    </w:pPr>
  </w:style>
  <w:style w:type="paragraph" w:customStyle="1" w:styleId="Citationenretrait">
    <w:name w:val="Citation en retrait"/>
    <w:basedOn w:val="Normal"/>
    <w:link w:val="CitationenretraitCar"/>
    <w:qFormat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Pr>
      <w:rFonts w:ascii="Arial" w:hAnsi="Arial"/>
      <w:i/>
      <w:noProof w:val="0"/>
      <w:sz w:val="22"/>
      <w:lang w:val="fr-CA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Notedebasdepage">
    <w:name w:val="footnote text"/>
    <w:basedOn w:val="Normal"/>
    <w:link w:val="NotedebasdepageCar"/>
    <w:uiPriority w:val="99"/>
    <w:qFormat/>
    <w:pPr>
      <w:spacing w:line="240" w:lineRule="auto"/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rsid w:val="00864D19"/>
    <w:pPr>
      <w:spacing w:line="500" w:lineRule="exact"/>
      <w:jc w:val="center"/>
    </w:pPr>
    <w:rPr>
      <w:rFonts w:eastAsiaTheme="minorHAnsi" w:cs="Arial"/>
      <w:b/>
      <w:sz w:val="36"/>
      <w:szCs w:val="24"/>
    </w:rPr>
  </w:style>
  <w:style w:type="paragraph" w:customStyle="1" w:styleId="zSoquijlblPays">
    <w:name w:val="zSoquij_lblPays"/>
    <w:basedOn w:val="Normal"/>
  </w:style>
  <w:style w:type="paragraph" w:customStyle="1" w:styleId="zSoquijlblProvince">
    <w:name w:val="zSoquij_lblProvince"/>
    <w:basedOn w:val="Normal"/>
    <w:rsid w:val="00864D19"/>
    <w:pPr>
      <w:ind w:left="-108"/>
    </w:pPr>
    <w:rPr>
      <w:rFonts w:eastAsiaTheme="minorHAnsi" w:cs="Arial"/>
      <w:szCs w:val="24"/>
    </w:rPr>
  </w:style>
  <w:style w:type="paragraph" w:customStyle="1" w:styleId="zSoquijlblGreffe">
    <w:name w:val="zSoquij_lblGreffe"/>
    <w:basedOn w:val="Normal"/>
  </w:style>
  <w:style w:type="paragraph" w:customStyle="1" w:styleId="zSoquijdatGreffe">
    <w:name w:val="zSoquij_datGreffe"/>
    <w:basedOn w:val="Normal"/>
    <w:rsid w:val="0057662E"/>
    <w:pPr>
      <w:ind w:left="-115"/>
    </w:pPr>
    <w:rPr>
      <w:rFonts w:cs="Arial"/>
    </w:rPr>
  </w:style>
  <w:style w:type="paragraph" w:customStyle="1" w:styleId="zSoquijdatDivision">
    <w:name w:val="zSoquij_datDivision"/>
    <w:basedOn w:val="Normal"/>
    <w:pPr>
      <w:jc w:val="center"/>
    </w:pPr>
    <w:rPr>
      <w:sz w:val="22"/>
    </w:rPr>
  </w:style>
  <w:style w:type="paragraph" w:customStyle="1" w:styleId="zSoquijlblNoDossier">
    <w:name w:val="zSoquij_lblNoDossier"/>
    <w:basedOn w:val="Normal"/>
  </w:style>
  <w:style w:type="paragraph" w:customStyle="1" w:styleId="zSoquijdatNoDossier">
    <w:name w:val="zSoquij_datNoDossier"/>
    <w:basedOn w:val="Normal"/>
    <w:rsid w:val="0057662E"/>
    <w:pPr>
      <w:ind w:left="-115"/>
    </w:pPr>
    <w:rPr>
      <w:rFonts w:cs="Arial"/>
    </w:rPr>
  </w:style>
  <w:style w:type="paragraph" w:customStyle="1" w:styleId="zSoquijdatNoDossierAnt">
    <w:name w:val="zSoquij_datNoDossierAnt"/>
    <w:basedOn w:val="Normal"/>
    <w:rsid w:val="0057662E"/>
    <w:pPr>
      <w:ind w:left="-115"/>
    </w:pPr>
    <w:rPr>
      <w:rFonts w:cs="Arial"/>
    </w:rPr>
  </w:style>
  <w:style w:type="paragraph" w:customStyle="1" w:styleId="zSoquijdatDateJugement">
    <w:name w:val="zSoquij_datDateJugement"/>
    <w:basedOn w:val="Normal"/>
    <w:rsid w:val="0057662E"/>
    <w:pPr>
      <w:ind w:left="-115"/>
    </w:pPr>
    <w:rPr>
      <w:rFonts w:cs="Arial"/>
    </w:rPr>
  </w:style>
  <w:style w:type="paragraph" w:customStyle="1" w:styleId="zSoquijlblDateJugement">
    <w:name w:val="zSoquij_lblDateJugement"/>
    <w:basedOn w:val="Normal"/>
  </w:style>
  <w:style w:type="paragraph" w:customStyle="1" w:styleId="zSoquijlblJuge">
    <w:name w:val="zSoquij_lblJuge"/>
    <w:basedOn w:val="Normal"/>
    <w:rPr>
      <w:b/>
    </w:rPr>
  </w:style>
  <w:style w:type="paragraph" w:customStyle="1" w:styleId="zSoquijdatQteJuge">
    <w:name w:val="zSoquij_datQteJuge"/>
    <w:basedOn w:val="Normal"/>
    <w:rsid w:val="00864D19"/>
    <w:pPr>
      <w:ind w:left="-103"/>
    </w:pPr>
    <w:rPr>
      <w:rFonts w:eastAsiaTheme="minorHAnsi" w:cs="Arial"/>
      <w:szCs w:val="24"/>
    </w:rPr>
  </w:style>
  <w:style w:type="paragraph" w:customStyle="1" w:styleId="zSoquijdatJuge1">
    <w:name w:val="zSoquij_datJuge_1"/>
    <w:basedOn w:val="Normal"/>
    <w:rsid w:val="00F64DD4"/>
    <w:rPr>
      <w:rFonts w:eastAsiaTheme="minorHAnsi" w:cs="Arial"/>
      <w:szCs w:val="24"/>
    </w:rPr>
  </w:style>
  <w:style w:type="paragraph" w:customStyle="1" w:styleId="zSoquijdatNomPartieDem">
    <w:name w:val="zSoquij_datNomPartieDem"/>
    <w:basedOn w:val="Normal"/>
    <w:rsid w:val="00F12661"/>
    <w:pPr>
      <w:jc w:val="center"/>
    </w:pPr>
    <w:rPr>
      <w:b/>
      <w:bCs/>
    </w:rPr>
  </w:style>
  <w:style w:type="paragraph" w:customStyle="1" w:styleId="zSoquijdatQtePartieDem">
    <w:name w:val="zSoquij_datQtePartieDem"/>
    <w:basedOn w:val="Normal"/>
    <w:rsid w:val="00670ADD"/>
    <w:pPr>
      <w:spacing w:before="120" w:after="120" w:line="240" w:lineRule="auto"/>
      <w:jc w:val="center"/>
    </w:pPr>
    <w:rPr>
      <w:rFonts w:cs="Arial"/>
      <w:kern w:val="28"/>
      <w:szCs w:val="24"/>
    </w:rPr>
  </w:style>
  <w:style w:type="paragraph" w:customStyle="1" w:styleId="zSoquijlblLienParties">
    <w:name w:val="zSoquij_lblLienParties"/>
    <w:basedOn w:val="Normal"/>
  </w:style>
  <w:style w:type="paragraph" w:customStyle="1" w:styleId="zSoquijdatNomPartieDef">
    <w:name w:val="zSoquij_datNomPartieDef"/>
    <w:basedOn w:val="Normal"/>
    <w:rsid w:val="007519EA"/>
    <w:pPr>
      <w:jc w:val="center"/>
    </w:pPr>
    <w:rPr>
      <w:b/>
      <w:bCs/>
    </w:rPr>
  </w:style>
  <w:style w:type="paragraph" w:customStyle="1" w:styleId="zSoquijdatQtePartieDef">
    <w:name w:val="zSoquij_datQtePartieDef"/>
    <w:basedOn w:val="Normal"/>
    <w:rsid w:val="00670ADD"/>
    <w:pPr>
      <w:spacing w:before="120" w:after="120" w:line="240" w:lineRule="auto"/>
      <w:jc w:val="center"/>
    </w:pPr>
    <w:rPr>
      <w:rFonts w:cs="Arial"/>
      <w:kern w:val="28"/>
      <w:szCs w:val="24"/>
    </w:rPr>
  </w:style>
  <w:style w:type="paragraph" w:customStyle="1" w:styleId="zSoquijlblTypeDocument">
    <w:name w:val="zSoquij_lblTypeDocument"/>
    <w:basedOn w:val="Normal"/>
    <w:pPr>
      <w:jc w:val="center"/>
    </w:pPr>
  </w:style>
  <w:style w:type="paragraph" w:customStyle="1" w:styleId="zSoquijlblProcureurDem">
    <w:name w:val="zSoquij_lblProcureurDem"/>
    <w:basedOn w:val="Normal"/>
    <w:rsid w:val="00670ADD"/>
    <w:pPr>
      <w:spacing w:before="40" w:after="40" w:line="240" w:lineRule="auto"/>
      <w:jc w:val="center"/>
    </w:pPr>
    <w:rPr>
      <w:rFonts w:cs="Arial"/>
      <w:kern w:val="28"/>
      <w:szCs w:val="24"/>
    </w:rPr>
  </w:style>
  <w:style w:type="paragraph" w:customStyle="1" w:styleId="zSoquijlblProcureurDef">
    <w:name w:val="zSoquij_lblProcureurDef"/>
    <w:basedOn w:val="Normal"/>
    <w:rsid w:val="00670ADD"/>
    <w:pPr>
      <w:spacing w:before="40" w:after="40" w:line="240" w:lineRule="auto"/>
      <w:jc w:val="center"/>
    </w:pPr>
    <w:rPr>
      <w:rFonts w:cs="Arial"/>
      <w:kern w:val="28"/>
      <w:szCs w:val="24"/>
    </w:rPr>
  </w:style>
  <w:style w:type="paragraph" w:customStyle="1" w:styleId="zSoquijlblDateAudience">
    <w:name w:val="zSoquij_lblDateAudience"/>
    <w:basedOn w:val="Normal"/>
  </w:style>
  <w:style w:type="paragraph" w:customStyle="1" w:styleId="zSoquijdatDateAudience">
    <w:name w:val="zSoquij_datDateAudience"/>
    <w:basedOn w:val="Normal"/>
  </w:style>
  <w:style w:type="paragraph" w:customStyle="1" w:styleId="zSoquijlblNomChambre">
    <w:name w:val="zSoquij_lblNomChambre"/>
    <w:basedOn w:val="Normal"/>
  </w:style>
  <w:style w:type="paragraph" w:customStyle="1" w:styleId="zSoquijlblOpinionJuge">
    <w:name w:val="zSoquij_lblOpinionJuge"/>
    <w:basedOn w:val="Normal"/>
    <w:pPr>
      <w:jc w:val="center"/>
    </w:pPr>
  </w:style>
  <w:style w:type="character" w:customStyle="1" w:styleId="zSoquijlblEntNoDossier">
    <w:name w:val="zSoquij_lblEntNoDossier"/>
    <w:basedOn w:val="Policepardfaut"/>
    <w:rPr>
      <w:noProof w:val="0"/>
      <w:lang w:val="fr-CA"/>
    </w:rPr>
  </w:style>
  <w:style w:type="paragraph" w:customStyle="1" w:styleId="zSoquijlblTitrePartie">
    <w:name w:val="zSoquij_lblTitrePartie"/>
    <w:basedOn w:val="Normal"/>
  </w:style>
  <w:style w:type="paragraph" w:customStyle="1" w:styleId="zSoquijdatIdJuge">
    <w:name w:val="zSoquij_datIdJuge"/>
    <w:basedOn w:val="Normal"/>
    <w:pPr>
      <w:jc w:val="right"/>
    </w:pPr>
  </w:style>
  <w:style w:type="paragraph" w:customStyle="1" w:styleId="Sous-paragraphe">
    <w:name w:val="Sous-paragraphe"/>
    <w:basedOn w:val="Normal"/>
    <w:qFormat/>
    <w:pPr>
      <w:widowControl w:val="0"/>
      <w:numPr>
        <w:ilvl w:val="1"/>
        <w:numId w:val="18"/>
      </w:numPr>
      <w:spacing w:after="120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  <w:rsid w:val="00F12661"/>
    <w:pPr>
      <w:keepNext/>
    </w:pPr>
  </w:style>
  <w:style w:type="paragraph" w:customStyle="1" w:styleId="zSoquijdatNomProcureurDef">
    <w:name w:val="zSoquij_datNomProcureurDef"/>
    <w:basedOn w:val="zSoquijlblProcureurDef"/>
    <w:rsid w:val="002E7403"/>
    <w:pPr>
      <w:keepNext/>
    </w:pPr>
  </w:style>
  <w:style w:type="paragraph" w:customStyle="1" w:styleId="zSoquijdatCabinetProcureurDem">
    <w:name w:val="zSoquij_datCabinetProcureurDem"/>
    <w:basedOn w:val="Normal"/>
    <w:rsid w:val="00F12661"/>
    <w:pPr>
      <w:keepNext/>
      <w:jc w:val="center"/>
    </w:pPr>
    <w:rPr>
      <w:lang w:val="es-ES"/>
    </w:rPr>
  </w:style>
  <w:style w:type="paragraph" w:customStyle="1" w:styleId="zSoquijdatCabinetProcureurDef">
    <w:name w:val="zSoquij_datCabinetProcureurDef"/>
    <w:basedOn w:val="zSoquijlblProcureurDef"/>
    <w:rsid w:val="002E7403"/>
    <w:pPr>
      <w:keepNext/>
    </w:pPr>
    <w:rPr>
      <w:lang w:val="es-ES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audroiteanglais">
    <w:name w:val="Tableau droite anglais"/>
    <w:basedOn w:val="Tableaugauchefranais"/>
    <w:link w:val="TableaudroiteanglaisCar"/>
    <w:pPr>
      <w:ind w:left="144" w:right="720"/>
      <w:jc w:val="both"/>
    </w:pPr>
    <w:rPr>
      <w:lang w:val="en-CA"/>
    </w:rPr>
  </w:style>
  <w:style w:type="paragraph" w:customStyle="1" w:styleId="Tableaugauchefranais">
    <w:name w:val="Tableau gauche français"/>
    <w:basedOn w:val="Normal"/>
    <w:link w:val="TableaugauchefranaisCar"/>
    <w:pPr>
      <w:ind w:left="720" w:right="144"/>
    </w:pPr>
    <w:rPr>
      <w:sz w:val="22"/>
    </w:rPr>
  </w:style>
  <w:style w:type="character" w:styleId="Appelnotedebasdep">
    <w:name w:val="footnote reference"/>
    <w:aliases w:val="Char Char6 Char Char Char Char Char Char Char Char Char Char Char Char,Char6 Char Char Char Char Char Char Char Char Char Char Char Char Char,Footnote,Ref,de nota al pie,fr"/>
    <w:uiPriority w:val="99"/>
    <w:qFormat/>
    <w:rPr>
      <w:noProof w:val="0"/>
      <w:vertAlign w:val="superscript"/>
      <w:lang w:val="fr-CA"/>
    </w:rPr>
  </w:style>
  <w:style w:type="paragraph" w:styleId="Corpsdetexte3">
    <w:name w:val="Body Text 3"/>
    <w:basedOn w:val="Normal"/>
    <w:semiHidden/>
    <w:pPr>
      <w:spacing w:after="120"/>
    </w:pPr>
    <w:rPr>
      <w:sz w:val="16"/>
    </w:rPr>
  </w:style>
  <w:style w:type="paragraph" w:customStyle="1" w:styleId="zSoquijdatRepertorie">
    <w:name w:val="zSoquij_datRepertorie"/>
    <w:basedOn w:val="zSoquijlblCour"/>
    <w:pPr>
      <w:spacing w:line="240" w:lineRule="auto"/>
      <w:jc w:val="left"/>
    </w:pPr>
    <w:rPr>
      <w:sz w:val="22"/>
    </w:rPr>
  </w:style>
  <w:style w:type="paragraph" w:customStyle="1" w:styleId="zSoquijdatRefNeutre">
    <w:name w:val="zSoquij_datRefNeutre"/>
    <w:basedOn w:val="zSoquijlblCour"/>
    <w:pPr>
      <w:spacing w:line="240" w:lineRule="auto"/>
      <w:jc w:val="left"/>
    </w:pPr>
    <w:rPr>
      <w:sz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B3A36"/>
    <w:rPr>
      <w:rFonts w:ascii="Arial" w:hAnsi="Arial"/>
      <w:lang w:eastAsia="fr-FR"/>
    </w:rPr>
  </w:style>
  <w:style w:type="character" w:customStyle="1" w:styleId="ParagrapheCar">
    <w:name w:val="Paragraphe Car"/>
    <w:link w:val="Paragraphe"/>
    <w:qFormat/>
    <w:rsid w:val="00E06061"/>
    <w:rPr>
      <w:rFonts w:ascii="Arial" w:hAnsi="Arial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F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F0A"/>
    <w:rPr>
      <w:rFonts w:ascii="Segoe UI" w:hAnsi="Segoe UI" w:cs="Segoe UI"/>
      <w:sz w:val="18"/>
      <w:szCs w:val="18"/>
      <w:lang w:eastAsia="fr-FR"/>
    </w:rPr>
  </w:style>
  <w:style w:type="character" w:styleId="Hyperlien">
    <w:name w:val="Hyperlink"/>
    <w:uiPriority w:val="99"/>
    <w:rsid w:val="00711DD5"/>
    <w:rPr>
      <w:noProof w:val="0"/>
      <w:color w:val="0000FF"/>
      <w:u w:val="single"/>
      <w:lang w:val="fr-CA"/>
    </w:rPr>
  </w:style>
  <w:style w:type="character" w:customStyle="1" w:styleId="TableaugauchefranaisCar">
    <w:name w:val="Tableau gauche français Car"/>
    <w:link w:val="Tableaugauchefranais"/>
    <w:rsid w:val="00711DD5"/>
    <w:rPr>
      <w:rFonts w:ascii="Arial" w:hAnsi="Arial"/>
      <w:sz w:val="22"/>
      <w:lang w:eastAsia="fr-FR"/>
    </w:rPr>
  </w:style>
  <w:style w:type="character" w:customStyle="1" w:styleId="TableaudroiteanglaisCar">
    <w:name w:val="Tableau droite anglais Car"/>
    <w:link w:val="Tableaudroiteanglais"/>
    <w:rsid w:val="00711DD5"/>
    <w:rPr>
      <w:rFonts w:ascii="Arial" w:hAnsi="Arial"/>
      <w:sz w:val="22"/>
      <w:lang w:val="en-CA" w:eastAsia="fr-FR"/>
    </w:rPr>
  </w:style>
  <w:style w:type="character" w:customStyle="1" w:styleId="CitationenretraitCar">
    <w:name w:val="Citation en retrait Car"/>
    <w:link w:val="Citationenretrait"/>
    <w:rsid w:val="00711DD5"/>
    <w:rPr>
      <w:rFonts w:ascii="Arial" w:hAnsi="Arial"/>
      <w:kern w:val="24"/>
      <w:sz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1D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1DD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1DD5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D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DD5"/>
    <w:rPr>
      <w:rFonts w:ascii="Arial" w:hAnsi="Arial"/>
      <w:b/>
      <w:bCs/>
      <w:lang w:eastAsia="fr-FR"/>
    </w:rPr>
  </w:style>
  <w:style w:type="table" w:styleId="Grilledutableau">
    <w:name w:val="Table Grid"/>
    <w:basedOn w:val="TableauNormal"/>
    <w:uiPriority w:val="39"/>
    <w:rsid w:val="002C1B95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009B2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887EEB"/>
    <w:rPr>
      <w:rFonts w:ascii="Arial" w:hAnsi="Arial"/>
      <w:sz w:val="24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zSoquijdatNomPartieMec">
    <w:name w:val="zSoquij_datNomPartieMec"/>
    <w:basedOn w:val="Normal"/>
    <w:qFormat/>
    <w:rsid w:val="002E7403"/>
    <w:pPr>
      <w:spacing w:line="240" w:lineRule="auto"/>
      <w:jc w:val="center"/>
    </w:pPr>
    <w:rPr>
      <w:b/>
      <w:bCs/>
    </w:rPr>
  </w:style>
  <w:style w:type="paragraph" w:customStyle="1" w:styleId="zSoquijdatNomProcureurMec">
    <w:name w:val="zSoquij_datNomProcureurMec"/>
    <w:basedOn w:val="Normal"/>
    <w:qFormat/>
    <w:rsid w:val="00F3537E"/>
    <w:pPr>
      <w:spacing w:line="240" w:lineRule="auto"/>
      <w:jc w:val="center"/>
    </w:pPr>
  </w:style>
  <w:style w:type="paragraph" w:customStyle="1" w:styleId="zSoquijdatCabinetProcureurMec">
    <w:name w:val="zSoquij_datCabinetProcureurMec"/>
    <w:basedOn w:val="Normal"/>
    <w:qFormat/>
    <w:rsid w:val="00F3537E"/>
    <w:pPr>
      <w:spacing w:line="240" w:lineRule="auto"/>
      <w:jc w:val="center"/>
    </w:pPr>
    <w:rPr>
      <w:lang w:val="es-ES"/>
    </w:rPr>
  </w:style>
  <w:style w:type="paragraph" w:customStyle="1" w:styleId="zSoquijdatJuge2">
    <w:name w:val="zSoquij_datJuge_2"/>
    <w:basedOn w:val="zSoquijdatJuge1"/>
    <w:qFormat/>
    <w:rsid w:val="008E13C7"/>
    <w:pPr>
      <w:ind w:left="-77"/>
    </w:pPr>
  </w:style>
  <w:style w:type="paragraph" w:customStyle="1" w:styleId="zSoquijdatJuge3">
    <w:name w:val="zSoquij_datJuge_3"/>
    <w:basedOn w:val="zSoquijdatJuge1"/>
    <w:qFormat/>
    <w:rsid w:val="008E13C7"/>
    <w:pPr>
      <w:ind w:left="-77"/>
    </w:pPr>
  </w:style>
  <w:style w:type="paragraph" w:customStyle="1" w:styleId="zSoquijlblTypePV">
    <w:name w:val="zSoquij_lblTypePV"/>
    <w:basedOn w:val="zSoquijlblTypeDocument"/>
    <w:qFormat/>
    <w:rsid w:val="00AF563B"/>
    <w:rPr>
      <w:rFonts w:eastAsiaTheme="minorHAnsi" w:cs="Arial"/>
      <w:szCs w:val="24"/>
    </w:rPr>
  </w:style>
  <w:style w:type="paragraph" w:customStyle="1" w:styleId="zSoquijdatQtePartieMec">
    <w:name w:val="zSoquij_datQtePartieMec"/>
    <w:basedOn w:val="zSoquijdatQtePartieDef"/>
    <w:qFormat/>
    <w:rsid w:val="00670ADD"/>
  </w:style>
  <w:style w:type="paragraph" w:customStyle="1" w:styleId="zSoquijlblProcureurMec">
    <w:name w:val="zSoquij_lblProcureurMec"/>
    <w:basedOn w:val="zSoquijlblProcureurDef"/>
    <w:qFormat/>
    <w:rsid w:val="00670ADD"/>
  </w:style>
  <w:style w:type="paragraph" w:customStyle="1" w:styleId="paragrahe">
    <w:name w:val="paragrahe"/>
    <w:basedOn w:val="Normal"/>
    <w:rsid w:val="006E187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r-CA"/>
    </w:rPr>
  </w:style>
  <w:style w:type="character" w:customStyle="1" w:styleId="normaltextrun">
    <w:name w:val="normaltextrun"/>
    <w:basedOn w:val="Policepardfaut"/>
    <w:rsid w:val="00B3786E"/>
  </w:style>
  <w:style w:type="character" w:customStyle="1" w:styleId="eop">
    <w:name w:val="eop"/>
    <w:basedOn w:val="Policepardfaut"/>
    <w:rsid w:val="00B3786E"/>
  </w:style>
  <w:style w:type="paragraph" w:styleId="Rvision">
    <w:name w:val="Revision"/>
    <w:hidden/>
    <w:uiPriority w:val="99"/>
    <w:semiHidden/>
    <w:rsid w:val="009A162F"/>
    <w:rPr>
      <w:rFonts w:ascii="Arial" w:hAnsi="Arial"/>
      <w:sz w:val="24"/>
      <w:lang w:eastAsia="fr-FR"/>
    </w:rPr>
  </w:style>
  <w:style w:type="paragraph" w:customStyle="1" w:styleId="zSoquijdatJuge">
    <w:name w:val="zSoquij_datJuge"/>
    <w:basedOn w:val="Normal"/>
    <w:rsid w:val="007F42F1"/>
    <w:pPr>
      <w:tabs>
        <w:tab w:val="left" w:pos="630"/>
      </w:tabs>
      <w:spacing w:line="240" w:lineRule="auto"/>
      <w:ind w:left="-103"/>
      <w:jc w:val="both"/>
    </w:pPr>
    <w:rPr>
      <w:rFonts w:eastAsiaTheme="minorHAnsi" w:cs="Arial"/>
      <w:szCs w:val="24"/>
      <w:lang w:val="en-CA"/>
    </w:rPr>
  </w:style>
  <w:style w:type="paragraph" w:customStyle="1" w:styleId="zSoquijdatJuge30">
    <w:name w:val="zSoquij_datJuge3"/>
    <w:basedOn w:val="zSoquijdatJuge"/>
    <w:qFormat/>
    <w:rsid w:val="007F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4D3007ACA479C872B154D2D468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F7156-01EF-4490-8152-8AE33B585175}"/>
      </w:docPartPr>
      <w:docPartBody>
        <w:p w:rsidR="003A0EA2" w:rsidRDefault="003A0EA2" w:rsidP="003A0EA2">
          <w:pPr>
            <w:pStyle w:val="A9B4D3007ACA479C872B154D2D46844F"/>
          </w:pPr>
          <w:r w:rsidRPr="003B65F2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85"/>
    <w:rsid w:val="003A0EA2"/>
    <w:rsid w:val="004361DD"/>
    <w:rsid w:val="00440250"/>
    <w:rsid w:val="0044060A"/>
    <w:rsid w:val="004D585A"/>
    <w:rsid w:val="005A166E"/>
    <w:rsid w:val="005A752A"/>
    <w:rsid w:val="0060721E"/>
    <w:rsid w:val="00735423"/>
    <w:rsid w:val="0090715A"/>
    <w:rsid w:val="00983DF5"/>
    <w:rsid w:val="009B5F85"/>
    <w:rsid w:val="00BA6528"/>
    <w:rsid w:val="00C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0EA2"/>
    <w:rPr>
      <w:color w:val="808080"/>
    </w:rPr>
  </w:style>
  <w:style w:type="paragraph" w:customStyle="1" w:styleId="A9B4D3007ACA479C872B154D2D46844F">
    <w:name w:val="A9B4D3007ACA479C872B154D2D46844F"/>
    <w:rsid w:val="003A0EA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eur_x0020_du_x0020_document xmlns="ddd9db8a-241d-4149-a0d3-7618663a926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6E5C38BEB7D47B481EFAA9500C527" ma:contentTypeVersion="3" ma:contentTypeDescription="Crée un document." ma:contentTypeScope="" ma:versionID="cfe173ba16a03b619cb81f0fc45f2e75">
  <xsd:schema xmlns:xsd="http://www.w3.org/2001/XMLSchema" xmlns:xs="http://www.w3.org/2001/XMLSchema" xmlns:p="http://schemas.microsoft.com/office/2006/metadata/properties" xmlns:ns1="http://schemas.microsoft.com/sharepoint/v3" xmlns:ns2="ddd9db8a-241d-4149-a0d3-7618663a9260" targetNamespace="http://schemas.microsoft.com/office/2006/metadata/properties" ma:root="true" ma:fieldsID="2db7a610f5d53e3816f1ccaec44c3812" ns1:_="" ns2:_="">
    <xsd:import namespace="http://schemas.microsoft.com/sharepoint/v3"/>
    <xsd:import namespace="ddd9db8a-241d-4149-a0d3-7618663a92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uteur_x0020_du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9db8a-241d-4149-a0d3-7618663a9260" elementFormDefault="qualified">
    <xsd:import namespace="http://schemas.microsoft.com/office/2006/documentManagement/types"/>
    <xsd:import namespace="http://schemas.microsoft.com/office/infopath/2007/PartnerControls"/>
    <xsd:element name="Auteur_x0020_du_x0020_document" ma:index="10" nillable="true" ma:displayName="Auteur du document" ma:description="Auteur principal" ma:internalName="Auteur_x0020_du_x0020_docu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9E368-B3E8-45DA-B27D-C302E8E1726C}">
  <ds:schemaRefs>
    <ds:schemaRef ds:uri="http://schemas.microsoft.com/office/2006/metadata/properties"/>
    <ds:schemaRef ds:uri="http://schemas.microsoft.com/office/infopath/2007/PartnerControls"/>
    <ds:schemaRef ds:uri="ddd9db8a-241d-4149-a0d3-7618663a92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E77EDD-E97B-4675-83A4-85D97A49A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d9db8a-241d-4149-a0d3-7618663a9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6727E-E5AB-4A2A-A73C-0C0AE52446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256C5-2120-47CD-9705-4C0C5831D5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f6dec78-7ded-4395-975c-6edbb7d10b16}" enabled="0" method="" siteId="{3f6dec78-7ded-4395-975c-6edbb7d10b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984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Gauthier, François</cp:lastModifiedBy>
  <cp:revision>8</cp:revision>
  <dcterms:created xsi:type="dcterms:W3CDTF">2024-10-08T17:27:00Z</dcterms:created>
  <dcterms:modified xsi:type="dcterms:W3CDTF">2025-06-11T14:26:00Z</dcterms:modified>
</cp:coreProperties>
</file>