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360" w:type="dxa"/>
        <w:tblLayout w:type="fixed"/>
        <w:tblCellMar>
          <w:left w:w="0" w:type="dxa"/>
          <w:right w:w="0" w:type="dxa"/>
        </w:tblCellMar>
        <w:tblLook w:val="0000" w:firstRow="0" w:lastRow="0" w:firstColumn="0" w:lastColumn="0" w:noHBand="0" w:noVBand="0"/>
      </w:tblPr>
      <w:tblGrid>
        <w:gridCol w:w="1030"/>
        <w:gridCol w:w="590"/>
        <w:gridCol w:w="81"/>
        <w:gridCol w:w="2269"/>
        <w:gridCol w:w="3402"/>
        <w:gridCol w:w="1988"/>
      </w:tblGrid>
      <w:tr w:rsidR="00CC0181" w14:paraId="47F04B17" w14:textId="77777777" w:rsidTr="008D18FC">
        <w:trPr>
          <w:trHeight w:val="248"/>
        </w:trPr>
        <w:tc>
          <w:tcPr>
            <w:tcW w:w="7372" w:type="dxa"/>
            <w:gridSpan w:val="5"/>
          </w:tcPr>
          <w:p w14:paraId="571118E0" w14:textId="47AB51B0" w:rsidR="001F7690" w:rsidRDefault="001F7690">
            <w:pPr>
              <w:pStyle w:val="zSoquijdatRepertorie"/>
              <w:rPr>
                <w:lang w:val="en-CA"/>
              </w:rPr>
            </w:pPr>
            <w:r w:rsidRPr="001F7690">
              <w:rPr>
                <w:lang w:val="en-CA"/>
              </w:rPr>
              <w:t>R. c. Fera</w:t>
            </w:r>
          </w:p>
          <w:p w14:paraId="2A3732A7" w14:textId="4FD26F9F" w:rsidR="00CC0181" w:rsidRPr="00766FC2" w:rsidRDefault="00CC0181">
            <w:pPr>
              <w:pStyle w:val="zSoquijdatRepertorie"/>
              <w:rPr>
                <w:b w:val="0"/>
                <w:bCs/>
                <w:sz w:val="24"/>
                <w:szCs w:val="24"/>
                <w:lang w:val="en-CA"/>
              </w:rPr>
            </w:pPr>
            <w:r w:rsidRPr="00766FC2">
              <w:rPr>
                <w:b w:val="0"/>
                <w:bCs/>
                <w:sz w:val="24"/>
                <w:szCs w:val="24"/>
                <w:lang w:val="en-CA"/>
              </w:rPr>
              <w:t>English translation of the judgment of the Court</w:t>
            </w:r>
          </w:p>
        </w:tc>
        <w:tc>
          <w:tcPr>
            <w:tcW w:w="1988" w:type="dxa"/>
          </w:tcPr>
          <w:p w14:paraId="229EFA2D" w14:textId="4856EE3F" w:rsidR="00CC0181" w:rsidRPr="00A864A1" w:rsidRDefault="001F7690">
            <w:pPr>
              <w:pStyle w:val="zSoquijdatRefNeutre"/>
              <w:rPr>
                <w:lang w:val="en-CA"/>
              </w:rPr>
            </w:pPr>
            <w:r w:rsidRPr="001F7690">
              <w:rPr>
                <w:lang w:val="en-CA"/>
              </w:rPr>
              <w:t>2024 QCCA 1377</w:t>
            </w:r>
          </w:p>
        </w:tc>
      </w:tr>
      <w:tr w:rsidR="00CC0181" w14:paraId="35A7B3F0" w14:textId="77777777" w:rsidTr="008D18FC">
        <w:trPr>
          <w:trHeight w:val="247"/>
        </w:trPr>
        <w:tc>
          <w:tcPr>
            <w:tcW w:w="9360" w:type="dxa"/>
            <w:gridSpan w:val="6"/>
          </w:tcPr>
          <w:p w14:paraId="687D9AC7" w14:textId="77777777" w:rsidR="00CC0181" w:rsidRDefault="00CC0181">
            <w:pPr>
              <w:pStyle w:val="zSoquijlblCour"/>
            </w:pPr>
            <w:r>
              <w:rPr>
                <w:bCs/>
                <w:lang w:val="en-CA"/>
              </w:rPr>
              <w:t>COURT OF APPEAL</w:t>
            </w:r>
          </w:p>
        </w:tc>
      </w:tr>
      <w:tr w:rsidR="00CC0181" w14:paraId="35972DC1" w14:textId="77777777" w:rsidTr="008D18FC">
        <w:trPr>
          <w:trHeight w:val="540"/>
        </w:trPr>
        <w:tc>
          <w:tcPr>
            <w:tcW w:w="9360" w:type="dxa"/>
            <w:gridSpan w:val="6"/>
          </w:tcPr>
          <w:p w14:paraId="7DAECA63" w14:textId="77777777" w:rsidR="00CC0181" w:rsidRDefault="00CC0181">
            <w:pPr>
              <w:pStyle w:val="zSoquijdatDivision"/>
            </w:pPr>
          </w:p>
        </w:tc>
      </w:tr>
      <w:tr w:rsidR="00CC0181" w14:paraId="6CE0E6D5" w14:textId="77777777" w:rsidTr="008D18FC">
        <w:tc>
          <w:tcPr>
            <w:tcW w:w="9360" w:type="dxa"/>
            <w:gridSpan w:val="6"/>
          </w:tcPr>
          <w:p w14:paraId="03C30D46" w14:textId="77777777" w:rsidR="00CC0181" w:rsidRDefault="00CC0181">
            <w:pPr>
              <w:pStyle w:val="zSoquijlblPays"/>
            </w:pPr>
            <w:r>
              <w:rPr>
                <w:lang w:val="en-CA"/>
              </w:rPr>
              <w:t>CANADA</w:t>
            </w:r>
          </w:p>
        </w:tc>
      </w:tr>
      <w:tr w:rsidR="00CC0181" w14:paraId="41ED8697" w14:textId="77777777" w:rsidTr="008D18FC">
        <w:tc>
          <w:tcPr>
            <w:tcW w:w="9360" w:type="dxa"/>
            <w:gridSpan w:val="6"/>
          </w:tcPr>
          <w:p w14:paraId="0B046042" w14:textId="77777777" w:rsidR="00CC0181" w:rsidRDefault="00CC0181">
            <w:pPr>
              <w:pStyle w:val="zSoquijlblProvince"/>
            </w:pPr>
            <w:r>
              <w:rPr>
                <w:lang w:val="en-CA"/>
              </w:rPr>
              <w:t>PROVINCE OF QUEBEC</w:t>
            </w:r>
          </w:p>
        </w:tc>
      </w:tr>
      <w:tr w:rsidR="00CC0181" w14:paraId="41AC70F0" w14:textId="77777777" w:rsidTr="008C16D1">
        <w:tc>
          <w:tcPr>
            <w:tcW w:w="1701" w:type="dxa"/>
            <w:gridSpan w:val="3"/>
          </w:tcPr>
          <w:p w14:paraId="505114B0" w14:textId="77777777" w:rsidR="00CC0181" w:rsidRDefault="00CC0181">
            <w:pPr>
              <w:pStyle w:val="zSoquijlblGreffe"/>
            </w:pPr>
            <w:r>
              <w:rPr>
                <w:lang w:val="en-CA"/>
              </w:rPr>
              <w:t>REGISTRY OF</w:t>
            </w:r>
          </w:p>
          <w:p w14:paraId="519388DD" w14:textId="77777777" w:rsidR="00CC0181" w:rsidRDefault="00CC0181">
            <w:pPr>
              <w:pStyle w:val="zSoquijlblGreffe"/>
            </w:pPr>
          </w:p>
        </w:tc>
        <w:tc>
          <w:tcPr>
            <w:tcW w:w="7659" w:type="dxa"/>
            <w:gridSpan w:val="3"/>
          </w:tcPr>
          <w:p w14:paraId="23F679D4" w14:textId="77777777" w:rsidR="00CC0181" w:rsidRDefault="00CC0181">
            <w:pPr>
              <w:pStyle w:val="zSoquijdatGreffe"/>
            </w:pPr>
            <w:r>
              <w:rPr>
                <w:lang w:val="en-CA"/>
              </w:rPr>
              <w:t>MONTREAL</w:t>
            </w:r>
          </w:p>
        </w:tc>
      </w:tr>
      <w:tr w:rsidR="00CC0181" w14:paraId="12A63864" w14:textId="77777777" w:rsidTr="008D18FC">
        <w:tc>
          <w:tcPr>
            <w:tcW w:w="1030" w:type="dxa"/>
          </w:tcPr>
          <w:p w14:paraId="0F758680" w14:textId="77777777" w:rsidR="00CC0181" w:rsidRDefault="00CC0181">
            <w:pPr>
              <w:pStyle w:val="zSoquijlblNoDossier"/>
            </w:pPr>
            <w:r>
              <w:rPr>
                <w:lang w:val="en-CA"/>
              </w:rPr>
              <w:t>No.:</w:t>
            </w:r>
          </w:p>
        </w:tc>
        <w:tc>
          <w:tcPr>
            <w:tcW w:w="8330" w:type="dxa"/>
            <w:gridSpan w:val="5"/>
          </w:tcPr>
          <w:p w14:paraId="2AB591C7" w14:textId="77777777" w:rsidR="00CC0181" w:rsidRDefault="00CC0181">
            <w:pPr>
              <w:pStyle w:val="zSoquijdatNoDossier"/>
            </w:pPr>
            <w:r>
              <w:rPr>
                <w:lang w:val="en-CA"/>
              </w:rPr>
              <w:t>500-10-007731-225</w:t>
            </w:r>
          </w:p>
        </w:tc>
      </w:tr>
      <w:tr w:rsidR="00CC0181" w14:paraId="3669E05A" w14:textId="77777777" w:rsidTr="008D18FC">
        <w:tc>
          <w:tcPr>
            <w:tcW w:w="9360" w:type="dxa"/>
            <w:gridSpan w:val="6"/>
          </w:tcPr>
          <w:p w14:paraId="0DCE178B" w14:textId="77777777" w:rsidR="00CC0181" w:rsidRDefault="00CC0181" w:rsidP="0015559D">
            <w:pPr>
              <w:pStyle w:val="zSoquijdatNoDossierAnt"/>
            </w:pPr>
            <w:r>
              <w:rPr>
                <w:lang w:val="en-CA"/>
              </w:rPr>
              <w:t>(700-01-183626-210) (540-01-091349-194)</w:t>
            </w:r>
          </w:p>
        </w:tc>
      </w:tr>
      <w:tr w:rsidR="00CC0181" w14:paraId="5CB01D34" w14:textId="77777777" w:rsidTr="008D18FC">
        <w:tc>
          <w:tcPr>
            <w:tcW w:w="9360" w:type="dxa"/>
            <w:gridSpan w:val="6"/>
          </w:tcPr>
          <w:p w14:paraId="16D0A0A8" w14:textId="77777777" w:rsidR="00CC0181" w:rsidRDefault="00CC0181"/>
        </w:tc>
      </w:tr>
      <w:tr w:rsidR="00CC0181" w14:paraId="1854CBCD" w14:textId="77777777" w:rsidTr="008D18FC">
        <w:tc>
          <w:tcPr>
            <w:tcW w:w="1030" w:type="dxa"/>
          </w:tcPr>
          <w:p w14:paraId="6B5D3B5D" w14:textId="77777777" w:rsidR="00CC0181" w:rsidRDefault="00CC0181">
            <w:pPr>
              <w:pStyle w:val="zSoquijlblDateJugement"/>
            </w:pPr>
            <w:r>
              <w:rPr>
                <w:lang w:val="en-CA"/>
              </w:rPr>
              <w:t>DATE:</w:t>
            </w:r>
          </w:p>
        </w:tc>
        <w:tc>
          <w:tcPr>
            <w:tcW w:w="8330" w:type="dxa"/>
            <w:gridSpan w:val="5"/>
          </w:tcPr>
          <w:p w14:paraId="72BB5911" w14:textId="77777777" w:rsidR="00CC0181" w:rsidRDefault="00CC0181">
            <w:pPr>
              <w:pStyle w:val="zSoquijdatDateJugement"/>
            </w:pPr>
            <w:r>
              <w:rPr>
                <w:lang w:val="en-CA"/>
              </w:rPr>
              <w:t>October 17, 2024</w:t>
            </w:r>
          </w:p>
        </w:tc>
      </w:tr>
      <w:tr w:rsidR="00CC0181" w14:paraId="1808DE65" w14:textId="77777777" w:rsidTr="008D18FC">
        <w:tc>
          <w:tcPr>
            <w:tcW w:w="9360" w:type="dxa"/>
            <w:gridSpan w:val="6"/>
            <w:tcBorders>
              <w:bottom w:val="single" w:sz="8" w:space="0" w:color="auto"/>
            </w:tcBorders>
          </w:tcPr>
          <w:p w14:paraId="081B3D3C" w14:textId="77777777" w:rsidR="00CC0181" w:rsidRDefault="00CC0181"/>
        </w:tc>
      </w:tr>
      <w:tr w:rsidR="00CC0181" w14:paraId="27485BD3" w14:textId="77777777" w:rsidTr="008D18FC">
        <w:tc>
          <w:tcPr>
            <w:tcW w:w="9360" w:type="dxa"/>
            <w:gridSpan w:val="6"/>
            <w:tcBorders>
              <w:top w:val="single" w:sz="8" w:space="0" w:color="auto"/>
            </w:tcBorders>
          </w:tcPr>
          <w:p w14:paraId="274899FE" w14:textId="77777777" w:rsidR="00CC0181" w:rsidRDefault="00CC0181"/>
        </w:tc>
      </w:tr>
      <w:tr w:rsidR="00CC0181" w14:paraId="1C127955" w14:textId="77777777" w:rsidTr="008D18FC">
        <w:tc>
          <w:tcPr>
            <w:tcW w:w="1620" w:type="dxa"/>
            <w:gridSpan w:val="2"/>
          </w:tcPr>
          <w:p w14:paraId="1DF76A1F" w14:textId="77777777" w:rsidR="00CC0181" w:rsidRDefault="00CC0181" w:rsidP="00423DF1">
            <w:pPr>
              <w:pStyle w:val="zSoquijlblJuge"/>
              <w:ind w:right="-142"/>
            </w:pPr>
            <w:r>
              <w:rPr>
                <w:bCs/>
                <w:lang w:val="en-CA"/>
              </w:rPr>
              <w:t>CORAM:</w:t>
            </w:r>
          </w:p>
        </w:tc>
        <w:tc>
          <w:tcPr>
            <w:tcW w:w="2350" w:type="dxa"/>
            <w:gridSpan w:val="2"/>
          </w:tcPr>
          <w:p w14:paraId="37AEF124" w14:textId="77777777" w:rsidR="00CC0181" w:rsidRDefault="00CC0181">
            <w:pPr>
              <w:pStyle w:val="zSoquijdatQteJuge"/>
            </w:pPr>
            <w:r>
              <w:rPr>
                <w:bCs/>
                <w:lang w:val="en-CA"/>
              </w:rPr>
              <w:t>THE HONOURABLE</w:t>
            </w:r>
          </w:p>
        </w:tc>
        <w:tc>
          <w:tcPr>
            <w:tcW w:w="5390" w:type="dxa"/>
            <w:gridSpan w:val="2"/>
          </w:tcPr>
          <w:p w14:paraId="4D65CFAA" w14:textId="77777777" w:rsidR="00CC0181" w:rsidRPr="0015559D" w:rsidRDefault="00CC0181">
            <w:pPr>
              <w:pStyle w:val="zSoquijdatJuge"/>
              <w:rPr>
                <w:lang w:val="en-CA"/>
              </w:rPr>
            </w:pPr>
            <w:r w:rsidRPr="0015559D">
              <w:rPr>
                <w:bCs/>
                <w:lang w:val="en-CA"/>
              </w:rPr>
              <w:t>GENEVIÈVE MARCOTTE, J.A.</w:t>
            </w:r>
          </w:p>
          <w:p w14:paraId="55DC8193" w14:textId="77777777" w:rsidR="00CC0181" w:rsidRPr="0015559D" w:rsidRDefault="00CC0181">
            <w:pPr>
              <w:pStyle w:val="zSoquijdatJuge"/>
              <w:rPr>
                <w:lang w:val="en-CA"/>
              </w:rPr>
            </w:pPr>
            <w:r w:rsidRPr="0015559D">
              <w:rPr>
                <w:bCs/>
                <w:lang w:val="en-CA"/>
              </w:rPr>
              <w:t>MARK SCHRAGER, J.A.</w:t>
            </w:r>
          </w:p>
          <w:p w14:paraId="0763D5EC" w14:textId="77777777" w:rsidR="00CC0181" w:rsidRDefault="00CC0181" w:rsidP="0015559D">
            <w:pPr>
              <w:pStyle w:val="zSoquijdatJuge"/>
              <w:rPr>
                <w:lang w:val="de-DE"/>
              </w:rPr>
            </w:pPr>
            <w:r>
              <w:rPr>
                <w:bCs/>
                <w:lang w:val="en-CA"/>
              </w:rPr>
              <w:t>GUY COURNOYER, J.A.</w:t>
            </w:r>
          </w:p>
        </w:tc>
      </w:tr>
      <w:tr w:rsidR="00CC0181" w14:paraId="2F0D62E3" w14:textId="77777777" w:rsidTr="008D18FC">
        <w:tc>
          <w:tcPr>
            <w:tcW w:w="9360" w:type="dxa"/>
            <w:gridSpan w:val="6"/>
            <w:tcBorders>
              <w:bottom w:val="single" w:sz="8" w:space="0" w:color="auto"/>
            </w:tcBorders>
          </w:tcPr>
          <w:p w14:paraId="0BC56702" w14:textId="77777777" w:rsidR="00CC0181" w:rsidRDefault="00CC0181">
            <w:pPr>
              <w:rPr>
                <w:lang w:val="de-DE"/>
              </w:rPr>
            </w:pPr>
          </w:p>
        </w:tc>
      </w:tr>
      <w:tr w:rsidR="00CC0181" w14:paraId="5EC732D6" w14:textId="77777777" w:rsidTr="008D18FC">
        <w:tc>
          <w:tcPr>
            <w:tcW w:w="9360" w:type="dxa"/>
            <w:gridSpan w:val="6"/>
          </w:tcPr>
          <w:p w14:paraId="2F9769EB" w14:textId="77777777" w:rsidR="00CC0181" w:rsidRDefault="00CC0181">
            <w:pPr>
              <w:pStyle w:val="zSoquijlblTitrePartie"/>
              <w:rPr>
                <w:lang w:val="de-DE"/>
              </w:rPr>
            </w:pPr>
          </w:p>
        </w:tc>
      </w:tr>
      <w:tr w:rsidR="00CC0181" w14:paraId="712D5E31" w14:textId="77777777" w:rsidTr="008D18FC">
        <w:tc>
          <w:tcPr>
            <w:tcW w:w="9360" w:type="dxa"/>
            <w:gridSpan w:val="6"/>
          </w:tcPr>
          <w:p w14:paraId="1AF62D1C" w14:textId="77777777" w:rsidR="00CC0181" w:rsidRDefault="00CC0181">
            <w:pPr>
              <w:pStyle w:val="zSoquijdatNomPartieDem"/>
              <w:rPr>
                <w:lang w:val="de-DE"/>
              </w:rPr>
            </w:pPr>
            <w:r>
              <w:rPr>
                <w:lang w:val="en-CA"/>
              </w:rPr>
              <w:t>HIS MAJESTY THE KING</w:t>
            </w:r>
          </w:p>
        </w:tc>
      </w:tr>
      <w:tr w:rsidR="00CC0181" w14:paraId="6F416F40" w14:textId="77777777" w:rsidTr="008D18FC">
        <w:tc>
          <w:tcPr>
            <w:tcW w:w="9360" w:type="dxa"/>
            <w:gridSpan w:val="6"/>
          </w:tcPr>
          <w:p w14:paraId="74836187" w14:textId="77777777" w:rsidR="00CC0181" w:rsidRDefault="00CC0181">
            <w:pPr>
              <w:pStyle w:val="zSoquijdatQtePartieDem"/>
              <w:rPr>
                <w:lang w:val="de-DE"/>
              </w:rPr>
            </w:pPr>
            <w:r>
              <w:rPr>
                <w:lang w:val="en-CA"/>
              </w:rPr>
              <w:t>APPELLANT – Prosecutor</w:t>
            </w:r>
          </w:p>
        </w:tc>
      </w:tr>
      <w:tr w:rsidR="00CC0181" w14:paraId="4704B668" w14:textId="77777777" w:rsidTr="008D18FC">
        <w:tc>
          <w:tcPr>
            <w:tcW w:w="9360" w:type="dxa"/>
            <w:gridSpan w:val="6"/>
          </w:tcPr>
          <w:p w14:paraId="3C55EA27" w14:textId="77777777" w:rsidR="00CC0181" w:rsidRDefault="00CC0181">
            <w:pPr>
              <w:pStyle w:val="zSoquijlblLienParties"/>
              <w:rPr>
                <w:lang w:val="en-CA"/>
              </w:rPr>
            </w:pPr>
            <w:r>
              <w:rPr>
                <w:lang w:val="en-CA"/>
              </w:rPr>
              <w:t>v.</w:t>
            </w:r>
          </w:p>
        </w:tc>
      </w:tr>
      <w:tr w:rsidR="00CC0181" w14:paraId="31B698F2" w14:textId="77777777" w:rsidTr="008D18FC">
        <w:tc>
          <w:tcPr>
            <w:tcW w:w="9360" w:type="dxa"/>
            <w:gridSpan w:val="6"/>
          </w:tcPr>
          <w:p w14:paraId="1AD67E43" w14:textId="77777777" w:rsidR="00CC0181" w:rsidRDefault="00CC0181">
            <w:pPr>
              <w:rPr>
                <w:lang w:val="en-CA"/>
              </w:rPr>
            </w:pPr>
          </w:p>
        </w:tc>
      </w:tr>
      <w:tr w:rsidR="00CC0181" w14:paraId="04F2FE24" w14:textId="77777777" w:rsidTr="008D18FC">
        <w:tc>
          <w:tcPr>
            <w:tcW w:w="9360" w:type="dxa"/>
            <w:gridSpan w:val="6"/>
          </w:tcPr>
          <w:p w14:paraId="45165621" w14:textId="77777777" w:rsidR="00CC0181" w:rsidRDefault="00CC0181">
            <w:pPr>
              <w:pStyle w:val="zSoquijdatNomPartieDef"/>
              <w:rPr>
                <w:lang w:val="en-CA"/>
              </w:rPr>
            </w:pPr>
            <w:r>
              <w:rPr>
                <w:lang w:val="en-CA"/>
              </w:rPr>
              <w:t>ERNESTO FERA</w:t>
            </w:r>
          </w:p>
        </w:tc>
      </w:tr>
      <w:tr w:rsidR="00CC0181" w14:paraId="6D2C4162" w14:textId="77777777" w:rsidTr="008D18FC">
        <w:tc>
          <w:tcPr>
            <w:tcW w:w="9360" w:type="dxa"/>
            <w:gridSpan w:val="6"/>
          </w:tcPr>
          <w:p w14:paraId="790C6FDC" w14:textId="77777777" w:rsidR="00CC0181" w:rsidRDefault="00CC0181">
            <w:pPr>
              <w:pStyle w:val="zSoquijdatQtePartieDef"/>
              <w:rPr>
                <w:lang w:val="en-CA"/>
              </w:rPr>
            </w:pPr>
            <w:r>
              <w:rPr>
                <w:lang w:val="en-CA"/>
              </w:rPr>
              <w:t>RESPONDENT – Accused</w:t>
            </w:r>
          </w:p>
        </w:tc>
      </w:tr>
      <w:tr w:rsidR="00CC0181" w14:paraId="6E334328" w14:textId="77777777" w:rsidTr="008D18FC">
        <w:tc>
          <w:tcPr>
            <w:tcW w:w="9360" w:type="dxa"/>
            <w:gridSpan w:val="6"/>
          </w:tcPr>
          <w:p w14:paraId="55D52D2F" w14:textId="77777777" w:rsidR="00CC0181" w:rsidRDefault="00CC0181">
            <w:pPr>
              <w:rPr>
                <w:lang w:val="en-CA"/>
              </w:rPr>
            </w:pPr>
          </w:p>
        </w:tc>
      </w:tr>
      <w:tr w:rsidR="00CC0181" w14:paraId="1B9CDFF3" w14:textId="77777777" w:rsidTr="008D18FC">
        <w:tc>
          <w:tcPr>
            <w:tcW w:w="9360" w:type="dxa"/>
            <w:gridSpan w:val="6"/>
            <w:tcBorders>
              <w:top w:val="single" w:sz="8" w:space="0" w:color="auto"/>
            </w:tcBorders>
          </w:tcPr>
          <w:p w14:paraId="3FA442A1" w14:textId="77777777" w:rsidR="00CC0181" w:rsidRDefault="00CC0181">
            <w:pPr>
              <w:rPr>
                <w:lang w:val="en-CA"/>
              </w:rPr>
            </w:pPr>
          </w:p>
        </w:tc>
      </w:tr>
      <w:tr w:rsidR="00CC0181" w14:paraId="284DE491" w14:textId="77777777" w:rsidTr="008D18FC">
        <w:tc>
          <w:tcPr>
            <w:tcW w:w="9360" w:type="dxa"/>
            <w:gridSpan w:val="6"/>
          </w:tcPr>
          <w:p w14:paraId="6C482F5D" w14:textId="77777777" w:rsidR="00CC0181" w:rsidRDefault="00CC0181">
            <w:pPr>
              <w:pStyle w:val="zSoquijlblTypeDocument"/>
            </w:pPr>
            <w:r>
              <w:rPr>
                <w:lang w:val="en-CA"/>
              </w:rPr>
              <w:t>JUDGMENT</w:t>
            </w:r>
          </w:p>
        </w:tc>
      </w:tr>
      <w:tr w:rsidR="00CC0181" w14:paraId="5B639EC7" w14:textId="77777777" w:rsidTr="008D18FC">
        <w:tc>
          <w:tcPr>
            <w:tcW w:w="9360" w:type="dxa"/>
            <w:gridSpan w:val="6"/>
            <w:tcBorders>
              <w:bottom w:val="single" w:sz="8" w:space="0" w:color="auto"/>
            </w:tcBorders>
          </w:tcPr>
          <w:p w14:paraId="4F466A2A" w14:textId="77777777" w:rsidR="00CC0181" w:rsidRDefault="00CC0181"/>
        </w:tc>
      </w:tr>
      <w:tr w:rsidR="00CC0181" w14:paraId="018F4AA5" w14:textId="77777777" w:rsidTr="008D18FC">
        <w:tc>
          <w:tcPr>
            <w:tcW w:w="9360" w:type="dxa"/>
            <w:gridSpan w:val="6"/>
            <w:tcBorders>
              <w:top w:val="single" w:sz="8" w:space="0" w:color="auto"/>
            </w:tcBorders>
          </w:tcPr>
          <w:p w14:paraId="17CF2A1D" w14:textId="77777777" w:rsidR="00CC0181" w:rsidRDefault="00CC0181"/>
        </w:tc>
      </w:tr>
    </w:tbl>
    <w:p w14:paraId="712F4094" w14:textId="77777777" w:rsidR="00CC0181" w:rsidRPr="00CC0181" w:rsidRDefault="00CC0181" w:rsidP="00CC0181">
      <w:pPr>
        <w:pStyle w:val="Paragraphe"/>
        <w:numPr>
          <w:ilvl w:val="0"/>
          <w:numId w:val="36"/>
        </w:numPr>
        <w:spacing w:line="280" w:lineRule="exact"/>
        <w:rPr>
          <w:lang w:val="en-CA"/>
        </w:rPr>
      </w:pPr>
      <w:r w:rsidRPr="00CC0181">
        <w:rPr>
          <w:lang w:val="en-CA"/>
        </w:rPr>
        <w:t xml:space="preserve">The prosecution appeals against an acquittal entered on December 15, 2023, by the Honourable Justice James L. Brunton of the Superior Court, Criminal Division, sitting without a jury. Mr. Fera had been charged with the first-degree murder of his wife. </w:t>
      </w:r>
    </w:p>
    <w:p w14:paraId="3CCD6727" w14:textId="77777777" w:rsidR="00CC0181" w:rsidRPr="00C46469" w:rsidRDefault="00CC0181" w:rsidP="00FC5E99">
      <w:pPr>
        <w:pStyle w:val="Paragraphe"/>
        <w:spacing w:line="280" w:lineRule="exact"/>
        <w:rPr>
          <w:lang w:val="en-CA"/>
        </w:rPr>
      </w:pPr>
      <w:r>
        <w:rPr>
          <w:lang w:val="en-CA"/>
        </w:rPr>
        <w:t xml:space="preserve">For the reasons of Cournoyer, J.A., with which Marcotte and Schrager, JJ.A. concur, </w:t>
      </w:r>
      <w:r>
        <w:rPr>
          <w:b/>
          <w:bCs/>
          <w:lang w:val="en-CA"/>
        </w:rPr>
        <w:t>THE COURT</w:t>
      </w:r>
      <w:r>
        <w:rPr>
          <w:lang w:val="en-CA"/>
        </w:rPr>
        <w:t>:</w:t>
      </w:r>
    </w:p>
    <w:p w14:paraId="2EFB0C13" w14:textId="77777777" w:rsidR="00CC0181" w:rsidRDefault="00CC0181" w:rsidP="00FC5E99">
      <w:pPr>
        <w:pStyle w:val="Paragraphe"/>
        <w:spacing w:line="280" w:lineRule="exact"/>
      </w:pPr>
      <w:r w:rsidRPr="00C9105D">
        <w:rPr>
          <w:b/>
          <w:bCs/>
          <w:lang w:val="en-CA"/>
        </w:rPr>
        <w:t>DISMISSES</w:t>
      </w:r>
      <w:r w:rsidRPr="00C9105D">
        <w:rPr>
          <w:lang w:val="en-CA"/>
        </w:rPr>
        <w:t xml:space="preserve"> the appeal;</w:t>
      </w:r>
    </w:p>
    <w:p w14:paraId="700B04A0" w14:textId="77777777" w:rsidR="00CC0181" w:rsidRDefault="00CC0181" w:rsidP="00FC5E99">
      <w:pPr>
        <w:rPr>
          <w:b/>
          <w:bCs/>
          <w:kern w:val="28"/>
        </w:rPr>
      </w:pPr>
      <w:r>
        <w:rPr>
          <w:b/>
          <w:bCs/>
          <w:lang w:val="en-CA"/>
        </w:rPr>
        <w:br w:type="page"/>
      </w:r>
    </w:p>
    <w:p w14:paraId="71BD5227" w14:textId="77777777" w:rsidR="00CC0181" w:rsidRDefault="00CC0181" w:rsidP="00FC5E99">
      <w:pPr>
        <w:pStyle w:val="Paragraphe"/>
        <w:spacing w:line="280" w:lineRule="exact"/>
      </w:pPr>
      <w:r w:rsidRPr="00C9105D">
        <w:rPr>
          <w:b/>
          <w:bCs/>
          <w:lang w:val="en-CA"/>
        </w:rPr>
        <w:lastRenderedPageBreak/>
        <w:t>CONFIRMS</w:t>
      </w:r>
      <w:r w:rsidRPr="00C9105D">
        <w:rPr>
          <w:lang w:val="en-CA"/>
        </w:rPr>
        <w:t xml:space="preserve"> the acquittal.</w:t>
      </w:r>
    </w:p>
    <w:tbl>
      <w:tblPr>
        <w:tblW w:w="0" w:type="auto"/>
        <w:tblBorders>
          <w:top w:val="single" w:sz="4" w:space="0" w:color="auto"/>
        </w:tblBorders>
        <w:tblLayout w:type="fixed"/>
        <w:tblCellMar>
          <w:left w:w="0" w:type="dxa"/>
          <w:right w:w="0" w:type="dxa"/>
        </w:tblCellMar>
        <w:tblLook w:val="0000" w:firstRow="0" w:lastRow="0" w:firstColumn="0" w:lastColumn="0" w:noHBand="0" w:noVBand="0"/>
      </w:tblPr>
      <w:tblGrid>
        <w:gridCol w:w="1997"/>
        <w:gridCol w:w="2685"/>
        <w:gridCol w:w="4680"/>
      </w:tblGrid>
      <w:tr w:rsidR="00CC0181" w14:paraId="7B4789E1" w14:textId="77777777" w:rsidTr="003E3239">
        <w:trPr>
          <w:trHeight w:val="576"/>
        </w:trPr>
        <w:tc>
          <w:tcPr>
            <w:tcW w:w="9362" w:type="dxa"/>
            <w:gridSpan w:val="3"/>
            <w:tcBorders>
              <w:top w:val="nil"/>
              <w:bottom w:val="nil"/>
            </w:tcBorders>
          </w:tcPr>
          <w:p w14:paraId="07058EE5" w14:textId="77777777" w:rsidR="00CC0181" w:rsidRDefault="00CC0181" w:rsidP="00FC5E99">
            <w:pPr>
              <w:keepNext/>
            </w:pPr>
          </w:p>
        </w:tc>
      </w:tr>
      <w:tr w:rsidR="00CC0181" w14:paraId="4B996B43" w14:textId="77777777" w:rsidTr="00117914">
        <w:trPr>
          <w:trHeight w:val="283"/>
        </w:trPr>
        <w:tc>
          <w:tcPr>
            <w:tcW w:w="4682" w:type="dxa"/>
            <w:gridSpan w:val="2"/>
            <w:tcBorders>
              <w:top w:val="nil"/>
              <w:bottom w:val="nil"/>
            </w:tcBorders>
          </w:tcPr>
          <w:p w14:paraId="028180C4" w14:textId="77777777" w:rsidR="00CC0181" w:rsidRDefault="00CC0181" w:rsidP="00FC5E99">
            <w:pPr>
              <w:keepNext/>
            </w:pPr>
          </w:p>
        </w:tc>
        <w:tc>
          <w:tcPr>
            <w:tcW w:w="4680" w:type="dxa"/>
            <w:tcBorders>
              <w:top w:val="nil"/>
              <w:bottom w:val="single" w:sz="8" w:space="0" w:color="auto"/>
            </w:tcBorders>
          </w:tcPr>
          <w:p w14:paraId="3D3594C7" w14:textId="77777777" w:rsidR="00CC0181" w:rsidRDefault="00CC0181" w:rsidP="00FC5E99">
            <w:pPr>
              <w:keepNext/>
            </w:pPr>
          </w:p>
        </w:tc>
      </w:tr>
      <w:tr w:rsidR="00CC0181" w14:paraId="1BDD9B85" w14:textId="77777777" w:rsidTr="00117914">
        <w:trPr>
          <w:trHeight w:val="283"/>
        </w:trPr>
        <w:tc>
          <w:tcPr>
            <w:tcW w:w="4682" w:type="dxa"/>
            <w:gridSpan w:val="2"/>
            <w:tcBorders>
              <w:top w:val="nil"/>
            </w:tcBorders>
          </w:tcPr>
          <w:p w14:paraId="57B4D96E" w14:textId="77777777" w:rsidR="00CC0181" w:rsidRDefault="00CC0181" w:rsidP="00FC5E99">
            <w:pPr>
              <w:keepNext/>
            </w:pPr>
          </w:p>
        </w:tc>
        <w:tc>
          <w:tcPr>
            <w:tcW w:w="4680" w:type="dxa"/>
            <w:tcBorders>
              <w:top w:val="single" w:sz="8" w:space="0" w:color="auto"/>
            </w:tcBorders>
          </w:tcPr>
          <w:p w14:paraId="500646F9" w14:textId="77777777" w:rsidR="00CC0181" w:rsidRPr="0015559D" w:rsidRDefault="00CC0181" w:rsidP="00FC5E99">
            <w:pPr>
              <w:rPr>
                <w:lang w:val="en-CA"/>
              </w:rPr>
            </w:pPr>
            <w:r w:rsidRPr="0015559D">
              <w:rPr>
                <w:bCs/>
                <w:lang w:val="en-CA"/>
              </w:rPr>
              <w:t>GENEVIÈVE MARCOTTE, J.A.</w:t>
            </w:r>
          </w:p>
        </w:tc>
      </w:tr>
      <w:tr w:rsidR="00CC0181" w14:paraId="24F20DCE" w14:textId="77777777" w:rsidTr="00117914">
        <w:trPr>
          <w:trHeight w:val="283"/>
        </w:trPr>
        <w:tc>
          <w:tcPr>
            <w:tcW w:w="4682" w:type="dxa"/>
            <w:gridSpan w:val="2"/>
            <w:tcBorders>
              <w:top w:val="nil"/>
            </w:tcBorders>
          </w:tcPr>
          <w:p w14:paraId="1FA407B9" w14:textId="77777777" w:rsidR="00CC0181" w:rsidRPr="0015559D" w:rsidRDefault="00CC0181" w:rsidP="00FC5E99">
            <w:pPr>
              <w:keepNext/>
              <w:rPr>
                <w:lang w:val="en-CA"/>
              </w:rPr>
            </w:pPr>
          </w:p>
        </w:tc>
        <w:tc>
          <w:tcPr>
            <w:tcW w:w="4680" w:type="dxa"/>
            <w:tcBorders>
              <w:top w:val="nil"/>
            </w:tcBorders>
          </w:tcPr>
          <w:p w14:paraId="72C905D7" w14:textId="77777777" w:rsidR="00CC0181" w:rsidRPr="0015559D" w:rsidRDefault="00CC0181" w:rsidP="00FC5E99">
            <w:pPr>
              <w:keepNext/>
              <w:rPr>
                <w:lang w:val="en-CA"/>
              </w:rPr>
            </w:pPr>
          </w:p>
        </w:tc>
      </w:tr>
      <w:tr w:rsidR="00CC0181" w14:paraId="3A73585A" w14:textId="77777777" w:rsidTr="00117914">
        <w:trPr>
          <w:trHeight w:val="283"/>
        </w:trPr>
        <w:tc>
          <w:tcPr>
            <w:tcW w:w="4682" w:type="dxa"/>
            <w:gridSpan w:val="2"/>
            <w:tcBorders>
              <w:top w:val="nil"/>
              <w:bottom w:val="nil"/>
            </w:tcBorders>
          </w:tcPr>
          <w:p w14:paraId="750865AF" w14:textId="77777777" w:rsidR="00CC0181" w:rsidRPr="0015559D" w:rsidRDefault="00CC0181" w:rsidP="00FC5E99">
            <w:pPr>
              <w:keepNext/>
              <w:rPr>
                <w:lang w:val="en-CA"/>
              </w:rPr>
            </w:pPr>
          </w:p>
        </w:tc>
        <w:tc>
          <w:tcPr>
            <w:tcW w:w="4680" w:type="dxa"/>
            <w:tcBorders>
              <w:top w:val="nil"/>
              <w:bottom w:val="single" w:sz="8" w:space="0" w:color="auto"/>
            </w:tcBorders>
          </w:tcPr>
          <w:p w14:paraId="5E31E036" w14:textId="77777777" w:rsidR="00CC0181" w:rsidRPr="0015559D" w:rsidRDefault="00CC0181" w:rsidP="00FC5E99">
            <w:pPr>
              <w:keepNext/>
              <w:rPr>
                <w:lang w:val="en-CA"/>
              </w:rPr>
            </w:pPr>
          </w:p>
        </w:tc>
      </w:tr>
      <w:tr w:rsidR="00CC0181" w14:paraId="60ED0D9D" w14:textId="77777777" w:rsidTr="00117914">
        <w:trPr>
          <w:trHeight w:val="283"/>
        </w:trPr>
        <w:tc>
          <w:tcPr>
            <w:tcW w:w="4682" w:type="dxa"/>
            <w:gridSpan w:val="2"/>
            <w:tcBorders>
              <w:top w:val="nil"/>
            </w:tcBorders>
          </w:tcPr>
          <w:p w14:paraId="76113B46" w14:textId="77777777" w:rsidR="00CC0181" w:rsidRPr="0015559D" w:rsidRDefault="00CC0181" w:rsidP="00FC5E99">
            <w:pPr>
              <w:keepNext/>
              <w:rPr>
                <w:lang w:val="en-CA"/>
              </w:rPr>
            </w:pPr>
          </w:p>
        </w:tc>
        <w:tc>
          <w:tcPr>
            <w:tcW w:w="4680" w:type="dxa"/>
            <w:tcBorders>
              <w:top w:val="single" w:sz="8" w:space="0" w:color="auto"/>
            </w:tcBorders>
          </w:tcPr>
          <w:p w14:paraId="0E1BF0AE" w14:textId="77777777" w:rsidR="00CC0181" w:rsidRPr="0015559D" w:rsidRDefault="00CC0181" w:rsidP="00FC5E99">
            <w:pPr>
              <w:keepNext/>
              <w:rPr>
                <w:lang w:val="en-CA"/>
              </w:rPr>
            </w:pPr>
            <w:r w:rsidRPr="0015559D">
              <w:rPr>
                <w:bCs/>
                <w:lang w:val="en-CA"/>
              </w:rPr>
              <w:t>MARK SCHRAGER, J.A.</w:t>
            </w:r>
          </w:p>
        </w:tc>
      </w:tr>
      <w:tr w:rsidR="00CC0181" w14:paraId="5FCF6B15" w14:textId="77777777" w:rsidTr="00117914">
        <w:trPr>
          <w:trHeight w:val="283"/>
        </w:trPr>
        <w:tc>
          <w:tcPr>
            <w:tcW w:w="4682" w:type="dxa"/>
            <w:gridSpan w:val="2"/>
            <w:tcBorders>
              <w:top w:val="nil"/>
            </w:tcBorders>
          </w:tcPr>
          <w:p w14:paraId="0130280A" w14:textId="77777777" w:rsidR="00CC0181" w:rsidRPr="0015559D" w:rsidRDefault="00CC0181" w:rsidP="00FC5E99">
            <w:pPr>
              <w:keepNext/>
              <w:rPr>
                <w:lang w:val="en-CA"/>
              </w:rPr>
            </w:pPr>
          </w:p>
        </w:tc>
        <w:tc>
          <w:tcPr>
            <w:tcW w:w="4680" w:type="dxa"/>
            <w:tcBorders>
              <w:top w:val="nil"/>
            </w:tcBorders>
          </w:tcPr>
          <w:p w14:paraId="2F7CBF9B" w14:textId="77777777" w:rsidR="00CC0181" w:rsidRPr="0015559D" w:rsidRDefault="00CC0181" w:rsidP="00FC5E99">
            <w:pPr>
              <w:keepNext/>
              <w:rPr>
                <w:lang w:val="en-CA"/>
              </w:rPr>
            </w:pPr>
          </w:p>
        </w:tc>
      </w:tr>
      <w:tr w:rsidR="00CC0181" w14:paraId="52DDBCD9" w14:textId="77777777" w:rsidTr="00117914">
        <w:trPr>
          <w:trHeight w:val="283"/>
        </w:trPr>
        <w:tc>
          <w:tcPr>
            <w:tcW w:w="4682" w:type="dxa"/>
            <w:gridSpan w:val="2"/>
            <w:tcBorders>
              <w:top w:val="nil"/>
              <w:bottom w:val="nil"/>
            </w:tcBorders>
          </w:tcPr>
          <w:p w14:paraId="334BFECD" w14:textId="77777777" w:rsidR="00CC0181" w:rsidRPr="0015559D" w:rsidRDefault="00CC0181" w:rsidP="00FC5E99">
            <w:pPr>
              <w:keepNext/>
              <w:rPr>
                <w:lang w:val="en-CA"/>
              </w:rPr>
            </w:pPr>
          </w:p>
        </w:tc>
        <w:tc>
          <w:tcPr>
            <w:tcW w:w="4680" w:type="dxa"/>
            <w:tcBorders>
              <w:top w:val="nil"/>
              <w:bottom w:val="single" w:sz="8" w:space="0" w:color="auto"/>
            </w:tcBorders>
          </w:tcPr>
          <w:p w14:paraId="057ACB81" w14:textId="77777777" w:rsidR="00CC0181" w:rsidRPr="0015559D" w:rsidRDefault="00CC0181" w:rsidP="00FC5E99">
            <w:pPr>
              <w:keepNext/>
              <w:rPr>
                <w:lang w:val="en-CA"/>
              </w:rPr>
            </w:pPr>
          </w:p>
        </w:tc>
      </w:tr>
      <w:tr w:rsidR="00CC0181" w14:paraId="4B373BE9" w14:textId="77777777" w:rsidTr="00117914">
        <w:trPr>
          <w:trHeight w:val="283"/>
        </w:trPr>
        <w:tc>
          <w:tcPr>
            <w:tcW w:w="4682" w:type="dxa"/>
            <w:gridSpan w:val="2"/>
            <w:tcBorders>
              <w:top w:val="nil"/>
            </w:tcBorders>
          </w:tcPr>
          <w:p w14:paraId="1FA2B863" w14:textId="77777777" w:rsidR="00CC0181" w:rsidRPr="0015559D" w:rsidRDefault="00CC0181" w:rsidP="00FC5E99">
            <w:pPr>
              <w:keepNext/>
              <w:rPr>
                <w:lang w:val="en-CA"/>
              </w:rPr>
            </w:pPr>
          </w:p>
        </w:tc>
        <w:tc>
          <w:tcPr>
            <w:tcW w:w="4680" w:type="dxa"/>
            <w:tcBorders>
              <w:top w:val="single" w:sz="8" w:space="0" w:color="auto"/>
            </w:tcBorders>
          </w:tcPr>
          <w:p w14:paraId="4088627D" w14:textId="77777777" w:rsidR="00CC0181" w:rsidRDefault="00CC0181" w:rsidP="00FC5E99">
            <w:pPr>
              <w:keepNext/>
            </w:pPr>
            <w:r>
              <w:rPr>
                <w:bCs/>
                <w:lang w:val="en-CA"/>
              </w:rPr>
              <w:t>GUY COURNOYER, J.A.</w:t>
            </w:r>
          </w:p>
        </w:tc>
      </w:tr>
      <w:tr w:rsidR="00CC0181" w14:paraId="6F46CDA5" w14:textId="77777777" w:rsidTr="0015559D">
        <w:tc>
          <w:tcPr>
            <w:tcW w:w="9362" w:type="dxa"/>
            <w:gridSpan w:val="3"/>
            <w:tcBorders>
              <w:bottom w:val="nil"/>
            </w:tcBorders>
          </w:tcPr>
          <w:p w14:paraId="21024611" w14:textId="77777777" w:rsidR="00CC0181" w:rsidRPr="0015559D" w:rsidRDefault="00CC0181" w:rsidP="00FC5E99"/>
        </w:tc>
      </w:tr>
      <w:tr w:rsidR="00CC0181" w14:paraId="2492CF63" w14:textId="77777777" w:rsidTr="0015559D">
        <w:tc>
          <w:tcPr>
            <w:tcW w:w="9362" w:type="dxa"/>
            <w:gridSpan w:val="3"/>
            <w:tcBorders>
              <w:top w:val="nil"/>
            </w:tcBorders>
          </w:tcPr>
          <w:p w14:paraId="0A4C1A1F" w14:textId="77777777" w:rsidR="00CC0181" w:rsidRDefault="00CC0181" w:rsidP="00FC5E99">
            <w:pPr>
              <w:pStyle w:val="zSoquijdatNomProcureurDem"/>
              <w:rPr>
                <w:lang w:val="en-CA"/>
              </w:rPr>
            </w:pPr>
            <w:r>
              <w:rPr>
                <w:lang w:val="en-CA"/>
              </w:rPr>
              <w:t>Mtre Alexandre Dubois</w:t>
            </w:r>
          </w:p>
        </w:tc>
      </w:tr>
      <w:tr w:rsidR="00CC0181" w14:paraId="15D3E97E" w14:textId="77777777" w:rsidTr="0015559D">
        <w:tc>
          <w:tcPr>
            <w:tcW w:w="9362" w:type="dxa"/>
            <w:gridSpan w:val="3"/>
            <w:tcBorders>
              <w:top w:val="nil"/>
            </w:tcBorders>
          </w:tcPr>
          <w:p w14:paraId="2F2ABE51" w14:textId="77777777" w:rsidR="00CC0181" w:rsidRDefault="00CC0181" w:rsidP="00FC5E99">
            <w:pPr>
              <w:pStyle w:val="zSoquijdatNomProcureurDem"/>
            </w:pPr>
            <w:r>
              <w:rPr>
                <w:lang w:val="en-CA"/>
              </w:rPr>
              <w:t>Mtre Steve Baribeau</w:t>
            </w:r>
          </w:p>
        </w:tc>
      </w:tr>
      <w:tr w:rsidR="00CC0181" w14:paraId="14D206E1" w14:textId="77777777" w:rsidTr="00423DF1">
        <w:tc>
          <w:tcPr>
            <w:tcW w:w="9362" w:type="dxa"/>
            <w:gridSpan w:val="3"/>
          </w:tcPr>
          <w:p w14:paraId="7DB145DC" w14:textId="77777777" w:rsidR="00CC0181" w:rsidRPr="00C46469" w:rsidRDefault="00CC0181" w:rsidP="00FC5E99">
            <w:pPr>
              <w:pStyle w:val="zSoquijdatCabinetProcureurDem"/>
              <w:rPr>
                <w:lang w:val="en-CA"/>
              </w:rPr>
            </w:pPr>
            <w:r>
              <w:rPr>
                <w:lang w:val="en-CA"/>
              </w:rPr>
              <w:t>DIRECTOR OF CRIMINAL AND PENAL PROSECUTIONS</w:t>
            </w:r>
          </w:p>
        </w:tc>
      </w:tr>
      <w:tr w:rsidR="00CC0181" w14:paraId="421CCE26" w14:textId="77777777" w:rsidTr="00423DF1">
        <w:tc>
          <w:tcPr>
            <w:tcW w:w="9362" w:type="dxa"/>
            <w:gridSpan w:val="3"/>
          </w:tcPr>
          <w:p w14:paraId="585EA640" w14:textId="77777777" w:rsidR="00CC0181" w:rsidRDefault="00CC0181" w:rsidP="00FC5E99">
            <w:pPr>
              <w:pStyle w:val="zSoquijlblProcureurDem"/>
              <w:rPr>
                <w:lang w:val="en-CA"/>
              </w:rPr>
            </w:pPr>
            <w:r>
              <w:rPr>
                <w:lang w:val="en-CA"/>
              </w:rPr>
              <w:t>For the appellant</w:t>
            </w:r>
          </w:p>
        </w:tc>
      </w:tr>
      <w:tr w:rsidR="00CC0181" w14:paraId="11ECB4F5" w14:textId="77777777" w:rsidTr="00423DF1">
        <w:tc>
          <w:tcPr>
            <w:tcW w:w="9362" w:type="dxa"/>
            <w:gridSpan w:val="3"/>
          </w:tcPr>
          <w:p w14:paraId="661D6D08" w14:textId="77777777" w:rsidR="00CC0181" w:rsidRDefault="00CC0181" w:rsidP="00FC5E99">
            <w:pPr>
              <w:rPr>
                <w:lang w:val="en-CA"/>
              </w:rPr>
            </w:pPr>
          </w:p>
        </w:tc>
      </w:tr>
      <w:tr w:rsidR="00CC0181" w14:paraId="7557AAA4" w14:textId="77777777" w:rsidTr="00423DF1">
        <w:tc>
          <w:tcPr>
            <w:tcW w:w="9362" w:type="dxa"/>
            <w:gridSpan w:val="3"/>
          </w:tcPr>
          <w:p w14:paraId="40E6E7CE" w14:textId="77777777" w:rsidR="00CC0181" w:rsidRDefault="00CC0181" w:rsidP="00FC5E99">
            <w:pPr>
              <w:pStyle w:val="zSoquijdatNomProcureurDef"/>
              <w:rPr>
                <w:lang w:val="en-CA"/>
              </w:rPr>
            </w:pPr>
            <w:r>
              <w:rPr>
                <w:lang w:val="en-CA"/>
              </w:rPr>
              <w:t>Mtre Mylène Lareau</w:t>
            </w:r>
          </w:p>
        </w:tc>
      </w:tr>
      <w:tr w:rsidR="00CC0181" w14:paraId="3A22409D" w14:textId="77777777" w:rsidTr="00423DF1">
        <w:tc>
          <w:tcPr>
            <w:tcW w:w="9362" w:type="dxa"/>
            <w:gridSpan w:val="3"/>
          </w:tcPr>
          <w:p w14:paraId="3F3A497E" w14:textId="77777777" w:rsidR="00CC0181" w:rsidRDefault="00CC0181" w:rsidP="00FC5E99">
            <w:pPr>
              <w:pStyle w:val="zSoquijdatCabinetProcureurDef"/>
            </w:pPr>
            <w:r>
              <w:rPr>
                <w:lang w:val="en-CA"/>
              </w:rPr>
              <w:t>MYLÈNE LAREAU, AVOCATE</w:t>
            </w:r>
          </w:p>
        </w:tc>
      </w:tr>
      <w:tr w:rsidR="00CC0181" w14:paraId="0A903126" w14:textId="77777777" w:rsidTr="00423DF1">
        <w:tc>
          <w:tcPr>
            <w:tcW w:w="9362" w:type="dxa"/>
            <w:gridSpan w:val="3"/>
          </w:tcPr>
          <w:p w14:paraId="4F1598B5" w14:textId="77777777" w:rsidR="00CC0181" w:rsidRDefault="00CC0181" w:rsidP="00FC5E99">
            <w:pPr>
              <w:pStyle w:val="zSoquijdatNomProcureurDef"/>
            </w:pPr>
            <w:r>
              <w:rPr>
                <w:lang w:val="en-CA"/>
              </w:rPr>
              <w:t>Mtre Isabelle Lamarche</w:t>
            </w:r>
          </w:p>
        </w:tc>
      </w:tr>
      <w:tr w:rsidR="00CC0181" w14:paraId="786A39DF" w14:textId="77777777" w:rsidTr="00423DF1">
        <w:tc>
          <w:tcPr>
            <w:tcW w:w="9362" w:type="dxa"/>
            <w:gridSpan w:val="3"/>
          </w:tcPr>
          <w:p w14:paraId="58BA26AA" w14:textId="77777777" w:rsidR="00CC0181" w:rsidRDefault="00CC0181" w:rsidP="00FC5E99">
            <w:pPr>
              <w:pStyle w:val="zSoquijdatCabinetProcureurDef"/>
            </w:pPr>
            <w:r>
              <w:rPr>
                <w:lang w:val="en-CA"/>
              </w:rPr>
              <w:t>L’ÉCUYER, ROULEAU, LAMARCHE &amp; ASSOCIÉS</w:t>
            </w:r>
          </w:p>
        </w:tc>
      </w:tr>
      <w:tr w:rsidR="00CC0181" w14:paraId="5B3BE7BA" w14:textId="77777777" w:rsidTr="00423DF1">
        <w:tc>
          <w:tcPr>
            <w:tcW w:w="9362" w:type="dxa"/>
            <w:gridSpan w:val="3"/>
          </w:tcPr>
          <w:p w14:paraId="1E3B125B" w14:textId="77777777" w:rsidR="00CC0181" w:rsidRDefault="00CC0181" w:rsidP="00FC5E99">
            <w:pPr>
              <w:pStyle w:val="zSoquijdatNomProcureurDef"/>
            </w:pPr>
            <w:r>
              <w:rPr>
                <w:lang w:val="en-CA"/>
              </w:rPr>
              <w:t>Mtre Joseph La Leggia</w:t>
            </w:r>
          </w:p>
        </w:tc>
      </w:tr>
      <w:tr w:rsidR="00CC0181" w14:paraId="3A3BB2F2" w14:textId="77777777" w:rsidTr="00423DF1">
        <w:tc>
          <w:tcPr>
            <w:tcW w:w="9362" w:type="dxa"/>
            <w:gridSpan w:val="3"/>
          </w:tcPr>
          <w:p w14:paraId="2435AD07" w14:textId="77777777" w:rsidR="00CC0181" w:rsidRDefault="00CC0181" w:rsidP="00FC5E99">
            <w:pPr>
              <w:pStyle w:val="zSoquijlblProcureurDef"/>
              <w:rPr>
                <w:lang w:val="en-CA"/>
              </w:rPr>
            </w:pPr>
            <w:r>
              <w:rPr>
                <w:lang w:val="en-CA"/>
              </w:rPr>
              <w:t>For the respondent</w:t>
            </w:r>
          </w:p>
        </w:tc>
      </w:tr>
      <w:tr w:rsidR="00CC0181" w14:paraId="5D7E80F8" w14:textId="77777777" w:rsidTr="00423DF1">
        <w:tc>
          <w:tcPr>
            <w:tcW w:w="9362" w:type="dxa"/>
            <w:gridSpan w:val="3"/>
          </w:tcPr>
          <w:p w14:paraId="1F4CB9BE" w14:textId="77777777" w:rsidR="00CC0181" w:rsidRDefault="00CC0181" w:rsidP="00FC5E99">
            <w:pPr>
              <w:rPr>
                <w:lang w:val="en-CA"/>
              </w:rPr>
            </w:pPr>
          </w:p>
        </w:tc>
      </w:tr>
      <w:tr w:rsidR="00CC0181" w14:paraId="2B84B843" w14:textId="77777777" w:rsidTr="00423DF1">
        <w:tc>
          <w:tcPr>
            <w:tcW w:w="1997" w:type="dxa"/>
          </w:tcPr>
          <w:p w14:paraId="592686DB" w14:textId="77777777" w:rsidR="00CC0181" w:rsidRDefault="00CC0181" w:rsidP="00FC5E99">
            <w:pPr>
              <w:pStyle w:val="zSoquijlblDateAudience"/>
            </w:pPr>
            <w:r>
              <w:rPr>
                <w:lang w:val="en-CA"/>
              </w:rPr>
              <w:t>Date of hearing:</w:t>
            </w:r>
          </w:p>
        </w:tc>
        <w:tc>
          <w:tcPr>
            <w:tcW w:w="7365" w:type="dxa"/>
            <w:gridSpan w:val="2"/>
          </w:tcPr>
          <w:p w14:paraId="36105474" w14:textId="77777777" w:rsidR="00CC0181" w:rsidRDefault="00CC0181" w:rsidP="00FC5E99">
            <w:pPr>
              <w:pStyle w:val="zSoquijdatDateAudience"/>
            </w:pPr>
            <w:r>
              <w:rPr>
                <w:lang w:val="en-CA"/>
              </w:rPr>
              <w:t>February 20, 2024</w:t>
            </w:r>
          </w:p>
        </w:tc>
      </w:tr>
    </w:tbl>
    <w:p w14:paraId="1D9DBF2E" w14:textId="77777777" w:rsidR="00CC0181" w:rsidRPr="00894E75" w:rsidRDefault="00CC0181" w:rsidP="00FC5E99">
      <w:pPr>
        <w:rPr>
          <w:lang w:val="en-CA"/>
        </w:rPr>
        <w:sectPr w:rsidR="00CC0181" w:rsidRPr="00894E75" w:rsidSect="00E71BB6">
          <w:headerReference w:type="default" r:id="rId8"/>
          <w:pgSz w:w="12242" w:h="15842" w:code="1"/>
          <w:pgMar w:top="1440" w:right="1008" w:bottom="1440" w:left="1872" w:header="1440" w:footer="792" w:gutter="0"/>
          <w:cols w:space="720"/>
          <w:formProt w:val="0"/>
          <w:titlePg/>
          <w:docGrid w:linePitch="326"/>
        </w:sectPr>
      </w:pPr>
    </w:p>
    <w:tbl>
      <w:tblPr>
        <w:tblW w:w="0" w:type="auto"/>
        <w:tblLayout w:type="fixed"/>
        <w:tblCellMar>
          <w:left w:w="0" w:type="dxa"/>
          <w:right w:w="0" w:type="dxa"/>
        </w:tblCellMar>
        <w:tblLook w:val="0000" w:firstRow="0" w:lastRow="0" w:firstColumn="0" w:lastColumn="0" w:noHBand="0" w:noVBand="0"/>
      </w:tblPr>
      <w:tblGrid>
        <w:gridCol w:w="9360"/>
      </w:tblGrid>
      <w:tr w:rsidR="00CC0181" w14:paraId="11EDCE9F" w14:textId="77777777" w:rsidTr="009D2FF3">
        <w:tc>
          <w:tcPr>
            <w:tcW w:w="9360" w:type="dxa"/>
            <w:tcBorders>
              <w:bottom w:val="single" w:sz="8" w:space="0" w:color="auto"/>
            </w:tcBorders>
          </w:tcPr>
          <w:p w14:paraId="47BBFD36" w14:textId="77777777" w:rsidR="00CC0181" w:rsidRPr="00894E75" w:rsidRDefault="00CC0181" w:rsidP="00FC5E99">
            <w:pPr>
              <w:rPr>
                <w:lang w:val="en-CA"/>
              </w:rPr>
            </w:pPr>
          </w:p>
        </w:tc>
      </w:tr>
      <w:tr w:rsidR="00CC0181" w14:paraId="3AB31903" w14:textId="77777777" w:rsidTr="009D2FF3">
        <w:tc>
          <w:tcPr>
            <w:tcW w:w="9360" w:type="dxa"/>
            <w:tcBorders>
              <w:top w:val="single" w:sz="8" w:space="0" w:color="auto"/>
            </w:tcBorders>
          </w:tcPr>
          <w:p w14:paraId="6B1C609B" w14:textId="77777777" w:rsidR="00CC0181" w:rsidRPr="00894E75" w:rsidRDefault="00CC0181" w:rsidP="00FC5E99">
            <w:pPr>
              <w:rPr>
                <w:lang w:val="en-CA"/>
              </w:rPr>
            </w:pPr>
          </w:p>
        </w:tc>
      </w:tr>
      <w:tr w:rsidR="00CC0181" w14:paraId="6046AEC9" w14:textId="77777777" w:rsidTr="009D2FF3">
        <w:tc>
          <w:tcPr>
            <w:tcW w:w="9360" w:type="dxa"/>
          </w:tcPr>
          <w:p w14:paraId="03D367ED" w14:textId="77777777" w:rsidR="00CC0181" w:rsidRPr="005E50AA" w:rsidRDefault="00CC0181" w:rsidP="00FC5E99">
            <w:pPr>
              <w:pStyle w:val="zSoquijlblOpinionJuge"/>
            </w:pPr>
            <w:r w:rsidRPr="005E50AA">
              <w:t>MOTIFS DU JUGE COURNOYER, J.A.</w:t>
            </w:r>
          </w:p>
        </w:tc>
      </w:tr>
      <w:tr w:rsidR="00CC0181" w14:paraId="74D32578" w14:textId="77777777" w:rsidTr="009D2FF3">
        <w:tc>
          <w:tcPr>
            <w:tcW w:w="9360" w:type="dxa"/>
            <w:tcBorders>
              <w:bottom w:val="single" w:sz="8" w:space="0" w:color="auto"/>
            </w:tcBorders>
          </w:tcPr>
          <w:p w14:paraId="12AC3DFF" w14:textId="77777777" w:rsidR="00CC0181" w:rsidRPr="005E50AA" w:rsidRDefault="00CC0181" w:rsidP="00FC5E99"/>
        </w:tc>
      </w:tr>
      <w:tr w:rsidR="00CC0181" w14:paraId="41B14EEE" w14:textId="77777777" w:rsidTr="009D2FF3">
        <w:tc>
          <w:tcPr>
            <w:tcW w:w="9360" w:type="dxa"/>
            <w:tcBorders>
              <w:top w:val="single" w:sz="8" w:space="0" w:color="auto"/>
            </w:tcBorders>
          </w:tcPr>
          <w:p w14:paraId="63515185" w14:textId="77777777" w:rsidR="00CC0181" w:rsidRPr="005E50AA" w:rsidRDefault="00CC0181" w:rsidP="00FC5E99"/>
        </w:tc>
      </w:tr>
    </w:tbl>
    <w:p w14:paraId="4A2DE4B7" w14:textId="77777777" w:rsidR="00CC0181" w:rsidRPr="00894E75" w:rsidRDefault="00CC0181" w:rsidP="00FC5E99">
      <w:pPr>
        <w:pStyle w:val="Paragraphe"/>
        <w:numPr>
          <w:ilvl w:val="0"/>
          <w:numId w:val="0"/>
        </w:numPr>
        <w:spacing w:line="280" w:lineRule="exact"/>
        <w:rPr>
          <w:b/>
          <w:bCs/>
          <w:lang w:val="en-CA"/>
        </w:rPr>
      </w:pPr>
      <w:r>
        <w:rPr>
          <w:b/>
          <w:bCs/>
          <w:lang w:val="en-CA"/>
        </w:rPr>
        <w:t>Overview</w:t>
      </w:r>
    </w:p>
    <w:p w14:paraId="5DAC1BAB" w14:textId="77777777" w:rsidR="00CC0181" w:rsidRPr="00894E75" w:rsidRDefault="00CC0181" w:rsidP="00FC5E99">
      <w:pPr>
        <w:pStyle w:val="Paragraphe"/>
        <w:spacing w:line="280" w:lineRule="exact"/>
        <w:rPr>
          <w:lang w:val="en-CA"/>
        </w:rPr>
      </w:pPr>
      <w:r>
        <w:rPr>
          <w:lang w:val="en-CA"/>
        </w:rPr>
        <w:t>C</w:t>
      </w:r>
      <w:r w:rsidRPr="00894E75">
        <w:rPr>
          <w:lang w:val="en-CA"/>
        </w:rPr>
        <w:t>harged with the first-degree murder of his wife</w:t>
      </w:r>
      <w:r>
        <w:rPr>
          <w:lang w:val="en-CA"/>
        </w:rPr>
        <w:t xml:space="preserve"> more than</w:t>
      </w:r>
      <w:r w:rsidRPr="00894E75">
        <w:rPr>
          <w:lang w:val="en-CA"/>
        </w:rPr>
        <w:t xml:space="preserve"> 15 </w:t>
      </w:r>
      <w:r>
        <w:rPr>
          <w:lang w:val="en-CA"/>
        </w:rPr>
        <w:t>years after her death</w:t>
      </w:r>
      <w:r w:rsidRPr="00894E75">
        <w:rPr>
          <w:lang w:val="en-CA"/>
        </w:rPr>
        <w:t>, M</w:t>
      </w:r>
      <w:r>
        <w:rPr>
          <w:lang w:val="en-CA"/>
        </w:rPr>
        <w:t>r</w:t>
      </w:r>
      <w:r w:rsidRPr="00894E75">
        <w:rPr>
          <w:lang w:val="en-CA"/>
        </w:rPr>
        <w:t xml:space="preserve">. Fera </w:t>
      </w:r>
      <w:r>
        <w:rPr>
          <w:lang w:val="en-CA"/>
        </w:rPr>
        <w:t>was acquitted of that charge by a judge of the Superior Court sitting without a jury.</w:t>
      </w:r>
      <w:r>
        <w:rPr>
          <w:rStyle w:val="Appelnotedebasdep"/>
          <w:lang w:val="en-CA"/>
        </w:rPr>
        <w:footnoteReference w:id="1"/>
      </w:r>
    </w:p>
    <w:p w14:paraId="2EAE4B22" w14:textId="77777777" w:rsidR="00CC0181" w:rsidRPr="00894E75" w:rsidRDefault="00CC0181" w:rsidP="00FC5E99">
      <w:pPr>
        <w:pStyle w:val="Paragraphe"/>
        <w:spacing w:line="280" w:lineRule="exact"/>
        <w:rPr>
          <w:lang w:val="en-CA"/>
        </w:rPr>
      </w:pPr>
      <w:r>
        <w:rPr>
          <w:lang w:val="en-CA"/>
        </w:rPr>
        <w:t>The trial judge succinctly summarized the case at the beginning of his judgment</w:t>
      </w:r>
      <w:r w:rsidRPr="00894E75">
        <w:rPr>
          <w:lang w:val="en-CA"/>
        </w:rPr>
        <w:t>:</w:t>
      </w:r>
    </w:p>
    <w:p w14:paraId="6F853349" w14:textId="77777777" w:rsidR="00CC0181" w:rsidRPr="00894E75" w:rsidRDefault="00CC0181" w:rsidP="00FC5E99">
      <w:pPr>
        <w:pStyle w:val="CitationdecitationFR"/>
        <w:rPr>
          <w:sz w:val="22"/>
          <w:szCs w:val="22"/>
          <w:lang w:val="en-CA" w:eastAsia="fr-CA"/>
        </w:rPr>
      </w:pPr>
      <w:r w:rsidRPr="00894E75">
        <w:rPr>
          <w:sz w:val="22"/>
          <w:szCs w:val="22"/>
          <w:lang w:val="en-CA"/>
        </w:rPr>
        <w:t>[2]   The prosecution submits that the accused murdered his wife sometime between 07h00 and 07h30 while she was preparing for work in the bathroom adjoining the master bedroom. While the couple’s 10-year old daughter was in the kitchen having breakfast, Mr. Fera would have struggled with his wife while stabbing her approximately 30 times. He would then have cleaned a body part or the murder weapon in a second bathroom located on the same floor as the master bedroom. He then would have descended, put the murder weapon in the dishwasher and started it. He then would have left with his daughter to take her to school.</w:t>
      </w:r>
    </w:p>
    <w:p w14:paraId="640D72DA" w14:textId="77777777" w:rsidR="00CC0181" w:rsidRPr="00894E75" w:rsidRDefault="00CC0181" w:rsidP="00FC5E99">
      <w:pPr>
        <w:pStyle w:val="CitationdecitationFR"/>
        <w:rPr>
          <w:sz w:val="22"/>
          <w:szCs w:val="22"/>
          <w:lang w:val="en-CA"/>
        </w:rPr>
      </w:pPr>
      <w:r w:rsidRPr="00894E75">
        <w:rPr>
          <w:sz w:val="22"/>
          <w:szCs w:val="22"/>
          <w:lang w:val="en-CA"/>
        </w:rPr>
        <w:t>[3]   The prosecution’s case relies heavily upon two propositions. First, Mr. Fera had a financial motive to commit the crime. The couple, and he more particularly, were facing serious financial difficulties. His wife’s death would relieve him of his money problems. Second, it is alleged that the events of February 12, 2004 establish that he had the exclusive opportunity to commit the crime.</w:t>
      </w:r>
    </w:p>
    <w:p w14:paraId="72FBEE6F" w14:textId="77777777" w:rsidR="00CC0181" w:rsidRPr="00894E75" w:rsidRDefault="00CC0181" w:rsidP="00FC5E99">
      <w:pPr>
        <w:pStyle w:val="Paragraphe"/>
        <w:spacing w:line="280" w:lineRule="exact"/>
        <w:rPr>
          <w:lang w:val="en-CA"/>
        </w:rPr>
      </w:pPr>
      <w:r>
        <w:rPr>
          <w:lang w:val="en-CA"/>
        </w:rPr>
        <w:t>In his decision, the trial judge carefully set out the evidence heard and his assessment thereof</w:t>
      </w:r>
      <w:r w:rsidRPr="00894E75">
        <w:rPr>
          <w:lang w:val="en-CA"/>
        </w:rPr>
        <w:t xml:space="preserve">. </w:t>
      </w:r>
      <w:r>
        <w:rPr>
          <w:lang w:val="en-CA"/>
        </w:rPr>
        <w:t>In his view</w:t>
      </w:r>
      <w:r w:rsidRPr="00894E75">
        <w:rPr>
          <w:lang w:val="en-CA"/>
        </w:rPr>
        <w:t xml:space="preserve">, </w:t>
      </w:r>
      <w:r>
        <w:rPr>
          <w:lang w:val="en-CA"/>
        </w:rPr>
        <w:t>five factors raised a reasonable doubt as to</w:t>
      </w:r>
      <w:r w:rsidRPr="00894E75">
        <w:rPr>
          <w:lang w:val="en-CA"/>
        </w:rPr>
        <w:t xml:space="preserve"> M</w:t>
      </w:r>
      <w:r>
        <w:rPr>
          <w:lang w:val="en-CA"/>
        </w:rPr>
        <w:t>r</w:t>
      </w:r>
      <w:r w:rsidRPr="00894E75">
        <w:rPr>
          <w:lang w:val="en-CA"/>
        </w:rPr>
        <w:t>. Fera</w:t>
      </w:r>
      <w:r>
        <w:rPr>
          <w:lang w:val="en-CA"/>
        </w:rPr>
        <w:t>’s guilt</w:t>
      </w:r>
      <w:r w:rsidRPr="00894E75">
        <w:rPr>
          <w:lang w:val="en-CA"/>
        </w:rPr>
        <w:t>: 1) </w:t>
      </w:r>
      <w:r w:rsidRPr="002A5B4D">
        <w:rPr>
          <w:lang w:val="en-CA"/>
        </w:rPr>
        <w:t>the</w:t>
      </w:r>
      <w:r>
        <w:rPr>
          <w:lang w:val="en-CA"/>
        </w:rPr>
        <w:t xml:space="preserve"> prosecution’s</w:t>
      </w:r>
      <w:r w:rsidRPr="002A5B4D">
        <w:rPr>
          <w:lang w:val="en-CA"/>
        </w:rPr>
        <w:t xml:space="preserve"> failure to prove </w:t>
      </w:r>
      <w:r>
        <w:rPr>
          <w:lang w:val="en-CA"/>
        </w:rPr>
        <w:t xml:space="preserve">Mr. Fera’s </w:t>
      </w:r>
      <w:r w:rsidRPr="002A5B4D">
        <w:rPr>
          <w:lang w:val="en-CA"/>
        </w:rPr>
        <w:t>exclusive opportunity</w:t>
      </w:r>
      <w:r>
        <w:rPr>
          <w:lang w:val="en-CA"/>
        </w:rPr>
        <w:t xml:space="preserve"> to murder his wife</w:t>
      </w:r>
      <w:r w:rsidRPr="00894E75">
        <w:rPr>
          <w:lang w:val="en-CA"/>
        </w:rPr>
        <w:t>; 2) </w:t>
      </w:r>
      <w:r>
        <w:rPr>
          <w:lang w:val="en-CA"/>
        </w:rPr>
        <w:t xml:space="preserve">an </w:t>
      </w:r>
      <w:r w:rsidRPr="002A5B4D">
        <w:rPr>
          <w:lang w:val="en-CA"/>
        </w:rPr>
        <w:t>inadequate proposed motive</w:t>
      </w:r>
      <w:r w:rsidRPr="00894E75">
        <w:rPr>
          <w:lang w:val="en-CA"/>
        </w:rPr>
        <w:t>; 3) </w:t>
      </w:r>
      <w:r w:rsidRPr="002A5B4D">
        <w:rPr>
          <w:lang w:val="en-CA"/>
        </w:rPr>
        <w:t xml:space="preserve">the lack of physical evidence linking </w:t>
      </w:r>
      <w:r>
        <w:rPr>
          <w:lang w:val="en-CA"/>
        </w:rPr>
        <w:t>Mr. Fera</w:t>
      </w:r>
      <w:r w:rsidRPr="002A5B4D">
        <w:rPr>
          <w:lang w:val="en-CA"/>
        </w:rPr>
        <w:t xml:space="preserve"> to the crime</w:t>
      </w:r>
      <w:r w:rsidRPr="00894E75">
        <w:rPr>
          <w:lang w:val="en-CA"/>
        </w:rPr>
        <w:t>; 4) </w:t>
      </w:r>
      <w:r>
        <w:rPr>
          <w:lang w:val="en-CA"/>
        </w:rPr>
        <w:t xml:space="preserve">Mr. Fera’s </w:t>
      </w:r>
      <w:r w:rsidRPr="002A5B4D">
        <w:rPr>
          <w:lang w:val="en-CA"/>
        </w:rPr>
        <w:t>demeano</w:t>
      </w:r>
      <w:r>
        <w:rPr>
          <w:lang w:val="en-CA"/>
        </w:rPr>
        <w:t>u</w:t>
      </w:r>
      <w:r w:rsidRPr="002A5B4D">
        <w:rPr>
          <w:lang w:val="en-CA"/>
        </w:rPr>
        <w:t xml:space="preserve">r </w:t>
      </w:r>
      <w:r>
        <w:rPr>
          <w:lang w:val="en-CA"/>
        </w:rPr>
        <w:t>following his wife’s murder,</w:t>
      </w:r>
      <w:r w:rsidRPr="002A5B4D">
        <w:rPr>
          <w:lang w:val="en-CA"/>
        </w:rPr>
        <w:t xml:space="preserve"> which </w:t>
      </w:r>
      <w:r>
        <w:rPr>
          <w:lang w:val="en-CA"/>
        </w:rPr>
        <w:t>was</w:t>
      </w:r>
      <w:r w:rsidRPr="002A5B4D">
        <w:rPr>
          <w:lang w:val="en-CA"/>
        </w:rPr>
        <w:t xml:space="preserve"> consistent with </w:t>
      </w:r>
      <w:r>
        <w:rPr>
          <w:lang w:val="en-CA"/>
        </w:rPr>
        <w:t xml:space="preserve">his </w:t>
      </w:r>
      <w:r w:rsidRPr="002A5B4D">
        <w:rPr>
          <w:lang w:val="en-CA"/>
        </w:rPr>
        <w:t>innocence</w:t>
      </w:r>
      <w:r w:rsidRPr="00894E75">
        <w:rPr>
          <w:lang w:val="en-CA"/>
        </w:rPr>
        <w:t>; 5) </w:t>
      </w:r>
      <w:r w:rsidRPr="00E03F03">
        <w:rPr>
          <w:lang w:val="en-CA"/>
        </w:rPr>
        <w:t>gap</w:t>
      </w:r>
      <w:r>
        <w:rPr>
          <w:lang w:val="en-CA"/>
        </w:rPr>
        <w:t>s</w:t>
      </w:r>
      <w:r w:rsidRPr="00E03F03">
        <w:rPr>
          <w:lang w:val="en-CA"/>
        </w:rPr>
        <w:t xml:space="preserve"> in the narrative </w:t>
      </w:r>
      <w:r>
        <w:rPr>
          <w:lang w:val="en-CA"/>
        </w:rPr>
        <w:t>of the facts</w:t>
      </w:r>
      <w:r w:rsidRPr="00894E75">
        <w:rPr>
          <w:lang w:val="en-CA"/>
        </w:rPr>
        <w:t xml:space="preserve">, </w:t>
      </w:r>
      <w:r>
        <w:rPr>
          <w:lang w:val="en-CA"/>
        </w:rPr>
        <w:t>specifically the prosecution’s failure</w:t>
      </w:r>
      <w:r w:rsidRPr="00894E75">
        <w:rPr>
          <w:lang w:val="en-CA"/>
        </w:rPr>
        <w:t xml:space="preserve"> </w:t>
      </w:r>
      <w:r>
        <w:rPr>
          <w:lang w:val="en-CA"/>
        </w:rPr>
        <w:t xml:space="preserve">to call </w:t>
      </w:r>
      <w:r w:rsidRPr="00E03F03">
        <w:rPr>
          <w:lang w:val="en-CA"/>
        </w:rPr>
        <w:t>as a witness</w:t>
      </w:r>
      <w:r>
        <w:rPr>
          <w:lang w:val="en-CA"/>
        </w:rPr>
        <w:t xml:space="preserve"> Mr. Fera’s </w:t>
      </w:r>
      <w:r w:rsidRPr="00E03F03">
        <w:rPr>
          <w:lang w:val="en-CA"/>
        </w:rPr>
        <w:t>youngest daughter</w:t>
      </w:r>
      <w:r>
        <w:rPr>
          <w:lang w:val="en-CA"/>
        </w:rPr>
        <w:t xml:space="preserve">, who was </w:t>
      </w:r>
      <w:r w:rsidRPr="00E03F03">
        <w:rPr>
          <w:lang w:val="en-CA"/>
        </w:rPr>
        <w:t>having breakfast</w:t>
      </w:r>
      <w:r>
        <w:rPr>
          <w:lang w:val="en-CA"/>
        </w:rPr>
        <w:t xml:space="preserve"> in the kitchen at the time of her mother’s murder</w:t>
      </w:r>
      <w:r w:rsidRPr="00894E75">
        <w:rPr>
          <w:lang w:val="en-CA"/>
        </w:rPr>
        <w:t>.</w:t>
      </w:r>
    </w:p>
    <w:p w14:paraId="45F6FEFA" w14:textId="77777777" w:rsidR="00CC0181" w:rsidRPr="00894E75" w:rsidRDefault="00CC0181" w:rsidP="00FC5E99">
      <w:pPr>
        <w:pStyle w:val="Paragraphe"/>
        <w:spacing w:line="280" w:lineRule="exact"/>
        <w:rPr>
          <w:lang w:val="en-CA"/>
        </w:rPr>
      </w:pPr>
      <w:r>
        <w:rPr>
          <w:lang w:val="en-CA"/>
        </w:rPr>
        <w:t>The prosecution is appealing the verdict</w:t>
      </w:r>
      <w:r w:rsidRPr="00894E75">
        <w:rPr>
          <w:lang w:val="en-CA"/>
        </w:rPr>
        <w:t xml:space="preserve">. </w:t>
      </w:r>
      <w:r>
        <w:rPr>
          <w:lang w:val="en-CA"/>
        </w:rPr>
        <w:t>It alleges three separate errors of law</w:t>
      </w:r>
      <w:r w:rsidRPr="00894E75">
        <w:rPr>
          <w:lang w:val="en-CA"/>
        </w:rPr>
        <w:t>: 1) </w:t>
      </w:r>
      <w:r>
        <w:rPr>
          <w:lang w:val="en-CA"/>
        </w:rPr>
        <w:t xml:space="preserve">the judge’s conclusion as to the absence of exclusive opportunity was not based on </w:t>
      </w:r>
      <w:r>
        <w:rPr>
          <w:lang w:val="en-CA"/>
        </w:rPr>
        <w:lastRenderedPageBreak/>
        <w:t>any evidence</w:t>
      </w:r>
      <w:r w:rsidRPr="00894E75">
        <w:rPr>
          <w:lang w:val="en-CA"/>
        </w:rPr>
        <w:t>; 2) </w:t>
      </w:r>
      <w:r>
        <w:rPr>
          <w:lang w:val="en-CA"/>
        </w:rPr>
        <w:t xml:space="preserve">the judge </w:t>
      </w:r>
      <w:r w:rsidRPr="005366D8">
        <w:rPr>
          <w:lang w:val="en-CA"/>
        </w:rPr>
        <w:t>approach</w:t>
      </w:r>
      <w:r>
        <w:rPr>
          <w:lang w:val="en-CA"/>
        </w:rPr>
        <w:t>ed</w:t>
      </w:r>
      <w:r w:rsidRPr="005366D8">
        <w:rPr>
          <w:lang w:val="en-CA"/>
        </w:rPr>
        <w:t xml:space="preserve"> the evidence in a piecemeal fashion</w:t>
      </w:r>
      <w:r>
        <w:rPr>
          <w:lang w:val="en-CA"/>
        </w:rPr>
        <w:t>, and not as a whole, which led him to erroneously entertain a reasonable doubt</w:t>
      </w:r>
      <w:r w:rsidRPr="00894E75">
        <w:rPr>
          <w:lang w:val="en-CA"/>
        </w:rPr>
        <w:t>; 3) </w:t>
      </w:r>
      <w:r>
        <w:rPr>
          <w:lang w:val="en-CA"/>
        </w:rPr>
        <w:t>the trial judge placed an additional burden on the prosecution by requiring that it prove the respondent’s bad character which is presumptively inadmissible evidence</w:t>
      </w:r>
      <w:r w:rsidRPr="00894E75">
        <w:rPr>
          <w:lang w:val="en-CA"/>
        </w:rPr>
        <w:t>.</w:t>
      </w:r>
    </w:p>
    <w:p w14:paraId="2FA090F7" w14:textId="77777777" w:rsidR="00CC0181" w:rsidRPr="00894E75" w:rsidRDefault="00CC0181" w:rsidP="00FC5E99">
      <w:pPr>
        <w:pStyle w:val="Paragraphe"/>
        <w:spacing w:line="280" w:lineRule="exact"/>
        <w:rPr>
          <w:lang w:val="en-CA"/>
        </w:rPr>
      </w:pPr>
      <w:r>
        <w:rPr>
          <w:lang w:val="en-CA"/>
        </w:rPr>
        <w:t>The prosecution’s 29-page brief</w:t>
      </w:r>
      <w:r w:rsidRPr="00894E75">
        <w:rPr>
          <w:lang w:val="en-CA"/>
        </w:rPr>
        <w:t xml:space="preserve"> </w:t>
      </w:r>
      <w:r>
        <w:rPr>
          <w:lang w:val="en-CA"/>
        </w:rPr>
        <w:t>includes</w:t>
      </w:r>
      <w:r w:rsidRPr="00894E75">
        <w:rPr>
          <w:lang w:val="en-CA"/>
        </w:rPr>
        <w:t xml:space="preserve"> 222 </w:t>
      </w:r>
      <w:r>
        <w:rPr>
          <w:lang w:val="en-CA"/>
        </w:rPr>
        <w:t>foot</w:t>
      </w:r>
      <w:r w:rsidRPr="00894E75">
        <w:rPr>
          <w:lang w:val="en-CA"/>
        </w:rPr>
        <w:t>notes</w:t>
      </w:r>
      <w:r>
        <w:rPr>
          <w:lang w:val="en-CA"/>
        </w:rPr>
        <w:t>,</w:t>
      </w:r>
      <w:r w:rsidRPr="00894E75">
        <w:rPr>
          <w:lang w:val="en-CA"/>
        </w:rPr>
        <w:t xml:space="preserve"> </w:t>
      </w:r>
      <w:r>
        <w:rPr>
          <w:lang w:val="en-CA"/>
        </w:rPr>
        <w:t>most of which refer to the evidence and to the trial judge’s assessment thereof</w:t>
      </w:r>
      <w:r w:rsidRPr="00894E75">
        <w:rPr>
          <w:lang w:val="en-CA"/>
        </w:rPr>
        <w:t xml:space="preserve">. </w:t>
      </w:r>
      <w:r>
        <w:rPr>
          <w:lang w:val="en-CA"/>
        </w:rPr>
        <w:t>However, the prosecution’s right of appeal is limited to questions of law only</w:t>
      </w:r>
      <w:r w:rsidRPr="00894E75">
        <w:rPr>
          <w:lang w:val="en-CA"/>
        </w:rPr>
        <w:t>.</w:t>
      </w:r>
    </w:p>
    <w:p w14:paraId="3DE62CE5" w14:textId="77777777" w:rsidR="00CC0181" w:rsidRPr="00894E75" w:rsidRDefault="00CC0181" w:rsidP="00FC5E99">
      <w:pPr>
        <w:pStyle w:val="Paragraphe"/>
        <w:spacing w:line="280" w:lineRule="exact"/>
        <w:rPr>
          <w:lang w:val="en-CA"/>
        </w:rPr>
      </w:pPr>
      <w:r>
        <w:rPr>
          <w:lang w:val="en-CA"/>
        </w:rPr>
        <w:t>In my view</w:t>
      </w:r>
      <w:r w:rsidRPr="00894E75">
        <w:rPr>
          <w:lang w:val="en-CA"/>
        </w:rPr>
        <w:t xml:space="preserve">, </w:t>
      </w:r>
      <w:r>
        <w:rPr>
          <w:lang w:val="en-CA"/>
        </w:rPr>
        <w:t>the prosecution is essentially expressing disagreement with the trial judge’s conclusion and is proposing that this Court completely reassess the evidence, without however being able to establish that the judge committed a single error of law</w:t>
      </w:r>
      <w:r w:rsidRPr="00894E75">
        <w:rPr>
          <w:lang w:val="en-CA"/>
        </w:rPr>
        <w:t>.</w:t>
      </w:r>
    </w:p>
    <w:p w14:paraId="42552CE0" w14:textId="77777777" w:rsidR="00CC0181" w:rsidRPr="00894E75" w:rsidRDefault="00CC0181" w:rsidP="00FC5E99">
      <w:pPr>
        <w:pStyle w:val="Paragraphe"/>
        <w:spacing w:line="280" w:lineRule="exact"/>
        <w:rPr>
          <w:lang w:val="en-CA"/>
        </w:rPr>
      </w:pPr>
      <w:r>
        <w:rPr>
          <w:lang w:val="en-CA"/>
        </w:rPr>
        <w:t>The prosecution is suggesting, in fact, but without being able to say it outright given its very limited right of appeal, that the verdict of acquittal was unreasonable</w:t>
      </w:r>
      <w:r w:rsidRPr="00894E75">
        <w:rPr>
          <w:lang w:val="en-CA"/>
        </w:rPr>
        <w:t xml:space="preserve">. </w:t>
      </w:r>
      <w:r>
        <w:rPr>
          <w:lang w:val="en-CA"/>
        </w:rPr>
        <w:t>As is well known, the prosecution has no right to appeal what it considers to be an unreasonable acquittal</w:t>
      </w:r>
      <w:r w:rsidRPr="00894E75">
        <w:rPr>
          <w:lang w:val="en-CA"/>
        </w:rPr>
        <w:t>.</w:t>
      </w:r>
    </w:p>
    <w:p w14:paraId="58A7657D" w14:textId="77777777" w:rsidR="00CC0181" w:rsidRPr="00894E75" w:rsidRDefault="00CC0181" w:rsidP="00FC5E99">
      <w:pPr>
        <w:pStyle w:val="Paragraphe"/>
        <w:spacing w:line="280" w:lineRule="exact"/>
        <w:rPr>
          <w:lang w:val="en-CA"/>
        </w:rPr>
      </w:pPr>
      <w:r>
        <w:rPr>
          <w:lang w:val="en-CA"/>
        </w:rPr>
        <w:t>For the reasons that follow, I would therefore dismiss the appeal and affirm the verdict of acquittal</w:t>
      </w:r>
      <w:r w:rsidRPr="00894E75">
        <w:rPr>
          <w:lang w:val="en-CA"/>
        </w:rPr>
        <w:t>.</w:t>
      </w:r>
    </w:p>
    <w:p w14:paraId="28ED5DA1" w14:textId="77777777" w:rsidR="00CC0181" w:rsidRPr="00894E75" w:rsidRDefault="00CC0181" w:rsidP="00FC5E99">
      <w:pPr>
        <w:pStyle w:val="Paragraphe"/>
        <w:numPr>
          <w:ilvl w:val="0"/>
          <w:numId w:val="0"/>
        </w:numPr>
        <w:spacing w:line="280" w:lineRule="exact"/>
        <w:rPr>
          <w:b/>
          <w:bCs/>
          <w:lang w:val="en-CA"/>
        </w:rPr>
      </w:pPr>
      <w:r w:rsidRPr="00894E75">
        <w:rPr>
          <w:b/>
          <w:bCs/>
          <w:szCs w:val="24"/>
          <w:lang w:val="en-CA"/>
        </w:rPr>
        <w:t>Ju</w:t>
      </w:r>
      <w:r>
        <w:rPr>
          <w:b/>
          <w:bCs/>
          <w:szCs w:val="24"/>
          <w:lang w:val="en-CA"/>
        </w:rPr>
        <w:t>d</w:t>
      </w:r>
      <w:r w:rsidRPr="00894E75">
        <w:rPr>
          <w:b/>
          <w:bCs/>
          <w:szCs w:val="24"/>
          <w:lang w:val="en-CA"/>
        </w:rPr>
        <w:t xml:space="preserve">gment </w:t>
      </w:r>
      <w:r>
        <w:rPr>
          <w:b/>
          <w:bCs/>
          <w:szCs w:val="24"/>
          <w:lang w:val="en-CA"/>
        </w:rPr>
        <w:t>Under Appeal</w:t>
      </w:r>
    </w:p>
    <w:p w14:paraId="352DAE93" w14:textId="77777777" w:rsidR="00CC0181" w:rsidRPr="00894E75" w:rsidRDefault="00CC0181" w:rsidP="00FC5E99">
      <w:pPr>
        <w:pStyle w:val="Paragraphe"/>
        <w:spacing w:line="280" w:lineRule="exact"/>
        <w:rPr>
          <w:lang w:val="en-CA"/>
        </w:rPr>
      </w:pPr>
      <w:r>
        <w:rPr>
          <w:lang w:val="en-CA"/>
        </w:rPr>
        <w:t>In this case, the prosecution’s position rested on two premises</w:t>
      </w:r>
      <w:r w:rsidRPr="00894E75">
        <w:rPr>
          <w:lang w:val="en-CA"/>
        </w:rPr>
        <w:t>: 1) M</w:t>
      </w:r>
      <w:r>
        <w:rPr>
          <w:lang w:val="en-CA"/>
        </w:rPr>
        <w:t>r</w:t>
      </w:r>
      <w:r w:rsidRPr="00894E75">
        <w:rPr>
          <w:lang w:val="en-CA"/>
        </w:rPr>
        <w:t xml:space="preserve">. Fera </w:t>
      </w:r>
      <w:r>
        <w:rPr>
          <w:lang w:val="en-CA"/>
        </w:rPr>
        <w:t>had a strong financial motive to murder his wife</w:t>
      </w:r>
      <w:r w:rsidRPr="00894E75">
        <w:rPr>
          <w:lang w:val="en-CA"/>
        </w:rPr>
        <w:t xml:space="preserve"> </w:t>
      </w:r>
      <w:r>
        <w:rPr>
          <w:lang w:val="en-CA"/>
        </w:rPr>
        <w:t>and</w:t>
      </w:r>
      <w:r w:rsidRPr="00894E75">
        <w:rPr>
          <w:lang w:val="en-CA"/>
        </w:rPr>
        <w:t xml:space="preserve"> 2) </w:t>
      </w:r>
      <w:r>
        <w:rPr>
          <w:lang w:val="en-CA"/>
        </w:rPr>
        <w:t>he had the exclusive opportunity to do so.</w:t>
      </w:r>
      <w:r>
        <w:rPr>
          <w:rStyle w:val="Appelnotedebasdep"/>
          <w:lang w:val="en-CA"/>
        </w:rPr>
        <w:footnoteReference w:id="2"/>
      </w:r>
    </w:p>
    <w:p w14:paraId="348F0303" w14:textId="77777777" w:rsidR="00CC0181" w:rsidRPr="00894E75" w:rsidRDefault="00CC0181" w:rsidP="00FC5E99">
      <w:pPr>
        <w:pStyle w:val="Paragraphe"/>
        <w:spacing w:line="280" w:lineRule="exact"/>
        <w:rPr>
          <w:lang w:val="en-CA"/>
        </w:rPr>
      </w:pPr>
      <w:r>
        <w:rPr>
          <w:lang w:val="en-CA"/>
        </w:rPr>
        <w:t>For his</w:t>
      </w:r>
      <w:r w:rsidRPr="00894E75">
        <w:rPr>
          <w:lang w:val="en-CA"/>
        </w:rPr>
        <w:t xml:space="preserve"> part, M</w:t>
      </w:r>
      <w:r>
        <w:rPr>
          <w:lang w:val="en-CA"/>
        </w:rPr>
        <w:t>r</w:t>
      </w:r>
      <w:r w:rsidRPr="00894E75">
        <w:rPr>
          <w:lang w:val="en-CA"/>
        </w:rPr>
        <w:t xml:space="preserve">. Fera </w:t>
      </w:r>
      <w:r w:rsidRPr="001D1928">
        <w:rPr>
          <w:lang w:val="en-CA"/>
        </w:rPr>
        <w:t>counter</w:t>
      </w:r>
      <w:r>
        <w:rPr>
          <w:lang w:val="en-CA"/>
        </w:rPr>
        <w:t>ed</w:t>
      </w:r>
      <w:r w:rsidRPr="001D1928">
        <w:rPr>
          <w:lang w:val="en-CA"/>
        </w:rPr>
        <w:t xml:space="preserve"> the prosecut</w:t>
      </w:r>
      <w:r>
        <w:rPr>
          <w:lang w:val="en-CA"/>
        </w:rPr>
        <w:t>ion</w:t>
      </w:r>
      <w:r w:rsidRPr="001D1928">
        <w:rPr>
          <w:lang w:val="en-CA"/>
        </w:rPr>
        <w:t>’s position with a series of submissions</w:t>
      </w:r>
      <w:r w:rsidRPr="00894E75">
        <w:rPr>
          <w:lang w:val="en-CA"/>
        </w:rPr>
        <w:t>: 1) </w:t>
      </w:r>
      <w:r>
        <w:rPr>
          <w:lang w:val="en-CA"/>
        </w:rPr>
        <w:t>he had never been violent with his wife</w:t>
      </w:r>
      <w:r w:rsidRPr="00894E75">
        <w:rPr>
          <w:lang w:val="en-CA"/>
        </w:rPr>
        <w:t>; 2) </w:t>
      </w:r>
      <w:r>
        <w:rPr>
          <w:lang w:val="en-CA"/>
        </w:rPr>
        <w:t xml:space="preserve">the alleged financial motive was </w:t>
      </w:r>
      <w:r w:rsidRPr="001D1928">
        <w:rPr>
          <w:lang w:val="en-CA"/>
        </w:rPr>
        <w:t xml:space="preserve">less compelling than </w:t>
      </w:r>
      <w:r>
        <w:rPr>
          <w:lang w:val="en-CA"/>
        </w:rPr>
        <w:t xml:space="preserve">that </w:t>
      </w:r>
      <w:r w:rsidRPr="001D1928">
        <w:rPr>
          <w:lang w:val="en-CA"/>
        </w:rPr>
        <w:t>suggested by the prosecut</w:t>
      </w:r>
      <w:r>
        <w:rPr>
          <w:lang w:val="en-CA"/>
        </w:rPr>
        <w:t>ion</w:t>
      </w:r>
      <w:r w:rsidRPr="00894E75">
        <w:rPr>
          <w:lang w:val="en-CA"/>
        </w:rPr>
        <w:t>; 3) </w:t>
      </w:r>
      <w:r>
        <w:rPr>
          <w:lang w:val="en-CA"/>
        </w:rPr>
        <w:t>he did not have enough time to commit the crime</w:t>
      </w:r>
      <w:r w:rsidRPr="00894E75">
        <w:rPr>
          <w:lang w:val="en-CA"/>
        </w:rPr>
        <w:t>; 4) </w:t>
      </w:r>
      <w:r>
        <w:rPr>
          <w:lang w:val="en-CA"/>
        </w:rPr>
        <w:t>i</w:t>
      </w:r>
      <w:r w:rsidRPr="00932B52">
        <w:rPr>
          <w:lang w:val="en-CA"/>
        </w:rPr>
        <w:t xml:space="preserve">f the </w:t>
      </w:r>
      <w:r>
        <w:rPr>
          <w:lang w:val="en-CA"/>
        </w:rPr>
        <w:t>crime had been committed in the manner</w:t>
      </w:r>
      <w:r w:rsidRPr="00932B52">
        <w:rPr>
          <w:lang w:val="en-CA"/>
        </w:rPr>
        <w:t xml:space="preserve"> proposed by the prosecution, there </w:t>
      </w:r>
      <w:r>
        <w:rPr>
          <w:lang w:val="en-CA"/>
        </w:rPr>
        <w:t>wo</w:t>
      </w:r>
      <w:r w:rsidRPr="00932B52">
        <w:rPr>
          <w:lang w:val="en-CA"/>
        </w:rPr>
        <w:t>uld have been physical evidence and</w:t>
      </w:r>
      <w:r>
        <w:rPr>
          <w:lang w:val="en-CA"/>
        </w:rPr>
        <w:t xml:space="preserve"> </w:t>
      </w:r>
      <w:r w:rsidRPr="00932B52">
        <w:rPr>
          <w:lang w:val="en-CA"/>
        </w:rPr>
        <w:t xml:space="preserve">the couple’s </w:t>
      </w:r>
      <w:r>
        <w:rPr>
          <w:lang w:val="en-CA"/>
        </w:rPr>
        <w:t>children</w:t>
      </w:r>
      <w:r w:rsidRPr="00932B52">
        <w:rPr>
          <w:lang w:val="en-CA"/>
        </w:rPr>
        <w:t xml:space="preserve"> </w:t>
      </w:r>
      <w:r>
        <w:rPr>
          <w:lang w:val="en-CA"/>
        </w:rPr>
        <w:t>w</w:t>
      </w:r>
      <w:r w:rsidRPr="00932B52">
        <w:rPr>
          <w:lang w:val="en-CA"/>
        </w:rPr>
        <w:t xml:space="preserve">ould have been able to </w:t>
      </w:r>
      <w:r>
        <w:rPr>
          <w:lang w:val="en-CA"/>
        </w:rPr>
        <w:t>testify in the prosecution’s favour</w:t>
      </w:r>
      <w:r w:rsidRPr="00894E75">
        <w:rPr>
          <w:lang w:val="en-CA"/>
        </w:rPr>
        <w:t>; 5) </w:t>
      </w:r>
      <w:r>
        <w:rPr>
          <w:lang w:val="en-CA"/>
        </w:rPr>
        <w:t>the</w:t>
      </w:r>
      <w:r w:rsidRPr="00932B52">
        <w:rPr>
          <w:lang w:val="en-CA"/>
        </w:rPr>
        <w:t xml:space="preserve"> inference that an unknown party killed </w:t>
      </w:r>
      <w:r>
        <w:rPr>
          <w:lang w:val="en-CA"/>
        </w:rPr>
        <w:t>Mr. Fera’s wife was reasonable</w:t>
      </w:r>
      <w:r w:rsidRPr="00894E75">
        <w:rPr>
          <w:lang w:val="en-CA"/>
        </w:rPr>
        <w:t>; 6) </w:t>
      </w:r>
      <w:r w:rsidRPr="00932B52">
        <w:rPr>
          <w:lang w:val="en-CA"/>
        </w:rPr>
        <w:t>Mr. Fera’s demeano</w:t>
      </w:r>
      <w:r>
        <w:rPr>
          <w:lang w:val="en-CA"/>
        </w:rPr>
        <w:t>u</w:t>
      </w:r>
      <w:r w:rsidRPr="00932B52">
        <w:rPr>
          <w:lang w:val="en-CA"/>
        </w:rPr>
        <w:t xml:space="preserve">r </w:t>
      </w:r>
      <w:r>
        <w:rPr>
          <w:lang w:val="en-CA"/>
        </w:rPr>
        <w:t>in</w:t>
      </w:r>
      <w:r w:rsidRPr="00932B52">
        <w:rPr>
          <w:lang w:val="en-CA"/>
        </w:rPr>
        <w:t xml:space="preserve"> the</w:t>
      </w:r>
      <w:r>
        <w:rPr>
          <w:lang w:val="en-CA"/>
        </w:rPr>
        <w:t xml:space="preserve"> weeks</w:t>
      </w:r>
      <w:r w:rsidRPr="00932B52">
        <w:rPr>
          <w:lang w:val="en-CA"/>
        </w:rPr>
        <w:t xml:space="preserve"> </w:t>
      </w:r>
      <w:r>
        <w:rPr>
          <w:lang w:val="en-CA"/>
        </w:rPr>
        <w:t>following the crime</w:t>
      </w:r>
      <w:r w:rsidRPr="00932B52">
        <w:rPr>
          <w:lang w:val="en-CA"/>
        </w:rPr>
        <w:t xml:space="preserve"> was compatible with</w:t>
      </w:r>
      <w:r>
        <w:rPr>
          <w:lang w:val="en-CA"/>
        </w:rPr>
        <w:t xml:space="preserve"> that of an innocent man in mourning.</w:t>
      </w:r>
      <w:r>
        <w:rPr>
          <w:rStyle w:val="Appelnotedebasdep"/>
          <w:lang w:val="en-CA"/>
        </w:rPr>
        <w:footnoteReference w:id="3"/>
      </w:r>
    </w:p>
    <w:p w14:paraId="6D735A1C" w14:textId="77777777" w:rsidR="00CC0181" w:rsidRPr="00894E75" w:rsidRDefault="00CC0181" w:rsidP="00FC5E99">
      <w:pPr>
        <w:pStyle w:val="Paragraphe"/>
        <w:spacing w:line="280" w:lineRule="exact"/>
        <w:rPr>
          <w:lang w:val="en-CA"/>
        </w:rPr>
      </w:pPr>
      <w:r>
        <w:rPr>
          <w:lang w:val="en-CA"/>
        </w:rPr>
        <w:t xml:space="preserve">According to </w:t>
      </w:r>
      <w:r w:rsidRPr="00894E75">
        <w:rPr>
          <w:lang w:val="en-CA"/>
        </w:rPr>
        <w:t>Brunton</w:t>
      </w:r>
      <w:r>
        <w:rPr>
          <w:lang w:val="en-CA"/>
        </w:rPr>
        <w:t>, J.</w:t>
      </w:r>
      <w:r w:rsidRPr="00894E75">
        <w:rPr>
          <w:lang w:val="en-CA"/>
        </w:rPr>
        <w:t xml:space="preserve">, </w:t>
      </w:r>
      <w:r>
        <w:rPr>
          <w:lang w:val="en-CA"/>
        </w:rPr>
        <w:t>the trial judge</w:t>
      </w:r>
      <w:r w:rsidRPr="00894E75">
        <w:rPr>
          <w:lang w:val="en-CA"/>
        </w:rPr>
        <w:t xml:space="preserve">, </w:t>
      </w:r>
      <w:r>
        <w:rPr>
          <w:lang w:val="en-CA"/>
        </w:rPr>
        <w:t>there were two issues in this case</w:t>
      </w:r>
      <w:r w:rsidRPr="00894E75">
        <w:rPr>
          <w:lang w:val="en-CA"/>
        </w:rPr>
        <w:t>: 1) </w:t>
      </w:r>
      <w:r>
        <w:rPr>
          <w:lang w:val="en-CA"/>
        </w:rPr>
        <w:t>the murderer’s identity and</w:t>
      </w:r>
      <w:r w:rsidRPr="00894E75">
        <w:rPr>
          <w:lang w:val="en-CA"/>
        </w:rPr>
        <w:t xml:space="preserve"> 2) </w:t>
      </w:r>
      <w:r>
        <w:rPr>
          <w:lang w:val="en-CA"/>
        </w:rPr>
        <w:t>whether the murder was planned and deliberate.</w:t>
      </w:r>
      <w:r>
        <w:rPr>
          <w:rStyle w:val="Appelnotedebasdep"/>
          <w:lang w:val="en-CA"/>
        </w:rPr>
        <w:footnoteReference w:id="4"/>
      </w:r>
    </w:p>
    <w:p w14:paraId="7D54E412" w14:textId="77777777" w:rsidR="00CC0181" w:rsidRPr="00894E75" w:rsidRDefault="00CC0181" w:rsidP="00FC5E99">
      <w:pPr>
        <w:pStyle w:val="Paragraphe"/>
        <w:spacing w:line="280" w:lineRule="exact"/>
        <w:rPr>
          <w:lang w:val="en-CA"/>
        </w:rPr>
      </w:pPr>
      <w:r>
        <w:rPr>
          <w:lang w:val="en-CA"/>
        </w:rPr>
        <w:lastRenderedPageBreak/>
        <w:t>Because the evidence was entirely circumstantial,</w:t>
      </w:r>
      <w:r>
        <w:rPr>
          <w:rStyle w:val="Appelnotedebasdep"/>
          <w:lang w:val="en-CA"/>
        </w:rPr>
        <w:footnoteReference w:id="5"/>
      </w:r>
      <w:r>
        <w:rPr>
          <w:lang w:val="en-CA"/>
        </w:rPr>
        <w:t xml:space="preserve"> the prosecution had to show that Mr. Fera’s guilt was the </w:t>
      </w:r>
      <w:r w:rsidRPr="005D7A0D">
        <w:rPr>
          <w:lang w:val="en-CA"/>
        </w:rPr>
        <w:t>only reasonable inference that</w:t>
      </w:r>
      <w:r>
        <w:rPr>
          <w:lang w:val="en-CA"/>
        </w:rPr>
        <w:t xml:space="preserve"> could be drawn from</w:t>
      </w:r>
      <w:r w:rsidRPr="005D7A0D">
        <w:rPr>
          <w:lang w:val="en-CA"/>
        </w:rPr>
        <w:t xml:space="preserve"> </w:t>
      </w:r>
      <w:r>
        <w:rPr>
          <w:lang w:val="en-CA"/>
        </w:rPr>
        <w:t xml:space="preserve">the </w:t>
      </w:r>
      <w:r w:rsidRPr="005D7A0D">
        <w:rPr>
          <w:lang w:val="en-CA"/>
        </w:rPr>
        <w:t>evidence</w:t>
      </w:r>
      <w:r>
        <w:rPr>
          <w:lang w:val="en-CA"/>
        </w:rPr>
        <w:t xml:space="preserve"> presented.</w:t>
      </w:r>
      <w:r>
        <w:rPr>
          <w:rStyle w:val="Appelnotedebasdep"/>
          <w:lang w:val="en-CA"/>
        </w:rPr>
        <w:footnoteReference w:id="6"/>
      </w:r>
    </w:p>
    <w:p w14:paraId="3CBE8924" w14:textId="77777777" w:rsidR="00CC0181" w:rsidRPr="00894E75" w:rsidRDefault="00CC0181" w:rsidP="00FC5E99">
      <w:pPr>
        <w:pStyle w:val="Titre2"/>
        <w:rPr>
          <w:i w:val="0"/>
          <w:iCs/>
          <w:lang w:val="en-CA"/>
        </w:rPr>
      </w:pPr>
      <w:r>
        <w:rPr>
          <w:i w:val="0"/>
          <w:iCs/>
          <w:lang w:val="en-CA"/>
        </w:rPr>
        <w:t>Summary of the Evidence</w:t>
      </w:r>
    </w:p>
    <w:p w14:paraId="749FF4A1" w14:textId="77777777" w:rsidR="00CC0181" w:rsidRPr="00894E75" w:rsidRDefault="00CC0181" w:rsidP="00FC5E99">
      <w:pPr>
        <w:pStyle w:val="Paragraphe"/>
        <w:spacing w:line="280" w:lineRule="exact"/>
        <w:rPr>
          <w:lang w:val="en-CA"/>
        </w:rPr>
      </w:pPr>
      <w:r>
        <w:rPr>
          <w:lang w:val="en-CA"/>
        </w:rPr>
        <w:t>I will broadly summarize the evidence considered by Brunton, J. in his decision, which was both comprehensive and carefully reasoned</w:t>
      </w:r>
      <w:r w:rsidRPr="00894E75">
        <w:rPr>
          <w:lang w:val="en-CA"/>
        </w:rPr>
        <w:t>.</w:t>
      </w:r>
    </w:p>
    <w:p w14:paraId="3778BA6D" w14:textId="77777777" w:rsidR="00CC0181" w:rsidRPr="00894E75" w:rsidRDefault="00CC0181" w:rsidP="009E0FFF">
      <w:pPr>
        <w:pStyle w:val="Titre3"/>
        <w:numPr>
          <w:ilvl w:val="0"/>
          <w:numId w:val="37"/>
        </w:numPr>
        <w:rPr>
          <w:b/>
          <w:bCs/>
          <w:lang w:val="en-CA"/>
        </w:rPr>
      </w:pPr>
      <w:r>
        <w:rPr>
          <w:b/>
          <w:bCs/>
          <w:lang w:val="en-CA"/>
        </w:rPr>
        <w:t>The Financial Motive</w:t>
      </w:r>
    </w:p>
    <w:p w14:paraId="2D94BDD7" w14:textId="77777777" w:rsidR="00CC0181" w:rsidRPr="00894E75" w:rsidRDefault="00CC0181" w:rsidP="00FC5E99">
      <w:pPr>
        <w:pStyle w:val="Paragraphe"/>
        <w:spacing w:line="280" w:lineRule="exact"/>
        <w:rPr>
          <w:lang w:val="en-CA"/>
        </w:rPr>
      </w:pPr>
      <w:r>
        <w:rPr>
          <w:lang w:val="en-CA"/>
        </w:rPr>
        <w:t>In February</w:t>
      </w:r>
      <w:r w:rsidRPr="00894E75">
        <w:rPr>
          <w:lang w:val="en-CA"/>
        </w:rPr>
        <w:t xml:space="preserve"> 2004, M</w:t>
      </w:r>
      <w:r>
        <w:rPr>
          <w:lang w:val="en-CA"/>
        </w:rPr>
        <w:t>r</w:t>
      </w:r>
      <w:r w:rsidRPr="00894E75">
        <w:rPr>
          <w:lang w:val="en-CA"/>
        </w:rPr>
        <w:t xml:space="preserve">. Fera </w:t>
      </w:r>
      <w:r>
        <w:rPr>
          <w:lang w:val="en-CA"/>
        </w:rPr>
        <w:t>owed around</w:t>
      </w:r>
      <w:r w:rsidRPr="00894E75">
        <w:rPr>
          <w:lang w:val="en-CA"/>
        </w:rPr>
        <w:t xml:space="preserve"> </w:t>
      </w:r>
      <w:r>
        <w:rPr>
          <w:lang w:val="en-CA"/>
        </w:rPr>
        <w:t>$</w:t>
      </w:r>
      <w:r w:rsidRPr="00894E75">
        <w:rPr>
          <w:lang w:val="en-CA"/>
        </w:rPr>
        <w:t>120</w:t>
      </w:r>
      <w:r>
        <w:rPr>
          <w:lang w:val="en-CA"/>
        </w:rPr>
        <w:t>,</w:t>
      </w:r>
      <w:r w:rsidRPr="00894E75">
        <w:rPr>
          <w:lang w:val="en-CA"/>
        </w:rPr>
        <w:t>000</w:t>
      </w:r>
      <w:r>
        <w:rPr>
          <w:lang w:val="en-CA"/>
        </w:rPr>
        <w:t xml:space="preserve"> on which he was no longer able to pay interest.</w:t>
      </w:r>
      <w:r>
        <w:rPr>
          <w:rStyle w:val="Appelnotedebasdep"/>
          <w:lang w:val="en-CA"/>
        </w:rPr>
        <w:footnoteReference w:id="7"/>
      </w:r>
      <w:r>
        <w:rPr>
          <w:lang w:val="en-CA"/>
        </w:rPr>
        <w:t xml:space="preserve"> Between February 5 and 10,</w:t>
      </w:r>
      <w:r w:rsidRPr="00894E75">
        <w:rPr>
          <w:lang w:val="en-CA"/>
        </w:rPr>
        <w:t xml:space="preserve"> 2004, M</w:t>
      </w:r>
      <w:r>
        <w:rPr>
          <w:lang w:val="en-CA"/>
        </w:rPr>
        <w:t>r</w:t>
      </w:r>
      <w:r w:rsidRPr="00894E75">
        <w:rPr>
          <w:lang w:val="en-CA"/>
        </w:rPr>
        <w:t xml:space="preserve">. Fera </w:t>
      </w:r>
      <w:r>
        <w:rPr>
          <w:lang w:val="en-CA"/>
        </w:rPr>
        <w:t>contacted</w:t>
      </w:r>
      <w:r w:rsidRPr="00894E75">
        <w:rPr>
          <w:lang w:val="en-CA"/>
        </w:rPr>
        <w:t xml:space="preserve"> Michel Trudel, </w:t>
      </w:r>
      <w:r>
        <w:rPr>
          <w:lang w:val="en-CA"/>
        </w:rPr>
        <w:t>a former customer of the restaurant that he used to operate before its bankruptcy.</w:t>
      </w:r>
      <w:r>
        <w:rPr>
          <w:rStyle w:val="Appelnotedebasdep"/>
          <w:lang w:val="en-CA"/>
        </w:rPr>
        <w:footnoteReference w:id="8"/>
      </w:r>
      <w:r w:rsidRPr="00894E75">
        <w:rPr>
          <w:lang w:val="en-CA"/>
        </w:rPr>
        <w:t xml:space="preserve"> </w:t>
      </w:r>
      <w:r>
        <w:rPr>
          <w:lang w:val="en-CA"/>
        </w:rPr>
        <w:t>According to the latter’s testimony</w:t>
      </w:r>
      <w:r w:rsidRPr="00894E75">
        <w:rPr>
          <w:lang w:val="en-CA"/>
        </w:rPr>
        <w:t>, M</w:t>
      </w:r>
      <w:r>
        <w:rPr>
          <w:lang w:val="en-CA"/>
        </w:rPr>
        <w:t>r</w:t>
      </w:r>
      <w:r w:rsidRPr="00894E75">
        <w:rPr>
          <w:lang w:val="en-CA"/>
        </w:rPr>
        <w:t xml:space="preserve">. Fera </w:t>
      </w:r>
      <w:r>
        <w:rPr>
          <w:lang w:val="en-CA"/>
        </w:rPr>
        <w:t>wished to obtain a $</w:t>
      </w:r>
      <w:r w:rsidRPr="00894E75">
        <w:rPr>
          <w:lang w:val="en-CA"/>
        </w:rPr>
        <w:t>120</w:t>
      </w:r>
      <w:r>
        <w:rPr>
          <w:lang w:val="en-CA"/>
        </w:rPr>
        <w:t>,</w:t>
      </w:r>
      <w:r w:rsidRPr="00894E75">
        <w:rPr>
          <w:lang w:val="en-CA"/>
        </w:rPr>
        <w:t>000 </w:t>
      </w:r>
      <w:r>
        <w:rPr>
          <w:lang w:val="en-CA"/>
        </w:rPr>
        <w:t>loan from him</w:t>
      </w:r>
      <w:r w:rsidRPr="00894E75">
        <w:rPr>
          <w:lang w:val="en-CA"/>
        </w:rPr>
        <w:t xml:space="preserve">, </w:t>
      </w:r>
      <w:r>
        <w:rPr>
          <w:lang w:val="en-CA"/>
        </w:rPr>
        <w:t xml:space="preserve">which sum </w:t>
      </w:r>
      <w:r w:rsidRPr="00533599">
        <w:rPr>
          <w:lang w:val="en-CA"/>
        </w:rPr>
        <w:t>represented</w:t>
      </w:r>
      <w:r>
        <w:rPr>
          <w:lang w:val="en-CA"/>
        </w:rPr>
        <w:t xml:space="preserve"> </w:t>
      </w:r>
      <w:r w:rsidRPr="00533599">
        <w:rPr>
          <w:lang w:val="en-CA"/>
        </w:rPr>
        <w:t>almost to the penny</w:t>
      </w:r>
      <w:r>
        <w:rPr>
          <w:lang w:val="en-CA"/>
        </w:rPr>
        <w:t xml:space="preserve"> </w:t>
      </w:r>
      <w:r w:rsidRPr="00533599">
        <w:rPr>
          <w:lang w:val="en-CA"/>
        </w:rPr>
        <w:t>the total amount of the debts of the Fera-Panarello couple</w:t>
      </w:r>
      <w:r>
        <w:rPr>
          <w:lang w:val="en-CA"/>
        </w:rPr>
        <w:t>.</w:t>
      </w:r>
      <w:r>
        <w:rPr>
          <w:rStyle w:val="Appelnotedebasdep"/>
          <w:lang w:val="en-CA"/>
        </w:rPr>
        <w:footnoteReference w:id="9"/>
      </w:r>
      <w:r>
        <w:rPr>
          <w:lang w:val="en-CA"/>
        </w:rPr>
        <w:t xml:space="preserve"> To guarantee the loan, </w:t>
      </w:r>
      <w:r w:rsidRPr="00894E75">
        <w:rPr>
          <w:lang w:val="en-CA"/>
        </w:rPr>
        <w:t>M</w:t>
      </w:r>
      <w:r>
        <w:rPr>
          <w:lang w:val="en-CA"/>
        </w:rPr>
        <w:t>r</w:t>
      </w:r>
      <w:r w:rsidRPr="00894E75">
        <w:rPr>
          <w:lang w:val="en-CA"/>
        </w:rPr>
        <w:t xml:space="preserve">. Fera </w:t>
      </w:r>
      <w:r>
        <w:rPr>
          <w:lang w:val="en-CA"/>
        </w:rPr>
        <w:t>told</w:t>
      </w:r>
      <w:r w:rsidRPr="00894E75">
        <w:rPr>
          <w:lang w:val="en-CA"/>
        </w:rPr>
        <w:t xml:space="preserve"> </w:t>
      </w:r>
      <w:r>
        <w:rPr>
          <w:lang w:val="en-CA"/>
        </w:rPr>
        <w:t xml:space="preserve">Mr. </w:t>
      </w:r>
      <w:r w:rsidRPr="00894E75">
        <w:rPr>
          <w:lang w:val="en-CA"/>
        </w:rPr>
        <w:t xml:space="preserve">Trudel </w:t>
      </w:r>
      <w:r>
        <w:rPr>
          <w:lang w:val="en-CA"/>
        </w:rPr>
        <w:t>that he would soon be receiving a substantial amount from an inheritance</w:t>
      </w:r>
      <w:r w:rsidRPr="00894E75">
        <w:rPr>
          <w:lang w:val="en-CA"/>
        </w:rPr>
        <w:t>. Trudel refus</w:t>
      </w:r>
      <w:r>
        <w:rPr>
          <w:lang w:val="en-CA"/>
        </w:rPr>
        <w:t>ed</w:t>
      </w:r>
      <w:r w:rsidRPr="00894E75">
        <w:rPr>
          <w:lang w:val="en-CA"/>
        </w:rPr>
        <w:t>.</w:t>
      </w:r>
    </w:p>
    <w:p w14:paraId="3E43BD91" w14:textId="77777777" w:rsidR="00CC0181" w:rsidRPr="00894E75" w:rsidRDefault="00CC0181" w:rsidP="00FC5E99">
      <w:pPr>
        <w:pStyle w:val="Paragraphe"/>
        <w:spacing w:line="280" w:lineRule="exact"/>
        <w:rPr>
          <w:lang w:val="en-CA"/>
        </w:rPr>
      </w:pPr>
      <w:r>
        <w:rPr>
          <w:lang w:val="en-CA"/>
        </w:rPr>
        <w:t xml:space="preserve">The judge held that </w:t>
      </w:r>
      <w:r w:rsidRPr="00F61C37">
        <w:rPr>
          <w:lang w:val="en-CA"/>
        </w:rPr>
        <w:t xml:space="preserve">that Mr. Fera </w:t>
      </w:r>
      <w:r>
        <w:rPr>
          <w:lang w:val="en-CA"/>
        </w:rPr>
        <w:t>had not been</w:t>
      </w:r>
      <w:r w:rsidRPr="00F61C37">
        <w:rPr>
          <w:lang w:val="en-CA"/>
        </w:rPr>
        <w:t xml:space="preserve"> truthful when he spoke of an inheritance</w:t>
      </w:r>
      <w:r>
        <w:rPr>
          <w:lang w:val="en-CA"/>
        </w:rPr>
        <w:t>.</w:t>
      </w:r>
      <w:r>
        <w:rPr>
          <w:rStyle w:val="Appelnotedebasdep"/>
          <w:lang w:val="en-CA"/>
        </w:rPr>
        <w:footnoteReference w:id="10"/>
      </w:r>
      <w:r>
        <w:rPr>
          <w:lang w:val="en-CA"/>
        </w:rPr>
        <w:t xml:space="preserve"> However, despite the stress caused by the couple’s precarious financial situation, there was no indication that the couple was about to break up</w:t>
      </w:r>
      <w:r w:rsidRPr="00894E75">
        <w:rPr>
          <w:lang w:val="en-CA"/>
        </w:rPr>
        <w:t xml:space="preserve">. </w:t>
      </w:r>
      <w:r>
        <w:rPr>
          <w:lang w:val="en-CA"/>
        </w:rPr>
        <w:t>The evidence did not disclose any</w:t>
      </w:r>
      <w:r w:rsidRPr="00CE36DF">
        <w:rPr>
          <w:lang w:val="en-CA"/>
        </w:rPr>
        <w:t xml:space="preserve"> arguments </w:t>
      </w:r>
      <w:r>
        <w:rPr>
          <w:lang w:val="en-CA"/>
        </w:rPr>
        <w:t>or</w:t>
      </w:r>
      <w:r w:rsidRPr="00CE36DF">
        <w:rPr>
          <w:lang w:val="en-CA"/>
        </w:rPr>
        <w:t xml:space="preserve"> violence </w:t>
      </w:r>
      <w:r>
        <w:rPr>
          <w:lang w:val="en-CA"/>
        </w:rPr>
        <w:t>between</w:t>
      </w:r>
      <w:r w:rsidRPr="00CE36DF">
        <w:rPr>
          <w:lang w:val="en-CA"/>
        </w:rPr>
        <w:t xml:space="preserve"> the couple</w:t>
      </w:r>
      <w:r>
        <w:rPr>
          <w:lang w:val="en-CA"/>
        </w:rPr>
        <w:t>.</w:t>
      </w:r>
      <w:r>
        <w:rPr>
          <w:rStyle w:val="Appelnotedebasdep"/>
          <w:lang w:val="en-CA"/>
        </w:rPr>
        <w:footnoteReference w:id="11"/>
      </w:r>
    </w:p>
    <w:p w14:paraId="47CC430F" w14:textId="77777777" w:rsidR="00CC0181" w:rsidRPr="00894E75" w:rsidRDefault="00CC0181" w:rsidP="00FC5E99">
      <w:pPr>
        <w:pStyle w:val="Paragraphe"/>
        <w:spacing w:line="280" w:lineRule="exact"/>
        <w:rPr>
          <w:lang w:val="en-CA"/>
        </w:rPr>
      </w:pPr>
      <w:r>
        <w:rPr>
          <w:lang w:val="en-CA"/>
        </w:rPr>
        <w:t>Following Ms. </w:t>
      </w:r>
      <w:r w:rsidRPr="00894E75">
        <w:rPr>
          <w:lang w:val="en-CA"/>
        </w:rPr>
        <w:t>Panarello</w:t>
      </w:r>
      <w:r>
        <w:rPr>
          <w:lang w:val="en-CA"/>
        </w:rPr>
        <w:t>’s murder</w:t>
      </w:r>
      <w:r w:rsidRPr="00894E75">
        <w:rPr>
          <w:lang w:val="en-CA"/>
        </w:rPr>
        <w:t>, M</w:t>
      </w:r>
      <w:r>
        <w:rPr>
          <w:lang w:val="en-CA"/>
        </w:rPr>
        <w:t>r</w:t>
      </w:r>
      <w:r w:rsidRPr="00894E75">
        <w:rPr>
          <w:lang w:val="en-CA"/>
        </w:rPr>
        <w:t>. Fera</w:t>
      </w:r>
      <w:r>
        <w:rPr>
          <w:lang w:val="en-CA"/>
        </w:rPr>
        <w:t>’s financial situation changed considerably</w:t>
      </w:r>
      <w:r w:rsidRPr="00894E75">
        <w:rPr>
          <w:lang w:val="en-CA"/>
        </w:rPr>
        <w:t xml:space="preserve">. </w:t>
      </w:r>
      <w:r>
        <w:rPr>
          <w:lang w:val="en-CA"/>
        </w:rPr>
        <w:t>The couple’s mortgage life insurance policy allowed the mortgage loan on the family residence to be repaid in full.</w:t>
      </w:r>
      <w:r>
        <w:rPr>
          <w:rStyle w:val="Appelnotedebasdep"/>
          <w:lang w:val="en-CA"/>
        </w:rPr>
        <w:footnoteReference w:id="12"/>
      </w:r>
      <w:r w:rsidRPr="00894E75">
        <w:rPr>
          <w:lang w:val="en-CA"/>
        </w:rPr>
        <w:t xml:space="preserve"> </w:t>
      </w:r>
      <w:r>
        <w:rPr>
          <w:lang w:val="en-CA"/>
        </w:rPr>
        <w:t>The sale of the house allowed Mr. Fera to pay off</w:t>
      </w:r>
      <w:r w:rsidRPr="00894E75">
        <w:rPr>
          <w:lang w:val="en-CA"/>
        </w:rPr>
        <w:t xml:space="preserve"> </w:t>
      </w:r>
      <w:r>
        <w:rPr>
          <w:lang w:val="en-CA"/>
        </w:rPr>
        <w:t>the couple’s joint debts and his own,</w:t>
      </w:r>
      <w:r>
        <w:rPr>
          <w:rStyle w:val="Appelnotedebasdep"/>
          <w:lang w:val="en-CA"/>
        </w:rPr>
        <w:footnoteReference w:id="13"/>
      </w:r>
      <w:r w:rsidRPr="00894E75">
        <w:rPr>
          <w:lang w:val="en-CA"/>
        </w:rPr>
        <w:t xml:space="preserve"> </w:t>
      </w:r>
      <w:r>
        <w:rPr>
          <w:lang w:val="en-CA"/>
        </w:rPr>
        <w:t>while leaving a balance</w:t>
      </w:r>
      <w:r w:rsidRPr="00894E75">
        <w:rPr>
          <w:lang w:val="en-CA"/>
        </w:rPr>
        <w:t>.</w:t>
      </w:r>
    </w:p>
    <w:p w14:paraId="0235790F" w14:textId="77777777" w:rsidR="00CC0181" w:rsidRPr="00894E75" w:rsidRDefault="00CC0181" w:rsidP="00FC5E99">
      <w:pPr>
        <w:pStyle w:val="Paragraphe"/>
        <w:spacing w:line="280" w:lineRule="exact"/>
        <w:rPr>
          <w:lang w:val="en-CA"/>
        </w:rPr>
      </w:pPr>
      <w:r>
        <w:rPr>
          <w:lang w:val="en-CA"/>
        </w:rPr>
        <w:t>Further</w:t>
      </w:r>
      <w:r w:rsidRPr="00894E75">
        <w:rPr>
          <w:lang w:val="en-CA"/>
        </w:rPr>
        <w:t>,</w:t>
      </w:r>
      <w:r>
        <w:rPr>
          <w:lang w:val="en-CA"/>
        </w:rPr>
        <w:t xml:space="preserve"> </w:t>
      </w:r>
      <w:r w:rsidRPr="00894E75">
        <w:rPr>
          <w:lang w:val="en-CA"/>
        </w:rPr>
        <w:t>M</w:t>
      </w:r>
      <w:r>
        <w:rPr>
          <w:lang w:val="en-CA"/>
        </w:rPr>
        <w:t>r</w:t>
      </w:r>
      <w:r w:rsidRPr="00894E75">
        <w:rPr>
          <w:lang w:val="en-CA"/>
        </w:rPr>
        <w:t>. Fera</w:t>
      </w:r>
      <w:r>
        <w:rPr>
          <w:lang w:val="en-CA"/>
        </w:rPr>
        <w:t xml:space="preserve"> also received</w:t>
      </w:r>
      <w:r w:rsidRPr="00894E75">
        <w:rPr>
          <w:lang w:val="en-CA"/>
        </w:rPr>
        <w:t xml:space="preserve"> </w:t>
      </w:r>
      <w:r>
        <w:rPr>
          <w:lang w:val="en-CA"/>
        </w:rPr>
        <w:t>two payments totalling approximately</w:t>
      </w:r>
      <w:r w:rsidRPr="00894E75">
        <w:rPr>
          <w:lang w:val="en-CA"/>
        </w:rPr>
        <w:t xml:space="preserve"> </w:t>
      </w:r>
      <w:r>
        <w:rPr>
          <w:lang w:val="en-CA"/>
        </w:rPr>
        <w:t>$</w:t>
      </w:r>
      <w:r w:rsidRPr="00894E75">
        <w:rPr>
          <w:lang w:val="en-CA"/>
        </w:rPr>
        <w:t>200</w:t>
      </w:r>
      <w:r>
        <w:rPr>
          <w:lang w:val="en-CA"/>
        </w:rPr>
        <w:t>,</w:t>
      </w:r>
      <w:r w:rsidRPr="00894E75">
        <w:rPr>
          <w:lang w:val="en-CA"/>
        </w:rPr>
        <w:t>000 </w:t>
      </w:r>
      <w:r>
        <w:rPr>
          <w:lang w:val="en-CA"/>
        </w:rPr>
        <w:t>from two life insurance policies</w:t>
      </w:r>
      <w:r w:rsidRPr="00894E75">
        <w:rPr>
          <w:lang w:val="en-CA"/>
        </w:rPr>
        <w:t xml:space="preserve"> </w:t>
      </w:r>
      <w:r>
        <w:rPr>
          <w:lang w:val="en-CA"/>
        </w:rPr>
        <w:t>held by</w:t>
      </w:r>
      <w:r w:rsidRPr="00894E75">
        <w:rPr>
          <w:lang w:val="en-CA"/>
        </w:rPr>
        <w:t xml:space="preserve"> M</w:t>
      </w:r>
      <w:r>
        <w:rPr>
          <w:lang w:val="en-CA"/>
        </w:rPr>
        <w:t>s.</w:t>
      </w:r>
      <w:r w:rsidRPr="00894E75">
        <w:rPr>
          <w:lang w:val="en-CA"/>
        </w:rPr>
        <w:t> Panarello</w:t>
      </w:r>
      <w:r>
        <w:rPr>
          <w:lang w:val="en-CA"/>
        </w:rPr>
        <w:t xml:space="preserve"> through her employer.</w:t>
      </w:r>
      <w:r>
        <w:rPr>
          <w:rStyle w:val="Appelnotedebasdep"/>
          <w:lang w:val="en-CA"/>
        </w:rPr>
        <w:footnoteReference w:id="14"/>
      </w:r>
      <w:r w:rsidRPr="00894E75">
        <w:rPr>
          <w:lang w:val="en-CA"/>
        </w:rPr>
        <w:t xml:space="preserve"> </w:t>
      </w:r>
      <w:r>
        <w:rPr>
          <w:lang w:val="en-CA"/>
        </w:rPr>
        <w:t>The judge found that</w:t>
      </w:r>
      <w:r w:rsidRPr="00894E75">
        <w:rPr>
          <w:lang w:val="en-CA"/>
        </w:rPr>
        <w:t xml:space="preserve"> M</w:t>
      </w:r>
      <w:r>
        <w:rPr>
          <w:lang w:val="en-CA"/>
        </w:rPr>
        <w:t>r</w:t>
      </w:r>
      <w:r w:rsidRPr="00894E75">
        <w:rPr>
          <w:lang w:val="en-CA"/>
        </w:rPr>
        <w:t xml:space="preserve">. Fera </w:t>
      </w:r>
      <w:r>
        <w:rPr>
          <w:lang w:val="en-CA"/>
        </w:rPr>
        <w:t xml:space="preserve">was unaware </w:t>
      </w:r>
      <w:r w:rsidRPr="004663E4">
        <w:rPr>
          <w:lang w:val="en-CA"/>
        </w:rPr>
        <w:t xml:space="preserve">of the existence of </w:t>
      </w:r>
      <w:r>
        <w:rPr>
          <w:lang w:val="en-CA"/>
        </w:rPr>
        <w:t>those policies prior to his wife’s murder.</w:t>
      </w:r>
      <w:r>
        <w:rPr>
          <w:rStyle w:val="Appelnotedebasdep"/>
          <w:lang w:val="en-CA"/>
        </w:rPr>
        <w:footnoteReference w:id="15"/>
      </w:r>
    </w:p>
    <w:p w14:paraId="5871E96C" w14:textId="77777777" w:rsidR="00CC0181" w:rsidRPr="00894E75" w:rsidRDefault="00CC0181" w:rsidP="009E0FFF">
      <w:pPr>
        <w:pStyle w:val="Titre3"/>
        <w:numPr>
          <w:ilvl w:val="0"/>
          <w:numId w:val="37"/>
        </w:numPr>
        <w:rPr>
          <w:b/>
          <w:bCs/>
          <w:lang w:val="en-CA"/>
        </w:rPr>
      </w:pPr>
      <w:r>
        <w:rPr>
          <w:b/>
          <w:bCs/>
          <w:lang w:val="en-CA"/>
        </w:rPr>
        <w:lastRenderedPageBreak/>
        <w:t>The Crime Scene</w:t>
      </w:r>
    </w:p>
    <w:p w14:paraId="2514BE30" w14:textId="77777777" w:rsidR="00CC0181" w:rsidRPr="00894E75" w:rsidRDefault="00CC0181" w:rsidP="009E0FFF">
      <w:pPr>
        <w:pStyle w:val="Titre4"/>
        <w:numPr>
          <w:ilvl w:val="0"/>
          <w:numId w:val="38"/>
        </w:numPr>
        <w:rPr>
          <w:b w:val="0"/>
          <w:bCs/>
          <w:lang w:val="en-CA"/>
        </w:rPr>
      </w:pPr>
      <w:r>
        <w:rPr>
          <w:b w:val="0"/>
          <w:bCs/>
          <w:lang w:val="en-CA"/>
        </w:rPr>
        <w:t>The discovery of the victim’s body</w:t>
      </w:r>
    </w:p>
    <w:p w14:paraId="27D0FBC6" w14:textId="77777777" w:rsidR="00CC0181" w:rsidRPr="00894E75" w:rsidRDefault="00CC0181" w:rsidP="00FC5E99">
      <w:pPr>
        <w:pStyle w:val="Paragraphe"/>
        <w:spacing w:line="280" w:lineRule="exact"/>
        <w:rPr>
          <w:lang w:val="en-CA"/>
        </w:rPr>
      </w:pPr>
      <w:r>
        <w:rPr>
          <w:lang w:val="en-CA"/>
        </w:rPr>
        <w:t>At 10 a.m. o</w:t>
      </w:r>
      <w:r w:rsidRPr="00FC316A">
        <w:rPr>
          <w:lang w:val="en-CA"/>
        </w:rPr>
        <w:t xml:space="preserve">n February 12, 2004, Mr. Fera received a call from </w:t>
      </w:r>
      <w:r>
        <w:rPr>
          <w:lang w:val="en-CA"/>
        </w:rPr>
        <w:t>one of his wife’s</w:t>
      </w:r>
      <w:r w:rsidRPr="00FC316A">
        <w:rPr>
          <w:lang w:val="en-CA"/>
        </w:rPr>
        <w:t xml:space="preserve"> </w:t>
      </w:r>
      <w:r>
        <w:rPr>
          <w:lang w:val="en-CA"/>
        </w:rPr>
        <w:t xml:space="preserve">work </w:t>
      </w:r>
      <w:r w:rsidRPr="00FC316A">
        <w:rPr>
          <w:lang w:val="en-CA"/>
        </w:rPr>
        <w:t>colleague</w:t>
      </w:r>
      <w:r>
        <w:rPr>
          <w:lang w:val="en-CA"/>
        </w:rPr>
        <w:t>s</w:t>
      </w:r>
      <w:r w:rsidRPr="00FC316A">
        <w:rPr>
          <w:lang w:val="en-CA"/>
        </w:rPr>
        <w:t xml:space="preserve"> inform</w:t>
      </w:r>
      <w:r>
        <w:rPr>
          <w:lang w:val="en-CA"/>
        </w:rPr>
        <w:t>ing him</w:t>
      </w:r>
      <w:r w:rsidRPr="00FC316A">
        <w:rPr>
          <w:lang w:val="en-CA"/>
        </w:rPr>
        <w:t xml:space="preserve"> that</w:t>
      </w:r>
      <w:r>
        <w:rPr>
          <w:lang w:val="en-CA"/>
        </w:rPr>
        <w:t xml:space="preserve"> </w:t>
      </w:r>
      <w:r w:rsidRPr="00FC316A">
        <w:rPr>
          <w:lang w:val="en-CA"/>
        </w:rPr>
        <w:t xml:space="preserve">she had not </w:t>
      </w:r>
      <w:r>
        <w:rPr>
          <w:lang w:val="en-CA"/>
        </w:rPr>
        <w:t>shown up for work</w:t>
      </w:r>
      <w:r w:rsidRPr="00894E75">
        <w:rPr>
          <w:lang w:val="en-CA"/>
        </w:rPr>
        <w:t xml:space="preserve">. </w:t>
      </w:r>
      <w:r>
        <w:rPr>
          <w:lang w:val="en-CA"/>
        </w:rPr>
        <w:t>Therefore, he</w:t>
      </w:r>
      <w:r w:rsidRPr="009B7BAA">
        <w:rPr>
          <w:lang w:val="en-CA"/>
        </w:rPr>
        <w:t xml:space="preserve"> called his mother-in-law</w:t>
      </w:r>
      <w:r>
        <w:rPr>
          <w:lang w:val="en-CA"/>
        </w:rPr>
        <w:t xml:space="preserve"> and asked her</w:t>
      </w:r>
      <w:r w:rsidRPr="009B7BAA">
        <w:rPr>
          <w:lang w:val="en-CA"/>
        </w:rPr>
        <w:t xml:space="preserve"> if </w:t>
      </w:r>
      <w:r>
        <w:rPr>
          <w:lang w:val="en-CA"/>
        </w:rPr>
        <w:t xml:space="preserve">his wife </w:t>
      </w:r>
      <w:r w:rsidRPr="009B7BAA">
        <w:rPr>
          <w:lang w:val="en-CA"/>
        </w:rPr>
        <w:t>had an</w:t>
      </w:r>
      <w:r>
        <w:rPr>
          <w:lang w:val="en-CA"/>
        </w:rPr>
        <w:t>y</w:t>
      </w:r>
      <w:r w:rsidRPr="009B7BAA">
        <w:rPr>
          <w:lang w:val="en-CA"/>
        </w:rPr>
        <w:t xml:space="preserve"> appointment</w:t>
      </w:r>
      <w:r>
        <w:rPr>
          <w:lang w:val="en-CA"/>
        </w:rPr>
        <w:t>s</w:t>
      </w:r>
      <w:r w:rsidRPr="009B7BAA">
        <w:rPr>
          <w:lang w:val="en-CA"/>
        </w:rPr>
        <w:t xml:space="preserve"> </w:t>
      </w:r>
      <w:r>
        <w:rPr>
          <w:lang w:val="en-CA"/>
        </w:rPr>
        <w:t xml:space="preserve">scheduled </w:t>
      </w:r>
      <w:r w:rsidRPr="009B7BAA">
        <w:rPr>
          <w:lang w:val="en-CA"/>
        </w:rPr>
        <w:t xml:space="preserve">that </w:t>
      </w:r>
      <w:r>
        <w:rPr>
          <w:lang w:val="en-CA"/>
        </w:rPr>
        <w:t>day</w:t>
      </w:r>
      <w:r w:rsidRPr="009B7BAA">
        <w:rPr>
          <w:lang w:val="en-CA"/>
        </w:rPr>
        <w:t xml:space="preserve">. </w:t>
      </w:r>
      <w:r>
        <w:rPr>
          <w:lang w:val="en-CA"/>
        </w:rPr>
        <w:t>I</w:t>
      </w:r>
      <w:r w:rsidRPr="009B7BAA">
        <w:rPr>
          <w:lang w:val="en-CA"/>
        </w:rPr>
        <w:t xml:space="preserve">t was </w:t>
      </w:r>
      <w:r>
        <w:rPr>
          <w:lang w:val="en-CA"/>
        </w:rPr>
        <w:t xml:space="preserve">agreed </w:t>
      </w:r>
      <w:r w:rsidRPr="009B7BAA">
        <w:rPr>
          <w:lang w:val="en-CA"/>
        </w:rPr>
        <w:t xml:space="preserve">that </w:t>
      </w:r>
      <w:r>
        <w:rPr>
          <w:lang w:val="en-CA"/>
        </w:rPr>
        <w:t>the mother-in-law</w:t>
      </w:r>
      <w:r w:rsidRPr="009B7BAA">
        <w:rPr>
          <w:lang w:val="en-CA"/>
        </w:rPr>
        <w:t xml:space="preserve"> would go to the </w:t>
      </w:r>
      <w:r>
        <w:rPr>
          <w:lang w:val="en-CA"/>
        </w:rPr>
        <w:t>couple’s</w:t>
      </w:r>
      <w:r w:rsidRPr="009B7BAA">
        <w:rPr>
          <w:lang w:val="en-CA"/>
        </w:rPr>
        <w:t xml:space="preserve"> residence</w:t>
      </w:r>
      <w:r>
        <w:rPr>
          <w:lang w:val="en-CA"/>
        </w:rPr>
        <w:t xml:space="preserve"> to check on things</w:t>
      </w:r>
      <w:r w:rsidRPr="00894E75">
        <w:rPr>
          <w:lang w:val="en-CA"/>
        </w:rPr>
        <w:t>.</w:t>
      </w:r>
    </w:p>
    <w:p w14:paraId="1757A796" w14:textId="77777777" w:rsidR="00CC0181" w:rsidRPr="00894E75" w:rsidRDefault="00CC0181" w:rsidP="00FC5E99">
      <w:pPr>
        <w:pStyle w:val="Paragraphe"/>
        <w:spacing w:line="280" w:lineRule="exact"/>
        <w:rPr>
          <w:lang w:val="en-CA"/>
        </w:rPr>
      </w:pPr>
      <w:r>
        <w:rPr>
          <w:lang w:val="en-CA"/>
        </w:rPr>
        <w:t>When s</w:t>
      </w:r>
      <w:r w:rsidRPr="00E240EF">
        <w:rPr>
          <w:lang w:val="en-CA"/>
        </w:rPr>
        <w:t xml:space="preserve">he arrived </w:t>
      </w:r>
      <w:r>
        <w:rPr>
          <w:lang w:val="en-CA"/>
        </w:rPr>
        <w:t>there</w:t>
      </w:r>
      <w:r w:rsidRPr="00E240EF">
        <w:rPr>
          <w:lang w:val="en-CA"/>
        </w:rPr>
        <w:t xml:space="preserve"> at around 10</w:t>
      </w:r>
      <w:r>
        <w:rPr>
          <w:lang w:val="en-CA"/>
        </w:rPr>
        <w:t>:</w:t>
      </w:r>
      <w:r w:rsidRPr="00E240EF">
        <w:rPr>
          <w:lang w:val="en-CA"/>
        </w:rPr>
        <w:t>30</w:t>
      </w:r>
      <w:r>
        <w:rPr>
          <w:lang w:val="en-CA"/>
        </w:rPr>
        <w:t xml:space="preserve"> a.m.,</w:t>
      </w:r>
      <w:r w:rsidRPr="00E240EF">
        <w:rPr>
          <w:lang w:val="en-CA"/>
        </w:rPr>
        <w:t xml:space="preserve"> </w:t>
      </w:r>
      <w:r>
        <w:rPr>
          <w:lang w:val="en-CA"/>
        </w:rPr>
        <w:t>she</w:t>
      </w:r>
      <w:r w:rsidRPr="00E240EF">
        <w:rPr>
          <w:lang w:val="en-CA"/>
        </w:rPr>
        <w:t xml:space="preserve"> notic</w:t>
      </w:r>
      <w:r>
        <w:rPr>
          <w:lang w:val="en-CA"/>
        </w:rPr>
        <w:t>ed</w:t>
      </w:r>
      <w:r w:rsidRPr="00E240EF">
        <w:rPr>
          <w:lang w:val="en-CA"/>
        </w:rPr>
        <w:t xml:space="preserve"> that there was an accumulation of snow on the first steps leading up to the </w:t>
      </w:r>
      <w:r>
        <w:rPr>
          <w:lang w:val="en-CA"/>
        </w:rPr>
        <w:t xml:space="preserve">front </w:t>
      </w:r>
      <w:r w:rsidRPr="00E240EF">
        <w:rPr>
          <w:lang w:val="en-CA"/>
        </w:rPr>
        <w:t xml:space="preserve">door. </w:t>
      </w:r>
      <w:r>
        <w:rPr>
          <w:lang w:val="en-CA"/>
        </w:rPr>
        <w:t>There was one set of footprints, but s</w:t>
      </w:r>
      <w:r w:rsidRPr="00E240EF">
        <w:rPr>
          <w:lang w:val="en-CA"/>
        </w:rPr>
        <w:t xml:space="preserve">he could not </w:t>
      </w:r>
      <w:r>
        <w:rPr>
          <w:lang w:val="en-CA"/>
        </w:rPr>
        <w:t>tell in</w:t>
      </w:r>
      <w:r w:rsidRPr="00E240EF">
        <w:rPr>
          <w:lang w:val="en-CA"/>
        </w:rPr>
        <w:t xml:space="preserve"> what direction </w:t>
      </w:r>
      <w:r>
        <w:rPr>
          <w:lang w:val="en-CA"/>
        </w:rPr>
        <w:t>they pointed</w:t>
      </w:r>
      <w:r w:rsidRPr="00E240EF">
        <w:rPr>
          <w:lang w:val="en-CA"/>
        </w:rPr>
        <w:t xml:space="preserve">. </w:t>
      </w:r>
      <w:r>
        <w:rPr>
          <w:lang w:val="en-CA"/>
        </w:rPr>
        <w:t>S</w:t>
      </w:r>
      <w:r w:rsidRPr="00E240EF">
        <w:rPr>
          <w:lang w:val="en-CA"/>
        </w:rPr>
        <w:t xml:space="preserve">he </w:t>
      </w:r>
      <w:r>
        <w:rPr>
          <w:lang w:val="en-CA"/>
        </w:rPr>
        <w:t>could not</w:t>
      </w:r>
      <w:r w:rsidRPr="00E240EF">
        <w:rPr>
          <w:lang w:val="en-CA"/>
        </w:rPr>
        <w:t xml:space="preserve"> say </w:t>
      </w:r>
      <w:r>
        <w:rPr>
          <w:lang w:val="en-CA"/>
        </w:rPr>
        <w:t>whether</w:t>
      </w:r>
      <w:r w:rsidRPr="00E240EF">
        <w:rPr>
          <w:lang w:val="en-CA"/>
        </w:rPr>
        <w:t xml:space="preserve"> the door was locked</w:t>
      </w:r>
      <w:r>
        <w:rPr>
          <w:lang w:val="en-CA"/>
        </w:rPr>
        <w:t xml:space="preserve"> when she arrived</w:t>
      </w:r>
      <w:r w:rsidRPr="00894E75">
        <w:rPr>
          <w:lang w:val="en-CA"/>
        </w:rPr>
        <w:t xml:space="preserve">. </w:t>
      </w:r>
      <w:r w:rsidRPr="00E240EF">
        <w:rPr>
          <w:lang w:val="en-CA"/>
        </w:rPr>
        <w:t>She went upstairs</w:t>
      </w:r>
      <w:r>
        <w:rPr>
          <w:lang w:val="en-CA"/>
        </w:rPr>
        <w:t xml:space="preserve"> and found that t</w:t>
      </w:r>
      <w:r w:rsidRPr="00E240EF">
        <w:rPr>
          <w:lang w:val="en-CA"/>
        </w:rPr>
        <w:t>he door to the master bedroom was shut</w:t>
      </w:r>
      <w:r w:rsidRPr="00894E75">
        <w:rPr>
          <w:lang w:val="en-CA"/>
        </w:rPr>
        <w:t xml:space="preserve">. </w:t>
      </w:r>
      <w:r>
        <w:rPr>
          <w:lang w:val="en-CA"/>
        </w:rPr>
        <w:t xml:space="preserve">There, she discovered her daughter’s body, bloodied and </w:t>
      </w:r>
      <w:r w:rsidRPr="00D0302A">
        <w:rPr>
          <w:lang w:val="en-CA"/>
        </w:rPr>
        <w:t>lying on the back</w:t>
      </w:r>
      <w:r>
        <w:rPr>
          <w:lang w:val="en-CA"/>
        </w:rPr>
        <w:t xml:space="preserve"> between the bedroom and the adjoining bathroom</w:t>
      </w:r>
      <w:r w:rsidRPr="00894E75">
        <w:rPr>
          <w:lang w:val="en-CA"/>
        </w:rPr>
        <w:t>.</w:t>
      </w:r>
      <w:r>
        <w:rPr>
          <w:lang w:val="en-CA"/>
        </w:rPr>
        <w:t xml:space="preserve"> She left the bedroom in a state of extreme distress and called the police.</w:t>
      </w:r>
      <w:r>
        <w:rPr>
          <w:rStyle w:val="Appelnotedebasdep"/>
          <w:lang w:val="en-CA"/>
        </w:rPr>
        <w:footnoteReference w:id="16"/>
      </w:r>
    </w:p>
    <w:p w14:paraId="18C4D201" w14:textId="77777777" w:rsidR="00CC0181" w:rsidRPr="00894E75" w:rsidRDefault="00CC0181" w:rsidP="009E0FFF">
      <w:pPr>
        <w:pStyle w:val="Titre4"/>
        <w:numPr>
          <w:ilvl w:val="0"/>
          <w:numId w:val="39"/>
        </w:numPr>
        <w:rPr>
          <w:b w:val="0"/>
          <w:bCs/>
          <w:lang w:val="en-CA"/>
        </w:rPr>
      </w:pPr>
      <w:r>
        <w:rPr>
          <w:b w:val="0"/>
          <w:bCs/>
          <w:lang w:val="en-CA"/>
        </w:rPr>
        <w:t>The conditions at the scene</w:t>
      </w:r>
    </w:p>
    <w:p w14:paraId="51B91FCB" w14:textId="77777777" w:rsidR="00CC0181" w:rsidRPr="00894E75" w:rsidRDefault="00CC0181" w:rsidP="00FC5E99">
      <w:pPr>
        <w:pStyle w:val="Paragraphe"/>
        <w:spacing w:line="280" w:lineRule="exact"/>
        <w:rPr>
          <w:lang w:val="en-CA"/>
        </w:rPr>
      </w:pPr>
      <w:r>
        <w:rPr>
          <w:lang w:val="en-CA"/>
        </w:rPr>
        <w:t>The judge found that the evidence definitively excluded the possibility that the murderer had entered by one of the neighbouring yards</w:t>
      </w:r>
      <w:r w:rsidRPr="00894E75">
        <w:rPr>
          <w:lang w:val="en-CA"/>
        </w:rPr>
        <w:t xml:space="preserve">. </w:t>
      </w:r>
      <w:r>
        <w:rPr>
          <w:lang w:val="en-CA"/>
        </w:rPr>
        <w:t xml:space="preserve">In his view, it would have been </w:t>
      </w:r>
      <w:r w:rsidRPr="00AA3078">
        <w:rPr>
          <w:lang w:val="en-CA"/>
        </w:rPr>
        <w:t xml:space="preserve">impossible to enter </w:t>
      </w:r>
      <w:r>
        <w:rPr>
          <w:lang w:val="en-CA"/>
        </w:rPr>
        <w:t xml:space="preserve">the house </w:t>
      </w:r>
      <w:r w:rsidRPr="00AA3078">
        <w:rPr>
          <w:lang w:val="en-CA"/>
        </w:rPr>
        <w:t>through the basement windows as all were equipped with metal bars</w:t>
      </w:r>
      <w:r w:rsidRPr="00894E75">
        <w:rPr>
          <w:lang w:val="en-CA"/>
        </w:rPr>
        <w:t xml:space="preserve">. </w:t>
      </w:r>
      <w:r>
        <w:rPr>
          <w:lang w:val="en-CA"/>
        </w:rPr>
        <w:t>The crime scene technician</w:t>
      </w:r>
      <w:r w:rsidRPr="00894E75">
        <w:rPr>
          <w:lang w:val="en-CA"/>
        </w:rPr>
        <w:t xml:space="preserve"> </w:t>
      </w:r>
      <w:r>
        <w:rPr>
          <w:lang w:val="en-CA"/>
        </w:rPr>
        <w:t>submitted that the lock on front door did not appear to have been picked</w:t>
      </w:r>
      <w:r w:rsidRPr="00894E75">
        <w:rPr>
          <w:lang w:val="en-CA"/>
        </w:rPr>
        <w:t xml:space="preserve">. </w:t>
      </w:r>
      <w:r>
        <w:rPr>
          <w:lang w:val="en-CA"/>
        </w:rPr>
        <w:t>The latter did however concede that there would have been no evidence of picking if the tools used were</w:t>
      </w:r>
      <w:r w:rsidRPr="00EC1769">
        <w:rPr>
          <w:lang w:val="en-CA"/>
        </w:rPr>
        <w:t xml:space="preserve"> composed of a softer metal than the metal composition of the lock itself</w:t>
      </w:r>
      <w:r>
        <w:rPr>
          <w:lang w:val="en-CA"/>
        </w:rPr>
        <w:t>.</w:t>
      </w:r>
      <w:r>
        <w:rPr>
          <w:rStyle w:val="Appelnotedebasdep"/>
          <w:lang w:val="en-CA"/>
        </w:rPr>
        <w:footnoteReference w:id="17"/>
      </w:r>
      <w:r w:rsidRPr="00894E75">
        <w:rPr>
          <w:lang w:val="en-CA"/>
        </w:rPr>
        <w:t xml:space="preserve"> </w:t>
      </w:r>
      <w:r>
        <w:rPr>
          <w:lang w:val="en-CA"/>
        </w:rPr>
        <w:t>Finally, an intruder could have left the residence by the garage door while leaving all the doors of the house locked.</w:t>
      </w:r>
      <w:r>
        <w:rPr>
          <w:rStyle w:val="Appelnotedebasdep"/>
          <w:lang w:val="en-CA"/>
        </w:rPr>
        <w:footnoteReference w:id="18"/>
      </w:r>
    </w:p>
    <w:p w14:paraId="460587C3" w14:textId="77777777" w:rsidR="00CC0181" w:rsidRPr="00894E75" w:rsidRDefault="00CC0181" w:rsidP="009E0FFF">
      <w:pPr>
        <w:pStyle w:val="Titre4"/>
        <w:numPr>
          <w:ilvl w:val="0"/>
          <w:numId w:val="39"/>
        </w:numPr>
        <w:rPr>
          <w:b w:val="0"/>
          <w:bCs/>
          <w:lang w:val="en-CA"/>
        </w:rPr>
      </w:pPr>
      <w:r>
        <w:rPr>
          <w:b w:val="0"/>
          <w:bCs/>
          <w:lang w:val="en-CA"/>
        </w:rPr>
        <w:t>The v</w:t>
      </w:r>
      <w:r w:rsidRPr="00894E75">
        <w:rPr>
          <w:b w:val="0"/>
          <w:bCs/>
          <w:lang w:val="en-CA"/>
        </w:rPr>
        <w:t xml:space="preserve">iolence </w:t>
      </w:r>
      <w:r>
        <w:rPr>
          <w:b w:val="0"/>
          <w:bCs/>
          <w:lang w:val="en-CA"/>
        </w:rPr>
        <w:t>of the attack</w:t>
      </w:r>
    </w:p>
    <w:p w14:paraId="5D361596" w14:textId="77777777" w:rsidR="00CC0181" w:rsidRPr="00894E75" w:rsidRDefault="00CC0181" w:rsidP="00FC5E99">
      <w:pPr>
        <w:pStyle w:val="Paragraphe"/>
        <w:spacing w:line="280" w:lineRule="exact"/>
        <w:rPr>
          <w:lang w:val="en-CA"/>
        </w:rPr>
      </w:pPr>
      <w:r>
        <w:rPr>
          <w:lang w:val="en-CA"/>
        </w:rPr>
        <w:t>At the time of the attack, Ms. Panarello had not yet finished getting ready for the day</w:t>
      </w:r>
      <w:r w:rsidRPr="00894E75">
        <w:rPr>
          <w:lang w:val="en-CA"/>
        </w:rPr>
        <w:t xml:space="preserve">. </w:t>
      </w:r>
      <w:r>
        <w:rPr>
          <w:lang w:val="en-CA"/>
        </w:rPr>
        <w:t>A hard blow</w:t>
      </w:r>
      <w:r w:rsidRPr="00894E75">
        <w:rPr>
          <w:lang w:val="en-CA"/>
        </w:rPr>
        <w:t xml:space="preserve"> </w:t>
      </w:r>
      <w:r>
        <w:rPr>
          <w:lang w:val="en-CA"/>
        </w:rPr>
        <w:t>had thrown a bedside table-lamp to the ground</w:t>
      </w:r>
      <w:r w:rsidRPr="00894E75">
        <w:rPr>
          <w:lang w:val="en-CA"/>
        </w:rPr>
        <w:t xml:space="preserve"> </w:t>
      </w:r>
      <w:r>
        <w:rPr>
          <w:lang w:val="en-CA"/>
        </w:rPr>
        <w:t>and a clothes rack had been overturned</w:t>
      </w:r>
      <w:r w:rsidRPr="00894E75">
        <w:rPr>
          <w:lang w:val="en-CA"/>
        </w:rPr>
        <w:t xml:space="preserve">. </w:t>
      </w:r>
      <w:r>
        <w:rPr>
          <w:lang w:val="en-CA"/>
        </w:rPr>
        <w:t xml:space="preserve">When police arrived at the scene, they noticed that </w:t>
      </w:r>
      <w:r w:rsidRPr="00D00B2A">
        <w:rPr>
          <w:lang w:val="en-CA"/>
        </w:rPr>
        <w:t xml:space="preserve">water was </w:t>
      </w:r>
      <w:r>
        <w:rPr>
          <w:lang w:val="en-CA"/>
        </w:rPr>
        <w:t xml:space="preserve">still </w:t>
      </w:r>
      <w:r w:rsidRPr="00D00B2A">
        <w:rPr>
          <w:lang w:val="en-CA"/>
        </w:rPr>
        <w:t>running from the bathroom faucet</w:t>
      </w:r>
      <w:r w:rsidRPr="00894E75">
        <w:rPr>
          <w:lang w:val="en-CA"/>
        </w:rPr>
        <w:t xml:space="preserve">. </w:t>
      </w:r>
      <w:r>
        <w:rPr>
          <w:lang w:val="en-CA"/>
        </w:rPr>
        <w:t xml:space="preserve">The judge noted that the presence of diluted blood and a bloodied towel hanging behind the bathroom door </w:t>
      </w:r>
      <w:r w:rsidRPr="00D00B2A">
        <w:rPr>
          <w:lang w:val="en-CA"/>
        </w:rPr>
        <w:t>permit</w:t>
      </w:r>
      <w:r>
        <w:rPr>
          <w:lang w:val="en-CA"/>
        </w:rPr>
        <w:t>ted</w:t>
      </w:r>
      <w:r w:rsidRPr="00D00B2A">
        <w:rPr>
          <w:lang w:val="en-CA"/>
        </w:rPr>
        <w:t xml:space="preserve"> the inference that the </w:t>
      </w:r>
      <w:r>
        <w:rPr>
          <w:lang w:val="en-CA"/>
        </w:rPr>
        <w:t>murderer had</w:t>
      </w:r>
      <w:r w:rsidRPr="00D00B2A">
        <w:rPr>
          <w:lang w:val="en-CA"/>
        </w:rPr>
        <w:t xml:space="preserve"> washed himself </w:t>
      </w:r>
      <w:r>
        <w:rPr>
          <w:lang w:val="en-CA"/>
        </w:rPr>
        <w:t>after having killed the victim</w:t>
      </w:r>
      <w:r w:rsidRPr="00894E75">
        <w:rPr>
          <w:lang w:val="en-CA"/>
        </w:rPr>
        <w:t xml:space="preserve">. </w:t>
      </w:r>
      <w:r>
        <w:rPr>
          <w:lang w:val="en-CA"/>
        </w:rPr>
        <w:t>The latter apparently stole a ring and a bracelet that the victim always wore</w:t>
      </w:r>
      <w:r w:rsidRPr="00894E75">
        <w:rPr>
          <w:lang w:val="en-CA"/>
        </w:rPr>
        <w:t xml:space="preserve">. </w:t>
      </w:r>
      <w:r>
        <w:rPr>
          <w:lang w:val="en-CA"/>
        </w:rPr>
        <w:t>He apparently also stole o</w:t>
      </w:r>
      <w:r w:rsidRPr="000F608F">
        <w:rPr>
          <w:lang w:val="en-CA"/>
        </w:rPr>
        <w:t xml:space="preserve">ther jewelry items and cash </w:t>
      </w:r>
      <w:r>
        <w:rPr>
          <w:lang w:val="en-CA"/>
        </w:rPr>
        <w:t>that were in one of the</w:t>
      </w:r>
      <w:r w:rsidRPr="000F608F">
        <w:rPr>
          <w:lang w:val="en-CA"/>
        </w:rPr>
        <w:t xml:space="preserve"> drawer</w:t>
      </w:r>
      <w:r>
        <w:rPr>
          <w:lang w:val="en-CA"/>
        </w:rPr>
        <w:t xml:space="preserve">s </w:t>
      </w:r>
      <w:r w:rsidRPr="000F608F">
        <w:rPr>
          <w:lang w:val="en-CA"/>
        </w:rPr>
        <w:t xml:space="preserve">of </w:t>
      </w:r>
      <w:r>
        <w:rPr>
          <w:lang w:val="en-CA"/>
        </w:rPr>
        <w:t xml:space="preserve">the bedroom </w:t>
      </w:r>
      <w:r w:rsidRPr="000F608F">
        <w:rPr>
          <w:lang w:val="en-CA"/>
        </w:rPr>
        <w:t>dresser</w:t>
      </w:r>
      <w:r>
        <w:rPr>
          <w:lang w:val="en-CA"/>
        </w:rPr>
        <w:t xml:space="preserve">, the only drawer </w:t>
      </w:r>
      <w:r>
        <w:rPr>
          <w:lang w:val="en-CA"/>
        </w:rPr>
        <w:lastRenderedPageBreak/>
        <w:t>that had been removed</w:t>
      </w:r>
      <w:r w:rsidRPr="00894E75">
        <w:rPr>
          <w:lang w:val="en-CA"/>
        </w:rPr>
        <w:t xml:space="preserve">. </w:t>
      </w:r>
      <w:r>
        <w:rPr>
          <w:lang w:val="en-CA"/>
        </w:rPr>
        <w:t>The intruder did not appear to have searched the other rooms of the house.</w:t>
      </w:r>
      <w:r>
        <w:rPr>
          <w:rStyle w:val="Appelnotedebasdep"/>
          <w:lang w:val="en-CA"/>
        </w:rPr>
        <w:footnoteReference w:id="19"/>
      </w:r>
    </w:p>
    <w:p w14:paraId="7EE6FBD9" w14:textId="77777777" w:rsidR="00CC0181" w:rsidRPr="00894E75" w:rsidRDefault="00CC0181" w:rsidP="00FC5E99">
      <w:pPr>
        <w:pStyle w:val="Paragraphe"/>
        <w:spacing w:line="280" w:lineRule="exact"/>
        <w:rPr>
          <w:lang w:val="en-CA"/>
        </w:rPr>
      </w:pPr>
      <w:r>
        <w:rPr>
          <w:lang w:val="en-CA"/>
        </w:rPr>
        <w:t>The pathologist concluded that the attack had been vicious</w:t>
      </w:r>
      <w:r w:rsidRPr="00894E75">
        <w:rPr>
          <w:lang w:val="en-CA"/>
        </w:rPr>
        <w:t xml:space="preserve">. </w:t>
      </w:r>
      <w:r>
        <w:rPr>
          <w:lang w:val="en-CA"/>
        </w:rPr>
        <w:t>She noted the presence of 30 wounds inflicted by a sharp object</w:t>
      </w:r>
      <w:r w:rsidRPr="00894E75">
        <w:rPr>
          <w:lang w:val="en-CA"/>
        </w:rPr>
        <w:t xml:space="preserve">. </w:t>
      </w:r>
      <w:r>
        <w:rPr>
          <w:lang w:val="en-CA"/>
        </w:rPr>
        <w:t>Five of those wounds</w:t>
      </w:r>
      <w:r w:rsidRPr="00894E75">
        <w:rPr>
          <w:lang w:val="en-CA"/>
        </w:rPr>
        <w:t xml:space="preserve"> (</w:t>
      </w:r>
      <w:r>
        <w:rPr>
          <w:lang w:val="en-CA"/>
        </w:rPr>
        <w:t>to the arms and fingers</w:t>
      </w:r>
      <w:r w:rsidRPr="00894E75">
        <w:rPr>
          <w:lang w:val="en-CA"/>
        </w:rPr>
        <w:t xml:space="preserve">) </w:t>
      </w:r>
      <w:r>
        <w:rPr>
          <w:lang w:val="en-CA"/>
        </w:rPr>
        <w:t>were defensive in nature</w:t>
      </w:r>
      <w:r w:rsidRPr="00894E75">
        <w:rPr>
          <w:lang w:val="en-CA"/>
        </w:rPr>
        <w:t xml:space="preserve">. </w:t>
      </w:r>
      <w:r>
        <w:rPr>
          <w:lang w:val="en-CA"/>
        </w:rPr>
        <w:t>According to that expert, the victim would have been able to scream or yell during the attack</w:t>
      </w:r>
      <w:r w:rsidRPr="00894E75">
        <w:rPr>
          <w:lang w:val="en-CA"/>
        </w:rPr>
        <w:t xml:space="preserve">. </w:t>
      </w:r>
      <w:r>
        <w:rPr>
          <w:lang w:val="en-CA"/>
        </w:rPr>
        <w:t>The time of death could not be established with any degree of certainty.</w:t>
      </w:r>
      <w:r>
        <w:rPr>
          <w:rStyle w:val="Appelnotedebasdep"/>
          <w:lang w:val="en-CA"/>
        </w:rPr>
        <w:footnoteReference w:id="20"/>
      </w:r>
    </w:p>
    <w:p w14:paraId="7E58A44C" w14:textId="77777777" w:rsidR="00CC0181" w:rsidRPr="00894E75" w:rsidRDefault="00CC0181" w:rsidP="00FC5E99">
      <w:pPr>
        <w:pStyle w:val="Paragraphe"/>
        <w:spacing w:line="280" w:lineRule="exact"/>
        <w:rPr>
          <w:lang w:val="en-CA"/>
        </w:rPr>
      </w:pPr>
      <w:r>
        <w:rPr>
          <w:lang w:val="en-CA"/>
        </w:rPr>
        <w:t xml:space="preserve">For her part, the forensic biologist testified that the attack </w:t>
      </w:r>
      <w:r w:rsidRPr="001157D6">
        <w:rPr>
          <w:lang w:val="en-CA"/>
        </w:rPr>
        <w:t>appear</w:t>
      </w:r>
      <w:r>
        <w:rPr>
          <w:lang w:val="en-CA"/>
        </w:rPr>
        <w:t>ed</w:t>
      </w:r>
      <w:r w:rsidRPr="001157D6">
        <w:rPr>
          <w:lang w:val="en-CA"/>
        </w:rPr>
        <w:t xml:space="preserve"> to have occurred quickly, </w:t>
      </w:r>
      <w:r>
        <w:rPr>
          <w:lang w:val="en-CA"/>
        </w:rPr>
        <w:t>and that it was possible that the murderer had not been splattered by a large amount of blood.</w:t>
      </w:r>
      <w:r>
        <w:rPr>
          <w:rStyle w:val="Appelnotedebasdep"/>
          <w:lang w:val="en-CA"/>
        </w:rPr>
        <w:footnoteReference w:id="21"/>
      </w:r>
      <w:r w:rsidRPr="00894E75">
        <w:rPr>
          <w:lang w:val="en-CA"/>
        </w:rPr>
        <w:t xml:space="preserve"> </w:t>
      </w:r>
      <w:r>
        <w:rPr>
          <w:lang w:val="en-CA"/>
        </w:rPr>
        <w:t>However</w:t>
      </w:r>
      <w:r w:rsidRPr="00894E75">
        <w:rPr>
          <w:lang w:val="en-CA"/>
        </w:rPr>
        <w:t xml:space="preserve">, </w:t>
      </w:r>
      <w:r>
        <w:rPr>
          <w:lang w:val="en-CA"/>
        </w:rPr>
        <w:t xml:space="preserve">the judge concluded that it was highly unlikely that no trace of blood would have been </w:t>
      </w:r>
      <w:r w:rsidRPr="00BF01C2">
        <w:rPr>
          <w:lang w:val="en-CA"/>
        </w:rPr>
        <w:t>left on the assailant’s clothing</w:t>
      </w:r>
      <w:r w:rsidRPr="00894E75">
        <w:rPr>
          <w:lang w:val="en-CA"/>
        </w:rPr>
        <w:t xml:space="preserve">. </w:t>
      </w:r>
      <w:r>
        <w:rPr>
          <w:lang w:val="en-CA"/>
        </w:rPr>
        <w:t>In particular, he noted the existence of blood spatters everywhere in the bathroom, diluted blood and the bloodied towel</w:t>
      </w:r>
      <w:r w:rsidRPr="00894E75">
        <w:rPr>
          <w:lang w:val="en-CA"/>
        </w:rPr>
        <w:t xml:space="preserve">. </w:t>
      </w:r>
      <w:r>
        <w:rPr>
          <w:lang w:val="en-CA"/>
        </w:rPr>
        <w:t>Further, he noted that the respondent’s blood had not been found in the bathroom and that the DNA found under the victim’s fingernails did not match the respondent’s DNA profile.</w:t>
      </w:r>
      <w:r>
        <w:rPr>
          <w:rStyle w:val="Appelnotedebasdep"/>
          <w:lang w:val="en-CA"/>
        </w:rPr>
        <w:footnoteReference w:id="22"/>
      </w:r>
    </w:p>
    <w:p w14:paraId="29A3EA2D" w14:textId="77777777" w:rsidR="00CC0181" w:rsidRPr="00894E75" w:rsidRDefault="00CC0181" w:rsidP="009E0FFF">
      <w:pPr>
        <w:pStyle w:val="Titre4"/>
        <w:numPr>
          <w:ilvl w:val="0"/>
          <w:numId w:val="39"/>
        </w:numPr>
        <w:rPr>
          <w:b w:val="0"/>
          <w:bCs/>
          <w:lang w:val="en-CA"/>
        </w:rPr>
      </w:pPr>
      <w:r>
        <w:rPr>
          <w:b w:val="0"/>
          <w:bCs/>
          <w:lang w:val="en-CA"/>
        </w:rPr>
        <w:t>The knife</w:t>
      </w:r>
    </w:p>
    <w:p w14:paraId="105B8FDA" w14:textId="77777777" w:rsidR="00CC0181" w:rsidRPr="00894E75" w:rsidRDefault="00CC0181" w:rsidP="00FC5E99">
      <w:pPr>
        <w:pStyle w:val="Paragraphe"/>
        <w:spacing w:line="280" w:lineRule="exact"/>
        <w:rPr>
          <w:lang w:val="en-CA"/>
        </w:rPr>
      </w:pPr>
      <w:r>
        <w:rPr>
          <w:lang w:val="en-CA"/>
        </w:rPr>
        <w:t>While inspecting the premises, a police officer noticed that the dishwasher had been recently used</w:t>
      </w:r>
      <w:r w:rsidRPr="00894E75">
        <w:rPr>
          <w:lang w:val="en-CA"/>
        </w:rPr>
        <w:t xml:space="preserve">. </w:t>
      </w:r>
      <w:r>
        <w:rPr>
          <w:lang w:val="en-CA"/>
        </w:rPr>
        <w:t>Upon opening it, he observed that it contained a few dishes and some utensils</w:t>
      </w:r>
      <w:r w:rsidRPr="00894E75">
        <w:rPr>
          <w:lang w:val="en-CA"/>
        </w:rPr>
        <w:t xml:space="preserve">. </w:t>
      </w:r>
      <w:r>
        <w:rPr>
          <w:lang w:val="en-CA"/>
        </w:rPr>
        <w:t>However, he noticed that the dishwasher contained a large knife for cutting meat</w:t>
      </w:r>
      <w:r w:rsidRPr="00894E75">
        <w:rPr>
          <w:lang w:val="en-CA"/>
        </w:rPr>
        <w:t xml:space="preserve">. </w:t>
      </w:r>
      <w:r>
        <w:rPr>
          <w:lang w:val="en-CA"/>
        </w:rPr>
        <w:t>The dimensions of that knife matched those of the weapon that was likely used to commit the murder. The prosecution alleged that that was the weapon used to kill the victim, even though the forensic biologist concluded that there was no trace of blood on that knife</w:t>
      </w:r>
      <w:r w:rsidRPr="00894E75">
        <w:rPr>
          <w:lang w:val="en-CA"/>
        </w:rPr>
        <w:t>.</w:t>
      </w:r>
      <w:r>
        <w:rPr>
          <w:rStyle w:val="Appelnotedebasdep"/>
          <w:lang w:val="en-CA"/>
        </w:rPr>
        <w:footnoteReference w:id="23"/>
      </w:r>
      <w:r w:rsidRPr="00894E75">
        <w:rPr>
          <w:lang w:val="en-CA"/>
        </w:rPr>
        <w:t xml:space="preserve"> </w:t>
      </w:r>
      <w:r>
        <w:rPr>
          <w:lang w:val="en-CA"/>
        </w:rPr>
        <w:t>The judge concluded that he accorded no probative value to the police officer’s testimony</w:t>
      </w:r>
      <w:r>
        <w:rPr>
          <w:rStyle w:val="Appelnotedebasdep"/>
          <w:lang w:val="en-CA"/>
        </w:rPr>
        <w:footnoteReference w:id="24"/>
      </w:r>
      <w:r w:rsidRPr="00894E75">
        <w:rPr>
          <w:lang w:val="en-CA"/>
        </w:rPr>
        <w:t xml:space="preserve"> </w:t>
      </w:r>
      <w:r>
        <w:rPr>
          <w:lang w:val="en-CA"/>
        </w:rPr>
        <w:t>and added that he could not conclude that that knife was the murder weapon</w:t>
      </w:r>
      <w:r w:rsidRPr="00894E75">
        <w:rPr>
          <w:lang w:val="en-CA"/>
        </w:rPr>
        <w:t>.</w:t>
      </w:r>
    </w:p>
    <w:p w14:paraId="23AA46F5" w14:textId="77777777" w:rsidR="00CC0181" w:rsidRPr="00261F5E" w:rsidRDefault="00CC0181" w:rsidP="009E0FFF">
      <w:pPr>
        <w:pStyle w:val="Titre4"/>
        <w:numPr>
          <w:ilvl w:val="0"/>
          <w:numId w:val="37"/>
        </w:numPr>
        <w:rPr>
          <w:lang w:val="en-CA"/>
        </w:rPr>
      </w:pPr>
      <w:r w:rsidRPr="00261F5E">
        <w:rPr>
          <w:lang w:val="en-CA"/>
        </w:rPr>
        <w:t>Mr. Fera’s testimony</w:t>
      </w:r>
    </w:p>
    <w:p w14:paraId="5670F7A6" w14:textId="77777777" w:rsidR="00CC0181" w:rsidRPr="00894E75" w:rsidRDefault="00CC0181" w:rsidP="00FC5E99">
      <w:pPr>
        <w:pStyle w:val="Paragraphe"/>
        <w:spacing w:line="280" w:lineRule="exact"/>
        <w:rPr>
          <w:lang w:val="en-CA"/>
        </w:rPr>
      </w:pPr>
      <w:r>
        <w:rPr>
          <w:lang w:val="en-CA"/>
        </w:rPr>
        <w:t>On the day of the murder</w:t>
      </w:r>
      <w:r w:rsidRPr="00894E75">
        <w:rPr>
          <w:lang w:val="en-CA"/>
        </w:rPr>
        <w:t>, M</w:t>
      </w:r>
      <w:r>
        <w:rPr>
          <w:lang w:val="en-CA"/>
        </w:rPr>
        <w:t>r</w:t>
      </w:r>
      <w:r w:rsidRPr="00894E75">
        <w:rPr>
          <w:lang w:val="en-CA"/>
        </w:rPr>
        <w:t xml:space="preserve">. Fera </w:t>
      </w:r>
      <w:r>
        <w:rPr>
          <w:lang w:val="en-CA"/>
        </w:rPr>
        <w:t>and his wife got up between</w:t>
      </w:r>
      <w:r w:rsidRPr="00894E75">
        <w:rPr>
          <w:lang w:val="en-CA"/>
        </w:rPr>
        <w:t xml:space="preserve"> 6</w:t>
      </w:r>
      <w:r>
        <w:rPr>
          <w:lang w:val="en-CA"/>
        </w:rPr>
        <w:t xml:space="preserve"> a.m.</w:t>
      </w:r>
      <w:r w:rsidRPr="00894E75">
        <w:rPr>
          <w:lang w:val="en-CA"/>
        </w:rPr>
        <w:t xml:space="preserve"> </w:t>
      </w:r>
      <w:r>
        <w:rPr>
          <w:lang w:val="en-CA"/>
        </w:rPr>
        <w:t>and</w:t>
      </w:r>
      <w:r w:rsidRPr="00894E75">
        <w:rPr>
          <w:lang w:val="en-CA"/>
        </w:rPr>
        <w:t xml:space="preserve"> 6</w:t>
      </w:r>
      <w:r>
        <w:rPr>
          <w:lang w:val="en-CA"/>
        </w:rPr>
        <w:t>:</w:t>
      </w:r>
      <w:r w:rsidRPr="00894E75">
        <w:rPr>
          <w:lang w:val="en-CA"/>
        </w:rPr>
        <w:t>15</w:t>
      </w:r>
      <w:r>
        <w:rPr>
          <w:lang w:val="en-CA"/>
        </w:rPr>
        <w:t> a.m</w:t>
      </w:r>
      <w:r w:rsidRPr="00894E75">
        <w:rPr>
          <w:lang w:val="en-CA"/>
        </w:rPr>
        <w:t xml:space="preserve">. </w:t>
      </w:r>
      <w:r>
        <w:rPr>
          <w:lang w:val="en-CA"/>
        </w:rPr>
        <w:t>They then woke up their two daughters</w:t>
      </w:r>
      <w:r w:rsidRPr="00894E75">
        <w:rPr>
          <w:lang w:val="en-CA"/>
        </w:rPr>
        <w:t xml:space="preserve">. </w:t>
      </w:r>
      <w:r>
        <w:rPr>
          <w:lang w:val="en-CA"/>
        </w:rPr>
        <w:t xml:space="preserve">The eldest daughter left the house at </w:t>
      </w:r>
      <w:r w:rsidRPr="00894E75">
        <w:rPr>
          <w:lang w:val="en-CA"/>
        </w:rPr>
        <w:t xml:space="preserve">7 </w:t>
      </w:r>
      <w:r>
        <w:rPr>
          <w:lang w:val="en-CA"/>
        </w:rPr>
        <w:t>a.m</w:t>
      </w:r>
      <w:r w:rsidRPr="00894E75">
        <w:rPr>
          <w:lang w:val="en-CA"/>
        </w:rPr>
        <w:t xml:space="preserve">. </w:t>
      </w:r>
      <w:r>
        <w:rPr>
          <w:lang w:val="en-CA"/>
        </w:rPr>
        <w:t>Mr.</w:t>
      </w:r>
      <w:r w:rsidRPr="00894E75">
        <w:rPr>
          <w:lang w:val="en-CA"/>
        </w:rPr>
        <w:t xml:space="preserve"> Fera </w:t>
      </w:r>
      <w:r>
        <w:rPr>
          <w:lang w:val="en-CA"/>
        </w:rPr>
        <w:t>left the house between</w:t>
      </w:r>
      <w:r w:rsidRPr="00894E75">
        <w:rPr>
          <w:lang w:val="en-CA"/>
        </w:rPr>
        <w:t xml:space="preserve"> 7</w:t>
      </w:r>
      <w:r>
        <w:rPr>
          <w:lang w:val="en-CA"/>
        </w:rPr>
        <w:t>:</w:t>
      </w:r>
      <w:r w:rsidRPr="00894E75">
        <w:rPr>
          <w:lang w:val="en-CA"/>
        </w:rPr>
        <w:t>15</w:t>
      </w:r>
      <w:r>
        <w:rPr>
          <w:lang w:val="en-CA"/>
        </w:rPr>
        <w:t xml:space="preserve"> a.m.</w:t>
      </w:r>
      <w:r w:rsidRPr="00894E75">
        <w:rPr>
          <w:lang w:val="en-CA"/>
        </w:rPr>
        <w:t xml:space="preserve"> </w:t>
      </w:r>
      <w:r>
        <w:rPr>
          <w:lang w:val="en-CA"/>
        </w:rPr>
        <w:t xml:space="preserve">and </w:t>
      </w:r>
      <w:r w:rsidRPr="00894E75">
        <w:rPr>
          <w:lang w:val="en-CA"/>
        </w:rPr>
        <w:t>7</w:t>
      </w:r>
      <w:r>
        <w:rPr>
          <w:lang w:val="en-CA"/>
        </w:rPr>
        <w:t>:</w:t>
      </w:r>
      <w:r w:rsidRPr="00894E75">
        <w:rPr>
          <w:lang w:val="en-CA"/>
        </w:rPr>
        <w:t>20</w:t>
      </w:r>
      <w:r>
        <w:rPr>
          <w:lang w:val="en-CA"/>
        </w:rPr>
        <w:t xml:space="preserve"> a.m.</w:t>
      </w:r>
      <w:r w:rsidRPr="00894E75">
        <w:rPr>
          <w:lang w:val="en-CA"/>
        </w:rPr>
        <w:t xml:space="preserve"> </w:t>
      </w:r>
      <w:r>
        <w:rPr>
          <w:lang w:val="en-CA"/>
        </w:rPr>
        <w:t>together with his youngest daughter.</w:t>
      </w:r>
      <w:r>
        <w:rPr>
          <w:rStyle w:val="Appelnotedebasdep"/>
          <w:lang w:val="en-CA"/>
        </w:rPr>
        <w:footnoteReference w:id="25"/>
      </w:r>
      <w:r w:rsidRPr="00894E75">
        <w:rPr>
          <w:lang w:val="en-CA"/>
        </w:rPr>
        <w:t xml:space="preserve"> </w:t>
      </w:r>
      <w:r>
        <w:rPr>
          <w:lang w:val="en-CA"/>
        </w:rPr>
        <w:t>Approximately 10 minutes a</w:t>
      </w:r>
      <w:r w:rsidRPr="00D607F8">
        <w:rPr>
          <w:lang w:val="en-CA"/>
        </w:rPr>
        <w:t xml:space="preserve">fter leaving the residence, he called </w:t>
      </w:r>
      <w:r>
        <w:rPr>
          <w:lang w:val="en-CA"/>
        </w:rPr>
        <w:t>his wife</w:t>
      </w:r>
      <w:r w:rsidRPr="00D607F8">
        <w:rPr>
          <w:lang w:val="en-CA"/>
        </w:rPr>
        <w:t xml:space="preserve"> to </w:t>
      </w:r>
      <w:r w:rsidRPr="00D607F8">
        <w:rPr>
          <w:lang w:val="en-CA"/>
        </w:rPr>
        <w:lastRenderedPageBreak/>
        <w:t>provide her</w:t>
      </w:r>
      <w:r>
        <w:rPr>
          <w:lang w:val="en-CA"/>
        </w:rPr>
        <w:t xml:space="preserve"> with</w:t>
      </w:r>
      <w:r w:rsidRPr="00D607F8">
        <w:rPr>
          <w:lang w:val="en-CA"/>
        </w:rPr>
        <w:t xml:space="preserve"> a traffic update</w:t>
      </w:r>
      <w:r w:rsidRPr="00894E75">
        <w:rPr>
          <w:lang w:val="en-CA"/>
        </w:rPr>
        <w:t xml:space="preserve">. </w:t>
      </w:r>
      <w:r>
        <w:rPr>
          <w:lang w:val="en-CA"/>
        </w:rPr>
        <w:t>He tried to reach her on her cell phone and on the house’s land line</w:t>
      </w:r>
      <w:r w:rsidRPr="00894E75">
        <w:rPr>
          <w:lang w:val="en-CA"/>
        </w:rPr>
        <w:t xml:space="preserve">. </w:t>
      </w:r>
      <w:r>
        <w:rPr>
          <w:lang w:val="en-CA"/>
        </w:rPr>
        <w:t>No one answered</w:t>
      </w:r>
      <w:r w:rsidRPr="00894E75">
        <w:rPr>
          <w:lang w:val="en-CA"/>
        </w:rPr>
        <w:t>.</w:t>
      </w:r>
    </w:p>
    <w:p w14:paraId="46D9828E" w14:textId="77777777" w:rsidR="00CC0181" w:rsidRPr="00894E75" w:rsidRDefault="00CC0181" w:rsidP="00FC5E99">
      <w:pPr>
        <w:pStyle w:val="Paragraphe"/>
        <w:spacing w:line="280" w:lineRule="exact"/>
        <w:rPr>
          <w:lang w:val="en-CA"/>
        </w:rPr>
      </w:pPr>
      <w:r>
        <w:rPr>
          <w:lang w:val="en-CA"/>
        </w:rPr>
        <w:t>At</w:t>
      </w:r>
      <w:r w:rsidRPr="00894E75">
        <w:rPr>
          <w:lang w:val="en-CA"/>
        </w:rPr>
        <w:t xml:space="preserve"> 10 </w:t>
      </w:r>
      <w:r>
        <w:rPr>
          <w:lang w:val="en-CA"/>
        </w:rPr>
        <w:t>a.m.</w:t>
      </w:r>
      <w:r w:rsidRPr="00894E75">
        <w:rPr>
          <w:lang w:val="en-CA"/>
        </w:rPr>
        <w:t xml:space="preserve">, </w:t>
      </w:r>
      <w:r>
        <w:rPr>
          <w:lang w:val="en-CA"/>
        </w:rPr>
        <w:t>he received a phone call from his wife’s employer telling him that she had not shown up for work</w:t>
      </w:r>
      <w:r w:rsidRPr="00894E75">
        <w:rPr>
          <w:lang w:val="en-CA"/>
        </w:rPr>
        <w:t xml:space="preserve">. </w:t>
      </w:r>
      <w:r>
        <w:rPr>
          <w:lang w:val="en-CA"/>
        </w:rPr>
        <w:t>He called her again, but she did not answer</w:t>
      </w:r>
      <w:r w:rsidRPr="00894E75">
        <w:rPr>
          <w:lang w:val="en-CA"/>
        </w:rPr>
        <w:t xml:space="preserve">. </w:t>
      </w:r>
      <w:r>
        <w:rPr>
          <w:lang w:val="en-CA"/>
        </w:rPr>
        <w:t>Therefore, he called his mother-in-law and they agreed that she would go to the house</w:t>
      </w:r>
      <w:r w:rsidRPr="00894E75">
        <w:rPr>
          <w:lang w:val="en-CA"/>
        </w:rPr>
        <w:t xml:space="preserve">. </w:t>
      </w:r>
      <w:r>
        <w:rPr>
          <w:lang w:val="en-CA"/>
        </w:rPr>
        <w:t>At</w:t>
      </w:r>
      <w:r w:rsidRPr="00894E75">
        <w:rPr>
          <w:lang w:val="en-CA"/>
        </w:rPr>
        <w:t xml:space="preserve"> 11</w:t>
      </w:r>
      <w:r>
        <w:rPr>
          <w:lang w:val="en-CA"/>
        </w:rPr>
        <w:t xml:space="preserve"> a.m.</w:t>
      </w:r>
      <w:r w:rsidRPr="00894E75">
        <w:rPr>
          <w:lang w:val="en-CA"/>
        </w:rPr>
        <w:t xml:space="preserve">, </w:t>
      </w:r>
      <w:r>
        <w:rPr>
          <w:lang w:val="en-CA"/>
        </w:rPr>
        <w:t>he received a call from her</w:t>
      </w:r>
      <w:r w:rsidRPr="00894E75">
        <w:rPr>
          <w:lang w:val="en-CA"/>
        </w:rPr>
        <w:t xml:space="preserve">. </w:t>
      </w:r>
      <w:r>
        <w:rPr>
          <w:lang w:val="en-CA"/>
        </w:rPr>
        <w:t>She was in a state of distress</w:t>
      </w:r>
      <w:r w:rsidRPr="00894E75">
        <w:rPr>
          <w:lang w:val="en-CA"/>
        </w:rPr>
        <w:t xml:space="preserve">. </w:t>
      </w:r>
      <w:r>
        <w:rPr>
          <w:lang w:val="en-CA"/>
        </w:rPr>
        <w:t>He immediately headed home.</w:t>
      </w:r>
      <w:r>
        <w:rPr>
          <w:rStyle w:val="Appelnotedebasdep"/>
          <w:lang w:val="en-CA"/>
        </w:rPr>
        <w:footnoteReference w:id="26"/>
      </w:r>
    </w:p>
    <w:p w14:paraId="217266F7" w14:textId="77777777" w:rsidR="00CC0181" w:rsidRPr="00261F5E" w:rsidRDefault="00CC0181" w:rsidP="009E0FFF">
      <w:pPr>
        <w:pStyle w:val="Titre4"/>
        <w:numPr>
          <w:ilvl w:val="0"/>
          <w:numId w:val="37"/>
        </w:numPr>
        <w:ind w:left="714" w:hanging="357"/>
        <w:rPr>
          <w:lang w:val="en-CA"/>
        </w:rPr>
      </w:pPr>
      <w:r w:rsidRPr="00261F5E">
        <w:rPr>
          <w:lang w:val="en-CA"/>
        </w:rPr>
        <w:t>Mr. Fera’s demeanour on the morning of his wife’s death and afterward</w:t>
      </w:r>
    </w:p>
    <w:p w14:paraId="3CE4E25B" w14:textId="77777777" w:rsidR="00CC0181" w:rsidRPr="00894E75" w:rsidRDefault="00CC0181" w:rsidP="00FC5E99">
      <w:pPr>
        <w:pStyle w:val="Paragraphe"/>
        <w:spacing w:line="280" w:lineRule="exact"/>
        <w:rPr>
          <w:lang w:val="en-CA"/>
        </w:rPr>
      </w:pPr>
      <w:r>
        <w:rPr>
          <w:lang w:val="en-CA"/>
        </w:rPr>
        <w:t>Many people testified about their interactions with Mr. Fera following the murder</w:t>
      </w:r>
      <w:r w:rsidRPr="00894E75">
        <w:rPr>
          <w:lang w:val="en-CA"/>
        </w:rPr>
        <w:t>.</w:t>
      </w:r>
    </w:p>
    <w:p w14:paraId="33CC819E" w14:textId="77777777" w:rsidR="00CC0181" w:rsidRPr="00894E75" w:rsidRDefault="00CC0181" w:rsidP="00FC5E99">
      <w:pPr>
        <w:pStyle w:val="Paragraphe"/>
        <w:spacing w:line="280" w:lineRule="exact"/>
        <w:rPr>
          <w:lang w:val="en-CA"/>
        </w:rPr>
      </w:pPr>
      <w:r>
        <w:rPr>
          <w:lang w:val="en-CA"/>
        </w:rPr>
        <w:t>The people who met</w:t>
      </w:r>
      <w:r w:rsidRPr="00894E75">
        <w:rPr>
          <w:lang w:val="en-CA"/>
        </w:rPr>
        <w:t xml:space="preserve"> M</w:t>
      </w:r>
      <w:r>
        <w:rPr>
          <w:lang w:val="en-CA"/>
        </w:rPr>
        <w:t>r</w:t>
      </w:r>
      <w:r w:rsidRPr="00894E75">
        <w:rPr>
          <w:lang w:val="en-CA"/>
        </w:rPr>
        <w:t xml:space="preserve">. Fera </w:t>
      </w:r>
      <w:r>
        <w:rPr>
          <w:lang w:val="en-CA"/>
        </w:rPr>
        <w:t>when he took his daughter to school at around 7:52 a.m. did not notice anything unusual in his demeanour.</w:t>
      </w:r>
      <w:r>
        <w:rPr>
          <w:rStyle w:val="Appelnotedebasdep"/>
          <w:lang w:val="en-CA"/>
        </w:rPr>
        <w:footnoteReference w:id="27"/>
      </w:r>
    </w:p>
    <w:p w14:paraId="47956BF4" w14:textId="77777777" w:rsidR="00CC0181" w:rsidRPr="00894E75" w:rsidRDefault="00CC0181" w:rsidP="00FC5E99">
      <w:pPr>
        <w:pStyle w:val="Paragraphe"/>
        <w:spacing w:line="280" w:lineRule="exact"/>
        <w:rPr>
          <w:lang w:val="en-CA"/>
        </w:rPr>
      </w:pPr>
      <w:r>
        <w:rPr>
          <w:lang w:val="en-CA"/>
        </w:rPr>
        <w:t>When she arrived at work</w:t>
      </w:r>
      <w:r w:rsidRPr="00894E75">
        <w:rPr>
          <w:lang w:val="en-CA"/>
        </w:rPr>
        <w:t xml:space="preserve">, Sylvie Roy, </w:t>
      </w:r>
      <w:r>
        <w:rPr>
          <w:lang w:val="en-CA"/>
        </w:rPr>
        <w:t>a colleague who had worked with Mr. Fera for approximately 15 years and whom Mr</w:t>
      </w:r>
      <w:r w:rsidRPr="00894E75">
        <w:rPr>
          <w:lang w:val="en-CA"/>
        </w:rPr>
        <w:t xml:space="preserve">. Fera </w:t>
      </w:r>
      <w:r>
        <w:rPr>
          <w:lang w:val="en-CA"/>
        </w:rPr>
        <w:t>described as a confidante</w:t>
      </w:r>
      <w:r w:rsidRPr="00894E75">
        <w:rPr>
          <w:lang w:val="en-CA"/>
        </w:rPr>
        <w:t xml:space="preserve">, </w:t>
      </w:r>
      <w:r>
        <w:rPr>
          <w:lang w:val="en-CA"/>
        </w:rPr>
        <w:t>did not notice anything in particular until he received a call from one of his wife’s work colleagues</w:t>
      </w:r>
      <w:r w:rsidRPr="00894E75">
        <w:rPr>
          <w:lang w:val="en-CA"/>
        </w:rPr>
        <w:t xml:space="preserve">. </w:t>
      </w:r>
      <w:r>
        <w:rPr>
          <w:lang w:val="en-CA"/>
        </w:rPr>
        <w:t>When he returned, he seemed worried</w:t>
      </w:r>
      <w:r w:rsidRPr="00894E75">
        <w:rPr>
          <w:lang w:val="en-CA"/>
        </w:rPr>
        <w:t xml:space="preserve">. </w:t>
      </w:r>
      <w:r>
        <w:rPr>
          <w:lang w:val="en-CA"/>
        </w:rPr>
        <w:t>He called the Sûreté du Québec to inquire whether any accident involving his wife had occurred</w:t>
      </w:r>
      <w:r w:rsidRPr="00894E75">
        <w:rPr>
          <w:lang w:val="en-CA"/>
        </w:rPr>
        <w:t xml:space="preserve">. </w:t>
      </w:r>
      <w:r>
        <w:rPr>
          <w:lang w:val="en-CA"/>
        </w:rPr>
        <w:t>He decided to phone his mother-in-law</w:t>
      </w:r>
      <w:r w:rsidRPr="00894E75">
        <w:rPr>
          <w:lang w:val="en-CA"/>
        </w:rPr>
        <w:t xml:space="preserve">. </w:t>
      </w:r>
      <w:r>
        <w:rPr>
          <w:lang w:val="en-CA"/>
        </w:rPr>
        <w:t>At</w:t>
      </w:r>
      <w:r w:rsidRPr="00894E75">
        <w:rPr>
          <w:lang w:val="en-CA"/>
        </w:rPr>
        <w:t xml:space="preserve"> 11</w:t>
      </w:r>
      <w:r>
        <w:rPr>
          <w:lang w:val="en-CA"/>
        </w:rPr>
        <w:t> a.m.</w:t>
      </w:r>
      <w:r w:rsidRPr="00894E75">
        <w:rPr>
          <w:lang w:val="en-CA"/>
        </w:rPr>
        <w:t xml:space="preserve">, </w:t>
      </w:r>
      <w:r>
        <w:rPr>
          <w:lang w:val="en-CA"/>
        </w:rPr>
        <w:t>he received a call from her</w:t>
      </w:r>
      <w:r w:rsidRPr="00894E75">
        <w:rPr>
          <w:lang w:val="en-CA"/>
        </w:rPr>
        <w:t xml:space="preserve">. </w:t>
      </w:r>
      <w:r>
        <w:rPr>
          <w:lang w:val="en-CA"/>
        </w:rPr>
        <w:t xml:space="preserve">It is then that </w:t>
      </w:r>
      <w:r w:rsidRPr="00894E75">
        <w:rPr>
          <w:lang w:val="en-CA"/>
        </w:rPr>
        <w:t>M</w:t>
      </w:r>
      <w:r>
        <w:rPr>
          <w:lang w:val="en-CA"/>
        </w:rPr>
        <w:t>r</w:t>
      </w:r>
      <w:r w:rsidRPr="00894E75">
        <w:rPr>
          <w:lang w:val="en-CA"/>
        </w:rPr>
        <w:t xml:space="preserve">. Fera </w:t>
      </w:r>
      <w:r>
        <w:rPr>
          <w:lang w:val="en-CA"/>
        </w:rPr>
        <w:t>became</w:t>
      </w:r>
      <w:r w:rsidRPr="00894E75">
        <w:rPr>
          <w:lang w:val="en-CA"/>
        </w:rPr>
        <w:t xml:space="preserve"> </w:t>
      </w:r>
      <w:r>
        <w:rPr>
          <w:lang w:val="en-CA"/>
        </w:rPr>
        <w:t>“white as a sheet”</w:t>
      </w:r>
      <w:r w:rsidRPr="00894E75">
        <w:rPr>
          <w:lang w:val="en-CA"/>
        </w:rPr>
        <w:t xml:space="preserve">, </w:t>
      </w:r>
      <w:r>
        <w:rPr>
          <w:lang w:val="en-CA"/>
        </w:rPr>
        <w:t>“</w:t>
      </w:r>
      <w:r w:rsidRPr="008F7AB0">
        <w:rPr>
          <w:lang w:val="en-CA"/>
        </w:rPr>
        <w:t>literally jumped over his desk</w:t>
      </w:r>
      <w:r>
        <w:rPr>
          <w:lang w:val="en-CA"/>
        </w:rPr>
        <w:t>” and left work in his car.</w:t>
      </w:r>
      <w:r>
        <w:rPr>
          <w:rStyle w:val="Appelnotedebasdep"/>
          <w:lang w:val="en-CA"/>
        </w:rPr>
        <w:footnoteReference w:id="28"/>
      </w:r>
    </w:p>
    <w:p w14:paraId="4A5B5C83" w14:textId="77777777" w:rsidR="00CC0181" w:rsidRPr="00894E75" w:rsidRDefault="00CC0181" w:rsidP="00FC5E99">
      <w:pPr>
        <w:pStyle w:val="Paragraphe"/>
        <w:spacing w:line="280" w:lineRule="exact"/>
        <w:rPr>
          <w:lang w:val="en-CA"/>
        </w:rPr>
      </w:pPr>
      <w:r>
        <w:rPr>
          <w:lang w:val="en-CA"/>
        </w:rPr>
        <w:t>While driving home</w:t>
      </w:r>
      <w:r w:rsidRPr="00894E75">
        <w:rPr>
          <w:lang w:val="en-CA"/>
        </w:rPr>
        <w:t>, M</w:t>
      </w:r>
      <w:r>
        <w:rPr>
          <w:lang w:val="en-CA"/>
        </w:rPr>
        <w:t>r</w:t>
      </w:r>
      <w:r w:rsidRPr="00894E75">
        <w:rPr>
          <w:lang w:val="en-CA"/>
        </w:rPr>
        <w:t xml:space="preserve">. Fera </w:t>
      </w:r>
      <w:r>
        <w:rPr>
          <w:lang w:val="en-CA"/>
        </w:rPr>
        <w:t>called a police officer to find out what had happened to his wife</w:t>
      </w:r>
      <w:r w:rsidRPr="00894E75">
        <w:rPr>
          <w:lang w:val="en-CA"/>
        </w:rPr>
        <w:t xml:space="preserve">. </w:t>
      </w:r>
      <w:r>
        <w:rPr>
          <w:lang w:val="en-CA"/>
        </w:rPr>
        <w:t>The officer replied that his wife was injured and that ambulance technicians were taking care of her</w:t>
      </w:r>
      <w:r w:rsidRPr="00894E75">
        <w:rPr>
          <w:lang w:val="en-CA"/>
        </w:rPr>
        <w:t xml:space="preserve">. </w:t>
      </w:r>
      <w:r>
        <w:rPr>
          <w:lang w:val="en-CA"/>
        </w:rPr>
        <w:t>Shortly afterward</w:t>
      </w:r>
      <w:r w:rsidRPr="00894E75">
        <w:rPr>
          <w:lang w:val="en-CA"/>
        </w:rPr>
        <w:t xml:space="preserve">, </w:t>
      </w:r>
      <w:r>
        <w:rPr>
          <w:lang w:val="en-CA"/>
        </w:rPr>
        <w:t>Agent</w:t>
      </w:r>
      <w:r w:rsidRPr="00894E75">
        <w:rPr>
          <w:lang w:val="en-CA"/>
        </w:rPr>
        <w:t xml:space="preserve"> Bellemare </w:t>
      </w:r>
      <w:r>
        <w:rPr>
          <w:lang w:val="en-CA"/>
        </w:rPr>
        <w:t>saw</w:t>
      </w:r>
      <w:r w:rsidRPr="00894E75">
        <w:rPr>
          <w:lang w:val="en-CA"/>
        </w:rPr>
        <w:t xml:space="preserve"> M</w:t>
      </w:r>
      <w:r>
        <w:rPr>
          <w:lang w:val="en-CA"/>
        </w:rPr>
        <w:t>r</w:t>
      </w:r>
      <w:r w:rsidRPr="00894E75">
        <w:rPr>
          <w:lang w:val="en-CA"/>
        </w:rPr>
        <w:t xml:space="preserve">. Fera </w:t>
      </w:r>
      <w:r>
        <w:rPr>
          <w:lang w:val="en-CA"/>
        </w:rPr>
        <w:t>arrive at full speed</w:t>
      </w:r>
      <w:r w:rsidRPr="00894E75">
        <w:rPr>
          <w:lang w:val="en-CA"/>
        </w:rPr>
        <w:t xml:space="preserve">. </w:t>
      </w:r>
      <w:r>
        <w:rPr>
          <w:lang w:val="en-CA"/>
        </w:rPr>
        <w:t>According to Agent Bellemare</w:t>
      </w:r>
      <w:r w:rsidRPr="00894E75">
        <w:rPr>
          <w:lang w:val="en-CA"/>
        </w:rPr>
        <w:t>, M</w:t>
      </w:r>
      <w:r>
        <w:rPr>
          <w:lang w:val="en-CA"/>
        </w:rPr>
        <w:t>r</w:t>
      </w:r>
      <w:r w:rsidRPr="00894E75">
        <w:rPr>
          <w:lang w:val="en-CA"/>
        </w:rPr>
        <w:t xml:space="preserve">. Fera </w:t>
      </w:r>
      <w:r w:rsidRPr="002C0BA9">
        <w:rPr>
          <w:i/>
          <w:iCs/>
          <w:lang w:val="en-CA"/>
        </w:rPr>
        <w:t>made a scene</w:t>
      </w:r>
      <w:r w:rsidRPr="00894E75">
        <w:rPr>
          <w:lang w:val="en-CA"/>
        </w:rPr>
        <w:t xml:space="preserve">, </w:t>
      </w:r>
      <w:r>
        <w:rPr>
          <w:lang w:val="en-CA"/>
        </w:rPr>
        <w:t>fell to his knees and screamed</w:t>
      </w:r>
      <w:r w:rsidRPr="00894E75">
        <w:rPr>
          <w:lang w:val="en-CA"/>
        </w:rPr>
        <w:t xml:space="preserve"> </w:t>
      </w:r>
      <w:r>
        <w:rPr>
          <w:lang w:val="en-CA"/>
        </w:rPr>
        <w:t>“</w:t>
      </w:r>
      <w:r w:rsidRPr="00894E75">
        <w:rPr>
          <w:lang w:val="en-CA"/>
        </w:rPr>
        <w:t>No, no my wife!</w:t>
      </w:r>
      <w:r>
        <w:rPr>
          <w:lang w:val="en-CA"/>
        </w:rPr>
        <w:t>”</w:t>
      </w:r>
      <w:r w:rsidRPr="00894E75">
        <w:rPr>
          <w:lang w:val="en-CA"/>
        </w:rPr>
        <w:t xml:space="preserve"> </w:t>
      </w:r>
      <w:r>
        <w:rPr>
          <w:lang w:val="en-CA"/>
        </w:rPr>
        <w:t>in the direction of the residence</w:t>
      </w:r>
      <w:r w:rsidRPr="00894E75">
        <w:rPr>
          <w:lang w:val="en-CA"/>
        </w:rPr>
        <w:t xml:space="preserve">. </w:t>
      </w:r>
      <w:r>
        <w:rPr>
          <w:lang w:val="en-CA"/>
        </w:rPr>
        <w:t>He was escorted to the ambulance with his mother-in-law</w:t>
      </w:r>
      <w:r w:rsidRPr="00894E75">
        <w:rPr>
          <w:lang w:val="en-CA"/>
        </w:rPr>
        <w:t xml:space="preserve">. </w:t>
      </w:r>
      <w:r>
        <w:rPr>
          <w:lang w:val="en-CA"/>
        </w:rPr>
        <w:t>Both were crying and the police were not able to speak to them. They were taken to hospita</w:t>
      </w:r>
      <w:r w:rsidRPr="00894E75">
        <w:rPr>
          <w:lang w:val="en-CA"/>
        </w:rPr>
        <w:t>l</w:t>
      </w:r>
      <w:r>
        <w:rPr>
          <w:lang w:val="en-CA"/>
        </w:rPr>
        <w:t>.</w:t>
      </w:r>
      <w:r>
        <w:rPr>
          <w:rStyle w:val="Appelnotedebasdep"/>
          <w:lang w:val="en-CA"/>
        </w:rPr>
        <w:footnoteReference w:id="29"/>
      </w:r>
    </w:p>
    <w:p w14:paraId="2DF8E482" w14:textId="77777777" w:rsidR="00CC0181" w:rsidRPr="00894E75" w:rsidRDefault="00CC0181" w:rsidP="00FC5E99">
      <w:pPr>
        <w:pStyle w:val="Paragraphe"/>
        <w:spacing w:line="280" w:lineRule="exact"/>
        <w:rPr>
          <w:lang w:val="en-CA"/>
        </w:rPr>
      </w:pPr>
      <w:r>
        <w:rPr>
          <w:lang w:val="en-CA"/>
        </w:rPr>
        <w:t>At the hospital</w:t>
      </w:r>
      <w:r w:rsidRPr="00894E75">
        <w:rPr>
          <w:lang w:val="en-CA"/>
        </w:rPr>
        <w:t>, M</w:t>
      </w:r>
      <w:r>
        <w:rPr>
          <w:lang w:val="en-CA"/>
        </w:rPr>
        <w:t>r</w:t>
      </w:r>
      <w:r w:rsidRPr="00894E75">
        <w:rPr>
          <w:lang w:val="en-CA"/>
        </w:rPr>
        <w:t xml:space="preserve">. Fera </w:t>
      </w:r>
      <w:r>
        <w:rPr>
          <w:lang w:val="en-CA"/>
        </w:rPr>
        <w:t>gave a statement</w:t>
      </w:r>
      <w:r w:rsidRPr="00894E75">
        <w:rPr>
          <w:lang w:val="en-CA"/>
        </w:rPr>
        <w:t xml:space="preserve"> </w:t>
      </w:r>
      <w:r>
        <w:rPr>
          <w:lang w:val="en-CA"/>
        </w:rPr>
        <w:t xml:space="preserve">to </w:t>
      </w:r>
      <w:r w:rsidRPr="00894E75">
        <w:rPr>
          <w:lang w:val="en-CA"/>
        </w:rPr>
        <w:t>agent Perreault</w:t>
      </w:r>
      <w:r>
        <w:rPr>
          <w:lang w:val="en-CA"/>
        </w:rPr>
        <w:t>.</w:t>
      </w:r>
      <w:r>
        <w:rPr>
          <w:rStyle w:val="Appelnotedebasdep"/>
          <w:lang w:val="en-CA"/>
        </w:rPr>
        <w:footnoteReference w:id="30"/>
      </w:r>
      <w:r w:rsidRPr="00894E75">
        <w:rPr>
          <w:lang w:val="en-CA"/>
        </w:rPr>
        <w:t xml:space="preserve"> </w:t>
      </w:r>
      <w:r>
        <w:rPr>
          <w:lang w:val="en-CA"/>
        </w:rPr>
        <w:t>At 1:35 p.m., a nurse informed him that his wife was dead</w:t>
      </w:r>
      <w:r w:rsidRPr="00894E75">
        <w:rPr>
          <w:lang w:val="en-CA"/>
        </w:rPr>
        <w:t xml:space="preserve">. </w:t>
      </w:r>
      <w:r>
        <w:rPr>
          <w:lang w:val="en-CA"/>
        </w:rPr>
        <w:t>Mr. Fera fell into a state of acute hyperventilation that required medical attention</w:t>
      </w:r>
      <w:r w:rsidRPr="00894E75">
        <w:rPr>
          <w:lang w:val="en-CA"/>
        </w:rPr>
        <w:t xml:space="preserve"> (</w:t>
      </w:r>
      <w:r>
        <w:rPr>
          <w:lang w:val="en-CA"/>
        </w:rPr>
        <w:t>including blood tests and an electrocardiogram</w:t>
      </w:r>
      <w:r w:rsidRPr="00894E75">
        <w:rPr>
          <w:lang w:val="en-CA"/>
        </w:rPr>
        <w:t xml:space="preserve">). </w:t>
      </w:r>
      <w:r>
        <w:rPr>
          <w:lang w:val="en-CA"/>
        </w:rPr>
        <w:t>Following those treatments</w:t>
      </w:r>
      <w:r w:rsidRPr="00894E75">
        <w:rPr>
          <w:lang w:val="en-CA"/>
        </w:rPr>
        <w:t>, M</w:t>
      </w:r>
      <w:r>
        <w:rPr>
          <w:lang w:val="en-CA"/>
        </w:rPr>
        <w:t>r</w:t>
      </w:r>
      <w:r w:rsidRPr="00894E75">
        <w:rPr>
          <w:lang w:val="en-CA"/>
        </w:rPr>
        <w:t xml:space="preserve">. Fera </w:t>
      </w:r>
      <w:r>
        <w:rPr>
          <w:lang w:val="en-CA"/>
        </w:rPr>
        <w:t>was driven to a police station where he provided several statements.</w:t>
      </w:r>
      <w:r>
        <w:rPr>
          <w:rStyle w:val="Appelnotedebasdep"/>
          <w:lang w:val="en-CA"/>
        </w:rPr>
        <w:footnoteReference w:id="31"/>
      </w:r>
    </w:p>
    <w:p w14:paraId="40631DAD" w14:textId="77777777" w:rsidR="00CC0181" w:rsidRPr="00894E75" w:rsidRDefault="00CC0181" w:rsidP="00FC5E99">
      <w:pPr>
        <w:pStyle w:val="Paragraphe"/>
        <w:spacing w:line="280" w:lineRule="exact"/>
        <w:rPr>
          <w:lang w:val="en-CA"/>
        </w:rPr>
      </w:pPr>
      <w:r>
        <w:rPr>
          <w:lang w:val="en-CA"/>
        </w:rPr>
        <w:lastRenderedPageBreak/>
        <w:t>Three witnesses</w:t>
      </w:r>
      <w:r w:rsidRPr="00894E75">
        <w:rPr>
          <w:lang w:val="en-CA"/>
        </w:rPr>
        <w:t xml:space="preserve"> — </w:t>
      </w:r>
      <w:r>
        <w:rPr>
          <w:lang w:val="en-CA"/>
        </w:rPr>
        <w:t>the victim’s sister</w:t>
      </w:r>
      <w:r w:rsidRPr="00894E75">
        <w:rPr>
          <w:lang w:val="en-CA"/>
        </w:rPr>
        <w:t xml:space="preserve">, </w:t>
      </w:r>
      <w:r>
        <w:rPr>
          <w:lang w:val="en-CA"/>
        </w:rPr>
        <w:t>one of the victim’s colleagues</w:t>
      </w:r>
      <w:r w:rsidRPr="00894E75">
        <w:rPr>
          <w:lang w:val="en-CA"/>
        </w:rPr>
        <w:t xml:space="preserve"> </w:t>
      </w:r>
      <w:r>
        <w:rPr>
          <w:lang w:val="en-CA"/>
        </w:rPr>
        <w:t>and</w:t>
      </w:r>
      <w:r w:rsidRPr="00894E75">
        <w:rPr>
          <w:lang w:val="en-CA"/>
        </w:rPr>
        <w:t xml:space="preserve"> Sylvie Roy — </w:t>
      </w:r>
      <w:r>
        <w:rPr>
          <w:lang w:val="en-CA"/>
        </w:rPr>
        <w:t>confirmed</w:t>
      </w:r>
      <w:r w:rsidRPr="00894E75">
        <w:rPr>
          <w:lang w:val="en-CA"/>
        </w:rPr>
        <w:t xml:space="preserve"> </w:t>
      </w:r>
      <w:r>
        <w:rPr>
          <w:lang w:val="en-CA"/>
        </w:rPr>
        <w:t>that</w:t>
      </w:r>
      <w:r w:rsidRPr="00894E75">
        <w:rPr>
          <w:lang w:val="en-CA"/>
        </w:rPr>
        <w:t xml:space="preserve"> M</w:t>
      </w:r>
      <w:r>
        <w:rPr>
          <w:lang w:val="en-CA"/>
        </w:rPr>
        <w:t>r</w:t>
      </w:r>
      <w:r w:rsidRPr="00894E75">
        <w:rPr>
          <w:lang w:val="en-CA"/>
        </w:rPr>
        <w:t xml:space="preserve">. Fera </w:t>
      </w:r>
      <w:r>
        <w:rPr>
          <w:lang w:val="en-CA"/>
        </w:rPr>
        <w:t>was distraught following the murder</w:t>
      </w:r>
      <w:r w:rsidRPr="00894E75">
        <w:rPr>
          <w:lang w:val="en-CA"/>
        </w:rPr>
        <w:t xml:space="preserve">. </w:t>
      </w:r>
      <w:r>
        <w:rPr>
          <w:lang w:val="en-CA"/>
        </w:rPr>
        <w:t>His relationship with his in-laws strengthened after the murder.</w:t>
      </w:r>
      <w:r>
        <w:rPr>
          <w:rStyle w:val="Appelnotedebasdep"/>
          <w:lang w:val="en-CA"/>
        </w:rPr>
        <w:footnoteReference w:id="32"/>
      </w:r>
    </w:p>
    <w:p w14:paraId="35765682" w14:textId="77777777" w:rsidR="00CC0181" w:rsidRPr="00894E75" w:rsidRDefault="00CC0181" w:rsidP="00FC5E99">
      <w:pPr>
        <w:pStyle w:val="Titre2"/>
        <w:rPr>
          <w:i w:val="0"/>
          <w:iCs/>
          <w:lang w:val="en-CA"/>
        </w:rPr>
      </w:pPr>
      <w:r>
        <w:rPr>
          <w:i w:val="0"/>
          <w:iCs/>
          <w:lang w:val="en-CA"/>
        </w:rPr>
        <w:t>The Judge’s Analysis</w:t>
      </w:r>
    </w:p>
    <w:p w14:paraId="17E178D8" w14:textId="77777777" w:rsidR="00CC0181" w:rsidRPr="00894E75" w:rsidRDefault="00CC0181" w:rsidP="00FC5E99">
      <w:pPr>
        <w:pStyle w:val="Titre3"/>
        <w:ind w:left="714" w:hanging="357"/>
        <w:rPr>
          <w:bCs/>
          <w:lang w:val="en-CA"/>
        </w:rPr>
      </w:pPr>
      <w:r w:rsidRPr="00894E75">
        <w:rPr>
          <w:b/>
          <w:bCs/>
          <w:lang w:val="en-CA"/>
        </w:rPr>
        <w:t>a)</w:t>
      </w:r>
      <w:r w:rsidRPr="00894E75">
        <w:rPr>
          <w:rStyle w:val="Titre3Car"/>
          <w:lang w:val="en-CA"/>
        </w:rPr>
        <w:t xml:space="preserve"> </w:t>
      </w:r>
      <w:r>
        <w:rPr>
          <w:rStyle w:val="Titre3Car"/>
          <w:lang w:val="en-CA"/>
        </w:rPr>
        <w:t>Exclusive opportunity</w:t>
      </w:r>
    </w:p>
    <w:p w14:paraId="3FE5B21D" w14:textId="77777777" w:rsidR="00CC0181" w:rsidRPr="00894E75" w:rsidRDefault="00CC0181" w:rsidP="00FC5E99">
      <w:pPr>
        <w:pStyle w:val="Paragraphe"/>
        <w:spacing w:line="280" w:lineRule="exact"/>
        <w:rPr>
          <w:lang w:val="en-CA"/>
        </w:rPr>
      </w:pPr>
      <w:r>
        <w:rPr>
          <w:lang w:val="en-CA"/>
        </w:rPr>
        <w:t xml:space="preserve">The judge noted that the prosecution </w:t>
      </w:r>
      <w:r w:rsidRPr="003E7027">
        <w:rPr>
          <w:lang w:val="en-CA"/>
        </w:rPr>
        <w:t>failed to prove that all the</w:t>
      </w:r>
      <w:r>
        <w:rPr>
          <w:lang w:val="en-CA"/>
        </w:rPr>
        <w:t xml:space="preserve"> </w:t>
      </w:r>
      <w:r w:rsidRPr="003E7027">
        <w:rPr>
          <w:lang w:val="en-CA"/>
        </w:rPr>
        <w:t>doors were locked</w:t>
      </w:r>
      <w:r w:rsidRPr="00894E75">
        <w:rPr>
          <w:lang w:val="en-CA"/>
        </w:rPr>
        <w:t>.</w:t>
      </w:r>
    </w:p>
    <w:p w14:paraId="69EECC7D" w14:textId="77777777" w:rsidR="00CC0181" w:rsidRPr="00894E75" w:rsidRDefault="00CC0181" w:rsidP="00FC5E99">
      <w:pPr>
        <w:pStyle w:val="Paragraphe"/>
        <w:spacing w:line="280" w:lineRule="exact"/>
        <w:rPr>
          <w:lang w:val="en-CA"/>
        </w:rPr>
      </w:pPr>
      <w:r>
        <w:rPr>
          <w:lang w:val="en-CA"/>
        </w:rPr>
        <w:t>In addition, the judge observed that the lack of footsteps in the snow was of importance to the prosecution’s theory</w:t>
      </w:r>
      <w:r w:rsidRPr="00894E75">
        <w:rPr>
          <w:lang w:val="en-CA"/>
        </w:rPr>
        <w:t xml:space="preserve">. </w:t>
      </w:r>
      <w:r>
        <w:rPr>
          <w:lang w:val="en-CA"/>
        </w:rPr>
        <w:t>However, the police investigation in that regard was inadequate</w:t>
      </w:r>
      <w:r w:rsidRPr="00894E75">
        <w:rPr>
          <w:lang w:val="en-CA"/>
        </w:rPr>
        <w:t xml:space="preserve">. </w:t>
      </w:r>
      <w:r>
        <w:rPr>
          <w:lang w:val="en-CA"/>
        </w:rPr>
        <w:t>The judge concluded that he could not exclude the possibility that a third party was able to gain access to the house by the patio door without leaving footprints in the snow.</w:t>
      </w:r>
      <w:r>
        <w:rPr>
          <w:rStyle w:val="Appelnotedebasdep"/>
          <w:lang w:val="en-CA"/>
        </w:rPr>
        <w:footnoteReference w:id="33"/>
      </w:r>
    </w:p>
    <w:p w14:paraId="0927BBF8" w14:textId="77777777" w:rsidR="00CC0181" w:rsidRPr="00894E75" w:rsidRDefault="00CC0181" w:rsidP="00FC5E99">
      <w:pPr>
        <w:pStyle w:val="Titre3"/>
        <w:ind w:left="714" w:hanging="357"/>
        <w:rPr>
          <w:bCs/>
          <w:lang w:val="en-CA"/>
        </w:rPr>
      </w:pPr>
      <w:r w:rsidRPr="00894E75">
        <w:rPr>
          <w:b/>
          <w:bCs/>
          <w:lang w:val="en-CA"/>
        </w:rPr>
        <w:t>b)</w:t>
      </w:r>
      <w:r w:rsidRPr="00894E75">
        <w:rPr>
          <w:rStyle w:val="Titre3Car"/>
          <w:lang w:val="en-CA"/>
        </w:rPr>
        <w:t xml:space="preserve"> </w:t>
      </w:r>
      <w:r>
        <w:rPr>
          <w:rStyle w:val="Titre3Car"/>
          <w:lang w:val="en-CA"/>
        </w:rPr>
        <w:t>The financial motive</w:t>
      </w:r>
    </w:p>
    <w:p w14:paraId="5462C36D" w14:textId="77777777" w:rsidR="00CC0181" w:rsidRPr="00894E75" w:rsidRDefault="00CC0181" w:rsidP="00FC5E99">
      <w:pPr>
        <w:pStyle w:val="Paragraphe"/>
        <w:spacing w:line="280" w:lineRule="exact"/>
        <w:rPr>
          <w:lang w:val="en-CA"/>
        </w:rPr>
      </w:pPr>
      <w:r>
        <w:rPr>
          <w:lang w:val="en-CA"/>
        </w:rPr>
        <w:t xml:space="preserve">According to </w:t>
      </w:r>
      <w:r w:rsidRPr="00894E75">
        <w:rPr>
          <w:lang w:val="en-CA"/>
        </w:rPr>
        <w:t>Brunton</w:t>
      </w:r>
      <w:r>
        <w:rPr>
          <w:lang w:val="en-CA"/>
        </w:rPr>
        <w:t>, J., the motive alleged by the prosecution was very weak</w:t>
      </w:r>
      <w:r w:rsidRPr="00894E75">
        <w:rPr>
          <w:lang w:val="en-CA"/>
        </w:rPr>
        <w:t>.</w:t>
      </w:r>
    </w:p>
    <w:p w14:paraId="6BF01E7C" w14:textId="77777777" w:rsidR="00CC0181" w:rsidRPr="00894E75" w:rsidRDefault="00CC0181" w:rsidP="00FC5E99">
      <w:pPr>
        <w:pStyle w:val="Paragraphe"/>
        <w:spacing w:line="280" w:lineRule="exact"/>
        <w:rPr>
          <w:lang w:val="en-CA"/>
        </w:rPr>
      </w:pPr>
      <w:r>
        <w:rPr>
          <w:lang w:val="en-CA"/>
        </w:rPr>
        <w:t>The judge accepted that the couple’s financial situation was especially precarious, and that Mr. Fera had not hesitated to lie to secure a loan from</w:t>
      </w:r>
      <w:r w:rsidRPr="00894E75">
        <w:rPr>
          <w:lang w:val="en-CA"/>
        </w:rPr>
        <w:t xml:space="preserve"> M</w:t>
      </w:r>
      <w:r>
        <w:rPr>
          <w:lang w:val="en-CA"/>
        </w:rPr>
        <w:t>r</w:t>
      </w:r>
      <w:r w:rsidRPr="00894E75">
        <w:rPr>
          <w:lang w:val="en-CA"/>
        </w:rPr>
        <w:t>. Trudel.</w:t>
      </w:r>
    </w:p>
    <w:p w14:paraId="75CE7ED8" w14:textId="77777777" w:rsidR="00CC0181" w:rsidRPr="00894E75" w:rsidRDefault="00CC0181" w:rsidP="00FC5E99">
      <w:pPr>
        <w:pStyle w:val="Paragraphe"/>
        <w:spacing w:line="280" w:lineRule="exact"/>
        <w:rPr>
          <w:lang w:val="en-CA"/>
        </w:rPr>
      </w:pPr>
      <w:r>
        <w:rPr>
          <w:lang w:val="en-CA"/>
        </w:rPr>
        <w:t>On the other hand, the equity in the family residence</w:t>
      </w:r>
      <w:r w:rsidRPr="00894E75">
        <w:rPr>
          <w:lang w:val="en-CA"/>
        </w:rPr>
        <w:t xml:space="preserve"> </w:t>
      </w:r>
      <w:r>
        <w:rPr>
          <w:lang w:val="en-CA"/>
        </w:rPr>
        <w:t xml:space="preserve">was high enough to pay off all the couple’s </w:t>
      </w:r>
      <w:r w:rsidRPr="00806299">
        <w:rPr>
          <w:lang w:val="en-CA"/>
        </w:rPr>
        <w:t>and Mr. Fera’s debts</w:t>
      </w:r>
      <w:r>
        <w:rPr>
          <w:lang w:val="en-CA"/>
        </w:rPr>
        <w:t>, while leaving</w:t>
      </w:r>
      <w:r w:rsidRPr="00806299">
        <w:rPr>
          <w:lang w:val="en-CA"/>
        </w:rPr>
        <w:t xml:space="preserve"> </w:t>
      </w:r>
      <w:r>
        <w:rPr>
          <w:lang w:val="en-CA"/>
        </w:rPr>
        <w:t>a</w:t>
      </w:r>
      <w:r w:rsidRPr="00806299">
        <w:rPr>
          <w:lang w:val="en-CA"/>
        </w:rPr>
        <w:t xml:space="preserve"> </w:t>
      </w:r>
      <w:r>
        <w:rPr>
          <w:lang w:val="en-CA"/>
        </w:rPr>
        <w:t>balance</w:t>
      </w:r>
      <w:r w:rsidRPr="00806299">
        <w:rPr>
          <w:lang w:val="en-CA"/>
        </w:rPr>
        <w:t xml:space="preserve"> available to make a down payment to purchase a new home</w:t>
      </w:r>
      <w:r w:rsidRPr="00894E75">
        <w:rPr>
          <w:lang w:val="en-CA"/>
        </w:rPr>
        <w:t>.</w:t>
      </w:r>
    </w:p>
    <w:p w14:paraId="0DE511CB" w14:textId="77777777" w:rsidR="00CC0181" w:rsidRPr="00894E75" w:rsidRDefault="00CC0181" w:rsidP="00FC5E99">
      <w:pPr>
        <w:pStyle w:val="Paragraphe"/>
        <w:spacing w:line="280" w:lineRule="exact"/>
        <w:rPr>
          <w:lang w:val="en-CA"/>
        </w:rPr>
      </w:pPr>
      <w:r>
        <w:rPr>
          <w:lang w:val="en-CA"/>
        </w:rPr>
        <w:t>Moreover</w:t>
      </w:r>
      <w:r w:rsidRPr="00894E75">
        <w:rPr>
          <w:lang w:val="en-CA"/>
        </w:rPr>
        <w:t xml:space="preserve">, </w:t>
      </w:r>
      <w:r>
        <w:rPr>
          <w:lang w:val="en-CA"/>
        </w:rPr>
        <w:t>there was no evidence of any disagreements within the couple or any climate of violence, nor any evidence that Mr. Fera would have been cruel enough to have his mother-in-law discover her own daughter’s body</w:t>
      </w:r>
      <w:r w:rsidRPr="00894E75">
        <w:rPr>
          <w:lang w:val="en-CA"/>
        </w:rPr>
        <w:t xml:space="preserve">. </w:t>
      </w:r>
      <w:r>
        <w:rPr>
          <w:lang w:val="en-CA"/>
        </w:rPr>
        <w:t>Finally, at the time of the murder</w:t>
      </w:r>
      <w:r w:rsidRPr="00894E75">
        <w:rPr>
          <w:lang w:val="en-CA"/>
        </w:rPr>
        <w:t xml:space="preserve">, </w:t>
      </w:r>
      <w:r>
        <w:rPr>
          <w:lang w:val="en-CA"/>
        </w:rPr>
        <w:t xml:space="preserve">according to the evidence, </w:t>
      </w:r>
      <w:r w:rsidRPr="00894E75">
        <w:rPr>
          <w:lang w:val="en-CA"/>
        </w:rPr>
        <w:t>M</w:t>
      </w:r>
      <w:r>
        <w:rPr>
          <w:lang w:val="en-CA"/>
        </w:rPr>
        <w:t>r</w:t>
      </w:r>
      <w:r w:rsidRPr="00894E75">
        <w:rPr>
          <w:lang w:val="en-CA"/>
        </w:rPr>
        <w:t xml:space="preserve">. Fera </w:t>
      </w:r>
      <w:r>
        <w:rPr>
          <w:lang w:val="en-CA"/>
        </w:rPr>
        <w:t>was unaware of the existence of the life insurance policies taken out</w:t>
      </w:r>
      <w:r w:rsidRPr="00894E75">
        <w:rPr>
          <w:lang w:val="en-CA"/>
        </w:rPr>
        <w:t xml:space="preserve"> </w:t>
      </w:r>
      <w:r>
        <w:rPr>
          <w:lang w:val="en-CA"/>
        </w:rPr>
        <w:t>by his wife’s employer.</w:t>
      </w:r>
      <w:r>
        <w:rPr>
          <w:rStyle w:val="Appelnotedebasdep"/>
          <w:lang w:val="en-CA"/>
        </w:rPr>
        <w:footnoteReference w:id="34"/>
      </w:r>
    </w:p>
    <w:p w14:paraId="27E84CD3" w14:textId="77777777" w:rsidR="00CC0181" w:rsidRPr="00894E75" w:rsidRDefault="00CC0181" w:rsidP="00CC0181">
      <w:pPr>
        <w:pStyle w:val="Titre3"/>
        <w:numPr>
          <w:ilvl w:val="0"/>
          <w:numId w:val="34"/>
        </w:numPr>
        <w:rPr>
          <w:b/>
          <w:lang w:val="en-CA"/>
        </w:rPr>
      </w:pPr>
      <w:r>
        <w:rPr>
          <w:b/>
          <w:lang w:val="en-CA"/>
        </w:rPr>
        <w:t>The absence of physical evidence</w:t>
      </w:r>
    </w:p>
    <w:p w14:paraId="15D7F759" w14:textId="77777777" w:rsidR="00CC0181" w:rsidRPr="00894E75" w:rsidRDefault="00CC0181" w:rsidP="00FC5E99">
      <w:pPr>
        <w:pStyle w:val="Paragraphe"/>
        <w:spacing w:line="280" w:lineRule="exact"/>
        <w:rPr>
          <w:lang w:val="en-CA"/>
        </w:rPr>
      </w:pPr>
      <w:r>
        <w:rPr>
          <w:lang w:val="en-CA"/>
        </w:rPr>
        <w:t>N</w:t>
      </w:r>
      <w:r w:rsidRPr="00905E03">
        <w:rPr>
          <w:lang w:val="en-CA"/>
        </w:rPr>
        <w:t>o physical evidence linked Mr. Fera to the crime</w:t>
      </w:r>
      <w:r w:rsidRPr="00894E75">
        <w:rPr>
          <w:lang w:val="en-CA"/>
        </w:rPr>
        <w:t xml:space="preserve">. </w:t>
      </w:r>
      <w:r>
        <w:rPr>
          <w:lang w:val="en-CA"/>
        </w:rPr>
        <w:t>According to the judge’s findings</w:t>
      </w:r>
      <w:r w:rsidRPr="00894E75">
        <w:rPr>
          <w:lang w:val="en-CA"/>
        </w:rPr>
        <w:t xml:space="preserve">, </w:t>
      </w:r>
      <w:r>
        <w:rPr>
          <w:lang w:val="en-CA"/>
        </w:rPr>
        <w:t>it was unlikely that the murderer could have killed the victim without his clothes being spattered with blood</w:t>
      </w:r>
      <w:r w:rsidRPr="00894E75">
        <w:rPr>
          <w:lang w:val="en-CA"/>
        </w:rPr>
        <w:t xml:space="preserve">. </w:t>
      </w:r>
      <w:r>
        <w:rPr>
          <w:lang w:val="en-CA"/>
        </w:rPr>
        <w:t>However, notwithstanding the fact</w:t>
      </w:r>
      <w:r w:rsidRPr="00894E75">
        <w:rPr>
          <w:lang w:val="en-CA"/>
        </w:rPr>
        <w:t xml:space="preserve"> </w:t>
      </w:r>
      <w:r>
        <w:rPr>
          <w:lang w:val="en-CA"/>
        </w:rPr>
        <w:t>that</w:t>
      </w:r>
      <w:r w:rsidRPr="00894E75">
        <w:rPr>
          <w:lang w:val="en-CA"/>
        </w:rPr>
        <w:t xml:space="preserve"> M</w:t>
      </w:r>
      <w:r>
        <w:rPr>
          <w:lang w:val="en-CA"/>
        </w:rPr>
        <w:t>r</w:t>
      </w:r>
      <w:r w:rsidRPr="00894E75">
        <w:rPr>
          <w:lang w:val="en-CA"/>
        </w:rPr>
        <w:t xml:space="preserve">. Fera </w:t>
      </w:r>
      <w:r>
        <w:rPr>
          <w:lang w:val="en-CA"/>
        </w:rPr>
        <w:t xml:space="preserve">was the last </w:t>
      </w:r>
      <w:r>
        <w:rPr>
          <w:lang w:val="en-CA"/>
        </w:rPr>
        <w:lastRenderedPageBreak/>
        <w:t xml:space="preserve">person to have seen his wife </w:t>
      </w:r>
      <w:r w:rsidRPr="00621505">
        <w:rPr>
          <w:lang w:val="en-CA"/>
        </w:rPr>
        <w:t>and to have left the house</w:t>
      </w:r>
      <w:r w:rsidRPr="00894E75">
        <w:rPr>
          <w:lang w:val="en-CA"/>
        </w:rPr>
        <w:t xml:space="preserve">, </w:t>
      </w:r>
      <w:r>
        <w:rPr>
          <w:lang w:val="en-CA"/>
        </w:rPr>
        <w:t>the police had not seen fit</w:t>
      </w:r>
      <w:r w:rsidRPr="00EA1B2C">
        <w:rPr>
          <w:lang w:val="en-CA"/>
        </w:rPr>
        <w:t xml:space="preserve"> to seize</w:t>
      </w:r>
      <w:r>
        <w:rPr>
          <w:lang w:val="en-CA"/>
        </w:rPr>
        <w:t xml:space="preserve"> or analyse</w:t>
      </w:r>
      <w:r w:rsidRPr="00EA1B2C">
        <w:rPr>
          <w:lang w:val="en-CA"/>
        </w:rPr>
        <w:t xml:space="preserve"> the clothes he was wearing</w:t>
      </w:r>
      <w:r>
        <w:rPr>
          <w:lang w:val="en-CA"/>
        </w:rPr>
        <w:t>.</w:t>
      </w:r>
      <w:r>
        <w:rPr>
          <w:rStyle w:val="Appelnotedebasdep"/>
          <w:lang w:val="en-CA"/>
        </w:rPr>
        <w:footnoteReference w:id="35"/>
      </w:r>
    </w:p>
    <w:p w14:paraId="1938C9C1" w14:textId="77777777" w:rsidR="00CC0181" w:rsidRPr="00894E75" w:rsidRDefault="00CC0181" w:rsidP="00CC0181">
      <w:pPr>
        <w:pStyle w:val="Titre3"/>
        <w:numPr>
          <w:ilvl w:val="0"/>
          <w:numId w:val="34"/>
        </w:numPr>
        <w:rPr>
          <w:b/>
          <w:lang w:val="en-CA"/>
        </w:rPr>
      </w:pPr>
      <w:r>
        <w:rPr>
          <w:b/>
          <w:lang w:val="en-CA"/>
        </w:rPr>
        <w:t>Mr. Fera’s demeanour after his wife’s death</w:t>
      </w:r>
    </w:p>
    <w:p w14:paraId="32A0C256" w14:textId="77777777" w:rsidR="00CC0181" w:rsidRPr="00894E75" w:rsidRDefault="00CC0181" w:rsidP="00FC5E99">
      <w:pPr>
        <w:pStyle w:val="Paragraphe"/>
        <w:spacing w:line="280" w:lineRule="exact"/>
        <w:rPr>
          <w:lang w:val="en-CA"/>
        </w:rPr>
      </w:pPr>
      <w:r>
        <w:rPr>
          <w:lang w:val="en-CA"/>
        </w:rPr>
        <w:t>In the judge’s opinion</w:t>
      </w:r>
      <w:r w:rsidRPr="00894E75">
        <w:rPr>
          <w:lang w:val="en-CA"/>
        </w:rPr>
        <w:t>, M</w:t>
      </w:r>
      <w:r>
        <w:rPr>
          <w:lang w:val="en-CA"/>
        </w:rPr>
        <w:t>r</w:t>
      </w:r>
      <w:r w:rsidRPr="00894E75">
        <w:rPr>
          <w:lang w:val="en-CA"/>
        </w:rPr>
        <w:t>. Fera</w:t>
      </w:r>
      <w:r>
        <w:rPr>
          <w:lang w:val="en-CA"/>
        </w:rPr>
        <w:t>’s demeanour was compatible with that of a grieving husband</w:t>
      </w:r>
      <w:r w:rsidRPr="00894E75">
        <w:rPr>
          <w:lang w:val="en-CA"/>
        </w:rPr>
        <w:t xml:space="preserve"> </w:t>
      </w:r>
      <w:r>
        <w:rPr>
          <w:lang w:val="en-CA"/>
        </w:rPr>
        <w:t>who was not involved in his wife’s murder</w:t>
      </w:r>
      <w:r w:rsidRPr="00894E75">
        <w:rPr>
          <w:lang w:val="en-CA"/>
        </w:rPr>
        <w:t xml:space="preserve">. </w:t>
      </w:r>
      <w:r>
        <w:rPr>
          <w:lang w:val="en-CA"/>
        </w:rPr>
        <w:t>The inconsistencies between his testimony and the words recounted by the victim’s sister and Sylvie Roy did not support the inference of a culpable state of mind.</w:t>
      </w:r>
      <w:r>
        <w:rPr>
          <w:rStyle w:val="Appelnotedebasdep"/>
          <w:lang w:val="en-CA"/>
        </w:rPr>
        <w:footnoteReference w:id="36"/>
      </w:r>
    </w:p>
    <w:p w14:paraId="5C4C332F" w14:textId="77777777" w:rsidR="00CC0181" w:rsidRPr="00894E75" w:rsidRDefault="00CC0181" w:rsidP="00FC5E99">
      <w:pPr>
        <w:pStyle w:val="Titre3"/>
        <w:ind w:left="714" w:hanging="357"/>
        <w:rPr>
          <w:b/>
          <w:lang w:val="en-CA"/>
        </w:rPr>
      </w:pPr>
      <w:r w:rsidRPr="00894E75">
        <w:rPr>
          <w:b/>
          <w:lang w:val="en-CA"/>
        </w:rPr>
        <w:t xml:space="preserve">e) </w:t>
      </w:r>
      <w:r>
        <w:rPr>
          <w:b/>
          <w:lang w:val="en-CA"/>
        </w:rPr>
        <w:t>T</w:t>
      </w:r>
      <w:r w:rsidRPr="0083648B">
        <w:rPr>
          <w:b/>
          <w:lang w:val="en-CA"/>
        </w:rPr>
        <w:t>he absence of the testimony of the youngest daughte</w:t>
      </w:r>
      <w:r>
        <w:rPr>
          <w:b/>
          <w:lang w:val="en-CA"/>
        </w:rPr>
        <w:t>r</w:t>
      </w:r>
    </w:p>
    <w:p w14:paraId="72547906" w14:textId="77777777" w:rsidR="00CC0181" w:rsidRPr="00894E75" w:rsidRDefault="00CC0181" w:rsidP="00FC5E99">
      <w:pPr>
        <w:pStyle w:val="Paragraphe"/>
        <w:spacing w:line="280" w:lineRule="exact"/>
        <w:rPr>
          <w:lang w:val="en-CA"/>
        </w:rPr>
      </w:pPr>
      <w:r>
        <w:rPr>
          <w:lang w:val="en-CA"/>
        </w:rPr>
        <w:t>Finally</w:t>
      </w:r>
      <w:r w:rsidRPr="00894E75">
        <w:rPr>
          <w:lang w:val="en-CA"/>
        </w:rPr>
        <w:t xml:space="preserve">, </w:t>
      </w:r>
      <w:r>
        <w:rPr>
          <w:lang w:val="en-CA"/>
        </w:rPr>
        <w:t>according to the judge</w:t>
      </w:r>
      <w:r w:rsidRPr="00894E75">
        <w:rPr>
          <w:lang w:val="en-CA"/>
        </w:rPr>
        <w:t xml:space="preserve">, </w:t>
      </w:r>
      <w:r>
        <w:rPr>
          <w:lang w:val="en-CA"/>
        </w:rPr>
        <w:t>the prosecution’s failure to call the youngest daughter</w:t>
      </w:r>
      <w:r w:rsidRPr="00894E75">
        <w:rPr>
          <w:lang w:val="en-CA"/>
        </w:rPr>
        <w:t xml:space="preserve"> </w:t>
      </w:r>
      <w:r>
        <w:rPr>
          <w:lang w:val="en-CA"/>
        </w:rPr>
        <w:t>as a witness</w:t>
      </w:r>
      <w:r w:rsidRPr="00894E75">
        <w:rPr>
          <w:lang w:val="en-CA"/>
        </w:rPr>
        <w:t xml:space="preserve"> </w:t>
      </w:r>
      <w:r>
        <w:rPr>
          <w:lang w:val="en-CA"/>
        </w:rPr>
        <w:t>was detrimental to the prosecution’s case</w:t>
      </w:r>
      <w:r w:rsidRPr="00894E75">
        <w:rPr>
          <w:lang w:val="en-CA"/>
        </w:rPr>
        <w:t xml:space="preserve">. </w:t>
      </w:r>
      <w:r>
        <w:rPr>
          <w:lang w:val="en-CA"/>
        </w:rPr>
        <w:t>She could have provided evidence essential to the prosecution</w:t>
      </w:r>
      <w:r w:rsidRPr="00894E75">
        <w:rPr>
          <w:lang w:val="en-CA"/>
        </w:rPr>
        <w:t xml:space="preserve">. </w:t>
      </w:r>
      <w:r>
        <w:rPr>
          <w:lang w:val="en-CA"/>
        </w:rPr>
        <w:t>Indeed</w:t>
      </w:r>
      <w:r w:rsidRPr="00894E75">
        <w:rPr>
          <w:lang w:val="en-CA"/>
        </w:rPr>
        <w:t xml:space="preserve">, </w:t>
      </w:r>
      <w:r>
        <w:rPr>
          <w:i/>
          <w:iCs/>
          <w:lang w:val="en-CA"/>
        </w:rPr>
        <w:t>if the prosecution was right</w:t>
      </w:r>
      <w:r w:rsidRPr="00894E75">
        <w:rPr>
          <w:lang w:val="en-CA"/>
        </w:rPr>
        <w:t xml:space="preserve">, </w:t>
      </w:r>
      <w:r>
        <w:rPr>
          <w:lang w:val="en-CA"/>
        </w:rPr>
        <w:t>the daughter’s testimony would have likely contradicted her father’s on several points.</w:t>
      </w:r>
      <w:r>
        <w:rPr>
          <w:rStyle w:val="Appelnotedebasdep"/>
          <w:lang w:val="en-CA"/>
        </w:rPr>
        <w:footnoteReference w:id="37"/>
      </w:r>
    </w:p>
    <w:p w14:paraId="2DB3CB0D" w14:textId="77777777" w:rsidR="00CC0181" w:rsidRPr="00894E75" w:rsidRDefault="00CC0181" w:rsidP="00FC5E99">
      <w:pPr>
        <w:pStyle w:val="Titre2"/>
        <w:spacing w:after="120"/>
        <w:rPr>
          <w:i w:val="0"/>
          <w:iCs/>
          <w:lang w:val="en-CA"/>
        </w:rPr>
      </w:pPr>
      <w:r>
        <w:rPr>
          <w:i w:val="0"/>
          <w:iCs/>
          <w:lang w:val="en-CA"/>
        </w:rPr>
        <w:t>The Judge’s Conclusion</w:t>
      </w:r>
    </w:p>
    <w:p w14:paraId="65816C8A" w14:textId="77777777" w:rsidR="00CC0181" w:rsidRPr="00894E75" w:rsidRDefault="00CC0181" w:rsidP="00FC5E99">
      <w:pPr>
        <w:pStyle w:val="Paragraphe"/>
        <w:spacing w:line="280" w:lineRule="exact"/>
        <w:rPr>
          <w:lang w:val="en-CA"/>
        </w:rPr>
      </w:pPr>
      <w:r>
        <w:rPr>
          <w:lang w:val="en-CA"/>
        </w:rPr>
        <w:t>The judge concluded that r</w:t>
      </w:r>
      <w:r w:rsidRPr="00B55F11">
        <w:rPr>
          <w:lang w:val="en-CA"/>
        </w:rPr>
        <w:t>easonable doubt ar</w:t>
      </w:r>
      <w:r>
        <w:rPr>
          <w:lang w:val="en-CA"/>
        </w:rPr>
        <w:t>ose</w:t>
      </w:r>
      <w:r w:rsidRPr="00B55F11">
        <w:rPr>
          <w:lang w:val="en-CA"/>
        </w:rPr>
        <w:t xml:space="preserve"> from a combination of </w:t>
      </w:r>
      <w:r>
        <w:rPr>
          <w:lang w:val="en-CA"/>
        </w:rPr>
        <w:t>five</w:t>
      </w:r>
      <w:r w:rsidRPr="00B55F11">
        <w:rPr>
          <w:lang w:val="en-CA"/>
        </w:rPr>
        <w:t xml:space="preserve"> factors</w:t>
      </w:r>
      <w:r w:rsidRPr="00894E75">
        <w:rPr>
          <w:lang w:val="en-CA"/>
        </w:rPr>
        <w:t xml:space="preserve">: </w:t>
      </w:r>
      <w:r w:rsidRPr="00B55F11">
        <w:rPr>
          <w:lang w:val="en-CA"/>
        </w:rPr>
        <w:t xml:space="preserve">the </w:t>
      </w:r>
      <w:r>
        <w:rPr>
          <w:lang w:val="en-CA"/>
        </w:rPr>
        <w:t>lack of</w:t>
      </w:r>
      <w:r w:rsidRPr="00B55F11">
        <w:rPr>
          <w:lang w:val="en-CA"/>
        </w:rPr>
        <w:t xml:space="preserve"> exclusive opportunity</w:t>
      </w:r>
      <w:r w:rsidRPr="00894E75">
        <w:rPr>
          <w:lang w:val="en-CA"/>
        </w:rPr>
        <w:t xml:space="preserve">, </w:t>
      </w:r>
      <w:r w:rsidRPr="00B55F11">
        <w:rPr>
          <w:lang w:val="en-CA"/>
        </w:rPr>
        <w:t xml:space="preserve">an inadequate </w:t>
      </w:r>
      <w:r>
        <w:rPr>
          <w:lang w:val="en-CA"/>
        </w:rPr>
        <w:t>financial</w:t>
      </w:r>
      <w:r w:rsidRPr="00B55F11">
        <w:rPr>
          <w:lang w:val="en-CA"/>
        </w:rPr>
        <w:t xml:space="preserve"> motive</w:t>
      </w:r>
      <w:r w:rsidRPr="00894E75">
        <w:rPr>
          <w:lang w:val="en-CA"/>
        </w:rPr>
        <w:t xml:space="preserve">, </w:t>
      </w:r>
      <w:r w:rsidRPr="00B55F11">
        <w:rPr>
          <w:lang w:val="en-CA"/>
        </w:rPr>
        <w:t xml:space="preserve">the lack of physical evidence linking </w:t>
      </w:r>
      <w:r>
        <w:rPr>
          <w:lang w:val="en-CA"/>
        </w:rPr>
        <w:t>Mr. Fera</w:t>
      </w:r>
      <w:r w:rsidRPr="00B55F11">
        <w:rPr>
          <w:lang w:val="en-CA"/>
        </w:rPr>
        <w:t xml:space="preserve"> to the crime</w:t>
      </w:r>
      <w:r w:rsidRPr="00894E75">
        <w:rPr>
          <w:lang w:val="en-CA"/>
        </w:rPr>
        <w:t xml:space="preserve">, </w:t>
      </w:r>
      <w:r>
        <w:rPr>
          <w:lang w:val="en-CA"/>
        </w:rPr>
        <w:t>after-the-fact</w:t>
      </w:r>
      <w:r w:rsidRPr="00B55F11">
        <w:rPr>
          <w:lang w:val="en-CA"/>
        </w:rPr>
        <w:t xml:space="preserve"> </w:t>
      </w:r>
      <w:r>
        <w:rPr>
          <w:lang w:val="en-CA"/>
        </w:rPr>
        <w:t>conduct</w:t>
      </w:r>
      <w:r w:rsidRPr="00B55F11">
        <w:rPr>
          <w:lang w:val="en-CA"/>
        </w:rPr>
        <w:t xml:space="preserve"> </w:t>
      </w:r>
      <w:r>
        <w:rPr>
          <w:lang w:val="en-CA"/>
        </w:rPr>
        <w:t>wh</w:t>
      </w:r>
      <w:r w:rsidRPr="00B55F11">
        <w:rPr>
          <w:lang w:val="en-CA"/>
        </w:rPr>
        <w:t xml:space="preserve">ich </w:t>
      </w:r>
      <w:r>
        <w:rPr>
          <w:lang w:val="en-CA"/>
        </w:rPr>
        <w:t>was</w:t>
      </w:r>
      <w:r w:rsidRPr="00B55F11">
        <w:rPr>
          <w:lang w:val="en-CA"/>
        </w:rPr>
        <w:t xml:space="preserve"> consistent with innocence</w:t>
      </w:r>
      <w:r w:rsidRPr="00894E75">
        <w:rPr>
          <w:lang w:val="en-CA"/>
        </w:rPr>
        <w:t xml:space="preserve"> </w:t>
      </w:r>
      <w:r>
        <w:rPr>
          <w:lang w:val="en-CA"/>
        </w:rPr>
        <w:t>and the failure to call the couple’s youngest daughter as a witness.</w:t>
      </w:r>
      <w:r>
        <w:rPr>
          <w:rStyle w:val="Appelnotedebasdep"/>
          <w:lang w:val="en-CA"/>
        </w:rPr>
        <w:footnoteReference w:id="38"/>
      </w:r>
    </w:p>
    <w:p w14:paraId="312DDA87" w14:textId="77777777" w:rsidR="00CC0181" w:rsidRPr="00894E75" w:rsidRDefault="00CC0181" w:rsidP="00FC5E99">
      <w:pPr>
        <w:pStyle w:val="Paragraphe"/>
        <w:spacing w:line="280" w:lineRule="exact"/>
        <w:rPr>
          <w:lang w:val="en-CA"/>
        </w:rPr>
      </w:pPr>
      <w:r>
        <w:rPr>
          <w:lang w:val="en-CA"/>
        </w:rPr>
        <w:t>Therefore, he acquitted</w:t>
      </w:r>
      <w:r w:rsidRPr="00894E75">
        <w:rPr>
          <w:lang w:val="en-CA"/>
        </w:rPr>
        <w:t xml:space="preserve"> M</w:t>
      </w:r>
      <w:r>
        <w:rPr>
          <w:lang w:val="en-CA"/>
        </w:rPr>
        <w:t>r</w:t>
      </w:r>
      <w:r w:rsidRPr="00894E75">
        <w:rPr>
          <w:lang w:val="en-CA"/>
        </w:rPr>
        <w:t>. Fera.</w:t>
      </w:r>
    </w:p>
    <w:p w14:paraId="47253234" w14:textId="77777777" w:rsidR="00CC0181" w:rsidRPr="00894E75" w:rsidRDefault="00CC0181" w:rsidP="00FC5E99">
      <w:pPr>
        <w:pStyle w:val="Titre1"/>
        <w:spacing w:line="280" w:lineRule="exact"/>
        <w:rPr>
          <w:sz w:val="24"/>
          <w:szCs w:val="24"/>
          <w:lang w:val="en-CA"/>
        </w:rPr>
      </w:pPr>
      <w:r>
        <w:rPr>
          <w:sz w:val="24"/>
          <w:szCs w:val="24"/>
          <w:lang w:val="en-CA"/>
        </w:rPr>
        <w:t>Issues</w:t>
      </w:r>
    </w:p>
    <w:p w14:paraId="7903C177" w14:textId="77777777" w:rsidR="00CC0181" w:rsidRPr="00894E75" w:rsidRDefault="00CC0181" w:rsidP="00FC5E99">
      <w:pPr>
        <w:pStyle w:val="Paragraphe"/>
        <w:spacing w:line="280" w:lineRule="exact"/>
        <w:rPr>
          <w:lang w:val="en-CA"/>
        </w:rPr>
      </w:pPr>
      <w:r>
        <w:rPr>
          <w:lang w:val="en-CA"/>
        </w:rPr>
        <w:t>The appellant raises three grounds of appeal that I restate slightly</w:t>
      </w:r>
      <w:r w:rsidRPr="00894E75">
        <w:rPr>
          <w:lang w:val="en-CA"/>
        </w:rPr>
        <w:t>:</w:t>
      </w:r>
    </w:p>
    <w:p w14:paraId="2021E480" w14:textId="77777777" w:rsidR="00CC0181" w:rsidRPr="00894E75" w:rsidRDefault="00CC0181" w:rsidP="009E0FFF">
      <w:pPr>
        <w:pStyle w:val="Tiret"/>
        <w:numPr>
          <w:ilvl w:val="0"/>
          <w:numId w:val="40"/>
        </w:numPr>
        <w:spacing w:line="280" w:lineRule="exact"/>
        <w:rPr>
          <w:lang w:val="en-CA"/>
        </w:rPr>
      </w:pPr>
      <w:r>
        <w:rPr>
          <w:lang w:val="en-CA"/>
        </w:rPr>
        <w:t xml:space="preserve">Did the judge err by making findings of fact essential to the verdict that were </w:t>
      </w:r>
      <w:r w:rsidRPr="00BF5811">
        <w:rPr>
          <w:lang w:val="en-CA"/>
        </w:rPr>
        <w:t>not supported by any evidence</w:t>
      </w:r>
      <w:r w:rsidRPr="00894E75">
        <w:rPr>
          <w:lang w:val="en-CA"/>
        </w:rPr>
        <w:t>?</w:t>
      </w:r>
    </w:p>
    <w:p w14:paraId="4F47B620" w14:textId="77777777" w:rsidR="00CC0181" w:rsidRPr="00894E75" w:rsidRDefault="00CC0181" w:rsidP="009E0FFF">
      <w:pPr>
        <w:pStyle w:val="Tiret"/>
        <w:numPr>
          <w:ilvl w:val="0"/>
          <w:numId w:val="40"/>
        </w:numPr>
        <w:spacing w:line="280" w:lineRule="exact"/>
        <w:rPr>
          <w:lang w:val="en-CA"/>
        </w:rPr>
      </w:pPr>
      <w:r>
        <w:rPr>
          <w:lang w:val="en-CA"/>
        </w:rPr>
        <w:t>Did the judge err by separately analysing various items of evidence</w:t>
      </w:r>
      <w:r w:rsidRPr="00894E75">
        <w:rPr>
          <w:lang w:val="en-CA"/>
        </w:rPr>
        <w:t>?</w:t>
      </w:r>
    </w:p>
    <w:p w14:paraId="0D22C93D" w14:textId="77777777" w:rsidR="00CC0181" w:rsidRPr="00894E75" w:rsidRDefault="00CC0181" w:rsidP="009E0FFF">
      <w:pPr>
        <w:pStyle w:val="Tiret"/>
        <w:numPr>
          <w:ilvl w:val="0"/>
          <w:numId w:val="40"/>
        </w:numPr>
        <w:spacing w:line="280" w:lineRule="exact"/>
        <w:rPr>
          <w:lang w:val="en-CA"/>
        </w:rPr>
      </w:pPr>
      <w:r>
        <w:rPr>
          <w:lang w:val="en-CA"/>
        </w:rPr>
        <w:t>Did the judge err by faulting the appellant for not having led inadmissible bad character evidence</w:t>
      </w:r>
      <w:r w:rsidRPr="00894E75">
        <w:rPr>
          <w:lang w:val="en-CA"/>
        </w:rPr>
        <w:t>?</w:t>
      </w:r>
    </w:p>
    <w:p w14:paraId="0A8ED3F3" w14:textId="77777777" w:rsidR="00CC0181" w:rsidRPr="00894E75" w:rsidRDefault="00CC0181" w:rsidP="00FC5E99">
      <w:pPr>
        <w:pStyle w:val="Titre1"/>
        <w:spacing w:line="280" w:lineRule="exact"/>
        <w:rPr>
          <w:sz w:val="24"/>
          <w:szCs w:val="24"/>
          <w:lang w:val="en-CA"/>
        </w:rPr>
      </w:pPr>
      <w:r w:rsidRPr="00894E75">
        <w:rPr>
          <w:sz w:val="24"/>
          <w:szCs w:val="24"/>
          <w:lang w:val="en-CA"/>
        </w:rPr>
        <w:lastRenderedPageBreak/>
        <w:t>Analys</w:t>
      </w:r>
      <w:r>
        <w:rPr>
          <w:sz w:val="24"/>
          <w:szCs w:val="24"/>
          <w:lang w:val="en-CA"/>
        </w:rPr>
        <w:t>is</w:t>
      </w:r>
    </w:p>
    <w:p w14:paraId="2465B9E4" w14:textId="77777777" w:rsidR="00CC0181" w:rsidRPr="00894E75" w:rsidRDefault="00CC0181" w:rsidP="00FC5E99">
      <w:pPr>
        <w:pStyle w:val="Titre3"/>
        <w:ind w:left="714" w:hanging="357"/>
        <w:rPr>
          <w:bCs/>
          <w:iCs/>
          <w:lang w:val="en-CA"/>
        </w:rPr>
      </w:pPr>
      <w:r w:rsidRPr="00894E75">
        <w:rPr>
          <w:b/>
          <w:bCs/>
          <w:iCs/>
          <w:lang w:val="en-CA"/>
        </w:rPr>
        <w:t xml:space="preserve">a) </w:t>
      </w:r>
      <w:r>
        <w:rPr>
          <w:b/>
          <w:bCs/>
          <w:iCs/>
          <w:lang w:val="en-CA"/>
        </w:rPr>
        <w:t>The prosecution’s limited right of appeal</w:t>
      </w:r>
    </w:p>
    <w:p w14:paraId="6D992489" w14:textId="77777777" w:rsidR="00CC0181" w:rsidRPr="00894E75" w:rsidRDefault="00CC0181" w:rsidP="00FC5E99">
      <w:pPr>
        <w:pStyle w:val="Paragraphe"/>
        <w:spacing w:line="280" w:lineRule="exact"/>
        <w:rPr>
          <w:lang w:val="en-CA"/>
        </w:rPr>
      </w:pPr>
      <w:r>
        <w:rPr>
          <w:lang w:val="en-CA"/>
        </w:rPr>
        <w:t xml:space="preserve">In </w:t>
      </w:r>
      <w:r w:rsidRPr="00894E75">
        <w:rPr>
          <w:i/>
          <w:iCs/>
          <w:lang w:val="en-CA"/>
        </w:rPr>
        <w:t>Hodgson</w:t>
      </w:r>
      <w:r w:rsidRPr="00894E75">
        <w:rPr>
          <w:lang w:val="en-CA"/>
        </w:rPr>
        <w:t xml:space="preserve">, </w:t>
      </w:r>
      <w:r>
        <w:rPr>
          <w:lang w:val="en-CA"/>
        </w:rPr>
        <w:t>the Supreme Court recently examined the historical foundations of the prosecution’s limited right of appeal under s.</w:t>
      </w:r>
      <w:r w:rsidRPr="00894E75">
        <w:rPr>
          <w:lang w:val="en-CA"/>
        </w:rPr>
        <w:t> 676(1)</w:t>
      </w:r>
      <w:r>
        <w:rPr>
          <w:lang w:val="en-CA"/>
        </w:rPr>
        <w:t>(</w:t>
      </w:r>
      <w:r w:rsidRPr="00894E75">
        <w:rPr>
          <w:lang w:val="en-CA"/>
        </w:rPr>
        <w:t xml:space="preserve">a) </w:t>
      </w:r>
      <w:r>
        <w:rPr>
          <w:lang w:val="en-CA"/>
        </w:rPr>
        <w:t>of the</w:t>
      </w:r>
      <w:r w:rsidRPr="00894E75">
        <w:rPr>
          <w:lang w:val="en-CA"/>
        </w:rPr>
        <w:t xml:space="preserve"> </w:t>
      </w:r>
      <w:r w:rsidRPr="00894E75">
        <w:rPr>
          <w:i/>
          <w:iCs/>
          <w:lang w:val="en-CA"/>
        </w:rPr>
        <w:t>C</w:t>
      </w:r>
      <w:r>
        <w:rPr>
          <w:i/>
          <w:iCs/>
          <w:lang w:val="en-CA"/>
        </w:rPr>
        <w:t>riminal C</w:t>
      </w:r>
      <w:r w:rsidRPr="00894E75">
        <w:rPr>
          <w:i/>
          <w:iCs/>
          <w:lang w:val="en-CA"/>
        </w:rPr>
        <w:t>ode</w:t>
      </w:r>
      <w:r>
        <w:rPr>
          <w:i/>
          <w:iCs/>
          <w:lang w:val="en-CA"/>
        </w:rPr>
        <w:t xml:space="preserve"> </w:t>
      </w:r>
      <w:r>
        <w:rPr>
          <w:lang w:val="en-CA"/>
        </w:rPr>
        <w:t>and the rationales thereof</w:t>
      </w:r>
      <w:r>
        <w:rPr>
          <w:i/>
          <w:iCs/>
          <w:lang w:val="en-CA"/>
        </w:rPr>
        <w:t>.</w:t>
      </w:r>
      <w:r>
        <w:rPr>
          <w:rStyle w:val="Appelnotedebasdep"/>
          <w:lang w:val="en-CA"/>
        </w:rPr>
        <w:footnoteReference w:id="39"/>
      </w:r>
      <w:r w:rsidRPr="00894E75">
        <w:rPr>
          <w:lang w:val="en-CA"/>
        </w:rPr>
        <w:t xml:space="preserve"> </w:t>
      </w:r>
      <w:r>
        <w:rPr>
          <w:lang w:val="en-CA"/>
        </w:rPr>
        <w:t>In that judgment, it also summarized the very limited scope of that right of appeal</w:t>
      </w:r>
      <w:r w:rsidRPr="00894E75">
        <w:rPr>
          <w:lang w:val="en-CA"/>
        </w:rPr>
        <w:t>.</w:t>
      </w:r>
    </w:p>
    <w:p w14:paraId="271B8B44" w14:textId="77777777" w:rsidR="00CC0181" w:rsidRPr="00894E75" w:rsidRDefault="00CC0181" w:rsidP="00FC5E99">
      <w:pPr>
        <w:pStyle w:val="Paragraphe"/>
        <w:spacing w:line="280" w:lineRule="exact"/>
        <w:rPr>
          <w:rFonts w:cs="Arial"/>
          <w:szCs w:val="24"/>
          <w:lang w:val="en-CA"/>
        </w:rPr>
      </w:pPr>
      <w:r>
        <w:rPr>
          <w:rFonts w:cs="Arial"/>
          <w:szCs w:val="24"/>
          <w:lang w:val="en-CA"/>
        </w:rPr>
        <w:t>Two</w:t>
      </w:r>
      <w:r w:rsidRPr="00894E75">
        <w:rPr>
          <w:rFonts w:cs="Arial"/>
          <w:szCs w:val="24"/>
          <w:lang w:val="en-CA"/>
        </w:rPr>
        <w:t xml:space="preserve"> passages </w:t>
      </w:r>
      <w:r>
        <w:rPr>
          <w:rFonts w:cs="Arial"/>
          <w:szCs w:val="24"/>
          <w:lang w:val="en-CA"/>
        </w:rPr>
        <w:t>in</w:t>
      </w:r>
      <w:r w:rsidRPr="00894E75">
        <w:rPr>
          <w:rFonts w:cs="Arial"/>
          <w:szCs w:val="24"/>
          <w:lang w:val="en-CA"/>
        </w:rPr>
        <w:t xml:space="preserve"> </w:t>
      </w:r>
      <w:r w:rsidRPr="00894E75">
        <w:rPr>
          <w:rFonts w:cs="Arial"/>
          <w:i/>
          <w:iCs/>
          <w:szCs w:val="24"/>
          <w:lang w:val="en-CA"/>
        </w:rPr>
        <w:t>Hodgson</w:t>
      </w:r>
      <w:r w:rsidRPr="00894E75">
        <w:rPr>
          <w:rFonts w:cs="Arial"/>
          <w:szCs w:val="24"/>
          <w:lang w:val="en-CA"/>
        </w:rPr>
        <w:t xml:space="preserve"> </w:t>
      </w:r>
      <w:r>
        <w:rPr>
          <w:rFonts w:cs="Arial"/>
          <w:szCs w:val="24"/>
          <w:lang w:val="en-CA"/>
        </w:rPr>
        <w:t>aptly articulate the reasons which explain both the prosecution’s limited right of appeal and the dangers of expanding its scope</w:t>
      </w:r>
      <w:r w:rsidRPr="00894E75">
        <w:rPr>
          <w:rFonts w:cs="Arial"/>
          <w:szCs w:val="24"/>
          <w:lang w:val="en-CA"/>
        </w:rPr>
        <w:t>:</w:t>
      </w:r>
    </w:p>
    <w:p w14:paraId="66BA6DF7" w14:textId="77777777" w:rsidR="00CC0181" w:rsidRPr="005B0ABB" w:rsidRDefault="00CC0181" w:rsidP="007F7356">
      <w:pPr>
        <w:pStyle w:val="Citationenretrait"/>
        <w:spacing w:before="100" w:after="100"/>
        <w:rPr>
          <w:lang w:val="en-CA"/>
        </w:rPr>
      </w:pPr>
      <w:r w:rsidRPr="00894E75">
        <w:rPr>
          <w:lang w:val="en-CA"/>
        </w:rPr>
        <w:t>[22]</w:t>
      </w:r>
      <w:r w:rsidRPr="00894E75">
        <w:rPr>
          <w:lang w:val="en-CA"/>
        </w:rPr>
        <w:tab/>
      </w:r>
      <w:r w:rsidRPr="005B0ABB">
        <w:rPr>
          <w:color w:val="000000"/>
          <w:lang w:val="en-CA"/>
        </w:rPr>
        <w:t>The restricted nature of the Crown’s ability to appeal from an acquittal has deep roots in the principles that underlie our criminal justice system and was [</w:t>
      </w:r>
      <w:r w:rsidRPr="005B0ABB">
        <w:rPr>
          <w:smallCaps/>
          <w:color w:val="000000"/>
          <w:lang w:val="en-CA"/>
        </w:rPr>
        <w:t>translation</w:t>
      </w:r>
      <w:r w:rsidRPr="005B0ABB">
        <w:rPr>
          <w:color w:val="000000"/>
          <w:lang w:val="en-CA"/>
        </w:rPr>
        <w:t>] “[d]eveloped in a particular historical context characterized by the reluctance of Anglo-Canadian law to allow for [it]” (</w:t>
      </w:r>
      <w:r w:rsidRPr="005B0ABB">
        <w:rPr>
          <w:i/>
          <w:iCs/>
          <w:color w:val="000000"/>
          <w:lang w:val="en-CA"/>
        </w:rPr>
        <w:t>LSJPA – 151</w:t>
      </w:r>
      <w:r w:rsidRPr="005B0ABB">
        <w:rPr>
          <w:color w:val="000000"/>
          <w:lang w:val="en-CA"/>
        </w:rPr>
        <w:t>,</w:t>
      </w:r>
      <w:r w:rsidRPr="005B0ABB">
        <w:rPr>
          <w:i/>
          <w:iCs/>
          <w:color w:val="000000"/>
          <w:lang w:val="en-CA"/>
        </w:rPr>
        <w:t> </w:t>
      </w:r>
      <w:r w:rsidRPr="005B0ABB">
        <w:rPr>
          <w:color w:val="000000"/>
          <w:lang w:val="en-CA"/>
        </w:rPr>
        <w:t>2015 QCCA 35, at para. 57 (CanLII), per Kasirer J.A., as he then was). Indeed, “[t]here is a historical aversion to Crown appeals that grounds the differing limitations placed on appellate access as between the Crown and a convicted person” (</w:t>
      </w:r>
      <w:r w:rsidRPr="005B0ABB">
        <w:rPr>
          <w:i/>
          <w:iCs/>
          <w:color w:val="000000"/>
          <w:lang w:val="en-CA"/>
        </w:rPr>
        <w:t>R. v. Budai</w:t>
      </w:r>
      <w:r w:rsidRPr="005B0ABB">
        <w:rPr>
          <w:color w:val="000000"/>
          <w:lang w:val="en-CA"/>
        </w:rPr>
        <w:t>,</w:t>
      </w:r>
      <w:r w:rsidRPr="005B0ABB">
        <w:rPr>
          <w:i/>
          <w:iCs/>
          <w:color w:val="000000"/>
          <w:lang w:val="en-CA"/>
        </w:rPr>
        <w:t> </w:t>
      </w:r>
      <w:r w:rsidRPr="005B0ABB">
        <w:rPr>
          <w:color w:val="000000"/>
          <w:lang w:val="en-CA"/>
        </w:rPr>
        <w:t>2001 BCCA 349, 153 B.C.A.C. 98, at para. 123, per Ryan J.A.)</w:t>
      </w:r>
      <w:r w:rsidRPr="005B0ABB">
        <w:rPr>
          <w:lang w:val="en-CA"/>
        </w:rPr>
        <w:t>.</w:t>
      </w:r>
    </w:p>
    <w:p w14:paraId="19199AC3" w14:textId="77777777" w:rsidR="00CC0181" w:rsidRPr="005B0ABB" w:rsidRDefault="00CC0181" w:rsidP="007F7356">
      <w:pPr>
        <w:pStyle w:val="Citationenretrait"/>
        <w:spacing w:before="100" w:after="100"/>
        <w:rPr>
          <w:lang w:val="en-CA"/>
        </w:rPr>
      </w:pPr>
      <w:r w:rsidRPr="005B0ABB">
        <w:rPr>
          <w:lang w:val="en-CA"/>
        </w:rPr>
        <w:t>[…]</w:t>
      </w:r>
    </w:p>
    <w:p w14:paraId="0652F240" w14:textId="77777777" w:rsidR="00CC0181" w:rsidRPr="005B0ABB" w:rsidRDefault="00CC0181" w:rsidP="007F7356">
      <w:pPr>
        <w:pStyle w:val="Citationenretrait"/>
        <w:spacing w:before="100" w:after="100"/>
        <w:rPr>
          <w:rFonts w:cs="Arial"/>
          <w:szCs w:val="24"/>
          <w:lang w:val="en-CA"/>
        </w:rPr>
      </w:pPr>
      <w:r w:rsidRPr="005B0ABB">
        <w:rPr>
          <w:lang w:val="en-CA"/>
        </w:rPr>
        <w:t>[31]</w:t>
      </w:r>
      <w:r w:rsidRPr="005B0ABB">
        <w:rPr>
          <w:lang w:val="en-CA"/>
        </w:rPr>
        <w:tab/>
      </w:r>
      <w:r w:rsidRPr="005B0ABB">
        <w:rPr>
          <w:color w:val="000000"/>
          <w:lang w:val="en-CA"/>
        </w:rPr>
        <w:t>Thus, expanding the Crown’s right of appeal beyond its proper scope would have a profound impact on the interests of accused persons, especially due to the considerable anxiety created by the prospect of a new trial after a person has been acquitted (see </w:t>
      </w:r>
      <w:r w:rsidRPr="005B0ABB">
        <w:rPr>
          <w:i/>
          <w:iCs/>
          <w:color w:val="000000"/>
          <w:lang w:val="en-CA"/>
        </w:rPr>
        <w:t>Budai</w:t>
      </w:r>
      <w:r w:rsidRPr="005B0ABB">
        <w:rPr>
          <w:color w:val="000000"/>
          <w:lang w:val="en-CA"/>
        </w:rPr>
        <w:t>,</w:t>
      </w:r>
      <w:r w:rsidRPr="005B0ABB">
        <w:rPr>
          <w:i/>
          <w:iCs/>
          <w:color w:val="000000"/>
          <w:lang w:val="en-CA"/>
        </w:rPr>
        <w:t> </w:t>
      </w:r>
      <w:r w:rsidRPr="005B0ABB">
        <w:rPr>
          <w:color w:val="000000"/>
          <w:lang w:val="en-CA"/>
        </w:rPr>
        <w:t>at para. 125, quoting </w:t>
      </w:r>
      <w:r w:rsidRPr="005B0ABB">
        <w:rPr>
          <w:i/>
          <w:iCs/>
          <w:color w:val="000000"/>
          <w:lang w:val="en-CA"/>
        </w:rPr>
        <w:t>R. v. Potvin</w:t>
      </w:r>
      <w:r w:rsidRPr="005B0ABB">
        <w:rPr>
          <w:color w:val="000000"/>
          <w:lang w:val="en-CA"/>
        </w:rPr>
        <w:t>,</w:t>
      </w:r>
      <w:r w:rsidRPr="005B0ABB">
        <w:rPr>
          <w:i/>
          <w:iCs/>
          <w:color w:val="000000"/>
          <w:lang w:val="en-CA"/>
        </w:rPr>
        <w:t> </w:t>
      </w:r>
      <w:r w:rsidRPr="005B0ABB">
        <w:rPr>
          <w:color w:val="000000"/>
          <w:lang w:val="en-CA"/>
        </w:rPr>
        <w:t>[1993] 2 S.C.R. 880, at p. 890, per McLachlin J., concurring in the result). Allowing the Crown’s restricted right of appeal to expand beyond its scope would undermine the provision’s protection against wrongful convictions and double jeopardy</w:t>
      </w:r>
      <w:r w:rsidRPr="005B0ABB">
        <w:rPr>
          <w:lang w:val="en-CA"/>
        </w:rPr>
        <w:t>.</w:t>
      </w:r>
    </w:p>
    <w:p w14:paraId="372438B3" w14:textId="77777777" w:rsidR="00CC0181" w:rsidRPr="00894E75" w:rsidRDefault="00CC0181" w:rsidP="00FC5E99">
      <w:pPr>
        <w:pStyle w:val="Paragraphe"/>
        <w:spacing w:line="280" w:lineRule="exact"/>
        <w:rPr>
          <w:rFonts w:cs="Arial"/>
          <w:szCs w:val="24"/>
          <w:lang w:val="en-CA"/>
        </w:rPr>
      </w:pPr>
      <w:r>
        <w:rPr>
          <w:lang w:val="en-CA"/>
        </w:rPr>
        <w:t>Consequently, when it seeks to reverse an acquittal, the prosecution is limited to questions of law only.</w:t>
      </w:r>
      <w:r>
        <w:rPr>
          <w:rStyle w:val="Appelnotedebasdep"/>
          <w:rFonts w:cs="Arial"/>
          <w:szCs w:val="24"/>
          <w:lang w:val="en-CA"/>
        </w:rPr>
        <w:footnoteReference w:id="40"/>
      </w:r>
      <w:r w:rsidRPr="00894E75">
        <w:rPr>
          <w:rFonts w:cs="Arial"/>
          <w:szCs w:val="24"/>
          <w:lang w:val="en-CA"/>
        </w:rPr>
        <w:t xml:space="preserve"> </w:t>
      </w:r>
      <w:r>
        <w:rPr>
          <w:rFonts w:cs="Arial"/>
          <w:szCs w:val="24"/>
          <w:lang w:val="en-CA"/>
        </w:rPr>
        <w:t>That said</w:t>
      </w:r>
      <w:r w:rsidRPr="00894E75">
        <w:rPr>
          <w:rFonts w:cs="Arial"/>
          <w:szCs w:val="24"/>
          <w:lang w:val="en-CA"/>
        </w:rPr>
        <w:t xml:space="preserve">, </w:t>
      </w:r>
      <w:r>
        <w:rPr>
          <w:rFonts w:cs="Arial"/>
          <w:szCs w:val="24"/>
          <w:lang w:val="en-CA"/>
        </w:rPr>
        <w:t>there exist at least four situations in which a “</w:t>
      </w:r>
      <w:r w:rsidRPr="004059A1">
        <w:rPr>
          <w:rFonts w:cs="Arial"/>
          <w:szCs w:val="24"/>
          <w:lang w:val="en-CA"/>
        </w:rPr>
        <w:t>trial judge’s alleged shortcomings in assessing the evidence constitute an error of law giving rise to a Crown appeal of an acquittal</w:t>
      </w:r>
      <w:r>
        <w:rPr>
          <w:rFonts w:cs="Arial"/>
          <w:szCs w:val="24"/>
          <w:lang w:val="en-CA"/>
        </w:rPr>
        <w:t>”:</w:t>
      </w:r>
      <w:r>
        <w:rPr>
          <w:rStyle w:val="Appelnotedebasdep"/>
          <w:rFonts w:cs="Arial"/>
          <w:szCs w:val="24"/>
          <w:lang w:val="en-CA"/>
        </w:rPr>
        <w:footnoteReference w:id="41"/>
      </w:r>
    </w:p>
    <w:p w14:paraId="039FEE64" w14:textId="77777777" w:rsidR="00CC0181" w:rsidRPr="00894E75" w:rsidRDefault="00CC0181" w:rsidP="00FC5E99">
      <w:pPr>
        <w:pStyle w:val="Paragraphe"/>
        <w:numPr>
          <w:ilvl w:val="0"/>
          <w:numId w:val="0"/>
        </w:numPr>
        <w:spacing w:line="280" w:lineRule="exact"/>
        <w:ind w:left="1440" w:hanging="720"/>
        <w:rPr>
          <w:rFonts w:cs="Arial"/>
          <w:color w:val="000000"/>
          <w:szCs w:val="24"/>
          <w:lang w:val="en-CA"/>
        </w:rPr>
      </w:pPr>
      <w:r w:rsidRPr="00894E75">
        <w:rPr>
          <w:rFonts w:cs="Arial"/>
          <w:szCs w:val="24"/>
          <w:lang w:val="en-CA"/>
        </w:rPr>
        <w:t>1)</w:t>
      </w:r>
      <w:r w:rsidRPr="00894E75">
        <w:rPr>
          <w:rFonts w:cs="Arial"/>
          <w:szCs w:val="24"/>
          <w:lang w:val="en-CA"/>
        </w:rPr>
        <w:tab/>
      </w:r>
      <w:r w:rsidRPr="004059A1">
        <w:rPr>
          <w:rFonts w:cs="Arial"/>
          <w:color w:val="000000"/>
          <w:szCs w:val="24"/>
          <w:lang w:val="en-CA"/>
        </w:rPr>
        <w:t>Making a finding of fact for which there is no evidence — however, a conclusion that the trier of fact has a reasonable doubt is not a finding of fact for the purposes of this rule</w:t>
      </w:r>
      <w:r w:rsidRPr="00894E75">
        <w:rPr>
          <w:rFonts w:cs="Arial"/>
          <w:color w:val="000000"/>
          <w:szCs w:val="24"/>
          <w:lang w:val="en-CA"/>
        </w:rPr>
        <w:t>;</w:t>
      </w:r>
    </w:p>
    <w:p w14:paraId="2989311F" w14:textId="77777777" w:rsidR="00CC0181" w:rsidRPr="00894E75" w:rsidRDefault="00CC0181" w:rsidP="00FC5E99">
      <w:pPr>
        <w:pStyle w:val="Paragraphe"/>
        <w:numPr>
          <w:ilvl w:val="0"/>
          <w:numId w:val="0"/>
        </w:numPr>
        <w:spacing w:line="280" w:lineRule="exact"/>
        <w:ind w:left="720"/>
        <w:rPr>
          <w:rFonts w:cs="Arial"/>
          <w:color w:val="000000"/>
          <w:lang w:val="en-CA"/>
        </w:rPr>
      </w:pPr>
      <w:r w:rsidRPr="00894E75">
        <w:rPr>
          <w:rFonts w:cs="Arial"/>
          <w:color w:val="000000"/>
          <w:szCs w:val="24"/>
          <w:lang w:val="en-CA"/>
        </w:rPr>
        <w:lastRenderedPageBreak/>
        <w:t>2)</w:t>
      </w:r>
      <w:r w:rsidRPr="00894E75">
        <w:rPr>
          <w:rFonts w:cs="Arial"/>
          <w:color w:val="000000"/>
          <w:szCs w:val="24"/>
          <w:lang w:val="en-CA"/>
        </w:rPr>
        <w:tab/>
      </w:r>
      <w:r w:rsidRPr="004059A1">
        <w:rPr>
          <w:rFonts w:cs="Arial"/>
          <w:color w:val="000000"/>
          <w:lang w:val="en-CA"/>
        </w:rPr>
        <w:t>The legal effect of findings of fact or of undisputed facts</w:t>
      </w:r>
      <w:r w:rsidRPr="00894E75">
        <w:rPr>
          <w:rFonts w:cs="Arial"/>
          <w:color w:val="000000"/>
          <w:lang w:val="en-CA"/>
        </w:rPr>
        <w:t>;</w:t>
      </w:r>
    </w:p>
    <w:p w14:paraId="0F2E2DFC" w14:textId="77777777" w:rsidR="00CC0181" w:rsidRPr="00894E75" w:rsidRDefault="00CC0181" w:rsidP="00FC5E99">
      <w:pPr>
        <w:pStyle w:val="Paragraphe"/>
        <w:numPr>
          <w:ilvl w:val="0"/>
          <w:numId w:val="0"/>
        </w:numPr>
        <w:spacing w:line="280" w:lineRule="exact"/>
        <w:ind w:left="720"/>
        <w:rPr>
          <w:rFonts w:cs="Arial"/>
          <w:color w:val="000000"/>
          <w:lang w:val="en-CA"/>
        </w:rPr>
      </w:pPr>
      <w:r w:rsidRPr="00894E75">
        <w:rPr>
          <w:rFonts w:cs="Arial"/>
          <w:color w:val="000000"/>
          <w:lang w:val="en-CA"/>
        </w:rPr>
        <w:t>3)</w:t>
      </w:r>
      <w:r w:rsidRPr="00894E75">
        <w:rPr>
          <w:rFonts w:cs="Arial"/>
          <w:color w:val="000000"/>
          <w:lang w:val="en-CA"/>
        </w:rPr>
        <w:tab/>
      </w:r>
      <w:r w:rsidRPr="00AE21CF">
        <w:rPr>
          <w:rFonts w:cs="Arial"/>
          <w:color w:val="000000"/>
          <w:lang w:val="en-CA"/>
        </w:rPr>
        <w:t>An assessment of the evidence based on a wrong legal principle</w:t>
      </w:r>
      <w:r w:rsidRPr="00894E75">
        <w:rPr>
          <w:rFonts w:cs="Arial"/>
          <w:color w:val="000000"/>
          <w:lang w:val="en-CA"/>
        </w:rPr>
        <w:t>;</w:t>
      </w:r>
    </w:p>
    <w:p w14:paraId="79A6C71A" w14:textId="77777777" w:rsidR="00CC0181" w:rsidRPr="00894E75" w:rsidRDefault="00CC0181" w:rsidP="00FC5E99">
      <w:pPr>
        <w:pStyle w:val="Paragraphe"/>
        <w:numPr>
          <w:ilvl w:val="0"/>
          <w:numId w:val="0"/>
        </w:numPr>
        <w:spacing w:line="280" w:lineRule="exact"/>
        <w:ind w:left="1440" w:hanging="720"/>
        <w:rPr>
          <w:rFonts w:cs="Arial"/>
          <w:szCs w:val="24"/>
          <w:lang w:val="en-CA"/>
        </w:rPr>
      </w:pPr>
      <w:r w:rsidRPr="00894E75">
        <w:rPr>
          <w:rFonts w:cs="Arial"/>
          <w:color w:val="000000"/>
          <w:lang w:val="en-CA"/>
        </w:rPr>
        <w:t>4)</w:t>
      </w:r>
      <w:r w:rsidRPr="00894E75">
        <w:rPr>
          <w:rFonts w:cs="Arial"/>
          <w:color w:val="000000"/>
          <w:lang w:val="en-CA"/>
        </w:rPr>
        <w:tab/>
      </w:r>
      <w:r w:rsidRPr="00AE21CF">
        <w:rPr>
          <w:rFonts w:cs="Arial"/>
          <w:color w:val="000000"/>
          <w:lang w:val="en-CA"/>
        </w:rPr>
        <w:t>A failure to consider all of the evidence in relation to the ultimate issue of guilt or innocence</w:t>
      </w:r>
      <w:r w:rsidRPr="00894E75">
        <w:rPr>
          <w:rFonts w:cs="Arial"/>
          <w:color w:val="000000"/>
          <w:lang w:val="en-CA"/>
        </w:rPr>
        <w:t>.</w:t>
      </w:r>
    </w:p>
    <w:p w14:paraId="0E31373F" w14:textId="77777777" w:rsidR="00CC0181" w:rsidRPr="00894E75" w:rsidRDefault="00CC0181" w:rsidP="00FC5E99">
      <w:pPr>
        <w:pStyle w:val="Paragraphe"/>
        <w:spacing w:line="280" w:lineRule="exact"/>
        <w:rPr>
          <w:lang w:val="en-CA"/>
        </w:rPr>
      </w:pPr>
      <w:r>
        <w:rPr>
          <w:lang w:val="en-CA"/>
        </w:rPr>
        <w:t>In this appeal</w:t>
      </w:r>
      <w:r w:rsidRPr="00894E75">
        <w:rPr>
          <w:lang w:val="en-CA"/>
        </w:rPr>
        <w:t xml:space="preserve">, </w:t>
      </w:r>
      <w:r>
        <w:rPr>
          <w:lang w:val="en-CA"/>
        </w:rPr>
        <w:t>the prosecutor is arguing the first and the fourth scenarios</w:t>
      </w:r>
      <w:r w:rsidRPr="00894E75">
        <w:rPr>
          <w:lang w:val="en-CA"/>
        </w:rPr>
        <w:t>.</w:t>
      </w:r>
    </w:p>
    <w:p w14:paraId="112116AD" w14:textId="77777777" w:rsidR="00CC0181" w:rsidRPr="00894E75" w:rsidRDefault="00CC0181" w:rsidP="00FC5E99">
      <w:pPr>
        <w:pStyle w:val="Paragraphe"/>
        <w:spacing w:line="280" w:lineRule="exact"/>
        <w:rPr>
          <w:lang w:val="en-CA"/>
        </w:rPr>
      </w:pPr>
      <w:r>
        <w:rPr>
          <w:lang w:val="en-CA"/>
        </w:rPr>
        <w:t>Finally, and significantly</w:t>
      </w:r>
      <w:r w:rsidRPr="00894E75">
        <w:rPr>
          <w:lang w:val="en-CA"/>
        </w:rPr>
        <w:t xml:space="preserve">, </w:t>
      </w:r>
      <w:r>
        <w:rPr>
          <w:lang w:val="en-CA"/>
        </w:rPr>
        <w:t>a new trial will only be ordered if the prosecution is able to</w:t>
      </w:r>
      <w:r w:rsidRPr="00894E75">
        <w:rPr>
          <w:lang w:val="en-CA"/>
        </w:rPr>
        <w:t xml:space="preserve"> </w:t>
      </w:r>
      <w:r>
        <w:rPr>
          <w:lang w:val="en-CA"/>
        </w:rPr>
        <w:t>“</w:t>
      </w:r>
      <w:r w:rsidRPr="00D525B3">
        <w:rPr>
          <w:lang w:val="en-CA"/>
        </w:rPr>
        <w:t>convince the appellate court, to a reasonable degree of certainty, that the verdict of acquittal would not necessarily have been the same had the error not occurred</w:t>
      </w:r>
      <w:r>
        <w:rPr>
          <w:lang w:val="en-CA"/>
        </w:rPr>
        <w:t>.”</w:t>
      </w:r>
      <w:r>
        <w:rPr>
          <w:rStyle w:val="Appelnotedebasdep"/>
          <w:lang w:val="en-CA"/>
        </w:rPr>
        <w:footnoteReference w:id="42"/>
      </w:r>
    </w:p>
    <w:p w14:paraId="3D6F9376" w14:textId="77777777" w:rsidR="00CC0181" w:rsidRPr="00894E75" w:rsidRDefault="00CC0181" w:rsidP="00FC5E99">
      <w:pPr>
        <w:pStyle w:val="Paragraphe"/>
        <w:spacing w:line="280" w:lineRule="exact"/>
        <w:rPr>
          <w:lang w:val="en-CA"/>
        </w:rPr>
      </w:pPr>
      <w:r>
        <w:rPr>
          <w:lang w:val="en-CA"/>
        </w:rPr>
        <w:t>I am of the view that in this case, the prosecution is simply questioning the trial judge’s assessment of the evidence and the five reasons he invoked for explaining the reasonable doubt that he entertained</w:t>
      </w:r>
      <w:r w:rsidRPr="00894E75">
        <w:rPr>
          <w:lang w:val="en-CA"/>
        </w:rPr>
        <w:t>.</w:t>
      </w:r>
    </w:p>
    <w:p w14:paraId="7C78DA93" w14:textId="77777777" w:rsidR="00CC0181" w:rsidRPr="00894E75" w:rsidRDefault="00CC0181" w:rsidP="00FC5E99">
      <w:pPr>
        <w:pStyle w:val="Titre3"/>
        <w:ind w:left="714" w:hanging="357"/>
        <w:rPr>
          <w:bCs/>
          <w:lang w:val="en-CA"/>
        </w:rPr>
      </w:pPr>
      <w:r w:rsidRPr="00894E75">
        <w:rPr>
          <w:b/>
          <w:bCs/>
          <w:lang w:val="en-CA"/>
        </w:rPr>
        <w:t>b)</w:t>
      </w:r>
      <w:r>
        <w:rPr>
          <w:b/>
          <w:bCs/>
          <w:lang w:val="en-CA"/>
        </w:rPr>
        <w:tab/>
      </w:r>
      <w:r>
        <w:rPr>
          <w:b/>
          <w:bCs/>
          <w:lang w:val="en-CA"/>
        </w:rPr>
        <w:tab/>
      </w:r>
      <w:r w:rsidRPr="00A720C8">
        <w:rPr>
          <w:b/>
          <w:bCs/>
          <w:lang w:val="en-CA"/>
        </w:rPr>
        <w:t xml:space="preserve">Did the </w:t>
      </w:r>
      <w:r>
        <w:rPr>
          <w:b/>
          <w:bCs/>
          <w:lang w:val="en-CA"/>
        </w:rPr>
        <w:t>j</w:t>
      </w:r>
      <w:r w:rsidRPr="00A720C8">
        <w:rPr>
          <w:b/>
          <w:bCs/>
          <w:lang w:val="en-CA"/>
        </w:rPr>
        <w:t xml:space="preserve">udge </w:t>
      </w:r>
      <w:r>
        <w:rPr>
          <w:b/>
          <w:bCs/>
          <w:lang w:val="en-CA"/>
        </w:rPr>
        <w:t>e</w:t>
      </w:r>
      <w:r w:rsidRPr="00A720C8">
        <w:rPr>
          <w:b/>
          <w:bCs/>
          <w:lang w:val="en-CA"/>
        </w:rPr>
        <w:t xml:space="preserve">rr by </w:t>
      </w:r>
      <w:r>
        <w:rPr>
          <w:b/>
          <w:bCs/>
          <w:lang w:val="en-CA"/>
        </w:rPr>
        <w:t>m</w:t>
      </w:r>
      <w:r w:rsidRPr="00A720C8">
        <w:rPr>
          <w:b/>
          <w:bCs/>
          <w:lang w:val="en-CA"/>
        </w:rPr>
        <w:t xml:space="preserve">aking </w:t>
      </w:r>
      <w:r>
        <w:rPr>
          <w:b/>
          <w:bCs/>
          <w:lang w:val="en-CA"/>
        </w:rPr>
        <w:t>f</w:t>
      </w:r>
      <w:r w:rsidRPr="00A720C8">
        <w:rPr>
          <w:b/>
          <w:bCs/>
          <w:lang w:val="en-CA"/>
        </w:rPr>
        <w:t xml:space="preserve">indings of </w:t>
      </w:r>
      <w:r>
        <w:rPr>
          <w:b/>
          <w:bCs/>
          <w:lang w:val="en-CA"/>
        </w:rPr>
        <w:t>f</w:t>
      </w:r>
      <w:r w:rsidRPr="00A720C8">
        <w:rPr>
          <w:b/>
          <w:bCs/>
          <w:lang w:val="en-CA"/>
        </w:rPr>
        <w:t xml:space="preserve">act </w:t>
      </w:r>
      <w:r>
        <w:rPr>
          <w:b/>
          <w:bCs/>
          <w:lang w:val="en-CA"/>
        </w:rPr>
        <w:t>e</w:t>
      </w:r>
      <w:r w:rsidRPr="00A720C8">
        <w:rPr>
          <w:b/>
          <w:bCs/>
          <w:lang w:val="en-CA"/>
        </w:rPr>
        <w:t xml:space="preserve">ssential to the </w:t>
      </w:r>
      <w:r>
        <w:rPr>
          <w:b/>
          <w:bCs/>
          <w:lang w:val="en-CA"/>
        </w:rPr>
        <w:t>v</w:t>
      </w:r>
      <w:r w:rsidRPr="00A720C8">
        <w:rPr>
          <w:b/>
          <w:bCs/>
          <w:lang w:val="en-CA"/>
        </w:rPr>
        <w:t xml:space="preserve">erdict that were not </w:t>
      </w:r>
      <w:r>
        <w:rPr>
          <w:b/>
          <w:bCs/>
          <w:lang w:val="en-CA"/>
        </w:rPr>
        <w:t>s</w:t>
      </w:r>
      <w:r w:rsidRPr="00A720C8">
        <w:rPr>
          <w:b/>
          <w:bCs/>
          <w:lang w:val="en-CA"/>
        </w:rPr>
        <w:t xml:space="preserve">upported by any </w:t>
      </w:r>
      <w:r>
        <w:rPr>
          <w:b/>
          <w:bCs/>
          <w:lang w:val="en-CA"/>
        </w:rPr>
        <w:t>e</w:t>
      </w:r>
      <w:r w:rsidRPr="00A720C8">
        <w:rPr>
          <w:b/>
          <w:bCs/>
          <w:lang w:val="en-CA"/>
        </w:rPr>
        <w:t>vidence</w:t>
      </w:r>
      <w:r w:rsidRPr="00894E75">
        <w:rPr>
          <w:b/>
          <w:bCs/>
          <w:lang w:val="en-CA"/>
        </w:rPr>
        <w:t>?</w:t>
      </w:r>
    </w:p>
    <w:p w14:paraId="436628E5" w14:textId="77777777" w:rsidR="00CC0181" w:rsidRPr="00894E75" w:rsidRDefault="00CC0181" w:rsidP="00FC5E99">
      <w:pPr>
        <w:pStyle w:val="Titre4"/>
        <w:ind w:left="1145" w:hanging="720"/>
        <w:rPr>
          <w:b w:val="0"/>
          <w:bCs/>
          <w:lang w:val="en-CA"/>
        </w:rPr>
      </w:pPr>
      <w:r w:rsidRPr="00894E75">
        <w:rPr>
          <w:b w:val="0"/>
          <w:bCs/>
          <w:lang w:val="en-CA"/>
        </w:rPr>
        <w:t>i)</w:t>
      </w:r>
      <w:r w:rsidRPr="00894E75">
        <w:rPr>
          <w:b w:val="0"/>
          <w:bCs/>
          <w:lang w:val="en-CA"/>
        </w:rPr>
        <w:tab/>
        <w:t>Position</w:t>
      </w:r>
      <w:r>
        <w:rPr>
          <w:b w:val="0"/>
          <w:bCs/>
          <w:lang w:val="en-CA"/>
        </w:rPr>
        <w:t>s</w:t>
      </w:r>
      <w:r w:rsidRPr="00894E75">
        <w:rPr>
          <w:b w:val="0"/>
          <w:bCs/>
          <w:lang w:val="en-CA"/>
        </w:rPr>
        <w:t xml:space="preserve"> </w:t>
      </w:r>
      <w:r>
        <w:rPr>
          <w:b w:val="0"/>
          <w:bCs/>
          <w:lang w:val="en-CA"/>
        </w:rPr>
        <w:t>of the</w:t>
      </w:r>
      <w:r w:rsidRPr="00894E75">
        <w:rPr>
          <w:b w:val="0"/>
          <w:bCs/>
          <w:lang w:val="en-CA"/>
        </w:rPr>
        <w:t xml:space="preserve"> </w:t>
      </w:r>
      <w:r>
        <w:rPr>
          <w:b w:val="0"/>
          <w:bCs/>
          <w:lang w:val="en-CA"/>
        </w:rPr>
        <w:t>p</w:t>
      </w:r>
      <w:r w:rsidRPr="00894E75">
        <w:rPr>
          <w:b w:val="0"/>
          <w:bCs/>
          <w:lang w:val="en-CA"/>
        </w:rPr>
        <w:t>arties</w:t>
      </w:r>
    </w:p>
    <w:p w14:paraId="413BBDD2" w14:textId="77777777" w:rsidR="00CC0181" w:rsidRPr="00894E75" w:rsidRDefault="00CC0181" w:rsidP="00FC5E99">
      <w:pPr>
        <w:pStyle w:val="Titre4"/>
        <w:ind w:left="1457" w:hanging="720"/>
        <w:rPr>
          <w:bCs/>
          <w:lang w:val="en-CA"/>
        </w:rPr>
      </w:pPr>
      <w:r w:rsidRPr="00894E75">
        <w:rPr>
          <w:b w:val="0"/>
          <w:bCs/>
          <w:lang w:val="en-CA"/>
        </w:rPr>
        <w:t>1.</w:t>
      </w:r>
      <w:r w:rsidRPr="00894E75">
        <w:rPr>
          <w:b w:val="0"/>
          <w:bCs/>
          <w:lang w:val="en-CA"/>
        </w:rPr>
        <w:tab/>
      </w:r>
      <w:r>
        <w:rPr>
          <w:b w:val="0"/>
          <w:bCs/>
          <w:lang w:val="en-CA"/>
        </w:rPr>
        <w:t>The prosecution</w:t>
      </w:r>
    </w:p>
    <w:p w14:paraId="2BEDF8F5" w14:textId="77777777" w:rsidR="00CC0181" w:rsidRPr="00894E75" w:rsidRDefault="00CC0181" w:rsidP="00FC5E99">
      <w:pPr>
        <w:pStyle w:val="Paragraphe"/>
        <w:spacing w:line="280" w:lineRule="exact"/>
        <w:rPr>
          <w:lang w:val="en-CA"/>
        </w:rPr>
      </w:pPr>
      <w:r>
        <w:rPr>
          <w:lang w:val="en-CA"/>
        </w:rPr>
        <w:t>The prosecution argues that [</w:t>
      </w:r>
      <w:bookmarkStart w:id="0" w:name="_Hlk178860177"/>
      <w:r w:rsidRPr="00A720C8">
        <w:rPr>
          <w:smallCaps/>
          <w:lang w:val="en-CA"/>
        </w:rPr>
        <w:t>translation</w:t>
      </w:r>
      <w:bookmarkEnd w:id="0"/>
      <w:r>
        <w:rPr>
          <w:lang w:val="en-CA"/>
        </w:rPr>
        <w:t>]</w:t>
      </w:r>
      <w:r w:rsidRPr="00894E75">
        <w:rPr>
          <w:lang w:val="en-CA"/>
        </w:rPr>
        <w:t xml:space="preserve"> </w:t>
      </w:r>
      <w:r>
        <w:rPr>
          <w:lang w:val="en-CA"/>
        </w:rPr>
        <w:t xml:space="preserve">“some of the trial judge’s findings of fact were based on an absence of evidence or disclose a </w:t>
      </w:r>
      <w:r w:rsidRPr="00FC1BA6">
        <w:rPr>
          <w:lang w:val="en-CA"/>
        </w:rPr>
        <w:t>fail</w:t>
      </w:r>
      <w:r>
        <w:rPr>
          <w:lang w:val="en-CA"/>
        </w:rPr>
        <w:t>ure</w:t>
      </w:r>
      <w:r w:rsidRPr="00FC1BA6">
        <w:rPr>
          <w:lang w:val="en-CA"/>
        </w:rPr>
        <w:t xml:space="preserve"> to consider all of the evidence</w:t>
      </w:r>
      <w:r>
        <w:rPr>
          <w:lang w:val="en-CA"/>
        </w:rPr>
        <w:t>”</w:t>
      </w:r>
      <w:r w:rsidRPr="00894E75">
        <w:rPr>
          <w:lang w:val="en-CA"/>
        </w:rPr>
        <w:t xml:space="preserve">. </w:t>
      </w:r>
      <w:r>
        <w:rPr>
          <w:lang w:val="en-CA"/>
        </w:rPr>
        <w:t>According to the prosecution, these errors were [</w:t>
      </w:r>
      <w:r w:rsidRPr="00A720C8">
        <w:rPr>
          <w:smallCaps/>
          <w:lang w:val="en-CA"/>
        </w:rPr>
        <w:t>translation</w:t>
      </w:r>
      <w:r>
        <w:rPr>
          <w:smallCaps/>
          <w:lang w:val="en-CA"/>
        </w:rPr>
        <w:t>]</w:t>
      </w:r>
      <w:r w:rsidRPr="00894E75">
        <w:rPr>
          <w:lang w:val="en-CA"/>
        </w:rPr>
        <w:t xml:space="preserve"> </w:t>
      </w:r>
      <w:r>
        <w:rPr>
          <w:lang w:val="en-CA"/>
        </w:rPr>
        <w:t>“central to the analysis required in relation the exclusive opportunity theory.”</w:t>
      </w:r>
    </w:p>
    <w:p w14:paraId="63749669" w14:textId="77777777" w:rsidR="00CC0181" w:rsidRPr="00894E75" w:rsidRDefault="00CC0181" w:rsidP="00FC5E99">
      <w:pPr>
        <w:pStyle w:val="Paragraphe"/>
        <w:spacing w:line="280" w:lineRule="exact"/>
        <w:rPr>
          <w:lang w:val="en-CA"/>
        </w:rPr>
      </w:pPr>
      <w:r>
        <w:rPr>
          <w:lang w:val="en-CA"/>
        </w:rPr>
        <w:t>Here is how the prosecution framed its grievances in its brief</w:t>
      </w:r>
      <w:r w:rsidRPr="00894E75">
        <w:rPr>
          <w:lang w:val="en-CA"/>
        </w:rPr>
        <w:t>:</w:t>
      </w:r>
    </w:p>
    <w:p w14:paraId="0ABB17F5" w14:textId="77777777" w:rsidR="00CC0181" w:rsidRDefault="00CC0181" w:rsidP="00FC5E99">
      <w:pPr>
        <w:pStyle w:val="Citationenretrait"/>
        <w:rPr>
          <w:lang w:val="en-CA" w:eastAsia="fr-CA"/>
        </w:rPr>
      </w:pPr>
      <w:r>
        <w:rPr>
          <w:lang w:val="en-CA" w:eastAsia="fr-CA"/>
        </w:rPr>
        <w:t>[</w:t>
      </w:r>
      <w:r w:rsidRPr="00D87797">
        <w:rPr>
          <w:smallCaps/>
          <w:lang w:val="en-CA" w:eastAsia="fr-CA"/>
        </w:rPr>
        <w:t>translation</w:t>
      </w:r>
      <w:r>
        <w:rPr>
          <w:lang w:val="en-CA" w:eastAsia="fr-CA"/>
        </w:rPr>
        <w:t>]</w:t>
      </w:r>
    </w:p>
    <w:p w14:paraId="4692D55D" w14:textId="77777777" w:rsidR="00CC0181" w:rsidRPr="00894E75" w:rsidRDefault="00CC0181" w:rsidP="00FC5E99">
      <w:pPr>
        <w:pStyle w:val="Citationenretrait"/>
        <w:rPr>
          <w:lang w:val="en-CA" w:eastAsia="fr-CA"/>
        </w:rPr>
      </w:pPr>
      <w:r w:rsidRPr="00894E75">
        <w:rPr>
          <w:lang w:val="en-CA" w:eastAsia="fr-CA"/>
        </w:rPr>
        <w:t>[17]</w:t>
      </w:r>
      <w:r w:rsidRPr="00894E75">
        <w:rPr>
          <w:lang w:val="en-CA" w:eastAsia="fr-CA"/>
        </w:rPr>
        <w:tab/>
      </w:r>
      <w:r>
        <w:rPr>
          <w:lang w:val="en-CA" w:eastAsia="fr-CA"/>
        </w:rPr>
        <w:t>Two findings of fact were, in the appellant’s view, based on an absence of evidence and show that the trial judge failed to consider all of that evidence</w:t>
      </w:r>
      <w:r w:rsidRPr="00894E75">
        <w:rPr>
          <w:lang w:val="en-CA" w:eastAsia="fr-CA"/>
        </w:rPr>
        <w:t xml:space="preserve">. </w:t>
      </w:r>
      <w:r>
        <w:rPr>
          <w:lang w:val="en-CA" w:eastAsia="fr-CA"/>
        </w:rPr>
        <w:t>First</w:t>
      </w:r>
      <w:r w:rsidRPr="00894E75">
        <w:rPr>
          <w:lang w:val="en-CA" w:eastAsia="fr-CA"/>
        </w:rPr>
        <w:t xml:space="preserve"> </w:t>
      </w:r>
      <w:r w:rsidRPr="00894E75">
        <w:rPr>
          <w:rFonts w:ascii="Arial-BoldMT" w:hAnsi="Arial-BoldMT" w:cs="Arial-BoldMT"/>
          <w:b/>
          <w:bCs/>
          <w:lang w:val="en-CA" w:eastAsia="fr-CA"/>
        </w:rPr>
        <w:t>(1)</w:t>
      </w:r>
      <w:r w:rsidRPr="00894E75">
        <w:rPr>
          <w:lang w:val="en-CA" w:eastAsia="fr-CA"/>
        </w:rPr>
        <w:t xml:space="preserve">, </w:t>
      </w:r>
      <w:r>
        <w:rPr>
          <w:lang w:val="en-CA" w:eastAsia="fr-CA"/>
        </w:rPr>
        <w:t>the trial judge’s finding as to a continuous path along the east side between the rear patio door and the front door of the residence</w:t>
      </w:r>
      <w:r w:rsidRPr="00894E75">
        <w:rPr>
          <w:lang w:val="en-CA" w:eastAsia="fr-CA"/>
        </w:rPr>
        <w:t xml:space="preserve">, </w:t>
      </w:r>
      <w:r>
        <w:rPr>
          <w:lang w:val="en-CA" w:eastAsia="fr-CA"/>
        </w:rPr>
        <w:t>and second</w:t>
      </w:r>
      <w:r w:rsidRPr="00894E75">
        <w:rPr>
          <w:lang w:val="en-CA" w:eastAsia="fr-CA"/>
        </w:rPr>
        <w:t xml:space="preserve"> </w:t>
      </w:r>
      <w:r w:rsidRPr="00894E75">
        <w:rPr>
          <w:rFonts w:ascii="Arial-BoldMT" w:hAnsi="Arial-BoldMT" w:cs="Arial-BoldMT"/>
          <w:b/>
          <w:bCs/>
          <w:lang w:val="en-CA" w:eastAsia="fr-CA"/>
        </w:rPr>
        <w:t xml:space="preserve">(2) </w:t>
      </w:r>
      <w:r>
        <w:rPr>
          <w:lang w:val="en-CA" w:eastAsia="fr-CA"/>
        </w:rPr>
        <w:t xml:space="preserve">that a distinction had to be made between </w:t>
      </w:r>
      <w:r w:rsidRPr="00894E75">
        <w:rPr>
          <w:rFonts w:ascii="Arial-ItalicMT" w:hAnsi="Arial-ItalicMT" w:cs="Arial-ItalicMT"/>
          <w:i/>
          <w:iCs/>
          <w:lang w:val="en-CA" w:eastAsia="fr-CA"/>
        </w:rPr>
        <w:t>virgin snow</w:t>
      </w:r>
      <w:r w:rsidRPr="00894E75">
        <w:rPr>
          <w:sz w:val="16"/>
          <w:szCs w:val="16"/>
          <w:lang w:val="en-CA" w:eastAsia="fr-CA"/>
        </w:rPr>
        <w:t xml:space="preserve"> </w:t>
      </w:r>
      <w:r>
        <w:rPr>
          <w:lang w:val="en-CA" w:eastAsia="fr-CA"/>
        </w:rPr>
        <w:t>and the dog prints</w:t>
      </w:r>
      <w:r w:rsidRPr="00894E75">
        <w:rPr>
          <w:lang w:val="en-CA" w:eastAsia="fr-CA"/>
        </w:rPr>
        <w:t xml:space="preserve">. </w:t>
      </w:r>
      <w:r>
        <w:rPr>
          <w:lang w:val="en-CA" w:eastAsia="fr-CA"/>
        </w:rPr>
        <w:t xml:space="preserve">In the appellant’s view, those findings clearly affected the trial judge’s conclusion that there was a reasonable inference to the effect that an unknown third party was </w:t>
      </w:r>
      <w:r>
        <w:rPr>
          <w:lang w:val="en-CA" w:eastAsia="fr-CA"/>
        </w:rPr>
        <w:lastRenderedPageBreak/>
        <w:t xml:space="preserve">able to enter the residence by the patio door because of the lack of recent snow accumulation. Those findings being essential to the </w:t>
      </w:r>
      <w:r w:rsidRPr="00894E75">
        <w:rPr>
          <w:lang w:val="en-CA" w:eastAsia="fr-CA"/>
        </w:rPr>
        <w:t xml:space="preserve">verdict </w:t>
      </w:r>
      <w:r>
        <w:rPr>
          <w:lang w:val="en-CA" w:eastAsia="fr-CA"/>
        </w:rPr>
        <w:t>of acquittal</w:t>
      </w:r>
      <w:r w:rsidRPr="00894E75">
        <w:rPr>
          <w:lang w:val="en-CA" w:eastAsia="fr-CA"/>
        </w:rPr>
        <w:t xml:space="preserve">, </w:t>
      </w:r>
      <w:r>
        <w:rPr>
          <w:lang w:val="en-CA" w:eastAsia="fr-CA"/>
        </w:rPr>
        <w:t>the Court’s intervention is required</w:t>
      </w:r>
      <w:r w:rsidRPr="00894E75">
        <w:rPr>
          <w:lang w:val="en-CA" w:eastAsia="fr-CA"/>
        </w:rPr>
        <w:t xml:space="preserve">. </w:t>
      </w:r>
      <w:r>
        <w:rPr>
          <w:lang w:val="en-CA" w:eastAsia="fr-CA"/>
        </w:rPr>
        <w:t>Based on the trial judge’s findings, a verdict of second-degree murder should be substituted</w:t>
      </w:r>
      <w:r w:rsidRPr="00894E75">
        <w:rPr>
          <w:lang w:val="en-CA" w:eastAsia="fr-CA"/>
        </w:rPr>
        <w:t>.</w:t>
      </w:r>
    </w:p>
    <w:p w14:paraId="0A1035F1" w14:textId="77777777" w:rsidR="00CC0181" w:rsidRPr="00894E75" w:rsidRDefault="00CC0181" w:rsidP="00FC5E99">
      <w:pPr>
        <w:pStyle w:val="Paragraphe"/>
        <w:spacing w:line="280" w:lineRule="exact"/>
        <w:rPr>
          <w:lang w:val="en-CA"/>
        </w:rPr>
      </w:pPr>
      <w:r>
        <w:rPr>
          <w:lang w:val="en-CA"/>
        </w:rPr>
        <w:t>As can be seen</w:t>
      </w:r>
      <w:r w:rsidRPr="00894E75">
        <w:rPr>
          <w:lang w:val="en-CA"/>
        </w:rPr>
        <w:t xml:space="preserve">, </w:t>
      </w:r>
      <w:r>
        <w:rPr>
          <w:lang w:val="en-CA"/>
        </w:rPr>
        <w:t>the prosecution claims that the judge’s findings, as to the footprints</w:t>
      </w:r>
      <w:r w:rsidRPr="00894E75">
        <w:rPr>
          <w:lang w:val="en-CA"/>
        </w:rPr>
        <w:t>, 1) </w:t>
      </w:r>
      <w:r>
        <w:rPr>
          <w:lang w:val="en-CA"/>
        </w:rPr>
        <w:t>were not supported by the evidence</w:t>
      </w:r>
      <w:r w:rsidRPr="00894E75">
        <w:rPr>
          <w:lang w:val="en-CA"/>
        </w:rPr>
        <w:t>; 2) </w:t>
      </w:r>
      <w:r>
        <w:rPr>
          <w:lang w:val="en-CA"/>
        </w:rPr>
        <w:t>were speculative</w:t>
      </w:r>
      <w:r w:rsidRPr="00894E75">
        <w:rPr>
          <w:lang w:val="en-CA"/>
        </w:rPr>
        <w:t xml:space="preserve">; </w:t>
      </w:r>
      <w:r>
        <w:rPr>
          <w:lang w:val="en-CA"/>
        </w:rPr>
        <w:t>and</w:t>
      </w:r>
      <w:r w:rsidRPr="00894E75">
        <w:rPr>
          <w:lang w:val="en-CA"/>
        </w:rPr>
        <w:t xml:space="preserve"> 3) </w:t>
      </w:r>
      <w:r>
        <w:rPr>
          <w:lang w:val="en-CA"/>
        </w:rPr>
        <w:t>did not consider all of the evidence</w:t>
      </w:r>
      <w:r w:rsidRPr="00894E75">
        <w:rPr>
          <w:lang w:val="en-CA"/>
        </w:rPr>
        <w:t>.</w:t>
      </w:r>
    </w:p>
    <w:p w14:paraId="2AF21A45" w14:textId="77777777" w:rsidR="00CC0181" w:rsidRPr="00894E75" w:rsidRDefault="00CC0181" w:rsidP="00FC5E99">
      <w:pPr>
        <w:pStyle w:val="Paragraphe"/>
        <w:spacing w:line="280" w:lineRule="exact"/>
        <w:rPr>
          <w:lang w:val="en-CA"/>
        </w:rPr>
      </w:pPr>
      <w:r>
        <w:rPr>
          <w:lang w:val="en-CA"/>
        </w:rPr>
        <w:t>All those arguments were therefore related to the assumption implying that a third party could have entered the house by the patio door, after having followed the path along the east side of the couple’s house</w:t>
      </w:r>
      <w:r w:rsidRPr="00894E75">
        <w:rPr>
          <w:lang w:val="en-CA"/>
        </w:rPr>
        <w:t xml:space="preserve">. </w:t>
      </w:r>
      <w:r>
        <w:rPr>
          <w:lang w:val="en-CA"/>
        </w:rPr>
        <w:t xml:space="preserve">In the prosecution’s opinion, that assumption was essential to </w:t>
      </w:r>
      <w:r w:rsidRPr="00894E75">
        <w:rPr>
          <w:lang w:val="en-CA"/>
        </w:rPr>
        <w:t>M</w:t>
      </w:r>
      <w:r>
        <w:rPr>
          <w:lang w:val="en-CA"/>
        </w:rPr>
        <w:t>r</w:t>
      </w:r>
      <w:r w:rsidRPr="00894E75">
        <w:rPr>
          <w:lang w:val="en-CA"/>
        </w:rPr>
        <w:t>. Fera</w:t>
      </w:r>
      <w:r>
        <w:rPr>
          <w:lang w:val="en-CA"/>
        </w:rPr>
        <w:t>’s acquittal</w:t>
      </w:r>
      <w:r w:rsidRPr="00894E75">
        <w:rPr>
          <w:lang w:val="en-CA"/>
        </w:rPr>
        <w:t xml:space="preserve">, </w:t>
      </w:r>
      <w:r>
        <w:rPr>
          <w:lang w:val="en-CA"/>
        </w:rPr>
        <w:t xml:space="preserve">because were it to be accepted as reasonable, one could reject the exclusive opportunity theory which suffices, on its own, according to the prosecution, to prove </w:t>
      </w:r>
      <w:r w:rsidRPr="00894E75">
        <w:rPr>
          <w:lang w:val="en-CA"/>
        </w:rPr>
        <w:t>M</w:t>
      </w:r>
      <w:r>
        <w:rPr>
          <w:lang w:val="en-CA"/>
        </w:rPr>
        <w:t>r</w:t>
      </w:r>
      <w:r w:rsidRPr="00894E75">
        <w:rPr>
          <w:lang w:val="en-CA"/>
        </w:rPr>
        <w:t>. Fera</w:t>
      </w:r>
      <w:r>
        <w:rPr>
          <w:lang w:val="en-CA"/>
        </w:rPr>
        <w:t>’s guilt.</w:t>
      </w:r>
      <w:r>
        <w:rPr>
          <w:rStyle w:val="Appelnotedebasdep"/>
          <w:lang w:val="en-CA"/>
        </w:rPr>
        <w:footnoteReference w:id="43"/>
      </w:r>
    </w:p>
    <w:p w14:paraId="24E699FE" w14:textId="77777777" w:rsidR="00CC0181" w:rsidRPr="00894E75" w:rsidRDefault="00CC0181" w:rsidP="00FC5E99">
      <w:pPr>
        <w:pStyle w:val="Paragraphe"/>
        <w:spacing w:line="280" w:lineRule="exact"/>
        <w:rPr>
          <w:lang w:val="en-CA"/>
        </w:rPr>
      </w:pPr>
      <w:r>
        <w:rPr>
          <w:lang w:val="en-CA"/>
        </w:rPr>
        <w:t>Essentially, the prosecution disagrees with the judge’s finding that the photos of the snow-covered property were not clear enough to determine the presence or lack of human footprints around the patio</w:t>
      </w:r>
      <w:r w:rsidRPr="00894E75">
        <w:rPr>
          <w:lang w:val="en-CA"/>
        </w:rPr>
        <w:t xml:space="preserve">. </w:t>
      </w:r>
      <w:r>
        <w:rPr>
          <w:lang w:val="en-CA"/>
        </w:rPr>
        <w:t>Because the photos did not allow him to draw definite conclusions in that regard</w:t>
      </w:r>
      <w:r w:rsidRPr="00894E75">
        <w:rPr>
          <w:lang w:val="en-CA"/>
        </w:rPr>
        <w:t xml:space="preserve">, </w:t>
      </w:r>
      <w:r>
        <w:rPr>
          <w:lang w:val="en-CA"/>
        </w:rPr>
        <w:t>the judge found that the prosecution had failed to exclude the possibility that an unknown third party had entered by the patio door by walking through the snow</w:t>
      </w:r>
      <w:r w:rsidRPr="00894E75">
        <w:rPr>
          <w:lang w:val="en-CA"/>
        </w:rPr>
        <w:t xml:space="preserve">. </w:t>
      </w:r>
      <w:r>
        <w:rPr>
          <w:lang w:val="en-CA"/>
        </w:rPr>
        <w:t>In my view, that was the fundamental issue which simply involved an assessment of the evidence, and not a question of law</w:t>
      </w:r>
      <w:r w:rsidRPr="00894E75">
        <w:rPr>
          <w:lang w:val="en-CA"/>
        </w:rPr>
        <w:t>.</w:t>
      </w:r>
    </w:p>
    <w:p w14:paraId="3DAE5F58" w14:textId="77777777" w:rsidR="00CC0181" w:rsidRPr="00894E75" w:rsidRDefault="00CC0181" w:rsidP="00FC5E99">
      <w:pPr>
        <w:pStyle w:val="Paragraphe"/>
        <w:spacing w:line="280" w:lineRule="exact"/>
        <w:rPr>
          <w:lang w:val="en-CA"/>
        </w:rPr>
      </w:pPr>
      <w:r>
        <w:rPr>
          <w:lang w:val="en-CA"/>
        </w:rPr>
        <w:t>Although the prosecution’s right of appeal was limited to questions of law only, the prosecution advanced a reinterpretation of the evidence that would have established that Mr. Fera had the exclusive opportunity to murder his wife</w:t>
      </w:r>
      <w:r w:rsidRPr="00894E75">
        <w:rPr>
          <w:lang w:val="en-CA"/>
        </w:rPr>
        <w:t xml:space="preserve">. </w:t>
      </w:r>
      <w:r>
        <w:rPr>
          <w:lang w:val="en-CA"/>
        </w:rPr>
        <w:t>However, to do so, the prosecution “</w:t>
      </w:r>
      <w:r w:rsidRPr="0086725E">
        <w:rPr>
          <w:lang w:val="en-CA"/>
        </w:rPr>
        <w:t>finely parse</w:t>
      </w:r>
      <w:r>
        <w:rPr>
          <w:lang w:val="en-CA"/>
        </w:rPr>
        <w:t>d</w:t>
      </w:r>
      <w:r w:rsidRPr="0086725E">
        <w:rPr>
          <w:lang w:val="en-CA"/>
        </w:rPr>
        <w:t xml:space="preserve"> the trial judge’s reasons in a search for error</w:t>
      </w:r>
      <w:r>
        <w:rPr>
          <w:lang w:val="en-CA"/>
        </w:rPr>
        <w:t>”</w:t>
      </w:r>
      <w:r>
        <w:rPr>
          <w:rStyle w:val="Appelnotedebasdep"/>
          <w:lang w:val="en-CA"/>
        </w:rPr>
        <w:footnoteReference w:id="44"/>
      </w:r>
      <w:r w:rsidRPr="00894E75">
        <w:rPr>
          <w:lang w:val="en-CA"/>
        </w:rPr>
        <w:t xml:space="preserve"> </w:t>
      </w:r>
      <w:r>
        <w:rPr>
          <w:lang w:val="en-CA"/>
        </w:rPr>
        <w:t>and ignored the real substance of the trial judge’s decision</w:t>
      </w:r>
      <w:r w:rsidRPr="00894E75">
        <w:rPr>
          <w:lang w:val="en-CA"/>
        </w:rPr>
        <w:t>.</w:t>
      </w:r>
    </w:p>
    <w:p w14:paraId="658C840A" w14:textId="77777777" w:rsidR="00CC0181" w:rsidRPr="00894E75" w:rsidRDefault="00CC0181" w:rsidP="00FC5E99">
      <w:pPr>
        <w:pStyle w:val="Paragraphe"/>
        <w:spacing w:line="280" w:lineRule="exact"/>
        <w:rPr>
          <w:lang w:val="en-CA"/>
        </w:rPr>
      </w:pPr>
      <w:r>
        <w:rPr>
          <w:lang w:val="en-CA"/>
        </w:rPr>
        <w:t>It was at the behest of the prosecution</w:t>
      </w:r>
      <w:r w:rsidRPr="00894E75">
        <w:rPr>
          <w:lang w:val="en-CA"/>
        </w:rPr>
        <w:t xml:space="preserve">, </w:t>
      </w:r>
      <w:r>
        <w:rPr>
          <w:lang w:val="en-CA"/>
        </w:rPr>
        <w:t>who relied emphatically on the exclusive opportunity that</w:t>
      </w:r>
      <w:r w:rsidRPr="00894E75">
        <w:rPr>
          <w:lang w:val="en-CA"/>
        </w:rPr>
        <w:t xml:space="preserve"> M</w:t>
      </w:r>
      <w:r>
        <w:rPr>
          <w:lang w:val="en-CA"/>
        </w:rPr>
        <w:t>r</w:t>
      </w:r>
      <w:r w:rsidRPr="00894E75">
        <w:rPr>
          <w:lang w:val="en-CA"/>
        </w:rPr>
        <w:t>. Fera</w:t>
      </w:r>
      <w:r>
        <w:rPr>
          <w:lang w:val="en-CA"/>
        </w:rPr>
        <w:t xml:space="preserve"> purportedly had</w:t>
      </w:r>
      <w:r w:rsidRPr="00894E75">
        <w:rPr>
          <w:lang w:val="en-CA"/>
        </w:rPr>
        <w:t>,</w:t>
      </w:r>
      <w:r>
        <w:rPr>
          <w:lang w:val="en-CA"/>
        </w:rPr>
        <w:t xml:space="preserve"> that the judge carefully examined that issue</w:t>
      </w:r>
      <w:r w:rsidRPr="00894E75">
        <w:rPr>
          <w:lang w:val="en-CA"/>
        </w:rPr>
        <w:t xml:space="preserve">. </w:t>
      </w:r>
      <w:r>
        <w:rPr>
          <w:lang w:val="en-CA"/>
        </w:rPr>
        <w:t>He considered both the entry points to the house and the presence of footsteps in the snow surrounding it</w:t>
      </w:r>
      <w:r w:rsidRPr="00894E75">
        <w:rPr>
          <w:lang w:val="en-CA"/>
        </w:rPr>
        <w:t>.</w:t>
      </w:r>
    </w:p>
    <w:p w14:paraId="5AB26200" w14:textId="77777777" w:rsidR="00CC0181" w:rsidRDefault="00CC0181">
      <w:pPr>
        <w:spacing w:line="240" w:lineRule="auto"/>
        <w:rPr>
          <w:kern w:val="28"/>
          <w:lang w:val="en-CA"/>
        </w:rPr>
      </w:pPr>
      <w:r>
        <w:rPr>
          <w:lang w:val="en-CA"/>
        </w:rPr>
        <w:br w:type="page"/>
      </w:r>
    </w:p>
    <w:p w14:paraId="08668933" w14:textId="77777777" w:rsidR="00CC0181" w:rsidRPr="00894E75" w:rsidRDefault="00CC0181" w:rsidP="00FC5E99">
      <w:pPr>
        <w:pStyle w:val="Paragraphe"/>
        <w:spacing w:line="280" w:lineRule="exact"/>
        <w:rPr>
          <w:lang w:val="en-CA"/>
        </w:rPr>
      </w:pPr>
      <w:r>
        <w:rPr>
          <w:lang w:val="en-CA"/>
        </w:rPr>
        <w:lastRenderedPageBreak/>
        <w:t>Regarding the entry points</w:t>
      </w:r>
      <w:r w:rsidRPr="00894E75">
        <w:rPr>
          <w:lang w:val="en-CA"/>
        </w:rPr>
        <w:t xml:space="preserve">, </w:t>
      </w:r>
      <w:r>
        <w:rPr>
          <w:lang w:val="en-CA"/>
        </w:rPr>
        <w:t>the judge held that the prosecution had failed to prove that all the doors of the house were locked when Mr.</w:t>
      </w:r>
      <w:r w:rsidRPr="00894E75">
        <w:rPr>
          <w:lang w:val="en-CA"/>
        </w:rPr>
        <w:t xml:space="preserve"> Fera </w:t>
      </w:r>
      <w:r>
        <w:rPr>
          <w:lang w:val="en-CA"/>
        </w:rPr>
        <w:t>left the residence with his daughter on the morning of the murder.</w:t>
      </w:r>
      <w:r>
        <w:rPr>
          <w:rStyle w:val="Appelnotedebasdep"/>
          <w:lang w:val="en-CA"/>
        </w:rPr>
        <w:footnoteReference w:id="45"/>
      </w:r>
      <w:r w:rsidRPr="00894E75">
        <w:rPr>
          <w:lang w:val="en-CA"/>
        </w:rPr>
        <w:t xml:space="preserve"> </w:t>
      </w:r>
      <w:r>
        <w:rPr>
          <w:lang w:val="en-CA"/>
        </w:rPr>
        <w:t>After having found that only four of the doors had been locked, the judge focussed on the patio door</w:t>
      </w:r>
      <w:r w:rsidRPr="00894E75">
        <w:rPr>
          <w:lang w:val="en-CA"/>
        </w:rPr>
        <w:t>:</w:t>
      </w:r>
    </w:p>
    <w:p w14:paraId="60AA0BEB" w14:textId="77777777" w:rsidR="00CC0181" w:rsidRPr="00894E75" w:rsidRDefault="00CC0181" w:rsidP="001200D5">
      <w:pPr>
        <w:pStyle w:val="Citationenretrait"/>
        <w:spacing w:before="160" w:after="160"/>
        <w:rPr>
          <w:sz w:val="24"/>
          <w:lang w:val="en-CA" w:eastAsia="fr-CA"/>
        </w:rPr>
      </w:pPr>
      <w:r w:rsidRPr="00894E75">
        <w:rPr>
          <w:lang w:val="en-CA"/>
        </w:rPr>
        <w:t>[134]</w:t>
      </w:r>
      <w:r w:rsidRPr="00894E75">
        <w:rPr>
          <w:sz w:val="14"/>
          <w:szCs w:val="14"/>
          <w:lang w:val="en-CA"/>
        </w:rPr>
        <w:tab/>
      </w:r>
      <w:r w:rsidRPr="00894E75">
        <w:rPr>
          <w:lang w:val="en-CA"/>
        </w:rPr>
        <w:t>There remains the patio door. As the Court has stated, Agent Bellemare testified that the patio door was locked when he conducted his cursory, summary inspection of the residence. With respect, the Court does not accept that testimony.</w:t>
      </w:r>
    </w:p>
    <w:p w14:paraId="76981E85" w14:textId="77777777" w:rsidR="00CC0181" w:rsidRPr="00894E75" w:rsidRDefault="00CC0181" w:rsidP="001200D5">
      <w:pPr>
        <w:pStyle w:val="Citationenretrait"/>
        <w:spacing w:before="160" w:after="160"/>
        <w:rPr>
          <w:lang w:val="en-CA"/>
        </w:rPr>
      </w:pPr>
      <w:r w:rsidRPr="00894E75">
        <w:rPr>
          <w:lang w:val="en-CA"/>
        </w:rPr>
        <w:t>[135]</w:t>
      </w:r>
      <w:r w:rsidRPr="00894E75">
        <w:rPr>
          <w:sz w:val="14"/>
          <w:szCs w:val="14"/>
          <w:lang w:val="en-CA"/>
        </w:rPr>
        <w:tab/>
      </w:r>
      <w:r w:rsidRPr="00894E75">
        <w:rPr>
          <w:lang w:val="en-CA"/>
        </w:rPr>
        <w:t>To begin with, Mr. Fera was less certain of the status of the patio door as compared to the front door. In a statement, he explained that the youngest daughter was responsible for letting the family dog outside in the morning through the patio door. He assumed that she had locked the door when the dog re-entered the house (exhibit P-6a).</w:t>
      </w:r>
    </w:p>
    <w:p w14:paraId="44D7C096" w14:textId="77777777" w:rsidR="00CC0181" w:rsidRPr="00894E75" w:rsidRDefault="00CC0181" w:rsidP="001200D5">
      <w:pPr>
        <w:pStyle w:val="Citationenretrait"/>
        <w:spacing w:before="160" w:after="160"/>
        <w:rPr>
          <w:lang w:val="en-CA"/>
        </w:rPr>
      </w:pPr>
      <w:r w:rsidRPr="00894E75">
        <w:rPr>
          <w:lang w:val="en-CA"/>
        </w:rPr>
        <w:t>[136]</w:t>
      </w:r>
      <w:r w:rsidRPr="00894E75">
        <w:rPr>
          <w:sz w:val="14"/>
          <w:szCs w:val="14"/>
          <w:lang w:val="en-CA"/>
        </w:rPr>
        <w:tab/>
      </w:r>
      <w:r w:rsidRPr="00894E75">
        <w:rPr>
          <w:lang w:val="en-CA"/>
        </w:rPr>
        <w:t>As for Agent Bellemare’s testimony concerning the patio door, the Court finds it unreliable for the following reasons.</w:t>
      </w:r>
    </w:p>
    <w:p w14:paraId="24042677" w14:textId="77777777" w:rsidR="00CC0181" w:rsidRPr="00894E75" w:rsidRDefault="00CC0181" w:rsidP="001200D5">
      <w:pPr>
        <w:pStyle w:val="Citationenretrait"/>
        <w:spacing w:before="160" w:after="160"/>
        <w:rPr>
          <w:lang w:val="en-CA"/>
        </w:rPr>
      </w:pPr>
      <w:r w:rsidRPr="00894E75">
        <w:rPr>
          <w:lang w:val="en-CA"/>
        </w:rPr>
        <w:t>[137]</w:t>
      </w:r>
      <w:r w:rsidRPr="00894E75">
        <w:rPr>
          <w:sz w:val="14"/>
          <w:szCs w:val="14"/>
          <w:lang w:val="en-CA"/>
        </w:rPr>
        <w:tab/>
      </w:r>
      <w:r w:rsidRPr="00894E75">
        <w:rPr>
          <w:lang w:val="en-CA"/>
        </w:rPr>
        <w:t>First, while he was tasked with checking for signs of forced entry, he has no recollection that there was a door which gave access to the house through the garage and was located on the east side of the house. If he has no recollection of this door, how can he remember checking the patio door 17 years ago?</w:t>
      </w:r>
    </w:p>
    <w:p w14:paraId="4E447341" w14:textId="77777777" w:rsidR="00CC0181" w:rsidRPr="00894E75" w:rsidRDefault="00CC0181" w:rsidP="001200D5">
      <w:pPr>
        <w:pStyle w:val="Citationenretrait"/>
        <w:spacing w:before="160" w:after="160"/>
        <w:rPr>
          <w:lang w:val="en-CA"/>
        </w:rPr>
      </w:pPr>
      <w:r w:rsidRPr="00894E75">
        <w:rPr>
          <w:lang w:val="en-CA"/>
        </w:rPr>
        <w:t>[138]</w:t>
      </w:r>
      <w:r w:rsidRPr="00894E75">
        <w:rPr>
          <w:sz w:val="14"/>
          <w:szCs w:val="14"/>
          <w:lang w:val="en-CA"/>
        </w:rPr>
        <w:tab/>
      </w:r>
      <w:r w:rsidRPr="00894E75">
        <w:rPr>
          <w:lang w:val="en-CA"/>
        </w:rPr>
        <w:t>Second, his powers of observation appeared to be sketchy at best. While stating that he saw no signs of the house having been searched, he admits that he has no recollection of having noted the upturned dresser drawer which was on the bed in the master bedroom. He has no recollection of the presence of a bedside lamp in the bathroom.</w:t>
      </w:r>
    </w:p>
    <w:p w14:paraId="33065E27" w14:textId="77777777" w:rsidR="00CC0181" w:rsidRPr="00894E75" w:rsidRDefault="00CC0181" w:rsidP="001200D5">
      <w:pPr>
        <w:pStyle w:val="Citationenretrait"/>
        <w:spacing w:before="160" w:after="160"/>
        <w:rPr>
          <w:lang w:val="en-CA"/>
        </w:rPr>
      </w:pPr>
      <w:r w:rsidRPr="00894E75">
        <w:rPr>
          <w:lang w:val="en-CA"/>
        </w:rPr>
        <w:t>[139]</w:t>
      </w:r>
      <w:r w:rsidRPr="00894E75">
        <w:rPr>
          <w:sz w:val="14"/>
          <w:szCs w:val="14"/>
          <w:lang w:val="en-CA"/>
        </w:rPr>
        <w:tab/>
      </w:r>
      <w:r w:rsidRPr="00894E75">
        <w:rPr>
          <w:lang w:val="en-CA"/>
        </w:rPr>
        <w:t>Third, Agent Charette testified that he saw his colleague, Sgt. Det. Lacoste, step out of the patio door at 15h30. The crime scene technician Grenier only began filming and taking pictures inside the residence after a search warrant was issued at around 18h30. The Court holds that it is inconceivable that Sgt. Det. Lacoste would have disturbed the crime scene prior to the crime scene technician even beginning his work. He would not have unlocked the patio door to step outside at 15h30 as witnessed by Agent Charette. The patio door must have been unlocked and Agent Bellemare must have been mistaken in his assertion to the contrary.</w:t>
      </w:r>
    </w:p>
    <w:p w14:paraId="1656DA55" w14:textId="77777777" w:rsidR="00CC0181" w:rsidRDefault="00CC0181">
      <w:pPr>
        <w:spacing w:line="240" w:lineRule="auto"/>
        <w:rPr>
          <w:kern w:val="28"/>
          <w:lang w:val="en-CA"/>
        </w:rPr>
      </w:pPr>
      <w:r>
        <w:rPr>
          <w:lang w:val="en-CA"/>
        </w:rPr>
        <w:br w:type="page"/>
      </w:r>
    </w:p>
    <w:p w14:paraId="1D02B264" w14:textId="77777777" w:rsidR="00CC0181" w:rsidRPr="00894E75" w:rsidRDefault="00CC0181" w:rsidP="00FC5E99">
      <w:pPr>
        <w:pStyle w:val="Paragraphe"/>
        <w:spacing w:line="280" w:lineRule="exact"/>
        <w:rPr>
          <w:lang w:val="en-CA"/>
        </w:rPr>
      </w:pPr>
      <w:r>
        <w:rPr>
          <w:lang w:val="en-CA"/>
        </w:rPr>
        <w:lastRenderedPageBreak/>
        <w:t>The judge’s finding on the reliability of Agent Bellemare’s testimony was within his discretion regarding testimonial assessment.</w:t>
      </w:r>
      <w:r>
        <w:rPr>
          <w:rStyle w:val="Appelnotedebasdep"/>
          <w:lang w:val="en-CA"/>
        </w:rPr>
        <w:footnoteReference w:id="46"/>
      </w:r>
      <w:r w:rsidRPr="00894E75">
        <w:rPr>
          <w:lang w:val="en-CA"/>
        </w:rPr>
        <w:t xml:space="preserve"> </w:t>
      </w:r>
      <w:r>
        <w:rPr>
          <w:lang w:val="en-CA"/>
        </w:rPr>
        <w:t>The prosecution has not identified any error of law that would allow the Court to intervene in regard to the judge’s conclusion that the prosecution had failed to prove that the patio door was locked</w:t>
      </w:r>
      <w:r w:rsidRPr="00894E75">
        <w:rPr>
          <w:lang w:val="en-CA"/>
        </w:rPr>
        <w:t>.</w:t>
      </w:r>
    </w:p>
    <w:p w14:paraId="0B82730F" w14:textId="77777777" w:rsidR="00CC0181" w:rsidRPr="00894E75" w:rsidRDefault="00CC0181" w:rsidP="00FC5E99">
      <w:pPr>
        <w:pStyle w:val="Paragraphe"/>
        <w:spacing w:line="280" w:lineRule="exact"/>
        <w:rPr>
          <w:lang w:val="en-CA"/>
        </w:rPr>
      </w:pPr>
      <w:r>
        <w:rPr>
          <w:lang w:val="en-CA"/>
        </w:rPr>
        <w:t>The judge then addressed the issue of the footsteps in the snow surrounding the residence and access to the patio door</w:t>
      </w:r>
      <w:r w:rsidRPr="00894E75">
        <w:rPr>
          <w:lang w:val="en-CA"/>
        </w:rPr>
        <w:t>.</w:t>
      </w:r>
    </w:p>
    <w:p w14:paraId="2684B9ED" w14:textId="77777777" w:rsidR="00CC0181" w:rsidRPr="00894E75" w:rsidRDefault="00CC0181" w:rsidP="00FC5E99">
      <w:pPr>
        <w:pStyle w:val="Paragraphe"/>
        <w:spacing w:line="280" w:lineRule="exact"/>
        <w:rPr>
          <w:lang w:val="en-CA"/>
        </w:rPr>
      </w:pPr>
      <w:r>
        <w:rPr>
          <w:lang w:val="en-CA"/>
        </w:rPr>
        <w:t>On that point, the prosecution argues that the judge’s analysis was speculative, given the lack of evidence in support of the implication that an unknown third party purportedly walked in a non-existent path</w:t>
      </w:r>
      <w:r w:rsidRPr="00894E75">
        <w:rPr>
          <w:lang w:val="en-CA"/>
        </w:rPr>
        <w:t xml:space="preserve">. </w:t>
      </w:r>
      <w:r>
        <w:rPr>
          <w:lang w:val="en-CA"/>
        </w:rPr>
        <w:t>The prosecution further claims that the amount of snow led the judge to establish speculative distinctions in his assessment of the evidence</w:t>
      </w:r>
      <w:r w:rsidRPr="00894E75">
        <w:rPr>
          <w:lang w:val="en-CA"/>
        </w:rPr>
        <w:t xml:space="preserve">. </w:t>
      </w:r>
      <w:r>
        <w:rPr>
          <w:lang w:val="en-CA"/>
        </w:rPr>
        <w:t>The prosecution then proceeds to completely reconstruct the facts, in light of the evidence, seeking to establish that some of the judge’s findings of fact were either inconsistent or else that he failed to consider certain fact</w:t>
      </w:r>
      <w:r w:rsidRPr="00894E75">
        <w:rPr>
          <w:lang w:val="en-CA"/>
        </w:rPr>
        <w:t>s.</w:t>
      </w:r>
    </w:p>
    <w:p w14:paraId="4CDD8AC5" w14:textId="77777777" w:rsidR="00CC0181" w:rsidRPr="00894E75" w:rsidRDefault="00CC0181" w:rsidP="00FC5E99">
      <w:pPr>
        <w:pStyle w:val="Paragraphe"/>
        <w:spacing w:line="280" w:lineRule="exact"/>
        <w:rPr>
          <w:lang w:val="en-CA"/>
        </w:rPr>
      </w:pPr>
      <w:r>
        <w:rPr>
          <w:lang w:val="en-CA"/>
        </w:rPr>
        <w:t>The prosecution is mistaken, as it ignores a fundamental aspect of the judgment rendered</w:t>
      </w:r>
      <w:r w:rsidRPr="00894E75">
        <w:rPr>
          <w:lang w:val="en-CA"/>
        </w:rPr>
        <w:t>.</w:t>
      </w:r>
    </w:p>
    <w:p w14:paraId="6A2180F4" w14:textId="77777777" w:rsidR="00CC0181" w:rsidRPr="00894E75" w:rsidRDefault="00CC0181" w:rsidP="00FC5E99">
      <w:pPr>
        <w:pStyle w:val="Paragraphe"/>
        <w:spacing w:line="280" w:lineRule="exact"/>
        <w:rPr>
          <w:lang w:val="en-CA"/>
        </w:rPr>
      </w:pPr>
      <w:r>
        <w:rPr>
          <w:lang w:val="en-CA"/>
        </w:rPr>
        <w:t>The judge acknowledged the importance of the presence of footsteps in the snow in addressing the issue of exclusive opportunity as argued by the prosecution</w:t>
      </w:r>
      <w:r w:rsidRPr="00894E75">
        <w:rPr>
          <w:lang w:val="en-CA"/>
        </w:rPr>
        <w:t xml:space="preserve">. </w:t>
      </w:r>
      <w:r>
        <w:rPr>
          <w:lang w:val="en-CA"/>
        </w:rPr>
        <w:t>However, he concluded that the police investigation was inadequat</w:t>
      </w:r>
      <w:r w:rsidRPr="00894E75">
        <w:rPr>
          <w:lang w:val="en-CA"/>
        </w:rPr>
        <w:t xml:space="preserve">e. </w:t>
      </w:r>
      <w:r>
        <w:rPr>
          <w:lang w:val="en-CA"/>
        </w:rPr>
        <w:t>Here is how he articulated his finding</w:t>
      </w:r>
      <w:r w:rsidRPr="00894E75">
        <w:rPr>
          <w:lang w:val="en-CA"/>
        </w:rPr>
        <w:t>:</w:t>
      </w:r>
    </w:p>
    <w:p w14:paraId="225D053B" w14:textId="77777777" w:rsidR="00CC0181" w:rsidRPr="00894E75" w:rsidRDefault="00CC0181" w:rsidP="00FC5E99">
      <w:pPr>
        <w:pStyle w:val="Citationenretrait"/>
        <w:rPr>
          <w:lang w:val="en-CA"/>
        </w:rPr>
      </w:pPr>
      <w:r w:rsidRPr="00894E75">
        <w:rPr>
          <w:lang w:val="en-CA"/>
        </w:rPr>
        <w:t>[140]</w:t>
      </w:r>
      <w:r w:rsidRPr="00894E75">
        <w:rPr>
          <w:lang w:val="en-CA"/>
        </w:rPr>
        <w:tab/>
        <w:t xml:space="preserve">The issue of the presence of snow was also of some importance to the exclusive opportunity theory. It was argued that there were no signs of forced entry into the residence which included the absence of unexplained human footsteps although there had been a recent dusting of snow. </w:t>
      </w:r>
      <w:r w:rsidRPr="00894E75">
        <w:rPr>
          <w:u w:val="single"/>
          <w:lang w:val="en-CA"/>
        </w:rPr>
        <w:t>The Court is of the opinion that the presence or lack of footsteps was not dealt with adequately during the investigation</w:t>
      </w:r>
      <w:r w:rsidRPr="00894E75">
        <w:rPr>
          <w:lang w:val="en-CA"/>
        </w:rPr>
        <w:t>.</w:t>
      </w:r>
    </w:p>
    <w:p w14:paraId="659E742F" w14:textId="77777777" w:rsidR="00CC0181" w:rsidRPr="00894E75" w:rsidRDefault="00CC0181" w:rsidP="00FC5E99">
      <w:pPr>
        <w:pStyle w:val="Citationenretrait"/>
        <w:jc w:val="right"/>
        <w:rPr>
          <w:lang w:val="en-CA"/>
        </w:rPr>
      </w:pPr>
      <w:r w:rsidRPr="00894E75">
        <w:rPr>
          <w:lang w:val="en-CA"/>
        </w:rPr>
        <w:t>[</w:t>
      </w:r>
      <w:r>
        <w:rPr>
          <w:lang w:val="en-CA"/>
        </w:rPr>
        <w:t>Emphasis added</w:t>
      </w:r>
      <w:r w:rsidRPr="00894E75">
        <w:rPr>
          <w:lang w:val="en-CA"/>
        </w:rPr>
        <w:t>]</w:t>
      </w:r>
    </w:p>
    <w:p w14:paraId="0ADC216B" w14:textId="77777777" w:rsidR="00CC0181" w:rsidRPr="00894E75" w:rsidRDefault="00CC0181" w:rsidP="00FC5E99">
      <w:pPr>
        <w:pStyle w:val="Paragraphe"/>
        <w:spacing w:line="280" w:lineRule="exact"/>
        <w:rPr>
          <w:lang w:val="en-CA"/>
        </w:rPr>
      </w:pPr>
      <w:r>
        <w:rPr>
          <w:lang w:val="en-CA"/>
        </w:rPr>
        <w:t>He explained his assessment in the following manner</w:t>
      </w:r>
      <w:r w:rsidRPr="00894E75">
        <w:rPr>
          <w:lang w:val="en-CA"/>
        </w:rPr>
        <w:t>:</w:t>
      </w:r>
    </w:p>
    <w:p w14:paraId="39FAC064" w14:textId="77777777" w:rsidR="00CC0181" w:rsidRPr="00894E75" w:rsidRDefault="00CC0181" w:rsidP="00FC5E99">
      <w:pPr>
        <w:pStyle w:val="Citationenretrait"/>
        <w:rPr>
          <w:sz w:val="24"/>
          <w:lang w:val="en-CA" w:eastAsia="fr-CA"/>
        </w:rPr>
      </w:pPr>
      <w:r w:rsidRPr="00894E75">
        <w:rPr>
          <w:lang w:val="en-CA"/>
        </w:rPr>
        <w:t>[141]</w:t>
      </w:r>
      <w:r w:rsidRPr="00894E75">
        <w:rPr>
          <w:sz w:val="14"/>
          <w:szCs w:val="14"/>
          <w:lang w:val="en-CA"/>
        </w:rPr>
        <w:tab/>
      </w:r>
      <w:r w:rsidRPr="00894E75">
        <w:rPr>
          <w:lang w:val="en-CA"/>
        </w:rPr>
        <w:t>As the Court has noted (paragr. 57 and 58 of the present judgement), there appeared to be a conflict between the testimony of Mr. Belmonte and certain admissions filed by the parties (exhibit P-3 – re weather on February 12, 2004). While Mr. Belmonte passed by the Fera residence at 07h00 on the morning of February 12</w:t>
      </w:r>
      <w:r w:rsidRPr="00894E75">
        <w:rPr>
          <w:vertAlign w:val="superscript"/>
          <w:lang w:val="en-CA"/>
        </w:rPr>
        <w:t>th</w:t>
      </w:r>
      <w:r w:rsidRPr="00894E75">
        <w:rPr>
          <w:lang w:val="en-CA"/>
        </w:rPr>
        <w:t xml:space="preserve"> and the crime scene technician’s pictures of the outside of the residence only began at 14h25, the photographic evidence does not support the former’s testimony to the effect it had snowed that morning.</w:t>
      </w:r>
    </w:p>
    <w:p w14:paraId="63B390D8" w14:textId="77777777" w:rsidR="00CC0181" w:rsidRPr="00894E75" w:rsidRDefault="00CC0181" w:rsidP="00FC5E99">
      <w:pPr>
        <w:pStyle w:val="Citationenretrait"/>
        <w:spacing w:before="160" w:after="160"/>
        <w:rPr>
          <w:lang w:val="en-CA"/>
        </w:rPr>
      </w:pPr>
      <w:r w:rsidRPr="00894E75">
        <w:rPr>
          <w:lang w:val="en-CA"/>
        </w:rPr>
        <w:lastRenderedPageBreak/>
        <w:t>[142]</w:t>
      </w:r>
      <w:r w:rsidRPr="00894E75">
        <w:rPr>
          <w:sz w:val="14"/>
          <w:szCs w:val="14"/>
          <w:lang w:val="en-CA"/>
        </w:rPr>
        <w:tab/>
      </w:r>
      <w:r w:rsidRPr="00894E75">
        <w:rPr>
          <w:lang w:val="en-CA"/>
        </w:rPr>
        <w:t>Photos 1 and 13 of exhibit P-14 show dry, snow-free patches in the driveway to the residence. There was no proof that members of the Fera-Panarello family had shoveled that morning or that a snow removal company had passed by. The bare, dry patches could not have been produced through melting during the day.</w:t>
      </w:r>
    </w:p>
    <w:p w14:paraId="7AC8AA79" w14:textId="77777777" w:rsidR="00CC0181" w:rsidRPr="00894E75" w:rsidRDefault="00CC0181" w:rsidP="00FC5E99">
      <w:pPr>
        <w:pStyle w:val="Citationenretrait"/>
        <w:spacing w:before="160" w:after="160"/>
        <w:rPr>
          <w:lang w:val="en-CA"/>
        </w:rPr>
      </w:pPr>
      <w:r w:rsidRPr="00894E75">
        <w:rPr>
          <w:lang w:val="en-CA"/>
        </w:rPr>
        <w:t>[143]</w:t>
      </w:r>
      <w:r w:rsidRPr="00894E75">
        <w:rPr>
          <w:sz w:val="14"/>
          <w:szCs w:val="14"/>
          <w:lang w:val="en-CA"/>
        </w:rPr>
        <w:tab/>
      </w:r>
      <w:r w:rsidRPr="00894E75">
        <w:rPr>
          <w:lang w:val="en-CA"/>
        </w:rPr>
        <w:t>Photo 3 of exhibit P-14 reveals that the center of Michel-Gamelin street appears dry and snow-free.</w:t>
      </w:r>
    </w:p>
    <w:p w14:paraId="7F40D565" w14:textId="77777777" w:rsidR="00CC0181" w:rsidRPr="00894E75" w:rsidRDefault="00CC0181" w:rsidP="00FC5E99">
      <w:pPr>
        <w:pStyle w:val="Citationenretrait"/>
        <w:spacing w:before="160" w:after="160"/>
        <w:rPr>
          <w:lang w:val="en-CA"/>
        </w:rPr>
      </w:pPr>
      <w:r w:rsidRPr="00894E75">
        <w:rPr>
          <w:lang w:val="en-CA"/>
        </w:rPr>
        <w:t>[144]</w:t>
      </w:r>
      <w:r w:rsidRPr="00894E75">
        <w:rPr>
          <w:sz w:val="14"/>
          <w:szCs w:val="14"/>
          <w:lang w:val="en-CA"/>
        </w:rPr>
        <w:tab/>
      </w:r>
      <w:r w:rsidRPr="00894E75">
        <w:rPr>
          <w:lang w:val="en-CA"/>
        </w:rPr>
        <w:t>Photos of two cigarette butts found near the residence’s garage door (exhibit P-14, photos 13, 14, 15 and 16) do not reveal a recent snow accumulation. During the Crown’s pleadings, it was submitted that the presence of the cigarette butts, which were linked to the victim and Mr. Fera by DNA analysis, indicated that they had been discarded in the early morning hours of February 12, 2004. The Court believes that conclusion is based upon speculation. An equally valid inference is that the butts had been discarded the night before and there had been no snowfall overnight as per the parties’ admissions.</w:t>
      </w:r>
    </w:p>
    <w:p w14:paraId="75478431" w14:textId="77777777" w:rsidR="00CC0181" w:rsidRPr="00894E75" w:rsidRDefault="00CC0181" w:rsidP="00FC5E99">
      <w:pPr>
        <w:pStyle w:val="Citationenretrait"/>
        <w:spacing w:before="160" w:after="160"/>
        <w:rPr>
          <w:lang w:val="en-CA"/>
        </w:rPr>
      </w:pPr>
      <w:r w:rsidRPr="00894E75">
        <w:rPr>
          <w:lang w:val="en-CA"/>
        </w:rPr>
        <w:t>[145]</w:t>
      </w:r>
      <w:r w:rsidRPr="00894E75">
        <w:rPr>
          <w:sz w:val="14"/>
          <w:szCs w:val="14"/>
          <w:lang w:val="en-CA"/>
        </w:rPr>
        <w:tab/>
      </w:r>
      <w:r w:rsidRPr="00894E75">
        <w:rPr>
          <w:lang w:val="en-CA"/>
        </w:rPr>
        <w:t>Finally, the Court does not believe that Madam Zompa’s description of an accumulation of snow on the bottom steps leading to the front door can be relied upon to conclude that it had recently snowed. Besides her distraught state that day, photo 1 of exhibit P-14 does not support this aspect of her testimony.</w:t>
      </w:r>
    </w:p>
    <w:p w14:paraId="53A7396C" w14:textId="77777777" w:rsidR="00CC0181" w:rsidRPr="00894E75" w:rsidRDefault="00CC0181" w:rsidP="00FC5E99">
      <w:pPr>
        <w:pStyle w:val="Citationenretrait"/>
        <w:spacing w:before="160" w:after="160"/>
        <w:rPr>
          <w:lang w:val="en-CA"/>
        </w:rPr>
      </w:pPr>
      <w:r w:rsidRPr="00894E75">
        <w:rPr>
          <w:lang w:val="en-CA"/>
        </w:rPr>
        <w:t>[146]</w:t>
      </w:r>
      <w:r w:rsidRPr="00894E75">
        <w:rPr>
          <w:sz w:val="14"/>
          <w:szCs w:val="14"/>
          <w:lang w:val="en-CA"/>
        </w:rPr>
        <w:tab/>
      </w:r>
      <w:r w:rsidRPr="00894E75">
        <w:rPr>
          <w:lang w:val="en-CA"/>
        </w:rPr>
        <w:t>Turning to the issue of footprints, as the Court has discussed, the proof established that, if one were to exclude the various paths observed in the backyard of the residence (exhibit P-14, photos 5, 6 and 7), there were no footprints observed in the deeper snow (testimony of Agent Simon Charette). This would exclude the possibility that someone had hopped a neighbor’s fence or had crept through the cedar hedge which formed a boundary in the backyard.</w:t>
      </w:r>
    </w:p>
    <w:p w14:paraId="5152B42F" w14:textId="77777777" w:rsidR="00CC0181" w:rsidRPr="00894E75" w:rsidRDefault="00CC0181" w:rsidP="00FC5E99">
      <w:pPr>
        <w:pStyle w:val="Citationenretrait"/>
        <w:spacing w:before="160" w:after="160"/>
        <w:rPr>
          <w:lang w:val="en-CA"/>
        </w:rPr>
      </w:pPr>
      <w:r w:rsidRPr="00894E75">
        <w:rPr>
          <w:lang w:val="en-CA"/>
        </w:rPr>
        <w:t>[147]</w:t>
      </w:r>
      <w:r w:rsidRPr="00894E75">
        <w:rPr>
          <w:sz w:val="14"/>
          <w:szCs w:val="14"/>
          <w:lang w:val="en-CA"/>
        </w:rPr>
        <w:tab/>
      </w:r>
      <w:r w:rsidRPr="00894E75">
        <w:rPr>
          <w:lang w:val="en-CA"/>
        </w:rPr>
        <w:t>As the Court has written, the crime scene technician testified that he saw no human footsteps during his search of the property. Due to the Court’s factual conclusion that there was no recent overnight snowfall, the crime scene technician’s conclusion would not exclude the presence of a third party intruder who entered the residence through an unlocked patio door. As the Court has already mentioned, when the crime scene technician stated that he had left prints in the backyard, he did not indicate whether he was walking in the visible paths as opposed to the virgin snow.</w:t>
      </w:r>
    </w:p>
    <w:p w14:paraId="6CD741A5" w14:textId="77777777" w:rsidR="00CC0181" w:rsidRDefault="00CC0181">
      <w:pPr>
        <w:spacing w:line="240" w:lineRule="auto"/>
        <w:rPr>
          <w:kern w:val="28"/>
          <w:lang w:val="en-CA"/>
        </w:rPr>
      </w:pPr>
      <w:r>
        <w:rPr>
          <w:lang w:val="en-CA"/>
        </w:rPr>
        <w:br w:type="page"/>
      </w:r>
    </w:p>
    <w:p w14:paraId="18FE373A" w14:textId="77777777" w:rsidR="00CC0181" w:rsidRPr="00894E75" w:rsidRDefault="00CC0181" w:rsidP="00FC5E99">
      <w:pPr>
        <w:pStyle w:val="Paragraphe"/>
        <w:spacing w:line="280" w:lineRule="exact"/>
        <w:rPr>
          <w:lang w:val="en-CA"/>
        </w:rPr>
      </w:pPr>
      <w:r>
        <w:rPr>
          <w:lang w:val="en-CA"/>
        </w:rPr>
        <w:lastRenderedPageBreak/>
        <w:t>He summarized his final conclusion in these terms</w:t>
      </w:r>
      <w:r w:rsidRPr="00894E75">
        <w:rPr>
          <w:lang w:val="en-CA"/>
        </w:rPr>
        <w:t>:</w:t>
      </w:r>
    </w:p>
    <w:p w14:paraId="6B996F47" w14:textId="77777777" w:rsidR="00CC0181" w:rsidRPr="00894E75" w:rsidRDefault="00CC0181" w:rsidP="00FC5E99">
      <w:pPr>
        <w:pStyle w:val="Citationenretrait"/>
        <w:rPr>
          <w:sz w:val="24"/>
          <w:lang w:val="en-CA" w:eastAsia="fr-CA"/>
        </w:rPr>
      </w:pPr>
      <w:r w:rsidRPr="00894E75">
        <w:rPr>
          <w:lang w:val="en-CA"/>
        </w:rPr>
        <w:t>[148]</w:t>
      </w:r>
      <w:r w:rsidRPr="00894E75">
        <w:rPr>
          <w:sz w:val="14"/>
          <w:szCs w:val="14"/>
          <w:lang w:val="en-CA"/>
        </w:rPr>
        <w:tab/>
      </w:r>
      <w:r w:rsidRPr="00894E75">
        <w:rPr>
          <w:lang w:val="en-CA"/>
        </w:rPr>
        <w:t>Due to the lack of clear photos, the proof did not establish to the Court’s satisfaction that, due to the lack of recent snow, that footprints would have been visible on the patio door gallery or steps leading up to it; in the paths visible in the backyard; in the path alongside the east side of the residence (exhibit P-14, photos 1, 5, 6, 7, 8, 9, 13 and 14).</w:t>
      </w:r>
    </w:p>
    <w:p w14:paraId="784EF45F" w14:textId="77777777" w:rsidR="00CC0181" w:rsidRPr="00894E75" w:rsidRDefault="00CC0181" w:rsidP="00FC5E99">
      <w:pPr>
        <w:pStyle w:val="Citationenretrait"/>
        <w:rPr>
          <w:lang w:val="en-CA"/>
        </w:rPr>
      </w:pPr>
      <w:r w:rsidRPr="00894E75">
        <w:rPr>
          <w:lang w:val="en-CA"/>
        </w:rPr>
        <w:t>[149]</w:t>
      </w:r>
      <w:r w:rsidRPr="00894E75">
        <w:rPr>
          <w:sz w:val="14"/>
          <w:szCs w:val="14"/>
          <w:lang w:val="en-CA"/>
        </w:rPr>
        <w:tab/>
      </w:r>
      <w:r w:rsidRPr="00894E75">
        <w:rPr>
          <w:lang w:val="en-CA"/>
        </w:rPr>
        <w:t>As a result of these conclusions, the Court concludes that there is a reasonable possibility available to the effect that an unknown third party committed the crime by entering through an unlocked rear patio door.</w:t>
      </w:r>
    </w:p>
    <w:p w14:paraId="0801CAD7" w14:textId="77777777" w:rsidR="00CC0181" w:rsidRPr="00894E75" w:rsidRDefault="00CC0181" w:rsidP="00FC5E99">
      <w:pPr>
        <w:pStyle w:val="Citationenretrait"/>
        <w:rPr>
          <w:lang w:val="en-CA"/>
        </w:rPr>
      </w:pPr>
      <w:r w:rsidRPr="00894E75">
        <w:rPr>
          <w:lang w:val="en-CA"/>
        </w:rPr>
        <w:t>[150]</w:t>
      </w:r>
      <w:r w:rsidRPr="00894E75">
        <w:rPr>
          <w:sz w:val="14"/>
          <w:szCs w:val="14"/>
          <w:lang w:val="en-CA"/>
        </w:rPr>
        <w:tab/>
      </w:r>
      <w:r w:rsidRPr="00894E75">
        <w:rPr>
          <w:lang w:val="en-CA"/>
        </w:rPr>
        <w:t>While this conclusion could end the Court’s analysis, it has determined that there are many other aspects of the proof which undermine the prosecution’s theory.</w:t>
      </w:r>
    </w:p>
    <w:p w14:paraId="47CF43FE" w14:textId="77777777" w:rsidR="00CC0181" w:rsidRPr="00894E75" w:rsidRDefault="00CC0181" w:rsidP="00FC5E99">
      <w:pPr>
        <w:pStyle w:val="Paragraphe"/>
        <w:spacing w:line="280" w:lineRule="exact"/>
        <w:rPr>
          <w:lang w:val="en-CA"/>
        </w:rPr>
      </w:pPr>
      <w:r>
        <w:rPr>
          <w:lang w:val="en-CA"/>
        </w:rPr>
        <w:t xml:space="preserve">According to the prosecution, those conclusions lacked an evidentiary basis, were speculative and indicated a </w:t>
      </w:r>
      <w:r w:rsidRPr="0015411C">
        <w:rPr>
          <w:lang w:val="en-CA"/>
        </w:rPr>
        <w:t>piecemeal analysis of the evidence</w:t>
      </w:r>
      <w:r w:rsidRPr="00894E75">
        <w:rPr>
          <w:lang w:val="en-CA"/>
        </w:rPr>
        <w:t>.</w:t>
      </w:r>
    </w:p>
    <w:p w14:paraId="75702F5A" w14:textId="77777777" w:rsidR="00CC0181" w:rsidRPr="00894E75" w:rsidRDefault="00CC0181" w:rsidP="00FC5E99">
      <w:pPr>
        <w:pStyle w:val="Paragraphe"/>
        <w:spacing w:line="280" w:lineRule="exact"/>
        <w:rPr>
          <w:lang w:val="en-CA"/>
        </w:rPr>
      </w:pPr>
      <w:r>
        <w:rPr>
          <w:lang w:val="en-CA"/>
        </w:rPr>
        <w:t>It is true that reasonable doubt</w:t>
      </w:r>
      <w:r w:rsidRPr="00894E75">
        <w:rPr>
          <w:lang w:val="en-CA"/>
        </w:rPr>
        <w:t xml:space="preserve"> </w:t>
      </w:r>
      <w:r>
        <w:rPr>
          <w:lang w:val="en-CA"/>
        </w:rPr>
        <w:t>“</w:t>
      </w:r>
      <w:r w:rsidRPr="000B51CD">
        <w:rPr>
          <w:lang w:val="en-CA"/>
        </w:rPr>
        <w:t>cannot arise from speculation or conjecture</w:t>
      </w:r>
      <w:r>
        <w:rPr>
          <w:lang w:val="en-CA"/>
        </w:rPr>
        <w:t>”,</w:t>
      </w:r>
      <w:r>
        <w:rPr>
          <w:rStyle w:val="Appelnotedebasdep"/>
          <w:lang w:val="en-CA"/>
        </w:rPr>
        <w:footnoteReference w:id="47"/>
      </w:r>
      <w:r>
        <w:rPr>
          <w:lang w:val="en-CA"/>
        </w:rPr>
        <w:t xml:space="preserve"> because</w:t>
      </w:r>
      <w:r w:rsidRPr="00894E75">
        <w:rPr>
          <w:lang w:val="en-CA"/>
        </w:rPr>
        <w:t xml:space="preserve"> </w:t>
      </w:r>
      <w:r>
        <w:rPr>
          <w:lang w:val="en-CA"/>
        </w:rPr>
        <w:t>“</w:t>
      </w:r>
      <w:r w:rsidRPr="000B51CD">
        <w:rPr>
          <w:lang w:val="en-CA"/>
        </w:rPr>
        <w:t>a reasonable doubt must not be imaginary or frivolous</w:t>
      </w:r>
      <w:r>
        <w:rPr>
          <w:lang w:val="en-CA"/>
        </w:rPr>
        <w:t>.”</w:t>
      </w:r>
      <w:r>
        <w:rPr>
          <w:rStyle w:val="Appelnotedebasdep"/>
          <w:lang w:val="en-CA"/>
        </w:rPr>
        <w:footnoteReference w:id="48"/>
      </w:r>
    </w:p>
    <w:p w14:paraId="6BD585DB" w14:textId="77777777" w:rsidR="00CC0181" w:rsidRPr="00894E75" w:rsidRDefault="00CC0181" w:rsidP="00FC5E99">
      <w:pPr>
        <w:pStyle w:val="Paragraphe"/>
        <w:spacing w:line="280" w:lineRule="exact"/>
        <w:rPr>
          <w:lang w:val="en-CA"/>
        </w:rPr>
      </w:pPr>
      <w:r>
        <w:rPr>
          <w:lang w:val="en-CA"/>
        </w:rPr>
        <w:t>However, a reasonable doubt</w:t>
      </w:r>
      <w:r w:rsidRPr="00894E75">
        <w:rPr>
          <w:lang w:val="en-CA"/>
        </w:rPr>
        <w:t xml:space="preserve"> </w:t>
      </w:r>
      <w:r>
        <w:rPr>
          <w:lang w:val="en-CA"/>
        </w:rPr>
        <w:t>may be “</w:t>
      </w:r>
      <w:r w:rsidRPr="000B51CD">
        <w:rPr>
          <w:lang w:val="en-CA"/>
        </w:rPr>
        <w:t>logically connected to the evidence or absence of evidence</w:t>
      </w:r>
      <w:r>
        <w:rPr>
          <w:lang w:val="en-CA"/>
        </w:rPr>
        <w:t>.”</w:t>
      </w:r>
      <w:r>
        <w:rPr>
          <w:rStyle w:val="Appelnotedebasdep"/>
          <w:lang w:val="en-CA"/>
        </w:rPr>
        <w:footnoteReference w:id="49"/>
      </w:r>
      <w:r w:rsidRPr="00894E75">
        <w:rPr>
          <w:lang w:val="en-CA"/>
        </w:rPr>
        <w:t xml:space="preserve"> </w:t>
      </w:r>
      <w:r>
        <w:rPr>
          <w:lang w:val="en-CA"/>
        </w:rPr>
        <w:t>This means that reasonable doubt based upon lack of evidence is not speculative</w:t>
      </w:r>
      <w:r w:rsidRPr="00894E75">
        <w:rPr>
          <w:lang w:val="en-CA"/>
        </w:rPr>
        <w:t xml:space="preserve">, </w:t>
      </w:r>
      <w:r>
        <w:rPr>
          <w:lang w:val="en-CA"/>
        </w:rPr>
        <w:t>as</w:t>
      </w:r>
      <w:r w:rsidRPr="00894E75">
        <w:rPr>
          <w:lang w:val="en-CA"/>
        </w:rPr>
        <w:t xml:space="preserve"> Cromwell</w:t>
      </w:r>
      <w:r>
        <w:rPr>
          <w:lang w:val="en-CA"/>
        </w:rPr>
        <w:t xml:space="preserve">, J. noted in </w:t>
      </w:r>
      <w:r w:rsidRPr="00894E75">
        <w:rPr>
          <w:i/>
          <w:iCs/>
          <w:lang w:val="en-CA"/>
        </w:rPr>
        <w:t>Villaroman</w:t>
      </w:r>
      <w:r w:rsidRPr="00894E75">
        <w:rPr>
          <w:lang w:val="en-CA"/>
        </w:rPr>
        <w:t>:</w:t>
      </w:r>
    </w:p>
    <w:p w14:paraId="797D0DA1" w14:textId="77777777" w:rsidR="00CC0181" w:rsidRPr="000B51CD" w:rsidRDefault="00CC0181" w:rsidP="00FC5E99">
      <w:pPr>
        <w:pStyle w:val="Citationenretrait"/>
        <w:rPr>
          <w:lang w:val="en-CA"/>
        </w:rPr>
      </w:pPr>
      <w:r w:rsidRPr="00894E75">
        <w:rPr>
          <w:lang w:val="en-CA"/>
        </w:rPr>
        <w:t>[36]</w:t>
      </w:r>
      <w:r w:rsidRPr="00894E75">
        <w:rPr>
          <w:lang w:val="en-CA"/>
        </w:rPr>
        <w:tab/>
      </w:r>
      <w:r w:rsidRPr="008A43F5">
        <w:rPr>
          <w:color w:val="000000"/>
          <w:sz w:val="14"/>
          <w:szCs w:val="14"/>
          <w:lang w:val="en-CA"/>
        </w:rPr>
        <w:t> </w:t>
      </w:r>
      <w:r w:rsidRPr="000B51CD">
        <w:rPr>
          <w:color w:val="000000"/>
          <w:lang w:val="en-CA"/>
        </w:rPr>
        <w:t>I agree with the respondent’s position that a reasonable doubt, or theory alternative to guilt, is not rendered “speculative” by the mere fact that it arises from a lack of evidence.  As stated by this Court in </w:t>
      </w:r>
      <w:r w:rsidRPr="000B51CD">
        <w:rPr>
          <w:i/>
          <w:iCs/>
          <w:color w:val="000000"/>
          <w:lang w:val="en-CA"/>
        </w:rPr>
        <w:t>Lifchus</w:t>
      </w:r>
      <w:r w:rsidRPr="000B51CD">
        <w:rPr>
          <w:color w:val="000000"/>
          <w:lang w:val="en-CA"/>
        </w:rPr>
        <w:t>,</w:t>
      </w:r>
      <w:r w:rsidRPr="000B51CD">
        <w:rPr>
          <w:i/>
          <w:iCs/>
          <w:color w:val="000000"/>
          <w:lang w:val="en-CA"/>
        </w:rPr>
        <w:t> </w:t>
      </w:r>
      <w:r w:rsidRPr="000B51CD">
        <w:rPr>
          <w:color w:val="000000"/>
          <w:lang w:val="en-CA"/>
        </w:rPr>
        <w:t>a reasonable doubt “is a doubt based on reason and common sense which must be logically based upon the evidence </w:t>
      </w:r>
      <w:r w:rsidRPr="000B51CD">
        <w:rPr>
          <w:color w:val="000000"/>
          <w:u w:val="single"/>
          <w:lang w:val="en-CA"/>
        </w:rPr>
        <w:t>or lack of evidence</w:t>
      </w:r>
      <w:r w:rsidRPr="000B51CD">
        <w:rPr>
          <w:color w:val="000000"/>
          <w:lang w:val="en-CA"/>
        </w:rPr>
        <w:t>”: para. 30 (emphasis added).  A certain gap in the evidence may result in inferences other than guilt. But those inferences must be reasonable given the evidence and the absence of evidence, assessed logically, and in light of human experience and common sense</w:t>
      </w:r>
      <w:r w:rsidRPr="000B51CD">
        <w:rPr>
          <w:lang w:val="en-CA"/>
        </w:rPr>
        <w:t>.</w:t>
      </w:r>
    </w:p>
    <w:p w14:paraId="4D80C90E" w14:textId="77777777" w:rsidR="00CC0181" w:rsidRPr="00894E75" w:rsidRDefault="00CC0181" w:rsidP="00FC5E99">
      <w:pPr>
        <w:pStyle w:val="Citationenretrait"/>
        <w:jc w:val="right"/>
        <w:rPr>
          <w:lang w:val="en-CA"/>
        </w:rPr>
      </w:pPr>
      <w:r w:rsidRPr="00894E75">
        <w:rPr>
          <w:lang w:val="en-CA"/>
        </w:rPr>
        <w:t>[</w:t>
      </w:r>
      <w:r>
        <w:rPr>
          <w:lang w:val="en-CA"/>
        </w:rPr>
        <w:t xml:space="preserve">Emphasis in the </w:t>
      </w:r>
      <w:r w:rsidRPr="00894E75">
        <w:rPr>
          <w:lang w:val="en-CA"/>
        </w:rPr>
        <w:t>original]</w:t>
      </w:r>
    </w:p>
    <w:p w14:paraId="60AE09C2" w14:textId="77777777" w:rsidR="00CC0181" w:rsidRPr="00894E75" w:rsidRDefault="00CC0181" w:rsidP="00FC5E99">
      <w:pPr>
        <w:pStyle w:val="Paragraphe"/>
        <w:spacing w:line="280" w:lineRule="exact"/>
        <w:rPr>
          <w:lang w:val="en-CA"/>
        </w:rPr>
      </w:pPr>
      <w:r>
        <w:rPr>
          <w:lang w:val="en-CA"/>
        </w:rPr>
        <w:lastRenderedPageBreak/>
        <w:t>That is the essence of the judge’s findings on the prosecution’s failure to prove that Mr. Fera had the exclusive opportunity to murder his wife and the reasonable doubt that arose therefrom.</w:t>
      </w:r>
      <w:r>
        <w:rPr>
          <w:rStyle w:val="Appelnotedebasdep"/>
          <w:lang w:val="en-CA"/>
        </w:rPr>
        <w:footnoteReference w:id="50"/>
      </w:r>
    </w:p>
    <w:p w14:paraId="0FB931FE" w14:textId="77777777" w:rsidR="00CC0181" w:rsidRPr="00894E75" w:rsidRDefault="00CC0181" w:rsidP="00FC5E99">
      <w:pPr>
        <w:pStyle w:val="Paragraphe"/>
        <w:spacing w:line="280" w:lineRule="exact"/>
        <w:rPr>
          <w:lang w:val="en-CA"/>
        </w:rPr>
      </w:pPr>
      <w:r>
        <w:rPr>
          <w:lang w:val="en-CA"/>
        </w:rPr>
        <w:t>The prosecution’s demonstration is flawed from the outset</w:t>
      </w:r>
      <w:r w:rsidRPr="00894E75">
        <w:rPr>
          <w:lang w:val="en-CA"/>
        </w:rPr>
        <w:t xml:space="preserve">. </w:t>
      </w:r>
      <w:r>
        <w:rPr>
          <w:lang w:val="en-CA"/>
        </w:rPr>
        <w:t>The prosecution seeks to show that the trial judge’s acquittal was unreasonable, given the existence of one or several errors in the assessment of the evidence and the inherent contradictions in the judgment</w:t>
      </w:r>
      <w:r w:rsidRPr="00894E75">
        <w:rPr>
          <w:lang w:val="en-CA"/>
        </w:rPr>
        <w:t xml:space="preserve">. </w:t>
      </w:r>
      <w:r>
        <w:rPr>
          <w:lang w:val="en-CA"/>
        </w:rPr>
        <w:t>At the risk of repeating myself, such an approach is not open to the prosecution, given that the judge focused on the lack of evidence and evidentiary gaps</w:t>
      </w:r>
      <w:r w:rsidRPr="00894E75">
        <w:rPr>
          <w:lang w:val="en-CA"/>
        </w:rPr>
        <w:t>.</w:t>
      </w:r>
    </w:p>
    <w:p w14:paraId="4EBFA0EF" w14:textId="77777777" w:rsidR="00CC0181" w:rsidRPr="00894E75" w:rsidRDefault="00CC0181" w:rsidP="00FC5E99">
      <w:pPr>
        <w:pStyle w:val="Paragraphe"/>
        <w:spacing w:line="280" w:lineRule="exact"/>
        <w:rPr>
          <w:lang w:val="en-CA"/>
        </w:rPr>
      </w:pPr>
      <w:r>
        <w:rPr>
          <w:lang w:val="en-CA"/>
        </w:rPr>
        <w:t>Moreover</w:t>
      </w:r>
      <w:r w:rsidRPr="00894E75">
        <w:rPr>
          <w:lang w:val="en-CA"/>
        </w:rPr>
        <w:t xml:space="preserve">, </w:t>
      </w:r>
      <w:r w:rsidRPr="00894E75">
        <w:rPr>
          <w:i/>
          <w:iCs/>
          <w:lang w:val="en-CA"/>
        </w:rPr>
        <w:t>J.M.H.</w:t>
      </w:r>
      <w:r w:rsidRPr="00894E75">
        <w:rPr>
          <w:lang w:val="en-CA"/>
        </w:rPr>
        <w:t xml:space="preserve">, </w:t>
      </w:r>
      <w:r>
        <w:rPr>
          <w:lang w:val="en-CA"/>
        </w:rPr>
        <w:t>which discussed the limited scope of the prosecution’s right of appeal</w:t>
      </w:r>
      <w:r w:rsidRPr="00894E75">
        <w:rPr>
          <w:lang w:val="en-CA"/>
        </w:rPr>
        <w:t xml:space="preserve">, </w:t>
      </w:r>
      <w:r>
        <w:rPr>
          <w:lang w:val="en-CA"/>
        </w:rPr>
        <w:t>highlighted an important point, i.e., that reasonable doubt is not a finding of fact. In that regard, here are the relevant portions of Cromwell, J.’s observations in that case</w:t>
      </w:r>
      <w:r w:rsidRPr="00894E75">
        <w:rPr>
          <w:lang w:val="en-CA"/>
        </w:rPr>
        <w:t>:</w:t>
      </w:r>
    </w:p>
    <w:p w14:paraId="288DCB7D" w14:textId="77777777" w:rsidR="00CC0181" w:rsidRPr="00894E75" w:rsidRDefault="00CC0181" w:rsidP="00FC5E99">
      <w:pPr>
        <w:pStyle w:val="Citationenretrait"/>
        <w:rPr>
          <w:lang w:val="en-CA" w:eastAsia="fr-CA"/>
        </w:rPr>
      </w:pPr>
      <w:r w:rsidRPr="00894E75">
        <w:rPr>
          <w:lang w:val="en-CA" w:eastAsia="fr-CA"/>
        </w:rPr>
        <w:t>[25]</w:t>
      </w:r>
      <w:r w:rsidRPr="00894E75">
        <w:rPr>
          <w:sz w:val="18"/>
          <w:szCs w:val="18"/>
          <w:lang w:val="en-CA" w:eastAsia="fr-CA"/>
        </w:rPr>
        <w:tab/>
      </w:r>
      <w:r>
        <w:rPr>
          <w:color w:val="000000"/>
          <w:sz w:val="14"/>
          <w:szCs w:val="14"/>
          <w:lang w:val="en-CA"/>
        </w:rPr>
        <w:t> </w:t>
      </w:r>
      <w:r>
        <w:rPr>
          <w:color w:val="000000"/>
          <w:lang w:val="en-CA"/>
        </w:rPr>
        <w:t>It has long been recognized that it is an error of law to make a finding of fact for which there is no supporting evidence: </w:t>
      </w:r>
      <w:r>
        <w:rPr>
          <w:i/>
          <w:iCs/>
          <w:color w:val="000000"/>
          <w:lang w:val="en-CA"/>
        </w:rPr>
        <w:t>Schuldt v. The Queen</w:t>
      </w:r>
      <w:r>
        <w:rPr>
          <w:color w:val="000000"/>
          <w:lang w:val="en-CA"/>
        </w:rPr>
        <w:t xml:space="preserve">, [1985] 2 S.C.R. 592, at p. 604.  </w:t>
      </w:r>
      <w:r w:rsidRPr="00E97661">
        <w:rPr>
          <w:color w:val="000000"/>
          <w:u w:val="single"/>
          <w:lang w:val="en-CA"/>
        </w:rPr>
        <w:t>It does not follow from this principle, however, that an acquittal can be set aside on the basis that it is not supported by the evidence</w:t>
      </w:r>
      <w:r>
        <w:rPr>
          <w:color w:val="000000"/>
          <w:lang w:val="en-CA"/>
        </w:rPr>
        <w:t xml:space="preserve">.  </w:t>
      </w:r>
      <w:r w:rsidRPr="00E97661">
        <w:rPr>
          <w:color w:val="000000"/>
          <w:u w:val="single"/>
          <w:lang w:val="en-CA"/>
        </w:rPr>
        <w:t>An acquittal</w:t>
      </w:r>
      <w:r>
        <w:rPr>
          <w:color w:val="000000"/>
          <w:lang w:val="en-CA"/>
        </w:rPr>
        <w:t xml:space="preserve"> (absent some fact or element on which the accused bears the burden of proof) </w:t>
      </w:r>
      <w:r w:rsidRPr="00E97661">
        <w:rPr>
          <w:color w:val="000000"/>
          <w:u w:val="single"/>
          <w:lang w:val="en-CA"/>
        </w:rPr>
        <w:t>is not a finding of fact but instead a conclusion that the standard of persuasion beyond a reasonable doubt has not been met</w:t>
      </w:r>
      <w:r>
        <w:rPr>
          <w:color w:val="000000"/>
          <w:lang w:val="en-CA"/>
        </w:rPr>
        <w:t>.  Moreover, as pointed out in </w:t>
      </w:r>
      <w:r>
        <w:rPr>
          <w:i/>
          <w:iCs/>
          <w:color w:val="000000"/>
          <w:lang w:val="en-CA"/>
        </w:rPr>
        <w:t>R. v. Lifchus</w:t>
      </w:r>
      <w:r>
        <w:rPr>
          <w:color w:val="000000"/>
          <w:lang w:val="en-CA"/>
        </w:rPr>
        <w:t>, [1997] 3 S.C.R. 320, at para. 39, a reasonable doubt is logically derived from the evidence or absence of evidence.  Juries are properly so instructed and told that they may accept some, all or none of a witness’s evidence: </w:t>
      </w:r>
      <w:r>
        <w:rPr>
          <w:i/>
          <w:iCs/>
          <w:color w:val="000000"/>
          <w:lang w:val="en-CA"/>
        </w:rPr>
        <w:t>Lifchus</w:t>
      </w:r>
      <w:r>
        <w:rPr>
          <w:color w:val="000000"/>
          <w:lang w:val="en-CA"/>
        </w:rPr>
        <w:t>, at paras. 30 and 36; Canadian Judicial Council, Model Jury Instructions, Part III, Final Instructions, 9.4 Assessment of Evidence (online</w:t>
      </w:r>
      <w:r w:rsidRPr="00894E75">
        <w:rPr>
          <w:lang w:val="en-CA" w:eastAsia="fr-CA"/>
        </w:rPr>
        <w:t>).</w:t>
      </w:r>
    </w:p>
    <w:p w14:paraId="62C44C01" w14:textId="77777777" w:rsidR="00CC0181" w:rsidRPr="00894E75" w:rsidRDefault="00CC0181" w:rsidP="00FC5E99">
      <w:pPr>
        <w:pStyle w:val="Citationenretrait"/>
        <w:rPr>
          <w:lang w:val="en-CA" w:eastAsia="fr-CA"/>
        </w:rPr>
      </w:pPr>
      <w:r w:rsidRPr="00894E75">
        <w:rPr>
          <w:lang w:val="en-CA" w:eastAsia="fr-CA"/>
        </w:rPr>
        <w:t>[26]</w:t>
      </w:r>
      <w:r w:rsidRPr="00894E75">
        <w:rPr>
          <w:sz w:val="18"/>
          <w:szCs w:val="18"/>
          <w:lang w:val="en-CA" w:eastAsia="fr-CA"/>
        </w:rPr>
        <w:tab/>
      </w:r>
      <w:r w:rsidRPr="00E97661">
        <w:rPr>
          <w:color w:val="000000"/>
          <w:u w:val="single"/>
          <w:lang w:val="en-CA"/>
        </w:rPr>
        <w:t xml:space="preserve">The principle that it is an error of law to make a finding of fact for which there is no supporting evidence </w:t>
      </w:r>
      <w:r w:rsidRPr="00E97661">
        <w:rPr>
          <w:b/>
          <w:bCs/>
          <w:color w:val="000000"/>
          <w:u w:val="single"/>
          <w:lang w:val="en-CA"/>
        </w:rPr>
        <w:t>does not, in general, apply to a decision to acquit based on a reasonable doubt</w:t>
      </w:r>
      <w:r w:rsidRPr="00E97661">
        <w:rPr>
          <w:color w:val="000000"/>
          <w:u w:val="single"/>
          <w:lang w:val="en-CA"/>
        </w:rPr>
        <w:t>.</w:t>
      </w:r>
      <w:r w:rsidRPr="00E97661">
        <w:rPr>
          <w:color w:val="000000"/>
          <w:lang w:val="en-CA"/>
        </w:rPr>
        <w:t>  As Binnie J. put it in </w:t>
      </w:r>
      <w:r w:rsidRPr="00E97661">
        <w:rPr>
          <w:i/>
          <w:iCs/>
          <w:color w:val="000000"/>
          <w:lang w:val="en-CA"/>
        </w:rPr>
        <w:t>R. v. Walker</w:t>
      </w:r>
      <w:r w:rsidRPr="00E97661">
        <w:rPr>
          <w:color w:val="000000"/>
          <w:lang w:val="en-CA"/>
        </w:rPr>
        <w:t>, 2008 SCC 34, [2008] 2 S.C.R. 245, at para. 22:</w:t>
      </w:r>
    </w:p>
    <w:p w14:paraId="1FA4BB26" w14:textId="77777777" w:rsidR="00CC0181" w:rsidRPr="00894E75" w:rsidRDefault="00CC0181" w:rsidP="00FC5E99">
      <w:pPr>
        <w:pStyle w:val="Citationenretrait"/>
        <w:ind w:left="1440"/>
        <w:rPr>
          <w:sz w:val="20"/>
          <w:lang w:val="en-CA" w:eastAsia="fr-CA"/>
        </w:rPr>
      </w:pPr>
      <w:r w:rsidRPr="00E97661">
        <w:rPr>
          <w:sz w:val="20"/>
          <w:lang w:val="en-CA" w:eastAsia="fr-CA"/>
        </w:rPr>
        <w:t xml:space="preserve">A major difference between the position of the Crown and the accused in a criminal trial, of course, is that the accused benefits from the presumption of innocence. </w:t>
      </w:r>
      <w:r>
        <w:rPr>
          <w:sz w:val="20"/>
          <w:lang w:val="en-CA" w:eastAsia="fr-CA"/>
        </w:rPr>
        <w:t>[…]</w:t>
      </w:r>
      <w:r w:rsidRPr="00E97661">
        <w:rPr>
          <w:sz w:val="20"/>
          <w:lang w:val="en-CA" w:eastAsia="fr-CA"/>
        </w:rPr>
        <w:t xml:space="preserve"> [W]hereas a conviction requires the prosecution to establish each of the factual elements of the offence beyond a reasonable doubt, no such requirement applies to an acquittal which, unlike a conviction, can rest simply on the absence of proof. [Emphasis deleted.]</w:t>
      </w:r>
    </w:p>
    <w:p w14:paraId="0DAC7327" w14:textId="77777777" w:rsidR="00CC0181" w:rsidRPr="00E97661" w:rsidRDefault="00CC0181" w:rsidP="00FC5E99">
      <w:pPr>
        <w:pStyle w:val="Citationenretrait"/>
        <w:rPr>
          <w:lang w:val="en-CA" w:eastAsia="fr-CA"/>
        </w:rPr>
      </w:pPr>
      <w:r w:rsidRPr="00894E75">
        <w:rPr>
          <w:lang w:val="en-CA" w:eastAsia="fr-CA"/>
        </w:rPr>
        <w:t>[27]</w:t>
      </w:r>
      <w:r w:rsidRPr="00894E75">
        <w:rPr>
          <w:sz w:val="18"/>
          <w:szCs w:val="18"/>
          <w:lang w:val="en-CA" w:eastAsia="fr-CA"/>
        </w:rPr>
        <w:tab/>
      </w:r>
      <w:r w:rsidRPr="00E97661">
        <w:rPr>
          <w:color w:val="000000"/>
          <w:lang w:val="en-CA"/>
        </w:rPr>
        <w:t>The point was expressed very clearly in </w:t>
      </w:r>
      <w:r w:rsidRPr="00E97661">
        <w:rPr>
          <w:i/>
          <w:iCs/>
          <w:color w:val="000000"/>
          <w:lang w:val="en-CA"/>
        </w:rPr>
        <w:t>R. v. Biniaris</w:t>
      </w:r>
      <w:r w:rsidRPr="00E97661">
        <w:rPr>
          <w:color w:val="000000"/>
          <w:lang w:val="en-CA"/>
        </w:rPr>
        <w:t xml:space="preserve">, 2000 SCC 15, [2000] 1 S.C.R. 381, at para. 33: “. . . as a matter of law, the concept of ‘unreasonable </w:t>
      </w:r>
      <w:r w:rsidRPr="00E97661">
        <w:rPr>
          <w:color w:val="000000"/>
          <w:lang w:val="en-CA"/>
        </w:rPr>
        <w:lastRenderedPageBreak/>
        <w:t>acquittal’ is incompatible with the presumption of innocence and the burden which rests on the prosecution to prove its case beyond a reasonable doubt.”</w:t>
      </w:r>
    </w:p>
    <w:p w14:paraId="2BCA6A8C" w14:textId="77777777" w:rsidR="00CC0181" w:rsidRPr="00894E75" w:rsidRDefault="00CC0181" w:rsidP="00FC5E99">
      <w:pPr>
        <w:pStyle w:val="Citationenretrait"/>
        <w:jc w:val="right"/>
        <w:rPr>
          <w:lang w:val="en-CA"/>
        </w:rPr>
      </w:pPr>
      <w:r w:rsidRPr="00894E75">
        <w:rPr>
          <w:lang w:val="en-CA" w:eastAsia="fr-CA"/>
        </w:rPr>
        <w:t>[</w:t>
      </w:r>
      <w:r>
        <w:rPr>
          <w:lang w:val="en-CA" w:eastAsia="fr-CA"/>
        </w:rPr>
        <w:t>Emphasis added</w:t>
      </w:r>
      <w:r w:rsidRPr="00894E75">
        <w:rPr>
          <w:lang w:val="en-CA" w:eastAsia="fr-CA"/>
        </w:rPr>
        <w:t>]</w:t>
      </w:r>
    </w:p>
    <w:p w14:paraId="0F664C5D" w14:textId="77777777" w:rsidR="00CC0181" w:rsidRPr="00894E75" w:rsidRDefault="00CC0181" w:rsidP="00FC5E99">
      <w:pPr>
        <w:pStyle w:val="Paragraphe"/>
        <w:spacing w:line="280" w:lineRule="exact"/>
        <w:rPr>
          <w:lang w:val="en-CA"/>
        </w:rPr>
      </w:pPr>
      <w:r w:rsidRPr="00621505">
        <w:rPr>
          <w:lang w:val="en-CA"/>
        </w:rPr>
        <w:t>The judge’s conclusion</w:t>
      </w:r>
      <w:r w:rsidRPr="00894E75">
        <w:rPr>
          <w:lang w:val="en-CA"/>
        </w:rPr>
        <w:t xml:space="preserve"> </w:t>
      </w:r>
      <w:r>
        <w:rPr>
          <w:lang w:val="en-CA"/>
        </w:rPr>
        <w:t>was grounded</w:t>
      </w:r>
      <w:r w:rsidRPr="00894E75">
        <w:rPr>
          <w:lang w:val="en-CA"/>
        </w:rPr>
        <w:t xml:space="preserve"> </w:t>
      </w:r>
      <w:r>
        <w:rPr>
          <w:lang w:val="en-CA"/>
        </w:rPr>
        <w:t>in his assessment of the evidence, as to both the points of entry and the footsteps in the snow surrounding the house</w:t>
      </w:r>
      <w:r w:rsidRPr="00894E75">
        <w:rPr>
          <w:lang w:val="en-CA"/>
        </w:rPr>
        <w:t xml:space="preserve">. </w:t>
      </w:r>
      <w:r>
        <w:rPr>
          <w:lang w:val="en-CA"/>
        </w:rPr>
        <w:t>The judge’s finding on the inadequacy of the police investigation was determinative and inescapable</w:t>
      </w:r>
      <w:r w:rsidRPr="00894E75">
        <w:rPr>
          <w:lang w:val="en-CA"/>
        </w:rPr>
        <w:t xml:space="preserve">. </w:t>
      </w:r>
      <w:r>
        <w:rPr>
          <w:lang w:val="en-CA"/>
        </w:rPr>
        <w:t>Such a finding could ground a reasonable doubt as to the guilt of an accused.</w:t>
      </w:r>
      <w:r>
        <w:rPr>
          <w:rStyle w:val="Appelnotedebasdep"/>
          <w:lang w:val="en-CA"/>
        </w:rPr>
        <w:footnoteReference w:id="51"/>
      </w:r>
    </w:p>
    <w:p w14:paraId="628C348B" w14:textId="77777777" w:rsidR="00CC0181" w:rsidRPr="00894E75" w:rsidRDefault="00CC0181" w:rsidP="00FC5E99">
      <w:pPr>
        <w:pStyle w:val="Paragraphe"/>
        <w:spacing w:line="280" w:lineRule="exact"/>
        <w:rPr>
          <w:lang w:val="en-CA"/>
        </w:rPr>
      </w:pPr>
      <w:r>
        <w:rPr>
          <w:lang w:val="en-CA"/>
        </w:rPr>
        <w:t>Moreover, the opinion expressed by the judge regarding the clarity of the photos was within his exclusive province and I agree with his conclusion</w:t>
      </w:r>
      <w:r w:rsidRPr="00894E75">
        <w:rPr>
          <w:lang w:val="en-CA"/>
        </w:rPr>
        <w:t xml:space="preserve">. </w:t>
      </w:r>
      <w:r>
        <w:rPr>
          <w:lang w:val="en-CA"/>
        </w:rPr>
        <w:t>Of course</w:t>
      </w:r>
      <w:r w:rsidRPr="00894E75">
        <w:rPr>
          <w:lang w:val="en-CA"/>
        </w:rPr>
        <w:t xml:space="preserve">, </w:t>
      </w:r>
      <w:r>
        <w:rPr>
          <w:lang w:val="en-CA"/>
        </w:rPr>
        <w:t>other judges could have drawn a different conclusion but, as we know, that is beside the point</w:t>
      </w:r>
      <w:r w:rsidRPr="00894E75">
        <w:rPr>
          <w:lang w:val="en-CA"/>
        </w:rPr>
        <w:t>.</w:t>
      </w:r>
    </w:p>
    <w:p w14:paraId="37C8B182" w14:textId="77777777" w:rsidR="00CC0181" w:rsidRPr="00894E75" w:rsidRDefault="00CC0181" w:rsidP="00FC5E99">
      <w:pPr>
        <w:pStyle w:val="Paragraphe"/>
        <w:spacing w:line="280" w:lineRule="exact"/>
        <w:rPr>
          <w:lang w:val="en-CA"/>
        </w:rPr>
      </w:pPr>
      <w:r>
        <w:rPr>
          <w:lang w:val="en-CA"/>
        </w:rPr>
        <w:t>Finally, as</w:t>
      </w:r>
      <w:r w:rsidRPr="00894E75">
        <w:rPr>
          <w:lang w:val="en-CA"/>
        </w:rPr>
        <w:t xml:space="preserve"> Moldaver</w:t>
      </w:r>
      <w:r>
        <w:rPr>
          <w:lang w:val="en-CA"/>
        </w:rPr>
        <w:t>, J. explained in</w:t>
      </w:r>
      <w:r w:rsidRPr="00894E75">
        <w:rPr>
          <w:lang w:val="en-CA"/>
        </w:rPr>
        <w:t xml:space="preserve"> </w:t>
      </w:r>
      <w:r w:rsidRPr="00894E75">
        <w:rPr>
          <w:i/>
          <w:iCs/>
          <w:lang w:val="en-CA"/>
        </w:rPr>
        <w:t>Walle</w:t>
      </w:r>
      <w:r w:rsidRPr="00F30023">
        <w:rPr>
          <w:lang w:val="en-CA"/>
        </w:rPr>
        <w:t>,</w:t>
      </w:r>
      <w:r>
        <w:rPr>
          <w:rStyle w:val="Appelnotedebasdep"/>
          <w:lang w:val="en-CA"/>
        </w:rPr>
        <w:footnoteReference w:id="52"/>
      </w:r>
      <w:r>
        <w:rPr>
          <w:i/>
          <w:iCs/>
          <w:lang w:val="en-CA"/>
        </w:rPr>
        <w:t xml:space="preserve"> </w:t>
      </w:r>
      <w:r>
        <w:rPr>
          <w:lang w:val="en-CA"/>
        </w:rPr>
        <w:t>it should not be presumed that the judge failed to consider all the evidence unless the reasons for judgment suggest otherwise</w:t>
      </w:r>
      <w:r w:rsidRPr="00894E75">
        <w:rPr>
          <w:lang w:val="en-CA"/>
        </w:rPr>
        <w:t>:</w:t>
      </w:r>
    </w:p>
    <w:p w14:paraId="294E891E" w14:textId="77777777" w:rsidR="00CC0181" w:rsidRPr="00894E75" w:rsidRDefault="00CC0181" w:rsidP="00FC5E99">
      <w:pPr>
        <w:pStyle w:val="Citationenretrait"/>
        <w:rPr>
          <w:lang w:val="en-CA"/>
        </w:rPr>
      </w:pPr>
      <w:r w:rsidRPr="00894E75">
        <w:rPr>
          <w:lang w:val="en-CA"/>
        </w:rPr>
        <w:t>[46]</w:t>
      </w:r>
      <w:r w:rsidRPr="00894E75">
        <w:rPr>
          <w:lang w:val="en-CA"/>
        </w:rPr>
        <w:tab/>
      </w:r>
      <w:r w:rsidRPr="00054003">
        <w:rPr>
          <w:lang w:val="en-CA"/>
        </w:rPr>
        <w:t xml:space="preserve">I would not give effect to this submission. The appellant’s chief complaint is that the trial judge failed to consider all the evidence relevant to intent before deciding on that issue. A failure of a judge to consider all the evidence relating to an ultimate issue of guilt or innocence constitutes an error of law: </w:t>
      </w:r>
      <w:r w:rsidRPr="00054003">
        <w:rPr>
          <w:i/>
          <w:iCs/>
          <w:lang w:val="en-CA"/>
        </w:rPr>
        <w:t>R. v. Morin</w:t>
      </w:r>
      <w:r w:rsidRPr="00054003">
        <w:rPr>
          <w:lang w:val="en-CA"/>
        </w:rPr>
        <w:t xml:space="preserve">, [1992] 3 S.C.R. 286, at p. 296; </w:t>
      </w:r>
      <w:r w:rsidRPr="00054003">
        <w:rPr>
          <w:i/>
          <w:iCs/>
          <w:lang w:val="en-CA"/>
        </w:rPr>
        <w:t>R. v. J.M.H.</w:t>
      </w:r>
      <w:r w:rsidRPr="00054003">
        <w:rPr>
          <w:lang w:val="en-CA"/>
        </w:rPr>
        <w:t xml:space="preserve">, 2011 SCC 45, [2011] 3 S.C.R. 197, at paras. 31-32. However, as Sopinka J. made clear in </w:t>
      </w:r>
      <w:r w:rsidRPr="00054003">
        <w:rPr>
          <w:i/>
          <w:iCs/>
          <w:lang w:val="en-CA"/>
        </w:rPr>
        <w:t>Morin</w:t>
      </w:r>
      <w:r w:rsidRPr="00054003">
        <w:rPr>
          <w:lang w:val="en-CA"/>
        </w:rPr>
        <w:t>, there is “no obligation in law on a trial judge to record all or any specific part of the process of deliberation on the facts”, and “unless the reasons demonstrate that [a consideration of all the evidence in relation to the ultimate issue] was not done, the failure to record the fact of it having been done is not a proper basis for concluding that there was error in law in this respect” (p. 296). I see no failure to consider all the relevant evidence in this case</w:t>
      </w:r>
      <w:r w:rsidRPr="00894E75">
        <w:rPr>
          <w:lang w:val="en-CA"/>
        </w:rPr>
        <w:t>.</w:t>
      </w:r>
    </w:p>
    <w:p w14:paraId="44EF02EA" w14:textId="77777777" w:rsidR="00CC0181" w:rsidRPr="00894E75" w:rsidRDefault="00CC0181" w:rsidP="00FC5E99">
      <w:pPr>
        <w:pStyle w:val="Paragraphe"/>
        <w:spacing w:line="280" w:lineRule="exact"/>
        <w:rPr>
          <w:lang w:val="en-CA"/>
        </w:rPr>
      </w:pPr>
      <w:r>
        <w:rPr>
          <w:lang w:val="en-CA"/>
        </w:rPr>
        <w:t>I see nothing in the judgment that leads to believe that the judge failed to consider all the evidence</w:t>
      </w:r>
      <w:r w:rsidRPr="00894E75">
        <w:rPr>
          <w:lang w:val="en-CA"/>
        </w:rPr>
        <w:t>.</w:t>
      </w:r>
    </w:p>
    <w:p w14:paraId="204F9BA2" w14:textId="77777777" w:rsidR="00CC0181" w:rsidRPr="00894E75" w:rsidRDefault="00CC0181" w:rsidP="00FC5E99">
      <w:pPr>
        <w:pStyle w:val="Paragraphe"/>
        <w:spacing w:line="280" w:lineRule="exact"/>
        <w:rPr>
          <w:lang w:val="en-CA"/>
        </w:rPr>
      </w:pPr>
      <w:r>
        <w:rPr>
          <w:lang w:val="en-CA"/>
        </w:rPr>
        <w:t>The prosecution’s first ground therefore fails</w:t>
      </w:r>
      <w:r w:rsidRPr="00894E75">
        <w:rPr>
          <w:lang w:val="en-CA"/>
        </w:rPr>
        <w:t>.</w:t>
      </w:r>
    </w:p>
    <w:p w14:paraId="29125A6A" w14:textId="77777777" w:rsidR="00CC0181" w:rsidRPr="00894E75" w:rsidRDefault="00CC0181" w:rsidP="00FC5E99">
      <w:pPr>
        <w:pStyle w:val="Titre3"/>
        <w:ind w:left="714" w:hanging="357"/>
        <w:rPr>
          <w:bCs/>
          <w:iCs/>
          <w:lang w:val="en-CA"/>
        </w:rPr>
      </w:pPr>
      <w:r w:rsidRPr="00894E75">
        <w:rPr>
          <w:b/>
          <w:bCs/>
          <w:iCs/>
          <w:lang w:val="en-CA"/>
        </w:rPr>
        <w:lastRenderedPageBreak/>
        <w:t>c)</w:t>
      </w:r>
      <w:r>
        <w:rPr>
          <w:b/>
          <w:bCs/>
          <w:iCs/>
          <w:lang w:val="en-CA"/>
        </w:rPr>
        <w:tab/>
      </w:r>
      <w:r>
        <w:rPr>
          <w:b/>
          <w:bCs/>
          <w:iCs/>
          <w:lang w:val="en-CA"/>
        </w:rPr>
        <w:tab/>
        <w:t>Did the judge err by approaching the various items of evidence in a piecemeal fashion</w:t>
      </w:r>
      <w:r w:rsidRPr="00894E75">
        <w:rPr>
          <w:b/>
          <w:bCs/>
          <w:iCs/>
          <w:lang w:val="en-CA"/>
        </w:rPr>
        <w:t>?</w:t>
      </w:r>
    </w:p>
    <w:p w14:paraId="40234FB4" w14:textId="77777777" w:rsidR="00CC0181" w:rsidRPr="00894E75" w:rsidRDefault="00CC0181" w:rsidP="00FC5E99">
      <w:pPr>
        <w:pStyle w:val="Paragraphe"/>
        <w:spacing w:line="280" w:lineRule="exact"/>
        <w:rPr>
          <w:lang w:val="en-CA"/>
        </w:rPr>
      </w:pPr>
      <w:r>
        <w:rPr>
          <w:lang w:val="en-CA"/>
        </w:rPr>
        <w:t>It is trite law to say that</w:t>
      </w:r>
      <w:r w:rsidRPr="00894E75">
        <w:rPr>
          <w:lang w:val="en-CA"/>
        </w:rPr>
        <w:t xml:space="preserve"> </w:t>
      </w:r>
      <w:r>
        <w:rPr>
          <w:lang w:val="en-CA"/>
        </w:rPr>
        <w:t>the assessment of the evidence is generally a question of fact or a question of mixed fact and law</w:t>
      </w:r>
      <w:r w:rsidRPr="00894E75">
        <w:rPr>
          <w:lang w:val="en-CA"/>
        </w:rPr>
        <w:t xml:space="preserve">. </w:t>
      </w:r>
      <w:r>
        <w:rPr>
          <w:lang w:val="en-CA"/>
        </w:rPr>
        <w:t>As I noted earlier, certain errors related to the assessment of the evidence may constitute errors of law</w:t>
      </w:r>
      <w:r w:rsidRPr="00894E75">
        <w:rPr>
          <w:lang w:val="en-CA"/>
        </w:rPr>
        <w:t>.</w:t>
      </w:r>
    </w:p>
    <w:p w14:paraId="25B572E6" w14:textId="77777777" w:rsidR="00CC0181" w:rsidRPr="00894E75" w:rsidRDefault="00CC0181" w:rsidP="00FC5E99">
      <w:pPr>
        <w:pStyle w:val="Paragraphe"/>
        <w:spacing w:line="280" w:lineRule="exact"/>
        <w:rPr>
          <w:lang w:val="en-CA"/>
        </w:rPr>
      </w:pPr>
      <w:r w:rsidRPr="00E33BF1">
        <w:rPr>
          <w:lang w:val="en-CA"/>
        </w:rPr>
        <w:t>According to</w:t>
      </w:r>
      <w:r>
        <w:rPr>
          <w:i/>
          <w:iCs/>
          <w:lang w:val="en-CA"/>
        </w:rPr>
        <w:t xml:space="preserve"> </w:t>
      </w:r>
      <w:r w:rsidRPr="00894E75">
        <w:rPr>
          <w:i/>
          <w:iCs/>
          <w:lang w:val="en-CA"/>
        </w:rPr>
        <w:t>J.M.H.</w:t>
      </w:r>
      <w:r>
        <w:rPr>
          <w:lang w:val="en-CA"/>
        </w:rPr>
        <w:t>, a piecemeal approach or a “silo” assessment of the evidence constitutes an error of law, given that the judge must ultimately determine if the evidence, as a whole, establishes the accused’s guilt beyond a reasonable doubt.</w:t>
      </w:r>
      <w:r>
        <w:rPr>
          <w:rStyle w:val="Appelnotedebasdep"/>
          <w:lang w:val="en-CA"/>
        </w:rPr>
        <w:footnoteReference w:id="53"/>
      </w:r>
    </w:p>
    <w:p w14:paraId="3D05B879" w14:textId="77777777" w:rsidR="00CC0181" w:rsidRPr="00894E75" w:rsidRDefault="00CC0181" w:rsidP="00FC5E99">
      <w:pPr>
        <w:pStyle w:val="Paragraphe"/>
        <w:spacing w:line="280" w:lineRule="exact"/>
        <w:rPr>
          <w:lang w:val="en-CA"/>
        </w:rPr>
      </w:pPr>
      <w:r>
        <w:rPr>
          <w:lang w:val="en-CA"/>
        </w:rPr>
        <w:t>That being said</w:t>
      </w:r>
      <w:r w:rsidRPr="00894E75">
        <w:rPr>
          <w:lang w:val="en-CA"/>
        </w:rPr>
        <w:t xml:space="preserve">, </w:t>
      </w:r>
      <w:r>
        <w:rPr>
          <w:lang w:val="en-CA"/>
        </w:rPr>
        <w:t>it should be recalled however that judges do not have to review each and every piece of evidence and they do not err by failing to address evidence that has but little probative value or that relates only to peripheral issues.</w:t>
      </w:r>
      <w:r>
        <w:rPr>
          <w:rStyle w:val="Appelnotedebasdep"/>
          <w:lang w:val="en-CA"/>
        </w:rPr>
        <w:footnoteReference w:id="54"/>
      </w:r>
    </w:p>
    <w:p w14:paraId="1F82C869" w14:textId="77777777" w:rsidR="00CC0181" w:rsidRPr="00894E75" w:rsidRDefault="00CC0181" w:rsidP="00FC5E99">
      <w:pPr>
        <w:pStyle w:val="Paragraphe"/>
        <w:spacing w:line="280" w:lineRule="exact"/>
        <w:rPr>
          <w:lang w:val="en-CA"/>
        </w:rPr>
      </w:pPr>
      <w:r>
        <w:rPr>
          <w:lang w:val="en-CA"/>
        </w:rPr>
        <w:t>The prosecution claims that the trial judge adopted a piecemeal approach in assessing the evidence and that this was an error of law in the case at bar</w:t>
      </w:r>
      <w:r w:rsidRPr="00894E75">
        <w:rPr>
          <w:lang w:val="en-CA"/>
        </w:rPr>
        <w:t>.</w:t>
      </w:r>
    </w:p>
    <w:p w14:paraId="774F1E70" w14:textId="77777777" w:rsidR="00CC0181" w:rsidRPr="00894E75" w:rsidRDefault="00CC0181" w:rsidP="00FC5E99">
      <w:pPr>
        <w:pStyle w:val="Paragraphe"/>
        <w:spacing w:line="280" w:lineRule="exact"/>
        <w:rPr>
          <w:lang w:val="en-CA"/>
        </w:rPr>
      </w:pPr>
      <w:r>
        <w:rPr>
          <w:lang w:val="en-CA"/>
        </w:rPr>
        <w:t>In its view</w:t>
      </w:r>
      <w:r w:rsidRPr="00894E75">
        <w:rPr>
          <w:lang w:val="en-CA"/>
        </w:rPr>
        <w:t xml:space="preserve">, </w:t>
      </w:r>
      <w:r>
        <w:rPr>
          <w:lang w:val="en-CA"/>
        </w:rPr>
        <w:t>the adoption of such an approach by the trial judge in effect annihilated the cumulative persuasive force of the evidence adduced, whereas all the evidence should have led him to find</w:t>
      </w:r>
      <w:r w:rsidRPr="00894E75">
        <w:rPr>
          <w:lang w:val="en-CA"/>
        </w:rPr>
        <w:t xml:space="preserve"> M</w:t>
      </w:r>
      <w:r>
        <w:rPr>
          <w:lang w:val="en-CA"/>
        </w:rPr>
        <w:t>r</w:t>
      </w:r>
      <w:r w:rsidRPr="00894E75">
        <w:rPr>
          <w:lang w:val="en-CA"/>
        </w:rPr>
        <w:t>. Fera</w:t>
      </w:r>
      <w:r>
        <w:rPr>
          <w:lang w:val="en-CA"/>
        </w:rPr>
        <w:t xml:space="preserve"> guilty</w:t>
      </w:r>
      <w:r w:rsidRPr="00894E75">
        <w:rPr>
          <w:lang w:val="en-CA"/>
        </w:rPr>
        <w:t xml:space="preserve">. </w:t>
      </w:r>
      <w:r>
        <w:rPr>
          <w:lang w:val="en-CA"/>
        </w:rPr>
        <w:t xml:space="preserve">The judge purportedly failed </w:t>
      </w:r>
      <w:r w:rsidRPr="00015045">
        <w:rPr>
          <w:lang w:val="en-CA"/>
        </w:rPr>
        <w:t>to analyze the evidence as a whole</w:t>
      </w:r>
      <w:r>
        <w:rPr>
          <w:rStyle w:val="Appelnotedebasdep"/>
          <w:lang w:val="en-CA"/>
        </w:rPr>
        <w:footnoteReference w:id="55"/>
      </w:r>
      <w:r w:rsidRPr="00894E75">
        <w:rPr>
          <w:lang w:val="en-CA"/>
        </w:rPr>
        <w:t xml:space="preserve"> </w:t>
      </w:r>
      <w:r>
        <w:rPr>
          <w:lang w:val="en-CA"/>
        </w:rPr>
        <w:t>and assessed it in a piecemeal fashion</w:t>
      </w:r>
      <w:r w:rsidRPr="00894E75">
        <w:rPr>
          <w:lang w:val="en-CA"/>
        </w:rPr>
        <w:t>.</w:t>
      </w:r>
    </w:p>
    <w:p w14:paraId="314F94AB" w14:textId="77777777" w:rsidR="00CC0181" w:rsidRPr="00894E75" w:rsidRDefault="00CC0181" w:rsidP="00FC5E99">
      <w:pPr>
        <w:pStyle w:val="Paragraphe"/>
        <w:spacing w:line="280" w:lineRule="exact"/>
        <w:rPr>
          <w:lang w:val="en-CA"/>
        </w:rPr>
      </w:pPr>
      <w:r>
        <w:rPr>
          <w:lang w:val="en-CA"/>
        </w:rPr>
        <w:t xml:space="preserve">The prosecution criticizes the trial judge for stating, at paragraph </w:t>
      </w:r>
      <w:r w:rsidRPr="00894E75">
        <w:rPr>
          <w:lang w:val="en-CA"/>
        </w:rPr>
        <w:t xml:space="preserve">149 </w:t>
      </w:r>
      <w:r>
        <w:rPr>
          <w:lang w:val="en-CA"/>
        </w:rPr>
        <w:t>of his reasons</w:t>
      </w:r>
      <w:r w:rsidRPr="00894E75">
        <w:rPr>
          <w:lang w:val="en-CA"/>
        </w:rPr>
        <w:t>,</w:t>
      </w:r>
      <w:r>
        <w:rPr>
          <w:lang w:val="en-CA"/>
        </w:rPr>
        <w:t xml:space="preserve"> that, given his conclusion on the absence of exclusive opportunity</w:t>
      </w:r>
      <w:r w:rsidRPr="00894E75">
        <w:rPr>
          <w:lang w:val="en-CA"/>
        </w:rPr>
        <w:t xml:space="preserve">, </w:t>
      </w:r>
      <w:r>
        <w:rPr>
          <w:lang w:val="en-CA"/>
        </w:rPr>
        <w:t>he could be justified in ending his analysis</w:t>
      </w:r>
      <w:r w:rsidRPr="00894E75">
        <w:rPr>
          <w:lang w:val="en-CA"/>
        </w:rPr>
        <w:t xml:space="preserve">. </w:t>
      </w:r>
      <w:r>
        <w:rPr>
          <w:lang w:val="en-CA"/>
        </w:rPr>
        <w:t>The purportedly problematic passage is as follows</w:t>
      </w:r>
      <w:r w:rsidRPr="00894E75">
        <w:rPr>
          <w:lang w:val="en-CA"/>
        </w:rPr>
        <w:t>:</w:t>
      </w:r>
    </w:p>
    <w:p w14:paraId="55071FD7" w14:textId="77777777" w:rsidR="00CC0181" w:rsidRPr="00894E75" w:rsidRDefault="00CC0181" w:rsidP="00FC5E99">
      <w:pPr>
        <w:pStyle w:val="Citationenretrait"/>
        <w:rPr>
          <w:lang w:val="en-CA"/>
        </w:rPr>
      </w:pPr>
      <w:r w:rsidRPr="00894E75">
        <w:rPr>
          <w:lang w:val="en-CA"/>
        </w:rPr>
        <w:t>[149]</w:t>
      </w:r>
      <w:r w:rsidRPr="00894E75">
        <w:rPr>
          <w:lang w:val="en-CA"/>
        </w:rPr>
        <w:tab/>
        <w:t>As a result of these conclusions, the Court concludes that there is a reasonable possibility available to the effect that an unknown third party committed the crime by entering through an unlocked rear patio door.</w:t>
      </w:r>
    </w:p>
    <w:p w14:paraId="0D5D4C08" w14:textId="77777777" w:rsidR="00CC0181" w:rsidRPr="00894E75" w:rsidRDefault="00CC0181" w:rsidP="00FC5E99">
      <w:pPr>
        <w:pStyle w:val="Citationenretrait"/>
        <w:rPr>
          <w:lang w:val="en-CA"/>
        </w:rPr>
      </w:pPr>
      <w:r w:rsidRPr="00894E75">
        <w:rPr>
          <w:lang w:val="en-CA"/>
        </w:rPr>
        <w:t>[150]</w:t>
      </w:r>
      <w:r w:rsidRPr="00894E75">
        <w:rPr>
          <w:lang w:val="en-CA"/>
        </w:rPr>
        <w:tab/>
        <w:t>While this conclusion could end the Court’s analysis, it has determined that there are many other aspects of the proof which undermine the prosecution’s theory.</w:t>
      </w:r>
    </w:p>
    <w:p w14:paraId="4F3A88FA" w14:textId="77777777" w:rsidR="00CC0181" w:rsidRPr="00894E75" w:rsidRDefault="00CC0181" w:rsidP="00FC5E99">
      <w:pPr>
        <w:pStyle w:val="Paragraphe"/>
        <w:spacing w:line="280" w:lineRule="exact"/>
        <w:rPr>
          <w:lang w:val="en-CA"/>
        </w:rPr>
      </w:pPr>
      <w:r>
        <w:rPr>
          <w:lang w:val="en-CA"/>
        </w:rPr>
        <w:t>While the prosecution claims that the judge [</w:t>
      </w:r>
      <w:r w:rsidRPr="004405F1">
        <w:rPr>
          <w:smallCaps/>
          <w:lang w:val="en-CA"/>
        </w:rPr>
        <w:t>translation</w:t>
      </w:r>
      <w:r>
        <w:rPr>
          <w:lang w:val="en-CA"/>
        </w:rPr>
        <w:t>]</w:t>
      </w:r>
      <w:r w:rsidRPr="00894E75">
        <w:rPr>
          <w:lang w:val="en-CA"/>
        </w:rPr>
        <w:t xml:space="preserve"> </w:t>
      </w:r>
      <w:r>
        <w:rPr>
          <w:lang w:val="en-CA"/>
        </w:rPr>
        <w:t>“adopted instead a piecemeal approach that is apparent in the very form of his reasons”</w:t>
      </w:r>
      <w:r w:rsidRPr="00894E75">
        <w:rPr>
          <w:lang w:val="en-CA"/>
        </w:rPr>
        <w:t xml:space="preserve">, </w:t>
      </w:r>
      <w:r>
        <w:rPr>
          <w:lang w:val="en-CA"/>
        </w:rPr>
        <w:t>it can hardly fault the judge for having failed to consider all the evidence given the latter’s</w:t>
      </w:r>
      <w:r w:rsidRPr="00894E75">
        <w:rPr>
          <w:lang w:val="en-CA"/>
        </w:rPr>
        <w:t xml:space="preserve"> </w:t>
      </w:r>
      <w:r>
        <w:rPr>
          <w:lang w:val="en-CA"/>
        </w:rPr>
        <w:t>explanation that other items of evidence undermined the prosecution’s theory</w:t>
      </w:r>
      <w:r w:rsidRPr="00894E75">
        <w:rPr>
          <w:lang w:val="en-CA"/>
        </w:rPr>
        <w:t xml:space="preserve">. </w:t>
      </w:r>
      <w:r>
        <w:rPr>
          <w:lang w:val="en-CA"/>
        </w:rPr>
        <w:t>It seems to me that that remark undoubtedly shows that the judge considered all the evidence</w:t>
      </w:r>
      <w:r w:rsidRPr="00894E75">
        <w:rPr>
          <w:lang w:val="en-CA"/>
        </w:rPr>
        <w:t>.</w:t>
      </w:r>
    </w:p>
    <w:p w14:paraId="13A5AFE5" w14:textId="77777777" w:rsidR="00CC0181" w:rsidRPr="00894E75" w:rsidRDefault="00CC0181" w:rsidP="00FC5E99">
      <w:pPr>
        <w:pStyle w:val="Paragraphe"/>
        <w:spacing w:line="280" w:lineRule="exact"/>
        <w:rPr>
          <w:lang w:val="en-CA"/>
        </w:rPr>
      </w:pPr>
      <w:r>
        <w:rPr>
          <w:lang w:val="en-CA"/>
        </w:rPr>
        <w:lastRenderedPageBreak/>
        <w:t>Moreover, the judge’s final conclusion indicates that he considered all the evidence in determining that a reasonable doubt existed</w:t>
      </w:r>
      <w:r w:rsidRPr="00894E75">
        <w:rPr>
          <w:lang w:val="en-CA"/>
        </w:rPr>
        <w:t>:</w:t>
      </w:r>
    </w:p>
    <w:p w14:paraId="5659AC32" w14:textId="77777777" w:rsidR="00CC0181" w:rsidRPr="00894E75" w:rsidRDefault="00CC0181" w:rsidP="00FC5E99">
      <w:pPr>
        <w:pStyle w:val="Citationenretrait"/>
        <w:rPr>
          <w:lang w:val="en-CA" w:eastAsia="fr-CA"/>
        </w:rPr>
      </w:pPr>
      <w:r w:rsidRPr="00894E75">
        <w:rPr>
          <w:lang w:val="en-CA"/>
        </w:rPr>
        <w:t>[165]</w:t>
      </w:r>
      <w:r w:rsidRPr="00894E75">
        <w:rPr>
          <w:lang w:val="en-CA"/>
        </w:rPr>
        <w:tab/>
        <w:t>To summarize, the prosecution has not proven beyond a reasonable doubt that Mr. Fera killed Nadia Panarello on February 12, 2004. The reasonable doubt arises from a combination of the following factors:</w:t>
      </w:r>
    </w:p>
    <w:p w14:paraId="492FE95B" w14:textId="77777777" w:rsidR="00CC0181" w:rsidRPr="00894E75" w:rsidRDefault="00CC0181" w:rsidP="00FC5E99">
      <w:pPr>
        <w:pStyle w:val="Citationenretrait"/>
        <w:ind w:left="1440"/>
        <w:rPr>
          <w:lang w:val="en-CA"/>
        </w:rPr>
      </w:pPr>
      <w:r w:rsidRPr="00894E75">
        <w:rPr>
          <w:lang w:val="en-CA"/>
        </w:rPr>
        <w:t>1.   the failure to prove exclusive opportunity;</w:t>
      </w:r>
    </w:p>
    <w:p w14:paraId="4E18372D" w14:textId="77777777" w:rsidR="00CC0181" w:rsidRPr="00894E75" w:rsidRDefault="00CC0181" w:rsidP="00FC5E99">
      <w:pPr>
        <w:pStyle w:val="Citationenretrait"/>
        <w:ind w:left="1440"/>
        <w:rPr>
          <w:lang w:val="en-CA"/>
        </w:rPr>
      </w:pPr>
      <w:r w:rsidRPr="00894E75">
        <w:rPr>
          <w:lang w:val="en-CA"/>
        </w:rPr>
        <w:t>2.   an inadequate proposed motive;</w:t>
      </w:r>
    </w:p>
    <w:p w14:paraId="1209A180" w14:textId="77777777" w:rsidR="00CC0181" w:rsidRPr="00894E75" w:rsidRDefault="00CC0181" w:rsidP="00FC5E99">
      <w:pPr>
        <w:pStyle w:val="Citationenretrait"/>
        <w:ind w:left="1440"/>
        <w:rPr>
          <w:lang w:val="en-CA"/>
        </w:rPr>
      </w:pPr>
      <w:r w:rsidRPr="00894E75">
        <w:rPr>
          <w:lang w:val="en-CA"/>
        </w:rPr>
        <w:t>3.   the lack of physical evidence linking the accused to the crime;</w:t>
      </w:r>
    </w:p>
    <w:p w14:paraId="16857169" w14:textId="77777777" w:rsidR="00CC0181" w:rsidRPr="00894E75" w:rsidRDefault="00CC0181" w:rsidP="00FC5E99">
      <w:pPr>
        <w:pStyle w:val="Citationenretrait"/>
        <w:ind w:left="1440"/>
        <w:rPr>
          <w:lang w:val="en-CA"/>
        </w:rPr>
      </w:pPr>
      <w:r w:rsidRPr="00894E75">
        <w:rPr>
          <w:lang w:val="en-CA"/>
        </w:rPr>
        <w:t>4.   the demeanor evidence of the accused which is consistent with innocence;</w:t>
      </w:r>
    </w:p>
    <w:p w14:paraId="185C8EAE" w14:textId="77777777" w:rsidR="00CC0181" w:rsidRPr="00894E75" w:rsidRDefault="00CC0181" w:rsidP="00FC5E99">
      <w:pPr>
        <w:pStyle w:val="Citationenretrait"/>
        <w:ind w:left="1440"/>
        <w:rPr>
          <w:lang w:val="en-CA"/>
        </w:rPr>
      </w:pPr>
      <w:r w:rsidRPr="00894E75">
        <w:rPr>
          <w:lang w:val="en-CA"/>
        </w:rPr>
        <w:t>5.   the gap in the narrative evidence.</w:t>
      </w:r>
    </w:p>
    <w:p w14:paraId="31DA7244" w14:textId="77777777" w:rsidR="00CC0181" w:rsidRPr="00894E75" w:rsidRDefault="00CC0181" w:rsidP="00FC5E99">
      <w:pPr>
        <w:pStyle w:val="Citationenretrait"/>
        <w:rPr>
          <w:lang w:val="en-CA"/>
        </w:rPr>
      </w:pPr>
      <w:r w:rsidRPr="00894E75">
        <w:rPr>
          <w:lang w:val="en-CA"/>
        </w:rPr>
        <w:t>[166]</w:t>
      </w:r>
      <w:r w:rsidRPr="00894E75">
        <w:rPr>
          <w:lang w:val="en-CA"/>
        </w:rPr>
        <w:tab/>
        <w:t>While the Court has not referred to them specifically, it did consider the prosecution’s invitation to draw negative inferences against Mr. Fera due to various facts, notably:</w:t>
      </w:r>
    </w:p>
    <w:p w14:paraId="245E785E" w14:textId="77777777" w:rsidR="00CC0181" w:rsidRPr="00894E75" w:rsidRDefault="00CC0181" w:rsidP="00FC5E99">
      <w:pPr>
        <w:pStyle w:val="Citationenretrait"/>
        <w:ind w:left="1440"/>
        <w:rPr>
          <w:lang w:val="en-CA"/>
        </w:rPr>
      </w:pPr>
      <w:r w:rsidRPr="00894E75">
        <w:rPr>
          <w:lang w:val="en-CA"/>
        </w:rPr>
        <w:t>•</w:t>
      </w:r>
      <w:r w:rsidRPr="00894E75">
        <w:rPr>
          <w:lang w:val="en-CA"/>
        </w:rPr>
        <w:tab/>
        <w:t>that the assailant chose to use a towel hidden behind the daughters’ bathroom door (exhibit P-14, photo 71). The prosecution suggested Mr. Fera would know the towel was there while a stranger would not;</w:t>
      </w:r>
    </w:p>
    <w:p w14:paraId="573C6392" w14:textId="77777777" w:rsidR="00CC0181" w:rsidRPr="00894E75" w:rsidRDefault="00CC0181" w:rsidP="00FC5E99">
      <w:pPr>
        <w:pStyle w:val="Citationenretrait"/>
        <w:ind w:left="1440"/>
        <w:rPr>
          <w:lang w:val="en-CA"/>
        </w:rPr>
      </w:pPr>
      <w:r w:rsidRPr="00894E75">
        <w:rPr>
          <w:lang w:val="en-CA"/>
        </w:rPr>
        <w:t>•</w:t>
      </w:r>
      <w:r w:rsidRPr="00894E75">
        <w:rPr>
          <w:lang w:val="en-CA"/>
        </w:rPr>
        <w:tab/>
        <w:t>that Mr. Fera did not look in the ambulance when he first arrived on the scene at 1630, Michel-Gamelin. The prosecution argued he would not have looked because he knew Nadia was dead, having killed her;</w:t>
      </w:r>
    </w:p>
    <w:p w14:paraId="42C4C56F" w14:textId="77777777" w:rsidR="00CC0181" w:rsidRPr="00894E75" w:rsidRDefault="00CC0181" w:rsidP="00FC5E99">
      <w:pPr>
        <w:pStyle w:val="Citationenretrait"/>
        <w:ind w:left="1440"/>
        <w:rPr>
          <w:lang w:val="en-CA"/>
        </w:rPr>
      </w:pPr>
      <w:r w:rsidRPr="00894E75">
        <w:rPr>
          <w:lang w:val="en-CA"/>
        </w:rPr>
        <w:t>•</w:t>
      </w:r>
      <w:r w:rsidRPr="00894E75">
        <w:rPr>
          <w:lang w:val="en-CA"/>
        </w:rPr>
        <w:tab/>
        <w:t>when he leapt over his desk at work as described by Guylaine Nadeau, this was all staged by Mr. Fera to feign concern.</w:t>
      </w:r>
    </w:p>
    <w:p w14:paraId="11D714A9" w14:textId="77777777" w:rsidR="00CC0181" w:rsidRPr="00894E75" w:rsidRDefault="00CC0181" w:rsidP="00FC5E99">
      <w:pPr>
        <w:pStyle w:val="Citationenretrait"/>
        <w:rPr>
          <w:lang w:val="en-CA"/>
        </w:rPr>
      </w:pPr>
      <w:r w:rsidRPr="00894E75">
        <w:rPr>
          <w:lang w:val="en-CA"/>
        </w:rPr>
        <w:t>[167]</w:t>
      </w:r>
      <w:r w:rsidRPr="00894E75">
        <w:rPr>
          <w:lang w:val="en-CA"/>
        </w:rPr>
        <w:tab/>
        <w:t>With respect, these submissions were speculative and fanciful and did not cause the Court to alter its analysis.</w:t>
      </w:r>
    </w:p>
    <w:p w14:paraId="03404900" w14:textId="77777777" w:rsidR="00CC0181" w:rsidRPr="00894E75" w:rsidRDefault="00CC0181" w:rsidP="00FC5E99">
      <w:pPr>
        <w:pStyle w:val="Paragraphe"/>
        <w:spacing w:line="280" w:lineRule="exact"/>
        <w:rPr>
          <w:lang w:val="en-CA"/>
        </w:rPr>
      </w:pPr>
      <w:r>
        <w:rPr>
          <w:lang w:val="en-CA"/>
        </w:rPr>
        <w:t>The factors considered by the judge in his conclusion were all relevant and were within the ambit of the trial judge’s assessment of the evidence</w:t>
      </w:r>
      <w:r w:rsidRPr="00894E75">
        <w:rPr>
          <w:lang w:val="en-CA"/>
        </w:rPr>
        <w:t xml:space="preserve">. </w:t>
      </w:r>
      <w:r>
        <w:rPr>
          <w:lang w:val="en-CA"/>
        </w:rPr>
        <w:t>The first two have been discussed in the analysis of the first ground</w:t>
      </w:r>
      <w:r w:rsidRPr="00894E75">
        <w:rPr>
          <w:lang w:val="en-CA"/>
        </w:rPr>
        <w:t xml:space="preserve">. </w:t>
      </w:r>
      <w:r>
        <w:rPr>
          <w:lang w:val="en-CA"/>
        </w:rPr>
        <w:t xml:space="preserve">The others, i.e., </w:t>
      </w:r>
      <w:r w:rsidRPr="00DE1187">
        <w:rPr>
          <w:lang w:val="en-CA"/>
        </w:rPr>
        <w:t>the lack of physical evidence linking the accused to</w:t>
      </w:r>
      <w:r>
        <w:rPr>
          <w:lang w:val="en-CA"/>
        </w:rPr>
        <w:t xml:space="preserve"> his wife’s murder</w:t>
      </w:r>
      <w:r w:rsidRPr="00894E75">
        <w:rPr>
          <w:lang w:val="en-CA"/>
        </w:rPr>
        <w:t xml:space="preserve">, </w:t>
      </w:r>
      <w:r w:rsidRPr="00DE1187">
        <w:rPr>
          <w:lang w:val="en-CA"/>
        </w:rPr>
        <w:t>Mr. Fera’s demeano</w:t>
      </w:r>
      <w:r>
        <w:rPr>
          <w:lang w:val="en-CA"/>
        </w:rPr>
        <w:t>u</w:t>
      </w:r>
      <w:r w:rsidRPr="00DE1187">
        <w:rPr>
          <w:lang w:val="en-CA"/>
        </w:rPr>
        <w:t>r following his wife’s murder, which was consistent with his innocence</w:t>
      </w:r>
      <w:r>
        <w:rPr>
          <w:lang w:val="en-CA"/>
        </w:rPr>
        <w:t>,</w:t>
      </w:r>
      <w:r>
        <w:rPr>
          <w:rStyle w:val="Appelnotedebasdep"/>
          <w:lang w:val="en-CA"/>
        </w:rPr>
        <w:footnoteReference w:id="56"/>
      </w:r>
      <w:r w:rsidRPr="00894E75">
        <w:rPr>
          <w:lang w:val="en-CA"/>
        </w:rPr>
        <w:t xml:space="preserve"> </w:t>
      </w:r>
      <w:r>
        <w:rPr>
          <w:lang w:val="en-CA"/>
        </w:rPr>
        <w:t xml:space="preserve">and the absence of the couple’s </w:t>
      </w:r>
      <w:r>
        <w:rPr>
          <w:lang w:val="en-CA"/>
        </w:rPr>
        <w:lastRenderedPageBreak/>
        <w:t>youngest daughter’s testimony</w:t>
      </w:r>
      <w:r>
        <w:rPr>
          <w:rStyle w:val="Appelnotedebasdep"/>
          <w:lang w:val="en-CA"/>
        </w:rPr>
        <w:footnoteReference w:id="57"/>
      </w:r>
      <w:r w:rsidRPr="00894E75">
        <w:rPr>
          <w:lang w:val="en-CA"/>
        </w:rPr>
        <w:t xml:space="preserve"> </w:t>
      </w:r>
      <w:r>
        <w:rPr>
          <w:lang w:val="en-CA"/>
        </w:rPr>
        <w:t xml:space="preserve">added to the reasons that grounded the reasonable doubt that the judge entertained as to </w:t>
      </w:r>
      <w:r w:rsidRPr="00894E75">
        <w:rPr>
          <w:lang w:val="en-CA"/>
        </w:rPr>
        <w:t>M</w:t>
      </w:r>
      <w:r>
        <w:rPr>
          <w:lang w:val="en-CA"/>
        </w:rPr>
        <w:t>r</w:t>
      </w:r>
      <w:r w:rsidRPr="00894E75">
        <w:rPr>
          <w:lang w:val="en-CA"/>
        </w:rPr>
        <w:t>. Fera</w:t>
      </w:r>
      <w:r>
        <w:rPr>
          <w:lang w:val="en-CA"/>
        </w:rPr>
        <w:t>’s guilt</w:t>
      </w:r>
      <w:r w:rsidRPr="00894E75">
        <w:rPr>
          <w:lang w:val="en-CA"/>
        </w:rPr>
        <w:t>.</w:t>
      </w:r>
    </w:p>
    <w:p w14:paraId="543D41EA" w14:textId="77777777" w:rsidR="00CC0181" w:rsidRPr="00894E75" w:rsidRDefault="00CC0181" w:rsidP="00FC5E99">
      <w:pPr>
        <w:pStyle w:val="Paragraphe"/>
        <w:spacing w:line="280" w:lineRule="exact"/>
        <w:rPr>
          <w:lang w:val="en-CA"/>
        </w:rPr>
      </w:pPr>
      <w:r>
        <w:rPr>
          <w:lang w:val="en-CA"/>
        </w:rPr>
        <w:t>In addition</w:t>
      </w:r>
      <w:r w:rsidRPr="00894E75">
        <w:rPr>
          <w:lang w:val="en-CA"/>
        </w:rPr>
        <w:t xml:space="preserve">, </w:t>
      </w:r>
      <w:r>
        <w:rPr>
          <w:lang w:val="en-CA"/>
        </w:rPr>
        <w:t>as regards the narrow time frame, the prosecution claims that [</w:t>
      </w:r>
      <w:r w:rsidRPr="00FD5A8A">
        <w:rPr>
          <w:smallCaps/>
          <w:lang w:val="en-CA"/>
        </w:rPr>
        <w:t>translation</w:t>
      </w:r>
      <w:r>
        <w:rPr>
          <w:lang w:val="en-CA"/>
        </w:rPr>
        <w:t>] “it is difficult to argue that the respondent did not have the opportunity to commit the crime when a third party would have had 10 minutes to act.”</w:t>
      </w:r>
      <w:r w:rsidRPr="00894E75">
        <w:rPr>
          <w:lang w:val="en-CA"/>
        </w:rPr>
        <w:t xml:space="preserve"> </w:t>
      </w:r>
    </w:p>
    <w:p w14:paraId="4D16A1B3" w14:textId="77777777" w:rsidR="00CC0181" w:rsidRPr="00894E75" w:rsidRDefault="00CC0181" w:rsidP="00FC5E99">
      <w:pPr>
        <w:pStyle w:val="Paragraphe"/>
        <w:spacing w:line="280" w:lineRule="exact"/>
        <w:rPr>
          <w:lang w:val="en-CA"/>
        </w:rPr>
      </w:pPr>
      <w:r>
        <w:rPr>
          <w:lang w:val="en-CA"/>
        </w:rPr>
        <w:t>Upon a reading of the judgment, the argument raised is unfounded</w:t>
      </w:r>
      <w:r w:rsidRPr="00894E75">
        <w:rPr>
          <w:lang w:val="en-CA"/>
        </w:rPr>
        <w:t xml:space="preserve">. </w:t>
      </w:r>
      <w:r>
        <w:rPr>
          <w:lang w:val="en-CA"/>
        </w:rPr>
        <w:t xml:space="preserve">The judge did not find that </w:t>
      </w:r>
      <w:r w:rsidRPr="00894E75">
        <w:rPr>
          <w:lang w:val="en-CA"/>
        </w:rPr>
        <w:t>M</w:t>
      </w:r>
      <w:r>
        <w:rPr>
          <w:lang w:val="en-CA"/>
        </w:rPr>
        <w:t>r</w:t>
      </w:r>
      <w:r w:rsidRPr="00894E75">
        <w:rPr>
          <w:lang w:val="en-CA"/>
        </w:rPr>
        <w:t xml:space="preserve">. Fera </w:t>
      </w:r>
      <w:r>
        <w:rPr>
          <w:lang w:val="en-CA"/>
        </w:rPr>
        <w:t>did not have the opportunity to kill his wife, but simply that that opportunity was not exclusive</w:t>
      </w:r>
      <w:r w:rsidRPr="00894E75">
        <w:rPr>
          <w:lang w:val="en-CA"/>
        </w:rPr>
        <w:t xml:space="preserve">, </w:t>
      </w:r>
      <w:r>
        <w:rPr>
          <w:lang w:val="en-CA"/>
        </w:rPr>
        <w:t>which raised a reasonable doubt in his mind.</w:t>
      </w:r>
      <w:r>
        <w:rPr>
          <w:rStyle w:val="Appelnotedebasdep"/>
          <w:lang w:val="en-CA"/>
        </w:rPr>
        <w:footnoteReference w:id="58"/>
      </w:r>
      <w:r w:rsidRPr="00894E75">
        <w:rPr>
          <w:lang w:val="en-CA"/>
        </w:rPr>
        <w:t xml:space="preserve"> </w:t>
      </w:r>
      <w:r>
        <w:rPr>
          <w:lang w:val="en-CA"/>
        </w:rPr>
        <w:t>Such a finding was consistent with applicable law</w:t>
      </w:r>
      <w:r w:rsidRPr="00894E75">
        <w:rPr>
          <w:lang w:val="en-CA"/>
        </w:rPr>
        <w:t>.</w:t>
      </w:r>
    </w:p>
    <w:p w14:paraId="78462BE3" w14:textId="77777777" w:rsidR="00CC0181" w:rsidRPr="00894E75" w:rsidRDefault="00CC0181" w:rsidP="00FC5E99">
      <w:pPr>
        <w:pStyle w:val="Paragraphe"/>
        <w:spacing w:line="280" w:lineRule="exact"/>
        <w:rPr>
          <w:lang w:val="en-CA"/>
        </w:rPr>
      </w:pPr>
      <w:r>
        <w:rPr>
          <w:lang w:val="en-CA"/>
        </w:rPr>
        <w:t>Indeed, the circumstances surrounding an accused’s opportunity to commit an offence will vary on a case-by-case basis</w:t>
      </w:r>
      <w:r w:rsidRPr="00894E75">
        <w:rPr>
          <w:lang w:val="en-CA"/>
        </w:rPr>
        <w:t xml:space="preserve">. </w:t>
      </w:r>
      <w:r>
        <w:rPr>
          <w:lang w:val="en-CA"/>
        </w:rPr>
        <w:t>Evidence of a mere opportunity will not suffice to support</w:t>
      </w:r>
      <w:r w:rsidRPr="00750D77">
        <w:rPr>
          <w:lang w:val="en-CA"/>
        </w:rPr>
        <w:t xml:space="preserve"> a finding of guilt</w:t>
      </w:r>
      <w:r>
        <w:rPr>
          <w:lang w:val="en-CA"/>
        </w:rPr>
        <w:t xml:space="preserve"> </w:t>
      </w:r>
      <w:r w:rsidRPr="00750D77">
        <w:rPr>
          <w:lang w:val="en-CA"/>
        </w:rPr>
        <w:t>beyond a reasonable doubt</w:t>
      </w:r>
      <w:r w:rsidRPr="00894E75">
        <w:rPr>
          <w:lang w:val="en-CA"/>
        </w:rPr>
        <w:t xml:space="preserve">, </w:t>
      </w:r>
      <w:r>
        <w:rPr>
          <w:lang w:val="en-CA"/>
        </w:rPr>
        <w:t>although it could satisfy that burden upon consideration of other circumstantial evidence</w:t>
      </w:r>
      <w:r w:rsidRPr="00894E75">
        <w:rPr>
          <w:lang w:val="en-CA"/>
        </w:rPr>
        <w:t xml:space="preserve">. </w:t>
      </w:r>
      <w:r>
        <w:rPr>
          <w:lang w:val="en-CA"/>
        </w:rPr>
        <w:t>However, evidence of exclusive opportunity can establish an accused’s guilt beyond a reasonable doubt.</w:t>
      </w:r>
      <w:r>
        <w:rPr>
          <w:rStyle w:val="Appelnotedebasdep"/>
          <w:lang w:val="en-CA"/>
        </w:rPr>
        <w:footnoteReference w:id="59"/>
      </w:r>
    </w:p>
    <w:p w14:paraId="370E97D4" w14:textId="77777777" w:rsidR="00CC0181" w:rsidRPr="00894E75" w:rsidRDefault="00CC0181" w:rsidP="00FC5E99">
      <w:pPr>
        <w:pStyle w:val="Paragraphe"/>
        <w:spacing w:line="280" w:lineRule="exact"/>
        <w:rPr>
          <w:lang w:val="en-CA"/>
        </w:rPr>
      </w:pPr>
      <w:r>
        <w:rPr>
          <w:lang w:val="en-CA"/>
        </w:rPr>
        <w:t>Next</w:t>
      </w:r>
      <w:r w:rsidRPr="00894E75">
        <w:rPr>
          <w:lang w:val="en-CA"/>
        </w:rPr>
        <w:t xml:space="preserve">, </w:t>
      </w:r>
      <w:r>
        <w:rPr>
          <w:lang w:val="en-CA"/>
        </w:rPr>
        <w:t>the prosecution faults the trial judge for having found that [</w:t>
      </w:r>
      <w:r w:rsidRPr="00E575FE">
        <w:rPr>
          <w:smallCaps/>
          <w:lang w:val="en-CA"/>
        </w:rPr>
        <w:t>translation</w:t>
      </w:r>
      <w:r>
        <w:rPr>
          <w:lang w:val="en-CA"/>
        </w:rPr>
        <w:t>] “there was a lack of evidence of motive.”</w:t>
      </w:r>
      <w:r w:rsidRPr="00894E75">
        <w:rPr>
          <w:lang w:val="en-CA"/>
        </w:rPr>
        <w:t xml:space="preserve"> </w:t>
      </w:r>
      <w:r>
        <w:rPr>
          <w:lang w:val="en-CA"/>
        </w:rPr>
        <w:t>The judge did not find that there was no evidence of a financial motive</w:t>
      </w:r>
      <w:r w:rsidRPr="00894E75">
        <w:rPr>
          <w:lang w:val="en-CA"/>
        </w:rPr>
        <w:t xml:space="preserve">. </w:t>
      </w:r>
      <w:r>
        <w:rPr>
          <w:lang w:val="en-CA"/>
        </w:rPr>
        <w:t>He determined, rather, that “</w:t>
      </w:r>
      <w:r w:rsidRPr="00894E75">
        <w:rPr>
          <w:lang w:val="en-CA"/>
        </w:rPr>
        <w:t>[a] close examination of the proof presented to prove a financial motive reveals an extremely weak foundation</w:t>
      </w:r>
      <w:r>
        <w:rPr>
          <w:lang w:val="en-CA"/>
        </w:rPr>
        <w:t>.”</w:t>
      </w:r>
      <w:r>
        <w:rPr>
          <w:rStyle w:val="Appelnotedebasdep"/>
          <w:lang w:val="en-CA"/>
        </w:rPr>
        <w:footnoteReference w:id="60"/>
      </w:r>
      <w:r w:rsidRPr="00894E75">
        <w:rPr>
          <w:lang w:val="en-CA"/>
        </w:rPr>
        <w:t xml:space="preserve"> </w:t>
      </w:r>
      <w:r>
        <w:rPr>
          <w:lang w:val="en-CA"/>
        </w:rPr>
        <w:t xml:space="preserve">However, an appellate court cannot intervene simply because it would have made a different assessment of the probative value of </w:t>
      </w:r>
      <w:r w:rsidRPr="00894E75">
        <w:rPr>
          <w:lang w:val="en-CA"/>
        </w:rPr>
        <w:t>e</w:t>
      </w:r>
      <w:r>
        <w:rPr>
          <w:lang w:val="en-CA"/>
        </w:rPr>
        <w:t>vidence of motive.</w:t>
      </w:r>
      <w:r>
        <w:rPr>
          <w:rStyle w:val="Appelnotedebasdep"/>
          <w:lang w:val="en-CA"/>
        </w:rPr>
        <w:footnoteReference w:id="61"/>
      </w:r>
      <w:r w:rsidRPr="00894E75">
        <w:rPr>
          <w:lang w:val="en-CA"/>
        </w:rPr>
        <w:t xml:space="preserve"> </w:t>
      </w:r>
      <w:r>
        <w:rPr>
          <w:lang w:val="en-CA"/>
        </w:rPr>
        <w:t>This argument must also fail</w:t>
      </w:r>
      <w:r w:rsidRPr="00894E75">
        <w:rPr>
          <w:lang w:val="en-CA"/>
        </w:rPr>
        <w:t>.</w:t>
      </w:r>
    </w:p>
    <w:p w14:paraId="45E37D4D" w14:textId="77777777" w:rsidR="00CC0181" w:rsidRPr="00894E75" w:rsidRDefault="00CC0181" w:rsidP="00FC5E99">
      <w:pPr>
        <w:pStyle w:val="Paragraphe"/>
        <w:spacing w:line="280" w:lineRule="exact"/>
        <w:rPr>
          <w:lang w:val="en-CA"/>
        </w:rPr>
      </w:pPr>
      <w:r>
        <w:rPr>
          <w:lang w:val="en-CA"/>
        </w:rPr>
        <w:t>Finally, the prosecution suggests that the trial judge made an error similar to that alleged in</w:t>
      </w:r>
      <w:r w:rsidRPr="00894E75">
        <w:rPr>
          <w:lang w:val="en-CA"/>
        </w:rPr>
        <w:t xml:space="preserve"> </w:t>
      </w:r>
      <w:r w:rsidRPr="00894E75">
        <w:rPr>
          <w:i/>
          <w:iCs/>
          <w:lang w:val="en-CA"/>
        </w:rPr>
        <w:t>Rudge</w:t>
      </w:r>
      <w:r w:rsidRPr="005C61E3">
        <w:rPr>
          <w:lang w:val="en-CA"/>
        </w:rPr>
        <w:t>.</w:t>
      </w:r>
      <w:r>
        <w:rPr>
          <w:rStyle w:val="Appelnotedebasdep"/>
          <w:lang w:val="en-CA"/>
        </w:rPr>
        <w:footnoteReference w:id="62"/>
      </w:r>
      <w:r>
        <w:rPr>
          <w:lang w:val="en-CA"/>
        </w:rPr>
        <w:t xml:space="preserve"> In that case, the Court of appeal for Ontario</w:t>
      </w:r>
      <w:r w:rsidRPr="00894E75">
        <w:rPr>
          <w:lang w:val="en-CA"/>
        </w:rPr>
        <w:t xml:space="preserve"> </w:t>
      </w:r>
      <w:r>
        <w:rPr>
          <w:lang w:val="en-CA"/>
        </w:rPr>
        <w:t>held that the trial judge had erred by approaching the evidence in a piecemeal fashion</w:t>
      </w:r>
      <w:r w:rsidRPr="00894E75">
        <w:rPr>
          <w:lang w:val="en-CA"/>
        </w:rPr>
        <w:t xml:space="preserve">. Epstein, </w:t>
      </w:r>
      <w:r>
        <w:rPr>
          <w:lang w:val="en-CA"/>
        </w:rPr>
        <w:t>J.A., writing on behalf of the Court, noted</w:t>
      </w:r>
      <w:r w:rsidRPr="00894E75">
        <w:rPr>
          <w:lang w:val="en-CA"/>
        </w:rPr>
        <w:t>:</w:t>
      </w:r>
    </w:p>
    <w:p w14:paraId="434AD248" w14:textId="77777777" w:rsidR="00CC0181" w:rsidRPr="00894E75" w:rsidRDefault="00CC0181" w:rsidP="00FC5E99">
      <w:pPr>
        <w:pStyle w:val="Citationenretrait"/>
        <w:rPr>
          <w:lang w:val="en-CA"/>
        </w:rPr>
      </w:pPr>
      <w:r w:rsidRPr="00894E75">
        <w:rPr>
          <w:lang w:val="en-CA"/>
        </w:rPr>
        <w:lastRenderedPageBreak/>
        <w:t xml:space="preserve">[T]he errors here arise from the trial judge’s departure from the legally correct approach to the evidence that bears upon the ultimate question of guilt: </w:t>
      </w:r>
      <w:r w:rsidRPr="00894E75">
        <w:rPr>
          <w:i/>
          <w:iCs/>
          <w:lang w:val="en-CA"/>
        </w:rPr>
        <w:t>H. (J.M.)</w:t>
      </w:r>
      <w:r w:rsidRPr="00894E75">
        <w:rPr>
          <w:lang w:val="en-CA"/>
        </w:rPr>
        <w:t xml:space="preserve">, at para. 31; </w:t>
      </w:r>
      <w:r w:rsidRPr="00894E75">
        <w:rPr>
          <w:i/>
          <w:iCs/>
          <w:lang w:val="en-CA"/>
        </w:rPr>
        <w:t>B. (G.)</w:t>
      </w:r>
      <w:r w:rsidRPr="00894E75">
        <w:rPr>
          <w:lang w:val="en-CA"/>
        </w:rPr>
        <w:t>, at paras. 31-39. The strength of the Crown's case lay in the persuasive effect of the totality of the evidence, but the trial judge never considered whether the doubt he amassed, looking separately at Rudge’s response to each part of the Crown’s case, would survive an examination of those explanations considered in the context of the Crown’s case as a whole</w:t>
      </w:r>
      <w:r>
        <w:rPr>
          <w:rStyle w:val="Appelnotedebasdep"/>
          <w:sz w:val="20"/>
          <w:lang w:val="en-CA"/>
        </w:rPr>
        <w:footnoteReference w:id="63"/>
      </w:r>
      <w:r w:rsidRPr="00894E75">
        <w:rPr>
          <w:lang w:val="en-CA"/>
        </w:rPr>
        <w:t>.</w:t>
      </w:r>
    </w:p>
    <w:p w14:paraId="2871EFCC" w14:textId="77777777" w:rsidR="00CC0181" w:rsidRPr="00894E75" w:rsidRDefault="00CC0181" w:rsidP="00FC5E99">
      <w:pPr>
        <w:pStyle w:val="Paragraphe"/>
        <w:spacing w:line="280" w:lineRule="exact"/>
        <w:rPr>
          <w:lang w:val="en-CA"/>
        </w:rPr>
      </w:pPr>
      <w:r>
        <w:rPr>
          <w:lang w:val="en-CA"/>
        </w:rPr>
        <w:t>According to the prosecution, the judge made a similar error by analyzing each item of evidence in isolation and not as whole</w:t>
      </w:r>
      <w:r w:rsidRPr="00894E75">
        <w:rPr>
          <w:lang w:val="en-CA"/>
        </w:rPr>
        <w:t xml:space="preserve">. </w:t>
      </w:r>
      <w:r>
        <w:rPr>
          <w:lang w:val="en-CA"/>
        </w:rPr>
        <w:t>A global analysis of the evidence would have inevitably led the judge to find Mr.</w:t>
      </w:r>
      <w:r w:rsidRPr="00894E75">
        <w:rPr>
          <w:lang w:val="en-CA"/>
        </w:rPr>
        <w:t> Fera</w:t>
      </w:r>
      <w:r>
        <w:rPr>
          <w:lang w:val="en-CA"/>
        </w:rPr>
        <w:t xml:space="preserve"> guilty</w:t>
      </w:r>
      <w:r w:rsidRPr="00894E75">
        <w:rPr>
          <w:lang w:val="en-CA"/>
        </w:rPr>
        <w:t xml:space="preserve">, </w:t>
      </w:r>
      <w:r>
        <w:rPr>
          <w:lang w:val="en-CA"/>
        </w:rPr>
        <w:t>since that was the only reasonable inference</w:t>
      </w:r>
      <w:r w:rsidRPr="00894E75">
        <w:rPr>
          <w:lang w:val="en-CA"/>
        </w:rPr>
        <w:t>.</w:t>
      </w:r>
    </w:p>
    <w:p w14:paraId="36091E35" w14:textId="77777777" w:rsidR="00CC0181" w:rsidRPr="00894E75" w:rsidRDefault="00CC0181" w:rsidP="00FC5E99">
      <w:pPr>
        <w:pStyle w:val="Paragraphe"/>
        <w:spacing w:line="280" w:lineRule="exact"/>
        <w:rPr>
          <w:lang w:val="en-CA"/>
        </w:rPr>
      </w:pPr>
      <w:r>
        <w:rPr>
          <w:lang w:val="en-CA"/>
        </w:rPr>
        <w:t>I have already indicated why a reading of the judgment does not show that the judge assessed the evidence in a piecemeal fashion</w:t>
      </w:r>
      <w:r w:rsidRPr="00894E75">
        <w:rPr>
          <w:lang w:val="en-CA"/>
        </w:rPr>
        <w:t xml:space="preserve">. </w:t>
      </w:r>
      <w:r>
        <w:rPr>
          <w:lang w:val="en-CA"/>
        </w:rPr>
        <w:t>I nevertheless continue the assessment of the arguments presented</w:t>
      </w:r>
      <w:r w:rsidRPr="00894E75">
        <w:rPr>
          <w:lang w:val="en-CA"/>
        </w:rPr>
        <w:t>.</w:t>
      </w:r>
    </w:p>
    <w:p w14:paraId="16D89A78" w14:textId="77777777" w:rsidR="00CC0181" w:rsidRPr="00894E75" w:rsidRDefault="00CC0181" w:rsidP="00FC5E99">
      <w:pPr>
        <w:pStyle w:val="Paragraphe"/>
        <w:spacing w:line="280" w:lineRule="exact"/>
        <w:rPr>
          <w:lang w:val="en-CA"/>
        </w:rPr>
      </w:pPr>
      <w:r>
        <w:rPr>
          <w:lang w:val="en-CA"/>
        </w:rPr>
        <w:t>The prosecution highlights the following items of evidence</w:t>
      </w:r>
      <w:r w:rsidRPr="009B2B88">
        <w:rPr>
          <w:lang w:val="en-CA"/>
        </w:rPr>
        <w:t xml:space="preserve"> </w:t>
      </w:r>
      <w:r>
        <w:rPr>
          <w:lang w:val="en-CA"/>
        </w:rPr>
        <w:t>in particular</w:t>
      </w:r>
      <w:r w:rsidRPr="00894E75">
        <w:rPr>
          <w:lang w:val="en-CA"/>
        </w:rPr>
        <w:t>: 1) </w:t>
      </w:r>
      <w:r>
        <w:rPr>
          <w:lang w:val="en-CA"/>
        </w:rPr>
        <w:t>only one drawer had been taken out of the dresser</w:t>
      </w:r>
      <w:r w:rsidRPr="00894E75">
        <w:rPr>
          <w:lang w:val="en-CA"/>
        </w:rPr>
        <w:t>; 2) </w:t>
      </w:r>
      <w:r>
        <w:rPr>
          <w:lang w:val="en-CA"/>
        </w:rPr>
        <w:t>other searches had not been conducted elsewhere in the house</w:t>
      </w:r>
      <w:r w:rsidRPr="00894E75">
        <w:rPr>
          <w:lang w:val="en-CA"/>
        </w:rPr>
        <w:t>; 3) </w:t>
      </w:r>
      <w:r>
        <w:rPr>
          <w:lang w:val="en-CA"/>
        </w:rPr>
        <w:t>the victim had not sustained defensive wounds at the beginning of the altercation</w:t>
      </w:r>
      <w:r w:rsidRPr="00894E75">
        <w:rPr>
          <w:lang w:val="en-CA"/>
        </w:rPr>
        <w:t>; 4) </w:t>
      </w:r>
      <w:r>
        <w:rPr>
          <w:lang w:val="en-CA"/>
        </w:rPr>
        <w:t>the bedroom door was closed</w:t>
      </w:r>
      <w:r w:rsidRPr="00894E75">
        <w:rPr>
          <w:lang w:val="en-CA"/>
        </w:rPr>
        <w:t>; 5) </w:t>
      </w:r>
      <w:r>
        <w:rPr>
          <w:lang w:val="en-CA"/>
        </w:rPr>
        <w:t>the murderer would have washed his hands in another bathroom</w:t>
      </w:r>
      <w:r w:rsidRPr="00894E75">
        <w:rPr>
          <w:lang w:val="en-CA"/>
        </w:rPr>
        <w:t>; 6) </w:t>
      </w:r>
      <w:r>
        <w:rPr>
          <w:lang w:val="en-CA"/>
        </w:rPr>
        <w:t>the knife in the dishwasher matched the type of weapon used</w:t>
      </w:r>
      <w:r w:rsidRPr="00894E75">
        <w:rPr>
          <w:lang w:val="en-CA"/>
        </w:rPr>
        <w:t xml:space="preserve">; </w:t>
      </w:r>
      <w:r>
        <w:rPr>
          <w:lang w:val="en-CA"/>
        </w:rPr>
        <w:t>and</w:t>
      </w:r>
      <w:r w:rsidRPr="00894E75">
        <w:rPr>
          <w:lang w:val="en-CA"/>
        </w:rPr>
        <w:t xml:space="preserve"> 7) </w:t>
      </w:r>
      <w:r>
        <w:rPr>
          <w:lang w:val="en-CA"/>
        </w:rPr>
        <w:t>the attack was especially brutal, even though the victim did not have any known enemies</w:t>
      </w:r>
      <w:r w:rsidRPr="00894E75">
        <w:rPr>
          <w:lang w:val="en-CA"/>
        </w:rPr>
        <w:t>.</w:t>
      </w:r>
    </w:p>
    <w:p w14:paraId="0EAA9E73" w14:textId="77777777" w:rsidR="00CC0181" w:rsidRPr="00894E75" w:rsidRDefault="00CC0181" w:rsidP="00FC5E99">
      <w:pPr>
        <w:pStyle w:val="Paragraphe"/>
        <w:spacing w:line="280" w:lineRule="exact"/>
        <w:rPr>
          <w:lang w:val="en-CA"/>
        </w:rPr>
      </w:pPr>
      <w:r>
        <w:rPr>
          <w:lang w:val="en-CA"/>
        </w:rPr>
        <w:t>According to the prosecution, the above items of evidence, assessed with the surrounding evidence, could have and should have let to a guilty verdict</w:t>
      </w:r>
      <w:r w:rsidRPr="00894E75">
        <w:rPr>
          <w:lang w:val="en-CA"/>
        </w:rPr>
        <w:t>.</w:t>
      </w:r>
    </w:p>
    <w:p w14:paraId="428D65BD" w14:textId="77777777" w:rsidR="00CC0181" w:rsidRPr="00894E75" w:rsidRDefault="00CC0181" w:rsidP="00FC5E99">
      <w:pPr>
        <w:pStyle w:val="Paragraphe"/>
        <w:spacing w:line="280" w:lineRule="exact"/>
        <w:rPr>
          <w:lang w:val="en-CA"/>
        </w:rPr>
      </w:pPr>
      <w:r>
        <w:rPr>
          <w:lang w:val="en-CA"/>
        </w:rPr>
        <w:t>That is not the role of an appellate court</w:t>
      </w:r>
      <w:r w:rsidRPr="00894E75">
        <w:rPr>
          <w:lang w:val="en-CA"/>
        </w:rPr>
        <w:t xml:space="preserve">. </w:t>
      </w:r>
      <w:r>
        <w:rPr>
          <w:lang w:val="en-CA"/>
        </w:rPr>
        <w:t>I reject the prosecution’s invitation to re-evaluate the evidence, which is in the same vein as that suggested by the first ground of appeal</w:t>
      </w:r>
      <w:r w:rsidRPr="00894E75">
        <w:rPr>
          <w:lang w:val="en-CA"/>
        </w:rPr>
        <w:t>.</w:t>
      </w:r>
    </w:p>
    <w:p w14:paraId="4584D3D5" w14:textId="77777777" w:rsidR="00CC0181" w:rsidRPr="00894E75" w:rsidRDefault="00CC0181" w:rsidP="00CC0181">
      <w:pPr>
        <w:pStyle w:val="Titre4"/>
        <w:numPr>
          <w:ilvl w:val="0"/>
          <w:numId w:val="35"/>
        </w:numPr>
        <w:rPr>
          <w:lang w:val="en-CA"/>
        </w:rPr>
      </w:pPr>
      <w:r w:rsidRPr="003B1153">
        <w:rPr>
          <w:lang w:val="en-CA"/>
        </w:rPr>
        <w:t xml:space="preserve">Did the </w:t>
      </w:r>
      <w:r>
        <w:rPr>
          <w:lang w:val="en-CA"/>
        </w:rPr>
        <w:t>j</w:t>
      </w:r>
      <w:r w:rsidRPr="003B1153">
        <w:rPr>
          <w:lang w:val="en-CA"/>
        </w:rPr>
        <w:t xml:space="preserve">udge </w:t>
      </w:r>
      <w:r>
        <w:rPr>
          <w:lang w:val="en-CA"/>
        </w:rPr>
        <w:t>e</w:t>
      </w:r>
      <w:r w:rsidRPr="003B1153">
        <w:rPr>
          <w:lang w:val="en-CA"/>
        </w:rPr>
        <w:t xml:space="preserve">rr by </w:t>
      </w:r>
      <w:r>
        <w:rPr>
          <w:lang w:val="en-CA"/>
        </w:rPr>
        <w:t>b</w:t>
      </w:r>
      <w:r w:rsidRPr="003B1153">
        <w:rPr>
          <w:lang w:val="en-CA"/>
        </w:rPr>
        <w:t xml:space="preserve">laming the </w:t>
      </w:r>
      <w:r>
        <w:rPr>
          <w:lang w:val="en-CA"/>
        </w:rPr>
        <w:t>prosecution</w:t>
      </w:r>
      <w:r w:rsidRPr="003B1153">
        <w:rPr>
          <w:lang w:val="en-CA"/>
        </w:rPr>
        <w:t xml:space="preserve"> for not having led </w:t>
      </w:r>
      <w:r>
        <w:rPr>
          <w:lang w:val="en-CA"/>
        </w:rPr>
        <w:t>otherwise i</w:t>
      </w:r>
      <w:r w:rsidRPr="003B1153">
        <w:rPr>
          <w:lang w:val="en-CA"/>
        </w:rPr>
        <w:t xml:space="preserve">nadmissible </w:t>
      </w:r>
      <w:r>
        <w:rPr>
          <w:lang w:val="en-CA"/>
        </w:rPr>
        <w:t>b</w:t>
      </w:r>
      <w:r w:rsidRPr="003B1153">
        <w:rPr>
          <w:lang w:val="en-CA"/>
        </w:rPr>
        <w:t xml:space="preserve">ad </w:t>
      </w:r>
      <w:r>
        <w:rPr>
          <w:lang w:val="en-CA"/>
        </w:rPr>
        <w:t>c</w:t>
      </w:r>
      <w:r w:rsidRPr="003B1153">
        <w:rPr>
          <w:lang w:val="en-CA"/>
        </w:rPr>
        <w:t xml:space="preserve">haracter </w:t>
      </w:r>
      <w:r>
        <w:rPr>
          <w:lang w:val="en-CA"/>
        </w:rPr>
        <w:t>e</w:t>
      </w:r>
      <w:r w:rsidRPr="003B1153">
        <w:rPr>
          <w:lang w:val="en-CA"/>
        </w:rPr>
        <w:t>vidence</w:t>
      </w:r>
      <w:r w:rsidRPr="00894E75">
        <w:rPr>
          <w:lang w:val="en-CA"/>
        </w:rPr>
        <w:t>?</w:t>
      </w:r>
    </w:p>
    <w:p w14:paraId="13BF79DC" w14:textId="77777777" w:rsidR="00CC0181" w:rsidRPr="00894E75" w:rsidRDefault="00CC0181" w:rsidP="00FC5E99">
      <w:pPr>
        <w:pStyle w:val="Paragraphe"/>
        <w:spacing w:line="280" w:lineRule="exact"/>
        <w:rPr>
          <w:lang w:val="en-CA"/>
        </w:rPr>
      </w:pPr>
      <w:r>
        <w:rPr>
          <w:lang w:val="en-CA"/>
        </w:rPr>
        <w:t>I will consider and deal with this ground briefly. The prosecution faults the judge for having imposed an additional evidentiary burden on it, i.e, to prove</w:t>
      </w:r>
      <w:r w:rsidRPr="00894E75">
        <w:rPr>
          <w:lang w:val="en-CA"/>
        </w:rPr>
        <w:t xml:space="preserve"> M</w:t>
      </w:r>
      <w:r>
        <w:rPr>
          <w:lang w:val="en-CA"/>
        </w:rPr>
        <w:t>r</w:t>
      </w:r>
      <w:r w:rsidRPr="00894E75">
        <w:rPr>
          <w:lang w:val="en-CA"/>
        </w:rPr>
        <w:t>. Fera</w:t>
      </w:r>
      <w:r>
        <w:rPr>
          <w:lang w:val="en-CA"/>
        </w:rPr>
        <w:t>’s bad character</w:t>
      </w:r>
      <w:r w:rsidRPr="00894E75">
        <w:rPr>
          <w:lang w:val="en-CA"/>
        </w:rPr>
        <w:t>.</w:t>
      </w:r>
    </w:p>
    <w:p w14:paraId="33B29A7B" w14:textId="77777777" w:rsidR="00CC0181" w:rsidRPr="00894E75" w:rsidRDefault="00CC0181" w:rsidP="00FC5E99">
      <w:pPr>
        <w:pStyle w:val="Paragraphe"/>
        <w:spacing w:line="280" w:lineRule="exact"/>
        <w:rPr>
          <w:lang w:val="en-CA"/>
        </w:rPr>
      </w:pPr>
      <w:r>
        <w:rPr>
          <w:lang w:val="en-CA"/>
        </w:rPr>
        <w:t>That error was all the more serious, it submits, given that such evidence is presumptively inadmissible</w:t>
      </w:r>
      <w:r w:rsidRPr="00894E75">
        <w:rPr>
          <w:lang w:val="en-CA"/>
        </w:rPr>
        <w:t xml:space="preserve">. </w:t>
      </w:r>
      <w:r>
        <w:rPr>
          <w:lang w:val="en-CA"/>
        </w:rPr>
        <w:t>Indeed, as</w:t>
      </w:r>
      <w:r w:rsidRPr="00894E75">
        <w:rPr>
          <w:lang w:val="en-CA"/>
        </w:rPr>
        <w:t xml:space="preserve"> M</w:t>
      </w:r>
      <w:r>
        <w:rPr>
          <w:lang w:val="en-CA"/>
        </w:rPr>
        <w:t>r</w:t>
      </w:r>
      <w:r w:rsidRPr="00894E75">
        <w:rPr>
          <w:lang w:val="en-CA"/>
        </w:rPr>
        <w:t xml:space="preserve">. Fera </w:t>
      </w:r>
      <w:r>
        <w:rPr>
          <w:lang w:val="en-CA"/>
        </w:rPr>
        <w:t xml:space="preserve">had not sought to invoke his good </w:t>
      </w:r>
      <w:r>
        <w:rPr>
          <w:lang w:val="en-CA"/>
        </w:rPr>
        <w:lastRenderedPageBreak/>
        <w:t>reputation or lead evidence of his good character, the prosecution could not adduce evidence of his bad character</w:t>
      </w:r>
      <w:r w:rsidRPr="00894E75">
        <w:rPr>
          <w:lang w:val="en-CA"/>
        </w:rPr>
        <w:t>.</w:t>
      </w:r>
    </w:p>
    <w:p w14:paraId="65DD24F1" w14:textId="77777777" w:rsidR="00CC0181" w:rsidRPr="00894E75" w:rsidRDefault="00CC0181" w:rsidP="00FC5E99">
      <w:pPr>
        <w:pStyle w:val="Paragraphe"/>
        <w:spacing w:after="0" w:line="280" w:lineRule="exact"/>
        <w:rPr>
          <w:lang w:val="en-CA"/>
        </w:rPr>
      </w:pPr>
      <w:r>
        <w:rPr>
          <w:lang w:val="en-CA"/>
        </w:rPr>
        <w:t>In his judgment</w:t>
      </w:r>
      <w:r w:rsidRPr="00894E75">
        <w:rPr>
          <w:lang w:val="en-CA"/>
        </w:rPr>
        <w:t>, Brunton</w:t>
      </w:r>
      <w:r>
        <w:rPr>
          <w:lang w:val="en-CA"/>
        </w:rPr>
        <w:t>, J.</w:t>
      </w:r>
      <w:r w:rsidRPr="00894E75">
        <w:rPr>
          <w:lang w:val="en-CA"/>
        </w:rPr>
        <w:t xml:space="preserve"> note</w:t>
      </w:r>
      <w:r>
        <w:rPr>
          <w:lang w:val="en-CA"/>
        </w:rPr>
        <w:t>d</w:t>
      </w:r>
      <w:r w:rsidRPr="00894E75">
        <w:rPr>
          <w:lang w:val="en-CA"/>
        </w:rPr>
        <w:t xml:space="preserve"> </w:t>
      </w:r>
      <w:r>
        <w:rPr>
          <w:lang w:val="en-CA"/>
        </w:rPr>
        <w:t>the following</w:t>
      </w:r>
      <w:r w:rsidRPr="00894E75">
        <w:rPr>
          <w:lang w:val="en-CA"/>
        </w:rPr>
        <w:t>:</w:t>
      </w:r>
    </w:p>
    <w:p w14:paraId="6FDF1D98" w14:textId="77777777" w:rsidR="00CC0181" w:rsidRPr="00894E75" w:rsidRDefault="00CC0181" w:rsidP="00FC5E99">
      <w:pPr>
        <w:pStyle w:val="Citationenretrait"/>
        <w:rPr>
          <w:lang w:val="en-CA"/>
        </w:rPr>
      </w:pPr>
      <w:r w:rsidRPr="00894E75">
        <w:rPr>
          <w:lang w:val="en-CA"/>
        </w:rPr>
        <w:t>[I]t makes no sense that Mr. Fera decided that his plan B, having failed to secure a loan from Mr. Trudel, was to kill his wife. The proof reveals that there was enough remaining equity in the family residence to pay off all of the family’s and Mr. Fera’s debts and to have a tidy lump sum available to make a down payment to purchase a new home. It makes no sense that a man who, according to the proof, was in an ordinary, loving marriage wherein there was no evidence of arguments or violence, would suddenly viciously murder his wife. There was no evidence to explain the cruelty which Mr. Fera would have had to have exhibited by staging the discovery of Nadia by her 70-year old mother</w:t>
      </w:r>
      <w:r>
        <w:rPr>
          <w:lang w:val="en-CA"/>
        </w:rPr>
        <w:t>.</w:t>
      </w:r>
      <w:r>
        <w:rPr>
          <w:rStyle w:val="Appelnotedebasdep"/>
          <w:sz w:val="20"/>
          <w:lang w:val="en-CA"/>
        </w:rPr>
        <w:footnoteReference w:id="64"/>
      </w:r>
    </w:p>
    <w:p w14:paraId="5D7F4D93" w14:textId="77777777" w:rsidR="00CC0181" w:rsidRPr="00894E75" w:rsidRDefault="00CC0181" w:rsidP="00FC5E99">
      <w:pPr>
        <w:pStyle w:val="Paragraphe"/>
        <w:spacing w:line="280" w:lineRule="exact"/>
        <w:rPr>
          <w:lang w:val="en-CA"/>
        </w:rPr>
      </w:pPr>
      <w:r>
        <w:rPr>
          <w:lang w:val="en-CA"/>
        </w:rPr>
        <w:t>In my opinion, the judge did not reproach the prosecution for failing to prove</w:t>
      </w:r>
      <w:r w:rsidRPr="00894E75">
        <w:rPr>
          <w:lang w:val="en-CA"/>
        </w:rPr>
        <w:t xml:space="preserve"> M</w:t>
      </w:r>
      <w:r>
        <w:rPr>
          <w:lang w:val="en-CA"/>
        </w:rPr>
        <w:t>r</w:t>
      </w:r>
      <w:r w:rsidRPr="00894E75">
        <w:rPr>
          <w:lang w:val="en-CA"/>
        </w:rPr>
        <w:t>. Fera</w:t>
      </w:r>
      <w:r>
        <w:rPr>
          <w:lang w:val="en-CA"/>
        </w:rPr>
        <w:t>’s bad character</w:t>
      </w:r>
      <w:r w:rsidRPr="00894E75">
        <w:rPr>
          <w:lang w:val="en-CA"/>
        </w:rPr>
        <w:t xml:space="preserve">. </w:t>
      </w:r>
      <w:r>
        <w:rPr>
          <w:lang w:val="en-CA"/>
        </w:rPr>
        <w:t>Rather, he considered as being improbable the theory of guilt in light of the circumstances disclosed by the evidence led at trial</w:t>
      </w:r>
      <w:r w:rsidRPr="00894E75">
        <w:rPr>
          <w:lang w:val="en-CA"/>
        </w:rPr>
        <w:t>.</w:t>
      </w:r>
    </w:p>
    <w:p w14:paraId="77CFD5E4" w14:textId="77777777" w:rsidR="00CC0181" w:rsidRPr="00894E75" w:rsidRDefault="00CC0181" w:rsidP="00FC5E99">
      <w:pPr>
        <w:pStyle w:val="Paragraphe"/>
        <w:spacing w:line="280" w:lineRule="exact"/>
        <w:rPr>
          <w:lang w:val="en-CA"/>
        </w:rPr>
      </w:pPr>
      <w:r>
        <w:rPr>
          <w:lang w:val="en-CA"/>
        </w:rPr>
        <w:t>In a criminal trial</w:t>
      </w:r>
      <w:r w:rsidRPr="00894E75">
        <w:rPr>
          <w:lang w:val="en-CA"/>
        </w:rPr>
        <w:t>,</w:t>
      </w:r>
      <w:r>
        <w:rPr>
          <w:lang w:val="en-CA"/>
        </w:rPr>
        <w:t xml:space="preserve"> the probability or plausibility of testimony or even of the case</w:t>
      </w:r>
      <w:r w:rsidRPr="00894E75">
        <w:rPr>
          <w:lang w:val="en-CA"/>
        </w:rPr>
        <w:t xml:space="preserve"> </w:t>
      </w:r>
      <w:r>
        <w:rPr>
          <w:lang w:val="en-CA"/>
        </w:rPr>
        <w:t>presented by the prosecution constitutes a factor that can be assessed by the judge.</w:t>
      </w:r>
      <w:r>
        <w:rPr>
          <w:rStyle w:val="Appelnotedebasdep"/>
          <w:lang w:val="en-CA"/>
        </w:rPr>
        <w:footnoteReference w:id="65"/>
      </w:r>
    </w:p>
    <w:p w14:paraId="7B4D95B1" w14:textId="77777777" w:rsidR="00CC0181" w:rsidRPr="00894E75" w:rsidRDefault="00CC0181" w:rsidP="00FC5E99">
      <w:pPr>
        <w:pStyle w:val="Paragraphe"/>
        <w:spacing w:line="280" w:lineRule="exact"/>
        <w:rPr>
          <w:lang w:val="en-CA"/>
        </w:rPr>
      </w:pPr>
      <w:r>
        <w:rPr>
          <w:lang w:val="en-CA"/>
        </w:rPr>
        <w:t>In the case at bar</w:t>
      </w:r>
      <w:r w:rsidRPr="00894E75">
        <w:rPr>
          <w:lang w:val="en-CA"/>
        </w:rPr>
        <w:t xml:space="preserve">, </w:t>
      </w:r>
      <w:r>
        <w:rPr>
          <w:lang w:val="en-CA"/>
        </w:rPr>
        <w:t>the judge’s findings were based on a rational analysis of the evidence and common sense, which calls for deference where these do not disclose any palpable and overriding errors</w:t>
      </w:r>
      <w:r w:rsidRPr="00894E75">
        <w:rPr>
          <w:lang w:val="en-CA"/>
        </w:rPr>
        <w:t xml:space="preserve">. </w:t>
      </w:r>
      <w:r>
        <w:rPr>
          <w:lang w:val="en-CA"/>
        </w:rPr>
        <w:t>In any event, such errors cannot be invoked on appeal by the prosecution, although “</w:t>
      </w:r>
      <w:r w:rsidRPr="00E4294F">
        <w:rPr>
          <w:lang w:val="en-CA"/>
        </w:rPr>
        <w:t>a trial judge’s use of common sense will be vulnerable to appellate review because it discloses recognized errors of law</w:t>
      </w:r>
      <w:r>
        <w:rPr>
          <w:lang w:val="en-CA"/>
        </w:rPr>
        <w:t>.”</w:t>
      </w:r>
      <w:r>
        <w:rPr>
          <w:rStyle w:val="Appelnotedebasdep"/>
          <w:lang w:val="en-CA"/>
        </w:rPr>
        <w:footnoteReference w:id="66"/>
      </w:r>
      <w:r w:rsidRPr="00894E75">
        <w:rPr>
          <w:lang w:val="en-CA"/>
        </w:rPr>
        <w:t xml:space="preserve"> </w:t>
      </w:r>
      <w:r>
        <w:rPr>
          <w:lang w:val="en-CA"/>
        </w:rPr>
        <w:t>Because I do not detect any such error in this case, this ground must also fail</w:t>
      </w:r>
      <w:r w:rsidRPr="00894E75">
        <w:rPr>
          <w:lang w:val="en-CA"/>
        </w:rPr>
        <w:t>.</w:t>
      </w:r>
    </w:p>
    <w:p w14:paraId="6A74AFE5" w14:textId="77777777" w:rsidR="00CC0181" w:rsidRPr="00894E75" w:rsidRDefault="00CC0181" w:rsidP="00FC5E99">
      <w:pPr>
        <w:pStyle w:val="Paragraphe"/>
        <w:spacing w:line="280" w:lineRule="exact"/>
        <w:rPr>
          <w:lang w:val="en-CA"/>
        </w:rPr>
      </w:pPr>
      <w:r>
        <w:rPr>
          <w:lang w:val="en-CA"/>
        </w:rPr>
        <w:t>The judge was entitled to find, in light of the evidence heard, that it was implausible that Mr. Fera committed the crime in the manner proposed by the prosecution</w:t>
      </w:r>
      <w:r w:rsidRPr="00894E75">
        <w:rPr>
          <w:lang w:val="en-CA"/>
        </w:rPr>
        <w:t>.</w:t>
      </w:r>
    </w:p>
    <w:p w14:paraId="198CC321" w14:textId="77777777" w:rsidR="00CC0181" w:rsidRPr="00894E75" w:rsidRDefault="00CC0181" w:rsidP="00FC5E99">
      <w:pPr>
        <w:pStyle w:val="Paragraphe"/>
        <w:spacing w:line="280" w:lineRule="exact"/>
        <w:rPr>
          <w:lang w:val="en-CA"/>
        </w:rPr>
      </w:pPr>
      <w:r>
        <w:rPr>
          <w:bCs/>
          <w:szCs w:val="24"/>
          <w:lang w:val="en-CA"/>
        </w:rPr>
        <w:t>For all these reasons, I would dismiss the appeal</w:t>
      </w:r>
      <w:r w:rsidRPr="00894E75">
        <w:rPr>
          <w:bCs/>
          <w:szCs w:val="24"/>
          <w:lang w:val="en-CA"/>
        </w:rPr>
        <w:t>.</w:t>
      </w:r>
    </w:p>
    <w:tbl>
      <w:tblPr>
        <w:tblW w:w="0" w:type="auto"/>
        <w:tblLayout w:type="fixed"/>
        <w:tblCellMar>
          <w:left w:w="0" w:type="dxa"/>
          <w:right w:w="0" w:type="dxa"/>
        </w:tblCellMar>
        <w:tblLook w:val="0000" w:firstRow="0" w:lastRow="0" w:firstColumn="0" w:lastColumn="0" w:noHBand="0" w:noVBand="0"/>
      </w:tblPr>
      <w:tblGrid>
        <w:gridCol w:w="4735"/>
        <w:gridCol w:w="4625"/>
      </w:tblGrid>
      <w:tr w:rsidR="00CC0181" w14:paraId="084DC9B9" w14:textId="77777777" w:rsidTr="009D2FF3">
        <w:trPr>
          <w:cantSplit/>
          <w:trHeight w:val="513"/>
        </w:trPr>
        <w:tc>
          <w:tcPr>
            <w:tcW w:w="9360" w:type="dxa"/>
            <w:gridSpan w:val="2"/>
          </w:tcPr>
          <w:p w14:paraId="482681C9" w14:textId="77777777" w:rsidR="00CC0181" w:rsidRPr="00894E75" w:rsidRDefault="00CC0181" w:rsidP="009D2FF3">
            <w:pPr>
              <w:rPr>
                <w:lang w:val="en-CA"/>
              </w:rPr>
            </w:pPr>
          </w:p>
        </w:tc>
      </w:tr>
      <w:tr w:rsidR="00CC0181" w14:paraId="4CCF880C" w14:textId="77777777" w:rsidTr="009D2FF3">
        <w:trPr>
          <w:cantSplit/>
          <w:trHeight w:val="277"/>
        </w:trPr>
        <w:tc>
          <w:tcPr>
            <w:tcW w:w="4735" w:type="dxa"/>
            <w:vMerge w:val="restart"/>
          </w:tcPr>
          <w:p w14:paraId="2B407F8C" w14:textId="77777777" w:rsidR="00CC0181" w:rsidRPr="00894E75" w:rsidRDefault="00CC0181" w:rsidP="009D2FF3">
            <w:pPr>
              <w:rPr>
                <w:lang w:val="en-CA"/>
              </w:rPr>
            </w:pPr>
          </w:p>
        </w:tc>
        <w:tc>
          <w:tcPr>
            <w:tcW w:w="4625" w:type="dxa"/>
            <w:tcBorders>
              <w:bottom w:val="single" w:sz="8" w:space="0" w:color="auto"/>
            </w:tcBorders>
          </w:tcPr>
          <w:p w14:paraId="6469E052" w14:textId="77777777" w:rsidR="00CC0181" w:rsidRPr="00894E75" w:rsidRDefault="00CC0181" w:rsidP="009D2FF3">
            <w:pPr>
              <w:rPr>
                <w:lang w:val="en-CA"/>
              </w:rPr>
            </w:pPr>
          </w:p>
        </w:tc>
      </w:tr>
      <w:tr w:rsidR="00CC0181" w14:paraId="415A11B5" w14:textId="77777777" w:rsidTr="009D2FF3">
        <w:trPr>
          <w:cantSplit/>
          <w:trHeight w:val="276"/>
        </w:trPr>
        <w:tc>
          <w:tcPr>
            <w:tcW w:w="4735" w:type="dxa"/>
            <w:vMerge/>
          </w:tcPr>
          <w:p w14:paraId="50A32187" w14:textId="77777777" w:rsidR="00CC0181" w:rsidRPr="00894E75" w:rsidRDefault="00CC0181" w:rsidP="009D2FF3">
            <w:pPr>
              <w:rPr>
                <w:lang w:val="en-CA"/>
              </w:rPr>
            </w:pPr>
          </w:p>
        </w:tc>
        <w:tc>
          <w:tcPr>
            <w:tcW w:w="4625" w:type="dxa"/>
          </w:tcPr>
          <w:p w14:paraId="1D4A2AD6" w14:textId="77777777" w:rsidR="00CC0181" w:rsidRPr="008A43F5" w:rsidRDefault="00CC0181" w:rsidP="009D2FF3">
            <w:r>
              <w:rPr>
                <w:bCs/>
                <w:lang w:val="en-CA"/>
              </w:rPr>
              <w:t>GUY COURNOYER, J.A.</w:t>
            </w:r>
          </w:p>
        </w:tc>
      </w:tr>
    </w:tbl>
    <w:p w14:paraId="37662EE9" w14:textId="77777777" w:rsidR="00CC0181" w:rsidRDefault="00CC0181" w:rsidP="0015559D"/>
    <w:sectPr w:rsidR="00CC0181" w:rsidSect="00CC0181">
      <w:headerReference w:type="default" r:id="rId9"/>
      <w:footerReference w:type="default" r:id="rId10"/>
      <w:footnotePr>
        <w:numRestart w:val="eachSect"/>
      </w:footnotePr>
      <w:pgSz w:w="12242" w:h="15842" w:code="1"/>
      <w:pgMar w:top="1440" w:right="1008" w:bottom="1440" w:left="1872" w:header="1440" w:footer="792" w:gutter="0"/>
      <w:pgNumType w:start="1"/>
      <w:cols w:space="720"/>
      <w:formProt w:val="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FFBA2" w14:textId="77777777" w:rsidR="00C41729" w:rsidRDefault="00C41729">
      <w:pPr>
        <w:spacing w:line="240" w:lineRule="auto"/>
      </w:pPr>
      <w:r>
        <w:separator/>
      </w:r>
    </w:p>
  </w:endnote>
  <w:endnote w:type="continuationSeparator" w:id="0">
    <w:p w14:paraId="7806EC23" w14:textId="77777777" w:rsidR="00C41729" w:rsidRDefault="00C4172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BoldMT">
    <w:altName w:val="Arial"/>
    <w:panose1 w:val="00000000000000000000"/>
    <w:charset w:val="00"/>
    <w:family w:val="swiss"/>
    <w:notTrueType/>
    <w:pitch w:val="default"/>
    <w:sig w:usb0="00000003" w:usb1="00000000" w:usb2="00000000" w:usb3="00000000" w:csb0="00000001" w:csb1="00000000"/>
  </w:font>
  <w:font w:name="Arial-ItalicMT">
    <w:altName w:val="Arial"/>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3B10A" w14:textId="77777777" w:rsidR="00CC0181" w:rsidRPr="00A864A1" w:rsidRDefault="00CC0181" w:rsidP="00A864A1">
    <w:pPr>
      <w:pStyle w:val="Pieddepage"/>
      <w:jc w:val="right"/>
      <w:rPr>
        <w:lang w:val="en-CA"/>
      </w:rPr>
    </w:pPr>
    <w:r w:rsidRPr="00A864A1">
      <w:rPr>
        <w:lang w:val="en-CA"/>
      </w:rPr>
      <w:t>English tra</w:t>
    </w:r>
    <w:r>
      <w:rPr>
        <w:lang w:val="en-CA"/>
      </w:rPr>
      <w:t>n</w:t>
    </w:r>
    <w:r w:rsidRPr="00A864A1">
      <w:rPr>
        <w:lang w:val="en-CA"/>
      </w:rPr>
      <w:t>slation of the judgment o</w:t>
    </w:r>
    <w:r>
      <w:rPr>
        <w:lang w:val="en-CA"/>
      </w:rPr>
      <w:t>f the Court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6F26D" w14:textId="77777777" w:rsidR="00C41729" w:rsidRDefault="00C41729">
      <w:r>
        <w:separator/>
      </w:r>
    </w:p>
  </w:footnote>
  <w:footnote w:type="continuationSeparator" w:id="0">
    <w:p w14:paraId="6DB50346" w14:textId="77777777" w:rsidR="00C41729" w:rsidRDefault="00C41729">
      <w:r>
        <w:continuationSeparator/>
      </w:r>
    </w:p>
  </w:footnote>
  <w:footnote w:id="1">
    <w:p w14:paraId="66227889" w14:textId="77777777" w:rsidR="00CC0181" w:rsidRPr="00694B30" w:rsidRDefault="00CC0181" w:rsidP="003D433F">
      <w:pPr>
        <w:pStyle w:val="Notedebasdepage"/>
        <w:rPr>
          <w:rFonts w:cs="Arial"/>
        </w:rPr>
      </w:pPr>
      <w:r w:rsidRPr="00694B30">
        <w:rPr>
          <w:rStyle w:val="Appelnotedebasdep"/>
          <w:rFonts w:cs="Arial"/>
        </w:rPr>
        <w:footnoteRef/>
      </w:r>
      <w:r w:rsidRPr="00CA1F19">
        <w:rPr>
          <w:rFonts w:cs="Arial"/>
        </w:rPr>
        <w:t xml:space="preserve"> </w:t>
      </w:r>
      <w:r w:rsidRPr="00CA1F19">
        <w:rPr>
          <w:rFonts w:cs="Arial"/>
        </w:rPr>
        <w:tab/>
      </w:r>
      <w:r w:rsidRPr="00CA1F19">
        <w:rPr>
          <w:rFonts w:cs="Arial"/>
          <w:i/>
          <w:iCs/>
        </w:rPr>
        <w:t>R. c. Fera</w:t>
      </w:r>
      <w:r w:rsidRPr="00CA1F19">
        <w:rPr>
          <w:rFonts w:cs="Arial"/>
        </w:rPr>
        <w:t>, 2021 QCCS 5209.</w:t>
      </w:r>
    </w:p>
  </w:footnote>
  <w:footnote w:id="2">
    <w:p w14:paraId="5376FC15" w14:textId="77777777" w:rsidR="00CC0181" w:rsidRPr="00C44326" w:rsidRDefault="00CC0181" w:rsidP="003D433F">
      <w:pPr>
        <w:pStyle w:val="Notedebasdepage"/>
      </w:pPr>
      <w:r>
        <w:rPr>
          <w:rStyle w:val="Appelnotedebasdep"/>
        </w:rPr>
        <w:footnoteRef/>
      </w:r>
      <w:r>
        <w:t xml:space="preserve"> </w:t>
      </w:r>
      <w:r>
        <w:tab/>
      </w:r>
      <w:r w:rsidRPr="00CA1F19">
        <w:rPr>
          <w:rFonts w:cs="Arial"/>
          <w:i/>
          <w:iCs/>
        </w:rPr>
        <w:t>R. c. Fera</w:t>
      </w:r>
      <w:r w:rsidRPr="00CA1F19">
        <w:rPr>
          <w:rFonts w:cs="Arial"/>
        </w:rPr>
        <w:t>, 2021 QCCS 5209</w:t>
      </w:r>
      <w:r>
        <w:rPr>
          <w:rFonts w:cs="Arial"/>
        </w:rPr>
        <w:t>,</w:t>
      </w:r>
      <w:r>
        <w:t xml:space="preserve"> paras. </w:t>
      </w:r>
      <w:r w:rsidRPr="00C44326">
        <w:t>2-3.</w:t>
      </w:r>
    </w:p>
  </w:footnote>
  <w:footnote w:id="3">
    <w:p w14:paraId="16B18314" w14:textId="77777777" w:rsidR="00CC0181" w:rsidRPr="00C44326" w:rsidRDefault="00CC0181" w:rsidP="003D433F">
      <w:pPr>
        <w:pStyle w:val="Notedebasdepage"/>
      </w:pPr>
      <w:r>
        <w:rPr>
          <w:rStyle w:val="Appelnotedebasdep"/>
        </w:rPr>
        <w:footnoteRef/>
      </w:r>
      <w:r w:rsidRPr="00C44326">
        <w:t xml:space="preserve"> </w:t>
      </w:r>
      <w:r w:rsidRPr="00C44326">
        <w:tab/>
      </w:r>
      <w:r w:rsidRPr="00C44326">
        <w:rPr>
          <w:rFonts w:cs="Arial"/>
          <w:i/>
          <w:iCs/>
        </w:rPr>
        <w:t>Id.</w:t>
      </w:r>
      <w:r w:rsidRPr="00C44326">
        <w:t>, para. 4.</w:t>
      </w:r>
    </w:p>
  </w:footnote>
  <w:footnote w:id="4">
    <w:p w14:paraId="32FE5AC0" w14:textId="77777777" w:rsidR="00CC0181" w:rsidRPr="00C44326" w:rsidRDefault="00CC0181" w:rsidP="003D433F">
      <w:pPr>
        <w:pStyle w:val="Notedebasdepage"/>
      </w:pPr>
      <w:r>
        <w:rPr>
          <w:rStyle w:val="Appelnotedebasdep"/>
        </w:rPr>
        <w:footnoteRef/>
      </w:r>
      <w:r w:rsidRPr="00C44326">
        <w:t xml:space="preserve"> </w:t>
      </w:r>
      <w:r w:rsidRPr="00C44326">
        <w:tab/>
      </w:r>
      <w:r w:rsidRPr="00C44326">
        <w:rPr>
          <w:i/>
          <w:iCs/>
        </w:rPr>
        <w:t>Id.</w:t>
      </w:r>
      <w:r w:rsidRPr="00C44326">
        <w:t>, para. 6.</w:t>
      </w:r>
    </w:p>
  </w:footnote>
  <w:footnote w:id="5">
    <w:p w14:paraId="62EC5256" w14:textId="77777777" w:rsidR="00CC0181" w:rsidRPr="00265DB9" w:rsidRDefault="00CC0181" w:rsidP="003D433F">
      <w:pPr>
        <w:pStyle w:val="Notedebasdepage"/>
      </w:pPr>
      <w:r>
        <w:rPr>
          <w:rStyle w:val="Appelnotedebasdep"/>
        </w:rPr>
        <w:footnoteRef/>
      </w:r>
      <w:r w:rsidRPr="002C0BA9">
        <w:t xml:space="preserve"> </w:t>
      </w:r>
      <w:r w:rsidRPr="002C0BA9">
        <w:tab/>
      </w:r>
      <w:r w:rsidRPr="00CA1F19">
        <w:rPr>
          <w:rFonts w:cs="Arial"/>
          <w:i/>
          <w:iCs/>
        </w:rPr>
        <w:t>R. c. Fera</w:t>
      </w:r>
      <w:r w:rsidRPr="00CA1F19">
        <w:rPr>
          <w:rFonts w:cs="Arial"/>
        </w:rPr>
        <w:t>, 2021 QCCS 5209</w:t>
      </w:r>
      <w:r w:rsidRPr="002C0BA9">
        <w:rPr>
          <w:i/>
          <w:iCs/>
        </w:rPr>
        <w:t>.</w:t>
      </w:r>
      <w:r w:rsidRPr="002C0BA9">
        <w:t xml:space="preserve">, para. </w:t>
      </w:r>
      <w:r w:rsidRPr="00265DB9">
        <w:t>10.</w:t>
      </w:r>
    </w:p>
  </w:footnote>
  <w:footnote w:id="6">
    <w:p w14:paraId="1F1F9E3D" w14:textId="77777777" w:rsidR="00CC0181" w:rsidRPr="00A40455" w:rsidRDefault="00CC0181" w:rsidP="003D433F">
      <w:pPr>
        <w:pStyle w:val="Notedebasdepage"/>
      </w:pPr>
      <w:r>
        <w:rPr>
          <w:rStyle w:val="Appelnotedebasdep"/>
        </w:rPr>
        <w:footnoteRef/>
      </w:r>
      <w:r w:rsidRPr="00A40455">
        <w:t xml:space="preserve"> </w:t>
      </w:r>
      <w:r w:rsidRPr="00A40455">
        <w:tab/>
      </w:r>
      <w:r w:rsidRPr="00A40455">
        <w:rPr>
          <w:i/>
          <w:iCs/>
        </w:rPr>
        <w:t xml:space="preserve">R. </w:t>
      </w:r>
      <w:r>
        <w:rPr>
          <w:i/>
          <w:iCs/>
        </w:rPr>
        <w:t>v</w:t>
      </w:r>
      <w:r w:rsidRPr="00A40455">
        <w:rPr>
          <w:i/>
          <w:iCs/>
        </w:rPr>
        <w:t xml:space="preserve">. </w:t>
      </w:r>
      <w:r w:rsidRPr="00A40455">
        <w:rPr>
          <w:i/>
          <w:iCs/>
        </w:rPr>
        <w:t>Villaroman</w:t>
      </w:r>
      <w:r w:rsidRPr="00A40455">
        <w:t xml:space="preserve">, 2016 </w:t>
      </w:r>
      <w:r w:rsidRPr="00400AF5">
        <w:t xml:space="preserve">SCC 33, [2016] 1 S.C.R. 1000, para. </w:t>
      </w:r>
      <w:r>
        <w:t>30.</w:t>
      </w:r>
    </w:p>
  </w:footnote>
  <w:footnote w:id="7">
    <w:p w14:paraId="1B063A57" w14:textId="77777777" w:rsidR="00CC0181" w:rsidRPr="00E7398B" w:rsidRDefault="00CC0181" w:rsidP="003D433F">
      <w:pPr>
        <w:pStyle w:val="Notedebasdepage"/>
        <w:rPr>
          <w:lang w:val="en-CA"/>
        </w:rPr>
      </w:pPr>
      <w:r>
        <w:rPr>
          <w:rStyle w:val="Appelnotedebasdep"/>
        </w:rPr>
        <w:footnoteRef/>
      </w:r>
      <w:r w:rsidRPr="00A40455">
        <w:t xml:space="preserve"> </w:t>
      </w:r>
      <w:r w:rsidRPr="00A40455">
        <w:tab/>
      </w:r>
      <w:r w:rsidRPr="00CA1F19">
        <w:rPr>
          <w:rFonts w:cs="Arial"/>
          <w:i/>
          <w:iCs/>
        </w:rPr>
        <w:t>R. c. Fera</w:t>
      </w:r>
      <w:r w:rsidRPr="00CA1F19">
        <w:rPr>
          <w:rFonts w:cs="Arial"/>
        </w:rPr>
        <w:t>, 2021 QCCS 5209</w:t>
      </w:r>
      <w:r w:rsidRPr="00A40455">
        <w:t>, par</w:t>
      </w:r>
      <w:r>
        <w:t>as</w:t>
      </w:r>
      <w:r w:rsidRPr="00A40455">
        <w:t xml:space="preserve">. </w:t>
      </w:r>
      <w:r w:rsidRPr="00E7398B">
        <w:rPr>
          <w:lang w:val="en-CA"/>
        </w:rPr>
        <w:t>16-17.</w:t>
      </w:r>
    </w:p>
  </w:footnote>
  <w:footnote w:id="8">
    <w:p w14:paraId="58F8ED93" w14:textId="77777777" w:rsidR="00CC0181" w:rsidRPr="00E7398B" w:rsidRDefault="00CC0181" w:rsidP="003D433F">
      <w:pPr>
        <w:pStyle w:val="Notedebasdepage"/>
        <w:rPr>
          <w:lang w:val="en-CA"/>
        </w:rPr>
      </w:pPr>
      <w:r>
        <w:rPr>
          <w:rStyle w:val="Appelnotedebasdep"/>
        </w:rPr>
        <w:footnoteRef/>
      </w:r>
      <w:r w:rsidRPr="00E7398B">
        <w:rPr>
          <w:lang w:val="en-CA"/>
        </w:rPr>
        <w:t xml:space="preserve"> </w:t>
      </w:r>
      <w:r w:rsidRPr="00E7398B">
        <w:rPr>
          <w:lang w:val="en-CA"/>
        </w:rPr>
        <w:tab/>
      </w:r>
      <w:r w:rsidRPr="00E7398B">
        <w:rPr>
          <w:i/>
          <w:iCs/>
          <w:lang w:val="en-CA"/>
        </w:rPr>
        <w:t>Id.</w:t>
      </w:r>
      <w:r w:rsidRPr="00E7398B">
        <w:rPr>
          <w:lang w:val="en-CA"/>
        </w:rPr>
        <w:t>, para. 29.</w:t>
      </w:r>
    </w:p>
  </w:footnote>
  <w:footnote w:id="9">
    <w:p w14:paraId="60BF15AA" w14:textId="77777777" w:rsidR="00CC0181" w:rsidRPr="00E7398B" w:rsidRDefault="00CC0181" w:rsidP="003D433F">
      <w:pPr>
        <w:pStyle w:val="Notedebasdepage"/>
        <w:rPr>
          <w:lang w:val="en-CA"/>
        </w:rPr>
      </w:pPr>
      <w:r>
        <w:rPr>
          <w:rStyle w:val="Appelnotedebasdep"/>
        </w:rPr>
        <w:footnoteRef/>
      </w:r>
      <w:r w:rsidRPr="00E7398B">
        <w:rPr>
          <w:lang w:val="en-CA"/>
        </w:rPr>
        <w:t xml:space="preserve"> </w:t>
      </w:r>
      <w:r w:rsidRPr="00E7398B">
        <w:rPr>
          <w:lang w:val="en-CA"/>
        </w:rPr>
        <w:tab/>
      </w:r>
      <w:r w:rsidRPr="00E7398B">
        <w:rPr>
          <w:i/>
          <w:iCs/>
          <w:lang w:val="en-CA"/>
        </w:rPr>
        <w:t>Id.</w:t>
      </w:r>
      <w:r w:rsidRPr="00E7398B">
        <w:rPr>
          <w:lang w:val="en-CA"/>
        </w:rPr>
        <w:t>, para. 24.</w:t>
      </w:r>
    </w:p>
  </w:footnote>
  <w:footnote w:id="10">
    <w:p w14:paraId="1DAEFEDD" w14:textId="77777777" w:rsidR="00CC0181" w:rsidRPr="00E7398B" w:rsidRDefault="00CC0181" w:rsidP="003D433F">
      <w:pPr>
        <w:pStyle w:val="Notedebasdepage"/>
        <w:rPr>
          <w:lang w:val="en-CA"/>
        </w:rPr>
      </w:pPr>
      <w:r>
        <w:rPr>
          <w:rStyle w:val="Appelnotedebasdep"/>
        </w:rPr>
        <w:footnoteRef/>
      </w:r>
      <w:r w:rsidRPr="00E7398B">
        <w:rPr>
          <w:lang w:val="en-CA"/>
        </w:rPr>
        <w:t xml:space="preserve"> </w:t>
      </w:r>
      <w:r w:rsidRPr="00E7398B">
        <w:rPr>
          <w:lang w:val="en-CA"/>
        </w:rPr>
        <w:tab/>
      </w:r>
      <w:r w:rsidRPr="00E7398B">
        <w:rPr>
          <w:i/>
          <w:iCs/>
          <w:lang w:val="en-CA"/>
        </w:rPr>
        <w:t>Id.</w:t>
      </w:r>
      <w:r w:rsidRPr="00E7398B">
        <w:rPr>
          <w:lang w:val="en-CA"/>
        </w:rPr>
        <w:t>, para. 21, 25.</w:t>
      </w:r>
    </w:p>
  </w:footnote>
  <w:footnote w:id="11">
    <w:p w14:paraId="5D743189" w14:textId="77777777" w:rsidR="00CC0181" w:rsidRPr="00E7398B" w:rsidRDefault="00CC0181" w:rsidP="003D433F">
      <w:pPr>
        <w:pStyle w:val="Notedebasdepage"/>
        <w:rPr>
          <w:lang w:val="en-CA"/>
        </w:rPr>
      </w:pPr>
      <w:r>
        <w:rPr>
          <w:rStyle w:val="Appelnotedebasdep"/>
        </w:rPr>
        <w:footnoteRef/>
      </w:r>
      <w:r w:rsidRPr="00E7398B">
        <w:rPr>
          <w:lang w:val="en-CA"/>
        </w:rPr>
        <w:t xml:space="preserve"> </w:t>
      </w:r>
      <w:r w:rsidRPr="00E7398B">
        <w:rPr>
          <w:lang w:val="en-CA"/>
        </w:rPr>
        <w:tab/>
      </w:r>
      <w:r w:rsidRPr="00E7398B">
        <w:rPr>
          <w:rFonts w:cs="Arial"/>
          <w:i/>
          <w:iCs/>
          <w:lang w:val="en-CA"/>
        </w:rPr>
        <w:t>Id.</w:t>
      </w:r>
      <w:r w:rsidRPr="00E7398B">
        <w:rPr>
          <w:rFonts w:cs="Arial"/>
          <w:lang w:val="en-CA"/>
        </w:rPr>
        <w:t xml:space="preserve">, </w:t>
      </w:r>
      <w:r w:rsidRPr="00E7398B">
        <w:rPr>
          <w:lang w:val="en-CA"/>
        </w:rPr>
        <w:t>para. 33.</w:t>
      </w:r>
    </w:p>
  </w:footnote>
  <w:footnote w:id="12">
    <w:p w14:paraId="4D9D3906" w14:textId="77777777" w:rsidR="00CC0181" w:rsidRPr="007331EC" w:rsidRDefault="00CC0181" w:rsidP="003D433F">
      <w:pPr>
        <w:pStyle w:val="Notedebasdepage"/>
      </w:pPr>
      <w:r>
        <w:rPr>
          <w:rStyle w:val="Appelnotedebasdep"/>
        </w:rPr>
        <w:footnoteRef/>
      </w:r>
      <w:r w:rsidRPr="00E7398B">
        <w:rPr>
          <w:lang w:val="en-CA"/>
        </w:rPr>
        <w:t xml:space="preserve"> </w:t>
      </w:r>
      <w:r w:rsidRPr="00E7398B">
        <w:rPr>
          <w:lang w:val="en-CA"/>
        </w:rPr>
        <w:tab/>
      </w:r>
      <w:r w:rsidRPr="00E7398B">
        <w:rPr>
          <w:i/>
          <w:iCs/>
          <w:lang w:val="en-CA"/>
        </w:rPr>
        <w:t>Id.</w:t>
      </w:r>
      <w:r w:rsidRPr="00E7398B">
        <w:rPr>
          <w:lang w:val="en-CA"/>
        </w:rPr>
        <w:t xml:space="preserve">, para. 34; Exhibit I-1, paras. </w:t>
      </w:r>
      <w:r w:rsidRPr="007331EC">
        <w:t>39-41.</w:t>
      </w:r>
    </w:p>
  </w:footnote>
  <w:footnote w:id="13">
    <w:p w14:paraId="23A1765F" w14:textId="77777777" w:rsidR="00CC0181" w:rsidRPr="00BD1F7B" w:rsidRDefault="00CC0181" w:rsidP="003D433F">
      <w:pPr>
        <w:pStyle w:val="Notedebasdepage"/>
      </w:pPr>
      <w:r w:rsidRPr="007331EC">
        <w:rPr>
          <w:rStyle w:val="Appelnotedebasdep"/>
        </w:rPr>
        <w:footnoteRef/>
      </w:r>
      <w:r w:rsidRPr="007331EC">
        <w:t xml:space="preserve"> </w:t>
      </w:r>
      <w:r w:rsidRPr="007331EC">
        <w:tab/>
      </w:r>
      <w:r w:rsidRPr="007331EC">
        <w:rPr>
          <w:i/>
          <w:iCs/>
        </w:rPr>
        <w:t>Id.</w:t>
      </w:r>
      <w:r w:rsidRPr="007331EC">
        <w:t>, par</w:t>
      </w:r>
      <w:r>
        <w:t>a</w:t>
      </w:r>
      <w:r w:rsidRPr="007331EC">
        <w:t>. 34</w:t>
      </w:r>
      <w:r>
        <w:t>,</w:t>
      </w:r>
      <w:r w:rsidRPr="007331EC">
        <w:t xml:space="preserve"> 153; </w:t>
      </w:r>
      <w:r>
        <w:t>Exhibit</w:t>
      </w:r>
      <w:r w:rsidRPr="007331EC">
        <w:t xml:space="preserve"> I-1, par</w:t>
      </w:r>
      <w:r>
        <w:t>as</w:t>
      </w:r>
      <w:r w:rsidRPr="007331EC">
        <w:t>. 42-44.</w:t>
      </w:r>
    </w:p>
  </w:footnote>
  <w:footnote w:id="14">
    <w:p w14:paraId="0446D02A" w14:textId="77777777" w:rsidR="00CC0181" w:rsidRPr="007331EC" w:rsidRDefault="00CC0181" w:rsidP="003D433F">
      <w:pPr>
        <w:pStyle w:val="Notedebasdepage"/>
      </w:pPr>
      <w:r>
        <w:rPr>
          <w:rStyle w:val="Appelnotedebasdep"/>
        </w:rPr>
        <w:footnoteRef/>
      </w:r>
      <w:r>
        <w:t xml:space="preserve"> </w:t>
      </w:r>
      <w:r>
        <w:tab/>
      </w:r>
      <w:r>
        <w:rPr>
          <w:i/>
          <w:iCs/>
        </w:rPr>
        <w:t>Id.</w:t>
      </w:r>
      <w:r>
        <w:t>, para. 34; Exhibit I-1, paras. 45-46.</w:t>
      </w:r>
    </w:p>
  </w:footnote>
  <w:footnote w:id="15">
    <w:p w14:paraId="2BAC90D5" w14:textId="77777777" w:rsidR="00CC0181" w:rsidRPr="00FF721E" w:rsidRDefault="00CC0181" w:rsidP="003D433F">
      <w:pPr>
        <w:pStyle w:val="Notedebasdepage"/>
      </w:pPr>
      <w:r w:rsidRPr="00BD1F7B">
        <w:rPr>
          <w:rStyle w:val="Appelnotedebasdep"/>
        </w:rPr>
        <w:footnoteRef/>
      </w:r>
      <w:r w:rsidRPr="00BD1F7B">
        <w:t xml:space="preserve"> </w:t>
      </w:r>
      <w:r w:rsidRPr="00BD1F7B">
        <w:tab/>
      </w:r>
      <w:r w:rsidRPr="00BD1F7B">
        <w:rPr>
          <w:i/>
          <w:iCs/>
        </w:rPr>
        <w:t>Id.</w:t>
      </w:r>
      <w:r w:rsidRPr="00BD1F7B">
        <w:t>, par</w:t>
      </w:r>
      <w:r>
        <w:t>as</w:t>
      </w:r>
      <w:r w:rsidRPr="00BD1F7B">
        <w:t>. 35-36</w:t>
      </w:r>
      <w:r>
        <w:t>,</w:t>
      </w:r>
      <w:r w:rsidRPr="00BD1F7B">
        <w:t xml:space="preserve"> 154</w:t>
      </w:r>
      <w:r>
        <w:t>.</w:t>
      </w:r>
    </w:p>
  </w:footnote>
  <w:footnote w:id="16">
    <w:p w14:paraId="163D105A" w14:textId="77777777" w:rsidR="00CC0181" w:rsidRPr="00FF721E" w:rsidRDefault="00CC0181" w:rsidP="003D433F">
      <w:pPr>
        <w:pStyle w:val="Notedebasdepage"/>
      </w:pPr>
      <w:r>
        <w:rPr>
          <w:rStyle w:val="Appelnotedebasdep"/>
        </w:rPr>
        <w:footnoteRef/>
      </w:r>
      <w:r w:rsidRPr="00FF721E">
        <w:t xml:space="preserve"> </w:t>
      </w:r>
      <w:r w:rsidRPr="00FF721E">
        <w:tab/>
      </w:r>
      <w:r w:rsidRPr="00CA1F19">
        <w:rPr>
          <w:rFonts w:cs="Arial"/>
          <w:i/>
          <w:iCs/>
        </w:rPr>
        <w:t>R. c. Fera</w:t>
      </w:r>
      <w:r w:rsidRPr="00CA1F19">
        <w:rPr>
          <w:rFonts w:cs="Arial"/>
        </w:rPr>
        <w:t>, 2021 QCCS 5209</w:t>
      </w:r>
      <w:r w:rsidRPr="00FF721E">
        <w:t>, par</w:t>
      </w:r>
      <w:r>
        <w:t>as</w:t>
      </w:r>
      <w:r w:rsidRPr="00FF721E">
        <w:t>. 38-48.</w:t>
      </w:r>
    </w:p>
  </w:footnote>
  <w:footnote w:id="17">
    <w:p w14:paraId="3FA8FF6C" w14:textId="77777777" w:rsidR="00CC0181" w:rsidRPr="00FF721E" w:rsidRDefault="00CC0181" w:rsidP="003D433F">
      <w:pPr>
        <w:pStyle w:val="Notedebasdepage"/>
      </w:pPr>
      <w:r>
        <w:rPr>
          <w:rStyle w:val="Appelnotedebasdep"/>
        </w:rPr>
        <w:footnoteRef/>
      </w:r>
      <w:r w:rsidRPr="00FF721E">
        <w:t xml:space="preserve"> </w:t>
      </w:r>
      <w:r w:rsidRPr="00FF721E">
        <w:tab/>
      </w:r>
      <w:r>
        <w:rPr>
          <w:rFonts w:cs="Arial"/>
          <w:i/>
          <w:iCs/>
        </w:rPr>
        <w:t>Id.</w:t>
      </w:r>
      <w:r w:rsidRPr="00FF721E">
        <w:t>, par</w:t>
      </w:r>
      <w:r>
        <w:t>as</w:t>
      </w:r>
      <w:r w:rsidRPr="00FF721E">
        <w:t>. 56-62.</w:t>
      </w:r>
    </w:p>
  </w:footnote>
  <w:footnote w:id="18">
    <w:p w14:paraId="515BAAF3" w14:textId="77777777" w:rsidR="00CC0181" w:rsidRPr="004B4E6A" w:rsidRDefault="00CC0181" w:rsidP="003D433F">
      <w:pPr>
        <w:pStyle w:val="Notedebasdepage"/>
      </w:pPr>
      <w:r>
        <w:rPr>
          <w:rStyle w:val="Appelnotedebasdep"/>
        </w:rPr>
        <w:footnoteRef/>
      </w:r>
      <w:r w:rsidRPr="004B4E6A">
        <w:t xml:space="preserve"> </w:t>
      </w:r>
      <w:r w:rsidRPr="004B4E6A">
        <w:tab/>
      </w:r>
      <w:r w:rsidRPr="004B4E6A">
        <w:rPr>
          <w:i/>
          <w:iCs/>
        </w:rPr>
        <w:t>Id.</w:t>
      </w:r>
      <w:r w:rsidRPr="004B4E6A">
        <w:t>, par</w:t>
      </w:r>
      <w:r>
        <w:t>a</w:t>
      </w:r>
      <w:r w:rsidRPr="004B4E6A">
        <w:t>. 82.</w:t>
      </w:r>
    </w:p>
  </w:footnote>
  <w:footnote w:id="19">
    <w:p w14:paraId="44BA0884" w14:textId="77777777" w:rsidR="00CC0181" w:rsidRPr="00E7398B" w:rsidRDefault="00CC0181" w:rsidP="003D433F">
      <w:pPr>
        <w:pStyle w:val="Notedebasdepage"/>
        <w:rPr>
          <w:lang w:val="en-CA"/>
        </w:rPr>
      </w:pPr>
      <w:r>
        <w:rPr>
          <w:rStyle w:val="Appelnotedebasdep"/>
        </w:rPr>
        <w:footnoteRef/>
      </w:r>
      <w:r w:rsidRPr="004B4E6A">
        <w:t xml:space="preserve"> </w:t>
      </w:r>
      <w:r w:rsidRPr="004B4E6A">
        <w:tab/>
      </w:r>
      <w:r w:rsidRPr="00CA1F19">
        <w:rPr>
          <w:rFonts w:cs="Arial"/>
          <w:i/>
          <w:iCs/>
        </w:rPr>
        <w:t>R. c. Fera</w:t>
      </w:r>
      <w:r w:rsidRPr="00CA1F19">
        <w:rPr>
          <w:rFonts w:cs="Arial"/>
        </w:rPr>
        <w:t>, 2021 QCCS 5209</w:t>
      </w:r>
      <w:r w:rsidRPr="004B4E6A">
        <w:t>, par</w:t>
      </w:r>
      <w:r>
        <w:t>as</w:t>
      </w:r>
      <w:r w:rsidRPr="004B4E6A">
        <w:t xml:space="preserve">. </w:t>
      </w:r>
      <w:r w:rsidRPr="00E7398B">
        <w:rPr>
          <w:lang w:val="en-CA"/>
        </w:rPr>
        <w:t>64-68.</w:t>
      </w:r>
    </w:p>
  </w:footnote>
  <w:footnote w:id="20">
    <w:p w14:paraId="2FE57A6F" w14:textId="77777777" w:rsidR="00CC0181" w:rsidRPr="00E7398B" w:rsidRDefault="00CC0181" w:rsidP="003D433F">
      <w:pPr>
        <w:pStyle w:val="Notedebasdepage"/>
        <w:rPr>
          <w:lang w:val="en-CA"/>
        </w:rPr>
      </w:pPr>
      <w:r>
        <w:rPr>
          <w:rStyle w:val="Appelnotedebasdep"/>
        </w:rPr>
        <w:footnoteRef/>
      </w:r>
      <w:r w:rsidRPr="00E7398B">
        <w:rPr>
          <w:lang w:val="en-CA"/>
        </w:rPr>
        <w:t xml:space="preserve"> </w:t>
      </w:r>
      <w:r w:rsidRPr="00E7398B">
        <w:rPr>
          <w:lang w:val="en-CA"/>
        </w:rPr>
        <w:tab/>
      </w:r>
      <w:r w:rsidRPr="00E7398B">
        <w:rPr>
          <w:i/>
          <w:iCs/>
          <w:lang w:val="en-CA"/>
        </w:rPr>
        <w:t>Id.</w:t>
      </w:r>
      <w:r w:rsidRPr="00E7398B">
        <w:rPr>
          <w:lang w:val="en-CA"/>
        </w:rPr>
        <w:t>, para. 84.</w:t>
      </w:r>
    </w:p>
  </w:footnote>
  <w:footnote w:id="21">
    <w:p w14:paraId="1196BCEF" w14:textId="77777777" w:rsidR="00CC0181" w:rsidRPr="00E7398B" w:rsidRDefault="00CC0181" w:rsidP="003D433F">
      <w:pPr>
        <w:pStyle w:val="Notedebasdepage"/>
        <w:rPr>
          <w:lang w:val="en-CA"/>
        </w:rPr>
      </w:pPr>
      <w:r>
        <w:rPr>
          <w:rStyle w:val="Appelnotedebasdep"/>
        </w:rPr>
        <w:footnoteRef/>
      </w:r>
      <w:r w:rsidRPr="00E7398B">
        <w:rPr>
          <w:lang w:val="en-CA"/>
        </w:rPr>
        <w:t xml:space="preserve"> </w:t>
      </w:r>
      <w:r w:rsidRPr="00E7398B">
        <w:rPr>
          <w:lang w:val="en-CA"/>
        </w:rPr>
        <w:tab/>
      </w:r>
      <w:r w:rsidRPr="00E7398B">
        <w:rPr>
          <w:rFonts w:cs="Arial"/>
          <w:i/>
          <w:iCs/>
          <w:lang w:val="en-CA"/>
        </w:rPr>
        <w:t>Id.</w:t>
      </w:r>
      <w:r w:rsidRPr="00E7398B">
        <w:rPr>
          <w:lang w:val="en-CA"/>
        </w:rPr>
        <w:t>, para. 85.</w:t>
      </w:r>
    </w:p>
  </w:footnote>
  <w:footnote w:id="22">
    <w:p w14:paraId="5EDAD0AC" w14:textId="77777777" w:rsidR="00CC0181" w:rsidRPr="00D6335D" w:rsidRDefault="00CC0181" w:rsidP="003D433F">
      <w:pPr>
        <w:pStyle w:val="Notedebasdepage"/>
      </w:pPr>
      <w:r>
        <w:rPr>
          <w:rStyle w:val="Appelnotedebasdep"/>
        </w:rPr>
        <w:footnoteRef/>
      </w:r>
      <w:r w:rsidRPr="00E7398B">
        <w:rPr>
          <w:lang w:val="en-CA"/>
        </w:rPr>
        <w:t xml:space="preserve"> </w:t>
      </w:r>
      <w:r w:rsidRPr="00E7398B">
        <w:rPr>
          <w:lang w:val="en-CA"/>
        </w:rPr>
        <w:tab/>
      </w:r>
      <w:r w:rsidRPr="00E7398B">
        <w:rPr>
          <w:i/>
          <w:iCs/>
          <w:lang w:val="en-CA"/>
        </w:rPr>
        <w:t>Id.</w:t>
      </w:r>
      <w:r w:rsidRPr="00E7398B">
        <w:rPr>
          <w:lang w:val="en-CA"/>
        </w:rPr>
        <w:t xml:space="preserve">, paras. </w:t>
      </w:r>
      <w:r w:rsidRPr="00D6335D">
        <w:t>86-</w:t>
      </w:r>
      <w:r>
        <w:t>8</w:t>
      </w:r>
      <w:r w:rsidRPr="00D6335D">
        <w:t>8.</w:t>
      </w:r>
    </w:p>
  </w:footnote>
  <w:footnote w:id="23">
    <w:p w14:paraId="0B844B00" w14:textId="77777777" w:rsidR="00CC0181" w:rsidRPr="00D6335D" w:rsidRDefault="00CC0181" w:rsidP="003D433F">
      <w:pPr>
        <w:pStyle w:val="Notedebasdepage"/>
      </w:pPr>
      <w:r>
        <w:rPr>
          <w:rStyle w:val="Appelnotedebasdep"/>
        </w:rPr>
        <w:footnoteRef/>
      </w:r>
      <w:r w:rsidRPr="00D6335D">
        <w:t xml:space="preserve"> </w:t>
      </w:r>
      <w:r w:rsidRPr="00D6335D">
        <w:tab/>
      </w:r>
      <w:r w:rsidRPr="00CA1F19">
        <w:rPr>
          <w:rFonts w:cs="Arial"/>
          <w:i/>
          <w:iCs/>
        </w:rPr>
        <w:t>R. c. Fera</w:t>
      </w:r>
      <w:r w:rsidRPr="00CA1F19">
        <w:rPr>
          <w:rFonts w:cs="Arial"/>
        </w:rPr>
        <w:t>, 2021 QCCS 5209</w:t>
      </w:r>
      <w:r w:rsidRPr="00D6335D">
        <w:t>, par</w:t>
      </w:r>
      <w:r>
        <w:t>as</w:t>
      </w:r>
      <w:r w:rsidRPr="00D6335D">
        <w:t>. 72-</w:t>
      </w:r>
      <w:r>
        <w:t>7</w:t>
      </w:r>
      <w:r w:rsidRPr="00D6335D">
        <w:t>6.</w:t>
      </w:r>
    </w:p>
  </w:footnote>
  <w:footnote w:id="24">
    <w:p w14:paraId="6D3E03C8" w14:textId="77777777" w:rsidR="00CC0181" w:rsidRPr="00D6335D" w:rsidRDefault="00CC0181" w:rsidP="003D433F">
      <w:pPr>
        <w:pStyle w:val="Notedebasdepage"/>
      </w:pPr>
      <w:r>
        <w:rPr>
          <w:rStyle w:val="Appelnotedebasdep"/>
        </w:rPr>
        <w:footnoteRef/>
      </w:r>
      <w:r w:rsidRPr="00D6335D">
        <w:t xml:space="preserve"> </w:t>
      </w:r>
      <w:r w:rsidRPr="00D6335D">
        <w:tab/>
      </w:r>
      <w:r w:rsidRPr="00D6335D">
        <w:rPr>
          <w:i/>
          <w:iCs/>
        </w:rPr>
        <w:t>Id.</w:t>
      </w:r>
      <w:r w:rsidRPr="00D6335D">
        <w:t>, par</w:t>
      </w:r>
      <w:r>
        <w:t>as</w:t>
      </w:r>
      <w:r w:rsidRPr="00D6335D">
        <w:t>. 77-</w:t>
      </w:r>
      <w:r>
        <w:t>7</w:t>
      </w:r>
      <w:r w:rsidRPr="00D6335D">
        <w:t>9.</w:t>
      </w:r>
    </w:p>
  </w:footnote>
  <w:footnote w:id="25">
    <w:p w14:paraId="7F24061D" w14:textId="77777777" w:rsidR="00CC0181" w:rsidRPr="001D0024" w:rsidRDefault="00CC0181" w:rsidP="003D433F">
      <w:pPr>
        <w:pStyle w:val="Notedebasdepage"/>
      </w:pPr>
      <w:r>
        <w:rPr>
          <w:rStyle w:val="Appelnotedebasdep"/>
        </w:rPr>
        <w:footnoteRef/>
      </w:r>
      <w:r w:rsidRPr="001D0024">
        <w:t xml:space="preserve"> </w:t>
      </w:r>
      <w:r w:rsidRPr="001D0024">
        <w:tab/>
      </w:r>
      <w:r w:rsidRPr="001D0024">
        <w:rPr>
          <w:i/>
          <w:iCs/>
        </w:rPr>
        <w:t>Id.</w:t>
      </w:r>
      <w:r w:rsidRPr="001D0024">
        <w:t>, par</w:t>
      </w:r>
      <w:r>
        <w:t>as</w:t>
      </w:r>
      <w:r w:rsidRPr="001D0024">
        <w:t>. 89-92.</w:t>
      </w:r>
    </w:p>
  </w:footnote>
  <w:footnote w:id="26">
    <w:p w14:paraId="240B8D7C" w14:textId="77777777" w:rsidR="00CC0181" w:rsidRPr="001D0024" w:rsidRDefault="00CC0181" w:rsidP="003D433F">
      <w:pPr>
        <w:pStyle w:val="Notedebasdepage"/>
      </w:pPr>
      <w:r>
        <w:rPr>
          <w:rStyle w:val="Appelnotedebasdep"/>
        </w:rPr>
        <w:footnoteRef/>
      </w:r>
      <w:r w:rsidRPr="001D0024">
        <w:t xml:space="preserve"> </w:t>
      </w:r>
      <w:r w:rsidRPr="001D0024">
        <w:tab/>
      </w:r>
      <w:r>
        <w:rPr>
          <w:rFonts w:cs="Arial"/>
          <w:i/>
          <w:iCs/>
        </w:rPr>
        <w:t>Id.</w:t>
      </w:r>
      <w:r>
        <w:t>, paras.</w:t>
      </w:r>
      <w:r w:rsidRPr="001D0024">
        <w:t xml:space="preserve"> 96-100.</w:t>
      </w:r>
    </w:p>
  </w:footnote>
  <w:footnote w:id="27">
    <w:p w14:paraId="6A3F86C4" w14:textId="77777777" w:rsidR="00CC0181" w:rsidRPr="001D0024" w:rsidRDefault="00CC0181" w:rsidP="003D433F">
      <w:pPr>
        <w:pStyle w:val="Notedebasdepage"/>
      </w:pPr>
      <w:r>
        <w:rPr>
          <w:rStyle w:val="Appelnotedebasdep"/>
        </w:rPr>
        <w:footnoteRef/>
      </w:r>
      <w:r w:rsidRPr="001D0024">
        <w:t xml:space="preserve"> </w:t>
      </w:r>
      <w:r w:rsidRPr="001D0024">
        <w:tab/>
      </w:r>
      <w:r w:rsidRPr="00CA1F19">
        <w:rPr>
          <w:rFonts w:cs="Arial"/>
          <w:i/>
          <w:iCs/>
        </w:rPr>
        <w:t>R. c. Fera</w:t>
      </w:r>
      <w:r w:rsidRPr="00CA1F19">
        <w:rPr>
          <w:rFonts w:cs="Arial"/>
        </w:rPr>
        <w:t>, 2021 QCCS 5209</w:t>
      </w:r>
      <w:r w:rsidRPr="001D0024">
        <w:t>, par</w:t>
      </w:r>
      <w:r>
        <w:t>as</w:t>
      </w:r>
      <w:r w:rsidRPr="001D0024">
        <w:t>. 101-</w:t>
      </w:r>
      <w:r>
        <w:t>10</w:t>
      </w:r>
      <w:r w:rsidRPr="001D0024">
        <w:t>2.</w:t>
      </w:r>
    </w:p>
  </w:footnote>
  <w:footnote w:id="28">
    <w:p w14:paraId="2221FA4D" w14:textId="77777777" w:rsidR="00CC0181" w:rsidRPr="00663CB6" w:rsidRDefault="00CC0181" w:rsidP="003D433F">
      <w:pPr>
        <w:pStyle w:val="Notedebasdepage"/>
      </w:pPr>
      <w:r>
        <w:rPr>
          <w:rStyle w:val="Appelnotedebasdep"/>
        </w:rPr>
        <w:footnoteRef/>
      </w:r>
      <w:r w:rsidRPr="00663CB6">
        <w:t xml:space="preserve"> </w:t>
      </w:r>
      <w:r w:rsidRPr="00663CB6">
        <w:tab/>
      </w:r>
      <w:r w:rsidRPr="00663CB6">
        <w:rPr>
          <w:i/>
          <w:iCs/>
        </w:rPr>
        <w:t>Id.</w:t>
      </w:r>
      <w:r w:rsidRPr="00663CB6">
        <w:t>, par</w:t>
      </w:r>
      <w:r>
        <w:t>as</w:t>
      </w:r>
      <w:r w:rsidRPr="00663CB6">
        <w:t>. 103-111.</w:t>
      </w:r>
    </w:p>
  </w:footnote>
  <w:footnote w:id="29">
    <w:p w14:paraId="0C8C216F" w14:textId="77777777" w:rsidR="00CC0181" w:rsidRPr="00663CB6" w:rsidRDefault="00CC0181" w:rsidP="003D433F">
      <w:pPr>
        <w:pStyle w:val="Notedebasdepage"/>
      </w:pPr>
      <w:r>
        <w:rPr>
          <w:rStyle w:val="Appelnotedebasdep"/>
        </w:rPr>
        <w:footnoteRef/>
      </w:r>
      <w:r w:rsidRPr="00663CB6">
        <w:t xml:space="preserve"> </w:t>
      </w:r>
      <w:r w:rsidRPr="00663CB6">
        <w:tab/>
      </w:r>
      <w:r>
        <w:rPr>
          <w:rFonts w:cs="Arial"/>
          <w:i/>
          <w:iCs/>
        </w:rPr>
        <w:t>Id.</w:t>
      </w:r>
      <w:r>
        <w:t>, paras.</w:t>
      </w:r>
      <w:r w:rsidRPr="00663CB6">
        <w:t xml:space="preserve"> 112-</w:t>
      </w:r>
      <w:r>
        <w:t>11</w:t>
      </w:r>
      <w:r w:rsidRPr="00663CB6">
        <w:t>7.</w:t>
      </w:r>
    </w:p>
  </w:footnote>
  <w:footnote w:id="30">
    <w:p w14:paraId="76EB6168" w14:textId="77777777" w:rsidR="00CC0181" w:rsidRPr="00C53437" w:rsidRDefault="00CC0181" w:rsidP="003D433F">
      <w:pPr>
        <w:pStyle w:val="Notedebasdepage"/>
      </w:pPr>
      <w:r>
        <w:rPr>
          <w:rStyle w:val="Appelnotedebasdep"/>
        </w:rPr>
        <w:footnoteRef/>
      </w:r>
      <w:r>
        <w:t xml:space="preserve"> </w:t>
      </w:r>
      <w:r>
        <w:tab/>
      </w:r>
      <w:r>
        <w:rPr>
          <w:i/>
          <w:iCs/>
        </w:rPr>
        <w:t>Id.</w:t>
      </w:r>
      <w:r>
        <w:t>, paras. 118-119.</w:t>
      </w:r>
    </w:p>
  </w:footnote>
  <w:footnote w:id="31">
    <w:p w14:paraId="3F04DAED" w14:textId="77777777" w:rsidR="00CC0181" w:rsidRPr="00663CB6" w:rsidRDefault="00CC0181" w:rsidP="003D433F">
      <w:pPr>
        <w:pStyle w:val="Notedebasdepage"/>
      </w:pPr>
      <w:r>
        <w:rPr>
          <w:rStyle w:val="Appelnotedebasdep"/>
        </w:rPr>
        <w:footnoteRef/>
      </w:r>
      <w:r w:rsidRPr="00663CB6">
        <w:t xml:space="preserve"> </w:t>
      </w:r>
      <w:r w:rsidRPr="00663CB6">
        <w:tab/>
      </w:r>
      <w:r w:rsidRPr="00663CB6">
        <w:rPr>
          <w:i/>
          <w:iCs/>
        </w:rPr>
        <w:t>Id.</w:t>
      </w:r>
      <w:r w:rsidRPr="00663CB6">
        <w:t>, par</w:t>
      </w:r>
      <w:r>
        <w:t>as</w:t>
      </w:r>
      <w:r w:rsidRPr="00663CB6">
        <w:t>. 119-</w:t>
      </w:r>
      <w:r>
        <w:t>1</w:t>
      </w:r>
      <w:r w:rsidRPr="00663CB6">
        <w:t>22.</w:t>
      </w:r>
    </w:p>
  </w:footnote>
  <w:footnote w:id="32">
    <w:p w14:paraId="384F9196" w14:textId="77777777" w:rsidR="00CC0181" w:rsidRPr="00663CB6" w:rsidRDefault="00CC0181" w:rsidP="003D433F">
      <w:pPr>
        <w:pStyle w:val="Notedebasdepage"/>
      </w:pPr>
      <w:r>
        <w:rPr>
          <w:rStyle w:val="Appelnotedebasdep"/>
        </w:rPr>
        <w:footnoteRef/>
      </w:r>
      <w:r w:rsidRPr="00663CB6">
        <w:t xml:space="preserve"> </w:t>
      </w:r>
      <w:r w:rsidRPr="00663CB6">
        <w:tab/>
      </w:r>
      <w:r w:rsidRPr="00CA1F19">
        <w:rPr>
          <w:rFonts w:cs="Arial"/>
          <w:i/>
          <w:iCs/>
        </w:rPr>
        <w:t>R. c. Fera</w:t>
      </w:r>
      <w:r w:rsidRPr="00CA1F19">
        <w:rPr>
          <w:rFonts w:cs="Arial"/>
        </w:rPr>
        <w:t>, 2021 QCCS 5209</w:t>
      </w:r>
      <w:r w:rsidRPr="00663CB6">
        <w:t>, par</w:t>
      </w:r>
      <w:r>
        <w:t>as</w:t>
      </w:r>
      <w:r w:rsidRPr="00663CB6">
        <w:t>. 123-</w:t>
      </w:r>
      <w:r>
        <w:t>12</w:t>
      </w:r>
      <w:r w:rsidRPr="00663CB6">
        <w:t>6.</w:t>
      </w:r>
    </w:p>
  </w:footnote>
  <w:footnote w:id="33">
    <w:p w14:paraId="5F90F903" w14:textId="77777777" w:rsidR="00CC0181" w:rsidRPr="00663CB6" w:rsidRDefault="00CC0181" w:rsidP="003D433F">
      <w:pPr>
        <w:pStyle w:val="Notedebasdepage"/>
      </w:pPr>
      <w:r>
        <w:rPr>
          <w:rStyle w:val="Appelnotedebasdep"/>
        </w:rPr>
        <w:footnoteRef/>
      </w:r>
      <w:r w:rsidRPr="00663CB6">
        <w:t xml:space="preserve"> </w:t>
      </w:r>
      <w:r w:rsidRPr="00663CB6">
        <w:tab/>
      </w:r>
      <w:r w:rsidRPr="00663CB6">
        <w:rPr>
          <w:i/>
          <w:iCs/>
        </w:rPr>
        <w:t>Id.</w:t>
      </w:r>
      <w:r w:rsidRPr="00663CB6">
        <w:t>, par</w:t>
      </w:r>
      <w:r>
        <w:t>as</w:t>
      </w:r>
      <w:r w:rsidRPr="00663CB6">
        <w:t>. 140-</w:t>
      </w:r>
      <w:r>
        <w:t>1</w:t>
      </w:r>
      <w:r w:rsidRPr="00663CB6">
        <w:t>50.</w:t>
      </w:r>
    </w:p>
  </w:footnote>
  <w:footnote w:id="34">
    <w:p w14:paraId="57ADD9E8" w14:textId="77777777" w:rsidR="00CC0181" w:rsidRPr="00663CB6" w:rsidRDefault="00CC0181" w:rsidP="003D433F">
      <w:pPr>
        <w:pStyle w:val="Notedebasdepage"/>
      </w:pPr>
      <w:r>
        <w:rPr>
          <w:rStyle w:val="Appelnotedebasdep"/>
        </w:rPr>
        <w:footnoteRef/>
      </w:r>
      <w:r w:rsidRPr="00663CB6">
        <w:t xml:space="preserve"> </w:t>
      </w:r>
      <w:r w:rsidRPr="00663CB6">
        <w:tab/>
      </w:r>
      <w:r w:rsidRPr="00CA1F19">
        <w:rPr>
          <w:rFonts w:cs="Arial"/>
          <w:i/>
          <w:iCs/>
        </w:rPr>
        <w:t>R. c. Fera</w:t>
      </w:r>
      <w:r w:rsidRPr="00CA1F19">
        <w:rPr>
          <w:rFonts w:cs="Arial"/>
        </w:rPr>
        <w:t>, 2021 QCCS 5209</w:t>
      </w:r>
      <w:r>
        <w:t xml:space="preserve">, paras. </w:t>
      </w:r>
      <w:r w:rsidRPr="00663CB6">
        <w:t>151-</w:t>
      </w:r>
      <w:r>
        <w:t>15</w:t>
      </w:r>
      <w:r w:rsidRPr="00663CB6">
        <w:t>5.</w:t>
      </w:r>
    </w:p>
  </w:footnote>
  <w:footnote w:id="35">
    <w:p w14:paraId="438D6FC0" w14:textId="77777777" w:rsidR="00CC0181" w:rsidRPr="00663CB6" w:rsidRDefault="00CC0181" w:rsidP="003D433F">
      <w:pPr>
        <w:pStyle w:val="Notedebasdepage"/>
      </w:pPr>
      <w:r>
        <w:rPr>
          <w:rStyle w:val="Appelnotedebasdep"/>
        </w:rPr>
        <w:footnoteRef/>
      </w:r>
      <w:r w:rsidRPr="00663CB6">
        <w:t xml:space="preserve"> </w:t>
      </w:r>
      <w:r w:rsidRPr="00663CB6">
        <w:tab/>
      </w:r>
      <w:r w:rsidRPr="00663CB6">
        <w:rPr>
          <w:i/>
          <w:iCs/>
        </w:rPr>
        <w:t>Id.</w:t>
      </w:r>
      <w:r w:rsidRPr="00663CB6">
        <w:t>, par</w:t>
      </w:r>
      <w:r>
        <w:t>a</w:t>
      </w:r>
      <w:r w:rsidRPr="00663CB6">
        <w:t>. 156.</w:t>
      </w:r>
    </w:p>
  </w:footnote>
  <w:footnote w:id="36">
    <w:p w14:paraId="2404E3C1" w14:textId="77777777" w:rsidR="00CC0181" w:rsidRPr="00E83095" w:rsidRDefault="00CC0181" w:rsidP="003D433F">
      <w:pPr>
        <w:pStyle w:val="Notedebasdepage"/>
      </w:pPr>
      <w:r>
        <w:rPr>
          <w:rStyle w:val="Appelnotedebasdep"/>
        </w:rPr>
        <w:footnoteRef/>
      </w:r>
      <w:r w:rsidRPr="00663CB6">
        <w:t xml:space="preserve"> </w:t>
      </w:r>
      <w:r w:rsidRPr="00663CB6">
        <w:tab/>
      </w:r>
      <w:r w:rsidRPr="00663CB6">
        <w:rPr>
          <w:i/>
          <w:iCs/>
        </w:rPr>
        <w:t>Id.</w:t>
      </w:r>
      <w:r w:rsidRPr="00663CB6">
        <w:t>, par</w:t>
      </w:r>
      <w:r>
        <w:t>as</w:t>
      </w:r>
      <w:r w:rsidRPr="00663CB6">
        <w:t xml:space="preserve">. </w:t>
      </w:r>
      <w:r w:rsidRPr="00E83095">
        <w:t>157-</w:t>
      </w:r>
      <w:r>
        <w:t>15</w:t>
      </w:r>
      <w:r w:rsidRPr="00E83095">
        <w:t>8.</w:t>
      </w:r>
    </w:p>
  </w:footnote>
  <w:footnote w:id="37">
    <w:p w14:paraId="6AA23622" w14:textId="77777777" w:rsidR="00CC0181" w:rsidRPr="00E83095" w:rsidRDefault="00CC0181" w:rsidP="003D433F">
      <w:pPr>
        <w:pStyle w:val="Notedebasdepage"/>
      </w:pPr>
      <w:r>
        <w:rPr>
          <w:rStyle w:val="Appelnotedebasdep"/>
        </w:rPr>
        <w:footnoteRef/>
      </w:r>
      <w:r w:rsidRPr="00E83095">
        <w:t xml:space="preserve"> </w:t>
      </w:r>
      <w:r w:rsidRPr="00E83095">
        <w:tab/>
      </w:r>
      <w:r>
        <w:rPr>
          <w:rFonts w:cs="Arial"/>
          <w:i/>
          <w:iCs/>
        </w:rPr>
        <w:t>Id.</w:t>
      </w:r>
      <w:r>
        <w:t xml:space="preserve">, paras. </w:t>
      </w:r>
      <w:r w:rsidRPr="00E83095">
        <w:t>159-</w:t>
      </w:r>
      <w:r>
        <w:t>1</w:t>
      </w:r>
      <w:r w:rsidRPr="00E83095">
        <w:t>64.</w:t>
      </w:r>
    </w:p>
  </w:footnote>
  <w:footnote w:id="38">
    <w:p w14:paraId="6C039A14" w14:textId="77777777" w:rsidR="00CC0181" w:rsidRPr="00E83095" w:rsidRDefault="00CC0181" w:rsidP="003D433F">
      <w:pPr>
        <w:pStyle w:val="Notedebasdepage"/>
      </w:pPr>
      <w:r>
        <w:rPr>
          <w:rStyle w:val="Appelnotedebasdep"/>
        </w:rPr>
        <w:footnoteRef/>
      </w:r>
      <w:r w:rsidRPr="00E83095">
        <w:t xml:space="preserve"> </w:t>
      </w:r>
      <w:r w:rsidRPr="00E83095">
        <w:tab/>
      </w:r>
      <w:r w:rsidRPr="00CA1F19">
        <w:rPr>
          <w:rFonts w:cs="Arial"/>
          <w:i/>
          <w:iCs/>
        </w:rPr>
        <w:t>R. c. Fera</w:t>
      </w:r>
      <w:r w:rsidRPr="00CA1F19">
        <w:rPr>
          <w:rFonts w:cs="Arial"/>
        </w:rPr>
        <w:t>, 2021 QCCS 5209</w:t>
      </w:r>
      <w:r w:rsidRPr="00E83095">
        <w:t>, par</w:t>
      </w:r>
      <w:r>
        <w:t>a</w:t>
      </w:r>
      <w:r w:rsidRPr="00E83095">
        <w:t>. 165.</w:t>
      </w:r>
    </w:p>
  </w:footnote>
  <w:footnote w:id="39">
    <w:p w14:paraId="613AE866" w14:textId="77777777" w:rsidR="00CC0181" w:rsidRPr="000F480A" w:rsidRDefault="00CC0181" w:rsidP="003D433F">
      <w:pPr>
        <w:pStyle w:val="Notedebasdepage"/>
        <w:rPr>
          <w:lang w:val="en-CA"/>
        </w:rPr>
      </w:pPr>
      <w:r>
        <w:rPr>
          <w:rStyle w:val="Appelnotedebasdep"/>
        </w:rPr>
        <w:footnoteRef/>
      </w:r>
      <w:r w:rsidRPr="00561A6A">
        <w:t xml:space="preserve"> </w:t>
      </w:r>
      <w:r w:rsidRPr="00561A6A">
        <w:tab/>
      </w:r>
      <w:r w:rsidRPr="00561A6A">
        <w:rPr>
          <w:i/>
          <w:iCs/>
        </w:rPr>
        <w:t xml:space="preserve">R. </w:t>
      </w:r>
      <w:r>
        <w:rPr>
          <w:i/>
          <w:iCs/>
        </w:rPr>
        <w:t>v</w:t>
      </w:r>
      <w:r w:rsidRPr="00561A6A">
        <w:rPr>
          <w:i/>
          <w:iCs/>
        </w:rPr>
        <w:t>. Hodgson</w:t>
      </w:r>
      <w:r w:rsidRPr="00561A6A">
        <w:t>, 2024 S</w:t>
      </w:r>
      <w:r>
        <w:t>C</w:t>
      </w:r>
      <w:r w:rsidRPr="00561A6A">
        <w:t>C 25, par</w:t>
      </w:r>
      <w:r>
        <w:t xml:space="preserve">as. </w:t>
      </w:r>
      <w:r w:rsidRPr="00400AF5">
        <w:rPr>
          <w:lang w:val="en-CA"/>
        </w:rPr>
        <w:t xml:space="preserve">21-22. See also the Court’s recent decision in </w:t>
      </w:r>
      <w:r w:rsidRPr="000F480A">
        <w:rPr>
          <w:i/>
          <w:iCs/>
          <w:lang w:val="en-CA"/>
        </w:rPr>
        <w:t xml:space="preserve">R. c. </w:t>
      </w:r>
      <w:r w:rsidRPr="000F480A">
        <w:rPr>
          <w:i/>
          <w:iCs/>
          <w:lang w:val="en-CA"/>
        </w:rPr>
        <w:t>Spezzano</w:t>
      </w:r>
      <w:r w:rsidRPr="000F480A">
        <w:rPr>
          <w:lang w:val="en-CA"/>
        </w:rPr>
        <w:t>, 2024 QCCA 714.</w:t>
      </w:r>
    </w:p>
  </w:footnote>
  <w:footnote w:id="40">
    <w:p w14:paraId="2BF28A11" w14:textId="77777777" w:rsidR="00CC0181" w:rsidRPr="00561A6A" w:rsidRDefault="00CC0181" w:rsidP="003D433F">
      <w:pPr>
        <w:pStyle w:val="Notedebasdepage"/>
        <w:rPr>
          <w:i/>
          <w:iCs/>
        </w:rPr>
      </w:pPr>
      <w:r>
        <w:rPr>
          <w:rStyle w:val="Appelnotedebasdep"/>
        </w:rPr>
        <w:footnoteRef/>
      </w:r>
      <w:r w:rsidRPr="00561A6A">
        <w:t xml:space="preserve"> </w:t>
      </w:r>
      <w:r w:rsidRPr="00561A6A">
        <w:tab/>
      </w:r>
      <w:r w:rsidRPr="00561A6A">
        <w:rPr>
          <w:i/>
          <w:iCs/>
        </w:rPr>
        <w:t xml:space="preserve">R. </w:t>
      </w:r>
      <w:r>
        <w:rPr>
          <w:i/>
          <w:iCs/>
        </w:rPr>
        <w:t>v</w:t>
      </w:r>
      <w:r w:rsidRPr="00561A6A">
        <w:rPr>
          <w:i/>
          <w:iCs/>
        </w:rPr>
        <w:t>. Hodgson</w:t>
      </w:r>
      <w:r w:rsidRPr="00561A6A">
        <w:t>, 2024 S</w:t>
      </w:r>
      <w:r>
        <w:t>C</w:t>
      </w:r>
      <w:r w:rsidRPr="00561A6A">
        <w:t>C 25, par</w:t>
      </w:r>
      <w:r>
        <w:t>as. 32-33.</w:t>
      </w:r>
    </w:p>
  </w:footnote>
  <w:footnote w:id="41">
    <w:p w14:paraId="12A76F11" w14:textId="77777777" w:rsidR="00CC0181" w:rsidRPr="000F480A" w:rsidRDefault="00CC0181" w:rsidP="003D433F">
      <w:pPr>
        <w:pStyle w:val="Notedebasdepage"/>
        <w:rPr>
          <w:lang w:val="en-CA"/>
        </w:rPr>
      </w:pPr>
      <w:r>
        <w:rPr>
          <w:rStyle w:val="Appelnotedebasdep"/>
        </w:rPr>
        <w:footnoteRef/>
      </w:r>
      <w:r>
        <w:t xml:space="preserve"> </w:t>
      </w:r>
      <w:r>
        <w:tab/>
      </w:r>
      <w:r w:rsidRPr="00561A6A">
        <w:rPr>
          <w:i/>
          <w:iCs/>
        </w:rPr>
        <w:t xml:space="preserve">R. </w:t>
      </w:r>
      <w:r w:rsidRPr="009B7F64">
        <w:rPr>
          <w:i/>
          <w:iCs/>
        </w:rPr>
        <w:t>v. J.M.H.</w:t>
      </w:r>
      <w:r w:rsidRPr="009B7F64">
        <w:t xml:space="preserve">, 2011 SCC 45, [2011] 3 S.C.R. </w:t>
      </w:r>
      <w:r w:rsidRPr="000F480A">
        <w:t xml:space="preserve">197, para. </w:t>
      </w:r>
      <w:r w:rsidRPr="00400AF5">
        <w:rPr>
          <w:lang w:val="en-CA"/>
        </w:rPr>
        <w:t xml:space="preserve">24, cited in </w:t>
      </w:r>
      <w:r w:rsidRPr="00400AF5">
        <w:rPr>
          <w:i/>
          <w:iCs/>
          <w:lang w:val="en-CA"/>
        </w:rPr>
        <w:t>R. v. Hodgson</w:t>
      </w:r>
      <w:r w:rsidRPr="00400AF5">
        <w:rPr>
          <w:lang w:val="en-CA"/>
        </w:rPr>
        <w:t>, 2024 S</w:t>
      </w:r>
      <w:r>
        <w:rPr>
          <w:lang w:val="en-CA"/>
        </w:rPr>
        <w:t>C</w:t>
      </w:r>
      <w:r w:rsidRPr="00400AF5">
        <w:rPr>
          <w:lang w:val="en-CA"/>
        </w:rPr>
        <w:t>C 25, par</w:t>
      </w:r>
      <w:r>
        <w:rPr>
          <w:lang w:val="en-CA"/>
        </w:rPr>
        <w:t>a</w:t>
      </w:r>
      <w:r w:rsidRPr="00400AF5">
        <w:rPr>
          <w:lang w:val="en-CA"/>
        </w:rPr>
        <w:t>. 34</w:t>
      </w:r>
      <w:r w:rsidRPr="000F480A">
        <w:rPr>
          <w:lang w:val="en-CA"/>
        </w:rPr>
        <w:t>.</w:t>
      </w:r>
    </w:p>
  </w:footnote>
  <w:footnote w:id="42">
    <w:p w14:paraId="3C5C9E31" w14:textId="77777777" w:rsidR="00CC0181" w:rsidRPr="00561A6A" w:rsidRDefault="00CC0181" w:rsidP="003D433F">
      <w:pPr>
        <w:pStyle w:val="Notedebasdepage"/>
      </w:pPr>
      <w:r>
        <w:rPr>
          <w:rStyle w:val="Appelnotedebasdep"/>
        </w:rPr>
        <w:footnoteRef/>
      </w:r>
      <w:r w:rsidRPr="000F480A">
        <w:rPr>
          <w:lang w:val="en-CA"/>
        </w:rPr>
        <w:t xml:space="preserve"> </w:t>
      </w:r>
      <w:r w:rsidRPr="000F480A">
        <w:rPr>
          <w:lang w:val="en-CA"/>
        </w:rPr>
        <w:tab/>
      </w:r>
      <w:r w:rsidRPr="000F480A">
        <w:rPr>
          <w:i/>
          <w:iCs/>
          <w:lang w:val="en-CA"/>
        </w:rPr>
        <w:t>R.</w:t>
      </w:r>
      <w:r w:rsidRPr="00400AF5">
        <w:rPr>
          <w:i/>
          <w:iCs/>
          <w:lang w:val="en-CA"/>
        </w:rPr>
        <w:t xml:space="preserve"> v. Hodgson</w:t>
      </w:r>
      <w:r w:rsidRPr="00400AF5">
        <w:rPr>
          <w:lang w:val="en-CA"/>
        </w:rPr>
        <w:t xml:space="preserve">, 2024 SCC 25, para. 36; </w:t>
      </w:r>
      <w:r w:rsidRPr="00400AF5">
        <w:rPr>
          <w:i/>
          <w:iCs/>
          <w:lang w:val="en-CA"/>
        </w:rPr>
        <w:t>R. v. Cowan</w:t>
      </w:r>
      <w:r w:rsidRPr="00400AF5">
        <w:rPr>
          <w:lang w:val="en-CA"/>
        </w:rPr>
        <w:t xml:space="preserve">, 2021 SCC 45, [2021] 3 S.C.R. 323, para. 46; </w:t>
      </w:r>
      <w:r w:rsidRPr="00400AF5">
        <w:rPr>
          <w:i/>
          <w:iCs/>
          <w:lang w:val="en-CA"/>
        </w:rPr>
        <w:t>R.</w:t>
      </w:r>
      <w:r>
        <w:rPr>
          <w:i/>
          <w:iCs/>
          <w:lang w:val="en-CA"/>
        </w:rPr>
        <w:t> </w:t>
      </w:r>
      <w:r w:rsidRPr="00400AF5">
        <w:rPr>
          <w:i/>
          <w:iCs/>
          <w:lang w:val="en-CA"/>
        </w:rPr>
        <w:t>v. Goldfinch</w:t>
      </w:r>
      <w:r w:rsidRPr="00400AF5">
        <w:rPr>
          <w:lang w:val="en-CA"/>
        </w:rPr>
        <w:t xml:space="preserve">, 2019 SCC 38, [2019] 3 </w:t>
      </w:r>
      <w:r>
        <w:rPr>
          <w:lang w:val="en-CA"/>
        </w:rPr>
        <w:t>S.C.</w:t>
      </w:r>
      <w:r w:rsidRPr="00400AF5">
        <w:rPr>
          <w:lang w:val="en-CA"/>
        </w:rPr>
        <w:t xml:space="preserve">R. </w:t>
      </w:r>
      <w:r w:rsidRPr="000F480A">
        <w:rPr>
          <w:lang w:val="en-CA"/>
        </w:rPr>
        <w:t xml:space="preserve">3, para. </w:t>
      </w:r>
      <w:r w:rsidRPr="009B7F64">
        <w:t xml:space="preserve">135; </w:t>
      </w:r>
      <w:r w:rsidRPr="009B7F64">
        <w:rPr>
          <w:i/>
          <w:iCs/>
        </w:rPr>
        <w:t xml:space="preserve">R. v. </w:t>
      </w:r>
      <w:r w:rsidRPr="009B7F64">
        <w:rPr>
          <w:i/>
          <w:iCs/>
        </w:rPr>
        <w:t>Graveline</w:t>
      </w:r>
      <w:r w:rsidRPr="009B7F64">
        <w:t>, 2006 SCC 16, [2006] 1 S.C.R. 609, para. 14</w:t>
      </w:r>
      <w:r w:rsidRPr="00561A6A">
        <w:t>.</w:t>
      </w:r>
    </w:p>
  </w:footnote>
  <w:footnote w:id="43">
    <w:p w14:paraId="482D8E6C" w14:textId="77777777" w:rsidR="00CC0181" w:rsidRDefault="00CC0181" w:rsidP="003D433F">
      <w:pPr>
        <w:pStyle w:val="Notedebasdepage"/>
      </w:pPr>
      <w:r>
        <w:rPr>
          <w:rStyle w:val="Appelnotedebasdep"/>
        </w:rPr>
        <w:footnoteRef/>
      </w:r>
      <w:r>
        <w:t xml:space="preserve"> </w:t>
      </w:r>
      <w:r>
        <w:tab/>
      </w:r>
      <w:r w:rsidRPr="00CA1F19">
        <w:rPr>
          <w:rFonts w:cs="Arial"/>
          <w:i/>
          <w:iCs/>
        </w:rPr>
        <w:t>R. c. Fera</w:t>
      </w:r>
      <w:r w:rsidRPr="00CA1F19">
        <w:rPr>
          <w:rFonts w:cs="Arial"/>
        </w:rPr>
        <w:t>, 2021 QCCS 5209</w:t>
      </w:r>
      <w:r>
        <w:t>, para. 127.</w:t>
      </w:r>
    </w:p>
  </w:footnote>
  <w:footnote w:id="44">
    <w:p w14:paraId="16BDB029" w14:textId="77777777" w:rsidR="00CC0181" w:rsidRPr="00621505" w:rsidRDefault="00CC0181" w:rsidP="003D433F">
      <w:pPr>
        <w:pStyle w:val="Notedebasdepage"/>
      </w:pPr>
      <w:r>
        <w:rPr>
          <w:rStyle w:val="Appelnotedebasdep"/>
        </w:rPr>
        <w:footnoteRef/>
      </w:r>
      <w:r w:rsidRPr="005C3F78">
        <w:t xml:space="preserve"> </w:t>
      </w:r>
      <w:r w:rsidRPr="005C3F78">
        <w:tab/>
      </w:r>
      <w:r w:rsidRPr="005C3F78">
        <w:rPr>
          <w:i/>
          <w:iCs/>
        </w:rPr>
        <w:t xml:space="preserve">R. </w:t>
      </w:r>
      <w:r>
        <w:rPr>
          <w:i/>
          <w:iCs/>
        </w:rPr>
        <w:t>v</w:t>
      </w:r>
      <w:r w:rsidRPr="005C3F78">
        <w:rPr>
          <w:i/>
          <w:iCs/>
        </w:rPr>
        <w:t>. G.F.</w:t>
      </w:r>
      <w:r w:rsidRPr="005C3F78">
        <w:t>, 2021 S</w:t>
      </w:r>
      <w:r>
        <w:t>C</w:t>
      </w:r>
      <w:r w:rsidRPr="005C3F78">
        <w:t xml:space="preserve">C 20, [2021] 1 </w:t>
      </w:r>
      <w:r>
        <w:t>S.C.</w:t>
      </w:r>
      <w:r w:rsidRPr="005C3F78">
        <w:t xml:space="preserve">R. </w:t>
      </w:r>
      <w:r w:rsidRPr="000F480A">
        <w:t xml:space="preserve">801, para. 69; </w:t>
      </w:r>
      <w:r w:rsidRPr="000F480A">
        <w:rPr>
          <w:i/>
          <w:iCs/>
        </w:rPr>
        <w:t>R. v. Chung</w:t>
      </w:r>
      <w:r w:rsidRPr="000F480A">
        <w:t xml:space="preserve">, 2020 SCC 8, [2020] 1 S.C.R. </w:t>
      </w:r>
      <w:r w:rsidRPr="009B7F64">
        <w:t>405, par</w:t>
      </w:r>
      <w:r w:rsidRPr="00400AF5">
        <w:t>a</w:t>
      </w:r>
      <w:r w:rsidRPr="009B7F64">
        <w:t xml:space="preserve">. </w:t>
      </w:r>
      <w:r w:rsidRPr="00621505">
        <w:t>3</w:t>
      </w:r>
      <w:r>
        <w:t>3;</w:t>
      </w:r>
      <w:r w:rsidRPr="00C17964">
        <w:t xml:space="preserve"> </w:t>
      </w:r>
      <w:r w:rsidRPr="00C17964">
        <w:rPr>
          <w:i/>
          <w:iCs/>
        </w:rPr>
        <w:t>S.J. c. R.</w:t>
      </w:r>
      <w:r w:rsidRPr="00C17964">
        <w:t>, 2024 QCCA 253</w:t>
      </w:r>
      <w:r>
        <w:t>, para. 144</w:t>
      </w:r>
      <w:r w:rsidRPr="00621505">
        <w:t>.</w:t>
      </w:r>
    </w:p>
  </w:footnote>
  <w:footnote w:id="45">
    <w:p w14:paraId="061BD017" w14:textId="77777777" w:rsidR="00CC0181" w:rsidRPr="00621505" w:rsidRDefault="00CC0181" w:rsidP="003D433F">
      <w:pPr>
        <w:pStyle w:val="Notedebasdepage"/>
      </w:pPr>
      <w:r>
        <w:rPr>
          <w:rStyle w:val="Appelnotedebasdep"/>
        </w:rPr>
        <w:footnoteRef/>
      </w:r>
      <w:r w:rsidRPr="00621505">
        <w:t xml:space="preserve"> </w:t>
      </w:r>
      <w:r w:rsidRPr="00621505">
        <w:tab/>
      </w:r>
      <w:r w:rsidRPr="00621505">
        <w:rPr>
          <w:rFonts w:cs="Arial"/>
          <w:i/>
          <w:iCs/>
        </w:rPr>
        <w:t>R. c. Fera</w:t>
      </w:r>
      <w:r w:rsidRPr="00621505">
        <w:rPr>
          <w:rFonts w:cs="Arial"/>
        </w:rPr>
        <w:t>, 2021 QCCS 5209</w:t>
      </w:r>
      <w:r w:rsidRPr="00621505">
        <w:t>, para. 128.</w:t>
      </w:r>
    </w:p>
  </w:footnote>
  <w:footnote w:id="46">
    <w:p w14:paraId="740AC8DC" w14:textId="77777777" w:rsidR="00CC0181" w:rsidRPr="000F480A" w:rsidRDefault="00CC0181" w:rsidP="003D433F">
      <w:pPr>
        <w:pStyle w:val="Notedebasdepage"/>
        <w:rPr>
          <w:lang w:val="en-CA"/>
        </w:rPr>
      </w:pPr>
      <w:r>
        <w:rPr>
          <w:rStyle w:val="Appelnotedebasdep"/>
        </w:rPr>
        <w:footnoteRef/>
      </w:r>
      <w:r w:rsidRPr="00621505">
        <w:t xml:space="preserve"> </w:t>
      </w:r>
      <w:r w:rsidRPr="00621505">
        <w:tab/>
      </w:r>
      <w:r w:rsidRPr="00621505">
        <w:rPr>
          <w:i/>
          <w:iCs/>
        </w:rPr>
        <w:t xml:space="preserve">R. v. </w:t>
      </w:r>
      <w:r w:rsidRPr="00621505">
        <w:rPr>
          <w:i/>
          <w:iCs/>
        </w:rPr>
        <w:t>Kruk</w:t>
      </w:r>
      <w:r w:rsidRPr="00621505">
        <w:t xml:space="preserve">, 2024 SCC 7, paras. </w:t>
      </w:r>
      <w:r w:rsidRPr="000F480A">
        <w:rPr>
          <w:lang w:val="en-CA"/>
        </w:rPr>
        <w:t>81-83.</w:t>
      </w:r>
    </w:p>
  </w:footnote>
  <w:footnote w:id="47">
    <w:p w14:paraId="5CC89D33" w14:textId="77777777" w:rsidR="00CC0181" w:rsidRPr="000F480A" w:rsidRDefault="00CC0181" w:rsidP="003D433F">
      <w:pPr>
        <w:pStyle w:val="Notedebasdepage"/>
        <w:rPr>
          <w:lang w:val="en-CA"/>
        </w:rPr>
      </w:pPr>
      <w:r>
        <w:rPr>
          <w:rStyle w:val="Appelnotedebasdep"/>
        </w:rPr>
        <w:footnoteRef/>
      </w:r>
      <w:r w:rsidRPr="000F480A">
        <w:rPr>
          <w:lang w:val="en-CA"/>
        </w:rPr>
        <w:t xml:space="preserve"> </w:t>
      </w:r>
      <w:r w:rsidRPr="000F480A">
        <w:rPr>
          <w:lang w:val="en-CA"/>
        </w:rPr>
        <w:tab/>
      </w:r>
      <w:r w:rsidRPr="000F480A">
        <w:rPr>
          <w:i/>
          <w:iCs/>
          <w:lang w:val="en-CA"/>
        </w:rPr>
        <w:t xml:space="preserve">R. </w:t>
      </w:r>
      <w:r w:rsidRPr="00E75843">
        <w:rPr>
          <w:i/>
          <w:iCs/>
          <w:lang w:val="en-CA"/>
        </w:rPr>
        <w:t xml:space="preserve">v. </w:t>
      </w:r>
      <w:r w:rsidRPr="00E75843">
        <w:rPr>
          <w:i/>
          <w:iCs/>
          <w:lang w:val="en-CA"/>
        </w:rPr>
        <w:t>Villaroman</w:t>
      </w:r>
      <w:r w:rsidRPr="00E75843">
        <w:rPr>
          <w:lang w:val="en-CA"/>
        </w:rPr>
        <w:t>, 2016 S</w:t>
      </w:r>
      <w:r>
        <w:rPr>
          <w:lang w:val="en-CA"/>
        </w:rPr>
        <w:t>C</w:t>
      </w:r>
      <w:r w:rsidRPr="00E75843">
        <w:rPr>
          <w:lang w:val="en-CA"/>
        </w:rPr>
        <w:t>C 33, [2016] 1 S.C.R. 1000, para. 50</w:t>
      </w:r>
      <w:r w:rsidRPr="000F480A">
        <w:rPr>
          <w:lang w:val="en-CA"/>
        </w:rPr>
        <w:t>.</w:t>
      </w:r>
    </w:p>
  </w:footnote>
  <w:footnote w:id="48">
    <w:p w14:paraId="1743A258" w14:textId="77777777" w:rsidR="00CC0181" w:rsidRPr="000F480A" w:rsidRDefault="00CC0181" w:rsidP="003D433F">
      <w:pPr>
        <w:pStyle w:val="Notedebasdepage"/>
        <w:rPr>
          <w:lang w:val="en-CA"/>
        </w:rPr>
      </w:pPr>
      <w:r>
        <w:rPr>
          <w:rStyle w:val="Appelnotedebasdep"/>
        </w:rPr>
        <w:footnoteRef/>
      </w:r>
      <w:r w:rsidRPr="000F480A">
        <w:rPr>
          <w:lang w:val="en-CA"/>
        </w:rPr>
        <w:t xml:space="preserve"> </w:t>
      </w:r>
      <w:r w:rsidRPr="000F480A">
        <w:rPr>
          <w:lang w:val="en-CA"/>
        </w:rPr>
        <w:tab/>
      </w:r>
      <w:r w:rsidRPr="000F480A">
        <w:rPr>
          <w:i/>
          <w:iCs/>
          <w:lang w:val="en-CA"/>
        </w:rPr>
        <w:t>Ibid.</w:t>
      </w:r>
      <w:r w:rsidRPr="000F480A">
        <w:rPr>
          <w:lang w:val="en-CA"/>
        </w:rPr>
        <w:t xml:space="preserve">, </w:t>
      </w:r>
      <w:r w:rsidRPr="00E75843">
        <w:rPr>
          <w:lang w:val="en-CA"/>
        </w:rPr>
        <w:t>citing</w:t>
      </w:r>
      <w:r w:rsidRPr="00E75843">
        <w:rPr>
          <w:i/>
          <w:iCs/>
          <w:lang w:val="en-CA"/>
        </w:rPr>
        <w:t xml:space="preserve"> R. v. </w:t>
      </w:r>
      <w:r w:rsidRPr="00E75843">
        <w:rPr>
          <w:i/>
          <w:iCs/>
          <w:lang w:val="en-CA"/>
        </w:rPr>
        <w:t>Lifchus</w:t>
      </w:r>
      <w:r w:rsidRPr="00E75843">
        <w:rPr>
          <w:lang w:val="en-CA"/>
        </w:rPr>
        <w:t>, [1997] 3 S.</w:t>
      </w:r>
      <w:r>
        <w:rPr>
          <w:lang w:val="en-CA"/>
        </w:rPr>
        <w:t>C.R.</w:t>
      </w:r>
      <w:r w:rsidRPr="00E75843">
        <w:rPr>
          <w:lang w:val="en-CA"/>
        </w:rPr>
        <w:t xml:space="preserve"> 320, para. 31</w:t>
      </w:r>
      <w:r w:rsidRPr="000F480A">
        <w:rPr>
          <w:lang w:val="en-CA"/>
        </w:rPr>
        <w:t>.</w:t>
      </w:r>
    </w:p>
  </w:footnote>
  <w:footnote w:id="49">
    <w:p w14:paraId="18B7C444" w14:textId="77777777" w:rsidR="00CC0181" w:rsidRPr="000F480A" w:rsidRDefault="00CC0181" w:rsidP="003D433F">
      <w:pPr>
        <w:pStyle w:val="Notedebasdepage"/>
        <w:rPr>
          <w:lang w:val="en-CA"/>
        </w:rPr>
      </w:pPr>
      <w:r>
        <w:rPr>
          <w:rStyle w:val="Appelnotedebasdep"/>
        </w:rPr>
        <w:footnoteRef/>
      </w:r>
      <w:r w:rsidRPr="000F480A">
        <w:rPr>
          <w:lang w:val="en-CA"/>
        </w:rPr>
        <w:t xml:space="preserve"> </w:t>
      </w:r>
      <w:r w:rsidRPr="000F480A">
        <w:rPr>
          <w:lang w:val="en-CA"/>
        </w:rPr>
        <w:tab/>
      </w:r>
      <w:r w:rsidRPr="000F480A">
        <w:rPr>
          <w:i/>
          <w:iCs/>
          <w:lang w:val="en-CA"/>
        </w:rPr>
        <w:t xml:space="preserve">R. </w:t>
      </w:r>
      <w:r w:rsidRPr="00E75843">
        <w:rPr>
          <w:i/>
          <w:iCs/>
          <w:lang w:val="en-CA"/>
        </w:rPr>
        <w:t xml:space="preserve">v. </w:t>
      </w:r>
      <w:r w:rsidRPr="00E75843">
        <w:rPr>
          <w:i/>
          <w:iCs/>
          <w:lang w:val="en-CA"/>
        </w:rPr>
        <w:t>Villaroman</w:t>
      </w:r>
      <w:r w:rsidRPr="00E75843">
        <w:rPr>
          <w:lang w:val="en-CA"/>
        </w:rPr>
        <w:t xml:space="preserve">, 2016 SCC 33, [2016] 1 S.C.R. 1000, para. 28, citing </w:t>
      </w:r>
      <w:r w:rsidRPr="00E75843">
        <w:rPr>
          <w:i/>
          <w:iCs/>
          <w:lang w:val="en-CA"/>
        </w:rPr>
        <w:t>Lifchus</w:t>
      </w:r>
      <w:r w:rsidRPr="00E75843">
        <w:rPr>
          <w:lang w:val="en-CA"/>
        </w:rPr>
        <w:t>, para. 36</w:t>
      </w:r>
      <w:r w:rsidRPr="000F480A">
        <w:rPr>
          <w:lang w:val="en-CA"/>
        </w:rPr>
        <w:t>.</w:t>
      </w:r>
    </w:p>
  </w:footnote>
  <w:footnote w:id="50">
    <w:p w14:paraId="5CF12451" w14:textId="77777777" w:rsidR="00CC0181" w:rsidRPr="000F480A" w:rsidRDefault="00CC0181" w:rsidP="003D433F">
      <w:pPr>
        <w:pStyle w:val="Notedebasdepage"/>
        <w:rPr>
          <w:lang w:val="en-CA"/>
        </w:rPr>
      </w:pPr>
      <w:r>
        <w:rPr>
          <w:rStyle w:val="Appelnotedebasdep"/>
        </w:rPr>
        <w:footnoteRef/>
      </w:r>
      <w:r w:rsidRPr="000F480A">
        <w:rPr>
          <w:lang w:val="en-CA"/>
        </w:rPr>
        <w:t xml:space="preserve"> </w:t>
      </w:r>
      <w:r w:rsidRPr="000F480A">
        <w:rPr>
          <w:lang w:val="en-CA"/>
        </w:rPr>
        <w:tab/>
      </w:r>
      <w:r w:rsidRPr="000F480A">
        <w:rPr>
          <w:rFonts w:cs="Arial"/>
          <w:i/>
          <w:iCs/>
          <w:lang w:val="en-CA"/>
        </w:rPr>
        <w:t xml:space="preserve">R. c. </w:t>
      </w:r>
      <w:r w:rsidRPr="000F480A">
        <w:rPr>
          <w:rFonts w:cs="Arial"/>
          <w:i/>
          <w:iCs/>
          <w:lang w:val="en-CA"/>
        </w:rPr>
        <w:t>Fera</w:t>
      </w:r>
      <w:r w:rsidRPr="000F480A">
        <w:rPr>
          <w:rFonts w:cs="Arial"/>
          <w:lang w:val="en-CA"/>
        </w:rPr>
        <w:t>, 2021 QCCS 5209</w:t>
      </w:r>
      <w:r w:rsidRPr="000F480A">
        <w:rPr>
          <w:lang w:val="en-CA"/>
        </w:rPr>
        <w:t>, paras. 149, 165.</w:t>
      </w:r>
    </w:p>
  </w:footnote>
  <w:footnote w:id="51">
    <w:p w14:paraId="2A0B196F" w14:textId="77777777" w:rsidR="00CC0181" w:rsidRPr="00D84AF0" w:rsidRDefault="00CC0181" w:rsidP="003D433F">
      <w:pPr>
        <w:pStyle w:val="Notedebasdepage"/>
        <w:rPr>
          <w:lang w:val="en-CA"/>
        </w:rPr>
      </w:pPr>
      <w:r>
        <w:rPr>
          <w:rStyle w:val="Appelnotedebasdep"/>
        </w:rPr>
        <w:footnoteRef/>
      </w:r>
      <w:r w:rsidRPr="0069276C">
        <w:rPr>
          <w:lang w:val="en-CA"/>
        </w:rPr>
        <w:t xml:space="preserve"> </w:t>
      </w:r>
      <w:r w:rsidRPr="0069276C">
        <w:rPr>
          <w:lang w:val="en-CA"/>
        </w:rPr>
        <w:tab/>
      </w:r>
      <w:r>
        <w:rPr>
          <w:lang w:val="en-CA"/>
        </w:rPr>
        <w:t xml:space="preserve">In </w:t>
      </w:r>
      <w:r w:rsidRPr="005B0280">
        <w:rPr>
          <w:i/>
          <w:iCs/>
          <w:lang w:val="en-CA"/>
        </w:rPr>
        <w:t xml:space="preserve">McWilliams’ Criminal Canadian </w:t>
      </w:r>
      <w:r w:rsidRPr="00843760">
        <w:rPr>
          <w:i/>
          <w:iCs/>
          <w:lang w:val="en-CA"/>
        </w:rPr>
        <w:t>Evidence</w:t>
      </w:r>
      <w:r>
        <w:rPr>
          <w:lang w:val="en-CA"/>
        </w:rPr>
        <w:t>,</w:t>
      </w:r>
      <w:r w:rsidRPr="00C2293A">
        <w:rPr>
          <w:lang w:val="en-CA"/>
        </w:rPr>
        <w:t xml:space="preserve"> 5</w:t>
      </w:r>
      <w:r>
        <w:rPr>
          <w:vertAlign w:val="superscript"/>
          <w:lang w:val="en-CA"/>
        </w:rPr>
        <w:t>th</w:t>
      </w:r>
      <w:r w:rsidRPr="00C2293A">
        <w:rPr>
          <w:lang w:val="en-CA"/>
        </w:rPr>
        <w:t xml:space="preserve"> </w:t>
      </w:r>
      <w:r>
        <w:rPr>
          <w:lang w:val="en-CA"/>
        </w:rPr>
        <w:t>e</w:t>
      </w:r>
      <w:r w:rsidRPr="00C2293A">
        <w:rPr>
          <w:lang w:val="en-CA"/>
        </w:rPr>
        <w:t>d., Thomson Reuters, 20</w:t>
      </w:r>
      <w:r>
        <w:rPr>
          <w:lang w:val="en-CA"/>
        </w:rPr>
        <w:t>22</w:t>
      </w:r>
      <w:r w:rsidRPr="00C2293A">
        <w:rPr>
          <w:lang w:val="en-CA"/>
        </w:rPr>
        <w:t xml:space="preserve"> (</w:t>
      </w:r>
      <w:r>
        <w:rPr>
          <w:lang w:val="en-CA"/>
        </w:rPr>
        <w:t>Release 2024-3, July</w:t>
      </w:r>
      <w:r w:rsidRPr="00C2293A">
        <w:rPr>
          <w:lang w:val="en-CA"/>
        </w:rPr>
        <w:t xml:space="preserve"> </w:t>
      </w:r>
      <w:r>
        <w:rPr>
          <w:lang w:val="en-CA"/>
        </w:rPr>
        <w:t>2024</w:t>
      </w:r>
      <w:r w:rsidRPr="00C2293A">
        <w:rPr>
          <w:lang w:val="en-CA"/>
        </w:rPr>
        <w:t>)</w:t>
      </w:r>
      <w:r>
        <w:rPr>
          <w:lang w:val="en-CA"/>
        </w:rPr>
        <w:t xml:space="preserve">, </w:t>
      </w:r>
      <w:r>
        <w:rPr>
          <w:rFonts w:cs="Arial"/>
          <w:lang w:val="en-CA"/>
        </w:rPr>
        <w:t>§</w:t>
      </w:r>
      <w:r>
        <w:rPr>
          <w:lang w:val="en-CA"/>
        </w:rPr>
        <w:t xml:space="preserve"> 9:20, Hill, </w:t>
      </w:r>
      <w:r>
        <w:rPr>
          <w:lang w:val="en-CA"/>
        </w:rPr>
        <w:t>Tanovich and Strezos make the following comments on the issue of inadequate police investigation: “</w:t>
      </w:r>
      <w:r w:rsidRPr="0069276C">
        <w:rPr>
          <w:lang w:val="en-CA"/>
        </w:rPr>
        <w:t>An accused may allege that the investigation conducted by the police was inadequate and thereby seek to raise a reasonable doubt about the existence of other non-indicted individuals who committed the offence and not the accused</w:t>
      </w:r>
      <w:r>
        <w:rPr>
          <w:lang w:val="en-CA"/>
        </w:rPr>
        <w:t>” (</w:t>
      </w:r>
      <w:r w:rsidRPr="0069276C">
        <w:rPr>
          <w:lang w:val="en-CA"/>
        </w:rPr>
        <w:t>§ 9:20</w:t>
      </w:r>
      <w:r>
        <w:rPr>
          <w:lang w:val="en-CA"/>
        </w:rPr>
        <w:t>). See also</w:t>
      </w:r>
      <w:r w:rsidRPr="00D84AF0">
        <w:rPr>
          <w:lang w:val="en-CA"/>
        </w:rPr>
        <w:t xml:space="preserve"> David </w:t>
      </w:r>
      <w:r>
        <w:rPr>
          <w:lang w:val="en-CA"/>
        </w:rPr>
        <w:t>Watt</w:t>
      </w:r>
      <w:r w:rsidRPr="00D84AF0">
        <w:rPr>
          <w:lang w:val="en-CA"/>
        </w:rPr>
        <w:t xml:space="preserve">, </w:t>
      </w:r>
      <w:r w:rsidRPr="00D84AF0">
        <w:rPr>
          <w:i/>
          <w:iCs/>
          <w:lang w:val="en-CA"/>
        </w:rPr>
        <w:t>Watt</w:t>
      </w:r>
      <w:r>
        <w:rPr>
          <w:i/>
          <w:iCs/>
          <w:lang w:val="en-CA"/>
        </w:rPr>
        <w:t>’</w:t>
      </w:r>
      <w:r w:rsidRPr="00D84AF0">
        <w:rPr>
          <w:i/>
          <w:iCs/>
          <w:lang w:val="en-CA"/>
        </w:rPr>
        <w:t>s Manual of Criminal Jury Instructions</w:t>
      </w:r>
      <w:r>
        <w:rPr>
          <w:lang w:val="en-CA"/>
        </w:rPr>
        <w:t>,</w:t>
      </w:r>
      <w:r w:rsidRPr="00D84AF0">
        <w:rPr>
          <w:lang w:val="en-CA"/>
        </w:rPr>
        <w:t xml:space="preserve"> 3</w:t>
      </w:r>
      <w:r>
        <w:rPr>
          <w:vertAlign w:val="superscript"/>
          <w:lang w:val="en-CA"/>
        </w:rPr>
        <w:t>rd</w:t>
      </w:r>
      <w:r w:rsidRPr="00D84AF0">
        <w:rPr>
          <w:lang w:val="en-CA"/>
        </w:rPr>
        <w:t xml:space="preserve"> </w:t>
      </w:r>
      <w:r>
        <w:rPr>
          <w:lang w:val="en-CA"/>
        </w:rPr>
        <w:t>e</w:t>
      </w:r>
      <w:r w:rsidRPr="00D84AF0">
        <w:rPr>
          <w:lang w:val="en-CA"/>
        </w:rPr>
        <w:t xml:space="preserve">d., </w:t>
      </w:r>
      <w:r>
        <w:rPr>
          <w:lang w:val="en-CA"/>
        </w:rPr>
        <w:t xml:space="preserve">Thomson Reuters, 2023, pp. 1225-1227; </w:t>
      </w:r>
      <w:r w:rsidRPr="00D84AF0">
        <w:rPr>
          <w:i/>
          <w:iCs/>
          <w:lang w:val="en-CA"/>
        </w:rPr>
        <w:t>R. v. Dhillon</w:t>
      </w:r>
      <w:r w:rsidRPr="00D84AF0">
        <w:rPr>
          <w:lang w:val="en-CA"/>
        </w:rPr>
        <w:t xml:space="preserve"> (2002), 166 C.C.C. (3d) 262 (</w:t>
      </w:r>
      <w:r>
        <w:rPr>
          <w:lang w:val="en-CA"/>
        </w:rPr>
        <w:t xml:space="preserve">Ont. </w:t>
      </w:r>
      <w:r w:rsidRPr="00D84AF0">
        <w:rPr>
          <w:lang w:val="en-CA"/>
        </w:rPr>
        <w:t xml:space="preserve">C.A.); </w:t>
      </w:r>
      <w:r w:rsidRPr="00D84AF0">
        <w:rPr>
          <w:i/>
          <w:iCs/>
          <w:lang w:val="en-CA"/>
        </w:rPr>
        <w:t>R. v. Mallory</w:t>
      </w:r>
      <w:r w:rsidRPr="00D84AF0">
        <w:rPr>
          <w:lang w:val="en-CA"/>
        </w:rPr>
        <w:t xml:space="preserve">, 2007 ONCA 46; </w:t>
      </w:r>
      <w:r w:rsidRPr="00D84AF0">
        <w:rPr>
          <w:i/>
          <w:iCs/>
          <w:lang w:val="en-CA"/>
        </w:rPr>
        <w:t xml:space="preserve">R. </w:t>
      </w:r>
      <w:r>
        <w:rPr>
          <w:i/>
          <w:iCs/>
          <w:lang w:val="en-CA"/>
        </w:rPr>
        <w:t>v</w:t>
      </w:r>
      <w:r w:rsidRPr="00D84AF0">
        <w:rPr>
          <w:i/>
          <w:iCs/>
          <w:lang w:val="en-CA"/>
        </w:rPr>
        <w:t>. Van</w:t>
      </w:r>
      <w:r w:rsidRPr="00D84AF0">
        <w:rPr>
          <w:lang w:val="en-CA"/>
        </w:rPr>
        <w:t>, 2009 S</w:t>
      </w:r>
      <w:r>
        <w:rPr>
          <w:lang w:val="en-CA"/>
        </w:rPr>
        <w:t>C</w:t>
      </w:r>
      <w:r w:rsidRPr="00D84AF0">
        <w:rPr>
          <w:lang w:val="en-CA"/>
        </w:rPr>
        <w:t xml:space="preserve">C 22, [2009] 1 </w:t>
      </w:r>
      <w:r>
        <w:rPr>
          <w:lang w:val="en-CA"/>
        </w:rPr>
        <w:t>S.C.</w:t>
      </w:r>
      <w:r w:rsidRPr="00D84AF0">
        <w:rPr>
          <w:lang w:val="en-CA"/>
        </w:rPr>
        <w:t>R. 716.</w:t>
      </w:r>
    </w:p>
  </w:footnote>
  <w:footnote w:id="52">
    <w:p w14:paraId="06DB8148" w14:textId="77777777" w:rsidR="00CC0181" w:rsidRDefault="00CC0181" w:rsidP="003D433F">
      <w:pPr>
        <w:pStyle w:val="Notedebasdepage"/>
      </w:pPr>
      <w:r>
        <w:rPr>
          <w:rStyle w:val="Appelnotedebasdep"/>
        </w:rPr>
        <w:footnoteRef/>
      </w:r>
      <w:r>
        <w:t xml:space="preserve"> </w:t>
      </w:r>
      <w:r>
        <w:tab/>
      </w:r>
      <w:r w:rsidRPr="00291706">
        <w:rPr>
          <w:i/>
          <w:iCs/>
        </w:rPr>
        <w:t xml:space="preserve">R. </w:t>
      </w:r>
      <w:r w:rsidRPr="000F480A">
        <w:rPr>
          <w:i/>
          <w:iCs/>
        </w:rPr>
        <w:t xml:space="preserve">v. </w:t>
      </w:r>
      <w:r w:rsidRPr="000F480A">
        <w:rPr>
          <w:i/>
          <w:iCs/>
        </w:rPr>
        <w:t>Walle</w:t>
      </w:r>
      <w:r w:rsidRPr="000F480A">
        <w:t>, 2012 SCC 41, [2012] 2 S.C.R. 438</w:t>
      </w:r>
      <w:r>
        <w:t>.</w:t>
      </w:r>
    </w:p>
  </w:footnote>
  <w:footnote w:id="53">
    <w:p w14:paraId="2DFB6559" w14:textId="77777777" w:rsidR="00CC0181" w:rsidRDefault="00CC0181" w:rsidP="003D433F">
      <w:pPr>
        <w:pStyle w:val="Notedebasdepage"/>
      </w:pPr>
      <w:r>
        <w:rPr>
          <w:rStyle w:val="Appelnotedebasdep"/>
        </w:rPr>
        <w:footnoteRef/>
      </w:r>
      <w:r w:rsidRPr="00A15553">
        <w:t xml:space="preserve"> </w:t>
      </w:r>
      <w:r w:rsidRPr="00A15553">
        <w:tab/>
      </w:r>
      <w:r w:rsidRPr="00A15553">
        <w:rPr>
          <w:i/>
          <w:iCs/>
        </w:rPr>
        <w:t xml:space="preserve">R. </w:t>
      </w:r>
      <w:r w:rsidRPr="000F480A">
        <w:rPr>
          <w:i/>
          <w:iCs/>
        </w:rPr>
        <w:t>v. J.M.H.</w:t>
      </w:r>
      <w:r w:rsidRPr="000F480A">
        <w:t xml:space="preserve">, 2011 SCC 45, [2011] 3 S.C.R. </w:t>
      </w:r>
      <w:r w:rsidRPr="00A15553">
        <w:t>197, par</w:t>
      </w:r>
      <w:r>
        <w:t>as</w:t>
      </w:r>
      <w:r w:rsidRPr="00A15553">
        <w:t xml:space="preserve">. </w:t>
      </w:r>
      <w:r>
        <w:t>31-32.</w:t>
      </w:r>
    </w:p>
  </w:footnote>
  <w:footnote w:id="54">
    <w:p w14:paraId="206BD808" w14:textId="77777777" w:rsidR="00CC0181" w:rsidRDefault="00CC0181" w:rsidP="003D433F">
      <w:pPr>
        <w:pStyle w:val="Notedebasdepage"/>
      </w:pPr>
      <w:r>
        <w:rPr>
          <w:rStyle w:val="Appelnotedebasdep"/>
        </w:rPr>
        <w:footnoteRef/>
      </w:r>
      <w:r>
        <w:t xml:space="preserve"> </w:t>
      </w:r>
      <w:r>
        <w:tab/>
      </w:r>
      <w:r w:rsidRPr="00A929F0">
        <w:rPr>
          <w:i/>
          <w:iCs/>
        </w:rPr>
        <w:t xml:space="preserve">R. </w:t>
      </w:r>
      <w:r>
        <w:rPr>
          <w:i/>
          <w:iCs/>
        </w:rPr>
        <w:t>v</w:t>
      </w:r>
      <w:r w:rsidRPr="00A929F0">
        <w:rPr>
          <w:i/>
          <w:iCs/>
        </w:rPr>
        <w:t>. R.E.M.</w:t>
      </w:r>
      <w:r w:rsidRPr="00A929F0">
        <w:t>, 2008 S</w:t>
      </w:r>
      <w:r>
        <w:t>C</w:t>
      </w:r>
      <w:r w:rsidRPr="00A929F0">
        <w:t xml:space="preserve">C 51, [2008] 3 </w:t>
      </w:r>
      <w:r>
        <w:t>S.C.</w:t>
      </w:r>
      <w:r w:rsidRPr="00A929F0">
        <w:t>R. 3, pa</w:t>
      </w:r>
      <w:r>
        <w:t>ra</w:t>
      </w:r>
      <w:r w:rsidRPr="00A929F0">
        <w:t xml:space="preserve">. </w:t>
      </w:r>
      <w:r>
        <w:t>56.</w:t>
      </w:r>
    </w:p>
  </w:footnote>
  <w:footnote w:id="55">
    <w:p w14:paraId="644B766F" w14:textId="77777777" w:rsidR="00CC0181" w:rsidRPr="00942D2C" w:rsidRDefault="00CC0181" w:rsidP="003D433F">
      <w:pPr>
        <w:pStyle w:val="Notedebasdepage"/>
        <w:rPr>
          <w:lang w:val="en-CA"/>
        </w:rPr>
      </w:pPr>
      <w:r>
        <w:rPr>
          <w:rStyle w:val="Appelnotedebasdep"/>
        </w:rPr>
        <w:footnoteRef/>
      </w:r>
      <w:r>
        <w:t xml:space="preserve"> </w:t>
      </w:r>
      <w:r>
        <w:tab/>
      </w:r>
      <w:r w:rsidRPr="00F82DF5">
        <w:rPr>
          <w:i/>
          <w:iCs/>
        </w:rPr>
        <w:t xml:space="preserve">R. </w:t>
      </w:r>
      <w:r>
        <w:rPr>
          <w:i/>
          <w:iCs/>
        </w:rPr>
        <w:t>v</w:t>
      </w:r>
      <w:r w:rsidRPr="00F82DF5">
        <w:rPr>
          <w:i/>
          <w:iCs/>
        </w:rPr>
        <w:t>. J.M.H.</w:t>
      </w:r>
      <w:r w:rsidRPr="00F82DF5">
        <w:t>, 2011 S</w:t>
      </w:r>
      <w:r>
        <w:t>C</w:t>
      </w:r>
      <w:r w:rsidRPr="00F82DF5">
        <w:t xml:space="preserve">C 45, [2011] 3 </w:t>
      </w:r>
      <w:r>
        <w:t>S.C.</w:t>
      </w:r>
      <w:r w:rsidRPr="00F82DF5">
        <w:t>R</w:t>
      </w:r>
      <w:r>
        <w:t>.</w:t>
      </w:r>
      <w:r w:rsidRPr="00F82DF5">
        <w:t xml:space="preserve"> 197</w:t>
      </w:r>
      <w:r>
        <w:t xml:space="preserve">; </w:t>
      </w:r>
      <w:r w:rsidRPr="00646954">
        <w:rPr>
          <w:i/>
          <w:iCs/>
        </w:rPr>
        <w:t>R. c. Leblanc</w:t>
      </w:r>
      <w:r w:rsidRPr="00646954">
        <w:t>, 2021 QCCA 1283</w:t>
      </w:r>
      <w:r>
        <w:t xml:space="preserve">, paras. </w:t>
      </w:r>
      <w:r w:rsidRPr="00E75843">
        <w:rPr>
          <w:lang w:val="en-CA"/>
        </w:rPr>
        <w:t xml:space="preserve">159-161, 175-181; </w:t>
      </w:r>
      <w:r w:rsidRPr="00E75843">
        <w:rPr>
          <w:i/>
          <w:iCs/>
          <w:lang w:val="en-CA"/>
        </w:rPr>
        <w:t>R. v. Rudge</w:t>
      </w:r>
      <w:r w:rsidRPr="00E75843">
        <w:rPr>
          <w:lang w:val="en-CA"/>
        </w:rPr>
        <w:t>, 2011 ONCA 791, paras. 65-69, leave to appe</w:t>
      </w:r>
      <w:r w:rsidRPr="009B7F64">
        <w:rPr>
          <w:lang w:val="en-CA"/>
        </w:rPr>
        <w:t>a</w:t>
      </w:r>
      <w:r w:rsidRPr="00E75843">
        <w:rPr>
          <w:lang w:val="en-CA"/>
        </w:rPr>
        <w:t>l denied [2012] 2 S.C</w:t>
      </w:r>
      <w:r w:rsidRPr="009B7F64">
        <w:rPr>
          <w:lang w:val="en-CA"/>
        </w:rPr>
        <w:t>.</w:t>
      </w:r>
      <w:r w:rsidRPr="00E75843">
        <w:rPr>
          <w:lang w:val="en-CA"/>
        </w:rPr>
        <w:t xml:space="preserve">R. </w:t>
      </w:r>
      <w:r w:rsidRPr="00942D2C">
        <w:rPr>
          <w:lang w:val="en-CA"/>
        </w:rPr>
        <w:t>ix.</w:t>
      </w:r>
    </w:p>
  </w:footnote>
  <w:footnote w:id="56">
    <w:p w14:paraId="3E0B5DC3" w14:textId="77777777" w:rsidR="00CC0181" w:rsidRPr="00942D2C" w:rsidRDefault="00CC0181" w:rsidP="003D433F">
      <w:pPr>
        <w:pStyle w:val="Notedebasdepage"/>
        <w:rPr>
          <w:lang w:val="en-CA"/>
        </w:rPr>
      </w:pPr>
      <w:r>
        <w:rPr>
          <w:rStyle w:val="Appelnotedebasdep"/>
        </w:rPr>
        <w:footnoteRef/>
      </w:r>
      <w:r w:rsidRPr="00942D2C">
        <w:rPr>
          <w:lang w:val="en-CA"/>
        </w:rPr>
        <w:t xml:space="preserve"> </w:t>
      </w:r>
      <w:r w:rsidRPr="00942D2C">
        <w:rPr>
          <w:lang w:val="en-CA"/>
        </w:rPr>
        <w:tab/>
      </w:r>
      <w:r w:rsidRPr="00932515">
        <w:rPr>
          <w:color w:val="000000"/>
          <w:lang w:val="en-CA"/>
        </w:rPr>
        <w:t xml:space="preserve">Evidence of the accused’s after-the-fact conduct may </w:t>
      </w:r>
      <w:r>
        <w:rPr>
          <w:color w:val="000000"/>
          <w:lang w:val="en-CA"/>
        </w:rPr>
        <w:t>support an inference of innocence</w:t>
      </w:r>
      <w:r w:rsidRPr="00400AF5">
        <w:rPr>
          <w:lang w:val="en-CA"/>
        </w:rPr>
        <w:t xml:space="preserve">: </w:t>
      </w:r>
      <w:r w:rsidRPr="00400AF5">
        <w:rPr>
          <w:i/>
          <w:iCs/>
          <w:lang w:val="en-CA"/>
        </w:rPr>
        <w:t xml:space="preserve">R. v. </w:t>
      </w:r>
      <w:r w:rsidRPr="00400AF5">
        <w:rPr>
          <w:i/>
          <w:iCs/>
          <w:lang w:val="en-CA"/>
        </w:rPr>
        <w:t>B.(S.C.)</w:t>
      </w:r>
      <w:r w:rsidRPr="00400AF5">
        <w:rPr>
          <w:lang w:val="en-CA"/>
        </w:rPr>
        <w:t xml:space="preserve"> </w:t>
      </w:r>
      <w:r>
        <w:t xml:space="preserve">(1997), </w:t>
      </w:r>
      <w:r w:rsidRPr="00203008">
        <w:t>119 C</w:t>
      </w:r>
      <w:r>
        <w:t>.</w:t>
      </w:r>
      <w:r w:rsidRPr="00203008">
        <w:t>C</w:t>
      </w:r>
      <w:r>
        <w:t>.</w:t>
      </w:r>
      <w:r w:rsidRPr="00203008">
        <w:t>C</w:t>
      </w:r>
      <w:r>
        <w:t>.</w:t>
      </w:r>
      <w:r w:rsidRPr="00203008">
        <w:t xml:space="preserve"> (3d) 530</w:t>
      </w:r>
      <w:r>
        <w:t xml:space="preserve"> (Ont. C.A.), paras. </w:t>
      </w:r>
      <w:r w:rsidRPr="00C44326">
        <w:t xml:space="preserve">34-37; </w:t>
      </w:r>
      <w:r w:rsidRPr="00C44326">
        <w:rPr>
          <w:i/>
          <w:iCs/>
        </w:rPr>
        <w:t xml:space="preserve">R. v. </w:t>
      </w:r>
      <w:r w:rsidRPr="00C44326">
        <w:rPr>
          <w:i/>
          <w:iCs/>
        </w:rPr>
        <w:t>Trochym</w:t>
      </w:r>
      <w:r w:rsidRPr="00C44326">
        <w:t xml:space="preserve">, 2007 SCC 6, [2007] 1 S.C.R. 239, para. </w:t>
      </w:r>
      <w:r w:rsidRPr="00942D2C">
        <w:rPr>
          <w:lang w:val="en-CA"/>
        </w:rPr>
        <w:t xml:space="preserve">161 (Bastarache J., dissenting but not on this point). </w:t>
      </w:r>
      <w:r w:rsidRPr="00932515">
        <w:rPr>
          <w:lang w:val="en-CA"/>
        </w:rPr>
        <w:t>In “Simply Complex: Applying the Law of ‘Post</w:t>
      </w:r>
      <w:r w:rsidRPr="00932515">
        <w:rPr>
          <w:rFonts w:ascii="Cambria Math" w:hAnsi="Cambria Math" w:cs="Cambria Math"/>
          <w:lang w:val="en-CA"/>
        </w:rPr>
        <w:t>‑</w:t>
      </w:r>
      <w:r w:rsidRPr="00932515">
        <w:rPr>
          <w:lang w:val="en-CA"/>
        </w:rPr>
        <w:t>Offence Conduct’ Evidence</w:t>
      </w:r>
      <w:r w:rsidRPr="00932515">
        <w:rPr>
          <w:rFonts w:cs="Arial"/>
          <w:lang w:val="en-CA"/>
        </w:rPr>
        <w:t>”</w:t>
      </w:r>
      <w:r w:rsidRPr="00932515">
        <w:rPr>
          <w:lang w:val="en-CA"/>
        </w:rPr>
        <w:t xml:space="preserve"> (2016), 63 C.L.Q. 275, Paciocco explains the</w:t>
      </w:r>
      <w:r>
        <w:rPr>
          <w:lang w:val="en-CA"/>
        </w:rPr>
        <w:t xml:space="preserve"> rationale behind the relevance of such evidence and the inferences that can be drawn from it</w:t>
      </w:r>
      <w:r w:rsidRPr="00400AF5">
        <w:rPr>
          <w:lang w:val="en-CA"/>
        </w:rPr>
        <w:t xml:space="preserve">: “Post-conduct evidence by accused persons can even be admitted as </w:t>
      </w:r>
      <w:r w:rsidRPr="009B7F64">
        <w:rPr>
          <w:lang w:val="en-CA"/>
        </w:rPr>
        <w:t>‘</w:t>
      </w:r>
      <w:r w:rsidRPr="00932515">
        <w:rPr>
          <w:lang w:val="en-CA"/>
        </w:rPr>
        <w:t>consciousness of innocence’ evidence, by showing that the accused person acted as an innocent person would” (p. 290)</w:t>
      </w:r>
      <w:r w:rsidRPr="00942D2C">
        <w:rPr>
          <w:lang w:val="en-CA"/>
        </w:rPr>
        <w:t>.</w:t>
      </w:r>
    </w:p>
  </w:footnote>
  <w:footnote w:id="57">
    <w:p w14:paraId="5518C8B9" w14:textId="77777777" w:rsidR="00CC0181" w:rsidRDefault="00CC0181" w:rsidP="003D433F">
      <w:pPr>
        <w:pStyle w:val="Notedebasdepage"/>
      </w:pPr>
      <w:r>
        <w:rPr>
          <w:rStyle w:val="Appelnotedebasdep"/>
        </w:rPr>
        <w:footnoteRef/>
      </w:r>
      <w:r w:rsidRPr="00942D2C">
        <w:rPr>
          <w:lang w:val="en-CA"/>
        </w:rPr>
        <w:t xml:space="preserve"> </w:t>
      </w:r>
      <w:r w:rsidRPr="00942D2C">
        <w:rPr>
          <w:lang w:val="en-CA"/>
        </w:rPr>
        <w:tab/>
      </w:r>
      <w:r w:rsidRPr="00932515">
        <w:rPr>
          <w:lang w:val="en-CA"/>
        </w:rPr>
        <w:t xml:space="preserve">Failure to tender a witness may leave a gap in the prosecution’s case such as to raise a reasonable doubt as to the accused’s guilt: </w:t>
      </w:r>
      <w:r w:rsidRPr="00932515">
        <w:rPr>
          <w:i/>
          <w:iCs/>
          <w:lang w:val="en-CA"/>
        </w:rPr>
        <w:t xml:space="preserve">R. v. </w:t>
      </w:r>
      <w:r w:rsidRPr="00932515">
        <w:rPr>
          <w:i/>
          <w:iCs/>
          <w:lang w:val="en-CA"/>
        </w:rPr>
        <w:t>Yebes</w:t>
      </w:r>
      <w:r w:rsidRPr="00932515">
        <w:rPr>
          <w:lang w:val="en-CA"/>
        </w:rPr>
        <w:t xml:space="preserve">, [1987] 2 S.C.R. 168, pp. 190-191; </w:t>
      </w:r>
      <w:r w:rsidRPr="00932515">
        <w:rPr>
          <w:i/>
          <w:iCs/>
          <w:lang w:val="en-CA"/>
        </w:rPr>
        <w:t>R. v. Cook</w:t>
      </w:r>
      <w:r w:rsidRPr="00932515">
        <w:rPr>
          <w:lang w:val="en-CA"/>
        </w:rPr>
        <w:t xml:space="preserve">, [1997] 1 S.C.R. </w:t>
      </w:r>
      <w:r w:rsidRPr="00942D2C">
        <w:rPr>
          <w:lang w:val="en-CA"/>
        </w:rPr>
        <w:t xml:space="preserve">1113, paras. </w:t>
      </w:r>
      <w:r w:rsidRPr="00B327C1">
        <w:t>30-31.</w:t>
      </w:r>
    </w:p>
  </w:footnote>
  <w:footnote w:id="58">
    <w:p w14:paraId="32D9349A" w14:textId="77777777" w:rsidR="00CC0181" w:rsidRDefault="00CC0181" w:rsidP="003D433F">
      <w:pPr>
        <w:pStyle w:val="Notedebasdepage"/>
      </w:pPr>
      <w:r>
        <w:rPr>
          <w:rStyle w:val="Appelnotedebasdep"/>
        </w:rPr>
        <w:footnoteRef/>
      </w:r>
      <w:r>
        <w:t xml:space="preserve"> </w:t>
      </w:r>
      <w:r>
        <w:tab/>
      </w:r>
      <w:r w:rsidRPr="00CA1F19">
        <w:rPr>
          <w:rFonts w:cs="Arial"/>
          <w:i/>
          <w:iCs/>
        </w:rPr>
        <w:t>R. c. Fera</w:t>
      </w:r>
      <w:r w:rsidRPr="00CA1F19">
        <w:rPr>
          <w:rFonts w:cs="Arial"/>
        </w:rPr>
        <w:t>, 2021 QCCS 5209</w:t>
      </w:r>
      <w:r w:rsidRPr="00590FA3">
        <w:t>, par</w:t>
      </w:r>
      <w:r>
        <w:t>as</w:t>
      </w:r>
      <w:r w:rsidRPr="00590FA3">
        <w:t>. 149</w:t>
      </w:r>
      <w:r>
        <w:t>,</w:t>
      </w:r>
      <w:r w:rsidRPr="00590FA3">
        <w:t xml:space="preserve"> 165.</w:t>
      </w:r>
    </w:p>
  </w:footnote>
  <w:footnote w:id="59">
    <w:p w14:paraId="51C3D827" w14:textId="77777777" w:rsidR="00CC0181" w:rsidRPr="00942D2C" w:rsidRDefault="00CC0181" w:rsidP="003D433F">
      <w:pPr>
        <w:pStyle w:val="Notedebasdepage"/>
        <w:rPr>
          <w:lang w:val="en-CA"/>
        </w:rPr>
      </w:pPr>
      <w:r>
        <w:rPr>
          <w:rStyle w:val="Appelnotedebasdep"/>
        </w:rPr>
        <w:footnoteRef/>
      </w:r>
      <w:r w:rsidRPr="003E177D">
        <w:t xml:space="preserve"> </w:t>
      </w:r>
      <w:r w:rsidRPr="003E177D">
        <w:tab/>
      </w:r>
      <w:r w:rsidRPr="003E177D">
        <w:rPr>
          <w:i/>
          <w:iCs/>
        </w:rPr>
        <w:t xml:space="preserve">R. v. </w:t>
      </w:r>
      <w:r w:rsidRPr="003E177D">
        <w:rPr>
          <w:i/>
          <w:iCs/>
        </w:rPr>
        <w:t>Doodnaught</w:t>
      </w:r>
      <w:r w:rsidRPr="003E177D">
        <w:t>, 2017 ONCA 781, par</w:t>
      </w:r>
      <w:r>
        <w:t>as</w:t>
      </w:r>
      <w:r w:rsidRPr="003E177D">
        <w:t xml:space="preserve">. 66-70; </w:t>
      </w:r>
      <w:r w:rsidRPr="003E177D">
        <w:rPr>
          <w:i/>
          <w:iCs/>
        </w:rPr>
        <w:t>Dion c. R.</w:t>
      </w:r>
      <w:r w:rsidRPr="003E177D">
        <w:t>, 2010 QCCA 941, par</w:t>
      </w:r>
      <w:r>
        <w:t>as</w:t>
      </w:r>
      <w:r w:rsidRPr="003E177D">
        <w:t xml:space="preserve">. </w:t>
      </w:r>
      <w:r w:rsidRPr="00E75843">
        <w:rPr>
          <w:lang w:val="en-CA"/>
        </w:rPr>
        <w:t xml:space="preserve">56-58; Matthew Gourlay </w:t>
      </w:r>
      <w:r w:rsidRPr="00E75843">
        <w:rPr>
          <w:i/>
          <w:iCs/>
          <w:lang w:val="en-CA"/>
        </w:rPr>
        <w:t>et al.</w:t>
      </w:r>
      <w:r w:rsidRPr="00E75843">
        <w:rPr>
          <w:lang w:val="en-CA"/>
        </w:rPr>
        <w:t xml:space="preserve">, </w:t>
      </w:r>
      <w:r w:rsidRPr="00E75843">
        <w:rPr>
          <w:i/>
          <w:iCs/>
          <w:lang w:val="en-CA"/>
        </w:rPr>
        <w:t>Modern Criminal Evidence</w:t>
      </w:r>
      <w:r w:rsidRPr="00E75843">
        <w:rPr>
          <w:lang w:val="en-CA"/>
        </w:rPr>
        <w:t xml:space="preserve">, Emond, 2021, pp. 168-169; S. Casey Hill, David M. Tanovich &amp; Louis P. Strezos, </w:t>
      </w:r>
      <w:r w:rsidRPr="00E75843">
        <w:rPr>
          <w:i/>
          <w:iCs/>
          <w:lang w:val="en-CA"/>
        </w:rPr>
        <w:t>McWilliams’ Criminal Canadian Evidence</w:t>
      </w:r>
      <w:r w:rsidRPr="00E75843">
        <w:rPr>
          <w:lang w:val="en-CA"/>
        </w:rPr>
        <w:t>, 5</w:t>
      </w:r>
      <w:r w:rsidRPr="00E75843">
        <w:rPr>
          <w:vertAlign w:val="superscript"/>
          <w:lang w:val="en-CA"/>
        </w:rPr>
        <w:t>th</w:t>
      </w:r>
      <w:r w:rsidRPr="00E75843">
        <w:rPr>
          <w:lang w:val="en-CA"/>
        </w:rPr>
        <w:t> ed., Thomson Reuters, 2022 (</w:t>
      </w:r>
      <w:r>
        <w:rPr>
          <w:lang w:val="en-CA"/>
        </w:rPr>
        <w:t>loose-leaf</w:t>
      </w:r>
      <w:r w:rsidRPr="00E75843">
        <w:rPr>
          <w:lang w:val="en-CA"/>
        </w:rPr>
        <w:t xml:space="preserve">, </w:t>
      </w:r>
      <w:r>
        <w:rPr>
          <w:lang w:val="en-CA"/>
        </w:rPr>
        <w:t>Update</w:t>
      </w:r>
      <w:r w:rsidRPr="00E75843">
        <w:rPr>
          <w:lang w:val="en-CA"/>
        </w:rPr>
        <w:t xml:space="preserve"> 2024-3, Ju</w:t>
      </w:r>
      <w:r>
        <w:rPr>
          <w:lang w:val="en-CA"/>
        </w:rPr>
        <w:t>ly</w:t>
      </w:r>
      <w:r w:rsidRPr="00E75843">
        <w:rPr>
          <w:lang w:val="en-CA"/>
        </w:rPr>
        <w:t xml:space="preserve"> 2024)</w:t>
      </w:r>
      <w:r>
        <w:rPr>
          <w:lang w:val="en-CA"/>
        </w:rPr>
        <w:t>,</w:t>
      </w:r>
      <w:r w:rsidRPr="00E75843">
        <w:rPr>
          <w:lang w:val="en-CA"/>
        </w:rPr>
        <w:t xml:space="preserve"> § 31:41; Eugene G. Ewaschuk, </w:t>
      </w:r>
      <w:r w:rsidRPr="00E75843">
        <w:rPr>
          <w:i/>
          <w:iCs/>
          <w:lang w:val="en-CA"/>
        </w:rPr>
        <w:t>Criminal Pleadings &amp; Practice in Canada</w:t>
      </w:r>
      <w:r w:rsidRPr="00E75843">
        <w:rPr>
          <w:lang w:val="en-CA"/>
        </w:rPr>
        <w:t>, 3</w:t>
      </w:r>
      <w:r>
        <w:rPr>
          <w:vertAlign w:val="superscript"/>
          <w:lang w:val="en-CA"/>
        </w:rPr>
        <w:t>re</w:t>
      </w:r>
      <w:r w:rsidRPr="00E75843">
        <w:rPr>
          <w:lang w:val="en-CA"/>
        </w:rPr>
        <w:t> </w:t>
      </w:r>
      <w:r>
        <w:rPr>
          <w:lang w:val="en-CA"/>
        </w:rPr>
        <w:t>e</w:t>
      </w:r>
      <w:r w:rsidRPr="00E75843">
        <w:rPr>
          <w:lang w:val="en-CA"/>
        </w:rPr>
        <w:t>d., Thomson Reuters, 2022 (loose-leaf, release</w:t>
      </w:r>
      <w:r>
        <w:rPr>
          <w:lang w:val="en-CA"/>
        </w:rPr>
        <w:t xml:space="preserve"> No</w:t>
      </w:r>
      <w:r w:rsidRPr="00E75843">
        <w:rPr>
          <w:lang w:val="en-CA"/>
        </w:rPr>
        <w:t>. 6, August 2024), § 16:688</w:t>
      </w:r>
      <w:r w:rsidRPr="00942D2C">
        <w:rPr>
          <w:lang w:val="en-CA"/>
        </w:rPr>
        <w:t>.</w:t>
      </w:r>
    </w:p>
  </w:footnote>
  <w:footnote w:id="60">
    <w:p w14:paraId="614832B2" w14:textId="77777777" w:rsidR="00CC0181" w:rsidRPr="00E7398B" w:rsidRDefault="00CC0181" w:rsidP="003D433F">
      <w:pPr>
        <w:pStyle w:val="Notedebasdepage"/>
        <w:rPr>
          <w:lang w:val="en-CA"/>
        </w:rPr>
      </w:pPr>
      <w:r>
        <w:rPr>
          <w:rStyle w:val="Appelnotedebasdep"/>
        </w:rPr>
        <w:footnoteRef/>
      </w:r>
      <w:r>
        <w:t xml:space="preserve"> </w:t>
      </w:r>
      <w:r>
        <w:tab/>
      </w:r>
      <w:r w:rsidRPr="00CA1F19">
        <w:rPr>
          <w:rFonts w:cs="Arial"/>
          <w:i/>
          <w:iCs/>
        </w:rPr>
        <w:t>R. c. Fera</w:t>
      </w:r>
      <w:r w:rsidRPr="00CA1F19">
        <w:rPr>
          <w:rFonts w:cs="Arial"/>
        </w:rPr>
        <w:t>, 2021 QCCS 5209</w:t>
      </w:r>
      <w:r>
        <w:t xml:space="preserve">, para. </w:t>
      </w:r>
      <w:r w:rsidRPr="00E7398B">
        <w:rPr>
          <w:lang w:val="en-CA"/>
        </w:rPr>
        <w:t>151.</w:t>
      </w:r>
    </w:p>
  </w:footnote>
  <w:footnote w:id="61">
    <w:p w14:paraId="29CDD166" w14:textId="77777777" w:rsidR="00CC0181" w:rsidRPr="00E7398B" w:rsidRDefault="00CC0181" w:rsidP="003D433F">
      <w:pPr>
        <w:pStyle w:val="Notedebasdepage"/>
        <w:rPr>
          <w:lang w:val="en-CA"/>
        </w:rPr>
      </w:pPr>
      <w:r>
        <w:rPr>
          <w:rStyle w:val="Appelnotedebasdep"/>
        </w:rPr>
        <w:footnoteRef/>
      </w:r>
      <w:r w:rsidRPr="00E7398B">
        <w:rPr>
          <w:lang w:val="en-CA"/>
        </w:rPr>
        <w:t xml:space="preserve"> </w:t>
      </w:r>
      <w:r w:rsidRPr="00E7398B">
        <w:rPr>
          <w:lang w:val="en-CA"/>
        </w:rPr>
        <w:tab/>
      </w:r>
      <w:r w:rsidRPr="00E7398B">
        <w:rPr>
          <w:i/>
          <w:iCs/>
          <w:lang w:val="en-CA"/>
        </w:rPr>
        <w:t>R. v. Turner</w:t>
      </w:r>
      <w:r w:rsidRPr="00E7398B">
        <w:rPr>
          <w:lang w:val="en-CA"/>
        </w:rPr>
        <w:t>, 2023 MBCA 40, para. 46.</w:t>
      </w:r>
    </w:p>
  </w:footnote>
  <w:footnote w:id="62">
    <w:p w14:paraId="57E6FDC3" w14:textId="77777777" w:rsidR="00CC0181" w:rsidRPr="00942D2C" w:rsidRDefault="00CC0181" w:rsidP="003D433F">
      <w:pPr>
        <w:pStyle w:val="Notedebasdepage"/>
        <w:rPr>
          <w:lang w:val="en-CA"/>
        </w:rPr>
      </w:pPr>
      <w:r>
        <w:rPr>
          <w:rStyle w:val="Appelnotedebasdep"/>
        </w:rPr>
        <w:footnoteRef/>
      </w:r>
      <w:r w:rsidRPr="00942D2C">
        <w:rPr>
          <w:lang w:val="en-CA"/>
        </w:rPr>
        <w:t xml:space="preserve"> </w:t>
      </w:r>
      <w:r w:rsidRPr="00942D2C">
        <w:rPr>
          <w:lang w:val="en-CA"/>
        </w:rPr>
        <w:tab/>
      </w:r>
      <w:r w:rsidRPr="00942D2C">
        <w:rPr>
          <w:i/>
          <w:iCs/>
          <w:lang w:val="en-CA"/>
        </w:rPr>
        <w:t>R. v. Rudge</w:t>
      </w:r>
      <w:r w:rsidRPr="00942D2C">
        <w:rPr>
          <w:lang w:val="en-CA"/>
        </w:rPr>
        <w:t>, 2011 ONCA 791</w:t>
      </w:r>
      <w:r w:rsidRPr="00E75843">
        <w:rPr>
          <w:lang w:val="en-CA"/>
        </w:rPr>
        <w:t xml:space="preserve">, leave to appeal denied [2012] 2 </w:t>
      </w:r>
      <w:r>
        <w:rPr>
          <w:lang w:val="en-CA"/>
        </w:rPr>
        <w:t>S.C.</w:t>
      </w:r>
      <w:r w:rsidRPr="00E75843">
        <w:rPr>
          <w:lang w:val="en-CA"/>
        </w:rPr>
        <w:t>R. ix</w:t>
      </w:r>
      <w:r w:rsidRPr="00942D2C">
        <w:rPr>
          <w:lang w:val="en-CA"/>
        </w:rPr>
        <w:t>.</w:t>
      </w:r>
    </w:p>
  </w:footnote>
  <w:footnote w:id="63">
    <w:p w14:paraId="53A1F529" w14:textId="77777777" w:rsidR="00CC0181" w:rsidRDefault="00CC0181" w:rsidP="003D433F">
      <w:pPr>
        <w:pStyle w:val="Notedebasdepage"/>
      </w:pPr>
      <w:r>
        <w:rPr>
          <w:rStyle w:val="Appelnotedebasdep"/>
        </w:rPr>
        <w:footnoteRef/>
      </w:r>
      <w:r w:rsidRPr="004A4798">
        <w:t xml:space="preserve"> </w:t>
      </w:r>
      <w:r w:rsidRPr="004A4798">
        <w:tab/>
      </w:r>
      <w:r>
        <w:rPr>
          <w:i/>
          <w:iCs/>
        </w:rPr>
        <w:t>Id.</w:t>
      </w:r>
      <w:r>
        <w:t>,</w:t>
      </w:r>
      <w:r w:rsidRPr="004A4798">
        <w:t xml:space="preserve"> par</w:t>
      </w:r>
      <w:r>
        <w:t>a</w:t>
      </w:r>
      <w:r w:rsidRPr="004A4798">
        <w:t xml:space="preserve">. </w:t>
      </w:r>
      <w:r w:rsidRPr="0057513D">
        <w:t>65</w:t>
      </w:r>
      <w:r>
        <w:t>.</w:t>
      </w:r>
    </w:p>
  </w:footnote>
  <w:footnote w:id="64">
    <w:p w14:paraId="0746FF23" w14:textId="77777777" w:rsidR="00CC0181" w:rsidRPr="00942D2C" w:rsidRDefault="00CC0181" w:rsidP="003D433F">
      <w:pPr>
        <w:pStyle w:val="Notedebasdepage"/>
        <w:rPr>
          <w:lang w:val="en-CA"/>
        </w:rPr>
      </w:pPr>
      <w:r>
        <w:rPr>
          <w:rStyle w:val="Appelnotedebasdep"/>
        </w:rPr>
        <w:footnoteRef/>
      </w:r>
      <w:r>
        <w:t xml:space="preserve"> </w:t>
      </w:r>
      <w:r>
        <w:tab/>
      </w:r>
      <w:r w:rsidRPr="00CA1F19">
        <w:rPr>
          <w:rFonts w:cs="Arial"/>
          <w:i/>
          <w:iCs/>
        </w:rPr>
        <w:t>R. c. Fera</w:t>
      </w:r>
      <w:r w:rsidRPr="00CA1F19">
        <w:rPr>
          <w:rFonts w:cs="Arial"/>
        </w:rPr>
        <w:t>, 2021 QCCS 5209</w:t>
      </w:r>
      <w:r>
        <w:t xml:space="preserve">, para. </w:t>
      </w:r>
      <w:r w:rsidRPr="00942D2C">
        <w:rPr>
          <w:lang w:val="en-CA"/>
        </w:rPr>
        <w:t>153.</w:t>
      </w:r>
    </w:p>
  </w:footnote>
  <w:footnote w:id="65">
    <w:p w14:paraId="49B6A201" w14:textId="77777777" w:rsidR="00CC0181" w:rsidRPr="00843760" w:rsidRDefault="00CC0181" w:rsidP="003D433F">
      <w:pPr>
        <w:pStyle w:val="Notedebasdepage"/>
      </w:pPr>
      <w:r>
        <w:rPr>
          <w:rStyle w:val="Appelnotedebasdep"/>
        </w:rPr>
        <w:footnoteRef/>
      </w:r>
      <w:r w:rsidRPr="00142842">
        <w:rPr>
          <w:lang w:val="en-CA"/>
        </w:rPr>
        <w:t xml:space="preserve"> </w:t>
      </w:r>
      <w:r w:rsidRPr="00142842">
        <w:rPr>
          <w:lang w:val="en-CA"/>
        </w:rPr>
        <w:tab/>
      </w:r>
      <w:r w:rsidRPr="00142842">
        <w:rPr>
          <w:i/>
          <w:iCs/>
          <w:lang w:val="en-CA"/>
        </w:rPr>
        <w:t xml:space="preserve">R. </w:t>
      </w:r>
      <w:r>
        <w:rPr>
          <w:i/>
          <w:iCs/>
          <w:lang w:val="en-CA"/>
        </w:rPr>
        <w:t>v</w:t>
      </w:r>
      <w:r w:rsidRPr="00142842">
        <w:rPr>
          <w:i/>
          <w:iCs/>
          <w:lang w:val="en-CA"/>
        </w:rPr>
        <w:t>. Kruk</w:t>
      </w:r>
      <w:r w:rsidRPr="00142842">
        <w:rPr>
          <w:lang w:val="en-CA"/>
        </w:rPr>
        <w:t>, 2024 S</w:t>
      </w:r>
      <w:r>
        <w:rPr>
          <w:lang w:val="en-CA"/>
        </w:rPr>
        <w:t>C</w:t>
      </w:r>
      <w:r w:rsidRPr="00142842">
        <w:rPr>
          <w:lang w:val="en-CA"/>
        </w:rPr>
        <w:t>C 7, par</w:t>
      </w:r>
      <w:r>
        <w:rPr>
          <w:lang w:val="en-CA"/>
        </w:rPr>
        <w:t>a</w:t>
      </w:r>
      <w:r w:rsidRPr="00142842">
        <w:rPr>
          <w:lang w:val="en-CA"/>
        </w:rPr>
        <w:t xml:space="preserve">. </w:t>
      </w:r>
      <w:r w:rsidRPr="00843760">
        <w:rPr>
          <w:lang w:val="en-CA"/>
        </w:rPr>
        <w:t xml:space="preserve">81, </w:t>
      </w:r>
      <w:r>
        <w:rPr>
          <w:lang w:val="en-CA"/>
        </w:rPr>
        <w:t>footnote</w:t>
      </w:r>
      <w:r w:rsidRPr="00843760">
        <w:rPr>
          <w:lang w:val="en-CA"/>
        </w:rPr>
        <w:t> </w:t>
      </w:r>
      <w:r w:rsidRPr="00142842">
        <w:rPr>
          <w:lang w:val="en-CA"/>
        </w:rPr>
        <w:t xml:space="preserve">4; </w:t>
      </w:r>
      <w:r w:rsidRPr="00142842">
        <w:rPr>
          <w:i/>
          <w:iCs/>
          <w:lang w:val="en-CA"/>
        </w:rPr>
        <w:t xml:space="preserve">R. </w:t>
      </w:r>
      <w:r>
        <w:rPr>
          <w:i/>
          <w:iCs/>
          <w:lang w:val="en-CA"/>
        </w:rPr>
        <w:t>v</w:t>
      </w:r>
      <w:r w:rsidRPr="00142842">
        <w:rPr>
          <w:i/>
          <w:iCs/>
          <w:lang w:val="en-CA"/>
        </w:rPr>
        <w:t>. Schneider</w:t>
      </w:r>
      <w:r w:rsidRPr="00142842">
        <w:rPr>
          <w:lang w:val="en-CA"/>
        </w:rPr>
        <w:t>, 2022 S</w:t>
      </w:r>
      <w:r>
        <w:rPr>
          <w:lang w:val="en-CA"/>
        </w:rPr>
        <w:t>C</w:t>
      </w:r>
      <w:r w:rsidRPr="00142842">
        <w:rPr>
          <w:lang w:val="en-CA"/>
        </w:rPr>
        <w:t>C 34, par</w:t>
      </w:r>
      <w:r>
        <w:rPr>
          <w:lang w:val="en-CA"/>
        </w:rPr>
        <w:t>a</w:t>
      </w:r>
      <w:r w:rsidRPr="00142842">
        <w:rPr>
          <w:lang w:val="en-CA"/>
        </w:rPr>
        <w:t xml:space="preserve">. 63 </w:t>
      </w:r>
      <w:r w:rsidRPr="00142842">
        <w:rPr>
          <w:i/>
          <w:iCs/>
          <w:lang w:val="en-CA"/>
        </w:rPr>
        <w:t>in fine</w:t>
      </w:r>
      <w:r w:rsidRPr="00142842">
        <w:rPr>
          <w:lang w:val="en-CA"/>
        </w:rPr>
        <w:t xml:space="preserve">; </w:t>
      </w:r>
      <w:r w:rsidRPr="00142842">
        <w:rPr>
          <w:i/>
          <w:iCs/>
          <w:lang w:val="en-CA"/>
        </w:rPr>
        <w:t>S.J. c. R.</w:t>
      </w:r>
      <w:r w:rsidRPr="00142842">
        <w:rPr>
          <w:lang w:val="en-CA"/>
        </w:rPr>
        <w:t>, 2024 QCCA 253, par</w:t>
      </w:r>
      <w:r>
        <w:rPr>
          <w:lang w:val="en-CA"/>
        </w:rPr>
        <w:t>a</w:t>
      </w:r>
      <w:r w:rsidRPr="00142842">
        <w:rPr>
          <w:lang w:val="en-CA"/>
        </w:rPr>
        <w:t xml:space="preserve">. 193; </w:t>
      </w:r>
      <w:r w:rsidRPr="00142842">
        <w:rPr>
          <w:i/>
          <w:iCs/>
          <w:lang w:val="en-CA"/>
        </w:rPr>
        <w:t>Foomani c. R.</w:t>
      </w:r>
      <w:r w:rsidRPr="0089367C">
        <w:rPr>
          <w:lang w:val="en-CA"/>
        </w:rPr>
        <w:t xml:space="preserve">, </w:t>
      </w:r>
      <w:r w:rsidRPr="00142842">
        <w:rPr>
          <w:lang w:val="en-CA"/>
        </w:rPr>
        <w:t>2023 QCCA 232, par</w:t>
      </w:r>
      <w:r>
        <w:rPr>
          <w:lang w:val="en-CA"/>
        </w:rPr>
        <w:t>a</w:t>
      </w:r>
      <w:r w:rsidRPr="00142842">
        <w:rPr>
          <w:lang w:val="en-CA"/>
        </w:rPr>
        <w:t xml:space="preserve">. 73; David M. Paciocco, </w:t>
      </w:r>
      <w:r>
        <w:rPr>
          <w:lang w:val="en-CA"/>
        </w:rPr>
        <w:t>“</w:t>
      </w:r>
      <w:r w:rsidRPr="00142842">
        <w:rPr>
          <w:lang w:val="en-CA"/>
        </w:rPr>
        <w:t xml:space="preserve">Doubt about Doubt: Coping with </w:t>
      </w:r>
      <w:r w:rsidRPr="00142842">
        <w:rPr>
          <w:i/>
          <w:iCs/>
          <w:lang w:val="en-CA"/>
        </w:rPr>
        <w:t xml:space="preserve">R. v. </w:t>
      </w:r>
      <w:r w:rsidRPr="00142842">
        <w:rPr>
          <w:i/>
          <w:iCs/>
          <w:lang w:val="en-CA"/>
        </w:rPr>
        <w:t>W.(D.)</w:t>
      </w:r>
      <w:r w:rsidRPr="00142842">
        <w:rPr>
          <w:lang w:val="en-CA"/>
        </w:rPr>
        <w:t xml:space="preserve"> and Credibility Assessment</w:t>
      </w:r>
      <w:r>
        <w:rPr>
          <w:lang w:val="en-CA"/>
        </w:rPr>
        <w:t>”</w:t>
      </w:r>
      <w:r w:rsidRPr="00142842">
        <w:rPr>
          <w:lang w:val="en-CA"/>
        </w:rPr>
        <w:t xml:space="preserve"> (2017)</w:t>
      </w:r>
      <w:r>
        <w:rPr>
          <w:lang w:val="en-CA"/>
        </w:rPr>
        <w:t>,</w:t>
      </w:r>
      <w:r w:rsidRPr="00142842">
        <w:rPr>
          <w:lang w:val="en-CA"/>
        </w:rPr>
        <w:t xml:space="preserve"> 22 Can. </w:t>
      </w:r>
      <w:r w:rsidRPr="00E75843">
        <w:rPr>
          <w:lang w:val="en-CA"/>
        </w:rPr>
        <w:t>Crim. L. Rev. 31, p.</w:t>
      </w:r>
      <w:r>
        <w:rPr>
          <w:lang w:val="en-CA"/>
        </w:rPr>
        <w:t> </w:t>
      </w:r>
      <w:r w:rsidRPr="00E75843">
        <w:rPr>
          <w:lang w:val="en-CA"/>
        </w:rPr>
        <w:t>65</w:t>
      </w:r>
      <w:r w:rsidRPr="00843760">
        <w:t>.</w:t>
      </w:r>
    </w:p>
  </w:footnote>
  <w:footnote w:id="66">
    <w:p w14:paraId="7E71D45B" w14:textId="77777777" w:rsidR="00CC0181" w:rsidRPr="00843760" w:rsidRDefault="00CC0181" w:rsidP="003D433F">
      <w:pPr>
        <w:pStyle w:val="Notedebasdepage"/>
      </w:pPr>
      <w:r>
        <w:rPr>
          <w:rStyle w:val="Appelnotedebasdep"/>
        </w:rPr>
        <w:footnoteRef/>
      </w:r>
      <w:r w:rsidRPr="00B221A7">
        <w:rPr>
          <w:lang w:val="en-CA"/>
        </w:rPr>
        <w:t xml:space="preserve"> </w:t>
      </w:r>
      <w:r w:rsidRPr="00B221A7">
        <w:rPr>
          <w:lang w:val="en-CA"/>
        </w:rPr>
        <w:tab/>
      </w:r>
      <w:r w:rsidRPr="00B221A7">
        <w:rPr>
          <w:i/>
          <w:iCs/>
          <w:lang w:val="en-CA"/>
        </w:rPr>
        <w:t>R. v. Kruk</w:t>
      </w:r>
      <w:r w:rsidRPr="00B221A7">
        <w:rPr>
          <w:lang w:val="en-CA"/>
        </w:rPr>
        <w:t xml:space="preserve">, 2024 SCC 7, para. </w:t>
      </w:r>
      <w:r>
        <w:t>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7AAEE1" w14:textId="77777777" w:rsidR="00CC0181" w:rsidRDefault="00CC0181" w:rsidP="00E5197C">
    <w:pPr>
      <w:tabs>
        <w:tab w:val="center" w:pos="4709"/>
        <w:tab w:val="right" w:pos="9360"/>
      </w:tabs>
      <w:spacing w:line="360" w:lineRule="auto"/>
      <w:ind w:right="524"/>
    </w:pPr>
    <w:r>
      <w:t>500-10-007731-225</w:t>
    </w:r>
    <w:r w:rsidRPr="007462D6">
      <w:t xml:space="preserve"> </w:t>
    </w:r>
    <w:r>
      <w:tab/>
    </w:r>
    <w:r>
      <w:tab/>
      <w:t xml:space="preserve">PAGE : </w:t>
    </w:r>
    <w:r>
      <w:fldChar w:fldCharType="begin"/>
    </w:r>
    <w:r>
      <w:instrText xml:space="preserve"> PAGE </w:instrText>
    </w:r>
    <w:r>
      <w:fldChar w:fldCharType="separate"/>
    </w:r>
    <w:r>
      <w:t>2</w:t>
    </w:r>
    <w:r>
      <w:fldChar w:fldCharType="end"/>
    </w:r>
  </w:p>
  <w:p w14:paraId="6593A03D" w14:textId="77777777" w:rsidR="00CC0181" w:rsidRDefault="00CC0181" w:rsidP="00E5197C">
    <w:pPr>
      <w:tabs>
        <w:tab w:val="center" w:pos="4709"/>
        <w:tab w:val="right" w:pos="9360"/>
      </w:tabs>
      <w:spacing w:line="360" w:lineRule="auto"/>
      <w:ind w:right="52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10A021" w14:textId="77777777" w:rsidR="007E33E4" w:rsidRDefault="00CC0181" w:rsidP="00DB2119">
    <w:pPr>
      <w:tabs>
        <w:tab w:val="center" w:pos="4709"/>
        <w:tab w:val="right" w:pos="9360"/>
      </w:tabs>
      <w:spacing w:line="360" w:lineRule="auto"/>
      <w:ind w:right="524"/>
    </w:pPr>
    <w:r>
      <w:rPr>
        <w:lang w:val="en-CA"/>
      </w:rPr>
      <w:t xml:space="preserve">500-10-007731-225 </w:t>
    </w:r>
    <w:r>
      <w:rPr>
        <w:lang w:val="en-CA"/>
      </w:rPr>
      <w:tab/>
    </w:r>
    <w:r>
      <w:rPr>
        <w:lang w:val="en-CA"/>
      </w:rPr>
      <w:tab/>
      <w:t xml:space="preserve">PAGE: </w:t>
    </w:r>
    <w:r>
      <w:fldChar w:fldCharType="begin"/>
    </w:r>
    <w:r>
      <w:instrText xml:space="preserve"> PAGE </w:instrText>
    </w:r>
    <w:r>
      <w:fldChar w:fldCharType="separate"/>
    </w:r>
    <w:r>
      <w:t>24</w:t>
    </w:r>
    <w:r>
      <w:fldChar w:fldCharType="end"/>
    </w:r>
  </w:p>
  <w:p w14:paraId="29DBE47C" w14:textId="77777777" w:rsidR="007E33E4" w:rsidRDefault="007E33E4" w:rsidP="00DB2119">
    <w:pPr>
      <w:tabs>
        <w:tab w:val="center" w:pos="4709"/>
        <w:tab w:val="right" w:pos="9360"/>
      </w:tabs>
      <w:spacing w:line="360" w:lineRule="auto"/>
      <w:ind w:right="52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0E1EB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F12EA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2F26470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651C3B5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4EAB82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612195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8070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6436C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DCE6E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9834AE5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7A7572"/>
    <w:multiLevelType w:val="hybridMultilevel"/>
    <w:tmpl w:val="2FB47CDE"/>
    <w:lvl w:ilvl="0" w:tplc="31FAD0AE">
      <w:start w:val="1"/>
      <w:numFmt w:val="lowerLetter"/>
      <w:lvlText w:val="%1)"/>
      <w:lvlJc w:val="left"/>
      <w:pPr>
        <w:ind w:left="720" w:hanging="360"/>
      </w:pPr>
      <w:rPr>
        <w:rFonts w:hint="default"/>
      </w:rPr>
    </w:lvl>
    <w:lvl w:ilvl="1" w:tplc="2B5CDEE4" w:tentative="1">
      <w:start w:val="1"/>
      <w:numFmt w:val="lowerLetter"/>
      <w:lvlText w:val="%2."/>
      <w:lvlJc w:val="left"/>
      <w:pPr>
        <w:ind w:left="1440" w:hanging="360"/>
      </w:pPr>
    </w:lvl>
    <w:lvl w:ilvl="2" w:tplc="84820A04" w:tentative="1">
      <w:start w:val="1"/>
      <w:numFmt w:val="lowerRoman"/>
      <w:lvlText w:val="%3."/>
      <w:lvlJc w:val="right"/>
      <w:pPr>
        <w:ind w:left="2160" w:hanging="180"/>
      </w:pPr>
    </w:lvl>
    <w:lvl w:ilvl="3" w:tplc="8A764DEC" w:tentative="1">
      <w:start w:val="1"/>
      <w:numFmt w:val="decimal"/>
      <w:lvlText w:val="%4."/>
      <w:lvlJc w:val="left"/>
      <w:pPr>
        <w:ind w:left="2880" w:hanging="360"/>
      </w:pPr>
    </w:lvl>
    <w:lvl w:ilvl="4" w:tplc="C0201F4A" w:tentative="1">
      <w:start w:val="1"/>
      <w:numFmt w:val="lowerLetter"/>
      <w:lvlText w:val="%5."/>
      <w:lvlJc w:val="left"/>
      <w:pPr>
        <w:ind w:left="3600" w:hanging="360"/>
      </w:pPr>
    </w:lvl>
    <w:lvl w:ilvl="5" w:tplc="A128E7D6" w:tentative="1">
      <w:start w:val="1"/>
      <w:numFmt w:val="lowerRoman"/>
      <w:lvlText w:val="%6."/>
      <w:lvlJc w:val="right"/>
      <w:pPr>
        <w:ind w:left="4320" w:hanging="180"/>
      </w:pPr>
    </w:lvl>
    <w:lvl w:ilvl="6" w:tplc="95184BA8" w:tentative="1">
      <w:start w:val="1"/>
      <w:numFmt w:val="decimal"/>
      <w:lvlText w:val="%7."/>
      <w:lvlJc w:val="left"/>
      <w:pPr>
        <w:ind w:left="5040" w:hanging="360"/>
      </w:pPr>
    </w:lvl>
    <w:lvl w:ilvl="7" w:tplc="DFDEFC42" w:tentative="1">
      <w:start w:val="1"/>
      <w:numFmt w:val="lowerLetter"/>
      <w:lvlText w:val="%8."/>
      <w:lvlJc w:val="left"/>
      <w:pPr>
        <w:ind w:left="5760" w:hanging="360"/>
      </w:pPr>
    </w:lvl>
    <w:lvl w:ilvl="8" w:tplc="F8B0449A" w:tentative="1">
      <w:start w:val="1"/>
      <w:numFmt w:val="lowerRoman"/>
      <w:lvlText w:val="%9."/>
      <w:lvlJc w:val="right"/>
      <w:pPr>
        <w:ind w:left="6480" w:hanging="180"/>
      </w:pPr>
    </w:lvl>
  </w:abstractNum>
  <w:abstractNum w:abstractNumId="11" w15:restartNumberingAfterBreak="0">
    <w:nsid w:val="099844B3"/>
    <w:multiLevelType w:val="hybridMultilevel"/>
    <w:tmpl w:val="9E08473E"/>
    <w:lvl w:ilvl="0" w:tplc="5BE4C1DC">
      <w:start w:val="3"/>
      <w:numFmt w:val="lowerLetter"/>
      <w:lvlText w:val="%1)"/>
      <w:lvlJc w:val="left"/>
      <w:pPr>
        <w:ind w:left="720" w:hanging="360"/>
      </w:pPr>
      <w:rPr>
        <w:rFonts w:hint="default"/>
      </w:rPr>
    </w:lvl>
    <w:lvl w:ilvl="1" w:tplc="A10CB274" w:tentative="1">
      <w:start w:val="1"/>
      <w:numFmt w:val="lowerLetter"/>
      <w:lvlText w:val="%2."/>
      <w:lvlJc w:val="left"/>
      <w:pPr>
        <w:ind w:left="1440" w:hanging="360"/>
      </w:pPr>
    </w:lvl>
    <w:lvl w:ilvl="2" w:tplc="C14C24AA" w:tentative="1">
      <w:start w:val="1"/>
      <w:numFmt w:val="lowerRoman"/>
      <w:lvlText w:val="%3."/>
      <w:lvlJc w:val="right"/>
      <w:pPr>
        <w:ind w:left="2160" w:hanging="180"/>
      </w:pPr>
    </w:lvl>
    <w:lvl w:ilvl="3" w:tplc="CF8E3276" w:tentative="1">
      <w:start w:val="1"/>
      <w:numFmt w:val="decimal"/>
      <w:lvlText w:val="%4."/>
      <w:lvlJc w:val="left"/>
      <w:pPr>
        <w:ind w:left="2880" w:hanging="360"/>
      </w:pPr>
    </w:lvl>
    <w:lvl w:ilvl="4" w:tplc="359889F0" w:tentative="1">
      <w:start w:val="1"/>
      <w:numFmt w:val="lowerLetter"/>
      <w:lvlText w:val="%5."/>
      <w:lvlJc w:val="left"/>
      <w:pPr>
        <w:ind w:left="3600" w:hanging="360"/>
      </w:pPr>
    </w:lvl>
    <w:lvl w:ilvl="5" w:tplc="3C6427A4" w:tentative="1">
      <w:start w:val="1"/>
      <w:numFmt w:val="lowerRoman"/>
      <w:lvlText w:val="%6."/>
      <w:lvlJc w:val="right"/>
      <w:pPr>
        <w:ind w:left="4320" w:hanging="180"/>
      </w:pPr>
    </w:lvl>
    <w:lvl w:ilvl="6" w:tplc="2DD83692" w:tentative="1">
      <w:start w:val="1"/>
      <w:numFmt w:val="decimal"/>
      <w:lvlText w:val="%7."/>
      <w:lvlJc w:val="left"/>
      <w:pPr>
        <w:ind w:left="5040" w:hanging="360"/>
      </w:pPr>
    </w:lvl>
    <w:lvl w:ilvl="7" w:tplc="EDBE45E2" w:tentative="1">
      <w:start w:val="1"/>
      <w:numFmt w:val="lowerLetter"/>
      <w:lvlText w:val="%8."/>
      <w:lvlJc w:val="left"/>
      <w:pPr>
        <w:ind w:left="5760" w:hanging="360"/>
      </w:pPr>
    </w:lvl>
    <w:lvl w:ilvl="8" w:tplc="5124570C" w:tentative="1">
      <w:start w:val="1"/>
      <w:numFmt w:val="lowerRoman"/>
      <w:lvlText w:val="%9."/>
      <w:lvlJc w:val="right"/>
      <w:pPr>
        <w:ind w:left="6480" w:hanging="180"/>
      </w:pPr>
    </w:lvl>
  </w:abstractNum>
  <w:abstractNum w:abstractNumId="12" w15:restartNumberingAfterBreak="0">
    <w:nsid w:val="0B085832"/>
    <w:multiLevelType w:val="hybridMultilevel"/>
    <w:tmpl w:val="C12EA1CC"/>
    <w:lvl w:ilvl="0" w:tplc="AB94DD88">
      <w:start w:val="1"/>
      <w:numFmt w:val="lowerLetter"/>
      <w:lvlText w:val="%1)"/>
      <w:lvlJc w:val="left"/>
      <w:pPr>
        <w:tabs>
          <w:tab w:val="num" w:pos="720"/>
        </w:tabs>
        <w:ind w:left="720" w:hanging="360"/>
      </w:pPr>
    </w:lvl>
    <w:lvl w:ilvl="1" w:tplc="2AA6803E" w:tentative="1">
      <w:start w:val="1"/>
      <w:numFmt w:val="lowerLetter"/>
      <w:lvlText w:val="%2."/>
      <w:lvlJc w:val="left"/>
      <w:pPr>
        <w:tabs>
          <w:tab w:val="num" w:pos="1440"/>
        </w:tabs>
        <w:ind w:left="1440" w:hanging="360"/>
      </w:pPr>
    </w:lvl>
    <w:lvl w:ilvl="2" w:tplc="6BBA3624" w:tentative="1">
      <w:start w:val="1"/>
      <w:numFmt w:val="lowerRoman"/>
      <w:lvlText w:val="%3."/>
      <w:lvlJc w:val="right"/>
      <w:pPr>
        <w:tabs>
          <w:tab w:val="num" w:pos="2160"/>
        </w:tabs>
        <w:ind w:left="2160" w:hanging="180"/>
      </w:pPr>
    </w:lvl>
    <w:lvl w:ilvl="3" w:tplc="66D8EEE2" w:tentative="1">
      <w:start w:val="1"/>
      <w:numFmt w:val="decimal"/>
      <w:lvlText w:val="%4."/>
      <w:lvlJc w:val="left"/>
      <w:pPr>
        <w:tabs>
          <w:tab w:val="num" w:pos="2880"/>
        </w:tabs>
        <w:ind w:left="2880" w:hanging="360"/>
      </w:pPr>
    </w:lvl>
    <w:lvl w:ilvl="4" w:tplc="F01C2238" w:tentative="1">
      <w:start w:val="1"/>
      <w:numFmt w:val="lowerLetter"/>
      <w:lvlText w:val="%5."/>
      <w:lvlJc w:val="left"/>
      <w:pPr>
        <w:tabs>
          <w:tab w:val="num" w:pos="3600"/>
        </w:tabs>
        <w:ind w:left="3600" w:hanging="360"/>
      </w:pPr>
    </w:lvl>
    <w:lvl w:ilvl="5" w:tplc="07CEDBA4" w:tentative="1">
      <w:start w:val="1"/>
      <w:numFmt w:val="lowerRoman"/>
      <w:lvlText w:val="%6."/>
      <w:lvlJc w:val="right"/>
      <w:pPr>
        <w:tabs>
          <w:tab w:val="num" w:pos="4320"/>
        </w:tabs>
        <w:ind w:left="4320" w:hanging="180"/>
      </w:pPr>
    </w:lvl>
    <w:lvl w:ilvl="6" w:tplc="B8D42144" w:tentative="1">
      <w:start w:val="1"/>
      <w:numFmt w:val="decimal"/>
      <w:lvlText w:val="%7."/>
      <w:lvlJc w:val="left"/>
      <w:pPr>
        <w:tabs>
          <w:tab w:val="num" w:pos="5040"/>
        </w:tabs>
        <w:ind w:left="5040" w:hanging="360"/>
      </w:pPr>
    </w:lvl>
    <w:lvl w:ilvl="7" w:tplc="9FB20FF8" w:tentative="1">
      <w:start w:val="1"/>
      <w:numFmt w:val="lowerLetter"/>
      <w:lvlText w:val="%8."/>
      <w:lvlJc w:val="left"/>
      <w:pPr>
        <w:tabs>
          <w:tab w:val="num" w:pos="5760"/>
        </w:tabs>
        <w:ind w:left="5760" w:hanging="360"/>
      </w:pPr>
    </w:lvl>
    <w:lvl w:ilvl="8" w:tplc="02A8391E" w:tentative="1">
      <w:start w:val="1"/>
      <w:numFmt w:val="lowerRoman"/>
      <w:lvlText w:val="%9."/>
      <w:lvlJc w:val="right"/>
      <w:pPr>
        <w:tabs>
          <w:tab w:val="num" w:pos="6480"/>
        </w:tabs>
        <w:ind w:left="6480" w:hanging="180"/>
      </w:pPr>
    </w:lvl>
  </w:abstractNum>
  <w:abstractNum w:abstractNumId="13" w15:restartNumberingAfterBreak="0">
    <w:nsid w:val="157309A1"/>
    <w:multiLevelType w:val="hybridMultilevel"/>
    <w:tmpl w:val="2FB47CD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170E2607"/>
    <w:multiLevelType w:val="hybridMultilevel"/>
    <w:tmpl w:val="10F4D2B2"/>
    <w:lvl w:ilvl="0" w:tplc="FFFFFFFF">
      <w:start w:val="2"/>
      <w:numFmt w:val="lowerRoman"/>
      <w:lvlText w:val="%1)"/>
      <w:lvlJc w:val="left"/>
      <w:pPr>
        <w:ind w:left="1145" w:hanging="720"/>
      </w:pPr>
      <w:rPr>
        <w:rFonts w:hint="default"/>
        <w:i w:val="0"/>
        <w:iCs w:val="0"/>
      </w:rPr>
    </w:lvl>
    <w:lvl w:ilvl="1" w:tplc="FFFFFFFF">
      <w:start w:val="1"/>
      <w:numFmt w:val="decimal"/>
      <w:lvlText w:val="%2-"/>
      <w:lvlJc w:val="left"/>
      <w:pPr>
        <w:ind w:left="1505" w:hanging="360"/>
      </w:pPr>
      <w:rPr>
        <w:rFonts w:hint="default"/>
      </w:rPr>
    </w:lvl>
    <w:lvl w:ilvl="2" w:tplc="FFFFFFFF">
      <w:start w:val="1"/>
      <w:numFmt w:val="lowerRoman"/>
      <w:lvlText w:val="%3."/>
      <w:lvlJc w:val="right"/>
      <w:pPr>
        <w:ind w:left="2225" w:hanging="180"/>
      </w:pPr>
    </w:lvl>
    <w:lvl w:ilvl="3" w:tplc="FFFFFFFF">
      <w:start w:val="1"/>
      <w:numFmt w:val="decimal"/>
      <w:lvlText w:val="%4."/>
      <w:lvlJc w:val="left"/>
      <w:pPr>
        <w:ind w:left="3054" w:hanging="360"/>
      </w:pPr>
      <w:rPr>
        <w:i w:val="0"/>
        <w:iCs w:val="0"/>
      </w:rPr>
    </w:lvl>
    <w:lvl w:ilvl="4" w:tplc="FFFFFFFF" w:tentative="1">
      <w:start w:val="1"/>
      <w:numFmt w:val="lowerLetter"/>
      <w:lvlText w:val="%5."/>
      <w:lvlJc w:val="left"/>
      <w:pPr>
        <w:ind w:left="3665" w:hanging="360"/>
      </w:pPr>
    </w:lvl>
    <w:lvl w:ilvl="5" w:tplc="FFFFFFFF" w:tentative="1">
      <w:start w:val="1"/>
      <w:numFmt w:val="lowerRoman"/>
      <w:lvlText w:val="%6."/>
      <w:lvlJc w:val="right"/>
      <w:pPr>
        <w:ind w:left="4385" w:hanging="180"/>
      </w:pPr>
    </w:lvl>
    <w:lvl w:ilvl="6" w:tplc="FFFFFFFF" w:tentative="1">
      <w:start w:val="1"/>
      <w:numFmt w:val="decimal"/>
      <w:lvlText w:val="%7."/>
      <w:lvlJc w:val="left"/>
      <w:pPr>
        <w:ind w:left="5105" w:hanging="360"/>
      </w:pPr>
    </w:lvl>
    <w:lvl w:ilvl="7" w:tplc="FFFFFFFF" w:tentative="1">
      <w:start w:val="1"/>
      <w:numFmt w:val="lowerLetter"/>
      <w:lvlText w:val="%8."/>
      <w:lvlJc w:val="left"/>
      <w:pPr>
        <w:ind w:left="5825" w:hanging="360"/>
      </w:pPr>
    </w:lvl>
    <w:lvl w:ilvl="8" w:tplc="FFFFFFFF" w:tentative="1">
      <w:start w:val="1"/>
      <w:numFmt w:val="lowerRoman"/>
      <w:lvlText w:val="%9."/>
      <w:lvlJc w:val="right"/>
      <w:pPr>
        <w:ind w:left="6545" w:hanging="180"/>
      </w:pPr>
    </w:lvl>
  </w:abstractNum>
  <w:abstractNum w:abstractNumId="15" w15:restartNumberingAfterBreak="0">
    <w:nsid w:val="1EA30EC3"/>
    <w:multiLevelType w:val="hybridMultilevel"/>
    <w:tmpl w:val="10F4D2B2"/>
    <w:lvl w:ilvl="0" w:tplc="4B928414">
      <w:start w:val="2"/>
      <w:numFmt w:val="lowerRoman"/>
      <w:lvlText w:val="%1)"/>
      <w:lvlJc w:val="left"/>
      <w:pPr>
        <w:ind w:left="1145" w:hanging="720"/>
      </w:pPr>
      <w:rPr>
        <w:rFonts w:hint="default"/>
        <w:i w:val="0"/>
        <w:iCs w:val="0"/>
      </w:rPr>
    </w:lvl>
    <w:lvl w:ilvl="1" w:tplc="9A4A763A">
      <w:start w:val="1"/>
      <w:numFmt w:val="decimal"/>
      <w:lvlText w:val="%2-"/>
      <w:lvlJc w:val="left"/>
      <w:pPr>
        <w:ind w:left="1505" w:hanging="360"/>
      </w:pPr>
      <w:rPr>
        <w:rFonts w:hint="default"/>
      </w:rPr>
    </w:lvl>
    <w:lvl w:ilvl="2" w:tplc="0EBA6102">
      <w:start w:val="1"/>
      <w:numFmt w:val="lowerRoman"/>
      <w:lvlText w:val="%3."/>
      <w:lvlJc w:val="right"/>
      <w:pPr>
        <w:ind w:left="2225" w:hanging="180"/>
      </w:pPr>
    </w:lvl>
    <w:lvl w:ilvl="3" w:tplc="0FC6771E">
      <w:start w:val="1"/>
      <w:numFmt w:val="decimal"/>
      <w:lvlText w:val="%4."/>
      <w:lvlJc w:val="left"/>
      <w:pPr>
        <w:ind w:left="3054" w:hanging="360"/>
      </w:pPr>
      <w:rPr>
        <w:i w:val="0"/>
        <w:iCs w:val="0"/>
      </w:rPr>
    </w:lvl>
    <w:lvl w:ilvl="4" w:tplc="5868E9FA" w:tentative="1">
      <w:start w:val="1"/>
      <w:numFmt w:val="lowerLetter"/>
      <w:lvlText w:val="%5."/>
      <w:lvlJc w:val="left"/>
      <w:pPr>
        <w:ind w:left="3665" w:hanging="360"/>
      </w:pPr>
    </w:lvl>
    <w:lvl w:ilvl="5" w:tplc="9938A6CA" w:tentative="1">
      <w:start w:val="1"/>
      <w:numFmt w:val="lowerRoman"/>
      <w:lvlText w:val="%6."/>
      <w:lvlJc w:val="right"/>
      <w:pPr>
        <w:ind w:left="4385" w:hanging="180"/>
      </w:pPr>
    </w:lvl>
    <w:lvl w:ilvl="6" w:tplc="45CC007C" w:tentative="1">
      <w:start w:val="1"/>
      <w:numFmt w:val="decimal"/>
      <w:lvlText w:val="%7."/>
      <w:lvlJc w:val="left"/>
      <w:pPr>
        <w:ind w:left="5105" w:hanging="360"/>
      </w:pPr>
    </w:lvl>
    <w:lvl w:ilvl="7" w:tplc="E3746E2E" w:tentative="1">
      <w:start w:val="1"/>
      <w:numFmt w:val="lowerLetter"/>
      <w:lvlText w:val="%8."/>
      <w:lvlJc w:val="left"/>
      <w:pPr>
        <w:ind w:left="5825" w:hanging="360"/>
      </w:pPr>
    </w:lvl>
    <w:lvl w:ilvl="8" w:tplc="731095DA" w:tentative="1">
      <w:start w:val="1"/>
      <w:numFmt w:val="lowerRoman"/>
      <w:lvlText w:val="%9."/>
      <w:lvlJc w:val="right"/>
      <w:pPr>
        <w:ind w:left="6545" w:hanging="180"/>
      </w:pPr>
    </w:lvl>
  </w:abstractNum>
  <w:abstractNum w:abstractNumId="16" w15:restartNumberingAfterBreak="0">
    <w:nsid w:val="26427958"/>
    <w:multiLevelType w:val="hybridMultilevel"/>
    <w:tmpl w:val="ADD43892"/>
    <w:lvl w:ilvl="0" w:tplc="60A04F6A">
      <w:start w:val="1"/>
      <w:numFmt w:val="lowerLetter"/>
      <w:lvlText w:val="%1)"/>
      <w:lvlJc w:val="left"/>
      <w:pPr>
        <w:ind w:left="720" w:hanging="360"/>
      </w:pPr>
      <w:rPr>
        <w:rFonts w:hint="default"/>
      </w:rPr>
    </w:lvl>
    <w:lvl w:ilvl="1" w:tplc="FDD69AEC">
      <w:start w:val="1"/>
      <w:numFmt w:val="lowerLetter"/>
      <w:lvlText w:val="%2."/>
      <w:lvlJc w:val="left"/>
      <w:pPr>
        <w:ind w:left="1440" w:hanging="360"/>
      </w:pPr>
    </w:lvl>
    <w:lvl w:ilvl="2" w:tplc="E02CA26C">
      <w:start w:val="1"/>
      <w:numFmt w:val="lowerRoman"/>
      <w:lvlText w:val="%3."/>
      <w:lvlJc w:val="right"/>
      <w:pPr>
        <w:ind w:left="2160" w:hanging="180"/>
      </w:pPr>
    </w:lvl>
    <w:lvl w:ilvl="3" w:tplc="A3FA3E4E" w:tentative="1">
      <w:start w:val="1"/>
      <w:numFmt w:val="decimal"/>
      <w:lvlText w:val="%4."/>
      <w:lvlJc w:val="left"/>
      <w:pPr>
        <w:ind w:left="2880" w:hanging="360"/>
      </w:pPr>
    </w:lvl>
    <w:lvl w:ilvl="4" w:tplc="AA6A3EA2" w:tentative="1">
      <w:start w:val="1"/>
      <w:numFmt w:val="lowerLetter"/>
      <w:lvlText w:val="%5."/>
      <w:lvlJc w:val="left"/>
      <w:pPr>
        <w:ind w:left="3600" w:hanging="360"/>
      </w:pPr>
    </w:lvl>
    <w:lvl w:ilvl="5" w:tplc="1958CCDA" w:tentative="1">
      <w:start w:val="1"/>
      <w:numFmt w:val="lowerRoman"/>
      <w:lvlText w:val="%6."/>
      <w:lvlJc w:val="right"/>
      <w:pPr>
        <w:ind w:left="4320" w:hanging="180"/>
      </w:pPr>
    </w:lvl>
    <w:lvl w:ilvl="6" w:tplc="4F6C4BD8" w:tentative="1">
      <w:start w:val="1"/>
      <w:numFmt w:val="decimal"/>
      <w:lvlText w:val="%7."/>
      <w:lvlJc w:val="left"/>
      <w:pPr>
        <w:ind w:left="5040" w:hanging="360"/>
      </w:pPr>
    </w:lvl>
    <w:lvl w:ilvl="7" w:tplc="FD183000" w:tentative="1">
      <w:start w:val="1"/>
      <w:numFmt w:val="lowerLetter"/>
      <w:lvlText w:val="%8."/>
      <w:lvlJc w:val="left"/>
      <w:pPr>
        <w:ind w:left="5760" w:hanging="360"/>
      </w:pPr>
    </w:lvl>
    <w:lvl w:ilvl="8" w:tplc="DF30DB2C" w:tentative="1">
      <w:start w:val="1"/>
      <w:numFmt w:val="lowerRoman"/>
      <w:lvlText w:val="%9."/>
      <w:lvlJc w:val="right"/>
      <w:pPr>
        <w:ind w:left="6480" w:hanging="180"/>
      </w:pPr>
    </w:lvl>
  </w:abstractNum>
  <w:abstractNum w:abstractNumId="17" w15:restartNumberingAfterBreak="0">
    <w:nsid w:val="28BB52DE"/>
    <w:multiLevelType w:val="multilevel"/>
    <w:tmpl w:val="79E601F0"/>
    <w:lvl w:ilvl="0">
      <w:start w:val="1"/>
      <w:numFmt w:val="decimal"/>
      <w:pStyle w:val="Paragraphe"/>
      <w:lvlText w:val="[%1]"/>
      <w:lvlJc w:val="left"/>
      <w:pPr>
        <w:tabs>
          <w:tab w:val="num" w:pos="720"/>
        </w:tabs>
        <w:ind w:left="0" w:firstLine="0"/>
      </w:pPr>
      <w:rPr>
        <w:rFonts w:hint="default"/>
      </w:rPr>
    </w:lvl>
    <w:lvl w:ilvl="1">
      <w:start w:val="1"/>
      <w:numFmt w:val="decimal"/>
      <w:pStyle w:val="Sous-paragraphe"/>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30403584"/>
    <w:multiLevelType w:val="multilevel"/>
    <w:tmpl w:val="2BB4F59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362A1828"/>
    <w:multiLevelType w:val="multilevel"/>
    <w:tmpl w:val="C49C1E6A"/>
    <w:lvl w:ilvl="0">
      <w:start w:val="1"/>
      <w:numFmt w:val="decimal"/>
      <w:lvlText w:val="%1."/>
      <w:lvlJc w:val="left"/>
      <w:pPr>
        <w:ind w:left="1440" w:hanging="873"/>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20" w15:restartNumberingAfterBreak="0">
    <w:nsid w:val="3E114BEC"/>
    <w:multiLevelType w:val="hybridMultilevel"/>
    <w:tmpl w:val="7A72D140"/>
    <w:lvl w:ilvl="0" w:tplc="FFFFFFFF">
      <w:start w:val="9"/>
      <w:numFmt w:val="lowerLetter"/>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75F45EE"/>
    <w:multiLevelType w:val="hybridMultilevel"/>
    <w:tmpl w:val="7A72D140"/>
    <w:lvl w:ilvl="0" w:tplc="5980FF50">
      <w:start w:val="9"/>
      <w:numFmt w:val="lowerLetter"/>
      <w:lvlText w:val="%1)"/>
      <w:lvlJc w:val="left"/>
      <w:pPr>
        <w:ind w:left="720" w:hanging="360"/>
      </w:pPr>
      <w:rPr>
        <w:rFonts w:hint="default"/>
        <w:i w:val="0"/>
      </w:rPr>
    </w:lvl>
    <w:lvl w:ilvl="1" w:tplc="6442C33C" w:tentative="1">
      <w:start w:val="1"/>
      <w:numFmt w:val="lowerLetter"/>
      <w:lvlText w:val="%2."/>
      <w:lvlJc w:val="left"/>
      <w:pPr>
        <w:ind w:left="1440" w:hanging="360"/>
      </w:pPr>
    </w:lvl>
    <w:lvl w:ilvl="2" w:tplc="8AF67936">
      <w:start w:val="1"/>
      <w:numFmt w:val="lowerRoman"/>
      <w:lvlText w:val="%3."/>
      <w:lvlJc w:val="right"/>
      <w:pPr>
        <w:ind w:left="2160" w:hanging="180"/>
      </w:pPr>
    </w:lvl>
    <w:lvl w:ilvl="3" w:tplc="78524236">
      <w:start w:val="1"/>
      <w:numFmt w:val="decimal"/>
      <w:lvlText w:val="%4."/>
      <w:lvlJc w:val="left"/>
      <w:pPr>
        <w:ind w:left="2880" w:hanging="360"/>
      </w:pPr>
    </w:lvl>
    <w:lvl w:ilvl="4" w:tplc="6CB023B4" w:tentative="1">
      <w:start w:val="1"/>
      <w:numFmt w:val="lowerLetter"/>
      <w:lvlText w:val="%5."/>
      <w:lvlJc w:val="left"/>
      <w:pPr>
        <w:ind w:left="3600" w:hanging="360"/>
      </w:pPr>
    </w:lvl>
    <w:lvl w:ilvl="5" w:tplc="32821A86" w:tentative="1">
      <w:start w:val="1"/>
      <w:numFmt w:val="lowerRoman"/>
      <w:lvlText w:val="%6."/>
      <w:lvlJc w:val="right"/>
      <w:pPr>
        <w:ind w:left="4320" w:hanging="180"/>
      </w:pPr>
    </w:lvl>
    <w:lvl w:ilvl="6" w:tplc="ED3E0898" w:tentative="1">
      <w:start w:val="1"/>
      <w:numFmt w:val="decimal"/>
      <w:lvlText w:val="%7."/>
      <w:lvlJc w:val="left"/>
      <w:pPr>
        <w:ind w:left="5040" w:hanging="360"/>
      </w:pPr>
    </w:lvl>
    <w:lvl w:ilvl="7" w:tplc="29CCC316" w:tentative="1">
      <w:start w:val="1"/>
      <w:numFmt w:val="lowerLetter"/>
      <w:lvlText w:val="%8."/>
      <w:lvlJc w:val="left"/>
      <w:pPr>
        <w:ind w:left="5760" w:hanging="360"/>
      </w:pPr>
    </w:lvl>
    <w:lvl w:ilvl="8" w:tplc="CDD4ECEE" w:tentative="1">
      <w:start w:val="1"/>
      <w:numFmt w:val="lowerRoman"/>
      <w:lvlText w:val="%9."/>
      <w:lvlJc w:val="right"/>
      <w:pPr>
        <w:ind w:left="6480" w:hanging="180"/>
      </w:pPr>
    </w:lvl>
  </w:abstractNum>
  <w:abstractNum w:abstractNumId="22" w15:restartNumberingAfterBreak="0">
    <w:nsid w:val="4A7B0EB3"/>
    <w:multiLevelType w:val="hybridMultilevel"/>
    <w:tmpl w:val="55840488"/>
    <w:lvl w:ilvl="0" w:tplc="E3360EE6">
      <w:start w:val="4"/>
      <w:numFmt w:val="lowerLetter"/>
      <w:lvlText w:val="%1)"/>
      <w:lvlJc w:val="left"/>
      <w:pPr>
        <w:ind w:left="720" w:hanging="360"/>
      </w:pPr>
      <w:rPr>
        <w:rFonts w:hint="default"/>
      </w:rPr>
    </w:lvl>
    <w:lvl w:ilvl="1" w:tplc="E368BB94" w:tentative="1">
      <w:start w:val="1"/>
      <w:numFmt w:val="lowerLetter"/>
      <w:lvlText w:val="%2."/>
      <w:lvlJc w:val="left"/>
      <w:pPr>
        <w:ind w:left="1440" w:hanging="360"/>
      </w:pPr>
    </w:lvl>
    <w:lvl w:ilvl="2" w:tplc="9BF4713C" w:tentative="1">
      <w:start w:val="1"/>
      <w:numFmt w:val="lowerRoman"/>
      <w:lvlText w:val="%3."/>
      <w:lvlJc w:val="right"/>
      <w:pPr>
        <w:ind w:left="2160" w:hanging="180"/>
      </w:pPr>
    </w:lvl>
    <w:lvl w:ilvl="3" w:tplc="8386106A" w:tentative="1">
      <w:start w:val="1"/>
      <w:numFmt w:val="decimal"/>
      <w:lvlText w:val="%4."/>
      <w:lvlJc w:val="left"/>
      <w:pPr>
        <w:ind w:left="2880" w:hanging="360"/>
      </w:pPr>
    </w:lvl>
    <w:lvl w:ilvl="4" w:tplc="374CCE5E" w:tentative="1">
      <w:start w:val="1"/>
      <w:numFmt w:val="lowerLetter"/>
      <w:lvlText w:val="%5."/>
      <w:lvlJc w:val="left"/>
      <w:pPr>
        <w:ind w:left="3600" w:hanging="360"/>
      </w:pPr>
    </w:lvl>
    <w:lvl w:ilvl="5" w:tplc="9C4C9DB0" w:tentative="1">
      <w:start w:val="1"/>
      <w:numFmt w:val="lowerRoman"/>
      <w:lvlText w:val="%6."/>
      <w:lvlJc w:val="right"/>
      <w:pPr>
        <w:ind w:left="4320" w:hanging="180"/>
      </w:pPr>
    </w:lvl>
    <w:lvl w:ilvl="6" w:tplc="0948783E" w:tentative="1">
      <w:start w:val="1"/>
      <w:numFmt w:val="decimal"/>
      <w:lvlText w:val="%7."/>
      <w:lvlJc w:val="left"/>
      <w:pPr>
        <w:ind w:left="5040" w:hanging="360"/>
      </w:pPr>
    </w:lvl>
    <w:lvl w:ilvl="7" w:tplc="4AEA89DA" w:tentative="1">
      <w:start w:val="1"/>
      <w:numFmt w:val="lowerLetter"/>
      <w:lvlText w:val="%8."/>
      <w:lvlJc w:val="left"/>
      <w:pPr>
        <w:ind w:left="5760" w:hanging="360"/>
      </w:pPr>
    </w:lvl>
    <w:lvl w:ilvl="8" w:tplc="EF88D154" w:tentative="1">
      <w:start w:val="1"/>
      <w:numFmt w:val="lowerRoman"/>
      <w:lvlText w:val="%9."/>
      <w:lvlJc w:val="right"/>
      <w:pPr>
        <w:ind w:left="6480" w:hanging="180"/>
      </w:pPr>
    </w:lvl>
  </w:abstractNum>
  <w:abstractNum w:abstractNumId="23" w15:restartNumberingAfterBreak="0">
    <w:nsid w:val="4A9D1B84"/>
    <w:multiLevelType w:val="multilevel"/>
    <w:tmpl w:val="2766DEE4"/>
    <w:lvl w:ilvl="0">
      <w:start w:val="1"/>
      <w:numFmt w:val="bullet"/>
      <w:lvlText w:val=""/>
      <w:lvlJc w:val="left"/>
      <w:pPr>
        <w:tabs>
          <w:tab w:val="num" w:pos="792"/>
        </w:tabs>
        <w:ind w:left="792" w:hanging="72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4" w15:restartNumberingAfterBreak="0">
    <w:nsid w:val="4C4A09E8"/>
    <w:multiLevelType w:val="hybridMultilevel"/>
    <w:tmpl w:val="0E308F82"/>
    <w:lvl w:ilvl="0" w:tplc="B2946FEA">
      <w:start w:val="1"/>
      <w:numFmt w:val="lowerLetter"/>
      <w:lvlText w:val="%1)"/>
      <w:lvlJc w:val="left"/>
      <w:pPr>
        <w:ind w:left="1647" w:hanging="360"/>
      </w:pPr>
      <w:rPr>
        <w:rFonts w:hint="default"/>
      </w:rPr>
    </w:lvl>
    <w:lvl w:ilvl="1" w:tplc="E35CE794" w:tentative="1">
      <w:start w:val="1"/>
      <w:numFmt w:val="lowerLetter"/>
      <w:lvlText w:val="%2."/>
      <w:lvlJc w:val="left"/>
      <w:pPr>
        <w:ind w:left="2367" w:hanging="360"/>
      </w:pPr>
    </w:lvl>
    <w:lvl w:ilvl="2" w:tplc="C2E45794" w:tentative="1">
      <w:start w:val="1"/>
      <w:numFmt w:val="lowerRoman"/>
      <w:lvlText w:val="%3."/>
      <w:lvlJc w:val="right"/>
      <w:pPr>
        <w:ind w:left="3087" w:hanging="180"/>
      </w:pPr>
    </w:lvl>
    <w:lvl w:ilvl="3" w:tplc="4F9EE65C" w:tentative="1">
      <w:start w:val="1"/>
      <w:numFmt w:val="decimal"/>
      <w:lvlText w:val="%4."/>
      <w:lvlJc w:val="left"/>
      <w:pPr>
        <w:ind w:left="3807" w:hanging="360"/>
      </w:pPr>
    </w:lvl>
    <w:lvl w:ilvl="4" w:tplc="DE5CEC1E" w:tentative="1">
      <w:start w:val="1"/>
      <w:numFmt w:val="lowerLetter"/>
      <w:lvlText w:val="%5."/>
      <w:lvlJc w:val="left"/>
      <w:pPr>
        <w:ind w:left="4527" w:hanging="360"/>
      </w:pPr>
    </w:lvl>
    <w:lvl w:ilvl="5" w:tplc="BFB8B216" w:tentative="1">
      <w:start w:val="1"/>
      <w:numFmt w:val="lowerRoman"/>
      <w:lvlText w:val="%6."/>
      <w:lvlJc w:val="right"/>
      <w:pPr>
        <w:ind w:left="5247" w:hanging="180"/>
      </w:pPr>
    </w:lvl>
    <w:lvl w:ilvl="6" w:tplc="7642267C" w:tentative="1">
      <w:start w:val="1"/>
      <w:numFmt w:val="decimal"/>
      <w:lvlText w:val="%7."/>
      <w:lvlJc w:val="left"/>
      <w:pPr>
        <w:ind w:left="5967" w:hanging="360"/>
      </w:pPr>
    </w:lvl>
    <w:lvl w:ilvl="7" w:tplc="B1B8812E" w:tentative="1">
      <w:start w:val="1"/>
      <w:numFmt w:val="lowerLetter"/>
      <w:lvlText w:val="%8."/>
      <w:lvlJc w:val="left"/>
      <w:pPr>
        <w:ind w:left="6687" w:hanging="360"/>
      </w:pPr>
    </w:lvl>
    <w:lvl w:ilvl="8" w:tplc="5D18D6EE" w:tentative="1">
      <w:start w:val="1"/>
      <w:numFmt w:val="lowerRoman"/>
      <w:lvlText w:val="%9."/>
      <w:lvlJc w:val="right"/>
      <w:pPr>
        <w:ind w:left="7407" w:hanging="180"/>
      </w:pPr>
    </w:lvl>
  </w:abstractNum>
  <w:abstractNum w:abstractNumId="25" w15:restartNumberingAfterBreak="0">
    <w:nsid w:val="5C3E09F2"/>
    <w:multiLevelType w:val="hybridMultilevel"/>
    <w:tmpl w:val="C1846152"/>
    <w:lvl w:ilvl="0" w:tplc="BA920702">
      <w:start w:val="1"/>
      <w:numFmt w:val="lowerLetter"/>
      <w:lvlText w:val="%1)"/>
      <w:lvlJc w:val="left"/>
      <w:pPr>
        <w:ind w:left="720" w:hanging="360"/>
      </w:pPr>
      <w:rPr>
        <w:rFonts w:hint="default"/>
      </w:rPr>
    </w:lvl>
    <w:lvl w:ilvl="1" w:tplc="53345F1C" w:tentative="1">
      <w:start w:val="1"/>
      <w:numFmt w:val="lowerLetter"/>
      <w:lvlText w:val="%2."/>
      <w:lvlJc w:val="left"/>
      <w:pPr>
        <w:ind w:left="1440" w:hanging="360"/>
      </w:pPr>
    </w:lvl>
    <w:lvl w:ilvl="2" w:tplc="1DDE4340">
      <w:start w:val="1"/>
      <w:numFmt w:val="lowerRoman"/>
      <w:lvlText w:val="%3."/>
      <w:lvlJc w:val="right"/>
      <w:pPr>
        <w:ind w:left="2160" w:hanging="180"/>
      </w:pPr>
    </w:lvl>
    <w:lvl w:ilvl="3" w:tplc="4BC2C7BE">
      <w:start w:val="1"/>
      <w:numFmt w:val="decimal"/>
      <w:lvlText w:val="%4."/>
      <w:lvlJc w:val="left"/>
      <w:pPr>
        <w:ind w:left="2880" w:hanging="360"/>
      </w:pPr>
    </w:lvl>
    <w:lvl w:ilvl="4" w:tplc="3D2E575C" w:tentative="1">
      <w:start w:val="1"/>
      <w:numFmt w:val="lowerLetter"/>
      <w:lvlText w:val="%5."/>
      <w:lvlJc w:val="left"/>
      <w:pPr>
        <w:ind w:left="3600" w:hanging="360"/>
      </w:pPr>
    </w:lvl>
    <w:lvl w:ilvl="5" w:tplc="009480C4" w:tentative="1">
      <w:start w:val="1"/>
      <w:numFmt w:val="lowerRoman"/>
      <w:lvlText w:val="%6."/>
      <w:lvlJc w:val="right"/>
      <w:pPr>
        <w:ind w:left="4320" w:hanging="180"/>
      </w:pPr>
    </w:lvl>
    <w:lvl w:ilvl="6" w:tplc="818A0BC0" w:tentative="1">
      <w:start w:val="1"/>
      <w:numFmt w:val="decimal"/>
      <w:lvlText w:val="%7."/>
      <w:lvlJc w:val="left"/>
      <w:pPr>
        <w:ind w:left="5040" w:hanging="360"/>
      </w:pPr>
    </w:lvl>
    <w:lvl w:ilvl="7" w:tplc="4218ECA2" w:tentative="1">
      <w:start w:val="1"/>
      <w:numFmt w:val="lowerLetter"/>
      <w:lvlText w:val="%8."/>
      <w:lvlJc w:val="left"/>
      <w:pPr>
        <w:ind w:left="5760" w:hanging="360"/>
      </w:pPr>
    </w:lvl>
    <w:lvl w:ilvl="8" w:tplc="8BDE6F82" w:tentative="1">
      <w:start w:val="1"/>
      <w:numFmt w:val="lowerRoman"/>
      <w:lvlText w:val="%9."/>
      <w:lvlJc w:val="right"/>
      <w:pPr>
        <w:ind w:left="6480" w:hanging="180"/>
      </w:pPr>
    </w:lvl>
  </w:abstractNum>
  <w:abstractNum w:abstractNumId="26" w15:restartNumberingAfterBreak="0">
    <w:nsid w:val="5C992B75"/>
    <w:multiLevelType w:val="multilevel"/>
    <w:tmpl w:val="743467EC"/>
    <w:lvl w:ilvl="0">
      <w:start w:val="1"/>
      <w:numFmt w:val="bullet"/>
      <w:pStyle w:val="Tiret"/>
      <w:lvlText w:val="-"/>
      <w:lvlJc w:val="left"/>
      <w:pPr>
        <w:tabs>
          <w:tab w:val="num" w:pos="1080"/>
        </w:tabs>
        <w:ind w:left="720" w:firstLine="0"/>
      </w:pPr>
      <w:rPr>
        <w:rFonts w:hint="default"/>
      </w:rPr>
    </w:lvl>
    <w:lvl w:ilvl="1">
      <w:start w:val="1"/>
      <w:numFmt w:val="decimal"/>
      <w:lvlText w:val="%1.%2."/>
      <w:lvlJc w:val="left"/>
      <w:pPr>
        <w:tabs>
          <w:tab w:val="num" w:pos="1512"/>
        </w:tabs>
        <w:ind w:left="1512" w:hanging="432"/>
      </w:pPr>
      <w:rPr>
        <w:rFonts w:hint="default"/>
      </w:rPr>
    </w:lvl>
    <w:lvl w:ilvl="2">
      <w:start w:val="1"/>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96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5040"/>
        </w:tabs>
        <w:ind w:left="4464" w:hanging="1224"/>
      </w:pPr>
      <w:rPr>
        <w:rFonts w:hint="default"/>
      </w:rPr>
    </w:lvl>
    <w:lvl w:ilvl="8">
      <w:start w:val="1"/>
      <w:numFmt w:val="decimal"/>
      <w:lvlText w:val="%1.%2.%3.%4.%5.%6.%7.%8.%9."/>
      <w:lvlJc w:val="left"/>
      <w:pPr>
        <w:tabs>
          <w:tab w:val="num" w:pos="5760"/>
        </w:tabs>
        <w:ind w:left="5040" w:hanging="1440"/>
      </w:pPr>
      <w:rPr>
        <w:rFonts w:hint="default"/>
      </w:rPr>
    </w:lvl>
  </w:abstractNum>
  <w:abstractNum w:abstractNumId="27" w15:restartNumberingAfterBreak="0">
    <w:nsid w:val="609C0DCC"/>
    <w:multiLevelType w:val="multilevel"/>
    <w:tmpl w:val="F11C8164"/>
    <w:lvl w:ilvl="0">
      <w:start w:val="1"/>
      <w:numFmt w:val="decimal"/>
      <w:lvlText w:val="[%1]"/>
      <w:lvlJc w:val="left"/>
      <w:pPr>
        <w:tabs>
          <w:tab w:val="num" w:pos="360"/>
        </w:tabs>
        <w:ind w:left="0" w:firstLine="0"/>
      </w:pPr>
      <w:rPr>
        <w:rFonts w:ascii="Arial" w:hAnsi="Arial" w:hint="default"/>
        <w:b w:val="0"/>
        <w:i w:val="0"/>
        <w:sz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8" w15:restartNumberingAfterBreak="0">
    <w:nsid w:val="65BF243C"/>
    <w:multiLevelType w:val="hybridMultilevel"/>
    <w:tmpl w:val="7C4A7E66"/>
    <w:lvl w:ilvl="0" w:tplc="ACB41DAC">
      <w:start w:val="3"/>
      <w:numFmt w:val="lowerLetter"/>
      <w:lvlText w:val="%1)"/>
      <w:lvlJc w:val="left"/>
      <w:pPr>
        <w:ind w:left="720" w:hanging="360"/>
      </w:pPr>
      <w:rPr>
        <w:rFonts w:hint="default"/>
      </w:rPr>
    </w:lvl>
    <w:lvl w:ilvl="1" w:tplc="D2024AC8" w:tentative="1">
      <w:start w:val="1"/>
      <w:numFmt w:val="lowerLetter"/>
      <w:lvlText w:val="%2."/>
      <w:lvlJc w:val="left"/>
      <w:pPr>
        <w:ind w:left="1440" w:hanging="360"/>
      </w:pPr>
    </w:lvl>
    <w:lvl w:ilvl="2" w:tplc="6E36A4B0" w:tentative="1">
      <w:start w:val="1"/>
      <w:numFmt w:val="lowerRoman"/>
      <w:lvlText w:val="%3."/>
      <w:lvlJc w:val="right"/>
      <w:pPr>
        <w:ind w:left="2160" w:hanging="180"/>
      </w:pPr>
    </w:lvl>
    <w:lvl w:ilvl="3" w:tplc="72F47738" w:tentative="1">
      <w:start w:val="1"/>
      <w:numFmt w:val="decimal"/>
      <w:lvlText w:val="%4."/>
      <w:lvlJc w:val="left"/>
      <w:pPr>
        <w:ind w:left="2880" w:hanging="360"/>
      </w:pPr>
    </w:lvl>
    <w:lvl w:ilvl="4" w:tplc="1D6ACB0A" w:tentative="1">
      <w:start w:val="1"/>
      <w:numFmt w:val="lowerLetter"/>
      <w:lvlText w:val="%5."/>
      <w:lvlJc w:val="left"/>
      <w:pPr>
        <w:ind w:left="3600" w:hanging="360"/>
      </w:pPr>
    </w:lvl>
    <w:lvl w:ilvl="5" w:tplc="CFCA03BE" w:tentative="1">
      <w:start w:val="1"/>
      <w:numFmt w:val="lowerRoman"/>
      <w:lvlText w:val="%6."/>
      <w:lvlJc w:val="right"/>
      <w:pPr>
        <w:ind w:left="4320" w:hanging="180"/>
      </w:pPr>
    </w:lvl>
    <w:lvl w:ilvl="6" w:tplc="E08C029E" w:tentative="1">
      <w:start w:val="1"/>
      <w:numFmt w:val="decimal"/>
      <w:lvlText w:val="%7."/>
      <w:lvlJc w:val="left"/>
      <w:pPr>
        <w:ind w:left="5040" w:hanging="360"/>
      </w:pPr>
    </w:lvl>
    <w:lvl w:ilvl="7" w:tplc="CCAC5AB0" w:tentative="1">
      <w:start w:val="1"/>
      <w:numFmt w:val="lowerLetter"/>
      <w:lvlText w:val="%8."/>
      <w:lvlJc w:val="left"/>
      <w:pPr>
        <w:ind w:left="5760" w:hanging="360"/>
      </w:pPr>
    </w:lvl>
    <w:lvl w:ilvl="8" w:tplc="86A4E90E" w:tentative="1">
      <w:start w:val="1"/>
      <w:numFmt w:val="lowerRoman"/>
      <w:lvlText w:val="%9."/>
      <w:lvlJc w:val="right"/>
      <w:pPr>
        <w:ind w:left="6480" w:hanging="180"/>
      </w:pPr>
    </w:lvl>
  </w:abstractNum>
  <w:abstractNum w:abstractNumId="29" w15:restartNumberingAfterBreak="0">
    <w:nsid w:val="711B68CD"/>
    <w:multiLevelType w:val="multilevel"/>
    <w:tmpl w:val="C49C1E6A"/>
    <w:lvl w:ilvl="0">
      <w:start w:val="1"/>
      <w:numFmt w:val="decimal"/>
      <w:lvlText w:val="%1."/>
      <w:lvlJc w:val="left"/>
      <w:pPr>
        <w:ind w:left="1440" w:hanging="873"/>
      </w:pPr>
      <w:rPr>
        <w:rFonts w:hint="default"/>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367" w:hanging="1800"/>
      </w:pPr>
      <w:rPr>
        <w:rFonts w:hint="default"/>
      </w:rPr>
    </w:lvl>
  </w:abstractNum>
  <w:abstractNum w:abstractNumId="30" w15:restartNumberingAfterBreak="0">
    <w:nsid w:val="7AB41AAB"/>
    <w:multiLevelType w:val="multilevel"/>
    <w:tmpl w:val="6F5C7F3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16cid:durableId="400905486">
    <w:abstractNumId w:val="27"/>
  </w:num>
  <w:num w:numId="2" w16cid:durableId="1935430204">
    <w:abstractNumId w:val="27"/>
  </w:num>
  <w:num w:numId="3" w16cid:durableId="1658417130">
    <w:abstractNumId w:val="27"/>
  </w:num>
  <w:num w:numId="4" w16cid:durableId="1349218060">
    <w:abstractNumId w:val="8"/>
  </w:num>
  <w:num w:numId="5" w16cid:durableId="1533956362">
    <w:abstractNumId w:val="3"/>
  </w:num>
  <w:num w:numId="6" w16cid:durableId="345403396">
    <w:abstractNumId w:val="2"/>
  </w:num>
  <w:num w:numId="7" w16cid:durableId="558521431">
    <w:abstractNumId w:val="1"/>
  </w:num>
  <w:num w:numId="8" w16cid:durableId="1619023815">
    <w:abstractNumId w:val="0"/>
  </w:num>
  <w:num w:numId="9" w16cid:durableId="1388650398">
    <w:abstractNumId w:val="9"/>
  </w:num>
  <w:num w:numId="10" w16cid:durableId="1896501539">
    <w:abstractNumId w:val="7"/>
  </w:num>
  <w:num w:numId="11" w16cid:durableId="216355470">
    <w:abstractNumId w:val="6"/>
  </w:num>
  <w:num w:numId="12" w16cid:durableId="566568911">
    <w:abstractNumId w:val="5"/>
  </w:num>
  <w:num w:numId="13" w16cid:durableId="541946336">
    <w:abstractNumId w:val="4"/>
  </w:num>
  <w:num w:numId="14" w16cid:durableId="354696484">
    <w:abstractNumId w:val="27"/>
  </w:num>
  <w:num w:numId="15" w16cid:durableId="1373529576">
    <w:abstractNumId w:val="27"/>
  </w:num>
  <w:num w:numId="16" w16cid:durableId="1391149906">
    <w:abstractNumId w:val="27"/>
  </w:num>
  <w:num w:numId="17" w16cid:durableId="2034455924">
    <w:abstractNumId w:val="23"/>
  </w:num>
  <w:num w:numId="18" w16cid:durableId="1875313399">
    <w:abstractNumId w:val="17"/>
  </w:num>
  <w:num w:numId="19" w16cid:durableId="628823116">
    <w:abstractNumId w:val="18"/>
  </w:num>
  <w:num w:numId="20" w16cid:durableId="359228">
    <w:abstractNumId w:val="12"/>
  </w:num>
  <w:num w:numId="21" w16cid:durableId="1538468629">
    <w:abstractNumId w:val="12"/>
    <w:lvlOverride w:ilvl="0">
      <w:startOverride w:val="1"/>
    </w:lvlOverride>
  </w:num>
  <w:num w:numId="22" w16cid:durableId="407699608">
    <w:abstractNumId w:val="26"/>
  </w:num>
  <w:num w:numId="23" w16cid:durableId="2088574450">
    <w:abstractNumId w:val="18"/>
    <w:lvlOverride w:ilvl="0">
      <w:lvl w:ilvl="0">
        <w:start w:val="1"/>
        <w:numFmt w:val="decimal"/>
        <w:lvlText w:val="%1."/>
        <w:lvlJc w:val="left"/>
        <w:pPr>
          <w:ind w:left="360" w:hanging="360"/>
        </w:pPr>
        <w:rPr>
          <w:rFonts w:hint="default"/>
        </w:rPr>
      </w:lvl>
    </w:lvlOverride>
    <w:lvlOverride w:ilvl="1">
      <w:lvl w:ilvl="1">
        <w:start w:val="1"/>
        <w:numFmt w:val="decimal"/>
        <w:lvlText w:val="%1.%2."/>
        <w:lvlJc w:val="left"/>
        <w:pPr>
          <w:ind w:left="792" w:hanging="432"/>
        </w:pPr>
        <w:rPr>
          <w:rFonts w:hint="default"/>
        </w:rPr>
      </w:lvl>
    </w:lvlOverride>
    <w:lvlOverride w:ilvl="2">
      <w:lvl w:ilvl="2">
        <w:start w:val="1"/>
        <w:numFmt w:val="lowerLetter"/>
        <w:lvlText w:val="%3)"/>
        <w:lvlJc w:val="left"/>
        <w:pPr>
          <w:ind w:left="1224" w:hanging="504"/>
        </w:pPr>
        <w:rPr>
          <w:rFonts w:hint="default"/>
        </w:rPr>
      </w:lvl>
    </w:lvlOverride>
    <w:lvlOverride w:ilvl="3">
      <w:lvl w:ilvl="3">
        <w:start w:val="1"/>
        <w:numFmt w:val="lowerRoman"/>
        <w:lvlText w:val="%4."/>
        <w:lvlJc w:val="left"/>
        <w:pPr>
          <w:ind w:left="1728" w:hanging="648"/>
        </w:pPr>
        <w:rPr>
          <w:rFonts w:hint="default"/>
        </w:rPr>
      </w:lvl>
    </w:lvlOverride>
    <w:lvlOverride w:ilvl="4">
      <w:lvl w:ilvl="4">
        <w:start w:val="1"/>
        <w:numFmt w:val="decimal"/>
        <w:lvlText w:val="%1.%2.%3.%4.%5."/>
        <w:lvlJc w:val="left"/>
        <w:pPr>
          <w:ind w:left="2232" w:hanging="792"/>
        </w:pPr>
        <w:rPr>
          <w:rFonts w:hint="default"/>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24" w16cid:durableId="119696928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25987607">
    <w:abstractNumId w:val="19"/>
  </w:num>
  <w:num w:numId="26" w16cid:durableId="410856895">
    <w:abstractNumId w:val="30"/>
  </w:num>
  <w:num w:numId="27" w16cid:durableId="275063404">
    <w:abstractNumId w:val="16"/>
  </w:num>
  <w:num w:numId="28" w16cid:durableId="570116194">
    <w:abstractNumId w:val="24"/>
  </w:num>
  <w:num w:numId="29" w16cid:durableId="1422070258">
    <w:abstractNumId w:val="25"/>
  </w:num>
  <w:num w:numId="30" w16cid:durableId="1889300001">
    <w:abstractNumId w:val="21"/>
  </w:num>
  <w:num w:numId="31" w16cid:durableId="63186508">
    <w:abstractNumId w:val="15"/>
  </w:num>
  <w:num w:numId="32" w16cid:durableId="1548764112">
    <w:abstractNumId w:val="10"/>
  </w:num>
  <w:num w:numId="33" w16cid:durableId="1171094281">
    <w:abstractNumId w:val="28"/>
  </w:num>
  <w:num w:numId="34" w16cid:durableId="585579761">
    <w:abstractNumId w:val="11"/>
  </w:num>
  <w:num w:numId="35" w16cid:durableId="1140148350">
    <w:abstractNumId w:val="22"/>
  </w:num>
  <w:num w:numId="36" w16cid:durableId="139696983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333381767">
    <w:abstractNumId w:val="13"/>
  </w:num>
  <w:num w:numId="38" w16cid:durableId="1382905301">
    <w:abstractNumId w:val="20"/>
  </w:num>
  <w:num w:numId="39" w16cid:durableId="409812559">
    <w:abstractNumId w:val="14"/>
  </w:num>
  <w:num w:numId="40" w16cid:durableId="1012955325">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hyphenationZone w:val="425"/>
  <w:displayHorizontalDrawingGridEvery w:val="0"/>
  <w:displayVerticalDrawingGridEvery w:val="0"/>
  <w:doNotUseMarginsForDrawingGridOrigin/>
  <w:doNotShadeFormData/>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59D"/>
    <w:rsid w:val="00007E58"/>
    <w:rsid w:val="000131E1"/>
    <w:rsid w:val="00016C29"/>
    <w:rsid w:val="00026152"/>
    <w:rsid w:val="00032EF2"/>
    <w:rsid w:val="0004014B"/>
    <w:rsid w:val="0004394C"/>
    <w:rsid w:val="00045E8D"/>
    <w:rsid w:val="000465C9"/>
    <w:rsid w:val="00053691"/>
    <w:rsid w:val="00054B92"/>
    <w:rsid w:val="00063F15"/>
    <w:rsid w:val="000903D8"/>
    <w:rsid w:val="000A01D4"/>
    <w:rsid w:val="000A7516"/>
    <w:rsid w:val="000B42AF"/>
    <w:rsid w:val="000F5A42"/>
    <w:rsid w:val="0010246A"/>
    <w:rsid w:val="00110B53"/>
    <w:rsid w:val="00112321"/>
    <w:rsid w:val="00117914"/>
    <w:rsid w:val="001217CB"/>
    <w:rsid w:val="001233E5"/>
    <w:rsid w:val="001272B7"/>
    <w:rsid w:val="0013028C"/>
    <w:rsid w:val="00142842"/>
    <w:rsid w:val="00147B01"/>
    <w:rsid w:val="0015559D"/>
    <w:rsid w:val="0015610F"/>
    <w:rsid w:val="001601F8"/>
    <w:rsid w:val="00160B31"/>
    <w:rsid w:val="00170476"/>
    <w:rsid w:val="00181F56"/>
    <w:rsid w:val="00190FA7"/>
    <w:rsid w:val="00192441"/>
    <w:rsid w:val="001972F2"/>
    <w:rsid w:val="001A06C4"/>
    <w:rsid w:val="001A28E5"/>
    <w:rsid w:val="001C78FF"/>
    <w:rsid w:val="001D0024"/>
    <w:rsid w:val="001E6CE8"/>
    <w:rsid w:val="001F7690"/>
    <w:rsid w:val="0020224B"/>
    <w:rsid w:val="00203008"/>
    <w:rsid w:val="002055B3"/>
    <w:rsid w:val="00205DC4"/>
    <w:rsid w:val="0021548E"/>
    <w:rsid w:val="002273F5"/>
    <w:rsid w:val="00232DC5"/>
    <w:rsid w:val="0023472E"/>
    <w:rsid w:val="00263937"/>
    <w:rsid w:val="0026524E"/>
    <w:rsid w:val="00265DB9"/>
    <w:rsid w:val="00290B82"/>
    <w:rsid w:val="00291706"/>
    <w:rsid w:val="002A0E09"/>
    <w:rsid w:val="002A248A"/>
    <w:rsid w:val="002B1FE2"/>
    <w:rsid w:val="002B4A07"/>
    <w:rsid w:val="002C4107"/>
    <w:rsid w:val="002E048A"/>
    <w:rsid w:val="002E1F0E"/>
    <w:rsid w:val="002E229C"/>
    <w:rsid w:val="002E4137"/>
    <w:rsid w:val="002E51F1"/>
    <w:rsid w:val="002F1350"/>
    <w:rsid w:val="002F6136"/>
    <w:rsid w:val="003002D9"/>
    <w:rsid w:val="00303CA3"/>
    <w:rsid w:val="003127BA"/>
    <w:rsid w:val="00322DE0"/>
    <w:rsid w:val="0032363D"/>
    <w:rsid w:val="00324DDC"/>
    <w:rsid w:val="003258F9"/>
    <w:rsid w:val="0033190E"/>
    <w:rsid w:val="00345D64"/>
    <w:rsid w:val="00361325"/>
    <w:rsid w:val="0036793B"/>
    <w:rsid w:val="00374888"/>
    <w:rsid w:val="00374E40"/>
    <w:rsid w:val="00387179"/>
    <w:rsid w:val="003928B9"/>
    <w:rsid w:val="003A39D7"/>
    <w:rsid w:val="003B1A3B"/>
    <w:rsid w:val="003D357E"/>
    <w:rsid w:val="003D487D"/>
    <w:rsid w:val="003E177D"/>
    <w:rsid w:val="003E3239"/>
    <w:rsid w:val="003E3676"/>
    <w:rsid w:val="003E3E3C"/>
    <w:rsid w:val="003F4DF3"/>
    <w:rsid w:val="00405874"/>
    <w:rsid w:val="00410954"/>
    <w:rsid w:val="00411C71"/>
    <w:rsid w:val="00423DF1"/>
    <w:rsid w:val="00430C58"/>
    <w:rsid w:val="00431728"/>
    <w:rsid w:val="004331C4"/>
    <w:rsid w:val="0043564D"/>
    <w:rsid w:val="00441C25"/>
    <w:rsid w:val="004428D5"/>
    <w:rsid w:val="0044576A"/>
    <w:rsid w:val="00446452"/>
    <w:rsid w:val="00451538"/>
    <w:rsid w:val="00462C71"/>
    <w:rsid w:val="00472DC8"/>
    <w:rsid w:val="004802EC"/>
    <w:rsid w:val="00481DCF"/>
    <w:rsid w:val="00496786"/>
    <w:rsid w:val="004A29F1"/>
    <w:rsid w:val="004A4798"/>
    <w:rsid w:val="004A6641"/>
    <w:rsid w:val="004B1E94"/>
    <w:rsid w:val="004B33FF"/>
    <w:rsid w:val="004B4E6A"/>
    <w:rsid w:val="004C5A81"/>
    <w:rsid w:val="004D2F69"/>
    <w:rsid w:val="004E4FBA"/>
    <w:rsid w:val="004F3B57"/>
    <w:rsid w:val="004F74F2"/>
    <w:rsid w:val="00507529"/>
    <w:rsid w:val="005131F1"/>
    <w:rsid w:val="00513996"/>
    <w:rsid w:val="0051484F"/>
    <w:rsid w:val="00516B3E"/>
    <w:rsid w:val="005262C9"/>
    <w:rsid w:val="00531D70"/>
    <w:rsid w:val="00554A3A"/>
    <w:rsid w:val="00561A6A"/>
    <w:rsid w:val="00566BF6"/>
    <w:rsid w:val="0057513D"/>
    <w:rsid w:val="00577991"/>
    <w:rsid w:val="00583434"/>
    <w:rsid w:val="0058349F"/>
    <w:rsid w:val="00590FA3"/>
    <w:rsid w:val="00597C98"/>
    <w:rsid w:val="005A78BF"/>
    <w:rsid w:val="005B0280"/>
    <w:rsid w:val="005B6B4C"/>
    <w:rsid w:val="005C3F78"/>
    <w:rsid w:val="005C7516"/>
    <w:rsid w:val="005D1522"/>
    <w:rsid w:val="005F27DF"/>
    <w:rsid w:val="005F5F5F"/>
    <w:rsid w:val="00602FE5"/>
    <w:rsid w:val="00606F82"/>
    <w:rsid w:val="00620479"/>
    <w:rsid w:val="00624770"/>
    <w:rsid w:val="00624FE2"/>
    <w:rsid w:val="00640BE2"/>
    <w:rsid w:val="0064250B"/>
    <w:rsid w:val="00642DF0"/>
    <w:rsid w:val="00646954"/>
    <w:rsid w:val="00655753"/>
    <w:rsid w:val="00663CB6"/>
    <w:rsid w:val="00677D23"/>
    <w:rsid w:val="006826AA"/>
    <w:rsid w:val="0068356A"/>
    <w:rsid w:val="0069276C"/>
    <w:rsid w:val="00694B30"/>
    <w:rsid w:val="006A0CE1"/>
    <w:rsid w:val="006A0DB0"/>
    <w:rsid w:val="006A6629"/>
    <w:rsid w:val="006B7428"/>
    <w:rsid w:val="006C2E21"/>
    <w:rsid w:val="006E276D"/>
    <w:rsid w:val="006E7AEC"/>
    <w:rsid w:val="006F156E"/>
    <w:rsid w:val="007128BC"/>
    <w:rsid w:val="00716677"/>
    <w:rsid w:val="00726E1F"/>
    <w:rsid w:val="007331EC"/>
    <w:rsid w:val="00740A17"/>
    <w:rsid w:val="00745B3A"/>
    <w:rsid w:val="007462D6"/>
    <w:rsid w:val="0074738B"/>
    <w:rsid w:val="0076062E"/>
    <w:rsid w:val="00766FC2"/>
    <w:rsid w:val="007953F3"/>
    <w:rsid w:val="007A09A6"/>
    <w:rsid w:val="007A7803"/>
    <w:rsid w:val="007B061E"/>
    <w:rsid w:val="007B48D5"/>
    <w:rsid w:val="007D087C"/>
    <w:rsid w:val="007D2D19"/>
    <w:rsid w:val="007E33E4"/>
    <w:rsid w:val="007E4CC9"/>
    <w:rsid w:val="007F6D05"/>
    <w:rsid w:val="00800D23"/>
    <w:rsid w:val="00816273"/>
    <w:rsid w:val="00824499"/>
    <w:rsid w:val="0082717B"/>
    <w:rsid w:val="00827B04"/>
    <w:rsid w:val="0083032E"/>
    <w:rsid w:val="00841907"/>
    <w:rsid w:val="00843760"/>
    <w:rsid w:val="0086036A"/>
    <w:rsid w:val="008653A3"/>
    <w:rsid w:val="008657A2"/>
    <w:rsid w:val="00866645"/>
    <w:rsid w:val="00872D42"/>
    <w:rsid w:val="00876F98"/>
    <w:rsid w:val="00880FE4"/>
    <w:rsid w:val="00882210"/>
    <w:rsid w:val="008A1043"/>
    <w:rsid w:val="008A6185"/>
    <w:rsid w:val="008B276F"/>
    <w:rsid w:val="008B550F"/>
    <w:rsid w:val="008B5FCF"/>
    <w:rsid w:val="008C1FE9"/>
    <w:rsid w:val="008C7DCE"/>
    <w:rsid w:val="008D1535"/>
    <w:rsid w:val="008D18FC"/>
    <w:rsid w:val="008D398B"/>
    <w:rsid w:val="008D7E49"/>
    <w:rsid w:val="008D7F32"/>
    <w:rsid w:val="008F235D"/>
    <w:rsid w:val="008F364A"/>
    <w:rsid w:val="008F3F53"/>
    <w:rsid w:val="009073C9"/>
    <w:rsid w:val="00913E03"/>
    <w:rsid w:val="009229E9"/>
    <w:rsid w:val="00926953"/>
    <w:rsid w:val="00927520"/>
    <w:rsid w:val="00932703"/>
    <w:rsid w:val="00936469"/>
    <w:rsid w:val="009400B7"/>
    <w:rsid w:val="009466B9"/>
    <w:rsid w:val="00953652"/>
    <w:rsid w:val="00954DC2"/>
    <w:rsid w:val="00957B92"/>
    <w:rsid w:val="00970966"/>
    <w:rsid w:val="00974442"/>
    <w:rsid w:val="009966BA"/>
    <w:rsid w:val="009C0D5F"/>
    <w:rsid w:val="009D3C67"/>
    <w:rsid w:val="009E0FFF"/>
    <w:rsid w:val="009E288D"/>
    <w:rsid w:val="009E2E26"/>
    <w:rsid w:val="009F1F69"/>
    <w:rsid w:val="00A0000C"/>
    <w:rsid w:val="00A027DB"/>
    <w:rsid w:val="00A15553"/>
    <w:rsid w:val="00A23BF4"/>
    <w:rsid w:val="00A2593B"/>
    <w:rsid w:val="00A34E05"/>
    <w:rsid w:val="00A40455"/>
    <w:rsid w:val="00A43D8B"/>
    <w:rsid w:val="00A454F1"/>
    <w:rsid w:val="00A543CC"/>
    <w:rsid w:val="00A62675"/>
    <w:rsid w:val="00A62C47"/>
    <w:rsid w:val="00A67EF0"/>
    <w:rsid w:val="00A929F0"/>
    <w:rsid w:val="00A93CFF"/>
    <w:rsid w:val="00AB7DD2"/>
    <w:rsid w:val="00AF0C7C"/>
    <w:rsid w:val="00B01D86"/>
    <w:rsid w:val="00B07E4E"/>
    <w:rsid w:val="00B11FD1"/>
    <w:rsid w:val="00B137E9"/>
    <w:rsid w:val="00B26B75"/>
    <w:rsid w:val="00B303CD"/>
    <w:rsid w:val="00B30EA2"/>
    <w:rsid w:val="00B327C1"/>
    <w:rsid w:val="00B3591C"/>
    <w:rsid w:val="00B36183"/>
    <w:rsid w:val="00B36ED3"/>
    <w:rsid w:val="00B46DDB"/>
    <w:rsid w:val="00B513C9"/>
    <w:rsid w:val="00B5334F"/>
    <w:rsid w:val="00B56EF4"/>
    <w:rsid w:val="00B5707C"/>
    <w:rsid w:val="00B60C95"/>
    <w:rsid w:val="00B70485"/>
    <w:rsid w:val="00B76CCC"/>
    <w:rsid w:val="00B82A13"/>
    <w:rsid w:val="00BD1592"/>
    <w:rsid w:val="00BD1F7B"/>
    <w:rsid w:val="00BF3C16"/>
    <w:rsid w:val="00C02AF8"/>
    <w:rsid w:val="00C13F23"/>
    <w:rsid w:val="00C17E01"/>
    <w:rsid w:val="00C2293A"/>
    <w:rsid w:val="00C22A50"/>
    <w:rsid w:val="00C26118"/>
    <w:rsid w:val="00C31AC4"/>
    <w:rsid w:val="00C3426A"/>
    <w:rsid w:val="00C3462D"/>
    <w:rsid w:val="00C37990"/>
    <w:rsid w:val="00C409BE"/>
    <w:rsid w:val="00C40EE0"/>
    <w:rsid w:val="00C41729"/>
    <w:rsid w:val="00C423CA"/>
    <w:rsid w:val="00C4464A"/>
    <w:rsid w:val="00C53437"/>
    <w:rsid w:val="00C61263"/>
    <w:rsid w:val="00C652ED"/>
    <w:rsid w:val="00C653F2"/>
    <w:rsid w:val="00C7050E"/>
    <w:rsid w:val="00C7793C"/>
    <w:rsid w:val="00C83B86"/>
    <w:rsid w:val="00C9105D"/>
    <w:rsid w:val="00C939A8"/>
    <w:rsid w:val="00C97145"/>
    <w:rsid w:val="00CA1F19"/>
    <w:rsid w:val="00CB54E5"/>
    <w:rsid w:val="00CC0181"/>
    <w:rsid w:val="00CC1D70"/>
    <w:rsid w:val="00CC3C4F"/>
    <w:rsid w:val="00CD0ECD"/>
    <w:rsid w:val="00CE5250"/>
    <w:rsid w:val="00CF7E59"/>
    <w:rsid w:val="00D010FD"/>
    <w:rsid w:val="00D02812"/>
    <w:rsid w:val="00D17077"/>
    <w:rsid w:val="00D20056"/>
    <w:rsid w:val="00D20271"/>
    <w:rsid w:val="00D6335D"/>
    <w:rsid w:val="00D84AF0"/>
    <w:rsid w:val="00DB2119"/>
    <w:rsid w:val="00DB7C62"/>
    <w:rsid w:val="00DC05BC"/>
    <w:rsid w:val="00DC68A2"/>
    <w:rsid w:val="00DD3A24"/>
    <w:rsid w:val="00DD6D35"/>
    <w:rsid w:val="00DE3939"/>
    <w:rsid w:val="00DE4DDF"/>
    <w:rsid w:val="00DE6D2A"/>
    <w:rsid w:val="00DF2274"/>
    <w:rsid w:val="00DF3516"/>
    <w:rsid w:val="00E03C07"/>
    <w:rsid w:val="00E13944"/>
    <w:rsid w:val="00E20E3C"/>
    <w:rsid w:val="00E358E5"/>
    <w:rsid w:val="00E36290"/>
    <w:rsid w:val="00E503F8"/>
    <w:rsid w:val="00E5197C"/>
    <w:rsid w:val="00E532C3"/>
    <w:rsid w:val="00E56BD1"/>
    <w:rsid w:val="00E60342"/>
    <w:rsid w:val="00E659B6"/>
    <w:rsid w:val="00E71BB6"/>
    <w:rsid w:val="00E776A3"/>
    <w:rsid w:val="00E81E61"/>
    <w:rsid w:val="00E83095"/>
    <w:rsid w:val="00E848B4"/>
    <w:rsid w:val="00E9084C"/>
    <w:rsid w:val="00E91417"/>
    <w:rsid w:val="00E94329"/>
    <w:rsid w:val="00EA553F"/>
    <w:rsid w:val="00EB1377"/>
    <w:rsid w:val="00EB660E"/>
    <w:rsid w:val="00EC0B03"/>
    <w:rsid w:val="00EC1E33"/>
    <w:rsid w:val="00ED3278"/>
    <w:rsid w:val="00F0063D"/>
    <w:rsid w:val="00F07022"/>
    <w:rsid w:val="00F1119E"/>
    <w:rsid w:val="00F241BF"/>
    <w:rsid w:val="00F27412"/>
    <w:rsid w:val="00F33E30"/>
    <w:rsid w:val="00F35A34"/>
    <w:rsid w:val="00F40882"/>
    <w:rsid w:val="00F43093"/>
    <w:rsid w:val="00F43559"/>
    <w:rsid w:val="00F572C1"/>
    <w:rsid w:val="00F5789B"/>
    <w:rsid w:val="00F65B74"/>
    <w:rsid w:val="00F67A0D"/>
    <w:rsid w:val="00F71E64"/>
    <w:rsid w:val="00F75AAB"/>
    <w:rsid w:val="00F75C76"/>
    <w:rsid w:val="00F82DF5"/>
    <w:rsid w:val="00F86A9D"/>
    <w:rsid w:val="00F9391E"/>
    <w:rsid w:val="00FC5DE8"/>
    <w:rsid w:val="00FC720B"/>
    <w:rsid w:val="00FD435B"/>
    <w:rsid w:val="00FE3FE9"/>
    <w:rsid w:val="00FE6A10"/>
    <w:rsid w:val="00FF721E"/>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D390AB"/>
  <w15:chartTrackingRefBased/>
  <w15:docId w15:val="{CD899DC0-8AA1-49F9-A324-27051C3B0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A" w:eastAsia="fr-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0" w:lineRule="exact"/>
    </w:pPr>
    <w:rPr>
      <w:rFonts w:ascii="Arial" w:hAnsi="Arial"/>
      <w:sz w:val="24"/>
      <w:lang w:eastAsia="fr-FR"/>
    </w:rPr>
  </w:style>
  <w:style w:type="paragraph" w:styleId="Titre1">
    <w:name w:val="heading 1"/>
    <w:basedOn w:val="Normal"/>
    <w:next w:val="Normal"/>
    <w:link w:val="Titre1Car"/>
    <w:qFormat/>
    <w:pPr>
      <w:keepNext/>
      <w:spacing w:before="240" w:after="60" w:line="500" w:lineRule="exact"/>
      <w:outlineLvl w:val="0"/>
    </w:pPr>
    <w:rPr>
      <w:b/>
      <w:kern w:val="28"/>
      <w:sz w:val="28"/>
    </w:rPr>
  </w:style>
  <w:style w:type="paragraph" w:styleId="Titre2">
    <w:name w:val="heading 2"/>
    <w:basedOn w:val="Normal"/>
    <w:next w:val="Normal"/>
    <w:link w:val="Titre2Car"/>
    <w:qFormat/>
    <w:pPr>
      <w:keepNext/>
      <w:spacing w:before="240" w:after="60"/>
      <w:outlineLvl w:val="1"/>
    </w:pPr>
    <w:rPr>
      <w:b/>
      <w:i/>
    </w:rPr>
  </w:style>
  <w:style w:type="paragraph" w:styleId="Titre3">
    <w:name w:val="heading 3"/>
    <w:basedOn w:val="Normal"/>
    <w:next w:val="Normal"/>
    <w:link w:val="Titre3Car"/>
    <w:qFormat/>
    <w:pPr>
      <w:keepNext/>
      <w:spacing w:before="240" w:after="60"/>
      <w:outlineLvl w:val="2"/>
    </w:pPr>
  </w:style>
  <w:style w:type="paragraph" w:styleId="Titre4">
    <w:name w:val="heading 4"/>
    <w:basedOn w:val="Normal"/>
    <w:next w:val="Normal"/>
    <w:link w:val="Titre4Car"/>
    <w:qFormat/>
    <w:pPr>
      <w:keepNext/>
      <w:spacing w:before="240" w:after="60"/>
      <w:outlineLvl w:val="3"/>
    </w:pPr>
    <w:rPr>
      <w:b/>
    </w:rPr>
  </w:style>
  <w:style w:type="paragraph" w:styleId="Titre5">
    <w:name w:val="heading 5"/>
    <w:basedOn w:val="Normal"/>
    <w:next w:val="Normal"/>
    <w:link w:val="Titre5Car"/>
    <w:qFormat/>
    <w:pPr>
      <w:spacing w:before="240" w:after="60"/>
      <w:outlineLvl w:val="4"/>
    </w:pPr>
    <w:rPr>
      <w:sz w:val="22"/>
    </w:rPr>
  </w:style>
  <w:style w:type="paragraph" w:styleId="Titre6">
    <w:name w:val="heading 6"/>
    <w:basedOn w:val="Normal"/>
    <w:next w:val="Normal"/>
    <w:link w:val="Titre6Car"/>
    <w:qFormat/>
    <w:pPr>
      <w:spacing w:before="240" w:after="60"/>
      <w:outlineLvl w:val="5"/>
    </w:pPr>
    <w:rPr>
      <w:i/>
      <w:sz w:val="22"/>
    </w:rPr>
  </w:style>
  <w:style w:type="paragraph" w:styleId="Titre7">
    <w:name w:val="heading 7"/>
    <w:basedOn w:val="Normal"/>
    <w:next w:val="Normal"/>
    <w:link w:val="Titre7Car"/>
    <w:qFormat/>
    <w:pPr>
      <w:spacing w:before="240" w:after="60"/>
      <w:outlineLvl w:val="6"/>
    </w:pPr>
    <w:rPr>
      <w:sz w:val="20"/>
    </w:rPr>
  </w:style>
  <w:style w:type="paragraph" w:styleId="Titre8">
    <w:name w:val="heading 8"/>
    <w:basedOn w:val="Normal"/>
    <w:next w:val="Normal"/>
    <w:link w:val="Titre8Car"/>
    <w:qFormat/>
    <w:pPr>
      <w:spacing w:before="240" w:after="60"/>
      <w:outlineLvl w:val="7"/>
    </w:pPr>
    <w:rPr>
      <w:i/>
      <w:sz w:val="20"/>
    </w:rPr>
  </w:style>
  <w:style w:type="paragraph" w:styleId="Titre9">
    <w:name w:val="heading 9"/>
    <w:basedOn w:val="Normal"/>
    <w:next w:val="Normal"/>
    <w:link w:val="Titre9Car"/>
    <w:qFormat/>
    <w:pPr>
      <w:spacing w:before="240" w:after="60"/>
      <w:outlineLvl w:val="8"/>
    </w:pPr>
    <w:rPr>
      <w:b/>
      <w:i/>
      <w:sz w:val="1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Paragraphe">
    <w:name w:val="Paragraphe"/>
    <w:basedOn w:val="Normal"/>
    <w:pPr>
      <w:numPr>
        <w:numId w:val="18"/>
      </w:numPr>
      <w:spacing w:before="120" w:after="120" w:line="500" w:lineRule="exact"/>
      <w:jc w:val="both"/>
    </w:pPr>
    <w:rPr>
      <w:kern w:val="28"/>
    </w:rPr>
  </w:style>
  <w:style w:type="paragraph" w:customStyle="1" w:styleId="Citationenretrait">
    <w:name w:val="Citation en retrait"/>
    <w:basedOn w:val="Normal"/>
    <w:pPr>
      <w:spacing w:before="120" w:after="120"/>
      <w:ind w:left="720" w:right="720"/>
      <w:jc w:val="both"/>
    </w:pPr>
    <w:rPr>
      <w:kern w:val="24"/>
      <w:sz w:val="22"/>
    </w:rPr>
  </w:style>
  <w:style w:type="character" w:customStyle="1" w:styleId="Citationintgre">
    <w:name w:val="Citation intégrée"/>
    <w:rPr>
      <w:rFonts w:ascii="Arial" w:hAnsi="Arial"/>
      <w:i/>
      <w:noProof w:val="0"/>
      <w:sz w:val="22"/>
      <w:lang w:val="fr-CA"/>
    </w:rPr>
  </w:style>
  <w:style w:type="paragraph" w:styleId="Corpsdetexte">
    <w:name w:val="Body Text"/>
    <w:basedOn w:val="Normal"/>
    <w:link w:val="CorpsdetexteCar"/>
    <w:pPr>
      <w:spacing w:after="120"/>
    </w:pPr>
  </w:style>
  <w:style w:type="paragraph" w:styleId="Notedebasdepage">
    <w:name w:val="footnote text"/>
    <w:basedOn w:val="Normal"/>
    <w:link w:val="NotedebasdepageCar"/>
    <w:semiHidden/>
    <w:pPr>
      <w:spacing w:line="240" w:lineRule="auto"/>
      <w:ind w:left="360" w:hanging="360"/>
      <w:jc w:val="both"/>
    </w:pPr>
    <w:rPr>
      <w:sz w:val="20"/>
    </w:rPr>
  </w:style>
  <w:style w:type="paragraph" w:styleId="Notedefin">
    <w:name w:val="endnote text"/>
    <w:basedOn w:val="Normal"/>
    <w:link w:val="NotedefinCar"/>
    <w:semiHidden/>
    <w:pPr>
      <w:ind w:left="-360"/>
      <w:jc w:val="both"/>
    </w:pPr>
    <w:rPr>
      <w:sz w:val="20"/>
    </w:rPr>
  </w:style>
  <w:style w:type="paragraph" w:customStyle="1" w:styleId="zSoquijlblCour">
    <w:name w:val="zSoquij_lblCour"/>
    <w:basedOn w:val="Normal"/>
    <w:pPr>
      <w:spacing w:line="500" w:lineRule="exact"/>
      <w:jc w:val="center"/>
    </w:pPr>
    <w:rPr>
      <w:b/>
      <w:sz w:val="36"/>
    </w:rPr>
  </w:style>
  <w:style w:type="paragraph" w:customStyle="1" w:styleId="zSoquijlblPays">
    <w:name w:val="zSoquij_lblPays"/>
    <w:basedOn w:val="Normal"/>
  </w:style>
  <w:style w:type="paragraph" w:customStyle="1" w:styleId="zSoquijlblProvince">
    <w:name w:val="zSoquij_lblProvince"/>
    <w:basedOn w:val="Normal"/>
  </w:style>
  <w:style w:type="paragraph" w:customStyle="1" w:styleId="zSoquijlblGreffe">
    <w:name w:val="zSoquij_lblGreffe"/>
    <w:basedOn w:val="Normal"/>
  </w:style>
  <w:style w:type="paragraph" w:customStyle="1" w:styleId="zSoquijdatGreffe">
    <w:name w:val="zSoquij_datGreffe"/>
    <w:basedOn w:val="Normal"/>
  </w:style>
  <w:style w:type="paragraph" w:customStyle="1" w:styleId="zSoquijdatDivision">
    <w:name w:val="zSoquij_datDivision"/>
    <w:basedOn w:val="Normal"/>
    <w:pPr>
      <w:jc w:val="center"/>
    </w:pPr>
    <w:rPr>
      <w:sz w:val="22"/>
    </w:rPr>
  </w:style>
  <w:style w:type="paragraph" w:customStyle="1" w:styleId="zSoquijlblNoDossier">
    <w:name w:val="zSoquij_lblNoDossier"/>
    <w:basedOn w:val="Normal"/>
  </w:style>
  <w:style w:type="paragraph" w:customStyle="1" w:styleId="zSoquijdatNoDossier">
    <w:name w:val="zSoquij_datNoDossier"/>
    <w:basedOn w:val="Normal"/>
  </w:style>
  <w:style w:type="paragraph" w:customStyle="1" w:styleId="zSoquijdatNoDossierAnt">
    <w:name w:val="zSoquij_datNoDossierAnt"/>
    <w:basedOn w:val="Normal"/>
    <w:pPr>
      <w:ind w:left="950"/>
    </w:pPr>
  </w:style>
  <w:style w:type="paragraph" w:customStyle="1" w:styleId="zSoquijdatDateJugement">
    <w:name w:val="zSoquij_datDateJugement"/>
    <w:basedOn w:val="Normal"/>
  </w:style>
  <w:style w:type="paragraph" w:customStyle="1" w:styleId="zSoquijlblDateJugement">
    <w:name w:val="zSoquij_lblDateJugement"/>
    <w:basedOn w:val="Normal"/>
  </w:style>
  <w:style w:type="paragraph" w:customStyle="1" w:styleId="zSoquijlblJuge">
    <w:name w:val="zSoquij_lblJuge"/>
    <w:basedOn w:val="Normal"/>
    <w:rPr>
      <w:b/>
    </w:rPr>
  </w:style>
  <w:style w:type="paragraph" w:customStyle="1" w:styleId="zSoquijdatQteJuge">
    <w:name w:val="zSoquij_datQteJuge"/>
    <w:basedOn w:val="Normal"/>
    <w:rPr>
      <w:b/>
    </w:rPr>
  </w:style>
  <w:style w:type="paragraph" w:customStyle="1" w:styleId="zSoquijdatJuge">
    <w:name w:val="zSoquij_datJuge"/>
    <w:basedOn w:val="Normal"/>
    <w:rPr>
      <w:b/>
    </w:rPr>
  </w:style>
  <w:style w:type="paragraph" w:customStyle="1" w:styleId="zSoquijdatNomPartieDem">
    <w:name w:val="zSoquij_datNomPartieDem"/>
    <w:basedOn w:val="Normal"/>
    <w:rPr>
      <w:b/>
      <w:bCs/>
    </w:rPr>
  </w:style>
  <w:style w:type="paragraph" w:customStyle="1" w:styleId="zSoquijdatQtePartieDem">
    <w:name w:val="zSoquij_datQtePartieDem"/>
    <w:basedOn w:val="Normal"/>
    <w:pPr>
      <w:ind w:left="708"/>
    </w:pPr>
  </w:style>
  <w:style w:type="paragraph" w:customStyle="1" w:styleId="zSoquijlblLienParties">
    <w:name w:val="zSoquij_lblLienParties"/>
    <w:basedOn w:val="Normal"/>
  </w:style>
  <w:style w:type="paragraph" w:customStyle="1" w:styleId="zSoquijdatNomPartieDef">
    <w:name w:val="zSoquij_datNomPartieDef"/>
    <w:basedOn w:val="Normal"/>
    <w:rPr>
      <w:b/>
      <w:bCs/>
    </w:rPr>
  </w:style>
  <w:style w:type="paragraph" w:customStyle="1" w:styleId="zSoquijdatQtePartieDef">
    <w:name w:val="zSoquij_datQtePartieDef"/>
    <w:basedOn w:val="Normal"/>
    <w:pPr>
      <w:ind w:left="708"/>
    </w:pPr>
  </w:style>
  <w:style w:type="paragraph" w:customStyle="1" w:styleId="zSoquijlblTypeDocument">
    <w:name w:val="zSoquij_lblTypeDocument"/>
    <w:basedOn w:val="Normal"/>
    <w:pPr>
      <w:jc w:val="center"/>
    </w:pPr>
  </w:style>
  <w:style w:type="paragraph" w:customStyle="1" w:styleId="zSoquijlblProcureurDem">
    <w:name w:val="zSoquij_lblProcureurDem"/>
    <w:basedOn w:val="Normal"/>
  </w:style>
  <w:style w:type="paragraph" w:customStyle="1" w:styleId="zSoquijlblProcureurDef">
    <w:name w:val="zSoquij_lblProcureurDef"/>
    <w:basedOn w:val="Normal"/>
  </w:style>
  <w:style w:type="paragraph" w:customStyle="1" w:styleId="zSoquijlblDateAudience">
    <w:name w:val="zSoquij_lblDateAudience"/>
    <w:basedOn w:val="Normal"/>
  </w:style>
  <w:style w:type="paragraph" w:customStyle="1" w:styleId="zSoquijdatDateAudience">
    <w:name w:val="zSoquij_datDateAudience"/>
    <w:basedOn w:val="Normal"/>
  </w:style>
  <w:style w:type="paragraph" w:customStyle="1" w:styleId="zSoquijlblNomChambre">
    <w:name w:val="zSoquij_lblNomChambre"/>
    <w:basedOn w:val="Normal"/>
  </w:style>
  <w:style w:type="paragraph" w:customStyle="1" w:styleId="zSoquijlblOpinionJuge">
    <w:name w:val="zSoquij_lblOpinionJuge"/>
    <w:basedOn w:val="Normal"/>
    <w:pPr>
      <w:jc w:val="center"/>
    </w:pPr>
  </w:style>
  <w:style w:type="character" w:customStyle="1" w:styleId="zSoquijlblEntNoDossier">
    <w:name w:val="zSoquij_lblEntNoDossier"/>
    <w:basedOn w:val="Policepardfaut"/>
    <w:rPr>
      <w:noProof w:val="0"/>
      <w:lang w:val="fr-CA"/>
    </w:rPr>
  </w:style>
  <w:style w:type="paragraph" w:customStyle="1" w:styleId="zSoquijlblTitrePartie">
    <w:name w:val="zSoquij_lblTitrePartie"/>
    <w:basedOn w:val="Normal"/>
  </w:style>
  <w:style w:type="paragraph" w:customStyle="1" w:styleId="zSoquijdatIdJuge">
    <w:name w:val="zSoquij_datIdJuge"/>
    <w:basedOn w:val="Normal"/>
    <w:pPr>
      <w:jc w:val="right"/>
    </w:pPr>
  </w:style>
  <w:style w:type="paragraph" w:customStyle="1" w:styleId="Sous-paragraphe">
    <w:name w:val="Sous-paragraphe"/>
    <w:basedOn w:val="Normal"/>
    <w:pPr>
      <w:widowControl w:val="0"/>
      <w:numPr>
        <w:ilvl w:val="1"/>
        <w:numId w:val="18"/>
      </w:numPr>
      <w:spacing w:after="120"/>
      <w:jc w:val="both"/>
    </w:pPr>
    <w:rPr>
      <w:kern w:val="28"/>
    </w:rPr>
  </w:style>
  <w:style w:type="paragraph" w:customStyle="1" w:styleId="zSoquijdatNomProcureurDem">
    <w:name w:val="zSoquij_datNomProcureurDem"/>
    <w:basedOn w:val="zSoquijlblProcureurDem"/>
    <w:pPr>
      <w:keepNext/>
    </w:pPr>
  </w:style>
  <w:style w:type="paragraph" w:customStyle="1" w:styleId="zSoquijdatNomProcureurDef">
    <w:name w:val="zSoquij_datNomProcureurDef"/>
    <w:basedOn w:val="zSoquijlblProcureurDef"/>
    <w:pPr>
      <w:keepNext/>
    </w:pPr>
  </w:style>
  <w:style w:type="paragraph" w:customStyle="1" w:styleId="zSoquijdatCabinetProcureurDem">
    <w:name w:val="zSoquij_datCabinetProcureurDem"/>
    <w:basedOn w:val="Normal"/>
    <w:pPr>
      <w:keepNext/>
    </w:pPr>
  </w:style>
  <w:style w:type="paragraph" w:customStyle="1" w:styleId="zSoquijdatCabinetProcureurDef">
    <w:name w:val="zSoquij_datCabinetProcureurDef"/>
    <w:basedOn w:val="zSoquijlblProcureurDef"/>
    <w:pPr>
      <w:keepNext/>
    </w:pPr>
  </w:style>
  <w:style w:type="paragraph" w:styleId="En-tte">
    <w:name w:val="header"/>
    <w:basedOn w:val="Normal"/>
    <w:link w:val="En-tteCar"/>
    <w:pPr>
      <w:tabs>
        <w:tab w:val="center" w:pos="4320"/>
        <w:tab w:val="right" w:pos="8640"/>
      </w:tabs>
    </w:pPr>
  </w:style>
  <w:style w:type="paragraph" w:styleId="Pieddepage">
    <w:name w:val="footer"/>
    <w:basedOn w:val="Normal"/>
    <w:link w:val="PieddepageCar"/>
    <w:pPr>
      <w:tabs>
        <w:tab w:val="center" w:pos="4320"/>
        <w:tab w:val="right" w:pos="8640"/>
      </w:tabs>
    </w:pPr>
  </w:style>
  <w:style w:type="paragraph" w:customStyle="1" w:styleId="Tableaudroiteanglais">
    <w:name w:val="Tableau droite anglais"/>
    <w:basedOn w:val="Tableaugauchefranais"/>
    <w:pPr>
      <w:ind w:left="144" w:right="720"/>
      <w:jc w:val="both"/>
    </w:pPr>
    <w:rPr>
      <w:lang w:val="en-CA"/>
    </w:rPr>
  </w:style>
  <w:style w:type="paragraph" w:customStyle="1" w:styleId="Tableaugauchefranais">
    <w:name w:val="Tableau gauche français"/>
    <w:basedOn w:val="Normal"/>
    <w:pPr>
      <w:ind w:left="720" w:right="144"/>
    </w:pPr>
    <w:rPr>
      <w:sz w:val="22"/>
    </w:rPr>
  </w:style>
  <w:style w:type="character" w:styleId="Appelnotedebasdep">
    <w:name w:val="footnote reference"/>
    <w:semiHidden/>
    <w:rPr>
      <w:noProof w:val="0"/>
      <w:vertAlign w:val="superscript"/>
      <w:lang w:val="fr-CA"/>
    </w:rPr>
  </w:style>
  <w:style w:type="paragraph" w:styleId="Corpsdetexte3">
    <w:name w:val="Body Text 3"/>
    <w:basedOn w:val="Normal"/>
    <w:semiHidden/>
    <w:pPr>
      <w:spacing w:after="120"/>
    </w:pPr>
    <w:rPr>
      <w:sz w:val="16"/>
    </w:rPr>
  </w:style>
  <w:style w:type="paragraph" w:customStyle="1" w:styleId="zSoquijdatRepertorie">
    <w:name w:val="zSoquij_datRepertorie"/>
    <w:basedOn w:val="zSoquijlblCour"/>
    <w:pPr>
      <w:spacing w:line="240" w:lineRule="auto"/>
      <w:jc w:val="left"/>
    </w:pPr>
    <w:rPr>
      <w:sz w:val="22"/>
    </w:rPr>
  </w:style>
  <w:style w:type="paragraph" w:customStyle="1" w:styleId="zSoquijdatRefNeutre">
    <w:name w:val="zSoquij_datRefNeutre"/>
    <w:basedOn w:val="zSoquijlblCour"/>
    <w:pPr>
      <w:spacing w:line="240" w:lineRule="auto"/>
      <w:jc w:val="left"/>
    </w:pPr>
    <w:rPr>
      <w:sz w:val="22"/>
    </w:rPr>
  </w:style>
  <w:style w:type="table" w:styleId="Grilledutableau">
    <w:name w:val="Table Grid"/>
    <w:basedOn w:val="TableauNormal"/>
    <w:rsid w:val="00E20E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3E3239"/>
    <w:pPr>
      <w:spacing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E3239"/>
    <w:rPr>
      <w:rFonts w:ascii="Segoe UI" w:hAnsi="Segoe UI" w:cs="Segoe UI"/>
      <w:sz w:val="18"/>
      <w:szCs w:val="18"/>
      <w:lang w:eastAsia="fr-FR"/>
    </w:rPr>
  </w:style>
  <w:style w:type="character" w:customStyle="1" w:styleId="Titre1Car">
    <w:name w:val="Titre 1 Car"/>
    <w:basedOn w:val="Policepardfaut"/>
    <w:link w:val="Titre1"/>
    <w:rsid w:val="008B550F"/>
    <w:rPr>
      <w:rFonts w:ascii="Arial" w:hAnsi="Arial"/>
      <w:b/>
      <w:kern w:val="28"/>
      <w:sz w:val="28"/>
      <w:lang w:eastAsia="fr-FR"/>
    </w:rPr>
  </w:style>
  <w:style w:type="character" w:customStyle="1" w:styleId="Titre2Car">
    <w:name w:val="Titre 2 Car"/>
    <w:basedOn w:val="Policepardfaut"/>
    <w:link w:val="Titre2"/>
    <w:rsid w:val="008B550F"/>
    <w:rPr>
      <w:rFonts w:ascii="Arial" w:hAnsi="Arial"/>
      <w:b/>
      <w:i/>
      <w:sz w:val="24"/>
      <w:lang w:eastAsia="fr-FR"/>
    </w:rPr>
  </w:style>
  <w:style w:type="character" w:customStyle="1" w:styleId="Titre3Car">
    <w:name w:val="Titre 3 Car"/>
    <w:basedOn w:val="Policepardfaut"/>
    <w:link w:val="Titre3"/>
    <w:rsid w:val="008B550F"/>
    <w:rPr>
      <w:rFonts w:ascii="Arial" w:hAnsi="Arial"/>
      <w:sz w:val="24"/>
      <w:lang w:eastAsia="fr-FR"/>
    </w:rPr>
  </w:style>
  <w:style w:type="character" w:customStyle="1" w:styleId="Titre4Car">
    <w:name w:val="Titre 4 Car"/>
    <w:basedOn w:val="Policepardfaut"/>
    <w:link w:val="Titre4"/>
    <w:rsid w:val="008B550F"/>
    <w:rPr>
      <w:rFonts w:ascii="Arial" w:hAnsi="Arial"/>
      <w:b/>
      <w:sz w:val="24"/>
      <w:lang w:eastAsia="fr-FR"/>
    </w:rPr>
  </w:style>
  <w:style w:type="character" w:customStyle="1" w:styleId="Titre5Car">
    <w:name w:val="Titre 5 Car"/>
    <w:basedOn w:val="Policepardfaut"/>
    <w:link w:val="Titre5"/>
    <w:rsid w:val="008B550F"/>
    <w:rPr>
      <w:rFonts w:ascii="Arial" w:hAnsi="Arial"/>
      <w:sz w:val="22"/>
      <w:lang w:eastAsia="fr-FR"/>
    </w:rPr>
  </w:style>
  <w:style w:type="character" w:customStyle="1" w:styleId="Titre6Car">
    <w:name w:val="Titre 6 Car"/>
    <w:basedOn w:val="Policepardfaut"/>
    <w:link w:val="Titre6"/>
    <w:rsid w:val="008B550F"/>
    <w:rPr>
      <w:rFonts w:ascii="Arial" w:hAnsi="Arial"/>
      <w:i/>
      <w:sz w:val="22"/>
      <w:lang w:eastAsia="fr-FR"/>
    </w:rPr>
  </w:style>
  <w:style w:type="character" w:customStyle="1" w:styleId="Titre7Car">
    <w:name w:val="Titre 7 Car"/>
    <w:basedOn w:val="Policepardfaut"/>
    <w:link w:val="Titre7"/>
    <w:rsid w:val="008B550F"/>
    <w:rPr>
      <w:rFonts w:ascii="Arial" w:hAnsi="Arial"/>
      <w:lang w:eastAsia="fr-FR"/>
    </w:rPr>
  </w:style>
  <w:style w:type="character" w:customStyle="1" w:styleId="Titre8Car">
    <w:name w:val="Titre 8 Car"/>
    <w:basedOn w:val="Policepardfaut"/>
    <w:link w:val="Titre8"/>
    <w:rsid w:val="008B550F"/>
    <w:rPr>
      <w:rFonts w:ascii="Arial" w:hAnsi="Arial"/>
      <w:i/>
      <w:lang w:eastAsia="fr-FR"/>
    </w:rPr>
  </w:style>
  <w:style w:type="character" w:customStyle="1" w:styleId="Titre9Car">
    <w:name w:val="Titre 9 Car"/>
    <w:basedOn w:val="Policepardfaut"/>
    <w:link w:val="Titre9"/>
    <w:rsid w:val="008B550F"/>
    <w:rPr>
      <w:rFonts w:ascii="Arial" w:hAnsi="Arial"/>
      <w:b/>
      <w:i/>
      <w:sz w:val="18"/>
      <w:lang w:eastAsia="fr-FR"/>
    </w:rPr>
  </w:style>
  <w:style w:type="paragraph" w:customStyle="1" w:styleId="TranscriptionEN">
    <w:name w:val="Transcription EN"/>
    <w:basedOn w:val="CitationenretraitEN"/>
    <w:rsid w:val="008B550F"/>
    <w:pPr>
      <w:ind w:left="0" w:right="72"/>
    </w:pPr>
    <w:rPr>
      <w:rFonts w:ascii="Courier New" w:hAnsi="Courier New"/>
    </w:rPr>
  </w:style>
  <w:style w:type="character" w:customStyle="1" w:styleId="CorpsdetexteCar">
    <w:name w:val="Corps de texte Car"/>
    <w:basedOn w:val="Policepardfaut"/>
    <w:link w:val="Corpsdetexte"/>
    <w:rsid w:val="008B550F"/>
    <w:rPr>
      <w:rFonts w:ascii="Arial" w:hAnsi="Arial"/>
      <w:sz w:val="24"/>
      <w:lang w:eastAsia="fr-FR"/>
    </w:rPr>
  </w:style>
  <w:style w:type="character" w:customStyle="1" w:styleId="NotedebasdepageCar">
    <w:name w:val="Note de bas de page Car"/>
    <w:basedOn w:val="Policepardfaut"/>
    <w:link w:val="Notedebasdepage"/>
    <w:semiHidden/>
    <w:rsid w:val="008B550F"/>
    <w:rPr>
      <w:rFonts w:ascii="Arial" w:hAnsi="Arial"/>
      <w:lang w:eastAsia="fr-FR"/>
    </w:rPr>
  </w:style>
  <w:style w:type="character" w:customStyle="1" w:styleId="NotedefinCar">
    <w:name w:val="Note de fin Car"/>
    <w:basedOn w:val="Policepardfaut"/>
    <w:link w:val="Notedefin"/>
    <w:semiHidden/>
    <w:rsid w:val="008B550F"/>
    <w:rPr>
      <w:rFonts w:ascii="Arial" w:hAnsi="Arial"/>
      <w:lang w:eastAsia="fr-FR"/>
    </w:rPr>
  </w:style>
  <w:style w:type="character" w:customStyle="1" w:styleId="En-tteCar">
    <w:name w:val="En-tête Car"/>
    <w:basedOn w:val="Policepardfaut"/>
    <w:link w:val="En-tte"/>
    <w:rsid w:val="008B550F"/>
    <w:rPr>
      <w:rFonts w:ascii="Arial" w:hAnsi="Arial"/>
      <w:sz w:val="24"/>
      <w:lang w:eastAsia="fr-FR"/>
    </w:rPr>
  </w:style>
  <w:style w:type="character" w:customStyle="1" w:styleId="PieddepageCar">
    <w:name w:val="Pied de page Car"/>
    <w:basedOn w:val="Policepardfaut"/>
    <w:link w:val="Pieddepage"/>
    <w:rsid w:val="008B550F"/>
    <w:rPr>
      <w:rFonts w:ascii="Arial" w:hAnsi="Arial"/>
      <w:sz w:val="24"/>
      <w:lang w:eastAsia="fr-FR"/>
    </w:rPr>
  </w:style>
  <w:style w:type="paragraph" w:customStyle="1" w:styleId="Transcription">
    <w:name w:val="Transcription"/>
    <w:basedOn w:val="TranscriptionEN"/>
    <w:rsid w:val="008B550F"/>
    <w:rPr>
      <w:lang w:val="fr-CA"/>
    </w:rPr>
  </w:style>
  <w:style w:type="paragraph" w:styleId="Titre">
    <w:name w:val="Title"/>
    <w:basedOn w:val="Normal"/>
    <w:link w:val="TitreCar"/>
    <w:qFormat/>
    <w:rsid w:val="008B550F"/>
    <w:pPr>
      <w:tabs>
        <w:tab w:val="left" w:pos="630"/>
      </w:tabs>
      <w:spacing w:line="240" w:lineRule="auto"/>
      <w:jc w:val="center"/>
    </w:pPr>
    <w:rPr>
      <w:rFonts w:ascii="Times New Roman" w:hAnsi="Times New Roman"/>
      <w:b/>
      <w:bCs/>
      <w:sz w:val="36"/>
    </w:rPr>
  </w:style>
  <w:style w:type="character" w:customStyle="1" w:styleId="TitreCar">
    <w:name w:val="Titre Car"/>
    <w:basedOn w:val="Policepardfaut"/>
    <w:link w:val="Titre"/>
    <w:rsid w:val="008B550F"/>
    <w:rPr>
      <w:b/>
      <w:bCs/>
      <w:sz w:val="36"/>
      <w:lang w:eastAsia="fr-FR"/>
    </w:rPr>
  </w:style>
  <w:style w:type="character" w:styleId="Numrodepage">
    <w:name w:val="page number"/>
    <w:basedOn w:val="Policepardfaut"/>
    <w:rsid w:val="008B550F"/>
    <w:rPr>
      <w:noProof w:val="0"/>
      <w:lang w:val="fr-CA"/>
    </w:rPr>
  </w:style>
  <w:style w:type="paragraph" w:customStyle="1" w:styleId="Titrecouverture">
    <w:name w:val="Titre couverture"/>
    <w:basedOn w:val="Normal"/>
    <w:link w:val="TitrecouvertureCar"/>
    <w:rsid w:val="008B550F"/>
    <w:rPr>
      <w:rFonts w:cs="Arial"/>
      <w:b/>
      <w:bCs/>
      <w:caps/>
    </w:rPr>
  </w:style>
  <w:style w:type="paragraph" w:customStyle="1" w:styleId="Infocouverture">
    <w:name w:val="Info couverture"/>
    <w:basedOn w:val="Normal"/>
    <w:rsid w:val="008B550F"/>
    <w:rPr>
      <w:rFonts w:cs="Arial"/>
      <w:bCs/>
    </w:rPr>
  </w:style>
  <w:style w:type="paragraph" w:styleId="TM1">
    <w:name w:val="toc 1"/>
    <w:basedOn w:val="Normal"/>
    <w:next w:val="Normal"/>
    <w:autoRedefine/>
    <w:uiPriority w:val="39"/>
    <w:rsid w:val="008B550F"/>
    <w:pPr>
      <w:tabs>
        <w:tab w:val="left" w:pos="480"/>
        <w:tab w:val="right" w:leader="dot" w:pos="9352"/>
      </w:tabs>
      <w:spacing w:before="120"/>
    </w:pPr>
    <w:rPr>
      <w:b/>
      <w:bCs/>
      <w:iCs/>
      <w:caps/>
      <w:szCs w:val="28"/>
    </w:rPr>
  </w:style>
  <w:style w:type="paragraph" w:styleId="TM2">
    <w:name w:val="toc 2"/>
    <w:basedOn w:val="Normal"/>
    <w:next w:val="Normal"/>
    <w:autoRedefine/>
    <w:uiPriority w:val="39"/>
    <w:rsid w:val="008B550F"/>
    <w:pPr>
      <w:tabs>
        <w:tab w:val="left" w:pos="1276"/>
        <w:tab w:val="right" w:leader="dot" w:pos="9352"/>
      </w:tabs>
      <w:spacing w:before="120"/>
      <w:ind w:left="482"/>
    </w:pPr>
    <w:rPr>
      <w:b/>
      <w:bCs/>
      <w:szCs w:val="26"/>
    </w:rPr>
  </w:style>
  <w:style w:type="paragraph" w:styleId="TM3">
    <w:name w:val="toc 3"/>
    <w:basedOn w:val="Normal"/>
    <w:next w:val="Normal"/>
    <w:autoRedefine/>
    <w:uiPriority w:val="39"/>
    <w:rsid w:val="008B550F"/>
    <w:pPr>
      <w:ind w:left="1304"/>
    </w:pPr>
    <w:rPr>
      <w:szCs w:val="24"/>
    </w:rPr>
  </w:style>
  <w:style w:type="paragraph" w:styleId="TM4">
    <w:name w:val="toc 4"/>
    <w:basedOn w:val="Normal"/>
    <w:next w:val="Normal"/>
    <w:autoRedefine/>
    <w:uiPriority w:val="39"/>
    <w:rsid w:val="008B550F"/>
    <w:pPr>
      <w:ind w:left="1361"/>
    </w:pPr>
    <w:rPr>
      <w:szCs w:val="24"/>
    </w:rPr>
  </w:style>
  <w:style w:type="paragraph" w:styleId="TM5">
    <w:name w:val="toc 5"/>
    <w:basedOn w:val="Normal"/>
    <w:next w:val="Normal"/>
    <w:autoRedefine/>
    <w:semiHidden/>
    <w:rsid w:val="008B550F"/>
    <w:pPr>
      <w:ind w:left="960"/>
    </w:pPr>
    <w:rPr>
      <w:rFonts w:ascii="Times New Roman" w:hAnsi="Times New Roman"/>
      <w:szCs w:val="24"/>
    </w:rPr>
  </w:style>
  <w:style w:type="paragraph" w:styleId="TM6">
    <w:name w:val="toc 6"/>
    <w:basedOn w:val="Normal"/>
    <w:next w:val="Normal"/>
    <w:autoRedefine/>
    <w:semiHidden/>
    <w:rsid w:val="008B550F"/>
    <w:pPr>
      <w:ind w:left="1200"/>
    </w:pPr>
    <w:rPr>
      <w:rFonts w:ascii="Times New Roman" w:hAnsi="Times New Roman"/>
      <w:szCs w:val="24"/>
    </w:rPr>
  </w:style>
  <w:style w:type="paragraph" w:styleId="TM7">
    <w:name w:val="toc 7"/>
    <w:basedOn w:val="Normal"/>
    <w:next w:val="Normal"/>
    <w:autoRedefine/>
    <w:semiHidden/>
    <w:rsid w:val="008B550F"/>
    <w:pPr>
      <w:ind w:left="1440"/>
    </w:pPr>
    <w:rPr>
      <w:rFonts w:ascii="Times New Roman" w:hAnsi="Times New Roman"/>
      <w:szCs w:val="24"/>
    </w:rPr>
  </w:style>
  <w:style w:type="paragraph" w:styleId="TM8">
    <w:name w:val="toc 8"/>
    <w:basedOn w:val="Normal"/>
    <w:next w:val="Normal"/>
    <w:autoRedefine/>
    <w:semiHidden/>
    <w:rsid w:val="008B550F"/>
    <w:pPr>
      <w:ind w:left="1680"/>
    </w:pPr>
    <w:rPr>
      <w:rFonts w:ascii="Times New Roman" w:hAnsi="Times New Roman"/>
      <w:szCs w:val="24"/>
    </w:rPr>
  </w:style>
  <w:style w:type="paragraph" w:styleId="TM9">
    <w:name w:val="toc 9"/>
    <w:basedOn w:val="Normal"/>
    <w:next w:val="Normal"/>
    <w:autoRedefine/>
    <w:semiHidden/>
    <w:rsid w:val="008B550F"/>
    <w:pPr>
      <w:ind w:left="1920"/>
    </w:pPr>
    <w:rPr>
      <w:rFonts w:ascii="Times New Roman" w:hAnsi="Times New Roman"/>
      <w:szCs w:val="24"/>
    </w:rPr>
  </w:style>
  <w:style w:type="character" w:styleId="Hyperlien">
    <w:name w:val="Hyperlink"/>
    <w:uiPriority w:val="99"/>
    <w:rsid w:val="008B550F"/>
    <w:rPr>
      <w:noProof w:val="0"/>
      <w:color w:val="0000FF"/>
      <w:u w:val="single"/>
      <w:lang w:val="fr-CA"/>
    </w:rPr>
  </w:style>
  <w:style w:type="paragraph" w:customStyle="1" w:styleId="Partie">
    <w:name w:val="Partie"/>
    <w:basedOn w:val="Normal"/>
    <w:rsid w:val="008B550F"/>
    <w:pPr>
      <w:tabs>
        <w:tab w:val="left" w:pos="1440"/>
        <w:tab w:val="left" w:pos="2880"/>
      </w:tabs>
      <w:spacing w:before="60" w:after="60"/>
    </w:pPr>
    <w:rPr>
      <w:rFonts w:cs="Arial"/>
      <w:b/>
      <w:bCs/>
      <w:caps/>
    </w:rPr>
  </w:style>
  <w:style w:type="paragraph" w:customStyle="1" w:styleId="Titredocument">
    <w:name w:val="Titre document"/>
    <w:rsid w:val="008B550F"/>
    <w:pPr>
      <w:spacing w:before="120" w:after="120"/>
      <w:jc w:val="center"/>
    </w:pPr>
    <w:rPr>
      <w:rFonts w:ascii="Arial" w:hAnsi="Arial" w:cs="Arial"/>
      <w:iCs/>
      <w:caps/>
      <w:sz w:val="24"/>
      <w:lang w:eastAsia="fr-FR"/>
    </w:rPr>
  </w:style>
  <w:style w:type="paragraph" w:customStyle="1" w:styleId="TitreAnnexe">
    <w:name w:val="Titre Annexe"/>
    <w:basedOn w:val="Titre9"/>
    <w:rsid w:val="008B550F"/>
    <w:pPr>
      <w:spacing w:before="0" w:after="120" w:line="240" w:lineRule="auto"/>
      <w:jc w:val="center"/>
    </w:pPr>
    <w:rPr>
      <w:i w:val="0"/>
      <w:iCs/>
      <w:sz w:val="28"/>
    </w:rPr>
  </w:style>
  <w:style w:type="paragraph" w:customStyle="1" w:styleId="CitationdecitationEN">
    <w:name w:val="Citation de citation EN"/>
    <w:basedOn w:val="Citationenretrait"/>
    <w:rsid w:val="008B550F"/>
    <w:pPr>
      <w:ind w:left="1440"/>
    </w:pPr>
    <w:rPr>
      <w:sz w:val="20"/>
      <w:lang w:val="en-CA"/>
    </w:rPr>
  </w:style>
  <w:style w:type="paragraph" w:customStyle="1" w:styleId="CitationdecitationFR">
    <w:name w:val="Citation de citation FR"/>
    <w:basedOn w:val="CitationdecitationEN"/>
    <w:rsid w:val="008B550F"/>
    <w:rPr>
      <w:sz w:val="19"/>
      <w:szCs w:val="19"/>
      <w:lang w:val="fr-CA"/>
    </w:rPr>
  </w:style>
  <w:style w:type="paragraph" w:customStyle="1" w:styleId="Tiret">
    <w:name w:val="Tiret"/>
    <w:basedOn w:val="Paragraphe"/>
    <w:rsid w:val="008B550F"/>
    <w:pPr>
      <w:numPr>
        <w:numId w:val="22"/>
      </w:numPr>
      <w:tabs>
        <w:tab w:val="clear" w:pos="1080"/>
      </w:tabs>
      <w:spacing w:before="60" w:after="60" w:line="360" w:lineRule="auto"/>
      <w:ind w:left="1134" w:hanging="414"/>
    </w:pPr>
  </w:style>
  <w:style w:type="paragraph" w:customStyle="1" w:styleId="CitationenretraitEN">
    <w:name w:val="Citation en retrait EN"/>
    <w:basedOn w:val="Citationenretrait"/>
    <w:rsid w:val="008B550F"/>
    <w:rPr>
      <w:lang w:val="en-CA"/>
    </w:rPr>
  </w:style>
  <w:style w:type="paragraph" w:styleId="Explorateurdedocuments">
    <w:name w:val="Document Map"/>
    <w:basedOn w:val="Normal"/>
    <w:link w:val="ExplorateurdedocumentsCar"/>
    <w:semiHidden/>
    <w:rsid w:val="008B550F"/>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semiHidden/>
    <w:rsid w:val="008B550F"/>
    <w:rPr>
      <w:rFonts w:ascii="Tahoma" w:hAnsi="Tahoma" w:cs="Tahoma"/>
      <w:sz w:val="24"/>
      <w:shd w:val="clear" w:color="auto" w:fill="000080"/>
      <w:lang w:eastAsia="fr-FR"/>
    </w:rPr>
  </w:style>
  <w:style w:type="character" w:customStyle="1" w:styleId="TitrecouvertureCar">
    <w:name w:val="Titre couverture Car"/>
    <w:link w:val="Titrecouverture"/>
    <w:rsid w:val="008B550F"/>
    <w:rPr>
      <w:rFonts w:ascii="Arial" w:hAnsi="Arial" w:cs="Arial"/>
      <w:b/>
      <w:bCs/>
      <w:caps/>
      <w:sz w:val="24"/>
      <w:lang w:eastAsia="fr-FR"/>
    </w:rPr>
  </w:style>
  <w:style w:type="character" w:customStyle="1" w:styleId="Mentionnonrsolue1">
    <w:name w:val="Mention non résolue1"/>
    <w:basedOn w:val="Policepardfaut"/>
    <w:uiPriority w:val="99"/>
    <w:unhideWhenUsed/>
    <w:rsid w:val="008B550F"/>
    <w:rPr>
      <w:color w:val="605E5C"/>
      <w:shd w:val="clear" w:color="auto" w:fill="E1DFDD"/>
    </w:rPr>
  </w:style>
  <w:style w:type="character" w:styleId="Lienvisit">
    <w:name w:val="FollowedHyperlink"/>
    <w:basedOn w:val="Policepardfaut"/>
    <w:rsid w:val="008B550F"/>
    <w:rPr>
      <w:color w:val="954F72" w:themeColor="followedHyperlink"/>
      <w:u w:val="single"/>
    </w:rPr>
  </w:style>
  <w:style w:type="paragraph" w:customStyle="1" w:styleId="paranondepar-altn">
    <w:name w:val="paranondepar-altn"/>
    <w:basedOn w:val="Normal"/>
    <w:rsid w:val="008B550F"/>
    <w:pPr>
      <w:spacing w:before="100" w:beforeAutospacing="1" w:after="100" w:afterAutospacing="1" w:line="240" w:lineRule="auto"/>
    </w:pPr>
    <w:rPr>
      <w:rFonts w:ascii="Times New Roman" w:hAnsi="Times New Roman"/>
      <w:szCs w:val="24"/>
      <w:lang w:eastAsia="fr-CA"/>
    </w:rPr>
  </w:style>
  <w:style w:type="paragraph" w:customStyle="1" w:styleId="paragraphe0">
    <w:name w:val="paragraphe"/>
    <w:basedOn w:val="Normal"/>
    <w:rsid w:val="008B550F"/>
    <w:pPr>
      <w:spacing w:before="100" w:beforeAutospacing="1" w:after="100" w:afterAutospacing="1" w:line="240" w:lineRule="auto"/>
    </w:pPr>
    <w:rPr>
      <w:rFonts w:ascii="Times New Roman" w:hAnsi="Times New Roman"/>
      <w:szCs w:val="24"/>
      <w:lang w:eastAsia="fr-CA"/>
    </w:rPr>
  </w:style>
  <w:style w:type="paragraph" w:styleId="Rvision">
    <w:name w:val="Revision"/>
    <w:hidden/>
    <w:uiPriority w:val="99"/>
    <w:semiHidden/>
    <w:rsid w:val="008B550F"/>
    <w:rPr>
      <w:rFonts w:ascii="Arial" w:hAnsi="Arial"/>
      <w:sz w:val="24"/>
      <w:lang w:eastAsia="fr-FR"/>
    </w:rPr>
  </w:style>
  <w:style w:type="character" w:styleId="Marquedecommentaire">
    <w:name w:val="annotation reference"/>
    <w:basedOn w:val="Policepardfaut"/>
    <w:uiPriority w:val="99"/>
    <w:semiHidden/>
    <w:unhideWhenUsed/>
    <w:rsid w:val="008B550F"/>
    <w:rPr>
      <w:sz w:val="16"/>
      <w:szCs w:val="16"/>
    </w:rPr>
  </w:style>
  <w:style w:type="paragraph" w:styleId="Commentaire">
    <w:name w:val="annotation text"/>
    <w:basedOn w:val="Normal"/>
    <w:link w:val="CommentaireCar"/>
    <w:uiPriority w:val="99"/>
    <w:unhideWhenUsed/>
    <w:rsid w:val="008B550F"/>
    <w:pPr>
      <w:spacing w:line="240" w:lineRule="auto"/>
    </w:pPr>
    <w:rPr>
      <w:sz w:val="20"/>
    </w:rPr>
  </w:style>
  <w:style w:type="character" w:customStyle="1" w:styleId="CommentaireCar">
    <w:name w:val="Commentaire Car"/>
    <w:basedOn w:val="Policepardfaut"/>
    <w:link w:val="Commentaire"/>
    <w:uiPriority w:val="99"/>
    <w:rsid w:val="008B550F"/>
    <w:rPr>
      <w:rFonts w:ascii="Arial" w:hAnsi="Arial"/>
      <w:lang w:eastAsia="fr-FR"/>
    </w:rPr>
  </w:style>
  <w:style w:type="paragraph" w:styleId="Objetducommentaire">
    <w:name w:val="annotation subject"/>
    <w:basedOn w:val="Commentaire"/>
    <w:next w:val="Commentaire"/>
    <w:link w:val="ObjetducommentaireCar"/>
    <w:uiPriority w:val="99"/>
    <w:semiHidden/>
    <w:unhideWhenUsed/>
    <w:rsid w:val="008B550F"/>
    <w:rPr>
      <w:b/>
      <w:bCs/>
    </w:rPr>
  </w:style>
  <w:style w:type="character" w:customStyle="1" w:styleId="ObjetducommentaireCar">
    <w:name w:val="Objet du commentaire Car"/>
    <w:basedOn w:val="CommentaireCar"/>
    <w:link w:val="Objetducommentaire"/>
    <w:uiPriority w:val="99"/>
    <w:semiHidden/>
    <w:rsid w:val="008B550F"/>
    <w:rPr>
      <w:rFonts w:ascii="Arial" w:hAnsi="Arial"/>
      <w:b/>
      <w:bCs/>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8A525-8000-4EBF-92DB-64B5AB8AA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24</Pages>
  <Words>7425</Words>
  <Characters>40839</Characters>
  <Application>Microsoft Office Word</Application>
  <DocSecurity>0</DocSecurity>
  <Lines>340</Lines>
  <Paragraphs>96</Paragraphs>
  <ScaleCrop>false</ScaleCrop>
  <Company/>
  <LinksUpToDate>false</LinksUpToDate>
  <CharactersWithSpaces>48168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Paillé, Pryscilla</dc:creator>
  <cp:lastModifiedBy>Gauthier, François</cp:lastModifiedBy>
  <cp:revision>4</cp:revision>
  <dcterms:created xsi:type="dcterms:W3CDTF">2024-12-04T14:14:00Z</dcterms:created>
  <dcterms:modified xsi:type="dcterms:W3CDTF">2025-06-16T12:38:00Z</dcterms:modified>
</cp:coreProperties>
</file>