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0FFA" w14:textId="48D682FF" w:rsidR="00360D2E" w:rsidRPr="00350F07" w:rsidRDefault="00360D2E">
      <w:pPr>
        <w:rPr>
          <w:b/>
          <w:bCs/>
          <w:lang w:val="en-CA"/>
        </w:rPr>
      </w:pPr>
      <w:bookmarkStart w:id="0" w:name="_Hlk197930023"/>
      <w:r w:rsidRPr="00350F07">
        <w:rPr>
          <w:b/>
          <w:bCs/>
          <w:lang w:val="en-CA"/>
        </w:rPr>
        <w:t xml:space="preserve">English </w:t>
      </w:r>
      <w:r w:rsidR="00C01233">
        <w:rPr>
          <w:b/>
          <w:bCs/>
          <w:lang w:val="en-CA"/>
        </w:rPr>
        <w:t>t</w:t>
      </w:r>
      <w:r w:rsidRPr="00350F07">
        <w:rPr>
          <w:b/>
          <w:bCs/>
          <w:lang w:val="en-CA"/>
        </w:rPr>
        <w:t xml:space="preserve">ranslation of the </w:t>
      </w:r>
      <w:r w:rsidR="00C01233">
        <w:rPr>
          <w:b/>
          <w:bCs/>
          <w:lang w:val="en-CA"/>
        </w:rPr>
        <w:t>j</w:t>
      </w:r>
      <w:r w:rsidRPr="00350F07">
        <w:rPr>
          <w:b/>
          <w:bCs/>
          <w:lang w:val="en-CA"/>
        </w:rPr>
        <w:t>udgment of the Court by SOQUIJ</w:t>
      </w:r>
      <w:bookmarkEnd w:id="0"/>
    </w:p>
    <w:tbl>
      <w:tblPr>
        <w:tblW w:w="9360" w:type="dxa"/>
        <w:tblLayout w:type="fixed"/>
        <w:tblCellMar>
          <w:left w:w="0" w:type="dxa"/>
          <w:right w:w="0" w:type="dxa"/>
        </w:tblCellMar>
        <w:tblLook w:val="0000" w:firstRow="0" w:lastRow="0" w:firstColumn="0" w:lastColumn="0" w:noHBand="0" w:noVBand="0"/>
      </w:tblPr>
      <w:tblGrid>
        <w:gridCol w:w="1030"/>
        <w:gridCol w:w="320"/>
        <w:gridCol w:w="270"/>
        <w:gridCol w:w="2350"/>
        <w:gridCol w:w="3402"/>
        <w:gridCol w:w="1988"/>
      </w:tblGrid>
      <w:tr w:rsidR="00632CD2" w:rsidRPr="00CF4E9F" w14:paraId="13A09A56" w14:textId="77777777" w:rsidTr="008D18FC">
        <w:trPr>
          <w:trHeight w:val="248"/>
        </w:trPr>
        <w:tc>
          <w:tcPr>
            <w:tcW w:w="7372" w:type="dxa"/>
            <w:gridSpan w:val="5"/>
          </w:tcPr>
          <w:p w14:paraId="5CE5A5E5" w14:textId="3521FC1E" w:rsidR="008F364A" w:rsidRPr="00077E55" w:rsidRDefault="0043013D" w:rsidP="00BA3B7C">
            <w:pPr>
              <w:pStyle w:val="zSoquijdatRepertorie"/>
              <w:rPr>
                <w:rFonts w:cs="Arial"/>
              </w:rPr>
            </w:pPr>
            <w:r w:rsidRPr="00077E55">
              <w:rPr>
                <w:rFonts w:cs="Arial"/>
              </w:rPr>
              <w:t>Procureur général du Québec c. Luamba</w:t>
            </w:r>
          </w:p>
        </w:tc>
        <w:tc>
          <w:tcPr>
            <w:tcW w:w="1988" w:type="dxa"/>
          </w:tcPr>
          <w:p w14:paraId="711A28EA" w14:textId="533C4FB3" w:rsidR="008F364A" w:rsidRPr="00CF4E9F" w:rsidRDefault="0043013D" w:rsidP="00DD2B92">
            <w:pPr>
              <w:pStyle w:val="zSoquijdatRefNeutre"/>
              <w:jc w:val="right"/>
              <w:rPr>
                <w:rFonts w:cs="Arial"/>
                <w:lang w:val="en-CA"/>
              </w:rPr>
            </w:pPr>
            <w:r w:rsidRPr="00CF4E9F">
              <w:rPr>
                <w:rFonts w:cs="Arial"/>
                <w:lang w:val="en-CA"/>
              </w:rPr>
              <w:t>2024 QCCA 1387</w:t>
            </w:r>
          </w:p>
        </w:tc>
      </w:tr>
      <w:tr w:rsidR="00632CD2" w:rsidRPr="00CF4E9F" w14:paraId="2379AA60" w14:textId="77777777" w:rsidTr="008D18FC">
        <w:trPr>
          <w:trHeight w:val="247"/>
        </w:trPr>
        <w:tc>
          <w:tcPr>
            <w:tcW w:w="9360" w:type="dxa"/>
            <w:gridSpan w:val="6"/>
          </w:tcPr>
          <w:p w14:paraId="134D9C81" w14:textId="0F87B9E1" w:rsidR="008F364A" w:rsidRPr="00CF4E9F" w:rsidRDefault="00360D2E">
            <w:pPr>
              <w:pStyle w:val="zSoquijlblCour"/>
              <w:rPr>
                <w:lang w:val="en-CA"/>
              </w:rPr>
            </w:pPr>
            <w:r w:rsidRPr="00CF4E9F">
              <w:rPr>
                <w:lang w:val="en-CA"/>
              </w:rPr>
              <w:t>COURT OF APPEAL</w:t>
            </w:r>
          </w:p>
        </w:tc>
      </w:tr>
      <w:tr w:rsidR="00632CD2" w:rsidRPr="00CF4E9F" w14:paraId="7FDB5CB8" w14:textId="77777777" w:rsidTr="008D18FC">
        <w:trPr>
          <w:trHeight w:val="540"/>
        </w:trPr>
        <w:tc>
          <w:tcPr>
            <w:tcW w:w="9360" w:type="dxa"/>
            <w:gridSpan w:val="6"/>
          </w:tcPr>
          <w:p w14:paraId="0D89F07B" w14:textId="77777777" w:rsidR="008F364A" w:rsidRPr="00CF4E9F" w:rsidRDefault="008F364A">
            <w:pPr>
              <w:pStyle w:val="zSoquijdatDivision"/>
              <w:rPr>
                <w:lang w:val="en-CA"/>
              </w:rPr>
            </w:pPr>
          </w:p>
        </w:tc>
      </w:tr>
      <w:tr w:rsidR="00632CD2" w:rsidRPr="00CF4E9F" w14:paraId="7B0FA6B8" w14:textId="77777777" w:rsidTr="008D18FC">
        <w:tc>
          <w:tcPr>
            <w:tcW w:w="9360" w:type="dxa"/>
            <w:gridSpan w:val="6"/>
          </w:tcPr>
          <w:p w14:paraId="1D810E55" w14:textId="499D5F4D" w:rsidR="008F364A" w:rsidRPr="00CF4E9F" w:rsidRDefault="00360D2E">
            <w:pPr>
              <w:pStyle w:val="zSoquijlblPays"/>
              <w:rPr>
                <w:lang w:val="en-CA"/>
              </w:rPr>
            </w:pPr>
            <w:r w:rsidRPr="00CF4E9F">
              <w:rPr>
                <w:lang w:val="en-CA"/>
              </w:rPr>
              <w:t>CANADA</w:t>
            </w:r>
          </w:p>
        </w:tc>
      </w:tr>
      <w:tr w:rsidR="00632CD2" w:rsidRPr="00077E55" w14:paraId="06EDEA3E" w14:textId="77777777" w:rsidTr="008D18FC">
        <w:tc>
          <w:tcPr>
            <w:tcW w:w="9360" w:type="dxa"/>
            <w:gridSpan w:val="6"/>
          </w:tcPr>
          <w:p w14:paraId="45928ED0" w14:textId="6E586C23" w:rsidR="008F364A" w:rsidRPr="00CF4E9F" w:rsidRDefault="00360D2E">
            <w:pPr>
              <w:pStyle w:val="zSoquijlblProvince"/>
              <w:rPr>
                <w:lang w:val="en-CA"/>
              </w:rPr>
            </w:pPr>
            <w:r w:rsidRPr="00CF4E9F">
              <w:rPr>
                <w:lang w:val="en-CA"/>
              </w:rPr>
              <w:t>PROVINCE OF QUEBEC</w:t>
            </w:r>
          </w:p>
          <w:p w14:paraId="227BEADD" w14:textId="23AF0C65" w:rsidR="00C44A6F" w:rsidRPr="00CF4E9F" w:rsidRDefault="00360D2E">
            <w:pPr>
              <w:pStyle w:val="zSoquijlblProvince"/>
              <w:rPr>
                <w:lang w:val="en-CA"/>
              </w:rPr>
            </w:pPr>
            <w:r w:rsidRPr="00CF4E9F">
              <w:rPr>
                <w:lang w:val="en-CA"/>
              </w:rPr>
              <w:t>REGISTRY OF MONTREAL</w:t>
            </w:r>
          </w:p>
        </w:tc>
      </w:tr>
      <w:tr w:rsidR="00632CD2" w:rsidRPr="00077E55" w14:paraId="5F10E877" w14:textId="77777777" w:rsidTr="00DE4925">
        <w:tc>
          <w:tcPr>
            <w:tcW w:w="1350" w:type="dxa"/>
            <w:gridSpan w:val="2"/>
          </w:tcPr>
          <w:p w14:paraId="70400AB6" w14:textId="44D4B7F4" w:rsidR="008F364A" w:rsidRPr="00CF4E9F" w:rsidRDefault="008F364A" w:rsidP="00C44A6F">
            <w:pPr>
              <w:pStyle w:val="zSoquijlblGreffe"/>
              <w:rPr>
                <w:lang w:val="en-CA"/>
              </w:rPr>
            </w:pPr>
          </w:p>
          <w:p w14:paraId="63E7DF2D" w14:textId="77777777" w:rsidR="008F364A" w:rsidRPr="00CF4E9F" w:rsidRDefault="008F364A">
            <w:pPr>
              <w:pStyle w:val="zSoquijlblGreffe"/>
              <w:rPr>
                <w:lang w:val="en-CA"/>
              </w:rPr>
            </w:pPr>
          </w:p>
        </w:tc>
        <w:tc>
          <w:tcPr>
            <w:tcW w:w="8010" w:type="dxa"/>
            <w:gridSpan w:val="4"/>
          </w:tcPr>
          <w:p w14:paraId="5169B350" w14:textId="721DEE3A" w:rsidR="008F364A" w:rsidRPr="00CF4E9F" w:rsidRDefault="008F364A">
            <w:pPr>
              <w:pStyle w:val="zSoquijdatGreffe"/>
              <w:rPr>
                <w:lang w:val="en-CA"/>
              </w:rPr>
            </w:pPr>
          </w:p>
        </w:tc>
      </w:tr>
      <w:tr w:rsidR="00632CD2" w:rsidRPr="00CF4E9F" w14:paraId="694B35B3" w14:textId="77777777" w:rsidTr="008D18FC">
        <w:tc>
          <w:tcPr>
            <w:tcW w:w="1030" w:type="dxa"/>
          </w:tcPr>
          <w:p w14:paraId="26B3065B" w14:textId="60E95BA5" w:rsidR="008F364A" w:rsidRPr="00CF4E9F" w:rsidRDefault="00360D2E">
            <w:pPr>
              <w:pStyle w:val="zSoquijlblNoDossier"/>
              <w:rPr>
                <w:lang w:val="en-CA"/>
              </w:rPr>
            </w:pPr>
            <w:r w:rsidRPr="00CF4E9F">
              <w:rPr>
                <w:lang w:val="en-CA"/>
              </w:rPr>
              <w:t>N</w:t>
            </w:r>
            <w:r w:rsidR="00A37078" w:rsidRPr="00CF4E9F">
              <w:rPr>
                <w:lang w:val="en-CA"/>
              </w:rPr>
              <w:t>o</w:t>
            </w:r>
            <w:r w:rsidRPr="00CF4E9F">
              <w:rPr>
                <w:lang w:val="en-CA"/>
              </w:rPr>
              <w:t>.:</w:t>
            </w:r>
          </w:p>
        </w:tc>
        <w:tc>
          <w:tcPr>
            <w:tcW w:w="8330" w:type="dxa"/>
            <w:gridSpan w:val="5"/>
          </w:tcPr>
          <w:p w14:paraId="3D07A4D4" w14:textId="77777777" w:rsidR="008F364A" w:rsidRPr="00CF4E9F" w:rsidRDefault="0043013D">
            <w:pPr>
              <w:pStyle w:val="zSoquijdatNoDossier"/>
              <w:rPr>
                <w:lang w:val="en-CA"/>
              </w:rPr>
            </w:pPr>
            <w:bookmarkStart w:id="1" w:name="NoDossier"/>
            <w:r w:rsidRPr="00CF4E9F">
              <w:rPr>
                <w:lang w:val="en-CA"/>
              </w:rPr>
              <w:t>500-09-030301-220</w:t>
            </w:r>
            <w:bookmarkEnd w:id="1"/>
          </w:p>
        </w:tc>
      </w:tr>
      <w:tr w:rsidR="00632CD2" w:rsidRPr="00CF4E9F" w14:paraId="1D43E1AC" w14:textId="77777777" w:rsidTr="008D18FC">
        <w:tc>
          <w:tcPr>
            <w:tcW w:w="9360" w:type="dxa"/>
            <w:gridSpan w:val="6"/>
          </w:tcPr>
          <w:p w14:paraId="05580852" w14:textId="77777777" w:rsidR="009238E1" w:rsidRPr="00CF4E9F" w:rsidRDefault="0043013D" w:rsidP="009238E1">
            <w:pPr>
              <w:pStyle w:val="zSoquijdatNoDossierAnt"/>
              <w:rPr>
                <w:lang w:val="en-CA"/>
              </w:rPr>
            </w:pPr>
            <w:r w:rsidRPr="00CF4E9F">
              <w:rPr>
                <w:lang w:val="en-CA"/>
              </w:rPr>
              <w:t>(500-17-114387-205)</w:t>
            </w:r>
          </w:p>
        </w:tc>
      </w:tr>
      <w:tr w:rsidR="00632CD2" w:rsidRPr="00CF4E9F" w14:paraId="24EEE884" w14:textId="77777777" w:rsidTr="008D18FC">
        <w:tc>
          <w:tcPr>
            <w:tcW w:w="9360" w:type="dxa"/>
            <w:gridSpan w:val="6"/>
          </w:tcPr>
          <w:p w14:paraId="50353995" w14:textId="77777777" w:rsidR="008F364A" w:rsidRPr="00CF4E9F" w:rsidRDefault="008F364A">
            <w:pPr>
              <w:rPr>
                <w:lang w:val="en-CA"/>
              </w:rPr>
            </w:pPr>
          </w:p>
        </w:tc>
      </w:tr>
      <w:tr w:rsidR="00632CD2" w:rsidRPr="00CF4E9F" w14:paraId="56A09986" w14:textId="77777777" w:rsidTr="008D18FC">
        <w:tc>
          <w:tcPr>
            <w:tcW w:w="1030" w:type="dxa"/>
          </w:tcPr>
          <w:p w14:paraId="7C5ACC31" w14:textId="6CB240BE" w:rsidR="008F364A" w:rsidRPr="00CF4E9F" w:rsidRDefault="00360D2E">
            <w:pPr>
              <w:pStyle w:val="zSoquijlblDateJugement"/>
              <w:rPr>
                <w:lang w:val="en-CA"/>
              </w:rPr>
            </w:pPr>
            <w:r w:rsidRPr="00CF4E9F">
              <w:rPr>
                <w:lang w:val="en-CA"/>
              </w:rPr>
              <w:t>DATE:</w:t>
            </w:r>
          </w:p>
        </w:tc>
        <w:tc>
          <w:tcPr>
            <w:tcW w:w="8330" w:type="dxa"/>
            <w:gridSpan w:val="5"/>
          </w:tcPr>
          <w:p w14:paraId="42587580" w14:textId="501A7CC2" w:rsidR="008F364A" w:rsidRPr="00CF4E9F" w:rsidRDefault="00360D2E" w:rsidP="002748FE">
            <w:pPr>
              <w:pStyle w:val="zSoquijdatDateJugement"/>
              <w:jc w:val="both"/>
              <w:rPr>
                <w:lang w:val="en-CA"/>
              </w:rPr>
            </w:pPr>
            <w:r w:rsidRPr="00CF4E9F">
              <w:rPr>
                <w:lang w:val="en-CA"/>
              </w:rPr>
              <w:t>October 23, 2024</w:t>
            </w:r>
          </w:p>
        </w:tc>
      </w:tr>
      <w:tr w:rsidR="00632CD2" w:rsidRPr="00CF4E9F" w14:paraId="1597F592" w14:textId="77777777" w:rsidTr="008D18FC">
        <w:tc>
          <w:tcPr>
            <w:tcW w:w="9360" w:type="dxa"/>
            <w:gridSpan w:val="6"/>
            <w:tcBorders>
              <w:bottom w:val="single" w:sz="8" w:space="0" w:color="auto"/>
            </w:tcBorders>
          </w:tcPr>
          <w:p w14:paraId="6A2E8457" w14:textId="77777777" w:rsidR="008F364A" w:rsidRPr="00CF4E9F" w:rsidRDefault="008F364A">
            <w:pPr>
              <w:rPr>
                <w:lang w:val="en-CA"/>
              </w:rPr>
            </w:pPr>
          </w:p>
        </w:tc>
      </w:tr>
      <w:tr w:rsidR="00632CD2" w:rsidRPr="00CF4E9F" w14:paraId="06BC276F" w14:textId="77777777" w:rsidTr="008D18FC">
        <w:tc>
          <w:tcPr>
            <w:tcW w:w="9360" w:type="dxa"/>
            <w:gridSpan w:val="6"/>
            <w:tcBorders>
              <w:top w:val="single" w:sz="8" w:space="0" w:color="auto"/>
            </w:tcBorders>
          </w:tcPr>
          <w:p w14:paraId="01B48E1A" w14:textId="77777777" w:rsidR="008F364A" w:rsidRPr="00CF4E9F" w:rsidRDefault="008F364A">
            <w:pPr>
              <w:rPr>
                <w:lang w:val="en-CA"/>
              </w:rPr>
            </w:pPr>
          </w:p>
        </w:tc>
      </w:tr>
      <w:tr w:rsidR="00632CD2" w:rsidRPr="00CF4E9F" w14:paraId="3E3E7B8A" w14:textId="77777777" w:rsidTr="008D18FC">
        <w:tc>
          <w:tcPr>
            <w:tcW w:w="1620" w:type="dxa"/>
            <w:gridSpan w:val="3"/>
          </w:tcPr>
          <w:p w14:paraId="7B417256" w14:textId="296824F4" w:rsidR="008F364A" w:rsidRPr="00CF4E9F" w:rsidRDefault="00360D2E" w:rsidP="00423DF1">
            <w:pPr>
              <w:pStyle w:val="zSoquijlblJuge"/>
              <w:ind w:right="-142"/>
              <w:rPr>
                <w:lang w:val="en-CA"/>
              </w:rPr>
            </w:pPr>
            <w:r w:rsidRPr="00CF4E9F">
              <w:rPr>
                <w:lang w:val="en-CA"/>
              </w:rPr>
              <w:t>CORAM:</w:t>
            </w:r>
          </w:p>
        </w:tc>
        <w:tc>
          <w:tcPr>
            <w:tcW w:w="2350" w:type="dxa"/>
          </w:tcPr>
          <w:p w14:paraId="18CC5A1A" w14:textId="0EAC19F6" w:rsidR="008F364A" w:rsidRPr="00CF4E9F" w:rsidRDefault="00360D2E">
            <w:pPr>
              <w:pStyle w:val="zSoquijdatQteJuge"/>
              <w:rPr>
                <w:lang w:val="en-CA"/>
              </w:rPr>
            </w:pPr>
            <w:r w:rsidRPr="00CF4E9F">
              <w:rPr>
                <w:lang w:val="en-CA"/>
              </w:rPr>
              <w:t>THE HONOURABLE</w:t>
            </w:r>
          </w:p>
        </w:tc>
        <w:tc>
          <w:tcPr>
            <w:tcW w:w="5390" w:type="dxa"/>
            <w:gridSpan w:val="2"/>
          </w:tcPr>
          <w:p w14:paraId="72A94E5D" w14:textId="131657CC" w:rsidR="008F364A" w:rsidRPr="00077E55" w:rsidRDefault="00360D2E">
            <w:pPr>
              <w:pStyle w:val="zSoquijdatJuge"/>
            </w:pPr>
            <w:r w:rsidRPr="00077E55">
              <w:t>JULIE DUTIL</w:t>
            </w:r>
            <w:r w:rsidR="00947355" w:rsidRPr="00077E55">
              <w:t>,</w:t>
            </w:r>
            <w:r w:rsidRPr="00077E55">
              <w:t xml:space="preserve"> J.A.</w:t>
            </w:r>
          </w:p>
          <w:p w14:paraId="64304B75" w14:textId="38164E75" w:rsidR="008F364A" w:rsidRPr="00077E55" w:rsidRDefault="00360D2E">
            <w:pPr>
              <w:pStyle w:val="zSoquijdatJuge"/>
            </w:pPr>
            <w:r w:rsidRPr="00077E55">
              <w:t>SUZANNE GAGNÉ, J.A.</w:t>
            </w:r>
          </w:p>
          <w:p w14:paraId="2BCBA325" w14:textId="1ACBE309" w:rsidR="005A78BF" w:rsidRPr="00077E55" w:rsidRDefault="00360D2E" w:rsidP="009238E1">
            <w:pPr>
              <w:pStyle w:val="zSoquijdatJuge"/>
            </w:pPr>
            <w:bookmarkStart w:id="2" w:name="_Hlt520513784"/>
            <w:bookmarkEnd w:id="2"/>
            <w:r w:rsidRPr="00077E55">
              <w:t>LORI RENÉE WEITZMAN, J.A.</w:t>
            </w:r>
          </w:p>
        </w:tc>
      </w:tr>
      <w:tr w:rsidR="00632CD2" w:rsidRPr="00CF4E9F" w14:paraId="31E3A730" w14:textId="77777777" w:rsidTr="008D18FC">
        <w:tc>
          <w:tcPr>
            <w:tcW w:w="9360" w:type="dxa"/>
            <w:gridSpan w:val="6"/>
            <w:tcBorders>
              <w:bottom w:val="single" w:sz="8" w:space="0" w:color="auto"/>
            </w:tcBorders>
          </w:tcPr>
          <w:p w14:paraId="7E162057" w14:textId="77777777" w:rsidR="008F364A" w:rsidRPr="00077E55" w:rsidRDefault="008F364A"/>
        </w:tc>
      </w:tr>
      <w:tr w:rsidR="00632CD2" w:rsidRPr="00CF4E9F" w14:paraId="3EC3393A" w14:textId="77777777" w:rsidTr="008D18FC">
        <w:tc>
          <w:tcPr>
            <w:tcW w:w="9360" w:type="dxa"/>
            <w:gridSpan w:val="6"/>
          </w:tcPr>
          <w:p w14:paraId="0591A067" w14:textId="77777777" w:rsidR="008F364A" w:rsidRPr="00077E55" w:rsidRDefault="008F364A">
            <w:pPr>
              <w:pStyle w:val="zSoquijlblTitrePartie"/>
            </w:pPr>
          </w:p>
        </w:tc>
      </w:tr>
      <w:tr w:rsidR="00632CD2" w:rsidRPr="00CF4E9F" w14:paraId="15E6C7C8" w14:textId="77777777" w:rsidTr="008D18FC">
        <w:tc>
          <w:tcPr>
            <w:tcW w:w="9360" w:type="dxa"/>
            <w:gridSpan w:val="6"/>
          </w:tcPr>
          <w:p w14:paraId="62774D8B" w14:textId="366EEFC5" w:rsidR="008F364A" w:rsidRPr="00CF4E9F" w:rsidRDefault="00360D2E">
            <w:pPr>
              <w:pStyle w:val="zSoquijdatNomPartieDem"/>
              <w:rPr>
                <w:lang w:val="en-CA"/>
              </w:rPr>
            </w:pPr>
            <w:r w:rsidRPr="00CF4E9F">
              <w:rPr>
                <w:lang w:val="en-CA"/>
              </w:rPr>
              <w:t>ATTORNEY GENERAL OF QUEBEC</w:t>
            </w:r>
          </w:p>
        </w:tc>
      </w:tr>
      <w:tr w:rsidR="00632CD2" w:rsidRPr="00CF4E9F" w14:paraId="5DBB880E" w14:textId="77777777" w:rsidTr="008D18FC">
        <w:tc>
          <w:tcPr>
            <w:tcW w:w="9360" w:type="dxa"/>
            <w:gridSpan w:val="6"/>
          </w:tcPr>
          <w:p w14:paraId="518B07EA" w14:textId="09E604D4" w:rsidR="008F364A" w:rsidRPr="00CF4E9F" w:rsidRDefault="00360D2E">
            <w:pPr>
              <w:pStyle w:val="zSoquijdatQtePartieDem"/>
              <w:rPr>
                <w:lang w:val="en-CA"/>
              </w:rPr>
            </w:pPr>
            <w:r w:rsidRPr="00CF4E9F">
              <w:rPr>
                <w:lang w:val="en-CA"/>
              </w:rPr>
              <w:t xml:space="preserve">APPELLANT – </w:t>
            </w:r>
            <w:r w:rsidR="00A37078" w:rsidRPr="00CF4E9F">
              <w:rPr>
                <w:lang w:val="en-CA"/>
              </w:rPr>
              <w:t>D</w:t>
            </w:r>
            <w:r w:rsidRPr="00CF4E9F">
              <w:rPr>
                <w:lang w:val="en-CA"/>
              </w:rPr>
              <w:t>efendant</w:t>
            </w:r>
            <w:r w:rsidR="0043013D" w:rsidRPr="00CF4E9F">
              <w:rPr>
                <w:lang w:val="en-CA"/>
              </w:rPr>
              <w:t xml:space="preserve"> </w:t>
            </w:r>
          </w:p>
        </w:tc>
      </w:tr>
      <w:tr w:rsidR="00632CD2" w:rsidRPr="00CF4E9F" w14:paraId="2AC2CCAF" w14:textId="77777777" w:rsidTr="008D18FC">
        <w:tc>
          <w:tcPr>
            <w:tcW w:w="9360" w:type="dxa"/>
            <w:gridSpan w:val="6"/>
          </w:tcPr>
          <w:p w14:paraId="7E5F5813" w14:textId="05B2E0F6" w:rsidR="008F364A" w:rsidRPr="00CF4E9F" w:rsidRDefault="00360D2E">
            <w:pPr>
              <w:pStyle w:val="zSoquijlblLienParties"/>
              <w:rPr>
                <w:lang w:val="en-CA"/>
              </w:rPr>
            </w:pPr>
            <w:r w:rsidRPr="00CF4E9F">
              <w:rPr>
                <w:lang w:val="en-CA"/>
              </w:rPr>
              <w:t>v.</w:t>
            </w:r>
          </w:p>
        </w:tc>
      </w:tr>
      <w:tr w:rsidR="00632CD2" w:rsidRPr="00CF4E9F" w14:paraId="5D164286" w14:textId="77777777" w:rsidTr="008D18FC">
        <w:tc>
          <w:tcPr>
            <w:tcW w:w="9360" w:type="dxa"/>
            <w:gridSpan w:val="6"/>
          </w:tcPr>
          <w:p w14:paraId="0E33321D" w14:textId="77777777" w:rsidR="008F364A" w:rsidRPr="00CF4E9F" w:rsidRDefault="008F364A">
            <w:pPr>
              <w:rPr>
                <w:lang w:val="en-CA"/>
              </w:rPr>
            </w:pPr>
          </w:p>
        </w:tc>
      </w:tr>
      <w:tr w:rsidR="00632CD2" w:rsidRPr="00CF4E9F" w14:paraId="1D513FF9" w14:textId="77777777" w:rsidTr="008D18FC">
        <w:tc>
          <w:tcPr>
            <w:tcW w:w="9360" w:type="dxa"/>
            <w:gridSpan w:val="6"/>
          </w:tcPr>
          <w:p w14:paraId="3A02ED2A" w14:textId="217BEAE0" w:rsidR="008F364A" w:rsidRPr="00CF4E9F" w:rsidRDefault="0043013D">
            <w:pPr>
              <w:pStyle w:val="zSoquijdatNomPartieDef"/>
              <w:rPr>
                <w:lang w:val="en-CA"/>
              </w:rPr>
            </w:pPr>
            <w:r w:rsidRPr="00CF4E9F">
              <w:rPr>
                <w:lang w:val="en-CA"/>
              </w:rPr>
              <w:t>JOSEPH-CHRISTOPHER LUAMBA</w:t>
            </w:r>
          </w:p>
        </w:tc>
      </w:tr>
      <w:tr w:rsidR="00632CD2" w:rsidRPr="00CF4E9F" w14:paraId="6BFE1AC4" w14:textId="77777777" w:rsidTr="008D18FC">
        <w:tc>
          <w:tcPr>
            <w:tcW w:w="9360" w:type="dxa"/>
            <w:gridSpan w:val="6"/>
          </w:tcPr>
          <w:p w14:paraId="510FF385" w14:textId="519192BD" w:rsidR="008F364A" w:rsidRPr="00CF4E9F" w:rsidRDefault="00360D2E">
            <w:pPr>
              <w:pStyle w:val="zSoquijdatQtePartieDef"/>
              <w:rPr>
                <w:lang w:val="en-CA"/>
              </w:rPr>
            </w:pPr>
            <w:r w:rsidRPr="00CF4E9F">
              <w:rPr>
                <w:lang w:val="en-CA"/>
              </w:rPr>
              <w:t xml:space="preserve">RESPONDENT – </w:t>
            </w:r>
            <w:r w:rsidR="00A37078" w:rsidRPr="00CF4E9F">
              <w:rPr>
                <w:lang w:val="en-CA"/>
              </w:rPr>
              <w:t>P</w:t>
            </w:r>
            <w:r w:rsidRPr="00CF4E9F">
              <w:rPr>
                <w:lang w:val="en-CA"/>
              </w:rPr>
              <w:t>laintiff</w:t>
            </w:r>
          </w:p>
        </w:tc>
      </w:tr>
      <w:tr w:rsidR="00632CD2" w:rsidRPr="00CF4E9F" w14:paraId="50D0B589" w14:textId="77777777" w:rsidTr="008D18FC">
        <w:tc>
          <w:tcPr>
            <w:tcW w:w="9360" w:type="dxa"/>
            <w:gridSpan w:val="6"/>
          </w:tcPr>
          <w:p w14:paraId="6431427E" w14:textId="29A645DB" w:rsidR="00C01CC0" w:rsidRPr="00CF4E9F" w:rsidRDefault="00947355" w:rsidP="00C01CC0">
            <w:pPr>
              <w:pStyle w:val="zSoquijdatQtePartieDef"/>
              <w:ind w:left="0"/>
              <w:rPr>
                <w:lang w:val="en-CA"/>
              </w:rPr>
            </w:pPr>
            <w:r w:rsidRPr="00CF4E9F">
              <w:rPr>
                <w:lang w:val="en-CA"/>
              </w:rPr>
              <w:t>a</w:t>
            </w:r>
            <w:r w:rsidR="00360D2E" w:rsidRPr="00CF4E9F">
              <w:rPr>
                <w:lang w:val="en-CA"/>
              </w:rPr>
              <w:t>nd</w:t>
            </w:r>
          </w:p>
        </w:tc>
      </w:tr>
      <w:tr w:rsidR="00632CD2" w:rsidRPr="00CF4E9F" w14:paraId="479532D9" w14:textId="77777777" w:rsidTr="008D18FC">
        <w:tc>
          <w:tcPr>
            <w:tcW w:w="9360" w:type="dxa"/>
            <w:gridSpan w:val="6"/>
          </w:tcPr>
          <w:p w14:paraId="7E636E8E" w14:textId="322E6010" w:rsidR="00C01CC0" w:rsidRPr="00CF4E9F" w:rsidRDefault="00360D2E" w:rsidP="00C01CC0">
            <w:pPr>
              <w:pStyle w:val="zSoquijdatQtePartieDef"/>
              <w:ind w:left="0"/>
              <w:rPr>
                <w:b/>
                <w:bCs/>
                <w:lang w:val="en-CA"/>
              </w:rPr>
            </w:pPr>
            <w:r w:rsidRPr="00CF4E9F">
              <w:rPr>
                <w:b/>
                <w:bCs/>
                <w:lang w:val="en-CA"/>
              </w:rPr>
              <w:t>CANADIAN CIVIL LIBERTIES ASSOCIATION</w:t>
            </w:r>
          </w:p>
        </w:tc>
      </w:tr>
      <w:tr w:rsidR="00632CD2" w:rsidRPr="00CF4E9F" w14:paraId="400F4D44" w14:textId="77777777" w:rsidTr="008D18FC">
        <w:tc>
          <w:tcPr>
            <w:tcW w:w="9360" w:type="dxa"/>
            <w:gridSpan w:val="6"/>
          </w:tcPr>
          <w:p w14:paraId="67F1BDE8" w14:textId="73C698B2" w:rsidR="00C01CC0" w:rsidRPr="00CF4E9F" w:rsidRDefault="00360D2E">
            <w:pPr>
              <w:pStyle w:val="zSoquijdatQtePartieDef"/>
              <w:rPr>
                <w:lang w:val="en-CA"/>
              </w:rPr>
            </w:pPr>
            <w:r w:rsidRPr="00CF4E9F">
              <w:rPr>
                <w:lang w:val="en-CA"/>
              </w:rPr>
              <w:t>RESPONDENT – Intervener</w:t>
            </w:r>
          </w:p>
        </w:tc>
      </w:tr>
      <w:tr w:rsidR="00632CD2" w:rsidRPr="00CF4E9F" w14:paraId="6E9980D7" w14:textId="77777777" w:rsidTr="008D18FC">
        <w:tc>
          <w:tcPr>
            <w:tcW w:w="9360" w:type="dxa"/>
            <w:gridSpan w:val="6"/>
          </w:tcPr>
          <w:p w14:paraId="51456751" w14:textId="2E312DA8" w:rsidR="009238E1" w:rsidRPr="00CF4E9F" w:rsidRDefault="00947355" w:rsidP="009238E1">
            <w:pPr>
              <w:rPr>
                <w:lang w:val="en-CA"/>
              </w:rPr>
            </w:pPr>
            <w:r w:rsidRPr="00CF4E9F">
              <w:rPr>
                <w:lang w:val="en-CA"/>
              </w:rPr>
              <w:t>a</w:t>
            </w:r>
            <w:r w:rsidR="00360D2E" w:rsidRPr="00CF4E9F">
              <w:rPr>
                <w:lang w:val="en-CA"/>
              </w:rPr>
              <w:t>nd</w:t>
            </w:r>
          </w:p>
        </w:tc>
      </w:tr>
      <w:tr w:rsidR="00632CD2" w:rsidRPr="00CF4E9F" w14:paraId="57354A8D" w14:textId="77777777" w:rsidTr="008D18FC">
        <w:tc>
          <w:tcPr>
            <w:tcW w:w="9360" w:type="dxa"/>
            <w:gridSpan w:val="6"/>
          </w:tcPr>
          <w:p w14:paraId="11F09FF6" w14:textId="45AA33FC" w:rsidR="009238E1" w:rsidRPr="00CF4E9F" w:rsidRDefault="00360D2E" w:rsidP="009238E1">
            <w:pPr>
              <w:pStyle w:val="zSoquijdatNomPartieDef"/>
              <w:rPr>
                <w:lang w:val="en-CA"/>
              </w:rPr>
            </w:pPr>
            <w:r w:rsidRPr="00CF4E9F">
              <w:rPr>
                <w:lang w:val="en-CA"/>
              </w:rPr>
              <w:t>ATTORNEY GENERAL OF CANADA</w:t>
            </w:r>
          </w:p>
        </w:tc>
      </w:tr>
      <w:tr w:rsidR="00632CD2" w:rsidRPr="00CF4E9F" w14:paraId="09A68F07" w14:textId="77777777" w:rsidTr="008D18FC">
        <w:tc>
          <w:tcPr>
            <w:tcW w:w="9360" w:type="dxa"/>
            <w:gridSpan w:val="6"/>
          </w:tcPr>
          <w:p w14:paraId="3279E72E" w14:textId="62C98AD5" w:rsidR="009238E1" w:rsidRPr="00CF4E9F" w:rsidRDefault="00360D2E" w:rsidP="009238E1">
            <w:pPr>
              <w:pStyle w:val="zSoquijdatQtePartieDef"/>
              <w:rPr>
                <w:lang w:val="en-CA"/>
              </w:rPr>
            </w:pPr>
            <w:r w:rsidRPr="00CF4E9F">
              <w:rPr>
                <w:lang w:val="en-CA"/>
              </w:rPr>
              <w:t xml:space="preserve">IMPLEADED PARTY – </w:t>
            </w:r>
            <w:r w:rsidR="00A37078" w:rsidRPr="00CF4E9F">
              <w:rPr>
                <w:lang w:val="en-CA"/>
              </w:rPr>
              <w:t>D</w:t>
            </w:r>
            <w:r w:rsidRPr="00CF4E9F">
              <w:rPr>
                <w:lang w:val="en-CA"/>
              </w:rPr>
              <w:t>efendant</w:t>
            </w:r>
          </w:p>
        </w:tc>
      </w:tr>
      <w:tr w:rsidR="00632CD2" w:rsidRPr="00CF4E9F" w14:paraId="0609CAFB" w14:textId="77777777" w:rsidTr="008D18FC">
        <w:tc>
          <w:tcPr>
            <w:tcW w:w="9360" w:type="dxa"/>
            <w:gridSpan w:val="6"/>
          </w:tcPr>
          <w:p w14:paraId="6B5A660C" w14:textId="3ED52C6E" w:rsidR="009238E1" w:rsidRPr="00CF4E9F" w:rsidRDefault="00947355" w:rsidP="009238E1">
            <w:pPr>
              <w:rPr>
                <w:lang w:val="en-CA"/>
              </w:rPr>
            </w:pPr>
            <w:r w:rsidRPr="00CF4E9F">
              <w:rPr>
                <w:lang w:val="en-CA"/>
              </w:rPr>
              <w:t>a</w:t>
            </w:r>
            <w:r w:rsidR="00360D2E" w:rsidRPr="00CF4E9F">
              <w:rPr>
                <w:lang w:val="en-CA"/>
              </w:rPr>
              <w:t>nd</w:t>
            </w:r>
          </w:p>
        </w:tc>
      </w:tr>
      <w:tr w:rsidR="00632CD2" w:rsidRPr="00077E55" w14:paraId="222A4E8D" w14:textId="77777777" w:rsidTr="008D18FC">
        <w:tc>
          <w:tcPr>
            <w:tcW w:w="9360" w:type="dxa"/>
            <w:gridSpan w:val="6"/>
          </w:tcPr>
          <w:p w14:paraId="40BCB2F6" w14:textId="079CF4CC" w:rsidR="009238E1" w:rsidRPr="00CF4E9F" w:rsidRDefault="0043013D" w:rsidP="009238E1">
            <w:pPr>
              <w:pStyle w:val="zSoquijdatNomPartieDef"/>
              <w:rPr>
                <w:lang w:val="en-CA"/>
              </w:rPr>
            </w:pPr>
            <w:r w:rsidRPr="00CF4E9F">
              <w:rPr>
                <w:lang w:val="en-CA"/>
              </w:rPr>
              <w:t>CANADIAN ASSOCIATION OF BLACK LAWYERS</w:t>
            </w:r>
          </w:p>
        </w:tc>
      </w:tr>
      <w:tr w:rsidR="00632CD2" w:rsidRPr="00CF4E9F" w14:paraId="3FED01B6" w14:textId="77777777" w:rsidTr="008D18FC">
        <w:tc>
          <w:tcPr>
            <w:tcW w:w="9360" w:type="dxa"/>
            <w:gridSpan w:val="6"/>
          </w:tcPr>
          <w:p w14:paraId="4C144021" w14:textId="67DAA84C" w:rsidR="009238E1" w:rsidRPr="00CF4E9F" w:rsidRDefault="00360D2E" w:rsidP="009238E1">
            <w:pPr>
              <w:pStyle w:val="zSoquijdatQtePartieDef"/>
              <w:rPr>
                <w:lang w:val="en-CA"/>
              </w:rPr>
            </w:pPr>
            <w:r w:rsidRPr="00CF4E9F">
              <w:rPr>
                <w:lang w:val="en-CA"/>
              </w:rPr>
              <w:t>IMPLEADED PARTY – Intervener</w:t>
            </w:r>
          </w:p>
        </w:tc>
      </w:tr>
      <w:tr w:rsidR="00632CD2" w:rsidRPr="00CF4E9F" w14:paraId="7BCFCFD3" w14:textId="77777777" w:rsidTr="008D18FC">
        <w:tc>
          <w:tcPr>
            <w:tcW w:w="9360" w:type="dxa"/>
            <w:gridSpan w:val="6"/>
          </w:tcPr>
          <w:p w14:paraId="23367915" w14:textId="5C05486E" w:rsidR="00C01CC0" w:rsidRPr="00CF4E9F" w:rsidRDefault="00360D2E" w:rsidP="00C01CC0">
            <w:pPr>
              <w:pStyle w:val="zSoquijdatQtePartieDef"/>
              <w:ind w:left="0"/>
              <w:rPr>
                <w:lang w:val="en-CA"/>
              </w:rPr>
            </w:pPr>
            <w:r w:rsidRPr="00CF4E9F">
              <w:rPr>
                <w:lang w:val="en-CA"/>
              </w:rPr>
              <w:t>and</w:t>
            </w:r>
          </w:p>
        </w:tc>
      </w:tr>
      <w:tr w:rsidR="00632CD2" w:rsidRPr="00CF4E9F" w14:paraId="4B3A0023" w14:textId="77777777" w:rsidTr="008D18FC">
        <w:tc>
          <w:tcPr>
            <w:tcW w:w="9360" w:type="dxa"/>
            <w:gridSpan w:val="6"/>
          </w:tcPr>
          <w:p w14:paraId="75E5EC1C" w14:textId="7DAAB89C" w:rsidR="00C01CC0" w:rsidRPr="00077E55" w:rsidRDefault="00360D2E" w:rsidP="00C01CC0">
            <w:pPr>
              <w:pStyle w:val="zSoquijdatNomPartieDef"/>
            </w:pPr>
            <w:r w:rsidRPr="00077E55">
              <w:t xml:space="preserve">BRITISH COLUMBIA CIVIL LIBERTIES ASSOCIATION </w:t>
            </w:r>
          </w:p>
          <w:p w14:paraId="109FE383" w14:textId="77777777" w:rsidR="00C01CC0" w:rsidRPr="00077E55" w:rsidRDefault="0043013D" w:rsidP="00C01CC0">
            <w:pPr>
              <w:pStyle w:val="zSoquijdatNomPartieDef"/>
            </w:pPr>
            <w:r w:rsidRPr="00077E55">
              <w:t>CLINIQUE JURIDIQUE DE SAINT-MICHEL</w:t>
            </w:r>
          </w:p>
          <w:p w14:paraId="787C14E1" w14:textId="1856DA64" w:rsidR="00C01CC0" w:rsidRPr="00077E55" w:rsidRDefault="0043013D" w:rsidP="00C01CC0">
            <w:pPr>
              <w:pStyle w:val="zSoquijdatQtePartieDef"/>
              <w:ind w:left="0"/>
              <w:rPr>
                <w:b/>
                <w:bCs/>
              </w:rPr>
            </w:pPr>
            <w:r w:rsidRPr="00077E55">
              <w:rPr>
                <w:b/>
                <w:bCs/>
              </w:rPr>
              <w:t>COMMISSION DES DROITS DE LA PERSONNE ET DES DROITS DE LA JEUNESSE</w:t>
            </w:r>
          </w:p>
        </w:tc>
      </w:tr>
      <w:tr w:rsidR="00632CD2" w:rsidRPr="00CF4E9F" w14:paraId="369EE7A4" w14:textId="77777777" w:rsidTr="008D18FC">
        <w:tc>
          <w:tcPr>
            <w:tcW w:w="9360" w:type="dxa"/>
            <w:gridSpan w:val="6"/>
          </w:tcPr>
          <w:p w14:paraId="5590FF4C" w14:textId="7A064C0F" w:rsidR="00C01CC0" w:rsidRPr="00CF4E9F" w:rsidRDefault="00360D2E" w:rsidP="009238E1">
            <w:pPr>
              <w:pStyle w:val="zSoquijdatQtePartieDef"/>
              <w:rPr>
                <w:lang w:val="en-CA"/>
              </w:rPr>
            </w:pPr>
            <w:r w:rsidRPr="00CF4E9F">
              <w:rPr>
                <w:lang w:val="en-CA"/>
              </w:rPr>
              <w:t>INTERVENERS</w:t>
            </w:r>
          </w:p>
        </w:tc>
      </w:tr>
    </w:tbl>
    <w:p w14:paraId="1214EF88" w14:textId="77777777" w:rsidR="002E46A6" w:rsidRPr="00CF4E9F" w:rsidRDefault="002E46A6">
      <w:pPr>
        <w:rPr>
          <w:lang w:val="en-CA"/>
        </w:rPr>
        <w:sectPr w:rsidR="002E46A6" w:rsidRPr="00CF4E9F" w:rsidSect="00D757DC">
          <w:headerReference w:type="default" r:id="rId8"/>
          <w:footerReference w:type="default" r:id="rId9"/>
          <w:footerReference w:type="first" r:id="rId10"/>
          <w:pgSz w:w="12242" w:h="15842" w:code="1"/>
          <w:pgMar w:top="1440" w:right="1008" w:bottom="1440" w:left="1872" w:header="1440" w:footer="792" w:gutter="0"/>
          <w:cols w:space="720"/>
          <w:formProt w:val="0"/>
          <w:titlePg/>
        </w:sectPr>
      </w:pPr>
    </w:p>
    <w:tbl>
      <w:tblPr>
        <w:tblW w:w="9360" w:type="dxa"/>
        <w:tblLayout w:type="fixed"/>
        <w:tblCellMar>
          <w:left w:w="0" w:type="dxa"/>
          <w:right w:w="0" w:type="dxa"/>
        </w:tblCellMar>
        <w:tblLook w:val="0000" w:firstRow="0" w:lastRow="0" w:firstColumn="0" w:lastColumn="0" w:noHBand="0" w:noVBand="0"/>
      </w:tblPr>
      <w:tblGrid>
        <w:gridCol w:w="9360"/>
      </w:tblGrid>
      <w:tr w:rsidR="00632CD2" w:rsidRPr="00CF4E9F" w14:paraId="65F3810F" w14:textId="77777777" w:rsidTr="008930CE">
        <w:tc>
          <w:tcPr>
            <w:tcW w:w="9360" w:type="dxa"/>
          </w:tcPr>
          <w:p w14:paraId="6E664F0C" w14:textId="77777777" w:rsidR="002E46A6" w:rsidRPr="00CF4E9F" w:rsidRDefault="002E46A6" w:rsidP="008930CE">
            <w:pPr>
              <w:rPr>
                <w:lang w:val="en-CA"/>
              </w:rPr>
            </w:pPr>
          </w:p>
        </w:tc>
      </w:tr>
      <w:tr w:rsidR="00632CD2" w:rsidRPr="00CF4E9F" w14:paraId="41242A9F" w14:textId="77777777" w:rsidTr="008930CE">
        <w:tc>
          <w:tcPr>
            <w:tcW w:w="9360" w:type="dxa"/>
            <w:tcBorders>
              <w:top w:val="single" w:sz="4" w:space="0" w:color="auto"/>
            </w:tcBorders>
          </w:tcPr>
          <w:p w14:paraId="49AB0679" w14:textId="77777777" w:rsidR="002E46A6" w:rsidRPr="00CF4E9F" w:rsidRDefault="002E46A6" w:rsidP="008930CE">
            <w:pPr>
              <w:rPr>
                <w:lang w:val="en-CA"/>
              </w:rPr>
            </w:pPr>
          </w:p>
        </w:tc>
      </w:tr>
      <w:tr w:rsidR="00632CD2" w:rsidRPr="00CF4E9F" w14:paraId="164F86D9" w14:textId="77777777" w:rsidTr="008930CE">
        <w:tc>
          <w:tcPr>
            <w:tcW w:w="9360" w:type="dxa"/>
          </w:tcPr>
          <w:p w14:paraId="2383E75C" w14:textId="02D7BA36" w:rsidR="002E46A6" w:rsidRPr="00CF4E9F" w:rsidRDefault="00360D2E" w:rsidP="008930CE">
            <w:pPr>
              <w:pStyle w:val="zSoquijlblTypeDocument"/>
              <w:rPr>
                <w:lang w:val="en-CA"/>
              </w:rPr>
            </w:pPr>
            <w:r w:rsidRPr="00CF4E9F">
              <w:rPr>
                <w:lang w:val="en-CA"/>
              </w:rPr>
              <w:t>TABLE OF CONTENTS</w:t>
            </w:r>
          </w:p>
        </w:tc>
      </w:tr>
      <w:tr w:rsidR="00632CD2" w:rsidRPr="00CF4E9F" w14:paraId="6414C34D" w14:textId="77777777" w:rsidTr="008930CE">
        <w:tc>
          <w:tcPr>
            <w:tcW w:w="9360" w:type="dxa"/>
            <w:tcBorders>
              <w:bottom w:val="single" w:sz="8" w:space="0" w:color="auto"/>
            </w:tcBorders>
          </w:tcPr>
          <w:p w14:paraId="03F4DED2" w14:textId="77777777" w:rsidR="002E46A6" w:rsidRPr="00CF4E9F" w:rsidRDefault="002E46A6" w:rsidP="008930CE">
            <w:pPr>
              <w:rPr>
                <w:lang w:val="en-CA"/>
              </w:rPr>
            </w:pPr>
          </w:p>
        </w:tc>
      </w:tr>
    </w:tbl>
    <w:p w14:paraId="136F9DBF" w14:textId="2BF552E8" w:rsidR="002E46A6" w:rsidRPr="00CF4E9F" w:rsidRDefault="002E46A6">
      <w:pPr>
        <w:rPr>
          <w:lang w:val="en-CA"/>
        </w:rPr>
      </w:pPr>
    </w:p>
    <w:p w14:paraId="511EF6D9" w14:textId="77777777" w:rsidR="00724621" w:rsidRPr="00CF4E9F" w:rsidRDefault="00724621">
      <w:pPr>
        <w:rPr>
          <w:lang w:val="en-CA"/>
        </w:rPr>
      </w:pPr>
    </w:p>
    <w:p w14:paraId="51DB1EC5" w14:textId="2C65FDCA" w:rsidR="007F0086" w:rsidRDefault="0043013D">
      <w:pPr>
        <w:pStyle w:val="TM1"/>
        <w:rPr>
          <w:rFonts w:asciiTheme="minorHAnsi" w:eastAsiaTheme="minorEastAsia" w:hAnsiTheme="minorHAnsi" w:cstheme="minorBidi"/>
          <w:b w:val="0"/>
          <w:caps w:val="0"/>
          <w:noProof/>
          <w:kern w:val="2"/>
          <w:szCs w:val="24"/>
          <w:lang w:val="en-CA" w:eastAsia="en-CA"/>
          <w14:ligatures w14:val="standardContextual"/>
        </w:rPr>
      </w:pPr>
      <w:r w:rsidRPr="00CF4E9F">
        <w:rPr>
          <w:lang w:val="en-CA"/>
        </w:rPr>
        <w:fldChar w:fldCharType="begin"/>
      </w:r>
      <w:r w:rsidR="001F707F" w:rsidRPr="00CF4E9F">
        <w:rPr>
          <w:lang w:val="en-CA"/>
        </w:rPr>
        <w:instrText xml:space="preserve"> TOC \o "1-4" \h \z \u </w:instrText>
      </w:r>
      <w:r w:rsidRPr="00CF4E9F">
        <w:rPr>
          <w:lang w:val="en-CA"/>
        </w:rPr>
        <w:fldChar w:fldCharType="separate"/>
      </w:r>
      <w:hyperlink w:anchor="_Toc201822870" w:history="1">
        <w:r w:rsidR="007F0086" w:rsidRPr="00F818D4">
          <w:rPr>
            <w:rStyle w:val="Hyperlien"/>
            <w:noProof/>
            <w:lang w:val="en-CA"/>
          </w:rPr>
          <w:t>I.</w:t>
        </w:r>
        <w:r w:rsidR="007F0086">
          <w:rPr>
            <w:rFonts w:asciiTheme="minorHAnsi" w:eastAsiaTheme="minorEastAsia" w:hAnsiTheme="minorHAnsi" w:cstheme="minorBidi"/>
            <w:b w:val="0"/>
            <w:caps w:val="0"/>
            <w:noProof/>
            <w:kern w:val="2"/>
            <w:szCs w:val="24"/>
            <w:lang w:val="en-CA" w:eastAsia="en-CA"/>
            <w14:ligatures w14:val="standardContextual"/>
          </w:rPr>
          <w:tab/>
        </w:r>
        <w:r w:rsidR="007F0086" w:rsidRPr="00F818D4">
          <w:rPr>
            <w:rStyle w:val="Hyperlien"/>
            <w:noProof/>
            <w:lang w:val="en-CA"/>
          </w:rPr>
          <w:t>BACKGROUND</w:t>
        </w:r>
        <w:r w:rsidR="007F0086">
          <w:rPr>
            <w:noProof/>
            <w:webHidden/>
          </w:rPr>
          <w:tab/>
        </w:r>
        <w:r w:rsidR="007F0086">
          <w:rPr>
            <w:noProof/>
            <w:webHidden/>
          </w:rPr>
          <w:fldChar w:fldCharType="begin"/>
        </w:r>
        <w:r w:rsidR="007F0086">
          <w:rPr>
            <w:noProof/>
            <w:webHidden/>
          </w:rPr>
          <w:instrText xml:space="preserve"> PAGEREF _Toc201822870 \h </w:instrText>
        </w:r>
        <w:r w:rsidR="007F0086">
          <w:rPr>
            <w:noProof/>
            <w:webHidden/>
          </w:rPr>
        </w:r>
        <w:r w:rsidR="007F0086">
          <w:rPr>
            <w:noProof/>
            <w:webHidden/>
          </w:rPr>
          <w:fldChar w:fldCharType="separate"/>
        </w:r>
        <w:r w:rsidR="007F0086">
          <w:rPr>
            <w:noProof/>
            <w:webHidden/>
          </w:rPr>
          <w:t>5</w:t>
        </w:r>
        <w:r w:rsidR="007F0086">
          <w:rPr>
            <w:noProof/>
            <w:webHidden/>
          </w:rPr>
          <w:fldChar w:fldCharType="end"/>
        </w:r>
      </w:hyperlink>
    </w:p>
    <w:p w14:paraId="5E3843AE" w14:textId="4B26ADF6" w:rsidR="007F0086" w:rsidRDefault="00000000">
      <w:pPr>
        <w:pStyle w:val="TM1"/>
        <w:rPr>
          <w:rFonts w:asciiTheme="minorHAnsi" w:eastAsiaTheme="minorEastAsia" w:hAnsiTheme="minorHAnsi" w:cstheme="minorBidi"/>
          <w:b w:val="0"/>
          <w:caps w:val="0"/>
          <w:noProof/>
          <w:kern w:val="2"/>
          <w:szCs w:val="24"/>
          <w:lang w:val="en-CA" w:eastAsia="en-CA"/>
          <w14:ligatures w14:val="standardContextual"/>
        </w:rPr>
      </w:pPr>
      <w:hyperlink w:anchor="_Toc201822871" w:history="1">
        <w:r w:rsidR="007F0086" w:rsidRPr="00F818D4">
          <w:rPr>
            <w:rStyle w:val="Hyperlien"/>
            <w:noProof/>
            <w:lang w:val="en-CA"/>
          </w:rPr>
          <w:t>II.</w:t>
        </w:r>
        <w:r w:rsidR="007F0086">
          <w:rPr>
            <w:rFonts w:asciiTheme="minorHAnsi" w:eastAsiaTheme="minorEastAsia" w:hAnsiTheme="minorHAnsi" w:cstheme="minorBidi"/>
            <w:b w:val="0"/>
            <w:caps w:val="0"/>
            <w:noProof/>
            <w:kern w:val="2"/>
            <w:szCs w:val="24"/>
            <w:lang w:val="en-CA" w:eastAsia="en-CA"/>
            <w14:ligatures w14:val="standardContextual"/>
          </w:rPr>
          <w:tab/>
        </w:r>
        <w:r w:rsidR="007F0086" w:rsidRPr="00F818D4">
          <w:rPr>
            <w:rStyle w:val="Hyperlien"/>
            <w:noProof/>
            <w:lang w:val="en-CA"/>
          </w:rPr>
          <w:t xml:space="preserve">COMMON LAW RULE AND SECTION </w:t>
        </w:r>
        <w:r w:rsidR="007F0086" w:rsidRPr="00F818D4">
          <w:rPr>
            <w:rStyle w:val="Hyperlien"/>
            <w:bCs/>
            <w:noProof/>
            <w:lang w:val="en-CA"/>
          </w:rPr>
          <w:t xml:space="preserve">636 </w:t>
        </w:r>
        <w:r w:rsidR="007F0086" w:rsidRPr="00F818D4">
          <w:rPr>
            <w:rStyle w:val="Hyperlien"/>
            <w:bCs/>
            <w:i/>
            <w:noProof/>
            <w:lang w:val="en-CA"/>
          </w:rPr>
          <w:t>HSC</w:t>
        </w:r>
        <w:r w:rsidR="007F0086">
          <w:rPr>
            <w:noProof/>
            <w:webHidden/>
          </w:rPr>
          <w:tab/>
        </w:r>
        <w:r w:rsidR="007F0086">
          <w:rPr>
            <w:noProof/>
            <w:webHidden/>
          </w:rPr>
          <w:fldChar w:fldCharType="begin"/>
        </w:r>
        <w:r w:rsidR="007F0086">
          <w:rPr>
            <w:noProof/>
            <w:webHidden/>
          </w:rPr>
          <w:instrText xml:space="preserve"> PAGEREF _Toc201822871 \h </w:instrText>
        </w:r>
        <w:r w:rsidR="007F0086">
          <w:rPr>
            <w:noProof/>
            <w:webHidden/>
          </w:rPr>
        </w:r>
        <w:r w:rsidR="007F0086">
          <w:rPr>
            <w:noProof/>
            <w:webHidden/>
          </w:rPr>
          <w:fldChar w:fldCharType="separate"/>
        </w:r>
        <w:r w:rsidR="007F0086">
          <w:rPr>
            <w:noProof/>
            <w:webHidden/>
          </w:rPr>
          <w:t>7</w:t>
        </w:r>
        <w:r w:rsidR="007F0086">
          <w:rPr>
            <w:noProof/>
            <w:webHidden/>
          </w:rPr>
          <w:fldChar w:fldCharType="end"/>
        </w:r>
      </w:hyperlink>
    </w:p>
    <w:p w14:paraId="2F895B6E" w14:textId="519C172A"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2" w:history="1">
        <w:r w:rsidR="007F0086" w:rsidRPr="00F818D4">
          <w:rPr>
            <w:rStyle w:val="Hyperlien"/>
            <w:noProof/>
            <w:lang w:val="en-CA"/>
          </w:rPr>
          <w:t>A.</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i/>
            <w:noProof/>
            <w:lang w:val="en-CA"/>
          </w:rPr>
          <w:t>Ladouceur</w:t>
        </w:r>
        <w:r w:rsidR="007F0086">
          <w:rPr>
            <w:noProof/>
            <w:webHidden/>
          </w:rPr>
          <w:tab/>
        </w:r>
        <w:r w:rsidR="007F0086">
          <w:rPr>
            <w:noProof/>
            <w:webHidden/>
          </w:rPr>
          <w:fldChar w:fldCharType="begin"/>
        </w:r>
        <w:r w:rsidR="007F0086">
          <w:rPr>
            <w:noProof/>
            <w:webHidden/>
          </w:rPr>
          <w:instrText xml:space="preserve"> PAGEREF _Toc201822872 \h </w:instrText>
        </w:r>
        <w:r w:rsidR="007F0086">
          <w:rPr>
            <w:noProof/>
            <w:webHidden/>
          </w:rPr>
        </w:r>
        <w:r w:rsidR="007F0086">
          <w:rPr>
            <w:noProof/>
            <w:webHidden/>
          </w:rPr>
          <w:fldChar w:fldCharType="separate"/>
        </w:r>
        <w:r w:rsidR="007F0086">
          <w:rPr>
            <w:noProof/>
            <w:webHidden/>
          </w:rPr>
          <w:t>7</w:t>
        </w:r>
        <w:r w:rsidR="007F0086">
          <w:rPr>
            <w:noProof/>
            <w:webHidden/>
          </w:rPr>
          <w:fldChar w:fldCharType="end"/>
        </w:r>
      </w:hyperlink>
    </w:p>
    <w:p w14:paraId="4385500C" w14:textId="3A566B1B"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3" w:history="1">
        <w:r w:rsidR="007F0086" w:rsidRPr="00F818D4">
          <w:rPr>
            <w:rStyle w:val="Hyperlien"/>
            <w:noProof/>
            <w:lang w:val="en-CA"/>
          </w:rPr>
          <w:t>B.</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 xml:space="preserve">Section 636 </w:t>
        </w:r>
        <w:r w:rsidR="007F0086" w:rsidRPr="00F818D4">
          <w:rPr>
            <w:rStyle w:val="Hyperlien"/>
            <w:i/>
            <w:iCs/>
            <w:noProof/>
            <w:lang w:val="en-CA"/>
          </w:rPr>
          <w:t>HSC</w:t>
        </w:r>
        <w:r w:rsidR="007F0086">
          <w:rPr>
            <w:noProof/>
            <w:webHidden/>
          </w:rPr>
          <w:tab/>
        </w:r>
        <w:r w:rsidR="007F0086">
          <w:rPr>
            <w:noProof/>
            <w:webHidden/>
          </w:rPr>
          <w:fldChar w:fldCharType="begin"/>
        </w:r>
        <w:r w:rsidR="007F0086">
          <w:rPr>
            <w:noProof/>
            <w:webHidden/>
          </w:rPr>
          <w:instrText xml:space="preserve"> PAGEREF _Toc201822873 \h </w:instrText>
        </w:r>
        <w:r w:rsidR="007F0086">
          <w:rPr>
            <w:noProof/>
            <w:webHidden/>
          </w:rPr>
        </w:r>
        <w:r w:rsidR="007F0086">
          <w:rPr>
            <w:noProof/>
            <w:webHidden/>
          </w:rPr>
          <w:fldChar w:fldCharType="separate"/>
        </w:r>
        <w:r w:rsidR="007F0086">
          <w:rPr>
            <w:noProof/>
            <w:webHidden/>
          </w:rPr>
          <w:t>13</w:t>
        </w:r>
        <w:r w:rsidR="007F0086">
          <w:rPr>
            <w:noProof/>
            <w:webHidden/>
          </w:rPr>
          <w:fldChar w:fldCharType="end"/>
        </w:r>
      </w:hyperlink>
    </w:p>
    <w:p w14:paraId="6C5CA1F7" w14:textId="5FE1CCEE" w:rsidR="007F0086" w:rsidRDefault="00000000">
      <w:pPr>
        <w:pStyle w:val="TM1"/>
        <w:rPr>
          <w:rFonts w:asciiTheme="minorHAnsi" w:eastAsiaTheme="minorEastAsia" w:hAnsiTheme="minorHAnsi" w:cstheme="minorBidi"/>
          <w:b w:val="0"/>
          <w:caps w:val="0"/>
          <w:noProof/>
          <w:kern w:val="2"/>
          <w:szCs w:val="24"/>
          <w:lang w:val="en-CA" w:eastAsia="en-CA"/>
          <w14:ligatures w14:val="standardContextual"/>
        </w:rPr>
      </w:pPr>
      <w:hyperlink w:anchor="_Toc201822874" w:history="1">
        <w:r w:rsidR="007F0086" w:rsidRPr="00F818D4">
          <w:rPr>
            <w:rStyle w:val="Hyperlien"/>
            <w:noProof/>
            <w:lang w:val="en-CA"/>
          </w:rPr>
          <w:t>III.</w:t>
        </w:r>
        <w:r w:rsidR="007F0086">
          <w:rPr>
            <w:rFonts w:asciiTheme="minorHAnsi" w:eastAsiaTheme="minorEastAsia" w:hAnsiTheme="minorHAnsi" w:cstheme="minorBidi"/>
            <w:b w:val="0"/>
            <w:caps w:val="0"/>
            <w:noProof/>
            <w:kern w:val="2"/>
            <w:szCs w:val="24"/>
            <w:lang w:val="en-CA" w:eastAsia="en-CA"/>
            <w14:ligatures w14:val="standardContextual"/>
          </w:rPr>
          <w:tab/>
        </w:r>
        <w:r w:rsidR="007F0086" w:rsidRPr="00F818D4">
          <w:rPr>
            <w:rStyle w:val="Hyperlien"/>
            <w:noProof/>
            <w:lang w:val="en-CA"/>
          </w:rPr>
          <w:t>Trial judgment</w:t>
        </w:r>
        <w:r w:rsidR="007F0086">
          <w:rPr>
            <w:noProof/>
            <w:webHidden/>
          </w:rPr>
          <w:tab/>
        </w:r>
        <w:r w:rsidR="007F0086">
          <w:rPr>
            <w:noProof/>
            <w:webHidden/>
          </w:rPr>
          <w:fldChar w:fldCharType="begin"/>
        </w:r>
        <w:r w:rsidR="007F0086">
          <w:rPr>
            <w:noProof/>
            <w:webHidden/>
          </w:rPr>
          <w:instrText xml:space="preserve"> PAGEREF _Toc201822874 \h </w:instrText>
        </w:r>
        <w:r w:rsidR="007F0086">
          <w:rPr>
            <w:noProof/>
            <w:webHidden/>
          </w:rPr>
        </w:r>
        <w:r w:rsidR="007F0086">
          <w:rPr>
            <w:noProof/>
            <w:webHidden/>
          </w:rPr>
          <w:fldChar w:fldCharType="separate"/>
        </w:r>
        <w:r w:rsidR="007F0086">
          <w:rPr>
            <w:noProof/>
            <w:webHidden/>
          </w:rPr>
          <w:t>15</w:t>
        </w:r>
        <w:r w:rsidR="007F0086">
          <w:rPr>
            <w:noProof/>
            <w:webHidden/>
          </w:rPr>
          <w:fldChar w:fldCharType="end"/>
        </w:r>
      </w:hyperlink>
    </w:p>
    <w:p w14:paraId="38BE771E" w14:textId="000AC01E"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5" w:history="1">
        <w:r w:rsidR="007F0086" w:rsidRPr="00F818D4">
          <w:rPr>
            <w:rStyle w:val="Hyperlien"/>
            <w:noProof/>
            <w:lang w:val="en-CA"/>
          </w:rPr>
          <w:t>A.</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bCs/>
            <w:i/>
            <w:noProof/>
            <w:lang w:val="en-CA"/>
          </w:rPr>
          <w:t>Ladouceur</w:t>
        </w:r>
        <w:r w:rsidR="007F0086" w:rsidRPr="00F818D4">
          <w:rPr>
            <w:rStyle w:val="Hyperlien"/>
            <w:bCs/>
            <w:noProof/>
            <w:lang w:val="en-CA"/>
          </w:rPr>
          <w:t xml:space="preserve"> and the rule of </w:t>
        </w:r>
        <w:r w:rsidR="007F0086" w:rsidRPr="00F818D4">
          <w:rPr>
            <w:rStyle w:val="Hyperlien"/>
            <w:bCs/>
            <w:i/>
            <w:noProof/>
            <w:lang w:val="en-CA"/>
          </w:rPr>
          <w:t>stare decisis</w:t>
        </w:r>
        <w:r w:rsidR="007F0086">
          <w:rPr>
            <w:noProof/>
            <w:webHidden/>
          </w:rPr>
          <w:tab/>
        </w:r>
        <w:r w:rsidR="007F0086">
          <w:rPr>
            <w:noProof/>
            <w:webHidden/>
          </w:rPr>
          <w:fldChar w:fldCharType="begin"/>
        </w:r>
        <w:r w:rsidR="007F0086">
          <w:rPr>
            <w:noProof/>
            <w:webHidden/>
          </w:rPr>
          <w:instrText xml:space="preserve"> PAGEREF _Toc201822875 \h </w:instrText>
        </w:r>
        <w:r w:rsidR="007F0086">
          <w:rPr>
            <w:noProof/>
            <w:webHidden/>
          </w:rPr>
        </w:r>
        <w:r w:rsidR="007F0086">
          <w:rPr>
            <w:noProof/>
            <w:webHidden/>
          </w:rPr>
          <w:fldChar w:fldCharType="separate"/>
        </w:r>
        <w:r w:rsidR="007F0086">
          <w:rPr>
            <w:noProof/>
            <w:webHidden/>
          </w:rPr>
          <w:t>15</w:t>
        </w:r>
        <w:r w:rsidR="007F0086">
          <w:rPr>
            <w:noProof/>
            <w:webHidden/>
          </w:rPr>
          <w:fldChar w:fldCharType="end"/>
        </w:r>
      </w:hyperlink>
    </w:p>
    <w:p w14:paraId="7DEC936F" w14:textId="7C467E9C"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6" w:history="1">
        <w:r w:rsidR="007F0086" w:rsidRPr="00F818D4">
          <w:rPr>
            <w:rStyle w:val="Hyperlien"/>
            <w:noProof/>
            <w:lang w:val="en-CA"/>
          </w:rPr>
          <w:t>B.</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 xml:space="preserve">Section 9 of the </w:t>
        </w:r>
        <w:r w:rsidR="007F0086" w:rsidRPr="00F818D4">
          <w:rPr>
            <w:rStyle w:val="Hyperlien"/>
            <w:i/>
            <w:noProof/>
            <w:lang w:val="en-CA"/>
          </w:rPr>
          <w:t>Charter</w:t>
        </w:r>
        <w:r w:rsidR="007F0086">
          <w:rPr>
            <w:noProof/>
            <w:webHidden/>
          </w:rPr>
          <w:tab/>
        </w:r>
        <w:r w:rsidR="007F0086">
          <w:rPr>
            <w:noProof/>
            <w:webHidden/>
          </w:rPr>
          <w:fldChar w:fldCharType="begin"/>
        </w:r>
        <w:r w:rsidR="007F0086">
          <w:rPr>
            <w:noProof/>
            <w:webHidden/>
          </w:rPr>
          <w:instrText xml:space="preserve"> PAGEREF _Toc201822876 \h </w:instrText>
        </w:r>
        <w:r w:rsidR="007F0086">
          <w:rPr>
            <w:noProof/>
            <w:webHidden/>
          </w:rPr>
        </w:r>
        <w:r w:rsidR="007F0086">
          <w:rPr>
            <w:noProof/>
            <w:webHidden/>
          </w:rPr>
          <w:fldChar w:fldCharType="separate"/>
        </w:r>
        <w:r w:rsidR="007F0086">
          <w:rPr>
            <w:noProof/>
            <w:webHidden/>
          </w:rPr>
          <w:t>15</w:t>
        </w:r>
        <w:r w:rsidR="007F0086">
          <w:rPr>
            <w:noProof/>
            <w:webHidden/>
          </w:rPr>
          <w:fldChar w:fldCharType="end"/>
        </w:r>
      </w:hyperlink>
    </w:p>
    <w:p w14:paraId="77E10BD9" w14:textId="3AB8BFF8"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7" w:history="1">
        <w:r w:rsidR="007F0086" w:rsidRPr="00F818D4">
          <w:rPr>
            <w:rStyle w:val="Hyperlien"/>
            <w:noProof/>
            <w:lang w:val="en-CA"/>
          </w:rPr>
          <w:t>V.</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 xml:space="preserve">Section 7 of the </w:t>
        </w:r>
        <w:r w:rsidR="007F0086" w:rsidRPr="00F818D4">
          <w:rPr>
            <w:rStyle w:val="Hyperlien"/>
            <w:i/>
            <w:noProof/>
            <w:lang w:val="en-CA"/>
          </w:rPr>
          <w:t>Charter</w:t>
        </w:r>
        <w:r w:rsidR="007F0086">
          <w:rPr>
            <w:noProof/>
            <w:webHidden/>
          </w:rPr>
          <w:tab/>
        </w:r>
        <w:r w:rsidR="007F0086">
          <w:rPr>
            <w:noProof/>
            <w:webHidden/>
          </w:rPr>
          <w:fldChar w:fldCharType="begin"/>
        </w:r>
        <w:r w:rsidR="007F0086">
          <w:rPr>
            <w:noProof/>
            <w:webHidden/>
          </w:rPr>
          <w:instrText xml:space="preserve"> PAGEREF _Toc201822877 \h </w:instrText>
        </w:r>
        <w:r w:rsidR="007F0086">
          <w:rPr>
            <w:noProof/>
            <w:webHidden/>
          </w:rPr>
        </w:r>
        <w:r w:rsidR="007F0086">
          <w:rPr>
            <w:noProof/>
            <w:webHidden/>
          </w:rPr>
          <w:fldChar w:fldCharType="separate"/>
        </w:r>
        <w:r w:rsidR="007F0086">
          <w:rPr>
            <w:noProof/>
            <w:webHidden/>
          </w:rPr>
          <w:t>15</w:t>
        </w:r>
        <w:r w:rsidR="007F0086">
          <w:rPr>
            <w:noProof/>
            <w:webHidden/>
          </w:rPr>
          <w:fldChar w:fldCharType="end"/>
        </w:r>
      </w:hyperlink>
    </w:p>
    <w:p w14:paraId="0F906DDC" w14:textId="38D84F36"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8" w:history="1">
        <w:r w:rsidR="007F0086" w:rsidRPr="00F818D4">
          <w:rPr>
            <w:rStyle w:val="Hyperlien"/>
            <w:noProof/>
            <w:lang w:val="en-CA"/>
          </w:rPr>
          <w:t>D.</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 xml:space="preserve">Section 15(1) of the </w:t>
        </w:r>
        <w:r w:rsidR="007F0086" w:rsidRPr="00F818D4">
          <w:rPr>
            <w:rStyle w:val="Hyperlien"/>
            <w:i/>
            <w:noProof/>
            <w:lang w:val="en-CA"/>
          </w:rPr>
          <w:t>Charter</w:t>
        </w:r>
        <w:r w:rsidR="007F0086">
          <w:rPr>
            <w:noProof/>
            <w:webHidden/>
          </w:rPr>
          <w:tab/>
        </w:r>
        <w:r w:rsidR="007F0086">
          <w:rPr>
            <w:noProof/>
            <w:webHidden/>
          </w:rPr>
          <w:fldChar w:fldCharType="begin"/>
        </w:r>
        <w:r w:rsidR="007F0086">
          <w:rPr>
            <w:noProof/>
            <w:webHidden/>
          </w:rPr>
          <w:instrText xml:space="preserve"> PAGEREF _Toc201822878 \h </w:instrText>
        </w:r>
        <w:r w:rsidR="007F0086">
          <w:rPr>
            <w:noProof/>
            <w:webHidden/>
          </w:rPr>
        </w:r>
        <w:r w:rsidR="007F0086">
          <w:rPr>
            <w:noProof/>
            <w:webHidden/>
          </w:rPr>
          <w:fldChar w:fldCharType="separate"/>
        </w:r>
        <w:r w:rsidR="007F0086">
          <w:rPr>
            <w:noProof/>
            <w:webHidden/>
          </w:rPr>
          <w:t>16</w:t>
        </w:r>
        <w:r w:rsidR="007F0086">
          <w:rPr>
            <w:noProof/>
            <w:webHidden/>
          </w:rPr>
          <w:fldChar w:fldCharType="end"/>
        </w:r>
      </w:hyperlink>
    </w:p>
    <w:p w14:paraId="32D3454C" w14:textId="7E742D21"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79" w:history="1">
        <w:r w:rsidR="007F0086" w:rsidRPr="00F818D4">
          <w:rPr>
            <w:rStyle w:val="Hyperlien"/>
            <w:noProof/>
            <w:lang w:val="en-CA"/>
          </w:rPr>
          <w:t>E.</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Remedy</w:t>
        </w:r>
        <w:r w:rsidR="007F0086">
          <w:rPr>
            <w:noProof/>
            <w:webHidden/>
          </w:rPr>
          <w:tab/>
        </w:r>
        <w:r w:rsidR="007F0086">
          <w:rPr>
            <w:noProof/>
            <w:webHidden/>
          </w:rPr>
          <w:fldChar w:fldCharType="begin"/>
        </w:r>
        <w:r w:rsidR="007F0086">
          <w:rPr>
            <w:noProof/>
            <w:webHidden/>
          </w:rPr>
          <w:instrText xml:space="preserve"> PAGEREF _Toc201822879 \h </w:instrText>
        </w:r>
        <w:r w:rsidR="007F0086">
          <w:rPr>
            <w:noProof/>
            <w:webHidden/>
          </w:rPr>
        </w:r>
        <w:r w:rsidR="007F0086">
          <w:rPr>
            <w:noProof/>
            <w:webHidden/>
          </w:rPr>
          <w:fldChar w:fldCharType="separate"/>
        </w:r>
        <w:r w:rsidR="007F0086">
          <w:rPr>
            <w:noProof/>
            <w:webHidden/>
          </w:rPr>
          <w:t>16</w:t>
        </w:r>
        <w:r w:rsidR="007F0086">
          <w:rPr>
            <w:noProof/>
            <w:webHidden/>
          </w:rPr>
          <w:fldChar w:fldCharType="end"/>
        </w:r>
      </w:hyperlink>
    </w:p>
    <w:p w14:paraId="6E164D2C" w14:textId="6AA95B1D" w:rsidR="007F0086" w:rsidRDefault="00000000">
      <w:pPr>
        <w:pStyle w:val="TM1"/>
        <w:rPr>
          <w:rFonts w:asciiTheme="minorHAnsi" w:eastAsiaTheme="minorEastAsia" w:hAnsiTheme="minorHAnsi" w:cstheme="minorBidi"/>
          <w:b w:val="0"/>
          <w:caps w:val="0"/>
          <w:noProof/>
          <w:kern w:val="2"/>
          <w:szCs w:val="24"/>
          <w:lang w:val="en-CA" w:eastAsia="en-CA"/>
          <w14:ligatures w14:val="standardContextual"/>
        </w:rPr>
      </w:pPr>
      <w:hyperlink w:anchor="_Toc201822880" w:history="1">
        <w:r w:rsidR="007F0086" w:rsidRPr="00F818D4">
          <w:rPr>
            <w:rStyle w:val="Hyperlien"/>
            <w:noProof/>
            <w:lang w:val="en-CA"/>
          </w:rPr>
          <w:t>IV.</w:t>
        </w:r>
        <w:r w:rsidR="007F0086">
          <w:rPr>
            <w:rFonts w:asciiTheme="minorHAnsi" w:eastAsiaTheme="minorEastAsia" w:hAnsiTheme="minorHAnsi" w:cstheme="minorBidi"/>
            <w:b w:val="0"/>
            <w:caps w:val="0"/>
            <w:noProof/>
            <w:kern w:val="2"/>
            <w:szCs w:val="24"/>
            <w:lang w:val="en-CA" w:eastAsia="en-CA"/>
            <w14:ligatures w14:val="standardContextual"/>
          </w:rPr>
          <w:tab/>
        </w:r>
        <w:r w:rsidR="007F0086" w:rsidRPr="00F818D4">
          <w:rPr>
            <w:rStyle w:val="Hyperlien"/>
            <w:noProof/>
            <w:lang w:val="en-CA"/>
          </w:rPr>
          <w:t>issues</w:t>
        </w:r>
        <w:r w:rsidR="007F0086">
          <w:rPr>
            <w:noProof/>
            <w:webHidden/>
          </w:rPr>
          <w:tab/>
        </w:r>
        <w:r w:rsidR="007F0086">
          <w:rPr>
            <w:noProof/>
            <w:webHidden/>
          </w:rPr>
          <w:fldChar w:fldCharType="begin"/>
        </w:r>
        <w:r w:rsidR="007F0086">
          <w:rPr>
            <w:noProof/>
            <w:webHidden/>
          </w:rPr>
          <w:instrText xml:space="preserve"> PAGEREF _Toc201822880 \h </w:instrText>
        </w:r>
        <w:r w:rsidR="007F0086">
          <w:rPr>
            <w:noProof/>
            <w:webHidden/>
          </w:rPr>
        </w:r>
        <w:r w:rsidR="007F0086">
          <w:rPr>
            <w:noProof/>
            <w:webHidden/>
          </w:rPr>
          <w:fldChar w:fldCharType="separate"/>
        </w:r>
        <w:r w:rsidR="007F0086">
          <w:rPr>
            <w:noProof/>
            <w:webHidden/>
          </w:rPr>
          <w:t>16</w:t>
        </w:r>
        <w:r w:rsidR="007F0086">
          <w:rPr>
            <w:noProof/>
            <w:webHidden/>
          </w:rPr>
          <w:fldChar w:fldCharType="end"/>
        </w:r>
      </w:hyperlink>
    </w:p>
    <w:p w14:paraId="689B85A5" w14:textId="55F8D3EA" w:rsidR="007F0086" w:rsidRDefault="00000000">
      <w:pPr>
        <w:pStyle w:val="TM1"/>
        <w:rPr>
          <w:rFonts w:asciiTheme="minorHAnsi" w:eastAsiaTheme="minorEastAsia" w:hAnsiTheme="minorHAnsi" w:cstheme="minorBidi"/>
          <w:b w:val="0"/>
          <w:caps w:val="0"/>
          <w:noProof/>
          <w:kern w:val="2"/>
          <w:szCs w:val="24"/>
          <w:lang w:val="en-CA" w:eastAsia="en-CA"/>
          <w14:ligatures w14:val="standardContextual"/>
        </w:rPr>
      </w:pPr>
      <w:hyperlink w:anchor="_Toc201822881" w:history="1">
        <w:r w:rsidR="007F0086" w:rsidRPr="00F818D4">
          <w:rPr>
            <w:rStyle w:val="Hyperlien"/>
            <w:noProof/>
            <w:lang w:val="en-CA"/>
          </w:rPr>
          <w:t>V.</w:t>
        </w:r>
        <w:r w:rsidR="007F0086">
          <w:rPr>
            <w:rFonts w:asciiTheme="minorHAnsi" w:eastAsiaTheme="minorEastAsia" w:hAnsiTheme="minorHAnsi" w:cstheme="minorBidi"/>
            <w:b w:val="0"/>
            <w:caps w:val="0"/>
            <w:noProof/>
            <w:kern w:val="2"/>
            <w:szCs w:val="24"/>
            <w:lang w:val="en-CA" w:eastAsia="en-CA"/>
            <w14:ligatures w14:val="standardContextual"/>
          </w:rPr>
          <w:tab/>
        </w:r>
        <w:r w:rsidR="007F0086" w:rsidRPr="00F818D4">
          <w:rPr>
            <w:rStyle w:val="Hyperlien"/>
            <w:noProof/>
            <w:lang w:val="en-CA"/>
          </w:rPr>
          <w:t>ANALYSIS</w:t>
        </w:r>
        <w:r w:rsidR="007F0086">
          <w:rPr>
            <w:noProof/>
            <w:webHidden/>
          </w:rPr>
          <w:tab/>
        </w:r>
        <w:r w:rsidR="007F0086">
          <w:rPr>
            <w:noProof/>
            <w:webHidden/>
          </w:rPr>
          <w:fldChar w:fldCharType="begin"/>
        </w:r>
        <w:r w:rsidR="007F0086">
          <w:rPr>
            <w:noProof/>
            <w:webHidden/>
          </w:rPr>
          <w:instrText xml:space="preserve"> PAGEREF _Toc201822881 \h </w:instrText>
        </w:r>
        <w:r w:rsidR="007F0086">
          <w:rPr>
            <w:noProof/>
            <w:webHidden/>
          </w:rPr>
        </w:r>
        <w:r w:rsidR="007F0086">
          <w:rPr>
            <w:noProof/>
            <w:webHidden/>
          </w:rPr>
          <w:fldChar w:fldCharType="separate"/>
        </w:r>
        <w:r w:rsidR="007F0086">
          <w:rPr>
            <w:noProof/>
            <w:webHidden/>
          </w:rPr>
          <w:t>17</w:t>
        </w:r>
        <w:r w:rsidR="007F0086">
          <w:rPr>
            <w:noProof/>
            <w:webHidden/>
          </w:rPr>
          <w:fldChar w:fldCharType="end"/>
        </w:r>
      </w:hyperlink>
    </w:p>
    <w:p w14:paraId="3163041A" w14:textId="22C5545E"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82" w:history="1">
        <w:r w:rsidR="007F0086" w:rsidRPr="00F818D4">
          <w:rPr>
            <w:rStyle w:val="Hyperlien"/>
            <w:noProof/>
            <w:lang w:val="en-CA"/>
          </w:rPr>
          <w:t>A.</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Did the judge err in concluding that the challenged provision gives rise to racial profiling?</w:t>
        </w:r>
        <w:r w:rsidR="007F0086">
          <w:rPr>
            <w:noProof/>
            <w:webHidden/>
          </w:rPr>
          <w:tab/>
        </w:r>
        <w:r w:rsidR="007F0086">
          <w:rPr>
            <w:noProof/>
            <w:webHidden/>
          </w:rPr>
          <w:fldChar w:fldCharType="begin"/>
        </w:r>
        <w:r w:rsidR="007F0086">
          <w:rPr>
            <w:noProof/>
            <w:webHidden/>
          </w:rPr>
          <w:instrText xml:space="preserve"> PAGEREF _Toc201822882 \h </w:instrText>
        </w:r>
        <w:r w:rsidR="007F0086">
          <w:rPr>
            <w:noProof/>
            <w:webHidden/>
          </w:rPr>
        </w:r>
        <w:r w:rsidR="007F0086">
          <w:rPr>
            <w:noProof/>
            <w:webHidden/>
          </w:rPr>
          <w:fldChar w:fldCharType="separate"/>
        </w:r>
        <w:r w:rsidR="007F0086">
          <w:rPr>
            <w:noProof/>
            <w:webHidden/>
          </w:rPr>
          <w:t>17</w:t>
        </w:r>
        <w:r w:rsidR="007F0086">
          <w:rPr>
            <w:noProof/>
            <w:webHidden/>
          </w:rPr>
          <w:fldChar w:fldCharType="end"/>
        </w:r>
      </w:hyperlink>
    </w:p>
    <w:p w14:paraId="3EA12845" w14:textId="7294CE01"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83" w:history="1">
        <w:r w:rsidR="007F0086" w:rsidRPr="00F818D4">
          <w:rPr>
            <w:rStyle w:val="Hyperlien"/>
            <w:noProof/>
            <w:lang w:val="en-CA"/>
          </w:rPr>
          <w:t>B.</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bCs/>
            <w:noProof/>
            <w:lang w:val="en-CA"/>
          </w:rPr>
          <w:t xml:space="preserve">Did the judge err in deciding that it was open to him to reconsider the ruling in </w:t>
        </w:r>
        <w:r w:rsidR="007F0086" w:rsidRPr="00F818D4">
          <w:rPr>
            <w:rStyle w:val="Hyperlien"/>
            <w:bCs/>
            <w:i/>
            <w:noProof/>
            <w:lang w:val="en-CA"/>
          </w:rPr>
          <w:t>Ladouceur</w:t>
        </w:r>
        <w:r w:rsidR="007F0086" w:rsidRPr="00F818D4">
          <w:rPr>
            <w:rStyle w:val="Hyperlien"/>
            <w:bCs/>
            <w:noProof/>
            <w:lang w:val="en-CA"/>
          </w:rPr>
          <w:t>?</w:t>
        </w:r>
        <w:r w:rsidR="007F0086">
          <w:rPr>
            <w:noProof/>
            <w:webHidden/>
          </w:rPr>
          <w:tab/>
        </w:r>
        <w:r w:rsidR="007F0086">
          <w:rPr>
            <w:noProof/>
            <w:webHidden/>
          </w:rPr>
          <w:fldChar w:fldCharType="begin"/>
        </w:r>
        <w:r w:rsidR="007F0086">
          <w:rPr>
            <w:noProof/>
            <w:webHidden/>
          </w:rPr>
          <w:instrText xml:space="preserve"> PAGEREF _Toc201822883 \h </w:instrText>
        </w:r>
        <w:r w:rsidR="007F0086">
          <w:rPr>
            <w:noProof/>
            <w:webHidden/>
          </w:rPr>
        </w:r>
        <w:r w:rsidR="007F0086">
          <w:rPr>
            <w:noProof/>
            <w:webHidden/>
          </w:rPr>
          <w:fldChar w:fldCharType="separate"/>
        </w:r>
        <w:r w:rsidR="007F0086">
          <w:rPr>
            <w:noProof/>
            <w:webHidden/>
          </w:rPr>
          <w:t>27</w:t>
        </w:r>
        <w:r w:rsidR="007F0086">
          <w:rPr>
            <w:noProof/>
            <w:webHidden/>
          </w:rPr>
          <w:fldChar w:fldCharType="end"/>
        </w:r>
      </w:hyperlink>
    </w:p>
    <w:p w14:paraId="4792BC34" w14:textId="69692328"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84" w:history="1">
        <w:r w:rsidR="007F0086" w:rsidRPr="00F818D4">
          <w:rPr>
            <w:rStyle w:val="Hyperlien"/>
            <w:noProof/>
            <w:lang w:val="en-CA"/>
          </w:rPr>
          <w:t>C.</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Did the judge err in concluding that the challenged provision unjustifiably infringes s. </w:t>
        </w:r>
        <w:r w:rsidR="007F0086" w:rsidRPr="00F818D4">
          <w:rPr>
            <w:rStyle w:val="Hyperlien"/>
            <w:bCs/>
            <w:noProof/>
            <w:lang w:val="en-CA"/>
          </w:rPr>
          <w:t xml:space="preserve">9 of the </w:t>
        </w:r>
        <w:r w:rsidR="007F0086" w:rsidRPr="00F818D4">
          <w:rPr>
            <w:rStyle w:val="Hyperlien"/>
            <w:bCs/>
            <w:i/>
            <w:noProof/>
            <w:lang w:val="en-CA"/>
          </w:rPr>
          <w:t>Charter</w:t>
        </w:r>
        <w:r w:rsidR="007F0086" w:rsidRPr="00F818D4">
          <w:rPr>
            <w:rStyle w:val="Hyperlien"/>
            <w:bCs/>
            <w:noProof/>
            <w:lang w:val="en-CA"/>
          </w:rPr>
          <w:t>?</w:t>
        </w:r>
        <w:r w:rsidR="007F0086">
          <w:rPr>
            <w:noProof/>
            <w:webHidden/>
          </w:rPr>
          <w:tab/>
        </w:r>
        <w:r w:rsidR="007F0086">
          <w:rPr>
            <w:noProof/>
            <w:webHidden/>
          </w:rPr>
          <w:fldChar w:fldCharType="begin"/>
        </w:r>
        <w:r w:rsidR="007F0086">
          <w:rPr>
            <w:noProof/>
            <w:webHidden/>
          </w:rPr>
          <w:instrText xml:space="preserve"> PAGEREF _Toc201822884 \h </w:instrText>
        </w:r>
        <w:r w:rsidR="007F0086">
          <w:rPr>
            <w:noProof/>
            <w:webHidden/>
          </w:rPr>
        </w:r>
        <w:r w:rsidR="007F0086">
          <w:rPr>
            <w:noProof/>
            <w:webHidden/>
          </w:rPr>
          <w:fldChar w:fldCharType="separate"/>
        </w:r>
        <w:r w:rsidR="007F0086">
          <w:rPr>
            <w:noProof/>
            <w:webHidden/>
          </w:rPr>
          <w:t>34</w:t>
        </w:r>
        <w:r w:rsidR="007F0086">
          <w:rPr>
            <w:noProof/>
            <w:webHidden/>
          </w:rPr>
          <w:fldChar w:fldCharType="end"/>
        </w:r>
      </w:hyperlink>
    </w:p>
    <w:p w14:paraId="634AE843" w14:textId="06EC35B5" w:rsidR="007F0086" w:rsidRDefault="00000000">
      <w:pPr>
        <w:pStyle w:val="TM3"/>
        <w:rPr>
          <w:rFonts w:asciiTheme="minorHAnsi" w:eastAsiaTheme="minorEastAsia" w:hAnsiTheme="minorHAnsi" w:cstheme="minorBidi"/>
          <w:b w:val="0"/>
          <w:noProof/>
          <w:kern w:val="2"/>
          <w:szCs w:val="24"/>
          <w:lang w:val="en-CA" w:eastAsia="en-CA"/>
          <w14:ligatures w14:val="standardContextual"/>
        </w:rPr>
      </w:pPr>
      <w:hyperlink w:anchor="_Toc201822885" w:history="1">
        <w:r w:rsidR="007F0086" w:rsidRPr="00F818D4">
          <w:rPr>
            <w:rStyle w:val="Hyperlien"/>
            <w:noProof/>
            <w:lang w:val="en-CA"/>
          </w:rPr>
          <w:t>1.</w:t>
        </w:r>
        <w:r w:rsidR="007F0086">
          <w:rPr>
            <w:rFonts w:asciiTheme="minorHAnsi" w:eastAsiaTheme="minorEastAsia" w:hAnsiTheme="minorHAnsi" w:cstheme="minorBidi"/>
            <w:b w:val="0"/>
            <w:noProof/>
            <w:kern w:val="2"/>
            <w:szCs w:val="24"/>
            <w:lang w:val="en-CA" w:eastAsia="en-CA"/>
            <w14:ligatures w14:val="standardContextual"/>
          </w:rPr>
          <w:tab/>
        </w:r>
        <w:r w:rsidR="007F0086" w:rsidRPr="00F818D4">
          <w:rPr>
            <w:rStyle w:val="Hyperlien"/>
            <w:noProof/>
            <w:lang w:val="en-CA"/>
          </w:rPr>
          <w:t>Infringement</w:t>
        </w:r>
        <w:r w:rsidR="007F0086">
          <w:rPr>
            <w:noProof/>
            <w:webHidden/>
          </w:rPr>
          <w:tab/>
        </w:r>
        <w:r w:rsidR="007F0086">
          <w:rPr>
            <w:noProof/>
            <w:webHidden/>
          </w:rPr>
          <w:fldChar w:fldCharType="begin"/>
        </w:r>
        <w:r w:rsidR="007F0086">
          <w:rPr>
            <w:noProof/>
            <w:webHidden/>
          </w:rPr>
          <w:instrText xml:space="preserve"> PAGEREF _Toc201822885 \h </w:instrText>
        </w:r>
        <w:r w:rsidR="007F0086">
          <w:rPr>
            <w:noProof/>
            <w:webHidden/>
          </w:rPr>
        </w:r>
        <w:r w:rsidR="007F0086">
          <w:rPr>
            <w:noProof/>
            <w:webHidden/>
          </w:rPr>
          <w:fldChar w:fldCharType="separate"/>
        </w:r>
        <w:r w:rsidR="007F0086">
          <w:rPr>
            <w:noProof/>
            <w:webHidden/>
          </w:rPr>
          <w:t>34</w:t>
        </w:r>
        <w:r w:rsidR="007F0086">
          <w:rPr>
            <w:noProof/>
            <w:webHidden/>
          </w:rPr>
          <w:fldChar w:fldCharType="end"/>
        </w:r>
      </w:hyperlink>
    </w:p>
    <w:p w14:paraId="4BBD3638" w14:textId="7EC90782" w:rsidR="007F0086" w:rsidRDefault="00000000">
      <w:pPr>
        <w:pStyle w:val="TM3"/>
        <w:rPr>
          <w:rFonts w:asciiTheme="minorHAnsi" w:eastAsiaTheme="minorEastAsia" w:hAnsiTheme="minorHAnsi" w:cstheme="minorBidi"/>
          <w:b w:val="0"/>
          <w:noProof/>
          <w:kern w:val="2"/>
          <w:szCs w:val="24"/>
          <w:lang w:val="en-CA" w:eastAsia="en-CA"/>
          <w14:ligatures w14:val="standardContextual"/>
        </w:rPr>
      </w:pPr>
      <w:hyperlink w:anchor="_Toc201822886" w:history="1">
        <w:r w:rsidR="007F0086" w:rsidRPr="00F818D4">
          <w:rPr>
            <w:rStyle w:val="Hyperlien"/>
            <w:noProof/>
            <w:lang w:val="en-CA"/>
          </w:rPr>
          <w:t>2.</w:t>
        </w:r>
        <w:r w:rsidR="007F0086">
          <w:rPr>
            <w:rFonts w:asciiTheme="minorHAnsi" w:eastAsiaTheme="minorEastAsia" w:hAnsiTheme="minorHAnsi" w:cstheme="minorBidi"/>
            <w:b w:val="0"/>
            <w:noProof/>
            <w:kern w:val="2"/>
            <w:szCs w:val="24"/>
            <w:lang w:val="en-CA" w:eastAsia="en-CA"/>
            <w14:ligatures w14:val="standardContextual"/>
          </w:rPr>
          <w:tab/>
        </w:r>
        <w:r w:rsidR="007F0086" w:rsidRPr="00F818D4">
          <w:rPr>
            <w:rStyle w:val="Hyperlien"/>
            <w:noProof/>
            <w:lang w:val="en-CA"/>
          </w:rPr>
          <w:t>Justification of the infringement</w:t>
        </w:r>
        <w:r w:rsidR="007F0086">
          <w:rPr>
            <w:noProof/>
            <w:webHidden/>
          </w:rPr>
          <w:tab/>
        </w:r>
        <w:r w:rsidR="007F0086">
          <w:rPr>
            <w:noProof/>
            <w:webHidden/>
          </w:rPr>
          <w:fldChar w:fldCharType="begin"/>
        </w:r>
        <w:r w:rsidR="007F0086">
          <w:rPr>
            <w:noProof/>
            <w:webHidden/>
          </w:rPr>
          <w:instrText xml:space="preserve"> PAGEREF _Toc201822886 \h </w:instrText>
        </w:r>
        <w:r w:rsidR="007F0086">
          <w:rPr>
            <w:noProof/>
            <w:webHidden/>
          </w:rPr>
        </w:r>
        <w:r w:rsidR="007F0086">
          <w:rPr>
            <w:noProof/>
            <w:webHidden/>
          </w:rPr>
          <w:fldChar w:fldCharType="separate"/>
        </w:r>
        <w:r w:rsidR="007F0086">
          <w:rPr>
            <w:noProof/>
            <w:webHidden/>
          </w:rPr>
          <w:t>35</w:t>
        </w:r>
        <w:r w:rsidR="007F0086">
          <w:rPr>
            <w:noProof/>
            <w:webHidden/>
          </w:rPr>
          <w:fldChar w:fldCharType="end"/>
        </w:r>
      </w:hyperlink>
    </w:p>
    <w:p w14:paraId="34D5E10E" w14:textId="09C9E0C1" w:rsidR="007F0086" w:rsidRDefault="00000000">
      <w:pPr>
        <w:pStyle w:val="TM4"/>
        <w:rPr>
          <w:rFonts w:asciiTheme="minorHAnsi" w:eastAsiaTheme="minorEastAsia" w:hAnsiTheme="minorHAnsi" w:cstheme="minorBidi"/>
          <w:i w:val="0"/>
          <w:noProof/>
          <w:kern w:val="2"/>
          <w:szCs w:val="24"/>
          <w:lang w:val="en-CA" w:eastAsia="en-CA"/>
          <w14:ligatures w14:val="standardContextual"/>
        </w:rPr>
      </w:pPr>
      <w:hyperlink w:anchor="_Toc201822887" w:history="1">
        <w:r w:rsidR="007F0086" w:rsidRPr="00F818D4">
          <w:rPr>
            <w:rStyle w:val="Hyperlien"/>
            <w:noProof/>
            <w:lang w:val="en-CA"/>
          </w:rPr>
          <w:t>(a)</w:t>
        </w:r>
        <w:r w:rsidR="007F0086">
          <w:rPr>
            <w:rFonts w:asciiTheme="minorHAnsi" w:eastAsiaTheme="minorEastAsia" w:hAnsiTheme="minorHAnsi" w:cstheme="minorBidi"/>
            <w:i w:val="0"/>
            <w:noProof/>
            <w:kern w:val="2"/>
            <w:szCs w:val="24"/>
            <w:lang w:val="en-CA" w:eastAsia="en-CA"/>
            <w14:ligatures w14:val="standardContextual"/>
          </w:rPr>
          <w:tab/>
        </w:r>
        <w:r w:rsidR="007F0086" w:rsidRPr="00F818D4">
          <w:rPr>
            <w:rStyle w:val="Hyperlien"/>
            <w:noProof/>
            <w:lang w:val="en-CA"/>
          </w:rPr>
          <w:t>Pressing and substantial objective</w:t>
        </w:r>
        <w:r w:rsidR="007F0086">
          <w:rPr>
            <w:noProof/>
            <w:webHidden/>
          </w:rPr>
          <w:tab/>
        </w:r>
        <w:r w:rsidR="007F0086">
          <w:rPr>
            <w:noProof/>
            <w:webHidden/>
          </w:rPr>
          <w:fldChar w:fldCharType="begin"/>
        </w:r>
        <w:r w:rsidR="007F0086">
          <w:rPr>
            <w:noProof/>
            <w:webHidden/>
          </w:rPr>
          <w:instrText xml:space="preserve"> PAGEREF _Toc201822887 \h </w:instrText>
        </w:r>
        <w:r w:rsidR="007F0086">
          <w:rPr>
            <w:noProof/>
            <w:webHidden/>
          </w:rPr>
        </w:r>
        <w:r w:rsidR="007F0086">
          <w:rPr>
            <w:noProof/>
            <w:webHidden/>
          </w:rPr>
          <w:fldChar w:fldCharType="separate"/>
        </w:r>
        <w:r w:rsidR="007F0086">
          <w:rPr>
            <w:noProof/>
            <w:webHidden/>
          </w:rPr>
          <w:t>36</w:t>
        </w:r>
        <w:r w:rsidR="007F0086">
          <w:rPr>
            <w:noProof/>
            <w:webHidden/>
          </w:rPr>
          <w:fldChar w:fldCharType="end"/>
        </w:r>
      </w:hyperlink>
    </w:p>
    <w:p w14:paraId="0C27A058" w14:textId="0AA2331F" w:rsidR="007F0086" w:rsidRDefault="00000000">
      <w:pPr>
        <w:pStyle w:val="TM4"/>
        <w:rPr>
          <w:rFonts w:asciiTheme="minorHAnsi" w:eastAsiaTheme="minorEastAsia" w:hAnsiTheme="minorHAnsi" w:cstheme="minorBidi"/>
          <w:i w:val="0"/>
          <w:noProof/>
          <w:kern w:val="2"/>
          <w:szCs w:val="24"/>
          <w:lang w:val="en-CA" w:eastAsia="en-CA"/>
          <w14:ligatures w14:val="standardContextual"/>
        </w:rPr>
      </w:pPr>
      <w:hyperlink w:anchor="_Toc201822888" w:history="1">
        <w:r w:rsidR="007F0086" w:rsidRPr="00F818D4">
          <w:rPr>
            <w:rStyle w:val="Hyperlien"/>
            <w:noProof/>
            <w:lang w:val="en-CA"/>
          </w:rPr>
          <w:t>(b)</w:t>
        </w:r>
        <w:r w:rsidR="007F0086">
          <w:rPr>
            <w:rFonts w:asciiTheme="minorHAnsi" w:eastAsiaTheme="minorEastAsia" w:hAnsiTheme="minorHAnsi" w:cstheme="minorBidi"/>
            <w:i w:val="0"/>
            <w:noProof/>
            <w:kern w:val="2"/>
            <w:szCs w:val="24"/>
            <w:lang w:val="en-CA" w:eastAsia="en-CA"/>
            <w14:ligatures w14:val="standardContextual"/>
          </w:rPr>
          <w:tab/>
        </w:r>
        <w:r w:rsidR="007F0086" w:rsidRPr="00F818D4">
          <w:rPr>
            <w:rStyle w:val="Hyperlien"/>
            <w:noProof/>
            <w:lang w:val="en-CA"/>
          </w:rPr>
          <w:t>Rational connection</w:t>
        </w:r>
        <w:r w:rsidR="007F0086">
          <w:rPr>
            <w:noProof/>
            <w:webHidden/>
          </w:rPr>
          <w:tab/>
        </w:r>
        <w:r w:rsidR="007F0086">
          <w:rPr>
            <w:noProof/>
            <w:webHidden/>
          </w:rPr>
          <w:fldChar w:fldCharType="begin"/>
        </w:r>
        <w:r w:rsidR="007F0086">
          <w:rPr>
            <w:noProof/>
            <w:webHidden/>
          </w:rPr>
          <w:instrText xml:space="preserve"> PAGEREF _Toc201822888 \h </w:instrText>
        </w:r>
        <w:r w:rsidR="007F0086">
          <w:rPr>
            <w:noProof/>
            <w:webHidden/>
          </w:rPr>
        </w:r>
        <w:r w:rsidR="007F0086">
          <w:rPr>
            <w:noProof/>
            <w:webHidden/>
          </w:rPr>
          <w:fldChar w:fldCharType="separate"/>
        </w:r>
        <w:r w:rsidR="007F0086">
          <w:rPr>
            <w:noProof/>
            <w:webHidden/>
          </w:rPr>
          <w:t>37</w:t>
        </w:r>
        <w:r w:rsidR="007F0086">
          <w:rPr>
            <w:noProof/>
            <w:webHidden/>
          </w:rPr>
          <w:fldChar w:fldCharType="end"/>
        </w:r>
      </w:hyperlink>
    </w:p>
    <w:p w14:paraId="673F03AB" w14:textId="0BD26BDA" w:rsidR="007F0086" w:rsidRDefault="00000000">
      <w:pPr>
        <w:pStyle w:val="TM4"/>
        <w:rPr>
          <w:rFonts w:asciiTheme="minorHAnsi" w:eastAsiaTheme="minorEastAsia" w:hAnsiTheme="minorHAnsi" w:cstheme="minorBidi"/>
          <w:i w:val="0"/>
          <w:noProof/>
          <w:kern w:val="2"/>
          <w:szCs w:val="24"/>
          <w:lang w:val="en-CA" w:eastAsia="en-CA"/>
          <w14:ligatures w14:val="standardContextual"/>
        </w:rPr>
      </w:pPr>
      <w:hyperlink w:anchor="_Toc201822889" w:history="1">
        <w:r w:rsidR="007F0086" w:rsidRPr="00F818D4">
          <w:rPr>
            <w:rStyle w:val="Hyperlien"/>
            <w:noProof/>
            <w:lang w:val="en-CA"/>
          </w:rPr>
          <w:t>(c)</w:t>
        </w:r>
        <w:r w:rsidR="007F0086">
          <w:rPr>
            <w:rFonts w:asciiTheme="minorHAnsi" w:eastAsiaTheme="minorEastAsia" w:hAnsiTheme="minorHAnsi" w:cstheme="minorBidi"/>
            <w:i w:val="0"/>
            <w:noProof/>
            <w:kern w:val="2"/>
            <w:szCs w:val="24"/>
            <w:lang w:val="en-CA" w:eastAsia="en-CA"/>
            <w14:ligatures w14:val="standardContextual"/>
          </w:rPr>
          <w:tab/>
        </w:r>
        <w:r w:rsidR="007F0086" w:rsidRPr="00F818D4">
          <w:rPr>
            <w:rStyle w:val="Hyperlien"/>
            <w:noProof/>
            <w:lang w:val="en-CA"/>
          </w:rPr>
          <w:t>Minimal impairment</w:t>
        </w:r>
        <w:r w:rsidR="007F0086">
          <w:rPr>
            <w:noProof/>
            <w:webHidden/>
          </w:rPr>
          <w:tab/>
        </w:r>
        <w:r w:rsidR="007F0086">
          <w:rPr>
            <w:noProof/>
            <w:webHidden/>
          </w:rPr>
          <w:fldChar w:fldCharType="begin"/>
        </w:r>
        <w:r w:rsidR="007F0086">
          <w:rPr>
            <w:noProof/>
            <w:webHidden/>
          </w:rPr>
          <w:instrText xml:space="preserve"> PAGEREF _Toc201822889 \h </w:instrText>
        </w:r>
        <w:r w:rsidR="007F0086">
          <w:rPr>
            <w:noProof/>
            <w:webHidden/>
          </w:rPr>
        </w:r>
        <w:r w:rsidR="007F0086">
          <w:rPr>
            <w:noProof/>
            <w:webHidden/>
          </w:rPr>
          <w:fldChar w:fldCharType="separate"/>
        </w:r>
        <w:r w:rsidR="007F0086">
          <w:rPr>
            <w:noProof/>
            <w:webHidden/>
          </w:rPr>
          <w:t>40</w:t>
        </w:r>
        <w:r w:rsidR="007F0086">
          <w:rPr>
            <w:noProof/>
            <w:webHidden/>
          </w:rPr>
          <w:fldChar w:fldCharType="end"/>
        </w:r>
      </w:hyperlink>
    </w:p>
    <w:p w14:paraId="777C9DB2" w14:textId="5DA87610" w:rsidR="007F0086" w:rsidRDefault="00000000">
      <w:pPr>
        <w:pStyle w:val="TM4"/>
        <w:rPr>
          <w:rFonts w:asciiTheme="minorHAnsi" w:eastAsiaTheme="minorEastAsia" w:hAnsiTheme="minorHAnsi" w:cstheme="minorBidi"/>
          <w:i w:val="0"/>
          <w:noProof/>
          <w:kern w:val="2"/>
          <w:szCs w:val="24"/>
          <w:lang w:val="en-CA" w:eastAsia="en-CA"/>
          <w14:ligatures w14:val="standardContextual"/>
        </w:rPr>
      </w:pPr>
      <w:hyperlink w:anchor="_Toc201822890" w:history="1">
        <w:r w:rsidR="007F0086" w:rsidRPr="00F818D4">
          <w:rPr>
            <w:rStyle w:val="Hyperlien"/>
            <w:noProof/>
            <w:lang w:val="en-CA"/>
          </w:rPr>
          <w:t>(d)</w:t>
        </w:r>
        <w:r w:rsidR="007F0086">
          <w:rPr>
            <w:rFonts w:asciiTheme="minorHAnsi" w:eastAsiaTheme="minorEastAsia" w:hAnsiTheme="minorHAnsi" w:cstheme="minorBidi"/>
            <w:i w:val="0"/>
            <w:noProof/>
            <w:kern w:val="2"/>
            <w:szCs w:val="24"/>
            <w:lang w:val="en-CA" w:eastAsia="en-CA"/>
            <w14:ligatures w14:val="standardContextual"/>
          </w:rPr>
          <w:tab/>
        </w:r>
        <w:r w:rsidR="007F0086" w:rsidRPr="00F818D4">
          <w:rPr>
            <w:rStyle w:val="Hyperlien"/>
            <w:noProof/>
            <w:lang w:val="en-CA"/>
          </w:rPr>
          <w:t>Balancing the salutary and deleterious effects</w:t>
        </w:r>
        <w:r w:rsidR="007F0086">
          <w:rPr>
            <w:noProof/>
            <w:webHidden/>
          </w:rPr>
          <w:tab/>
        </w:r>
        <w:r w:rsidR="007F0086">
          <w:rPr>
            <w:noProof/>
            <w:webHidden/>
          </w:rPr>
          <w:fldChar w:fldCharType="begin"/>
        </w:r>
        <w:r w:rsidR="007F0086">
          <w:rPr>
            <w:noProof/>
            <w:webHidden/>
          </w:rPr>
          <w:instrText xml:space="preserve"> PAGEREF _Toc201822890 \h </w:instrText>
        </w:r>
        <w:r w:rsidR="007F0086">
          <w:rPr>
            <w:noProof/>
            <w:webHidden/>
          </w:rPr>
        </w:r>
        <w:r w:rsidR="007F0086">
          <w:rPr>
            <w:noProof/>
            <w:webHidden/>
          </w:rPr>
          <w:fldChar w:fldCharType="separate"/>
        </w:r>
        <w:r w:rsidR="007F0086">
          <w:rPr>
            <w:noProof/>
            <w:webHidden/>
          </w:rPr>
          <w:t>43</w:t>
        </w:r>
        <w:r w:rsidR="007F0086">
          <w:rPr>
            <w:noProof/>
            <w:webHidden/>
          </w:rPr>
          <w:fldChar w:fldCharType="end"/>
        </w:r>
      </w:hyperlink>
    </w:p>
    <w:p w14:paraId="02BAA90F" w14:textId="7AA288A8"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91" w:history="1">
        <w:r w:rsidR="007F0086" w:rsidRPr="00F818D4">
          <w:rPr>
            <w:rStyle w:val="Hyperlien"/>
            <w:noProof/>
            <w:lang w:val="en-CA"/>
          </w:rPr>
          <w:t>D.</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Did the judge err in concluding that the challenged provision unjustifiably infringes s. </w:t>
        </w:r>
        <w:r w:rsidR="007F0086" w:rsidRPr="00F818D4">
          <w:rPr>
            <w:rStyle w:val="Hyperlien"/>
            <w:bCs/>
            <w:noProof/>
            <w:lang w:val="en-CA"/>
          </w:rPr>
          <w:t xml:space="preserve">7 of the </w:t>
        </w:r>
        <w:r w:rsidR="007F0086" w:rsidRPr="00F818D4">
          <w:rPr>
            <w:rStyle w:val="Hyperlien"/>
            <w:bCs/>
            <w:i/>
            <w:noProof/>
            <w:lang w:val="en-CA"/>
          </w:rPr>
          <w:t>Charter</w:t>
        </w:r>
        <w:r w:rsidR="007F0086" w:rsidRPr="00F818D4">
          <w:rPr>
            <w:rStyle w:val="Hyperlien"/>
            <w:bCs/>
            <w:noProof/>
            <w:lang w:val="en-CA"/>
          </w:rPr>
          <w:t>?</w:t>
        </w:r>
        <w:r w:rsidR="007F0086">
          <w:rPr>
            <w:noProof/>
            <w:webHidden/>
          </w:rPr>
          <w:tab/>
        </w:r>
        <w:r w:rsidR="007F0086">
          <w:rPr>
            <w:noProof/>
            <w:webHidden/>
          </w:rPr>
          <w:fldChar w:fldCharType="begin"/>
        </w:r>
        <w:r w:rsidR="007F0086">
          <w:rPr>
            <w:noProof/>
            <w:webHidden/>
          </w:rPr>
          <w:instrText xml:space="preserve"> PAGEREF _Toc201822891 \h </w:instrText>
        </w:r>
        <w:r w:rsidR="007F0086">
          <w:rPr>
            <w:noProof/>
            <w:webHidden/>
          </w:rPr>
        </w:r>
        <w:r w:rsidR="007F0086">
          <w:rPr>
            <w:noProof/>
            <w:webHidden/>
          </w:rPr>
          <w:fldChar w:fldCharType="separate"/>
        </w:r>
        <w:r w:rsidR="007F0086">
          <w:rPr>
            <w:noProof/>
            <w:webHidden/>
          </w:rPr>
          <w:t>44</w:t>
        </w:r>
        <w:r w:rsidR="007F0086">
          <w:rPr>
            <w:noProof/>
            <w:webHidden/>
          </w:rPr>
          <w:fldChar w:fldCharType="end"/>
        </w:r>
      </w:hyperlink>
    </w:p>
    <w:p w14:paraId="4DF44D6F" w14:textId="4EF122F6"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92" w:history="1">
        <w:r w:rsidR="007F0086" w:rsidRPr="00F818D4">
          <w:rPr>
            <w:rStyle w:val="Hyperlien"/>
            <w:noProof/>
            <w:lang w:val="en-CA"/>
          </w:rPr>
          <w:t>E.</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Did the judge err in concluding that the challenged provision unjustifiably infringes s. </w:t>
        </w:r>
        <w:r w:rsidR="007F0086" w:rsidRPr="00F818D4">
          <w:rPr>
            <w:rStyle w:val="Hyperlien"/>
            <w:bCs/>
            <w:noProof/>
            <w:lang w:val="en-CA"/>
          </w:rPr>
          <w:t xml:space="preserve">15(1) of the </w:t>
        </w:r>
        <w:r w:rsidR="007F0086" w:rsidRPr="00F818D4">
          <w:rPr>
            <w:rStyle w:val="Hyperlien"/>
            <w:bCs/>
            <w:i/>
            <w:noProof/>
            <w:lang w:val="en-CA"/>
          </w:rPr>
          <w:t>Charter</w:t>
        </w:r>
        <w:r w:rsidR="007F0086" w:rsidRPr="00F818D4">
          <w:rPr>
            <w:rStyle w:val="Hyperlien"/>
            <w:bCs/>
            <w:noProof/>
            <w:lang w:val="en-CA"/>
          </w:rPr>
          <w:t>?</w:t>
        </w:r>
        <w:r w:rsidR="007F0086">
          <w:rPr>
            <w:noProof/>
            <w:webHidden/>
          </w:rPr>
          <w:tab/>
        </w:r>
        <w:r w:rsidR="007F0086">
          <w:rPr>
            <w:noProof/>
            <w:webHidden/>
          </w:rPr>
          <w:fldChar w:fldCharType="begin"/>
        </w:r>
        <w:r w:rsidR="007F0086">
          <w:rPr>
            <w:noProof/>
            <w:webHidden/>
          </w:rPr>
          <w:instrText xml:space="preserve"> PAGEREF _Toc201822892 \h </w:instrText>
        </w:r>
        <w:r w:rsidR="007F0086">
          <w:rPr>
            <w:noProof/>
            <w:webHidden/>
          </w:rPr>
        </w:r>
        <w:r w:rsidR="007F0086">
          <w:rPr>
            <w:noProof/>
            <w:webHidden/>
          </w:rPr>
          <w:fldChar w:fldCharType="separate"/>
        </w:r>
        <w:r w:rsidR="007F0086">
          <w:rPr>
            <w:noProof/>
            <w:webHidden/>
          </w:rPr>
          <w:t>45</w:t>
        </w:r>
        <w:r w:rsidR="007F0086">
          <w:rPr>
            <w:noProof/>
            <w:webHidden/>
          </w:rPr>
          <w:fldChar w:fldCharType="end"/>
        </w:r>
      </w:hyperlink>
    </w:p>
    <w:p w14:paraId="304B82E1" w14:textId="55B16AA5" w:rsidR="007F0086" w:rsidRDefault="00000000">
      <w:pPr>
        <w:pStyle w:val="TM3"/>
        <w:rPr>
          <w:rFonts w:asciiTheme="minorHAnsi" w:eastAsiaTheme="minorEastAsia" w:hAnsiTheme="minorHAnsi" w:cstheme="minorBidi"/>
          <w:b w:val="0"/>
          <w:noProof/>
          <w:kern w:val="2"/>
          <w:szCs w:val="24"/>
          <w:lang w:val="en-CA" w:eastAsia="en-CA"/>
          <w14:ligatures w14:val="standardContextual"/>
        </w:rPr>
      </w:pPr>
      <w:hyperlink w:anchor="_Toc201822893" w:history="1">
        <w:r w:rsidR="007F0086" w:rsidRPr="00F818D4">
          <w:rPr>
            <w:rStyle w:val="Hyperlien"/>
            <w:noProof/>
            <w:lang w:val="en-CA"/>
          </w:rPr>
          <w:t>1.</w:t>
        </w:r>
        <w:r w:rsidR="007F0086">
          <w:rPr>
            <w:rFonts w:asciiTheme="minorHAnsi" w:eastAsiaTheme="minorEastAsia" w:hAnsiTheme="minorHAnsi" w:cstheme="minorBidi"/>
            <w:b w:val="0"/>
            <w:noProof/>
            <w:kern w:val="2"/>
            <w:szCs w:val="24"/>
            <w:lang w:val="en-CA" w:eastAsia="en-CA"/>
            <w14:ligatures w14:val="standardContextual"/>
          </w:rPr>
          <w:tab/>
        </w:r>
        <w:r w:rsidR="007F0086" w:rsidRPr="00F818D4">
          <w:rPr>
            <w:rStyle w:val="Hyperlien"/>
            <w:noProof/>
            <w:lang w:val="en-CA"/>
          </w:rPr>
          <w:t>Infringement</w:t>
        </w:r>
        <w:r w:rsidR="007F0086">
          <w:rPr>
            <w:noProof/>
            <w:webHidden/>
          </w:rPr>
          <w:tab/>
        </w:r>
        <w:r w:rsidR="007F0086">
          <w:rPr>
            <w:noProof/>
            <w:webHidden/>
          </w:rPr>
          <w:fldChar w:fldCharType="begin"/>
        </w:r>
        <w:r w:rsidR="007F0086">
          <w:rPr>
            <w:noProof/>
            <w:webHidden/>
          </w:rPr>
          <w:instrText xml:space="preserve"> PAGEREF _Toc201822893 \h </w:instrText>
        </w:r>
        <w:r w:rsidR="007F0086">
          <w:rPr>
            <w:noProof/>
            <w:webHidden/>
          </w:rPr>
        </w:r>
        <w:r w:rsidR="007F0086">
          <w:rPr>
            <w:noProof/>
            <w:webHidden/>
          </w:rPr>
          <w:fldChar w:fldCharType="separate"/>
        </w:r>
        <w:r w:rsidR="007F0086">
          <w:rPr>
            <w:noProof/>
            <w:webHidden/>
          </w:rPr>
          <w:t>45</w:t>
        </w:r>
        <w:r w:rsidR="007F0086">
          <w:rPr>
            <w:noProof/>
            <w:webHidden/>
          </w:rPr>
          <w:fldChar w:fldCharType="end"/>
        </w:r>
      </w:hyperlink>
    </w:p>
    <w:p w14:paraId="5BE8BD44" w14:textId="471354A7" w:rsidR="007F0086" w:rsidRDefault="00000000">
      <w:pPr>
        <w:pStyle w:val="TM4"/>
        <w:rPr>
          <w:rFonts w:asciiTheme="minorHAnsi" w:eastAsiaTheme="minorEastAsia" w:hAnsiTheme="minorHAnsi" w:cstheme="minorBidi"/>
          <w:i w:val="0"/>
          <w:noProof/>
          <w:kern w:val="2"/>
          <w:szCs w:val="24"/>
          <w:lang w:val="en-CA" w:eastAsia="en-CA"/>
          <w14:ligatures w14:val="standardContextual"/>
        </w:rPr>
      </w:pPr>
      <w:hyperlink w:anchor="_Toc201822894" w:history="1">
        <w:r w:rsidR="007F0086" w:rsidRPr="00F818D4">
          <w:rPr>
            <w:rStyle w:val="Hyperlien"/>
            <w:iCs/>
            <w:noProof/>
            <w:lang w:val="en-CA"/>
          </w:rPr>
          <w:t>(a)</w:t>
        </w:r>
        <w:r w:rsidR="007F0086">
          <w:rPr>
            <w:rFonts w:asciiTheme="minorHAnsi" w:eastAsiaTheme="minorEastAsia" w:hAnsiTheme="minorHAnsi" w:cstheme="minorBidi"/>
            <w:i w:val="0"/>
            <w:noProof/>
            <w:kern w:val="2"/>
            <w:szCs w:val="24"/>
            <w:lang w:val="en-CA" w:eastAsia="en-CA"/>
            <w14:ligatures w14:val="standardContextual"/>
          </w:rPr>
          <w:tab/>
        </w:r>
        <w:r w:rsidR="007F0086" w:rsidRPr="00F818D4">
          <w:rPr>
            <w:rStyle w:val="Hyperlien"/>
            <w:iCs/>
            <w:noProof/>
            <w:lang w:val="en-CA"/>
          </w:rPr>
          <w:t>Step 1: Demonstrate that the law creates, on its face or in its impact, a distinction based on a protected ground</w:t>
        </w:r>
        <w:r w:rsidR="007F0086">
          <w:rPr>
            <w:noProof/>
            <w:webHidden/>
          </w:rPr>
          <w:tab/>
        </w:r>
        <w:r w:rsidR="007F0086">
          <w:rPr>
            <w:noProof/>
            <w:webHidden/>
          </w:rPr>
          <w:fldChar w:fldCharType="begin"/>
        </w:r>
        <w:r w:rsidR="007F0086">
          <w:rPr>
            <w:noProof/>
            <w:webHidden/>
          </w:rPr>
          <w:instrText xml:space="preserve"> PAGEREF _Toc201822894 \h </w:instrText>
        </w:r>
        <w:r w:rsidR="007F0086">
          <w:rPr>
            <w:noProof/>
            <w:webHidden/>
          </w:rPr>
        </w:r>
        <w:r w:rsidR="007F0086">
          <w:rPr>
            <w:noProof/>
            <w:webHidden/>
          </w:rPr>
          <w:fldChar w:fldCharType="separate"/>
        </w:r>
        <w:r w:rsidR="007F0086">
          <w:rPr>
            <w:noProof/>
            <w:webHidden/>
          </w:rPr>
          <w:t>51</w:t>
        </w:r>
        <w:r w:rsidR="007F0086">
          <w:rPr>
            <w:noProof/>
            <w:webHidden/>
          </w:rPr>
          <w:fldChar w:fldCharType="end"/>
        </w:r>
      </w:hyperlink>
    </w:p>
    <w:p w14:paraId="0AB1B724" w14:textId="55E7188F" w:rsidR="007F0086" w:rsidRDefault="00000000">
      <w:pPr>
        <w:pStyle w:val="TM4"/>
        <w:rPr>
          <w:rFonts w:asciiTheme="minorHAnsi" w:eastAsiaTheme="minorEastAsia" w:hAnsiTheme="minorHAnsi" w:cstheme="minorBidi"/>
          <w:i w:val="0"/>
          <w:noProof/>
          <w:kern w:val="2"/>
          <w:szCs w:val="24"/>
          <w:lang w:val="en-CA" w:eastAsia="en-CA"/>
          <w14:ligatures w14:val="standardContextual"/>
        </w:rPr>
      </w:pPr>
      <w:hyperlink w:anchor="_Toc201822895" w:history="1">
        <w:r w:rsidR="007F0086" w:rsidRPr="00F818D4">
          <w:rPr>
            <w:rStyle w:val="Hyperlien"/>
            <w:noProof/>
            <w:lang w:val="en-CA"/>
          </w:rPr>
          <w:t>(b)</w:t>
        </w:r>
        <w:r w:rsidR="007F0086">
          <w:rPr>
            <w:rFonts w:asciiTheme="minorHAnsi" w:eastAsiaTheme="minorEastAsia" w:hAnsiTheme="minorHAnsi" w:cstheme="minorBidi"/>
            <w:i w:val="0"/>
            <w:noProof/>
            <w:kern w:val="2"/>
            <w:szCs w:val="24"/>
            <w:lang w:val="en-CA" w:eastAsia="en-CA"/>
            <w14:ligatures w14:val="standardContextual"/>
          </w:rPr>
          <w:tab/>
        </w:r>
        <w:r w:rsidR="007F0086" w:rsidRPr="00F818D4">
          <w:rPr>
            <w:rStyle w:val="Hyperlien"/>
            <w:noProof/>
            <w:lang w:val="en-CA"/>
          </w:rPr>
          <w:t xml:space="preserve">Step 2: Demonstrate that the law </w:t>
        </w:r>
        <w:r w:rsidR="007F0086" w:rsidRPr="00F818D4">
          <w:rPr>
            <w:rStyle w:val="Hyperlien"/>
            <w:noProof/>
            <w:kern w:val="24"/>
            <w:lang w:val="en-CA"/>
          </w:rPr>
          <w:t>imposes a burden or denies a benefit in a manner that has the effect of reinforcing, perpetuating, or exacerbating disadvantage</w:t>
        </w:r>
        <w:r w:rsidR="007F0086">
          <w:rPr>
            <w:noProof/>
            <w:webHidden/>
          </w:rPr>
          <w:tab/>
        </w:r>
        <w:r w:rsidR="007F0086">
          <w:rPr>
            <w:noProof/>
            <w:webHidden/>
          </w:rPr>
          <w:fldChar w:fldCharType="begin"/>
        </w:r>
        <w:r w:rsidR="007F0086">
          <w:rPr>
            <w:noProof/>
            <w:webHidden/>
          </w:rPr>
          <w:instrText xml:space="preserve"> PAGEREF _Toc201822895 \h </w:instrText>
        </w:r>
        <w:r w:rsidR="007F0086">
          <w:rPr>
            <w:noProof/>
            <w:webHidden/>
          </w:rPr>
        </w:r>
        <w:r w:rsidR="007F0086">
          <w:rPr>
            <w:noProof/>
            <w:webHidden/>
          </w:rPr>
          <w:fldChar w:fldCharType="separate"/>
        </w:r>
        <w:r w:rsidR="007F0086">
          <w:rPr>
            <w:noProof/>
            <w:webHidden/>
          </w:rPr>
          <w:t>57</w:t>
        </w:r>
        <w:r w:rsidR="007F0086">
          <w:rPr>
            <w:noProof/>
            <w:webHidden/>
          </w:rPr>
          <w:fldChar w:fldCharType="end"/>
        </w:r>
      </w:hyperlink>
    </w:p>
    <w:p w14:paraId="5ECBA6F5" w14:textId="1D830591" w:rsidR="007F0086" w:rsidRDefault="00000000">
      <w:pPr>
        <w:pStyle w:val="TM3"/>
        <w:rPr>
          <w:rFonts w:asciiTheme="minorHAnsi" w:eastAsiaTheme="minorEastAsia" w:hAnsiTheme="minorHAnsi" w:cstheme="minorBidi"/>
          <w:b w:val="0"/>
          <w:noProof/>
          <w:kern w:val="2"/>
          <w:szCs w:val="24"/>
          <w:lang w:val="en-CA" w:eastAsia="en-CA"/>
          <w14:ligatures w14:val="standardContextual"/>
        </w:rPr>
      </w:pPr>
      <w:hyperlink w:anchor="_Toc201822896" w:history="1">
        <w:r w:rsidR="007F0086" w:rsidRPr="00F818D4">
          <w:rPr>
            <w:rStyle w:val="Hyperlien"/>
            <w:noProof/>
            <w:lang w:val="en-CA"/>
          </w:rPr>
          <w:t>2.</w:t>
        </w:r>
        <w:r w:rsidR="007F0086">
          <w:rPr>
            <w:rFonts w:asciiTheme="minorHAnsi" w:eastAsiaTheme="minorEastAsia" w:hAnsiTheme="minorHAnsi" w:cstheme="minorBidi"/>
            <w:b w:val="0"/>
            <w:noProof/>
            <w:kern w:val="2"/>
            <w:szCs w:val="24"/>
            <w:lang w:val="en-CA" w:eastAsia="en-CA"/>
            <w14:ligatures w14:val="standardContextual"/>
          </w:rPr>
          <w:tab/>
        </w:r>
        <w:r w:rsidR="007F0086" w:rsidRPr="00F818D4">
          <w:rPr>
            <w:rStyle w:val="Hyperlien"/>
            <w:noProof/>
            <w:lang w:val="en-CA"/>
          </w:rPr>
          <w:t>Justification of the infringement</w:t>
        </w:r>
        <w:r w:rsidR="007F0086">
          <w:rPr>
            <w:noProof/>
            <w:webHidden/>
          </w:rPr>
          <w:tab/>
        </w:r>
        <w:r w:rsidR="007F0086">
          <w:rPr>
            <w:noProof/>
            <w:webHidden/>
          </w:rPr>
          <w:fldChar w:fldCharType="begin"/>
        </w:r>
        <w:r w:rsidR="007F0086">
          <w:rPr>
            <w:noProof/>
            <w:webHidden/>
          </w:rPr>
          <w:instrText xml:space="preserve"> PAGEREF _Toc201822896 \h </w:instrText>
        </w:r>
        <w:r w:rsidR="007F0086">
          <w:rPr>
            <w:noProof/>
            <w:webHidden/>
          </w:rPr>
        </w:r>
        <w:r w:rsidR="007F0086">
          <w:rPr>
            <w:noProof/>
            <w:webHidden/>
          </w:rPr>
          <w:fldChar w:fldCharType="separate"/>
        </w:r>
        <w:r w:rsidR="007F0086">
          <w:rPr>
            <w:noProof/>
            <w:webHidden/>
          </w:rPr>
          <w:t>63</w:t>
        </w:r>
        <w:r w:rsidR="007F0086">
          <w:rPr>
            <w:noProof/>
            <w:webHidden/>
          </w:rPr>
          <w:fldChar w:fldCharType="end"/>
        </w:r>
      </w:hyperlink>
    </w:p>
    <w:p w14:paraId="45D0FEC3" w14:textId="7D6AC5D9" w:rsidR="007F0086" w:rsidRDefault="00000000">
      <w:pPr>
        <w:pStyle w:val="TM2"/>
        <w:rPr>
          <w:rFonts w:asciiTheme="minorHAnsi" w:eastAsiaTheme="minorEastAsia" w:hAnsiTheme="minorHAnsi" w:cstheme="minorBidi"/>
          <w:b w:val="0"/>
          <w:smallCaps w:val="0"/>
          <w:noProof/>
          <w:kern w:val="2"/>
          <w:szCs w:val="24"/>
          <w:lang w:val="en-CA" w:eastAsia="en-CA"/>
          <w14:ligatures w14:val="standardContextual"/>
        </w:rPr>
      </w:pPr>
      <w:hyperlink w:anchor="_Toc201822897" w:history="1">
        <w:r w:rsidR="007F0086" w:rsidRPr="00F818D4">
          <w:rPr>
            <w:rStyle w:val="Hyperlien"/>
            <w:noProof/>
            <w:lang w:val="en-CA"/>
          </w:rPr>
          <w:t>F.</w:t>
        </w:r>
        <w:r w:rsidR="007F0086">
          <w:rPr>
            <w:rFonts w:asciiTheme="minorHAnsi" w:eastAsiaTheme="minorEastAsia" w:hAnsiTheme="minorHAnsi" w:cstheme="minorBidi"/>
            <w:b w:val="0"/>
            <w:smallCaps w:val="0"/>
            <w:noProof/>
            <w:kern w:val="2"/>
            <w:szCs w:val="24"/>
            <w:lang w:val="en-CA" w:eastAsia="en-CA"/>
            <w14:ligatures w14:val="standardContextual"/>
          </w:rPr>
          <w:tab/>
        </w:r>
        <w:r w:rsidR="007F0086" w:rsidRPr="00F818D4">
          <w:rPr>
            <w:rStyle w:val="Hyperlien"/>
            <w:noProof/>
            <w:lang w:val="en-CA"/>
          </w:rPr>
          <w:t>Did the judge err as to the remedy?</w:t>
        </w:r>
        <w:r w:rsidR="007F0086">
          <w:rPr>
            <w:noProof/>
            <w:webHidden/>
          </w:rPr>
          <w:tab/>
        </w:r>
        <w:r w:rsidR="007F0086">
          <w:rPr>
            <w:noProof/>
            <w:webHidden/>
          </w:rPr>
          <w:fldChar w:fldCharType="begin"/>
        </w:r>
        <w:r w:rsidR="007F0086">
          <w:rPr>
            <w:noProof/>
            <w:webHidden/>
          </w:rPr>
          <w:instrText xml:space="preserve"> PAGEREF _Toc201822897 \h </w:instrText>
        </w:r>
        <w:r w:rsidR="007F0086">
          <w:rPr>
            <w:noProof/>
            <w:webHidden/>
          </w:rPr>
        </w:r>
        <w:r w:rsidR="007F0086">
          <w:rPr>
            <w:noProof/>
            <w:webHidden/>
          </w:rPr>
          <w:fldChar w:fldCharType="separate"/>
        </w:r>
        <w:r w:rsidR="007F0086">
          <w:rPr>
            <w:noProof/>
            <w:webHidden/>
          </w:rPr>
          <w:t>65</w:t>
        </w:r>
        <w:r w:rsidR="007F0086">
          <w:rPr>
            <w:noProof/>
            <w:webHidden/>
          </w:rPr>
          <w:fldChar w:fldCharType="end"/>
        </w:r>
      </w:hyperlink>
    </w:p>
    <w:p w14:paraId="7DCA5F0B" w14:textId="2BBD035A" w:rsidR="007F0086" w:rsidRDefault="00000000">
      <w:pPr>
        <w:pStyle w:val="TM1"/>
        <w:rPr>
          <w:rFonts w:asciiTheme="minorHAnsi" w:eastAsiaTheme="minorEastAsia" w:hAnsiTheme="minorHAnsi" w:cstheme="minorBidi"/>
          <w:b w:val="0"/>
          <w:caps w:val="0"/>
          <w:noProof/>
          <w:kern w:val="2"/>
          <w:szCs w:val="24"/>
          <w:lang w:val="en-CA" w:eastAsia="en-CA"/>
          <w14:ligatures w14:val="standardContextual"/>
        </w:rPr>
      </w:pPr>
      <w:hyperlink w:anchor="_Toc201822898" w:history="1">
        <w:r w:rsidR="007F0086" w:rsidRPr="00F818D4">
          <w:rPr>
            <w:rStyle w:val="Hyperlien"/>
            <w:noProof/>
            <w:lang w:val="en-CA"/>
          </w:rPr>
          <w:t>VI.</w:t>
        </w:r>
        <w:r w:rsidR="007F0086">
          <w:rPr>
            <w:rFonts w:asciiTheme="minorHAnsi" w:eastAsiaTheme="minorEastAsia" w:hAnsiTheme="minorHAnsi" w:cstheme="minorBidi"/>
            <w:b w:val="0"/>
            <w:caps w:val="0"/>
            <w:noProof/>
            <w:kern w:val="2"/>
            <w:szCs w:val="24"/>
            <w:lang w:val="en-CA" w:eastAsia="en-CA"/>
            <w14:ligatures w14:val="standardContextual"/>
          </w:rPr>
          <w:tab/>
        </w:r>
        <w:r w:rsidR="007F0086" w:rsidRPr="00F818D4">
          <w:rPr>
            <w:rStyle w:val="Hyperlien"/>
            <w:noProof/>
            <w:lang w:val="en-CA"/>
          </w:rPr>
          <w:t>CONCLUSION</w:t>
        </w:r>
        <w:r w:rsidR="007F0086">
          <w:rPr>
            <w:noProof/>
            <w:webHidden/>
          </w:rPr>
          <w:tab/>
        </w:r>
        <w:r w:rsidR="007F0086">
          <w:rPr>
            <w:noProof/>
            <w:webHidden/>
          </w:rPr>
          <w:fldChar w:fldCharType="begin"/>
        </w:r>
        <w:r w:rsidR="007F0086">
          <w:rPr>
            <w:noProof/>
            <w:webHidden/>
          </w:rPr>
          <w:instrText xml:space="preserve"> PAGEREF _Toc201822898 \h </w:instrText>
        </w:r>
        <w:r w:rsidR="007F0086">
          <w:rPr>
            <w:noProof/>
            <w:webHidden/>
          </w:rPr>
        </w:r>
        <w:r w:rsidR="007F0086">
          <w:rPr>
            <w:noProof/>
            <w:webHidden/>
          </w:rPr>
          <w:fldChar w:fldCharType="separate"/>
        </w:r>
        <w:r w:rsidR="007F0086">
          <w:rPr>
            <w:noProof/>
            <w:webHidden/>
          </w:rPr>
          <w:t>66</w:t>
        </w:r>
        <w:r w:rsidR="007F0086">
          <w:rPr>
            <w:noProof/>
            <w:webHidden/>
          </w:rPr>
          <w:fldChar w:fldCharType="end"/>
        </w:r>
      </w:hyperlink>
    </w:p>
    <w:p w14:paraId="3AD79451" w14:textId="57AD31E4" w:rsidR="002E46A6" w:rsidRPr="00CF4E9F" w:rsidRDefault="0043013D">
      <w:pPr>
        <w:rPr>
          <w:lang w:val="en-CA"/>
        </w:rPr>
      </w:pPr>
      <w:r w:rsidRPr="00CF4E9F">
        <w:rPr>
          <w:b/>
          <w:caps/>
          <w:lang w:val="en-CA"/>
        </w:rPr>
        <w:fldChar w:fldCharType="end"/>
      </w:r>
    </w:p>
    <w:p w14:paraId="2545F0AA" w14:textId="77777777" w:rsidR="002E46A6" w:rsidRPr="00CF4E9F" w:rsidRDefault="002E46A6">
      <w:pPr>
        <w:rPr>
          <w:lang w:val="en-CA"/>
        </w:rPr>
        <w:sectPr w:rsidR="002E46A6" w:rsidRPr="00CF4E9F" w:rsidSect="00D757DC">
          <w:headerReference w:type="first" r:id="rId11"/>
          <w:footerReference w:type="first" r:id="rId12"/>
          <w:pgSz w:w="12242" w:h="15842" w:code="1"/>
          <w:pgMar w:top="1440" w:right="1008" w:bottom="1440" w:left="1872" w:header="1440" w:footer="792" w:gutter="0"/>
          <w:cols w:space="720"/>
          <w:formProt w:val="0"/>
          <w:titlePg/>
        </w:sectPr>
      </w:pPr>
    </w:p>
    <w:tbl>
      <w:tblPr>
        <w:tblW w:w="9360" w:type="dxa"/>
        <w:tblLayout w:type="fixed"/>
        <w:tblCellMar>
          <w:left w:w="0" w:type="dxa"/>
          <w:right w:w="0" w:type="dxa"/>
        </w:tblCellMar>
        <w:tblLook w:val="0000" w:firstRow="0" w:lastRow="0" w:firstColumn="0" w:lastColumn="0" w:noHBand="0" w:noVBand="0"/>
      </w:tblPr>
      <w:tblGrid>
        <w:gridCol w:w="9360"/>
      </w:tblGrid>
      <w:tr w:rsidR="00632CD2" w:rsidRPr="00CF4E9F" w14:paraId="0CF91869" w14:textId="77777777" w:rsidTr="008D18FC">
        <w:tc>
          <w:tcPr>
            <w:tcW w:w="9360" w:type="dxa"/>
          </w:tcPr>
          <w:p w14:paraId="0E55CF29" w14:textId="77777777" w:rsidR="008F364A" w:rsidRPr="00CF4E9F" w:rsidRDefault="008F364A">
            <w:pPr>
              <w:rPr>
                <w:lang w:val="en-CA"/>
              </w:rPr>
            </w:pPr>
          </w:p>
        </w:tc>
      </w:tr>
      <w:tr w:rsidR="00632CD2" w:rsidRPr="00CF4E9F" w14:paraId="2D809671" w14:textId="77777777" w:rsidTr="008D18FC">
        <w:tc>
          <w:tcPr>
            <w:tcW w:w="9360" w:type="dxa"/>
            <w:tcBorders>
              <w:top w:val="single" w:sz="8" w:space="0" w:color="auto"/>
            </w:tcBorders>
          </w:tcPr>
          <w:p w14:paraId="4B2A36AE" w14:textId="77777777" w:rsidR="008F364A" w:rsidRPr="00CF4E9F" w:rsidRDefault="008F364A">
            <w:pPr>
              <w:rPr>
                <w:lang w:val="en-CA"/>
              </w:rPr>
            </w:pPr>
            <w:bookmarkStart w:id="4" w:name="Arret"/>
          </w:p>
        </w:tc>
      </w:tr>
      <w:tr w:rsidR="00632CD2" w:rsidRPr="00CF4E9F" w14:paraId="6FEC3276" w14:textId="77777777" w:rsidTr="008D18FC">
        <w:tc>
          <w:tcPr>
            <w:tcW w:w="9360" w:type="dxa"/>
          </w:tcPr>
          <w:p w14:paraId="39182FBD" w14:textId="3CD10FF6" w:rsidR="008F364A" w:rsidRPr="00CF4E9F" w:rsidRDefault="00360D2E">
            <w:pPr>
              <w:pStyle w:val="zSoquijlblTypeDocument"/>
              <w:rPr>
                <w:lang w:val="en-CA"/>
              </w:rPr>
            </w:pPr>
            <w:r w:rsidRPr="00CF4E9F">
              <w:rPr>
                <w:lang w:val="en-CA"/>
              </w:rPr>
              <w:t>JUDGMENT</w:t>
            </w:r>
          </w:p>
        </w:tc>
      </w:tr>
      <w:tr w:rsidR="00632CD2" w:rsidRPr="00CF4E9F" w14:paraId="0DD7EF67" w14:textId="77777777" w:rsidTr="008D18FC">
        <w:tc>
          <w:tcPr>
            <w:tcW w:w="9360" w:type="dxa"/>
            <w:tcBorders>
              <w:bottom w:val="single" w:sz="8" w:space="0" w:color="auto"/>
            </w:tcBorders>
          </w:tcPr>
          <w:p w14:paraId="5358B9AC" w14:textId="77777777" w:rsidR="008F364A" w:rsidRPr="00CF4E9F" w:rsidRDefault="008F364A">
            <w:pPr>
              <w:rPr>
                <w:lang w:val="en-CA"/>
              </w:rPr>
            </w:pPr>
          </w:p>
        </w:tc>
      </w:tr>
      <w:tr w:rsidR="00632CD2" w:rsidRPr="00CF4E9F" w14:paraId="3C6E43FE" w14:textId="77777777" w:rsidTr="008D18FC">
        <w:tc>
          <w:tcPr>
            <w:tcW w:w="9360" w:type="dxa"/>
            <w:tcBorders>
              <w:top w:val="single" w:sz="8" w:space="0" w:color="auto"/>
            </w:tcBorders>
          </w:tcPr>
          <w:p w14:paraId="3007F5D2" w14:textId="77777777" w:rsidR="008F364A" w:rsidRPr="00CF4E9F" w:rsidRDefault="008F364A">
            <w:pPr>
              <w:rPr>
                <w:lang w:val="en-CA"/>
              </w:rPr>
            </w:pPr>
          </w:p>
        </w:tc>
      </w:tr>
    </w:tbl>
    <w:p w14:paraId="2ADF9409" w14:textId="13C3331A" w:rsidR="005A1C52" w:rsidRPr="00CF4E9F" w:rsidRDefault="00360D2E" w:rsidP="009E7E68">
      <w:pPr>
        <w:pStyle w:val="Paragraphe"/>
        <w:spacing w:before="240" w:line="280" w:lineRule="exact"/>
        <w:rPr>
          <w:lang w:val="en-CA"/>
        </w:rPr>
      </w:pPr>
      <w:bookmarkStart w:id="5" w:name="_Hlk179547277"/>
      <w:r w:rsidRPr="00CF4E9F">
        <w:rPr>
          <w:lang w:val="en-CA"/>
        </w:rPr>
        <w:t>This appeal concerns the constitutional</w:t>
      </w:r>
      <w:r w:rsidR="0036225E" w:rsidRPr="00CF4E9F">
        <w:rPr>
          <w:lang w:val="en-CA"/>
        </w:rPr>
        <w:t xml:space="preserve"> valid</w:t>
      </w:r>
      <w:r w:rsidRPr="00CF4E9F">
        <w:rPr>
          <w:lang w:val="en-CA"/>
        </w:rPr>
        <w:t xml:space="preserve">ity of the power of police officers to </w:t>
      </w:r>
      <w:r w:rsidR="0036225E" w:rsidRPr="00CF4E9F">
        <w:rPr>
          <w:lang w:val="en-CA"/>
        </w:rPr>
        <w:t xml:space="preserve">stop a road vehicle </w:t>
      </w:r>
      <w:r w:rsidRPr="00CF4E9F">
        <w:rPr>
          <w:lang w:val="en-CA"/>
        </w:rPr>
        <w:t>randomly</w:t>
      </w:r>
      <w:r w:rsidR="00870ED7">
        <w:rPr>
          <w:lang w:val="en-CA"/>
        </w:rPr>
        <w:t>,</w:t>
      </w:r>
      <w:r w:rsidRPr="00CF4E9F">
        <w:rPr>
          <w:lang w:val="en-CA"/>
        </w:rPr>
        <w:t xml:space="preserve"> outside of an organized spot check program and without any grounds to believe or suspect that an offence has been committed, a power confirmed by the Supreme Court in </w:t>
      </w:r>
      <w:r w:rsidRPr="00CF4E9F">
        <w:rPr>
          <w:i/>
          <w:lang w:val="en-CA"/>
        </w:rPr>
        <w:t>R. v. Ladouceur</w:t>
      </w:r>
      <w:r w:rsidRPr="00CF4E9F">
        <w:rPr>
          <w:szCs w:val="24"/>
          <w:vertAlign w:val="superscript"/>
          <w:lang w:val="en-CA"/>
        </w:rPr>
        <w:footnoteReference w:id="1"/>
      </w:r>
      <w:r w:rsidRPr="00CF4E9F">
        <w:rPr>
          <w:lang w:val="en-CA"/>
        </w:rPr>
        <w:t xml:space="preserve"> and codified in </w:t>
      </w:r>
      <w:r w:rsidR="00162E51">
        <w:rPr>
          <w:lang w:val="en-CA"/>
        </w:rPr>
        <w:t>s. </w:t>
      </w:r>
      <w:r w:rsidRPr="00CF4E9F">
        <w:rPr>
          <w:lang w:val="en-CA"/>
        </w:rPr>
        <w:t xml:space="preserve">636 of the </w:t>
      </w:r>
      <w:r w:rsidRPr="00CF4E9F">
        <w:rPr>
          <w:i/>
          <w:lang w:val="en-CA"/>
        </w:rPr>
        <w:t>Highway Safety Code</w:t>
      </w:r>
      <w:r w:rsidR="0036225E" w:rsidRPr="00CF4E9F">
        <w:rPr>
          <w:i/>
          <w:lang w:val="en-CA"/>
        </w:rPr>
        <w:t xml:space="preserve"> </w:t>
      </w:r>
      <w:r w:rsidR="0036225E" w:rsidRPr="00CF4E9F">
        <w:rPr>
          <w:iCs/>
          <w:lang w:val="en-CA"/>
        </w:rPr>
        <w:t>(</w:t>
      </w:r>
      <w:r w:rsidR="00F10D7D">
        <w:rPr>
          <w:iCs/>
          <w:lang w:val="en-CA"/>
        </w:rPr>
        <w:t>“</w:t>
      </w:r>
      <w:r w:rsidR="0036225E" w:rsidRPr="00CF4E9F">
        <w:rPr>
          <w:i/>
          <w:lang w:val="en-CA"/>
        </w:rPr>
        <w:t>HSC</w:t>
      </w:r>
      <w:r w:rsidR="00F10D7D">
        <w:rPr>
          <w:iCs/>
          <w:lang w:val="en-CA"/>
        </w:rPr>
        <w:t>”</w:t>
      </w:r>
      <w:r w:rsidR="0036225E" w:rsidRPr="00CF4E9F">
        <w:rPr>
          <w:iCs/>
          <w:lang w:val="en-CA"/>
        </w:rPr>
        <w:t>)</w:t>
      </w:r>
      <w:r w:rsidRPr="00CF4E9F">
        <w:rPr>
          <w:lang w:val="en-CA"/>
        </w:rPr>
        <w:t>.</w:t>
      </w:r>
      <w:r w:rsidRPr="00CF4E9F">
        <w:rPr>
          <w:szCs w:val="24"/>
          <w:vertAlign w:val="superscript"/>
          <w:lang w:val="en-CA"/>
        </w:rPr>
        <w:footnoteReference w:id="2"/>
      </w:r>
      <w:r w:rsidR="00786076" w:rsidRPr="00CF4E9F">
        <w:rPr>
          <w:lang w:val="en-CA"/>
        </w:rPr>
        <w:t xml:space="preserve"> </w:t>
      </w:r>
    </w:p>
    <w:bookmarkEnd w:id="5"/>
    <w:p w14:paraId="5E3EF156" w14:textId="7D57FA28" w:rsidR="005A1C52" w:rsidRPr="00CF4E9F" w:rsidRDefault="00360D2E" w:rsidP="00FB1C7A">
      <w:pPr>
        <w:pStyle w:val="Paragraphe"/>
        <w:spacing w:line="280" w:lineRule="exact"/>
        <w:rPr>
          <w:lang w:val="en-CA"/>
        </w:rPr>
      </w:pPr>
      <w:r w:rsidRPr="00CF4E9F">
        <w:rPr>
          <w:lang w:val="en-CA"/>
        </w:rPr>
        <w:t xml:space="preserve">In a </w:t>
      </w:r>
      <w:r w:rsidR="00F10D7D">
        <w:rPr>
          <w:lang w:val="en-CA"/>
        </w:rPr>
        <w:t xml:space="preserve">detailed </w:t>
      </w:r>
      <w:r w:rsidR="009A06C5" w:rsidRPr="00CF4E9F">
        <w:rPr>
          <w:lang w:val="en-CA"/>
        </w:rPr>
        <w:t xml:space="preserve">and </w:t>
      </w:r>
      <w:r w:rsidRPr="00CF4E9F">
        <w:rPr>
          <w:lang w:val="en-CA"/>
        </w:rPr>
        <w:t>carefully crafted judgment,</w:t>
      </w:r>
      <w:r w:rsidRPr="00CF4E9F">
        <w:rPr>
          <w:szCs w:val="24"/>
          <w:vertAlign w:val="superscript"/>
          <w:lang w:val="en-CA"/>
        </w:rPr>
        <w:footnoteReference w:id="3"/>
      </w:r>
      <w:r w:rsidRPr="00CF4E9F">
        <w:rPr>
          <w:szCs w:val="24"/>
          <w:lang w:val="en-CA"/>
        </w:rPr>
        <w:t xml:space="preserve"> the Honourable Michel Yergeau of the Superior Court </w:t>
      </w:r>
      <w:r w:rsidR="005679BB" w:rsidRPr="00CF4E9F">
        <w:rPr>
          <w:szCs w:val="24"/>
          <w:lang w:val="en-CA"/>
        </w:rPr>
        <w:t xml:space="preserve">concluded </w:t>
      </w:r>
      <w:r w:rsidRPr="00CF4E9F">
        <w:rPr>
          <w:szCs w:val="24"/>
          <w:lang w:val="en-CA"/>
        </w:rPr>
        <w:t xml:space="preserve">that the common law rule recognized in </w:t>
      </w:r>
      <w:r w:rsidRPr="00CF4E9F">
        <w:rPr>
          <w:i/>
          <w:iCs/>
          <w:szCs w:val="24"/>
          <w:lang w:val="en-CA"/>
        </w:rPr>
        <w:t>Ladouceur</w:t>
      </w:r>
      <w:r w:rsidRPr="00CF4E9F">
        <w:rPr>
          <w:szCs w:val="24"/>
          <w:lang w:val="en-CA"/>
        </w:rPr>
        <w:t xml:space="preserve"> and </w:t>
      </w:r>
      <w:r w:rsidR="00162E51">
        <w:rPr>
          <w:szCs w:val="24"/>
          <w:lang w:val="en-CA"/>
        </w:rPr>
        <w:t>s. </w:t>
      </w:r>
      <w:r w:rsidRPr="00CF4E9F">
        <w:rPr>
          <w:lang w:val="en-CA"/>
        </w:rPr>
        <w:t>636</w:t>
      </w:r>
      <w:r w:rsidR="0030762F" w:rsidRPr="0030762F">
        <w:rPr>
          <w:i/>
          <w:lang w:val="en-CA"/>
        </w:rPr>
        <w:t> HSC</w:t>
      </w:r>
      <w:r w:rsidRPr="00CF4E9F">
        <w:rPr>
          <w:rStyle w:val="Appelnotedebasdep"/>
          <w:szCs w:val="24"/>
          <w:lang w:val="en-CA"/>
        </w:rPr>
        <w:footnoteReference w:id="4"/>
      </w:r>
      <w:r w:rsidRPr="00CF4E9F">
        <w:rPr>
          <w:lang w:val="en-CA"/>
        </w:rPr>
        <w:t xml:space="preserve"> infringe </w:t>
      </w:r>
      <w:r w:rsidR="00A933FD">
        <w:rPr>
          <w:lang w:val="en-CA"/>
        </w:rPr>
        <w:t>ss. </w:t>
      </w:r>
      <w:r w:rsidRPr="00CF4E9F">
        <w:rPr>
          <w:lang w:val="en-CA"/>
        </w:rPr>
        <w:t>7</w:t>
      </w:r>
      <w:r w:rsidR="00F10D7D">
        <w:rPr>
          <w:lang w:val="en-CA"/>
        </w:rPr>
        <w:t>,</w:t>
      </w:r>
      <w:r w:rsidRPr="00CF4E9F">
        <w:rPr>
          <w:lang w:val="en-CA"/>
        </w:rPr>
        <w:t xml:space="preserve"> 9 </w:t>
      </w:r>
      <w:r w:rsidR="00870ED7">
        <w:rPr>
          <w:lang w:val="en-CA"/>
        </w:rPr>
        <w:t>and</w:t>
      </w:r>
      <w:r w:rsidRPr="00CF4E9F">
        <w:rPr>
          <w:lang w:val="en-CA"/>
        </w:rPr>
        <w:t xml:space="preserve"> </w:t>
      </w:r>
      <w:r w:rsidRPr="00CF4E9F">
        <w:rPr>
          <w:rFonts w:cs="Arial"/>
          <w:lang w:val="en-CA"/>
        </w:rPr>
        <w:t xml:space="preserve">15(1) of the </w:t>
      </w:r>
      <w:r w:rsidRPr="00CF4E9F">
        <w:rPr>
          <w:rFonts w:cs="Arial"/>
          <w:i/>
          <w:lang w:val="en-CA"/>
        </w:rPr>
        <w:t>Canadian Charter of Rights and Freedoms</w:t>
      </w:r>
      <w:r w:rsidRPr="00CF4E9F">
        <w:rPr>
          <w:rFonts w:cs="Arial"/>
          <w:lang w:val="en-CA"/>
        </w:rPr>
        <w:t>,</w:t>
      </w:r>
      <w:r w:rsidRPr="00CF4E9F">
        <w:rPr>
          <w:szCs w:val="24"/>
          <w:vertAlign w:val="superscript"/>
          <w:lang w:val="en-CA"/>
        </w:rPr>
        <w:footnoteReference w:id="5"/>
      </w:r>
      <w:r w:rsidRPr="00CF4E9F">
        <w:rPr>
          <w:szCs w:val="24"/>
          <w:lang w:val="en-CA"/>
        </w:rPr>
        <w:t xml:space="preserve"> and that these infringements </w:t>
      </w:r>
      <w:r w:rsidR="005679BB" w:rsidRPr="00CF4E9F">
        <w:rPr>
          <w:szCs w:val="24"/>
          <w:lang w:val="en-CA"/>
        </w:rPr>
        <w:t>a</w:t>
      </w:r>
      <w:r w:rsidRPr="00CF4E9F">
        <w:rPr>
          <w:szCs w:val="24"/>
          <w:lang w:val="en-CA"/>
        </w:rPr>
        <w:t xml:space="preserve">re not justified under </w:t>
      </w:r>
      <w:r w:rsidR="00162E51">
        <w:rPr>
          <w:szCs w:val="24"/>
          <w:lang w:val="en-CA"/>
        </w:rPr>
        <w:t>s. </w:t>
      </w:r>
      <w:r w:rsidRPr="00CF4E9F">
        <w:rPr>
          <w:szCs w:val="24"/>
          <w:lang w:val="en-CA"/>
        </w:rPr>
        <w:t xml:space="preserve">1 of the </w:t>
      </w:r>
      <w:r w:rsidRPr="00CF4E9F">
        <w:rPr>
          <w:i/>
          <w:szCs w:val="24"/>
          <w:lang w:val="en-CA"/>
        </w:rPr>
        <w:t>Charter</w:t>
      </w:r>
      <w:r w:rsidRPr="00CF4E9F">
        <w:rPr>
          <w:szCs w:val="24"/>
          <w:lang w:val="en-CA"/>
        </w:rPr>
        <w:t>.</w:t>
      </w:r>
      <w:r w:rsidR="0043013D" w:rsidRPr="00CF4E9F">
        <w:rPr>
          <w:rFonts w:cs="Arial"/>
          <w:lang w:val="en-CA"/>
        </w:rPr>
        <w:t xml:space="preserve"> </w:t>
      </w:r>
      <w:r w:rsidRPr="00CF4E9F">
        <w:rPr>
          <w:rFonts w:cs="Arial"/>
          <w:lang w:val="en-CA"/>
        </w:rPr>
        <w:t xml:space="preserve">He declared the </w:t>
      </w:r>
      <w:bookmarkStart w:id="6" w:name="_Hlk197941210"/>
      <w:r w:rsidR="005679BB" w:rsidRPr="00CF4E9F">
        <w:rPr>
          <w:rFonts w:cs="Arial"/>
          <w:lang w:val="en-CA"/>
        </w:rPr>
        <w:t xml:space="preserve">challenged </w:t>
      </w:r>
      <w:bookmarkEnd w:id="6"/>
      <w:r w:rsidR="00275940">
        <w:rPr>
          <w:rFonts w:cs="Arial"/>
          <w:lang w:val="en-CA"/>
        </w:rPr>
        <w:t>provision</w:t>
      </w:r>
      <w:r w:rsidR="00275940" w:rsidRPr="00CF4E9F">
        <w:rPr>
          <w:rFonts w:cs="Arial"/>
          <w:lang w:val="en-CA"/>
        </w:rPr>
        <w:t xml:space="preserve"> </w:t>
      </w:r>
      <w:r w:rsidR="005679BB" w:rsidRPr="00CF4E9F">
        <w:rPr>
          <w:rFonts w:cs="Arial"/>
          <w:lang w:val="en-CA"/>
        </w:rPr>
        <w:t>inoperative</w:t>
      </w:r>
      <w:r w:rsidRPr="00CF4E9F">
        <w:rPr>
          <w:rFonts w:cs="Arial"/>
          <w:lang w:val="en-CA"/>
        </w:rPr>
        <w:t xml:space="preserve"> and suspended the effect</w:t>
      </w:r>
      <w:r w:rsidR="009C4F08" w:rsidRPr="00CF4E9F">
        <w:rPr>
          <w:rFonts w:cs="Arial"/>
          <w:lang w:val="en-CA"/>
        </w:rPr>
        <w:t>ive date</w:t>
      </w:r>
      <w:r w:rsidRPr="00CF4E9F">
        <w:rPr>
          <w:rFonts w:cs="Arial"/>
          <w:lang w:val="en-CA"/>
        </w:rPr>
        <w:t xml:space="preserve"> of the declaration for six months, except with respect to pending cases in which the same law </w:t>
      </w:r>
      <w:r w:rsidR="006857E9">
        <w:rPr>
          <w:rFonts w:cs="Arial"/>
          <w:lang w:val="en-CA"/>
        </w:rPr>
        <w:t>is</w:t>
      </w:r>
      <w:r w:rsidR="006857E9" w:rsidRPr="00CF4E9F">
        <w:rPr>
          <w:rFonts w:cs="Arial"/>
          <w:lang w:val="en-CA"/>
        </w:rPr>
        <w:t xml:space="preserve"> </w:t>
      </w:r>
      <w:r w:rsidRPr="00CF4E9F">
        <w:rPr>
          <w:rFonts w:cs="Arial"/>
          <w:lang w:val="en-CA"/>
        </w:rPr>
        <w:t>being challenged.</w:t>
      </w:r>
    </w:p>
    <w:p w14:paraId="2FBD68CE" w14:textId="5160037E" w:rsidR="005A1C52" w:rsidRPr="00CF4E9F" w:rsidRDefault="00360D2E" w:rsidP="00FB1C7A">
      <w:pPr>
        <w:pStyle w:val="Paragraphe"/>
        <w:spacing w:line="280" w:lineRule="exact"/>
        <w:rPr>
          <w:lang w:val="en-CA"/>
        </w:rPr>
      </w:pPr>
      <w:r w:rsidRPr="00CF4E9F">
        <w:rPr>
          <w:lang w:val="en-CA"/>
        </w:rPr>
        <w:t>The Attorney General of Quebec (“AGQ”) has appealed each of these conclusions.</w:t>
      </w:r>
      <w:r w:rsidR="0043013D" w:rsidRPr="00CF4E9F">
        <w:rPr>
          <w:lang w:val="en-CA"/>
        </w:rPr>
        <w:t xml:space="preserve"> </w:t>
      </w:r>
      <w:r w:rsidRPr="00CF4E9F">
        <w:rPr>
          <w:lang w:val="en-CA"/>
        </w:rPr>
        <w:t xml:space="preserve">The AGQ alleges that the trial judge erred in law </w:t>
      </w:r>
      <w:r w:rsidR="00296722">
        <w:rPr>
          <w:lang w:val="en-CA"/>
        </w:rPr>
        <w:t>in</w:t>
      </w:r>
      <w:r w:rsidRPr="00CF4E9F">
        <w:rPr>
          <w:lang w:val="en-CA"/>
        </w:rPr>
        <w:t xml:space="preserve"> concluding that racial profiling is an effect of the </w:t>
      </w:r>
      <w:r w:rsidR="00476F24" w:rsidRPr="00CF4E9F">
        <w:rPr>
          <w:lang w:val="en-CA"/>
        </w:rPr>
        <w:t>challeng</w:t>
      </w:r>
      <w:r w:rsidRPr="00CF4E9F">
        <w:rPr>
          <w:lang w:val="en-CA"/>
        </w:rPr>
        <w:t xml:space="preserve">ed </w:t>
      </w:r>
      <w:r w:rsidR="00275940">
        <w:rPr>
          <w:lang w:val="en-CA"/>
        </w:rPr>
        <w:t>provision</w:t>
      </w:r>
      <w:r w:rsidRPr="00CF4E9F">
        <w:rPr>
          <w:lang w:val="en-CA"/>
        </w:rPr>
        <w:t xml:space="preserve">, </w:t>
      </w:r>
      <w:r w:rsidR="00296722">
        <w:rPr>
          <w:lang w:val="en-CA"/>
        </w:rPr>
        <w:t>in</w:t>
      </w:r>
      <w:r w:rsidRPr="00CF4E9F">
        <w:rPr>
          <w:lang w:val="en-CA"/>
        </w:rPr>
        <w:t xml:space="preserve"> </w:t>
      </w:r>
      <w:r w:rsidR="006710E7">
        <w:rPr>
          <w:lang w:val="en-CA"/>
        </w:rPr>
        <w:t xml:space="preserve">setting aside </w:t>
      </w:r>
      <w:r w:rsidRPr="00CF4E9F">
        <w:rPr>
          <w:i/>
          <w:lang w:val="en-CA"/>
        </w:rPr>
        <w:t>Ladouceur</w:t>
      </w:r>
      <w:r w:rsidRPr="00CF4E9F">
        <w:rPr>
          <w:lang w:val="en-CA"/>
        </w:rPr>
        <w:t xml:space="preserve">, </w:t>
      </w:r>
      <w:r w:rsidR="00296722">
        <w:rPr>
          <w:lang w:val="en-CA"/>
        </w:rPr>
        <w:t xml:space="preserve">in </w:t>
      </w:r>
      <w:r w:rsidRPr="00CF4E9F">
        <w:rPr>
          <w:lang w:val="en-CA"/>
        </w:rPr>
        <w:t xml:space="preserve">determining that the </w:t>
      </w:r>
      <w:r w:rsidR="00476F24" w:rsidRPr="00CF4E9F">
        <w:rPr>
          <w:lang w:val="en-CA"/>
        </w:rPr>
        <w:t>challenged</w:t>
      </w:r>
      <w:r w:rsidRPr="00CF4E9F">
        <w:rPr>
          <w:lang w:val="en-CA"/>
        </w:rPr>
        <w:t xml:space="preserve"> </w:t>
      </w:r>
      <w:r w:rsidR="00275940">
        <w:rPr>
          <w:lang w:val="en-CA"/>
        </w:rPr>
        <w:t>provision</w:t>
      </w:r>
      <w:r w:rsidR="00275940" w:rsidRPr="00CF4E9F">
        <w:rPr>
          <w:lang w:val="en-CA"/>
        </w:rPr>
        <w:t xml:space="preserve"> </w:t>
      </w:r>
      <w:r w:rsidRPr="00CF4E9F">
        <w:rPr>
          <w:lang w:val="en-CA"/>
        </w:rPr>
        <w:t xml:space="preserve">infringes </w:t>
      </w:r>
      <w:r w:rsidR="00A933FD">
        <w:rPr>
          <w:lang w:val="en-CA"/>
        </w:rPr>
        <w:t>ss. </w:t>
      </w:r>
      <w:r w:rsidRPr="00CF4E9F">
        <w:rPr>
          <w:lang w:val="en-CA"/>
        </w:rPr>
        <w:t>7</w:t>
      </w:r>
      <w:r w:rsidR="00F10D7D">
        <w:rPr>
          <w:lang w:val="en-CA"/>
        </w:rPr>
        <w:t>,</w:t>
      </w:r>
      <w:r w:rsidRPr="00CF4E9F">
        <w:rPr>
          <w:lang w:val="en-CA"/>
        </w:rPr>
        <w:t xml:space="preserve"> 9 and 15(1) of the </w:t>
      </w:r>
      <w:r w:rsidRPr="00CF4E9F">
        <w:rPr>
          <w:i/>
          <w:lang w:val="en-CA"/>
        </w:rPr>
        <w:t>Charter</w:t>
      </w:r>
      <w:r w:rsidRPr="00CF4E9F">
        <w:rPr>
          <w:lang w:val="en-CA"/>
        </w:rPr>
        <w:t xml:space="preserve"> and cannot be saved under </w:t>
      </w:r>
      <w:r w:rsidR="00162E51">
        <w:rPr>
          <w:lang w:val="en-CA"/>
        </w:rPr>
        <w:t>s. </w:t>
      </w:r>
      <w:r w:rsidRPr="00CF4E9F">
        <w:rPr>
          <w:lang w:val="en-CA"/>
        </w:rPr>
        <w:t xml:space="preserve">1, and last, </w:t>
      </w:r>
      <w:r w:rsidR="00296722">
        <w:rPr>
          <w:lang w:val="en-CA"/>
        </w:rPr>
        <w:t>in</w:t>
      </w:r>
      <w:r w:rsidRPr="00CF4E9F">
        <w:rPr>
          <w:lang w:val="en-CA"/>
        </w:rPr>
        <w:t xml:space="preserve"> declaring the </w:t>
      </w:r>
      <w:r w:rsidR="00BF7B48">
        <w:rPr>
          <w:lang w:val="en-CA"/>
        </w:rPr>
        <w:t xml:space="preserve">challenged </w:t>
      </w:r>
      <w:r w:rsidR="00275940">
        <w:rPr>
          <w:lang w:val="en-CA"/>
        </w:rPr>
        <w:t>provision</w:t>
      </w:r>
      <w:r w:rsidR="00275940" w:rsidRPr="00CF4E9F">
        <w:rPr>
          <w:lang w:val="en-CA"/>
        </w:rPr>
        <w:t xml:space="preserve"> </w:t>
      </w:r>
      <w:r w:rsidR="00BC53EE" w:rsidRPr="00CF4E9F">
        <w:rPr>
          <w:lang w:val="en-CA"/>
        </w:rPr>
        <w:t>inoperative</w:t>
      </w:r>
      <w:r w:rsidRPr="00CF4E9F">
        <w:rPr>
          <w:lang w:val="en-CA"/>
        </w:rPr>
        <w:t xml:space="preserve"> </w:t>
      </w:r>
      <w:r w:rsidR="00F10D7D">
        <w:rPr>
          <w:lang w:val="en-CA"/>
        </w:rPr>
        <w:t xml:space="preserve">under </w:t>
      </w:r>
      <w:r w:rsidR="00162E51">
        <w:rPr>
          <w:lang w:val="en-CA"/>
        </w:rPr>
        <w:t>s. </w:t>
      </w:r>
      <w:r w:rsidRPr="00CF4E9F">
        <w:rPr>
          <w:lang w:val="en-CA"/>
        </w:rPr>
        <w:t xml:space="preserve">52(1) of the </w:t>
      </w:r>
      <w:r w:rsidRPr="00CF4E9F">
        <w:rPr>
          <w:i/>
          <w:lang w:val="en-CA"/>
        </w:rPr>
        <w:t>Constitution Act, 1982</w:t>
      </w:r>
      <w:r w:rsidRPr="00CF4E9F">
        <w:rPr>
          <w:lang w:val="en-CA"/>
        </w:rPr>
        <w:t>.</w:t>
      </w:r>
      <w:r w:rsidRPr="00CF4E9F">
        <w:rPr>
          <w:szCs w:val="24"/>
          <w:vertAlign w:val="superscript"/>
          <w:lang w:val="en-CA"/>
        </w:rPr>
        <w:footnoteReference w:id="6"/>
      </w:r>
      <w:r w:rsidR="0043013D" w:rsidRPr="00CF4E9F">
        <w:rPr>
          <w:lang w:val="en-CA"/>
        </w:rPr>
        <w:t xml:space="preserve"> </w:t>
      </w:r>
      <w:r w:rsidRPr="00CF4E9F">
        <w:rPr>
          <w:lang w:val="en-CA"/>
        </w:rPr>
        <w:t xml:space="preserve">In the alternative, the AGQ argues that the judge should have suspended the </w:t>
      </w:r>
      <w:r w:rsidR="009C4F08" w:rsidRPr="00CF4E9F">
        <w:rPr>
          <w:lang w:val="en-CA"/>
        </w:rPr>
        <w:t xml:space="preserve">effective date of the </w:t>
      </w:r>
      <w:r w:rsidRPr="00CF4E9F">
        <w:rPr>
          <w:lang w:val="en-CA"/>
        </w:rPr>
        <w:t>declaration of inoperability for 12 months.</w:t>
      </w:r>
      <w:r w:rsidR="0043013D" w:rsidRPr="00CF4E9F">
        <w:rPr>
          <w:lang w:val="en-CA"/>
        </w:rPr>
        <w:t xml:space="preserve"> </w:t>
      </w:r>
    </w:p>
    <w:p w14:paraId="106A6448" w14:textId="39B042FD" w:rsidR="005A1C52" w:rsidRPr="00CF4E9F" w:rsidRDefault="00360D2E" w:rsidP="00FB1C7A">
      <w:pPr>
        <w:pStyle w:val="Paragraphe"/>
        <w:spacing w:line="280" w:lineRule="exact"/>
        <w:rPr>
          <w:lang w:val="en-CA"/>
        </w:rPr>
      </w:pPr>
      <w:r w:rsidRPr="00CF4E9F">
        <w:rPr>
          <w:lang w:val="en-CA"/>
        </w:rPr>
        <w:lastRenderedPageBreak/>
        <w:t>The respondents, Joseph-Christopher Luamba and the Canadian Civil Liberties Association (“CCLA”)</w:t>
      </w:r>
      <w:r w:rsidR="009A06C5" w:rsidRPr="00CF4E9F">
        <w:rPr>
          <w:lang w:val="en-CA"/>
        </w:rPr>
        <w:t>,</w:t>
      </w:r>
      <w:r w:rsidRPr="00CF4E9F">
        <w:rPr>
          <w:vertAlign w:val="superscript"/>
          <w:lang w:val="en-CA"/>
        </w:rPr>
        <w:footnoteReference w:id="7"/>
      </w:r>
      <w:r w:rsidRPr="00CF4E9F">
        <w:rPr>
          <w:lang w:val="en-CA"/>
        </w:rPr>
        <w:t xml:space="preserve"> defend </w:t>
      </w:r>
      <w:r w:rsidR="0057401E">
        <w:rPr>
          <w:lang w:val="en-CA"/>
        </w:rPr>
        <w:t xml:space="preserve">the </w:t>
      </w:r>
      <w:r w:rsidRPr="00CF4E9F">
        <w:rPr>
          <w:lang w:val="en-CA"/>
        </w:rPr>
        <w:t>conclusions</w:t>
      </w:r>
      <w:r w:rsidR="0048190C">
        <w:rPr>
          <w:lang w:val="en-CA"/>
        </w:rPr>
        <w:t xml:space="preserve"> of the trial judgment</w:t>
      </w:r>
      <w:r w:rsidRPr="00CF4E9F">
        <w:rPr>
          <w:lang w:val="en-CA"/>
        </w:rPr>
        <w:t xml:space="preserve"> and ask the Court to dismiss the appeal.</w:t>
      </w:r>
      <w:r w:rsidR="0043013D" w:rsidRPr="00CF4E9F">
        <w:rPr>
          <w:lang w:val="en-CA"/>
        </w:rPr>
        <w:t xml:space="preserve"> </w:t>
      </w:r>
      <w:r w:rsidRPr="00CF4E9F">
        <w:rPr>
          <w:lang w:val="en-CA"/>
        </w:rPr>
        <w:t xml:space="preserve">Their arguments are supported by </w:t>
      </w:r>
      <w:r w:rsidR="0041141A">
        <w:rPr>
          <w:lang w:val="en-CA"/>
        </w:rPr>
        <w:t>an impleaded party</w:t>
      </w:r>
      <w:r w:rsidRPr="00CF4E9F">
        <w:rPr>
          <w:lang w:val="en-CA"/>
        </w:rPr>
        <w:t>, the Canadian Association of Black Lawyers (“CABL”).</w:t>
      </w:r>
      <w:r w:rsidR="0043013D" w:rsidRPr="00CF4E9F">
        <w:rPr>
          <w:lang w:val="en-CA"/>
        </w:rPr>
        <w:t xml:space="preserve"> </w:t>
      </w:r>
      <w:r w:rsidRPr="00CF4E9F">
        <w:rPr>
          <w:lang w:val="en-CA"/>
        </w:rPr>
        <w:t xml:space="preserve">The debate on appeal </w:t>
      </w:r>
      <w:r w:rsidR="009A06C5" w:rsidRPr="00CF4E9F">
        <w:rPr>
          <w:lang w:val="en-CA"/>
        </w:rPr>
        <w:t>wa</w:t>
      </w:r>
      <w:r w:rsidRPr="00CF4E9F">
        <w:rPr>
          <w:lang w:val="en-CA"/>
        </w:rPr>
        <w:t>s further enriched by the participation of three interveners, the British Columbia Civil Liberties Association (“BCCLA”), the Clinique juridique de Saint-Michel (“CJSM”) and the Commission des droits de la personne et des droits de la jeunesse (“CDPDJ”).</w:t>
      </w:r>
      <w:r w:rsidRPr="00CF4E9F">
        <w:rPr>
          <w:vertAlign w:val="superscript"/>
          <w:lang w:val="en-CA"/>
        </w:rPr>
        <w:footnoteReference w:id="8"/>
      </w:r>
      <w:r w:rsidR="0043013D" w:rsidRPr="00CF4E9F">
        <w:rPr>
          <w:lang w:val="en-CA"/>
        </w:rPr>
        <w:t xml:space="preserve"> </w:t>
      </w:r>
    </w:p>
    <w:p w14:paraId="5C95CF88" w14:textId="754C4BBC" w:rsidR="005A1C52" w:rsidRPr="00CF4E9F" w:rsidRDefault="00360D2E" w:rsidP="00FB1C7A">
      <w:pPr>
        <w:pStyle w:val="Paragraphe"/>
        <w:spacing w:line="280" w:lineRule="exact"/>
        <w:rPr>
          <w:lang w:val="en-CA"/>
        </w:rPr>
      </w:pPr>
      <w:r w:rsidRPr="00CF4E9F">
        <w:rPr>
          <w:lang w:val="en-CA"/>
        </w:rPr>
        <w:t xml:space="preserve">The Attorney General of Canada (“AGC”), who supported the AGQ at trial, </w:t>
      </w:r>
      <w:r w:rsidR="009A06C5" w:rsidRPr="00CF4E9F">
        <w:rPr>
          <w:lang w:val="en-CA"/>
        </w:rPr>
        <w:t>did</w:t>
      </w:r>
      <w:r w:rsidRPr="00CF4E9F">
        <w:rPr>
          <w:lang w:val="en-CA"/>
        </w:rPr>
        <w:t xml:space="preserve"> not </w:t>
      </w:r>
      <w:r w:rsidR="009A06C5" w:rsidRPr="00CF4E9F">
        <w:rPr>
          <w:lang w:val="en-CA"/>
        </w:rPr>
        <w:t>participate in</w:t>
      </w:r>
      <w:r w:rsidRPr="00CF4E9F">
        <w:rPr>
          <w:lang w:val="en-CA"/>
        </w:rPr>
        <w:t xml:space="preserve"> the appeal.</w:t>
      </w:r>
    </w:p>
    <w:p w14:paraId="73DBD3B8" w14:textId="74FBF27F" w:rsidR="00EB1873" w:rsidRPr="00CF4E9F" w:rsidRDefault="00360D2E" w:rsidP="00FB1C7A">
      <w:pPr>
        <w:pStyle w:val="Paragraphe"/>
        <w:spacing w:line="280" w:lineRule="exact"/>
        <w:rPr>
          <w:lang w:val="en-CA"/>
        </w:rPr>
      </w:pPr>
      <w:r w:rsidRPr="00CF4E9F">
        <w:rPr>
          <w:lang w:val="en-CA"/>
        </w:rPr>
        <w:t xml:space="preserve">For the reasons below, the Court concludes that the trial judgment should be </w:t>
      </w:r>
      <w:r w:rsidR="001606AE">
        <w:rPr>
          <w:lang w:val="en-CA"/>
        </w:rPr>
        <w:t>affirmed</w:t>
      </w:r>
      <w:r w:rsidRPr="00CF4E9F">
        <w:rPr>
          <w:lang w:val="en-CA"/>
        </w:rPr>
        <w:t xml:space="preserve">, except with respect to the declaration that the common law rule is </w:t>
      </w:r>
      <w:r w:rsidR="009A06C5" w:rsidRPr="00CF4E9F">
        <w:rPr>
          <w:lang w:val="en-CA"/>
        </w:rPr>
        <w:t>inoperative and</w:t>
      </w:r>
      <w:r w:rsidRPr="00CF4E9F">
        <w:rPr>
          <w:lang w:val="en-CA"/>
        </w:rPr>
        <w:t xml:space="preserve"> without it being necessary to </w:t>
      </w:r>
      <w:r w:rsidR="009A06C5" w:rsidRPr="00CF4E9F">
        <w:rPr>
          <w:lang w:val="en-CA"/>
        </w:rPr>
        <w:t xml:space="preserve">determine whether </w:t>
      </w:r>
      <w:r w:rsidRPr="00CF4E9F">
        <w:rPr>
          <w:lang w:val="en-CA"/>
        </w:rPr>
        <w:t xml:space="preserve">the right guaranteed </w:t>
      </w:r>
      <w:r w:rsidR="009A06C5" w:rsidRPr="00CF4E9F">
        <w:rPr>
          <w:lang w:val="en-CA"/>
        </w:rPr>
        <w:t xml:space="preserve">by </w:t>
      </w:r>
      <w:r w:rsidR="00162E51">
        <w:rPr>
          <w:lang w:val="en-CA"/>
        </w:rPr>
        <w:t>s. </w:t>
      </w:r>
      <w:r w:rsidR="006D446B" w:rsidRPr="00CF4E9F">
        <w:rPr>
          <w:lang w:val="en-CA"/>
        </w:rPr>
        <w:t xml:space="preserve">7 of the </w:t>
      </w:r>
      <w:r w:rsidR="006D446B" w:rsidRPr="00CF4E9F">
        <w:rPr>
          <w:i/>
          <w:lang w:val="en-CA"/>
        </w:rPr>
        <w:t>Charter</w:t>
      </w:r>
      <w:r w:rsidR="009A06C5" w:rsidRPr="00CF4E9F">
        <w:rPr>
          <w:iCs/>
          <w:lang w:val="en-CA"/>
        </w:rPr>
        <w:t xml:space="preserve"> has been infringed</w:t>
      </w:r>
      <w:r w:rsidR="006D446B" w:rsidRPr="00CF4E9F">
        <w:rPr>
          <w:lang w:val="en-CA"/>
        </w:rPr>
        <w:t>.</w:t>
      </w:r>
      <w:r w:rsidR="0043013D" w:rsidRPr="00CF4E9F">
        <w:rPr>
          <w:lang w:val="en-CA"/>
        </w:rPr>
        <w:t xml:space="preserve"> </w:t>
      </w:r>
    </w:p>
    <w:p w14:paraId="7A478924" w14:textId="7D67E2D6" w:rsidR="005A1C52" w:rsidRPr="00CF4E9F" w:rsidRDefault="0043013D" w:rsidP="000B3736">
      <w:pPr>
        <w:pStyle w:val="Titre1"/>
        <w:rPr>
          <w:lang w:val="en-CA"/>
        </w:rPr>
      </w:pPr>
      <w:bookmarkStart w:id="7" w:name="_Toc177390711"/>
      <w:bookmarkStart w:id="8" w:name="_Toc201822870"/>
      <w:r w:rsidRPr="00CF4E9F">
        <w:rPr>
          <w:lang w:val="en-CA"/>
        </w:rPr>
        <w:t>I.</w:t>
      </w:r>
      <w:r w:rsidRPr="00CF4E9F">
        <w:rPr>
          <w:lang w:val="en-CA"/>
        </w:rPr>
        <w:tab/>
      </w:r>
      <w:bookmarkEnd w:id="7"/>
      <w:r w:rsidR="00360D2E" w:rsidRPr="00CF4E9F">
        <w:rPr>
          <w:lang w:val="en-CA"/>
        </w:rPr>
        <w:t>BACKGROUND</w:t>
      </w:r>
      <w:bookmarkEnd w:id="8"/>
    </w:p>
    <w:p w14:paraId="18930764" w14:textId="66BF917A" w:rsidR="00EB1873" w:rsidRPr="00CF4E9F" w:rsidRDefault="00360D2E" w:rsidP="00FB1C7A">
      <w:pPr>
        <w:pStyle w:val="Paragraphe"/>
        <w:spacing w:line="280" w:lineRule="exact"/>
        <w:rPr>
          <w:lang w:val="en-CA"/>
        </w:rPr>
      </w:pPr>
      <w:r w:rsidRPr="00CF4E9F">
        <w:rPr>
          <w:lang w:val="en-CA"/>
        </w:rPr>
        <w:t>The respondent, Mr. Luamb</w:t>
      </w:r>
      <w:r w:rsidR="00BB4298" w:rsidRPr="00CF4E9F">
        <w:rPr>
          <w:lang w:val="en-CA"/>
        </w:rPr>
        <w:t>a</w:t>
      </w:r>
      <w:r w:rsidRPr="00CF4E9F">
        <w:rPr>
          <w:lang w:val="en-CA"/>
        </w:rPr>
        <w:t>, is a young Haitian student who lives in Montreal.</w:t>
      </w:r>
      <w:r w:rsidR="0043013D" w:rsidRPr="00CF4E9F">
        <w:rPr>
          <w:lang w:val="en-CA"/>
        </w:rPr>
        <w:t xml:space="preserve"> </w:t>
      </w:r>
      <w:r w:rsidRPr="00CF4E9F">
        <w:rPr>
          <w:lang w:val="en-CA"/>
        </w:rPr>
        <w:t>He has had a driver’s licence since 2019 and</w:t>
      </w:r>
      <w:r w:rsidR="002053A1">
        <w:rPr>
          <w:lang w:val="en-CA"/>
        </w:rPr>
        <w:t>,</w:t>
      </w:r>
      <w:r w:rsidRPr="00CF4E9F">
        <w:rPr>
          <w:lang w:val="en-CA"/>
        </w:rPr>
        <w:t xml:space="preserve"> while driving</w:t>
      </w:r>
      <w:r w:rsidR="002053A1">
        <w:rPr>
          <w:lang w:val="en-CA"/>
        </w:rPr>
        <w:t>,</w:t>
      </w:r>
      <w:r w:rsidR="002053A1" w:rsidRPr="002053A1">
        <w:rPr>
          <w:lang w:val="en-CA"/>
        </w:rPr>
        <w:t xml:space="preserve"> was stopped</w:t>
      </w:r>
      <w:r w:rsidRPr="00CF4E9F">
        <w:rPr>
          <w:lang w:val="en-CA"/>
        </w:rPr>
        <w:t xml:space="preserve"> three times in a little over a year.</w:t>
      </w:r>
      <w:r w:rsidR="0043013D" w:rsidRPr="00CF4E9F">
        <w:rPr>
          <w:lang w:val="en-CA"/>
        </w:rPr>
        <w:t xml:space="preserve"> </w:t>
      </w:r>
      <w:r w:rsidRPr="00CF4E9F">
        <w:rPr>
          <w:lang w:val="en-CA"/>
        </w:rPr>
        <w:t>Each time, he was asked to identify himself and was released without being given a ticket.</w:t>
      </w:r>
    </w:p>
    <w:p w14:paraId="4DDC24B9" w14:textId="51FF7EBC" w:rsidR="00EB1873" w:rsidRPr="00CF4E9F" w:rsidRDefault="00043873" w:rsidP="00FB1C7A">
      <w:pPr>
        <w:pStyle w:val="Paragraphe"/>
        <w:spacing w:line="280" w:lineRule="exact"/>
        <w:rPr>
          <w:lang w:val="en-CA"/>
        </w:rPr>
      </w:pPr>
      <w:r w:rsidRPr="00CF4E9F">
        <w:rPr>
          <w:lang w:val="en-CA"/>
        </w:rPr>
        <w:t>Mr. Luamba b</w:t>
      </w:r>
      <w:r w:rsidR="00BB4298" w:rsidRPr="00CF4E9F">
        <w:rPr>
          <w:lang w:val="en-CA"/>
        </w:rPr>
        <w:t>eliev</w:t>
      </w:r>
      <w:r w:rsidRPr="00CF4E9F">
        <w:rPr>
          <w:lang w:val="en-CA"/>
        </w:rPr>
        <w:t>ed</w:t>
      </w:r>
      <w:r w:rsidR="00BB4298" w:rsidRPr="00CF4E9F">
        <w:rPr>
          <w:lang w:val="en-CA"/>
        </w:rPr>
        <w:t xml:space="preserve"> </w:t>
      </w:r>
      <w:r w:rsidR="00360D2E" w:rsidRPr="00CF4E9F">
        <w:rPr>
          <w:lang w:val="en-CA"/>
        </w:rPr>
        <w:t xml:space="preserve">that he </w:t>
      </w:r>
      <w:r w:rsidRPr="00CF4E9F">
        <w:rPr>
          <w:lang w:val="en-CA"/>
        </w:rPr>
        <w:t>w</w:t>
      </w:r>
      <w:r w:rsidR="00BB4298" w:rsidRPr="00CF4E9F">
        <w:rPr>
          <w:lang w:val="en-CA"/>
        </w:rPr>
        <w:t xml:space="preserve">as </w:t>
      </w:r>
      <w:r w:rsidR="00360D2E" w:rsidRPr="00CF4E9F">
        <w:rPr>
          <w:lang w:val="en-CA"/>
        </w:rPr>
        <w:t xml:space="preserve">racially profiled during these stops </w:t>
      </w:r>
      <w:r w:rsidRPr="00CF4E9F">
        <w:rPr>
          <w:lang w:val="en-CA"/>
        </w:rPr>
        <w:t xml:space="preserve">and </w:t>
      </w:r>
      <w:r w:rsidR="00BB4298" w:rsidRPr="00CF4E9F">
        <w:rPr>
          <w:lang w:val="en-CA"/>
        </w:rPr>
        <w:t xml:space="preserve">launched proceedings </w:t>
      </w:r>
      <w:r w:rsidR="00360D2E" w:rsidRPr="00CF4E9F">
        <w:rPr>
          <w:lang w:val="en-CA"/>
        </w:rPr>
        <w:t xml:space="preserve">in November 2020 challenging the constitutionality of the common law rule granting the police </w:t>
      </w:r>
      <w:r w:rsidR="00360D2E" w:rsidRPr="00CF4E9F">
        <w:rPr>
          <w:rFonts w:cs="Arial"/>
          <w:lang w:val="en-CA"/>
        </w:rPr>
        <w:t>[</w:t>
      </w:r>
      <w:r w:rsidR="00360D2E" w:rsidRPr="00CF4E9F">
        <w:rPr>
          <w:rFonts w:cs="Arial"/>
          <w:smallCaps/>
          <w:lang w:val="en-CA"/>
        </w:rPr>
        <w:t>translation</w:t>
      </w:r>
      <w:r w:rsidR="00360D2E" w:rsidRPr="00CF4E9F">
        <w:rPr>
          <w:rFonts w:cs="Arial"/>
          <w:lang w:val="en-CA"/>
        </w:rPr>
        <w:t>]</w:t>
      </w:r>
      <w:r w:rsidR="00F8437E">
        <w:rPr>
          <w:lang w:val="en-CA"/>
        </w:rPr>
        <w:t> </w:t>
      </w:r>
      <w:r w:rsidR="00360D2E" w:rsidRPr="00CF4E9F">
        <w:rPr>
          <w:lang w:val="en-CA"/>
        </w:rPr>
        <w:t>“</w:t>
      </w:r>
      <w:r w:rsidRPr="00CF4E9F">
        <w:rPr>
          <w:lang w:val="en-CA"/>
        </w:rPr>
        <w:t xml:space="preserve">the power to stop a road vehicle and its driver without </w:t>
      </w:r>
      <w:r w:rsidR="00704FEA">
        <w:rPr>
          <w:lang w:val="en-CA"/>
        </w:rPr>
        <w:t>reasonable</w:t>
      </w:r>
      <w:r w:rsidR="00704FEA" w:rsidRPr="00CF4E9F">
        <w:rPr>
          <w:lang w:val="en-CA"/>
        </w:rPr>
        <w:t xml:space="preserve"> </w:t>
      </w:r>
      <w:r w:rsidR="007163D5">
        <w:rPr>
          <w:lang w:val="en-CA"/>
        </w:rPr>
        <w:t>grounds</w:t>
      </w:r>
      <w:r w:rsidR="00F74F92">
        <w:rPr>
          <w:lang w:val="en-CA"/>
        </w:rPr>
        <w:t xml:space="preserve"> </w:t>
      </w:r>
      <w:r w:rsidRPr="00CF4E9F">
        <w:rPr>
          <w:lang w:val="en-CA"/>
        </w:rPr>
        <w:t>to believe or suspect that an offence was committed</w:t>
      </w:r>
      <w:r w:rsidR="00360D2E" w:rsidRPr="00CF4E9F">
        <w:rPr>
          <w:lang w:val="en-CA"/>
        </w:rPr>
        <w:t xml:space="preserve">” </w:t>
      </w:r>
      <w:bookmarkStart w:id="9" w:name="_Hlk199834271"/>
      <w:r w:rsidR="002053A1">
        <w:rPr>
          <w:lang w:val="en-CA"/>
        </w:rPr>
        <w:t xml:space="preserve">as well as the constitutionality </w:t>
      </w:r>
      <w:bookmarkEnd w:id="9"/>
      <w:r w:rsidR="00360D2E" w:rsidRPr="00CF4E9F">
        <w:rPr>
          <w:lang w:val="en-CA"/>
        </w:rPr>
        <w:t xml:space="preserve">of </w:t>
      </w:r>
      <w:r w:rsidR="00162E51">
        <w:rPr>
          <w:lang w:val="en-CA"/>
        </w:rPr>
        <w:t>s. </w:t>
      </w:r>
      <w:r w:rsidR="00360D2E" w:rsidRPr="00CF4E9F">
        <w:rPr>
          <w:lang w:val="en-CA"/>
        </w:rPr>
        <w:t>636</w:t>
      </w:r>
      <w:r w:rsidR="0030762F" w:rsidRPr="0030762F">
        <w:rPr>
          <w:i/>
          <w:lang w:val="en-CA"/>
        </w:rPr>
        <w:t> HSC</w:t>
      </w:r>
      <w:r w:rsidR="00360D2E" w:rsidRPr="00CF4E9F">
        <w:rPr>
          <w:lang w:val="en-CA"/>
        </w:rPr>
        <w:t xml:space="preserve"> insofar as it basically reproduces the common law rule.</w:t>
      </w:r>
      <w:r w:rsidR="00360D2E" w:rsidRPr="00CF4E9F">
        <w:rPr>
          <w:vertAlign w:val="superscript"/>
          <w:lang w:val="en-CA"/>
        </w:rPr>
        <w:footnoteReference w:id="9"/>
      </w:r>
      <w:r w:rsidR="004B5A3C" w:rsidRPr="00CF4E9F">
        <w:rPr>
          <w:lang w:val="en-CA"/>
        </w:rPr>
        <w:t xml:space="preserve"> </w:t>
      </w:r>
    </w:p>
    <w:p w14:paraId="25652A22" w14:textId="141ED294" w:rsidR="005A1C52" w:rsidRPr="00CF4E9F" w:rsidRDefault="00360D2E" w:rsidP="00FB1C7A">
      <w:pPr>
        <w:pStyle w:val="Paragraphe"/>
        <w:spacing w:line="280" w:lineRule="exact"/>
        <w:rPr>
          <w:lang w:val="en-CA"/>
        </w:rPr>
      </w:pPr>
      <w:r w:rsidRPr="00CF4E9F">
        <w:rPr>
          <w:lang w:val="en-CA"/>
        </w:rPr>
        <w:t xml:space="preserve">The dispute does not </w:t>
      </w:r>
      <w:r w:rsidR="00562685">
        <w:rPr>
          <w:lang w:val="en-CA"/>
        </w:rPr>
        <w:t>concern</w:t>
      </w:r>
      <w:r w:rsidR="00562685" w:rsidRPr="00CF4E9F">
        <w:rPr>
          <w:lang w:val="en-CA"/>
        </w:rPr>
        <w:t xml:space="preserve"> </w:t>
      </w:r>
      <w:r w:rsidR="00043873" w:rsidRPr="00CF4E9F">
        <w:rPr>
          <w:lang w:val="en-CA"/>
        </w:rPr>
        <w:t>traffic</w:t>
      </w:r>
      <w:r w:rsidRPr="00CF4E9F">
        <w:rPr>
          <w:lang w:val="en-CA"/>
        </w:rPr>
        <w:t xml:space="preserve"> stops made </w:t>
      </w:r>
      <w:r w:rsidR="0032045F" w:rsidRPr="00CF4E9F">
        <w:rPr>
          <w:lang w:val="en-CA"/>
        </w:rPr>
        <w:t>as part of</w:t>
      </w:r>
      <w:r w:rsidRPr="00CF4E9F">
        <w:rPr>
          <w:lang w:val="en-CA"/>
        </w:rPr>
        <w:t xml:space="preserve"> an organized program (</w:t>
      </w:r>
      <w:r w:rsidR="00A37417">
        <w:rPr>
          <w:lang w:val="en-CA"/>
        </w:rPr>
        <w:t>e.g.</w:t>
      </w:r>
      <w:r w:rsidRPr="00CF4E9F">
        <w:rPr>
          <w:lang w:val="en-CA"/>
        </w:rPr>
        <w:t>, a spot check such as a roadblock).</w:t>
      </w:r>
      <w:r w:rsidR="0043013D" w:rsidRPr="00CF4E9F">
        <w:rPr>
          <w:lang w:val="en-CA"/>
        </w:rPr>
        <w:t xml:space="preserve"> </w:t>
      </w:r>
      <w:r w:rsidRPr="00CF4E9F">
        <w:rPr>
          <w:lang w:val="en-CA"/>
        </w:rPr>
        <w:t xml:space="preserve">Nor does it concern stops by peace officers other than </w:t>
      </w:r>
      <w:r w:rsidR="00043873" w:rsidRPr="00CF4E9F">
        <w:rPr>
          <w:lang w:val="en-CA"/>
        </w:rPr>
        <w:t xml:space="preserve">the </w:t>
      </w:r>
      <w:r w:rsidRPr="00CF4E9F">
        <w:rPr>
          <w:lang w:val="en-CA"/>
        </w:rPr>
        <w:t>police.</w:t>
      </w:r>
      <w:r w:rsidRPr="00CF4E9F">
        <w:rPr>
          <w:vertAlign w:val="superscript"/>
          <w:lang w:val="en-CA"/>
        </w:rPr>
        <w:footnoteReference w:id="10"/>
      </w:r>
      <w:r w:rsidR="0043013D" w:rsidRPr="00CF4E9F">
        <w:rPr>
          <w:lang w:val="en-CA"/>
        </w:rPr>
        <w:t xml:space="preserve"> </w:t>
      </w:r>
      <w:r w:rsidRPr="00CF4E9F">
        <w:rPr>
          <w:lang w:val="en-CA"/>
        </w:rPr>
        <w:t xml:space="preserve">In short, it concerns only a very </w:t>
      </w:r>
      <w:r w:rsidR="006835F7">
        <w:rPr>
          <w:lang w:val="en-CA"/>
        </w:rPr>
        <w:t>specific</w:t>
      </w:r>
      <w:r w:rsidR="006835F7" w:rsidRPr="00CF4E9F">
        <w:rPr>
          <w:lang w:val="en-CA"/>
        </w:rPr>
        <w:t xml:space="preserve"> </w:t>
      </w:r>
      <w:r w:rsidRPr="00CF4E9F">
        <w:rPr>
          <w:lang w:val="en-CA"/>
        </w:rPr>
        <w:t xml:space="preserve">practice, that is, </w:t>
      </w:r>
      <w:r w:rsidR="0032045F" w:rsidRPr="00CF4E9F">
        <w:rPr>
          <w:lang w:val="en-CA"/>
        </w:rPr>
        <w:lastRenderedPageBreak/>
        <w:t xml:space="preserve">completely </w:t>
      </w:r>
      <w:r w:rsidRPr="00CF4E9F">
        <w:rPr>
          <w:lang w:val="en-CA"/>
        </w:rPr>
        <w:t>discretionary stops of driver</w:t>
      </w:r>
      <w:r w:rsidR="00201429">
        <w:rPr>
          <w:lang w:val="en-CA"/>
        </w:rPr>
        <w:t>s of road vehicles</w:t>
      </w:r>
      <w:r w:rsidRPr="00CF4E9F">
        <w:rPr>
          <w:lang w:val="en-CA"/>
        </w:rPr>
        <w:t xml:space="preserve"> by </w:t>
      </w:r>
      <w:r w:rsidR="0032045F" w:rsidRPr="00CF4E9F">
        <w:rPr>
          <w:lang w:val="en-CA"/>
        </w:rPr>
        <w:t>the</w:t>
      </w:r>
      <w:r w:rsidRPr="00CF4E9F">
        <w:rPr>
          <w:lang w:val="en-CA"/>
        </w:rPr>
        <w:t xml:space="preserve"> police. The trial judge described what is involved as follows:</w:t>
      </w:r>
    </w:p>
    <w:p w14:paraId="55CF8254" w14:textId="6D4C6BCF" w:rsidR="00360D2E" w:rsidRPr="00CF4E9F" w:rsidRDefault="00360D2E" w:rsidP="00360D2E">
      <w:pPr>
        <w:pStyle w:val="Citationenretrait"/>
        <w:keepNext/>
        <w:rPr>
          <w:lang w:val="en-CA"/>
        </w:rPr>
      </w:pPr>
      <w:r w:rsidRPr="00CF4E9F">
        <w:rPr>
          <w:rFonts w:cs="Arial"/>
          <w:lang w:val="en-CA"/>
        </w:rPr>
        <w:t>[</w:t>
      </w:r>
      <w:r w:rsidRPr="00CF4E9F">
        <w:rPr>
          <w:rFonts w:cs="Arial"/>
          <w:smallCaps/>
          <w:lang w:val="en-CA"/>
        </w:rPr>
        <w:t>translation</w:t>
      </w:r>
      <w:r w:rsidRPr="00CF4E9F">
        <w:rPr>
          <w:rFonts w:cs="Arial"/>
          <w:lang w:val="en-CA"/>
        </w:rPr>
        <w:t>]</w:t>
      </w:r>
    </w:p>
    <w:p w14:paraId="350E1E2A" w14:textId="7331BA64" w:rsidR="005A1C52" w:rsidRPr="00CF4E9F" w:rsidRDefault="0043013D" w:rsidP="00360D2E">
      <w:pPr>
        <w:pStyle w:val="Citationenretrait"/>
        <w:keepNext/>
        <w:rPr>
          <w:lang w:val="en-CA"/>
        </w:rPr>
      </w:pPr>
      <w:r w:rsidRPr="00CF4E9F">
        <w:rPr>
          <w:lang w:val="en-CA"/>
        </w:rPr>
        <w:t>[22]</w:t>
      </w:r>
      <w:r w:rsidRPr="00CF4E9F">
        <w:rPr>
          <w:lang w:val="en-CA"/>
        </w:rPr>
        <w:tab/>
      </w:r>
      <w:r w:rsidR="00D60D9B" w:rsidRPr="00D60D9B">
        <w:rPr>
          <w:lang w:val="en-CA"/>
        </w:rPr>
        <w:t>The judgment therefore concerns a single specific police practice: police stops of motor vehicle drivers on public roads, where such stops are carried out in a completely discretionary manner, without factual grounds or even the mere suspicion of an offence, outside an organized program and in a way that is not governed or circumscribed by a legal rule, for the purpose of conducting checks in the interest of highway safety. […]</w:t>
      </w:r>
      <w:r w:rsidR="00187257">
        <w:rPr>
          <w:lang w:val="en-CA"/>
        </w:rPr>
        <w:t xml:space="preserve"> </w:t>
      </w:r>
    </w:p>
    <w:p w14:paraId="79A7F37E" w14:textId="04D91F6E" w:rsidR="005A1C52" w:rsidRPr="00CF4E9F" w:rsidRDefault="00360D2E" w:rsidP="00496F7C">
      <w:pPr>
        <w:pStyle w:val="Citationenretrait"/>
        <w:keepNext/>
        <w:jc w:val="right"/>
        <w:rPr>
          <w:szCs w:val="22"/>
          <w:lang w:val="en-CA"/>
        </w:rPr>
      </w:pPr>
      <w:r w:rsidRPr="00CF4E9F">
        <w:rPr>
          <w:szCs w:val="22"/>
          <w:lang w:val="en-CA"/>
        </w:rPr>
        <w:t>[</w:t>
      </w:r>
      <w:r w:rsidR="001C60AD">
        <w:rPr>
          <w:szCs w:val="22"/>
          <w:lang w:val="en-CA"/>
        </w:rPr>
        <w:t xml:space="preserve">Boldface </w:t>
      </w:r>
      <w:r w:rsidRPr="00CF4E9F">
        <w:rPr>
          <w:szCs w:val="22"/>
          <w:lang w:val="en-CA"/>
        </w:rPr>
        <w:t>and references omitted]</w:t>
      </w:r>
    </w:p>
    <w:p w14:paraId="3B35187E" w14:textId="0DC19DC5" w:rsidR="005A1C52" w:rsidRPr="00CF4E9F" w:rsidRDefault="008373E5" w:rsidP="00FB1C7A">
      <w:pPr>
        <w:pStyle w:val="Paragraphe"/>
        <w:spacing w:line="280" w:lineRule="exact"/>
        <w:rPr>
          <w:lang w:val="en-CA"/>
        </w:rPr>
      </w:pPr>
      <w:r w:rsidRPr="00CF4E9F">
        <w:rPr>
          <w:lang w:val="en-CA"/>
        </w:rPr>
        <w:t xml:space="preserve">The judge </w:t>
      </w:r>
      <w:r w:rsidR="00BB6BAA">
        <w:rPr>
          <w:lang w:val="en-CA"/>
        </w:rPr>
        <w:t xml:space="preserve">coined the phrase </w:t>
      </w:r>
      <w:r w:rsidRPr="00CF4E9F">
        <w:rPr>
          <w:rFonts w:cs="Arial"/>
          <w:lang w:val="en-CA"/>
        </w:rPr>
        <w:t>[</w:t>
      </w:r>
      <w:r w:rsidRPr="00CF4E9F">
        <w:rPr>
          <w:rFonts w:cs="Arial"/>
          <w:smallCaps/>
          <w:lang w:val="en-CA"/>
        </w:rPr>
        <w:t>translation</w:t>
      </w:r>
      <w:r w:rsidRPr="00CF4E9F">
        <w:rPr>
          <w:rFonts w:cs="Arial"/>
          <w:lang w:val="en-CA"/>
        </w:rPr>
        <w:t>]</w:t>
      </w:r>
      <w:r w:rsidR="00F8437E">
        <w:rPr>
          <w:rFonts w:cs="Arial"/>
          <w:lang w:val="en-CA"/>
        </w:rPr>
        <w:t> </w:t>
      </w:r>
      <w:r w:rsidRPr="00CF4E9F">
        <w:rPr>
          <w:lang w:val="en-CA"/>
        </w:rPr>
        <w:t>“</w:t>
      </w:r>
      <w:bookmarkStart w:id="10" w:name="_Hlk197940724"/>
      <w:r w:rsidR="00943F71" w:rsidRPr="00504D25">
        <w:rPr>
          <w:lang w:val="en-CA"/>
        </w:rPr>
        <w:t xml:space="preserve">traffic </w:t>
      </w:r>
      <w:r w:rsidRPr="00504D25">
        <w:rPr>
          <w:lang w:val="en-CA"/>
        </w:rPr>
        <w:t>stop without factual grounds</w:t>
      </w:r>
      <w:bookmarkEnd w:id="10"/>
      <w:r w:rsidR="008D6A29">
        <w:rPr>
          <w:lang w:val="en-CA"/>
        </w:rPr>
        <w:t>”</w:t>
      </w:r>
      <w:r w:rsidR="00943F71">
        <w:rPr>
          <w:lang w:val="en-CA"/>
        </w:rPr>
        <w:t xml:space="preserve"> to refer to the issue here</w:t>
      </w:r>
      <w:r w:rsidRPr="00CF4E9F">
        <w:rPr>
          <w:lang w:val="en-CA"/>
        </w:rPr>
        <w:t>.</w:t>
      </w:r>
      <w:r w:rsidRPr="00CF4E9F">
        <w:rPr>
          <w:vertAlign w:val="superscript"/>
          <w:lang w:val="en-CA"/>
        </w:rPr>
        <w:footnoteReference w:id="11"/>
      </w:r>
      <w:r w:rsidR="0043013D" w:rsidRPr="00CF4E9F">
        <w:rPr>
          <w:lang w:val="en-CA"/>
        </w:rPr>
        <w:t xml:space="preserve"> </w:t>
      </w:r>
      <w:r w:rsidRPr="00CF4E9F">
        <w:rPr>
          <w:lang w:val="en-CA"/>
        </w:rPr>
        <w:t>In this judgment, the Court will instead use the expression</w:t>
      </w:r>
      <w:r w:rsidR="00F8437E">
        <w:rPr>
          <w:rFonts w:cs="Arial"/>
          <w:lang w:val="en-CA"/>
        </w:rPr>
        <w:t> </w:t>
      </w:r>
      <w:r w:rsidRPr="00CF4E9F">
        <w:rPr>
          <w:lang w:val="en-CA"/>
        </w:rPr>
        <w:t>“</w:t>
      </w:r>
      <w:bookmarkStart w:id="11" w:name="_Hlk197940737"/>
      <w:r w:rsidRPr="00504D25">
        <w:rPr>
          <w:lang w:val="en-CA"/>
        </w:rPr>
        <w:t>traffic stop with no required grounds</w:t>
      </w:r>
      <w:bookmarkEnd w:id="11"/>
      <w:r w:rsidRPr="00CF4E9F">
        <w:rPr>
          <w:lang w:val="en-CA"/>
        </w:rPr>
        <w:t>”, which is more neutral and focusse</w:t>
      </w:r>
      <w:r w:rsidR="008B5886" w:rsidRPr="00CF4E9F">
        <w:rPr>
          <w:lang w:val="en-CA"/>
        </w:rPr>
        <w:t>d</w:t>
      </w:r>
      <w:r w:rsidRPr="00CF4E9F">
        <w:rPr>
          <w:lang w:val="en-CA"/>
        </w:rPr>
        <w:t xml:space="preserve"> on the conditions (or lack </w:t>
      </w:r>
      <w:r w:rsidR="008B5886" w:rsidRPr="00CF4E9F">
        <w:rPr>
          <w:lang w:val="en-CA"/>
        </w:rPr>
        <w:t>of conditions</w:t>
      </w:r>
      <w:r w:rsidRPr="00CF4E9F">
        <w:rPr>
          <w:lang w:val="en-CA"/>
        </w:rPr>
        <w:t xml:space="preserve">) for exercising the power to stop </w:t>
      </w:r>
      <w:r w:rsidR="00943F71">
        <w:rPr>
          <w:lang w:val="en-CA"/>
        </w:rPr>
        <w:t xml:space="preserve">that is </w:t>
      </w:r>
      <w:r w:rsidRPr="00CF4E9F">
        <w:rPr>
          <w:lang w:val="en-CA"/>
        </w:rPr>
        <w:t>at issue here.</w:t>
      </w:r>
    </w:p>
    <w:p w14:paraId="7EF96D04" w14:textId="6B72E724" w:rsidR="005A1C52" w:rsidRPr="00CF4E9F" w:rsidRDefault="008373E5" w:rsidP="00FB1C7A">
      <w:pPr>
        <w:pStyle w:val="Paragraphe"/>
        <w:spacing w:line="280" w:lineRule="exact"/>
        <w:rPr>
          <w:lang w:val="en-CA"/>
        </w:rPr>
      </w:pPr>
      <w:r w:rsidRPr="00CF4E9F">
        <w:rPr>
          <w:lang w:val="en-CA"/>
        </w:rPr>
        <w:t xml:space="preserve">As stated above, the judge </w:t>
      </w:r>
      <w:r w:rsidR="00BC53EE" w:rsidRPr="00CF4E9F">
        <w:rPr>
          <w:lang w:val="en-CA"/>
        </w:rPr>
        <w:t>concluded</w:t>
      </w:r>
      <w:r w:rsidRPr="00CF4E9F">
        <w:rPr>
          <w:lang w:val="en-CA"/>
        </w:rPr>
        <w:t xml:space="preserve"> that the </w:t>
      </w:r>
      <w:r w:rsidR="00BC53EE" w:rsidRPr="00CF4E9F">
        <w:rPr>
          <w:lang w:val="en-CA"/>
        </w:rPr>
        <w:t xml:space="preserve">challenged </w:t>
      </w:r>
      <w:r w:rsidR="00275940">
        <w:rPr>
          <w:lang w:val="en-CA"/>
        </w:rPr>
        <w:t>provision</w:t>
      </w:r>
      <w:r w:rsidR="00275940" w:rsidRPr="00CF4E9F">
        <w:rPr>
          <w:lang w:val="en-CA"/>
        </w:rPr>
        <w:t xml:space="preserve"> </w:t>
      </w:r>
      <w:r w:rsidRPr="00CF4E9F">
        <w:rPr>
          <w:lang w:val="en-CA"/>
        </w:rPr>
        <w:t xml:space="preserve">is inconsistent with the right </w:t>
      </w:r>
      <w:r w:rsidR="00DE2019" w:rsidRPr="00CF4E9F">
        <w:rPr>
          <w:lang w:val="en-CA"/>
        </w:rPr>
        <w:t xml:space="preserve">not to be arbitrarily detained </w:t>
      </w:r>
      <w:r w:rsidRPr="00CF4E9F">
        <w:rPr>
          <w:lang w:val="en-CA"/>
        </w:rPr>
        <w:t>(</w:t>
      </w:r>
      <w:r w:rsidRPr="00CF4E9F">
        <w:rPr>
          <w:i/>
          <w:lang w:val="en-CA"/>
        </w:rPr>
        <w:t>Charter</w:t>
      </w:r>
      <w:r w:rsidRPr="00CF4E9F">
        <w:rPr>
          <w:lang w:val="en-CA"/>
        </w:rPr>
        <w:t xml:space="preserve">, </w:t>
      </w:r>
      <w:r w:rsidR="00162E51">
        <w:rPr>
          <w:lang w:val="en-CA"/>
        </w:rPr>
        <w:t>s. </w:t>
      </w:r>
      <w:r w:rsidRPr="00CF4E9F">
        <w:rPr>
          <w:lang w:val="en-CA"/>
        </w:rPr>
        <w:t>9), the right to liberty and security of the person (</w:t>
      </w:r>
      <w:r w:rsidRPr="00CF4E9F">
        <w:rPr>
          <w:i/>
          <w:lang w:val="en-CA"/>
        </w:rPr>
        <w:t>Charter</w:t>
      </w:r>
      <w:r w:rsidRPr="00CF4E9F">
        <w:rPr>
          <w:lang w:val="en-CA"/>
        </w:rPr>
        <w:t xml:space="preserve">, </w:t>
      </w:r>
      <w:r w:rsidR="00162E51">
        <w:rPr>
          <w:lang w:val="en-CA"/>
        </w:rPr>
        <w:t>s. </w:t>
      </w:r>
      <w:r w:rsidRPr="00CF4E9F">
        <w:rPr>
          <w:lang w:val="en-CA"/>
        </w:rPr>
        <w:t>7) and the right to equality (</w:t>
      </w:r>
      <w:r w:rsidRPr="00CF4E9F">
        <w:rPr>
          <w:i/>
          <w:lang w:val="en-CA"/>
        </w:rPr>
        <w:t>Charter</w:t>
      </w:r>
      <w:r w:rsidRPr="00CF4E9F">
        <w:rPr>
          <w:lang w:val="en-CA"/>
        </w:rPr>
        <w:t xml:space="preserve">, </w:t>
      </w:r>
      <w:r w:rsidR="00162E51">
        <w:rPr>
          <w:lang w:val="en-CA"/>
        </w:rPr>
        <w:t>s. </w:t>
      </w:r>
      <w:r w:rsidRPr="00CF4E9F">
        <w:rPr>
          <w:lang w:val="en-CA"/>
        </w:rPr>
        <w:t>15(1))</w:t>
      </w:r>
      <w:r w:rsidR="00200164">
        <w:rPr>
          <w:lang w:val="en-CA"/>
        </w:rPr>
        <w:t>,</w:t>
      </w:r>
      <w:r w:rsidRPr="00CF4E9F">
        <w:rPr>
          <w:lang w:val="en-CA"/>
        </w:rPr>
        <w:t xml:space="preserve"> and </w:t>
      </w:r>
      <w:r w:rsidR="00200164">
        <w:rPr>
          <w:lang w:val="en-CA"/>
        </w:rPr>
        <w:t xml:space="preserve">that it </w:t>
      </w:r>
      <w:r w:rsidRPr="00CF4E9F">
        <w:rPr>
          <w:lang w:val="en-CA"/>
        </w:rPr>
        <w:t xml:space="preserve">cannot be saved by the application of </w:t>
      </w:r>
      <w:r w:rsidR="00162E51">
        <w:rPr>
          <w:lang w:val="en-CA"/>
        </w:rPr>
        <w:t>s. </w:t>
      </w:r>
      <w:r w:rsidRPr="00CF4E9F">
        <w:rPr>
          <w:lang w:val="en-CA"/>
        </w:rPr>
        <w:t>1.</w:t>
      </w:r>
      <w:r w:rsidR="00CB48BA" w:rsidRPr="00CF4E9F">
        <w:rPr>
          <w:lang w:val="en-CA"/>
        </w:rPr>
        <w:t xml:space="preserve"> </w:t>
      </w:r>
      <w:r w:rsidRPr="00CF4E9F">
        <w:rPr>
          <w:lang w:val="en-CA"/>
        </w:rPr>
        <w:t xml:space="preserve">He therefore agreed with the respondents’ position that the common law rule established in </w:t>
      </w:r>
      <w:r w:rsidRPr="00CF4E9F">
        <w:rPr>
          <w:i/>
          <w:lang w:val="en-CA"/>
        </w:rPr>
        <w:t>Ladouceur</w:t>
      </w:r>
      <w:r w:rsidRPr="00CF4E9F">
        <w:rPr>
          <w:lang w:val="en-CA"/>
        </w:rPr>
        <w:t xml:space="preserve"> and </w:t>
      </w:r>
      <w:r w:rsidR="00162E51">
        <w:rPr>
          <w:lang w:val="en-CA"/>
        </w:rPr>
        <w:t>s. </w:t>
      </w:r>
      <w:r w:rsidR="002439B5" w:rsidRPr="00CF4E9F">
        <w:rPr>
          <w:lang w:val="en-CA"/>
        </w:rPr>
        <w:t>636</w:t>
      </w:r>
      <w:r w:rsidR="0030762F" w:rsidRPr="0030762F">
        <w:rPr>
          <w:i/>
          <w:lang w:val="en-CA"/>
        </w:rPr>
        <w:t> HSC</w:t>
      </w:r>
      <w:r w:rsidR="0043013D" w:rsidRPr="00CF4E9F">
        <w:rPr>
          <w:lang w:val="en-CA"/>
        </w:rPr>
        <w:t xml:space="preserve"> </w:t>
      </w:r>
      <w:r w:rsidR="0014657B" w:rsidRPr="00CF4E9F">
        <w:rPr>
          <w:rFonts w:cs="Arial"/>
          <w:lang w:val="en-CA"/>
        </w:rPr>
        <w:t>[</w:t>
      </w:r>
      <w:r w:rsidR="0014657B" w:rsidRPr="00CF4E9F">
        <w:rPr>
          <w:rFonts w:cs="Arial"/>
          <w:smallCaps/>
          <w:lang w:val="en-CA"/>
        </w:rPr>
        <w:t>translation</w:t>
      </w:r>
      <w:r w:rsidR="0014657B" w:rsidRPr="00CF4E9F">
        <w:rPr>
          <w:rFonts w:cs="Arial"/>
          <w:lang w:val="en-CA"/>
        </w:rPr>
        <w:t>]</w:t>
      </w:r>
      <w:r w:rsidR="00F8437E">
        <w:rPr>
          <w:rFonts w:cs="Arial"/>
          <w:lang w:val="en-CA"/>
        </w:rPr>
        <w:t> </w:t>
      </w:r>
      <w:r w:rsidRPr="00CF4E9F">
        <w:rPr>
          <w:rFonts w:cs="Arial"/>
          <w:lang w:val="en-CA"/>
        </w:rPr>
        <w:t xml:space="preserve">“have </w:t>
      </w:r>
      <w:r w:rsidR="00BC53EE" w:rsidRPr="00CF4E9F">
        <w:rPr>
          <w:rFonts w:cs="Arial"/>
          <w:lang w:val="en-CA"/>
        </w:rPr>
        <w:t xml:space="preserve">been </w:t>
      </w:r>
      <w:r w:rsidRPr="00CF4E9F">
        <w:rPr>
          <w:rFonts w:cs="Arial"/>
          <w:lang w:val="en-CA"/>
        </w:rPr>
        <w:t>slowly perverted and distorted from their primary purpose of ensuring road safety”</w:t>
      </w:r>
      <w:r w:rsidRPr="00CF4E9F">
        <w:rPr>
          <w:vertAlign w:val="superscript"/>
          <w:lang w:val="en-CA"/>
        </w:rPr>
        <w:footnoteReference w:id="12"/>
      </w:r>
      <w:r w:rsidRPr="00CF4E9F">
        <w:rPr>
          <w:rFonts w:cs="Arial"/>
          <w:lang w:val="en-CA"/>
        </w:rPr>
        <w:t xml:space="preserve"> to become </w:t>
      </w:r>
      <w:r w:rsidR="0014657B" w:rsidRPr="00CF4E9F">
        <w:rPr>
          <w:rFonts w:cs="Arial"/>
          <w:lang w:val="en-CA"/>
        </w:rPr>
        <w:t>[</w:t>
      </w:r>
      <w:r w:rsidR="0014657B" w:rsidRPr="00CF4E9F">
        <w:rPr>
          <w:rFonts w:cs="Arial"/>
          <w:smallCaps/>
          <w:lang w:val="en-CA"/>
        </w:rPr>
        <w:t>translation</w:t>
      </w:r>
      <w:r w:rsidR="0014657B" w:rsidRPr="00CF4E9F">
        <w:rPr>
          <w:rFonts w:cs="Arial"/>
          <w:lang w:val="en-CA"/>
        </w:rPr>
        <w:t>]</w:t>
      </w:r>
      <w:r w:rsidR="00F8437E">
        <w:rPr>
          <w:rFonts w:cs="Arial"/>
          <w:lang w:val="en-CA"/>
        </w:rPr>
        <w:t> </w:t>
      </w:r>
      <w:r w:rsidRPr="00CF4E9F">
        <w:rPr>
          <w:rFonts w:cs="Arial"/>
          <w:lang w:val="en-CA"/>
        </w:rPr>
        <w:t>“a free pass allowing the police to racially profile Black drivers”,</w:t>
      </w:r>
      <w:r w:rsidRPr="00CF4E9F">
        <w:rPr>
          <w:rFonts w:cs="Arial"/>
          <w:color w:val="000000"/>
          <w:vertAlign w:val="superscript"/>
          <w:lang w:val="en-CA"/>
        </w:rPr>
        <w:footnoteReference w:id="13"/>
      </w:r>
      <w:r w:rsidRPr="00CF4E9F">
        <w:rPr>
          <w:rFonts w:cs="Arial"/>
          <w:lang w:val="en-CA"/>
        </w:rPr>
        <w:t xml:space="preserve"> leading to repeated </w:t>
      </w:r>
      <w:r w:rsidR="007359C3">
        <w:rPr>
          <w:rFonts w:cs="Arial"/>
          <w:lang w:val="en-CA"/>
        </w:rPr>
        <w:t xml:space="preserve">– </w:t>
      </w:r>
      <w:r w:rsidRPr="00CF4E9F">
        <w:rPr>
          <w:rFonts w:cs="Arial"/>
          <w:lang w:val="en-CA"/>
        </w:rPr>
        <w:t xml:space="preserve">and unjustified </w:t>
      </w:r>
      <w:r w:rsidR="007359C3">
        <w:rPr>
          <w:rFonts w:cs="Arial"/>
          <w:lang w:val="en-CA"/>
        </w:rPr>
        <w:t xml:space="preserve">– </w:t>
      </w:r>
      <w:r w:rsidRPr="00CF4E9F">
        <w:rPr>
          <w:rFonts w:cs="Arial"/>
          <w:lang w:val="en-CA"/>
        </w:rPr>
        <w:t>violations of their fundamental rights.</w:t>
      </w:r>
      <w:r w:rsidR="0043013D" w:rsidRPr="00CF4E9F">
        <w:rPr>
          <w:rFonts w:ascii="Times New Roman" w:hAnsi="Times New Roman"/>
          <w:szCs w:val="24"/>
          <w:lang w:val="en-CA" w:eastAsia="fr-CA"/>
        </w:rPr>
        <w:t xml:space="preserve"> </w:t>
      </w:r>
    </w:p>
    <w:p w14:paraId="41D82B17" w14:textId="321A3F46" w:rsidR="005A1C52" w:rsidRPr="00CF4E9F" w:rsidRDefault="008373E5" w:rsidP="00FB1C7A">
      <w:pPr>
        <w:pStyle w:val="Paragraphe"/>
        <w:spacing w:line="280" w:lineRule="exact"/>
        <w:rPr>
          <w:lang w:val="en-CA"/>
        </w:rPr>
      </w:pPr>
      <w:r w:rsidRPr="00CF4E9F">
        <w:rPr>
          <w:lang w:val="en-CA"/>
        </w:rPr>
        <w:t xml:space="preserve">At trial, the respondents called </w:t>
      </w:r>
      <w:r w:rsidR="000B1D88">
        <w:rPr>
          <w:lang w:val="en-CA"/>
        </w:rPr>
        <w:t xml:space="preserve">numerous </w:t>
      </w:r>
      <w:r w:rsidRPr="00CF4E9F">
        <w:rPr>
          <w:lang w:val="en-CA"/>
        </w:rPr>
        <w:t xml:space="preserve">Black </w:t>
      </w:r>
      <w:r w:rsidR="00DA2E26">
        <w:rPr>
          <w:lang w:val="en-CA"/>
        </w:rPr>
        <w:t xml:space="preserve">individuals </w:t>
      </w:r>
      <w:r w:rsidRPr="00CF4E9F">
        <w:rPr>
          <w:lang w:val="en-CA"/>
        </w:rPr>
        <w:t xml:space="preserve">who </w:t>
      </w:r>
      <w:r w:rsidR="0036506C">
        <w:rPr>
          <w:lang w:val="en-CA"/>
        </w:rPr>
        <w:t xml:space="preserve">had </w:t>
      </w:r>
      <w:r w:rsidR="002B3E3B" w:rsidRPr="00CF4E9F">
        <w:rPr>
          <w:lang w:val="en-CA"/>
        </w:rPr>
        <w:t xml:space="preserve">experienced </w:t>
      </w:r>
      <w:r w:rsidRPr="00CF4E9F">
        <w:rPr>
          <w:lang w:val="en-CA"/>
        </w:rPr>
        <w:t>traffic stops with no required grounds.</w:t>
      </w:r>
      <w:r w:rsidR="0043013D" w:rsidRPr="00CF4E9F">
        <w:rPr>
          <w:lang w:val="en-CA"/>
        </w:rPr>
        <w:t xml:space="preserve"> </w:t>
      </w:r>
      <w:r w:rsidR="002B3E3B" w:rsidRPr="00CF4E9F">
        <w:rPr>
          <w:lang w:val="en-CA"/>
        </w:rPr>
        <w:t xml:space="preserve">Several </w:t>
      </w:r>
      <w:r w:rsidRPr="00CF4E9F">
        <w:rPr>
          <w:lang w:val="en-CA"/>
        </w:rPr>
        <w:t xml:space="preserve">of these witnesses </w:t>
      </w:r>
      <w:r w:rsidR="0092615B">
        <w:rPr>
          <w:lang w:val="en-CA"/>
        </w:rPr>
        <w:t xml:space="preserve">stated </w:t>
      </w:r>
      <w:r w:rsidRPr="00CF4E9F">
        <w:rPr>
          <w:lang w:val="en-CA"/>
        </w:rPr>
        <w:t xml:space="preserve">that they </w:t>
      </w:r>
      <w:r w:rsidR="0092615B">
        <w:rPr>
          <w:lang w:val="en-CA"/>
        </w:rPr>
        <w:t xml:space="preserve">had been </w:t>
      </w:r>
      <w:r w:rsidRPr="00CF4E9F">
        <w:rPr>
          <w:lang w:val="en-CA"/>
        </w:rPr>
        <w:t xml:space="preserve">racially profiled in this context and explained the </w:t>
      </w:r>
      <w:r w:rsidR="005909CD">
        <w:rPr>
          <w:lang w:val="en-CA"/>
        </w:rPr>
        <w:t>harmful consequences</w:t>
      </w:r>
      <w:r w:rsidR="00B016A0">
        <w:rPr>
          <w:lang w:val="en-CA"/>
        </w:rPr>
        <w:t xml:space="preserve"> of</w:t>
      </w:r>
      <w:r w:rsidRPr="00CF4E9F">
        <w:rPr>
          <w:lang w:val="en-CA"/>
        </w:rPr>
        <w:t xml:space="preserve"> these experiences </w:t>
      </w:r>
      <w:r w:rsidR="00B016A0">
        <w:rPr>
          <w:lang w:val="en-CA"/>
        </w:rPr>
        <w:t>for</w:t>
      </w:r>
      <w:r w:rsidR="00B016A0" w:rsidRPr="00CF4E9F">
        <w:rPr>
          <w:lang w:val="en-CA"/>
        </w:rPr>
        <w:t xml:space="preserve"> </w:t>
      </w:r>
      <w:r w:rsidRPr="00CF4E9F">
        <w:rPr>
          <w:lang w:val="en-CA"/>
        </w:rPr>
        <w:t>them or their families.</w:t>
      </w:r>
      <w:r w:rsidR="0043013D" w:rsidRPr="00CF4E9F">
        <w:rPr>
          <w:lang w:val="en-CA"/>
        </w:rPr>
        <w:t xml:space="preserve"> </w:t>
      </w:r>
      <w:r w:rsidRPr="00CF4E9F">
        <w:rPr>
          <w:lang w:val="en-CA"/>
        </w:rPr>
        <w:t xml:space="preserve">The evidence provided by these witnesses, which the judge believed, is not </w:t>
      </w:r>
      <w:r w:rsidR="00B016A0">
        <w:rPr>
          <w:lang w:val="en-CA"/>
        </w:rPr>
        <w:t>challenged</w:t>
      </w:r>
      <w:r w:rsidRPr="00CF4E9F">
        <w:rPr>
          <w:lang w:val="en-CA"/>
        </w:rPr>
        <w:t xml:space="preserve"> </w:t>
      </w:r>
      <w:r w:rsidR="002B3E3B" w:rsidRPr="00CF4E9F">
        <w:rPr>
          <w:lang w:val="en-CA"/>
        </w:rPr>
        <w:t xml:space="preserve">on </w:t>
      </w:r>
      <w:r w:rsidRPr="00CF4E9F">
        <w:rPr>
          <w:lang w:val="en-CA"/>
        </w:rPr>
        <w:t>appeal.</w:t>
      </w:r>
      <w:r w:rsidR="0043013D" w:rsidRPr="00CF4E9F">
        <w:rPr>
          <w:lang w:val="en-CA"/>
        </w:rPr>
        <w:t xml:space="preserve"> </w:t>
      </w:r>
      <w:r w:rsidRPr="00CF4E9F">
        <w:rPr>
          <w:lang w:val="en-CA"/>
        </w:rPr>
        <w:t xml:space="preserve">The AGQ does not dispute that these persons </w:t>
      </w:r>
      <w:r w:rsidR="002B3E3B" w:rsidRPr="00CF4E9F">
        <w:rPr>
          <w:lang w:val="en-CA"/>
        </w:rPr>
        <w:t xml:space="preserve">were </w:t>
      </w:r>
      <w:r w:rsidRPr="00CF4E9F">
        <w:rPr>
          <w:lang w:val="en-CA"/>
        </w:rPr>
        <w:t xml:space="preserve">racially profiled during traffic stops with no required grounds or that these experiences may have had serious negative </w:t>
      </w:r>
      <w:r w:rsidR="002B3E3B" w:rsidRPr="00CF4E9F">
        <w:rPr>
          <w:lang w:val="en-CA"/>
        </w:rPr>
        <w:t>consequences for</w:t>
      </w:r>
      <w:r w:rsidRPr="00CF4E9F">
        <w:rPr>
          <w:lang w:val="en-CA"/>
        </w:rPr>
        <w:t xml:space="preserve"> them, their families, or their </w:t>
      </w:r>
      <w:r w:rsidR="006F6592">
        <w:rPr>
          <w:lang w:val="en-CA"/>
        </w:rPr>
        <w:t>loved ones</w:t>
      </w:r>
      <w:r w:rsidRPr="00CF4E9F">
        <w:rPr>
          <w:lang w:val="en-CA"/>
        </w:rPr>
        <w:t>.</w:t>
      </w:r>
      <w:r w:rsidRPr="00CF4E9F">
        <w:rPr>
          <w:vertAlign w:val="superscript"/>
          <w:lang w:val="en-CA"/>
        </w:rPr>
        <w:footnoteReference w:id="14"/>
      </w:r>
      <w:r w:rsidR="0043013D" w:rsidRPr="00CF4E9F">
        <w:rPr>
          <w:lang w:val="en-CA"/>
        </w:rPr>
        <w:t xml:space="preserve"> </w:t>
      </w:r>
      <w:r w:rsidR="002B3E3B" w:rsidRPr="00CF4E9F">
        <w:rPr>
          <w:lang w:val="en-CA"/>
        </w:rPr>
        <w:t>However, t</w:t>
      </w:r>
      <w:r w:rsidRPr="00CF4E9F">
        <w:rPr>
          <w:lang w:val="en-CA"/>
        </w:rPr>
        <w:t xml:space="preserve">he AGQ argues that the racial profiling does not arise from the </w:t>
      </w:r>
      <w:r w:rsidR="002B3E3B" w:rsidRPr="00CF4E9F">
        <w:rPr>
          <w:lang w:val="en-CA"/>
        </w:rPr>
        <w:t xml:space="preserve">challenged </w:t>
      </w:r>
      <w:r w:rsidR="00275940">
        <w:rPr>
          <w:lang w:val="en-CA"/>
        </w:rPr>
        <w:t>provision</w:t>
      </w:r>
      <w:r w:rsidRPr="00CF4E9F">
        <w:rPr>
          <w:lang w:val="en-CA"/>
        </w:rPr>
        <w:t xml:space="preserve">, but instead from derogatory acts committed by the police in the exercise of the power </w:t>
      </w:r>
      <w:r w:rsidR="002B3E3B" w:rsidRPr="00CF4E9F">
        <w:rPr>
          <w:lang w:val="en-CA"/>
        </w:rPr>
        <w:t>conferr</w:t>
      </w:r>
      <w:r w:rsidRPr="00CF4E9F">
        <w:rPr>
          <w:lang w:val="en-CA"/>
        </w:rPr>
        <w:t xml:space="preserve">ed by this </w:t>
      </w:r>
      <w:r w:rsidR="00352B9B">
        <w:rPr>
          <w:lang w:val="en-CA"/>
        </w:rPr>
        <w:t>law</w:t>
      </w:r>
      <w:r w:rsidRPr="00CF4E9F">
        <w:rPr>
          <w:lang w:val="en-CA"/>
        </w:rPr>
        <w:t>.</w:t>
      </w:r>
    </w:p>
    <w:p w14:paraId="1CF9D5EB" w14:textId="7CC8A87E" w:rsidR="005A1C52" w:rsidRPr="00CF4E9F" w:rsidRDefault="008373E5" w:rsidP="00FB1C7A">
      <w:pPr>
        <w:pStyle w:val="Paragraphe"/>
        <w:spacing w:line="280" w:lineRule="exact"/>
        <w:rPr>
          <w:lang w:val="en-CA"/>
        </w:rPr>
      </w:pPr>
      <w:r w:rsidRPr="00CF4E9F">
        <w:rPr>
          <w:lang w:val="en-CA"/>
        </w:rPr>
        <w:lastRenderedPageBreak/>
        <w:t>For the AGQ, the evidence of racial profiling is therefore irrelevant to the outcome of the dispute.</w:t>
      </w:r>
      <w:r w:rsidR="0043013D" w:rsidRPr="00CF4E9F">
        <w:rPr>
          <w:lang w:val="en-CA"/>
        </w:rPr>
        <w:t xml:space="preserve"> </w:t>
      </w:r>
      <w:r w:rsidR="00246073" w:rsidRPr="00CF4E9F">
        <w:rPr>
          <w:lang w:val="en-CA"/>
        </w:rPr>
        <w:t>T</w:t>
      </w:r>
      <w:r w:rsidRPr="00CF4E9F">
        <w:rPr>
          <w:lang w:val="en-CA"/>
        </w:rPr>
        <w:t xml:space="preserve">he AGQ </w:t>
      </w:r>
      <w:r w:rsidR="00246073" w:rsidRPr="00CF4E9F">
        <w:rPr>
          <w:lang w:val="en-CA"/>
        </w:rPr>
        <w:t xml:space="preserve">does not </w:t>
      </w:r>
      <w:r w:rsidR="005E4D9F">
        <w:rPr>
          <w:lang w:val="en-CA"/>
        </w:rPr>
        <w:t>really</w:t>
      </w:r>
      <w:r w:rsidR="005E4D9F" w:rsidRPr="00CF4E9F">
        <w:rPr>
          <w:lang w:val="en-CA"/>
        </w:rPr>
        <w:t xml:space="preserve"> </w:t>
      </w:r>
      <w:r w:rsidRPr="00CF4E9F">
        <w:rPr>
          <w:lang w:val="en-CA"/>
        </w:rPr>
        <w:t xml:space="preserve">contest </w:t>
      </w:r>
      <w:r w:rsidR="001E7353">
        <w:rPr>
          <w:lang w:val="en-CA"/>
        </w:rPr>
        <w:t xml:space="preserve">how </w:t>
      </w:r>
      <w:r w:rsidRPr="00CF4E9F">
        <w:rPr>
          <w:lang w:val="en-CA"/>
        </w:rPr>
        <w:t>the judge defined racial profiling for the purpose of his analysis, although he challenges the judge’s conclusions</w:t>
      </w:r>
      <w:r w:rsidR="00BA493A">
        <w:rPr>
          <w:lang w:val="en-CA"/>
        </w:rPr>
        <w:t xml:space="preserve"> therefrom</w:t>
      </w:r>
      <w:r w:rsidRPr="00CF4E9F">
        <w:rPr>
          <w:lang w:val="en-CA"/>
        </w:rPr>
        <w:t xml:space="preserve"> (particularly the characterization of racial profiling as a new social fact that has arisen since </w:t>
      </w:r>
      <w:r w:rsidRPr="00CF4E9F">
        <w:rPr>
          <w:i/>
          <w:lang w:val="en-CA"/>
        </w:rPr>
        <w:t>Ladouceur</w:t>
      </w:r>
      <w:r w:rsidRPr="00CF4E9F">
        <w:rPr>
          <w:lang w:val="en-CA"/>
        </w:rPr>
        <w:t>).</w:t>
      </w:r>
    </w:p>
    <w:p w14:paraId="37905391" w14:textId="3AAF1AAF" w:rsidR="005A1C52" w:rsidRPr="00CF4E9F" w:rsidRDefault="008373E5" w:rsidP="000B3736">
      <w:pPr>
        <w:pStyle w:val="Titre1"/>
        <w:rPr>
          <w:lang w:val="en-CA"/>
        </w:rPr>
      </w:pPr>
      <w:bookmarkStart w:id="12" w:name="_Toc177390712"/>
      <w:bookmarkStart w:id="13" w:name="_Toc201822871"/>
      <w:r w:rsidRPr="00CF4E9F">
        <w:rPr>
          <w:lang w:val="en-CA"/>
        </w:rPr>
        <w:t>II.</w:t>
      </w:r>
      <w:r w:rsidR="00CB48BA" w:rsidRPr="00CF4E9F">
        <w:rPr>
          <w:lang w:val="en-CA"/>
        </w:rPr>
        <w:tab/>
      </w:r>
      <w:r w:rsidRPr="00CF4E9F">
        <w:rPr>
          <w:lang w:val="en-CA"/>
        </w:rPr>
        <w:t>COMMON LAW RULE AND SECTION</w:t>
      </w:r>
      <w:r w:rsidR="00CB48BA" w:rsidRPr="00CF4E9F">
        <w:rPr>
          <w:lang w:val="en-CA"/>
        </w:rPr>
        <w:t xml:space="preserve"> </w:t>
      </w:r>
      <w:bookmarkEnd w:id="12"/>
      <w:r w:rsidRPr="00CF4E9F">
        <w:rPr>
          <w:bCs/>
          <w:lang w:val="en-CA"/>
        </w:rPr>
        <w:t xml:space="preserve">636 </w:t>
      </w:r>
      <w:r w:rsidRPr="00CF4E9F">
        <w:rPr>
          <w:bCs/>
          <w:i/>
          <w:lang w:val="en-CA"/>
        </w:rPr>
        <w:t>HSC</w:t>
      </w:r>
      <w:bookmarkEnd w:id="13"/>
    </w:p>
    <w:p w14:paraId="36E2A82F" w14:textId="32596AC3" w:rsidR="005A1C52" w:rsidRPr="00CF4E9F" w:rsidRDefault="008373E5" w:rsidP="00FB1C7A">
      <w:pPr>
        <w:pStyle w:val="Paragraphe"/>
        <w:spacing w:line="280" w:lineRule="exact"/>
        <w:rPr>
          <w:lang w:val="en-CA"/>
        </w:rPr>
      </w:pPr>
      <w:bookmarkStart w:id="14" w:name="_Ref197930449"/>
      <w:r w:rsidRPr="00CF4E9F">
        <w:rPr>
          <w:lang w:val="en-CA"/>
        </w:rPr>
        <w:t xml:space="preserve">Before considering the judgment under appeal and the issues, it is necessary to provide a </w:t>
      </w:r>
      <w:r w:rsidR="00246073" w:rsidRPr="00CF4E9F">
        <w:rPr>
          <w:lang w:val="en-CA"/>
        </w:rPr>
        <w:t xml:space="preserve">general overview </w:t>
      </w:r>
      <w:r w:rsidRPr="00CF4E9F">
        <w:rPr>
          <w:lang w:val="en-CA"/>
        </w:rPr>
        <w:t xml:space="preserve">of the two laws challenged by the respondent at trial and, more particularly, to examine the basis of </w:t>
      </w:r>
      <w:r w:rsidRPr="00CF4E9F">
        <w:rPr>
          <w:i/>
          <w:lang w:val="en-CA"/>
        </w:rPr>
        <w:t>Ladouceur</w:t>
      </w:r>
      <w:r w:rsidRPr="00CF4E9F">
        <w:rPr>
          <w:lang w:val="en-CA"/>
        </w:rPr>
        <w:t xml:space="preserve"> more closely.</w:t>
      </w:r>
      <w:bookmarkEnd w:id="14"/>
      <w:r w:rsidR="00540798" w:rsidRPr="00CF4E9F">
        <w:rPr>
          <w:lang w:val="en-CA"/>
        </w:rPr>
        <w:t xml:space="preserve"> </w:t>
      </w:r>
    </w:p>
    <w:p w14:paraId="305AE9FE" w14:textId="47641769" w:rsidR="005A1C52" w:rsidRPr="00CF4E9F" w:rsidRDefault="00BF5340" w:rsidP="002E559C">
      <w:pPr>
        <w:pStyle w:val="Titre2"/>
        <w:rPr>
          <w:lang w:val="en-CA"/>
        </w:rPr>
      </w:pPr>
      <w:bookmarkStart w:id="15" w:name="_Toc177390713"/>
      <w:bookmarkStart w:id="16" w:name="_Toc201822872"/>
      <w:r w:rsidRPr="00CF4E9F">
        <w:rPr>
          <w:lang w:val="en-CA"/>
        </w:rPr>
        <w:t>A.</w:t>
      </w:r>
      <w:r w:rsidR="0043013D" w:rsidRPr="00CF4E9F">
        <w:rPr>
          <w:lang w:val="en-CA"/>
        </w:rPr>
        <w:tab/>
      </w:r>
      <w:bookmarkEnd w:id="15"/>
      <w:r w:rsidR="008373E5" w:rsidRPr="00CF4E9F">
        <w:rPr>
          <w:i/>
          <w:lang w:val="en-CA"/>
        </w:rPr>
        <w:t>Ladouceur</w:t>
      </w:r>
      <w:bookmarkEnd w:id="16"/>
    </w:p>
    <w:p w14:paraId="7F031532" w14:textId="3F002CDC" w:rsidR="00540798" w:rsidRPr="00CF4E9F" w:rsidRDefault="008373E5" w:rsidP="00FB1C7A">
      <w:pPr>
        <w:pStyle w:val="Paragraphe"/>
        <w:spacing w:before="60" w:after="60" w:line="280" w:lineRule="exact"/>
        <w:rPr>
          <w:lang w:val="en-CA"/>
        </w:rPr>
      </w:pPr>
      <w:r w:rsidRPr="00CF4E9F">
        <w:rPr>
          <w:lang w:val="en-CA"/>
        </w:rPr>
        <w:t xml:space="preserve">The judge and the parties to the debate </w:t>
      </w:r>
      <w:r w:rsidR="008D6C26" w:rsidRPr="00CF4E9F">
        <w:rPr>
          <w:lang w:val="en-CA"/>
        </w:rPr>
        <w:t xml:space="preserve">took the position </w:t>
      </w:r>
      <w:r w:rsidRPr="00CF4E9F">
        <w:rPr>
          <w:lang w:val="en-CA"/>
        </w:rPr>
        <w:t xml:space="preserve">that </w:t>
      </w:r>
      <w:r w:rsidR="001F0040" w:rsidRPr="00CF4E9F">
        <w:rPr>
          <w:lang w:val="en-CA"/>
        </w:rPr>
        <w:t>the Supreme Court</w:t>
      </w:r>
      <w:r w:rsidR="001F0040">
        <w:rPr>
          <w:lang w:val="en-CA"/>
        </w:rPr>
        <w:t>,</w:t>
      </w:r>
      <w:r w:rsidR="001F0040" w:rsidRPr="00CF4E9F">
        <w:rPr>
          <w:lang w:val="en-CA"/>
        </w:rPr>
        <w:t xml:space="preserve"> </w:t>
      </w:r>
      <w:r w:rsidRPr="00CF4E9F">
        <w:rPr>
          <w:lang w:val="en-CA"/>
        </w:rPr>
        <w:t xml:space="preserve">in </w:t>
      </w:r>
      <w:r w:rsidRPr="00CF4E9F">
        <w:rPr>
          <w:i/>
          <w:lang w:val="en-CA"/>
        </w:rPr>
        <w:t>Ladouceur</w:t>
      </w:r>
      <w:r w:rsidRPr="00CF4E9F">
        <w:rPr>
          <w:lang w:val="en-CA"/>
        </w:rPr>
        <w:t xml:space="preserve">, recognized a common law rule </w:t>
      </w:r>
      <w:r w:rsidR="008D6C26" w:rsidRPr="00CF4E9F">
        <w:rPr>
          <w:rFonts w:cs="Arial"/>
          <w:lang w:val="en-CA"/>
        </w:rPr>
        <w:t>[</w:t>
      </w:r>
      <w:r w:rsidR="008D6C26" w:rsidRPr="00CF4E9F">
        <w:rPr>
          <w:rFonts w:cs="Arial"/>
          <w:smallCaps/>
          <w:lang w:val="en-CA"/>
        </w:rPr>
        <w:t>translation</w:t>
      </w:r>
      <w:r w:rsidR="008D6C26" w:rsidRPr="00CF4E9F">
        <w:rPr>
          <w:rFonts w:cs="Arial"/>
          <w:lang w:val="en-CA"/>
        </w:rPr>
        <w:t>]</w:t>
      </w:r>
      <w:r w:rsidR="00F8437E">
        <w:rPr>
          <w:lang w:val="en-CA"/>
        </w:rPr>
        <w:t> </w:t>
      </w:r>
      <w:r w:rsidRPr="00CF4E9F">
        <w:rPr>
          <w:lang w:val="en-CA"/>
        </w:rPr>
        <w:t xml:space="preserve">“granting the police the power to stop a road vehicle and its driver </w:t>
      </w:r>
      <w:r w:rsidR="008D6C26" w:rsidRPr="00CF4E9F">
        <w:rPr>
          <w:lang w:val="en-CA"/>
        </w:rPr>
        <w:t xml:space="preserve">at random </w:t>
      </w:r>
      <w:r w:rsidRPr="00CF4E9F">
        <w:rPr>
          <w:lang w:val="en-CA"/>
        </w:rPr>
        <w:t xml:space="preserve">without </w:t>
      </w:r>
      <w:r w:rsidR="008301C7">
        <w:rPr>
          <w:lang w:val="en-CA"/>
        </w:rPr>
        <w:t>reasonable</w:t>
      </w:r>
      <w:r w:rsidR="008301C7" w:rsidRPr="00CF4E9F">
        <w:rPr>
          <w:lang w:val="en-CA"/>
        </w:rPr>
        <w:t xml:space="preserve"> </w:t>
      </w:r>
      <w:r w:rsidRPr="00CF4E9F">
        <w:rPr>
          <w:lang w:val="en-CA"/>
        </w:rPr>
        <w:t>grounds to believe or suspect that an offence was committed</w:t>
      </w:r>
      <w:r w:rsidR="0079651C">
        <w:rPr>
          <w:lang w:val="en-CA"/>
        </w:rPr>
        <w:t>,</w:t>
      </w:r>
      <w:r w:rsidRPr="00CF4E9F">
        <w:rPr>
          <w:lang w:val="en-CA"/>
        </w:rPr>
        <w:t xml:space="preserve"> when the stop is not part of an organized program”.</w:t>
      </w:r>
      <w:r w:rsidRPr="00CF4E9F">
        <w:rPr>
          <w:rStyle w:val="Appelnotedebasdep"/>
          <w:lang w:val="en-CA"/>
        </w:rPr>
        <w:footnoteReference w:id="15"/>
      </w:r>
      <w:r w:rsidR="0043013D" w:rsidRPr="00CF4E9F">
        <w:rPr>
          <w:lang w:val="en-CA"/>
        </w:rPr>
        <w:t xml:space="preserve"> </w:t>
      </w:r>
      <w:r w:rsidRPr="00CF4E9F">
        <w:rPr>
          <w:lang w:val="en-CA"/>
        </w:rPr>
        <w:t xml:space="preserve">In the conclusions of his judgment, the judge declared </w:t>
      </w:r>
      <w:r w:rsidR="004A274B">
        <w:rPr>
          <w:lang w:val="en-CA"/>
        </w:rPr>
        <w:t xml:space="preserve">that </w:t>
      </w:r>
      <w:r w:rsidRPr="00CF4E9F">
        <w:rPr>
          <w:lang w:val="en-CA"/>
        </w:rPr>
        <w:t xml:space="preserve">both </w:t>
      </w:r>
      <w:r w:rsidR="00162E51">
        <w:rPr>
          <w:lang w:val="en-CA"/>
        </w:rPr>
        <w:t>s. </w:t>
      </w:r>
      <w:r w:rsidRPr="00CF4E9F">
        <w:rPr>
          <w:lang w:val="en-CA"/>
        </w:rPr>
        <w:t>636</w:t>
      </w:r>
      <w:r w:rsidR="0030762F" w:rsidRPr="0030762F">
        <w:rPr>
          <w:i/>
          <w:lang w:val="en-CA"/>
        </w:rPr>
        <w:t> HSC</w:t>
      </w:r>
      <w:r w:rsidRPr="00CF4E9F">
        <w:rPr>
          <w:lang w:val="en-CA"/>
        </w:rPr>
        <w:t xml:space="preserve"> and </w:t>
      </w:r>
      <w:r w:rsidR="007549B7">
        <w:rPr>
          <w:lang w:val="en-CA"/>
        </w:rPr>
        <w:t>[</w:t>
      </w:r>
      <w:r w:rsidR="007549B7" w:rsidRPr="007165DA">
        <w:rPr>
          <w:smallCaps/>
          <w:lang w:val="en-CA"/>
        </w:rPr>
        <w:t>translation</w:t>
      </w:r>
      <w:r w:rsidR="007549B7">
        <w:rPr>
          <w:lang w:val="en-CA"/>
        </w:rPr>
        <w:t xml:space="preserve">] </w:t>
      </w:r>
      <w:r w:rsidRPr="00CF4E9F">
        <w:rPr>
          <w:lang w:val="en-CA"/>
        </w:rPr>
        <w:t xml:space="preserve">“the common law rule established by </w:t>
      </w:r>
      <w:r w:rsidR="008D6C26" w:rsidRPr="00CF4E9F">
        <w:rPr>
          <w:i/>
          <w:iCs/>
          <w:lang w:val="en-CA"/>
        </w:rPr>
        <w:t>R. v.</w:t>
      </w:r>
      <w:r w:rsidR="008D6C26" w:rsidRPr="00CF4E9F">
        <w:rPr>
          <w:lang w:val="en-CA"/>
        </w:rPr>
        <w:t xml:space="preserve"> </w:t>
      </w:r>
      <w:r w:rsidRPr="00CF4E9F">
        <w:rPr>
          <w:i/>
          <w:lang w:val="en-CA"/>
        </w:rPr>
        <w:t>Ladouceur</w:t>
      </w:r>
      <w:r w:rsidRPr="00CF4E9F">
        <w:rPr>
          <w:lang w:val="en-CA"/>
        </w:rPr>
        <w:t>”</w:t>
      </w:r>
      <w:r w:rsidR="007549B7">
        <w:rPr>
          <w:lang w:val="en-CA"/>
        </w:rPr>
        <w:t xml:space="preserve"> </w:t>
      </w:r>
      <w:r w:rsidR="004A274B">
        <w:rPr>
          <w:lang w:val="en-CA"/>
        </w:rPr>
        <w:t xml:space="preserve">are </w:t>
      </w:r>
      <w:r w:rsidR="007549B7">
        <w:rPr>
          <w:lang w:val="en-CA"/>
        </w:rPr>
        <w:t>inoperative</w:t>
      </w:r>
      <w:r w:rsidRPr="00CF4E9F">
        <w:rPr>
          <w:lang w:val="en-CA"/>
        </w:rPr>
        <w:t>.</w:t>
      </w:r>
      <w:r w:rsidRPr="00CF4E9F">
        <w:rPr>
          <w:rStyle w:val="Appelnotedebasdep"/>
          <w:lang w:val="en-CA"/>
        </w:rPr>
        <w:footnoteReference w:id="16"/>
      </w:r>
    </w:p>
    <w:p w14:paraId="709EBD2B" w14:textId="189BB614" w:rsidR="001C7091" w:rsidRPr="00CF4E9F" w:rsidRDefault="008D6C26" w:rsidP="00FB1C7A">
      <w:pPr>
        <w:pStyle w:val="Paragraphe"/>
        <w:spacing w:line="280" w:lineRule="exact"/>
        <w:rPr>
          <w:lang w:val="en-CA"/>
        </w:rPr>
      </w:pPr>
      <w:r w:rsidRPr="00CF4E9F">
        <w:rPr>
          <w:lang w:val="en-CA"/>
        </w:rPr>
        <w:t xml:space="preserve">After </w:t>
      </w:r>
      <w:r w:rsidR="008373E5" w:rsidRPr="00CF4E9F">
        <w:rPr>
          <w:lang w:val="en-CA"/>
        </w:rPr>
        <w:t>this appeal</w:t>
      </w:r>
      <w:r w:rsidRPr="00CF4E9F">
        <w:rPr>
          <w:lang w:val="en-CA"/>
        </w:rPr>
        <w:t xml:space="preserve"> was heard</w:t>
      </w:r>
      <w:r w:rsidR="008373E5" w:rsidRPr="00CF4E9F">
        <w:rPr>
          <w:lang w:val="en-CA"/>
        </w:rPr>
        <w:t>, the Court invited the parties to file additional written arguments on the following question:</w:t>
      </w:r>
    </w:p>
    <w:p w14:paraId="4CDD8388" w14:textId="2A0521DD" w:rsidR="008373E5" w:rsidRPr="00CF4E9F" w:rsidRDefault="008373E5" w:rsidP="00604656">
      <w:pPr>
        <w:pStyle w:val="Citationenretrait"/>
        <w:rPr>
          <w:kern w:val="0"/>
          <w:lang w:val="en-CA"/>
        </w:rPr>
      </w:pPr>
      <w:r w:rsidRPr="00CF4E9F">
        <w:rPr>
          <w:rFonts w:cs="Arial"/>
          <w:kern w:val="0"/>
          <w:lang w:val="en-CA"/>
        </w:rPr>
        <w:t>[</w:t>
      </w:r>
      <w:r w:rsidRPr="00CF4E9F">
        <w:rPr>
          <w:rFonts w:cs="Arial"/>
          <w:smallCaps/>
          <w:kern w:val="0"/>
          <w:lang w:val="en-CA"/>
        </w:rPr>
        <w:t>translation</w:t>
      </w:r>
      <w:r w:rsidRPr="00CF4E9F">
        <w:rPr>
          <w:rFonts w:cs="Arial"/>
          <w:kern w:val="0"/>
          <w:lang w:val="en-CA"/>
        </w:rPr>
        <w:t>]</w:t>
      </w:r>
    </w:p>
    <w:p w14:paraId="34511FAB" w14:textId="33440BDC" w:rsidR="00540798" w:rsidRPr="00CF4E9F" w:rsidRDefault="008373E5" w:rsidP="00604656">
      <w:pPr>
        <w:pStyle w:val="Citationenretrait"/>
        <w:rPr>
          <w:lang w:val="en-CA"/>
        </w:rPr>
      </w:pPr>
      <w:r w:rsidRPr="00CF4E9F">
        <w:rPr>
          <w:kern w:val="0"/>
          <w:lang w:val="en-CA"/>
        </w:rPr>
        <w:t xml:space="preserve">Does </w:t>
      </w:r>
      <w:r w:rsidRPr="00CF4E9F">
        <w:rPr>
          <w:i/>
          <w:kern w:val="0"/>
          <w:lang w:val="en-CA"/>
        </w:rPr>
        <w:t>Ladouceur</w:t>
      </w:r>
      <w:r w:rsidRPr="00CF4E9F">
        <w:rPr>
          <w:kern w:val="0"/>
          <w:lang w:val="en-CA"/>
        </w:rPr>
        <w:t xml:space="preserve"> recognize a common law power to make traffic stops with no required grounds outside an organized program? </w:t>
      </w:r>
      <w:r w:rsidRPr="00CF4E9F">
        <w:rPr>
          <w:lang w:val="en-CA"/>
        </w:rPr>
        <w:t xml:space="preserve">More specifically, where </w:t>
      </w:r>
      <w:r w:rsidR="00F54FC7" w:rsidRPr="00CF4E9F">
        <w:rPr>
          <w:lang w:val="en-CA"/>
        </w:rPr>
        <w:t>does</w:t>
      </w:r>
      <w:r w:rsidRPr="00CF4E9F">
        <w:rPr>
          <w:lang w:val="en-CA"/>
        </w:rPr>
        <w:t xml:space="preserve"> </w:t>
      </w:r>
      <w:r w:rsidRPr="00CF4E9F">
        <w:rPr>
          <w:i/>
          <w:lang w:val="en-CA"/>
        </w:rPr>
        <w:t>Ladouceur</w:t>
      </w:r>
      <w:r w:rsidRPr="00CF4E9F">
        <w:rPr>
          <w:lang w:val="en-CA"/>
        </w:rPr>
        <w:t xml:space="preserve"> broaden the common law rule established in </w:t>
      </w:r>
      <w:r w:rsidRPr="00CF4E9F">
        <w:rPr>
          <w:i/>
          <w:lang w:val="en-CA"/>
        </w:rPr>
        <w:t>Dedman v. The Queen</w:t>
      </w:r>
      <w:r w:rsidRPr="00CF4E9F">
        <w:rPr>
          <w:lang w:val="en-CA"/>
        </w:rPr>
        <w:t xml:space="preserve"> [1985] 2 SCR</w:t>
      </w:r>
      <w:r w:rsidR="0043013D" w:rsidRPr="00CF4E9F">
        <w:rPr>
          <w:lang w:val="en-CA"/>
        </w:rPr>
        <w:t xml:space="preserve"> </w:t>
      </w:r>
      <w:r w:rsidRPr="00CF4E9F">
        <w:rPr>
          <w:lang w:val="en-CA"/>
        </w:rPr>
        <w:t>2</w:t>
      </w:r>
      <w:r w:rsidR="008F1D37">
        <w:rPr>
          <w:lang w:val="en-CA"/>
        </w:rPr>
        <w:t xml:space="preserve"> – i.e</w:t>
      </w:r>
      <w:r w:rsidR="005B1783">
        <w:rPr>
          <w:lang w:val="en-CA"/>
        </w:rPr>
        <w:t>.</w:t>
      </w:r>
      <w:r w:rsidR="008F1D37">
        <w:rPr>
          <w:lang w:val="en-CA"/>
        </w:rPr>
        <w:t xml:space="preserve">, that </w:t>
      </w:r>
      <w:r w:rsidR="00F54FC7" w:rsidRPr="00CF4E9F">
        <w:rPr>
          <w:lang w:val="en-CA"/>
        </w:rPr>
        <w:t xml:space="preserve">there </w:t>
      </w:r>
      <w:r w:rsidR="008F1D37">
        <w:rPr>
          <w:lang w:val="en-CA"/>
        </w:rPr>
        <w:t xml:space="preserve">is </w:t>
      </w:r>
      <w:r w:rsidRPr="00CF4E9F">
        <w:rPr>
          <w:lang w:val="en-CA"/>
        </w:rPr>
        <w:t>common law “authority for the random vehicle stop for the purpose contemplated by the R.I.D.E</w:t>
      </w:r>
      <w:r w:rsidR="00F54FC7" w:rsidRPr="00CF4E9F">
        <w:rPr>
          <w:lang w:val="en-CA"/>
        </w:rPr>
        <w:t>. program</w:t>
      </w:r>
      <w:r w:rsidRPr="00CF4E9F">
        <w:rPr>
          <w:lang w:val="en-CA"/>
        </w:rPr>
        <w:t>” (</w:t>
      </w:r>
      <w:r w:rsidRPr="00CF4E9F">
        <w:rPr>
          <w:i/>
          <w:lang w:val="en-CA"/>
        </w:rPr>
        <w:t>Dedman</w:t>
      </w:r>
      <w:r w:rsidRPr="00CF4E9F">
        <w:rPr>
          <w:lang w:val="en-CA"/>
        </w:rPr>
        <w:t xml:space="preserve"> at 36)</w:t>
      </w:r>
      <w:r w:rsidR="008F1D37">
        <w:rPr>
          <w:lang w:val="en-CA"/>
        </w:rPr>
        <w:t>?</w:t>
      </w:r>
    </w:p>
    <w:p w14:paraId="59075B50" w14:textId="5670CB33" w:rsidR="00540798" w:rsidRPr="00CF4E9F" w:rsidRDefault="008373E5" w:rsidP="00FB1C7A">
      <w:pPr>
        <w:pStyle w:val="Paragraphe"/>
        <w:spacing w:line="280" w:lineRule="exact"/>
        <w:rPr>
          <w:lang w:val="en-CA"/>
        </w:rPr>
      </w:pPr>
      <w:r w:rsidRPr="00CF4E9F">
        <w:rPr>
          <w:lang w:val="en-CA"/>
        </w:rPr>
        <w:t xml:space="preserve">To answer this question, </w:t>
      </w:r>
      <w:r w:rsidR="00263053">
        <w:rPr>
          <w:lang w:val="en-CA"/>
        </w:rPr>
        <w:t xml:space="preserve">one must </w:t>
      </w:r>
      <w:r w:rsidRPr="00CF4E9F">
        <w:rPr>
          <w:lang w:val="en-CA"/>
        </w:rPr>
        <w:t xml:space="preserve">carefully examine </w:t>
      </w:r>
      <w:r w:rsidRPr="00CF4E9F">
        <w:rPr>
          <w:i/>
          <w:lang w:val="en-CA"/>
        </w:rPr>
        <w:t>Dedman v. The Queen</w:t>
      </w:r>
      <w:r w:rsidRPr="00CF4E9F">
        <w:rPr>
          <w:lang w:val="en-CA"/>
        </w:rPr>
        <w:t>,</w:t>
      </w:r>
      <w:r w:rsidRPr="00CF4E9F">
        <w:rPr>
          <w:rStyle w:val="Appelnotedebasdep"/>
          <w:lang w:val="en-CA"/>
        </w:rPr>
        <w:footnoteReference w:id="17"/>
      </w:r>
      <w:r w:rsidRPr="00CF4E9F">
        <w:rPr>
          <w:lang w:val="en-CA"/>
        </w:rPr>
        <w:t xml:space="preserve"> </w:t>
      </w:r>
      <w:r w:rsidRPr="00CF4E9F">
        <w:rPr>
          <w:i/>
          <w:lang w:val="en-CA"/>
        </w:rPr>
        <w:t>R.</w:t>
      </w:r>
      <w:r w:rsidR="00EC17A1">
        <w:rPr>
          <w:i/>
          <w:lang w:val="en-CA"/>
        </w:rPr>
        <w:t> </w:t>
      </w:r>
      <w:r w:rsidRPr="00CF4E9F">
        <w:rPr>
          <w:i/>
          <w:lang w:val="en-CA"/>
        </w:rPr>
        <w:t>v. Hu</w:t>
      </w:r>
      <w:r w:rsidR="00905D5E">
        <w:rPr>
          <w:i/>
          <w:lang w:val="en-CA"/>
        </w:rPr>
        <w:t>f</w:t>
      </w:r>
      <w:r w:rsidRPr="00CF4E9F">
        <w:rPr>
          <w:i/>
          <w:lang w:val="en-CA"/>
        </w:rPr>
        <w:t>sky</w:t>
      </w:r>
      <w:r w:rsidRPr="00CF4E9F">
        <w:rPr>
          <w:lang w:val="en-CA"/>
        </w:rPr>
        <w:t>,</w:t>
      </w:r>
      <w:r w:rsidRPr="00CF4E9F">
        <w:rPr>
          <w:rStyle w:val="Appelnotedebasdep"/>
          <w:lang w:val="en-CA"/>
        </w:rPr>
        <w:footnoteReference w:id="18"/>
      </w:r>
      <w:r w:rsidRPr="00CF4E9F">
        <w:rPr>
          <w:lang w:val="en-CA"/>
        </w:rPr>
        <w:t xml:space="preserve"> and </w:t>
      </w:r>
      <w:r w:rsidRPr="00CF4E9F">
        <w:rPr>
          <w:i/>
          <w:lang w:val="en-CA"/>
        </w:rPr>
        <w:t>Ladouceur</w:t>
      </w:r>
      <w:r w:rsidRPr="00CF4E9F">
        <w:rPr>
          <w:lang w:val="en-CA"/>
        </w:rPr>
        <w:t xml:space="preserve"> to define, in each case, the issue before the Supreme Court.</w:t>
      </w:r>
      <w:r w:rsidR="0043013D" w:rsidRPr="00CF4E9F">
        <w:rPr>
          <w:lang w:val="en-CA"/>
        </w:rPr>
        <w:t xml:space="preserve"> </w:t>
      </w:r>
    </w:p>
    <w:p w14:paraId="0A46F53A" w14:textId="7B7BE2E6" w:rsidR="00540798" w:rsidRPr="00CF4E9F" w:rsidRDefault="00F54FC7" w:rsidP="00FB1C7A">
      <w:pPr>
        <w:pStyle w:val="Paragraphe"/>
        <w:spacing w:line="280" w:lineRule="exact"/>
        <w:rPr>
          <w:lang w:val="en-CA"/>
        </w:rPr>
      </w:pPr>
      <w:r w:rsidRPr="00CF4E9F">
        <w:rPr>
          <w:lang w:val="en-CA"/>
        </w:rPr>
        <w:t xml:space="preserve">In </w:t>
      </w:r>
      <w:r w:rsidR="006C2773" w:rsidRPr="00CF4E9F">
        <w:rPr>
          <w:i/>
          <w:lang w:val="en-CA"/>
        </w:rPr>
        <w:t>Dedman</w:t>
      </w:r>
      <w:r w:rsidR="006C2773" w:rsidRPr="00CF4E9F">
        <w:rPr>
          <w:iCs/>
          <w:lang w:val="en-CA"/>
        </w:rPr>
        <w:t>, rendered in</w:t>
      </w:r>
      <w:r w:rsidR="006C2773" w:rsidRPr="00CF4E9F">
        <w:rPr>
          <w:lang w:val="en-CA"/>
        </w:rPr>
        <w:t xml:space="preserve"> </w:t>
      </w:r>
      <w:r w:rsidRPr="00CF4E9F">
        <w:rPr>
          <w:lang w:val="en-CA"/>
        </w:rPr>
        <w:t>1985, t</w:t>
      </w:r>
      <w:r w:rsidR="008373E5" w:rsidRPr="00CF4E9F">
        <w:rPr>
          <w:lang w:val="en-CA"/>
        </w:rPr>
        <w:t>he Supreme Court ruled for the first time on the existence of a power to make random traffic stops.</w:t>
      </w:r>
      <w:r w:rsidR="00CB48BA" w:rsidRPr="00CF4E9F">
        <w:rPr>
          <w:lang w:val="en-CA"/>
        </w:rPr>
        <w:t xml:space="preserve"> </w:t>
      </w:r>
      <w:r w:rsidR="003910E1" w:rsidRPr="00CF4E9F">
        <w:rPr>
          <w:lang w:val="en-CA"/>
        </w:rPr>
        <w:t>Le Dain</w:t>
      </w:r>
      <w:r w:rsidRPr="00CF4E9F">
        <w:rPr>
          <w:lang w:val="en-CA"/>
        </w:rPr>
        <w:t>,</w:t>
      </w:r>
      <w:r w:rsidR="003910E1" w:rsidRPr="00CF4E9F">
        <w:rPr>
          <w:lang w:val="en-CA"/>
        </w:rPr>
        <w:t xml:space="preserve"> J., on behalf of the majority, </w:t>
      </w:r>
      <w:r w:rsidR="006C2773" w:rsidRPr="00CF4E9F">
        <w:rPr>
          <w:lang w:val="en-CA"/>
        </w:rPr>
        <w:lastRenderedPageBreak/>
        <w:t>held</w:t>
      </w:r>
      <w:r w:rsidR="003910E1" w:rsidRPr="00CF4E9F">
        <w:rPr>
          <w:lang w:val="en-CA"/>
        </w:rPr>
        <w:t xml:space="preserve"> that there was common law authority for “random vehicle stop</w:t>
      </w:r>
      <w:r w:rsidR="00263053">
        <w:rPr>
          <w:lang w:val="en-CA"/>
        </w:rPr>
        <w:t>[s]</w:t>
      </w:r>
      <w:r w:rsidR="003910E1" w:rsidRPr="00CF4E9F">
        <w:rPr>
          <w:lang w:val="en-CA"/>
        </w:rPr>
        <w:t xml:space="preserve"> for the purpose contemplated by the </w:t>
      </w:r>
      <w:r w:rsidR="00263053">
        <w:rPr>
          <w:lang w:val="en-CA"/>
        </w:rPr>
        <w:t>[</w:t>
      </w:r>
      <w:r w:rsidR="003910E1" w:rsidRPr="00CF4E9F">
        <w:rPr>
          <w:lang w:val="en-CA"/>
        </w:rPr>
        <w:t xml:space="preserve">program to </w:t>
      </w:r>
      <w:r w:rsidR="007A7740" w:rsidRPr="00CF4E9F">
        <w:rPr>
          <w:lang w:val="en-CA"/>
        </w:rPr>
        <w:t xml:space="preserve">reduce impaired </w:t>
      </w:r>
      <w:r w:rsidR="003910E1" w:rsidRPr="00CF4E9F">
        <w:rPr>
          <w:lang w:val="en-CA"/>
        </w:rPr>
        <w:t>driving</w:t>
      </w:r>
      <w:r w:rsidR="00263053">
        <w:rPr>
          <w:lang w:val="en-CA"/>
        </w:rPr>
        <w:t>]</w:t>
      </w:r>
      <w:r w:rsidR="003910E1" w:rsidRPr="00CF4E9F">
        <w:rPr>
          <w:lang w:val="en-CA"/>
        </w:rPr>
        <w:t>”</w:t>
      </w:r>
      <w:r w:rsidR="003910E1" w:rsidRPr="00CF4E9F">
        <w:rPr>
          <w:rStyle w:val="Appelnotedebasdep"/>
          <w:szCs w:val="24"/>
          <w:lang w:val="en-CA"/>
        </w:rPr>
        <w:footnoteReference w:id="19"/>
      </w:r>
      <w:r w:rsidR="003910E1" w:rsidRPr="00CF4E9F">
        <w:rPr>
          <w:lang w:val="en-CA"/>
        </w:rPr>
        <w:t xml:space="preserve"> (in this instance, </w:t>
      </w:r>
      <w:r w:rsidR="001C4096" w:rsidRPr="00CF4E9F">
        <w:rPr>
          <w:lang w:val="en-CA"/>
        </w:rPr>
        <w:t xml:space="preserve">the </w:t>
      </w:r>
      <w:r w:rsidR="003910E1" w:rsidRPr="00CF4E9F">
        <w:rPr>
          <w:lang w:val="en-CA"/>
        </w:rPr>
        <w:t>“R.I.D.E.</w:t>
      </w:r>
      <w:r w:rsidR="001C4096" w:rsidRPr="00CF4E9F">
        <w:rPr>
          <w:lang w:val="en-CA"/>
        </w:rPr>
        <w:t xml:space="preserve"> program</w:t>
      </w:r>
      <w:r w:rsidR="003910E1" w:rsidRPr="00CF4E9F">
        <w:rPr>
          <w:lang w:val="en-CA"/>
        </w:rPr>
        <w:t>”</w:t>
      </w:r>
      <w:r w:rsidR="003910E1" w:rsidRPr="00CF4E9F">
        <w:rPr>
          <w:rStyle w:val="Appelnotedebasdep"/>
          <w:szCs w:val="24"/>
          <w:lang w:val="en-CA"/>
        </w:rPr>
        <w:footnoteReference w:id="20"/>
      </w:r>
      <w:r w:rsidR="003910E1" w:rsidRPr="00CF4E9F">
        <w:rPr>
          <w:lang w:val="en-CA"/>
        </w:rPr>
        <w:t xml:space="preserve"> introduced in Ontario).</w:t>
      </w:r>
      <w:r w:rsidR="0043013D" w:rsidRPr="00CF4E9F">
        <w:rPr>
          <w:lang w:val="en-CA"/>
        </w:rPr>
        <w:t xml:space="preserve"> </w:t>
      </w:r>
      <w:r w:rsidR="001C4096" w:rsidRPr="00CF4E9F">
        <w:rPr>
          <w:kern w:val="0"/>
          <w:lang w:val="en-CA"/>
        </w:rPr>
        <w:t xml:space="preserve">The </w:t>
      </w:r>
      <w:r w:rsidR="0020184F" w:rsidRPr="00CF4E9F">
        <w:rPr>
          <w:kern w:val="0"/>
          <w:lang w:val="en-CA"/>
        </w:rPr>
        <w:t xml:space="preserve">program’s </w:t>
      </w:r>
      <w:r w:rsidR="001C4096" w:rsidRPr="00CF4E9F">
        <w:rPr>
          <w:kern w:val="0"/>
          <w:lang w:val="en-CA"/>
        </w:rPr>
        <w:t>aim was to “detect, deter and reduce impaired driving”.</w:t>
      </w:r>
      <w:r w:rsidR="001C4096" w:rsidRPr="00CF4E9F">
        <w:rPr>
          <w:kern w:val="0"/>
          <w:vertAlign w:val="superscript"/>
          <w:lang w:val="en-CA"/>
        </w:rPr>
        <w:footnoteReference w:id="21"/>
      </w:r>
      <w:r w:rsidR="000473DD" w:rsidRPr="00CF4E9F">
        <w:rPr>
          <w:kern w:val="0"/>
          <w:lang w:val="en-CA"/>
        </w:rPr>
        <w:t xml:space="preserve"> </w:t>
      </w:r>
      <w:r w:rsidR="001C4096" w:rsidRPr="00CF4E9F">
        <w:rPr>
          <w:kern w:val="0"/>
          <w:lang w:val="en-CA"/>
        </w:rPr>
        <w:t xml:space="preserve">As part of the program, the police </w:t>
      </w:r>
      <w:r w:rsidR="00AE0129">
        <w:rPr>
          <w:kern w:val="0"/>
          <w:lang w:val="en-CA"/>
        </w:rPr>
        <w:t>would go</w:t>
      </w:r>
      <w:r w:rsidR="00AE0129" w:rsidRPr="00CF4E9F">
        <w:rPr>
          <w:kern w:val="0"/>
          <w:lang w:val="en-CA"/>
        </w:rPr>
        <w:t xml:space="preserve"> </w:t>
      </w:r>
      <w:r w:rsidR="0020184F" w:rsidRPr="00CF4E9F">
        <w:rPr>
          <w:kern w:val="0"/>
          <w:lang w:val="en-CA"/>
        </w:rPr>
        <w:t xml:space="preserve">to </w:t>
      </w:r>
      <w:r w:rsidR="001C4096" w:rsidRPr="00CF4E9F">
        <w:rPr>
          <w:kern w:val="0"/>
          <w:lang w:val="en-CA"/>
        </w:rPr>
        <w:t>a location where they believed they could stop several impaired drivers and position themselves there to make random stops.</w:t>
      </w:r>
      <w:r w:rsidR="000473DD" w:rsidRPr="00CF4E9F">
        <w:rPr>
          <w:kern w:val="0"/>
          <w:lang w:val="en-CA"/>
        </w:rPr>
        <w:t xml:space="preserve"> </w:t>
      </w:r>
      <w:r w:rsidR="001C4096" w:rsidRPr="00CF4E9F">
        <w:rPr>
          <w:kern w:val="0"/>
          <w:lang w:val="en-CA"/>
        </w:rPr>
        <w:t xml:space="preserve">They </w:t>
      </w:r>
      <w:r w:rsidR="009F4E8C">
        <w:rPr>
          <w:kern w:val="0"/>
          <w:lang w:val="en-CA"/>
        </w:rPr>
        <w:t xml:space="preserve">would </w:t>
      </w:r>
      <w:r w:rsidR="001C4096" w:rsidRPr="00CF4E9F">
        <w:rPr>
          <w:kern w:val="0"/>
          <w:lang w:val="en-CA"/>
        </w:rPr>
        <w:t>then ask each driver stopped for their driver’s licence and proof of insurance, while noting the general condition of the driver and the vehicle.</w:t>
      </w:r>
      <w:r w:rsidR="000473DD" w:rsidRPr="00CF4E9F">
        <w:rPr>
          <w:kern w:val="0"/>
          <w:lang w:val="en-CA"/>
        </w:rPr>
        <w:t xml:space="preserve"> </w:t>
      </w:r>
      <w:r w:rsidR="001C4096" w:rsidRPr="00CF4E9F">
        <w:rPr>
          <w:kern w:val="0"/>
          <w:lang w:val="en-CA"/>
        </w:rPr>
        <w:t>The purpose of this request was to initiate conversation or contact with the driver to detect drinking driver</w:t>
      </w:r>
      <w:r w:rsidR="001E7353">
        <w:rPr>
          <w:kern w:val="0"/>
          <w:lang w:val="en-CA"/>
        </w:rPr>
        <w:t>s</w:t>
      </w:r>
      <w:r w:rsidR="001C4096" w:rsidRPr="00CF4E9F">
        <w:rPr>
          <w:kern w:val="0"/>
          <w:lang w:val="en-CA"/>
        </w:rPr>
        <w:t>.</w:t>
      </w:r>
      <w:r w:rsidR="000473DD" w:rsidRPr="00CF4E9F">
        <w:rPr>
          <w:kern w:val="0"/>
          <w:lang w:val="en-CA"/>
        </w:rPr>
        <w:t xml:space="preserve"> </w:t>
      </w:r>
      <w:r w:rsidR="001C4096" w:rsidRPr="00CF4E9F">
        <w:rPr>
          <w:lang w:val="en-CA"/>
        </w:rPr>
        <w:t>Note that R.I.D.E. officers were equipped with approved roadside screening devices to permit them to make demands for breath “if they form</w:t>
      </w:r>
      <w:r w:rsidR="0020184F" w:rsidRPr="00CF4E9F">
        <w:rPr>
          <w:rFonts w:cs="Arial"/>
          <w:lang w:val="en-CA"/>
        </w:rPr>
        <w:t>[</w:t>
      </w:r>
      <w:r w:rsidR="001C4096" w:rsidRPr="00CF4E9F">
        <w:rPr>
          <w:lang w:val="en-CA"/>
        </w:rPr>
        <w:t>ed</w:t>
      </w:r>
      <w:r w:rsidR="0020184F" w:rsidRPr="00CF4E9F">
        <w:rPr>
          <w:rFonts w:cs="Arial"/>
          <w:lang w:val="en-CA"/>
        </w:rPr>
        <w:t>]</w:t>
      </w:r>
      <w:r w:rsidR="001C4096" w:rsidRPr="00CF4E9F">
        <w:rPr>
          <w:lang w:val="en-CA"/>
        </w:rPr>
        <w:t xml:space="preserve"> the requisite grounds for a demand”</w:t>
      </w:r>
      <w:r w:rsidR="001C4096" w:rsidRPr="00CF4E9F">
        <w:rPr>
          <w:rStyle w:val="Appelnotedebasdep"/>
          <w:szCs w:val="24"/>
          <w:lang w:val="en-CA"/>
        </w:rPr>
        <w:footnoteReference w:id="22"/>
      </w:r>
      <w:r w:rsidR="001C4096" w:rsidRPr="00CF4E9F">
        <w:rPr>
          <w:lang w:val="en-CA"/>
        </w:rPr>
        <w:t xml:space="preserve"> after they initiated conversation or contact with the driver.</w:t>
      </w:r>
      <w:r w:rsidR="0043013D" w:rsidRPr="00CF4E9F">
        <w:rPr>
          <w:kern w:val="0"/>
          <w:lang w:val="en-CA"/>
        </w:rPr>
        <w:t xml:space="preserve"> </w:t>
      </w:r>
    </w:p>
    <w:p w14:paraId="5F3A761B" w14:textId="6F9D9F0C" w:rsidR="00540798" w:rsidRPr="00CF4E9F" w:rsidRDefault="00D1633B" w:rsidP="00FB1C7A">
      <w:pPr>
        <w:pStyle w:val="Paragraphe"/>
        <w:spacing w:line="280" w:lineRule="exact"/>
        <w:rPr>
          <w:lang w:val="en-CA"/>
        </w:rPr>
      </w:pPr>
      <w:r w:rsidRPr="00CF4E9F">
        <w:rPr>
          <w:lang w:val="en-CA"/>
        </w:rPr>
        <w:t xml:space="preserve">At the time of the facts </w:t>
      </w:r>
      <w:r w:rsidR="0020184F" w:rsidRPr="00CF4E9F">
        <w:rPr>
          <w:lang w:val="en-CA"/>
        </w:rPr>
        <w:t xml:space="preserve">giving rise to </w:t>
      </w:r>
      <w:r w:rsidRPr="00CF4E9F">
        <w:rPr>
          <w:lang w:val="en-CA"/>
        </w:rPr>
        <w:t>th</w:t>
      </w:r>
      <w:r w:rsidR="00C96D06">
        <w:rPr>
          <w:lang w:val="en-CA"/>
        </w:rPr>
        <w:t>at</w:t>
      </w:r>
      <w:r w:rsidRPr="00CF4E9F">
        <w:rPr>
          <w:lang w:val="en-CA"/>
        </w:rPr>
        <w:t xml:space="preserve"> case, the </w:t>
      </w:r>
      <w:r w:rsidRPr="00CF4E9F">
        <w:rPr>
          <w:i/>
          <w:iCs/>
          <w:lang w:val="en-CA"/>
        </w:rPr>
        <w:t>Charter</w:t>
      </w:r>
      <w:r w:rsidRPr="00CF4E9F">
        <w:rPr>
          <w:lang w:val="en-CA"/>
        </w:rPr>
        <w:t xml:space="preserve"> had not yet entered into force and no law authorized the R.I.D.E. program. Le Dain</w:t>
      </w:r>
      <w:r w:rsidR="00833993" w:rsidRPr="00CF4E9F">
        <w:rPr>
          <w:lang w:val="en-CA"/>
        </w:rPr>
        <w:t>,</w:t>
      </w:r>
      <w:r w:rsidRPr="00CF4E9F">
        <w:rPr>
          <w:lang w:val="en-CA"/>
        </w:rPr>
        <w:t xml:space="preserve"> J., for the majority, applied the test laid down by Ashworth</w:t>
      </w:r>
      <w:r w:rsidR="00833993" w:rsidRPr="00CF4E9F">
        <w:rPr>
          <w:lang w:val="en-CA"/>
        </w:rPr>
        <w:t>,</w:t>
      </w:r>
      <w:r w:rsidRPr="00CF4E9F">
        <w:rPr>
          <w:lang w:val="en-CA"/>
        </w:rPr>
        <w:t xml:space="preserve"> J. of the English Court of Appeal in </w:t>
      </w:r>
      <w:r w:rsidRPr="00CF4E9F">
        <w:rPr>
          <w:i/>
          <w:lang w:val="en-CA"/>
        </w:rPr>
        <w:t>R. v. Waterfield</w:t>
      </w:r>
      <w:r w:rsidRPr="00CF4E9F">
        <w:rPr>
          <w:rStyle w:val="Appelnotedebasdep"/>
          <w:lang w:val="en-CA"/>
        </w:rPr>
        <w:footnoteReference w:id="23"/>
      </w:r>
      <w:r w:rsidRPr="00CF4E9F">
        <w:rPr>
          <w:lang w:val="en-CA"/>
        </w:rPr>
        <w:t xml:space="preserve"> and determined that the police had common law authority to stop a vehicle for the purpose of this program.</w:t>
      </w:r>
      <w:r w:rsidR="0043013D" w:rsidRPr="00CF4E9F">
        <w:rPr>
          <w:lang w:val="en-CA"/>
        </w:rPr>
        <w:t xml:space="preserve"> </w:t>
      </w:r>
      <w:r w:rsidRPr="00CF4E9F">
        <w:rPr>
          <w:lang w:val="en-CA"/>
        </w:rPr>
        <w:t xml:space="preserve">He did not rule on whether there was common law authority to </w:t>
      </w:r>
      <w:r w:rsidR="00DD56FF">
        <w:rPr>
          <w:lang w:val="en-CA"/>
        </w:rPr>
        <w:t xml:space="preserve">make </w:t>
      </w:r>
      <w:r w:rsidRPr="00CF4E9F">
        <w:rPr>
          <w:lang w:val="en-CA"/>
        </w:rPr>
        <w:t>random stop</w:t>
      </w:r>
      <w:r w:rsidR="00DD56FF">
        <w:rPr>
          <w:lang w:val="en-CA"/>
        </w:rPr>
        <w:t>s</w:t>
      </w:r>
      <w:r w:rsidRPr="00CF4E9F">
        <w:rPr>
          <w:lang w:val="en-CA"/>
        </w:rPr>
        <w:t xml:space="preserve"> while on patrol</w:t>
      </w:r>
      <w:r w:rsidR="00A8596C">
        <w:rPr>
          <w:lang w:val="en-CA"/>
        </w:rPr>
        <w:t xml:space="preserve"> –</w:t>
      </w:r>
      <w:r w:rsidRPr="00CF4E9F">
        <w:rPr>
          <w:lang w:val="en-CA"/>
        </w:rPr>
        <w:t xml:space="preserve"> that is, outside an organized program</w:t>
      </w:r>
      <w:r w:rsidR="00A8596C">
        <w:rPr>
          <w:lang w:val="en-CA"/>
        </w:rPr>
        <w:t xml:space="preserve"> –</w:t>
      </w:r>
      <w:r w:rsidRPr="00CF4E9F">
        <w:rPr>
          <w:lang w:val="en-CA"/>
        </w:rPr>
        <w:t xml:space="preserve"> to </w:t>
      </w:r>
      <w:r w:rsidR="007E42CC" w:rsidRPr="00CF4E9F">
        <w:rPr>
          <w:lang w:val="en-CA"/>
        </w:rPr>
        <w:t>conduct</w:t>
      </w:r>
      <w:r w:rsidRPr="00CF4E9F">
        <w:rPr>
          <w:lang w:val="en-CA"/>
        </w:rPr>
        <w:t xml:space="preserve"> routine checks.</w:t>
      </w:r>
    </w:p>
    <w:p w14:paraId="60D1C0F3" w14:textId="1EF6BFA8" w:rsidR="00540798" w:rsidRPr="00CF4E9F" w:rsidRDefault="00D1633B" w:rsidP="00FB1C7A">
      <w:pPr>
        <w:pStyle w:val="Paragraphe"/>
        <w:spacing w:line="280" w:lineRule="exact"/>
        <w:rPr>
          <w:lang w:val="en-CA"/>
        </w:rPr>
      </w:pPr>
      <w:r w:rsidRPr="00CF4E9F">
        <w:rPr>
          <w:lang w:val="en-CA"/>
        </w:rPr>
        <w:t>Three years later</w:t>
      </w:r>
      <w:r w:rsidR="000E3AED">
        <w:rPr>
          <w:lang w:val="en-CA"/>
        </w:rPr>
        <w:t>,</w:t>
      </w:r>
      <w:r w:rsidRPr="00CF4E9F">
        <w:rPr>
          <w:lang w:val="en-CA"/>
        </w:rPr>
        <w:t xml:space="preserve"> in </w:t>
      </w:r>
      <w:r w:rsidRPr="00CF4E9F">
        <w:rPr>
          <w:i/>
          <w:lang w:val="en-CA"/>
        </w:rPr>
        <w:t>Hufsky</w:t>
      </w:r>
      <w:r w:rsidRPr="00CF4E9F">
        <w:rPr>
          <w:lang w:val="en-CA"/>
        </w:rPr>
        <w:t xml:space="preserve">, the Supreme Court </w:t>
      </w:r>
      <w:r w:rsidR="00EB622C">
        <w:rPr>
          <w:lang w:val="en-CA"/>
        </w:rPr>
        <w:t xml:space="preserve">considered </w:t>
      </w:r>
      <w:r w:rsidRPr="00CF4E9F">
        <w:rPr>
          <w:lang w:val="en-CA"/>
        </w:rPr>
        <w:t>the constitutionality of random stop</w:t>
      </w:r>
      <w:r w:rsidR="00C96D06">
        <w:rPr>
          <w:lang w:val="en-CA"/>
        </w:rPr>
        <w:t>s</w:t>
      </w:r>
      <w:r w:rsidRPr="00CF4E9F">
        <w:rPr>
          <w:lang w:val="en-CA"/>
        </w:rPr>
        <w:t xml:space="preserve"> </w:t>
      </w:r>
      <w:r w:rsidR="00867E2D" w:rsidRPr="00CF4E9F">
        <w:rPr>
          <w:lang w:val="en-CA"/>
        </w:rPr>
        <w:t xml:space="preserve">of a vehicle </w:t>
      </w:r>
      <w:r w:rsidRPr="00CF4E9F">
        <w:rPr>
          <w:lang w:val="en-CA"/>
        </w:rPr>
        <w:t xml:space="preserve">by police </w:t>
      </w:r>
      <w:r w:rsidR="00867E2D" w:rsidRPr="00CF4E9F">
        <w:rPr>
          <w:lang w:val="en-CA"/>
        </w:rPr>
        <w:t>officer</w:t>
      </w:r>
      <w:r w:rsidR="00C96D06">
        <w:rPr>
          <w:lang w:val="en-CA"/>
        </w:rPr>
        <w:t>s</w:t>
      </w:r>
      <w:r w:rsidR="00867E2D" w:rsidRPr="00CF4E9F">
        <w:rPr>
          <w:lang w:val="en-CA"/>
        </w:rPr>
        <w:t xml:space="preserve"> in the course of </w:t>
      </w:r>
      <w:r w:rsidRPr="00CF4E9F">
        <w:rPr>
          <w:lang w:val="en-CA"/>
        </w:rPr>
        <w:t xml:space="preserve">“spot check duty”, at a </w:t>
      </w:r>
      <w:r w:rsidR="00867E2D" w:rsidRPr="00CF4E9F">
        <w:rPr>
          <w:lang w:val="en-CA"/>
        </w:rPr>
        <w:t>given</w:t>
      </w:r>
      <w:r w:rsidRPr="00CF4E9F">
        <w:rPr>
          <w:lang w:val="en-CA"/>
        </w:rPr>
        <w:t xml:space="preserve"> location, “for the purposes of checking driver’s licences and proof of insurance, the mechanical fitness of vehicles and the condition or </w:t>
      </w:r>
      <w:r w:rsidR="00A24E5A">
        <w:rPr>
          <w:lang w:val="en-CA"/>
        </w:rPr>
        <w:t>‘</w:t>
      </w:r>
      <w:r w:rsidRPr="00CF4E9F">
        <w:rPr>
          <w:lang w:val="en-CA"/>
        </w:rPr>
        <w:t>sobriety</w:t>
      </w:r>
      <w:r w:rsidR="00A24E5A">
        <w:rPr>
          <w:lang w:val="en-CA"/>
        </w:rPr>
        <w:t>’</w:t>
      </w:r>
      <w:r w:rsidRPr="00CF4E9F">
        <w:rPr>
          <w:lang w:val="en-CA"/>
        </w:rPr>
        <w:t xml:space="preserve"> of drivers”.</w:t>
      </w:r>
      <w:r w:rsidRPr="00CF4E9F">
        <w:rPr>
          <w:vertAlign w:val="superscript"/>
          <w:lang w:val="en-CA"/>
        </w:rPr>
        <w:footnoteReference w:id="24"/>
      </w:r>
      <w:r w:rsidR="0043013D" w:rsidRPr="00CF4E9F">
        <w:rPr>
          <w:lang w:val="en-CA"/>
        </w:rPr>
        <w:t xml:space="preserve"> </w:t>
      </w:r>
      <w:r w:rsidRPr="00CF4E9F">
        <w:rPr>
          <w:lang w:val="en-CA"/>
        </w:rPr>
        <w:t xml:space="preserve">The Crown </w:t>
      </w:r>
      <w:r w:rsidRPr="00CF4E9F">
        <w:rPr>
          <w:lang w:val="en-CA"/>
        </w:rPr>
        <w:lastRenderedPageBreak/>
        <w:t xml:space="preserve">argued that the “spot check </w:t>
      </w:r>
      <w:r w:rsidR="00CA40B4" w:rsidRPr="00CF4E9F">
        <w:rPr>
          <w:lang w:val="en-CA"/>
        </w:rPr>
        <w:t>procedure</w:t>
      </w:r>
      <w:r w:rsidRPr="00CF4E9F">
        <w:rPr>
          <w:lang w:val="en-CA"/>
        </w:rPr>
        <w:t>” w</w:t>
      </w:r>
      <w:r w:rsidR="00CA40B4" w:rsidRPr="00CF4E9F">
        <w:rPr>
          <w:lang w:val="en-CA"/>
        </w:rPr>
        <w:t>as</w:t>
      </w:r>
      <w:r w:rsidRPr="00CF4E9F">
        <w:rPr>
          <w:lang w:val="en-CA"/>
        </w:rPr>
        <w:t xml:space="preserve"> authorized under </w:t>
      </w:r>
      <w:r w:rsidR="00162E51">
        <w:rPr>
          <w:lang w:val="en-CA"/>
        </w:rPr>
        <w:t>s. </w:t>
      </w:r>
      <w:r w:rsidRPr="00CF4E9F">
        <w:rPr>
          <w:rFonts w:cs="Arial"/>
          <w:szCs w:val="24"/>
          <w:lang w:val="en-CA"/>
        </w:rPr>
        <w:t xml:space="preserve">189a(1) of the Ontario </w:t>
      </w:r>
      <w:r w:rsidR="00C87C70" w:rsidRPr="00CF4E9F">
        <w:rPr>
          <w:rFonts w:cs="Arial"/>
          <w:i/>
          <w:iCs/>
          <w:szCs w:val="24"/>
          <w:lang w:val="en-CA"/>
        </w:rPr>
        <w:t>Highway</w:t>
      </w:r>
      <w:r w:rsidR="00C87C70" w:rsidRPr="00CF4E9F">
        <w:rPr>
          <w:rFonts w:cs="Arial"/>
          <w:szCs w:val="24"/>
          <w:lang w:val="en-CA"/>
        </w:rPr>
        <w:t xml:space="preserve"> </w:t>
      </w:r>
      <w:r w:rsidRPr="00CF4E9F">
        <w:rPr>
          <w:rFonts w:cs="Arial"/>
          <w:i/>
          <w:szCs w:val="24"/>
          <w:lang w:val="en-CA"/>
        </w:rPr>
        <w:t>Traffic Act</w:t>
      </w:r>
      <w:r w:rsidRPr="00CF4E9F">
        <w:rPr>
          <w:rFonts w:cs="Arial"/>
          <w:szCs w:val="24"/>
          <w:lang w:val="en-CA"/>
        </w:rPr>
        <w:t>,</w:t>
      </w:r>
      <w:r w:rsidRPr="00CF4E9F">
        <w:rPr>
          <w:vertAlign w:val="superscript"/>
          <w:lang w:val="en-CA"/>
        </w:rPr>
        <w:footnoteReference w:id="25"/>
      </w:r>
      <w:r w:rsidRPr="00CF4E9F">
        <w:rPr>
          <w:lang w:val="en-CA"/>
        </w:rPr>
        <w:t xml:space="preserve"> worded </w:t>
      </w:r>
      <w:r w:rsidR="00283F6B" w:rsidRPr="00CF4E9F">
        <w:rPr>
          <w:lang w:val="en-CA"/>
        </w:rPr>
        <w:t xml:space="preserve">as follows </w:t>
      </w:r>
      <w:r w:rsidRPr="00CF4E9F">
        <w:rPr>
          <w:lang w:val="en-CA"/>
        </w:rPr>
        <w:t>at the time:</w:t>
      </w:r>
    </w:p>
    <w:tbl>
      <w:tblPr>
        <w:tblW w:w="0" w:type="auto"/>
        <w:tblCellMar>
          <w:left w:w="70" w:type="dxa"/>
          <w:right w:w="70" w:type="dxa"/>
        </w:tblCellMar>
        <w:tblLook w:val="0000" w:firstRow="0" w:lastRow="0" w:firstColumn="0" w:lastColumn="0" w:noHBand="0" w:noVBand="0"/>
      </w:tblPr>
      <w:tblGrid>
        <w:gridCol w:w="4680"/>
        <w:gridCol w:w="4680"/>
      </w:tblGrid>
      <w:tr w:rsidR="00B9322F" w:rsidRPr="00CF4E9F" w14:paraId="2E36768B" w14:textId="57C45463" w:rsidTr="00643B26">
        <w:tc>
          <w:tcPr>
            <w:tcW w:w="4680" w:type="dxa"/>
            <w:shd w:val="clear" w:color="auto" w:fill="auto"/>
          </w:tcPr>
          <w:p w14:paraId="6CEBD425" w14:textId="77777777" w:rsidR="00B9322F" w:rsidRPr="00CF4E9F" w:rsidRDefault="00B9322F" w:rsidP="00CA40B4">
            <w:pPr>
              <w:spacing w:before="60" w:after="60"/>
              <w:ind w:left="634" w:right="215"/>
              <w:jc w:val="both"/>
              <w:rPr>
                <w:sz w:val="22"/>
                <w:lang w:val="en-CA"/>
              </w:rPr>
            </w:pPr>
            <w:r w:rsidRPr="00CF4E9F">
              <w:rPr>
                <w:b/>
                <w:bCs/>
                <w:sz w:val="22"/>
                <w:lang w:val="en-CA"/>
              </w:rPr>
              <w:t>189a(1).</w:t>
            </w:r>
            <w:r w:rsidRPr="00CF4E9F">
              <w:rPr>
                <w:sz w:val="22"/>
                <w:lang w:val="en-CA"/>
              </w:rPr>
              <w:t xml:space="preserve"> A police officer, in the lawful execution of his duties and responsibilities, may require the driver of a motor vehicle to stop and the driver of a motor vehicle, when signalled or requested to stop by a police officer who is readily identifiable as such, shall immediately come to a safe stop.</w:t>
            </w:r>
          </w:p>
        </w:tc>
        <w:tc>
          <w:tcPr>
            <w:tcW w:w="4680" w:type="dxa"/>
          </w:tcPr>
          <w:p w14:paraId="21E62EB6" w14:textId="65E86CDC" w:rsidR="00B9322F" w:rsidRPr="00EB622C" w:rsidRDefault="00B9322F" w:rsidP="00B9322F">
            <w:pPr>
              <w:spacing w:before="60" w:after="60"/>
              <w:ind w:left="142" w:right="720"/>
              <w:jc w:val="both"/>
              <w:rPr>
                <w:b/>
                <w:bCs/>
                <w:sz w:val="22"/>
              </w:rPr>
            </w:pPr>
            <w:r w:rsidRPr="00EB622C">
              <w:rPr>
                <w:b/>
                <w:bCs/>
                <w:sz w:val="22"/>
              </w:rPr>
              <w:t>189a(1).</w:t>
            </w:r>
            <w:r w:rsidRPr="00EB622C">
              <w:rPr>
                <w:sz w:val="22"/>
              </w:rPr>
              <w:t xml:space="preserve"> Un agent de police, dans l’exercice légitime de ses fonctions, peut exiger du conducteur d’un véhicule automobile qu’il s’arrête. Si tel est le cas, le conducteur obtempère immédiatement à la demande de l’agent identifiable à première vue comme tel.</w:t>
            </w:r>
          </w:p>
        </w:tc>
      </w:tr>
    </w:tbl>
    <w:p w14:paraId="7A6E89EF" w14:textId="51A6721D" w:rsidR="00540798" w:rsidRPr="00CF4E9F" w:rsidRDefault="00345AD9" w:rsidP="00EE4679">
      <w:pPr>
        <w:pStyle w:val="Paragraphe"/>
        <w:spacing w:before="240" w:line="280" w:lineRule="exact"/>
        <w:rPr>
          <w:lang w:val="en-CA"/>
        </w:rPr>
      </w:pPr>
      <w:bookmarkStart w:id="20" w:name="_Hlk162442036"/>
      <w:r w:rsidRPr="00CF4E9F">
        <w:rPr>
          <w:lang w:val="en-CA"/>
        </w:rPr>
        <w:t xml:space="preserve">The Crown did not claim that there was federal statutory authority for </w:t>
      </w:r>
      <w:r w:rsidR="00CA40B4" w:rsidRPr="00CF4E9F">
        <w:rPr>
          <w:lang w:val="en-CA"/>
        </w:rPr>
        <w:t xml:space="preserve">the </w:t>
      </w:r>
      <w:r w:rsidRPr="00CF4E9F">
        <w:rPr>
          <w:lang w:val="en-CA"/>
        </w:rPr>
        <w:t xml:space="preserve">random stop or rely on the “common law authority for a random stop </w:t>
      </w:r>
      <w:r w:rsidRPr="00CF4E9F">
        <w:rPr>
          <w:rFonts w:cs="Arial"/>
          <w:lang w:val="en-CA"/>
        </w:rPr>
        <w:t>[</w:t>
      </w:r>
      <w:r w:rsidRPr="00CF4E9F">
        <w:rPr>
          <w:lang w:val="en-CA"/>
        </w:rPr>
        <w:t>of a driver</w:t>
      </w:r>
      <w:r w:rsidRPr="00CF4E9F">
        <w:rPr>
          <w:rFonts w:cs="Arial"/>
          <w:lang w:val="en-CA"/>
        </w:rPr>
        <w:t>]</w:t>
      </w:r>
      <w:r w:rsidRPr="00CF4E9F">
        <w:rPr>
          <w:lang w:val="en-CA"/>
        </w:rPr>
        <w:t xml:space="preserve"> affirmed in </w:t>
      </w:r>
      <w:r w:rsidRPr="00CF4E9F">
        <w:rPr>
          <w:i/>
          <w:iCs/>
          <w:lang w:val="en-CA"/>
        </w:rPr>
        <w:t>Dedman</w:t>
      </w:r>
      <w:r w:rsidRPr="00CF4E9F">
        <w:rPr>
          <w:lang w:val="en-CA"/>
        </w:rPr>
        <w:t>”.</w:t>
      </w:r>
      <w:r w:rsidRPr="00CF4E9F">
        <w:rPr>
          <w:rStyle w:val="Appelnotedebasdep"/>
          <w:lang w:val="en-CA"/>
        </w:rPr>
        <w:footnoteReference w:id="26"/>
      </w:r>
      <w:r w:rsidR="0043013D" w:rsidRPr="00CF4E9F">
        <w:rPr>
          <w:lang w:val="en-CA"/>
        </w:rPr>
        <w:t xml:space="preserve"> </w:t>
      </w:r>
      <w:r w:rsidRPr="00CF4E9F">
        <w:rPr>
          <w:lang w:val="en-CA"/>
        </w:rPr>
        <w:t xml:space="preserve">The Crown instead referred to the reasoning in </w:t>
      </w:r>
      <w:r w:rsidRPr="00CF4E9F">
        <w:rPr>
          <w:i/>
          <w:lang w:val="en-CA"/>
        </w:rPr>
        <w:t>Dedman</w:t>
      </w:r>
      <w:r w:rsidRPr="00CF4E9F">
        <w:rPr>
          <w:lang w:val="en-CA"/>
        </w:rPr>
        <w:t xml:space="preserve"> </w:t>
      </w:r>
      <w:r w:rsidR="006A37E1">
        <w:rPr>
          <w:lang w:val="en-CA"/>
        </w:rPr>
        <w:t xml:space="preserve">to argue in favour of </w:t>
      </w:r>
      <w:r w:rsidRPr="00CF4E9F">
        <w:rPr>
          <w:lang w:val="en-CA"/>
        </w:rPr>
        <w:t>the constitutionality of the random stop authority conferred by</w:t>
      </w:r>
      <w:r w:rsidR="0043013D" w:rsidRPr="00CF4E9F">
        <w:rPr>
          <w:lang w:val="en-CA"/>
        </w:rPr>
        <w:t> </w:t>
      </w:r>
      <w:r w:rsidR="00162E51">
        <w:rPr>
          <w:lang w:val="en-CA"/>
        </w:rPr>
        <w:t>s. </w:t>
      </w:r>
      <w:r w:rsidRPr="00CF4E9F">
        <w:rPr>
          <w:lang w:val="en-CA"/>
        </w:rPr>
        <w:t xml:space="preserve">189a(1) of the Ontario </w:t>
      </w:r>
      <w:r w:rsidRPr="00CF4E9F">
        <w:rPr>
          <w:i/>
          <w:lang w:val="en-CA"/>
        </w:rPr>
        <w:t>Highway Traffic Act</w:t>
      </w:r>
      <w:r w:rsidRPr="00CF4E9F">
        <w:rPr>
          <w:lang w:val="en-CA"/>
        </w:rPr>
        <w:t>.</w:t>
      </w:r>
      <w:r w:rsidR="0043013D" w:rsidRPr="00CF4E9F">
        <w:rPr>
          <w:lang w:val="en-CA"/>
        </w:rPr>
        <w:t xml:space="preserve"> </w:t>
      </w:r>
      <w:bookmarkEnd w:id="20"/>
    </w:p>
    <w:p w14:paraId="7DAE950D" w14:textId="551D0D94" w:rsidR="00540798" w:rsidRPr="00CF4E9F" w:rsidRDefault="00345AD9" w:rsidP="00FB1C7A">
      <w:pPr>
        <w:pStyle w:val="Paragraphe"/>
        <w:spacing w:line="280" w:lineRule="exact"/>
        <w:rPr>
          <w:lang w:val="en-CA"/>
        </w:rPr>
      </w:pPr>
      <w:r w:rsidRPr="00CF4E9F">
        <w:rPr>
          <w:lang w:val="en-CA"/>
        </w:rPr>
        <w:t xml:space="preserve">The appellant, who was </w:t>
      </w:r>
      <w:r w:rsidR="00CA5231" w:rsidRPr="00CF4E9F">
        <w:rPr>
          <w:lang w:val="en-CA"/>
        </w:rPr>
        <w:t xml:space="preserve">charged with </w:t>
      </w:r>
      <w:r w:rsidRPr="00CF4E9F">
        <w:rPr>
          <w:lang w:val="en-CA"/>
        </w:rPr>
        <w:t xml:space="preserve">refusing to provide a sample of breath into the roadside screening device (contrary to </w:t>
      </w:r>
      <w:r w:rsidR="00162E51">
        <w:rPr>
          <w:lang w:val="en-CA"/>
        </w:rPr>
        <w:t>s. </w:t>
      </w:r>
      <w:r w:rsidRPr="00CF4E9F">
        <w:rPr>
          <w:lang w:val="en-CA"/>
        </w:rPr>
        <w:t>234.1(2)</w:t>
      </w:r>
      <w:r w:rsidR="0030762F" w:rsidRPr="0030762F">
        <w:rPr>
          <w:i/>
          <w:lang w:val="en-CA"/>
        </w:rPr>
        <w:t> Cr.C.</w:t>
      </w:r>
      <w:r w:rsidRPr="00CF4E9F">
        <w:rPr>
          <w:lang w:val="en-CA"/>
        </w:rPr>
        <w:t xml:space="preserve"> in force at the time), claimed, among other</w:t>
      </w:r>
      <w:r w:rsidR="004A0BA9">
        <w:rPr>
          <w:lang w:val="en-CA"/>
        </w:rPr>
        <w:t xml:space="preserve"> things</w:t>
      </w:r>
      <w:r w:rsidRPr="00CF4E9F">
        <w:rPr>
          <w:lang w:val="en-CA"/>
        </w:rPr>
        <w:t>, that “the random stop and spot check procedure”</w:t>
      </w:r>
      <w:r w:rsidRPr="00CF4E9F">
        <w:rPr>
          <w:rStyle w:val="Appelnotedebasdep"/>
          <w:lang w:val="en-CA"/>
        </w:rPr>
        <w:footnoteReference w:id="27"/>
      </w:r>
      <w:r w:rsidRPr="00CF4E9F">
        <w:rPr>
          <w:lang w:val="en-CA"/>
        </w:rPr>
        <w:t xml:space="preserve"> authorized under </w:t>
      </w:r>
      <w:r w:rsidR="00162E51">
        <w:rPr>
          <w:lang w:val="en-CA"/>
        </w:rPr>
        <w:t>s. </w:t>
      </w:r>
      <w:r w:rsidRPr="00CF4E9F">
        <w:rPr>
          <w:lang w:val="en-CA"/>
        </w:rPr>
        <w:t xml:space="preserve">189a(1) infringed the right not to be arbitrarily detained guaranteed by </w:t>
      </w:r>
      <w:r w:rsidR="00162E51">
        <w:rPr>
          <w:lang w:val="en-CA"/>
        </w:rPr>
        <w:t>s. </w:t>
      </w:r>
      <w:r w:rsidRPr="00CF4E9F">
        <w:rPr>
          <w:lang w:val="en-CA"/>
        </w:rPr>
        <w:t xml:space="preserve">9 of the </w:t>
      </w:r>
      <w:r w:rsidRPr="00CF4E9F">
        <w:rPr>
          <w:i/>
          <w:lang w:val="en-CA"/>
        </w:rPr>
        <w:t>Charter</w:t>
      </w:r>
      <w:r w:rsidRPr="00CF4E9F">
        <w:rPr>
          <w:lang w:val="en-CA"/>
        </w:rPr>
        <w:t>.</w:t>
      </w:r>
      <w:r w:rsidR="0043013D" w:rsidRPr="00CF4E9F">
        <w:rPr>
          <w:lang w:val="en-CA"/>
        </w:rPr>
        <w:t xml:space="preserve"> </w:t>
      </w:r>
      <w:r w:rsidRPr="00CF4E9F">
        <w:rPr>
          <w:kern w:val="0"/>
          <w:lang w:val="en-CA"/>
        </w:rPr>
        <w:t>Le Dain,</w:t>
      </w:r>
      <w:r w:rsidR="00826805" w:rsidRPr="00CF4E9F">
        <w:rPr>
          <w:kern w:val="0"/>
          <w:lang w:val="en-CA"/>
        </w:rPr>
        <w:t xml:space="preserve"> J.,</w:t>
      </w:r>
      <w:r w:rsidRPr="00CF4E9F">
        <w:rPr>
          <w:kern w:val="0"/>
          <w:lang w:val="en-CA"/>
        </w:rPr>
        <w:t xml:space="preserve"> on behalf of the Court, determined that the detention resulting from “the random stop of the appellant for the purposes of the spot check procedure, although of relatively brief duration”,</w:t>
      </w:r>
      <w:r w:rsidRPr="00CF4E9F">
        <w:rPr>
          <w:kern w:val="0"/>
          <w:vertAlign w:val="superscript"/>
          <w:lang w:val="en-CA"/>
        </w:rPr>
        <w:footnoteReference w:id="28"/>
      </w:r>
      <w:r w:rsidRPr="00CF4E9F">
        <w:rPr>
          <w:kern w:val="0"/>
          <w:lang w:val="en-CA"/>
        </w:rPr>
        <w:t xml:space="preserve"> was necessarily arbitrary because there were “no criteria for the selection of the drivers to be stopped and subjected to the spot check procedure”.</w:t>
      </w:r>
      <w:r w:rsidRPr="00CF4E9F">
        <w:rPr>
          <w:kern w:val="0"/>
          <w:vertAlign w:val="superscript"/>
          <w:lang w:val="en-CA"/>
        </w:rPr>
        <w:footnoteReference w:id="29"/>
      </w:r>
      <w:r w:rsidR="0043013D" w:rsidRPr="00CF4E9F">
        <w:rPr>
          <w:kern w:val="0"/>
          <w:lang w:val="en-CA"/>
        </w:rPr>
        <w:t xml:space="preserve"> </w:t>
      </w:r>
      <w:r w:rsidRPr="00CF4E9F">
        <w:rPr>
          <w:kern w:val="0"/>
          <w:lang w:val="en-CA"/>
        </w:rPr>
        <w:t>Le Dain</w:t>
      </w:r>
      <w:r w:rsidR="00826805" w:rsidRPr="00CF4E9F">
        <w:rPr>
          <w:kern w:val="0"/>
          <w:lang w:val="en-CA"/>
        </w:rPr>
        <w:t>,</w:t>
      </w:r>
      <w:r w:rsidRPr="00CF4E9F">
        <w:rPr>
          <w:kern w:val="0"/>
          <w:lang w:val="en-CA"/>
        </w:rPr>
        <w:t xml:space="preserve"> J. concluded, however, that the infringement was justified under </w:t>
      </w:r>
      <w:r w:rsidR="00162E51">
        <w:rPr>
          <w:kern w:val="0"/>
          <w:lang w:val="en-CA"/>
        </w:rPr>
        <w:t>s. </w:t>
      </w:r>
      <w:r w:rsidRPr="00CF4E9F">
        <w:rPr>
          <w:kern w:val="0"/>
          <w:lang w:val="en-CA"/>
        </w:rPr>
        <w:t xml:space="preserve">1 of the </w:t>
      </w:r>
      <w:r w:rsidRPr="00CF4E9F">
        <w:rPr>
          <w:i/>
          <w:kern w:val="0"/>
          <w:lang w:val="en-CA"/>
        </w:rPr>
        <w:t>Charter</w:t>
      </w:r>
      <w:r w:rsidRPr="00CF4E9F">
        <w:rPr>
          <w:kern w:val="0"/>
          <w:lang w:val="en-CA"/>
        </w:rPr>
        <w:t>.</w:t>
      </w:r>
    </w:p>
    <w:p w14:paraId="2D98FE0C" w14:textId="66C0BE16" w:rsidR="00540798" w:rsidRPr="00CF4E9F" w:rsidRDefault="00345AD9" w:rsidP="00FB1C7A">
      <w:pPr>
        <w:pStyle w:val="Paragraphe"/>
        <w:spacing w:line="280" w:lineRule="exact"/>
        <w:rPr>
          <w:lang w:val="en-CA"/>
        </w:rPr>
      </w:pPr>
      <w:r w:rsidRPr="008735BC">
        <w:rPr>
          <w:lang w:val="en-CA"/>
        </w:rPr>
        <w:t xml:space="preserve">In </w:t>
      </w:r>
      <w:r w:rsidRPr="008735BC">
        <w:rPr>
          <w:i/>
          <w:lang w:val="en-CA"/>
        </w:rPr>
        <w:t>Ladouceur</w:t>
      </w:r>
      <w:r w:rsidRPr="008735BC">
        <w:rPr>
          <w:lang w:val="en-CA"/>
        </w:rPr>
        <w:t xml:space="preserve">, the Supreme Court </w:t>
      </w:r>
      <w:r w:rsidR="002E2824" w:rsidRPr="008735BC">
        <w:rPr>
          <w:lang w:val="en-CA"/>
        </w:rPr>
        <w:t>was</w:t>
      </w:r>
      <w:r w:rsidRPr="008735BC">
        <w:rPr>
          <w:lang w:val="en-CA"/>
        </w:rPr>
        <w:t xml:space="preserve"> again </w:t>
      </w:r>
      <w:r w:rsidR="002E2824" w:rsidRPr="008735BC">
        <w:rPr>
          <w:lang w:val="en-CA"/>
        </w:rPr>
        <w:t>asked to</w:t>
      </w:r>
      <w:r w:rsidR="002E2824" w:rsidRPr="00CF4E9F">
        <w:rPr>
          <w:lang w:val="en-CA"/>
        </w:rPr>
        <w:t xml:space="preserve"> </w:t>
      </w:r>
      <w:r w:rsidRPr="00CF4E9F">
        <w:rPr>
          <w:lang w:val="en-CA"/>
        </w:rPr>
        <w:t xml:space="preserve">determine the constitutionality of </w:t>
      </w:r>
      <w:r w:rsidR="00162E51">
        <w:rPr>
          <w:lang w:val="en-CA"/>
        </w:rPr>
        <w:t>s. </w:t>
      </w:r>
      <w:r w:rsidRPr="00CF4E9F">
        <w:rPr>
          <w:lang w:val="en-CA"/>
        </w:rPr>
        <w:t xml:space="preserve">189a(1) of the Ontario </w:t>
      </w:r>
      <w:r w:rsidRPr="00CF4E9F">
        <w:rPr>
          <w:i/>
          <w:lang w:val="en-CA"/>
        </w:rPr>
        <w:t>Highway Traffic Act</w:t>
      </w:r>
      <w:r w:rsidRPr="00CF4E9F">
        <w:rPr>
          <w:lang w:val="en-CA"/>
        </w:rPr>
        <w:t>.</w:t>
      </w:r>
      <w:r w:rsidR="0043013D" w:rsidRPr="00CF4E9F">
        <w:rPr>
          <w:lang w:val="en-CA"/>
        </w:rPr>
        <w:t xml:space="preserve"> </w:t>
      </w:r>
      <w:r w:rsidRPr="00CF4E9F">
        <w:rPr>
          <w:lang w:val="en-CA"/>
        </w:rPr>
        <w:t xml:space="preserve">The judgment was rendered two years after </w:t>
      </w:r>
      <w:r w:rsidRPr="00CF4E9F">
        <w:rPr>
          <w:i/>
          <w:lang w:val="en-CA"/>
        </w:rPr>
        <w:t>Hufsky</w:t>
      </w:r>
      <w:r w:rsidRPr="00CF4E9F">
        <w:rPr>
          <w:lang w:val="en-CA"/>
        </w:rPr>
        <w:t>.</w:t>
      </w:r>
      <w:r w:rsidR="0043013D" w:rsidRPr="00CF4E9F">
        <w:rPr>
          <w:lang w:val="en-CA"/>
        </w:rPr>
        <w:t xml:space="preserve"> </w:t>
      </w:r>
      <w:r w:rsidRPr="00CF4E9F">
        <w:rPr>
          <w:lang w:val="en-CA"/>
        </w:rPr>
        <w:t xml:space="preserve">This time, the stop at issue was </w:t>
      </w:r>
      <w:r w:rsidR="002E2824" w:rsidRPr="00CF4E9F">
        <w:rPr>
          <w:lang w:val="en-CA"/>
        </w:rPr>
        <w:t>conducted from</w:t>
      </w:r>
      <w:r w:rsidRPr="00CF4E9F">
        <w:rPr>
          <w:lang w:val="en-CA"/>
        </w:rPr>
        <w:t xml:space="preserve"> a </w:t>
      </w:r>
      <w:r w:rsidR="00632526">
        <w:rPr>
          <w:lang w:val="en-CA"/>
        </w:rPr>
        <w:t xml:space="preserve">patrolling </w:t>
      </w:r>
      <w:r w:rsidRPr="00CF4E9F">
        <w:rPr>
          <w:lang w:val="en-CA"/>
        </w:rPr>
        <w:t xml:space="preserve">police </w:t>
      </w:r>
      <w:r w:rsidR="00632526">
        <w:rPr>
          <w:lang w:val="en-CA"/>
        </w:rPr>
        <w:t xml:space="preserve">vehicle </w:t>
      </w:r>
      <w:r w:rsidRPr="00CF4E9F">
        <w:rPr>
          <w:lang w:val="en-CA"/>
        </w:rPr>
        <w:t xml:space="preserve">and not </w:t>
      </w:r>
      <w:r w:rsidR="0046501E">
        <w:rPr>
          <w:lang w:val="en-CA"/>
        </w:rPr>
        <w:t xml:space="preserve">from </w:t>
      </w:r>
      <w:r w:rsidRPr="00CF4E9F">
        <w:rPr>
          <w:lang w:val="en-CA"/>
        </w:rPr>
        <w:t xml:space="preserve">a fixed point </w:t>
      </w:r>
      <w:r w:rsidR="002E2824" w:rsidRPr="00CF4E9F">
        <w:rPr>
          <w:lang w:val="en-CA"/>
        </w:rPr>
        <w:t xml:space="preserve">as part of </w:t>
      </w:r>
      <w:r w:rsidRPr="00CF4E9F">
        <w:rPr>
          <w:lang w:val="en-CA"/>
        </w:rPr>
        <w:t xml:space="preserve">an organized program, contrary to the circumstances considered in </w:t>
      </w:r>
      <w:r w:rsidRPr="00CF4E9F">
        <w:rPr>
          <w:i/>
          <w:lang w:val="en-CA"/>
        </w:rPr>
        <w:t>Dedman</w:t>
      </w:r>
      <w:r w:rsidRPr="00CF4E9F">
        <w:rPr>
          <w:lang w:val="en-CA"/>
        </w:rPr>
        <w:t xml:space="preserve"> and </w:t>
      </w:r>
      <w:r w:rsidRPr="00CF4E9F">
        <w:rPr>
          <w:i/>
          <w:lang w:val="en-CA"/>
        </w:rPr>
        <w:t>Hufsky</w:t>
      </w:r>
      <w:r w:rsidRPr="00CF4E9F">
        <w:rPr>
          <w:lang w:val="en-CA"/>
        </w:rPr>
        <w:t>.</w:t>
      </w:r>
      <w:r w:rsidR="0043013D" w:rsidRPr="00CF4E9F">
        <w:rPr>
          <w:lang w:val="en-CA"/>
        </w:rPr>
        <w:t xml:space="preserve"> </w:t>
      </w:r>
    </w:p>
    <w:p w14:paraId="6156E29B" w14:textId="5A2ED0FE" w:rsidR="00540798" w:rsidRPr="00CF4E9F" w:rsidRDefault="00345AD9" w:rsidP="00FB1C7A">
      <w:pPr>
        <w:pStyle w:val="Paragraphe"/>
        <w:spacing w:line="280" w:lineRule="exact"/>
        <w:rPr>
          <w:lang w:val="en-CA"/>
        </w:rPr>
      </w:pPr>
      <w:r w:rsidRPr="00CF4E9F">
        <w:rPr>
          <w:lang w:val="en-CA"/>
        </w:rPr>
        <w:lastRenderedPageBreak/>
        <w:t xml:space="preserve">The Court unanimously concluded that </w:t>
      </w:r>
      <w:r w:rsidR="00162E51">
        <w:rPr>
          <w:lang w:val="en-CA"/>
        </w:rPr>
        <w:t>s. </w:t>
      </w:r>
      <w:r w:rsidRPr="00CF4E9F">
        <w:rPr>
          <w:lang w:val="en-CA"/>
        </w:rPr>
        <w:t xml:space="preserve">189a(1) infringed </w:t>
      </w:r>
      <w:r w:rsidR="00162E51">
        <w:rPr>
          <w:lang w:val="en-CA"/>
        </w:rPr>
        <w:t>s. </w:t>
      </w:r>
      <w:r w:rsidRPr="00CF4E9F">
        <w:rPr>
          <w:lang w:val="en-CA"/>
        </w:rPr>
        <w:t xml:space="preserve">9 of the </w:t>
      </w:r>
      <w:r w:rsidRPr="00CF4E9F">
        <w:rPr>
          <w:i/>
          <w:lang w:val="en-CA"/>
        </w:rPr>
        <w:t>Charter</w:t>
      </w:r>
      <w:r w:rsidRPr="00CF4E9F">
        <w:rPr>
          <w:lang w:val="en-CA"/>
        </w:rPr>
        <w:t xml:space="preserve"> insofar as it authorized this type of traffic stop without grounds.</w:t>
      </w:r>
      <w:r w:rsidR="0043013D" w:rsidRPr="00CF4E9F">
        <w:rPr>
          <w:lang w:val="en-CA"/>
        </w:rPr>
        <w:t xml:space="preserve"> </w:t>
      </w:r>
      <w:r w:rsidRPr="00CF4E9F">
        <w:rPr>
          <w:lang w:val="en-CA"/>
        </w:rPr>
        <w:t xml:space="preserve">According to the majority, this infringement was justified, however, under </w:t>
      </w:r>
      <w:r w:rsidR="00162E51">
        <w:rPr>
          <w:lang w:val="en-CA"/>
        </w:rPr>
        <w:t>s. </w:t>
      </w:r>
      <w:r w:rsidRPr="00CF4E9F">
        <w:rPr>
          <w:lang w:val="en-CA"/>
        </w:rPr>
        <w:t xml:space="preserve">1 of the </w:t>
      </w:r>
      <w:r w:rsidRPr="00CF4E9F">
        <w:rPr>
          <w:i/>
          <w:lang w:val="en-CA"/>
        </w:rPr>
        <w:t>Charter</w:t>
      </w:r>
      <w:r w:rsidRPr="00CF4E9F">
        <w:rPr>
          <w:lang w:val="en-CA"/>
        </w:rPr>
        <w:t>.</w:t>
      </w:r>
    </w:p>
    <w:p w14:paraId="5D4042C0" w14:textId="1CD6828F" w:rsidR="00540798" w:rsidRPr="00CF4E9F" w:rsidRDefault="00345AD9" w:rsidP="00FB1C7A">
      <w:pPr>
        <w:pStyle w:val="Paragraphe"/>
        <w:spacing w:line="280" w:lineRule="exact"/>
        <w:rPr>
          <w:lang w:val="en-CA"/>
        </w:rPr>
      </w:pPr>
      <w:r w:rsidRPr="00CF4E9F">
        <w:rPr>
          <w:lang w:val="en-CA"/>
        </w:rPr>
        <w:t xml:space="preserve">Of these three judgments, only </w:t>
      </w:r>
      <w:r w:rsidRPr="00CF4E9F">
        <w:rPr>
          <w:i/>
          <w:lang w:val="en-CA"/>
        </w:rPr>
        <w:t>Dedman</w:t>
      </w:r>
      <w:r w:rsidRPr="00CF4E9F">
        <w:rPr>
          <w:lang w:val="en-CA"/>
        </w:rPr>
        <w:t xml:space="preserve"> determined that there is a common law police power.</w:t>
      </w:r>
      <w:r w:rsidR="0043013D" w:rsidRPr="00CF4E9F">
        <w:rPr>
          <w:lang w:val="en-CA"/>
        </w:rPr>
        <w:t xml:space="preserve"> </w:t>
      </w:r>
      <w:r w:rsidRPr="00CF4E9F">
        <w:rPr>
          <w:lang w:val="en-CA"/>
        </w:rPr>
        <w:t xml:space="preserve">In </w:t>
      </w:r>
      <w:r w:rsidRPr="00CF4E9F">
        <w:rPr>
          <w:i/>
          <w:lang w:val="en-CA"/>
        </w:rPr>
        <w:t>Hufsky</w:t>
      </w:r>
      <w:r w:rsidRPr="00CF4E9F">
        <w:rPr>
          <w:lang w:val="en-CA"/>
        </w:rPr>
        <w:t xml:space="preserve"> and </w:t>
      </w:r>
      <w:r w:rsidRPr="00CF4E9F">
        <w:rPr>
          <w:i/>
          <w:lang w:val="en-CA"/>
        </w:rPr>
        <w:t>Ladouceur</w:t>
      </w:r>
      <w:r w:rsidRPr="00CF4E9F">
        <w:rPr>
          <w:lang w:val="en-CA"/>
        </w:rPr>
        <w:t xml:space="preserve">, the Supreme Court’s </w:t>
      </w:r>
      <w:r w:rsidR="0046501E">
        <w:rPr>
          <w:lang w:val="en-CA"/>
        </w:rPr>
        <w:t>analysis</w:t>
      </w:r>
      <w:r w:rsidR="0046501E" w:rsidRPr="00CF4E9F">
        <w:rPr>
          <w:lang w:val="en-CA"/>
        </w:rPr>
        <w:t xml:space="preserve"> </w:t>
      </w:r>
      <w:r w:rsidRPr="00CF4E9F">
        <w:rPr>
          <w:lang w:val="en-CA"/>
        </w:rPr>
        <w:t xml:space="preserve">concerned a statutory provision, i.e., </w:t>
      </w:r>
      <w:r w:rsidR="00162E51">
        <w:rPr>
          <w:lang w:val="en-CA"/>
        </w:rPr>
        <w:t>s. </w:t>
      </w:r>
      <w:r w:rsidRPr="00CF4E9F">
        <w:rPr>
          <w:lang w:val="en-CA"/>
        </w:rPr>
        <w:t xml:space="preserve">189a(1) of the Ontario </w:t>
      </w:r>
      <w:r w:rsidRPr="00CF4E9F">
        <w:rPr>
          <w:i/>
          <w:lang w:val="en-CA"/>
        </w:rPr>
        <w:t>Highway Traffic Act</w:t>
      </w:r>
      <w:r w:rsidRPr="00CF4E9F">
        <w:rPr>
          <w:lang w:val="en-CA"/>
        </w:rPr>
        <w:t>.</w:t>
      </w:r>
      <w:r w:rsidR="0043013D" w:rsidRPr="00CF4E9F">
        <w:rPr>
          <w:lang w:val="en-CA"/>
        </w:rPr>
        <w:t xml:space="preserve"> </w:t>
      </w:r>
      <w:r w:rsidRPr="00CF4E9F">
        <w:rPr>
          <w:lang w:val="en-CA"/>
        </w:rPr>
        <w:t>The Court did not have to determine whether there was a common law police power equ</w:t>
      </w:r>
      <w:r w:rsidR="005945D7" w:rsidRPr="00CF4E9F">
        <w:rPr>
          <w:lang w:val="en-CA"/>
        </w:rPr>
        <w:t>ivalent</w:t>
      </w:r>
      <w:r w:rsidRPr="00CF4E9F">
        <w:rPr>
          <w:lang w:val="en-CA"/>
        </w:rPr>
        <w:t xml:space="preserve"> to the one conferred by this provision.</w:t>
      </w:r>
      <w:r w:rsidR="0043013D" w:rsidRPr="00CF4E9F">
        <w:rPr>
          <w:lang w:val="en-CA"/>
        </w:rPr>
        <w:t xml:space="preserve"> </w:t>
      </w:r>
    </w:p>
    <w:p w14:paraId="054DB5EA" w14:textId="166CE8DC" w:rsidR="00540798" w:rsidRPr="00CF4E9F" w:rsidRDefault="00345AD9" w:rsidP="00FB1C7A">
      <w:pPr>
        <w:pStyle w:val="Paragraphe"/>
        <w:spacing w:line="280" w:lineRule="exact"/>
        <w:rPr>
          <w:lang w:val="en-CA"/>
        </w:rPr>
      </w:pPr>
      <w:r w:rsidRPr="00CF4E9F">
        <w:rPr>
          <w:lang w:val="en-CA"/>
        </w:rPr>
        <w:t xml:space="preserve">It is true that certain passages from </w:t>
      </w:r>
      <w:r w:rsidRPr="00CF4E9F">
        <w:rPr>
          <w:i/>
          <w:lang w:val="en-CA"/>
        </w:rPr>
        <w:t>Ladouceur</w:t>
      </w:r>
      <w:r w:rsidRPr="00CF4E9F">
        <w:rPr>
          <w:lang w:val="en-CA"/>
        </w:rPr>
        <w:t xml:space="preserve"> may appear ambiguous </w:t>
      </w:r>
      <w:r w:rsidR="00363737">
        <w:rPr>
          <w:lang w:val="en-CA"/>
        </w:rPr>
        <w:t>regarding</w:t>
      </w:r>
      <w:r w:rsidRPr="00CF4E9F">
        <w:rPr>
          <w:lang w:val="en-CA"/>
        </w:rPr>
        <w:t xml:space="preserve"> the common law rule laid down in </w:t>
      </w:r>
      <w:r w:rsidRPr="00CF4E9F">
        <w:rPr>
          <w:i/>
          <w:lang w:val="en-CA"/>
        </w:rPr>
        <w:t>Dedman</w:t>
      </w:r>
      <w:r w:rsidRPr="00CF4E9F">
        <w:rPr>
          <w:lang w:val="en-CA"/>
        </w:rPr>
        <w:t>.</w:t>
      </w:r>
      <w:r w:rsidR="0043013D" w:rsidRPr="00CF4E9F">
        <w:rPr>
          <w:lang w:val="en-CA"/>
        </w:rPr>
        <w:t xml:space="preserve"> </w:t>
      </w:r>
      <w:r w:rsidR="00D009FA">
        <w:rPr>
          <w:lang w:val="en-CA"/>
        </w:rPr>
        <w:t>That is the case</w:t>
      </w:r>
      <w:r w:rsidRPr="00CF4E9F">
        <w:rPr>
          <w:lang w:val="en-CA"/>
        </w:rPr>
        <w:t xml:space="preserve"> when Cory</w:t>
      </w:r>
      <w:r w:rsidR="005945D7" w:rsidRPr="00CF4E9F">
        <w:rPr>
          <w:lang w:val="en-CA"/>
        </w:rPr>
        <w:t>,</w:t>
      </w:r>
      <w:r w:rsidRPr="00CF4E9F">
        <w:rPr>
          <w:lang w:val="en-CA"/>
        </w:rPr>
        <w:t xml:space="preserve"> J., on behalf of the majority, stated that in </w:t>
      </w:r>
      <w:r w:rsidRPr="00CF4E9F">
        <w:rPr>
          <w:i/>
          <w:lang w:val="en-CA"/>
        </w:rPr>
        <w:t>Ladouceur</w:t>
      </w:r>
      <w:r w:rsidRPr="00CF4E9F">
        <w:rPr>
          <w:lang w:val="en-CA"/>
        </w:rPr>
        <w:t xml:space="preserve"> and </w:t>
      </w:r>
      <w:r w:rsidRPr="00CF4E9F">
        <w:rPr>
          <w:i/>
          <w:lang w:val="en-CA"/>
        </w:rPr>
        <w:t>Hufsky</w:t>
      </w:r>
      <w:r w:rsidRPr="00CF4E9F">
        <w:rPr>
          <w:lang w:val="en-CA"/>
        </w:rPr>
        <w:t xml:space="preserve">, the police actions “were authorized </w:t>
      </w:r>
      <w:r w:rsidRPr="00CF4E9F">
        <w:rPr>
          <w:u w:val="single"/>
          <w:lang w:val="en-CA"/>
        </w:rPr>
        <w:t>primarily</w:t>
      </w:r>
      <w:r w:rsidRPr="00CF4E9F">
        <w:rPr>
          <w:lang w:val="en-CA"/>
        </w:rPr>
        <w:t xml:space="preserve"> by s. 189</w:t>
      </w:r>
      <w:r w:rsidRPr="00CF4E9F">
        <w:rPr>
          <w:i/>
          <w:iCs/>
          <w:lang w:val="en-CA"/>
        </w:rPr>
        <w:t>a</w:t>
      </w:r>
      <w:r w:rsidRPr="00CF4E9F">
        <w:rPr>
          <w:lang w:val="en-CA"/>
        </w:rPr>
        <w:t xml:space="preserve">(1) of the </w:t>
      </w:r>
      <w:r w:rsidRPr="00CF4E9F">
        <w:rPr>
          <w:i/>
          <w:lang w:val="en-CA"/>
        </w:rPr>
        <w:t>Highway Traffic Act</w:t>
      </w:r>
      <w:r w:rsidRPr="00CF4E9F">
        <w:rPr>
          <w:lang w:val="en-CA"/>
        </w:rPr>
        <w:t xml:space="preserve"> which granted them absolute discretion to stop motorists if in the lawful execution of their duties”.</w:t>
      </w:r>
      <w:r w:rsidRPr="00CF4E9F">
        <w:rPr>
          <w:vertAlign w:val="superscript"/>
          <w:lang w:val="en-CA"/>
        </w:rPr>
        <w:footnoteReference w:id="30"/>
      </w:r>
      <w:r w:rsidR="0043013D" w:rsidRPr="00CF4E9F">
        <w:rPr>
          <w:lang w:val="en-CA"/>
        </w:rPr>
        <w:t xml:space="preserve"> </w:t>
      </w:r>
      <w:r w:rsidRPr="00CF4E9F">
        <w:rPr>
          <w:lang w:val="en-CA"/>
        </w:rPr>
        <w:t>The use of the word “primarily” might suggest that the police actions at issue were</w:t>
      </w:r>
      <w:r w:rsidR="005945D7" w:rsidRPr="00CF4E9F">
        <w:rPr>
          <w:lang w:val="en-CA"/>
        </w:rPr>
        <w:t xml:space="preserve"> also</w:t>
      </w:r>
      <w:r w:rsidRPr="00CF4E9F">
        <w:rPr>
          <w:lang w:val="en-CA"/>
        </w:rPr>
        <w:t xml:space="preserve"> authorized by another law.</w:t>
      </w:r>
      <w:r w:rsidR="0043013D" w:rsidRPr="00CF4E9F">
        <w:rPr>
          <w:lang w:val="en-CA"/>
        </w:rPr>
        <w:t xml:space="preserve"> </w:t>
      </w:r>
      <w:r w:rsidR="000847F0" w:rsidRPr="00CF4E9F">
        <w:rPr>
          <w:lang w:val="en-CA"/>
        </w:rPr>
        <w:t xml:space="preserve">This wording therefore supports the idea that the police have common law authority to stop vehicles at random </w:t>
      </w:r>
      <w:r w:rsidR="005945D7" w:rsidRPr="00CF4E9F">
        <w:rPr>
          <w:lang w:val="en-CA"/>
        </w:rPr>
        <w:t xml:space="preserve">to conduct </w:t>
      </w:r>
      <w:r w:rsidR="000847F0" w:rsidRPr="00102803">
        <w:rPr>
          <w:lang w:val="en-CA"/>
        </w:rPr>
        <w:t xml:space="preserve">spot checks at predetermined </w:t>
      </w:r>
      <w:r w:rsidR="005945D7" w:rsidRPr="00102803">
        <w:rPr>
          <w:lang w:val="en-CA"/>
        </w:rPr>
        <w:t xml:space="preserve">fixed </w:t>
      </w:r>
      <w:r w:rsidR="000847F0" w:rsidRPr="00102803">
        <w:rPr>
          <w:lang w:val="en-CA"/>
        </w:rPr>
        <w:t>locations</w:t>
      </w:r>
      <w:r w:rsidR="000847F0" w:rsidRPr="00CF4E9F">
        <w:rPr>
          <w:lang w:val="en-CA"/>
        </w:rPr>
        <w:t xml:space="preserve"> (</w:t>
      </w:r>
      <w:r w:rsidR="00153FA2">
        <w:rPr>
          <w:i/>
          <w:iCs/>
          <w:lang w:val="en-CA"/>
        </w:rPr>
        <w:t>c</w:t>
      </w:r>
      <w:r w:rsidR="006567E0" w:rsidRPr="006567E0">
        <w:rPr>
          <w:i/>
          <w:iCs/>
          <w:lang w:val="en-CA"/>
        </w:rPr>
        <w:t>f</w:t>
      </w:r>
      <w:r w:rsidR="006567E0">
        <w:rPr>
          <w:lang w:val="en-CA"/>
        </w:rPr>
        <w:t>.</w:t>
      </w:r>
      <w:r w:rsidR="000847F0" w:rsidRPr="00CF4E9F">
        <w:rPr>
          <w:lang w:val="en-CA"/>
        </w:rPr>
        <w:t xml:space="preserve"> </w:t>
      </w:r>
      <w:r w:rsidR="000847F0" w:rsidRPr="00CF4E9F">
        <w:rPr>
          <w:i/>
          <w:lang w:val="en-CA"/>
        </w:rPr>
        <w:t>Hufsky</w:t>
      </w:r>
      <w:r w:rsidR="000847F0" w:rsidRPr="00CF4E9F">
        <w:rPr>
          <w:lang w:val="en-CA"/>
        </w:rPr>
        <w:t xml:space="preserve">) or routine checks </w:t>
      </w:r>
      <w:r w:rsidR="00153FA2">
        <w:rPr>
          <w:lang w:val="en-CA"/>
        </w:rPr>
        <w:t xml:space="preserve">from a roving patrol car </w:t>
      </w:r>
      <w:r w:rsidR="000847F0" w:rsidRPr="00CF4E9F">
        <w:rPr>
          <w:lang w:val="en-CA"/>
        </w:rPr>
        <w:t>(</w:t>
      </w:r>
      <w:r w:rsidR="00153FA2">
        <w:rPr>
          <w:i/>
          <w:iCs/>
          <w:lang w:val="en-CA"/>
        </w:rPr>
        <w:t>c</w:t>
      </w:r>
      <w:r w:rsidR="006567E0" w:rsidRPr="00B35C02">
        <w:rPr>
          <w:i/>
          <w:iCs/>
          <w:lang w:val="en-CA"/>
        </w:rPr>
        <w:t>f</w:t>
      </w:r>
      <w:r w:rsidR="006567E0">
        <w:rPr>
          <w:lang w:val="en-CA"/>
        </w:rPr>
        <w:t>.</w:t>
      </w:r>
      <w:r w:rsidR="000847F0" w:rsidRPr="00CF4E9F">
        <w:rPr>
          <w:lang w:val="en-CA"/>
        </w:rPr>
        <w:t xml:space="preserve"> </w:t>
      </w:r>
      <w:r w:rsidR="000847F0" w:rsidRPr="00CF4E9F">
        <w:rPr>
          <w:i/>
          <w:lang w:val="en-CA"/>
        </w:rPr>
        <w:t>Ladouceur</w:t>
      </w:r>
      <w:r w:rsidR="000847F0" w:rsidRPr="00CF4E9F">
        <w:rPr>
          <w:lang w:val="en-CA"/>
        </w:rPr>
        <w:t>). Another excerpt from the reasons of Cory</w:t>
      </w:r>
      <w:r w:rsidR="005945D7" w:rsidRPr="00CF4E9F">
        <w:rPr>
          <w:lang w:val="en-CA"/>
        </w:rPr>
        <w:t>,</w:t>
      </w:r>
      <w:r w:rsidR="000847F0" w:rsidRPr="00CF4E9F">
        <w:rPr>
          <w:lang w:val="en-CA"/>
        </w:rPr>
        <w:t xml:space="preserve"> J. may </w:t>
      </w:r>
      <w:r w:rsidR="009C7E3C">
        <w:rPr>
          <w:lang w:val="en-CA"/>
        </w:rPr>
        <w:t>be confusing</w:t>
      </w:r>
      <w:r w:rsidR="000847F0" w:rsidRPr="00CF4E9F">
        <w:rPr>
          <w:lang w:val="en-CA"/>
        </w:rPr>
        <w:t xml:space="preserve"> in this regard:</w:t>
      </w:r>
    </w:p>
    <w:p w14:paraId="114896A5" w14:textId="6FB71C33" w:rsidR="00540798" w:rsidRPr="00CF4E9F" w:rsidRDefault="00304EF2" w:rsidP="00604656">
      <w:pPr>
        <w:pStyle w:val="Citationenretrait"/>
        <w:spacing w:after="0"/>
        <w:rPr>
          <w:lang w:val="en-CA"/>
        </w:rPr>
      </w:pPr>
      <w:r w:rsidRPr="00CF4E9F">
        <w:rPr>
          <w:lang w:val="en-CA"/>
        </w:rPr>
        <w:t>The power of a police officer to stop motor vehicles at random is derived from s.</w:t>
      </w:r>
      <w:r w:rsidR="005945D7" w:rsidRPr="00CF4E9F">
        <w:rPr>
          <w:lang w:val="en-CA"/>
        </w:rPr>
        <w:t> </w:t>
      </w:r>
      <w:r w:rsidRPr="00CF4E9F">
        <w:rPr>
          <w:lang w:val="en-CA"/>
        </w:rPr>
        <w:t>189</w:t>
      </w:r>
      <w:r w:rsidRPr="00CF4E9F">
        <w:rPr>
          <w:i/>
          <w:iCs/>
          <w:lang w:val="en-CA"/>
        </w:rPr>
        <w:t>a</w:t>
      </w:r>
      <w:r w:rsidRPr="00CF4E9F">
        <w:rPr>
          <w:lang w:val="en-CA"/>
        </w:rPr>
        <w:t xml:space="preserve">(1) of the </w:t>
      </w:r>
      <w:r w:rsidRPr="00CF4E9F">
        <w:rPr>
          <w:i/>
          <w:iCs/>
          <w:lang w:val="en-CA"/>
        </w:rPr>
        <w:t>Highway Traffic Act</w:t>
      </w:r>
      <w:r w:rsidRPr="00CF4E9F">
        <w:rPr>
          <w:lang w:val="en-CA"/>
        </w:rPr>
        <w:t xml:space="preserve"> and is thus prescribed by law. See </w:t>
      </w:r>
      <w:r w:rsidRPr="00CF4E9F">
        <w:rPr>
          <w:i/>
          <w:iCs/>
          <w:lang w:val="en-CA"/>
        </w:rPr>
        <w:t>Hufsky</w:t>
      </w:r>
      <w:r w:rsidRPr="00CF4E9F">
        <w:rPr>
          <w:lang w:val="en-CA"/>
        </w:rPr>
        <w:t xml:space="preserve">, </w:t>
      </w:r>
      <w:r w:rsidRPr="00CF4E9F">
        <w:rPr>
          <w:i/>
          <w:iCs/>
          <w:lang w:val="en-CA"/>
        </w:rPr>
        <w:t>supra</w:t>
      </w:r>
      <w:r w:rsidRPr="00CF4E9F">
        <w:rPr>
          <w:lang w:val="en-CA"/>
        </w:rPr>
        <w:t xml:space="preserve">, at p. 634. </w:t>
      </w:r>
      <w:r w:rsidRPr="00CF4E9F">
        <w:rPr>
          <w:u w:val="single"/>
          <w:lang w:val="en-CA"/>
        </w:rPr>
        <w:t xml:space="preserve">The authority also has been justified by this Court in its decision in </w:t>
      </w:r>
      <w:r w:rsidRPr="00CF4E9F">
        <w:rPr>
          <w:i/>
          <w:iCs/>
          <w:u w:val="single"/>
          <w:lang w:val="en-CA"/>
        </w:rPr>
        <w:t>Dedman, supra</w:t>
      </w:r>
      <w:r w:rsidRPr="00CF4E9F">
        <w:rPr>
          <w:u w:val="single"/>
          <w:lang w:val="en-CA"/>
        </w:rPr>
        <w:t>, as a prescription of the common law</w:t>
      </w:r>
      <w:r w:rsidR="0043013D" w:rsidRPr="00CF4E9F">
        <w:rPr>
          <w:u w:val="single"/>
          <w:lang w:val="en-CA"/>
        </w:rPr>
        <w:t>.</w:t>
      </w:r>
      <w:r w:rsidR="0043013D" w:rsidRPr="00CF4E9F">
        <w:rPr>
          <w:vertAlign w:val="superscript"/>
          <w:lang w:val="en-CA"/>
        </w:rPr>
        <w:footnoteReference w:id="31"/>
      </w:r>
    </w:p>
    <w:p w14:paraId="28C7FA1B" w14:textId="54DF0EF6" w:rsidR="00540798" w:rsidRPr="00CF4E9F" w:rsidRDefault="000847F0" w:rsidP="00604656">
      <w:pPr>
        <w:spacing w:after="60"/>
        <w:ind w:left="720" w:right="720"/>
        <w:jc w:val="right"/>
        <w:rPr>
          <w:rFonts w:cs="Arial"/>
          <w:kern w:val="28"/>
          <w:sz w:val="22"/>
          <w:szCs w:val="18"/>
          <w:lang w:val="en-CA"/>
        </w:rPr>
      </w:pPr>
      <w:r w:rsidRPr="00CF4E9F">
        <w:rPr>
          <w:rFonts w:cs="Arial"/>
          <w:color w:val="000000"/>
          <w:spacing w:val="-3"/>
          <w:kern w:val="28"/>
          <w:sz w:val="22"/>
          <w:szCs w:val="18"/>
          <w:lang w:val="en-CA"/>
        </w:rPr>
        <w:t>[</w:t>
      </w:r>
      <w:r w:rsidR="001C60AD">
        <w:rPr>
          <w:rFonts w:cs="Arial"/>
          <w:color w:val="000000"/>
          <w:spacing w:val="-3"/>
          <w:kern w:val="28"/>
          <w:sz w:val="22"/>
          <w:szCs w:val="18"/>
          <w:lang w:val="en-CA"/>
        </w:rPr>
        <w:t xml:space="preserve">Underlining </w:t>
      </w:r>
      <w:r w:rsidRPr="00CF4E9F">
        <w:rPr>
          <w:rFonts w:cs="Arial"/>
          <w:color w:val="000000"/>
          <w:spacing w:val="-3"/>
          <w:kern w:val="28"/>
          <w:sz w:val="22"/>
          <w:szCs w:val="18"/>
          <w:lang w:val="en-CA"/>
        </w:rPr>
        <w:t>added]</w:t>
      </w:r>
    </w:p>
    <w:p w14:paraId="1AD2A033" w14:textId="5D787054" w:rsidR="00540798" w:rsidRPr="00CF4E9F" w:rsidRDefault="000847F0" w:rsidP="00FB1C7A">
      <w:pPr>
        <w:pStyle w:val="Paragraphe"/>
        <w:spacing w:line="280" w:lineRule="exact"/>
        <w:rPr>
          <w:lang w:val="en-CA"/>
        </w:rPr>
      </w:pPr>
      <w:r w:rsidRPr="00CF4E9F">
        <w:rPr>
          <w:lang w:val="en-CA"/>
        </w:rPr>
        <w:t xml:space="preserve">These passages from </w:t>
      </w:r>
      <w:r w:rsidRPr="00CF4E9F">
        <w:rPr>
          <w:i/>
          <w:lang w:val="en-CA"/>
        </w:rPr>
        <w:t>Ladouceur</w:t>
      </w:r>
      <w:r w:rsidRPr="00CF4E9F">
        <w:rPr>
          <w:lang w:val="en-CA"/>
        </w:rPr>
        <w:t xml:space="preserve"> may, however, be characterized as </w:t>
      </w:r>
      <w:r w:rsidRPr="00CF4E9F">
        <w:rPr>
          <w:i/>
          <w:lang w:val="en-CA"/>
        </w:rPr>
        <w:t>obiter</w:t>
      </w:r>
      <w:r w:rsidRPr="00CF4E9F">
        <w:rPr>
          <w:lang w:val="en-CA"/>
        </w:rPr>
        <w:t>.</w:t>
      </w:r>
      <w:r w:rsidR="0043013D" w:rsidRPr="00CF4E9F">
        <w:rPr>
          <w:lang w:val="en-CA"/>
        </w:rPr>
        <w:t xml:space="preserve"> </w:t>
      </w:r>
      <w:r w:rsidRPr="00CF4E9F">
        <w:rPr>
          <w:lang w:val="en-CA"/>
        </w:rPr>
        <w:t>As Green</w:t>
      </w:r>
      <w:r w:rsidR="000637AA" w:rsidRPr="00CF4E9F">
        <w:rPr>
          <w:lang w:val="en-CA"/>
        </w:rPr>
        <w:t>,</w:t>
      </w:r>
      <w:r w:rsidRPr="00CF4E9F">
        <w:rPr>
          <w:lang w:val="en-CA"/>
        </w:rPr>
        <w:t xml:space="preserve"> J</w:t>
      </w:r>
      <w:r w:rsidR="005F1B1F" w:rsidRPr="00CF4E9F">
        <w:rPr>
          <w:lang w:val="en-CA"/>
        </w:rPr>
        <w:t>.</w:t>
      </w:r>
      <w:r w:rsidRPr="00CF4E9F">
        <w:rPr>
          <w:lang w:val="en-CA"/>
        </w:rPr>
        <w:t>A</w:t>
      </w:r>
      <w:r w:rsidR="005F1B1F" w:rsidRPr="00CF4E9F">
        <w:rPr>
          <w:lang w:val="en-CA"/>
        </w:rPr>
        <w:t>.</w:t>
      </w:r>
      <w:r w:rsidRPr="00CF4E9F">
        <w:rPr>
          <w:lang w:val="en-CA"/>
        </w:rPr>
        <w:t xml:space="preserve"> of the Court of Appeal of Newfoundland and Labrador</w:t>
      </w:r>
      <w:r w:rsidR="00546857">
        <w:rPr>
          <w:lang w:val="en-CA"/>
        </w:rPr>
        <w:t>, noted</w:t>
      </w:r>
      <w:r w:rsidRPr="00CF4E9F">
        <w:rPr>
          <w:lang w:val="en-CA"/>
        </w:rPr>
        <w:t xml:space="preserve"> in </w:t>
      </w:r>
      <w:r w:rsidRPr="00CF4E9F">
        <w:rPr>
          <w:i/>
          <w:lang w:val="en-CA"/>
        </w:rPr>
        <w:t>R. v. Griffin</w:t>
      </w:r>
      <w:r w:rsidRPr="00CF4E9F">
        <w:rPr>
          <w:lang w:val="en-CA"/>
        </w:rPr>
        <w:t>,</w:t>
      </w:r>
      <w:r w:rsidRPr="00CF4E9F">
        <w:rPr>
          <w:color w:val="000000"/>
          <w:vertAlign w:val="superscript"/>
          <w:lang w:val="en-CA"/>
        </w:rPr>
        <w:footnoteReference w:id="32"/>
      </w:r>
      <w:r w:rsidRPr="00CF4E9F">
        <w:rPr>
          <w:lang w:val="en-CA"/>
        </w:rPr>
        <w:t xml:space="preserve"> the power to stop at issue in </w:t>
      </w:r>
      <w:r w:rsidRPr="00CF4E9F">
        <w:rPr>
          <w:i/>
          <w:lang w:val="en-CA"/>
        </w:rPr>
        <w:t>Ladouceur</w:t>
      </w:r>
      <w:r w:rsidRPr="00CF4E9F">
        <w:rPr>
          <w:lang w:val="en-CA"/>
        </w:rPr>
        <w:t xml:space="preserve"> was based on statutory authority and the Supreme Court did not have to rely on common law powers to decide the dispute. He stated the following:</w:t>
      </w:r>
      <w:r w:rsidR="0043013D" w:rsidRPr="00CF4E9F">
        <w:rPr>
          <w:i/>
          <w:iCs/>
          <w:color w:val="000000"/>
          <w:lang w:val="en-CA"/>
        </w:rPr>
        <w:t xml:space="preserve"> </w:t>
      </w:r>
    </w:p>
    <w:p w14:paraId="1D587575" w14:textId="21443B06" w:rsidR="00540798" w:rsidRPr="00CF4E9F" w:rsidRDefault="0002414E" w:rsidP="00D51EF8">
      <w:pPr>
        <w:pStyle w:val="Citationenretrait"/>
        <w:rPr>
          <w:lang w:val="en-CA" w:eastAsia="fr-CA"/>
        </w:rPr>
      </w:pPr>
      <w:r>
        <w:rPr>
          <w:lang w:val="en-CA"/>
        </w:rPr>
        <w:t>[</w:t>
      </w:r>
      <w:r w:rsidR="00A92FBC" w:rsidRPr="00CF4E9F">
        <w:rPr>
          <w:lang w:val="en-CA"/>
        </w:rPr>
        <w:t>…</w:t>
      </w:r>
      <w:r>
        <w:rPr>
          <w:lang w:val="en-CA"/>
        </w:rPr>
        <w:t>]</w:t>
      </w:r>
      <w:r w:rsidR="00A92FBC" w:rsidRPr="00CF4E9F">
        <w:rPr>
          <w:lang w:val="en-CA"/>
        </w:rPr>
        <w:t xml:space="preserve"> In </w:t>
      </w:r>
      <w:r w:rsidR="0043013D" w:rsidRPr="00CF4E9F">
        <w:rPr>
          <w:i/>
          <w:iCs/>
          <w:lang w:val="en-CA"/>
        </w:rPr>
        <w:t>Dedman</w:t>
      </w:r>
      <w:r w:rsidR="00A92FBC" w:rsidRPr="00CF4E9F">
        <w:rPr>
          <w:lang w:val="en-CA"/>
        </w:rPr>
        <w:t xml:space="preserve">, the court held that a random stop, conducted as part of an organized programme designed to deter and detect impaired driving was still within the general scope of police duties and was not an unjustifiable use of power associated with the performance of those duties. Thus, in the context of an organized stopping programme, random stops of motorists are authorized at common law. In </w:t>
      </w:r>
      <w:r w:rsidR="0043013D" w:rsidRPr="00CF4E9F">
        <w:rPr>
          <w:i/>
          <w:iCs/>
          <w:lang w:val="en-CA"/>
        </w:rPr>
        <w:t>Ladouceur</w:t>
      </w:r>
      <w:r w:rsidR="0043013D" w:rsidRPr="00CF4E9F">
        <w:rPr>
          <w:lang w:val="en-CA"/>
        </w:rPr>
        <w:t xml:space="preserve">, a 5:4 majority of the Supreme Court recognized that </w:t>
      </w:r>
      <w:r w:rsidR="0043013D" w:rsidRPr="00CF4E9F">
        <w:rPr>
          <w:lang w:val="en-CA"/>
        </w:rPr>
        <w:lastRenderedPageBreak/>
        <w:t xml:space="preserve">the power of the police to conduct random stops of motorists for the purpose of investigating drinking-driving offences could be extended to random roving stops that depended solely upon the decision of </w:t>
      </w:r>
      <w:r w:rsidR="00E23E40">
        <w:rPr>
          <w:lang w:val="en-CA"/>
        </w:rPr>
        <w:t xml:space="preserve">an </w:t>
      </w:r>
      <w:r w:rsidR="0043013D" w:rsidRPr="00CF4E9F">
        <w:rPr>
          <w:lang w:val="en-CA"/>
        </w:rPr>
        <w:t xml:space="preserve">individual officer outside of any organized programme. </w:t>
      </w:r>
      <w:r w:rsidR="00A92FBC" w:rsidRPr="00CF4E9F">
        <w:rPr>
          <w:u w:val="single"/>
          <w:lang w:val="en-CA"/>
        </w:rPr>
        <w:t xml:space="preserve">In </w:t>
      </w:r>
      <w:r w:rsidR="0043013D" w:rsidRPr="00CF4E9F">
        <w:rPr>
          <w:i/>
          <w:iCs/>
          <w:u w:val="single"/>
          <w:lang w:val="en-CA"/>
        </w:rPr>
        <w:t>Ladouceur</w:t>
      </w:r>
      <w:r w:rsidR="0043013D" w:rsidRPr="00CF4E9F">
        <w:rPr>
          <w:u w:val="single"/>
          <w:lang w:val="en-CA"/>
        </w:rPr>
        <w:t>, however, the authority for this came from statute</w:t>
      </w:r>
      <w:r w:rsidR="00A92FBC" w:rsidRPr="00CF4E9F">
        <w:rPr>
          <w:lang w:val="en-CA"/>
        </w:rPr>
        <w:t xml:space="preserve">: what was then s. 189a(1) of the Ontario </w:t>
      </w:r>
      <w:r w:rsidR="0043013D" w:rsidRPr="00CF4E9F">
        <w:rPr>
          <w:i/>
          <w:iCs/>
          <w:lang w:val="en-CA"/>
        </w:rPr>
        <w:t>Highway Traffic Act</w:t>
      </w:r>
      <w:r w:rsidR="00A92FBC" w:rsidRPr="00CF4E9F">
        <w:rPr>
          <w:lang w:val="en-CA"/>
        </w:rPr>
        <w:t xml:space="preserve">. Cory, J. also stated, however, in </w:t>
      </w:r>
      <w:r w:rsidR="0043013D" w:rsidRPr="00CF4E9F">
        <w:rPr>
          <w:i/>
          <w:iCs/>
          <w:lang w:val="en-CA"/>
        </w:rPr>
        <w:t>obiter</w:t>
      </w:r>
      <w:r w:rsidR="0043013D" w:rsidRPr="00CF4E9F">
        <w:rPr>
          <w:lang w:val="en-CA"/>
        </w:rPr>
        <w:t xml:space="preserve"> that:</w:t>
      </w:r>
    </w:p>
    <w:p w14:paraId="659ED46E" w14:textId="574C9D29" w:rsidR="00540798" w:rsidRPr="00CF4E9F" w:rsidRDefault="00A92FBC" w:rsidP="00540798">
      <w:pPr>
        <w:spacing w:before="60" w:after="60" w:line="240" w:lineRule="auto"/>
        <w:ind w:left="1440" w:right="1440"/>
        <w:jc w:val="both"/>
        <w:rPr>
          <w:rFonts w:cs="Arial"/>
          <w:sz w:val="20"/>
          <w:lang w:val="en-CA"/>
        </w:rPr>
      </w:pPr>
      <w:r w:rsidRPr="00CF4E9F">
        <w:rPr>
          <w:rFonts w:cs="Arial"/>
          <w:sz w:val="20"/>
          <w:lang w:val="en-CA"/>
        </w:rPr>
        <w:t xml:space="preserve">The power of a police officer to stop motor vehicles at random is derived from s. 189a(1) of the </w:t>
      </w:r>
      <w:r w:rsidR="0043013D" w:rsidRPr="00CF4E9F">
        <w:rPr>
          <w:rFonts w:cs="Arial"/>
          <w:i/>
          <w:iCs/>
          <w:sz w:val="20"/>
          <w:lang w:val="en-CA"/>
        </w:rPr>
        <w:t>Highway Traffic Act</w:t>
      </w:r>
      <w:r w:rsidRPr="00CF4E9F">
        <w:rPr>
          <w:rFonts w:cs="Arial"/>
          <w:sz w:val="20"/>
          <w:lang w:val="en-CA"/>
        </w:rPr>
        <w:t xml:space="preserve"> and is thus prescribed by law... </w:t>
      </w:r>
      <w:r w:rsidR="0043013D" w:rsidRPr="00CF4E9F">
        <w:rPr>
          <w:rFonts w:cs="Arial"/>
          <w:i/>
          <w:iCs/>
          <w:sz w:val="20"/>
          <w:lang w:val="en-CA"/>
        </w:rPr>
        <w:t>The authority also has been justified by this court in its decision in Dedman, supra, as a prescription of the common law</w:t>
      </w:r>
      <w:r w:rsidR="0043013D" w:rsidRPr="00CF4E9F">
        <w:rPr>
          <w:rFonts w:cs="Arial"/>
          <w:sz w:val="20"/>
          <w:lang w:val="en-CA"/>
        </w:rPr>
        <w:t xml:space="preserve">. </w:t>
      </w:r>
      <w:r w:rsidR="00821189">
        <w:rPr>
          <w:rFonts w:cs="Arial"/>
          <w:sz w:val="20"/>
          <w:lang w:val="en-CA"/>
        </w:rPr>
        <w:t>(</w:t>
      </w:r>
      <w:r w:rsidR="0043013D" w:rsidRPr="00CF4E9F">
        <w:rPr>
          <w:rFonts w:cs="Arial"/>
          <w:sz w:val="20"/>
          <w:lang w:val="en-CA"/>
        </w:rPr>
        <w:t>Emphasis added</w:t>
      </w:r>
      <w:r w:rsidR="00821189">
        <w:rPr>
          <w:rFonts w:cs="Arial"/>
          <w:sz w:val="20"/>
          <w:lang w:val="en-CA"/>
        </w:rPr>
        <w:t>)</w:t>
      </w:r>
    </w:p>
    <w:p w14:paraId="19487261" w14:textId="16C1287B" w:rsidR="00540798" w:rsidRPr="00CF4E9F" w:rsidRDefault="0043013D" w:rsidP="0068310A">
      <w:pPr>
        <w:pStyle w:val="Citationenretrait"/>
        <w:keepNext/>
        <w:rPr>
          <w:lang w:val="en-CA"/>
        </w:rPr>
      </w:pPr>
      <w:r w:rsidRPr="00CF4E9F">
        <w:rPr>
          <w:u w:val="single"/>
          <w:lang w:val="en-CA"/>
        </w:rPr>
        <w:t>It was suggested in argument that this statement amounted to an extension of the </w:t>
      </w:r>
      <w:r w:rsidRPr="00CF4E9F">
        <w:rPr>
          <w:i/>
          <w:iCs/>
          <w:u w:val="single"/>
          <w:lang w:val="en-CA"/>
        </w:rPr>
        <w:t>Dedman</w:t>
      </w:r>
      <w:r w:rsidR="00A92FBC" w:rsidRPr="00CF4E9F">
        <w:rPr>
          <w:u w:val="single"/>
          <w:lang w:val="en-CA"/>
        </w:rPr>
        <w:t xml:space="preserve"> common law authorization from organized random stops to roving random stops. I do not accept that this is so. Reliance on common law authorization was not necessary for the decision in </w:t>
      </w:r>
      <w:r w:rsidRPr="00CF4E9F">
        <w:rPr>
          <w:i/>
          <w:iCs/>
          <w:u w:val="single"/>
          <w:lang w:val="en-CA"/>
        </w:rPr>
        <w:t>Ladouceur</w:t>
      </w:r>
      <w:r w:rsidRPr="00CF4E9F">
        <w:rPr>
          <w:u w:val="single"/>
          <w:lang w:val="en-CA"/>
        </w:rPr>
        <w:t xml:space="preserve"> and indeed was only commented on incidentally</w:t>
      </w:r>
      <w:r w:rsidR="00A92FBC" w:rsidRPr="00CF4E9F">
        <w:rPr>
          <w:lang w:val="en-CA"/>
        </w:rPr>
        <w:t xml:space="preserve">. The discussion at this point in Cory, J.'s judgment occurred in relation to the power of a police officer to stop vehicles at random generally without particularizing, at that point in the discussion, whether the types of stops being talked about were organized or roving. </w:t>
      </w:r>
      <w:r w:rsidR="00A92FBC" w:rsidRPr="00CF4E9F">
        <w:rPr>
          <w:u w:val="single"/>
          <w:lang w:val="en-CA"/>
        </w:rPr>
        <w:t xml:space="preserve">In that context, the reference to </w:t>
      </w:r>
      <w:r w:rsidRPr="00CF4E9F">
        <w:rPr>
          <w:i/>
          <w:iCs/>
          <w:u w:val="single"/>
          <w:lang w:val="en-CA"/>
        </w:rPr>
        <w:t>Dedman</w:t>
      </w:r>
      <w:r w:rsidR="00A92FBC" w:rsidRPr="00CF4E9F">
        <w:rPr>
          <w:u w:val="single"/>
          <w:lang w:val="en-CA"/>
        </w:rPr>
        <w:t xml:space="preserve"> can only be taken as a re-affirmation of what </w:t>
      </w:r>
      <w:r w:rsidRPr="00CF4E9F">
        <w:rPr>
          <w:i/>
          <w:iCs/>
          <w:u w:val="single"/>
          <w:lang w:val="en-CA"/>
        </w:rPr>
        <w:t>Dedman</w:t>
      </w:r>
      <w:r w:rsidRPr="00CF4E9F">
        <w:rPr>
          <w:u w:val="single"/>
          <w:lang w:val="en-CA"/>
        </w:rPr>
        <w:t xml:space="preserve"> actually decided, namely, that organized random stops were authorized at common law</w:t>
      </w:r>
      <w:r w:rsidRPr="00CF4E9F">
        <w:rPr>
          <w:lang w:val="en-CA"/>
        </w:rPr>
        <w:t>.</w:t>
      </w:r>
      <w:r w:rsidRPr="00CF4E9F">
        <w:rPr>
          <w:vertAlign w:val="superscript"/>
          <w:lang w:val="en-CA"/>
        </w:rPr>
        <w:footnoteReference w:id="33"/>
      </w:r>
    </w:p>
    <w:p w14:paraId="0B58B4BB" w14:textId="2A7E85F4" w:rsidR="00540798" w:rsidRPr="00CF4E9F" w:rsidRDefault="00490030" w:rsidP="0068310A">
      <w:pPr>
        <w:pStyle w:val="Citationenretrait"/>
        <w:keepNext/>
        <w:jc w:val="right"/>
        <w:rPr>
          <w:lang w:val="en-CA"/>
        </w:rPr>
      </w:pPr>
      <w:r w:rsidRPr="00CF4E9F">
        <w:rPr>
          <w:lang w:val="en-CA"/>
        </w:rPr>
        <w:t>[</w:t>
      </w:r>
      <w:r w:rsidR="001C60AD">
        <w:rPr>
          <w:lang w:val="en-CA"/>
        </w:rPr>
        <w:t xml:space="preserve">Underlining </w:t>
      </w:r>
      <w:r w:rsidRPr="00CF4E9F">
        <w:rPr>
          <w:lang w:val="en-CA"/>
        </w:rPr>
        <w:t>added]</w:t>
      </w:r>
    </w:p>
    <w:p w14:paraId="651A13F7" w14:textId="69AB8017" w:rsidR="00540798" w:rsidRPr="00CF4E9F" w:rsidRDefault="000847F0" w:rsidP="00FB1C7A">
      <w:pPr>
        <w:pStyle w:val="Paragraphe"/>
        <w:spacing w:line="280" w:lineRule="exact"/>
        <w:rPr>
          <w:lang w:val="en-CA"/>
        </w:rPr>
      </w:pPr>
      <w:r w:rsidRPr="00CF4E9F">
        <w:rPr>
          <w:lang w:val="en-CA"/>
        </w:rPr>
        <w:t xml:space="preserve">Certainly, the Supreme Court’s reasoning in </w:t>
      </w:r>
      <w:r w:rsidRPr="00CF4E9F">
        <w:rPr>
          <w:i/>
          <w:lang w:val="en-CA"/>
        </w:rPr>
        <w:t>Ladouceur</w:t>
      </w:r>
      <w:r w:rsidRPr="00CF4E9F">
        <w:rPr>
          <w:lang w:val="en-CA"/>
        </w:rPr>
        <w:t xml:space="preserve"> (and in </w:t>
      </w:r>
      <w:r w:rsidRPr="00CF4E9F">
        <w:rPr>
          <w:i/>
          <w:lang w:val="en-CA"/>
        </w:rPr>
        <w:t>Hufsky</w:t>
      </w:r>
      <w:r w:rsidRPr="00CF4E9F">
        <w:rPr>
          <w:lang w:val="en-CA"/>
        </w:rPr>
        <w:t>) is consistent with that of Le Dain</w:t>
      </w:r>
      <w:r w:rsidR="005F1B1F" w:rsidRPr="00CF4E9F">
        <w:rPr>
          <w:lang w:val="en-CA"/>
        </w:rPr>
        <w:t>,</w:t>
      </w:r>
      <w:r w:rsidRPr="00CF4E9F">
        <w:rPr>
          <w:lang w:val="en-CA"/>
        </w:rPr>
        <w:t xml:space="preserve"> J. in </w:t>
      </w:r>
      <w:r w:rsidRPr="00CF4E9F">
        <w:rPr>
          <w:i/>
          <w:lang w:val="en-CA"/>
        </w:rPr>
        <w:t>Dedman</w:t>
      </w:r>
      <w:r w:rsidRPr="00CF4E9F">
        <w:rPr>
          <w:lang w:val="en-CA"/>
        </w:rPr>
        <w:t>.</w:t>
      </w:r>
      <w:r w:rsidR="0043013D" w:rsidRPr="00CF4E9F">
        <w:rPr>
          <w:lang w:val="en-CA"/>
        </w:rPr>
        <w:t xml:space="preserve"> </w:t>
      </w:r>
      <w:r w:rsidRPr="00CF4E9F">
        <w:rPr>
          <w:lang w:val="en-CA"/>
        </w:rPr>
        <w:t xml:space="preserve">This </w:t>
      </w:r>
      <w:r w:rsidR="00726D92" w:rsidRPr="00CF4E9F">
        <w:rPr>
          <w:lang w:val="en-CA"/>
        </w:rPr>
        <w:t xml:space="preserve">is </w:t>
      </w:r>
      <w:r w:rsidRPr="00CF4E9F">
        <w:rPr>
          <w:lang w:val="en-CA"/>
        </w:rPr>
        <w:t xml:space="preserve">probably explained by the fact that the second part of the </w:t>
      </w:r>
      <w:r w:rsidRPr="00CF4E9F">
        <w:rPr>
          <w:i/>
          <w:lang w:val="en-CA"/>
        </w:rPr>
        <w:t>Waterfield</w:t>
      </w:r>
      <w:r w:rsidRPr="00CF4E9F">
        <w:rPr>
          <w:lang w:val="en-CA"/>
        </w:rPr>
        <w:t xml:space="preserve"> test applied in </w:t>
      </w:r>
      <w:r w:rsidRPr="00CF4E9F">
        <w:rPr>
          <w:i/>
          <w:lang w:val="en-CA"/>
        </w:rPr>
        <w:t>Dedman</w:t>
      </w:r>
      <w:r w:rsidRPr="00CF4E9F">
        <w:rPr>
          <w:lang w:val="en-CA"/>
        </w:rPr>
        <w:t xml:space="preserve"> </w:t>
      </w:r>
      <w:r w:rsidR="00726D92" w:rsidRPr="00CF4E9F">
        <w:rPr>
          <w:lang w:val="en-CA"/>
        </w:rPr>
        <w:softHyphen/>
        <w:t>–</w:t>
      </w:r>
      <w:r w:rsidRPr="00CF4E9F">
        <w:rPr>
          <w:lang w:val="en-CA"/>
        </w:rPr>
        <w:t xml:space="preserve"> to determine whether the police conduct was </w:t>
      </w:r>
      <w:r w:rsidRPr="00CF4E9F">
        <w:rPr>
          <w:i/>
          <w:iCs/>
          <w:lang w:val="en-CA"/>
        </w:rPr>
        <w:t>reasonably necessary</w:t>
      </w:r>
      <w:r w:rsidRPr="00CF4E9F">
        <w:rPr>
          <w:lang w:val="en-CA"/>
        </w:rPr>
        <w:t xml:space="preserve"> to </w:t>
      </w:r>
      <w:r w:rsidR="00726D92" w:rsidRPr="00CF4E9F">
        <w:rPr>
          <w:lang w:val="en-CA"/>
        </w:rPr>
        <w:t>carry out</w:t>
      </w:r>
      <w:r w:rsidRPr="00CF4E9F">
        <w:rPr>
          <w:lang w:val="en-CA"/>
        </w:rPr>
        <w:t xml:space="preserve"> </w:t>
      </w:r>
      <w:r w:rsidR="00726D92" w:rsidRPr="00CF4E9F">
        <w:rPr>
          <w:lang w:val="en-CA"/>
        </w:rPr>
        <w:t xml:space="preserve">a </w:t>
      </w:r>
      <w:r w:rsidRPr="00CF4E9F">
        <w:rPr>
          <w:lang w:val="en-CA"/>
        </w:rPr>
        <w:t>police dut</w:t>
      </w:r>
      <w:r w:rsidR="00726D92" w:rsidRPr="00CF4E9F">
        <w:rPr>
          <w:lang w:val="en-CA"/>
        </w:rPr>
        <w:t>y</w:t>
      </w:r>
      <w:r w:rsidRPr="00CF4E9F">
        <w:rPr>
          <w:lang w:val="en-CA"/>
        </w:rPr>
        <w:t xml:space="preserve"> </w:t>
      </w:r>
      <w:r w:rsidR="00726D92" w:rsidRPr="00CF4E9F">
        <w:rPr>
          <w:lang w:val="en-CA"/>
        </w:rPr>
        <w:t>–</w:t>
      </w:r>
      <w:r w:rsidRPr="00CF4E9F">
        <w:rPr>
          <w:lang w:val="en-CA"/>
        </w:rPr>
        <w:t xml:space="preserve"> is similar to the applicable justification test under </w:t>
      </w:r>
      <w:r w:rsidR="00162E51">
        <w:rPr>
          <w:lang w:val="en-CA"/>
        </w:rPr>
        <w:t>s. </w:t>
      </w:r>
      <w:r w:rsidRPr="00CF4E9F">
        <w:rPr>
          <w:lang w:val="en-CA"/>
        </w:rPr>
        <w:t xml:space="preserve">1 of the </w:t>
      </w:r>
      <w:r w:rsidRPr="00CF4E9F">
        <w:rPr>
          <w:i/>
          <w:lang w:val="en-CA"/>
        </w:rPr>
        <w:t>Charter</w:t>
      </w:r>
      <w:r w:rsidRPr="00CF4E9F">
        <w:rPr>
          <w:lang w:val="en-CA"/>
        </w:rPr>
        <w:t>.</w:t>
      </w:r>
      <w:r w:rsidR="0043013D" w:rsidRPr="00CF4E9F">
        <w:rPr>
          <w:lang w:val="en-CA"/>
        </w:rPr>
        <w:t xml:space="preserve"> </w:t>
      </w:r>
      <w:r w:rsidRPr="00CF4E9F">
        <w:rPr>
          <w:lang w:val="en-CA"/>
        </w:rPr>
        <w:t>The factors considered by Le</w:t>
      </w:r>
      <w:r w:rsidR="00726D92" w:rsidRPr="00CF4E9F">
        <w:rPr>
          <w:lang w:val="en-CA"/>
        </w:rPr>
        <w:t> </w:t>
      </w:r>
      <w:r w:rsidRPr="00CF4E9F">
        <w:rPr>
          <w:lang w:val="en-CA"/>
        </w:rPr>
        <w:t>Dain</w:t>
      </w:r>
      <w:r w:rsidR="005F1B1F" w:rsidRPr="00CF4E9F">
        <w:rPr>
          <w:lang w:val="en-CA"/>
        </w:rPr>
        <w:t>,</w:t>
      </w:r>
      <w:r w:rsidR="00285A64">
        <w:rPr>
          <w:lang w:val="en-CA"/>
        </w:rPr>
        <w:t> </w:t>
      </w:r>
      <w:r w:rsidRPr="00CF4E9F">
        <w:rPr>
          <w:lang w:val="en-CA"/>
        </w:rPr>
        <w:t xml:space="preserve">J. in the application of this part of the </w:t>
      </w:r>
      <w:r w:rsidRPr="00CF4E9F">
        <w:rPr>
          <w:i/>
          <w:lang w:val="en-CA"/>
        </w:rPr>
        <w:t>Wa</w:t>
      </w:r>
      <w:r w:rsidR="00726D92" w:rsidRPr="00CF4E9F">
        <w:rPr>
          <w:i/>
          <w:lang w:val="en-CA"/>
        </w:rPr>
        <w:t>t</w:t>
      </w:r>
      <w:r w:rsidRPr="00CF4E9F">
        <w:rPr>
          <w:i/>
          <w:lang w:val="en-CA"/>
        </w:rPr>
        <w:t>e</w:t>
      </w:r>
      <w:r w:rsidR="00726D92" w:rsidRPr="00CF4E9F">
        <w:rPr>
          <w:i/>
          <w:lang w:val="en-CA"/>
        </w:rPr>
        <w:t>r</w:t>
      </w:r>
      <w:r w:rsidRPr="00CF4E9F">
        <w:rPr>
          <w:i/>
          <w:lang w:val="en-CA"/>
        </w:rPr>
        <w:t>field</w:t>
      </w:r>
      <w:r w:rsidRPr="00CF4E9F">
        <w:rPr>
          <w:lang w:val="en-CA"/>
        </w:rPr>
        <w:t xml:space="preserve"> test (</w:t>
      </w:r>
      <w:r w:rsidRPr="005E4E9F">
        <w:rPr>
          <w:lang w:val="en-CA"/>
        </w:rPr>
        <w:t>the nature of the individual “liberty”</w:t>
      </w:r>
      <w:r w:rsidR="002F4440" w:rsidRPr="005E4E9F">
        <w:rPr>
          <w:lang w:val="en-CA"/>
        </w:rPr>
        <w:t xml:space="preserve"> interfered with</w:t>
      </w:r>
      <w:r w:rsidR="0014576E">
        <w:rPr>
          <w:lang w:val="en-CA"/>
        </w:rPr>
        <w:t xml:space="preserve"> and </w:t>
      </w:r>
      <w:r w:rsidR="007D3D34">
        <w:rPr>
          <w:lang w:val="en-CA"/>
        </w:rPr>
        <w:t xml:space="preserve">extent </w:t>
      </w:r>
      <w:r w:rsidR="0014576E">
        <w:rPr>
          <w:lang w:val="en-CA"/>
        </w:rPr>
        <w:t>of th</w:t>
      </w:r>
      <w:r w:rsidR="007D3D34">
        <w:rPr>
          <w:lang w:val="en-CA"/>
        </w:rPr>
        <w:t>e</w:t>
      </w:r>
      <w:r w:rsidR="0014576E">
        <w:rPr>
          <w:lang w:val="en-CA"/>
        </w:rPr>
        <w:t xml:space="preserve"> interference</w:t>
      </w:r>
      <w:r w:rsidR="007D3D34">
        <w:rPr>
          <w:lang w:val="en-CA"/>
        </w:rPr>
        <w:t xml:space="preserve"> with </w:t>
      </w:r>
      <w:r w:rsidR="004C76BB">
        <w:rPr>
          <w:lang w:val="en-CA"/>
        </w:rPr>
        <w:t xml:space="preserve">that </w:t>
      </w:r>
      <w:r w:rsidR="007D3D34">
        <w:rPr>
          <w:lang w:val="en-CA"/>
        </w:rPr>
        <w:t>liberty</w:t>
      </w:r>
      <w:r w:rsidRPr="005E4E9F">
        <w:rPr>
          <w:lang w:val="en-CA"/>
        </w:rPr>
        <w:t xml:space="preserve">, the importance of the public </w:t>
      </w:r>
      <w:r w:rsidR="0000260F">
        <w:rPr>
          <w:lang w:val="en-CA"/>
        </w:rPr>
        <w:t>purpose</w:t>
      </w:r>
      <w:r w:rsidR="0000260F" w:rsidRPr="005E4E9F">
        <w:rPr>
          <w:lang w:val="en-CA"/>
        </w:rPr>
        <w:t xml:space="preserve"> </w:t>
      </w:r>
      <w:r w:rsidR="004C76BB">
        <w:rPr>
          <w:lang w:val="en-CA"/>
        </w:rPr>
        <w:t>served</w:t>
      </w:r>
      <w:r w:rsidRPr="005E4E9F">
        <w:rPr>
          <w:lang w:val="en-CA"/>
        </w:rPr>
        <w:t>, the necessity of the interference for the performance of the police duty</w:t>
      </w:r>
      <w:r w:rsidRPr="00CF4E9F">
        <w:rPr>
          <w:lang w:val="en-CA"/>
        </w:rPr>
        <w:t xml:space="preserve">) overlap </w:t>
      </w:r>
      <w:r w:rsidR="00726D92" w:rsidRPr="00CF4E9F">
        <w:rPr>
          <w:lang w:val="en-CA"/>
        </w:rPr>
        <w:t xml:space="preserve">with </w:t>
      </w:r>
      <w:r w:rsidRPr="00CF4E9F">
        <w:rPr>
          <w:lang w:val="en-CA"/>
        </w:rPr>
        <w:t xml:space="preserve">the factors to be considered </w:t>
      </w:r>
      <w:r w:rsidR="0014576E">
        <w:rPr>
          <w:lang w:val="en-CA"/>
        </w:rPr>
        <w:t>under</w:t>
      </w:r>
      <w:r w:rsidR="0014576E" w:rsidRPr="00CF4E9F">
        <w:rPr>
          <w:lang w:val="en-CA"/>
        </w:rPr>
        <w:t xml:space="preserve"> </w:t>
      </w:r>
      <w:r w:rsidRPr="00CF4E9F">
        <w:rPr>
          <w:lang w:val="en-CA"/>
        </w:rPr>
        <w:t xml:space="preserve">a </w:t>
      </w:r>
      <w:r w:rsidR="00162E51">
        <w:rPr>
          <w:lang w:val="en-CA"/>
        </w:rPr>
        <w:t>s. </w:t>
      </w:r>
      <w:r w:rsidRPr="00CF4E9F">
        <w:rPr>
          <w:lang w:val="en-CA"/>
        </w:rPr>
        <w:t>1 analysis.</w:t>
      </w:r>
      <w:r w:rsidR="0043013D" w:rsidRPr="00CF4E9F">
        <w:rPr>
          <w:lang w:val="en-CA"/>
        </w:rPr>
        <w:t xml:space="preserve"> </w:t>
      </w:r>
      <w:r w:rsidRPr="00CF4E9F">
        <w:rPr>
          <w:lang w:val="en-CA"/>
        </w:rPr>
        <w:t xml:space="preserve">In </w:t>
      </w:r>
      <w:r w:rsidRPr="00CF4E9F">
        <w:rPr>
          <w:i/>
          <w:lang w:val="en-CA"/>
        </w:rPr>
        <w:t>Fleming</w:t>
      </w:r>
      <w:r w:rsidRPr="00CF4E9F">
        <w:rPr>
          <w:lang w:val="en-CA"/>
        </w:rPr>
        <w:t>, the Supreme Court indeed expressly recognized the similarity between the two analytical frameworks:</w:t>
      </w:r>
    </w:p>
    <w:p w14:paraId="347CE71D" w14:textId="58269BBE" w:rsidR="00540798" w:rsidRPr="00CF4E9F" w:rsidRDefault="0043013D" w:rsidP="001D27C5">
      <w:pPr>
        <w:pStyle w:val="Citationenretrait"/>
        <w:spacing w:after="0"/>
        <w:rPr>
          <w:lang w:val="en-CA"/>
        </w:rPr>
      </w:pPr>
      <w:r w:rsidRPr="00CF4E9F">
        <w:rPr>
          <w:lang w:val="en-CA"/>
        </w:rPr>
        <w:t>[</w:t>
      </w:r>
      <w:bookmarkStart w:id="22" w:name="par54"/>
      <w:r w:rsidRPr="00CF4E9F">
        <w:rPr>
          <w:lang w:val="en-CA"/>
        </w:rPr>
        <w:t>54</w:t>
      </w:r>
      <w:bookmarkEnd w:id="22"/>
      <w:r w:rsidRPr="00CF4E9F">
        <w:rPr>
          <w:lang w:val="en-CA"/>
        </w:rPr>
        <w:t>]</w:t>
      </w:r>
      <w:r w:rsidRPr="00CF4E9F">
        <w:rPr>
          <w:lang w:val="en-CA"/>
        </w:rPr>
        <w:tab/>
      </w:r>
      <w:r w:rsidR="00304EF2" w:rsidRPr="00CF4E9F">
        <w:rPr>
          <w:color w:val="000000"/>
          <w:u w:val="single"/>
          <w:lang w:val="en-CA"/>
        </w:rPr>
        <w:t>Certain concepts which play a significant role in the </w:t>
      </w:r>
      <w:r w:rsidR="00304EF2" w:rsidRPr="00CF4E9F">
        <w:rPr>
          <w:i/>
          <w:iCs/>
          <w:color w:val="000000"/>
          <w:u w:val="single"/>
          <w:lang w:val="en-CA"/>
        </w:rPr>
        <w:t>Charter</w:t>
      </w:r>
      <w:r w:rsidR="00304EF2" w:rsidRPr="00CF4E9F">
        <w:rPr>
          <w:color w:val="000000"/>
          <w:u w:val="single"/>
          <w:lang w:val="en-CA"/>
        </w:rPr>
        <w:t> justification context — such as minimal impairment and proportionality — have clear parallels in the ancillary powers doctrine</w:t>
      </w:r>
      <w:r w:rsidR="00304EF2" w:rsidRPr="00CF4E9F">
        <w:rPr>
          <w:i/>
          <w:iCs/>
          <w:color w:val="000000"/>
          <w:u w:val="single"/>
          <w:lang w:val="en-CA"/>
        </w:rPr>
        <w:t> </w:t>
      </w:r>
      <w:r w:rsidR="00304EF2" w:rsidRPr="00CF4E9F">
        <w:rPr>
          <w:color w:val="000000"/>
          <w:u w:val="single"/>
          <w:lang w:val="en-CA"/>
        </w:rPr>
        <w:t>analysis</w:t>
      </w:r>
      <w:r w:rsidR="00E17DFD" w:rsidRPr="00CF4E9F">
        <w:rPr>
          <w:lang w:val="en-CA"/>
        </w:rPr>
        <w:t xml:space="preserve"> </w:t>
      </w:r>
      <w:r w:rsidR="00D572A0">
        <w:rPr>
          <w:lang w:val="en-CA"/>
        </w:rPr>
        <w:t>[</w:t>
      </w:r>
      <w:r w:rsidR="00E17DFD" w:rsidRPr="00CF4E9F">
        <w:rPr>
          <w:lang w:val="en-CA"/>
        </w:rPr>
        <w:t>…</w:t>
      </w:r>
      <w:r w:rsidR="00D572A0">
        <w:rPr>
          <w:lang w:val="en-CA"/>
        </w:rPr>
        <w:t>]</w:t>
      </w:r>
      <w:r w:rsidR="00E17DFD" w:rsidRPr="00CF4E9F">
        <w:rPr>
          <w:lang w:val="en-CA"/>
        </w:rPr>
        <w:t xml:space="preserve">. </w:t>
      </w:r>
      <w:r w:rsidR="00304EF2" w:rsidRPr="00CF4E9F">
        <w:rPr>
          <w:color w:val="000000"/>
          <w:lang w:val="en-CA"/>
        </w:rPr>
        <w:t xml:space="preserve">For example, the three factors </w:t>
      </w:r>
      <w:r w:rsidR="00304EF2" w:rsidRPr="00CF4E9F">
        <w:rPr>
          <w:color w:val="000000"/>
          <w:lang w:val="en-CA"/>
        </w:rPr>
        <w:lastRenderedPageBreak/>
        <w:t>from </w:t>
      </w:r>
      <w:r w:rsidR="00304EF2" w:rsidRPr="00CF4E9F">
        <w:rPr>
          <w:i/>
          <w:iCs/>
          <w:color w:val="000000"/>
          <w:lang w:val="en-CA"/>
        </w:rPr>
        <w:t>MacDonald</w:t>
      </w:r>
      <w:r w:rsidRPr="00CF4E9F">
        <w:rPr>
          <w:rStyle w:val="Appelnotedebasdep"/>
          <w:szCs w:val="22"/>
          <w:lang w:val="en-CA"/>
        </w:rPr>
        <w:footnoteReference w:id="34"/>
      </w:r>
      <w:r w:rsidRPr="00CF4E9F">
        <w:rPr>
          <w:lang w:val="en-CA"/>
        </w:rPr>
        <w:t xml:space="preserve"> </w:t>
      </w:r>
      <w:r w:rsidR="00304EF2" w:rsidRPr="00CF4E9F">
        <w:rPr>
          <w:color w:val="000000"/>
          <w:lang w:val="en-CA"/>
        </w:rPr>
        <w:t>require a proportionality assessment. Moreover, the concept of reasonable necessity requires that other, less intrusive measures not be valid options in the circumstances. If the police can fulfill their duty by an action that interferes less with liberty, the purported power is clearly not reasonably necessary (see </w:t>
      </w:r>
      <w:r w:rsidR="00304EF2" w:rsidRPr="00CF4E9F">
        <w:rPr>
          <w:i/>
          <w:iCs/>
          <w:color w:val="000000"/>
          <w:lang w:val="en-CA"/>
        </w:rPr>
        <w:t>Clayton</w:t>
      </w:r>
      <w:r w:rsidR="00304EF2" w:rsidRPr="00CF4E9F">
        <w:rPr>
          <w:color w:val="000000"/>
          <w:lang w:val="en-CA"/>
        </w:rPr>
        <w:t>, at para. </w:t>
      </w:r>
      <w:r w:rsidR="00304EF2" w:rsidRPr="00CF4E9F">
        <w:rPr>
          <w:lang w:val="en-CA"/>
        </w:rPr>
        <w:t>21</w:t>
      </w:r>
      <w:r w:rsidR="00304EF2" w:rsidRPr="00CF4E9F">
        <w:rPr>
          <w:color w:val="000000"/>
          <w:lang w:val="en-CA"/>
        </w:rPr>
        <w:t>).</w:t>
      </w:r>
      <w:r w:rsidRPr="00CF4E9F">
        <w:rPr>
          <w:rStyle w:val="Appelnotedebasdep"/>
          <w:szCs w:val="22"/>
          <w:lang w:val="en-CA"/>
        </w:rPr>
        <w:footnoteReference w:id="35"/>
      </w:r>
    </w:p>
    <w:p w14:paraId="36BB0B18" w14:textId="24B18B45" w:rsidR="00540798" w:rsidRPr="00CF4E9F" w:rsidRDefault="000847F0" w:rsidP="001D27C5">
      <w:pPr>
        <w:pStyle w:val="Citationenretrait"/>
        <w:spacing w:before="0"/>
        <w:jc w:val="right"/>
        <w:rPr>
          <w:lang w:val="en-CA"/>
        </w:rPr>
      </w:pPr>
      <w:r w:rsidRPr="00CF4E9F">
        <w:rPr>
          <w:lang w:val="en-CA"/>
        </w:rPr>
        <w:t xml:space="preserve"> [</w:t>
      </w:r>
      <w:r w:rsidR="001C60AD">
        <w:rPr>
          <w:lang w:val="en-CA"/>
        </w:rPr>
        <w:t xml:space="preserve">Underlining </w:t>
      </w:r>
      <w:r w:rsidRPr="00CF4E9F">
        <w:rPr>
          <w:lang w:val="en-CA"/>
        </w:rPr>
        <w:t>added]</w:t>
      </w:r>
    </w:p>
    <w:p w14:paraId="40A55D1A" w14:textId="070327A6" w:rsidR="00540798" w:rsidRPr="00CF4E9F" w:rsidRDefault="000847F0" w:rsidP="00FB1C7A">
      <w:pPr>
        <w:pStyle w:val="Paragraphe"/>
        <w:spacing w:line="280" w:lineRule="exact"/>
        <w:rPr>
          <w:lang w:val="en-CA"/>
        </w:rPr>
      </w:pPr>
      <w:r w:rsidRPr="00CF4E9F">
        <w:rPr>
          <w:lang w:val="en-CA"/>
        </w:rPr>
        <w:t xml:space="preserve">It might therefore be tempting to conclude that, in </w:t>
      </w:r>
      <w:r w:rsidRPr="00CF4E9F">
        <w:rPr>
          <w:i/>
          <w:lang w:val="en-CA"/>
        </w:rPr>
        <w:t>Ladouceur</w:t>
      </w:r>
      <w:r w:rsidRPr="00CF4E9F">
        <w:rPr>
          <w:lang w:val="en-CA"/>
        </w:rPr>
        <w:t xml:space="preserve">, the Supreme Court </w:t>
      </w:r>
      <w:r w:rsidRPr="00CF4E9F">
        <w:rPr>
          <w:i/>
          <w:lang w:val="en-CA"/>
        </w:rPr>
        <w:t>implicitly</w:t>
      </w:r>
      <w:r w:rsidRPr="00CF4E9F">
        <w:rPr>
          <w:lang w:val="en-CA"/>
        </w:rPr>
        <w:t xml:space="preserve"> expanded the common law police power established in </w:t>
      </w:r>
      <w:r w:rsidRPr="00CF4E9F">
        <w:rPr>
          <w:i/>
          <w:iCs/>
          <w:lang w:val="en-CA"/>
        </w:rPr>
        <w:t>Dedman</w:t>
      </w:r>
      <w:r w:rsidRPr="00CF4E9F">
        <w:rPr>
          <w:lang w:val="en-CA"/>
        </w:rPr>
        <w:t xml:space="preserve">, or </w:t>
      </w:r>
      <w:r w:rsidR="009036EB" w:rsidRPr="00CF4E9F">
        <w:rPr>
          <w:lang w:val="en-CA"/>
        </w:rPr>
        <w:t xml:space="preserve">even </w:t>
      </w:r>
      <w:r w:rsidRPr="00CF4E9F">
        <w:rPr>
          <w:lang w:val="en-CA"/>
        </w:rPr>
        <w:t>that, by analogy, the reasons of Cory</w:t>
      </w:r>
      <w:r w:rsidR="002F4440" w:rsidRPr="00CF4E9F">
        <w:rPr>
          <w:lang w:val="en-CA"/>
        </w:rPr>
        <w:t>,</w:t>
      </w:r>
      <w:r w:rsidRPr="00CF4E9F">
        <w:rPr>
          <w:lang w:val="en-CA"/>
        </w:rPr>
        <w:t xml:space="preserve"> J. in </w:t>
      </w:r>
      <w:r w:rsidRPr="00CF4E9F">
        <w:rPr>
          <w:i/>
          <w:iCs/>
          <w:lang w:val="en-CA"/>
        </w:rPr>
        <w:t xml:space="preserve">Ladouceur </w:t>
      </w:r>
      <w:r w:rsidRPr="00CF4E9F">
        <w:rPr>
          <w:lang w:val="en-CA"/>
        </w:rPr>
        <w:t xml:space="preserve">should be construed as satisfying the </w:t>
      </w:r>
      <w:r w:rsidRPr="00CF4E9F">
        <w:rPr>
          <w:i/>
          <w:lang w:val="en-CA"/>
        </w:rPr>
        <w:t>Wa</w:t>
      </w:r>
      <w:r w:rsidR="00726D92" w:rsidRPr="00CF4E9F">
        <w:rPr>
          <w:i/>
          <w:lang w:val="en-CA"/>
        </w:rPr>
        <w:t>t</w:t>
      </w:r>
      <w:r w:rsidRPr="00CF4E9F">
        <w:rPr>
          <w:i/>
          <w:lang w:val="en-CA"/>
        </w:rPr>
        <w:t>e</w:t>
      </w:r>
      <w:r w:rsidR="00726D92" w:rsidRPr="00CF4E9F">
        <w:rPr>
          <w:i/>
          <w:lang w:val="en-CA"/>
        </w:rPr>
        <w:t>r</w:t>
      </w:r>
      <w:r w:rsidRPr="00CF4E9F">
        <w:rPr>
          <w:i/>
          <w:lang w:val="en-CA"/>
        </w:rPr>
        <w:t>field</w:t>
      </w:r>
      <w:r w:rsidRPr="00CF4E9F">
        <w:rPr>
          <w:lang w:val="en-CA"/>
        </w:rPr>
        <w:t xml:space="preserve"> test.</w:t>
      </w:r>
      <w:r w:rsidR="0043013D" w:rsidRPr="00CF4E9F">
        <w:rPr>
          <w:lang w:val="en-CA"/>
        </w:rPr>
        <w:t xml:space="preserve"> </w:t>
      </w:r>
    </w:p>
    <w:p w14:paraId="6560F704" w14:textId="7798A71D" w:rsidR="00EB1873" w:rsidRPr="00CF4E9F" w:rsidRDefault="00E25C84" w:rsidP="00FB1C7A">
      <w:pPr>
        <w:pStyle w:val="Paragraphe"/>
        <w:spacing w:line="280" w:lineRule="exact"/>
        <w:rPr>
          <w:lang w:val="en-CA"/>
        </w:rPr>
      </w:pPr>
      <w:r>
        <w:rPr>
          <w:lang w:val="en-CA"/>
        </w:rPr>
        <w:t xml:space="preserve">In </w:t>
      </w:r>
      <w:r w:rsidR="000847F0" w:rsidRPr="00CF4E9F">
        <w:rPr>
          <w:lang w:val="en-CA"/>
        </w:rPr>
        <w:t>the Court</w:t>
      </w:r>
      <w:r>
        <w:rPr>
          <w:lang w:val="en-CA"/>
        </w:rPr>
        <w:t>’s view</w:t>
      </w:r>
      <w:r w:rsidR="000847F0" w:rsidRPr="00CF4E9F">
        <w:rPr>
          <w:lang w:val="en-CA"/>
        </w:rPr>
        <w:t xml:space="preserve">, </w:t>
      </w:r>
      <w:r>
        <w:rPr>
          <w:lang w:val="en-CA"/>
        </w:rPr>
        <w:t xml:space="preserve">however, </w:t>
      </w:r>
      <w:r w:rsidR="009036EB" w:rsidRPr="00CF4E9F">
        <w:rPr>
          <w:lang w:val="en-CA"/>
        </w:rPr>
        <w:t xml:space="preserve">this </w:t>
      </w:r>
      <w:r w:rsidR="000847F0" w:rsidRPr="00CF4E9F">
        <w:rPr>
          <w:lang w:val="en-CA"/>
        </w:rPr>
        <w:t>approach</w:t>
      </w:r>
      <w:r>
        <w:rPr>
          <w:lang w:val="en-CA"/>
        </w:rPr>
        <w:t xml:space="preserve"> </w:t>
      </w:r>
      <w:r w:rsidR="000847F0" w:rsidRPr="00CF4E9F">
        <w:rPr>
          <w:lang w:val="en-CA"/>
        </w:rPr>
        <w:t>must be rejected.</w:t>
      </w:r>
      <w:r w:rsidR="0043013D" w:rsidRPr="00CF4E9F">
        <w:rPr>
          <w:lang w:val="en-CA"/>
        </w:rPr>
        <w:t xml:space="preserve"> </w:t>
      </w:r>
    </w:p>
    <w:p w14:paraId="229BA40A" w14:textId="3E5F8F95" w:rsidR="00540798" w:rsidRPr="00CF4E9F" w:rsidRDefault="000847F0" w:rsidP="00FB1C7A">
      <w:pPr>
        <w:pStyle w:val="Paragraphe"/>
        <w:spacing w:line="280" w:lineRule="exact"/>
        <w:rPr>
          <w:lang w:val="en-CA"/>
        </w:rPr>
      </w:pPr>
      <w:r w:rsidRPr="00CF4E9F">
        <w:rPr>
          <w:lang w:val="en-CA"/>
        </w:rPr>
        <w:t xml:space="preserve">The recognition of common law police powers is </w:t>
      </w:r>
      <w:r w:rsidR="0084136D">
        <w:rPr>
          <w:lang w:val="en-CA"/>
        </w:rPr>
        <w:t xml:space="preserve">clearly </w:t>
      </w:r>
      <w:r w:rsidRPr="00CF4E9F">
        <w:rPr>
          <w:lang w:val="en-CA"/>
        </w:rPr>
        <w:t>circumscribed.</w:t>
      </w:r>
      <w:r w:rsidR="0043013D" w:rsidRPr="00CF4E9F">
        <w:rPr>
          <w:lang w:val="en-CA"/>
        </w:rPr>
        <w:t xml:space="preserve"> </w:t>
      </w:r>
      <w:r w:rsidRPr="00CF4E9F">
        <w:rPr>
          <w:lang w:val="en-CA"/>
        </w:rPr>
        <w:t xml:space="preserve">In </w:t>
      </w:r>
      <w:r w:rsidRPr="00CF4E9F">
        <w:rPr>
          <w:i/>
          <w:lang w:val="en-CA"/>
        </w:rPr>
        <w:t>Fleming</w:t>
      </w:r>
      <w:r w:rsidRPr="00CF4E9F">
        <w:rPr>
          <w:lang w:val="en-CA"/>
        </w:rPr>
        <w:t>, Côté</w:t>
      </w:r>
      <w:r w:rsidR="002F4440" w:rsidRPr="00CF4E9F">
        <w:rPr>
          <w:lang w:val="en-CA"/>
        </w:rPr>
        <w:t>,</w:t>
      </w:r>
      <w:r w:rsidRPr="00CF4E9F">
        <w:rPr>
          <w:lang w:val="en-CA"/>
        </w:rPr>
        <w:t xml:space="preserve"> J., </w:t>
      </w:r>
      <w:r w:rsidR="004602C8" w:rsidRPr="00CF4E9F">
        <w:rPr>
          <w:lang w:val="en-CA"/>
        </w:rPr>
        <w:t>on behalf o</w:t>
      </w:r>
      <w:r w:rsidRPr="00CF4E9F">
        <w:rPr>
          <w:lang w:val="en-CA"/>
        </w:rPr>
        <w:t xml:space="preserve">f the Supreme Court, urged </w:t>
      </w:r>
      <w:r w:rsidR="004602C8" w:rsidRPr="00CF4E9F">
        <w:rPr>
          <w:lang w:val="en-CA"/>
        </w:rPr>
        <w:t xml:space="preserve">caution </w:t>
      </w:r>
      <w:r w:rsidRPr="00CF4E9F">
        <w:rPr>
          <w:lang w:val="en-CA"/>
        </w:rPr>
        <w:t xml:space="preserve">before </w:t>
      </w:r>
      <w:r w:rsidR="004602C8" w:rsidRPr="00CF4E9F">
        <w:rPr>
          <w:lang w:val="en-CA"/>
        </w:rPr>
        <w:t xml:space="preserve">determining </w:t>
      </w:r>
      <w:r w:rsidRPr="00CF4E9F">
        <w:rPr>
          <w:lang w:val="en-CA"/>
        </w:rPr>
        <w:t xml:space="preserve">whether </w:t>
      </w:r>
      <w:r w:rsidR="004602C8" w:rsidRPr="00CF4E9F">
        <w:rPr>
          <w:lang w:val="en-CA"/>
        </w:rPr>
        <w:t xml:space="preserve">such </w:t>
      </w:r>
      <w:r w:rsidRPr="00CF4E9F">
        <w:rPr>
          <w:lang w:val="en-CA"/>
        </w:rPr>
        <w:t>powers exist.</w:t>
      </w:r>
      <w:r w:rsidR="0043013D" w:rsidRPr="00CF4E9F">
        <w:rPr>
          <w:lang w:val="en-CA"/>
        </w:rPr>
        <w:t xml:space="preserve"> </w:t>
      </w:r>
      <w:r w:rsidRPr="00CF4E9F">
        <w:rPr>
          <w:lang w:val="en-CA"/>
        </w:rPr>
        <w:t>She stated that “the rule of law requires that strict limits be placed on police powers in this regard in order to safeguard individual liberties”.</w:t>
      </w:r>
      <w:r w:rsidRPr="00CF4E9F">
        <w:rPr>
          <w:vertAlign w:val="superscript"/>
          <w:lang w:val="en-CA"/>
        </w:rPr>
        <w:footnoteReference w:id="36"/>
      </w:r>
      <w:r w:rsidR="0043013D" w:rsidRPr="00CF4E9F">
        <w:rPr>
          <w:lang w:val="en-CA"/>
        </w:rPr>
        <w:t xml:space="preserve"> </w:t>
      </w:r>
      <w:r w:rsidRPr="00CF4E9F">
        <w:rPr>
          <w:lang w:val="en-CA"/>
        </w:rPr>
        <w:t>Because establishing and restricting police powers is within the authority of legislatures, “the courts should tread lightly when considering proposed common law police powers”.</w:t>
      </w:r>
      <w:r w:rsidRPr="00CF4E9F">
        <w:rPr>
          <w:vertAlign w:val="superscript"/>
          <w:lang w:val="en-CA"/>
        </w:rPr>
        <w:footnoteReference w:id="37"/>
      </w:r>
      <w:r w:rsidR="0043013D" w:rsidRPr="00CF4E9F">
        <w:rPr>
          <w:lang w:val="en-CA"/>
        </w:rPr>
        <w:t xml:space="preserve"> </w:t>
      </w:r>
      <w:r w:rsidR="00DC57A9">
        <w:rPr>
          <w:color w:val="000000"/>
          <w:lang w:val="en-CA"/>
        </w:rPr>
        <w:t>T</w:t>
      </w:r>
      <w:r w:rsidRPr="00CF4E9F">
        <w:rPr>
          <w:color w:val="000000"/>
          <w:lang w:val="en-CA"/>
        </w:rPr>
        <w:t>he courts</w:t>
      </w:r>
      <w:r w:rsidR="00DC57A9">
        <w:rPr>
          <w:color w:val="000000"/>
          <w:lang w:val="en-CA"/>
        </w:rPr>
        <w:t>, however,</w:t>
      </w:r>
      <w:r w:rsidRPr="00CF4E9F">
        <w:rPr>
          <w:color w:val="000000"/>
          <w:lang w:val="en-CA"/>
        </w:rPr>
        <w:t xml:space="preserve"> “cannot abdicate their role of incrementally adapting common law rules </w:t>
      </w:r>
      <w:r w:rsidRPr="00CF4E9F">
        <w:rPr>
          <w:color w:val="000000"/>
          <w:u w:val="single"/>
          <w:lang w:val="en-CA"/>
        </w:rPr>
        <w:t>where legislative gaps exist</w:t>
      </w:r>
      <w:r w:rsidRPr="00CF4E9F">
        <w:rPr>
          <w:color w:val="000000"/>
          <w:lang w:val="en-CA"/>
        </w:rPr>
        <w:t>”.</w:t>
      </w:r>
      <w:r w:rsidRPr="00CF4E9F">
        <w:rPr>
          <w:color w:val="000000"/>
          <w:vertAlign w:val="superscript"/>
          <w:lang w:val="en-CA"/>
        </w:rPr>
        <w:footnoteReference w:id="38"/>
      </w:r>
      <w:r w:rsidR="0043013D" w:rsidRPr="00CF4E9F">
        <w:rPr>
          <w:color w:val="000000"/>
          <w:lang w:val="en-CA"/>
        </w:rPr>
        <w:t xml:space="preserve"> </w:t>
      </w:r>
      <w:r w:rsidR="00E211C7">
        <w:rPr>
          <w:color w:val="000000"/>
          <w:lang w:val="en-CA"/>
        </w:rPr>
        <w:t>That said</w:t>
      </w:r>
      <w:r w:rsidR="00AC00F6" w:rsidRPr="00CF4E9F">
        <w:rPr>
          <w:color w:val="000000"/>
          <w:lang w:val="en-CA"/>
        </w:rPr>
        <w:t xml:space="preserve">, it should be noted that there was no legislative gap to fill in </w:t>
      </w:r>
      <w:r w:rsidR="00AC00F6" w:rsidRPr="00CF4E9F">
        <w:rPr>
          <w:i/>
          <w:color w:val="000000"/>
          <w:lang w:val="en-CA"/>
        </w:rPr>
        <w:t>Hufsky</w:t>
      </w:r>
      <w:r w:rsidR="00AC00F6" w:rsidRPr="00CF4E9F">
        <w:rPr>
          <w:color w:val="000000"/>
          <w:lang w:val="en-CA"/>
        </w:rPr>
        <w:t xml:space="preserve"> </w:t>
      </w:r>
      <w:r w:rsidR="0024014C" w:rsidRPr="00CF4E9F">
        <w:rPr>
          <w:color w:val="000000"/>
          <w:lang w:val="en-CA"/>
        </w:rPr>
        <w:t>or</w:t>
      </w:r>
      <w:r w:rsidR="00AC00F6" w:rsidRPr="00CF4E9F">
        <w:rPr>
          <w:color w:val="000000"/>
          <w:lang w:val="en-CA"/>
        </w:rPr>
        <w:t xml:space="preserve"> </w:t>
      </w:r>
      <w:r w:rsidR="00AC00F6" w:rsidRPr="00CF4E9F">
        <w:rPr>
          <w:i/>
          <w:color w:val="000000"/>
          <w:lang w:val="en-CA"/>
        </w:rPr>
        <w:t>Ladouceur</w:t>
      </w:r>
      <w:r w:rsidR="00AC00F6" w:rsidRPr="00CF4E9F">
        <w:rPr>
          <w:color w:val="000000"/>
          <w:lang w:val="en-CA"/>
        </w:rPr>
        <w:t xml:space="preserve"> because the </w:t>
      </w:r>
      <w:r w:rsidR="004602C8" w:rsidRPr="00CF4E9F">
        <w:rPr>
          <w:color w:val="000000"/>
          <w:lang w:val="en-CA"/>
        </w:rPr>
        <w:t>challeng</w:t>
      </w:r>
      <w:r w:rsidR="00AC00F6" w:rsidRPr="00CF4E9F">
        <w:rPr>
          <w:color w:val="000000"/>
          <w:lang w:val="en-CA"/>
        </w:rPr>
        <w:t xml:space="preserve">ed police power was based on </w:t>
      </w:r>
      <w:r w:rsidR="00162E51">
        <w:rPr>
          <w:color w:val="000000"/>
          <w:lang w:val="en-CA"/>
        </w:rPr>
        <w:t>s. </w:t>
      </w:r>
      <w:r w:rsidR="00345AD9" w:rsidRPr="00CF4E9F">
        <w:rPr>
          <w:color w:val="000000"/>
          <w:lang w:val="en-CA"/>
        </w:rPr>
        <w:t xml:space="preserve">189a(1) of the Ontario </w:t>
      </w:r>
      <w:r w:rsidR="00345AD9" w:rsidRPr="00CF4E9F">
        <w:rPr>
          <w:i/>
          <w:color w:val="000000"/>
          <w:lang w:val="en-CA"/>
        </w:rPr>
        <w:t>Highway Traffic Act</w:t>
      </w:r>
      <w:r w:rsidR="00345AD9" w:rsidRPr="00CF4E9F">
        <w:rPr>
          <w:color w:val="000000"/>
          <w:lang w:val="en-CA"/>
        </w:rPr>
        <w:t>.</w:t>
      </w:r>
      <w:r w:rsidR="00B51346" w:rsidRPr="00CF4E9F">
        <w:rPr>
          <w:color w:val="000000"/>
          <w:lang w:val="en-CA"/>
        </w:rPr>
        <w:t xml:space="preserve"> </w:t>
      </w:r>
      <w:r w:rsidR="00AC00F6" w:rsidRPr="00CF4E9F">
        <w:rPr>
          <w:color w:val="000000"/>
          <w:lang w:val="en-CA"/>
        </w:rPr>
        <w:t>These two judgments were therefore concerned with this statutory power, not a common law rule.</w:t>
      </w:r>
    </w:p>
    <w:p w14:paraId="0DE764E7" w14:textId="5FFB9567" w:rsidR="00540798" w:rsidRPr="00CF4E9F" w:rsidRDefault="00AC00F6" w:rsidP="00FB1C7A">
      <w:pPr>
        <w:pStyle w:val="Paragraphe"/>
        <w:spacing w:line="280" w:lineRule="exact"/>
        <w:rPr>
          <w:lang w:val="en-CA"/>
        </w:rPr>
      </w:pPr>
      <w:bookmarkStart w:id="23" w:name="_Ref201816988"/>
      <w:bookmarkStart w:id="24" w:name="_Ref177747832"/>
      <w:r w:rsidRPr="00CF4E9F">
        <w:rPr>
          <w:lang w:val="en-CA"/>
        </w:rPr>
        <w:t xml:space="preserve">The Court concludes that </w:t>
      </w:r>
      <w:r w:rsidRPr="00CF4E9F">
        <w:rPr>
          <w:i/>
          <w:iCs/>
          <w:lang w:val="en-CA"/>
        </w:rPr>
        <w:t>Dedman</w:t>
      </w:r>
      <w:r w:rsidRPr="00CF4E9F">
        <w:rPr>
          <w:lang w:val="en-CA"/>
        </w:rPr>
        <w:t xml:space="preserve"> recognized a limited common law police </w:t>
      </w:r>
      <w:r w:rsidR="004602C8" w:rsidRPr="00CF4E9F">
        <w:rPr>
          <w:lang w:val="en-CA"/>
        </w:rPr>
        <w:t>power</w:t>
      </w:r>
      <w:r w:rsidRPr="00CF4E9F">
        <w:rPr>
          <w:lang w:val="en-CA"/>
        </w:rPr>
        <w:t xml:space="preserve">, that is, </w:t>
      </w:r>
      <w:r w:rsidR="0029328B">
        <w:rPr>
          <w:lang w:val="en-CA"/>
        </w:rPr>
        <w:t xml:space="preserve">the power </w:t>
      </w:r>
      <w:r w:rsidR="00E11D8E" w:rsidRPr="00CF4E9F">
        <w:rPr>
          <w:lang w:val="en-CA"/>
        </w:rPr>
        <w:t xml:space="preserve">to stop vehicles at random </w:t>
      </w:r>
      <w:r w:rsidRPr="00CF4E9F">
        <w:rPr>
          <w:lang w:val="en-CA"/>
        </w:rPr>
        <w:t>as part of an organized program (“for the purpose contemplated by the R.I.D.E. program”)</w:t>
      </w:r>
      <w:r w:rsidR="0043013D" w:rsidRPr="00CF4E9F">
        <w:rPr>
          <w:lang w:val="en-CA"/>
        </w:rPr>
        <w:t xml:space="preserve">. </w:t>
      </w:r>
      <w:r w:rsidRPr="00CF4E9F">
        <w:rPr>
          <w:lang w:val="en-CA"/>
        </w:rPr>
        <w:t xml:space="preserve">The Court also finds that </w:t>
      </w:r>
      <w:r w:rsidRPr="00CF4E9F">
        <w:rPr>
          <w:i/>
          <w:lang w:val="en-CA"/>
        </w:rPr>
        <w:t>Ladouceur</w:t>
      </w:r>
      <w:r w:rsidRPr="00CF4E9F">
        <w:rPr>
          <w:lang w:val="en-CA"/>
        </w:rPr>
        <w:t xml:space="preserve"> did not broaden this common law police </w:t>
      </w:r>
      <w:r w:rsidR="00E11D8E" w:rsidRPr="00CF4E9F">
        <w:rPr>
          <w:lang w:val="en-CA"/>
        </w:rPr>
        <w:t>power</w:t>
      </w:r>
      <w:r w:rsidRPr="00CF4E9F">
        <w:rPr>
          <w:lang w:val="en-CA"/>
        </w:rPr>
        <w:t>.</w:t>
      </w:r>
      <w:r w:rsidR="00C25FBE" w:rsidRPr="00CF4E9F">
        <w:rPr>
          <w:lang w:val="en-CA"/>
        </w:rPr>
        <w:t xml:space="preserve"> </w:t>
      </w:r>
      <w:r w:rsidRPr="00CF4E9F">
        <w:rPr>
          <w:lang w:val="en-CA"/>
        </w:rPr>
        <w:t xml:space="preserve">The majority decision in that case is based </w:t>
      </w:r>
      <w:r w:rsidRPr="00CF4E9F">
        <w:rPr>
          <w:lang w:val="en-CA"/>
        </w:rPr>
        <w:lastRenderedPageBreak/>
        <w:t>on the legality of “statutorily authorized roving stops”.</w:t>
      </w:r>
      <w:r w:rsidRPr="00CF4E9F">
        <w:rPr>
          <w:rStyle w:val="Appelnotedebasdep"/>
          <w:lang w:val="en-CA"/>
        </w:rPr>
        <w:footnoteReference w:id="39"/>
      </w:r>
      <w:r w:rsidR="00211886" w:rsidRPr="00CF4E9F">
        <w:rPr>
          <w:lang w:val="en-CA"/>
        </w:rPr>
        <w:t xml:space="preserve"> </w:t>
      </w:r>
      <w:r w:rsidRPr="00CF4E9F">
        <w:rPr>
          <w:lang w:val="en-CA"/>
        </w:rPr>
        <w:t xml:space="preserve">Consequently, the conclusions in the trial judgment regarding the common law rule will be </w:t>
      </w:r>
      <w:r w:rsidR="00787F9B">
        <w:rPr>
          <w:lang w:val="en-CA"/>
        </w:rPr>
        <w:t>modified</w:t>
      </w:r>
      <w:r w:rsidRPr="00CF4E9F">
        <w:rPr>
          <w:lang w:val="en-CA"/>
        </w:rPr>
        <w:t>.</w:t>
      </w:r>
      <w:r w:rsidRPr="00CF4E9F">
        <w:rPr>
          <w:rStyle w:val="Appelnotedebasdep"/>
          <w:lang w:val="en-CA"/>
        </w:rPr>
        <w:footnoteReference w:id="40"/>
      </w:r>
      <w:bookmarkEnd w:id="23"/>
      <w:r w:rsidR="00211886" w:rsidRPr="00CF4E9F">
        <w:rPr>
          <w:lang w:val="en-CA"/>
        </w:rPr>
        <w:t xml:space="preserve"> </w:t>
      </w:r>
      <w:bookmarkEnd w:id="24"/>
    </w:p>
    <w:p w14:paraId="5E18A85F" w14:textId="083DD404" w:rsidR="005A1C52" w:rsidRPr="00CF4E9F" w:rsidRDefault="00AC00F6" w:rsidP="002E559C">
      <w:pPr>
        <w:pStyle w:val="Titre2"/>
        <w:rPr>
          <w:iCs/>
          <w:lang w:val="en-CA"/>
        </w:rPr>
      </w:pPr>
      <w:bookmarkStart w:id="26" w:name="_Toc177390714"/>
      <w:bookmarkStart w:id="27" w:name="_Toc201822873"/>
      <w:r w:rsidRPr="00CF4E9F">
        <w:rPr>
          <w:lang w:val="en-CA"/>
        </w:rPr>
        <w:t>B.</w:t>
      </w:r>
      <w:r w:rsidR="0043013D" w:rsidRPr="00CF4E9F">
        <w:rPr>
          <w:lang w:val="en-CA"/>
        </w:rPr>
        <w:tab/>
      </w:r>
      <w:bookmarkEnd w:id="26"/>
      <w:r w:rsidRPr="00CF4E9F">
        <w:rPr>
          <w:lang w:val="en-CA"/>
        </w:rPr>
        <w:t xml:space="preserve">Section 636 </w:t>
      </w:r>
      <w:r w:rsidRPr="00B057FF">
        <w:rPr>
          <w:i/>
          <w:iCs/>
          <w:lang w:val="en-CA"/>
        </w:rPr>
        <w:t>HSC</w:t>
      </w:r>
      <w:bookmarkEnd w:id="27"/>
    </w:p>
    <w:p w14:paraId="73003A85" w14:textId="4CDF8E16" w:rsidR="005A1C52" w:rsidRPr="00CF4E9F" w:rsidRDefault="0083192D" w:rsidP="00FB1C7A">
      <w:pPr>
        <w:pStyle w:val="Paragraphe"/>
        <w:spacing w:line="280" w:lineRule="exact"/>
        <w:rPr>
          <w:lang w:val="en-CA"/>
        </w:rPr>
      </w:pPr>
      <w:r>
        <w:rPr>
          <w:lang w:val="en-CA"/>
        </w:rPr>
        <w:t>In light of the foregoing</w:t>
      </w:r>
      <w:r w:rsidRPr="0083192D">
        <w:rPr>
          <w:lang w:val="en-CA"/>
        </w:rPr>
        <w:t xml:space="preserve">, the Court here need only consider the challenge to </w:t>
      </w:r>
      <w:r>
        <w:rPr>
          <w:lang w:val="en-CA"/>
        </w:rPr>
        <w:t>s. </w:t>
      </w:r>
      <w:r w:rsidR="00BF5340" w:rsidRPr="00CF4E9F">
        <w:rPr>
          <w:lang w:val="en-CA"/>
        </w:rPr>
        <w:t>636</w:t>
      </w:r>
      <w:r w:rsidR="0030762F" w:rsidRPr="0030762F">
        <w:rPr>
          <w:i/>
          <w:lang w:val="en-CA"/>
        </w:rPr>
        <w:t> HSC</w:t>
      </w:r>
      <w:r w:rsidR="00BF5340" w:rsidRPr="00CF4E9F">
        <w:rPr>
          <w:lang w:val="en-CA"/>
        </w:rPr>
        <w:t>.</w:t>
      </w:r>
      <w:r w:rsidR="0043013D" w:rsidRPr="00CF4E9F">
        <w:rPr>
          <w:lang w:val="en-CA"/>
        </w:rPr>
        <w:t xml:space="preserve"> </w:t>
      </w:r>
      <w:r w:rsidR="00BF5340" w:rsidRPr="00CF4E9F">
        <w:rPr>
          <w:lang w:val="en-CA"/>
        </w:rPr>
        <w:t xml:space="preserve">This statutory provision grants Quebec police </w:t>
      </w:r>
      <w:r w:rsidR="00E11D8E" w:rsidRPr="00CF4E9F">
        <w:rPr>
          <w:lang w:val="en-CA"/>
        </w:rPr>
        <w:t xml:space="preserve">officers </w:t>
      </w:r>
      <w:r w:rsidR="00BF5340" w:rsidRPr="00CF4E9F">
        <w:rPr>
          <w:lang w:val="en-CA"/>
        </w:rPr>
        <w:t xml:space="preserve">the power to make </w:t>
      </w:r>
      <w:r w:rsidR="0024014C" w:rsidRPr="00CF4E9F">
        <w:rPr>
          <w:lang w:val="en-CA"/>
        </w:rPr>
        <w:t xml:space="preserve">traffic </w:t>
      </w:r>
      <w:r w:rsidR="00BF5340" w:rsidRPr="00CF4E9F">
        <w:rPr>
          <w:lang w:val="en-CA"/>
        </w:rPr>
        <w:t>stops without grounds to believe or suspect that an offence has been committed.</w:t>
      </w:r>
      <w:r w:rsidR="0043013D" w:rsidRPr="00CF4E9F">
        <w:rPr>
          <w:lang w:val="en-CA"/>
        </w:rPr>
        <w:t xml:space="preserve"> </w:t>
      </w:r>
      <w:r w:rsidR="00BF5340" w:rsidRPr="00CF4E9F">
        <w:rPr>
          <w:lang w:val="en-CA"/>
        </w:rPr>
        <w:t>It states:</w:t>
      </w:r>
    </w:p>
    <w:tbl>
      <w:tblPr>
        <w:tblW w:w="0" w:type="auto"/>
        <w:tblCellMar>
          <w:left w:w="70" w:type="dxa"/>
          <w:right w:w="70" w:type="dxa"/>
        </w:tblCellMar>
        <w:tblLook w:val="0000" w:firstRow="0" w:lastRow="0" w:firstColumn="0" w:lastColumn="0" w:noHBand="0" w:noVBand="0"/>
      </w:tblPr>
      <w:tblGrid>
        <w:gridCol w:w="4680"/>
        <w:gridCol w:w="4680"/>
      </w:tblGrid>
      <w:tr w:rsidR="00B9322F" w:rsidRPr="00CF4E9F" w14:paraId="412DAF6A" w14:textId="04E95AE4" w:rsidTr="001B4843">
        <w:trPr>
          <w:trHeight w:val="2686"/>
        </w:trPr>
        <w:tc>
          <w:tcPr>
            <w:tcW w:w="4680" w:type="dxa"/>
            <w:shd w:val="clear" w:color="auto" w:fill="auto"/>
          </w:tcPr>
          <w:p w14:paraId="15E65A94" w14:textId="77777777" w:rsidR="00B9322F" w:rsidRPr="00CF4E9F" w:rsidRDefault="00B9322F" w:rsidP="00E11D8E">
            <w:pPr>
              <w:spacing w:before="120" w:after="120"/>
              <w:ind w:left="634" w:right="215"/>
              <w:jc w:val="both"/>
              <w:rPr>
                <w:sz w:val="22"/>
                <w:lang w:val="en-CA"/>
              </w:rPr>
            </w:pPr>
            <w:r w:rsidRPr="00CF4E9F">
              <w:rPr>
                <w:b/>
                <w:bCs/>
                <w:sz w:val="22"/>
                <w:lang w:val="en-CA"/>
              </w:rPr>
              <w:t>636.</w:t>
            </w:r>
            <w:r w:rsidRPr="00CF4E9F">
              <w:rPr>
                <w:rFonts w:cs="Arial"/>
                <w:sz w:val="22"/>
                <w:szCs w:val="22"/>
                <w:lang w:val="en-CA"/>
              </w:rPr>
              <w:t xml:space="preserve"> Every peace officer recognizable as such at first sight may, in the performance of his duties under this Code, agreements entered into under section 519.65 and the </w:t>
            </w:r>
            <w:r w:rsidRPr="00CF4E9F">
              <w:rPr>
                <w:rFonts w:cs="Arial"/>
                <w:i/>
                <w:iCs/>
                <w:sz w:val="22"/>
                <w:szCs w:val="22"/>
                <w:lang w:val="en-CA"/>
              </w:rPr>
              <w:t>Act respecting owners, operators and drivers of heavy vehicles</w:t>
            </w:r>
            <w:r w:rsidRPr="00CF4E9F">
              <w:rPr>
                <w:rFonts w:cs="Arial"/>
                <w:sz w:val="22"/>
                <w:szCs w:val="22"/>
                <w:lang w:val="en-CA"/>
              </w:rPr>
              <w:t xml:space="preserve"> (chapter P-30.3), require the driver of a road vehicle to stop his vehicle. The driver must comply with this requirement without delay.</w:t>
            </w:r>
          </w:p>
        </w:tc>
        <w:tc>
          <w:tcPr>
            <w:tcW w:w="4680" w:type="dxa"/>
          </w:tcPr>
          <w:p w14:paraId="07508DC3" w14:textId="1FB4FA9D" w:rsidR="00B9322F" w:rsidRPr="00077E55" w:rsidRDefault="00B9322F" w:rsidP="00B9322F">
            <w:pPr>
              <w:spacing w:before="120" w:after="120"/>
              <w:ind w:left="142" w:right="720"/>
              <w:jc w:val="both"/>
              <w:rPr>
                <w:b/>
                <w:bCs/>
                <w:sz w:val="22"/>
              </w:rPr>
            </w:pPr>
            <w:r w:rsidRPr="00077E55">
              <w:rPr>
                <w:b/>
                <w:bCs/>
                <w:sz w:val="22"/>
              </w:rPr>
              <w:t>636.</w:t>
            </w:r>
            <w:r w:rsidRPr="00077E55">
              <w:rPr>
                <w:rFonts w:cs="Arial"/>
                <w:sz w:val="22"/>
                <w:szCs w:val="22"/>
              </w:rPr>
              <w:t xml:space="preserve"> Un agent de la paix, identifiable à première vue comme tel, peut, dans le cadre des fonctions qu’il exerce en vertu du présent code, des ententes conclues en vertu de l’article 519.65 et de la </w:t>
            </w:r>
            <w:r w:rsidRPr="00077E55">
              <w:rPr>
                <w:rFonts w:cs="Arial"/>
                <w:i/>
                <w:iCs/>
                <w:sz w:val="22"/>
                <w:szCs w:val="22"/>
              </w:rPr>
              <w:t>Loi concernant les propriétaires, les exploitants et les conducteurs de véhicules lourds</w:t>
            </w:r>
            <w:r w:rsidRPr="00077E55">
              <w:rPr>
                <w:rFonts w:cs="Arial"/>
                <w:sz w:val="22"/>
                <w:szCs w:val="22"/>
              </w:rPr>
              <w:t xml:space="preserve"> (chapitre P-30.3), exiger que le conducteur d’un véhicule routier immobilise son véhicule. Le conducteur doit se conformer sans délai à cette exigence.</w:t>
            </w:r>
          </w:p>
        </w:tc>
      </w:tr>
    </w:tbl>
    <w:p w14:paraId="10AF5292" w14:textId="02D84AB6" w:rsidR="005A1C52" w:rsidRPr="00CF4E9F" w:rsidRDefault="00BF5340" w:rsidP="00674FD8">
      <w:pPr>
        <w:pStyle w:val="Paragraphe"/>
        <w:spacing w:before="240" w:line="280" w:lineRule="exact"/>
        <w:rPr>
          <w:lang w:val="en-CA"/>
        </w:rPr>
      </w:pPr>
      <w:r w:rsidRPr="00CF4E9F">
        <w:rPr>
          <w:lang w:val="en-CA"/>
        </w:rPr>
        <w:t xml:space="preserve">In </w:t>
      </w:r>
      <w:r w:rsidRPr="00CF4E9F">
        <w:rPr>
          <w:i/>
          <w:lang w:val="en-CA"/>
        </w:rPr>
        <w:t>R. c. Soucisse</w:t>
      </w:r>
      <w:r w:rsidRPr="00CF4E9F">
        <w:rPr>
          <w:lang w:val="en-CA"/>
        </w:rPr>
        <w:t>,</w:t>
      </w:r>
      <w:r w:rsidRPr="00CF4E9F">
        <w:rPr>
          <w:vertAlign w:val="superscript"/>
          <w:lang w:val="en-CA"/>
        </w:rPr>
        <w:footnoteReference w:id="41"/>
      </w:r>
      <w:r w:rsidRPr="00CF4E9F">
        <w:rPr>
          <w:lang w:val="en-CA"/>
        </w:rPr>
        <w:t xml:space="preserve"> Steinberg, J.</w:t>
      </w:r>
      <w:r w:rsidR="0024014C" w:rsidRPr="00CF4E9F">
        <w:rPr>
          <w:lang w:val="en-CA"/>
        </w:rPr>
        <w:t>A.</w:t>
      </w:r>
      <w:r w:rsidRPr="00CF4E9F">
        <w:rPr>
          <w:lang w:val="en-CA"/>
        </w:rPr>
        <w:t xml:space="preserve"> determined that </w:t>
      </w:r>
      <w:r w:rsidR="00162E51">
        <w:rPr>
          <w:lang w:val="en-CA"/>
        </w:rPr>
        <w:t>s. </w:t>
      </w:r>
      <w:r w:rsidRPr="00CF4E9F">
        <w:rPr>
          <w:lang w:val="en-CA"/>
        </w:rPr>
        <w:t>636</w:t>
      </w:r>
      <w:r w:rsidR="0030762F" w:rsidRPr="0030762F">
        <w:rPr>
          <w:i/>
          <w:lang w:val="en-CA"/>
        </w:rPr>
        <w:t> HSC</w:t>
      </w:r>
      <w:r w:rsidRPr="00CF4E9F">
        <w:rPr>
          <w:lang w:val="en-CA"/>
        </w:rPr>
        <w:t xml:space="preserve"> is very similar to the provision analyzed by the Supreme Court in </w:t>
      </w:r>
      <w:r w:rsidRPr="00CF4E9F">
        <w:rPr>
          <w:i/>
          <w:lang w:val="en-CA"/>
        </w:rPr>
        <w:t>Ladouceur</w:t>
      </w:r>
      <w:r w:rsidRPr="00CF4E9F">
        <w:rPr>
          <w:lang w:val="en-CA"/>
        </w:rPr>
        <w:t>.</w:t>
      </w:r>
      <w:r w:rsidR="0043013D" w:rsidRPr="00CF4E9F">
        <w:rPr>
          <w:lang w:val="en-CA"/>
        </w:rPr>
        <w:t xml:space="preserve"> </w:t>
      </w:r>
      <w:r w:rsidRPr="00CF4E9F">
        <w:rPr>
          <w:lang w:val="en-CA"/>
        </w:rPr>
        <w:t xml:space="preserve">He concluded </w:t>
      </w:r>
      <w:r w:rsidR="00424CAC">
        <w:rPr>
          <w:lang w:val="en-CA"/>
        </w:rPr>
        <w:t xml:space="preserve">therefrom </w:t>
      </w:r>
      <w:r w:rsidRPr="00CF4E9F">
        <w:rPr>
          <w:lang w:val="en-CA"/>
        </w:rPr>
        <w:t xml:space="preserve">that the </w:t>
      </w:r>
      <w:r w:rsidR="00A26543">
        <w:rPr>
          <w:lang w:val="en-CA"/>
        </w:rPr>
        <w:t xml:space="preserve">teachings </w:t>
      </w:r>
      <w:r w:rsidRPr="00CF4E9F">
        <w:rPr>
          <w:lang w:val="en-CA"/>
        </w:rPr>
        <w:t xml:space="preserve">of the Supreme Court in that judgment </w:t>
      </w:r>
      <w:r w:rsidR="00E11D8E" w:rsidRPr="00CF4E9F">
        <w:rPr>
          <w:lang w:val="en-CA"/>
        </w:rPr>
        <w:t xml:space="preserve">may be </w:t>
      </w:r>
      <w:r w:rsidRPr="00CF4E9F">
        <w:rPr>
          <w:lang w:val="en-CA"/>
        </w:rPr>
        <w:t>directly transpos</w:t>
      </w:r>
      <w:r w:rsidR="00E11D8E" w:rsidRPr="00CF4E9F">
        <w:rPr>
          <w:lang w:val="en-CA"/>
        </w:rPr>
        <w:t>ed</w:t>
      </w:r>
      <w:r w:rsidRPr="00CF4E9F">
        <w:rPr>
          <w:lang w:val="en-CA"/>
        </w:rPr>
        <w:t xml:space="preserve"> to </w:t>
      </w:r>
      <w:r w:rsidR="00162E51">
        <w:rPr>
          <w:lang w:val="en-CA"/>
        </w:rPr>
        <w:t>s. </w:t>
      </w:r>
      <w:r w:rsidRPr="00CF4E9F">
        <w:rPr>
          <w:iCs/>
          <w:lang w:val="en-CA"/>
        </w:rPr>
        <w:t>636</w:t>
      </w:r>
      <w:r w:rsidR="0030762F" w:rsidRPr="0030762F">
        <w:rPr>
          <w:i/>
          <w:lang w:val="en-CA"/>
        </w:rPr>
        <w:t> HSC</w:t>
      </w:r>
      <w:r w:rsidRPr="00CF4E9F">
        <w:rPr>
          <w:lang w:val="en-CA"/>
        </w:rPr>
        <w:t xml:space="preserve">, which therefore must be </w:t>
      </w:r>
      <w:r w:rsidR="00E11D8E" w:rsidRPr="00CF4E9F">
        <w:rPr>
          <w:lang w:val="en-CA"/>
        </w:rPr>
        <w:t>considere</w:t>
      </w:r>
      <w:r w:rsidRPr="00CF4E9F">
        <w:rPr>
          <w:lang w:val="en-CA"/>
        </w:rPr>
        <w:t>d constitutionally valid:</w:t>
      </w:r>
      <w:r w:rsidR="0043013D" w:rsidRPr="00CF4E9F">
        <w:rPr>
          <w:lang w:val="en-CA"/>
        </w:rPr>
        <w:t xml:space="preserve"> </w:t>
      </w:r>
    </w:p>
    <w:p w14:paraId="30FF7572" w14:textId="77777777" w:rsidR="005A1C52" w:rsidRPr="00CF4E9F" w:rsidRDefault="0043013D" w:rsidP="00243269">
      <w:pPr>
        <w:pStyle w:val="Citationenretrait"/>
        <w:rPr>
          <w:lang w:val="en-CA"/>
        </w:rPr>
      </w:pPr>
      <w:r w:rsidRPr="00CF4E9F">
        <w:rPr>
          <w:lang w:val="en-CA"/>
        </w:rPr>
        <w:t xml:space="preserve">In both cases the provision is incorporated into a law respecting highway safety, the police officer must be recognizable as such, and must be acting in the performance of his duties. Despite minor variances in the text, the similarity is so striking, that it compels the conclusion that the finding of the Supreme Court in </w:t>
      </w:r>
      <w:r w:rsidRPr="00CF4E9F">
        <w:rPr>
          <w:u w:val="single"/>
          <w:lang w:val="en-CA"/>
        </w:rPr>
        <w:t>Ladouceur</w:t>
      </w:r>
      <w:r w:rsidRPr="00CF4E9F">
        <w:rPr>
          <w:lang w:val="en-CA"/>
        </w:rPr>
        <w:t xml:space="preserve"> applies equally to section 636 of the </w:t>
      </w:r>
      <w:r w:rsidRPr="00BF41B5">
        <w:rPr>
          <w:lang w:val="en-CA"/>
        </w:rPr>
        <w:t>Highway Safety Code</w:t>
      </w:r>
      <w:r w:rsidRPr="00CF4E9F">
        <w:rPr>
          <w:lang w:val="en-CA"/>
        </w:rPr>
        <w:t xml:space="preserve">, and that section 636 is a justifiable infringement of section 9 of the </w:t>
      </w:r>
      <w:r w:rsidRPr="00CF4E9F">
        <w:rPr>
          <w:u w:val="single"/>
          <w:lang w:val="en-CA"/>
        </w:rPr>
        <w:t>Charter</w:t>
      </w:r>
      <w:r w:rsidRPr="00CF4E9F">
        <w:rPr>
          <w:lang w:val="en-CA"/>
        </w:rPr>
        <w:t xml:space="preserve">. Accordingly, section 636 of the </w:t>
      </w:r>
      <w:r w:rsidRPr="00BF41B5">
        <w:rPr>
          <w:lang w:val="en-CA"/>
        </w:rPr>
        <w:t>Highway Safety Code</w:t>
      </w:r>
      <w:r w:rsidRPr="00CF4E9F">
        <w:rPr>
          <w:lang w:val="en-CA"/>
        </w:rPr>
        <w:t xml:space="preserve"> is valid.</w:t>
      </w:r>
      <w:r w:rsidRPr="00CF4E9F">
        <w:rPr>
          <w:szCs w:val="18"/>
          <w:vertAlign w:val="superscript"/>
          <w:lang w:val="en-CA"/>
        </w:rPr>
        <w:footnoteReference w:id="42"/>
      </w:r>
    </w:p>
    <w:p w14:paraId="35CC2486" w14:textId="16AF6CAB" w:rsidR="00353DE6" w:rsidRPr="00CF4E9F" w:rsidRDefault="00BF5340" w:rsidP="00FB1C7A">
      <w:pPr>
        <w:pStyle w:val="Paragraphe"/>
        <w:spacing w:line="280" w:lineRule="exact"/>
        <w:rPr>
          <w:lang w:val="en-CA"/>
        </w:rPr>
      </w:pPr>
      <w:r w:rsidRPr="00CF4E9F">
        <w:rPr>
          <w:lang w:val="en-CA"/>
        </w:rPr>
        <w:lastRenderedPageBreak/>
        <w:t>Steinberg, J.</w:t>
      </w:r>
      <w:r w:rsidR="0024014C" w:rsidRPr="00CF4E9F">
        <w:rPr>
          <w:lang w:val="en-CA"/>
        </w:rPr>
        <w:t>A.</w:t>
      </w:r>
      <w:r w:rsidRPr="00CF4E9F">
        <w:rPr>
          <w:lang w:val="en-CA"/>
        </w:rPr>
        <w:t xml:space="preserve"> also rejected the argument that verifying the sobriety of drivers is not </w:t>
      </w:r>
      <w:r w:rsidR="00E11D8E" w:rsidRPr="00CF4E9F">
        <w:rPr>
          <w:lang w:val="en-CA"/>
        </w:rPr>
        <w:t>authorized</w:t>
      </w:r>
      <w:r w:rsidRPr="00CF4E9F">
        <w:rPr>
          <w:lang w:val="en-CA"/>
        </w:rPr>
        <w:t xml:space="preserve"> under </w:t>
      </w:r>
      <w:r w:rsidR="00162E51">
        <w:rPr>
          <w:lang w:val="en-CA"/>
        </w:rPr>
        <w:t>s. </w:t>
      </w:r>
      <w:r w:rsidR="0043013D" w:rsidRPr="00CF4E9F">
        <w:rPr>
          <w:lang w:val="en-CA"/>
        </w:rPr>
        <w:t xml:space="preserve">636. </w:t>
      </w:r>
      <w:r w:rsidRPr="00CF4E9F">
        <w:rPr>
          <w:rFonts w:cs="Arial"/>
          <w:lang w:val="en-CA"/>
        </w:rPr>
        <w:t xml:space="preserve">In his view, verifying </w:t>
      </w:r>
      <w:r w:rsidR="009A366C" w:rsidRPr="00CF4E9F">
        <w:rPr>
          <w:rFonts w:cs="Arial"/>
          <w:lang w:val="en-CA"/>
        </w:rPr>
        <w:t xml:space="preserve">the </w:t>
      </w:r>
      <w:r w:rsidRPr="00CF4E9F">
        <w:rPr>
          <w:rFonts w:cs="Arial"/>
          <w:lang w:val="en-CA"/>
        </w:rPr>
        <w:t xml:space="preserve">sobriety </w:t>
      </w:r>
      <w:r w:rsidR="009A366C" w:rsidRPr="00CF4E9F">
        <w:rPr>
          <w:rFonts w:cs="Arial"/>
          <w:lang w:val="en-CA"/>
        </w:rPr>
        <w:t xml:space="preserve">of drivers </w:t>
      </w:r>
      <w:r w:rsidRPr="00CF4E9F">
        <w:rPr>
          <w:rFonts w:cs="Arial"/>
          <w:lang w:val="en-CA"/>
        </w:rPr>
        <w:t xml:space="preserve">is directly </w:t>
      </w:r>
      <w:r w:rsidR="0024014C" w:rsidRPr="00CF4E9F">
        <w:rPr>
          <w:rFonts w:cs="Arial"/>
          <w:lang w:val="en-CA"/>
        </w:rPr>
        <w:t>linked</w:t>
      </w:r>
      <w:r w:rsidRPr="00CF4E9F">
        <w:rPr>
          <w:rFonts w:cs="Arial"/>
          <w:lang w:val="en-CA"/>
        </w:rPr>
        <w:t xml:space="preserve"> to the purpose of the </w:t>
      </w:r>
      <w:r w:rsidRPr="00CF4E9F">
        <w:rPr>
          <w:rFonts w:cs="Arial"/>
          <w:i/>
          <w:lang w:val="en-CA"/>
        </w:rPr>
        <w:t>HSC</w:t>
      </w:r>
      <w:r w:rsidRPr="00CF4E9F">
        <w:rPr>
          <w:rFonts w:cs="Arial"/>
          <w:lang w:val="en-CA"/>
        </w:rPr>
        <w:t>.</w:t>
      </w:r>
      <w:r w:rsidRPr="00CF4E9F">
        <w:rPr>
          <w:rFonts w:cs="Arial"/>
          <w:color w:val="000000"/>
          <w:vertAlign w:val="superscript"/>
          <w:lang w:val="en-CA"/>
        </w:rPr>
        <w:footnoteReference w:id="43"/>
      </w:r>
    </w:p>
    <w:p w14:paraId="55051239" w14:textId="2E2572C9" w:rsidR="005A1C52" w:rsidRPr="00CF4E9F" w:rsidRDefault="00BF5340" w:rsidP="00FB1C7A">
      <w:pPr>
        <w:pStyle w:val="Paragraphe"/>
        <w:spacing w:line="280" w:lineRule="exact"/>
        <w:rPr>
          <w:lang w:val="en-CA"/>
        </w:rPr>
      </w:pPr>
      <w:r w:rsidRPr="00CF4E9F">
        <w:rPr>
          <w:lang w:val="en-CA"/>
        </w:rPr>
        <w:t xml:space="preserve">It is worth noting that </w:t>
      </w:r>
      <w:r w:rsidR="00162E51">
        <w:rPr>
          <w:lang w:val="en-CA"/>
        </w:rPr>
        <w:t>s. </w:t>
      </w:r>
      <w:r w:rsidRPr="00CF4E9F">
        <w:rPr>
          <w:lang w:val="en-CA"/>
        </w:rPr>
        <w:t>636</w:t>
      </w:r>
      <w:r w:rsidR="0030762F" w:rsidRPr="0030762F">
        <w:rPr>
          <w:i/>
          <w:lang w:val="en-CA"/>
        </w:rPr>
        <w:t> HSC</w:t>
      </w:r>
      <w:r w:rsidR="006817A8" w:rsidRPr="00CF4E9F">
        <w:rPr>
          <w:lang w:val="en-CA"/>
        </w:rPr>
        <w:t xml:space="preserve"> </w:t>
      </w:r>
      <w:r w:rsidRPr="00CF4E9F">
        <w:rPr>
          <w:lang w:val="en-CA"/>
        </w:rPr>
        <w:t xml:space="preserve">initially subjected a peace officer’s </w:t>
      </w:r>
      <w:r w:rsidR="006817A8" w:rsidRPr="00CF4E9F">
        <w:rPr>
          <w:lang w:val="en-CA"/>
        </w:rPr>
        <w:t xml:space="preserve">power </w:t>
      </w:r>
      <w:r w:rsidRPr="00CF4E9F">
        <w:rPr>
          <w:lang w:val="en-CA"/>
        </w:rPr>
        <w:t xml:space="preserve">to stop (or impound) a vehicle to the requirement that the officer </w:t>
      </w:r>
      <w:r w:rsidR="006817A8" w:rsidRPr="00CF4E9F">
        <w:rPr>
          <w:lang w:val="en-CA"/>
        </w:rPr>
        <w:t xml:space="preserve">have </w:t>
      </w:r>
      <w:r w:rsidRPr="00CF4E9F">
        <w:rPr>
          <w:lang w:val="en-CA"/>
        </w:rPr>
        <w:t xml:space="preserve">“reasonable cause to believe that an offence against </w:t>
      </w:r>
      <w:r w:rsidR="006817A8" w:rsidRPr="00CF4E9F">
        <w:rPr>
          <w:rFonts w:cs="Arial"/>
          <w:lang w:val="en-CA"/>
        </w:rPr>
        <w:t>[</w:t>
      </w:r>
      <w:r w:rsidRPr="00CF4E9F">
        <w:rPr>
          <w:lang w:val="en-CA"/>
        </w:rPr>
        <w:t xml:space="preserve">the </w:t>
      </w:r>
      <w:r w:rsidRPr="00CF4E9F">
        <w:rPr>
          <w:i/>
          <w:iCs/>
          <w:lang w:val="en-CA"/>
        </w:rPr>
        <w:t>HSC</w:t>
      </w:r>
      <w:r w:rsidRPr="00CF4E9F">
        <w:rPr>
          <w:rFonts w:cs="Arial"/>
          <w:lang w:val="en-CA"/>
        </w:rPr>
        <w:t>]</w:t>
      </w:r>
      <w:r w:rsidRPr="00CF4E9F">
        <w:rPr>
          <w:lang w:val="en-CA"/>
        </w:rPr>
        <w:t xml:space="preserve"> has been committed and that it is required by the circumstances”.</w:t>
      </w:r>
      <w:r w:rsidRPr="00CF4E9F">
        <w:rPr>
          <w:vertAlign w:val="superscript"/>
          <w:lang w:val="en-CA"/>
        </w:rPr>
        <w:footnoteReference w:id="44"/>
      </w:r>
      <w:r w:rsidRPr="00CF4E9F">
        <w:rPr>
          <w:lang w:val="en-CA"/>
        </w:rPr>
        <w:t xml:space="preserve"> The Quebec legislature removed this requirement from the wording of </w:t>
      </w:r>
      <w:r w:rsidR="00162E51">
        <w:rPr>
          <w:lang w:val="en-CA"/>
        </w:rPr>
        <w:t>s. </w:t>
      </w:r>
      <w:r w:rsidRPr="00CF4E9F">
        <w:rPr>
          <w:lang w:val="en-CA"/>
        </w:rPr>
        <w:t>636 in 1990,</w:t>
      </w:r>
      <w:r w:rsidRPr="00CF4E9F">
        <w:rPr>
          <w:vertAlign w:val="superscript"/>
          <w:lang w:val="en-CA"/>
        </w:rPr>
        <w:footnoteReference w:id="45"/>
      </w:r>
      <w:r w:rsidRPr="00CF4E9F">
        <w:rPr>
          <w:lang w:val="en-CA"/>
        </w:rPr>
        <w:t xml:space="preserve"> a few months after </w:t>
      </w:r>
      <w:r w:rsidRPr="00CF4E9F">
        <w:rPr>
          <w:i/>
          <w:lang w:val="en-CA"/>
        </w:rPr>
        <w:t>Ladouceur</w:t>
      </w:r>
      <w:r w:rsidRPr="00CF4E9F">
        <w:rPr>
          <w:lang w:val="en-CA"/>
        </w:rPr>
        <w:t xml:space="preserve"> was rendered, to reflect the </w:t>
      </w:r>
      <w:r w:rsidR="00264AF5">
        <w:rPr>
          <w:lang w:val="en-CA"/>
        </w:rPr>
        <w:t xml:space="preserve">guidance in </w:t>
      </w:r>
      <w:r w:rsidRPr="00CF4E9F">
        <w:rPr>
          <w:lang w:val="en-CA"/>
        </w:rPr>
        <w:t>that judgment.</w:t>
      </w:r>
      <w:r w:rsidR="0043013D" w:rsidRPr="00CF4E9F">
        <w:rPr>
          <w:lang w:val="en-CA"/>
        </w:rPr>
        <w:t xml:space="preserve"> </w:t>
      </w:r>
      <w:r w:rsidRPr="00CF4E9F">
        <w:rPr>
          <w:rFonts w:cs="Arial"/>
          <w:color w:val="000000"/>
          <w:lang w:val="en-CA"/>
        </w:rPr>
        <w:t xml:space="preserve">The wording of </w:t>
      </w:r>
      <w:r w:rsidR="00162E51">
        <w:rPr>
          <w:rFonts w:cs="Arial"/>
          <w:color w:val="000000"/>
          <w:lang w:val="en-CA"/>
        </w:rPr>
        <w:t>s. </w:t>
      </w:r>
      <w:r w:rsidRPr="00CF4E9F">
        <w:rPr>
          <w:rFonts w:cs="Arial"/>
          <w:color w:val="000000"/>
          <w:lang w:val="en-CA"/>
        </w:rPr>
        <w:t xml:space="preserve">636 </w:t>
      </w:r>
      <w:r w:rsidR="004D7349">
        <w:rPr>
          <w:rFonts w:cs="Arial"/>
          <w:color w:val="000000"/>
          <w:lang w:val="en-CA"/>
        </w:rPr>
        <w:t>has since been</w:t>
      </w:r>
      <w:r w:rsidRPr="00CF4E9F">
        <w:rPr>
          <w:rFonts w:cs="Arial"/>
          <w:color w:val="000000"/>
          <w:lang w:val="en-CA"/>
        </w:rPr>
        <w:t xml:space="preserve"> amended several times to specify the duties during which peace officers </w:t>
      </w:r>
      <w:r w:rsidR="004D7349">
        <w:rPr>
          <w:rFonts w:cs="Arial"/>
          <w:color w:val="000000"/>
          <w:lang w:val="en-CA"/>
        </w:rPr>
        <w:t>can</w:t>
      </w:r>
      <w:r w:rsidR="004D7349" w:rsidRPr="00CF4E9F">
        <w:rPr>
          <w:rFonts w:cs="Arial"/>
          <w:color w:val="000000"/>
          <w:lang w:val="en-CA"/>
        </w:rPr>
        <w:t xml:space="preserve"> </w:t>
      </w:r>
      <w:r w:rsidRPr="00CF4E9F">
        <w:rPr>
          <w:rFonts w:cs="Arial"/>
          <w:color w:val="000000"/>
          <w:lang w:val="en-CA"/>
        </w:rPr>
        <w:t>exercise the discretion</w:t>
      </w:r>
      <w:r w:rsidR="006817A8" w:rsidRPr="00CF4E9F">
        <w:rPr>
          <w:rFonts w:cs="Arial"/>
          <w:color w:val="000000"/>
          <w:lang w:val="en-CA"/>
        </w:rPr>
        <w:t xml:space="preserve"> conferred by</w:t>
      </w:r>
      <w:r w:rsidRPr="00CF4E9F">
        <w:rPr>
          <w:rFonts w:cs="Arial"/>
          <w:color w:val="000000"/>
          <w:lang w:val="en-CA"/>
        </w:rPr>
        <w:t xml:space="preserve"> this provision.</w:t>
      </w:r>
      <w:r w:rsidR="0043013D" w:rsidRPr="00CF4E9F">
        <w:rPr>
          <w:rFonts w:cs="Arial"/>
          <w:color w:val="000000"/>
          <w:lang w:val="en-CA"/>
        </w:rPr>
        <w:t xml:space="preserve"> </w:t>
      </w:r>
      <w:r w:rsidRPr="00CF4E9F">
        <w:rPr>
          <w:rFonts w:cs="Arial"/>
          <w:color w:val="000000"/>
          <w:lang w:val="en-CA"/>
        </w:rPr>
        <w:t>These la</w:t>
      </w:r>
      <w:r w:rsidR="004D7349">
        <w:rPr>
          <w:rFonts w:cs="Arial"/>
          <w:color w:val="000000"/>
          <w:lang w:val="en-CA"/>
        </w:rPr>
        <w:t>test</w:t>
      </w:r>
      <w:r w:rsidRPr="00CF4E9F">
        <w:rPr>
          <w:rFonts w:cs="Arial"/>
          <w:color w:val="000000"/>
          <w:lang w:val="en-CA"/>
        </w:rPr>
        <w:t xml:space="preserve"> amendments to </w:t>
      </w:r>
      <w:r w:rsidR="00162E51">
        <w:rPr>
          <w:rFonts w:cs="Arial"/>
          <w:color w:val="000000"/>
          <w:lang w:val="en-CA"/>
        </w:rPr>
        <w:t>s. </w:t>
      </w:r>
      <w:r w:rsidRPr="00CF4E9F">
        <w:rPr>
          <w:rFonts w:cs="Arial"/>
          <w:lang w:val="en-CA"/>
        </w:rPr>
        <w:t xml:space="preserve">636 are irrelevant to the </w:t>
      </w:r>
      <w:r w:rsidR="006817A8" w:rsidRPr="00CF4E9F">
        <w:rPr>
          <w:rFonts w:cs="Arial"/>
          <w:lang w:val="en-CA"/>
        </w:rPr>
        <w:t xml:space="preserve">appeal’s </w:t>
      </w:r>
      <w:r w:rsidRPr="00CF4E9F">
        <w:rPr>
          <w:rFonts w:cs="Arial"/>
          <w:lang w:val="en-CA"/>
        </w:rPr>
        <w:t>outcome.</w:t>
      </w:r>
      <w:r w:rsidRPr="00CF4E9F">
        <w:rPr>
          <w:rFonts w:cs="Arial"/>
          <w:color w:val="000000"/>
          <w:vertAlign w:val="superscript"/>
          <w:lang w:val="en-CA"/>
        </w:rPr>
        <w:footnoteReference w:id="46"/>
      </w:r>
    </w:p>
    <w:p w14:paraId="3E990360" w14:textId="55E26E98" w:rsidR="005A1C52" w:rsidRPr="00CF4E9F" w:rsidRDefault="00C65530" w:rsidP="000B3736">
      <w:pPr>
        <w:pStyle w:val="Titre1"/>
        <w:rPr>
          <w:lang w:val="en-CA"/>
        </w:rPr>
      </w:pPr>
      <w:bookmarkStart w:id="29" w:name="_Toc177390715"/>
      <w:bookmarkStart w:id="30" w:name="_Toc201822874"/>
      <w:r w:rsidRPr="00CF4E9F">
        <w:rPr>
          <w:lang w:val="en-CA"/>
        </w:rPr>
        <w:lastRenderedPageBreak/>
        <w:t>III.</w:t>
      </w:r>
      <w:r w:rsidRPr="00CF4E9F">
        <w:rPr>
          <w:lang w:val="en-CA"/>
        </w:rPr>
        <w:tab/>
      </w:r>
      <w:bookmarkEnd w:id="29"/>
      <w:r w:rsidR="00BF5340" w:rsidRPr="00CF4E9F">
        <w:rPr>
          <w:lang w:val="en-CA"/>
        </w:rPr>
        <w:t>Trial judgment</w:t>
      </w:r>
      <w:bookmarkEnd w:id="30"/>
    </w:p>
    <w:p w14:paraId="5AF03266" w14:textId="7A662F8B" w:rsidR="005A1C52" w:rsidRPr="00CF4E9F" w:rsidRDefault="00BF5340" w:rsidP="00FB1C7A">
      <w:pPr>
        <w:pStyle w:val="Paragraphe"/>
        <w:spacing w:line="280" w:lineRule="exact"/>
        <w:rPr>
          <w:lang w:val="en-CA"/>
        </w:rPr>
      </w:pPr>
      <w:r w:rsidRPr="00CF4E9F">
        <w:rPr>
          <w:lang w:val="en-CA"/>
        </w:rPr>
        <w:t>In an imposing 169-page judgment, the judge carefully analyzed the evidence and questions of law before him.</w:t>
      </w:r>
      <w:r w:rsidR="0043013D" w:rsidRPr="00CF4E9F">
        <w:rPr>
          <w:lang w:val="en-CA"/>
        </w:rPr>
        <w:t xml:space="preserve"> </w:t>
      </w:r>
      <w:r w:rsidRPr="00CF4E9F">
        <w:rPr>
          <w:lang w:val="en-CA"/>
        </w:rPr>
        <w:t xml:space="preserve">A brief summary </w:t>
      </w:r>
      <w:r w:rsidR="00787F9B">
        <w:rPr>
          <w:lang w:val="en-CA"/>
        </w:rPr>
        <w:t>will be</w:t>
      </w:r>
      <w:r w:rsidRPr="00CF4E9F">
        <w:rPr>
          <w:lang w:val="en-CA"/>
        </w:rPr>
        <w:t xml:space="preserve"> helpful.</w:t>
      </w:r>
    </w:p>
    <w:p w14:paraId="2D0F5624" w14:textId="627DA4D5" w:rsidR="005A1C52" w:rsidRPr="00CF4E9F" w:rsidRDefault="00BF5340" w:rsidP="002E559C">
      <w:pPr>
        <w:pStyle w:val="Titre2"/>
        <w:rPr>
          <w:lang w:val="en-CA"/>
        </w:rPr>
      </w:pPr>
      <w:bookmarkStart w:id="31" w:name="_Toc177390716"/>
      <w:bookmarkStart w:id="32" w:name="_Toc201822875"/>
      <w:r w:rsidRPr="00CF4E9F">
        <w:rPr>
          <w:lang w:val="en-CA"/>
        </w:rPr>
        <w:t>A.</w:t>
      </w:r>
      <w:r w:rsidR="0043013D" w:rsidRPr="00CF4E9F">
        <w:rPr>
          <w:lang w:val="en-CA"/>
        </w:rPr>
        <w:tab/>
      </w:r>
      <w:bookmarkEnd w:id="31"/>
      <w:r w:rsidRPr="00CF4E9F">
        <w:rPr>
          <w:bCs/>
          <w:i/>
          <w:lang w:val="en-CA"/>
        </w:rPr>
        <w:t>Ladouceur</w:t>
      </w:r>
      <w:r w:rsidRPr="00CF4E9F">
        <w:rPr>
          <w:bCs/>
          <w:lang w:val="en-CA"/>
        </w:rPr>
        <w:t xml:space="preserve"> and the rule of </w:t>
      </w:r>
      <w:r w:rsidRPr="00CF4E9F">
        <w:rPr>
          <w:bCs/>
          <w:i/>
          <w:lang w:val="en-CA"/>
        </w:rPr>
        <w:t>stare decisis</w:t>
      </w:r>
      <w:bookmarkEnd w:id="32"/>
    </w:p>
    <w:p w14:paraId="40686517" w14:textId="0A0567E9" w:rsidR="005A1C52" w:rsidRPr="00CF4E9F" w:rsidRDefault="00BF5340" w:rsidP="00FB1C7A">
      <w:pPr>
        <w:pStyle w:val="Paragraphe"/>
        <w:spacing w:line="280" w:lineRule="exact"/>
        <w:rPr>
          <w:lang w:val="en-CA"/>
        </w:rPr>
      </w:pPr>
      <w:r w:rsidRPr="00CF4E9F">
        <w:rPr>
          <w:lang w:val="en-CA"/>
        </w:rPr>
        <w:t xml:space="preserve">The judge determined that he could reconsider the Supreme Court’s conclusions in </w:t>
      </w:r>
      <w:r w:rsidRPr="00CF4E9F">
        <w:rPr>
          <w:i/>
          <w:lang w:val="en-CA"/>
        </w:rPr>
        <w:t>Ladouceur</w:t>
      </w:r>
      <w:r w:rsidRPr="00CF4E9F">
        <w:rPr>
          <w:lang w:val="en-CA"/>
        </w:rPr>
        <w:t xml:space="preserve"> because the two exceptions to the vertical </w:t>
      </w:r>
      <w:r w:rsidRPr="00CF4E9F">
        <w:rPr>
          <w:i/>
          <w:lang w:val="en-CA"/>
        </w:rPr>
        <w:t>stare decisis</w:t>
      </w:r>
      <w:r w:rsidRPr="00CF4E9F">
        <w:rPr>
          <w:lang w:val="en-CA"/>
        </w:rPr>
        <w:t xml:space="preserve"> rule set out in </w:t>
      </w:r>
      <w:r w:rsidRPr="00CF4E9F">
        <w:rPr>
          <w:i/>
          <w:lang w:val="en-CA"/>
        </w:rPr>
        <w:t>Canada (Attorney General) v. Bedford</w:t>
      </w:r>
      <w:r w:rsidRPr="00CF4E9F">
        <w:rPr>
          <w:vertAlign w:val="superscript"/>
          <w:lang w:val="en-CA"/>
        </w:rPr>
        <w:footnoteReference w:id="47"/>
      </w:r>
      <w:r w:rsidRPr="00CF4E9F">
        <w:rPr>
          <w:lang w:val="en-CA"/>
        </w:rPr>
        <w:t xml:space="preserve"> – a new legal issue or a significant change in the circumstances or evidence – were present.</w:t>
      </w:r>
      <w:r w:rsidR="00EB12AA" w:rsidRPr="00CF4E9F">
        <w:rPr>
          <w:lang w:val="en-CA"/>
        </w:rPr>
        <w:t xml:space="preserve"> </w:t>
      </w:r>
      <w:r w:rsidRPr="00CF4E9F">
        <w:rPr>
          <w:lang w:val="en-CA"/>
        </w:rPr>
        <w:t xml:space="preserve">He was of the view that the legal issues based on </w:t>
      </w:r>
      <w:r w:rsidR="00A933FD">
        <w:rPr>
          <w:lang w:val="en-CA"/>
        </w:rPr>
        <w:t>ss. </w:t>
      </w:r>
      <w:r w:rsidRPr="00CF4E9F">
        <w:rPr>
          <w:lang w:val="en-CA"/>
        </w:rPr>
        <w:t xml:space="preserve">7 and 15(1) of the </w:t>
      </w:r>
      <w:r w:rsidRPr="00CF4E9F">
        <w:rPr>
          <w:i/>
          <w:lang w:val="en-CA"/>
        </w:rPr>
        <w:t>Charter</w:t>
      </w:r>
      <w:r w:rsidRPr="00CF4E9F">
        <w:rPr>
          <w:lang w:val="en-CA"/>
        </w:rPr>
        <w:t xml:space="preserve"> were new within the meaning of </w:t>
      </w:r>
      <w:r w:rsidRPr="00CF4E9F">
        <w:rPr>
          <w:i/>
          <w:lang w:val="en-CA"/>
        </w:rPr>
        <w:t>Bedford</w:t>
      </w:r>
      <w:r w:rsidRPr="00CF4E9F">
        <w:rPr>
          <w:lang w:val="en-CA"/>
        </w:rPr>
        <w:t>.</w:t>
      </w:r>
      <w:r w:rsidR="00187257">
        <w:rPr>
          <w:lang w:val="en-CA"/>
        </w:rPr>
        <w:t xml:space="preserve"> </w:t>
      </w:r>
      <w:r w:rsidRPr="00CF4E9F">
        <w:rPr>
          <w:lang w:val="en-CA"/>
        </w:rPr>
        <w:t xml:space="preserve">Moreover, with regard to the justification of the infringement under </w:t>
      </w:r>
      <w:r w:rsidR="00162E51">
        <w:rPr>
          <w:lang w:val="en-CA"/>
        </w:rPr>
        <w:t>s. </w:t>
      </w:r>
      <w:r w:rsidRPr="00CF4E9F">
        <w:rPr>
          <w:lang w:val="en-CA"/>
        </w:rPr>
        <w:t xml:space="preserve">9 of the </w:t>
      </w:r>
      <w:r w:rsidRPr="00CF4E9F">
        <w:rPr>
          <w:i/>
          <w:lang w:val="en-CA"/>
        </w:rPr>
        <w:t>Charter</w:t>
      </w:r>
      <w:r w:rsidRPr="00CF4E9F">
        <w:rPr>
          <w:lang w:val="en-CA"/>
        </w:rPr>
        <w:t xml:space="preserve">, the evolution of social facts since </w:t>
      </w:r>
      <w:r w:rsidRPr="00CF4E9F">
        <w:rPr>
          <w:i/>
          <w:lang w:val="en-CA"/>
        </w:rPr>
        <w:t>Ladouceur</w:t>
      </w:r>
      <w:r w:rsidRPr="00CF4E9F">
        <w:rPr>
          <w:lang w:val="en-CA"/>
        </w:rPr>
        <w:t xml:space="preserve"> </w:t>
      </w:r>
      <w:r w:rsidR="00B51478" w:rsidRPr="00CF4E9F">
        <w:rPr>
          <w:lang w:val="en-CA"/>
        </w:rPr>
        <w:t xml:space="preserve">fundamentally shifted </w:t>
      </w:r>
      <w:r w:rsidRPr="00CF4E9F">
        <w:rPr>
          <w:lang w:val="en-CA"/>
        </w:rPr>
        <w:t xml:space="preserve">the </w:t>
      </w:r>
      <w:r w:rsidR="00B51478" w:rsidRPr="00CF4E9F">
        <w:rPr>
          <w:lang w:val="en-CA"/>
        </w:rPr>
        <w:t>parameters</w:t>
      </w:r>
      <w:r w:rsidRPr="00CF4E9F">
        <w:rPr>
          <w:lang w:val="en-CA"/>
        </w:rPr>
        <w:t xml:space="preserve"> and</w:t>
      </w:r>
      <w:r w:rsidR="00787F9B">
        <w:rPr>
          <w:lang w:val="en-CA"/>
        </w:rPr>
        <w:t xml:space="preserve"> also</w:t>
      </w:r>
      <w:r w:rsidRPr="00CF4E9F">
        <w:rPr>
          <w:lang w:val="en-CA"/>
        </w:rPr>
        <w:t xml:space="preserve"> justified revisiting this precedent.</w:t>
      </w:r>
    </w:p>
    <w:p w14:paraId="429410C3" w14:textId="2453EEF5" w:rsidR="005A1C52" w:rsidRPr="00CF4E9F" w:rsidRDefault="00AC00F6" w:rsidP="002E559C">
      <w:pPr>
        <w:pStyle w:val="Titre2"/>
        <w:rPr>
          <w:lang w:val="en-CA"/>
        </w:rPr>
      </w:pPr>
      <w:bookmarkStart w:id="33" w:name="_Toc177390717"/>
      <w:bookmarkStart w:id="34" w:name="_Toc201822876"/>
      <w:r w:rsidRPr="00CF4E9F">
        <w:rPr>
          <w:lang w:val="en-CA"/>
        </w:rPr>
        <w:t>B.</w:t>
      </w:r>
      <w:r w:rsidR="0043013D" w:rsidRPr="00CF4E9F">
        <w:rPr>
          <w:lang w:val="en-CA"/>
        </w:rPr>
        <w:tab/>
      </w:r>
      <w:bookmarkEnd w:id="33"/>
      <w:r w:rsidR="00BF5340" w:rsidRPr="00CF4E9F">
        <w:rPr>
          <w:lang w:val="en-CA"/>
        </w:rPr>
        <w:t xml:space="preserve">Section 9 of the </w:t>
      </w:r>
      <w:r w:rsidR="00BF5340" w:rsidRPr="00CF4E9F">
        <w:rPr>
          <w:i/>
          <w:lang w:val="en-CA"/>
        </w:rPr>
        <w:t>Charter</w:t>
      </w:r>
      <w:bookmarkEnd w:id="34"/>
    </w:p>
    <w:p w14:paraId="66911738" w14:textId="2FA54363" w:rsidR="005A1C52" w:rsidRPr="00CF4E9F" w:rsidRDefault="00BF5340" w:rsidP="00FB1C7A">
      <w:pPr>
        <w:pStyle w:val="Paragraphe"/>
        <w:spacing w:line="280" w:lineRule="exact"/>
        <w:rPr>
          <w:lang w:val="en-CA"/>
        </w:rPr>
      </w:pPr>
      <w:r w:rsidRPr="00CF4E9F">
        <w:rPr>
          <w:shd w:val="clear" w:color="auto" w:fill="FFFFFF"/>
          <w:lang w:val="en-CA"/>
        </w:rPr>
        <w:t xml:space="preserve">Like the Supreme Court in </w:t>
      </w:r>
      <w:r w:rsidRPr="00CF4E9F">
        <w:rPr>
          <w:i/>
          <w:shd w:val="clear" w:color="auto" w:fill="FFFFFF"/>
          <w:lang w:val="en-CA"/>
        </w:rPr>
        <w:t>Ladouceur</w:t>
      </w:r>
      <w:r w:rsidRPr="00CF4E9F">
        <w:rPr>
          <w:shd w:val="clear" w:color="auto" w:fill="FFFFFF"/>
          <w:lang w:val="en-CA"/>
        </w:rPr>
        <w:t>, the judge found that traffic stops with</w:t>
      </w:r>
      <w:r w:rsidR="00236B54" w:rsidRPr="00CF4E9F">
        <w:rPr>
          <w:shd w:val="clear" w:color="auto" w:fill="FFFFFF"/>
          <w:lang w:val="en-CA"/>
        </w:rPr>
        <w:t xml:space="preserve"> no</w:t>
      </w:r>
      <w:r w:rsidRPr="00CF4E9F">
        <w:rPr>
          <w:shd w:val="clear" w:color="auto" w:fill="FFFFFF"/>
          <w:lang w:val="en-CA"/>
        </w:rPr>
        <w:t xml:space="preserve"> required grounds violate the right </w:t>
      </w:r>
      <w:r w:rsidR="00DE2019" w:rsidRPr="00CF4E9F">
        <w:rPr>
          <w:lang w:val="en-CA"/>
        </w:rPr>
        <w:t xml:space="preserve">not to be arbitrarily detained </w:t>
      </w:r>
      <w:r w:rsidRPr="00CF4E9F">
        <w:rPr>
          <w:shd w:val="clear" w:color="auto" w:fill="FFFFFF"/>
          <w:lang w:val="en-CA"/>
        </w:rPr>
        <w:t xml:space="preserve">guaranteed by </w:t>
      </w:r>
      <w:r w:rsidR="00162E51">
        <w:rPr>
          <w:shd w:val="clear" w:color="auto" w:fill="FFFFFF"/>
          <w:lang w:val="en-CA"/>
        </w:rPr>
        <w:t>s. </w:t>
      </w:r>
      <w:r w:rsidRPr="00CF4E9F">
        <w:rPr>
          <w:shd w:val="clear" w:color="auto" w:fill="FFFFFF"/>
          <w:lang w:val="en-CA"/>
        </w:rPr>
        <w:t xml:space="preserve">9 of the </w:t>
      </w:r>
      <w:r w:rsidRPr="00CF4E9F">
        <w:rPr>
          <w:i/>
          <w:shd w:val="clear" w:color="auto" w:fill="FFFFFF"/>
          <w:lang w:val="en-CA"/>
        </w:rPr>
        <w:t>Charter</w:t>
      </w:r>
      <w:r w:rsidRPr="00CF4E9F">
        <w:rPr>
          <w:shd w:val="clear" w:color="auto" w:fill="FFFFFF"/>
          <w:lang w:val="en-CA"/>
        </w:rPr>
        <w:t>.</w:t>
      </w:r>
      <w:r w:rsidR="0043013D" w:rsidRPr="00CF4E9F">
        <w:rPr>
          <w:shd w:val="clear" w:color="auto" w:fill="FFFFFF"/>
          <w:lang w:val="en-CA"/>
        </w:rPr>
        <w:t xml:space="preserve"> </w:t>
      </w:r>
      <w:r w:rsidRPr="00CF4E9F">
        <w:rPr>
          <w:shd w:val="clear" w:color="auto" w:fill="FFFFFF"/>
          <w:lang w:val="en-CA"/>
        </w:rPr>
        <w:t>For the judge, there was</w:t>
      </w:r>
      <w:r w:rsidR="00215593">
        <w:rPr>
          <w:shd w:val="clear" w:color="auto" w:fill="FFFFFF"/>
          <w:lang w:val="en-CA"/>
        </w:rPr>
        <w:t xml:space="preserve"> therefore</w:t>
      </w:r>
      <w:r w:rsidRPr="00CF4E9F">
        <w:rPr>
          <w:shd w:val="clear" w:color="auto" w:fill="FFFFFF"/>
          <w:lang w:val="en-CA"/>
        </w:rPr>
        <w:t xml:space="preserve"> no doubt that </w:t>
      </w:r>
      <w:r w:rsidR="00162E51">
        <w:rPr>
          <w:shd w:val="clear" w:color="auto" w:fill="FFFFFF"/>
          <w:lang w:val="en-CA"/>
        </w:rPr>
        <w:t>s. </w:t>
      </w:r>
      <w:r w:rsidRPr="00CF4E9F">
        <w:rPr>
          <w:lang w:val="en-CA"/>
        </w:rPr>
        <w:t xml:space="preserve">9 of the </w:t>
      </w:r>
      <w:r w:rsidRPr="00CF4E9F">
        <w:rPr>
          <w:i/>
          <w:lang w:val="en-CA"/>
        </w:rPr>
        <w:t>Charter</w:t>
      </w:r>
      <w:r w:rsidRPr="00CF4E9F">
        <w:rPr>
          <w:lang w:val="en-CA"/>
        </w:rPr>
        <w:t xml:space="preserve"> </w:t>
      </w:r>
      <w:r w:rsidRPr="00CF4E9F">
        <w:rPr>
          <w:rFonts w:cs="Arial"/>
          <w:lang w:val="en-CA"/>
        </w:rPr>
        <w:t>[</w:t>
      </w:r>
      <w:r w:rsidRPr="00CF4E9F">
        <w:rPr>
          <w:rFonts w:cs="Arial"/>
          <w:smallCaps/>
          <w:lang w:val="en-CA"/>
        </w:rPr>
        <w:t>translation</w:t>
      </w:r>
      <w:r w:rsidRPr="00CF4E9F">
        <w:rPr>
          <w:rFonts w:cs="Arial"/>
          <w:lang w:val="en-CA"/>
        </w:rPr>
        <w:t>]</w:t>
      </w:r>
      <w:r w:rsidR="00F8437E">
        <w:rPr>
          <w:rFonts w:cs="Arial"/>
          <w:lang w:val="en-CA"/>
        </w:rPr>
        <w:t> </w:t>
      </w:r>
      <w:r w:rsidRPr="00CF4E9F">
        <w:rPr>
          <w:lang w:val="en-CA"/>
        </w:rPr>
        <w:t>“was repeatedly infringed” in this case.</w:t>
      </w:r>
      <w:r w:rsidRPr="00CF4E9F">
        <w:rPr>
          <w:rFonts w:cs="Arial"/>
          <w:color w:val="000000"/>
          <w:vertAlign w:val="superscript"/>
          <w:lang w:val="en-CA"/>
        </w:rPr>
        <w:footnoteReference w:id="48"/>
      </w:r>
      <w:r w:rsidR="00EB12AA" w:rsidRPr="00CF4E9F">
        <w:rPr>
          <w:lang w:val="en-CA"/>
        </w:rPr>
        <w:t xml:space="preserve"> </w:t>
      </w:r>
      <w:r w:rsidRPr="00CF4E9F">
        <w:rPr>
          <w:shd w:val="clear" w:color="auto" w:fill="FFFFFF"/>
          <w:lang w:val="en-CA"/>
        </w:rPr>
        <w:t xml:space="preserve">He further determined that this infringement </w:t>
      </w:r>
      <w:r w:rsidR="00A41AE1" w:rsidRPr="00CF4E9F">
        <w:rPr>
          <w:shd w:val="clear" w:color="auto" w:fill="FFFFFF"/>
          <w:lang w:val="en-CA"/>
        </w:rPr>
        <w:t>i</w:t>
      </w:r>
      <w:r w:rsidRPr="00CF4E9F">
        <w:rPr>
          <w:shd w:val="clear" w:color="auto" w:fill="FFFFFF"/>
          <w:lang w:val="en-CA"/>
        </w:rPr>
        <w:t xml:space="preserve">s not the result of an </w:t>
      </w:r>
      <w:r w:rsidR="001A2A93">
        <w:rPr>
          <w:shd w:val="clear" w:color="auto" w:fill="FFFFFF"/>
          <w:lang w:val="en-CA"/>
        </w:rPr>
        <w:t>improper</w:t>
      </w:r>
      <w:r w:rsidR="001A2A93" w:rsidRPr="00CF4E9F">
        <w:rPr>
          <w:shd w:val="clear" w:color="auto" w:fill="FFFFFF"/>
          <w:lang w:val="en-CA"/>
        </w:rPr>
        <w:t xml:space="preserve"> </w:t>
      </w:r>
      <w:r w:rsidRPr="00CF4E9F">
        <w:rPr>
          <w:shd w:val="clear" w:color="auto" w:fill="FFFFFF"/>
          <w:lang w:val="en-CA"/>
        </w:rPr>
        <w:t xml:space="preserve">application of the </w:t>
      </w:r>
      <w:r w:rsidR="00A41AE1" w:rsidRPr="00CF4E9F">
        <w:rPr>
          <w:shd w:val="clear" w:color="auto" w:fill="FFFFFF"/>
          <w:lang w:val="en-CA"/>
        </w:rPr>
        <w:t>challeng</w:t>
      </w:r>
      <w:r w:rsidRPr="00CF4E9F">
        <w:rPr>
          <w:shd w:val="clear" w:color="auto" w:fill="FFFFFF"/>
          <w:lang w:val="en-CA"/>
        </w:rPr>
        <w:t xml:space="preserve">ed </w:t>
      </w:r>
      <w:r w:rsidR="007A737C">
        <w:rPr>
          <w:shd w:val="clear" w:color="auto" w:fill="FFFFFF"/>
          <w:lang w:val="en-CA"/>
        </w:rPr>
        <w:t>provision</w:t>
      </w:r>
      <w:r w:rsidRPr="00CF4E9F">
        <w:rPr>
          <w:shd w:val="clear" w:color="auto" w:fill="FFFFFF"/>
          <w:lang w:val="en-CA"/>
        </w:rPr>
        <w:t xml:space="preserve">, but instead </w:t>
      </w:r>
      <w:r w:rsidR="00A41AE1" w:rsidRPr="00CF4E9F">
        <w:rPr>
          <w:shd w:val="clear" w:color="auto" w:fill="FFFFFF"/>
          <w:lang w:val="en-CA"/>
        </w:rPr>
        <w:t xml:space="preserve">results </w:t>
      </w:r>
      <w:r w:rsidRPr="00CF4E9F">
        <w:rPr>
          <w:shd w:val="clear" w:color="auto" w:fill="FFFFFF"/>
          <w:lang w:val="en-CA"/>
        </w:rPr>
        <w:t xml:space="preserve">from the </w:t>
      </w:r>
      <w:r w:rsidR="007A737C">
        <w:rPr>
          <w:shd w:val="clear" w:color="auto" w:fill="FFFFFF"/>
          <w:lang w:val="en-CA"/>
        </w:rPr>
        <w:t>provision</w:t>
      </w:r>
      <w:r w:rsidRPr="00CF4E9F">
        <w:rPr>
          <w:shd w:val="clear" w:color="auto" w:fill="FFFFFF"/>
          <w:lang w:val="en-CA"/>
        </w:rPr>
        <w:t xml:space="preserve"> itself.</w:t>
      </w:r>
      <w:r w:rsidR="0043013D" w:rsidRPr="00CF4E9F">
        <w:rPr>
          <w:shd w:val="clear" w:color="auto" w:fill="FFFFFF"/>
          <w:lang w:val="en-CA"/>
        </w:rPr>
        <w:t xml:space="preserve"> </w:t>
      </w:r>
      <w:r w:rsidRPr="00CF4E9F">
        <w:rPr>
          <w:lang w:val="en-CA"/>
        </w:rPr>
        <w:t xml:space="preserve">The judge </w:t>
      </w:r>
      <w:r w:rsidR="00A41AE1" w:rsidRPr="00CF4E9F">
        <w:rPr>
          <w:lang w:val="en-CA"/>
        </w:rPr>
        <w:t>held</w:t>
      </w:r>
      <w:r w:rsidRPr="00CF4E9F">
        <w:rPr>
          <w:lang w:val="en-CA"/>
        </w:rPr>
        <w:t xml:space="preserve"> that the infringement of the right guaranteed by </w:t>
      </w:r>
      <w:r w:rsidR="00162E51">
        <w:rPr>
          <w:lang w:val="en-CA"/>
        </w:rPr>
        <w:t>s. </w:t>
      </w:r>
      <w:r w:rsidRPr="00CF4E9F">
        <w:rPr>
          <w:shd w:val="clear" w:color="auto" w:fill="FFFFFF"/>
          <w:lang w:val="en-CA"/>
        </w:rPr>
        <w:t>9 c</w:t>
      </w:r>
      <w:r w:rsidR="00A41AE1" w:rsidRPr="00CF4E9F">
        <w:rPr>
          <w:shd w:val="clear" w:color="auto" w:fill="FFFFFF"/>
          <w:lang w:val="en-CA"/>
        </w:rPr>
        <w:t>ould not</w:t>
      </w:r>
      <w:r w:rsidRPr="00CF4E9F">
        <w:rPr>
          <w:shd w:val="clear" w:color="auto" w:fill="FFFFFF"/>
          <w:lang w:val="en-CA"/>
        </w:rPr>
        <w:t xml:space="preserve"> be justified under </w:t>
      </w:r>
      <w:r w:rsidR="00162E51">
        <w:rPr>
          <w:shd w:val="clear" w:color="auto" w:fill="FFFFFF"/>
          <w:lang w:val="en-CA"/>
        </w:rPr>
        <w:t>s. </w:t>
      </w:r>
      <w:r w:rsidRPr="00CF4E9F">
        <w:rPr>
          <w:shd w:val="clear" w:color="auto" w:fill="FFFFFF"/>
          <w:lang w:val="en-CA"/>
        </w:rPr>
        <w:t xml:space="preserve">1 of the </w:t>
      </w:r>
      <w:r w:rsidRPr="00CF4E9F">
        <w:rPr>
          <w:i/>
          <w:shd w:val="clear" w:color="auto" w:fill="FFFFFF"/>
          <w:lang w:val="en-CA"/>
        </w:rPr>
        <w:t>Charter</w:t>
      </w:r>
      <w:r w:rsidRPr="00CF4E9F">
        <w:rPr>
          <w:shd w:val="clear" w:color="auto" w:fill="FFFFFF"/>
          <w:lang w:val="en-CA"/>
        </w:rPr>
        <w:t>.</w:t>
      </w:r>
      <w:r w:rsidR="0043013D" w:rsidRPr="00CF4E9F">
        <w:rPr>
          <w:shd w:val="clear" w:color="auto" w:fill="FFFFFF"/>
          <w:lang w:val="en-CA"/>
        </w:rPr>
        <w:t xml:space="preserve"> </w:t>
      </w:r>
    </w:p>
    <w:p w14:paraId="6734B85A" w14:textId="73321A20" w:rsidR="005A1C52" w:rsidRPr="00CF4E9F" w:rsidRDefault="00BF5340" w:rsidP="00FB1C7A">
      <w:pPr>
        <w:pStyle w:val="Paragraphe"/>
        <w:spacing w:line="280" w:lineRule="exact"/>
        <w:rPr>
          <w:lang w:val="en-CA"/>
        </w:rPr>
      </w:pPr>
      <w:r w:rsidRPr="00CF4E9F">
        <w:rPr>
          <w:lang w:val="en-CA"/>
        </w:rPr>
        <w:t xml:space="preserve">While this conclusion was sufficient to decide the dispute, the judge felt it useful to continue his analysis under </w:t>
      </w:r>
      <w:r w:rsidR="00A933FD">
        <w:rPr>
          <w:lang w:val="en-CA"/>
        </w:rPr>
        <w:t>ss. </w:t>
      </w:r>
      <w:r w:rsidRPr="00CF4E9F">
        <w:rPr>
          <w:lang w:val="en-CA"/>
        </w:rPr>
        <w:t xml:space="preserve">7 and </w:t>
      </w:r>
      <w:r w:rsidR="00B50EB0" w:rsidRPr="00CF4E9F">
        <w:rPr>
          <w:lang w:val="en-CA"/>
        </w:rPr>
        <w:t xml:space="preserve">15(1) of the </w:t>
      </w:r>
      <w:r w:rsidR="00B50EB0" w:rsidRPr="00CF4E9F">
        <w:rPr>
          <w:i/>
          <w:lang w:val="en-CA"/>
        </w:rPr>
        <w:t>Charter</w:t>
      </w:r>
      <w:r w:rsidR="00B50EB0" w:rsidRPr="00CF4E9F">
        <w:rPr>
          <w:lang w:val="en-CA"/>
        </w:rPr>
        <w:t>.</w:t>
      </w:r>
      <w:r w:rsidRPr="00CF4E9F">
        <w:rPr>
          <w:rStyle w:val="Appelnotedebasdep"/>
          <w:lang w:val="en-CA"/>
        </w:rPr>
        <w:footnoteReference w:id="49"/>
      </w:r>
    </w:p>
    <w:p w14:paraId="6C913BF2" w14:textId="40B7E7F3" w:rsidR="005A1C52" w:rsidRPr="00CF4E9F" w:rsidRDefault="00F47355" w:rsidP="002E559C">
      <w:pPr>
        <w:pStyle w:val="Titre2"/>
        <w:rPr>
          <w:lang w:val="en-CA"/>
        </w:rPr>
      </w:pPr>
      <w:bookmarkStart w:id="35" w:name="_Toc177390718"/>
      <w:bookmarkStart w:id="36" w:name="_Toc201822877"/>
      <w:r w:rsidRPr="00CF4E9F">
        <w:rPr>
          <w:lang w:val="en-CA"/>
        </w:rPr>
        <w:t>V.</w:t>
      </w:r>
      <w:r w:rsidR="0043013D" w:rsidRPr="00CF4E9F">
        <w:rPr>
          <w:lang w:val="en-CA"/>
        </w:rPr>
        <w:tab/>
      </w:r>
      <w:bookmarkEnd w:id="35"/>
      <w:r w:rsidR="00BF5340" w:rsidRPr="00CF4E9F">
        <w:rPr>
          <w:lang w:val="en-CA"/>
        </w:rPr>
        <w:t xml:space="preserve">Section 7 of the </w:t>
      </w:r>
      <w:r w:rsidR="00BF5340" w:rsidRPr="00CF4E9F">
        <w:rPr>
          <w:i/>
          <w:lang w:val="en-CA"/>
        </w:rPr>
        <w:t>Charter</w:t>
      </w:r>
      <w:bookmarkEnd w:id="36"/>
    </w:p>
    <w:p w14:paraId="1AB5984B" w14:textId="77394C58" w:rsidR="005A1C52" w:rsidRPr="00CF4E9F" w:rsidRDefault="00FE4571" w:rsidP="00D80997">
      <w:pPr>
        <w:pStyle w:val="Paragraphe"/>
        <w:spacing w:line="280" w:lineRule="exact"/>
        <w:rPr>
          <w:lang w:val="en-CA"/>
        </w:rPr>
      </w:pPr>
      <w:r w:rsidRPr="00CF4E9F">
        <w:rPr>
          <w:lang w:val="en-CA"/>
        </w:rPr>
        <w:t xml:space="preserve">The judge was of the view that the </w:t>
      </w:r>
      <w:r w:rsidR="00A41AE1" w:rsidRPr="00CF4E9F">
        <w:rPr>
          <w:lang w:val="en-CA"/>
        </w:rPr>
        <w:t>challeng</w:t>
      </w:r>
      <w:r w:rsidRPr="00CF4E9F">
        <w:rPr>
          <w:lang w:val="en-CA"/>
        </w:rPr>
        <w:t xml:space="preserve">ed </w:t>
      </w:r>
      <w:r w:rsidR="007A737C">
        <w:rPr>
          <w:lang w:val="en-CA"/>
        </w:rPr>
        <w:t>provision</w:t>
      </w:r>
      <w:r w:rsidRPr="00CF4E9F">
        <w:rPr>
          <w:lang w:val="en-CA"/>
        </w:rPr>
        <w:t xml:space="preserve"> infringes the rights to liberty and security of the person guaranteed by </w:t>
      </w:r>
      <w:r w:rsidR="00162E51">
        <w:rPr>
          <w:lang w:val="en-CA"/>
        </w:rPr>
        <w:t>s. </w:t>
      </w:r>
      <w:r w:rsidR="006D446B" w:rsidRPr="00CF4E9F">
        <w:rPr>
          <w:lang w:val="en-CA"/>
        </w:rPr>
        <w:t xml:space="preserve">7 of the </w:t>
      </w:r>
      <w:r w:rsidR="006D446B" w:rsidRPr="00CF4E9F">
        <w:rPr>
          <w:i/>
          <w:lang w:val="en-CA"/>
        </w:rPr>
        <w:t>Charter</w:t>
      </w:r>
      <w:r w:rsidR="006D446B" w:rsidRPr="00CF4E9F">
        <w:rPr>
          <w:lang w:val="en-CA"/>
        </w:rPr>
        <w:t>.</w:t>
      </w:r>
      <w:r w:rsidR="0043013D" w:rsidRPr="00CF4E9F">
        <w:rPr>
          <w:lang w:val="en-CA"/>
        </w:rPr>
        <w:t xml:space="preserve"> </w:t>
      </w:r>
      <w:r w:rsidR="00A41AE1" w:rsidRPr="00CF4E9F">
        <w:rPr>
          <w:lang w:val="en-CA"/>
        </w:rPr>
        <w:t>H</w:t>
      </w:r>
      <w:r w:rsidRPr="00CF4E9F">
        <w:rPr>
          <w:lang w:val="en-CA"/>
        </w:rPr>
        <w:t xml:space="preserve">e stated that the form of liberty at issue here was to be distinguished from that protected by </w:t>
      </w:r>
      <w:r w:rsidR="00162E51">
        <w:rPr>
          <w:lang w:val="en-CA"/>
        </w:rPr>
        <w:t>s. </w:t>
      </w:r>
      <w:r w:rsidRPr="00CF4E9F">
        <w:rPr>
          <w:lang w:val="en-CA"/>
        </w:rPr>
        <w:t xml:space="preserve">9: while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“s.</w:t>
      </w:r>
      <w:r w:rsidR="00F8437E">
        <w:rPr>
          <w:lang w:val="en-CA"/>
        </w:rPr>
        <w:t> </w:t>
      </w:r>
      <w:r w:rsidRPr="00CF4E9F">
        <w:rPr>
          <w:lang w:val="en-CA"/>
        </w:rPr>
        <w:t xml:space="preserve">9 is concerned with physical liberty, s. 7 is instead related to </w:t>
      </w:r>
      <w:r w:rsidR="00264AF5">
        <w:rPr>
          <w:lang w:val="en-CA"/>
        </w:rPr>
        <w:t>[</w:t>
      </w:r>
      <w:r w:rsidRPr="00CF4E9F">
        <w:rPr>
          <w:lang w:val="en-CA"/>
        </w:rPr>
        <w:t>...</w:t>
      </w:r>
      <w:r w:rsidR="00264AF5">
        <w:rPr>
          <w:lang w:val="en-CA"/>
        </w:rPr>
        <w:t>]</w:t>
      </w:r>
      <w:r w:rsidRPr="00CF4E9F">
        <w:rPr>
          <w:lang w:val="en-CA"/>
        </w:rPr>
        <w:t xml:space="preserve"> the liberty to make personal choices as an individual”.</w:t>
      </w:r>
      <w:r w:rsidRPr="00CF4E9F">
        <w:rPr>
          <w:vertAlign w:val="superscript"/>
          <w:lang w:val="en-CA"/>
        </w:rPr>
        <w:footnoteReference w:id="50"/>
      </w:r>
      <w:r w:rsidR="0043013D" w:rsidRPr="00CF4E9F">
        <w:rPr>
          <w:lang w:val="en-CA"/>
        </w:rPr>
        <w:t xml:space="preserve"> </w:t>
      </w:r>
      <w:r w:rsidRPr="00CF4E9F">
        <w:rPr>
          <w:lang w:val="en-CA"/>
        </w:rPr>
        <w:t xml:space="preserve">According to the judge, there was no doubt that the </w:t>
      </w:r>
      <w:r w:rsidR="00A41AE1" w:rsidRPr="00CF4E9F">
        <w:rPr>
          <w:lang w:val="en-CA"/>
        </w:rPr>
        <w:t>challeng</w:t>
      </w:r>
      <w:r w:rsidRPr="00CF4E9F">
        <w:rPr>
          <w:lang w:val="en-CA"/>
        </w:rPr>
        <w:t xml:space="preserve">ed </w:t>
      </w:r>
      <w:r w:rsidR="007A737C">
        <w:rPr>
          <w:lang w:val="en-CA"/>
        </w:rPr>
        <w:t>provision</w:t>
      </w:r>
      <w:r w:rsidRPr="00CF4E9F">
        <w:rPr>
          <w:lang w:val="en-CA"/>
        </w:rPr>
        <w:t xml:space="preserve"> violated the right of Black people </w:t>
      </w:r>
      <w:r w:rsidRPr="00CF4E9F">
        <w:rPr>
          <w:rFonts w:cs="Arial"/>
          <w:lang w:val="en-CA"/>
        </w:rPr>
        <w:t>[</w:t>
      </w:r>
      <w:r w:rsidRPr="00CF4E9F">
        <w:rPr>
          <w:rFonts w:cs="Arial"/>
          <w:smallCaps/>
          <w:lang w:val="en-CA"/>
        </w:rPr>
        <w:t>translation</w:t>
      </w:r>
      <w:r w:rsidRPr="00CF4E9F">
        <w:rPr>
          <w:rFonts w:cs="Arial"/>
          <w:lang w:val="en-CA"/>
        </w:rPr>
        <w:t>]</w:t>
      </w:r>
      <w:r w:rsidRPr="00CF4E9F">
        <w:rPr>
          <w:lang w:val="en-CA"/>
        </w:rPr>
        <w:t xml:space="preserve"> “to </w:t>
      </w:r>
      <w:r w:rsidRPr="00CF4E9F">
        <w:rPr>
          <w:lang w:val="en-CA"/>
        </w:rPr>
        <w:lastRenderedPageBreak/>
        <w:t>live their lives as they please and to drive a vehicle to meet their needs without being harassed by the police solely on the ground of their skin colour”.</w:t>
      </w:r>
      <w:r w:rsidRPr="00CF4E9F">
        <w:rPr>
          <w:vertAlign w:val="superscript"/>
          <w:lang w:val="en-CA"/>
        </w:rPr>
        <w:footnoteReference w:id="51"/>
      </w:r>
    </w:p>
    <w:p w14:paraId="5A6B2DC8" w14:textId="6C32B863" w:rsidR="00EB12AA" w:rsidRPr="00CF4E9F" w:rsidRDefault="00FE4571" w:rsidP="00415110">
      <w:pPr>
        <w:pStyle w:val="Paragraphe"/>
        <w:spacing w:before="80" w:line="280" w:lineRule="exact"/>
        <w:rPr>
          <w:lang w:val="en-CA"/>
        </w:rPr>
      </w:pPr>
      <w:r w:rsidRPr="00CF4E9F">
        <w:rPr>
          <w:lang w:val="en-CA"/>
        </w:rPr>
        <w:t xml:space="preserve">The judge determined that the deprivation of fundamental rights resulting from the </w:t>
      </w:r>
      <w:r w:rsidR="00A41AE1" w:rsidRPr="00CF4E9F">
        <w:rPr>
          <w:lang w:val="en-CA"/>
        </w:rPr>
        <w:t>challeng</w:t>
      </w:r>
      <w:r w:rsidRPr="00CF4E9F">
        <w:rPr>
          <w:lang w:val="en-CA"/>
        </w:rPr>
        <w:t xml:space="preserve">ed </w:t>
      </w:r>
      <w:r w:rsidR="007A737C">
        <w:rPr>
          <w:lang w:val="en-CA"/>
        </w:rPr>
        <w:t>provision</w:t>
      </w:r>
      <w:r w:rsidRPr="00CF4E9F">
        <w:rPr>
          <w:lang w:val="en-CA"/>
        </w:rPr>
        <w:t xml:space="preserve"> was </w:t>
      </w:r>
      <w:r w:rsidR="00DD05C0" w:rsidRPr="00CF4E9F">
        <w:rPr>
          <w:lang w:val="en-CA"/>
        </w:rPr>
        <w:t>not in accordance</w:t>
      </w:r>
      <w:r w:rsidRPr="00CF4E9F">
        <w:rPr>
          <w:lang w:val="en-CA"/>
        </w:rPr>
        <w:t xml:space="preserve"> with the principles of fundamental justice.</w:t>
      </w:r>
      <w:r w:rsidR="0043013D" w:rsidRPr="00CF4E9F">
        <w:rPr>
          <w:shd w:val="clear" w:color="auto" w:fill="FFFFFF"/>
          <w:lang w:val="en-CA"/>
        </w:rPr>
        <w:t xml:space="preserve"> </w:t>
      </w:r>
      <w:r w:rsidRPr="00CF4E9F">
        <w:rPr>
          <w:lang w:val="en-CA"/>
        </w:rPr>
        <w:t xml:space="preserve">He again concluded that this deprivation could not be justified under </w:t>
      </w:r>
      <w:r w:rsidR="00162E51">
        <w:rPr>
          <w:lang w:val="en-CA"/>
        </w:rPr>
        <w:t>s. </w:t>
      </w:r>
      <w:r w:rsidRPr="00CF4E9F">
        <w:rPr>
          <w:lang w:val="en-CA"/>
        </w:rPr>
        <w:t>1.</w:t>
      </w:r>
    </w:p>
    <w:p w14:paraId="2AF16C7D" w14:textId="3A469FA5" w:rsidR="005A1C52" w:rsidRPr="00CF4E9F" w:rsidRDefault="00FE4571" w:rsidP="00415110">
      <w:pPr>
        <w:pStyle w:val="Titre2"/>
        <w:spacing w:before="80"/>
        <w:rPr>
          <w:lang w:val="en-CA"/>
        </w:rPr>
      </w:pPr>
      <w:bookmarkStart w:id="37" w:name="_Toc177390719"/>
      <w:bookmarkStart w:id="38" w:name="_Toc201822878"/>
      <w:r w:rsidRPr="00CF4E9F">
        <w:rPr>
          <w:lang w:val="en-CA"/>
        </w:rPr>
        <w:t>D.</w:t>
      </w:r>
      <w:r w:rsidR="0043013D" w:rsidRPr="00CF4E9F">
        <w:rPr>
          <w:lang w:val="en-CA"/>
        </w:rPr>
        <w:tab/>
      </w:r>
      <w:bookmarkEnd w:id="37"/>
      <w:r w:rsidRPr="00CF4E9F">
        <w:rPr>
          <w:lang w:val="en-CA"/>
        </w:rPr>
        <w:t xml:space="preserve">Section 15(1) of the </w:t>
      </w:r>
      <w:r w:rsidRPr="00CF4E9F">
        <w:rPr>
          <w:i/>
          <w:lang w:val="en-CA"/>
        </w:rPr>
        <w:t>Charter</w:t>
      </w:r>
      <w:bookmarkEnd w:id="38"/>
    </w:p>
    <w:p w14:paraId="0ADBBE5F" w14:textId="42AD043B" w:rsidR="005A1C52" w:rsidRPr="00CF4E9F" w:rsidRDefault="00FE4571" w:rsidP="00415110">
      <w:pPr>
        <w:pStyle w:val="Paragraphe"/>
        <w:spacing w:before="80" w:line="280" w:lineRule="exact"/>
        <w:rPr>
          <w:lang w:val="en-CA"/>
        </w:rPr>
      </w:pPr>
      <w:r w:rsidRPr="00CF4E9F">
        <w:rPr>
          <w:lang w:val="en-CA"/>
        </w:rPr>
        <w:t xml:space="preserve">According to the judge, the </w:t>
      </w:r>
      <w:r w:rsidR="00EB32EA" w:rsidRPr="00CF4E9F">
        <w:rPr>
          <w:lang w:val="en-CA"/>
        </w:rPr>
        <w:t>challeng</w:t>
      </w:r>
      <w:r w:rsidRPr="00CF4E9F">
        <w:rPr>
          <w:lang w:val="en-CA"/>
        </w:rPr>
        <w:t xml:space="preserve">ed </w:t>
      </w:r>
      <w:r w:rsidR="007A737C">
        <w:rPr>
          <w:lang w:val="en-CA"/>
        </w:rPr>
        <w:t>provision</w:t>
      </w:r>
      <w:r w:rsidRPr="00CF4E9F">
        <w:rPr>
          <w:lang w:val="en-CA"/>
        </w:rPr>
        <w:t xml:space="preserve"> </w:t>
      </w:r>
      <w:r w:rsidR="00EB32EA" w:rsidRPr="00CF4E9F">
        <w:rPr>
          <w:lang w:val="en-CA"/>
        </w:rPr>
        <w:t>i</w:t>
      </w:r>
      <w:r w:rsidRPr="00CF4E9F">
        <w:rPr>
          <w:lang w:val="en-CA"/>
        </w:rPr>
        <w:t xml:space="preserve">s inconsistent with the right to equality guaranteed by </w:t>
      </w:r>
      <w:r w:rsidR="00162E51">
        <w:rPr>
          <w:lang w:val="en-CA"/>
        </w:rPr>
        <w:t>s. </w:t>
      </w:r>
      <w:r w:rsidR="00F6446F" w:rsidRPr="00CF4E9F">
        <w:rPr>
          <w:lang w:val="en-CA"/>
        </w:rPr>
        <w:t xml:space="preserve">15(1) of the </w:t>
      </w:r>
      <w:r w:rsidR="00F6446F" w:rsidRPr="00CF4E9F">
        <w:rPr>
          <w:i/>
          <w:lang w:val="en-CA"/>
        </w:rPr>
        <w:t>Charter</w:t>
      </w:r>
      <w:r w:rsidR="00F6446F" w:rsidRPr="00CF4E9F">
        <w:rPr>
          <w:lang w:val="en-CA"/>
        </w:rPr>
        <w:t>.</w:t>
      </w:r>
      <w:r w:rsidR="0043013D" w:rsidRPr="00CF4E9F">
        <w:rPr>
          <w:rFonts w:cs="Arial"/>
          <w:szCs w:val="24"/>
          <w:lang w:val="en-CA"/>
        </w:rPr>
        <w:t xml:space="preserve"> </w:t>
      </w:r>
      <w:r w:rsidRPr="00CF4E9F">
        <w:rPr>
          <w:rFonts w:cs="Arial"/>
          <w:szCs w:val="24"/>
          <w:lang w:val="en-CA"/>
        </w:rPr>
        <w:t>Th</w:t>
      </w:r>
      <w:r w:rsidR="00AA1DBC">
        <w:rPr>
          <w:rFonts w:cs="Arial"/>
          <w:szCs w:val="24"/>
          <w:lang w:val="en-CA"/>
        </w:rPr>
        <w:t>e</w:t>
      </w:r>
      <w:r w:rsidRPr="00CF4E9F">
        <w:rPr>
          <w:rFonts w:cs="Arial"/>
          <w:szCs w:val="24"/>
          <w:lang w:val="en-CA"/>
        </w:rPr>
        <w:t xml:space="preserve"> </w:t>
      </w:r>
      <w:r w:rsidR="007A737C">
        <w:rPr>
          <w:rFonts w:cs="Arial"/>
          <w:szCs w:val="24"/>
          <w:lang w:val="en-CA"/>
        </w:rPr>
        <w:t>provision</w:t>
      </w:r>
      <w:r w:rsidRPr="00CF4E9F">
        <w:rPr>
          <w:rFonts w:cs="Arial"/>
          <w:szCs w:val="24"/>
          <w:lang w:val="en-CA"/>
        </w:rPr>
        <w:t xml:space="preserve"> is discriminatory because even though </w:t>
      </w:r>
      <w:r w:rsidR="001A2C5C" w:rsidRPr="00CF4E9F">
        <w:rPr>
          <w:rFonts w:cs="Arial"/>
          <w:szCs w:val="24"/>
          <w:lang w:val="en-CA"/>
        </w:rPr>
        <w:t xml:space="preserve">seemingly </w:t>
      </w:r>
      <w:r w:rsidRPr="00CF4E9F">
        <w:rPr>
          <w:rFonts w:cs="Arial"/>
          <w:szCs w:val="24"/>
          <w:lang w:val="en-CA"/>
        </w:rPr>
        <w:t xml:space="preserve">neutral, it has a disproportionate adverse </w:t>
      </w:r>
      <w:r w:rsidR="001A2C5C" w:rsidRPr="00CF4E9F">
        <w:rPr>
          <w:rFonts w:cs="Arial"/>
          <w:szCs w:val="24"/>
          <w:lang w:val="en-CA"/>
        </w:rPr>
        <w:t>impact</w:t>
      </w:r>
      <w:r w:rsidRPr="00CF4E9F">
        <w:rPr>
          <w:rFonts w:cs="Arial"/>
          <w:szCs w:val="24"/>
          <w:lang w:val="en-CA"/>
        </w:rPr>
        <w:t xml:space="preserve"> on Black people, a protected group, and imposes a burden </w:t>
      </w:r>
      <w:r w:rsidR="00AA1DBC">
        <w:rPr>
          <w:rFonts w:cs="Arial"/>
          <w:szCs w:val="24"/>
          <w:lang w:val="en-CA"/>
        </w:rPr>
        <w:t xml:space="preserve">on them </w:t>
      </w:r>
      <w:r w:rsidRPr="00CF4E9F">
        <w:rPr>
          <w:rFonts w:cs="Arial"/>
          <w:szCs w:val="24"/>
          <w:lang w:val="en-CA"/>
        </w:rPr>
        <w:t xml:space="preserve">or denies them a benefit in a manner that has the effect of reinforcing </w:t>
      </w:r>
      <w:r w:rsidRPr="00CF4E9F">
        <w:rPr>
          <w:rFonts w:cs="Arial"/>
          <w:lang w:val="en-CA"/>
        </w:rPr>
        <w:t>[</w:t>
      </w:r>
      <w:r w:rsidRPr="00CF4E9F">
        <w:rPr>
          <w:rFonts w:cs="Arial"/>
          <w:smallCaps/>
          <w:lang w:val="en-CA"/>
        </w:rPr>
        <w:t>translation</w:t>
      </w:r>
      <w:r w:rsidRPr="00CF4E9F">
        <w:rPr>
          <w:rFonts w:cs="Arial"/>
          <w:lang w:val="en-CA"/>
        </w:rPr>
        <w:t>]</w:t>
      </w:r>
      <w:r w:rsidRPr="00CF4E9F">
        <w:rPr>
          <w:rFonts w:cs="Arial"/>
          <w:szCs w:val="24"/>
          <w:lang w:val="en-CA"/>
        </w:rPr>
        <w:t xml:space="preserve"> “the systemic or historical disadvantages that Black communities must live and deal with”.</w:t>
      </w:r>
      <w:r w:rsidRPr="00CF4E9F">
        <w:rPr>
          <w:rFonts w:cs="Arial"/>
          <w:szCs w:val="24"/>
          <w:vertAlign w:val="superscript"/>
          <w:lang w:val="en-CA"/>
        </w:rPr>
        <w:footnoteReference w:id="52"/>
      </w:r>
    </w:p>
    <w:p w14:paraId="2B22F683" w14:textId="3D2A332B" w:rsidR="005A1C52" w:rsidRPr="00CF4E9F" w:rsidRDefault="00FE4571" w:rsidP="00415110">
      <w:pPr>
        <w:pStyle w:val="Paragraphe"/>
        <w:spacing w:before="80" w:line="280" w:lineRule="exact"/>
        <w:rPr>
          <w:szCs w:val="24"/>
          <w:lang w:val="en-CA"/>
        </w:rPr>
      </w:pPr>
      <w:r w:rsidRPr="00CF4E9F">
        <w:rPr>
          <w:szCs w:val="24"/>
          <w:shd w:val="clear" w:color="auto" w:fill="FFFFFF"/>
          <w:lang w:val="en-CA"/>
        </w:rPr>
        <w:t xml:space="preserve">The judge concluded that the </w:t>
      </w:r>
      <w:r w:rsidR="00EB32EA" w:rsidRPr="00CF4E9F">
        <w:rPr>
          <w:lang w:val="en-CA"/>
        </w:rPr>
        <w:t>challenged</w:t>
      </w:r>
      <w:r w:rsidRPr="00CF4E9F">
        <w:rPr>
          <w:szCs w:val="24"/>
          <w:shd w:val="clear" w:color="auto" w:fill="FFFFFF"/>
          <w:lang w:val="en-CA"/>
        </w:rPr>
        <w:t xml:space="preserve"> </w:t>
      </w:r>
      <w:r w:rsidR="007A737C">
        <w:rPr>
          <w:szCs w:val="24"/>
          <w:shd w:val="clear" w:color="auto" w:fill="FFFFFF"/>
          <w:lang w:val="en-CA"/>
        </w:rPr>
        <w:t>provision</w:t>
      </w:r>
      <w:r w:rsidRPr="00CF4E9F">
        <w:rPr>
          <w:szCs w:val="24"/>
          <w:shd w:val="clear" w:color="auto" w:fill="FFFFFF"/>
          <w:lang w:val="en-CA"/>
        </w:rPr>
        <w:t xml:space="preserve"> could not be saved under </w:t>
      </w:r>
      <w:r w:rsidR="00162E51">
        <w:rPr>
          <w:szCs w:val="24"/>
          <w:shd w:val="clear" w:color="auto" w:fill="FFFFFF"/>
          <w:lang w:val="en-CA"/>
        </w:rPr>
        <w:t>s. </w:t>
      </w:r>
      <w:r w:rsidRPr="00CF4E9F">
        <w:rPr>
          <w:szCs w:val="24"/>
          <w:shd w:val="clear" w:color="auto" w:fill="FFFFFF"/>
          <w:lang w:val="en-CA"/>
        </w:rPr>
        <w:t xml:space="preserve">1 because the AGQ had not proved </w:t>
      </w:r>
      <w:r w:rsidRPr="00CF4E9F">
        <w:rPr>
          <w:rFonts w:cs="Arial"/>
          <w:lang w:val="en-CA"/>
        </w:rPr>
        <w:t>[</w:t>
      </w:r>
      <w:r w:rsidRPr="00CF4E9F">
        <w:rPr>
          <w:rFonts w:cs="Arial"/>
          <w:smallCaps/>
          <w:lang w:val="en-CA"/>
        </w:rPr>
        <w:t>translation</w:t>
      </w:r>
      <w:r w:rsidRPr="00CF4E9F">
        <w:rPr>
          <w:rFonts w:cs="Arial"/>
          <w:lang w:val="en-CA"/>
        </w:rPr>
        <w:t>]</w:t>
      </w:r>
      <w:r w:rsidRPr="00CF4E9F">
        <w:rPr>
          <w:szCs w:val="24"/>
          <w:shd w:val="clear" w:color="auto" w:fill="FFFFFF"/>
          <w:lang w:val="en-CA"/>
        </w:rPr>
        <w:t xml:space="preserve"> “that the relevance of the </w:t>
      </w:r>
      <w:r w:rsidR="007A737C">
        <w:rPr>
          <w:szCs w:val="24"/>
          <w:shd w:val="clear" w:color="auto" w:fill="FFFFFF"/>
          <w:lang w:val="en-CA"/>
        </w:rPr>
        <w:t>provision</w:t>
      </w:r>
      <w:r w:rsidRPr="00CF4E9F">
        <w:rPr>
          <w:szCs w:val="24"/>
          <w:shd w:val="clear" w:color="auto" w:fill="FFFFFF"/>
          <w:lang w:val="en-CA"/>
        </w:rPr>
        <w:t xml:space="preserve"> and its rational basis justify upholding </w:t>
      </w:r>
      <w:r w:rsidRPr="00CF4E9F">
        <w:rPr>
          <w:rFonts w:cs="Arial"/>
          <w:szCs w:val="24"/>
          <w:shd w:val="clear" w:color="auto" w:fill="FFFFFF"/>
          <w:lang w:val="en-CA"/>
        </w:rPr>
        <w:t>[</w:t>
      </w:r>
      <w:r w:rsidRPr="00CF4E9F">
        <w:rPr>
          <w:szCs w:val="24"/>
          <w:shd w:val="clear" w:color="auto" w:fill="FFFFFF"/>
          <w:lang w:val="en-CA"/>
        </w:rPr>
        <w:t>it</w:t>
      </w:r>
      <w:r w:rsidRPr="00CF4E9F">
        <w:rPr>
          <w:rFonts w:cs="Arial"/>
          <w:szCs w:val="24"/>
          <w:shd w:val="clear" w:color="auto" w:fill="FFFFFF"/>
          <w:lang w:val="en-CA"/>
        </w:rPr>
        <w:t>]</w:t>
      </w:r>
      <w:r w:rsidRPr="00CF4E9F">
        <w:rPr>
          <w:szCs w:val="24"/>
          <w:shd w:val="clear" w:color="auto" w:fill="FFFFFF"/>
          <w:lang w:val="en-CA"/>
        </w:rPr>
        <w:t>”</w:t>
      </w:r>
      <w:r w:rsidRPr="00CF4E9F">
        <w:rPr>
          <w:rFonts w:cs="Arial"/>
          <w:szCs w:val="24"/>
          <w:shd w:val="clear" w:color="auto" w:fill="FFFFFF"/>
          <w:vertAlign w:val="superscript"/>
          <w:lang w:val="en-CA"/>
        </w:rPr>
        <w:footnoteReference w:id="53"/>
      </w:r>
      <w:r w:rsidRPr="00CF4E9F">
        <w:rPr>
          <w:szCs w:val="24"/>
          <w:shd w:val="clear" w:color="auto" w:fill="FFFFFF"/>
          <w:lang w:val="en-CA"/>
        </w:rPr>
        <w:t xml:space="preserve"> </w:t>
      </w:r>
      <w:r w:rsidR="00973902">
        <w:rPr>
          <w:szCs w:val="24"/>
          <w:shd w:val="clear" w:color="auto" w:fill="FFFFFF"/>
          <w:lang w:val="en-CA"/>
        </w:rPr>
        <w:t>despite its</w:t>
      </w:r>
      <w:r w:rsidRPr="00CF4E9F">
        <w:rPr>
          <w:szCs w:val="24"/>
          <w:shd w:val="clear" w:color="auto" w:fill="FFFFFF"/>
          <w:lang w:val="en-CA"/>
        </w:rPr>
        <w:t xml:space="preserve"> discriminatory</w:t>
      </w:r>
      <w:r w:rsidR="00973902">
        <w:rPr>
          <w:szCs w:val="24"/>
          <w:shd w:val="clear" w:color="auto" w:fill="FFFFFF"/>
          <w:lang w:val="en-CA"/>
        </w:rPr>
        <w:t xml:space="preserve"> nature</w:t>
      </w:r>
      <w:r w:rsidRPr="00CF4E9F">
        <w:rPr>
          <w:szCs w:val="24"/>
          <w:shd w:val="clear" w:color="auto" w:fill="FFFFFF"/>
          <w:lang w:val="en-CA"/>
        </w:rPr>
        <w:t>.</w:t>
      </w:r>
    </w:p>
    <w:p w14:paraId="7757DBAC" w14:textId="6BF46C1A" w:rsidR="005A1C52" w:rsidRPr="00CF4E9F" w:rsidRDefault="0054771E" w:rsidP="00415110">
      <w:pPr>
        <w:pStyle w:val="Titre2"/>
        <w:spacing w:before="80"/>
        <w:rPr>
          <w:lang w:val="en-CA"/>
        </w:rPr>
      </w:pPr>
      <w:bookmarkStart w:id="39" w:name="_Toc177390720"/>
      <w:bookmarkStart w:id="40" w:name="_Toc201822879"/>
      <w:r w:rsidRPr="00CF4E9F">
        <w:rPr>
          <w:lang w:val="en-CA"/>
        </w:rPr>
        <w:t>E.</w:t>
      </w:r>
      <w:r w:rsidR="0043013D" w:rsidRPr="00CF4E9F">
        <w:rPr>
          <w:lang w:val="en-CA"/>
        </w:rPr>
        <w:tab/>
      </w:r>
      <w:bookmarkEnd w:id="39"/>
      <w:r w:rsidR="00FE4571" w:rsidRPr="00CF4E9F">
        <w:rPr>
          <w:lang w:val="en-CA"/>
        </w:rPr>
        <w:t>Remedy</w:t>
      </w:r>
      <w:bookmarkEnd w:id="40"/>
    </w:p>
    <w:p w14:paraId="00935EC2" w14:textId="16F9DBE8" w:rsidR="005A1C52" w:rsidRPr="00CF4E9F" w:rsidRDefault="00FE4571" w:rsidP="00415110">
      <w:pPr>
        <w:pStyle w:val="Paragraphe"/>
        <w:spacing w:before="80" w:line="280" w:lineRule="exact"/>
        <w:rPr>
          <w:lang w:val="en-CA"/>
        </w:rPr>
      </w:pPr>
      <w:r w:rsidRPr="00CF4E9F">
        <w:rPr>
          <w:lang w:val="en-CA"/>
        </w:rPr>
        <w:t xml:space="preserve">The judge </w:t>
      </w:r>
      <w:r w:rsidR="00397AAE" w:rsidRPr="00CF4E9F">
        <w:rPr>
          <w:lang w:val="en-CA"/>
        </w:rPr>
        <w:t>considered</w:t>
      </w:r>
      <w:r w:rsidRPr="00CF4E9F">
        <w:rPr>
          <w:lang w:val="en-CA"/>
        </w:rPr>
        <w:t xml:space="preserve"> that the appropriate remedy </w:t>
      </w:r>
      <w:r w:rsidR="00A52E2B">
        <w:rPr>
          <w:lang w:val="en-CA"/>
        </w:rPr>
        <w:t xml:space="preserve">lies </w:t>
      </w:r>
      <w:r w:rsidRPr="00CF4E9F">
        <w:rPr>
          <w:lang w:val="en-CA"/>
        </w:rPr>
        <w:t xml:space="preserve">under </w:t>
      </w:r>
      <w:r w:rsidR="00162E51">
        <w:rPr>
          <w:lang w:val="en-CA"/>
        </w:rPr>
        <w:t>s. </w:t>
      </w:r>
      <w:r w:rsidRPr="00CF4E9F">
        <w:rPr>
          <w:lang w:val="en-CA"/>
        </w:rPr>
        <w:t xml:space="preserve">52 of the </w:t>
      </w:r>
      <w:r w:rsidRPr="00CF4E9F">
        <w:rPr>
          <w:i/>
          <w:lang w:val="en-CA"/>
        </w:rPr>
        <w:t>Constitution Act, 1982,</w:t>
      </w:r>
      <w:r w:rsidRPr="00CF4E9F">
        <w:rPr>
          <w:lang w:val="en-CA"/>
        </w:rPr>
        <w:t xml:space="preserve"> rather than </w:t>
      </w:r>
      <w:r w:rsidR="00162E51">
        <w:rPr>
          <w:lang w:val="en-CA"/>
        </w:rPr>
        <w:t>s. </w:t>
      </w:r>
      <w:r w:rsidRPr="00CF4E9F">
        <w:rPr>
          <w:lang w:val="en-CA"/>
        </w:rPr>
        <w:t xml:space="preserve">24 of the </w:t>
      </w:r>
      <w:r w:rsidRPr="00CF4E9F">
        <w:rPr>
          <w:i/>
          <w:lang w:val="en-CA"/>
        </w:rPr>
        <w:t>Charter</w:t>
      </w:r>
      <w:r w:rsidRPr="00CF4E9F">
        <w:rPr>
          <w:lang w:val="en-CA"/>
        </w:rPr>
        <w:t>.</w:t>
      </w:r>
      <w:r w:rsidR="0043013D" w:rsidRPr="00CF4E9F">
        <w:rPr>
          <w:lang w:val="en-CA"/>
        </w:rPr>
        <w:t xml:space="preserve"> </w:t>
      </w:r>
      <w:r w:rsidRPr="00CF4E9F">
        <w:rPr>
          <w:lang w:val="en-CA"/>
        </w:rPr>
        <w:t xml:space="preserve">As such, he concluded that </w:t>
      </w:r>
      <w:r w:rsidRPr="00CF4E9F">
        <w:rPr>
          <w:rFonts w:cs="Arial"/>
          <w:lang w:val="en-CA"/>
        </w:rPr>
        <w:t>[</w:t>
      </w:r>
      <w:r w:rsidRPr="00CF4E9F">
        <w:rPr>
          <w:rFonts w:cs="Arial"/>
          <w:smallCaps/>
          <w:lang w:val="en-CA"/>
        </w:rPr>
        <w:t>translation</w:t>
      </w:r>
      <w:r w:rsidRPr="00CF4E9F">
        <w:rPr>
          <w:rFonts w:cs="Arial"/>
          <w:lang w:val="en-CA"/>
        </w:rPr>
        <w:t>]</w:t>
      </w:r>
      <w:r w:rsidR="00F8437E">
        <w:rPr>
          <w:rFonts w:cs="Arial"/>
          <w:lang w:val="en-CA"/>
        </w:rPr>
        <w:t> </w:t>
      </w:r>
      <w:r w:rsidRPr="00CF4E9F">
        <w:rPr>
          <w:lang w:val="en-CA"/>
        </w:rPr>
        <w:t>“the only possible outcome”</w:t>
      </w:r>
      <w:r w:rsidRPr="00CF4E9F">
        <w:rPr>
          <w:vertAlign w:val="superscript"/>
          <w:lang w:val="en-CA"/>
        </w:rPr>
        <w:footnoteReference w:id="54"/>
      </w:r>
      <w:r w:rsidRPr="00CF4E9F">
        <w:rPr>
          <w:lang w:val="en-CA"/>
        </w:rPr>
        <w:t xml:space="preserve"> was to declare the </w:t>
      </w:r>
      <w:r w:rsidR="00B36A0E" w:rsidRPr="00CF4E9F">
        <w:rPr>
          <w:lang w:val="en-CA"/>
        </w:rPr>
        <w:t>challeng</w:t>
      </w:r>
      <w:r w:rsidRPr="00CF4E9F">
        <w:rPr>
          <w:lang w:val="en-CA"/>
        </w:rPr>
        <w:t xml:space="preserve">ed </w:t>
      </w:r>
      <w:r w:rsidR="007A737C">
        <w:rPr>
          <w:lang w:val="en-CA"/>
        </w:rPr>
        <w:t>provision</w:t>
      </w:r>
      <w:r w:rsidRPr="00CF4E9F">
        <w:rPr>
          <w:lang w:val="en-CA"/>
        </w:rPr>
        <w:t xml:space="preserve"> </w:t>
      </w:r>
      <w:r w:rsidR="00397AAE" w:rsidRPr="00CF4E9F">
        <w:rPr>
          <w:lang w:val="en-CA"/>
        </w:rPr>
        <w:t xml:space="preserve">inoperative </w:t>
      </w:r>
      <w:r w:rsidR="001839CF">
        <w:rPr>
          <w:lang w:val="en-CA"/>
        </w:rPr>
        <w:t xml:space="preserve">pursuant to </w:t>
      </w:r>
      <w:r w:rsidR="00162E51">
        <w:rPr>
          <w:lang w:val="en-CA"/>
        </w:rPr>
        <w:t>s. </w:t>
      </w:r>
      <w:r w:rsidRPr="00CF4E9F">
        <w:rPr>
          <w:lang w:val="en-CA"/>
        </w:rPr>
        <w:t xml:space="preserve">52(1) of the </w:t>
      </w:r>
      <w:r w:rsidRPr="00CF4E9F">
        <w:rPr>
          <w:i/>
          <w:lang w:val="en-CA"/>
        </w:rPr>
        <w:t>Constitution Act, 1982</w:t>
      </w:r>
      <w:r w:rsidRPr="00CF4E9F">
        <w:rPr>
          <w:lang w:val="en-CA"/>
        </w:rPr>
        <w:t>.</w:t>
      </w:r>
      <w:r w:rsidR="0043013D" w:rsidRPr="00CF4E9F">
        <w:rPr>
          <w:lang w:val="en-CA"/>
        </w:rPr>
        <w:t xml:space="preserve"> </w:t>
      </w:r>
      <w:r w:rsidRPr="00CF4E9F">
        <w:rPr>
          <w:lang w:val="en-CA"/>
        </w:rPr>
        <w:t>He suspended the effect</w:t>
      </w:r>
      <w:r w:rsidR="00397AAE" w:rsidRPr="00CF4E9F">
        <w:rPr>
          <w:lang w:val="en-CA"/>
        </w:rPr>
        <w:t>ive date</w:t>
      </w:r>
      <w:r w:rsidRPr="00CF4E9F">
        <w:rPr>
          <w:lang w:val="en-CA"/>
        </w:rPr>
        <w:t xml:space="preserve"> of his judgment, however, for six months to give the legislature </w:t>
      </w:r>
      <w:r w:rsidR="00FF4DE3">
        <w:rPr>
          <w:lang w:val="en-CA"/>
        </w:rPr>
        <w:t xml:space="preserve">time </w:t>
      </w:r>
      <w:r w:rsidRPr="00CF4E9F">
        <w:rPr>
          <w:lang w:val="en-CA"/>
        </w:rPr>
        <w:t xml:space="preserve">to </w:t>
      </w:r>
      <w:r w:rsidR="00CF68DF" w:rsidRPr="00CF4E9F">
        <w:rPr>
          <w:lang w:val="en-CA"/>
        </w:rPr>
        <w:t>remedy</w:t>
      </w:r>
      <w:r w:rsidRPr="00CF4E9F">
        <w:rPr>
          <w:lang w:val="en-CA"/>
        </w:rPr>
        <w:t xml:space="preserve"> the situation (</w:t>
      </w:r>
      <w:r w:rsidR="00CF68DF" w:rsidRPr="00CF4E9F">
        <w:rPr>
          <w:lang w:val="en-CA"/>
        </w:rPr>
        <w:t>if</w:t>
      </w:r>
      <w:r w:rsidRPr="00CF4E9F">
        <w:rPr>
          <w:lang w:val="en-CA"/>
        </w:rPr>
        <w:t xml:space="preserve"> </w:t>
      </w:r>
      <w:r w:rsidR="00CF68DF" w:rsidRPr="00CF4E9F">
        <w:rPr>
          <w:lang w:val="en-CA"/>
        </w:rPr>
        <w:t>necessary</w:t>
      </w:r>
      <w:r w:rsidRPr="00CF4E9F">
        <w:rPr>
          <w:lang w:val="en-CA"/>
        </w:rPr>
        <w:t xml:space="preserve">) and </w:t>
      </w:r>
      <w:r w:rsidR="00FF4DE3">
        <w:rPr>
          <w:lang w:val="en-CA"/>
        </w:rPr>
        <w:t xml:space="preserve">allow </w:t>
      </w:r>
      <w:r w:rsidRPr="00CF4E9F">
        <w:rPr>
          <w:lang w:val="en-CA"/>
        </w:rPr>
        <w:t>the authorities concerned</w:t>
      </w:r>
      <w:r w:rsidR="003B1E06">
        <w:rPr>
          <w:lang w:val="en-CA"/>
        </w:rPr>
        <w:t xml:space="preserve"> to</w:t>
      </w:r>
      <w:r w:rsidRPr="00CF4E9F">
        <w:rPr>
          <w:lang w:val="en-CA"/>
        </w:rPr>
        <w:t xml:space="preserve"> </w:t>
      </w:r>
      <w:r w:rsidRPr="00CF4E9F">
        <w:rPr>
          <w:rFonts w:cs="Arial"/>
          <w:lang w:val="en-CA"/>
        </w:rPr>
        <w:t>[</w:t>
      </w:r>
      <w:r w:rsidRPr="00CF4E9F">
        <w:rPr>
          <w:rFonts w:cs="Arial"/>
          <w:smallCaps/>
          <w:lang w:val="en-CA"/>
        </w:rPr>
        <w:t>translation</w:t>
      </w:r>
      <w:r w:rsidRPr="00CF4E9F">
        <w:rPr>
          <w:rFonts w:cs="Arial"/>
          <w:lang w:val="en-CA"/>
        </w:rPr>
        <w:t>]</w:t>
      </w:r>
      <w:r w:rsidR="00F8437E">
        <w:rPr>
          <w:rFonts w:cs="Arial"/>
          <w:lang w:val="en-CA"/>
        </w:rPr>
        <w:t> </w:t>
      </w:r>
      <w:r w:rsidRPr="00CF4E9F">
        <w:rPr>
          <w:lang w:val="en-CA"/>
        </w:rPr>
        <w:t>“inform police officers and implement a control measure that infringes less on the rights of the members of racialized communities”.</w:t>
      </w:r>
      <w:r w:rsidRPr="00CF4E9F">
        <w:rPr>
          <w:vertAlign w:val="superscript"/>
          <w:lang w:val="en-CA"/>
        </w:rPr>
        <w:footnoteReference w:id="55"/>
      </w:r>
    </w:p>
    <w:p w14:paraId="30A6E2F6" w14:textId="441799E5" w:rsidR="005A1C52" w:rsidRPr="00CF4E9F" w:rsidRDefault="0043013D" w:rsidP="00415110">
      <w:pPr>
        <w:pStyle w:val="Titre1"/>
        <w:spacing w:before="80"/>
        <w:rPr>
          <w:lang w:val="en-CA"/>
        </w:rPr>
      </w:pPr>
      <w:bookmarkStart w:id="41" w:name="_Toc177390721"/>
      <w:bookmarkStart w:id="42" w:name="_Toc201822880"/>
      <w:r w:rsidRPr="00CF4E9F">
        <w:rPr>
          <w:lang w:val="en-CA"/>
        </w:rPr>
        <w:t>IV.</w:t>
      </w:r>
      <w:r w:rsidRPr="00CF4E9F">
        <w:rPr>
          <w:lang w:val="en-CA"/>
        </w:rPr>
        <w:tab/>
      </w:r>
      <w:bookmarkEnd w:id="41"/>
      <w:r w:rsidR="00FE4571" w:rsidRPr="00CF4E9F">
        <w:rPr>
          <w:lang w:val="en-CA"/>
        </w:rPr>
        <w:t>issues</w:t>
      </w:r>
      <w:bookmarkEnd w:id="42"/>
      <w:r w:rsidR="00FE4571" w:rsidRPr="00CF4E9F">
        <w:rPr>
          <w:lang w:val="en-CA"/>
        </w:rPr>
        <w:t xml:space="preserve"> </w:t>
      </w:r>
    </w:p>
    <w:p w14:paraId="0D5DD0D6" w14:textId="0A1A6807" w:rsidR="005A1C52" w:rsidRPr="00CF4E9F" w:rsidRDefault="0066259A" w:rsidP="00415110">
      <w:pPr>
        <w:pStyle w:val="Paragraphe"/>
        <w:spacing w:before="80" w:line="280" w:lineRule="exact"/>
        <w:rPr>
          <w:lang w:val="en-CA"/>
        </w:rPr>
      </w:pPr>
      <w:r w:rsidRPr="00CF4E9F">
        <w:rPr>
          <w:lang w:val="en-CA"/>
        </w:rPr>
        <w:t xml:space="preserve">The parties raise </w:t>
      </w:r>
      <w:r w:rsidR="00CF68DF" w:rsidRPr="00CF4E9F">
        <w:rPr>
          <w:lang w:val="en-CA"/>
        </w:rPr>
        <w:t xml:space="preserve">many </w:t>
      </w:r>
      <w:r w:rsidRPr="00CF4E9F">
        <w:rPr>
          <w:lang w:val="en-CA"/>
        </w:rPr>
        <w:t xml:space="preserve">questions and grounds on appeal, </w:t>
      </w:r>
      <w:r w:rsidR="00CF68DF" w:rsidRPr="00CF4E9F">
        <w:rPr>
          <w:lang w:val="en-CA"/>
        </w:rPr>
        <w:t xml:space="preserve">each one </w:t>
      </w:r>
      <w:r w:rsidR="007E3D5F">
        <w:rPr>
          <w:lang w:val="en-CA"/>
        </w:rPr>
        <w:t>–</w:t>
      </w:r>
      <w:r w:rsidR="007E3D5F" w:rsidRPr="00CF4E9F">
        <w:rPr>
          <w:lang w:val="en-CA"/>
        </w:rPr>
        <w:t xml:space="preserve"> </w:t>
      </w:r>
      <w:r w:rsidRPr="00CF4E9F">
        <w:rPr>
          <w:lang w:val="en-CA"/>
        </w:rPr>
        <w:t xml:space="preserve">or almost </w:t>
      </w:r>
      <w:r w:rsidR="007E3D5F">
        <w:rPr>
          <w:lang w:val="en-CA"/>
        </w:rPr>
        <w:t>each one –</w:t>
      </w:r>
      <w:r w:rsidR="007E3D5F" w:rsidRPr="00CF4E9F">
        <w:rPr>
          <w:lang w:val="en-CA"/>
        </w:rPr>
        <w:t xml:space="preserve"> </w:t>
      </w:r>
      <w:r w:rsidR="007E3D5F">
        <w:rPr>
          <w:lang w:val="en-CA"/>
        </w:rPr>
        <w:t xml:space="preserve">having </w:t>
      </w:r>
      <w:r w:rsidRPr="00CF4E9F">
        <w:rPr>
          <w:lang w:val="en-CA"/>
        </w:rPr>
        <w:t>its own wording.</w:t>
      </w:r>
      <w:r w:rsidR="0043013D" w:rsidRPr="00CF4E9F">
        <w:rPr>
          <w:lang w:val="en-CA"/>
        </w:rPr>
        <w:t xml:space="preserve"> </w:t>
      </w:r>
      <w:r w:rsidRPr="00CF4E9F">
        <w:rPr>
          <w:lang w:val="en-CA"/>
        </w:rPr>
        <w:t xml:space="preserve">In essence, the issues raised </w:t>
      </w:r>
      <w:r w:rsidR="00CF68DF" w:rsidRPr="00CF4E9F">
        <w:rPr>
          <w:lang w:val="en-CA"/>
        </w:rPr>
        <w:t xml:space="preserve">on </w:t>
      </w:r>
      <w:r w:rsidRPr="00CF4E9F">
        <w:rPr>
          <w:lang w:val="en-CA"/>
        </w:rPr>
        <w:t>appeal are as follows:</w:t>
      </w:r>
    </w:p>
    <w:p w14:paraId="63215C12" w14:textId="0A761140" w:rsidR="005A1C52" w:rsidRPr="00CF4E9F" w:rsidRDefault="0066259A" w:rsidP="00415110">
      <w:pPr>
        <w:pStyle w:val="Paragraphedeliste"/>
        <w:numPr>
          <w:ilvl w:val="0"/>
          <w:numId w:val="6"/>
        </w:numPr>
        <w:spacing w:before="80" w:after="120"/>
        <w:contextualSpacing w:val="0"/>
        <w:jc w:val="both"/>
        <w:rPr>
          <w:kern w:val="28"/>
          <w:lang w:val="en-CA"/>
        </w:rPr>
      </w:pPr>
      <w:r w:rsidRPr="00CF4E9F">
        <w:rPr>
          <w:rFonts w:cs="Arial"/>
          <w:kern w:val="28"/>
          <w:lang w:val="en-CA"/>
        </w:rPr>
        <w:t xml:space="preserve">Did the judge err in concluding that the challenged </w:t>
      </w:r>
      <w:r w:rsidR="007A737C">
        <w:rPr>
          <w:rFonts w:cs="Arial"/>
          <w:kern w:val="28"/>
          <w:lang w:val="en-CA"/>
        </w:rPr>
        <w:t>provision</w:t>
      </w:r>
      <w:r w:rsidRPr="00CF4E9F">
        <w:rPr>
          <w:rFonts w:cs="Arial"/>
          <w:kern w:val="28"/>
          <w:lang w:val="en-CA"/>
        </w:rPr>
        <w:t xml:space="preserve"> gives rise to racial profiling?</w:t>
      </w:r>
    </w:p>
    <w:p w14:paraId="11D61B2F" w14:textId="5FEC5B5D" w:rsidR="005A1C52" w:rsidRPr="00CF4E9F" w:rsidRDefault="0066259A" w:rsidP="00415110">
      <w:pPr>
        <w:pStyle w:val="Paragraphedeliste"/>
        <w:numPr>
          <w:ilvl w:val="0"/>
          <w:numId w:val="6"/>
        </w:numPr>
        <w:spacing w:before="80" w:after="120"/>
        <w:contextualSpacing w:val="0"/>
        <w:jc w:val="both"/>
        <w:rPr>
          <w:kern w:val="28"/>
          <w:lang w:val="en-CA"/>
        </w:rPr>
      </w:pPr>
      <w:r w:rsidRPr="00CF4E9F">
        <w:rPr>
          <w:rFonts w:cs="Arial"/>
          <w:kern w:val="28"/>
          <w:lang w:val="en-CA"/>
        </w:rPr>
        <w:lastRenderedPageBreak/>
        <w:t xml:space="preserve">Did the judge err in deciding that it was open to him to reconsider the ruling in </w:t>
      </w:r>
      <w:r w:rsidRPr="00CF4E9F">
        <w:rPr>
          <w:rFonts w:cs="Arial"/>
          <w:i/>
          <w:kern w:val="28"/>
          <w:lang w:val="en-CA"/>
        </w:rPr>
        <w:t>Ladouceur</w:t>
      </w:r>
      <w:r w:rsidRPr="00CF4E9F">
        <w:rPr>
          <w:rFonts w:cs="Arial"/>
          <w:kern w:val="28"/>
          <w:lang w:val="en-CA"/>
        </w:rPr>
        <w:t>?</w:t>
      </w:r>
    </w:p>
    <w:p w14:paraId="5DDDA6CD" w14:textId="6E80800A" w:rsidR="005A1C52" w:rsidRPr="00CF4E9F" w:rsidRDefault="0066259A" w:rsidP="00415110">
      <w:pPr>
        <w:pStyle w:val="Paragraphedeliste"/>
        <w:numPr>
          <w:ilvl w:val="0"/>
          <w:numId w:val="6"/>
        </w:numPr>
        <w:spacing w:before="80" w:after="120"/>
        <w:contextualSpacing w:val="0"/>
        <w:jc w:val="both"/>
        <w:rPr>
          <w:kern w:val="28"/>
          <w:lang w:val="en-CA"/>
        </w:rPr>
      </w:pPr>
      <w:bookmarkStart w:id="43" w:name="_Hlk176514322"/>
      <w:r w:rsidRPr="00CF4E9F">
        <w:rPr>
          <w:kern w:val="28"/>
          <w:lang w:val="en-CA"/>
        </w:rPr>
        <w:t xml:space="preserve">If the Court </w:t>
      </w:r>
      <w:r w:rsidR="0065447E" w:rsidRPr="00CF4E9F">
        <w:rPr>
          <w:kern w:val="28"/>
          <w:lang w:val="en-CA"/>
        </w:rPr>
        <w:t xml:space="preserve">answers </w:t>
      </w:r>
      <w:r w:rsidRPr="00CF4E9F">
        <w:rPr>
          <w:kern w:val="28"/>
          <w:lang w:val="en-CA"/>
        </w:rPr>
        <w:t>the first two questions</w:t>
      </w:r>
      <w:r w:rsidR="0065447E" w:rsidRPr="00CF4E9F">
        <w:rPr>
          <w:kern w:val="28"/>
          <w:lang w:val="en-CA"/>
        </w:rPr>
        <w:t xml:space="preserve"> in the negative</w:t>
      </w:r>
      <w:r w:rsidRPr="00CF4E9F">
        <w:rPr>
          <w:kern w:val="28"/>
          <w:lang w:val="en-CA"/>
        </w:rPr>
        <w:t xml:space="preserve">, did the judge err in concluding that the challenged </w:t>
      </w:r>
      <w:r w:rsidR="007A737C">
        <w:rPr>
          <w:kern w:val="28"/>
          <w:lang w:val="en-CA"/>
        </w:rPr>
        <w:t>provision</w:t>
      </w:r>
      <w:r w:rsidRPr="00CF4E9F">
        <w:rPr>
          <w:kern w:val="28"/>
          <w:lang w:val="en-CA"/>
        </w:rPr>
        <w:t xml:space="preserve"> unjustifiably infringes </w:t>
      </w:r>
      <w:r w:rsidR="00162E51">
        <w:rPr>
          <w:kern w:val="28"/>
          <w:lang w:val="en-CA"/>
        </w:rPr>
        <w:t>s. </w:t>
      </w:r>
      <w:r w:rsidRPr="00CF4E9F">
        <w:rPr>
          <w:kern w:val="28"/>
          <w:lang w:val="en-CA"/>
        </w:rPr>
        <w:t xml:space="preserve">9 of the </w:t>
      </w:r>
      <w:r w:rsidRPr="00CF4E9F">
        <w:rPr>
          <w:i/>
          <w:kern w:val="28"/>
          <w:lang w:val="en-CA"/>
        </w:rPr>
        <w:t>Charter</w:t>
      </w:r>
      <w:r w:rsidRPr="00CF4E9F">
        <w:rPr>
          <w:kern w:val="28"/>
          <w:lang w:val="en-CA"/>
        </w:rPr>
        <w:t>?</w:t>
      </w:r>
    </w:p>
    <w:p w14:paraId="1B54E050" w14:textId="52BCFDE3" w:rsidR="005A1C52" w:rsidRPr="00CF4E9F" w:rsidRDefault="0066259A" w:rsidP="00415110">
      <w:pPr>
        <w:pStyle w:val="Paragraphedeliste"/>
        <w:numPr>
          <w:ilvl w:val="0"/>
          <w:numId w:val="6"/>
        </w:numPr>
        <w:spacing w:before="80" w:after="120"/>
        <w:contextualSpacing w:val="0"/>
        <w:jc w:val="both"/>
        <w:rPr>
          <w:kern w:val="28"/>
          <w:lang w:val="en-CA"/>
        </w:rPr>
      </w:pPr>
      <w:bookmarkStart w:id="44" w:name="_Hlk176514416"/>
      <w:bookmarkEnd w:id="43"/>
      <w:r w:rsidRPr="00CF4E9F">
        <w:rPr>
          <w:rFonts w:cs="Arial"/>
          <w:kern w:val="28"/>
          <w:lang w:val="en-CA"/>
        </w:rPr>
        <w:t xml:space="preserve">Did the judge err in concluding that the challenged </w:t>
      </w:r>
      <w:r w:rsidR="007A737C">
        <w:rPr>
          <w:rFonts w:cs="Arial"/>
          <w:kern w:val="28"/>
          <w:lang w:val="en-CA"/>
        </w:rPr>
        <w:t>provision</w:t>
      </w:r>
      <w:r w:rsidRPr="00CF4E9F">
        <w:rPr>
          <w:rFonts w:cs="Arial"/>
          <w:kern w:val="28"/>
          <w:lang w:val="en-CA"/>
        </w:rPr>
        <w:t xml:space="preserve"> unjustifiably infringes </w:t>
      </w:r>
      <w:r w:rsidR="00162E51">
        <w:rPr>
          <w:rFonts w:cs="Arial"/>
          <w:kern w:val="28"/>
          <w:lang w:val="en-CA"/>
        </w:rPr>
        <w:t>s. </w:t>
      </w:r>
      <w:r w:rsidRPr="00CF4E9F">
        <w:rPr>
          <w:rFonts w:cs="Arial"/>
          <w:kern w:val="28"/>
          <w:lang w:val="en-CA"/>
        </w:rPr>
        <w:t xml:space="preserve">7 of the </w:t>
      </w:r>
      <w:r w:rsidRPr="00CF4E9F">
        <w:rPr>
          <w:rFonts w:cs="Arial"/>
          <w:i/>
          <w:kern w:val="28"/>
          <w:lang w:val="en-CA"/>
        </w:rPr>
        <w:t>Charter</w:t>
      </w:r>
      <w:r w:rsidRPr="00CF4E9F">
        <w:rPr>
          <w:rFonts w:cs="Arial"/>
          <w:kern w:val="28"/>
          <w:lang w:val="en-CA"/>
        </w:rPr>
        <w:t>?</w:t>
      </w:r>
    </w:p>
    <w:p w14:paraId="222E2EBD" w14:textId="3764C9DA" w:rsidR="005A1C52" w:rsidRPr="00CF4E9F" w:rsidRDefault="0066259A" w:rsidP="00415110">
      <w:pPr>
        <w:pStyle w:val="Paragraphedeliste"/>
        <w:numPr>
          <w:ilvl w:val="0"/>
          <w:numId w:val="6"/>
        </w:numPr>
        <w:spacing w:before="80" w:after="120"/>
        <w:contextualSpacing w:val="0"/>
        <w:jc w:val="both"/>
        <w:rPr>
          <w:kern w:val="28"/>
          <w:lang w:val="en-CA"/>
        </w:rPr>
      </w:pPr>
      <w:bookmarkStart w:id="45" w:name="_Hlk176514548"/>
      <w:bookmarkStart w:id="46" w:name="_Hlk176514471"/>
      <w:bookmarkEnd w:id="44"/>
      <w:r w:rsidRPr="00CF4E9F">
        <w:rPr>
          <w:rFonts w:cs="Arial"/>
          <w:kern w:val="28"/>
          <w:lang w:val="en-CA"/>
        </w:rPr>
        <w:t xml:space="preserve">Did the judge err in concluding that the challenged </w:t>
      </w:r>
      <w:r w:rsidR="007A737C">
        <w:rPr>
          <w:rFonts w:cs="Arial"/>
          <w:kern w:val="28"/>
          <w:lang w:val="en-CA"/>
        </w:rPr>
        <w:t>provision</w:t>
      </w:r>
      <w:r w:rsidRPr="00CF4E9F">
        <w:rPr>
          <w:rFonts w:cs="Arial"/>
          <w:kern w:val="28"/>
          <w:lang w:val="en-CA"/>
        </w:rPr>
        <w:t xml:space="preserve"> unjustifiably infringes </w:t>
      </w:r>
      <w:r w:rsidR="00162E51">
        <w:rPr>
          <w:rFonts w:cs="Arial"/>
          <w:kern w:val="28"/>
          <w:lang w:val="en-CA"/>
        </w:rPr>
        <w:t>s. </w:t>
      </w:r>
      <w:r w:rsidRPr="00CF4E9F">
        <w:rPr>
          <w:rFonts w:cs="Arial"/>
          <w:kern w:val="28"/>
          <w:lang w:val="en-CA"/>
        </w:rPr>
        <w:t xml:space="preserve">15(1) of the </w:t>
      </w:r>
      <w:r w:rsidRPr="00CF4E9F">
        <w:rPr>
          <w:rFonts w:cs="Arial"/>
          <w:i/>
          <w:kern w:val="28"/>
          <w:lang w:val="en-CA"/>
        </w:rPr>
        <w:t>Charter</w:t>
      </w:r>
      <w:r w:rsidRPr="00CF4E9F">
        <w:rPr>
          <w:rFonts w:cs="Arial"/>
          <w:kern w:val="28"/>
          <w:lang w:val="en-CA"/>
        </w:rPr>
        <w:t>?</w:t>
      </w:r>
      <w:r w:rsidR="0043013D" w:rsidRPr="00CF4E9F">
        <w:rPr>
          <w:rFonts w:cs="Arial"/>
          <w:kern w:val="28"/>
          <w:lang w:val="en-CA"/>
        </w:rPr>
        <w:t xml:space="preserve"> </w:t>
      </w:r>
    </w:p>
    <w:bookmarkEnd w:id="45"/>
    <w:bookmarkEnd w:id="46"/>
    <w:p w14:paraId="460A5F11" w14:textId="30A0889D" w:rsidR="005A1C52" w:rsidRPr="00CF4E9F" w:rsidRDefault="0066259A" w:rsidP="00415110">
      <w:pPr>
        <w:pStyle w:val="Paragraphedeliste"/>
        <w:numPr>
          <w:ilvl w:val="0"/>
          <w:numId w:val="6"/>
        </w:numPr>
        <w:spacing w:before="80" w:after="120"/>
        <w:contextualSpacing w:val="0"/>
        <w:jc w:val="both"/>
        <w:rPr>
          <w:rFonts w:cs="Arial"/>
          <w:kern w:val="28"/>
          <w:lang w:val="en-CA"/>
        </w:rPr>
      </w:pPr>
      <w:r w:rsidRPr="00CF4E9F">
        <w:rPr>
          <w:rFonts w:cs="Arial"/>
          <w:kern w:val="28"/>
          <w:lang w:val="en-CA"/>
        </w:rPr>
        <w:t xml:space="preserve">Did the judge err in declaring the </w:t>
      </w:r>
      <w:r w:rsidR="007A737C">
        <w:rPr>
          <w:rFonts w:cs="Arial"/>
          <w:kern w:val="28"/>
          <w:lang w:val="en-CA"/>
        </w:rPr>
        <w:t>provision</w:t>
      </w:r>
      <w:r w:rsidRPr="00CF4E9F">
        <w:rPr>
          <w:rFonts w:cs="Arial"/>
          <w:kern w:val="28"/>
          <w:lang w:val="en-CA"/>
        </w:rPr>
        <w:t xml:space="preserve"> </w:t>
      </w:r>
      <w:r w:rsidR="00CF68DF" w:rsidRPr="00CF4E9F">
        <w:rPr>
          <w:rFonts w:cs="Arial"/>
          <w:kern w:val="28"/>
          <w:lang w:val="en-CA"/>
        </w:rPr>
        <w:t xml:space="preserve">inoperative </w:t>
      </w:r>
      <w:r w:rsidRPr="00CF4E9F">
        <w:rPr>
          <w:rFonts w:cs="Arial"/>
          <w:kern w:val="28"/>
          <w:lang w:val="en-CA"/>
        </w:rPr>
        <w:t>and in suspending the effective date of the declaration for six months?</w:t>
      </w:r>
    </w:p>
    <w:p w14:paraId="411F43F8" w14:textId="47038895" w:rsidR="005A1C52" w:rsidRPr="00CF4E9F" w:rsidRDefault="0043013D" w:rsidP="000B3736">
      <w:pPr>
        <w:pStyle w:val="Titre1"/>
        <w:rPr>
          <w:lang w:val="en-CA"/>
        </w:rPr>
      </w:pPr>
      <w:bookmarkStart w:id="47" w:name="_Toc177390722"/>
      <w:bookmarkStart w:id="48" w:name="_Toc201822881"/>
      <w:r w:rsidRPr="00CF4E9F">
        <w:rPr>
          <w:lang w:val="en-CA"/>
        </w:rPr>
        <w:t>V.</w:t>
      </w:r>
      <w:r w:rsidRPr="00CF4E9F">
        <w:rPr>
          <w:lang w:val="en-CA"/>
        </w:rPr>
        <w:tab/>
      </w:r>
      <w:bookmarkEnd w:id="47"/>
      <w:r w:rsidR="0066259A" w:rsidRPr="00CF4E9F">
        <w:rPr>
          <w:lang w:val="en-CA"/>
        </w:rPr>
        <w:t>ANALYSIS</w:t>
      </w:r>
      <w:bookmarkEnd w:id="48"/>
    </w:p>
    <w:p w14:paraId="677F56BC" w14:textId="19A5AF67" w:rsidR="005A1C52" w:rsidRPr="00CF4E9F" w:rsidRDefault="00BF5340" w:rsidP="002E559C">
      <w:pPr>
        <w:pStyle w:val="Titre2"/>
        <w:rPr>
          <w:lang w:val="en-CA"/>
        </w:rPr>
      </w:pPr>
      <w:bookmarkStart w:id="49" w:name="_Toc201822882"/>
      <w:r w:rsidRPr="00CF4E9F">
        <w:rPr>
          <w:lang w:val="en-CA"/>
        </w:rPr>
        <w:t>A.</w:t>
      </w:r>
      <w:r w:rsidR="004C4128" w:rsidRPr="00CF4E9F">
        <w:rPr>
          <w:lang w:val="en-CA"/>
        </w:rPr>
        <w:tab/>
      </w:r>
      <w:r w:rsidR="0066259A" w:rsidRPr="00CF4E9F">
        <w:rPr>
          <w:lang w:val="en-CA"/>
        </w:rPr>
        <w:t xml:space="preserve">Did the judge err in concluding that the challenged </w:t>
      </w:r>
      <w:r w:rsidR="007A737C">
        <w:rPr>
          <w:lang w:val="en-CA"/>
        </w:rPr>
        <w:t>provision</w:t>
      </w:r>
      <w:r w:rsidR="0066259A" w:rsidRPr="00CF4E9F">
        <w:rPr>
          <w:lang w:val="en-CA"/>
        </w:rPr>
        <w:t xml:space="preserve"> gives rise to racial profiling?</w:t>
      </w:r>
      <w:bookmarkEnd w:id="49"/>
    </w:p>
    <w:p w14:paraId="6FE1EA9E" w14:textId="27E801ED" w:rsidR="005A1C52" w:rsidRPr="00CF4E9F" w:rsidRDefault="002439B5" w:rsidP="00D80997">
      <w:pPr>
        <w:pStyle w:val="Paragraphe"/>
        <w:spacing w:line="280" w:lineRule="exact"/>
        <w:rPr>
          <w:lang w:val="en-CA"/>
        </w:rPr>
      </w:pPr>
      <w:r w:rsidRPr="00CF4E9F">
        <w:rPr>
          <w:lang w:val="en-CA"/>
        </w:rPr>
        <w:t>The AGQ argues that the judge erred in determining that racial profiling is a</w:t>
      </w:r>
      <w:r w:rsidR="0065447E" w:rsidRPr="00CF4E9F">
        <w:rPr>
          <w:lang w:val="en-CA"/>
        </w:rPr>
        <w:t>n</w:t>
      </w:r>
      <w:r w:rsidRPr="00CF4E9F">
        <w:rPr>
          <w:lang w:val="en-CA"/>
        </w:rPr>
        <w:t xml:space="preserve"> </w:t>
      </w:r>
      <w:r w:rsidR="0065447E" w:rsidRPr="00CF4E9F">
        <w:rPr>
          <w:lang w:val="en-CA"/>
        </w:rPr>
        <w:t>effect</w:t>
      </w:r>
      <w:r w:rsidRPr="00CF4E9F">
        <w:rPr>
          <w:lang w:val="en-CA"/>
        </w:rPr>
        <w:t xml:space="preserve"> of the challenged </w:t>
      </w:r>
      <w:r w:rsidR="007A737C">
        <w:rPr>
          <w:lang w:val="en-CA"/>
        </w:rPr>
        <w:t>provision</w:t>
      </w:r>
      <w:r w:rsidRPr="00CF4E9F">
        <w:rPr>
          <w:lang w:val="en-CA"/>
        </w:rPr>
        <w:t xml:space="preserve"> and not </w:t>
      </w:r>
      <w:r w:rsidR="006324D6" w:rsidRPr="00CF4E9F">
        <w:rPr>
          <w:lang w:val="en-CA"/>
        </w:rPr>
        <w:t xml:space="preserve">of </w:t>
      </w:r>
      <w:r w:rsidR="0065447E" w:rsidRPr="00CF4E9F">
        <w:rPr>
          <w:lang w:val="en-CA"/>
        </w:rPr>
        <w:t xml:space="preserve">its </w:t>
      </w:r>
      <w:r w:rsidR="001A2A93">
        <w:rPr>
          <w:lang w:val="en-CA"/>
        </w:rPr>
        <w:t>improper</w:t>
      </w:r>
      <w:r w:rsidR="001A2A93" w:rsidRPr="00CF4E9F">
        <w:rPr>
          <w:lang w:val="en-CA"/>
        </w:rPr>
        <w:t xml:space="preserve"> </w:t>
      </w:r>
      <w:r w:rsidRPr="00CF4E9F">
        <w:rPr>
          <w:lang w:val="en-CA"/>
        </w:rPr>
        <w:t>application by the police.</w:t>
      </w:r>
      <w:r w:rsidR="0043013D" w:rsidRPr="00CF4E9F">
        <w:rPr>
          <w:lang w:val="en-CA"/>
        </w:rPr>
        <w:t xml:space="preserve"> </w:t>
      </w:r>
      <w:r w:rsidRPr="00CF4E9F">
        <w:rPr>
          <w:lang w:val="en-CA"/>
        </w:rPr>
        <w:t xml:space="preserve">The AGQ argues that, according to this </w:t>
      </w:r>
      <w:r w:rsidR="007A737C">
        <w:rPr>
          <w:lang w:val="en-CA"/>
        </w:rPr>
        <w:t>provision</w:t>
      </w:r>
      <w:r w:rsidRPr="00CF4E9F">
        <w:rPr>
          <w:lang w:val="en-CA"/>
        </w:rPr>
        <w:t xml:space="preserve">, the power to stop is limited to very precise </w:t>
      </w:r>
      <w:r w:rsidR="006324D6" w:rsidRPr="00CF4E9F">
        <w:rPr>
          <w:lang w:val="en-CA"/>
        </w:rPr>
        <w:t>highway</w:t>
      </w:r>
      <w:r w:rsidR="002060A1">
        <w:rPr>
          <w:lang w:val="en-CA"/>
        </w:rPr>
        <w:t xml:space="preserve"> safety</w:t>
      </w:r>
      <w:r w:rsidR="00D36051">
        <w:rPr>
          <w:lang w:val="en-CA"/>
        </w:rPr>
        <w:noBreakHyphen/>
      </w:r>
      <w:r w:rsidR="006324D6" w:rsidRPr="00CF4E9F">
        <w:rPr>
          <w:lang w:val="en-CA"/>
        </w:rPr>
        <w:t xml:space="preserve">related </w:t>
      </w:r>
      <w:r w:rsidRPr="00CF4E9F">
        <w:rPr>
          <w:lang w:val="en-CA"/>
        </w:rPr>
        <w:t>purposes, that is, check</w:t>
      </w:r>
      <w:r w:rsidR="006324D6" w:rsidRPr="00CF4E9F">
        <w:rPr>
          <w:lang w:val="en-CA"/>
        </w:rPr>
        <w:t>ing</w:t>
      </w:r>
      <w:r w:rsidRPr="00CF4E9F">
        <w:rPr>
          <w:lang w:val="en-CA"/>
        </w:rPr>
        <w:t xml:space="preserve"> the driver’s sobriety, licence and insurance, and the mechanical fitness</w:t>
      </w:r>
      <w:r w:rsidR="006324D6" w:rsidRPr="00CF4E9F">
        <w:rPr>
          <w:lang w:val="en-CA"/>
        </w:rPr>
        <w:t xml:space="preserve"> of the vehicle</w:t>
      </w:r>
      <w:r w:rsidRPr="00CF4E9F">
        <w:rPr>
          <w:lang w:val="en-CA"/>
        </w:rPr>
        <w:t>.</w:t>
      </w:r>
      <w:r w:rsidRPr="00CF4E9F">
        <w:rPr>
          <w:rStyle w:val="Appelnotedebasdep"/>
          <w:lang w:val="en-CA"/>
        </w:rPr>
        <w:footnoteReference w:id="56"/>
      </w:r>
      <w:r w:rsidR="00932905" w:rsidRPr="00CF4E9F">
        <w:rPr>
          <w:lang w:val="en-CA"/>
        </w:rPr>
        <w:t xml:space="preserve"> </w:t>
      </w:r>
      <w:r w:rsidRPr="00CF4E9F">
        <w:rPr>
          <w:lang w:val="en-CA"/>
        </w:rPr>
        <w:t>It does not authorize stops for other purposes (</w:t>
      </w:r>
      <w:r w:rsidR="000D52F9">
        <w:rPr>
          <w:lang w:val="en-CA"/>
        </w:rPr>
        <w:t>e.g.</w:t>
      </w:r>
      <w:r w:rsidRPr="00CF4E9F">
        <w:rPr>
          <w:lang w:val="en-CA"/>
        </w:rPr>
        <w:t xml:space="preserve">, for a criminal investigation) </w:t>
      </w:r>
      <w:r w:rsidR="00CF3338">
        <w:rPr>
          <w:lang w:val="en-CA"/>
        </w:rPr>
        <w:t>n</w:t>
      </w:r>
      <w:r w:rsidRPr="00CF4E9F">
        <w:rPr>
          <w:lang w:val="en-CA"/>
        </w:rPr>
        <w:t xml:space="preserve">or </w:t>
      </w:r>
      <w:r w:rsidR="00CF3338">
        <w:rPr>
          <w:lang w:val="en-CA"/>
        </w:rPr>
        <w:t xml:space="preserve">does it authorize </w:t>
      </w:r>
      <w:r w:rsidRPr="00CF4E9F">
        <w:rPr>
          <w:lang w:val="en-CA"/>
        </w:rPr>
        <w:t>racial profiling.</w:t>
      </w:r>
    </w:p>
    <w:p w14:paraId="48F2B0A6" w14:textId="450A719C" w:rsidR="005A1C52" w:rsidRPr="00CF4E9F" w:rsidRDefault="002439B5" w:rsidP="00D80997">
      <w:pPr>
        <w:pStyle w:val="Paragraphe"/>
        <w:spacing w:line="280" w:lineRule="exact"/>
        <w:rPr>
          <w:lang w:val="en-CA"/>
        </w:rPr>
      </w:pPr>
      <w:r w:rsidRPr="00DD7D29">
        <w:rPr>
          <w:lang w:val="en-CA"/>
        </w:rPr>
        <w:t xml:space="preserve">According to the AGQ, </w:t>
      </w:r>
      <w:r w:rsidR="0052221B">
        <w:rPr>
          <w:lang w:val="en-CA"/>
        </w:rPr>
        <w:t xml:space="preserve">this </w:t>
      </w:r>
      <w:r w:rsidR="00A50C1F">
        <w:rPr>
          <w:lang w:val="en-CA"/>
        </w:rPr>
        <w:t xml:space="preserve">error of law </w:t>
      </w:r>
      <w:r w:rsidR="0052221B">
        <w:rPr>
          <w:lang w:val="en-CA"/>
        </w:rPr>
        <w:t xml:space="preserve">– </w:t>
      </w:r>
      <w:r w:rsidR="00A50C1F">
        <w:rPr>
          <w:lang w:val="en-CA"/>
        </w:rPr>
        <w:t xml:space="preserve">on a critical issue </w:t>
      </w:r>
      <w:r w:rsidR="0052221B">
        <w:rPr>
          <w:lang w:val="en-CA"/>
        </w:rPr>
        <w:t xml:space="preserve">– </w:t>
      </w:r>
      <w:r w:rsidR="00A50C1F">
        <w:rPr>
          <w:lang w:val="en-CA"/>
        </w:rPr>
        <w:t>decides the entire appeal</w:t>
      </w:r>
      <w:r w:rsidRPr="00DD7D29">
        <w:rPr>
          <w:lang w:val="en-CA"/>
        </w:rPr>
        <w:t xml:space="preserve"> because if racial profiling is not a</w:t>
      </w:r>
      <w:r w:rsidR="006324D6" w:rsidRPr="00DD7D29">
        <w:rPr>
          <w:lang w:val="en-CA"/>
        </w:rPr>
        <w:t>n</w:t>
      </w:r>
      <w:r w:rsidRPr="00DD7D29">
        <w:rPr>
          <w:lang w:val="en-CA"/>
        </w:rPr>
        <w:t xml:space="preserve"> </w:t>
      </w:r>
      <w:r w:rsidR="006324D6" w:rsidRPr="00DD7D29">
        <w:rPr>
          <w:lang w:val="en-CA"/>
        </w:rPr>
        <w:t xml:space="preserve">effect </w:t>
      </w:r>
      <w:r w:rsidRPr="00DD7D29">
        <w:rPr>
          <w:lang w:val="en-CA"/>
        </w:rPr>
        <w:t xml:space="preserve">of the challenged </w:t>
      </w:r>
      <w:r w:rsidR="007A737C">
        <w:rPr>
          <w:lang w:val="en-CA"/>
        </w:rPr>
        <w:t>provision</w:t>
      </w:r>
      <w:r w:rsidRPr="00CF4E9F">
        <w:rPr>
          <w:lang w:val="en-CA"/>
        </w:rPr>
        <w:t xml:space="preserve">, it cannot be concluded that </w:t>
      </w:r>
      <w:r w:rsidR="00A50C1F">
        <w:rPr>
          <w:lang w:val="en-CA"/>
        </w:rPr>
        <w:t xml:space="preserve">the challenged </w:t>
      </w:r>
      <w:r w:rsidR="007A737C">
        <w:rPr>
          <w:lang w:val="en-CA"/>
        </w:rPr>
        <w:t>provision</w:t>
      </w:r>
      <w:r w:rsidR="00A50C1F" w:rsidRPr="00CF4E9F">
        <w:rPr>
          <w:lang w:val="en-CA"/>
        </w:rPr>
        <w:t xml:space="preserve"> </w:t>
      </w:r>
      <w:r w:rsidRPr="00CF4E9F">
        <w:rPr>
          <w:lang w:val="en-CA"/>
        </w:rPr>
        <w:t xml:space="preserve">infringes the rights protected by </w:t>
      </w:r>
      <w:r w:rsidR="00A933FD">
        <w:rPr>
          <w:lang w:val="en-CA"/>
        </w:rPr>
        <w:t>ss. </w:t>
      </w:r>
      <w:r w:rsidRPr="00CF4E9F">
        <w:rPr>
          <w:lang w:val="en-CA"/>
        </w:rPr>
        <w:t xml:space="preserve">7 and 15 of the </w:t>
      </w:r>
      <w:r w:rsidRPr="00CF4E9F">
        <w:rPr>
          <w:i/>
          <w:lang w:val="en-CA"/>
        </w:rPr>
        <w:t>Charter</w:t>
      </w:r>
      <w:r w:rsidRPr="00CF4E9F">
        <w:rPr>
          <w:lang w:val="en-CA"/>
        </w:rPr>
        <w:t>.</w:t>
      </w:r>
      <w:r w:rsidR="0043013D" w:rsidRPr="00CF4E9F">
        <w:rPr>
          <w:lang w:val="en-CA"/>
        </w:rPr>
        <w:t xml:space="preserve"> </w:t>
      </w:r>
      <w:r w:rsidRPr="00CF4E9F">
        <w:rPr>
          <w:lang w:val="en-CA"/>
        </w:rPr>
        <w:t>Moreover, if racial profiling is not a</w:t>
      </w:r>
      <w:r w:rsidR="006324D6" w:rsidRPr="00CF4E9F">
        <w:rPr>
          <w:lang w:val="en-CA"/>
        </w:rPr>
        <w:t>n</w:t>
      </w:r>
      <w:r w:rsidRPr="00CF4E9F">
        <w:rPr>
          <w:lang w:val="en-CA"/>
        </w:rPr>
        <w:t xml:space="preserve"> </w:t>
      </w:r>
      <w:r w:rsidR="006324D6" w:rsidRPr="00CF4E9F">
        <w:rPr>
          <w:lang w:val="en-CA"/>
        </w:rPr>
        <w:t>effect</w:t>
      </w:r>
      <w:r w:rsidRPr="00CF4E9F">
        <w:rPr>
          <w:lang w:val="en-CA"/>
        </w:rPr>
        <w:t xml:space="preserve"> of the challenged </w:t>
      </w:r>
      <w:r w:rsidR="007A737C">
        <w:rPr>
          <w:lang w:val="en-CA"/>
        </w:rPr>
        <w:t>provision</w:t>
      </w:r>
      <w:r w:rsidRPr="00CF4E9F">
        <w:rPr>
          <w:lang w:val="en-CA"/>
        </w:rPr>
        <w:t xml:space="preserve">, it also </w:t>
      </w:r>
      <w:r w:rsidR="00A50C1F">
        <w:rPr>
          <w:lang w:val="en-CA"/>
        </w:rPr>
        <w:t>can</w:t>
      </w:r>
      <w:r w:rsidRPr="00CF4E9F">
        <w:rPr>
          <w:lang w:val="en-CA"/>
        </w:rPr>
        <w:t>not</w:t>
      </w:r>
      <w:r w:rsidR="00A50C1F">
        <w:rPr>
          <w:lang w:val="en-CA"/>
        </w:rPr>
        <w:t xml:space="preserve"> be</w:t>
      </w:r>
      <w:r w:rsidRPr="00CF4E9F">
        <w:rPr>
          <w:lang w:val="en-CA"/>
        </w:rPr>
        <w:t xml:space="preserve"> a </w:t>
      </w:r>
      <w:r w:rsidR="00077148">
        <w:rPr>
          <w:lang w:val="en-CA"/>
        </w:rPr>
        <w:t>deleterious</w:t>
      </w:r>
      <w:r w:rsidRPr="00CF4E9F">
        <w:rPr>
          <w:lang w:val="en-CA"/>
        </w:rPr>
        <w:t xml:space="preserve"> effect of the </w:t>
      </w:r>
      <w:r w:rsidR="007A737C">
        <w:rPr>
          <w:lang w:val="en-CA"/>
        </w:rPr>
        <w:t>provision</w:t>
      </w:r>
      <w:r w:rsidRPr="00CF4E9F">
        <w:rPr>
          <w:lang w:val="en-CA"/>
        </w:rPr>
        <w:t xml:space="preserve"> when analyzing the justification of the infringement of the right protected by </w:t>
      </w:r>
      <w:r w:rsidR="00162E51">
        <w:rPr>
          <w:lang w:val="en-CA"/>
        </w:rPr>
        <w:t>s. </w:t>
      </w:r>
      <w:r w:rsidR="00345AD9" w:rsidRPr="00CF4E9F">
        <w:rPr>
          <w:lang w:val="en-CA"/>
        </w:rPr>
        <w:t xml:space="preserve">9 of the </w:t>
      </w:r>
      <w:r w:rsidR="00345AD9" w:rsidRPr="00CF4E9F">
        <w:rPr>
          <w:i/>
          <w:lang w:val="en-CA"/>
        </w:rPr>
        <w:t>Charter</w:t>
      </w:r>
      <w:r w:rsidR="00345AD9" w:rsidRPr="00CF4E9F">
        <w:rPr>
          <w:lang w:val="en-CA"/>
        </w:rPr>
        <w:t>.</w:t>
      </w:r>
      <w:r w:rsidR="0043013D" w:rsidRPr="00CF4E9F">
        <w:rPr>
          <w:lang w:val="en-CA"/>
        </w:rPr>
        <w:t xml:space="preserve"> </w:t>
      </w:r>
      <w:r w:rsidRPr="00CF4E9F">
        <w:rPr>
          <w:lang w:val="en-CA"/>
        </w:rPr>
        <w:t xml:space="preserve">Consequently, the evidence of racial profiling </w:t>
      </w:r>
      <w:r w:rsidR="00A50C1F">
        <w:rPr>
          <w:lang w:val="en-CA"/>
        </w:rPr>
        <w:t>with respect to</w:t>
      </w:r>
      <w:r w:rsidR="00A50C1F" w:rsidRPr="00CF4E9F">
        <w:rPr>
          <w:lang w:val="en-CA"/>
        </w:rPr>
        <w:t xml:space="preserve"> </w:t>
      </w:r>
      <w:r w:rsidRPr="00CF4E9F">
        <w:rPr>
          <w:lang w:val="en-CA"/>
        </w:rPr>
        <w:t xml:space="preserve">the justification is irrelevant and </w:t>
      </w:r>
      <w:r w:rsidR="00A16368" w:rsidRPr="00CF4E9F">
        <w:rPr>
          <w:lang w:val="en-CA"/>
        </w:rPr>
        <w:t xml:space="preserve">does </w:t>
      </w:r>
      <w:r w:rsidRPr="00CF4E9F">
        <w:rPr>
          <w:lang w:val="en-CA"/>
        </w:rPr>
        <w:t xml:space="preserve">not shift the parameters within the meaning of </w:t>
      </w:r>
      <w:r w:rsidRPr="00CF4E9F">
        <w:rPr>
          <w:i/>
          <w:lang w:val="en-CA"/>
        </w:rPr>
        <w:t>Bedford,</w:t>
      </w:r>
      <w:r w:rsidRPr="00CF4E9F">
        <w:rPr>
          <w:rStyle w:val="Appelnotedebasdep"/>
          <w:lang w:val="en-CA"/>
        </w:rPr>
        <w:footnoteReference w:id="57"/>
      </w:r>
      <w:r w:rsidRPr="00CF4E9F">
        <w:rPr>
          <w:lang w:val="en-CA"/>
        </w:rPr>
        <w:t xml:space="preserve"> </w:t>
      </w:r>
      <w:r w:rsidRPr="00CF4E9F">
        <w:rPr>
          <w:i/>
          <w:lang w:val="en-CA"/>
        </w:rPr>
        <w:t>Carter v. Canada (Attorney General)</w:t>
      </w:r>
      <w:r w:rsidR="00A16368" w:rsidRPr="00CF4E9F">
        <w:rPr>
          <w:iCs/>
          <w:lang w:val="en-CA"/>
        </w:rPr>
        <w:t>,</w:t>
      </w:r>
      <w:r w:rsidRPr="00CF4E9F">
        <w:rPr>
          <w:rStyle w:val="Appelnotedebasdep"/>
          <w:lang w:val="en-CA"/>
        </w:rPr>
        <w:footnoteReference w:id="58"/>
      </w:r>
      <w:r w:rsidRPr="00CF4E9F">
        <w:rPr>
          <w:lang w:val="en-CA"/>
        </w:rPr>
        <w:t xml:space="preserve"> and </w:t>
      </w:r>
      <w:r w:rsidRPr="00CF4E9F">
        <w:rPr>
          <w:i/>
          <w:lang w:val="en-CA"/>
        </w:rPr>
        <w:t>R. v. Comeau</w:t>
      </w:r>
      <w:r w:rsidRPr="00CF4E9F">
        <w:rPr>
          <w:rStyle w:val="Appelnotedebasdep"/>
          <w:lang w:val="en-CA"/>
        </w:rPr>
        <w:footnoteReference w:id="59"/>
      </w:r>
      <w:r w:rsidRPr="00CF4E9F">
        <w:rPr>
          <w:lang w:val="en-CA"/>
        </w:rPr>
        <w:t xml:space="preserve"> </w:t>
      </w:r>
      <w:r w:rsidR="00934030">
        <w:rPr>
          <w:lang w:val="en-CA"/>
        </w:rPr>
        <w:t xml:space="preserve">so as </w:t>
      </w:r>
      <w:r w:rsidR="00A16368" w:rsidRPr="00CF4E9F">
        <w:rPr>
          <w:lang w:val="en-CA"/>
        </w:rPr>
        <w:t xml:space="preserve">to </w:t>
      </w:r>
      <w:r w:rsidRPr="00CF4E9F">
        <w:rPr>
          <w:lang w:val="en-CA"/>
        </w:rPr>
        <w:t xml:space="preserve">allow </w:t>
      </w:r>
      <w:r w:rsidRPr="00CF4E9F">
        <w:rPr>
          <w:i/>
          <w:lang w:val="en-CA"/>
        </w:rPr>
        <w:t>Ladouceur</w:t>
      </w:r>
      <w:r w:rsidRPr="00CF4E9F">
        <w:rPr>
          <w:lang w:val="en-CA"/>
        </w:rPr>
        <w:t xml:space="preserve"> to be reconsidered.</w:t>
      </w:r>
      <w:r w:rsidR="0043013D" w:rsidRPr="00CF4E9F">
        <w:rPr>
          <w:lang w:val="en-CA"/>
        </w:rPr>
        <w:t xml:space="preserve"> </w:t>
      </w:r>
    </w:p>
    <w:p w14:paraId="55C7C920" w14:textId="7AA31144" w:rsidR="005A1C52" w:rsidRPr="00CF4E9F" w:rsidRDefault="002439B5" w:rsidP="00D80997">
      <w:pPr>
        <w:pStyle w:val="Paragraphe"/>
        <w:spacing w:line="280" w:lineRule="exact"/>
        <w:rPr>
          <w:lang w:val="en-CA"/>
        </w:rPr>
      </w:pPr>
      <w:r w:rsidRPr="00CF4E9F">
        <w:rPr>
          <w:lang w:val="en-CA"/>
        </w:rPr>
        <w:lastRenderedPageBreak/>
        <w:t xml:space="preserve">Since the Court </w:t>
      </w:r>
      <w:r w:rsidR="00564303">
        <w:rPr>
          <w:lang w:val="en-CA"/>
        </w:rPr>
        <w:t xml:space="preserve">has </w:t>
      </w:r>
      <w:r w:rsidRPr="00CF4E9F">
        <w:rPr>
          <w:lang w:val="en-CA"/>
        </w:rPr>
        <w:t>conclude</w:t>
      </w:r>
      <w:r w:rsidR="00564303">
        <w:rPr>
          <w:lang w:val="en-CA"/>
        </w:rPr>
        <w:t>d</w:t>
      </w:r>
      <w:r w:rsidRPr="00CF4E9F">
        <w:rPr>
          <w:lang w:val="en-CA"/>
        </w:rPr>
        <w:t xml:space="preserve"> that </w:t>
      </w:r>
      <w:r w:rsidRPr="00CF4E9F">
        <w:rPr>
          <w:i/>
          <w:lang w:val="en-CA"/>
        </w:rPr>
        <w:t>Ladouceur</w:t>
      </w:r>
      <w:r w:rsidRPr="00CF4E9F">
        <w:rPr>
          <w:lang w:val="en-CA"/>
        </w:rPr>
        <w:t xml:space="preserve"> did not broaden the common law rule established in </w:t>
      </w:r>
      <w:r w:rsidRPr="00CF4E9F">
        <w:rPr>
          <w:i/>
          <w:lang w:val="en-CA"/>
        </w:rPr>
        <w:t>Dedman</w:t>
      </w:r>
      <w:r w:rsidRPr="00CF4E9F">
        <w:rPr>
          <w:lang w:val="en-CA"/>
        </w:rPr>
        <w:t>, which concern</w:t>
      </w:r>
      <w:r w:rsidR="00A16368" w:rsidRPr="00CF4E9F">
        <w:rPr>
          <w:lang w:val="en-CA"/>
        </w:rPr>
        <w:t>s</w:t>
      </w:r>
      <w:r w:rsidRPr="00CF4E9F">
        <w:rPr>
          <w:lang w:val="en-CA"/>
        </w:rPr>
        <w:t xml:space="preserve"> only stops made during an organized program </w:t>
      </w:r>
      <w:r w:rsidR="00896114">
        <w:rPr>
          <w:lang w:val="en-CA"/>
        </w:rPr>
        <w:t xml:space="preserve">– and that </w:t>
      </w:r>
      <w:r w:rsidRPr="00CF4E9F">
        <w:rPr>
          <w:lang w:val="en-CA"/>
        </w:rPr>
        <w:t>is not the case here</w:t>
      </w:r>
      <w:r w:rsidR="00896114">
        <w:rPr>
          <w:lang w:val="en-CA"/>
        </w:rPr>
        <w:t xml:space="preserve"> –</w:t>
      </w:r>
      <w:r w:rsidRPr="00CF4E9F">
        <w:rPr>
          <w:lang w:val="en-CA"/>
        </w:rPr>
        <w:t xml:space="preserve"> the analysis of all the issues </w:t>
      </w:r>
      <w:r w:rsidR="00564303">
        <w:rPr>
          <w:lang w:val="en-CA"/>
        </w:rPr>
        <w:t xml:space="preserve">will </w:t>
      </w:r>
      <w:r w:rsidR="007D67B2">
        <w:rPr>
          <w:lang w:val="en-CA"/>
        </w:rPr>
        <w:t xml:space="preserve">deal </w:t>
      </w:r>
      <w:r w:rsidRPr="00CF4E9F">
        <w:rPr>
          <w:lang w:val="en-CA"/>
        </w:rPr>
        <w:t xml:space="preserve">strictly </w:t>
      </w:r>
      <w:r w:rsidR="007D67B2">
        <w:rPr>
          <w:lang w:val="en-CA"/>
        </w:rPr>
        <w:t xml:space="preserve">with </w:t>
      </w:r>
      <w:r w:rsidR="00162E51">
        <w:rPr>
          <w:lang w:val="en-CA"/>
        </w:rPr>
        <w:t>s. </w:t>
      </w:r>
      <w:r w:rsidRPr="00CF4E9F">
        <w:rPr>
          <w:lang w:val="en-CA"/>
        </w:rPr>
        <w:t>636</w:t>
      </w:r>
      <w:r w:rsidR="0030762F" w:rsidRPr="0030762F">
        <w:rPr>
          <w:i/>
          <w:lang w:val="en-CA"/>
        </w:rPr>
        <w:t> HSC</w:t>
      </w:r>
      <w:r w:rsidRPr="00CF4E9F">
        <w:rPr>
          <w:lang w:val="en-CA"/>
        </w:rPr>
        <w:t>.</w:t>
      </w:r>
      <w:r w:rsidR="0043013D" w:rsidRPr="00CF4E9F">
        <w:rPr>
          <w:lang w:val="en-CA"/>
        </w:rPr>
        <w:t xml:space="preserve"> </w:t>
      </w:r>
    </w:p>
    <w:p w14:paraId="6C7BC656" w14:textId="346D89CA" w:rsidR="005A1C52" w:rsidRPr="00CF4E9F" w:rsidRDefault="0043013D" w:rsidP="00DD6FD3">
      <w:pPr>
        <w:spacing w:before="120" w:after="120"/>
        <w:jc w:val="center"/>
        <w:rPr>
          <w:sz w:val="28"/>
          <w:szCs w:val="28"/>
          <w:lang w:val="en-CA"/>
        </w:rPr>
      </w:pPr>
      <w:r w:rsidRPr="00CF4E9F">
        <w:rPr>
          <w:sz w:val="28"/>
          <w:szCs w:val="28"/>
          <w:lang w:val="en-CA"/>
        </w:rPr>
        <w:t>* * *</w:t>
      </w:r>
    </w:p>
    <w:p w14:paraId="6374B8CB" w14:textId="6225F6AE" w:rsidR="005A1C52" w:rsidRPr="00CF4E9F" w:rsidRDefault="00D64D17" w:rsidP="00D80997">
      <w:pPr>
        <w:pStyle w:val="Paragraphe"/>
        <w:spacing w:line="280" w:lineRule="exact"/>
        <w:rPr>
          <w:lang w:val="en-CA"/>
        </w:rPr>
      </w:pPr>
      <w:r>
        <w:rPr>
          <w:lang w:val="en-CA"/>
        </w:rPr>
        <w:t>W</w:t>
      </w:r>
      <w:r w:rsidR="002439B5" w:rsidRPr="00CF4E9F">
        <w:rPr>
          <w:lang w:val="en-CA"/>
        </w:rPr>
        <w:t xml:space="preserve">hether </w:t>
      </w:r>
      <w:r w:rsidR="00162E51">
        <w:rPr>
          <w:lang w:val="en-CA"/>
        </w:rPr>
        <w:t>s. </w:t>
      </w:r>
      <w:r w:rsidR="002439B5" w:rsidRPr="00CF4E9F">
        <w:rPr>
          <w:lang w:val="en-CA"/>
        </w:rPr>
        <w:t>636</w:t>
      </w:r>
      <w:r w:rsidR="0030762F" w:rsidRPr="0030762F">
        <w:rPr>
          <w:i/>
          <w:lang w:val="en-CA"/>
        </w:rPr>
        <w:t> HSC</w:t>
      </w:r>
      <w:r w:rsidR="002439B5" w:rsidRPr="00CF4E9F">
        <w:rPr>
          <w:lang w:val="en-CA"/>
        </w:rPr>
        <w:t xml:space="preserve"> </w:t>
      </w:r>
      <w:r>
        <w:rPr>
          <w:lang w:val="en-CA"/>
        </w:rPr>
        <w:t>is the source of</w:t>
      </w:r>
      <w:r w:rsidR="002439B5" w:rsidRPr="00CF4E9F">
        <w:rPr>
          <w:lang w:val="en-CA"/>
        </w:rPr>
        <w:t xml:space="preserve"> racial profiling during traffic stops with no required grounds is </w:t>
      </w:r>
      <w:r>
        <w:rPr>
          <w:lang w:val="en-CA"/>
        </w:rPr>
        <w:t>determinative</w:t>
      </w:r>
      <w:r w:rsidRPr="00CF4E9F">
        <w:rPr>
          <w:lang w:val="en-CA"/>
        </w:rPr>
        <w:t xml:space="preserve"> </w:t>
      </w:r>
      <w:r w:rsidR="002439B5" w:rsidRPr="00CF4E9F">
        <w:rPr>
          <w:lang w:val="en-CA"/>
        </w:rPr>
        <w:t>to the outcome of the appeal.</w:t>
      </w:r>
      <w:r w:rsidR="0043013D" w:rsidRPr="00CF4E9F">
        <w:rPr>
          <w:lang w:val="en-CA"/>
        </w:rPr>
        <w:t xml:space="preserve"> </w:t>
      </w:r>
      <w:r w:rsidR="002439B5" w:rsidRPr="00CF4E9F">
        <w:rPr>
          <w:lang w:val="en-CA"/>
        </w:rPr>
        <w:t xml:space="preserve">The AGQ does not dispute the evidence that racial profiling occurs during traffic stops under </w:t>
      </w:r>
      <w:r w:rsidR="00162E51">
        <w:rPr>
          <w:lang w:val="en-CA"/>
        </w:rPr>
        <w:t>s. </w:t>
      </w:r>
      <w:r w:rsidR="002439B5" w:rsidRPr="00CF4E9F">
        <w:rPr>
          <w:lang w:val="en-CA"/>
        </w:rPr>
        <w:t>636</w:t>
      </w:r>
      <w:r w:rsidR="0030762F" w:rsidRPr="0030762F">
        <w:rPr>
          <w:i/>
          <w:lang w:val="en-CA"/>
        </w:rPr>
        <w:t> HSC</w:t>
      </w:r>
      <w:r w:rsidR="002439B5" w:rsidRPr="00CF4E9F">
        <w:rPr>
          <w:lang w:val="en-CA"/>
        </w:rPr>
        <w:t xml:space="preserve">, but in the AGQ’s view, this does not </w:t>
      </w:r>
      <w:r w:rsidR="009A56D3">
        <w:rPr>
          <w:lang w:val="en-CA"/>
        </w:rPr>
        <w:t>render the provision</w:t>
      </w:r>
      <w:r w:rsidR="002439B5" w:rsidRPr="00CF4E9F">
        <w:rPr>
          <w:lang w:val="en-CA"/>
        </w:rPr>
        <w:t xml:space="preserve"> </w:t>
      </w:r>
      <w:r w:rsidR="009A56D3">
        <w:rPr>
          <w:lang w:val="en-CA"/>
        </w:rPr>
        <w:t>constitutionally invalid</w:t>
      </w:r>
      <w:r w:rsidR="002439B5" w:rsidRPr="00CF4E9F">
        <w:rPr>
          <w:lang w:val="en-CA"/>
        </w:rPr>
        <w:t xml:space="preserve"> because </w:t>
      </w:r>
      <w:r w:rsidR="009A56D3">
        <w:rPr>
          <w:lang w:val="en-CA"/>
        </w:rPr>
        <w:t>the racial profiling</w:t>
      </w:r>
      <w:r w:rsidR="00A16368" w:rsidRPr="00CF4E9F">
        <w:rPr>
          <w:lang w:val="en-CA"/>
        </w:rPr>
        <w:t xml:space="preserve"> is caused by </w:t>
      </w:r>
      <w:r w:rsidR="00744F36" w:rsidRPr="00CF4E9F">
        <w:rPr>
          <w:lang w:val="en-CA"/>
        </w:rPr>
        <w:t>the mis</w:t>
      </w:r>
      <w:r w:rsidR="002439B5" w:rsidRPr="00CF4E9F">
        <w:rPr>
          <w:lang w:val="en-CA"/>
        </w:rPr>
        <w:t xml:space="preserve">conduct </w:t>
      </w:r>
      <w:r w:rsidR="000351C7" w:rsidRPr="00CF4E9F">
        <w:rPr>
          <w:lang w:val="en-CA"/>
        </w:rPr>
        <w:t xml:space="preserve">of the police </w:t>
      </w:r>
      <w:r w:rsidR="00402EDB">
        <w:rPr>
          <w:lang w:val="en-CA"/>
        </w:rPr>
        <w:t xml:space="preserve">when </w:t>
      </w:r>
      <w:r w:rsidR="009A56D3">
        <w:rPr>
          <w:lang w:val="en-CA"/>
        </w:rPr>
        <w:t>applying the provision</w:t>
      </w:r>
      <w:r w:rsidR="002439B5" w:rsidRPr="00CF4E9F">
        <w:rPr>
          <w:lang w:val="en-CA"/>
        </w:rPr>
        <w:t>.</w:t>
      </w:r>
      <w:r w:rsidR="00F80A5E" w:rsidRPr="00CF4E9F">
        <w:rPr>
          <w:lang w:val="en-CA"/>
        </w:rPr>
        <w:t xml:space="preserve"> </w:t>
      </w:r>
      <w:r w:rsidR="002439B5" w:rsidRPr="00CF4E9F">
        <w:rPr>
          <w:lang w:val="en-CA"/>
        </w:rPr>
        <w:t>The distinction is important when it comes to the remedy.</w:t>
      </w:r>
    </w:p>
    <w:p w14:paraId="0FE21ECA" w14:textId="08A146E0" w:rsidR="005A1C52" w:rsidRPr="00CF4E9F" w:rsidRDefault="002439B5" w:rsidP="00D80997">
      <w:pPr>
        <w:pStyle w:val="Paragraphe"/>
        <w:spacing w:line="280" w:lineRule="exact"/>
        <w:rPr>
          <w:lang w:val="en-CA"/>
        </w:rPr>
      </w:pPr>
      <w:r w:rsidRPr="00CF4E9F">
        <w:rPr>
          <w:lang w:val="en-CA"/>
        </w:rPr>
        <w:t xml:space="preserve">There are two kinds of </w:t>
      </w:r>
      <w:r w:rsidRPr="00CF4E9F">
        <w:rPr>
          <w:i/>
          <w:lang w:val="en-CA"/>
        </w:rPr>
        <w:t>Charter</w:t>
      </w:r>
      <w:r w:rsidRPr="00CF4E9F">
        <w:rPr>
          <w:lang w:val="en-CA"/>
        </w:rPr>
        <w:t xml:space="preserve"> violations, those caused by </w:t>
      </w:r>
      <w:r w:rsidR="00AB4261">
        <w:rPr>
          <w:lang w:val="en-CA"/>
        </w:rPr>
        <w:t xml:space="preserve">legislation </w:t>
      </w:r>
      <w:r w:rsidRPr="00CF4E9F">
        <w:rPr>
          <w:lang w:val="en-CA"/>
        </w:rPr>
        <w:t xml:space="preserve">that is inconsistent with the </w:t>
      </w:r>
      <w:r w:rsidRPr="00CF4E9F">
        <w:rPr>
          <w:i/>
          <w:lang w:val="en-CA"/>
        </w:rPr>
        <w:t>Charter</w:t>
      </w:r>
      <w:r w:rsidRPr="00CF4E9F">
        <w:rPr>
          <w:lang w:val="en-CA"/>
        </w:rPr>
        <w:t xml:space="preserve"> and those arising from an </w:t>
      </w:r>
      <w:r w:rsidR="001A2A93">
        <w:rPr>
          <w:lang w:val="en-CA"/>
        </w:rPr>
        <w:t xml:space="preserve">improper </w:t>
      </w:r>
      <w:r w:rsidRPr="00CF4E9F">
        <w:rPr>
          <w:lang w:val="en-CA"/>
        </w:rPr>
        <w:t>application of otherwise</w:t>
      </w:r>
      <w:r w:rsidR="00812064" w:rsidRPr="00CF4E9F">
        <w:rPr>
          <w:lang w:val="en-CA"/>
        </w:rPr>
        <w:t xml:space="preserve"> </w:t>
      </w:r>
      <w:r w:rsidRPr="00CF4E9F">
        <w:rPr>
          <w:lang w:val="en-CA"/>
        </w:rPr>
        <w:t xml:space="preserve">valid </w:t>
      </w:r>
      <w:r w:rsidR="00AB4261">
        <w:rPr>
          <w:lang w:val="en-CA"/>
        </w:rPr>
        <w:t>legislation</w:t>
      </w:r>
      <w:r w:rsidRPr="00CF4E9F">
        <w:rPr>
          <w:lang w:val="en-CA"/>
        </w:rPr>
        <w:t>.</w:t>
      </w:r>
      <w:r w:rsidRPr="00CF4E9F">
        <w:rPr>
          <w:rStyle w:val="Appelnotedebasdep"/>
          <w:lang w:val="en-CA"/>
        </w:rPr>
        <w:footnoteReference w:id="60"/>
      </w:r>
      <w:r w:rsidR="0043013D" w:rsidRPr="00CF4E9F">
        <w:rPr>
          <w:lang w:val="en-CA"/>
        </w:rPr>
        <w:t xml:space="preserve"> </w:t>
      </w:r>
      <w:r w:rsidRPr="00CF4E9F">
        <w:rPr>
          <w:lang w:val="en-CA"/>
        </w:rPr>
        <w:t xml:space="preserve">Only the first kind of violation may result in the </w:t>
      </w:r>
      <w:r w:rsidR="00AB4261">
        <w:rPr>
          <w:lang w:val="en-CA"/>
        </w:rPr>
        <w:t>legislation</w:t>
      </w:r>
      <w:r w:rsidR="00AB4261" w:rsidRPr="00CF4E9F">
        <w:rPr>
          <w:lang w:val="en-CA"/>
        </w:rPr>
        <w:t xml:space="preserve">’s </w:t>
      </w:r>
      <w:r w:rsidRPr="00CF4E9F">
        <w:rPr>
          <w:lang w:val="en-CA"/>
        </w:rPr>
        <w:t xml:space="preserve">invalidity and a remedy under </w:t>
      </w:r>
      <w:r w:rsidR="00162E51">
        <w:rPr>
          <w:lang w:val="en-CA"/>
        </w:rPr>
        <w:t>s. </w:t>
      </w:r>
      <w:r w:rsidRPr="00CF4E9F">
        <w:rPr>
          <w:lang w:val="en-CA"/>
        </w:rPr>
        <w:t xml:space="preserve">52(1) of the </w:t>
      </w:r>
      <w:r w:rsidRPr="00CF4E9F">
        <w:rPr>
          <w:i/>
          <w:lang w:val="en-CA"/>
        </w:rPr>
        <w:t>Constitution Act, 1982</w:t>
      </w:r>
      <w:r w:rsidRPr="00CF4E9F">
        <w:rPr>
          <w:lang w:val="en-CA"/>
        </w:rPr>
        <w:t>.</w:t>
      </w:r>
      <w:r w:rsidRPr="00CF4E9F">
        <w:rPr>
          <w:rStyle w:val="Appelnotedebasdep"/>
          <w:lang w:val="en-CA"/>
        </w:rPr>
        <w:footnoteReference w:id="61"/>
      </w:r>
      <w:r w:rsidR="0043013D" w:rsidRPr="00CF4E9F">
        <w:rPr>
          <w:lang w:val="en-CA"/>
        </w:rPr>
        <w:t xml:space="preserve"> </w:t>
      </w:r>
      <w:r w:rsidRPr="00CF4E9F">
        <w:rPr>
          <w:lang w:val="en-CA"/>
        </w:rPr>
        <w:t>The second kind of violation concerns only the validity of a state act or decision.</w:t>
      </w:r>
      <w:r w:rsidR="0043013D" w:rsidRPr="00CF4E9F">
        <w:rPr>
          <w:lang w:val="en-CA"/>
        </w:rPr>
        <w:t xml:space="preserve"> </w:t>
      </w:r>
      <w:r w:rsidR="00812064" w:rsidRPr="00CF4E9F">
        <w:rPr>
          <w:lang w:val="en-CA"/>
        </w:rPr>
        <w:t>In principle, however, improper (illegal) conduct by state actors cannot render otherwise constitutional legislation unconstitutional.</w:t>
      </w:r>
      <w:r w:rsidR="00812064" w:rsidRPr="00CF4E9F">
        <w:rPr>
          <w:rStyle w:val="Appelnotedebasdep"/>
          <w:lang w:val="en-CA"/>
        </w:rPr>
        <w:footnoteReference w:id="62"/>
      </w:r>
      <w:r w:rsidR="0043013D" w:rsidRPr="00CF4E9F">
        <w:rPr>
          <w:lang w:val="en-CA"/>
        </w:rPr>
        <w:t xml:space="preserve"> </w:t>
      </w:r>
      <w:r w:rsidR="00812064" w:rsidRPr="00CF4E9F">
        <w:rPr>
          <w:lang w:val="en-CA"/>
        </w:rPr>
        <w:t xml:space="preserve">In that case, the remedy </w:t>
      </w:r>
      <w:r w:rsidR="00A52E2B">
        <w:rPr>
          <w:lang w:val="en-CA"/>
        </w:rPr>
        <w:t xml:space="preserve">lies </w:t>
      </w:r>
      <w:r w:rsidR="00812064" w:rsidRPr="00CF4E9F">
        <w:rPr>
          <w:lang w:val="en-CA"/>
        </w:rPr>
        <w:t xml:space="preserve">under </w:t>
      </w:r>
      <w:r w:rsidR="00162E51">
        <w:rPr>
          <w:lang w:val="en-CA"/>
        </w:rPr>
        <w:t>s. </w:t>
      </w:r>
      <w:r w:rsidR="00812064" w:rsidRPr="00CF4E9F">
        <w:rPr>
          <w:lang w:val="en-CA"/>
        </w:rPr>
        <w:t xml:space="preserve">24 of the </w:t>
      </w:r>
      <w:r w:rsidR="00812064" w:rsidRPr="00CF4E9F">
        <w:rPr>
          <w:i/>
          <w:lang w:val="en-CA"/>
        </w:rPr>
        <w:t>Charter</w:t>
      </w:r>
      <w:r w:rsidR="00812064" w:rsidRPr="00CF4E9F">
        <w:rPr>
          <w:lang w:val="en-CA"/>
        </w:rPr>
        <w:t>.</w:t>
      </w:r>
      <w:r w:rsidR="00812064" w:rsidRPr="00CF4E9F">
        <w:rPr>
          <w:rStyle w:val="Appelnotedebasdep"/>
          <w:lang w:val="en-CA"/>
        </w:rPr>
        <w:footnoteReference w:id="63"/>
      </w:r>
      <w:r w:rsidR="0043013D" w:rsidRPr="00CF4E9F">
        <w:rPr>
          <w:lang w:val="en-CA"/>
        </w:rPr>
        <w:t xml:space="preserve"> </w:t>
      </w:r>
      <w:r w:rsidR="00812064" w:rsidRPr="00CF4E9F">
        <w:rPr>
          <w:lang w:val="en-CA"/>
        </w:rPr>
        <w:t>It is therefore essential to determine what kind of violation is at issue here.</w:t>
      </w:r>
      <w:r w:rsidR="0043013D" w:rsidRPr="00CF4E9F">
        <w:rPr>
          <w:lang w:val="en-CA"/>
        </w:rPr>
        <w:t xml:space="preserve"> </w:t>
      </w:r>
    </w:p>
    <w:p w14:paraId="70C3D318" w14:textId="6CAC8C7B" w:rsidR="005A1C52" w:rsidRPr="00CF4E9F" w:rsidRDefault="00812064" w:rsidP="00D80997">
      <w:pPr>
        <w:pStyle w:val="Paragraphe"/>
        <w:spacing w:line="280" w:lineRule="exact"/>
        <w:rPr>
          <w:lang w:val="en-CA"/>
        </w:rPr>
      </w:pPr>
      <w:r w:rsidRPr="00CF4E9F">
        <w:rPr>
          <w:lang w:val="en-CA"/>
        </w:rPr>
        <w:t xml:space="preserve">The AGQ argues that, when considering the constitutionality of the challenged </w:t>
      </w:r>
      <w:r w:rsidR="006E26DE">
        <w:rPr>
          <w:lang w:val="en-CA"/>
        </w:rPr>
        <w:t>provision</w:t>
      </w:r>
      <w:r w:rsidRPr="00CF4E9F">
        <w:rPr>
          <w:lang w:val="en-CA"/>
        </w:rPr>
        <w:t xml:space="preserve">, the </w:t>
      </w:r>
      <w:r w:rsidR="006511CB" w:rsidRPr="00CF4E9F">
        <w:rPr>
          <w:lang w:val="en-CA"/>
        </w:rPr>
        <w:t>effect</w:t>
      </w:r>
      <w:r w:rsidRPr="00CF4E9F">
        <w:rPr>
          <w:lang w:val="en-CA"/>
        </w:rPr>
        <w:t xml:space="preserve"> analyzed must be </w:t>
      </w:r>
      <w:r w:rsidR="006511CB" w:rsidRPr="00CF4E9F">
        <w:rPr>
          <w:lang w:val="en-CA"/>
        </w:rPr>
        <w:t xml:space="preserve">that </w:t>
      </w:r>
      <w:r w:rsidRPr="00CF4E9F">
        <w:rPr>
          <w:lang w:val="en-CA"/>
        </w:rPr>
        <w:t xml:space="preserve">caused by a legitimate </w:t>
      </w:r>
      <w:r w:rsidR="00F16BC5">
        <w:rPr>
          <w:lang w:val="en-CA"/>
        </w:rPr>
        <w:t xml:space="preserve">and proper </w:t>
      </w:r>
      <w:r w:rsidRPr="00CF4E9F">
        <w:rPr>
          <w:lang w:val="en-CA"/>
        </w:rPr>
        <w:t xml:space="preserve">application of the </w:t>
      </w:r>
      <w:r w:rsidR="006E26DE">
        <w:rPr>
          <w:lang w:val="en-CA"/>
        </w:rPr>
        <w:t>provision</w:t>
      </w:r>
      <w:r w:rsidRPr="00CF4E9F">
        <w:rPr>
          <w:lang w:val="en-CA"/>
        </w:rPr>
        <w:t>.</w:t>
      </w:r>
      <w:r w:rsidR="0043013D" w:rsidRPr="00CF4E9F">
        <w:rPr>
          <w:lang w:val="en-CA"/>
        </w:rPr>
        <w:t xml:space="preserve"> </w:t>
      </w:r>
      <w:r w:rsidRPr="00CF4E9F">
        <w:rPr>
          <w:lang w:val="en-CA"/>
        </w:rPr>
        <w:t xml:space="preserve">If racial profiling is the result of police misconduct, the remedy </w:t>
      </w:r>
      <w:r w:rsidR="007E028D">
        <w:rPr>
          <w:lang w:val="en-CA"/>
        </w:rPr>
        <w:t xml:space="preserve">is that provided for in </w:t>
      </w:r>
      <w:r w:rsidR="00162E51">
        <w:rPr>
          <w:lang w:val="en-CA"/>
        </w:rPr>
        <w:t>s. </w:t>
      </w:r>
      <w:r w:rsidRPr="00CF4E9F">
        <w:rPr>
          <w:lang w:val="en-CA"/>
        </w:rPr>
        <w:t xml:space="preserve">24 of the </w:t>
      </w:r>
      <w:r w:rsidRPr="00CF4E9F">
        <w:rPr>
          <w:i/>
          <w:lang w:val="en-CA"/>
        </w:rPr>
        <w:t>Charter</w:t>
      </w:r>
      <w:r w:rsidRPr="00CF4E9F">
        <w:rPr>
          <w:lang w:val="en-CA"/>
        </w:rPr>
        <w:t xml:space="preserve">, not a declaration of </w:t>
      </w:r>
      <w:r w:rsidR="006511CB" w:rsidRPr="00CF4E9F">
        <w:rPr>
          <w:lang w:val="en-CA"/>
        </w:rPr>
        <w:t>inoperability</w:t>
      </w:r>
      <w:r w:rsidRPr="00CF4E9F">
        <w:rPr>
          <w:lang w:val="en-CA"/>
        </w:rPr>
        <w:t xml:space="preserve"> under</w:t>
      </w:r>
      <w:r w:rsidR="0043013D" w:rsidRPr="00CF4E9F">
        <w:rPr>
          <w:lang w:val="en-CA"/>
        </w:rPr>
        <w:t> </w:t>
      </w:r>
      <w:r w:rsidR="00162E51">
        <w:rPr>
          <w:lang w:val="en-CA"/>
        </w:rPr>
        <w:t>s. </w:t>
      </w:r>
      <w:r w:rsidRPr="00CF4E9F">
        <w:rPr>
          <w:lang w:val="en-CA"/>
        </w:rPr>
        <w:t xml:space="preserve">52 of the </w:t>
      </w:r>
      <w:r w:rsidRPr="00CF4E9F">
        <w:rPr>
          <w:i/>
          <w:lang w:val="en-CA"/>
        </w:rPr>
        <w:t>Constitution Act, 1982</w:t>
      </w:r>
      <w:r w:rsidRPr="00CF4E9F">
        <w:rPr>
          <w:lang w:val="en-CA"/>
        </w:rPr>
        <w:t>.</w:t>
      </w:r>
    </w:p>
    <w:p w14:paraId="238623E6" w14:textId="1E510C67" w:rsidR="005A1C52" w:rsidRPr="00CF4E9F" w:rsidRDefault="00812064" w:rsidP="00241521">
      <w:pPr>
        <w:pStyle w:val="Paragraphe"/>
        <w:spacing w:line="280" w:lineRule="exact"/>
        <w:rPr>
          <w:lang w:val="en-CA"/>
        </w:rPr>
      </w:pPr>
      <w:r w:rsidRPr="00CF4E9F">
        <w:rPr>
          <w:lang w:val="en-CA"/>
        </w:rPr>
        <w:t>The Court disagrees.</w:t>
      </w:r>
      <w:r w:rsidR="00241521" w:rsidRPr="00CF4E9F">
        <w:rPr>
          <w:lang w:val="en-CA"/>
        </w:rPr>
        <w:t xml:space="preserve"> </w:t>
      </w:r>
      <w:r w:rsidR="002439B5" w:rsidRPr="00CF4E9F">
        <w:rPr>
          <w:lang w:val="en-CA"/>
        </w:rPr>
        <w:t xml:space="preserve">The </w:t>
      </w:r>
      <w:r w:rsidR="006511CB" w:rsidRPr="00CF4E9F">
        <w:rPr>
          <w:lang w:val="en-CA"/>
        </w:rPr>
        <w:t>question</w:t>
      </w:r>
      <w:r w:rsidR="002439B5" w:rsidRPr="00CF4E9F">
        <w:rPr>
          <w:lang w:val="en-CA"/>
        </w:rPr>
        <w:t xml:space="preserve"> </w:t>
      </w:r>
      <w:r w:rsidR="006511CB" w:rsidRPr="00CF4E9F">
        <w:rPr>
          <w:lang w:val="en-CA"/>
        </w:rPr>
        <w:t>of</w:t>
      </w:r>
      <w:r w:rsidR="002439B5" w:rsidRPr="00CF4E9F">
        <w:rPr>
          <w:lang w:val="en-CA"/>
        </w:rPr>
        <w:t xml:space="preserve"> whether </w:t>
      </w:r>
      <w:r w:rsidR="00162E51">
        <w:rPr>
          <w:lang w:val="en-CA"/>
        </w:rPr>
        <w:t>s. </w:t>
      </w:r>
      <w:r w:rsidRPr="00CF4E9F">
        <w:rPr>
          <w:lang w:val="en-CA"/>
        </w:rPr>
        <w:t>636</w:t>
      </w:r>
      <w:r w:rsidR="0030762F" w:rsidRPr="0030762F">
        <w:rPr>
          <w:i/>
          <w:lang w:val="en-CA"/>
        </w:rPr>
        <w:t> HSC</w:t>
      </w:r>
      <w:r w:rsidRPr="00CF4E9F">
        <w:rPr>
          <w:lang w:val="en-CA"/>
        </w:rPr>
        <w:t xml:space="preserve"> is itself a vector for racial profiling</w:t>
      </w:r>
      <w:r w:rsidR="006511CB" w:rsidRPr="00CF4E9F">
        <w:rPr>
          <w:lang w:val="en-CA"/>
        </w:rPr>
        <w:t>,</w:t>
      </w:r>
      <w:r w:rsidRPr="00CF4E9F">
        <w:rPr>
          <w:lang w:val="en-CA"/>
        </w:rPr>
        <w:t xml:space="preserve"> and therefore the source of the alleged </w:t>
      </w:r>
      <w:r w:rsidRPr="00CF4E9F">
        <w:rPr>
          <w:i/>
          <w:iCs/>
          <w:lang w:val="en-CA"/>
        </w:rPr>
        <w:t>Charter</w:t>
      </w:r>
      <w:r w:rsidRPr="00CF4E9F">
        <w:rPr>
          <w:lang w:val="en-CA"/>
        </w:rPr>
        <w:t xml:space="preserve"> violations</w:t>
      </w:r>
      <w:r w:rsidR="006511CB" w:rsidRPr="00CF4E9F">
        <w:rPr>
          <w:lang w:val="en-CA"/>
        </w:rPr>
        <w:t>,</w:t>
      </w:r>
      <w:r w:rsidRPr="00CF4E9F">
        <w:rPr>
          <w:lang w:val="en-CA"/>
        </w:rPr>
        <w:t xml:space="preserve"> is not only a legal issue, but a mixed question of law and of fact because the effects of the provision’s application must be considered to determine its constitutional</w:t>
      </w:r>
      <w:r w:rsidR="006511CB" w:rsidRPr="00CF4E9F">
        <w:rPr>
          <w:lang w:val="en-CA"/>
        </w:rPr>
        <w:t xml:space="preserve"> validity</w:t>
      </w:r>
      <w:r w:rsidRPr="00CF4E9F">
        <w:rPr>
          <w:lang w:val="en-CA"/>
        </w:rPr>
        <w:t>.</w:t>
      </w:r>
      <w:r w:rsidR="00D748F2" w:rsidRPr="00CF4E9F">
        <w:rPr>
          <w:lang w:val="en-CA"/>
        </w:rPr>
        <w:t xml:space="preserve"> </w:t>
      </w:r>
      <w:r w:rsidRPr="00CF4E9F">
        <w:rPr>
          <w:lang w:val="en-CA"/>
        </w:rPr>
        <w:t>The judge did not err in this regard.</w:t>
      </w:r>
      <w:r w:rsidR="00D748F2" w:rsidRPr="00CF4E9F">
        <w:rPr>
          <w:lang w:val="en-CA"/>
        </w:rPr>
        <w:t xml:space="preserve"> </w:t>
      </w:r>
      <w:r w:rsidRPr="00CF4E9F">
        <w:rPr>
          <w:lang w:val="en-CA"/>
        </w:rPr>
        <w:t xml:space="preserve">Even though </w:t>
      </w:r>
      <w:r w:rsidR="00162E51">
        <w:rPr>
          <w:lang w:val="en-CA"/>
        </w:rPr>
        <w:t>s. </w:t>
      </w:r>
      <w:r w:rsidRPr="00CF4E9F">
        <w:rPr>
          <w:lang w:val="en-CA"/>
        </w:rPr>
        <w:t>636</w:t>
      </w:r>
      <w:r w:rsidR="0030762F" w:rsidRPr="0030762F">
        <w:rPr>
          <w:i/>
          <w:lang w:val="en-CA"/>
        </w:rPr>
        <w:t> HSC</w:t>
      </w:r>
      <w:r w:rsidRPr="00CF4E9F">
        <w:rPr>
          <w:lang w:val="en-CA"/>
        </w:rPr>
        <w:t xml:space="preserve"> does not expressly authorize traffic stops based on racial profiling, the evidence establishes that </w:t>
      </w:r>
      <w:r w:rsidR="00AD08B5">
        <w:rPr>
          <w:lang w:val="en-CA"/>
        </w:rPr>
        <w:t>it has the</w:t>
      </w:r>
      <w:r w:rsidRPr="00CF4E9F">
        <w:rPr>
          <w:lang w:val="en-CA"/>
        </w:rPr>
        <w:t xml:space="preserve"> effect </w:t>
      </w:r>
      <w:r w:rsidR="00AD08B5">
        <w:rPr>
          <w:lang w:val="en-CA"/>
        </w:rPr>
        <w:t xml:space="preserve">of allowing </w:t>
      </w:r>
      <w:r w:rsidRPr="00CF4E9F">
        <w:rPr>
          <w:lang w:val="en-CA"/>
        </w:rPr>
        <w:t xml:space="preserve">racial profiling to </w:t>
      </w:r>
      <w:r w:rsidR="00063079">
        <w:rPr>
          <w:lang w:val="en-CA"/>
        </w:rPr>
        <w:t xml:space="preserve">permeate </w:t>
      </w:r>
      <w:r w:rsidRPr="00CF4E9F">
        <w:rPr>
          <w:lang w:val="en-CA"/>
        </w:rPr>
        <w:t xml:space="preserve">the </w:t>
      </w:r>
      <w:r w:rsidR="006511CB" w:rsidRPr="00CF4E9F">
        <w:rPr>
          <w:lang w:val="en-CA"/>
        </w:rPr>
        <w:t xml:space="preserve">exercise of the </w:t>
      </w:r>
      <w:r w:rsidRPr="00CF4E9F">
        <w:rPr>
          <w:lang w:val="en-CA"/>
        </w:rPr>
        <w:t xml:space="preserve">police discretion </w:t>
      </w:r>
      <w:r w:rsidR="006511CB" w:rsidRPr="00CF4E9F">
        <w:rPr>
          <w:lang w:val="en-CA"/>
        </w:rPr>
        <w:t xml:space="preserve">conferred </w:t>
      </w:r>
      <w:r w:rsidRPr="00CF4E9F">
        <w:rPr>
          <w:lang w:val="en-CA"/>
        </w:rPr>
        <w:t>by that provision.</w:t>
      </w:r>
      <w:r w:rsidR="0043013D" w:rsidRPr="00CF4E9F">
        <w:rPr>
          <w:lang w:val="en-CA"/>
        </w:rPr>
        <w:t xml:space="preserve"> </w:t>
      </w:r>
      <w:r w:rsidR="00E57C75" w:rsidRPr="00CF4E9F">
        <w:rPr>
          <w:lang w:val="en-CA"/>
        </w:rPr>
        <w:t>T</w:t>
      </w:r>
      <w:r w:rsidRPr="00CF4E9F">
        <w:rPr>
          <w:lang w:val="en-CA"/>
        </w:rPr>
        <w:t>herefore</w:t>
      </w:r>
      <w:r w:rsidR="00E57C75" w:rsidRPr="00CF4E9F">
        <w:rPr>
          <w:lang w:val="en-CA"/>
        </w:rPr>
        <w:t>,</w:t>
      </w:r>
      <w:r w:rsidRPr="00CF4E9F">
        <w:rPr>
          <w:lang w:val="en-CA"/>
        </w:rPr>
        <w:t xml:space="preserve"> </w:t>
      </w:r>
      <w:r w:rsidR="006D3823">
        <w:rPr>
          <w:lang w:val="en-CA"/>
        </w:rPr>
        <w:t xml:space="preserve">it is </w:t>
      </w:r>
      <w:r w:rsidR="00162E51">
        <w:rPr>
          <w:lang w:val="en-CA"/>
        </w:rPr>
        <w:t>s. </w:t>
      </w:r>
      <w:r w:rsidRPr="00CF4E9F">
        <w:rPr>
          <w:lang w:val="en-CA"/>
        </w:rPr>
        <w:t>636</w:t>
      </w:r>
      <w:r w:rsidR="0030762F" w:rsidRPr="0030762F">
        <w:rPr>
          <w:i/>
          <w:lang w:val="en-CA"/>
        </w:rPr>
        <w:t> HSC</w:t>
      </w:r>
      <w:r w:rsidRPr="00CF4E9F">
        <w:rPr>
          <w:lang w:val="en-CA"/>
        </w:rPr>
        <w:t xml:space="preserve"> </w:t>
      </w:r>
      <w:r w:rsidR="006D3823">
        <w:rPr>
          <w:lang w:val="en-CA"/>
        </w:rPr>
        <w:t xml:space="preserve">itself that </w:t>
      </w:r>
      <w:r w:rsidRPr="00CF4E9F">
        <w:rPr>
          <w:lang w:val="en-CA"/>
        </w:rPr>
        <w:t xml:space="preserve">is the source of the alleged </w:t>
      </w:r>
      <w:r w:rsidRPr="00CF4E9F">
        <w:rPr>
          <w:i/>
          <w:lang w:val="en-CA"/>
        </w:rPr>
        <w:t>Charter</w:t>
      </w:r>
      <w:r w:rsidRPr="00CF4E9F">
        <w:rPr>
          <w:lang w:val="en-CA"/>
        </w:rPr>
        <w:t xml:space="preserve"> violations.</w:t>
      </w:r>
      <w:r w:rsidR="0043013D" w:rsidRPr="00CF4E9F">
        <w:rPr>
          <w:lang w:val="en-CA"/>
        </w:rPr>
        <w:t xml:space="preserve"> </w:t>
      </w:r>
    </w:p>
    <w:p w14:paraId="6C1C02D9" w14:textId="32964DBC" w:rsidR="005A1C52" w:rsidRPr="00CF4E9F" w:rsidRDefault="00812064" w:rsidP="00D80997">
      <w:pPr>
        <w:pStyle w:val="Paragraphe"/>
        <w:spacing w:line="280" w:lineRule="exact"/>
        <w:rPr>
          <w:lang w:val="en-CA"/>
        </w:rPr>
      </w:pPr>
      <w:r w:rsidRPr="00CF4E9F">
        <w:rPr>
          <w:lang w:val="en-CA"/>
        </w:rPr>
        <w:lastRenderedPageBreak/>
        <w:t xml:space="preserve">When legislation confers discretion, it must be interpreted and applied, </w:t>
      </w:r>
      <w:r w:rsidR="00F93401" w:rsidRPr="00CF4E9F">
        <w:rPr>
          <w:lang w:val="en-CA"/>
        </w:rPr>
        <w:t>in</w:t>
      </w:r>
      <w:r w:rsidRPr="00CF4E9F">
        <w:rPr>
          <w:lang w:val="en-CA"/>
        </w:rPr>
        <w:t xml:space="preserve">sofar as possible, consistently with the </w:t>
      </w:r>
      <w:r w:rsidRPr="00CF4E9F">
        <w:rPr>
          <w:i/>
          <w:lang w:val="en-CA"/>
        </w:rPr>
        <w:t>Charter</w:t>
      </w:r>
      <w:r w:rsidRPr="00CF4E9F">
        <w:rPr>
          <w:lang w:val="en-CA"/>
        </w:rPr>
        <w:t>.</w:t>
      </w:r>
      <w:r w:rsidRPr="00CF4E9F">
        <w:rPr>
          <w:rStyle w:val="Appelnotedebasdep"/>
          <w:lang w:val="en-CA"/>
        </w:rPr>
        <w:footnoteReference w:id="64"/>
      </w:r>
      <w:r w:rsidR="0043013D" w:rsidRPr="00CF4E9F">
        <w:rPr>
          <w:lang w:val="en-CA"/>
        </w:rPr>
        <w:t xml:space="preserve"> </w:t>
      </w:r>
      <w:r w:rsidRPr="00CF4E9F">
        <w:rPr>
          <w:lang w:val="en-CA"/>
        </w:rPr>
        <w:t>However, this is not always possible.</w:t>
      </w:r>
      <w:r w:rsidR="0043013D" w:rsidRPr="00CF4E9F">
        <w:rPr>
          <w:lang w:val="en-CA"/>
        </w:rPr>
        <w:t xml:space="preserve"> </w:t>
      </w:r>
      <w:r w:rsidRPr="00CF4E9F">
        <w:rPr>
          <w:lang w:val="en-CA"/>
        </w:rPr>
        <w:t xml:space="preserve">Not </w:t>
      </w:r>
      <w:r w:rsidR="003E2429">
        <w:rPr>
          <w:lang w:val="en-CA"/>
        </w:rPr>
        <w:t>every</w:t>
      </w:r>
      <w:r w:rsidRPr="00CF4E9F">
        <w:rPr>
          <w:lang w:val="en-CA"/>
        </w:rPr>
        <w:t xml:space="preserve"> </w:t>
      </w:r>
      <w:r w:rsidR="006E26DE">
        <w:rPr>
          <w:lang w:val="en-CA"/>
        </w:rPr>
        <w:t>provision</w:t>
      </w:r>
      <w:r w:rsidRPr="00CF4E9F">
        <w:rPr>
          <w:lang w:val="en-CA"/>
        </w:rPr>
        <w:t xml:space="preserve"> confer</w:t>
      </w:r>
      <w:r w:rsidR="00F93401" w:rsidRPr="00CF4E9F">
        <w:rPr>
          <w:lang w:val="en-CA"/>
        </w:rPr>
        <w:t>ring</w:t>
      </w:r>
      <w:r w:rsidRPr="00CF4E9F">
        <w:rPr>
          <w:lang w:val="en-CA"/>
        </w:rPr>
        <w:t xml:space="preserve"> discretion </w:t>
      </w:r>
      <w:r w:rsidR="00F93401" w:rsidRPr="00CF4E9F">
        <w:rPr>
          <w:lang w:val="en-CA"/>
        </w:rPr>
        <w:t>may</w:t>
      </w:r>
      <w:r w:rsidRPr="00CF4E9F">
        <w:rPr>
          <w:lang w:val="en-CA"/>
        </w:rPr>
        <w:t xml:space="preserve"> be interpreted</w:t>
      </w:r>
      <w:r w:rsidR="00950E2C">
        <w:rPr>
          <w:lang w:val="en-CA"/>
        </w:rPr>
        <w:t xml:space="preserve"> </w:t>
      </w:r>
      <w:r w:rsidRPr="00CF4E9F">
        <w:rPr>
          <w:lang w:val="en-CA"/>
        </w:rPr>
        <w:t>consistent</w:t>
      </w:r>
      <w:r w:rsidR="003E2429">
        <w:rPr>
          <w:lang w:val="en-CA"/>
        </w:rPr>
        <w:t>ly</w:t>
      </w:r>
      <w:r w:rsidRPr="00CF4E9F">
        <w:rPr>
          <w:lang w:val="en-CA"/>
        </w:rPr>
        <w:t xml:space="preserve"> with the </w:t>
      </w:r>
      <w:r w:rsidRPr="00CF4E9F">
        <w:rPr>
          <w:i/>
          <w:lang w:val="en-CA"/>
        </w:rPr>
        <w:t>Charter</w:t>
      </w:r>
      <w:r w:rsidRPr="00CF4E9F">
        <w:rPr>
          <w:lang w:val="en-CA"/>
        </w:rPr>
        <w:t>.</w:t>
      </w:r>
      <w:r w:rsidRPr="00CF4E9F">
        <w:rPr>
          <w:rStyle w:val="Appelnotedebasdep"/>
          <w:lang w:val="en-CA"/>
        </w:rPr>
        <w:footnoteReference w:id="65"/>
      </w:r>
      <w:r w:rsidR="0043013D" w:rsidRPr="00CF4E9F">
        <w:rPr>
          <w:lang w:val="en-CA"/>
        </w:rPr>
        <w:t xml:space="preserve"> </w:t>
      </w:r>
      <w:r w:rsidR="005C0D7E" w:rsidRPr="00CF4E9F">
        <w:rPr>
          <w:lang w:val="en-CA"/>
        </w:rPr>
        <w:t>Sometimes it is impossible to conclude that the legislature did not intend to authorize the infringing conduct</w:t>
      </w:r>
      <w:r w:rsidR="00586F52">
        <w:rPr>
          <w:lang w:val="en-CA"/>
        </w:rPr>
        <w:t>,</w:t>
      </w:r>
      <w:r w:rsidR="005C0D7E" w:rsidRPr="00CF4E9F">
        <w:rPr>
          <w:rStyle w:val="Appelnotedebasdep"/>
          <w:lang w:val="en-CA"/>
        </w:rPr>
        <w:footnoteReference w:id="66"/>
      </w:r>
      <w:r w:rsidR="005C0D7E" w:rsidRPr="00CF4E9F">
        <w:rPr>
          <w:lang w:val="en-CA"/>
        </w:rPr>
        <w:t xml:space="preserve"> or </w:t>
      </w:r>
      <w:r w:rsidR="00586F52">
        <w:rPr>
          <w:lang w:val="en-CA"/>
        </w:rPr>
        <w:t xml:space="preserve">it is impossible </w:t>
      </w:r>
      <w:r w:rsidR="005C0D7E" w:rsidRPr="00CF4E9F">
        <w:rPr>
          <w:lang w:val="en-CA"/>
        </w:rPr>
        <w:t>to interpret legislation (</w:t>
      </w:r>
      <w:r w:rsidR="00586F52">
        <w:rPr>
          <w:lang w:val="en-CA"/>
        </w:rPr>
        <w:t xml:space="preserve">so as </w:t>
      </w:r>
      <w:r w:rsidR="005C0D7E" w:rsidRPr="00CF4E9F">
        <w:rPr>
          <w:lang w:val="en-CA"/>
        </w:rPr>
        <w:t>to keep it within the bounds of the Constitution) without intruding on the legislature’s role.</w:t>
      </w:r>
      <w:r w:rsidR="0043013D" w:rsidRPr="00CF4E9F">
        <w:rPr>
          <w:lang w:val="en-CA"/>
        </w:rPr>
        <w:t xml:space="preserve"> </w:t>
      </w:r>
      <w:r w:rsidR="00950E2C">
        <w:rPr>
          <w:lang w:val="en-CA"/>
        </w:rPr>
        <w:t>I</w:t>
      </w:r>
      <w:r w:rsidR="00950E2C" w:rsidRPr="00CF4E9F">
        <w:rPr>
          <w:lang w:val="en-CA"/>
        </w:rPr>
        <w:t xml:space="preserve">n </w:t>
      </w:r>
      <w:r w:rsidR="00950E2C" w:rsidRPr="00CF4E9F">
        <w:rPr>
          <w:i/>
          <w:lang w:val="en-CA"/>
        </w:rPr>
        <w:t>Hunter v. Southam Inc.</w:t>
      </w:r>
      <w:r w:rsidR="00950E2C">
        <w:rPr>
          <w:iCs/>
          <w:lang w:val="en-CA"/>
        </w:rPr>
        <w:t xml:space="preserve">, </w:t>
      </w:r>
      <w:r w:rsidR="005C0D7E" w:rsidRPr="00CF4E9F">
        <w:rPr>
          <w:lang w:val="en-CA"/>
        </w:rPr>
        <w:t>Dickson</w:t>
      </w:r>
      <w:r w:rsidR="00B9322F" w:rsidRPr="00CF4E9F">
        <w:rPr>
          <w:lang w:val="en-CA"/>
        </w:rPr>
        <w:t>,</w:t>
      </w:r>
      <w:r w:rsidR="005C0D7E" w:rsidRPr="00CF4E9F">
        <w:rPr>
          <w:lang w:val="en-CA"/>
        </w:rPr>
        <w:t xml:space="preserve"> J. stated the following on this subject</w:t>
      </w:r>
      <w:r w:rsidR="005A4E85" w:rsidRPr="00CF4E9F">
        <w:rPr>
          <w:lang w:val="en-CA"/>
        </w:rPr>
        <w:t>:</w:t>
      </w:r>
    </w:p>
    <w:p w14:paraId="09A625F0" w14:textId="4E92B0F0" w:rsidR="005A1C52" w:rsidRPr="00CF4E9F" w:rsidRDefault="00304EF2" w:rsidP="005A1C52">
      <w:pPr>
        <w:pStyle w:val="Citationenretrait"/>
        <w:rPr>
          <w:lang w:val="en-CA"/>
        </w:rPr>
      </w:pPr>
      <w:r w:rsidRPr="00CF4E9F">
        <w:rPr>
          <w:rFonts w:cs="Arial"/>
          <w:color w:val="000000"/>
          <w:lang w:val="en-CA"/>
        </w:rPr>
        <w:t>While the courts are guardians of the Constitution and of individuals’ rights under it, it is the legislature’s responsibility to enact legislation that embodies appropriate safeguards to comply with the Constitution’s requirements. It should not fall to the courts to fill in the details that will render legislative lacunae constitutional.</w:t>
      </w:r>
      <w:r w:rsidR="0043013D" w:rsidRPr="00CF4E9F">
        <w:rPr>
          <w:rStyle w:val="Appelnotedebasdep"/>
          <w:szCs w:val="18"/>
          <w:lang w:val="en-CA"/>
        </w:rPr>
        <w:footnoteReference w:id="67"/>
      </w:r>
    </w:p>
    <w:p w14:paraId="460A1944" w14:textId="4B30F34C" w:rsidR="005A1C52" w:rsidRPr="00CF4E9F" w:rsidRDefault="003241C9" w:rsidP="00D80997">
      <w:pPr>
        <w:pStyle w:val="Paragraphe"/>
        <w:spacing w:line="280" w:lineRule="exact"/>
        <w:rPr>
          <w:lang w:val="en-CA"/>
        </w:rPr>
      </w:pPr>
      <w:r w:rsidRPr="00CF4E9F">
        <w:rPr>
          <w:lang w:val="en-CA"/>
        </w:rPr>
        <w:t xml:space="preserve">It therefore happens that </w:t>
      </w:r>
      <w:r w:rsidR="00F93401" w:rsidRPr="00CF4E9F">
        <w:rPr>
          <w:lang w:val="en-CA"/>
        </w:rPr>
        <w:t xml:space="preserve">statutory provisions or </w:t>
      </w:r>
      <w:r w:rsidR="003F08E0">
        <w:rPr>
          <w:lang w:val="en-CA"/>
        </w:rPr>
        <w:t xml:space="preserve">legal rules </w:t>
      </w:r>
      <w:r w:rsidRPr="00CF4E9F">
        <w:rPr>
          <w:lang w:val="en-CA"/>
        </w:rPr>
        <w:t xml:space="preserve">conferring discretion will necessarily infringe </w:t>
      </w:r>
      <w:r w:rsidRPr="00CF4E9F">
        <w:rPr>
          <w:i/>
          <w:lang w:val="en-CA"/>
        </w:rPr>
        <w:t>Charter</w:t>
      </w:r>
      <w:r w:rsidRPr="00CF4E9F">
        <w:rPr>
          <w:lang w:val="en-CA"/>
        </w:rPr>
        <w:t xml:space="preserve"> rights notwithstanding that they do not expressly authorize this infringement.</w:t>
      </w:r>
      <w:r w:rsidRPr="00CF4E9F">
        <w:rPr>
          <w:rStyle w:val="Appelnotedebasdep"/>
          <w:lang w:val="en-CA"/>
        </w:rPr>
        <w:footnoteReference w:id="68"/>
      </w:r>
      <w:r w:rsidR="00DB22EB" w:rsidRPr="00CF4E9F">
        <w:rPr>
          <w:lang w:val="en-CA"/>
        </w:rPr>
        <w:t xml:space="preserve"> </w:t>
      </w:r>
      <w:r w:rsidRPr="00CF4E9F">
        <w:rPr>
          <w:lang w:val="en-CA"/>
        </w:rPr>
        <w:t xml:space="preserve">In such cases, it will generally be the </w:t>
      </w:r>
      <w:r w:rsidR="006E26DE">
        <w:rPr>
          <w:lang w:val="en-CA"/>
        </w:rPr>
        <w:t xml:space="preserve">provision </w:t>
      </w:r>
      <w:r w:rsidR="00DE313E">
        <w:rPr>
          <w:lang w:val="en-CA"/>
        </w:rPr>
        <w:t>or legal rule</w:t>
      </w:r>
      <w:r w:rsidR="00DE313E" w:rsidRPr="00CF4E9F">
        <w:rPr>
          <w:lang w:val="en-CA"/>
        </w:rPr>
        <w:t xml:space="preserve"> </w:t>
      </w:r>
      <w:r w:rsidRPr="00CF4E9F">
        <w:rPr>
          <w:lang w:val="en-CA"/>
        </w:rPr>
        <w:t xml:space="preserve">itself that attracts </w:t>
      </w:r>
      <w:r w:rsidRPr="00CF4E9F">
        <w:rPr>
          <w:i/>
          <w:lang w:val="en-CA"/>
        </w:rPr>
        <w:t>Charter</w:t>
      </w:r>
      <w:r w:rsidRPr="00CF4E9F">
        <w:rPr>
          <w:lang w:val="en-CA"/>
        </w:rPr>
        <w:t xml:space="preserve"> scrutiny.</w:t>
      </w:r>
      <w:r w:rsidRPr="00CF4E9F">
        <w:rPr>
          <w:rStyle w:val="Appelnotedebasdep"/>
          <w:lang w:val="en-CA"/>
        </w:rPr>
        <w:footnoteReference w:id="69"/>
      </w:r>
    </w:p>
    <w:p w14:paraId="77398AD9" w14:textId="2FF287D2" w:rsidR="005A1C52" w:rsidRPr="00CF4E9F" w:rsidRDefault="003241C9" w:rsidP="00D80997">
      <w:pPr>
        <w:pStyle w:val="Paragraphe"/>
        <w:spacing w:line="280" w:lineRule="exact"/>
        <w:rPr>
          <w:lang w:val="en-CA"/>
        </w:rPr>
      </w:pPr>
      <w:r w:rsidRPr="00CF4E9F">
        <w:rPr>
          <w:lang w:val="en-CA"/>
        </w:rPr>
        <w:t xml:space="preserve">The fact that the challenged </w:t>
      </w:r>
      <w:r w:rsidR="0008734F">
        <w:rPr>
          <w:lang w:val="en-CA"/>
        </w:rPr>
        <w:t>provision</w:t>
      </w:r>
      <w:r w:rsidR="003E2429" w:rsidRPr="00CF4E9F">
        <w:rPr>
          <w:lang w:val="en-CA"/>
        </w:rPr>
        <w:t xml:space="preserve"> </w:t>
      </w:r>
      <w:r w:rsidR="008B3457" w:rsidRPr="00CF4E9F">
        <w:rPr>
          <w:lang w:val="en-CA"/>
        </w:rPr>
        <w:t xml:space="preserve">confers discretion on </w:t>
      </w:r>
      <w:r w:rsidRPr="00CF4E9F">
        <w:rPr>
          <w:lang w:val="en-CA"/>
        </w:rPr>
        <w:t>officer</w:t>
      </w:r>
      <w:r w:rsidR="00EB24A8">
        <w:rPr>
          <w:lang w:val="en-CA"/>
        </w:rPr>
        <w:t>s</w:t>
      </w:r>
      <w:r w:rsidRPr="00CF4E9F">
        <w:rPr>
          <w:lang w:val="en-CA"/>
        </w:rPr>
        <w:t xml:space="preserve"> or mandatar</w:t>
      </w:r>
      <w:r w:rsidR="00EB24A8">
        <w:rPr>
          <w:lang w:val="en-CA"/>
        </w:rPr>
        <w:t>ies</w:t>
      </w:r>
      <w:r w:rsidRPr="00CF4E9F">
        <w:rPr>
          <w:lang w:val="en-CA"/>
        </w:rPr>
        <w:t xml:space="preserve"> of the state not to </w:t>
      </w:r>
      <w:r w:rsidR="008B3457" w:rsidRPr="00CF4E9F">
        <w:rPr>
          <w:lang w:val="en-CA"/>
        </w:rPr>
        <w:t xml:space="preserve">apply </w:t>
      </w:r>
      <w:r w:rsidRPr="00CF4E9F">
        <w:rPr>
          <w:lang w:val="en-CA"/>
        </w:rPr>
        <w:t>the l</w:t>
      </w:r>
      <w:r w:rsidR="003E2429">
        <w:rPr>
          <w:lang w:val="en-CA"/>
        </w:rPr>
        <w:t>egislation</w:t>
      </w:r>
      <w:r w:rsidRPr="00CF4E9F">
        <w:rPr>
          <w:lang w:val="en-CA"/>
        </w:rPr>
        <w:t xml:space="preserve"> “in those cases where, in </w:t>
      </w:r>
      <w:r w:rsidR="00DE313E">
        <w:rPr>
          <w:lang w:val="en-CA"/>
        </w:rPr>
        <w:t>[</w:t>
      </w:r>
      <w:r w:rsidR="00231C8A">
        <w:rPr>
          <w:lang w:val="en-CA"/>
        </w:rPr>
        <w:t>their</w:t>
      </w:r>
      <w:r w:rsidR="00DE313E">
        <w:rPr>
          <w:lang w:val="en-CA"/>
        </w:rPr>
        <w:t>]</w:t>
      </w:r>
      <w:r w:rsidRPr="00CF4E9F">
        <w:rPr>
          <w:lang w:val="en-CA"/>
        </w:rPr>
        <w:t xml:space="preserve"> opinion, its application would be a violation of the </w:t>
      </w:r>
      <w:r w:rsidRPr="00CF4E9F">
        <w:rPr>
          <w:i/>
          <w:lang w:val="en-CA"/>
        </w:rPr>
        <w:t>Charter</w:t>
      </w:r>
      <w:r w:rsidRPr="00CF4E9F">
        <w:rPr>
          <w:lang w:val="en-CA"/>
        </w:rPr>
        <w:t>”</w:t>
      </w:r>
      <w:r w:rsidRPr="00CF4E9F">
        <w:rPr>
          <w:rStyle w:val="Appelnotedebasdep"/>
          <w:lang w:val="en-CA"/>
        </w:rPr>
        <w:footnoteReference w:id="70"/>
      </w:r>
      <w:r w:rsidRPr="00CF4E9F">
        <w:rPr>
          <w:lang w:val="en-CA"/>
        </w:rPr>
        <w:t xml:space="preserve"> is not sufficient on its own to save it.</w:t>
      </w:r>
      <w:r w:rsidRPr="00CF4E9F">
        <w:rPr>
          <w:rStyle w:val="Appelnotedebasdep"/>
          <w:lang w:val="en-CA"/>
        </w:rPr>
        <w:footnoteReference w:id="71"/>
      </w:r>
      <w:r w:rsidR="0043013D" w:rsidRPr="00CF4E9F">
        <w:rPr>
          <w:lang w:val="en-CA"/>
        </w:rPr>
        <w:t xml:space="preserve"> </w:t>
      </w:r>
      <w:r w:rsidR="00511D5A" w:rsidRPr="00CF4E9F">
        <w:rPr>
          <w:lang w:val="en-CA"/>
        </w:rPr>
        <w:t xml:space="preserve">The trial judge relied on </w:t>
      </w:r>
      <w:r w:rsidR="00511D5A" w:rsidRPr="00CF4E9F">
        <w:rPr>
          <w:i/>
          <w:lang w:val="en-CA"/>
        </w:rPr>
        <w:t>Morgentaler,</w:t>
      </w:r>
      <w:r w:rsidR="00511D5A" w:rsidRPr="00CF4E9F">
        <w:rPr>
          <w:rStyle w:val="Appelnotedebasdep"/>
          <w:lang w:val="en-CA"/>
        </w:rPr>
        <w:footnoteReference w:id="72"/>
      </w:r>
      <w:r w:rsidR="00511D5A" w:rsidRPr="00CF4E9F">
        <w:rPr>
          <w:lang w:val="en-CA"/>
        </w:rPr>
        <w:t xml:space="preserve"> </w:t>
      </w:r>
      <w:r w:rsidR="00511D5A" w:rsidRPr="00CF4E9F">
        <w:rPr>
          <w:i/>
          <w:lang w:val="en-CA"/>
        </w:rPr>
        <w:t>Hunter</w:t>
      </w:r>
      <w:r w:rsidR="00511D5A" w:rsidRPr="00CF4E9F">
        <w:rPr>
          <w:lang w:val="en-CA"/>
        </w:rPr>
        <w:t xml:space="preserve">, </w:t>
      </w:r>
      <w:r w:rsidR="00511D5A" w:rsidRPr="00CF4E9F">
        <w:rPr>
          <w:i/>
          <w:lang w:val="en-CA"/>
        </w:rPr>
        <w:t>Bain</w:t>
      </w:r>
      <w:r w:rsidR="008B3457" w:rsidRPr="00CF4E9F">
        <w:rPr>
          <w:i/>
          <w:lang w:val="en-CA"/>
        </w:rPr>
        <w:t>,</w:t>
      </w:r>
      <w:r w:rsidR="00511D5A" w:rsidRPr="00CF4E9F">
        <w:rPr>
          <w:i/>
          <w:lang w:val="en-CA"/>
        </w:rPr>
        <w:t xml:space="preserve"> </w:t>
      </w:r>
      <w:r w:rsidR="00511D5A" w:rsidRPr="00CF4E9F">
        <w:rPr>
          <w:lang w:val="en-CA"/>
        </w:rPr>
        <w:t>and</w:t>
      </w:r>
      <w:r w:rsidR="00511D5A" w:rsidRPr="00CF4E9F">
        <w:rPr>
          <w:i/>
          <w:lang w:val="en-CA"/>
        </w:rPr>
        <w:t xml:space="preserve"> Nur,</w:t>
      </w:r>
      <w:r w:rsidR="00511D5A" w:rsidRPr="00CF4E9F">
        <w:rPr>
          <w:rStyle w:val="Appelnotedebasdep"/>
          <w:lang w:val="en-CA"/>
        </w:rPr>
        <w:footnoteReference w:id="73"/>
      </w:r>
      <w:r w:rsidR="00511D5A" w:rsidRPr="00CF4E9F">
        <w:rPr>
          <w:lang w:val="en-CA"/>
        </w:rPr>
        <w:t xml:space="preserve"> which illustrate these principles.</w:t>
      </w:r>
    </w:p>
    <w:p w14:paraId="75908F6E" w14:textId="5FB8A4C4" w:rsidR="005A1C52" w:rsidRPr="00CF4E9F" w:rsidRDefault="006D446B" w:rsidP="00D80997">
      <w:pPr>
        <w:pStyle w:val="Paragraphe"/>
        <w:spacing w:line="280" w:lineRule="exact"/>
        <w:rPr>
          <w:lang w:val="en-CA"/>
        </w:rPr>
      </w:pPr>
      <w:r w:rsidRPr="00CF4E9F">
        <w:rPr>
          <w:lang w:val="en-CA"/>
        </w:rPr>
        <w:t xml:space="preserve">In </w:t>
      </w:r>
      <w:r w:rsidRPr="00CF4E9F">
        <w:rPr>
          <w:i/>
          <w:lang w:val="en-CA"/>
        </w:rPr>
        <w:t>Morgentaler</w:t>
      </w:r>
      <w:r w:rsidRPr="00CF4E9F">
        <w:rPr>
          <w:lang w:val="en-CA"/>
        </w:rPr>
        <w:t xml:space="preserve">, the Supreme Court had to determine whether the </w:t>
      </w:r>
      <w:r w:rsidRPr="00CF4E9F">
        <w:rPr>
          <w:i/>
          <w:lang w:val="en-CA"/>
        </w:rPr>
        <w:t>Criminal Code</w:t>
      </w:r>
      <w:r w:rsidRPr="00CF4E9F">
        <w:rPr>
          <w:lang w:val="en-CA"/>
        </w:rPr>
        <w:t xml:space="preserve"> provisions on abortion infringed </w:t>
      </w:r>
      <w:r w:rsidR="00162E51">
        <w:rPr>
          <w:lang w:val="en-CA"/>
        </w:rPr>
        <w:t>s. </w:t>
      </w:r>
      <w:r w:rsidRPr="00CF4E9F">
        <w:rPr>
          <w:lang w:val="en-CA"/>
        </w:rPr>
        <w:t xml:space="preserve">7 of the </w:t>
      </w:r>
      <w:r w:rsidRPr="00CF4E9F">
        <w:rPr>
          <w:i/>
          <w:lang w:val="en-CA"/>
        </w:rPr>
        <w:t>Charter</w:t>
      </w:r>
      <w:r w:rsidRPr="00CF4E9F">
        <w:rPr>
          <w:lang w:val="en-CA"/>
        </w:rPr>
        <w:t>.</w:t>
      </w:r>
      <w:r w:rsidR="0043013D" w:rsidRPr="00CF4E9F">
        <w:rPr>
          <w:lang w:val="en-CA"/>
        </w:rPr>
        <w:t xml:space="preserve"> </w:t>
      </w:r>
      <w:r w:rsidRPr="00CF4E9F">
        <w:rPr>
          <w:lang w:val="en-CA"/>
        </w:rPr>
        <w:t xml:space="preserve">The Court analyzed the effects of </w:t>
      </w:r>
      <w:r w:rsidR="00162E51">
        <w:rPr>
          <w:lang w:val="en-CA"/>
        </w:rPr>
        <w:t>s. </w:t>
      </w:r>
      <w:r w:rsidRPr="00CF4E9F">
        <w:rPr>
          <w:lang w:val="en-CA"/>
        </w:rPr>
        <w:t>251</w:t>
      </w:r>
      <w:r w:rsidR="0030762F" w:rsidRPr="0030762F">
        <w:rPr>
          <w:i/>
          <w:lang w:val="en-CA"/>
        </w:rPr>
        <w:t> Cr.C.</w:t>
      </w:r>
      <w:r w:rsidRPr="00CF4E9F">
        <w:rPr>
          <w:lang w:val="en-CA"/>
        </w:rPr>
        <w:t xml:space="preserve"> which, at the time, criminalized abortion and created a “defence” for therapeutic abortions.</w:t>
      </w:r>
      <w:r w:rsidR="0043013D" w:rsidRPr="00CF4E9F">
        <w:rPr>
          <w:lang w:val="en-CA"/>
        </w:rPr>
        <w:t xml:space="preserve"> </w:t>
      </w:r>
      <w:r w:rsidRPr="00CF4E9F">
        <w:rPr>
          <w:lang w:val="en-CA"/>
        </w:rPr>
        <w:t>Dickson, C.J., for the majority, stated that “</w:t>
      </w:r>
      <w:r w:rsidRPr="00CF4E9F">
        <w:rPr>
          <w:rFonts w:cs="Arial"/>
          <w:lang w:val="en-CA"/>
        </w:rPr>
        <w:t>[</w:t>
      </w:r>
      <w:r w:rsidRPr="00CF4E9F">
        <w:rPr>
          <w:lang w:val="en-CA"/>
        </w:rPr>
        <w:t>a</w:t>
      </w:r>
      <w:r w:rsidRPr="00CF4E9F">
        <w:rPr>
          <w:rFonts w:cs="Arial"/>
          <w:lang w:val="en-CA"/>
        </w:rPr>
        <w:t>]</w:t>
      </w:r>
      <w:r w:rsidRPr="00CF4E9F">
        <w:rPr>
          <w:lang w:val="en-CA"/>
        </w:rPr>
        <w:t xml:space="preserve">s is so often the case in matters of interpretation, however, the straightforward reading of this statutory scheme </w:t>
      </w:r>
      <w:r w:rsidRPr="00CF4E9F">
        <w:rPr>
          <w:lang w:val="en-CA"/>
        </w:rPr>
        <w:lastRenderedPageBreak/>
        <w:t>is not fully revealing.</w:t>
      </w:r>
      <w:r w:rsidR="0043013D" w:rsidRPr="00CF4E9F">
        <w:rPr>
          <w:lang w:val="en-CA"/>
        </w:rPr>
        <w:t xml:space="preserve"> </w:t>
      </w:r>
      <w:r w:rsidRPr="00CF4E9F">
        <w:rPr>
          <w:lang w:val="en-CA"/>
        </w:rPr>
        <w:t>In order to understand the true nature and scope of s.</w:t>
      </w:r>
      <w:r w:rsidR="0043013D" w:rsidRPr="00CF4E9F">
        <w:rPr>
          <w:lang w:val="en-CA"/>
        </w:rPr>
        <w:t xml:space="preserve"> </w:t>
      </w:r>
      <w:r w:rsidRPr="00CF4E9F">
        <w:rPr>
          <w:lang w:val="en-CA"/>
        </w:rPr>
        <w:t>251, it is necessary to investigate the practical operation of the provisions</w:t>
      </w:r>
      <w:r w:rsidR="00923798" w:rsidRPr="00CF4E9F">
        <w:rPr>
          <w:lang w:val="en-CA"/>
        </w:rPr>
        <w:t>.</w:t>
      </w:r>
      <w:r w:rsidRPr="00CF4E9F">
        <w:rPr>
          <w:lang w:val="en-CA"/>
        </w:rPr>
        <w:t>”</w:t>
      </w:r>
      <w:r w:rsidRPr="00CF4E9F">
        <w:rPr>
          <w:rStyle w:val="Appelnotedebasdep"/>
          <w:lang w:val="en-CA"/>
        </w:rPr>
        <w:footnoteReference w:id="74"/>
      </w:r>
      <w:r w:rsidR="0043013D" w:rsidRPr="00CF4E9F">
        <w:rPr>
          <w:lang w:val="en-CA"/>
        </w:rPr>
        <w:t xml:space="preserve"> </w:t>
      </w:r>
    </w:p>
    <w:p w14:paraId="45DB5EAE" w14:textId="051C630E" w:rsidR="005A1C52" w:rsidRPr="00CF4E9F" w:rsidRDefault="006D446B" w:rsidP="00D80997">
      <w:pPr>
        <w:pStyle w:val="Paragraphe"/>
        <w:spacing w:line="280" w:lineRule="exact"/>
        <w:rPr>
          <w:lang w:val="en-CA"/>
        </w:rPr>
      </w:pPr>
      <w:r w:rsidRPr="00CF4E9F">
        <w:rPr>
          <w:lang w:val="en-CA"/>
        </w:rPr>
        <w:t>Dickson</w:t>
      </w:r>
      <w:r w:rsidR="00B0496E" w:rsidRPr="00CF4E9F">
        <w:rPr>
          <w:lang w:val="en-CA"/>
        </w:rPr>
        <w:t>,</w:t>
      </w:r>
      <w:r w:rsidRPr="00CF4E9F">
        <w:rPr>
          <w:lang w:val="en-CA"/>
        </w:rPr>
        <w:t xml:space="preserve"> C.J. therefore </w:t>
      </w:r>
      <w:r w:rsidR="00923798" w:rsidRPr="00CF4E9F">
        <w:rPr>
          <w:lang w:val="en-CA"/>
        </w:rPr>
        <w:t>investigat</w:t>
      </w:r>
      <w:r w:rsidR="00311332" w:rsidRPr="00CF4E9F">
        <w:rPr>
          <w:lang w:val="en-CA"/>
        </w:rPr>
        <w:t>ed</w:t>
      </w:r>
      <w:r w:rsidRPr="00CF4E9F">
        <w:rPr>
          <w:lang w:val="en-CA"/>
        </w:rPr>
        <w:t xml:space="preserve"> the evidence on the law’s operation across Canada.</w:t>
      </w:r>
      <w:r w:rsidR="0043013D" w:rsidRPr="00CF4E9F">
        <w:rPr>
          <w:lang w:val="en-CA"/>
        </w:rPr>
        <w:t xml:space="preserve"> </w:t>
      </w:r>
      <w:r w:rsidRPr="00CF4E9F">
        <w:rPr>
          <w:lang w:val="en-CA"/>
        </w:rPr>
        <w:t>He acknowledged that “</w:t>
      </w:r>
      <w:r w:rsidRPr="00CF4E9F">
        <w:rPr>
          <w:rFonts w:cs="Arial"/>
          <w:lang w:val="en-CA"/>
        </w:rPr>
        <w:t>[</w:t>
      </w:r>
      <w:r w:rsidRPr="00CF4E9F">
        <w:rPr>
          <w:lang w:val="en-CA"/>
        </w:rPr>
        <w:t>u</w:t>
      </w:r>
      <w:r w:rsidRPr="00CF4E9F">
        <w:rPr>
          <w:rFonts w:cs="Arial"/>
          <w:lang w:val="en-CA"/>
        </w:rPr>
        <w:t>]</w:t>
      </w:r>
      <w:r w:rsidRPr="00CF4E9F">
        <w:rPr>
          <w:lang w:val="en-CA"/>
        </w:rPr>
        <w:t>nfair functioning of the law could be caused by external forces which do not relate to the law itself</w:t>
      </w:r>
      <w:r w:rsidR="00923798" w:rsidRPr="00CF4E9F">
        <w:rPr>
          <w:lang w:val="en-CA"/>
        </w:rPr>
        <w:t>.</w:t>
      </w:r>
      <w:r w:rsidRPr="00CF4E9F">
        <w:rPr>
          <w:lang w:val="en-CA"/>
        </w:rPr>
        <w:t>”</w:t>
      </w:r>
      <w:r w:rsidRPr="00CF4E9F">
        <w:rPr>
          <w:rStyle w:val="Appelnotedebasdep"/>
          <w:lang w:val="en-CA"/>
        </w:rPr>
        <w:footnoteReference w:id="75"/>
      </w:r>
      <w:r w:rsidR="00241521" w:rsidRPr="00CF4E9F">
        <w:rPr>
          <w:lang w:val="en-CA"/>
        </w:rPr>
        <w:t xml:space="preserve"> </w:t>
      </w:r>
      <w:r w:rsidRPr="00CF4E9F">
        <w:rPr>
          <w:lang w:val="en-CA"/>
        </w:rPr>
        <w:t xml:space="preserve">He nonetheless concluded from the evidence that many of the most serious problems with the functioning of </w:t>
      </w:r>
      <w:r w:rsidR="00162E51">
        <w:rPr>
          <w:lang w:val="en-CA"/>
        </w:rPr>
        <w:t>s. </w:t>
      </w:r>
      <w:r w:rsidRPr="00CF4E9F">
        <w:rPr>
          <w:lang w:val="en-CA"/>
        </w:rPr>
        <w:t>251</w:t>
      </w:r>
      <w:r w:rsidR="0030762F" w:rsidRPr="0030762F">
        <w:rPr>
          <w:i/>
          <w:lang w:val="en-CA"/>
        </w:rPr>
        <w:t> Cr.C.</w:t>
      </w:r>
      <w:r w:rsidRPr="00CF4E9F">
        <w:rPr>
          <w:lang w:val="en-CA"/>
        </w:rPr>
        <w:t xml:space="preserve"> </w:t>
      </w:r>
      <w:r w:rsidR="003C7EE7">
        <w:rPr>
          <w:lang w:val="en-CA"/>
        </w:rPr>
        <w:t xml:space="preserve">were </w:t>
      </w:r>
      <w:r w:rsidRPr="00CF4E9F">
        <w:rPr>
          <w:lang w:val="en-CA"/>
        </w:rPr>
        <w:t>created by procedural and administrative requirements established in the law</w:t>
      </w:r>
      <w:r w:rsidR="00923798" w:rsidRPr="00CF4E9F">
        <w:rPr>
          <w:lang w:val="en-CA"/>
        </w:rPr>
        <w:t xml:space="preserve"> itself</w:t>
      </w:r>
      <w:r w:rsidRPr="00CF4E9F">
        <w:rPr>
          <w:lang w:val="en-CA"/>
        </w:rPr>
        <w:t>.</w:t>
      </w:r>
      <w:r w:rsidR="0043013D" w:rsidRPr="00CF4E9F">
        <w:rPr>
          <w:lang w:val="en-CA"/>
        </w:rPr>
        <w:t xml:space="preserve"> </w:t>
      </w:r>
      <w:r w:rsidRPr="00CF4E9F">
        <w:rPr>
          <w:lang w:val="en-CA"/>
        </w:rPr>
        <w:t>He noted the following:</w:t>
      </w:r>
    </w:p>
    <w:p w14:paraId="0BCC0C76" w14:textId="0D1BA5A3" w:rsidR="005A1C52" w:rsidRPr="00CF4E9F" w:rsidRDefault="00304EF2" w:rsidP="005A1C52">
      <w:pPr>
        <w:pStyle w:val="Citationenretrait"/>
        <w:rPr>
          <w:lang w:val="en-CA"/>
        </w:rPr>
      </w:pPr>
      <w:r w:rsidRPr="00CF4E9F">
        <w:rPr>
          <w:color w:val="000000"/>
          <w:szCs w:val="22"/>
          <w:lang w:val="en-CA"/>
        </w:rPr>
        <w:t>In other words, the seemingly neutral requirement of </w:t>
      </w:r>
      <w:r w:rsidRPr="00CF4E9F">
        <w:rPr>
          <w:rStyle w:val="reflex2-link"/>
          <w:color w:val="000000"/>
          <w:szCs w:val="22"/>
          <w:lang w:val="en-CA"/>
        </w:rPr>
        <w:t>s. 251(4)</w:t>
      </w:r>
      <w:r w:rsidRPr="00CF4E9F">
        <w:rPr>
          <w:color w:val="000000"/>
          <w:szCs w:val="22"/>
          <w:lang w:val="en-CA"/>
        </w:rPr>
        <w:t> that at least four physicians be available to authorize and to perform an abortion meant in practice that abortions would be absolutely unavailable in almost one quarter of all hospitals in Canada</w:t>
      </w:r>
      <w:r w:rsidR="0043013D" w:rsidRPr="00CF4E9F">
        <w:rPr>
          <w:lang w:val="en-CA"/>
        </w:rPr>
        <w:t>.</w:t>
      </w:r>
      <w:r w:rsidR="0043013D" w:rsidRPr="00CF4E9F">
        <w:rPr>
          <w:rStyle w:val="Appelnotedebasdep"/>
          <w:lang w:val="en-CA"/>
        </w:rPr>
        <w:footnoteReference w:id="76"/>
      </w:r>
    </w:p>
    <w:p w14:paraId="2E06B6C7" w14:textId="42962ADD" w:rsidR="005A1C52" w:rsidRPr="00CF4E9F" w:rsidRDefault="006D446B" w:rsidP="00D80997">
      <w:pPr>
        <w:pStyle w:val="Paragraphe"/>
        <w:spacing w:line="280" w:lineRule="exact"/>
        <w:rPr>
          <w:lang w:val="en-CA"/>
        </w:rPr>
      </w:pPr>
      <w:r w:rsidRPr="00CF4E9F">
        <w:rPr>
          <w:lang w:val="en-CA"/>
        </w:rPr>
        <w:t xml:space="preserve">Other administrative and procedural requirements arising from </w:t>
      </w:r>
      <w:r w:rsidR="00162E51">
        <w:rPr>
          <w:lang w:val="en-CA"/>
        </w:rPr>
        <w:t>s. </w:t>
      </w:r>
      <w:r w:rsidRPr="00CF4E9F">
        <w:rPr>
          <w:lang w:val="en-CA"/>
        </w:rPr>
        <w:t>251(4)</w:t>
      </w:r>
      <w:r w:rsidR="0030762F" w:rsidRPr="0030762F">
        <w:rPr>
          <w:i/>
          <w:lang w:val="en-CA"/>
        </w:rPr>
        <w:t> Cr.C.</w:t>
      </w:r>
      <w:r w:rsidRPr="00CF4E9F">
        <w:rPr>
          <w:lang w:val="en-CA"/>
        </w:rPr>
        <w:t xml:space="preserve"> reduced the availability of therapeutic abortions, including in particular the failure to provide an adequate standard for physician committees when deciding whether to grant a therapeutic abortion. Under </w:t>
      </w:r>
      <w:r w:rsidR="00162E51">
        <w:rPr>
          <w:lang w:val="en-CA"/>
        </w:rPr>
        <w:t>s. </w:t>
      </w:r>
      <w:r w:rsidRPr="00CF4E9F">
        <w:rPr>
          <w:lang w:val="en-CA"/>
        </w:rPr>
        <w:t xml:space="preserve">251(4), the therapeutic abortion committee could grant a therapeutic abortion where it determined that a continuation of a pregnancy would be likely to endanger the “life or health” of the pregnant woman. </w:t>
      </w:r>
      <w:r w:rsidR="00D6587E">
        <w:rPr>
          <w:lang w:val="en-CA"/>
        </w:rPr>
        <w:t>Because t</w:t>
      </w:r>
      <w:r w:rsidRPr="00CF4E9F">
        <w:rPr>
          <w:lang w:val="en-CA"/>
        </w:rPr>
        <w:t xml:space="preserve">he term “health” used in </w:t>
      </w:r>
      <w:r w:rsidR="00162E51">
        <w:rPr>
          <w:lang w:val="en-CA"/>
        </w:rPr>
        <w:t>s. </w:t>
      </w:r>
      <w:r w:rsidRPr="00CF4E9F">
        <w:rPr>
          <w:lang w:val="en-CA"/>
        </w:rPr>
        <w:t>251(4) was not defined</w:t>
      </w:r>
      <w:r w:rsidR="00AF55F7" w:rsidRPr="00CF4E9F">
        <w:rPr>
          <w:lang w:val="en-CA"/>
        </w:rPr>
        <w:t>,</w:t>
      </w:r>
      <w:r w:rsidRPr="00CF4E9F">
        <w:rPr>
          <w:lang w:val="en-CA"/>
        </w:rPr>
        <w:t xml:space="preserve"> </w:t>
      </w:r>
      <w:r w:rsidR="00DD32CA">
        <w:rPr>
          <w:lang w:val="en-CA"/>
        </w:rPr>
        <w:t>it</w:t>
      </w:r>
      <w:r w:rsidR="00E55421" w:rsidRPr="00CF4E9F">
        <w:rPr>
          <w:lang w:val="en-CA"/>
        </w:rPr>
        <w:t xml:space="preserve"> </w:t>
      </w:r>
      <w:r w:rsidR="00D6587E">
        <w:rPr>
          <w:lang w:val="en-CA"/>
        </w:rPr>
        <w:t xml:space="preserve">was </w:t>
      </w:r>
      <w:r w:rsidRPr="00CF4E9F">
        <w:rPr>
          <w:lang w:val="en-CA"/>
        </w:rPr>
        <w:t>ambiguous, and committees across the country applied widely differing definitions.</w:t>
      </w:r>
      <w:r w:rsidRPr="00CF4E9F">
        <w:rPr>
          <w:rStyle w:val="Appelnotedebasdep"/>
          <w:lang w:val="en-CA"/>
        </w:rPr>
        <w:footnoteReference w:id="77"/>
      </w:r>
      <w:r w:rsidR="0043013D" w:rsidRPr="00CF4E9F">
        <w:rPr>
          <w:lang w:val="en-CA"/>
        </w:rPr>
        <w:t xml:space="preserve"> </w:t>
      </w:r>
      <w:r w:rsidRPr="00CF4E9F">
        <w:rPr>
          <w:lang w:val="en-CA"/>
        </w:rPr>
        <w:t xml:space="preserve">The Court concluded that the various problems </w:t>
      </w:r>
      <w:r w:rsidR="00D6587E">
        <w:rPr>
          <w:lang w:val="en-CA"/>
        </w:rPr>
        <w:t xml:space="preserve">in the </w:t>
      </w:r>
      <w:r w:rsidRPr="00CF4E9F">
        <w:rPr>
          <w:lang w:val="en-CA"/>
        </w:rPr>
        <w:t>appl</w:t>
      </w:r>
      <w:r w:rsidR="00D6587E">
        <w:rPr>
          <w:lang w:val="en-CA"/>
        </w:rPr>
        <w:t>ication of</w:t>
      </w:r>
      <w:r w:rsidRPr="00CF4E9F">
        <w:rPr>
          <w:lang w:val="en-CA"/>
        </w:rPr>
        <w:t xml:space="preserve"> this provision </w:t>
      </w:r>
      <w:r w:rsidR="00D6587E">
        <w:rPr>
          <w:lang w:val="en-CA"/>
        </w:rPr>
        <w:t xml:space="preserve">for access </w:t>
      </w:r>
      <w:r w:rsidRPr="00CF4E9F">
        <w:rPr>
          <w:lang w:val="en-CA"/>
        </w:rPr>
        <w:t>to</w:t>
      </w:r>
      <w:r w:rsidR="00187257">
        <w:rPr>
          <w:lang w:val="en-CA"/>
        </w:rPr>
        <w:t xml:space="preserve"> </w:t>
      </w:r>
      <w:r w:rsidRPr="00CF4E9F">
        <w:rPr>
          <w:lang w:val="en-CA"/>
        </w:rPr>
        <w:t>therapeutic abortions</w:t>
      </w:r>
      <w:r w:rsidR="00D26CD9">
        <w:rPr>
          <w:lang w:val="en-CA"/>
        </w:rPr>
        <w:t xml:space="preserve"> –</w:t>
      </w:r>
      <w:r w:rsidRPr="00CF4E9F">
        <w:rPr>
          <w:lang w:val="en-CA"/>
        </w:rPr>
        <w:t xml:space="preserve"> including the absence of any clear legal standard to be applied by the physician committees</w:t>
      </w:r>
      <w:r w:rsidR="00D26CD9">
        <w:rPr>
          <w:lang w:val="en-CA"/>
        </w:rPr>
        <w:t xml:space="preserve"> –</w:t>
      </w:r>
      <w:r w:rsidRPr="00CF4E9F">
        <w:rPr>
          <w:lang w:val="en-CA"/>
        </w:rPr>
        <w:t xml:space="preserve"> </w:t>
      </w:r>
      <w:r w:rsidR="00C74C07">
        <w:rPr>
          <w:lang w:val="en-CA"/>
        </w:rPr>
        <w:t>resulted in</w:t>
      </w:r>
      <w:r w:rsidR="00C74C07" w:rsidRPr="00CF4E9F">
        <w:rPr>
          <w:lang w:val="en-CA"/>
        </w:rPr>
        <w:t xml:space="preserve"> </w:t>
      </w:r>
      <w:r w:rsidRPr="00CF4E9F">
        <w:rPr>
          <w:lang w:val="en-CA"/>
        </w:rPr>
        <w:t>a failure to comply with the principles of fundamental justice.</w:t>
      </w:r>
      <w:r w:rsidRPr="00CF4E9F">
        <w:rPr>
          <w:rStyle w:val="Appelnotedebasdep"/>
          <w:lang w:val="en-CA"/>
        </w:rPr>
        <w:footnoteReference w:id="78"/>
      </w:r>
    </w:p>
    <w:p w14:paraId="529EB4B4" w14:textId="7E52D116" w:rsidR="005A1C52" w:rsidRPr="00CF4E9F" w:rsidRDefault="006D446B" w:rsidP="00D80997">
      <w:pPr>
        <w:pStyle w:val="Paragraphe"/>
        <w:spacing w:line="280" w:lineRule="exact"/>
        <w:rPr>
          <w:lang w:val="en-CA"/>
        </w:rPr>
      </w:pPr>
      <w:r w:rsidRPr="00CF4E9F">
        <w:rPr>
          <w:i/>
          <w:iCs/>
          <w:lang w:val="en-CA"/>
        </w:rPr>
        <w:t>Hunter</w:t>
      </w:r>
      <w:r w:rsidR="007571CB">
        <w:rPr>
          <w:lang w:val="en-CA"/>
        </w:rPr>
        <w:t xml:space="preserve"> considered</w:t>
      </w:r>
      <w:r w:rsidRPr="00CF4E9F">
        <w:rPr>
          <w:lang w:val="en-CA"/>
        </w:rPr>
        <w:t xml:space="preserve"> whether </w:t>
      </w:r>
      <w:r w:rsidR="00162E51">
        <w:rPr>
          <w:lang w:val="en-CA"/>
        </w:rPr>
        <w:t>s</w:t>
      </w:r>
      <w:r w:rsidR="003D692F">
        <w:rPr>
          <w:lang w:val="en-CA"/>
        </w:rPr>
        <w:t>s</w:t>
      </w:r>
      <w:r w:rsidR="00162E51">
        <w:rPr>
          <w:lang w:val="en-CA"/>
        </w:rPr>
        <w:t>. </w:t>
      </w:r>
      <w:r w:rsidRPr="00CF4E9F">
        <w:rPr>
          <w:lang w:val="en-CA"/>
        </w:rPr>
        <w:t>10(3) and</w:t>
      </w:r>
      <w:r w:rsidR="00162E51">
        <w:rPr>
          <w:lang w:val="en-CA"/>
        </w:rPr>
        <w:t> </w:t>
      </w:r>
      <w:r w:rsidRPr="00CF4E9F">
        <w:rPr>
          <w:lang w:val="en-CA"/>
        </w:rPr>
        <w:t xml:space="preserve">10(1) of the </w:t>
      </w:r>
      <w:r w:rsidRPr="00CF4E9F">
        <w:rPr>
          <w:i/>
          <w:lang w:val="en-CA"/>
        </w:rPr>
        <w:t>Combines Investigation Act</w:t>
      </w:r>
      <w:r w:rsidRPr="00CF4E9F">
        <w:rPr>
          <w:rStyle w:val="Appelnotedebasdep"/>
          <w:lang w:val="en-CA"/>
        </w:rPr>
        <w:footnoteReference w:id="79"/>
      </w:r>
      <w:r w:rsidRPr="00CF4E9F">
        <w:rPr>
          <w:lang w:val="en-CA"/>
        </w:rPr>
        <w:t xml:space="preserve"> were inconsistent with </w:t>
      </w:r>
      <w:r w:rsidR="00162E51">
        <w:rPr>
          <w:lang w:val="en-CA"/>
        </w:rPr>
        <w:t>s. </w:t>
      </w:r>
      <w:r w:rsidRPr="00CF4E9F">
        <w:rPr>
          <w:lang w:val="en-CA"/>
        </w:rPr>
        <w:t xml:space="preserve">8 of the </w:t>
      </w:r>
      <w:r w:rsidRPr="00CF4E9F">
        <w:rPr>
          <w:i/>
          <w:lang w:val="en-CA"/>
        </w:rPr>
        <w:t>Charter</w:t>
      </w:r>
      <w:r w:rsidRPr="00CF4E9F">
        <w:rPr>
          <w:lang w:val="en-CA"/>
        </w:rPr>
        <w:t>.</w:t>
      </w:r>
      <w:r w:rsidR="0043013D" w:rsidRPr="00CF4E9F">
        <w:rPr>
          <w:lang w:val="en-CA"/>
        </w:rPr>
        <w:t xml:space="preserve"> </w:t>
      </w:r>
      <w:r w:rsidRPr="00CF4E9F">
        <w:rPr>
          <w:lang w:val="en-CA"/>
        </w:rPr>
        <w:t xml:space="preserve">The Supreme Court held that the discretion </w:t>
      </w:r>
      <w:r w:rsidR="00D43DA3" w:rsidRPr="00CF4E9F">
        <w:rPr>
          <w:lang w:val="en-CA"/>
        </w:rPr>
        <w:t>conferr</w:t>
      </w:r>
      <w:r w:rsidRPr="00CF4E9F">
        <w:rPr>
          <w:lang w:val="en-CA"/>
        </w:rPr>
        <w:t xml:space="preserve">ed by these provisions </w:t>
      </w:r>
      <w:r w:rsidR="0026616D">
        <w:rPr>
          <w:lang w:val="en-CA"/>
        </w:rPr>
        <w:t>on</w:t>
      </w:r>
      <w:r w:rsidR="0026616D" w:rsidRPr="00CF4E9F">
        <w:rPr>
          <w:lang w:val="en-CA"/>
        </w:rPr>
        <w:t xml:space="preserve"> </w:t>
      </w:r>
      <w:r w:rsidRPr="00CF4E9F">
        <w:rPr>
          <w:lang w:val="en-CA"/>
        </w:rPr>
        <w:t>the Restrictive Trade Practices Commission was unconstitutional because it provided no objective criterion for granting prior authorization to conduct a search or seizure.</w:t>
      </w:r>
      <w:r w:rsidRPr="00CF4E9F">
        <w:rPr>
          <w:rStyle w:val="Appelnotedebasdep"/>
          <w:lang w:val="en-CA"/>
        </w:rPr>
        <w:footnoteReference w:id="80"/>
      </w:r>
      <w:r w:rsidR="0043013D" w:rsidRPr="00CF4E9F">
        <w:rPr>
          <w:lang w:val="en-CA"/>
        </w:rPr>
        <w:t xml:space="preserve"> </w:t>
      </w:r>
      <w:r w:rsidR="00385EF3" w:rsidRPr="00CF4E9F">
        <w:rPr>
          <w:lang w:val="en-CA"/>
        </w:rPr>
        <w:t>Dickson</w:t>
      </w:r>
      <w:r w:rsidR="0065447E" w:rsidRPr="00CF4E9F">
        <w:rPr>
          <w:lang w:val="en-CA"/>
        </w:rPr>
        <w:t>,</w:t>
      </w:r>
      <w:r w:rsidR="00385EF3" w:rsidRPr="00CF4E9F">
        <w:rPr>
          <w:lang w:val="en-CA"/>
        </w:rPr>
        <w:t xml:space="preserve"> J. (as he then was), on behalf of the Court, stated that it was the legislature’s responsibility to enact legislation that embodies appropriate safeguards to comply with the Constitution’s requirements.</w:t>
      </w:r>
      <w:r w:rsidR="00385EF3" w:rsidRPr="00CF4E9F">
        <w:rPr>
          <w:rStyle w:val="Appelnotedebasdep"/>
          <w:lang w:val="en-CA"/>
        </w:rPr>
        <w:footnoteReference w:id="81"/>
      </w:r>
    </w:p>
    <w:p w14:paraId="2D873103" w14:textId="2C273034" w:rsidR="005A1C52" w:rsidRPr="00CF4E9F" w:rsidRDefault="00385EF3" w:rsidP="00D80997">
      <w:pPr>
        <w:pStyle w:val="Paragraphe"/>
        <w:spacing w:line="280" w:lineRule="exact"/>
        <w:rPr>
          <w:lang w:val="en-CA"/>
        </w:rPr>
      </w:pPr>
      <w:r w:rsidRPr="00CF4E9F">
        <w:rPr>
          <w:lang w:val="en-CA"/>
        </w:rPr>
        <w:lastRenderedPageBreak/>
        <w:t xml:space="preserve">In </w:t>
      </w:r>
      <w:r w:rsidRPr="00CF4E9F">
        <w:rPr>
          <w:i/>
          <w:lang w:val="en-CA"/>
        </w:rPr>
        <w:t>Bain</w:t>
      </w:r>
      <w:r w:rsidRPr="00CF4E9F">
        <w:rPr>
          <w:lang w:val="en-CA"/>
        </w:rPr>
        <w:t xml:space="preserve">, the Supreme Court </w:t>
      </w:r>
      <w:r w:rsidR="00785961" w:rsidRPr="00CF4E9F">
        <w:rPr>
          <w:lang w:val="en-CA"/>
        </w:rPr>
        <w:t>was asked to decide</w:t>
      </w:r>
      <w:r w:rsidRPr="00CF4E9F">
        <w:rPr>
          <w:lang w:val="en-CA"/>
        </w:rPr>
        <w:t xml:space="preserve"> whether the </w:t>
      </w:r>
      <w:r w:rsidRPr="00CF4E9F">
        <w:rPr>
          <w:i/>
          <w:lang w:val="en-CA"/>
        </w:rPr>
        <w:t>Criminal Code</w:t>
      </w:r>
      <w:r w:rsidRPr="00CF4E9F">
        <w:rPr>
          <w:lang w:val="en-CA"/>
        </w:rPr>
        <w:t xml:space="preserve"> provisions governing peremptory challenges and stand bys </w:t>
      </w:r>
      <w:r w:rsidR="0026616D">
        <w:rPr>
          <w:lang w:val="en-CA"/>
        </w:rPr>
        <w:t xml:space="preserve">of jurors </w:t>
      </w:r>
      <w:r w:rsidRPr="00CF4E9F">
        <w:rPr>
          <w:lang w:val="en-CA"/>
        </w:rPr>
        <w:t xml:space="preserve">were inconsistent with </w:t>
      </w:r>
      <w:r w:rsidR="00162E51">
        <w:rPr>
          <w:lang w:val="en-CA"/>
        </w:rPr>
        <w:t>s. </w:t>
      </w:r>
      <w:r w:rsidRPr="00CF4E9F">
        <w:rPr>
          <w:lang w:val="en-CA"/>
        </w:rPr>
        <w:t xml:space="preserve">11(d) of the </w:t>
      </w:r>
      <w:r w:rsidRPr="00CF4E9F">
        <w:rPr>
          <w:i/>
          <w:iCs/>
          <w:lang w:val="en-CA"/>
        </w:rPr>
        <w:t>Charter</w:t>
      </w:r>
      <w:r w:rsidRPr="00CF4E9F">
        <w:rPr>
          <w:lang w:val="en-CA"/>
        </w:rPr>
        <w:t>, which protects an accused’s right “to be presumed innocent until proven guilty according to law in a fair and public hearing by an independent and impartial tribunal”.</w:t>
      </w:r>
      <w:r w:rsidR="0043013D" w:rsidRPr="00CF4E9F">
        <w:rPr>
          <w:lang w:val="en-CA"/>
        </w:rPr>
        <w:t xml:space="preserve"> </w:t>
      </w:r>
      <w:r w:rsidRPr="00CF4E9F">
        <w:rPr>
          <w:lang w:val="en-CA"/>
        </w:rPr>
        <w:t xml:space="preserve">Pursuant to these provisions, the Crown had discretion to stand by prospective jurors without motive, at a </w:t>
      </w:r>
      <w:r w:rsidR="0026616D">
        <w:rPr>
          <w:lang w:val="en-CA"/>
        </w:rPr>
        <w:t xml:space="preserve">ratio </w:t>
      </w:r>
      <w:r w:rsidRPr="00CF4E9F">
        <w:rPr>
          <w:lang w:val="en-CA"/>
        </w:rPr>
        <w:t>of 4.25 to 1 in favour of the Crown, when compared to the accused’s right to peremptorily challenge prospective jurors.</w:t>
      </w:r>
      <w:r w:rsidR="0043013D" w:rsidRPr="00CF4E9F">
        <w:rPr>
          <w:lang w:val="en-CA"/>
        </w:rPr>
        <w:t xml:space="preserve"> </w:t>
      </w:r>
      <w:r w:rsidR="009F0668" w:rsidRPr="00CF4E9F">
        <w:rPr>
          <w:lang w:val="en-CA"/>
        </w:rPr>
        <w:t xml:space="preserve">When considering the constitutionality of the </w:t>
      </w:r>
      <w:r w:rsidR="00B36A0E" w:rsidRPr="00CF4E9F">
        <w:rPr>
          <w:lang w:val="en-CA"/>
        </w:rPr>
        <w:t>challenged</w:t>
      </w:r>
      <w:r w:rsidR="009F0668" w:rsidRPr="00CF4E9F">
        <w:rPr>
          <w:lang w:val="en-CA"/>
        </w:rPr>
        <w:t xml:space="preserve"> provisions, the Court examined </w:t>
      </w:r>
      <w:r w:rsidR="0043281B">
        <w:rPr>
          <w:lang w:val="en-CA"/>
        </w:rPr>
        <w:t xml:space="preserve">the irregular and unconstitutional way </w:t>
      </w:r>
      <w:r w:rsidR="009F0668" w:rsidRPr="00CF4E9F">
        <w:rPr>
          <w:lang w:val="en-CA"/>
        </w:rPr>
        <w:t xml:space="preserve">the Crown could use its discretion, that is, to </w:t>
      </w:r>
      <w:r w:rsidR="0043281B">
        <w:rPr>
          <w:lang w:val="en-CA"/>
        </w:rPr>
        <w:t xml:space="preserve">select </w:t>
      </w:r>
      <w:r w:rsidR="009F0668" w:rsidRPr="00CF4E9F">
        <w:rPr>
          <w:lang w:val="en-CA"/>
        </w:rPr>
        <w:t>a jury favourable to it.</w:t>
      </w:r>
      <w:r w:rsidR="0043013D" w:rsidRPr="00CF4E9F">
        <w:rPr>
          <w:lang w:val="en-CA"/>
        </w:rPr>
        <w:t xml:space="preserve"> </w:t>
      </w:r>
      <w:r w:rsidR="009F0668" w:rsidRPr="00CF4E9F">
        <w:rPr>
          <w:lang w:val="en-CA"/>
        </w:rPr>
        <w:t xml:space="preserve">A majority concluded that the protection of basic rights should not </w:t>
      </w:r>
      <w:r w:rsidR="004536CC">
        <w:rPr>
          <w:lang w:val="en-CA"/>
        </w:rPr>
        <w:t xml:space="preserve">rely </w:t>
      </w:r>
      <w:r w:rsidR="009F0668" w:rsidRPr="00CF4E9F">
        <w:rPr>
          <w:lang w:val="en-CA"/>
        </w:rPr>
        <w:t xml:space="preserve">on the exemplary conduct of the </w:t>
      </w:r>
      <w:r w:rsidR="004536CC">
        <w:rPr>
          <w:lang w:val="en-CA"/>
        </w:rPr>
        <w:t xml:space="preserve">holder of the </w:t>
      </w:r>
      <w:r w:rsidR="009F0668" w:rsidRPr="00CF4E9F">
        <w:rPr>
          <w:lang w:val="en-CA"/>
        </w:rPr>
        <w:t>discretionary power.</w:t>
      </w:r>
      <w:r w:rsidR="0043013D" w:rsidRPr="00CF4E9F">
        <w:rPr>
          <w:lang w:val="en-CA"/>
        </w:rPr>
        <w:t xml:space="preserve"> </w:t>
      </w:r>
      <w:r w:rsidR="009F0668" w:rsidRPr="00CF4E9F">
        <w:rPr>
          <w:lang w:val="en-CA"/>
        </w:rPr>
        <w:t>Cory</w:t>
      </w:r>
      <w:r w:rsidR="0065447E" w:rsidRPr="00CF4E9F">
        <w:rPr>
          <w:lang w:val="en-CA"/>
        </w:rPr>
        <w:t>,</w:t>
      </w:r>
      <w:r w:rsidR="009F0668" w:rsidRPr="00CF4E9F">
        <w:rPr>
          <w:lang w:val="en-CA"/>
        </w:rPr>
        <w:t xml:space="preserve"> J., for the majority, wrote the following in this regard:</w:t>
      </w:r>
    </w:p>
    <w:p w14:paraId="36700ED7" w14:textId="4BE1FA1D" w:rsidR="005A1C52" w:rsidRPr="00CF4E9F" w:rsidRDefault="00304EF2" w:rsidP="00EB1873">
      <w:pPr>
        <w:pStyle w:val="Citationenretrait"/>
        <w:rPr>
          <w:rFonts w:cs="Arial"/>
          <w:lang w:val="en-CA" w:eastAsia="fr-CA"/>
        </w:rPr>
      </w:pPr>
      <w:r w:rsidRPr="00CF4E9F">
        <w:rPr>
          <w:rFonts w:cs="Arial"/>
          <w:color w:val="000000"/>
          <w:spacing w:val="-3"/>
          <w:lang w:val="en-CA"/>
        </w:rPr>
        <w:t>It may well be correct that it would be impossible to prove that a jury selected after the Crown had exercised all its stand bys and peremptory challenges was in fact biased. Nonetheless the overwhelming numerical superiority of choice granted to the Crown creates a pervasive air of unfairness in the jury selection procedure. The jury</w:t>
      </w:r>
      <w:r w:rsidR="00836D1D">
        <w:rPr>
          <w:rFonts w:cs="Arial"/>
          <w:color w:val="000000"/>
          <w:spacing w:val="-3"/>
          <w:lang w:val="en-CA"/>
        </w:rPr>
        <w:t xml:space="preserve"> i</w:t>
      </w:r>
      <w:r w:rsidR="00301311">
        <w:rPr>
          <w:rFonts w:cs="Arial"/>
          <w:color w:val="000000"/>
          <w:spacing w:val="-3"/>
          <w:lang w:val="en-CA"/>
        </w:rPr>
        <w:t xml:space="preserve">s </w:t>
      </w:r>
      <w:r w:rsidRPr="00CF4E9F">
        <w:rPr>
          <w:rFonts w:cs="Arial"/>
          <w:color w:val="000000"/>
          <w:spacing w:val="-3"/>
          <w:lang w:val="en-CA"/>
        </w:rPr>
        <w:t>the ultimate decision maker. The fate of the accused is in its hands. The jury should not as a result of the manner of its selection appear to favour the Crown over the accused. Fairness should be the guiding principle of justice and the hallmark of criminal trials. Yet so long as the impugned provision of the </w:t>
      </w:r>
      <w:r w:rsidRPr="00CF4E9F">
        <w:rPr>
          <w:rFonts w:cs="Arial"/>
          <w:i/>
          <w:iCs/>
          <w:color w:val="000000"/>
          <w:spacing w:val="-3"/>
          <w:lang w:val="en-CA"/>
        </w:rPr>
        <w:t>Code</w:t>
      </w:r>
      <w:r w:rsidRPr="00CF4E9F">
        <w:rPr>
          <w:rFonts w:cs="Arial"/>
          <w:color w:val="000000"/>
          <w:spacing w:val="-3"/>
          <w:lang w:val="en-CA"/>
        </w:rPr>
        <w:t> remains, providing the Crown with the ability to select a jury that appears to be favourable to it, the whole trial process will be tainted with the appearance of obvious and overwhelming unfairness. Members of the community will be left in doubt as to the merits of a process which permits the Crown to have more than four times as many choices as the accused in the selection of the jury.</w:t>
      </w:r>
    </w:p>
    <w:p w14:paraId="03F62447" w14:textId="4763FBF8" w:rsidR="005A1C52" w:rsidRPr="00CF4E9F" w:rsidRDefault="00304EF2" w:rsidP="00DD6FD3">
      <w:pPr>
        <w:pStyle w:val="Citationenretrait"/>
        <w:rPr>
          <w:lang w:val="en-CA" w:eastAsia="fr-CA"/>
        </w:rPr>
      </w:pPr>
      <w:r w:rsidRPr="00CF4E9F">
        <w:rPr>
          <w:rFonts w:cs="Arial"/>
          <w:color w:val="000000"/>
          <w:spacing w:val="-3"/>
          <w:lang w:val="en-CA"/>
        </w:rPr>
        <w:t>Unfortunately it would seem that whenever the Crown is granted statutory power that can be used abusively then, on occasion, it will indeed be used abusively. </w:t>
      </w:r>
      <w:r w:rsidRPr="00CF4E9F">
        <w:rPr>
          <w:rFonts w:cs="Arial"/>
          <w:color w:val="000000"/>
          <w:spacing w:val="-3"/>
          <w:u w:val="single"/>
          <w:lang w:val="en-CA"/>
        </w:rPr>
        <w:t>The protection of basic rights should not be dependent upon a reliance on the continuous exemplary conduct of the Crown, something that is impossible to monitor or control.</w:t>
      </w:r>
      <w:r w:rsidR="00187257">
        <w:rPr>
          <w:rFonts w:cs="Arial"/>
          <w:color w:val="000000"/>
          <w:spacing w:val="-3"/>
          <w:u w:val="single"/>
          <w:lang w:val="en-CA"/>
        </w:rPr>
        <w:t xml:space="preserve"> </w:t>
      </w:r>
      <w:r w:rsidRPr="00CF4E9F">
        <w:rPr>
          <w:rFonts w:cs="Arial"/>
          <w:color w:val="000000"/>
          <w:spacing w:val="-3"/>
          <w:u w:val="single"/>
          <w:lang w:val="en-CA"/>
        </w:rPr>
        <w:t>Rather the offending statutory provision should be removed</w:t>
      </w:r>
      <w:r w:rsidR="0043013D" w:rsidRPr="00CF4E9F">
        <w:rPr>
          <w:lang w:val="en-CA" w:eastAsia="fr-CA"/>
        </w:rPr>
        <w:t>.</w:t>
      </w:r>
      <w:r w:rsidR="0043013D" w:rsidRPr="00CF4E9F">
        <w:rPr>
          <w:rStyle w:val="Appelnotedebasdep"/>
          <w:lang w:val="en-CA" w:eastAsia="fr-CA"/>
        </w:rPr>
        <w:footnoteReference w:id="82"/>
      </w:r>
    </w:p>
    <w:p w14:paraId="14DA66ED" w14:textId="54CD6710" w:rsidR="005A1C52" w:rsidRPr="00CF4E9F" w:rsidRDefault="000847F0" w:rsidP="005A1C52">
      <w:pPr>
        <w:pStyle w:val="Citationenretrait"/>
        <w:ind w:firstLine="720"/>
        <w:jc w:val="right"/>
        <w:rPr>
          <w:lang w:val="en-CA" w:eastAsia="fr-CA"/>
        </w:rPr>
      </w:pPr>
      <w:r w:rsidRPr="00CF4E9F">
        <w:rPr>
          <w:lang w:val="en-CA" w:eastAsia="fr-CA"/>
        </w:rPr>
        <w:t>[</w:t>
      </w:r>
      <w:r w:rsidR="00C6704B">
        <w:rPr>
          <w:lang w:val="en-CA" w:eastAsia="fr-CA"/>
        </w:rPr>
        <w:t xml:space="preserve">Underlining </w:t>
      </w:r>
      <w:r w:rsidRPr="00CF4E9F">
        <w:rPr>
          <w:lang w:val="en-CA" w:eastAsia="fr-CA"/>
        </w:rPr>
        <w:t>added]</w:t>
      </w:r>
    </w:p>
    <w:p w14:paraId="19AB4F3E" w14:textId="7CCA9901" w:rsidR="005A1C52" w:rsidRPr="00CF4E9F" w:rsidRDefault="009F0668" w:rsidP="00D80997">
      <w:pPr>
        <w:pStyle w:val="Paragraphe"/>
        <w:spacing w:line="280" w:lineRule="exact"/>
        <w:rPr>
          <w:lang w:val="en-CA"/>
        </w:rPr>
      </w:pPr>
      <w:r w:rsidRPr="00CF4E9F">
        <w:rPr>
          <w:lang w:val="en-CA"/>
        </w:rPr>
        <w:t xml:space="preserve">A majority of the Supreme Court therefore declared the </w:t>
      </w:r>
      <w:r w:rsidR="00B36A0E" w:rsidRPr="00CF4E9F">
        <w:rPr>
          <w:lang w:val="en-CA"/>
        </w:rPr>
        <w:t>challenged</w:t>
      </w:r>
      <w:r w:rsidRPr="00CF4E9F">
        <w:rPr>
          <w:lang w:val="en-CA"/>
        </w:rPr>
        <w:t xml:space="preserve"> provisions unconstitutional because they allowed a jury that appeared favourable to the Crown</w:t>
      </w:r>
      <w:r w:rsidR="00854857" w:rsidRPr="00CF4E9F">
        <w:rPr>
          <w:lang w:val="en-CA"/>
        </w:rPr>
        <w:t xml:space="preserve"> to be empanelled</w:t>
      </w:r>
      <w:r w:rsidRPr="00CF4E9F">
        <w:rPr>
          <w:lang w:val="en-CA"/>
        </w:rPr>
        <w:t xml:space="preserve">, which was inconsistent with </w:t>
      </w:r>
      <w:r w:rsidR="00162E51">
        <w:rPr>
          <w:lang w:val="en-CA"/>
        </w:rPr>
        <w:t>s. </w:t>
      </w:r>
      <w:r w:rsidRPr="00CF4E9F">
        <w:rPr>
          <w:lang w:val="en-CA"/>
        </w:rPr>
        <w:t xml:space="preserve">11(d) of the </w:t>
      </w:r>
      <w:r w:rsidRPr="00CF4E9F">
        <w:rPr>
          <w:i/>
          <w:lang w:val="en-CA"/>
        </w:rPr>
        <w:t>Charter</w:t>
      </w:r>
      <w:r w:rsidRPr="00CF4E9F">
        <w:rPr>
          <w:lang w:val="en-CA"/>
        </w:rPr>
        <w:t>.</w:t>
      </w:r>
      <w:r w:rsidRPr="00CF4E9F">
        <w:rPr>
          <w:rStyle w:val="Appelnotedebasdep"/>
          <w:lang w:val="en-CA"/>
        </w:rPr>
        <w:footnoteReference w:id="83"/>
      </w:r>
    </w:p>
    <w:p w14:paraId="5C0BB964" w14:textId="5144051F" w:rsidR="005A1C52" w:rsidRPr="00CF4E9F" w:rsidRDefault="009F0668" w:rsidP="00D80997">
      <w:pPr>
        <w:pStyle w:val="Paragraphe"/>
        <w:spacing w:line="280" w:lineRule="exact"/>
        <w:rPr>
          <w:lang w:val="en-CA"/>
        </w:rPr>
      </w:pPr>
      <w:r w:rsidRPr="00CF4E9F">
        <w:rPr>
          <w:i/>
          <w:iCs/>
          <w:lang w:val="en-CA"/>
        </w:rPr>
        <w:lastRenderedPageBreak/>
        <w:t>Nur</w:t>
      </w:r>
      <w:r w:rsidRPr="00CF4E9F">
        <w:rPr>
          <w:lang w:val="en-CA"/>
        </w:rPr>
        <w:t xml:space="preserve"> also illustrates the principle that the mere possibility that state agent</w:t>
      </w:r>
      <w:r w:rsidR="00454B44">
        <w:rPr>
          <w:lang w:val="en-CA"/>
        </w:rPr>
        <w:t>s</w:t>
      </w:r>
      <w:r w:rsidRPr="00CF4E9F">
        <w:rPr>
          <w:lang w:val="en-CA"/>
        </w:rPr>
        <w:t xml:space="preserve"> </w:t>
      </w:r>
      <w:r w:rsidR="007249A8">
        <w:rPr>
          <w:lang w:val="en-CA"/>
        </w:rPr>
        <w:t>might</w:t>
      </w:r>
      <w:r w:rsidR="007249A8" w:rsidRPr="00CF4E9F">
        <w:rPr>
          <w:lang w:val="en-CA"/>
        </w:rPr>
        <w:t xml:space="preserve"> </w:t>
      </w:r>
      <w:r w:rsidR="00854857" w:rsidRPr="00CF4E9F">
        <w:rPr>
          <w:lang w:val="en-CA"/>
        </w:rPr>
        <w:t xml:space="preserve">not </w:t>
      </w:r>
      <w:r w:rsidRPr="00CF4E9F">
        <w:rPr>
          <w:lang w:val="en-CA"/>
        </w:rPr>
        <w:t>use their discretion</w:t>
      </w:r>
      <w:r w:rsidR="00D2193F">
        <w:rPr>
          <w:lang w:val="en-CA"/>
        </w:rPr>
        <w:t xml:space="preserve"> –</w:t>
      </w:r>
      <w:r w:rsidRPr="00CF4E9F">
        <w:rPr>
          <w:lang w:val="en-CA"/>
        </w:rPr>
        <w:t xml:space="preserve"> and </w:t>
      </w:r>
      <w:r w:rsidR="007249A8">
        <w:rPr>
          <w:lang w:val="en-CA"/>
        </w:rPr>
        <w:t>thereby</w:t>
      </w:r>
      <w:r w:rsidR="007249A8" w:rsidRPr="00CF4E9F">
        <w:rPr>
          <w:lang w:val="en-CA"/>
        </w:rPr>
        <w:t xml:space="preserve"> </w:t>
      </w:r>
      <w:r w:rsidR="007249A8">
        <w:rPr>
          <w:lang w:val="en-CA"/>
        </w:rPr>
        <w:t>would</w:t>
      </w:r>
      <w:r w:rsidR="007249A8" w:rsidRPr="00CF4E9F">
        <w:rPr>
          <w:lang w:val="en-CA"/>
        </w:rPr>
        <w:t xml:space="preserve"> </w:t>
      </w:r>
      <w:r w:rsidRPr="00CF4E9F">
        <w:rPr>
          <w:lang w:val="en-CA"/>
        </w:rPr>
        <w:t>not infringe on fundamental rights</w:t>
      </w:r>
      <w:r w:rsidR="00D2193F">
        <w:rPr>
          <w:lang w:val="en-CA"/>
        </w:rPr>
        <w:t xml:space="preserve"> –</w:t>
      </w:r>
      <w:r w:rsidRPr="00CF4E9F">
        <w:rPr>
          <w:lang w:val="en-CA"/>
        </w:rPr>
        <w:t xml:space="preserve"> is insufficient to make a provision that is inconsistent with </w:t>
      </w:r>
      <w:r w:rsidRPr="00CF4E9F">
        <w:rPr>
          <w:i/>
          <w:lang w:val="en-CA"/>
        </w:rPr>
        <w:t>Charter</w:t>
      </w:r>
      <w:r w:rsidRPr="00CF4E9F">
        <w:rPr>
          <w:lang w:val="en-CA"/>
        </w:rPr>
        <w:t xml:space="preserve"> rights constitutional.</w:t>
      </w:r>
      <w:r w:rsidRPr="00CF4E9F">
        <w:rPr>
          <w:rStyle w:val="Appelnotedebasdep"/>
          <w:lang w:val="en-CA"/>
        </w:rPr>
        <w:footnoteReference w:id="84"/>
      </w:r>
    </w:p>
    <w:p w14:paraId="48D41030" w14:textId="32A43EC8" w:rsidR="005A1C52" w:rsidRPr="00CF4E9F" w:rsidRDefault="009F0668" w:rsidP="00D80997">
      <w:pPr>
        <w:pStyle w:val="Paragraphe"/>
        <w:spacing w:line="280" w:lineRule="exact"/>
        <w:rPr>
          <w:lang w:val="en-CA"/>
        </w:rPr>
      </w:pPr>
      <w:r w:rsidRPr="00CF4E9F">
        <w:rPr>
          <w:lang w:val="en-CA"/>
        </w:rPr>
        <w:t xml:space="preserve">In </w:t>
      </w:r>
      <w:r w:rsidR="00454B44">
        <w:rPr>
          <w:lang w:val="en-CA"/>
        </w:rPr>
        <w:t xml:space="preserve">the </w:t>
      </w:r>
      <w:r w:rsidRPr="00CF4E9F">
        <w:rPr>
          <w:lang w:val="en-CA"/>
        </w:rPr>
        <w:t>case</w:t>
      </w:r>
      <w:r w:rsidR="00454B44">
        <w:rPr>
          <w:lang w:val="en-CA"/>
        </w:rPr>
        <w:t xml:space="preserve"> at bar</w:t>
      </w:r>
      <w:r w:rsidRPr="00CF4E9F">
        <w:rPr>
          <w:lang w:val="en-CA"/>
        </w:rPr>
        <w:t xml:space="preserve">, </w:t>
      </w:r>
      <w:r w:rsidR="00162E51">
        <w:rPr>
          <w:lang w:val="en-CA"/>
        </w:rPr>
        <w:t>s. </w:t>
      </w:r>
      <w:r w:rsidRPr="00CF4E9F">
        <w:rPr>
          <w:lang w:val="en-CA"/>
        </w:rPr>
        <w:t>636</w:t>
      </w:r>
      <w:r w:rsidR="0030762F" w:rsidRPr="0030762F">
        <w:rPr>
          <w:i/>
          <w:lang w:val="en-CA"/>
        </w:rPr>
        <w:t> HSC</w:t>
      </w:r>
      <w:r w:rsidRPr="00CF4E9F">
        <w:rPr>
          <w:lang w:val="en-CA"/>
        </w:rPr>
        <w:t xml:space="preserve"> </w:t>
      </w:r>
      <w:r w:rsidR="00866FF9">
        <w:rPr>
          <w:lang w:val="en-CA"/>
        </w:rPr>
        <w:t xml:space="preserve">contains </w:t>
      </w:r>
      <w:r w:rsidRPr="00CF4E9F">
        <w:rPr>
          <w:lang w:val="en-CA"/>
        </w:rPr>
        <w:t>no criteri</w:t>
      </w:r>
      <w:r w:rsidR="00866FF9">
        <w:rPr>
          <w:lang w:val="en-CA"/>
        </w:rPr>
        <w:t>a</w:t>
      </w:r>
      <w:r w:rsidRPr="00CF4E9F">
        <w:rPr>
          <w:lang w:val="en-CA"/>
        </w:rPr>
        <w:t xml:space="preserve"> or standard</w:t>
      </w:r>
      <w:r w:rsidR="00866FF9">
        <w:rPr>
          <w:lang w:val="en-CA"/>
        </w:rPr>
        <w:t>s</w:t>
      </w:r>
      <w:r w:rsidRPr="00CF4E9F">
        <w:rPr>
          <w:lang w:val="en-CA"/>
        </w:rPr>
        <w:t xml:space="preserve"> </w:t>
      </w:r>
      <w:r w:rsidR="00866FF9">
        <w:rPr>
          <w:lang w:val="en-CA"/>
        </w:rPr>
        <w:t>that could</w:t>
      </w:r>
      <w:r w:rsidRPr="00CF4E9F">
        <w:rPr>
          <w:lang w:val="en-CA"/>
        </w:rPr>
        <w:t xml:space="preserve"> </w:t>
      </w:r>
      <w:r w:rsidR="0043281B">
        <w:rPr>
          <w:lang w:val="en-CA"/>
        </w:rPr>
        <w:t xml:space="preserve">guide </w:t>
      </w:r>
      <w:r w:rsidRPr="00CF4E9F">
        <w:rPr>
          <w:lang w:val="en-CA"/>
        </w:rPr>
        <w:t xml:space="preserve">the </w:t>
      </w:r>
      <w:r w:rsidR="00926EE8" w:rsidRPr="00CF4E9F">
        <w:rPr>
          <w:lang w:val="en-CA"/>
        </w:rPr>
        <w:t xml:space="preserve">work of </w:t>
      </w:r>
      <w:r w:rsidRPr="00CF4E9F">
        <w:rPr>
          <w:lang w:val="en-CA"/>
        </w:rPr>
        <w:t>police</w:t>
      </w:r>
      <w:r w:rsidR="007249A8">
        <w:rPr>
          <w:lang w:val="en-CA"/>
        </w:rPr>
        <w:t xml:space="preserve"> officers</w:t>
      </w:r>
      <w:r w:rsidRPr="00CF4E9F">
        <w:rPr>
          <w:lang w:val="en-CA"/>
        </w:rPr>
        <w:t xml:space="preserve"> </w:t>
      </w:r>
      <w:r w:rsidR="00866FF9">
        <w:rPr>
          <w:lang w:val="en-CA"/>
        </w:rPr>
        <w:t xml:space="preserve">in </w:t>
      </w:r>
      <w:r w:rsidRPr="00CF4E9F">
        <w:rPr>
          <w:lang w:val="en-CA"/>
        </w:rPr>
        <w:t xml:space="preserve">selecting </w:t>
      </w:r>
      <w:r w:rsidR="00926EE8" w:rsidRPr="00CF4E9F">
        <w:rPr>
          <w:lang w:val="en-CA"/>
        </w:rPr>
        <w:t xml:space="preserve">which </w:t>
      </w:r>
      <w:r w:rsidRPr="00CF4E9F">
        <w:rPr>
          <w:lang w:val="en-CA"/>
        </w:rPr>
        <w:t>drivers to stop.</w:t>
      </w:r>
      <w:r w:rsidR="0043013D" w:rsidRPr="00CF4E9F">
        <w:rPr>
          <w:lang w:val="en-CA"/>
        </w:rPr>
        <w:t xml:space="preserve"> </w:t>
      </w:r>
      <w:r w:rsidRPr="00CF4E9F">
        <w:rPr>
          <w:lang w:val="en-CA"/>
        </w:rPr>
        <w:t xml:space="preserve">There are no objective reasons or </w:t>
      </w:r>
      <w:r w:rsidR="00926EE8" w:rsidRPr="00CF4E9F">
        <w:rPr>
          <w:lang w:val="en-CA"/>
        </w:rPr>
        <w:t xml:space="preserve">parameters to </w:t>
      </w:r>
      <w:r w:rsidR="008605FE">
        <w:rPr>
          <w:lang w:val="en-CA"/>
        </w:rPr>
        <w:t xml:space="preserve">steer </w:t>
      </w:r>
      <w:r w:rsidRPr="00CF4E9F">
        <w:rPr>
          <w:lang w:val="en-CA"/>
        </w:rPr>
        <w:t>them in the exercise of their discretionary power.</w:t>
      </w:r>
      <w:r w:rsidR="0043013D" w:rsidRPr="00CF4E9F">
        <w:rPr>
          <w:lang w:val="en-CA"/>
        </w:rPr>
        <w:t xml:space="preserve"> </w:t>
      </w:r>
      <w:r w:rsidRPr="00CF4E9F">
        <w:rPr>
          <w:lang w:val="en-CA"/>
        </w:rPr>
        <w:t xml:space="preserve">That is precisely why, in </w:t>
      </w:r>
      <w:r w:rsidRPr="00CF4E9F">
        <w:rPr>
          <w:i/>
          <w:iCs/>
          <w:lang w:val="en-CA"/>
        </w:rPr>
        <w:t>Ladouceur</w:t>
      </w:r>
      <w:r w:rsidRPr="00CF4E9F">
        <w:rPr>
          <w:lang w:val="en-CA"/>
        </w:rPr>
        <w:t xml:space="preserve">, the Supreme Court concluded that the detention under </w:t>
      </w:r>
      <w:r w:rsidR="00454B44">
        <w:rPr>
          <w:lang w:val="en-CA"/>
        </w:rPr>
        <w:t>s. </w:t>
      </w:r>
      <w:r w:rsidRPr="00CF4E9F">
        <w:rPr>
          <w:lang w:val="en-CA"/>
        </w:rPr>
        <w:t xml:space="preserve">189a(1) of the </w:t>
      </w:r>
      <w:r w:rsidRPr="00CF4E9F">
        <w:rPr>
          <w:iCs/>
          <w:lang w:val="en-CA"/>
        </w:rPr>
        <w:t xml:space="preserve">Ontario </w:t>
      </w:r>
      <w:r w:rsidRPr="00CF4E9F">
        <w:rPr>
          <w:i/>
          <w:lang w:val="en-CA"/>
        </w:rPr>
        <w:t>Highway Traffic Act</w:t>
      </w:r>
      <w:r w:rsidRPr="00CF4E9F">
        <w:rPr>
          <w:lang w:val="en-CA"/>
        </w:rPr>
        <w:t>,</w:t>
      </w:r>
      <w:r w:rsidRPr="00CF4E9F">
        <w:rPr>
          <w:rStyle w:val="Appelnotedebasdep"/>
          <w:lang w:val="en-CA"/>
        </w:rPr>
        <w:footnoteReference w:id="85"/>
      </w:r>
      <w:r w:rsidRPr="00CF4E9F">
        <w:rPr>
          <w:lang w:val="en-CA"/>
        </w:rPr>
        <w:t xml:space="preserve"> </w:t>
      </w:r>
      <w:r w:rsidR="00926EE8" w:rsidRPr="00CF4E9F">
        <w:rPr>
          <w:lang w:val="en-CA"/>
        </w:rPr>
        <w:t>deemed</w:t>
      </w:r>
      <w:r w:rsidRPr="00CF4E9F">
        <w:rPr>
          <w:lang w:val="en-CA"/>
        </w:rPr>
        <w:t xml:space="preserve"> equivalent to </w:t>
      </w:r>
      <w:r w:rsidR="00162E51">
        <w:rPr>
          <w:lang w:val="en-CA"/>
        </w:rPr>
        <w:t>s.</w:t>
      </w:r>
      <w:r w:rsidR="00187257">
        <w:rPr>
          <w:lang w:val="en-CA"/>
        </w:rPr>
        <w:t xml:space="preserve"> </w:t>
      </w:r>
      <w:r w:rsidRPr="00CF4E9F">
        <w:rPr>
          <w:lang w:val="en-CA"/>
        </w:rPr>
        <w:t>636</w:t>
      </w:r>
      <w:r w:rsidR="0030762F" w:rsidRPr="0030762F">
        <w:rPr>
          <w:i/>
          <w:lang w:val="en-CA"/>
        </w:rPr>
        <w:t> HSC</w:t>
      </w:r>
      <w:r w:rsidRPr="00CF4E9F">
        <w:rPr>
          <w:lang w:val="en-CA"/>
        </w:rPr>
        <w:t>, was arbitrary.</w:t>
      </w:r>
      <w:r w:rsidRPr="00CF4E9F">
        <w:rPr>
          <w:rStyle w:val="Appelnotedebasdep"/>
          <w:lang w:val="en-CA"/>
        </w:rPr>
        <w:footnoteReference w:id="86"/>
      </w:r>
    </w:p>
    <w:p w14:paraId="1B1338FD" w14:textId="4381AC5A" w:rsidR="005066CA" w:rsidRPr="00CF4E9F" w:rsidRDefault="009F0668" w:rsidP="00D80997">
      <w:pPr>
        <w:pStyle w:val="Paragraphe"/>
        <w:spacing w:line="280" w:lineRule="exact"/>
        <w:rPr>
          <w:lang w:val="en-CA"/>
        </w:rPr>
      </w:pPr>
      <w:r w:rsidRPr="00CF4E9F">
        <w:rPr>
          <w:lang w:val="en-CA"/>
        </w:rPr>
        <w:t xml:space="preserve">In </w:t>
      </w:r>
      <w:r w:rsidR="00926EE8" w:rsidRPr="00CF4E9F">
        <w:rPr>
          <w:lang w:val="en-CA"/>
        </w:rPr>
        <w:t>fact</w:t>
      </w:r>
      <w:r w:rsidRPr="00CF4E9F">
        <w:rPr>
          <w:lang w:val="en-CA"/>
        </w:rPr>
        <w:t>, even though</w:t>
      </w:r>
      <w:r w:rsidR="0043013D" w:rsidRPr="00CF4E9F">
        <w:rPr>
          <w:lang w:val="en-CA"/>
        </w:rPr>
        <w:t> </w:t>
      </w:r>
      <w:r w:rsidR="00162E51">
        <w:rPr>
          <w:lang w:val="en-CA"/>
        </w:rPr>
        <w:t>s. </w:t>
      </w:r>
      <w:r w:rsidRPr="00CF4E9F">
        <w:rPr>
          <w:lang w:val="en-CA"/>
        </w:rPr>
        <w:t>636</w:t>
      </w:r>
      <w:r w:rsidR="0030762F" w:rsidRPr="0030762F">
        <w:rPr>
          <w:i/>
          <w:lang w:val="en-CA"/>
        </w:rPr>
        <w:t> HSC</w:t>
      </w:r>
      <w:r w:rsidRPr="00CF4E9F">
        <w:rPr>
          <w:lang w:val="en-CA"/>
        </w:rPr>
        <w:t xml:space="preserve"> does not expressly authorize traffic stops with no required grounds based on racial profiling, it necessarily has the effect of allowing racial profiling to </w:t>
      </w:r>
      <w:r w:rsidR="00063079">
        <w:rPr>
          <w:lang w:val="en-CA"/>
        </w:rPr>
        <w:t>permeat</w:t>
      </w:r>
      <w:r w:rsidR="00313749">
        <w:rPr>
          <w:lang w:val="en-CA"/>
        </w:rPr>
        <w:t>e</w:t>
      </w:r>
      <w:r w:rsidRPr="00CF4E9F">
        <w:rPr>
          <w:lang w:val="en-CA"/>
        </w:rPr>
        <w:t xml:space="preserve"> the exercise of the </w:t>
      </w:r>
      <w:r w:rsidR="008605FE">
        <w:rPr>
          <w:lang w:val="en-CA"/>
        </w:rPr>
        <w:t xml:space="preserve">police </w:t>
      </w:r>
      <w:r w:rsidRPr="00CF4E9F">
        <w:rPr>
          <w:lang w:val="en-CA"/>
        </w:rPr>
        <w:t xml:space="preserve">power it </w:t>
      </w:r>
      <w:r w:rsidR="00926EE8" w:rsidRPr="00CF4E9F">
        <w:rPr>
          <w:lang w:val="en-CA"/>
        </w:rPr>
        <w:t>confers</w:t>
      </w:r>
      <w:r w:rsidRPr="00CF4E9F">
        <w:rPr>
          <w:lang w:val="en-CA"/>
        </w:rPr>
        <w:t>.</w:t>
      </w:r>
      <w:r w:rsidR="0043013D" w:rsidRPr="00CF4E9F">
        <w:rPr>
          <w:lang w:val="en-CA"/>
        </w:rPr>
        <w:t xml:space="preserve"> </w:t>
      </w:r>
      <w:r w:rsidRPr="00CF4E9F">
        <w:rPr>
          <w:lang w:val="en-CA"/>
        </w:rPr>
        <w:t xml:space="preserve">The requirement </w:t>
      </w:r>
      <w:r w:rsidR="00926EE8" w:rsidRPr="00CF4E9F">
        <w:rPr>
          <w:lang w:val="en-CA"/>
        </w:rPr>
        <w:t>–</w:t>
      </w:r>
      <w:r w:rsidRPr="00CF4E9F">
        <w:rPr>
          <w:lang w:val="en-CA"/>
        </w:rPr>
        <w:t xml:space="preserve"> </w:t>
      </w:r>
      <w:r w:rsidR="00231C06">
        <w:rPr>
          <w:lang w:val="en-CA"/>
        </w:rPr>
        <w:t>judicially created</w:t>
      </w:r>
      <w:r w:rsidRPr="00CF4E9F">
        <w:rPr>
          <w:rStyle w:val="Appelnotedebasdep"/>
          <w:rFonts w:cs="Arial"/>
          <w:szCs w:val="24"/>
          <w:lang w:val="en-CA"/>
        </w:rPr>
        <w:footnoteReference w:id="87"/>
      </w:r>
      <w:r w:rsidRPr="00CF4E9F">
        <w:rPr>
          <w:lang w:val="en-CA"/>
        </w:rPr>
        <w:t xml:space="preserve"> </w:t>
      </w:r>
      <w:r w:rsidR="00926EE8" w:rsidRPr="00CF4E9F">
        <w:rPr>
          <w:lang w:val="en-CA"/>
        </w:rPr>
        <w:t>–</w:t>
      </w:r>
      <w:r w:rsidRPr="00CF4E9F">
        <w:rPr>
          <w:lang w:val="en-CA"/>
        </w:rPr>
        <w:t xml:space="preserve"> that the power be exercised in the pursuit of highway safety </w:t>
      </w:r>
      <w:r w:rsidR="00926EE8" w:rsidRPr="00CF4E9F">
        <w:rPr>
          <w:lang w:val="en-CA"/>
        </w:rPr>
        <w:t xml:space="preserve">does </w:t>
      </w:r>
      <w:r w:rsidRPr="00CF4E9F">
        <w:rPr>
          <w:lang w:val="en-CA"/>
        </w:rPr>
        <w:t xml:space="preserve">not </w:t>
      </w:r>
      <w:r w:rsidR="00926EE8" w:rsidRPr="00CF4E9F">
        <w:rPr>
          <w:lang w:val="en-CA"/>
        </w:rPr>
        <w:t xml:space="preserve">suffice </w:t>
      </w:r>
      <w:r w:rsidRPr="00CF4E9F">
        <w:rPr>
          <w:lang w:val="en-CA"/>
        </w:rPr>
        <w:t>to prevent racial profiling from playing a role in the selection of drivers.</w:t>
      </w:r>
      <w:r w:rsidR="0043013D" w:rsidRPr="00CF4E9F">
        <w:rPr>
          <w:lang w:val="en-CA"/>
        </w:rPr>
        <w:t xml:space="preserve"> </w:t>
      </w:r>
    </w:p>
    <w:p w14:paraId="0A7DD9A2" w14:textId="15434D57" w:rsidR="005A1C52" w:rsidRPr="00CF4E9F" w:rsidRDefault="009F0668" w:rsidP="00D80997">
      <w:pPr>
        <w:pStyle w:val="Paragraphe"/>
        <w:spacing w:line="280" w:lineRule="exact"/>
        <w:rPr>
          <w:lang w:val="en-CA"/>
        </w:rPr>
      </w:pPr>
      <w:r w:rsidRPr="00077E55">
        <w:t>The Supreme Court</w:t>
      </w:r>
      <w:r w:rsidR="00DB3F77" w:rsidRPr="00077E55">
        <w:t>,</w:t>
      </w:r>
      <w:r w:rsidRPr="00077E55">
        <w:t xml:space="preserve"> in </w:t>
      </w:r>
      <w:r w:rsidRPr="00077E55">
        <w:rPr>
          <w:i/>
        </w:rPr>
        <w:t>Qu</w:t>
      </w:r>
      <w:r w:rsidR="00CA4622" w:rsidRPr="00077E55">
        <w:rPr>
          <w:i/>
        </w:rPr>
        <w:t>e</w:t>
      </w:r>
      <w:r w:rsidRPr="00077E55">
        <w:rPr>
          <w:i/>
        </w:rPr>
        <w:t>bec (Commission des droits de la personne et des droits de la jeunesse) v. Bombardier Inc.</w:t>
      </w:r>
      <w:r w:rsidRPr="00077E55">
        <w:t xml:space="preserve"> </w:t>
      </w:r>
      <w:r w:rsidRPr="00CF4E9F">
        <w:rPr>
          <w:i/>
          <w:iCs/>
          <w:lang w:val="en-CA"/>
        </w:rPr>
        <w:t>(Bombardier Aerospace Training Center),</w:t>
      </w:r>
      <w:r w:rsidRPr="00CF4E9F">
        <w:rPr>
          <w:iCs/>
          <w:lang w:val="en-CA"/>
        </w:rPr>
        <w:t xml:space="preserve"> explained racial profiling as</w:t>
      </w:r>
      <w:r w:rsidR="00BA71E3">
        <w:rPr>
          <w:iCs/>
          <w:lang w:val="en-CA"/>
        </w:rPr>
        <w:t xml:space="preserve"> follows</w:t>
      </w:r>
      <w:r w:rsidRPr="00CF4E9F">
        <w:rPr>
          <w:iCs/>
          <w:lang w:val="en-CA"/>
        </w:rPr>
        <w:t>:</w:t>
      </w:r>
      <w:r w:rsidR="0043013D" w:rsidRPr="00CF4E9F">
        <w:rPr>
          <w:lang w:val="en-CA"/>
        </w:rPr>
        <w:t xml:space="preserve"> </w:t>
      </w:r>
    </w:p>
    <w:p w14:paraId="1912C750" w14:textId="508F15A1" w:rsidR="005A1C52" w:rsidRPr="00CF4E9F" w:rsidRDefault="0043013D" w:rsidP="005A1C52">
      <w:pPr>
        <w:pStyle w:val="Citationenretrait"/>
        <w:rPr>
          <w:lang w:val="en-CA"/>
        </w:rPr>
      </w:pPr>
      <w:r w:rsidRPr="00CF4E9F">
        <w:rPr>
          <w:lang w:val="en-CA"/>
        </w:rPr>
        <w:t>[33]</w:t>
      </w:r>
      <w:r w:rsidRPr="00CF4E9F">
        <w:rPr>
          <w:lang w:val="en-CA"/>
        </w:rPr>
        <w:tab/>
      </w:r>
      <w:r w:rsidR="00DB3F77">
        <w:rPr>
          <w:lang w:val="en-CA"/>
        </w:rPr>
        <w:t>[</w:t>
      </w:r>
      <w:r w:rsidRPr="00CF4E9F">
        <w:rPr>
          <w:lang w:val="en-CA"/>
        </w:rPr>
        <w:t>…</w:t>
      </w:r>
      <w:r w:rsidR="00DB3F77">
        <w:rPr>
          <w:lang w:val="en-CA"/>
        </w:rPr>
        <w:t>]</w:t>
      </w:r>
      <w:r w:rsidRPr="00CF4E9F">
        <w:rPr>
          <w:lang w:val="en-CA"/>
        </w:rPr>
        <w:t xml:space="preserve"> </w:t>
      </w:r>
      <w:r w:rsidR="00304EF2" w:rsidRPr="00CF4E9F">
        <w:rPr>
          <w:color w:val="000000"/>
          <w:lang w:val="en-CA"/>
        </w:rPr>
        <w:t>The concept of racial profiling was originally developed in the context of proceedings brought against the police for abuse of power, but it has since been extended to other situations</w:t>
      </w:r>
      <w:r w:rsidRPr="00CF4E9F">
        <w:rPr>
          <w:color w:val="000000"/>
          <w:lang w:val="en-CA"/>
        </w:rPr>
        <w:t>:</w:t>
      </w:r>
    </w:p>
    <w:p w14:paraId="00750908" w14:textId="31B3CCAD" w:rsidR="005A1C52" w:rsidRPr="00CF4E9F" w:rsidRDefault="00304EF2" w:rsidP="00BA65D3">
      <w:pPr>
        <w:pStyle w:val="Citationenretrait"/>
        <w:ind w:left="1440"/>
        <w:rPr>
          <w:sz w:val="20"/>
          <w:lang w:val="en-CA"/>
        </w:rPr>
      </w:pPr>
      <w:r w:rsidRPr="00CF4E9F">
        <w:rPr>
          <w:color w:val="000000"/>
          <w:sz w:val="20"/>
          <w:szCs w:val="18"/>
          <w:lang w:val="en-CA"/>
        </w:rPr>
        <w:t>Racial profiling is any action taken by one or more people in authority with respect to a person or group of persons, for reasons of safety, security or public order, that is based on actual or presumed membership in a group defined by race, colour, ethnic or national origin or religion, without factual grounds or reasonable suspicion, that results in the person or group being exposed to differential treatment or scrutiny</w:t>
      </w:r>
      <w:r w:rsidR="0043013D" w:rsidRPr="00CF4E9F">
        <w:rPr>
          <w:sz w:val="20"/>
          <w:lang w:val="en-CA"/>
        </w:rPr>
        <w:t>.</w:t>
      </w:r>
    </w:p>
    <w:p w14:paraId="24E81787" w14:textId="7ABCD661" w:rsidR="005A1C52" w:rsidRPr="00CF4E9F" w:rsidRDefault="00304EF2" w:rsidP="007A2C41">
      <w:pPr>
        <w:pStyle w:val="Citationenretrait"/>
        <w:spacing w:after="0"/>
        <w:ind w:left="1440"/>
        <w:rPr>
          <w:rFonts w:cs="Arial"/>
          <w:color w:val="000000"/>
          <w:sz w:val="20"/>
          <w:lang w:val="en-CA"/>
        </w:rPr>
      </w:pPr>
      <w:r w:rsidRPr="00CF4E9F">
        <w:rPr>
          <w:color w:val="000000"/>
          <w:sz w:val="20"/>
          <w:szCs w:val="18"/>
          <w:lang w:val="en-CA"/>
        </w:rPr>
        <w:t>Racial profiling includes any action by a person in a situation of authority who applies a measure in a disproportionate way to certain segments of the population on the basis, in particular, of their racial, ethnic, national or religious background, whether actual or presumed.</w:t>
      </w:r>
      <w:r w:rsidR="0043013D" w:rsidRPr="00CF4E9F">
        <w:rPr>
          <w:rStyle w:val="Appelnotedebasdep"/>
          <w:rFonts w:cs="Arial"/>
          <w:color w:val="000000"/>
          <w:sz w:val="20"/>
          <w:lang w:val="en-CA"/>
        </w:rPr>
        <w:footnoteReference w:id="88"/>
      </w:r>
    </w:p>
    <w:p w14:paraId="76DB628B" w14:textId="7A2C85D5" w:rsidR="005A1C52" w:rsidRPr="00CF4E9F" w:rsidRDefault="009F0668" w:rsidP="007A2C41">
      <w:pPr>
        <w:pStyle w:val="Citationenretrait"/>
        <w:spacing w:before="0"/>
        <w:jc w:val="right"/>
        <w:rPr>
          <w:lang w:val="en-CA"/>
        </w:rPr>
      </w:pPr>
      <w:r w:rsidRPr="00CF4E9F">
        <w:rPr>
          <w:lang w:val="en-CA"/>
        </w:rPr>
        <w:lastRenderedPageBreak/>
        <w:t>[</w:t>
      </w:r>
      <w:r w:rsidR="00C6704B">
        <w:rPr>
          <w:lang w:val="en-CA"/>
        </w:rPr>
        <w:t xml:space="preserve">Underlining </w:t>
      </w:r>
      <w:r w:rsidRPr="00CF4E9F">
        <w:rPr>
          <w:lang w:val="en-CA"/>
        </w:rPr>
        <w:t>omitted]</w:t>
      </w:r>
    </w:p>
    <w:p w14:paraId="5960654B" w14:textId="22BC8C38" w:rsidR="005A1C52" w:rsidRPr="00CF4E9F" w:rsidRDefault="009F0668" w:rsidP="00D80997">
      <w:pPr>
        <w:pStyle w:val="Paragraphe"/>
        <w:spacing w:line="280" w:lineRule="exact"/>
        <w:rPr>
          <w:lang w:val="en-CA"/>
        </w:rPr>
      </w:pPr>
      <w:r w:rsidRPr="00CF4E9F">
        <w:rPr>
          <w:lang w:val="en-CA"/>
        </w:rPr>
        <w:t xml:space="preserve">It is important to note that racial profiling often </w:t>
      </w:r>
      <w:r w:rsidR="008605FE">
        <w:rPr>
          <w:lang w:val="en-CA"/>
        </w:rPr>
        <w:t xml:space="preserve">results </w:t>
      </w:r>
      <w:r w:rsidRPr="00CF4E9F">
        <w:rPr>
          <w:lang w:val="en-CA"/>
        </w:rPr>
        <w:t xml:space="preserve">from </w:t>
      </w:r>
      <w:r w:rsidR="008605FE">
        <w:rPr>
          <w:lang w:val="en-CA"/>
        </w:rPr>
        <w:t>sub</w:t>
      </w:r>
      <w:r w:rsidRPr="00CF4E9F">
        <w:rPr>
          <w:lang w:val="en-CA"/>
        </w:rPr>
        <w:t xml:space="preserve">conscious </w:t>
      </w:r>
      <w:r w:rsidR="008605FE">
        <w:rPr>
          <w:lang w:val="en-CA"/>
        </w:rPr>
        <w:t xml:space="preserve">conduct </w:t>
      </w:r>
      <w:r w:rsidRPr="00CF4E9F">
        <w:rPr>
          <w:lang w:val="en-CA"/>
        </w:rPr>
        <w:t>rather than o</w:t>
      </w:r>
      <w:r w:rsidR="00344762" w:rsidRPr="00CF4E9F">
        <w:rPr>
          <w:lang w:val="en-CA"/>
        </w:rPr>
        <w:t>vert</w:t>
      </w:r>
      <w:r w:rsidRPr="00CF4E9F">
        <w:rPr>
          <w:lang w:val="en-CA"/>
        </w:rPr>
        <w:t xml:space="preserve"> racism, as the Court remarked in </w:t>
      </w:r>
      <w:r w:rsidRPr="00CF4E9F">
        <w:rPr>
          <w:i/>
          <w:lang w:val="en-CA"/>
        </w:rPr>
        <w:t>Pierre-Louis c. Québec (Ville de)</w:t>
      </w:r>
      <w:r w:rsidRPr="00CF4E9F">
        <w:rPr>
          <w:lang w:val="en-CA"/>
        </w:rPr>
        <w:t>.</w:t>
      </w:r>
      <w:r w:rsidRPr="00CF4E9F">
        <w:rPr>
          <w:rStyle w:val="Appelnotedebasdep"/>
          <w:lang w:val="en-CA"/>
        </w:rPr>
        <w:footnoteReference w:id="89"/>
      </w:r>
      <w:r w:rsidR="0043013D" w:rsidRPr="00CF4E9F">
        <w:rPr>
          <w:lang w:val="en-CA"/>
        </w:rPr>
        <w:t xml:space="preserve"> </w:t>
      </w:r>
      <w:r w:rsidR="00116E7E" w:rsidRPr="00CF4E9F">
        <w:rPr>
          <w:lang w:val="en-CA"/>
        </w:rPr>
        <w:t>Here is what Mr. Luamba’s expert, Marie-Ève Sylvestre, whose testimony was not contradicted by the AGQ, stated in this regard:</w:t>
      </w:r>
      <w:r w:rsidR="0043013D" w:rsidRPr="00CF4E9F">
        <w:rPr>
          <w:lang w:val="en-CA"/>
        </w:rPr>
        <w:t xml:space="preserve"> </w:t>
      </w:r>
    </w:p>
    <w:p w14:paraId="2F8D344F" w14:textId="7815F2BA" w:rsidR="00584193" w:rsidRPr="00CF4E9F" w:rsidRDefault="00584193" w:rsidP="005A1C52">
      <w:pPr>
        <w:pStyle w:val="Citationenretrait"/>
        <w:rPr>
          <w:lang w:val="en-CA" w:eastAsia="fr-CA"/>
        </w:rPr>
      </w:pPr>
      <w:r w:rsidRPr="00CF4E9F">
        <w:rPr>
          <w:rFonts w:cs="Arial"/>
          <w:lang w:val="en-CA" w:eastAsia="fr-CA"/>
        </w:rPr>
        <w:t>[</w:t>
      </w:r>
      <w:r w:rsidRPr="00CF4E9F">
        <w:rPr>
          <w:rFonts w:cs="Arial"/>
          <w:smallCaps/>
          <w:lang w:val="en-CA" w:eastAsia="fr-CA"/>
        </w:rPr>
        <w:t>translation</w:t>
      </w:r>
      <w:r w:rsidRPr="00CF4E9F">
        <w:rPr>
          <w:rFonts w:cs="Arial"/>
          <w:lang w:val="en-CA" w:eastAsia="fr-CA"/>
        </w:rPr>
        <w:t>]</w:t>
      </w:r>
    </w:p>
    <w:p w14:paraId="621ADAF7" w14:textId="21B6D76C" w:rsidR="005A1C52" w:rsidRPr="00CF4E9F" w:rsidRDefault="00116E7E" w:rsidP="005A1C52">
      <w:pPr>
        <w:pStyle w:val="Citationenretrait"/>
        <w:rPr>
          <w:lang w:val="en-CA" w:eastAsia="fr-CA"/>
        </w:rPr>
      </w:pPr>
      <w:r w:rsidRPr="00CF4E9F">
        <w:rPr>
          <w:lang w:val="en-CA" w:eastAsia="fr-CA"/>
        </w:rPr>
        <w:t>It is crucial to note that profiling is often subtle and insidious, rather than</w:t>
      </w:r>
      <w:r w:rsidR="005D117E">
        <w:rPr>
          <w:lang w:val="en-CA" w:eastAsia="fr-CA"/>
        </w:rPr>
        <w:t xml:space="preserve"> </w:t>
      </w:r>
      <w:r w:rsidR="00C310F9">
        <w:rPr>
          <w:lang w:val="en-CA" w:eastAsia="fr-CA"/>
        </w:rPr>
        <w:t xml:space="preserve">due to </w:t>
      </w:r>
      <w:r w:rsidRPr="00CF4E9F">
        <w:rPr>
          <w:lang w:val="en-CA" w:eastAsia="fr-CA"/>
        </w:rPr>
        <w:t>intentional and explicit</w:t>
      </w:r>
      <w:r w:rsidR="005D117E">
        <w:rPr>
          <w:lang w:val="en-CA" w:eastAsia="fr-CA"/>
        </w:rPr>
        <w:t xml:space="preserve"> conduct</w:t>
      </w:r>
      <w:r w:rsidRPr="00CF4E9F">
        <w:rPr>
          <w:lang w:val="en-CA" w:eastAsia="fr-CA"/>
        </w:rPr>
        <w:t>.</w:t>
      </w:r>
      <w:r w:rsidR="0043013D" w:rsidRPr="00CF4E9F">
        <w:rPr>
          <w:lang w:val="en-CA" w:eastAsia="fr-CA"/>
        </w:rPr>
        <w:t xml:space="preserve"> </w:t>
      </w:r>
      <w:r w:rsidRPr="00CF4E9F">
        <w:rPr>
          <w:lang w:val="en-CA" w:eastAsia="fr-CA"/>
        </w:rPr>
        <w:t xml:space="preserve">In other words, </w:t>
      </w:r>
      <w:r w:rsidR="008C290C" w:rsidRPr="00CF4E9F">
        <w:rPr>
          <w:lang w:val="en-CA" w:eastAsia="fr-CA"/>
        </w:rPr>
        <w:t>the</w:t>
      </w:r>
      <w:r w:rsidRPr="00CF4E9F">
        <w:rPr>
          <w:lang w:val="en-CA" w:eastAsia="fr-CA"/>
        </w:rPr>
        <w:t xml:space="preserve"> person in authority </w:t>
      </w:r>
      <w:r w:rsidR="008C290C" w:rsidRPr="00CF4E9F">
        <w:rPr>
          <w:lang w:val="en-CA" w:eastAsia="fr-CA"/>
        </w:rPr>
        <w:t xml:space="preserve">need </w:t>
      </w:r>
      <w:r w:rsidRPr="00CF4E9F">
        <w:rPr>
          <w:lang w:val="en-CA" w:eastAsia="fr-CA"/>
        </w:rPr>
        <w:t>not be explicitly racist or have racist motivations for profiling to occur.</w:t>
      </w:r>
      <w:r w:rsidR="0043013D" w:rsidRPr="00CF4E9F">
        <w:rPr>
          <w:lang w:val="en-CA" w:eastAsia="fr-CA"/>
        </w:rPr>
        <w:t xml:space="preserve"> </w:t>
      </w:r>
      <w:r w:rsidRPr="00CF4E9F">
        <w:rPr>
          <w:lang w:val="en-CA" w:eastAsia="fr-CA"/>
        </w:rPr>
        <w:t>Profiling may exist even in the absence of racist values advocated by individuals within an organization.</w:t>
      </w:r>
      <w:r w:rsidR="0043013D" w:rsidRPr="00CF4E9F">
        <w:rPr>
          <w:lang w:val="en-CA" w:eastAsia="fr-CA"/>
        </w:rPr>
        <w:t xml:space="preserve"> </w:t>
      </w:r>
      <w:r w:rsidR="00E27CEF" w:rsidRPr="00CF4E9F">
        <w:rPr>
          <w:lang w:val="en-CA" w:eastAsia="fr-CA"/>
        </w:rPr>
        <w:t xml:space="preserve">This is </w:t>
      </w:r>
      <w:r w:rsidR="008C290C" w:rsidRPr="00CF4E9F">
        <w:rPr>
          <w:lang w:val="en-CA" w:eastAsia="fr-CA"/>
        </w:rPr>
        <w:t xml:space="preserve">why </w:t>
      </w:r>
      <w:r w:rsidR="00E27CEF" w:rsidRPr="00CF4E9F">
        <w:rPr>
          <w:lang w:val="en-CA" w:eastAsia="fr-CA"/>
        </w:rPr>
        <w:t xml:space="preserve">profiling is </w:t>
      </w:r>
      <w:r w:rsidR="008C290C" w:rsidRPr="00CF4E9F">
        <w:rPr>
          <w:lang w:val="en-CA" w:eastAsia="fr-CA"/>
        </w:rPr>
        <w:t xml:space="preserve">detected </w:t>
      </w:r>
      <w:r w:rsidR="00E27CEF" w:rsidRPr="00CF4E9F">
        <w:rPr>
          <w:lang w:val="en-CA" w:eastAsia="fr-CA"/>
        </w:rPr>
        <w:t>when the actions, practices</w:t>
      </w:r>
      <w:r w:rsidR="008C290C" w:rsidRPr="00CF4E9F">
        <w:rPr>
          <w:lang w:val="en-CA" w:eastAsia="fr-CA"/>
        </w:rPr>
        <w:t>,</w:t>
      </w:r>
      <w:r w:rsidR="00E27CEF" w:rsidRPr="00CF4E9F">
        <w:rPr>
          <w:lang w:val="en-CA" w:eastAsia="fr-CA"/>
        </w:rPr>
        <w:t xml:space="preserve"> and decisions of a person in authority have </w:t>
      </w:r>
      <w:r w:rsidR="00794029" w:rsidRPr="00CF4E9F">
        <w:rPr>
          <w:lang w:val="en-CA" w:eastAsia="fr-CA"/>
        </w:rPr>
        <w:t xml:space="preserve">a </w:t>
      </w:r>
      <w:r w:rsidR="00E27CEF" w:rsidRPr="00CF4E9F">
        <w:rPr>
          <w:lang w:val="en-CA" w:eastAsia="fr-CA"/>
        </w:rPr>
        <w:t xml:space="preserve">disproportionate </w:t>
      </w:r>
      <w:r w:rsidR="00794029" w:rsidRPr="00CF4E9F">
        <w:rPr>
          <w:i/>
          <w:iCs/>
          <w:lang w:val="en-CA" w:eastAsia="fr-CA"/>
        </w:rPr>
        <w:t>impact</w:t>
      </w:r>
      <w:r w:rsidR="00E27CEF" w:rsidRPr="00CF4E9F">
        <w:rPr>
          <w:lang w:val="en-CA" w:eastAsia="fr-CA"/>
        </w:rPr>
        <w:t xml:space="preserve"> on identified</w:t>
      </w:r>
      <w:r w:rsidR="005D117E">
        <w:rPr>
          <w:lang w:val="en-CA" w:eastAsia="fr-CA"/>
        </w:rPr>
        <w:t xml:space="preserve"> and</w:t>
      </w:r>
      <w:r w:rsidR="00E27CEF" w:rsidRPr="00CF4E9F">
        <w:rPr>
          <w:lang w:val="en-CA" w:eastAsia="fr-CA"/>
        </w:rPr>
        <w:t xml:space="preserve"> target</w:t>
      </w:r>
      <w:r w:rsidR="008C290C" w:rsidRPr="00CF4E9F">
        <w:rPr>
          <w:lang w:val="en-CA" w:eastAsia="fr-CA"/>
        </w:rPr>
        <w:t>ed</w:t>
      </w:r>
      <w:r w:rsidR="00E27CEF" w:rsidRPr="00CF4E9F">
        <w:rPr>
          <w:lang w:val="en-CA" w:eastAsia="fr-CA"/>
        </w:rPr>
        <w:t xml:space="preserve"> groups.</w:t>
      </w:r>
      <w:r w:rsidR="0043013D" w:rsidRPr="00CF4E9F">
        <w:rPr>
          <w:rStyle w:val="Appelnotedebasdep"/>
          <w:lang w:val="en-CA" w:eastAsia="fr-CA"/>
        </w:rPr>
        <w:footnoteReference w:id="90"/>
      </w:r>
    </w:p>
    <w:p w14:paraId="2D747279" w14:textId="3B68E5AC" w:rsidR="008455E6" w:rsidRPr="00CF4E9F" w:rsidRDefault="00E27CEF" w:rsidP="008455E6">
      <w:pPr>
        <w:pStyle w:val="Citationenretrait"/>
        <w:jc w:val="right"/>
        <w:rPr>
          <w:lang w:val="en-CA" w:eastAsia="fr-CA"/>
        </w:rPr>
      </w:pPr>
      <w:r w:rsidRPr="00CF4E9F">
        <w:rPr>
          <w:lang w:val="en-CA" w:eastAsia="fr-CA"/>
        </w:rPr>
        <w:t>[</w:t>
      </w:r>
      <w:r w:rsidR="005179C3">
        <w:rPr>
          <w:lang w:val="en-CA" w:eastAsia="fr-CA"/>
        </w:rPr>
        <w:t>Itali</w:t>
      </w:r>
      <w:r w:rsidR="00291FF4">
        <w:rPr>
          <w:lang w:val="en-CA" w:eastAsia="fr-CA"/>
        </w:rPr>
        <w:t>c</w:t>
      </w:r>
      <w:r w:rsidR="005179C3">
        <w:rPr>
          <w:lang w:val="en-CA" w:eastAsia="fr-CA"/>
        </w:rPr>
        <w:t xml:space="preserve">s </w:t>
      </w:r>
      <w:r w:rsidRPr="00CF4E9F">
        <w:rPr>
          <w:lang w:val="en-CA" w:eastAsia="fr-CA"/>
        </w:rPr>
        <w:t>in the original]</w:t>
      </w:r>
    </w:p>
    <w:p w14:paraId="3B4F2513" w14:textId="7A94BC8F" w:rsidR="005A1C52" w:rsidRPr="00CF4E9F" w:rsidRDefault="00E27CEF" w:rsidP="00D80997">
      <w:pPr>
        <w:pStyle w:val="Paragraphe"/>
        <w:spacing w:line="280" w:lineRule="exact"/>
        <w:rPr>
          <w:lang w:val="en-CA"/>
        </w:rPr>
      </w:pPr>
      <w:r w:rsidRPr="00CF4E9F">
        <w:rPr>
          <w:lang w:val="en-CA"/>
        </w:rPr>
        <w:t xml:space="preserve">Racial profiling </w:t>
      </w:r>
      <w:r w:rsidR="001F0C79">
        <w:rPr>
          <w:lang w:val="en-CA"/>
        </w:rPr>
        <w:t>can</w:t>
      </w:r>
      <w:r w:rsidRPr="00CF4E9F">
        <w:rPr>
          <w:lang w:val="en-CA"/>
        </w:rPr>
        <w:t xml:space="preserve"> also exist </w:t>
      </w:r>
      <w:r w:rsidR="00584193" w:rsidRPr="00CF4E9F">
        <w:rPr>
          <w:rFonts w:cs="Arial"/>
          <w:lang w:val="en-CA"/>
        </w:rPr>
        <w:t>[</w:t>
      </w:r>
      <w:r w:rsidR="00584193" w:rsidRPr="00CF4E9F">
        <w:rPr>
          <w:rFonts w:cs="Arial"/>
          <w:smallCaps/>
          <w:lang w:val="en-CA"/>
        </w:rPr>
        <w:t>translation</w:t>
      </w:r>
      <w:r w:rsidR="00584193" w:rsidRPr="00CF4E9F">
        <w:rPr>
          <w:rFonts w:cs="Arial"/>
          <w:lang w:val="en-CA"/>
        </w:rPr>
        <w:t>]</w:t>
      </w:r>
      <w:r w:rsidR="00F8437E">
        <w:rPr>
          <w:lang w:val="en-CA"/>
        </w:rPr>
        <w:t> </w:t>
      </w:r>
      <w:r w:rsidRPr="00CF4E9F">
        <w:rPr>
          <w:lang w:val="en-CA"/>
        </w:rPr>
        <w:t>“</w:t>
      </w:r>
      <w:r w:rsidR="001F0C79">
        <w:rPr>
          <w:lang w:val="en-CA"/>
        </w:rPr>
        <w:t xml:space="preserve">despite the fact that </w:t>
      </w:r>
      <w:r w:rsidRPr="00CF4E9F">
        <w:rPr>
          <w:lang w:val="en-CA"/>
        </w:rPr>
        <w:t xml:space="preserve">the police conduct </w:t>
      </w:r>
      <w:r w:rsidR="00714C39">
        <w:rPr>
          <w:lang w:val="en-CA"/>
        </w:rPr>
        <w:t>[</w:t>
      </w:r>
      <w:r w:rsidRPr="00CF4E9F">
        <w:rPr>
          <w:lang w:val="en-CA"/>
        </w:rPr>
        <w:t>...</w:t>
      </w:r>
      <w:r w:rsidR="00714C39">
        <w:rPr>
          <w:lang w:val="en-CA"/>
        </w:rPr>
        <w:t>]</w:t>
      </w:r>
      <w:r w:rsidRPr="00CF4E9F">
        <w:rPr>
          <w:lang w:val="en-CA"/>
        </w:rPr>
        <w:t xml:space="preserve"> </w:t>
      </w:r>
      <w:r w:rsidR="001F0C79">
        <w:rPr>
          <w:lang w:val="en-CA"/>
        </w:rPr>
        <w:t xml:space="preserve">may </w:t>
      </w:r>
      <w:r w:rsidRPr="00CF4E9F">
        <w:rPr>
          <w:lang w:val="en-CA"/>
        </w:rPr>
        <w:t xml:space="preserve">be justified without recourse to </w:t>
      </w:r>
      <w:r w:rsidR="001F0C79">
        <w:rPr>
          <w:lang w:val="en-CA"/>
        </w:rPr>
        <w:t xml:space="preserve">race-based </w:t>
      </w:r>
      <w:r w:rsidRPr="00CF4E9F">
        <w:rPr>
          <w:lang w:val="en-CA"/>
        </w:rPr>
        <w:t>negative stereotypes”.</w:t>
      </w:r>
      <w:r w:rsidRPr="00CF4E9F">
        <w:rPr>
          <w:rStyle w:val="Appelnotedebasdep"/>
          <w:lang w:val="en-CA"/>
        </w:rPr>
        <w:footnoteReference w:id="91"/>
      </w:r>
    </w:p>
    <w:p w14:paraId="664E2098" w14:textId="258CCD90" w:rsidR="005A1C52" w:rsidRPr="00CF4E9F" w:rsidRDefault="00E27CEF" w:rsidP="00D80997">
      <w:pPr>
        <w:pStyle w:val="Paragraphe"/>
        <w:spacing w:line="280" w:lineRule="exact"/>
        <w:rPr>
          <w:lang w:val="en-CA"/>
        </w:rPr>
      </w:pPr>
      <w:r w:rsidRPr="00CF4E9F">
        <w:rPr>
          <w:lang w:val="en-CA"/>
        </w:rPr>
        <w:t>Here, the trial judge found that</w:t>
      </w:r>
      <w:r w:rsidR="001F3C17">
        <w:rPr>
          <w:lang w:val="en-CA"/>
        </w:rPr>
        <w:t xml:space="preserve"> it </w:t>
      </w:r>
      <w:r w:rsidR="00C310F9">
        <w:rPr>
          <w:lang w:val="en-CA"/>
        </w:rPr>
        <w:t>i</w:t>
      </w:r>
      <w:r w:rsidR="001F3C17">
        <w:rPr>
          <w:lang w:val="en-CA"/>
        </w:rPr>
        <w:t>s</w:t>
      </w:r>
      <w:r w:rsidRPr="00CF4E9F">
        <w:rPr>
          <w:lang w:val="en-CA"/>
        </w:rPr>
        <w:t xml:space="preserve"> the discretion </w:t>
      </w:r>
      <w:r w:rsidR="00E21B84" w:rsidRPr="00CF4E9F">
        <w:rPr>
          <w:lang w:val="en-CA"/>
        </w:rPr>
        <w:t xml:space="preserve">conferred </w:t>
      </w:r>
      <w:r w:rsidRPr="00CF4E9F">
        <w:rPr>
          <w:lang w:val="en-CA"/>
        </w:rPr>
        <w:t>o</w:t>
      </w:r>
      <w:r w:rsidR="00E21B84" w:rsidRPr="00CF4E9F">
        <w:rPr>
          <w:lang w:val="en-CA"/>
        </w:rPr>
        <w:t>n</w:t>
      </w:r>
      <w:r w:rsidRPr="00CF4E9F">
        <w:rPr>
          <w:lang w:val="en-CA"/>
        </w:rPr>
        <w:t xml:space="preserve"> the police by </w:t>
      </w:r>
      <w:r w:rsidR="00162E51">
        <w:rPr>
          <w:lang w:val="en-CA"/>
        </w:rPr>
        <w:t>s. </w:t>
      </w:r>
      <w:r w:rsidRPr="00CF4E9F">
        <w:rPr>
          <w:lang w:val="en-CA"/>
        </w:rPr>
        <w:t>636</w:t>
      </w:r>
      <w:r w:rsidR="0030762F" w:rsidRPr="0030762F">
        <w:rPr>
          <w:i/>
          <w:lang w:val="en-CA"/>
        </w:rPr>
        <w:t> HSC</w:t>
      </w:r>
      <w:r w:rsidRPr="00CF4E9F">
        <w:rPr>
          <w:lang w:val="en-CA"/>
        </w:rPr>
        <w:t xml:space="preserve"> </w:t>
      </w:r>
      <w:r w:rsidR="00063079">
        <w:rPr>
          <w:lang w:val="en-CA"/>
        </w:rPr>
        <w:t xml:space="preserve">that </w:t>
      </w:r>
      <w:r w:rsidRPr="00CF4E9F">
        <w:rPr>
          <w:lang w:val="en-CA"/>
        </w:rPr>
        <w:t>enable</w:t>
      </w:r>
      <w:r w:rsidR="00E21B84" w:rsidRPr="00CF4E9F">
        <w:rPr>
          <w:lang w:val="en-CA"/>
        </w:rPr>
        <w:t>s</w:t>
      </w:r>
      <w:r w:rsidRPr="00CF4E9F">
        <w:rPr>
          <w:lang w:val="en-CA"/>
        </w:rPr>
        <w:t xml:space="preserve"> racial profiling to </w:t>
      </w:r>
      <w:r w:rsidR="00063079">
        <w:rPr>
          <w:lang w:val="en-CA"/>
        </w:rPr>
        <w:t xml:space="preserve">permeate </w:t>
      </w:r>
      <w:r w:rsidRPr="00CF4E9F">
        <w:rPr>
          <w:lang w:val="en-CA"/>
        </w:rPr>
        <w:t>the selection of drivers to stop.</w:t>
      </w:r>
      <w:r w:rsidR="0043013D" w:rsidRPr="00CF4E9F">
        <w:rPr>
          <w:lang w:val="en-CA"/>
        </w:rPr>
        <w:t xml:space="preserve"> </w:t>
      </w:r>
      <w:r w:rsidRPr="00CF4E9F">
        <w:rPr>
          <w:lang w:val="en-CA"/>
        </w:rPr>
        <w:t xml:space="preserve">According to the judge, the exercise of this power </w:t>
      </w:r>
      <w:r w:rsidR="00CE458A" w:rsidRPr="00CF4E9F">
        <w:rPr>
          <w:lang w:val="en-CA"/>
        </w:rPr>
        <w:t>d</w:t>
      </w:r>
      <w:r w:rsidRPr="00CF4E9F">
        <w:rPr>
          <w:lang w:val="en-CA"/>
        </w:rPr>
        <w:t>e</w:t>
      </w:r>
      <w:r w:rsidR="00CE458A" w:rsidRPr="00CF4E9F">
        <w:rPr>
          <w:lang w:val="en-CA"/>
        </w:rPr>
        <w:t>pends</w:t>
      </w:r>
      <w:r w:rsidRPr="00CF4E9F">
        <w:rPr>
          <w:lang w:val="en-CA"/>
        </w:rPr>
        <w:t xml:space="preserve"> solely on intuition (or a </w:t>
      </w:r>
      <w:r w:rsidR="001F3C17">
        <w:rPr>
          <w:lang w:val="en-CA"/>
        </w:rPr>
        <w:t>[</w:t>
      </w:r>
      <w:r w:rsidR="001F3C17" w:rsidRPr="00E14CD1">
        <w:rPr>
          <w:smallCaps/>
          <w:lang w:val="en-CA"/>
        </w:rPr>
        <w:t>translation</w:t>
      </w:r>
      <w:r w:rsidR="001F3C17">
        <w:rPr>
          <w:lang w:val="en-CA"/>
        </w:rPr>
        <w:t>]</w:t>
      </w:r>
      <w:r w:rsidR="00F8437E">
        <w:rPr>
          <w:lang w:val="en-CA"/>
        </w:rPr>
        <w:t> </w:t>
      </w:r>
      <w:r w:rsidRPr="00CF4E9F">
        <w:rPr>
          <w:lang w:val="en-CA"/>
        </w:rPr>
        <w:t>“police hunch”) and it is impossible to determine the mental process leading to the selection of a given driver.</w:t>
      </w:r>
      <w:r w:rsidR="0043013D" w:rsidRPr="00CF4E9F">
        <w:rPr>
          <w:lang w:val="en-CA"/>
        </w:rPr>
        <w:t xml:space="preserve"> </w:t>
      </w:r>
      <w:r w:rsidRPr="00CF4E9F">
        <w:rPr>
          <w:lang w:val="en-CA"/>
        </w:rPr>
        <w:t>Racial profiling m</w:t>
      </w:r>
      <w:r w:rsidR="00CE458A" w:rsidRPr="00CF4E9F">
        <w:rPr>
          <w:lang w:val="en-CA"/>
        </w:rPr>
        <w:t xml:space="preserve">ay </w:t>
      </w:r>
      <w:r w:rsidR="006C5F5A">
        <w:rPr>
          <w:lang w:val="en-CA"/>
        </w:rPr>
        <w:t xml:space="preserve">therefore </w:t>
      </w:r>
      <w:r w:rsidR="00CE458A" w:rsidRPr="00CF4E9F">
        <w:rPr>
          <w:lang w:val="en-CA"/>
        </w:rPr>
        <w:t xml:space="preserve">arise </w:t>
      </w:r>
      <w:r w:rsidRPr="00CF4E9F">
        <w:rPr>
          <w:lang w:val="en-CA"/>
        </w:rPr>
        <w:t>unconscious</w:t>
      </w:r>
      <w:r w:rsidR="00CE458A" w:rsidRPr="00CF4E9F">
        <w:rPr>
          <w:lang w:val="en-CA"/>
        </w:rPr>
        <w:t>ly</w:t>
      </w:r>
      <w:r w:rsidRPr="00CF4E9F">
        <w:rPr>
          <w:lang w:val="en-CA"/>
        </w:rPr>
        <w:t>:</w:t>
      </w:r>
      <w:r w:rsidR="0043013D" w:rsidRPr="00CF4E9F">
        <w:rPr>
          <w:lang w:val="en-CA"/>
        </w:rPr>
        <w:t xml:space="preserve"> </w:t>
      </w:r>
    </w:p>
    <w:p w14:paraId="33BD373F" w14:textId="76061303" w:rsidR="00304EF2" w:rsidRPr="00CF4E9F" w:rsidRDefault="00304EF2" w:rsidP="005A1C52">
      <w:pPr>
        <w:pStyle w:val="Citationenretrait"/>
        <w:rPr>
          <w:lang w:val="en-CA" w:eastAsia="fr-CA"/>
        </w:rPr>
      </w:pPr>
      <w:r w:rsidRPr="00CF4E9F">
        <w:rPr>
          <w:rFonts w:cs="Arial"/>
          <w:lang w:val="en-CA" w:eastAsia="fr-CA"/>
        </w:rPr>
        <w:lastRenderedPageBreak/>
        <w:t>[</w:t>
      </w:r>
      <w:r w:rsidRPr="00CF4E9F">
        <w:rPr>
          <w:rFonts w:cs="Arial"/>
          <w:smallCaps/>
          <w:lang w:val="en-CA" w:eastAsia="fr-CA"/>
        </w:rPr>
        <w:t>translation</w:t>
      </w:r>
      <w:r w:rsidRPr="00CF4E9F">
        <w:rPr>
          <w:rFonts w:cs="Arial"/>
          <w:lang w:val="en-CA" w:eastAsia="fr-CA"/>
        </w:rPr>
        <w:t>]</w:t>
      </w:r>
    </w:p>
    <w:p w14:paraId="5E454720" w14:textId="5A78C49D" w:rsidR="005A1C52" w:rsidRPr="00CF4E9F" w:rsidRDefault="0043013D" w:rsidP="005A1C52">
      <w:pPr>
        <w:pStyle w:val="Citationenretrait"/>
        <w:rPr>
          <w:lang w:val="en-CA" w:eastAsia="fr-CA"/>
        </w:rPr>
      </w:pPr>
      <w:r w:rsidRPr="00CF4E9F">
        <w:rPr>
          <w:lang w:val="en-CA" w:eastAsia="fr-CA"/>
        </w:rPr>
        <w:t>[632]</w:t>
      </w:r>
      <w:r w:rsidRPr="00CF4E9F">
        <w:rPr>
          <w:rFonts w:ascii="Times New Roman" w:hAnsi="Times New Roman"/>
          <w:sz w:val="12"/>
          <w:szCs w:val="12"/>
          <w:lang w:val="en-CA" w:eastAsia="fr-CA"/>
        </w:rPr>
        <w:tab/>
      </w:r>
      <w:r w:rsidR="00304EF2" w:rsidRPr="00CF4E9F">
        <w:rPr>
          <w:bCs/>
          <w:lang w:val="en-CA"/>
        </w:rPr>
        <w:t xml:space="preserve">In fact, the discretion to temporarily deprive a citizen of his or her freedom in this context is as arbitrary and as uncontrolled as can be. Reduced to its simplest terms, it depends solely on intuition because it requires neither factual grounds nor suspicion. It is the result of an unknowable mental process. As we have seen, it can take place without leaving a trace. It is subject to no specific framework other than a reminder given to police officers that racial profiling is prohibited. Even the new chapter of the </w:t>
      </w:r>
      <w:r w:rsidR="00304EF2" w:rsidRPr="00CF4E9F">
        <w:rPr>
          <w:bCs/>
          <w:i/>
          <w:lang w:val="en-CA"/>
        </w:rPr>
        <w:t>Guide de pratiques policières</w:t>
      </w:r>
      <w:r w:rsidR="00304EF2" w:rsidRPr="00CF4E9F">
        <w:rPr>
          <w:bCs/>
          <w:lang w:val="en-CA"/>
        </w:rPr>
        <w:t xml:space="preserve"> (s. 2.1.7, </w:t>
      </w:r>
      <w:r w:rsidR="00304EF2" w:rsidRPr="00CF4E9F">
        <w:rPr>
          <w:bCs/>
          <w:i/>
          <w:iCs/>
          <w:lang w:val="en-CA"/>
        </w:rPr>
        <w:t>Interpellation policière</w:t>
      </w:r>
      <w:r w:rsidR="00304EF2" w:rsidRPr="00CF4E9F">
        <w:rPr>
          <w:bCs/>
          <w:lang w:val="en-CA"/>
        </w:rPr>
        <w:t xml:space="preserve">) does not specifically address it. It is in fact illusory to identify what triggers the intuition of police officers that leads to one </w:t>
      </w:r>
      <w:r w:rsidR="007544FF">
        <w:rPr>
          <w:bCs/>
          <w:lang w:val="en-CA"/>
        </w:rPr>
        <w:t>traffic</w:t>
      </w:r>
      <w:r w:rsidR="007544FF" w:rsidRPr="00CF4E9F">
        <w:rPr>
          <w:bCs/>
          <w:lang w:val="en-CA"/>
        </w:rPr>
        <w:t xml:space="preserve"> </w:t>
      </w:r>
      <w:r w:rsidR="00304EF2" w:rsidRPr="00CF4E9F">
        <w:rPr>
          <w:bCs/>
          <w:lang w:val="en-CA"/>
        </w:rPr>
        <w:t xml:space="preserve">stop rather than another. Racial profiling is insidious, and the police officer is not necessarily driven by racist values. For the victims, establishing proof of this mindset, other than providing a list of indicators of racial profiling and circumstantial evidence when possible, is almost </w:t>
      </w:r>
      <w:r w:rsidR="00190E92">
        <w:rPr>
          <w:bCs/>
          <w:lang w:val="en-CA"/>
        </w:rPr>
        <w:t>an insurmountable task</w:t>
      </w:r>
      <w:r w:rsidRPr="00CF4E9F">
        <w:rPr>
          <w:lang w:val="en-CA" w:eastAsia="fr-CA"/>
        </w:rPr>
        <w:t>.</w:t>
      </w:r>
    </w:p>
    <w:p w14:paraId="22C683A6" w14:textId="7032BDF8" w:rsidR="005A1C52" w:rsidRPr="00CF4E9F" w:rsidRDefault="0043013D" w:rsidP="005A1C52">
      <w:pPr>
        <w:pStyle w:val="Citationenretrait"/>
        <w:rPr>
          <w:lang w:val="en-CA" w:eastAsia="fr-CA"/>
        </w:rPr>
      </w:pPr>
      <w:r w:rsidRPr="00CF4E9F">
        <w:rPr>
          <w:lang w:val="en-CA" w:eastAsia="fr-CA"/>
        </w:rPr>
        <w:t>[633]</w:t>
      </w:r>
      <w:r w:rsidRPr="00CF4E9F">
        <w:rPr>
          <w:rFonts w:ascii="Times New Roman" w:hAnsi="Times New Roman"/>
          <w:sz w:val="12"/>
          <w:szCs w:val="12"/>
          <w:lang w:val="en-CA" w:eastAsia="fr-CA"/>
        </w:rPr>
        <w:tab/>
      </w:r>
      <w:r w:rsidR="00304EF2" w:rsidRPr="00CF4E9F">
        <w:rPr>
          <w:lang w:val="en-CA"/>
        </w:rPr>
        <w:t xml:space="preserve">All of these factors are inherent in the law authorizing </w:t>
      </w:r>
      <w:r w:rsidR="00670A4B">
        <w:rPr>
          <w:i/>
          <w:lang w:val="en-CA"/>
        </w:rPr>
        <w:t xml:space="preserve">traffic </w:t>
      </w:r>
      <w:r w:rsidR="00304EF2" w:rsidRPr="00CF4E9F">
        <w:rPr>
          <w:i/>
          <w:lang w:val="en-CA"/>
        </w:rPr>
        <w:t xml:space="preserve">stops without factual grounds </w:t>
      </w:r>
      <w:r w:rsidR="00304EF2" w:rsidRPr="00CF4E9F">
        <w:rPr>
          <w:iCs/>
          <w:lang w:val="en-CA"/>
        </w:rPr>
        <w:t xml:space="preserve">outside an organized </w:t>
      </w:r>
      <w:r w:rsidR="00304EF2" w:rsidRPr="00CF4E9F">
        <w:rPr>
          <w:lang w:val="en-CA"/>
        </w:rPr>
        <w:t xml:space="preserve">program. The law thus becomes a vector for racial profiling in and of itself </w:t>
      </w:r>
      <w:r w:rsidR="005253CB">
        <w:rPr>
          <w:lang w:val="en-CA"/>
        </w:rPr>
        <w:t>[</w:t>
      </w:r>
      <w:r w:rsidRPr="00CF4E9F">
        <w:rPr>
          <w:lang w:val="en-CA" w:eastAsia="fr-CA"/>
        </w:rPr>
        <w:t>…</w:t>
      </w:r>
      <w:r w:rsidR="005253CB">
        <w:rPr>
          <w:lang w:val="en-CA" w:eastAsia="fr-CA"/>
        </w:rPr>
        <w:t>]</w:t>
      </w:r>
      <w:r w:rsidRPr="00CF4E9F">
        <w:rPr>
          <w:lang w:val="en-CA" w:eastAsia="fr-CA"/>
        </w:rPr>
        <w:t>.</w:t>
      </w:r>
    </w:p>
    <w:p w14:paraId="34B535CC" w14:textId="16B9ABAB" w:rsidR="005A1C52" w:rsidRPr="00CF4E9F" w:rsidRDefault="00E27CEF" w:rsidP="005A1C52">
      <w:pPr>
        <w:pStyle w:val="Citationenretrait"/>
        <w:jc w:val="right"/>
        <w:rPr>
          <w:lang w:val="en-CA" w:eastAsia="fr-CA"/>
        </w:rPr>
      </w:pPr>
      <w:r w:rsidRPr="00CF4E9F">
        <w:rPr>
          <w:lang w:val="en-CA" w:eastAsia="fr-CA"/>
        </w:rPr>
        <w:t>[Bold</w:t>
      </w:r>
      <w:r w:rsidR="005253CB">
        <w:rPr>
          <w:lang w:val="en-CA" w:eastAsia="fr-CA"/>
        </w:rPr>
        <w:t>face</w:t>
      </w:r>
      <w:r w:rsidRPr="00CF4E9F">
        <w:rPr>
          <w:lang w:val="en-CA" w:eastAsia="fr-CA"/>
        </w:rPr>
        <w:t xml:space="preserve"> and references omitted]</w:t>
      </w:r>
    </w:p>
    <w:p w14:paraId="5A11E80A" w14:textId="1DC98299" w:rsidR="001A3EF8" w:rsidRPr="00CF4E9F" w:rsidRDefault="00E27CEF" w:rsidP="00D80997">
      <w:pPr>
        <w:pStyle w:val="Paragraphe"/>
        <w:spacing w:line="280" w:lineRule="exact"/>
        <w:rPr>
          <w:lang w:val="en-CA"/>
        </w:rPr>
      </w:pPr>
      <w:r w:rsidRPr="00CF4E9F">
        <w:rPr>
          <w:lang w:val="en-CA"/>
        </w:rPr>
        <w:t xml:space="preserve">As the judge noted, </w:t>
      </w:r>
      <w:r w:rsidR="00B94F94">
        <w:rPr>
          <w:lang w:val="en-CA"/>
        </w:rPr>
        <w:t>proving</w:t>
      </w:r>
      <w:r w:rsidRPr="00CF4E9F">
        <w:rPr>
          <w:lang w:val="en-CA"/>
        </w:rPr>
        <w:t xml:space="preserve"> racial profiling is </w:t>
      </w:r>
      <w:r w:rsidR="00B94F94">
        <w:rPr>
          <w:lang w:val="en-CA"/>
        </w:rPr>
        <w:t>highly</w:t>
      </w:r>
      <w:r w:rsidRPr="00CF4E9F">
        <w:rPr>
          <w:lang w:val="en-CA"/>
        </w:rPr>
        <w:t xml:space="preserve"> complex.</w:t>
      </w:r>
      <w:r w:rsidR="005A1C52" w:rsidRPr="00CF4E9F">
        <w:rPr>
          <w:lang w:val="en-CA"/>
        </w:rPr>
        <w:t xml:space="preserve"> </w:t>
      </w:r>
      <w:r w:rsidRPr="00CF4E9F">
        <w:rPr>
          <w:lang w:val="en-CA"/>
        </w:rPr>
        <w:t xml:space="preserve">For example, even if a police officer who stops a Black driver does not ask </w:t>
      </w:r>
      <w:r w:rsidR="00B94F94">
        <w:rPr>
          <w:lang w:val="en-CA"/>
        </w:rPr>
        <w:t>that driver</w:t>
      </w:r>
      <w:r w:rsidR="00B94F94" w:rsidRPr="00CF4E9F">
        <w:rPr>
          <w:lang w:val="en-CA"/>
        </w:rPr>
        <w:t xml:space="preserve"> </w:t>
      </w:r>
      <w:r w:rsidRPr="00CF4E9F">
        <w:rPr>
          <w:lang w:val="en-CA"/>
        </w:rPr>
        <w:t>anything unrelated to the</w:t>
      </w:r>
      <w:r w:rsidR="0030762F" w:rsidRPr="0030762F">
        <w:rPr>
          <w:i/>
          <w:lang w:val="en-CA"/>
        </w:rPr>
        <w:t> HSC</w:t>
      </w:r>
      <w:r w:rsidRPr="00CF4E9F">
        <w:rPr>
          <w:lang w:val="en-CA"/>
        </w:rPr>
        <w:t xml:space="preserve"> and </w:t>
      </w:r>
      <w:r w:rsidR="00B94F94">
        <w:rPr>
          <w:lang w:val="en-CA"/>
        </w:rPr>
        <w:t>moreover</w:t>
      </w:r>
      <w:r w:rsidR="00B94F94" w:rsidRPr="00CF4E9F">
        <w:rPr>
          <w:lang w:val="en-CA"/>
        </w:rPr>
        <w:t xml:space="preserve"> </w:t>
      </w:r>
      <w:r w:rsidRPr="00CF4E9F">
        <w:rPr>
          <w:lang w:val="en-CA"/>
        </w:rPr>
        <w:t xml:space="preserve">follows the </w:t>
      </w:r>
      <w:r w:rsidR="0025591E" w:rsidRPr="00CF4E9F">
        <w:rPr>
          <w:lang w:val="en-CA"/>
        </w:rPr>
        <w:t xml:space="preserve">letter of the </w:t>
      </w:r>
      <w:r w:rsidRPr="00CF4E9F">
        <w:rPr>
          <w:lang w:val="en-CA"/>
        </w:rPr>
        <w:t xml:space="preserve">law, racial profiling may have played a role in </w:t>
      </w:r>
      <w:r w:rsidR="00B94F94">
        <w:rPr>
          <w:lang w:val="en-CA"/>
        </w:rPr>
        <w:t>the officer’s</w:t>
      </w:r>
      <w:r w:rsidR="00B94F94" w:rsidRPr="00CF4E9F">
        <w:rPr>
          <w:lang w:val="en-CA"/>
        </w:rPr>
        <w:t xml:space="preserve"> </w:t>
      </w:r>
      <w:r w:rsidRPr="00CF4E9F">
        <w:rPr>
          <w:lang w:val="en-CA"/>
        </w:rPr>
        <w:t xml:space="preserve">decision to stop that driver. Due to the total absence of criteria governing the selection of drivers and vehicles, even </w:t>
      </w:r>
      <w:r w:rsidR="0025591E" w:rsidRPr="00CF4E9F">
        <w:rPr>
          <w:lang w:val="en-CA"/>
        </w:rPr>
        <w:t>un</w:t>
      </w:r>
      <w:r w:rsidRPr="00CF4E9F">
        <w:rPr>
          <w:lang w:val="en-CA"/>
        </w:rPr>
        <w:t>conscious racial profiling may influence this selection.</w:t>
      </w:r>
      <w:r w:rsidR="005A1C52" w:rsidRPr="00CF4E9F">
        <w:rPr>
          <w:lang w:val="en-CA"/>
        </w:rPr>
        <w:t xml:space="preserve"> </w:t>
      </w:r>
      <w:r w:rsidRPr="00CF4E9F">
        <w:rPr>
          <w:lang w:val="en-CA"/>
        </w:rPr>
        <w:t xml:space="preserve">In many cases, the police are </w:t>
      </w:r>
      <w:r w:rsidR="0025591E" w:rsidRPr="00CF4E9F">
        <w:rPr>
          <w:lang w:val="en-CA"/>
        </w:rPr>
        <w:t>unaware</w:t>
      </w:r>
      <w:r w:rsidRPr="00CF4E9F">
        <w:rPr>
          <w:lang w:val="en-CA"/>
        </w:rPr>
        <w:t xml:space="preserve"> that the driver’s race played a role in the vehicle being stopped.</w:t>
      </w:r>
      <w:r w:rsidRPr="00CF4E9F">
        <w:rPr>
          <w:rStyle w:val="Appelnotedebasdep"/>
          <w:lang w:val="en-CA"/>
        </w:rPr>
        <w:footnoteReference w:id="92"/>
      </w:r>
      <w:r w:rsidR="005A1C52" w:rsidRPr="00CF4E9F">
        <w:rPr>
          <w:lang w:val="en-CA"/>
        </w:rPr>
        <w:t xml:space="preserve"> </w:t>
      </w:r>
      <w:r w:rsidRPr="00CF4E9F">
        <w:rPr>
          <w:lang w:val="en-CA"/>
        </w:rPr>
        <w:t>Indeed, according to expert Massimiliano Mulone, retained by Mr. Luamba, the vast majority of police officers believe that their work is not influenced by racial profiling.</w:t>
      </w:r>
      <w:r w:rsidRPr="00CF4E9F">
        <w:rPr>
          <w:rStyle w:val="Appelnotedebasdep"/>
          <w:lang w:val="en-CA"/>
        </w:rPr>
        <w:footnoteReference w:id="93"/>
      </w:r>
    </w:p>
    <w:p w14:paraId="1E4F99D6" w14:textId="27725184" w:rsidR="005A1C52" w:rsidRPr="00CF4E9F" w:rsidRDefault="001B2308" w:rsidP="00D80997">
      <w:pPr>
        <w:pStyle w:val="Paragraphe"/>
        <w:spacing w:line="280" w:lineRule="exact"/>
        <w:rPr>
          <w:lang w:val="en-CA"/>
        </w:rPr>
      </w:pPr>
      <w:r>
        <w:rPr>
          <w:lang w:val="en-CA"/>
        </w:rPr>
        <w:t>T</w:t>
      </w:r>
      <w:r w:rsidR="00E27CEF" w:rsidRPr="00CF4E9F">
        <w:rPr>
          <w:lang w:val="en-CA"/>
        </w:rPr>
        <w:t>he expert evidence and scientific literature</w:t>
      </w:r>
      <w:r>
        <w:rPr>
          <w:lang w:val="en-CA"/>
        </w:rPr>
        <w:t>, however,</w:t>
      </w:r>
      <w:r w:rsidR="00E27CEF" w:rsidRPr="00CF4E9F">
        <w:rPr>
          <w:lang w:val="en-CA"/>
        </w:rPr>
        <w:t xml:space="preserve"> establish that racial profiling plays a role in traffic stops with no required grounds.</w:t>
      </w:r>
      <w:r w:rsidR="00ED33C2" w:rsidRPr="00CF4E9F">
        <w:rPr>
          <w:lang w:val="en-CA"/>
        </w:rPr>
        <w:t xml:space="preserve"> </w:t>
      </w:r>
      <w:r w:rsidR="00E27CEF" w:rsidRPr="00CF4E9F">
        <w:rPr>
          <w:lang w:val="en-CA"/>
        </w:rPr>
        <w:t>As will be seen in</w:t>
      </w:r>
      <w:r w:rsidR="00E046B4">
        <w:rPr>
          <w:lang w:val="en-CA"/>
        </w:rPr>
        <w:t xml:space="preserve"> greater</w:t>
      </w:r>
      <w:r w:rsidR="00E27CEF" w:rsidRPr="00CF4E9F">
        <w:rPr>
          <w:lang w:val="en-CA"/>
        </w:rPr>
        <w:t xml:space="preserve"> detail in the </w:t>
      </w:r>
      <w:r w:rsidR="00EE6527">
        <w:rPr>
          <w:lang w:val="en-CA"/>
        </w:rPr>
        <w:t xml:space="preserve">part of this judgment addressing </w:t>
      </w:r>
      <w:r w:rsidR="00162E51">
        <w:rPr>
          <w:lang w:val="en-CA"/>
        </w:rPr>
        <w:t>s. </w:t>
      </w:r>
      <w:r w:rsidR="00E27CEF" w:rsidRPr="00CF4E9F">
        <w:rPr>
          <w:lang w:val="en-CA"/>
        </w:rPr>
        <w:t xml:space="preserve">15 of the </w:t>
      </w:r>
      <w:r w:rsidR="00E27CEF" w:rsidRPr="00CF4E9F">
        <w:rPr>
          <w:i/>
          <w:lang w:val="en-CA"/>
        </w:rPr>
        <w:t>Charter</w:t>
      </w:r>
      <w:r w:rsidR="00E27CEF" w:rsidRPr="00CF4E9F">
        <w:rPr>
          <w:lang w:val="en-CA"/>
        </w:rPr>
        <w:t>,</w:t>
      </w:r>
      <w:r w:rsidR="00E27CEF" w:rsidRPr="00CF4E9F">
        <w:rPr>
          <w:rStyle w:val="Appelnotedebasdep"/>
          <w:lang w:val="en-CA"/>
        </w:rPr>
        <w:footnoteReference w:id="94"/>
      </w:r>
      <w:r w:rsidR="00E27CEF" w:rsidRPr="00CF4E9F">
        <w:rPr>
          <w:lang w:val="en-CA"/>
        </w:rPr>
        <w:t xml:space="preserve"> expert Mulone explained that non-White people, and particular</w:t>
      </w:r>
      <w:r w:rsidR="003D2A69" w:rsidRPr="00CF4E9F">
        <w:rPr>
          <w:lang w:val="en-CA"/>
        </w:rPr>
        <w:t>ly</w:t>
      </w:r>
      <w:r w:rsidR="00E27CEF" w:rsidRPr="00CF4E9F">
        <w:rPr>
          <w:lang w:val="en-CA"/>
        </w:rPr>
        <w:t xml:space="preserve"> Black people, </w:t>
      </w:r>
      <w:r w:rsidR="0025591E" w:rsidRPr="00CF4E9F">
        <w:rPr>
          <w:rFonts w:cs="Arial"/>
          <w:lang w:val="en-CA"/>
        </w:rPr>
        <w:t>[</w:t>
      </w:r>
      <w:r w:rsidR="0025591E" w:rsidRPr="00CF4E9F">
        <w:rPr>
          <w:rFonts w:cs="Arial"/>
          <w:smallCaps/>
          <w:lang w:val="en-CA"/>
        </w:rPr>
        <w:t>translation</w:t>
      </w:r>
      <w:r w:rsidR="0025591E" w:rsidRPr="00CF4E9F">
        <w:rPr>
          <w:rFonts w:cs="Arial"/>
          <w:lang w:val="en-CA"/>
        </w:rPr>
        <w:t>]</w:t>
      </w:r>
      <w:r w:rsidR="00F8437E">
        <w:rPr>
          <w:lang w:val="en-CA"/>
        </w:rPr>
        <w:t> </w:t>
      </w:r>
      <w:r w:rsidR="00E27CEF" w:rsidRPr="00CF4E9F">
        <w:rPr>
          <w:lang w:val="en-CA"/>
        </w:rPr>
        <w:t xml:space="preserve">“are systematically </w:t>
      </w:r>
      <w:r w:rsidR="005C64AC" w:rsidRPr="00CF4E9F">
        <w:rPr>
          <w:lang w:val="en-CA"/>
        </w:rPr>
        <w:t xml:space="preserve">more often </w:t>
      </w:r>
      <w:r w:rsidR="00E27CEF" w:rsidRPr="00CF4E9F">
        <w:rPr>
          <w:lang w:val="en-CA"/>
        </w:rPr>
        <w:t>checked and/or stopped</w:t>
      </w:r>
      <w:r w:rsidR="005C64AC" w:rsidRPr="00CF4E9F">
        <w:rPr>
          <w:lang w:val="en-CA"/>
        </w:rPr>
        <w:t>,</w:t>
      </w:r>
      <w:r w:rsidR="00E27CEF" w:rsidRPr="00CF4E9F">
        <w:rPr>
          <w:rStyle w:val="Appelnotedebasdep"/>
          <w:lang w:val="en-CA"/>
        </w:rPr>
        <w:footnoteReference w:id="95"/>
      </w:r>
      <w:r w:rsidR="00E27CEF" w:rsidRPr="00CF4E9F">
        <w:rPr>
          <w:lang w:val="en-CA"/>
        </w:rPr>
        <w:t xml:space="preserve"> wherever </w:t>
      </w:r>
      <w:r w:rsidR="005C64AC" w:rsidRPr="00CF4E9F">
        <w:rPr>
          <w:lang w:val="en-CA"/>
        </w:rPr>
        <w:t xml:space="preserve">and however one </w:t>
      </w:r>
      <w:r w:rsidR="00E27CEF" w:rsidRPr="00CF4E9F">
        <w:rPr>
          <w:lang w:val="en-CA"/>
        </w:rPr>
        <w:t>look</w:t>
      </w:r>
      <w:r w:rsidR="005C64AC" w:rsidRPr="00CF4E9F">
        <w:rPr>
          <w:lang w:val="en-CA"/>
        </w:rPr>
        <w:t>s at it</w:t>
      </w:r>
      <w:r w:rsidR="00E27CEF" w:rsidRPr="00CF4E9F">
        <w:rPr>
          <w:lang w:val="en-CA"/>
        </w:rPr>
        <w:t xml:space="preserve">, sometimes in </w:t>
      </w:r>
      <w:r w:rsidR="00E27CEF" w:rsidRPr="00CF4E9F">
        <w:rPr>
          <w:lang w:val="en-CA"/>
        </w:rPr>
        <w:lastRenderedPageBreak/>
        <w:t xml:space="preserve">much higher proportions (especially when you look at </w:t>
      </w:r>
      <w:r w:rsidR="005973AF" w:rsidRPr="00CF4E9F">
        <w:rPr>
          <w:lang w:val="en-CA"/>
        </w:rPr>
        <w:t xml:space="preserve">the </w:t>
      </w:r>
      <w:r w:rsidR="00E27CEF" w:rsidRPr="00CF4E9F">
        <w:rPr>
          <w:lang w:val="en-CA"/>
        </w:rPr>
        <w:t>young males in the analyses)</w:t>
      </w:r>
      <w:r w:rsidR="005C64AC" w:rsidRPr="00CF4E9F">
        <w:rPr>
          <w:lang w:val="en-CA"/>
        </w:rPr>
        <w:t>”</w:t>
      </w:r>
      <w:r w:rsidR="00E27CEF" w:rsidRPr="00CF4E9F">
        <w:rPr>
          <w:lang w:val="en-CA"/>
        </w:rPr>
        <w:t>.</w:t>
      </w:r>
      <w:r w:rsidR="00E27CEF" w:rsidRPr="00CF4E9F">
        <w:rPr>
          <w:rStyle w:val="Appelnotedebasdep"/>
          <w:lang w:val="en-CA"/>
        </w:rPr>
        <w:footnoteReference w:id="96"/>
      </w:r>
      <w:r w:rsidR="0043013D" w:rsidRPr="00CF4E9F">
        <w:rPr>
          <w:lang w:val="en-CA"/>
        </w:rPr>
        <w:t xml:space="preserve"> </w:t>
      </w:r>
      <w:r w:rsidR="00E27CEF" w:rsidRPr="00CF4E9F">
        <w:rPr>
          <w:lang w:val="en-CA"/>
        </w:rPr>
        <w:t xml:space="preserve">According to Mulone, these disparities cannot be explained by a presumed differential </w:t>
      </w:r>
      <w:r w:rsidR="00E7595C">
        <w:rPr>
          <w:lang w:val="en-CA"/>
        </w:rPr>
        <w:t xml:space="preserve">involvement </w:t>
      </w:r>
      <w:r w:rsidR="00E27CEF" w:rsidRPr="00CF4E9F">
        <w:rPr>
          <w:lang w:val="en-CA"/>
        </w:rPr>
        <w:t xml:space="preserve">of Black people in </w:t>
      </w:r>
      <w:r w:rsidR="00E7595C">
        <w:rPr>
          <w:lang w:val="en-CA"/>
        </w:rPr>
        <w:t>crimes</w:t>
      </w:r>
      <w:r w:rsidR="00E27CEF" w:rsidRPr="00CF4E9F">
        <w:rPr>
          <w:lang w:val="en-CA"/>
        </w:rPr>
        <w:t>.</w:t>
      </w:r>
      <w:r w:rsidR="0043013D" w:rsidRPr="00CF4E9F">
        <w:rPr>
          <w:lang w:val="en-CA"/>
        </w:rPr>
        <w:t xml:space="preserve"> </w:t>
      </w:r>
      <w:r w:rsidR="00E27CEF" w:rsidRPr="00CF4E9F">
        <w:rPr>
          <w:lang w:val="en-CA"/>
        </w:rPr>
        <w:t xml:space="preserve">Thus, </w:t>
      </w:r>
      <w:r w:rsidR="00E27CEF" w:rsidRPr="00CF4E9F">
        <w:rPr>
          <w:rFonts w:cs="Arial"/>
          <w:lang w:val="en-CA"/>
        </w:rPr>
        <w:t>[</w:t>
      </w:r>
      <w:r w:rsidR="00E27CEF" w:rsidRPr="00CF4E9F">
        <w:rPr>
          <w:rFonts w:cs="Arial"/>
          <w:smallCaps/>
          <w:lang w:val="en-CA"/>
        </w:rPr>
        <w:t>translation</w:t>
      </w:r>
      <w:r w:rsidR="00E27CEF" w:rsidRPr="00CF4E9F">
        <w:rPr>
          <w:rFonts w:cs="Arial"/>
          <w:lang w:val="en-CA"/>
        </w:rPr>
        <w:t>]</w:t>
      </w:r>
      <w:r w:rsidR="00F8437E">
        <w:rPr>
          <w:lang w:val="en-CA"/>
        </w:rPr>
        <w:t> </w:t>
      </w:r>
      <w:r w:rsidR="00E27CEF" w:rsidRPr="00CF4E9F">
        <w:rPr>
          <w:lang w:val="en-CA"/>
        </w:rPr>
        <w:t xml:space="preserve">“the results are the same </w:t>
      </w:r>
      <w:r w:rsidR="005C64AC" w:rsidRPr="00CF4E9F">
        <w:rPr>
          <w:lang w:val="en-CA"/>
        </w:rPr>
        <w:t xml:space="preserve">no matter </w:t>
      </w:r>
      <w:r w:rsidR="00E27CEF" w:rsidRPr="00CF4E9F">
        <w:rPr>
          <w:lang w:val="en-CA"/>
        </w:rPr>
        <w:t>where you look</w:t>
      </w:r>
      <w:r w:rsidR="00E046B4">
        <w:rPr>
          <w:lang w:val="en-CA"/>
        </w:rPr>
        <w:t xml:space="preserve"> or</w:t>
      </w:r>
      <w:r w:rsidR="00E27CEF" w:rsidRPr="00CF4E9F">
        <w:rPr>
          <w:lang w:val="en-CA"/>
        </w:rPr>
        <w:t xml:space="preserve"> </w:t>
      </w:r>
      <w:r w:rsidR="005C64AC" w:rsidRPr="00CF4E9F">
        <w:rPr>
          <w:lang w:val="en-CA"/>
        </w:rPr>
        <w:t xml:space="preserve">how you </w:t>
      </w:r>
      <w:r w:rsidR="00E27CEF" w:rsidRPr="00CF4E9F">
        <w:rPr>
          <w:lang w:val="en-CA"/>
        </w:rPr>
        <w:t xml:space="preserve">look (police data, public surveys, citizen testimonials, type of intervention, etc.), </w:t>
      </w:r>
      <w:r w:rsidR="00E046B4">
        <w:rPr>
          <w:lang w:val="en-CA"/>
        </w:rPr>
        <w:t>whatever</w:t>
      </w:r>
      <w:r w:rsidR="00E046B4" w:rsidRPr="00CF4E9F">
        <w:rPr>
          <w:lang w:val="en-CA"/>
        </w:rPr>
        <w:t xml:space="preserve"> </w:t>
      </w:r>
      <w:r w:rsidR="00E27CEF" w:rsidRPr="00CF4E9F">
        <w:rPr>
          <w:lang w:val="en-CA"/>
        </w:rPr>
        <w:t xml:space="preserve">the period being studied: Black people are disproportionately </w:t>
      </w:r>
      <w:r w:rsidR="005C64AC" w:rsidRPr="00CF4E9F">
        <w:rPr>
          <w:lang w:val="en-CA"/>
        </w:rPr>
        <w:t>targeted</w:t>
      </w:r>
      <w:r w:rsidR="00E27CEF" w:rsidRPr="00CF4E9F">
        <w:rPr>
          <w:lang w:val="en-CA"/>
        </w:rPr>
        <w:t xml:space="preserve"> by law enforcement”.</w:t>
      </w:r>
      <w:r w:rsidR="00E27CEF" w:rsidRPr="00CF4E9F">
        <w:rPr>
          <w:rStyle w:val="Appelnotedebasdep"/>
          <w:lang w:val="en-CA"/>
        </w:rPr>
        <w:footnoteReference w:id="97"/>
      </w:r>
      <w:r w:rsidR="0043013D" w:rsidRPr="00CF4E9F">
        <w:rPr>
          <w:lang w:val="en-CA"/>
        </w:rPr>
        <w:t xml:space="preserve"> </w:t>
      </w:r>
      <w:r w:rsidR="00FA63C3" w:rsidRPr="00CF4E9F">
        <w:rPr>
          <w:lang w:val="en-CA"/>
        </w:rPr>
        <w:t xml:space="preserve">He added that nothing suggests that </w:t>
      </w:r>
      <w:r w:rsidR="00584193" w:rsidRPr="00CF4E9F">
        <w:rPr>
          <w:rFonts w:cs="Arial"/>
          <w:lang w:val="en-CA"/>
        </w:rPr>
        <w:t>[</w:t>
      </w:r>
      <w:r w:rsidR="00584193" w:rsidRPr="00CF4E9F">
        <w:rPr>
          <w:rFonts w:cs="Arial"/>
          <w:smallCaps/>
          <w:lang w:val="en-CA"/>
        </w:rPr>
        <w:t>translation</w:t>
      </w:r>
      <w:r w:rsidR="00584193" w:rsidRPr="00CF4E9F">
        <w:rPr>
          <w:rFonts w:cs="Arial"/>
          <w:lang w:val="en-CA"/>
        </w:rPr>
        <w:t>]</w:t>
      </w:r>
      <w:r w:rsidR="00F8437E">
        <w:rPr>
          <w:lang w:val="en-CA"/>
        </w:rPr>
        <w:t> </w:t>
      </w:r>
      <w:r w:rsidR="00FA63C3" w:rsidRPr="00CF4E9F">
        <w:rPr>
          <w:lang w:val="en-CA"/>
        </w:rPr>
        <w:t xml:space="preserve">“the disproportions revealed by recent Canadian studies could be explained by the fact that a majority of police officers </w:t>
      </w:r>
      <w:r w:rsidR="00E046B4">
        <w:rPr>
          <w:lang w:val="en-CA"/>
        </w:rPr>
        <w:t>approach</w:t>
      </w:r>
      <w:r w:rsidR="00E046B4" w:rsidRPr="00CF4E9F">
        <w:rPr>
          <w:lang w:val="en-CA"/>
        </w:rPr>
        <w:t xml:space="preserve"> </w:t>
      </w:r>
      <w:r w:rsidR="00FA63C3" w:rsidRPr="00CF4E9F">
        <w:rPr>
          <w:lang w:val="en-CA"/>
        </w:rPr>
        <w:t xml:space="preserve">their shift with the firm intention </w:t>
      </w:r>
      <w:r w:rsidR="00E046B4">
        <w:rPr>
          <w:lang w:val="en-CA"/>
        </w:rPr>
        <w:t>of</w:t>
      </w:r>
      <w:r w:rsidR="00E046B4" w:rsidRPr="00CF4E9F">
        <w:rPr>
          <w:lang w:val="en-CA"/>
        </w:rPr>
        <w:t xml:space="preserve"> </w:t>
      </w:r>
      <w:r w:rsidR="00FA63C3" w:rsidRPr="00CF4E9F">
        <w:rPr>
          <w:lang w:val="en-CA"/>
        </w:rPr>
        <w:t>discriminat</w:t>
      </w:r>
      <w:r w:rsidR="00E046B4">
        <w:rPr>
          <w:lang w:val="en-CA"/>
        </w:rPr>
        <w:t>ing</w:t>
      </w:r>
      <w:r w:rsidR="00FA63C3" w:rsidRPr="00CF4E9F">
        <w:rPr>
          <w:lang w:val="en-CA"/>
        </w:rPr>
        <w:t xml:space="preserve"> against people based on their racialized identity”.</w:t>
      </w:r>
      <w:r w:rsidR="00FA63C3" w:rsidRPr="00CF4E9F">
        <w:rPr>
          <w:rStyle w:val="Appelnotedebasdep"/>
          <w:lang w:val="en-CA"/>
        </w:rPr>
        <w:footnoteReference w:id="98"/>
      </w:r>
    </w:p>
    <w:p w14:paraId="6ECD5F4F" w14:textId="1C3A66EC" w:rsidR="005A1C52" w:rsidRPr="00CF4E9F" w:rsidRDefault="00FA63C3" w:rsidP="00D80997">
      <w:pPr>
        <w:pStyle w:val="Paragraphe"/>
        <w:spacing w:line="280" w:lineRule="exact"/>
        <w:rPr>
          <w:lang w:val="en-CA"/>
        </w:rPr>
      </w:pPr>
      <w:r w:rsidRPr="00CF4E9F">
        <w:rPr>
          <w:lang w:val="en-CA"/>
        </w:rPr>
        <w:t>The evidence accepted by the judge confirms that racial profiling is often unconscious and fostered by the police discretion to make traffic stops with</w:t>
      </w:r>
      <w:r w:rsidR="00997AB0" w:rsidRPr="00CF4E9F">
        <w:rPr>
          <w:lang w:val="en-CA"/>
        </w:rPr>
        <w:t xml:space="preserve"> no</w:t>
      </w:r>
      <w:r w:rsidRPr="00CF4E9F">
        <w:rPr>
          <w:lang w:val="en-CA"/>
        </w:rPr>
        <w:t xml:space="preserve"> required grounds.</w:t>
      </w:r>
      <w:r w:rsidR="0043013D" w:rsidRPr="00CF4E9F">
        <w:rPr>
          <w:lang w:val="en-CA"/>
        </w:rPr>
        <w:t xml:space="preserve"> </w:t>
      </w:r>
      <w:r w:rsidRPr="00CF4E9F">
        <w:rPr>
          <w:lang w:val="en-CA"/>
        </w:rPr>
        <w:t>Expert Mulone also explained in detail how cognitive biases and the structural constraints associated with police work facilitate racial profiling.</w:t>
      </w:r>
      <w:r w:rsidR="0043013D" w:rsidRPr="00CF4E9F">
        <w:rPr>
          <w:lang w:val="en-CA"/>
        </w:rPr>
        <w:t xml:space="preserve"> </w:t>
      </w:r>
      <w:r w:rsidRPr="00CF4E9F">
        <w:rPr>
          <w:lang w:val="en-CA"/>
        </w:rPr>
        <w:t>Among other things, he stated:</w:t>
      </w:r>
    </w:p>
    <w:p w14:paraId="695254FA" w14:textId="7EA0B28B" w:rsidR="00FA63C3" w:rsidRPr="00CF4E9F" w:rsidRDefault="00FA63C3" w:rsidP="005A1C52">
      <w:pPr>
        <w:pStyle w:val="Citationenretrait"/>
        <w:rPr>
          <w:szCs w:val="22"/>
          <w:lang w:val="en-CA"/>
        </w:rPr>
      </w:pPr>
      <w:r w:rsidRPr="00CF4E9F">
        <w:rPr>
          <w:rFonts w:cs="Arial"/>
          <w:szCs w:val="22"/>
          <w:lang w:val="en-CA"/>
        </w:rPr>
        <w:t>[</w:t>
      </w:r>
      <w:r w:rsidRPr="00CF4E9F">
        <w:rPr>
          <w:rFonts w:cs="Arial"/>
          <w:smallCaps/>
          <w:szCs w:val="22"/>
          <w:lang w:val="en-CA"/>
        </w:rPr>
        <w:t>translation</w:t>
      </w:r>
      <w:r w:rsidRPr="00CF4E9F">
        <w:rPr>
          <w:rFonts w:cs="Arial"/>
          <w:szCs w:val="22"/>
          <w:lang w:val="en-CA"/>
        </w:rPr>
        <w:t>]</w:t>
      </w:r>
    </w:p>
    <w:p w14:paraId="57CE5F38" w14:textId="5115B7D5" w:rsidR="005A1C52" w:rsidRPr="00CF4E9F" w:rsidRDefault="00FA63C3" w:rsidP="005A1C52">
      <w:pPr>
        <w:pStyle w:val="Citationenretrait"/>
        <w:rPr>
          <w:szCs w:val="22"/>
          <w:lang w:val="en-CA"/>
        </w:rPr>
      </w:pPr>
      <w:r w:rsidRPr="00CF4E9F">
        <w:rPr>
          <w:szCs w:val="22"/>
          <w:lang w:val="en-CA"/>
        </w:rPr>
        <w:t xml:space="preserve">By combining these two forms of explanation </w:t>
      </w:r>
      <w:r w:rsidR="008D5008">
        <w:rPr>
          <w:szCs w:val="22"/>
          <w:lang w:val="en-CA"/>
        </w:rPr>
        <w:t>[</w:t>
      </w:r>
      <w:r w:rsidRPr="00CF4E9F">
        <w:rPr>
          <w:szCs w:val="22"/>
          <w:lang w:val="en-CA"/>
        </w:rPr>
        <w:t>...</w:t>
      </w:r>
      <w:r w:rsidR="008D5008">
        <w:rPr>
          <w:szCs w:val="22"/>
          <w:lang w:val="en-CA"/>
        </w:rPr>
        <w:t>]</w:t>
      </w:r>
      <w:r w:rsidRPr="00CF4E9F">
        <w:rPr>
          <w:szCs w:val="22"/>
          <w:lang w:val="en-CA"/>
        </w:rPr>
        <w:t xml:space="preserve"> it is clear how police work can </w:t>
      </w:r>
      <w:r w:rsidR="00F27BC5" w:rsidRPr="00CF4E9F">
        <w:rPr>
          <w:szCs w:val="22"/>
          <w:lang w:val="en-CA"/>
        </w:rPr>
        <w:t xml:space="preserve">result in </w:t>
      </w:r>
      <w:r w:rsidRPr="00CF4E9F">
        <w:rPr>
          <w:szCs w:val="22"/>
          <w:lang w:val="en-CA"/>
        </w:rPr>
        <w:t>racial discrimination without the police being aware of it.</w:t>
      </w:r>
      <w:r w:rsidR="0043013D" w:rsidRPr="00CF4E9F">
        <w:rPr>
          <w:szCs w:val="22"/>
          <w:lang w:val="en-CA"/>
        </w:rPr>
        <w:t xml:space="preserve"> </w:t>
      </w:r>
      <w:r w:rsidRPr="00CF4E9F">
        <w:rPr>
          <w:szCs w:val="22"/>
          <w:lang w:val="en-CA"/>
        </w:rPr>
        <w:t>There are</w:t>
      </w:r>
      <w:r w:rsidR="00F27BC5" w:rsidRPr="00CF4E9F">
        <w:rPr>
          <w:szCs w:val="22"/>
          <w:lang w:val="en-CA"/>
        </w:rPr>
        <w:t>,</w:t>
      </w:r>
      <w:r w:rsidRPr="00CF4E9F">
        <w:rPr>
          <w:szCs w:val="22"/>
          <w:lang w:val="en-CA"/>
        </w:rPr>
        <w:t xml:space="preserve"> in </w:t>
      </w:r>
      <w:r w:rsidR="00F27BC5" w:rsidRPr="00CF4E9F">
        <w:rPr>
          <w:szCs w:val="22"/>
          <w:lang w:val="en-CA"/>
        </w:rPr>
        <w:t xml:space="preserve">the way </w:t>
      </w:r>
      <w:r w:rsidRPr="00CF4E9F">
        <w:rPr>
          <w:szCs w:val="22"/>
          <w:lang w:val="en-CA"/>
        </w:rPr>
        <w:t>police work is organized</w:t>
      </w:r>
      <w:r w:rsidR="00F27BC5" w:rsidRPr="00CF4E9F">
        <w:rPr>
          <w:szCs w:val="22"/>
          <w:lang w:val="en-CA"/>
        </w:rPr>
        <w:t>,</w:t>
      </w:r>
      <w:r w:rsidRPr="00CF4E9F">
        <w:rPr>
          <w:szCs w:val="22"/>
          <w:lang w:val="en-CA"/>
        </w:rPr>
        <w:t xml:space="preserve"> </w:t>
      </w:r>
      <w:r w:rsidR="00F27BC5" w:rsidRPr="00CF4E9F">
        <w:rPr>
          <w:szCs w:val="22"/>
          <w:lang w:val="en-CA"/>
        </w:rPr>
        <w:t xml:space="preserve">incentives </w:t>
      </w:r>
      <w:r w:rsidRPr="00CF4E9F">
        <w:rPr>
          <w:szCs w:val="22"/>
          <w:lang w:val="en-CA"/>
        </w:rPr>
        <w:t xml:space="preserve">that, while not driven by racist values, push officers to intervene in situations where their judgment is </w:t>
      </w:r>
      <w:r w:rsidR="00D1141A">
        <w:rPr>
          <w:szCs w:val="22"/>
          <w:lang w:val="en-CA"/>
        </w:rPr>
        <w:t>partly</w:t>
      </w:r>
      <w:r w:rsidRPr="00CF4E9F">
        <w:rPr>
          <w:szCs w:val="22"/>
          <w:lang w:val="en-CA"/>
        </w:rPr>
        <w:t xml:space="preserve"> determined by biases.</w:t>
      </w:r>
      <w:r w:rsidR="0043013D" w:rsidRPr="00CF4E9F">
        <w:rPr>
          <w:szCs w:val="22"/>
          <w:lang w:val="en-CA"/>
        </w:rPr>
        <w:t xml:space="preserve"> </w:t>
      </w:r>
      <w:r w:rsidRPr="00CF4E9F">
        <w:rPr>
          <w:szCs w:val="22"/>
          <w:lang w:val="en-CA"/>
        </w:rPr>
        <w:t xml:space="preserve">And the practices of </w:t>
      </w:r>
      <w:r w:rsidR="00F27BC5" w:rsidRPr="00CF4E9F">
        <w:rPr>
          <w:szCs w:val="22"/>
          <w:lang w:val="en-CA"/>
        </w:rPr>
        <w:t>street</w:t>
      </w:r>
      <w:r w:rsidR="00296722">
        <w:rPr>
          <w:szCs w:val="22"/>
          <w:lang w:val="en-CA"/>
        </w:rPr>
        <w:t xml:space="preserve"> </w:t>
      </w:r>
      <w:r w:rsidRPr="00CF4E9F">
        <w:rPr>
          <w:szCs w:val="22"/>
          <w:lang w:val="en-CA"/>
        </w:rPr>
        <w:t>check</w:t>
      </w:r>
      <w:r w:rsidR="008D5008">
        <w:rPr>
          <w:szCs w:val="22"/>
          <w:lang w:val="en-CA"/>
        </w:rPr>
        <w:t>s</w:t>
      </w:r>
      <w:r w:rsidRPr="00CF4E9F">
        <w:rPr>
          <w:szCs w:val="22"/>
          <w:lang w:val="en-CA"/>
        </w:rPr>
        <w:t xml:space="preserve"> and </w:t>
      </w:r>
      <w:r w:rsidR="008D5008">
        <w:rPr>
          <w:szCs w:val="22"/>
          <w:lang w:val="en-CA"/>
        </w:rPr>
        <w:t xml:space="preserve">traffic </w:t>
      </w:r>
      <w:r w:rsidRPr="00CF4E9F">
        <w:rPr>
          <w:szCs w:val="22"/>
          <w:lang w:val="en-CA"/>
        </w:rPr>
        <w:t>stop</w:t>
      </w:r>
      <w:r w:rsidR="008D5008">
        <w:rPr>
          <w:szCs w:val="22"/>
          <w:lang w:val="en-CA"/>
        </w:rPr>
        <w:t>s</w:t>
      </w:r>
      <w:r w:rsidRPr="00CF4E9F">
        <w:rPr>
          <w:szCs w:val="22"/>
          <w:lang w:val="en-CA"/>
        </w:rPr>
        <w:t>, based part</w:t>
      </w:r>
      <w:r w:rsidR="00D1141A">
        <w:rPr>
          <w:szCs w:val="22"/>
          <w:lang w:val="en-CA"/>
        </w:rPr>
        <w:t>ly</w:t>
      </w:r>
      <w:r w:rsidRPr="00CF4E9F">
        <w:rPr>
          <w:szCs w:val="22"/>
          <w:lang w:val="en-CA"/>
        </w:rPr>
        <w:t xml:space="preserve"> on prediction, are particularly sensitive to these biases because they are not necessarily generated by an easily identifiable offence.</w:t>
      </w:r>
      <w:r w:rsidR="0043013D" w:rsidRPr="00CF4E9F">
        <w:rPr>
          <w:szCs w:val="22"/>
          <w:lang w:val="en-CA"/>
        </w:rPr>
        <w:t xml:space="preserve"> </w:t>
      </w:r>
      <w:r w:rsidR="00D1141A">
        <w:rPr>
          <w:szCs w:val="22"/>
          <w:lang w:val="en-CA"/>
        </w:rPr>
        <w:t xml:space="preserve">A </w:t>
      </w:r>
      <w:r w:rsidR="00F27BC5" w:rsidRPr="00CF4E9F">
        <w:rPr>
          <w:szCs w:val="22"/>
          <w:lang w:val="en-CA"/>
        </w:rPr>
        <w:t xml:space="preserve">return </w:t>
      </w:r>
      <w:r w:rsidRPr="00CF4E9F">
        <w:rPr>
          <w:szCs w:val="22"/>
          <w:lang w:val="en-CA"/>
        </w:rPr>
        <w:t>to the distinction made by the Ontario Human Rights Commission between racial profiling and criminal profiling</w:t>
      </w:r>
      <w:r w:rsidRPr="00CF4E9F">
        <w:rPr>
          <w:rStyle w:val="Appelnotedebasdep"/>
          <w:szCs w:val="22"/>
          <w:lang w:val="en-CA"/>
        </w:rPr>
        <w:footnoteReference w:id="99"/>
      </w:r>
      <w:r w:rsidRPr="00CF4E9F">
        <w:rPr>
          <w:szCs w:val="22"/>
          <w:lang w:val="en-CA"/>
        </w:rPr>
        <w:t xml:space="preserve"> </w:t>
      </w:r>
      <w:r w:rsidR="00D1141A">
        <w:rPr>
          <w:szCs w:val="22"/>
          <w:lang w:val="en-CA"/>
        </w:rPr>
        <w:t xml:space="preserve">shows that </w:t>
      </w:r>
      <w:r w:rsidR="00F27BC5" w:rsidRPr="00CF4E9F">
        <w:rPr>
          <w:szCs w:val="22"/>
          <w:lang w:val="en-CA"/>
        </w:rPr>
        <w:t xml:space="preserve">these are </w:t>
      </w:r>
      <w:r w:rsidRPr="00CF4E9F">
        <w:rPr>
          <w:szCs w:val="22"/>
          <w:lang w:val="en-CA"/>
        </w:rPr>
        <w:t xml:space="preserve">situations where the observable evidence of </w:t>
      </w:r>
      <w:r w:rsidR="009A7B3A" w:rsidRPr="00CF4E9F">
        <w:rPr>
          <w:szCs w:val="22"/>
          <w:lang w:val="en-CA"/>
        </w:rPr>
        <w:t xml:space="preserve">wrongful behaviour </w:t>
      </w:r>
      <w:r w:rsidRPr="00CF4E9F">
        <w:rPr>
          <w:szCs w:val="22"/>
          <w:lang w:val="en-CA"/>
        </w:rPr>
        <w:t xml:space="preserve">is generally weak, </w:t>
      </w:r>
      <w:r w:rsidR="00787A1C">
        <w:rPr>
          <w:szCs w:val="22"/>
          <w:lang w:val="en-CA"/>
        </w:rPr>
        <w:t xml:space="preserve">if not </w:t>
      </w:r>
      <w:r w:rsidRPr="00CF4E9F">
        <w:rPr>
          <w:szCs w:val="22"/>
          <w:lang w:val="en-CA"/>
        </w:rPr>
        <w:t xml:space="preserve">absent (which is </w:t>
      </w:r>
      <w:r w:rsidR="009564A1">
        <w:rPr>
          <w:szCs w:val="22"/>
          <w:lang w:val="en-CA"/>
        </w:rPr>
        <w:t xml:space="preserve">even </w:t>
      </w:r>
      <w:r w:rsidRPr="00CF4E9F">
        <w:rPr>
          <w:szCs w:val="22"/>
          <w:lang w:val="en-CA"/>
        </w:rPr>
        <w:t xml:space="preserve">what defines </w:t>
      </w:r>
      <w:r w:rsidR="00F27BC5" w:rsidRPr="00CF4E9F">
        <w:rPr>
          <w:szCs w:val="22"/>
          <w:lang w:val="en-CA"/>
        </w:rPr>
        <w:lastRenderedPageBreak/>
        <w:t xml:space="preserve">street </w:t>
      </w:r>
      <w:r w:rsidRPr="00CF4E9F">
        <w:rPr>
          <w:szCs w:val="22"/>
          <w:lang w:val="en-CA"/>
        </w:rPr>
        <w:t>check</w:t>
      </w:r>
      <w:r w:rsidR="002B394E">
        <w:rPr>
          <w:szCs w:val="22"/>
          <w:lang w:val="en-CA"/>
        </w:rPr>
        <w:t>s</w:t>
      </w:r>
      <w:r w:rsidRPr="00CF4E9F">
        <w:rPr>
          <w:szCs w:val="22"/>
          <w:lang w:val="en-CA"/>
        </w:rPr>
        <w:t xml:space="preserve"> and </w:t>
      </w:r>
      <w:r w:rsidR="002B394E">
        <w:rPr>
          <w:szCs w:val="22"/>
          <w:lang w:val="en-CA"/>
        </w:rPr>
        <w:t xml:space="preserve">some traffic </w:t>
      </w:r>
      <w:r w:rsidRPr="00CF4E9F">
        <w:rPr>
          <w:szCs w:val="22"/>
          <w:lang w:val="en-CA"/>
        </w:rPr>
        <w:t>stop</w:t>
      </w:r>
      <w:r w:rsidR="002B394E">
        <w:rPr>
          <w:szCs w:val="22"/>
          <w:lang w:val="en-CA"/>
        </w:rPr>
        <w:t>s</w:t>
      </w:r>
      <w:r w:rsidRPr="00CF4E9F">
        <w:rPr>
          <w:szCs w:val="22"/>
          <w:lang w:val="en-CA"/>
        </w:rPr>
        <w:t xml:space="preserve">), </w:t>
      </w:r>
      <w:r w:rsidR="005E4E9F">
        <w:rPr>
          <w:szCs w:val="22"/>
          <w:lang w:val="en-CA"/>
        </w:rPr>
        <w:t>pav</w:t>
      </w:r>
      <w:r w:rsidR="00A57184">
        <w:rPr>
          <w:szCs w:val="22"/>
          <w:lang w:val="en-CA"/>
        </w:rPr>
        <w:t>ing</w:t>
      </w:r>
      <w:r w:rsidR="005E4E9F">
        <w:rPr>
          <w:szCs w:val="22"/>
          <w:lang w:val="en-CA"/>
        </w:rPr>
        <w:t xml:space="preserve"> the way for</w:t>
      </w:r>
      <w:r w:rsidRPr="00CF4E9F">
        <w:rPr>
          <w:szCs w:val="22"/>
          <w:lang w:val="en-CA"/>
        </w:rPr>
        <w:t xml:space="preserve"> “stereotypical assumptions”, especially when </w:t>
      </w:r>
      <w:r w:rsidR="00F27BC5" w:rsidRPr="00CF4E9F">
        <w:rPr>
          <w:szCs w:val="22"/>
          <w:lang w:val="en-CA"/>
        </w:rPr>
        <w:t xml:space="preserve">you </w:t>
      </w:r>
      <w:r w:rsidRPr="00CF4E9F">
        <w:rPr>
          <w:szCs w:val="22"/>
          <w:lang w:val="en-CA"/>
        </w:rPr>
        <w:t>consider that most of these assumptions are unconscious.</w:t>
      </w:r>
      <w:r w:rsidR="0043013D" w:rsidRPr="00CF4E9F">
        <w:rPr>
          <w:rStyle w:val="Appelnotedebasdep"/>
          <w:szCs w:val="22"/>
          <w:lang w:val="en-CA"/>
        </w:rPr>
        <w:footnoteReference w:id="100"/>
      </w:r>
    </w:p>
    <w:p w14:paraId="2327DB8F" w14:textId="77133BAF" w:rsidR="005A1C52" w:rsidRPr="00CF4E9F" w:rsidRDefault="00FD361A" w:rsidP="005A1C52">
      <w:pPr>
        <w:pStyle w:val="Citationenretrait"/>
        <w:rPr>
          <w:szCs w:val="22"/>
          <w:lang w:val="en-CA"/>
        </w:rPr>
      </w:pPr>
      <w:r>
        <w:rPr>
          <w:szCs w:val="22"/>
          <w:lang w:val="en-CA"/>
        </w:rPr>
        <w:t>[</w:t>
      </w:r>
      <w:r w:rsidR="005A4E85" w:rsidRPr="00CF4E9F">
        <w:rPr>
          <w:szCs w:val="22"/>
          <w:lang w:val="en-CA"/>
        </w:rPr>
        <w:t>...</w:t>
      </w:r>
      <w:r>
        <w:rPr>
          <w:szCs w:val="22"/>
          <w:lang w:val="en-CA"/>
        </w:rPr>
        <w:t>]</w:t>
      </w:r>
    </w:p>
    <w:p w14:paraId="4B1ECC39" w14:textId="02CA177F" w:rsidR="005A1C52" w:rsidRPr="00CF4E9F" w:rsidRDefault="00FD361A" w:rsidP="005A1C52">
      <w:pPr>
        <w:pStyle w:val="Citationenretrait"/>
        <w:rPr>
          <w:szCs w:val="22"/>
          <w:lang w:val="en-CA"/>
        </w:rPr>
      </w:pPr>
      <w:r>
        <w:rPr>
          <w:szCs w:val="22"/>
          <w:lang w:val="en-CA"/>
        </w:rPr>
        <w:t>[</w:t>
      </w:r>
      <w:r w:rsidR="00FA63C3" w:rsidRPr="00CF4E9F">
        <w:rPr>
          <w:szCs w:val="22"/>
          <w:lang w:val="en-CA"/>
        </w:rPr>
        <w:t>...</w:t>
      </w:r>
      <w:r>
        <w:rPr>
          <w:szCs w:val="22"/>
          <w:lang w:val="en-CA"/>
        </w:rPr>
        <w:t>]</w:t>
      </w:r>
      <w:r w:rsidR="00FA63C3" w:rsidRPr="00CF4E9F">
        <w:rPr>
          <w:szCs w:val="22"/>
          <w:lang w:val="en-CA"/>
        </w:rPr>
        <w:t xml:space="preserve"> </w:t>
      </w:r>
      <w:r w:rsidR="009A7B3A" w:rsidRPr="00CF4E9F">
        <w:rPr>
          <w:rFonts w:cs="Arial"/>
          <w:szCs w:val="22"/>
          <w:lang w:val="en-CA"/>
        </w:rPr>
        <w:t>[</w:t>
      </w:r>
      <w:r w:rsidR="00FA63C3" w:rsidRPr="00CF4E9F">
        <w:rPr>
          <w:szCs w:val="22"/>
          <w:lang w:val="en-CA"/>
        </w:rPr>
        <w:t>C</w:t>
      </w:r>
      <w:r w:rsidR="009A7B3A" w:rsidRPr="00CF4E9F">
        <w:rPr>
          <w:rFonts w:cs="Arial"/>
          <w:szCs w:val="22"/>
          <w:lang w:val="en-CA"/>
        </w:rPr>
        <w:t>]</w:t>
      </w:r>
      <w:r w:rsidR="00FA63C3" w:rsidRPr="00CF4E9F">
        <w:rPr>
          <w:szCs w:val="22"/>
          <w:lang w:val="en-CA"/>
        </w:rPr>
        <w:t xml:space="preserve">ertain </w:t>
      </w:r>
      <w:r w:rsidR="00FA63C3" w:rsidRPr="00CF4E9F">
        <w:rPr>
          <w:rFonts w:cs="Arial"/>
          <w:szCs w:val="22"/>
          <w:lang w:val="en-CA"/>
        </w:rPr>
        <w:t>[</w:t>
      </w:r>
      <w:r w:rsidR="00FA63C3" w:rsidRPr="00CF4E9F">
        <w:rPr>
          <w:szCs w:val="22"/>
          <w:lang w:val="en-CA"/>
        </w:rPr>
        <w:t>police</w:t>
      </w:r>
      <w:r w:rsidR="00FA63C3" w:rsidRPr="00CF4E9F">
        <w:rPr>
          <w:rFonts w:cs="Arial"/>
          <w:szCs w:val="22"/>
          <w:lang w:val="en-CA"/>
        </w:rPr>
        <w:t>]</w:t>
      </w:r>
      <w:r w:rsidR="00FA63C3" w:rsidRPr="00CF4E9F">
        <w:rPr>
          <w:szCs w:val="22"/>
          <w:lang w:val="en-CA"/>
        </w:rPr>
        <w:t xml:space="preserve"> practices are more likely to be sensitive to these biases.</w:t>
      </w:r>
      <w:r w:rsidR="0043013D" w:rsidRPr="00CF4E9F">
        <w:rPr>
          <w:szCs w:val="22"/>
          <w:lang w:val="en-CA"/>
        </w:rPr>
        <w:t xml:space="preserve"> </w:t>
      </w:r>
      <w:r w:rsidR="00FA63C3" w:rsidRPr="00CF4E9F">
        <w:rPr>
          <w:szCs w:val="22"/>
          <w:lang w:val="en-CA"/>
        </w:rPr>
        <w:t xml:space="preserve">This is the case for </w:t>
      </w:r>
      <w:r w:rsidR="009A7B3A" w:rsidRPr="00CF4E9F">
        <w:rPr>
          <w:szCs w:val="22"/>
          <w:lang w:val="en-CA"/>
        </w:rPr>
        <w:t xml:space="preserve">street </w:t>
      </w:r>
      <w:r w:rsidR="00FA63C3" w:rsidRPr="00CF4E9F">
        <w:rPr>
          <w:szCs w:val="22"/>
          <w:lang w:val="en-CA"/>
        </w:rPr>
        <w:t xml:space="preserve">checks and </w:t>
      </w:r>
      <w:r w:rsidR="00612B11">
        <w:rPr>
          <w:szCs w:val="22"/>
          <w:lang w:val="en-CA"/>
        </w:rPr>
        <w:t xml:space="preserve">traffic </w:t>
      </w:r>
      <w:r w:rsidR="00FA63C3" w:rsidRPr="00CF4E9F">
        <w:rPr>
          <w:szCs w:val="22"/>
          <w:lang w:val="en-CA"/>
        </w:rPr>
        <w:t xml:space="preserve">stops because in both these situations, the observable facts upon which the decision to intervene is made are necessarily less obvious than when an offence is </w:t>
      </w:r>
      <w:r w:rsidR="009A7B3A" w:rsidRPr="00CF4E9F">
        <w:rPr>
          <w:szCs w:val="22"/>
          <w:lang w:val="en-CA"/>
        </w:rPr>
        <w:t xml:space="preserve">observed </w:t>
      </w:r>
      <w:r w:rsidR="00FA63C3" w:rsidRPr="00CF4E9F">
        <w:rPr>
          <w:szCs w:val="22"/>
          <w:lang w:val="en-CA"/>
        </w:rPr>
        <w:t>being committed.</w:t>
      </w:r>
    </w:p>
    <w:p w14:paraId="778D8749" w14:textId="06FF832E" w:rsidR="005A1C52" w:rsidRPr="00CF4E9F" w:rsidRDefault="00FA63C3" w:rsidP="005A1C52">
      <w:pPr>
        <w:pStyle w:val="Citationenretrait"/>
        <w:rPr>
          <w:szCs w:val="22"/>
          <w:lang w:val="en-CA"/>
        </w:rPr>
      </w:pPr>
      <w:r w:rsidRPr="00CF4E9F">
        <w:rPr>
          <w:szCs w:val="22"/>
          <w:lang w:val="en-CA"/>
        </w:rPr>
        <w:t xml:space="preserve">As I said, these </w:t>
      </w:r>
      <w:r w:rsidR="00435A69">
        <w:rPr>
          <w:szCs w:val="22"/>
          <w:lang w:val="en-CA"/>
        </w:rPr>
        <w:t xml:space="preserve">types of </w:t>
      </w:r>
      <w:r w:rsidRPr="00CF4E9F">
        <w:rPr>
          <w:szCs w:val="22"/>
          <w:lang w:val="en-CA"/>
        </w:rPr>
        <w:t xml:space="preserve">discrimination are very insidious because they </w:t>
      </w:r>
      <w:r w:rsidR="009A7B3A" w:rsidRPr="00CF4E9F">
        <w:rPr>
          <w:szCs w:val="22"/>
          <w:lang w:val="en-CA"/>
        </w:rPr>
        <w:t xml:space="preserve">stem </w:t>
      </w:r>
      <w:r w:rsidRPr="00CF4E9F">
        <w:rPr>
          <w:szCs w:val="22"/>
          <w:lang w:val="en-CA"/>
        </w:rPr>
        <w:t>in part from implicit cognitive process</w:t>
      </w:r>
      <w:r w:rsidR="009A7B3A" w:rsidRPr="00CF4E9F">
        <w:rPr>
          <w:szCs w:val="22"/>
          <w:lang w:val="en-CA"/>
        </w:rPr>
        <w:t>es</w:t>
      </w:r>
      <w:r w:rsidRPr="00CF4E9F">
        <w:rPr>
          <w:szCs w:val="22"/>
          <w:lang w:val="en-CA"/>
        </w:rPr>
        <w:t xml:space="preserve"> and are therefore unconscious.</w:t>
      </w:r>
      <w:r w:rsidR="00923E52" w:rsidRPr="00CF4E9F">
        <w:rPr>
          <w:szCs w:val="22"/>
          <w:lang w:val="en-CA"/>
        </w:rPr>
        <w:t xml:space="preserve"> </w:t>
      </w:r>
      <w:r w:rsidRPr="00CF4E9F">
        <w:rPr>
          <w:szCs w:val="22"/>
          <w:lang w:val="en-CA"/>
        </w:rPr>
        <w:t xml:space="preserve">Thus, there is not necessarily a desire to target one group as opposed to another, but by allowing (and sometimes encouraging) practices that are too easily influenced by these unconscious biases, </w:t>
      </w:r>
      <w:r w:rsidR="009A7B3A" w:rsidRPr="00CF4E9F">
        <w:rPr>
          <w:szCs w:val="22"/>
          <w:lang w:val="en-CA"/>
        </w:rPr>
        <w:t>the</w:t>
      </w:r>
      <w:r w:rsidRPr="00CF4E9F">
        <w:rPr>
          <w:szCs w:val="22"/>
          <w:lang w:val="en-CA"/>
        </w:rPr>
        <w:t xml:space="preserve"> door</w:t>
      </w:r>
      <w:r w:rsidR="000A0BB5">
        <w:rPr>
          <w:szCs w:val="22"/>
          <w:lang w:val="en-CA"/>
        </w:rPr>
        <w:t xml:space="preserve"> is opened</w:t>
      </w:r>
      <w:r w:rsidRPr="00CF4E9F">
        <w:rPr>
          <w:szCs w:val="22"/>
          <w:lang w:val="en-CA"/>
        </w:rPr>
        <w:t xml:space="preserve"> to differential treatment within the Canadian population.</w:t>
      </w:r>
      <w:r w:rsidR="00F05099">
        <w:rPr>
          <w:szCs w:val="22"/>
          <w:lang w:val="en-CA"/>
        </w:rPr>
        <w:t xml:space="preserve"> […]</w:t>
      </w:r>
      <w:r w:rsidR="0043013D" w:rsidRPr="00CF4E9F">
        <w:rPr>
          <w:rStyle w:val="Appelnotedebasdep"/>
          <w:szCs w:val="22"/>
          <w:lang w:val="en-CA"/>
        </w:rPr>
        <w:footnoteReference w:id="101"/>
      </w:r>
    </w:p>
    <w:p w14:paraId="0B8C00E5" w14:textId="63023EC3" w:rsidR="005A1C52" w:rsidRPr="00CF4E9F" w:rsidRDefault="00FA63C3" w:rsidP="00D80997">
      <w:pPr>
        <w:pStyle w:val="Paragraphe"/>
        <w:spacing w:line="280" w:lineRule="exact"/>
        <w:rPr>
          <w:lang w:val="en-CA"/>
        </w:rPr>
      </w:pPr>
      <w:r w:rsidRPr="00CF4E9F">
        <w:rPr>
          <w:lang w:val="en-CA"/>
        </w:rPr>
        <w:t xml:space="preserve">Expert Marie-Ève Sylvestre reached the same conclusion: the police are more likely to be influenced by racist stereotypes when they act proactively, or when they are justified in acting based on criteria or </w:t>
      </w:r>
      <w:r w:rsidR="00584193" w:rsidRPr="00CF4E9F">
        <w:rPr>
          <w:rFonts w:cs="Arial"/>
          <w:lang w:val="en-CA"/>
        </w:rPr>
        <w:t>[</w:t>
      </w:r>
      <w:r w:rsidR="00584193" w:rsidRPr="00CF4E9F">
        <w:rPr>
          <w:rFonts w:cs="Arial"/>
          <w:smallCaps/>
          <w:lang w:val="en-CA"/>
        </w:rPr>
        <w:t>translation</w:t>
      </w:r>
      <w:r w:rsidR="00584193" w:rsidRPr="00CF4E9F">
        <w:rPr>
          <w:rFonts w:cs="Arial"/>
          <w:lang w:val="en-CA"/>
        </w:rPr>
        <w:t>]</w:t>
      </w:r>
      <w:r w:rsidR="00F8437E">
        <w:rPr>
          <w:lang w:val="en-CA"/>
        </w:rPr>
        <w:t> </w:t>
      </w:r>
      <w:r w:rsidRPr="00CF4E9F">
        <w:rPr>
          <w:lang w:val="en-CA"/>
        </w:rPr>
        <w:t>“</w:t>
      </w:r>
      <w:r w:rsidR="000A0BB5">
        <w:rPr>
          <w:lang w:val="en-CA"/>
        </w:rPr>
        <w:t xml:space="preserve">suspicions that are </w:t>
      </w:r>
      <w:r w:rsidRPr="00CF4E9F">
        <w:rPr>
          <w:lang w:val="en-CA"/>
        </w:rPr>
        <w:t xml:space="preserve">vague </w:t>
      </w:r>
      <w:r w:rsidR="000A0BB5">
        <w:rPr>
          <w:lang w:val="en-CA"/>
        </w:rPr>
        <w:t>and ill</w:t>
      </w:r>
      <w:r w:rsidR="00214513">
        <w:rPr>
          <w:lang w:val="en-CA"/>
        </w:rPr>
        <w:noBreakHyphen/>
      </w:r>
      <w:r w:rsidRPr="00CF4E9F">
        <w:rPr>
          <w:lang w:val="en-CA"/>
        </w:rPr>
        <w:t>defined”.</w:t>
      </w:r>
      <w:r w:rsidRPr="00CF4E9F">
        <w:rPr>
          <w:rStyle w:val="Appelnotedebasdep"/>
          <w:lang w:val="en-CA"/>
        </w:rPr>
        <w:footnoteReference w:id="102"/>
      </w:r>
    </w:p>
    <w:p w14:paraId="55AA25D9" w14:textId="06515BA2" w:rsidR="00F360B7" w:rsidRPr="00CF4E9F" w:rsidRDefault="00FA63C3" w:rsidP="00F360B7">
      <w:pPr>
        <w:pStyle w:val="Paragraphe"/>
        <w:spacing w:line="280" w:lineRule="exact"/>
        <w:rPr>
          <w:lang w:val="en-CA"/>
        </w:rPr>
      </w:pPr>
      <w:r w:rsidRPr="00CF4E9F">
        <w:rPr>
          <w:lang w:val="en-CA"/>
        </w:rPr>
        <w:t xml:space="preserve">Therefore, the AGQ’s position that racial profiling is not an effect of the </w:t>
      </w:r>
      <w:r w:rsidR="00B36A0E" w:rsidRPr="00CF4E9F">
        <w:rPr>
          <w:lang w:val="en-CA"/>
        </w:rPr>
        <w:t>challenged</w:t>
      </w:r>
      <w:r w:rsidRPr="00CF4E9F">
        <w:rPr>
          <w:lang w:val="en-CA"/>
        </w:rPr>
        <w:t xml:space="preserve"> </w:t>
      </w:r>
      <w:r w:rsidR="00D95523">
        <w:rPr>
          <w:lang w:val="en-CA"/>
        </w:rPr>
        <w:t>provision</w:t>
      </w:r>
      <w:r w:rsidRPr="00CF4E9F">
        <w:rPr>
          <w:lang w:val="en-CA"/>
        </w:rPr>
        <w:t xml:space="preserve"> cannot be accepted.</w:t>
      </w:r>
      <w:r w:rsidR="005A1C52" w:rsidRPr="00CF4E9F">
        <w:rPr>
          <w:lang w:val="en-CA"/>
        </w:rPr>
        <w:t xml:space="preserve"> </w:t>
      </w:r>
      <w:r w:rsidRPr="00CF4E9F">
        <w:rPr>
          <w:color w:val="000000"/>
          <w:spacing w:val="-3"/>
          <w:lang w:val="en-CA"/>
        </w:rPr>
        <w:t xml:space="preserve">The data available since </w:t>
      </w:r>
      <w:r w:rsidRPr="00CF4E9F">
        <w:rPr>
          <w:i/>
          <w:color w:val="000000"/>
          <w:spacing w:val="-3"/>
          <w:lang w:val="en-CA"/>
        </w:rPr>
        <w:t>Ladouceur</w:t>
      </w:r>
      <w:r w:rsidRPr="00CF4E9F">
        <w:rPr>
          <w:color w:val="000000"/>
          <w:spacing w:val="-3"/>
          <w:lang w:val="en-CA"/>
        </w:rPr>
        <w:t xml:space="preserve"> reveals that </w:t>
      </w:r>
      <w:r w:rsidR="007E54AD">
        <w:rPr>
          <w:color w:val="000000"/>
          <w:spacing w:val="-3"/>
          <w:lang w:val="en-CA"/>
        </w:rPr>
        <w:t xml:space="preserve">where </w:t>
      </w:r>
      <w:r w:rsidRPr="00CF4E9F">
        <w:rPr>
          <w:color w:val="000000"/>
          <w:spacing w:val="-3"/>
          <w:lang w:val="en-CA"/>
        </w:rPr>
        <w:t xml:space="preserve">traffic stops with no required grounds </w:t>
      </w:r>
      <w:r w:rsidR="007E54AD">
        <w:rPr>
          <w:color w:val="000000"/>
          <w:spacing w:val="-3"/>
          <w:lang w:val="en-CA"/>
        </w:rPr>
        <w:t>are conducted</w:t>
      </w:r>
      <w:r w:rsidR="00E13F5C" w:rsidRPr="00CF4E9F">
        <w:rPr>
          <w:color w:val="000000"/>
          <w:spacing w:val="-3"/>
          <w:lang w:val="en-CA"/>
        </w:rPr>
        <w:t xml:space="preserve"> </w:t>
      </w:r>
      <w:r w:rsidRPr="00CF4E9F">
        <w:rPr>
          <w:color w:val="000000"/>
          <w:spacing w:val="-3"/>
          <w:lang w:val="en-CA"/>
        </w:rPr>
        <w:t>for reasons related to “driving a car such as checking the driver’s licence and insurance, the sobriety of the driver and the mechanical fitness of the vehicle”</w:t>
      </w:r>
      <w:r w:rsidR="007E54AD">
        <w:rPr>
          <w:color w:val="000000"/>
          <w:spacing w:val="-3"/>
          <w:lang w:val="en-CA"/>
        </w:rPr>
        <w:t>,</w:t>
      </w:r>
      <w:r w:rsidRPr="00CF4E9F">
        <w:rPr>
          <w:rStyle w:val="Appelnotedebasdep"/>
          <w:color w:val="000000"/>
          <w:spacing w:val="-3"/>
          <w:lang w:val="en-CA"/>
        </w:rPr>
        <w:footnoteReference w:id="103"/>
      </w:r>
      <w:r w:rsidRPr="00CF4E9F">
        <w:rPr>
          <w:color w:val="000000"/>
          <w:spacing w:val="-3"/>
          <w:lang w:val="en-CA"/>
        </w:rPr>
        <w:t xml:space="preserve"> </w:t>
      </w:r>
      <w:r w:rsidR="007E54AD">
        <w:rPr>
          <w:color w:val="000000"/>
          <w:spacing w:val="-3"/>
          <w:lang w:val="en-CA"/>
        </w:rPr>
        <w:t xml:space="preserve">such reasons </w:t>
      </w:r>
      <w:r w:rsidRPr="00CF4E9F">
        <w:rPr>
          <w:color w:val="000000"/>
          <w:spacing w:val="-3"/>
          <w:lang w:val="en-CA"/>
        </w:rPr>
        <w:t xml:space="preserve">are not sufficient to prevent racial profiling </w:t>
      </w:r>
      <w:r w:rsidR="007E54AD">
        <w:rPr>
          <w:color w:val="000000"/>
          <w:spacing w:val="-3"/>
          <w:lang w:val="en-CA"/>
        </w:rPr>
        <w:t>in</w:t>
      </w:r>
      <w:r w:rsidR="00313749">
        <w:rPr>
          <w:color w:val="000000"/>
          <w:spacing w:val="-3"/>
          <w:lang w:val="en-CA"/>
        </w:rPr>
        <w:t xml:space="preserve"> </w:t>
      </w:r>
      <w:r w:rsidRPr="00CF4E9F">
        <w:rPr>
          <w:color w:val="000000"/>
          <w:spacing w:val="-3"/>
          <w:lang w:val="en-CA"/>
        </w:rPr>
        <w:t xml:space="preserve">this type of </w:t>
      </w:r>
      <w:r w:rsidR="00E13F5C" w:rsidRPr="00CF4E9F">
        <w:rPr>
          <w:color w:val="000000"/>
          <w:spacing w:val="-3"/>
          <w:lang w:val="en-CA"/>
        </w:rPr>
        <w:t>stop</w:t>
      </w:r>
      <w:r w:rsidRPr="00CF4E9F">
        <w:rPr>
          <w:color w:val="000000"/>
          <w:spacing w:val="-3"/>
          <w:lang w:val="en-CA"/>
        </w:rPr>
        <w:t>.</w:t>
      </w:r>
      <w:r w:rsidR="0054194E" w:rsidRPr="00CF4E9F">
        <w:rPr>
          <w:color w:val="000000"/>
          <w:spacing w:val="-3"/>
          <w:lang w:val="en-CA"/>
        </w:rPr>
        <w:t xml:space="preserve"> </w:t>
      </w:r>
      <w:r w:rsidRPr="00CF4E9F">
        <w:rPr>
          <w:color w:val="000000"/>
          <w:spacing w:val="-3"/>
          <w:lang w:val="en-CA"/>
        </w:rPr>
        <w:t xml:space="preserve">Racial profiling in traffic stops with no required grounds </w:t>
      </w:r>
      <w:r w:rsidR="00E13F5C" w:rsidRPr="00CF4E9F">
        <w:rPr>
          <w:color w:val="000000"/>
          <w:spacing w:val="-3"/>
          <w:lang w:val="en-CA"/>
        </w:rPr>
        <w:t xml:space="preserve">arises because </w:t>
      </w:r>
      <w:r w:rsidR="00162E51">
        <w:rPr>
          <w:color w:val="000000"/>
          <w:spacing w:val="-3"/>
          <w:lang w:val="en-CA"/>
        </w:rPr>
        <w:t>s. </w:t>
      </w:r>
      <w:r w:rsidRPr="00CF4E9F">
        <w:rPr>
          <w:color w:val="000000"/>
          <w:spacing w:val="-3"/>
          <w:lang w:val="en-CA"/>
        </w:rPr>
        <w:t>636</w:t>
      </w:r>
      <w:r w:rsidR="0030762F" w:rsidRPr="0030762F">
        <w:rPr>
          <w:i/>
          <w:color w:val="000000"/>
          <w:spacing w:val="-3"/>
          <w:lang w:val="en-CA"/>
        </w:rPr>
        <w:t> HSC</w:t>
      </w:r>
      <w:r w:rsidRPr="00CF4E9F">
        <w:rPr>
          <w:color w:val="000000"/>
          <w:spacing w:val="-3"/>
          <w:lang w:val="en-CA"/>
        </w:rPr>
        <w:t xml:space="preserve"> includes no criteri</w:t>
      </w:r>
      <w:r w:rsidR="00E17725">
        <w:rPr>
          <w:color w:val="000000"/>
          <w:spacing w:val="-3"/>
          <w:lang w:val="en-CA"/>
        </w:rPr>
        <w:t>a</w:t>
      </w:r>
      <w:r w:rsidRPr="00CF4E9F">
        <w:rPr>
          <w:color w:val="000000"/>
          <w:spacing w:val="-3"/>
          <w:lang w:val="en-CA"/>
        </w:rPr>
        <w:t xml:space="preserve"> </w:t>
      </w:r>
      <w:r w:rsidR="00E14CD1">
        <w:rPr>
          <w:color w:val="000000"/>
          <w:spacing w:val="-3"/>
          <w:lang w:val="en-CA"/>
        </w:rPr>
        <w:t xml:space="preserve">to </w:t>
      </w:r>
      <w:r w:rsidR="00866FF9">
        <w:rPr>
          <w:color w:val="000000"/>
          <w:spacing w:val="-3"/>
          <w:lang w:val="en-CA"/>
        </w:rPr>
        <w:t xml:space="preserve">govern </w:t>
      </w:r>
      <w:r w:rsidRPr="00CF4E9F">
        <w:rPr>
          <w:color w:val="000000"/>
          <w:spacing w:val="-3"/>
          <w:lang w:val="en-CA"/>
        </w:rPr>
        <w:t xml:space="preserve">the exercise of discretion it </w:t>
      </w:r>
      <w:r w:rsidR="00E13F5C" w:rsidRPr="00CF4E9F">
        <w:rPr>
          <w:color w:val="000000"/>
          <w:spacing w:val="-3"/>
          <w:lang w:val="en-CA"/>
        </w:rPr>
        <w:t xml:space="preserve">confers on </w:t>
      </w:r>
      <w:r w:rsidRPr="00CF4E9F">
        <w:rPr>
          <w:color w:val="000000"/>
          <w:spacing w:val="-3"/>
          <w:lang w:val="en-CA"/>
        </w:rPr>
        <w:t>police</w:t>
      </w:r>
      <w:r w:rsidR="00E17725">
        <w:rPr>
          <w:color w:val="000000"/>
          <w:spacing w:val="-3"/>
          <w:lang w:val="en-CA"/>
        </w:rPr>
        <w:t xml:space="preserve"> officers</w:t>
      </w:r>
      <w:r w:rsidRPr="00CF4E9F">
        <w:rPr>
          <w:color w:val="000000"/>
          <w:spacing w:val="-3"/>
          <w:lang w:val="en-CA"/>
        </w:rPr>
        <w:t>.</w:t>
      </w:r>
      <w:r w:rsidR="005A1C52" w:rsidRPr="00CF4E9F">
        <w:rPr>
          <w:color w:val="000000"/>
          <w:spacing w:val="-3"/>
          <w:lang w:val="en-CA"/>
        </w:rPr>
        <w:t xml:space="preserve"> </w:t>
      </w:r>
      <w:r w:rsidR="00E13F5C" w:rsidRPr="00CF4E9F">
        <w:rPr>
          <w:color w:val="000000"/>
          <w:spacing w:val="-3"/>
          <w:lang w:val="en-CA"/>
        </w:rPr>
        <w:t>T</w:t>
      </w:r>
      <w:r w:rsidRPr="00CF4E9F">
        <w:rPr>
          <w:color w:val="000000"/>
          <w:spacing w:val="-3"/>
          <w:lang w:val="en-CA"/>
        </w:rPr>
        <w:t>he problem lies in the absence of proper limits in the</w:t>
      </w:r>
      <w:r w:rsidR="0030762F" w:rsidRPr="0030762F">
        <w:rPr>
          <w:i/>
          <w:color w:val="000000"/>
          <w:spacing w:val="-3"/>
          <w:lang w:val="en-CA"/>
        </w:rPr>
        <w:t> HSC</w:t>
      </w:r>
      <w:r w:rsidRPr="00CF4E9F">
        <w:rPr>
          <w:color w:val="000000"/>
          <w:spacing w:val="-3"/>
          <w:lang w:val="en-CA"/>
        </w:rPr>
        <w:t xml:space="preserve"> </w:t>
      </w:r>
      <w:r w:rsidR="00E17725">
        <w:rPr>
          <w:color w:val="000000"/>
          <w:spacing w:val="-3"/>
          <w:lang w:val="en-CA"/>
        </w:rPr>
        <w:t>regarding</w:t>
      </w:r>
      <w:r w:rsidR="00E17725" w:rsidRPr="00CF4E9F">
        <w:rPr>
          <w:color w:val="000000"/>
          <w:spacing w:val="-3"/>
          <w:lang w:val="en-CA"/>
        </w:rPr>
        <w:t xml:space="preserve"> </w:t>
      </w:r>
      <w:r w:rsidRPr="00CF4E9F">
        <w:rPr>
          <w:color w:val="000000"/>
          <w:spacing w:val="-3"/>
          <w:lang w:val="en-CA"/>
        </w:rPr>
        <w:t>the exercise of this power.</w:t>
      </w:r>
      <w:r w:rsidR="0043013D" w:rsidRPr="00CF4E9F">
        <w:rPr>
          <w:color w:val="000000"/>
          <w:spacing w:val="-3"/>
          <w:lang w:val="en-CA"/>
        </w:rPr>
        <w:t xml:space="preserve"> </w:t>
      </w:r>
      <w:r w:rsidR="00E14CD1">
        <w:rPr>
          <w:color w:val="000000"/>
          <w:spacing w:val="-3"/>
          <w:lang w:val="en-CA"/>
        </w:rPr>
        <w:t>T</w:t>
      </w:r>
      <w:r w:rsidRPr="00CF4E9F">
        <w:rPr>
          <w:color w:val="000000"/>
          <w:spacing w:val="-3"/>
          <w:lang w:val="en-CA"/>
        </w:rPr>
        <w:t xml:space="preserve">his </w:t>
      </w:r>
      <w:r w:rsidR="00E13F5C" w:rsidRPr="00CF4E9F">
        <w:rPr>
          <w:color w:val="000000"/>
          <w:spacing w:val="-3"/>
          <w:lang w:val="en-CA"/>
        </w:rPr>
        <w:t xml:space="preserve">absence </w:t>
      </w:r>
      <w:r w:rsidRPr="00CF4E9F">
        <w:rPr>
          <w:color w:val="000000"/>
          <w:spacing w:val="-3"/>
          <w:lang w:val="en-CA"/>
        </w:rPr>
        <w:t xml:space="preserve">of sufficient guidelines in </w:t>
      </w:r>
      <w:r w:rsidR="00162E51">
        <w:rPr>
          <w:color w:val="000000"/>
          <w:spacing w:val="-3"/>
          <w:lang w:val="en-CA"/>
        </w:rPr>
        <w:t>s. </w:t>
      </w:r>
      <w:r w:rsidRPr="00CF4E9F">
        <w:rPr>
          <w:color w:val="000000"/>
          <w:spacing w:val="-3"/>
          <w:lang w:val="en-CA"/>
        </w:rPr>
        <w:t>636</w:t>
      </w:r>
      <w:r w:rsidR="0030762F" w:rsidRPr="0030762F">
        <w:rPr>
          <w:i/>
          <w:color w:val="000000"/>
          <w:spacing w:val="-3"/>
          <w:lang w:val="en-CA"/>
        </w:rPr>
        <w:t> HSC</w:t>
      </w:r>
      <w:r w:rsidR="00E14CD1">
        <w:rPr>
          <w:spacing w:val="-3"/>
          <w:lang w:val="en-CA"/>
        </w:rPr>
        <w:t xml:space="preserve"> is</w:t>
      </w:r>
      <w:r w:rsidRPr="00CF4E9F">
        <w:rPr>
          <w:spacing w:val="-3"/>
          <w:lang w:val="en-CA"/>
        </w:rPr>
        <w:t xml:space="preserve"> the source of the alleged </w:t>
      </w:r>
      <w:r w:rsidRPr="00CF4E9F">
        <w:rPr>
          <w:i/>
          <w:spacing w:val="-3"/>
          <w:lang w:val="en-CA"/>
        </w:rPr>
        <w:t>Charter</w:t>
      </w:r>
      <w:r w:rsidRPr="00CF4E9F">
        <w:rPr>
          <w:spacing w:val="-3"/>
          <w:lang w:val="en-CA"/>
        </w:rPr>
        <w:t xml:space="preserve"> breaches</w:t>
      </w:r>
      <w:r w:rsidR="00E17725" w:rsidRPr="00E17725">
        <w:rPr>
          <w:spacing w:val="-3"/>
          <w:lang w:val="en-CA"/>
        </w:rPr>
        <w:t xml:space="preserve"> </w:t>
      </w:r>
      <w:r w:rsidR="00E17725">
        <w:rPr>
          <w:spacing w:val="-3"/>
          <w:lang w:val="en-CA"/>
        </w:rPr>
        <w:t xml:space="preserve">because it </w:t>
      </w:r>
      <w:r w:rsidR="00E17725" w:rsidRPr="00CF4E9F">
        <w:rPr>
          <w:spacing w:val="-3"/>
          <w:lang w:val="en-CA"/>
        </w:rPr>
        <w:t>foster</w:t>
      </w:r>
      <w:r w:rsidR="00E17725">
        <w:rPr>
          <w:spacing w:val="-3"/>
          <w:lang w:val="en-CA"/>
        </w:rPr>
        <w:t>s</w:t>
      </w:r>
      <w:r w:rsidR="00E17725" w:rsidRPr="00CF4E9F">
        <w:rPr>
          <w:spacing w:val="-3"/>
          <w:lang w:val="en-CA"/>
        </w:rPr>
        <w:t xml:space="preserve"> racial profiling</w:t>
      </w:r>
      <w:r w:rsidRPr="00CF4E9F">
        <w:rPr>
          <w:spacing w:val="-3"/>
          <w:lang w:val="en-CA"/>
        </w:rPr>
        <w:t>.</w:t>
      </w:r>
    </w:p>
    <w:p w14:paraId="48D8DB90" w14:textId="576E10DA" w:rsidR="005A1C52" w:rsidRPr="00CF4E9F" w:rsidRDefault="00FA63C3" w:rsidP="00F360B7">
      <w:pPr>
        <w:pStyle w:val="Paragraphe"/>
        <w:spacing w:line="280" w:lineRule="exact"/>
        <w:rPr>
          <w:lang w:val="en-CA"/>
        </w:rPr>
      </w:pPr>
      <w:r w:rsidRPr="00CF4E9F">
        <w:rPr>
          <w:lang w:val="en-CA"/>
        </w:rPr>
        <w:t xml:space="preserve">In this regard, this case </w:t>
      </w:r>
      <w:r w:rsidR="00F62B05" w:rsidRPr="00CF4E9F">
        <w:rPr>
          <w:lang w:val="en-CA"/>
        </w:rPr>
        <w:t>must be</w:t>
      </w:r>
      <w:r w:rsidRPr="00CF4E9F">
        <w:rPr>
          <w:lang w:val="en-CA"/>
        </w:rPr>
        <w:t xml:space="preserve"> distinguish</w:t>
      </w:r>
      <w:r w:rsidR="00F62B05" w:rsidRPr="00CF4E9F">
        <w:rPr>
          <w:lang w:val="en-CA"/>
        </w:rPr>
        <w:t>ed</w:t>
      </w:r>
      <w:r w:rsidRPr="00CF4E9F">
        <w:rPr>
          <w:lang w:val="en-CA"/>
        </w:rPr>
        <w:t xml:space="preserve"> from </w:t>
      </w:r>
      <w:r w:rsidRPr="00CF4E9F">
        <w:rPr>
          <w:i/>
          <w:lang w:val="en-CA"/>
        </w:rPr>
        <w:t>Little Sisters Book and Art Emporium v. Canada (Minister of Justice)</w:t>
      </w:r>
      <w:r w:rsidRPr="00CF4E9F">
        <w:rPr>
          <w:rStyle w:val="Appelnotedebasdep"/>
          <w:lang w:val="en-CA"/>
        </w:rPr>
        <w:footnoteReference w:id="104"/>
      </w:r>
      <w:r w:rsidRPr="00CF4E9F">
        <w:rPr>
          <w:lang w:val="en-CA"/>
        </w:rPr>
        <w:t xml:space="preserve"> raised by the AGQ in support of his position.</w:t>
      </w:r>
      <w:r w:rsidR="0043013D" w:rsidRPr="00CF4E9F">
        <w:rPr>
          <w:lang w:val="en-CA"/>
        </w:rPr>
        <w:t xml:space="preserve"> </w:t>
      </w:r>
      <w:r w:rsidRPr="00CF4E9F">
        <w:rPr>
          <w:lang w:val="en-CA"/>
        </w:rPr>
        <w:t xml:space="preserve">The challenged provisions in </w:t>
      </w:r>
      <w:r w:rsidRPr="00CF4E9F">
        <w:rPr>
          <w:i/>
          <w:lang w:val="en-CA"/>
        </w:rPr>
        <w:t>Little Sisters</w:t>
      </w:r>
      <w:r w:rsidRPr="00CF4E9F">
        <w:rPr>
          <w:lang w:val="en-CA"/>
        </w:rPr>
        <w:t xml:space="preserve"> included sufficient guidelines to </w:t>
      </w:r>
      <w:r w:rsidR="00E05942">
        <w:rPr>
          <w:lang w:val="en-CA"/>
        </w:rPr>
        <w:t xml:space="preserve">govern </w:t>
      </w:r>
      <w:r w:rsidRPr="00CF4E9F">
        <w:rPr>
          <w:lang w:val="en-CA"/>
        </w:rPr>
        <w:t xml:space="preserve">the discretion they </w:t>
      </w:r>
      <w:r w:rsidR="00F62B05" w:rsidRPr="00CF4E9F">
        <w:rPr>
          <w:lang w:val="en-CA"/>
        </w:rPr>
        <w:t>conferred on</w:t>
      </w:r>
      <w:r w:rsidRPr="00CF4E9F">
        <w:rPr>
          <w:lang w:val="en-CA"/>
        </w:rPr>
        <w:t xml:space="preserve"> the state representatives (customs officers).</w:t>
      </w:r>
      <w:r w:rsidR="00BD276D" w:rsidRPr="00CF4E9F">
        <w:rPr>
          <w:lang w:val="en-CA"/>
        </w:rPr>
        <w:t xml:space="preserve"> </w:t>
      </w:r>
      <w:r w:rsidR="00CF7AEB" w:rsidRPr="00CF4E9F">
        <w:rPr>
          <w:lang w:val="en-CA"/>
        </w:rPr>
        <w:t xml:space="preserve">According to the majority, these provisions set out an appropriate standard to </w:t>
      </w:r>
      <w:r w:rsidR="00866FF9">
        <w:rPr>
          <w:lang w:val="en-CA"/>
        </w:rPr>
        <w:t xml:space="preserve">govern </w:t>
      </w:r>
      <w:r w:rsidR="00CF7AEB" w:rsidRPr="00CF4E9F">
        <w:rPr>
          <w:lang w:val="en-CA"/>
        </w:rPr>
        <w:t xml:space="preserve">the discretion of </w:t>
      </w:r>
      <w:r w:rsidR="00CF7AEB" w:rsidRPr="00CF4E9F">
        <w:rPr>
          <w:lang w:val="en-CA"/>
        </w:rPr>
        <w:lastRenderedPageBreak/>
        <w:t xml:space="preserve">customs officers, primarily because they referred to the definition of obscenity in </w:t>
      </w:r>
      <w:r w:rsidR="00162E51">
        <w:rPr>
          <w:lang w:val="en-CA"/>
        </w:rPr>
        <w:t>s. </w:t>
      </w:r>
      <w:r w:rsidR="00CF7AEB" w:rsidRPr="00CF4E9F">
        <w:rPr>
          <w:lang w:val="en-CA"/>
        </w:rPr>
        <w:t>163(8)</w:t>
      </w:r>
      <w:r w:rsidR="0030762F" w:rsidRPr="0030762F">
        <w:rPr>
          <w:i/>
          <w:lang w:val="en-CA"/>
        </w:rPr>
        <w:t> Cr.C.</w:t>
      </w:r>
      <w:r w:rsidR="0043013D" w:rsidRPr="00CF4E9F">
        <w:rPr>
          <w:lang w:val="en-CA"/>
        </w:rPr>
        <w:t xml:space="preserve"> </w:t>
      </w:r>
      <w:r w:rsidR="00CF7AEB" w:rsidRPr="00CF4E9F">
        <w:rPr>
          <w:lang w:val="en-CA"/>
        </w:rPr>
        <w:t>Contrary to what was alleged, nothing in the applicable legislation or in its necessary effects contemplated or encouraged any differential treatment based on sexual orientation</w:t>
      </w:r>
      <w:r w:rsidR="000044BB">
        <w:rPr>
          <w:lang w:val="en-CA"/>
        </w:rPr>
        <w:t>,</w:t>
      </w:r>
      <w:r w:rsidR="00CF7AEB" w:rsidRPr="00CF4E9F">
        <w:rPr>
          <w:lang w:val="en-CA"/>
        </w:rPr>
        <w:t xml:space="preserve"> because the definition of obscenity operated without distinction between homosexual and heterosexual erotica.</w:t>
      </w:r>
      <w:r w:rsidR="00CF7AEB" w:rsidRPr="00CF4E9F">
        <w:rPr>
          <w:rStyle w:val="Appelnotedebasdep"/>
          <w:szCs w:val="24"/>
          <w:lang w:val="en-CA"/>
        </w:rPr>
        <w:footnoteReference w:id="105"/>
      </w:r>
      <w:r w:rsidR="0043013D" w:rsidRPr="00CF4E9F">
        <w:rPr>
          <w:lang w:val="en-CA"/>
        </w:rPr>
        <w:t xml:space="preserve"> </w:t>
      </w:r>
      <w:r w:rsidR="00CF7AEB" w:rsidRPr="00CF4E9F">
        <w:rPr>
          <w:lang w:val="en-CA"/>
        </w:rPr>
        <w:t xml:space="preserve">The alleged </w:t>
      </w:r>
      <w:r w:rsidR="00CF7AEB" w:rsidRPr="00CF4E9F">
        <w:rPr>
          <w:i/>
          <w:lang w:val="en-CA"/>
        </w:rPr>
        <w:t>Charter</w:t>
      </w:r>
      <w:r w:rsidR="00CF7AEB" w:rsidRPr="00CF4E9F">
        <w:rPr>
          <w:lang w:val="en-CA"/>
        </w:rPr>
        <w:t xml:space="preserve"> violations arose from customs</w:t>
      </w:r>
      <w:r w:rsidR="000044BB">
        <w:rPr>
          <w:lang w:val="en-CA"/>
        </w:rPr>
        <w:t xml:space="preserve"> administration</w:t>
      </w:r>
      <w:r w:rsidR="00CF7AEB" w:rsidRPr="00CF4E9F">
        <w:rPr>
          <w:lang w:val="en-CA"/>
        </w:rPr>
        <w:t xml:space="preserve">, not </w:t>
      </w:r>
      <w:r w:rsidR="00FD2D42">
        <w:rPr>
          <w:lang w:val="en-CA"/>
        </w:rPr>
        <w:t xml:space="preserve">from </w:t>
      </w:r>
      <w:r w:rsidR="00CF7AEB" w:rsidRPr="00CF4E9F">
        <w:rPr>
          <w:lang w:val="en-CA"/>
        </w:rPr>
        <w:t xml:space="preserve">the </w:t>
      </w:r>
      <w:r w:rsidR="00F62B05" w:rsidRPr="00CF4E9F">
        <w:rPr>
          <w:lang w:val="en-CA"/>
        </w:rPr>
        <w:t xml:space="preserve">legislation </w:t>
      </w:r>
      <w:r w:rsidR="00CF7AEB" w:rsidRPr="00CF4E9F">
        <w:rPr>
          <w:lang w:val="en-CA"/>
        </w:rPr>
        <w:t>itself.</w:t>
      </w:r>
      <w:r w:rsidR="0043013D" w:rsidRPr="00CF4E9F">
        <w:rPr>
          <w:lang w:val="en-CA"/>
        </w:rPr>
        <w:t xml:space="preserve"> </w:t>
      </w:r>
      <w:r w:rsidR="00CF7AEB" w:rsidRPr="00CF4E9F">
        <w:rPr>
          <w:lang w:val="en-CA"/>
        </w:rPr>
        <w:t xml:space="preserve">The </w:t>
      </w:r>
      <w:r w:rsidR="00F62B05" w:rsidRPr="00CF4E9F">
        <w:rPr>
          <w:lang w:val="en-CA"/>
        </w:rPr>
        <w:t>differentiation</w:t>
      </w:r>
      <w:r w:rsidR="00CF7AEB" w:rsidRPr="00CF4E9F">
        <w:rPr>
          <w:lang w:val="en-CA"/>
        </w:rPr>
        <w:t xml:space="preserve"> was made at the administrative level in the implementation of the legislation.</w:t>
      </w:r>
    </w:p>
    <w:p w14:paraId="426C0698" w14:textId="7A350F3E" w:rsidR="005A1C52" w:rsidRPr="00CF4E9F" w:rsidRDefault="00CF7AEB" w:rsidP="00A037E0">
      <w:pPr>
        <w:pStyle w:val="Paragraphe"/>
        <w:spacing w:line="280" w:lineRule="exact"/>
        <w:rPr>
          <w:lang w:val="en-CA"/>
        </w:rPr>
      </w:pPr>
      <w:r w:rsidRPr="00CF4E9F">
        <w:rPr>
          <w:lang w:val="en-CA"/>
        </w:rPr>
        <w:t xml:space="preserve">In contrast, </w:t>
      </w:r>
      <w:r w:rsidR="00162E51">
        <w:rPr>
          <w:lang w:val="en-CA"/>
        </w:rPr>
        <w:t>s. </w:t>
      </w:r>
      <w:r w:rsidRPr="00CF4E9F">
        <w:rPr>
          <w:lang w:val="en-CA"/>
        </w:rPr>
        <w:t>636</w:t>
      </w:r>
      <w:r w:rsidR="0030762F" w:rsidRPr="0030762F">
        <w:rPr>
          <w:i/>
          <w:lang w:val="en-CA"/>
        </w:rPr>
        <w:t> HSC</w:t>
      </w:r>
      <w:r w:rsidRPr="00CF4E9F">
        <w:rPr>
          <w:lang w:val="en-CA"/>
        </w:rPr>
        <w:t xml:space="preserve"> </w:t>
      </w:r>
      <w:r w:rsidR="00F62B05" w:rsidRPr="00CF4E9F">
        <w:rPr>
          <w:lang w:val="en-CA"/>
        </w:rPr>
        <w:t>confer</w:t>
      </w:r>
      <w:r w:rsidRPr="00CF4E9F">
        <w:rPr>
          <w:lang w:val="en-CA"/>
        </w:rPr>
        <w:t xml:space="preserve">s absolute discretion </w:t>
      </w:r>
      <w:r w:rsidR="00F62B05" w:rsidRPr="00CF4E9F">
        <w:rPr>
          <w:lang w:val="en-CA"/>
        </w:rPr>
        <w:t>on police</w:t>
      </w:r>
      <w:r w:rsidR="00AE6DAE">
        <w:rPr>
          <w:lang w:val="en-CA"/>
        </w:rPr>
        <w:t xml:space="preserve"> officers</w:t>
      </w:r>
      <w:r w:rsidR="00F62B05" w:rsidRPr="00CF4E9F">
        <w:rPr>
          <w:lang w:val="en-CA"/>
        </w:rPr>
        <w:t xml:space="preserve"> </w:t>
      </w:r>
      <w:r w:rsidR="00D640E1">
        <w:rPr>
          <w:lang w:val="en-CA"/>
        </w:rPr>
        <w:t xml:space="preserve">in that it </w:t>
      </w:r>
      <w:r w:rsidRPr="00CF4E9F">
        <w:rPr>
          <w:lang w:val="en-CA"/>
        </w:rPr>
        <w:t>contains no express or implied criteria to govern its exercise.</w:t>
      </w:r>
      <w:r w:rsidRPr="00CF4E9F">
        <w:rPr>
          <w:rStyle w:val="Appelnotedebasdep"/>
          <w:lang w:val="en-CA"/>
        </w:rPr>
        <w:footnoteReference w:id="106"/>
      </w:r>
      <w:r w:rsidR="000F7CCD" w:rsidRPr="00CF4E9F">
        <w:rPr>
          <w:lang w:val="en-CA"/>
        </w:rPr>
        <w:t xml:space="preserve"> </w:t>
      </w:r>
      <w:r w:rsidRPr="00CF4E9F">
        <w:rPr>
          <w:lang w:val="en-CA"/>
        </w:rPr>
        <w:t xml:space="preserve">Even when the police act </w:t>
      </w:r>
      <w:r w:rsidR="00E05942">
        <w:rPr>
          <w:lang w:val="en-CA"/>
        </w:rPr>
        <w:t xml:space="preserve">in the interest </w:t>
      </w:r>
      <w:r w:rsidR="00AE6DAE">
        <w:rPr>
          <w:lang w:val="en-CA"/>
        </w:rPr>
        <w:t xml:space="preserve">of </w:t>
      </w:r>
      <w:r w:rsidR="00F62B05" w:rsidRPr="00CF4E9F">
        <w:rPr>
          <w:lang w:val="en-CA"/>
        </w:rPr>
        <w:t xml:space="preserve">highway </w:t>
      </w:r>
      <w:r w:rsidRPr="00CF4E9F">
        <w:rPr>
          <w:lang w:val="en-CA"/>
        </w:rPr>
        <w:t xml:space="preserve">safety, racial profiling </w:t>
      </w:r>
      <w:r w:rsidR="00486271" w:rsidRPr="00CF4E9F">
        <w:rPr>
          <w:lang w:val="en-CA"/>
        </w:rPr>
        <w:t xml:space="preserve">may </w:t>
      </w:r>
      <w:r w:rsidR="00063079">
        <w:rPr>
          <w:lang w:val="en-CA"/>
        </w:rPr>
        <w:t xml:space="preserve">permeate </w:t>
      </w:r>
      <w:r w:rsidRPr="00CF4E9F">
        <w:rPr>
          <w:lang w:val="en-CA"/>
        </w:rPr>
        <w:t>the exercise of this discretion.</w:t>
      </w:r>
      <w:r w:rsidR="000F7CCD" w:rsidRPr="00CF4E9F">
        <w:rPr>
          <w:lang w:val="en-CA"/>
        </w:rPr>
        <w:t xml:space="preserve"> </w:t>
      </w:r>
      <w:r w:rsidRPr="00CF4E9F">
        <w:rPr>
          <w:lang w:val="en-CA"/>
        </w:rPr>
        <w:t xml:space="preserve">The trial judge therefore did not err when he concluded that the problem </w:t>
      </w:r>
      <w:r w:rsidR="00486271" w:rsidRPr="00CF4E9F">
        <w:rPr>
          <w:lang w:val="en-CA"/>
        </w:rPr>
        <w:t>stem</w:t>
      </w:r>
      <w:r w:rsidR="00436A48">
        <w:rPr>
          <w:lang w:val="en-CA"/>
        </w:rPr>
        <w:t>s</w:t>
      </w:r>
      <w:r w:rsidR="00486271" w:rsidRPr="00CF4E9F">
        <w:rPr>
          <w:lang w:val="en-CA"/>
        </w:rPr>
        <w:t xml:space="preserve"> </w:t>
      </w:r>
      <w:r w:rsidRPr="00CF4E9F">
        <w:rPr>
          <w:lang w:val="en-CA"/>
        </w:rPr>
        <w:t xml:space="preserve">from the challenged </w:t>
      </w:r>
      <w:r w:rsidR="00D95523">
        <w:rPr>
          <w:lang w:val="en-CA"/>
        </w:rPr>
        <w:t>provision</w:t>
      </w:r>
      <w:r w:rsidR="00486271" w:rsidRPr="00CF4E9F">
        <w:rPr>
          <w:lang w:val="en-CA"/>
        </w:rPr>
        <w:t>,</w:t>
      </w:r>
      <w:r w:rsidRPr="00CF4E9F">
        <w:rPr>
          <w:lang w:val="en-CA"/>
        </w:rPr>
        <w:t xml:space="preserve"> not its </w:t>
      </w:r>
      <w:r w:rsidR="001A2A93">
        <w:rPr>
          <w:lang w:val="en-CA"/>
        </w:rPr>
        <w:t xml:space="preserve">improper </w:t>
      </w:r>
      <w:r w:rsidRPr="00CF4E9F">
        <w:rPr>
          <w:lang w:val="en-CA"/>
        </w:rPr>
        <w:t>application.</w:t>
      </w:r>
    </w:p>
    <w:p w14:paraId="4E43BC9F" w14:textId="163B61A3" w:rsidR="005A1C52" w:rsidRPr="00CF4E9F" w:rsidRDefault="00CF7AEB" w:rsidP="00A037E0">
      <w:pPr>
        <w:pStyle w:val="Paragraphe"/>
        <w:spacing w:line="280" w:lineRule="exact"/>
        <w:rPr>
          <w:lang w:val="en-CA"/>
        </w:rPr>
      </w:pPr>
      <w:r w:rsidRPr="00CF4E9F">
        <w:rPr>
          <w:lang w:val="en-CA"/>
        </w:rPr>
        <w:t xml:space="preserve">This ground of appeal is therefore </w:t>
      </w:r>
      <w:r w:rsidR="00395682">
        <w:rPr>
          <w:lang w:val="en-CA"/>
        </w:rPr>
        <w:t>dismissed</w:t>
      </w:r>
      <w:r w:rsidRPr="00CF4E9F">
        <w:rPr>
          <w:lang w:val="en-CA"/>
        </w:rPr>
        <w:t>.</w:t>
      </w:r>
    </w:p>
    <w:p w14:paraId="60A01E42" w14:textId="655C07D0" w:rsidR="004C7B2F" w:rsidRPr="00CF4E9F" w:rsidRDefault="00AC00F6" w:rsidP="002E559C">
      <w:pPr>
        <w:pStyle w:val="Titre2"/>
        <w:rPr>
          <w:lang w:val="en-CA"/>
        </w:rPr>
      </w:pPr>
      <w:bookmarkStart w:id="55" w:name="_Toc201822883"/>
      <w:r w:rsidRPr="00CF4E9F">
        <w:rPr>
          <w:lang w:val="en-CA"/>
        </w:rPr>
        <w:t>B.</w:t>
      </w:r>
      <w:r w:rsidR="00CD4880" w:rsidRPr="00CF4E9F">
        <w:rPr>
          <w:lang w:val="en-CA"/>
        </w:rPr>
        <w:tab/>
      </w:r>
      <w:r w:rsidR="0066259A" w:rsidRPr="00CF4E9F">
        <w:rPr>
          <w:bCs/>
          <w:lang w:val="en-CA"/>
        </w:rPr>
        <w:t xml:space="preserve">Did the judge err in deciding that it was open to him to reconsider the ruling in </w:t>
      </w:r>
      <w:r w:rsidR="0066259A" w:rsidRPr="00CF4E9F">
        <w:rPr>
          <w:bCs/>
          <w:i/>
          <w:lang w:val="en-CA"/>
        </w:rPr>
        <w:t>Ladouceur</w:t>
      </w:r>
      <w:r w:rsidR="0066259A" w:rsidRPr="00CF4E9F">
        <w:rPr>
          <w:bCs/>
          <w:lang w:val="en-CA"/>
        </w:rPr>
        <w:t>?</w:t>
      </w:r>
      <w:bookmarkEnd w:id="55"/>
    </w:p>
    <w:p w14:paraId="37785CD8" w14:textId="7CBDCB23" w:rsidR="0032484D" w:rsidRPr="00CF4E9F" w:rsidRDefault="001579A9" w:rsidP="00A037E0">
      <w:pPr>
        <w:pStyle w:val="Paragraphe"/>
        <w:spacing w:line="280" w:lineRule="exact"/>
        <w:rPr>
          <w:szCs w:val="24"/>
          <w:lang w:val="en-CA"/>
        </w:rPr>
      </w:pPr>
      <w:bookmarkStart w:id="56" w:name="_Ref177748296"/>
      <w:r w:rsidRPr="00CF4E9F">
        <w:rPr>
          <w:szCs w:val="24"/>
          <w:lang w:val="en-CA"/>
        </w:rPr>
        <w:t xml:space="preserve">The </w:t>
      </w:r>
      <w:r w:rsidRPr="00CF4E9F">
        <w:rPr>
          <w:i/>
          <w:iCs/>
          <w:szCs w:val="24"/>
          <w:lang w:val="en-CA"/>
        </w:rPr>
        <w:t>stare decisis</w:t>
      </w:r>
      <w:r w:rsidRPr="00CF4E9F">
        <w:rPr>
          <w:szCs w:val="24"/>
          <w:lang w:val="en-CA"/>
        </w:rPr>
        <w:t xml:space="preserve"> </w:t>
      </w:r>
      <w:r w:rsidR="00822442" w:rsidRPr="00CF4E9F">
        <w:rPr>
          <w:szCs w:val="24"/>
          <w:lang w:val="en-CA"/>
        </w:rPr>
        <w:t>principle</w:t>
      </w:r>
      <w:r w:rsidRPr="00CF4E9F">
        <w:rPr>
          <w:szCs w:val="24"/>
          <w:lang w:val="en-CA"/>
        </w:rPr>
        <w:t xml:space="preserve"> requires courts to follow </w:t>
      </w:r>
      <w:r w:rsidR="00EE74CF" w:rsidRPr="00CF4E9F">
        <w:rPr>
          <w:szCs w:val="24"/>
          <w:lang w:val="en-CA"/>
        </w:rPr>
        <w:t>decisions of</w:t>
      </w:r>
      <w:r w:rsidRPr="00CF4E9F">
        <w:rPr>
          <w:szCs w:val="24"/>
          <w:lang w:val="en-CA"/>
        </w:rPr>
        <w:t xml:space="preserve"> </w:t>
      </w:r>
      <w:r w:rsidR="001C377C">
        <w:rPr>
          <w:szCs w:val="24"/>
          <w:lang w:val="en-CA"/>
        </w:rPr>
        <w:t xml:space="preserve">courts of </w:t>
      </w:r>
      <w:r w:rsidRPr="00CF4E9F">
        <w:rPr>
          <w:szCs w:val="24"/>
          <w:lang w:val="en-CA"/>
        </w:rPr>
        <w:t>coordinate</w:t>
      </w:r>
      <w:r w:rsidR="00EE74CF" w:rsidRPr="00CF4E9F">
        <w:rPr>
          <w:szCs w:val="24"/>
          <w:lang w:val="en-CA"/>
        </w:rPr>
        <w:t xml:space="preserve"> jurisdiction</w:t>
      </w:r>
      <w:r w:rsidRPr="00CF4E9F">
        <w:rPr>
          <w:szCs w:val="24"/>
          <w:lang w:val="en-CA"/>
        </w:rPr>
        <w:t xml:space="preserve"> (horizontal </w:t>
      </w:r>
      <w:r w:rsidRPr="00CF4E9F">
        <w:rPr>
          <w:i/>
          <w:szCs w:val="24"/>
          <w:lang w:val="en-CA"/>
        </w:rPr>
        <w:t>stare decisis</w:t>
      </w:r>
      <w:r w:rsidRPr="00CF4E9F">
        <w:rPr>
          <w:szCs w:val="24"/>
          <w:lang w:val="en-CA"/>
        </w:rPr>
        <w:t xml:space="preserve">) or higher </w:t>
      </w:r>
      <w:r w:rsidR="001C377C">
        <w:rPr>
          <w:szCs w:val="24"/>
          <w:lang w:val="en-CA"/>
        </w:rPr>
        <w:t xml:space="preserve">jurisdiction </w:t>
      </w:r>
      <w:r w:rsidRPr="00CF4E9F">
        <w:rPr>
          <w:szCs w:val="24"/>
          <w:lang w:val="en-CA"/>
        </w:rPr>
        <w:t xml:space="preserve">(vertical </w:t>
      </w:r>
      <w:r w:rsidRPr="00CF4E9F">
        <w:rPr>
          <w:i/>
          <w:szCs w:val="24"/>
          <w:lang w:val="en-CA"/>
        </w:rPr>
        <w:t>stare decisis</w:t>
      </w:r>
      <w:r w:rsidRPr="00CF4E9F">
        <w:rPr>
          <w:szCs w:val="24"/>
          <w:lang w:val="en-CA"/>
        </w:rPr>
        <w:t>).</w:t>
      </w:r>
      <w:r w:rsidRPr="00CF4E9F">
        <w:rPr>
          <w:rStyle w:val="Appelnotedebasdep"/>
          <w:szCs w:val="24"/>
          <w:lang w:val="en-CA"/>
        </w:rPr>
        <w:footnoteReference w:id="107"/>
      </w:r>
      <w:r w:rsidR="0043013D" w:rsidRPr="00CF4E9F">
        <w:rPr>
          <w:szCs w:val="24"/>
          <w:lang w:val="en-CA"/>
        </w:rPr>
        <w:t xml:space="preserve"> </w:t>
      </w:r>
      <w:bookmarkEnd w:id="56"/>
      <w:r w:rsidRPr="00CF4E9F">
        <w:rPr>
          <w:szCs w:val="24"/>
          <w:lang w:val="en-CA"/>
        </w:rPr>
        <w:t xml:space="preserve">This </w:t>
      </w:r>
      <w:r w:rsidR="00822442" w:rsidRPr="00CF4E9F">
        <w:rPr>
          <w:szCs w:val="24"/>
          <w:lang w:val="en-CA"/>
        </w:rPr>
        <w:t>principle</w:t>
      </w:r>
      <w:r w:rsidRPr="00CF4E9F">
        <w:rPr>
          <w:szCs w:val="24"/>
          <w:lang w:val="en-CA"/>
        </w:rPr>
        <w:t xml:space="preserve"> applies solely to the </w:t>
      </w:r>
      <w:r w:rsidRPr="00CF4E9F">
        <w:rPr>
          <w:i/>
          <w:szCs w:val="24"/>
          <w:lang w:val="en-CA"/>
        </w:rPr>
        <w:t>ratio decidendi</w:t>
      </w:r>
      <w:r w:rsidRPr="00CF4E9F">
        <w:rPr>
          <w:szCs w:val="24"/>
          <w:lang w:val="en-CA"/>
        </w:rPr>
        <w:t xml:space="preserve"> of a case.</w:t>
      </w:r>
      <w:r w:rsidRPr="00CF4E9F">
        <w:rPr>
          <w:rStyle w:val="Appelnotedebasdep"/>
          <w:szCs w:val="24"/>
          <w:lang w:val="en-CA"/>
        </w:rPr>
        <w:footnoteReference w:id="108"/>
      </w:r>
      <w:r w:rsidR="00986B86" w:rsidRPr="00CF4E9F">
        <w:rPr>
          <w:szCs w:val="24"/>
          <w:lang w:val="en-CA"/>
        </w:rPr>
        <w:t xml:space="preserve"> </w:t>
      </w:r>
      <w:r w:rsidR="00EE74CF" w:rsidRPr="00CF4E9F">
        <w:rPr>
          <w:szCs w:val="24"/>
          <w:lang w:val="en-CA"/>
        </w:rPr>
        <w:t>O</w:t>
      </w:r>
      <w:r w:rsidRPr="00CF4E9F">
        <w:rPr>
          <w:szCs w:val="24"/>
          <w:lang w:val="en-CA"/>
        </w:rPr>
        <w:t xml:space="preserve">nly vertical </w:t>
      </w:r>
      <w:r w:rsidRPr="00CF4E9F">
        <w:rPr>
          <w:i/>
          <w:iCs/>
          <w:szCs w:val="24"/>
          <w:lang w:val="en-CA"/>
        </w:rPr>
        <w:t>stare decisis</w:t>
      </w:r>
      <w:r w:rsidRPr="00CF4E9F">
        <w:rPr>
          <w:szCs w:val="24"/>
          <w:lang w:val="en-CA"/>
        </w:rPr>
        <w:t xml:space="preserve"> is involved </w:t>
      </w:r>
      <w:r w:rsidR="00EE74CF" w:rsidRPr="00CF4E9F">
        <w:rPr>
          <w:szCs w:val="24"/>
          <w:lang w:val="en-CA"/>
        </w:rPr>
        <w:t xml:space="preserve">here </w:t>
      </w:r>
      <w:r w:rsidRPr="00CF4E9F">
        <w:rPr>
          <w:szCs w:val="24"/>
          <w:lang w:val="en-CA"/>
        </w:rPr>
        <w:t xml:space="preserve">as </w:t>
      </w:r>
      <w:r w:rsidRPr="00CF4E9F">
        <w:rPr>
          <w:i/>
          <w:szCs w:val="24"/>
          <w:lang w:val="en-CA"/>
        </w:rPr>
        <w:t>Ladouceur</w:t>
      </w:r>
      <w:r w:rsidRPr="00CF4E9F">
        <w:rPr>
          <w:szCs w:val="24"/>
          <w:lang w:val="en-CA"/>
        </w:rPr>
        <w:t xml:space="preserve"> was rendered by a higher court.</w:t>
      </w:r>
    </w:p>
    <w:p w14:paraId="1F8E9E3E" w14:textId="760D70DB" w:rsidR="0032484D" w:rsidRPr="00CF4E9F" w:rsidRDefault="001579A9" w:rsidP="00A037E0">
      <w:pPr>
        <w:pStyle w:val="Paragraphe"/>
        <w:spacing w:line="280" w:lineRule="exact"/>
        <w:rPr>
          <w:lang w:val="en-CA"/>
        </w:rPr>
      </w:pPr>
      <w:bookmarkStart w:id="57" w:name="_Hlk171972464"/>
      <w:r w:rsidRPr="00CF4E9F">
        <w:rPr>
          <w:szCs w:val="24"/>
          <w:lang w:val="en-CA"/>
        </w:rPr>
        <w:t xml:space="preserve">The </w:t>
      </w:r>
      <w:r w:rsidRPr="00CF4E9F">
        <w:rPr>
          <w:i/>
          <w:iCs/>
          <w:szCs w:val="24"/>
          <w:lang w:val="en-CA"/>
        </w:rPr>
        <w:t>ratio decidendi</w:t>
      </w:r>
      <w:r w:rsidRPr="00CF4E9F">
        <w:rPr>
          <w:szCs w:val="24"/>
          <w:lang w:val="en-CA"/>
        </w:rPr>
        <w:t xml:space="preserve"> of </w:t>
      </w:r>
      <w:r w:rsidRPr="00CF4E9F">
        <w:rPr>
          <w:i/>
          <w:szCs w:val="24"/>
          <w:lang w:val="en-CA"/>
        </w:rPr>
        <w:t>Ladouceur</w:t>
      </w:r>
      <w:r w:rsidRPr="00CF4E9F">
        <w:rPr>
          <w:szCs w:val="24"/>
          <w:lang w:val="en-CA"/>
        </w:rPr>
        <w:t xml:space="preserve"> may be stated thus: (1) the power to make traffic stops with no required grounds constitute</w:t>
      </w:r>
      <w:r w:rsidR="00EE74CF" w:rsidRPr="00CF4E9F">
        <w:rPr>
          <w:szCs w:val="24"/>
          <w:lang w:val="en-CA"/>
        </w:rPr>
        <w:t>s</w:t>
      </w:r>
      <w:r w:rsidRPr="00CF4E9F">
        <w:rPr>
          <w:szCs w:val="24"/>
          <w:lang w:val="en-CA"/>
        </w:rPr>
        <w:t xml:space="preserve"> arbitrary detention and violate</w:t>
      </w:r>
      <w:r w:rsidR="00EE74CF" w:rsidRPr="00CF4E9F">
        <w:rPr>
          <w:szCs w:val="24"/>
          <w:lang w:val="en-CA"/>
        </w:rPr>
        <w:t>s</w:t>
      </w:r>
      <w:r w:rsidRPr="00CF4E9F">
        <w:rPr>
          <w:szCs w:val="24"/>
          <w:lang w:val="en-CA"/>
        </w:rPr>
        <w:t xml:space="preserve"> </w:t>
      </w:r>
      <w:r w:rsidR="00162E51">
        <w:rPr>
          <w:szCs w:val="24"/>
          <w:lang w:val="en-CA"/>
        </w:rPr>
        <w:t>s. </w:t>
      </w:r>
      <w:r w:rsidRPr="00CF4E9F">
        <w:rPr>
          <w:szCs w:val="24"/>
          <w:lang w:val="en-CA"/>
        </w:rPr>
        <w:t xml:space="preserve">9 of the </w:t>
      </w:r>
      <w:r w:rsidRPr="00CF4E9F">
        <w:rPr>
          <w:i/>
          <w:szCs w:val="24"/>
          <w:lang w:val="en-CA"/>
        </w:rPr>
        <w:t>Charter</w:t>
      </w:r>
      <w:r w:rsidRPr="00CF4E9F">
        <w:rPr>
          <w:szCs w:val="24"/>
          <w:lang w:val="en-CA"/>
        </w:rPr>
        <w:t xml:space="preserve">; and (2) this infringement </w:t>
      </w:r>
      <w:r w:rsidR="00EE74CF" w:rsidRPr="00CF4E9F">
        <w:rPr>
          <w:szCs w:val="24"/>
          <w:lang w:val="en-CA"/>
        </w:rPr>
        <w:t>i</w:t>
      </w:r>
      <w:r w:rsidRPr="00CF4E9F">
        <w:rPr>
          <w:szCs w:val="24"/>
          <w:lang w:val="en-CA"/>
        </w:rPr>
        <w:t xml:space="preserve">s justified under </w:t>
      </w:r>
      <w:r w:rsidR="00162E51">
        <w:rPr>
          <w:szCs w:val="24"/>
          <w:lang w:val="en-CA"/>
        </w:rPr>
        <w:t>s. </w:t>
      </w:r>
      <w:r w:rsidR="001A6AF7" w:rsidRPr="00CF4E9F">
        <w:rPr>
          <w:szCs w:val="24"/>
          <w:lang w:val="en-CA"/>
        </w:rPr>
        <w:t xml:space="preserve">1 </w:t>
      </w:r>
      <w:r w:rsidRPr="00CF4E9F">
        <w:rPr>
          <w:szCs w:val="24"/>
          <w:lang w:val="en-CA"/>
        </w:rPr>
        <w:t xml:space="preserve">of the </w:t>
      </w:r>
      <w:r w:rsidRPr="00CF4E9F">
        <w:rPr>
          <w:i/>
          <w:szCs w:val="24"/>
          <w:lang w:val="en-CA"/>
        </w:rPr>
        <w:t>Charter</w:t>
      </w:r>
      <w:r w:rsidRPr="00CF4E9F">
        <w:rPr>
          <w:szCs w:val="24"/>
          <w:lang w:val="en-CA"/>
        </w:rPr>
        <w:t>.</w:t>
      </w:r>
      <w:r w:rsidRPr="00CF4E9F">
        <w:rPr>
          <w:rStyle w:val="Appelnotedebasdep"/>
          <w:szCs w:val="24"/>
          <w:lang w:val="en-CA"/>
        </w:rPr>
        <w:footnoteReference w:id="109"/>
      </w:r>
      <w:r w:rsidR="0043013D" w:rsidRPr="00CF4E9F">
        <w:rPr>
          <w:szCs w:val="24"/>
          <w:lang w:val="en-CA"/>
        </w:rPr>
        <w:t xml:space="preserve"> </w:t>
      </w:r>
      <w:bookmarkEnd w:id="57"/>
      <w:r w:rsidRPr="00CF4E9F">
        <w:rPr>
          <w:lang w:val="en-CA"/>
        </w:rPr>
        <w:t xml:space="preserve">Thus, the constitutionality of the power to make traffic stops with no required grounds </w:t>
      </w:r>
      <w:r w:rsidR="000129E6">
        <w:rPr>
          <w:u w:val="single"/>
          <w:lang w:val="en-CA"/>
        </w:rPr>
        <w:t xml:space="preserve">in </w:t>
      </w:r>
      <w:r w:rsidR="003217A3">
        <w:rPr>
          <w:u w:val="single"/>
          <w:lang w:val="en-CA"/>
        </w:rPr>
        <w:t xml:space="preserve">light </w:t>
      </w:r>
      <w:r w:rsidR="000129E6">
        <w:rPr>
          <w:u w:val="single"/>
          <w:lang w:val="en-CA"/>
        </w:rPr>
        <w:t xml:space="preserve">of </w:t>
      </w:r>
      <w:r w:rsidR="00A933FD">
        <w:rPr>
          <w:u w:val="single"/>
          <w:lang w:val="en-CA"/>
        </w:rPr>
        <w:t>ss. </w:t>
      </w:r>
      <w:r w:rsidRPr="00CF4E9F">
        <w:rPr>
          <w:u w:val="single"/>
          <w:lang w:val="en-CA"/>
        </w:rPr>
        <w:t xml:space="preserve">7 and 15 of the </w:t>
      </w:r>
      <w:r w:rsidRPr="00CF4E9F">
        <w:rPr>
          <w:i/>
          <w:u w:val="single"/>
          <w:lang w:val="en-CA"/>
        </w:rPr>
        <w:t>Charter</w:t>
      </w:r>
      <w:r w:rsidRPr="00CF4E9F">
        <w:rPr>
          <w:lang w:val="en-CA"/>
        </w:rPr>
        <w:t xml:space="preserve"> is not subject to</w:t>
      </w:r>
      <w:r w:rsidR="00126BE6">
        <w:rPr>
          <w:lang w:val="en-CA"/>
        </w:rPr>
        <w:t xml:space="preserve"> any</w:t>
      </w:r>
      <w:r w:rsidRPr="00CF4E9F">
        <w:rPr>
          <w:lang w:val="en-CA"/>
        </w:rPr>
        <w:t xml:space="preserve"> binding precedent and</w:t>
      </w:r>
      <w:r w:rsidR="00126BE6">
        <w:rPr>
          <w:lang w:val="en-CA"/>
        </w:rPr>
        <w:t xml:space="preserve"> does not require the application of</w:t>
      </w:r>
      <w:r w:rsidR="00822442" w:rsidRPr="00CF4E9F">
        <w:rPr>
          <w:lang w:val="en-CA"/>
        </w:rPr>
        <w:t xml:space="preserve"> </w:t>
      </w:r>
      <w:r w:rsidRPr="00CF4E9F">
        <w:rPr>
          <w:i/>
          <w:lang w:val="en-CA"/>
        </w:rPr>
        <w:t>stare decisis</w:t>
      </w:r>
      <w:r w:rsidRPr="00CF4E9F">
        <w:rPr>
          <w:lang w:val="en-CA"/>
        </w:rPr>
        <w:t>.</w:t>
      </w:r>
    </w:p>
    <w:p w14:paraId="3D5966D9" w14:textId="41345084" w:rsidR="0032484D" w:rsidRPr="00CF4E9F" w:rsidRDefault="001579A9" w:rsidP="00A037E0">
      <w:pPr>
        <w:pStyle w:val="Paragraphe"/>
        <w:spacing w:line="280" w:lineRule="exact"/>
        <w:rPr>
          <w:lang w:val="en-CA"/>
        </w:rPr>
      </w:pPr>
      <w:r w:rsidRPr="00CF4E9F">
        <w:rPr>
          <w:lang w:val="en-CA"/>
        </w:rPr>
        <w:t xml:space="preserve">More specifically, </w:t>
      </w:r>
      <w:r w:rsidR="00822442" w:rsidRPr="00CF4E9F">
        <w:rPr>
          <w:lang w:val="en-CA"/>
        </w:rPr>
        <w:t xml:space="preserve">the Supreme Court in </w:t>
      </w:r>
      <w:r w:rsidR="00822442" w:rsidRPr="00CF4E9F">
        <w:rPr>
          <w:i/>
          <w:iCs/>
          <w:lang w:val="en-CA"/>
        </w:rPr>
        <w:t>Ladouceur</w:t>
      </w:r>
      <w:r w:rsidR="00822442" w:rsidRPr="00CF4E9F">
        <w:rPr>
          <w:lang w:val="en-CA"/>
        </w:rPr>
        <w:t xml:space="preserve"> considered </w:t>
      </w:r>
      <w:r w:rsidRPr="00CF4E9F">
        <w:rPr>
          <w:lang w:val="en-CA"/>
        </w:rPr>
        <w:t xml:space="preserve">only the constitutionality of </w:t>
      </w:r>
      <w:r w:rsidR="00162E51">
        <w:rPr>
          <w:lang w:val="en-CA"/>
        </w:rPr>
        <w:t>s. </w:t>
      </w:r>
      <w:r w:rsidRPr="00CF4E9F">
        <w:rPr>
          <w:lang w:val="en-CA"/>
        </w:rPr>
        <w:t xml:space="preserve">189a(1) of the Ontario </w:t>
      </w:r>
      <w:r w:rsidRPr="00CF4E9F">
        <w:rPr>
          <w:i/>
          <w:lang w:val="en-CA"/>
        </w:rPr>
        <w:t>Highway Traffic Act</w:t>
      </w:r>
      <w:r w:rsidRPr="00CF4E9F">
        <w:rPr>
          <w:lang w:val="en-CA"/>
        </w:rPr>
        <w:t xml:space="preserve"> in light of </w:t>
      </w:r>
      <w:r w:rsidR="00162E51">
        <w:rPr>
          <w:lang w:val="en-CA"/>
        </w:rPr>
        <w:t>s. </w:t>
      </w:r>
      <w:r w:rsidRPr="00CF4E9F">
        <w:rPr>
          <w:lang w:val="en-CA"/>
        </w:rPr>
        <w:t xml:space="preserve">9 of the </w:t>
      </w:r>
      <w:r w:rsidRPr="00CF4E9F">
        <w:rPr>
          <w:i/>
          <w:lang w:val="en-CA"/>
        </w:rPr>
        <w:t>Charter</w:t>
      </w:r>
      <w:r w:rsidR="00EB2C99">
        <w:rPr>
          <w:iCs/>
          <w:lang w:val="en-CA"/>
        </w:rPr>
        <w:t xml:space="preserve">, as s. </w:t>
      </w:r>
      <w:r w:rsidRPr="00CF4E9F">
        <w:rPr>
          <w:lang w:val="en-CA"/>
        </w:rPr>
        <w:t xml:space="preserve">15 of the </w:t>
      </w:r>
      <w:r w:rsidRPr="00CF4E9F">
        <w:rPr>
          <w:i/>
          <w:lang w:val="en-CA"/>
        </w:rPr>
        <w:t>Charter</w:t>
      </w:r>
      <w:r w:rsidRPr="00CF4E9F">
        <w:rPr>
          <w:lang w:val="en-CA"/>
        </w:rPr>
        <w:t xml:space="preserve"> was not yet in force at the time of the facts of that case.</w:t>
      </w:r>
      <w:r w:rsidRPr="00CF4E9F">
        <w:rPr>
          <w:rStyle w:val="Appelnotedebasdep"/>
          <w:lang w:val="en-CA"/>
        </w:rPr>
        <w:footnoteReference w:id="110"/>
      </w:r>
      <w:r w:rsidR="0043013D" w:rsidRPr="00CF4E9F">
        <w:rPr>
          <w:lang w:val="en-CA"/>
        </w:rPr>
        <w:t xml:space="preserve"> </w:t>
      </w:r>
      <w:r w:rsidRPr="00CF4E9F">
        <w:rPr>
          <w:lang w:val="en-CA"/>
        </w:rPr>
        <w:t xml:space="preserve">It is </w:t>
      </w:r>
      <w:r w:rsidR="00EB2C99">
        <w:rPr>
          <w:lang w:val="en-CA"/>
        </w:rPr>
        <w:t xml:space="preserve">therefore </w:t>
      </w:r>
      <w:r w:rsidRPr="00CF4E9F">
        <w:rPr>
          <w:lang w:val="en-CA"/>
        </w:rPr>
        <w:t xml:space="preserve">clear that Mr. Luamba’s argument based on </w:t>
      </w:r>
      <w:r w:rsidR="00162E51">
        <w:rPr>
          <w:lang w:val="en-CA"/>
        </w:rPr>
        <w:t>s. </w:t>
      </w:r>
      <w:r w:rsidRPr="00CF4E9F">
        <w:rPr>
          <w:lang w:val="en-CA"/>
        </w:rPr>
        <w:t xml:space="preserve">15 of the </w:t>
      </w:r>
      <w:r w:rsidRPr="00CF4E9F">
        <w:rPr>
          <w:i/>
          <w:lang w:val="en-CA"/>
        </w:rPr>
        <w:t>Charter</w:t>
      </w:r>
      <w:r w:rsidRPr="00CF4E9F">
        <w:rPr>
          <w:lang w:val="en-CA"/>
        </w:rPr>
        <w:t xml:space="preserve"> is a new legal issue, as the trial judge concluded.</w:t>
      </w:r>
      <w:r w:rsidRPr="00CF4E9F">
        <w:rPr>
          <w:rStyle w:val="Appelnotedebasdep"/>
          <w:lang w:val="en-CA"/>
        </w:rPr>
        <w:footnoteReference w:id="111"/>
      </w:r>
      <w:r w:rsidR="0043013D" w:rsidRPr="00CF4E9F">
        <w:rPr>
          <w:lang w:val="en-CA"/>
        </w:rPr>
        <w:t xml:space="preserve"> </w:t>
      </w:r>
    </w:p>
    <w:p w14:paraId="29CB60C2" w14:textId="0D40EDED" w:rsidR="0032484D" w:rsidRPr="00CF4E9F" w:rsidRDefault="001579A9" w:rsidP="00A037E0">
      <w:pPr>
        <w:pStyle w:val="Paragraphe"/>
        <w:spacing w:line="280" w:lineRule="exact"/>
        <w:rPr>
          <w:szCs w:val="24"/>
          <w:lang w:val="en-CA"/>
        </w:rPr>
      </w:pPr>
      <w:r w:rsidRPr="00CF4E9F">
        <w:rPr>
          <w:szCs w:val="24"/>
          <w:lang w:val="en-CA"/>
        </w:rPr>
        <w:lastRenderedPageBreak/>
        <w:t xml:space="preserve">With respect to the argument based on </w:t>
      </w:r>
      <w:r w:rsidR="00162E51">
        <w:rPr>
          <w:szCs w:val="24"/>
          <w:lang w:val="en-CA"/>
        </w:rPr>
        <w:t>s. </w:t>
      </w:r>
      <w:r w:rsidRPr="00CF4E9F">
        <w:rPr>
          <w:szCs w:val="24"/>
          <w:lang w:val="en-CA"/>
        </w:rPr>
        <w:t xml:space="preserve">7 of the </w:t>
      </w:r>
      <w:r w:rsidRPr="00CF4E9F">
        <w:rPr>
          <w:i/>
          <w:szCs w:val="24"/>
          <w:lang w:val="en-CA"/>
        </w:rPr>
        <w:t>Charter</w:t>
      </w:r>
      <w:r w:rsidRPr="00CF4E9F">
        <w:rPr>
          <w:szCs w:val="24"/>
          <w:lang w:val="en-CA"/>
        </w:rPr>
        <w:t xml:space="preserve">, while the Supreme Court referred to it when formulating the constitutional issues, the reasons of the majority stated that it was unnecessary to decide this question due to the conclusions reached on </w:t>
      </w:r>
      <w:r w:rsidR="00162E51">
        <w:rPr>
          <w:szCs w:val="24"/>
          <w:lang w:val="en-CA"/>
        </w:rPr>
        <w:t>s. </w:t>
      </w:r>
      <w:r w:rsidRPr="00CF4E9F">
        <w:rPr>
          <w:szCs w:val="24"/>
          <w:lang w:val="en-CA"/>
        </w:rPr>
        <w:t>9.</w:t>
      </w:r>
      <w:r w:rsidRPr="00CF4E9F">
        <w:rPr>
          <w:rStyle w:val="Appelnotedebasdep"/>
          <w:szCs w:val="24"/>
          <w:lang w:val="en-CA"/>
        </w:rPr>
        <w:footnoteReference w:id="112"/>
      </w:r>
      <w:r w:rsidR="0043013D" w:rsidRPr="00CF4E9F">
        <w:rPr>
          <w:szCs w:val="24"/>
          <w:lang w:val="en-CA"/>
        </w:rPr>
        <w:t xml:space="preserve"> </w:t>
      </w:r>
      <w:r w:rsidRPr="00CF4E9F">
        <w:rPr>
          <w:rStyle w:val="cf01"/>
          <w:rFonts w:ascii="Arial" w:hAnsi="Arial" w:cs="Arial"/>
          <w:sz w:val="24"/>
          <w:szCs w:val="24"/>
          <w:lang w:val="en-CA"/>
        </w:rPr>
        <w:t xml:space="preserve">An overall reading of </w:t>
      </w:r>
      <w:r w:rsidRPr="00CF4E9F">
        <w:rPr>
          <w:rStyle w:val="cf01"/>
          <w:rFonts w:ascii="Arial" w:hAnsi="Arial" w:cs="Arial"/>
          <w:i/>
          <w:sz w:val="24"/>
          <w:szCs w:val="24"/>
          <w:lang w:val="en-CA"/>
        </w:rPr>
        <w:t>Ladouceur</w:t>
      </w:r>
      <w:r w:rsidRPr="00CF4E9F">
        <w:rPr>
          <w:rStyle w:val="cf01"/>
          <w:rFonts w:ascii="Arial" w:hAnsi="Arial" w:cs="Arial"/>
          <w:sz w:val="24"/>
          <w:szCs w:val="24"/>
          <w:lang w:val="en-CA"/>
        </w:rPr>
        <w:t xml:space="preserve"> therefore leads to the conclusion that the argument based on </w:t>
      </w:r>
      <w:r w:rsidR="00162E51">
        <w:rPr>
          <w:rStyle w:val="cf01"/>
          <w:rFonts w:ascii="Arial" w:hAnsi="Arial" w:cs="Arial"/>
          <w:sz w:val="24"/>
          <w:szCs w:val="24"/>
          <w:lang w:val="en-CA"/>
        </w:rPr>
        <w:t>s. </w:t>
      </w:r>
      <w:r w:rsidRPr="00CF4E9F">
        <w:rPr>
          <w:rStyle w:val="cf01"/>
          <w:rFonts w:ascii="Arial" w:hAnsi="Arial" w:cs="Arial"/>
          <w:sz w:val="24"/>
          <w:szCs w:val="24"/>
          <w:lang w:val="en-CA"/>
        </w:rPr>
        <w:t>7 was not determined on the merits in that case.</w:t>
      </w:r>
      <w:r w:rsidR="0052617C" w:rsidRPr="00CF4E9F">
        <w:rPr>
          <w:rStyle w:val="cf01"/>
          <w:rFonts w:ascii="Arial" w:hAnsi="Arial" w:cs="Arial"/>
          <w:sz w:val="24"/>
          <w:szCs w:val="24"/>
          <w:lang w:val="en-CA"/>
        </w:rPr>
        <w:t xml:space="preserve"> </w:t>
      </w:r>
      <w:r w:rsidRPr="00CF4E9F">
        <w:rPr>
          <w:szCs w:val="24"/>
          <w:lang w:val="en-CA"/>
        </w:rPr>
        <w:t xml:space="preserve">Consequently, the judge was right to characterize it as a </w:t>
      </w:r>
      <w:r w:rsidR="00584193" w:rsidRPr="00CF4E9F">
        <w:rPr>
          <w:rFonts w:cs="Arial"/>
          <w:lang w:val="en-CA"/>
        </w:rPr>
        <w:t>[</w:t>
      </w:r>
      <w:r w:rsidR="00584193" w:rsidRPr="00CF4E9F">
        <w:rPr>
          <w:rFonts w:cs="Arial"/>
          <w:smallCaps/>
          <w:lang w:val="en-CA"/>
        </w:rPr>
        <w:t>translation</w:t>
      </w:r>
      <w:r w:rsidR="00584193" w:rsidRPr="00CF4E9F">
        <w:rPr>
          <w:rFonts w:cs="Arial"/>
          <w:lang w:val="en-CA"/>
        </w:rPr>
        <w:t>]</w:t>
      </w:r>
      <w:r w:rsidR="00F8437E">
        <w:rPr>
          <w:szCs w:val="24"/>
          <w:lang w:val="en-CA"/>
        </w:rPr>
        <w:t> </w:t>
      </w:r>
      <w:r w:rsidRPr="00CF4E9F">
        <w:rPr>
          <w:szCs w:val="24"/>
          <w:lang w:val="en-CA"/>
        </w:rPr>
        <w:t>“new legal issue”.</w:t>
      </w:r>
      <w:r w:rsidRPr="00CF4E9F">
        <w:rPr>
          <w:rStyle w:val="Appelnotedebasdep"/>
          <w:szCs w:val="24"/>
          <w:lang w:val="en-CA"/>
        </w:rPr>
        <w:footnoteReference w:id="113"/>
      </w:r>
    </w:p>
    <w:p w14:paraId="7A4BC8B7" w14:textId="5424918D" w:rsidR="0032484D" w:rsidRPr="00CF4E9F" w:rsidRDefault="001579A9" w:rsidP="00A037E0">
      <w:pPr>
        <w:pStyle w:val="Paragraphe"/>
        <w:spacing w:line="280" w:lineRule="exact"/>
        <w:rPr>
          <w:lang w:val="en-CA"/>
        </w:rPr>
      </w:pPr>
      <w:r w:rsidRPr="00CF4E9F">
        <w:rPr>
          <w:lang w:val="en-CA"/>
        </w:rPr>
        <w:t xml:space="preserve">With respect to the arguments based on </w:t>
      </w:r>
      <w:r w:rsidR="00162E51">
        <w:rPr>
          <w:lang w:val="en-CA"/>
        </w:rPr>
        <w:t>s. </w:t>
      </w:r>
      <w:r w:rsidRPr="00CF4E9F">
        <w:rPr>
          <w:lang w:val="en-CA"/>
        </w:rPr>
        <w:t xml:space="preserve">9 of the </w:t>
      </w:r>
      <w:r w:rsidRPr="00CF4E9F">
        <w:rPr>
          <w:i/>
          <w:lang w:val="en-CA"/>
        </w:rPr>
        <w:t>Charter</w:t>
      </w:r>
      <w:r w:rsidRPr="00CF4E9F">
        <w:rPr>
          <w:lang w:val="en-CA"/>
        </w:rPr>
        <w:t xml:space="preserve"> and the justification for the infringement of </w:t>
      </w:r>
      <w:r w:rsidR="00162E51">
        <w:rPr>
          <w:lang w:val="en-CA"/>
        </w:rPr>
        <w:t>s. </w:t>
      </w:r>
      <w:r w:rsidRPr="00CF4E9F">
        <w:rPr>
          <w:lang w:val="en-CA"/>
        </w:rPr>
        <w:t xml:space="preserve">9 </w:t>
      </w:r>
      <w:r w:rsidR="00AD4ECC" w:rsidRPr="00CF4E9F">
        <w:rPr>
          <w:lang w:val="en-CA"/>
        </w:rPr>
        <w:t>under</w:t>
      </w:r>
      <w:r w:rsidRPr="00CF4E9F">
        <w:rPr>
          <w:lang w:val="en-CA"/>
        </w:rPr>
        <w:t xml:space="preserve"> </w:t>
      </w:r>
      <w:r w:rsidR="00162E51">
        <w:rPr>
          <w:lang w:val="en-CA"/>
        </w:rPr>
        <w:t>s. </w:t>
      </w:r>
      <w:r w:rsidR="001A6AF7" w:rsidRPr="00CF4E9F">
        <w:rPr>
          <w:lang w:val="en-CA"/>
        </w:rPr>
        <w:t>1</w:t>
      </w:r>
      <w:r w:rsidRPr="00CF4E9F">
        <w:rPr>
          <w:lang w:val="en-CA"/>
        </w:rPr>
        <w:t xml:space="preserve">, the judge acknowledged that he was bound by vertical </w:t>
      </w:r>
      <w:r w:rsidRPr="00CF4E9F">
        <w:rPr>
          <w:i/>
          <w:lang w:val="en-CA"/>
        </w:rPr>
        <w:t>stare decisis</w:t>
      </w:r>
      <w:r w:rsidRPr="00CF4E9F">
        <w:rPr>
          <w:lang w:val="en-CA"/>
        </w:rPr>
        <w:t xml:space="preserve"> to follow the reasoning in </w:t>
      </w:r>
      <w:r w:rsidRPr="00CF4E9F">
        <w:rPr>
          <w:i/>
          <w:lang w:val="en-CA"/>
        </w:rPr>
        <w:t>Ladouceur</w:t>
      </w:r>
      <w:r w:rsidRPr="00CF4E9F">
        <w:rPr>
          <w:lang w:val="en-CA"/>
        </w:rPr>
        <w:t>.</w:t>
      </w:r>
      <w:r w:rsidRPr="00CF4E9F">
        <w:rPr>
          <w:rStyle w:val="Appelnotedebasdep"/>
          <w:lang w:val="en-CA"/>
        </w:rPr>
        <w:footnoteReference w:id="114"/>
      </w:r>
      <w:r w:rsidR="0043013D" w:rsidRPr="00CF4E9F">
        <w:rPr>
          <w:lang w:val="en-CA"/>
        </w:rPr>
        <w:t xml:space="preserve"> </w:t>
      </w:r>
      <w:r w:rsidRPr="00CF4E9F">
        <w:rPr>
          <w:lang w:val="en-CA"/>
        </w:rPr>
        <w:t xml:space="preserve">However, under the exceptions to the </w:t>
      </w:r>
      <w:r w:rsidR="00AD4ECC" w:rsidRPr="00CF4E9F">
        <w:rPr>
          <w:lang w:val="en-CA"/>
        </w:rPr>
        <w:t xml:space="preserve">principle </w:t>
      </w:r>
      <w:r w:rsidRPr="00CF4E9F">
        <w:rPr>
          <w:lang w:val="en-CA"/>
        </w:rPr>
        <w:t xml:space="preserve">stated by the Supreme Court in </w:t>
      </w:r>
      <w:r w:rsidRPr="00CF4E9F">
        <w:rPr>
          <w:i/>
          <w:lang w:val="en-CA"/>
        </w:rPr>
        <w:t>Bedford</w:t>
      </w:r>
      <w:r w:rsidRPr="00CF4E9F">
        <w:rPr>
          <w:lang w:val="en-CA"/>
        </w:rPr>
        <w:t xml:space="preserve">, </w:t>
      </w:r>
      <w:r w:rsidRPr="00CF4E9F">
        <w:rPr>
          <w:i/>
          <w:lang w:val="en-CA"/>
        </w:rPr>
        <w:t>Carter</w:t>
      </w:r>
      <w:r w:rsidRPr="00CF4E9F">
        <w:rPr>
          <w:lang w:val="en-CA"/>
        </w:rPr>
        <w:t xml:space="preserve">, and </w:t>
      </w:r>
      <w:r w:rsidRPr="00CF4E9F">
        <w:rPr>
          <w:i/>
          <w:lang w:val="en-CA"/>
        </w:rPr>
        <w:t>Comeau</w:t>
      </w:r>
      <w:r w:rsidRPr="00CF4E9F">
        <w:rPr>
          <w:lang w:val="en-CA"/>
        </w:rPr>
        <w:t xml:space="preserve">, he felt it was open to him to reconsider this precedent with respect to the application of </w:t>
      </w:r>
      <w:r w:rsidR="00162E51">
        <w:rPr>
          <w:lang w:val="en-CA"/>
        </w:rPr>
        <w:t>s. </w:t>
      </w:r>
      <w:r w:rsidR="001A6AF7" w:rsidRPr="00CF4E9F">
        <w:rPr>
          <w:lang w:val="en-CA"/>
        </w:rPr>
        <w:t>1</w:t>
      </w:r>
      <w:r w:rsidRPr="00CF4E9F">
        <w:rPr>
          <w:lang w:val="en-CA"/>
        </w:rPr>
        <w:t xml:space="preserve"> of the </w:t>
      </w:r>
      <w:r w:rsidRPr="00CF4E9F">
        <w:rPr>
          <w:i/>
          <w:lang w:val="en-CA"/>
        </w:rPr>
        <w:t>Charter</w:t>
      </w:r>
      <w:r w:rsidRPr="00CF4E9F">
        <w:rPr>
          <w:lang w:val="en-CA"/>
        </w:rPr>
        <w:t>.</w:t>
      </w:r>
    </w:p>
    <w:p w14:paraId="4860174E" w14:textId="40969C6B" w:rsidR="0032484D" w:rsidRPr="00CF4E9F" w:rsidRDefault="001579A9" w:rsidP="00A037E0">
      <w:pPr>
        <w:pStyle w:val="Paragraphe"/>
        <w:spacing w:line="280" w:lineRule="exact"/>
        <w:rPr>
          <w:lang w:val="en-CA"/>
        </w:rPr>
      </w:pPr>
      <w:bookmarkStart w:id="59" w:name="_Hlk159881474"/>
      <w:r w:rsidRPr="00CF4E9F">
        <w:rPr>
          <w:lang w:val="en-CA"/>
        </w:rPr>
        <w:t>According to these judgments, trial courts may re</w:t>
      </w:r>
      <w:r w:rsidR="008E6956" w:rsidRPr="00CF4E9F">
        <w:rPr>
          <w:lang w:val="en-CA"/>
        </w:rPr>
        <w:t>consider</w:t>
      </w:r>
      <w:r w:rsidRPr="00CF4E9F">
        <w:rPr>
          <w:lang w:val="en-CA"/>
        </w:rPr>
        <w:t xml:space="preserve"> binding settled rulings of higher courts in two situations: (1) where a new legal issue is raised; and (2) where there is a change in the circumstances or evidence that “fundamentally shifts the parameters of the debate”</w:t>
      </w:r>
      <w:r w:rsidR="00803371">
        <w:rPr>
          <w:lang w:val="en-CA"/>
        </w:rPr>
        <w:t>.</w:t>
      </w:r>
      <w:r w:rsidRPr="00CF4E9F">
        <w:rPr>
          <w:rStyle w:val="Appelnotedebasdep"/>
          <w:lang w:val="en-CA"/>
        </w:rPr>
        <w:footnoteReference w:id="115"/>
      </w:r>
    </w:p>
    <w:p w14:paraId="296AEADF" w14:textId="58054DB8" w:rsidR="0032484D" w:rsidRPr="00077E55" w:rsidRDefault="001579A9" w:rsidP="00A037E0">
      <w:pPr>
        <w:pStyle w:val="Paragraphe"/>
        <w:spacing w:line="280" w:lineRule="exact"/>
      </w:pPr>
      <w:r w:rsidRPr="00CF4E9F">
        <w:rPr>
          <w:rFonts w:cs="Arial"/>
          <w:lang w:val="en-CA"/>
        </w:rPr>
        <w:t xml:space="preserve">The threshold </w:t>
      </w:r>
      <w:r w:rsidR="00215430">
        <w:rPr>
          <w:rFonts w:cs="Arial"/>
          <w:lang w:val="en-CA"/>
        </w:rPr>
        <w:t xml:space="preserve">for </w:t>
      </w:r>
      <w:r w:rsidRPr="00CF4E9F">
        <w:rPr>
          <w:rFonts w:cs="Arial"/>
          <w:lang w:val="en-CA"/>
        </w:rPr>
        <w:t>revisit</w:t>
      </w:r>
      <w:r w:rsidR="00215430">
        <w:rPr>
          <w:rFonts w:cs="Arial"/>
          <w:lang w:val="en-CA"/>
        </w:rPr>
        <w:t>ing</w:t>
      </w:r>
      <w:r w:rsidRPr="00CF4E9F">
        <w:rPr>
          <w:rFonts w:cs="Arial"/>
          <w:lang w:val="en-CA"/>
        </w:rPr>
        <w:t xml:space="preserve"> binding precedent</w:t>
      </w:r>
      <w:r w:rsidR="00215430">
        <w:rPr>
          <w:rFonts w:cs="Arial"/>
          <w:lang w:val="en-CA"/>
        </w:rPr>
        <w:t xml:space="preserve"> must be high</w:t>
      </w:r>
      <w:r w:rsidRPr="00CF4E9F">
        <w:rPr>
          <w:rStyle w:val="Appelnotedebasdep"/>
          <w:lang w:val="en-CA"/>
        </w:rPr>
        <w:footnoteReference w:id="116"/>
      </w:r>
      <w:r w:rsidRPr="00CF4E9F">
        <w:rPr>
          <w:rFonts w:cs="Arial"/>
          <w:lang w:val="en-CA"/>
        </w:rPr>
        <w:t xml:space="preserve"> because it is an extraordinary exception to the principle of </w:t>
      </w:r>
      <w:r w:rsidRPr="00CF4E9F">
        <w:rPr>
          <w:rFonts w:cs="Arial"/>
          <w:i/>
          <w:lang w:val="en-CA"/>
        </w:rPr>
        <w:t>stare decisis</w:t>
      </w:r>
      <w:r w:rsidRPr="00CF4E9F">
        <w:rPr>
          <w:rFonts w:cs="Arial"/>
          <w:lang w:val="en-CA"/>
        </w:rPr>
        <w:t>.</w:t>
      </w:r>
      <w:r w:rsidRPr="00CF4E9F">
        <w:rPr>
          <w:rStyle w:val="Appelnotedebasdep"/>
          <w:lang w:val="en-CA"/>
        </w:rPr>
        <w:footnoteReference w:id="117"/>
      </w:r>
      <w:r w:rsidR="0043013D" w:rsidRPr="00CF4E9F">
        <w:rPr>
          <w:rFonts w:cs="Arial"/>
          <w:lang w:val="en-CA"/>
        </w:rPr>
        <w:t xml:space="preserve"> </w:t>
      </w:r>
      <w:r w:rsidRPr="00077E55">
        <w:rPr>
          <w:rFonts w:cs="Arial"/>
        </w:rPr>
        <w:t>As th</w:t>
      </w:r>
      <w:r w:rsidR="008E6956" w:rsidRPr="00077E55">
        <w:rPr>
          <w:rFonts w:cs="Arial"/>
        </w:rPr>
        <w:t>is</w:t>
      </w:r>
      <w:r w:rsidRPr="00077E55">
        <w:rPr>
          <w:rFonts w:cs="Arial"/>
        </w:rPr>
        <w:t xml:space="preserve"> Court </w:t>
      </w:r>
      <w:r w:rsidR="008E6956" w:rsidRPr="00077E55">
        <w:rPr>
          <w:rFonts w:cs="Arial"/>
        </w:rPr>
        <w:t xml:space="preserve">stated </w:t>
      </w:r>
      <w:r w:rsidRPr="00077E55">
        <w:rPr>
          <w:rFonts w:cs="Arial"/>
        </w:rPr>
        <w:t xml:space="preserve">in </w:t>
      </w:r>
      <w:r w:rsidRPr="00077E55">
        <w:rPr>
          <w:rFonts w:cs="Arial"/>
          <w:i/>
        </w:rPr>
        <w:t>Organisation mondiale sikhe du Canada c. Procureur général du Québec</w:t>
      </w:r>
      <w:r w:rsidRPr="00077E55">
        <w:rPr>
          <w:rFonts w:cs="Arial"/>
        </w:rPr>
        <w:t>:</w:t>
      </w:r>
    </w:p>
    <w:p w14:paraId="23930DEE" w14:textId="5351D8C2" w:rsidR="001579A9" w:rsidRPr="00CF4E9F" w:rsidRDefault="001579A9" w:rsidP="00415110">
      <w:pPr>
        <w:pStyle w:val="Citationenretrait"/>
        <w:keepNext/>
        <w:rPr>
          <w:lang w:val="en-CA"/>
        </w:rPr>
      </w:pPr>
      <w:r w:rsidRPr="00CF4E9F">
        <w:rPr>
          <w:rFonts w:cs="Arial"/>
          <w:lang w:val="en-CA"/>
        </w:rPr>
        <w:t>[</w:t>
      </w:r>
      <w:r w:rsidRPr="00CF4E9F">
        <w:rPr>
          <w:rFonts w:cs="Arial"/>
          <w:smallCaps/>
          <w:lang w:val="en-CA"/>
        </w:rPr>
        <w:t>translation</w:t>
      </w:r>
      <w:r w:rsidRPr="00CF4E9F">
        <w:rPr>
          <w:rFonts w:cs="Arial"/>
          <w:lang w:val="en-CA"/>
        </w:rPr>
        <w:t>]</w:t>
      </w:r>
    </w:p>
    <w:p w14:paraId="05C13732" w14:textId="1EA862EE" w:rsidR="0032484D" w:rsidRPr="00CF4E9F" w:rsidRDefault="0043013D" w:rsidP="00415110">
      <w:pPr>
        <w:pStyle w:val="Citationenretrait"/>
        <w:keepNext/>
        <w:rPr>
          <w:lang w:val="en-CA"/>
        </w:rPr>
      </w:pPr>
      <w:r w:rsidRPr="00CF4E9F">
        <w:rPr>
          <w:lang w:val="en-CA"/>
        </w:rPr>
        <w:t>[</w:t>
      </w:r>
      <w:bookmarkStart w:id="63" w:name="par264"/>
      <w:bookmarkEnd w:id="63"/>
      <w:r w:rsidR="009C7F2D" w:rsidRPr="00CF4E9F">
        <w:rPr>
          <w:lang w:val="en-CA"/>
        </w:rPr>
        <w:t>264]</w:t>
      </w:r>
      <w:r w:rsidR="009C7F2D" w:rsidRPr="00CF4E9F">
        <w:rPr>
          <w:lang w:val="en-CA"/>
        </w:rPr>
        <w:tab/>
      </w:r>
      <w:r w:rsidR="001579A9" w:rsidRPr="00CF4E9F">
        <w:rPr>
          <w:lang w:val="en-CA"/>
        </w:rPr>
        <w:t>The “new legal issue” criterion sets a high threshold.</w:t>
      </w:r>
      <w:r w:rsidR="009C7F2D" w:rsidRPr="00CF4E9F">
        <w:rPr>
          <w:lang w:val="en-CA"/>
        </w:rPr>
        <w:t xml:space="preserve"> </w:t>
      </w:r>
      <w:r w:rsidR="001579A9" w:rsidRPr="00CF4E9F">
        <w:rPr>
          <w:lang w:val="en-CA"/>
        </w:rPr>
        <w:t>In constitutional matters, the criterion may include new charter-based legal questions that were not put forward or examined in the precedent submitted for reconsideration, or arguments raised as a consequence of significant developments in the law.</w:t>
      </w:r>
      <w:r w:rsidR="009C7F2D" w:rsidRPr="00CF4E9F">
        <w:rPr>
          <w:lang w:val="en-CA"/>
        </w:rPr>
        <w:t xml:space="preserve"> </w:t>
      </w:r>
      <w:r w:rsidR="001579A9" w:rsidRPr="00CF4E9F">
        <w:rPr>
          <w:lang w:val="en-CA"/>
        </w:rPr>
        <w:t xml:space="preserve">As the Supreme Court, </w:t>
      </w:r>
      <w:r w:rsidR="001579A9" w:rsidRPr="00CF4E9F">
        <w:rPr>
          <w:i/>
          <w:iCs/>
          <w:lang w:val="en-CA"/>
        </w:rPr>
        <w:t>per</w:t>
      </w:r>
      <w:r w:rsidR="001579A9" w:rsidRPr="00CF4E9F">
        <w:rPr>
          <w:lang w:val="en-CA"/>
        </w:rPr>
        <w:t xml:space="preserve"> McLachlin, C.J., wrote in </w:t>
      </w:r>
      <w:r w:rsidR="001579A9" w:rsidRPr="00CF4E9F">
        <w:rPr>
          <w:i/>
          <w:iCs/>
          <w:lang w:val="en-CA"/>
        </w:rPr>
        <w:t>Bedford</w:t>
      </w:r>
      <w:r w:rsidR="001579A9" w:rsidRPr="00CF4E9F">
        <w:rPr>
          <w:lang w:val="en-CA"/>
        </w:rPr>
        <w:t xml:space="preserve">, a lower court “can consider and decide arguments based on </w:t>
      </w:r>
      <w:r w:rsidR="001579A9" w:rsidRPr="00CF4E9F">
        <w:rPr>
          <w:i/>
          <w:iCs/>
          <w:lang w:val="en-CA"/>
        </w:rPr>
        <w:t>Charter</w:t>
      </w:r>
      <w:r w:rsidR="001579A9" w:rsidRPr="00CF4E9F">
        <w:rPr>
          <w:lang w:val="en-CA"/>
        </w:rPr>
        <w:t xml:space="preserve"> provisions that were not raised in the earlier case; this constitutes a new legal issue.</w:t>
      </w:r>
      <w:r w:rsidRPr="00CF4E9F">
        <w:rPr>
          <w:lang w:val="en-CA"/>
        </w:rPr>
        <w:t xml:space="preserve"> </w:t>
      </w:r>
      <w:bookmarkEnd w:id="59"/>
      <w:r w:rsidR="001579A9" w:rsidRPr="00CF4E9F">
        <w:rPr>
          <w:lang w:val="en-CA"/>
        </w:rPr>
        <w:t xml:space="preserve">Similarly, the matter may be </w:t>
      </w:r>
      <w:r w:rsidR="001579A9" w:rsidRPr="00CF4E9F">
        <w:rPr>
          <w:lang w:val="en-CA"/>
        </w:rPr>
        <w:lastRenderedPageBreak/>
        <w:t xml:space="preserve">revisited if new legal issues are raised as a consequence of significant developments in the law </w:t>
      </w:r>
      <w:r w:rsidR="008355F3">
        <w:rPr>
          <w:lang w:val="en-CA"/>
        </w:rPr>
        <w:t>[</w:t>
      </w:r>
      <w:r w:rsidR="001579A9" w:rsidRPr="00CF4E9F">
        <w:rPr>
          <w:lang w:val="en-CA"/>
        </w:rPr>
        <w:t>…</w:t>
      </w:r>
      <w:r w:rsidR="008355F3">
        <w:rPr>
          <w:lang w:val="en-CA"/>
        </w:rPr>
        <w:t>]</w:t>
      </w:r>
      <w:r w:rsidR="001579A9" w:rsidRPr="00CF4E9F">
        <w:rPr>
          <w:lang w:val="en-CA"/>
        </w:rPr>
        <w:t>”.</w:t>
      </w:r>
    </w:p>
    <w:p w14:paraId="5E218CC1" w14:textId="490B0FB5" w:rsidR="00991E90" w:rsidRPr="00CF4E9F" w:rsidRDefault="008355F3" w:rsidP="00991E90">
      <w:pPr>
        <w:pStyle w:val="Citationenretrait"/>
        <w:rPr>
          <w:lang w:val="en-CA"/>
        </w:rPr>
      </w:pPr>
      <w:r>
        <w:rPr>
          <w:lang w:val="en-CA"/>
        </w:rPr>
        <w:t>[</w:t>
      </w:r>
      <w:r w:rsidR="005A4E85" w:rsidRPr="00CF4E9F">
        <w:rPr>
          <w:lang w:val="en-CA"/>
        </w:rPr>
        <w:t>...</w:t>
      </w:r>
      <w:r>
        <w:rPr>
          <w:lang w:val="en-CA"/>
        </w:rPr>
        <w:t>]</w:t>
      </w:r>
    </w:p>
    <w:p w14:paraId="47CAF8B7" w14:textId="0FF20A88" w:rsidR="00991E90" w:rsidRPr="00CF4E9F" w:rsidRDefault="0043013D" w:rsidP="00991E90">
      <w:pPr>
        <w:pStyle w:val="Citationenretrait"/>
        <w:rPr>
          <w:lang w:val="en-CA"/>
        </w:rPr>
      </w:pPr>
      <w:r w:rsidRPr="00CF4E9F">
        <w:rPr>
          <w:rFonts w:cs="Arial"/>
          <w:color w:val="000000"/>
          <w:lang w:val="en-CA"/>
        </w:rPr>
        <w:t>[</w:t>
      </w:r>
      <w:bookmarkStart w:id="64" w:name="par300"/>
      <w:r w:rsidRPr="00CF4E9F">
        <w:rPr>
          <w:rFonts w:cs="Arial"/>
          <w:color w:val="000000"/>
          <w:lang w:val="en-CA"/>
        </w:rPr>
        <w:t>300</w:t>
      </w:r>
      <w:bookmarkEnd w:id="64"/>
      <w:r w:rsidRPr="00CF4E9F">
        <w:rPr>
          <w:rFonts w:cs="Arial"/>
          <w:color w:val="000000"/>
          <w:lang w:val="en-CA"/>
        </w:rPr>
        <w:t>]</w:t>
      </w:r>
      <w:r w:rsidRPr="00CF4E9F">
        <w:rPr>
          <w:color w:val="000000"/>
          <w:sz w:val="14"/>
          <w:szCs w:val="14"/>
          <w:lang w:val="en-CA"/>
        </w:rPr>
        <w:tab/>
      </w:r>
      <w:r w:rsidR="001579A9" w:rsidRPr="00CF4E9F">
        <w:rPr>
          <w:rFonts w:cs="Arial"/>
          <w:color w:val="000000"/>
          <w:lang w:val="en-CA"/>
        </w:rPr>
        <w:t xml:space="preserve">The exception to the principle of </w:t>
      </w:r>
      <w:r w:rsidR="001579A9" w:rsidRPr="00CF4E9F">
        <w:rPr>
          <w:rFonts w:cs="Arial"/>
          <w:i/>
          <w:lang w:val="en-CA"/>
        </w:rPr>
        <w:t>stare decisis</w:t>
      </w:r>
      <w:r w:rsidR="001579A9" w:rsidRPr="00CF4E9F">
        <w:rPr>
          <w:rFonts w:cs="Arial"/>
          <w:lang w:val="en-CA"/>
        </w:rPr>
        <w:t xml:space="preserve"> based on a change in circumstances or evidence that fundamentally shifts the parameters of the debate is also limited in scope:</w:t>
      </w:r>
    </w:p>
    <w:p w14:paraId="0926AF19" w14:textId="6B3F3F77" w:rsidR="00991E90" w:rsidRPr="00CF4E9F" w:rsidRDefault="0043013D" w:rsidP="0035596D">
      <w:pPr>
        <w:pStyle w:val="paranondepar-altn0"/>
        <w:spacing w:before="120" w:beforeAutospacing="0" w:after="0" w:afterAutospacing="0" w:line="280" w:lineRule="atLeast"/>
        <w:ind w:left="1440" w:right="1440"/>
        <w:jc w:val="both"/>
        <w:rPr>
          <w:rFonts w:ascii="Arial" w:hAnsi="Arial" w:cs="Arial"/>
          <w:color w:val="000000"/>
          <w:sz w:val="20"/>
          <w:szCs w:val="20"/>
          <w:lang w:val="en-CA"/>
        </w:rPr>
      </w:pPr>
      <w:r w:rsidRPr="00CF4E9F">
        <w:rPr>
          <w:rFonts w:ascii="Arial" w:hAnsi="Arial" w:cs="Arial"/>
          <w:color w:val="000000"/>
          <w:sz w:val="20"/>
          <w:szCs w:val="20"/>
          <w:lang w:val="en-CA"/>
        </w:rPr>
        <w:t>[31]</w:t>
      </w:r>
      <w:r w:rsidRPr="00CF4E9F">
        <w:rPr>
          <w:rFonts w:ascii="Arial" w:hAnsi="Arial" w:cs="Arial"/>
          <w:color w:val="000000"/>
          <w:sz w:val="20"/>
          <w:szCs w:val="20"/>
          <w:lang w:val="en-CA"/>
        </w:rPr>
        <w:tab/>
      </w:r>
      <w:r w:rsidR="001579A9" w:rsidRPr="00CF4E9F">
        <w:rPr>
          <w:rFonts w:ascii="Arial" w:hAnsi="Arial" w:cs="Arial"/>
          <w:color w:val="000000"/>
          <w:sz w:val="20"/>
          <w:szCs w:val="20"/>
          <w:lang w:val="en-CA"/>
        </w:rPr>
        <w:t xml:space="preserve">Not only is the exception narrow — the evidence must “fundamentally shif[t] the parameters of the debate” — it is not a general invitation to reconsider binding authority on the basis of </w:t>
      </w:r>
      <w:r w:rsidR="001579A9" w:rsidRPr="00CF4E9F">
        <w:rPr>
          <w:rFonts w:ascii="Arial" w:hAnsi="Arial" w:cs="Arial"/>
          <w:i/>
          <w:color w:val="000000"/>
          <w:sz w:val="20"/>
          <w:szCs w:val="20"/>
          <w:lang w:val="en-CA"/>
        </w:rPr>
        <w:t>any</w:t>
      </w:r>
      <w:r w:rsidR="001579A9" w:rsidRPr="00CF4E9F">
        <w:rPr>
          <w:rFonts w:ascii="Arial" w:hAnsi="Arial" w:cs="Arial"/>
          <w:color w:val="000000"/>
          <w:sz w:val="20"/>
          <w:szCs w:val="20"/>
          <w:lang w:val="en-CA"/>
        </w:rPr>
        <w:t xml:space="preserve"> type of evidence.</w:t>
      </w:r>
      <w:r w:rsidR="008355F3">
        <w:rPr>
          <w:rFonts w:ascii="Arial" w:hAnsi="Arial" w:cs="Arial"/>
          <w:color w:val="000000"/>
          <w:sz w:val="20"/>
          <w:szCs w:val="20"/>
          <w:lang w:val="en-CA"/>
        </w:rPr>
        <w:t xml:space="preserve"> […]</w:t>
      </w:r>
      <w:r w:rsidRPr="00CF4E9F">
        <w:rPr>
          <w:rStyle w:val="Appelnotedebasdep"/>
          <w:rFonts w:ascii="Arial" w:hAnsi="Arial" w:cs="Arial"/>
          <w:color w:val="000000"/>
          <w:sz w:val="20"/>
          <w:szCs w:val="20"/>
          <w:lang w:val="en-CA"/>
        </w:rPr>
        <w:footnoteReference w:id="118"/>
      </w:r>
    </w:p>
    <w:p w14:paraId="7932C075" w14:textId="3F1A9182" w:rsidR="00A94B65" w:rsidRPr="00CF4E9F" w:rsidRDefault="000B4108" w:rsidP="00F27BB8">
      <w:pPr>
        <w:pStyle w:val="paranondepar-altn0"/>
        <w:spacing w:before="0" w:beforeAutospacing="0" w:after="120" w:afterAutospacing="0" w:line="280" w:lineRule="atLeast"/>
        <w:ind w:left="720" w:right="720"/>
        <w:jc w:val="right"/>
        <w:rPr>
          <w:rFonts w:ascii="Arial" w:hAnsi="Arial" w:cs="Arial"/>
          <w:color w:val="000000"/>
          <w:sz w:val="22"/>
          <w:szCs w:val="22"/>
          <w:lang w:val="en-CA"/>
        </w:rPr>
      </w:pPr>
      <w:r w:rsidRPr="00CF4E9F">
        <w:rPr>
          <w:rFonts w:ascii="Arial" w:hAnsi="Arial" w:cs="Arial"/>
          <w:color w:val="000000"/>
          <w:sz w:val="22"/>
          <w:szCs w:val="22"/>
          <w:lang w:val="en-CA"/>
        </w:rPr>
        <w:t>[References omitted]</w:t>
      </w:r>
    </w:p>
    <w:p w14:paraId="5E49127E" w14:textId="4007B82F" w:rsidR="00176D0A" w:rsidRPr="00CF4E9F" w:rsidRDefault="00584193" w:rsidP="00A037E0">
      <w:pPr>
        <w:pStyle w:val="Paragraphe"/>
        <w:spacing w:line="280" w:lineRule="exact"/>
        <w:rPr>
          <w:lang w:val="en-CA"/>
        </w:rPr>
      </w:pPr>
      <w:r w:rsidRPr="00CF4E9F">
        <w:rPr>
          <w:lang w:val="en-CA"/>
        </w:rPr>
        <w:t>It is not sufficient to characterize an infringement of a fundamental right differently for it to constitute a new legal issue.</w:t>
      </w:r>
      <w:r w:rsidR="0043013D" w:rsidRPr="00CF4E9F">
        <w:rPr>
          <w:lang w:val="en-CA"/>
        </w:rPr>
        <w:t xml:space="preserve"> </w:t>
      </w:r>
    </w:p>
    <w:p w14:paraId="606F25E5" w14:textId="113EBFBE" w:rsidR="0032484D" w:rsidRPr="005E4E9F" w:rsidRDefault="00584193" w:rsidP="00A037E0">
      <w:pPr>
        <w:pStyle w:val="Paragraphe"/>
        <w:spacing w:line="280" w:lineRule="exact"/>
        <w:rPr>
          <w:lang w:val="en-CA"/>
        </w:rPr>
      </w:pPr>
      <w:r w:rsidRPr="00CF4E9F">
        <w:rPr>
          <w:lang w:val="en-CA"/>
        </w:rPr>
        <w:t>With respect to the second situation allowing precedent to be re</w:t>
      </w:r>
      <w:r w:rsidR="000E4522" w:rsidRPr="00CF4E9F">
        <w:rPr>
          <w:lang w:val="en-CA"/>
        </w:rPr>
        <w:t>consider</w:t>
      </w:r>
      <w:r w:rsidRPr="00CF4E9F">
        <w:rPr>
          <w:lang w:val="en-CA"/>
        </w:rPr>
        <w:t>ed, “</w:t>
      </w:r>
      <w:r w:rsidR="006F6CC6">
        <w:rPr>
          <w:lang w:val="en-CA"/>
        </w:rPr>
        <w:t xml:space="preserve">[neither] </w:t>
      </w:r>
      <w:r w:rsidRPr="00DD42C3">
        <w:rPr>
          <w:lang w:val="en-CA"/>
        </w:rPr>
        <w:t>the</w:t>
      </w:r>
      <w:r w:rsidRPr="00570064">
        <w:rPr>
          <w:lang w:val="en-CA"/>
        </w:rPr>
        <w:t xml:space="preserve"> </w:t>
      </w:r>
      <w:r w:rsidRPr="005E4E9F">
        <w:rPr>
          <w:lang w:val="en-CA"/>
        </w:rPr>
        <w:t xml:space="preserve">more current evidentiary record </w:t>
      </w:r>
      <w:r w:rsidR="006F6CC6">
        <w:rPr>
          <w:lang w:val="en-CA"/>
        </w:rPr>
        <w:t>[n]</w:t>
      </w:r>
      <w:r w:rsidRPr="005E4E9F">
        <w:rPr>
          <w:lang w:val="en-CA"/>
        </w:rPr>
        <w:t>or the shift in attitudes and perspectives amount to a change in the circumstances or evidence that fundamentally shift</w:t>
      </w:r>
      <w:r w:rsidR="006F6CC6">
        <w:rPr>
          <w:lang w:val="en-CA"/>
        </w:rPr>
        <w:t>[s]</w:t>
      </w:r>
      <w:r w:rsidRPr="005E4E9F">
        <w:rPr>
          <w:lang w:val="en-CA"/>
        </w:rPr>
        <w:t xml:space="preserve"> the parameters of the debate”</w:t>
      </w:r>
      <w:r w:rsidRPr="005E4E9F">
        <w:rPr>
          <w:rStyle w:val="Appelnotedebasdep"/>
          <w:lang w:val="en-CA"/>
        </w:rPr>
        <w:footnoteReference w:id="119"/>
      </w:r>
      <w:r w:rsidRPr="005E4E9F">
        <w:rPr>
          <w:lang w:val="en-CA"/>
        </w:rPr>
        <w:t xml:space="preserve"> </w:t>
      </w:r>
      <w:r w:rsidR="006F6CC6">
        <w:rPr>
          <w:lang w:val="en-CA"/>
        </w:rPr>
        <w:t xml:space="preserve">with respect to </w:t>
      </w:r>
      <w:r w:rsidRPr="005E4E9F">
        <w:rPr>
          <w:lang w:val="en-CA"/>
        </w:rPr>
        <w:t>how jurists understand the legal issue in question.</w:t>
      </w:r>
      <w:r w:rsidRPr="005E4E9F">
        <w:rPr>
          <w:rStyle w:val="Appelnotedebasdep"/>
          <w:lang w:val="en-CA"/>
        </w:rPr>
        <w:footnoteReference w:id="120"/>
      </w:r>
      <w:r w:rsidR="00CB716E" w:rsidRPr="005E4E9F">
        <w:rPr>
          <w:lang w:val="en-CA"/>
        </w:rPr>
        <w:t xml:space="preserve"> </w:t>
      </w:r>
      <w:r w:rsidRPr="005E4E9F">
        <w:rPr>
          <w:lang w:val="en-CA"/>
        </w:rPr>
        <w:t xml:space="preserve">The Supreme Court </w:t>
      </w:r>
      <w:r w:rsidR="005E4E9F" w:rsidRPr="005E4E9F">
        <w:rPr>
          <w:lang w:val="en-CA"/>
        </w:rPr>
        <w:t xml:space="preserve">contemplates </w:t>
      </w:r>
      <w:r w:rsidRPr="005E4E9F">
        <w:rPr>
          <w:lang w:val="en-CA"/>
        </w:rPr>
        <w:t>a court depart</w:t>
      </w:r>
      <w:r w:rsidR="005E4E9F" w:rsidRPr="005E4E9F">
        <w:rPr>
          <w:lang w:val="en-CA"/>
        </w:rPr>
        <w:t>ing</w:t>
      </w:r>
      <w:r w:rsidRPr="005E4E9F">
        <w:rPr>
          <w:lang w:val="en-CA"/>
        </w:rPr>
        <w:t xml:space="preserve"> from precedent </w:t>
      </w:r>
      <w:r w:rsidR="005E4E9F">
        <w:rPr>
          <w:lang w:val="en-CA"/>
        </w:rPr>
        <w:t xml:space="preserve">where the </w:t>
      </w:r>
      <w:r w:rsidRPr="005E4E9F">
        <w:rPr>
          <w:lang w:val="en-CA"/>
        </w:rPr>
        <w:t>circumstances establish a significant evolution in the foundational legislative and social facts that fundamentally shift the parameters.</w:t>
      </w:r>
      <w:r w:rsidR="00CB716E" w:rsidRPr="005E4E9F">
        <w:rPr>
          <w:lang w:val="en-CA"/>
        </w:rPr>
        <w:t xml:space="preserve"> </w:t>
      </w:r>
      <w:r w:rsidRPr="005E4E9F">
        <w:rPr>
          <w:lang w:val="en-CA"/>
        </w:rPr>
        <w:t xml:space="preserve">In </w:t>
      </w:r>
      <w:r w:rsidRPr="005E4E9F">
        <w:rPr>
          <w:i/>
          <w:lang w:val="en-CA"/>
        </w:rPr>
        <w:t>Comeau</w:t>
      </w:r>
      <w:r w:rsidRPr="005E4E9F">
        <w:rPr>
          <w:lang w:val="en-CA"/>
        </w:rPr>
        <w:t>, it wrote:</w:t>
      </w:r>
    </w:p>
    <w:p w14:paraId="230DACE4" w14:textId="0A20EA78" w:rsidR="0032484D" w:rsidRPr="00CF4E9F" w:rsidRDefault="0043013D" w:rsidP="00107D66">
      <w:pPr>
        <w:pStyle w:val="Citationenretrait"/>
        <w:rPr>
          <w:i/>
          <w:iCs/>
          <w:lang w:val="en-CA"/>
        </w:rPr>
      </w:pPr>
      <w:r w:rsidRPr="00CF4E9F">
        <w:rPr>
          <w:lang w:val="en-CA"/>
        </w:rPr>
        <w:t>[31]</w:t>
      </w:r>
      <w:r w:rsidRPr="00CF4E9F">
        <w:rPr>
          <w:lang w:val="en-CA"/>
        </w:rPr>
        <w:tab/>
      </w:r>
      <w:r w:rsidR="00E30190">
        <w:rPr>
          <w:lang w:val="en-CA"/>
        </w:rPr>
        <w:t>[</w:t>
      </w:r>
      <w:r w:rsidR="00584193" w:rsidRPr="00CF4E9F">
        <w:rPr>
          <w:lang w:val="en-CA"/>
        </w:rPr>
        <w:t>...</w:t>
      </w:r>
      <w:r w:rsidR="00E30190">
        <w:rPr>
          <w:lang w:val="en-CA"/>
        </w:rPr>
        <w:t>]</w:t>
      </w:r>
      <w:r w:rsidR="00584193" w:rsidRPr="00CF4E9F">
        <w:rPr>
          <w:lang w:val="en-CA"/>
        </w:rPr>
        <w:t xml:space="preserve"> evidence of a significant evolution in the foundational legislative and social facts — “facts about society at large” — is one type of evidence that can fundamentally shift the parameters of the relevant legal debate: </w:t>
      </w:r>
      <w:r w:rsidR="00584193" w:rsidRPr="00CF4E9F">
        <w:rPr>
          <w:i/>
          <w:lang w:val="en-CA"/>
        </w:rPr>
        <w:t>Bedford</w:t>
      </w:r>
      <w:r w:rsidR="00584193" w:rsidRPr="00CF4E9F">
        <w:rPr>
          <w:lang w:val="en-CA"/>
        </w:rPr>
        <w:t>, at paras.</w:t>
      </w:r>
      <w:r w:rsidR="001F7DFB">
        <w:rPr>
          <w:lang w:val="en-CA"/>
        </w:rPr>
        <w:t> </w:t>
      </w:r>
      <w:r w:rsidR="00584193" w:rsidRPr="00CF4E9F">
        <w:rPr>
          <w:lang w:val="en-CA"/>
        </w:rPr>
        <w:t xml:space="preserve">48-49; </w:t>
      </w:r>
      <w:r w:rsidR="00584193" w:rsidRPr="00CF4E9F">
        <w:rPr>
          <w:i/>
          <w:lang w:val="en-CA"/>
        </w:rPr>
        <w:t>Carter</w:t>
      </w:r>
      <w:r w:rsidR="00584193" w:rsidRPr="00CF4E9F">
        <w:rPr>
          <w:lang w:val="en-CA"/>
        </w:rPr>
        <w:t>, at para. 47.</w:t>
      </w:r>
      <w:r w:rsidR="00187257">
        <w:rPr>
          <w:lang w:val="en-CA"/>
        </w:rPr>
        <w:t xml:space="preserve"> </w:t>
      </w:r>
      <w:r w:rsidR="00584193" w:rsidRPr="00CF4E9F">
        <w:rPr>
          <w:lang w:val="en-CA"/>
        </w:rPr>
        <w:t>That is, the exception has been found to be engaged where the underlying social context that framed the original legal debate is profoundly altered.</w:t>
      </w:r>
    </w:p>
    <w:p w14:paraId="5EAE737A" w14:textId="4D7B8E3D" w:rsidR="0032484D" w:rsidRPr="00CF4E9F" w:rsidRDefault="0043013D" w:rsidP="00107D66">
      <w:pPr>
        <w:pStyle w:val="Citationenretrait"/>
        <w:rPr>
          <w:i/>
          <w:iCs/>
          <w:lang w:val="en-CA"/>
        </w:rPr>
      </w:pPr>
      <w:r w:rsidRPr="00CF4E9F">
        <w:rPr>
          <w:lang w:val="en-CA"/>
        </w:rPr>
        <w:t>[32]</w:t>
      </w:r>
      <w:r w:rsidRPr="00CF4E9F">
        <w:rPr>
          <w:lang w:val="en-CA"/>
        </w:rPr>
        <w:tab/>
      </w:r>
      <w:r w:rsidR="00584193" w:rsidRPr="00CF4E9F">
        <w:rPr>
          <w:lang w:val="en-CA"/>
        </w:rPr>
        <w:t xml:space="preserve">In </w:t>
      </w:r>
      <w:r w:rsidR="00584193" w:rsidRPr="00CF4E9F">
        <w:rPr>
          <w:i/>
          <w:lang w:val="en-CA"/>
        </w:rPr>
        <w:t>Carter</w:t>
      </w:r>
      <w:r w:rsidR="00584193" w:rsidRPr="00CF4E9F">
        <w:rPr>
          <w:lang w:val="en-CA"/>
        </w:rPr>
        <w:t>, for example, new evidence about the harms associated with prohibiting assisted death, public attitudes toward assisted death, and measures that can be put in place to limit risk was relevant.</w:t>
      </w:r>
      <w:r w:rsidRPr="00CF4E9F">
        <w:rPr>
          <w:lang w:val="en-CA"/>
        </w:rPr>
        <w:t xml:space="preserve"> </w:t>
      </w:r>
      <w:r w:rsidR="00584193" w:rsidRPr="00CF4E9F">
        <w:rPr>
          <w:lang w:val="en-CA"/>
        </w:rPr>
        <w:t xml:space="preserve">This evidence was unknowable or not pertinent, given the existing legal framework, when </w:t>
      </w:r>
      <w:r w:rsidR="00584193" w:rsidRPr="00CF4E9F">
        <w:rPr>
          <w:i/>
          <w:lang w:val="en-CA"/>
        </w:rPr>
        <w:t>Rodriguez v. British Columbia (Attorney General),</w:t>
      </w:r>
      <w:r w:rsidR="00584193" w:rsidRPr="00CF4E9F">
        <w:rPr>
          <w:lang w:val="en-CA"/>
        </w:rPr>
        <w:t xml:space="preserve"> [1993] 3 S.C.R. 519, was decided.</w:t>
      </w:r>
      <w:r w:rsidRPr="00CF4E9F">
        <w:rPr>
          <w:lang w:val="en-CA"/>
        </w:rPr>
        <w:t xml:space="preserve"> </w:t>
      </w:r>
      <w:r w:rsidR="00584193" w:rsidRPr="00CF4E9F">
        <w:rPr>
          <w:lang w:val="en-CA"/>
        </w:rPr>
        <w:t xml:space="preserve">These new legislative and social facts did not simply provide an alternate answer to the </w:t>
      </w:r>
      <w:r w:rsidR="00584193" w:rsidRPr="00CF4E9F">
        <w:rPr>
          <w:lang w:val="en-CA"/>
        </w:rPr>
        <w:lastRenderedPageBreak/>
        <w:t xml:space="preserve">question posed in </w:t>
      </w:r>
      <w:r w:rsidR="00584193" w:rsidRPr="00CF4E9F">
        <w:rPr>
          <w:i/>
          <w:lang w:val="en-CA"/>
        </w:rPr>
        <w:t>Rodriguez</w:t>
      </w:r>
      <w:r w:rsidR="00584193" w:rsidRPr="00CF4E9F">
        <w:rPr>
          <w:lang w:val="en-CA"/>
        </w:rPr>
        <w:t>.</w:t>
      </w:r>
      <w:r w:rsidRPr="00CF4E9F">
        <w:rPr>
          <w:lang w:val="en-CA"/>
        </w:rPr>
        <w:t xml:space="preserve"> </w:t>
      </w:r>
      <w:r w:rsidR="00584193" w:rsidRPr="00CF4E9F">
        <w:rPr>
          <w:lang w:val="en-CA"/>
        </w:rPr>
        <w:t>Instead, the new evidence fundamentally shifted how the Court could assess the nature of the competing interests at issue.</w:t>
      </w:r>
    </w:p>
    <w:p w14:paraId="4E9512F4" w14:textId="69B42124" w:rsidR="00F076A3" w:rsidRPr="00CF4E9F" w:rsidRDefault="00584193" w:rsidP="00A037E0">
      <w:pPr>
        <w:pStyle w:val="Paragraphe"/>
        <w:spacing w:line="280" w:lineRule="exact"/>
        <w:rPr>
          <w:lang w:val="en-CA"/>
        </w:rPr>
      </w:pPr>
      <w:r w:rsidRPr="00CF4E9F">
        <w:rPr>
          <w:rFonts w:cs="Arial"/>
          <w:color w:val="000000"/>
          <w:lang w:val="en-CA"/>
        </w:rPr>
        <w:t xml:space="preserve">In this case, the trial judge noted that it is </w:t>
      </w:r>
      <w:r w:rsidR="00AD3EE3" w:rsidRPr="00CF4E9F">
        <w:rPr>
          <w:rFonts w:cs="Arial"/>
          <w:lang w:val="en-CA"/>
        </w:rPr>
        <w:t>[</w:t>
      </w:r>
      <w:r w:rsidR="00AD3EE3" w:rsidRPr="00CF4E9F">
        <w:rPr>
          <w:rFonts w:cs="Arial"/>
          <w:smallCaps/>
          <w:lang w:val="en-CA"/>
        </w:rPr>
        <w:t>translation</w:t>
      </w:r>
      <w:r w:rsidR="00AD3EE3" w:rsidRPr="00CF4E9F">
        <w:rPr>
          <w:rFonts w:cs="Arial"/>
          <w:lang w:val="en-CA"/>
        </w:rPr>
        <w:t>]</w:t>
      </w:r>
      <w:r w:rsidR="00F8437E">
        <w:rPr>
          <w:rFonts w:cs="Arial"/>
          <w:color w:val="000000"/>
          <w:lang w:val="en-CA"/>
        </w:rPr>
        <w:t> </w:t>
      </w:r>
      <w:r w:rsidR="00AD3EE3" w:rsidRPr="00CF4E9F">
        <w:rPr>
          <w:rFonts w:cs="Arial"/>
          <w:color w:val="000000"/>
          <w:lang w:val="en-CA"/>
        </w:rPr>
        <w:t>“</w:t>
      </w:r>
      <w:r w:rsidRPr="00CF4E9F">
        <w:rPr>
          <w:rFonts w:cs="Arial"/>
          <w:color w:val="000000"/>
          <w:lang w:val="en-CA"/>
        </w:rPr>
        <w:t>common ground</w:t>
      </w:r>
      <w:r w:rsidR="00AD3EE3" w:rsidRPr="00CF4E9F">
        <w:rPr>
          <w:rFonts w:cs="Arial"/>
          <w:color w:val="000000"/>
          <w:lang w:val="en-CA"/>
        </w:rPr>
        <w:t>”</w:t>
      </w:r>
      <w:r w:rsidRPr="00CF4E9F">
        <w:rPr>
          <w:rFonts w:cs="Arial"/>
          <w:color w:val="000000"/>
          <w:lang w:val="en-CA"/>
        </w:rPr>
        <w:t xml:space="preserve"> that traffic stops with no required grounds </w:t>
      </w:r>
      <w:r w:rsidRPr="00CF4E9F">
        <w:rPr>
          <w:rFonts w:cs="Arial"/>
          <w:lang w:val="en-CA"/>
        </w:rPr>
        <w:t>[</w:t>
      </w:r>
      <w:r w:rsidRPr="00CF4E9F">
        <w:rPr>
          <w:rFonts w:cs="Arial"/>
          <w:smallCaps/>
          <w:lang w:val="en-CA"/>
        </w:rPr>
        <w:t>translation</w:t>
      </w:r>
      <w:r w:rsidRPr="00CF4E9F">
        <w:rPr>
          <w:rFonts w:cs="Arial"/>
          <w:lang w:val="en-CA"/>
        </w:rPr>
        <w:t>]</w:t>
      </w:r>
      <w:r w:rsidR="00F8437E">
        <w:rPr>
          <w:rFonts w:cs="Arial"/>
          <w:color w:val="000000"/>
          <w:lang w:val="en-CA"/>
        </w:rPr>
        <w:t> </w:t>
      </w:r>
      <w:r w:rsidRPr="00CF4E9F">
        <w:rPr>
          <w:rFonts w:cs="Arial"/>
          <w:color w:val="000000"/>
          <w:lang w:val="en-CA"/>
        </w:rPr>
        <w:t>“are a form of arbitrary detention”</w:t>
      </w:r>
      <w:r w:rsidRPr="00CF4E9F">
        <w:rPr>
          <w:rStyle w:val="Appelnotedebasdep"/>
          <w:rFonts w:cs="Arial"/>
          <w:color w:val="000000"/>
          <w:lang w:val="en-CA"/>
        </w:rPr>
        <w:footnoteReference w:id="121"/>
      </w:r>
      <w:r w:rsidRPr="00CF4E9F">
        <w:rPr>
          <w:rFonts w:cs="Arial"/>
          <w:color w:val="000000"/>
          <w:lang w:val="en-CA"/>
        </w:rPr>
        <w:t xml:space="preserve"> </w:t>
      </w:r>
      <w:r w:rsidR="00AD3EE3" w:rsidRPr="00CF4E9F">
        <w:rPr>
          <w:rFonts w:cs="Arial"/>
          <w:color w:val="000000"/>
          <w:lang w:val="en-CA"/>
        </w:rPr>
        <w:t xml:space="preserve">contrary to </w:t>
      </w:r>
      <w:r w:rsidR="00162E51">
        <w:rPr>
          <w:rFonts w:cs="Arial"/>
          <w:color w:val="000000"/>
          <w:lang w:val="en-CA"/>
        </w:rPr>
        <w:t>s. </w:t>
      </w:r>
      <w:r w:rsidR="00345AD9" w:rsidRPr="00CF4E9F">
        <w:rPr>
          <w:rFonts w:cs="Arial"/>
          <w:color w:val="000000"/>
          <w:lang w:val="en-CA"/>
        </w:rPr>
        <w:t xml:space="preserve">9 of the </w:t>
      </w:r>
      <w:r w:rsidR="00345AD9" w:rsidRPr="00CF4E9F">
        <w:rPr>
          <w:rFonts w:cs="Arial"/>
          <w:i/>
          <w:lang w:val="en-CA"/>
        </w:rPr>
        <w:t>Charter</w:t>
      </w:r>
      <w:r w:rsidR="00345AD9" w:rsidRPr="00CF4E9F">
        <w:rPr>
          <w:rFonts w:cs="Arial"/>
          <w:lang w:val="en-CA"/>
        </w:rPr>
        <w:t>.</w:t>
      </w:r>
      <w:r w:rsidR="0019773A" w:rsidRPr="00CF4E9F">
        <w:rPr>
          <w:lang w:val="en-CA"/>
        </w:rPr>
        <w:t xml:space="preserve"> </w:t>
      </w:r>
      <w:r w:rsidRPr="00CF4E9F">
        <w:rPr>
          <w:rFonts w:cs="Arial"/>
          <w:lang w:val="en-CA"/>
        </w:rPr>
        <w:t xml:space="preserve">With respect to the justification of the infringement under </w:t>
      </w:r>
      <w:r w:rsidR="00162E51">
        <w:rPr>
          <w:rFonts w:cs="Arial"/>
          <w:lang w:val="en-CA"/>
        </w:rPr>
        <w:t>s. </w:t>
      </w:r>
      <w:r w:rsidR="001A6AF7" w:rsidRPr="00CF4E9F">
        <w:rPr>
          <w:rFonts w:cs="Arial"/>
          <w:lang w:val="en-CA"/>
        </w:rPr>
        <w:t>1</w:t>
      </w:r>
      <w:r w:rsidRPr="00CF4E9F">
        <w:rPr>
          <w:rFonts w:cs="Arial"/>
          <w:lang w:val="en-CA"/>
        </w:rPr>
        <w:t>, the judge concluded that the criterion of a new legal issue was met because the case asks [</w:t>
      </w:r>
      <w:r w:rsidRPr="00CF4E9F">
        <w:rPr>
          <w:rFonts w:cs="Arial"/>
          <w:smallCaps/>
          <w:lang w:val="en-CA"/>
        </w:rPr>
        <w:t>translation</w:t>
      </w:r>
      <w:r w:rsidRPr="00CF4E9F">
        <w:rPr>
          <w:rFonts w:cs="Arial"/>
          <w:lang w:val="en-CA"/>
        </w:rPr>
        <w:t>]</w:t>
      </w:r>
      <w:r w:rsidR="00F8437E">
        <w:rPr>
          <w:rFonts w:cs="Arial"/>
          <w:lang w:val="en-CA"/>
        </w:rPr>
        <w:t> </w:t>
      </w:r>
      <w:r w:rsidRPr="00CF4E9F">
        <w:rPr>
          <w:rFonts w:cs="Arial"/>
          <w:lang w:val="en-CA"/>
        </w:rPr>
        <w:t xml:space="preserve">“the question from a different perspective </w:t>
      </w:r>
      <w:r w:rsidR="007245A6">
        <w:rPr>
          <w:rFonts w:cs="Arial"/>
          <w:lang w:val="en-CA"/>
        </w:rPr>
        <w:t xml:space="preserve">by relying </w:t>
      </w:r>
      <w:r w:rsidRPr="00CF4E9F">
        <w:rPr>
          <w:rFonts w:cs="Arial"/>
          <w:lang w:val="en-CA"/>
        </w:rPr>
        <w:t xml:space="preserve">on </w:t>
      </w:r>
      <w:r w:rsidR="007245A6">
        <w:rPr>
          <w:rFonts w:cs="Arial"/>
          <w:lang w:val="en-CA"/>
        </w:rPr>
        <w:t xml:space="preserve">changes in </w:t>
      </w:r>
      <w:r w:rsidRPr="00CF4E9F">
        <w:rPr>
          <w:rFonts w:cs="Arial"/>
          <w:lang w:val="en-CA"/>
        </w:rPr>
        <w:t xml:space="preserve">the data and </w:t>
      </w:r>
      <w:r w:rsidR="007245A6">
        <w:rPr>
          <w:rFonts w:cs="Arial"/>
          <w:lang w:val="en-CA"/>
        </w:rPr>
        <w:t>in the context</w:t>
      </w:r>
      <w:r w:rsidRPr="00CF4E9F">
        <w:rPr>
          <w:rFonts w:cs="Arial"/>
          <w:lang w:val="en-CA"/>
        </w:rPr>
        <w:t>”.</w:t>
      </w:r>
      <w:r w:rsidRPr="00CF4E9F">
        <w:rPr>
          <w:rStyle w:val="Appelnotedebasdep"/>
          <w:rFonts w:cs="Arial"/>
          <w:color w:val="000000"/>
          <w:lang w:val="en-CA"/>
        </w:rPr>
        <w:footnoteReference w:id="122"/>
      </w:r>
    </w:p>
    <w:p w14:paraId="1F11A0F6" w14:textId="62274462" w:rsidR="00832E4A" w:rsidRPr="00CF4E9F" w:rsidRDefault="00584193" w:rsidP="00A037E0">
      <w:pPr>
        <w:pStyle w:val="Paragraphe"/>
        <w:spacing w:line="280" w:lineRule="exact"/>
        <w:rPr>
          <w:lang w:val="en-CA"/>
        </w:rPr>
      </w:pPr>
      <w:r w:rsidRPr="00CF4E9F">
        <w:rPr>
          <w:rFonts w:cs="Arial"/>
          <w:lang w:val="en-CA"/>
        </w:rPr>
        <w:t xml:space="preserve">The judge further concluded that </w:t>
      </w:r>
      <w:r w:rsidR="004141AE" w:rsidRPr="00CF4E9F">
        <w:rPr>
          <w:rFonts w:cs="Arial"/>
          <w:lang w:val="en-CA"/>
        </w:rPr>
        <w:t>[</w:t>
      </w:r>
      <w:r w:rsidR="004141AE" w:rsidRPr="00CF4E9F">
        <w:rPr>
          <w:rFonts w:cs="Arial"/>
          <w:smallCaps/>
          <w:lang w:val="en-CA"/>
        </w:rPr>
        <w:t>translation</w:t>
      </w:r>
      <w:r w:rsidR="004141AE" w:rsidRPr="00CF4E9F">
        <w:rPr>
          <w:rFonts w:cs="Arial"/>
          <w:lang w:val="en-CA"/>
        </w:rPr>
        <w:t>]</w:t>
      </w:r>
      <w:r w:rsidR="00F8437E">
        <w:rPr>
          <w:rFonts w:cs="Arial"/>
          <w:lang w:val="en-CA"/>
        </w:rPr>
        <w:t> </w:t>
      </w:r>
      <w:r w:rsidRPr="00CF4E9F">
        <w:rPr>
          <w:rFonts w:cs="Arial"/>
          <w:lang w:val="en-CA"/>
        </w:rPr>
        <w:t xml:space="preserve">“the social facts and data have varied over time to change the </w:t>
      </w:r>
      <w:r w:rsidR="00EF2E3A">
        <w:rPr>
          <w:rFonts w:cs="Arial"/>
          <w:lang w:val="en-CA"/>
        </w:rPr>
        <w:t xml:space="preserve">context </w:t>
      </w:r>
      <w:r w:rsidRPr="00CF4E9F">
        <w:rPr>
          <w:rFonts w:cs="Arial"/>
          <w:lang w:val="en-CA"/>
        </w:rPr>
        <w:t xml:space="preserve">and shift </w:t>
      </w:r>
      <w:r w:rsidR="00EF2E3A">
        <w:rPr>
          <w:rFonts w:cs="Arial"/>
          <w:lang w:val="en-CA"/>
        </w:rPr>
        <w:t>‘</w:t>
      </w:r>
      <w:r w:rsidRPr="00CF4E9F">
        <w:rPr>
          <w:rFonts w:cs="Arial"/>
          <w:lang w:val="en-CA"/>
        </w:rPr>
        <w:t>the parameters of the debate</w:t>
      </w:r>
      <w:r w:rsidR="00EF2E3A">
        <w:rPr>
          <w:rFonts w:cs="Arial"/>
          <w:lang w:val="en-CA"/>
        </w:rPr>
        <w:t>’</w:t>
      </w:r>
      <w:r w:rsidRPr="00CF4E9F">
        <w:rPr>
          <w:rFonts w:cs="Arial"/>
          <w:lang w:val="en-CA"/>
        </w:rPr>
        <w:t xml:space="preserve"> from what prevailed when </w:t>
      </w:r>
      <w:r w:rsidRPr="00CF4E9F">
        <w:rPr>
          <w:rFonts w:cs="Arial"/>
          <w:i/>
          <w:lang w:val="en-CA"/>
        </w:rPr>
        <w:t>Ladouceur</w:t>
      </w:r>
      <w:r w:rsidRPr="00CF4E9F">
        <w:rPr>
          <w:rFonts w:cs="Arial"/>
          <w:lang w:val="en-CA"/>
        </w:rPr>
        <w:t xml:space="preserve"> was heard</w:t>
      </w:r>
      <w:r w:rsidR="00283C83">
        <w:rPr>
          <w:rFonts w:cs="Arial"/>
          <w:lang w:val="en-CA"/>
        </w:rPr>
        <w:t>”</w:t>
      </w:r>
      <w:r w:rsidRPr="00CF4E9F">
        <w:rPr>
          <w:rFonts w:cs="Arial"/>
          <w:lang w:val="en-CA"/>
        </w:rPr>
        <w:t>.</w:t>
      </w:r>
      <w:r w:rsidRPr="00CF4E9F">
        <w:rPr>
          <w:rStyle w:val="Appelnotedebasdep"/>
          <w:rFonts w:cs="Arial"/>
          <w:color w:val="000000"/>
          <w:lang w:val="en-CA"/>
        </w:rPr>
        <w:footnoteReference w:id="123"/>
      </w:r>
    </w:p>
    <w:p w14:paraId="08020562" w14:textId="3D8A864C" w:rsidR="0032484D" w:rsidRPr="00CF4E9F" w:rsidRDefault="00584193" w:rsidP="00A037E0">
      <w:pPr>
        <w:pStyle w:val="Paragraphe"/>
        <w:spacing w:line="280" w:lineRule="exact"/>
        <w:rPr>
          <w:lang w:val="en-CA"/>
        </w:rPr>
      </w:pPr>
      <w:r w:rsidRPr="00CF4E9F">
        <w:rPr>
          <w:lang w:val="en-CA"/>
        </w:rPr>
        <w:t>The AGQ argues that this is an error that justifies the Court’s intervention.</w:t>
      </w:r>
      <w:r w:rsidR="0043013D" w:rsidRPr="00CF4E9F">
        <w:rPr>
          <w:lang w:val="en-CA"/>
        </w:rPr>
        <w:t xml:space="preserve"> </w:t>
      </w:r>
      <w:r w:rsidRPr="00CF4E9F">
        <w:rPr>
          <w:lang w:val="en-CA"/>
        </w:rPr>
        <w:t xml:space="preserve">In the AGQ’s opinion, racial profiling has </w:t>
      </w:r>
      <w:r w:rsidR="00283C83">
        <w:rPr>
          <w:lang w:val="en-CA"/>
        </w:rPr>
        <w:t xml:space="preserve">long </w:t>
      </w:r>
      <w:r w:rsidRPr="00CF4E9F">
        <w:rPr>
          <w:lang w:val="en-CA"/>
        </w:rPr>
        <w:t xml:space="preserve">been </w:t>
      </w:r>
      <w:r w:rsidR="004141AE" w:rsidRPr="00CF4E9F">
        <w:rPr>
          <w:lang w:val="en-CA"/>
        </w:rPr>
        <w:t xml:space="preserve">recognized </w:t>
      </w:r>
      <w:r w:rsidRPr="00CF4E9F">
        <w:rPr>
          <w:lang w:val="en-CA"/>
        </w:rPr>
        <w:t xml:space="preserve">in Canada, even </w:t>
      </w:r>
      <w:r w:rsidR="004141AE" w:rsidRPr="00CF4E9F">
        <w:rPr>
          <w:lang w:val="en-CA"/>
        </w:rPr>
        <w:t xml:space="preserve">though </w:t>
      </w:r>
      <w:r w:rsidRPr="00CF4E9F">
        <w:rPr>
          <w:lang w:val="en-CA"/>
        </w:rPr>
        <w:t xml:space="preserve">this term, now </w:t>
      </w:r>
      <w:r w:rsidR="004141AE" w:rsidRPr="00CF4E9F">
        <w:rPr>
          <w:lang w:val="en-CA"/>
        </w:rPr>
        <w:t>accepted</w:t>
      </w:r>
      <w:r w:rsidRPr="00CF4E9F">
        <w:rPr>
          <w:lang w:val="en-CA"/>
        </w:rPr>
        <w:t xml:space="preserve">, was not yet in use at the time of </w:t>
      </w:r>
      <w:r w:rsidRPr="00CF4E9F">
        <w:rPr>
          <w:i/>
          <w:lang w:val="en-CA"/>
        </w:rPr>
        <w:t>Ladouceur</w:t>
      </w:r>
      <w:r w:rsidRPr="00CF4E9F">
        <w:rPr>
          <w:lang w:val="en-CA"/>
        </w:rPr>
        <w:t>.</w:t>
      </w:r>
      <w:r w:rsidR="0043013D" w:rsidRPr="00CF4E9F">
        <w:rPr>
          <w:lang w:val="en-CA"/>
        </w:rPr>
        <w:t xml:space="preserve"> </w:t>
      </w:r>
      <w:r w:rsidRPr="00CF4E9F">
        <w:rPr>
          <w:lang w:val="en-CA"/>
        </w:rPr>
        <w:t>Consequently, the AGQ argues that the judge erred in decid</w:t>
      </w:r>
      <w:r w:rsidR="004141AE" w:rsidRPr="00CF4E9F">
        <w:rPr>
          <w:lang w:val="en-CA"/>
        </w:rPr>
        <w:t>ing</w:t>
      </w:r>
      <w:r w:rsidRPr="00CF4E9F">
        <w:rPr>
          <w:lang w:val="en-CA"/>
        </w:rPr>
        <w:t xml:space="preserve"> that the evidence adduced before him “fundamentally shift</w:t>
      </w:r>
      <w:r w:rsidR="004141AE" w:rsidRPr="00CF4E9F">
        <w:rPr>
          <w:lang w:val="en-CA"/>
        </w:rPr>
        <w:t>s</w:t>
      </w:r>
      <w:r w:rsidRPr="00CF4E9F">
        <w:rPr>
          <w:lang w:val="en-CA"/>
        </w:rPr>
        <w:t xml:space="preserve"> the parameters of the debate”.</w:t>
      </w:r>
    </w:p>
    <w:p w14:paraId="50953341" w14:textId="2B08974C" w:rsidR="0032484D" w:rsidRPr="00CF4E9F" w:rsidRDefault="00584193" w:rsidP="00A037E0">
      <w:pPr>
        <w:pStyle w:val="Paragraphe"/>
        <w:spacing w:line="280" w:lineRule="exact"/>
        <w:rPr>
          <w:lang w:val="en-CA"/>
        </w:rPr>
      </w:pPr>
      <w:r w:rsidRPr="00CF4E9F">
        <w:rPr>
          <w:lang w:val="en-CA"/>
        </w:rPr>
        <w:t>The Court disagrees.</w:t>
      </w:r>
      <w:r w:rsidR="0043013D" w:rsidRPr="00CF4E9F">
        <w:rPr>
          <w:lang w:val="en-CA"/>
        </w:rPr>
        <w:t xml:space="preserve"> </w:t>
      </w:r>
      <w:r w:rsidRPr="00CF4E9F">
        <w:rPr>
          <w:lang w:val="en-CA"/>
        </w:rPr>
        <w:t>On the contrary, given all the qualitative, quantitative, statistical</w:t>
      </w:r>
      <w:r w:rsidR="004141AE" w:rsidRPr="00CF4E9F">
        <w:rPr>
          <w:lang w:val="en-CA"/>
        </w:rPr>
        <w:t>,</w:t>
      </w:r>
      <w:r w:rsidRPr="00CF4E9F">
        <w:rPr>
          <w:lang w:val="en-CA"/>
        </w:rPr>
        <w:t xml:space="preserve"> and expert evidence heard, the judge did not err in concluding that there </w:t>
      </w:r>
      <w:r w:rsidR="004141AE" w:rsidRPr="00CF4E9F">
        <w:rPr>
          <w:lang w:val="en-CA"/>
        </w:rPr>
        <w:t>i</w:t>
      </w:r>
      <w:r w:rsidRPr="00CF4E9F">
        <w:rPr>
          <w:lang w:val="en-CA"/>
        </w:rPr>
        <w:t>s a new reality, well documented over the past 20 years, that fundamentally shift</w:t>
      </w:r>
      <w:r w:rsidR="004141AE" w:rsidRPr="00CF4E9F">
        <w:rPr>
          <w:lang w:val="en-CA"/>
        </w:rPr>
        <w:t>s</w:t>
      </w:r>
      <w:r w:rsidRPr="00CF4E9F">
        <w:rPr>
          <w:lang w:val="en-CA"/>
        </w:rPr>
        <w:t xml:space="preserve"> the parameters of the debate.</w:t>
      </w:r>
    </w:p>
    <w:p w14:paraId="06DC165D" w14:textId="0F6FD5F2" w:rsidR="0032484D" w:rsidRPr="00CF4E9F" w:rsidRDefault="00584193" w:rsidP="00A037E0">
      <w:pPr>
        <w:pStyle w:val="Paragraphe"/>
        <w:spacing w:line="280" w:lineRule="exact"/>
        <w:rPr>
          <w:lang w:val="en-CA"/>
        </w:rPr>
      </w:pPr>
      <w:r w:rsidRPr="00CF4E9F">
        <w:rPr>
          <w:lang w:val="en-CA"/>
        </w:rPr>
        <w:t xml:space="preserve">The judge thoroughly analyzed the testimony of Mr. Luamba and several other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 xml:space="preserve">“Black people who have experienced </w:t>
      </w:r>
      <w:r w:rsidR="007544FF">
        <w:rPr>
          <w:i/>
          <w:lang w:val="en-CA"/>
        </w:rPr>
        <w:t xml:space="preserve">traffic </w:t>
      </w:r>
      <w:r w:rsidRPr="00CF4E9F">
        <w:rPr>
          <w:i/>
          <w:lang w:val="en-CA"/>
        </w:rPr>
        <w:t>stops without factual grounds</w:t>
      </w:r>
      <w:r w:rsidRPr="00CF4E9F">
        <w:rPr>
          <w:lang w:val="en-CA"/>
        </w:rPr>
        <w:t>”</w:t>
      </w:r>
      <w:r w:rsidR="006035A2" w:rsidRPr="00CF4E9F">
        <w:rPr>
          <w:lang w:val="en-CA"/>
        </w:rPr>
        <w:t>.</w:t>
      </w:r>
      <w:r w:rsidRPr="00CF4E9F">
        <w:rPr>
          <w:rStyle w:val="Appelnotedebasdep"/>
          <w:lang w:val="en-CA"/>
        </w:rPr>
        <w:footnoteReference w:id="124"/>
      </w:r>
    </w:p>
    <w:p w14:paraId="4452A7C8" w14:textId="2BCFB80A" w:rsidR="0032484D" w:rsidRPr="00CF4E9F" w:rsidRDefault="00584193" w:rsidP="00A037E0">
      <w:pPr>
        <w:pStyle w:val="Paragraphe"/>
        <w:spacing w:line="280" w:lineRule="exact"/>
        <w:rPr>
          <w:lang w:val="en-CA"/>
        </w:rPr>
      </w:pPr>
      <w:r w:rsidRPr="00CF4E9F">
        <w:rPr>
          <w:lang w:val="en-CA"/>
        </w:rPr>
        <w:t xml:space="preserve">He accepted that this group of witnesses was sufficient in number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 xml:space="preserve">“to provide diversified insights into </w:t>
      </w:r>
      <w:r w:rsidR="003538B7">
        <w:rPr>
          <w:lang w:val="en-CA"/>
        </w:rPr>
        <w:t xml:space="preserve">traffic </w:t>
      </w:r>
      <w:r w:rsidRPr="00CF4E9F">
        <w:rPr>
          <w:lang w:val="en-CA"/>
        </w:rPr>
        <w:t>stops of Black drivers, to identify common traits, and to conclude that a police practice exists that, once these common traits are revealed, can only be associated with racial profiling”.</w:t>
      </w:r>
      <w:r w:rsidRPr="00CF4E9F">
        <w:rPr>
          <w:rStyle w:val="Appelnotedebasdep"/>
          <w:rFonts w:cs="Arial"/>
          <w:lang w:val="en-CA"/>
        </w:rPr>
        <w:footnoteReference w:id="125"/>
      </w:r>
      <w:r w:rsidR="0043013D" w:rsidRPr="00CF4E9F">
        <w:rPr>
          <w:lang w:val="en-CA"/>
        </w:rPr>
        <w:t xml:space="preserve"> </w:t>
      </w:r>
      <w:r w:rsidRPr="00CF4E9F">
        <w:rPr>
          <w:lang w:val="en-CA"/>
        </w:rPr>
        <w:t>In the judge’s view, th</w:t>
      </w:r>
      <w:r w:rsidR="00B40CD7">
        <w:rPr>
          <w:lang w:val="en-CA"/>
        </w:rPr>
        <w:t>is</w:t>
      </w:r>
      <w:r w:rsidRPr="00CF4E9F">
        <w:rPr>
          <w:lang w:val="en-CA"/>
        </w:rPr>
        <w:t xml:space="preserve"> qualitative evidence was credible and conclusive</w:t>
      </w:r>
      <w:r w:rsidR="003724F1" w:rsidRPr="00CF4E9F">
        <w:rPr>
          <w:lang w:val="en-CA"/>
        </w:rPr>
        <w:t>ly established</w:t>
      </w:r>
      <w:r w:rsidRPr="00CF4E9F">
        <w:rPr>
          <w:lang w:val="en-CA"/>
        </w:rPr>
        <w:t xml:space="preserve"> that racial profiling exists.</w:t>
      </w:r>
      <w:r w:rsidRPr="00CF4E9F">
        <w:rPr>
          <w:rStyle w:val="Appelnotedebasdep"/>
          <w:lang w:val="en-CA"/>
        </w:rPr>
        <w:footnoteReference w:id="126"/>
      </w:r>
      <w:r w:rsidR="0043013D" w:rsidRPr="00CF4E9F">
        <w:rPr>
          <w:lang w:val="en-CA"/>
        </w:rPr>
        <w:t xml:space="preserve"> </w:t>
      </w:r>
    </w:p>
    <w:p w14:paraId="31FB6DC3" w14:textId="5D279AA9" w:rsidR="0032484D" w:rsidRPr="00CF4E9F" w:rsidRDefault="00584193" w:rsidP="00A037E0">
      <w:pPr>
        <w:pStyle w:val="Paragraphe"/>
        <w:spacing w:line="280" w:lineRule="exact"/>
        <w:rPr>
          <w:rFonts w:cs="Arial"/>
          <w:color w:val="000000"/>
          <w:lang w:val="en-CA"/>
        </w:rPr>
      </w:pPr>
      <w:r w:rsidRPr="00CF4E9F">
        <w:rPr>
          <w:rFonts w:cs="Arial"/>
          <w:color w:val="000000"/>
          <w:lang w:val="en-CA"/>
        </w:rPr>
        <w:lastRenderedPageBreak/>
        <w:t xml:space="preserve">The quantitative, documentary and expert evidence was </w:t>
      </w:r>
      <w:r w:rsidR="003724F1" w:rsidRPr="00CF4E9F">
        <w:rPr>
          <w:rFonts w:cs="Arial"/>
          <w:color w:val="000000"/>
          <w:lang w:val="en-CA"/>
        </w:rPr>
        <w:t>consistent with</w:t>
      </w:r>
      <w:r w:rsidRPr="00CF4E9F">
        <w:rPr>
          <w:rFonts w:cs="Arial"/>
          <w:color w:val="000000"/>
          <w:lang w:val="en-CA"/>
        </w:rPr>
        <w:t xml:space="preserve"> </w:t>
      </w:r>
      <w:r w:rsidR="003724F1" w:rsidRPr="00CF4E9F">
        <w:rPr>
          <w:rFonts w:cs="Arial"/>
          <w:color w:val="000000"/>
          <w:lang w:val="en-CA"/>
        </w:rPr>
        <w:t xml:space="preserve">the evidence before </w:t>
      </w:r>
      <w:r w:rsidRPr="00CF4E9F">
        <w:rPr>
          <w:rFonts w:cs="Arial"/>
          <w:color w:val="000000"/>
          <w:lang w:val="en-CA"/>
        </w:rPr>
        <w:t xml:space="preserve">the Supreme Court in </w:t>
      </w:r>
      <w:r w:rsidRPr="00CF4E9F">
        <w:rPr>
          <w:rFonts w:cs="Arial"/>
          <w:i/>
          <w:color w:val="000000"/>
          <w:lang w:val="en-CA"/>
        </w:rPr>
        <w:t>Le</w:t>
      </w:r>
      <w:r w:rsidRPr="00CF4E9F">
        <w:rPr>
          <w:rFonts w:cs="Arial"/>
          <w:color w:val="000000"/>
          <w:lang w:val="en-CA"/>
        </w:rPr>
        <w:t xml:space="preserve">, </w:t>
      </w:r>
      <w:r w:rsidR="003538B7">
        <w:rPr>
          <w:rFonts w:cs="Arial"/>
          <w:color w:val="000000"/>
          <w:lang w:val="en-CA"/>
        </w:rPr>
        <w:t xml:space="preserve">which the judge </w:t>
      </w:r>
      <w:r w:rsidRPr="00CF4E9F">
        <w:rPr>
          <w:rFonts w:cs="Arial"/>
          <w:color w:val="000000"/>
          <w:lang w:val="en-CA"/>
        </w:rPr>
        <w:t>analyzed</w:t>
      </w:r>
      <w:r w:rsidRPr="00CF4E9F">
        <w:rPr>
          <w:rStyle w:val="Appelnotedebasdep"/>
          <w:lang w:val="en-CA"/>
        </w:rPr>
        <w:footnoteReference w:id="127"/>
      </w:r>
      <w:r w:rsidRPr="00CF4E9F">
        <w:rPr>
          <w:color w:val="000000"/>
          <w:lang w:val="en-CA"/>
        </w:rPr>
        <w:t xml:space="preserve"> </w:t>
      </w:r>
      <w:r w:rsidR="003538B7">
        <w:rPr>
          <w:color w:val="000000"/>
          <w:lang w:val="en-CA"/>
        </w:rPr>
        <w:t xml:space="preserve">and in which </w:t>
      </w:r>
      <w:r w:rsidRPr="00CF4E9F">
        <w:rPr>
          <w:color w:val="000000"/>
          <w:lang w:val="en-CA"/>
        </w:rPr>
        <w:t xml:space="preserve">the Supreme Court recognized </w:t>
      </w:r>
      <w:r w:rsidR="003724F1" w:rsidRPr="00CF4E9F">
        <w:rPr>
          <w:color w:val="000000"/>
          <w:lang w:val="en-CA"/>
        </w:rPr>
        <w:t xml:space="preserve">the </w:t>
      </w:r>
      <w:r w:rsidRPr="00CF4E9F">
        <w:rPr>
          <w:color w:val="000000"/>
          <w:lang w:val="en-CA"/>
        </w:rPr>
        <w:t>“disproportionate policing of racialized and low-income communities”.</w:t>
      </w:r>
      <w:r w:rsidRPr="00CF4E9F">
        <w:rPr>
          <w:rStyle w:val="Appelnotedebasdep"/>
          <w:rFonts w:cs="Arial"/>
          <w:color w:val="000000"/>
          <w:lang w:val="en-CA"/>
        </w:rPr>
        <w:footnoteReference w:id="128"/>
      </w:r>
      <w:r w:rsidR="00521AE6" w:rsidRPr="00CF4E9F">
        <w:rPr>
          <w:rFonts w:cs="Arial"/>
          <w:color w:val="000000"/>
          <w:lang w:val="en-CA"/>
        </w:rPr>
        <w:t xml:space="preserve"> </w:t>
      </w:r>
      <w:r w:rsidRPr="00CF4E9F">
        <w:rPr>
          <w:rFonts w:cs="Arial"/>
          <w:color w:val="000000"/>
          <w:lang w:val="en-CA"/>
        </w:rPr>
        <w:t xml:space="preserve">In this regard, as Cournoyer, J. (then of the Superior Court) </w:t>
      </w:r>
      <w:r w:rsidR="003724F1" w:rsidRPr="00CF4E9F">
        <w:rPr>
          <w:rFonts w:cs="Arial"/>
          <w:color w:val="000000"/>
          <w:lang w:val="en-CA"/>
        </w:rPr>
        <w:t xml:space="preserve">explained </w:t>
      </w:r>
      <w:r w:rsidRPr="00CF4E9F">
        <w:rPr>
          <w:rFonts w:cs="Arial"/>
          <w:color w:val="000000"/>
          <w:lang w:val="en-CA"/>
        </w:rPr>
        <w:t xml:space="preserve">in </w:t>
      </w:r>
      <w:r w:rsidRPr="00CF4E9F">
        <w:rPr>
          <w:rFonts w:cs="Arial"/>
          <w:i/>
          <w:color w:val="000000"/>
          <w:lang w:val="en-CA"/>
        </w:rPr>
        <w:t>Dorfeuille</w:t>
      </w:r>
      <w:r w:rsidRPr="00CF4E9F">
        <w:rPr>
          <w:rFonts w:cs="Arial"/>
          <w:color w:val="000000"/>
          <w:lang w:val="en-CA"/>
        </w:rPr>
        <w:t>:</w:t>
      </w:r>
    </w:p>
    <w:p w14:paraId="07BD2C90" w14:textId="233E7D1C" w:rsidR="004450BC" w:rsidRPr="00CF4E9F" w:rsidRDefault="004450BC" w:rsidP="004450BC">
      <w:pPr>
        <w:pStyle w:val="Citationenretrait"/>
        <w:keepNext/>
        <w:rPr>
          <w:lang w:val="en-CA"/>
        </w:rPr>
      </w:pPr>
      <w:r w:rsidRPr="00CF4E9F">
        <w:rPr>
          <w:rFonts w:cs="Arial"/>
          <w:lang w:val="en-CA"/>
        </w:rPr>
        <w:t>[</w:t>
      </w:r>
      <w:r w:rsidRPr="00CF4E9F">
        <w:rPr>
          <w:rFonts w:cs="Arial"/>
          <w:smallCaps/>
          <w:lang w:val="en-CA"/>
        </w:rPr>
        <w:t>translation</w:t>
      </w:r>
      <w:r w:rsidRPr="00CF4E9F">
        <w:rPr>
          <w:rFonts w:cs="Arial"/>
          <w:lang w:val="en-CA"/>
        </w:rPr>
        <w:t>]</w:t>
      </w:r>
    </w:p>
    <w:p w14:paraId="15AE9DF8" w14:textId="41F77299" w:rsidR="0032484D" w:rsidRPr="00CF4E9F" w:rsidRDefault="0043013D" w:rsidP="004450BC">
      <w:pPr>
        <w:pStyle w:val="Citationenretrait"/>
        <w:keepNext/>
        <w:rPr>
          <w:lang w:val="en-CA"/>
        </w:rPr>
      </w:pPr>
      <w:r w:rsidRPr="00CF4E9F">
        <w:rPr>
          <w:lang w:val="en-CA"/>
        </w:rPr>
        <w:t>[</w:t>
      </w:r>
      <w:bookmarkStart w:id="65" w:name="par32"/>
      <w:r w:rsidRPr="00CF4E9F">
        <w:rPr>
          <w:lang w:val="en-CA"/>
        </w:rPr>
        <w:t>32</w:t>
      </w:r>
      <w:bookmarkEnd w:id="65"/>
      <w:r w:rsidRPr="00CF4E9F">
        <w:rPr>
          <w:lang w:val="en-CA"/>
        </w:rPr>
        <w:t>]</w:t>
      </w:r>
      <w:r w:rsidRPr="00CF4E9F">
        <w:rPr>
          <w:lang w:val="en-CA"/>
        </w:rPr>
        <w:tab/>
      </w:r>
      <w:r w:rsidR="00584193" w:rsidRPr="00CF4E9F">
        <w:rPr>
          <w:lang w:val="en-CA"/>
        </w:rPr>
        <w:t xml:space="preserve">Even though racial profiling </w:t>
      </w:r>
      <w:r w:rsidR="00B40CD7">
        <w:rPr>
          <w:lang w:val="en-CA"/>
        </w:rPr>
        <w:t>has been</w:t>
      </w:r>
      <w:r w:rsidR="00B40CD7" w:rsidRPr="00CF4E9F">
        <w:rPr>
          <w:lang w:val="en-CA"/>
        </w:rPr>
        <w:t xml:space="preserve"> </w:t>
      </w:r>
      <w:r w:rsidR="00584193" w:rsidRPr="00CF4E9F">
        <w:rPr>
          <w:lang w:val="en-CA"/>
        </w:rPr>
        <w:t xml:space="preserve">the subject of many comments in the Supreme Court’s earlier judgments, </w:t>
      </w:r>
      <w:r w:rsidR="00584193" w:rsidRPr="00CF4E9F">
        <w:rPr>
          <w:i/>
          <w:lang w:val="en-CA"/>
        </w:rPr>
        <w:t>R. v. Le</w:t>
      </w:r>
      <w:r w:rsidR="00584193" w:rsidRPr="00CF4E9F">
        <w:rPr>
          <w:lang w:val="en-CA"/>
        </w:rPr>
        <w:t xml:space="preserve"> is the first substantial decision on racial profiling </w:t>
      </w:r>
      <w:r w:rsidR="00B40CD7">
        <w:rPr>
          <w:lang w:val="en-CA"/>
        </w:rPr>
        <w:t>surrounding</w:t>
      </w:r>
      <w:r w:rsidR="00B40CD7" w:rsidRPr="00CF4E9F">
        <w:rPr>
          <w:lang w:val="en-CA"/>
        </w:rPr>
        <w:t xml:space="preserve"> </w:t>
      </w:r>
      <w:r w:rsidR="00E07C03" w:rsidRPr="00CF4E9F">
        <w:rPr>
          <w:lang w:val="en-CA"/>
        </w:rPr>
        <w:t xml:space="preserve">police </w:t>
      </w:r>
      <w:r w:rsidR="001860FE" w:rsidRPr="00CF4E9F">
        <w:rPr>
          <w:lang w:val="en-CA"/>
        </w:rPr>
        <w:t>interventions</w:t>
      </w:r>
      <w:r w:rsidR="00584193" w:rsidRPr="00CF4E9F">
        <w:rPr>
          <w:lang w:val="en-CA"/>
        </w:rPr>
        <w:t>.</w:t>
      </w:r>
    </w:p>
    <w:p w14:paraId="79351C7F" w14:textId="5ABC9BCC" w:rsidR="0032484D" w:rsidRPr="00CF4E9F" w:rsidRDefault="0043013D" w:rsidP="00F27BB8">
      <w:pPr>
        <w:pStyle w:val="Citationenretrait"/>
        <w:spacing w:after="0"/>
        <w:rPr>
          <w:lang w:val="en-CA"/>
        </w:rPr>
      </w:pPr>
      <w:r w:rsidRPr="00CF4E9F">
        <w:rPr>
          <w:lang w:val="en-CA"/>
        </w:rPr>
        <w:t>[</w:t>
      </w:r>
      <w:bookmarkStart w:id="66" w:name="par33"/>
      <w:r w:rsidRPr="00CF4E9F">
        <w:rPr>
          <w:lang w:val="en-CA"/>
        </w:rPr>
        <w:t>33</w:t>
      </w:r>
      <w:bookmarkEnd w:id="66"/>
      <w:r w:rsidRPr="00CF4E9F">
        <w:rPr>
          <w:lang w:val="en-CA"/>
        </w:rPr>
        <w:t>]</w:t>
      </w:r>
      <w:r w:rsidRPr="00CF4E9F">
        <w:rPr>
          <w:lang w:val="en-CA"/>
        </w:rPr>
        <w:tab/>
      </w:r>
      <w:r w:rsidR="00584193" w:rsidRPr="00CF4E9F">
        <w:rPr>
          <w:lang w:val="en-CA"/>
        </w:rPr>
        <w:t xml:space="preserve">While divided on the </w:t>
      </w:r>
      <w:r w:rsidR="00156E7A">
        <w:rPr>
          <w:lang w:val="en-CA"/>
        </w:rPr>
        <w:t xml:space="preserve">outcome of the </w:t>
      </w:r>
      <w:r w:rsidR="00584193" w:rsidRPr="00CF4E9F">
        <w:rPr>
          <w:lang w:val="en-CA"/>
        </w:rPr>
        <w:t xml:space="preserve">appeal, the Court unanimously took judicial notice of </w:t>
      </w:r>
      <w:r w:rsidR="00A57184">
        <w:rPr>
          <w:lang w:val="en-CA"/>
        </w:rPr>
        <w:t xml:space="preserve">the </w:t>
      </w:r>
      <w:r w:rsidR="00A66144">
        <w:rPr>
          <w:lang w:val="en-CA"/>
        </w:rPr>
        <w:t>existence</w:t>
      </w:r>
      <w:r w:rsidR="00A57184">
        <w:rPr>
          <w:lang w:val="en-CA"/>
        </w:rPr>
        <w:t xml:space="preserve"> of </w:t>
      </w:r>
      <w:r w:rsidR="00584193" w:rsidRPr="00CF4E9F">
        <w:rPr>
          <w:lang w:val="en-CA"/>
        </w:rPr>
        <w:t xml:space="preserve">racial profiling during police </w:t>
      </w:r>
      <w:r w:rsidR="001860FE" w:rsidRPr="00CF4E9F">
        <w:rPr>
          <w:lang w:val="en-CA"/>
        </w:rPr>
        <w:t>interventions</w:t>
      </w:r>
      <w:r w:rsidR="00584193" w:rsidRPr="00CF4E9F">
        <w:rPr>
          <w:lang w:val="en-CA"/>
        </w:rPr>
        <w:t>.</w:t>
      </w:r>
      <w:r w:rsidRPr="00CF4E9F">
        <w:rPr>
          <w:rStyle w:val="Appelnotedebasdep"/>
          <w:rFonts w:cs="Arial"/>
          <w:szCs w:val="22"/>
          <w:lang w:val="en-CA"/>
        </w:rPr>
        <w:footnoteReference w:id="129"/>
      </w:r>
    </w:p>
    <w:p w14:paraId="059330E5" w14:textId="79196F79" w:rsidR="0032484D" w:rsidRPr="00CF4E9F" w:rsidRDefault="000B4108" w:rsidP="00F27BB8">
      <w:pPr>
        <w:pStyle w:val="Citationenretrait"/>
        <w:spacing w:before="0"/>
        <w:jc w:val="right"/>
        <w:rPr>
          <w:lang w:val="en-CA"/>
        </w:rPr>
      </w:pPr>
      <w:r w:rsidRPr="00CF4E9F">
        <w:rPr>
          <w:rFonts w:cs="Arial"/>
          <w:lang w:val="en-CA"/>
        </w:rPr>
        <w:t>[References omitted]</w:t>
      </w:r>
    </w:p>
    <w:p w14:paraId="5351B915" w14:textId="470005DE" w:rsidR="0032484D" w:rsidRPr="00CF4E9F" w:rsidRDefault="00584193" w:rsidP="00A037E0">
      <w:pPr>
        <w:pStyle w:val="Paragraphe"/>
        <w:spacing w:line="280" w:lineRule="exact"/>
        <w:rPr>
          <w:lang w:val="en-CA"/>
        </w:rPr>
      </w:pPr>
      <w:r w:rsidRPr="00CF4E9F">
        <w:rPr>
          <w:lang w:val="en-CA"/>
        </w:rPr>
        <w:t xml:space="preserve">Several quantitative American studies </w:t>
      </w:r>
      <w:r w:rsidR="00647B81">
        <w:rPr>
          <w:lang w:val="en-CA"/>
        </w:rPr>
        <w:t>subsequent to</w:t>
      </w:r>
      <w:r w:rsidR="00647B81" w:rsidRPr="00CF4E9F">
        <w:rPr>
          <w:lang w:val="en-CA"/>
        </w:rPr>
        <w:t xml:space="preserve"> </w:t>
      </w:r>
      <w:r w:rsidRPr="00CF4E9F">
        <w:rPr>
          <w:i/>
          <w:lang w:val="en-CA"/>
        </w:rPr>
        <w:t>Ladouceur</w:t>
      </w:r>
      <w:r w:rsidRPr="00CF4E9F">
        <w:rPr>
          <w:lang w:val="en-CA"/>
        </w:rPr>
        <w:t xml:space="preserve"> examined racial profiling during traffic stops and illustrate </w:t>
      </w:r>
      <w:r w:rsidR="001860FE" w:rsidRPr="00CF4E9F">
        <w:rPr>
          <w:lang w:val="en-CA"/>
        </w:rPr>
        <w:t xml:space="preserve">how the </w:t>
      </w:r>
      <w:r w:rsidRPr="00CF4E9F">
        <w:rPr>
          <w:lang w:val="en-CA"/>
        </w:rPr>
        <w:t xml:space="preserve">police </w:t>
      </w:r>
      <w:r w:rsidR="001860FE" w:rsidRPr="00CF4E9F">
        <w:rPr>
          <w:lang w:val="en-CA"/>
        </w:rPr>
        <w:t xml:space="preserve">treat </w:t>
      </w:r>
      <w:r w:rsidRPr="00CF4E9F">
        <w:rPr>
          <w:lang w:val="en-CA"/>
        </w:rPr>
        <w:t>visible minorities</w:t>
      </w:r>
      <w:r w:rsidR="001860FE" w:rsidRPr="00CF4E9F">
        <w:rPr>
          <w:lang w:val="en-CA"/>
        </w:rPr>
        <w:t xml:space="preserve"> differently</w:t>
      </w:r>
      <w:r w:rsidRPr="00CF4E9F">
        <w:rPr>
          <w:lang w:val="en-CA"/>
        </w:rPr>
        <w:t>.</w:t>
      </w:r>
      <w:r w:rsidRPr="00CF4E9F">
        <w:rPr>
          <w:rStyle w:val="Appelnotedebasdep"/>
          <w:lang w:val="en-CA"/>
        </w:rPr>
        <w:footnoteReference w:id="130"/>
      </w:r>
      <w:r w:rsidR="0043013D" w:rsidRPr="00CF4E9F">
        <w:rPr>
          <w:lang w:val="en-CA"/>
        </w:rPr>
        <w:t xml:space="preserve"> </w:t>
      </w:r>
      <w:r w:rsidRPr="00CF4E9F">
        <w:rPr>
          <w:lang w:val="en-CA"/>
        </w:rPr>
        <w:t xml:space="preserve">Many Canadian studies also </w:t>
      </w:r>
      <w:r w:rsidR="001860FE" w:rsidRPr="00CF4E9F">
        <w:rPr>
          <w:lang w:val="en-CA"/>
        </w:rPr>
        <w:t xml:space="preserve">examined </w:t>
      </w:r>
      <w:r w:rsidRPr="00CF4E9F">
        <w:rPr>
          <w:lang w:val="en-CA"/>
        </w:rPr>
        <w:t xml:space="preserve">how racial profiling </w:t>
      </w:r>
      <w:r w:rsidR="006A1AD5">
        <w:rPr>
          <w:lang w:val="en-CA"/>
        </w:rPr>
        <w:t xml:space="preserve">taints </w:t>
      </w:r>
      <w:r w:rsidRPr="00CF4E9F">
        <w:rPr>
          <w:lang w:val="en-CA"/>
        </w:rPr>
        <w:t>street checks</w:t>
      </w:r>
      <w:r w:rsidRPr="00CF4E9F">
        <w:rPr>
          <w:rStyle w:val="Appelnotedebasdep"/>
          <w:lang w:val="en-CA"/>
        </w:rPr>
        <w:footnoteReference w:id="131"/>
      </w:r>
      <w:r w:rsidRPr="00CF4E9F">
        <w:rPr>
          <w:lang w:val="en-CA"/>
        </w:rPr>
        <w:t xml:space="preserve"> and traffic stops.</w:t>
      </w:r>
      <w:r w:rsidRPr="00CF4E9F">
        <w:rPr>
          <w:rStyle w:val="Appelnotedebasdep"/>
          <w:lang w:val="en-CA"/>
        </w:rPr>
        <w:footnoteReference w:id="132"/>
      </w:r>
      <w:r w:rsidR="0043013D" w:rsidRPr="00CF4E9F">
        <w:rPr>
          <w:lang w:val="en-CA"/>
        </w:rPr>
        <w:t xml:space="preserve"> </w:t>
      </w:r>
    </w:p>
    <w:p w14:paraId="1856A7F5" w14:textId="4E212C84" w:rsidR="0032484D" w:rsidRPr="00CF4E9F" w:rsidRDefault="00584193" w:rsidP="00A037E0">
      <w:pPr>
        <w:pStyle w:val="Paragraphe"/>
        <w:spacing w:line="280" w:lineRule="exact"/>
        <w:rPr>
          <w:lang w:val="en-CA"/>
        </w:rPr>
      </w:pPr>
      <w:r w:rsidRPr="00CF4E9F">
        <w:rPr>
          <w:szCs w:val="24"/>
          <w:lang w:val="en-CA"/>
        </w:rPr>
        <w:t xml:space="preserve">The Canadian literature </w:t>
      </w:r>
      <w:r w:rsidR="00A16CC0">
        <w:rPr>
          <w:szCs w:val="24"/>
          <w:lang w:val="en-CA"/>
        </w:rPr>
        <w:t xml:space="preserve">now </w:t>
      </w:r>
      <w:r w:rsidRPr="00CF4E9F">
        <w:rPr>
          <w:szCs w:val="24"/>
          <w:lang w:val="en-CA"/>
        </w:rPr>
        <w:t xml:space="preserve">clearly establishes </w:t>
      </w:r>
      <w:r w:rsidR="001860FE" w:rsidRPr="00CF4E9F">
        <w:rPr>
          <w:szCs w:val="24"/>
          <w:lang w:val="en-CA"/>
        </w:rPr>
        <w:t xml:space="preserve">that </w:t>
      </w:r>
      <w:r w:rsidRPr="00CF4E9F">
        <w:rPr>
          <w:szCs w:val="24"/>
          <w:lang w:val="en-CA"/>
        </w:rPr>
        <w:t>Black people and members of other racialized groups are overrepresented in traffic stops.</w:t>
      </w:r>
      <w:r w:rsidR="0043013D" w:rsidRPr="00CF4E9F">
        <w:rPr>
          <w:szCs w:val="24"/>
          <w:lang w:val="en-CA"/>
        </w:rPr>
        <w:t xml:space="preserve"> </w:t>
      </w:r>
      <w:r w:rsidRPr="00CF4E9F">
        <w:rPr>
          <w:szCs w:val="24"/>
          <w:lang w:val="en-CA"/>
        </w:rPr>
        <w:t>As described by expert Mulone in the excerpt from his report cited above:</w:t>
      </w:r>
    </w:p>
    <w:p w14:paraId="506D1ACC" w14:textId="3C215028" w:rsidR="004450BC" w:rsidRPr="00CF4E9F" w:rsidRDefault="004450BC" w:rsidP="00A35DAD">
      <w:pPr>
        <w:pStyle w:val="Citationenretrait"/>
        <w:rPr>
          <w:lang w:val="en-CA"/>
        </w:rPr>
      </w:pPr>
      <w:r w:rsidRPr="00CF4E9F">
        <w:rPr>
          <w:rFonts w:cs="Arial"/>
          <w:lang w:val="en-CA"/>
        </w:rPr>
        <w:lastRenderedPageBreak/>
        <w:t>[</w:t>
      </w:r>
      <w:r w:rsidRPr="00CF4E9F">
        <w:rPr>
          <w:rFonts w:cs="Arial"/>
          <w:smallCaps/>
          <w:lang w:val="en-CA"/>
        </w:rPr>
        <w:t>translation</w:t>
      </w:r>
      <w:r w:rsidRPr="00CF4E9F">
        <w:rPr>
          <w:rFonts w:cs="Arial"/>
          <w:lang w:val="en-CA"/>
        </w:rPr>
        <w:t>]</w:t>
      </w:r>
    </w:p>
    <w:p w14:paraId="4F761F39" w14:textId="6298FC66" w:rsidR="0032484D" w:rsidRPr="00CF4E9F" w:rsidRDefault="000C3731" w:rsidP="00A35DAD">
      <w:pPr>
        <w:pStyle w:val="Citationenretrait"/>
        <w:rPr>
          <w:i/>
          <w:iCs/>
          <w:lang w:val="en-CA"/>
        </w:rPr>
      </w:pPr>
      <w:r>
        <w:rPr>
          <w:lang w:val="en-CA"/>
        </w:rPr>
        <w:t>[</w:t>
      </w:r>
      <w:r w:rsidR="00584193" w:rsidRPr="00CF4E9F">
        <w:rPr>
          <w:lang w:val="en-CA"/>
        </w:rPr>
        <w:t>...</w:t>
      </w:r>
      <w:r>
        <w:rPr>
          <w:lang w:val="en-CA"/>
        </w:rPr>
        <w:t>]</w:t>
      </w:r>
      <w:r w:rsidR="00584193" w:rsidRPr="00CF4E9F">
        <w:rPr>
          <w:lang w:val="en-CA"/>
        </w:rPr>
        <w:t xml:space="preserve"> </w:t>
      </w:r>
      <w:r w:rsidR="001860FE" w:rsidRPr="00CF4E9F">
        <w:rPr>
          <w:lang w:val="en-CA"/>
        </w:rPr>
        <w:t xml:space="preserve">with respect to </w:t>
      </w:r>
      <w:r w:rsidR="00584193" w:rsidRPr="00CF4E9F">
        <w:rPr>
          <w:lang w:val="en-CA"/>
        </w:rPr>
        <w:t>racial discrimination by Canadian police, the co</w:t>
      </w:r>
      <w:r w:rsidR="001860FE" w:rsidRPr="00CF4E9F">
        <w:rPr>
          <w:lang w:val="en-CA"/>
        </w:rPr>
        <w:t xml:space="preserve">nvergence of </w:t>
      </w:r>
      <w:r w:rsidR="00584193" w:rsidRPr="00CF4E9F">
        <w:rPr>
          <w:lang w:val="en-CA"/>
        </w:rPr>
        <w:t xml:space="preserve">results </w:t>
      </w:r>
      <w:r w:rsidR="001860FE" w:rsidRPr="00CF4E9F">
        <w:rPr>
          <w:lang w:val="en-CA"/>
        </w:rPr>
        <w:t>is</w:t>
      </w:r>
      <w:r w:rsidR="00584193" w:rsidRPr="00CF4E9F">
        <w:rPr>
          <w:lang w:val="en-CA"/>
        </w:rPr>
        <w:t xml:space="preserve"> extremely strong: </w:t>
      </w:r>
      <w:r w:rsidR="00341D75" w:rsidRPr="00CF4E9F">
        <w:rPr>
          <w:lang w:val="en-CA"/>
        </w:rPr>
        <w:t>the results are the same no matter where you look</w:t>
      </w:r>
      <w:r w:rsidR="00647B81">
        <w:rPr>
          <w:lang w:val="en-CA"/>
        </w:rPr>
        <w:t xml:space="preserve"> or</w:t>
      </w:r>
      <w:r w:rsidR="00341D75" w:rsidRPr="00CF4E9F">
        <w:rPr>
          <w:lang w:val="en-CA"/>
        </w:rPr>
        <w:t xml:space="preserve"> how you look (police data, public surveys, citizen testimonials, type of intervention, etc.), </w:t>
      </w:r>
      <w:r w:rsidR="00647B81">
        <w:rPr>
          <w:lang w:val="en-CA"/>
        </w:rPr>
        <w:t>whatever</w:t>
      </w:r>
      <w:r w:rsidR="00341D75" w:rsidRPr="00CF4E9F">
        <w:rPr>
          <w:lang w:val="en-CA"/>
        </w:rPr>
        <w:t xml:space="preserve"> the period being studied: Black people are disproportionately targeted by law enforcement</w:t>
      </w:r>
      <w:r w:rsidR="00584193" w:rsidRPr="00CF4E9F">
        <w:rPr>
          <w:lang w:val="en-CA"/>
        </w:rPr>
        <w:t>.</w:t>
      </w:r>
      <w:r w:rsidR="0043013D" w:rsidRPr="00CF4E9F">
        <w:rPr>
          <w:rStyle w:val="Appelnotedebasdep"/>
          <w:szCs w:val="22"/>
          <w:lang w:val="en-CA"/>
        </w:rPr>
        <w:footnoteReference w:id="133"/>
      </w:r>
    </w:p>
    <w:p w14:paraId="01989C0C" w14:textId="375C4DD8" w:rsidR="0032484D" w:rsidRPr="00CF4E9F" w:rsidRDefault="00584193" w:rsidP="00A037E0">
      <w:pPr>
        <w:pStyle w:val="Paragraphe"/>
        <w:spacing w:line="280" w:lineRule="exact"/>
        <w:rPr>
          <w:szCs w:val="24"/>
          <w:lang w:val="en-CA"/>
        </w:rPr>
      </w:pPr>
      <w:r w:rsidRPr="00CF4E9F">
        <w:rPr>
          <w:szCs w:val="24"/>
          <w:lang w:val="en-CA"/>
        </w:rPr>
        <w:t xml:space="preserve">Ms. Sylvestre’s expert report also </w:t>
      </w:r>
      <w:r w:rsidR="00ED7FCE" w:rsidRPr="00CF4E9F">
        <w:rPr>
          <w:szCs w:val="24"/>
          <w:lang w:val="en-CA"/>
        </w:rPr>
        <w:t xml:space="preserve">mentions </w:t>
      </w:r>
      <w:r w:rsidRPr="00CF4E9F">
        <w:rPr>
          <w:szCs w:val="24"/>
          <w:lang w:val="en-CA"/>
        </w:rPr>
        <w:t xml:space="preserve">a multitude of contemporary articles </w:t>
      </w:r>
      <w:r w:rsidR="00ED7FCE" w:rsidRPr="00CF4E9F">
        <w:rPr>
          <w:szCs w:val="24"/>
          <w:lang w:val="en-CA"/>
        </w:rPr>
        <w:t xml:space="preserve">that </w:t>
      </w:r>
      <w:r w:rsidRPr="00CF4E9F">
        <w:rPr>
          <w:szCs w:val="24"/>
          <w:lang w:val="en-CA"/>
        </w:rPr>
        <w:t xml:space="preserve">discuss racial profiling and </w:t>
      </w:r>
      <w:r w:rsidR="00ED7FCE" w:rsidRPr="00CF4E9F">
        <w:rPr>
          <w:szCs w:val="24"/>
          <w:lang w:val="en-CA"/>
        </w:rPr>
        <w:t>describe</w:t>
      </w:r>
      <w:r w:rsidRPr="00CF4E9F">
        <w:rPr>
          <w:szCs w:val="24"/>
          <w:lang w:val="en-CA"/>
        </w:rPr>
        <w:t xml:space="preserve"> its personal and professional impact on victims.</w:t>
      </w:r>
      <w:r w:rsidRPr="00CF4E9F">
        <w:rPr>
          <w:rStyle w:val="Appelnotedebasdep"/>
          <w:szCs w:val="24"/>
          <w:lang w:val="en-CA"/>
        </w:rPr>
        <w:footnoteReference w:id="134"/>
      </w:r>
    </w:p>
    <w:p w14:paraId="56A73B58" w14:textId="59DEAF39" w:rsidR="0032484D" w:rsidRPr="00CF4E9F" w:rsidRDefault="00584193" w:rsidP="00A037E0">
      <w:pPr>
        <w:pStyle w:val="Paragraphe"/>
        <w:spacing w:line="280" w:lineRule="exact"/>
        <w:rPr>
          <w:lang w:val="en-CA"/>
        </w:rPr>
      </w:pPr>
      <w:bookmarkStart w:id="73" w:name="_Hlk158799760"/>
      <w:r w:rsidRPr="00CF4E9F">
        <w:rPr>
          <w:lang w:val="en-CA"/>
        </w:rPr>
        <w:t>After reviewing the contemporary literature on racial profiling, the judge made the following findings:</w:t>
      </w:r>
    </w:p>
    <w:bookmarkEnd w:id="73"/>
    <w:p w14:paraId="689C87A5" w14:textId="39F3082E" w:rsidR="0032484D" w:rsidRPr="00CF4E9F" w:rsidRDefault="00F47355" w:rsidP="004D42FA">
      <w:pPr>
        <w:pStyle w:val="Paragraphe"/>
        <w:numPr>
          <w:ilvl w:val="0"/>
          <w:numId w:val="2"/>
        </w:numPr>
        <w:spacing w:line="280" w:lineRule="exact"/>
        <w:rPr>
          <w:lang w:val="en-CA"/>
        </w:rPr>
      </w:pPr>
      <w:r w:rsidRPr="00CF4E9F">
        <w:rPr>
          <w:lang w:val="en-CA"/>
        </w:rPr>
        <w:t xml:space="preserve">The notion of “racial profiling” is now an integral part of the literature and </w:t>
      </w:r>
      <w:r w:rsidR="00140BCF">
        <w:rPr>
          <w:lang w:val="en-CA"/>
        </w:rPr>
        <w:t xml:space="preserve">has been the topic of </w:t>
      </w:r>
      <w:r w:rsidRPr="00CF4E9F">
        <w:rPr>
          <w:lang w:val="en-CA"/>
        </w:rPr>
        <w:t>in-depth discussion.</w:t>
      </w:r>
      <w:r w:rsidRPr="00CF4E9F">
        <w:rPr>
          <w:rStyle w:val="Appelnotedebasdep"/>
          <w:lang w:val="en-CA"/>
        </w:rPr>
        <w:footnoteReference w:id="135"/>
      </w:r>
      <w:r w:rsidR="0043013D" w:rsidRPr="00CF4E9F">
        <w:rPr>
          <w:lang w:val="en-CA"/>
        </w:rPr>
        <w:t xml:space="preserve"> </w:t>
      </w:r>
      <w:r w:rsidRPr="00CF4E9F">
        <w:rPr>
          <w:lang w:val="en-CA"/>
        </w:rPr>
        <w:t xml:space="preserve">It is now a </w:t>
      </w:r>
      <w:r w:rsidR="005973AF" w:rsidRPr="00CF4E9F">
        <w:rPr>
          <w:lang w:val="en-CA"/>
        </w:rPr>
        <w:t xml:space="preserve">subject of </w:t>
      </w:r>
      <w:r w:rsidRPr="00CF4E9F">
        <w:rPr>
          <w:lang w:val="en-CA"/>
        </w:rPr>
        <w:t xml:space="preserve">study distinct from the much broader concept of </w:t>
      </w:r>
      <w:r w:rsidR="007163D5">
        <w:rPr>
          <w:rFonts w:cs="Arial"/>
          <w:lang w:val="en-CA"/>
        </w:rPr>
        <w:t>[</w:t>
      </w:r>
      <w:r w:rsidR="007163D5">
        <w:rPr>
          <w:rFonts w:cs="Arial"/>
          <w:smallCaps/>
          <w:lang w:val="en-CA"/>
        </w:rPr>
        <w:t>translation</w:t>
      </w:r>
      <w:r w:rsidR="007163D5">
        <w:rPr>
          <w:rFonts w:cs="Arial"/>
          <w:lang w:val="en-CA"/>
        </w:rPr>
        <w:t>]</w:t>
      </w:r>
      <w:r w:rsidR="00F8437E">
        <w:rPr>
          <w:lang w:val="en-CA"/>
        </w:rPr>
        <w:t> </w:t>
      </w:r>
      <w:r w:rsidRPr="00CF4E9F">
        <w:rPr>
          <w:lang w:val="en-CA"/>
        </w:rPr>
        <w:t xml:space="preserve">“racial discrimination” used at the time of </w:t>
      </w:r>
      <w:r w:rsidRPr="00CF4E9F">
        <w:rPr>
          <w:i/>
          <w:lang w:val="en-CA"/>
        </w:rPr>
        <w:t>Ladouceur.</w:t>
      </w:r>
      <w:r w:rsidRPr="00CF4E9F">
        <w:rPr>
          <w:rStyle w:val="Appelnotedebasdep"/>
          <w:lang w:val="en-CA"/>
        </w:rPr>
        <w:footnoteReference w:id="136"/>
      </w:r>
      <w:r w:rsidR="0043013D" w:rsidRPr="00CF4E9F">
        <w:rPr>
          <w:lang w:val="en-CA"/>
        </w:rPr>
        <w:t xml:space="preserve"> </w:t>
      </w:r>
      <w:r w:rsidR="005973AF" w:rsidRPr="00CF4E9F">
        <w:rPr>
          <w:lang w:val="en-CA"/>
        </w:rPr>
        <w:t xml:space="preserve">These </w:t>
      </w:r>
      <w:r w:rsidRPr="00CF4E9F">
        <w:rPr>
          <w:lang w:val="en-CA"/>
        </w:rPr>
        <w:t xml:space="preserve">studies </w:t>
      </w:r>
      <w:r w:rsidR="005973AF" w:rsidRPr="00CF4E9F">
        <w:rPr>
          <w:lang w:val="en-CA"/>
        </w:rPr>
        <w:t xml:space="preserve">focus </w:t>
      </w:r>
      <w:r w:rsidRPr="00CF4E9F">
        <w:rPr>
          <w:lang w:val="en-CA"/>
        </w:rPr>
        <w:t xml:space="preserve">more particularly </w:t>
      </w:r>
      <w:r w:rsidR="005973AF" w:rsidRPr="00CF4E9F">
        <w:rPr>
          <w:lang w:val="en-CA"/>
        </w:rPr>
        <w:t xml:space="preserve">on </w:t>
      </w:r>
      <w:r w:rsidRPr="00CF4E9F">
        <w:rPr>
          <w:lang w:val="en-CA"/>
        </w:rPr>
        <w:t xml:space="preserve">the process </w:t>
      </w:r>
      <w:r w:rsidR="00F25761">
        <w:rPr>
          <w:lang w:val="en-CA"/>
        </w:rPr>
        <w:t xml:space="preserve">by which </w:t>
      </w:r>
      <w:r w:rsidRPr="00CF4E9F">
        <w:rPr>
          <w:lang w:val="en-CA"/>
        </w:rPr>
        <w:t xml:space="preserve">drivers </w:t>
      </w:r>
      <w:r w:rsidR="00F25761">
        <w:rPr>
          <w:lang w:val="en-CA"/>
        </w:rPr>
        <w:t xml:space="preserve">are selected </w:t>
      </w:r>
      <w:r w:rsidRPr="00CF4E9F">
        <w:rPr>
          <w:lang w:val="en-CA"/>
        </w:rPr>
        <w:t>for “random” traffic stops;</w:t>
      </w:r>
    </w:p>
    <w:p w14:paraId="580CA0BA" w14:textId="4BA2F711" w:rsidR="0032484D" w:rsidRPr="00CF4E9F" w:rsidRDefault="00F47355" w:rsidP="004D42FA">
      <w:pPr>
        <w:pStyle w:val="Paragraphe"/>
        <w:numPr>
          <w:ilvl w:val="0"/>
          <w:numId w:val="2"/>
        </w:numPr>
        <w:spacing w:line="280" w:lineRule="exact"/>
        <w:rPr>
          <w:lang w:val="en-CA"/>
        </w:rPr>
      </w:pPr>
      <w:r w:rsidRPr="00CF4E9F">
        <w:rPr>
          <w:lang w:val="en-CA"/>
        </w:rPr>
        <w:t xml:space="preserve">Quantitative data is now available and paints a more objective picture of </w:t>
      </w:r>
      <w:r w:rsidR="005973AF" w:rsidRPr="00CF4E9F">
        <w:rPr>
          <w:lang w:val="en-CA"/>
        </w:rPr>
        <w:t>the reality</w:t>
      </w:r>
      <w:r w:rsidRPr="00CF4E9F">
        <w:rPr>
          <w:lang w:val="en-CA"/>
        </w:rPr>
        <w:t>.</w:t>
      </w:r>
      <w:r w:rsidR="0043013D" w:rsidRPr="00CF4E9F">
        <w:rPr>
          <w:lang w:val="en-CA"/>
        </w:rPr>
        <w:t xml:space="preserve"> </w:t>
      </w:r>
      <w:r w:rsidRPr="00CF4E9F">
        <w:rPr>
          <w:lang w:val="en-CA"/>
        </w:rPr>
        <w:t xml:space="preserve">It is no longer </w:t>
      </w:r>
      <w:r w:rsidR="005973AF" w:rsidRPr="00CF4E9F">
        <w:rPr>
          <w:lang w:val="en-CA"/>
        </w:rPr>
        <w:t xml:space="preserve">merely </w:t>
      </w:r>
      <w:r w:rsidRPr="00CF4E9F">
        <w:rPr>
          <w:lang w:val="en-CA"/>
        </w:rPr>
        <w:t xml:space="preserve">a question of anecdotes recounted in reports: </w:t>
      </w:r>
      <w:r w:rsidR="005973AF" w:rsidRPr="00CF4E9F">
        <w:rPr>
          <w:lang w:val="en-CA"/>
        </w:rPr>
        <w:t xml:space="preserve">numerous </w:t>
      </w:r>
      <w:r w:rsidRPr="00CF4E9F">
        <w:rPr>
          <w:lang w:val="en-CA"/>
        </w:rPr>
        <w:t xml:space="preserve">studies statistically establish the substantially increased prevalence of traffic stops involving Black people, </w:t>
      </w:r>
      <w:r w:rsidR="00295EDE" w:rsidRPr="00CF4E9F">
        <w:rPr>
          <w:lang w:val="en-CA"/>
        </w:rPr>
        <w:t xml:space="preserve">with </w:t>
      </w:r>
      <w:r w:rsidRPr="00CF4E9F">
        <w:rPr>
          <w:lang w:val="en-CA"/>
        </w:rPr>
        <w:t>empirical data</w:t>
      </w:r>
      <w:r w:rsidR="00295EDE" w:rsidRPr="00CF4E9F">
        <w:rPr>
          <w:lang w:val="en-CA"/>
        </w:rPr>
        <w:t>;</w:t>
      </w:r>
    </w:p>
    <w:p w14:paraId="777EECF6" w14:textId="6078D3E7" w:rsidR="0032484D" w:rsidRPr="00CF4E9F" w:rsidRDefault="00295EDE" w:rsidP="004D42FA">
      <w:pPr>
        <w:pStyle w:val="Paragraphe"/>
        <w:numPr>
          <w:ilvl w:val="0"/>
          <w:numId w:val="2"/>
        </w:numPr>
        <w:spacing w:line="280" w:lineRule="exact"/>
        <w:rPr>
          <w:lang w:val="en-CA"/>
        </w:rPr>
      </w:pPr>
      <w:r w:rsidRPr="00CF4E9F">
        <w:rPr>
          <w:lang w:val="en-CA"/>
        </w:rPr>
        <w:t>Today, t</w:t>
      </w:r>
      <w:r w:rsidR="00F47355" w:rsidRPr="00CF4E9F">
        <w:rPr>
          <w:lang w:val="en-CA"/>
        </w:rPr>
        <w:t xml:space="preserve">raffic stops </w:t>
      </w:r>
      <w:r w:rsidRPr="00CF4E9F">
        <w:rPr>
          <w:lang w:val="en-CA"/>
        </w:rPr>
        <w:t xml:space="preserve">are </w:t>
      </w:r>
      <w:r w:rsidR="00F47355" w:rsidRPr="00CF4E9F">
        <w:rPr>
          <w:lang w:val="en-CA"/>
        </w:rPr>
        <w:t>specifically studied in the Canadian context;</w:t>
      </w:r>
    </w:p>
    <w:p w14:paraId="7F10BADA" w14:textId="487B0D40" w:rsidR="0032484D" w:rsidRPr="00CF4E9F" w:rsidRDefault="00F47355" w:rsidP="004D42FA">
      <w:pPr>
        <w:pStyle w:val="Paragraphe"/>
        <w:numPr>
          <w:ilvl w:val="0"/>
          <w:numId w:val="2"/>
        </w:numPr>
        <w:spacing w:line="280" w:lineRule="exact"/>
        <w:rPr>
          <w:lang w:val="en-CA"/>
        </w:rPr>
      </w:pPr>
      <w:r w:rsidRPr="00CF4E9F">
        <w:rPr>
          <w:lang w:val="en-CA"/>
        </w:rPr>
        <w:t>The impact of racial profiling on victims ha</w:t>
      </w:r>
      <w:r w:rsidR="00295EDE" w:rsidRPr="00CF4E9F">
        <w:rPr>
          <w:lang w:val="en-CA"/>
        </w:rPr>
        <w:t>s</w:t>
      </w:r>
      <w:r w:rsidRPr="00CF4E9F">
        <w:rPr>
          <w:lang w:val="en-CA"/>
        </w:rPr>
        <w:t xml:space="preserve"> been more widely documented and demonstrate</w:t>
      </w:r>
      <w:r w:rsidR="0002160B">
        <w:rPr>
          <w:lang w:val="en-CA"/>
        </w:rPr>
        <w:t>s</w:t>
      </w:r>
      <w:r w:rsidRPr="00CF4E9F">
        <w:rPr>
          <w:lang w:val="en-CA"/>
        </w:rPr>
        <w:t xml:space="preserve"> the harm </w:t>
      </w:r>
      <w:r w:rsidR="00295EDE" w:rsidRPr="00CF4E9F">
        <w:rPr>
          <w:lang w:val="en-CA"/>
        </w:rPr>
        <w:t xml:space="preserve">victims </w:t>
      </w:r>
      <w:r w:rsidRPr="00CF4E9F">
        <w:rPr>
          <w:lang w:val="en-CA"/>
        </w:rPr>
        <w:t xml:space="preserve">suffer, </w:t>
      </w:r>
      <w:r w:rsidR="00295EDE" w:rsidRPr="00CF4E9F">
        <w:rPr>
          <w:lang w:val="en-CA"/>
        </w:rPr>
        <w:t xml:space="preserve">including </w:t>
      </w:r>
      <w:r w:rsidRPr="00CF4E9F">
        <w:rPr>
          <w:lang w:val="en-CA"/>
        </w:rPr>
        <w:t>due to the frequency of stops.</w:t>
      </w:r>
    </w:p>
    <w:p w14:paraId="3FDD2772" w14:textId="518E5FEA" w:rsidR="0032484D" w:rsidRPr="00CF4E9F" w:rsidRDefault="00F47355" w:rsidP="00A037E0">
      <w:pPr>
        <w:pStyle w:val="Paragraphe"/>
        <w:spacing w:line="280" w:lineRule="exact"/>
        <w:rPr>
          <w:lang w:val="en-CA"/>
        </w:rPr>
      </w:pPr>
      <w:bookmarkStart w:id="74" w:name="_Ref178176080"/>
      <w:r w:rsidRPr="00CF4E9F">
        <w:rPr>
          <w:lang w:val="en-CA"/>
        </w:rPr>
        <w:t xml:space="preserve">It should be </w:t>
      </w:r>
      <w:r w:rsidR="00BA65FF">
        <w:rPr>
          <w:lang w:val="en-CA"/>
        </w:rPr>
        <w:t xml:space="preserve">noted </w:t>
      </w:r>
      <w:r w:rsidRPr="00CF4E9F">
        <w:rPr>
          <w:lang w:val="en-CA"/>
        </w:rPr>
        <w:t xml:space="preserve">that in </w:t>
      </w:r>
      <w:r w:rsidRPr="00CF4E9F">
        <w:rPr>
          <w:i/>
          <w:iCs/>
          <w:lang w:val="en-CA"/>
        </w:rPr>
        <w:t>Ladouceur</w:t>
      </w:r>
      <w:r w:rsidRPr="00CF4E9F">
        <w:rPr>
          <w:lang w:val="en-CA"/>
        </w:rPr>
        <w:t>, Cory, J. stated that “</w:t>
      </w:r>
      <w:r w:rsidRPr="00CF4E9F">
        <w:rPr>
          <w:rFonts w:cs="Arial"/>
          <w:lang w:val="en-CA"/>
        </w:rPr>
        <w:t>[</w:t>
      </w:r>
      <w:r w:rsidRPr="00CF4E9F">
        <w:rPr>
          <w:lang w:val="en-CA"/>
        </w:rPr>
        <w:t>t</w:t>
      </w:r>
      <w:r w:rsidRPr="00CF4E9F">
        <w:rPr>
          <w:rFonts w:cs="Arial"/>
          <w:lang w:val="en-CA"/>
        </w:rPr>
        <w:t>]</w:t>
      </w:r>
      <w:r w:rsidRPr="00CF4E9F">
        <w:rPr>
          <w:lang w:val="en-CA"/>
        </w:rPr>
        <w:t>hese stops are and must be of relatively short duration, requiring the production of only a few documents.</w:t>
      </w:r>
      <w:r w:rsidR="00C5258F">
        <w:rPr>
          <w:lang w:val="en-CA"/>
        </w:rPr>
        <w:t xml:space="preserve"> </w:t>
      </w:r>
      <w:r w:rsidRPr="00CF4E9F">
        <w:rPr>
          <w:lang w:val="en-CA"/>
        </w:rPr>
        <w:t>There is a minimal inconvenience caused to the driver.”</w:t>
      </w:r>
      <w:r w:rsidRPr="00CF4E9F">
        <w:rPr>
          <w:rStyle w:val="Appelnotedebasdep"/>
          <w:lang w:val="en-CA"/>
        </w:rPr>
        <w:footnoteReference w:id="137"/>
      </w:r>
      <w:r w:rsidR="0043013D" w:rsidRPr="00CF4E9F">
        <w:rPr>
          <w:lang w:val="en-CA"/>
        </w:rPr>
        <w:t xml:space="preserve"> </w:t>
      </w:r>
      <w:r w:rsidRPr="00CF4E9F">
        <w:rPr>
          <w:lang w:val="en-CA"/>
        </w:rPr>
        <w:t xml:space="preserve">In this case, however, the evidence adduced at trial </w:t>
      </w:r>
      <w:r w:rsidR="00295EDE" w:rsidRPr="00CF4E9F">
        <w:rPr>
          <w:lang w:val="en-CA"/>
        </w:rPr>
        <w:t>shows</w:t>
      </w:r>
      <w:r w:rsidRPr="00CF4E9F">
        <w:rPr>
          <w:lang w:val="en-CA"/>
        </w:rPr>
        <w:t xml:space="preserve"> that the inconvenience considered “minimal” in </w:t>
      </w:r>
      <w:r w:rsidRPr="00CF4E9F">
        <w:rPr>
          <w:i/>
          <w:lang w:val="en-CA"/>
        </w:rPr>
        <w:t>Ladouceur</w:t>
      </w:r>
      <w:r w:rsidRPr="00CF4E9F">
        <w:rPr>
          <w:lang w:val="en-CA"/>
        </w:rPr>
        <w:t xml:space="preserve"> is totally inconsistent with today’s reality.</w:t>
      </w:r>
      <w:r w:rsidR="00775A18" w:rsidRPr="00CF4E9F">
        <w:rPr>
          <w:lang w:val="en-CA"/>
        </w:rPr>
        <w:t xml:space="preserve"> </w:t>
      </w:r>
      <w:bookmarkEnd w:id="74"/>
      <w:r w:rsidR="004D56DB">
        <w:rPr>
          <w:lang w:val="en-CA"/>
        </w:rPr>
        <w:t>C</w:t>
      </w:r>
      <w:r w:rsidRPr="00CF4E9F">
        <w:rPr>
          <w:lang w:val="en-CA"/>
        </w:rPr>
        <w:t xml:space="preserve">ontemporary literature illustrates the considerable human </w:t>
      </w:r>
      <w:r w:rsidR="000E5FE4">
        <w:rPr>
          <w:lang w:val="en-CA"/>
        </w:rPr>
        <w:t xml:space="preserve">toll </w:t>
      </w:r>
      <w:r w:rsidRPr="00CF4E9F">
        <w:rPr>
          <w:lang w:val="en-CA"/>
        </w:rPr>
        <w:t xml:space="preserve">of racial profiling on drivers who </w:t>
      </w:r>
      <w:r w:rsidR="009136D6">
        <w:rPr>
          <w:lang w:val="en-CA"/>
        </w:rPr>
        <w:t xml:space="preserve">experience </w:t>
      </w:r>
      <w:r w:rsidR="00FC4F32">
        <w:rPr>
          <w:lang w:val="en-CA"/>
        </w:rPr>
        <w:t>it</w:t>
      </w:r>
      <w:r w:rsidRPr="00CF4E9F">
        <w:rPr>
          <w:lang w:val="en-CA"/>
        </w:rPr>
        <w:t xml:space="preserve">: headaches, </w:t>
      </w:r>
      <w:r w:rsidRPr="00CF4E9F">
        <w:rPr>
          <w:lang w:val="en-CA"/>
        </w:rPr>
        <w:lastRenderedPageBreak/>
        <w:t>anger, insomnia, trauma, problems concentrating, loss of appetite, depression, anxiety, panic, missed work, psychological distress, etc.</w:t>
      </w:r>
      <w:r w:rsidRPr="00CF4E9F">
        <w:rPr>
          <w:rStyle w:val="Appelnotedebasdep"/>
          <w:lang w:val="en-CA"/>
        </w:rPr>
        <w:footnoteReference w:id="138"/>
      </w:r>
    </w:p>
    <w:p w14:paraId="223F09C5" w14:textId="52DFA373" w:rsidR="0032484D" w:rsidRPr="00CF4E9F" w:rsidRDefault="00F47355" w:rsidP="00FB0B43">
      <w:pPr>
        <w:pStyle w:val="Paragraphe"/>
        <w:spacing w:line="280" w:lineRule="exact"/>
        <w:rPr>
          <w:lang w:val="en-CA"/>
        </w:rPr>
      </w:pPr>
      <w:r w:rsidRPr="00100789">
        <w:rPr>
          <w:lang w:val="en-CA"/>
        </w:rPr>
        <w:t xml:space="preserve">Moreover, in </w:t>
      </w:r>
      <w:r w:rsidRPr="00100789">
        <w:rPr>
          <w:i/>
          <w:lang w:val="en-CA"/>
        </w:rPr>
        <w:t>Ladouceur</w:t>
      </w:r>
      <w:r w:rsidRPr="00100789">
        <w:rPr>
          <w:lang w:val="en-CA"/>
        </w:rPr>
        <w:t>, Cory</w:t>
      </w:r>
      <w:r w:rsidR="00E31796" w:rsidRPr="00CF4E9F">
        <w:rPr>
          <w:lang w:val="en-CA"/>
        </w:rPr>
        <w:t>,</w:t>
      </w:r>
      <w:r w:rsidRPr="00CF4E9F">
        <w:rPr>
          <w:lang w:val="en-CA"/>
        </w:rPr>
        <w:t xml:space="preserve"> J. found that the fears that police</w:t>
      </w:r>
      <w:r w:rsidR="00100789">
        <w:rPr>
          <w:lang w:val="en-CA"/>
        </w:rPr>
        <w:t xml:space="preserve"> officers might</w:t>
      </w:r>
      <w:r w:rsidRPr="00CF4E9F">
        <w:rPr>
          <w:lang w:val="en-CA"/>
        </w:rPr>
        <w:t xml:space="preserve"> abuse their discretion “are unfounded. There are mechanisms already in place which prevent abuse.</w:t>
      </w:r>
      <w:r w:rsidR="0043013D" w:rsidRPr="00CF4E9F">
        <w:rPr>
          <w:lang w:val="en-CA"/>
        </w:rPr>
        <w:t xml:space="preserve"> </w:t>
      </w:r>
      <w:r w:rsidRPr="00CF4E9F">
        <w:rPr>
          <w:lang w:val="en-CA"/>
        </w:rPr>
        <w:t>Officers can stop persons only for legal reasons”</w:t>
      </w:r>
      <w:r w:rsidR="007163D5">
        <w:rPr>
          <w:lang w:val="en-CA"/>
        </w:rPr>
        <w:t>.</w:t>
      </w:r>
      <w:r w:rsidRPr="00CF4E9F">
        <w:rPr>
          <w:rStyle w:val="Appelnotedebasdep"/>
          <w:lang w:val="en-CA"/>
        </w:rPr>
        <w:footnoteReference w:id="139"/>
      </w:r>
      <w:r w:rsidR="0043013D" w:rsidRPr="00CF4E9F">
        <w:rPr>
          <w:lang w:val="en-CA"/>
        </w:rPr>
        <w:t xml:space="preserve"> </w:t>
      </w:r>
      <w:r w:rsidR="00A851A6" w:rsidRPr="00CF4E9F">
        <w:rPr>
          <w:lang w:val="en-CA"/>
        </w:rPr>
        <w:t xml:space="preserve">However, </w:t>
      </w:r>
      <w:r w:rsidRPr="00CF4E9F">
        <w:rPr>
          <w:lang w:val="en-CA"/>
        </w:rPr>
        <w:t xml:space="preserve">the </w:t>
      </w:r>
      <w:r w:rsidR="00FC4288">
        <w:rPr>
          <w:lang w:val="en-CA"/>
        </w:rPr>
        <w:t xml:space="preserve">current </w:t>
      </w:r>
      <w:r w:rsidRPr="00CF4E9F">
        <w:rPr>
          <w:lang w:val="en-CA"/>
        </w:rPr>
        <w:t xml:space="preserve">literature and </w:t>
      </w:r>
      <w:r w:rsidR="009136D6">
        <w:rPr>
          <w:lang w:val="en-CA"/>
        </w:rPr>
        <w:t xml:space="preserve">the </w:t>
      </w:r>
      <w:r w:rsidRPr="00CF4E9F">
        <w:rPr>
          <w:lang w:val="en-CA"/>
        </w:rPr>
        <w:t xml:space="preserve">evidence </w:t>
      </w:r>
      <w:r w:rsidR="00FC4288">
        <w:rPr>
          <w:lang w:val="en-CA"/>
        </w:rPr>
        <w:t xml:space="preserve">presented </w:t>
      </w:r>
      <w:r w:rsidRPr="00CF4E9F">
        <w:rPr>
          <w:lang w:val="en-CA"/>
        </w:rPr>
        <w:t xml:space="preserve">at trial unfortunately </w:t>
      </w:r>
      <w:r w:rsidR="00FC4288">
        <w:rPr>
          <w:lang w:val="en-CA"/>
        </w:rPr>
        <w:t xml:space="preserve">reveal </w:t>
      </w:r>
      <w:r w:rsidRPr="00CF4E9F">
        <w:rPr>
          <w:lang w:val="en-CA"/>
        </w:rPr>
        <w:t xml:space="preserve">a different picture: racial profiling is </w:t>
      </w:r>
      <w:r w:rsidR="00A851A6" w:rsidRPr="00CF4E9F">
        <w:rPr>
          <w:lang w:val="en-CA"/>
        </w:rPr>
        <w:t xml:space="preserve">intertwined </w:t>
      </w:r>
      <w:r w:rsidRPr="00CF4E9F">
        <w:rPr>
          <w:lang w:val="en-CA"/>
        </w:rPr>
        <w:t>with legitimate concerns of fighting crime and highway safety</w:t>
      </w:r>
      <w:r w:rsidR="00A569B3">
        <w:rPr>
          <w:lang w:val="en-CA"/>
        </w:rPr>
        <w:t>,</w:t>
      </w:r>
      <w:r w:rsidRPr="00CF4E9F">
        <w:rPr>
          <w:rStyle w:val="Appelnotedebasdep"/>
          <w:lang w:val="en-CA"/>
        </w:rPr>
        <w:footnoteReference w:id="140"/>
      </w:r>
      <w:r w:rsidRPr="00CF4E9F">
        <w:rPr>
          <w:lang w:val="en-CA"/>
        </w:rPr>
        <w:t xml:space="preserve"> </w:t>
      </w:r>
      <w:r w:rsidR="00BE658C">
        <w:rPr>
          <w:lang w:val="en-CA"/>
        </w:rPr>
        <w:t>such</w:t>
      </w:r>
      <w:r w:rsidR="00A851A6" w:rsidRPr="00CF4E9F">
        <w:rPr>
          <w:lang w:val="en-CA"/>
        </w:rPr>
        <w:t xml:space="preserve"> </w:t>
      </w:r>
      <w:r w:rsidRPr="00CF4E9F">
        <w:rPr>
          <w:lang w:val="en-CA"/>
        </w:rPr>
        <w:t xml:space="preserve">that </w:t>
      </w:r>
      <w:r w:rsidR="00A851A6" w:rsidRPr="00CF4E9F">
        <w:rPr>
          <w:lang w:val="en-CA"/>
        </w:rPr>
        <w:t xml:space="preserve">when </w:t>
      </w:r>
      <w:r w:rsidRPr="00CF4E9F">
        <w:rPr>
          <w:lang w:val="en-CA"/>
        </w:rPr>
        <w:t xml:space="preserve">combined with the absence of </w:t>
      </w:r>
      <w:r w:rsidR="00EB0C4C">
        <w:rPr>
          <w:lang w:val="en-CA"/>
        </w:rPr>
        <w:t xml:space="preserve">a requirement for </w:t>
      </w:r>
      <w:r w:rsidRPr="00CF4E9F">
        <w:rPr>
          <w:lang w:val="en-CA"/>
        </w:rPr>
        <w:t xml:space="preserve">grounds justifying a stop, the power codified in </w:t>
      </w:r>
      <w:r w:rsidR="00162E51">
        <w:rPr>
          <w:lang w:val="en-CA"/>
        </w:rPr>
        <w:t>s. </w:t>
      </w:r>
      <w:r w:rsidRPr="00CF4E9F">
        <w:rPr>
          <w:lang w:val="en-CA"/>
        </w:rPr>
        <w:t>636</w:t>
      </w:r>
      <w:r w:rsidR="0030762F" w:rsidRPr="0030762F">
        <w:rPr>
          <w:i/>
          <w:lang w:val="en-CA"/>
        </w:rPr>
        <w:t> HSC</w:t>
      </w:r>
      <w:r w:rsidRPr="00CF4E9F">
        <w:rPr>
          <w:lang w:val="en-CA"/>
        </w:rPr>
        <w:t xml:space="preserve"> opens the door to many documented abuses.</w:t>
      </w:r>
      <w:r w:rsidR="0043013D" w:rsidRPr="00CF4E9F">
        <w:rPr>
          <w:lang w:val="en-CA"/>
        </w:rPr>
        <w:t xml:space="preserve"> </w:t>
      </w:r>
    </w:p>
    <w:p w14:paraId="67669DBC" w14:textId="0C1A76EC" w:rsidR="0032484D" w:rsidRPr="00CF4E9F" w:rsidRDefault="00F47355" w:rsidP="00FB0B43">
      <w:pPr>
        <w:pStyle w:val="Paragraphe"/>
        <w:spacing w:line="280" w:lineRule="exact"/>
        <w:rPr>
          <w:lang w:val="en-CA"/>
        </w:rPr>
      </w:pPr>
      <w:r w:rsidRPr="00CF4E9F">
        <w:rPr>
          <w:iCs/>
          <w:lang w:val="en-CA"/>
        </w:rPr>
        <w:t xml:space="preserve">In </w:t>
      </w:r>
      <w:r w:rsidRPr="00CF4E9F">
        <w:rPr>
          <w:i/>
          <w:iCs/>
          <w:lang w:val="en-CA"/>
        </w:rPr>
        <w:t>Comeau</w:t>
      </w:r>
      <w:r w:rsidRPr="00CF4E9F">
        <w:rPr>
          <w:iCs/>
          <w:lang w:val="en-CA"/>
        </w:rPr>
        <w:t xml:space="preserve">, the Supreme Court noted that the new evidence </w:t>
      </w:r>
      <w:r w:rsidR="00BE658C" w:rsidRPr="00CF4E9F">
        <w:rPr>
          <w:iCs/>
          <w:lang w:val="en-CA"/>
        </w:rPr>
        <w:t xml:space="preserve">exception </w:t>
      </w:r>
      <w:r w:rsidRPr="00CF4E9F">
        <w:rPr>
          <w:iCs/>
          <w:lang w:val="en-CA"/>
        </w:rPr>
        <w:t xml:space="preserve">that applies to </w:t>
      </w:r>
      <w:r w:rsidRPr="00CF4E9F">
        <w:rPr>
          <w:i/>
          <w:iCs/>
          <w:lang w:val="en-CA"/>
        </w:rPr>
        <w:t>stare decisis</w:t>
      </w:r>
      <w:r w:rsidRPr="00CF4E9F">
        <w:rPr>
          <w:iCs/>
          <w:lang w:val="en-CA"/>
        </w:rPr>
        <w:t xml:space="preserve"> is “engaged where the underlying social context that framed the original legal debate is profoundly altered.”</w:t>
      </w:r>
      <w:r w:rsidRPr="00CF4E9F">
        <w:rPr>
          <w:rStyle w:val="Appelnotedebasdep"/>
          <w:lang w:val="en-CA"/>
        </w:rPr>
        <w:footnoteReference w:id="141"/>
      </w:r>
      <w:r w:rsidR="0043013D" w:rsidRPr="00CF4E9F">
        <w:rPr>
          <w:i/>
          <w:iCs/>
          <w:lang w:val="en-CA"/>
        </w:rPr>
        <w:t xml:space="preserve"> </w:t>
      </w:r>
      <w:r w:rsidRPr="00CF4E9F">
        <w:rPr>
          <w:lang w:val="en-CA"/>
        </w:rPr>
        <w:t xml:space="preserve">In this case, the judge addressed the </w:t>
      </w:r>
      <w:r w:rsidR="004F081B" w:rsidRPr="00CF4E9F">
        <w:rPr>
          <w:lang w:val="en-CA"/>
        </w:rPr>
        <w:t xml:space="preserve">changes in the </w:t>
      </w:r>
      <w:r w:rsidRPr="00CF4E9F">
        <w:rPr>
          <w:lang w:val="en-CA"/>
        </w:rPr>
        <w:t xml:space="preserve">social </w:t>
      </w:r>
      <w:r w:rsidR="004F081B" w:rsidRPr="00CF4E9F">
        <w:rPr>
          <w:lang w:val="en-CA"/>
        </w:rPr>
        <w:t xml:space="preserve">context </w:t>
      </w:r>
      <w:r w:rsidRPr="00CF4E9F">
        <w:rPr>
          <w:lang w:val="en-CA"/>
        </w:rPr>
        <w:t xml:space="preserve">since </w:t>
      </w:r>
      <w:r w:rsidRPr="00CF4E9F">
        <w:rPr>
          <w:i/>
          <w:lang w:val="en-CA"/>
        </w:rPr>
        <w:t>Ladouceur</w:t>
      </w:r>
      <w:r w:rsidRPr="00CF4E9F">
        <w:rPr>
          <w:lang w:val="en-CA"/>
        </w:rPr>
        <w:t xml:space="preserve"> and noted that</w:t>
      </w:r>
      <w:r w:rsidR="00BE658C">
        <w:rPr>
          <w:lang w:val="en-CA"/>
        </w:rPr>
        <w:t xml:space="preserve"> </w:t>
      </w:r>
      <w:r w:rsidR="005E7AE1">
        <w:rPr>
          <w:lang w:val="en-CA"/>
        </w:rPr>
        <w:t>the</w:t>
      </w:r>
      <w:r w:rsidR="008820AB">
        <w:rPr>
          <w:lang w:val="en-CA"/>
        </w:rPr>
        <w:t xml:space="preserve"> repercussions </w:t>
      </w:r>
      <w:r w:rsidR="00C07453">
        <w:rPr>
          <w:lang w:val="en-CA"/>
        </w:rPr>
        <w:t xml:space="preserve">of </w:t>
      </w:r>
      <w:r w:rsidRPr="00CF4E9F">
        <w:rPr>
          <w:lang w:val="en-CA"/>
        </w:rPr>
        <w:t>racial profiling w</w:t>
      </w:r>
      <w:r w:rsidR="005E7AE1">
        <w:rPr>
          <w:lang w:val="en-CA"/>
        </w:rPr>
        <w:t>ere</w:t>
      </w:r>
      <w:r w:rsidRPr="00CF4E9F">
        <w:rPr>
          <w:lang w:val="en-CA"/>
        </w:rPr>
        <w:t xml:space="preserve"> not sufficiently known when the Supreme Court made its ruling.</w:t>
      </w:r>
      <w:r w:rsidR="0043013D" w:rsidRPr="00CF4E9F">
        <w:rPr>
          <w:lang w:val="en-CA"/>
        </w:rPr>
        <w:t xml:space="preserve"> </w:t>
      </w:r>
      <w:r w:rsidRPr="00CF4E9F">
        <w:rPr>
          <w:lang w:val="en-CA"/>
        </w:rPr>
        <w:t>He wrote:</w:t>
      </w:r>
      <w:r w:rsidR="0043013D" w:rsidRPr="00CF4E9F">
        <w:rPr>
          <w:lang w:val="en-CA"/>
        </w:rPr>
        <w:t xml:space="preserve"> </w:t>
      </w:r>
    </w:p>
    <w:p w14:paraId="73910CDA" w14:textId="1B64562B" w:rsidR="00F47355" w:rsidRPr="00CF4E9F" w:rsidRDefault="00F47355" w:rsidP="00775A18">
      <w:pPr>
        <w:pStyle w:val="Citationenretrait"/>
        <w:rPr>
          <w:szCs w:val="24"/>
          <w:lang w:val="en-CA" w:eastAsia="fr-CA"/>
        </w:rPr>
      </w:pPr>
      <w:r w:rsidRPr="00CF4E9F">
        <w:rPr>
          <w:rFonts w:cs="Arial"/>
          <w:lang w:val="en-CA"/>
        </w:rPr>
        <w:t>[</w:t>
      </w:r>
      <w:r w:rsidRPr="00CF4E9F">
        <w:rPr>
          <w:rFonts w:cs="Arial"/>
          <w:smallCaps/>
          <w:lang w:val="en-CA"/>
        </w:rPr>
        <w:t>translation</w:t>
      </w:r>
      <w:r w:rsidRPr="00CF4E9F">
        <w:rPr>
          <w:rFonts w:cs="Arial"/>
          <w:lang w:val="en-CA"/>
        </w:rPr>
        <w:t>]</w:t>
      </w:r>
    </w:p>
    <w:p w14:paraId="66BE26F6" w14:textId="6C56A64E" w:rsidR="0032484D" w:rsidRPr="00CF4E9F" w:rsidRDefault="0043013D" w:rsidP="00775A18">
      <w:pPr>
        <w:pStyle w:val="Citationenretrait"/>
        <w:rPr>
          <w:lang w:val="en-CA" w:eastAsia="fr-CA"/>
        </w:rPr>
      </w:pPr>
      <w:r w:rsidRPr="00CF4E9F">
        <w:rPr>
          <w:szCs w:val="24"/>
          <w:lang w:val="en-CA" w:eastAsia="fr-CA"/>
        </w:rPr>
        <w:t>[</w:t>
      </w:r>
      <w:bookmarkStart w:id="75" w:name="par50"/>
      <w:r w:rsidRPr="00CF4E9F">
        <w:rPr>
          <w:szCs w:val="24"/>
          <w:lang w:val="en-CA" w:eastAsia="fr-CA"/>
        </w:rPr>
        <w:t>50</w:t>
      </w:r>
      <w:bookmarkEnd w:id="75"/>
      <w:r w:rsidRPr="00CF4E9F">
        <w:rPr>
          <w:szCs w:val="24"/>
          <w:lang w:val="en-CA" w:eastAsia="fr-CA"/>
        </w:rPr>
        <w:t>]</w:t>
      </w:r>
      <w:r w:rsidR="00775A18" w:rsidRPr="00CF4E9F">
        <w:rPr>
          <w:rFonts w:ascii="Times New Roman" w:hAnsi="Times New Roman"/>
          <w:sz w:val="14"/>
          <w:szCs w:val="14"/>
          <w:lang w:val="en-CA" w:eastAsia="fr-CA"/>
        </w:rPr>
        <w:tab/>
      </w:r>
      <w:r w:rsidR="00F47355" w:rsidRPr="00CF4E9F">
        <w:rPr>
          <w:lang w:val="en-CA" w:eastAsia="fr-CA"/>
        </w:rPr>
        <w:t xml:space="preserve">Racial profiling as it is currently defined was unknown in 1990 when </w:t>
      </w:r>
      <w:r w:rsidR="00F47355" w:rsidRPr="00CF4E9F">
        <w:rPr>
          <w:i/>
          <w:lang w:val="en-CA" w:eastAsia="fr-CA"/>
        </w:rPr>
        <w:t>Ladouceur</w:t>
      </w:r>
      <w:r w:rsidR="00F47355" w:rsidRPr="00CF4E9F">
        <w:rPr>
          <w:lang w:val="en-CA" w:eastAsia="fr-CA"/>
        </w:rPr>
        <w:t xml:space="preserve"> was rendered. That judgment plays a central role here because it established the common law rule whose constitutional validity is </w:t>
      </w:r>
      <w:r w:rsidR="00E42C3F">
        <w:rPr>
          <w:lang w:val="en-CA" w:eastAsia="fr-CA"/>
        </w:rPr>
        <w:t xml:space="preserve">now </w:t>
      </w:r>
      <w:r w:rsidR="00F47355" w:rsidRPr="00CF4E9F">
        <w:rPr>
          <w:lang w:val="en-CA" w:eastAsia="fr-CA"/>
        </w:rPr>
        <w:t>being challenged by the applicant.</w:t>
      </w:r>
      <w:r w:rsidRPr="00CF4E9F">
        <w:rPr>
          <w:lang w:val="en-CA" w:eastAsia="fr-CA"/>
        </w:rPr>
        <w:t xml:space="preserve"> </w:t>
      </w:r>
      <w:r w:rsidR="00E42C3F">
        <w:rPr>
          <w:lang w:val="en-CA" w:eastAsia="fr-CA"/>
        </w:rPr>
        <w:t>At most, this key judgment</w:t>
      </w:r>
      <w:r w:rsidR="00A569B3">
        <w:rPr>
          <w:lang w:val="en-CA" w:eastAsia="fr-CA"/>
        </w:rPr>
        <w:t xml:space="preserve"> contains </w:t>
      </w:r>
      <w:r w:rsidR="00A569B3" w:rsidRPr="00A569B3">
        <w:rPr>
          <w:lang w:val="en-CA" w:eastAsia="fr-CA"/>
        </w:rPr>
        <w:t>the following two brief passages</w:t>
      </w:r>
      <w:r w:rsidR="00F47355" w:rsidRPr="00CF4E9F">
        <w:rPr>
          <w:lang w:val="en-CA" w:eastAsia="fr-CA"/>
        </w:rPr>
        <w:t>, the first written by Sopinka</w:t>
      </w:r>
      <w:r w:rsidR="00E42C3F">
        <w:rPr>
          <w:lang w:val="en-CA" w:eastAsia="fr-CA"/>
        </w:rPr>
        <w:t>,</w:t>
      </w:r>
      <w:r w:rsidR="00F47355" w:rsidRPr="00CF4E9F">
        <w:rPr>
          <w:lang w:val="en-CA" w:eastAsia="fr-CA"/>
        </w:rPr>
        <w:t xml:space="preserve"> J. for the minority and the second by Cory</w:t>
      </w:r>
      <w:r w:rsidR="00E42C3F">
        <w:rPr>
          <w:lang w:val="en-CA" w:eastAsia="fr-CA"/>
        </w:rPr>
        <w:t>,</w:t>
      </w:r>
      <w:r w:rsidR="00C26984" w:rsidRPr="00CF4E9F">
        <w:rPr>
          <w:lang w:val="en-CA" w:eastAsia="fr-CA"/>
        </w:rPr>
        <w:t> </w:t>
      </w:r>
      <w:r w:rsidR="00F47355" w:rsidRPr="00CF4E9F">
        <w:rPr>
          <w:lang w:val="en-CA" w:eastAsia="fr-CA"/>
        </w:rPr>
        <w:t>J. for the majority judges of the Court:</w:t>
      </w:r>
    </w:p>
    <w:p w14:paraId="27E99A43" w14:textId="1505763B" w:rsidR="0032484D" w:rsidRPr="00CF4E9F" w:rsidRDefault="00F47355" w:rsidP="00312F44">
      <w:pPr>
        <w:pStyle w:val="Citationenretrait"/>
        <w:ind w:left="1440"/>
        <w:rPr>
          <w:sz w:val="20"/>
          <w:lang w:val="en-CA"/>
        </w:rPr>
      </w:pPr>
      <w:r w:rsidRPr="00CF4E9F">
        <w:rPr>
          <w:sz w:val="20"/>
          <w:lang w:val="en-CA"/>
        </w:rPr>
        <w:t>By contrast, the roving random stop would permit any individual officer to stop any vehicle, at any time, at any place.</w:t>
      </w:r>
      <w:r w:rsidR="00CB75DE" w:rsidRPr="00CF4E9F">
        <w:rPr>
          <w:sz w:val="20"/>
          <w:lang w:val="en-CA"/>
        </w:rPr>
        <w:t xml:space="preserve"> </w:t>
      </w:r>
      <w:r w:rsidRPr="00CF4E9F">
        <w:rPr>
          <w:sz w:val="20"/>
          <w:lang w:val="en-CA"/>
        </w:rPr>
        <w:t>The decision may be based on any whim.</w:t>
      </w:r>
      <w:r w:rsidR="00CB75DE" w:rsidRPr="00CF4E9F">
        <w:rPr>
          <w:sz w:val="20"/>
          <w:lang w:val="en-CA"/>
        </w:rPr>
        <w:t xml:space="preserve"> </w:t>
      </w:r>
      <w:r w:rsidRPr="00CF4E9F">
        <w:rPr>
          <w:sz w:val="20"/>
          <w:lang w:val="en-CA"/>
        </w:rPr>
        <w:t>Individual officers will have different reasons.</w:t>
      </w:r>
      <w:r w:rsidR="00CB75DE" w:rsidRPr="00CF4E9F">
        <w:rPr>
          <w:sz w:val="20"/>
          <w:lang w:val="en-CA"/>
        </w:rPr>
        <w:t xml:space="preserve"> </w:t>
      </w:r>
      <w:r w:rsidRPr="00CF4E9F">
        <w:rPr>
          <w:sz w:val="20"/>
          <w:lang w:val="en-CA"/>
        </w:rPr>
        <w:t>Some may tend to stop younger drivers, others older cars, and so on.</w:t>
      </w:r>
      <w:r w:rsidR="00CB75DE" w:rsidRPr="00CF4E9F">
        <w:rPr>
          <w:sz w:val="20"/>
          <w:lang w:val="en-CA"/>
        </w:rPr>
        <w:t xml:space="preserve"> </w:t>
      </w:r>
      <w:r w:rsidRPr="00CF4E9F">
        <w:rPr>
          <w:sz w:val="20"/>
          <w:u w:val="single"/>
          <w:lang w:val="en-CA"/>
        </w:rPr>
        <w:t>Indeed, as pointed out by Tarnopolsky J.A., racial considerations may be a factor too</w:t>
      </w:r>
      <w:r w:rsidRPr="00CF4E9F">
        <w:rPr>
          <w:sz w:val="20"/>
          <w:lang w:val="en-CA"/>
        </w:rPr>
        <w:t>.</w:t>
      </w:r>
      <w:r w:rsidR="00CB75DE" w:rsidRPr="00CF4E9F">
        <w:rPr>
          <w:sz w:val="20"/>
          <w:lang w:val="en-CA"/>
        </w:rPr>
        <w:t xml:space="preserve"> </w:t>
      </w:r>
      <w:r w:rsidRPr="00CF4E9F">
        <w:rPr>
          <w:sz w:val="20"/>
          <w:lang w:val="en-CA"/>
        </w:rPr>
        <w:t xml:space="preserve">My colleague states that in such circumstances, a </w:t>
      </w:r>
      <w:r w:rsidRPr="00CF4E9F">
        <w:rPr>
          <w:i/>
          <w:sz w:val="20"/>
          <w:lang w:val="en-CA"/>
        </w:rPr>
        <w:t>Charter</w:t>
      </w:r>
      <w:r w:rsidRPr="00CF4E9F">
        <w:rPr>
          <w:sz w:val="20"/>
          <w:lang w:val="en-CA"/>
        </w:rPr>
        <w:t xml:space="preserve"> violation may be made out.</w:t>
      </w:r>
      <w:r w:rsidR="0043013D" w:rsidRPr="00CF4E9F">
        <w:rPr>
          <w:sz w:val="20"/>
          <w:lang w:val="en-CA"/>
        </w:rPr>
        <w:t xml:space="preserve"> </w:t>
      </w:r>
      <w:r w:rsidRPr="00CF4E9F">
        <w:rPr>
          <w:sz w:val="20"/>
          <w:lang w:val="en-CA"/>
        </w:rPr>
        <w:t>If, however, no reason need be given nor is necessary, how will we ever know?</w:t>
      </w:r>
    </w:p>
    <w:p w14:paraId="47CFCF96" w14:textId="72DED750" w:rsidR="0032484D" w:rsidRPr="00CF4E9F" w:rsidRDefault="00F47355" w:rsidP="00B60060">
      <w:pPr>
        <w:pStyle w:val="Citationenretrait"/>
        <w:spacing w:after="0"/>
        <w:ind w:left="1440"/>
        <w:rPr>
          <w:sz w:val="20"/>
          <w:lang w:val="en-CA"/>
        </w:rPr>
      </w:pPr>
      <w:r w:rsidRPr="00CF4E9F">
        <w:rPr>
          <w:sz w:val="20"/>
          <w:lang w:val="en-CA"/>
        </w:rPr>
        <w:t>Finally, it must be shown that the routine check does not so severely trench upon the s. 9 right so as to outweigh the legislative objective.</w:t>
      </w:r>
      <w:r w:rsidR="00187257">
        <w:rPr>
          <w:sz w:val="20"/>
          <w:lang w:val="en-CA"/>
        </w:rPr>
        <w:t xml:space="preserve"> </w:t>
      </w:r>
      <w:r w:rsidRPr="00CF4E9F">
        <w:rPr>
          <w:sz w:val="20"/>
          <w:lang w:val="en-CA"/>
        </w:rPr>
        <w:t>The concern at this stage is the perceived potential for abuse of this power by law enforcement officials.</w:t>
      </w:r>
      <w:r w:rsidR="00CB75DE" w:rsidRPr="00CF4E9F">
        <w:rPr>
          <w:sz w:val="20"/>
          <w:lang w:val="en-CA"/>
        </w:rPr>
        <w:t xml:space="preserve"> </w:t>
      </w:r>
      <w:r w:rsidRPr="00CF4E9F">
        <w:rPr>
          <w:sz w:val="20"/>
          <w:u w:val="single"/>
          <w:lang w:val="en-CA"/>
        </w:rPr>
        <w:t xml:space="preserve">In </w:t>
      </w:r>
      <w:r w:rsidRPr="00CF4E9F">
        <w:rPr>
          <w:sz w:val="20"/>
          <w:u w:val="single"/>
          <w:lang w:val="en-CA"/>
        </w:rPr>
        <w:lastRenderedPageBreak/>
        <w:t>my opinion, these fears are unfounded.</w:t>
      </w:r>
      <w:r w:rsidR="0043013D" w:rsidRPr="00CF4E9F">
        <w:rPr>
          <w:sz w:val="20"/>
          <w:lang w:val="en-CA"/>
        </w:rPr>
        <w:t xml:space="preserve"> </w:t>
      </w:r>
      <w:bookmarkStart w:id="76" w:name="_ftnref32"/>
      <w:r w:rsidRPr="00CF4E9F">
        <w:rPr>
          <w:sz w:val="20"/>
          <w:lang w:val="en-CA"/>
        </w:rPr>
        <w:t>There are mechanisms already in place which prevent abuse.</w:t>
      </w:r>
      <w:bookmarkEnd w:id="76"/>
    </w:p>
    <w:p w14:paraId="0A5B7FC4" w14:textId="221BE518" w:rsidR="0032484D" w:rsidRPr="00CF4E9F" w:rsidRDefault="00F47355" w:rsidP="00B60060">
      <w:pPr>
        <w:spacing w:after="120" w:line="240" w:lineRule="auto"/>
        <w:ind w:left="1426" w:right="720"/>
        <w:jc w:val="right"/>
        <w:rPr>
          <w:rFonts w:cs="Arial"/>
          <w:sz w:val="20"/>
          <w:lang w:val="en-CA" w:eastAsia="fr-CA"/>
        </w:rPr>
      </w:pPr>
      <w:r w:rsidRPr="00CF4E9F">
        <w:rPr>
          <w:rFonts w:cs="Arial"/>
          <w:sz w:val="20"/>
          <w:lang w:val="en-CA" w:eastAsia="fr-CA"/>
        </w:rPr>
        <w:t>[</w:t>
      </w:r>
      <w:r w:rsidR="0094083E">
        <w:rPr>
          <w:rFonts w:cs="Arial"/>
          <w:sz w:val="20"/>
          <w:lang w:val="en-CA" w:eastAsia="fr-CA"/>
        </w:rPr>
        <w:t xml:space="preserve">Underlining </w:t>
      </w:r>
      <w:r w:rsidRPr="00CF4E9F">
        <w:rPr>
          <w:rFonts w:cs="Arial"/>
          <w:sz w:val="20"/>
          <w:lang w:val="en-CA" w:eastAsia="fr-CA"/>
        </w:rPr>
        <w:t>added</w:t>
      </w:r>
      <w:r w:rsidR="0094083E">
        <w:rPr>
          <w:rFonts w:cs="Arial"/>
          <w:sz w:val="20"/>
          <w:lang w:val="en-CA" w:eastAsia="fr-CA"/>
        </w:rPr>
        <w:t xml:space="preserve"> by the trial judge</w:t>
      </w:r>
      <w:r w:rsidRPr="00CF4E9F">
        <w:rPr>
          <w:rFonts w:cs="Arial"/>
          <w:sz w:val="20"/>
          <w:lang w:val="en-CA" w:eastAsia="fr-CA"/>
        </w:rPr>
        <w:t>]</w:t>
      </w:r>
    </w:p>
    <w:p w14:paraId="7341469C" w14:textId="1A5804A3" w:rsidR="0032484D" w:rsidRPr="00CF4E9F" w:rsidRDefault="0043013D" w:rsidP="00F27BB8">
      <w:pPr>
        <w:pStyle w:val="Citationenretrait"/>
        <w:spacing w:after="0"/>
        <w:rPr>
          <w:lang w:val="en-CA" w:eastAsia="fr-CA"/>
        </w:rPr>
      </w:pPr>
      <w:r w:rsidRPr="00CF4E9F">
        <w:rPr>
          <w:lang w:val="en-CA" w:eastAsia="fr-CA"/>
        </w:rPr>
        <w:t>[</w:t>
      </w:r>
      <w:bookmarkStart w:id="77" w:name="par51"/>
      <w:r w:rsidRPr="00CF4E9F">
        <w:rPr>
          <w:lang w:val="en-CA" w:eastAsia="fr-CA"/>
        </w:rPr>
        <w:t>51</w:t>
      </w:r>
      <w:bookmarkEnd w:id="77"/>
      <w:r w:rsidRPr="00CF4E9F">
        <w:rPr>
          <w:lang w:val="en-CA" w:eastAsia="fr-CA"/>
        </w:rPr>
        <w:t>]</w:t>
      </w:r>
      <w:r w:rsidR="004171F3" w:rsidRPr="00CF4E9F">
        <w:rPr>
          <w:rFonts w:ascii="Times New Roman" w:hAnsi="Times New Roman"/>
          <w:lang w:val="en-CA" w:eastAsia="fr-CA"/>
        </w:rPr>
        <w:tab/>
      </w:r>
      <w:r w:rsidR="00F47355" w:rsidRPr="00CF4E9F">
        <w:rPr>
          <w:lang w:val="en-CA" w:eastAsia="fr-CA"/>
        </w:rPr>
        <w:t xml:space="preserve">Read end-to-end, these two passages from </w:t>
      </w:r>
      <w:r w:rsidR="00F47355" w:rsidRPr="00CF4E9F">
        <w:rPr>
          <w:i/>
          <w:lang w:val="en-CA" w:eastAsia="fr-CA"/>
        </w:rPr>
        <w:t>Ladouceur</w:t>
      </w:r>
      <w:r w:rsidR="00F47355" w:rsidRPr="00CF4E9F">
        <w:rPr>
          <w:lang w:val="en-CA" w:eastAsia="fr-CA"/>
        </w:rPr>
        <w:t xml:space="preserve"> shed light on the fact that when the Supreme Court rendered judgment, the risks of racial profiling, while </w:t>
      </w:r>
      <w:r w:rsidR="00942DE9">
        <w:rPr>
          <w:lang w:val="en-CA" w:eastAsia="fr-CA"/>
        </w:rPr>
        <w:t>they may have been sensed</w:t>
      </w:r>
      <w:r w:rsidR="00F47355" w:rsidRPr="00CF4E9F">
        <w:rPr>
          <w:lang w:val="en-CA" w:eastAsia="fr-CA"/>
        </w:rPr>
        <w:t>, were not yet sufficiently known to capture the highest court’s attention.</w:t>
      </w:r>
    </w:p>
    <w:p w14:paraId="02E912D9" w14:textId="55BB203E" w:rsidR="00947D88" w:rsidRPr="00CF4E9F" w:rsidRDefault="00315EA4" w:rsidP="00F27BB8">
      <w:pPr>
        <w:pStyle w:val="Citationenretrait"/>
        <w:spacing w:before="0"/>
        <w:jc w:val="right"/>
        <w:rPr>
          <w:lang w:val="en-CA" w:eastAsia="fr-CA"/>
        </w:rPr>
      </w:pPr>
      <w:r w:rsidRPr="00CF4E9F">
        <w:rPr>
          <w:lang w:val="en-CA" w:eastAsia="fr-CA"/>
        </w:rPr>
        <w:t>[Reference omitted]</w:t>
      </w:r>
    </w:p>
    <w:p w14:paraId="2A3EC8A8" w14:textId="5C6A9864" w:rsidR="0032484D" w:rsidRPr="00CF4E9F" w:rsidRDefault="00F47355" w:rsidP="00FB0B43">
      <w:pPr>
        <w:pStyle w:val="Paragraphe"/>
        <w:spacing w:line="280" w:lineRule="exact"/>
        <w:rPr>
          <w:lang w:val="en-CA"/>
        </w:rPr>
      </w:pPr>
      <w:r w:rsidRPr="00CF4E9F">
        <w:rPr>
          <w:lang w:val="en-CA"/>
        </w:rPr>
        <w:t xml:space="preserve">The AGQ has identified no palpable and </w:t>
      </w:r>
      <w:r w:rsidR="006E7F73">
        <w:rPr>
          <w:lang w:val="en-CA"/>
        </w:rPr>
        <w:t xml:space="preserve">overriding </w:t>
      </w:r>
      <w:r w:rsidRPr="00CF4E9F">
        <w:rPr>
          <w:lang w:val="en-CA"/>
        </w:rPr>
        <w:t xml:space="preserve">error in the judge’s conclusions that led him to state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 xml:space="preserve">“that the social facts and data have varied over time to change the </w:t>
      </w:r>
      <w:r w:rsidR="000938B0">
        <w:rPr>
          <w:lang w:val="en-CA"/>
        </w:rPr>
        <w:t xml:space="preserve">context </w:t>
      </w:r>
      <w:r w:rsidRPr="00CF4E9F">
        <w:rPr>
          <w:lang w:val="en-CA"/>
        </w:rPr>
        <w:t xml:space="preserve">and shift </w:t>
      </w:r>
      <w:r w:rsidR="000938B0">
        <w:rPr>
          <w:lang w:val="en-CA"/>
        </w:rPr>
        <w:t>‘</w:t>
      </w:r>
      <w:r w:rsidRPr="00CF4E9F">
        <w:rPr>
          <w:lang w:val="en-CA"/>
        </w:rPr>
        <w:t>the parameters of the debate</w:t>
      </w:r>
      <w:r w:rsidR="000938B0">
        <w:rPr>
          <w:lang w:val="en-CA"/>
        </w:rPr>
        <w:t>’</w:t>
      </w:r>
      <w:r w:rsidRPr="00CF4E9F">
        <w:rPr>
          <w:lang w:val="en-CA"/>
        </w:rPr>
        <w:t xml:space="preserve"> </w:t>
      </w:r>
      <w:r w:rsidR="00C26984" w:rsidRPr="00CF4E9F">
        <w:rPr>
          <w:lang w:val="en-CA"/>
        </w:rPr>
        <w:t xml:space="preserve">from what </w:t>
      </w:r>
      <w:r w:rsidRPr="00CF4E9F">
        <w:rPr>
          <w:lang w:val="en-CA"/>
        </w:rPr>
        <w:t xml:space="preserve">prevailed when </w:t>
      </w:r>
      <w:r w:rsidRPr="00CF4E9F">
        <w:rPr>
          <w:i/>
          <w:lang w:val="en-CA"/>
        </w:rPr>
        <w:t>Ladouceur</w:t>
      </w:r>
      <w:r w:rsidRPr="00CF4E9F">
        <w:rPr>
          <w:lang w:val="en-CA"/>
        </w:rPr>
        <w:t xml:space="preserve"> was heard”</w:t>
      </w:r>
      <w:r w:rsidR="00C26984" w:rsidRPr="00CF4E9F">
        <w:rPr>
          <w:lang w:val="en-CA"/>
        </w:rPr>
        <w:t>,</w:t>
      </w:r>
      <w:r w:rsidRPr="00CF4E9F">
        <w:rPr>
          <w:rStyle w:val="Appelnotedebasdep"/>
          <w:lang w:val="en-CA"/>
        </w:rPr>
        <w:footnoteReference w:id="142"/>
      </w:r>
      <w:r w:rsidRPr="00CF4E9F">
        <w:rPr>
          <w:lang w:val="en-CA"/>
        </w:rPr>
        <w:t xml:space="preserve"> and that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“racial profiling, in accordance with the parameters that distinguish it from</w:t>
      </w:r>
      <w:r w:rsidR="00187257">
        <w:rPr>
          <w:lang w:val="en-CA"/>
        </w:rPr>
        <w:t xml:space="preserve"> </w:t>
      </w:r>
      <w:r w:rsidRPr="00CF4E9F">
        <w:rPr>
          <w:lang w:val="en-CA"/>
        </w:rPr>
        <w:t xml:space="preserve">racism itself, </w:t>
      </w:r>
      <w:r w:rsidR="00A16CBB">
        <w:rPr>
          <w:lang w:val="en-CA"/>
        </w:rPr>
        <w:t>[</w:t>
      </w:r>
      <w:r w:rsidRPr="00CF4E9F">
        <w:rPr>
          <w:lang w:val="en-CA"/>
        </w:rPr>
        <w:t>...</w:t>
      </w:r>
      <w:r w:rsidR="00A16CBB">
        <w:rPr>
          <w:lang w:val="en-CA"/>
        </w:rPr>
        <w:t>]</w:t>
      </w:r>
      <w:r w:rsidRPr="00CF4E9F">
        <w:rPr>
          <w:lang w:val="en-CA"/>
        </w:rPr>
        <w:t xml:space="preserve"> was unknown by the Supreme Court at the time it decided </w:t>
      </w:r>
      <w:r w:rsidRPr="00CF4E9F">
        <w:rPr>
          <w:i/>
          <w:lang w:val="en-CA"/>
        </w:rPr>
        <w:t>Ladouceur</w:t>
      </w:r>
      <w:r w:rsidRPr="00CF4E9F">
        <w:rPr>
          <w:lang w:val="en-CA"/>
        </w:rPr>
        <w:t>”.</w:t>
      </w:r>
      <w:r w:rsidRPr="00CF4E9F">
        <w:rPr>
          <w:rStyle w:val="Appelnotedebasdep"/>
          <w:lang w:val="en-CA"/>
        </w:rPr>
        <w:footnoteReference w:id="143"/>
      </w:r>
      <w:r w:rsidR="0043013D" w:rsidRPr="00CF4E9F">
        <w:rPr>
          <w:lang w:val="en-CA"/>
        </w:rPr>
        <w:t xml:space="preserve"> </w:t>
      </w:r>
    </w:p>
    <w:p w14:paraId="31259231" w14:textId="449A62B8" w:rsidR="0032484D" w:rsidRPr="00CF4E9F" w:rsidRDefault="00F47355" w:rsidP="00FB0B43">
      <w:pPr>
        <w:pStyle w:val="Paragraphe"/>
        <w:spacing w:line="280" w:lineRule="exact"/>
        <w:rPr>
          <w:szCs w:val="24"/>
          <w:lang w:val="en-CA"/>
        </w:rPr>
      </w:pPr>
      <w:bookmarkStart w:id="78" w:name="_Ref177748306"/>
      <w:r w:rsidRPr="00CF4E9F">
        <w:rPr>
          <w:szCs w:val="24"/>
          <w:lang w:val="en-CA"/>
        </w:rPr>
        <w:t xml:space="preserve">In fact, the judge rightly concluded that the risks of racial profiling, </w:t>
      </w:r>
      <w:r w:rsidR="00E90507">
        <w:rPr>
          <w:szCs w:val="24"/>
          <w:lang w:val="en-CA"/>
        </w:rPr>
        <w:t xml:space="preserve">while </w:t>
      </w:r>
      <w:r w:rsidR="00E05942">
        <w:rPr>
          <w:szCs w:val="24"/>
          <w:lang w:val="en-CA"/>
        </w:rPr>
        <w:t xml:space="preserve">they </w:t>
      </w:r>
      <w:r w:rsidR="00E90507">
        <w:rPr>
          <w:szCs w:val="24"/>
          <w:lang w:val="en-CA"/>
        </w:rPr>
        <w:t xml:space="preserve">may have been sensed </w:t>
      </w:r>
      <w:r w:rsidRPr="00CF4E9F">
        <w:rPr>
          <w:szCs w:val="24"/>
          <w:lang w:val="en-CA"/>
        </w:rPr>
        <w:t xml:space="preserve">at the time, were not </w:t>
      </w:r>
      <w:r w:rsidR="00A16CBB">
        <w:rPr>
          <w:szCs w:val="24"/>
          <w:lang w:val="en-CA"/>
        </w:rPr>
        <w:t xml:space="preserve">yet </w:t>
      </w:r>
      <w:r w:rsidRPr="00CF4E9F">
        <w:rPr>
          <w:szCs w:val="24"/>
          <w:lang w:val="en-CA"/>
        </w:rPr>
        <w:t>sufficiently known.</w:t>
      </w:r>
      <w:r w:rsidR="0043013D" w:rsidRPr="00CF4E9F">
        <w:rPr>
          <w:szCs w:val="24"/>
          <w:lang w:val="en-CA"/>
        </w:rPr>
        <w:t xml:space="preserve"> </w:t>
      </w:r>
      <w:bookmarkEnd w:id="78"/>
      <w:r w:rsidRPr="00CF4E9F">
        <w:rPr>
          <w:szCs w:val="24"/>
          <w:lang w:val="en-CA"/>
        </w:rPr>
        <w:t>He was therefore well founded in re</w:t>
      </w:r>
      <w:r w:rsidR="00C26984" w:rsidRPr="00CF4E9F">
        <w:rPr>
          <w:szCs w:val="24"/>
          <w:lang w:val="en-CA"/>
        </w:rPr>
        <w:t>consider</w:t>
      </w:r>
      <w:r w:rsidRPr="00CF4E9F">
        <w:rPr>
          <w:szCs w:val="24"/>
          <w:lang w:val="en-CA"/>
        </w:rPr>
        <w:t xml:space="preserve">ing </w:t>
      </w:r>
      <w:r w:rsidRPr="00CF4E9F">
        <w:rPr>
          <w:i/>
          <w:szCs w:val="24"/>
          <w:lang w:val="en-CA"/>
        </w:rPr>
        <w:t>Ladouceur</w:t>
      </w:r>
      <w:r w:rsidRPr="00CF4E9F">
        <w:rPr>
          <w:szCs w:val="24"/>
          <w:lang w:val="en-CA"/>
        </w:rPr>
        <w:t xml:space="preserve"> and</w:t>
      </w:r>
      <w:r w:rsidR="00D63A1B">
        <w:rPr>
          <w:szCs w:val="24"/>
          <w:lang w:val="en-CA"/>
        </w:rPr>
        <w:t>, consequently,</w:t>
      </w:r>
      <w:r w:rsidRPr="00CF4E9F">
        <w:rPr>
          <w:szCs w:val="24"/>
          <w:lang w:val="en-CA"/>
        </w:rPr>
        <w:t xml:space="preserve"> the justification of the power to make traffic stops with no required grounds in light of </w:t>
      </w:r>
      <w:r w:rsidR="00162E51">
        <w:rPr>
          <w:szCs w:val="24"/>
          <w:lang w:val="en-CA"/>
        </w:rPr>
        <w:t>s. </w:t>
      </w:r>
      <w:r w:rsidR="001A6AF7" w:rsidRPr="00CF4E9F">
        <w:rPr>
          <w:szCs w:val="24"/>
          <w:lang w:val="en-CA"/>
        </w:rPr>
        <w:t>1</w:t>
      </w:r>
      <w:r w:rsidRPr="00CF4E9F">
        <w:rPr>
          <w:szCs w:val="24"/>
          <w:lang w:val="en-CA"/>
        </w:rPr>
        <w:t xml:space="preserve"> of the </w:t>
      </w:r>
      <w:r w:rsidRPr="00CF4E9F">
        <w:rPr>
          <w:i/>
          <w:szCs w:val="24"/>
          <w:lang w:val="en-CA"/>
        </w:rPr>
        <w:t>Charter</w:t>
      </w:r>
      <w:r w:rsidRPr="00CF4E9F">
        <w:rPr>
          <w:szCs w:val="24"/>
          <w:lang w:val="en-CA"/>
        </w:rPr>
        <w:t>.</w:t>
      </w:r>
      <w:r w:rsidR="00187257">
        <w:rPr>
          <w:szCs w:val="24"/>
          <w:lang w:val="en-CA"/>
        </w:rPr>
        <w:t xml:space="preserve"> </w:t>
      </w:r>
    </w:p>
    <w:p w14:paraId="029C2005" w14:textId="6096C2F8" w:rsidR="004C7B2F" w:rsidRPr="00CF4E9F" w:rsidRDefault="002C66C3" w:rsidP="002E559C">
      <w:pPr>
        <w:pStyle w:val="Titre2"/>
        <w:rPr>
          <w:lang w:val="en-CA"/>
        </w:rPr>
      </w:pPr>
      <w:bookmarkStart w:id="79" w:name="_Toc201822884"/>
      <w:r w:rsidRPr="00CF4E9F">
        <w:rPr>
          <w:lang w:val="en-CA"/>
        </w:rPr>
        <w:t>C</w:t>
      </w:r>
      <w:r w:rsidR="00F47355" w:rsidRPr="00CF4E9F">
        <w:rPr>
          <w:lang w:val="en-CA"/>
        </w:rPr>
        <w:t>.</w:t>
      </w:r>
      <w:r w:rsidR="0032484D" w:rsidRPr="00CF4E9F">
        <w:rPr>
          <w:lang w:val="en-CA"/>
        </w:rPr>
        <w:tab/>
      </w:r>
      <w:r w:rsidR="0066259A" w:rsidRPr="00CF4E9F">
        <w:rPr>
          <w:lang w:val="en-CA"/>
        </w:rPr>
        <w:t xml:space="preserve">Did the judge err in concluding that the challenged </w:t>
      </w:r>
      <w:r w:rsidR="00D95523">
        <w:rPr>
          <w:lang w:val="en-CA"/>
        </w:rPr>
        <w:t>provision</w:t>
      </w:r>
      <w:r w:rsidR="0066259A" w:rsidRPr="00CF4E9F">
        <w:rPr>
          <w:lang w:val="en-CA"/>
        </w:rPr>
        <w:t xml:space="preserve"> unjustifiably infringes </w:t>
      </w:r>
      <w:r w:rsidR="00162E51">
        <w:rPr>
          <w:lang w:val="en-CA"/>
        </w:rPr>
        <w:t>s. </w:t>
      </w:r>
      <w:r w:rsidR="0066259A" w:rsidRPr="00CF4E9F">
        <w:rPr>
          <w:bCs/>
          <w:lang w:val="en-CA"/>
        </w:rPr>
        <w:t xml:space="preserve">9 of the </w:t>
      </w:r>
      <w:r w:rsidR="0066259A" w:rsidRPr="00CF4E9F">
        <w:rPr>
          <w:bCs/>
          <w:i/>
          <w:lang w:val="en-CA"/>
        </w:rPr>
        <w:t>Charter</w:t>
      </w:r>
      <w:r w:rsidR="0066259A" w:rsidRPr="00CF4E9F">
        <w:rPr>
          <w:bCs/>
          <w:lang w:val="en-CA"/>
        </w:rPr>
        <w:t>?</w:t>
      </w:r>
      <w:bookmarkEnd w:id="79"/>
    </w:p>
    <w:p w14:paraId="6EA15E4F" w14:textId="1E09E40C" w:rsidR="00D6651F" w:rsidRPr="00CF4E9F" w:rsidRDefault="0043013D" w:rsidP="00FB0B43">
      <w:pPr>
        <w:pStyle w:val="Titre3"/>
        <w:spacing w:line="280" w:lineRule="exact"/>
        <w:rPr>
          <w:lang w:val="en-CA"/>
        </w:rPr>
      </w:pPr>
      <w:bookmarkStart w:id="80" w:name="_Toc201822885"/>
      <w:r w:rsidRPr="00CF4E9F">
        <w:rPr>
          <w:lang w:val="en-CA"/>
        </w:rPr>
        <w:t>1.</w:t>
      </w:r>
      <w:r w:rsidRPr="00CF4E9F">
        <w:rPr>
          <w:lang w:val="en-CA"/>
        </w:rPr>
        <w:tab/>
      </w:r>
      <w:r w:rsidR="0054771E" w:rsidRPr="00CF4E9F">
        <w:rPr>
          <w:lang w:val="en-CA"/>
        </w:rPr>
        <w:t>Infringement</w:t>
      </w:r>
      <w:bookmarkEnd w:id="80"/>
    </w:p>
    <w:p w14:paraId="7048B361" w14:textId="5BA4E4D8" w:rsidR="00211F21" w:rsidRPr="00CF4E9F" w:rsidRDefault="001A6AF7" w:rsidP="00FB0B43">
      <w:pPr>
        <w:pStyle w:val="Paragraphe"/>
        <w:spacing w:line="280" w:lineRule="exact"/>
        <w:rPr>
          <w:lang w:val="en-CA"/>
        </w:rPr>
      </w:pPr>
      <w:bookmarkStart w:id="81" w:name="_Ref178072375"/>
      <w:r w:rsidRPr="00CF4E9F">
        <w:rPr>
          <w:shd w:val="clear" w:color="auto" w:fill="FFFFFF"/>
          <w:lang w:val="en-CA"/>
        </w:rPr>
        <w:t xml:space="preserve">Like the Supreme Court in </w:t>
      </w:r>
      <w:r w:rsidRPr="00CF4E9F">
        <w:rPr>
          <w:i/>
          <w:shd w:val="clear" w:color="auto" w:fill="FFFFFF"/>
          <w:lang w:val="en-CA"/>
        </w:rPr>
        <w:t>Ladouceur</w:t>
      </w:r>
      <w:r w:rsidRPr="00CF4E9F">
        <w:rPr>
          <w:shd w:val="clear" w:color="auto" w:fill="FFFFFF"/>
          <w:lang w:val="en-CA"/>
        </w:rPr>
        <w:t xml:space="preserve">, the judge concluded that the power to make traffic stops with no required grounds violates the </w:t>
      </w:r>
      <w:r w:rsidR="00DE2019" w:rsidRPr="00CF4E9F">
        <w:rPr>
          <w:lang w:val="en-CA"/>
        </w:rPr>
        <w:t xml:space="preserve">right not to be arbitrarily detained </w:t>
      </w:r>
      <w:r w:rsidRPr="00CF4E9F">
        <w:rPr>
          <w:shd w:val="clear" w:color="auto" w:fill="FFFFFF"/>
          <w:lang w:val="en-CA"/>
        </w:rPr>
        <w:t xml:space="preserve">guaranteed by </w:t>
      </w:r>
      <w:r w:rsidR="00162E51">
        <w:rPr>
          <w:shd w:val="clear" w:color="auto" w:fill="FFFFFF"/>
          <w:lang w:val="en-CA"/>
        </w:rPr>
        <w:t>s. </w:t>
      </w:r>
      <w:r w:rsidRPr="00CF4E9F">
        <w:rPr>
          <w:iCs/>
          <w:shd w:val="clear" w:color="auto" w:fill="FFFFFF"/>
          <w:lang w:val="en-CA"/>
        </w:rPr>
        <w:t xml:space="preserve">9 of the </w:t>
      </w:r>
      <w:r w:rsidRPr="00CF4E9F">
        <w:rPr>
          <w:i/>
          <w:iCs/>
          <w:shd w:val="clear" w:color="auto" w:fill="FFFFFF"/>
          <w:lang w:val="en-CA"/>
        </w:rPr>
        <w:t>Charter</w:t>
      </w:r>
      <w:r w:rsidRPr="00CF4E9F">
        <w:rPr>
          <w:iCs/>
          <w:shd w:val="clear" w:color="auto" w:fill="FFFFFF"/>
          <w:lang w:val="en-CA"/>
        </w:rPr>
        <w:t>.</w:t>
      </w:r>
      <w:r w:rsidRPr="00CF4E9F">
        <w:rPr>
          <w:rStyle w:val="Appelnotedebasdep"/>
          <w:shd w:val="clear" w:color="auto" w:fill="FFFFFF"/>
          <w:lang w:val="en-CA"/>
        </w:rPr>
        <w:footnoteReference w:id="144"/>
      </w:r>
      <w:r w:rsidR="0043013D" w:rsidRPr="00CF4E9F">
        <w:rPr>
          <w:shd w:val="clear" w:color="auto" w:fill="FFFFFF"/>
          <w:lang w:val="en-CA"/>
        </w:rPr>
        <w:t xml:space="preserve"> </w:t>
      </w:r>
      <w:r w:rsidRPr="00CF4E9F">
        <w:rPr>
          <w:rFonts w:cs="Arial"/>
          <w:color w:val="000000"/>
          <w:lang w:val="en-CA"/>
        </w:rPr>
        <w:t>He noted that, according to the case law,</w:t>
      </w:r>
      <w:r w:rsidRPr="00CF4E9F">
        <w:rPr>
          <w:rStyle w:val="Appelnotedebasdep"/>
          <w:shd w:val="clear" w:color="auto" w:fill="FFFFFF"/>
          <w:lang w:val="en-CA"/>
        </w:rPr>
        <w:footnoteReference w:id="145"/>
      </w:r>
      <w:r w:rsidRPr="00CF4E9F">
        <w:rPr>
          <w:color w:val="000000"/>
          <w:shd w:val="clear" w:color="auto" w:fill="FFFFFF"/>
          <w:lang w:val="en-CA"/>
        </w:rPr>
        <w:t xml:space="preserve"> intercepting a motor vehicle and ordering the driver to stop for verification is tantamount to forcibly depriving the driver of liberty to the extent that </w:t>
      </w:r>
      <w:r w:rsidR="00343F08">
        <w:rPr>
          <w:color w:val="000000"/>
          <w:shd w:val="clear" w:color="auto" w:fill="FFFFFF"/>
          <w:lang w:val="en-CA"/>
        </w:rPr>
        <w:t xml:space="preserve">penal </w:t>
      </w:r>
      <w:r w:rsidRPr="00CF4E9F">
        <w:rPr>
          <w:color w:val="000000"/>
          <w:shd w:val="clear" w:color="auto" w:fill="FFFFFF"/>
          <w:lang w:val="en-CA"/>
        </w:rPr>
        <w:t>liability is incurred if the driver refuses to comply.</w:t>
      </w:r>
      <w:r w:rsidRPr="00CF4E9F">
        <w:rPr>
          <w:rStyle w:val="Appelnotedebasdep"/>
          <w:rFonts w:cs="Arial"/>
          <w:color w:val="000000"/>
          <w:lang w:val="en-CA"/>
        </w:rPr>
        <w:footnoteReference w:id="146"/>
      </w:r>
      <w:r w:rsidR="0043013D" w:rsidRPr="00CF4E9F">
        <w:rPr>
          <w:rFonts w:cs="Arial"/>
          <w:color w:val="000000"/>
          <w:lang w:val="en-CA"/>
        </w:rPr>
        <w:t xml:space="preserve"> </w:t>
      </w:r>
      <w:r w:rsidRPr="00CF4E9F">
        <w:rPr>
          <w:rFonts w:cs="Arial"/>
          <w:color w:val="000000"/>
          <w:lang w:val="en-CA"/>
        </w:rPr>
        <w:t xml:space="preserve">Consequently, the judge determined that the stop authorized under </w:t>
      </w:r>
      <w:r w:rsidR="00162E51">
        <w:rPr>
          <w:rFonts w:cs="Arial"/>
          <w:color w:val="000000"/>
          <w:lang w:val="en-CA"/>
        </w:rPr>
        <w:t>s. </w:t>
      </w:r>
      <w:r w:rsidRPr="00CF4E9F">
        <w:rPr>
          <w:shd w:val="clear" w:color="auto" w:fill="FFFFFF"/>
          <w:lang w:val="en-CA"/>
        </w:rPr>
        <w:t>636</w:t>
      </w:r>
      <w:r w:rsidR="0030762F" w:rsidRPr="0030762F">
        <w:rPr>
          <w:i/>
          <w:shd w:val="clear" w:color="auto" w:fill="FFFFFF"/>
          <w:lang w:val="en-CA"/>
        </w:rPr>
        <w:t> HSC</w:t>
      </w:r>
      <w:r w:rsidRPr="00CF4E9F">
        <w:rPr>
          <w:shd w:val="clear" w:color="auto" w:fill="FFFFFF"/>
          <w:lang w:val="en-CA"/>
        </w:rPr>
        <w:t xml:space="preserve"> was a form of detention in that </w:t>
      </w:r>
      <w:r w:rsidRPr="00CF4E9F">
        <w:rPr>
          <w:rFonts w:cs="Arial"/>
          <w:shd w:val="clear" w:color="auto" w:fill="FFFFFF"/>
          <w:lang w:val="en-CA"/>
        </w:rPr>
        <w:t>[</w:t>
      </w:r>
      <w:r w:rsidRPr="00CF4E9F">
        <w:rPr>
          <w:rFonts w:cs="Arial"/>
          <w:smallCaps/>
          <w:shd w:val="clear" w:color="auto" w:fill="FFFFFF"/>
          <w:lang w:val="en-CA"/>
        </w:rPr>
        <w:t>translation</w:t>
      </w:r>
      <w:r w:rsidRPr="00CF4E9F">
        <w:rPr>
          <w:rFonts w:cs="Arial"/>
          <w:shd w:val="clear" w:color="auto" w:fill="FFFFFF"/>
          <w:lang w:val="en-CA"/>
        </w:rPr>
        <w:t>]</w:t>
      </w:r>
      <w:r w:rsidR="00F8437E">
        <w:rPr>
          <w:shd w:val="clear" w:color="auto" w:fill="FFFFFF"/>
          <w:lang w:val="en-CA"/>
        </w:rPr>
        <w:t> </w:t>
      </w:r>
      <w:r w:rsidRPr="00CF4E9F">
        <w:rPr>
          <w:shd w:val="clear" w:color="auto" w:fill="FFFFFF"/>
          <w:lang w:val="en-CA"/>
        </w:rPr>
        <w:t>“there were serious legal consequences to not complying”.</w:t>
      </w:r>
      <w:r w:rsidRPr="00CF4E9F">
        <w:rPr>
          <w:rStyle w:val="Appelnotedebasdep"/>
          <w:rFonts w:cs="Arial"/>
          <w:szCs w:val="24"/>
          <w:shd w:val="clear" w:color="auto" w:fill="FFFFFF"/>
          <w:lang w:val="en-CA"/>
        </w:rPr>
        <w:footnoteReference w:id="147"/>
      </w:r>
      <w:r w:rsidR="0043013D" w:rsidRPr="00CF4E9F">
        <w:rPr>
          <w:shd w:val="clear" w:color="auto" w:fill="FFFFFF"/>
          <w:lang w:val="en-CA"/>
        </w:rPr>
        <w:t xml:space="preserve"> </w:t>
      </w:r>
      <w:r w:rsidRPr="00CF4E9F">
        <w:rPr>
          <w:shd w:val="clear" w:color="auto" w:fill="FFFFFF"/>
          <w:lang w:val="en-CA"/>
        </w:rPr>
        <w:t xml:space="preserve">He also agreed with the Supreme Court’s position in </w:t>
      </w:r>
      <w:r w:rsidRPr="00CF4E9F">
        <w:rPr>
          <w:i/>
          <w:shd w:val="clear" w:color="auto" w:fill="FFFFFF"/>
          <w:lang w:val="en-CA"/>
        </w:rPr>
        <w:lastRenderedPageBreak/>
        <w:t>Ladouceur</w:t>
      </w:r>
      <w:r w:rsidRPr="00CF4E9F">
        <w:rPr>
          <w:shd w:val="clear" w:color="auto" w:fill="FFFFFF"/>
          <w:lang w:val="en-CA"/>
        </w:rPr>
        <w:t xml:space="preserve"> that th</w:t>
      </w:r>
      <w:r w:rsidR="005459C4">
        <w:rPr>
          <w:shd w:val="clear" w:color="auto" w:fill="FFFFFF"/>
          <w:lang w:val="en-CA"/>
        </w:rPr>
        <w:t>is</w:t>
      </w:r>
      <w:r w:rsidRPr="00CF4E9F">
        <w:rPr>
          <w:shd w:val="clear" w:color="auto" w:fill="FFFFFF"/>
          <w:lang w:val="en-CA"/>
        </w:rPr>
        <w:t xml:space="preserve"> detention </w:t>
      </w:r>
      <w:r w:rsidR="005459C4">
        <w:rPr>
          <w:shd w:val="clear" w:color="auto" w:fill="FFFFFF"/>
          <w:lang w:val="en-CA"/>
        </w:rPr>
        <w:t>is</w:t>
      </w:r>
      <w:r w:rsidR="005459C4" w:rsidRPr="00CF4E9F">
        <w:rPr>
          <w:shd w:val="clear" w:color="auto" w:fill="FFFFFF"/>
          <w:lang w:val="en-CA"/>
        </w:rPr>
        <w:t xml:space="preserve"> </w:t>
      </w:r>
      <w:r w:rsidRPr="00CF4E9F">
        <w:rPr>
          <w:shd w:val="clear" w:color="auto" w:fill="FFFFFF"/>
          <w:lang w:val="en-CA"/>
        </w:rPr>
        <w:t>arbitrary.</w:t>
      </w:r>
      <w:r w:rsidR="0043013D" w:rsidRPr="00CF4E9F">
        <w:rPr>
          <w:shd w:val="clear" w:color="auto" w:fill="FFFFFF"/>
          <w:lang w:val="en-CA"/>
        </w:rPr>
        <w:t xml:space="preserve"> </w:t>
      </w:r>
      <w:r w:rsidRPr="00CF4E9F">
        <w:rPr>
          <w:shd w:val="clear" w:color="auto" w:fill="FFFFFF"/>
          <w:lang w:val="en-CA"/>
        </w:rPr>
        <w:t xml:space="preserve">Because there is no criterion to guide police </w:t>
      </w:r>
      <w:r w:rsidR="00866FF9">
        <w:rPr>
          <w:shd w:val="clear" w:color="auto" w:fill="FFFFFF"/>
          <w:lang w:val="en-CA"/>
        </w:rPr>
        <w:t xml:space="preserve">officers </w:t>
      </w:r>
      <w:r w:rsidRPr="00CF4E9F">
        <w:rPr>
          <w:shd w:val="clear" w:color="auto" w:fill="FFFFFF"/>
          <w:lang w:val="en-CA"/>
        </w:rPr>
        <w:t xml:space="preserve">when selecting </w:t>
      </w:r>
      <w:r w:rsidR="0095208B">
        <w:rPr>
          <w:shd w:val="clear" w:color="auto" w:fill="FFFFFF"/>
          <w:lang w:val="en-CA"/>
        </w:rPr>
        <w:t xml:space="preserve">which </w:t>
      </w:r>
      <w:r w:rsidRPr="00CF4E9F">
        <w:rPr>
          <w:shd w:val="clear" w:color="auto" w:fill="FFFFFF"/>
          <w:lang w:val="en-CA"/>
        </w:rPr>
        <w:t>drivers to stop, this choice is left entirely to their discretion.</w:t>
      </w:r>
      <w:r w:rsidR="0043013D" w:rsidRPr="00CF4E9F">
        <w:rPr>
          <w:shd w:val="clear" w:color="auto" w:fill="FFFFFF"/>
          <w:lang w:val="en-CA"/>
        </w:rPr>
        <w:t xml:space="preserve"> </w:t>
      </w:r>
      <w:bookmarkStart w:id="83" w:name="_Hlk177572026"/>
      <w:bookmarkEnd w:id="81"/>
      <w:r w:rsidR="006B109D">
        <w:rPr>
          <w:lang w:val="en-CA"/>
        </w:rPr>
        <w:t>In that regard</w:t>
      </w:r>
      <w:r w:rsidRPr="00CF4E9F">
        <w:rPr>
          <w:lang w:val="en-CA"/>
        </w:rPr>
        <w:t>, “</w:t>
      </w:r>
      <w:r w:rsidRPr="00CF4E9F">
        <w:rPr>
          <w:rFonts w:cs="Arial"/>
          <w:lang w:val="en-CA"/>
        </w:rPr>
        <w:t>[</w:t>
      </w:r>
      <w:r w:rsidRPr="00CF4E9F">
        <w:rPr>
          <w:lang w:val="en-CA"/>
        </w:rPr>
        <w:t>a</w:t>
      </w:r>
      <w:r w:rsidRPr="00CF4E9F">
        <w:rPr>
          <w:rFonts w:cs="Arial"/>
          <w:lang w:val="en-CA"/>
        </w:rPr>
        <w:t>]</w:t>
      </w:r>
      <w:r w:rsidRPr="00CF4E9F">
        <w:rPr>
          <w:lang w:val="en-CA"/>
        </w:rPr>
        <w:t xml:space="preserve"> discretion is arbitrary if there are no criteria, express or implied, which govern its exercise”.</w:t>
      </w:r>
      <w:r w:rsidRPr="00CF4E9F">
        <w:rPr>
          <w:rStyle w:val="Appelnotedebasdep"/>
          <w:lang w:val="en-CA"/>
        </w:rPr>
        <w:footnoteReference w:id="148"/>
      </w:r>
      <w:r w:rsidR="00790E46" w:rsidRPr="00CF4E9F">
        <w:rPr>
          <w:lang w:val="en-CA"/>
        </w:rPr>
        <w:t xml:space="preserve"> </w:t>
      </w:r>
    </w:p>
    <w:p w14:paraId="5A920209" w14:textId="67CF10D1" w:rsidR="00211F21" w:rsidRPr="00CF4E9F" w:rsidRDefault="001A6AF7" w:rsidP="00FB0B43">
      <w:pPr>
        <w:pStyle w:val="Paragraphe"/>
        <w:spacing w:line="280" w:lineRule="exact"/>
        <w:rPr>
          <w:shd w:val="clear" w:color="auto" w:fill="FFFFFF"/>
          <w:lang w:val="en-CA"/>
        </w:rPr>
      </w:pPr>
      <w:bookmarkStart w:id="84" w:name="_Ref178072381"/>
      <w:bookmarkStart w:id="85" w:name="_Hlk177571150"/>
      <w:bookmarkEnd w:id="83"/>
      <w:r w:rsidRPr="00CF4E9F">
        <w:rPr>
          <w:lang w:val="en-CA"/>
        </w:rPr>
        <w:t xml:space="preserve">The AGQ does not challenge the judge’s conclusion on the infringement of </w:t>
      </w:r>
      <w:r w:rsidR="00162E51">
        <w:rPr>
          <w:lang w:val="en-CA"/>
        </w:rPr>
        <w:t>s. </w:t>
      </w:r>
      <w:r w:rsidR="00345AD9" w:rsidRPr="00CF4E9F">
        <w:rPr>
          <w:lang w:val="en-CA"/>
        </w:rPr>
        <w:t xml:space="preserve">9 of the </w:t>
      </w:r>
      <w:r w:rsidR="00345AD9" w:rsidRPr="00CF4E9F">
        <w:rPr>
          <w:i/>
          <w:lang w:val="en-CA"/>
        </w:rPr>
        <w:t>Charter</w:t>
      </w:r>
      <w:r w:rsidR="00345AD9" w:rsidRPr="00CF4E9F">
        <w:rPr>
          <w:lang w:val="en-CA"/>
        </w:rPr>
        <w:t>.</w:t>
      </w:r>
      <w:r w:rsidR="00802FC9" w:rsidRPr="00CF4E9F">
        <w:rPr>
          <w:lang w:val="en-CA"/>
        </w:rPr>
        <w:t xml:space="preserve"> </w:t>
      </w:r>
      <w:r w:rsidRPr="00CF4E9F">
        <w:rPr>
          <w:lang w:val="en-CA"/>
        </w:rPr>
        <w:t xml:space="preserve">There is </w:t>
      </w:r>
      <w:r w:rsidR="002C66C3" w:rsidRPr="00CF4E9F">
        <w:rPr>
          <w:lang w:val="en-CA"/>
        </w:rPr>
        <w:t xml:space="preserve">therefore </w:t>
      </w:r>
      <w:r w:rsidRPr="00CF4E9F">
        <w:rPr>
          <w:lang w:val="en-CA"/>
        </w:rPr>
        <w:t>no need to discuss this any further.</w:t>
      </w:r>
      <w:r w:rsidR="00802FC9" w:rsidRPr="00CF4E9F">
        <w:rPr>
          <w:lang w:val="en-CA"/>
        </w:rPr>
        <w:t xml:space="preserve"> </w:t>
      </w:r>
      <w:bookmarkEnd w:id="84"/>
      <w:r w:rsidRPr="00CF4E9F">
        <w:rPr>
          <w:lang w:val="en-CA"/>
        </w:rPr>
        <w:t xml:space="preserve">The infringement </w:t>
      </w:r>
      <w:r w:rsidR="00383179" w:rsidRPr="00CF4E9F">
        <w:rPr>
          <w:lang w:val="en-CA"/>
        </w:rPr>
        <w:t>has been</w:t>
      </w:r>
      <w:r w:rsidRPr="00CF4E9F">
        <w:rPr>
          <w:lang w:val="en-CA"/>
        </w:rPr>
        <w:t xml:space="preserve"> admitted and the Court must determine whether it is justified under </w:t>
      </w:r>
      <w:r w:rsidR="00162E51">
        <w:rPr>
          <w:lang w:val="en-CA"/>
        </w:rPr>
        <w:t>s. </w:t>
      </w:r>
      <w:r w:rsidRPr="00CF4E9F">
        <w:rPr>
          <w:lang w:val="en-CA"/>
        </w:rPr>
        <w:t>1.</w:t>
      </w:r>
    </w:p>
    <w:p w14:paraId="2707730A" w14:textId="10DB3145" w:rsidR="00D6651F" w:rsidRPr="00CF4E9F" w:rsidRDefault="0043013D" w:rsidP="00FB0B43">
      <w:pPr>
        <w:pStyle w:val="Titre3"/>
        <w:spacing w:line="280" w:lineRule="exact"/>
        <w:rPr>
          <w:lang w:val="en-CA"/>
        </w:rPr>
      </w:pPr>
      <w:bookmarkStart w:id="86" w:name="_Toc201822886"/>
      <w:bookmarkEnd w:id="85"/>
      <w:r w:rsidRPr="00CF4E9F">
        <w:rPr>
          <w:lang w:val="en-CA"/>
        </w:rPr>
        <w:t>2.</w:t>
      </w:r>
      <w:r w:rsidRPr="00CF4E9F">
        <w:rPr>
          <w:lang w:val="en-CA"/>
        </w:rPr>
        <w:tab/>
      </w:r>
      <w:r w:rsidR="001A6AF7" w:rsidRPr="00CF4E9F">
        <w:rPr>
          <w:lang w:val="en-CA"/>
        </w:rPr>
        <w:t>Justification of the infringement</w:t>
      </w:r>
      <w:bookmarkEnd w:id="86"/>
      <w:r w:rsidR="001A6AF7" w:rsidRPr="00CF4E9F">
        <w:rPr>
          <w:lang w:val="en-CA"/>
        </w:rPr>
        <w:t xml:space="preserve"> </w:t>
      </w:r>
    </w:p>
    <w:p w14:paraId="2E64F906" w14:textId="23D86C85" w:rsidR="00211F21" w:rsidRPr="00CF4E9F" w:rsidRDefault="001A6AF7" w:rsidP="00FB0B43">
      <w:pPr>
        <w:pStyle w:val="Paragraphe"/>
        <w:spacing w:line="280" w:lineRule="exact"/>
        <w:rPr>
          <w:lang w:val="en-CA"/>
        </w:rPr>
      </w:pPr>
      <w:r w:rsidRPr="00CF4E9F">
        <w:rPr>
          <w:i/>
          <w:lang w:val="en-CA"/>
        </w:rPr>
        <w:t>R. v. Oakes</w:t>
      </w:r>
      <w:r w:rsidRPr="00CF4E9F">
        <w:rPr>
          <w:rStyle w:val="Appelnotedebasdep"/>
          <w:lang w:val="en-CA"/>
        </w:rPr>
        <w:footnoteReference w:id="149"/>
      </w:r>
      <w:r w:rsidRPr="00CF4E9F">
        <w:rPr>
          <w:lang w:val="en-CA"/>
        </w:rPr>
        <w:t xml:space="preserve"> sets out the test to determine whether a </w:t>
      </w:r>
      <w:r w:rsidRPr="00CF4E9F">
        <w:rPr>
          <w:i/>
          <w:lang w:val="en-CA"/>
        </w:rPr>
        <w:t>Charter</w:t>
      </w:r>
      <w:r w:rsidRPr="00CF4E9F">
        <w:rPr>
          <w:lang w:val="en-CA"/>
        </w:rPr>
        <w:t xml:space="preserve"> violation is justified in a free and democratic society.</w:t>
      </w:r>
      <w:r w:rsidR="0043013D" w:rsidRPr="00CF4E9F">
        <w:rPr>
          <w:lang w:val="en-CA"/>
        </w:rPr>
        <w:t xml:space="preserve"> </w:t>
      </w:r>
      <w:r w:rsidR="00E91452" w:rsidRPr="00CF4E9F">
        <w:rPr>
          <w:lang w:val="en-CA"/>
        </w:rPr>
        <w:t xml:space="preserve">This test </w:t>
      </w:r>
      <w:r w:rsidRPr="00CF4E9F">
        <w:rPr>
          <w:lang w:val="en-CA"/>
        </w:rPr>
        <w:t xml:space="preserve">was recently summarized </w:t>
      </w:r>
      <w:r w:rsidR="009F3261" w:rsidRPr="00CF4E9F">
        <w:rPr>
          <w:lang w:val="en-CA"/>
        </w:rPr>
        <w:t xml:space="preserve">as follows </w:t>
      </w:r>
      <w:r w:rsidRPr="00CF4E9F">
        <w:rPr>
          <w:lang w:val="en-CA"/>
        </w:rPr>
        <w:t xml:space="preserve">by the Supreme Court in </w:t>
      </w:r>
      <w:r w:rsidRPr="00CF4E9F">
        <w:rPr>
          <w:i/>
          <w:lang w:val="en-CA"/>
        </w:rPr>
        <w:t>R. v. Ndhlovu</w:t>
      </w:r>
      <w:r w:rsidRPr="00CF4E9F">
        <w:rPr>
          <w:lang w:val="en-CA"/>
        </w:rPr>
        <w:t>:</w:t>
      </w:r>
    </w:p>
    <w:p w14:paraId="72B22847" w14:textId="1722AD2B" w:rsidR="00211F21" w:rsidRPr="00CF4E9F" w:rsidRDefault="0043013D" w:rsidP="00211F21">
      <w:pPr>
        <w:pStyle w:val="Citationenretrait"/>
        <w:rPr>
          <w:rFonts w:cs="Arial"/>
          <w:lang w:val="en-CA"/>
        </w:rPr>
      </w:pPr>
      <w:r w:rsidRPr="00CF4E9F">
        <w:rPr>
          <w:rFonts w:cs="Arial"/>
          <w:lang w:val="en-CA"/>
        </w:rPr>
        <w:t>[119]</w:t>
      </w:r>
      <w:r w:rsidRPr="00CF4E9F">
        <w:rPr>
          <w:rFonts w:cs="Arial"/>
          <w:lang w:val="en-CA"/>
        </w:rPr>
        <w:tab/>
      </w:r>
      <w:r w:rsidR="001A6AF7" w:rsidRPr="00CF4E9F">
        <w:rPr>
          <w:rFonts w:cs="Arial"/>
          <w:lang w:val="en-CA"/>
        </w:rPr>
        <w:t xml:space="preserve"> A breach of the </w:t>
      </w:r>
      <w:r w:rsidR="001A6AF7" w:rsidRPr="00CF4E9F">
        <w:rPr>
          <w:rFonts w:cs="Arial"/>
          <w:i/>
          <w:lang w:val="en-CA"/>
        </w:rPr>
        <w:t>Charter</w:t>
      </w:r>
      <w:r w:rsidR="001A6AF7" w:rsidRPr="00CF4E9F">
        <w:rPr>
          <w:rFonts w:cs="Arial"/>
          <w:lang w:val="en-CA"/>
        </w:rPr>
        <w:t xml:space="preserve"> is justified under s. 1 when the challenged law has a “pressing and substantial object and . . . the means chosen are proportional to that object” (</w:t>
      </w:r>
      <w:r w:rsidR="001A6AF7" w:rsidRPr="00CF4E9F">
        <w:rPr>
          <w:rFonts w:cs="Arial"/>
          <w:i/>
          <w:lang w:val="en-CA"/>
        </w:rPr>
        <w:t>Carter</w:t>
      </w:r>
      <w:r w:rsidR="001A6AF7" w:rsidRPr="00CF4E9F">
        <w:rPr>
          <w:rFonts w:cs="Arial"/>
          <w:lang w:val="en-CA"/>
        </w:rPr>
        <w:t>, at para.</w:t>
      </w:r>
      <w:r w:rsidRPr="00CF4E9F">
        <w:rPr>
          <w:rFonts w:cs="Arial"/>
          <w:lang w:val="en-CA"/>
        </w:rPr>
        <w:t xml:space="preserve"> 94). </w:t>
      </w:r>
      <w:r w:rsidR="001A6AF7" w:rsidRPr="00CF4E9F">
        <w:rPr>
          <w:rFonts w:cs="Arial"/>
          <w:lang w:val="en-CA"/>
        </w:rPr>
        <w:t>The law is proportionate where the means adopted are rationally connected to the law’s objective, minimally impairing of the right in question, and the law’s salutary effects outweigh its deleterious effects (</w:t>
      </w:r>
      <w:r w:rsidR="001A6AF7" w:rsidRPr="00CF4E9F">
        <w:rPr>
          <w:rFonts w:cs="Arial"/>
          <w:i/>
          <w:lang w:val="en-CA"/>
        </w:rPr>
        <w:t>R.</w:t>
      </w:r>
      <w:r w:rsidR="005154B8">
        <w:rPr>
          <w:rFonts w:cs="Arial"/>
          <w:i/>
          <w:lang w:val="en-CA"/>
        </w:rPr>
        <w:t> </w:t>
      </w:r>
      <w:r w:rsidR="001A6AF7" w:rsidRPr="00CF4E9F">
        <w:rPr>
          <w:rFonts w:cs="Arial"/>
          <w:i/>
          <w:lang w:val="en-CA"/>
        </w:rPr>
        <w:t>v. Oakes,</w:t>
      </w:r>
      <w:r w:rsidR="001A6AF7" w:rsidRPr="00CF4E9F">
        <w:rPr>
          <w:rFonts w:cs="Arial"/>
          <w:lang w:val="en-CA"/>
        </w:rPr>
        <w:t xml:space="preserve"> [1986] 1 S.C.R.</w:t>
      </w:r>
      <w:r w:rsidRPr="00CF4E9F">
        <w:rPr>
          <w:rFonts w:cs="Arial"/>
          <w:lang w:val="en-CA"/>
        </w:rPr>
        <w:t xml:space="preserve"> </w:t>
      </w:r>
      <w:r w:rsidR="001A6AF7" w:rsidRPr="00CF4E9F">
        <w:rPr>
          <w:rFonts w:cs="Arial"/>
          <w:lang w:val="en-CA"/>
        </w:rPr>
        <w:t>103, at pp. 136</w:t>
      </w:r>
      <w:r w:rsidR="001A6AF7" w:rsidRPr="00CF4E9F">
        <w:rPr>
          <w:rFonts w:ascii="Cambria Math" w:hAnsi="Cambria Math" w:cs="Cambria Math"/>
          <w:lang w:val="en-CA"/>
        </w:rPr>
        <w:t>‑</w:t>
      </w:r>
      <w:r w:rsidR="001A6AF7" w:rsidRPr="00CF4E9F">
        <w:rPr>
          <w:rFonts w:cs="Arial"/>
          <w:lang w:val="en-CA"/>
        </w:rPr>
        <w:t>140).</w:t>
      </w:r>
      <w:r w:rsidR="005C6060" w:rsidRPr="00CF4E9F">
        <w:rPr>
          <w:rFonts w:cs="Arial"/>
          <w:lang w:val="en-CA"/>
        </w:rPr>
        <w:t xml:space="preserve"> </w:t>
      </w:r>
      <w:r w:rsidR="001A6AF7" w:rsidRPr="00CF4E9F">
        <w:rPr>
          <w:rFonts w:cs="Arial"/>
          <w:lang w:val="en-CA"/>
        </w:rPr>
        <w:t>The focus of the analysis is on the infringing measures, not on the overall legislative scheme.</w:t>
      </w:r>
      <w:r w:rsidR="005C4ED2">
        <w:rPr>
          <w:rFonts w:cs="Arial"/>
          <w:lang w:val="en-CA"/>
        </w:rPr>
        <w:t xml:space="preserve"> […]</w:t>
      </w:r>
      <w:r w:rsidRPr="00CF4E9F">
        <w:rPr>
          <w:rStyle w:val="Appelnotedebasdep"/>
          <w:lang w:val="en-CA"/>
        </w:rPr>
        <w:footnoteReference w:id="150"/>
      </w:r>
    </w:p>
    <w:p w14:paraId="29407396" w14:textId="41995FDA" w:rsidR="005A2944" w:rsidRPr="00CF4E9F" w:rsidRDefault="001A6AF7" w:rsidP="00FB0B43">
      <w:pPr>
        <w:pStyle w:val="Paragraphe"/>
        <w:spacing w:line="280" w:lineRule="exact"/>
        <w:rPr>
          <w:szCs w:val="24"/>
          <w:shd w:val="clear" w:color="auto" w:fill="FFFFFF"/>
          <w:lang w:val="en-CA"/>
        </w:rPr>
      </w:pPr>
      <w:r w:rsidRPr="00CF4E9F">
        <w:rPr>
          <w:szCs w:val="24"/>
          <w:shd w:val="clear" w:color="auto" w:fill="FFFFFF"/>
          <w:lang w:val="en-CA"/>
        </w:rPr>
        <w:t xml:space="preserve">With respect to the first part of the </w:t>
      </w:r>
      <w:r w:rsidRPr="00CF4E9F">
        <w:rPr>
          <w:i/>
          <w:szCs w:val="24"/>
          <w:shd w:val="clear" w:color="auto" w:fill="FFFFFF"/>
          <w:lang w:val="en-CA"/>
        </w:rPr>
        <w:t>Oakes</w:t>
      </w:r>
      <w:r w:rsidRPr="00CF4E9F">
        <w:rPr>
          <w:szCs w:val="24"/>
          <w:shd w:val="clear" w:color="auto" w:fill="FFFFFF"/>
          <w:lang w:val="en-CA"/>
        </w:rPr>
        <w:t xml:space="preserve"> test, the judge accepted that the purpose of </w:t>
      </w:r>
      <w:r w:rsidR="00162E51">
        <w:rPr>
          <w:szCs w:val="24"/>
          <w:shd w:val="clear" w:color="auto" w:fill="FFFFFF"/>
          <w:lang w:val="en-CA"/>
        </w:rPr>
        <w:t>s. </w:t>
      </w:r>
      <w:r w:rsidRPr="00CF4E9F">
        <w:rPr>
          <w:szCs w:val="24"/>
          <w:shd w:val="clear" w:color="auto" w:fill="FFFFFF"/>
          <w:lang w:val="en-CA"/>
        </w:rPr>
        <w:t>636</w:t>
      </w:r>
      <w:r w:rsidR="0030762F" w:rsidRPr="0030762F">
        <w:rPr>
          <w:i/>
          <w:szCs w:val="24"/>
          <w:shd w:val="clear" w:color="auto" w:fill="FFFFFF"/>
          <w:lang w:val="en-CA"/>
        </w:rPr>
        <w:t> HSC</w:t>
      </w:r>
      <w:r w:rsidRPr="00CF4E9F">
        <w:rPr>
          <w:szCs w:val="24"/>
          <w:shd w:val="clear" w:color="auto" w:fill="FFFFFF"/>
          <w:lang w:val="en-CA"/>
        </w:rPr>
        <w:t xml:space="preserve"> is to ensure </w:t>
      </w:r>
      <w:r w:rsidR="00E91452" w:rsidRPr="00CF4E9F">
        <w:rPr>
          <w:szCs w:val="24"/>
          <w:shd w:val="clear" w:color="auto" w:fill="FFFFFF"/>
          <w:lang w:val="en-CA"/>
        </w:rPr>
        <w:t>highway</w:t>
      </w:r>
      <w:r w:rsidRPr="00CF4E9F">
        <w:rPr>
          <w:szCs w:val="24"/>
          <w:shd w:val="clear" w:color="auto" w:fill="FFFFFF"/>
          <w:lang w:val="en-CA"/>
        </w:rPr>
        <w:t xml:space="preserve"> safety by responding to the legislature’s concerns</w:t>
      </w:r>
      <w:r w:rsidR="00E91452" w:rsidRPr="00CF4E9F">
        <w:rPr>
          <w:szCs w:val="24"/>
          <w:shd w:val="clear" w:color="auto" w:fill="FFFFFF"/>
          <w:lang w:val="en-CA"/>
        </w:rPr>
        <w:t xml:space="preserve"> </w:t>
      </w:r>
      <w:r w:rsidR="007D681C">
        <w:rPr>
          <w:szCs w:val="24"/>
          <w:shd w:val="clear" w:color="auto" w:fill="FFFFFF"/>
          <w:lang w:val="en-CA"/>
        </w:rPr>
        <w:t>related to this objective</w:t>
      </w:r>
      <w:r w:rsidR="009C4571">
        <w:rPr>
          <w:szCs w:val="24"/>
          <w:shd w:val="clear" w:color="auto" w:fill="FFFFFF"/>
          <w:lang w:val="en-CA"/>
        </w:rPr>
        <w:t xml:space="preserve"> –</w:t>
      </w:r>
      <w:r w:rsidR="00762BBB">
        <w:rPr>
          <w:szCs w:val="24"/>
          <w:shd w:val="clear" w:color="auto" w:fill="FFFFFF"/>
          <w:lang w:val="en-CA"/>
        </w:rPr>
        <w:t xml:space="preserve"> that is</w:t>
      </w:r>
      <w:r w:rsidR="00E64C6C">
        <w:rPr>
          <w:szCs w:val="24"/>
          <w:shd w:val="clear" w:color="auto" w:fill="FFFFFF"/>
          <w:lang w:val="en-CA"/>
        </w:rPr>
        <w:t>,</w:t>
      </w:r>
      <w:r w:rsidRPr="00CF4E9F">
        <w:rPr>
          <w:szCs w:val="24"/>
          <w:shd w:val="clear" w:color="auto" w:fill="FFFFFF"/>
          <w:lang w:val="en-CA"/>
        </w:rPr>
        <w:t xml:space="preserve"> reduce the number of offences and road accidents and the number of deaths cause</w:t>
      </w:r>
      <w:r w:rsidR="00762BBB">
        <w:rPr>
          <w:szCs w:val="24"/>
          <w:shd w:val="clear" w:color="auto" w:fill="FFFFFF"/>
          <w:lang w:val="en-CA"/>
        </w:rPr>
        <w:t>d by them</w:t>
      </w:r>
      <w:r w:rsidRPr="00CF4E9F">
        <w:rPr>
          <w:szCs w:val="24"/>
          <w:shd w:val="clear" w:color="auto" w:fill="FFFFFF"/>
          <w:lang w:val="en-CA"/>
        </w:rPr>
        <w:t>, reduce the compensation costs of insurers, and combat impaired driving. The judge concluded that the AGQ had convincingly established that these concerns remain pressing and substantial.</w:t>
      </w:r>
      <w:r w:rsidRPr="00CF4E9F">
        <w:rPr>
          <w:rStyle w:val="Appelnotedebasdep"/>
          <w:szCs w:val="24"/>
          <w:shd w:val="clear" w:color="auto" w:fill="FFFFFF"/>
          <w:lang w:val="en-CA"/>
        </w:rPr>
        <w:footnoteReference w:id="151"/>
      </w:r>
    </w:p>
    <w:p w14:paraId="50E0D99D" w14:textId="5126CEE7" w:rsidR="0040523D" w:rsidRPr="00CF4E9F" w:rsidRDefault="001A6AF7" w:rsidP="00FB0B43">
      <w:pPr>
        <w:pStyle w:val="Paragraphe"/>
        <w:spacing w:line="280" w:lineRule="exact"/>
        <w:rPr>
          <w:lang w:val="en-CA"/>
        </w:rPr>
      </w:pPr>
      <w:r w:rsidRPr="00CF4E9F">
        <w:rPr>
          <w:shd w:val="clear" w:color="auto" w:fill="FFFFFF"/>
          <w:lang w:val="en-CA"/>
        </w:rPr>
        <w:t xml:space="preserve">As for the second part, the judge found that the AGQ had not established that the limitation on the right guaranteed in </w:t>
      </w:r>
      <w:r w:rsidR="00162E51">
        <w:rPr>
          <w:shd w:val="clear" w:color="auto" w:fill="FFFFFF"/>
          <w:lang w:val="en-CA"/>
        </w:rPr>
        <w:t>s. </w:t>
      </w:r>
      <w:r w:rsidRPr="00CF4E9F">
        <w:rPr>
          <w:shd w:val="clear" w:color="auto" w:fill="FFFFFF"/>
          <w:lang w:val="en-CA"/>
        </w:rPr>
        <w:t>9 was proportiona</w:t>
      </w:r>
      <w:r w:rsidR="0044379A" w:rsidRPr="00CF4E9F">
        <w:rPr>
          <w:shd w:val="clear" w:color="auto" w:fill="FFFFFF"/>
          <w:lang w:val="en-CA"/>
        </w:rPr>
        <w:t>te</w:t>
      </w:r>
      <w:r w:rsidRPr="00CF4E9F">
        <w:rPr>
          <w:shd w:val="clear" w:color="auto" w:fill="FFFFFF"/>
          <w:lang w:val="en-CA"/>
        </w:rPr>
        <w:t xml:space="preserve"> to the objective.</w:t>
      </w:r>
      <w:r w:rsidR="0043013D" w:rsidRPr="00CF4E9F">
        <w:rPr>
          <w:shd w:val="clear" w:color="auto" w:fill="FFFFFF"/>
          <w:lang w:val="en-CA"/>
        </w:rPr>
        <w:t xml:space="preserve"> </w:t>
      </w:r>
      <w:r w:rsidR="00D921B2">
        <w:rPr>
          <w:shd w:val="clear" w:color="auto" w:fill="FFFFFF"/>
          <w:lang w:val="en-CA"/>
        </w:rPr>
        <w:t>T</w:t>
      </w:r>
      <w:r w:rsidRPr="00CF4E9F">
        <w:rPr>
          <w:shd w:val="clear" w:color="auto" w:fill="FFFFFF"/>
          <w:lang w:val="en-CA"/>
        </w:rPr>
        <w:t xml:space="preserve">he judge </w:t>
      </w:r>
      <w:r w:rsidR="00D921B2">
        <w:rPr>
          <w:shd w:val="clear" w:color="auto" w:fill="FFFFFF"/>
          <w:lang w:val="en-CA"/>
        </w:rPr>
        <w:t xml:space="preserve">was of the opinion that </w:t>
      </w:r>
      <w:r w:rsidRPr="00CF4E9F">
        <w:rPr>
          <w:shd w:val="clear" w:color="auto" w:fill="FFFFFF"/>
          <w:lang w:val="en-CA"/>
        </w:rPr>
        <w:t xml:space="preserve">the data on which the majority </w:t>
      </w:r>
      <w:r w:rsidR="00D921B2">
        <w:rPr>
          <w:shd w:val="clear" w:color="auto" w:fill="FFFFFF"/>
          <w:lang w:val="en-CA"/>
        </w:rPr>
        <w:t xml:space="preserve">had </w:t>
      </w:r>
      <w:r w:rsidRPr="00CF4E9F">
        <w:rPr>
          <w:shd w:val="clear" w:color="auto" w:fill="FFFFFF"/>
          <w:lang w:val="en-CA"/>
        </w:rPr>
        <w:t xml:space="preserve">based its decision in </w:t>
      </w:r>
      <w:r w:rsidRPr="00CF4E9F">
        <w:rPr>
          <w:i/>
          <w:shd w:val="clear" w:color="auto" w:fill="FFFFFF"/>
          <w:lang w:val="en-CA"/>
        </w:rPr>
        <w:t>Ladouceur</w:t>
      </w:r>
      <w:r w:rsidRPr="00CF4E9F">
        <w:rPr>
          <w:shd w:val="clear" w:color="auto" w:fill="FFFFFF"/>
          <w:lang w:val="en-CA"/>
        </w:rPr>
        <w:t xml:space="preserve"> had aged and had to be excluded.</w:t>
      </w:r>
      <w:r w:rsidRPr="00CF4E9F">
        <w:rPr>
          <w:rStyle w:val="Appelnotedebasdep"/>
          <w:shd w:val="clear" w:color="auto" w:fill="FFFFFF"/>
          <w:lang w:val="en-CA"/>
        </w:rPr>
        <w:footnoteReference w:id="152"/>
      </w:r>
    </w:p>
    <w:p w14:paraId="7B5B9587" w14:textId="4D4BAA21" w:rsidR="005A2944" w:rsidRPr="00CF4E9F" w:rsidRDefault="001A6AF7" w:rsidP="00FB0B43">
      <w:pPr>
        <w:pStyle w:val="Paragraphe"/>
        <w:spacing w:line="280" w:lineRule="exact"/>
        <w:rPr>
          <w:color w:val="000000" w:themeColor="text1"/>
          <w:shd w:val="clear" w:color="auto" w:fill="FFFFFF"/>
          <w:lang w:val="en-CA"/>
        </w:rPr>
      </w:pPr>
      <w:r w:rsidRPr="00CF4E9F">
        <w:rPr>
          <w:shd w:val="clear" w:color="auto" w:fill="FFFFFF"/>
          <w:lang w:val="en-CA"/>
        </w:rPr>
        <w:lastRenderedPageBreak/>
        <w:t xml:space="preserve">In the judge’s view, because the AGQ had not met its burden of proving a correlation between the use of traffic stops with no required grounds and improved highway safety, the AGQ had </w:t>
      </w:r>
      <w:r w:rsidR="00762BBB">
        <w:rPr>
          <w:shd w:val="clear" w:color="auto" w:fill="FFFFFF"/>
          <w:lang w:val="en-CA"/>
        </w:rPr>
        <w:t>failed to</w:t>
      </w:r>
      <w:r w:rsidR="00762BBB" w:rsidRPr="00CF4E9F">
        <w:rPr>
          <w:shd w:val="clear" w:color="auto" w:fill="FFFFFF"/>
          <w:lang w:val="en-CA"/>
        </w:rPr>
        <w:t xml:space="preserve"> </w:t>
      </w:r>
      <w:r w:rsidRPr="00CF4E9F">
        <w:rPr>
          <w:shd w:val="clear" w:color="auto" w:fill="FFFFFF"/>
          <w:lang w:val="en-CA"/>
        </w:rPr>
        <w:t xml:space="preserve">demonstrate that the challenged </w:t>
      </w:r>
      <w:r w:rsidR="00D95523">
        <w:rPr>
          <w:shd w:val="clear" w:color="auto" w:fill="FFFFFF"/>
          <w:lang w:val="en-CA"/>
        </w:rPr>
        <w:t>provision</w:t>
      </w:r>
      <w:r w:rsidRPr="00CF4E9F">
        <w:rPr>
          <w:shd w:val="clear" w:color="auto" w:fill="FFFFFF"/>
          <w:lang w:val="en-CA"/>
        </w:rPr>
        <w:t xml:space="preserve"> minimally </w:t>
      </w:r>
      <w:r w:rsidR="0044379A" w:rsidRPr="00CF4E9F">
        <w:rPr>
          <w:shd w:val="clear" w:color="auto" w:fill="FFFFFF"/>
          <w:lang w:val="en-CA"/>
        </w:rPr>
        <w:t>impairs</w:t>
      </w:r>
      <w:r w:rsidRPr="00CF4E9F">
        <w:rPr>
          <w:shd w:val="clear" w:color="auto" w:fill="FFFFFF"/>
          <w:lang w:val="en-CA"/>
        </w:rPr>
        <w:t xml:space="preserve"> the guaranteed right and that its salutary </w:t>
      </w:r>
      <w:r w:rsidR="0026779C" w:rsidRPr="00CF4E9F">
        <w:rPr>
          <w:shd w:val="clear" w:color="auto" w:fill="FFFFFF"/>
          <w:lang w:val="en-CA"/>
        </w:rPr>
        <w:t>effect</w:t>
      </w:r>
      <w:r w:rsidRPr="00CF4E9F">
        <w:rPr>
          <w:shd w:val="clear" w:color="auto" w:fill="FFFFFF"/>
          <w:lang w:val="en-CA"/>
        </w:rPr>
        <w:t>s outweigh its deleterious effects.</w:t>
      </w:r>
      <w:r w:rsidR="0043013D" w:rsidRPr="00CF4E9F">
        <w:rPr>
          <w:shd w:val="clear" w:color="auto" w:fill="FFFFFF"/>
          <w:lang w:val="en-CA"/>
        </w:rPr>
        <w:t xml:space="preserve"> </w:t>
      </w:r>
      <w:r w:rsidRPr="00CF4E9F">
        <w:rPr>
          <w:color w:val="000000" w:themeColor="text1"/>
          <w:shd w:val="clear" w:color="auto" w:fill="FFFFFF"/>
          <w:lang w:val="en-CA"/>
        </w:rPr>
        <w:t xml:space="preserve">He therefore decided that the challenged </w:t>
      </w:r>
      <w:r w:rsidR="00D95523">
        <w:rPr>
          <w:color w:val="000000" w:themeColor="text1"/>
          <w:shd w:val="clear" w:color="auto" w:fill="FFFFFF"/>
          <w:lang w:val="en-CA"/>
        </w:rPr>
        <w:t>provision</w:t>
      </w:r>
      <w:r w:rsidRPr="00CF4E9F">
        <w:rPr>
          <w:color w:val="000000" w:themeColor="text1"/>
          <w:shd w:val="clear" w:color="auto" w:fill="FFFFFF"/>
          <w:lang w:val="en-CA"/>
        </w:rPr>
        <w:t xml:space="preserve"> could not be saved under </w:t>
      </w:r>
      <w:r w:rsidR="00162E51">
        <w:rPr>
          <w:color w:val="000000" w:themeColor="text1"/>
          <w:shd w:val="clear" w:color="auto" w:fill="FFFFFF"/>
          <w:lang w:val="en-CA"/>
        </w:rPr>
        <w:t>s. </w:t>
      </w:r>
      <w:r w:rsidRPr="00CF4E9F">
        <w:rPr>
          <w:color w:val="000000" w:themeColor="text1"/>
          <w:shd w:val="clear" w:color="auto" w:fill="FFFFFF"/>
          <w:lang w:val="en-CA"/>
        </w:rPr>
        <w:t>1.</w:t>
      </w:r>
    </w:p>
    <w:p w14:paraId="37CAE8C3" w14:textId="343AB642" w:rsidR="00802FC9" w:rsidRPr="00CF4E9F" w:rsidRDefault="001A6AF7" w:rsidP="00FB0B43">
      <w:pPr>
        <w:pStyle w:val="Paragraphe"/>
        <w:spacing w:line="280" w:lineRule="exact"/>
        <w:rPr>
          <w:shd w:val="clear" w:color="auto" w:fill="FFFFFF"/>
          <w:lang w:val="en-CA"/>
        </w:rPr>
      </w:pPr>
      <w:r w:rsidRPr="00CF4E9F">
        <w:rPr>
          <w:lang w:val="en-CA"/>
        </w:rPr>
        <w:t xml:space="preserve">The AGQ argues that the judge erred in concluding that the infringement </w:t>
      </w:r>
      <w:r w:rsidR="008671D8">
        <w:rPr>
          <w:lang w:val="en-CA"/>
        </w:rPr>
        <w:t xml:space="preserve">is </w:t>
      </w:r>
      <w:r w:rsidRPr="00CF4E9F">
        <w:rPr>
          <w:lang w:val="en-CA"/>
        </w:rPr>
        <w:t xml:space="preserve">not justified pursuant to </w:t>
      </w:r>
      <w:r w:rsidR="00162E51">
        <w:rPr>
          <w:lang w:val="en-CA"/>
        </w:rPr>
        <w:t>s. </w:t>
      </w:r>
      <w:r w:rsidRPr="00CF4E9F">
        <w:rPr>
          <w:lang w:val="en-CA"/>
        </w:rPr>
        <w:t>1</w:t>
      </w:r>
      <w:r w:rsidR="002B40E3">
        <w:rPr>
          <w:lang w:val="en-CA"/>
        </w:rPr>
        <w:t>,</w:t>
      </w:r>
      <w:r w:rsidRPr="00CF4E9F">
        <w:rPr>
          <w:lang w:val="en-CA"/>
        </w:rPr>
        <w:t xml:space="preserve"> </w:t>
      </w:r>
      <w:r w:rsidR="0044379A" w:rsidRPr="00CF4E9F">
        <w:rPr>
          <w:lang w:val="en-CA"/>
        </w:rPr>
        <w:t>because</w:t>
      </w:r>
      <w:r w:rsidRPr="00CF4E9F">
        <w:rPr>
          <w:lang w:val="en-CA"/>
        </w:rPr>
        <w:t xml:space="preserve"> each </w:t>
      </w:r>
      <w:r w:rsidR="0044379A" w:rsidRPr="00CF4E9F">
        <w:rPr>
          <w:lang w:val="en-CA"/>
        </w:rPr>
        <w:t>part</w:t>
      </w:r>
      <w:r w:rsidRPr="00CF4E9F">
        <w:rPr>
          <w:lang w:val="en-CA"/>
        </w:rPr>
        <w:t xml:space="preserve"> of the </w:t>
      </w:r>
      <w:r w:rsidRPr="00CF4E9F">
        <w:rPr>
          <w:i/>
          <w:lang w:val="en-CA"/>
        </w:rPr>
        <w:t>Oakes</w:t>
      </w:r>
      <w:r w:rsidRPr="00CF4E9F">
        <w:rPr>
          <w:lang w:val="en-CA"/>
        </w:rPr>
        <w:t xml:space="preserve"> test is met here.</w:t>
      </w:r>
    </w:p>
    <w:p w14:paraId="7E5041F3" w14:textId="44C0BAE4" w:rsidR="00802FC9" w:rsidRPr="00CF4E9F" w:rsidRDefault="00C03724" w:rsidP="00FB0B43">
      <w:pPr>
        <w:pStyle w:val="Paragraphe"/>
        <w:spacing w:line="280" w:lineRule="exact"/>
        <w:rPr>
          <w:shd w:val="clear" w:color="auto" w:fill="FFFFFF"/>
          <w:lang w:val="en-CA"/>
        </w:rPr>
      </w:pPr>
      <w:r>
        <w:rPr>
          <w:shd w:val="clear" w:color="auto" w:fill="FFFFFF"/>
          <w:lang w:val="en-CA"/>
        </w:rPr>
        <w:t>We now consider this question.</w:t>
      </w:r>
    </w:p>
    <w:p w14:paraId="0B85EA3B" w14:textId="38531F29" w:rsidR="00211F21" w:rsidRPr="00CF4E9F" w:rsidRDefault="001A6AF7" w:rsidP="00E554DF">
      <w:pPr>
        <w:pStyle w:val="Titre4"/>
        <w:ind w:left="1491" w:hanging="357"/>
        <w:rPr>
          <w:lang w:val="en-CA"/>
        </w:rPr>
      </w:pPr>
      <w:bookmarkStart w:id="87" w:name="_Toc201822887"/>
      <w:r w:rsidRPr="00CF4E9F">
        <w:rPr>
          <w:lang w:val="en-CA"/>
        </w:rPr>
        <w:t>Pressing and substantial objective</w:t>
      </w:r>
      <w:bookmarkEnd w:id="87"/>
    </w:p>
    <w:p w14:paraId="72CA1E01" w14:textId="2BC63DA0" w:rsidR="00C03C66" w:rsidRPr="00CF4E9F" w:rsidRDefault="001A6AF7" w:rsidP="00FB0B43">
      <w:pPr>
        <w:pStyle w:val="Paragraphe"/>
        <w:spacing w:line="280" w:lineRule="exact"/>
        <w:rPr>
          <w:lang w:val="en-CA"/>
        </w:rPr>
      </w:pPr>
      <w:bookmarkStart w:id="88" w:name="_Ref178079702"/>
      <w:r w:rsidRPr="00CF4E9F">
        <w:rPr>
          <w:lang w:val="en-CA"/>
        </w:rPr>
        <w:t xml:space="preserve">The first step in the analysis </w:t>
      </w:r>
      <w:r w:rsidR="0044379A" w:rsidRPr="00CF4E9F">
        <w:rPr>
          <w:lang w:val="en-CA"/>
        </w:rPr>
        <w:t>is t</w:t>
      </w:r>
      <w:r w:rsidRPr="00CF4E9F">
        <w:rPr>
          <w:lang w:val="en-CA"/>
        </w:rPr>
        <w:t>o stat</w:t>
      </w:r>
      <w:r w:rsidR="0044379A" w:rsidRPr="00CF4E9F">
        <w:rPr>
          <w:lang w:val="en-CA"/>
        </w:rPr>
        <w:t>e</w:t>
      </w:r>
      <w:r w:rsidRPr="00CF4E9F">
        <w:rPr>
          <w:lang w:val="en-CA"/>
        </w:rPr>
        <w:t xml:space="preserve"> the legislative objective of the infringing measure and determin</w:t>
      </w:r>
      <w:r w:rsidR="0044379A" w:rsidRPr="00CF4E9F">
        <w:rPr>
          <w:lang w:val="en-CA"/>
        </w:rPr>
        <w:t>e</w:t>
      </w:r>
      <w:r w:rsidRPr="00CF4E9F">
        <w:rPr>
          <w:lang w:val="en-CA"/>
        </w:rPr>
        <w:t xml:space="preserve"> whether it is pressing and substantial.</w:t>
      </w:r>
      <w:r w:rsidR="0043013D" w:rsidRPr="00CF4E9F">
        <w:rPr>
          <w:lang w:val="en-CA"/>
        </w:rPr>
        <w:t xml:space="preserve"> </w:t>
      </w:r>
      <w:bookmarkEnd w:id="88"/>
      <w:r w:rsidRPr="00CF4E9F">
        <w:rPr>
          <w:lang w:val="en-CA"/>
        </w:rPr>
        <w:t>This criterion is not demanding and is generally met.</w:t>
      </w:r>
    </w:p>
    <w:p w14:paraId="4FACE342" w14:textId="6E9E770F" w:rsidR="00C03C66" w:rsidRPr="00CF4E9F" w:rsidRDefault="001A6AF7" w:rsidP="00FB0B43">
      <w:pPr>
        <w:pStyle w:val="Paragraphe"/>
        <w:spacing w:line="280" w:lineRule="exact"/>
        <w:rPr>
          <w:lang w:val="en-CA"/>
        </w:rPr>
      </w:pPr>
      <w:r w:rsidRPr="00CF4E9F">
        <w:rPr>
          <w:lang w:val="en-CA"/>
        </w:rPr>
        <w:t xml:space="preserve">The objective must be </w:t>
      </w:r>
      <w:r w:rsidR="00B22B04" w:rsidRPr="00CF4E9F">
        <w:rPr>
          <w:lang w:val="en-CA"/>
        </w:rPr>
        <w:t>defined with</w:t>
      </w:r>
      <w:r w:rsidR="0044379A" w:rsidRPr="00CF4E9F">
        <w:rPr>
          <w:lang w:val="en-CA"/>
        </w:rPr>
        <w:t xml:space="preserve"> </w:t>
      </w:r>
      <w:r w:rsidRPr="00CF4E9F">
        <w:rPr>
          <w:lang w:val="en-CA"/>
        </w:rPr>
        <w:t>an appropriate level of generality.</w:t>
      </w:r>
      <w:r w:rsidR="0043013D" w:rsidRPr="00CF4E9F">
        <w:rPr>
          <w:lang w:val="en-CA"/>
        </w:rPr>
        <w:t xml:space="preserve"> </w:t>
      </w:r>
      <w:r w:rsidRPr="00CF4E9F">
        <w:rPr>
          <w:lang w:val="en-CA"/>
        </w:rPr>
        <w:t xml:space="preserve">The importance of the objective risks being exaggerated if </w:t>
      </w:r>
      <w:r w:rsidR="00B22B04" w:rsidRPr="00CF4E9F">
        <w:rPr>
          <w:lang w:val="en-CA"/>
        </w:rPr>
        <w:t xml:space="preserve">stated </w:t>
      </w:r>
      <w:r w:rsidRPr="00CF4E9F">
        <w:rPr>
          <w:lang w:val="en-CA"/>
        </w:rPr>
        <w:t>too broadly.</w:t>
      </w:r>
      <w:r w:rsidR="0043013D" w:rsidRPr="00CF4E9F">
        <w:rPr>
          <w:lang w:val="en-CA"/>
        </w:rPr>
        <w:t xml:space="preserve"> </w:t>
      </w:r>
      <w:r w:rsidRPr="00CF4E9F">
        <w:rPr>
          <w:lang w:val="en-CA"/>
        </w:rPr>
        <w:t>Conversely, an overly narrow definition of the purpose risks merely reiterating the means chosen by the legislature to achieve it.</w:t>
      </w:r>
      <w:r w:rsidRPr="00CF4E9F">
        <w:rPr>
          <w:rStyle w:val="Appelnotedebasdep"/>
          <w:lang w:val="en-CA"/>
        </w:rPr>
        <w:footnoteReference w:id="153"/>
      </w:r>
      <w:r w:rsidR="0043013D" w:rsidRPr="00CF4E9F">
        <w:rPr>
          <w:lang w:val="en-CA"/>
        </w:rPr>
        <w:t xml:space="preserve"> </w:t>
      </w:r>
    </w:p>
    <w:p w14:paraId="38023CE4" w14:textId="49D3CFF0" w:rsidR="00211F21" w:rsidRPr="00CF4E9F" w:rsidRDefault="00752F4D" w:rsidP="00FB0B43">
      <w:pPr>
        <w:pStyle w:val="Paragraphe"/>
        <w:spacing w:line="280" w:lineRule="exact"/>
        <w:rPr>
          <w:lang w:val="en-CA"/>
        </w:rPr>
      </w:pPr>
      <w:r>
        <w:rPr>
          <w:lang w:val="en-CA"/>
        </w:rPr>
        <w:t>A</w:t>
      </w:r>
      <w:r w:rsidR="00B22B04" w:rsidRPr="00CF4E9F">
        <w:rPr>
          <w:lang w:val="en-CA"/>
        </w:rPr>
        <w:t>rticulation</w:t>
      </w:r>
      <w:r w:rsidR="001C3D7E" w:rsidRPr="00CF4E9F">
        <w:rPr>
          <w:lang w:val="en-CA"/>
        </w:rPr>
        <w:t xml:space="preserve"> of </w:t>
      </w:r>
      <w:r w:rsidR="00B22B04" w:rsidRPr="00CF4E9F">
        <w:rPr>
          <w:lang w:val="en-CA"/>
        </w:rPr>
        <w:t xml:space="preserve">the </w:t>
      </w:r>
      <w:r w:rsidR="001C3D7E" w:rsidRPr="00CF4E9F">
        <w:rPr>
          <w:lang w:val="en-CA"/>
        </w:rPr>
        <w:t xml:space="preserve">legislative objective is related to the </w:t>
      </w:r>
      <w:r w:rsidR="00B22B04" w:rsidRPr="00CF4E9F">
        <w:rPr>
          <w:lang w:val="en-CA"/>
        </w:rPr>
        <w:t xml:space="preserve">legislature’s </w:t>
      </w:r>
      <w:r w:rsidR="001C3D7E" w:rsidRPr="00CF4E9F">
        <w:rPr>
          <w:lang w:val="en-CA"/>
        </w:rPr>
        <w:t xml:space="preserve">intent </w:t>
      </w:r>
      <w:r w:rsidR="00B22B04" w:rsidRPr="00CF4E9F">
        <w:rPr>
          <w:lang w:val="en-CA"/>
        </w:rPr>
        <w:t>at the time it was enacted</w:t>
      </w:r>
      <w:r w:rsidR="001C3D7E" w:rsidRPr="00CF4E9F">
        <w:rPr>
          <w:lang w:val="en-CA"/>
        </w:rPr>
        <w:t>.</w:t>
      </w:r>
      <w:r w:rsidR="001C3D7E" w:rsidRPr="00CF4E9F">
        <w:rPr>
          <w:rStyle w:val="Appelnotedebasdep"/>
          <w:lang w:val="en-CA"/>
        </w:rPr>
        <w:footnoteReference w:id="154"/>
      </w:r>
      <w:r w:rsidR="0043013D" w:rsidRPr="00CF4E9F">
        <w:rPr>
          <w:lang w:val="en-CA"/>
        </w:rPr>
        <w:t xml:space="preserve"> </w:t>
      </w:r>
      <w:r w:rsidR="001C3D7E" w:rsidRPr="00CF4E9F">
        <w:rPr>
          <w:lang w:val="en-CA"/>
        </w:rPr>
        <w:t xml:space="preserve">In this </w:t>
      </w:r>
      <w:r w:rsidR="00B22B04" w:rsidRPr="00CF4E9F">
        <w:rPr>
          <w:lang w:val="en-CA"/>
        </w:rPr>
        <w:t>instance</w:t>
      </w:r>
      <w:r w:rsidR="001C3D7E" w:rsidRPr="00CF4E9F">
        <w:rPr>
          <w:lang w:val="en-CA"/>
        </w:rPr>
        <w:t xml:space="preserve">, the National Assembly </w:t>
      </w:r>
      <w:r w:rsidR="00B22B04" w:rsidRPr="00CF4E9F">
        <w:rPr>
          <w:lang w:val="en-CA"/>
        </w:rPr>
        <w:t xml:space="preserve">of Quebec </w:t>
      </w:r>
      <w:r w:rsidR="001C3D7E" w:rsidRPr="00CF4E9F">
        <w:rPr>
          <w:lang w:val="en-CA"/>
        </w:rPr>
        <w:t xml:space="preserve">amended </w:t>
      </w:r>
      <w:r w:rsidR="00162E51">
        <w:rPr>
          <w:lang w:val="en-CA"/>
        </w:rPr>
        <w:t>s. </w:t>
      </w:r>
      <w:r w:rsidR="001C3D7E" w:rsidRPr="00CF4E9F">
        <w:rPr>
          <w:iCs/>
          <w:lang w:val="en-CA"/>
        </w:rPr>
        <w:t>636</w:t>
      </w:r>
      <w:r w:rsidR="0030762F" w:rsidRPr="0030762F">
        <w:rPr>
          <w:i/>
          <w:iCs/>
          <w:lang w:val="en-CA"/>
        </w:rPr>
        <w:t> HSC</w:t>
      </w:r>
      <w:r w:rsidR="001C3D7E" w:rsidRPr="00CF4E9F">
        <w:rPr>
          <w:iCs/>
          <w:lang w:val="en-CA"/>
        </w:rPr>
        <w:t xml:space="preserve"> to remove the requirement </w:t>
      </w:r>
      <w:r w:rsidR="00B22B04" w:rsidRPr="00CF4E9F">
        <w:rPr>
          <w:iCs/>
          <w:lang w:val="en-CA"/>
        </w:rPr>
        <w:t>o</w:t>
      </w:r>
      <w:r w:rsidR="001C3D7E" w:rsidRPr="00CF4E9F">
        <w:rPr>
          <w:iCs/>
          <w:lang w:val="en-CA"/>
        </w:rPr>
        <w:t xml:space="preserve">f reasonable grounds to believe that an offence had been committed, </w:t>
      </w:r>
      <w:r w:rsidR="00B22B04" w:rsidRPr="00CF4E9F">
        <w:rPr>
          <w:iCs/>
          <w:lang w:val="en-CA"/>
        </w:rPr>
        <w:t>and</w:t>
      </w:r>
      <w:r w:rsidR="00614254">
        <w:rPr>
          <w:iCs/>
          <w:lang w:val="en-CA"/>
        </w:rPr>
        <w:t xml:space="preserve"> it</w:t>
      </w:r>
      <w:r w:rsidR="00B22B04" w:rsidRPr="00CF4E9F">
        <w:rPr>
          <w:iCs/>
          <w:lang w:val="en-CA"/>
        </w:rPr>
        <w:t xml:space="preserve"> did so </w:t>
      </w:r>
      <w:r w:rsidR="001C3D7E" w:rsidRPr="00CF4E9F">
        <w:rPr>
          <w:iCs/>
          <w:lang w:val="en-CA"/>
        </w:rPr>
        <w:t xml:space="preserve">a mere six months after </w:t>
      </w:r>
      <w:r w:rsidR="001C3D7E" w:rsidRPr="00CF4E9F">
        <w:rPr>
          <w:i/>
          <w:iCs/>
          <w:lang w:val="en-CA"/>
        </w:rPr>
        <w:t>Ladouceur</w:t>
      </w:r>
      <w:r w:rsidR="001C3D7E" w:rsidRPr="00CF4E9F">
        <w:rPr>
          <w:iCs/>
          <w:lang w:val="en-CA"/>
        </w:rPr>
        <w:t>.</w:t>
      </w:r>
      <w:r w:rsidR="001C3D7E" w:rsidRPr="00CF4E9F">
        <w:rPr>
          <w:rStyle w:val="Appelnotedebasdep"/>
          <w:lang w:val="en-CA"/>
        </w:rPr>
        <w:footnoteReference w:id="155"/>
      </w:r>
      <w:r w:rsidR="0043013D" w:rsidRPr="00CF4E9F">
        <w:rPr>
          <w:lang w:val="en-CA"/>
        </w:rPr>
        <w:t xml:space="preserve"> </w:t>
      </w:r>
      <w:r w:rsidR="001C3D7E" w:rsidRPr="00CF4E9F">
        <w:rPr>
          <w:lang w:val="en-CA"/>
        </w:rPr>
        <w:t>The parliamentary debates surrounding the amendment refer specifically to that judgment.</w:t>
      </w:r>
      <w:r w:rsidR="001C3D7E" w:rsidRPr="00CF4E9F">
        <w:rPr>
          <w:rStyle w:val="Appelnotedebasdep"/>
          <w:lang w:val="en-CA"/>
        </w:rPr>
        <w:footnoteReference w:id="156"/>
      </w:r>
      <w:r w:rsidR="0043013D" w:rsidRPr="00CF4E9F">
        <w:rPr>
          <w:lang w:val="en-CA"/>
        </w:rPr>
        <w:t xml:space="preserve"> </w:t>
      </w:r>
      <w:r w:rsidR="00C47888">
        <w:rPr>
          <w:lang w:val="en-CA"/>
        </w:rPr>
        <w:t xml:space="preserve">Pointing </w:t>
      </w:r>
      <w:r w:rsidR="001C3D7E" w:rsidRPr="00CF4E9F">
        <w:rPr>
          <w:lang w:val="en-CA"/>
        </w:rPr>
        <w:t xml:space="preserve">to these debates and to </w:t>
      </w:r>
      <w:r w:rsidR="001C3D7E" w:rsidRPr="00CF4E9F">
        <w:rPr>
          <w:i/>
          <w:lang w:val="en-CA"/>
        </w:rPr>
        <w:t>Hufsky</w:t>
      </w:r>
      <w:r w:rsidR="001C3D7E" w:rsidRPr="00CF4E9F">
        <w:rPr>
          <w:lang w:val="en-CA"/>
        </w:rPr>
        <w:t xml:space="preserve"> and </w:t>
      </w:r>
      <w:r w:rsidR="001C3D7E" w:rsidRPr="00CF4E9F">
        <w:rPr>
          <w:i/>
          <w:lang w:val="en-CA"/>
        </w:rPr>
        <w:t>Ladouceur</w:t>
      </w:r>
      <w:r w:rsidR="001C3D7E" w:rsidRPr="00CF4E9F">
        <w:rPr>
          <w:lang w:val="en-CA"/>
        </w:rPr>
        <w:t xml:space="preserve">, the trial judge correctly identified the provision’s objective: </w:t>
      </w:r>
    </w:p>
    <w:p w14:paraId="1CC591A3" w14:textId="1FFD77B3" w:rsidR="001C3D7E" w:rsidRPr="00CF4E9F" w:rsidRDefault="001C3D7E" w:rsidP="00313C8F">
      <w:pPr>
        <w:pStyle w:val="Citationenretrait"/>
        <w:rPr>
          <w:lang w:val="en-CA"/>
        </w:rPr>
      </w:pPr>
      <w:bookmarkStart w:id="89" w:name="_Hlk172297032"/>
      <w:r w:rsidRPr="00CF4E9F">
        <w:rPr>
          <w:rFonts w:cs="Arial"/>
          <w:lang w:val="en-CA"/>
        </w:rPr>
        <w:t>[</w:t>
      </w:r>
      <w:r w:rsidRPr="00CF4E9F">
        <w:rPr>
          <w:rFonts w:cs="Arial"/>
          <w:smallCaps/>
          <w:lang w:val="en-CA"/>
        </w:rPr>
        <w:t>translation</w:t>
      </w:r>
      <w:r w:rsidRPr="00CF4E9F">
        <w:rPr>
          <w:rFonts w:cs="Arial"/>
          <w:lang w:val="en-CA"/>
        </w:rPr>
        <w:t>]</w:t>
      </w:r>
    </w:p>
    <w:p w14:paraId="48E6BB16" w14:textId="222D9CA7" w:rsidR="00211F21" w:rsidRPr="00CF4E9F" w:rsidRDefault="0043013D" w:rsidP="00313C8F">
      <w:pPr>
        <w:pStyle w:val="Citationenretrait"/>
        <w:rPr>
          <w:rFonts w:cs="Arial"/>
          <w:i/>
          <w:iCs/>
          <w:lang w:val="en-CA"/>
        </w:rPr>
      </w:pPr>
      <w:r w:rsidRPr="00CF4E9F">
        <w:rPr>
          <w:lang w:val="en-CA"/>
        </w:rPr>
        <w:t>[692]</w:t>
      </w:r>
      <w:r w:rsidRPr="00CF4E9F">
        <w:rPr>
          <w:lang w:val="en-CA"/>
        </w:rPr>
        <w:tab/>
      </w:r>
      <w:bookmarkEnd w:id="89"/>
      <w:r w:rsidR="001C3D7E" w:rsidRPr="00CF4E9F">
        <w:rPr>
          <w:lang w:val="en-CA"/>
        </w:rPr>
        <w:t xml:space="preserve">Ensuring </w:t>
      </w:r>
      <w:r w:rsidR="00541FF0">
        <w:rPr>
          <w:lang w:val="en-CA"/>
        </w:rPr>
        <w:t xml:space="preserve">highway </w:t>
      </w:r>
      <w:r w:rsidR="001C3D7E" w:rsidRPr="00CF4E9F">
        <w:rPr>
          <w:lang w:val="en-CA"/>
        </w:rPr>
        <w:t xml:space="preserve">safety, reducing the number of offences and serious road accidents, reducing the number of deaths related to serious road accidents, reducing the compensation costs of public and private insurers, and combatting impaired driving, which is still a significant cause of road accidents </w:t>
      </w:r>
      <w:r w:rsidR="00317F0B">
        <w:rPr>
          <w:lang w:val="en-CA"/>
        </w:rPr>
        <w:t>[</w:t>
      </w:r>
      <w:r w:rsidR="00317F0B" w:rsidRPr="00CF4E9F">
        <w:rPr>
          <w:lang w:val="en-CA"/>
        </w:rPr>
        <w:t>...</w:t>
      </w:r>
      <w:r w:rsidR="00317F0B">
        <w:rPr>
          <w:lang w:val="en-CA"/>
        </w:rPr>
        <w:t>].</w:t>
      </w:r>
    </w:p>
    <w:p w14:paraId="56A4270A" w14:textId="3B41D9A1" w:rsidR="00211F21" w:rsidRPr="00CF4E9F" w:rsidRDefault="001C3D7E" w:rsidP="00FB0B43">
      <w:pPr>
        <w:pStyle w:val="Paragraphe"/>
        <w:spacing w:line="280" w:lineRule="exact"/>
        <w:rPr>
          <w:lang w:val="en-CA"/>
        </w:rPr>
      </w:pPr>
      <w:bookmarkStart w:id="90" w:name="_Hlk159417420"/>
      <w:r w:rsidRPr="00CF4E9F">
        <w:rPr>
          <w:lang w:val="en-CA"/>
        </w:rPr>
        <w:lastRenderedPageBreak/>
        <w:t xml:space="preserve">Between 2015 and 2019, alcohol-related accidents caused on average 85 deaths and 220 serious injuries </w:t>
      </w:r>
      <w:r w:rsidR="006F4915" w:rsidRPr="00CF4E9F">
        <w:rPr>
          <w:lang w:val="en-CA"/>
        </w:rPr>
        <w:t>annually</w:t>
      </w:r>
      <w:r w:rsidRPr="00CF4E9F">
        <w:rPr>
          <w:lang w:val="en-CA"/>
        </w:rPr>
        <w:t xml:space="preserve"> in Quebec.</w:t>
      </w:r>
      <w:r w:rsidRPr="00CF4E9F">
        <w:rPr>
          <w:rStyle w:val="Appelnotedebasdep"/>
          <w:lang w:val="en-CA"/>
        </w:rPr>
        <w:footnoteReference w:id="157"/>
      </w:r>
      <w:r w:rsidR="0043013D" w:rsidRPr="00CF4E9F">
        <w:rPr>
          <w:lang w:val="en-CA"/>
        </w:rPr>
        <w:t xml:space="preserve"> </w:t>
      </w:r>
      <w:r w:rsidRPr="00CF4E9F">
        <w:rPr>
          <w:lang w:val="en-CA"/>
        </w:rPr>
        <w:t>It is perfectly legitimate for the legislature to give itself the means to eradicate problematic highway conduct.</w:t>
      </w:r>
      <w:r w:rsidR="0043013D" w:rsidRPr="00CF4E9F">
        <w:rPr>
          <w:lang w:val="en-CA"/>
        </w:rPr>
        <w:t xml:space="preserve"> </w:t>
      </w:r>
    </w:p>
    <w:p w14:paraId="727A819F" w14:textId="3EB7F816" w:rsidR="00211F21" w:rsidRPr="00CF4E9F" w:rsidRDefault="006F4915" w:rsidP="00FB0B43">
      <w:pPr>
        <w:pStyle w:val="Paragraphe"/>
        <w:spacing w:line="280" w:lineRule="exact"/>
        <w:rPr>
          <w:lang w:val="en-CA"/>
        </w:rPr>
      </w:pPr>
      <w:r w:rsidRPr="00CF4E9F">
        <w:rPr>
          <w:lang w:val="en-CA"/>
        </w:rPr>
        <w:t>Moreover, t</w:t>
      </w:r>
      <w:r w:rsidR="001C3D7E" w:rsidRPr="00CF4E9F">
        <w:rPr>
          <w:lang w:val="en-CA"/>
        </w:rPr>
        <w:t xml:space="preserve">he case law confirms that </w:t>
      </w:r>
      <w:r w:rsidR="0058213D">
        <w:rPr>
          <w:lang w:val="en-CA"/>
        </w:rPr>
        <w:t>highway</w:t>
      </w:r>
      <w:r w:rsidR="0058213D" w:rsidRPr="00CF4E9F">
        <w:rPr>
          <w:lang w:val="en-CA"/>
        </w:rPr>
        <w:t xml:space="preserve"> </w:t>
      </w:r>
      <w:r w:rsidR="001C3D7E" w:rsidRPr="00CF4E9F">
        <w:rPr>
          <w:lang w:val="en-CA"/>
        </w:rPr>
        <w:t>safety,</w:t>
      </w:r>
      <w:r w:rsidR="001C3D7E" w:rsidRPr="00CF4E9F">
        <w:rPr>
          <w:rStyle w:val="Appelnotedebasdep"/>
          <w:lang w:val="en-CA"/>
        </w:rPr>
        <w:footnoteReference w:id="158"/>
      </w:r>
      <w:r w:rsidR="001C3D7E" w:rsidRPr="00CF4E9F">
        <w:rPr>
          <w:lang w:val="en-CA"/>
        </w:rPr>
        <w:t xml:space="preserve"> combatting impaired driving,</w:t>
      </w:r>
      <w:r w:rsidR="001C3D7E" w:rsidRPr="00CF4E9F">
        <w:rPr>
          <w:rStyle w:val="Appelnotedebasdep"/>
          <w:lang w:val="en-CA"/>
        </w:rPr>
        <w:footnoteReference w:id="159"/>
      </w:r>
      <w:r w:rsidR="001C3D7E" w:rsidRPr="00CF4E9F">
        <w:rPr>
          <w:lang w:val="en-CA"/>
        </w:rPr>
        <w:t xml:space="preserve"> and the integrity of the licensing system</w:t>
      </w:r>
      <w:r w:rsidR="001C3D7E" w:rsidRPr="00CF4E9F">
        <w:rPr>
          <w:rStyle w:val="Appelnotedebasdep"/>
          <w:lang w:val="en-CA"/>
        </w:rPr>
        <w:footnoteReference w:id="160"/>
      </w:r>
      <w:r w:rsidR="001C3D7E" w:rsidRPr="00CF4E9F">
        <w:rPr>
          <w:lang w:val="en-CA"/>
        </w:rPr>
        <w:t xml:space="preserve"> are pressing and substantial objectives.</w:t>
      </w:r>
      <w:r w:rsidR="001C3D7E" w:rsidRPr="00CF4E9F">
        <w:rPr>
          <w:rStyle w:val="Appelnotedebasdep"/>
          <w:lang w:val="en-CA"/>
        </w:rPr>
        <w:footnoteReference w:id="161"/>
      </w:r>
      <w:r w:rsidR="0043013D" w:rsidRPr="00CF4E9F">
        <w:rPr>
          <w:lang w:val="en-CA"/>
        </w:rPr>
        <w:t xml:space="preserve"> </w:t>
      </w:r>
      <w:bookmarkEnd w:id="90"/>
      <w:r w:rsidR="001C3D7E" w:rsidRPr="00CF4E9F">
        <w:rPr>
          <w:lang w:val="en-CA"/>
        </w:rPr>
        <w:t xml:space="preserve">It is therefore uncontradicted that the objective of </w:t>
      </w:r>
      <w:r w:rsidR="00162E51">
        <w:rPr>
          <w:lang w:val="en-CA"/>
        </w:rPr>
        <w:t>s. </w:t>
      </w:r>
      <w:r w:rsidR="001C3D7E" w:rsidRPr="00CF4E9F">
        <w:rPr>
          <w:lang w:val="en-CA"/>
        </w:rPr>
        <w:t>636</w:t>
      </w:r>
      <w:r w:rsidR="0030762F" w:rsidRPr="0030762F">
        <w:rPr>
          <w:i/>
          <w:lang w:val="en-CA"/>
        </w:rPr>
        <w:t> HSC</w:t>
      </w:r>
      <w:r w:rsidR="001C3D7E" w:rsidRPr="00CF4E9F">
        <w:rPr>
          <w:lang w:val="en-CA"/>
        </w:rPr>
        <w:t xml:space="preserve"> is also pressing and substantial.</w:t>
      </w:r>
    </w:p>
    <w:p w14:paraId="00A72D09" w14:textId="0385FFBF" w:rsidR="00211F21" w:rsidRPr="00CF4E9F" w:rsidRDefault="001C3D7E" w:rsidP="00E554DF">
      <w:pPr>
        <w:pStyle w:val="Titre4"/>
        <w:ind w:left="1491" w:hanging="357"/>
        <w:rPr>
          <w:lang w:val="en-CA"/>
        </w:rPr>
      </w:pPr>
      <w:bookmarkStart w:id="91" w:name="_Toc201822888"/>
      <w:r w:rsidRPr="00CF4E9F">
        <w:rPr>
          <w:lang w:val="en-CA"/>
        </w:rPr>
        <w:t>Rational connection</w:t>
      </w:r>
      <w:bookmarkEnd w:id="91"/>
    </w:p>
    <w:p w14:paraId="7C4C0389" w14:textId="2172A363" w:rsidR="002B3938" w:rsidRPr="00CF4E9F" w:rsidRDefault="001C3D7E" w:rsidP="00FB0B43">
      <w:pPr>
        <w:pStyle w:val="Paragraphe"/>
        <w:spacing w:line="280" w:lineRule="exact"/>
        <w:rPr>
          <w:lang w:val="en-CA"/>
        </w:rPr>
      </w:pPr>
      <w:r w:rsidRPr="00CF4E9F">
        <w:rPr>
          <w:lang w:val="en-CA"/>
        </w:rPr>
        <w:t>The rational connection test “asks whether the law was a rational means for the legislature to pursue its objective”</w:t>
      </w:r>
      <w:r w:rsidR="00F2036C">
        <w:rPr>
          <w:lang w:val="en-CA"/>
        </w:rPr>
        <w:t>.</w:t>
      </w:r>
      <w:r w:rsidRPr="00CF4E9F">
        <w:rPr>
          <w:rStyle w:val="Appelnotedebasdep"/>
          <w:lang w:val="en-CA"/>
        </w:rPr>
        <w:footnoteReference w:id="162"/>
      </w:r>
      <w:r w:rsidR="0043013D" w:rsidRPr="00CF4E9F">
        <w:rPr>
          <w:lang w:val="en-CA"/>
        </w:rPr>
        <w:t xml:space="preserve"> </w:t>
      </w:r>
      <w:r w:rsidRPr="00CF4E9F">
        <w:rPr>
          <w:lang w:val="en-CA"/>
        </w:rPr>
        <w:t>The applicable test requires “</w:t>
      </w:r>
      <w:r w:rsidRPr="00CF4E9F">
        <w:rPr>
          <w:i/>
          <w:lang w:val="en-CA"/>
        </w:rPr>
        <w:t>a</w:t>
      </w:r>
      <w:r w:rsidRPr="00CF4E9F">
        <w:rPr>
          <w:lang w:val="en-CA"/>
        </w:rPr>
        <w:t xml:space="preserve"> rational connection, not a complete rational correspondence”.</w:t>
      </w:r>
      <w:r w:rsidRPr="00CF4E9F">
        <w:rPr>
          <w:rStyle w:val="Appelnotedebasdep"/>
          <w:lang w:val="en-CA"/>
        </w:rPr>
        <w:footnoteReference w:id="163"/>
      </w:r>
    </w:p>
    <w:p w14:paraId="28777243" w14:textId="7DF8A298" w:rsidR="00211F21" w:rsidRPr="00CF4E9F" w:rsidRDefault="001C3D7E" w:rsidP="00FB0B43">
      <w:pPr>
        <w:pStyle w:val="Paragraphe"/>
        <w:spacing w:line="280" w:lineRule="exact"/>
        <w:rPr>
          <w:lang w:val="en-CA"/>
        </w:rPr>
      </w:pPr>
      <w:r w:rsidRPr="00CF4E9F">
        <w:rPr>
          <w:lang w:val="en-CA"/>
        </w:rPr>
        <w:t xml:space="preserve">The </w:t>
      </w:r>
      <w:r w:rsidR="001373A5">
        <w:rPr>
          <w:lang w:val="en-CA"/>
        </w:rPr>
        <w:t>analysis</w:t>
      </w:r>
      <w:r w:rsidR="001373A5" w:rsidRPr="00CF4E9F">
        <w:rPr>
          <w:lang w:val="en-CA"/>
        </w:rPr>
        <w:t xml:space="preserve"> </w:t>
      </w:r>
      <w:r w:rsidRPr="00CF4E9F">
        <w:rPr>
          <w:lang w:val="en-CA"/>
        </w:rPr>
        <w:t>requires “some deference” to the legislature’s chosen means to advance a compelling state interest.</w:t>
      </w:r>
      <w:r w:rsidRPr="00CF4E9F">
        <w:rPr>
          <w:rStyle w:val="Appelnotedebasdep"/>
          <w:lang w:val="en-CA"/>
        </w:rPr>
        <w:footnoteReference w:id="164"/>
      </w:r>
      <w:r w:rsidR="0043013D" w:rsidRPr="00CF4E9F">
        <w:rPr>
          <w:lang w:val="en-CA"/>
        </w:rPr>
        <w:t xml:space="preserve"> </w:t>
      </w:r>
      <w:r w:rsidRPr="00CF4E9F">
        <w:rPr>
          <w:lang w:val="en-CA"/>
        </w:rPr>
        <w:t xml:space="preserve">In </w:t>
      </w:r>
      <w:r w:rsidRPr="00CF4E9F">
        <w:rPr>
          <w:i/>
          <w:lang w:val="en-CA"/>
        </w:rPr>
        <w:t>RJR-MacDonald Inc. v. Canada (Attorney General),</w:t>
      </w:r>
      <w:r w:rsidRPr="00CF4E9F">
        <w:rPr>
          <w:lang w:val="en-CA"/>
        </w:rPr>
        <w:t xml:space="preserve"> a majority of the Supreme Court noted that this deference is owed more particularly when legislation is directed at changing behaviour</w:t>
      </w:r>
      <w:r w:rsidR="006234FB">
        <w:rPr>
          <w:lang w:val="en-CA"/>
        </w:rPr>
        <w:t xml:space="preserve"> within our society</w:t>
      </w:r>
      <w:r w:rsidRPr="00CF4E9F">
        <w:rPr>
          <w:lang w:val="en-CA"/>
        </w:rPr>
        <w:t xml:space="preserve">: </w:t>
      </w:r>
    </w:p>
    <w:p w14:paraId="09672C77" w14:textId="0AF31C29" w:rsidR="00211F21" w:rsidRPr="00CF4E9F" w:rsidRDefault="0043013D" w:rsidP="00F11F05">
      <w:pPr>
        <w:pStyle w:val="Citationenretrait"/>
        <w:rPr>
          <w:i/>
          <w:iCs/>
          <w:lang w:val="en-CA"/>
        </w:rPr>
      </w:pPr>
      <w:r w:rsidRPr="00CF4E9F">
        <w:rPr>
          <w:rFonts w:cs="Arial"/>
          <w:lang w:val="en-CA"/>
        </w:rPr>
        <w:t>[154]</w:t>
      </w:r>
      <w:r w:rsidR="00F11F05" w:rsidRPr="00CF4E9F">
        <w:rPr>
          <w:rFonts w:cs="Arial"/>
          <w:i/>
          <w:iCs/>
          <w:lang w:val="en-CA"/>
        </w:rPr>
        <w:tab/>
      </w:r>
      <w:r w:rsidR="00200E2D">
        <w:rPr>
          <w:rFonts w:cs="Arial"/>
          <w:lang w:val="en-CA"/>
        </w:rPr>
        <w:t>[</w:t>
      </w:r>
      <w:r w:rsidR="001C3D7E" w:rsidRPr="00CF4E9F">
        <w:rPr>
          <w:lang w:val="en-CA"/>
        </w:rPr>
        <w:t>...</w:t>
      </w:r>
      <w:r w:rsidR="00200E2D">
        <w:rPr>
          <w:lang w:val="en-CA"/>
        </w:rPr>
        <w:t>]</w:t>
      </w:r>
      <w:r w:rsidR="001C3D7E" w:rsidRPr="00CF4E9F">
        <w:rPr>
          <w:lang w:val="en-CA"/>
        </w:rPr>
        <w:t xml:space="preserve"> Where, however, legislation is directed at changing human behaviour, as in the case of the </w:t>
      </w:r>
      <w:r w:rsidR="001C3D7E" w:rsidRPr="00CF4E9F">
        <w:rPr>
          <w:i/>
          <w:lang w:val="en-CA"/>
        </w:rPr>
        <w:t>Tobacco Products Control Act</w:t>
      </w:r>
      <w:r w:rsidR="001C3D7E" w:rsidRPr="00CF4E9F">
        <w:rPr>
          <w:lang w:val="en-CA"/>
        </w:rPr>
        <w:t>, the causal relationship may not be scientifically measurable.</w:t>
      </w:r>
      <w:r w:rsidR="00187257">
        <w:rPr>
          <w:lang w:val="en-CA"/>
        </w:rPr>
        <w:t xml:space="preserve"> </w:t>
      </w:r>
      <w:r w:rsidR="001C3D7E" w:rsidRPr="00CF4E9F">
        <w:rPr>
          <w:lang w:val="en-CA"/>
        </w:rPr>
        <w:t xml:space="preserve">In such cases, this Court has been prepared to find a causal connection between the infringement and benefit sought on the basis of reason or logic, without insisting on direct proof of a relationship between the infringing measure and the legislative objective: </w:t>
      </w:r>
      <w:r w:rsidR="001C3D7E" w:rsidRPr="00CF4E9F">
        <w:rPr>
          <w:i/>
          <w:lang w:val="en-CA"/>
        </w:rPr>
        <w:t>R. v. Keegstra,</w:t>
      </w:r>
      <w:r w:rsidR="001C3D7E" w:rsidRPr="00CF4E9F">
        <w:rPr>
          <w:lang w:val="en-CA"/>
        </w:rPr>
        <w:t xml:space="preserve"> [1990] 3 S.C.R.</w:t>
      </w:r>
      <w:r w:rsidR="00187257">
        <w:rPr>
          <w:lang w:val="en-CA"/>
        </w:rPr>
        <w:t xml:space="preserve"> </w:t>
      </w:r>
      <w:r w:rsidR="001C3D7E" w:rsidRPr="00CF4E9F">
        <w:rPr>
          <w:lang w:val="en-CA"/>
        </w:rPr>
        <w:t xml:space="preserve">697, at pp. 768 and 777; </w:t>
      </w:r>
      <w:r w:rsidR="001C3D7E" w:rsidRPr="00CF4E9F">
        <w:rPr>
          <w:i/>
          <w:lang w:val="en-CA"/>
        </w:rPr>
        <w:t>R. v. Butler,</w:t>
      </w:r>
      <w:r w:rsidR="001C3D7E" w:rsidRPr="00CF4E9F">
        <w:rPr>
          <w:lang w:val="en-CA"/>
        </w:rPr>
        <w:t xml:space="preserve"> [1992] 1 S.C.R.</w:t>
      </w:r>
      <w:r w:rsidR="00883B2A" w:rsidRPr="00CF4E9F">
        <w:rPr>
          <w:lang w:val="en-CA"/>
        </w:rPr>
        <w:t xml:space="preserve"> </w:t>
      </w:r>
      <w:r w:rsidR="001C3D7E" w:rsidRPr="00CF4E9F">
        <w:rPr>
          <w:lang w:val="en-CA"/>
        </w:rPr>
        <w:t>452, at p. 503.</w:t>
      </w:r>
      <w:r w:rsidR="00D801AE">
        <w:rPr>
          <w:lang w:val="en-CA"/>
        </w:rPr>
        <w:t xml:space="preserve"> […]</w:t>
      </w:r>
      <w:r w:rsidRPr="00CF4E9F">
        <w:rPr>
          <w:rStyle w:val="Appelnotedebasdep"/>
          <w:szCs w:val="22"/>
          <w:lang w:val="en-CA"/>
        </w:rPr>
        <w:footnoteReference w:id="165"/>
      </w:r>
    </w:p>
    <w:p w14:paraId="59946A14" w14:textId="081CF078" w:rsidR="002B3938" w:rsidRPr="00CF4E9F" w:rsidRDefault="001C3D7E" w:rsidP="00FB0B43">
      <w:pPr>
        <w:pStyle w:val="Paragraphe"/>
        <w:spacing w:line="280" w:lineRule="exact"/>
        <w:rPr>
          <w:lang w:val="en-CA"/>
        </w:rPr>
      </w:pPr>
      <w:r w:rsidRPr="00CF4E9F">
        <w:rPr>
          <w:lang w:val="en-CA"/>
        </w:rPr>
        <w:t>Ultimately, the legislature must show “that it is reasonable to suppose that the limit may further the goal, not that it will do so”.</w:t>
      </w:r>
      <w:r w:rsidRPr="00CF4E9F">
        <w:rPr>
          <w:rStyle w:val="Appelnotedebasdep"/>
          <w:color w:val="000000"/>
          <w:lang w:val="en-CA"/>
        </w:rPr>
        <w:footnoteReference w:id="166"/>
      </w:r>
    </w:p>
    <w:p w14:paraId="56219214" w14:textId="2C97C44F" w:rsidR="00211F21" w:rsidRPr="00CF4E9F" w:rsidRDefault="001C3D7E" w:rsidP="00FB0B43">
      <w:pPr>
        <w:pStyle w:val="Paragraphe"/>
        <w:spacing w:line="280" w:lineRule="exact"/>
        <w:rPr>
          <w:lang w:val="en-CA"/>
        </w:rPr>
      </w:pPr>
      <w:r w:rsidRPr="00CF4E9F">
        <w:rPr>
          <w:lang w:val="en-CA"/>
        </w:rPr>
        <w:lastRenderedPageBreak/>
        <w:t xml:space="preserve">The issue here is to determine whether the power to make traffic stops with no required grounds set out in </w:t>
      </w:r>
      <w:r w:rsidR="00162E51">
        <w:rPr>
          <w:lang w:val="en-CA"/>
        </w:rPr>
        <w:t>s. </w:t>
      </w:r>
      <w:r w:rsidRPr="00CF4E9F">
        <w:rPr>
          <w:lang w:val="en-CA"/>
        </w:rPr>
        <w:t>636</w:t>
      </w:r>
      <w:r w:rsidR="0030762F" w:rsidRPr="0030762F">
        <w:rPr>
          <w:i/>
          <w:lang w:val="en-CA"/>
        </w:rPr>
        <w:t> HSC</w:t>
      </w:r>
      <w:r w:rsidRPr="00CF4E9F">
        <w:rPr>
          <w:lang w:val="en-CA"/>
        </w:rPr>
        <w:t xml:space="preserve"> is a rational means to ensure highway safety and, more specifically, reduce the number of serious road accidents, reduce the number of deaths and injuries related to such accidents, reduce the compensation costs </w:t>
      </w:r>
      <w:r w:rsidR="007955FD" w:rsidRPr="00CF4E9F">
        <w:rPr>
          <w:lang w:val="en-CA"/>
        </w:rPr>
        <w:t>o</w:t>
      </w:r>
      <w:r w:rsidRPr="00CF4E9F">
        <w:rPr>
          <w:lang w:val="en-CA"/>
        </w:rPr>
        <w:t xml:space="preserve">f public and private insurers, and combat </w:t>
      </w:r>
      <w:r w:rsidR="007955FD" w:rsidRPr="00CF4E9F">
        <w:rPr>
          <w:lang w:val="en-CA"/>
        </w:rPr>
        <w:t xml:space="preserve">impaired </w:t>
      </w:r>
      <w:r w:rsidRPr="00CF4E9F">
        <w:rPr>
          <w:lang w:val="en-CA"/>
        </w:rPr>
        <w:t>driving.</w:t>
      </w:r>
    </w:p>
    <w:p w14:paraId="60EDFE57" w14:textId="5D32EFBE" w:rsidR="00211F21" w:rsidRPr="00CF4E9F" w:rsidRDefault="001C3D7E" w:rsidP="00FB0B43">
      <w:pPr>
        <w:pStyle w:val="Paragraphe"/>
        <w:spacing w:line="280" w:lineRule="exact"/>
        <w:rPr>
          <w:lang w:val="en-CA"/>
        </w:rPr>
      </w:pPr>
      <w:r w:rsidRPr="00CF4E9F">
        <w:rPr>
          <w:lang w:val="en-CA"/>
        </w:rPr>
        <w:t xml:space="preserve">In </w:t>
      </w:r>
      <w:r w:rsidRPr="00CF4E9F">
        <w:rPr>
          <w:i/>
          <w:lang w:val="en-CA"/>
        </w:rPr>
        <w:t>Ladouceur</w:t>
      </w:r>
      <w:r w:rsidRPr="00CF4E9F">
        <w:rPr>
          <w:lang w:val="en-CA"/>
        </w:rPr>
        <w:t xml:space="preserve">, Cory, J. </w:t>
      </w:r>
      <w:r w:rsidR="00FC2AF3" w:rsidRPr="00CF4E9F">
        <w:rPr>
          <w:lang w:val="en-CA"/>
        </w:rPr>
        <w:t>concluded</w:t>
      </w:r>
      <w:r w:rsidRPr="00CF4E9F">
        <w:rPr>
          <w:lang w:val="en-CA"/>
        </w:rPr>
        <w:t xml:space="preserve"> that random stops were rationally connected to highway safety.</w:t>
      </w:r>
      <w:r w:rsidRPr="00CF4E9F">
        <w:rPr>
          <w:rStyle w:val="Appelnotedebasdep"/>
          <w:lang w:val="en-CA"/>
        </w:rPr>
        <w:footnoteReference w:id="167"/>
      </w:r>
      <w:r w:rsidR="0043013D" w:rsidRPr="00CF4E9F">
        <w:rPr>
          <w:lang w:val="en-CA"/>
        </w:rPr>
        <w:t xml:space="preserve"> </w:t>
      </w:r>
      <w:r w:rsidRPr="00CF4E9F">
        <w:rPr>
          <w:lang w:val="en-CA"/>
        </w:rPr>
        <w:t xml:space="preserve">In his view, the random licence checks, made possible by the </w:t>
      </w:r>
      <w:r w:rsidR="00FC2AF3" w:rsidRPr="00CF4E9F">
        <w:rPr>
          <w:lang w:val="en-CA"/>
        </w:rPr>
        <w:t>challenged</w:t>
      </w:r>
      <w:r w:rsidRPr="00CF4E9F">
        <w:rPr>
          <w:lang w:val="en-CA"/>
        </w:rPr>
        <w:t xml:space="preserve"> provision, </w:t>
      </w:r>
      <w:r w:rsidR="00FC2AF3" w:rsidRPr="00CF4E9F">
        <w:rPr>
          <w:lang w:val="en-CA"/>
        </w:rPr>
        <w:t>might</w:t>
      </w:r>
      <w:r w:rsidRPr="00CF4E9F">
        <w:rPr>
          <w:lang w:val="en-CA"/>
        </w:rPr>
        <w:t xml:space="preserve"> deter unlicensed drivers from getting behind the wheel.</w:t>
      </w:r>
      <w:r w:rsidR="0043013D" w:rsidRPr="00CF4E9F">
        <w:rPr>
          <w:lang w:val="en-CA"/>
        </w:rPr>
        <w:t xml:space="preserve"> </w:t>
      </w:r>
      <w:r w:rsidR="00B65902">
        <w:rPr>
          <w:lang w:val="en-CA"/>
        </w:rPr>
        <w:t>P</w:t>
      </w:r>
      <w:r w:rsidRPr="00CF4E9F">
        <w:rPr>
          <w:lang w:val="en-CA"/>
        </w:rPr>
        <w:t>olice</w:t>
      </w:r>
      <w:r w:rsidR="00B65902">
        <w:rPr>
          <w:lang w:val="en-CA"/>
        </w:rPr>
        <w:t xml:space="preserve"> officers</w:t>
      </w:r>
      <w:r w:rsidRPr="00CF4E9F">
        <w:rPr>
          <w:lang w:val="en-CA"/>
        </w:rPr>
        <w:t xml:space="preserve"> could also stop those who </w:t>
      </w:r>
      <w:r w:rsidR="00B65902">
        <w:rPr>
          <w:lang w:val="en-CA"/>
        </w:rPr>
        <w:t>nevertheless</w:t>
      </w:r>
      <w:r w:rsidR="00B65902" w:rsidRPr="00CF4E9F">
        <w:rPr>
          <w:lang w:val="en-CA"/>
        </w:rPr>
        <w:t xml:space="preserve"> </w:t>
      </w:r>
      <w:r w:rsidRPr="00CF4E9F">
        <w:rPr>
          <w:lang w:val="en-CA"/>
        </w:rPr>
        <w:t>decide</w:t>
      </w:r>
      <w:r w:rsidR="00FC2AF3" w:rsidRPr="00CF4E9F">
        <w:rPr>
          <w:lang w:val="en-CA"/>
        </w:rPr>
        <w:t>d</w:t>
      </w:r>
      <w:r w:rsidRPr="00CF4E9F">
        <w:rPr>
          <w:lang w:val="en-CA"/>
        </w:rPr>
        <w:t xml:space="preserve"> to drive illegally.</w:t>
      </w:r>
    </w:p>
    <w:p w14:paraId="25433583" w14:textId="1D23540E" w:rsidR="00211F21" w:rsidRPr="00CF4E9F" w:rsidRDefault="001C3D7E" w:rsidP="00FB0B43">
      <w:pPr>
        <w:pStyle w:val="Paragraphe"/>
        <w:spacing w:line="280" w:lineRule="exact"/>
        <w:rPr>
          <w:lang w:val="en-CA"/>
        </w:rPr>
      </w:pPr>
      <w:r w:rsidRPr="00CF4E9F">
        <w:rPr>
          <w:lang w:val="en-CA"/>
        </w:rPr>
        <w:t xml:space="preserve">In his analysis of the justification of the infringement of the right guaranteed by </w:t>
      </w:r>
      <w:r w:rsidR="00162E51">
        <w:rPr>
          <w:lang w:val="en-CA"/>
        </w:rPr>
        <w:t>s. </w:t>
      </w:r>
      <w:r w:rsidRPr="00CF4E9F">
        <w:rPr>
          <w:lang w:val="en-CA"/>
        </w:rPr>
        <w:t>9, the trial judge said that he disagreed with this conclusion.</w:t>
      </w:r>
      <w:r w:rsidR="0043013D" w:rsidRPr="00CF4E9F">
        <w:rPr>
          <w:lang w:val="en-CA"/>
        </w:rPr>
        <w:t xml:space="preserve"> </w:t>
      </w:r>
      <w:r w:rsidR="00FC2AF3" w:rsidRPr="00CF4E9F">
        <w:rPr>
          <w:lang w:val="en-CA"/>
        </w:rPr>
        <w:t xml:space="preserve">In his view, </w:t>
      </w:r>
      <w:r w:rsidRPr="00CF4E9F">
        <w:rPr>
          <w:lang w:val="en-CA"/>
        </w:rPr>
        <w:t xml:space="preserve">it had not been </w:t>
      </w:r>
      <w:r w:rsidR="00FC2AF3" w:rsidRPr="00CF4E9F">
        <w:rPr>
          <w:lang w:val="en-CA"/>
        </w:rPr>
        <w:t xml:space="preserve">established </w:t>
      </w:r>
      <w:r w:rsidRPr="00CF4E9F">
        <w:rPr>
          <w:lang w:val="en-CA"/>
        </w:rPr>
        <w:t xml:space="preserve">that the </w:t>
      </w:r>
      <w:r w:rsidR="00FC2AF3" w:rsidRPr="00CF4E9F">
        <w:rPr>
          <w:lang w:val="en-CA"/>
        </w:rPr>
        <w:t xml:space="preserve">means </w:t>
      </w:r>
      <w:r w:rsidRPr="00CF4E9F">
        <w:rPr>
          <w:lang w:val="en-CA"/>
        </w:rPr>
        <w:t xml:space="preserve">chosen </w:t>
      </w:r>
      <w:r w:rsidR="00FC2AF3" w:rsidRPr="00CF4E9F">
        <w:rPr>
          <w:lang w:val="en-CA"/>
        </w:rPr>
        <w:t xml:space="preserve">by the legislature </w:t>
      </w:r>
      <w:r w:rsidRPr="00CF4E9F">
        <w:rPr>
          <w:lang w:val="en-CA"/>
        </w:rPr>
        <w:t>was rationally connected to its objective:</w:t>
      </w:r>
      <w:r w:rsidR="0043013D" w:rsidRPr="00CF4E9F">
        <w:rPr>
          <w:lang w:val="en-CA"/>
        </w:rPr>
        <w:t xml:space="preserve"> </w:t>
      </w:r>
    </w:p>
    <w:p w14:paraId="5076376F" w14:textId="623972AA" w:rsidR="001C3D7E" w:rsidRPr="00CF4E9F" w:rsidRDefault="001C3D7E" w:rsidP="00F11F05">
      <w:pPr>
        <w:pStyle w:val="Citationenretrait"/>
        <w:rPr>
          <w:lang w:val="en-CA"/>
        </w:rPr>
      </w:pPr>
      <w:r w:rsidRPr="00CF4E9F">
        <w:rPr>
          <w:rFonts w:cs="Arial"/>
          <w:lang w:val="en-CA"/>
        </w:rPr>
        <w:t>[</w:t>
      </w:r>
      <w:r w:rsidRPr="00CF4E9F">
        <w:rPr>
          <w:rFonts w:cs="Arial"/>
          <w:smallCaps/>
          <w:lang w:val="en-CA"/>
        </w:rPr>
        <w:t>translation</w:t>
      </w:r>
      <w:r w:rsidRPr="00CF4E9F">
        <w:rPr>
          <w:rFonts w:cs="Arial"/>
          <w:lang w:val="en-CA"/>
        </w:rPr>
        <w:t>]</w:t>
      </w:r>
    </w:p>
    <w:p w14:paraId="1E689744" w14:textId="20F7056A" w:rsidR="00211F21" w:rsidRPr="00CF4E9F" w:rsidRDefault="0043013D" w:rsidP="00F11F05">
      <w:pPr>
        <w:pStyle w:val="Citationenretrait"/>
        <w:rPr>
          <w:lang w:val="en-CA"/>
        </w:rPr>
      </w:pPr>
      <w:r w:rsidRPr="00CF4E9F">
        <w:rPr>
          <w:lang w:val="en-CA"/>
        </w:rPr>
        <w:t>[693]</w:t>
      </w:r>
      <w:r w:rsidRPr="00CF4E9F">
        <w:rPr>
          <w:lang w:val="en-CA"/>
        </w:rPr>
        <w:tab/>
      </w:r>
      <w:r w:rsidR="007544FF">
        <w:rPr>
          <w:lang w:val="en-CA"/>
        </w:rPr>
        <w:t>[</w:t>
      </w:r>
      <w:r w:rsidR="001C3D7E" w:rsidRPr="00CF4E9F">
        <w:rPr>
          <w:lang w:val="en-CA"/>
        </w:rPr>
        <w:t>...</w:t>
      </w:r>
      <w:r w:rsidR="007544FF">
        <w:rPr>
          <w:lang w:val="en-CA"/>
        </w:rPr>
        <w:t>]</w:t>
      </w:r>
      <w:r w:rsidR="001C3D7E" w:rsidRPr="00CF4E9F">
        <w:rPr>
          <w:lang w:val="en-CA"/>
        </w:rPr>
        <w:t xml:space="preserve"> In this case, there is no specific evidence establishing the connection between the type of stop authorized by </w:t>
      </w:r>
      <w:r w:rsidR="001C3D7E" w:rsidRPr="00CF4E9F">
        <w:rPr>
          <w:i/>
          <w:lang w:val="en-CA"/>
        </w:rPr>
        <w:t>Ladouceur</w:t>
      </w:r>
      <w:r w:rsidR="001C3D7E" w:rsidRPr="00CF4E9F">
        <w:rPr>
          <w:lang w:val="en-CA"/>
        </w:rPr>
        <w:t xml:space="preserve"> and the gradual decrease since 1990 in the number o</w:t>
      </w:r>
      <w:r w:rsidR="00D00A15">
        <w:rPr>
          <w:lang w:val="en-CA"/>
        </w:rPr>
        <w:t>f</w:t>
      </w:r>
      <w:r w:rsidR="001C3D7E" w:rsidRPr="00CF4E9F">
        <w:rPr>
          <w:lang w:val="en-CA"/>
        </w:rPr>
        <w:t xml:space="preserve"> road accidents or </w:t>
      </w:r>
      <w:r w:rsidR="001C3D7E" w:rsidRPr="00CF4E9F">
        <w:rPr>
          <w:i/>
          <w:lang w:val="en-CA"/>
        </w:rPr>
        <w:t>Highway Safety Code</w:t>
      </w:r>
      <w:r w:rsidR="001C3D7E" w:rsidRPr="00CF4E9F">
        <w:rPr>
          <w:lang w:val="en-CA"/>
        </w:rPr>
        <w:t xml:space="preserve"> and </w:t>
      </w:r>
      <w:r w:rsidR="001C3D7E" w:rsidRPr="00CF4E9F">
        <w:rPr>
          <w:i/>
          <w:lang w:val="en-CA"/>
        </w:rPr>
        <w:t>Criminal Code</w:t>
      </w:r>
      <w:r w:rsidR="001C3D7E" w:rsidRPr="00CF4E9F">
        <w:rPr>
          <w:lang w:val="en-CA"/>
        </w:rPr>
        <w:t xml:space="preserve"> offences.</w:t>
      </w:r>
      <w:r w:rsidRPr="00CF4E9F">
        <w:rPr>
          <w:lang w:val="en-CA"/>
        </w:rPr>
        <w:t xml:space="preserve"> </w:t>
      </w:r>
      <w:r w:rsidR="001C3D7E" w:rsidRPr="00CF4E9F">
        <w:rPr>
          <w:lang w:val="en-CA"/>
        </w:rPr>
        <w:t xml:space="preserve">Nor is there evidence establishing that putting an end to </w:t>
      </w:r>
      <w:r w:rsidR="007544FF">
        <w:rPr>
          <w:i/>
          <w:lang w:val="en-CA"/>
        </w:rPr>
        <w:t xml:space="preserve">traffic </w:t>
      </w:r>
      <w:r w:rsidR="001C3D7E" w:rsidRPr="00CF4E9F">
        <w:rPr>
          <w:i/>
          <w:lang w:val="en-CA"/>
        </w:rPr>
        <w:t>stops without factual grounds</w:t>
      </w:r>
      <w:r w:rsidR="001C3D7E" w:rsidRPr="00CF4E9F">
        <w:rPr>
          <w:lang w:val="en-CA"/>
        </w:rPr>
        <w:t xml:space="preserve"> would lead to an increase in serious road accidents related to alcohol, drugs, or unlicensed drivers.</w:t>
      </w:r>
      <w:r w:rsidR="00896A02">
        <w:rPr>
          <w:lang w:val="en-CA"/>
        </w:rPr>
        <w:t xml:space="preserve"> […]</w:t>
      </w:r>
    </w:p>
    <w:p w14:paraId="4D4F00FD" w14:textId="25FCA4FB" w:rsidR="00D23C81" w:rsidRPr="00CF4E9F" w:rsidRDefault="00E27CEF" w:rsidP="00D23C81">
      <w:pPr>
        <w:pStyle w:val="Citationenretrait"/>
        <w:jc w:val="right"/>
        <w:rPr>
          <w:lang w:val="en-CA"/>
        </w:rPr>
      </w:pPr>
      <w:r w:rsidRPr="00CF4E9F">
        <w:rPr>
          <w:lang w:val="en-CA"/>
        </w:rPr>
        <w:t>[Italics in the original]</w:t>
      </w:r>
    </w:p>
    <w:p w14:paraId="1CD28B79" w14:textId="68AEEE98" w:rsidR="00211F21" w:rsidRPr="00CF4E9F" w:rsidRDefault="00383179" w:rsidP="00FB0B43">
      <w:pPr>
        <w:pStyle w:val="Paragraphe"/>
        <w:spacing w:line="280" w:lineRule="exact"/>
        <w:rPr>
          <w:lang w:val="en-CA"/>
        </w:rPr>
      </w:pPr>
      <w:r w:rsidRPr="00CF4E9F">
        <w:rPr>
          <w:lang w:val="en-CA"/>
        </w:rPr>
        <w:t xml:space="preserve">With respect, the judge is mistaken </w:t>
      </w:r>
      <w:r w:rsidR="005A43A4" w:rsidRPr="00CF4E9F">
        <w:rPr>
          <w:lang w:val="en-CA"/>
        </w:rPr>
        <w:t>on</w:t>
      </w:r>
      <w:r w:rsidRPr="00CF4E9F">
        <w:rPr>
          <w:lang w:val="en-CA"/>
        </w:rPr>
        <w:t xml:space="preserve"> the rational connection </w:t>
      </w:r>
      <w:r w:rsidR="001373A5">
        <w:rPr>
          <w:lang w:val="en-CA"/>
        </w:rPr>
        <w:t>analysis</w:t>
      </w:r>
      <w:r w:rsidRPr="00CF4E9F">
        <w:rPr>
          <w:lang w:val="en-CA"/>
        </w:rPr>
        <w:t>.</w:t>
      </w:r>
      <w:r w:rsidR="0043013D" w:rsidRPr="00CF4E9F">
        <w:rPr>
          <w:lang w:val="en-CA"/>
        </w:rPr>
        <w:t xml:space="preserve"> </w:t>
      </w:r>
      <w:r w:rsidRPr="00CF4E9F">
        <w:rPr>
          <w:lang w:val="en-CA"/>
        </w:rPr>
        <w:t>This test is not very onerous</w:t>
      </w:r>
      <w:r w:rsidRPr="00CF4E9F">
        <w:rPr>
          <w:rStyle w:val="Appelnotedebasdep"/>
          <w:lang w:val="en-CA"/>
        </w:rPr>
        <w:footnoteReference w:id="168"/>
      </w:r>
      <w:r w:rsidRPr="00CF4E9F">
        <w:rPr>
          <w:lang w:val="en-CA"/>
        </w:rPr>
        <w:t xml:space="preserve"> and did not impose the burden </w:t>
      </w:r>
      <w:r w:rsidR="00A7560E" w:rsidRPr="00A7560E">
        <w:rPr>
          <w:lang w:val="en-CA"/>
        </w:rPr>
        <w:t xml:space="preserve">on the AGQ </w:t>
      </w:r>
      <w:r w:rsidRPr="00CF4E9F">
        <w:rPr>
          <w:lang w:val="en-CA"/>
        </w:rPr>
        <w:t xml:space="preserve">of proving a precise correlation between the infringing measure and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 xml:space="preserve">“the drop in </w:t>
      </w:r>
      <w:r w:rsidRPr="00CF4E9F">
        <w:rPr>
          <w:i/>
          <w:lang w:val="en-CA"/>
        </w:rPr>
        <w:t>Criminal Code</w:t>
      </w:r>
      <w:r w:rsidRPr="00CF4E9F">
        <w:rPr>
          <w:lang w:val="en-CA"/>
        </w:rPr>
        <w:t xml:space="preserve"> and </w:t>
      </w:r>
      <w:r w:rsidRPr="00CF4E9F">
        <w:rPr>
          <w:i/>
          <w:lang w:val="en-CA"/>
        </w:rPr>
        <w:t>Highway Safety Code</w:t>
      </w:r>
      <w:r w:rsidRPr="00CF4E9F">
        <w:rPr>
          <w:lang w:val="en-CA"/>
        </w:rPr>
        <w:t xml:space="preserve"> offences”.</w:t>
      </w:r>
      <w:r w:rsidRPr="00CF4E9F">
        <w:rPr>
          <w:rStyle w:val="Appelnotedebasdep"/>
          <w:lang w:val="en-CA"/>
        </w:rPr>
        <w:footnoteReference w:id="169"/>
      </w:r>
      <w:r w:rsidR="0043013D" w:rsidRPr="00CF4E9F">
        <w:rPr>
          <w:lang w:val="en-CA"/>
        </w:rPr>
        <w:t xml:space="preserve"> </w:t>
      </w:r>
      <w:r w:rsidRPr="00CF4E9F">
        <w:rPr>
          <w:lang w:val="en-CA"/>
        </w:rPr>
        <w:t xml:space="preserve">As the Supreme Court stated in </w:t>
      </w:r>
      <w:r w:rsidRPr="00CF4E9F">
        <w:rPr>
          <w:i/>
          <w:lang w:val="en-CA"/>
        </w:rPr>
        <w:t>Carter</w:t>
      </w:r>
      <w:r w:rsidRPr="00CF4E9F">
        <w:rPr>
          <w:lang w:val="en-CA"/>
        </w:rPr>
        <w:t>, “where an activity poses certain risks, prohibition of the activity in question is a rational method of curtailing the risks”.</w:t>
      </w:r>
      <w:r w:rsidRPr="00CF4E9F">
        <w:rPr>
          <w:rStyle w:val="Appelnotedebasdep"/>
          <w:lang w:val="en-CA"/>
        </w:rPr>
        <w:footnoteReference w:id="170"/>
      </w:r>
      <w:r w:rsidR="0043013D" w:rsidRPr="00CF4E9F">
        <w:rPr>
          <w:lang w:val="en-CA"/>
        </w:rPr>
        <w:t xml:space="preserve"> </w:t>
      </w:r>
    </w:p>
    <w:p w14:paraId="543D752D" w14:textId="2F100530" w:rsidR="00211F21" w:rsidRPr="00CF4E9F" w:rsidRDefault="00152B23" w:rsidP="00FB0B43">
      <w:pPr>
        <w:pStyle w:val="Paragraphe"/>
        <w:spacing w:line="280" w:lineRule="exact"/>
        <w:rPr>
          <w:lang w:val="en-CA"/>
        </w:rPr>
      </w:pPr>
      <w:r>
        <w:rPr>
          <w:lang w:val="en-CA"/>
        </w:rPr>
        <w:t>Moreover</w:t>
      </w:r>
      <w:r w:rsidR="0029512A" w:rsidRPr="00CF4E9F">
        <w:rPr>
          <w:lang w:val="en-CA"/>
        </w:rPr>
        <w:t xml:space="preserve">, it is logical to think that impaired driving detection strategies contribute to deterring reckless drivers from getting behind the wheel when </w:t>
      </w:r>
      <w:r w:rsidR="005F2C00">
        <w:rPr>
          <w:lang w:val="en-CA"/>
        </w:rPr>
        <w:t>intoxicated</w:t>
      </w:r>
      <w:r w:rsidR="0029512A" w:rsidRPr="00CF4E9F">
        <w:rPr>
          <w:lang w:val="en-CA"/>
        </w:rPr>
        <w:t>.</w:t>
      </w:r>
      <w:r w:rsidR="0029512A" w:rsidRPr="00CF4E9F">
        <w:rPr>
          <w:rStyle w:val="Appelnotedebasdep"/>
          <w:lang w:val="en-CA"/>
        </w:rPr>
        <w:footnoteReference w:id="171"/>
      </w:r>
    </w:p>
    <w:p w14:paraId="54C51F7B" w14:textId="01817BE7" w:rsidR="00211F21" w:rsidRPr="00CF4E9F" w:rsidRDefault="0029512A" w:rsidP="00FB0B43">
      <w:pPr>
        <w:pStyle w:val="Paragraphe"/>
        <w:spacing w:line="280" w:lineRule="exact"/>
        <w:rPr>
          <w:lang w:val="en-CA"/>
        </w:rPr>
      </w:pPr>
      <w:r w:rsidRPr="00CF4E9F">
        <w:rPr>
          <w:lang w:val="en-CA"/>
        </w:rPr>
        <w:lastRenderedPageBreak/>
        <w:t xml:space="preserve">In </w:t>
      </w:r>
      <w:r w:rsidRPr="00CF4E9F">
        <w:rPr>
          <w:i/>
          <w:lang w:val="en-CA"/>
        </w:rPr>
        <w:t>R. v. Brown</w:t>
      </w:r>
      <w:r w:rsidRPr="00CF4E9F">
        <w:rPr>
          <w:lang w:val="en-CA"/>
        </w:rPr>
        <w:t>,</w:t>
      </w:r>
      <w:r w:rsidRPr="00CF4E9F">
        <w:rPr>
          <w:rStyle w:val="Appelnotedebasdep"/>
          <w:lang w:val="en-CA"/>
        </w:rPr>
        <w:footnoteReference w:id="172"/>
      </w:r>
      <w:r w:rsidRPr="00CF4E9F">
        <w:rPr>
          <w:lang w:val="en-CA"/>
        </w:rPr>
        <w:t xml:space="preserve"> the Supreme Court </w:t>
      </w:r>
      <w:r w:rsidR="00BD1BD4" w:rsidRPr="00CF4E9F">
        <w:rPr>
          <w:lang w:val="en-CA"/>
        </w:rPr>
        <w:t>acknowledged</w:t>
      </w:r>
      <w:r w:rsidRPr="00CF4E9F">
        <w:rPr>
          <w:lang w:val="en-CA"/>
        </w:rPr>
        <w:t xml:space="preserve"> that deterrence is likely to </w:t>
      </w:r>
      <w:r w:rsidR="00561C16" w:rsidRPr="00CF4E9F">
        <w:rPr>
          <w:lang w:val="en-CA"/>
        </w:rPr>
        <w:t>provide</w:t>
      </w:r>
      <w:r w:rsidRPr="00CF4E9F">
        <w:rPr>
          <w:lang w:val="en-CA"/>
        </w:rPr>
        <w:t xml:space="preserve"> a rational connection between the means and the objective of an infringing measure, even if the deterrent effect is limited.</w:t>
      </w:r>
      <w:r w:rsidR="000C60C8" w:rsidRPr="00CF4E9F">
        <w:rPr>
          <w:lang w:val="en-CA"/>
        </w:rPr>
        <w:t xml:space="preserve"> </w:t>
      </w:r>
      <w:r w:rsidRPr="00CF4E9F">
        <w:rPr>
          <w:lang w:val="en-CA"/>
        </w:rPr>
        <w:t xml:space="preserve">That case examined the constitutionality of </w:t>
      </w:r>
      <w:r w:rsidR="00162E51">
        <w:rPr>
          <w:lang w:val="en-CA"/>
        </w:rPr>
        <w:t>s. </w:t>
      </w:r>
      <w:r w:rsidRPr="00CF4E9F">
        <w:rPr>
          <w:lang w:val="en-CA"/>
        </w:rPr>
        <w:t>33.1</w:t>
      </w:r>
      <w:r w:rsidR="0030762F" w:rsidRPr="0030762F">
        <w:rPr>
          <w:i/>
          <w:lang w:val="en-CA"/>
        </w:rPr>
        <w:t> Cr.C.</w:t>
      </w:r>
      <w:r w:rsidRPr="00CF4E9F">
        <w:rPr>
          <w:i/>
          <w:lang w:val="en-CA"/>
        </w:rPr>
        <w:t>,</w:t>
      </w:r>
      <w:r w:rsidRPr="00CF4E9F">
        <w:rPr>
          <w:lang w:val="en-CA"/>
        </w:rPr>
        <w:t xml:space="preserve"> which precluded self-induced intoxication akin to automatism as a defence to charges of violent offences whe</w:t>
      </w:r>
      <w:r w:rsidR="00561C16" w:rsidRPr="00CF4E9F">
        <w:rPr>
          <w:lang w:val="en-CA"/>
        </w:rPr>
        <w:t>re</w:t>
      </w:r>
      <w:r w:rsidRPr="00CF4E9F">
        <w:rPr>
          <w:lang w:val="en-CA"/>
        </w:rPr>
        <w:t xml:space="preserve"> the accused departed markedly from the standard of reasonable care </w:t>
      </w:r>
      <w:r w:rsidR="00561C16" w:rsidRPr="00CF4E9F">
        <w:rPr>
          <w:lang w:val="en-CA"/>
        </w:rPr>
        <w:t>described</w:t>
      </w:r>
      <w:r w:rsidRPr="00CF4E9F">
        <w:rPr>
          <w:lang w:val="en-CA"/>
        </w:rPr>
        <w:t xml:space="preserve"> in </w:t>
      </w:r>
      <w:r w:rsidR="00162E51">
        <w:rPr>
          <w:lang w:val="en-CA"/>
        </w:rPr>
        <w:t>s. </w:t>
      </w:r>
      <w:r w:rsidRPr="00CF4E9F">
        <w:rPr>
          <w:lang w:val="en-CA"/>
        </w:rPr>
        <w:t>33.1(2)</w:t>
      </w:r>
      <w:r w:rsidR="0030762F" w:rsidRPr="0030762F">
        <w:rPr>
          <w:i/>
          <w:lang w:val="en-CA"/>
        </w:rPr>
        <w:t> Cr.C.</w:t>
      </w:r>
      <w:r w:rsidRPr="00CF4E9F">
        <w:rPr>
          <w:rStyle w:val="Appelnotedebasdep"/>
          <w:lang w:val="en-CA"/>
        </w:rPr>
        <w:footnoteReference w:id="173"/>
      </w:r>
      <w:r w:rsidR="00866B49" w:rsidRPr="00CF4E9F">
        <w:rPr>
          <w:lang w:val="en-CA"/>
        </w:rPr>
        <w:t xml:space="preserve"> </w:t>
      </w:r>
      <w:r w:rsidRPr="00CF4E9F">
        <w:rPr>
          <w:lang w:val="en-CA"/>
        </w:rPr>
        <w:t xml:space="preserve">The Court concluded that </w:t>
      </w:r>
      <w:r w:rsidR="00162E51">
        <w:rPr>
          <w:lang w:val="en-CA"/>
        </w:rPr>
        <w:t>s. </w:t>
      </w:r>
      <w:r w:rsidRPr="00CF4E9F">
        <w:rPr>
          <w:lang w:val="en-CA"/>
        </w:rPr>
        <w:t>33.1</w:t>
      </w:r>
      <w:r w:rsidR="0030762F" w:rsidRPr="0030762F">
        <w:rPr>
          <w:i/>
          <w:lang w:val="en-CA"/>
        </w:rPr>
        <w:t> Cr.C.</w:t>
      </w:r>
      <w:r w:rsidRPr="00CF4E9F">
        <w:rPr>
          <w:lang w:val="en-CA"/>
        </w:rPr>
        <w:t xml:space="preserve"> infringe</w:t>
      </w:r>
      <w:r w:rsidR="00561C16" w:rsidRPr="00CF4E9F">
        <w:rPr>
          <w:lang w:val="en-CA"/>
        </w:rPr>
        <w:t>d</w:t>
      </w:r>
      <w:r w:rsidRPr="00CF4E9F">
        <w:rPr>
          <w:lang w:val="en-CA"/>
        </w:rPr>
        <w:t xml:space="preserve"> </w:t>
      </w:r>
      <w:r w:rsidR="00A933FD">
        <w:rPr>
          <w:lang w:val="en-CA"/>
        </w:rPr>
        <w:t>ss. </w:t>
      </w:r>
      <w:r w:rsidRPr="00CF4E9F">
        <w:rPr>
          <w:lang w:val="en-CA"/>
        </w:rPr>
        <w:t xml:space="preserve">7 and 11(d) of the </w:t>
      </w:r>
      <w:r w:rsidRPr="00CF4E9F">
        <w:rPr>
          <w:i/>
          <w:lang w:val="en-CA"/>
        </w:rPr>
        <w:t>Charter</w:t>
      </w:r>
      <w:r w:rsidRPr="00CF4E9F">
        <w:rPr>
          <w:lang w:val="en-CA"/>
        </w:rPr>
        <w:t xml:space="preserve"> </w:t>
      </w:r>
      <w:r w:rsidR="00BD1BD4" w:rsidRPr="00CF4E9F">
        <w:rPr>
          <w:lang w:val="en-CA"/>
        </w:rPr>
        <w:t xml:space="preserve">and </w:t>
      </w:r>
      <w:r w:rsidRPr="00CF4E9F">
        <w:rPr>
          <w:lang w:val="en-CA"/>
        </w:rPr>
        <w:t>considered the rational connection test, which it summarized as</w:t>
      </w:r>
      <w:r w:rsidR="00B10D86">
        <w:rPr>
          <w:lang w:val="en-CA"/>
        </w:rPr>
        <w:t xml:space="preserve"> follows</w:t>
      </w:r>
      <w:r w:rsidRPr="00CF4E9F">
        <w:rPr>
          <w:lang w:val="en-CA"/>
        </w:rPr>
        <w:t>: “</w:t>
      </w:r>
      <w:r w:rsidRPr="00CF4E9F">
        <w:rPr>
          <w:rFonts w:cs="Arial"/>
          <w:lang w:val="en-CA"/>
        </w:rPr>
        <w:t>[</w:t>
      </w:r>
      <w:r w:rsidRPr="00CF4E9F">
        <w:rPr>
          <w:lang w:val="en-CA"/>
        </w:rPr>
        <w:t>t</w:t>
      </w:r>
      <w:r w:rsidRPr="00CF4E9F">
        <w:rPr>
          <w:rFonts w:cs="Arial"/>
          <w:lang w:val="en-CA"/>
        </w:rPr>
        <w:t>]</w:t>
      </w:r>
      <w:r w:rsidRPr="00CF4E9F">
        <w:rPr>
          <w:lang w:val="en-CA"/>
        </w:rPr>
        <w:t xml:space="preserve">here must be </w:t>
      </w:r>
      <w:r w:rsidR="00C21877">
        <w:rPr>
          <w:lang w:val="en-CA"/>
        </w:rPr>
        <w:t>‘</w:t>
      </w:r>
      <w:r w:rsidRPr="00CF4E9F">
        <w:rPr>
          <w:lang w:val="en-CA"/>
        </w:rPr>
        <w:t>a causal connection between the infringement and the benefit sought on the basis of reason or logic</w:t>
      </w:r>
      <w:r w:rsidR="00BC6929">
        <w:rPr>
          <w:lang w:val="en-CA"/>
        </w:rPr>
        <w:t>’</w:t>
      </w:r>
      <w:r w:rsidR="00BD1BD4" w:rsidRPr="00CF4E9F">
        <w:rPr>
          <w:lang w:val="en-CA"/>
        </w:rPr>
        <w:t>”</w:t>
      </w:r>
      <w:r w:rsidRPr="00CF4E9F">
        <w:rPr>
          <w:lang w:val="en-CA"/>
        </w:rPr>
        <w:t>.</w:t>
      </w:r>
      <w:r w:rsidRPr="00CF4E9F">
        <w:rPr>
          <w:rStyle w:val="Appelnotedebasdep"/>
          <w:lang w:val="en-CA"/>
        </w:rPr>
        <w:footnoteReference w:id="174"/>
      </w:r>
      <w:r w:rsidR="0043013D" w:rsidRPr="00CF4E9F">
        <w:rPr>
          <w:lang w:val="en-CA"/>
        </w:rPr>
        <w:t xml:space="preserve"> </w:t>
      </w:r>
      <w:r w:rsidRPr="00CF4E9F">
        <w:rPr>
          <w:lang w:val="en-CA"/>
        </w:rPr>
        <w:t>The Court then applied this test:</w:t>
      </w:r>
    </w:p>
    <w:p w14:paraId="29558D3F" w14:textId="07363CD2" w:rsidR="00211F21" w:rsidRPr="00CF4E9F" w:rsidRDefault="00F11F05" w:rsidP="00F11F05">
      <w:pPr>
        <w:pStyle w:val="Citationenretrait"/>
        <w:rPr>
          <w:i/>
          <w:iCs/>
          <w:lang w:val="en-CA"/>
        </w:rPr>
      </w:pPr>
      <w:r w:rsidRPr="00CF4E9F">
        <w:rPr>
          <w:lang w:val="en-CA"/>
        </w:rPr>
        <w:t>[131]</w:t>
      </w:r>
      <w:r w:rsidRPr="00CF4E9F">
        <w:rPr>
          <w:lang w:val="en-CA"/>
        </w:rPr>
        <w:tab/>
      </w:r>
      <w:r w:rsidR="0029512A" w:rsidRPr="00CF4E9F">
        <w:rPr>
          <w:u w:val="single"/>
          <w:lang w:val="en-CA"/>
        </w:rPr>
        <w:t>I recognize Paciocco J.A.’s criticism that s.</w:t>
      </w:r>
      <w:r w:rsidR="0043013D" w:rsidRPr="00CF4E9F">
        <w:rPr>
          <w:u w:val="single"/>
          <w:lang w:val="en-CA"/>
        </w:rPr>
        <w:t xml:space="preserve"> </w:t>
      </w:r>
      <w:r w:rsidR="0029512A" w:rsidRPr="00CF4E9F">
        <w:rPr>
          <w:u w:val="single"/>
          <w:lang w:val="en-CA"/>
        </w:rPr>
        <w:t>33.1 fails to offer meaningful deterrence</w:t>
      </w:r>
      <w:r w:rsidR="0029512A" w:rsidRPr="00CF4E9F">
        <w:rPr>
          <w:lang w:val="en-CA"/>
        </w:rPr>
        <w:t xml:space="preserve"> in support of Parliament’s protective purpose.</w:t>
      </w:r>
      <w:r w:rsidR="0043013D" w:rsidRPr="00CF4E9F">
        <w:rPr>
          <w:lang w:val="en-CA"/>
        </w:rPr>
        <w:t xml:space="preserve"> </w:t>
      </w:r>
      <w:r w:rsidR="0029512A" w:rsidRPr="00CF4E9F">
        <w:rPr>
          <w:lang w:val="en-CA"/>
        </w:rPr>
        <w:t xml:space="preserve">In </w:t>
      </w:r>
      <w:r w:rsidR="0029512A" w:rsidRPr="00CF4E9F">
        <w:rPr>
          <w:i/>
          <w:lang w:val="en-CA"/>
        </w:rPr>
        <w:t>Sullivan</w:t>
      </w:r>
      <w:r w:rsidR="0029512A" w:rsidRPr="00CF4E9F">
        <w:rPr>
          <w:lang w:val="en-CA"/>
        </w:rPr>
        <w:t>, he wrote that “[e]ffective deterrence requires foresight . . . of the penal consequence” (para.</w:t>
      </w:r>
      <w:r w:rsidR="005936D6">
        <w:rPr>
          <w:lang w:val="en-CA"/>
        </w:rPr>
        <w:t> </w:t>
      </w:r>
      <w:r w:rsidR="0043013D" w:rsidRPr="00CF4E9F">
        <w:rPr>
          <w:lang w:val="en-CA"/>
        </w:rPr>
        <w:t xml:space="preserve">121). </w:t>
      </w:r>
      <w:r w:rsidR="0029512A" w:rsidRPr="00CF4E9F">
        <w:rPr>
          <w:lang w:val="en-CA"/>
        </w:rPr>
        <w:t>“I am not persuaded”, he continued, “that a reasonable person would anticipate the risk that, by becoming voluntarily intoxicated, they could lapse into a state of automatism and unwilfully commit a violent act” (</w:t>
      </w:r>
      <w:r w:rsidR="0029512A" w:rsidRPr="00CF4E9F">
        <w:rPr>
          <w:i/>
          <w:lang w:val="en-CA"/>
        </w:rPr>
        <w:t>ibid.</w:t>
      </w:r>
      <w:r w:rsidR="0029512A" w:rsidRPr="00CF4E9F">
        <w:rPr>
          <w:lang w:val="en-CA"/>
        </w:rPr>
        <w:t>).</w:t>
      </w:r>
    </w:p>
    <w:p w14:paraId="52188260" w14:textId="203B28BB" w:rsidR="00211F21" w:rsidRPr="00CF4E9F" w:rsidRDefault="0043013D" w:rsidP="00F11F05">
      <w:pPr>
        <w:pStyle w:val="Citationenretrait"/>
        <w:rPr>
          <w:i/>
          <w:iCs/>
          <w:u w:val="single"/>
          <w:lang w:val="en-CA"/>
        </w:rPr>
      </w:pPr>
      <w:r w:rsidRPr="00CF4E9F">
        <w:rPr>
          <w:lang w:val="en-CA"/>
        </w:rPr>
        <w:t>[132]</w:t>
      </w:r>
      <w:r w:rsidR="00F11F05" w:rsidRPr="00CF4E9F">
        <w:rPr>
          <w:i/>
          <w:iCs/>
          <w:lang w:val="en-CA"/>
        </w:rPr>
        <w:tab/>
      </w:r>
      <w:r w:rsidR="00275F44">
        <w:rPr>
          <w:lang w:val="en-CA"/>
        </w:rPr>
        <w:t>[</w:t>
      </w:r>
      <w:r w:rsidR="0029512A" w:rsidRPr="00CF4E9F">
        <w:rPr>
          <w:lang w:val="en-CA"/>
        </w:rPr>
        <w:t>...</w:t>
      </w:r>
      <w:r w:rsidR="00275F44">
        <w:rPr>
          <w:lang w:val="en-CA"/>
        </w:rPr>
        <w:t>]</w:t>
      </w:r>
      <w:r w:rsidR="0029512A" w:rsidRPr="00CF4E9F">
        <w:rPr>
          <w:lang w:val="en-CA"/>
        </w:rPr>
        <w:t xml:space="preserve"> It is reasonable that Parliament would expect </w:t>
      </w:r>
      <w:r w:rsidR="0029512A" w:rsidRPr="00CF4E9F">
        <w:rPr>
          <w:u w:val="single"/>
          <w:lang w:val="en-CA"/>
        </w:rPr>
        <w:t>the provision to hold some modest deterrent effect</w:t>
      </w:r>
      <w:r w:rsidR="0029512A" w:rsidRPr="00CF4E9F">
        <w:rPr>
          <w:lang w:val="en-CA"/>
        </w:rPr>
        <w:t xml:space="preserve"> for such individuals.</w:t>
      </w:r>
      <w:r w:rsidRPr="00CF4E9F">
        <w:rPr>
          <w:lang w:val="en-CA"/>
        </w:rPr>
        <w:t xml:space="preserve"> </w:t>
      </w:r>
      <w:r w:rsidR="0029512A" w:rsidRPr="00CF4E9F">
        <w:rPr>
          <w:lang w:val="en-CA"/>
        </w:rPr>
        <w:t>This deterrent effect acts [</w:t>
      </w:r>
      <w:r w:rsidR="0029512A" w:rsidRPr="00CF4E9F">
        <w:rPr>
          <w:smallCaps/>
          <w:lang w:val="en-CA"/>
        </w:rPr>
        <w:t>translation</w:t>
      </w:r>
      <w:r w:rsidR="0029512A" w:rsidRPr="00CF4E9F">
        <w:rPr>
          <w:lang w:val="en-CA"/>
        </w:rPr>
        <w:t>]</w:t>
      </w:r>
      <w:r w:rsidR="00F8437E">
        <w:rPr>
          <w:lang w:val="en-CA"/>
        </w:rPr>
        <w:t> </w:t>
      </w:r>
      <w:r w:rsidR="0029512A" w:rsidRPr="00CF4E9F">
        <w:rPr>
          <w:lang w:val="en-CA"/>
        </w:rPr>
        <w:t>“upstream”, as Professor Parent writes (p. 187), to dissuade those contemplating this kind of intoxication.</w:t>
      </w:r>
      <w:r w:rsidRPr="00CF4E9F">
        <w:rPr>
          <w:lang w:val="en-CA"/>
        </w:rPr>
        <w:t xml:space="preserve"> </w:t>
      </w:r>
      <w:r w:rsidR="0029512A" w:rsidRPr="00CF4E9F">
        <w:rPr>
          <w:u w:val="single"/>
          <w:lang w:val="en-CA"/>
        </w:rPr>
        <w:t>As such, s. 33.1 is rationally connected to its protective purpose</w:t>
      </w:r>
      <w:r w:rsidR="0029512A" w:rsidRPr="001D505C">
        <w:rPr>
          <w:lang w:val="en-CA"/>
        </w:rPr>
        <w:t>.</w:t>
      </w:r>
      <w:r w:rsidRPr="00CF4E9F">
        <w:rPr>
          <w:rStyle w:val="Appelnotedebasdep"/>
          <w:lang w:val="en-CA"/>
        </w:rPr>
        <w:footnoteReference w:id="175"/>
      </w:r>
    </w:p>
    <w:p w14:paraId="114E8A93" w14:textId="35952F21" w:rsidR="00211F21" w:rsidRPr="00CF4E9F" w:rsidRDefault="00490030" w:rsidP="003A14E5">
      <w:pPr>
        <w:pStyle w:val="Citationenretrait"/>
        <w:spacing w:before="0"/>
        <w:jc w:val="right"/>
        <w:rPr>
          <w:i/>
          <w:iCs/>
          <w:lang w:val="en-CA"/>
        </w:rPr>
      </w:pPr>
      <w:r w:rsidRPr="00CF4E9F">
        <w:rPr>
          <w:lang w:val="en-CA"/>
        </w:rPr>
        <w:t xml:space="preserve"> [</w:t>
      </w:r>
      <w:r w:rsidR="008C1BE4">
        <w:rPr>
          <w:lang w:val="en-CA"/>
        </w:rPr>
        <w:t xml:space="preserve">Underlining </w:t>
      </w:r>
      <w:r w:rsidRPr="00CF4E9F">
        <w:rPr>
          <w:lang w:val="en-CA"/>
        </w:rPr>
        <w:t>added]</w:t>
      </w:r>
    </w:p>
    <w:p w14:paraId="50488AE8" w14:textId="63E41294" w:rsidR="00211F21" w:rsidRPr="00CF4E9F" w:rsidRDefault="003D4B2E" w:rsidP="00FB0B43">
      <w:pPr>
        <w:pStyle w:val="Paragraphe"/>
        <w:spacing w:line="280" w:lineRule="exact"/>
        <w:rPr>
          <w:lang w:val="en-CA"/>
        </w:rPr>
      </w:pPr>
      <w:r>
        <w:rPr>
          <w:lang w:val="en-CA"/>
        </w:rPr>
        <w:t>That said</w:t>
      </w:r>
      <w:r w:rsidR="0029512A" w:rsidRPr="00CF4E9F">
        <w:rPr>
          <w:lang w:val="en-CA"/>
        </w:rPr>
        <w:t xml:space="preserve">, while </w:t>
      </w:r>
      <w:r w:rsidR="00752F4D">
        <w:rPr>
          <w:lang w:val="en-CA"/>
        </w:rPr>
        <w:t xml:space="preserve">evidence </w:t>
      </w:r>
      <w:r w:rsidR="0029512A" w:rsidRPr="00CF4E9F">
        <w:rPr>
          <w:lang w:val="en-CA"/>
        </w:rPr>
        <w:t xml:space="preserve">of a decline in impaired driving offences may </w:t>
      </w:r>
      <w:r w:rsidR="00887319">
        <w:rPr>
          <w:lang w:val="en-CA"/>
        </w:rPr>
        <w:t xml:space="preserve">be used to </w:t>
      </w:r>
      <w:r w:rsidR="0029512A" w:rsidRPr="00CF4E9F">
        <w:rPr>
          <w:lang w:val="en-CA"/>
        </w:rPr>
        <w:t xml:space="preserve">establish </w:t>
      </w:r>
      <w:r w:rsidR="00561C16" w:rsidRPr="00CF4E9F">
        <w:rPr>
          <w:lang w:val="en-CA"/>
        </w:rPr>
        <w:t>a</w:t>
      </w:r>
      <w:r w:rsidR="0029512A" w:rsidRPr="00CF4E9F">
        <w:rPr>
          <w:lang w:val="en-CA"/>
        </w:rPr>
        <w:t xml:space="preserve"> rational connection, the absence of this evidence is not decisive.</w:t>
      </w:r>
      <w:r w:rsidR="0043013D" w:rsidRPr="00CF4E9F">
        <w:rPr>
          <w:lang w:val="en-CA"/>
        </w:rPr>
        <w:t xml:space="preserve"> </w:t>
      </w:r>
      <w:r w:rsidR="0029512A" w:rsidRPr="00CF4E9F">
        <w:rPr>
          <w:lang w:val="en-CA"/>
        </w:rPr>
        <w:t>A decline in highway offences might also indicate that the police power is not an effective means of detection and therefore contributes little o</w:t>
      </w:r>
      <w:r w:rsidR="00561C16" w:rsidRPr="00CF4E9F">
        <w:rPr>
          <w:lang w:val="en-CA"/>
        </w:rPr>
        <w:t>r</w:t>
      </w:r>
      <w:r w:rsidR="0029512A" w:rsidRPr="00CF4E9F">
        <w:rPr>
          <w:lang w:val="en-CA"/>
        </w:rPr>
        <w:t xml:space="preserve"> nothing to achieving the legislative objective.</w:t>
      </w:r>
      <w:r w:rsidR="0043013D" w:rsidRPr="00CF4E9F">
        <w:rPr>
          <w:lang w:val="en-CA"/>
        </w:rPr>
        <w:t xml:space="preserve"> </w:t>
      </w:r>
      <w:r w:rsidR="0029512A" w:rsidRPr="00CF4E9F">
        <w:rPr>
          <w:lang w:val="en-CA"/>
        </w:rPr>
        <w:t xml:space="preserve">Ms. Sylvestre’s expert </w:t>
      </w:r>
      <w:r w:rsidR="006410B7" w:rsidRPr="00CF4E9F">
        <w:rPr>
          <w:lang w:val="en-CA"/>
        </w:rPr>
        <w:t xml:space="preserve">report </w:t>
      </w:r>
      <w:r w:rsidR="0029512A" w:rsidRPr="00CF4E9F">
        <w:rPr>
          <w:lang w:val="en-CA"/>
        </w:rPr>
        <w:t xml:space="preserve">notes </w:t>
      </w:r>
      <w:r w:rsidR="00752F4D">
        <w:rPr>
          <w:lang w:val="en-CA"/>
        </w:rPr>
        <w:t xml:space="preserve">that </w:t>
      </w:r>
      <w:r w:rsidR="0029512A" w:rsidRPr="00CF4E9F">
        <w:rPr>
          <w:lang w:val="en-CA"/>
        </w:rPr>
        <w:t xml:space="preserve">assessing </w:t>
      </w:r>
      <w:r w:rsidR="00752F4D">
        <w:rPr>
          <w:lang w:val="en-CA"/>
        </w:rPr>
        <w:t xml:space="preserve">whether </w:t>
      </w:r>
      <w:r w:rsidR="0029512A" w:rsidRPr="00CF4E9F">
        <w:rPr>
          <w:lang w:val="en-CA"/>
        </w:rPr>
        <w:t xml:space="preserve">traffic stops </w:t>
      </w:r>
      <w:r w:rsidR="00752F4D">
        <w:rPr>
          <w:lang w:val="en-CA"/>
        </w:rPr>
        <w:t xml:space="preserve">are a deterrent is complex </w:t>
      </w:r>
      <w:r w:rsidR="0029512A" w:rsidRPr="00CF4E9F">
        <w:rPr>
          <w:lang w:val="en-CA"/>
        </w:rPr>
        <w:t>because it is difficult to isolate the relevant variable.</w:t>
      </w:r>
      <w:r w:rsidR="0029512A" w:rsidRPr="00CF4E9F">
        <w:rPr>
          <w:rStyle w:val="Appelnotedebasdep"/>
          <w:lang w:val="en-CA"/>
        </w:rPr>
        <w:footnoteReference w:id="176"/>
      </w:r>
      <w:r w:rsidR="00163E84" w:rsidRPr="00CF4E9F">
        <w:rPr>
          <w:lang w:val="en-CA"/>
        </w:rPr>
        <w:t xml:space="preserve"> </w:t>
      </w:r>
      <w:r w:rsidR="0029512A" w:rsidRPr="00CF4E9F">
        <w:rPr>
          <w:lang w:val="en-CA"/>
        </w:rPr>
        <w:t xml:space="preserve">It is nevertheless logical to </w:t>
      </w:r>
      <w:r w:rsidR="00BF283E" w:rsidRPr="00CF4E9F">
        <w:rPr>
          <w:lang w:val="en-CA"/>
        </w:rPr>
        <w:t>believe</w:t>
      </w:r>
      <w:r w:rsidR="0029512A" w:rsidRPr="00CF4E9F">
        <w:rPr>
          <w:lang w:val="en-CA"/>
        </w:rPr>
        <w:t xml:space="preserve"> that impaired driving detection strategies contribute to deterring reckless drivers from getting behind the wheel when they are impaired, as expert Beirness </w:t>
      </w:r>
      <w:r w:rsidR="00887319">
        <w:rPr>
          <w:lang w:val="en-CA"/>
        </w:rPr>
        <w:t>submits</w:t>
      </w:r>
      <w:r w:rsidR="0029512A" w:rsidRPr="00CF4E9F">
        <w:rPr>
          <w:lang w:val="en-CA"/>
        </w:rPr>
        <w:t>.</w:t>
      </w:r>
      <w:r w:rsidR="0029512A" w:rsidRPr="00CF4E9F">
        <w:rPr>
          <w:rStyle w:val="Appelnotedebasdep"/>
          <w:lang w:val="en-CA"/>
        </w:rPr>
        <w:footnoteReference w:id="177"/>
      </w:r>
      <w:r w:rsidR="0043013D" w:rsidRPr="00CF4E9F">
        <w:rPr>
          <w:lang w:val="en-CA"/>
        </w:rPr>
        <w:t xml:space="preserve"> </w:t>
      </w:r>
    </w:p>
    <w:p w14:paraId="0A05CBE3" w14:textId="62007768" w:rsidR="00211F21" w:rsidRPr="00CF4E9F" w:rsidRDefault="0029512A" w:rsidP="00571F09">
      <w:pPr>
        <w:pStyle w:val="Paragraphe"/>
        <w:spacing w:line="280" w:lineRule="exact"/>
        <w:rPr>
          <w:lang w:val="en-CA"/>
        </w:rPr>
      </w:pPr>
      <w:r w:rsidRPr="00CF4E9F">
        <w:rPr>
          <w:lang w:val="en-CA"/>
        </w:rPr>
        <w:lastRenderedPageBreak/>
        <w:t xml:space="preserve">The Court adds that the </w:t>
      </w:r>
      <w:r w:rsidR="005D1B07" w:rsidRPr="00CF4E9F">
        <w:rPr>
          <w:lang w:val="en-CA"/>
        </w:rPr>
        <w:t>power</w:t>
      </w:r>
      <w:r w:rsidR="005D1B07">
        <w:rPr>
          <w:lang w:val="en-CA"/>
        </w:rPr>
        <w:t xml:space="preserve"> to</w:t>
      </w:r>
      <w:r w:rsidR="005D1B07" w:rsidRPr="00CF4E9F">
        <w:rPr>
          <w:lang w:val="en-CA"/>
        </w:rPr>
        <w:t xml:space="preserve"> </w:t>
      </w:r>
      <w:r w:rsidR="005D1B07">
        <w:rPr>
          <w:lang w:val="en-CA"/>
        </w:rPr>
        <w:t xml:space="preserve">make </w:t>
      </w:r>
      <w:r w:rsidRPr="00CF4E9F">
        <w:rPr>
          <w:lang w:val="en-CA"/>
        </w:rPr>
        <w:t>random stop</w:t>
      </w:r>
      <w:r w:rsidR="005D1B07">
        <w:rPr>
          <w:lang w:val="en-CA"/>
        </w:rPr>
        <w:t>s</w:t>
      </w:r>
      <w:r w:rsidRPr="00CF4E9F">
        <w:rPr>
          <w:lang w:val="en-CA"/>
        </w:rPr>
        <w:t xml:space="preserve"> is intended not only to detect drunk drivers, but also unlicensed drivers or those without valid insurance as well as vehicles that are not mechanically fit.</w:t>
      </w:r>
      <w:r w:rsidR="0043013D" w:rsidRPr="00CF4E9F">
        <w:rPr>
          <w:lang w:val="en-CA"/>
        </w:rPr>
        <w:t xml:space="preserve"> </w:t>
      </w:r>
      <w:r w:rsidRPr="00CF4E9F">
        <w:rPr>
          <w:lang w:val="en-CA"/>
        </w:rPr>
        <w:t xml:space="preserve">Logically, each stop likely to result in such </w:t>
      </w:r>
      <w:r w:rsidR="00BF283E" w:rsidRPr="00CF4E9F">
        <w:rPr>
          <w:lang w:val="en-CA"/>
        </w:rPr>
        <w:t xml:space="preserve">a </w:t>
      </w:r>
      <w:r w:rsidRPr="00CF4E9F">
        <w:rPr>
          <w:lang w:val="en-CA"/>
        </w:rPr>
        <w:t>detection contributes to ensuring highway safety.</w:t>
      </w:r>
    </w:p>
    <w:p w14:paraId="1B6B82A2" w14:textId="7118C849" w:rsidR="00211F21" w:rsidRPr="00CF4E9F" w:rsidRDefault="0029512A" w:rsidP="00571F09">
      <w:pPr>
        <w:pStyle w:val="Paragraphe"/>
        <w:spacing w:line="280" w:lineRule="exact"/>
        <w:rPr>
          <w:lang w:val="en-CA"/>
        </w:rPr>
      </w:pPr>
      <w:r w:rsidRPr="00CF4E9F">
        <w:rPr>
          <w:lang w:val="en-CA"/>
        </w:rPr>
        <w:t xml:space="preserve">Consequently, the Court is of the view that the power to </w:t>
      </w:r>
      <w:r w:rsidR="00BF283E" w:rsidRPr="00CF4E9F">
        <w:rPr>
          <w:lang w:val="en-CA"/>
        </w:rPr>
        <w:t xml:space="preserve">make traffic </w:t>
      </w:r>
      <w:r w:rsidRPr="00CF4E9F">
        <w:rPr>
          <w:lang w:val="en-CA"/>
        </w:rPr>
        <w:t>stop</w:t>
      </w:r>
      <w:r w:rsidR="00BF283E" w:rsidRPr="00CF4E9F">
        <w:rPr>
          <w:lang w:val="en-CA"/>
        </w:rPr>
        <w:t>s</w:t>
      </w:r>
      <w:r w:rsidRPr="00CF4E9F">
        <w:rPr>
          <w:lang w:val="en-CA"/>
        </w:rPr>
        <w:t xml:space="preserve"> with no required ground</w:t>
      </w:r>
      <w:r w:rsidR="0051575A">
        <w:rPr>
          <w:lang w:val="en-CA"/>
        </w:rPr>
        <w:t>s</w:t>
      </w:r>
      <w:r w:rsidRPr="00CF4E9F">
        <w:rPr>
          <w:lang w:val="en-CA"/>
        </w:rPr>
        <w:t xml:space="preserve"> is a rational means of contributing </w:t>
      </w:r>
      <w:r w:rsidR="00BF283E" w:rsidRPr="00CF4E9F">
        <w:rPr>
          <w:lang w:val="en-CA"/>
        </w:rPr>
        <w:t xml:space="preserve">to </w:t>
      </w:r>
      <w:r w:rsidRPr="00CF4E9F">
        <w:rPr>
          <w:lang w:val="en-CA"/>
        </w:rPr>
        <w:t>the legislative objective of highway safety.</w:t>
      </w:r>
      <w:r w:rsidR="0043013D" w:rsidRPr="00CF4E9F">
        <w:rPr>
          <w:lang w:val="en-CA"/>
        </w:rPr>
        <w:t xml:space="preserve"> </w:t>
      </w:r>
    </w:p>
    <w:p w14:paraId="067F390D" w14:textId="2728EF1E" w:rsidR="00211F21" w:rsidRPr="00CF4E9F" w:rsidRDefault="0029512A" w:rsidP="00E554DF">
      <w:pPr>
        <w:pStyle w:val="Titre4"/>
        <w:ind w:left="1491" w:hanging="357"/>
        <w:rPr>
          <w:lang w:val="en-CA"/>
        </w:rPr>
      </w:pPr>
      <w:bookmarkStart w:id="94" w:name="_Toc201822889"/>
      <w:r w:rsidRPr="00CF4E9F">
        <w:rPr>
          <w:lang w:val="en-CA"/>
        </w:rPr>
        <w:t>Minimal impairment</w:t>
      </w:r>
      <w:bookmarkEnd w:id="94"/>
      <w:r w:rsidR="0043013D" w:rsidRPr="00CF4E9F">
        <w:rPr>
          <w:lang w:val="en-CA"/>
        </w:rPr>
        <w:t xml:space="preserve"> </w:t>
      </w:r>
    </w:p>
    <w:p w14:paraId="59BC640A" w14:textId="6BA3F52F" w:rsidR="00211F21" w:rsidRPr="00CF4E9F" w:rsidRDefault="0026779C" w:rsidP="00571F09">
      <w:pPr>
        <w:pStyle w:val="Paragraphe"/>
        <w:spacing w:line="280" w:lineRule="exact"/>
        <w:rPr>
          <w:lang w:val="en-CA"/>
        </w:rPr>
      </w:pPr>
      <w:r w:rsidRPr="00CF4E9F">
        <w:rPr>
          <w:kern w:val="0"/>
          <w:lang w:val="en-CA"/>
        </w:rPr>
        <w:t>The minim</w:t>
      </w:r>
      <w:r w:rsidR="00140CAD" w:rsidRPr="00CF4E9F">
        <w:rPr>
          <w:kern w:val="0"/>
          <w:lang w:val="en-CA"/>
        </w:rPr>
        <w:t>al</w:t>
      </w:r>
      <w:r w:rsidRPr="00CF4E9F">
        <w:rPr>
          <w:kern w:val="0"/>
          <w:lang w:val="en-CA"/>
        </w:rPr>
        <w:t xml:space="preserve"> impairment</w:t>
      </w:r>
      <w:r w:rsidR="001373A5">
        <w:rPr>
          <w:kern w:val="0"/>
          <w:lang w:val="en-CA"/>
        </w:rPr>
        <w:t xml:space="preserve"> test consists in determining </w:t>
      </w:r>
      <w:r w:rsidRPr="00CF4E9F">
        <w:rPr>
          <w:kern w:val="0"/>
          <w:lang w:val="en-CA"/>
        </w:rPr>
        <w:t xml:space="preserve">whether there are less </w:t>
      </w:r>
      <w:r w:rsidR="00F808C3" w:rsidRPr="00CF4E9F">
        <w:rPr>
          <w:kern w:val="0"/>
          <w:lang w:val="en-CA"/>
        </w:rPr>
        <w:t xml:space="preserve">drastic </w:t>
      </w:r>
      <w:r w:rsidRPr="00CF4E9F">
        <w:rPr>
          <w:kern w:val="0"/>
          <w:lang w:val="en-CA"/>
        </w:rPr>
        <w:t>means of achieving the legislative objective “in a real and substantial manner”</w:t>
      </w:r>
      <w:r w:rsidRPr="00CF4E9F">
        <w:rPr>
          <w:rStyle w:val="Appelnotedebasdep"/>
          <w:lang w:val="en-CA"/>
        </w:rPr>
        <w:footnoteReference w:id="178"/>
      </w:r>
      <w:r w:rsidRPr="00CF4E9F">
        <w:rPr>
          <w:kern w:val="0"/>
          <w:lang w:val="en-CA"/>
        </w:rPr>
        <w:t xml:space="preserve"> and whether “the limit on the right is reasonably tailored to the objective”.</w:t>
      </w:r>
      <w:r w:rsidRPr="00CF4E9F">
        <w:rPr>
          <w:rStyle w:val="Appelnotedebasdep"/>
          <w:kern w:val="0"/>
          <w:lang w:val="en-CA"/>
        </w:rPr>
        <w:footnoteReference w:id="179"/>
      </w:r>
      <w:r w:rsidR="0043013D" w:rsidRPr="00CF4E9F">
        <w:rPr>
          <w:kern w:val="0"/>
          <w:lang w:val="en-CA"/>
        </w:rPr>
        <w:t xml:space="preserve"> </w:t>
      </w:r>
      <w:r w:rsidRPr="00CF4E9F">
        <w:rPr>
          <w:lang w:val="en-CA"/>
        </w:rPr>
        <w:t xml:space="preserve">This is a </w:t>
      </w:r>
      <w:r w:rsidR="00140CAD" w:rsidRPr="00CF4E9F">
        <w:rPr>
          <w:lang w:val="en-CA"/>
        </w:rPr>
        <w:t>critic</w:t>
      </w:r>
      <w:r w:rsidRPr="00CF4E9F">
        <w:rPr>
          <w:lang w:val="en-CA"/>
        </w:rPr>
        <w:t xml:space="preserve">al step in the </w:t>
      </w:r>
      <w:r w:rsidR="001373A5">
        <w:rPr>
          <w:lang w:val="en-CA"/>
        </w:rPr>
        <w:t>analysis</w:t>
      </w:r>
      <w:r w:rsidR="001373A5" w:rsidRPr="00CF4E9F">
        <w:rPr>
          <w:lang w:val="en-CA"/>
        </w:rPr>
        <w:t xml:space="preserve"> </w:t>
      </w:r>
      <w:r w:rsidRPr="00CF4E9F">
        <w:rPr>
          <w:lang w:val="en-CA"/>
        </w:rPr>
        <w:t xml:space="preserve">under </w:t>
      </w:r>
      <w:r w:rsidR="00162E51">
        <w:rPr>
          <w:lang w:val="en-CA"/>
        </w:rPr>
        <w:t>s. </w:t>
      </w:r>
      <w:r w:rsidRPr="00CF4E9F">
        <w:rPr>
          <w:lang w:val="en-CA"/>
        </w:rPr>
        <w:t xml:space="preserve">1 of the </w:t>
      </w:r>
      <w:r w:rsidRPr="00CF4E9F">
        <w:rPr>
          <w:i/>
          <w:lang w:val="en-CA"/>
        </w:rPr>
        <w:t>Charter</w:t>
      </w:r>
      <w:r w:rsidRPr="00CF4E9F">
        <w:rPr>
          <w:lang w:val="en-CA"/>
        </w:rPr>
        <w:t>.</w:t>
      </w:r>
      <w:r w:rsidR="0043013D" w:rsidRPr="00CF4E9F">
        <w:rPr>
          <w:lang w:val="en-CA"/>
        </w:rPr>
        <w:t xml:space="preserve"> </w:t>
      </w:r>
      <w:r w:rsidRPr="00CF4E9F">
        <w:rPr>
          <w:lang w:val="en-CA"/>
        </w:rPr>
        <w:t xml:space="preserve">This test is determinative in a significant proportion </w:t>
      </w:r>
      <w:r w:rsidR="00140CAD" w:rsidRPr="00CF4E9F">
        <w:rPr>
          <w:lang w:val="en-CA"/>
        </w:rPr>
        <w:t xml:space="preserve">– </w:t>
      </w:r>
      <w:r w:rsidRPr="00CF4E9F">
        <w:rPr>
          <w:lang w:val="en-CA"/>
        </w:rPr>
        <w:t xml:space="preserve">if not </w:t>
      </w:r>
      <w:r w:rsidR="00140CAD" w:rsidRPr="00CF4E9F">
        <w:rPr>
          <w:lang w:val="en-CA"/>
        </w:rPr>
        <w:t>a</w:t>
      </w:r>
      <w:r w:rsidRPr="00CF4E9F">
        <w:rPr>
          <w:lang w:val="en-CA"/>
        </w:rPr>
        <w:t xml:space="preserve"> majority</w:t>
      </w:r>
      <w:r w:rsidR="00140CAD" w:rsidRPr="00CF4E9F">
        <w:rPr>
          <w:lang w:val="en-CA"/>
        </w:rPr>
        <w:t xml:space="preserve"> –</w:t>
      </w:r>
      <w:r w:rsidRPr="00CF4E9F">
        <w:rPr>
          <w:lang w:val="en-CA"/>
        </w:rPr>
        <w:t xml:space="preserve"> of </w:t>
      </w:r>
      <w:r w:rsidRPr="00CF4E9F">
        <w:rPr>
          <w:i/>
          <w:lang w:val="en-CA"/>
        </w:rPr>
        <w:t>Charter</w:t>
      </w:r>
      <w:r w:rsidRPr="00CF4E9F">
        <w:rPr>
          <w:lang w:val="en-CA"/>
        </w:rPr>
        <w:t xml:space="preserve"> disputes where a law is declared invalid.</w:t>
      </w:r>
      <w:r w:rsidRPr="00CF4E9F">
        <w:rPr>
          <w:rStyle w:val="Appelnotedebasdep"/>
          <w:lang w:val="en-CA"/>
        </w:rPr>
        <w:footnoteReference w:id="180"/>
      </w:r>
      <w:r w:rsidR="0043013D" w:rsidRPr="00CF4E9F">
        <w:rPr>
          <w:lang w:val="en-CA"/>
        </w:rPr>
        <w:t xml:space="preserve"> </w:t>
      </w:r>
    </w:p>
    <w:p w14:paraId="2B56B5F1" w14:textId="4506ECA7" w:rsidR="00211F21" w:rsidRPr="00CF4E9F" w:rsidRDefault="0026779C" w:rsidP="00571F09">
      <w:pPr>
        <w:pStyle w:val="Paragraphe"/>
        <w:spacing w:line="280" w:lineRule="exact"/>
        <w:rPr>
          <w:lang w:val="en-CA"/>
        </w:rPr>
      </w:pPr>
      <w:r w:rsidRPr="00CF4E9F">
        <w:rPr>
          <w:lang w:val="en-CA"/>
        </w:rPr>
        <w:t xml:space="preserve">Although the government is not required to </w:t>
      </w:r>
      <w:r w:rsidR="00F808C3" w:rsidRPr="00CF4E9F">
        <w:rPr>
          <w:lang w:val="en-CA"/>
        </w:rPr>
        <w:t>purs</w:t>
      </w:r>
      <w:r w:rsidRPr="00CF4E9F">
        <w:rPr>
          <w:lang w:val="en-CA"/>
        </w:rPr>
        <w:t>ue the least drastic means of achieving its objective,</w:t>
      </w:r>
      <w:r w:rsidRPr="00CF4E9F">
        <w:rPr>
          <w:rStyle w:val="Appelnotedebasdep"/>
          <w:lang w:val="en-CA"/>
        </w:rPr>
        <w:footnoteReference w:id="181"/>
      </w:r>
      <w:r w:rsidRPr="00CF4E9F">
        <w:rPr>
          <w:lang w:val="en-CA"/>
        </w:rPr>
        <w:t xml:space="preserve"> it still bears the burden of </w:t>
      </w:r>
      <w:r w:rsidR="009F4BF9" w:rsidRPr="00CF4E9F">
        <w:rPr>
          <w:lang w:val="en-CA"/>
        </w:rPr>
        <w:t>show</w:t>
      </w:r>
      <w:r w:rsidRPr="00CF4E9F">
        <w:rPr>
          <w:lang w:val="en-CA"/>
        </w:rPr>
        <w:t xml:space="preserve">ing that the means </w:t>
      </w:r>
      <w:r w:rsidR="00115E3B" w:rsidRPr="00CF4E9F">
        <w:rPr>
          <w:lang w:val="en-CA"/>
        </w:rPr>
        <w:t>chosen</w:t>
      </w:r>
      <w:r w:rsidRPr="00CF4E9F">
        <w:rPr>
          <w:lang w:val="en-CA"/>
        </w:rPr>
        <w:t xml:space="preserve"> to achieve the objective of highway safety is necessary and the impairment of constitutional rights minimal.</w:t>
      </w:r>
      <w:r w:rsidRPr="00CF4E9F">
        <w:rPr>
          <w:rStyle w:val="Appelnotedebasdep"/>
          <w:lang w:val="en-CA"/>
        </w:rPr>
        <w:footnoteReference w:id="182"/>
      </w:r>
      <w:r w:rsidR="0043013D" w:rsidRPr="00CF4E9F">
        <w:rPr>
          <w:lang w:val="en-CA"/>
        </w:rPr>
        <w:t xml:space="preserve"> </w:t>
      </w:r>
      <w:bookmarkStart w:id="95" w:name="_Hlk159511128"/>
      <w:r w:rsidRPr="00CF4E9F">
        <w:rPr>
          <w:lang w:val="en-CA"/>
        </w:rPr>
        <w:t xml:space="preserve">In this case, however, the AGQ has not presented any argument or evidence on the minimal impairment, </w:t>
      </w:r>
      <w:r w:rsidR="009F4BF9" w:rsidRPr="00CF4E9F">
        <w:rPr>
          <w:lang w:val="en-CA"/>
        </w:rPr>
        <w:t xml:space="preserve">be it </w:t>
      </w:r>
      <w:r w:rsidRPr="00CF4E9F">
        <w:rPr>
          <w:lang w:val="en-CA"/>
        </w:rPr>
        <w:t xml:space="preserve">in </w:t>
      </w:r>
      <w:r w:rsidR="00497E1A">
        <w:rPr>
          <w:lang w:val="en-CA"/>
        </w:rPr>
        <w:t>his</w:t>
      </w:r>
      <w:r w:rsidR="00497E1A" w:rsidRPr="00CF4E9F">
        <w:rPr>
          <w:lang w:val="en-CA"/>
        </w:rPr>
        <w:t xml:space="preserve"> </w:t>
      </w:r>
      <w:r w:rsidRPr="00CF4E9F">
        <w:rPr>
          <w:lang w:val="en-CA"/>
        </w:rPr>
        <w:t xml:space="preserve">notice of appeal, </w:t>
      </w:r>
      <w:r w:rsidR="000E307C">
        <w:rPr>
          <w:lang w:val="en-CA"/>
        </w:rPr>
        <w:t xml:space="preserve">in his </w:t>
      </w:r>
      <w:r w:rsidRPr="00CF4E9F">
        <w:rPr>
          <w:lang w:val="en-CA"/>
        </w:rPr>
        <w:t>appeal brief, or at the hearing.</w:t>
      </w:r>
    </w:p>
    <w:p w14:paraId="388E9E04" w14:textId="2054394A" w:rsidR="00211F21" w:rsidRPr="00CF4E9F" w:rsidRDefault="0026779C" w:rsidP="00571F09">
      <w:pPr>
        <w:pStyle w:val="Paragraphe"/>
        <w:spacing w:line="280" w:lineRule="exact"/>
        <w:rPr>
          <w:szCs w:val="24"/>
          <w:lang w:val="en-CA"/>
        </w:rPr>
      </w:pPr>
      <w:r w:rsidRPr="00CF4E9F">
        <w:rPr>
          <w:szCs w:val="24"/>
          <w:lang w:val="en-CA"/>
        </w:rPr>
        <w:t xml:space="preserve">The AGQ essentially relies on the conclusions of </w:t>
      </w:r>
      <w:r w:rsidR="009F4BF9" w:rsidRPr="00CF4E9F">
        <w:rPr>
          <w:szCs w:val="24"/>
          <w:lang w:val="en-CA"/>
        </w:rPr>
        <w:t>the</w:t>
      </w:r>
      <w:r w:rsidRPr="00CF4E9F">
        <w:rPr>
          <w:szCs w:val="24"/>
          <w:lang w:val="en-CA"/>
        </w:rPr>
        <w:t xml:space="preserve"> majority of the Supreme Court in </w:t>
      </w:r>
      <w:r w:rsidRPr="00CF4E9F">
        <w:rPr>
          <w:i/>
          <w:iCs/>
          <w:szCs w:val="24"/>
          <w:lang w:val="en-CA"/>
        </w:rPr>
        <w:t>Ladouceur</w:t>
      </w:r>
      <w:r w:rsidRPr="00CF4E9F">
        <w:rPr>
          <w:szCs w:val="24"/>
          <w:lang w:val="en-CA"/>
        </w:rPr>
        <w:t xml:space="preserve"> that (1) the stopping of vehicles is “the sole method of checking a driver’s licence and insurance, or the mechanical fitness of a vehicle or whether the driver is impaired”;</w:t>
      </w:r>
      <w:r w:rsidRPr="00CF4E9F">
        <w:rPr>
          <w:rStyle w:val="Appelnotedebasdep"/>
          <w:szCs w:val="24"/>
          <w:lang w:val="en-CA"/>
        </w:rPr>
        <w:footnoteReference w:id="183"/>
      </w:r>
      <w:r w:rsidRPr="00CF4E9F">
        <w:rPr>
          <w:szCs w:val="24"/>
          <w:lang w:val="en-CA"/>
        </w:rPr>
        <w:t xml:space="preserve"> and (2) only “random” stops give rise to a real risk of detection of driving by unlicensed drivers to keep them off the road.</w:t>
      </w:r>
      <w:r w:rsidRPr="00CF4E9F">
        <w:rPr>
          <w:rStyle w:val="Appelnotedebasdep"/>
          <w:szCs w:val="24"/>
          <w:lang w:val="en-CA"/>
        </w:rPr>
        <w:footnoteReference w:id="184"/>
      </w:r>
      <w:r w:rsidR="0043013D" w:rsidRPr="00CF4E9F">
        <w:rPr>
          <w:szCs w:val="24"/>
          <w:lang w:val="en-CA"/>
        </w:rPr>
        <w:t xml:space="preserve"> </w:t>
      </w:r>
      <w:r w:rsidRPr="00CF4E9F">
        <w:rPr>
          <w:szCs w:val="24"/>
          <w:lang w:val="en-CA"/>
        </w:rPr>
        <w:t xml:space="preserve">Also in </w:t>
      </w:r>
      <w:r w:rsidRPr="00CF4E9F">
        <w:rPr>
          <w:i/>
          <w:szCs w:val="24"/>
          <w:lang w:val="en-CA"/>
        </w:rPr>
        <w:t>Ladouceur</w:t>
      </w:r>
      <w:r w:rsidRPr="00CF4E9F">
        <w:rPr>
          <w:szCs w:val="24"/>
          <w:lang w:val="en-CA"/>
        </w:rPr>
        <w:t xml:space="preserve">, Cory, J. noted that stops made as part of an organized program </w:t>
      </w:r>
      <w:r w:rsidR="003665B9" w:rsidRPr="00CF4E9F">
        <w:rPr>
          <w:szCs w:val="24"/>
          <w:lang w:val="en-CA"/>
        </w:rPr>
        <w:t xml:space="preserve">– </w:t>
      </w:r>
      <w:r w:rsidRPr="00CF4E9F">
        <w:rPr>
          <w:szCs w:val="24"/>
          <w:lang w:val="en-CA"/>
        </w:rPr>
        <w:t>such as a roadblock</w:t>
      </w:r>
      <w:r w:rsidR="003665B9" w:rsidRPr="00CF4E9F">
        <w:rPr>
          <w:szCs w:val="24"/>
          <w:lang w:val="en-CA"/>
        </w:rPr>
        <w:t xml:space="preserve"> –</w:t>
      </w:r>
      <w:r w:rsidRPr="00CF4E9F">
        <w:rPr>
          <w:szCs w:val="24"/>
          <w:lang w:val="en-CA"/>
        </w:rPr>
        <w:t xml:space="preserve"> will not deter drivers as </w:t>
      </w:r>
      <w:r w:rsidR="004E6C96">
        <w:rPr>
          <w:szCs w:val="24"/>
          <w:lang w:val="en-CA"/>
        </w:rPr>
        <w:t xml:space="preserve">effectively </w:t>
      </w:r>
      <w:r w:rsidRPr="00CF4E9F">
        <w:rPr>
          <w:szCs w:val="24"/>
          <w:lang w:val="en-CA"/>
        </w:rPr>
        <w:t xml:space="preserve">as the power to make “random” stops because a roadblock is </w:t>
      </w:r>
      <w:r w:rsidR="003665B9" w:rsidRPr="00CF4E9F">
        <w:rPr>
          <w:szCs w:val="24"/>
          <w:lang w:val="en-CA"/>
        </w:rPr>
        <w:t xml:space="preserve">frequently </w:t>
      </w:r>
      <w:r w:rsidRPr="00CF4E9F">
        <w:rPr>
          <w:szCs w:val="24"/>
          <w:lang w:val="en-CA"/>
        </w:rPr>
        <w:lastRenderedPageBreak/>
        <w:t>visible in advance and at well-known locations, which allows reckless drivers to avoid them.</w:t>
      </w:r>
      <w:r w:rsidRPr="00CF4E9F">
        <w:rPr>
          <w:rStyle w:val="Appelnotedebasdep"/>
          <w:szCs w:val="24"/>
          <w:lang w:val="en-CA"/>
        </w:rPr>
        <w:footnoteReference w:id="185"/>
      </w:r>
      <w:r w:rsidR="0043013D" w:rsidRPr="00CF4E9F">
        <w:rPr>
          <w:szCs w:val="24"/>
          <w:lang w:val="en-CA"/>
        </w:rPr>
        <w:t xml:space="preserve"> </w:t>
      </w:r>
      <w:r w:rsidRPr="00CF4E9F">
        <w:rPr>
          <w:szCs w:val="24"/>
          <w:lang w:val="en-CA"/>
        </w:rPr>
        <w:t>Moreover, in Cory, J.’s view, it would be more difficult to establish effective organized programs in rural areas.</w:t>
      </w:r>
      <w:r w:rsidRPr="00CF4E9F">
        <w:rPr>
          <w:rStyle w:val="Appelnotedebasdep"/>
          <w:szCs w:val="24"/>
          <w:lang w:val="en-CA"/>
        </w:rPr>
        <w:footnoteReference w:id="186"/>
      </w:r>
      <w:r w:rsidR="0043013D" w:rsidRPr="00CF4E9F">
        <w:rPr>
          <w:szCs w:val="24"/>
          <w:lang w:val="en-CA"/>
        </w:rPr>
        <w:t xml:space="preserve"> </w:t>
      </w:r>
      <w:r w:rsidRPr="00CF4E9F">
        <w:rPr>
          <w:szCs w:val="24"/>
          <w:lang w:val="en-CA"/>
        </w:rPr>
        <w:t>Last</w:t>
      </w:r>
      <w:r w:rsidR="00DC0D34">
        <w:rPr>
          <w:szCs w:val="24"/>
          <w:lang w:val="en-CA"/>
        </w:rPr>
        <w:t>ly</w:t>
      </w:r>
      <w:r w:rsidRPr="00CF4E9F">
        <w:rPr>
          <w:szCs w:val="24"/>
          <w:lang w:val="en-CA"/>
        </w:rPr>
        <w:t>, a power to stop that can be used only where there is articulable cause would not have the same deterrent effect.</w:t>
      </w:r>
      <w:r w:rsidRPr="00CF4E9F">
        <w:rPr>
          <w:rStyle w:val="Appelnotedebasdep"/>
          <w:szCs w:val="24"/>
          <w:lang w:val="en-CA"/>
        </w:rPr>
        <w:footnoteReference w:id="187"/>
      </w:r>
      <w:r w:rsidR="0043013D" w:rsidRPr="00CF4E9F">
        <w:rPr>
          <w:szCs w:val="24"/>
          <w:lang w:val="en-CA"/>
        </w:rPr>
        <w:t xml:space="preserve"> </w:t>
      </w:r>
      <w:bookmarkEnd w:id="95"/>
    </w:p>
    <w:p w14:paraId="5250D386" w14:textId="3A2D3984" w:rsidR="00211F21" w:rsidRPr="00CF4E9F" w:rsidRDefault="0026779C" w:rsidP="00571F09">
      <w:pPr>
        <w:pStyle w:val="Paragraphe"/>
        <w:spacing w:line="280" w:lineRule="exact"/>
        <w:rPr>
          <w:szCs w:val="24"/>
          <w:lang w:val="en-CA"/>
        </w:rPr>
      </w:pPr>
      <w:r w:rsidRPr="00CF4E9F">
        <w:rPr>
          <w:szCs w:val="24"/>
          <w:lang w:val="en-CA"/>
        </w:rPr>
        <w:t xml:space="preserve">These </w:t>
      </w:r>
      <w:r w:rsidR="00435DD7" w:rsidRPr="00CF4E9F">
        <w:rPr>
          <w:szCs w:val="24"/>
          <w:lang w:val="en-CA"/>
        </w:rPr>
        <w:t>observations</w:t>
      </w:r>
      <w:r w:rsidRPr="00CF4E9F">
        <w:rPr>
          <w:szCs w:val="24"/>
          <w:lang w:val="en-CA"/>
        </w:rPr>
        <w:t xml:space="preserve"> can</w:t>
      </w:r>
      <w:r w:rsidR="003665B9" w:rsidRPr="00CF4E9F">
        <w:rPr>
          <w:szCs w:val="24"/>
          <w:lang w:val="en-CA"/>
        </w:rPr>
        <w:t xml:space="preserve"> no longer </w:t>
      </w:r>
      <w:r w:rsidRPr="00CF4E9F">
        <w:rPr>
          <w:szCs w:val="24"/>
          <w:lang w:val="en-CA"/>
        </w:rPr>
        <w:t>be accepted today.</w:t>
      </w:r>
      <w:r w:rsidR="0043013D" w:rsidRPr="00CF4E9F">
        <w:rPr>
          <w:szCs w:val="24"/>
          <w:lang w:val="en-CA"/>
        </w:rPr>
        <w:t xml:space="preserve"> </w:t>
      </w:r>
      <w:r w:rsidRPr="00CF4E9F">
        <w:rPr>
          <w:szCs w:val="24"/>
          <w:lang w:val="en-CA"/>
        </w:rPr>
        <w:t>As explained above,</w:t>
      </w:r>
      <w:r w:rsidRPr="00CF4E9F">
        <w:rPr>
          <w:rStyle w:val="Appelnotedebasdep"/>
          <w:szCs w:val="24"/>
          <w:lang w:val="en-CA"/>
        </w:rPr>
        <w:footnoteReference w:id="188"/>
      </w:r>
      <w:r w:rsidRPr="00CF4E9F">
        <w:rPr>
          <w:szCs w:val="24"/>
          <w:lang w:val="en-CA"/>
        </w:rPr>
        <w:t xml:space="preserve"> the evidence of racial profiling filed at trial compels the Court to reconsider the conclusions in </w:t>
      </w:r>
      <w:r w:rsidRPr="00CF4E9F">
        <w:rPr>
          <w:i/>
          <w:szCs w:val="24"/>
          <w:lang w:val="en-CA"/>
        </w:rPr>
        <w:t>Ladouceur</w:t>
      </w:r>
      <w:r w:rsidRPr="00CF4E9F">
        <w:rPr>
          <w:szCs w:val="24"/>
          <w:lang w:val="en-CA"/>
        </w:rPr>
        <w:t>.</w:t>
      </w:r>
      <w:r w:rsidR="0043013D" w:rsidRPr="00CF4E9F">
        <w:rPr>
          <w:szCs w:val="24"/>
          <w:lang w:val="en-CA"/>
        </w:rPr>
        <w:t xml:space="preserve"> </w:t>
      </w:r>
      <w:r w:rsidRPr="00CF4E9F">
        <w:rPr>
          <w:spacing w:val="-3"/>
          <w:szCs w:val="24"/>
          <w:lang w:val="en-CA"/>
        </w:rPr>
        <w:t xml:space="preserve">In particular, contrary to what Cory, J. stated at the time, traffic stops with no required grounds can no longer be viewed as “of relatively short duration” and </w:t>
      </w:r>
      <w:r w:rsidR="00F50665" w:rsidRPr="00CF4E9F">
        <w:rPr>
          <w:spacing w:val="-3"/>
          <w:szCs w:val="24"/>
          <w:lang w:val="en-CA"/>
        </w:rPr>
        <w:t>a</w:t>
      </w:r>
      <w:r w:rsidRPr="00CF4E9F">
        <w:rPr>
          <w:spacing w:val="-3"/>
          <w:szCs w:val="24"/>
          <w:lang w:val="en-CA"/>
        </w:rPr>
        <w:t xml:space="preserve"> “minimal inconvenience caused to the driver”</w:t>
      </w:r>
      <w:r w:rsidRPr="00CF4E9F">
        <w:rPr>
          <w:rStyle w:val="Appelnotedebasdep"/>
          <w:szCs w:val="24"/>
          <w:lang w:val="en-CA"/>
        </w:rPr>
        <w:footnoteReference w:id="189"/>
      </w:r>
      <w:r w:rsidRPr="00CF4E9F">
        <w:rPr>
          <w:spacing w:val="-3"/>
          <w:szCs w:val="24"/>
          <w:lang w:val="en-CA"/>
        </w:rPr>
        <w:t xml:space="preserve"> such that the enabling law meets the minimal impairment test.</w:t>
      </w:r>
    </w:p>
    <w:p w14:paraId="01CF8DE1" w14:textId="6ACA9851" w:rsidR="00211F21" w:rsidRPr="00CF4E9F" w:rsidRDefault="00E71610" w:rsidP="00571F09">
      <w:pPr>
        <w:pStyle w:val="Paragraphe"/>
        <w:spacing w:line="280" w:lineRule="exact"/>
        <w:rPr>
          <w:lang w:val="en-CA"/>
        </w:rPr>
      </w:pPr>
      <w:r>
        <w:rPr>
          <w:lang w:val="en-CA"/>
        </w:rPr>
        <w:t xml:space="preserve">The possibility of </w:t>
      </w:r>
      <w:r w:rsidR="004E6C96">
        <w:rPr>
          <w:lang w:val="en-CA"/>
        </w:rPr>
        <w:t>envisaging</w:t>
      </w:r>
      <w:r w:rsidR="0026779C" w:rsidRPr="00C86300">
        <w:rPr>
          <w:lang w:val="en-CA"/>
        </w:rPr>
        <w:t xml:space="preserve"> another legislative provision that would </w:t>
      </w:r>
      <w:r w:rsidR="00F50665" w:rsidRPr="00C86300">
        <w:rPr>
          <w:lang w:val="en-CA"/>
        </w:rPr>
        <w:t xml:space="preserve">allow the objective of </w:t>
      </w:r>
      <w:r w:rsidR="00162E51">
        <w:rPr>
          <w:lang w:val="en-CA"/>
        </w:rPr>
        <w:t>s. </w:t>
      </w:r>
      <w:r w:rsidR="00F50665" w:rsidRPr="00C86300">
        <w:rPr>
          <w:lang w:val="en-CA"/>
        </w:rPr>
        <w:t>636</w:t>
      </w:r>
      <w:r w:rsidR="0030762F" w:rsidRPr="0030762F">
        <w:rPr>
          <w:i/>
          <w:lang w:val="en-CA"/>
        </w:rPr>
        <w:t> HSC</w:t>
      </w:r>
      <w:r w:rsidR="00F50665" w:rsidRPr="00C86300">
        <w:rPr>
          <w:lang w:val="en-CA"/>
        </w:rPr>
        <w:t xml:space="preserve"> to be </w:t>
      </w:r>
      <w:r w:rsidR="0026779C" w:rsidRPr="00C86300">
        <w:rPr>
          <w:lang w:val="en-CA"/>
        </w:rPr>
        <w:t>achieve</w:t>
      </w:r>
      <w:r w:rsidR="00F50665" w:rsidRPr="00C86300">
        <w:rPr>
          <w:lang w:val="en-CA"/>
        </w:rPr>
        <w:t>d</w:t>
      </w:r>
      <w:r w:rsidR="004E6C96">
        <w:rPr>
          <w:lang w:val="en-CA"/>
        </w:rPr>
        <w:t xml:space="preserve"> in a </w:t>
      </w:r>
      <w:r w:rsidR="004E6C96" w:rsidRPr="004E6C96">
        <w:rPr>
          <w:i/>
          <w:iCs/>
          <w:lang w:val="en-CA"/>
        </w:rPr>
        <w:t>substantial</w:t>
      </w:r>
      <w:r w:rsidR="004E6C96">
        <w:rPr>
          <w:lang w:val="en-CA"/>
        </w:rPr>
        <w:t xml:space="preserve"> manner</w:t>
      </w:r>
      <w:r w:rsidR="0026779C" w:rsidRPr="00C86300">
        <w:rPr>
          <w:lang w:val="en-CA"/>
        </w:rPr>
        <w:t xml:space="preserve">, while limiting potential racial profiling, shows that </w:t>
      </w:r>
      <w:r w:rsidR="00F50665" w:rsidRPr="00C86300">
        <w:rPr>
          <w:lang w:val="en-CA"/>
        </w:rPr>
        <w:t>th</w:t>
      </w:r>
      <w:r w:rsidR="00FC4288">
        <w:rPr>
          <w:lang w:val="en-CA"/>
        </w:rPr>
        <w:t>is is not a minimal</w:t>
      </w:r>
      <w:r w:rsidR="00F50665" w:rsidRPr="00C86300">
        <w:rPr>
          <w:lang w:val="en-CA"/>
        </w:rPr>
        <w:t xml:space="preserve"> </w:t>
      </w:r>
      <w:r w:rsidR="0026779C" w:rsidRPr="00C86300">
        <w:rPr>
          <w:lang w:val="en-CA"/>
        </w:rPr>
        <w:t>impairment</w:t>
      </w:r>
      <w:r w:rsidR="0026779C" w:rsidRPr="00CF4E9F">
        <w:rPr>
          <w:lang w:val="en-CA"/>
        </w:rPr>
        <w:t>.</w:t>
      </w:r>
      <w:r w:rsidR="00931BB2" w:rsidRPr="00CF4E9F">
        <w:rPr>
          <w:lang w:val="en-CA"/>
        </w:rPr>
        <w:t xml:space="preserve"> </w:t>
      </w:r>
      <w:r w:rsidR="0026779C" w:rsidRPr="00CF4E9F">
        <w:rPr>
          <w:lang w:val="en-CA"/>
        </w:rPr>
        <w:t xml:space="preserve">It should be noted that it is not necessary to define an alternative that would </w:t>
      </w:r>
      <w:r w:rsidR="00213D7E" w:rsidRPr="00CF4E9F">
        <w:rPr>
          <w:lang w:val="en-CA"/>
        </w:rPr>
        <w:t xml:space="preserve">satisfy </w:t>
      </w:r>
      <w:r w:rsidR="0026779C" w:rsidRPr="00CF4E9F">
        <w:rPr>
          <w:lang w:val="en-CA"/>
        </w:rPr>
        <w:t xml:space="preserve">the objective to exactly the same extent or degree as the </w:t>
      </w:r>
      <w:r w:rsidR="00213D7E" w:rsidRPr="00CF4E9F">
        <w:rPr>
          <w:lang w:val="en-CA"/>
        </w:rPr>
        <w:t>challenged</w:t>
      </w:r>
      <w:r w:rsidR="0026779C" w:rsidRPr="00CF4E9F">
        <w:rPr>
          <w:lang w:val="en-CA"/>
        </w:rPr>
        <w:t xml:space="preserve"> </w:t>
      </w:r>
      <w:r w:rsidR="00C47178">
        <w:rPr>
          <w:lang w:val="en-CA"/>
        </w:rPr>
        <w:t>provision</w:t>
      </w:r>
      <w:r w:rsidR="0026779C" w:rsidRPr="00CF4E9F">
        <w:rPr>
          <w:lang w:val="en-CA"/>
        </w:rPr>
        <w:t>.</w:t>
      </w:r>
      <w:r w:rsidR="0026779C" w:rsidRPr="00CF4E9F">
        <w:rPr>
          <w:rStyle w:val="Appelnotedebasdep"/>
          <w:lang w:val="en-CA"/>
        </w:rPr>
        <w:footnoteReference w:id="190"/>
      </w:r>
    </w:p>
    <w:p w14:paraId="1282AE2F" w14:textId="003C5EB2" w:rsidR="00211F21" w:rsidRPr="00CF4E9F" w:rsidRDefault="0026779C" w:rsidP="00571F09">
      <w:pPr>
        <w:pStyle w:val="Paragraphe"/>
        <w:spacing w:line="280" w:lineRule="exact"/>
        <w:rPr>
          <w:lang w:val="en-CA"/>
        </w:rPr>
      </w:pPr>
      <w:r w:rsidRPr="00CF4E9F">
        <w:rPr>
          <w:lang w:val="en-CA"/>
        </w:rPr>
        <w:t>In this case, the judge found that the evidence adduced did not establish that traffic stops with no required ground</w:t>
      </w:r>
      <w:r w:rsidR="005443E9" w:rsidRPr="00CF4E9F">
        <w:rPr>
          <w:lang w:val="en-CA"/>
        </w:rPr>
        <w:t>s</w:t>
      </w:r>
      <w:r w:rsidRPr="00CF4E9F">
        <w:rPr>
          <w:lang w:val="en-CA"/>
        </w:rPr>
        <w:t xml:space="preserve"> are more effective than roadblocks.</w:t>
      </w:r>
      <w:r w:rsidR="0043013D" w:rsidRPr="00CF4E9F">
        <w:rPr>
          <w:lang w:val="en-CA"/>
        </w:rPr>
        <w:t xml:space="preserve"> </w:t>
      </w:r>
      <w:r w:rsidR="00F47355" w:rsidRPr="00CF4E9F">
        <w:rPr>
          <w:lang w:val="en-CA"/>
        </w:rPr>
        <w:t>He wrote:</w:t>
      </w:r>
    </w:p>
    <w:p w14:paraId="1E0DF9F4" w14:textId="100AA56F" w:rsidR="0026779C" w:rsidRPr="00CF4E9F" w:rsidRDefault="0026779C" w:rsidP="00F11F05">
      <w:pPr>
        <w:pStyle w:val="Citationenretrait"/>
        <w:rPr>
          <w:lang w:val="en-CA"/>
        </w:rPr>
      </w:pPr>
      <w:r w:rsidRPr="00CF4E9F">
        <w:rPr>
          <w:rFonts w:cs="Arial"/>
          <w:lang w:val="en-CA"/>
        </w:rPr>
        <w:t>[</w:t>
      </w:r>
      <w:r w:rsidRPr="00CF4E9F">
        <w:rPr>
          <w:rFonts w:cs="Arial"/>
          <w:smallCaps/>
          <w:lang w:val="en-CA"/>
        </w:rPr>
        <w:t>translation</w:t>
      </w:r>
      <w:r w:rsidRPr="00CF4E9F">
        <w:rPr>
          <w:rFonts w:cs="Arial"/>
          <w:lang w:val="en-CA"/>
        </w:rPr>
        <w:t>]</w:t>
      </w:r>
    </w:p>
    <w:p w14:paraId="3A60F274" w14:textId="49BF0DEA" w:rsidR="00211F21" w:rsidRPr="00CF4E9F" w:rsidRDefault="0043013D" w:rsidP="00F11F05">
      <w:pPr>
        <w:pStyle w:val="Citationenretrait"/>
        <w:rPr>
          <w:lang w:val="en-CA"/>
        </w:rPr>
      </w:pPr>
      <w:r w:rsidRPr="00CF4E9F">
        <w:rPr>
          <w:lang w:val="en-CA"/>
        </w:rPr>
        <w:t>[684]</w:t>
      </w:r>
      <w:r w:rsidR="00F11F05" w:rsidRPr="00CF4E9F">
        <w:rPr>
          <w:sz w:val="14"/>
          <w:szCs w:val="14"/>
          <w:lang w:val="en-CA"/>
        </w:rPr>
        <w:tab/>
      </w:r>
      <w:r w:rsidR="0026779C" w:rsidRPr="00CF4E9F">
        <w:rPr>
          <w:lang w:val="en-CA"/>
        </w:rPr>
        <w:t xml:space="preserve">The defence’s evidence also does not help establish that the systematic implementation of roadside checkpoints would not achieve the same results as </w:t>
      </w:r>
      <w:r w:rsidR="007544FF">
        <w:rPr>
          <w:i/>
          <w:lang w:val="en-CA"/>
        </w:rPr>
        <w:t xml:space="preserve">traffic </w:t>
      </w:r>
      <w:r w:rsidR="0026779C" w:rsidRPr="00CF4E9F">
        <w:rPr>
          <w:i/>
          <w:lang w:val="en-CA"/>
        </w:rPr>
        <w:t>stops without factual grounds</w:t>
      </w:r>
      <w:r w:rsidR="0026779C" w:rsidRPr="00CF4E9F">
        <w:rPr>
          <w:lang w:val="en-CA"/>
        </w:rPr>
        <w:t>, as proposed by the CCLA, which filed in this regard a research report prepared by the Insurance Institute for Highway Safety, based in Virginia, the main conclusion of which reads as follows:</w:t>
      </w:r>
    </w:p>
    <w:p w14:paraId="34423185" w14:textId="77777777" w:rsidR="00211F21" w:rsidRPr="00CF4E9F" w:rsidRDefault="0043013D" w:rsidP="00DD42C3">
      <w:pPr>
        <w:pStyle w:val="Citationenretrait"/>
        <w:keepNext/>
        <w:ind w:left="1440" w:right="1442"/>
        <w:rPr>
          <w:sz w:val="20"/>
          <w:lang w:val="en-CA"/>
        </w:rPr>
      </w:pPr>
      <w:r w:rsidRPr="00CF4E9F">
        <w:rPr>
          <w:sz w:val="20"/>
          <w:lang w:val="en-CA"/>
        </w:rPr>
        <w:t xml:space="preserve">This study demonstrated that a sobriety checkpoint enforcement program using only three to five police officers can be a very effective deterrent against drinking and driving in jurisdictions that are much more rural in nature. These checkpoints can be maintained over a long period of time without outside funding. Because of the simplicity and ease with which these checkpoints were conducted, police administration in the experimental communities have embraced the concept and continued the program after the conclusion of the formal research study. This is </w:t>
      </w:r>
      <w:r w:rsidRPr="00CF4E9F">
        <w:rPr>
          <w:sz w:val="20"/>
          <w:lang w:val="en-CA"/>
        </w:rPr>
        <w:lastRenderedPageBreak/>
        <w:t xml:space="preserve">particularly important in more rural communities with fewer staff resources, but it also may be appropriate on certain roadways in more urban areas. </w:t>
      </w:r>
    </w:p>
    <w:p w14:paraId="710D6EC2" w14:textId="6FBAF756" w:rsidR="00E23169" w:rsidRPr="00CF4E9F" w:rsidRDefault="0026779C" w:rsidP="00DD42C3">
      <w:pPr>
        <w:pStyle w:val="Paragraphe"/>
        <w:keepNext/>
        <w:numPr>
          <w:ilvl w:val="0"/>
          <w:numId w:val="0"/>
        </w:numPr>
        <w:spacing w:line="240" w:lineRule="auto"/>
        <w:ind w:left="720" w:right="720"/>
        <w:jc w:val="right"/>
        <w:rPr>
          <w:sz w:val="22"/>
          <w:szCs w:val="22"/>
          <w:lang w:val="en-CA"/>
        </w:rPr>
      </w:pPr>
      <w:r w:rsidRPr="00CF4E9F">
        <w:rPr>
          <w:sz w:val="22"/>
          <w:szCs w:val="22"/>
          <w:lang w:val="en-CA"/>
        </w:rPr>
        <w:t>[References omitted</w:t>
      </w:r>
      <w:r w:rsidR="00062057">
        <w:rPr>
          <w:sz w:val="22"/>
          <w:szCs w:val="22"/>
          <w:lang w:val="en-CA"/>
        </w:rPr>
        <w:t>;</w:t>
      </w:r>
      <w:r w:rsidRPr="00CF4E9F">
        <w:rPr>
          <w:sz w:val="22"/>
          <w:szCs w:val="22"/>
          <w:lang w:val="en-CA"/>
        </w:rPr>
        <w:t xml:space="preserve"> </w:t>
      </w:r>
      <w:r w:rsidR="00062057">
        <w:rPr>
          <w:sz w:val="22"/>
          <w:szCs w:val="22"/>
          <w:lang w:val="en-CA"/>
        </w:rPr>
        <w:t xml:space="preserve">italics </w:t>
      </w:r>
      <w:r w:rsidRPr="00CF4E9F">
        <w:rPr>
          <w:sz w:val="22"/>
          <w:szCs w:val="22"/>
          <w:lang w:val="en-CA"/>
        </w:rPr>
        <w:t xml:space="preserve">in </w:t>
      </w:r>
      <w:r w:rsidR="00062057">
        <w:rPr>
          <w:sz w:val="22"/>
          <w:szCs w:val="22"/>
          <w:lang w:val="en-CA"/>
        </w:rPr>
        <w:t xml:space="preserve">the </w:t>
      </w:r>
      <w:r w:rsidRPr="00CF4E9F">
        <w:rPr>
          <w:sz w:val="22"/>
          <w:szCs w:val="22"/>
          <w:lang w:val="en-CA"/>
        </w:rPr>
        <w:t>original]</w:t>
      </w:r>
    </w:p>
    <w:p w14:paraId="476F611C" w14:textId="3A3EBC29" w:rsidR="00211F21" w:rsidRPr="00CF4E9F" w:rsidRDefault="00CC042D" w:rsidP="00571F09">
      <w:pPr>
        <w:pStyle w:val="Paragraphe"/>
        <w:spacing w:line="280" w:lineRule="exact"/>
        <w:rPr>
          <w:lang w:val="en-CA"/>
        </w:rPr>
      </w:pPr>
      <w:r w:rsidRPr="00CF4E9F">
        <w:rPr>
          <w:color w:val="000000"/>
          <w:spacing w:val="-3"/>
          <w:lang w:val="en-CA"/>
        </w:rPr>
        <w:t>The judge’s conclusion echoe</w:t>
      </w:r>
      <w:r w:rsidR="00011F02" w:rsidRPr="00CF4E9F">
        <w:rPr>
          <w:color w:val="000000"/>
          <w:spacing w:val="-3"/>
          <w:lang w:val="en-CA"/>
        </w:rPr>
        <w:t>s</w:t>
      </w:r>
      <w:r w:rsidRPr="00CF4E9F">
        <w:rPr>
          <w:color w:val="000000"/>
          <w:spacing w:val="-3"/>
          <w:lang w:val="en-CA"/>
        </w:rPr>
        <w:t xml:space="preserve"> the dissenting reasons of Sopinka, J. in </w:t>
      </w:r>
      <w:r w:rsidRPr="00CF4E9F">
        <w:rPr>
          <w:i/>
          <w:color w:val="000000"/>
          <w:spacing w:val="-3"/>
          <w:lang w:val="en-CA"/>
        </w:rPr>
        <w:t>Ladouceur</w:t>
      </w:r>
      <w:r w:rsidRPr="00CF4E9F">
        <w:rPr>
          <w:color w:val="000000"/>
          <w:spacing w:val="-3"/>
          <w:lang w:val="en-CA"/>
        </w:rPr>
        <w:t>.</w:t>
      </w:r>
      <w:r w:rsidR="0043013D" w:rsidRPr="00CF4E9F">
        <w:rPr>
          <w:color w:val="000000"/>
          <w:spacing w:val="-3"/>
          <w:lang w:val="en-CA"/>
        </w:rPr>
        <w:t xml:space="preserve"> </w:t>
      </w:r>
      <w:r w:rsidRPr="00CF4E9F">
        <w:rPr>
          <w:lang w:val="en-CA"/>
        </w:rPr>
        <w:t xml:space="preserve">For Sopinka, J., the unrestricted power </w:t>
      </w:r>
      <w:r w:rsidR="005F1B1F" w:rsidRPr="00CF4E9F">
        <w:rPr>
          <w:lang w:val="en-CA"/>
        </w:rPr>
        <w:t>t</w:t>
      </w:r>
      <w:r w:rsidRPr="00CF4E9F">
        <w:rPr>
          <w:lang w:val="en-CA"/>
        </w:rPr>
        <w:t xml:space="preserve">o </w:t>
      </w:r>
      <w:r w:rsidR="00011F02" w:rsidRPr="00CF4E9F">
        <w:rPr>
          <w:lang w:val="en-CA"/>
        </w:rPr>
        <w:t xml:space="preserve">make </w:t>
      </w:r>
      <w:r w:rsidRPr="00CF4E9F">
        <w:rPr>
          <w:lang w:val="en-CA"/>
        </w:rPr>
        <w:t xml:space="preserve">random </w:t>
      </w:r>
      <w:r w:rsidR="00011F02" w:rsidRPr="00CF4E9F">
        <w:rPr>
          <w:lang w:val="en-CA"/>
        </w:rPr>
        <w:t xml:space="preserve">roving </w:t>
      </w:r>
      <w:r w:rsidRPr="00CF4E9F">
        <w:rPr>
          <w:lang w:val="en-CA"/>
        </w:rPr>
        <w:t>stop</w:t>
      </w:r>
      <w:r w:rsidR="00011F02" w:rsidRPr="00CF4E9F">
        <w:rPr>
          <w:lang w:val="en-CA"/>
        </w:rPr>
        <w:t>s</w:t>
      </w:r>
      <w:r w:rsidRPr="00CF4E9F">
        <w:rPr>
          <w:lang w:val="en-CA"/>
        </w:rPr>
        <w:t xml:space="preserve"> </w:t>
      </w:r>
      <w:r w:rsidR="00CF4E9F">
        <w:rPr>
          <w:lang w:val="en-CA"/>
        </w:rPr>
        <w:t xml:space="preserve">of drivers </w:t>
      </w:r>
      <w:r w:rsidRPr="00CF4E9F">
        <w:rPr>
          <w:lang w:val="en-CA"/>
        </w:rPr>
        <w:t>was not a “necessary addition to the impressive array of enforcement methods which are available”.</w:t>
      </w:r>
      <w:r w:rsidRPr="00CF4E9F">
        <w:rPr>
          <w:rStyle w:val="Appelnotedebasdep"/>
          <w:lang w:val="en-CA"/>
        </w:rPr>
        <w:footnoteReference w:id="191"/>
      </w:r>
      <w:r w:rsidR="0043013D" w:rsidRPr="00CF4E9F">
        <w:rPr>
          <w:lang w:val="en-CA"/>
        </w:rPr>
        <w:t xml:space="preserve"> </w:t>
      </w:r>
      <w:r w:rsidRPr="00CF4E9F">
        <w:rPr>
          <w:color w:val="000000"/>
          <w:spacing w:val="-3"/>
          <w:lang w:val="en-CA"/>
        </w:rPr>
        <w:t>He noted that random organized check points (that in his opinion had already reached “the outer limits of s. 1”</w:t>
      </w:r>
      <w:r w:rsidRPr="00CF4E9F">
        <w:rPr>
          <w:rStyle w:val="Appelnotedebasdep"/>
          <w:color w:val="000000"/>
          <w:spacing w:val="-3"/>
          <w:lang w:val="en-CA"/>
        </w:rPr>
        <w:footnoteReference w:id="192"/>
      </w:r>
      <w:r w:rsidRPr="00CF4E9F">
        <w:rPr>
          <w:color w:val="000000"/>
          <w:spacing w:val="-3"/>
          <w:lang w:val="en-CA"/>
        </w:rPr>
        <w:t>) w</w:t>
      </w:r>
      <w:r w:rsidR="00011F02" w:rsidRPr="00CF4E9F">
        <w:rPr>
          <w:color w:val="000000"/>
          <w:spacing w:val="-3"/>
          <w:lang w:val="en-CA"/>
        </w:rPr>
        <w:t>ere</w:t>
      </w:r>
      <w:r w:rsidRPr="00CF4E9F">
        <w:rPr>
          <w:color w:val="000000"/>
          <w:spacing w:val="-3"/>
          <w:lang w:val="en-CA"/>
        </w:rPr>
        <w:t xml:space="preserve"> designed to serve enforcement while being less intrusive and not as open to abuse as the unlimited power sought to be justified.</w:t>
      </w:r>
      <w:r w:rsidR="00190A40" w:rsidRPr="00CF4E9F">
        <w:rPr>
          <w:color w:val="000000"/>
          <w:spacing w:val="-3"/>
          <w:lang w:val="en-CA"/>
        </w:rPr>
        <w:t xml:space="preserve"> </w:t>
      </w:r>
      <w:r w:rsidRPr="00CF4E9F">
        <w:rPr>
          <w:color w:val="000000"/>
          <w:spacing w:val="-3"/>
          <w:lang w:val="en-CA"/>
        </w:rPr>
        <w:t xml:space="preserve">The Court is of the opinion that the passage of time has shown that Sopinka, J.’s </w:t>
      </w:r>
      <w:r w:rsidR="00A73461">
        <w:rPr>
          <w:color w:val="000000"/>
          <w:spacing w:val="-3"/>
          <w:lang w:val="en-CA"/>
        </w:rPr>
        <w:t>concerns</w:t>
      </w:r>
      <w:r w:rsidR="00A73461" w:rsidRPr="00CF4E9F">
        <w:rPr>
          <w:color w:val="000000"/>
          <w:spacing w:val="-3"/>
          <w:lang w:val="en-CA"/>
        </w:rPr>
        <w:t xml:space="preserve"> </w:t>
      </w:r>
      <w:r w:rsidRPr="00CF4E9F">
        <w:rPr>
          <w:color w:val="000000"/>
          <w:spacing w:val="-3"/>
          <w:lang w:val="en-CA"/>
        </w:rPr>
        <w:t>were founded.</w:t>
      </w:r>
    </w:p>
    <w:p w14:paraId="16ED50BB" w14:textId="0A7F0EDD" w:rsidR="00211F21" w:rsidRPr="00CF4E9F" w:rsidRDefault="00CC042D" w:rsidP="00571F09">
      <w:pPr>
        <w:pStyle w:val="Paragraphe"/>
        <w:spacing w:line="280" w:lineRule="exact"/>
        <w:rPr>
          <w:lang w:val="en-CA"/>
        </w:rPr>
      </w:pPr>
      <w:r w:rsidRPr="00CF4E9F">
        <w:rPr>
          <w:lang w:val="en-CA"/>
        </w:rPr>
        <w:t xml:space="preserve">It should further be noted </w:t>
      </w:r>
      <w:r w:rsidR="00435DD7" w:rsidRPr="00CF4E9F">
        <w:rPr>
          <w:lang w:val="en-CA"/>
        </w:rPr>
        <w:t xml:space="preserve">that </w:t>
      </w:r>
      <w:r w:rsidRPr="00CF4E9F">
        <w:rPr>
          <w:lang w:val="en-CA"/>
        </w:rPr>
        <w:t>police</w:t>
      </w:r>
      <w:r w:rsidR="00A73461">
        <w:rPr>
          <w:lang w:val="en-CA"/>
        </w:rPr>
        <w:t xml:space="preserve"> officers</w:t>
      </w:r>
      <w:r w:rsidRPr="00CF4E9F">
        <w:rPr>
          <w:lang w:val="en-CA"/>
        </w:rPr>
        <w:t xml:space="preserve"> </w:t>
      </w:r>
      <w:r w:rsidR="002A37A1" w:rsidRPr="00CF4E9F">
        <w:rPr>
          <w:lang w:val="en-CA"/>
        </w:rPr>
        <w:t xml:space="preserve">also </w:t>
      </w:r>
      <w:r w:rsidRPr="00CF4E9F">
        <w:rPr>
          <w:lang w:val="en-CA"/>
        </w:rPr>
        <w:t>have other powers</w:t>
      </w:r>
      <w:r w:rsidR="00A73461">
        <w:rPr>
          <w:lang w:val="en-CA"/>
        </w:rPr>
        <w:t xml:space="preserve"> allowing them</w:t>
      </w:r>
      <w:r w:rsidRPr="00CF4E9F">
        <w:rPr>
          <w:lang w:val="en-CA"/>
        </w:rPr>
        <w:t xml:space="preserve"> to stop drivers for highway safety or public </w:t>
      </w:r>
      <w:r w:rsidR="002B387D" w:rsidRPr="00CF4E9F">
        <w:rPr>
          <w:lang w:val="en-CA"/>
        </w:rPr>
        <w:t xml:space="preserve">safety </w:t>
      </w:r>
      <w:r w:rsidRPr="00CF4E9F">
        <w:rPr>
          <w:lang w:val="en-CA"/>
        </w:rPr>
        <w:t>considerations.</w:t>
      </w:r>
      <w:r w:rsidR="0043013D" w:rsidRPr="00CF4E9F">
        <w:rPr>
          <w:lang w:val="en-CA"/>
        </w:rPr>
        <w:t xml:space="preserve"> </w:t>
      </w:r>
      <w:r w:rsidRPr="00CF4E9F">
        <w:rPr>
          <w:lang w:val="en-CA"/>
        </w:rPr>
        <w:t xml:space="preserve">For example, they may validly stop a vehicle pursuant to their power to detain for investigation when they have reasonable grounds to suspect that a driver is involved in a </w:t>
      </w:r>
      <w:r w:rsidR="004E6C96">
        <w:rPr>
          <w:lang w:val="en-CA"/>
        </w:rPr>
        <w:t>particular</w:t>
      </w:r>
      <w:r w:rsidR="004E6C96" w:rsidRPr="00CF4E9F">
        <w:rPr>
          <w:lang w:val="en-CA"/>
        </w:rPr>
        <w:t xml:space="preserve"> </w:t>
      </w:r>
      <w:r w:rsidRPr="00CF4E9F">
        <w:rPr>
          <w:lang w:val="en-CA"/>
        </w:rPr>
        <w:t>crime and should be detained.</w:t>
      </w:r>
      <w:r w:rsidRPr="00CF4E9F">
        <w:rPr>
          <w:rStyle w:val="Appelnotedebasdep"/>
          <w:lang w:val="en-CA"/>
        </w:rPr>
        <w:footnoteReference w:id="193"/>
      </w:r>
      <w:r w:rsidR="0043013D" w:rsidRPr="00CF4E9F">
        <w:rPr>
          <w:lang w:val="en-CA"/>
        </w:rPr>
        <w:t xml:space="preserve"> </w:t>
      </w:r>
      <w:r w:rsidRPr="00CF4E9F">
        <w:rPr>
          <w:lang w:val="en-CA"/>
        </w:rPr>
        <w:t>The common law ancillary powers doctrine also authorizes vehicles to be stopped when it is “reasonably necessary in the totality of the circumstances”.</w:t>
      </w:r>
      <w:r w:rsidRPr="00CF4E9F">
        <w:rPr>
          <w:rStyle w:val="Appelnotedebasdep"/>
          <w:lang w:val="en-CA"/>
        </w:rPr>
        <w:footnoteReference w:id="194"/>
      </w:r>
      <w:r w:rsidR="00C13395" w:rsidRPr="00CF4E9F">
        <w:rPr>
          <w:lang w:val="en-CA"/>
        </w:rPr>
        <w:t xml:space="preserve"> </w:t>
      </w:r>
      <w:r w:rsidRPr="00CF4E9F">
        <w:rPr>
          <w:lang w:val="en-CA"/>
        </w:rPr>
        <w:t xml:space="preserve">The </w:t>
      </w:r>
      <w:r w:rsidR="002B387D" w:rsidRPr="00CF4E9F">
        <w:rPr>
          <w:lang w:val="en-CA"/>
        </w:rPr>
        <w:t xml:space="preserve">sole </w:t>
      </w:r>
      <w:r w:rsidRPr="00CF4E9F">
        <w:rPr>
          <w:lang w:val="en-CA"/>
        </w:rPr>
        <w:t xml:space="preserve">“addition” </w:t>
      </w:r>
      <w:r w:rsidR="002B387D" w:rsidRPr="00CF4E9F">
        <w:rPr>
          <w:lang w:val="en-CA"/>
        </w:rPr>
        <w:t xml:space="preserve">under </w:t>
      </w:r>
      <w:r w:rsidR="00162E51">
        <w:rPr>
          <w:lang w:val="en-CA"/>
        </w:rPr>
        <w:t>s. </w:t>
      </w:r>
      <w:r w:rsidRPr="00CF4E9F">
        <w:rPr>
          <w:lang w:val="en-CA"/>
        </w:rPr>
        <w:t>636</w:t>
      </w:r>
      <w:r w:rsidR="0030762F" w:rsidRPr="0030762F">
        <w:rPr>
          <w:i/>
          <w:lang w:val="en-CA"/>
        </w:rPr>
        <w:t> HSC</w:t>
      </w:r>
      <w:r w:rsidRPr="00CF4E9F">
        <w:rPr>
          <w:lang w:val="en-CA"/>
        </w:rPr>
        <w:t xml:space="preserve"> is to empower the police to check drivers with no required grounds, outside an organized program.</w:t>
      </w:r>
      <w:r w:rsidR="0043013D" w:rsidRPr="00CF4E9F">
        <w:rPr>
          <w:lang w:val="en-CA"/>
        </w:rPr>
        <w:t xml:space="preserve"> </w:t>
      </w:r>
    </w:p>
    <w:p w14:paraId="293EDC71" w14:textId="283C0FC8" w:rsidR="00211F21" w:rsidRPr="00CF4E9F" w:rsidRDefault="00CC042D" w:rsidP="00571F09">
      <w:pPr>
        <w:pStyle w:val="Paragraphe"/>
        <w:spacing w:line="280" w:lineRule="exact"/>
        <w:rPr>
          <w:lang w:val="en-CA"/>
        </w:rPr>
      </w:pPr>
      <w:r w:rsidRPr="00CF4E9F">
        <w:rPr>
          <w:lang w:val="en-CA"/>
        </w:rPr>
        <w:t xml:space="preserve">Since no justification </w:t>
      </w:r>
      <w:r w:rsidR="002B387D" w:rsidRPr="00CF4E9F">
        <w:rPr>
          <w:lang w:val="en-CA"/>
        </w:rPr>
        <w:t xml:space="preserve">has been provided </w:t>
      </w:r>
      <w:r w:rsidRPr="00CF4E9F">
        <w:rPr>
          <w:lang w:val="en-CA"/>
        </w:rPr>
        <w:t>on the need to grant police</w:t>
      </w:r>
      <w:r w:rsidR="00A73461">
        <w:rPr>
          <w:lang w:val="en-CA"/>
        </w:rPr>
        <w:t xml:space="preserve"> officers</w:t>
      </w:r>
      <w:r w:rsidRPr="00CF4E9F">
        <w:rPr>
          <w:lang w:val="en-CA"/>
        </w:rPr>
        <w:t xml:space="preserve"> </w:t>
      </w:r>
      <w:r w:rsidR="002B387D" w:rsidRPr="00CF4E9F">
        <w:rPr>
          <w:lang w:val="en-CA"/>
        </w:rPr>
        <w:t>almost unfettered</w:t>
      </w:r>
      <w:r w:rsidRPr="00CF4E9F">
        <w:rPr>
          <w:lang w:val="en-CA"/>
        </w:rPr>
        <w:t xml:space="preserve"> discretion, the AGQ has </w:t>
      </w:r>
      <w:r w:rsidR="00A73461">
        <w:rPr>
          <w:lang w:val="en-CA"/>
        </w:rPr>
        <w:t>failed to</w:t>
      </w:r>
      <w:r w:rsidR="00A73461" w:rsidRPr="00CF4E9F">
        <w:rPr>
          <w:lang w:val="en-CA"/>
        </w:rPr>
        <w:t xml:space="preserve"> </w:t>
      </w:r>
      <w:r w:rsidRPr="00CF4E9F">
        <w:rPr>
          <w:lang w:val="en-CA"/>
        </w:rPr>
        <w:t>show that the judge erred in concluding that other strategies to achieve the legislative objective are available and will attain the same result</w:t>
      </w:r>
      <w:r w:rsidRPr="00CF4E9F">
        <w:rPr>
          <w:rStyle w:val="Appelnotedebasdep"/>
          <w:lang w:val="en-CA"/>
        </w:rPr>
        <w:footnoteReference w:id="195"/>
      </w:r>
      <w:r w:rsidRPr="00CF4E9F">
        <w:rPr>
          <w:lang w:val="en-CA"/>
        </w:rPr>
        <w:t xml:space="preserve"> (such as roadblocks, designated regulated highway safety programs, public awareness campaigns, </w:t>
      </w:r>
      <w:r w:rsidR="00F562D7">
        <w:rPr>
          <w:lang w:val="en-CA"/>
        </w:rPr>
        <w:t xml:space="preserve">and </w:t>
      </w:r>
      <w:r w:rsidRPr="00CF4E9F">
        <w:rPr>
          <w:lang w:val="en-CA"/>
        </w:rPr>
        <w:t xml:space="preserve">methods to ensure that stops are really random rather than discriminatory). </w:t>
      </w:r>
    </w:p>
    <w:p w14:paraId="6B9BB1F7" w14:textId="16E360D2" w:rsidR="00211F21" w:rsidRPr="00CF4E9F" w:rsidRDefault="00CC042D" w:rsidP="00571F09">
      <w:pPr>
        <w:pStyle w:val="Paragraphe"/>
        <w:spacing w:line="280" w:lineRule="exact"/>
        <w:rPr>
          <w:lang w:val="en-CA"/>
        </w:rPr>
      </w:pPr>
      <w:r w:rsidRPr="00CF4E9F">
        <w:rPr>
          <w:lang w:val="en-CA"/>
        </w:rPr>
        <w:t>Ultimately, the judge did not err when he concluded:</w:t>
      </w:r>
    </w:p>
    <w:p w14:paraId="1D2E56B7" w14:textId="185A7379" w:rsidR="009E67AD" w:rsidRDefault="009E67AD" w:rsidP="00F11F05">
      <w:pPr>
        <w:pStyle w:val="Citationenretrait"/>
        <w:rPr>
          <w:lang w:val="en-CA"/>
        </w:rPr>
      </w:pPr>
      <w:r>
        <w:rPr>
          <w:lang w:val="en-CA"/>
        </w:rPr>
        <w:t>[</w:t>
      </w:r>
      <w:r w:rsidRPr="004E6C96">
        <w:rPr>
          <w:smallCaps/>
          <w:lang w:val="en-CA"/>
        </w:rPr>
        <w:t>translation</w:t>
      </w:r>
      <w:r>
        <w:rPr>
          <w:lang w:val="en-CA"/>
        </w:rPr>
        <w:t>]</w:t>
      </w:r>
    </w:p>
    <w:p w14:paraId="4F07458B" w14:textId="5C4CB03D" w:rsidR="00211F21" w:rsidRPr="00CF4E9F" w:rsidRDefault="0043013D" w:rsidP="00F11F05">
      <w:pPr>
        <w:pStyle w:val="Citationenretrait"/>
        <w:rPr>
          <w:lang w:val="en-CA"/>
        </w:rPr>
      </w:pPr>
      <w:r w:rsidRPr="00CF4E9F">
        <w:rPr>
          <w:lang w:val="en-CA"/>
        </w:rPr>
        <w:t>[772]</w:t>
      </w:r>
      <w:r w:rsidRPr="00CF4E9F">
        <w:rPr>
          <w:lang w:val="en-CA"/>
        </w:rPr>
        <w:tab/>
      </w:r>
      <w:r w:rsidR="00CC042D" w:rsidRPr="00CF4E9F">
        <w:rPr>
          <w:lang w:val="en-CA"/>
        </w:rPr>
        <w:t xml:space="preserve">The Crown has not established </w:t>
      </w:r>
      <w:r w:rsidR="00D9459D">
        <w:rPr>
          <w:lang w:val="en-CA"/>
        </w:rPr>
        <w:t xml:space="preserve">in any way </w:t>
      </w:r>
      <w:r w:rsidR="00CC042D" w:rsidRPr="00CF4E9F">
        <w:rPr>
          <w:lang w:val="en-CA"/>
        </w:rPr>
        <w:t>that other means less likely to give free rein to racial profiling would not achieve the same result.</w:t>
      </w:r>
      <w:r w:rsidRPr="00CF4E9F">
        <w:rPr>
          <w:lang w:val="en-CA"/>
        </w:rPr>
        <w:t xml:space="preserve"> </w:t>
      </w:r>
      <w:r w:rsidR="00CC042D" w:rsidRPr="00CF4E9F">
        <w:rPr>
          <w:lang w:val="en-CA"/>
        </w:rPr>
        <w:t xml:space="preserve">It would have been difficult to do so because, as discussed above, the contribution of </w:t>
      </w:r>
      <w:r w:rsidR="007544FF">
        <w:rPr>
          <w:i/>
          <w:lang w:val="en-CA"/>
        </w:rPr>
        <w:t xml:space="preserve">traffic </w:t>
      </w:r>
      <w:r w:rsidR="00CC042D" w:rsidRPr="00CF4E9F">
        <w:rPr>
          <w:i/>
          <w:lang w:val="en-CA"/>
        </w:rPr>
        <w:t>stops without factual grounds</w:t>
      </w:r>
      <w:r w:rsidR="00CC042D" w:rsidRPr="00CF4E9F">
        <w:rPr>
          <w:lang w:val="en-CA"/>
        </w:rPr>
        <w:t xml:space="preserve"> to achieving the objectives of road safety or reducing motor </w:t>
      </w:r>
      <w:r w:rsidR="00CC042D" w:rsidRPr="00CF4E9F">
        <w:rPr>
          <w:lang w:val="en-CA"/>
        </w:rPr>
        <w:lastRenderedPageBreak/>
        <w:t xml:space="preserve">vehicle accidents or </w:t>
      </w:r>
      <w:r w:rsidR="00CC042D" w:rsidRPr="00CF4E9F">
        <w:rPr>
          <w:i/>
          <w:lang w:val="en-CA"/>
        </w:rPr>
        <w:t>HSC</w:t>
      </w:r>
      <w:r w:rsidR="00CC042D" w:rsidRPr="00CF4E9F">
        <w:rPr>
          <w:lang w:val="en-CA"/>
        </w:rPr>
        <w:t xml:space="preserve"> or </w:t>
      </w:r>
      <w:r w:rsidR="00CC042D" w:rsidRPr="00CF4E9F">
        <w:rPr>
          <w:i/>
          <w:lang w:val="en-CA"/>
        </w:rPr>
        <w:t>Criminal Code</w:t>
      </w:r>
      <w:r w:rsidR="00CC042D" w:rsidRPr="00CF4E9F">
        <w:rPr>
          <w:lang w:val="en-CA"/>
        </w:rPr>
        <w:t xml:space="preserve"> offences has not been established.</w:t>
      </w:r>
      <w:r w:rsidRPr="00CF4E9F">
        <w:rPr>
          <w:lang w:val="en-CA"/>
        </w:rPr>
        <w:t xml:space="preserve"> </w:t>
      </w:r>
      <w:r w:rsidR="00CC042D" w:rsidRPr="00CF4E9F">
        <w:rPr>
          <w:lang w:val="en-CA"/>
        </w:rPr>
        <w:t>It was up to the Crown to prove the absence of less harmful means of achieving the objective of road safety in a real and substantial manner.</w:t>
      </w:r>
      <w:r w:rsidRPr="00CF4E9F">
        <w:rPr>
          <w:lang w:val="en-CA"/>
        </w:rPr>
        <w:t xml:space="preserve"> </w:t>
      </w:r>
      <w:r w:rsidR="00CC042D" w:rsidRPr="00CF4E9F">
        <w:rPr>
          <w:lang w:val="en-CA"/>
        </w:rPr>
        <w:t>It has not succeeded in meeting this burden.</w:t>
      </w:r>
    </w:p>
    <w:p w14:paraId="50EBD306" w14:textId="3FA79C3D" w:rsidR="00D63DDA" w:rsidRPr="00CF4E9F" w:rsidRDefault="00E27CEF" w:rsidP="00D63DDA">
      <w:pPr>
        <w:pStyle w:val="Citationenretrait"/>
        <w:jc w:val="right"/>
        <w:rPr>
          <w:lang w:val="en-CA"/>
        </w:rPr>
      </w:pPr>
      <w:r w:rsidRPr="00CF4E9F">
        <w:rPr>
          <w:lang w:val="en-CA"/>
        </w:rPr>
        <w:t>[</w:t>
      </w:r>
      <w:r w:rsidR="00CB6108">
        <w:rPr>
          <w:lang w:val="en-CA"/>
        </w:rPr>
        <w:t xml:space="preserve">Italics </w:t>
      </w:r>
      <w:r w:rsidRPr="00CF4E9F">
        <w:rPr>
          <w:lang w:val="en-CA"/>
        </w:rPr>
        <w:t>in the original]</w:t>
      </w:r>
    </w:p>
    <w:p w14:paraId="5CD88C04" w14:textId="164764E3" w:rsidR="00211F21" w:rsidRPr="00CF4E9F" w:rsidRDefault="006430A3" w:rsidP="00571F09">
      <w:pPr>
        <w:pStyle w:val="Paragraphe"/>
        <w:spacing w:line="280" w:lineRule="exact"/>
        <w:rPr>
          <w:lang w:val="en-CA"/>
        </w:rPr>
      </w:pPr>
      <w:bookmarkStart w:id="97" w:name="_Ref178079717"/>
      <w:r w:rsidRPr="00CF4E9F">
        <w:rPr>
          <w:lang w:val="en-CA"/>
        </w:rPr>
        <w:t>As t</w:t>
      </w:r>
      <w:r w:rsidR="00115E3B" w:rsidRPr="00CF4E9F">
        <w:rPr>
          <w:lang w:val="en-CA"/>
        </w:rPr>
        <w:t xml:space="preserve">he AGQ has failed to show that the means chosen to achieve the objective of </w:t>
      </w:r>
      <w:r w:rsidR="00162E51">
        <w:rPr>
          <w:lang w:val="en-CA"/>
        </w:rPr>
        <w:t>s. </w:t>
      </w:r>
      <w:r w:rsidR="00115E3B" w:rsidRPr="00CF4E9F">
        <w:rPr>
          <w:lang w:val="en-CA"/>
        </w:rPr>
        <w:t>636</w:t>
      </w:r>
      <w:r w:rsidR="0030762F" w:rsidRPr="0030762F">
        <w:rPr>
          <w:i/>
          <w:lang w:val="en-CA"/>
        </w:rPr>
        <w:t> HSC</w:t>
      </w:r>
      <w:r w:rsidR="00115E3B" w:rsidRPr="00CF4E9F">
        <w:rPr>
          <w:lang w:val="en-CA"/>
        </w:rPr>
        <w:t xml:space="preserve"> does not minimally impair the fundamental right guaranteed by </w:t>
      </w:r>
      <w:r w:rsidR="00162E51">
        <w:rPr>
          <w:lang w:val="en-CA"/>
        </w:rPr>
        <w:t>s. </w:t>
      </w:r>
      <w:bookmarkEnd w:id="97"/>
      <w:r w:rsidR="00115E3B" w:rsidRPr="00CF4E9F">
        <w:rPr>
          <w:lang w:val="en-CA"/>
        </w:rPr>
        <w:t xml:space="preserve">9 of the </w:t>
      </w:r>
      <w:r w:rsidR="00115E3B" w:rsidRPr="00CF4E9F">
        <w:rPr>
          <w:i/>
          <w:lang w:val="en-CA"/>
        </w:rPr>
        <w:t>Charter</w:t>
      </w:r>
      <w:r w:rsidRPr="00CF4E9F">
        <w:rPr>
          <w:iCs/>
          <w:lang w:val="en-CA"/>
        </w:rPr>
        <w:t>,</w:t>
      </w:r>
      <w:r w:rsidR="00115E3B" w:rsidRPr="00CF4E9F">
        <w:rPr>
          <w:lang w:val="en-CA"/>
        </w:rPr>
        <w:t xml:space="preserve"> this infringement </w:t>
      </w:r>
      <w:r w:rsidR="008671D8">
        <w:rPr>
          <w:lang w:val="en-CA"/>
        </w:rPr>
        <w:t xml:space="preserve">is </w:t>
      </w:r>
      <w:r w:rsidR="00115E3B" w:rsidRPr="00CF4E9F">
        <w:rPr>
          <w:lang w:val="en-CA"/>
        </w:rPr>
        <w:t xml:space="preserve">not justified under </w:t>
      </w:r>
      <w:r w:rsidR="00162E51">
        <w:rPr>
          <w:lang w:val="en-CA"/>
        </w:rPr>
        <w:t>s. </w:t>
      </w:r>
      <w:r w:rsidR="00115E3B" w:rsidRPr="00CF4E9F">
        <w:rPr>
          <w:lang w:val="en-CA"/>
        </w:rPr>
        <w:t xml:space="preserve">1 of the </w:t>
      </w:r>
      <w:r w:rsidR="00115E3B" w:rsidRPr="00CF4E9F">
        <w:rPr>
          <w:i/>
          <w:lang w:val="en-CA"/>
        </w:rPr>
        <w:t>Charter</w:t>
      </w:r>
      <w:r w:rsidR="00115E3B" w:rsidRPr="00CF4E9F">
        <w:rPr>
          <w:lang w:val="en-CA"/>
        </w:rPr>
        <w:t>.</w:t>
      </w:r>
      <w:r w:rsidR="0043013D" w:rsidRPr="00CF4E9F">
        <w:rPr>
          <w:lang w:val="en-CA"/>
        </w:rPr>
        <w:t xml:space="preserve"> </w:t>
      </w:r>
    </w:p>
    <w:p w14:paraId="2809FAF0" w14:textId="0E8630B6" w:rsidR="00211F21" w:rsidRPr="00CF4E9F" w:rsidRDefault="00115E3B" w:rsidP="00E554DF">
      <w:pPr>
        <w:pStyle w:val="Titre4"/>
        <w:ind w:left="1491" w:hanging="357"/>
        <w:rPr>
          <w:lang w:val="en-CA"/>
        </w:rPr>
      </w:pPr>
      <w:bookmarkStart w:id="98" w:name="_Toc201822890"/>
      <w:bookmarkStart w:id="99" w:name="_Hlk176509038"/>
      <w:r w:rsidRPr="00CF4E9F">
        <w:rPr>
          <w:lang w:val="en-CA"/>
        </w:rPr>
        <w:t>Balancing the salutary and deleterious effects</w:t>
      </w:r>
      <w:bookmarkEnd w:id="98"/>
    </w:p>
    <w:p w14:paraId="21EC83DC" w14:textId="014A7D84" w:rsidR="00211F21" w:rsidRPr="00CF4E9F" w:rsidRDefault="00115E3B" w:rsidP="00571F09">
      <w:pPr>
        <w:pStyle w:val="Paragraphe"/>
        <w:spacing w:line="280" w:lineRule="exact"/>
        <w:rPr>
          <w:u w:val="single"/>
          <w:lang w:val="en-CA"/>
        </w:rPr>
      </w:pPr>
      <w:bookmarkStart w:id="100" w:name="_Hlk159686679"/>
      <w:bookmarkEnd w:id="99"/>
      <w:r w:rsidRPr="00CF4E9F">
        <w:rPr>
          <w:lang w:val="en-CA"/>
        </w:rPr>
        <w:t>This test “weigh</w:t>
      </w:r>
      <w:r w:rsidRPr="00CF4E9F">
        <w:rPr>
          <w:rFonts w:cs="Arial"/>
          <w:lang w:val="en-CA"/>
        </w:rPr>
        <w:t>[</w:t>
      </w:r>
      <w:r w:rsidR="003A471E" w:rsidRPr="00CF4E9F">
        <w:rPr>
          <w:rFonts w:cs="Arial"/>
          <w:lang w:val="en-CA"/>
        </w:rPr>
        <w:t>s</w:t>
      </w:r>
      <w:r w:rsidRPr="00CF4E9F">
        <w:rPr>
          <w:rFonts w:cs="Arial"/>
          <w:lang w:val="en-CA"/>
        </w:rPr>
        <w:t>]</w:t>
      </w:r>
      <w:r w:rsidRPr="00CF4E9F">
        <w:rPr>
          <w:lang w:val="en-CA"/>
        </w:rPr>
        <w:t xml:space="preserve"> the harm to the claimant’s rights against the public benefits conferred by the challenged measure, by asking whether </w:t>
      </w:r>
      <w:r w:rsidR="00F509CA">
        <w:rPr>
          <w:lang w:val="en-CA"/>
        </w:rPr>
        <w:t>‘</w:t>
      </w:r>
      <w:r w:rsidRPr="00CF4E9F">
        <w:rPr>
          <w:lang w:val="en-CA"/>
        </w:rPr>
        <w:t>the benefits which accrue from the limitation [of the claimant’s rights] are proportional to its deleterious effects</w:t>
      </w:r>
      <w:r w:rsidR="00F509CA">
        <w:rPr>
          <w:lang w:val="en-CA"/>
        </w:rPr>
        <w:t>’</w:t>
      </w:r>
      <w:r w:rsidR="006C0601" w:rsidRPr="00CF4E9F">
        <w:rPr>
          <w:lang w:val="en-CA"/>
        </w:rPr>
        <w:t>”</w:t>
      </w:r>
      <w:r w:rsidRPr="00CF4E9F">
        <w:rPr>
          <w:lang w:val="en-CA"/>
        </w:rPr>
        <w:t>.</w:t>
      </w:r>
      <w:r w:rsidRPr="00CF4E9F">
        <w:rPr>
          <w:vertAlign w:val="superscript"/>
          <w:lang w:val="en-CA"/>
        </w:rPr>
        <w:footnoteReference w:id="196"/>
      </w:r>
      <w:r w:rsidR="0043013D" w:rsidRPr="00CF4E9F">
        <w:rPr>
          <w:lang w:val="en-CA"/>
        </w:rPr>
        <w:t xml:space="preserve"> </w:t>
      </w:r>
      <w:bookmarkEnd w:id="100"/>
    </w:p>
    <w:p w14:paraId="098B4B05" w14:textId="46B07A89" w:rsidR="00211F21" w:rsidRPr="00CF4E9F" w:rsidRDefault="00115E3B" w:rsidP="00571F09">
      <w:pPr>
        <w:pStyle w:val="Paragraphe"/>
        <w:spacing w:line="280" w:lineRule="exact"/>
        <w:rPr>
          <w:u w:val="single"/>
          <w:lang w:val="en-CA"/>
        </w:rPr>
      </w:pPr>
      <w:r w:rsidRPr="00CF4E9F">
        <w:rPr>
          <w:lang w:val="en-CA"/>
        </w:rPr>
        <w:t xml:space="preserve">Once it has been decided that the minimal impairment test </w:t>
      </w:r>
      <w:r w:rsidR="00435DD7" w:rsidRPr="00CF4E9F">
        <w:rPr>
          <w:lang w:val="en-CA"/>
        </w:rPr>
        <w:t>has</w:t>
      </w:r>
      <w:r w:rsidRPr="00CF4E9F">
        <w:rPr>
          <w:lang w:val="en-CA"/>
        </w:rPr>
        <w:t xml:space="preserve"> not </w:t>
      </w:r>
      <w:r w:rsidR="00435DD7" w:rsidRPr="00CF4E9F">
        <w:rPr>
          <w:lang w:val="en-CA"/>
        </w:rPr>
        <w:t>been satisfied</w:t>
      </w:r>
      <w:r w:rsidRPr="00CF4E9F">
        <w:rPr>
          <w:lang w:val="en-CA"/>
        </w:rPr>
        <w:t xml:space="preserve">, </w:t>
      </w:r>
      <w:r w:rsidR="00435DD7" w:rsidRPr="00CF4E9F">
        <w:rPr>
          <w:lang w:val="en-CA"/>
        </w:rPr>
        <w:t xml:space="preserve">there is no need </w:t>
      </w:r>
      <w:r w:rsidRPr="00CF4E9F">
        <w:rPr>
          <w:lang w:val="en-CA"/>
        </w:rPr>
        <w:t xml:space="preserve">to balance the salutary and deleterious effects to determine </w:t>
      </w:r>
      <w:r w:rsidR="006C0601" w:rsidRPr="00CF4E9F">
        <w:rPr>
          <w:lang w:val="en-CA"/>
        </w:rPr>
        <w:t xml:space="preserve">the </w:t>
      </w:r>
      <w:r w:rsidRPr="00CF4E9F">
        <w:rPr>
          <w:lang w:val="en-CA"/>
        </w:rPr>
        <w:t xml:space="preserve">justification pursuant to </w:t>
      </w:r>
      <w:r w:rsidR="00162E51">
        <w:rPr>
          <w:lang w:val="en-CA"/>
        </w:rPr>
        <w:t>s. </w:t>
      </w:r>
      <w:r w:rsidRPr="00CF4E9F">
        <w:rPr>
          <w:lang w:val="en-CA"/>
        </w:rPr>
        <w:t xml:space="preserve">1 of the </w:t>
      </w:r>
      <w:r w:rsidRPr="00CF4E9F">
        <w:rPr>
          <w:i/>
          <w:lang w:val="en-CA"/>
        </w:rPr>
        <w:t>Charter.</w:t>
      </w:r>
      <w:r w:rsidR="0043013D" w:rsidRPr="00CF4E9F">
        <w:rPr>
          <w:rStyle w:val="Appelnotedebasdep"/>
          <w:lang w:val="en-CA"/>
        </w:rPr>
        <w:footnoteReference w:id="197"/>
      </w:r>
    </w:p>
    <w:p w14:paraId="3FC9A5DB" w14:textId="680CED29" w:rsidR="00211F21" w:rsidRPr="00CF4E9F" w:rsidRDefault="00115E3B" w:rsidP="00571F09">
      <w:pPr>
        <w:pStyle w:val="Paragraphe"/>
        <w:spacing w:line="280" w:lineRule="exact"/>
        <w:rPr>
          <w:rFonts w:cs="Arial"/>
          <w:szCs w:val="24"/>
          <w:u w:val="single"/>
          <w:lang w:val="en-CA"/>
        </w:rPr>
      </w:pPr>
      <w:bookmarkStart w:id="101" w:name="_Ref178079918"/>
      <w:r w:rsidRPr="00CF4E9F">
        <w:rPr>
          <w:rFonts w:cs="Arial"/>
          <w:szCs w:val="24"/>
          <w:lang w:val="en-CA"/>
        </w:rPr>
        <w:t>A few observations are nonetheless required.</w:t>
      </w:r>
      <w:r w:rsidR="0043013D" w:rsidRPr="00CF4E9F">
        <w:rPr>
          <w:rFonts w:cs="Arial"/>
          <w:szCs w:val="24"/>
          <w:lang w:val="en-CA"/>
        </w:rPr>
        <w:t xml:space="preserve"> </w:t>
      </w:r>
      <w:r w:rsidRPr="00CF4E9F">
        <w:rPr>
          <w:rFonts w:cs="Arial"/>
          <w:szCs w:val="24"/>
          <w:lang w:val="en-CA"/>
        </w:rPr>
        <w:t xml:space="preserve">First, although the Court concludes that the </w:t>
      </w:r>
      <w:r w:rsidR="006C0601" w:rsidRPr="00CF4E9F">
        <w:rPr>
          <w:rFonts w:cs="Arial"/>
          <w:szCs w:val="24"/>
          <w:lang w:val="en-CA"/>
        </w:rPr>
        <w:t>challeng</w:t>
      </w:r>
      <w:r w:rsidRPr="00CF4E9F">
        <w:rPr>
          <w:rFonts w:cs="Arial"/>
          <w:szCs w:val="24"/>
          <w:lang w:val="en-CA"/>
        </w:rPr>
        <w:t xml:space="preserve">ed legislative provision is rationally connected to its objectives, </w:t>
      </w:r>
      <w:r w:rsidR="00C719F7">
        <w:rPr>
          <w:rFonts w:cs="Arial"/>
          <w:szCs w:val="24"/>
          <w:lang w:val="en-CA"/>
        </w:rPr>
        <w:t xml:space="preserve">in no way does </w:t>
      </w:r>
      <w:r w:rsidRPr="00CF4E9F">
        <w:rPr>
          <w:rFonts w:cs="Arial"/>
          <w:szCs w:val="24"/>
          <w:lang w:val="en-CA"/>
        </w:rPr>
        <w:t xml:space="preserve">this </w:t>
      </w:r>
      <w:r w:rsidR="002A37A1" w:rsidRPr="00CF4E9F">
        <w:rPr>
          <w:rFonts w:cs="Arial"/>
          <w:szCs w:val="24"/>
          <w:lang w:val="en-CA"/>
        </w:rPr>
        <w:t>finding</w:t>
      </w:r>
      <w:r w:rsidRPr="00CF4E9F">
        <w:rPr>
          <w:rFonts w:cs="Arial"/>
          <w:szCs w:val="24"/>
          <w:lang w:val="en-CA"/>
        </w:rPr>
        <w:t xml:space="preserve"> alter the judge’s conclusion on the </w:t>
      </w:r>
      <w:r w:rsidR="00FC4288">
        <w:rPr>
          <w:rFonts w:cs="Arial"/>
          <w:szCs w:val="24"/>
          <w:lang w:val="en-CA"/>
        </w:rPr>
        <w:t xml:space="preserve">lack </w:t>
      </w:r>
      <w:r w:rsidRPr="00CF4E9F">
        <w:rPr>
          <w:rFonts w:cs="Arial"/>
          <w:szCs w:val="24"/>
          <w:lang w:val="en-CA"/>
        </w:rPr>
        <w:t>of co</w:t>
      </w:r>
      <w:r w:rsidR="00FC4288">
        <w:rPr>
          <w:rFonts w:cs="Arial"/>
          <w:szCs w:val="24"/>
          <w:lang w:val="en-CA"/>
        </w:rPr>
        <w:t>mpelling</w:t>
      </w:r>
      <w:r w:rsidRPr="00CF4E9F">
        <w:rPr>
          <w:rFonts w:cs="Arial"/>
          <w:szCs w:val="24"/>
          <w:lang w:val="en-CA"/>
        </w:rPr>
        <w:t xml:space="preserve"> evidence </w:t>
      </w:r>
      <w:r w:rsidR="00FC4288">
        <w:rPr>
          <w:rFonts w:cs="Arial"/>
          <w:szCs w:val="24"/>
          <w:lang w:val="en-CA"/>
        </w:rPr>
        <w:t xml:space="preserve">of </w:t>
      </w:r>
      <w:r w:rsidRPr="00CF4E9F">
        <w:rPr>
          <w:rFonts w:cs="Arial"/>
          <w:szCs w:val="24"/>
          <w:lang w:val="en-CA"/>
        </w:rPr>
        <w:t>the salutary effects of this legislati</w:t>
      </w:r>
      <w:r w:rsidR="006C0601" w:rsidRPr="00CF4E9F">
        <w:rPr>
          <w:rFonts w:cs="Arial"/>
          <w:szCs w:val="24"/>
          <w:lang w:val="en-CA"/>
        </w:rPr>
        <w:t>on</w:t>
      </w:r>
      <w:r w:rsidRPr="00CF4E9F">
        <w:rPr>
          <w:rFonts w:cs="Arial"/>
          <w:szCs w:val="24"/>
          <w:lang w:val="en-CA"/>
        </w:rPr>
        <w:t>.</w:t>
      </w:r>
      <w:r w:rsidR="0043013D" w:rsidRPr="00CF4E9F">
        <w:rPr>
          <w:rFonts w:cs="Arial"/>
          <w:szCs w:val="24"/>
          <w:lang w:val="en-CA"/>
        </w:rPr>
        <w:t xml:space="preserve"> </w:t>
      </w:r>
      <w:r w:rsidRPr="00CF4E9F">
        <w:rPr>
          <w:rStyle w:val="cf01"/>
          <w:rFonts w:ascii="Arial" w:hAnsi="Arial" w:cs="Arial"/>
          <w:sz w:val="24"/>
          <w:szCs w:val="24"/>
          <w:lang w:val="en-CA"/>
        </w:rPr>
        <w:t xml:space="preserve">The judge explained that the power to make stops with no required grounds has limited effectiveness and that the evidence does not concretely establish </w:t>
      </w:r>
      <w:r w:rsidR="006C0601" w:rsidRPr="00CF4E9F">
        <w:rPr>
          <w:rStyle w:val="cf01"/>
          <w:rFonts w:ascii="Arial" w:hAnsi="Arial" w:cs="Arial"/>
          <w:sz w:val="24"/>
          <w:szCs w:val="24"/>
          <w:lang w:val="en-CA"/>
        </w:rPr>
        <w:t xml:space="preserve">that </w:t>
      </w:r>
      <w:r w:rsidRPr="00CF4E9F">
        <w:rPr>
          <w:rStyle w:val="cf01"/>
          <w:rFonts w:ascii="Arial" w:hAnsi="Arial" w:cs="Arial"/>
          <w:sz w:val="24"/>
          <w:szCs w:val="24"/>
          <w:lang w:val="en-CA"/>
        </w:rPr>
        <w:t xml:space="preserve">this power </w:t>
      </w:r>
      <w:r w:rsidR="006C0601" w:rsidRPr="00CF4E9F">
        <w:rPr>
          <w:rStyle w:val="cf01"/>
          <w:rFonts w:ascii="Arial" w:hAnsi="Arial" w:cs="Arial"/>
          <w:sz w:val="24"/>
          <w:szCs w:val="24"/>
          <w:lang w:val="en-CA"/>
        </w:rPr>
        <w:t xml:space="preserve">contributes </w:t>
      </w:r>
      <w:r w:rsidRPr="00CF4E9F">
        <w:rPr>
          <w:rStyle w:val="cf01"/>
          <w:rFonts w:ascii="Arial" w:hAnsi="Arial" w:cs="Arial"/>
          <w:sz w:val="24"/>
          <w:szCs w:val="24"/>
          <w:lang w:val="en-CA"/>
        </w:rPr>
        <w:t>to highway safety.</w:t>
      </w:r>
      <w:r w:rsidRPr="00CF4E9F">
        <w:rPr>
          <w:rStyle w:val="Appelnotedebasdep"/>
          <w:rFonts w:cs="Arial"/>
          <w:szCs w:val="24"/>
          <w:lang w:val="en-CA"/>
        </w:rPr>
        <w:footnoteReference w:id="198"/>
      </w:r>
      <w:r w:rsidR="0043013D" w:rsidRPr="00CF4E9F">
        <w:rPr>
          <w:rStyle w:val="cf01"/>
          <w:rFonts w:ascii="Arial" w:hAnsi="Arial" w:cs="Arial"/>
          <w:sz w:val="24"/>
          <w:szCs w:val="24"/>
          <w:lang w:val="en-CA"/>
        </w:rPr>
        <w:t xml:space="preserve"> </w:t>
      </w:r>
      <w:bookmarkEnd w:id="101"/>
      <w:r w:rsidRPr="00CF4E9F">
        <w:rPr>
          <w:rStyle w:val="cf01"/>
          <w:rFonts w:ascii="Arial" w:hAnsi="Arial" w:cs="Arial"/>
          <w:sz w:val="24"/>
          <w:szCs w:val="24"/>
          <w:lang w:val="en-CA"/>
        </w:rPr>
        <w:t xml:space="preserve">On the contrary, he wrote, the overview of the statistics filed in evidence does not </w:t>
      </w:r>
      <w:r w:rsidR="00BA16CA" w:rsidRPr="00CF4E9F">
        <w:rPr>
          <w:rFonts w:cs="Arial"/>
          <w:szCs w:val="22"/>
          <w:lang w:val="en-CA"/>
        </w:rPr>
        <w:t>[</w:t>
      </w:r>
      <w:r w:rsidR="00BA16CA" w:rsidRPr="00CF4E9F">
        <w:rPr>
          <w:rFonts w:cs="Arial"/>
          <w:smallCaps/>
          <w:szCs w:val="22"/>
          <w:lang w:val="en-CA"/>
        </w:rPr>
        <w:t>translation</w:t>
      </w:r>
      <w:r w:rsidR="00BA16CA" w:rsidRPr="00CF4E9F">
        <w:rPr>
          <w:rFonts w:cs="Arial"/>
          <w:szCs w:val="22"/>
          <w:lang w:val="en-CA"/>
        </w:rPr>
        <w:t>]</w:t>
      </w:r>
      <w:r w:rsidR="00F8437E">
        <w:rPr>
          <w:rStyle w:val="cf01"/>
          <w:rFonts w:ascii="Arial" w:hAnsi="Arial" w:cs="Arial"/>
          <w:sz w:val="24"/>
          <w:szCs w:val="24"/>
          <w:lang w:val="en-CA"/>
        </w:rPr>
        <w:t> </w:t>
      </w:r>
      <w:r w:rsidRPr="00CF4E9F">
        <w:rPr>
          <w:rStyle w:val="cf01"/>
          <w:rFonts w:ascii="Arial" w:hAnsi="Arial" w:cs="Arial"/>
          <w:sz w:val="24"/>
          <w:szCs w:val="24"/>
          <w:lang w:val="en-CA"/>
        </w:rPr>
        <w:t xml:space="preserve">“identify any data establishing a correlation between the specific use of </w:t>
      </w:r>
      <w:r w:rsidR="007544FF">
        <w:rPr>
          <w:rStyle w:val="cf01"/>
          <w:rFonts w:ascii="Arial" w:hAnsi="Arial" w:cs="Arial"/>
          <w:i/>
          <w:sz w:val="24"/>
          <w:szCs w:val="24"/>
          <w:lang w:val="en-CA"/>
        </w:rPr>
        <w:t xml:space="preserve">traffic </w:t>
      </w:r>
      <w:r w:rsidRPr="00CF4E9F">
        <w:rPr>
          <w:rStyle w:val="cf01"/>
          <w:rFonts w:ascii="Arial" w:hAnsi="Arial" w:cs="Arial"/>
          <w:i/>
          <w:sz w:val="24"/>
          <w:szCs w:val="24"/>
          <w:lang w:val="en-CA"/>
        </w:rPr>
        <w:t>stops without factual grounds</w:t>
      </w:r>
      <w:r w:rsidRPr="00CF4E9F">
        <w:rPr>
          <w:rStyle w:val="cf01"/>
          <w:rFonts w:ascii="Arial" w:hAnsi="Arial" w:cs="Arial"/>
          <w:sz w:val="24"/>
          <w:szCs w:val="24"/>
          <w:lang w:val="en-CA"/>
        </w:rPr>
        <w:t xml:space="preserve"> and the drop in </w:t>
      </w:r>
      <w:r w:rsidRPr="00CF4E9F">
        <w:rPr>
          <w:rStyle w:val="cf01"/>
          <w:rFonts w:ascii="Arial" w:hAnsi="Arial" w:cs="Arial"/>
          <w:i/>
          <w:sz w:val="24"/>
          <w:szCs w:val="24"/>
          <w:lang w:val="en-CA"/>
        </w:rPr>
        <w:t>Criminal Code</w:t>
      </w:r>
      <w:r w:rsidRPr="00CF4E9F">
        <w:rPr>
          <w:rStyle w:val="cf01"/>
          <w:rFonts w:ascii="Arial" w:hAnsi="Arial" w:cs="Arial"/>
          <w:sz w:val="24"/>
          <w:szCs w:val="24"/>
          <w:lang w:val="en-CA"/>
        </w:rPr>
        <w:t xml:space="preserve"> and </w:t>
      </w:r>
      <w:r w:rsidRPr="00CF4E9F">
        <w:rPr>
          <w:rStyle w:val="cf01"/>
          <w:rFonts w:ascii="Arial" w:hAnsi="Arial" w:cs="Arial"/>
          <w:i/>
          <w:sz w:val="24"/>
          <w:szCs w:val="24"/>
          <w:lang w:val="en-CA"/>
        </w:rPr>
        <w:t>Highway Safety Code</w:t>
      </w:r>
      <w:r w:rsidRPr="00CF4E9F">
        <w:rPr>
          <w:rStyle w:val="cf01"/>
          <w:rFonts w:ascii="Arial" w:hAnsi="Arial" w:cs="Arial"/>
          <w:sz w:val="24"/>
          <w:szCs w:val="24"/>
          <w:lang w:val="en-CA"/>
        </w:rPr>
        <w:t xml:space="preserve"> offences”.</w:t>
      </w:r>
      <w:r w:rsidRPr="00CF4E9F">
        <w:rPr>
          <w:rStyle w:val="Appelnotedebasdep"/>
          <w:rFonts w:cs="Arial"/>
          <w:szCs w:val="24"/>
          <w:lang w:val="en-CA"/>
        </w:rPr>
        <w:footnoteReference w:id="199"/>
      </w:r>
    </w:p>
    <w:p w14:paraId="35EC8E63" w14:textId="20427E63" w:rsidR="00211F21" w:rsidRPr="00CF4E9F" w:rsidRDefault="00115E3B" w:rsidP="00571F09">
      <w:pPr>
        <w:pStyle w:val="Paragraphe"/>
        <w:spacing w:line="280" w:lineRule="exact"/>
        <w:rPr>
          <w:lang w:val="en-CA"/>
        </w:rPr>
      </w:pPr>
      <w:bookmarkStart w:id="104" w:name="_Ref197931194"/>
      <w:r w:rsidRPr="00CF4E9F">
        <w:rPr>
          <w:lang w:val="en-CA"/>
        </w:rPr>
        <w:t xml:space="preserve">Second, </w:t>
      </w:r>
      <w:r w:rsidR="00BA16CA" w:rsidRPr="00CF4E9F">
        <w:rPr>
          <w:lang w:val="en-CA"/>
        </w:rPr>
        <w:t>regarding</w:t>
      </w:r>
      <w:r w:rsidRPr="00CF4E9F">
        <w:rPr>
          <w:lang w:val="en-CA"/>
        </w:rPr>
        <w:t xml:space="preserve"> the deleterious effects, the judge described in </w:t>
      </w:r>
      <w:r w:rsidR="009B5149">
        <w:rPr>
          <w:lang w:val="en-CA"/>
        </w:rPr>
        <w:t xml:space="preserve">striking </w:t>
      </w:r>
      <w:r w:rsidRPr="00CF4E9F">
        <w:rPr>
          <w:lang w:val="en-CA"/>
        </w:rPr>
        <w:t xml:space="preserve">detail how the </w:t>
      </w:r>
      <w:r w:rsidR="00BA16CA" w:rsidRPr="00CF4E9F">
        <w:rPr>
          <w:lang w:val="en-CA"/>
        </w:rPr>
        <w:t>negative</w:t>
      </w:r>
      <w:r w:rsidRPr="00CF4E9F">
        <w:rPr>
          <w:lang w:val="en-CA"/>
        </w:rPr>
        <w:t xml:space="preserve"> racial considerations </w:t>
      </w:r>
      <w:r w:rsidR="004F2D8B">
        <w:rPr>
          <w:lang w:val="en-CA"/>
        </w:rPr>
        <w:t xml:space="preserve">that </w:t>
      </w:r>
      <w:r w:rsidR="009B5149">
        <w:rPr>
          <w:lang w:val="en-CA"/>
        </w:rPr>
        <w:t xml:space="preserve">permeate </w:t>
      </w:r>
      <w:r w:rsidRPr="00CF4E9F">
        <w:rPr>
          <w:lang w:val="en-CA"/>
        </w:rPr>
        <w:t xml:space="preserve">the </w:t>
      </w:r>
      <w:r w:rsidR="00BA16CA" w:rsidRPr="00CF4E9F">
        <w:rPr>
          <w:lang w:val="en-CA"/>
        </w:rPr>
        <w:t xml:space="preserve">exercise of </w:t>
      </w:r>
      <w:r w:rsidRPr="00CF4E9F">
        <w:rPr>
          <w:lang w:val="en-CA"/>
        </w:rPr>
        <w:t xml:space="preserve">police discretion </w:t>
      </w:r>
      <w:r w:rsidR="00BA16CA" w:rsidRPr="00CF4E9F">
        <w:rPr>
          <w:lang w:val="en-CA"/>
        </w:rPr>
        <w:t xml:space="preserve">have a </w:t>
      </w:r>
      <w:r w:rsidRPr="00CF4E9F">
        <w:rPr>
          <w:lang w:val="en-CA"/>
        </w:rPr>
        <w:t xml:space="preserve">significant </w:t>
      </w:r>
      <w:r w:rsidR="00BA16CA" w:rsidRPr="00CF4E9F">
        <w:rPr>
          <w:lang w:val="en-CA"/>
        </w:rPr>
        <w:t xml:space="preserve">impact on </w:t>
      </w:r>
      <w:r w:rsidRPr="00CF4E9F">
        <w:rPr>
          <w:lang w:val="en-CA"/>
        </w:rPr>
        <w:t xml:space="preserve">Black people, their families and </w:t>
      </w:r>
      <w:r w:rsidR="004F2D8B">
        <w:rPr>
          <w:lang w:val="en-CA"/>
        </w:rPr>
        <w:t>loved ones</w:t>
      </w:r>
      <w:r w:rsidRPr="00CF4E9F">
        <w:rPr>
          <w:lang w:val="en-CA"/>
        </w:rPr>
        <w:t>:</w:t>
      </w:r>
      <w:r w:rsidRPr="00CF4E9F">
        <w:rPr>
          <w:rStyle w:val="Appelnotedebasdep"/>
          <w:lang w:val="en-CA"/>
        </w:rPr>
        <w:footnoteReference w:id="200"/>
      </w:r>
      <w:bookmarkEnd w:id="104"/>
    </w:p>
    <w:p w14:paraId="3E934FF7" w14:textId="79B803BC" w:rsidR="00F73FF5" w:rsidRPr="00CF4E9F" w:rsidRDefault="00F73FF5" w:rsidP="00DD42C3">
      <w:pPr>
        <w:pStyle w:val="Citationenretrait"/>
        <w:keepNext/>
        <w:rPr>
          <w:szCs w:val="22"/>
          <w:lang w:val="en-CA"/>
        </w:rPr>
      </w:pPr>
      <w:r w:rsidRPr="00CF4E9F">
        <w:rPr>
          <w:rFonts w:cs="Arial"/>
          <w:szCs w:val="22"/>
          <w:lang w:val="en-CA"/>
        </w:rPr>
        <w:lastRenderedPageBreak/>
        <w:t>[</w:t>
      </w:r>
      <w:r w:rsidRPr="00CF4E9F">
        <w:rPr>
          <w:rFonts w:cs="Arial"/>
          <w:smallCaps/>
          <w:szCs w:val="22"/>
          <w:lang w:val="en-CA"/>
        </w:rPr>
        <w:t>translation</w:t>
      </w:r>
      <w:r w:rsidRPr="00CF4E9F">
        <w:rPr>
          <w:rFonts w:cs="Arial"/>
          <w:szCs w:val="22"/>
          <w:lang w:val="en-CA"/>
        </w:rPr>
        <w:t>]</w:t>
      </w:r>
    </w:p>
    <w:p w14:paraId="09CAEA82" w14:textId="54A407ED" w:rsidR="00E23169" w:rsidRPr="00CF4E9F" w:rsidRDefault="0043013D" w:rsidP="00DD42C3">
      <w:pPr>
        <w:pStyle w:val="Citationenretrait"/>
        <w:keepNext/>
        <w:rPr>
          <w:szCs w:val="22"/>
          <w:lang w:val="en-CA"/>
        </w:rPr>
      </w:pPr>
      <w:r w:rsidRPr="00CF4E9F">
        <w:rPr>
          <w:szCs w:val="22"/>
          <w:lang w:val="en-CA"/>
        </w:rPr>
        <w:t>[737]</w:t>
      </w:r>
      <w:r w:rsidRPr="00CF4E9F">
        <w:rPr>
          <w:szCs w:val="22"/>
          <w:lang w:val="en-CA"/>
        </w:rPr>
        <w:tab/>
      </w:r>
      <w:r w:rsidR="009B5149">
        <w:rPr>
          <w:szCs w:val="22"/>
          <w:lang w:val="en-CA"/>
        </w:rPr>
        <w:t>[</w:t>
      </w:r>
      <w:r w:rsidR="005A4E85" w:rsidRPr="00CF4E9F">
        <w:rPr>
          <w:szCs w:val="22"/>
          <w:lang w:val="en-CA"/>
        </w:rPr>
        <w:t>...</w:t>
      </w:r>
      <w:r w:rsidR="009B5149">
        <w:rPr>
          <w:szCs w:val="22"/>
          <w:lang w:val="en-CA"/>
        </w:rPr>
        <w:t>]</w:t>
      </w:r>
    </w:p>
    <w:p w14:paraId="4F1F3EE9" w14:textId="3D348F4F" w:rsidR="00211F21" w:rsidRPr="00CF4E9F" w:rsidRDefault="00115E3B" w:rsidP="00DD42C3">
      <w:pPr>
        <w:pStyle w:val="Citationenretrait"/>
        <w:keepNext/>
        <w:ind w:left="1440"/>
        <w:rPr>
          <w:szCs w:val="22"/>
          <w:lang w:val="en-CA"/>
        </w:rPr>
      </w:pPr>
      <w:r w:rsidRPr="00CF4E9F">
        <w:rPr>
          <w:szCs w:val="22"/>
          <w:lang w:val="en-CA"/>
        </w:rPr>
        <w:t>(h)</w:t>
      </w:r>
      <w:r w:rsidR="00CC0558" w:rsidRPr="00CF4E9F">
        <w:rPr>
          <w:szCs w:val="22"/>
          <w:lang w:val="en-CA"/>
        </w:rPr>
        <w:tab/>
      </w:r>
      <w:r w:rsidR="00DE2019" w:rsidRPr="00CF4E9F">
        <w:rPr>
          <w:szCs w:val="22"/>
          <w:lang w:val="en-CA"/>
        </w:rPr>
        <w:t xml:space="preserve">Ultimately, </w:t>
      </w:r>
      <w:r w:rsidR="007544FF">
        <w:rPr>
          <w:i/>
          <w:szCs w:val="22"/>
          <w:lang w:val="en-CA"/>
        </w:rPr>
        <w:t xml:space="preserve">traffic </w:t>
      </w:r>
      <w:r w:rsidR="00DE2019" w:rsidRPr="00CF4E9F">
        <w:rPr>
          <w:i/>
          <w:szCs w:val="22"/>
          <w:lang w:val="en-CA"/>
        </w:rPr>
        <w:t>stops without factual grounds</w:t>
      </w:r>
      <w:r w:rsidR="00DE2019" w:rsidRPr="00CF4E9F">
        <w:rPr>
          <w:szCs w:val="22"/>
          <w:lang w:val="en-CA"/>
        </w:rPr>
        <w:t xml:space="preserve"> that disproportionately target a segment of the population affect both the hearts and minds of the Black </w:t>
      </w:r>
      <w:r w:rsidR="00B2204C">
        <w:rPr>
          <w:szCs w:val="22"/>
          <w:lang w:val="en-CA"/>
        </w:rPr>
        <w:t xml:space="preserve">individuals </w:t>
      </w:r>
      <w:r w:rsidR="00DE2019" w:rsidRPr="00CF4E9F">
        <w:rPr>
          <w:szCs w:val="22"/>
          <w:lang w:val="en-CA"/>
        </w:rPr>
        <w:t xml:space="preserve">who are stopped, cause fear and humiliation for Black drivers in general and </w:t>
      </w:r>
      <w:r w:rsidR="005A3ECE">
        <w:rPr>
          <w:szCs w:val="22"/>
          <w:lang w:val="en-CA"/>
        </w:rPr>
        <w:t xml:space="preserve">for </w:t>
      </w:r>
      <w:r w:rsidR="00DE2019" w:rsidRPr="00CF4E9F">
        <w:rPr>
          <w:szCs w:val="22"/>
          <w:lang w:val="en-CA"/>
        </w:rPr>
        <w:t xml:space="preserve">their loved ones, and lead to the mistrust of police powers and the feeling of being treated differently and unfairly; </w:t>
      </w:r>
      <w:r w:rsidR="005A3ECE">
        <w:rPr>
          <w:szCs w:val="22"/>
          <w:lang w:val="en-CA"/>
        </w:rPr>
        <w:t>[…]</w:t>
      </w:r>
    </w:p>
    <w:p w14:paraId="31043D7A" w14:textId="1BF2B132" w:rsidR="008030C2" w:rsidRPr="00CF4E9F" w:rsidRDefault="00E27CEF" w:rsidP="00DD42C3">
      <w:pPr>
        <w:pStyle w:val="Citationenretrait"/>
        <w:keepNext/>
        <w:ind w:left="1440"/>
        <w:jc w:val="right"/>
        <w:rPr>
          <w:szCs w:val="22"/>
          <w:lang w:val="en-CA"/>
        </w:rPr>
      </w:pPr>
      <w:r w:rsidRPr="00CF4E9F">
        <w:rPr>
          <w:szCs w:val="22"/>
          <w:lang w:val="en-CA"/>
        </w:rPr>
        <w:t>[</w:t>
      </w:r>
      <w:r w:rsidR="00852BA5">
        <w:rPr>
          <w:szCs w:val="22"/>
          <w:lang w:val="en-CA"/>
        </w:rPr>
        <w:t xml:space="preserve">Italics </w:t>
      </w:r>
      <w:r w:rsidRPr="00CF4E9F">
        <w:rPr>
          <w:szCs w:val="22"/>
          <w:lang w:val="en-CA"/>
        </w:rPr>
        <w:t>in the original]</w:t>
      </w:r>
    </w:p>
    <w:p w14:paraId="7CBD4D67" w14:textId="3AFE9CD6" w:rsidR="00211F21" w:rsidRPr="00CF4E9F" w:rsidRDefault="00DE2019" w:rsidP="00571F09">
      <w:pPr>
        <w:pStyle w:val="Paragraphe"/>
        <w:spacing w:line="280" w:lineRule="exact"/>
        <w:rPr>
          <w:u w:val="single"/>
          <w:lang w:val="en-CA"/>
        </w:rPr>
      </w:pPr>
      <w:bookmarkStart w:id="105" w:name="_Ref177748469"/>
      <w:r w:rsidRPr="00CF4E9F">
        <w:rPr>
          <w:lang w:val="en-CA"/>
        </w:rPr>
        <w:t xml:space="preserve">The judge further noted that traffic stops with no required grounds arising from racial profiling are </w:t>
      </w:r>
      <w:r w:rsidR="00FF310E" w:rsidRPr="00CF4E9F">
        <w:rPr>
          <w:lang w:val="en-CA"/>
        </w:rPr>
        <w:t>particularly</w:t>
      </w:r>
      <w:r w:rsidRPr="00CF4E9F">
        <w:rPr>
          <w:lang w:val="en-CA"/>
        </w:rPr>
        <w:t xml:space="preserve"> </w:t>
      </w:r>
      <w:r w:rsidR="00DA3654" w:rsidRPr="00CF4E9F">
        <w:rPr>
          <w:lang w:val="en-CA"/>
        </w:rPr>
        <w:t>un</w:t>
      </w:r>
      <w:r w:rsidRPr="00CF4E9F">
        <w:rPr>
          <w:lang w:val="en-CA"/>
        </w:rPr>
        <w:t xml:space="preserve">likely to </w:t>
      </w:r>
      <w:r w:rsidR="00FF310E" w:rsidRPr="00CF4E9F">
        <w:rPr>
          <w:lang w:val="en-CA"/>
        </w:rPr>
        <w:t>uncover</w:t>
      </w:r>
      <w:r w:rsidRPr="00CF4E9F">
        <w:rPr>
          <w:lang w:val="en-CA"/>
        </w:rPr>
        <w:t xml:space="preserve"> </w:t>
      </w:r>
      <w:r w:rsidR="00FF310E" w:rsidRPr="00CF4E9F">
        <w:rPr>
          <w:lang w:val="en-CA"/>
        </w:rPr>
        <w:t>a</w:t>
      </w:r>
      <w:r w:rsidRPr="00CF4E9F">
        <w:rPr>
          <w:lang w:val="en-CA"/>
        </w:rPr>
        <w:t>n offence.</w:t>
      </w:r>
      <w:r w:rsidRPr="00CF4E9F">
        <w:rPr>
          <w:rStyle w:val="Appelnotedebasdep"/>
          <w:lang w:val="en-CA"/>
        </w:rPr>
        <w:footnoteReference w:id="201"/>
      </w:r>
      <w:r w:rsidR="0043013D" w:rsidRPr="00CF4E9F">
        <w:rPr>
          <w:lang w:val="en-CA"/>
        </w:rPr>
        <w:t xml:space="preserve"> </w:t>
      </w:r>
      <w:r w:rsidRPr="00CF4E9F">
        <w:rPr>
          <w:lang w:val="en-CA"/>
        </w:rPr>
        <w:t xml:space="preserve">In these situations, the </w:t>
      </w:r>
      <w:r w:rsidR="00DA3654" w:rsidRPr="00CF4E9F">
        <w:rPr>
          <w:lang w:val="en-CA"/>
        </w:rPr>
        <w:t xml:space="preserve">remedy </w:t>
      </w:r>
      <w:r w:rsidR="00705443">
        <w:rPr>
          <w:lang w:val="en-CA"/>
        </w:rPr>
        <w:t>of</w:t>
      </w:r>
      <w:r w:rsidR="00DA3654" w:rsidRPr="00CF4E9F">
        <w:rPr>
          <w:lang w:val="en-CA"/>
        </w:rPr>
        <w:t xml:space="preserve"> </w:t>
      </w:r>
      <w:r w:rsidRPr="00CF4E9F">
        <w:rPr>
          <w:lang w:val="en-CA"/>
        </w:rPr>
        <w:t>exclu</w:t>
      </w:r>
      <w:r w:rsidR="00DA3654" w:rsidRPr="00CF4E9F">
        <w:rPr>
          <w:lang w:val="en-CA"/>
        </w:rPr>
        <w:t>d</w:t>
      </w:r>
      <w:r w:rsidR="00705443">
        <w:rPr>
          <w:lang w:val="en-CA"/>
        </w:rPr>
        <w:t>ing</w:t>
      </w:r>
      <w:r w:rsidRPr="00CF4E9F">
        <w:rPr>
          <w:lang w:val="en-CA"/>
        </w:rPr>
        <w:t xml:space="preserve"> evidence under </w:t>
      </w:r>
      <w:r w:rsidR="00162E51">
        <w:rPr>
          <w:lang w:val="en-CA"/>
        </w:rPr>
        <w:t>s. </w:t>
      </w:r>
      <w:bookmarkEnd w:id="105"/>
      <w:r w:rsidRPr="00CF4E9F">
        <w:rPr>
          <w:lang w:val="en-CA"/>
        </w:rPr>
        <w:t xml:space="preserve">24(2) of the </w:t>
      </w:r>
      <w:r w:rsidRPr="00CF4E9F">
        <w:rPr>
          <w:i/>
          <w:lang w:val="en-CA"/>
        </w:rPr>
        <w:t>Charter</w:t>
      </w:r>
      <w:r w:rsidRPr="00CF4E9F">
        <w:rPr>
          <w:lang w:val="en-CA"/>
        </w:rPr>
        <w:t xml:space="preserve"> is of no use (whereas it was one of the considerations accepted by the majority in </w:t>
      </w:r>
      <w:r w:rsidRPr="00CF4E9F">
        <w:rPr>
          <w:i/>
          <w:lang w:val="en-CA"/>
        </w:rPr>
        <w:t>Ladouceur</w:t>
      </w:r>
      <w:r w:rsidRPr="00CF4E9F">
        <w:rPr>
          <w:rStyle w:val="Appelnotedebasdep"/>
          <w:lang w:val="en-CA"/>
        </w:rPr>
        <w:footnoteReference w:id="202"/>
      </w:r>
      <w:r w:rsidRPr="00CF4E9F">
        <w:rPr>
          <w:lang w:val="en-CA"/>
        </w:rPr>
        <w:t>).</w:t>
      </w:r>
    </w:p>
    <w:p w14:paraId="054F63AE" w14:textId="15D1BE71" w:rsidR="00211F21" w:rsidRPr="00CF4E9F" w:rsidRDefault="00DE2019" w:rsidP="00571F09">
      <w:pPr>
        <w:pStyle w:val="Paragraphe"/>
        <w:spacing w:line="280" w:lineRule="exact"/>
        <w:rPr>
          <w:u w:val="single"/>
          <w:lang w:val="en-CA"/>
        </w:rPr>
      </w:pPr>
      <w:r w:rsidRPr="00CF4E9F">
        <w:rPr>
          <w:lang w:val="en-CA"/>
        </w:rPr>
        <w:t xml:space="preserve">Balancing the salutary and deleterious effects of </w:t>
      </w:r>
      <w:r w:rsidR="00162E51">
        <w:rPr>
          <w:lang w:val="en-CA"/>
        </w:rPr>
        <w:t>s. </w:t>
      </w:r>
      <w:r w:rsidRPr="00CF4E9F">
        <w:rPr>
          <w:lang w:val="en-CA"/>
        </w:rPr>
        <w:t>636</w:t>
      </w:r>
      <w:r w:rsidR="0030762F" w:rsidRPr="0030762F">
        <w:rPr>
          <w:i/>
          <w:lang w:val="en-CA"/>
        </w:rPr>
        <w:t> HSC</w:t>
      </w:r>
      <w:r w:rsidRPr="00CF4E9F">
        <w:rPr>
          <w:lang w:val="en-CA"/>
        </w:rPr>
        <w:t xml:space="preserve"> therefore cannot justify the violation of </w:t>
      </w:r>
      <w:r w:rsidR="00162E51">
        <w:rPr>
          <w:lang w:val="en-CA"/>
        </w:rPr>
        <w:t>s. </w:t>
      </w:r>
      <w:r w:rsidRPr="00CF4E9F">
        <w:rPr>
          <w:lang w:val="en-CA"/>
        </w:rPr>
        <w:t xml:space="preserve">9 of the </w:t>
      </w:r>
      <w:r w:rsidRPr="00CF4E9F">
        <w:rPr>
          <w:i/>
          <w:lang w:val="en-CA"/>
        </w:rPr>
        <w:t>Charter</w:t>
      </w:r>
      <w:r w:rsidRPr="00CF4E9F">
        <w:rPr>
          <w:lang w:val="en-CA"/>
        </w:rPr>
        <w:t xml:space="preserve"> under </w:t>
      </w:r>
      <w:r w:rsidR="00162E51">
        <w:rPr>
          <w:lang w:val="en-CA"/>
        </w:rPr>
        <w:t>s. </w:t>
      </w:r>
      <w:r w:rsidRPr="00CF4E9F">
        <w:rPr>
          <w:lang w:val="en-CA"/>
        </w:rPr>
        <w:t>1.</w:t>
      </w:r>
      <w:r w:rsidRPr="00CF4E9F">
        <w:rPr>
          <w:rStyle w:val="Appelnotedebasdep"/>
          <w:lang w:val="en-CA"/>
        </w:rPr>
        <w:footnoteReference w:id="203"/>
      </w:r>
    </w:p>
    <w:p w14:paraId="0427C24C" w14:textId="4C18A3F3" w:rsidR="004C7B2F" w:rsidRPr="00CF4E9F" w:rsidRDefault="00DE2019" w:rsidP="00571F09">
      <w:pPr>
        <w:pStyle w:val="Paragraphe"/>
        <w:spacing w:line="280" w:lineRule="exact"/>
        <w:rPr>
          <w:lang w:val="en-CA"/>
        </w:rPr>
      </w:pPr>
      <w:r w:rsidRPr="00CF4E9F">
        <w:rPr>
          <w:lang w:val="en-CA"/>
        </w:rPr>
        <w:t xml:space="preserve">In conclusion, the trial judge was well founded in ruling that the infringement of the right guaranteed by </w:t>
      </w:r>
      <w:r w:rsidR="00162E51">
        <w:rPr>
          <w:lang w:val="en-CA"/>
        </w:rPr>
        <w:t>s. </w:t>
      </w:r>
      <w:r w:rsidRPr="00CF4E9F">
        <w:rPr>
          <w:lang w:val="en-CA"/>
        </w:rPr>
        <w:t xml:space="preserve">9 arising from </w:t>
      </w:r>
      <w:r w:rsidR="00162E51">
        <w:rPr>
          <w:lang w:val="en-CA"/>
        </w:rPr>
        <w:t>s. </w:t>
      </w:r>
      <w:r w:rsidRPr="00CF4E9F">
        <w:rPr>
          <w:lang w:val="en-CA"/>
        </w:rPr>
        <w:t>636</w:t>
      </w:r>
      <w:r w:rsidR="0030762F" w:rsidRPr="0030762F">
        <w:rPr>
          <w:i/>
          <w:lang w:val="en-CA"/>
        </w:rPr>
        <w:t> HSC</w:t>
      </w:r>
      <w:r w:rsidRPr="00CF4E9F">
        <w:rPr>
          <w:lang w:val="en-CA"/>
        </w:rPr>
        <w:t xml:space="preserve"> </w:t>
      </w:r>
      <w:r w:rsidR="008671D8">
        <w:rPr>
          <w:lang w:val="en-CA"/>
        </w:rPr>
        <w:t xml:space="preserve">is </w:t>
      </w:r>
      <w:r w:rsidR="00705443">
        <w:rPr>
          <w:lang w:val="en-CA"/>
        </w:rPr>
        <w:t xml:space="preserve">not </w:t>
      </w:r>
      <w:r w:rsidRPr="00CF4E9F">
        <w:rPr>
          <w:lang w:val="en-CA"/>
        </w:rPr>
        <w:t xml:space="preserve">justified in a free and democratic society within the meaning of </w:t>
      </w:r>
      <w:r w:rsidR="00162E51">
        <w:rPr>
          <w:lang w:val="en-CA"/>
        </w:rPr>
        <w:t>s. </w:t>
      </w:r>
      <w:r w:rsidRPr="00CF4E9F">
        <w:rPr>
          <w:lang w:val="en-CA"/>
        </w:rPr>
        <w:t xml:space="preserve">1 of the </w:t>
      </w:r>
      <w:r w:rsidRPr="00CF4E9F">
        <w:rPr>
          <w:i/>
          <w:lang w:val="en-CA"/>
        </w:rPr>
        <w:t>Charter</w:t>
      </w:r>
      <w:r w:rsidRPr="00CF4E9F">
        <w:rPr>
          <w:lang w:val="en-CA"/>
        </w:rPr>
        <w:t>.</w:t>
      </w:r>
      <w:r w:rsidRPr="00CF4E9F">
        <w:rPr>
          <w:rStyle w:val="Appelnotedebasdep"/>
          <w:lang w:val="en-CA"/>
        </w:rPr>
        <w:footnoteReference w:id="204"/>
      </w:r>
    </w:p>
    <w:p w14:paraId="1F160F08" w14:textId="79423D94" w:rsidR="0032484D" w:rsidRPr="00CF4E9F" w:rsidRDefault="009A1BE6" w:rsidP="002E559C">
      <w:pPr>
        <w:pStyle w:val="Titre2"/>
        <w:rPr>
          <w:lang w:val="en-CA"/>
        </w:rPr>
      </w:pPr>
      <w:bookmarkStart w:id="106" w:name="_Toc201822891"/>
      <w:r w:rsidRPr="00CF4E9F">
        <w:rPr>
          <w:lang w:val="en-CA"/>
        </w:rPr>
        <w:t>D</w:t>
      </w:r>
      <w:r w:rsidR="00FE4571" w:rsidRPr="00CF4E9F">
        <w:rPr>
          <w:lang w:val="en-CA"/>
        </w:rPr>
        <w:t>.</w:t>
      </w:r>
      <w:r w:rsidR="0043013D" w:rsidRPr="00CF4E9F">
        <w:rPr>
          <w:lang w:val="en-CA"/>
        </w:rPr>
        <w:tab/>
      </w:r>
      <w:r w:rsidR="0066259A" w:rsidRPr="00CF4E9F">
        <w:rPr>
          <w:lang w:val="en-CA"/>
        </w:rPr>
        <w:t xml:space="preserve">Did the judge err in concluding that the challenged </w:t>
      </w:r>
      <w:r w:rsidR="00C47178">
        <w:rPr>
          <w:lang w:val="en-CA"/>
        </w:rPr>
        <w:t>provision</w:t>
      </w:r>
      <w:r w:rsidR="0066259A" w:rsidRPr="00CF4E9F">
        <w:rPr>
          <w:lang w:val="en-CA"/>
        </w:rPr>
        <w:t xml:space="preserve"> unjustifiably infringes </w:t>
      </w:r>
      <w:r w:rsidR="00162E51">
        <w:rPr>
          <w:lang w:val="en-CA"/>
        </w:rPr>
        <w:t>s. </w:t>
      </w:r>
      <w:r w:rsidR="0066259A" w:rsidRPr="00CF4E9F">
        <w:rPr>
          <w:bCs/>
          <w:lang w:val="en-CA"/>
        </w:rPr>
        <w:t xml:space="preserve">7 of the </w:t>
      </w:r>
      <w:r w:rsidR="0066259A" w:rsidRPr="00CF4E9F">
        <w:rPr>
          <w:bCs/>
          <w:i/>
          <w:lang w:val="en-CA"/>
        </w:rPr>
        <w:t>Charter</w:t>
      </w:r>
      <w:r w:rsidR="0066259A" w:rsidRPr="00CF4E9F">
        <w:rPr>
          <w:bCs/>
          <w:lang w:val="en-CA"/>
        </w:rPr>
        <w:t>?</w:t>
      </w:r>
      <w:bookmarkEnd w:id="106"/>
    </w:p>
    <w:p w14:paraId="0F582FFC" w14:textId="4634951F" w:rsidR="001D459F" w:rsidRPr="00CF4E9F" w:rsidRDefault="00DE2019" w:rsidP="00571F09">
      <w:pPr>
        <w:pStyle w:val="Paragraphe"/>
        <w:spacing w:line="280" w:lineRule="exact"/>
        <w:rPr>
          <w:lang w:val="en-CA"/>
        </w:rPr>
      </w:pPr>
      <w:r w:rsidRPr="00CF4E9F">
        <w:rPr>
          <w:lang w:val="en-CA"/>
        </w:rPr>
        <w:t xml:space="preserve">Given the Court’s conclusion on the unjustified infringement of the right guaranteed by </w:t>
      </w:r>
      <w:r w:rsidR="00162E51">
        <w:rPr>
          <w:lang w:val="en-CA"/>
        </w:rPr>
        <w:t>s. </w:t>
      </w:r>
      <w:r w:rsidRPr="00CF4E9F">
        <w:rPr>
          <w:lang w:val="en-CA"/>
        </w:rPr>
        <w:t xml:space="preserve">9 of the </w:t>
      </w:r>
      <w:r w:rsidRPr="00CF4E9F">
        <w:rPr>
          <w:i/>
          <w:lang w:val="en-CA"/>
        </w:rPr>
        <w:t>Charter</w:t>
      </w:r>
      <w:r w:rsidRPr="00CF4E9F">
        <w:rPr>
          <w:lang w:val="en-CA"/>
        </w:rPr>
        <w:t xml:space="preserve">, </w:t>
      </w:r>
      <w:r w:rsidR="00435DD7" w:rsidRPr="00CF4E9F">
        <w:rPr>
          <w:lang w:val="en-CA"/>
        </w:rPr>
        <w:t xml:space="preserve">there is no need </w:t>
      </w:r>
      <w:r w:rsidRPr="00CF4E9F">
        <w:rPr>
          <w:lang w:val="en-CA"/>
        </w:rPr>
        <w:t>to answer th</w:t>
      </w:r>
      <w:r w:rsidR="00435DD7" w:rsidRPr="00CF4E9F">
        <w:rPr>
          <w:lang w:val="en-CA"/>
        </w:rPr>
        <w:t>is</w:t>
      </w:r>
      <w:r w:rsidRPr="00CF4E9F">
        <w:rPr>
          <w:lang w:val="en-CA"/>
        </w:rPr>
        <w:t xml:space="preserve"> question.</w:t>
      </w:r>
    </w:p>
    <w:p w14:paraId="45359BEE" w14:textId="60523DA7" w:rsidR="001D459F" w:rsidRPr="00CF4E9F" w:rsidRDefault="00DE2019" w:rsidP="00571F09">
      <w:pPr>
        <w:pStyle w:val="Paragraphe"/>
        <w:spacing w:line="280" w:lineRule="exact"/>
        <w:rPr>
          <w:lang w:val="en-CA"/>
        </w:rPr>
      </w:pPr>
      <w:r w:rsidRPr="00CF4E9F">
        <w:rPr>
          <w:lang w:val="en-CA"/>
        </w:rPr>
        <w:t xml:space="preserve">In fact, </w:t>
      </w:r>
      <w:r w:rsidR="00162E51">
        <w:rPr>
          <w:lang w:val="en-CA"/>
        </w:rPr>
        <w:t>s. </w:t>
      </w:r>
      <w:r w:rsidRPr="00CF4E9F">
        <w:rPr>
          <w:lang w:val="en-CA"/>
        </w:rPr>
        <w:t>9 guarantees everyone the right not to be arbitrarily detained or imprisoned.</w:t>
      </w:r>
      <w:r w:rsidR="0043013D" w:rsidRPr="00CF4E9F">
        <w:rPr>
          <w:lang w:val="en-CA"/>
        </w:rPr>
        <w:t xml:space="preserve"> </w:t>
      </w:r>
      <w:r w:rsidRPr="00CF4E9F">
        <w:rPr>
          <w:lang w:val="en-CA"/>
        </w:rPr>
        <w:t xml:space="preserve">Like </w:t>
      </w:r>
      <w:r w:rsidR="002A37A1" w:rsidRPr="00CF4E9F">
        <w:rPr>
          <w:lang w:val="en-CA"/>
        </w:rPr>
        <w:t xml:space="preserve">the </w:t>
      </w:r>
      <w:r w:rsidRPr="00CF4E9F">
        <w:rPr>
          <w:lang w:val="en-CA"/>
        </w:rPr>
        <w:t xml:space="preserve">other legal guarantees under </w:t>
      </w:r>
      <w:r w:rsidR="00A933FD">
        <w:rPr>
          <w:lang w:val="en-CA"/>
        </w:rPr>
        <w:t>ss. </w:t>
      </w:r>
      <w:r w:rsidRPr="00CF4E9F">
        <w:rPr>
          <w:lang w:val="en-CA"/>
        </w:rPr>
        <w:t xml:space="preserve">8 and 10 to 14, it </w:t>
      </w:r>
      <w:r w:rsidR="002A37A1" w:rsidRPr="00CF4E9F">
        <w:rPr>
          <w:lang w:val="en-CA"/>
        </w:rPr>
        <w:t xml:space="preserve">addresses a </w:t>
      </w:r>
      <w:r w:rsidRPr="00CF4E9F">
        <w:rPr>
          <w:lang w:val="en-CA"/>
        </w:rPr>
        <w:t xml:space="preserve">specific </w:t>
      </w:r>
      <w:r w:rsidR="002A37A1" w:rsidRPr="00CF4E9F">
        <w:rPr>
          <w:lang w:val="en-CA"/>
        </w:rPr>
        <w:t xml:space="preserve">deprivation </w:t>
      </w:r>
      <w:r w:rsidRPr="00CF4E9F">
        <w:rPr>
          <w:lang w:val="en-CA"/>
        </w:rPr>
        <w:t xml:space="preserve">of the right to life, liberty and security of the person </w:t>
      </w:r>
      <w:r w:rsidR="00F97A1F">
        <w:rPr>
          <w:lang w:val="en-CA"/>
        </w:rPr>
        <w:t xml:space="preserve">that is not in accordance with </w:t>
      </w:r>
      <w:r w:rsidRPr="00CF4E9F">
        <w:rPr>
          <w:lang w:val="en-CA"/>
        </w:rPr>
        <w:t>the principles of fundamental justice.</w:t>
      </w:r>
      <w:r w:rsidRPr="00CF4E9F">
        <w:rPr>
          <w:rStyle w:val="Appelnotedebasdep"/>
          <w:lang w:val="en-CA"/>
        </w:rPr>
        <w:footnoteReference w:id="205"/>
      </w:r>
      <w:r w:rsidR="0043013D" w:rsidRPr="00CF4E9F">
        <w:rPr>
          <w:lang w:val="en-CA"/>
        </w:rPr>
        <w:t xml:space="preserve"> </w:t>
      </w:r>
      <w:r w:rsidRPr="00CF4E9F">
        <w:rPr>
          <w:lang w:val="en-CA"/>
        </w:rPr>
        <w:t xml:space="preserve">It is designed “to protect, in a specific manner and setting, the right </w:t>
      </w:r>
      <w:r w:rsidR="00F149F3">
        <w:rPr>
          <w:lang w:val="en-CA"/>
        </w:rPr>
        <w:t>[</w:t>
      </w:r>
      <w:r w:rsidRPr="00CF4E9F">
        <w:rPr>
          <w:lang w:val="en-CA"/>
        </w:rPr>
        <w:t>...</w:t>
      </w:r>
      <w:r w:rsidR="00F149F3">
        <w:rPr>
          <w:lang w:val="en-CA"/>
        </w:rPr>
        <w:t>]</w:t>
      </w:r>
      <w:r w:rsidRPr="00CF4E9F">
        <w:rPr>
          <w:lang w:val="en-CA"/>
        </w:rPr>
        <w:t xml:space="preserve"> set forth in section</w:t>
      </w:r>
      <w:r w:rsidR="0043013D" w:rsidRPr="00CF4E9F">
        <w:rPr>
          <w:lang w:val="en-CA"/>
        </w:rPr>
        <w:t> </w:t>
      </w:r>
      <w:r w:rsidRPr="00CF4E9F">
        <w:rPr>
          <w:lang w:val="en-CA"/>
        </w:rPr>
        <w:t>7”.</w:t>
      </w:r>
      <w:r w:rsidRPr="00CF4E9F">
        <w:rPr>
          <w:rStyle w:val="Appelnotedebasdep"/>
          <w:lang w:val="en-CA"/>
        </w:rPr>
        <w:footnoteReference w:id="206"/>
      </w:r>
    </w:p>
    <w:p w14:paraId="34ABDAF2" w14:textId="36D0240B" w:rsidR="001D459F" w:rsidRPr="00CF4E9F" w:rsidRDefault="00DE2019" w:rsidP="00571F09">
      <w:pPr>
        <w:pStyle w:val="Paragraphe"/>
        <w:spacing w:line="280" w:lineRule="exact"/>
        <w:rPr>
          <w:lang w:val="en-CA"/>
        </w:rPr>
      </w:pPr>
      <w:r w:rsidRPr="00CF4E9F">
        <w:rPr>
          <w:lang w:val="en-CA"/>
        </w:rPr>
        <w:lastRenderedPageBreak/>
        <w:t>In other words, and to paraphrase Lamer</w:t>
      </w:r>
      <w:r w:rsidR="00435DD7" w:rsidRPr="00CF4E9F">
        <w:rPr>
          <w:lang w:val="en-CA"/>
        </w:rPr>
        <w:t>,</w:t>
      </w:r>
      <w:r w:rsidRPr="00CF4E9F">
        <w:rPr>
          <w:lang w:val="en-CA"/>
        </w:rPr>
        <w:t xml:space="preserve"> J. (as he then was) in </w:t>
      </w:r>
      <w:r w:rsidRPr="00CF4E9F">
        <w:rPr>
          <w:i/>
          <w:lang w:val="en-CA"/>
        </w:rPr>
        <w:t>Re B.C.</w:t>
      </w:r>
      <w:r w:rsidRPr="00CF4E9F">
        <w:rPr>
          <w:lang w:val="en-CA"/>
        </w:rPr>
        <w:t xml:space="preserve"> </w:t>
      </w:r>
      <w:r w:rsidRPr="00CF4E9F">
        <w:rPr>
          <w:i/>
          <w:lang w:val="en-CA"/>
        </w:rPr>
        <w:t>Motor Vehicle Act</w:t>
      </w:r>
      <w:r w:rsidRPr="00CF4E9F">
        <w:rPr>
          <w:lang w:val="en-CA"/>
        </w:rPr>
        <w:t xml:space="preserve">, </w:t>
      </w:r>
      <w:r w:rsidR="00162E51">
        <w:rPr>
          <w:lang w:val="en-CA"/>
        </w:rPr>
        <w:t>s. </w:t>
      </w:r>
      <w:r w:rsidRPr="00CF4E9F">
        <w:rPr>
          <w:lang w:val="en-CA"/>
        </w:rPr>
        <w:t>9 is illustrative of a deprivation to the right to life, liberty and security of the person in breach of the principles of fundamental justice.</w:t>
      </w:r>
      <w:r w:rsidRPr="00CF4E9F">
        <w:rPr>
          <w:rStyle w:val="Appelnotedebasdep"/>
          <w:lang w:val="en-CA"/>
        </w:rPr>
        <w:footnoteReference w:id="207"/>
      </w:r>
    </w:p>
    <w:p w14:paraId="3FFB3574" w14:textId="079A73DC" w:rsidR="001D459F" w:rsidRPr="00CF4E9F" w:rsidRDefault="00155762" w:rsidP="00571F09">
      <w:pPr>
        <w:pStyle w:val="Paragraphe"/>
        <w:spacing w:line="280" w:lineRule="exact"/>
        <w:rPr>
          <w:lang w:val="en-CA"/>
        </w:rPr>
      </w:pPr>
      <w:r w:rsidRPr="00CF4E9F">
        <w:rPr>
          <w:color w:val="000000"/>
          <w:lang w:val="en-CA"/>
        </w:rPr>
        <w:t xml:space="preserve">Insofar as </w:t>
      </w:r>
      <w:r w:rsidR="00162E51">
        <w:rPr>
          <w:color w:val="000000"/>
          <w:lang w:val="en-CA"/>
        </w:rPr>
        <w:t>s. </w:t>
      </w:r>
      <w:r w:rsidRPr="00CF4E9F">
        <w:rPr>
          <w:color w:val="000000"/>
          <w:lang w:val="en-CA"/>
        </w:rPr>
        <w:t xml:space="preserve">9 is </w:t>
      </w:r>
      <w:r w:rsidR="00FC4288">
        <w:rPr>
          <w:color w:val="000000"/>
          <w:lang w:val="en-CA"/>
        </w:rPr>
        <w:t xml:space="preserve">a </w:t>
      </w:r>
      <w:r w:rsidRPr="00CF4E9F">
        <w:rPr>
          <w:color w:val="000000"/>
          <w:lang w:val="en-CA"/>
        </w:rPr>
        <w:t xml:space="preserve">more </w:t>
      </w:r>
      <w:r w:rsidR="00435DD7" w:rsidRPr="00CF4E9F">
        <w:rPr>
          <w:color w:val="000000"/>
          <w:lang w:val="en-CA"/>
        </w:rPr>
        <w:t xml:space="preserve">specific </w:t>
      </w:r>
      <w:r w:rsidRPr="00CF4E9F">
        <w:rPr>
          <w:color w:val="000000"/>
          <w:lang w:val="en-CA"/>
        </w:rPr>
        <w:t xml:space="preserve">and </w:t>
      </w:r>
      <w:r w:rsidR="00435DD7" w:rsidRPr="00CF4E9F">
        <w:rPr>
          <w:color w:val="000000"/>
          <w:lang w:val="en-CA"/>
        </w:rPr>
        <w:t xml:space="preserve">complete </w:t>
      </w:r>
      <w:r w:rsidRPr="00CF4E9F">
        <w:rPr>
          <w:color w:val="000000"/>
          <w:lang w:val="en-CA"/>
        </w:rPr>
        <w:t>illustrati</w:t>
      </w:r>
      <w:r w:rsidR="00435DD7" w:rsidRPr="00CF4E9F">
        <w:rPr>
          <w:color w:val="000000"/>
          <w:lang w:val="en-CA"/>
        </w:rPr>
        <w:t>on</w:t>
      </w:r>
      <w:r w:rsidRPr="00CF4E9F">
        <w:rPr>
          <w:color w:val="000000"/>
          <w:lang w:val="en-CA"/>
        </w:rPr>
        <w:t xml:space="preserve"> of the right guaranteed under </w:t>
      </w:r>
      <w:r w:rsidR="00162E51">
        <w:rPr>
          <w:color w:val="000000"/>
          <w:lang w:val="en-CA"/>
        </w:rPr>
        <w:t>s. </w:t>
      </w:r>
      <w:r w:rsidRPr="00CF4E9F">
        <w:rPr>
          <w:color w:val="000000"/>
          <w:lang w:val="en-CA"/>
        </w:rPr>
        <w:t xml:space="preserve">7 in the </w:t>
      </w:r>
      <w:r w:rsidR="00435DD7" w:rsidRPr="00CF4E9F">
        <w:rPr>
          <w:color w:val="000000"/>
          <w:lang w:val="en-CA"/>
        </w:rPr>
        <w:t xml:space="preserve">context </w:t>
      </w:r>
      <w:r w:rsidRPr="00CF4E9F">
        <w:rPr>
          <w:color w:val="000000"/>
          <w:lang w:val="en-CA"/>
        </w:rPr>
        <w:t>considered in th</w:t>
      </w:r>
      <w:r w:rsidR="00435DD7" w:rsidRPr="00CF4E9F">
        <w:rPr>
          <w:color w:val="000000"/>
          <w:lang w:val="en-CA"/>
        </w:rPr>
        <w:t>e</w:t>
      </w:r>
      <w:r w:rsidRPr="00CF4E9F">
        <w:rPr>
          <w:color w:val="000000"/>
          <w:lang w:val="en-CA"/>
        </w:rPr>
        <w:t xml:space="preserve"> case</w:t>
      </w:r>
      <w:r w:rsidR="00435DD7" w:rsidRPr="00CF4E9F">
        <w:rPr>
          <w:color w:val="000000"/>
          <w:lang w:val="en-CA"/>
        </w:rPr>
        <w:t xml:space="preserve"> at bar</w:t>
      </w:r>
      <w:r w:rsidRPr="00CF4E9F">
        <w:rPr>
          <w:color w:val="000000"/>
          <w:lang w:val="en-CA"/>
        </w:rPr>
        <w:t xml:space="preserve">, the Court’s </w:t>
      </w:r>
      <w:r w:rsidR="00435DD7" w:rsidRPr="00CF4E9F">
        <w:rPr>
          <w:color w:val="000000"/>
          <w:lang w:val="en-CA"/>
        </w:rPr>
        <w:t xml:space="preserve">finding </w:t>
      </w:r>
      <w:r w:rsidRPr="00CF4E9F">
        <w:rPr>
          <w:color w:val="000000"/>
          <w:lang w:val="en-CA"/>
        </w:rPr>
        <w:t xml:space="preserve">that </w:t>
      </w:r>
      <w:r w:rsidR="00162E51">
        <w:rPr>
          <w:color w:val="000000"/>
          <w:lang w:val="en-CA"/>
        </w:rPr>
        <w:t>s. </w:t>
      </w:r>
      <w:r w:rsidRPr="00CF4E9F">
        <w:rPr>
          <w:lang w:val="en-CA"/>
        </w:rPr>
        <w:t>636</w:t>
      </w:r>
      <w:r w:rsidR="0030762F" w:rsidRPr="0030762F">
        <w:rPr>
          <w:i/>
          <w:lang w:val="en-CA"/>
        </w:rPr>
        <w:t> HSC</w:t>
      </w:r>
      <w:r w:rsidRPr="00CF4E9F">
        <w:rPr>
          <w:lang w:val="en-CA"/>
        </w:rPr>
        <w:t xml:space="preserve"> unjustifiably infringes </w:t>
      </w:r>
      <w:r w:rsidR="00162E51">
        <w:rPr>
          <w:lang w:val="en-CA"/>
        </w:rPr>
        <w:t>s. </w:t>
      </w:r>
      <w:r w:rsidRPr="00CF4E9F">
        <w:rPr>
          <w:lang w:val="en-CA"/>
        </w:rPr>
        <w:t xml:space="preserve">9 renders a separate analysis </w:t>
      </w:r>
      <w:r w:rsidR="00435DD7" w:rsidRPr="00CF4E9F">
        <w:rPr>
          <w:lang w:val="en-CA"/>
        </w:rPr>
        <w:t xml:space="preserve">under </w:t>
      </w:r>
      <w:r w:rsidR="00162E51">
        <w:rPr>
          <w:lang w:val="en-CA"/>
        </w:rPr>
        <w:t>s. </w:t>
      </w:r>
      <w:r w:rsidRPr="00CF4E9F">
        <w:rPr>
          <w:lang w:val="en-CA"/>
        </w:rPr>
        <w:t xml:space="preserve">7 </w:t>
      </w:r>
      <w:r w:rsidR="00435DD7" w:rsidRPr="00CF4E9F">
        <w:rPr>
          <w:lang w:val="en-CA"/>
        </w:rPr>
        <w:t>redundant</w:t>
      </w:r>
      <w:r w:rsidRPr="00CF4E9F">
        <w:rPr>
          <w:lang w:val="en-CA"/>
        </w:rPr>
        <w:t>.</w:t>
      </w:r>
      <w:r w:rsidRPr="00CF4E9F">
        <w:rPr>
          <w:rStyle w:val="Appelnotedebasdep"/>
          <w:lang w:val="en-CA"/>
        </w:rPr>
        <w:footnoteReference w:id="208"/>
      </w:r>
    </w:p>
    <w:p w14:paraId="233E7E2E" w14:textId="0F0B018F" w:rsidR="001D459F" w:rsidRPr="00CF4E9F" w:rsidRDefault="00155762" w:rsidP="00571F09">
      <w:pPr>
        <w:pStyle w:val="Paragraphe"/>
        <w:spacing w:line="280" w:lineRule="exact"/>
        <w:rPr>
          <w:lang w:val="en-CA"/>
        </w:rPr>
      </w:pPr>
      <w:r w:rsidRPr="00CF4E9F">
        <w:rPr>
          <w:lang w:val="en-CA"/>
        </w:rPr>
        <w:t xml:space="preserve">Indeed, in </w:t>
      </w:r>
      <w:r w:rsidRPr="00CF4E9F">
        <w:rPr>
          <w:i/>
          <w:lang w:val="en-CA"/>
        </w:rPr>
        <w:t>Ladouceur</w:t>
      </w:r>
      <w:r w:rsidRPr="00CF4E9F">
        <w:rPr>
          <w:lang w:val="en-CA"/>
        </w:rPr>
        <w:t xml:space="preserve">, the Supreme Court did not consider it necessary to decide whether random stops infringed </w:t>
      </w:r>
      <w:r w:rsidR="00162E51">
        <w:rPr>
          <w:lang w:val="en-CA"/>
        </w:rPr>
        <w:t>s. </w:t>
      </w:r>
      <w:r w:rsidRPr="00CF4E9F">
        <w:rPr>
          <w:lang w:val="en-CA"/>
        </w:rPr>
        <w:t>7, given that it had de</w:t>
      </w:r>
      <w:r w:rsidR="004D73B6" w:rsidRPr="00CF4E9F">
        <w:rPr>
          <w:lang w:val="en-CA"/>
        </w:rPr>
        <w:t>termin</w:t>
      </w:r>
      <w:r w:rsidRPr="00CF4E9F">
        <w:rPr>
          <w:lang w:val="en-CA"/>
        </w:rPr>
        <w:t xml:space="preserve">ed that they violated </w:t>
      </w:r>
      <w:r w:rsidR="00162E51">
        <w:rPr>
          <w:lang w:val="en-CA"/>
        </w:rPr>
        <w:t>s. </w:t>
      </w:r>
      <w:r w:rsidRPr="00CF4E9F">
        <w:rPr>
          <w:lang w:val="en-CA"/>
        </w:rPr>
        <w:t xml:space="preserve">9 of the </w:t>
      </w:r>
      <w:r w:rsidRPr="00CF4E9F">
        <w:rPr>
          <w:i/>
          <w:lang w:val="en-CA"/>
        </w:rPr>
        <w:t>Charter</w:t>
      </w:r>
      <w:r w:rsidRPr="00CF4E9F">
        <w:rPr>
          <w:lang w:val="en-CA"/>
        </w:rPr>
        <w:t>.</w:t>
      </w:r>
      <w:r w:rsidRPr="00CF4E9F">
        <w:rPr>
          <w:rStyle w:val="Appelnotedebasdep"/>
          <w:lang w:val="en-CA"/>
        </w:rPr>
        <w:footnoteReference w:id="209"/>
      </w:r>
    </w:p>
    <w:p w14:paraId="4F28558F" w14:textId="07D91E57" w:rsidR="0032484D" w:rsidRPr="00CF4E9F" w:rsidRDefault="0054771E" w:rsidP="00571F09">
      <w:pPr>
        <w:pStyle w:val="Paragraphe"/>
        <w:spacing w:line="280" w:lineRule="exact"/>
        <w:rPr>
          <w:lang w:val="en-CA"/>
        </w:rPr>
      </w:pPr>
      <w:r w:rsidRPr="00CF4E9F">
        <w:rPr>
          <w:lang w:val="en-CA"/>
        </w:rPr>
        <w:t>By refraining from answering this question, the Court issue</w:t>
      </w:r>
      <w:r w:rsidR="004D73B6" w:rsidRPr="00CF4E9F">
        <w:rPr>
          <w:lang w:val="en-CA"/>
        </w:rPr>
        <w:t>s</w:t>
      </w:r>
      <w:r w:rsidRPr="00CF4E9F">
        <w:rPr>
          <w:lang w:val="en-CA"/>
        </w:rPr>
        <w:t xml:space="preserve"> no opinion on whether the judge’s analysis was correct.</w:t>
      </w:r>
    </w:p>
    <w:p w14:paraId="16C96953" w14:textId="7D41552B" w:rsidR="004C7B2F" w:rsidRPr="00CF4E9F" w:rsidRDefault="0054771E" w:rsidP="002E559C">
      <w:pPr>
        <w:pStyle w:val="Titre2"/>
        <w:rPr>
          <w:lang w:val="en-CA"/>
        </w:rPr>
      </w:pPr>
      <w:bookmarkStart w:id="107" w:name="_Toc177630885"/>
      <w:bookmarkStart w:id="108" w:name="_Toc201822892"/>
      <w:r w:rsidRPr="00CF4E9F">
        <w:rPr>
          <w:lang w:val="en-CA"/>
        </w:rPr>
        <w:t>E.</w:t>
      </w:r>
      <w:r w:rsidR="0032484D" w:rsidRPr="00CF4E9F">
        <w:rPr>
          <w:lang w:val="en-CA"/>
        </w:rPr>
        <w:tab/>
      </w:r>
      <w:r w:rsidR="0066259A" w:rsidRPr="00CF4E9F">
        <w:rPr>
          <w:lang w:val="en-CA"/>
        </w:rPr>
        <w:t xml:space="preserve">Did the judge err in concluding that the challenged </w:t>
      </w:r>
      <w:r w:rsidR="00C47178">
        <w:rPr>
          <w:lang w:val="en-CA"/>
        </w:rPr>
        <w:t>provision</w:t>
      </w:r>
      <w:r w:rsidR="0066259A" w:rsidRPr="00CF4E9F">
        <w:rPr>
          <w:lang w:val="en-CA"/>
        </w:rPr>
        <w:t xml:space="preserve"> unjustifiably infringes </w:t>
      </w:r>
      <w:r w:rsidR="00162E51">
        <w:rPr>
          <w:lang w:val="en-CA"/>
        </w:rPr>
        <w:t>s. </w:t>
      </w:r>
      <w:bookmarkEnd w:id="107"/>
      <w:r w:rsidR="0066259A" w:rsidRPr="00CF4E9F">
        <w:rPr>
          <w:bCs/>
          <w:lang w:val="en-CA"/>
        </w:rPr>
        <w:t xml:space="preserve">15(1) of the </w:t>
      </w:r>
      <w:r w:rsidR="0066259A" w:rsidRPr="00CF4E9F">
        <w:rPr>
          <w:bCs/>
          <w:i/>
          <w:lang w:val="en-CA"/>
        </w:rPr>
        <w:t>Charter</w:t>
      </w:r>
      <w:r w:rsidR="0066259A" w:rsidRPr="00CF4E9F">
        <w:rPr>
          <w:bCs/>
          <w:lang w:val="en-CA"/>
        </w:rPr>
        <w:t>?</w:t>
      </w:r>
      <w:bookmarkEnd w:id="108"/>
    </w:p>
    <w:p w14:paraId="7EBBC604" w14:textId="3CEE8ED9" w:rsidR="00F97692" w:rsidRPr="00CF4E9F" w:rsidRDefault="0043013D" w:rsidP="00571F09">
      <w:pPr>
        <w:pStyle w:val="Titre3"/>
        <w:spacing w:line="280" w:lineRule="exact"/>
        <w:rPr>
          <w:lang w:val="en-CA"/>
        </w:rPr>
      </w:pPr>
      <w:bookmarkStart w:id="109" w:name="_Toc201822893"/>
      <w:r w:rsidRPr="00CF4E9F">
        <w:rPr>
          <w:lang w:val="en-CA"/>
        </w:rPr>
        <w:t>1.</w:t>
      </w:r>
      <w:r w:rsidRPr="00CF4E9F">
        <w:rPr>
          <w:lang w:val="en-CA"/>
        </w:rPr>
        <w:tab/>
      </w:r>
      <w:r w:rsidR="0054771E" w:rsidRPr="00CF4E9F">
        <w:rPr>
          <w:lang w:val="en-CA"/>
        </w:rPr>
        <w:t>Infringement</w:t>
      </w:r>
      <w:bookmarkEnd w:id="109"/>
    </w:p>
    <w:p w14:paraId="625D7005" w14:textId="0F476F69" w:rsidR="001A3EF8" w:rsidRPr="00CF4E9F" w:rsidRDefault="0054771E" w:rsidP="00571F09">
      <w:pPr>
        <w:pStyle w:val="Paragraphe"/>
        <w:spacing w:line="280" w:lineRule="exact"/>
        <w:rPr>
          <w:lang w:val="en-CA"/>
        </w:rPr>
      </w:pPr>
      <w:bookmarkStart w:id="110" w:name="_Ref177748113"/>
      <w:r w:rsidRPr="00CF4E9F">
        <w:rPr>
          <w:lang w:val="en-CA"/>
        </w:rPr>
        <w:t>Section</w:t>
      </w:r>
      <w:r w:rsidR="0043013D" w:rsidRPr="00CF4E9F">
        <w:rPr>
          <w:lang w:val="en-CA"/>
        </w:rPr>
        <w:t xml:space="preserve"> </w:t>
      </w:r>
      <w:bookmarkEnd w:id="110"/>
      <w:r w:rsidRPr="00CF4E9F">
        <w:rPr>
          <w:lang w:val="en-CA"/>
        </w:rPr>
        <w:t xml:space="preserve">15(1) of the </w:t>
      </w:r>
      <w:r w:rsidRPr="00CF4E9F">
        <w:rPr>
          <w:i/>
          <w:lang w:val="en-CA"/>
        </w:rPr>
        <w:t>Charter</w:t>
      </w:r>
      <w:r w:rsidRPr="00CF4E9F">
        <w:rPr>
          <w:lang w:val="en-CA"/>
        </w:rPr>
        <w:t xml:space="preserve"> guarantees equal treatment before and under the law without discrimination:</w:t>
      </w:r>
    </w:p>
    <w:tbl>
      <w:tblPr>
        <w:tblW w:w="0" w:type="auto"/>
        <w:tblCellMar>
          <w:left w:w="70" w:type="dxa"/>
          <w:right w:w="70" w:type="dxa"/>
        </w:tblCellMar>
        <w:tblLook w:val="0000" w:firstRow="0" w:lastRow="0" w:firstColumn="0" w:lastColumn="0" w:noHBand="0" w:noVBand="0"/>
      </w:tblPr>
      <w:tblGrid>
        <w:gridCol w:w="4679"/>
        <w:gridCol w:w="4679"/>
      </w:tblGrid>
      <w:tr w:rsidR="00B9322F" w:rsidRPr="00CF4E9F" w14:paraId="1E001E1E" w14:textId="1F8F9F92" w:rsidTr="001F1C23">
        <w:tc>
          <w:tcPr>
            <w:tcW w:w="4679" w:type="dxa"/>
          </w:tcPr>
          <w:p w14:paraId="3C40D38A" w14:textId="77777777" w:rsidR="00B9322F" w:rsidRPr="00CF4E9F" w:rsidRDefault="00B9322F" w:rsidP="004D73B6">
            <w:pPr>
              <w:spacing w:before="120" w:after="120"/>
              <w:ind w:left="781" w:right="215"/>
              <w:jc w:val="both"/>
              <w:rPr>
                <w:rFonts w:cs="Arial"/>
                <w:sz w:val="22"/>
                <w:lang w:val="en-CA"/>
              </w:rPr>
            </w:pPr>
            <w:r w:rsidRPr="00CF4E9F">
              <w:rPr>
                <w:rFonts w:cs="Arial"/>
                <w:b/>
                <w:bCs/>
                <w:sz w:val="22"/>
                <w:lang w:val="en-CA"/>
              </w:rPr>
              <w:t>15.</w:t>
            </w:r>
            <w:r w:rsidRPr="00CF4E9F">
              <w:rPr>
                <w:rFonts w:cs="Arial"/>
                <w:sz w:val="22"/>
                <w:lang w:val="en-CA"/>
              </w:rPr>
              <w:t xml:space="preserve"> </w:t>
            </w:r>
            <w:r w:rsidRPr="00CF4E9F">
              <w:rPr>
                <w:rFonts w:cs="Arial"/>
                <w:b/>
                <w:bCs/>
                <w:sz w:val="22"/>
                <w:lang w:val="en-CA"/>
              </w:rPr>
              <w:t>(1)</w:t>
            </w:r>
            <w:r w:rsidRPr="00CF4E9F">
              <w:rPr>
                <w:rFonts w:cs="Arial"/>
                <w:sz w:val="22"/>
                <w:shd w:val="clear" w:color="auto" w:fill="FFFFFF"/>
                <w:lang w:val="en-CA"/>
              </w:rPr>
              <w:t>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tc>
        <w:tc>
          <w:tcPr>
            <w:tcW w:w="4679" w:type="dxa"/>
          </w:tcPr>
          <w:p w14:paraId="63E96A3F" w14:textId="5E8F7AC0" w:rsidR="00B9322F" w:rsidRPr="00DD42C3" w:rsidRDefault="00B9322F" w:rsidP="00B9322F">
            <w:pPr>
              <w:spacing w:before="120" w:after="120"/>
              <w:ind w:left="142" w:right="720"/>
              <w:jc w:val="both"/>
              <w:rPr>
                <w:rFonts w:cs="Arial"/>
                <w:b/>
                <w:bCs/>
                <w:sz w:val="22"/>
              </w:rPr>
            </w:pPr>
            <w:r w:rsidRPr="00DD42C3">
              <w:rPr>
                <w:rFonts w:cs="Arial"/>
                <w:b/>
                <w:bCs/>
                <w:sz w:val="22"/>
              </w:rPr>
              <w:t>15.</w:t>
            </w:r>
            <w:r w:rsidRPr="00DD42C3">
              <w:rPr>
                <w:rFonts w:cs="Arial"/>
                <w:sz w:val="22"/>
              </w:rPr>
              <w:t xml:space="preserve"> </w:t>
            </w:r>
            <w:r w:rsidRPr="00DD42C3">
              <w:rPr>
                <w:rFonts w:cs="Arial"/>
                <w:b/>
                <w:bCs/>
                <w:sz w:val="22"/>
              </w:rPr>
              <w:t>(1)</w:t>
            </w:r>
            <w:r w:rsidRPr="00DD42C3">
              <w:rPr>
                <w:rFonts w:cs="Arial"/>
                <w:sz w:val="22"/>
                <w:shd w:val="clear" w:color="auto" w:fill="FFFFFF"/>
              </w:rPr>
              <w:t>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tc>
      </w:tr>
    </w:tbl>
    <w:p w14:paraId="0590153B" w14:textId="46EC2E43" w:rsidR="001A3EF8" w:rsidRPr="00CF4E9F" w:rsidRDefault="005505AA" w:rsidP="0002577C">
      <w:pPr>
        <w:pStyle w:val="Paragraphe"/>
        <w:spacing w:before="240" w:line="280" w:lineRule="exact"/>
        <w:rPr>
          <w:lang w:val="en-CA"/>
        </w:rPr>
      </w:pPr>
      <w:r w:rsidRPr="00CF4E9F">
        <w:rPr>
          <w:lang w:val="en-CA"/>
        </w:rPr>
        <w:lastRenderedPageBreak/>
        <w:t xml:space="preserve">It is well established that this </w:t>
      </w:r>
      <w:r w:rsidRPr="00CF4E9F">
        <w:rPr>
          <w:i/>
          <w:lang w:val="en-CA"/>
        </w:rPr>
        <w:t>Charter</w:t>
      </w:r>
      <w:r w:rsidRPr="00CF4E9F">
        <w:rPr>
          <w:lang w:val="en-CA"/>
        </w:rPr>
        <w:t xml:space="preserve"> provision protects substantive equality.</w:t>
      </w:r>
      <w:r w:rsidRPr="00CF4E9F">
        <w:rPr>
          <w:vertAlign w:val="superscript"/>
          <w:lang w:val="en-CA"/>
        </w:rPr>
        <w:footnoteReference w:id="210"/>
      </w:r>
      <w:r w:rsidR="0043013D" w:rsidRPr="00CF4E9F">
        <w:rPr>
          <w:lang w:val="en-CA"/>
        </w:rPr>
        <w:t xml:space="preserve"> </w:t>
      </w:r>
      <w:r w:rsidR="00A67F5A" w:rsidRPr="00CF4E9F">
        <w:rPr>
          <w:lang w:val="en-CA"/>
        </w:rPr>
        <w:t>In contrast to formal equality</w:t>
      </w:r>
      <w:r w:rsidR="004537D2" w:rsidRPr="00CF4E9F">
        <w:rPr>
          <w:lang w:val="en-CA"/>
        </w:rPr>
        <w:t>,</w:t>
      </w:r>
      <w:r w:rsidR="00A67F5A" w:rsidRPr="00CF4E9F">
        <w:rPr>
          <w:color w:val="000000"/>
          <w:vertAlign w:val="superscript"/>
          <w:lang w:val="en-CA"/>
        </w:rPr>
        <w:footnoteReference w:id="211"/>
      </w:r>
      <w:r w:rsidR="00A67F5A" w:rsidRPr="00CF4E9F">
        <w:rPr>
          <w:lang w:val="en-CA"/>
        </w:rPr>
        <w:t xml:space="preserve"> substantive equality “recognizes that persistent systemic disadvantages have operated to limit the opportunities available to members of certain groups in society and seeks to prevent conduct that perpetuates those disadvantages”.</w:t>
      </w:r>
      <w:r w:rsidR="00A67F5A" w:rsidRPr="00CF4E9F">
        <w:rPr>
          <w:color w:val="000000"/>
          <w:vertAlign w:val="superscript"/>
          <w:lang w:val="en-CA"/>
        </w:rPr>
        <w:footnoteReference w:id="212"/>
      </w:r>
      <w:r w:rsidR="0043013D" w:rsidRPr="00CF4E9F">
        <w:rPr>
          <w:lang w:val="en-CA"/>
        </w:rPr>
        <w:t xml:space="preserve"> </w:t>
      </w:r>
      <w:r w:rsidR="00A67F5A" w:rsidRPr="00CF4E9F">
        <w:rPr>
          <w:lang w:val="en-CA"/>
        </w:rPr>
        <w:t>It “rests on the idea that not every difference in treatment will necessarily result in inequality and that identical treatment may frequently produce serious inequality”.</w:t>
      </w:r>
      <w:r w:rsidR="00A67F5A" w:rsidRPr="00CF4E9F">
        <w:rPr>
          <w:color w:val="000000"/>
          <w:vertAlign w:val="superscript"/>
          <w:lang w:val="en-CA"/>
        </w:rPr>
        <w:footnoteReference w:id="213"/>
      </w:r>
      <w:r w:rsidR="0043013D" w:rsidRPr="00CF4E9F">
        <w:rPr>
          <w:lang w:val="en-CA"/>
        </w:rPr>
        <w:t xml:space="preserve"> </w:t>
      </w:r>
      <w:r w:rsidR="00A67F5A" w:rsidRPr="00CF4E9F">
        <w:rPr>
          <w:lang w:val="en-CA"/>
        </w:rPr>
        <w:t>In other words, substantive equality “rejects the mere presence or absence of difference as an answer to differential treatment”;</w:t>
      </w:r>
      <w:r w:rsidR="0043013D" w:rsidRPr="00CF4E9F">
        <w:rPr>
          <w:color w:val="000000"/>
          <w:vertAlign w:val="superscript"/>
          <w:lang w:val="en-CA"/>
        </w:rPr>
        <w:footnoteReference w:id="214"/>
      </w:r>
      <w:r w:rsidR="00A67F5A" w:rsidRPr="00CF4E9F">
        <w:rPr>
          <w:lang w:val="en-CA"/>
        </w:rPr>
        <w:t xml:space="preserve"> </w:t>
      </w:r>
      <w:r w:rsidR="00F77ECF" w:rsidRPr="00CF4E9F">
        <w:rPr>
          <w:lang w:val="en-CA"/>
        </w:rPr>
        <w:t xml:space="preserve">unlike </w:t>
      </w:r>
      <w:r w:rsidR="00A67F5A" w:rsidRPr="00CF4E9F">
        <w:rPr>
          <w:lang w:val="en-CA"/>
        </w:rPr>
        <w:t>formal equality, it “insists on going behind the facade of similarities and differences”.</w:t>
      </w:r>
      <w:r w:rsidR="00A67F5A" w:rsidRPr="00CF4E9F">
        <w:rPr>
          <w:color w:val="000000"/>
          <w:vertAlign w:val="superscript"/>
          <w:lang w:val="en-CA"/>
        </w:rPr>
        <w:footnoteReference w:id="215"/>
      </w:r>
      <w:r w:rsidR="0043013D" w:rsidRPr="00CF4E9F">
        <w:rPr>
          <w:lang w:val="en-CA"/>
        </w:rPr>
        <w:t xml:space="preserve"> </w:t>
      </w:r>
    </w:p>
    <w:p w14:paraId="038B31FC" w14:textId="2837FC3B" w:rsidR="001A3EF8" w:rsidRPr="00CF4E9F" w:rsidRDefault="000B4108" w:rsidP="00571F09">
      <w:pPr>
        <w:pStyle w:val="Paragraphe"/>
        <w:spacing w:line="280" w:lineRule="exact"/>
        <w:rPr>
          <w:lang w:val="en-CA"/>
        </w:rPr>
      </w:pPr>
      <w:r w:rsidRPr="00CF4E9F">
        <w:rPr>
          <w:lang w:val="en-CA"/>
        </w:rPr>
        <w:t>In application of this “animating norm”</w:t>
      </w:r>
      <w:r w:rsidRPr="00CF4E9F">
        <w:rPr>
          <w:color w:val="000000"/>
          <w:vertAlign w:val="superscript"/>
          <w:lang w:val="en-CA"/>
        </w:rPr>
        <w:footnoteReference w:id="216"/>
      </w:r>
      <w:r w:rsidRPr="00CF4E9F">
        <w:rPr>
          <w:lang w:val="en-CA"/>
        </w:rPr>
        <w:t xml:space="preserve"> of substantive equality, the Supreme Court acknowledged that </w:t>
      </w:r>
      <w:r w:rsidR="00CD3E2E">
        <w:rPr>
          <w:lang w:val="en-CA"/>
        </w:rPr>
        <w:t>s. </w:t>
      </w:r>
      <w:r w:rsidRPr="00CF4E9F">
        <w:rPr>
          <w:lang w:val="en-CA"/>
        </w:rPr>
        <w:t>15(1) protects against not only direct discrimination, but also indirect discrimination (or “adverse impact discrimination”).</w:t>
      </w:r>
      <w:r w:rsidRPr="00CF4E9F">
        <w:rPr>
          <w:color w:val="000000"/>
          <w:vertAlign w:val="superscript"/>
          <w:lang w:val="en-CA"/>
        </w:rPr>
        <w:footnoteReference w:id="217"/>
      </w:r>
      <w:r w:rsidR="0043013D" w:rsidRPr="00CF4E9F">
        <w:rPr>
          <w:lang w:val="en-CA"/>
        </w:rPr>
        <w:t xml:space="preserve"> </w:t>
      </w:r>
      <w:r w:rsidRPr="00CF4E9F">
        <w:rPr>
          <w:lang w:val="en-CA"/>
        </w:rPr>
        <w:t>This form of discrimination “occurs when a seemingly neutral law has a disproportionate impact on members of groups protected on the basis of an enumerated or analogous ground”.</w:t>
      </w:r>
      <w:r w:rsidRPr="00CF4E9F">
        <w:rPr>
          <w:vertAlign w:val="superscript"/>
          <w:lang w:val="en-CA"/>
        </w:rPr>
        <w:footnoteReference w:id="218"/>
      </w:r>
      <w:r w:rsidR="0043013D" w:rsidRPr="00CF4E9F">
        <w:rPr>
          <w:lang w:val="en-CA"/>
        </w:rPr>
        <w:t xml:space="preserve"> </w:t>
      </w:r>
      <w:r w:rsidRPr="00CF4E9F">
        <w:rPr>
          <w:lang w:val="en-CA"/>
        </w:rPr>
        <w:t xml:space="preserve">Rather than </w:t>
      </w:r>
      <w:r w:rsidR="00B91FA7">
        <w:rPr>
          <w:lang w:val="en-CA"/>
        </w:rPr>
        <w:t>directly</w:t>
      </w:r>
      <w:r w:rsidR="00B91FA7" w:rsidRPr="00CF4E9F">
        <w:rPr>
          <w:lang w:val="en-CA"/>
        </w:rPr>
        <w:t xml:space="preserve"> </w:t>
      </w:r>
      <w:r w:rsidRPr="00CF4E9F">
        <w:rPr>
          <w:lang w:val="en-CA"/>
        </w:rPr>
        <w:t xml:space="preserve">singling out members of </w:t>
      </w:r>
      <w:r w:rsidR="00E944EB" w:rsidRPr="00CF4E9F">
        <w:rPr>
          <w:lang w:val="en-CA"/>
        </w:rPr>
        <w:t>a</w:t>
      </w:r>
      <w:r w:rsidRPr="00CF4E9F">
        <w:rPr>
          <w:lang w:val="en-CA"/>
        </w:rPr>
        <w:t xml:space="preserve"> protected group for differential treatment, “the law does so indirectly”.</w:t>
      </w:r>
      <w:r w:rsidRPr="00CF4E9F">
        <w:rPr>
          <w:vertAlign w:val="superscript"/>
          <w:lang w:val="en-CA"/>
        </w:rPr>
        <w:footnoteReference w:id="219"/>
      </w:r>
    </w:p>
    <w:p w14:paraId="0E0930D8" w14:textId="74FCAD47" w:rsidR="001A3EF8" w:rsidRPr="00CF4E9F" w:rsidRDefault="000B4108" w:rsidP="00571F09">
      <w:pPr>
        <w:pStyle w:val="Paragraphe"/>
        <w:spacing w:line="280" w:lineRule="exact"/>
        <w:rPr>
          <w:lang w:val="en-CA"/>
        </w:rPr>
      </w:pPr>
      <w:r w:rsidRPr="00CF4E9F">
        <w:rPr>
          <w:lang w:val="en-CA"/>
        </w:rPr>
        <w:t xml:space="preserve">That is the form of discrimination here: </w:t>
      </w:r>
      <w:r w:rsidR="00162E51">
        <w:rPr>
          <w:lang w:val="en-CA"/>
        </w:rPr>
        <w:t>s. </w:t>
      </w:r>
      <w:r w:rsidRPr="00CF4E9F">
        <w:rPr>
          <w:lang w:val="en-CA"/>
        </w:rPr>
        <w:t>636</w:t>
      </w:r>
      <w:r w:rsidR="0030762F" w:rsidRPr="0030762F">
        <w:rPr>
          <w:i/>
          <w:lang w:val="en-CA"/>
        </w:rPr>
        <w:t> HSC</w:t>
      </w:r>
      <w:r w:rsidRPr="00CF4E9F">
        <w:rPr>
          <w:lang w:val="en-CA"/>
        </w:rPr>
        <w:t xml:space="preserve">, </w:t>
      </w:r>
      <w:r w:rsidR="00E944EB" w:rsidRPr="00CF4E9F">
        <w:rPr>
          <w:lang w:val="en-CA"/>
        </w:rPr>
        <w:t xml:space="preserve">even </w:t>
      </w:r>
      <w:r w:rsidR="00886F70" w:rsidRPr="00CF4E9F">
        <w:rPr>
          <w:lang w:val="en-CA"/>
        </w:rPr>
        <w:t xml:space="preserve">though seemingly </w:t>
      </w:r>
      <w:r w:rsidRPr="00CF4E9F">
        <w:rPr>
          <w:lang w:val="en-CA"/>
        </w:rPr>
        <w:t xml:space="preserve">neutral, has a disproportionate and discriminatory impact on Black drivers. </w:t>
      </w:r>
    </w:p>
    <w:p w14:paraId="4A637F93" w14:textId="127CAEF0" w:rsidR="001A3EF8" w:rsidRPr="00CF4E9F" w:rsidRDefault="000B4108" w:rsidP="00571F09">
      <w:pPr>
        <w:pStyle w:val="Paragraphe"/>
        <w:spacing w:line="280" w:lineRule="exact"/>
        <w:rPr>
          <w:lang w:val="en-CA"/>
        </w:rPr>
      </w:pPr>
      <w:r w:rsidRPr="00CF4E9F">
        <w:rPr>
          <w:lang w:val="en-CA"/>
        </w:rPr>
        <w:lastRenderedPageBreak/>
        <w:t xml:space="preserve">The applicable test to rule on </w:t>
      </w:r>
      <w:r w:rsidR="00E944EB" w:rsidRPr="00CF4E9F">
        <w:rPr>
          <w:lang w:val="en-CA"/>
        </w:rPr>
        <w:t xml:space="preserve">a </w:t>
      </w:r>
      <w:r w:rsidR="00CD3E2E">
        <w:rPr>
          <w:lang w:val="en-CA"/>
        </w:rPr>
        <w:t>s. </w:t>
      </w:r>
      <w:r w:rsidRPr="00CF4E9F">
        <w:rPr>
          <w:lang w:val="en-CA"/>
        </w:rPr>
        <w:t xml:space="preserve">15(1) </w:t>
      </w:r>
      <w:r w:rsidRPr="00CF4E9F">
        <w:rPr>
          <w:i/>
          <w:lang w:val="en-CA"/>
        </w:rPr>
        <w:t>Charter</w:t>
      </w:r>
      <w:r w:rsidRPr="00CF4E9F">
        <w:rPr>
          <w:lang w:val="en-CA"/>
        </w:rPr>
        <w:t xml:space="preserve"> </w:t>
      </w:r>
      <w:r w:rsidR="00E944EB" w:rsidRPr="00CF4E9F">
        <w:rPr>
          <w:lang w:val="en-CA"/>
        </w:rPr>
        <w:t xml:space="preserve">claim </w:t>
      </w:r>
      <w:r w:rsidRPr="00CF4E9F">
        <w:rPr>
          <w:lang w:val="en-CA"/>
        </w:rPr>
        <w:t>has evolved over time.</w:t>
      </w:r>
      <w:r w:rsidRPr="00CF4E9F">
        <w:rPr>
          <w:vertAlign w:val="superscript"/>
          <w:lang w:val="en-CA"/>
        </w:rPr>
        <w:footnoteReference w:id="220"/>
      </w:r>
      <w:r w:rsidR="0043013D" w:rsidRPr="00CF4E9F">
        <w:rPr>
          <w:lang w:val="en-CA"/>
        </w:rPr>
        <w:t xml:space="preserve"> </w:t>
      </w:r>
      <w:r w:rsidRPr="00CF4E9F">
        <w:rPr>
          <w:lang w:val="en-CA"/>
        </w:rPr>
        <w:t xml:space="preserve">In </w:t>
      </w:r>
      <w:r w:rsidRPr="00CF4E9F">
        <w:rPr>
          <w:i/>
          <w:lang w:val="en-CA"/>
        </w:rPr>
        <w:t>Sharma</w:t>
      </w:r>
      <w:r w:rsidRPr="00CF4E9F">
        <w:rPr>
          <w:lang w:val="en-CA"/>
        </w:rPr>
        <w:t xml:space="preserve">, rendered shortly after the trial judgment, the Supreme Court clarified the law </w:t>
      </w:r>
      <w:r w:rsidR="00AE1FB1" w:rsidRPr="00CF4E9F">
        <w:rPr>
          <w:lang w:val="en-CA"/>
        </w:rPr>
        <w:t>i</w:t>
      </w:r>
      <w:r w:rsidRPr="00CF4E9F">
        <w:rPr>
          <w:lang w:val="en-CA"/>
        </w:rPr>
        <w:t xml:space="preserve">n this </w:t>
      </w:r>
      <w:r w:rsidR="00AE1FB1" w:rsidRPr="00CF4E9F">
        <w:rPr>
          <w:lang w:val="en-CA"/>
        </w:rPr>
        <w:t>respect</w:t>
      </w:r>
      <w:r w:rsidRPr="00CF4E9F">
        <w:rPr>
          <w:lang w:val="en-CA"/>
        </w:rPr>
        <w:t>.</w:t>
      </w:r>
      <w:r w:rsidRPr="00CF4E9F">
        <w:rPr>
          <w:vertAlign w:val="superscript"/>
          <w:lang w:val="en-CA"/>
        </w:rPr>
        <w:footnoteReference w:id="221"/>
      </w:r>
      <w:r w:rsidR="0043013D" w:rsidRPr="00CF4E9F">
        <w:rPr>
          <w:lang w:val="en-CA"/>
        </w:rPr>
        <w:t xml:space="preserve"> </w:t>
      </w:r>
      <w:r w:rsidRPr="00CF4E9F">
        <w:rPr>
          <w:lang w:val="en-CA"/>
        </w:rPr>
        <w:t>First, it recalled the two-step test:</w:t>
      </w:r>
    </w:p>
    <w:p w14:paraId="66220BCF" w14:textId="60DE35BD" w:rsidR="001A3EF8" w:rsidRPr="00CF4E9F" w:rsidRDefault="0043013D" w:rsidP="00EA1914">
      <w:pPr>
        <w:pStyle w:val="Citationenretrait"/>
        <w:rPr>
          <w:lang w:val="en-CA"/>
        </w:rPr>
      </w:pPr>
      <w:r w:rsidRPr="00CF4E9F">
        <w:rPr>
          <w:lang w:val="en-CA"/>
        </w:rPr>
        <w:t>[28]</w:t>
      </w:r>
      <w:r w:rsidRPr="00CF4E9F">
        <w:rPr>
          <w:lang w:val="en-CA"/>
        </w:rPr>
        <w:tab/>
      </w:r>
      <w:r w:rsidR="000B4108" w:rsidRPr="00CF4E9F">
        <w:rPr>
          <w:lang w:val="en-CA"/>
        </w:rPr>
        <w:t>The two</w:t>
      </w:r>
      <w:r w:rsidR="000B4108" w:rsidRPr="00CF4E9F">
        <w:rPr>
          <w:rFonts w:ascii="Cambria Math" w:hAnsi="Cambria Math" w:cs="Cambria Math"/>
          <w:lang w:val="en-CA"/>
        </w:rPr>
        <w:t>‑</w:t>
      </w:r>
      <w:r w:rsidR="000B4108" w:rsidRPr="00CF4E9F">
        <w:rPr>
          <w:lang w:val="en-CA"/>
        </w:rPr>
        <w:t>step test for assessing a s.</w:t>
      </w:r>
      <w:r w:rsidRPr="00CF4E9F">
        <w:rPr>
          <w:lang w:val="en-CA"/>
        </w:rPr>
        <w:t xml:space="preserve"> </w:t>
      </w:r>
      <w:r w:rsidR="000B4108" w:rsidRPr="00CF4E9F">
        <w:rPr>
          <w:lang w:val="en-CA"/>
        </w:rPr>
        <w:t>15(1) claim is not at issue in this case.</w:t>
      </w:r>
      <w:r w:rsidRPr="00CF4E9F">
        <w:rPr>
          <w:lang w:val="en-CA"/>
        </w:rPr>
        <w:t xml:space="preserve"> </w:t>
      </w:r>
      <w:r w:rsidR="000B4108" w:rsidRPr="00CF4E9F">
        <w:rPr>
          <w:lang w:val="en-CA"/>
        </w:rPr>
        <w:t>It requires the claimant to demonstrate that the impugned law or state action:</w:t>
      </w:r>
    </w:p>
    <w:p w14:paraId="432BE322" w14:textId="18584EBE" w:rsidR="001A3EF8" w:rsidRPr="00CF4E9F" w:rsidRDefault="000B4108" w:rsidP="000B4108">
      <w:pPr>
        <w:tabs>
          <w:tab w:val="left" w:pos="1276"/>
        </w:tabs>
        <w:spacing w:before="120" w:after="120"/>
        <w:ind w:left="1701" w:right="720" w:hanging="425"/>
        <w:jc w:val="both"/>
        <w:rPr>
          <w:kern w:val="24"/>
          <w:sz w:val="22"/>
          <w:lang w:val="en-CA"/>
        </w:rPr>
      </w:pPr>
      <w:r w:rsidRPr="00CF4E9F">
        <w:rPr>
          <w:kern w:val="24"/>
          <w:sz w:val="22"/>
          <w:lang w:val="en-CA"/>
        </w:rPr>
        <w:t>(a)</w:t>
      </w:r>
      <w:r w:rsidR="0043013D" w:rsidRPr="00CF4E9F">
        <w:rPr>
          <w:kern w:val="24"/>
          <w:sz w:val="22"/>
          <w:lang w:val="en-CA"/>
        </w:rPr>
        <w:tab/>
      </w:r>
      <w:r w:rsidRPr="00CF4E9F">
        <w:rPr>
          <w:kern w:val="24"/>
          <w:sz w:val="22"/>
          <w:lang w:val="en-CA"/>
        </w:rPr>
        <w:t>creates a distinction based on enumerated or analogous grounds, on its face or in its impact; and</w:t>
      </w:r>
    </w:p>
    <w:p w14:paraId="05B56E84" w14:textId="145C78CD" w:rsidR="001A3EF8" w:rsidRPr="00CF4E9F" w:rsidRDefault="000B4108" w:rsidP="000B4108">
      <w:pPr>
        <w:tabs>
          <w:tab w:val="left" w:pos="1276"/>
        </w:tabs>
        <w:spacing w:before="120" w:after="120"/>
        <w:ind w:left="1701" w:right="720" w:hanging="425"/>
        <w:jc w:val="both"/>
        <w:rPr>
          <w:kern w:val="24"/>
          <w:sz w:val="22"/>
          <w:lang w:val="en-CA"/>
        </w:rPr>
      </w:pPr>
      <w:r w:rsidRPr="00CF4E9F">
        <w:rPr>
          <w:kern w:val="24"/>
          <w:sz w:val="22"/>
          <w:lang w:val="en-CA"/>
        </w:rPr>
        <w:t xml:space="preserve">(b)   imposes a burden or denies a benefit in a manner that has the effect of reinforcing, perpetuating, or exacerbating disadvantage </w:t>
      </w:r>
      <w:r w:rsidR="00930160">
        <w:rPr>
          <w:kern w:val="24"/>
          <w:sz w:val="22"/>
          <w:lang w:val="en-CA"/>
        </w:rPr>
        <w:t>[</w:t>
      </w:r>
      <w:r w:rsidRPr="00CF4E9F">
        <w:rPr>
          <w:kern w:val="24"/>
          <w:sz w:val="22"/>
          <w:lang w:val="en-CA"/>
        </w:rPr>
        <w:t>...</w:t>
      </w:r>
      <w:r w:rsidR="00930160">
        <w:rPr>
          <w:kern w:val="24"/>
          <w:sz w:val="22"/>
          <w:lang w:val="en-CA"/>
        </w:rPr>
        <w:t>]</w:t>
      </w:r>
      <w:r w:rsidRPr="00CF4E9F">
        <w:rPr>
          <w:kern w:val="24"/>
          <w:sz w:val="22"/>
          <w:lang w:val="en-CA"/>
        </w:rPr>
        <w:t>.</w:t>
      </w:r>
    </w:p>
    <w:p w14:paraId="1C5D654B" w14:textId="1C993502" w:rsidR="001A3EF8" w:rsidRPr="00CF4E9F" w:rsidRDefault="000B4108" w:rsidP="00EA1914">
      <w:pPr>
        <w:pStyle w:val="Citationenretrait"/>
        <w:jc w:val="right"/>
        <w:rPr>
          <w:lang w:val="en-CA"/>
        </w:rPr>
      </w:pPr>
      <w:r w:rsidRPr="00CF4E9F">
        <w:rPr>
          <w:lang w:val="en-CA"/>
        </w:rPr>
        <w:t>[References omitted]</w:t>
      </w:r>
    </w:p>
    <w:p w14:paraId="4603AF95" w14:textId="0AF53FF1" w:rsidR="001A3EF8" w:rsidRPr="00CF4E9F" w:rsidRDefault="000B4108" w:rsidP="00571F09">
      <w:pPr>
        <w:pStyle w:val="Paragraphe"/>
        <w:spacing w:line="280" w:lineRule="exact"/>
        <w:rPr>
          <w:lang w:val="en-CA"/>
        </w:rPr>
      </w:pPr>
      <w:r w:rsidRPr="00CF4E9F">
        <w:rPr>
          <w:lang w:val="en-CA"/>
        </w:rPr>
        <w:t>The form of discrimination alleged ha</w:t>
      </w:r>
      <w:r w:rsidR="00FB34EE" w:rsidRPr="00CF4E9F">
        <w:rPr>
          <w:lang w:val="en-CA"/>
        </w:rPr>
        <w:t>s</w:t>
      </w:r>
      <w:r w:rsidRPr="00CF4E9F">
        <w:rPr>
          <w:lang w:val="en-CA"/>
        </w:rPr>
        <w:t xml:space="preserve"> no influence on the </w:t>
      </w:r>
      <w:r w:rsidR="001373A5">
        <w:rPr>
          <w:lang w:val="en-CA"/>
        </w:rPr>
        <w:t>analysis</w:t>
      </w:r>
      <w:r w:rsidRPr="00CF4E9F">
        <w:rPr>
          <w:lang w:val="en-CA"/>
        </w:rPr>
        <w:t>: the same test applies, “regardless of whether the discrimination alleged is direct or indirect”.</w:t>
      </w:r>
      <w:r w:rsidRPr="00CF4E9F">
        <w:rPr>
          <w:vertAlign w:val="superscript"/>
          <w:lang w:val="en-CA"/>
        </w:rPr>
        <w:footnoteReference w:id="222"/>
      </w:r>
      <w:r w:rsidR="0043013D" w:rsidRPr="00CF4E9F">
        <w:rPr>
          <w:lang w:val="en-CA"/>
        </w:rPr>
        <w:t xml:space="preserve"> </w:t>
      </w:r>
      <w:r w:rsidRPr="00CF4E9F">
        <w:rPr>
          <w:lang w:val="en-CA"/>
        </w:rPr>
        <w:t xml:space="preserve">The application of this test </w:t>
      </w:r>
      <w:r w:rsidR="00FB34EE" w:rsidRPr="00CF4E9F">
        <w:rPr>
          <w:lang w:val="en-CA"/>
        </w:rPr>
        <w:t>might</w:t>
      </w:r>
      <w:r w:rsidRPr="00CF4E9F">
        <w:rPr>
          <w:lang w:val="en-CA"/>
        </w:rPr>
        <w:t>, however, present particular challenges when adverse impact discrimination is at issue.</w:t>
      </w:r>
      <w:r w:rsidRPr="00CF4E9F">
        <w:rPr>
          <w:vertAlign w:val="superscript"/>
          <w:lang w:val="en-CA"/>
        </w:rPr>
        <w:footnoteReference w:id="223"/>
      </w:r>
      <w:r w:rsidR="0043013D" w:rsidRPr="00CF4E9F">
        <w:rPr>
          <w:lang w:val="en-CA"/>
        </w:rPr>
        <w:t xml:space="preserve"> </w:t>
      </w:r>
      <w:r w:rsidRPr="00CF4E9F">
        <w:rPr>
          <w:szCs w:val="24"/>
          <w:lang w:val="en-CA"/>
        </w:rPr>
        <w:t>To limit the difficulties, the analys</w:t>
      </w:r>
      <w:r w:rsidR="003A26D5">
        <w:rPr>
          <w:szCs w:val="24"/>
          <w:lang w:val="en-CA"/>
        </w:rPr>
        <w:t>i</w:t>
      </w:r>
      <w:r w:rsidRPr="00CF4E9F">
        <w:rPr>
          <w:szCs w:val="24"/>
          <w:lang w:val="en-CA"/>
        </w:rPr>
        <w:t>s at each step must remain distinct.</w:t>
      </w:r>
      <w:r w:rsidRPr="00CF4E9F">
        <w:rPr>
          <w:szCs w:val="24"/>
          <w:vertAlign w:val="superscript"/>
          <w:lang w:val="en-CA"/>
        </w:rPr>
        <w:footnoteReference w:id="224"/>
      </w:r>
    </w:p>
    <w:p w14:paraId="1673CFF5" w14:textId="31B39B7A" w:rsidR="001A3EF8" w:rsidRPr="00CF4E9F" w:rsidRDefault="00583AE9" w:rsidP="00571F09">
      <w:pPr>
        <w:pStyle w:val="Paragraphe"/>
        <w:spacing w:line="280" w:lineRule="exact"/>
        <w:rPr>
          <w:lang w:val="en-CA"/>
        </w:rPr>
      </w:pPr>
      <w:r w:rsidRPr="00CF4E9F">
        <w:rPr>
          <w:lang w:val="en-CA"/>
        </w:rPr>
        <w:t xml:space="preserve">The first step examines whether the </w:t>
      </w:r>
      <w:r w:rsidR="00722D5C">
        <w:rPr>
          <w:lang w:val="en-CA"/>
        </w:rPr>
        <w:t>challenged</w:t>
      </w:r>
      <w:r w:rsidR="00722D5C" w:rsidRPr="00CF4E9F">
        <w:rPr>
          <w:lang w:val="en-CA"/>
        </w:rPr>
        <w:t xml:space="preserve"> </w:t>
      </w:r>
      <w:r w:rsidRPr="00CF4E9F">
        <w:rPr>
          <w:lang w:val="en-CA"/>
        </w:rPr>
        <w:t>law creates a disproportionate impact on the members of a protected group, as compared to non-group members.</w:t>
      </w:r>
      <w:r w:rsidRPr="00CF4E9F">
        <w:rPr>
          <w:vertAlign w:val="superscript"/>
          <w:lang w:val="en-CA"/>
        </w:rPr>
        <w:footnoteReference w:id="225"/>
      </w:r>
      <w:r w:rsidR="0043013D" w:rsidRPr="00CF4E9F">
        <w:rPr>
          <w:lang w:val="en-CA"/>
        </w:rPr>
        <w:t xml:space="preserve"> </w:t>
      </w:r>
    </w:p>
    <w:p w14:paraId="73FDA1E6" w14:textId="5C06757D" w:rsidR="001A3EF8" w:rsidRPr="00CF4E9F" w:rsidRDefault="00583AE9" w:rsidP="00571F09">
      <w:pPr>
        <w:pStyle w:val="Paragraphe"/>
        <w:spacing w:line="280" w:lineRule="exact"/>
        <w:rPr>
          <w:lang w:val="en-CA"/>
        </w:rPr>
      </w:pPr>
      <w:r w:rsidRPr="00CF4E9F">
        <w:rPr>
          <w:lang w:val="en-CA"/>
        </w:rPr>
        <w:t xml:space="preserve">In </w:t>
      </w:r>
      <w:r w:rsidRPr="00CF4E9F">
        <w:rPr>
          <w:i/>
          <w:lang w:val="en-CA"/>
        </w:rPr>
        <w:t>Sharma</w:t>
      </w:r>
      <w:r w:rsidRPr="00CF4E9F">
        <w:rPr>
          <w:lang w:val="en-CA"/>
        </w:rPr>
        <w:t>, the Supreme Court stated that “</w:t>
      </w:r>
      <w:r w:rsidRPr="00CF4E9F">
        <w:rPr>
          <w:rFonts w:cs="Arial"/>
          <w:lang w:val="en-CA"/>
        </w:rPr>
        <w:t>[</w:t>
      </w:r>
      <w:r w:rsidRPr="00CF4E9F">
        <w:rPr>
          <w:lang w:val="en-CA"/>
        </w:rPr>
        <w:t>t</w:t>
      </w:r>
      <w:r w:rsidRPr="00CF4E9F">
        <w:rPr>
          <w:rFonts w:cs="Arial"/>
          <w:lang w:val="en-CA"/>
        </w:rPr>
        <w:t>]</w:t>
      </w:r>
      <w:r w:rsidRPr="00CF4E9F">
        <w:rPr>
          <w:lang w:val="en-CA"/>
        </w:rPr>
        <w:t>he disproportionate impact requirement necessarily introduces comparison into the first step”.</w:t>
      </w:r>
      <w:r w:rsidRPr="00CF4E9F">
        <w:rPr>
          <w:vertAlign w:val="superscript"/>
          <w:lang w:val="en-CA"/>
        </w:rPr>
        <w:footnoteReference w:id="226"/>
      </w:r>
      <w:r w:rsidR="0043013D" w:rsidRPr="00CF4E9F">
        <w:rPr>
          <w:lang w:val="en-CA"/>
        </w:rPr>
        <w:t xml:space="preserve"> </w:t>
      </w:r>
      <w:r w:rsidR="007E4AA6" w:rsidRPr="00CF4E9F">
        <w:rPr>
          <w:lang w:val="en-CA"/>
        </w:rPr>
        <w:t>However, i</w:t>
      </w:r>
      <w:r w:rsidRPr="00CF4E9F">
        <w:rPr>
          <w:lang w:val="en-CA"/>
        </w:rPr>
        <w:t>t no longer requir</w:t>
      </w:r>
      <w:r w:rsidR="007E4AA6" w:rsidRPr="00CF4E9F">
        <w:rPr>
          <w:lang w:val="en-CA"/>
        </w:rPr>
        <w:t>es</w:t>
      </w:r>
      <w:r w:rsidRPr="00CF4E9F">
        <w:rPr>
          <w:lang w:val="en-CA"/>
        </w:rPr>
        <w:t xml:space="preserve"> a “mirror comparator group”.</w:t>
      </w:r>
      <w:r w:rsidRPr="00CF4E9F">
        <w:rPr>
          <w:vertAlign w:val="superscript"/>
          <w:lang w:val="en-CA"/>
        </w:rPr>
        <w:footnoteReference w:id="227"/>
      </w:r>
      <w:r w:rsidR="0043013D" w:rsidRPr="00CF4E9F">
        <w:rPr>
          <w:lang w:val="en-CA"/>
        </w:rPr>
        <w:t xml:space="preserve"> </w:t>
      </w:r>
      <w:r w:rsidRPr="00CF4E9F">
        <w:rPr>
          <w:lang w:val="en-CA"/>
        </w:rPr>
        <w:t>The comparison is drawn “between the claimant group and other groups or the general population”.</w:t>
      </w:r>
      <w:r w:rsidRPr="00CF4E9F">
        <w:rPr>
          <w:vertAlign w:val="superscript"/>
          <w:lang w:val="en-CA"/>
        </w:rPr>
        <w:footnoteReference w:id="228"/>
      </w:r>
      <w:r w:rsidR="0043013D" w:rsidRPr="00CF4E9F">
        <w:rPr>
          <w:lang w:val="en-CA"/>
        </w:rPr>
        <w:t xml:space="preserve"> </w:t>
      </w:r>
      <w:r w:rsidRPr="00CF4E9F">
        <w:rPr>
          <w:lang w:val="en-CA"/>
        </w:rPr>
        <w:t>The comparison must show that “the claimant is treated differently than others, whether directly or indirectly”.</w:t>
      </w:r>
      <w:r w:rsidRPr="00CF4E9F">
        <w:rPr>
          <w:vertAlign w:val="superscript"/>
          <w:lang w:val="en-CA"/>
        </w:rPr>
        <w:footnoteReference w:id="229"/>
      </w:r>
    </w:p>
    <w:p w14:paraId="6438E1B9" w14:textId="5BFD4203" w:rsidR="001A3EF8" w:rsidRPr="00CF4E9F" w:rsidRDefault="00583AE9" w:rsidP="00571F09">
      <w:pPr>
        <w:pStyle w:val="Paragraphe"/>
        <w:spacing w:line="280" w:lineRule="exact"/>
        <w:rPr>
          <w:lang w:val="en-CA"/>
        </w:rPr>
      </w:pPr>
      <w:r w:rsidRPr="00CF4E9F">
        <w:rPr>
          <w:lang w:val="en-CA"/>
        </w:rPr>
        <w:lastRenderedPageBreak/>
        <w:t xml:space="preserve">With adverse impact discrimination, the claimant must establish a </w:t>
      </w:r>
      <w:r w:rsidR="00310DE5">
        <w:rPr>
          <w:lang w:val="en-CA"/>
        </w:rPr>
        <w:t>causal connection</w:t>
      </w:r>
      <w:r w:rsidRPr="00CF4E9F">
        <w:rPr>
          <w:lang w:val="en-CA"/>
        </w:rPr>
        <w:t xml:space="preserve"> between the </w:t>
      </w:r>
      <w:r w:rsidR="00151556">
        <w:rPr>
          <w:lang w:val="en-CA"/>
        </w:rPr>
        <w:t>challenged</w:t>
      </w:r>
      <w:r w:rsidR="00151556" w:rsidRPr="00CF4E9F">
        <w:rPr>
          <w:lang w:val="en-CA"/>
        </w:rPr>
        <w:t xml:space="preserve"> </w:t>
      </w:r>
      <w:r w:rsidRPr="00CF4E9F">
        <w:rPr>
          <w:lang w:val="en-CA"/>
        </w:rPr>
        <w:t>law and the discriminatory impact.</w:t>
      </w:r>
      <w:r w:rsidRPr="00CF4E9F">
        <w:rPr>
          <w:vertAlign w:val="superscript"/>
          <w:lang w:val="en-CA"/>
        </w:rPr>
        <w:footnoteReference w:id="230"/>
      </w:r>
      <w:r w:rsidR="0043013D" w:rsidRPr="00CF4E9F">
        <w:rPr>
          <w:lang w:val="en-CA"/>
        </w:rPr>
        <w:t xml:space="preserve"> </w:t>
      </w:r>
      <w:r w:rsidRPr="00CF4E9F">
        <w:rPr>
          <w:lang w:val="en-CA"/>
        </w:rPr>
        <w:t xml:space="preserve">This </w:t>
      </w:r>
      <w:r w:rsidR="00310DE5">
        <w:rPr>
          <w:lang w:val="en-CA"/>
        </w:rPr>
        <w:t>connection</w:t>
      </w:r>
      <w:r w:rsidR="00310DE5" w:rsidRPr="00CF4E9F">
        <w:rPr>
          <w:lang w:val="en-CA"/>
        </w:rPr>
        <w:t xml:space="preserve"> </w:t>
      </w:r>
      <w:r w:rsidRPr="00CF4E9F">
        <w:rPr>
          <w:lang w:val="en-CA"/>
        </w:rPr>
        <w:t xml:space="preserve">is established if the claimant proves that “the impugned law, in its impact, </w:t>
      </w:r>
      <w:r w:rsidRPr="00CF4E9F">
        <w:rPr>
          <w:i/>
          <w:lang w:val="en-CA"/>
        </w:rPr>
        <w:t>creates or contributes</w:t>
      </w:r>
      <w:r w:rsidRPr="00CF4E9F">
        <w:rPr>
          <w:lang w:val="en-CA"/>
        </w:rPr>
        <w:t xml:space="preserve"> </w:t>
      </w:r>
      <w:r w:rsidRPr="00CF4E9F">
        <w:rPr>
          <w:i/>
          <w:iCs/>
          <w:lang w:val="en-CA"/>
        </w:rPr>
        <w:t>to</w:t>
      </w:r>
      <w:r w:rsidRPr="00CF4E9F">
        <w:rPr>
          <w:lang w:val="en-CA"/>
        </w:rPr>
        <w:t xml:space="preserve"> a disproportionate impact on the basis of a protected ground”.</w:t>
      </w:r>
      <w:r w:rsidRPr="00CF4E9F">
        <w:rPr>
          <w:vertAlign w:val="superscript"/>
          <w:lang w:val="en-CA"/>
        </w:rPr>
        <w:footnoteReference w:id="231"/>
      </w:r>
    </w:p>
    <w:p w14:paraId="75386912" w14:textId="4E6D3CF2" w:rsidR="001A3EF8" w:rsidRPr="00CF4E9F" w:rsidRDefault="00FF51D8" w:rsidP="00571F09">
      <w:pPr>
        <w:pStyle w:val="Paragraphe"/>
        <w:spacing w:line="280" w:lineRule="exact"/>
        <w:rPr>
          <w:lang w:val="en-CA"/>
        </w:rPr>
      </w:pPr>
      <w:r w:rsidRPr="00CF4E9F">
        <w:rPr>
          <w:lang w:val="en-CA"/>
        </w:rPr>
        <w:t xml:space="preserve">Two types of evidence are helpful in proving that </w:t>
      </w:r>
      <w:r w:rsidR="00A23A6C">
        <w:rPr>
          <w:lang w:val="en-CA"/>
        </w:rPr>
        <w:t xml:space="preserve">a </w:t>
      </w:r>
      <w:r w:rsidRPr="00CF4E9F">
        <w:rPr>
          <w:lang w:val="en-CA"/>
        </w:rPr>
        <w:t>law has a disproportionate impact: evidence about the “full context of the claimant group’s situation”</w:t>
      </w:r>
      <w:r w:rsidRPr="00CF4E9F">
        <w:rPr>
          <w:vertAlign w:val="superscript"/>
          <w:lang w:val="en-CA"/>
        </w:rPr>
        <w:footnoteReference w:id="232"/>
      </w:r>
      <w:r w:rsidRPr="00CF4E9F">
        <w:rPr>
          <w:lang w:val="en-CA"/>
        </w:rPr>
        <w:t xml:space="preserve"> and evidence about the outcomes that the </w:t>
      </w:r>
      <w:r w:rsidR="00310DE5">
        <w:rPr>
          <w:lang w:val="en-CA"/>
        </w:rPr>
        <w:t>challenged</w:t>
      </w:r>
      <w:r w:rsidR="00310DE5" w:rsidRPr="00CF4E9F">
        <w:rPr>
          <w:lang w:val="en-CA"/>
        </w:rPr>
        <w:t xml:space="preserve"> </w:t>
      </w:r>
      <w:r w:rsidRPr="00CF4E9F">
        <w:rPr>
          <w:lang w:val="en-CA"/>
        </w:rPr>
        <w:t>law has produced in practice (actual) on the group.</w:t>
      </w:r>
      <w:r w:rsidRPr="00CF4E9F">
        <w:rPr>
          <w:vertAlign w:val="superscript"/>
          <w:lang w:val="en-CA"/>
        </w:rPr>
        <w:footnoteReference w:id="233"/>
      </w:r>
    </w:p>
    <w:p w14:paraId="1023C2D7" w14:textId="40FCD0D2" w:rsidR="001A3EF8" w:rsidRPr="00CF4E9F" w:rsidRDefault="00FF51D8" w:rsidP="00571F09">
      <w:pPr>
        <w:pStyle w:val="Paragraphe"/>
        <w:spacing w:line="280" w:lineRule="exact"/>
        <w:rPr>
          <w:lang w:val="en-CA"/>
        </w:rPr>
      </w:pPr>
      <w:r w:rsidRPr="00CF4E9F">
        <w:rPr>
          <w:lang w:val="en-CA"/>
        </w:rPr>
        <w:t xml:space="preserve">Ideally, claims of adverse impact discrimination should be supported by </w:t>
      </w:r>
      <w:r w:rsidRPr="00CF4E9F">
        <w:rPr>
          <w:iCs/>
          <w:lang w:val="en-CA"/>
        </w:rPr>
        <w:t>both</w:t>
      </w:r>
      <w:r w:rsidRPr="00CF4E9F">
        <w:rPr>
          <w:lang w:val="en-CA"/>
        </w:rPr>
        <w:t>.</w:t>
      </w:r>
      <w:r w:rsidRPr="00CF4E9F">
        <w:rPr>
          <w:vertAlign w:val="superscript"/>
          <w:lang w:val="en-CA"/>
        </w:rPr>
        <w:footnoteReference w:id="234"/>
      </w:r>
      <w:r w:rsidR="0043013D" w:rsidRPr="00CF4E9F">
        <w:rPr>
          <w:lang w:val="en-CA"/>
        </w:rPr>
        <w:t xml:space="preserve"> </w:t>
      </w:r>
      <w:r w:rsidR="000B3EB0" w:rsidRPr="00CF4E9F">
        <w:rPr>
          <w:lang w:val="en-CA"/>
        </w:rPr>
        <w:t xml:space="preserve">In </w:t>
      </w:r>
      <w:r w:rsidR="000B3EB0" w:rsidRPr="00CF4E9F">
        <w:rPr>
          <w:i/>
          <w:lang w:val="en-CA"/>
        </w:rPr>
        <w:t>Sharma</w:t>
      </w:r>
      <w:r w:rsidR="000B3EB0" w:rsidRPr="00CF4E9F">
        <w:rPr>
          <w:lang w:val="en-CA"/>
        </w:rPr>
        <w:t xml:space="preserve">, the Supreme Court set out the factors courts must consider </w:t>
      </w:r>
      <w:r w:rsidR="005E75E6" w:rsidRPr="00CF4E9F">
        <w:rPr>
          <w:lang w:val="en-CA"/>
        </w:rPr>
        <w:t xml:space="preserve">to </w:t>
      </w:r>
      <w:r w:rsidR="000B3EB0" w:rsidRPr="00CF4E9F">
        <w:rPr>
          <w:lang w:val="en-CA"/>
        </w:rPr>
        <w:t>decid</w:t>
      </w:r>
      <w:r w:rsidR="005E75E6" w:rsidRPr="00CF4E9F">
        <w:rPr>
          <w:lang w:val="en-CA"/>
        </w:rPr>
        <w:t>e</w:t>
      </w:r>
      <w:r w:rsidR="000B3EB0" w:rsidRPr="00CF4E9F">
        <w:rPr>
          <w:lang w:val="en-CA"/>
        </w:rPr>
        <w:t xml:space="preserve"> whether claimant</w:t>
      </w:r>
      <w:r w:rsidR="00E55919">
        <w:rPr>
          <w:lang w:val="en-CA"/>
        </w:rPr>
        <w:t>s</w:t>
      </w:r>
      <w:r w:rsidR="000B3EB0" w:rsidRPr="00CF4E9F">
        <w:rPr>
          <w:lang w:val="en-CA"/>
        </w:rPr>
        <w:t xml:space="preserve"> ha</w:t>
      </w:r>
      <w:r w:rsidR="00E55919">
        <w:rPr>
          <w:lang w:val="en-CA"/>
        </w:rPr>
        <w:t>ve</w:t>
      </w:r>
      <w:r w:rsidR="000B3EB0" w:rsidRPr="00CF4E9F">
        <w:rPr>
          <w:lang w:val="en-CA"/>
        </w:rPr>
        <w:t xml:space="preserve"> met their burden of proof:</w:t>
      </w:r>
    </w:p>
    <w:p w14:paraId="46F669C7" w14:textId="744F7DC2" w:rsidR="001A3EF8" w:rsidRPr="00CF4E9F" w:rsidRDefault="0043013D" w:rsidP="00541231">
      <w:pPr>
        <w:pStyle w:val="Citationenretrait"/>
        <w:rPr>
          <w:lang w:val="en-CA"/>
        </w:rPr>
      </w:pPr>
      <w:r w:rsidRPr="00CF4E9F">
        <w:rPr>
          <w:lang w:val="en-CA"/>
        </w:rPr>
        <w:t>[49]</w:t>
      </w:r>
      <w:r w:rsidRPr="00CF4E9F">
        <w:rPr>
          <w:lang w:val="en-CA"/>
        </w:rPr>
        <w:tab/>
      </w:r>
      <w:r w:rsidR="00C6025F">
        <w:rPr>
          <w:lang w:val="en-CA"/>
        </w:rPr>
        <w:t>[</w:t>
      </w:r>
      <w:r w:rsidR="000B3EB0" w:rsidRPr="00CF4E9F">
        <w:rPr>
          <w:lang w:val="en-CA"/>
        </w:rPr>
        <w:t>...</w:t>
      </w:r>
      <w:r w:rsidR="00C6025F">
        <w:rPr>
          <w:lang w:val="en-CA"/>
        </w:rPr>
        <w:t>]</w:t>
      </w:r>
      <w:r w:rsidR="000B3EB0" w:rsidRPr="00CF4E9F">
        <w:rPr>
          <w:lang w:val="en-CA"/>
        </w:rPr>
        <w:t xml:space="preserve"> In that regard, courts should bear in mind the following considerations:</w:t>
      </w:r>
    </w:p>
    <w:p w14:paraId="7644CF8E" w14:textId="6E597A8F" w:rsidR="001A3EF8" w:rsidRPr="00CF4E9F" w:rsidRDefault="000B4108" w:rsidP="003E28E2">
      <w:pPr>
        <w:pStyle w:val="Citationenretrait"/>
        <w:rPr>
          <w:lang w:val="en-CA"/>
        </w:rPr>
      </w:pPr>
      <w:r w:rsidRPr="00CF4E9F">
        <w:rPr>
          <w:lang w:val="en-CA"/>
        </w:rPr>
        <w:t>(a)</w:t>
      </w:r>
      <w:r w:rsidR="003E28E2" w:rsidRPr="00CF4E9F">
        <w:rPr>
          <w:sz w:val="10"/>
          <w:szCs w:val="10"/>
          <w:lang w:val="en-CA"/>
        </w:rPr>
        <w:tab/>
      </w:r>
      <w:r w:rsidR="000B3EB0" w:rsidRPr="00CF4E9F">
        <w:rPr>
          <w:lang w:val="en-CA"/>
        </w:rPr>
        <w:t>No specific form of evidence is required.</w:t>
      </w:r>
    </w:p>
    <w:p w14:paraId="48DB79BD" w14:textId="3EFF13DD" w:rsidR="001A3EF8" w:rsidRPr="00CF4E9F" w:rsidRDefault="000B3EB0" w:rsidP="003E28E2">
      <w:pPr>
        <w:pStyle w:val="Citationenretrait"/>
        <w:ind w:left="1440" w:hanging="720"/>
        <w:rPr>
          <w:lang w:val="en-CA"/>
        </w:rPr>
      </w:pPr>
      <w:r w:rsidRPr="00CF4E9F">
        <w:rPr>
          <w:lang w:val="en-CA"/>
        </w:rPr>
        <w:t>(b)</w:t>
      </w:r>
      <w:r w:rsidR="0043013D" w:rsidRPr="00CF4E9F">
        <w:rPr>
          <w:sz w:val="10"/>
          <w:szCs w:val="10"/>
          <w:lang w:val="en-CA"/>
        </w:rPr>
        <w:tab/>
      </w:r>
      <w:r w:rsidRPr="00CF4E9F">
        <w:rPr>
          <w:lang w:val="en-CA"/>
        </w:rPr>
        <w:t xml:space="preserve">The claimant need not show the impugned law or state action was the </w:t>
      </w:r>
      <w:r w:rsidRPr="00CF4E9F">
        <w:rPr>
          <w:i/>
          <w:lang w:val="en-CA"/>
        </w:rPr>
        <w:t>only</w:t>
      </w:r>
      <w:r w:rsidRPr="00CF4E9F">
        <w:rPr>
          <w:lang w:val="en-CA"/>
        </w:rPr>
        <w:t xml:space="preserve"> or the </w:t>
      </w:r>
      <w:r w:rsidRPr="00CF4E9F">
        <w:rPr>
          <w:i/>
          <w:lang w:val="en-CA"/>
        </w:rPr>
        <w:t>dominant</w:t>
      </w:r>
      <w:r w:rsidRPr="00CF4E9F">
        <w:rPr>
          <w:lang w:val="en-CA"/>
        </w:rPr>
        <w:t xml:space="preserve"> cause of the disproportionate impact </w:t>
      </w:r>
      <w:r w:rsidR="00B83B1A">
        <w:rPr>
          <w:rFonts w:ascii="Tahoma" w:hAnsi="Tahoma" w:cs="Tahoma"/>
          <w:lang w:val="en-CA"/>
        </w:rPr>
        <w:t>—</w:t>
      </w:r>
      <w:r w:rsidR="00B83B1A" w:rsidRPr="00CF4E9F">
        <w:rPr>
          <w:lang w:val="en-CA"/>
        </w:rPr>
        <w:t xml:space="preserve"> </w:t>
      </w:r>
      <w:r w:rsidRPr="00CF4E9F">
        <w:rPr>
          <w:lang w:val="en-CA"/>
        </w:rPr>
        <w:t xml:space="preserve">they need only demonstrate that the law was </w:t>
      </w:r>
      <w:r w:rsidRPr="00CF4E9F">
        <w:rPr>
          <w:i/>
          <w:lang w:val="en-CA"/>
        </w:rPr>
        <w:t>a</w:t>
      </w:r>
      <w:r w:rsidRPr="00CF4E9F">
        <w:rPr>
          <w:lang w:val="en-CA"/>
        </w:rPr>
        <w:t xml:space="preserve"> cause (that is, the law </w:t>
      </w:r>
      <w:r w:rsidRPr="00CF4E9F">
        <w:rPr>
          <w:iCs/>
          <w:lang w:val="en-CA"/>
        </w:rPr>
        <w:t>created</w:t>
      </w:r>
      <w:r w:rsidRPr="00CF4E9F">
        <w:rPr>
          <w:i/>
          <w:lang w:val="en-CA"/>
        </w:rPr>
        <w:t xml:space="preserve"> or contributed to</w:t>
      </w:r>
      <w:r w:rsidRPr="00CF4E9F">
        <w:rPr>
          <w:lang w:val="en-CA"/>
        </w:rPr>
        <w:t xml:space="preserve"> the disproportionate impact on a protected group).</w:t>
      </w:r>
    </w:p>
    <w:p w14:paraId="26DA2AF1" w14:textId="5D97E097" w:rsidR="001A3EF8" w:rsidRPr="00CF4E9F" w:rsidRDefault="000B3EB0" w:rsidP="003779DA">
      <w:pPr>
        <w:pStyle w:val="Citationenretrait"/>
        <w:ind w:left="1440" w:hanging="720"/>
        <w:rPr>
          <w:lang w:val="en-CA"/>
        </w:rPr>
      </w:pPr>
      <w:r w:rsidRPr="00CF4E9F">
        <w:rPr>
          <w:lang w:val="en-CA"/>
        </w:rPr>
        <w:t>(c)</w:t>
      </w:r>
      <w:r w:rsidR="0043013D" w:rsidRPr="00CF4E9F">
        <w:rPr>
          <w:sz w:val="10"/>
          <w:szCs w:val="10"/>
          <w:lang w:val="en-CA"/>
        </w:rPr>
        <w:tab/>
      </w:r>
      <w:r w:rsidRPr="00CF4E9F">
        <w:rPr>
          <w:lang w:val="en-CA"/>
        </w:rPr>
        <w:t>The causal connection may be satisfied by a reasonable inference.</w:t>
      </w:r>
      <w:r w:rsidR="0043013D" w:rsidRPr="00CF4E9F">
        <w:rPr>
          <w:lang w:val="en-CA"/>
        </w:rPr>
        <w:t xml:space="preserve"> </w:t>
      </w:r>
      <w:r w:rsidRPr="00CF4E9F">
        <w:rPr>
          <w:lang w:val="en-CA"/>
        </w:rPr>
        <w:t>Depending on the impugned law or state action at issue, causation may be obvious and require no evidence.</w:t>
      </w:r>
      <w:r w:rsidR="0043013D" w:rsidRPr="00CF4E9F">
        <w:rPr>
          <w:lang w:val="en-CA"/>
        </w:rPr>
        <w:t xml:space="preserve"> </w:t>
      </w:r>
      <w:r w:rsidRPr="00CF4E9F">
        <w:rPr>
          <w:lang w:val="en-CA"/>
        </w:rPr>
        <w:t>Where evidence is required, courts should remain mindful that statistics may not be available.</w:t>
      </w:r>
      <w:r w:rsidR="0043013D" w:rsidRPr="00CF4E9F">
        <w:rPr>
          <w:lang w:val="en-CA"/>
        </w:rPr>
        <w:t xml:space="preserve"> </w:t>
      </w:r>
      <w:r w:rsidRPr="00CF4E9F">
        <w:rPr>
          <w:lang w:val="en-CA"/>
        </w:rPr>
        <w:t>Expert testimony, case studies, or other qualitative evidence may be sufficient.</w:t>
      </w:r>
      <w:r w:rsidR="0043013D" w:rsidRPr="00CF4E9F">
        <w:rPr>
          <w:lang w:val="en-CA"/>
        </w:rPr>
        <w:t xml:space="preserve"> </w:t>
      </w:r>
      <w:r w:rsidRPr="00CF4E9F">
        <w:rPr>
          <w:lang w:val="en-CA"/>
        </w:rPr>
        <w:t>In all circumstances, courts should examine evidence that purports to demonstrate a causal connection to ensure that it conforms with standards associated to its discipline.</w:t>
      </w:r>
    </w:p>
    <w:p w14:paraId="1AAE2CE1" w14:textId="1BA17EED" w:rsidR="001A3EF8" w:rsidRPr="00CF4E9F" w:rsidRDefault="000B3EB0" w:rsidP="003779DA">
      <w:pPr>
        <w:pStyle w:val="Citationenretrait"/>
        <w:ind w:left="1440" w:hanging="720"/>
        <w:rPr>
          <w:lang w:val="en-CA"/>
        </w:rPr>
      </w:pPr>
      <w:r w:rsidRPr="00CF4E9F">
        <w:rPr>
          <w:lang w:val="en-CA"/>
        </w:rPr>
        <w:t>(d)</w:t>
      </w:r>
      <w:r w:rsidR="0043013D" w:rsidRPr="00CF4E9F">
        <w:rPr>
          <w:sz w:val="10"/>
          <w:szCs w:val="10"/>
          <w:lang w:val="en-CA"/>
        </w:rPr>
        <w:tab/>
      </w:r>
      <w:r w:rsidRPr="00CF4E9F">
        <w:rPr>
          <w:lang w:val="en-CA"/>
        </w:rPr>
        <w:t xml:space="preserve">Courts should carefully scrutinize scientific evidence </w:t>
      </w:r>
      <w:r w:rsidR="003F0F3E">
        <w:rPr>
          <w:lang w:val="en-CA"/>
        </w:rPr>
        <w:t>[</w:t>
      </w:r>
      <w:r w:rsidRPr="00CF4E9F">
        <w:rPr>
          <w:lang w:val="en-CA"/>
        </w:rPr>
        <w:t>...</w:t>
      </w:r>
      <w:r w:rsidR="003F0F3E">
        <w:rPr>
          <w:lang w:val="en-CA"/>
        </w:rPr>
        <w:t>]</w:t>
      </w:r>
      <w:r w:rsidR="00F800C4">
        <w:rPr>
          <w:lang w:val="en-CA"/>
        </w:rPr>
        <w:t>.</w:t>
      </w:r>
    </w:p>
    <w:p w14:paraId="26FC7899" w14:textId="28130D39" w:rsidR="001A3EF8" w:rsidRPr="00CF4E9F" w:rsidRDefault="000B3EB0" w:rsidP="003779DA">
      <w:pPr>
        <w:pStyle w:val="Citationenretrait"/>
        <w:ind w:left="1440" w:hanging="720"/>
        <w:rPr>
          <w:lang w:val="en-CA"/>
        </w:rPr>
      </w:pPr>
      <w:r w:rsidRPr="00CF4E9F">
        <w:rPr>
          <w:lang w:val="en-CA"/>
        </w:rPr>
        <w:lastRenderedPageBreak/>
        <w:t>(e)</w:t>
      </w:r>
      <w:r w:rsidR="0043013D" w:rsidRPr="00CF4E9F">
        <w:rPr>
          <w:sz w:val="10"/>
          <w:szCs w:val="10"/>
          <w:lang w:val="en-CA"/>
        </w:rPr>
        <w:tab/>
      </w:r>
      <w:r w:rsidRPr="00CF4E9F">
        <w:rPr>
          <w:lang w:val="en-CA"/>
        </w:rPr>
        <w:t xml:space="preserve">If the scientific evidence is novel, courts should admit it only if it has a “reliable foundation” </w:t>
      </w:r>
      <w:r w:rsidR="00C07816">
        <w:rPr>
          <w:lang w:val="en-CA"/>
        </w:rPr>
        <w:t>[</w:t>
      </w:r>
      <w:r w:rsidR="00C07816" w:rsidRPr="00CF4E9F">
        <w:rPr>
          <w:lang w:val="en-CA"/>
        </w:rPr>
        <w:t>...</w:t>
      </w:r>
      <w:r w:rsidR="00C07816">
        <w:rPr>
          <w:lang w:val="en-CA"/>
        </w:rPr>
        <w:t>]</w:t>
      </w:r>
      <w:r w:rsidRPr="00CF4E9F">
        <w:rPr>
          <w:lang w:val="en-CA"/>
        </w:rPr>
        <w:t>.</w:t>
      </w:r>
    </w:p>
    <w:p w14:paraId="76E8D5AB" w14:textId="7408447E" w:rsidR="00E740B3" w:rsidRPr="00CF4E9F" w:rsidRDefault="00E27CEF" w:rsidP="00E740B3">
      <w:pPr>
        <w:pStyle w:val="Citationenretrait"/>
        <w:ind w:left="1440" w:hanging="720"/>
        <w:jc w:val="right"/>
        <w:rPr>
          <w:lang w:val="en-CA"/>
        </w:rPr>
      </w:pPr>
      <w:r w:rsidRPr="00CF4E9F">
        <w:rPr>
          <w:lang w:val="en-CA"/>
        </w:rPr>
        <w:t>[</w:t>
      </w:r>
      <w:r w:rsidR="00400183">
        <w:rPr>
          <w:lang w:val="en-CA"/>
        </w:rPr>
        <w:t xml:space="preserve">Italics </w:t>
      </w:r>
      <w:r w:rsidRPr="00CF4E9F">
        <w:rPr>
          <w:lang w:val="en-CA"/>
        </w:rPr>
        <w:t>in the original]</w:t>
      </w:r>
    </w:p>
    <w:p w14:paraId="3EAB5CA6" w14:textId="2238A45D" w:rsidR="001A3EF8" w:rsidRPr="00CF4E9F" w:rsidRDefault="00E94EE3" w:rsidP="00571F09">
      <w:pPr>
        <w:pStyle w:val="Paragraphe"/>
        <w:spacing w:line="280" w:lineRule="exact"/>
        <w:rPr>
          <w:lang w:val="en-CA"/>
        </w:rPr>
      </w:pPr>
      <w:r w:rsidRPr="00CF4E9F">
        <w:rPr>
          <w:lang w:val="en-CA"/>
        </w:rPr>
        <w:t xml:space="preserve">In short, at the first step, the claimant must show that the </w:t>
      </w:r>
      <w:r w:rsidR="00FE52AB">
        <w:rPr>
          <w:lang w:val="en-CA"/>
        </w:rPr>
        <w:t>challenged</w:t>
      </w:r>
      <w:r w:rsidR="00FE52AB" w:rsidRPr="00CF4E9F">
        <w:rPr>
          <w:lang w:val="en-CA"/>
        </w:rPr>
        <w:t xml:space="preserve"> </w:t>
      </w:r>
      <w:r w:rsidRPr="00CF4E9F">
        <w:rPr>
          <w:lang w:val="en-CA"/>
        </w:rPr>
        <w:t>provision creates or contributes to a disproportionate impact on the claimant group based on a protected ground as compared to other groups.</w:t>
      </w:r>
      <w:r w:rsidRPr="00CF4E9F">
        <w:rPr>
          <w:vertAlign w:val="superscript"/>
          <w:lang w:val="en-CA"/>
        </w:rPr>
        <w:footnoteReference w:id="235"/>
      </w:r>
      <w:r w:rsidR="0043013D" w:rsidRPr="00CF4E9F">
        <w:rPr>
          <w:lang w:val="en-CA"/>
        </w:rPr>
        <w:t xml:space="preserve"> </w:t>
      </w:r>
      <w:r w:rsidRPr="00CF4E9F">
        <w:rPr>
          <w:lang w:val="en-CA"/>
        </w:rPr>
        <w:t>Although this burden is not undue, it must be fulfilled.</w:t>
      </w:r>
      <w:r w:rsidRPr="00CF4E9F">
        <w:rPr>
          <w:vertAlign w:val="superscript"/>
          <w:lang w:val="en-CA"/>
        </w:rPr>
        <w:footnoteReference w:id="236"/>
      </w:r>
    </w:p>
    <w:p w14:paraId="4F0E28B1" w14:textId="347FB64A" w:rsidR="001A3EF8" w:rsidRPr="00CF4E9F" w:rsidRDefault="00E94EE3" w:rsidP="00571F09">
      <w:pPr>
        <w:pStyle w:val="Paragraphe"/>
        <w:spacing w:line="280" w:lineRule="exact"/>
        <w:rPr>
          <w:lang w:val="en-CA"/>
        </w:rPr>
      </w:pPr>
      <w:r w:rsidRPr="00CF4E9F">
        <w:rPr>
          <w:lang w:val="en-CA"/>
        </w:rPr>
        <w:t xml:space="preserve">The second step </w:t>
      </w:r>
      <w:r w:rsidR="00F6717A" w:rsidRPr="00CF4E9F">
        <w:rPr>
          <w:lang w:val="en-CA"/>
        </w:rPr>
        <w:t>of</w:t>
      </w:r>
      <w:r w:rsidRPr="00CF4E9F">
        <w:rPr>
          <w:lang w:val="en-CA"/>
        </w:rPr>
        <w:t xml:space="preserve"> the analysis requires the claimant to prove that “the impugned law imposes burdens or denies benefits in a manner that has the effect of reinforcing, perpetuating, or exacerbating the group’s disadvantage”.</w:t>
      </w:r>
      <w:r w:rsidRPr="00CF4E9F">
        <w:rPr>
          <w:vertAlign w:val="superscript"/>
          <w:lang w:val="en-CA"/>
        </w:rPr>
        <w:footnoteReference w:id="237"/>
      </w:r>
      <w:r w:rsidR="0043013D" w:rsidRPr="00CF4E9F">
        <w:rPr>
          <w:lang w:val="en-CA"/>
        </w:rPr>
        <w:t xml:space="preserve"> </w:t>
      </w:r>
      <w:r w:rsidRPr="00CF4E9F">
        <w:rPr>
          <w:lang w:val="en-CA"/>
        </w:rPr>
        <w:t>Leaving the situation of a claimant group unaffected is insufficient.</w:t>
      </w:r>
      <w:r w:rsidRPr="00CF4E9F">
        <w:rPr>
          <w:vertAlign w:val="superscript"/>
          <w:lang w:val="en-CA"/>
        </w:rPr>
        <w:footnoteReference w:id="238"/>
      </w:r>
      <w:r w:rsidR="0043013D" w:rsidRPr="00CF4E9F">
        <w:rPr>
          <w:lang w:val="en-CA"/>
        </w:rPr>
        <w:t xml:space="preserve"> </w:t>
      </w:r>
      <w:r w:rsidRPr="00CF4E9F">
        <w:rPr>
          <w:lang w:val="en-CA"/>
        </w:rPr>
        <w:t>The goal at this step “is to examine the impact of the harm caused to the affected group”.</w:t>
      </w:r>
      <w:r w:rsidRPr="00CF4E9F">
        <w:rPr>
          <w:vertAlign w:val="superscript"/>
          <w:lang w:val="en-CA"/>
        </w:rPr>
        <w:footnoteReference w:id="239"/>
      </w:r>
    </w:p>
    <w:p w14:paraId="6D3BE6B7" w14:textId="14809DD8" w:rsidR="001A3EF8" w:rsidRPr="00CF4E9F" w:rsidRDefault="00E94EE3" w:rsidP="00512142">
      <w:pPr>
        <w:pStyle w:val="Paragraphe"/>
        <w:spacing w:line="280" w:lineRule="exact"/>
        <w:rPr>
          <w:lang w:val="en-CA"/>
        </w:rPr>
      </w:pPr>
      <w:r w:rsidRPr="00CF4E9F">
        <w:rPr>
          <w:lang w:val="en-CA"/>
        </w:rPr>
        <w:t xml:space="preserve">The focus is therefore “not on </w:t>
      </w:r>
      <w:r w:rsidR="009B25C9">
        <w:rPr>
          <w:lang w:val="en-CA"/>
        </w:rPr>
        <w:t>‘</w:t>
      </w:r>
      <w:r w:rsidRPr="00CF4E9F">
        <w:rPr>
          <w:lang w:val="en-CA"/>
        </w:rPr>
        <w:t>whether a discriminatory attitude exists</w:t>
      </w:r>
      <w:r w:rsidR="009B25C9">
        <w:rPr>
          <w:lang w:val="en-CA"/>
        </w:rPr>
        <w:t>’</w:t>
      </w:r>
      <w:r w:rsidRPr="00CF4E9F">
        <w:rPr>
          <w:lang w:val="en-CA"/>
        </w:rPr>
        <w:t xml:space="preserve">, or on whether a distinction </w:t>
      </w:r>
      <w:r w:rsidR="009B25C9">
        <w:rPr>
          <w:lang w:val="en-CA"/>
        </w:rPr>
        <w:t>‘</w:t>
      </w:r>
      <w:r w:rsidRPr="00CF4E9F">
        <w:rPr>
          <w:lang w:val="en-CA"/>
        </w:rPr>
        <w:t>perpetuates negative attitudes</w:t>
      </w:r>
      <w:r w:rsidR="009B25C9">
        <w:rPr>
          <w:lang w:val="en-CA"/>
        </w:rPr>
        <w:t>’</w:t>
      </w:r>
      <w:r w:rsidRPr="00CF4E9F">
        <w:rPr>
          <w:lang w:val="en-CA"/>
        </w:rPr>
        <w:t xml:space="preserve"> about a disadvantaged group, but rather on the discriminatory </w:t>
      </w:r>
      <w:r w:rsidRPr="00CF4E9F">
        <w:rPr>
          <w:i/>
          <w:lang w:val="en-CA"/>
        </w:rPr>
        <w:t>impact</w:t>
      </w:r>
      <w:r w:rsidRPr="00CF4E9F">
        <w:rPr>
          <w:lang w:val="en-CA"/>
        </w:rPr>
        <w:t xml:space="preserve"> of the distinction”.</w:t>
      </w:r>
      <w:r w:rsidRPr="00CF4E9F">
        <w:rPr>
          <w:vertAlign w:val="superscript"/>
          <w:lang w:val="en-CA"/>
        </w:rPr>
        <w:footnoteReference w:id="240"/>
      </w:r>
      <w:r w:rsidR="0043013D" w:rsidRPr="00CF4E9F">
        <w:rPr>
          <w:lang w:val="en-CA"/>
        </w:rPr>
        <w:t xml:space="preserve"> </w:t>
      </w:r>
      <w:r w:rsidR="005A4E85" w:rsidRPr="00CF4E9F">
        <w:rPr>
          <w:lang w:val="en-CA"/>
        </w:rPr>
        <w:t>As Abella</w:t>
      </w:r>
      <w:r w:rsidR="00BA349F" w:rsidRPr="00CF4E9F">
        <w:rPr>
          <w:lang w:val="en-CA"/>
        </w:rPr>
        <w:t>,</w:t>
      </w:r>
      <w:r w:rsidR="005A4E85" w:rsidRPr="00CF4E9F">
        <w:rPr>
          <w:lang w:val="en-CA"/>
        </w:rPr>
        <w:t xml:space="preserve"> J. explained in </w:t>
      </w:r>
      <w:r w:rsidR="005A4E85" w:rsidRPr="00CF4E9F">
        <w:rPr>
          <w:i/>
          <w:lang w:val="en-CA"/>
        </w:rPr>
        <w:t>Quebec (Attorney General) v. A.</w:t>
      </w:r>
      <w:r w:rsidR="005A4E85" w:rsidRPr="00CF4E9F">
        <w:rPr>
          <w:lang w:val="en-CA"/>
        </w:rPr>
        <w:t>:</w:t>
      </w:r>
      <w:r w:rsidR="0043013D" w:rsidRPr="00CF4E9F">
        <w:rPr>
          <w:lang w:val="en-CA"/>
        </w:rPr>
        <w:t xml:space="preserve"> </w:t>
      </w:r>
    </w:p>
    <w:p w14:paraId="2E0EE135" w14:textId="64A4E393" w:rsidR="001A3EF8" w:rsidRPr="00CF4E9F" w:rsidRDefault="0043013D" w:rsidP="00541231">
      <w:pPr>
        <w:pStyle w:val="Citationenretrait"/>
        <w:rPr>
          <w:lang w:val="en-CA"/>
        </w:rPr>
      </w:pPr>
      <w:r w:rsidRPr="00CF4E9F">
        <w:rPr>
          <w:lang w:val="en-CA"/>
        </w:rPr>
        <w:t>[332]</w:t>
      </w:r>
      <w:r w:rsidRPr="00CF4E9F">
        <w:rPr>
          <w:lang w:val="en-CA"/>
        </w:rPr>
        <w:tab/>
      </w:r>
      <w:r w:rsidR="005A4E85" w:rsidRPr="00CF4E9F">
        <w:rPr>
          <w:lang w:val="en-CA"/>
        </w:rPr>
        <w:t>The root of s.</w:t>
      </w:r>
      <w:r w:rsidRPr="00CF4E9F">
        <w:rPr>
          <w:lang w:val="en-CA"/>
        </w:rPr>
        <w:t xml:space="preserve"> </w:t>
      </w:r>
      <w:r w:rsidR="005A4E85" w:rsidRPr="00CF4E9F">
        <w:rPr>
          <w:lang w:val="en-CA"/>
        </w:rPr>
        <w:t>15 is our awareness that certain groups have been historically discriminated against, and that the perpetuation of such discrimination should be curtailed.</w:t>
      </w:r>
      <w:r w:rsidRPr="00CF4E9F">
        <w:rPr>
          <w:lang w:val="en-CA"/>
        </w:rPr>
        <w:t xml:space="preserve"> </w:t>
      </w:r>
      <w:r w:rsidR="005A4E85" w:rsidRPr="00CF4E9F">
        <w:rPr>
          <w:lang w:val="en-CA"/>
        </w:rPr>
        <w:t>If the state conduct widens the gap between the historically disadvantaged group and the rest of society rather than narrowing it, then it is discriminatory.</w:t>
      </w:r>
      <w:r w:rsidR="007A0D2F">
        <w:rPr>
          <w:lang w:val="en-CA"/>
        </w:rPr>
        <w:t xml:space="preserve"> […]</w:t>
      </w:r>
      <w:r w:rsidRPr="00CF4E9F">
        <w:rPr>
          <w:vertAlign w:val="superscript"/>
          <w:lang w:val="en-CA"/>
        </w:rPr>
        <w:footnoteReference w:id="241"/>
      </w:r>
    </w:p>
    <w:p w14:paraId="0BE2894C" w14:textId="012B82E2" w:rsidR="001A3EF8" w:rsidRPr="00CF4E9F" w:rsidRDefault="005A4E85" w:rsidP="00512142">
      <w:pPr>
        <w:pStyle w:val="Paragraphe"/>
        <w:spacing w:line="280" w:lineRule="exact"/>
        <w:rPr>
          <w:lang w:val="en-CA"/>
        </w:rPr>
      </w:pPr>
      <w:r w:rsidRPr="009D454C">
        <w:rPr>
          <w:lang w:val="en-CA"/>
        </w:rPr>
        <w:t>Harm “may include economic</w:t>
      </w:r>
      <w:r w:rsidRPr="00CF4E9F">
        <w:rPr>
          <w:lang w:val="en-CA"/>
        </w:rPr>
        <w:t xml:space="preserve"> exclusion or disadvantage, social exclusion, psychological harms, physical harms or political exclusion”.</w:t>
      </w:r>
      <w:r w:rsidRPr="00CF4E9F">
        <w:rPr>
          <w:vertAlign w:val="superscript"/>
          <w:lang w:val="en-CA"/>
        </w:rPr>
        <w:footnoteReference w:id="242"/>
      </w:r>
      <w:r w:rsidR="0043013D" w:rsidRPr="00CF4E9F">
        <w:rPr>
          <w:lang w:val="en-CA"/>
        </w:rPr>
        <w:t xml:space="preserve"> </w:t>
      </w:r>
      <w:r w:rsidR="00166D5B">
        <w:rPr>
          <w:lang w:val="en-CA"/>
        </w:rPr>
        <w:t>Moreover, i</w:t>
      </w:r>
      <w:r w:rsidRPr="00CF4E9F">
        <w:rPr>
          <w:lang w:val="en-CA"/>
        </w:rPr>
        <w:t xml:space="preserve">t must be </w:t>
      </w:r>
      <w:r w:rsidRPr="00CF4E9F">
        <w:rPr>
          <w:lang w:val="en-CA"/>
        </w:rPr>
        <w:lastRenderedPageBreak/>
        <w:t>examined in light of the historical or systemic disadvantages faced by the protected group.</w:t>
      </w:r>
      <w:r w:rsidRPr="00CF4E9F">
        <w:rPr>
          <w:vertAlign w:val="superscript"/>
          <w:lang w:val="en-CA"/>
        </w:rPr>
        <w:footnoteReference w:id="243"/>
      </w:r>
      <w:r w:rsidR="0043013D" w:rsidRPr="00CF4E9F">
        <w:rPr>
          <w:lang w:val="en-CA"/>
        </w:rPr>
        <w:t xml:space="preserve"> </w:t>
      </w:r>
    </w:p>
    <w:p w14:paraId="0CB9D053" w14:textId="4DBAFD8E" w:rsidR="001A3EF8" w:rsidRPr="00CF4E9F" w:rsidRDefault="005A4E85" w:rsidP="00512142">
      <w:pPr>
        <w:pStyle w:val="Paragraphe"/>
        <w:spacing w:line="280" w:lineRule="exact"/>
        <w:rPr>
          <w:lang w:val="en-CA"/>
        </w:rPr>
      </w:pPr>
      <w:r w:rsidRPr="00CF4E9F">
        <w:rPr>
          <w:lang w:val="en-CA"/>
        </w:rPr>
        <w:t xml:space="preserve">The law must negatively impact the members of the group or </w:t>
      </w:r>
      <w:r w:rsidR="00AD7061" w:rsidRPr="00CF4E9F">
        <w:rPr>
          <w:lang w:val="en-CA"/>
        </w:rPr>
        <w:t xml:space="preserve">worsen </w:t>
      </w:r>
      <w:r w:rsidRPr="00CF4E9F">
        <w:rPr>
          <w:lang w:val="en-CA"/>
        </w:rPr>
        <w:t xml:space="preserve">their </w:t>
      </w:r>
      <w:r w:rsidR="00AD7061" w:rsidRPr="00CF4E9F">
        <w:rPr>
          <w:lang w:val="en-CA"/>
        </w:rPr>
        <w:t>situation</w:t>
      </w:r>
      <w:r w:rsidRPr="00CF4E9F">
        <w:rPr>
          <w:lang w:val="en-CA"/>
        </w:rPr>
        <w:t>:</w:t>
      </w:r>
    </w:p>
    <w:p w14:paraId="4F79BDF8" w14:textId="5D3B9548" w:rsidR="001A3EF8" w:rsidRPr="00CF4E9F" w:rsidRDefault="0043013D" w:rsidP="00541231">
      <w:pPr>
        <w:pStyle w:val="Citationenretrait"/>
        <w:rPr>
          <w:lang w:val="en-CA"/>
        </w:rPr>
      </w:pPr>
      <w:r w:rsidRPr="00CF4E9F">
        <w:rPr>
          <w:lang w:val="en-CA"/>
        </w:rPr>
        <w:t>[</w:t>
      </w:r>
      <w:bookmarkStart w:id="111" w:name="par37"/>
      <w:r w:rsidRPr="00CF4E9F">
        <w:rPr>
          <w:lang w:val="en-CA"/>
        </w:rPr>
        <w:t>37</w:t>
      </w:r>
      <w:bookmarkEnd w:id="111"/>
      <w:r w:rsidRPr="00CF4E9F">
        <w:rPr>
          <w:lang w:val="en-CA"/>
        </w:rPr>
        <w:t>]</w:t>
      </w:r>
      <w:r w:rsidRPr="00CF4E9F">
        <w:rPr>
          <w:lang w:val="en-CA"/>
        </w:rPr>
        <w:tab/>
      </w:r>
      <w:r w:rsidR="005A4E85" w:rsidRPr="00CF4E9F">
        <w:rPr>
          <w:lang w:val="en-CA"/>
        </w:rPr>
        <w:t>Whether the s. 15 analysis focusses on perpetuating disadvantage or stereotyping,</w:t>
      </w:r>
      <w:r w:rsidRPr="00CF4E9F">
        <w:rPr>
          <w:color w:val="000000"/>
          <w:szCs w:val="18"/>
          <w:lang w:val="en-CA"/>
        </w:rPr>
        <w:t xml:space="preserve"> </w:t>
      </w:r>
      <w:r w:rsidR="005A4E85" w:rsidRPr="00CF4E9F">
        <w:rPr>
          <w:color w:val="000000"/>
          <w:szCs w:val="18"/>
          <w:lang w:val="en-CA"/>
        </w:rPr>
        <w:t>the analysis involves looking at the circumstances of members of the group and the negative impact of the law on them.</w:t>
      </w:r>
      <w:r w:rsidRPr="00CF4E9F">
        <w:rPr>
          <w:lang w:val="en-CA"/>
        </w:rPr>
        <w:t xml:space="preserve"> </w:t>
      </w:r>
      <w:r w:rsidR="005A4E85" w:rsidRPr="00CF4E9F">
        <w:rPr>
          <w:lang w:val="en-CA"/>
        </w:rPr>
        <w:t>The analysis is contextual, not formalistic, grounded in the actual situation of the group and the potential of the impugned law to worsen their situation.</w:t>
      </w:r>
      <w:r w:rsidRPr="00CF4E9F">
        <w:rPr>
          <w:szCs w:val="18"/>
          <w:vertAlign w:val="superscript"/>
          <w:lang w:val="en-CA"/>
        </w:rPr>
        <w:footnoteReference w:id="244"/>
      </w:r>
    </w:p>
    <w:p w14:paraId="0C79A751" w14:textId="6F8AB3B8" w:rsidR="001A3EF8" w:rsidRPr="00CF4E9F" w:rsidRDefault="002217C7" w:rsidP="00512142">
      <w:pPr>
        <w:pStyle w:val="Paragraphe"/>
        <w:spacing w:line="280" w:lineRule="exact"/>
        <w:rPr>
          <w:lang w:val="en-CA"/>
        </w:rPr>
      </w:pPr>
      <w:r w:rsidRPr="00CF4E9F">
        <w:rPr>
          <w:lang w:val="en-CA"/>
        </w:rPr>
        <w:t xml:space="preserve">The law </w:t>
      </w:r>
      <w:r w:rsidR="00AB56E8" w:rsidRPr="00CF4E9F">
        <w:rPr>
          <w:lang w:val="en-CA"/>
        </w:rPr>
        <w:t>itself</w:t>
      </w:r>
      <w:r w:rsidR="00AD1431">
        <w:rPr>
          <w:lang w:val="en-CA"/>
        </w:rPr>
        <w:t>, however,</w:t>
      </w:r>
      <w:r w:rsidR="00AB56E8" w:rsidRPr="00CF4E9F">
        <w:rPr>
          <w:lang w:val="en-CA"/>
        </w:rPr>
        <w:t xml:space="preserve"> </w:t>
      </w:r>
      <w:r w:rsidRPr="00CF4E9F">
        <w:rPr>
          <w:lang w:val="en-CA"/>
        </w:rPr>
        <w:t xml:space="preserve">does not have to be responsible “for creating the background social or physical barriers which </w:t>
      </w:r>
      <w:r w:rsidR="00AB56E8" w:rsidRPr="00CF4E9F">
        <w:rPr>
          <w:rFonts w:cs="Arial"/>
          <w:lang w:val="en-CA"/>
        </w:rPr>
        <w:t>[</w:t>
      </w:r>
      <w:r w:rsidRPr="00CF4E9F">
        <w:rPr>
          <w:lang w:val="en-CA"/>
        </w:rPr>
        <w:t>ma</w:t>
      </w:r>
      <w:r w:rsidR="00AB56E8" w:rsidRPr="00CF4E9F">
        <w:rPr>
          <w:lang w:val="en-CA"/>
        </w:rPr>
        <w:t>k</w:t>
      </w:r>
      <w:r w:rsidRPr="00CF4E9F">
        <w:rPr>
          <w:lang w:val="en-CA"/>
        </w:rPr>
        <w:t>e</w:t>
      </w:r>
      <w:r w:rsidR="00AB56E8" w:rsidRPr="00CF4E9F">
        <w:rPr>
          <w:rFonts w:cs="Arial"/>
          <w:lang w:val="en-CA"/>
        </w:rPr>
        <w:t>]</w:t>
      </w:r>
      <w:r w:rsidRPr="00CF4E9F">
        <w:rPr>
          <w:lang w:val="en-CA"/>
        </w:rPr>
        <w:t xml:space="preserve"> a particular rule, requirement or criterion disadvantageous for the claimant group”.</w:t>
      </w:r>
      <w:r w:rsidRPr="00CF4E9F">
        <w:rPr>
          <w:vertAlign w:val="superscript"/>
          <w:lang w:val="en-CA"/>
        </w:rPr>
        <w:footnoteReference w:id="245"/>
      </w:r>
      <w:r w:rsidR="0043013D" w:rsidRPr="00CF4E9F">
        <w:rPr>
          <w:lang w:val="en-CA"/>
        </w:rPr>
        <w:t xml:space="preserve"> </w:t>
      </w:r>
      <w:r w:rsidRPr="00CF4E9F">
        <w:rPr>
          <w:lang w:val="en-CA"/>
        </w:rPr>
        <w:t xml:space="preserve">In fact, </w:t>
      </w:r>
      <w:r w:rsidR="003A686F">
        <w:rPr>
          <w:lang w:val="en-CA"/>
        </w:rPr>
        <w:t>“‘</w:t>
      </w:r>
      <w:r w:rsidRPr="00CF4E9F">
        <w:rPr>
          <w:lang w:val="en-CA"/>
        </w:rPr>
        <w:t xml:space="preserve">[i]t is not necessary to find that the legislation </w:t>
      </w:r>
      <w:r w:rsidRPr="0054143F">
        <w:rPr>
          <w:u w:val="single"/>
          <w:lang w:val="en-CA"/>
        </w:rPr>
        <w:t>creates</w:t>
      </w:r>
      <w:r w:rsidRPr="00CF4E9F">
        <w:rPr>
          <w:lang w:val="en-CA"/>
        </w:rPr>
        <w:t xml:space="preserve"> the discrimination existing in society</w:t>
      </w:r>
      <w:r w:rsidR="00326B7D">
        <w:rPr>
          <w:lang w:val="en-CA"/>
        </w:rPr>
        <w:t>’</w:t>
      </w:r>
      <w:r w:rsidRPr="00CF4E9F">
        <w:rPr>
          <w:lang w:val="en-CA"/>
        </w:rPr>
        <w:t xml:space="preserve"> to find a </w:t>
      </w:r>
      <w:r w:rsidRPr="00CF4E9F">
        <w:rPr>
          <w:color w:val="000000"/>
          <w:lang w:val="en-CA"/>
        </w:rPr>
        <w:t>s.</w:t>
      </w:r>
      <w:r w:rsidR="0043013D" w:rsidRPr="00CF4E9F">
        <w:rPr>
          <w:color w:val="000000"/>
          <w:lang w:val="en-CA"/>
        </w:rPr>
        <w:t> </w:t>
      </w:r>
      <w:r w:rsidRPr="00CF4E9F">
        <w:rPr>
          <w:lang w:val="en-CA"/>
        </w:rPr>
        <w:t>15 breach”.</w:t>
      </w:r>
      <w:r w:rsidRPr="00CF4E9F">
        <w:rPr>
          <w:vertAlign w:val="superscript"/>
          <w:lang w:val="en-CA"/>
        </w:rPr>
        <w:footnoteReference w:id="246"/>
      </w:r>
    </w:p>
    <w:p w14:paraId="32148832" w14:textId="205043E5" w:rsidR="001A3EF8" w:rsidRPr="00CF4E9F" w:rsidRDefault="000456F3" w:rsidP="00512142">
      <w:pPr>
        <w:pStyle w:val="Paragraphe"/>
        <w:spacing w:line="280" w:lineRule="exact"/>
        <w:rPr>
          <w:lang w:val="en-CA"/>
        </w:rPr>
      </w:pPr>
      <w:r w:rsidRPr="00CF4E9F">
        <w:rPr>
          <w:lang w:val="en-CA"/>
        </w:rPr>
        <w:t>The contextual factors to be considered in the analysis will vary depending on the nature of each case.</w:t>
      </w:r>
      <w:r w:rsidR="0043013D" w:rsidRPr="00CF4E9F">
        <w:rPr>
          <w:lang w:val="en-CA"/>
        </w:rPr>
        <w:t xml:space="preserve"> </w:t>
      </w:r>
      <w:r w:rsidRPr="00CF4E9F">
        <w:rPr>
          <w:lang w:val="en-CA"/>
        </w:rPr>
        <w:t>There is no “rigid template”</w:t>
      </w:r>
      <w:r w:rsidRPr="00CF4E9F">
        <w:rPr>
          <w:vertAlign w:val="superscript"/>
          <w:lang w:val="en-CA"/>
        </w:rPr>
        <w:footnoteReference w:id="247"/>
      </w:r>
      <w:r w:rsidRPr="00CF4E9F">
        <w:rPr>
          <w:lang w:val="en-CA"/>
        </w:rPr>
        <w:t xml:space="preserve"> or formula to follow.</w:t>
      </w:r>
      <w:r w:rsidR="0043013D" w:rsidRPr="00CF4E9F">
        <w:rPr>
          <w:lang w:val="en-CA"/>
        </w:rPr>
        <w:t xml:space="preserve"> </w:t>
      </w:r>
      <w:r w:rsidRPr="00CF4E9F">
        <w:rPr>
          <w:lang w:val="en-CA"/>
        </w:rPr>
        <w:t xml:space="preserve">The presence of prejudice and stereotyping may be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“an eloquent indicator”</w:t>
      </w:r>
      <w:r w:rsidRPr="00CF4E9F">
        <w:rPr>
          <w:vertAlign w:val="superscript"/>
          <w:lang w:val="en-CA"/>
        </w:rPr>
        <w:footnoteReference w:id="248"/>
      </w:r>
      <w:r w:rsidRPr="00CF4E9F">
        <w:rPr>
          <w:lang w:val="en-CA"/>
        </w:rPr>
        <w:t xml:space="preserve"> of the disadvantage and </w:t>
      </w:r>
      <w:r w:rsidR="00814BDB">
        <w:rPr>
          <w:lang w:val="en-CA"/>
        </w:rPr>
        <w:t xml:space="preserve">the </w:t>
      </w:r>
      <w:r w:rsidRPr="00CF4E9F">
        <w:rPr>
          <w:lang w:val="en-CA"/>
        </w:rPr>
        <w:t xml:space="preserve">discriminatory nature of the </w:t>
      </w:r>
      <w:r w:rsidR="00352955" w:rsidRPr="00CF4E9F">
        <w:rPr>
          <w:lang w:val="en-CA"/>
        </w:rPr>
        <w:t>challenged</w:t>
      </w:r>
      <w:r w:rsidRPr="00CF4E9F">
        <w:rPr>
          <w:lang w:val="en-CA"/>
        </w:rPr>
        <w:t xml:space="preserve"> law but is not an essential element.</w:t>
      </w:r>
      <w:r w:rsidRPr="00CF4E9F">
        <w:rPr>
          <w:vertAlign w:val="superscript"/>
          <w:lang w:val="en-CA"/>
        </w:rPr>
        <w:footnoteReference w:id="249"/>
      </w:r>
      <w:r w:rsidR="0043013D" w:rsidRPr="00CF4E9F">
        <w:rPr>
          <w:lang w:val="en-CA"/>
        </w:rPr>
        <w:t xml:space="preserve"> </w:t>
      </w:r>
      <w:r w:rsidRPr="00CF4E9F">
        <w:rPr>
          <w:lang w:val="en-CA"/>
        </w:rPr>
        <w:t xml:space="preserve">Similarly, “there is no burden on a claimant to prove that the distinction </w:t>
      </w:r>
      <w:r w:rsidRPr="00CF4E9F">
        <w:rPr>
          <w:rFonts w:cs="Arial"/>
          <w:lang w:val="en-CA"/>
        </w:rPr>
        <w:t>[</w:t>
      </w:r>
      <w:r w:rsidRPr="00CF4E9F">
        <w:rPr>
          <w:lang w:val="en-CA"/>
        </w:rPr>
        <w:t xml:space="preserve">created by the </w:t>
      </w:r>
      <w:r w:rsidR="00352955" w:rsidRPr="00CF4E9F">
        <w:rPr>
          <w:lang w:val="en-CA"/>
        </w:rPr>
        <w:t>law</w:t>
      </w:r>
      <w:r w:rsidRPr="00CF4E9F">
        <w:rPr>
          <w:rFonts w:cs="Arial"/>
          <w:lang w:val="en-CA"/>
        </w:rPr>
        <w:t>]</w:t>
      </w:r>
      <w:r w:rsidRPr="00CF4E9F">
        <w:rPr>
          <w:lang w:val="en-CA"/>
        </w:rPr>
        <w:t xml:space="preserve"> is arbitrary”,</w:t>
      </w:r>
      <w:r w:rsidRPr="00CF4E9F">
        <w:rPr>
          <w:vertAlign w:val="superscript"/>
          <w:lang w:val="en-CA"/>
        </w:rPr>
        <w:footnoteReference w:id="250"/>
      </w:r>
      <w:r w:rsidRPr="00CF4E9F">
        <w:rPr>
          <w:lang w:val="en-CA"/>
        </w:rPr>
        <w:t xml:space="preserve"> even though this factor may also be an indicator that the </w:t>
      </w:r>
      <w:r w:rsidR="00352955" w:rsidRPr="00CF4E9F">
        <w:rPr>
          <w:lang w:val="en-CA"/>
        </w:rPr>
        <w:t>law</w:t>
      </w:r>
      <w:r w:rsidRPr="00CF4E9F">
        <w:rPr>
          <w:lang w:val="en-CA"/>
        </w:rPr>
        <w:t xml:space="preserve"> is discriminatory.</w:t>
      </w:r>
      <w:r w:rsidRPr="00CF4E9F">
        <w:rPr>
          <w:vertAlign w:val="superscript"/>
          <w:lang w:val="en-CA"/>
        </w:rPr>
        <w:footnoteReference w:id="251"/>
      </w:r>
    </w:p>
    <w:p w14:paraId="58B9C1BA" w14:textId="0DD285FB" w:rsidR="001A3EF8" w:rsidRPr="00CF4E9F" w:rsidRDefault="003A35D8" w:rsidP="00512142">
      <w:pPr>
        <w:pStyle w:val="Paragraphe"/>
        <w:spacing w:line="280" w:lineRule="exact"/>
        <w:rPr>
          <w:lang w:val="en-CA"/>
        </w:rPr>
      </w:pPr>
      <w:r w:rsidRPr="00CF4E9F">
        <w:rPr>
          <w:lang w:val="en-CA"/>
        </w:rPr>
        <w:t>Also</w:t>
      </w:r>
      <w:r w:rsidR="000456F3" w:rsidRPr="00CF4E9F">
        <w:rPr>
          <w:lang w:val="en-CA"/>
        </w:rPr>
        <w:t xml:space="preserve"> in </w:t>
      </w:r>
      <w:r w:rsidR="000456F3" w:rsidRPr="00CF4E9F">
        <w:rPr>
          <w:i/>
          <w:lang w:val="en-CA"/>
        </w:rPr>
        <w:t>Sharma</w:t>
      </w:r>
      <w:r w:rsidR="000456F3" w:rsidRPr="00CF4E9F">
        <w:rPr>
          <w:lang w:val="en-CA"/>
        </w:rPr>
        <w:t>, the Supreme Court stated that judicial notice can play a role at this step.</w:t>
      </w:r>
      <w:r w:rsidR="000456F3" w:rsidRPr="00CF4E9F">
        <w:rPr>
          <w:rStyle w:val="Appelnotedebasdep"/>
          <w:lang w:val="en-CA"/>
        </w:rPr>
        <w:footnoteReference w:id="252"/>
      </w:r>
      <w:r w:rsidR="0043013D" w:rsidRPr="00CF4E9F">
        <w:rPr>
          <w:lang w:val="en-CA"/>
        </w:rPr>
        <w:t xml:space="preserve"> </w:t>
      </w:r>
      <w:r w:rsidR="00763FA2">
        <w:rPr>
          <w:lang w:val="en-CA"/>
        </w:rPr>
        <w:t>Moreover</w:t>
      </w:r>
      <w:r w:rsidR="003F57B4" w:rsidRPr="00CF4E9F">
        <w:rPr>
          <w:lang w:val="en-CA"/>
        </w:rPr>
        <w:t>, “</w:t>
      </w:r>
      <w:r w:rsidR="003F57B4" w:rsidRPr="00CF4E9F">
        <w:rPr>
          <w:rFonts w:cs="Arial"/>
          <w:lang w:val="en-CA"/>
        </w:rPr>
        <w:t>[</w:t>
      </w:r>
      <w:r w:rsidR="003F57B4" w:rsidRPr="00CF4E9F">
        <w:rPr>
          <w:lang w:val="en-CA"/>
        </w:rPr>
        <w:t>c</w:t>
      </w:r>
      <w:r w:rsidR="003F57B4" w:rsidRPr="00CF4E9F">
        <w:rPr>
          <w:rFonts w:cs="Arial"/>
          <w:lang w:val="en-CA"/>
        </w:rPr>
        <w:t>]</w:t>
      </w:r>
      <w:r w:rsidR="003F57B4" w:rsidRPr="00CF4E9F">
        <w:rPr>
          <w:lang w:val="en-CA"/>
        </w:rPr>
        <w:t xml:space="preserve">ourts may infer that a law has the effect of reinforcing, </w:t>
      </w:r>
      <w:r w:rsidR="003F57B4" w:rsidRPr="00CF4E9F">
        <w:rPr>
          <w:lang w:val="en-CA"/>
        </w:rPr>
        <w:lastRenderedPageBreak/>
        <w:t>perpetuating, or exacerbating disadvantage, where such an inference is supported by the available evidence”.</w:t>
      </w:r>
      <w:r w:rsidR="003F57B4" w:rsidRPr="00CF4E9F">
        <w:rPr>
          <w:vertAlign w:val="superscript"/>
          <w:lang w:val="en-CA"/>
        </w:rPr>
        <w:footnoteReference w:id="253"/>
      </w:r>
      <w:r w:rsidR="0043013D" w:rsidRPr="00CF4E9F">
        <w:rPr>
          <w:lang w:val="en-CA"/>
        </w:rPr>
        <w:t xml:space="preserve"> </w:t>
      </w:r>
    </w:p>
    <w:p w14:paraId="6949D50F" w14:textId="0A6D8616" w:rsidR="001A3EF8" w:rsidRPr="00CF4E9F" w:rsidRDefault="003F57B4" w:rsidP="00512142">
      <w:pPr>
        <w:pStyle w:val="Paragraphe"/>
        <w:spacing w:line="280" w:lineRule="exact"/>
        <w:rPr>
          <w:lang w:val="en-CA"/>
        </w:rPr>
      </w:pPr>
      <w:r w:rsidRPr="00CF4E9F">
        <w:rPr>
          <w:lang w:val="en-CA"/>
        </w:rPr>
        <w:t>Last</w:t>
      </w:r>
      <w:r w:rsidR="000A6EE4">
        <w:rPr>
          <w:lang w:val="en-CA"/>
        </w:rPr>
        <w:t>ly</w:t>
      </w:r>
      <w:r w:rsidRPr="00CF4E9F">
        <w:rPr>
          <w:lang w:val="en-CA"/>
        </w:rPr>
        <w:t>, the Supreme Court asks courts to consider the “broader legislative context”</w:t>
      </w:r>
      <w:r w:rsidRPr="00CF4E9F">
        <w:rPr>
          <w:vertAlign w:val="superscript"/>
          <w:lang w:val="en-CA"/>
        </w:rPr>
        <w:footnoteReference w:id="254"/>
      </w:r>
      <w:r w:rsidRPr="00CF4E9F">
        <w:rPr>
          <w:lang w:val="en-CA"/>
        </w:rPr>
        <w:t xml:space="preserve"> to determine whether a distinction is discriminatory.</w:t>
      </w:r>
      <w:r w:rsidR="0043013D" w:rsidRPr="00CF4E9F">
        <w:rPr>
          <w:lang w:val="en-CA"/>
        </w:rPr>
        <w:t xml:space="preserve"> </w:t>
      </w:r>
      <w:r w:rsidRPr="00CF4E9F">
        <w:rPr>
          <w:lang w:val="en-CA"/>
        </w:rPr>
        <w:t xml:space="preserve">The relevant considerations in this regard include “the </w:t>
      </w:r>
      <w:r w:rsidRPr="00CF4E9F">
        <w:rPr>
          <w:rFonts w:cs="Arial"/>
          <w:lang w:val="en-CA"/>
        </w:rPr>
        <w:t>[</w:t>
      </w:r>
      <w:r w:rsidRPr="00CF4E9F">
        <w:rPr>
          <w:lang w:val="en-CA"/>
        </w:rPr>
        <w:t>legislative</w:t>
      </w:r>
      <w:r w:rsidRPr="00CF4E9F">
        <w:rPr>
          <w:rFonts w:cs="Arial"/>
          <w:lang w:val="en-CA"/>
        </w:rPr>
        <w:t>]</w:t>
      </w:r>
      <w:r w:rsidRPr="00CF4E9F">
        <w:rPr>
          <w:lang w:val="en-CA"/>
        </w:rPr>
        <w:t xml:space="preserve"> objects of the scheme, whether a policy is designed to benefit a number of different groups, the allocation of resources, particular policy goals sought to be achieved, and whether the lines are drawn mindful as to those factors”.</w:t>
      </w:r>
      <w:r w:rsidRPr="00CF4E9F">
        <w:rPr>
          <w:vertAlign w:val="superscript"/>
          <w:lang w:val="en-CA"/>
        </w:rPr>
        <w:footnoteReference w:id="255"/>
      </w:r>
    </w:p>
    <w:p w14:paraId="507F8E25" w14:textId="12675F45" w:rsidR="001A3EF8" w:rsidRPr="00CF4E9F" w:rsidRDefault="0043013D" w:rsidP="00541231">
      <w:pPr>
        <w:spacing w:before="120" w:after="120"/>
        <w:jc w:val="center"/>
        <w:rPr>
          <w:kern w:val="28"/>
          <w:sz w:val="28"/>
          <w:szCs w:val="28"/>
          <w:lang w:val="en-CA"/>
        </w:rPr>
      </w:pPr>
      <w:r w:rsidRPr="00CF4E9F">
        <w:rPr>
          <w:kern w:val="28"/>
          <w:sz w:val="28"/>
          <w:szCs w:val="28"/>
          <w:lang w:val="en-CA"/>
        </w:rPr>
        <w:t>* * *</w:t>
      </w:r>
    </w:p>
    <w:p w14:paraId="487CF848" w14:textId="40D2B071" w:rsidR="001A3EF8" w:rsidRPr="00CF4E9F" w:rsidRDefault="00F6446F" w:rsidP="00512142">
      <w:pPr>
        <w:pStyle w:val="Paragraphe"/>
        <w:spacing w:line="280" w:lineRule="exact"/>
        <w:rPr>
          <w:lang w:val="en-CA"/>
        </w:rPr>
      </w:pPr>
      <w:r w:rsidRPr="00CF4E9F">
        <w:rPr>
          <w:lang w:val="en-CA"/>
        </w:rPr>
        <w:t xml:space="preserve">Now that these principles have been </w:t>
      </w:r>
      <w:r w:rsidR="008862C6">
        <w:rPr>
          <w:lang w:val="en-CA"/>
        </w:rPr>
        <w:t>set out</w:t>
      </w:r>
      <w:r w:rsidRPr="00CF4E9F">
        <w:rPr>
          <w:lang w:val="en-CA"/>
        </w:rPr>
        <w:t>, how do they apply to this case?</w:t>
      </w:r>
    </w:p>
    <w:p w14:paraId="7D4DCFFF" w14:textId="4FC7E029" w:rsidR="001A3EF8" w:rsidRPr="00CF4E9F" w:rsidRDefault="00F6446F" w:rsidP="00512142">
      <w:pPr>
        <w:pStyle w:val="Paragraphe"/>
        <w:spacing w:line="280" w:lineRule="exact"/>
        <w:rPr>
          <w:lang w:val="en-CA"/>
        </w:rPr>
      </w:pPr>
      <w:r w:rsidRPr="00CF4E9F">
        <w:rPr>
          <w:lang w:val="en-CA"/>
        </w:rPr>
        <w:t xml:space="preserve">The judge concluded that the respondents discharged their burden of proof at each of the two steps and that the </w:t>
      </w:r>
      <w:r w:rsidR="009A1B4E" w:rsidRPr="00CF4E9F">
        <w:rPr>
          <w:lang w:val="en-CA"/>
        </w:rPr>
        <w:t>challenged</w:t>
      </w:r>
      <w:r w:rsidRPr="00CF4E9F">
        <w:rPr>
          <w:lang w:val="en-CA"/>
        </w:rPr>
        <w:t xml:space="preserve"> </w:t>
      </w:r>
      <w:r w:rsidR="00C47178">
        <w:rPr>
          <w:lang w:val="en-CA"/>
        </w:rPr>
        <w:t>provision</w:t>
      </w:r>
      <w:r w:rsidRPr="00CF4E9F">
        <w:rPr>
          <w:lang w:val="en-CA"/>
        </w:rPr>
        <w:t xml:space="preserve"> </w:t>
      </w:r>
      <w:r w:rsidR="00D04536" w:rsidRPr="00CF4E9F">
        <w:rPr>
          <w:lang w:val="en-CA"/>
        </w:rPr>
        <w:t xml:space="preserve">therefore </w:t>
      </w:r>
      <w:r w:rsidRPr="00CF4E9F">
        <w:rPr>
          <w:lang w:val="en-CA"/>
        </w:rPr>
        <w:t xml:space="preserve">infringes </w:t>
      </w:r>
      <w:r w:rsidR="00CD3E2E">
        <w:rPr>
          <w:lang w:val="en-CA"/>
        </w:rPr>
        <w:t>s. </w:t>
      </w:r>
      <w:r w:rsidRPr="00CF4E9F">
        <w:rPr>
          <w:lang w:val="en-CA"/>
        </w:rPr>
        <w:t xml:space="preserve">15(1) of the </w:t>
      </w:r>
      <w:r w:rsidRPr="00CF4E9F">
        <w:rPr>
          <w:i/>
          <w:lang w:val="en-CA"/>
        </w:rPr>
        <w:t>Charter</w:t>
      </w:r>
      <w:r w:rsidRPr="00CF4E9F">
        <w:rPr>
          <w:lang w:val="en-CA"/>
        </w:rPr>
        <w:t>.</w:t>
      </w:r>
    </w:p>
    <w:p w14:paraId="2D3174C8" w14:textId="41EF7357" w:rsidR="001A3EF8" w:rsidRPr="00CF4E9F" w:rsidRDefault="00F6446F" w:rsidP="00512142">
      <w:pPr>
        <w:pStyle w:val="Paragraphe"/>
        <w:spacing w:line="280" w:lineRule="exact"/>
        <w:rPr>
          <w:lang w:val="en-CA"/>
        </w:rPr>
      </w:pPr>
      <w:r w:rsidRPr="00CF4E9F">
        <w:rPr>
          <w:lang w:val="en-CA"/>
        </w:rPr>
        <w:t xml:space="preserve">The AGQ does not challenge the judge’s </w:t>
      </w:r>
      <w:r w:rsidR="00D04536">
        <w:rPr>
          <w:lang w:val="en-CA"/>
        </w:rPr>
        <w:t>findings of fact</w:t>
      </w:r>
      <w:r w:rsidR="00D04536" w:rsidRPr="00CF4E9F">
        <w:rPr>
          <w:lang w:val="en-CA"/>
        </w:rPr>
        <w:t xml:space="preserve"> </w:t>
      </w:r>
      <w:r w:rsidRPr="00CF4E9F">
        <w:rPr>
          <w:lang w:val="en-CA"/>
        </w:rPr>
        <w:t>or analysis.</w:t>
      </w:r>
      <w:r w:rsidR="0043013D" w:rsidRPr="00CF4E9F">
        <w:rPr>
          <w:lang w:val="en-CA"/>
        </w:rPr>
        <w:t xml:space="preserve"> </w:t>
      </w:r>
      <w:r w:rsidRPr="00CF4E9F">
        <w:rPr>
          <w:lang w:val="en-CA"/>
        </w:rPr>
        <w:t>The AGQ merely states that not every traffic stop constitutes racial profiling</w:t>
      </w:r>
      <w:r w:rsidR="009A1B4E" w:rsidRPr="00CF4E9F">
        <w:rPr>
          <w:lang w:val="en-CA"/>
        </w:rPr>
        <w:t>,</w:t>
      </w:r>
      <w:r w:rsidRPr="00CF4E9F">
        <w:rPr>
          <w:lang w:val="en-CA"/>
        </w:rPr>
        <w:t xml:space="preserve"> and that this determination must be made on a case-by-case basis, according to the circumstances of the stop at issue.</w:t>
      </w:r>
      <w:r w:rsidR="00F73FF5" w:rsidRPr="00CF4E9F">
        <w:rPr>
          <w:lang w:val="en-CA"/>
        </w:rPr>
        <w:t xml:space="preserve"> </w:t>
      </w:r>
      <w:r w:rsidRPr="00CF4E9F">
        <w:rPr>
          <w:lang w:val="en-CA"/>
        </w:rPr>
        <w:t>This is consistent with the AGQ’s argument on the first issue</w:t>
      </w:r>
      <w:r w:rsidR="00C243AB">
        <w:rPr>
          <w:lang w:val="en-CA"/>
        </w:rPr>
        <w:t xml:space="preserve"> – namely,</w:t>
      </w:r>
      <w:r w:rsidRPr="00CF4E9F">
        <w:rPr>
          <w:lang w:val="en-CA"/>
        </w:rPr>
        <w:t xml:space="preserve"> that racial profiling </w:t>
      </w:r>
      <w:r w:rsidR="009A1B4E" w:rsidRPr="00CF4E9F">
        <w:rPr>
          <w:lang w:val="en-CA"/>
        </w:rPr>
        <w:t xml:space="preserve">is not the </w:t>
      </w:r>
      <w:r w:rsidR="00CF4E9F">
        <w:rPr>
          <w:lang w:val="en-CA"/>
        </w:rPr>
        <w:t xml:space="preserve">result </w:t>
      </w:r>
      <w:r w:rsidR="009A1B4E" w:rsidRPr="00CF4E9F">
        <w:rPr>
          <w:lang w:val="en-CA"/>
        </w:rPr>
        <w:t xml:space="preserve">of </w:t>
      </w:r>
      <w:r w:rsidRPr="00CF4E9F">
        <w:rPr>
          <w:lang w:val="en-CA"/>
        </w:rPr>
        <w:t xml:space="preserve">the </w:t>
      </w:r>
      <w:r w:rsidR="009A1B4E" w:rsidRPr="00CF4E9F">
        <w:rPr>
          <w:lang w:val="en-CA"/>
        </w:rPr>
        <w:t>challenged</w:t>
      </w:r>
      <w:r w:rsidRPr="00CF4E9F">
        <w:rPr>
          <w:lang w:val="en-CA"/>
        </w:rPr>
        <w:t xml:space="preserve"> </w:t>
      </w:r>
      <w:r w:rsidR="00C47178">
        <w:rPr>
          <w:lang w:val="en-CA"/>
        </w:rPr>
        <w:t>provision</w:t>
      </w:r>
      <w:r w:rsidRPr="00CF4E9F">
        <w:rPr>
          <w:lang w:val="en-CA"/>
        </w:rPr>
        <w:t>.</w:t>
      </w:r>
    </w:p>
    <w:p w14:paraId="5D59DBF8" w14:textId="38770B10" w:rsidR="001A3EF8" w:rsidRPr="00CF4E9F" w:rsidRDefault="00F6446F" w:rsidP="00512142">
      <w:pPr>
        <w:pStyle w:val="Paragraphe"/>
        <w:spacing w:line="280" w:lineRule="exact"/>
        <w:rPr>
          <w:lang w:val="en-CA"/>
        </w:rPr>
      </w:pPr>
      <w:r w:rsidRPr="00CF4E9F">
        <w:rPr>
          <w:lang w:val="en-CA"/>
        </w:rPr>
        <w:t xml:space="preserve">The Court, as </w:t>
      </w:r>
      <w:r w:rsidR="006A6CF1" w:rsidRPr="00CF4E9F">
        <w:rPr>
          <w:lang w:val="en-CA"/>
        </w:rPr>
        <w:t>previously stated</w:t>
      </w:r>
      <w:r w:rsidRPr="00CF4E9F">
        <w:rPr>
          <w:lang w:val="en-CA"/>
        </w:rPr>
        <w:t xml:space="preserve">, is of the </w:t>
      </w:r>
      <w:r w:rsidR="006A6CF1" w:rsidRPr="00CF4E9F">
        <w:rPr>
          <w:lang w:val="en-CA"/>
        </w:rPr>
        <w:t xml:space="preserve">view </w:t>
      </w:r>
      <w:r w:rsidRPr="00CF4E9F">
        <w:rPr>
          <w:lang w:val="en-CA"/>
        </w:rPr>
        <w:t xml:space="preserve">that the judge did not err in concluding that </w:t>
      </w:r>
      <w:r w:rsidR="00CD3E2E">
        <w:rPr>
          <w:lang w:val="en-CA"/>
        </w:rPr>
        <w:t>s. </w:t>
      </w:r>
      <w:r w:rsidRPr="00CF4E9F">
        <w:rPr>
          <w:lang w:val="en-CA"/>
        </w:rPr>
        <w:t>636</w:t>
      </w:r>
      <w:r w:rsidR="0030762F" w:rsidRPr="0030762F">
        <w:rPr>
          <w:i/>
          <w:lang w:val="en-CA"/>
        </w:rPr>
        <w:t> HSC</w:t>
      </w:r>
      <w:r w:rsidRPr="00CF4E9F">
        <w:rPr>
          <w:lang w:val="en-CA"/>
        </w:rPr>
        <w:t xml:space="preserve"> is itself a vector of racial profiling.</w:t>
      </w:r>
      <w:r w:rsidR="0043013D" w:rsidRPr="00CF4E9F">
        <w:rPr>
          <w:lang w:val="en-CA"/>
        </w:rPr>
        <w:t xml:space="preserve"> </w:t>
      </w:r>
      <w:r w:rsidRPr="00CF4E9F">
        <w:rPr>
          <w:lang w:val="en-CA"/>
        </w:rPr>
        <w:t xml:space="preserve">The analysis of the ground of appeal based on </w:t>
      </w:r>
      <w:r w:rsidR="00162E51">
        <w:rPr>
          <w:lang w:val="en-CA"/>
        </w:rPr>
        <w:t>s. </w:t>
      </w:r>
      <w:r w:rsidRPr="00CF4E9F">
        <w:rPr>
          <w:lang w:val="en-CA"/>
        </w:rPr>
        <w:t xml:space="preserve">15(1) of the </w:t>
      </w:r>
      <w:r w:rsidRPr="00CF4E9F">
        <w:rPr>
          <w:i/>
          <w:lang w:val="en-CA"/>
        </w:rPr>
        <w:t>Charter</w:t>
      </w:r>
      <w:r w:rsidRPr="00CF4E9F">
        <w:rPr>
          <w:lang w:val="en-CA"/>
        </w:rPr>
        <w:t xml:space="preserve"> could therefore end here.</w:t>
      </w:r>
      <w:r w:rsidR="0043013D" w:rsidRPr="00CF4E9F">
        <w:rPr>
          <w:lang w:val="en-CA"/>
        </w:rPr>
        <w:t xml:space="preserve"> </w:t>
      </w:r>
      <w:r w:rsidRPr="00CF4E9F">
        <w:rPr>
          <w:lang w:val="en-CA"/>
        </w:rPr>
        <w:t xml:space="preserve">However, a few words are </w:t>
      </w:r>
      <w:r w:rsidR="0060402D">
        <w:rPr>
          <w:lang w:val="en-CA"/>
        </w:rPr>
        <w:t xml:space="preserve">in order regarding </w:t>
      </w:r>
      <w:r w:rsidRPr="00CF4E9F">
        <w:rPr>
          <w:lang w:val="en-CA"/>
        </w:rPr>
        <w:t xml:space="preserve">the evidence adduced at trial, which convincingly shows that the respondents did in fact discharge their burden at </w:t>
      </w:r>
      <w:r w:rsidR="006A6CF1" w:rsidRPr="00CF4E9F">
        <w:rPr>
          <w:lang w:val="en-CA"/>
        </w:rPr>
        <w:t xml:space="preserve">both </w:t>
      </w:r>
      <w:r w:rsidRPr="00CF4E9F">
        <w:rPr>
          <w:lang w:val="en-CA"/>
        </w:rPr>
        <w:t>step</w:t>
      </w:r>
      <w:r w:rsidR="006A6CF1" w:rsidRPr="00CF4E9F">
        <w:rPr>
          <w:lang w:val="en-CA"/>
        </w:rPr>
        <w:t>s</w:t>
      </w:r>
      <w:r w:rsidRPr="00CF4E9F">
        <w:rPr>
          <w:lang w:val="en-CA"/>
        </w:rPr>
        <w:t xml:space="preserve"> of the analysis.</w:t>
      </w:r>
    </w:p>
    <w:p w14:paraId="5B58A597" w14:textId="6E2CA569" w:rsidR="001A3EF8" w:rsidRPr="00CF4E9F" w:rsidRDefault="00F6446F" w:rsidP="004D42FA">
      <w:pPr>
        <w:pStyle w:val="Titre4"/>
        <w:numPr>
          <w:ilvl w:val="0"/>
          <w:numId w:val="8"/>
        </w:numPr>
        <w:ind w:left="1491" w:hanging="357"/>
        <w:rPr>
          <w:iCs/>
          <w:lang w:val="en-CA"/>
        </w:rPr>
      </w:pPr>
      <w:bookmarkStart w:id="112" w:name="_Toc201822894"/>
      <w:r w:rsidRPr="00CF4E9F">
        <w:rPr>
          <w:iCs/>
          <w:lang w:val="en-CA"/>
        </w:rPr>
        <w:t xml:space="preserve">Step 1: </w:t>
      </w:r>
      <w:r w:rsidR="00806C30">
        <w:rPr>
          <w:iCs/>
          <w:lang w:val="en-CA"/>
        </w:rPr>
        <w:t>D</w:t>
      </w:r>
      <w:r w:rsidR="001577C9" w:rsidRPr="00CF4E9F">
        <w:rPr>
          <w:iCs/>
          <w:lang w:val="en-CA"/>
        </w:rPr>
        <w:t>emonstrate</w:t>
      </w:r>
      <w:r w:rsidRPr="00CF4E9F">
        <w:rPr>
          <w:iCs/>
          <w:lang w:val="en-CA"/>
        </w:rPr>
        <w:t xml:space="preserve"> that the law</w:t>
      </w:r>
      <w:r w:rsidR="001577C9" w:rsidRPr="00CF4E9F">
        <w:rPr>
          <w:iCs/>
          <w:lang w:val="en-CA"/>
        </w:rPr>
        <w:t xml:space="preserve"> creates</w:t>
      </w:r>
      <w:r w:rsidRPr="00CF4E9F">
        <w:rPr>
          <w:iCs/>
          <w:lang w:val="en-CA"/>
        </w:rPr>
        <w:t>, on its face or in its impact, a distinction based on a protected ground</w:t>
      </w:r>
      <w:bookmarkEnd w:id="112"/>
    </w:p>
    <w:p w14:paraId="72D56C4B" w14:textId="239E7A6B" w:rsidR="001A3EF8" w:rsidRPr="00CF4E9F" w:rsidRDefault="00F6446F" w:rsidP="00512142">
      <w:pPr>
        <w:pStyle w:val="Paragraphe"/>
        <w:spacing w:line="280" w:lineRule="exact"/>
        <w:rPr>
          <w:rFonts w:cs="Arial"/>
          <w:szCs w:val="24"/>
          <w:lang w:val="en-CA"/>
        </w:rPr>
      </w:pPr>
      <w:r w:rsidRPr="00CF4E9F">
        <w:rPr>
          <w:rFonts w:cs="Arial"/>
          <w:szCs w:val="24"/>
          <w:lang w:val="en-CA"/>
        </w:rPr>
        <w:t>As the trial judge noted, [</w:t>
      </w:r>
      <w:r w:rsidRPr="00CF4E9F">
        <w:rPr>
          <w:rFonts w:cs="Arial"/>
          <w:smallCaps/>
          <w:szCs w:val="24"/>
          <w:lang w:val="en-CA"/>
        </w:rPr>
        <w:t>translation</w:t>
      </w:r>
      <w:r w:rsidRPr="00CF4E9F">
        <w:rPr>
          <w:rFonts w:cs="Arial"/>
          <w:szCs w:val="24"/>
          <w:lang w:val="en-CA"/>
        </w:rPr>
        <w:t>]</w:t>
      </w:r>
      <w:r w:rsidR="00F8437E">
        <w:rPr>
          <w:rFonts w:cs="Arial"/>
          <w:szCs w:val="24"/>
          <w:lang w:val="en-CA"/>
        </w:rPr>
        <w:t> </w:t>
      </w:r>
      <w:r w:rsidRPr="00CF4E9F">
        <w:rPr>
          <w:rFonts w:cs="Arial"/>
          <w:szCs w:val="24"/>
          <w:lang w:val="en-CA"/>
        </w:rPr>
        <w:t xml:space="preserve">“the </w:t>
      </w:r>
      <w:r w:rsidR="00D42C17">
        <w:rPr>
          <w:rFonts w:cs="Arial"/>
          <w:szCs w:val="24"/>
          <w:lang w:val="en-CA"/>
        </w:rPr>
        <w:t>challenged</w:t>
      </w:r>
      <w:r w:rsidR="00D42C17" w:rsidRPr="00CF4E9F">
        <w:rPr>
          <w:rFonts w:cs="Arial"/>
          <w:szCs w:val="24"/>
          <w:lang w:val="en-CA"/>
        </w:rPr>
        <w:t xml:space="preserve"> </w:t>
      </w:r>
      <w:r w:rsidR="00BA73D7">
        <w:rPr>
          <w:rFonts w:cs="Arial"/>
          <w:szCs w:val="24"/>
          <w:lang w:val="en-CA"/>
        </w:rPr>
        <w:t>[provision]</w:t>
      </w:r>
      <w:r w:rsidR="00BA73D7" w:rsidRPr="00CF4E9F">
        <w:rPr>
          <w:rFonts w:cs="Arial"/>
          <w:szCs w:val="24"/>
          <w:lang w:val="en-CA"/>
        </w:rPr>
        <w:t xml:space="preserve"> </w:t>
      </w:r>
      <w:r w:rsidRPr="00CF4E9F">
        <w:rPr>
          <w:rFonts w:cs="Arial"/>
          <w:szCs w:val="24"/>
          <w:lang w:val="en-CA"/>
        </w:rPr>
        <w:t xml:space="preserve">appears neutral because it allows the police to </w:t>
      </w:r>
      <w:r w:rsidR="00A1418B">
        <w:rPr>
          <w:rFonts w:cs="Arial"/>
          <w:szCs w:val="24"/>
          <w:lang w:val="en-CA"/>
        </w:rPr>
        <w:t xml:space="preserve">randomly </w:t>
      </w:r>
      <w:r w:rsidRPr="00CF4E9F">
        <w:rPr>
          <w:rFonts w:cs="Arial"/>
          <w:szCs w:val="24"/>
          <w:lang w:val="en-CA"/>
        </w:rPr>
        <w:t>stop any vehicle</w:t>
      </w:r>
      <w:r w:rsidR="001B377D">
        <w:rPr>
          <w:rFonts w:cs="Arial"/>
          <w:szCs w:val="24"/>
          <w:lang w:val="en-CA"/>
        </w:rPr>
        <w:t>,</w:t>
      </w:r>
      <w:r w:rsidRPr="00CF4E9F">
        <w:rPr>
          <w:rFonts w:cs="Arial"/>
          <w:szCs w:val="24"/>
          <w:lang w:val="en-CA"/>
        </w:rPr>
        <w:t xml:space="preserve"> without grounds or suspicion</w:t>
      </w:r>
      <w:r w:rsidR="001B377D">
        <w:rPr>
          <w:rFonts w:cs="Arial"/>
          <w:szCs w:val="24"/>
          <w:lang w:val="en-CA"/>
        </w:rPr>
        <w:t>,</w:t>
      </w:r>
      <w:r w:rsidRPr="00CF4E9F">
        <w:rPr>
          <w:rFonts w:cs="Arial"/>
          <w:szCs w:val="24"/>
          <w:lang w:val="en-CA"/>
        </w:rPr>
        <w:t xml:space="preserve"> to conduct a routine check”.</w:t>
      </w:r>
      <w:r w:rsidRPr="00CF4E9F">
        <w:rPr>
          <w:rFonts w:cs="Arial"/>
          <w:szCs w:val="24"/>
          <w:vertAlign w:val="superscript"/>
          <w:lang w:val="en-CA"/>
        </w:rPr>
        <w:footnoteReference w:id="256"/>
      </w:r>
      <w:r w:rsidR="0043013D" w:rsidRPr="00CF4E9F">
        <w:rPr>
          <w:rFonts w:cs="Arial"/>
          <w:szCs w:val="24"/>
          <w:lang w:val="en-CA"/>
        </w:rPr>
        <w:t xml:space="preserve"> </w:t>
      </w:r>
      <w:r w:rsidRPr="00CF4E9F">
        <w:rPr>
          <w:rFonts w:cs="Arial"/>
          <w:szCs w:val="24"/>
          <w:lang w:val="en-CA"/>
        </w:rPr>
        <w:t>In reality, however, it has a markedly disproportionate impact on Black drivers (as compared to other groups of drivers, including White drivers).</w:t>
      </w:r>
    </w:p>
    <w:p w14:paraId="00A85C4E" w14:textId="1E0226AC" w:rsidR="001A3EF8" w:rsidRPr="00CF4E9F" w:rsidRDefault="00F6446F" w:rsidP="00512142">
      <w:pPr>
        <w:pStyle w:val="Paragraphe"/>
        <w:spacing w:line="280" w:lineRule="exact"/>
        <w:rPr>
          <w:lang w:val="en-CA"/>
        </w:rPr>
      </w:pPr>
      <w:r w:rsidRPr="00CF4E9F">
        <w:rPr>
          <w:lang w:val="en-CA"/>
        </w:rPr>
        <w:lastRenderedPageBreak/>
        <w:t xml:space="preserve">As previously stated, the evidence of expert Mulone </w:t>
      </w:r>
      <w:r w:rsidR="00BA349F" w:rsidRPr="00CF4E9F">
        <w:rPr>
          <w:lang w:val="en-CA"/>
        </w:rPr>
        <w:t>–</w:t>
      </w:r>
      <w:r w:rsidRPr="00CF4E9F">
        <w:rPr>
          <w:lang w:val="en-CA"/>
        </w:rPr>
        <w:t xml:space="preserve"> uncontradicted by the AGQ </w:t>
      </w:r>
      <w:r w:rsidR="00BA349F" w:rsidRPr="00CF4E9F">
        <w:rPr>
          <w:lang w:val="en-CA"/>
        </w:rPr>
        <w:t>–</w:t>
      </w:r>
      <w:r w:rsidRPr="00CF4E9F">
        <w:rPr>
          <w:lang w:val="en-CA"/>
        </w:rPr>
        <w:t xml:space="preserve"> reveals that members of the Black community are systematically stopped </w:t>
      </w:r>
      <w:r w:rsidR="001577C9" w:rsidRPr="00CF4E9F">
        <w:rPr>
          <w:lang w:val="en-CA"/>
        </w:rPr>
        <w:t xml:space="preserve">more often </w:t>
      </w:r>
      <w:r w:rsidRPr="00CF4E9F">
        <w:rPr>
          <w:lang w:val="en-CA"/>
        </w:rPr>
        <w:t>by the police.</w:t>
      </w:r>
      <w:r w:rsidRPr="00CF4E9F">
        <w:rPr>
          <w:vertAlign w:val="superscript"/>
          <w:lang w:val="en-CA"/>
        </w:rPr>
        <w:footnoteReference w:id="257"/>
      </w:r>
      <w:r w:rsidR="0043013D" w:rsidRPr="00CF4E9F">
        <w:rPr>
          <w:lang w:val="en-CA"/>
        </w:rPr>
        <w:t xml:space="preserve"> </w:t>
      </w:r>
      <w:r w:rsidRPr="00CF4E9F">
        <w:rPr>
          <w:lang w:val="en-CA"/>
        </w:rPr>
        <w:t>Th</w:t>
      </w:r>
      <w:r w:rsidR="009821BE" w:rsidRPr="00CF4E9F">
        <w:rPr>
          <w:lang w:val="en-CA"/>
        </w:rPr>
        <w:t>e</w:t>
      </w:r>
      <w:r w:rsidRPr="00CF4E9F">
        <w:rPr>
          <w:lang w:val="en-CA"/>
        </w:rPr>
        <w:t xml:space="preserve"> expert reports that the studies establishing overrepresentation of Black drivers in (discretionary) traffic stops </w:t>
      </w:r>
      <w:r w:rsidRPr="00CF4E9F">
        <w:rPr>
          <w:rFonts w:cs="Arial"/>
          <w:szCs w:val="24"/>
          <w:lang w:val="en-CA"/>
        </w:rPr>
        <w:t>[</w:t>
      </w:r>
      <w:r w:rsidRPr="00CF4E9F">
        <w:rPr>
          <w:rFonts w:cs="Arial"/>
          <w:smallCaps/>
          <w:szCs w:val="24"/>
          <w:lang w:val="en-CA"/>
        </w:rPr>
        <w:t>translation</w:t>
      </w:r>
      <w:r w:rsidRPr="00CF4E9F">
        <w:rPr>
          <w:rFonts w:cs="Arial"/>
          <w:szCs w:val="24"/>
          <w:lang w:val="en-CA"/>
        </w:rPr>
        <w:t>]</w:t>
      </w:r>
      <w:r w:rsidR="00F8437E">
        <w:rPr>
          <w:lang w:val="en-CA"/>
        </w:rPr>
        <w:t> </w:t>
      </w:r>
      <w:r w:rsidRPr="00CF4E9F">
        <w:rPr>
          <w:lang w:val="en-CA"/>
        </w:rPr>
        <w:t xml:space="preserve">“are so numerous and the results so </w:t>
      </w:r>
      <w:r w:rsidR="001577C9" w:rsidRPr="00CF4E9F">
        <w:rPr>
          <w:lang w:val="en-CA"/>
        </w:rPr>
        <w:t>convergent</w:t>
      </w:r>
      <w:r w:rsidRPr="00CF4E9F">
        <w:rPr>
          <w:lang w:val="en-CA"/>
        </w:rPr>
        <w:t xml:space="preserve"> that a specific </w:t>
      </w:r>
      <w:r w:rsidR="008E3806">
        <w:rPr>
          <w:lang w:val="en-CA"/>
        </w:rPr>
        <w:t>expression</w:t>
      </w:r>
      <w:r w:rsidR="008E3806" w:rsidRPr="00CF4E9F">
        <w:rPr>
          <w:lang w:val="en-CA"/>
        </w:rPr>
        <w:t xml:space="preserve"> </w:t>
      </w:r>
      <w:r w:rsidRPr="00CF4E9F">
        <w:rPr>
          <w:lang w:val="en-CA"/>
        </w:rPr>
        <w:t>has emerged in the English-speaking world: driving while Black”.</w:t>
      </w:r>
      <w:r w:rsidRPr="00CF4E9F">
        <w:rPr>
          <w:vertAlign w:val="superscript"/>
          <w:lang w:val="en-CA"/>
        </w:rPr>
        <w:footnoteReference w:id="258"/>
      </w:r>
      <w:r w:rsidR="0043013D" w:rsidRPr="00CF4E9F">
        <w:rPr>
          <w:lang w:val="en-CA"/>
        </w:rPr>
        <w:t xml:space="preserve"> </w:t>
      </w:r>
    </w:p>
    <w:p w14:paraId="55E9D4E8" w14:textId="6EC73E60" w:rsidR="001A3EF8" w:rsidRPr="00CF4E9F" w:rsidRDefault="00F6446F" w:rsidP="00512142">
      <w:pPr>
        <w:pStyle w:val="Paragraphe"/>
        <w:spacing w:line="280" w:lineRule="exact"/>
        <w:rPr>
          <w:lang w:val="en-CA"/>
        </w:rPr>
      </w:pPr>
      <w:r w:rsidRPr="00CF4E9F">
        <w:rPr>
          <w:lang w:val="en-CA"/>
        </w:rPr>
        <w:t>Expert Mulone relie</w:t>
      </w:r>
      <w:r w:rsidR="00DB2D36">
        <w:rPr>
          <w:lang w:val="en-CA"/>
        </w:rPr>
        <w:t>d</w:t>
      </w:r>
      <w:r w:rsidRPr="00CF4E9F">
        <w:rPr>
          <w:lang w:val="en-CA"/>
        </w:rPr>
        <w:t xml:space="preserve"> on several recent Canadian studies</w:t>
      </w:r>
      <w:r w:rsidRPr="00CF4E9F">
        <w:rPr>
          <w:vertAlign w:val="superscript"/>
          <w:lang w:val="en-CA"/>
        </w:rPr>
        <w:footnoteReference w:id="259"/>
      </w:r>
      <w:r w:rsidRPr="00CF4E9F">
        <w:rPr>
          <w:lang w:val="en-CA"/>
        </w:rPr>
        <w:t xml:space="preserve"> to shed light on the differential treatment of Black people in police street checks in general and traffic stops in particular.</w:t>
      </w:r>
      <w:r w:rsidR="0043013D" w:rsidRPr="00CF4E9F">
        <w:rPr>
          <w:lang w:val="en-CA"/>
        </w:rPr>
        <w:t xml:space="preserve"> </w:t>
      </w:r>
      <w:r w:rsidRPr="00CF4E9F">
        <w:rPr>
          <w:lang w:val="en-CA"/>
        </w:rPr>
        <w:t>In this regard, it is helpful to note the results of studies conducted in Ottawa (2016/2019), Montreal (2019), and Repentigny (2021).</w:t>
      </w:r>
      <w:r w:rsidR="0043013D" w:rsidRPr="00CF4E9F">
        <w:rPr>
          <w:lang w:val="en-CA"/>
        </w:rPr>
        <w:t xml:space="preserve"> </w:t>
      </w:r>
    </w:p>
    <w:p w14:paraId="0699A772" w14:textId="4AC6BFA2" w:rsidR="001A3EF8" w:rsidRPr="00CF4E9F" w:rsidRDefault="00F6446F" w:rsidP="00512142">
      <w:pPr>
        <w:pStyle w:val="Paragraphe"/>
        <w:spacing w:line="280" w:lineRule="exact"/>
        <w:rPr>
          <w:lang w:val="en-CA"/>
        </w:rPr>
      </w:pPr>
      <w:r w:rsidRPr="00CF4E9F">
        <w:rPr>
          <w:lang w:val="en-CA"/>
        </w:rPr>
        <w:t>The Ottawa studies reveal that the total number of traffic stops on the city’s territory dropped drastically between 2013 and 2018.</w:t>
      </w:r>
      <w:r w:rsidR="0043013D" w:rsidRPr="00CF4E9F">
        <w:rPr>
          <w:lang w:val="en-CA"/>
        </w:rPr>
        <w:t xml:space="preserve"> </w:t>
      </w:r>
      <w:r w:rsidRPr="00CF4E9F">
        <w:rPr>
          <w:lang w:val="en-CA"/>
        </w:rPr>
        <w:t>However, the overrepresentation of Black people</w:t>
      </w:r>
      <w:r w:rsidR="001D2EB3">
        <w:rPr>
          <w:lang w:val="en-CA"/>
        </w:rPr>
        <w:t xml:space="preserve"> who were</w:t>
      </w:r>
      <w:r w:rsidRPr="00CF4E9F">
        <w:rPr>
          <w:lang w:val="en-CA"/>
        </w:rPr>
        <w:t xml:space="preserve"> stopped (compared to White people) generally remained stable over </w:t>
      </w:r>
      <w:r w:rsidR="00096074" w:rsidRPr="00CF4E9F">
        <w:rPr>
          <w:lang w:val="en-CA"/>
        </w:rPr>
        <w:t>time</w:t>
      </w:r>
      <w:r w:rsidRPr="00CF4E9F">
        <w:rPr>
          <w:lang w:val="en-CA"/>
        </w:rPr>
        <w:t>.</w:t>
      </w:r>
      <w:r w:rsidR="0043013D" w:rsidRPr="00CF4E9F">
        <w:rPr>
          <w:lang w:val="en-CA"/>
        </w:rPr>
        <w:t xml:space="preserve"> </w:t>
      </w:r>
      <w:r w:rsidR="00CD0B7C">
        <w:rPr>
          <w:lang w:val="en-CA"/>
        </w:rPr>
        <w:t>Indeed</w:t>
      </w:r>
      <w:r w:rsidRPr="00CF4E9F">
        <w:rPr>
          <w:lang w:val="en-CA"/>
        </w:rPr>
        <w:t>, between 2013 and 2015, Black drivers were stopped 2.3 times more often than White drivers (</w:t>
      </w:r>
      <w:r w:rsidR="00096074" w:rsidRPr="00CF4E9F">
        <w:rPr>
          <w:lang w:val="en-CA"/>
        </w:rPr>
        <w:t xml:space="preserve">in relation </w:t>
      </w:r>
      <w:r w:rsidRPr="00CF4E9F">
        <w:rPr>
          <w:lang w:val="en-CA"/>
        </w:rPr>
        <w:t>to their demographic weight).</w:t>
      </w:r>
      <w:r w:rsidR="0043013D" w:rsidRPr="00CF4E9F">
        <w:rPr>
          <w:lang w:val="en-CA"/>
        </w:rPr>
        <w:t xml:space="preserve"> </w:t>
      </w:r>
      <w:r w:rsidRPr="00CF4E9F">
        <w:rPr>
          <w:lang w:val="en-CA"/>
        </w:rPr>
        <w:t>Between 2015 and 2018, they were still stopped 2.2 to 2.3 times more often than White drivers.</w:t>
      </w:r>
      <w:r w:rsidRPr="00CF4E9F">
        <w:rPr>
          <w:vertAlign w:val="superscript"/>
          <w:lang w:val="en-CA"/>
        </w:rPr>
        <w:footnoteReference w:id="260"/>
      </w:r>
      <w:r w:rsidR="0043013D" w:rsidRPr="00CF4E9F">
        <w:rPr>
          <w:lang w:val="en-CA"/>
        </w:rPr>
        <w:t xml:space="preserve"> </w:t>
      </w:r>
      <w:r w:rsidRPr="00CF4E9F">
        <w:rPr>
          <w:lang w:val="en-CA"/>
        </w:rPr>
        <w:t xml:space="preserve">It is true that </w:t>
      </w:r>
      <w:r w:rsidRPr="00CF4E9F">
        <w:rPr>
          <w:lang w:val="en-CA"/>
        </w:rPr>
        <w:lastRenderedPageBreak/>
        <w:t>disproportionate stops involving Black drivers dec</w:t>
      </w:r>
      <w:r w:rsidR="006D0EB2" w:rsidRPr="00CF4E9F">
        <w:rPr>
          <w:lang w:val="en-CA"/>
        </w:rPr>
        <w:t>lined</w:t>
      </w:r>
      <w:r w:rsidRPr="00CF4E9F">
        <w:rPr>
          <w:lang w:val="en-CA"/>
        </w:rPr>
        <w:t xml:space="preserve"> for young drivers (16-24 years) during the relevant period, going from a ratio of 8.3 to 6.7 (</w:t>
      </w:r>
      <w:r w:rsidR="006D0EB2" w:rsidRPr="00CF4E9F">
        <w:rPr>
          <w:lang w:val="en-CA"/>
        </w:rPr>
        <w:t>in relation t</w:t>
      </w:r>
      <w:r w:rsidRPr="00CF4E9F">
        <w:rPr>
          <w:lang w:val="en-CA"/>
        </w:rPr>
        <w:t xml:space="preserve">o their demographic weight). Nonetheless, overrepresentation of young Black drivers </w:t>
      </w:r>
      <w:r w:rsidR="006D0EB2" w:rsidRPr="00CF4E9F">
        <w:rPr>
          <w:lang w:val="en-CA"/>
        </w:rPr>
        <w:t xml:space="preserve">in traffic </w:t>
      </w:r>
      <w:r w:rsidRPr="00CF4E9F">
        <w:rPr>
          <w:lang w:val="en-CA"/>
        </w:rPr>
        <w:t>stop</w:t>
      </w:r>
      <w:r w:rsidR="006D0EB2" w:rsidRPr="00CF4E9F">
        <w:rPr>
          <w:lang w:val="en-CA"/>
        </w:rPr>
        <w:t>s</w:t>
      </w:r>
      <w:r w:rsidRPr="00CF4E9F">
        <w:rPr>
          <w:lang w:val="en-CA"/>
        </w:rPr>
        <w:t xml:space="preserve"> remains unacceptably high.</w:t>
      </w:r>
      <w:r w:rsidRPr="00CF4E9F">
        <w:rPr>
          <w:vertAlign w:val="superscript"/>
          <w:lang w:val="en-CA"/>
        </w:rPr>
        <w:footnoteReference w:id="261"/>
      </w:r>
    </w:p>
    <w:p w14:paraId="4FB97337" w14:textId="16B3BDD1" w:rsidR="001A3EF8" w:rsidRPr="00CF4E9F" w:rsidRDefault="00F6446F" w:rsidP="00512142">
      <w:pPr>
        <w:pStyle w:val="Paragraphe"/>
        <w:spacing w:line="280" w:lineRule="exact"/>
        <w:rPr>
          <w:lang w:val="en-CA"/>
        </w:rPr>
      </w:pPr>
      <w:r w:rsidRPr="00E908A7">
        <w:rPr>
          <w:lang w:val="en-CA"/>
        </w:rPr>
        <w:t>The Montreal and Repentigny</w:t>
      </w:r>
      <w:r w:rsidRPr="00CF4E9F">
        <w:rPr>
          <w:lang w:val="en-CA"/>
        </w:rPr>
        <w:t xml:space="preserve"> studies focus </w:t>
      </w:r>
      <w:r w:rsidR="00E908A7">
        <w:rPr>
          <w:lang w:val="en-CA"/>
        </w:rPr>
        <w:t xml:space="preserve">specifically </w:t>
      </w:r>
      <w:r w:rsidRPr="00CF4E9F">
        <w:rPr>
          <w:lang w:val="en-CA"/>
        </w:rPr>
        <w:t>on the role played by the racialized identity of people</w:t>
      </w:r>
      <w:r w:rsidR="00E908A7">
        <w:rPr>
          <w:lang w:val="en-CA"/>
        </w:rPr>
        <w:t xml:space="preserve"> who are</w:t>
      </w:r>
      <w:r w:rsidRPr="00CF4E9F">
        <w:rPr>
          <w:lang w:val="en-CA"/>
        </w:rPr>
        <w:t xml:space="preserve"> </w:t>
      </w:r>
      <w:r w:rsidR="00F70EE1">
        <w:rPr>
          <w:lang w:val="en-CA"/>
        </w:rPr>
        <w:t xml:space="preserve">subjected to </w:t>
      </w:r>
      <w:r w:rsidRPr="00CF4E9F">
        <w:rPr>
          <w:lang w:val="en-CA"/>
        </w:rPr>
        <w:t>street check</w:t>
      </w:r>
      <w:r w:rsidR="00F70EE1">
        <w:rPr>
          <w:lang w:val="en-CA"/>
        </w:rPr>
        <w:t>s</w:t>
      </w:r>
      <w:r w:rsidRPr="00CF4E9F">
        <w:rPr>
          <w:lang w:val="en-CA"/>
        </w:rPr>
        <w:t xml:space="preserve"> or </w:t>
      </w:r>
      <w:r w:rsidR="00F70EE1">
        <w:rPr>
          <w:lang w:val="en-CA"/>
        </w:rPr>
        <w:t xml:space="preserve">traffic </w:t>
      </w:r>
      <w:r w:rsidRPr="00CF4E9F">
        <w:rPr>
          <w:lang w:val="en-CA"/>
        </w:rPr>
        <w:t>stop</w:t>
      </w:r>
      <w:r w:rsidR="00F70EE1">
        <w:rPr>
          <w:lang w:val="en-CA"/>
        </w:rPr>
        <w:t>s</w:t>
      </w:r>
      <w:r w:rsidRPr="00CF4E9F">
        <w:rPr>
          <w:lang w:val="en-CA"/>
        </w:rPr>
        <w:t xml:space="preserve"> by the police.</w:t>
      </w:r>
      <w:r w:rsidR="0043013D" w:rsidRPr="00CF4E9F">
        <w:rPr>
          <w:lang w:val="en-CA"/>
        </w:rPr>
        <w:t xml:space="preserve"> </w:t>
      </w:r>
      <w:r w:rsidRPr="00CF4E9F">
        <w:rPr>
          <w:lang w:val="en-CA"/>
        </w:rPr>
        <w:t>They rely primarily on statistic</w:t>
      </w:r>
      <w:r w:rsidR="00E908A7">
        <w:rPr>
          <w:lang w:val="en-CA"/>
        </w:rPr>
        <w:t>al data</w:t>
      </w:r>
      <w:r w:rsidRPr="00CF4E9F">
        <w:rPr>
          <w:lang w:val="en-CA"/>
        </w:rPr>
        <w:t xml:space="preserve"> gathered by the Montreal (</w:t>
      </w:r>
      <w:r w:rsidR="00B56F83" w:rsidRPr="00CF4E9F">
        <w:rPr>
          <w:lang w:val="en-CA"/>
        </w:rPr>
        <w:t>“</w:t>
      </w:r>
      <w:r w:rsidRPr="00CF4E9F">
        <w:rPr>
          <w:lang w:val="en-CA"/>
        </w:rPr>
        <w:t>SPVM”) and Repentigny (</w:t>
      </w:r>
      <w:r w:rsidR="00B56F83" w:rsidRPr="00CF4E9F">
        <w:rPr>
          <w:lang w:val="en-CA"/>
        </w:rPr>
        <w:t>“</w:t>
      </w:r>
      <w:r w:rsidRPr="00CF4E9F">
        <w:rPr>
          <w:lang w:val="en-CA"/>
        </w:rPr>
        <w:t>SPVR”) police forces.</w:t>
      </w:r>
      <w:r w:rsidR="0043013D" w:rsidRPr="00CF4E9F">
        <w:rPr>
          <w:lang w:val="en-CA"/>
        </w:rPr>
        <w:t xml:space="preserve"> </w:t>
      </w:r>
      <w:r w:rsidRPr="00CF4E9F">
        <w:rPr>
          <w:lang w:val="en-CA"/>
        </w:rPr>
        <w:t>The Montreal data concerns almost exclusively street checks (reference period: 2014-2017), whereas the Repentigny data concerns both street checks and traffic stops (reference period: 2016-2019).</w:t>
      </w:r>
    </w:p>
    <w:p w14:paraId="1885E4AB" w14:textId="0F539066" w:rsidR="001A3EF8" w:rsidRPr="00CF4E9F" w:rsidRDefault="004C42C3" w:rsidP="00512142">
      <w:pPr>
        <w:pStyle w:val="Paragraphe"/>
        <w:spacing w:line="280" w:lineRule="exact"/>
        <w:rPr>
          <w:lang w:val="en-CA"/>
        </w:rPr>
      </w:pPr>
      <w:r>
        <w:rPr>
          <w:lang w:val="en-CA"/>
        </w:rPr>
        <w:t>As part of</w:t>
      </w:r>
      <w:r w:rsidRPr="00CF4E9F">
        <w:rPr>
          <w:lang w:val="en-CA"/>
        </w:rPr>
        <w:t xml:space="preserve"> </w:t>
      </w:r>
      <w:r w:rsidR="00616C0E" w:rsidRPr="00CF4E9F">
        <w:rPr>
          <w:lang w:val="en-CA"/>
        </w:rPr>
        <w:t xml:space="preserve">these studies, in which expert Mulone participated, researchers developed two racial profiling indicators: (1) a street check </w:t>
      </w:r>
      <w:r w:rsidR="00F9226F" w:rsidRPr="00CF4E9F">
        <w:rPr>
          <w:lang w:val="en-CA"/>
        </w:rPr>
        <w:t xml:space="preserve">risk </w:t>
      </w:r>
      <w:r w:rsidR="00616C0E" w:rsidRPr="00CF4E9F">
        <w:rPr>
          <w:lang w:val="en-CA"/>
        </w:rPr>
        <w:t xml:space="preserve">disparity index (“ICDI”), which measures the disproportion between the population </w:t>
      </w:r>
      <w:r w:rsidR="00F9226F" w:rsidRPr="00CF4E9F">
        <w:rPr>
          <w:lang w:val="en-CA"/>
        </w:rPr>
        <w:t xml:space="preserve">of people </w:t>
      </w:r>
      <w:r w:rsidR="00616C0E" w:rsidRPr="00CF4E9F">
        <w:rPr>
          <w:lang w:val="en-CA"/>
        </w:rPr>
        <w:t xml:space="preserve">street checked (or stopped) and the overall population; and (2) the “over-street check” index for offences (“ISRI”), which measures the disproportion observed in street checks (or stops) </w:t>
      </w:r>
      <w:r w:rsidR="00F9226F" w:rsidRPr="00CF4E9F">
        <w:rPr>
          <w:lang w:val="en-CA"/>
        </w:rPr>
        <w:t xml:space="preserve">in relation </w:t>
      </w:r>
      <w:r w:rsidR="00616C0E" w:rsidRPr="00CF4E9F">
        <w:rPr>
          <w:lang w:val="en-CA"/>
        </w:rPr>
        <w:t>to the relative weight of each group out of the total offences registered by the police.</w:t>
      </w:r>
      <w:r w:rsidR="00616C0E" w:rsidRPr="00CF4E9F">
        <w:rPr>
          <w:vertAlign w:val="superscript"/>
          <w:lang w:val="en-CA"/>
        </w:rPr>
        <w:footnoteReference w:id="262"/>
      </w:r>
    </w:p>
    <w:p w14:paraId="63A225DF" w14:textId="7C92AB46" w:rsidR="001A3EF8" w:rsidRPr="00CF4E9F" w:rsidRDefault="00616C0E" w:rsidP="00512142">
      <w:pPr>
        <w:pStyle w:val="Paragraphe"/>
        <w:spacing w:line="280" w:lineRule="exact"/>
        <w:rPr>
          <w:lang w:val="en-CA"/>
        </w:rPr>
      </w:pPr>
      <w:r w:rsidRPr="00CF4E9F">
        <w:rPr>
          <w:lang w:val="en-CA"/>
        </w:rPr>
        <w:t>In Montreal</w:t>
      </w:r>
      <w:r w:rsidR="00F9226F" w:rsidRPr="00CF4E9F">
        <w:rPr>
          <w:lang w:val="en-CA"/>
        </w:rPr>
        <w:t>, the results found that</w:t>
      </w:r>
      <w:r w:rsidRPr="00CF4E9F">
        <w:rPr>
          <w:lang w:val="en-CA"/>
        </w:rPr>
        <w:t>:</w:t>
      </w:r>
    </w:p>
    <w:p w14:paraId="73ADDDA5" w14:textId="67AAAEA6" w:rsidR="004C584D" w:rsidRDefault="004C584D" w:rsidP="004C584D">
      <w:pPr>
        <w:spacing w:before="120" w:after="120"/>
        <w:ind w:left="720" w:right="720"/>
        <w:jc w:val="both"/>
        <w:rPr>
          <w:rFonts w:cs="Arial"/>
          <w:kern w:val="24"/>
          <w:sz w:val="22"/>
          <w:szCs w:val="22"/>
          <w:lang w:val="en-CA"/>
        </w:rPr>
      </w:pPr>
      <w:r>
        <w:rPr>
          <w:rFonts w:cs="Arial"/>
          <w:kern w:val="24"/>
          <w:sz w:val="22"/>
          <w:szCs w:val="22"/>
          <w:lang w:val="en-CA"/>
        </w:rPr>
        <w:t>[</w:t>
      </w:r>
      <w:r w:rsidRPr="00E3767F">
        <w:rPr>
          <w:rFonts w:cs="Arial"/>
          <w:smallCaps/>
          <w:kern w:val="24"/>
          <w:sz w:val="22"/>
          <w:szCs w:val="22"/>
          <w:lang w:val="en-CA"/>
        </w:rPr>
        <w:t>translation</w:t>
      </w:r>
      <w:r>
        <w:rPr>
          <w:rFonts w:cs="Arial"/>
          <w:kern w:val="24"/>
          <w:sz w:val="22"/>
          <w:szCs w:val="22"/>
          <w:lang w:val="en-CA"/>
        </w:rPr>
        <w:t>]</w:t>
      </w:r>
    </w:p>
    <w:p w14:paraId="5E93CD3A" w14:textId="5AAB2B6D" w:rsidR="001A3EF8" w:rsidRPr="00CF4E9F" w:rsidRDefault="00616C0E" w:rsidP="00E3767F">
      <w:pPr>
        <w:numPr>
          <w:ilvl w:val="0"/>
          <w:numId w:val="4"/>
        </w:numPr>
        <w:spacing w:before="120" w:after="120"/>
        <w:ind w:right="720"/>
        <w:jc w:val="both"/>
        <w:rPr>
          <w:rFonts w:cs="Arial"/>
          <w:kern w:val="24"/>
          <w:sz w:val="22"/>
          <w:szCs w:val="22"/>
          <w:lang w:val="en-CA"/>
        </w:rPr>
      </w:pPr>
      <w:r w:rsidRPr="00CF4E9F">
        <w:rPr>
          <w:rFonts w:cs="Arial"/>
          <w:kern w:val="24"/>
          <w:sz w:val="22"/>
          <w:szCs w:val="22"/>
          <w:lang w:val="en-CA"/>
        </w:rPr>
        <w:t xml:space="preserve">Black people </w:t>
      </w:r>
      <w:r w:rsidR="00F9226F" w:rsidRPr="00CF4E9F">
        <w:rPr>
          <w:rFonts w:cs="Arial"/>
          <w:kern w:val="24"/>
          <w:sz w:val="22"/>
          <w:szCs w:val="22"/>
          <w:lang w:val="en-CA"/>
        </w:rPr>
        <w:t>are</w:t>
      </w:r>
      <w:r w:rsidRPr="00CF4E9F">
        <w:rPr>
          <w:rFonts w:cs="Arial"/>
          <w:kern w:val="24"/>
          <w:sz w:val="22"/>
          <w:szCs w:val="22"/>
          <w:lang w:val="en-CA"/>
        </w:rPr>
        <w:t xml:space="preserve"> 4.24 </w:t>
      </w:r>
      <w:r w:rsidR="00F9226F" w:rsidRPr="00CF4E9F">
        <w:rPr>
          <w:rFonts w:cs="Arial"/>
          <w:kern w:val="24"/>
          <w:sz w:val="22"/>
          <w:szCs w:val="22"/>
          <w:lang w:val="en-CA"/>
        </w:rPr>
        <w:t>times more likely t</w:t>
      </w:r>
      <w:r w:rsidRPr="00CF4E9F">
        <w:rPr>
          <w:rFonts w:cs="Arial"/>
          <w:kern w:val="24"/>
          <w:sz w:val="22"/>
          <w:szCs w:val="22"/>
          <w:lang w:val="en-CA"/>
        </w:rPr>
        <w:t>o be street checked than White people (I</w:t>
      </w:r>
      <w:r w:rsidR="008B1AEA">
        <w:rPr>
          <w:rFonts w:cs="Arial"/>
          <w:kern w:val="24"/>
          <w:sz w:val="22"/>
          <w:szCs w:val="22"/>
          <w:lang w:val="en-CA"/>
        </w:rPr>
        <w:t>C</w:t>
      </w:r>
      <w:r w:rsidRPr="00CF4E9F">
        <w:rPr>
          <w:rFonts w:cs="Arial"/>
          <w:kern w:val="24"/>
          <w:sz w:val="22"/>
          <w:szCs w:val="22"/>
          <w:lang w:val="en-CA"/>
        </w:rPr>
        <w:t>DI = 4.24).</w:t>
      </w:r>
    </w:p>
    <w:p w14:paraId="67351584" w14:textId="249E19FF" w:rsidR="001A3EF8" w:rsidRPr="00CF4E9F" w:rsidRDefault="00616C0E" w:rsidP="004D42FA">
      <w:pPr>
        <w:numPr>
          <w:ilvl w:val="0"/>
          <w:numId w:val="4"/>
        </w:numPr>
        <w:spacing w:before="120" w:after="120"/>
        <w:ind w:right="720"/>
        <w:jc w:val="both"/>
        <w:rPr>
          <w:rFonts w:cs="Arial"/>
          <w:kern w:val="24"/>
          <w:sz w:val="22"/>
          <w:szCs w:val="22"/>
          <w:lang w:val="en-CA"/>
        </w:rPr>
      </w:pPr>
      <w:r w:rsidRPr="00CF4E9F">
        <w:rPr>
          <w:rFonts w:cs="Arial"/>
          <w:kern w:val="24"/>
          <w:sz w:val="22"/>
          <w:szCs w:val="22"/>
          <w:lang w:val="en-CA"/>
        </w:rPr>
        <w:t xml:space="preserve">These disparities cannot be explained by </w:t>
      </w:r>
      <w:r w:rsidR="008A7E2E">
        <w:rPr>
          <w:rFonts w:cs="Arial"/>
          <w:kern w:val="24"/>
          <w:sz w:val="22"/>
          <w:szCs w:val="22"/>
          <w:lang w:val="en-CA"/>
        </w:rPr>
        <w:t>the presumed participa</w:t>
      </w:r>
      <w:r w:rsidR="0011102B">
        <w:rPr>
          <w:rFonts w:cs="Arial"/>
          <w:kern w:val="24"/>
          <w:sz w:val="22"/>
          <w:szCs w:val="22"/>
          <w:lang w:val="en-CA"/>
        </w:rPr>
        <w:t>t</w:t>
      </w:r>
      <w:r w:rsidR="008A7E2E">
        <w:rPr>
          <w:rFonts w:cs="Arial"/>
          <w:kern w:val="24"/>
          <w:sz w:val="22"/>
          <w:szCs w:val="22"/>
          <w:lang w:val="en-CA"/>
        </w:rPr>
        <w:t>ion</w:t>
      </w:r>
      <w:r w:rsidRPr="00CF4E9F">
        <w:rPr>
          <w:rFonts w:cs="Arial"/>
          <w:kern w:val="24"/>
          <w:sz w:val="22"/>
          <w:szCs w:val="22"/>
          <w:lang w:val="en-CA"/>
        </w:rPr>
        <w:t xml:space="preserve"> (based on official crime statistics) of Black people in crim</w:t>
      </w:r>
      <w:r w:rsidR="00315EA4" w:rsidRPr="00CF4E9F">
        <w:rPr>
          <w:rFonts w:cs="Arial"/>
          <w:kern w:val="24"/>
          <w:sz w:val="22"/>
          <w:szCs w:val="22"/>
          <w:lang w:val="en-CA"/>
        </w:rPr>
        <w:t>e</w:t>
      </w:r>
      <w:r w:rsidRPr="00CF4E9F">
        <w:rPr>
          <w:rFonts w:cs="Arial"/>
          <w:kern w:val="24"/>
          <w:sz w:val="22"/>
          <w:szCs w:val="22"/>
          <w:lang w:val="en-CA"/>
        </w:rPr>
        <w:t>.</w:t>
      </w:r>
      <w:r w:rsidR="00685E19" w:rsidRPr="00CF4E9F">
        <w:rPr>
          <w:rFonts w:cs="Arial"/>
          <w:kern w:val="24"/>
          <w:sz w:val="22"/>
          <w:szCs w:val="22"/>
          <w:lang w:val="en-CA"/>
        </w:rPr>
        <w:t xml:space="preserve"> </w:t>
      </w:r>
      <w:r w:rsidRPr="00CF4E9F">
        <w:rPr>
          <w:rFonts w:cs="Arial"/>
          <w:kern w:val="24"/>
          <w:sz w:val="22"/>
          <w:szCs w:val="22"/>
          <w:lang w:val="en-CA"/>
        </w:rPr>
        <w:t xml:space="preserve">These </w:t>
      </w:r>
      <w:r w:rsidR="00D80AB9">
        <w:rPr>
          <w:rFonts w:cs="Arial"/>
          <w:kern w:val="24"/>
          <w:sz w:val="22"/>
          <w:szCs w:val="22"/>
          <w:lang w:val="en-CA"/>
        </w:rPr>
        <w:t xml:space="preserve">individuals </w:t>
      </w:r>
      <w:r w:rsidRPr="00CF4E9F">
        <w:rPr>
          <w:rFonts w:cs="Arial"/>
          <w:kern w:val="24"/>
          <w:sz w:val="22"/>
          <w:szCs w:val="22"/>
          <w:lang w:val="en-CA"/>
        </w:rPr>
        <w:t>are over</w:t>
      </w:r>
      <w:r w:rsidR="00CA2F78">
        <w:rPr>
          <w:rFonts w:cs="Arial"/>
          <w:kern w:val="24"/>
          <w:sz w:val="22"/>
          <w:szCs w:val="22"/>
          <w:lang w:val="en-CA"/>
        </w:rPr>
        <w:noBreakHyphen/>
      </w:r>
      <w:r w:rsidRPr="00CF4E9F">
        <w:rPr>
          <w:rFonts w:cs="Arial"/>
          <w:kern w:val="24"/>
          <w:sz w:val="22"/>
          <w:szCs w:val="22"/>
          <w:lang w:val="en-CA"/>
        </w:rPr>
        <w:t>street</w:t>
      </w:r>
      <w:r w:rsidR="00296722">
        <w:rPr>
          <w:rFonts w:cs="Arial"/>
          <w:kern w:val="24"/>
          <w:sz w:val="22"/>
          <w:szCs w:val="22"/>
          <w:lang w:val="en-CA"/>
        </w:rPr>
        <w:t xml:space="preserve"> </w:t>
      </w:r>
      <w:r w:rsidRPr="00CF4E9F">
        <w:rPr>
          <w:rFonts w:cs="Arial"/>
          <w:kern w:val="24"/>
          <w:sz w:val="22"/>
          <w:szCs w:val="22"/>
          <w:lang w:val="en-CA"/>
        </w:rPr>
        <w:t>checked</w:t>
      </w:r>
      <w:r w:rsidR="008A7E2E">
        <w:rPr>
          <w:rFonts w:cs="Arial"/>
          <w:kern w:val="24"/>
          <w:sz w:val="22"/>
          <w:szCs w:val="22"/>
          <w:lang w:val="en-CA"/>
        </w:rPr>
        <w:t xml:space="preserve"> by</w:t>
      </w:r>
      <w:r w:rsidRPr="00CF4E9F">
        <w:rPr>
          <w:rFonts w:cs="Arial"/>
          <w:kern w:val="24"/>
          <w:sz w:val="22"/>
          <w:szCs w:val="22"/>
          <w:lang w:val="en-CA"/>
        </w:rPr>
        <w:t xml:space="preserve"> 66% in relation to their </w:t>
      </w:r>
      <w:r w:rsidR="00315EA4" w:rsidRPr="00CF4E9F">
        <w:rPr>
          <w:rFonts w:cs="Arial"/>
          <w:kern w:val="24"/>
          <w:sz w:val="22"/>
          <w:szCs w:val="22"/>
          <w:lang w:val="en-CA"/>
        </w:rPr>
        <w:t xml:space="preserve">alleged involvement </w:t>
      </w:r>
      <w:r w:rsidRPr="00CF4E9F">
        <w:rPr>
          <w:rFonts w:cs="Arial"/>
          <w:kern w:val="24"/>
          <w:sz w:val="22"/>
          <w:szCs w:val="22"/>
          <w:lang w:val="en-CA"/>
        </w:rPr>
        <w:t>in criminal offence</w:t>
      </w:r>
      <w:r w:rsidR="00315EA4" w:rsidRPr="00CF4E9F">
        <w:rPr>
          <w:rFonts w:cs="Arial"/>
          <w:kern w:val="24"/>
          <w:sz w:val="22"/>
          <w:szCs w:val="22"/>
          <w:lang w:val="en-CA"/>
        </w:rPr>
        <w:t>s</w:t>
      </w:r>
      <w:r w:rsidRPr="00CF4E9F">
        <w:rPr>
          <w:rFonts w:cs="Arial"/>
          <w:kern w:val="24"/>
          <w:sz w:val="22"/>
          <w:szCs w:val="22"/>
          <w:lang w:val="en-CA"/>
        </w:rPr>
        <w:t xml:space="preserve"> (ISRI = 1.66).</w:t>
      </w:r>
      <w:r w:rsidR="00685E19" w:rsidRPr="00CF4E9F">
        <w:rPr>
          <w:rFonts w:cs="Arial"/>
          <w:kern w:val="24"/>
          <w:sz w:val="22"/>
          <w:szCs w:val="22"/>
          <w:lang w:val="en-CA"/>
        </w:rPr>
        <w:t xml:space="preserve"> </w:t>
      </w:r>
      <w:r w:rsidRPr="00CF4E9F">
        <w:rPr>
          <w:rFonts w:cs="Arial"/>
          <w:kern w:val="24"/>
          <w:sz w:val="22"/>
          <w:szCs w:val="22"/>
          <w:lang w:val="en-CA"/>
        </w:rPr>
        <w:t>They are over</w:t>
      </w:r>
      <w:r w:rsidR="00CA2F78">
        <w:rPr>
          <w:rFonts w:cs="Arial"/>
          <w:kern w:val="24"/>
          <w:sz w:val="22"/>
          <w:szCs w:val="22"/>
          <w:lang w:val="en-CA"/>
        </w:rPr>
        <w:noBreakHyphen/>
      </w:r>
      <w:r w:rsidRPr="00CF4E9F">
        <w:rPr>
          <w:rFonts w:cs="Arial"/>
          <w:kern w:val="24"/>
          <w:sz w:val="22"/>
          <w:szCs w:val="22"/>
          <w:lang w:val="en-CA"/>
        </w:rPr>
        <w:t>street</w:t>
      </w:r>
      <w:r w:rsidR="00296722">
        <w:rPr>
          <w:rFonts w:cs="Arial"/>
          <w:kern w:val="24"/>
          <w:sz w:val="22"/>
          <w:szCs w:val="22"/>
          <w:lang w:val="en-CA"/>
        </w:rPr>
        <w:t xml:space="preserve"> </w:t>
      </w:r>
      <w:r w:rsidRPr="00CF4E9F">
        <w:rPr>
          <w:rFonts w:cs="Arial"/>
          <w:kern w:val="24"/>
          <w:sz w:val="22"/>
          <w:szCs w:val="22"/>
          <w:lang w:val="en-CA"/>
        </w:rPr>
        <w:t>checked</w:t>
      </w:r>
      <w:r w:rsidR="008A7E2E">
        <w:rPr>
          <w:rFonts w:cs="Arial"/>
          <w:kern w:val="24"/>
          <w:sz w:val="22"/>
          <w:szCs w:val="22"/>
          <w:lang w:val="en-CA"/>
        </w:rPr>
        <w:t xml:space="preserve"> by</w:t>
      </w:r>
      <w:r w:rsidRPr="00CF4E9F">
        <w:rPr>
          <w:rFonts w:cs="Arial"/>
          <w:kern w:val="24"/>
          <w:sz w:val="22"/>
          <w:szCs w:val="22"/>
          <w:lang w:val="en-CA"/>
        </w:rPr>
        <w:t xml:space="preserve"> 137% in relation to their </w:t>
      </w:r>
      <w:r w:rsidR="00315EA4" w:rsidRPr="00CF4E9F">
        <w:rPr>
          <w:rFonts w:cs="Arial"/>
          <w:kern w:val="24"/>
          <w:sz w:val="22"/>
          <w:szCs w:val="22"/>
          <w:lang w:val="en-CA"/>
        </w:rPr>
        <w:t xml:space="preserve">alleged involvement </w:t>
      </w:r>
      <w:r w:rsidRPr="00CF4E9F">
        <w:rPr>
          <w:rFonts w:cs="Arial"/>
          <w:kern w:val="24"/>
          <w:sz w:val="22"/>
          <w:szCs w:val="22"/>
          <w:lang w:val="en-CA"/>
        </w:rPr>
        <w:t>in municipal by-law offences (ISRI = 2.37).</w:t>
      </w:r>
    </w:p>
    <w:p w14:paraId="7A8754EC" w14:textId="741F41D3" w:rsidR="001A3EF8" w:rsidRPr="00CF4E9F" w:rsidRDefault="00616C0E" w:rsidP="004D42FA">
      <w:pPr>
        <w:numPr>
          <w:ilvl w:val="0"/>
          <w:numId w:val="4"/>
        </w:numPr>
        <w:spacing w:before="120" w:after="120"/>
        <w:ind w:right="720"/>
        <w:jc w:val="both"/>
        <w:rPr>
          <w:rFonts w:cs="Arial"/>
          <w:kern w:val="24"/>
          <w:sz w:val="22"/>
          <w:szCs w:val="22"/>
          <w:lang w:val="en-CA"/>
        </w:rPr>
      </w:pPr>
      <w:r w:rsidRPr="00CF4E9F">
        <w:rPr>
          <w:rFonts w:cs="Arial"/>
          <w:kern w:val="24"/>
          <w:sz w:val="22"/>
          <w:szCs w:val="22"/>
          <w:lang w:val="en-CA"/>
        </w:rPr>
        <w:t xml:space="preserve">While these disparities are more marked for youth (between 15 and 34 years) and men, they apply to every age group and gender </w:t>
      </w:r>
      <w:r w:rsidR="00F9226F" w:rsidRPr="00CF4E9F">
        <w:rPr>
          <w:rFonts w:cs="Arial"/>
          <w:kern w:val="24"/>
          <w:sz w:val="22"/>
          <w:szCs w:val="22"/>
          <w:lang w:val="en-CA"/>
        </w:rPr>
        <w:t xml:space="preserve">of the Black community overall </w:t>
      </w:r>
      <w:r w:rsidRPr="00CF4E9F">
        <w:rPr>
          <w:rFonts w:cs="Arial"/>
          <w:kern w:val="24"/>
          <w:sz w:val="22"/>
          <w:szCs w:val="22"/>
          <w:lang w:val="en-CA"/>
        </w:rPr>
        <w:t xml:space="preserve">(in comparison, discrimination against </w:t>
      </w:r>
      <w:r w:rsidR="00CA2F78">
        <w:rPr>
          <w:rFonts w:cs="Arial"/>
          <w:kern w:val="24"/>
          <w:sz w:val="22"/>
          <w:szCs w:val="22"/>
          <w:lang w:val="en-CA"/>
        </w:rPr>
        <w:t xml:space="preserve">the </w:t>
      </w:r>
      <w:r w:rsidRPr="00CF4E9F">
        <w:rPr>
          <w:rFonts w:cs="Arial"/>
          <w:kern w:val="24"/>
          <w:sz w:val="22"/>
          <w:szCs w:val="22"/>
          <w:lang w:val="en-CA"/>
        </w:rPr>
        <w:t>Arab</w:t>
      </w:r>
      <w:r w:rsidR="00CA2F78">
        <w:rPr>
          <w:rFonts w:cs="Arial"/>
          <w:kern w:val="24"/>
          <w:sz w:val="22"/>
          <w:szCs w:val="22"/>
          <w:lang w:val="en-CA"/>
        </w:rPr>
        <w:t xml:space="preserve"> population</w:t>
      </w:r>
      <w:r w:rsidRPr="00CF4E9F">
        <w:rPr>
          <w:rFonts w:cs="Arial"/>
          <w:kern w:val="24"/>
          <w:sz w:val="22"/>
          <w:szCs w:val="22"/>
          <w:lang w:val="en-CA"/>
        </w:rPr>
        <w:t xml:space="preserve"> is limited to young men between 15 and 24 years).</w:t>
      </w:r>
    </w:p>
    <w:p w14:paraId="34D1D81F" w14:textId="19B59A18" w:rsidR="001A3EF8" w:rsidRPr="00CF4E9F" w:rsidRDefault="00616C0E" w:rsidP="004D42FA">
      <w:pPr>
        <w:numPr>
          <w:ilvl w:val="0"/>
          <w:numId w:val="4"/>
        </w:numPr>
        <w:spacing w:before="120" w:after="120"/>
        <w:ind w:right="720"/>
        <w:jc w:val="both"/>
        <w:rPr>
          <w:rFonts w:cs="Arial"/>
          <w:kern w:val="24"/>
          <w:sz w:val="22"/>
          <w:szCs w:val="22"/>
          <w:lang w:val="en-CA"/>
        </w:rPr>
      </w:pPr>
      <w:r w:rsidRPr="00CF4E9F">
        <w:rPr>
          <w:rFonts w:cs="Arial"/>
          <w:kern w:val="24"/>
          <w:sz w:val="22"/>
          <w:szCs w:val="22"/>
          <w:lang w:val="en-CA"/>
        </w:rPr>
        <w:t>Discrimination against Black people has remained stable over time, at least for the four years studied.</w:t>
      </w:r>
    </w:p>
    <w:p w14:paraId="715CF6CC" w14:textId="53EF88D8" w:rsidR="001A3EF8" w:rsidRPr="00CF4E9F" w:rsidRDefault="00616C0E" w:rsidP="004D42FA">
      <w:pPr>
        <w:numPr>
          <w:ilvl w:val="0"/>
          <w:numId w:val="4"/>
        </w:numPr>
        <w:spacing w:before="120" w:after="120"/>
        <w:ind w:right="720"/>
        <w:jc w:val="both"/>
        <w:rPr>
          <w:rFonts w:cs="Arial"/>
          <w:kern w:val="24"/>
          <w:sz w:val="22"/>
          <w:szCs w:val="22"/>
          <w:lang w:val="en-CA"/>
        </w:rPr>
      </w:pPr>
      <w:r w:rsidRPr="00CF4E9F">
        <w:rPr>
          <w:rFonts w:cs="Arial"/>
          <w:kern w:val="24"/>
          <w:sz w:val="22"/>
          <w:szCs w:val="22"/>
          <w:lang w:val="en-CA"/>
        </w:rPr>
        <w:lastRenderedPageBreak/>
        <w:t xml:space="preserve">Geographic disparities are also </w:t>
      </w:r>
      <w:r w:rsidR="00F9226F" w:rsidRPr="00CF4E9F">
        <w:rPr>
          <w:rFonts w:cs="Arial"/>
          <w:kern w:val="24"/>
          <w:sz w:val="22"/>
          <w:szCs w:val="22"/>
          <w:lang w:val="en-CA"/>
        </w:rPr>
        <w:t xml:space="preserve">relatively </w:t>
      </w:r>
      <w:r w:rsidRPr="00CF4E9F">
        <w:rPr>
          <w:rFonts w:cs="Arial"/>
          <w:kern w:val="24"/>
          <w:sz w:val="22"/>
          <w:szCs w:val="22"/>
          <w:lang w:val="en-CA"/>
        </w:rPr>
        <w:t xml:space="preserve">stable </w:t>
      </w:r>
      <w:r w:rsidR="00CC0085">
        <w:rPr>
          <w:rFonts w:cs="Arial"/>
          <w:kern w:val="24"/>
          <w:sz w:val="22"/>
          <w:szCs w:val="22"/>
          <w:lang w:val="en-CA"/>
        </w:rPr>
        <w:t>[</w:t>
      </w:r>
      <w:r w:rsidR="00CC0085" w:rsidRPr="00CF4E9F">
        <w:rPr>
          <w:rFonts w:cs="Arial"/>
          <w:kern w:val="24"/>
          <w:sz w:val="22"/>
          <w:szCs w:val="22"/>
          <w:lang w:val="en-CA"/>
        </w:rPr>
        <w:t>...</w:t>
      </w:r>
      <w:r w:rsidR="00CC0085">
        <w:rPr>
          <w:rFonts w:cs="Arial"/>
          <w:kern w:val="24"/>
          <w:sz w:val="22"/>
          <w:szCs w:val="22"/>
          <w:lang w:val="en-CA"/>
        </w:rPr>
        <w:t>]</w:t>
      </w:r>
      <w:r w:rsidRPr="00CF4E9F">
        <w:rPr>
          <w:rFonts w:cs="Arial"/>
          <w:kern w:val="24"/>
          <w:sz w:val="22"/>
          <w:szCs w:val="22"/>
          <w:lang w:val="en-CA"/>
        </w:rPr>
        <w:t>.</w:t>
      </w:r>
    </w:p>
    <w:p w14:paraId="1674F2A3" w14:textId="48557993" w:rsidR="001A3EF8" w:rsidRPr="00CF4E9F" w:rsidRDefault="00616C0E" w:rsidP="004D42FA">
      <w:pPr>
        <w:numPr>
          <w:ilvl w:val="0"/>
          <w:numId w:val="4"/>
        </w:numPr>
        <w:spacing w:before="120" w:after="120"/>
        <w:ind w:right="720"/>
        <w:jc w:val="both"/>
        <w:rPr>
          <w:rFonts w:ascii="Segoe UI" w:hAnsi="Segoe UI" w:cs="Segoe UI"/>
          <w:kern w:val="24"/>
          <w:sz w:val="22"/>
          <w:szCs w:val="22"/>
          <w:lang w:val="en-CA"/>
        </w:rPr>
      </w:pPr>
      <w:r w:rsidRPr="00CF4E9F">
        <w:rPr>
          <w:rFonts w:cs="Arial"/>
          <w:kern w:val="24"/>
          <w:sz w:val="22"/>
          <w:szCs w:val="22"/>
          <w:lang w:val="en-CA"/>
        </w:rPr>
        <w:t xml:space="preserve">That being said, there are significant variations between </w:t>
      </w:r>
      <w:r w:rsidR="00F9226F" w:rsidRPr="00CF4E9F">
        <w:rPr>
          <w:rFonts w:cs="Arial"/>
          <w:kern w:val="24"/>
          <w:sz w:val="22"/>
          <w:szCs w:val="22"/>
          <w:lang w:val="en-CA"/>
        </w:rPr>
        <w:t xml:space="preserve">the </w:t>
      </w:r>
      <w:r w:rsidRPr="00CF4E9F">
        <w:rPr>
          <w:rFonts w:cs="Arial"/>
          <w:kern w:val="24"/>
          <w:sz w:val="22"/>
          <w:szCs w:val="22"/>
          <w:lang w:val="en-CA"/>
        </w:rPr>
        <w:t xml:space="preserve">different neighbourhoods </w:t>
      </w:r>
      <w:r w:rsidR="00EF24F1">
        <w:rPr>
          <w:rFonts w:cs="Arial"/>
          <w:kern w:val="24"/>
          <w:sz w:val="22"/>
          <w:szCs w:val="22"/>
          <w:lang w:val="en-CA"/>
        </w:rPr>
        <w:t>[</w:t>
      </w:r>
      <w:r w:rsidR="00EF24F1" w:rsidRPr="00CF4E9F">
        <w:rPr>
          <w:rFonts w:cs="Arial"/>
          <w:kern w:val="24"/>
          <w:sz w:val="22"/>
          <w:szCs w:val="22"/>
          <w:lang w:val="en-CA"/>
        </w:rPr>
        <w:t>...</w:t>
      </w:r>
      <w:r w:rsidR="00EF24F1">
        <w:rPr>
          <w:rFonts w:cs="Arial"/>
          <w:kern w:val="24"/>
          <w:sz w:val="22"/>
          <w:szCs w:val="22"/>
          <w:lang w:val="en-CA"/>
        </w:rPr>
        <w:t>]</w:t>
      </w:r>
      <w:r w:rsidRPr="00CF4E9F">
        <w:rPr>
          <w:rFonts w:cs="Arial"/>
          <w:kern w:val="24"/>
          <w:sz w:val="22"/>
          <w:szCs w:val="22"/>
          <w:lang w:val="en-CA"/>
        </w:rPr>
        <w:t>.</w:t>
      </w:r>
    </w:p>
    <w:p w14:paraId="1F8D1AE1" w14:textId="312EA0F6" w:rsidR="001A3EF8" w:rsidRPr="00CF4E9F" w:rsidRDefault="00F9226F" w:rsidP="004D42FA">
      <w:pPr>
        <w:numPr>
          <w:ilvl w:val="0"/>
          <w:numId w:val="4"/>
        </w:numPr>
        <w:spacing w:before="120" w:after="120"/>
        <w:ind w:right="720"/>
        <w:jc w:val="both"/>
        <w:rPr>
          <w:rFonts w:cs="Arial"/>
          <w:kern w:val="24"/>
          <w:sz w:val="22"/>
          <w:szCs w:val="22"/>
          <w:lang w:val="en-CA"/>
        </w:rPr>
      </w:pPr>
      <w:r w:rsidRPr="00CF4E9F">
        <w:rPr>
          <w:rFonts w:cs="Arial"/>
          <w:kern w:val="24"/>
          <w:sz w:val="22"/>
          <w:szCs w:val="22"/>
          <w:lang w:val="en-CA"/>
        </w:rPr>
        <w:t>While</w:t>
      </w:r>
      <w:r w:rsidR="00616C0E" w:rsidRPr="00CF4E9F">
        <w:rPr>
          <w:rFonts w:cs="Arial"/>
          <w:kern w:val="24"/>
          <w:sz w:val="22"/>
          <w:szCs w:val="22"/>
          <w:lang w:val="en-CA"/>
        </w:rPr>
        <w:t xml:space="preserve"> criminality does not appear </w:t>
      </w:r>
      <w:r w:rsidRPr="00CF4E9F">
        <w:rPr>
          <w:rFonts w:cs="Arial"/>
          <w:kern w:val="24"/>
          <w:sz w:val="22"/>
          <w:szCs w:val="22"/>
          <w:lang w:val="en-CA"/>
        </w:rPr>
        <w:t xml:space="preserve">to be </w:t>
      </w:r>
      <w:r w:rsidR="00616C0E" w:rsidRPr="00CF4E9F">
        <w:rPr>
          <w:rFonts w:cs="Arial"/>
          <w:kern w:val="24"/>
          <w:sz w:val="22"/>
          <w:szCs w:val="22"/>
          <w:lang w:val="en-CA"/>
        </w:rPr>
        <w:t>correlated to these variations, it is partly explained by ethnocultural diversity.</w:t>
      </w:r>
      <w:r w:rsidR="0043013D" w:rsidRPr="00CF4E9F">
        <w:rPr>
          <w:rFonts w:cs="Arial"/>
          <w:kern w:val="24"/>
          <w:sz w:val="22"/>
          <w:szCs w:val="22"/>
          <w:lang w:val="en-CA"/>
        </w:rPr>
        <w:t xml:space="preserve"> </w:t>
      </w:r>
      <w:r w:rsidR="00616C0E" w:rsidRPr="00CF4E9F">
        <w:rPr>
          <w:rFonts w:cs="Arial"/>
          <w:kern w:val="24"/>
          <w:sz w:val="22"/>
          <w:szCs w:val="22"/>
          <w:lang w:val="en-CA"/>
        </w:rPr>
        <w:t>Thus, in less divers</w:t>
      </w:r>
      <w:r w:rsidR="00C724B2" w:rsidRPr="00CF4E9F">
        <w:rPr>
          <w:rFonts w:cs="Arial"/>
          <w:kern w:val="24"/>
          <w:sz w:val="22"/>
          <w:szCs w:val="22"/>
          <w:lang w:val="en-CA"/>
        </w:rPr>
        <w:t>e</w:t>
      </w:r>
      <w:r w:rsidR="00616C0E" w:rsidRPr="00CF4E9F">
        <w:rPr>
          <w:rFonts w:cs="Arial"/>
          <w:kern w:val="24"/>
          <w:sz w:val="22"/>
          <w:szCs w:val="22"/>
          <w:lang w:val="en-CA"/>
        </w:rPr>
        <w:t xml:space="preserve"> neighbourhoods, Black people </w:t>
      </w:r>
      <w:r w:rsidR="00C724B2" w:rsidRPr="00CF4E9F">
        <w:rPr>
          <w:rFonts w:cs="Arial"/>
          <w:kern w:val="24"/>
          <w:sz w:val="22"/>
          <w:szCs w:val="22"/>
          <w:lang w:val="en-CA"/>
        </w:rPr>
        <w:t xml:space="preserve">are </w:t>
      </w:r>
      <w:r w:rsidR="00616C0E" w:rsidRPr="00CF4E9F">
        <w:rPr>
          <w:rFonts w:cs="Arial"/>
          <w:kern w:val="24"/>
          <w:sz w:val="22"/>
          <w:szCs w:val="22"/>
          <w:lang w:val="en-CA"/>
        </w:rPr>
        <w:t xml:space="preserve">7.91 times </w:t>
      </w:r>
      <w:r w:rsidR="00C724B2" w:rsidRPr="00CF4E9F">
        <w:rPr>
          <w:rFonts w:cs="Arial"/>
          <w:kern w:val="24"/>
          <w:sz w:val="22"/>
          <w:szCs w:val="22"/>
          <w:lang w:val="en-CA"/>
        </w:rPr>
        <w:t>more likely t</w:t>
      </w:r>
      <w:r w:rsidR="00616C0E" w:rsidRPr="00CF4E9F">
        <w:rPr>
          <w:rFonts w:cs="Arial"/>
          <w:kern w:val="24"/>
          <w:sz w:val="22"/>
          <w:szCs w:val="22"/>
          <w:lang w:val="en-CA"/>
        </w:rPr>
        <w:t xml:space="preserve">o be street checked than White people, a rate that </w:t>
      </w:r>
      <w:r w:rsidR="00C724B2" w:rsidRPr="00CF4E9F">
        <w:rPr>
          <w:rFonts w:cs="Arial"/>
          <w:kern w:val="24"/>
          <w:sz w:val="22"/>
          <w:szCs w:val="22"/>
          <w:lang w:val="en-CA"/>
        </w:rPr>
        <w:t xml:space="preserve">goes back down </w:t>
      </w:r>
      <w:r w:rsidR="00616C0E" w:rsidRPr="00CF4E9F">
        <w:rPr>
          <w:rFonts w:cs="Arial"/>
          <w:kern w:val="24"/>
          <w:sz w:val="22"/>
          <w:szCs w:val="22"/>
          <w:lang w:val="en-CA"/>
        </w:rPr>
        <w:t xml:space="preserve">to 3.22 in </w:t>
      </w:r>
      <w:r w:rsidR="00C724B2" w:rsidRPr="00CF4E9F">
        <w:rPr>
          <w:rFonts w:cs="Arial"/>
          <w:kern w:val="24"/>
          <w:sz w:val="22"/>
          <w:szCs w:val="22"/>
          <w:lang w:val="en-CA"/>
        </w:rPr>
        <w:t xml:space="preserve">very diverse </w:t>
      </w:r>
      <w:r w:rsidR="00616C0E" w:rsidRPr="00CF4E9F">
        <w:rPr>
          <w:rFonts w:cs="Arial"/>
          <w:kern w:val="24"/>
          <w:sz w:val="22"/>
          <w:szCs w:val="22"/>
          <w:lang w:val="en-CA"/>
        </w:rPr>
        <w:t>neighbourhoods.</w:t>
      </w:r>
      <w:r w:rsidR="0043013D" w:rsidRPr="00CF4E9F">
        <w:rPr>
          <w:rFonts w:cs="Arial"/>
          <w:kern w:val="24"/>
          <w:sz w:val="22"/>
          <w:szCs w:val="22"/>
          <w:vertAlign w:val="superscript"/>
          <w:lang w:val="en-CA"/>
        </w:rPr>
        <w:footnoteReference w:id="263"/>
      </w:r>
    </w:p>
    <w:p w14:paraId="034CDE0B" w14:textId="6C74FB02" w:rsidR="001A3EF8" w:rsidRPr="00CF4E9F" w:rsidRDefault="00616C0E" w:rsidP="00512142">
      <w:pPr>
        <w:pStyle w:val="Paragraphe"/>
        <w:spacing w:line="280" w:lineRule="exact"/>
        <w:rPr>
          <w:lang w:val="en-CA"/>
        </w:rPr>
      </w:pPr>
      <w:r w:rsidRPr="00CF4E9F">
        <w:rPr>
          <w:lang w:val="en-CA"/>
        </w:rPr>
        <w:t xml:space="preserve">Expert Mulone stated that even though the Montreal study </w:t>
      </w:r>
      <w:r w:rsidR="00C724B2" w:rsidRPr="00CF4E9F">
        <w:rPr>
          <w:lang w:val="en-CA"/>
        </w:rPr>
        <w:t xml:space="preserve">focuses </w:t>
      </w:r>
      <w:r w:rsidRPr="00CF4E9F">
        <w:rPr>
          <w:lang w:val="en-CA"/>
        </w:rPr>
        <w:t xml:space="preserve">primarily </w:t>
      </w:r>
      <w:r w:rsidR="00C724B2" w:rsidRPr="00CF4E9F">
        <w:rPr>
          <w:lang w:val="en-CA"/>
        </w:rPr>
        <w:t xml:space="preserve">on </w:t>
      </w:r>
      <w:r w:rsidRPr="00CF4E9F">
        <w:rPr>
          <w:lang w:val="en-CA"/>
        </w:rPr>
        <w:t xml:space="preserve">police street checks, </w:t>
      </w:r>
      <w:r w:rsidRPr="00CF4E9F">
        <w:rPr>
          <w:rFonts w:cs="Arial"/>
          <w:szCs w:val="24"/>
          <w:lang w:val="en-CA"/>
        </w:rPr>
        <w:t>[</w:t>
      </w:r>
      <w:r w:rsidRPr="00CF4E9F">
        <w:rPr>
          <w:rFonts w:cs="Arial"/>
          <w:smallCaps/>
          <w:szCs w:val="24"/>
          <w:lang w:val="en-CA"/>
        </w:rPr>
        <w:t>translation</w:t>
      </w:r>
      <w:r w:rsidRPr="00CF4E9F">
        <w:rPr>
          <w:rFonts w:cs="Arial"/>
          <w:szCs w:val="24"/>
          <w:lang w:val="en-CA"/>
        </w:rPr>
        <w:t>]</w:t>
      </w:r>
      <w:r w:rsidR="00F8437E">
        <w:rPr>
          <w:lang w:val="en-CA"/>
        </w:rPr>
        <w:t> </w:t>
      </w:r>
      <w:r w:rsidRPr="00CF4E9F">
        <w:rPr>
          <w:lang w:val="en-CA"/>
        </w:rPr>
        <w:t>“there is every reason to believe that the disproportions observed in street checks are reflected to a varying degree in traffic stops”.</w:t>
      </w:r>
      <w:r w:rsidRPr="00CF4E9F">
        <w:rPr>
          <w:vertAlign w:val="superscript"/>
          <w:lang w:val="en-CA"/>
        </w:rPr>
        <w:footnoteReference w:id="264"/>
      </w:r>
    </w:p>
    <w:p w14:paraId="36EEF73B" w14:textId="14B4D61F" w:rsidR="001A3EF8" w:rsidRPr="00CF4E9F" w:rsidRDefault="00616C0E" w:rsidP="00C724B2">
      <w:pPr>
        <w:pStyle w:val="Paragraphe"/>
        <w:keepNext/>
        <w:spacing w:line="280" w:lineRule="exact"/>
        <w:rPr>
          <w:lang w:val="en-CA"/>
        </w:rPr>
      </w:pPr>
      <w:r w:rsidRPr="00CF4E9F">
        <w:rPr>
          <w:lang w:val="en-CA"/>
        </w:rPr>
        <w:t>The Repentigny study reveals that:</w:t>
      </w:r>
    </w:p>
    <w:p w14:paraId="719C21A4" w14:textId="45B68E93" w:rsidR="00B431D5" w:rsidRDefault="00B431D5" w:rsidP="0054143F">
      <w:pPr>
        <w:keepNext/>
        <w:spacing w:before="120" w:after="120"/>
        <w:ind w:left="1080" w:right="720"/>
        <w:jc w:val="both"/>
        <w:rPr>
          <w:rFonts w:cs="Arial"/>
          <w:kern w:val="24"/>
          <w:sz w:val="22"/>
          <w:szCs w:val="22"/>
          <w:lang w:val="en-CA"/>
        </w:rPr>
      </w:pPr>
      <w:r>
        <w:rPr>
          <w:rFonts w:cs="Arial"/>
          <w:kern w:val="24"/>
          <w:sz w:val="22"/>
          <w:szCs w:val="22"/>
          <w:lang w:val="en-CA"/>
        </w:rPr>
        <w:t>[</w:t>
      </w:r>
      <w:r w:rsidRPr="00E3767F">
        <w:rPr>
          <w:rFonts w:cs="Arial"/>
          <w:smallCaps/>
          <w:kern w:val="24"/>
          <w:sz w:val="22"/>
          <w:szCs w:val="22"/>
          <w:lang w:val="en-CA"/>
        </w:rPr>
        <w:t>translation</w:t>
      </w:r>
      <w:r>
        <w:rPr>
          <w:rFonts w:cs="Arial"/>
          <w:kern w:val="24"/>
          <w:sz w:val="22"/>
          <w:szCs w:val="22"/>
          <w:lang w:val="en-CA"/>
        </w:rPr>
        <w:t>]</w:t>
      </w:r>
    </w:p>
    <w:p w14:paraId="088F64DC" w14:textId="0E586EB7" w:rsidR="001A3EF8" w:rsidRPr="00CF4E9F" w:rsidRDefault="00616C0E" w:rsidP="004D42FA">
      <w:pPr>
        <w:keepNext/>
        <w:numPr>
          <w:ilvl w:val="0"/>
          <w:numId w:val="5"/>
        </w:numPr>
        <w:spacing w:before="120" w:after="120"/>
        <w:ind w:right="720"/>
        <w:jc w:val="both"/>
        <w:rPr>
          <w:rFonts w:cs="Arial"/>
          <w:kern w:val="24"/>
          <w:sz w:val="22"/>
          <w:szCs w:val="22"/>
          <w:lang w:val="en-CA"/>
        </w:rPr>
      </w:pPr>
      <w:r w:rsidRPr="00CF4E9F">
        <w:rPr>
          <w:rFonts w:cs="Arial"/>
          <w:kern w:val="24"/>
          <w:sz w:val="22"/>
          <w:szCs w:val="22"/>
          <w:lang w:val="en-CA"/>
        </w:rPr>
        <w:t xml:space="preserve">Black people </w:t>
      </w:r>
      <w:r w:rsidR="00C724B2" w:rsidRPr="00CF4E9F">
        <w:rPr>
          <w:rFonts w:cs="Arial"/>
          <w:kern w:val="24"/>
          <w:sz w:val="22"/>
          <w:szCs w:val="22"/>
          <w:lang w:val="en-CA"/>
        </w:rPr>
        <w:t xml:space="preserve">are </w:t>
      </w:r>
      <w:r w:rsidRPr="00CF4E9F">
        <w:rPr>
          <w:rFonts w:cs="Arial"/>
          <w:kern w:val="24"/>
          <w:sz w:val="22"/>
          <w:szCs w:val="22"/>
          <w:lang w:val="en-CA"/>
        </w:rPr>
        <w:t xml:space="preserve">2.61 to 3.29 times </w:t>
      </w:r>
      <w:r w:rsidR="00C724B2" w:rsidRPr="00CF4E9F">
        <w:rPr>
          <w:rFonts w:cs="Arial"/>
          <w:kern w:val="24"/>
          <w:sz w:val="22"/>
          <w:szCs w:val="22"/>
          <w:lang w:val="en-CA"/>
        </w:rPr>
        <w:t xml:space="preserve">more likely to </w:t>
      </w:r>
      <w:r w:rsidRPr="00CF4E9F">
        <w:rPr>
          <w:rFonts w:cs="Arial"/>
          <w:kern w:val="24"/>
          <w:sz w:val="22"/>
          <w:szCs w:val="22"/>
          <w:lang w:val="en-CA"/>
        </w:rPr>
        <w:t>be street checked than [White] people (ICDI = 2.61 or 3.29, depending on</w:t>
      </w:r>
      <w:r w:rsidR="00CD327F">
        <w:rPr>
          <w:rFonts w:cs="Arial"/>
          <w:kern w:val="24"/>
          <w:sz w:val="22"/>
          <w:szCs w:val="22"/>
          <w:lang w:val="en-CA"/>
        </w:rPr>
        <w:t xml:space="preserve"> how</w:t>
      </w:r>
      <w:r w:rsidRPr="00CF4E9F">
        <w:rPr>
          <w:rFonts w:cs="Arial"/>
          <w:kern w:val="24"/>
          <w:sz w:val="22"/>
          <w:szCs w:val="22"/>
          <w:lang w:val="en-CA"/>
        </w:rPr>
        <w:t xml:space="preserve"> the reference population</w:t>
      </w:r>
      <w:r w:rsidR="00CD327F">
        <w:rPr>
          <w:rFonts w:cs="Arial"/>
          <w:kern w:val="24"/>
          <w:sz w:val="22"/>
          <w:szCs w:val="22"/>
          <w:lang w:val="en-CA"/>
        </w:rPr>
        <w:t xml:space="preserve"> is</w:t>
      </w:r>
      <w:r w:rsidRPr="00CF4E9F">
        <w:rPr>
          <w:rFonts w:cs="Arial"/>
          <w:kern w:val="24"/>
          <w:sz w:val="22"/>
          <w:szCs w:val="22"/>
          <w:lang w:val="en-CA"/>
        </w:rPr>
        <w:t xml:space="preserve"> calculat</w:t>
      </w:r>
      <w:r w:rsidR="00CD327F">
        <w:rPr>
          <w:rFonts w:cs="Arial"/>
          <w:kern w:val="24"/>
          <w:sz w:val="22"/>
          <w:szCs w:val="22"/>
          <w:lang w:val="en-CA"/>
        </w:rPr>
        <w:t>ed</w:t>
      </w:r>
      <w:r w:rsidRPr="00CF4E9F">
        <w:rPr>
          <w:rFonts w:cs="Arial"/>
          <w:kern w:val="24"/>
          <w:sz w:val="22"/>
          <w:szCs w:val="22"/>
          <w:lang w:val="en-CA"/>
        </w:rPr>
        <w:t>).</w:t>
      </w:r>
    </w:p>
    <w:p w14:paraId="001D0EE9" w14:textId="41151221" w:rsidR="001A3EF8" w:rsidRPr="00CF4E9F" w:rsidRDefault="00EF24F1" w:rsidP="001A3EF8">
      <w:pPr>
        <w:spacing w:before="120" w:after="120"/>
        <w:ind w:left="1440" w:right="720"/>
        <w:jc w:val="both"/>
        <w:rPr>
          <w:rFonts w:cs="Arial"/>
          <w:kern w:val="24"/>
          <w:sz w:val="22"/>
          <w:szCs w:val="22"/>
          <w:lang w:val="en-CA"/>
        </w:rPr>
      </w:pPr>
      <w:r>
        <w:rPr>
          <w:rFonts w:cs="Arial"/>
          <w:kern w:val="24"/>
          <w:sz w:val="22"/>
          <w:szCs w:val="22"/>
          <w:lang w:val="en-CA"/>
        </w:rPr>
        <w:t>[</w:t>
      </w:r>
      <w:r w:rsidR="005A4E85" w:rsidRPr="00CF4E9F">
        <w:rPr>
          <w:rFonts w:cs="Arial"/>
          <w:kern w:val="24"/>
          <w:sz w:val="22"/>
          <w:szCs w:val="22"/>
          <w:lang w:val="en-CA"/>
        </w:rPr>
        <w:t>...</w:t>
      </w:r>
      <w:r>
        <w:rPr>
          <w:rFonts w:cs="Arial"/>
          <w:kern w:val="24"/>
          <w:sz w:val="22"/>
          <w:szCs w:val="22"/>
          <w:lang w:val="en-CA"/>
        </w:rPr>
        <w:t>]</w:t>
      </w:r>
    </w:p>
    <w:p w14:paraId="75D1C2F4" w14:textId="3FA17A20" w:rsidR="001A3EF8" w:rsidRPr="00CF4E9F" w:rsidRDefault="00315EA4" w:rsidP="004D42FA">
      <w:pPr>
        <w:numPr>
          <w:ilvl w:val="0"/>
          <w:numId w:val="5"/>
        </w:numPr>
        <w:spacing w:before="120" w:after="120"/>
        <w:ind w:right="720"/>
        <w:jc w:val="both"/>
        <w:rPr>
          <w:rFonts w:cs="Arial"/>
          <w:kern w:val="24"/>
          <w:sz w:val="22"/>
          <w:szCs w:val="22"/>
          <w:lang w:val="en-CA"/>
        </w:rPr>
      </w:pPr>
      <w:r w:rsidRPr="00CF4E9F">
        <w:rPr>
          <w:rFonts w:cs="Arial"/>
          <w:kern w:val="24"/>
          <w:sz w:val="22"/>
          <w:szCs w:val="22"/>
          <w:lang w:val="en-CA"/>
        </w:rPr>
        <w:t xml:space="preserve">Regardless of the calculation method (excluding the floating population, </w:t>
      </w:r>
      <w:r w:rsidR="00B14E92">
        <w:rPr>
          <w:rFonts w:cs="Arial"/>
          <w:kern w:val="24"/>
          <w:sz w:val="22"/>
          <w:szCs w:val="22"/>
          <w:lang w:val="en-CA"/>
        </w:rPr>
        <w:t xml:space="preserve">excluding </w:t>
      </w:r>
      <w:r w:rsidRPr="00CF4E9F">
        <w:rPr>
          <w:rFonts w:cs="Arial"/>
          <w:kern w:val="24"/>
          <w:sz w:val="22"/>
          <w:szCs w:val="22"/>
          <w:lang w:val="en-CA"/>
        </w:rPr>
        <w:t xml:space="preserve">people with criminal records, </w:t>
      </w:r>
      <w:r w:rsidR="00B14E92">
        <w:rPr>
          <w:rFonts w:cs="Arial"/>
          <w:kern w:val="24"/>
          <w:sz w:val="22"/>
          <w:szCs w:val="22"/>
          <w:lang w:val="en-CA"/>
        </w:rPr>
        <w:t xml:space="preserve">excluding </w:t>
      </w:r>
      <w:r w:rsidRPr="00CF4E9F">
        <w:rPr>
          <w:rFonts w:cs="Arial"/>
          <w:kern w:val="24"/>
          <w:sz w:val="22"/>
          <w:szCs w:val="22"/>
          <w:lang w:val="en-CA"/>
        </w:rPr>
        <w:t xml:space="preserve">street checks around places of interest such as bars or motels, known for criminal activities, etc.), Black people are still two to three times more </w:t>
      </w:r>
      <w:r w:rsidR="004D42FA" w:rsidRPr="00CF4E9F">
        <w:rPr>
          <w:rFonts w:cs="Arial"/>
          <w:kern w:val="24"/>
          <w:sz w:val="22"/>
          <w:szCs w:val="22"/>
          <w:lang w:val="en-CA"/>
        </w:rPr>
        <w:t>likely t</w:t>
      </w:r>
      <w:r w:rsidRPr="00CF4E9F">
        <w:rPr>
          <w:rFonts w:cs="Arial"/>
          <w:kern w:val="24"/>
          <w:sz w:val="22"/>
          <w:szCs w:val="22"/>
          <w:lang w:val="en-CA"/>
        </w:rPr>
        <w:t>o be street checked than White people.</w:t>
      </w:r>
    </w:p>
    <w:p w14:paraId="0B310155" w14:textId="29558048" w:rsidR="001A3EF8" w:rsidRPr="00CF4E9F" w:rsidRDefault="004D42FA" w:rsidP="004D42FA">
      <w:pPr>
        <w:numPr>
          <w:ilvl w:val="0"/>
          <w:numId w:val="5"/>
        </w:numPr>
        <w:spacing w:before="120" w:after="120"/>
        <w:ind w:right="720"/>
        <w:jc w:val="both"/>
        <w:rPr>
          <w:rFonts w:cs="Arial"/>
          <w:kern w:val="24"/>
          <w:sz w:val="22"/>
          <w:szCs w:val="22"/>
          <w:lang w:val="en-CA"/>
        </w:rPr>
      </w:pPr>
      <w:r w:rsidRPr="00CF4E9F">
        <w:rPr>
          <w:rFonts w:cs="Arial"/>
          <w:kern w:val="24"/>
          <w:sz w:val="22"/>
          <w:szCs w:val="22"/>
          <w:lang w:val="en-CA"/>
        </w:rPr>
        <w:t>As</w:t>
      </w:r>
      <w:r w:rsidR="00315EA4" w:rsidRPr="00CF4E9F">
        <w:rPr>
          <w:rFonts w:cs="Arial"/>
          <w:kern w:val="24"/>
          <w:sz w:val="22"/>
          <w:szCs w:val="22"/>
          <w:lang w:val="en-CA"/>
        </w:rPr>
        <w:t xml:space="preserve"> in Montreal, the </w:t>
      </w:r>
      <w:r w:rsidR="00CD327F">
        <w:rPr>
          <w:rFonts w:cs="Arial"/>
          <w:kern w:val="24"/>
          <w:sz w:val="22"/>
          <w:szCs w:val="22"/>
          <w:lang w:val="en-CA"/>
        </w:rPr>
        <w:t>presumed participation</w:t>
      </w:r>
      <w:r w:rsidR="00315EA4" w:rsidRPr="00CF4E9F">
        <w:rPr>
          <w:rFonts w:cs="Arial"/>
          <w:kern w:val="24"/>
          <w:sz w:val="22"/>
          <w:szCs w:val="22"/>
          <w:lang w:val="en-CA"/>
        </w:rPr>
        <w:t xml:space="preserve"> in crime of the groups concerned does not explain these disparities.</w:t>
      </w:r>
      <w:r w:rsidR="0043013D" w:rsidRPr="00CF4E9F">
        <w:rPr>
          <w:rFonts w:cs="Arial"/>
          <w:kern w:val="24"/>
          <w:sz w:val="22"/>
          <w:szCs w:val="22"/>
          <w:lang w:val="en-CA"/>
        </w:rPr>
        <w:t xml:space="preserve"> </w:t>
      </w:r>
      <w:r w:rsidR="004D4563">
        <w:rPr>
          <w:rFonts w:cs="Arial"/>
          <w:kern w:val="24"/>
          <w:sz w:val="22"/>
          <w:szCs w:val="22"/>
          <w:lang w:val="en-CA"/>
        </w:rPr>
        <w:t xml:space="preserve">Indeed, </w:t>
      </w:r>
      <w:r w:rsidR="00315EA4" w:rsidRPr="00CF4E9F">
        <w:rPr>
          <w:rFonts w:cs="Arial"/>
          <w:kern w:val="24"/>
          <w:sz w:val="22"/>
          <w:szCs w:val="22"/>
          <w:lang w:val="en-CA"/>
        </w:rPr>
        <w:t>Black people are over</w:t>
      </w:r>
      <w:r w:rsidR="004D4563">
        <w:rPr>
          <w:rFonts w:cs="Arial"/>
          <w:kern w:val="24"/>
          <w:sz w:val="22"/>
          <w:szCs w:val="22"/>
          <w:lang w:val="en-CA"/>
        </w:rPr>
        <w:t>-</w:t>
      </w:r>
      <w:r w:rsidR="00315EA4" w:rsidRPr="00CF4E9F">
        <w:rPr>
          <w:rFonts w:cs="Arial"/>
          <w:kern w:val="24"/>
          <w:sz w:val="22"/>
          <w:szCs w:val="22"/>
          <w:lang w:val="en-CA"/>
        </w:rPr>
        <w:t>street checked</w:t>
      </w:r>
      <w:r w:rsidR="00CD327F">
        <w:rPr>
          <w:rFonts w:cs="Arial"/>
          <w:kern w:val="24"/>
          <w:sz w:val="22"/>
          <w:szCs w:val="22"/>
          <w:lang w:val="en-CA"/>
        </w:rPr>
        <w:t xml:space="preserve"> by</w:t>
      </w:r>
      <w:r w:rsidR="00315EA4" w:rsidRPr="00CF4E9F">
        <w:rPr>
          <w:rFonts w:cs="Arial"/>
          <w:kern w:val="24"/>
          <w:sz w:val="22"/>
          <w:szCs w:val="22"/>
          <w:lang w:val="en-CA"/>
        </w:rPr>
        <w:t xml:space="preserve"> 61% in relation to their alleged involvement in crime (ISRI</w:t>
      </w:r>
      <w:r w:rsidR="004D4563">
        <w:rPr>
          <w:rFonts w:cs="Arial"/>
          <w:kern w:val="24"/>
          <w:sz w:val="22"/>
          <w:szCs w:val="22"/>
          <w:lang w:val="en-CA"/>
        </w:rPr>
        <w:t> </w:t>
      </w:r>
      <w:r w:rsidR="00315EA4" w:rsidRPr="00CF4E9F">
        <w:rPr>
          <w:rFonts w:cs="Arial"/>
          <w:kern w:val="24"/>
          <w:sz w:val="22"/>
          <w:szCs w:val="22"/>
          <w:lang w:val="en-CA"/>
        </w:rPr>
        <w:t>=</w:t>
      </w:r>
      <w:r w:rsidR="004D4563">
        <w:rPr>
          <w:rFonts w:cs="Arial"/>
          <w:kern w:val="24"/>
          <w:sz w:val="22"/>
          <w:szCs w:val="22"/>
          <w:lang w:val="en-CA"/>
        </w:rPr>
        <w:t> </w:t>
      </w:r>
      <w:r w:rsidR="00315EA4" w:rsidRPr="00CF4E9F">
        <w:rPr>
          <w:rFonts w:cs="Arial"/>
          <w:kern w:val="24"/>
          <w:sz w:val="22"/>
          <w:szCs w:val="22"/>
          <w:lang w:val="en-CA"/>
        </w:rPr>
        <w:t>1.61).</w:t>
      </w:r>
      <w:r w:rsidR="0043013D" w:rsidRPr="00CF4E9F">
        <w:rPr>
          <w:rFonts w:cs="Arial"/>
          <w:kern w:val="24"/>
          <w:sz w:val="22"/>
          <w:szCs w:val="22"/>
          <w:lang w:val="en-CA"/>
        </w:rPr>
        <w:t xml:space="preserve"> </w:t>
      </w:r>
      <w:r w:rsidR="00315EA4" w:rsidRPr="00CF4E9F">
        <w:rPr>
          <w:rFonts w:cs="Arial"/>
          <w:kern w:val="24"/>
          <w:sz w:val="22"/>
          <w:szCs w:val="22"/>
          <w:lang w:val="en-CA"/>
        </w:rPr>
        <w:t xml:space="preserve">This result is bolstered by the fact that the disparate treatment remains relatively stable if individuals with a criminal record are excluded from the IDCI calculation: Black people without a criminal record </w:t>
      </w:r>
      <w:r w:rsidRPr="00CF4E9F">
        <w:rPr>
          <w:rFonts w:cs="Arial"/>
          <w:kern w:val="24"/>
          <w:sz w:val="22"/>
          <w:szCs w:val="22"/>
          <w:lang w:val="en-CA"/>
        </w:rPr>
        <w:t xml:space="preserve">are </w:t>
      </w:r>
      <w:r w:rsidR="00315EA4" w:rsidRPr="00CF4E9F">
        <w:rPr>
          <w:rFonts w:cs="Arial"/>
          <w:kern w:val="24"/>
          <w:sz w:val="22"/>
          <w:szCs w:val="22"/>
          <w:lang w:val="en-CA"/>
        </w:rPr>
        <w:t xml:space="preserve">2.43 to 3.07 times </w:t>
      </w:r>
      <w:r w:rsidRPr="00CF4E9F">
        <w:rPr>
          <w:rFonts w:cs="Arial"/>
          <w:kern w:val="24"/>
          <w:sz w:val="22"/>
          <w:szCs w:val="22"/>
          <w:lang w:val="en-CA"/>
        </w:rPr>
        <w:t>more likely t</w:t>
      </w:r>
      <w:r w:rsidR="00315EA4" w:rsidRPr="00CF4E9F">
        <w:rPr>
          <w:rFonts w:cs="Arial"/>
          <w:kern w:val="24"/>
          <w:sz w:val="22"/>
          <w:szCs w:val="22"/>
          <w:lang w:val="en-CA"/>
        </w:rPr>
        <w:t>o be street checked than White people without a criminal record.</w:t>
      </w:r>
      <w:r w:rsidR="0043013D" w:rsidRPr="00CF4E9F">
        <w:rPr>
          <w:rFonts w:cs="Arial"/>
          <w:kern w:val="24"/>
          <w:sz w:val="22"/>
          <w:szCs w:val="22"/>
          <w:vertAlign w:val="superscript"/>
          <w:lang w:val="en-CA"/>
        </w:rPr>
        <w:footnoteReference w:id="265"/>
      </w:r>
    </w:p>
    <w:p w14:paraId="720CD0F3" w14:textId="06D2C9BC" w:rsidR="001A3EF8" w:rsidRPr="00CF4E9F" w:rsidRDefault="00315EA4" w:rsidP="001A3EF8">
      <w:pPr>
        <w:spacing w:before="120" w:after="120"/>
        <w:ind w:left="720" w:right="720"/>
        <w:jc w:val="right"/>
        <w:rPr>
          <w:rFonts w:cs="Arial"/>
          <w:kern w:val="24"/>
          <w:sz w:val="22"/>
          <w:szCs w:val="22"/>
          <w:lang w:val="en-CA"/>
        </w:rPr>
      </w:pPr>
      <w:r w:rsidRPr="00CF4E9F">
        <w:rPr>
          <w:rFonts w:cs="Arial"/>
          <w:kern w:val="24"/>
          <w:sz w:val="22"/>
          <w:szCs w:val="22"/>
          <w:lang w:val="en-CA"/>
        </w:rPr>
        <w:lastRenderedPageBreak/>
        <w:t>[Reference omitted]</w:t>
      </w:r>
    </w:p>
    <w:p w14:paraId="70B8E785" w14:textId="207E3E21" w:rsidR="001A3EF8" w:rsidRPr="00CF4E9F" w:rsidRDefault="00315EA4" w:rsidP="00512142">
      <w:pPr>
        <w:pStyle w:val="Paragraphe"/>
        <w:spacing w:line="280" w:lineRule="exact"/>
        <w:rPr>
          <w:lang w:val="en-CA"/>
        </w:rPr>
      </w:pPr>
      <w:r w:rsidRPr="00CF4E9F">
        <w:rPr>
          <w:lang w:val="en-CA"/>
        </w:rPr>
        <w:t>Ultimately, expert Mulone conclude</w:t>
      </w:r>
      <w:r w:rsidR="00DB2D36">
        <w:rPr>
          <w:lang w:val="en-CA"/>
        </w:rPr>
        <w:t>d</w:t>
      </w:r>
      <w:r w:rsidRPr="00CF4E9F">
        <w:rPr>
          <w:lang w:val="en-CA"/>
        </w:rPr>
        <w:t xml:space="preserve"> that </w:t>
      </w:r>
      <w:r w:rsidRPr="00CF4E9F">
        <w:rPr>
          <w:rFonts w:cs="Arial"/>
          <w:szCs w:val="24"/>
          <w:lang w:val="en-CA"/>
        </w:rPr>
        <w:t>[</w:t>
      </w:r>
      <w:r w:rsidRPr="00CF4E9F">
        <w:rPr>
          <w:rFonts w:cs="Arial"/>
          <w:smallCaps/>
          <w:szCs w:val="24"/>
          <w:lang w:val="en-CA"/>
        </w:rPr>
        <w:t>translation</w:t>
      </w:r>
      <w:r w:rsidRPr="00CF4E9F">
        <w:rPr>
          <w:rFonts w:cs="Arial"/>
          <w:szCs w:val="24"/>
          <w:lang w:val="en-CA"/>
        </w:rPr>
        <w:t>]</w:t>
      </w:r>
      <w:r w:rsidR="00F8437E">
        <w:rPr>
          <w:lang w:val="en-CA"/>
        </w:rPr>
        <w:t> </w:t>
      </w:r>
      <w:r w:rsidRPr="00CF4E9F">
        <w:rPr>
          <w:lang w:val="en-CA"/>
        </w:rPr>
        <w:t>“Black people are disproportionately targeted by law enforcement in Canada”,</w:t>
      </w:r>
      <w:r w:rsidRPr="00CF4E9F">
        <w:rPr>
          <w:vertAlign w:val="superscript"/>
          <w:lang w:val="en-CA"/>
        </w:rPr>
        <w:footnoteReference w:id="266"/>
      </w:r>
      <w:r w:rsidRPr="00CF4E9F">
        <w:rPr>
          <w:lang w:val="en-CA"/>
        </w:rPr>
        <w:t xml:space="preserve"> including during traffic stops with no required grounds.</w:t>
      </w:r>
      <w:r w:rsidR="0043013D" w:rsidRPr="00CF4E9F">
        <w:rPr>
          <w:lang w:val="en-CA"/>
        </w:rPr>
        <w:t xml:space="preserve"> </w:t>
      </w:r>
      <w:r w:rsidRPr="00CF4E9F">
        <w:rPr>
          <w:lang w:val="en-CA"/>
        </w:rPr>
        <w:t xml:space="preserve">He noted that there are no studies showing </w:t>
      </w:r>
      <w:r w:rsidRPr="00CF4E9F">
        <w:rPr>
          <w:rFonts w:cs="Arial"/>
          <w:szCs w:val="24"/>
          <w:lang w:val="en-CA"/>
        </w:rPr>
        <w:t>[</w:t>
      </w:r>
      <w:r w:rsidRPr="00CF4E9F">
        <w:rPr>
          <w:rFonts w:cs="Arial"/>
          <w:smallCaps/>
          <w:szCs w:val="24"/>
          <w:lang w:val="en-CA"/>
        </w:rPr>
        <w:t>translation</w:t>
      </w:r>
      <w:r w:rsidRPr="00CF4E9F">
        <w:rPr>
          <w:rFonts w:cs="Arial"/>
          <w:szCs w:val="24"/>
          <w:lang w:val="en-CA"/>
        </w:rPr>
        <w:t>]</w:t>
      </w:r>
      <w:r w:rsidR="00F8437E">
        <w:rPr>
          <w:lang w:val="en-CA"/>
        </w:rPr>
        <w:t> </w:t>
      </w:r>
      <w:r w:rsidRPr="00CF4E9F">
        <w:rPr>
          <w:lang w:val="en-CA"/>
        </w:rPr>
        <w:t xml:space="preserve">“results that </w:t>
      </w:r>
      <w:r w:rsidR="00D628D3">
        <w:rPr>
          <w:lang w:val="en-CA"/>
        </w:rPr>
        <w:t xml:space="preserve">contradict </w:t>
      </w:r>
      <w:r w:rsidRPr="00CF4E9F">
        <w:rPr>
          <w:lang w:val="en-CA"/>
        </w:rPr>
        <w:t xml:space="preserve">these strong temporal and geographic </w:t>
      </w:r>
      <w:r w:rsidR="00C771FC" w:rsidRPr="00CF4E9F">
        <w:rPr>
          <w:lang w:val="en-CA"/>
        </w:rPr>
        <w:t xml:space="preserve">reiterations of </w:t>
      </w:r>
      <w:r w:rsidRPr="00CF4E9F">
        <w:rPr>
          <w:lang w:val="en-CA"/>
        </w:rPr>
        <w:t>dispar</w:t>
      </w:r>
      <w:r w:rsidR="00012720" w:rsidRPr="00CF4E9F">
        <w:rPr>
          <w:lang w:val="en-CA"/>
        </w:rPr>
        <w:t>a</w:t>
      </w:r>
      <w:r w:rsidRPr="00CF4E9F">
        <w:rPr>
          <w:lang w:val="en-CA"/>
        </w:rPr>
        <w:t>te treatment”</w:t>
      </w:r>
      <w:r w:rsidRPr="00CF4E9F">
        <w:rPr>
          <w:vertAlign w:val="superscript"/>
          <w:lang w:val="en-CA"/>
        </w:rPr>
        <w:footnoteReference w:id="267"/>
      </w:r>
      <w:r w:rsidRPr="00CF4E9F">
        <w:rPr>
          <w:lang w:val="en-CA"/>
        </w:rPr>
        <w:t xml:space="preserve"> </w:t>
      </w:r>
      <w:r w:rsidR="00012720" w:rsidRPr="00CF4E9F">
        <w:rPr>
          <w:lang w:val="en-CA"/>
        </w:rPr>
        <w:t xml:space="preserve">of </w:t>
      </w:r>
      <w:r w:rsidRPr="00CF4E9F">
        <w:rPr>
          <w:lang w:val="en-CA"/>
        </w:rPr>
        <w:t>Black people.</w:t>
      </w:r>
      <w:r w:rsidR="0043013D" w:rsidRPr="00CF4E9F">
        <w:rPr>
          <w:lang w:val="en-CA"/>
        </w:rPr>
        <w:t xml:space="preserve"> </w:t>
      </w:r>
      <w:r w:rsidRPr="00CF4E9F">
        <w:rPr>
          <w:lang w:val="en-CA"/>
        </w:rPr>
        <w:t>He unequivocally reject</w:t>
      </w:r>
      <w:r w:rsidR="00012720" w:rsidRPr="00CF4E9F">
        <w:rPr>
          <w:lang w:val="en-CA"/>
        </w:rPr>
        <w:t>s</w:t>
      </w:r>
      <w:r w:rsidRPr="00CF4E9F">
        <w:rPr>
          <w:lang w:val="en-CA"/>
        </w:rPr>
        <w:t xml:space="preserve"> the </w:t>
      </w:r>
      <w:r w:rsidRPr="00CF4E9F">
        <w:rPr>
          <w:rFonts w:cs="Arial"/>
          <w:szCs w:val="24"/>
          <w:lang w:val="en-CA"/>
        </w:rPr>
        <w:t>[</w:t>
      </w:r>
      <w:r w:rsidRPr="00CF4E9F">
        <w:rPr>
          <w:rFonts w:cs="Arial"/>
          <w:smallCaps/>
          <w:szCs w:val="24"/>
          <w:lang w:val="en-CA"/>
        </w:rPr>
        <w:t>translation</w:t>
      </w:r>
      <w:r w:rsidRPr="00CF4E9F">
        <w:rPr>
          <w:rFonts w:cs="Arial"/>
          <w:szCs w:val="24"/>
          <w:lang w:val="en-CA"/>
        </w:rPr>
        <w:t>]</w:t>
      </w:r>
      <w:r w:rsidR="00F8437E">
        <w:rPr>
          <w:lang w:val="en-CA"/>
        </w:rPr>
        <w:t> </w:t>
      </w:r>
      <w:r w:rsidRPr="00CF4E9F">
        <w:rPr>
          <w:lang w:val="en-CA"/>
        </w:rPr>
        <w:t xml:space="preserve">“rotten apple theory”: he has no doubt that the problem is </w:t>
      </w:r>
      <w:r w:rsidR="00DA2C37">
        <w:rPr>
          <w:lang w:val="en-CA"/>
        </w:rPr>
        <w:t>structural</w:t>
      </w:r>
      <w:r w:rsidR="00DA2C37" w:rsidRPr="00CF4E9F">
        <w:rPr>
          <w:lang w:val="en-CA"/>
        </w:rPr>
        <w:t xml:space="preserve"> </w:t>
      </w:r>
      <w:r w:rsidRPr="00CF4E9F">
        <w:rPr>
          <w:lang w:val="en-CA"/>
        </w:rPr>
        <w:t>(systemic) and stems from racial profiling.</w:t>
      </w:r>
      <w:r w:rsidRPr="00CF4E9F">
        <w:rPr>
          <w:vertAlign w:val="superscript"/>
          <w:lang w:val="en-CA"/>
        </w:rPr>
        <w:footnoteReference w:id="268"/>
      </w:r>
    </w:p>
    <w:p w14:paraId="0096D33B" w14:textId="2FC24257" w:rsidR="001A3EF8" w:rsidRPr="00CF4E9F" w:rsidRDefault="00AF6E41" w:rsidP="00512142">
      <w:pPr>
        <w:pStyle w:val="Paragraphe"/>
        <w:spacing w:line="280" w:lineRule="exact"/>
        <w:rPr>
          <w:lang w:val="en-CA"/>
        </w:rPr>
      </w:pPr>
      <w:r w:rsidRPr="00CF4E9F">
        <w:rPr>
          <w:lang w:val="en-CA"/>
        </w:rPr>
        <w:t>The evidence of expert Sylvestre is consistent with that of expert Mulone.</w:t>
      </w:r>
      <w:r w:rsidR="0043013D" w:rsidRPr="00CF4E9F">
        <w:rPr>
          <w:lang w:val="en-CA"/>
        </w:rPr>
        <w:t xml:space="preserve"> </w:t>
      </w:r>
      <w:r w:rsidRPr="00CF4E9F">
        <w:rPr>
          <w:lang w:val="en-CA"/>
        </w:rPr>
        <w:t>She also conclude</w:t>
      </w:r>
      <w:r w:rsidR="006E0E2B">
        <w:rPr>
          <w:lang w:val="en-CA"/>
        </w:rPr>
        <w:t>d</w:t>
      </w:r>
      <w:r w:rsidRPr="00CF4E9F">
        <w:rPr>
          <w:lang w:val="en-CA"/>
        </w:rPr>
        <w:t xml:space="preserve"> that Black people are stopped (and street checked) more often than White people and are racially profiled during traffic stops with no required grounds.</w:t>
      </w:r>
      <w:r w:rsidRPr="00CF4E9F">
        <w:rPr>
          <w:vertAlign w:val="superscript"/>
          <w:lang w:val="en-CA"/>
        </w:rPr>
        <w:footnoteReference w:id="269"/>
      </w:r>
      <w:r w:rsidR="0043013D" w:rsidRPr="00CF4E9F">
        <w:rPr>
          <w:lang w:val="en-CA"/>
        </w:rPr>
        <w:t xml:space="preserve"> </w:t>
      </w:r>
      <w:r w:rsidRPr="00CF4E9F">
        <w:rPr>
          <w:lang w:val="en-CA"/>
        </w:rPr>
        <w:t xml:space="preserve">In light of the results of her research </w:t>
      </w:r>
      <w:r w:rsidR="00012720" w:rsidRPr="00CF4E9F">
        <w:rPr>
          <w:lang w:val="en-CA"/>
        </w:rPr>
        <w:t xml:space="preserve">project </w:t>
      </w:r>
      <w:r w:rsidRPr="00CF4E9F">
        <w:rPr>
          <w:lang w:val="en-CA"/>
        </w:rPr>
        <w:t>into racial profiling during traffic stops, she conclude</w:t>
      </w:r>
      <w:r w:rsidR="0089680E">
        <w:rPr>
          <w:lang w:val="en-CA"/>
        </w:rPr>
        <w:t>d</w:t>
      </w:r>
      <w:r w:rsidRPr="00CF4E9F">
        <w:rPr>
          <w:lang w:val="en-CA"/>
        </w:rPr>
        <w:t xml:space="preserve"> that </w:t>
      </w:r>
      <w:r w:rsidR="00012720" w:rsidRPr="00CF4E9F">
        <w:rPr>
          <w:rFonts w:cs="Arial"/>
          <w:szCs w:val="24"/>
          <w:lang w:val="en-CA"/>
        </w:rPr>
        <w:t>[</w:t>
      </w:r>
      <w:r w:rsidR="00012720" w:rsidRPr="00CF4E9F">
        <w:rPr>
          <w:rFonts w:cs="Arial"/>
          <w:smallCaps/>
          <w:szCs w:val="24"/>
          <w:lang w:val="en-CA"/>
        </w:rPr>
        <w:t>translation</w:t>
      </w:r>
      <w:r w:rsidR="00012720" w:rsidRPr="00CF4E9F">
        <w:rPr>
          <w:rFonts w:cs="Arial"/>
          <w:szCs w:val="24"/>
          <w:lang w:val="en-CA"/>
        </w:rPr>
        <w:t>]</w:t>
      </w:r>
      <w:r w:rsidR="00F8437E">
        <w:rPr>
          <w:lang w:val="en-CA"/>
        </w:rPr>
        <w:t> </w:t>
      </w:r>
      <w:r w:rsidRPr="00CF4E9F">
        <w:rPr>
          <w:lang w:val="en-CA"/>
        </w:rPr>
        <w:t>“police</w:t>
      </w:r>
      <w:r w:rsidR="0089680E">
        <w:rPr>
          <w:lang w:val="en-CA"/>
        </w:rPr>
        <w:t xml:space="preserve"> officers</w:t>
      </w:r>
      <w:r w:rsidRPr="00CF4E9F">
        <w:rPr>
          <w:lang w:val="en-CA"/>
        </w:rPr>
        <w:t xml:space="preserve"> abuse their discretion and use pretexts and tricks that are clear indicators of racial profiling”.</w:t>
      </w:r>
      <w:r w:rsidRPr="00CF4E9F">
        <w:rPr>
          <w:vertAlign w:val="superscript"/>
          <w:lang w:val="en-CA"/>
        </w:rPr>
        <w:footnoteReference w:id="270"/>
      </w:r>
    </w:p>
    <w:p w14:paraId="35321FED" w14:textId="6CFF67C6" w:rsidR="001A3EF8" w:rsidRPr="00CF4E9F" w:rsidRDefault="00AF6E41" w:rsidP="00512142">
      <w:pPr>
        <w:pStyle w:val="Paragraphe"/>
        <w:spacing w:line="280" w:lineRule="exact"/>
        <w:rPr>
          <w:lang w:val="en-CA"/>
        </w:rPr>
      </w:pPr>
      <w:r w:rsidRPr="00CF4E9F">
        <w:rPr>
          <w:lang w:val="en-CA"/>
        </w:rPr>
        <w:t xml:space="preserve">The evidence of </w:t>
      </w:r>
      <w:r w:rsidR="00012720" w:rsidRPr="00CF4E9F">
        <w:rPr>
          <w:lang w:val="en-CA"/>
        </w:rPr>
        <w:t xml:space="preserve">experts </w:t>
      </w:r>
      <w:r w:rsidRPr="00CF4E9F">
        <w:rPr>
          <w:lang w:val="en-CA"/>
        </w:rPr>
        <w:t xml:space="preserve">Mulone and Sylvestre is also supported by the testimony of Mr. </w:t>
      </w:r>
      <w:r w:rsidR="0014657B" w:rsidRPr="00CF4E9F">
        <w:rPr>
          <w:lang w:val="en-CA"/>
        </w:rPr>
        <w:t>Luamba</w:t>
      </w:r>
      <w:r w:rsidRPr="00CF4E9F">
        <w:rPr>
          <w:lang w:val="en-CA"/>
        </w:rPr>
        <w:t xml:space="preserve"> and several other ordinary witnesses.</w:t>
      </w:r>
      <w:r w:rsidR="0043013D" w:rsidRPr="00CF4E9F">
        <w:rPr>
          <w:lang w:val="en-CA"/>
        </w:rPr>
        <w:t xml:space="preserve"> </w:t>
      </w:r>
      <w:r w:rsidRPr="00CF4E9F">
        <w:rPr>
          <w:lang w:val="en-CA"/>
        </w:rPr>
        <w:t xml:space="preserve">This evidence, </w:t>
      </w:r>
      <w:r w:rsidR="00012720" w:rsidRPr="00CF4E9F">
        <w:rPr>
          <w:lang w:val="en-CA"/>
        </w:rPr>
        <w:t xml:space="preserve">analyzed in detail by </w:t>
      </w:r>
      <w:r w:rsidRPr="00CF4E9F">
        <w:rPr>
          <w:lang w:val="en-CA"/>
        </w:rPr>
        <w:t>the judge,</w:t>
      </w:r>
      <w:r w:rsidRPr="00CF4E9F">
        <w:rPr>
          <w:vertAlign w:val="superscript"/>
          <w:lang w:val="en-CA"/>
        </w:rPr>
        <w:footnoteReference w:id="271"/>
      </w:r>
      <w:r w:rsidRPr="00CF4E9F">
        <w:rPr>
          <w:lang w:val="en-CA"/>
        </w:rPr>
        <w:t xml:space="preserve"> concretely illustrates the disadvantages faced by Black people as a group in their interactions with the police (in particular during traffic stops with no required grounds).</w:t>
      </w:r>
      <w:r w:rsidRPr="00CF4E9F">
        <w:rPr>
          <w:vertAlign w:val="superscript"/>
          <w:lang w:val="en-CA"/>
        </w:rPr>
        <w:footnoteReference w:id="272"/>
      </w:r>
      <w:r w:rsidR="0043013D" w:rsidRPr="00CF4E9F">
        <w:rPr>
          <w:lang w:val="en-CA"/>
        </w:rPr>
        <w:t xml:space="preserve"> </w:t>
      </w:r>
      <w:r w:rsidRPr="00CF4E9F">
        <w:rPr>
          <w:lang w:val="en-CA"/>
        </w:rPr>
        <w:t xml:space="preserve">The judge characterized this evidence as credible and </w:t>
      </w:r>
      <w:r w:rsidR="004C42C3">
        <w:rPr>
          <w:lang w:val="en-CA"/>
        </w:rPr>
        <w:t xml:space="preserve">found that it </w:t>
      </w:r>
      <w:r w:rsidR="001045C7">
        <w:rPr>
          <w:lang w:val="en-CA"/>
        </w:rPr>
        <w:t>[</w:t>
      </w:r>
      <w:r w:rsidR="001045C7" w:rsidRPr="003B2DA5">
        <w:rPr>
          <w:smallCaps/>
          <w:lang w:val="en-CA"/>
        </w:rPr>
        <w:t>translation</w:t>
      </w:r>
      <w:r w:rsidR="001045C7">
        <w:rPr>
          <w:lang w:val="en-CA"/>
        </w:rPr>
        <w:t>]</w:t>
      </w:r>
      <w:r w:rsidR="00F8437E">
        <w:rPr>
          <w:lang w:val="en-CA"/>
        </w:rPr>
        <w:t> </w:t>
      </w:r>
      <w:r w:rsidRPr="00CF4E9F">
        <w:rPr>
          <w:lang w:val="en-CA"/>
        </w:rPr>
        <w:t>“conclusively establishes that racial profiling exists”.</w:t>
      </w:r>
      <w:r w:rsidRPr="00CF4E9F">
        <w:rPr>
          <w:vertAlign w:val="superscript"/>
          <w:lang w:val="en-CA"/>
        </w:rPr>
        <w:footnoteReference w:id="273"/>
      </w:r>
      <w:r w:rsidR="0043013D" w:rsidRPr="00CF4E9F">
        <w:rPr>
          <w:lang w:val="en-CA"/>
        </w:rPr>
        <w:t xml:space="preserve"> </w:t>
      </w:r>
      <w:r w:rsidRPr="00CF4E9F">
        <w:rPr>
          <w:lang w:val="en-CA"/>
        </w:rPr>
        <w:t xml:space="preserve">As </w:t>
      </w:r>
      <w:r w:rsidR="00012720" w:rsidRPr="00CF4E9F">
        <w:rPr>
          <w:lang w:val="en-CA"/>
        </w:rPr>
        <w:t>previously stated</w:t>
      </w:r>
      <w:r w:rsidRPr="00CF4E9F">
        <w:rPr>
          <w:lang w:val="en-CA"/>
        </w:rPr>
        <w:t xml:space="preserve">, the AGQ does not challenge these factual </w:t>
      </w:r>
      <w:r w:rsidR="00012720" w:rsidRPr="00CF4E9F">
        <w:rPr>
          <w:lang w:val="en-CA"/>
        </w:rPr>
        <w:t>conclusions</w:t>
      </w:r>
      <w:r w:rsidRPr="00CF4E9F">
        <w:rPr>
          <w:lang w:val="en-CA"/>
        </w:rPr>
        <w:t>, which require a high degree of deference on appeal.</w:t>
      </w:r>
      <w:r w:rsidRPr="00CF4E9F">
        <w:rPr>
          <w:vertAlign w:val="superscript"/>
          <w:lang w:val="en-CA"/>
        </w:rPr>
        <w:footnoteReference w:id="274"/>
      </w:r>
    </w:p>
    <w:p w14:paraId="5EFFA85B" w14:textId="0B59696D" w:rsidR="001A3EF8" w:rsidRPr="00CF4E9F" w:rsidRDefault="00AF6E41" w:rsidP="00512142">
      <w:pPr>
        <w:pStyle w:val="Paragraphe"/>
        <w:spacing w:line="280" w:lineRule="exact"/>
        <w:rPr>
          <w:lang w:val="en-CA"/>
        </w:rPr>
      </w:pPr>
      <w:r w:rsidRPr="00CF4E9F">
        <w:rPr>
          <w:lang w:val="en-CA"/>
        </w:rPr>
        <w:lastRenderedPageBreak/>
        <w:t>This quantitative and qualitative evidence, uncontradicted by the AGQ, is bolstered by other studies that show how racial profiling taints police interventions.</w:t>
      </w:r>
      <w:r w:rsidRPr="00CF4E9F">
        <w:rPr>
          <w:vertAlign w:val="superscript"/>
          <w:lang w:val="en-CA"/>
        </w:rPr>
        <w:footnoteReference w:id="275"/>
      </w:r>
      <w:r w:rsidR="0043013D" w:rsidRPr="00CF4E9F">
        <w:rPr>
          <w:lang w:val="en-CA"/>
        </w:rPr>
        <w:t xml:space="preserve"> </w:t>
      </w:r>
      <w:r w:rsidRPr="00CF4E9F">
        <w:rPr>
          <w:lang w:val="en-CA"/>
        </w:rPr>
        <w:t>It is also supported by government commission reports and the case law.</w:t>
      </w:r>
      <w:r w:rsidR="0043013D" w:rsidRPr="00CF4E9F">
        <w:rPr>
          <w:lang w:val="en-CA"/>
        </w:rPr>
        <w:t xml:space="preserve"> </w:t>
      </w:r>
      <w:r w:rsidRPr="00CF4E9F">
        <w:rPr>
          <w:lang w:val="en-CA"/>
        </w:rPr>
        <w:t>Here are a few examples.</w:t>
      </w:r>
    </w:p>
    <w:p w14:paraId="10EA8790" w14:textId="069F0C49" w:rsidR="001A3EF8" w:rsidRPr="00CF4E9F" w:rsidRDefault="00671F60" w:rsidP="00F5188D">
      <w:pPr>
        <w:pStyle w:val="Paragraphe"/>
        <w:spacing w:line="280" w:lineRule="exact"/>
        <w:rPr>
          <w:lang w:val="en-CA"/>
        </w:rPr>
      </w:pPr>
      <w:r w:rsidRPr="00CF4E9F">
        <w:rPr>
          <w:lang w:val="en-CA"/>
        </w:rPr>
        <w:t>In a report published in 2020, the Ontario Human Rights Commission (“OHRC”) found that Black people were grossly overrepresented in charges relating to “out-of-sight” driving offences (that is, offences which only surface after an officer decides to check a driver’s licence plate or “randomly” stop the vehicle).</w:t>
      </w:r>
      <w:r w:rsidR="0043013D" w:rsidRPr="00CF4E9F">
        <w:rPr>
          <w:lang w:val="en-CA"/>
        </w:rPr>
        <w:t xml:space="preserve"> </w:t>
      </w:r>
      <w:r w:rsidRPr="00CF4E9F">
        <w:rPr>
          <w:lang w:val="en-CA"/>
        </w:rPr>
        <w:t>The OHRC noted that in proportion to their representation in the Toronto population, Black people were four times more likely to be charged for such an offence.</w:t>
      </w:r>
      <w:r w:rsidRPr="00CF4E9F">
        <w:rPr>
          <w:vertAlign w:val="superscript"/>
          <w:lang w:val="en-CA"/>
        </w:rPr>
        <w:footnoteReference w:id="276"/>
      </w:r>
      <w:r w:rsidR="0043013D" w:rsidRPr="00CF4E9F">
        <w:rPr>
          <w:lang w:val="en-CA"/>
        </w:rPr>
        <w:t xml:space="preserve"> </w:t>
      </w:r>
      <w:r w:rsidRPr="00CF4E9F">
        <w:rPr>
          <w:lang w:val="en-CA"/>
        </w:rPr>
        <w:t xml:space="preserve">Paradoxically, they </w:t>
      </w:r>
      <w:r w:rsidR="00E1177F" w:rsidRPr="00CF4E9F">
        <w:rPr>
          <w:lang w:val="en-CA"/>
        </w:rPr>
        <w:t>we</w:t>
      </w:r>
      <w:r w:rsidRPr="00CF4E9F">
        <w:rPr>
          <w:lang w:val="en-CA"/>
        </w:rPr>
        <w:t>re also less likely to be convicted of the offence alleged than White people.</w:t>
      </w:r>
      <w:r w:rsidR="0043013D" w:rsidRPr="00CF4E9F">
        <w:rPr>
          <w:lang w:val="en-CA"/>
        </w:rPr>
        <w:t xml:space="preserve"> </w:t>
      </w:r>
      <w:r w:rsidRPr="00CF4E9F">
        <w:rPr>
          <w:lang w:val="en-CA"/>
        </w:rPr>
        <w:t>According to the OHRC, this finding is consistent with the idea that “due to racial bias, Black people are more likely to face low-quality charges with a low probability of conviction”.</w:t>
      </w:r>
      <w:r w:rsidRPr="00CF4E9F">
        <w:rPr>
          <w:vertAlign w:val="superscript"/>
          <w:lang w:val="en-CA"/>
        </w:rPr>
        <w:footnoteReference w:id="277"/>
      </w:r>
      <w:r w:rsidR="0043013D" w:rsidRPr="00CF4E9F">
        <w:rPr>
          <w:lang w:val="en-CA"/>
        </w:rPr>
        <w:t xml:space="preserve"> </w:t>
      </w:r>
      <w:r w:rsidRPr="00CF4E9F">
        <w:rPr>
          <w:lang w:val="en-CA"/>
        </w:rPr>
        <w:t>This finding also refutes the argument that the disproportions observed could be explained by the greater propensity of Black people to crim</w:t>
      </w:r>
      <w:r w:rsidR="00C572DD">
        <w:rPr>
          <w:lang w:val="en-CA"/>
        </w:rPr>
        <w:t>inality</w:t>
      </w:r>
      <w:r w:rsidRPr="00CF4E9F">
        <w:rPr>
          <w:lang w:val="en-CA"/>
        </w:rPr>
        <w:t>.</w:t>
      </w:r>
      <w:r w:rsidR="0043013D" w:rsidRPr="00CF4E9F">
        <w:rPr>
          <w:lang w:val="en-CA"/>
        </w:rPr>
        <w:t xml:space="preserve"> </w:t>
      </w:r>
    </w:p>
    <w:p w14:paraId="105F48AD" w14:textId="5EAA09B7" w:rsidR="001A3EF8" w:rsidRPr="00CF4E9F" w:rsidRDefault="002A56E8" w:rsidP="00F5188D">
      <w:pPr>
        <w:pStyle w:val="Paragraphe"/>
        <w:spacing w:line="280" w:lineRule="exact"/>
        <w:rPr>
          <w:lang w:val="en-CA"/>
        </w:rPr>
      </w:pPr>
      <w:r w:rsidRPr="00CF4E9F">
        <w:rPr>
          <w:lang w:val="en-CA"/>
        </w:rPr>
        <w:t xml:space="preserve">The CDPDJ </w:t>
      </w:r>
      <w:r w:rsidR="00E1177F" w:rsidRPr="00CF4E9F">
        <w:rPr>
          <w:lang w:val="en-CA"/>
        </w:rPr>
        <w:t xml:space="preserve">made </w:t>
      </w:r>
      <w:r w:rsidRPr="00CF4E9F">
        <w:rPr>
          <w:lang w:val="en-CA"/>
        </w:rPr>
        <w:t xml:space="preserve">the same </w:t>
      </w:r>
      <w:r w:rsidR="00E1177F" w:rsidRPr="00CF4E9F">
        <w:rPr>
          <w:lang w:val="en-CA"/>
        </w:rPr>
        <w:t>finding</w:t>
      </w:r>
      <w:r w:rsidRPr="00CF4E9F">
        <w:rPr>
          <w:lang w:val="en-CA"/>
        </w:rPr>
        <w:t>: Black people are overrepresented in police street checks (or stops).</w:t>
      </w:r>
      <w:r w:rsidR="0043013D" w:rsidRPr="00CF4E9F">
        <w:rPr>
          <w:lang w:val="en-CA"/>
        </w:rPr>
        <w:t xml:space="preserve"> </w:t>
      </w:r>
      <w:r w:rsidRPr="00CF4E9F">
        <w:rPr>
          <w:lang w:val="en-CA"/>
        </w:rPr>
        <w:t>According to the CDPDJ, the disproportion is particularly marked for young Black</w:t>
      </w:r>
      <w:r w:rsidR="00C572DD">
        <w:rPr>
          <w:lang w:val="en-CA"/>
        </w:rPr>
        <w:t xml:space="preserve"> people</w:t>
      </w:r>
      <w:r w:rsidRPr="00CF4E9F">
        <w:rPr>
          <w:lang w:val="en-CA"/>
        </w:rPr>
        <w:t>.</w:t>
      </w:r>
      <w:r w:rsidR="0043013D" w:rsidRPr="00CF4E9F">
        <w:rPr>
          <w:lang w:val="en-CA"/>
        </w:rPr>
        <w:t xml:space="preserve"> </w:t>
      </w:r>
      <w:r w:rsidRPr="00CF4E9F">
        <w:rPr>
          <w:lang w:val="en-CA"/>
        </w:rPr>
        <w:t xml:space="preserve">Their overrepresentation among people street checked (or stopped) by the police has clearly increased since the SPVM started </w:t>
      </w:r>
      <w:r w:rsidR="00E53677">
        <w:rPr>
          <w:lang w:val="en-CA"/>
        </w:rPr>
        <w:t xml:space="preserve">to prioritize </w:t>
      </w:r>
      <w:r w:rsidR="00E1177F" w:rsidRPr="00CF4E9F">
        <w:rPr>
          <w:rFonts w:cs="Arial"/>
          <w:lang w:val="en-CA"/>
        </w:rPr>
        <w:t>[</w:t>
      </w:r>
      <w:r w:rsidR="00E1177F" w:rsidRPr="00CF4E9F">
        <w:rPr>
          <w:rFonts w:cs="Arial"/>
          <w:smallCaps/>
          <w:lang w:val="en-CA"/>
        </w:rPr>
        <w:t>translation</w:t>
      </w:r>
      <w:r w:rsidR="00E1177F" w:rsidRPr="00CF4E9F">
        <w:rPr>
          <w:rFonts w:cs="Arial"/>
          <w:lang w:val="en-CA"/>
        </w:rPr>
        <w:t>]</w:t>
      </w:r>
      <w:r w:rsidR="00F8437E">
        <w:rPr>
          <w:lang w:val="en-CA"/>
        </w:rPr>
        <w:t> </w:t>
      </w:r>
      <w:r w:rsidRPr="00CF4E9F">
        <w:rPr>
          <w:lang w:val="en-CA"/>
        </w:rPr>
        <w:t>“fight</w:t>
      </w:r>
      <w:r w:rsidR="00E53677">
        <w:rPr>
          <w:rFonts w:cs="Arial"/>
          <w:lang w:val="en-CA"/>
        </w:rPr>
        <w:t>ing</w:t>
      </w:r>
      <w:r w:rsidRPr="00CF4E9F">
        <w:rPr>
          <w:lang w:val="en-CA"/>
        </w:rPr>
        <w:t xml:space="preserve"> street gangs” in the mid-2000s.</w:t>
      </w:r>
      <w:r w:rsidRPr="00CF4E9F">
        <w:rPr>
          <w:vertAlign w:val="superscript"/>
          <w:lang w:val="en-CA"/>
        </w:rPr>
        <w:footnoteReference w:id="278"/>
      </w:r>
    </w:p>
    <w:p w14:paraId="3273D284" w14:textId="647143AC" w:rsidR="001A3EF8" w:rsidRPr="00CF4E9F" w:rsidRDefault="00DC230B" w:rsidP="00F5188D">
      <w:pPr>
        <w:pStyle w:val="Paragraphe"/>
        <w:spacing w:line="280" w:lineRule="exact"/>
        <w:rPr>
          <w:lang w:val="en-CA"/>
        </w:rPr>
      </w:pPr>
      <w:r>
        <w:rPr>
          <w:lang w:val="en-CA"/>
        </w:rPr>
        <w:t>Last</w:t>
      </w:r>
      <w:r w:rsidR="00BC6906">
        <w:rPr>
          <w:lang w:val="en-CA"/>
        </w:rPr>
        <w:t>ly</w:t>
      </w:r>
      <w:r w:rsidR="002A56E8" w:rsidRPr="00CF4E9F">
        <w:rPr>
          <w:lang w:val="en-CA"/>
        </w:rPr>
        <w:t xml:space="preserve">, in </w:t>
      </w:r>
      <w:r w:rsidR="002A56E8" w:rsidRPr="00CF4E9F">
        <w:rPr>
          <w:i/>
          <w:lang w:val="en-CA"/>
        </w:rPr>
        <w:t>Le</w:t>
      </w:r>
      <w:r w:rsidR="002A56E8" w:rsidRPr="00CF4E9F">
        <w:rPr>
          <w:lang w:val="en-CA"/>
        </w:rPr>
        <w:t>, the Supreme Court recognized that “[m]embers of racial minorities have disproportionate levels of contact with the police and the criminal justice system in Canada”.</w:t>
      </w:r>
      <w:r w:rsidR="002A56E8" w:rsidRPr="00CF4E9F">
        <w:rPr>
          <w:vertAlign w:val="superscript"/>
          <w:lang w:val="en-CA"/>
        </w:rPr>
        <w:footnoteReference w:id="279"/>
      </w:r>
    </w:p>
    <w:p w14:paraId="205FD83D" w14:textId="5DEAD2C5" w:rsidR="001A3EF8" w:rsidRPr="00CF4E9F" w:rsidRDefault="002A56E8" w:rsidP="00F5188D">
      <w:pPr>
        <w:pStyle w:val="Paragraphe"/>
        <w:spacing w:line="280" w:lineRule="exact"/>
        <w:rPr>
          <w:lang w:val="en-CA"/>
        </w:rPr>
      </w:pPr>
      <w:r w:rsidRPr="00CF4E9F">
        <w:rPr>
          <w:lang w:val="en-CA"/>
        </w:rPr>
        <w:t xml:space="preserve">Thus, the judge did not err in replying in the affirmative to the question of whether the </w:t>
      </w:r>
      <w:r w:rsidR="00E1177F" w:rsidRPr="00CF4E9F">
        <w:rPr>
          <w:lang w:val="en-CA"/>
        </w:rPr>
        <w:t>challenged</w:t>
      </w:r>
      <w:r w:rsidRPr="00CF4E9F">
        <w:rPr>
          <w:lang w:val="en-CA"/>
        </w:rPr>
        <w:t xml:space="preserve"> </w:t>
      </w:r>
      <w:r w:rsidR="009E3749">
        <w:rPr>
          <w:lang w:val="en-CA"/>
        </w:rPr>
        <w:t>provision</w:t>
      </w:r>
      <w:r w:rsidRPr="00CF4E9F">
        <w:rPr>
          <w:lang w:val="en-CA"/>
        </w:rPr>
        <w:t xml:space="preserve"> creates, by its effect, a distinction based on an enumerated </w:t>
      </w:r>
      <w:r w:rsidRPr="00CF4E9F">
        <w:rPr>
          <w:lang w:val="en-CA"/>
        </w:rPr>
        <w:lastRenderedPageBreak/>
        <w:t>ground, i.e., race.</w:t>
      </w:r>
      <w:r w:rsidRPr="00CF4E9F">
        <w:rPr>
          <w:vertAlign w:val="superscript"/>
          <w:lang w:val="en-CA"/>
        </w:rPr>
        <w:footnoteReference w:id="280"/>
      </w:r>
      <w:r w:rsidR="0043013D" w:rsidRPr="00CF4E9F">
        <w:rPr>
          <w:lang w:val="en-CA"/>
        </w:rPr>
        <w:t xml:space="preserve"> </w:t>
      </w:r>
      <w:r w:rsidRPr="00CF4E9F">
        <w:rPr>
          <w:lang w:val="en-CA"/>
        </w:rPr>
        <w:t>The Court agrees with the judge’s conclusion at the first step of the analysis:</w:t>
      </w:r>
    </w:p>
    <w:p w14:paraId="239387AB" w14:textId="1346D41A" w:rsidR="00B9322F" w:rsidRPr="00CF4E9F" w:rsidRDefault="00B9322F" w:rsidP="00CF2FDB">
      <w:pPr>
        <w:pStyle w:val="Citationenretrait"/>
        <w:rPr>
          <w:lang w:val="en-CA"/>
        </w:rPr>
      </w:pPr>
      <w:r w:rsidRPr="00CF4E9F">
        <w:rPr>
          <w:rFonts w:cs="Arial"/>
          <w:lang w:val="en-CA"/>
        </w:rPr>
        <w:t>[</w:t>
      </w:r>
      <w:r w:rsidRPr="00CF4E9F">
        <w:rPr>
          <w:rFonts w:cs="Arial"/>
          <w:smallCaps/>
          <w:lang w:val="en-CA"/>
        </w:rPr>
        <w:t>translation</w:t>
      </w:r>
      <w:r w:rsidRPr="00CF4E9F">
        <w:rPr>
          <w:rFonts w:cs="Arial"/>
          <w:lang w:val="en-CA"/>
        </w:rPr>
        <w:t>]</w:t>
      </w:r>
    </w:p>
    <w:p w14:paraId="17F75E2D" w14:textId="7B96DF4B" w:rsidR="001A3EF8" w:rsidRPr="00CF4E9F" w:rsidRDefault="0043013D" w:rsidP="00CF2FDB">
      <w:pPr>
        <w:pStyle w:val="Citationenretrait"/>
        <w:rPr>
          <w:lang w:val="en-CA"/>
        </w:rPr>
      </w:pPr>
      <w:r w:rsidRPr="00CF4E9F">
        <w:rPr>
          <w:lang w:val="en-CA"/>
        </w:rPr>
        <w:t>[823]</w:t>
      </w:r>
      <w:r w:rsidRPr="00CF4E9F">
        <w:rPr>
          <w:lang w:val="en-CA"/>
        </w:rPr>
        <w:tab/>
      </w:r>
      <w:r w:rsidR="002A56E8" w:rsidRPr="00CF4E9F">
        <w:rPr>
          <w:lang w:val="en-CA"/>
        </w:rPr>
        <w:t xml:space="preserve">At this first step, the Court finds that the law, which permits the selection of drivers based exclusively on a police officer’s intuition without other grounds, has a prejudicial effect in view of the disproportionate impact of </w:t>
      </w:r>
      <w:r w:rsidR="007544FF">
        <w:rPr>
          <w:i/>
          <w:lang w:val="en-CA"/>
        </w:rPr>
        <w:t xml:space="preserve">traffic </w:t>
      </w:r>
      <w:r w:rsidR="002A56E8" w:rsidRPr="00CF4E9F">
        <w:rPr>
          <w:i/>
          <w:lang w:val="en-CA"/>
        </w:rPr>
        <w:t>stops without factual grounds</w:t>
      </w:r>
      <w:r w:rsidR="002A56E8" w:rsidRPr="00CF4E9F">
        <w:rPr>
          <w:lang w:val="en-CA"/>
        </w:rPr>
        <w:t xml:space="preserve"> on Black people.</w:t>
      </w:r>
      <w:r w:rsidRPr="00CF4E9F">
        <w:rPr>
          <w:lang w:val="en-CA"/>
        </w:rPr>
        <w:t xml:space="preserve"> </w:t>
      </w:r>
      <w:r w:rsidR="002A56E8" w:rsidRPr="00CF4E9F">
        <w:rPr>
          <w:lang w:val="en-CA"/>
        </w:rPr>
        <w:t>Moreover, the Court is not required to determine whether the applicant succeeded in establishing that Black drivers are stopped in this way based on skin colour.</w:t>
      </w:r>
      <w:r w:rsidRPr="00CF4E9F">
        <w:rPr>
          <w:lang w:val="en-CA"/>
        </w:rPr>
        <w:t xml:space="preserve"> </w:t>
      </w:r>
      <w:r w:rsidR="002A56E8" w:rsidRPr="00CF4E9F">
        <w:rPr>
          <w:lang w:val="en-CA"/>
        </w:rPr>
        <w:t>Evidence of the disproportionate impact on the protected community is sufficient.</w:t>
      </w:r>
    </w:p>
    <w:p w14:paraId="07E498CD" w14:textId="58D23D19" w:rsidR="001A3EF8" w:rsidRPr="00CF4E9F" w:rsidRDefault="002A56E8" w:rsidP="00CF2FDB">
      <w:pPr>
        <w:pStyle w:val="Citationenretrait"/>
        <w:jc w:val="right"/>
        <w:rPr>
          <w:lang w:val="en-CA"/>
        </w:rPr>
      </w:pPr>
      <w:r w:rsidRPr="00CF4E9F">
        <w:rPr>
          <w:lang w:val="en-CA"/>
        </w:rPr>
        <w:t>[Bold</w:t>
      </w:r>
      <w:r w:rsidR="00316F44">
        <w:rPr>
          <w:lang w:val="en-CA"/>
        </w:rPr>
        <w:t>face</w:t>
      </w:r>
      <w:r w:rsidRPr="00CF4E9F">
        <w:rPr>
          <w:lang w:val="en-CA"/>
        </w:rPr>
        <w:t xml:space="preserve"> omitted; </w:t>
      </w:r>
      <w:r w:rsidR="00316F44">
        <w:rPr>
          <w:lang w:val="en-CA"/>
        </w:rPr>
        <w:t xml:space="preserve">italics </w:t>
      </w:r>
      <w:r w:rsidRPr="00CF4E9F">
        <w:rPr>
          <w:lang w:val="en-CA"/>
        </w:rPr>
        <w:t>in the original]</w:t>
      </w:r>
    </w:p>
    <w:p w14:paraId="67C6A9A4" w14:textId="31137371" w:rsidR="001A3EF8" w:rsidRPr="00CF4E9F" w:rsidRDefault="002A56E8" w:rsidP="00F5188D">
      <w:pPr>
        <w:pStyle w:val="Paragraphe"/>
        <w:spacing w:line="280" w:lineRule="exact"/>
        <w:rPr>
          <w:lang w:val="en-CA"/>
        </w:rPr>
      </w:pPr>
      <w:r w:rsidRPr="00CF4E9F">
        <w:rPr>
          <w:lang w:val="en-CA"/>
        </w:rPr>
        <w:t>As we have just seen, this conclusion is amply supported by the evidence.</w:t>
      </w:r>
    </w:p>
    <w:p w14:paraId="4B66E91F" w14:textId="0AADC8AC" w:rsidR="001A3EF8" w:rsidRPr="00CF4E9F" w:rsidRDefault="002A56E8" w:rsidP="00E554DF">
      <w:pPr>
        <w:pStyle w:val="Titre4"/>
        <w:ind w:left="1491" w:hanging="357"/>
        <w:rPr>
          <w:lang w:val="en-CA"/>
        </w:rPr>
      </w:pPr>
      <w:bookmarkStart w:id="114" w:name="_Toc201822895"/>
      <w:r w:rsidRPr="00CF4E9F">
        <w:rPr>
          <w:lang w:val="en-CA"/>
        </w:rPr>
        <w:t xml:space="preserve">Step 2: </w:t>
      </w:r>
      <w:r w:rsidR="00806C30">
        <w:rPr>
          <w:lang w:val="en-CA"/>
        </w:rPr>
        <w:t>D</w:t>
      </w:r>
      <w:r w:rsidR="00CC259F" w:rsidRPr="00CF4E9F">
        <w:rPr>
          <w:lang w:val="en-CA"/>
        </w:rPr>
        <w:t>emonstrate</w:t>
      </w:r>
      <w:r w:rsidRPr="00CF4E9F">
        <w:rPr>
          <w:lang w:val="en-CA"/>
        </w:rPr>
        <w:t xml:space="preserve"> that the law </w:t>
      </w:r>
      <w:r w:rsidR="00CC259F" w:rsidRPr="00CF4E9F">
        <w:rPr>
          <w:kern w:val="24"/>
          <w:szCs w:val="22"/>
          <w:lang w:val="en-CA"/>
        </w:rPr>
        <w:t>imposes a burden or denies a benefit in a manner that has the effect of reinforcing, perpetuating, or exacerbating disadvantage</w:t>
      </w:r>
      <w:bookmarkEnd w:id="114"/>
      <w:r w:rsidR="00CC259F" w:rsidRPr="00CF4E9F">
        <w:rPr>
          <w:kern w:val="24"/>
          <w:sz w:val="22"/>
          <w:lang w:val="en-CA"/>
        </w:rPr>
        <w:t xml:space="preserve"> </w:t>
      </w:r>
    </w:p>
    <w:p w14:paraId="460A1D5B" w14:textId="0586D401" w:rsidR="001A3EF8" w:rsidRPr="00CF4E9F" w:rsidRDefault="002A56E8" w:rsidP="00F5188D">
      <w:pPr>
        <w:pStyle w:val="Paragraphe"/>
        <w:spacing w:line="280" w:lineRule="exact"/>
        <w:rPr>
          <w:lang w:val="en-CA"/>
        </w:rPr>
      </w:pPr>
      <w:r w:rsidRPr="00CF4E9F">
        <w:rPr>
          <w:lang w:val="en-CA"/>
        </w:rPr>
        <w:t xml:space="preserve">According to the Court, the evidence also shows that the </w:t>
      </w:r>
      <w:r w:rsidR="00DC230B">
        <w:rPr>
          <w:lang w:val="en-CA"/>
        </w:rPr>
        <w:t xml:space="preserve">adverse </w:t>
      </w:r>
      <w:r w:rsidR="00CF7FA6">
        <w:rPr>
          <w:lang w:val="en-CA"/>
        </w:rPr>
        <w:t>effe</w:t>
      </w:r>
      <w:r w:rsidR="00DC230B">
        <w:rPr>
          <w:lang w:val="en-CA"/>
        </w:rPr>
        <w:t xml:space="preserve">ct </w:t>
      </w:r>
      <w:r w:rsidRPr="00CF4E9F">
        <w:rPr>
          <w:lang w:val="en-CA"/>
        </w:rPr>
        <w:t xml:space="preserve">of </w:t>
      </w:r>
      <w:r w:rsidR="00CD3E2E">
        <w:rPr>
          <w:lang w:val="en-CA"/>
        </w:rPr>
        <w:t>s. </w:t>
      </w:r>
      <w:r w:rsidRPr="00CF4E9F">
        <w:rPr>
          <w:lang w:val="en-CA"/>
        </w:rPr>
        <w:t>636</w:t>
      </w:r>
      <w:r w:rsidR="0030762F" w:rsidRPr="0030762F">
        <w:rPr>
          <w:i/>
          <w:lang w:val="en-CA"/>
        </w:rPr>
        <w:t> HSC</w:t>
      </w:r>
      <w:r w:rsidRPr="00CF4E9F">
        <w:rPr>
          <w:lang w:val="en-CA"/>
        </w:rPr>
        <w:t xml:space="preserve"> reinforces, perpetuates and exacerbates the </w:t>
      </w:r>
      <w:r w:rsidR="008F2F32" w:rsidRPr="00CF4E9F">
        <w:rPr>
          <w:lang w:val="en-CA"/>
        </w:rPr>
        <w:t xml:space="preserve">disadvantage </w:t>
      </w:r>
      <w:r w:rsidRPr="00CF4E9F">
        <w:rPr>
          <w:lang w:val="en-CA"/>
        </w:rPr>
        <w:t>(historic and systematic) experienced by Black persons.</w:t>
      </w:r>
    </w:p>
    <w:p w14:paraId="0D1516C3" w14:textId="0F70E71F" w:rsidR="001A3EF8" w:rsidRPr="00CF4E9F" w:rsidRDefault="002A56E8" w:rsidP="00F5188D">
      <w:pPr>
        <w:pStyle w:val="Paragraphe"/>
        <w:spacing w:line="280" w:lineRule="exact"/>
        <w:rPr>
          <w:lang w:val="en-CA"/>
        </w:rPr>
      </w:pPr>
      <w:r w:rsidRPr="00CF4E9F">
        <w:rPr>
          <w:lang w:val="en-CA"/>
        </w:rPr>
        <w:t>Historically, Black communities have had different perspectives and experiences with polic</w:t>
      </w:r>
      <w:r w:rsidR="008F2F32">
        <w:rPr>
          <w:lang w:val="en-CA"/>
        </w:rPr>
        <w:t>ing</w:t>
      </w:r>
      <w:r w:rsidRPr="00CF4E9F">
        <w:rPr>
          <w:lang w:val="en-CA"/>
        </w:rPr>
        <w:t xml:space="preserve"> practices such as </w:t>
      </w:r>
      <w:r w:rsidR="005D332E" w:rsidRPr="00CF4E9F">
        <w:rPr>
          <w:rFonts w:cs="Arial"/>
          <w:lang w:val="en-CA"/>
        </w:rPr>
        <w:t>[</w:t>
      </w:r>
      <w:r w:rsidR="005D332E" w:rsidRPr="00CF4E9F">
        <w:rPr>
          <w:rFonts w:cs="Arial"/>
          <w:smallCaps/>
          <w:lang w:val="en-CA"/>
        </w:rPr>
        <w:t>translation</w:t>
      </w:r>
      <w:r w:rsidR="005D332E" w:rsidRPr="00CF4E9F">
        <w:rPr>
          <w:rFonts w:cs="Arial"/>
          <w:lang w:val="en-CA"/>
        </w:rPr>
        <w:t>]</w:t>
      </w:r>
      <w:r w:rsidR="00F8437E">
        <w:rPr>
          <w:lang w:val="en-CA"/>
        </w:rPr>
        <w:t> </w:t>
      </w:r>
      <w:r w:rsidRPr="00CF4E9F">
        <w:rPr>
          <w:lang w:val="en-CA"/>
        </w:rPr>
        <w:t xml:space="preserve">“routine” street checks and </w:t>
      </w:r>
      <w:r w:rsidR="000B043E" w:rsidRPr="00CF4E9F">
        <w:rPr>
          <w:rFonts w:cs="Arial"/>
          <w:lang w:val="en-CA"/>
        </w:rPr>
        <w:t>[</w:t>
      </w:r>
      <w:r w:rsidR="000B043E" w:rsidRPr="00CF4E9F">
        <w:rPr>
          <w:rFonts w:cs="Arial"/>
          <w:smallCaps/>
          <w:lang w:val="en-CA"/>
        </w:rPr>
        <w:t>translation</w:t>
      </w:r>
      <w:r w:rsidR="000B043E" w:rsidRPr="00CF4E9F">
        <w:rPr>
          <w:rFonts w:cs="Arial"/>
          <w:lang w:val="en-CA"/>
        </w:rPr>
        <w:t>]</w:t>
      </w:r>
      <w:r w:rsidR="00F8437E">
        <w:rPr>
          <w:rFonts w:cs="Arial"/>
          <w:lang w:val="en-CA"/>
        </w:rPr>
        <w:t> </w:t>
      </w:r>
      <w:r w:rsidRPr="00CF4E9F">
        <w:rPr>
          <w:lang w:val="en-CA"/>
        </w:rPr>
        <w:t>“random” traffic stops.</w:t>
      </w:r>
      <w:r w:rsidR="0043013D" w:rsidRPr="00CF4E9F">
        <w:rPr>
          <w:lang w:val="en-CA"/>
        </w:rPr>
        <w:t xml:space="preserve"> </w:t>
      </w:r>
      <w:r w:rsidRPr="00CF4E9F">
        <w:rPr>
          <w:lang w:val="en-CA"/>
        </w:rPr>
        <w:t>As the OHRC noted:</w:t>
      </w:r>
      <w:r w:rsidR="0043013D" w:rsidRPr="00CF4E9F">
        <w:rPr>
          <w:lang w:val="en-CA"/>
        </w:rPr>
        <w:t xml:space="preserve"> </w:t>
      </w:r>
    </w:p>
    <w:p w14:paraId="7D16DD20" w14:textId="39AE1508" w:rsidR="001A3EF8" w:rsidRPr="00CF4E9F" w:rsidRDefault="003514B8" w:rsidP="00E12BFC">
      <w:pPr>
        <w:pStyle w:val="Citationenretrait"/>
        <w:rPr>
          <w:lang w:val="en-CA"/>
        </w:rPr>
      </w:pPr>
      <w:r w:rsidRPr="00CF4E9F">
        <w:rPr>
          <w:rFonts w:cs="Arial"/>
          <w:color w:val="000000"/>
          <w:lang w:val="en-CA"/>
        </w:rPr>
        <w:t>It is a little known fact that Black people were considered “property” well into the 1800s here in Canada. Canada has its own legacy of slavery, notwithstanding Lieutenant Governor John Graves Simcoe’s call in 1792 for an end to its “practice.” A system of slave patrols, sanctioned by the United States Congress’ Fugitive Slave Act of 1850, pursued slaves and monitored Black people in general as far north as Canada</w:t>
      </w:r>
      <w:r w:rsidR="0043013D" w:rsidRPr="00CF4E9F">
        <w:rPr>
          <w:lang w:val="en-CA"/>
        </w:rPr>
        <w:t>.</w:t>
      </w:r>
    </w:p>
    <w:p w14:paraId="712E0DDB" w14:textId="7AADD789" w:rsidR="001A3EF8" w:rsidRPr="00CF4E9F" w:rsidRDefault="003514B8" w:rsidP="00E12BFC">
      <w:pPr>
        <w:pStyle w:val="Citationenretrait"/>
        <w:rPr>
          <w:lang w:val="en-CA"/>
        </w:rPr>
      </w:pPr>
      <w:r w:rsidRPr="00CF4E9F">
        <w:rPr>
          <w:rFonts w:cs="Arial"/>
          <w:color w:val="000000"/>
          <w:lang w:val="en-CA"/>
        </w:rPr>
        <w:t>It is within this historical context that the Black communities’ relationship with the police was formed and initially defined</w:t>
      </w:r>
      <w:r w:rsidR="0043013D" w:rsidRPr="00CF4E9F">
        <w:rPr>
          <w:lang w:val="en-CA"/>
        </w:rPr>
        <w:t>.</w:t>
      </w:r>
      <w:r w:rsidR="0043013D" w:rsidRPr="00CF4E9F">
        <w:rPr>
          <w:vertAlign w:val="superscript"/>
          <w:lang w:val="en-CA"/>
        </w:rPr>
        <w:footnoteReference w:id="281"/>
      </w:r>
    </w:p>
    <w:p w14:paraId="0ED686DE" w14:textId="37FE32B0" w:rsidR="001A3EF8" w:rsidRPr="00CF4E9F" w:rsidRDefault="001C0E1E" w:rsidP="00F5188D">
      <w:pPr>
        <w:pStyle w:val="Paragraphe"/>
        <w:spacing w:line="280" w:lineRule="exact"/>
        <w:rPr>
          <w:lang w:val="en-CA"/>
        </w:rPr>
      </w:pPr>
      <w:r w:rsidRPr="00CF4E9F">
        <w:rPr>
          <w:lang w:val="en-CA"/>
        </w:rPr>
        <w:lastRenderedPageBreak/>
        <w:t xml:space="preserve">This context must be </w:t>
      </w:r>
      <w:r w:rsidR="008671D8">
        <w:rPr>
          <w:lang w:val="en-CA"/>
        </w:rPr>
        <w:t xml:space="preserve">taken into account </w:t>
      </w:r>
      <w:r w:rsidRPr="00CF4E9F">
        <w:rPr>
          <w:lang w:val="en-CA"/>
        </w:rPr>
        <w:t xml:space="preserve">to properly understand how </w:t>
      </w:r>
      <w:r w:rsidR="00162E51">
        <w:rPr>
          <w:lang w:val="en-CA"/>
        </w:rPr>
        <w:t>s. </w:t>
      </w:r>
      <w:r w:rsidRPr="00CF4E9F">
        <w:rPr>
          <w:lang w:val="en-CA"/>
        </w:rPr>
        <w:t>636</w:t>
      </w:r>
      <w:r w:rsidR="0030762F" w:rsidRPr="0030762F">
        <w:rPr>
          <w:i/>
          <w:lang w:val="en-CA"/>
        </w:rPr>
        <w:t> HSC</w:t>
      </w:r>
      <w:r w:rsidRPr="00CF4E9F">
        <w:rPr>
          <w:lang w:val="en-CA"/>
        </w:rPr>
        <w:t xml:space="preserve"> reinforces, perpetuates and exacerbates </w:t>
      </w:r>
      <w:r w:rsidR="00807D72" w:rsidRPr="00CF4E9F">
        <w:rPr>
          <w:lang w:val="en-CA"/>
        </w:rPr>
        <w:t>Black people’s</w:t>
      </w:r>
      <w:r w:rsidRPr="00CF4E9F">
        <w:rPr>
          <w:lang w:val="en-CA"/>
        </w:rPr>
        <w:t xml:space="preserve"> disadvantage.</w:t>
      </w:r>
      <w:r w:rsidR="0043013D" w:rsidRPr="00CF4E9F">
        <w:rPr>
          <w:lang w:val="en-CA"/>
        </w:rPr>
        <w:t xml:space="preserve"> </w:t>
      </w:r>
      <w:r w:rsidRPr="00CF4E9F">
        <w:rPr>
          <w:lang w:val="en-CA"/>
        </w:rPr>
        <w:t xml:space="preserve">This is especially important given that the subjective experience of Black </w:t>
      </w:r>
      <w:r w:rsidR="008671D8">
        <w:rPr>
          <w:lang w:val="en-CA"/>
        </w:rPr>
        <w:t xml:space="preserve">persons </w:t>
      </w:r>
      <w:r w:rsidRPr="00CF4E9F">
        <w:rPr>
          <w:lang w:val="en-CA"/>
        </w:rPr>
        <w:t xml:space="preserve">repeatedly </w:t>
      </w:r>
      <w:r w:rsidR="008671D8">
        <w:rPr>
          <w:lang w:val="en-CA"/>
        </w:rPr>
        <w:t xml:space="preserve">subjected to </w:t>
      </w:r>
      <w:r w:rsidRPr="00CF4E9F">
        <w:rPr>
          <w:lang w:val="en-CA"/>
        </w:rPr>
        <w:t>street check</w:t>
      </w:r>
      <w:r w:rsidR="008671D8">
        <w:rPr>
          <w:lang w:val="en-CA"/>
        </w:rPr>
        <w:t>s</w:t>
      </w:r>
      <w:r w:rsidRPr="00CF4E9F">
        <w:rPr>
          <w:lang w:val="en-CA"/>
        </w:rPr>
        <w:t xml:space="preserve"> or </w:t>
      </w:r>
      <w:r w:rsidR="008671D8">
        <w:rPr>
          <w:lang w:val="en-CA"/>
        </w:rPr>
        <w:t xml:space="preserve">traffic </w:t>
      </w:r>
      <w:r w:rsidRPr="00CF4E9F">
        <w:rPr>
          <w:lang w:val="en-CA"/>
        </w:rPr>
        <w:t>stop</w:t>
      </w:r>
      <w:r w:rsidR="008671D8">
        <w:rPr>
          <w:lang w:val="en-CA"/>
        </w:rPr>
        <w:t>s</w:t>
      </w:r>
      <w:r w:rsidRPr="00CF4E9F">
        <w:rPr>
          <w:lang w:val="en-CA"/>
        </w:rPr>
        <w:t xml:space="preserve"> by the police tends to be minimized.</w:t>
      </w:r>
      <w:r w:rsidRPr="00CF4E9F">
        <w:rPr>
          <w:vertAlign w:val="superscript"/>
          <w:lang w:val="en-CA"/>
        </w:rPr>
        <w:footnoteReference w:id="282"/>
      </w:r>
      <w:r w:rsidR="0043013D" w:rsidRPr="00CF4E9F">
        <w:rPr>
          <w:lang w:val="en-CA"/>
        </w:rPr>
        <w:t xml:space="preserve"> </w:t>
      </w:r>
      <w:r w:rsidRPr="00CF4E9F">
        <w:rPr>
          <w:lang w:val="en-CA"/>
        </w:rPr>
        <w:t xml:space="preserve">The effects of racial profiling (and of </w:t>
      </w:r>
      <w:r w:rsidR="009D6E8E" w:rsidRPr="00CF4E9F">
        <w:rPr>
          <w:rFonts w:cs="Arial"/>
          <w:lang w:val="en-CA"/>
        </w:rPr>
        <w:t>[</w:t>
      </w:r>
      <w:r w:rsidR="009D6E8E" w:rsidRPr="00CF4E9F">
        <w:rPr>
          <w:rFonts w:cs="Arial"/>
          <w:smallCaps/>
          <w:lang w:val="en-CA"/>
        </w:rPr>
        <w:t>translation</w:t>
      </w:r>
      <w:r w:rsidR="009D6E8E" w:rsidRPr="00CF4E9F">
        <w:rPr>
          <w:rFonts w:cs="Arial"/>
          <w:lang w:val="en-CA"/>
        </w:rPr>
        <w:t>]</w:t>
      </w:r>
      <w:r w:rsidR="00F8437E">
        <w:rPr>
          <w:lang w:val="en-CA"/>
        </w:rPr>
        <w:t> </w:t>
      </w:r>
      <w:r w:rsidRPr="00CF4E9F">
        <w:rPr>
          <w:lang w:val="en-CA"/>
        </w:rPr>
        <w:t>“</w:t>
      </w:r>
      <w:r w:rsidR="00025657" w:rsidRPr="00CF4E9F">
        <w:rPr>
          <w:lang w:val="en-CA"/>
        </w:rPr>
        <w:t>over</w:t>
      </w:r>
      <w:r w:rsidR="00025657">
        <w:rPr>
          <w:lang w:val="en-CA"/>
        </w:rPr>
        <w:noBreakHyphen/>
      </w:r>
      <w:r w:rsidRPr="00CF4E9F">
        <w:rPr>
          <w:lang w:val="en-CA"/>
        </w:rPr>
        <w:t>street</w:t>
      </w:r>
      <w:r w:rsidR="00296722">
        <w:rPr>
          <w:lang w:val="en-CA"/>
        </w:rPr>
        <w:t xml:space="preserve"> </w:t>
      </w:r>
      <w:r w:rsidRPr="00CF4E9F">
        <w:rPr>
          <w:lang w:val="en-CA"/>
        </w:rPr>
        <w:t>checking”), however, are not trivial for Black people (and communities).</w:t>
      </w:r>
      <w:r w:rsidR="0043013D" w:rsidRPr="00CF4E9F">
        <w:rPr>
          <w:lang w:val="en-CA"/>
        </w:rPr>
        <w:t xml:space="preserve"> </w:t>
      </w:r>
    </w:p>
    <w:p w14:paraId="5700B34F" w14:textId="0AA9DA59" w:rsidR="001A3EF8" w:rsidRPr="00CF4E9F" w:rsidRDefault="001C0E1E" w:rsidP="00F5188D">
      <w:pPr>
        <w:pStyle w:val="Paragraphe"/>
        <w:spacing w:line="280" w:lineRule="exact"/>
        <w:rPr>
          <w:lang w:val="en-CA"/>
        </w:rPr>
      </w:pPr>
      <w:bookmarkStart w:id="115" w:name="_Ref164957298"/>
      <w:r w:rsidRPr="00CF4E9F">
        <w:rPr>
          <w:lang w:val="en-CA"/>
        </w:rPr>
        <w:t>The expert evidence, scientific literature</w:t>
      </w:r>
      <w:r w:rsidR="00807D72" w:rsidRPr="00CF4E9F">
        <w:rPr>
          <w:lang w:val="en-CA"/>
        </w:rPr>
        <w:t>,</w:t>
      </w:r>
      <w:r w:rsidRPr="00CF4E9F">
        <w:rPr>
          <w:lang w:val="en-CA"/>
        </w:rPr>
        <w:t xml:space="preserve"> and government commission reports show that racial profiling in police interventions (including routine street checks and </w:t>
      </w:r>
      <w:r w:rsidR="009D6E8E" w:rsidRPr="00CF4E9F">
        <w:rPr>
          <w:rFonts w:cs="Arial"/>
          <w:lang w:val="en-CA"/>
        </w:rPr>
        <w:t>[</w:t>
      </w:r>
      <w:r w:rsidR="009D6E8E" w:rsidRPr="00CF4E9F">
        <w:rPr>
          <w:rFonts w:cs="Arial"/>
          <w:smallCaps/>
          <w:lang w:val="en-CA"/>
        </w:rPr>
        <w:t>translation</w:t>
      </w:r>
      <w:r w:rsidR="009D6E8E" w:rsidRPr="00CF4E9F">
        <w:rPr>
          <w:rFonts w:cs="Arial"/>
          <w:lang w:val="en-CA"/>
        </w:rPr>
        <w:t>]</w:t>
      </w:r>
      <w:r w:rsidR="00F8437E">
        <w:rPr>
          <w:lang w:val="en-CA"/>
        </w:rPr>
        <w:t> </w:t>
      </w:r>
      <w:r w:rsidRPr="00CF4E9F">
        <w:rPr>
          <w:lang w:val="en-CA"/>
        </w:rPr>
        <w:t xml:space="preserve">“random” traffic stops) has multiple and profound </w:t>
      </w:r>
      <w:r w:rsidR="00FC42B1">
        <w:rPr>
          <w:lang w:val="en-CA"/>
        </w:rPr>
        <w:t>consequences for</w:t>
      </w:r>
      <w:r w:rsidRPr="00CF4E9F">
        <w:rPr>
          <w:lang w:val="en-CA"/>
        </w:rPr>
        <w:t xml:space="preserve"> its victims.</w:t>
      </w:r>
      <w:r w:rsidRPr="00CF4E9F">
        <w:rPr>
          <w:vertAlign w:val="superscript"/>
          <w:lang w:val="en-CA"/>
        </w:rPr>
        <w:footnoteReference w:id="283"/>
      </w:r>
      <w:r w:rsidR="0043013D" w:rsidRPr="00CF4E9F">
        <w:rPr>
          <w:lang w:val="en-CA"/>
        </w:rPr>
        <w:t xml:space="preserve"> </w:t>
      </w:r>
      <w:bookmarkEnd w:id="115"/>
      <w:r w:rsidRPr="00CF4E9F">
        <w:rPr>
          <w:lang w:val="en-CA"/>
        </w:rPr>
        <w:t>This evidence establishes in particular that:</w:t>
      </w:r>
      <w:r w:rsidR="0043013D" w:rsidRPr="00CF4E9F">
        <w:rPr>
          <w:lang w:val="en-CA"/>
        </w:rPr>
        <w:t xml:space="preserve"> </w:t>
      </w:r>
    </w:p>
    <w:p w14:paraId="50EBD489" w14:textId="632C06A4" w:rsidR="001A3EF8" w:rsidRPr="00CF4E9F" w:rsidRDefault="002C29F2" w:rsidP="004D42FA">
      <w:pPr>
        <w:numPr>
          <w:ilvl w:val="0"/>
          <w:numId w:val="3"/>
        </w:numPr>
        <w:spacing w:before="120" w:after="120"/>
        <w:ind w:left="714" w:hanging="357"/>
        <w:jc w:val="both"/>
        <w:rPr>
          <w:kern w:val="28"/>
          <w:lang w:val="en-CA"/>
        </w:rPr>
      </w:pPr>
      <w:r w:rsidRPr="00CF4E9F">
        <w:rPr>
          <w:kern w:val="28"/>
          <w:lang w:val="en-CA"/>
        </w:rPr>
        <w:t>Black people “often feel humiliation, fear, anger, frustration and helplessness as a result of perceived racial profiling”.</w:t>
      </w:r>
      <w:r w:rsidRPr="00CF4E9F">
        <w:rPr>
          <w:kern w:val="28"/>
          <w:vertAlign w:val="superscript"/>
          <w:lang w:val="en-CA"/>
        </w:rPr>
        <w:footnoteReference w:id="284"/>
      </w:r>
      <w:r w:rsidR="0043013D" w:rsidRPr="00CF4E9F">
        <w:rPr>
          <w:kern w:val="28"/>
          <w:lang w:val="en-CA"/>
        </w:rPr>
        <w:t xml:space="preserve"> </w:t>
      </w:r>
      <w:r w:rsidRPr="00CF4E9F">
        <w:rPr>
          <w:kern w:val="28"/>
          <w:lang w:val="en-CA"/>
        </w:rPr>
        <w:t xml:space="preserve">Frequent exposure to street checks, </w:t>
      </w:r>
      <w:r w:rsidR="004F1729">
        <w:rPr>
          <w:kern w:val="28"/>
          <w:lang w:val="en-CA"/>
        </w:rPr>
        <w:t xml:space="preserve">traffic </w:t>
      </w:r>
      <w:r w:rsidRPr="00CF4E9F">
        <w:rPr>
          <w:kern w:val="28"/>
          <w:lang w:val="en-CA"/>
        </w:rPr>
        <w:t>stops and searches by the police may have negative (and sometimes lasting) effects on their physical</w:t>
      </w:r>
      <w:r w:rsidRPr="00CF4E9F">
        <w:rPr>
          <w:kern w:val="28"/>
          <w:vertAlign w:val="superscript"/>
          <w:lang w:val="en-CA"/>
        </w:rPr>
        <w:footnoteReference w:id="285"/>
      </w:r>
      <w:r w:rsidRPr="00CF4E9F">
        <w:rPr>
          <w:kern w:val="28"/>
          <w:lang w:val="en-CA"/>
        </w:rPr>
        <w:t xml:space="preserve"> and mental health;</w:t>
      </w:r>
      <w:r w:rsidRPr="00CF4E9F">
        <w:rPr>
          <w:kern w:val="28"/>
          <w:vertAlign w:val="superscript"/>
          <w:lang w:val="en-CA"/>
        </w:rPr>
        <w:footnoteReference w:id="286"/>
      </w:r>
    </w:p>
    <w:p w14:paraId="024568C2" w14:textId="6E3FF3AA" w:rsidR="001A3EF8" w:rsidRPr="00CF4E9F" w:rsidRDefault="002C29F2" w:rsidP="004D42FA">
      <w:pPr>
        <w:numPr>
          <w:ilvl w:val="0"/>
          <w:numId w:val="3"/>
        </w:numPr>
        <w:spacing w:before="120" w:after="120"/>
        <w:ind w:left="714" w:hanging="357"/>
        <w:jc w:val="both"/>
        <w:rPr>
          <w:kern w:val="28"/>
          <w:lang w:val="en-CA"/>
        </w:rPr>
      </w:pPr>
      <w:r w:rsidRPr="00CF4E9F">
        <w:rPr>
          <w:kern w:val="28"/>
          <w:lang w:val="en-CA"/>
        </w:rPr>
        <w:t>Black people who experience racial profiling may, for example, develop trauma (even post-traumatic stress disorder)</w:t>
      </w:r>
      <w:r w:rsidRPr="00CF4E9F">
        <w:rPr>
          <w:kern w:val="28"/>
          <w:vertAlign w:val="superscript"/>
          <w:lang w:val="en-CA"/>
        </w:rPr>
        <w:footnoteReference w:id="287"/>
      </w:r>
      <w:r w:rsidRPr="00CF4E9F">
        <w:rPr>
          <w:kern w:val="28"/>
          <w:lang w:val="en-CA"/>
        </w:rPr>
        <w:t xml:space="preserve"> or suffer</w:t>
      </w:r>
      <w:r w:rsidR="00FC42B1">
        <w:rPr>
          <w:kern w:val="28"/>
          <w:lang w:val="en-CA"/>
        </w:rPr>
        <w:t xml:space="preserve"> from</w:t>
      </w:r>
      <w:r w:rsidRPr="00CF4E9F">
        <w:rPr>
          <w:kern w:val="28"/>
          <w:lang w:val="en-CA"/>
        </w:rPr>
        <w:t xml:space="preserve"> depression or anxiety;</w:t>
      </w:r>
      <w:r w:rsidRPr="00CF4E9F">
        <w:rPr>
          <w:kern w:val="28"/>
          <w:vertAlign w:val="superscript"/>
          <w:lang w:val="en-CA"/>
        </w:rPr>
        <w:footnoteReference w:id="288"/>
      </w:r>
    </w:p>
    <w:p w14:paraId="3BD09DEA" w14:textId="485EA120"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t xml:space="preserve">Many racialized families change </w:t>
      </w:r>
      <w:r w:rsidR="005D332E" w:rsidRPr="00CF4E9F">
        <w:rPr>
          <w:rFonts w:cs="Arial"/>
          <w:lang w:val="en-CA"/>
        </w:rPr>
        <w:t>[</w:t>
      </w:r>
      <w:r w:rsidR="005D332E" w:rsidRPr="00CF4E9F">
        <w:rPr>
          <w:rFonts w:cs="Arial"/>
          <w:smallCaps/>
          <w:lang w:val="en-CA"/>
        </w:rPr>
        <w:t>translation</w:t>
      </w:r>
      <w:r w:rsidR="005D332E" w:rsidRPr="00CF4E9F">
        <w:rPr>
          <w:rFonts w:cs="Arial"/>
          <w:lang w:val="en-CA"/>
        </w:rPr>
        <w:t>]</w:t>
      </w:r>
      <w:r w:rsidR="00F8437E">
        <w:rPr>
          <w:rFonts w:cs="Arial"/>
          <w:kern w:val="28"/>
          <w:szCs w:val="24"/>
          <w:lang w:val="en-CA"/>
        </w:rPr>
        <w:t> </w:t>
      </w:r>
      <w:r w:rsidRPr="00CF4E9F">
        <w:rPr>
          <w:rFonts w:cs="Arial"/>
          <w:kern w:val="28"/>
          <w:szCs w:val="24"/>
          <w:lang w:val="en-CA"/>
        </w:rPr>
        <w:t>“the way they raise their children to prepare them to re</w:t>
      </w:r>
      <w:r w:rsidR="00737DD1" w:rsidRPr="00CF4E9F">
        <w:rPr>
          <w:rFonts w:cs="Arial"/>
          <w:kern w:val="28"/>
          <w:szCs w:val="24"/>
          <w:lang w:val="en-CA"/>
        </w:rPr>
        <w:t>spond</w:t>
      </w:r>
      <w:r w:rsidRPr="00CF4E9F">
        <w:rPr>
          <w:rFonts w:cs="Arial"/>
          <w:kern w:val="28"/>
          <w:szCs w:val="24"/>
          <w:lang w:val="en-CA"/>
        </w:rPr>
        <w:t xml:space="preserve"> to these interactions with the police, which are </w:t>
      </w:r>
      <w:r w:rsidR="00737DD1" w:rsidRPr="00CF4E9F">
        <w:rPr>
          <w:rFonts w:cs="Arial"/>
          <w:kern w:val="28"/>
          <w:szCs w:val="24"/>
          <w:lang w:val="en-CA"/>
        </w:rPr>
        <w:t xml:space="preserve">considered </w:t>
      </w:r>
      <w:r w:rsidRPr="00CF4E9F">
        <w:rPr>
          <w:rFonts w:cs="Arial"/>
          <w:kern w:val="28"/>
          <w:szCs w:val="24"/>
          <w:lang w:val="en-CA"/>
        </w:rPr>
        <w:t>unavoidable”.</w:t>
      </w:r>
      <w:r w:rsidRPr="00CF4E9F">
        <w:rPr>
          <w:rFonts w:cs="Arial"/>
          <w:kern w:val="28"/>
          <w:szCs w:val="24"/>
          <w:vertAlign w:val="superscript"/>
          <w:lang w:val="en-CA"/>
        </w:rPr>
        <w:footnoteReference w:id="289"/>
      </w:r>
      <w:r w:rsidR="0043013D" w:rsidRPr="00CF4E9F">
        <w:rPr>
          <w:rFonts w:cs="Arial"/>
          <w:kern w:val="28"/>
          <w:szCs w:val="24"/>
          <w:lang w:val="en-CA"/>
        </w:rPr>
        <w:t xml:space="preserve"> </w:t>
      </w:r>
      <w:r w:rsidRPr="00CF4E9F">
        <w:rPr>
          <w:rFonts w:cs="Arial"/>
          <w:kern w:val="28"/>
          <w:szCs w:val="24"/>
          <w:lang w:val="en-CA"/>
        </w:rPr>
        <w:t xml:space="preserve">Many people develop “strategies” to protect themselves from racial profiling and arbitrary </w:t>
      </w:r>
      <w:r w:rsidR="00317F0B">
        <w:rPr>
          <w:rFonts w:cs="Arial"/>
          <w:kern w:val="28"/>
          <w:szCs w:val="24"/>
          <w:lang w:val="en-CA"/>
        </w:rPr>
        <w:t>traffic</w:t>
      </w:r>
      <w:r w:rsidR="004F1729">
        <w:rPr>
          <w:rFonts w:cs="Arial"/>
          <w:kern w:val="28"/>
          <w:szCs w:val="24"/>
          <w:lang w:val="en-CA"/>
        </w:rPr>
        <w:t xml:space="preserve"> </w:t>
      </w:r>
      <w:r w:rsidRPr="00CF4E9F">
        <w:rPr>
          <w:rFonts w:cs="Arial"/>
          <w:kern w:val="28"/>
          <w:szCs w:val="24"/>
          <w:lang w:val="en-CA"/>
        </w:rPr>
        <w:t xml:space="preserve">stops (e.g., </w:t>
      </w:r>
      <w:r w:rsidR="00FC42B1">
        <w:rPr>
          <w:rFonts w:cs="Arial"/>
          <w:kern w:val="28"/>
          <w:szCs w:val="24"/>
          <w:lang w:val="en-CA"/>
        </w:rPr>
        <w:t>filming</w:t>
      </w:r>
      <w:r w:rsidR="00FC42B1" w:rsidRPr="00CF4E9F">
        <w:rPr>
          <w:rFonts w:cs="Arial"/>
          <w:kern w:val="28"/>
          <w:szCs w:val="24"/>
          <w:lang w:val="en-CA"/>
        </w:rPr>
        <w:t xml:space="preserve"> </w:t>
      </w:r>
      <w:r w:rsidR="004F1729">
        <w:rPr>
          <w:rFonts w:cs="Arial"/>
          <w:kern w:val="28"/>
          <w:szCs w:val="24"/>
          <w:lang w:val="en-CA"/>
        </w:rPr>
        <w:t xml:space="preserve">traffic </w:t>
      </w:r>
      <w:r w:rsidRPr="00CF4E9F">
        <w:rPr>
          <w:rFonts w:cs="Arial"/>
          <w:kern w:val="28"/>
          <w:szCs w:val="24"/>
          <w:lang w:val="en-CA"/>
        </w:rPr>
        <w:t xml:space="preserve">stops, </w:t>
      </w:r>
      <w:r w:rsidR="00737DD1" w:rsidRPr="00CF4E9F">
        <w:rPr>
          <w:rFonts w:cs="Arial"/>
          <w:kern w:val="28"/>
          <w:szCs w:val="24"/>
          <w:lang w:val="en-CA"/>
        </w:rPr>
        <w:t>avoiding</w:t>
      </w:r>
      <w:r w:rsidR="00FC42B1">
        <w:rPr>
          <w:rFonts w:cs="Arial"/>
          <w:kern w:val="28"/>
          <w:szCs w:val="24"/>
          <w:lang w:val="en-CA"/>
        </w:rPr>
        <w:t xml:space="preserve"> going </w:t>
      </w:r>
      <w:r w:rsidR="00FC42B1">
        <w:rPr>
          <w:rFonts w:cs="Arial"/>
          <w:kern w:val="28"/>
          <w:szCs w:val="24"/>
          <w:lang w:val="en-CA"/>
        </w:rPr>
        <w:lastRenderedPageBreak/>
        <w:t>to</w:t>
      </w:r>
      <w:r w:rsidR="00737DD1" w:rsidRPr="00CF4E9F">
        <w:rPr>
          <w:rFonts w:cs="Arial"/>
          <w:kern w:val="28"/>
          <w:szCs w:val="24"/>
          <w:lang w:val="en-CA"/>
        </w:rPr>
        <w:t xml:space="preserve"> </w:t>
      </w:r>
      <w:r w:rsidRPr="00CF4E9F">
        <w:rPr>
          <w:rFonts w:cs="Arial"/>
          <w:kern w:val="28"/>
          <w:szCs w:val="24"/>
          <w:lang w:val="en-CA"/>
        </w:rPr>
        <w:t xml:space="preserve">certain neighbourhoods or driving certain </w:t>
      </w:r>
      <w:r w:rsidR="00737DD1" w:rsidRPr="00CF4E9F">
        <w:rPr>
          <w:rFonts w:cs="Arial"/>
          <w:kern w:val="28"/>
          <w:szCs w:val="24"/>
          <w:lang w:val="en-CA"/>
        </w:rPr>
        <w:t xml:space="preserve">models of </w:t>
      </w:r>
      <w:r w:rsidRPr="00CF4E9F">
        <w:rPr>
          <w:rFonts w:cs="Arial"/>
          <w:kern w:val="28"/>
          <w:szCs w:val="24"/>
          <w:lang w:val="en-CA"/>
        </w:rPr>
        <w:t>cars, being extremely careful and vigilant while driving, etc.);</w:t>
      </w:r>
      <w:r w:rsidRPr="00CF4E9F">
        <w:rPr>
          <w:rFonts w:cs="Arial"/>
          <w:kern w:val="28"/>
          <w:szCs w:val="24"/>
          <w:vertAlign w:val="superscript"/>
          <w:lang w:val="en-CA"/>
        </w:rPr>
        <w:footnoteReference w:id="290"/>
      </w:r>
    </w:p>
    <w:p w14:paraId="4D46DFC5" w14:textId="155D7E17"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t>Racial profiling undermines Black people’s trust in the police and public institutions.</w:t>
      </w:r>
      <w:r w:rsidRPr="00CF4E9F">
        <w:rPr>
          <w:rFonts w:cs="Arial"/>
          <w:kern w:val="28"/>
          <w:szCs w:val="24"/>
          <w:vertAlign w:val="superscript"/>
          <w:lang w:val="en-CA"/>
        </w:rPr>
        <w:footnoteReference w:id="291"/>
      </w:r>
      <w:r w:rsidR="0043013D" w:rsidRPr="00CF4E9F">
        <w:rPr>
          <w:rFonts w:cs="Arial"/>
          <w:kern w:val="28"/>
          <w:szCs w:val="24"/>
          <w:lang w:val="en-CA"/>
        </w:rPr>
        <w:t xml:space="preserve"> </w:t>
      </w:r>
      <w:r w:rsidRPr="00CF4E9F">
        <w:rPr>
          <w:rFonts w:cs="Arial"/>
          <w:kern w:val="28"/>
          <w:szCs w:val="24"/>
          <w:lang w:val="en-CA"/>
        </w:rPr>
        <w:t xml:space="preserve">It creates a feeling of distrust, </w:t>
      </w:r>
      <w:r w:rsidR="00BA0190">
        <w:rPr>
          <w:rFonts w:cs="Arial"/>
          <w:kern w:val="28"/>
          <w:szCs w:val="24"/>
          <w:lang w:val="en-CA"/>
        </w:rPr>
        <w:t>even</w:t>
      </w:r>
      <w:r w:rsidRPr="00CF4E9F">
        <w:rPr>
          <w:rFonts w:cs="Arial"/>
          <w:kern w:val="28"/>
          <w:szCs w:val="24"/>
          <w:lang w:val="en-CA"/>
        </w:rPr>
        <w:t xml:space="preserve"> hostility,</w:t>
      </w:r>
      <w:r w:rsidRPr="00CF4E9F">
        <w:rPr>
          <w:rFonts w:cs="Arial"/>
          <w:kern w:val="28"/>
          <w:szCs w:val="24"/>
          <w:vertAlign w:val="superscript"/>
          <w:lang w:val="en-CA"/>
        </w:rPr>
        <w:footnoteReference w:id="292"/>
      </w:r>
      <w:r w:rsidRPr="00CF4E9F">
        <w:rPr>
          <w:rFonts w:cs="Arial"/>
          <w:kern w:val="28"/>
          <w:szCs w:val="24"/>
          <w:lang w:val="en-CA"/>
        </w:rPr>
        <w:t xml:space="preserve"> towards law enforcement and the justice system;</w:t>
      </w:r>
      <w:r w:rsidRPr="00CF4E9F">
        <w:rPr>
          <w:rFonts w:cs="Arial"/>
          <w:kern w:val="28"/>
          <w:szCs w:val="24"/>
          <w:vertAlign w:val="superscript"/>
          <w:lang w:val="en-CA"/>
        </w:rPr>
        <w:footnoteReference w:id="293"/>
      </w:r>
    </w:p>
    <w:p w14:paraId="3303572B" w14:textId="5609CB1C"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t>Loss of trust in the legitimacy, integrity, and objectivity of the police and the justice system may lead some people to refuse to cooperate with the police</w:t>
      </w:r>
      <w:r w:rsidRPr="00CF4E9F">
        <w:rPr>
          <w:rFonts w:cs="Arial"/>
          <w:kern w:val="28"/>
          <w:szCs w:val="24"/>
          <w:vertAlign w:val="superscript"/>
          <w:lang w:val="en-CA"/>
        </w:rPr>
        <w:footnoteReference w:id="294"/>
      </w:r>
      <w:r w:rsidRPr="00CF4E9F">
        <w:rPr>
          <w:rFonts w:cs="Arial"/>
          <w:kern w:val="28"/>
          <w:szCs w:val="24"/>
          <w:lang w:val="en-CA"/>
        </w:rPr>
        <w:t xml:space="preserve"> and even to develop antisocial behaviour (e.g., </w:t>
      </w:r>
      <w:r w:rsidR="00004101">
        <w:rPr>
          <w:rFonts w:cs="Arial"/>
          <w:kern w:val="28"/>
          <w:szCs w:val="24"/>
          <w:lang w:val="en-CA"/>
        </w:rPr>
        <w:t>they might refuse</w:t>
      </w:r>
      <w:r w:rsidR="00004101" w:rsidRPr="00CF4E9F">
        <w:rPr>
          <w:rFonts w:cs="Arial"/>
          <w:kern w:val="28"/>
          <w:szCs w:val="24"/>
          <w:lang w:val="en-CA"/>
        </w:rPr>
        <w:t xml:space="preserve"> </w:t>
      </w:r>
      <w:r w:rsidRPr="00CF4E9F">
        <w:rPr>
          <w:rFonts w:cs="Arial"/>
          <w:kern w:val="28"/>
          <w:szCs w:val="24"/>
          <w:lang w:val="en-CA"/>
        </w:rPr>
        <w:t xml:space="preserve">to obey the law or </w:t>
      </w:r>
      <w:r w:rsidR="00004101">
        <w:rPr>
          <w:rFonts w:cs="Arial"/>
          <w:kern w:val="28"/>
          <w:szCs w:val="24"/>
          <w:lang w:val="en-CA"/>
        </w:rPr>
        <w:t xml:space="preserve">might </w:t>
      </w:r>
      <w:r w:rsidRPr="00CF4E9F">
        <w:rPr>
          <w:rFonts w:cs="Arial"/>
          <w:kern w:val="28"/>
          <w:szCs w:val="24"/>
          <w:lang w:val="en-CA"/>
        </w:rPr>
        <w:t>participat</w:t>
      </w:r>
      <w:r w:rsidR="00004101">
        <w:rPr>
          <w:rFonts w:cs="Arial"/>
          <w:kern w:val="28"/>
          <w:szCs w:val="24"/>
          <w:lang w:val="en-CA"/>
        </w:rPr>
        <w:t>e</w:t>
      </w:r>
      <w:r w:rsidRPr="00CF4E9F">
        <w:rPr>
          <w:rFonts w:cs="Arial"/>
          <w:kern w:val="28"/>
          <w:szCs w:val="24"/>
          <w:lang w:val="en-CA"/>
        </w:rPr>
        <w:t xml:space="preserve"> in crime).</w:t>
      </w:r>
      <w:r w:rsidRPr="00CF4E9F">
        <w:rPr>
          <w:rFonts w:cs="Arial"/>
          <w:kern w:val="28"/>
          <w:szCs w:val="24"/>
          <w:vertAlign w:val="superscript"/>
          <w:lang w:val="en-CA"/>
        </w:rPr>
        <w:footnoteReference w:id="295"/>
      </w:r>
      <w:r w:rsidR="0043013D" w:rsidRPr="00CF4E9F">
        <w:rPr>
          <w:rFonts w:cs="Arial"/>
          <w:kern w:val="28"/>
          <w:szCs w:val="24"/>
          <w:lang w:val="en-CA"/>
        </w:rPr>
        <w:t xml:space="preserve"> </w:t>
      </w:r>
      <w:r w:rsidRPr="00CF4E9F">
        <w:rPr>
          <w:rFonts w:cs="Arial"/>
          <w:kern w:val="28"/>
          <w:szCs w:val="24"/>
          <w:lang w:val="en-CA"/>
        </w:rPr>
        <w:t>Moreover, people who fear the police or question their legitimacy are less likely to call them when necessary,</w:t>
      </w:r>
      <w:r w:rsidRPr="00CF4E9F">
        <w:rPr>
          <w:rFonts w:cs="Arial"/>
          <w:kern w:val="28"/>
          <w:szCs w:val="24"/>
          <w:vertAlign w:val="superscript"/>
          <w:lang w:val="en-CA"/>
        </w:rPr>
        <w:footnoteReference w:id="296"/>
      </w:r>
      <w:r w:rsidRPr="00CF4E9F">
        <w:rPr>
          <w:rFonts w:cs="Arial"/>
          <w:kern w:val="28"/>
          <w:szCs w:val="24"/>
          <w:lang w:val="en-CA"/>
        </w:rPr>
        <w:t xml:space="preserve"> </w:t>
      </w:r>
      <w:r w:rsidR="005D332E" w:rsidRPr="00CF4E9F">
        <w:rPr>
          <w:rFonts w:cs="Arial"/>
          <w:lang w:val="en-CA"/>
        </w:rPr>
        <w:t>[</w:t>
      </w:r>
      <w:r w:rsidR="005D332E" w:rsidRPr="00CF4E9F">
        <w:rPr>
          <w:rFonts w:cs="Arial"/>
          <w:smallCaps/>
          <w:lang w:val="en-CA"/>
        </w:rPr>
        <w:t>translation</w:t>
      </w:r>
      <w:r w:rsidR="005D332E" w:rsidRPr="00CF4E9F">
        <w:rPr>
          <w:rFonts w:cs="Arial"/>
          <w:lang w:val="en-CA"/>
        </w:rPr>
        <w:t>]</w:t>
      </w:r>
      <w:r w:rsidR="00F8437E">
        <w:rPr>
          <w:rFonts w:cs="Arial"/>
          <w:kern w:val="28"/>
          <w:szCs w:val="24"/>
          <w:lang w:val="en-CA"/>
        </w:rPr>
        <w:t> </w:t>
      </w:r>
      <w:r w:rsidRPr="00CF4E9F">
        <w:rPr>
          <w:rFonts w:cs="Arial"/>
          <w:kern w:val="28"/>
          <w:szCs w:val="24"/>
          <w:lang w:val="en-CA"/>
        </w:rPr>
        <w:t>“which reinforces their vulnerability and increases their rate</w:t>
      </w:r>
      <w:r w:rsidR="008D235E" w:rsidRPr="00CF4E9F">
        <w:rPr>
          <w:rFonts w:cs="Arial"/>
          <w:kern w:val="28"/>
          <w:szCs w:val="24"/>
          <w:lang w:val="en-CA"/>
        </w:rPr>
        <w:t>s</w:t>
      </w:r>
      <w:r w:rsidRPr="00CF4E9F">
        <w:rPr>
          <w:rFonts w:cs="Arial"/>
          <w:kern w:val="28"/>
          <w:szCs w:val="24"/>
          <w:lang w:val="en-CA"/>
        </w:rPr>
        <w:t xml:space="preserve"> of victimization”;</w:t>
      </w:r>
      <w:r w:rsidRPr="00CF4E9F">
        <w:rPr>
          <w:rFonts w:cs="Arial"/>
          <w:kern w:val="28"/>
          <w:szCs w:val="24"/>
          <w:vertAlign w:val="superscript"/>
          <w:lang w:val="en-CA"/>
        </w:rPr>
        <w:footnoteReference w:id="297"/>
      </w:r>
    </w:p>
    <w:p w14:paraId="2233D4DB" w14:textId="20DF2D28"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t>Racial profiling negative</w:t>
      </w:r>
      <w:r w:rsidR="008D235E" w:rsidRPr="00CF4E9F">
        <w:rPr>
          <w:rFonts w:cs="Arial"/>
          <w:kern w:val="28"/>
          <w:szCs w:val="24"/>
          <w:lang w:val="en-CA"/>
        </w:rPr>
        <w:t>ly</w:t>
      </w:r>
      <w:r w:rsidRPr="00CF4E9F">
        <w:rPr>
          <w:rFonts w:cs="Arial"/>
          <w:kern w:val="28"/>
          <w:szCs w:val="24"/>
          <w:lang w:val="en-CA"/>
        </w:rPr>
        <w:t xml:space="preserve"> </w:t>
      </w:r>
      <w:r w:rsidR="008D235E" w:rsidRPr="00CF4E9F">
        <w:rPr>
          <w:rFonts w:cs="Arial"/>
          <w:kern w:val="28"/>
          <w:szCs w:val="24"/>
          <w:lang w:val="en-CA"/>
        </w:rPr>
        <w:t>a</w:t>
      </w:r>
      <w:r w:rsidRPr="00CF4E9F">
        <w:rPr>
          <w:rFonts w:cs="Arial"/>
          <w:kern w:val="28"/>
          <w:szCs w:val="24"/>
          <w:lang w:val="en-CA"/>
        </w:rPr>
        <w:t>ffect</w:t>
      </w:r>
      <w:r w:rsidR="008D235E" w:rsidRPr="00CF4E9F">
        <w:rPr>
          <w:rFonts w:cs="Arial"/>
          <w:kern w:val="28"/>
          <w:szCs w:val="24"/>
          <w:lang w:val="en-CA"/>
        </w:rPr>
        <w:t>s</w:t>
      </w:r>
      <w:r w:rsidRPr="00CF4E9F">
        <w:rPr>
          <w:rFonts w:cs="Arial"/>
          <w:kern w:val="28"/>
          <w:szCs w:val="24"/>
          <w:lang w:val="en-CA"/>
        </w:rPr>
        <w:t xml:space="preserve"> </w:t>
      </w:r>
      <w:r w:rsidR="008D235E" w:rsidRPr="00CF4E9F">
        <w:rPr>
          <w:rFonts w:cs="Arial"/>
          <w:kern w:val="28"/>
          <w:szCs w:val="24"/>
          <w:lang w:val="en-CA"/>
        </w:rPr>
        <w:t>the</w:t>
      </w:r>
      <w:r w:rsidRPr="00CF4E9F">
        <w:rPr>
          <w:rFonts w:cs="Arial"/>
          <w:kern w:val="28"/>
          <w:szCs w:val="24"/>
          <w:lang w:val="en-CA"/>
        </w:rPr>
        <w:t xml:space="preserve"> self-esteem of Black people</w:t>
      </w:r>
      <w:r w:rsidRPr="00CF4E9F">
        <w:rPr>
          <w:rFonts w:cs="Arial"/>
          <w:kern w:val="28"/>
          <w:szCs w:val="24"/>
          <w:vertAlign w:val="superscript"/>
          <w:lang w:val="en-CA"/>
        </w:rPr>
        <w:footnoteReference w:id="298"/>
      </w:r>
      <w:r w:rsidRPr="00CF4E9F">
        <w:rPr>
          <w:rFonts w:cs="Arial"/>
          <w:kern w:val="28"/>
          <w:szCs w:val="24"/>
          <w:lang w:val="en-CA"/>
        </w:rPr>
        <w:t xml:space="preserve"> (e.g., feeling of being a</w:t>
      </w:r>
      <w:r w:rsidR="005D332E" w:rsidRPr="00CF4E9F">
        <w:rPr>
          <w:rFonts w:cs="Arial"/>
          <w:kern w:val="28"/>
          <w:szCs w:val="24"/>
          <w:lang w:val="en-CA"/>
        </w:rPr>
        <w:t xml:space="preserve"> </w:t>
      </w:r>
      <w:r w:rsidR="005D332E" w:rsidRPr="00CF4E9F">
        <w:rPr>
          <w:rFonts w:cs="Arial"/>
          <w:lang w:val="en-CA"/>
        </w:rPr>
        <w:t>[</w:t>
      </w:r>
      <w:r w:rsidR="005D332E" w:rsidRPr="00CF4E9F">
        <w:rPr>
          <w:rFonts w:cs="Arial"/>
          <w:smallCaps/>
          <w:lang w:val="en-CA"/>
        </w:rPr>
        <w:t>translation</w:t>
      </w:r>
      <w:r w:rsidR="005D332E" w:rsidRPr="00CF4E9F">
        <w:rPr>
          <w:rFonts w:cs="Arial"/>
          <w:lang w:val="en-CA"/>
        </w:rPr>
        <w:t>]</w:t>
      </w:r>
      <w:r w:rsidR="00F8437E">
        <w:rPr>
          <w:rFonts w:cs="Arial"/>
          <w:kern w:val="28"/>
          <w:szCs w:val="24"/>
          <w:lang w:val="en-CA"/>
        </w:rPr>
        <w:t> </w:t>
      </w:r>
      <w:r w:rsidRPr="00CF4E9F">
        <w:rPr>
          <w:rFonts w:cs="Arial"/>
          <w:kern w:val="28"/>
          <w:szCs w:val="24"/>
          <w:lang w:val="en-CA"/>
        </w:rPr>
        <w:t xml:space="preserve">“criminal”, </w:t>
      </w:r>
      <w:r w:rsidR="008D235E" w:rsidRPr="00CF4E9F">
        <w:rPr>
          <w:rFonts w:cs="Arial"/>
          <w:lang w:val="en-CA"/>
        </w:rPr>
        <w:t>[</w:t>
      </w:r>
      <w:r w:rsidR="008D235E" w:rsidRPr="00CF4E9F">
        <w:rPr>
          <w:rFonts w:cs="Arial"/>
          <w:smallCaps/>
          <w:lang w:val="en-CA"/>
        </w:rPr>
        <w:t>translation</w:t>
      </w:r>
      <w:r w:rsidR="008D235E" w:rsidRPr="00CF4E9F">
        <w:rPr>
          <w:rFonts w:cs="Arial"/>
          <w:lang w:val="en-CA"/>
        </w:rPr>
        <w:t>]</w:t>
      </w:r>
      <w:r w:rsidR="00F8437E">
        <w:rPr>
          <w:rFonts w:cs="Arial"/>
          <w:kern w:val="28"/>
          <w:szCs w:val="24"/>
          <w:lang w:val="en-CA"/>
        </w:rPr>
        <w:t> </w:t>
      </w:r>
      <w:r w:rsidRPr="00CF4E9F">
        <w:rPr>
          <w:rFonts w:cs="Arial"/>
          <w:kern w:val="28"/>
          <w:szCs w:val="24"/>
          <w:lang w:val="en-CA"/>
        </w:rPr>
        <w:t>“garbage”,</w:t>
      </w:r>
      <w:r w:rsidRPr="00CF4E9F">
        <w:rPr>
          <w:rFonts w:cs="Arial"/>
          <w:kern w:val="28"/>
          <w:szCs w:val="24"/>
          <w:vertAlign w:val="superscript"/>
          <w:lang w:val="en-CA"/>
        </w:rPr>
        <w:footnoteReference w:id="299"/>
      </w:r>
      <w:r w:rsidRPr="00CF4E9F">
        <w:rPr>
          <w:rFonts w:cs="Arial"/>
          <w:kern w:val="28"/>
          <w:szCs w:val="24"/>
          <w:lang w:val="en-CA"/>
        </w:rPr>
        <w:t xml:space="preserve"> or a </w:t>
      </w:r>
      <w:r w:rsidR="008D235E" w:rsidRPr="00CF4E9F">
        <w:rPr>
          <w:rFonts w:cs="Arial"/>
          <w:lang w:val="en-CA"/>
        </w:rPr>
        <w:t>[</w:t>
      </w:r>
      <w:r w:rsidR="008D235E" w:rsidRPr="00CF4E9F">
        <w:rPr>
          <w:rFonts w:cs="Arial"/>
          <w:smallCaps/>
          <w:lang w:val="en-CA"/>
        </w:rPr>
        <w:t>translation</w:t>
      </w:r>
      <w:r w:rsidR="008D235E" w:rsidRPr="00CF4E9F">
        <w:rPr>
          <w:rFonts w:cs="Arial"/>
          <w:lang w:val="en-CA"/>
        </w:rPr>
        <w:t>]</w:t>
      </w:r>
      <w:r w:rsidR="00F8437E">
        <w:rPr>
          <w:rFonts w:cs="Arial"/>
          <w:kern w:val="28"/>
          <w:szCs w:val="24"/>
          <w:lang w:val="en-CA"/>
        </w:rPr>
        <w:t> </w:t>
      </w:r>
      <w:r w:rsidRPr="00CF4E9F">
        <w:rPr>
          <w:rFonts w:cs="Arial"/>
          <w:kern w:val="28"/>
          <w:szCs w:val="24"/>
          <w:lang w:val="en-CA"/>
        </w:rPr>
        <w:t>“second-class citizen”</w:t>
      </w:r>
      <w:r w:rsidRPr="00CF4E9F">
        <w:rPr>
          <w:rFonts w:cs="Arial"/>
          <w:kern w:val="28"/>
          <w:szCs w:val="24"/>
          <w:vertAlign w:val="superscript"/>
          <w:lang w:val="en-CA"/>
        </w:rPr>
        <w:footnoteReference w:id="300"/>
      </w:r>
      <w:r w:rsidRPr="00CF4E9F">
        <w:rPr>
          <w:rFonts w:cs="Arial"/>
          <w:kern w:val="28"/>
          <w:szCs w:val="24"/>
          <w:lang w:val="en-CA"/>
        </w:rPr>
        <w:t>).</w:t>
      </w:r>
      <w:r w:rsidR="0043013D" w:rsidRPr="00CF4E9F">
        <w:rPr>
          <w:rFonts w:cs="Arial"/>
          <w:kern w:val="28"/>
          <w:szCs w:val="24"/>
          <w:lang w:val="en-CA"/>
        </w:rPr>
        <w:t xml:space="preserve"> </w:t>
      </w:r>
      <w:r w:rsidRPr="00CF4E9F">
        <w:rPr>
          <w:rFonts w:cs="Arial"/>
          <w:kern w:val="28"/>
          <w:szCs w:val="24"/>
          <w:lang w:val="en-CA"/>
        </w:rPr>
        <w:t>It may also negatively impact their motivation at school or work and their access to education or employment;</w:t>
      </w:r>
      <w:r w:rsidRPr="00CF4E9F">
        <w:rPr>
          <w:rFonts w:cs="Arial"/>
          <w:kern w:val="28"/>
          <w:szCs w:val="24"/>
          <w:vertAlign w:val="superscript"/>
          <w:lang w:val="en-CA"/>
        </w:rPr>
        <w:footnoteReference w:id="301"/>
      </w:r>
    </w:p>
    <w:p w14:paraId="39798CEE" w14:textId="2A0C892D"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lastRenderedPageBreak/>
        <w:t xml:space="preserve">Racial profiling reduces Black people’s </w:t>
      </w:r>
      <w:r w:rsidR="009D6E8E" w:rsidRPr="00CF4E9F">
        <w:rPr>
          <w:rFonts w:cs="Arial"/>
          <w:kern w:val="28"/>
          <w:szCs w:val="24"/>
          <w:lang w:val="en-CA"/>
        </w:rPr>
        <w:t>identification with</w:t>
      </w:r>
      <w:r w:rsidRPr="00CF4E9F">
        <w:rPr>
          <w:rFonts w:cs="Arial"/>
          <w:kern w:val="28"/>
          <w:szCs w:val="24"/>
          <w:lang w:val="en-CA"/>
        </w:rPr>
        <w:t xml:space="preserve"> Quebec society.</w:t>
      </w:r>
      <w:r w:rsidRPr="00CF4E9F">
        <w:rPr>
          <w:rFonts w:cs="Arial"/>
          <w:kern w:val="28"/>
          <w:szCs w:val="24"/>
          <w:vertAlign w:val="superscript"/>
          <w:lang w:val="en-CA"/>
        </w:rPr>
        <w:footnoteReference w:id="302"/>
      </w:r>
      <w:r w:rsidR="0043013D" w:rsidRPr="00CF4E9F">
        <w:rPr>
          <w:rFonts w:cs="Arial"/>
          <w:kern w:val="28"/>
          <w:szCs w:val="24"/>
          <w:lang w:val="en-CA"/>
        </w:rPr>
        <w:t xml:space="preserve"> </w:t>
      </w:r>
      <w:r w:rsidRPr="00CF4E9F">
        <w:rPr>
          <w:rFonts w:cs="Arial"/>
          <w:kern w:val="28"/>
          <w:szCs w:val="24"/>
          <w:lang w:val="en-CA"/>
        </w:rPr>
        <w:t>Over</w:t>
      </w:r>
      <w:r w:rsidR="00D20DE9">
        <w:rPr>
          <w:rFonts w:cs="Arial"/>
          <w:kern w:val="28"/>
          <w:szCs w:val="24"/>
          <w:lang w:val="en-CA"/>
        </w:rPr>
        <w:noBreakHyphen/>
      </w:r>
      <w:r w:rsidRPr="00CF4E9F">
        <w:rPr>
          <w:rFonts w:cs="Arial"/>
          <w:kern w:val="28"/>
          <w:szCs w:val="24"/>
          <w:lang w:val="en-CA"/>
        </w:rPr>
        <w:t>street</w:t>
      </w:r>
      <w:r w:rsidR="00296722">
        <w:rPr>
          <w:rFonts w:cs="Arial"/>
          <w:kern w:val="28"/>
          <w:szCs w:val="24"/>
          <w:lang w:val="en-CA"/>
        </w:rPr>
        <w:t xml:space="preserve"> </w:t>
      </w:r>
      <w:r w:rsidRPr="00CF4E9F">
        <w:rPr>
          <w:rFonts w:cs="Arial"/>
          <w:kern w:val="28"/>
          <w:szCs w:val="24"/>
          <w:lang w:val="en-CA"/>
        </w:rPr>
        <w:t xml:space="preserve">checking of Black people </w:t>
      </w:r>
      <w:r w:rsidR="009D6E8E" w:rsidRPr="00CF4E9F">
        <w:rPr>
          <w:rFonts w:cs="Arial"/>
          <w:lang w:val="en-CA"/>
        </w:rPr>
        <w:t>[</w:t>
      </w:r>
      <w:r w:rsidR="009D6E8E" w:rsidRPr="00CF4E9F">
        <w:rPr>
          <w:rFonts w:cs="Arial"/>
          <w:smallCaps/>
          <w:lang w:val="en-CA"/>
        </w:rPr>
        <w:t>translation</w:t>
      </w:r>
      <w:r w:rsidR="009D6E8E" w:rsidRPr="00CF4E9F">
        <w:rPr>
          <w:rFonts w:cs="Arial"/>
          <w:lang w:val="en-CA"/>
        </w:rPr>
        <w:t>]</w:t>
      </w:r>
      <w:r w:rsidR="00F8437E">
        <w:rPr>
          <w:rFonts w:cs="Arial"/>
          <w:kern w:val="28"/>
          <w:szCs w:val="24"/>
          <w:lang w:val="en-CA"/>
        </w:rPr>
        <w:t> </w:t>
      </w:r>
      <w:r w:rsidRPr="00CF4E9F">
        <w:rPr>
          <w:rFonts w:cs="Arial"/>
          <w:kern w:val="28"/>
          <w:szCs w:val="24"/>
          <w:lang w:val="en-CA"/>
        </w:rPr>
        <w:t xml:space="preserve">“produces or accentuates </w:t>
      </w:r>
      <w:r w:rsidR="00D20DE9">
        <w:rPr>
          <w:rFonts w:cs="Arial"/>
          <w:kern w:val="28"/>
          <w:szCs w:val="24"/>
          <w:lang w:val="en-CA"/>
        </w:rPr>
        <w:t>[</w:t>
      </w:r>
      <w:r w:rsidRPr="00CF4E9F">
        <w:rPr>
          <w:rFonts w:cs="Arial"/>
          <w:kern w:val="28"/>
          <w:szCs w:val="24"/>
          <w:lang w:val="en-CA"/>
        </w:rPr>
        <w:t>...</w:t>
      </w:r>
      <w:r w:rsidR="00D20DE9">
        <w:rPr>
          <w:rFonts w:cs="Arial"/>
          <w:kern w:val="28"/>
          <w:szCs w:val="24"/>
          <w:lang w:val="en-CA"/>
        </w:rPr>
        <w:t>]</w:t>
      </w:r>
      <w:r w:rsidRPr="00CF4E9F">
        <w:rPr>
          <w:rFonts w:cs="Arial"/>
          <w:kern w:val="28"/>
          <w:szCs w:val="24"/>
          <w:lang w:val="en-CA"/>
        </w:rPr>
        <w:t xml:space="preserve"> civic disengagement (Lerman &amp; Weaver, 2014) and ultimately increases insecurity in members of the targeted population (Livingstone, Rutland &amp; Alix, 2018; Livingstone, Meudec &amp; Harim, 2020)”;</w:t>
      </w:r>
      <w:r w:rsidRPr="00CF4E9F">
        <w:rPr>
          <w:rFonts w:cs="Arial"/>
          <w:kern w:val="28"/>
          <w:szCs w:val="24"/>
          <w:vertAlign w:val="superscript"/>
          <w:lang w:val="en-CA"/>
        </w:rPr>
        <w:footnoteReference w:id="303"/>
      </w:r>
    </w:p>
    <w:p w14:paraId="07206938" w14:textId="404F0BAB"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t>Racial profiling may cause Black people to inter</w:t>
      </w:r>
      <w:r w:rsidR="008D235E" w:rsidRPr="00CF4E9F">
        <w:rPr>
          <w:rFonts w:cs="Arial"/>
          <w:kern w:val="28"/>
          <w:szCs w:val="24"/>
          <w:lang w:val="en-CA"/>
        </w:rPr>
        <w:t>nal</w:t>
      </w:r>
      <w:r w:rsidRPr="00CF4E9F">
        <w:rPr>
          <w:rFonts w:cs="Arial"/>
          <w:kern w:val="28"/>
          <w:szCs w:val="24"/>
          <w:lang w:val="en-CA"/>
        </w:rPr>
        <w:t>ize negative stereotypes about themselves and the Black community;</w:t>
      </w:r>
      <w:r w:rsidRPr="00CF4E9F">
        <w:rPr>
          <w:rFonts w:cs="Arial"/>
          <w:kern w:val="28"/>
          <w:szCs w:val="24"/>
          <w:vertAlign w:val="superscript"/>
          <w:lang w:val="en-CA"/>
        </w:rPr>
        <w:footnoteReference w:id="304"/>
      </w:r>
    </w:p>
    <w:p w14:paraId="01714C42" w14:textId="1ADB4D92"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rFonts w:cs="Arial"/>
          <w:kern w:val="28"/>
          <w:szCs w:val="24"/>
          <w:lang w:val="en-CA"/>
        </w:rPr>
        <w:t xml:space="preserve">Racial profiling </w:t>
      </w:r>
      <w:r w:rsidRPr="00CF4E9F">
        <w:rPr>
          <w:rFonts w:cs="Arial"/>
          <w:kern w:val="28"/>
          <w:lang w:val="en-CA"/>
        </w:rPr>
        <w:t>[</w:t>
      </w:r>
      <w:r w:rsidRPr="00CF4E9F">
        <w:rPr>
          <w:rFonts w:cs="Arial"/>
          <w:smallCaps/>
          <w:kern w:val="28"/>
          <w:lang w:val="en-CA"/>
        </w:rPr>
        <w:t>translation</w:t>
      </w:r>
      <w:r w:rsidRPr="00CF4E9F">
        <w:rPr>
          <w:rFonts w:cs="Arial"/>
          <w:kern w:val="28"/>
          <w:lang w:val="en-CA"/>
        </w:rPr>
        <w:t>]</w:t>
      </w:r>
      <w:r w:rsidR="00F8437E">
        <w:rPr>
          <w:rFonts w:cs="Arial"/>
          <w:kern w:val="28"/>
          <w:szCs w:val="24"/>
          <w:lang w:val="en-CA"/>
        </w:rPr>
        <w:t> </w:t>
      </w:r>
      <w:r w:rsidRPr="00CF4E9F">
        <w:rPr>
          <w:rFonts w:cs="Arial"/>
          <w:kern w:val="28"/>
          <w:szCs w:val="24"/>
          <w:lang w:val="en-CA"/>
        </w:rPr>
        <w:t>“paves the way for increased judicialization”</w:t>
      </w:r>
      <w:r w:rsidR="0043013D" w:rsidRPr="00CF4E9F">
        <w:rPr>
          <w:rFonts w:cs="Arial"/>
          <w:kern w:val="28"/>
          <w:szCs w:val="24"/>
          <w:vertAlign w:val="superscript"/>
          <w:lang w:val="en-CA"/>
        </w:rPr>
        <w:footnoteReference w:id="305"/>
      </w:r>
      <w:r w:rsidR="0043013D" w:rsidRPr="00CF4E9F">
        <w:rPr>
          <w:rFonts w:cs="Arial"/>
          <w:kern w:val="28"/>
          <w:szCs w:val="24"/>
          <w:lang w:val="en-CA"/>
        </w:rPr>
        <w:t xml:space="preserve"> </w:t>
      </w:r>
      <w:r w:rsidRPr="00CF4E9F">
        <w:rPr>
          <w:rFonts w:cs="Arial"/>
          <w:kern w:val="28"/>
          <w:szCs w:val="24"/>
          <w:lang w:val="en-CA"/>
        </w:rPr>
        <w:t>of Black people and “</w:t>
      </w:r>
      <w:r w:rsidR="0043013D" w:rsidRPr="00CF4E9F">
        <w:rPr>
          <w:rFonts w:cs="Arial"/>
          <w:kern w:val="28"/>
          <w:szCs w:val="24"/>
          <w:lang w:val="en-CA"/>
        </w:rPr>
        <w:t>re</w:t>
      </w:r>
      <w:r w:rsidRPr="00CF4E9F">
        <w:rPr>
          <w:rFonts w:cs="Arial"/>
          <w:kern w:val="28"/>
          <w:szCs w:val="24"/>
          <w:lang w:val="en-CA"/>
        </w:rPr>
        <w:t>i</w:t>
      </w:r>
      <w:r w:rsidR="0043013D" w:rsidRPr="00CF4E9F">
        <w:rPr>
          <w:rFonts w:cs="Arial"/>
          <w:kern w:val="28"/>
          <w:szCs w:val="24"/>
          <w:lang w:val="en-CA"/>
        </w:rPr>
        <w:t>nforce</w:t>
      </w:r>
      <w:r w:rsidRPr="00CF4E9F">
        <w:rPr>
          <w:rFonts w:cs="Arial"/>
          <w:kern w:val="28"/>
          <w:szCs w:val="24"/>
          <w:lang w:val="en-CA"/>
        </w:rPr>
        <w:t>s</w:t>
      </w:r>
      <w:r w:rsidR="0043013D" w:rsidRPr="00CF4E9F">
        <w:rPr>
          <w:rFonts w:cs="Arial"/>
          <w:kern w:val="28"/>
          <w:szCs w:val="24"/>
          <w:lang w:val="en-CA"/>
        </w:rPr>
        <w:t xml:space="preserve"> </w:t>
      </w:r>
      <w:r w:rsidRPr="00CF4E9F">
        <w:rPr>
          <w:rFonts w:cs="Arial"/>
          <w:kern w:val="28"/>
          <w:szCs w:val="24"/>
          <w:lang w:val="en-CA"/>
        </w:rPr>
        <w:t xml:space="preserve">social exclusion and </w:t>
      </w:r>
      <w:r w:rsidR="0043013D" w:rsidRPr="00CF4E9F">
        <w:rPr>
          <w:rFonts w:cs="Arial"/>
          <w:kern w:val="28"/>
          <w:szCs w:val="24"/>
          <w:lang w:val="en-CA"/>
        </w:rPr>
        <w:t>marginali</w:t>
      </w:r>
      <w:r w:rsidRPr="00CF4E9F">
        <w:rPr>
          <w:rFonts w:cs="Arial"/>
          <w:kern w:val="28"/>
          <w:szCs w:val="24"/>
          <w:lang w:val="en-CA"/>
        </w:rPr>
        <w:t>z</w:t>
      </w:r>
      <w:r w:rsidR="0043013D" w:rsidRPr="00CF4E9F">
        <w:rPr>
          <w:rFonts w:cs="Arial"/>
          <w:kern w:val="28"/>
          <w:szCs w:val="24"/>
          <w:lang w:val="en-CA"/>
        </w:rPr>
        <w:t>ation</w:t>
      </w:r>
      <w:r w:rsidRPr="00CF4E9F">
        <w:rPr>
          <w:rFonts w:cs="Arial"/>
          <w:kern w:val="28"/>
          <w:szCs w:val="24"/>
          <w:lang w:val="en-CA"/>
        </w:rPr>
        <w:t>”</w:t>
      </w:r>
      <w:r w:rsidR="0043013D" w:rsidRPr="00CF4E9F">
        <w:rPr>
          <w:rFonts w:cs="Arial"/>
          <w:kern w:val="28"/>
          <w:szCs w:val="24"/>
          <w:vertAlign w:val="superscript"/>
          <w:lang w:val="en-CA"/>
        </w:rPr>
        <w:footnoteReference w:id="306"/>
      </w:r>
      <w:r w:rsidR="00646C7A" w:rsidRPr="00CF4E9F">
        <w:rPr>
          <w:rFonts w:cs="Arial"/>
          <w:kern w:val="28"/>
          <w:szCs w:val="24"/>
          <w:lang w:val="en-CA"/>
        </w:rPr>
        <w:t xml:space="preserve"> </w:t>
      </w:r>
      <w:r w:rsidRPr="00CF4E9F">
        <w:rPr>
          <w:rFonts w:cs="Arial"/>
          <w:kern w:val="28"/>
          <w:szCs w:val="24"/>
          <w:lang w:val="en-CA"/>
        </w:rPr>
        <w:t>of Black communities</w:t>
      </w:r>
      <w:r w:rsidR="00646C7A" w:rsidRPr="00CF4E9F">
        <w:rPr>
          <w:rFonts w:cs="Arial"/>
          <w:kern w:val="28"/>
          <w:szCs w:val="24"/>
          <w:lang w:val="en-CA"/>
        </w:rPr>
        <w:t>;</w:t>
      </w:r>
    </w:p>
    <w:p w14:paraId="72873B51" w14:textId="72B0A718" w:rsidR="001A3EF8" w:rsidRPr="00CF4E9F" w:rsidRDefault="002C29F2" w:rsidP="004D42FA">
      <w:pPr>
        <w:numPr>
          <w:ilvl w:val="0"/>
          <w:numId w:val="3"/>
        </w:numPr>
        <w:spacing w:before="120" w:after="120"/>
        <w:ind w:left="714" w:hanging="357"/>
        <w:jc w:val="both"/>
        <w:rPr>
          <w:rFonts w:cs="Arial"/>
          <w:kern w:val="28"/>
          <w:szCs w:val="24"/>
          <w:lang w:val="en-CA"/>
        </w:rPr>
      </w:pPr>
      <w:r w:rsidRPr="00CF4E9F">
        <w:rPr>
          <w:kern w:val="28"/>
          <w:lang w:val="en-CA"/>
        </w:rPr>
        <w:t xml:space="preserve">In </w:t>
      </w:r>
      <w:r w:rsidR="008D235E" w:rsidRPr="00CF4E9F">
        <w:rPr>
          <w:kern w:val="28"/>
          <w:lang w:val="en-CA"/>
        </w:rPr>
        <w:t>some</w:t>
      </w:r>
      <w:r w:rsidRPr="00CF4E9F">
        <w:rPr>
          <w:kern w:val="28"/>
          <w:lang w:val="en-CA"/>
        </w:rPr>
        <w:t xml:space="preserve"> cases, the </w:t>
      </w:r>
      <w:r w:rsidR="002804B3">
        <w:rPr>
          <w:kern w:val="28"/>
          <w:lang w:val="en-CA"/>
        </w:rPr>
        <w:t xml:space="preserve">traffic </w:t>
      </w:r>
      <w:r w:rsidRPr="00CF4E9F">
        <w:rPr>
          <w:kern w:val="28"/>
          <w:lang w:val="en-CA"/>
        </w:rPr>
        <w:t xml:space="preserve">stops may </w:t>
      </w:r>
      <w:r w:rsidRPr="00CF4E9F">
        <w:rPr>
          <w:rFonts w:cs="Arial"/>
          <w:kern w:val="28"/>
          <w:lang w:val="en-CA"/>
        </w:rPr>
        <w:t>[</w:t>
      </w:r>
      <w:r w:rsidRPr="00CF4E9F">
        <w:rPr>
          <w:rFonts w:cs="Arial"/>
          <w:smallCaps/>
          <w:kern w:val="28"/>
          <w:lang w:val="en-CA"/>
        </w:rPr>
        <w:t>translation</w:t>
      </w:r>
      <w:r w:rsidRPr="00CF4E9F">
        <w:rPr>
          <w:rFonts w:cs="Arial"/>
          <w:kern w:val="28"/>
          <w:lang w:val="en-CA"/>
        </w:rPr>
        <w:t>]</w:t>
      </w:r>
      <w:r w:rsidR="00F8437E">
        <w:rPr>
          <w:kern w:val="28"/>
          <w:lang w:val="en-CA"/>
        </w:rPr>
        <w:t> </w:t>
      </w:r>
      <w:r w:rsidRPr="00CF4E9F">
        <w:rPr>
          <w:kern w:val="28"/>
          <w:lang w:val="en-CA"/>
        </w:rPr>
        <w:t>“derail into physical abuse”.</w:t>
      </w:r>
      <w:r w:rsidRPr="00CF4E9F">
        <w:rPr>
          <w:kern w:val="28"/>
          <w:vertAlign w:val="superscript"/>
          <w:lang w:val="en-CA"/>
        </w:rPr>
        <w:footnoteReference w:id="307"/>
      </w:r>
      <w:r w:rsidR="0043013D" w:rsidRPr="00CF4E9F">
        <w:rPr>
          <w:kern w:val="28"/>
          <w:lang w:val="en-CA"/>
        </w:rPr>
        <w:t xml:space="preserve"> </w:t>
      </w:r>
      <w:r w:rsidRPr="00CF4E9F">
        <w:rPr>
          <w:kern w:val="28"/>
          <w:lang w:val="en-CA"/>
        </w:rPr>
        <w:t>It should be noted that Black people are grossly overrepresented in police interactions involving the use of force.</w:t>
      </w:r>
      <w:r w:rsidRPr="00CF4E9F">
        <w:rPr>
          <w:kern w:val="28"/>
          <w:vertAlign w:val="superscript"/>
          <w:lang w:val="en-CA"/>
        </w:rPr>
        <w:footnoteReference w:id="308"/>
      </w:r>
    </w:p>
    <w:p w14:paraId="48FB8D3C" w14:textId="3BFB2073" w:rsidR="001A3EF8" w:rsidRPr="00CF4E9F" w:rsidRDefault="00D668E7" w:rsidP="00F5188D">
      <w:pPr>
        <w:pStyle w:val="Paragraphe"/>
        <w:spacing w:line="280" w:lineRule="exact"/>
        <w:rPr>
          <w:lang w:val="en-CA"/>
        </w:rPr>
      </w:pPr>
      <w:bookmarkStart w:id="116" w:name="_Ref178176108"/>
      <w:r w:rsidRPr="00CF4E9F">
        <w:rPr>
          <w:lang w:val="en-CA"/>
        </w:rPr>
        <w:t>Once again, the case law echoes the evidence.</w:t>
      </w:r>
      <w:r w:rsidR="0043013D" w:rsidRPr="00CF4E9F">
        <w:rPr>
          <w:lang w:val="en-CA"/>
        </w:rPr>
        <w:t xml:space="preserve"> </w:t>
      </w:r>
      <w:r w:rsidRPr="00CF4E9F">
        <w:rPr>
          <w:lang w:val="en-CA"/>
        </w:rPr>
        <w:t xml:space="preserve">In </w:t>
      </w:r>
      <w:r w:rsidRPr="00CF4E9F">
        <w:rPr>
          <w:i/>
          <w:lang w:val="en-CA"/>
        </w:rPr>
        <w:t>Le</w:t>
      </w:r>
      <w:r w:rsidRPr="00CF4E9F">
        <w:rPr>
          <w:lang w:val="en-CA"/>
        </w:rPr>
        <w:t>, the Supreme Court recognized that “</w:t>
      </w:r>
      <w:r w:rsidRPr="00CF4E9F">
        <w:rPr>
          <w:rFonts w:cs="Arial"/>
          <w:lang w:val="en-CA"/>
        </w:rPr>
        <w:t>[</w:t>
      </w:r>
      <w:r w:rsidRPr="00CF4E9F">
        <w:rPr>
          <w:lang w:val="en-CA"/>
        </w:rPr>
        <w:t>t</w:t>
      </w:r>
      <w:r w:rsidRPr="00CF4E9F">
        <w:rPr>
          <w:rFonts w:cs="Arial"/>
          <w:lang w:val="en-CA"/>
        </w:rPr>
        <w:t>]</w:t>
      </w:r>
      <w:r w:rsidRPr="00CF4E9F">
        <w:rPr>
          <w:lang w:val="en-CA"/>
        </w:rPr>
        <w:t>he impact of the over-policing of racial minorities and the carding of individuals within those communities without any reasonable suspicion of criminal activity is more than an inconvenience”.</w:t>
      </w:r>
      <w:r w:rsidRPr="00CF4E9F">
        <w:rPr>
          <w:vertAlign w:val="superscript"/>
          <w:lang w:val="en-CA"/>
        </w:rPr>
        <w:footnoteReference w:id="309"/>
      </w:r>
      <w:r w:rsidR="0043013D" w:rsidRPr="00CF4E9F">
        <w:rPr>
          <w:lang w:val="en-CA"/>
        </w:rPr>
        <w:t xml:space="preserve"> </w:t>
      </w:r>
      <w:bookmarkEnd w:id="116"/>
      <w:r w:rsidRPr="00CF4E9F">
        <w:rPr>
          <w:lang w:val="en-CA"/>
        </w:rPr>
        <w:t xml:space="preserve">According to the Supreme Court, </w:t>
      </w:r>
      <w:r w:rsidR="000A4F0F" w:rsidRPr="00CF4E9F">
        <w:rPr>
          <w:lang w:val="en-CA"/>
        </w:rPr>
        <w:t>this</w:t>
      </w:r>
      <w:r w:rsidRPr="00CF4E9F">
        <w:rPr>
          <w:lang w:val="en-CA"/>
        </w:rPr>
        <w:t xml:space="preserve"> practice “takes a toll on a person’s physical and mental health. It impacts their ability to pursue employment and education opportunities” and “contributes to the continuing social exclusion of racial minorities, encourages a loss of trust in the fairness of our criminal justice system, and perpetuates criminalization”.</w:t>
      </w:r>
      <w:r w:rsidRPr="00CF4E9F">
        <w:rPr>
          <w:color w:val="000000"/>
          <w:vertAlign w:val="superscript"/>
          <w:lang w:val="en-CA"/>
        </w:rPr>
        <w:footnoteReference w:id="310"/>
      </w:r>
    </w:p>
    <w:p w14:paraId="75661115" w14:textId="4F1DA02F" w:rsidR="001A3EF8" w:rsidRPr="00CF4E9F" w:rsidRDefault="005D332E" w:rsidP="00F5188D">
      <w:pPr>
        <w:pStyle w:val="Paragraphe"/>
        <w:spacing w:line="280" w:lineRule="exact"/>
        <w:rPr>
          <w:lang w:val="en-CA"/>
        </w:rPr>
      </w:pPr>
      <w:r w:rsidRPr="00CF4E9F">
        <w:rPr>
          <w:lang w:val="en-CA"/>
        </w:rPr>
        <w:lastRenderedPageBreak/>
        <w:t>With respect to the discriminatory impact of the distinction, the evidence establishes that racial profiling has the effect of perpetuating and reinforcing discrimination against Black pe</w:t>
      </w:r>
      <w:r w:rsidR="000A4F0F" w:rsidRPr="00CF4E9F">
        <w:rPr>
          <w:lang w:val="en-CA"/>
        </w:rPr>
        <w:t>ople</w:t>
      </w:r>
      <w:r w:rsidRPr="00CF4E9F">
        <w:rPr>
          <w:lang w:val="en-CA"/>
        </w:rPr>
        <w:t>.</w:t>
      </w:r>
      <w:r w:rsidR="0043013D" w:rsidRPr="00CF4E9F">
        <w:rPr>
          <w:lang w:val="en-CA"/>
        </w:rPr>
        <w:t xml:space="preserve"> </w:t>
      </w:r>
      <w:r w:rsidRPr="00CF4E9F">
        <w:rPr>
          <w:lang w:val="en-CA"/>
        </w:rPr>
        <w:t>Expert Mulone aptly describe</w:t>
      </w:r>
      <w:r w:rsidR="00DC7C40">
        <w:rPr>
          <w:lang w:val="en-CA"/>
        </w:rPr>
        <w:t>d</w:t>
      </w:r>
      <w:r w:rsidRPr="00CF4E9F">
        <w:rPr>
          <w:lang w:val="en-CA"/>
        </w:rPr>
        <w:t xml:space="preserve"> the dynamic that underlies proactive polic</w:t>
      </w:r>
      <w:r w:rsidR="000A4F0F" w:rsidRPr="00CF4E9F">
        <w:rPr>
          <w:lang w:val="en-CA"/>
        </w:rPr>
        <w:t>ing</w:t>
      </w:r>
      <w:r w:rsidRPr="00CF4E9F">
        <w:rPr>
          <w:lang w:val="en-CA"/>
        </w:rPr>
        <w:t xml:space="preserve"> (such as traffic stops with no required grounds) and the </w:t>
      </w:r>
      <w:r w:rsidRPr="00CF4E9F">
        <w:rPr>
          <w:rFonts w:cs="Arial"/>
          <w:lang w:val="en-CA"/>
        </w:rPr>
        <w:t>[</w:t>
      </w:r>
      <w:r w:rsidRPr="00CF4E9F">
        <w:rPr>
          <w:rFonts w:cs="Arial"/>
          <w:smallCaps/>
          <w:lang w:val="en-CA"/>
        </w:rPr>
        <w:t>translation</w:t>
      </w:r>
      <w:r w:rsidRPr="00CF4E9F">
        <w:rPr>
          <w:rFonts w:cs="Arial"/>
          <w:lang w:val="en-CA"/>
        </w:rPr>
        <w:t>]</w:t>
      </w:r>
      <w:r w:rsidR="00F8437E">
        <w:rPr>
          <w:lang w:val="en-CA"/>
        </w:rPr>
        <w:t> </w:t>
      </w:r>
      <w:r w:rsidRPr="00CF4E9F">
        <w:rPr>
          <w:lang w:val="en-CA"/>
        </w:rPr>
        <w:t xml:space="preserve">“vicious circle logic” that means racial discrimination </w:t>
      </w:r>
      <w:r w:rsidR="000A4F0F" w:rsidRPr="00CF4E9F">
        <w:rPr>
          <w:lang w:val="en-CA"/>
        </w:rPr>
        <w:t>leads to</w:t>
      </w:r>
      <w:r w:rsidRPr="00CF4E9F">
        <w:rPr>
          <w:lang w:val="en-CA"/>
        </w:rPr>
        <w:t xml:space="preserve"> other racial discrimination.</w:t>
      </w:r>
      <w:r w:rsidR="0043013D" w:rsidRPr="00CF4E9F">
        <w:rPr>
          <w:lang w:val="en-CA"/>
        </w:rPr>
        <w:t xml:space="preserve"> </w:t>
      </w:r>
      <w:r w:rsidRPr="00CF4E9F">
        <w:rPr>
          <w:lang w:val="en-CA"/>
        </w:rPr>
        <w:t>It is worthwhile reproducing this l</w:t>
      </w:r>
      <w:r w:rsidR="000A4F0F" w:rsidRPr="00CF4E9F">
        <w:rPr>
          <w:lang w:val="en-CA"/>
        </w:rPr>
        <w:t>engthy</w:t>
      </w:r>
      <w:r w:rsidRPr="00CF4E9F">
        <w:rPr>
          <w:lang w:val="en-CA"/>
        </w:rPr>
        <w:t xml:space="preserve"> passage from his expert report:</w:t>
      </w:r>
      <w:r w:rsidR="0043013D" w:rsidRPr="00CF4E9F">
        <w:rPr>
          <w:lang w:val="en-CA"/>
        </w:rPr>
        <w:t xml:space="preserve"> </w:t>
      </w:r>
    </w:p>
    <w:p w14:paraId="7EFE1C72" w14:textId="75963939" w:rsidR="00B9322F" w:rsidRPr="00CF4E9F" w:rsidRDefault="00B9322F" w:rsidP="00E12BFC">
      <w:pPr>
        <w:pStyle w:val="Citationenretrait"/>
        <w:rPr>
          <w:lang w:val="en-CA"/>
        </w:rPr>
      </w:pPr>
      <w:r w:rsidRPr="00CF4E9F">
        <w:rPr>
          <w:rFonts w:cs="Arial"/>
          <w:kern w:val="28"/>
          <w:lang w:val="en-CA"/>
        </w:rPr>
        <w:t>[</w:t>
      </w:r>
      <w:r w:rsidRPr="00CF4E9F">
        <w:rPr>
          <w:rFonts w:cs="Arial"/>
          <w:smallCaps/>
          <w:kern w:val="28"/>
          <w:lang w:val="en-CA"/>
        </w:rPr>
        <w:t>translation</w:t>
      </w:r>
      <w:r w:rsidRPr="00CF4E9F">
        <w:rPr>
          <w:rFonts w:cs="Arial"/>
          <w:kern w:val="28"/>
          <w:lang w:val="en-CA"/>
        </w:rPr>
        <w:t>]</w:t>
      </w:r>
    </w:p>
    <w:p w14:paraId="67AA4E1C" w14:textId="127159A8" w:rsidR="001A3EF8" w:rsidRPr="00CF4E9F" w:rsidRDefault="005D332E" w:rsidP="00E12BFC">
      <w:pPr>
        <w:pStyle w:val="Citationenretrait"/>
        <w:rPr>
          <w:lang w:val="en-CA"/>
        </w:rPr>
      </w:pPr>
      <w:r w:rsidRPr="00CF4E9F">
        <w:rPr>
          <w:lang w:val="en-CA"/>
        </w:rPr>
        <w:t>Street</w:t>
      </w:r>
      <w:r w:rsidR="000A4F0F" w:rsidRPr="00CF4E9F">
        <w:rPr>
          <w:lang w:val="en-CA"/>
        </w:rPr>
        <w:t xml:space="preserve"> </w:t>
      </w:r>
      <w:r w:rsidRPr="00CF4E9F">
        <w:rPr>
          <w:lang w:val="en-CA"/>
        </w:rPr>
        <w:t>check</w:t>
      </w:r>
      <w:r w:rsidR="0056481F">
        <w:rPr>
          <w:lang w:val="en-CA"/>
        </w:rPr>
        <w:t>s</w:t>
      </w:r>
      <w:r w:rsidRPr="00CF4E9F">
        <w:rPr>
          <w:lang w:val="en-CA"/>
        </w:rPr>
        <w:t xml:space="preserve"> and </w:t>
      </w:r>
      <w:r w:rsidR="0056481F">
        <w:rPr>
          <w:lang w:val="en-CA"/>
        </w:rPr>
        <w:t xml:space="preserve">traffic </w:t>
      </w:r>
      <w:r w:rsidRPr="00CF4E9F">
        <w:rPr>
          <w:lang w:val="en-CA"/>
        </w:rPr>
        <w:t>stop</w:t>
      </w:r>
      <w:r w:rsidR="0056481F">
        <w:rPr>
          <w:lang w:val="en-CA"/>
        </w:rPr>
        <w:t>s</w:t>
      </w:r>
      <w:r w:rsidRPr="00CF4E9F">
        <w:rPr>
          <w:lang w:val="en-CA"/>
        </w:rPr>
        <w:t xml:space="preserve"> (and all proactive polic</w:t>
      </w:r>
      <w:r w:rsidR="00584A5C">
        <w:rPr>
          <w:lang w:val="en-CA"/>
        </w:rPr>
        <w:t>e</w:t>
      </w:r>
      <w:r w:rsidRPr="00CF4E9F">
        <w:rPr>
          <w:lang w:val="en-CA"/>
        </w:rPr>
        <w:t xml:space="preserve"> practices) are basically an exercise in prediction.</w:t>
      </w:r>
      <w:r w:rsidR="0043013D" w:rsidRPr="00CF4E9F">
        <w:rPr>
          <w:lang w:val="en-CA"/>
        </w:rPr>
        <w:t xml:space="preserve"> </w:t>
      </w:r>
      <w:r w:rsidRPr="00CF4E9F">
        <w:rPr>
          <w:lang w:val="en-CA"/>
        </w:rPr>
        <w:t xml:space="preserve">This involves predicting whether an individual who </w:t>
      </w:r>
      <w:r w:rsidR="000A4F0F" w:rsidRPr="00CF4E9F">
        <w:rPr>
          <w:lang w:val="en-CA"/>
        </w:rPr>
        <w:t xml:space="preserve">raises police </w:t>
      </w:r>
      <w:r w:rsidRPr="00CF4E9F">
        <w:rPr>
          <w:lang w:val="en-CA"/>
        </w:rPr>
        <w:t xml:space="preserve">suspicion is </w:t>
      </w:r>
      <w:r w:rsidR="000A4F0F" w:rsidRPr="00CF4E9F">
        <w:rPr>
          <w:lang w:val="en-CA"/>
        </w:rPr>
        <w:t xml:space="preserve">actually </w:t>
      </w:r>
      <w:r w:rsidRPr="00CF4E9F">
        <w:rPr>
          <w:lang w:val="en-CA"/>
        </w:rPr>
        <w:t>hiding something and warrant</w:t>
      </w:r>
      <w:r w:rsidR="009D6E8E" w:rsidRPr="00CF4E9F">
        <w:rPr>
          <w:lang w:val="en-CA"/>
        </w:rPr>
        <w:t>s</w:t>
      </w:r>
      <w:r w:rsidRPr="00CF4E9F">
        <w:rPr>
          <w:lang w:val="en-CA"/>
        </w:rPr>
        <w:t xml:space="preserve"> police </w:t>
      </w:r>
      <w:r w:rsidR="000A4F0F" w:rsidRPr="00CF4E9F">
        <w:rPr>
          <w:lang w:val="en-CA"/>
        </w:rPr>
        <w:t>action</w:t>
      </w:r>
      <w:r w:rsidRPr="00CF4E9F">
        <w:rPr>
          <w:lang w:val="en-CA"/>
        </w:rPr>
        <w:t>.</w:t>
      </w:r>
      <w:r w:rsidR="0043013D" w:rsidRPr="00CF4E9F">
        <w:rPr>
          <w:lang w:val="en-CA"/>
        </w:rPr>
        <w:t xml:space="preserve"> </w:t>
      </w:r>
      <w:r w:rsidRPr="00CF4E9F">
        <w:rPr>
          <w:lang w:val="en-CA"/>
        </w:rPr>
        <w:t>Sometimes the prediction is correct.</w:t>
      </w:r>
      <w:r w:rsidR="0043013D" w:rsidRPr="00CF4E9F">
        <w:rPr>
          <w:lang w:val="en-CA"/>
        </w:rPr>
        <w:t xml:space="preserve"> </w:t>
      </w:r>
      <w:r w:rsidRPr="00CF4E9F">
        <w:rPr>
          <w:lang w:val="en-CA"/>
        </w:rPr>
        <w:t>Sometimes it is wrong (and confirmation</w:t>
      </w:r>
      <w:r w:rsidR="000C16A2">
        <w:rPr>
          <w:lang w:val="en-CA"/>
        </w:rPr>
        <w:t xml:space="preserve"> bias</w:t>
      </w:r>
      <w:r w:rsidRPr="00CF4E9F">
        <w:rPr>
          <w:lang w:val="en-CA"/>
        </w:rPr>
        <w:t xml:space="preserve">, discussed above, </w:t>
      </w:r>
      <w:r w:rsidR="00ED09F2" w:rsidRPr="00CF4E9F">
        <w:rPr>
          <w:lang w:val="en-CA"/>
        </w:rPr>
        <w:t>means that</w:t>
      </w:r>
      <w:r w:rsidRPr="00CF4E9F">
        <w:rPr>
          <w:lang w:val="en-CA"/>
        </w:rPr>
        <w:t xml:space="preserve"> the good predictions </w:t>
      </w:r>
      <w:r w:rsidR="00ED09F2" w:rsidRPr="00CF4E9F">
        <w:rPr>
          <w:lang w:val="en-CA"/>
        </w:rPr>
        <w:t xml:space="preserve">are recalled </w:t>
      </w:r>
      <w:r w:rsidRPr="00CF4E9F">
        <w:rPr>
          <w:lang w:val="en-CA"/>
        </w:rPr>
        <w:t xml:space="preserve">much more </w:t>
      </w:r>
      <w:r w:rsidR="009D6E8E" w:rsidRPr="00CF4E9F">
        <w:rPr>
          <w:lang w:val="en-CA"/>
        </w:rPr>
        <w:t xml:space="preserve">often </w:t>
      </w:r>
      <w:r w:rsidRPr="00CF4E9F">
        <w:rPr>
          <w:lang w:val="en-CA"/>
        </w:rPr>
        <w:t xml:space="preserve">than the </w:t>
      </w:r>
      <w:r w:rsidR="009D6E8E" w:rsidRPr="00CF4E9F">
        <w:rPr>
          <w:lang w:val="en-CA"/>
        </w:rPr>
        <w:t xml:space="preserve">wrong </w:t>
      </w:r>
      <w:r w:rsidRPr="00CF4E9F">
        <w:rPr>
          <w:lang w:val="en-CA"/>
        </w:rPr>
        <w:t>ones).</w:t>
      </w:r>
      <w:r w:rsidR="0043013D" w:rsidRPr="00CF4E9F">
        <w:rPr>
          <w:lang w:val="en-CA"/>
        </w:rPr>
        <w:t xml:space="preserve"> </w:t>
      </w:r>
      <w:r w:rsidRPr="00CF4E9F">
        <w:rPr>
          <w:lang w:val="en-CA"/>
        </w:rPr>
        <w:t>What is certain, however, is that the prediction tools lead to what Bernard Harcourt calls a “ratchet effect” (Harcourt, 2007; 2011).</w:t>
      </w:r>
      <w:r w:rsidR="0043013D" w:rsidRPr="00CF4E9F">
        <w:rPr>
          <w:lang w:val="en-CA"/>
        </w:rPr>
        <w:t xml:space="preserve"> </w:t>
      </w:r>
      <w:r w:rsidR="00490030" w:rsidRPr="00CF4E9F">
        <w:rPr>
          <w:lang w:val="en-CA"/>
        </w:rPr>
        <w:t>This self</w:t>
      </w:r>
      <w:r w:rsidR="00D44D2C">
        <w:rPr>
          <w:lang w:val="en-CA"/>
        </w:rPr>
        <w:noBreakHyphen/>
      </w:r>
      <w:r w:rsidR="00490030" w:rsidRPr="00CF4E9F">
        <w:rPr>
          <w:lang w:val="en-CA"/>
        </w:rPr>
        <w:t xml:space="preserve">fulfilling prophecy </w:t>
      </w:r>
      <w:r w:rsidR="000C16A2">
        <w:rPr>
          <w:lang w:val="en-CA"/>
        </w:rPr>
        <w:t>is constructed</w:t>
      </w:r>
      <w:r w:rsidR="000C16A2" w:rsidRPr="00CF4E9F">
        <w:rPr>
          <w:lang w:val="en-CA"/>
        </w:rPr>
        <w:t xml:space="preserve"> </w:t>
      </w:r>
      <w:r w:rsidR="00490030" w:rsidRPr="00CF4E9F">
        <w:rPr>
          <w:lang w:val="en-CA"/>
        </w:rPr>
        <w:t>as follows: police</w:t>
      </w:r>
      <w:r w:rsidR="000C16A2">
        <w:rPr>
          <w:lang w:val="en-CA"/>
        </w:rPr>
        <w:t xml:space="preserve"> officers</w:t>
      </w:r>
      <w:r w:rsidR="00490030" w:rsidRPr="00CF4E9F">
        <w:rPr>
          <w:lang w:val="en-CA"/>
        </w:rPr>
        <w:t xml:space="preserve"> try to “target” their intervention as </w:t>
      </w:r>
      <w:r w:rsidR="00270DBA">
        <w:rPr>
          <w:lang w:val="en-CA"/>
        </w:rPr>
        <w:t>accurately</w:t>
      </w:r>
      <w:r w:rsidR="00A150C9">
        <w:rPr>
          <w:lang w:val="en-CA"/>
        </w:rPr>
        <w:t xml:space="preserve"> </w:t>
      </w:r>
      <w:r w:rsidR="00490030" w:rsidRPr="00CF4E9F">
        <w:rPr>
          <w:lang w:val="en-CA"/>
        </w:rPr>
        <w:t>as possible (intervene with someone who has actually done something wrong); to know who should be prioritized, they might refer to police crime statistics (but also their own experience, what they were taught, their biases</w:t>
      </w:r>
      <w:r w:rsidR="00ED09F2" w:rsidRPr="00CF4E9F">
        <w:rPr>
          <w:lang w:val="en-CA"/>
        </w:rPr>
        <w:t>,</w:t>
      </w:r>
      <w:r w:rsidR="00490030" w:rsidRPr="00CF4E9F">
        <w:rPr>
          <w:lang w:val="en-CA"/>
        </w:rPr>
        <w:t xml:space="preserve"> or other elements such as daily broadcast sheets </w:t>
      </w:r>
      <w:r w:rsidR="00987004">
        <w:rPr>
          <w:lang w:val="en-CA"/>
        </w:rPr>
        <w:t>[</w:t>
      </w:r>
      <w:r w:rsidR="00490030" w:rsidRPr="00CF4E9F">
        <w:rPr>
          <w:lang w:val="en-CA"/>
        </w:rPr>
        <w:t>...</w:t>
      </w:r>
      <w:r w:rsidR="00987004">
        <w:rPr>
          <w:lang w:val="en-CA"/>
        </w:rPr>
        <w:t>]</w:t>
      </w:r>
      <w:r w:rsidR="00490030" w:rsidRPr="00CF4E9F">
        <w:rPr>
          <w:lang w:val="en-CA"/>
        </w:rPr>
        <w:t xml:space="preserve">); however, these statistics show that certain racialized groups are more criminalized than others, and this visible feature becomes </w:t>
      </w:r>
      <w:r w:rsidR="00ED09F2" w:rsidRPr="00CF4E9F">
        <w:rPr>
          <w:lang w:val="en-CA"/>
        </w:rPr>
        <w:t>one of the</w:t>
      </w:r>
      <w:r w:rsidR="00490030" w:rsidRPr="00CF4E9F">
        <w:rPr>
          <w:lang w:val="en-CA"/>
        </w:rPr>
        <w:t xml:space="preserve"> criteri</w:t>
      </w:r>
      <w:r w:rsidR="00A150C9">
        <w:rPr>
          <w:lang w:val="en-CA"/>
        </w:rPr>
        <w:t>a</w:t>
      </w:r>
      <w:r w:rsidR="00490030" w:rsidRPr="00CF4E9F">
        <w:rPr>
          <w:lang w:val="en-CA"/>
        </w:rPr>
        <w:t xml:space="preserve"> to target </w:t>
      </w:r>
      <w:r w:rsidR="0046156C">
        <w:rPr>
          <w:lang w:val="en-CA"/>
        </w:rPr>
        <w:t xml:space="preserve">the </w:t>
      </w:r>
      <w:r w:rsidR="00ED09F2" w:rsidRPr="00CF4E9F">
        <w:rPr>
          <w:rFonts w:cs="Arial"/>
          <w:lang w:val="en-CA"/>
        </w:rPr>
        <w:t>[</w:t>
      </w:r>
      <w:r w:rsidR="00ED09F2" w:rsidRPr="00CF4E9F">
        <w:rPr>
          <w:rFonts w:cs="Arial"/>
          <w:smallCaps/>
          <w:lang w:val="en-CA"/>
        </w:rPr>
        <w:t>translation</w:t>
      </w:r>
      <w:r w:rsidR="00ED09F2" w:rsidRPr="00CF4E9F">
        <w:rPr>
          <w:rFonts w:cs="Arial"/>
          <w:lang w:val="en-CA"/>
        </w:rPr>
        <w:t>]</w:t>
      </w:r>
      <w:r w:rsidR="0046156C">
        <w:rPr>
          <w:rFonts w:cs="Arial"/>
          <w:lang w:val="en-CA"/>
        </w:rPr>
        <w:t> </w:t>
      </w:r>
      <w:r w:rsidR="00490030" w:rsidRPr="00CF4E9F">
        <w:rPr>
          <w:lang w:val="en-CA"/>
        </w:rPr>
        <w:t>“</w:t>
      </w:r>
      <w:r w:rsidR="00823E43">
        <w:rPr>
          <w:lang w:val="en-CA"/>
        </w:rPr>
        <w:t>right</w:t>
      </w:r>
      <w:r w:rsidR="00490030" w:rsidRPr="00CF4E9F">
        <w:rPr>
          <w:lang w:val="en-CA"/>
        </w:rPr>
        <w:t xml:space="preserve"> people”; since one group is </w:t>
      </w:r>
      <w:r w:rsidR="00A150C9">
        <w:rPr>
          <w:lang w:val="en-CA"/>
        </w:rPr>
        <w:t xml:space="preserve">being watched more closely </w:t>
      </w:r>
      <w:r w:rsidR="00490030" w:rsidRPr="00CF4E9F">
        <w:rPr>
          <w:lang w:val="en-CA"/>
        </w:rPr>
        <w:t xml:space="preserve">(viewed as more criminal), individuals from this group are necessarily caught more often; at the end of the year, when reviewing the statistics, the police realize that they were </w:t>
      </w:r>
      <w:r w:rsidR="00ED09F2" w:rsidRPr="00CF4E9F">
        <w:rPr>
          <w:lang w:val="en-CA"/>
        </w:rPr>
        <w:t xml:space="preserve">absolutely </w:t>
      </w:r>
      <w:r w:rsidR="00490030" w:rsidRPr="00CF4E9F">
        <w:rPr>
          <w:lang w:val="en-CA"/>
        </w:rPr>
        <w:t xml:space="preserve">right to prioritize that group over another; in fact, their participation in crime statistics should even have increased; </w:t>
      </w:r>
      <w:r w:rsidR="0048019D">
        <w:rPr>
          <w:lang w:val="en-CA"/>
        </w:rPr>
        <w:t>as a result</w:t>
      </w:r>
      <w:r w:rsidR="00490030" w:rsidRPr="00CF4E9F">
        <w:rPr>
          <w:lang w:val="en-CA"/>
        </w:rPr>
        <w:t xml:space="preserve">, </w:t>
      </w:r>
      <w:r w:rsidR="0048019D">
        <w:rPr>
          <w:lang w:val="en-CA"/>
        </w:rPr>
        <w:t xml:space="preserve">even </w:t>
      </w:r>
      <w:r w:rsidR="00490030" w:rsidRPr="00CF4E9F">
        <w:rPr>
          <w:lang w:val="en-CA"/>
        </w:rPr>
        <w:t xml:space="preserve">more resources </w:t>
      </w:r>
      <w:r w:rsidR="00ED09F2" w:rsidRPr="00CF4E9F">
        <w:rPr>
          <w:lang w:val="en-CA"/>
        </w:rPr>
        <w:t xml:space="preserve">will </w:t>
      </w:r>
      <w:r w:rsidR="00490030" w:rsidRPr="00CF4E9F">
        <w:rPr>
          <w:lang w:val="en-CA"/>
        </w:rPr>
        <w:t xml:space="preserve">be </w:t>
      </w:r>
      <w:r w:rsidR="0048019D">
        <w:rPr>
          <w:lang w:val="en-CA"/>
        </w:rPr>
        <w:t xml:space="preserve">assigned </w:t>
      </w:r>
      <w:r w:rsidR="00490030" w:rsidRPr="00CF4E9F">
        <w:rPr>
          <w:lang w:val="en-CA"/>
        </w:rPr>
        <w:t>to target this community.</w:t>
      </w:r>
    </w:p>
    <w:p w14:paraId="0B836F34" w14:textId="7D66D72F" w:rsidR="001A3EF8" w:rsidRPr="00CF4E9F" w:rsidRDefault="00490030" w:rsidP="00E12BFC">
      <w:pPr>
        <w:pStyle w:val="Citationenretrait"/>
        <w:rPr>
          <w:lang w:val="en-CA"/>
        </w:rPr>
      </w:pPr>
      <w:r w:rsidRPr="00CF4E9F">
        <w:rPr>
          <w:lang w:val="en-CA"/>
        </w:rPr>
        <w:t>This dynamic is important to discuss for at least two reasons.</w:t>
      </w:r>
      <w:r w:rsidR="0043013D" w:rsidRPr="00CF4E9F">
        <w:rPr>
          <w:lang w:val="en-CA"/>
        </w:rPr>
        <w:t xml:space="preserve"> </w:t>
      </w:r>
      <w:r w:rsidRPr="00CF4E9F">
        <w:rPr>
          <w:lang w:val="en-CA"/>
        </w:rPr>
        <w:t>One, because it follows a vicious circle logic and as such, is extremely difficult to break.</w:t>
      </w:r>
      <w:r w:rsidR="0043013D" w:rsidRPr="00CF4E9F">
        <w:rPr>
          <w:lang w:val="en-CA"/>
        </w:rPr>
        <w:t xml:space="preserve"> </w:t>
      </w:r>
      <w:r w:rsidRPr="00CF4E9F">
        <w:rPr>
          <w:lang w:val="en-CA"/>
        </w:rPr>
        <w:t xml:space="preserve">Next, because as long as this logic is not actively countered, </w:t>
      </w:r>
      <w:r w:rsidRPr="00CF4E9F">
        <w:rPr>
          <w:u w:val="single"/>
          <w:lang w:val="en-CA"/>
        </w:rPr>
        <w:t>it will reproduce and exacerbate prevailing racial discrimination</w:t>
      </w:r>
      <w:r w:rsidRPr="00CF4E9F">
        <w:rPr>
          <w:lang w:val="en-CA"/>
        </w:rPr>
        <w:t>.</w:t>
      </w:r>
      <w:r w:rsidR="0043013D" w:rsidRPr="00CF4E9F">
        <w:rPr>
          <w:lang w:val="en-CA"/>
        </w:rPr>
        <w:t xml:space="preserve"> </w:t>
      </w:r>
      <w:r w:rsidRPr="00CF4E9F">
        <w:rPr>
          <w:lang w:val="en-CA"/>
        </w:rPr>
        <w:t xml:space="preserve">In the same way it is logical to imagine that police </w:t>
      </w:r>
      <w:r w:rsidR="00ED09F2" w:rsidRPr="00CF4E9F">
        <w:rPr>
          <w:lang w:val="en-CA"/>
        </w:rPr>
        <w:t xml:space="preserve">action </w:t>
      </w:r>
      <w:r w:rsidR="00A150C9">
        <w:rPr>
          <w:lang w:val="en-CA"/>
        </w:rPr>
        <w:t>is</w:t>
      </w:r>
      <w:r w:rsidR="00ED09F2" w:rsidRPr="00CF4E9F">
        <w:rPr>
          <w:lang w:val="en-CA"/>
        </w:rPr>
        <w:t xml:space="preserve"> increased </w:t>
      </w:r>
      <w:r w:rsidRPr="00CF4E9F">
        <w:rPr>
          <w:lang w:val="en-CA"/>
        </w:rPr>
        <w:t xml:space="preserve">in areas where crime is higher and/or more serious (Tiratelli, Quinton &amp; Bradford, 2018), </w:t>
      </w:r>
      <w:r w:rsidRPr="00CF4E9F">
        <w:rPr>
          <w:u w:val="single"/>
          <w:lang w:val="en-CA"/>
        </w:rPr>
        <w:t>increased street check</w:t>
      </w:r>
      <w:r w:rsidR="00F731AA">
        <w:rPr>
          <w:u w:val="single"/>
          <w:lang w:val="en-CA"/>
        </w:rPr>
        <w:t>s</w:t>
      </w:r>
      <w:r w:rsidRPr="00CF4E9F">
        <w:rPr>
          <w:u w:val="single"/>
          <w:lang w:val="en-CA"/>
        </w:rPr>
        <w:t xml:space="preserve"> and </w:t>
      </w:r>
      <w:r w:rsidR="00F731AA">
        <w:rPr>
          <w:u w:val="single"/>
          <w:lang w:val="en-CA"/>
        </w:rPr>
        <w:t xml:space="preserve">traffic </w:t>
      </w:r>
      <w:r w:rsidRPr="00CF4E9F">
        <w:rPr>
          <w:u w:val="single"/>
          <w:lang w:val="en-CA"/>
        </w:rPr>
        <w:t>stop</w:t>
      </w:r>
      <w:r w:rsidR="00F731AA">
        <w:rPr>
          <w:u w:val="single"/>
          <w:lang w:val="en-CA"/>
        </w:rPr>
        <w:t>s</w:t>
      </w:r>
      <w:r w:rsidRPr="00CF4E9F">
        <w:rPr>
          <w:u w:val="single"/>
          <w:lang w:val="en-CA"/>
        </w:rPr>
        <w:t xml:space="preserve"> of a given population will necessarily increase the number of criminal offences detected</w:t>
      </w:r>
      <w:r w:rsidRPr="00CF4E9F">
        <w:rPr>
          <w:lang w:val="en-CA"/>
        </w:rPr>
        <w:t xml:space="preserve"> (Hinkle &amp; Weisburd, 2008).</w:t>
      </w:r>
      <w:r w:rsidR="0043013D" w:rsidRPr="00CF4E9F">
        <w:rPr>
          <w:lang w:val="en-CA"/>
        </w:rPr>
        <w:t xml:space="preserve"> </w:t>
      </w:r>
      <w:r w:rsidRPr="00CF4E9F">
        <w:rPr>
          <w:u w:val="single"/>
          <w:lang w:val="en-CA"/>
        </w:rPr>
        <w:t xml:space="preserve">Thus, discriminatory practices will in turn </w:t>
      </w:r>
      <w:r w:rsidR="00ED09F2" w:rsidRPr="00CF4E9F">
        <w:rPr>
          <w:u w:val="single"/>
          <w:lang w:val="en-CA"/>
        </w:rPr>
        <w:t xml:space="preserve">lead to </w:t>
      </w:r>
      <w:r w:rsidRPr="00CF4E9F">
        <w:rPr>
          <w:u w:val="single"/>
          <w:lang w:val="en-CA"/>
        </w:rPr>
        <w:lastRenderedPageBreak/>
        <w:t>discrimination.</w:t>
      </w:r>
      <w:r w:rsidR="0043013D" w:rsidRPr="00CF4E9F">
        <w:rPr>
          <w:u w:val="single"/>
          <w:lang w:val="en-CA"/>
        </w:rPr>
        <w:t xml:space="preserve"> </w:t>
      </w:r>
      <w:r w:rsidRPr="00CF4E9F">
        <w:rPr>
          <w:u w:val="single"/>
          <w:lang w:val="en-CA"/>
        </w:rPr>
        <w:t xml:space="preserve">In other words, racial discrimination will justify </w:t>
      </w:r>
      <w:r w:rsidR="00ED09F2" w:rsidRPr="00CF4E9F">
        <w:rPr>
          <w:u w:val="single"/>
          <w:lang w:val="en-CA"/>
        </w:rPr>
        <w:t>fur</w:t>
      </w:r>
      <w:r w:rsidRPr="00CF4E9F">
        <w:rPr>
          <w:u w:val="single"/>
          <w:lang w:val="en-CA"/>
        </w:rPr>
        <w:t>ther racial discrimination</w:t>
      </w:r>
      <w:r w:rsidRPr="00CF4E9F">
        <w:rPr>
          <w:lang w:val="en-CA"/>
        </w:rPr>
        <w:t xml:space="preserve"> (Balibar, 2007; Bessone, 2013).</w:t>
      </w:r>
      <w:r w:rsidR="0043013D" w:rsidRPr="00CF4E9F">
        <w:rPr>
          <w:vertAlign w:val="superscript"/>
          <w:lang w:val="en-CA"/>
        </w:rPr>
        <w:footnoteReference w:id="311"/>
      </w:r>
    </w:p>
    <w:p w14:paraId="4C4DC800" w14:textId="2537E50D" w:rsidR="001A3EF8" w:rsidRPr="00CF4E9F" w:rsidRDefault="00490030" w:rsidP="003A14E5">
      <w:pPr>
        <w:pStyle w:val="Citationenretrait"/>
        <w:spacing w:before="0"/>
        <w:jc w:val="right"/>
        <w:rPr>
          <w:lang w:val="en-CA"/>
        </w:rPr>
      </w:pPr>
      <w:r w:rsidRPr="00CF4E9F">
        <w:rPr>
          <w:lang w:val="en-CA"/>
        </w:rPr>
        <w:t>[</w:t>
      </w:r>
      <w:r w:rsidR="00856D71">
        <w:rPr>
          <w:lang w:val="en-CA"/>
        </w:rPr>
        <w:t xml:space="preserve">Underlining </w:t>
      </w:r>
      <w:r w:rsidRPr="00CF4E9F">
        <w:rPr>
          <w:lang w:val="en-CA"/>
        </w:rPr>
        <w:t>added]</w:t>
      </w:r>
    </w:p>
    <w:p w14:paraId="5EFE84FC" w14:textId="4FF0B57A" w:rsidR="001A3EF8" w:rsidRPr="00CF4E9F" w:rsidRDefault="00490030" w:rsidP="00F5188D">
      <w:pPr>
        <w:pStyle w:val="Paragraphe"/>
        <w:spacing w:line="280" w:lineRule="exact"/>
        <w:rPr>
          <w:lang w:val="en-CA"/>
        </w:rPr>
      </w:pPr>
      <w:r w:rsidRPr="00CF4E9F">
        <w:rPr>
          <w:lang w:val="en-CA"/>
        </w:rPr>
        <w:t>Along the same lines, the CDPDJ notes that:</w:t>
      </w:r>
    </w:p>
    <w:p w14:paraId="051ADFD5" w14:textId="31A07D8C" w:rsidR="002B33B6" w:rsidRPr="00CF4E9F" w:rsidRDefault="002B33B6" w:rsidP="002B33B6">
      <w:pPr>
        <w:pStyle w:val="Citationenretrait"/>
        <w:rPr>
          <w:lang w:val="en-CA"/>
        </w:rPr>
      </w:pPr>
      <w:r w:rsidRPr="00CF4E9F">
        <w:rPr>
          <w:rFonts w:cs="Arial"/>
          <w:lang w:val="en-CA"/>
        </w:rPr>
        <w:t>[</w:t>
      </w:r>
      <w:r w:rsidRPr="00CF4E9F">
        <w:rPr>
          <w:rFonts w:cs="Arial"/>
          <w:smallCaps/>
          <w:lang w:val="en-CA"/>
        </w:rPr>
        <w:t>translation</w:t>
      </w:r>
      <w:r w:rsidRPr="00CF4E9F">
        <w:rPr>
          <w:rFonts w:cs="Arial"/>
          <w:lang w:val="en-CA"/>
        </w:rPr>
        <w:t>]</w:t>
      </w:r>
    </w:p>
    <w:p w14:paraId="6540A158" w14:textId="06DA7082" w:rsidR="001A3EF8" w:rsidRPr="00CF4E9F" w:rsidRDefault="0043013D" w:rsidP="002B33B6">
      <w:pPr>
        <w:pStyle w:val="Citationenretrait"/>
        <w:rPr>
          <w:lang w:val="en-CA"/>
        </w:rPr>
      </w:pPr>
      <w:r w:rsidRPr="00CF4E9F">
        <w:rPr>
          <w:lang w:val="en-CA"/>
        </w:rPr>
        <w:t>[</w:t>
      </w:r>
      <w:r w:rsidR="002B33B6" w:rsidRPr="00CF4E9F">
        <w:rPr>
          <w:lang w:val="en-CA"/>
        </w:rPr>
        <w:t>u</w:t>
      </w:r>
      <w:r w:rsidR="002B33B6" w:rsidRPr="00CF4E9F">
        <w:rPr>
          <w:rFonts w:cs="Arial"/>
          <w:lang w:val="en-CA"/>
        </w:rPr>
        <w:t>]</w:t>
      </w:r>
      <w:r w:rsidR="002B33B6" w:rsidRPr="00CF4E9F">
        <w:rPr>
          <w:lang w:val="en-CA"/>
        </w:rPr>
        <w:t>nequal and discriminatory application of the law within a context of public security gives a false picture of reality. As a result, individuals who belong to a “profiled” community have a greater risk of being stopped, arrested, charged and exposed to different and unequal treatment during every step of the judicial process.</w:t>
      </w:r>
      <w:r w:rsidRPr="00CF4E9F">
        <w:rPr>
          <w:vertAlign w:val="superscript"/>
          <w:lang w:val="en-CA"/>
        </w:rPr>
        <w:footnoteReference w:id="312"/>
      </w:r>
    </w:p>
    <w:p w14:paraId="7B7A9916" w14:textId="7BB76973" w:rsidR="001A3EF8" w:rsidRPr="00CF4E9F" w:rsidRDefault="00315EA4" w:rsidP="003A14E5">
      <w:pPr>
        <w:pStyle w:val="Citationenretrait"/>
        <w:spacing w:before="0"/>
        <w:jc w:val="right"/>
        <w:rPr>
          <w:lang w:val="en-CA"/>
        </w:rPr>
      </w:pPr>
      <w:r w:rsidRPr="00CF4E9F">
        <w:rPr>
          <w:lang w:val="en-CA"/>
        </w:rPr>
        <w:t>[Reference omitted]</w:t>
      </w:r>
    </w:p>
    <w:p w14:paraId="294FE551" w14:textId="14A4C6C8" w:rsidR="001A3EF8" w:rsidRPr="00CF4E9F" w:rsidRDefault="002811F9" w:rsidP="00F5188D">
      <w:pPr>
        <w:pStyle w:val="Paragraphe"/>
        <w:spacing w:line="280" w:lineRule="exact"/>
        <w:rPr>
          <w:lang w:val="en-CA"/>
        </w:rPr>
      </w:pPr>
      <w:bookmarkStart w:id="117" w:name="_Ref164957303"/>
      <w:r w:rsidRPr="00CF4E9F">
        <w:rPr>
          <w:lang w:val="en-CA"/>
        </w:rPr>
        <w:t xml:space="preserve">The trial judge rightly stated that </w:t>
      </w:r>
      <w:r w:rsidR="00BE7B22" w:rsidRPr="00CF4E9F">
        <w:rPr>
          <w:rFonts w:cs="Arial"/>
          <w:lang w:val="en-CA"/>
        </w:rPr>
        <w:t>[</w:t>
      </w:r>
      <w:r w:rsidR="00BE7B22" w:rsidRPr="00CF4E9F">
        <w:rPr>
          <w:rFonts w:cs="Arial"/>
          <w:smallCaps/>
          <w:lang w:val="en-CA"/>
        </w:rPr>
        <w:t>translation</w:t>
      </w:r>
      <w:r w:rsidR="00BE7B22" w:rsidRPr="00CF4E9F">
        <w:rPr>
          <w:rFonts w:cs="Arial"/>
          <w:lang w:val="en-CA"/>
        </w:rPr>
        <w:t>]</w:t>
      </w:r>
      <w:r w:rsidR="00F8437E">
        <w:rPr>
          <w:lang w:val="en-CA"/>
        </w:rPr>
        <w:t> </w:t>
      </w:r>
      <w:r w:rsidRPr="00CF4E9F">
        <w:rPr>
          <w:lang w:val="en-CA"/>
        </w:rPr>
        <w:t>“</w:t>
      </w:r>
      <w:r w:rsidR="00BE7B22" w:rsidRPr="00CF4E9F">
        <w:rPr>
          <w:rFonts w:cs="Arial"/>
          <w:lang w:val="en-CA"/>
        </w:rPr>
        <w:t>[</w:t>
      </w:r>
      <w:r w:rsidRPr="00CF4E9F">
        <w:rPr>
          <w:lang w:val="en-CA"/>
        </w:rPr>
        <w:t>i</w:t>
      </w:r>
      <w:r w:rsidR="00BE7B22" w:rsidRPr="00CF4E9F">
        <w:rPr>
          <w:rFonts w:cs="Arial"/>
          <w:lang w:val="en-CA"/>
        </w:rPr>
        <w:t>]</w:t>
      </w:r>
      <w:r w:rsidRPr="00CF4E9F">
        <w:rPr>
          <w:lang w:val="en-CA"/>
        </w:rPr>
        <w:t xml:space="preserve">t is not the applicant’s burden to explain why the law has this domino effect or to establish why Black </w:t>
      </w:r>
      <w:r w:rsidR="00296582">
        <w:rPr>
          <w:lang w:val="en-CA"/>
        </w:rPr>
        <w:t xml:space="preserve">drivers </w:t>
      </w:r>
      <w:r w:rsidRPr="00CF4E9F">
        <w:rPr>
          <w:lang w:val="en-CA"/>
        </w:rPr>
        <w:t>suffer a particular disadvantage”.</w:t>
      </w:r>
      <w:r w:rsidRPr="00CF4E9F">
        <w:rPr>
          <w:vertAlign w:val="superscript"/>
          <w:lang w:val="en-CA"/>
        </w:rPr>
        <w:footnoteReference w:id="313"/>
      </w:r>
      <w:r w:rsidR="0043013D" w:rsidRPr="00CF4E9F">
        <w:rPr>
          <w:lang w:val="en-CA"/>
        </w:rPr>
        <w:t xml:space="preserve"> </w:t>
      </w:r>
      <w:r w:rsidRPr="00CF4E9F">
        <w:rPr>
          <w:lang w:val="en-CA"/>
        </w:rPr>
        <w:t xml:space="preserve">It suffices to note that the </w:t>
      </w:r>
      <w:r w:rsidR="00BE7B22" w:rsidRPr="00CF4E9F">
        <w:rPr>
          <w:lang w:val="en-CA"/>
        </w:rPr>
        <w:t>challeng</w:t>
      </w:r>
      <w:r w:rsidRPr="00CF4E9F">
        <w:rPr>
          <w:lang w:val="en-CA"/>
        </w:rPr>
        <w:t xml:space="preserve">ed </w:t>
      </w:r>
      <w:r w:rsidR="009E3749">
        <w:rPr>
          <w:lang w:val="en-CA"/>
        </w:rPr>
        <w:t>provision</w:t>
      </w:r>
      <w:r w:rsidRPr="00CF4E9F">
        <w:rPr>
          <w:lang w:val="en-CA"/>
        </w:rPr>
        <w:t xml:space="preserve">, because it </w:t>
      </w:r>
      <w:r w:rsidR="00BE7B22" w:rsidRPr="00CF4E9F">
        <w:rPr>
          <w:rFonts w:cs="Arial"/>
          <w:lang w:val="en-CA"/>
        </w:rPr>
        <w:t>[</w:t>
      </w:r>
      <w:r w:rsidR="00BE7B22" w:rsidRPr="00CF4E9F">
        <w:rPr>
          <w:rFonts w:cs="Arial"/>
          <w:smallCaps/>
          <w:lang w:val="en-CA"/>
        </w:rPr>
        <w:t>translation</w:t>
      </w:r>
      <w:r w:rsidR="00BE7B22" w:rsidRPr="00CF4E9F">
        <w:rPr>
          <w:rFonts w:cs="Arial"/>
          <w:lang w:val="en-CA"/>
        </w:rPr>
        <w:t>]</w:t>
      </w:r>
      <w:r w:rsidR="00F8437E">
        <w:rPr>
          <w:lang w:val="en-CA"/>
        </w:rPr>
        <w:t> </w:t>
      </w:r>
      <w:r w:rsidRPr="00CF4E9F">
        <w:rPr>
          <w:lang w:val="en-CA"/>
        </w:rPr>
        <w:t>“opens the door to the differential treatment of Black drivers”</w:t>
      </w:r>
      <w:r w:rsidR="00BE7B22" w:rsidRPr="00CF4E9F">
        <w:rPr>
          <w:lang w:val="en-CA"/>
        </w:rPr>
        <w:t>,</w:t>
      </w:r>
      <w:r w:rsidRPr="00CF4E9F">
        <w:rPr>
          <w:vertAlign w:val="superscript"/>
          <w:lang w:val="en-CA"/>
        </w:rPr>
        <w:footnoteReference w:id="314"/>
      </w:r>
      <w:r w:rsidRPr="00CF4E9F">
        <w:rPr>
          <w:lang w:val="en-CA"/>
        </w:rPr>
        <w:t xml:space="preserve"> widen</w:t>
      </w:r>
      <w:r w:rsidR="00BE7B22" w:rsidRPr="00CF4E9F">
        <w:rPr>
          <w:lang w:val="en-CA"/>
        </w:rPr>
        <w:t>s</w:t>
      </w:r>
      <w:r w:rsidRPr="00CF4E9F">
        <w:rPr>
          <w:lang w:val="en-CA"/>
        </w:rPr>
        <w:t xml:space="preserve"> the gap between Black people (a historically disadvantaged group) and the rest of society.</w:t>
      </w:r>
      <w:r w:rsidRPr="00CF4E9F">
        <w:rPr>
          <w:vertAlign w:val="superscript"/>
          <w:lang w:val="en-CA"/>
        </w:rPr>
        <w:footnoteReference w:id="315"/>
      </w:r>
    </w:p>
    <w:bookmarkEnd w:id="117"/>
    <w:p w14:paraId="791D25DF" w14:textId="664ABC0A" w:rsidR="001A3EF8" w:rsidRPr="00CF4E9F" w:rsidRDefault="002811F9" w:rsidP="00F5188D">
      <w:pPr>
        <w:pStyle w:val="Paragraphe"/>
        <w:spacing w:line="280" w:lineRule="exact"/>
        <w:rPr>
          <w:lang w:val="en-CA"/>
        </w:rPr>
      </w:pPr>
      <w:r w:rsidRPr="00CF4E9F">
        <w:rPr>
          <w:lang w:val="en-CA"/>
        </w:rPr>
        <w:t xml:space="preserve">Like the judge, the Court concludes that the respondents have discharged their burden at the second step of the </w:t>
      </w:r>
      <w:r w:rsidR="00052175" w:rsidRPr="00CF4E9F">
        <w:rPr>
          <w:lang w:val="en-CA"/>
        </w:rPr>
        <w:t>analysis</w:t>
      </w:r>
      <w:r w:rsidRPr="00CF4E9F">
        <w:rPr>
          <w:lang w:val="en-CA"/>
        </w:rPr>
        <w:t>.</w:t>
      </w:r>
    </w:p>
    <w:p w14:paraId="6E42C6DB" w14:textId="071F2F38" w:rsidR="001A3EF8" w:rsidRPr="00CF4E9F" w:rsidRDefault="0043013D" w:rsidP="00F5188D">
      <w:pPr>
        <w:spacing w:before="120" w:after="120"/>
        <w:jc w:val="center"/>
        <w:rPr>
          <w:kern w:val="28"/>
          <w:sz w:val="28"/>
          <w:szCs w:val="28"/>
          <w:lang w:val="en-CA"/>
        </w:rPr>
      </w:pPr>
      <w:r w:rsidRPr="00CF4E9F">
        <w:rPr>
          <w:kern w:val="28"/>
          <w:sz w:val="28"/>
          <w:szCs w:val="28"/>
          <w:lang w:val="en-CA"/>
        </w:rPr>
        <w:t>* * *</w:t>
      </w:r>
    </w:p>
    <w:p w14:paraId="12D3C0AA" w14:textId="675E4D14" w:rsidR="001A3EF8" w:rsidRPr="00CF4E9F" w:rsidRDefault="0024748B" w:rsidP="00F5188D">
      <w:pPr>
        <w:pStyle w:val="Paragraphe"/>
        <w:spacing w:line="280" w:lineRule="exact"/>
        <w:rPr>
          <w:lang w:val="en-CA"/>
        </w:rPr>
      </w:pPr>
      <w:r>
        <w:rPr>
          <w:lang w:val="en-CA"/>
        </w:rPr>
        <w:t>To summarize</w:t>
      </w:r>
      <w:r w:rsidR="002811F9" w:rsidRPr="00CF4E9F">
        <w:rPr>
          <w:lang w:val="en-CA"/>
        </w:rPr>
        <w:t xml:space="preserve">, there is abundant evidence to establish that </w:t>
      </w:r>
      <w:r w:rsidR="00162E51">
        <w:rPr>
          <w:lang w:val="en-CA"/>
        </w:rPr>
        <w:t>s. </w:t>
      </w:r>
      <w:r w:rsidR="002811F9" w:rsidRPr="00CF4E9F">
        <w:rPr>
          <w:lang w:val="en-CA"/>
        </w:rPr>
        <w:t>636</w:t>
      </w:r>
      <w:r w:rsidR="0030762F" w:rsidRPr="0030762F">
        <w:rPr>
          <w:i/>
          <w:lang w:val="en-CA"/>
        </w:rPr>
        <w:t> HSC</w:t>
      </w:r>
      <w:r w:rsidR="002811F9" w:rsidRPr="00CF4E9F">
        <w:rPr>
          <w:lang w:val="en-CA"/>
        </w:rPr>
        <w:t xml:space="preserve"> creat</w:t>
      </w:r>
      <w:r w:rsidR="00052175" w:rsidRPr="00CF4E9F">
        <w:rPr>
          <w:lang w:val="en-CA"/>
        </w:rPr>
        <w:t>es</w:t>
      </w:r>
      <w:r w:rsidR="002811F9" w:rsidRPr="00CF4E9F">
        <w:rPr>
          <w:lang w:val="en-CA"/>
        </w:rPr>
        <w:t xml:space="preserve"> a distinction based on a ground enumerated in </w:t>
      </w:r>
      <w:r w:rsidR="00162E51">
        <w:rPr>
          <w:lang w:val="en-CA"/>
        </w:rPr>
        <w:t>s. </w:t>
      </w:r>
      <w:r w:rsidR="002811F9" w:rsidRPr="00CF4E9F">
        <w:rPr>
          <w:lang w:val="en-CA"/>
        </w:rPr>
        <w:t>15(1)</w:t>
      </w:r>
      <w:r w:rsidR="00E14BC9">
        <w:rPr>
          <w:lang w:val="en-CA"/>
        </w:rPr>
        <w:t xml:space="preserve"> –</w:t>
      </w:r>
      <w:r w:rsidR="002811F9" w:rsidRPr="00CF4E9F">
        <w:rPr>
          <w:lang w:val="en-CA"/>
        </w:rPr>
        <w:t xml:space="preserve"> i.e., race</w:t>
      </w:r>
      <w:r w:rsidR="002811F9" w:rsidRPr="00CF4E9F">
        <w:rPr>
          <w:szCs w:val="24"/>
          <w:vertAlign w:val="superscript"/>
          <w:lang w:val="en-CA"/>
        </w:rPr>
        <w:footnoteReference w:id="316"/>
      </w:r>
      <w:r w:rsidR="00E14BC9">
        <w:rPr>
          <w:lang w:val="en-CA"/>
        </w:rPr>
        <w:t xml:space="preserve"> –</w:t>
      </w:r>
      <w:r w:rsidR="002811F9" w:rsidRPr="00CF4E9F">
        <w:rPr>
          <w:szCs w:val="24"/>
          <w:lang w:val="en-CA"/>
        </w:rPr>
        <w:t xml:space="preserve"> </w:t>
      </w:r>
      <w:r w:rsidR="00052175" w:rsidRPr="00CF4E9F">
        <w:rPr>
          <w:szCs w:val="24"/>
          <w:lang w:val="en-CA"/>
        </w:rPr>
        <w:t xml:space="preserve">in a way </w:t>
      </w:r>
      <w:r w:rsidR="002811F9" w:rsidRPr="00CF4E9F">
        <w:rPr>
          <w:szCs w:val="24"/>
          <w:lang w:val="en-CA"/>
        </w:rPr>
        <w:t xml:space="preserve">that reinforces, perpetuates or exacerbates </w:t>
      </w:r>
      <w:r w:rsidR="00491C8E">
        <w:rPr>
          <w:szCs w:val="24"/>
          <w:lang w:val="en-CA"/>
        </w:rPr>
        <w:t xml:space="preserve">the disadvantage experienced by </w:t>
      </w:r>
      <w:r w:rsidR="00052175" w:rsidRPr="00CF4E9F">
        <w:rPr>
          <w:szCs w:val="24"/>
          <w:lang w:val="en-CA"/>
        </w:rPr>
        <w:t>Black people</w:t>
      </w:r>
      <w:r w:rsidR="002811F9" w:rsidRPr="00CF4E9F">
        <w:rPr>
          <w:szCs w:val="24"/>
          <w:lang w:val="en-CA"/>
        </w:rPr>
        <w:t>.</w:t>
      </w:r>
      <w:r w:rsidR="00B424A5" w:rsidRPr="00CF4E9F">
        <w:rPr>
          <w:lang w:val="en-CA"/>
        </w:rPr>
        <w:t xml:space="preserve"> </w:t>
      </w:r>
      <w:r w:rsidR="002811F9" w:rsidRPr="00CF4E9F">
        <w:rPr>
          <w:lang w:val="en-CA"/>
        </w:rPr>
        <w:t xml:space="preserve">The infringement of the right to equality guaranteed by </w:t>
      </w:r>
      <w:r w:rsidR="00CD3E2E">
        <w:rPr>
          <w:lang w:val="en-CA"/>
        </w:rPr>
        <w:t>s. </w:t>
      </w:r>
      <w:r w:rsidR="002811F9" w:rsidRPr="00CF4E9F">
        <w:rPr>
          <w:lang w:val="en-CA"/>
        </w:rPr>
        <w:t>15(1) is therefore proved.</w:t>
      </w:r>
    </w:p>
    <w:p w14:paraId="6092EC08" w14:textId="27A5C1A7" w:rsidR="001A3EF8" w:rsidRPr="00CF4E9F" w:rsidRDefault="002811F9" w:rsidP="00F5188D">
      <w:pPr>
        <w:pStyle w:val="Paragraphe"/>
        <w:spacing w:line="280" w:lineRule="exact"/>
        <w:rPr>
          <w:lang w:val="en-CA"/>
        </w:rPr>
      </w:pPr>
      <w:r w:rsidRPr="00CF4E9F">
        <w:rPr>
          <w:lang w:val="en-CA"/>
        </w:rPr>
        <w:t xml:space="preserve">What remains to be determined is whether the AGQ has established that this infringement of the right protected by </w:t>
      </w:r>
      <w:r w:rsidR="00CD3E2E">
        <w:rPr>
          <w:lang w:val="en-CA"/>
        </w:rPr>
        <w:t>s. </w:t>
      </w:r>
      <w:r w:rsidRPr="00CF4E9F">
        <w:rPr>
          <w:lang w:val="en-CA"/>
        </w:rPr>
        <w:t xml:space="preserve">15(1) </w:t>
      </w:r>
      <w:r w:rsidR="00052175" w:rsidRPr="00CF4E9F">
        <w:rPr>
          <w:lang w:val="en-CA"/>
        </w:rPr>
        <w:t>is</w:t>
      </w:r>
      <w:r w:rsidRPr="00CF4E9F">
        <w:rPr>
          <w:lang w:val="en-CA"/>
        </w:rPr>
        <w:t xml:space="preserve"> justified under </w:t>
      </w:r>
      <w:r w:rsidR="00162E51">
        <w:rPr>
          <w:lang w:val="en-CA"/>
        </w:rPr>
        <w:t>s. </w:t>
      </w:r>
      <w:r w:rsidRPr="00CF4E9F">
        <w:rPr>
          <w:lang w:val="en-CA"/>
        </w:rPr>
        <w:t xml:space="preserve">1 of the </w:t>
      </w:r>
      <w:r w:rsidRPr="00CF4E9F">
        <w:rPr>
          <w:i/>
          <w:lang w:val="en-CA"/>
        </w:rPr>
        <w:t>Charter</w:t>
      </w:r>
      <w:r w:rsidRPr="00CF4E9F">
        <w:rPr>
          <w:lang w:val="en-CA"/>
        </w:rPr>
        <w:t>.</w:t>
      </w:r>
    </w:p>
    <w:p w14:paraId="7F75EA89" w14:textId="154BC210" w:rsidR="001A3EF8" w:rsidRPr="00CF4E9F" w:rsidRDefault="0043013D" w:rsidP="00F5188D">
      <w:pPr>
        <w:pStyle w:val="Titre3"/>
        <w:spacing w:line="280" w:lineRule="exact"/>
        <w:rPr>
          <w:lang w:val="en-CA"/>
        </w:rPr>
      </w:pPr>
      <w:bookmarkStart w:id="118" w:name="_Toc177390725"/>
      <w:bookmarkStart w:id="119" w:name="_Toc201822896"/>
      <w:r w:rsidRPr="00CF4E9F">
        <w:rPr>
          <w:lang w:val="en-CA"/>
        </w:rPr>
        <w:lastRenderedPageBreak/>
        <w:t>2.</w:t>
      </w:r>
      <w:r w:rsidRPr="00CF4E9F">
        <w:rPr>
          <w:lang w:val="en-CA"/>
        </w:rPr>
        <w:tab/>
      </w:r>
      <w:bookmarkEnd w:id="118"/>
      <w:r w:rsidR="001A6AF7" w:rsidRPr="00CF4E9F">
        <w:rPr>
          <w:lang w:val="en-CA"/>
        </w:rPr>
        <w:t>Justification of the infringement</w:t>
      </w:r>
      <w:bookmarkEnd w:id="119"/>
      <w:r w:rsidR="001A6AF7" w:rsidRPr="00CF4E9F">
        <w:rPr>
          <w:lang w:val="en-CA"/>
        </w:rPr>
        <w:t xml:space="preserve"> </w:t>
      </w:r>
    </w:p>
    <w:p w14:paraId="69B37EBB" w14:textId="08E32F4B" w:rsidR="001A3EF8" w:rsidRPr="00CF4E9F" w:rsidRDefault="002811F9" w:rsidP="00F5188D">
      <w:pPr>
        <w:pStyle w:val="Paragraphe"/>
        <w:spacing w:line="280" w:lineRule="exact"/>
        <w:rPr>
          <w:lang w:val="en-CA"/>
        </w:rPr>
      </w:pPr>
      <w:r w:rsidRPr="00CF4E9F">
        <w:rPr>
          <w:lang w:val="en-CA"/>
        </w:rPr>
        <w:t>As previously stated,</w:t>
      </w:r>
      <w:r w:rsidRPr="00CF4E9F">
        <w:rPr>
          <w:rStyle w:val="Appelnotedebasdep"/>
          <w:lang w:val="en-CA"/>
        </w:rPr>
        <w:footnoteReference w:id="317"/>
      </w:r>
      <w:r w:rsidRPr="00CF4E9F">
        <w:rPr>
          <w:lang w:val="en-CA"/>
        </w:rPr>
        <w:t xml:space="preserve"> the Court is of the view that the objective of </w:t>
      </w:r>
      <w:r w:rsidR="00CD3E2E">
        <w:rPr>
          <w:lang w:val="en-CA"/>
        </w:rPr>
        <w:t>s. </w:t>
      </w:r>
      <w:r w:rsidRPr="00CF4E9F">
        <w:rPr>
          <w:lang w:val="en-CA"/>
        </w:rPr>
        <w:t>636</w:t>
      </w:r>
      <w:r w:rsidR="0030762F" w:rsidRPr="0030762F">
        <w:rPr>
          <w:i/>
          <w:lang w:val="en-CA"/>
        </w:rPr>
        <w:t> HSC</w:t>
      </w:r>
      <w:r w:rsidRPr="00CF4E9F">
        <w:rPr>
          <w:lang w:val="en-CA"/>
        </w:rPr>
        <w:t xml:space="preserve"> is pressing and substantial and that the means chosen by the legislature, that is, to authorize traffic stops with no required grounds, is rationally connected to that objective.</w:t>
      </w:r>
      <w:r w:rsidR="0043013D" w:rsidRPr="00CF4E9F">
        <w:rPr>
          <w:lang w:val="en-CA"/>
        </w:rPr>
        <w:t xml:space="preserve"> </w:t>
      </w:r>
      <w:r w:rsidRPr="00CF4E9F">
        <w:rPr>
          <w:lang w:val="en-CA"/>
        </w:rPr>
        <w:t xml:space="preserve">The minimal impairment test, however, has not been </w:t>
      </w:r>
      <w:r w:rsidR="00EF63A8">
        <w:rPr>
          <w:lang w:val="en-CA"/>
        </w:rPr>
        <w:t>met</w:t>
      </w:r>
      <w:r w:rsidRPr="00CF4E9F">
        <w:rPr>
          <w:lang w:val="en-CA"/>
        </w:rPr>
        <w:t>.</w:t>
      </w:r>
    </w:p>
    <w:p w14:paraId="2611BA9B" w14:textId="0316659E" w:rsidR="001A3EF8" w:rsidRPr="00CF4E9F" w:rsidRDefault="00FD3240" w:rsidP="00F5188D">
      <w:pPr>
        <w:pStyle w:val="Paragraphe"/>
        <w:spacing w:line="280" w:lineRule="exact"/>
        <w:rPr>
          <w:lang w:val="en-CA"/>
        </w:rPr>
      </w:pPr>
      <w:r w:rsidRPr="00A83CFE">
        <w:rPr>
          <w:lang w:val="en-CA"/>
        </w:rPr>
        <w:t>While this last conclusion</w:t>
      </w:r>
      <w:r w:rsidRPr="00CF4E9F">
        <w:rPr>
          <w:lang w:val="en-CA"/>
        </w:rPr>
        <w:t xml:space="preserve"> </w:t>
      </w:r>
      <w:r w:rsidR="00045DAD">
        <w:rPr>
          <w:lang w:val="en-CA"/>
        </w:rPr>
        <w:t>suffices</w:t>
      </w:r>
      <w:r w:rsidR="00A83CFE">
        <w:rPr>
          <w:lang w:val="en-CA"/>
        </w:rPr>
        <w:t xml:space="preserve"> to reject</w:t>
      </w:r>
      <w:r w:rsidR="00A83CFE" w:rsidRPr="00CF4E9F">
        <w:rPr>
          <w:lang w:val="en-CA"/>
        </w:rPr>
        <w:t xml:space="preserve"> </w:t>
      </w:r>
      <w:r w:rsidRPr="00CF4E9F">
        <w:rPr>
          <w:lang w:val="en-CA"/>
        </w:rPr>
        <w:t xml:space="preserve">the defence of justification, </w:t>
      </w:r>
      <w:r w:rsidR="00FD6FE9">
        <w:rPr>
          <w:lang w:val="en-CA"/>
        </w:rPr>
        <w:t xml:space="preserve">a few comments are warranted here regarding the </w:t>
      </w:r>
      <w:r w:rsidRPr="00CF4E9F">
        <w:rPr>
          <w:lang w:val="en-CA"/>
        </w:rPr>
        <w:t xml:space="preserve">balancing </w:t>
      </w:r>
      <w:r w:rsidR="00FD6FE9">
        <w:rPr>
          <w:lang w:val="en-CA"/>
        </w:rPr>
        <w:t xml:space="preserve">of </w:t>
      </w:r>
      <w:r w:rsidRPr="00CF4E9F">
        <w:rPr>
          <w:lang w:val="en-CA"/>
        </w:rPr>
        <w:t xml:space="preserve">salutary </w:t>
      </w:r>
      <w:r w:rsidR="00FD6FE9">
        <w:rPr>
          <w:lang w:val="en-CA"/>
        </w:rPr>
        <w:t xml:space="preserve">benefits </w:t>
      </w:r>
      <w:r w:rsidRPr="00CF4E9F">
        <w:rPr>
          <w:lang w:val="en-CA"/>
        </w:rPr>
        <w:t xml:space="preserve">and deleterious effects </w:t>
      </w:r>
      <w:r w:rsidR="00FD6FE9">
        <w:rPr>
          <w:lang w:val="en-CA"/>
        </w:rPr>
        <w:t>in connection with</w:t>
      </w:r>
      <w:r w:rsidRPr="00CF4E9F">
        <w:rPr>
          <w:lang w:val="en-CA"/>
        </w:rPr>
        <w:t xml:space="preserve"> the infringement of the right to equality.</w:t>
      </w:r>
    </w:p>
    <w:p w14:paraId="11308AA7" w14:textId="3EF7F74C" w:rsidR="001A3EF8" w:rsidRPr="00CF4E9F" w:rsidRDefault="009D6E8E" w:rsidP="00F5188D">
      <w:pPr>
        <w:pStyle w:val="Paragraphe"/>
        <w:spacing w:line="280" w:lineRule="exact"/>
        <w:rPr>
          <w:lang w:val="en-CA"/>
        </w:rPr>
      </w:pPr>
      <w:bookmarkStart w:id="120" w:name="_Ref178071153"/>
      <w:r w:rsidRPr="00CF4E9F">
        <w:rPr>
          <w:lang w:val="en-CA"/>
        </w:rPr>
        <w:t>Section 636</w:t>
      </w:r>
      <w:r w:rsidR="0030762F" w:rsidRPr="0030762F">
        <w:rPr>
          <w:i/>
          <w:lang w:val="en-CA"/>
        </w:rPr>
        <w:t> HSC</w:t>
      </w:r>
      <w:r w:rsidRPr="00CF4E9F">
        <w:rPr>
          <w:lang w:val="en-CA"/>
        </w:rPr>
        <w:t xml:space="preserve"> has </w:t>
      </w:r>
      <w:r w:rsidR="009278CF">
        <w:rPr>
          <w:lang w:val="en-CA"/>
        </w:rPr>
        <w:t xml:space="preserve">numerous and </w:t>
      </w:r>
      <w:r w:rsidR="00FD3240" w:rsidRPr="00CF4E9F">
        <w:rPr>
          <w:lang w:val="en-CA"/>
        </w:rPr>
        <w:t xml:space="preserve">serious </w:t>
      </w:r>
      <w:r w:rsidR="009278CF">
        <w:rPr>
          <w:lang w:val="en-CA"/>
        </w:rPr>
        <w:t xml:space="preserve">negative </w:t>
      </w:r>
      <w:r w:rsidR="00FD3240" w:rsidRPr="00CF4E9F">
        <w:rPr>
          <w:lang w:val="en-CA"/>
        </w:rPr>
        <w:t>effects</w:t>
      </w:r>
      <w:r w:rsidRPr="00CF4E9F">
        <w:rPr>
          <w:lang w:val="en-CA"/>
        </w:rPr>
        <w:t xml:space="preserve"> </w:t>
      </w:r>
      <w:r w:rsidR="00FD3240" w:rsidRPr="00CF4E9F">
        <w:rPr>
          <w:lang w:val="en-CA"/>
        </w:rPr>
        <w:t xml:space="preserve">on Black drivers (physical and mental health issues, feeling of exclusion, marginalization and </w:t>
      </w:r>
      <w:r w:rsidR="00B9322F" w:rsidRPr="00CF4E9F">
        <w:rPr>
          <w:rFonts w:cs="Arial"/>
          <w:lang w:val="en-CA"/>
        </w:rPr>
        <w:t>[</w:t>
      </w:r>
      <w:r w:rsidR="00B9322F" w:rsidRPr="00CF4E9F">
        <w:rPr>
          <w:rFonts w:cs="Arial"/>
          <w:smallCaps/>
          <w:lang w:val="en-CA"/>
        </w:rPr>
        <w:t>translation</w:t>
      </w:r>
      <w:r w:rsidR="00B9322F" w:rsidRPr="00CF4E9F">
        <w:rPr>
          <w:rFonts w:cs="Arial"/>
          <w:lang w:val="en-CA"/>
        </w:rPr>
        <w:t>]</w:t>
      </w:r>
      <w:r w:rsidR="00F8437E">
        <w:rPr>
          <w:lang w:val="en-CA"/>
        </w:rPr>
        <w:t> </w:t>
      </w:r>
      <w:r w:rsidR="00FD3240" w:rsidRPr="00CF4E9F">
        <w:rPr>
          <w:lang w:val="en-CA"/>
        </w:rPr>
        <w:t>“overjudicia</w:t>
      </w:r>
      <w:r w:rsidR="008E53D5" w:rsidRPr="00CF4E9F">
        <w:rPr>
          <w:lang w:val="en-CA"/>
        </w:rPr>
        <w:t>l</w:t>
      </w:r>
      <w:r w:rsidR="00FD3240" w:rsidRPr="00CF4E9F">
        <w:rPr>
          <w:lang w:val="en-CA"/>
        </w:rPr>
        <w:t xml:space="preserve">ization”, loss of trust in the police and </w:t>
      </w:r>
      <w:r w:rsidR="007D5A02" w:rsidRPr="00CF4E9F">
        <w:rPr>
          <w:lang w:val="en-CA"/>
        </w:rPr>
        <w:t xml:space="preserve">the </w:t>
      </w:r>
      <w:r w:rsidR="00FD3240" w:rsidRPr="00CF4E9F">
        <w:rPr>
          <w:lang w:val="en-CA"/>
        </w:rPr>
        <w:t>justice system, civic disengagement, perpetuation and reinforcement of racist stereotypes, etc.).</w:t>
      </w:r>
      <w:r w:rsidR="00FD3240" w:rsidRPr="00CF4E9F">
        <w:rPr>
          <w:vertAlign w:val="superscript"/>
          <w:lang w:val="en-CA"/>
        </w:rPr>
        <w:footnoteReference w:id="318"/>
      </w:r>
      <w:r w:rsidR="0043013D" w:rsidRPr="00CF4E9F">
        <w:rPr>
          <w:lang w:val="en-CA"/>
        </w:rPr>
        <w:t xml:space="preserve"> </w:t>
      </w:r>
      <w:bookmarkEnd w:id="120"/>
      <w:r w:rsidR="00FD3240" w:rsidRPr="00CF4E9F">
        <w:rPr>
          <w:lang w:val="en-CA"/>
        </w:rPr>
        <w:t xml:space="preserve">These effects </w:t>
      </w:r>
      <w:r w:rsidR="009278CF">
        <w:rPr>
          <w:lang w:val="en-CA"/>
        </w:rPr>
        <w:t>can</w:t>
      </w:r>
      <w:r w:rsidR="00FD3240" w:rsidRPr="00CF4E9F">
        <w:rPr>
          <w:lang w:val="en-CA"/>
        </w:rPr>
        <w:t>not be taken lightly.</w:t>
      </w:r>
    </w:p>
    <w:p w14:paraId="0E43E0F1" w14:textId="48D3B1E3" w:rsidR="001A3EF8" w:rsidRPr="00CF4E9F" w:rsidRDefault="00FD3240" w:rsidP="00F5188D">
      <w:pPr>
        <w:pStyle w:val="Paragraphe"/>
        <w:spacing w:line="280" w:lineRule="exact"/>
        <w:rPr>
          <w:lang w:val="en-CA"/>
        </w:rPr>
      </w:pPr>
      <w:r w:rsidRPr="00CF4E9F">
        <w:rPr>
          <w:lang w:val="en-CA"/>
        </w:rPr>
        <w:t xml:space="preserve">Racial profiling and </w:t>
      </w:r>
      <w:r w:rsidR="00FD6FE9">
        <w:rPr>
          <w:lang w:val="en-CA"/>
        </w:rPr>
        <w:t xml:space="preserve">the </w:t>
      </w:r>
      <w:r w:rsidRPr="00CF4E9F">
        <w:rPr>
          <w:lang w:val="en-CA"/>
        </w:rPr>
        <w:t xml:space="preserve">“over-street checking” of Black </w:t>
      </w:r>
      <w:r w:rsidR="00FD6FE9">
        <w:rPr>
          <w:lang w:val="en-CA"/>
        </w:rPr>
        <w:t xml:space="preserve">persons </w:t>
      </w:r>
      <w:r w:rsidRPr="00CF4E9F">
        <w:rPr>
          <w:lang w:val="en-CA"/>
        </w:rPr>
        <w:t>also have a negative impact on society as a whole.</w:t>
      </w:r>
      <w:r w:rsidR="0043013D" w:rsidRPr="00CF4E9F">
        <w:rPr>
          <w:lang w:val="en-CA"/>
        </w:rPr>
        <w:t xml:space="preserve"> </w:t>
      </w:r>
      <w:r w:rsidRPr="00CF4E9F">
        <w:rPr>
          <w:lang w:val="en-CA"/>
        </w:rPr>
        <w:t xml:space="preserve">Studies show that there is a “clear </w:t>
      </w:r>
      <w:r w:rsidR="00EE7656" w:rsidRPr="00CF4E9F">
        <w:rPr>
          <w:lang w:val="en-CA"/>
        </w:rPr>
        <w:t>link</w:t>
      </w:r>
      <w:r w:rsidRPr="00CF4E9F">
        <w:rPr>
          <w:lang w:val="en-CA"/>
        </w:rPr>
        <w:t xml:space="preserve">” between public </w:t>
      </w:r>
      <w:r w:rsidR="00EE7656" w:rsidRPr="00CF4E9F">
        <w:rPr>
          <w:lang w:val="en-CA"/>
        </w:rPr>
        <w:t>confidence</w:t>
      </w:r>
      <w:r w:rsidRPr="00CF4E9F">
        <w:rPr>
          <w:lang w:val="en-CA"/>
        </w:rPr>
        <w:t xml:space="preserve"> in polic</w:t>
      </w:r>
      <w:r w:rsidR="00EE7656" w:rsidRPr="00CF4E9F">
        <w:rPr>
          <w:lang w:val="en-CA"/>
        </w:rPr>
        <w:t>ing</w:t>
      </w:r>
      <w:r w:rsidRPr="00CF4E9F">
        <w:rPr>
          <w:lang w:val="en-CA"/>
        </w:rPr>
        <w:t xml:space="preserve"> and public safety.</w:t>
      </w:r>
      <w:r w:rsidR="0043013D" w:rsidRPr="00CF4E9F">
        <w:rPr>
          <w:lang w:val="en-CA"/>
        </w:rPr>
        <w:t xml:space="preserve"> </w:t>
      </w:r>
      <w:r w:rsidR="00EE7656" w:rsidRPr="00CF4E9F">
        <w:rPr>
          <w:lang w:val="en-CA"/>
        </w:rPr>
        <w:t>For example, t</w:t>
      </w:r>
      <w:r w:rsidRPr="00CF4E9F">
        <w:rPr>
          <w:lang w:val="en-CA"/>
        </w:rPr>
        <w:t>he OHRC notes that “</w:t>
      </w:r>
      <w:r w:rsidRPr="00AC15E6">
        <w:rPr>
          <w:lang w:val="en-CA"/>
        </w:rPr>
        <w:t>[</w:t>
      </w:r>
      <w:r w:rsidRPr="00CF4E9F">
        <w:rPr>
          <w:lang w:val="en-CA"/>
        </w:rPr>
        <w:t>p</w:t>
      </w:r>
      <w:r w:rsidRPr="00AC15E6">
        <w:rPr>
          <w:lang w:val="en-CA"/>
        </w:rPr>
        <w:t>]</w:t>
      </w:r>
      <w:r w:rsidRPr="00CF4E9F">
        <w:rPr>
          <w:lang w:val="en-CA"/>
        </w:rPr>
        <w:t>eople are less likely to cooperate with police investigations and provide testimony in court if they have negative perceptions of police”.</w:t>
      </w:r>
      <w:r w:rsidRPr="00AC15E6">
        <w:rPr>
          <w:vertAlign w:val="superscript"/>
          <w:lang w:val="en-CA"/>
        </w:rPr>
        <w:footnoteReference w:id="319"/>
      </w:r>
      <w:r w:rsidR="0043013D" w:rsidRPr="005D252E">
        <w:rPr>
          <w:vertAlign w:val="superscript"/>
          <w:lang w:val="en-CA"/>
        </w:rPr>
        <w:t xml:space="preserve"> </w:t>
      </w:r>
      <w:r w:rsidRPr="00CF4E9F">
        <w:rPr>
          <w:lang w:val="en-CA"/>
        </w:rPr>
        <w:t>In another report, the OHRC observed that one of the social costs of racial profiling is increased mistrust of our institutions:</w:t>
      </w:r>
      <w:r w:rsidR="0043013D" w:rsidRPr="00CF4E9F">
        <w:rPr>
          <w:lang w:val="en-CA"/>
        </w:rPr>
        <w:t xml:space="preserve"> </w:t>
      </w:r>
    </w:p>
    <w:p w14:paraId="5D1940D6" w14:textId="45B44619" w:rsidR="001A3EF8" w:rsidRPr="00CF4E9F" w:rsidRDefault="003514B8" w:rsidP="003404D3">
      <w:pPr>
        <w:pStyle w:val="Citationenretrait"/>
        <w:rPr>
          <w:lang w:val="en-CA"/>
        </w:rPr>
      </w:pPr>
      <w:r w:rsidRPr="00CF4E9F">
        <w:rPr>
          <w:lang w:val="en-CA"/>
        </w:rPr>
        <w:t>A social cost of racial profiling that is closely related to “compromising our future” is the significant mistrust that develops, both in children and adults, of our key institutions</w:t>
      </w:r>
      <w:r w:rsidR="0043013D" w:rsidRPr="00CF4E9F">
        <w:rPr>
          <w:lang w:val="en-CA"/>
        </w:rPr>
        <w:t>.</w:t>
      </w:r>
    </w:p>
    <w:p w14:paraId="2CD92FEE" w14:textId="4E228AEF" w:rsidR="001A3EF8" w:rsidRPr="00CF4E9F" w:rsidRDefault="002B33B6" w:rsidP="002B33B6">
      <w:pPr>
        <w:pStyle w:val="Citationenretrait"/>
        <w:spacing w:before="0" w:line="240" w:lineRule="auto"/>
        <w:rPr>
          <w:lang w:val="en-CA"/>
        </w:rPr>
      </w:pPr>
      <w:r w:rsidRPr="00CF4E9F">
        <w:rPr>
          <w:lang w:val="en-CA"/>
        </w:rPr>
        <w:t xml:space="preserve">No one would argue that public faith in institutions and systems such as the criminal justice system, law enforcement, customs and border control and the education system is a cornerstone to democracy, order and a harmonious society. All of these institutions require citizens to work positively and cooperatively with them to maximize their success in fulfilling their mandate. For example, a strong justice system requires citizens to have confidence in the fairness of the process; community policing relies on individuals trusting the police and being wiling to work with them </w:t>
      </w:r>
      <w:r w:rsidR="004F368F">
        <w:rPr>
          <w:lang w:val="en-CA"/>
        </w:rPr>
        <w:t>[</w:t>
      </w:r>
      <w:r w:rsidR="004F368F" w:rsidRPr="00CF4E9F">
        <w:rPr>
          <w:lang w:val="en-CA"/>
        </w:rPr>
        <w:t>…</w:t>
      </w:r>
      <w:r w:rsidR="004F368F">
        <w:rPr>
          <w:lang w:val="en-CA"/>
        </w:rPr>
        <w:t>]</w:t>
      </w:r>
      <w:r w:rsidR="0043013D" w:rsidRPr="00CF4E9F">
        <w:rPr>
          <w:lang w:val="en-CA"/>
        </w:rPr>
        <w:t>.</w:t>
      </w:r>
      <w:r w:rsidR="0043013D" w:rsidRPr="00CF4E9F">
        <w:rPr>
          <w:szCs w:val="18"/>
          <w:vertAlign w:val="superscript"/>
          <w:lang w:val="en-CA"/>
        </w:rPr>
        <w:footnoteReference w:id="320"/>
      </w:r>
    </w:p>
    <w:p w14:paraId="23107D4D" w14:textId="54F3A9F1" w:rsidR="001A3EF8" w:rsidRPr="00CF4E9F" w:rsidRDefault="00FD3240" w:rsidP="00F5188D">
      <w:pPr>
        <w:pStyle w:val="Paragraphe"/>
        <w:spacing w:line="280" w:lineRule="exact"/>
        <w:rPr>
          <w:lang w:val="en-CA"/>
        </w:rPr>
      </w:pPr>
      <w:r w:rsidRPr="00CF4E9F">
        <w:rPr>
          <w:lang w:val="en-CA"/>
        </w:rPr>
        <w:lastRenderedPageBreak/>
        <w:t xml:space="preserve">Expert Mulone </w:t>
      </w:r>
      <w:r w:rsidR="005D252E">
        <w:rPr>
          <w:lang w:val="en-CA"/>
        </w:rPr>
        <w:t xml:space="preserve">explained </w:t>
      </w:r>
      <w:r w:rsidRPr="00CF4E9F">
        <w:rPr>
          <w:lang w:val="en-CA"/>
        </w:rPr>
        <w:t>that the population’s view that the police lack legitimacy can also result in increased violent crime (in certain cases).</w:t>
      </w:r>
      <w:r w:rsidRPr="00CF4E9F">
        <w:rPr>
          <w:vertAlign w:val="superscript"/>
          <w:lang w:val="en-CA"/>
        </w:rPr>
        <w:footnoteReference w:id="321"/>
      </w:r>
    </w:p>
    <w:p w14:paraId="4AA3C385" w14:textId="70EF3E58" w:rsidR="001A3EF8" w:rsidRPr="00CF4E9F" w:rsidRDefault="009278CF" w:rsidP="00F5188D">
      <w:pPr>
        <w:pStyle w:val="Paragraphe"/>
        <w:spacing w:line="280" w:lineRule="exact"/>
        <w:rPr>
          <w:lang w:val="en-CA"/>
        </w:rPr>
      </w:pPr>
      <w:r>
        <w:rPr>
          <w:lang w:val="en-CA"/>
        </w:rPr>
        <w:t>By</w:t>
      </w:r>
      <w:r w:rsidR="00FD3240" w:rsidRPr="00CF4E9F">
        <w:rPr>
          <w:lang w:val="en-CA"/>
        </w:rPr>
        <w:t xml:space="preserve"> contrast, the salutary effects of </w:t>
      </w:r>
      <w:r w:rsidR="00CD3E2E">
        <w:rPr>
          <w:lang w:val="en-CA"/>
        </w:rPr>
        <w:t>s. </w:t>
      </w:r>
      <w:r w:rsidR="00FD3240" w:rsidRPr="00CF4E9F">
        <w:rPr>
          <w:lang w:val="en-CA"/>
        </w:rPr>
        <w:t>636</w:t>
      </w:r>
      <w:r w:rsidR="0030762F" w:rsidRPr="0030762F">
        <w:rPr>
          <w:i/>
          <w:lang w:val="en-CA"/>
        </w:rPr>
        <w:t> HSC</w:t>
      </w:r>
      <w:r w:rsidR="00FD3240" w:rsidRPr="00CF4E9F">
        <w:rPr>
          <w:lang w:val="en-CA"/>
        </w:rPr>
        <w:t xml:space="preserve"> </w:t>
      </w:r>
      <w:r w:rsidR="00E670B5">
        <w:rPr>
          <w:lang w:val="en-CA"/>
        </w:rPr>
        <w:t>a</w:t>
      </w:r>
      <w:r w:rsidR="00FD6FE9">
        <w:rPr>
          <w:lang w:val="en-CA"/>
        </w:rPr>
        <w:t>re</w:t>
      </w:r>
      <w:r w:rsidR="00E670B5">
        <w:rPr>
          <w:lang w:val="en-CA"/>
        </w:rPr>
        <w:t xml:space="preserve"> </w:t>
      </w:r>
      <w:r w:rsidR="00FD3240" w:rsidRPr="00CF4E9F">
        <w:rPr>
          <w:lang w:val="en-CA"/>
        </w:rPr>
        <w:t>rather tenuous.</w:t>
      </w:r>
      <w:r w:rsidR="00F360B7" w:rsidRPr="00CF4E9F">
        <w:rPr>
          <w:lang w:val="en-CA"/>
        </w:rPr>
        <w:t xml:space="preserve"> </w:t>
      </w:r>
      <w:r w:rsidR="00FD3240" w:rsidRPr="00CF4E9F">
        <w:rPr>
          <w:lang w:val="en-CA"/>
        </w:rPr>
        <w:t xml:space="preserve">As </w:t>
      </w:r>
      <w:r w:rsidR="001B08A7" w:rsidRPr="00CF4E9F">
        <w:rPr>
          <w:lang w:val="en-CA"/>
        </w:rPr>
        <w:t xml:space="preserve">previously </w:t>
      </w:r>
      <w:r w:rsidR="00FD3240" w:rsidRPr="00CF4E9F">
        <w:rPr>
          <w:lang w:val="en-CA"/>
        </w:rPr>
        <w:t>stated,</w:t>
      </w:r>
      <w:r w:rsidR="00FD3240" w:rsidRPr="00CF4E9F">
        <w:rPr>
          <w:rStyle w:val="Appelnotedebasdep"/>
          <w:lang w:val="en-CA"/>
        </w:rPr>
        <w:footnoteReference w:id="322"/>
      </w:r>
      <w:r w:rsidR="00FD3240" w:rsidRPr="00CF4E9F">
        <w:rPr>
          <w:lang w:val="en-CA"/>
        </w:rPr>
        <w:t xml:space="preserve"> the record as constituted </w:t>
      </w:r>
      <w:r w:rsidR="001B08A7" w:rsidRPr="00CF4E9F">
        <w:rPr>
          <w:lang w:val="en-CA"/>
        </w:rPr>
        <w:t xml:space="preserve">contains </w:t>
      </w:r>
      <w:r w:rsidR="00FD3240" w:rsidRPr="00CF4E9F">
        <w:rPr>
          <w:u w:val="single"/>
          <w:lang w:val="en-CA"/>
        </w:rPr>
        <w:t>no</w:t>
      </w:r>
      <w:r w:rsidR="00FD3240" w:rsidRPr="00CF4E9F">
        <w:rPr>
          <w:lang w:val="en-CA"/>
        </w:rPr>
        <w:t xml:space="preserve"> evidence to conclude that traffic stops with no required grounds are an effective means of ensuring highway safety.</w:t>
      </w:r>
      <w:r w:rsidR="00FD3240" w:rsidRPr="00CF4E9F">
        <w:rPr>
          <w:vertAlign w:val="superscript"/>
          <w:lang w:val="en-CA"/>
        </w:rPr>
        <w:footnoteReference w:id="323"/>
      </w:r>
      <w:r w:rsidR="0043013D" w:rsidRPr="00CF4E9F">
        <w:rPr>
          <w:lang w:val="en-CA"/>
        </w:rPr>
        <w:t xml:space="preserve"> </w:t>
      </w:r>
      <w:r w:rsidR="00FD3240" w:rsidRPr="00CF4E9F">
        <w:rPr>
          <w:lang w:val="en-CA"/>
        </w:rPr>
        <w:t>Yet</w:t>
      </w:r>
      <w:r w:rsidR="00E670B5">
        <w:rPr>
          <w:lang w:val="en-CA"/>
        </w:rPr>
        <w:t>,</w:t>
      </w:r>
      <w:r w:rsidR="00FD3240" w:rsidRPr="00CF4E9F">
        <w:rPr>
          <w:lang w:val="en-CA"/>
        </w:rPr>
        <w:t xml:space="preserve"> the AGQ had the burden of proving “the good which the law may achieve in relation to the seriousness of the infringement”.</w:t>
      </w:r>
      <w:r w:rsidR="00FD3240" w:rsidRPr="00CF4E9F">
        <w:rPr>
          <w:vertAlign w:val="superscript"/>
          <w:lang w:val="en-CA"/>
        </w:rPr>
        <w:footnoteReference w:id="324"/>
      </w:r>
    </w:p>
    <w:p w14:paraId="0790A946" w14:textId="6E1C7F7D" w:rsidR="001A3EF8" w:rsidRPr="00CF4E9F" w:rsidRDefault="001B08A7" w:rsidP="00F5188D">
      <w:pPr>
        <w:pStyle w:val="Paragraphe"/>
        <w:spacing w:line="280" w:lineRule="exact"/>
        <w:rPr>
          <w:lang w:val="en-CA"/>
        </w:rPr>
      </w:pPr>
      <w:r w:rsidRPr="00CF4E9F">
        <w:rPr>
          <w:lang w:val="en-CA"/>
        </w:rPr>
        <w:t>It is true that</w:t>
      </w:r>
      <w:r w:rsidR="00FD3240" w:rsidRPr="00CF4E9F">
        <w:rPr>
          <w:lang w:val="en-CA"/>
        </w:rPr>
        <w:t xml:space="preserve"> from a strictly logical </w:t>
      </w:r>
      <w:r w:rsidR="009278CF">
        <w:rPr>
          <w:lang w:val="en-CA"/>
        </w:rPr>
        <w:t>point of view</w:t>
      </w:r>
      <w:r w:rsidR="00FD3240" w:rsidRPr="00CF4E9F">
        <w:rPr>
          <w:lang w:val="en-CA"/>
        </w:rPr>
        <w:t xml:space="preserve">, stopping a single drunk or unlicensed driver </w:t>
      </w:r>
      <w:r w:rsidR="009278CF">
        <w:rPr>
          <w:lang w:val="en-CA"/>
        </w:rPr>
        <w:t xml:space="preserve">is liable </w:t>
      </w:r>
      <w:r w:rsidR="00FD3240" w:rsidRPr="00CF4E9F">
        <w:rPr>
          <w:lang w:val="en-CA"/>
        </w:rPr>
        <w:t xml:space="preserve">to </w:t>
      </w:r>
      <w:r w:rsidR="009278CF">
        <w:rPr>
          <w:lang w:val="en-CA"/>
        </w:rPr>
        <w:t xml:space="preserve">contribute to </w:t>
      </w:r>
      <w:r w:rsidR="00FD3240" w:rsidRPr="00CF4E9F">
        <w:rPr>
          <w:lang w:val="en-CA"/>
        </w:rPr>
        <w:t>highway safety by</w:t>
      </w:r>
      <w:r w:rsidR="00E670B5">
        <w:rPr>
          <w:lang w:val="en-CA"/>
        </w:rPr>
        <w:t xml:space="preserve"> </w:t>
      </w:r>
      <w:r w:rsidR="00FD3240" w:rsidRPr="00CF4E9F">
        <w:rPr>
          <w:lang w:val="en-CA"/>
        </w:rPr>
        <w:t>“removing” this driver from the road.</w:t>
      </w:r>
      <w:r w:rsidR="0043013D" w:rsidRPr="00CF4E9F">
        <w:rPr>
          <w:lang w:val="en-CA"/>
        </w:rPr>
        <w:t xml:space="preserve"> </w:t>
      </w:r>
      <w:r w:rsidR="00450DA2">
        <w:rPr>
          <w:lang w:val="en-CA"/>
        </w:rPr>
        <w:t>But l</w:t>
      </w:r>
      <w:r w:rsidR="00FD3240" w:rsidRPr="00CF4E9F">
        <w:rPr>
          <w:color w:val="000000"/>
          <w:spacing w:val="-3"/>
          <w:lang w:val="en-CA"/>
        </w:rPr>
        <w:t>ike Sopinka</w:t>
      </w:r>
      <w:r w:rsidR="006C0601" w:rsidRPr="00CF4E9F">
        <w:rPr>
          <w:color w:val="000000"/>
          <w:spacing w:val="-3"/>
          <w:lang w:val="en-CA"/>
        </w:rPr>
        <w:t>,</w:t>
      </w:r>
      <w:r w:rsidR="00FD3240" w:rsidRPr="00CF4E9F">
        <w:rPr>
          <w:color w:val="000000"/>
          <w:spacing w:val="-3"/>
          <w:lang w:val="en-CA"/>
        </w:rPr>
        <w:t xml:space="preserve"> J., dissenting in </w:t>
      </w:r>
      <w:r w:rsidR="00FD3240" w:rsidRPr="00CF4E9F">
        <w:rPr>
          <w:i/>
          <w:color w:val="000000"/>
          <w:spacing w:val="-3"/>
          <w:lang w:val="en-CA"/>
        </w:rPr>
        <w:t>Ladouceur</w:t>
      </w:r>
      <w:r w:rsidR="00FD3240" w:rsidRPr="00CF4E9F">
        <w:rPr>
          <w:color w:val="000000"/>
          <w:spacing w:val="-3"/>
          <w:lang w:val="en-CA"/>
        </w:rPr>
        <w:t>, the Court wonders “</w:t>
      </w:r>
      <w:r w:rsidR="00CF7FA6">
        <w:rPr>
          <w:rFonts w:cs="Arial"/>
          <w:color w:val="000000"/>
          <w:spacing w:val="-3"/>
          <w:lang w:val="en-CA"/>
        </w:rPr>
        <w:t>[</w:t>
      </w:r>
      <w:r w:rsidR="00FD3240" w:rsidRPr="00CF4E9F">
        <w:rPr>
          <w:color w:val="000000"/>
          <w:spacing w:val="-3"/>
          <w:lang w:val="en-CA"/>
        </w:rPr>
        <w:t>h</w:t>
      </w:r>
      <w:r w:rsidR="00CF7FA6">
        <w:rPr>
          <w:rFonts w:cs="Arial"/>
          <w:color w:val="000000"/>
          <w:spacing w:val="-3"/>
          <w:lang w:val="en-CA"/>
        </w:rPr>
        <w:t>]</w:t>
      </w:r>
      <w:r w:rsidR="00FD3240" w:rsidRPr="00CF4E9F">
        <w:rPr>
          <w:color w:val="000000"/>
          <w:spacing w:val="-3"/>
          <w:lang w:val="en-CA"/>
        </w:rPr>
        <w:t>ow many innocent</w:t>
      </w:r>
      <w:r w:rsidR="00CF7FA6">
        <w:rPr>
          <w:color w:val="000000"/>
          <w:spacing w:val="-3"/>
          <w:lang w:val="en-CA"/>
        </w:rPr>
        <w:t xml:space="preserve"> people</w:t>
      </w:r>
      <w:r w:rsidR="00FD3240" w:rsidRPr="00CF4E9F">
        <w:rPr>
          <w:color w:val="000000"/>
          <w:spacing w:val="-3"/>
          <w:lang w:val="en-CA"/>
        </w:rPr>
        <w:t xml:space="preserve">” will have to be stopped to “catch” one </w:t>
      </w:r>
      <w:r w:rsidR="00FD6FE9">
        <w:rPr>
          <w:color w:val="000000"/>
          <w:spacing w:val="-3"/>
          <w:lang w:val="en-CA"/>
        </w:rPr>
        <w:t xml:space="preserve">delinquent </w:t>
      </w:r>
      <w:r w:rsidR="00FD3240" w:rsidRPr="00CF4E9F">
        <w:rPr>
          <w:color w:val="000000"/>
          <w:spacing w:val="-3"/>
          <w:lang w:val="en-CA"/>
        </w:rPr>
        <w:t>driver.</w:t>
      </w:r>
      <w:r w:rsidR="00FD3240" w:rsidRPr="00CF4E9F">
        <w:rPr>
          <w:color w:val="000000"/>
          <w:spacing w:val="-3"/>
          <w:vertAlign w:val="superscript"/>
          <w:lang w:val="en-CA"/>
        </w:rPr>
        <w:footnoteReference w:id="325"/>
      </w:r>
      <w:r w:rsidR="0043013D" w:rsidRPr="00CF4E9F">
        <w:rPr>
          <w:color w:val="000000"/>
          <w:spacing w:val="-3"/>
          <w:lang w:val="en-CA"/>
        </w:rPr>
        <w:t xml:space="preserve"> </w:t>
      </w:r>
      <w:r w:rsidR="00FD3240" w:rsidRPr="00CF4E9F">
        <w:rPr>
          <w:color w:val="000000"/>
          <w:spacing w:val="-3"/>
          <w:lang w:val="en-CA"/>
        </w:rPr>
        <w:t>The AGQ provided no information in this regard.</w:t>
      </w:r>
    </w:p>
    <w:p w14:paraId="53BAA1BE" w14:textId="0863083B" w:rsidR="001A3EF8" w:rsidRPr="00CF4E9F" w:rsidRDefault="003537D1" w:rsidP="00F5188D">
      <w:pPr>
        <w:pStyle w:val="Paragraphe"/>
        <w:spacing w:line="280" w:lineRule="exact"/>
        <w:rPr>
          <w:lang w:val="en-CA"/>
        </w:rPr>
      </w:pPr>
      <w:r w:rsidRPr="00CF4E9F">
        <w:rPr>
          <w:lang w:val="en-CA"/>
        </w:rPr>
        <w:t>Lyne Vézina, t</w:t>
      </w:r>
      <w:r w:rsidR="00FD3240" w:rsidRPr="00CF4E9F">
        <w:rPr>
          <w:lang w:val="en-CA"/>
        </w:rPr>
        <w:t xml:space="preserve">he director general of highway </w:t>
      </w:r>
      <w:r w:rsidRPr="00CF4E9F">
        <w:rPr>
          <w:lang w:val="en-CA"/>
        </w:rPr>
        <w:t xml:space="preserve">safety </w:t>
      </w:r>
      <w:r w:rsidR="00FD3240" w:rsidRPr="00CF4E9F">
        <w:rPr>
          <w:lang w:val="en-CA"/>
        </w:rPr>
        <w:t xml:space="preserve">research and development </w:t>
      </w:r>
      <w:r w:rsidRPr="00CF4E9F">
        <w:rPr>
          <w:lang w:val="en-CA"/>
        </w:rPr>
        <w:t>at</w:t>
      </w:r>
      <w:r w:rsidR="00FD3240" w:rsidRPr="00CF4E9F">
        <w:rPr>
          <w:lang w:val="en-CA"/>
        </w:rPr>
        <w:t xml:space="preserve"> the Société de l’assurance automobile du Québec (“SAAQ”), admit</w:t>
      </w:r>
      <w:r w:rsidR="00937569">
        <w:rPr>
          <w:lang w:val="en-CA"/>
        </w:rPr>
        <w:t>ted</w:t>
      </w:r>
      <w:r w:rsidR="00FD3240" w:rsidRPr="00CF4E9F">
        <w:rPr>
          <w:lang w:val="en-CA"/>
        </w:rPr>
        <w:t xml:space="preserve"> that she does not know if there are any statistics or studies showing a </w:t>
      </w:r>
      <w:r w:rsidRPr="00CF4E9F">
        <w:rPr>
          <w:lang w:val="en-CA"/>
        </w:rPr>
        <w:t xml:space="preserve">link </w:t>
      </w:r>
      <w:r w:rsidR="00FD3240" w:rsidRPr="00CF4E9F">
        <w:rPr>
          <w:lang w:val="en-CA"/>
        </w:rPr>
        <w:t>between traffic stops with no required grounds and improved highway safety.</w:t>
      </w:r>
      <w:r w:rsidR="00FD3240" w:rsidRPr="00CF4E9F">
        <w:rPr>
          <w:vertAlign w:val="superscript"/>
          <w:lang w:val="en-CA"/>
        </w:rPr>
        <w:footnoteReference w:id="326"/>
      </w:r>
      <w:r w:rsidR="0043013D" w:rsidRPr="00CF4E9F">
        <w:rPr>
          <w:lang w:val="en-CA"/>
        </w:rPr>
        <w:t xml:space="preserve"> </w:t>
      </w:r>
    </w:p>
    <w:p w14:paraId="39DBE285" w14:textId="77C41C43" w:rsidR="001A3EF8" w:rsidRPr="00CF4E9F" w:rsidRDefault="00A3678C" w:rsidP="00F5188D">
      <w:pPr>
        <w:pStyle w:val="Paragraphe"/>
        <w:spacing w:line="280" w:lineRule="exact"/>
        <w:rPr>
          <w:lang w:val="en-CA"/>
        </w:rPr>
      </w:pPr>
      <w:r w:rsidRPr="00CF4E9F">
        <w:rPr>
          <w:color w:val="000000"/>
          <w:spacing w:val="-3"/>
          <w:lang w:val="en-CA"/>
        </w:rPr>
        <w:t xml:space="preserve">The record also contains no evidence on the deterrent effect of traffic stops with no required grounds (compared to stops at </w:t>
      </w:r>
      <w:r w:rsidR="003537D1" w:rsidRPr="00CF4E9F">
        <w:rPr>
          <w:color w:val="000000"/>
          <w:spacing w:val="-3"/>
          <w:lang w:val="en-CA"/>
        </w:rPr>
        <w:t xml:space="preserve">a fixed </w:t>
      </w:r>
      <w:r w:rsidRPr="00CF4E9F">
        <w:rPr>
          <w:color w:val="000000"/>
          <w:spacing w:val="-3"/>
          <w:lang w:val="en-CA"/>
        </w:rPr>
        <w:t>location during roadblocks or other organized programs).</w:t>
      </w:r>
    </w:p>
    <w:p w14:paraId="438DE2C1" w14:textId="19BC148D" w:rsidR="001A3EF8" w:rsidRPr="00CF4E9F" w:rsidRDefault="00A3678C" w:rsidP="00F5188D">
      <w:pPr>
        <w:pStyle w:val="Paragraphe"/>
        <w:spacing w:line="280" w:lineRule="exact"/>
        <w:rPr>
          <w:lang w:val="en-CA"/>
        </w:rPr>
      </w:pPr>
      <w:r w:rsidRPr="00CF4E9F">
        <w:rPr>
          <w:lang w:val="en-CA"/>
        </w:rPr>
        <w:t>Douglas Beirness, the AGQ’s expert, concede</w:t>
      </w:r>
      <w:r w:rsidR="00937569">
        <w:rPr>
          <w:lang w:val="en-CA"/>
        </w:rPr>
        <w:t>d</w:t>
      </w:r>
      <w:r w:rsidRPr="00CF4E9F">
        <w:rPr>
          <w:lang w:val="en-CA"/>
        </w:rPr>
        <w:t xml:space="preserve"> that he knows of no study showing </w:t>
      </w:r>
      <w:r w:rsidR="003537D1" w:rsidRPr="00CF4E9F">
        <w:rPr>
          <w:lang w:val="en-CA"/>
        </w:rPr>
        <w:t>the deterrent effect of</w:t>
      </w:r>
      <w:r w:rsidRPr="00CF4E9F">
        <w:rPr>
          <w:lang w:val="en-CA"/>
        </w:rPr>
        <w:t xml:space="preserve"> traffic stops with no required grounds.</w:t>
      </w:r>
      <w:r w:rsidRPr="00CF4E9F">
        <w:rPr>
          <w:vertAlign w:val="superscript"/>
          <w:lang w:val="en-CA"/>
        </w:rPr>
        <w:footnoteReference w:id="327"/>
      </w:r>
      <w:r w:rsidR="0043013D" w:rsidRPr="00CF4E9F">
        <w:rPr>
          <w:lang w:val="en-CA"/>
        </w:rPr>
        <w:t xml:space="preserve"> </w:t>
      </w:r>
      <w:r w:rsidRPr="00CF4E9F">
        <w:rPr>
          <w:lang w:val="en-CA"/>
        </w:rPr>
        <w:t xml:space="preserve">In fact, </w:t>
      </w:r>
      <w:r w:rsidR="003537D1" w:rsidRPr="00CF4E9F">
        <w:rPr>
          <w:lang w:val="en-CA"/>
        </w:rPr>
        <w:t>in his view</w:t>
      </w:r>
      <w:r w:rsidRPr="00CF4E9F">
        <w:rPr>
          <w:lang w:val="en-CA"/>
        </w:rPr>
        <w:t xml:space="preserve">, stops at a fixed </w:t>
      </w:r>
      <w:r w:rsidR="003537D1" w:rsidRPr="00CF4E9F">
        <w:rPr>
          <w:lang w:val="en-CA"/>
        </w:rPr>
        <w:t xml:space="preserve">location </w:t>
      </w:r>
      <w:r w:rsidRPr="00CF4E9F">
        <w:rPr>
          <w:lang w:val="en-CA"/>
        </w:rPr>
        <w:t>during roadblocks or other types of organized programs (visible, known and/or public</w:t>
      </w:r>
      <w:r w:rsidR="003537D1" w:rsidRPr="00CF4E9F">
        <w:rPr>
          <w:lang w:val="en-CA"/>
        </w:rPr>
        <w:t>ized</w:t>
      </w:r>
      <w:r w:rsidR="005E3D7D" w:rsidRPr="00077E55">
        <w:rPr>
          <w:lang w:val="en-CA"/>
        </w:rPr>
        <w:t xml:space="preserve"> </w:t>
      </w:r>
      <w:r w:rsidR="005E3D7D" w:rsidRPr="005E3D7D">
        <w:rPr>
          <w:lang w:val="en-CA"/>
        </w:rPr>
        <w:t>operations</w:t>
      </w:r>
      <w:r w:rsidRPr="00CF4E9F">
        <w:rPr>
          <w:lang w:val="en-CA"/>
        </w:rPr>
        <w:t>) achieve the objective of general deterrence:</w:t>
      </w:r>
      <w:r w:rsidR="0043013D" w:rsidRPr="00CF4E9F">
        <w:rPr>
          <w:lang w:val="en-CA"/>
        </w:rPr>
        <w:t xml:space="preserve"> </w:t>
      </w:r>
    </w:p>
    <w:p w14:paraId="3540E92B" w14:textId="77777777" w:rsidR="001A3EF8" w:rsidRPr="00CF4E9F" w:rsidRDefault="0043013D" w:rsidP="00E46235">
      <w:pPr>
        <w:pStyle w:val="Citationenretrait"/>
        <w:rPr>
          <w:lang w:val="en-CA"/>
        </w:rPr>
      </w:pPr>
      <w:r w:rsidRPr="00CF4E9F">
        <w:rPr>
          <w:lang w:val="en-CA"/>
        </w:rPr>
        <w:t>The value of the large checkpoint program is that you’re having an impact on drivers who are not stopped as well as those who are. The random patrol point is only having an impact on those drivers who are stopped.</w:t>
      </w:r>
      <w:r w:rsidRPr="00CF4E9F">
        <w:rPr>
          <w:szCs w:val="18"/>
          <w:vertAlign w:val="superscript"/>
          <w:lang w:val="en-CA"/>
        </w:rPr>
        <w:footnoteReference w:id="328"/>
      </w:r>
    </w:p>
    <w:p w14:paraId="2466CC9B" w14:textId="1E4A8C59" w:rsidR="003D04B6" w:rsidRPr="00CF4E9F" w:rsidRDefault="00A3678C" w:rsidP="00862D97">
      <w:pPr>
        <w:pStyle w:val="Paragraphe"/>
        <w:spacing w:line="280" w:lineRule="exact"/>
        <w:rPr>
          <w:lang w:val="en-CA"/>
        </w:rPr>
      </w:pPr>
      <w:r w:rsidRPr="00CF4E9F">
        <w:rPr>
          <w:lang w:val="en-CA"/>
        </w:rPr>
        <w:lastRenderedPageBreak/>
        <w:t xml:space="preserve">Ms. Vézina </w:t>
      </w:r>
      <w:r w:rsidR="006647C6" w:rsidRPr="00CF4E9F">
        <w:rPr>
          <w:lang w:val="en-CA"/>
        </w:rPr>
        <w:t xml:space="preserve">also stressed </w:t>
      </w:r>
      <w:r w:rsidRPr="00CF4E9F">
        <w:rPr>
          <w:lang w:val="en-CA"/>
        </w:rPr>
        <w:t>the importance of deterrence, primarily by increasing the perceived risk of being stopped (and the probability of actually being stopped).</w:t>
      </w:r>
      <w:r w:rsidR="0043013D" w:rsidRPr="00CF4E9F">
        <w:rPr>
          <w:lang w:val="en-CA"/>
        </w:rPr>
        <w:t xml:space="preserve"> </w:t>
      </w:r>
      <w:r w:rsidRPr="00CF4E9F">
        <w:rPr>
          <w:lang w:val="en-CA"/>
        </w:rPr>
        <w:t xml:space="preserve">She </w:t>
      </w:r>
      <w:r w:rsidR="009038EF">
        <w:rPr>
          <w:lang w:val="en-CA"/>
        </w:rPr>
        <w:t>highlighted</w:t>
      </w:r>
      <w:r w:rsidR="009038EF" w:rsidRPr="00CF4E9F">
        <w:rPr>
          <w:lang w:val="en-CA"/>
        </w:rPr>
        <w:t xml:space="preserve"> </w:t>
      </w:r>
      <w:r w:rsidRPr="00CF4E9F">
        <w:rPr>
          <w:lang w:val="en-CA"/>
        </w:rPr>
        <w:t xml:space="preserve">the importance of </w:t>
      </w:r>
      <w:r w:rsidR="006647C6" w:rsidRPr="00CF4E9F">
        <w:rPr>
          <w:rFonts w:cs="Arial"/>
          <w:lang w:val="en-CA"/>
        </w:rPr>
        <w:t>[</w:t>
      </w:r>
      <w:r w:rsidR="006647C6" w:rsidRPr="00CF4E9F">
        <w:rPr>
          <w:rFonts w:cs="Arial"/>
          <w:smallCaps/>
          <w:lang w:val="en-CA"/>
        </w:rPr>
        <w:t>translation</w:t>
      </w:r>
      <w:r w:rsidR="006647C6" w:rsidRPr="00CF4E9F">
        <w:rPr>
          <w:rFonts w:cs="Arial"/>
          <w:lang w:val="en-CA"/>
        </w:rPr>
        <w:t>]</w:t>
      </w:r>
      <w:r w:rsidR="00F8437E">
        <w:rPr>
          <w:lang w:val="en-CA"/>
        </w:rPr>
        <w:t> </w:t>
      </w:r>
      <w:r w:rsidRPr="00CF4E9F">
        <w:rPr>
          <w:lang w:val="en-CA"/>
        </w:rPr>
        <w:t xml:space="preserve">“concerted national operations with </w:t>
      </w:r>
      <w:r w:rsidR="006647C6" w:rsidRPr="00CF4E9F">
        <w:rPr>
          <w:lang w:val="en-CA"/>
        </w:rPr>
        <w:t>law enforcement</w:t>
      </w:r>
      <w:r w:rsidRPr="00CF4E9F">
        <w:rPr>
          <w:lang w:val="en-CA"/>
        </w:rPr>
        <w:t>”</w:t>
      </w:r>
      <w:r w:rsidRPr="00CF4E9F">
        <w:rPr>
          <w:vertAlign w:val="superscript"/>
          <w:lang w:val="en-CA"/>
        </w:rPr>
        <w:footnoteReference w:id="329"/>
      </w:r>
      <w:r w:rsidRPr="00CF4E9F">
        <w:rPr>
          <w:lang w:val="en-CA"/>
        </w:rPr>
        <w:t xml:space="preserve"> and the </w:t>
      </w:r>
      <w:r w:rsidR="006647C6" w:rsidRPr="00CF4E9F">
        <w:rPr>
          <w:rFonts w:cs="Arial"/>
          <w:lang w:val="en-CA"/>
        </w:rPr>
        <w:t>[</w:t>
      </w:r>
      <w:r w:rsidR="006647C6" w:rsidRPr="00CF4E9F">
        <w:rPr>
          <w:rFonts w:cs="Arial"/>
          <w:smallCaps/>
          <w:lang w:val="en-CA"/>
        </w:rPr>
        <w:t>translation</w:t>
      </w:r>
      <w:r w:rsidR="006647C6" w:rsidRPr="00CF4E9F">
        <w:rPr>
          <w:rFonts w:cs="Arial"/>
          <w:lang w:val="en-CA"/>
        </w:rPr>
        <w:t>]</w:t>
      </w:r>
      <w:r w:rsidR="00F8437E">
        <w:rPr>
          <w:lang w:val="en-CA"/>
        </w:rPr>
        <w:t> </w:t>
      </w:r>
      <w:r w:rsidRPr="00CF4E9F">
        <w:rPr>
          <w:lang w:val="en-CA"/>
        </w:rPr>
        <w:t xml:space="preserve">“visibility” of </w:t>
      </w:r>
      <w:r w:rsidR="006647C6" w:rsidRPr="00CF4E9F">
        <w:rPr>
          <w:lang w:val="en-CA"/>
        </w:rPr>
        <w:t xml:space="preserve">traffic </w:t>
      </w:r>
      <w:r w:rsidRPr="00CF4E9F">
        <w:rPr>
          <w:lang w:val="en-CA"/>
        </w:rPr>
        <w:t>stops in this regard.</w:t>
      </w:r>
      <w:r w:rsidRPr="00CF4E9F">
        <w:rPr>
          <w:vertAlign w:val="superscript"/>
          <w:lang w:val="en-CA"/>
        </w:rPr>
        <w:footnoteReference w:id="330"/>
      </w:r>
      <w:r w:rsidR="00A72B5A" w:rsidRPr="00CF4E9F">
        <w:rPr>
          <w:lang w:val="en-CA"/>
        </w:rPr>
        <w:t xml:space="preserve"> </w:t>
      </w:r>
      <w:r w:rsidRPr="00CF4E9F">
        <w:rPr>
          <w:lang w:val="en-CA"/>
        </w:rPr>
        <w:t xml:space="preserve">Her testimony therefore also tends to confirm the effectiveness of roadblocks and other types of organized </w:t>
      </w:r>
      <w:r w:rsidR="006647C6" w:rsidRPr="00CF4E9F">
        <w:rPr>
          <w:lang w:val="en-CA"/>
        </w:rPr>
        <w:t>stops</w:t>
      </w:r>
      <w:r w:rsidRPr="00CF4E9F">
        <w:rPr>
          <w:lang w:val="en-CA"/>
        </w:rPr>
        <w:t xml:space="preserve"> without </w:t>
      </w:r>
      <w:r w:rsidR="00DC36D7">
        <w:rPr>
          <w:lang w:val="en-CA"/>
        </w:rPr>
        <w:t xml:space="preserve">in any way </w:t>
      </w:r>
      <w:r w:rsidRPr="00CF4E9F">
        <w:rPr>
          <w:lang w:val="en-CA"/>
        </w:rPr>
        <w:t>leading to the conclusion that traffic stops with no required grounds have the same salutary effects.</w:t>
      </w:r>
      <w:bookmarkStart w:id="121" w:name="_Ref177748127"/>
    </w:p>
    <w:p w14:paraId="61FC6800" w14:textId="450CD0C2" w:rsidR="001A3EF8" w:rsidRPr="00CF4E9F" w:rsidRDefault="00A3678C" w:rsidP="00862D97">
      <w:pPr>
        <w:pStyle w:val="Paragraphe"/>
        <w:spacing w:line="280" w:lineRule="exact"/>
        <w:rPr>
          <w:lang w:val="en-CA"/>
        </w:rPr>
      </w:pPr>
      <w:bookmarkStart w:id="122" w:name="_Ref180158645"/>
      <w:r w:rsidRPr="00CF4E9F">
        <w:rPr>
          <w:lang w:val="en-CA"/>
        </w:rPr>
        <w:t>Ultimately, the Court cannot conclude that the “benefits” of traffic stops with no required grounds outweigh their deleterious effects.</w:t>
      </w:r>
      <w:r w:rsidR="0043013D" w:rsidRPr="00CF4E9F">
        <w:rPr>
          <w:lang w:val="en-CA"/>
        </w:rPr>
        <w:t xml:space="preserve"> </w:t>
      </w:r>
      <w:r w:rsidRPr="00CF4E9F">
        <w:rPr>
          <w:lang w:val="en-CA"/>
        </w:rPr>
        <w:t xml:space="preserve">The infringement of </w:t>
      </w:r>
      <w:r w:rsidR="00CD3E2E">
        <w:rPr>
          <w:lang w:val="en-CA"/>
        </w:rPr>
        <w:t>s. </w:t>
      </w:r>
      <w:bookmarkEnd w:id="121"/>
      <w:bookmarkEnd w:id="122"/>
      <w:r w:rsidRPr="00CF4E9F">
        <w:rPr>
          <w:lang w:val="en-CA"/>
        </w:rPr>
        <w:t xml:space="preserve">15(1) of the </w:t>
      </w:r>
      <w:r w:rsidRPr="00CF4E9F">
        <w:rPr>
          <w:i/>
          <w:lang w:val="en-CA"/>
        </w:rPr>
        <w:t>Charter</w:t>
      </w:r>
      <w:r w:rsidRPr="00CF4E9F">
        <w:rPr>
          <w:lang w:val="en-CA"/>
        </w:rPr>
        <w:t xml:space="preserve"> is therefore not justified under </w:t>
      </w:r>
      <w:r w:rsidR="00162E51">
        <w:rPr>
          <w:lang w:val="en-CA"/>
        </w:rPr>
        <w:t>s. </w:t>
      </w:r>
      <w:r w:rsidRPr="00CF4E9F">
        <w:rPr>
          <w:lang w:val="en-CA"/>
        </w:rPr>
        <w:t>1.</w:t>
      </w:r>
    </w:p>
    <w:p w14:paraId="27FFBD05" w14:textId="56F382F2" w:rsidR="005A1C52" w:rsidRPr="00CF4E9F" w:rsidRDefault="00A3678C" w:rsidP="002E559C">
      <w:pPr>
        <w:pStyle w:val="Titre2"/>
        <w:rPr>
          <w:lang w:val="en-CA"/>
        </w:rPr>
      </w:pPr>
      <w:bookmarkStart w:id="123" w:name="_Toc201822897"/>
      <w:r w:rsidRPr="00CF4E9F">
        <w:rPr>
          <w:lang w:val="en-CA"/>
        </w:rPr>
        <w:t>F.</w:t>
      </w:r>
      <w:r w:rsidR="00053353" w:rsidRPr="00CF4E9F">
        <w:rPr>
          <w:lang w:val="en-CA"/>
        </w:rPr>
        <w:tab/>
      </w:r>
      <w:r w:rsidRPr="00CF4E9F">
        <w:rPr>
          <w:lang w:val="en-CA"/>
        </w:rPr>
        <w:t>Did the judge err as to the remedy?</w:t>
      </w:r>
      <w:bookmarkEnd w:id="123"/>
    </w:p>
    <w:p w14:paraId="718A5B62" w14:textId="1F62D318" w:rsidR="005A1C52" w:rsidRPr="00CF4E9F" w:rsidRDefault="00B31467" w:rsidP="00F5188D">
      <w:pPr>
        <w:pStyle w:val="Paragraphe"/>
        <w:spacing w:line="280" w:lineRule="exact"/>
        <w:rPr>
          <w:lang w:val="en-CA"/>
        </w:rPr>
      </w:pPr>
      <w:r w:rsidRPr="00CF4E9F">
        <w:rPr>
          <w:lang w:val="en-CA"/>
        </w:rPr>
        <w:t xml:space="preserve">As the Court has concluded that racial profiling </w:t>
      </w:r>
      <w:r w:rsidR="008671D8">
        <w:rPr>
          <w:lang w:val="en-CA"/>
        </w:rPr>
        <w:t xml:space="preserve">results </w:t>
      </w:r>
      <w:r w:rsidRPr="00CF4E9F">
        <w:rPr>
          <w:lang w:val="en-CA"/>
        </w:rPr>
        <w:t xml:space="preserve">from </w:t>
      </w:r>
      <w:r w:rsidR="00162E51">
        <w:rPr>
          <w:lang w:val="en-CA"/>
        </w:rPr>
        <w:t>s. </w:t>
      </w:r>
      <w:r w:rsidRPr="00CF4E9F">
        <w:rPr>
          <w:lang w:val="en-CA"/>
        </w:rPr>
        <w:t>636</w:t>
      </w:r>
      <w:r w:rsidR="0030762F" w:rsidRPr="0030762F">
        <w:rPr>
          <w:i/>
          <w:lang w:val="en-CA"/>
        </w:rPr>
        <w:t> HSC</w:t>
      </w:r>
      <w:r w:rsidRPr="00CF4E9F">
        <w:rPr>
          <w:lang w:val="en-CA"/>
        </w:rPr>
        <w:t xml:space="preserve">, that </w:t>
      </w:r>
      <w:r w:rsidR="00AF6EB7" w:rsidRPr="00CF4E9F">
        <w:rPr>
          <w:lang w:val="en-CA"/>
        </w:rPr>
        <w:t xml:space="preserve">this </w:t>
      </w:r>
      <w:r w:rsidRPr="00CF4E9F">
        <w:rPr>
          <w:lang w:val="en-CA"/>
        </w:rPr>
        <w:t xml:space="preserve">provision infringes the rights guaranteed by </w:t>
      </w:r>
      <w:r w:rsidR="00A933FD">
        <w:rPr>
          <w:lang w:val="en-CA"/>
        </w:rPr>
        <w:t>ss. </w:t>
      </w:r>
      <w:r w:rsidRPr="00CF4E9F">
        <w:rPr>
          <w:lang w:val="en-CA"/>
        </w:rPr>
        <w:t xml:space="preserve">9 and 15 of the </w:t>
      </w:r>
      <w:r w:rsidRPr="00CF4E9F">
        <w:rPr>
          <w:i/>
          <w:lang w:val="en-CA"/>
        </w:rPr>
        <w:t>Charter</w:t>
      </w:r>
      <w:r w:rsidR="00AF6EB7" w:rsidRPr="00CF4E9F">
        <w:rPr>
          <w:i/>
          <w:lang w:val="en-CA"/>
        </w:rPr>
        <w:t>,</w:t>
      </w:r>
      <w:r w:rsidRPr="00CF4E9F">
        <w:rPr>
          <w:lang w:val="en-CA"/>
        </w:rPr>
        <w:t xml:space="preserve"> and that this infringement </w:t>
      </w:r>
      <w:r w:rsidR="008671D8">
        <w:rPr>
          <w:lang w:val="en-CA"/>
        </w:rPr>
        <w:t xml:space="preserve">is </w:t>
      </w:r>
      <w:r w:rsidRPr="00CF4E9F">
        <w:rPr>
          <w:lang w:val="en-CA"/>
        </w:rPr>
        <w:t>not</w:t>
      </w:r>
      <w:r w:rsidR="00FE53E7">
        <w:rPr>
          <w:lang w:val="en-CA"/>
        </w:rPr>
        <w:t xml:space="preserve"> </w:t>
      </w:r>
      <w:r w:rsidRPr="00CF4E9F">
        <w:rPr>
          <w:lang w:val="en-CA"/>
        </w:rPr>
        <w:t xml:space="preserve">justified under </w:t>
      </w:r>
      <w:r w:rsidR="00162E51">
        <w:rPr>
          <w:lang w:val="en-CA"/>
        </w:rPr>
        <w:t>s. </w:t>
      </w:r>
      <w:r w:rsidRPr="00CF4E9F">
        <w:rPr>
          <w:lang w:val="en-CA"/>
        </w:rPr>
        <w:t xml:space="preserve">1, the appropriate remedy is a declaration of invalidity based on </w:t>
      </w:r>
      <w:r w:rsidR="00CD3E2E">
        <w:rPr>
          <w:lang w:val="en-CA"/>
        </w:rPr>
        <w:t>s. </w:t>
      </w:r>
      <w:r w:rsidRPr="00CF4E9F">
        <w:rPr>
          <w:lang w:val="en-CA"/>
        </w:rPr>
        <w:t xml:space="preserve">52(1) of the </w:t>
      </w:r>
      <w:r w:rsidRPr="00CF4E9F">
        <w:rPr>
          <w:i/>
          <w:lang w:val="en-CA"/>
        </w:rPr>
        <w:t>Constitution Act, 1982</w:t>
      </w:r>
      <w:r w:rsidRPr="00CF4E9F">
        <w:rPr>
          <w:lang w:val="en-CA"/>
        </w:rPr>
        <w:t>.</w:t>
      </w:r>
    </w:p>
    <w:p w14:paraId="63E0BDE7" w14:textId="16495C01" w:rsidR="005A1C52" w:rsidRPr="00CF4E9F" w:rsidRDefault="00B31467" w:rsidP="00F5188D">
      <w:pPr>
        <w:pStyle w:val="Paragraphe"/>
        <w:spacing w:line="280" w:lineRule="exact"/>
        <w:rPr>
          <w:lang w:val="en-CA"/>
        </w:rPr>
      </w:pPr>
      <w:r w:rsidRPr="00CF4E9F">
        <w:rPr>
          <w:lang w:val="en-CA"/>
        </w:rPr>
        <w:t>The judge suspended the declaration of invalidity for a period of six months.</w:t>
      </w:r>
      <w:r w:rsidR="0043013D" w:rsidRPr="00CF4E9F">
        <w:rPr>
          <w:lang w:val="en-CA"/>
        </w:rPr>
        <w:t xml:space="preserve"> </w:t>
      </w:r>
      <w:r w:rsidRPr="00CF4E9F">
        <w:rPr>
          <w:lang w:val="en-CA"/>
        </w:rPr>
        <w:t>The AGQ asks the Court to extend the suspension to 12 months.</w:t>
      </w:r>
      <w:r w:rsidR="0043013D" w:rsidRPr="00CF4E9F">
        <w:rPr>
          <w:lang w:val="en-CA"/>
        </w:rPr>
        <w:t xml:space="preserve"> </w:t>
      </w:r>
      <w:r w:rsidRPr="00CF4E9F">
        <w:rPr>
          <w:lang w:val="en-CA"/>
        </w:rPr>
        <w:t xml:space="preserve">The AGQ </w:t>
      </w:r>
      <w:r w:rsidR="008671D8">
        <w:rPr>
          <w:lang w:val="en-CA"/>
        </w:rPr>
        <w:t>has</w:t>
      </w:r>
      <w:r w:rsidRPr="00CF4E9F">
        <w:rPr>
          <w:lang w:val="en-CA"/>
        </w:rPr>
        <w:t xml:space="preserve">, however, </w:t>
      </w:r>
      <w:r w:rsidR="008671D8">
        <w:rPr>
          <w:lang w:val="en-CA"/>
        </w:rPr>
        <w:t>submitted no grounds that</w:t>
      </w:r>
      <w:r w:rsidRPr="00CF4E9F">
        <w:rPr>
          <w:lang w:val="en-CA"/>
        </w:rPr>
        <w:t xml:space="preserve"> justify intervening </w:t>
      </w:r>
      <w:r w:rsidR="008671D8">
        <w:rPr>
          <w:lang w:val="en-CA"/>
        </w:rPr>
        <w:t>i</w:t>
      </w:r>
      <w:r w:rsidRPr="00CF4E9F">
        <w:rPr>
          <w:lang w:val="en-CA"/>
        </w:rPr>
        <w:t xml:space="preserve">n this </w:t>
      </w:r>
      <w:r w:rsidR="008671D8">
        <w:rPr>
          <w:lang w:val="en-CA"/>
        </w:rPr>
        <w:t>respect</w:t>
      </w:r>
      <w:r w:rsidRPr="00CF4E9F">
        <w:rPr>
          <w:lang w:val="en-CA"/>
        </w:rPr>
        <w:t xml:space="preserve">. </w:t>
      </w:r>
    </w:p>
    <w:p w14:paraId="3FE23823" w14:textId="1228A550" w:rsidR="005A1C52" w:rsidRPr="00CF4E9F" w:rsidRDefault="0066080A" w:rsidP="00F5188D">
      <w:pPr>
        <w:pStyle w:val="Paragraphe"/>
        <w:spacing w:line="280" w:lineRule="exact"/>
        <w:rPr>
          <w:lang w:val="en-CA"/>
        </w:rPr>
      </w:pPr>
      <w:r w:rsidRPr="00CF4E9F">
        <w:rPr>
          <w:lang w:val="en-CA"/>
        </w:rPr>
        <w:t>Suspending the declaration of invalidity of a law is an “extraordinary step”,</w:t>
      </w:r>
      <w:r w:rsidRPr="00CF4E9F">
        <w:rPr>
          <w:vertAlign w:val="superscript"/>
          <w:lang w:val="en-CA"/>
        </w:rPr>
        <w:footnoteReference w:id="331"/>
      </w:r>
      <w:r w:rsidRPr="00CF4E9F">
        <w:rPr>
          <w:lang w:val="en-CA"/>
        </w:rPr>
        <w:t xml:space="preserve"> since its effect is to maintain a law that infringes the </w:t>
      </w:r>
      <w:r w:rsidRPr="00CF4E9F">
        <w:rPr>
          <w:i/>
          <w:lang w:val="en-CA"/>
        </w:rPr>
        <w:t>Charter</w:t>
      </w:r>
      <w:r w:rsidRPr="00CF4E9F">
        <w:rPr>
          <w:lang w:val="en-CA"/>
        </w:rPr>
        <w:t>.</w:t>
      </w:r>
      <w:r w:rsidR="0043013D" w:rsidRPr="00CF4E9F">
        <w:rPr>
          <w:lang w:val="en-CA"/>
        </w:rPr>
        <w:t xml:space="preserve"> </w:t>
      </w:r>
      <w:r w:rsidRPr="00CF4E9F">
        <w:rPr>
          <w:lang w:val="en-CA"/>
        </w:rPr>
        <w:t>This suspension should be granted only rarely, that is, when the government</w:t>
      </w:r>
      <w:r w:rsidRPr="00CF4E9F">
        <w:rPr>
          <w:vertAlign w:val="superscript"/>
          <w:lang w:val="en-CA"/>
        </w:rPr>
        <w:footnoteReference w:id="332"/>
      </w:r>
      <w:r w:rsidRPr="00CF4E9F">
        <w:rPr>
          <w:lang w:val="en-CA"/>
        </w:rPr>
        <w:t xml:space="preserve"> can demonstrate that “an identifiable public interest, grounded in the Constitution, is endangered by an immediate declaration to such an extent that it outweighs the harmful impacts of delaying the declaration’s effect”.</w:t>
      </w:r>
      <w:r w:rsidRPr="00CF4E9F">
        <w:rPr>
          <w:vertAlign w:val="superscript"/>
          <w:lang w:val="en-CA"/>
        </w:rPr>
        <w:footnoteReference w:id="333"/>
      </w:r>
      <w:r w:rsidR="0043013D" w:rsidRPr="00CF4E9F">
        <w:rPr>
          <w:lang w:val="en-CA"/>
        </w:rPr>
        <w:t xml:space="preserve"> </w:t>
      </w:r>
      <w:r w:rsidRPr="00CF4E9F">
        <w:rPr>
          <w:lang w:val="en-CA"/>
        </w:rPr>
        <w:t>The government must also “demonstrate the appropriate length of time”.</w:t>
      </w:r>
      <w:r w:rsidRPr="00CF4E9F">
        <w:rPr>
          <w:vertAlign w:val="superscript"/>
          <w:lang w:val="en-CA"/>
        </w:rPr>
        <w:footnoteReference w:id="334"/>
      </w:r>
      <w:r w:rsidR="0043013D" w:rsidRPr="00CF4E9F">
        <w:rPr>
          <w:lang w:val="en-CA"/>
        </w:rPr>
        <w:t xml:space="preserve"> </w:t>
      </w:r>
    </w:p>
    <w:p w14:paraId="64905BCC" w14:textId="59F7CFD8" w:rsidR="005A1C52" w:rsidRPr="00CF4E9F" w:rsidRDefault="00343A3C" w:rsidP="00F5188D">
      <w:pPr>
        <w:pStyle w:val="Paragraphe"/>
        <w:spacing w:line="280" w:lineRule="exact"/>
        <w:rPr>
          <w:lang w:val="en-CA"/>
        </w:rPr>
      </w:pPr>
      <w:r>
        <w:rPr>
          <w:lang w:val="en-CA"/>
        </w:rPr>
        <w:t>Extending</w:t>
      </w:r>
      <w:r w:rsidR="0066080A" w:rsidRPr="00CF4E9F">
        <w:rPr>
          <w:lang w:val="en-CA"/>
        </w:rPr>
        <w:t xml:space="preserve"> </w:t>
      </w:r>
      <w:r>
        <w:rPr>
          <w:lang w:val="en-CA"/>
        </w:rPr>
        <w:t>the</w:t>
      </w:r>
      <w:r w:rsidR="0066080A" w:rsidRPr="00CF4E9F">
        <w:rPr>
          <w:lang w:val="en-CA"/>
        </w:rPr>
        <w:t xml:space="preserve"> suspension of a declaration of constitutional invalidity “is even more problematic”</w:t>
      </w:r>
      <w:r w:rsidR="0066080A" w:rsidRPr="00CF4E9F">
        <w:rPr>
          <w:vertAlign w:val="superscript"/>
          <w:lang w:val="en-CA"/>
        </w:rPr>
        <w:footnoteReference w:id="335"/>
      </w:r>
      <w:r w:rsidR="0066080A" w:rsidRPr="00CF4E9F">
        <w:rPr>
          <w:lang w:val="en-CA"/>
        </w:rPr>
        <w:t xml:space="preserve"> because it further perpetuates the </w:t>
      </w:r>
      <w:r w:rsidR="0066080A" w:rsidRPr="00CF4E9F">
        <w:rPr>
          <w:i/>
          <w:lang w:val="en-CA"/>
        </w:rPr>
        <w:t>Charter</w:t>
      </w:r>
      <w:r w:rsidR="0066080A" w:rsidRPr="00CF4E9F">
        <w:rPr>
          <w:lang w:val="en-CA"/>
        </w:rPr>
        <w:t xml:space="preserve"> breach.</w:t>
      </w:r>
      <w:r w:rsidR="0043013D" w:rsidRPr="00CF4E9F">
        <w:rPr>
          <w:lang w:val="en-CA"/>
        </w:rPr>
        <w:t xml:space="preserve"> </w:t>
      </w:r>
      <w:r w:rsidR="0066080A" w:rsidRPr="00CF4E9F">
        <w:rPr>
          <w:lang w:val="en-CA"/>
        </w:rPr>
        <w:t>A government that seeks such an extension must show “extraordinary circumstances”</w:t>
      </w:r>
      <w:r w:rsidR="0066080A" w:rsidRPr="00CF4E9F">
        <w:rPr>
          <w:vertAlign w:val="superscript"/>
          <w:lang w:val="en-CA"/>
        </w:rPr>
        <w:footnoteReference w:id="336"/>
      </w:r>
      <w:r w:rsidR="0066080A" w:rsidRPr="00CF4E9F">
        <w:rPr>
          <w:lang w:val="en-CA"/>
        </w:rPr>
        <w:t xml:space="preserve"> or </w:t>
      </w:r>
      <w:r w:rsidR="00DB2259">
        <w:rPr>
          <w:lang w:val="en-CA"/>
        </w:rPr>
        <w:t xml:space="preserve">a </w:t>
      </w:r>
      <w:r w:rsidR="0066080A" w:rsidRPr="00CF4E9F">
        <w:rPr>
          <w:lang w:val="en-CA"/>
        </w:rPr>
        <w:t>“compelling reason”</w:t>
      </w:r>
      <w:r w:rsidR="0066080A" w:rsidRPr="00CF4E9F">
        <w:rPr>
          <w:vertAlign w:val="superscript"/>
          <w:lang w:val="en-CA"/>
        </w:rPr>
        <w:footnoteReference w:id="337"/>
      </w:r>
      <w:r w:rsidR="0066080A" w:rsidRPr="00CF4E9F">
        <w:rPr>
          <w:lang w:val="en-CA"/>
        </w:rPr>
        <w:t xml:space="preserve"> to justify an extension</w:t>
      </w:r>
      <w:r w:rsidR="00187257" w:rsidRPr="00CF4E9F">
        <w:rPr>
          <w:lang w:val="en-CA"/>
        </w:rPr>
        <w:t xml:space="preserve">. </w:t>
      </w:r>
      <w:r w:rsidR="0066080A" w:rsidRPr="00CF4E9F">
        <w:rPr>
          <w:lang w:val="en-CA"/>
        </w:rPr>
        <w:t>Here, the AGQ has not discharged this burden.</w:t>
      </w:r>
    </w:p>
    <w:p w14:paraId="111E8D16" w14:textId="6F765846" w:rsidR="005A1C52" w:rsidRPr="00CF4E9F" w:rsidRDefault="0066080A" w:rsidP="008B5F6E">
      <w:pPr>
        <w:pStyle w:val="Paragraphe"/>
        <w:spacing w:before="80" w:line="280" w:lineRule="exact"/>
        <w:rPr>
          <w:lang w:val="en-CA"/>
        </w:rPr>
      </w:pPr>
      <w:r w:rsidRPr="00CF4E9F">
        <w:rPr>
          <w:lang w:val="en-CA"/>
        </w:rPr>
        <w:lastRenderedPageBreak/>
        <w:t>Therefore, this ground of appeal also fails.</w:t>
      </w:r>
    </w:p>
    <w:p w14:paraId="42A720E2" w14:textId="3C76134F" w:rsidR="008E714F" w:rsidRPr="00CF4E9F" w:rsidRDefault="0066080A" w:rsidP="008B5F6E">
      <w:pPr>
        <w:pStyle w:val="Titre1"/>
        <w:spacing w:before="80" w:line="280" w:lineRule="exact"/>
        <w:rPr>
          <w:lang w:val="en-CA"/>
        </w:rPr>
      </w:pPr>
      <w:bookmarkStart w:id="124" w:name="_Toc201822898"/>
      <w:r w:rsidRPr="00CF4E9F">
        <w:rPr>
          <w:lang w:val="en-CA"/>
        </w:rPr>
        <w:t>VI.</w:t>
      </w:r>
      <w:r w:rsidR="00540EDB" w:rsidRPr="00CF4E9F">
        <w:rPr>
          <w:lang w:val="en-CA"/>
        </w:rPr>
        <w:tab/>
      </w:r>
      <w:r w:rsidRPr="00CF4E9F">
        <w:rPr>
          <w:lang w:val="en-CA"/>
        </w:rPr>
        <w:t>CONCLUSION</w:t>
      </w:r>
      <w:bookmarkEnd w:id="124"/>
    </w:p>
    <w:p w14:paraId="7854CF3F" w14:textId="64997CAB" w:rsidR="00D15086" w:rsidRDefault="0066080A" w:rsidP="008B5F6E">
      <w:pPr>
        <w:pStyle w:val="Paragraphe"/>
        <w:spacing w:before="80" w:line="280" w:lineRule="exact"/>
        <w:rPr>
          <w:lang w:val="en-CA"/>
        </w:rPr>
      </w:pPr>
      <w:r w:rsidRPr="00D15086">
        <w:rPr>
          <w:lang w:val="en-CA"/>
        </w:rPr>
        <w:t xml:space="preserve">The Court </w:t>
      </w:r>
      <w:r w:rsidR="00B9322F" w:rsidRPr="00D15086">
        <w:rPr>
          <w:lang w:val="en-CA"/>
        </w:rPr>
        <w:t>concludes</w:t>
      </w:r>
      <w:r w:rsidRPr="00D15086">
        <w:rPr>
          <w:lang w:val="en-CA"/>
        </w:rPr>
        <w:t xml:space="preserve"> that </w:t>
      </w:r>
      <w:r w:rsidR="001D381A">
        <w:rPr>
          <w:lang w:val="en-CA"/>
        </w:rPr>
        <w:t xml:space="preserve">s. 636 </w:t>
      </w:r>
      <w:r w:rsidR="001D381A" w:rsidRPr="001D381A">
        <w:rPr>
          <w:i/>
          <w:iCs/>
          <w:lang w:val="en-CA"/>
        </w:rPr>
        <w:t>HSC</w:t>
      </w:r>
      <w:r w:rsidR="001D381A">
        <w:rPr>
          <w:lang w:val="en-CA"/>
        </w:rPr>
        <w:t xml:space="preserve">, which authorizes </w:t>
      </w:r>
      <w:r w:rsidRPr="00D15086">
        <w:rPr>
          <w:lang w:val="en-CA"/>
        </w:rPr>
        <w:t>traffic stops with no required grounds outside of an organized program</w:t>
      </w:r>
      <w:r w:rsidR="001D381A">
        <w:rPr>
          <w:lang w:val="en-CA"/>
        </w:rPr>
        <w:t>, r</w:t>
      </w:r>
      <w:r w:rsidRPr="00D15086">
        <w:rPr>
          <w:lang w:val="en-CA"/>
        </w:rPr>
        <w:t>esults in racial profiling.</w:t>
      </w:r>
      <w:r w:rsidR="0043013D" w:rsidRPr="00D15086">
        <w:rPr>
          <w:lang w:val="en-CA"/>
        </w:rPr>
        <w:t xml:space="preserve"> </w:t>
      </w:r>
      <w:r w:rsidRPr="00D15086">
        <w:rPr>
          <w:lang w:val="en-CA"/>
        </w:rPr>
        <w:t xml:space="preserve">This </w:t>
      </w:r>
      <w:r w:rsidR="001D381A">
        <w:rPr>
          <w:lang w:val="en-CA"/>
        </w:rPr>
        <w:t xml:space="preserve">provision </w:t>
      </w:r>
      <w:r w:rsidRPr="00D15086">
        <w:rPr>
          <w:lang w:val="en-CA"/>
        </w:rPr>
        <w:t xml:space="preserve">breaches </w:t>
      </w:r>
      <w:r w:rsidR="00A933FD" w:rsidRPr="00D15086">
        <w:rPr>
          <w:lang w:val="en-CA"/>
        </w:rPr>
        <w:t>ss. </w:t>
      </w:r>
      <w:r w:rsidRPr="00D15086">
        <w:rPr>
          <w:lang w:val="en-CA"/>
        </w:rPr>
        <w:t xml:space="preserve">9 and 15 of the </w:t>
      </w:r>
      <w:r w:rsidRPr="00D15086">
        <w:rPr>
          <w:i/>
          <w:iCs/>
          <w:lang w:val="en-CA"/>
        </w:rPr>
        <w:t>Charter</w:t>
      </w:r>
      <w:r w:rsidRPr="00D15086">
        <w:rPr>
          <w:lang w:val="en-CA"/>
        </w:rPr>
        <w:t xml:space="preserve"> and is not justified under </w:t>
      </w:r>
      <w:r w:rsidR="00CD3E2E" w:rsidRPr="00D15086">
        <w:rPr>
          <w:lang w:val="en-CA"/>
        </w:rPr>
        <w:t>s. </w:t>
      </w:r>
      <w:r w:rsidRPr="00D15086">
        <w:rPr>
          <w:lang w:val="en-CA"/>
        </w:rPr>
        <w:t>1.</w:t>
      </w:r>
      <w:r w:rsidR="00862908" w:rsidRPr="00D15086">
        <w:rPr>
          <w:lang w:val="en-CA"/>
        </w:rPr>
        <w:t xml:space="preserve"> </w:t>
      </w:r>
      <w:r w:rsidRPr="00D15086">
        <w:rPr>
          <w:lang w:val="en-CA"/>
        </w:rPr>
        <w:t xml:space="preserve">There is no need to determine whether </w:t>
      </w:r>
      <w:r w:rsidR="001D381A">
        <w:rPr>
          <w:lang w:val="en-CA"/>
        </w:rPr>
        <w:t xml:space="preserve">the provision </w:t>
      </w:r>
      <w:r w:rsidRPr="00D15086">
        <w:rPr>
          <w:lang w:val="en-CA"/>
        </w:rPr>
        <w:t xml:space="preserve">also violates </w:t>
      </w:r>
      <w:r w:rsidR="00CD3E2E" w:rsidRPr="00D15086">
        <w:rPr>
          <w:lang w:val="en-CA"/>
        </w:rPr>
        <w:t>s. </w:t>
      </w:r>
      <w:r w:rsidR="006D446B" w:rsidRPr="00D15086">
        <w:rPr>
          <w:lang w:val="en-CA"/>
        </w:rPr>
        <w:t xml:space="preserve">7 of the </w:t>
      </w:r>
      <w:r w:rsidR="006D446B" w:rsidRPr="00D15086">
        <w:rPr>
          <w:i/>
          <w:lang w:val="en-CA"/>
        </w:rPr>
        <w:t>Charter</w:t>
      </w:r>
      <w:r w:rsidR="006D446B" w:rsidRPr="00D15086">
        <w:rPr>
          <w:lang w:val="en-CA"/>
        </w:rPr>
        <w:t>.</w:t>
      </w:r>
      <w:r w:rsidR="000B1C5C" w:rsidRPr="00D15086">
        <w:rPr>
          <w:lang w:val="en-CA"/>
        </w:rPr>
        <w:t xml:space="preserve"> </w:t>
      </w:r>
    </w:p>
    <w:p w14:paraId="4104694D" w14:textId="77F7CBDD" w:rsidR="00F82200" w:rsidRPr="00D15086" w:rsidRDefault="0066080A" w:rsidP="008B5F6E">
      <w:pPr>
        <w:pStyle w:val="Paragraphe"/>
        <w:numPr>
          <w:ilvl w:val="0"/>
          <w:numId w:val="0"/>
        </w:numPr>
        <w:spacing w:before="80" w:line="280" w:lineRule="exact"/>
        <w:rPr>
          <w:b/>
          <w:bCs/>
          <w:lang w:val="en-CA"/>
        </w:rPr>
      </w:pPr>
      <w:r w:rsidRPr="00D15086">
        <w:rPr>
          <w:b/>
          <w:bCs/>
          <w:lang w:val="en-CA"/>
        </w:rPr>
        <w:t>FOR THESE REASONS, THE COURT:</w:t>
      </w:r>
    </w:p>
    <w:p w14:paraId="13176210" w14:textId="261CB369" w:rsidR="004C1A18" w:rsidRPr="00CF4E9F" w:rsidRDefault="0066080A" w:rsidP="008B5F6E">
      <w:pPr>
        <w:pStyle w:val="Paragraphe"/>
        <w:spacing w:before="80" w:line="280" w:lineRule="exact"/>
        <w:rPr>
          <w:lang w:val="en-CA"/>
        </w:rPr>
      </w:pPr>
      <w:r w:rsidRPr="00CF4E9F">
        <w:rPr>
          <w:b/>
          <w:bCs/>
          <w:lang w:val="en-CA"/>
        </w:rPr>
        <w:t xml:space="preserve">ALLOWS </w:t>
      </w:r>
      <w:r w:rsidRPr="00CF4E9F">
        <w:rPr>
          <w:lang w:val="en-CA"/>
        </w:rPr>
        <w:t>the appeal in part;</w:t>
      </w:r>
    </w:p>
    <w:p w14:paraId="3778C1C8" w14:textId="7FAD1B57" w:rsidR="004C1A18" w:rsidRPr="00CF4E9F" w:rsidRDefault="0066080A" w:rsidP="008B5F6E">
      <w:pPr>
        <w:pStyle w:val="Paragraphe"/>
        <w:spacing w:before="80" w:line="280" w:lineRule="exact"/>
        <w:rPr>
          <w:lang w:val="en-CA"/>
        </w:rPr>
      </w:pPr>
      <w:r w:rsidRPr="00CF4E9F">
        <w:rPr>
          <w:b/>
          <w:bCs/>
          <w:lang w:val="en-CA"/>
        </w:rPr>
        <w:t>REVERSES</w:t>
      </w:r>
      <w:r w:rsidRPr="00CF4E9F">
        <w:rPr>
          <w:bCs/>
          <w:lang w:val="en-CA"/>
        </w:rPr>
        <w:t xml:space="preserve"> </w:t>
      </w:r>
      <w:r w:rsidR="00DB2259">
        <w:rPr>
          <w:bCs/>
          <w:lang w:val="en-CA"/>
        </w:rPr>
        <w:t xml:space="preserve">the trial judgment </w:t>
      </w:r>
      <w:r w:rsidRPr="00CF4E9F">
        <w:rPr>
          <w:bCs/>
          <w:lang w:val="en-CA"/>
        </w:rPr>
        <w:t>in part, solely to amend paragraphs 866 to 870 as follows:</w:t>
      </w:r>
      <w:r w:rsidR="00540EDB" w:rsidRPr="00CF4E9F">
        <w:rPr>
          <w:lang w:val="en-CA"/>
        </w:rPr>
        <w:t xml:space="preserve"> </w:t>
      </w:r>
    </w:p>
    <w:p w14:paraId="527F060F" w14:textId="3CAF2FCB" w:rsidR="004C1A18" w:rsidRPr="00CF4E9F" w:rsidRDefault="00E46235" w:rsidP="008B5F6E">
      <w:pPr>
        <w:pStyle w:val="Citationenretrait"/>
        <w:spacing w:before="80"/>
        <w:rPr>
          <w:sz w:val="24"/>
          <w:szCs w:val="24"/>
          <w:lang w:val="en-CA"/>
        </w:rPr>
      </w:pPr>
      <w:r w:rsidRPr="00CF4E9F">
        <w:rPr>
          <w:sz w:val="24"/>
          <w:szCs w:val="24"/>
          <w:lang w:val="en-CA"/>
        </w:rPr>
        <w:t>[866]</w:t>
      </w:r>
      <w:r w:rsidRPr="00CF4E9F">
        <w:rPr>
          <w:sz w:val="24"/>
          <w:szCs w:val="24"/>
          <w:lang w:val="en-CA"/>
        </w:rPr>
        <w:tab/>
      </w:r>
      <w:r w:rsidR="0066080A" w:rsidRPr="00CF4E9F">
        <w:rPr>
          <w:b/>
          <w:bCs/>
          <w:sz w:val="24"/>
          <w:szCs w:val="24"/>
          <w:lang w:val="en-CA"/>
        </w:rPr>
        <w:t>GRANTS</w:t>
      </w:r>
      <w:r w:rsidR="00C572DC">
        <w:rPr>
          <w:b/>
          <w:bCs/>
          <w:sz w:val="24"/>
          <w:szCs w:val="24"/>
          <w:lang w:val="en-CA"/>
        </w:rPr>
        <w:t>,</w:t>
      </w:r>
      <w:r w:rsidR="0066080A" w:rsidRPr="00CF4E9F">
        <w:rPr>
          <w:bCs/>
          <w:sz w:val="24"/>
          <w:szCs w:val="24"/>
          <w:lang w:val="en-CA"/>
        </w:rPr>
        <w:t xml:space="preserve"> in part</w:t>
      </w:r>
      <w:r w:rsidR="00C572DC">
        <w:rPr>
          <w:bCs/>
          <w:sz w:val="24"/>
          <w:szCs w:val="24"/>
          <w:lang w:val="en-CA"/>
        </w:rPr>
        <w:t>,</w:t>
      </w:r>
      <w:r w:rsidR="0066080A" w:rsidRPr="00CF4E9F">
        <w:rPr>
          <w:bCs/>
          <w:sz w:val="24"/>
          <w:szCs w:val="24"/>
          <w:lang w:val="en-CA"/>
        </w:rPr>
        <w:t xml:space="preserve"> the re-amended originating application;</w:t>
      </w:r>
    </w:p>
    <w:p w14:paraId="173496C3" w14:textId="15B76274" w:rsidR="002748FE" w:rsidRPr="00CF4E9F" w:rsidRDefault="00A24F50" w:rsidP="008B5F6E">
      <w:pPr>
        <w:pStyle w:val="Citationenretrait"/>
        <w:spacing w:before="80"/>
        <w:rPr>
          <w:sz w:val="24"/>
          <w:szCs w:val="24"/>
          <w:lang w:val="en-CA"/>
        </w:rPr>
      </w:pPr>
      <w:r w:rsidRPr="00CF4E9F">
        <w:rPr>
          <w:sz w:val="24"/>
          <w:szCs w:val="24"/>
          <w:lang w:val="en-CA"/>
        </w:rPr>
        <w:t>[867]</w:t>
      </w:r>
      <w:r w:rsidRPr="00CF4E9F">
        <w:rPr>
          <w:sz w:val="24"/>
          <w:szCs w:val="24"/>
          <w:lang w:val="en-CA"/>
        </w:rPr>
        <w:tab/>
      </w:r>
      <w:r w:rsidR="0066080A" w:rsidRPr="00CF4E9F">
        <w:rPr>
          <w:b/>
          <w:sz w:val="24"/>
          <w:szCs w:val="24"/>
          <w:lang w:val="en-CA"/>
        </w:rPr>
        <w:t>DECLARES</w:t>
      </w:r>
      <w:r w:rsidR="0066080A" w:rsidRPr="00CF4E9F">
        <w:rPr>
          <w:sz w:val="24"/>
          <w:szCs w:val="24"/>
          <w:lang w:val="en-CA"/>
        </w:rPr>
        <w:t xml:space="preserve"> that the conditions for reconsidering the ruling in </w:t>
      </w:r>
      <w:r w:rsidR="0066080A" w:rsidRPr="00CF4E9F">
        <w:rPr>
          <w:i/>
          <w:sz w:val="24"/>
          <w:szCs w:val="24"/>
          <w:lang w:val="en-CA"/>
        </w:rPr>
        <w:t>R. v. Ladouceur</w:t>
      </w:r>
      <w:r w:rsidR="0066080A" w:rsidRPr="00CF4E9F">
        <w:rPr>
          <w:sz w:val="24"/>
          <w:szCs w:val="24"/>
          <w:lang w:val="en-CA"/>
        </w:rPr>
        <w:t>, [1990] 1 S.C.R.</w:t>
      </w:r>
      <w:r w:rsidR="00594ABD" w:rsidRPr="00CF4E9F">
        <w:rPr>
          <w:sz w:val="24"/>
          <w:szCs w:val="24"/>
          <w:lang w:val="en-CA"/>
        </w:rPr>
        <w:t xml:space="preserve"> 1257</w:t>
      </w:r>
      <w:r w:rsidR="00C572DC">
        <w:rPr>
          <w:sz w:val="24"/>
          <w:szCs w:val="24"/>
          <w:lang w:val="en-CA"/>
        </w:rPr>
        <w:t xml:space="preserve"> have been met</w:t>
      </w:r>
      <w:r w:rsidR="00594ABD" w:rsidRPr="00CF4E9F">
        <w:rPr>
          <w:sz w:val="24"/>
          <w:szCs w:val="24"/>
          <w:lang w:val="en-CA"/>
        </w:rPr>
        <w:t>;</w:t>
      </w:r>
    </w:p>
    <w:p w14:paraId="1CDE1AE6" w14:textId="1C04E53D" w:rsidR="00540EDB" w:rsidRPr="00CF4E9F" w:rsidRDefault="00E46235" w:rsidP="008B5F6E">
      <w:pPr>
        <w:pStyle w:val="Citationenretrait"/>
        <w:spacing w:before="80"/>
        <w:rPr>
          <w:sz w:val="24"/>
          <w:szCs w:val="24"/>
          <w:lang w:val="en-CA"/>
        </w:rPr>
      </w:pPr>
      <w:r w:rsidRPr="00CF4E9F">
        <w:rPr>
          <w:sz w:val="24"/>
          <w:szCs w:val="24"/>
          <w:lang w:val="en-CA"/>
        </w:rPr>
        <w:t>[868]</w:t>
      </w:r>
      <w:r w:rsidRPr="00CF4E9F">
        <w:rPr>
          <w:sz w:val="24"/>
          <w:szCs w:val="24"/>
          <w:lang w:val="en-CA"/>
        </w:rPr>
        <w:tab/>
      </w:r>
      <w:r w:rsidR="0066080A" w:rsidRPr="00CF4E9F">
        <w:rPr>
          <w:b/>
          <w:bCs/>
          <w:sz w:val="24"/>
          <w:szCs w:val="24"/>
          <w:lang w:val="en-CA"/>
        </w:rPr>
        <w:t>DECLARES</w:t>
      </w:r>
      <w:r w:rsidR="0066080A" w:rsidRPr="00CF4E9F">
        <w:rPr>
          <w:bCs/>
          <w:sz w:val="24"/>
          <w:szCs w:val="24"/>
          <w:lang w:val="en-CA"/>
        </w:rPr>
        <w:t xml:space="preserve"> that section 636 of the </w:t>
      </w:r>
      <w:r w:rsidR="0066080A" w:rsidRPr="00CF4E9F">
        <w:rPr>
          <w:bCs/>
          <w:i/>
          <w:sz w:val="24"/>
          <w:szCs w:val="24"/>
          <w:lang w:val="en-CA"/>
        </w:rPr>
        <w:t>Highway Safety Code</w:t>
      </w:r>
      <w:r w:rsidR="0066080A" w:rsidRPr="00CF4E9F">
        <w:rPr>
          <w:bCs/>
          <w:sz w:val="24"/>
          <w:szCs w:val="24"/>
          <w:lang w:val="en-CA"/>
        </w:rPr>
        <w:t xml:space="preserve"> infringes the rights guaranteed by sections 9 and 15 of the </w:t>
      </w:r>
      <w:r w:rsidR="0066080A" w:rsidRPr="00CF4E9F">
        <w:rPr>
          <w:bCs/>
          <w:i/>
          <w:sz w:val="24"/>
          <w:szCs w:val="24"/>
          <w:lang w:val="en-CA"/>
        </w:rPr>
        <w:t>Canadian Charter of Rights and Freedoms</w:t>
      </w:r>
      <w:r w:rsidR="0066080A" w:rsidRPr="00CF4E9F">
        <w:rPr>
          <w:bCs/>
          <w:sz w:val="24"/>
          <w:szCs w:val="24"/>
          <w:lang w:val="en-CA"/>
        </w:rPr>
        <w:t xml:space="preserve"> and is not demonstrably justified in a free and democratic society, such that it is therefore invalid;</w:t>
      </w:r>
    </w:p>
    <w:p w14:paraId="7B788AF3" w14:textId="5B69AF99" w:rsidR="00540EDB" w:rsidRPr="00CF4E9F" w:rsidRDefault="00E46235" w:rsidP="008B5F6E">
      <w:pPr>
        <w:pStyle w:val="Citationenretrait"/>
        <w:spacing w:before="80"/>
        <w:rPr>
          <w:sz w:val="24"/>
          <w:szCs w:val="24"/>
          <w:lang w:val="en-CA"/>
        </w:rPr>
      </w:pPr>
      <w:r w:rsidRPr="00CF4E9F">
        <w:rPr>
          <w:sz w:val="24"/>
          <w:szCs w:val="24"/>
          <w:lang w:val="en-CA"/>
        </w:rPr>
        <w:t>[869]</w:t>
      </w:r>
      <w:r w:rsidRPr="00CF4E9F">
        <w:rPr>
          <w:sz w:val="24"/>
          <w:szCs w:val="24"/>
          <w:lang w:val="en-CA"/>
        </w:rPr>
        <w:tab/>
      </w:r>
      <w:r w:rsidR="0066080A" w:rsidRPr="00CF4E9F">
        <w:rPr>
          <w:b/>
          <w:bCs/>
          <w:sz w:val="24"/>
          <w:szCs w:val="24"/>
          <w:lang w:val="en-CA"/>
        </w:rPr>
        <w:t>DECLARES</w:t>
      </w:r>
      <w:r w:rsidR="0066080A" w:rsidRPr="00CF4E9F">
        <w:rPr>
          <w:bCs/>
          <w:sz w:val="24"/>
          <w:szCs w:val="24"/>
          <w:lang w:val="en-CA"/>
        </w:rPr>
        <w:t xml:space="preserve"> that section 636 of the </w:t>
      </w:r>
      <w:r w:rsidR="0066080A" w:rsidRPr="00CF4E9F">
        <w:rPr>
          <w:bCs/>
          <w:i/>
          <w:sz w:val="24"/>
          <w:szCs w:val="24"/>
          <w:lang w:val="en-CA"/>
        </w:rPr>
        <w:t>Highway Safety Code</w:t>
      </w:r>
      <w:r w:rsidR="0066080A" w:rsidRPr="00CF4E9F">
        <w:rPr>
          <w:bCs/>
          <w:sz w:val="24"/>
          <w:szCs w:val="24"/>
          <w:lang w:val="en-CA"/>
        </w:rPr>
        <w:t xml:space="preserve"> is inoperative;</w:t>
      </w:r>
    </w:p>
    <w:p w14:paraId="6685FE69" w14:textId="177A1E4B" w:rsidR="00F82200" w:rsidRPr="00CF4E9F" w:rsidRDefault="0030606F" w:rsidP="008B5F6E">
      <w:pPr>
        <w:pStyle w:val="Citationenretrait"/>
        <w:spacing w:before="80"/>
        <w:rPr>
          <w:sz w:val="24"/>
          <w:szCs w:val="24"/>
          <w:lang w:val="en-CA"/>
        </w:rPr>
      </w:pPr>
      <w:r w:rsidRPr="00CF4E9F">
        <w:rPr>
          <w:sz w:val="24"/>
          <w:szCs w:val="24"/>
          <w:lang w:val="en-CA"/>
        </w:rPr>
        <w:t>[870]</w:t>
      </w:r>
      <w:r w:rsidRPr="00CF4E9F">
        <w:rPr>
          <w:sz w:val="24"/>
          <w:szCs w:val="24"/>
          <w:lang w:val="en-CA"/>
        </w:rPr>
        <w:tab/>
      </w:r>
      <w:r w:rsidR="0066080A" w:rsidRPr="00CF4E9F">
        <w:rPr>
          <w:b/>
          <w:bCs/>
          <w:sz w:val="24"/>
          <w:szCs w:val="24"/>
          <w:lang w:val="en-CA"/>
        </w:rPr>
        <w:t>SUSPENDS</w:t>
      </w:r>
      <w:r w:rsidR="0066080A" w:rsidRPr="00CF4E9F">
        <w:rPr>
          <w:bCs/>
          <w:sz w:val="24"/>
          <w:szCs w:val="24"/>
          <w:lang w:val="en-CA"/>
        </w:rPr>
        <w:t xml:space="preserve"> the effective date of the declaration of inoperability for a period of six months from the notification of the notice of judgment, with the exception of any court case in which section </w:t>
      </w:r>
      <w:r w:rsidR="0066080A" w:rsidRPr="00D66166">
        <w:rPr>
          <w:bCs/>
          <w:iCs/>
          <w:sz w:val="24"/>
          <w:szCs w:val="24"/>
          <w:lang w:val="en-CA"/>
        </w:rPr>
        <w:t>636</w:t>
      </w:r>
      <w:r w:rsidR="0066080A" w:rsidRPr="00CF4E9F">
        <w:rPr>
          <w:bCs/>
          <w:sz w:val="24"/>
          <w:szCs w:val="24"/>
          <w:lang w:val="en-CA"/>
        </w:rPr>
        <w:t xml:space="preserve"> of the </w:t>
      </w:r>
      <w:r w:rsidR="0066080A" w:rsidRPr="00CF4E9F">
        <w:rPr>
          <w:bCs/>
          <w:i/>
          <w:sz w:val="24"/>
          <w:szCs w:val="24"/>
          <w:lang w:val="en-CA"/>
        </w:rPr>
        <w:t>Highway Safety Code</w:t>
      </w:r>
      <w:r w:rsidR="0066080A" w:rsidRPr="00CF4E9F">
        <w:rPr>
          <w:bCs/>
          <w:sz w:val="24"/>
          <w:szCs w:val="24"/>
          <w:lang w:val="en-CA"/>
        </w:rPr>
        <w:t xml:space="preserve"> has been challenged and in which the proceedings are still ongoing;</w:t>
      </w:r>
    </w:p>
    <w:p w14:paraId="746CD1AD" w14:textId="58717DB0" w:rsidR="0040330D" w:rsidRPr="00CF4E9F" w:rsidRDefault="0066080A" w:rsidP="00496FFA">
      <w:pPr>
        <w:pStyle w:val="Paragraphe"/>
        <w:spacing w:before="0" w:after="600" w:line="280" w:lineRule="exact"/>
        <w:rPr>
          <w:szCs w:val="22"/>
          <w:lang w:val="en-CA"/>
        </w:rPr>
      </w:pPr>
      <w:r w:rsidRPr="00CF4E9F">
        <w:rPr>
          <w:b/>
          <w:bCs/>
          <w:szCs w:val="22"/>
          <w:lang w:val="en-CA"/>
        </w:rPr>
        <w:t>THE WHOLE,</w:t>
      </w:r>
      <w:r w:rsidRPr="00CF4E9F">
        <w:rPr>
          <w:bCs/>
          <w:szCs w:val="22"/>
          <w:lang w:val="en-CA"/>
        </w:rPr>
        <w:t xml:space="preserve"> with legal costs against the Attorney General of Quebec.</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632CD2" w:rsidRPr="00077E55" w14:paraId="1735A779" w14:textId="77777777" w:rsidTr="00117914">
        <w:trPr>
          <w:trHeight w:val="283"/>
        </w:trPr>
        <w:tc>
          <w:tcPr>
            <w:tcW w:w="4682" w:type="dxa"/>
            <w:gridSpan w:val="2"/>
            <w:tcBorders>
              <w:top w:val="nil"/>
              <w:bottom w:val="nil"/>
            </w:tcBorders>
          </w:tcPr>
          <w:p w14:paraId="2B9162F9" w14:textId="77777777" w:rsidR="008F364A" w:rsidRPr="00CF4E9F" w:rsidRDefault="008F364A">
            <w:pPr>
              <w:keepNext/>
              <w:rPr>
                <w:lang w:val="en-CA"/>
              </w:rPr>
            </w:pPr>
          </w:p>
        </w:tc>
        <w:tc>
          <w:tcPr>
            <w:tcW w:w="4680" w:type="dxa"/>
            <w:tcBorders>
              <w:top w:val="nil"/>
              <w:bottom w:val="single" w:sz="8" w:space="0" w:color="auto"/>
            </w:tcBorders>
          </w:tcPr>
          <w:p w14:paraId="038EC559" w14:textId="77777777" w:rsidR="008F364A" w:rsidRPr="00CF4E9F" w:rsidRDefault="008F364A">
            <w:pPr>
              <w:keepNext/>
              <w:rPr>
                <w:lang w:val="en-CA"/>
              </w:rPr>
            </w:pPr>
          </w:p>
        </w:tc>
      </w:tr>
      <w:tr w:rsidR="00632CD2" w:rsidRPr="00CF4E9F" w14:paraId="2528EBEA" w14:textId="77777777" w:rsidTr="00117914">
        <w:trPr>
          <w:trHeight w:val="283"/>
        </w:trPr>
        <w:tc>
          <w:tcPr>
            <w:tcW w:w="4682" w:type="dxa"/>
            <w:gridSpan w:val="2"/>
            <w:tcBorders>
              <w:top w:val="nil"/>
            </w:tcBorders>
          </w:tcPr>
          <w:p w14:paraId="00669305" w14:textId="77777777" w:rsidR="008F364A" w:rsidRPr="00CF4E9F" w:rsidRDefault="008F364A">
            <w:pPr>
              <w:keepNext/>
              <w:rPr>
                <w:lang w:val="en-CA"/>
              </w:rPr>
            </w:pPr>
          </w:p>
        </w:tc>
        <w:tc>
          <w:tcPr>
            <w:tcW w:w="4680" w:type="dxa"/>
            <w:tcBorders>
              <w:top w:val="single" w:sz="8" w:space="0" w:color="auto"/>
            </w:tcBorders>
          </w:tcPr>
          <w:p w14:paraId="7A22D3EC" w14:textId="63858986" w:rsidR="008F364A" w:rsidRPr="00CF4E9F" w:rsidRDefault="00360D2E">
            <w:pPr>
              <w:rPr>
                <w:lang w:val="en-CA"/>
              </w:rPr>
            </w:pPr>
            <w:r w:rsidRPr="00CF4E9F">
              <w:rPr>
                <w:lang w:val="en-CA"/>
              </w:rPr>
              <w:t>JULIE DUTIL</w:t>
            </w:r>
            <w:r w:rsidR="006904DB" w:rsidRPr="00CF4E9F">
              <w:rPr>
                <w:lang w:val="en-CA"/>
              </w:rPr>
              <w:t>,</w:t>
            </w:r>
            <w:r w:rsidRPr="00CF4E9F">
              <w:rPr>
                <w:lang w:val="en-CA"/>
              </w:rPr>
              <w:t xml:space="preserve"> J.A.</w:t>
            </w:r>
          </w:p>
        </w:tc>
      </w:tr>
      <w:tr w:rsidR="00632CD2" w:rsidRPr="00CF4E9F" w14:paraId="432B0576" w14:textId="77777777" w:rsidTr="00117914">
        <w:trPr>
          <w:trHeight w:val="283"/>
        </w:trPr>
        <w:tc>
          <w:tcPr>
            <w:tcW w:w="4682" w:type="dxa"/>
            <w:gridSpan w:val="2"/>
            <w:tcBorders>
              <w:top w:val="nil"/>
            </w:tcBorders>
          </w:tcPr>
          <w:p w14:paraId="2DEF3684" w14:textId="77777777" w:rsidR="008F364A" w:rsidRPr="00CF4E9F" w:rsidRDefault="008F364A">
            <w:pPr>
              <w:keepNext/>
              <w:rPr>
                <w:lang w:val="en-CA"/>
              </w:rPr>
            </w:pPr>
            <w:bookmarkStart w:id="125" w:name="Signature2"/>
          </w:p>
        </w:tc>
        <w:tc>
          <w:tcPr>
            <w:tcW w:w="4680" w:type="dxa"/>
            <w:tcBorders>
              <w:top w:val="nil"/>
            </w:tcBorders>
          </w:tcPr>
          <w:p w14:paraId="4D0B3CDF" w14:textId="77777777" w:rsidR="008F364A" w:rsidRPr="00CF4E9F" w:rsidRDefault="008F364A">
            <w:pPr>
              <w:keepNext/>
              <w:rPr>
                <w:lang w:val="en-CA"/>
              </w:rPr>
            </w:pPr>
          </w:p>
        </w:tc>
      </w:tr>
      <w:tr w:rsidR="00632CD2" w:rsidRPr="00CF4E9F" w14:paraId="718D4109" w14:textId="77777777" w:rsidTr="00117914">
        <w:trPr>
          <w:trHeight w:val="283"/>
        </w:trPr>
        <w:tc>
          <w:tcPr>
            <w:tcW w:w="4682" w:type="dxa"/>
            <w:gridSpan w:val="2"/>
            <w:tcBorders>
              <w:top w:val="nil"/>
              <w:bottom w:val="nil"/>
            </w:tcBorders>
          </w:tcPr>
          <w:p w14:paraId="647D6086" w14:textId="77777777" w:rsidR="008F364A" w:rsidRPr="00CF4E9F" w:rsidRDefault="008F364A">
            <w:pPr>
              <w:keepNext/>
              <w:rPr>
                <w:lang w:val="en-CA"/>
              </w:rPr>
            </w:pPr>
          </w:p>
        </w:tc>
        <w:tc>
          <w:tcPr>
            <w:tcW w:w="4680" w:type="dxa"/>
            <w:tcBorders>
              <w:top w:val="nil"/>
              <w:bottom w:val="single" w:sz="8" w:space="0" w:color="auto"/>
            </w:tcBorders>
          </w:tcPr>
          <w:p w14:paraId="38ECDAA8" w14:textId="77777777" w:rsidR="008F364A" w:rsidRPr="00CF4E9F" w:rsidRDefault="008F364A">
            <w:pPr>
              <w:keepNext/>
              <w:rPr>
                <w:lang w:val="en-CA"/>
              </w:rPr>
            </w:pPr>
          </w:p>
        </w:tc>
      </w:tr>
      <w:tr w:rsidR="00632CD2" w:rsidRPr="00CF4E9F" w14:paraId="1DAB95EE" w14:textId="77777777" w:rsidTr="00117914">
        <w:trPr>
          <w:trHeight w:val="283"/>
        </w:trPr>
        <w:tc>
          <w:tcPr>
            <w:tcW w:w="4682" w:type="dxa"/>
            <w:gridSpan w:val="2"/>
            <w:tcBorders>
              <w:top w:val="nil"/>
            </w:tcBorders>
          </w:tcPr>
          <w:p w14:paraId="5304E696" w14:textId="77777777" w:rsidR="008F364A" w:rsidRPr="00CF4E9F" w:rsidRDefault="008F364A">
            <w:pPr>
              <w:keepNext/>
              <w:rPr>
                <w:lang w:val="en-CA"/>
              </w:rPr>
            </w:pPr>
          </w:p>
        </w:tc>
        <w:tc>
          <w:tcPr>
            <w:tcW w:w="4680" w:type="dxa"/>
            <w:tcBorders>
              <w:top w:val="single" w:sz="8" w:space="0" w:color="auto"/>
            </w:tcBorders>
          </w:tcPr>
          <w:p w14:paraId="7E0EED1E" w14:textId="27FFF9B7" w:rsidR="008F364A" w:rsidRPr="00CF4E9F" w:rsidRDefault="00360D2E">
            <w:pPr>
              <w:keepNext/>
              <w:rPr>
                <w:lang w:val="en-CA"/>
              </w:rPr>
            </w:pPr>
            <w:r w:rsidRPr="00CF4E9F">
              <w:rPr>
                <w:lang w:val="en-CA"/>
              </w:rPr>
              <w:t>SUZANNE GAGNÉ, J.A.</w:t>
            </w:r>
          </w:p>
        </w:tc>
      </w:tr>
      <w:tr w:rsidR="00632CD2" w:rsidRPr="00CF4E9F" w14:paraId="0BB14203" w14:textId="77777777" w:rsidTr="00117914">
        <w:trPr>
          <w:trHeight w:val="283"/>
        </w:trPr>
        <w:tc>
          <w:tcPr>
            <w:tcW w:w="4682" w:type="dxa"/>
            <w:gridSpan w:val="2"/>
            <w:tcBorders>
              <w:top w:val="nil"/>
            </w:tcBorders>
          </w:tcPr>
          <w:p w14:paraId="5AA39304" w14:textId="77777777" w:rsidR="008F364A" w:rsidRPr="00CF4E9F" w:rsidRDefault="008F364A">
            <w:pPr>
              <w:keepNext/>
              <w:rPr>
                <w:lang w:val="en-CA"/>
              </w:rPr>
            </w:pPr>
            <w:bookmarkStart w:id="126" w:name="Signature3"/>
            <w:bookmarkEnd w:id="125"/>
          </w:p>
        </w:tc>
        <w:tc>
          <w:tcPr>
            <w:tcW w:w="4680" w:type="dxa"/>
            <w:tcBorders>
              <w:top w:val="nil"/>
            </w:tcBorders>
          </w:tcPr>
          <w:p w14:paraId="504BEC33" w14:textId="77777777" w:rsidR="008F364A" w:rsidRPr="00CF4E9F" w:rsidRDefault="008F364A">
            <w:pPr>
              <w:keepNext/>
              <w:rPr>
                <w:lang w:val="en-CA"/>
              </w:rPr>
            </w:pPr>
          </w:p>
        </w:tc>
      </w:tr>
      <w:tr w:rsidR="00632CD2" w:rsidRPr="00CF4E9F" w14:paraId="5A1EC41E" w14:textId="77777777" w:rsidTr="00117914">
        <w:trPr>
          <w:trHeight w:val="283"/>
        </w:trPr>
        <w:tc>
          <w:tcPr>
            <w:tcW w:w="4682" w:type="dxa"/>
            <w:gridSpan w:val="2"/>
            <w:tcBorders>
              <w:top w:val="nil"/>
              <w:bottom w:val="nil"/>
            </w:tcBorders>
          </w:tcPr>
          <w:p w14:paraId="2A3E2CA1" w14:textId="77777777" w:rsidR="008F364A" w:rsidRPr="00CF4E9F" w:rsidRDefault="008F364A">
            <w:pPr>
              <w:keepNext/>
              <w:rPr>
                <w:lang w:val="en-CA"/>
              </w:rPr>
            </w:pPr>
          </w:p>
        </w:tc>
        <w:tc>
          <w:tcPr>
            <w:tcW w:w="4680" w:type="dxa"/>
            <w:tcBorders>
              <w:top w:val="nil"/>
              <w:bottom w:val="single" w:sz="8" w:space="0" w:color="auto"/>
            </w:tcBorders>
          </w:tcPr>
          <w:p w14:paraId="2E42F787" w14:textId="77777777" w:rsidR="008F364A" w:rsidRPr="00CF4E9F" w:rsidRDefault="008F364A">
            <w:pPr>
              <w:keepNext/>
              <w:rPr>
                <w:lang w:val="en-CA"/>
              </w:rPr>
            </w:pPr>
          </w:p>
        </w:tc>
      </w:tr>
      <w:tr w:rsidR="00632CD2" w:rsidRPr="00CF4E9F" w14:paraId="14A8AB2F" w14:textId="77777777" w:rsidTr="00117914">
        <w:trPr>
          <w:trHeight w:val="283"/>
        </w:trPr>
        <w:tc>
          <w:tcPr>
            <w:tcW w:w="4682" w:type="dxa"/>
            <w:gridSpan w:val="2"/>
            <w:tcBorders>
              <w:top w:val="nil"/>
            </w:tcBorders>
          </w:tcPr>
          <w:p w14:paraId="69569713" w14:textId="77777777" w:rsidR="008F364A" w:rsidRPr="00CF4E9F" w:rsidRDefault="008F364A">
            <w:pPr>
              <w:keepNext/>
              <w:rPr>
                <w:lang w:val="en-CA"/>
              </w:rPr>
            </w:pPr>
          </w:p>
        </w:tc>
        <w:tc>
          <w:tcPr>
            <w:tcW w:w="4680" w:type="dxa"/>
            <w:tcBorders>
              <w:top w:val="single" w:sz="8" w:space="0" w:color="auto"/>
            </w:tcBorders>
          </w:tcPr>
          <w:p w14:paraId="39EEAE7C" w14:textId="75026DAC" w:rsidR="008F364A" w:rsidRPr="00077E55" w:rsidRDefault="00360D2E">
            <w:pPr>
              <w:keepNext/>
            </w:pPr>
            <w:r w:rsidRPr="00077E55">
              <w:t>LORI RENÉE WEITZMAN, J.A.</w:t>
            </w:r>
          </w:p>
        </w:tc>
      </w:tr>
      <w:bookmarkEnd w:id="126"/>
      <w:tr w:rsidR="00632CD2" w:rsidRPr="00CF4E9F" w14:paraId="337158EC" w14:textId="77777777" w:rsidTr="00E46235">
        <w:tc>
          <w:tcPr>
            <w:tcW w:w="9362" w:type="dxa"/>
            <w:gridSpan w:val="3"/>
            <w:tcBorders>
              <w:bottom w:val="nil"/>
            </w:tcBorders>
          </w:tcPr>
          <w:p w14:paraId="25BBDF46" w14:textId="77777777" w:rsidR="005A78BF" w:rsidRPr="00077E55" w:rsidRDefault="005A78BF" w:rsidP="005A78BF"/>
        </w:tc>
      </w:tr>
      <w:tr w:rsidR="00632CD2" w:rsidRPr="00CF4E9F" w14:paraId="5B00EC04" w14:textId="77777777" w:rsidTr="00E46235">
        <w:tc>
          <w:tcPr>
            <w:tcW w:w="9362" w:type="dxa"/>
            <w:gridSpan w:val="3"/>
            <w:tcBorders>
              <w:top w:val="nil"/>
            </w:tcBorders>
          </w:tcPr>
          <w:p w14:paraId="2BE785A0" w14:textId="0579EC85" w:rsidR="005A78BF" w:rsidRPr="00077E55" w:rsidRDefault="0043013D" w:rsidP="005A78BF">
            <w:pPr>
              <w:pStyle w:val="zSoquijdatNomProcureurDem"/>
            </w:pPr>
            <w:r w:rsidRPr="00077E55">
              <w:lastRenderedPageBreak/>
              <w:t>M</w:t>
            </w:r>
            <w:r w:rsidR="00155556" w:rsidRPr="00077E55">
              <w:t>tr</w:t>
            </w:r>
            <w:r w:rsidRPr="00077E55">
              <w:t>e Michel Déom</w:t>
            </w:r>
          </w:p>
          <w:p w14:paraId="00874111" w14:textId="3174CB55" w:rsidR="009238E1" w:rsidRPr="00077E55" w:rsidRDefault="0043013D" w:rsidP="005A78BF">
            <w:pPr>
              <w:pStyle w:val="zSoquijdatNomProcureurDem"/>
            </w:pPr>
            <w:r w:rsidRPr="00077E55">
              <w:t>M</w:t>
            </w:r>
            <w:r w:rsidR="00155556" w:rsidRPr="00077E55">
              <w:t>tr</w:t>
            </w:r>
            <w:r w:rsidRPr="00077E55">
              <w:t>e Luc-Vincent Gendron-Bouchard</w:t>
            </w:r>
          </w:p>
          <w:p w14:paraId="1E6D1D12" w14:textId="7F2B071A" w:rsidR="00F32793" w:rsidRPr="00CF4E9F" w:rsidRDefault="0043013D" w:rsidP="005A78BF">
            <w:pPr>
              <w:pStyle w:val="zSoquijdatNomProcureurDem"/>
              <w:rPr>
                <w:lang w:val="en-CA"/>
              </w:rPr>
            </w:pPr>
            <w:r w:rsidRPr="00CF4E9F">
              <w:rPr>
                <w:lang w:val="en-CA"/>
              </w:rPr>
              <w:t xml:space="preserve">Aurélie Fortin, </w:t>
            </w:r>
            <w:r w:rsidR="00155556" w:rsidRPr="00CF4E9F">
              <w:rPr>
                <w:lang w:val="en-CA"/>
              </w:rPr>
              <w:t>articling student</w:t>
            </w:r>
          </w:p>
        </w:tc>
      </w:tr>
      <w:tr w:rsidR="00632CD2" w:rsidRPr="00CF4E9F" w14:paraId="27019F64" w14:textId="77777777" w:rsidTr="00423DF1">
        <w:tc>
          <w:tcPr>
            <w:tcW w:w="9362" w:type="dxa"/>
            <w:gridSpan w:val="3"/>
          </w:tcPr>
          <w:p w14:paraId="4D6B434C" w14:textId="615E1516" w:rsidR="005A78BF" w:rsidRPr="00CF4E9F" w:rsidRDefault="0043013D" w:rsidP="005A78BF">
            <w:pPr>
              <w:pStyle w:val="zSoquijdatCabinetProcureurDem"/>
              <w:rPr>
                <w:smallCaps/>
                <w:lang w:val="en-CA"/>
              </w:rPr>
            </w:pPr>
            <w:r w:rsidRPr="00CF4E9F">
              <w:rPr>
                <w:smallCaps/>
                <w:lang w:val="en-CA"/>
              </w:rPr>
              <w:t>bernard, roy (justice - québec)</w:t>
            </w:r>
          </w:p>
        </w:tc>
      </w:tr>
      <w:tr w:rsidR="00632CD2" w:rsidRPr="00077E55" w14:paraId="05A06635" w14:textId="77777777" w:rsidTr="00423DF1">
        <w:tc>
          <w:tcPr>
            <w:tcW w:w="9362" w:type="dxa"/>
            <w:gridSpan w:val="3"/>
          </w:tcPr>
          <w:p w14:paraId="044C7E92" w14:textId="62E07500" w:rsidR="005A78BF" w:rsidRPr="00CF4E9F" w:rsidRDefault="00155556" w:rsidP="005A78BF">
            <w:pPr>
              <w:pStyle w:val="zSoquijlblProcureurDem"/>
              <w:rPr>
                <w:lang w:val="en-CA"/>
              </w:rPr>
            </w:pPr>
            <w:r w:rsidRPr="00CF4E9F">
              <w:rPr>
                <w:lang w:val="en-CA"/>
              </w:rPr>
              <w:t xml:space="preserve">For the appellant Attorney General of </w:t>
            </w:r>
            <w:r w:rsidR="00BF5BD3" w:rsidRPr="00CF4E9F">
              <w:rPr>
                <w:lang w:val="en-CA"/>
              </w:rPr>
              <w:t>Qu</w:t>
            </w:r>
            <w:r w:rsidRPr="00CF4E9F">
              <w:rPr>
                <w:lang w:val="en-CA"/>
              </w:rPr>
              <w:t>e</w:t>
            </w:r>
            <w:r w:rsidR="00BF5BD3" w:rsidRPr="00CF4E9F">
              <w:rPr>
                <w:lang w:val="en-CA"/>
              </w:rPr>
              <w:t>bec</w:t>
            </w:r>
          </w:p>
        </w:tc>
      </w:tr>
      <w:tr w:rsidR="00632CD2" w:rsidRPr="00077E55" w14:paraId="72F39975" w14:textId="77777777" w:rsidTr="00F5188D">
        <w:tc>
          <w:tcPr>
            <w:tcW w:w="9362" w:type="dxa"/>
            <w:gridSpan w:val="3"/>
            <w:tcBorders>
              <w:bottom w:val="nil"/>
            </w:tcBorders>
          </w:tcPr>
          <w:p w14:paraId="757DB772" w14:textId="77777777" w:rsidR="005A78BF" w:rsidRPr="00CF4E9F" w:rsidRDefault="005A78BF" w:rsidP="00E4666F">
            <w:pPr>
              <w:spacing w:line="160" w:lineRule="exact"/>
              <w:rPr>
                <w:lang w:val="en-CA"/>
              </w:rPr>
            </w:pPr>
          </w:p>
        </w:tc>
      </w:tr>
      <w:tr w:rsidR="00632CD2" w:rsidRPr="00CF4E9F" w14:paraId="392F6DF9" w14:textId="77777777" w:rsidTr="00F5188D">
        <w:tc>
          <w:tcPr>
            <w:tcW w:w="9362" w:type="dxa"/>
            <w:gridSpan w:val="3"/>
            <w:tcBorders>
              <w:top w:val="nil"/>
            </w:tcBorders>
          </w:tcPr>
          <w:p w14:paraId="0652FFE3" w14:textId="517D0B8D" w:rsidR="005A78BF" w:rsidRPr="00CF4E9F" w:rsidRDefault="0043013D" w:rsidP="005A78BF">
            <w:pPr>
              <w:pStyle w:val="zSoquijdatNomProcureurDef"/>
              <w:rPr>
                <w:lang w:val="en-CA"/>
              </w:rPr>
            </w:pPr>
            <w:r w:rsidRPr="00CF4E9F">
              <w:rPr>
                <w:lang w:val="en-CA"/>
              </w:rPr>
              <w:t>M</w:t>
            </w:r>
            <w:r w:rsidR="00155556" w:rsidRPr="00CF4E9F">
              <w:rPr>
                <w:lang w:val="en-CA"/>
              </w:rPr>
              <w:t>tr</w:t>
            </w:r>
            <w:r w:rsidRPr="00CF4E9F">
              <w:rPr>
                <w:lang w:val="en-CA"/>
              </w:rPr>
              <w:t>e Mike Siméon</w:t>
            </w:r>
          </w:p>
        </w:tc>
      </w:tr>
      <w:tr w:rsidR="00632CD2" w:rsidRPr="00CF4E9F" w14:paraId="38DD9DA9" w14:textId="77777777" w:rsidTr="00423DF1">
        <w:tc>
          <w:tcPr>
            <w:tcW w:w="9362" w:type="dxa"/>
            <w:gridSpan w:val="3"/>
          </w:tcPr>
          <w:p w14:paraId="3B2FEE81" w14:textId="007314B4" w:rsidR="00684248" w:rsidRPr="00CF4E9F" w:rsidRDefault="0043013D" w:rsidP="00684248">
            <w:pPr>
              <w:pStyle w:val="zSoquijdatCabinetProcureurDem"/>
              <w:rPr>
                <w:smallCaps/>
                <w:lang w:val="en-CA"/>
              </w:rPr>
            </w:pPr>
            <w:r w:rsidRPr="00CF4E9F">
              <w:rPr>
                <w:smallCaps/>
                <w:lang w:val="en-CA"/>
              </w:rPr>
              <w:t>mike siméon, avocat</w:t>
            </w:r>
          </w:p>
        </w:tc>
      </w:tr>
      <w:tr w:rsidR="00632CD2" w:rsidRPr="00077E55" w14:paraId="5FCD140C" w14:textId="77777777" w:rsidTr="00423DF1">
        <w:tc>
          <w:tcPr>
            <w:tcW w:w="9362" w:type="dxa"/>
            <w:gridSpan w:val="3"/>
          </w:tcPr>
          <w:p w14:paraId="7980DDE2" w14:textId="3B5FC9D1" w:rsidR="005A78BF" w:rsidRPr="00CF4E9F" w:rsidRDefault="00155556" w:rsidP="005A78BF">
            <w:pPr>
              <w:pStyle w:val="zSoquijlblProcureurDef"/>
              <w:rPr>
                <w:lang w:val="en-CA"/>
              </w:rPr>
            </w:pPr>
            <w:r w:rsidRPr="00CF4E9F">
              <w:rPr>
                <w:lang w:val="en-CA"/>
              </w:rPr>
              <w:t xml:space="preserve">For the respondent </w:t>
            </w:r>
            <w:r w:rsidR="00950A4F" w:rsidRPr="00CF4E9F">
              <w:rPr>
                <w:lang w:val="en-CA"/>
              </w:rPr>
              <w:t>Joseph-Christopher Luamba</w:t>
            </w:r>
          </w:p>
        </w:tc>
      </w:tr>
      <w:tr w:rsidR="00632CD2" w:rsidRPr="00077E55" w14:paraId="10C87BE4" w14:textId="77777777" w:rsidTr="00423DF1">
        <w:tc>
          <w:tcPr>
            <w:tcW w:w="9362" w:type="dxa"/>
            <w:gridSpan w:val="3"/>
          </w:tcPr>
          <w:p w14:paraId="27D42627" w14:textId="77777777" w:rsidR="00D9164F" w:rsidRPr="00CF4E9F" w:rsidRDefault="00D9164F" w:rsidP="00E4666F">
            <w:pPr>
              <w:spacing w:line="160" w:lineRule="exact"/>
              <w:rPr>
                <w:lang w:val="en-CA"/>
              </w:rPr>
            </w:pPr>
          </w:p>
        </w:tc>
      </w:tr>
      <w:tr w:rsidR="00632CD2" w:rsidRPr="00CF4E9F" w14:paraId="3DCABEDB" w14:textId="77777777" w:rsidTr="00423DF1">
        <w:tc>
          <w:tcPr>
            <w:tcW w:w="9362" w:type="dxa"/>
            <w:gridSpan w:val="3"/>
          </w:tcPr>
          <w:p w14:paraId="6853ED6E" w14:textId="2BB8F2C7" w:rsidR="00A24AB4" w:rsidRPr="00077E55" w:rsidRDefault="0043013D" w:rsidP="00A24AB4">
            <w:pPr>
              <w:pStyle w:val="zSoquijdatNomProcureurDef"/>
            </w:pPr>
            <w:r w:rsidRPr="00077E55">
              <w:t>M</w:t>
            </w:r>
            <w:r w:rsidR="00155556" w:rsidRPr="00077E55">
              <w:t>tr</w:t>
            </w:r>
            <w:r w:rsidRPr="00077E55">
              <w:t>e Bruce Johnston</w:t>
            </w:r>
          </w:p>
          <w:p w14:paraId="76C87F0E" w14:textId="39488710" w:rsidR="00A24AB4" w:rsidRPr="00077E55" w:rsidRDefault="0043013D" w:rsidP="00A24AB4">
            <w:pPr>
              <w:pStyle w:val="zSoquijdatNomProcureurDef"/>
            </w:pPr>
            <w:r w:rsidRPr="00077E55">
              <w:t>M</w:t>
            </w:r>
            <w:r w:rsidR="00155556" w:rsidRPr="00077E55">
              <w:t>tr</w:t>
            </w:r>
            <w:r w:rsidRPr="00077E55">
              <w:t>e Lex Gill</w:t>
            </w:r>
          </w:p>
          <w:p w14:paraId="510EBF39" w14:textId="70594957" w:rsidR="00A24AB4" w:rsidRPr="00077E55" w:rsidRDefault="0043013D" w:rsidP="00A24AB4">
            <w:pPr>
              <w:pStyle w:val="zSoquijdatNomProcureurDef"/>
            </w:pPr>
            <w:r w:rsidRPr="00077E55">
              <w:t>M</w:t>
            </w:r>
            <w:r w:rsidR="00155556" w:rsidRPr="00077E55">
              <w:t>tr</w:t>
            </w:r>
            <w:r w:rsidRPr="00077E55">
              <w:t>e Louis-Alexandre Hébert-Gosselin</w:t>
            </w:r>
          </w:p>
        </w:tc>
      </w:tr>
      <w:tr w:rsidR="00632CD2" w:rsidRPr="00CF4E9F" w14:paraId="1FCAFB34" w14:textId="77777777" w:rsidTr="00423DF1">
        <w:tc>
          <w:tcPr>
            <w:tcW w:w="9362" w:type="dxa"/>
            <w:gridSpan w:val="3"/>
          </w:tcPr>
          <w:p w14:paraId="07DC0C27" w14:textId="38A3A72E" w:rsidR="00A24AB4" w:rsidRPr="00CF4E9F" w:rsidRDefault="0043013D" w:rsidP="00A24AB4">
            <w:pPr>
              <w:pStyle w:val="zSoquijdatNomProcureurDef"/>
              <w:rPr>
                <w:lang w:val="en-CA"/>
              </w:rPr>
            </w:pPr>
            <w:r w:rsidRPr="00CF4E9F">
              <w:rPr>
                <w:smallCaps/>
                <w:lang w:val="en-CA"/>
              </w:rPr>
              <w:t xml:space="preserve">trudel johnston </w:t>
            </w:r>
            <w:r w:rsidRPr="00CF4E9F">
              <w:rPr>
                <w:smallCaps/>
                <w:sz w:val="20"/>
                <w:lang w:val="en-CA"/>
              </w:rPr>
              <w:t xml:space="preserve">&amp; </w:t>
            </w:r>
            <w:r w:rsidRPr="00CF4E9F">
              <w:rPr>
                <w:smallCaps/>
                <w:lang w:val="en-CA"/>
              </w:rPr>
              <w:t xml:space="preserve">lespérance </w:t>
            </w:r>
          </w:p>
        </w:tc>
      </w:tr>
      <w:tr w:rsidR="00632CD2" w:rsidRPr="00077E55" w14:paraId="3B91A66A" w14:textId="77777777" w:rsidTr="00423DF1">
        <w:tc>
          <w:tcPr>
            <w:tcW w:w="9362" w:type="dxa"/>
            <w:gridSpan w:val="3"/>
          </w:tcPr>
          <w:p w14:paraId="36D24444" w14:textId="4402607B" w:rsidR="00A24AB4" w:rsidRPr="00CF4E9F" w:rsidRDefault="00155556" w:rsidP="00A24AB4">
            <w:pPr>
              <w:pStyle w:val="zSoquijdatNomProcureurDef"/>
              <w:rPr>
                <w:lang w:val="en-CA"/>
              </w:rPr>
            </w:pPr>
            <w:r w:rsidRPr="00CF4E9F">
              <w:rPr>
                <w:lang w:val="en-CA"/>
              </w:rPr>
              <w:t>For the respondent Canadian Civil Liberties Association</w:t>
            </w:r>
          </w:p>
        </w:tc>
      </w:tr>
      <w:tr w:rsidR="00632CD2" w:rsidRPr="00077E55" w14:paraId="6D18A6C2" w14:textId="77777777" w:rsidTr="00423DF1">
        <w:tc>
          <w:tcPr>
            <w:tcW w:w="9362" w:type="dxa"/>
            <w:gridSpan w:val="3"/>
          </w:tcPr>
          <w:p w14:paraId="4D7A6F9D" w14:textId="77777777" w:rsidR="00A24AB4" w:rsidRPr="00CF4E9F" w:rsidRDefault="00A24AB4" w:rsidP="00E4666F">
            <w:pPr>
              <w:pStyle w:val="zSoquijdatNomProcureurDef"/>
              <w:spacing w:line="160" w:lineRule="exact"/>
              <w:rPr>
                <w:lang w:val="en-CA"/>
              </w:rPr>
            </w:pPr>
          </w:p>
        </w:tc>
      </w:tr>
      <w:tr w:rsidR="00632CD2" w:rsidRPr="00CF4E9F" w14:paraId="641FC875" w14:textId="77777777" w:rsidTr="00423DF1">
        <w:tc>
          <w:tcPr>
            <w:tcW w:w="9362" w:type="dxa"/>
            <w:gridSpan w:val="3"/>
          </w:tcPr>
          <w:p w14:paraId="5848D1A0" w14:textId="01AC06F1" w:rsidR="00A24AB4" w:rsidRPr="00077E55" w:rsidRDefault="0043013D" w:rsidP="00A24AB4">
            <w:pPr>
              <w:pStyle w:val="zSoquijdatNomProcureurDef"/>
            </w:pPr>
            <w:r w:rsidRPr="00077E55">
              <w:t>M</w:t>
            </w:r>
            <w:r w:rsidR="00155556" w:rsidRPr="00077E55">
              <w:t>tr</w:t>
            </w:r>
            <w:r w:rsidRPr="00077E55">
              <w:t>e Joshua Wilner</w:t>
            </w:r>
          </w:p>
          <w:p w14:paraId="70FA3329" w14:textId="4554C255" w:rsidR="00A24AB4" w:rsidRPr="00077E55" w:rsidRDefault="0043013D" w:rsidP="00A24AB4">
            <w:pPr>
              <w:pStyle w:val="zSoquijdatNomProcureurDef"/>
            </w:pPr>
            <w:r w:rsidRPr="00077E55">
              <w:t>M</w:t>
            </w:r>
            <w:r w:rsidR="00155556" w:rsidRPr="00077E55">
              <w:t>tr</w:t>
            </w:r>
            <w:r w:rsidRPr="00077E55">
              <w:t>e Claude Joyal</w:t>
            </w:r>
          </w:p>
          <w:p w14:paraId="76458582" w14:textId="0ADECC63" w:rsidR="00A24AB4" w:rsidRPr="00CF4E9F" w:rsidRDefault="0043013D" w:rsidP="00A24AB4">
            <w:pPr>
              <w:pStyle w:val="zSoquijdatNomProcureurDef"/>
              <w:rPr>
                <w:lang w:val="en-CA"/>
              </w:rPr>
            </w:pPr>
            <w:r w:rsidRPr="00CF4E9F">
              <w:rPr>
                <w:lang w:val="en-CA"/>
              </w:rPr>
              <w:t>M</w:t>
            </w:r>
            <w:r w:rsidR="00155556" w:rsidRPr="00CF4E9F">
              <w:rPr>
                <w:lang w:val="en-CA"/>
              </w:rPr>
              <w:t>tr</w:t>
            </w:r>
            <w:r w:rsidRPr="00CF4E9F">
              <w:rPr>
                <w:lang w:val="en-CA"/>
              </w:rPr>
              <w:t>e Rym Laoufi</w:t>
            </w:r>
          </w:p>
        </w:tc>
      </w:tr>
      <w:tr w:rsidR="00632CD2" w:rsidRPr="00CF4E9F" w14:paraId="443D18C7" w14:textId="77777777" w:rsidTr="00423DF1">
        <w:tc>
          <w:tcPr>
            <w:tcW w:w="9362" w:type="dxa"/>
            <w:gridSpan w:val="3"/>
          </w:tcPr>
          <w:p w14:paraId="325A10A3" w14:textId="4E29CB0A" w:rsidR="00A24AB4" w:rsidRPr="00CF4E9F" w:rsidRDefault="0043013D" w:rsidP="00A24AB4">
            <w:pPr>
              <w:pStyle w:val="zSoquijdatCabinetProcureurDef"/>
              <w:rPr>
                <w:smallCaps/>
                <w:lang w:val="en-CA"/>
              </w:rPr>
            </w:pPr>
            <w:r w:rsidRPr="00CF4E9F">
              <w:rPr>
                <w:smallCaps/>
                <w:lang w:val="en-CA"/>
              </w:rPr>
              <w:t>justice canada</w:t>
            </w:r>
          </w:p>
        </w:tc>
      </w:tr>
      <w:tr w:rsidR="00632CD2" w:rsidRPr="00077E55" w14:paraId="65968059" w14:textId="77777777" w:rsidTr="00423DF1">
        <w:tc>
          <w:tcPr>
            <w:tcW w:w="9362" w:type="dxa"/>
            <w:gridSpan w:val="3"/>
          </w:tcPr>
          <w:p w14:paraId="76EC62C8" w14:textId="48EA3877" w:rsidR="00A24AB4" w:rsidRPr="00CF4E9F" w:rsidRDefault="00155556" w:rsidP="00A24AB4">
            <w:pPr>
              <w:pStyle w:val="zSoquijlblProcureurDef"/>
              <w:rPr>
                <w:lang w:val="en-CA"/>
              </w:rPr>
            </w:pPr>
            <w:r w:rsidRPr="00CF4E9F">
              <w:rPr>
                <w:lang w:val="en-CA"/>
              </w:rPr>
              <w:t xml:space="preserve">For the impleaded party Attorney General of </w:t>
            </w:r>
            <w:r w:rsidR="0043013D" w:rsidRPr="00CF4E9F">
              <w:rPr>
                <w:lang w:val="en-CA"/>
              </w:rPr>
              <w:t>Canada</w:t>
            </w:r>
          </w:p>
        </w:tc>
      </w:tr>
      <w:tr w:rsidR="00632CD2" w:rsidRPr="00077E55" w14:paraId="615EF134" w14:textId="77777777" w:rsidTr="00423DF1">
        <w:tc>
          <w:tcPr>
            <w:tcW w:w="9362" w:type="dxa"/>
            <w:gridSpan w:val="3"/>
          </w:tcPr>
          <w:p w14:paraId="1C5E1BD8" w14:textId="77777777" w:rsidR="00A24AB4" w:rsidRPr="00CF4E9F" w:rsidRDefault="00A24AB4" w:rsidP="00E4666F">
            <w:pPr>
              <w:spacing w:line="160" w:lineRule="exact"/>
              <w:rPr>
                <w:lang w:val="en-CA"/>
              </w:rPr>
            </w:pPr>
          </w:p>
        </w:tc>
      </w:tr>
      <w:tr w:rsidR="00632CD2" w:rsidRPr="00CF4E9F" w14:paraId="5DA39727" w14:textId="77777777" w:rsidTr="00423DF1">
        <w:tc>
          <w:tcPr>
            <w:tcW w:w="9362" w:type="dxa"/>
            <w:gridSpan w:val="3"/>
          </w:tcPr>
          <w:p w14:paraId="5A74BDDA" w14:textId="6F8DECAE" w:rsidR="00A24AB4" w:rsidRPr="00077E55" w:rsidRDefault="0043013D" w:rsidP="00A24AB4">
            <w:pPr>
              <w:pStyle w:val="zSoquijdatNomProcureurDef"/>
            </w:pPr>
            <w:r w:rsidRPr="00077E55">
              <w:t>M</w:t>
            </w:r>
            <w:r w:rsidR="00155556" w:rsidRPr="00077E55">
              <w:t>tr</w:t>
            </w:r>
            <w:r w:rsidRPr="00077E55">
              <w:t>e Karine Joizil</w:t>
            </w:r>
          </w:p>
          <w:p w14:paraId="066C2DC4" w14:textId="36ED65B4" w:rsidR="00A24AB4" w:rsidRPr="00077E55" w:rsidRDefault="0043013D" w:rsidP="00A24AB4">
            <w:pPr>
              <w:pStyle w:val="zSoquijdatNomProcureurDef"/>
            </w:pPr>
            <w:r w:rsidRPr="00077E55">
              <w:t>M</w:t>
            </w:r>
            <w:r w:rsidR="00155556" w:rsidRPr="00077E55">
              <w:t>tr</w:t>
            </w:r>
            <w:r w:rsidRPr="00077E55">
              <w:t>e Bianca Annie Marcelin</w:t>
            </w:r>
          </w:p>
          <w:p w14:paraId="12583986" w14:textId="202544FF" w:rsidR="00A24AB4" w:rsidRPr="00CF4E9F" w:rsidRDefault="0043013D" w:rsidP="00A24AB4">
            <w:pPr>
              <w:pStyle w:val="zSoquijdatNomProcureurDef"/>
              <w:rPr>
                <w:lang w:val="en-CA"/>
              </w:rPr>
            </w:pPr>
            <w:r w:rsidRPr="00CF4E9F">
              <w:rPr>
                <w:lang w:val="en-CA"/>
              </w:rPr>
              <w:t>M</w:t>
            </w:r>
            <w:r w:rsidR="00155556" w:rsidRPr="00CF4E9F">
              <w:rPr>
                <w:lang w:val="en-CA"/>
              </w:rPr>
              <w:t>tr</w:t>
            </w:r>
            <w:r w:rsidRPr="00CF4E9F">
              <w:rPr>
                <w:lang w:val="en-CA"/>
              </w:rPr>
              <w:t>e Sajeda Hedaraly</w:t>
            </w:r>
          </w:p>
        </w:tc>
      </w:tr>
      <w:tr w:rsidR="00632CD2" w:rsidRPr="00CF4E9F" w14:paraId="30E1E157" w14:textId="77777777" w:rsidTr="00423DF1">
        <w:tc>
          <w:tcPr>
            <w:tcW w:w="9362" w:type="dxa"/>
            <w:gridSpan w:val="3"/>
          </w:tcPr>
          <w:p w14:paraId="67EAAC53" w14:textId="00F3361C" w:rsidR="00A24AB4" w:rsidRPr="00CF4E9F" w:rsidRDefault="0043013D" w:rsidP="00A24AB4">
            <w:pPr>
              <w:pStyle w:val="zSoquijdatCabinetProcureurDef"/>
              <w:rPr>
                <w:smallCaps/>
                <w:lang w:val="en-CA"/>
              </w:rPr>
            </w:pPr>
            <w:r w:rsidRPr="00CF4E9F">
              <w:rPr>
                <w:smallCaps/>
                <w:lang w:val="en-CA"/>
              </w:rPr>
              <w:t>m</w:t>
            </w:r>
            <w:r w:rsidRPr="00CF4E9F">
              <w:rPr>
                <w:lang w:val="en-CA"/>
              </w:rPr>
              <w:t>c</w:t>
            </w:r>
            <w:r w:rsidRPr="00CF4E9F">
              <w:rPr>
                <w:smallCaps/>
                <w:lang w:val="en-CA"/>
              </w:rPr>
              <w:t>carthy tétrault</w:t>
            </w:r>
          </w:p>
        </w:tc>
      </w:tr>
      <w:tr w:rsidR="00632CD2" w:rsidRPr="00077E55" w14:paraId="4F2C8165" w14:textId="77777777" w:rsidTr="00A828C9">
        <w:tc>
          <w:tcPr>
            <w:tcW w:w="9362" w:type="dxa"/>
            <w:gridSpan w:val="3"/>
            <w:tcBorders>
              <w:bottom w:val="nil"/>
            </w:tcBorders>
          </w:tcPr>
          <w:p w14:paraId="648EA3BD" w14:textId="2ACD8CFB" w:rsidR="00A24AB4" w:rsidRPr="00CF4E9F" w:rsidRDefault="00155556" w:rsidP="00A24AB4">
            <w:pPr>
              <w:pStyle w:val="zSoquijlblProcureurDef"/>
              <w:rPr>
                <w:lang w:val="en-CA"/>
              </w:rPr>
            </w:pPr>
            <w:r w:rsidRPr="00CF4E9F">
              <w:rPr>
                <w:lang w:val="en-CA"/>
              </w:rPr>
              <w:t>For the impleaded party</w:t>
            </w:r>
            <w:r w:rsidR="0043013D" w:rsidRPr="00CF4E9F">
              <w:rPr>
                <w:lang w:val="en-CA"/>
              </w:rPr>
              <w:t xml:space="preserve"> Canadian Association of Black Lawyers</w:t>
            </w:r>
          </w:p>
        </w:tc>
      </w:tr>
      <w:tr w:rsidR="00632CD2" w:rsidRPr="00077E55" w14:paraId="159F612F" w14:textId="77777777" w:rsidTr="00A828C9">
        <w:tc>
          <w:tcPr>
            <w:tcW w:w="9362" w:type="dxa"/>
            <w:gridSpan w:val="3"/>
            <w:tcBorders>
              <w:top w:val="nil"/>
              <w:bottom w:val="nil"/>
            </w:tcBorders>
          </w:tcPr>
          <w:p w14:paraId="021909F3" w14:textId="77777777" w:rsidR="00A24AB4" w:rsidRPr="00CF4E9F" w:rsidRDefault="00A24AB4" w:rsidP="00E4666F">
            <w:pPr>
              <w:spacing w:line="160" w:lineRule="exact"/>
              <w:rPr>
                <w:lang w:val="en-CA"/>
              </w:rPr>
            </w:pPr>
          </w:p>
        </w:tc>
      </w:tr>
      <w:tr w:rsidR="00632CD2" w:rsidRPr="00CF4E9F" w14:paraId="7BB9F40E" w14:textId="77777777" w:rsidTr="0061658E">
        <w:tc>
          <w:tcPr>
            <w:tcW w:w="9362" w:type="dxa"/>
            <w:gridSpan w:val="3"/>
            <w:tcBorders>
              <w:top w:val="nil"/>
            </w:tcBorders>
          </w:tcPr>
          <w:p w14:paraId="113C0DCE" w14:textId="489E0C6E" w:rsidR="00A24AB4" w:rsidRPr="00077E55" w:rsidRDefault="0043013D" w:rsidP="00A24AB4">
            <w:pPr>
              <w:pStyle w:val="zSoquijdatNomProcureurDef"/>
            </w:pPr>
            <w:r w:rsidRPr="00077E55">
              <w:t>M</w:t>
            </w:r>
            <w:r w:rsidR="00155556" w:rsidRPr="00077E55">
              <w:t>tr</w:t>
            </w:r>
            <w:r w:rsidRPr="00077E55">
              <w:t>e Ivan da Fonseca</w:t>
            </w:r>
          </w:p>
          <w:p w14:paraId="190F5198" w14:textId="77EEA56C" w:rsidR="00A24AB4" w:rsidRPr="00077E55" w:rsidRDefault="0043013D" w:rsidP="00A24AB4">
            <w:pPr>
              <w:pStyle w:val="zSoquijdatNomProcureurDef"/>
            </w:pPr>
            <w:r w:rsidRPr="00077E55">
              <w:t>M</w:t>
            </w:r>
            <w:r w:rsidR="00155556" w:rsidRPr="00077E55">
              <w:t>tr</w:t>
            </w:r>
            <w:r w:rsidRPr="00077E55">
              <w:t>e Claire K.A. Peacock</w:t>
            </w:r>
          </w:p>
        </w:tc>
      </w:tr>
      <w:tr w:rsidR="00632CD2" w:rsidRPr="00CF4E9F" w14:paraId="260A21AB" w14:textId="77777777" w:rsidTr="00423DF1">
        <w:tc>
          <w:tcPr>
            <w:tcW w:w="9362" w:type="dxa"/>
            <w:gridSpan w:val="3"/>
          </w:tcPr>
          <w:p w14:paraId="27D4B400" w14:textId="692BF457" w:rsidR="00A24AB4" w:rsidRPr="00CF4E9F" w:rsidRDefault="0043013D" w:rsidP="00A24AB4">
            <w:pPr>
              <w:pStyle w:val="zSoquijdatCabinetProcureurDef"/>
              <w:rPr>
                <w:smallCaps/>
                <w:lang w:val="en-CA"/>
              </w:rPr>
            </w:pPr>
            <w:r w:rsidRPr="00CF4E9F">
              <w:rPr>
                <w:smallCaps/>
                <w:lang w:val="en-CA"/>
              </w:rPr>
              <w:t>delegatus services juridiques</w:t>
            </w:r>
          </w:p>
        </w:tc>
      </w:tr>
      <w:tr w:rsidR="00632CD2" w:rsidRPr="00077E55" w14:paraId="22844ECC" w14:textId="77777777" w:rsidTr="000554CC">
        <w:tc>
          <w:tcPr>
            <w:tcW w:w="9362" w:type="dxa"/>
            <w:gridSpan w:val="3"/>
            <w:tcBorders>
              <w:bottom w:val="nil"/>
            </w:tcBorders>
          </w:tcPr>
          <w:p w14:paraId="6DBA6367" w14:textId="26F21CB2" w:rsidR="00A24AB4" w:rsidRPr="00CF4E9F" w:rsidRDefault="00155556" w:rsidP="00A24AB4">
            <w:pPr>
              <w:pStyle w:val="zSoquijlblProcureurDef"/>
              <w:rPr>
                <w:lang w:val="en-CA"/>
              </w:rPr>
            </w:pPr>
            <w:r w:rsidRPr="00CF4E9F">
              <w:rPr>
                <w:lang w:val="en-CA"/>
              </w:rPr>
              <w:t>For the interven</w:t>
            </w:r>
            <w:r w:rsidR="00383179" w:rsidRPr="00CF4E9F">
              <w:rPr>
                <w:lang w:val="en-CA"/>
              </w:rPr>
              <w:t>e</w:t>
            </w:r>
            <w:r w:rsidRPr="00CF4E9F">
              <w:rPr>
                <w:lang w:val="en-CA"/>
              </w:rPr>
              <w:t xml:space="preserve">r </w:t>
            </w:r>
            <w:r w:rsidR="0043013D" w:rsidRPr="00CF4E9F">
              <w:rPr>
                <w:lang w:val="en-CA"/>
              </w:rPr>
              <w:t>British Columbia Civil Liberties Association</w:t>
            </w:r>
          </w:p>
        </w:tc>
      </w:tr>
      <w:tr w:rsidR="00632CD2" w:rsidRPr="00077E55" w14:paraId="62CEE53C" w14:textId="77777777" w:rsidTr="000554CC">
        <w:tc>
          <w:tcPr>
            <w:tcW w:w="9362" w:type="dxa"/>
            <w:gridSpan w:val="3"/>
            <w:tcBorders>
              <w:top w:val="nil"/>
            </w:tcBorders>
          </w:tcPr>
          <w:p w14:paraId="0F26E940" w14:textId="77777777" w:rsidR="00A24AB4" w:rsidRPr="00CF4E9F" w:rsidRDefault="00A24AB4" w:rsidP="00E4666F">
            <w:pPr>
              <w:spacing w:line="160" w:lineRule="exact"/>
              <w:rPr>
                <w:lang w:val="en-CA"/>
              </w:rPr>
            </w:pPr>
          </w:p>
        </w:tc>
      </w:tr>
      <w:tr w:rsidR="00632CD2" w:rsidRPr="00CF4E9F" w14:paraId="608F2F38" w14:textId="77777777" w:rsidTr="00423DF1">
        <w:tc>
          <w:tcPr>
            <w:tcW w:w="9362" w:type="dxa"/>
            <w:gridSpan w:val="3"/>
          </w:tcPr>
          <w:p w14:paraId="363D1659" w14:textId="0042BDB8" w:rsidR="00A24AB4" w:rsidRPr="00CF4E9F" w:rsidRDefault="0043013D" w:rsidP="00A24AB4">
            <w:pPr>
              <w:pStyle w:val="zSoquijdatNomProcureurDef"/>
              <w:rPr>
                <w:lang w:val="en-CA"/>
              </w:rPr>
            </w:pPr>
            <w:r w:rsidRPr="00CF4E9F">
              <w:rPr>
                <w:lang w:val="en-CA"/>
              </w:rPr>
              <w:t>M</w:t>
            </w:r>
            <w:r w:rsidR="00155556" w:rsidRPr="00CF4E9F">
              <w:rPr>
                <w:lang w:val="en-CA"/>
              </w:rPr>
              <w:t>tr</w:t>
            </w:r>
            <w:r w:rsidRPr="00CF4E9F">
              <w:rPr>
                <w:lang w:val="en-CA"/>
              </w:rPr>
              <w:t>e Fernando Belton</w:t>
            </w:r>
          </w:p>
        </w:tc>
      </w:tr>
      <w:tr w:rsidR="00632CD2" w:rsidRPr="00CF4E9F" w14:paraId="320413E4" w14:textId="77777777" w:rsidTr="00423DF1">
        <w:tc>
          <w:tcPr>
            <w:tcW w:w="9362" w:type="dxa"/>
            <w:gridSpan w:val="3"/>
          </w:tcPr>
          <w:p w14:paraId="70135DD8" w14:textId="1D80BE0D" w:rsidR="00A24AB4" w:rsidRPr="00CF4E9F" w:rsidRDefault="0043013D" w:rsidP="00A24AB4">
            <w:pPr>
              <w:pStyle w:val="zSoquijdatCabinetProcureurDef"/>
              <w:rPr>
                <w:smallCaps/>
                <w:lang w:val="en-CA"/>
              </w:rPr>
            </w:pPr>
            <w:r w:rsidRPr="00CF4E9F">
              <w:rPr>
                <w:smallCaps/>
                <w:lang w:val="en-CA"/>
              </w:rPr>
              <w:t>belton avocats</w:t>
            </w:r>
          </w:p>
        </w:tc>
      </w:tr>
      <w:tr w:rsidR="00632CD2" w:rsidRPr="00FE01DE" w14:paraId="4EF30643" w14:textId="77777777" w:rsidTr="00423DF1">
        <w:tc>
          <w:tcPr>
            <w:tcW w:w="9362" w:type="dxa"/>
            <w:gridSpan w:val="3"/>
          </w:tcPr>
          <w:p w14:paraId="170C53AE" w14:textId="706CCA31" w:rsidR="00A24AB4" w:rsidRPr="00077E55" w:rsidRDefault="0043013D" w:rsidP="00A24AB4">
            <w:pPr>
              <w:pStyle w:val="zSoquijdatNomProcureurDef"/>
            </w:pPr>
            <w:r w:rsidRPr="00077E55">
              <w:t>M</w:t>
            </w:r>
            <w:r w:rsidR="00155556" w:rsidRPr="00077E55">
              <w:t>tr</w:t>
            </w:r>
            <w:r w:rsidRPr="00077E55">
              <w:t>e Sarah Warda El Alaoui</w:t>
            </w:r>
          </w:p>
        </w:tc>
      </w:tr>
      <w:tr w:rsidR="00632CD2" w:rsidRPr="00CF4E9F" w14:paraId="075B9984" w14:textId="77777777" w:rsidTr="00423DF1">
        <w:tc>
          <w:tcPr>
            <w:tcW w:w="9362" w:type="dxa"/>
            <w:gridSpan w:val="3"/>
          </w:tcPr>
          <w:p w14:paraId="27371634" w14:textId="2E0F96A8" w:rsidR="00A24AB4" w:rsidRPr="00CF4E9F" w:rsidRDefault="0043013D" w:rsidP="00A24AB4">
            <w:pPr>
              <w:pStyle w:val="zSoquijdatCabinetProcureurDef"/>
              <w:rPr>
                <w:smallCaps/>
                <w:lang w:val="en-CA"/>
              </w:rPr>
            </w:pPr>
            <w:r w:rsidRPr="00CF4E9F">
              <w:rPr>
                <w:smallCaps/>
                <w:lang w:val="en-CA"/>
              </w:rPr>
              <w:t>lafortune cadieux</w:t>
            </w:r>
          </w:p>
        </w:tc>
      </w:tr>
      <w:tr w:rsidR="00632CD2" w:rsidRPr="00CF4E9F" w14:paraId="691B5BA7" w14:textId="77777777" w:rsidTr="00423DF1">
        <w:tc>
          <w:tcPr>
            <w:tcW w:w="9362" w:type="dxa"/>
            <w:gridSpan w:val="3"/>
          </w:tcPr>
          <w:p w14:paraId="617BE55F" w14:textId="09AB9880" w:rsidR="00A24AB4" w:rsidRPr="00077E55" w:rsidRDefault="00155556" w:rsidP="00A24AB4">
            <w:pPr>
              <w:pStyle w:val="zSoquijlblProcureurDef"/>
            </w:pPr>
            <w:r w:rsidRPr="00077E55">
              <w:t>For the interven</w:t>
            </w:r>
            <w:r w:rsidR="00383179" w:rsidRPr="00077E55">
              <w:t>e</w:t>
            </w:r>
            <w:r w:rsidRPr="00077E55">
              <w:t xml:space="preserve">r </w:t>
            </w:r>
            <w:r w:rsidR="0043013D" w:rsidRPr="00077E55">
              <w:t>Clinique juridique de Saint-Michel</w:t>
            </w:r>
          </w:p>
        </w:tc>
      </w:tr>
      <w:tr w:rsidR="00632CD2" w:rsidRPr="00CF4E9F" w14:paraId="5F69B4C1" w14:textId="77777777" w:rsidTr="00423DF1">
        <w:tc>
          <w:tcPr>
            <w:tcW w:w="9362" w:type="dxa"/>
            <w:gridSpan w:val="3"/>
          </w:tcPr>
          <w:p w14:paraId="1E95444B" w14:textId="77777777" w:rsidR="00A24AB4" w:rsidRPr="00077E55" w:rsidRDefault="00A24AB4" w:rsidP="00E4666F">
            <w:pPr>
              <w:spacing w:line="160" w:lineRule="exact"/>
            </w:pPr>
          </w:p>
        </w:tc>
      </w:tr>
      <w:tr w:rsidR="00632CD2" w:rsidRPr="00CF4E9F" w14:paraId="7046FBBA" w14:textId="77777777" w:rsidTr="00423DF1">
        <w:tc>
          <w:tcPr>
            <w:tcW w:w="9362" w:type="dxa"/>
            <w:gridSpan w:val="3"/>
          </w:tcPr>
          <w:p w14:paraId="6F2D11F4" w14:textId="5A39C0C0" w:rsidR="00A24AB4" w:rsidRPr="00077E55" w:rsidRDefault="0043013D" w:rsidP="00A24AB4">
            <w:pPr>
              <w:pStyle w:val="zSoquijdatNomProcureurDef"/>
            </w:pPr>
            <w:r w:rsidRPr="00077E55">
              <w:t>M</w:t>
            </w:r>
            <w:r w:rsidR="00155556" w:rsidRPr="00077E55">
              <w:t>tr</w:t>
            </w:r>
            <w:r w:rsidRPr="00077E55">
              <w:t>e Christine Campbell</w:t>
            </w:r>
          </w:p>
          <w:p w14:paraId="75484333" w14:textId="6069FBBC" w:rsidR="00A24AB4" w:rsidRPr="00077E55" w:rsidRDefault="0043013D" w:rsidP="00A24AB4">
            <w:pPr>
              <w:pStyle w:val="zSoquijdatNomProcureurDef"/>
            </w:pPr>
            <w:r w:rsidRPr="00077E55">
              <w:t>M</w:t>
            </w:r>
            <w:r w:rsidR="00155556" w:rsidRPr="00077E55">
              <w:t>tr</w:t>
            </w:r>
            <w:r w:rsidRPr="00077E55">
              <w:t>e Emma Tardieu</w:t>
            </w:r>
          </w:p>
        </w:tc>
      </w:tr>
      <w:tr w:rsidR="00632CD2" w:rsidRPr="00CF4E9F" w14:paraId="5CF121A4" w14:textId="77777777" w:rsidTr="00423DF1">
        <w:tc>
          <w:tcPr>
            <w:tcW w:w="9362" w:type="dxa"/>
            <w:gridSpan w:val="3"/>
          </w:tcPr>
          <w:p w14:paraId="6E3406AE" w14:textId="716AC8F2" w:rsidR="00A24AB4" w:rsidRPr="00CF4E9F" w:rsidRDefault="0043013D" w:rsidP="00A24AB4">
            <w:pPr>
              <w:pStyle w:val="zSoquijdatCabinetProcureurDef"/>
              <w:rPr>
                <w:smallCaps/>
                <w:lang w:val="en-CA"/>
              </w:rPr>
            </w:pPr>
            <w:r w:rsidRPr="00CF4E9F">
              <w:rPr>
                <w:smallCaps/>
                <w:lang w:val="en-CA"/>
              </w:rPr>
              <w:t>bitzakidis clément-major fournier</w:t>
            </w:r>
          </w:p>
        </w:tc>
      </w:tr>
      <w:tr w:rsidR="00632CD2" w:rsidRPr="00CF4E9F" w14:paraId="2805A955" w14:textId="77777777" w:rsidTr="00423DF1">
        <w:tc>
          <w:tcPr>
            <w:tcW w:w="9362" w:type="dxa"/>
            <w:gridSpan w:val="3"/>
          </w:tcPr>
          <w:p w14:paraId="29A48817" w14:textId="612AB177" w:rsidR="00A24AB4" w:rsidRPr="00077E55" w:rsidRDefault="00155556" w:rsidP="00A24AB4">
            <w:pPr>
              <w:pStyle w:val="zSoquijlblProcureurDef"/>
            </w:pPr>
            <w:r w:rsidRPr="00077E55">
              <w:t>For the interven</w:t>
            </w:r>
            <w:r w:rsidR="00383179" w:rsidRPr="00077E55">
              <w:t>e</w:t>
            </w:r>
            <w:r w:rsidRPr="00077E55">
              <w:t xml:space="preserve">r </w:t>
            </w:r>
            <w:r w:rsidR="0043013D" w:rsidRPr="00077E55">
              <w:t>Commission des droits de la personne et des droits de la jeunesse</w:t>
            </w:r>
          </w:p>
        </w:tc>
      </w:tr>
      <w:tr w:rsidR="00632CD2" w:rsidRPr="00CF4E9F" w14:paraId="287470F5" w14:textId="77777777" w:rsidTr="00BF33E3">
        <w:tc>
          <w:tcPr>
            <w:tcW w:w="9362" w:type="dxa"/>
            <w:gridSpan w:val="3"/>
            <w:tcBorders>
              <w:bottom w:val="nil"/>
            </w:tcBorders>
          </w:tcPr>
          <w:p w14:paraId="5986EE65" w14:textId="77777777" w:rsidR="00A24AB4" w:rsidRPr="00077E55" w:rsidRDefault="00A24AB4" w:rsidP="0079777F">
            <w:pPr>
              <w:spacing w:line="200" w:lineRule="exact"/>
            </w:pPr>
          </w:p>
        </w:tc>
      </w:tr>
      <w:tr w:rsidR="00632CD2" w:rsidRPr="00CF4E9F" w14:paraId="1AC32400" w14:textId="77777777" w:rsidTr="00BF33E3">
        <w:tc>
          <w:tcPr>
            <w:tcW w:w="1997" w:type="dxa"/>
            <w:tcBorders>
              <w:top w:val="nil"/>
            </w:tcBorders>
          </w:tcPr>
          <w:p w14:paraId="161E3FCC" w14:textId="4D9C2D09" w:rsidR="00A24AB4" w:rsidRPr="00CF4E9F" w:rsidRDefault="0043013D" w:rsidP="00A24AB4">
            <w:pPr>
              <w:pStyle w:val="zSoquijlblDateAudience"/>
              <w:rPr>
                <w:lang w:val="en-CA"/>
              </w:rPr>
            </w:pPr>
            <w:r w:rsidRPr="00CF4E9F">
              <w:rPr>
                <w:lang w:val="en-CA"/>
              </w:rPr>
              <w:t xml:space="preserve">Dates </w:t>
            </w:r>
            <w:r w:rsidR="00155556" w:rsidRPr="00CF4E9F">
              <w:rPr>
                <w:lang w:val="en-CA"/>
              </w:rPr>
              <w:t>of hearing</w:t>
            </w:r>
            <w:r w:rsidRPr="00CF4E9F">
              <w:rPr>
                <w:lang w:val="en-CA"/>
              </w:rPr>
              <w:t>:</w:t>
            </w:r>
          </w:p>
        </w:tc>
        <w:tc>
          <w:tcPr>
            <w:tcW w:w="7365" w:type="dxa"/>
            <w:gridSpan w:val="2"/>
            <w:tcBorders>
              <w:top w:val="nil"/>
            </w:tcBorders>
          </w:tcPr>
          <w:p w14:paraId="218231F4" w14:textId="47860B00" w:rsidR="00A24AB4" w:rsidRPr="00CF4E9F" w:rsidRDefault="0043013D" w:rsidP="00A24AB4">
            <w:pPr>
              <w:pStyle w:val="zSoquijdatDateAudience"/>
              <w:rPr>
                <w:lang w:val="en-CA"/>
              </w:rPr>
            </w:pPr>
            <w:r w:rsidRPr="00CF4E9F">
              <w:rPr>
                <w:lang w:val="en-CA"/>
              </w:rPr>
              <w:t xml:space="preserve"> </w:t>
            </w:r>
            <w:r w:rsidR="00155556" w:rsidRPr="00CF4E9F">
              <w:rPr>
                <w:lang w:val="en-CA"/>
              </w:rPr>
              <w:t xml:space="preserve">March </w:t>
            </w:r>
            <w:r w:rsidRPr="00CF4E9F">
              <w:rPr>
                <w:lang w:val="en-CA"/>
              </w:rPr>
              <w:t xml:space="preserve">5 </w:t>
            </w:r>
            <w:r w:rsidR="00155556" w:rsidRPr="00CF4E9F">
              <w:rPr>
                <w:lang w:val="en-CA"/>
              </w:rPr>
              <w:t>and</w:t>
            </w:r>
            <w:r w:rsidRPr="00CF4E9F">
              <w:rPr>
                <w:lang w:val="en-CA"/>
              </w:rPr>
              <w:t xml:space="preserve"> 6</w:t>
            </w:r>
            <w:r w:rsidR="00155556" w:rsidRPr="00CF4E9F">
              <w:rPr>
                <w:lang w:val="en-CA"/>
              </w:rPr>
              <w:t>,</w:t>
            </w:r>
            <w:r w:rsidRPr="00CF4E9F">
              <w:rPr>
                <w:lang w:val="en-CA"/>
              </w:rPr>
              <w:t xml:space="preserve"> 2024</w:t>
            </w:r>
          </w:p>
        </w:tc>
      </w:tr>
      <w:bookmarkEnd w:id="4"/>
    </w:tbl>
    <w:p w14:paraId="4B48DCFB" w14:textId="77777777" w:rsidR="00740A17" w:rsidRPr="00CF4E9F" w:rsidRDefault="00740A17" w:rsidP="00E4666F">
      <w:pPr>
        <w:rPr>
          <w:lang w:val="en-CA"/>
        </w:rPr>
      </w:pPr>
    </w:p>
    <w:sectPr w:rsidR="00740A17" w:rsidRPr="00CF4E9F" w:rsidSect="00D757DC">
      <w:pgSz w:w="12242" w:h="15842" w:code="1"/>
      <w:pgMar w:top="1440" w:right="1008" w:bottom="1440" w:left="1872" w:header="1440" w:footer="792" w:gutter="0"/>
      <w:paperSrc w:first="4" w:other="4"/>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8EF8" w14:textId="77777777" w:rsidR="00937C49" w:rsidRDefault="00937C49">
      <w:pPr>
        <w:spacing w:line="240" w:lineRule="auto"/>
      </w:pPr>
      <w:r>
        <w:separator/>
      </w:r>
    </w:p>
  </w:endnote>
  <w:endnote w:type="continuationSeparator" w:id="0">
    <w:p w14:paraId="138DB90D" w14:textId="77777777" w:rsidR="00937C49" w:rsidRDefault="00937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EE4E" w14:textId="0BCA6070" w:rsidR="00350F07" w:rsidRPr="00077E55" w:rsidRDefault="00350F07" w:rsidP="003A7DC3">
    <w:pPr>
      <w:pStyle w:val="Pieddepage"/>
      <w:jc w:val="right"/>
      <w:rPr>
        <w:b/>
        <w:bCs/>
        <w:lang w:val="en-CA"/>
      </w:rPr>
    </w:pPr>
    <w:r w:rsidRPr="00077E55">
      <w:rPr>
        <w:b/>
        <w:bCs/>
        <w:lang w:val="en-CA"/>
      </w:rPr>
      <w:t xml:space="preserve">English </w:t>
    </w:r>
    <w:r w:rsidR="00C01233" w:rsidRPr="00077E55">
      <w:rPr>
        <w:b/>
        <w:bCs/>
        <w:lang w:val="en-CA"/>
      </w:rPr>
      <w:t>t</w:t>
    </w:r>
    <w:r w:rsidRPr="00077E55">
      <w:rPr>
        <w:b/>
        <w:bCs/>
        <w:lang w:val="en-CA"/>
      </w:rPr>
      <w:t xml:space="preserve">ranslation of the </w:t>
    </w:r>
    <w:r w:rsidR="00C01233" w:rsidRPr="00077E55">
      <w:rPr>
        <w:b/>
        <w:bCs/>
        <w:lang w:val="en-CA"/>
      </w:rPr>
      <w:t>j</w:t>
    </w:r>
    <w:r w:rsidRPr="00077E55">
      <w:rPr>
        <w:b/>
        <w:bCs/>
        <w:lang w:val="en-CA"/>
      </w:rPr>
      <w:t>udgment of the Court by SOQUIJ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0116" w14:textId="3FE69243" w:rsidR="00077E95" w:rsidRPr="003A7DC3" w:rsidRDefault="00077E95" w:rsidP="003A7DC3">
    <w:pPr>
      <w:pStyle w:val="Pieddepage"/>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33A1" w14:textId="77777777" w:rsidR="003D0F27" w:rsidRPr="00077E55" w:rsidRDefault="003D0F27" w:rsidP="003A7DC3">
    <w:pPr>
      <w:pStyle w:val="Pieddepage"/>
      <w:jc w:val="right"/>
      <w:rPr>
        <w:b/>
        <w:bCs/>
        <w:lang w:val="en-CA"/>
      </w:rPr>
    </w:pPr>
    <w:r w:rsidRPr="00077E55">
      <w:rPr>
        <w:b/>
        <w:bCs/>
        <w:lang w:val="en-CA"/>
      </w:rPr>
      <w:t>English translation of the judgment of the Court by SOQUIJ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C124" w14:textId="77777777" w:rsidR="00937C49" w:rsidRDefault="00937C49">
      <w:r>
        <w:separator/>
      </w:r>
    </w:p>
  </w:footnote>
  <w:footnote w:type="continuationSeparator" w:id="0">
    <w:p w14:paraId="68D42263" w14:textId="77777777" w:rsidR="00937C49" w:rsidRDefault="00937C49">
      <w:r>
        <w:continuationSeparator/>
      </w:r>
    </w:p>
  </w:footnote>
  <w:footnote w:id="1">
    <w:p w14:paraId="25BE004B" w14:textId="4C2C1AF8" w:rsidR="00360D2E" w:rsidRPr="00077E55" w:rsidRDefault="00360D2E" w:rsidP="00360D2E">
      <w:pPr>
        <w:pStyle w:val="Notedebasdepage"/>
      </w:pPr>
      <w:r w:rsidRPr="0045720B">
        <w:rPr>
          <w:rStyle w:val="Appelnotedebasdep"/>
          <w:lang w:val="en-CA"/>
        </w:rPr>
        <w:footnoteRef/>
      </w:r>
      <w:r w:rsidRPr="00077E55">
        <w:t xml:space="preserve"> </w:t>
      </w:r>
      <w:r w:rsidRPr="00077E55">
        <w:tab/>
      </w:r>
      <w:r w:rsidR="00A37078" w:rsidRPr="00077E55">
        <w:rPr>
          <w:i/>
          <w:iCs/>
        </w:rPr>
        <w:t>R. v. Ladouceur</w:t>
      </w:r>
      <w:r w:rsidRPr="00077E55">
        <w:rPr>
          <w:rFonts w:cs="Arial"/>
        </w:rPr>
        <w:t xml:space="preserve">, [1990] 1 </w:t>
      </w:r>
      <w:r w:rsidR="00A37078" w:rsidRPr="00077E55">
        <w:rPr>
          <w:rFonts w:cs="Arial"/>
        </w:rPr>
        <w:t>S</w:t>
      </w:r>
      <w:r w:rsidR="000C61BD" w:rsidRPr="00077E55">
        <w:rPr>
          <w:rFonts w:cs="Arial"/>
        </w:rPr>
        <w:t>.</w:t>
      </w:r>
      <w:r w:rsidR="00A37078" w:rsidRPr="00077E55">
        <w:rPr>
          <w:rFonts w:cs="Arial"/>
        </w:rPr>
        <w:t>C</w:t>
      </w:r>
      <w:r w:rsidR="000C61BD" w:rsidRPr="00077E55">
        <w:rPr>
          <w:rFonts w:cs="Arial"/>
        </w:rPr>
        <w:t>.</w:t>
      </w:r>
      <w:r w:rsidR="00A37078" w:rsidRPr="00077E55">
        <w:rPr>
          <w:rFonts w:cs="Arial"/>
        </w:rPr>
        <w:t>R</w:t>
      </w:r>
      <w:r w:rsidR="000C61BD" w:rsidRPr="00077E55">
        <w:rPr>
          <w:rFonts w:cs="Arial"/>
        </w:rPr>
        <w:t>.</w:t>
      </w:r>
      <w:r w:rsidRPr="00077E55">
        <w:rPr>
          <w:rFonts w:cs="Arial"/>
        </w:rPr>
        <w:t xml:space="preserve"> 1257 </w:t>
      </w:r>
      <w:r w:rsidR="009C4F08" w:rsidRPr="00077E55">
        <w:rPr>
          <w:rFonts w:cs="Arial"/>
        </w:rPr>
        <w:t>[</w:t>
      </w:r>
      <w:r w:rsidRPr="00077E55">
        <w:rPr>
          <w:rFonts w:cs="Arial"/>
          <w:i/>
          <w:iCs/>
        </w:rPr>
        <w:t>Ladouceur</w:t>
      </w:r>
      <w:r w:rsidR="009C4F08" w:rsidRPr="00077E55">
        <w:rPr>
          <w:rFonts w:cs="Arial"/>
        </w:rPr>
        <w:t>]</w:t>
      </w:r>
      <w:r w:rsidRPr="00077E55">
        <w:rPr>
          <w:rFonts w:cs="Arial"/>
        </w:rPr>
        <w:t>.</w:t>
      </w:r>
    </w:p>
  </w:footnote>
  <w:footnote w:id="2">
    <w:p w14:paraId="7BDDF295" w14:textId="49D2241B"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37078" w:rsidRPr="0045720B">
        <w:rPr>
          <w:i/>
          <w:iCs/>
          <w:lang w:val="en-CA"/>
        </w:rPr>
        <w:t>Highway Safety Code</w:t>
      </w:r>
      <w:r w:rsidRPr="0045720B">
        <w:rPr>
          <w:i/>
          <w:iCs/>
          <w:lang w:val="en-CA"/>
        </w:rPr>
        <w:t>,</w:t>
      </w:r>
      <w:r w:rsidRPr="0045720B">
        <w:rPr>
          <w:lang w:val="en-CA"/>
        </w:rPr>
        <w:t xml:space="preserve"> </w:t>
      </w:r>
      <w:r w:rsidR="00A37078" w:rsidRPr="0045720B">
        <w:rPr>
          <w:lang w:val="en-CA"/>
        </w:rPr>
        <w:t>CQLR</w:t>
      </w:r>
      <w:r w:rsidRPr="0045720B">
        <w:rPr>
          <w:lang w:val="en-CA"/>
        </w:rPr>
        <w:t xml:space="preserve">, c. C-24.2 </w:t>
      </w:r>
      <w:r w:rsidR="009C4F08" w:rsidRPr="0045720B">
        <w:rPr>
          <w:rFonts w:cs="Arial"/>
          <w:lang w:val="en-CA"/>
        </w:rPr>
        <w:t>[</w:t>
      </w:r>
      <w:r w:rsidR="00A37078" w:rsidRPr="0045720B">
        <w:rPr>
          <w:i/>
          <w:iCs/>
          <w:lang w:val="en-CA"/>
        </w:rPr>
        <w:t>HSC</w:t>
      </w:r>
      <w:r w:rsidR="009C4F08" w:rsidRPr="0045720B">
        <w:rPr>
          <w:rFonts w:cs="Arial"/>
          <w:lang w:val="en-CA"/>
        </w:rPr>
        <w:t>]</w:t>
      </w:r>
      <w:r w:rsidRPr="0045720B">
        <w:rPr>
          <w:lang w:val="en-CA"/>
        </w:rPr>
        <w:t>.</w:t>
      </w:r>
    </w:p>
  </w:footnote>
  <w:footnote w:id="3">
    <w:p w14:paraId="0934CFE8" w14:textId="015A5812" w:rsidR="00360D2E" w:rsidRPr="00077E55" w:rsidRDefault="00360D2E" w:rsidP="00360D2E">
      <w:pPr>
        <w:pStyle w:val="Notedebasdepage"/>
      </w:pPr>
      <w:r w:rsidRPr="0045720B">
        <w:rPr>
          <w:rStyle w:val="Appelnotedebasdep"/>
          <w:lang w:val="en-CA"/>
        </w:rPr>
        <w:footnoteRef/>
      </w:r>
      <w:r w:rsidRPr="00077E55">
        <w:t xml:space="preserve"> </w:t>
      </w:r>
      <w:r w:rsidRPr="00077E55">
        <w:tab/>
      </w:r>
      <w:r w:rsidRPr="00077E55">
        <w:rPr>
          <w:i/>
          <w:iCs/>
        </w:rPr>
        <w:t xml:space="preserve">Luamba c. </w:t>
      </w:r>
      <w:r w:rsidR="009C4F08" w:rsidRPr="00077E55">
        <w:rPr>
          <w:i/>
          <w:iCs/>
        </w:rPr>
        <w:t xml:space="preserve">Procureur général </w:t>
      </w:r>
      <w:r w:rsidRPr="00077E55">
        <w:rPr>
          <w:i/>
          <w:iCs/>
        </w:rPr>
        <w:t>du Québec</w:t>
      </w:r>
      <w:r w:rsidRPr="00077E55">
        <w:t xml:space="preserve">, 2022 QCCS 3866 </w:t>
      </w:r>
      <w:r w:rsidR="0045720B" w:rsidRPr="00077E55">
        <w:rPr>
          <w:rFonts w:cs="Arial"/>
        </w:rPr>
        <w:t>[</w:t>
      </w:r>
      <w:r w:rsidR="00A37078" w:rsidRPr="00077E55">
        <w:t>Trial judgment</w:t>
      </w:r>
      <w:r w:rsidR="0045720B" w:rsidRPr="00077E55">
        <w:rPr>
          <w:rFonts w:cs="Arial"/>
        </w:rPr>
        <w:t>]</w:t>
      </w:r>
      <w:r w:rsidRPr="00077E55">
        <w:t>.</w:t>
      </w:r>
    </w:p>
  </w:footnote>
  <w:footnote w:id="4">
    <w:p w14:paraId="453BF5A7" w14:textId="2413E9B3" w:rsidR="00360D2E" w:rsidRPr="0045720B" w:rsidRDefault="00360D2E" w:rsidP="004C051A">
      <w:pPr>
        <w:pStyle w:val="Notedebasdepage"/>
        <w:rPr>
          <w:lang w:val="en-CA"/>
        </w:rPr>
      </w:pPr>
      <w:r w:rsidRPr="0045720B">
        <w:rPr>
          <w:rStyle w:val="Appelnotedebasdep"/>
          <w:lang w:val="en-CA"/>
        </w:rPr>
        <w:footnoteRef/>
      </w:r>
      <w:r w:rsidR="004C051A">
        <w:rPr>
          <w:lang w:val="en-CA"/>
        </w:rPr>
        <w:tab/>
      </w:r>
      <w:r w:rsidR="00C945E3" w:rsidRPr="004C051A">
        <w:rPr>
          <w:lang w:val="en-CA"/>
        </w:rPr>
        <w:t>[TRANSLATOR’S</w:t>
      </w:r>
      <w:r w:rsidR="00C945E3">
        <w:rPr>
          <w:lang w:val="en-CA"/>
        </w:rPr>
        <w:t xml:space="preserve"> NOTE: The translation of the following footnote departs slightly from the same footnote in the </w:t>
      </w:r>
      <w:r w:rsidR="00666416">
        <w:rPr>
          <w:lang w:val="en-CA"/>
        </w:rPr>
        <w:t xml:space="preserve">original </w:t>
      </w:r>
      <w:r w:rsidR="00C945E3">
        <w:rPr>
          <w:lang w:val="en-CA"/>
        </w:rPr>
        <w:t>French</w:t>
      </w:r>
      <w:r w:rsidR="00BA73D7">
        <w:rPr>
          <w:lang w:val="en-CA"/>
        </w:rPr>
        <w:t xml:space="preserve"> judgment</w:t>
      </w:r>
      <w:r w:rsidR="00C945E3">
        <w:rPr>
          <w:lang w:val="en-CA"/>
        </w:rPr>
        <w:t xml:space="preserve">.] </w:t>
      </w:r>
      <w:r w:rsidR="0083192D" w:rsidRPr="0083192D">
        <w:rPr>
          <w:lang w:val="en-CA"/>
        </w:rPr>
        <w:t>The trial judge used [</w:t>
      </w:r>
      <w:r w:rsidR="0083192D" w:rsidRPr="0083192D">
        <w:rPr>
          <w:smallCaps/>
          <w:lang w:val="en-CA"/>
        </w:rPr>
        <w:t>translation</w:t>
      </w:r>
      <w:r w:rsidR="0083192D" w:rsidRPr="0083192D">
        <w:rPr>
          <w:lang w:val="en-CA"/>
        </w:rPr>
        <w:t>] “challenged law” in the singular to refer to [</w:t>
      </w:r>
      <w:r w:rsidR="0083192D" w:rsidRPr="0083192D">
        <w:rPr>
          <w:smallCaps/>
          <w:lang w:val="en-CA"/>
        </w:rPr>
        <w:t>translation</w:t>
      </w:r>
      <w:r w:rsidR="0083192D" w:rsidRPr="0083192D">
        <w:rPr>
          <w:lang w:val="en-CA"/>
        </w:rPr>
        <w:t>] “the combined effect of the common law rule and s.</w:t>
      </w:r>
      <w:r w:rsidR="0083192D">
        <w:rPr>
          <w:lang w:val="en-CA"/>
        </w:rPr>
        <w:t> </w:t>
      </w:r>
      <w:r w:rsidR="0083192D" w:rsidRPr="0083192D">
        <w:rPr>
          <w:lang w:val="en-CA"/>
        </w:rPr>
        <w:t>636</w:t>
      </w:r>
      <w:r w:rsidR="0083192D">
        <w:rPr>
          <w:lang w:val="en-CA"/>
        </w:rPr>
        <w:t> </w:t>
      </w:r>
      <w:r w:rsidR="0083192D" w:rsidRPr="0083192D">
        <w:rPr>
          <w:i/>
          <w:iCs/>
          <w:lang w:val="en-CA"/>
        </w:rPr>
        <w:t>HSC</w:t>
      </w:r>
      <w:r w:rsidR="0083192D" w:rsidRPr="0083192D">
        <w:rPr>
          <w:lang w:val="en-CA"/>
        </w:rPr>
        <w:t>” (Trial judgment, para. 52). A majority of the parties on appeal, however, used [</w:t>
      </w:r>
      <w:r w:rsidR="0083192D" w:rsidRPr="0083192D">
        <w:rPr>
          <w:smallCaps/>
          <w:lang w:val="en-CA"/>
        </w:rPr>
        <w:t>translation</w:t>
      </w:r>
      <w:r w:rsidR="0083192D" w:rsidRPr="0083192D">
        <w:rPr>
          <w:lang w:val="en-CA"/>
        </w:rPr>
        <w:t xml:space="preserve">] “challenged laws”, in the plural. Given the Court’s conclusion that there is no common law rule authorizing traffic stops with no required grounds, below at paras. </w:t>
      </w:r>
      <w:r w:rsidR="0083192D">
        <w:rPr>
          <w:lang w:val="en-CA"/>
        </w:rPr>
        <w:fldChar w:fldCharType="begin"/>
      </w:r>
      <w:r w:rsidR="0083192D">
        <w:rPr>
          <w:lang w:val="en-CA"/>
        </w:rPr>
        <w:instrText xml:space="preserve"> REF _Ref197930449 \r \h </w:instrText>
      </w:r>
      <w:r w:rsidR="0083192D">
        <w:rPr>
          <w:lang w:val="en-CA"/>
        </w:rPr>
      </w:r>
      <w:r w:rsidR="0083192D">
        <w:rPr>
          <w:lang w:val="en-CA"/>
        </w:rPr>
        <w:fldChar w:fldCharType="separate"/>
      </w:r>
      <w:r w:rsidR="0083192D">
        <w:rPr>
          <w:lang w:val="en-CA"/>
        </w:rPr>
        <w:t>[14]</w:t>
      </w:r>
      <w:r w:rsidR="0083192D">
        <w:rPr>
          <w:lang w:val="en-CA"/>
        </w:rPr>
        <w:fldChar w:fldCharType="end"/>
      </w:r>
      <w:r w:rsidR="0083192D" w:rsidRPr="0083192D">
        <w:rPr>
          <w:lang w:val="en-CA"/>
        </w:rPr>
        <w:t xml:space="preserve"> to </w:t>
      </w:r>
      <w:r w:rsidR="0083192D">
        <w:rPr>
          <w:lang w:val="en-CA"/>
        </w:rPr>
        <w:fldChar w:fldCharType="begin"/>
      </w:r>
      <w:r w:rsidR="0083192D">
        <w:rPr>
          <w:lang w:val="en-CA"/>
        </w:rPr>
        <w:instrText xml:space="preserve"> REF _Ref201816988 \r \h </w:instrText>
      </w:r>
      <w:r w:rsidR="0083192D">
        <w:rPr>
          <w:lang w:val="en-CA"/>
        </w:rPr>
      </w:r>
      <w:r w:rsidR="0083192D">
        <w:rPr>
          <w:lang w:val="en-CA"/>
        </w:rPr>
        <w:fldChar w:fldCharType="separate"/>
      </w:r>
      <w:r w:rsidR="0083192D">
        <w:rPr>
          <w:lang w:val="en-CA"/>
        </w:rPr>
        <w:t>[32]</w:t>
      </w:r>
      <w:r w:rsidR="0083192D">
        <w:rPr>
          <w:lang w:val="en-CA"/>
        </w:rPr>
        <w:fldChar w:fldCharType="end"/>
      </w:r>
      <w:r w:rsidR="0083192D" w:rsidRPr="0083192D">
        <w:rPr>
          <w:lang w:val="en-CA"/>
        </w:rPr>
        <w:t>, the Court will simply refer to s.</w:t>
      </w:r>
      <w:r w:rsidR="0083192D">
        <w:rPr>
          <w:lang w:val="en-CA"/>
        </w:rPr>
        <w:t> </w:t>
      </w:r>
      <w:r w:rsidR="0083192D" w:rsidRPr="0083192D">
        <w:rPr>
          <w:lang w:val="en-CA"/>
        </w:rPr>
        <w:t>636</w:t>
      </w:r>
      <w:r w:rsidR="0083192D">
        <w:rPr>
          <w:lang w:val="en-CA"/>
        </w:rPr>
        <w:t> </w:t>
      </w:r>
      <w:r w:rsidR="0083192D" w:rsidRPr="0083192D">
        <w:rPr>
          <w:i/>
          <w:iCs/>
          <w:lang w:val="en-CA"/>
        </w:rPr>
        <w:t>HSC</w:t>
      </w:r>
      <w:r w:rsidR="0083192D" w:rsidRPr="0083192D">
        <w:rPr>
          <w:lang w:val="en-CA"/>
        </w:rPr>
        <w:t xml:space="preserve"> as the “challenged provision”</w:t>
      </w:r>
      <w:r w:rsidR="00236B54" w:rsidRPr="0045720B">
        <w:rPr>
          <w:rFonts w:cs="Arial"/>
          <w:color w:val="000000"/>
          <w:lang w:val="en-CA"/>
        </w:rPr>
        <w:t>.</w:t>
      </w:r>
    </w:p>
  </w:footnote>
  <w:footnote w:id="5">
    <w:p w14:paraId="2FEDC8DF" w14:textId="4099E731"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36B54" w:rsidRPr="0045720B">
        <w:rPr>
          <w:i/>
          <w:iCs/>
          <w:lang w:val="en-CA"/>
        </w:rPr>
        <w:t>Canadian Charter of Rights and Freedoms</w:t>
      </w:r>
      <w:r w:rsidRPr="0045720B">
        <w:rPr>
          <w:lang w:val="en-CA"/>
        </w:rPr>
        <w:t xml:space="preserve">, </w:t>
      </w:r>
      <w:r w:rsidR="00236B54" w:rsidRPr="0045720B">
        <w:rPr>
          <w:lang w:val="en-CA"/>
        </w:rPr>
        <w:t xml:space="preserve">Part </w:t>
      </w:r>
      <w:r w:rsidRPr="0045720B">
        <w:rPr>
          <w:lang w:val="en-CA"/>
        </w:rPr>
        <w:t xml:space="preserve">I </w:t>
      </w:r>
      <w:r w:rsidR="00236B54" w:rsidRPr="0045720B">
        <w:rPr>
          <w:lang w:val="en-CA"/>
        </w:rPr>
        <w:t xml:space="preserve">of the </w:t>
      </w:r>
      <w:r w:rsidR="00236B54" w:rsidRPr="0045720B">
        <w:rPr>
          <w:i/>
          <w:iCs/>
          <w:lang w:val="en-CA"/>
        </w:rPr>
        <w:t>Constitution Act, 1982</w:t>
      </w:r>
      <w:r w:rsidRPr="0045720B">
        <w:rPr>
          <w:lang w:val="en-CA"/>
        </w:rPr>
        <w:t xml:space="preserve">, </w:t>
      </w:r>
      <w:r w:rsidR="00236B54" w:rsidRPr="0045720B">
        <w:rPr>
          <w:lang w:val="en-CA"/>
        </w:rPr>
        <w:t xml:space="preserve">being Schedule </w:t>
      </w:r>
      <w:r w:rsidRPr="0045720B">
        <w:rPr>
          <w:lang w:val="en-CA"/>
        </w:rPr>
        <w:t xml:space="preserve">B </w:t>
      </w:r>
      <w:r w:rsidR="00236B54" w:rsidRPr="0045720B">
        <w:rPr>
          <w:lang w:val="en-CA"/>
        </w:rPr>
        <w:t xml:space="preserve">of the </w:t>
      </w:r>
      <w:r w:rsidR="00236B54" w:rsidRPr="0045720B">
        <w:rPr>
          <w:i/>
          <w:iCs/>
          <w:lang w:val="en-CA"/>
        </w:rPr>
        <w:t>Canada Act, 1982</w:t>
      </w:r>
      <w:r w:rsidRPr="0045720B">
        <w:rPr>
          <w:lang w:val="en-CA"/>
        </w:rPr>
        <w:t xml:space="preserve"> (U</w:t>
      </w:r>
      <w:r w:rsidR="00236B54" w:rsidRPr="0045720B">
        <w:rPr>
          <w:lang w:val="en-CA"/>
        </w:rPr>
        <w:t>K</w:t>
      </w:r>
      <w:r w:rsidRPr="0045720B">
        <w:rPr>
          <w:lang w:val="en-CA"/>
        </w:rPr>
        <w:t xml:space="preserve">), 1982, c. 11 </w:t>
      </w:r>
      <w:r w:rsidR="009C4F08" w:rsidRPr="0045720B">
        <w:rPr>
          <w:rFonts w:cs="Arial"/>
          <w:lang w:val="en-CA"/>
        </w:rPr>
        <w:t>[</w:t>
      </w:r>
      <w:r w:rsidRPr="0045720B">
        <w:rPr>
          <w:i/>
          <w:iCs/>
          <w:lang w:val="en-CA"/>
        </w:rPr>
        <w:t>Charte</w:t>
      </w:r>
      <w:r w:rsidR="00236B54" w:rsidRPr="0045720B">
        <w:rPr>
          <w:i/>
          <w:iCs/>
          <w:lang w:val="en-CA"/>
        </w:rPr>
        <w:t>r</w:t>
      </w:r>
      <w:r w:rsidR="009C4F08" w:rsidRPr="0045720B">
        <w:rPr>
          <w:rFonts w:cs="Arial"/>
          <w:lang w:val="en-CA"/>
        </w:rPr>
        <w:t>]</w:t>
      </w:r>
      <w:r w:rsidRPr="0045720B">
        <w:rPr>
          <w:lang w:val="en-CA"/>
        </w:rPr>
        <w:t>.</w:t>
      </w:r>
    </w:p>
  </w:footnote>
  <w:footnote w:id="6">
    <w:p w14:paraId="53BEFD50" w14:textId="6E0F9FAE"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36B54" w:rsidRPr="0045720B">
        <w:rPr>
          <w:i/>
          <w:iCs/>
          <w:lang w:val="en-CA"/>
        </w:rPr>
        <w:t>Constitution Act, 1982</w:t>
      </w:r>
      <w:r w:rsidRPr="0045720B">
        <w:rPr>
          <w:rFonts w:cs="Arial"/>
          <w:lang w:val="en-CA"/>
        </w:rPr>
        <w:t xml:space="preserve">, </w:t>
      </w:r>
      <w:r w:rsidR="00236B54" w:rsidRPr="0045720B">
        <w:rPr>
          <w:lang w:val="en-CA"/>
        </w:rPr>
        <w:t xml:space="preserve">being Schedule B of the </w:t>
      </w:r>
      <w:r w:rsidR="00236B54" w:rsidRPr="0045720B">
        <w:rPr>
          <w:rFonts w:cs="Arial"/>
          <w:i/>
          <w:iCs/>
          <w:lang w:val="en-CA"/>
        </w:rPr>
        <w:t>Canada Act, 1982</w:t>
      </w:r>
      <w:r w:rsidRPr="0045720B">
        <w:rPr>
          <w:rFonts w:cs="Arial"/>
          <w:i/>
          <w:iCs/>
          <w:lang w:val="en-CA"/>
        </w:rPr>
        <w:t xml:space="preserve"> </w:t>
      </w:r>
      <w:r w:rsidRPr="0045720B">
        <w:rPr>
          <w:lang w:val="en-CA"/>
        </w:rPr>
        <w:t>(U</w:t>
      </w:r>
      <w:r w:rsidR="0045720B">
        <w:rPr>
          <w:lang w:val="en-CA"/>
        </w:rPr>
        <w:t>.</w:t>
      </w:r>
      <w:r w:rsidR="00236B54" w:rsidRPr="0045720B">
        <w:rPr>
          <w:lang w:val="en-CA"/>
        </w:rPr>
        <w:t>K</w:t>
      </w:r>
      <w:r w:rsidR="0045720B">
        <w:rPr>
          <w:lang w:val="en-CA"/>
        </w:rPr>
        <w:t>.</w:t>
      </w:r>
      <w:r w:rsidRPr="0045720B">
        <w:rPr>
          <w:lang w:val="en-CA"/>
        </w:rPr>
        <w:t xml:space="preserve">), 1982, c. 11 </w:t>
      </w:r>
      <w:r w:rsidR="009C4F08" w:rsidRPr="0045720B">
        <w:rPr>
          <w:rFonts w:cs="Arial"/>
          <w:lang w:val="en-CA"/>
        </w:rPr>
        <w:t>[</w:t>
      </w:r>
      <w:r w:rsidR="00236B54" w:rsidRPr="0045720B">
        <w:rPr>
          <w:i/>
          <w:iCs/>
          <w:lang w:val="en-CA"/>
        </w:rPr>
        <w:t>Constitution Act, 1982</w:t>
      </w:r>
      <w:r w:rsidR="009C4F08" w:rsidRPr="0045720B">
        <w:rPr>
          <w:rFonts w:cs="Arial"/>
          <w:lang w:val="en-CA"/>
        </w:rPr>
        <w:t>]</w:t>
      </w:r>
      <w:r w:rsidRPr="0045720B">
        <w:rPr>
          <w:lang w:val="en-CA"/>
        </w:rPr>
        <w:t>.</w:t>
      </w:r>
    </w:p>
  </w:footnote>
  <w:footnote w:id="7">
    <w:p w14:paraId="7EDAEAF1" w14:textId="2EB73ABB"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t>Initial</w:t>
      </w:r>
      <w:r w:rsidR="00236B54" w:rsidRPr="0045720B">
        <w:rPr>
          <w:lang w:val="en-CA"/>
        </w:rPr>
        <w:t xml:space="preserve">ly designated as an </w:t>
      </w:r>
      <w:r w:rsidR="0045720B">
        <w:rPr>
          <w:lang w:val="en-CA"/>
        </w:rPr>
        <w:t>impleaded party</w:t>
      </w:r>
      <w:r w:rsidR="00236B54" w:rsidRPr="0045720B">
        <w:rPr>
          <w:lang w:val="en-CA"/>
        </w:rPr>
        <w:t xml:space="preserve"> in the appeal proceedings</w:t>
      </w:r>
      <w:r w:rsidRPr="0045720B">
        <w:rPr>
          <w:lang w:val="en-CA"/>
        </w:rPr>
        <w:t xml:space="preserve">, </w:t>
      </w:r>
      <w:r w:rsidR="00236B54" w:rsidRPr="0045720B">
        <w:rPr>
          <w:lang w:val="en-CA"/>
        </w:rPr>
        <w:t xml:space="preserve">the </w:t>
      </w:r>
      <w:r w:rsidRPr="0045720B">
        <w:rPr>
          <w:lang w:val="en-CA"/>
        </w:rPr>
        <w:t>C</w:t>
      </w:r>
      <w:r w:rsidR="00236B54" w:rsidRPr="0045720B">
        <w:rPr>
          <w:lang w:val="en-CA"/>
        </w:rPr>
        <w:t>C</w:t>
      </w:r>
      <w:r w:rsidRPr="0045720B">
        <w:rPr>
          <w:lang w:val="en-CA"/>
        </w:rPr>
        <w:t>L</w:t>
      </w:r>
      <w:r w:rsidR="00236B54" w:rsidRPr="0045720B">
        <w:rPr>
          <w:lang w:val="en-CA"/>
        </w:rPr>
        <w:t>A</w:t>
      </w:r>
      <w:r w:rsidRPr="0045720B">
        <w:rPr>
          <w:lang w:val="en-CA"/>
        </w:rPr>
        <w:t xml:space="preserve"> </w:t>
      </w:r>
      <w:r w:rsidR="00236B54" w:rsidRPr="0045720B">
        <w:rPr>
          <w:lang w:val="en-CA"/>
        </w:rPr>
        <w:t>presented a</w:t>
      </w:r>
      <w:r w:rsidR="0032045F" w:rsidRPr="0045720B">
        <w:rPr>
          <w:lang w:val="en-CA"/>
        </w:rPr>
        <w:t>n</w:t>
      </w:r>
      <w:r w:rsidR="00236B54" w:rsidRPr="0045720B">
        <w:rPr>
          <w:lang w:val="en-CA"/>
        </w:rPr>
        <w:t xml:space="preserve"> </w:t>
      </w:r>
      <w:r w:rsidR="0032045F" w:rsidRPr="0045720B">
        <w:rPr>
          <w:lang w:val="en-CA"/>
        </w:rPr>
        <w:t xml:space="preserve">application </w:t>
      </w:r>
      <w:r w:rsidR="00236B54" w:rsidRPr="0045720B">
        <w:rPr>
          <w:lang w:val="en-CA"/>
        </w:rPr>
        <w:t xml:space="preserve">to change its </w:t>
      </w:r>
      <w:r w:rsidR="00A12A27" w:rsidRPr="0045720B">
        <w:rPr>
          <w:lang w:val="en-CA"/>
        </w:rPr>
        <w:t>status</w:t>
      </w:r>
      <w:r w:rsidR="00236B54" w:rsidRPr="0045720B">
        <w:rPr>
          <w:lang w:val="en-CA"/>
        </w:rPr>
        <w:t xml:space="preserve"> to respondent</w:t>
      </w:r>
      <w:r w:rsidRPr="0045720B">
        <w:rPr>
          <w:lang w:val="en-CA"/>
        </w:rPr>
        <w:t xml:space="preserve">. </w:t>
      </w:r>
      <w:r w:rsidR="00236B54" w:rsidRPr="0045720B">
        <w:rPr>
          <w:lang w:val="en-CA"/>
        </w:rPr>
        <w:t>Th</w:t>
      </w:r>
      <w:r w:rsidR="0045720B">
        <w:rPr>
          <w:lang w:val="en-CA"/>
        </w:rPr>
        <w:t>is</w:t>
      </w:r>
      <w:r w:rsidR="00236B54" w:rsidRPr="0045720B">
        <w:rPr>
          <w:lang w:val="en-CA"/>
        </w:rPr>
        <w:t xml:space="preserve"> </w:t>
      </w:r>
      <w:r w:rsidR="0032045F" w:rsidRPr="0045720B">
        <w:rPr>
          <w:lang w:val="en-CA"/>
        </w:rPr>
        <w:t xml:space="preserve">application </w:t>
      </w:r>
      <w:r w:rsidR="00236B54" w:rsidRPr="0045720B">
        <w:rPr>
          <w:lang w:val="en-CA"/>
        </w:rPr>
        <w:t xml:space="preserve">was granted on September </w:t>
      </w:r>
      <w:r w:rsidRPr="0045720B">
        <w:rPr>
          <w:lang w:val="en-CA"/>
        </w:rPr>
        <w:t>19</w:t>
      </w:r>
      <w:r w:rsidR="00236B54" w:rsidRPr="0045720B">
        <w:rPr>
          <w:lang w:val="en-CA"/>
        </w:rPr>
        <w:t>,</w:t>
      </w:r>
      <w:r w:rsidRPr="0045720B">
        <w:rPr>
          <w:lang w:val="en-CA"/>
        </w:rPr>
        <w:t> 2023</w:t>
      </w:r>
      <w:r w:rsidR="00236B54" w:rsidRPr="0045720B">
        <w:rPr>
          <w:lang w:val="en-CA"/>
        </w:rPr>
        <w:t xml:space="preserve">, by a judge of the </w:t>
      </w:r>
      <w:r w:rsidRPr="0045720B">
        <w:rPr>
          <w:lang w:val="en-CA"/>
        </w:rPr>
        <w:t>Cour</w:t>
      </w:r>
      <w:r w:rsidR="00236B54" w:rsidRPr="0045720B">
        <w:rPr>
          <w:lang w:val="en-CA"/>
        </w:rPr>
        <w:t>t</w:t>
      </w:r>
      <w:r w:rsidRPr="0045720B">
        <w:rPr>
          <w:lang w:val="en-CA"/>
        </w:rPr>
        <w:t xml:space="preserve">: </w:t>
      </w:r>
      <w:r w:rsidR="00236B54" w:rsidRPr="0045720B">
        <w:rPr>
          <w:i/>
          <w:iCs/>
          <w:lang w:val="en-CA"/>
        </w:rPr>
        <w:t xml:space="preserve">Procureur général </w:t>
      </w:r>
      <w:r w:rsidRPr="0045720B">
        <w:rPr>
          <w:i/>
          <w:iCs/>
          <w:lang w:val="en-CA"/>
        </w:rPr>
        <w:t>du Québec c. Luamba</w:t>
      </w:r>
      <w:r w:rsidRPr="0045720B">
        <w:rPr>
          <w:lang w:val="en-CA"/>
        </w:rPr>
        <w:t xml:space="preserve">, </w:t>
      </w:r>
      <w:r w:rsidR="00696D38">
        <w:rPr>
          <w:lang w:val="en-CA"/>
        </w:rPr>
        <w:t>Montreal C.A., No. </w:t>
      </w:r>
      <w:r w:rsidRPr="0045720B">
        <w:rPr>
          <w:lang w:val="en-CA"/>
        </w:rPr>
        <w:t>500</w:t>
      </w:r>
      <w:r w:rsidR="00696D38">
        <w:rPr>
          <w:lang w:val="en-CA"/>
        </w:rPr>
        <w:noBreakHyphen/>
      </w:r>
      <w:r w:rsidRPr="0045720B">
        <w:rPr>
          <w:lang w:val="en-CA"/>
        </w:rPr>
        <w:t>09</w:t>
      </w:r>
      <w:r w:rsidR="00696D38">
        <w:rPr>
          <w:lang w:val="en-CA"/>
        </w:rPr>
        <w:noBreakHyphen/>
      </w:r>
      <w:r w:rsidRPr="0045720B">
        <w:rPr>
          <w:lang w:val="en-CA"/>
        </w:rPr>
        <w:t>030301</w:t>
      </w:r>
      <w:r w:rsidR="00696D38">
        <w:rPr>
          <w:lang w:val="en-CA"/>
        </w:rPr>
        <w:noBreakHyphen/>
      </w:r>
      <w:r w:rsidRPr="0045720B">
        <w:rPr>
          <w:lang w:val="en-CA"/>
        </w:rPr>
        <w:t>220</w:t>
      </w:r>
      <w:r w:rsidR="00696D38">
        <w:rPr>
          <w:lang w:val="en-CA"/>
        </w:rPr>
        <w:t xml:space="preserve">, </w:t>
      </w:r>
      <w:r w:rsidR="00696D38" w:rsidRPr="00696D38">
        <w:rPr>
          <w:lang w:val="en-CA"/>
        </w:rPr>
        <w:t>September 19, 2023</w:t>
      </w:r>
      <w:r w:rsidR="00696D38">
        <w:rPr>
          <w:lang w:val="en-CA"/>
        </w:rPr>
        <w:t>,</w:t>
      </w:r>
      <w:r w:rsidRPr="0045720B">
        <w:rPr>
          <w:lang w:val="en-CA"/>
        </w:rPr>
        <w:t xml:space="preserve"> Schrager, </w:t>
      </w:r>
      <w:r w:rsidR="00236B54" w:rsidRPr="0045720B">
        <w:rPr>
          <w:lang w:val="en-CA"/>
        </w:rPr>
        <w:t>J</w:t>
      </w:r>
      <w:r w:rsidR="0045720B" w:rsidRPr="0045720B">
        <w:rPr>
          <w:lang w:val="en-CA"/>
        </w:rPr>
        <w:t>.</w:t>
      </w:r>
      <w:r w:rsidR="00236B54" w:rsidRPr="0045720B">
        <w:rPr>
          <w:lang w:val="en-CA"/>
        </w:rPr>
        <w:t>A</w:t>
      </w:r>
      <w:r w:rsidRPr="0045720B">
        <w:rPr>
          <w:lang w:val="en-CA"/>
        </w:rPr>
        <w:t>.</w:t>
      </w:r>
    </w:p>
  </w:footnote>
  <w:footnote w:id="8">
    <w:p w14:paraId="0DA868F0" w14:textId="5D340860"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36B54" w:rsidRPr="0045720B">
        <w:rPr>
          <w:lang w:val="en-CA"/>
        </w:rPr>
        <w:t>The</w:t>
      </w:r>
      <w:r w:rsidRPr="0045720B">
        <w:rPr>
          <w:lang w:val="en-CA"/>
        </w:rPr>
        <w:t xml:space="preserve"> BCCLA, CJSM </w:t>
      </w:r>
      <w:r w:rsidR="00236B54" w:rsidRPr="0045720B">
        <w:rPr>
          <w:lang w:val="en-CA"/>
        </w:rPr>
        <w:t>and</w:t>
      </w:r>
      <w:r w:rsidRPr="0045720B">
        <w:rPr>
          <w:lang w:val="en-CA"/>
        </w:rPr>
        <w:t xml:space="preserve"> CDPDJ </w:t>
      </w:r>
      <w:r w:rsidR="00236B54" w:rsidRPr="0045720B">
        <w:rPr>
          <w:lang w:val="en-CA"/>
        </w:rPr>
        <w:t>were authorized to intervene as friend</w:t>
      </w:r>
      <w:r w:rsidR="00562685">
        <w:rPr>
          <w:lang w:val="en-CA"/>
        </w:rPr>
        <w:t>s</w:t>
      </w:r>
      <w:r w:rsidR="00236B54" w:rsidRPr="0045720B">
        <w:rPr>
          <w:lang w:val="en-CA"/>
        </w:rPr>
        <w:t xml:space="preserve"> of the court</w:t>
      </w:r>
      <w:r w:rsidRPr="0045720B">
        <w:rPr>
          <w:lang w:val="en-CA"/>
        </w:rPr>
        <w:t xml:space="preserve">: </w:t>
      </w:r>
      <w:r w:rsidR="00236B54" w:rsidRPr="0045720B">
        <w:rPr>
          <w:i/>
          <w:iCs/>
          <w:lang w:val="en-CA"/>
        </w:rPr>
        <w:t xml:space="preserve">Procureur général </w:t>
      </w:r>
      <w:r w:rsidRPr="0045720B">
        <w:rPr>
          <w:i/>
          <w:iCs/>
          <w:lang w:val="en-CA"/>
        </w:rPr>
        <w:t>du Québec c. Luamba</w:t>
      </w:r>
      <w:r w:rsidRPr="0045720B">
        <w:rPr>
          <w:lang w:val="en-CA"/>
        </w:rPr>
        <w:t xml:space="preserve">, 2023 QCCA 1243 (Schrager, </w:t>
      </w:r>
      <w:r w:rsidR="00236B54" w:rsidRPr="0045720B">
        <w:rPr>
          <w:lang w:val="en-CA"/>
        </w:rPr>
        <w:t>J</w:t>
      </w:r>
      <w:r w:rsidR="000C61BD" w:rsidRPr="0045720B">
        <w:rPr>
          <w:lang w:val="en-CA"/>
        </w:rPr>
        <w:t>.</w:t>
      </w:r>
      <w:r w:rsidR="00236B54" w:rsidRPr="0045720B">
        <w:rPr>
          <w:lang w:val="en-CA"/>
        </w:rPr>
        <w:t>A</w:t>
      </w:r>
      <w:r w:rsidR="000C61BD" w:rsidRPr="0045720B">
        <w:rPr>
          <w:lang w:val="en-CA"/>
        </w:rPr>
        <w:t>.</w:t>
      </w:r>
      <w:r w:rsidRPr="0045720B">
        <w:rPr>
          <w:lang w:val="en-CA"/>
        </w:rPr>
        <w:t>).</w:t>
      </w:r>
    </w:p>
  </w:footnote>
  <w:footnote w:id="9">
    <w:p w14:paraId="5D35C0A2" w14:textId="076C188B"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36B54" w:rsidRPr="0045720B">
        <w:rPr>
          <w:lang w:val="en-CA"/>
        </w:rPr>
        <w:t xml:space="preserve">Note that </w:t>
      </w:r>
      <w:r w:rsidRPr="0045720B">
        <w:rPr>
          <w:lang w:val="en-CA"/>
        </w:rPr>
        <w:t>M</w:t>
      </w:r>
      <w:r w:rsidR="00236B54" w:rsidRPr="0045720B">
        <w:rPr>
          <w:lang w:val="en-CA"/>
        </w:rPr>
        <w:t>r</w:t>
      </w:r>
      <w:r w:rsidRPr="0045720B">
        <w:rPr>
          <w:lang w:val="en-CA"/>
        </w:rPr>
        <w:t xml:space="preserve">. Luamba </w:t>
      </w:r>
      <w:r w:rsidR="00236B54" w:rsidRPr="0045720B">
        <w:rPr>
          <w:lang w:val="en-CA"/>
        </w:rPr>
        <w:t>initially contest</w:t>
      </w:r>
      <w:r w:rsidR="0045720B">
        <w:rPr>
          <w:lang w:val="en-CA"/>
        </w:rPr>
        <w:t>ed</w:t>
      </w:r>
      <w:r w:rsidR="00236B54" w:rsidRPr="0045720B">
        <w:rPr>
          <w:lang w:val="en-CA"/>
        </w:rPr>
        <w:t xml:space="preserve"> the constitutional</w:t>
      </w:r>
      <w:r w:rsidR="0045720B">
        <w:rPr>
          <w:lang w:val="en-CA"/>
        </w:rPr>
        <w:t xml:space="preserve"> validity</w:t>
      </w:r>
      <w:r w:rsidR="00236B54" w:rsidRPr="0045720B">
        <w:rPr>
          <w:lang w:val="en-CA"/>
        </w:rPr>
        <w:t xml:space="preserve"> of s</w:t>
      </w:r>
      <w:r w:rsidRPr="0045720B">
        <w:rPr>
          <w:lang w:val="en-CA"/>
        </w:rPr>
        <w:t xml:space="preserve">. 320.27(2) </w:t>
      </w:r>
      <w:r w:rsidR="00236B54" w:rsidRPr="0045720B">
        <w:rPr>
          <w:lang w:val="en-CA"/>
        </w:rPr>
        <w:t xml:space="preserve">of the </w:t>
      </w:r>
      <w:r w:rsidRPr="0045720B">
        <w:rPr>
          <w:i/>
          <w:iCs/>
          <w:lang w:val="en-CA"/>
        </w:rPr>
        <w:t>C</w:t>
      </w:r>
      <w:r w:rsidR="00236B54" w:rsidRPr="0045720B">
        <w:rPr>
          <w:i/>
          <w:iCs/>
          <w:lang w:val="en-CA"/>
        </w:rPr>
        <w:t>riminal C</w:t>
      </w:r>
      <w:r w:rsidRPr="0045720B">
        <w:rPr>
          <w:i/>
          <w:iCs/>
          <w:lang w:val="en-CA"/>
        </w:rPr>
        <w:t>ode</w:t>
      </w:r>
      <w:r w:rsidRPr="0045720B">
        <w:rPr>
          <w:lang w:val="en-CA"/>
        </w:rPr>
        <w:t xml:space="preserve">, </w:t>
      </w:r>
      <w:r w:rsidR="00236B54" w:rsidRPr="0045720B">
        <w:rPr>
          <w:lang w:val="en-CA"/>
        </w:rPr>
        <w:t>R</w:t>
      </w:r>
      <w:r w:rsidR="00102803">
        <w:rPr>
          <w:lang w:val="en-CA"/>
        </w:rPr>
        <w:t>.</w:t>
      </w:r>
      <w:r w:rsidR="00236B54" w:rsidRPr="0045720B">
        <w:rPr>
          <w:lang w:val="en-CA"/>
        </w:rPr>
        <w:t>S</w:t>
      </w:r>
      <w:r w:rsidR="00102803">
        <w:rPr>
          <w:lang w:val="en-CA"/>
        </w:rPr>
        <w:t>.</w:t>
      </w:r>
      <w:r w:rsidR="00236B54" w:rsidRPr="0045720B">
        <w:rPr>
          <w:lang w:val="en-CA"/>
        </w:rPr>
        <w:t>C</w:t>
      </w:r>
      <w:r w:rsidR="00102803">
        <w:rPr>
          <w:lang w:val="en-CA"/>
        </w:rPr>
        <w:t>.</w:t>
      </w:r>
      <w:r w:rsidRPr="0045720B">
        <w:rPr>
          <w:lang w:val="en-CA"/>
        </w:rPr>
        <w:t xml:space="preserve"> (1985), c. C-46. </w:t>
      </w:r>
      <w:r w:rsidR="00236B54" w:rsidRPr="0045720B">
        <w:rPr>
          <w:lang w:val="en-CA"/>
        </w:rPr>
        <w:t>However, he discontinued this part of his application during oral arguments at trial</w:t>
      </w:r>
      <w:r w:rsidRPr="0045720B">
        <w:rPr>
          <w:lang w:val="en-CA"/>
        </w:rPr>
        <w:t xml:space="preserve">: </w:t>
      </w:r>
      <w:r w:rsidR="00A37078" w:rsidRPr="0045720B">
        <w:rPr>
          <w:lang w:val="en-CA"/>
        </w:rPr>
        <w:t>Trial judgment</w:t>
      </w:r>
      <w:r w:rsidRPr="0045720B">
        <w:rPr>
          <w:lang w:val="en-CA"/>
        </w:rPr>
        <w:t xml:space="preserve">, </w:t>
      </w:r>
      <w:r w:rsidR="00A12A27" w:rsidRPr="0045720B">
        <w:rPr>
          <w:lang w:val="en-CA"/>
        </w:rPr>
        <w:t>footnote</w:t>
      </w:r>
      <w:r w:rsidR="00A37078" w:rsidRPr="0045720B">
        <w:rPr>
          <w:lang w:val="en-CA"/>
        </w:rPr>
        <w:t xml:space="preserve"> </w:t>
      </w:r>
      <w:r w:rsidRPr="0045720B">
        <w:rPr>
          <w:lang w:val="en-CA"/>
        </w:rPr>
        <w:t>5.</w:t>
      </w:r>
    </w:p>
  </w:footnote>
  <w:footnote w:id="10">
    <w:p w14:paraId="033BFC1D" w14:textId="136176AE" w:rsidR="00360D2E" w:rsidRPr="0045720B" w:rsidRDefault="00360D2E" w:rsidP="00360D2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w:t>
      </w:r>
      <w:r w:rsidR="00293A4C" w:rsidRPr="0045720B">
        <w:rPr>
          <w:i/>
          <w:iCs/>
          <w:lang w:val="en-CA"/>
        </w:rPr>
        <w:t>d.</w:t>
      </w:r>
      <w:r w:rsidR="00654113">
        <w:rPr>
          <w:lang w:val="en-CA"/>
        </w:rPr>
        <w:t>,</w:t>
      </w:r>
      <w:r w:rsidRPr="0045720B">
        <w:rPr>
          <w:i/>
          <w:iCs/>
          <w:lang w:val="en-CA"/>
        </w:rPr>
        <w:t xml:space="preserve"> </w:t>
      </w:r>
      <w:r w:rsidRPr="0045720B">
        <w:rPr>
          <w:lang w:val="en-CA"/>
        </w:rPr>
        <w:t>para</w:t>
      </w:r>
      <w:r w:rsidRPr="0045720B">
        <w:rPr>
          <w:i/>
          <w:iCs/>
          <w:lang w:val="en-CA"/>
        </w:rPr>
        <w:t>.</w:t>
      </w:r>
      <w:r w:rsidRPr="0045720B">
        <w:rPr>
          <w:lang w:val="en-CA"/>
        </w:rPr>
        <w:t xml:space="preserve"> 26.</w:t>
      </w:r>
    </w:p>
  </w:footnote>
  <w:footnote w:id="11">
    <w:p w14:paraId="1265E08F" w14:textId="7DD5BB08"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654113">
        <w:rPr>
          <w:lang w:val="en-CA"/>
        </w:rPr>
        <w:t xml:space="preserve">, </w:t>
      </w:r>
      <w:r w:rsidRPr="0045720B">
        <w:rPr>
          <w:lang w:val="en-CA"/>
        </w:rPr>
        <w:t>para. 22.</w:t>
      </w:r>
    </w:p>
  </w:footnote>
  <w:footnote w:id="12">
    <w:p w14:paraId="513FBAFE" w14:textId="32D0BEFB"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654113">
        <w:rPr>
          <w:lang w:val="en-CA"/>
        </w:rPr>
        <w:t xml:space="preserve">, </w:t>
      </w:r>
      <w:r w:rsidRPr="0045720B">
        <w:rPr>
          <w:lang w:val="en-CA"/>
        </w:rPr>
        <w:t>para. 16.</w:t>
      </w:r>
    </w:p>
  </w:footnote>
  <w:footnote w:id="13">
    <w:p w14:paraId="6F35BF5E" w14:textId="167DAAD0"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654113">
        <w:rPr>
          <w:lang w:val="en-CA"/>
        </w:rPr>
        <w:t>,</w:t>
      </w:r>
      <w:r w:rsidRPr="0045720B">
        <w:rPr>
          <w:i/>
          <w:iCs/>
          <w:lang w:val="en-CA"/>
        </w:rPr>
        <w:t xml:space="preserve"> </w:t>
      </w:r>
      <w:r w:rsidRPr="0045720B">
        <w:rPr>
          <w:lang w:val="en-CA"/>
        </w:rPr>
        <w:t>para. 18.</w:t>
      </w:r>
    </w:p>
  </w:footnote>
  <w:footnote w:id="14">
    <w:p w14:paraId="2E60229A" w14:textId="46139042"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See in particular: notice of appeal, November </w:t>
      </w:r>
      <w:r w:rsidR="00B07B04">
        <w:rPr>
          <w:lang w:val="en-CA"/>
        </w:rPr>
        <w:t xml:space="preserve">25, </w:t>
      </w:r>
      <w:r w:rsidRPr="0045720B">
        <w:rPr>
          <w:lang w:val="en-CA"/>
        </w:rPr>
        <w:t>2022, para. 13.</w:t>
      </w:r>
    </w:p>
  </w:footnote>
  <w:footnote w:id="15">
    <w:p w14:paraId="09FEA49D" w14:textId="6D7E5A04"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Amended originating application, February </w:t>
      </w:r>
      <w:r w:rsidR="004F5434">
        <w:rPr>
          <w:lang w:val="en-CA"/>
        </w:rPr>
        <w:t xml:space="preserve">2, </w:t>
      </w:r>
      <w:r w:rsidRPr="0045720B">
        <w:rPr>
          <w:lang w:val="en-CA"/>
        </w:rPr>
        <w:t>2021, par</w:t>
      </w:r>
      <w:r w:rsidR="001C4096" w:rsidRPr="0045720B">
        <w:rPr>
          <w:lang w:val="en-CA"/>
        </w:rPr>
        <w:t>a</w:t>
      </w:r>
      <w:r w:rsidRPr="0045720B">
        <w:rPr>
          <w:lang w:val="en-CA"/>
        </w:rPr>
        <w:t>. 47. See also: Trial judgment</w:t>
      </w:r>
      <w:r w:rsidR="00654113">
        <w:rPr>
          <w:lang w:val="en-CA"/>
        </w:rPr>
        <w:t xml:space="preserve">, </w:t>
      </w:r>
      <w:r w:rsidRPr="0045720B">
        <w:rPr>
          <w:lang w:val="en-CA"/>
        </w:rPr>
        <w:t>paras. 22, 52 and 54.</w:t>
      </w:r>
    </w:p>
  </w:footnote>
  <w:footnote w:id="16">
    <w:p w14:paraId="0BA87EEC" w14:textId="1D07A51E"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654113">
        <w:rPr>
          <w:lang w:val="en-CA"/>
        </w:rPr>
        <w:t>,</w:t>
      </w:r>
      <w:r w:rsidRPr="0045720B">
        <w:rPr>
          <w:lang w:val="en-CA"/>
        </w:rPr>
        <w:t xml:space="preserve"> para. 869.</w:t>
      </w:r>
    </w:p>
  </w:footnote>
  <w:footnote w:id="17">
    <w:p w14:paraId="23CA75F2" w14:textId="318E08C6"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17" w:name="_Hlk177749271"/>
      <w:r w:rsidR="001C4096" w:rsidRPr="0045720B">
        <w:rPr>
          <w:i/>
          <w:iCs/>
          <w:lang w:val="en-CA"/>
        </w:rPr>
        <w:t>Dedman v. The Queen</w:t>
      </w:r>
      <w:r w:rsidRPr="0045720B">
        <w:rPr>
          <w:lang w:val="en-CA"/>
        </w:rPr>
        <w:t>, [1985] 2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2 </w:t>
      </w:r>
      <w:r w:rsidR="001C4096" w:rsidRPr="0045720B">
        <w:rPr>
          <w:rFonts w:cs="Arial"/>
          <w:lang w:val="en-CA"/>
        </w:rPr>
        <w:t>[</w:t>
      </w:r>
      <w:r w:rsidRPr="0045720B">
        <w:rPr>
          <w:i/>
          <w:iCs/>
          <w:lang w:val="en-CA"/>
        </w:rPr>
        <w:t>Dedman</w:t>
      </w:r>
      <w:r w:rsidR="001C4096" w:rsidRPr="0045720B">
        <w:rPr>
          <w:rFonts w:cs="Arial"/>
          <w:lang w:val="en-CA"/>
        </w:rPr>
        <w:t>]</w:t>
      </w:r>
      <w:r w:rsidRPr="0045720B">
        <w:rPr>
          <w:lang w:val="en-CA"/>
        </w:rPr>
        <w:t>.</w:t>
      </w:r>
      <w:bookmarkEnd w:id="17"/>
    </w:p>
  </w:footnote>
  <w:footnote w:id="18">
    <w:p w14:paraId="7EE87796" w14:textId="24AC085C" w:rsidR="008373E5" w:rsidRPr="0045720B" w:rsidRDefault="008373E5" w:rsidP="008373E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18" w:name="_Hlk177749323"/>
      <w:r w:rsidRPr="0045720B">
        <w:rPr>
          <w:i/>
          <w:iCs/>
          <w:lang w:val="en-CA"/>
        </w:rPr>
        <w:t xml:space="preserve">R. </w:t>
      </w:r>
      <w:r w:rsidR="001C4096" w:rsidRPr="0045720B">
        <w:rPr>
          <w:i/>
          <w:iCs/>
          <w:lang w:val="en-CA"/>
        </w:rPr>
        <w:t>v</w:t>
      </w:r>
      <w:r w:rsidRPr="0045720B">
        <w:rPr>
          <w:i/>
          <w:iCs/>
          <w:lang w:val="en-CA"/>
        </w:rPr>
        <w:t>. Hufsky</w:t>
      </w:r>
      <w:r w:rsidRPr="0045720B">
        <w:rPr>
          <w:lang w:val="en-CA"/>
        </w:rPr>
        <w:t>, [1988]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621 </w:t>
      </w:r>
      <w:r w:rsidR="001C4096" w:rsidRPr="0045720B">
        <w:rPr>
          <w:rFonts w:cs="Arial"/>
          <w:lang w:val="en-CA"/>
        </w:rPr>
        <w:t>[</w:t>
      </w:r>
      <w:r w:rsidRPr="0045720B">
        <w:rPr>
          <w:i/>
          <w:iCs/>
          <w:lang w:val="en-CA"/>
        </w:rPr>
        <w:t>Hufsky</w:t>
      </w:r>
      <w:bookmarkEnd w:id="18"/>
      <w:r w:rsidR="001C4096" w:rsidRPr="0045720B">
        <w:rPr>
          <w:rFonts w:cs="Arial"/>
          <w:lang w:val="en-CA"/>
        </w:rPr>
        <w:t>]</w:t>
      </w:r>
      <w:r w:rsidRPr="0045720B">
        <w:rPr>
          <w:lang w:val="en-CA"/>
        </w:rPr>
        <w:t>.</w:t>
      </w:r>
    </w:p>
  </w:footnote>
  <w:footnote w:id="19">
    <w:p w14:paraId="01D08A95" w14:textId="168CA42E" w:rsidR="003910E1" w:rsidRPr="0045720B" w:rsidRDefault="003910E1" w:rsidP="003910E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1C4096" w:rsidRPr="0045720B">
        <w:rPr>
          <w:i/>
          <w:iCs/>
          <w:lang w:val="en-CA"/>
        </w:rPr>
        <w:t>Dedman v. The Queen</w:t>
      </w:r>
      <w:r w:rsidRPr="0045720B">
        <w:rPr>
          <w:lang w:val="en-CA"/>
        </w:rPr>
        <w:t>, [1985] 2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2</w:t>
      </w:r>
      <w:r w:rsidR="00083108">
        <w:rPr>
          <w:lang w:val="en-CA"/>
        </w:rPr>
        <w:t>, p. 3</w:t>
      </w:r>
      <w:r w:rsidRPr="0045720B">
        <w:rPr>
          <w:lang w:val="en-CA"/>
        </w:rPr>
        <w:t>6.</w:t>
      </w:r>
    </w:p>
  </w:footnote>
  <w:footnote w:id="20">
    <w:p w14:paraId="7DFC870D" w14:textId="73F97222" w:rsidR="003910E1" w:rsidRPr="0045720B" w:rsidRDefault="003910E1" w:rsidP="003910E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D1633B" w:rsidRPr="0045720B">
        <w:rPr>
          <w:lang w:val="en-CA"/>
        </w:rPr>
        <w:t xml:space="preserve">The acronym stands for </w:t>
      </w:r>
      <w:r w:rsidR="00E909A7">
        <w:rPr>
          <w:lang w:val="en-CA"/>
        </w:rPr>
        <w:t>“</w:t>
      </w:r>
      <w:r w:rsidRPr="00E909A7">
        <w:rPr>
          <w:lang w:val="en-CA"/>
        </w:rPr>
        <w:t>Reduce Impaired Driving Everywhere</w:t>
      </w:r>
      <w:r w:rsidR="00E909A7">
        <w:rPr>
          <w:lang w:val="en-CA"/>
        </w:rPr>
        <w:t>”</w:t>
      </w:r>
      <w:r w:rsidRPr="0045720B">
        <w:rPr>
          <w:lang w:val="en-CA"/>
        </w:rPr>
        <w:t xml:space="preserve">. </w:t>
      </w:r>
    </w:p>
  </w:footnote>
  <w:footnote w:id="21">
    <w:p w14:paraId="6E9256F3" w14:textId="6B9C6A66" w:rsidR="001C4096" w:rsidRPr="0045720B" w:rsidRDefault="001C4096" w:rsidP="001C4096">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Dedman v. The Queen</w:t>
      </w:r>
      <w:r w:rsidRPr="0045720B">
        <w:rPr>
          <w:lang w:val="en-CA"/>
        </w:rPr>
        <w:t>, [1985] 2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2</w:t>
      </w:r>
      <w:r w:rsidR="00706F32">
        <w:rPr>
          <w:lang w:val="en-CA"/>
        </w:rPr>
        <w:t>, p. 2</w:t>
      </w:r>
      <w:r w:rsidRPr="0045720B">
        <w:rPr>
          <w:lang w:val="en-CA"/>
        </w:rPr>
        <w:t>5, cit</w:t>
      </w:r>
      <w:r w:rsidR="00D1633B" w:rsidRPr="0045720B">
        <w:rPr>
          <w:lang w:val="en-CA"/>
        </w:rPr>
        <w:t>ing</w:t>
      </w:r>
      <w:r w:rsidRPr="0045720B">
        <w:rPr>
          <w:lang w:val="en-CA"/>
        </w:rPr>
        <w:t xml:space="preserve"> </w:t>
      </w:r>
      <w:r w:rsidR="00D1633B" w:rsidRPr="0045720B">
        <w:rPr>
          <w:lang w:val="en-CA"/>
        </w:rPr>
        <w:t>“the stated case”</w:t>
      </w:r>
      <w:r w:rsidRPr="0045720B">
        <w:rPr>
          <w:lang w:val="en-CA"/>
        </w:rPr>
        <w:t>.</w:t>
      </w:r>
    </w:p>
  </w:footnote>
  <w:footnote w:id="22">
    <w:p w14:paraId="6A6B1DB9" w14:textId="2138E8C0" w:rsidR="001C4096" w:rsidRPr="0045720B" w:rsidRDefault="001C4096" w:rsidP="001C4096">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p>
  </w:footnote>
  <w:footnote w:id="23">
    <w:p w14:paraId="162A3D4C" w14:textId="2539A787" w:rsidR="00D1633B" w:rsidRPr="0045720B" w:rsidRDefault="00D1633B" w:rsidP="00D1633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19" w:name="_Hlk177749378"/>
      <w:r w:rsidRPr="0045720B">
        <w:rPr>
          <w:rFonts w:cs="Arial"/>
          <w:i/>
          <w:iCs/>
          <w:color w:val="000000"/>
          <w:lang w:val="en-CA"/>
        </w:rPr>
        <w:t>R. v. Waterfield</w:t>
      </w:r>
      <w:r w:rsidRPr="0045720B">
        <w:rPr>
          <w:rFonts w:cs="Arial"/>
          <w:color w:val="000000"/>
          <w:lang w:val="en-CA"/>
        </w:rPr>
        <w:t xml:space="preserve">, </w:t>
      </w:r>
      <w:r w:rsidRPr="0045720B">
        <w:rPr>
          <w:rStyle w:val="reflex3-missing"/>
          <w:rFonts w:cs="Arial"/>
          <w:color w:val="000000"/>
          <w:lang w:val="en-CA"/>
        </w:rPr>
        <w:t>[1963] 3 All E</w:t>
      </w:r>
      <w:r w:rsidR="000C61BD" w:rsidRPr="0045720B">
        <w:rPr>
          <w:rStyle w:val="reflex3-missing"/>
          <w:rFonts w:cs="Arial"/>
          <w:color w:val="000000"/>
          <w:lang w:val="en-CA"/>
        </w:rPr>
        <w:t>.</w:t>
      </w:r>
      <w:r w:rsidRPr="0045720B">
        <w:rPr>
          <w:rStyle w:val="reflex3-missing"/>
          <w:rFonts w:cs="Arial"/>
          <w:color w:val="000000"/>
          <w:lang w:val="en-CA"/>
        </w:rPr>
        <w:t>R</w:t>
      </w:r>
      <w:r w:rsidR="000C61BD" w:rsidRPr="0045720B">
        <w:rPr>
          <w:rStyle w:val="reflex3-missing"/>
          <w:rFonts w:cs="Arial"/>
          <w:color w:val="000000"/>
          <w:lang w:val="en-CA"/>
        </w:rPr>
        <w:t>.</w:t>
      </w:r>
      <w:r w:rsidRPr="0045720B">
        <w:rPr>
          <w:rStyle w:val="reflex3-missing"/>
          <w:rFonts w:cs="Arial"/>
          <w:color w:val="000000"/>
          <w:lang w:val="en-CA"/>
        </w:rPr>
        <w:t xml:space="preserve"> 659 </w:t>
      </w:r>
      <w:bookmarkEnd w:id="19"/>
      <w:r w:rsidR="00867E2D" w:rsidRPr="0045720B">
        <w:rPr>
          <w:rFonts w:cs="Arial"/>
          <w:lang w:val="en-CA"/>
        </w:rPr>
        <w:t>[</w:t>
      </w:r>
      <w:r w:rsidRPr="0045720B">
        <w:rPr>
          <w:i/>
          <w:iCs/>
          <w:lang w:val="en-CA"/>
        </w:rPr>
        <w:t>Waterfield</w:t>
      </w:r>
      <w:r w:rsidR="00867E2D" w:rsidRPr="0045720B">
        <w:rPr>
          <w:rFonts w:cs="Arial"/>
          <w:lang w:val="en-CA"/>
        </w:rPr>
        <w:t>]</w:t>
      </w:r>
      <w:r w:rsidR="00083108">
        <w:rPr>
          <w:lang w:val="en-CA"/>
        </w:rPr>
        <w:t>, p. 6</w:t>
      </w:r>
      <w:r w:rsidRPr="0045720B">
        <w:rPr>
          <w:rStyle w:val="reflex3-missing"/>
          <w:rFonts w:cs="Arial"/>
          <w:color w:val="000000"/>
          <w:lang w:val="en-CA"/>
        </w:rPr>
        <w:t xml:space="preserve">61, cited in </w:t>
      </w:r>
      <w:r w:rsidRPr="0045720B">
        <w:rPr>
          <w:i/>
          <w:iCs/>
          <w:lang w:val="en-CA"/>
        </w:rPr>
        <w:t>Dedman v. The Queen</w:t>
      </w:r>
      <w:r w:rsidRPr="0045720B">
        <w:rPr>
          <w:lang w:val="en-CA"/>
        </w:rPr>
        <w:t>, [1985]</w:t>
      </w:r>
      <w:r w:rsidRPr="0045720B">
        <w:rPr>
          <w:rFonts w:cs="Arial"/>
          <w:sz w:val="22"/>
          <w:szCs w:val="22"/>
          <w:lang w:val="en-CA"/>
        </w:rPr>
        <w:t> </w:t>
      </w:r>
      <w:r w:rsidRPr="0045720B">
        <w:rPr>
          <w:lang w:val="en-CA"/>
        </w:rPr>
        <w:t>2</w:t>
      </w:r>
      <w:r w:rsidRPr="0045720B">
        <w:rPr>
          <w:rFonts w:cs="Arial"/>
          <w:sz w:val="22"/>
          <w:szCs w:val="22"/>
          <w:lang w:val="en-CA"/>
        </w:rPr>
        <w:t> </w:t>
      </w:r>
      <w:r w:rsidRPr="0045720B">
        <w:rPr>
          <w:lang w:val="en-CA"/>
        </w:rPr>
        <w:t>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rFonts w:cs="Arial"/>
          <w:sz w:val="22"/>
          <w:szCs w:val="22"/>
          <w:lang w:val="en-CA"/>
        </w:rPr>
        <w:t> </w:t>
      </w:r>
      <w:r w:rsidRPr="0045720B">
        <w:rPr>
          <w:lang w:val="en-CA"/>
        </w:rPr>
        <w:t>2</w:t>
      </w:r>
      <w:r w:rsidR="00083108">
        <w:rPr>
          <w:lang w:val="en-CA"/>
        </w:rPr>
        <w:t>, p. 3</w:t>
      </w:r>
      <w:r w:rsidRPr="0045720B">
        <w:rPr>
          <w:lang w:val="en-CA"/>
        </w:rPr>
        <w:t>3 [</w:t>
      </w:r>
      <w:r w:rsidR="00DB4021">
        <w:rPr>
          <w:lang w:val="en-CA"/>
        </w:rPr>
        <w:t xml:space="preserve">underlining </w:t>
      </w:r>
      <w:r w:rsidRPr="0045720B">
        <w:rPr>
          <w:lang w:val="en-CA"/>
        </w:rPr>
        <w:t>added]:</w:t>
      </w:r>
    </w:p>
    <w:p w14:paraId="6D7E47E0" w14:textId="3724F183" w:rsidR="00D1633B" w:rsidRPr="007D03CB" w:rsidRDefault="00D1633B" w:rsidP="00D1633B">
      <w:pPr>
        <w:pStyle w:val="Notedebasdepage"/>
        <w:ind w:left="720" w:right="720" w:firstLine="0"/>
        <w:rPr>
          <w:rFonts w:cs="Arial"/>
          <w:color w:val="000000"/>
          <w:sz w:val="18"/>
          <w:szCs w:val="18"/>
          <w:lang w:val="en-CA"/>
        </w:rPr>
      </w:pPr>
      <w:r w:rsidRPr="00392D14">
        <w:rPr>
          <w:rFonts w:cs="Arial"/>
          <w:color w:val="000000"/>
          <w:sz w:val="18"/>
          <w:lang w:val="en-CA"/>
        </w:rPr>
        <w:t xml:space="preserve">In the judgment of this court it would be difficult, and in the present case it is unnecessary, to reduce within specific limits the general terms in which the duties of police constables have been expressed. </w:t>
      </w:r>
      <w:r w:rsidRPr="00392D14">
        <w:rPr>
          <w:rFonts w:cs="Arial"/>
          <w:color w:val="000000"/>
          <w:sz w:val="18"/>
          <w:u w:val="single"/>
          <w:lang w:val="en-CA"/>
        </w:rPr>
        <w:t>In most cases it is probably more convenient to consider what the police constable was actually doing and in particular whether such conduct was prima facie an unlawful interference with a person's liberty or property. If so, it is then relevant to consider whether (a) such conduct falls within the general scope of any duty imposed by statute or recognized at common law and (b) whether such conduct, albeit within the general scope of such a duty, involved an unjustifiable use of powers associated with the duty</w:t>
      </w:r>
      <w:r w:rsidRPr="00392D14">
        <w:rPr>
          <w:rFonts w:cs="Arial"/>
          <w:color w:val="000000"/>
          <w:sz w:val="18"/>
          <w:lang w:val="en-CA"/>
        </w:rPr>
        <w:t>. Thus, while it is no doubt right to say in general terms that police constables have a duty to prevent crime and a duty, when crime is committed, to bring the offender to justice, it is also clear from the decided cases that when the execution of these general duties involves interference with the person or property of a private person, the powers of constables are not unlimited.</w:t>
      </w:r>
      <w:r w:rsidRPr="007D03CB">
        <w:rPr>
          <w:rFonts w:cs="Arial"/>
          <w:color w:val="000000"/>
          <w:sz w:val="18"/>
          <w:szCs w:val="18"/>
          <w:lang w:val="en-CA"/>
        </w:rPr>
        <w:t xml:space="preserve"> </w:t>
      </w:r>
      <w:r w:rsidR="007D03CB">
        <w:rPr>
          <w:rFonts w:cs="Arial"/>
          <w:color w:val="000000"/>
          <w:sz w:val="18"/>
          <w:szCs w:val="18"/>
          <w:lang w:val="en-CA"/>
        </w:rPr>
        <w:t>[</w:t>
      </w:r>
      <w:r w:rsidR="005A4E85" w:rsidRPr="007D03CB">
        <w:rPr>
          <w:rFonts w:cs="Arial"/>
          <w:color w:val="000000"/>
          <w:sz w:val="18"/>
          <w:szCs w:val="18"/>
          <w:lang w:val="en-CA"/>
        </w:rPr>
        <w:t>...</w:t>
      </w:r>
      <w:r w:rsidR="007D03CB">
        <w:rPr>
          <w:rFonts w:cs="Arial"/>
          <w:color w:val="000000"/>
          <w:sz w:val="18"/>
          <w:szCs w:val="18"/>
          <w:lang w:val="en-CA"/>
        </w:rPr>
        <w:t>]</w:t>
      </w:r>
    </w:p>
    <w:p w14:paraId="20985037" w14:textId="290CC6F5" w:rsidR="00D1633B" w:rsidRPr="0045720B" w:rsidRDefault="00D1633B" w:rsidP="00D1633B">
      <w:pPr>
        <w:pStyle w:val="Notedebasdepage"/>
        <w:ind w:left="357" w:firstLine="0"/>
        <w:rPr>
          <w:lang w:val="en-CA"/>
        </w:rPr>
      </w:pPr>
      <w:r w:rsidRPr="0045720B">
        <w:rPr>
          <w:lang w:val="en-CA"/>
        </w:rPr>
        <w:t xml:space="preserve">This test, also called </w:t>
      </w:r>
      <w:r w:rsidR="00102803">
        <w:rPr>
          <w:lang w:val="en-CA"/>
        </w:rPr>
        <w:t xml:space="preserve">the </w:t>
      </w:r>
      <w:r w:rsidR="00C87C70" w:rsidRPr="0045720B">
        <w:rPr>
          <w:lang w:val="en-CA"/>
        </w:rPr>
        <w:t>“</w:t>
      </w:r>
      <w:r w:rsidRPr="0045720B">
        <w:rPr>
          <w:lang w:val="en-CA"/>
        </w:rPr>
        <w:t>ancillary powers doctrine</w:t>
      </w:r>
      <w:r w:rsidR="00C87C70" w:rsidRPr="0045720B">
        <w:rPr>
          <w:lang w:val="en-CA"/>
        </w:rPr>
        <w:t>”</w:t>
      </w:r>
      <w:r w:rsidRPr="0045720B">
        <w:rPr>
          <w:lang w:val="en-CA"/>
        </w:rPr>
        <w:t xml:space="preserve">, was further described and applied in </w:t>
      </w:r>
      <w:r w:rsidR="00867E2D" w:rsidRPr="0045720B">
        <w:rPr>
          <w:lang w:val="en-CA"/>
        </w:rPr>
        <w:t>numerous</w:t>
      </w:r>
      <w:r w:rsidRPr="0045720B">
        <w:rPr>
          <w:lang w:val="en-CA"/>
        </w:rPr>
        <w:t xml:space="preserve"> subsequent cases. See in particular: </w:t>
      </w:r>
      <w:r w:rsidRPr="0045720B">
        <w:rPr>
          <w:i/>
          <w:iCs/>
          <w:lang w:val="en-CA"/>
        </w:rPr>
        <w:t>Fleming v. Ontario</w:t>
      </w:r>
      <w:r w:rsidRPr="0045720B">
        <w:rPr>
          <w:lang w:val="en-CA"/>
        </w:rPr>
        <w:t xml:space="preserve">, 2019 SCC 45 </w:t>
      </w:r>
      <w:r w:rsidR="00867E2D" w:rsidRPr="0045720B">
        <w:rPr>
          <w:rFonts w:cs="Arial"/>
          <w:lang w:val="en-CA"/>
        </w:rPr>
        <w:t>[</w:t>
      </w:r>
      <w:r w:rsidRPr="0045720B">
        <w:rPr>
          <w:i/>
          <w:iCs/>
          <w:lang w:val="en-CA"/>
        </w:rPr>
        <w:t>Fleming</w:t>
      </w:r>
      <w:r w:rsidR="00867E2D" w:rsidRPr="0045720B">
        <w:rPr>
          <w:rFonts w:cs="Arial"/>
          <w:lang w:val="en-CA"/>
        </w:rPr>
        <w:t>]</w:t>
      </w:r>
      <w:r w:rsidR="00654113">
        <w:rPr>
          <w:rFonts w:cs="Arial"/>
          <w:lang w:val="en-CA"/>
        </w:rPr>
        <w:t>,</w:t>
      </w:r>
      <w:r w:rsidRPr="0045720B">
        <w:rPr>
          <w:lang w:val="en-CA"/>
        </w:rPr>
        <w:t xml:space="preserve"> para</w:t>
      </w:r>
      <w:r w:rsidR="00654113">
        <w:rPr>
          <w:lang w:val="en-CA"/>
        </w:rPr>
        <w:t>s</w:t>
      </w:r>
      <w:r w:rsidRPr="0045720B">
        <w:rPr>
          <w:lang w:val="en-CA"/>
        </w:rPr>
        <w:t>. 43</w:t>
      </w:r>
      <w:r w:rsidR="00F77662">
        <w:rPr>
          <w:lang w:val="en-CA"/>
        </w:rPr>
        <w:t>ff</w:t>
      </w:r>
      <w:r w:rsidRPr="0045720B">
        <w:rPr>
          <w:lang w:val="en-CA"/>
        </w:rPr>
        <w:t xml:space="preserve">.; </w:t>
      </w:r>
      <w:r w:rsidRPr="0045720B">
        <w:rPr>
          <w:i/>
          <w:iCs/>
          <w:lang w:val="en-CA"/>
        </w:rPr>
        <w:t>R.</w:t>
      </w:r>
      <w:r w:rsidR="00330519">
        <w:rPr>
          <w:i/>
          <w:iCs/>
          <w:lang w:val="en-CA"/>
        </w:rPr>
        <w:t> </w:t>
      </w:r>
      <w:r w:rsidRPr="0045720B">
        <w:rPr>
          <w:i/>
          <w:iCs/>
          <w:lang w:val="en-CA"/>
        </w:rPr>
        <w:t>v. Reeves</w:t>
      </w:r>
      <w:r w:rsidRPr="0045720B">
        <w:rPr>
          <w:lang w:val="en-CA"/>
        </w:rPr>
        <w:t>, 2018 SCC 56</w:t>
      </w:r>
      <w:r w:rsidR="00654113">
        <w:rPr>
          <w:lang w:val="en-CA"/>
        </w:rPr>
        <w:t>,</w:t>
      </w:r>
      <w:r w:rsidRPr="0045720B">
        <w:rPr>
          <w:lang w:val="en-CA"/>
        </w:rPr>
        <w:t xml:space="preserve"> paras. 77–78 (concurring reasons of Moldaver</w:t>
      </w:r>
      <w:r w:rsidR="00867E2D" w:rsidRPr="0045720B">
        <w:rPr>
          <w:lang w:val="en-CA"/>
        </w:rPr>
        <w:t>,</w:t>
      </w:r>
      <w:r w:rsidRPr="0045720B">
        <w:rPr>
          <w:lang w:val="en-CA"/>
        </w:rPr>
        <w:t xml:space="preserve"> J.); </w:t>
      </w:r>
      <w:r w:rsidRPr="0045720B">
        <w:rPr>
          <w:i/>
          <w:iCs/>
          <w:lang w:val="en-CA"/>
        </w:rPr>
        <w:t>R. v. MacDonald</w:t>
      </w:r>
      <w:r w:rsidRPr="0045720B">
        <w:rPr>
          <w:lang w:val="en-CA"/>
        </w:rPr>
        <w:t>, 2014 SCC 3.</w:t>
      </w:r>
    </w:p>
  </w:footnote>
  <w:footnote w:id="24">
    <w:p w14:paraId="456F363E" w14:textId="42E77BA3" w:rsidR="00D1633B" w:rsidRPr="0045720B" w:rsidRDefault="00D1633B" w:rsidP="00D1633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Hufsky</w:t>
      </w:r>
      <w:r w:rsidRPr="0045720B">
        <w:rPr>
          <w:lang w:val="en-CA"/>
        </w:rPr>
        <w:t>, [1988]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621</w:t>
      </w:r>
      <w:r w:rsidR="00083108">
        <w:rPr>
          <w:lang w:val="en-CA"/>
        </w:rPr>
        <w:t>, p. 6</w:t>
      </w:r>
      <w:r w:rsidRPr="0045720B">
        <w:rPr>
          <w:lang w:val="en-CA"/>
        </w:rPr>
        <w:t>25. Not</w:t>
      </w:r>
      <w:r w:rsidR="00C87C70" w:rsidRPr="0045720B">
        <w:rPr>
          <w:lang w:val="en-CA"/>
        </w:rPr>
        <w:t>e</w:t>
      </w:r>
      <w:r w:rsidRPr="0045720B">
        <w:rPr>
          <w:lang w:val="en-CA"/>
        </w:rPr>
        <w:t xml:space="preserve"> </w:t>
      </w:r>
      <w:r w:rsidR="00C87C70" w:rsidRPr="0045720B">
        <w:rPr>
          <w:lang w:val="en-CA"/>
        </w:rPr>
        <w:t xml:space="preserve">that the facts </w:t>
      </w:r>
      <w:r w:rsidR="00867E2D" w:rsidRPr="0045720B">
        <w:rPr>
          <w:lang w:val="en-CA"/>
        </w:rPr>
        <w:t xml:space="preserve">giving rise to </w:t>
      </w:r>
      <w:r w:rsidR="00C87C70" w:rsidRPr="0045720B">
        <w:rPr>
          <w:lang w:val="en-CA"/>
        </w:rPr>
        <w:t xml:space="preserve">this case occurred after the </w:t>
      </w:r>
      <w:r w:rsidR="00C87C70" w:rsidRPr="0045720B">
        <w:rPr>
          <w:i/>
          <w:iCs/>
          <w:lang w:val="en-CA"/>
        </w:rPr>
        <w:t>Charter</w:t>
      </w:r>
      <w:r w:rsidR="00C87C70" w:rsidRPr="0045720B">
        <w:rPr>
          <w:lang w:val="en-CA"/>
        </w:rPr>
        <w:t xml:space="preserve"> came into force</w:t>
      </w:r>
      <w:r w:rsidRPr="0045720B">
        <w:rPr>
          <w:lang w:val="en-CA"/>
        </w:rPr>
        <w:t>.</w:t>
      </w:r>
    </w:p>
  </w:footnote>
  <w:footnote w:id="25">
    <w:p w14:paraId="7BEF3B78" w14:textId="2A7158BF" w:rsidR="00D1633B" w:rsidRPr="0045720B" w:rsidRDefault="00D1633B" w:rsidP="00D1633B">
      <w:pPr>
        <w:pStyle w:val="Notedebasdepage"/>
        <w:rPr>
          <w:lang w:val="en-CA"/>
        </w:rPr>
      </w:pPr>
      <w:r w:rsidRPr="0045720B">
        <w:rPr>
          <w:rStyle w:val="Appelnotedebasdep"/>
          <w:lang w:val="en-CA"/>
        </w:rPr>
        <w:footnoteRef/>
      </w:r>
      <w:r w:rsidRPr="0045720B">
        <w:rPr>
          <w:lang w:val="en-CA"/>
        </w:rPr>
        <w:t xml:space="preserve"> </w:t>
      </w:r>
      <w:r w:rsidRPr="0045720B">
        <w:rPr>
          <w:lang w:val="en-CA"/>
        </w:rPr>
        <w:tab/>
        <w:t>At the time</w:t>
      </w:r>
      <w:r w:rsidR="004F091F">
        <w:rPr>
          <w:lang w:val="en-CA"/>
        </w:rPr>
        <w:t>,</w:t>
      </w:r>
      <w:r w:rsidRPr="0045720B">
        <w:rPr>
          <w:lang w:val="en-CA"/>
        </w:rPr>
        <w:t xml:space="preserve"> the </w:t>
      </w:r>
      <w:r w:rsidRPr="0045720B">
        <w:rPr>
          <w:i/>
          <w:iCs/>
          <w:lang w:val="en-CA"/>
        </w:rPr>
        <w:t>Highway Traffic Act</w:t>
      </w:r>
      <w:r w:rsidRPr="0045720B">
        <w:rPr>
          <w:lang w:val="en-CA"/>
        </w:rPr>
        <w:t>, R</w:t>
      </w:r>
      <w:r w:rsidR="00102803">
        <w:rPr>
          <w:lang w:val="en-CA"/>
        </w:rPr>
        <w:t>.</w:t>
      </w:r>
      <w:r w:rsidRPr="0045720B">
        <w:rPr>
          <w:lang w:val="en-CA"/>
        </w:rPr>
        <w:t>S</w:t>
      </w:r>
      <w:r w:rsidR="00102803">
        <w:rPr>
          <w:lang w:val="en-CA"/>
        </w:rPr>
        <w:t>.</w:t>
      </w:r>
      <w:r w:rsidRPr="0045720B">
        <w:rPr>
          <w:lang w:val="en-CA"/>
        </w:rPr>
        <w:t>O</w:t>
      </w:r>
      <w:r w:rsidR="00102803">
        <w:rPr>
          <w:lang w:val="en-CA"/>
        </w:rPr>
        <w:t>.</w:t>
      </w:r>
      <w:r w:rsidRPr="0045720B">
        <w:rPr>
          <w:lang w:val="en-CA"/>
        </w:rPr>
        <w:t xml:space="preserve"> 1980, c. 198.</w:t>
      </w:r>
    </w:p>
  </w:footnote>
  <w:footnote w:id="26">
    <w:p w14:paraId="6375A450" w14:textId="48C9E813" w:rsidR="00345AD9" w:rsidRPr="0045720B" w:rsidRDefault="00345AD9" w:rsidP="00345AD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Hufsky</w:t>
      </w:r>
      <w:r w:rsidRPr="0045720B">
        <w:rPr>
          <w:lang w:val="en-CA"/>
        </w:rPr>
        <w:t>, [1988]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621</w:t>
      </w:r>
      <w:r w:rsidR="00083108">
        <w:rPr>
          <w:lang w:val="en-CA"/>
        </w:rPr>
        <w:t>, p. 6</w:t>
      </w:r>
      <w:r w:rsidRPr="0045720B">
        <w:rPr>
          <w:lang w:val="en-CA"/>
        </w:rPr>
        <w:t>31.</w:t>
      </w:r>
    </w:p>
  </w:footnote>
  <w:footnote w:id="27">
    <w:p w14:paraId="329B9395" w14:textId="0B2B7D32" w:rsidR="00345AD9" w:rsidRPr="0045720B" w:rsidRDefault="00345AD9" w:rsidP="00345AD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 6</w:t>
      </w:r>
      <w:r w:rsidRPr="0045720B">
        <w:rPr>
          <w:lang w:val="en-CA"/>
        </w:rPr>
        <w:t>28.</w:t>
      </w:r>
    </w:p>
  </w:footnote>
  <w:footnote w:id="28">
    <w:p w14:paraId="605CB3B5" w14:textId="5F486275" w:rsidR="00345AD9" w:rsidRPr="0045720B" w:rsidRDefault="00345AD9" w:rsidP="00345AD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pp. 6</w:t>
      </w:r>
      <w:r w:rsidRPr="0045720B">
        <w:rPr>
          <w:lang w:val="en-CA"/>
        </w:rPr>
        <w:t>3</w:t>
      </w:r>
      <w:r w:rsidR="002E2824" w:rsidRPr="0045720B">
        <w:rPr>
          <w:lang w:val="en-CA"/>
        </w:rPr>
        <w:t>1</w:t>
      </w:r>
      <w:r w:rsidR="0083557B">
        <w:rPr>
          <w:lang w:val="en-CA"/>
        </w:rPr>
        <w:t>-632</w:t>
      </w:r>
      <w:r w:rsidRPr="0045720B">
        <w:rPr>
          <w:lang w:val="en-CA"/>
        </w:rPr>
        <w:t>.</w:t>
      </w:r>
    </w:p>
  </w:footnote>
  <w:footnote w:id="29">
    <w:p w14:paraId="37F3F91F" w14:textId="1F8B16B8" w:rsidR="00345AD9" w:rsidRPr="0045720B" w:rsidRDefault="00345AD9" w:rsidP="00345AD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 6</w:t>
      </w:r>
      <w:r w:rsidRPr="0045720B">
        <w:rPr>
          <w:lang w:val="en-CA"/>
        </w:rPr>
        <w:t>33.</w:t>
      </w:r>
    </w:p>
  </w:footnote>
  <w:footnote w:id="30">
    <w:p w14:paraId="7D642541" w14:textId="29866AD3" w:rsidR="00345AD9" w:rsidRPr="00077E55" w:rsidRDefault="00345AD9" w:rsidP="00345AD9">
      <w:pPr>
        <w:pStyle w:val="Notedebasdepage"/>
      </w:pPr>
      <w:r w:rsidRPr="0045720B">
        <w:rPr>
          <w:rStyle w:val="Appelnotedebasdep"/>
          <w:lang w:val="en-CA"/>
        </w:rPr>
        <w:footnoteRef/>
      </w:r>
      <w:r w:rsidRPr="00077E55">
        <w:t xml:space="preserve"> </w:t>
      </w:r>
      <w:r w:rsidRPr="00077E55">
        <w:tab/>
      </w:r>
      <w:r w:rsidRPr="00077E55">
        <w:rPr>
          <w:i/>
          <w:iCs/>
        </w:rPr>
        <w:t>R. v. Ladouceur</w:t>
      </w:r>
      <w:r w:rsidRPr="00077E55">
        <w:t>, [1990] 1 S</w:t>
      </w:r>
      <w:r w:rsidR="000C61BD" w:rsidRPr="00077E55">
        <w:t>.</w:t>
      </w:r>
      <w:r w:rsidRPr="00077E55">
        <w:t>C</w:t>
      </w:r>
      <w:r w:rsidR="000C61BD" w:rsidRPr="00077E55">
        <w:t>.</w:t>
      </w:r>
      <w:r w:rsidRPr="00077E55">
        <w:t>R</w:t>
      </w:r>
      <w:r w:rsidR="000C61BD" w:rsidRPr="00077E55">
        <w:t>.</w:t>
      </w:r>
      <w:r w:rsidRPr="00077E55">
        <w:t xml:space="preserve"> 1257</w:t>
      </w:r>
      <w:r w:rsidR="00706F32" w:rsidRPr="00077E55">
        <w:t>, p. 1</w:t>
      </w:r>
      <w:r w:rsidRPr="00077E55">
        <w:t>275.</w:t>
      </w:r>
    </w:p>
  </w:footnote>
  <w:footnote w:id="31">
    <w:p w14:paraId="2BA3A471" w14:textId="62CEB613" w:rsidR="00540798" w:rsidRPr="0045720B" w:rsidRDefault="0043013D" w:rsidP="0054079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93A4C" w:rsidRPr="0045720B">
        <w:rPr>
          <w:i/>
          <w:iCs/>
          <w:lang w:val="en-CA"/>
        </w:rPr>
        <w:t>Id.</w:t>
      </w:r>
      <w:r w:rsidR="00706F32">
        <w:rPr>
          <w:lang w:val="en-CA"/>
        </w:rPr>
        <w:t>, p. 1</w:t>
      </w:r>
      <w:r w:rsidRPr="0045720B">
        <w:rPr>
          <w:lang w:val="en-CA"/>
        </w:rPr>
        <w:t>278.</w:t>
      </w:r>
    </w:p>
  </w:footnote>
  <w:footnote w:id="32">
    <w:p w14:paraId="61082F29" w14:textId="4850A1AB" w:rsidR="000847F0" w:rsidRPr="0045720B" w:rsidRDefault="000847F0" w:rsidP="000847F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21" w:name="_Hlk177749459"/>
      <w:r w:rsidRPr="0045720B">
        <w:rPr>
          <w:i/>
          <w:iCs/>
          <w:lang w:val="en-CA"/>
        </w:rPr>
        <w:t>R. v. Griffin</w:t>
      </w:r>
      <w:r w:rsidRPr="0045720B">
        <w:rPr>
          <w:lang w:val="en-CA"/>
        </w:rPr>
        <w:t xml:space="preserve"> (1996), 111 C</w:t>
      </w:r>
      <w:r w:rsidR="000C61BD" w:rsidRPr="0045720B">
        <w:rPr>
          <w:lang w:val="en-CA"/>
        </w:rPr>
        <w:t>.</w:t>
      </w:r>
      <w:r w:rsidRPr="0045720B">
        <w:rPr>
          <w:lang w:val="en-CA"/>
        </w:rPr>
        <w:t>C</w:t>
      </w:r>
      <w:r w:rsidR="000C61BD" w:rsidRPr="0045720B">
        <w:rPr>
          <w:lang w:val="en-CA"/>
        </w:rPr>
        <w:t>.</w:t>
      </w:r>
      <w:r w:rsidRPr="0045720B">
        <w:rPr>
          <w:lang w:val="en-CA"/>
        </w:rPr>
        <w:t>C</w:t>
      </w:r>
      <w:r w:rsidR="000C61BD" w:rsidRPr="0045720B">
        <w:rPr>
          <w:lang w:val="en-CA"/>
        </w:rPr>
        <w:t>.</w:t>
      </w:r>
      <w:r w:rsidRPr="0045720B">
        <w:rPr>
          <w:lang w:val="en-CA"/>
        </w:rPr>
        <w:t xml:space="preserve"> (3d) 490 (N</w:t>
      </w:r>
      <w:r w:rsidR="000C61BD" w:rsidRPr="0045720B">
        <w:rPr>
          <w:lang w:val="en-CA"/>
        </w:rPr>
        <w:t>.</w:t>
      </w:r>
      <w:r w:rsidRPr="0045720B">
        <w:rPr>
          <w:lang w:val="en-CA"/>
        </w:rPr>
        <w:t>L</w:t>
      </w:r>
      <w:r w:rsidR="000C61BD" w:rsidRPr="0045720B">
        <w:rPr>
          <w:lang w:val="en-CA"/>
        </w:rPr>
        <w:t>.</w:t>
      </w:r>
      <w:r w:rsidR="0063747D">
        <w:rPr>
          <w:lang w:val="en-CA"/>
        </w:rPr>
        <w:t xml:space="preserve"> C.A.</w:t>
      </w:r>
      <w:r w:rsidRPr="0045720B">
        <w:rPr>
          <w:lang w:val="en-CA"/>
        </w:rPr>
        <w:t xml:space="preserve">), leave to appeal to SCC refused, </w:t>
      </w:r>
      <w:r w:rsidR="00350E2B" w:rsidRPr="00350E2B">
        <w:rPr>
          <w:lang w:val="en-CA"/>
        </w:rPr>
        <w:t>April 24, 1997</w:t>
      </w:r>
      <w:r w:rsidR="00350E2B">
        <w:rPr>
          <w:lang w:val="en-CA"/>
        </w:rPr>
        <w:t xml:space="preserve">, </w:t>
      </w:r>
      <w:r w:rsidR="0063747D">
        <w:rPr>
          <w:lang w:val="en-CA"/>
        </w:rPr>
        <w:t xml:space="preserve">No. </w:t>
      </w:r>
      <w:r w:rsidRPr="0045720B">
        <w:rPr>
          <w:lang w:val="en-CA"/>
        </w:rPr>
        <w:t>25753.</w:t>
      </w:r>
      <w:bookmarkEnd w:id="21"/>
    </w:p>
  </w:footnote>
  <w:footnote w:id="33">
    <w:p w14:paraId="4D356B8C" w14:textId="0A2303A6" w:rsidR="00540798" w:rsidRPr="0045720B" w:rsidRDefault="0043013D" w:rsidP="0054079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93A4C" w:rsidRPr="0045720B">
        <w:rPr>
          <w:i/>
          <w:iCs/>
          <w:lang w:val="en-CA"/>
        </w:rPr>
        <w:t>Id.</w:t>
      </w:r>
      <w:r w:rsidR="00083108">
        <w:rPr>
          <w:lang w:val="en-CA"/>
        </w:rPr>
        <w:t>, p. 5</w:t>
      </w:r>
      <w:r w:rsidRPr="0045720B">
        <w:rPr>
          <w:lang w:val="en-CA"/>
        </w:rPr>
        <w:t xml:space="preserve">09. </w:t>
      </w:r>
      <w:r w:rsidR="00345AD9" w:rsidRPr="0045720B">
        <w:rPr>
          <w:lang w:val="en-CA"/>
        </w:rPr>
        <w:t>See, however</w:t>
      </w:r>
      <w:r w:rsidRPr="0045720B">
        <w:rPr>
          <w:lang w:val="en-CA"/>
        </w:rPr>
        <w:t xml:space="preserve">: Wayne Gorman, </w:t>
      </w:r>
      <w:r w:rsidR="00345AD9" w:rsidRPr="0045720B">
        <w:rPr>
          <w:lang w:val="en-CA"/>
        </w:rPr>
        <w:t>“</w:t>
      </w:r>
      <w:r w:rsidRPr="0045720B">
        <w:rPr>
          <w:lang w:val="en-CA"/>
        </w:rPr>
        <w:t>Arbitrary Detentions and Random Stops</w:t>
      </w:r>
      <w:r w:rsidR="00345AD9" w:rsidRPr="0045720B">
        <w:rPr>
          <w:lang w:val="en-CA"/>
        </w:rPr>
        <w:t>”</w:t>
      </w:r>
      <w:r w:rsidRPr="0045720B">
        <w:rPr>
          <w:lang w:val="en-CA"/>
        </w:rPr>
        <w:t>, (1999) 41 C.L.Q. 41</w:t>
      </w:r>
      <w:r w:rsidR="00083108">
        <w:rPr>
          <w:lang w:val="en-CA"/>
        </w:rPr>
        <w:t>, p. 5</w:t>
      </w:r>
      <w:r w:rsidRPr="0045720B">
        <w:rPr>
          <w:lang w:val="en-CA"/>
        </w:rPr>
        <w:t>2.</w:t>
      </w:r>
    </w:p>
  </w:footnote>
  <w:footnote w:id="34">
    <w:p w14:paraId="34A3E3D7" w14:textId="3385645F" w:rsidR="00540798" w:rsidRPr="0045720B" w:rsidRDefault="0043013D" w:rsidP="0054079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C24BA9" w:rsidRPr="0045720B">
        <w:rPr>
          <w:lang w:val="en-CA"/>
        </w:rPr>
        <w:t>In</w:t>
      </w:r>
      <w:r w:rsidRPr="0045720B">
        <w:rPr>
          <w:lang w:val="en-CA"/>
        </w:rPr>
        <w:t xml:space="preserve"> </w:t>
      </w:r>
      <w:r w:rsidRPr="0045720B">
        <w:rPr>
          <w:i/>
          <w:iCs/>
          <w:lang w:val="en-CA"/>
        </w:rPr>
        <w:t xml:space="preserve">R. </w:t>
      </w:r>
      <w:r w:rsidR="00C24BA9" w:rsidRPr="0045720B">
        <w:rPr>
          <w:i/>
          <w:iCs/>
          <w:lang w:val="en-CA"/>
        </w:rPr>
        <w:t>v</w:t>
      </w:r>
      <w:r w:rsidRPr="0045720B">
        <w:rPr>
          <w:i/>
          <w:iCs/>
          <w:lang w:val="en-CA"/>
        </w:rPr>
        <w:t>. MacDonald</w:t>
      </w:r>
      <w:r w:rsidRPr="0045720B">
        <w:rPr>
          <w:lang w:val="en-CA"/>
        </w:rPr>
        <w:t xml:space="preserve">, 2014 </w:t>
      </w:r>
      <w:r w:rsidR="003514B8" w:rsidRPr="0045720B">
        <w:rPr>
          <w:lang w:val="en-CA"/>
        </w:rPr>
        <w:t>SCC</w:t>
      </w:r>
      <w:r w:rsidRPr="0045720B">
        <w:rPr>
          <w:lang w:val="en-CA"/>
        </w:rPr>
        <w:t xml:space="preserve"> 3, </w:t>
      </w:r>
      <w:r w:rsidR="00C24BA9" w:rsidRPr="0045720B">
        <w:rPr>
          <w:lang w:val="en-CA"/>
        </w:rPr>
        <w:t xml:space="preserve">the Supreme </w:t>
      </w:r>
      <w:r w:rsidRPr="0045720B">
        <w:rPr>
          <w:lang w:val="en-CA"/>
        </w:rPr>
        <w:t>Cour</w:t>
      </w:r>
      <w:r w:rsidR="00C24BA9" w:rsidRPr="0045720B">
        <w:rPr>
          <w:lang w:val="en-CA"/>
        </w:rPr>
        <w:t>t</w:t>
      </w:r>
      <w:r w:rsidRPr="0045720B">
        <w:rPr>
          <w:lang w:val="en-CA"/>
        </w:rPr>
        <w:t xml:space="preserve"> </w:t>
      </w:r>
      <w:r w:rsidR="00C24BA9" w:rsidRPr="0045720B">
        <w:rPr>
          <w:lang w:val="en-CA"/>
        </w:rPr>
        <w:t xml:space="preserve">stated, </w:t>
      </w:r>
      <w:r w:rsidR="00DD1E90">
        <w:rPr>
          <w:lang w:val="en-CA"/>
        </w:rPr>
        <w:t xml:space="preserve">at </w:t>
      </w:r>
      <w:r w:rsidRPr="0045720B">
        <w:rPr>
          <w:lang w:val="en-CA"/>
        </w:rPr>
        <w:t>par</w:t>
      </w:r>
      <w:r w:rsidR="00C24BA9" w:rsidRPr="0045720B">
        <w:rPr>
          <w:lang w:val="en-CA"/>
        </w:rPr>
        <w:t>a</w:t>
      </w:r>
      <w:r w:rsidRPr="0045720B">
        <w:rPr>
          <w:lang w:val="en-CA"/>
        </w:rPr>
        <w:t xml:space="preserve">. 37, </w:t>
      </w:r>
      <w:r w:rsidR="00C24BA9" w:rsidRPr="0045720B">
        <w:rPr>
          <w:lang w:val="en-CA"/>
        </w:rPr>
        <w:t xml:space="preserve">that the following </w:t>
      </w:r>
      <w:r w:rsidR="00C80AD9">
        <w:rPr>
          <w:lang w:val="en-CA"/>
        </w:rPr>
        <w:t xml:space="preserve">three </w:t>
      </w:r>
      <w:r w:rsidR="00C24BA9" w:rsidRPr="0045720B">
        <w:rPr>
          <w:lang w:val="en-CA"/>
        </w:rPr>
        <w:t xml:space="preserve">factors must be </w:t>
      </w:r>
      <w:r w:rsidR="0018402F" w:rsidRPr="0045720B">
        <w:rPr>
          <w:lang w:val="en-CA"/>
        </w:rPr>
        <w:t xml:space="preserve">weighed </w:t>
      </w:r>
      <w:r w:rsidR="00C24BA9" w:rsidRPr="0045720B">
        <w:rPr>
          <w:lang w:val="en-CA"/>
        </w:rPr>
        <w:t xml:space="preserve">to determine whether the second part of the </w:t>
      </w:r>
      <w:r w:rsidR="00C24BA9" w:rsidRPr="0045720B">
        <w:rPr>
          <w:i/>
          <w:iCs/>
          <w:lang w:val="en-CA"/>
        </w:rPr>
        <w:t>Waterfield</w:t>
      </w:r>
      <w:r w:rsidR="00C24BA9" w:rsidRPr="0045720B">
        <w:rPr>
          <w:lang w:val="en-CA"/>
        </w:rPr>
        <w:t xml:space="preserve"> test </w:t>
      </w:r>
      <w:r w:rsidR="00400C7E">
        <w:rPr>
          <w:lang w:val="en-CA"/>
        </w:rPr>
        <w:t xml:space="preserve">is </w:t>
      </w:r>
      <w:r w:rsidR="0018402F" w:rsidRPr="0045720B">
        <w:rPr>
          <w:lang w:val="en-CA"/>
        </w:rPr>
        <w:t>satisfied</w:t>
      </w:r>
      <w:r w:rsidRPr="0045720B">
        <w:rPr>
          <w:lang w:val="en-CA"/>
        </w:rPr>
        <w:t>:</w:t>
      </w:r>
    </w:p>
    <w:p w14:paraId="0E689071" w14:textId="14178447" w:rsidR="00540798" w:rsidRPr="0045720B" w:rsidRDefault="0043013D" w:rsidP="00540798">
      <w:pPr>
        <w:pStyle w:val="citation-altc"/>
        <w:spacing w:before="0" w:beforeAutospacing="0" w:after="0" w:afterAutospacing="0"/>
        <w:ind w:left="720" w:right="720"/>
        <w:jc w:val="both"/>
        <w:rPr>
          <w:rFonts w:ascii="Arial" w:hAnsi="Arial" w:cs="Arial"/>
          <w:sz w:val="18"/>
          <w:szCs w:val="18"/>
          <w:lang w:val="en-CA"/>
        </w:rPr>
      </w:pPr>
      <w:r w:rsidRPr="0045720B">
        <w:rPr>
          <w:rFonts w:ascii="Arial" w:hAnsi="Arial" w:cs="Arial"/>
          <w:sz w:val="18"/>
          <w:szCs w:val="18"/>
          <w:lang w:val="en-CA"/>
        </w:rPr>
        <w:t xml:space="preserve">1.  </w:t>
      </w:r>
      <w:r w:rsidR="0018402F" w:rsidRPr="0045720B">
        <w:rPr>
          <w:rFonts w:ascii="Arial" w:hAnsi="Arial" w:cs="Arial"/>
          <w:sz w:val="18"/>
          <w:szCs w:val="18"/>
          <w:lang w:val="en-CA"/>
        </w:rPr>
        <w:t xml:space="preserve">the </w:t>
      </w:r>
      <w:r w:rsidRPr="0045720B">
        <w:rPr>
          <w:rFonts w:ascii="Arial" w:hAnsi="Arial" w:cs="Arial"/>
          <w:sz w:val="18"/>
          <w:szCs w:val="18"/>
          <w:lang w:val="en-CA"/>
        </w:rPr>
        <w:t xml:space="preserve">importance </w:t>
      </w:r>
      <w:r w:rsidR="0018402F" w:rsidRPr="0045720B">
        <w:rPr>
          <w:rFonts w:ascii="Arial" w:hAnsi="Arial" w:cs="Arial"/>
          <w:sz w:val="18"/>
          <w:szCs w:val="18"/>
          <w:lang w:val="en-CA"/>
        </w:rPr>
        <w:t>of the performance of the [police] duty to the public good</w:t>
      </w:r>
      <w:r w:rsidRPr="0045720B">
        <w:rPr>
          <w:rFonts w:ascii="Arial" w:hAnsi="Arial" w:cs="Arial"/>
          <w:sz w:val="18"/>
          <w:szCs w:val="18"/>
          <w:lang w:val="en-CA"/>
        </w:rPr>
        <w:t xml:space="preserve"> (</w:t>
      </w:r>
      <w:r w:rsidRPr="0045720B">
        <w:rPr>
          <w:rFonts w:ascii="Arial" w:hAnsi="Arial" w:cs="Arial"/>
          <w:i/>
          <w:iCs/>
          <w:sz w:val="18"/>
          <w:szCs w:val="18"/>
          <w:lang w:val="en-CA"/>
        </w:rPr>
        <w:t>Mann</w:t>
      </w:r>
      <w:r w:rsidRPr="0045720B">
        <w:rPr>
          <w:rFonts w:ascii="Arial" w:hAnsi="Arial" w:cs="Arial"/>
          <w:sz w:val="18"/>
          <w:szCs w:val="18"/>
          <w:lang w:val="en-CA"/>
        </w:rPr>
        <w:t xml:space="preserve"> </w:t>
      </w:r>
      <w:r w:rsidR="0018402F" w:rsidRPr="0045720B">
        <w:rPr>
          <w:rFonts w:ascii="Arial" w:hAnsi="Arial" w:cs="Arial"/>
          <w:sz w:val="18"/>
          <w:szCs w:val="18"/>
          <w:lang w:val="en-CA"/>
        </w:rPr>
        <w:t xml:space="preserve">at </w:t>
      </w:r>
      <w:r w:rsidRPr="0045720B">
        <w:rPr>
          <w:rFonts w:ascii="Arial" w:hAnsi="Arial" w:cs="Arial"/>
          <w:sz w:val="18"/>
          <w:szCs w:val="18"/>
          <w:lang w:val="en-CA"/>
        </w:rPr>
        <w:t>par</w:t>
      </w:r>
      <w:r w:rsidR="0018402F" w:rsidRPr="0045720B">
        <w:rPr>
          <w:rFonts w:ascii="Arial" w:hAnsi="Arial" w:cs="Arial"/>
          <w:sz w:val="18"/>
          <w:szCs w:val="18"/>
          <w:lang w:val="en-CA"/>
        </w:rPr>
        <w:t>a</w:t>
      </w:r>
      <w:r w:rsidRPr="0045720B">
        <w:rPr>
          <w:rFonts w:ascii="Arial" w:hAnsi="Arial" w:cs="Arial"/>
          <w:sz w:val="18"/>
          <w:szCs w:val="18"/>
          <w:lang w:val="en-CA"/>
        </w:rPr>
        <w:t>. 39);</w:t>
      </w:r>
    </w:p>
    <w:p w14:paraId="5C79F0A7" w14:textId="16C259B3" w:rsidR="00540798" w:rsidRPr="0045720B" w:rsidRDefault="0043013D" w:rsidP="00540798">
      <w:pPr>
        <w:pStyle w:val="citation-altc"/>
        <w:spacing w:before="0" w:beforeAutospacing="0" w:after="0" w:afterAutospacing="0"/>
        <w:ind w:left="720" w:right="720"/>
        <w:jc w:val="both"/>
        <w:rPr>
          <w:rFonts w:ascii="Arial" w:hAnsi="Arial" w:cs="Arial"/>
          <w:sz w:val="18"/>
          <w:szCs w:val="18"/>
          <w:lang w:val="en-CA"/>
        </w:rPr>
      </w:pPr>
      <w:r w:rsidRPr="0045720B">
        <w:rPr>
          <w:rFonts w:ascii="Arial" w:hAnsi="Arial" w:cs="Arial"/>
          <w:sz w:val="18"/>
          <w:szCs w:val="18"/>
          <w:lang w:val="en-CA"/>
        </w:rPr>
        <w:t xml:space="preserve">2.  </w:t>
      </w:r>
      <w:r w:rsidR="0018402F" w:rsidRPr="0045720B">
        <w:rPr>
          <w:rFonts w:ascii="Arial" w:hAnsi="Arial" w:cs="Arial"/>
          <w:sz w:val="18"/>
          <w:szCs w:val="18"/>
          <w:lang w:val="en-CA"/>
        </w:rPr>
        <w:t>the</w:t>
      </w:r>
      <w:r w:rsidRPr="0045720B">
        <w:rPr>
          <w:rFonts w:ascii="Arial" w:hAnsi="Arial" w:cs="Arial"/>
          <w:sz w:val="18"/>
          <w:szCs w:val="18"/>
          <w:lang w:val="en-CA"/>
        </w:rPr>
        <w:t xml:space="preserve"> n</w:t>
      </w:r>
      <w:r w:rsidR="0018402F" w:rsidRPr="0045720B">
        <w:rPr>
          <w:rFonts w:ascii="Arial" w:hAnsi="Arial" w:cs="Arial"/>
          <w:sz w:val="18"/>
          <w:szCs w:val="18"/>
          <w:lang w:val="en-CA"/>
        </w:rPr>
        <w:t>e</w:t>
      </w:r>
      <w:r w:rsidRPr="0045720B">
        <w:rPr>
          <w:rFonts w:ascii="Arial" w:hAnsi="Arial" w:cs="Arial"/>
          <w:sz w:val="18"/>
          <w:szCs w:val="18"/>
          <w:lang w:val="en-CA"/>
        </w:rPr>
        <w:t>cessit</w:t>
      </w:r>
      <w:r w:rsidR="0018402F" w:rsidRPr="0045720B">
        <w:rPr>
          <w:rFonts w:ascii="Arial" w:hAnsi="Arial" w:cs="Arial"/>
          <w:sz w:val="18"/>
          <w:szCs w:val="18"/>
          <w:lang w:val="en-CA"/>
        </w:rPr>
        <w:t>y of the interference with individual liberty for the performance of the duty</w:t>
      </w:r>
      <w:r w:rsidRPr="0045720B">
        <w:rPr>
          <w:rFonts w:ascii="Arial" w:hAnsi="Arial" w:cs="Arial"/>
          <w:sz w:val="18"/>
          <w:szCs w:val="18"/>
          <w:lang w:val="en-CA"/>
        </w:rPr>
        <w:t xml:space="preserve"> (</w:t>
      </w:r>
      <w:r w:rsidRPr="0045720B">
        <w:rPr>
          <w:rFonts w:ascii="Arial" w:hAnsi="Arial" w:cs="Arial"/>
          <w:i/>
          <w:iCs/>
          <w:sz w:val="18"/>
          <w:szCs w:val="18"/>
          <w:lang w:val="en-CA"/>
        </w:rPr>
        <w:t>Dedman</w:t>
      </w:r>
      <w:r w:rsidRPr="0045720B">
        <w:rPr>
          <w:rFonts w:ascii="Arial" w:hAnsi="Arial" w:cs="Arial"/>
          <w:sz w:val="18"/>
          <w:szCs w:val="18"/>
          <w:lang w:val="en-CA"/>
        </w:rPr>
        <w:t xml:space="preserve"> </w:t>
      </w:r>
      <w:r w:rsidR="0018402F" w:rsidRPr="0045720B">
        <w:rPr>
          <w:rFonts w:ascii="Arial" w:hAnsi="Arial" w:cs="Arial"/>
          <w:sz w:val="18"/>
          <w:szCs w:val="18"/>
          <w:lang w:val="en-CA"/>
        </w:rPr>
        <w:t>at</w:t>
      </w:r>
      <w:r w:rsidRPr="0045720B">
        <w:rPr>
          <w:rFonts w:ascii="Arial" w:hAnsi="Arial" w:cs="Arial"/>
          <w:sz w:val="18"/>
          <w:szCs w:val="18"/>
          <w:lang w:val="en-CA"/>
        </w:rPr>
        <w:t> </w:t>
      </w:r>
      <w:r w:rsidR="002F4440" w:rsidRPr="0045720B">
        <w:rPr>
          <w:rFonts w:ascii="Arial" w:hAnsi="Arial" w:cs="Arial"/>
          <w:sz w:val="18"/>
          <w:szCs w:val="18"/>
          <w:lang w:val="en-CA"/>
        </w:rPr>
        <w:t xml:space="preserve">p. </w:t>
      </w:r>
      <w:r w:rsidRPr="0045720B">
        <w:rPr>
          <w:rFonts w:ascii="Arial" w:hAnsi="Arial" w:cs="Arial"/>
          <w:sz w:val="18"/>
          <w:szCs w:val="18"/>
          <w:lang w:val="en-CA"/>
        </w:rPr>
        <w:t>35; </w:t>
      </w:r>
      <w:r w:rsidRPr="0045720B">
        <w:rPr>
          <w:rFonts w:ascii="Arial" w:hAnsi="Arial" w:cs="Arial"/>
          <w:i/>
          <w:iCs/>
          <w:sz w:val="18"/>
          <w:szCs w:val="18"/>
          <w:lang w:val="en-CA"/>
        </w:rPr>
        <w:t>Clayton</w:t>
      </w:r>
      <w:r w:rsidRPr="0045720B">
        <w:rPr>
          <w:rFonts w:ascii="Arial" w:hAnsi="Arial" w:cs="Arial"/>
          <w:sz w:val="18"/>
          <w:szCs w:val="18"/>
          <w:lang w:val="en-CA"/>
        </w:rPr>
        <w:t xml:space="preserve"> </w:t>
      </w:r>
      <w:r w:rsidR="0018402F" w:rsidRPr="0045720B">
        <w:rPr>
          <w:rFonts w:ascii="Arial" w:hAnsi="Arial" w:cs="Arial"/>
          <w:sz w:val="18"/>
          <w:szCs w:val="18"/>
          <w:lang w:val="en-CA"/>
        </w:rPr>
        <w:t xml:space="preserve">at </w:t>
      </w:r>
      <w:r w:rsidRPr="0045720B">
        <w:rPr>
          <w:rFonts w:ascii="Arial" w:hAnsi="Arial" w:cs="Arial"/>
          <w:sz w:val="18"/>
          <w:szCs w:val="18"/>
          <w:lang w:val="en-CA"/>
        </w:rPr>
        <w:t>par</w:t>
      </w:r>
      <w:r w:rsidR="0018402F" w:rsidRPr="0045720B">
        <w:rPr>
          <w:rFonts w:ascii="Arial" w:hAnsi="Arial" w:cs="Arial"/>
          <w:sz w:val="18"/>
          <w:szCs w:val="18"/>
          <w:lang w:val="en-CA"/>
        </w:rPr>
        <w:t>as</w:t>
      </w:r>
      <w:r w:rsidRPr="0045720B">
        <w:rPr>
          <w:rFonts w:ascii="Arial" w:hAnsi="Arial" w:cs="Arial"/>
          <w:sz w:val="18"/>
          <w:szCs w:val="18"/>
          <w:lang w:val="en-CA"/>
        </w:rPr>
        <w:t xml:space="preserve">. 21, 26 </w:t>
      </w:r>
      <w:r w:rsidR="0018402F" w:rsidRPr="0045720B">
        <w:rPr>
          <w:rFonts w:ascii="Arial" w:hAnsi="Arial" w:cs="Arial"/>
          <w:sz w:val="18"/>
          <w:szCs w:val="18"/>
          <w:lang w:val="en-CA"/>
        </w:rPr>
        <w:t>and</w:t>
      </w:r>
      <w:r w:rsidRPr="0045720B">
        <w:rPr>
          <w:rFonts w:ascii="Arial" w:hAnsi="Arial" w:cs="Arial"/>
          <w:sz w:val="18"/>
          <w:szCs w:val="18"/>
          <w:lang w:val="en-CA"/>
        </w:rPr>
        <w:t xml:space="preserve"> 31);</w:t>
      </w:r>
      <w:r w:rsidR="002F4440" w:rsidRPr="0045720B">
        <w:rPr>
          <w:rFonts w:ascii="Arial" w:hAnsi="Arial" w:cs="Arial"/>
          <w:sz w:val="18"/>
          <w:szCs w:val="18"/>
          <w:lang w:val="en-CA"/>
        </w:rPr>
        <w:t xml:space="preserve"> and</w:t>
      </w:r>
    </w:p>
    <w:p w14:paraId="4D1219F3" w14:textId="335C2F2B" w:rsidR="00540798" w:rsidRPr="0045720B" w:rsidRDefault="0043013D" w:rsidP="00540798">
      <w:pPr>
        <w:pStyle w:val="Notedebasdepage"/>
        <w:ind w:left="720" w:right="720" w:firstLine="0"/>
        <w:rPr>
          <w:rFonts w:cs="Arial"/>
          <w:sz w:val="18"/>
          <w:szCs w:val="18"/>
          <w:lang w:val="en-CA"/>
        </w:rPr>
      </w:pPr>
      <w:r w:rsidRPr="0045720B">
        <w:rPr>
          <w:rFonts w:cs="Arial"/>
          <w:sz w:val="18"/>
          <w:szCs w:val="18"/>
          <w:lang w:val="en-CA"/>
        </w:rPr>
        <w:t xml:space="preserve">3.  </w:t>
      </w:r>
      <w:r w:rsidR="0018402F" w:rsidRPr="0045720B">
        <w:rPr>
          <w:rFonts w:cs="Arial"/>
          <w:sz w:val="18"/>
          <w:szCs w:val="18"/>
          <w:lang w:val="en-CA"/>
        </w:rPr>
        <w:t>the extent of the interference with individual liberty</w:t>
      </w:r>
      <w:r w:rsidRPr="0045720B">
        <w:rPr>
          <w:rFonts w:cs="Arial"/>
          <w:sz w:val="18"/>
          <w:szCs w:val="18"/>
          <w:lang w:val="en-CA"/>
        </w:rPr>
        <w:t xml:space="preserve"> (</w:t>
      </w:r>
      <w:r w:rsidRPr="0045720B">
        <w:rPr>
          <w:rFonts w:cs="Arial"/>
          <w:i/>
          <w:iCs/>
          <w:sz w:val="18"/>
          <w:szCs w:val="18"/>
          <w:lang w:val="en-CA"/>
        </w:rPr>
        <w:t>Dedman</w:t>
      </w:r>
      <w:r w:rsidR="002F4440" w:rsidRPr="0045720B">
        <w:rPr>
          <w:rFonts w:cs="Arial"/>
          <w:i/>
          <w:iCs/>
          <w:sz w:val="18"/>
          <w:szCs w:val="18"/>
          <w:lang w:val="en-CA"/>
        </w:rPr>
        <w:t>,</w:t>
      </w:r>
      <w:r w:rsidRPr="0045720B">
        <w:rPr>
          <w:rFonts w:cs="Arial"/>
          <w:sz w:val="18"/>
          <w:szCs w:val="18"/>
          <w:lang w:val="en-CA"/>
        </w:rPr>
        <w:t xml:space="preserve"> </w:t>
      </w:r>
      <w:r w:rsidR="0018402F" w:rsidRPr="0045720B">
        <w:rPr>
          <w:rFonts w:cs="Arial"/>
          <w:sz w:val="18"/>
          <w:szCs w:val="18"/>
          <w:lang w:val="en-CA"/>
        </w:rPr>
        <w:t>at</w:t>
      </w:r>
      <w:r w:rsidRPr="0045720B">
        <w:rPr>
          <w:rFonts w:cs="Arial"/>
          <w:sz w:val="18"/>
          <w:szCs w:val="18"/>
          <w:lang w:val="en-CA"/>
        </w:rPr>
        <w:t xml:space="preserve"> </w:t>
      </w:r>
      <w:r w:rsidR="002F4440" w:rsidRPr="0045720B">
        <w:rPr>
          <w:rFonts w:cs="Arial"/>
          <w:sz w:val="18"/>
          <w:szCs w:val="18"/>
          <w:lang w:val="en-CA"/>
        </w:rPr>
        <w:t xml:space="preserve">p. </w:t>
      </w:r>
      <w:r w:rsidRPr="0045720B">
        <w:rPr>
          <w:rFonts w:cs="Arial"/>
          <w:sz w:val="18"/>
          <w:szCs w:val="18"/>
          <w:lang w:val="en-CA"/>
        </w:rPr>
        <w:t>35).</w:t>
      </w:r>
    </w:p>
  </w:footnote>
  <w:footnote w:id="35">
    <w:p w14:paraId="4A7A4C9A" w14:textId="32713015" w:rsidR="00540798" w:rsidRPr="0045720B" w:rsidRDefault="0043013D" w:rsidP="0054079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405FF" w:rsidRPr="0045720B">
        <w:rPr>
          <w:i/>
          <w:iCs/>
          <w:lang w:val="en-CA"/>
        </w:rPr>
        <w:t xml:space="preserve">Fleming </w:t>
      </w:r>
      <w:r w:rsidR="00C24BA9" w:rsidRPr="0045720B">
        <w:rPr>
          <w:i/>
          <w:iCs/>
          <w:lang w:val="en-CA"/>
        </w:rPr>
        <w:t>v</w:t>
      </w:r>
      <w:r w:rsidR="00A405FF" w:rsidRPr="0045720B">
        <w:rPr>
          <w:i/>
          <w:iCs/>
          <w:lang w:val="en-CA"/>
        </w:rPr>
        <w:t>. Ontario</w:t>
      </w:r>
      <w:r w:rsidRPr="0045720B">
        <w:rPr>
          <w:lang w:val="en-CA"/>
        </w:rPr>
        <w:t xml:space="preserve">, 2019 </w:t>
      </w:r>
      <w:r w:rsidR="003514B8" w:rsidRPr="0045720B">
        <w:rPr>
          <w:lang w:val="en-CA"/>
        </w:rPr>
        <w:t>SCC</w:t>
      </w:r>
      <w:r w:rsidRPr="0045720B">
        <w:rPr>
          <w:lang w:val="en-CA"/>
        </w:rPr>
        <w:t xml:space="preserve"> 45. </w:t>
      </w:r>
      <w:r w:rsidR="00293A4C" w:rsidRPr="0045720B">
        <w:rPr>
          <w:lang w:val="en-CA"/>
        </w:rPr>
        <w:t>See also</w:t>
      </w:r>
      <w:r w:rsidRPr="0045720B">
        <w:rPr>
          <w:lang w:val="en-CA"/>
        </w:rPr>
        <w:t xml:space="preserve">: John Burchill, </w:t>
      </w:r>
      <w:r w:rsidR="0018402F" w:rsidRPr="0045720B">
        <w:rPr>
          <w:color w:val="000000"/>
          <w:lang w:val="en-CA"/>
        </w:rPr>
        <w:t>“</w:t>
      </w:r>
      <w:r w:rsidRPr="0045720B">
        <w:rPr>
          <w:color w:val="000000"/>
          <w:lang w:val="en-CA"/>
        </w:rPr>
        <w:t>A Horse Gallops Down a Street…Policing and the Resilience of the Common Law</w:t>
      </w:r>
      <w:r w:rsidR="0018402F" w:rsidRPr="0045720B">
        <w:rPr>
          <w:color w:val="000000"/>
          <w:lang w:val="en-CA"/>
        </w:rPr>
        <w:t>”</w:t>
      </w:r>
      <w:r w:rsidRPr="0045720B">
        <w:rPr>
          <w:lang w:val="en-CA"/>
        </w:rPr>
        <w:t>, (2018) 41:1 Man.</w:t>
      </w:r>
      <w:r w:rsidR="0018402F" w:rsidRPr="0045720B">
        <w:rPr>
          <w:lang w:val="en-CA"/>
        </w:rPr>
        <w:t xml:space="preserve"> </w:t>
      </w:r>
      <w:r w:rsidRPr="00BE0D25">
        <w:rPr>
          <w:spacing w:val="-20"/>
          <w:lang w:val="en-CA"/>
        </w:rPr>
        <w:t>L.</w:t>
      </w:r>
      <w:r w:rsidR="0018402F" w:rsidRPr="00BE0D25">
        <w:rPr>
          <w:spacing w:val="-20"/>
          <w:lang w:val="en-CA"/>
        </w:rPr>
        <w:t xml:space="preserve"> </w:t>
      </w:r>
      <w:r w:rsidRPr="00BE0D25">
        <w:rPr>
          <w:spacing w:val="-20"/>
          <w:lang w:val="en-CA"/>
        </w:rPr>
        <w:t>J.</w:t>
      </w:r>
      <w:r w:rsidRPr="0045720B">
        <w:rPr>
          <w:lang w:val="en-CA"/>
        </w:rPr>
        <w:t xml:space="preserve"> 161</w:t>
      </w:r>
      <w:r w:rsidR="00706F32">
        <w:rPr>
          <w:lang w:val="en-CA"/>
        </w:rPr>
        <w:t>, p. 1</w:t>
      </w:r>
      <w:r w:rsidRPr="0045720B">
        <w:rPr>
          <w:lang w:val="en-CA"/>
        </w:rPr>
        <w:t xml:space="preserve">75; </w:t>
      </w:r>
      <w:r w:rsidR="00052230" w:rsidRPr="0045720B">
        <w:rPr>
          <w:color w:val="000000"/>
          <w:lang w:val="en-CA"/>
        </w:rPr>
        <w:t xml:space="preserve">Richard Jochelson, </w:t>
      </w:r>
      <w:r w:rsidR="0018402F" w:rsidRPr="0045720B">
        <w:rPr>
          <w:color w:val="000000"/>
          <w:lang w:val="en-CA"/>
        </w:rPr>
        <w:t>“</w:t>
      </w:r>
      <w:r w:rsidR="00052230" w:rsidRPr="0045720B">
        <w:rPr>
          <w:color w:val="000000"/>
          <w:lang w:val="en-CA"/>
        </w:rPr>
        <w:t>Ancillary Issues with Oakes: The Development of the Waterfield Test and the Problem of Fundamental Constitutional Theory</w:t>
      </w:r>
      <w:r w:rsidR="0018402F" w:rsidRPr="0045720B">
        <w:rPr>
          <w:color w:val="000000"/>
          <w:lang w:val="en-CA"/>
        </w:rPr>
        <w:t>”</w:t>
      </w:r>
      <w:r w:rsidR="00052230" w:rsidRPr="0045720B">
        <w:rPr>
          <w:color w:val="000000"/>
          <w:lang w:val="en-CA"/>
        </w:rPr>
        <w:t xml:space="preserve">, (2013) 43:3 </w:t>
      </w:r>
      <w:r w:rsidRPr="0045720B">
        <w:rPr>
          <w:color w:val="000000"/>
          <w:lang w:val="en-CA"/>
        </w:rPr>
        <w:t xml:space="preserve">Ottawa </w:t>
      </w:r>
      <w:r w:rsidR="0018402F" w:rsidRPr="00BE0D25">
        <w:rPr>
          <w:color w:val="000000"/>
          <w:spacing w:val="-20"/>
          <w:lang w:val="en-CA"/>
        </w:rPr>
        <w:t>L</w:t>
      </w:r>
      <w:r w:rsidR="000C61BD" w:rsidRPr="00BE0D25">
        <w:rPr>
          <w:color w:val="000000"/>
          <w:spacing w:val="-20"/>
          <w:lang w:val="en-CA"/>
        </w:rPr>
        <w:t>.</w:t>
      </w:r>
      <w:r w:rsidR="0018402F" w:rsidRPr="00BE0D25">
        <w:rPr>
          <w:color w:val="000000"/>
          <w:spacing w:val="-20"/>
          <w:lang w:val="en-CA"/>
        </w:rPr>
        <w:t xml:space="preserve"> Rev</w:t>
      </w:r>
      <w:r w:rsidR="000C61BD" w:rsidRPr="0045720B">
        <w:rPr>
          <w:color w:val="000000"/>
          <w:lang w:val="en-CA"/>
        </w:rPr>
        <w:t>.</w:t>
      </w:r>
      <w:r w:rsidR="0018402F" w:rsidRPr="0045720B">
        <w:rPr>
          <w:color w:val="000000"/>
          <w:lang w:val="en-CA"/>
        </w:rPr>
        <w:t xml:space="preserve"> </w:t>
      </w:r>
      <w:r w:rsidRPr="0045720B">
        <w:rPr>
          <w:color w:val="000000"/>
          <w:lang w:val="en-CA"/>
        </w:rPr>
        <w:t>355</w:t>
      </w:r>
      <w:r w:rsidR="00083108">
        <w:rPr>
          <w:color w:val="000000"/>
          <w:lang w:val="en-CA"/>
        </w:rPr>
        <w:t>, pp. 3</w:t>
      </w:r>
      <w:r w:rsidRPr="0045720B">
        <w:rPr>
          <w:color w:val="000000"/>
          <w:lang w:val="en-CA"/>
        </w:rPr>
        <w:t>66</w:t>
      </w:r>
      <w:r w:rsidR="0018402F" w:rsidRPr="0045720B">
        <w:rPr>
          <w:color w:val="000000"/>
          <w:lang w:val="en-CA"/>
        </w:rPr>
        <w:t>–</w:t>
      </w:r>
      <w:r w:rsidRPr="0045720B">
        <w:rPr>
          <w:color w:val="000000"/>
          <w:lang w:val="en-CA"/>
        </w:rPr>
        <w:t>367.</w:t>
      </w:r>
    </w:p>
  </w:footnote>
  <w:footnote w:id="36">
    <w:p w14:paraId="667B160A" w14:textId="3A0B5EDE" w:rsidR="000847F0" w:rsidRPr="0045720B" w:rsidRDefault="000847F0" w:rsidP="000847F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Fleming v. Ontario</w:t>
      </w:r>
      <w:r w:rsidRPr="0045720B">
        <w:rPr>
          <w:lang w:val="en-CA"/>
        </w:rPr>
        <w:t>, 2019 SCC 45</w:t>
      </w:r>
      <w:r w:rsidR="005D436F">
        <w:rPr>
          <w:lang w:val="en-CA"/>
        </w:rPr>
        <w:t>,</w:t>
      </w:r>
      <w:r w:rsidRPr="0045720B">
        <w:rPr>
          <w:lang w:val="en-CA"/>
        </w:rPr>
        <w:t xml:space="preserve"> para. 38.</w:t>
      </w:r>
    </w:p>
  </w:footnote>
  <w:footnote w:id="37">
    <w:p w14:paraId="79C7B901" w14:textId="55EB93D5" w:rsidR="000847F0" w:rsidRPr="0045720B" w:rsidRDefault="000847F0" w:rsidP="000847F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5D436F">
        <w:rPr>
          <w:lang w:val="en-CA"/>
        </w:rPr>
        <w:t>, para.</w:t>
      </w:r>
      <w:r w:rsidRPr="0045720B">
        <w:rPr>
          <w:lang w:val="en-CA"/>
        </w:rPr>
        <w:t xml:space="preserve"> 41.</w:t>
      </w:r>
    </w:p>
  </w:footnote>
  <w:footnote w:id="38">
    <w:p w14:paraId="23FD2A65" w14:textId="785C9146" w:rsidR="000847F0" w:rsidRPr="0045720B" w:rsidRDefault="000847F0" w:rsidP="000847F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42 [</w:t>
      </w:r>
      <w:r w:rsidR="00DD1E90">
        <w:rPr>
          <w:lang w:val="en-CA"/>
        </w:rPr>
        <w:t>u</w:t>
      </w:r>
      <w:r w:rsidR="00A401F5">
        <w:rPr>
          <w:lang w:val="en-CA"/>
        </w:rPr>
        <w:t xml:space="preserve">nderlining </w:t>
      </w:r>
      <w:r w:rsidRPr="0045720B">
        <w:rPr>
          <w:lang w:val="en-CA"/>
        </w:rPr>
        <w:t>added].</w:t>
      </w:r>
    </w:p>
  </w:footnote>
  <w:footnote w:id="39">
    <w:p w14:paraId="1EEEDFE0" w14:textId="0573AEA9" w:rsidR="00AC00F6" w:rsidRPr="0045720B" w:rsidRDefault="00AC00F6" w:rsidP="00AC00F6">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25" w:name="_Hlk177749539"/>
      <w:r w:rsidRPr="0045720B">
        <w:rPr>
          <w:i/>
          <w:iCs/>
          <w:lang w:val="en-CA"/>
        </w:rPr>
        <w:t>R. v. McColman</w:t>
      </w:r>
      <w:r w:rsidRPr="0045720B">
        <w:rPr>
          <w:lang w:val="en-CA"/>
        </w:rPr>
        <w:t>, 2023 SCC 8</w:t>
      </w:r>
      <w:r w:rsidR="005D436F">
        <w:rPr>
          <w:lang w:val="en-CA"/>
        </w:rPr>
        <w:t>, para.</w:t>
      </w:r>
      <w:r w:rsidRPr="0045720B">
        <w:rPr>
          <w:lang w:val="en-CA"/>
        </w:rPr>
        <w:t xml:space="preserve"> 29.</w:t>
      </w:r>
      <w:bookmarkEnd w:id="25"/>
    </w:p>
  </w:footnote>
  <w:footnote w:id="40">
    <w:p w14:paraId="13DBF71B" w14:textId="6DF36008" w:rsidR="00AC00F6" w:rsidRPr="0045720B" w:rsidRDefault="00AC00F6" w:rsidP="00AC00F6">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5C0D7E" w:rsidRPr="0045720B">
        <w:rPr>
          <w:lang w:val="en-CA"/>
        </w:rPr>
        <w:t>The</w:t>
      </w:r>
      <w:r w:rsidRPr="0045720B">
        <w:rPr>
          <w:lang w:val="en-CA"/>
        </w:rPr>
        <w:t xml:space="preserve"> parties </w:t>
      </w:r>
      <w:r w:rsidR="005C0D7E" w:rsidRPr="0045720B">
        <w:rPr>
          <w:lang w:val="en-CA"/>
        </w:rPr>
        <w:t xml:space="preserve">took the erroneous position that </w:t>
      </w:r>
      <w:r w:rsidRPr="0045720B">
        <w:rPr>
          <w:i/>
          <w:iCs/>
          <w:lang w:val="en-CA"/>
        </w:rPr>
        <w:t>Ladouceur</w:t>
      </w:r>
      <w:r w:rsidRPr="0045720B">
        <w:rPr>
          <w:lang w:val="en-CA"/>
        </w:rPr>
        <w:t xml:space="preserve"> </w:t>
      </w:r>
      <w:r w:rsidR="005C0D7E" w:rsidRPr="0045720B">
        <w:rPr>
          <w:lang w:val="en-CA"/>
        </w:rPr>
        <w:t xml:space="preserve">recognized the existence of a common law police </w:t>
      </w:r>
      <w:r w:rsidR="00E11D8E" w:rsidRPr="0045720B">
        <w:rPr>
          <w:lang w:val="en-CA"/>
        </w:rPr>
        <w:t>power</w:t>
      </w:r>
      <w:r w:rsidR="005C0D7E" w:rsidRPr="0045720B">
        <w:rPr>
          <w:lang w:val="en-CA"/>
        </w:rPr>
        <w:t xml:space="preserve"> to </w:t>
      </w:r>
      <w:r w:rsidR="00E11D8E" w:rsidRPr="0045720B">
        <w:rPr>
          <w:lang w:val="en-CA"/>
        </w:rPr>
        <w:t xml:space="preserve">make </w:t>
      </w:r>
      <w:r w:rsidR="005C0D7E" w:rsidRPr="0045720B">
        <w:rPr>
          <w:lang w:val="en-CA"/>
        </w:rPr>
        <w:t>traffic stops with no required grounds</w:t>
      </w:r>
      <w:r w:rsidRPr="0045720B">
        <w:rPr>
          <w:lang w:val="en-CA"/>
        </w:rPr>
        <w:t xml:space="preserve">. </w:t>
      </w:r>
      <w:r w:rsidR="005C0D7E" w:rsidRPr="0045720B">
        <w:rPr>
          <w:lang w:val="en-CA"/>
        </w:rPr>
        <w:t xml:space="preserve">Given this </w:t>
      </w:r>
      <w:r w:rsidRPr="0045720B">
        <w:rPr>
          <w:lang w:val="en-CA"/>
        </w:rPr>
        <w:t xml:space="preserve">position, </w:t>
      </w:r>
      <w:r w:rsidR="005C0D7E" w:rsidRPr="0045720B">
        <w:rPr>
          <w:lang w:val="en-CA"/>
        </w:rPr>
        <w:t>no party asked the Court to determine whether</w:t>
      </w:r>
      <w:r w:rsidRPr="0045720B">
        <w:rPr>
          <w:lang w:val="en-CA"/>
        </w:rPr>
        <w:t xml:space="preserve"> </w:t>
      </w:r>
      <w:r w:rsidR="005C0D7E" w:rsidRPr="0045720B">
        <w:rPr>
          <w:lang w:val="en-CA"/>
        </w:rPr>
        <w:t xml:space="preserve">such a common law power </w:t>
      </w:r>
      <w:r w:rsidR="00BE0D25">
        <w:rPr>
          <w:lang w:val="en-CA"/>
        </w:rPr>
        <w:t xml:space="preserve">actually </w:t>
      </w:r>
      <w:r w:rsidR="005C0D7E" w:rsidRPr="0045720B">
        <w:rPr>
          <w:lang w:val="en-CA"/>
        </w:rPr>
        <w:t>exists</w:t>
      </w:r>
      <w:r w:rsidRPr="0045720B">
        <w:rPr>
          <w:lang w:val="en-CA"/>
        </w:rPr>
        <w:t xml:space="preserve">. </w:t>
      </w:r>
      <w:r w:rsidR="005C0D7E" w:rsidRPr="0045720B">
        <w:rPr>
          <w:lang w:val="en-CA"/>
        </w:rPr>
        <w:t xml:space="preserve">The </w:t>
      </w:r>
      <w:r w:rsidRPr="0045720B">
        <w:rPr>
          <w:lang w:val="en-CA"/>
        </w:rPr>
        <w:t>Cour</w:t>
      </w:r>
      <w:r w:rsidR="005C0D7E" w:rsidRPr="0045720B">
        <w:rPr>
          <w:lang w:val="en-CA"/>
        </w:rPr>
        <w:t>t</w:t>
      </w:r>
      <w:r w:rsidR="00400C7E">
        <w:rPr>
          <w:lang w:val="en-CA"/>
        </w:rPr>
        <w:t xml:space="preserve"> </w:t>
      </w:r>
      <w:r w:rsidR="00787F9B">
        <w:rPr>
          <w:lang w:val="en-CA"/>
        </w:rPr>
        <w:t xml:space="preserve">is </w:t>
      </w:r>
      <w:r w:rsidR="005C0D7E" w:rsidRPr="0045720B">
        <w:rPr>
          <w:lang w:val="en-CA"/>
        </w:rPr>
        <w:t xml:space="preserve">therefore </w:t>
      </w:r>
      <w:r w:rsidR="00400C7E">
        <w:rPr>
          <w:lang w:val="en-CA"/>
        </w:rPr>
        <w:t>not rul</w:t>
      </w:r>
      <w:r w:rsidR="00787F9B">
        <w:rPr>
          <w:lang w:val="en-CA"/>
        </w:rPr>
        <w:t>ing</w:t>
      </w:r>
      <w:r w:rsidR="00400C7E">
        <w:rPr>
          <w:lang w:val="en-CA"/>
        </w:rPr>
        <w:t xml:space="preserve"> on </w:t>
      </w:r>
      <w:r w:rsidR="005C0D7E" w:rsidRPr="0045720B">
        <w:rPr>
          <w:lang w:val="en-CA"/>
        </w:rPr>
        <w:t xml:space="preserve">this </w:t>
      </w:r>
      <w:r w:rsidR="00787F9B">
        <w:rPr>
          <w:lang w:val="en-CA"/>
        </w:rPr>
        <w:t>matter</w:t>
      </w:r>
      <w:r w:rsidRPr="0045720B">
        <w:rPr>
          <w:lang w:val="en-CA"/>
        </w:rPr>
        <w:t>.</w:t>
      </w:r>
    </w:p>
  </w:footnote>
  <w:footnote w:id="41">
    <w:p w14:paraId="61BC45DA" w14:textId="31AA1FD2"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c. Soucisse</w:t>
      </w:r>
      <w:r w:rsidRPr="0045720B">
        <w:rPr>
          <w:lang w:val="en-CA"/>
        </w:rPr>
        <w:t>, [1994] R.J.Q. 1546 (C</w:t>
      </w:r>
      <w:r w:rsidR="00BE0D25">
        <w:rPr>
          <w:lang w:val="en-CA"/>
        </w:rPr>
        <w:t>.</w:t>
      </w:r>
      <w:r w:rsidRPr="0045720B">
        <w:rPr>
          <w:lang w:val="en-CA"/>
        </w:rPr>
        <w:t>A</w:t>
      </w:r>
      <w:r w:rsidR="00BE0D25">
        <w:rPr>
          <w:lang w:val="en-CA"/>
        </w:rPr>
        <w:t>.</w:t>
      </w:r>
      <w:r w:rsidRPr="0045720B">
        <w:rPr>
          <w:lang w:val="en-CA"/>
        </w:rPr>
        <w:t xml:space="preserve">) </w:t>
      </w:r>
      <w:r w:rsidRPr="0045720B">
        <w:rPr>
          <w:rFonts w:cs="Arial"/>
          <w:lang w:val="en-CA"/>
        </w:rPr>
        <w:t>[</w:t>
      </w:r>
      <w:r w:rsidRPr="0045720B">
        <w:rPr>
          <w:i/>
          <w:iCs/>
          <w:lang w:val="en-CA"/>
        </w:rPr>
        <w:t>Soucisse</w:t>
      </w:r>
      <w:r w:rsidRPr="0045720B">
        <w:rPr>
          <w:rFonts w:cs="Arial"/>
          <w:lang w:val="en-CA"/>
        </w:rPr>
        <w:t>]</w:t>
      </w:r>
      <w:r w:rsidRPr="0045720B">
        <w:rPr>
          <w:lang w:val="en-CA"/>
        </w:rPr>
        <w:t>.</w:t>
      </w:r>
    </w:p>
  </w:footnote>
  <w:footnote w:id="42">
    <w:p w14:paraId="62777A51" w14:textId="42640986" w:rsidR="005A1C52" w:rsidRPr="0045720B" w:rsidRDefault="0043013D" w:rsidP="005A1C5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93A4C" w:rsidRPr="0045720B">
        <w:rPr>
          <w:i/>
          <w:iCs/>
          <w:lang w:val="en-CA"/>
        </w:rPr>
        <w:t>Id.</w:t>
      </w:r>
      <w:r w:rsidR="00083108">
        <w:rPr>
          <w:lang w:val="en-CA"/>
        </w:rPr>
        <w:t>, pp. 1</w:t>
      </w:r>
      <w:r w:rsidRPr="0045720B">
        <w:rPr>
          <w:lang w:val="en-CA"/>
        </w:rPr>
        <w:t>550</w:t>
      </w:r>
      <w:r w:rsidR="008F343A" w:rsidRPr="0045720B">
        <w:rPr>
          <w:lang w:val="en-CA"/>
        </w:rPr>
        <w:t>–</w:t>
      </w:r>
      <w:r w:rsidRPr="0045720B">
        <w:rPr>
          <w:lang w:val="en-CA"/>
        </w:rPr>
        <w:t>1551.</w:t>
      </w:r>
    </w:p>
  </w:footnote>
  <w:footnote w:id="43">
    <w:p w14:paraId="5182BA10" w14:textId="4D361FCF"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706F32">
        <w:rPr>
          <w:lang w:val="en-CA"/>
        </w:rPr>
        <w:t>, p. 1</w:t>
      </w:r>
      <w:r w:rsidRPr="0045720B">
        <w:rPr>
          <w:lang w:val="en-CA"/>
        </w:rPr>
        <w:t xml:space="preserve">551. See also: </w:t>
      </w:r>
      <w:r w:rsidRPr="0045720B">
        <w:rPr>
          <w:i/>
          <w:iCs/>
          <w:lang w:val="en-CA"/>
        </w:rPr>
        <w:t>LSJPA – 1530</w:t>
      </w:r>
      <w:r w:rsidRPr="0045720B">
        <w:rPr>
          <w:lang w:val="en-CA"/>
        </w:rPr>
        <w:t>, 2015 QCCA 1315</w:t>
      </w:r>
      <w:r w:rsidR="005D436F">
        <w:rPr>
          <w:lang w:val="en-CA"/>
        </w:rPr>
        <w:t>, para.</w:t>
      </w:r>
      <w:r w:rsidRPr="0045720B">
        <w:rPr>
          <w:lang w:val="en-CA"/>
        </w:rPr>
        <w:t xml:space="preserve"> </w:t>
      </w:r>
      <w:r w:rsidRPr="00077E55">
        <w:t xml:space="preserve">28; </w:t>
      </w:r>
      <w:r w:rsidRPr="00077E55">
        <w:rPr>
          <w:i/>
          <w:iCs/>
        </w:rPr>
        <w:t>Éthier c. R</w:t>
      </w:r>
      <w:r w:rsidRPr="00077E55">
        <w:t>., 2022 QCCS 535</w:t>
      </w:r>
      <w:r w:rsidR="005D436F" w:rsidRPr="00077E55">
        <w:t>, para.</w:t>
      </w:r>
      <w:r w:rsidRPr="00077E55">
        <w:t> </w:t>
      </w:r>
      <w:r w:rsidRPr="0045720B">
        <w:rPr>
          <w:lang w:val="en-CA"/>
        </w:rPr>
        <w:t>72.</w:t>
      </w:r>
    </w:p>
  </w:footnote>
  <w:footnote w:id="44">
    <w:p w14:paraId="747A6B8C" w14:textId="710269F7"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The initial version of s. 636</w:t>
      </w:r>
      <w:r w:rsidR="0030762F" w:rsidRPr="0030762F">
        <w:rPr>
          <w:i/>
          <w:lang w:val="en-CA"/>
        </w:rPr>
        <w:t> HSC</w:t>
      </w:r>
      <w:r w:rsidRPr="0045720B">
        <w:rPr>
          <w:lang w:val="en-CA"/>
        </w:rPr>
        <w:t>, enacted in 1986, stated:</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B9322F" w:rsidRPr="0045720B" w14:paraId="448C9637" w14:textId="4008C97B" w:rsidTr="00325E66">
        <w:trPr>
          <w:jc w:val="center"/>
        </w:trPr>
        <w:tc>
          <w:tcPr>
            <w:tcW w:w="4032" w:type="dxa"/>
          </w:tcPr>
          <w:p w14:paraId="2BE32844" w14:textId="77777777" w:rsidR="00B9322F" w:rsidRPr="0045720B" w:rsidRDefault="00B9322F" w:rsidP="006817A8">
            <w:pPr>
              <w:pStyle w:val="Tableaudroiteanglais"/>
              <w:spacing w:line="240" w:lineRule="auto"/>
              <w:ind w:left="744" w:right="237"/>
              <w:rPr>
                <w:sz w:val="18"/>
                <w:szCs w:val="18"/>
              </w:rPr>
            </w:pPr>
            <w:bookmarkStart w:id="28" w:name="_Hlk151555516"/>
            <w:r w:rsidRPr="0045720B">
              <w:rPr>
                <w:b/>
                <w:bCs/>
                <w:sz w:val="18"/>
                <w:szCs w:val="18"/>
              </w:rPr>
              <w:t xml:space="preserve">636. </w:t>
            </w:r>
            <w:r w:rsidRPr="0045720B">
              <w:rPr>
                <w:rFonts w:cs="Arial"/>
                <w:sz w:val="18"/>
                <w:szCs w:val="18"/>
                <w:shd w:val="clear" w:color="auto" w:fill="FFFFFF"/>
              </w:rPr>
              <w:t>Every peace officer who, in the performance of the duties conferred on him under this Code, has reasonable cause to believe that an offence against this Code has been committed and that it is required by the circumstances, may, without the owner’s permission, take possession of a road vehicle, drive it and impound it at the expense of the owner.</w:t>
            </w:r>
          </w:p>
        </w:tc>
        <w:tc>
          <w:tcPr>
            <w:tcW w:w="4032" w:type="dxa"/>
          </w:tcPr>
          <w:p w14:paraId="2C263AA4" w14:textId="7DBE82CD" w:rsidR="00B9322F" w:rsidRPr="00077E55" w:rsidRDefault="00B9322F" w:rsidP="00B9322F">
            <w:pPr>
              <w:pStyle w:val="Tableaudroiteanglais"/>
              <w:spacing w:line="240" w:lineRule="auto"/>
              <w:ind w:left="142"/>
              <w:rPr>
                <w:b/>
                <w:bCs/>
                <w:sz w:val="18"/>
                <w:szCs w:val="18"/>
                <w:lang w:val="fr-CA"/>
              </w:rPr>
            </w:pPr>
            <w:r w:rsidRPr="00077E55">
              <w:rPr>
                <w:b/>
                <w:bCs/>
                <w:sz w:val="18"/>
                <w:szCs w:val="16"/>
                <w:lang w:val="fr-CA"/>
              </w:rPr>
              <w:t>636</w:t>
            </w:r>
            <w:r w:rsidRPr="00077E55">
              <w:rPr>
                <w:sz w:val="18"/>
                <w:szCs w:val="16"/>
                <w:lang w:val="fr-CA"/>
              </w:rPr>
              <w:t>. Tout agent de la paix qui, dans l’exécution des fonctions qui lui sont conférées en vertu du présent code, a un motif raisonnable de croire qu’une infraction à ce code a été commise et que les circonstances l’exigent, peut sans la permission du propriétaire, prendre possession d’un véhicule routier, le conduire et le remiser aux frais du propriétaire.</w:t>
            </w:r>
          </w:p>
        </w:tc>
      </w:tr>
    </w:tbl>
    <w:bookmarkEnd w:id="28"/>
    <w:p w14:paraId="606B89D4" w14:textId="77777777" w:rsidR="00BF5340" w:rsidRPr="0045720B" w:rsidRDefault="00BF5340" w:rsidP="00BF5340">
      <w:pPr>
        <w:pStyle w:val="Notedebasdepage"/>
        <w:spacing w:before="60" w:after="60"/>
        <w:ind w:firstLine="0"/>
        <w:rPr>
          <w:lang w:val="en-CA"/>
        </w:rPr>
      </w:pPr>
      <w:r w:rsidRPr="0045720B">
        <w:rPr>
          <w:lang w:val="en-CA"/>
        </w:rPr>
        <w:t xml:space="preserve">The subsequent version of s. 636, enacted in 1987, stated: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B9322F" w:rsidRPr="0045720B" w14:paraId="173331F0" w14:textId="6E3ADA1F" w:rsidTr="00741C28">
        <w:trPr>
          <w:jc w:val="center"/>
        </w:trPr>
        <w:tc>
          <w:tcPr>
            <w:tcW w:w="4032" w:type="dxa"/>
          </w:tcPr>
          <w:p w14:paraId="502A821A" w14:textId="77777777" w:rsidR="00B9322F" w:rsidRPr="0045720B" w:rsidRDefault="00B9322F" w:rsidP="006817A8">
            <w:pPr>
              <w:spacing w:line="240" w:lineRule="auto"/>
              <w:ind w:left="744" w:right="237"/>
              <w:jc w:val="both"/>
              <w:rPr>
                <w:rFonts w:ascii="Times New Roman" w:hAnsi="Times New Roman"/>
                <w:sz w:val="18"/>
                <w:szCs w:val="18"/>
                <w:lang w:val="en-CA" w:eastAsia="fr-CA"/>
              </w:rPr>
            </w:pPr>
            <w:r w:rsidRPr="0045720B">
              <w:rPr>
                <w:b/>
                <w:bCs/>
                <w:sz w:val="18"/>
                <w:szCs w:val="18"/>
                <w:lang w:val="en-CA"/>
              </w:rPr>
              <w:t xml:space="preserve">636. </w:t>
            </w:r>
            <w:r w:rsidRPr="0045720B">
              <w:rPr>
                <w:rFonts w:cs="Arial"/>
                <w:sz w:val="18"/>
                <w:szCs w:val="18"/>
                <w:shd w:val="clear" w:color="auto" w:fill="FFFFFF"/>
                <w:lang w:val="en-CA" w:eastAsia="fr-CA"/>
              </w:rPr>
              <w:t> Every peace officer who, in the performance of the duties conferred on him under this Code, has reasonable cause to believe that an offence against this Code has been committed and that it is required by the circumstances, may</w:t>
            </w:r>
          </w:p>
          <w:p w14:paraId="09CE0F64" w14:textId="77777777" w:rsidR="00B9322F" w:rsidRPr="0045720B" w:rsidRDefault="00B9322F" w:rsidP="006817A8">
            <w:pPr>
              <w:shd w:val="clear" w:color="auto" w:fill="FFFFFF"/>
              <w:spacing w:line="240" w:lineRule="auto"/>
              <w:ind w:left="744" w:right="237"/>
              <w:jc w:val="both"/>
              <w:rPr>
                <w:rFonts w:cs="Arial"/>
                <w:sz w:val="18"/>
                <w:szCs w:val="18"/>
                <w:lang w:val="en-CA" w:eastAsia="fr-CA"/>
              </w:rPr>
            </w:pPr>
            <w:r w:rsidRPr="0045720B">
              <w:rPr>
                <w:rFonts w:cs="Arial"/>
                <w:sz w:val="18"/>
                <w:szCs w:val="18"/>
                <w:lang w:val="en-CA" w:eastAsia="fr-CA"/>
              </w:rPr>
              <w:t>(1)  stop a road vehicle;</w:t>
            </w:r>
          </w:p>
          <w:p w14:paraId="4131310A" w14:textId="77777777" w:rsidR="00B9322F" w:rsidRPr="0045720B" w:rsidRDefault="00B9322F" w:rsidP="006817A8">
            <w:pPr>
              <w:shd w:val="clear" w:color="auto" w:fill="FFFFFF"/>
              <w:spacing w:line="240" w:lineRule="auto"/>
              <w:ind w:left="744" w:right="237"/>
              <w:jc w:val="both"/>
              <w:rPr>
                <w:rFonts w:cs="Arial"/>
                <w:sz w:val="18"/>
                <w:szCs w:val="18"/>
                <w:lang w:val="en-CA" w:eastAsia="fr-CA"/>
              </w:rPr>
            </w:pPr>
            <w:r w:rsidRPr="0045720B">
              <w:rPr>
                <w:rFonts w:cs="Arial"/>
                <w:sz w:val="18"/>
                <w:szCs w:val="18"/>
                <w:lang w:val="en-CA" w:eastAsia="fr-CA"/>
              </w:rPr>
              <w:br/>
              <w:t>(2)  without the owner’s permission, take possession of a road vehicle, drive it and impound it at the expense of the owner.</w:t>
            </w:r>
          </w:p>
        </w:tc>
        <w:tc>
          <w:tcPr>
            <w:tcW w:w="4032" w:type="dxa"/>
          </w:tcPr>
          <w:p w14:paraId="14E97F6F" w14:textId="77777777" w:rsidR="00B9322F" w:rsidRPr="00077E55" w:rsidRDefault="00B9322F" w:rsidP="006817A8">
            <w:pPr>
              <w:spacing w:line="240" w:lineRule="auto"/>
              <w:ind w:left="116" w:right="723"/>
              <w:jc w:val="both"/>
              <w:rPr>
                <w:rFonts w:ascii="Times New Roman" w:hAnsi="Times New Roman"/>
                <w:sz w:val="18"/>
                <w:szCs w:val="18"/>
                <w:lang w:eastAsia="fr-CA"/>
              </w:rPr>
            </w:pPr>
            <w:r w:rsidRPr="00077E55">
              <w:rPr>
                <w:b/>
                <w:bCs/>
                <w:sz w:val="18"/>
                <w:szCs w:val="18"/>
              </w:rPr>
              <w:t>636</w:t>
            </w:r>
            <w:r w:rsidRPr="00077E55">
              <w:rPr>
                <w:sz w:val="18"/>
                <w:szCs w:val="18"/>
              </w:rPr>
              <w:t xml:space="preserve">. </w:t>
            </w:r>
            <w:r w:rsidRPr="00077E55">
              <w:rPr>
                <w:rFonts w:cs="Arial"/>
                <w:sz w:val="18"/>
                <w:szCs w:val="18"/>
                <w:shd w:val="clear" w:color="auto" w:fill="FFFFFF"/>
                <w:lang w:eastAsia="fr-CA"/>
              </w:rPr>
              <w:t>Tout agent de la paix qui, dans l’exercice des fonctions qui lui sont conférées en vertu du présent code, a un motif raisonnable de croire qu’une infraction à ce code a été commise et que les circonstances l’exigent, peut:</w:t>
            </w:r>
          </w:p>
          <w:p w14:paraId="5CCA743A" w14:textId="77777777" w:rsidR="00B9322F" w:rsidRPr="00077E55" w:rsidRDefault="00B9322F" w:rsidP="006817A8">
            <w:pPr>
              <w:shd w:val="clear" w:color="auto" w:fill="FFFFFF"/>
              <w:spacing w:line="240" w:lineRule="auto"/>
              <w:ind w:left="116" w:right="723"/>
              <w:jc w:val="both"/>
              <w:rPr>
                <w:rFonts w:cs="Arial"/>
                <w:sz w:val="18"/>
                <w:szCs w:val="18"/>
                <w:lang w:eastAsia="fr-CA"/>
              </w:rPr>
            </w:pPr>
            <w:r w:rsidRPr="00077E55">
              <w:rPr>
                <w:rFonts w:cs="Arial"/>
                <w:sz w:val="18"/>
                <w:szCs w:val="18"/>
                <w:lang w:eastAsia="fr-CA"/>
              </w:rPr>
              <w:t>1°  faire immobiliser un véhicule routier;</w:t>
            </w:r>
          </w:p>
          <w:p w14:paraId="22828F97" w14:textId="77777777" w:rsidR="00FD53D5" w:rsidRPr="00077E55" w:rsidRDefault="00FD53D5" w:rsidP="006817A8">
            <w:pPr>
              <w:spacing w:line="240" w:lineRule="auto"/>
              <w:ind w:left="142" w:right="723"/>
              <w:jc w:val="both"/>
              <w:rPr>
                <w:rFonts w:cs="Arial"/>
                <w:sz w:val="18"/>
                <w:szCs w:val="18"/>
                <w:lang w:eastAsia="fr-CA"/>
              </w:rPr>
            </w:pPr>
          </w:p>
          <w:p w14:paraId="62CEC93A" w14:textId="62A657C8" w:rsidR="00B9322F" w:rsidRPr="00077E55" w:rsidRDefault="00B9322F" w:rsidP="006817A8">
            <w:pPr>
              <w:spacing w:line="240" w:lineRule="auto"/>
              <w:ind w:left="142" w:right="723"/>
              <w:jc w:val="both"/>
              <w:rPr>
                <w:b/>
                <w:bCs/>
                <w:sz w:val="18"/>
                <w:szCs w:val="18"/>
              </w:rPr>
            </w:pPr>
            <w:r w:rsidRPr="00077E55">
              <w:rPr>
                <w:rFonts w:cs="Arial"/>
                <w:sz w:val="18"/>
                <w:szCs w:val="18"/>
                <w:lang w:eastAsia="fr-CA"/>
              </w:rPr>
              <w:t>2°  sans la permission du propriétaire, prendre possession d’un véhicule routier, le conduire et le remiser aux frais du propriétaire.</w:t>
            </w:r>
          </w:p>
        </w:tc>
      </w:tr>
    </w:tbl>
    <w:p w14:paraId="220F8DD8" w14:textId="77777777" w:rsidR="00BF5340" w:rsidRPr="00077E55" w:rsidRDefault="00BF5340" w:rsidP="00BF5340">
      <w:pPr>
        <w:pStyle w:val="Notedebasdepage"/>
        <w:ind w:left="0" w:firstLine="0"/>
        <w:rPr>
          <w:sz w:val="2"/>
          <w:szCs w:val="2"/>
        </w:rPr>
      </w:pPr>
    </w:p>
  </w:footnote>
  <w:footnote w:id="45">
    <w:p w14:paraId="387C1ADA" w14:textId="18AC8BE6"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rFonts w:cs="Arial"/>
          <w:i/>
          <w:iCs/>
          <w:color w:val="000000"/>
          <w:lang w:val="en-CA"/>
        </w:rPr>
        <w:t>Act to amend the Highway Safety Code and other legislative provisions</w:t>
      </w:r>
      <w:r w:rsidRPr="0045720B">
        <w:rPr>
          <w:rFonts w:cs="Arial"/>
          <w:color w:val="000000"/>
          <w:lang w:val="en-CA"/>
        </w:rPr>
        <w:t>, S</w:t>
      </w:r>
      <w:r w:rsidR="00BE0D25">
        <w:rPr>
          <w:rFonts w:cs="Arial"/>
          <w:color w:val="000000"/>
          <w:lang w:val="en-CA"/>
        </w:rPr>
        <w:t>.</w:t>
      </w:r>
      <w:r w:rsidRPr="0045720B">
        <w:rPr>
          <w:rFonts w:cs="Arial"/>
          <w:color w:val="000000"/>
          <w:lang w:val="en-CA"/>
        </w:rPr>
        <w:t>Q</w:t>
      </w:r>
      <w:r w:rsidR="00BE0D25">
        <w:rPr>
          <w:rFonts w:cs="Arial"/>
          <w:color w:val="000000"/>
          <w:lang w:val="en-CA"/>
        </w:rPr>
        <w:t>.</w:t>
      </w:r>
      <w:r w:rsidRPr="0045720B">
        <w:rPr>
          <w:rFonts w:cs="Arial"/>
          <w:color w:val="000000"/>
          <w:lang w:val="en-CA"/>
        </w:rPr>
        <w:t xml:space="preserve"> 1990, c. 83, s. 236. This provision </w:t>
      </w:r>
      <w:r w:rsidR="00BE0D25">
        <w:rPr>
          <w:rFonts w:cs="Arial"/>
          <w:color w:val="000000"/>
          <w:lang w:val="en-CA"/>
        </w:rPr>
        <w:t xml:space="preserve">came </w:t>
      </w:r>
      <w:r w:rsidRPr="0045720B">
        <w:rPr>
          <w:rFonts w:cs="Arial"/>
          <w:color w:val="000000"/>
          <w:lang w:val="en-CA"/>
        </w:rPr>
        <w:t xml:space="preserve">into force on January </w:t>
      </w:r>
      <w:r w:rsidR="00392D14">
        <w:rPr>
          <w:rFonts w:cs="Arial"/>
          <w:color w:val="000000"/>
          <w:lang w:val="en-CA"/>
        </w:rPr>
        <w:t xml:space="preserve">1, </w:t>
      </w:r>
      <w:r w:rsidRPr="0045720B">
        <w:rPr>
          <w:rFonts w:cs="Arial"/>
          <w:color w:val="000000"/>
          <w:lang w:val="en-CA"/>
        </w:rPr>
        <w:t xml:space="preserve">1991: </w:t>
      </w:r>
      <w:r w:rsidRPr="0045720B">
        <w:rPr>
          <w:rFonts w:cs="Arial"/>
          <w:i/>
          <w:iCs/>
          <w:color w:val="000000"/>
          <w:lang w:val="en-CA"/>
        </w:rPr>
        <w:t>Id.</w:t>
      </w:r>
      <w:r w:rsidRPr="0045720B">
        <w:rPr>
          <w:rFonts w:cs="Arial"/>
          <w:color w:val="000000"/>
          <w:lang w:val="en-CA"/>
        </w:rPr>
        <w:t>, s. 263.</w:t>
      </w:r>
    </w:p>
  </w:footnote>
  <w:footnote w:id="46">
    <w:p w14:paraId="7DA282E8" w14:textId="0D558C4D"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According to the </w:t>
      </w:r>
      <w:r w:rsidR="00BE0D25">
        <w:rPr>
          <w:lang w:val="en-CA"/>
        </w:rPr>
        <w:t xml:space="preserve">1990 amended </w:t>
      </w:r>
      <w:r w:rsidRPr="0045720B">
        <w:rPr>
          <w:lang w:val="en-CA"/>
        </w:rPr>
        <w:t>version of s. 636</w:t>
      </w:r>
      <w:r w:rsidR="0030762F" w:rsidRPr="0030762F">
        <w:rPr>
          <w:i/>
          <w:lang w:val="en-CA"/>
        </w:rPr>
        <w:t> HSC</w:t>
      </w:r>
      <w:r w:rsidRPr="0045720B">
        <w:rPr>
          <w:lang w:val="en-CA"/>
        </w:rPr>
        <w:t>, a peace officer had the power to stop a vehicle “</w:t>
      </w:r>
      <w:r w:rsidRPr="0045720B">
        <w:rPr>
          <w:rFonts w:cs="Arial"/>
          <w:lang w:val="en-CA"/>
        </w:rPr>
        <w:t>in the performance of his duties under this Code”.</w:t>
      </w:r>
      <w:r w:rsidRPr="0045720B">
        <w:rPr>
          <w:rFonts w:cs="Arial"/>
          <w:szCs w:val="22"/>
          <w:lang w:val="en-CA"/>
        </w:rPr>
        <w:t xml:space="preserve"> The most recent version of s. 636 states that a peace officer has this power in the performance of his duties under the</w:t>
      </w:r>
      <w:r w:rsidR="0030762F" w:rsidRPr="0030762F">
        <w:rPr>
          <w:rFonts w:cs="Arial"/>
          <w:i/>
          <w:szCs w:val="22"/>
          <w:lang w:val="en-CA"/>
        </w:rPr>
        <w:t> HSC</w:t>
      </w:r>
      <w:r w:rsidRPr="0045720B">
        <w:rPr>
          <w:rFonts w:cs="Arial"/>
          <w:szCs w:val="22"/>
          <w:lang w:val="en-CA"/>
        </w:rPr>
        <w:t xml:space="preserve">, agreements entered into under s. 519.65 and the </w:t>
      </w:r>
      <w:r w:rsidRPr="0045720B">
        <w:rPr>
          <w:rFonts w:cs="Arial"/>
          <w:i/>
          <w:iCs/>
          <w:szCs w:val="22"/>
          <w:lang w:val="en-CA"/>
        </w:rPr>
        <w:t>Act respecting owners, operators and drivers of heavy vehicles</w:t>
      </w:r>
      <w:r w:rsidRPr="0045720B">
        <w:rPr>
          <w:lang w:val="en-CA"/>
        </w:rPr>
        <w:t>, CQLR, c. P</w:t>
      </w:r>
      <w:r w:rsidRPr="0045720B">
        <w:rPr>
          <w:lang w:val="en-CA"/>
        </w:rPr>
        <w:noBreakHyphen/>
        <w:t>30.3.</w:t>
      </w:r>
    </w:p>
  </w:footnote>
  <w:footnote w:id="47">
    <w:p w14:paraId="2FD58E81" w14:textId="77777777"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Canada (Attorney General) v. Bedford</w:t>
      </w:r>
      <w:r w:rsidRPr="0045720B">
        <w:rPr>
          <w:lang w:val="en-CA"/>
        </w:rPr>
        <w:t xml:space="preserve">, 2013 SCC 72 </w:t>
      </w:r>
      <w:r w:rsidRPr="0045720B">
        <w:rPr>
          <w:rFonts w:cs="Arial"/>
          <w:lang w:val="en-CA"/>
        </w:rPr>
        <w:t>[</w:t>
      </w:r>
      <w:r w:rsidRPr="0045720B">
        <w:rPr>
          <w:i/>
          <w:iCs/>
          <w:lang w:val="en-CA"/>
        </w:rPr>
        <w:t>Bedford</w:t>
      </w:r>
      <w:r w:rsidRPr="0045720B">
        <w:rPr>
          <w:rFonts w:cs="Arial"/>
          <w:lang w:val="en-CA"/>
        </w:rPr>
        <w:t>]</w:t>
      </w:r>
      <w:r w:rsidRPr="0045720B">
        <w:rPr>
          <w:lang w:val="en-CA"/>
        </w:rPr>
        <w:t>.</w:t>
      </w:r>
    </w:p>
  </w:footnote>
  <w:footnote w:id="48">
    <w:p w14:paraId="6F08143D" w14:textId="593FB7D6"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607.</w:t>
      </w:r>
    </w:p>
  </w:footnote>
  <w:footnote w:id="49">
    <w:p w14:paraId="3D14DF96" w14:textId="7C07D207" w:rsidR="00BF5340" w:rsidRPr="0045720B" w:rsidRDefault="00BF5340" w:rsidP="00BF53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Pr="0045720B">
        <w:rPr>
          <w:lang w:val="en-CA"/>
        </w:rPr>
        <w:t>.</w:t>
      </w:r>
      <w:r w:rsidR="00866FE6">
        <w:rPr>
          <w:lang w:val="en-CA"/>
        </w:rPr>
        <w:t>,</w:t>
      </w:r>
      <w:r w:rsidRPr="0045720B">
        <w:rPr>
          <w:lang w:val="en-CA"/>
        </w:rPr>
        <w:t xml:space="preserve"> para</w:t>
      </w:r>
      <w:r w:rsidRPr="0045720B">
        <w:rPr>
          <w:i/>
          <w:iCs/>
          <w:lang w:val="en-CA"/>
        </w:rPr>
        <w:t>.</w:t>
      </w:r>
      <w:r w:rsidRPr="0045720B">
        <w:rPr>
          <w:lang w:val="en-CA"/>
        </w:rPr>
        <w:t xml:space="preserve"> 705.</w:t>
      </w:r>
    </w:p>
  </w:footnote>
  <w:footnote w:id="50">
    <w:p w14:paraId="21C56D59" w14:textId="26F9FE1E" w:rsidR="00FE4571" w:rsidRPr="0045720B" w:rsidRDefault="00FE4571" w:rsidP="00FE457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866FE6">
        <w:rPr>
          <w:lang w:val="en-CA"/>
        </w:rPr>
        <w:t>,</w:t>
      </w:r>
      <w:r w:rsidRPr="0045720B">
        <w:rPr>
          <w:i/>
          <w:iCs/>
          <w:lang w:val="en-CA"/>
        </w:rPr>
        <w:t xml:space="preserve"> </w:t>
      </w:r>
      <w:r w:rsidRPr="0045720B">
        <w:rPr>
          <w:lang w:val="en-CA"/>
        </w:rPr>
        <w:t>para</w:t>
      </w:r>
      <w:r w:rsidRPr="0045720B">
        <w:rPr>
          <w:i/>
          <w:iCs/>
          <w:lang w:val="en-CA"/>
        </w:rPr>
        <w:t>.</w:t>
      </w:r>
      <w:r w:rsidRPr="0045720B">
        <w:rPr>
          <w:lang w:val="en-CA"/>
        </w:rPr>
        <w:t xml:space="preserve"> 734.</w:t>
      </w:r>
    </w:p>
  </w:footnote>
  <w:footnote w:id="51">
    <w:p w14:paraId="1B7770D4" w14:textId="48ECC882" w:rsidR="00FE4571" w:rsidRPr="0045720B" w:rsidRDefault="00FE4571" w:rsidP="00FE457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A2567F">
        <w:rPr>
          <w:lang w:val="en-CA"/>
        </w:rPr>
        <w:t>,</w:t>
      </w:r>
      <w:r w:rsidRPr="0045720B">
        <w:rPr>
          <w:i/>
          <w:iCs/>
          <w:lang w:val="en-CA"/>
        </w:rPr>
        <w:t xml:space="preserve"> </w:t>
      </w:r>
      <w:r w:rsidRPr="0045720B">
        <w:rPr>
          <w:lang w:val="en-CA"/>
        </w:rPr>
        <w:t>para</w:t>
      </w:r>
      <w:r w:rsidRPr="0045720B">
        <w:rPr>
          <w:i/>
          <w:iCs/>
          <w:lang w:val="en-CA"/>
        </w:rPr>
        <w:t>.</w:t>
      </w:r>
      <w:r w:rsidRPr="0045720B">
        <w:rPr>
          <w:lang w:val="en-CA"/>
        </w:rPr>
        <w:t xml:space="preserve"> 738.</w:t>
      </w:r>
    </w:p>
  </w:footnote>
  <w:footnote w:id="52">
    <w:p w14:paraId="2DD500F8" w14:textId="5267AA97" w:rsidR="00FE4571" w:rsidRPr="0045720B" w:rsidRDefault="00FE4571" w:rsidP="00FE457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A2567F">
        <w:rPr>
          <w:lang w:val="en-CA"/>
        </w:rPr>
        <w:t>,</w:t>
      </w:r>
      <w:r w:rsidRPr="0045720B">
        <w:rPr>
          <w:lang w:val="en-CA"/>
        </w:rPr>
        <w:t xml:space="preserve"> para</w:t>
      </w:r>
      <w:r w:rsidRPr="0045720B">
        <w:rPr>
          <w:i/>
          <w:iCs/>
          <w:lang w:val="en-CA"/>
        </w:rPr>
        <w:t>.</w:t>
      </w:r>
      <w:r w:rsidRPr="0045720B">
        <w:rPr>
          <w:lang w:val="en-CA"/>
        </w:rPr>
        <w:t xml:space="preserve"> 828.</w:t>
      </w:r>
    </w:p>
  </w:footnote>
  <w:footnote w:id="53">
    <w:p w14:paraId="22705BFF" w14:textId="71B2034F" w:rsidR="00FE4571" w:rsidRPr="0045720B" w:rsidRDefault="00FE4571" w:rsidP="00FE457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A2567F">
        <w:rPr>
          <w:lang w:val="en-CA"/>
        </w:rPr>
        <w:t>,</w:t>
      </w:r>
      <w:r w:rsidRPr="0045720B">
        <w:rPr>
          <w:i/>
          <w:iCs/>
          <w:lang w:val="en-CA"/>
        </w:rPr>
        <w:t xml:space="preserve"> </w:t>
      </w:r>
      <w:r w:rsidRPr="0045720B">
        <w:rPr>
          <w:lang w:val="en-CA"/>
        </w:rPr>
        <w:t>para</w:t>
      </w:r>
      <w:r w:rsidRPr="0045720B">
        <w:rPr>
          <w:i/>
          <w:iCs/>
          <w:lang w:val="en-CA"/>
        </w:rPr>
        <w:t>.</w:t>
      </w:r>
      <w:r w:rsidRPr="0045720B">
        <w:rPr>
          <w:lang w:val="en-CA"/>
        </w:rPr>
        <w:t xml:space="preserve"> 831.</w:t>
      </w:r>
    </w:p>
  </w:footnote>
  <w:footnote w:id="54">
    <w:p w14:paraId="70546749" w14:textId="47F9447E" w:rsidR="00FE4571" w:rsidRPr="0045720B" w:rsidRDefault="00FE4571" w:rsidP="00FE457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EA17F3">
        <w:rPr>
          <w:lang w:val="en-CA"/>
        </w:rPr>
        <w:t xml:space="preserve">, </w:t>
      </w:r>
      <w:r w:rsidRPr="0045720B">
        <w:rPr>
          <w:lang w:val="en-CA"/>
        </w:rPr>
        <w:t>para</w:t>
      </w:r>
      <w:r w:rsidRPr="0045720B">
        <w:rPr>
          <w:i/>
          <w:iCs/>
          <w:lang w:val="en-CA"/>
        </w:rPr>
        <w:t>.</w:t>
      </w:r>
      <w:r w:rsidRPr="0045720B">
        <w:rPr>
          <w:lang w:val="en-CA"/>
        </w:rPr>
        <w:t xml:space="preserve"> 847.</w:t>
      </w:r>
    </w:p>
  </w:footnote>
  <w:footnote w:id="55">
    <w:p w14:paraId="1C2DC78E" w14:textId="3CAACBA4" w:rsidR="00FE4571" w:rsidRPr="0045720B" w:rsidRDefault="00FE4571" w:rsidP="00FE457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EA17F3">
        <w:rPr>
          <w:lang w:val="en-CA"/>
        </w:rPr>
        <w:t xml:space="preserve">, </w:t>
      </w:r>
      <w:r w:rsidRPr="0045720B">
        <w:rPr>
          <w:lang w:val="en-CA"/>
        </w:rPr>
        <w:t>para</w:t>
      </w:r>
      <w:r w:rsidRPr="0045720B">
        <w:rPr>
          <w:i/>
          <w:iCs/>
          <w:lang w:val="en-CA"/>
        </w:rPr>
        <w:t>.</w:t>
      </w:r>
      <w:r w:rsidRPr="0045720B">
        <w:rPr>
          <w:lang w:val="en-CA"/>
        </w:rPr>
        <w:t xml:space="preserve"> 857.</w:t>
      </w:r>
    </w:p>
  </w:footnote>
  <w:footnote w:id="56">
    <w:p w14:paraId="0A9A1018" w14:textId="13A7F244" w:rsidR="002439B5" w:rsidRPr="0045720B" w:rsidRDefault="002439B5" w:rsidP="002439B5">
      <w:pPr>
        <w:pStyle w:val="Notedebasdepage"/>
        <w:rPr>
          <w:lang w:val="en-CA"/>
        </w:rPr>
      </w:pPr>
      <w:r w:rsidRPr="0045720B">
        <w:rPr>
          <w:rStyle w:val="Appelnotedebasdep"/>
          <w:lang w:val="en-CA"/>
        </w:rPr>
        <w:footnoteRef/>
      </w:r>
      <w:r w:rsidRPr="0045720B">
        <w:rPr>
          <w:lang w:val="en-CA"/>
        </w:rPr>
        <w:tab/>
        <w:t xml:space="preserve">The AGQ relies on the following judgments: </w:t>
      </w:r>
      <w:r w:rsidRPr="0045720B">
        <w:rPr>
          <w:i/>
          <w:iCs/>
          <w:lang w:val="en-CA"/>
        </w:rPr>
        <w:t>R. v</w:t>
      </w:r>
      <w:r w:rsidRPr="0045720B">
        <w:rPr>
          <w:lang w:val="en-CA"/>
        </w:rPr>
        <w:t xml:space="preserve">. </w:t>
      </w:r>
      <w:r w:rsidRPr="0045720B">
        <w:rPr>
          <w:i/>
          <w:iCs/>
          <w:lang w:val="en-CA"/>
        </w:rPr>
        <w:t>McColman</w:t>
      </w:r>
      <w:r w:rsidRPr="0045720B">
        <w:rPr>
          <w:lang w:val="en-CA"/>
        </w:rPr>
        <w:t>, 2023 SCC 8</w:t>
      </w:r>
      <w:r w:rsidR="005D436F">
        <w:rPr>
          <w:lang w:val="en-CA"/>
        </w:rPr>
        <w:t>, para.</w:t>
      </w:r>
      <w:r w:rsidRPr="0045720B">
        <w:rPr>
          <w:lang w:val="en-CA"/>
        </w:rPr>
        <w:t xml:space="preserve"> 30; </w:t>
      </w:r>
      <w:bookmarkStart w:id="50" w:name="_Hlk177749735"/>
      <w:r w:rsidRPr="0045720B">
        <w:rPr>
          <w:i/>
          <w:iCs/>
          <w:lang w:val="en-CA"/>
        </w:rPr>
        <w:t>R. v</w:t>
      </w:r>
      <w:r w:rsidRPr="0045720B">
        <w:rPr>
          <w:lang w:val="en-CA"/>
        </w:rPr>
        <w:t xml:space="preserve">. </w:t>
      </w:r>
      <w:r w:rsidRPr="0045720B">
        <w:rPr>
          <w:i/>
          <w:iCs/>
          <w:lang w:val="en-CA"/>
        </w:rPr>
        <w:t>Nolet</w:t>
      </w:r>
      <w:r w:rsidRPr="0045720B">
        <w:rPr>
          <w:lang w:val="en-CA"/>
        </w:rPr>
        <w:t>, 2010 SCC 24</w:t>
      </w:r>
      <w:r w:rsidR="00706F32">
        <w:rPr>
          <w:lang w:val="en-CA"/>
        </w:rPr>
        <w:t>, paras.</w:t>
      </w:r>
      <w:r w:rsidRPr="0045720B">
        <w:rPr>
          <w:lang w:val="en-CA"/>
        </w:rPr>
        <w:t xml:space="preserve"> 3, 22</w:t>
      </w:r>
      <w:r w:rsidR="00A16368" w:rsidRPr="0045720B">
        <w:rPr>
          <w:lang w:val="en-CA"/>
        </w:rPr>
        <w:t>,</w:t>
      </w:r>
      <w:r w:rsidRPr="0045720B">
        <w:rPr>
          <w:lang w:val="en-CA"/>
        </w:rPr>
        <w:t xml:space="preserve"> and 25; </w:t>
      </w:r>
      <w:r w:rsidRPr="0045720B">
        <w:rPr>
          <w:i/>
          <w:iCs/>
          <w:lang w:val="en-CA"/>
        </w:rPr>
        <w:t>R. v</w:t>
      </w:r>
      <w:r w:rsidRPr="0045720B">
        <w:rPr>
          <w:lang w:val="en-CA"/>
        </w:rPr>
        <w:t xml:space="preserve">. </w:t>
      </w:r>
      <w:r w:rsidRPr="0045720B">
        <w:rPr>
          <w:i/>
          <w:iCs/>
          <w:lang w:val="en-CA"/>
        </w:rPr>
        <w:t>Mellenthin</w:t>
      </w:r>
      <w:r w:rsidRPr="0045720B">
        <w:rPr>
          <w:lang w:val="en-CA"/>
        </w:rPr>
        <w:t>, [1992] 3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615</w:t>
      </w:r>
      <w:r w:rsidR="00083108">
        <w:rPr>
          <w:lang w:val="en-CA"/>
        </w:rPr>
        <w:t>, pp. 6</w:t>
      </w:r>
      <w:r w:rsidRPr="0045720B">
        <w:rPr>
          <w:lang w:val="en-CA"/>
        </w:rPr>
        <w:t>28–629.</w:t>
      </w:r>
      <w:bookmarkEnd w:id="50"/>
    </w:p>
  </w:footnote>
  <w:footnote w:id="57">
    <w:p w14:paraId="4DA8E2B2" w14:textId="77777777" w:rsidR="002439B5" w:rsidRPr="0045720B" w:rsidRDefault="002439B5" w:rsidP="002439B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Canada (Attorney General) v. Bedford</w:t>
      </w:r>
      <w:r w:rsidRPr="0045720B">
        <w:rPr>
          <w:lang w:val="en-CA"/>
        </w:rPr>
        <w:t>, 2013 SCC 72.</w:t>
      </w:r>
    </w:p>
  </w:footnote>
  <w:footnote w:id="58">
    <w:p w14:paraId="769D412C" w14:textId="77777777" w:rsidR="002439B5" w:rsidRPr="0045720B" w:rsidRDefault="002439B5" w:rsidP="002439B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Carter v. Canada (Attorney General)</w:t>
      </w:r>
      <w:r w:rsidRPr="0045720B">
        <w:rPr>
          <w:lang w:val="en-CA"/>
        </w:rPr>
        <w:t xml:space="preserve">, 2015 SCC 5 </w:t>
      </w:r>
      <w:r w:rsidRPr="0045720B">
        <w:rPr>
          <w:rFonts w:cs="Arial"/>
          <w:lang w:val="en-CA"/>
        </w:rPr>
        <w:t>[</w:t>
      </w:r>
      <w:r w:rsidRPr="0045720B">
        <w:rPr>
          <w:i/>
          <w:iCs/>
          <w:lang w:val="en-CA"/>
        </w:rPr>
        <w:t>Carter</w:t>
      </w:r>
      <w:r w:rsidRPr="0045720B">
        <w:rPr>
          <w:rFonts w:cs="Arial"/>
          <w:lang w:val="en-CA"/>
        </w:rPr>
        <w:t>]</w:t>
      </w:r>
      <w:r w:rsidRPr="0045720B">
        <w:rPr>
          <w:lang w:val="en-CA"/>
        </w:rPr>
        <w:t>.</w:t>
      </w:r>
    </w:p>
  </w:footnote>
  <w:footnote w:id="59">
    <w:p w14:paraId="52C83A87" w14:textId="77777777" w:rsidR="002439B5" w:rsidRPr="00077E55" w:rsidRDefault="002439B5" w:rsidP="002439B5">
      <w:pPr>
        <w:pStyle w:val="Notedebasdepage"/>
      </w:pPr>
      <w:r w:rsidRPr="0045720B">
        <w:rPr>
          <w:rStyle w:val="Appelnotedebasdep"/>
          <w:lang w:val="en-CA"/>
        </w:rPr>
        <w:footnoteRef/>
      </w:r>
      <w:r w:rsidRPr="00077E55">
        <w:t xml:space="preserve"> </w:t>
      </w:r>
      <w:r w:rsidRPr="00077E55">
        <w:tab/>
      </w:r>
      <w:bookmarkStart w:id="51" w:name="_Hlk177749818"/>
      <w:r w:rsidRPr="00077E55">
        <w:rPr>
          <w:i/>
          <w:iCs/>
        </w:rPr>
        <w:t>R. v. Comeau</w:t>
      </w:r>
      <w:r w:rsidRPr="00077E55">
        <w:t xml:space="preserve">, 2018 SCC 15 </w:t>
      </w:r>
      <w:r w:rsidRPr="00077E55">
        <w:rPr>
          <w:rFonts w:cs="Arial"/>
        </w:rPr>
        <w:t>[</w:t>
      </w:r>
      <w:r w:rsidRPr="00077E55">
        <w:rPr>
          <w:i/>
          <w:iCs/>
        </w:rPr>
        <w:t>Comeau</w:t>
      </w:r>
      <w:r w:rsidRPr="00077E55">
        <w:rPr>
          <w:rFonts w:cs="Arial"/>
        </w:rPr>
        <w:t>]</w:t>
      </w:r>
      <w:r w:rsidRPr="00077E55">
        <w:t>.</w:t>
      </w:r>
      <w:bookmarkEnd w:id="51"/>
    </w:p>
  </w:footnote>
  <w:footnote w:id="60">
    <w:p w14:paraId="332238FB" w14:textId="4797925C" w:rsidR="002439B5" w:rsidRPr="0045720B" w:rsidRDefault="002439B5" w:rsidP="002439B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52" w:name="_Hlk177749849"/>
      <w:r w:rsidRPr="0045720B">
        <w:rPr>
          <w:i/>
          <w:iCs/>
          <w:lang w:val="en-CA"/>
        </w:rPr>
        <w:t>Eldridge v. British Columbia (Attorney General)</w:t>
      </w:r>
      <w:r w:rsidRPr="0045720B">
        <w:rPr>
          <w:lang w:val="en-CA"/>
        </w:rPr>
        <w:t>, [1997] 3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624</w:t>
      </w:r>
      <w:r w:rsidR="005D436F">
        <w:rPr>
          <w:lang w:val="en-CA"/>
        </w:rPr>
        <w:t>, para.</w:t>
      </w:r>
      <w:r w:rsidRPr="0045720B">
        <w:rPr>
          <w:lang w:val="en-CA"/>
        </w:rPr>
        <w:t xml:space="preserve"> 20.</w:t>
      </w:r>
      <w:bookmarkEnd w:id="52"/>
    </w:p>
  </w:footnote>
  <w:footnote w:id="61">
    <w:p w14:paraId="3E7A52D0" w14:textId="09B7E969" w:rsidR="002439B5" w:rsidRPr="0045720B" w:rsidRDefault="002439B5" w:rsidP="002439B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Ferguson</w:t>
      </w:r>
      <w:r w:rsidRPr="0045720B">
        <w:rPr>
          <w:lang w:val="en-CA"/>
        </w:rPr>
        <w:t>, 2008 SCC 6</w:t>
      </w:r>
      <w:r w:rsidR="005D436F">
        <w:rPr>
          <w:lang w:val="en-CA"/>
        </w:rPr>
        <w:t>, para.</w:t>
      </w:r>
      <w:r w:rsidRPr="0045720B">
        <w:rPr>
          <w:lang w:val="en-CA"/>
        </w:rPr>
        <w:t xml:space="preserve"> 59.</w:t>
      </w:r>
    </w:p>
  </w:footnote>
  <w:footnote w:id="62">
    <w:p w14:paraId="1AB9377B" w14:textId="4DCCB7C3" w:rsidR="00812064" w:rsidRPr="0045720B" w:rsidRDefault="00812064" w:rsidP="00812064">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Khawaja</w:t>
      </w:r>
      <w:r w:rsidRPr="0045720B">
        <w:rPr>
          <w:lang w:val="en-CA"/>
        </w:rPr>
        <w:t>, 2012 SCC 69</w:t>
      </w:r>
      <w:r w:rsidR="005D436F">
        <w:rPr>
          <w:lang w:val="en-CA"/>
        </w:rPr>
        <w:t>, para.</w:t>
      </w:r>
      <w:r w:rsidRPr="0045720B">
        <w:rPr>
          <w:lang w:val="en-CA"/>
        </w:rPr>
        <w:t xml:space="preserve"> 83. </w:t>
      </w:r>
    </w:p>
  </w:footnote>
  <w:footnote w:id="63">
    <w:p w14:paraId="2D26E82A" w14:textId="4AA35F66" w:rsidR="00812064" w:rsidRPr="0045720B" w:rsidRDefault="00812064" w:rsidP="00812064">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Ferguson</w:t>
      </w:r>
      <w:r w:rsidRPr="0045720B">
        <w:rPr>
          <w:lang w:val="en-CA"/>
        </w:rPr>
        <w:t>, 2008 SCC 6</w:t>
      </w:r>
      <w:r w:rsidR="005D436F">
        <w:rPr>
          <w:lang w:val="en-CA"/>
        </w:rPr>
        <w:t>, para.</w:t>
      </w:r>
      <w:r w:rsidRPr="0045720B">
        <w:rPr>
          <w:lang w:val="en-CA"/>
        </w:rPr>
        <w:t xml:space="preserve"> </w:t>
      </w:r>
      <w:r w:rsidRPr="00400C7E">
        <w:rPr>
          <w:lang w:val="en-CA"/>
        </w:rPr>
        <w:t xml:space="preserve">61; Henri Brun, Guy Tremblay &amp; Eugénie Brouillet, </w:t>
      </w:r>
      <w:r w:rsidRPr="00400C7E">
        <w:rPr>
          <w:i/>
          <w:iCs/>
          <w:lang w:val="en-CA"/>
        </w:rPr>
        <w:t>Droit constitutionnel</w:t>
      </w:r>
      <w:r w:rsidRPr="00400C7E">
        <w:rPr>
          <w:lang w:val="en-CA"/>
        </w:rPr>
        <w:t>, 6th</w:t>
      </w:r>
      <w:r w:rsidRPr="00400C7E">
        <w:rPr>
          <w:vertAlign w:val="superscript"/>
          <w:lang w:val="en-CA"/>
        </w:rPr>
        <w:t> </w:t>
      </w:r>
      <w:r w:rsidRPr="00400C7E">
        <w:rPr>
          <w:lang w:val="en-CA"/>
        </w:rPr>
        <w:t>ed.</w:t>
      </w:r>
      <w:r w:rsidR="00A4654E">
        <w:rPr>
          <w:lang w:val="en-CA"/>
        </w:rPr>
        <w:t>,</w:t>
      </w:r>
      <w:r w:rsidRPr="00400C7E">
        <w:rPr>
          <w:lang w:val="en-CA"/>
        </w:rPr>
        <w:t xml:space="preserve"> </w:t>
      </w:r>
      <w:r w:rsidRPr="0045720B">
        <w:rPr>
          <w:lang w:val="en-CA"/>
        </w:rPr>
        <w:t>Cowansville</w:t>
      </w:r>
      <w:r w:rsidR="00A4654E">
        <w:rPr>
          <w:lang w:val="en-CA"/>
        </w:rPr>
        <w:t>,</w:t>
      </w:r>
      <w:r w:rsidRPr="0045720B">
        <w:rPr>
          <w:lang w:val="en-CA"/>
        </w:rPr>
        <w:t xml:space="preserve"> Yvon Blais, 2014</w:t>
      </w:r>
      <w:r w:rsidR="00706F32">
        <w:rPr>
          <w:lang w:val="en-CA"/>
        </w:rPr>
        <w:t>, p. 1</w:t>
      </w:r>
      <w:r w:rsidRPr="0045720B">
        <w:rPr>
          <w:lang w:val="en-CA"/>
        </w:rPr>
        <w:t>053, No.</w:t>
      </w:r>
      <w:r w:rsidRPr="0045720B">
        <w:rPr>
          <w:vertAlign w:val="superscript"/>
          <w:lang w:val="en-CA"/>
        </w:rPr>
        <w:t> </w:t>
      </w:r>
      <w:r w:rsidRPr="0045720B">
        <w:rPr>
          <w:lang w:val="en-CA"/>
        </w:rPr>
        <w:t>XII-4.42.</w:t>
      </w:r>
    </w:p>
  </w:footnote>
  <w:footnote w:id="64">
    <w:p w14:paraId="28D448A4" w14:textId="0E81BF16" w:rsidR="00812064" w:rsidRPr="0045720B" w:rsidRDefault="00812064" w:rsidP="00812064">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Eldridge v. British Columbia (Attorney General)</w:t>
      </w:r>
      <w:r w:rsidRPr="0045720B">
        <w:rPr>
          <w:lang w:val="en-CA"/>
        </w:rPr>
        <w:t>, [1997] 3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624</w:t>
      </w:r>
      <w:r w:rsidR="005D436F">
        <w:rPr>
          <w:lang w:val="en-CA"/>
        </w:rPr>
        <w:t>, para.</w:t>
      </w:r>
      <w:r w:rsidRPr="0045720B">
        <w:rPr>
          <w:lang w:val="en-CA"/>
        </w:rPr>
        <w:t xml:space="preserve"> 22. See also: </w:t>
      </w:r>
      <w:r w:rsidRPr="0045720B">
        <w:rPr>
          <w:i/>
          <w:iCs/>
          <w:lang w:val="en-CA"/>
        </w:rPr>
        <w:t>R. v. Adams</w:t>
      </w:r>
      <w:r w:rsidRPr="0045720B">
        <w:rPr>
          <w:lang w:val="en-CA"/>
        </w:rPr>
        <w:t>, [1996] 3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101</w:t>
      </w:r>
      <w:r w:rsidR="005D436F">
        <w:rPr>
          <w:lang w:val="en-CA"/>
        </w:rPr>
        <w:t>, para.</w:t>
      </w:r>
      <w:r w:rsidRPr="0045720B">
        <w:rPr>
          <w:lang w:val="en-CA"/>
        </w:rPr>
        <w:t xml:space="preserve"> 53; </w:t>
      </w:r>
      <w:r w:rsidRPr="0045720B">
        <w:rPr>
          <w:i/>
          <w:iCs/>
          <w:color w:val="000000"/>
          <w:lang w:val="en-CA"/>
        </w:rPr>
        <w:t>Slaight Communications Inc. v. Davidson</w:t>
      </w:r>
      <w:r w:rsidRPr="0045720B">
        <w:rPr>
          <w:color w:val="000000"/>
          <w:lang w:val="en-CA"/>
        </w:rPr>
        <w:t xml:space="preserve">, </w:t>
      </w:r>
      <w:r w:rsidRPr="0045720B">
        <w:rPr>
          <w:lang w:val="en-CA"/>
        </w:rPr>
        <w:t>[1989]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1038</w:t>
      </w:r>
      <w:r w:rsidR="00083108">
        <w:rPr>
          <w:lang w:val="en-CA"/>
        </w:rPr>
        <w:t>, pp.</w:t>
      </w:r>
      <w:r w:rsidR="00A4654E">
        <w:rPr>
          <w:lang w:val="en-CA"/>
        </w:rPr>
        <w:t> </w:t>
      </w:r>
      <w:r w:rsidR="00083108">
        <w:rPr>
          <w:lang w:val="en-CA"/>
        </w:rPr>
        <w:t>1</w:t>
      </w:r>
      <w:r w:rsidRPr="0045720B">
        <w:rPr>
          <w:lang w:val="en-CA"/>
        </w:rPr>
        <w:t>077–1078.</w:t>
      </w:r>
    </w:p>
  </w:footnote>
  <w:footnote w:id="65">
    <w:p w14:paraId="7A52D7AE" w14:textId="6AFEDFB3" w:rsidR="00812064" w:rsidRPr="0045720B" w:rsidRDefault="00812064" w:rsidP="00812064">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See for example: </w:t>
      </w:r>
      <w:r w:rsidRPr="0045720B">
        <w:rPr>
          <w:i/>
          <w:iCs/>
          <w:lang w:val="en-CA"/>
        </w:rPr>
        <w:t>Canada (Procureur général) c. Way</w:t>
      </w:r>
      <w:r w:rsidRPr="0045720B">
        <w:rPr>
          <w:lang w:val="en-CA"/>
        </w:rPr>
        <w:t>, 2015 QCCA 1576</w:t>
      </w:r>
      <w:r w:rsidR="00706F32">
        <w:rPr>
          <w:lang w:val="en-CA"/>
        </w:rPr>
        <w:t>, paras.</w:t>
      </w:r>
      <w:r w:rsidRPr="0045720B">
        <w:rPr>
          <w:lang w:val="en-CA"/>
        </w:rPr>
        <w:t xml:space="preserve"> 61 and 72–73, appeal to SCC discontinued, September </w:t>
      </w:r>
      <w:r w:rsidR="00C476F9">
        <w:rPr>
          <w:lang w:val="en-CA"/>
        </w:rPr>
        <w:t xml:space="preserve">7, </w:t>
      </w:r>
      <w:r w:rsidRPr="0045720B">
        <w:rPr>
          <w:lang w:val="en-CA"/>
        </w:rPr>
        <w:t>2016</w:t>
      </w:r>
      <w:r w:rsidR="00A4654E">
        <w:rPr>
          <w:lang w:val="en-CA"/>
        </w:rPr>
        <w:t xml:space="preserve">, No. </w:t>
      </w:r>
      <w:r w:rsidR="00A4654E" w:rsidRPr="00A4654E">
        <w:rPr>
          <w:lang w:val="en-CA"/>
        </w:rPr>
        <w:t>36746</w:t>
      </w:r>
      <w:r w:rsidRPr="0045720B">
        <w:rPr>
          <w:lang w:val="en-CA"/>
        </w:rPr>
        <w:t>.</w:t>
      </w:r>
    </w:p>
  </w:footnote>
  <w:footnote w:id="66">
    <w:p w14:paraId="28F878C5" w14:textId="0E931915" w:rsidR="005C0D7E" w:rsidRPr="0045720B" w:rsidRDefault="005C0D7E" w:rsidP="005C0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See for example: </w:t>
      </w:r>
      <w:bookmarkStart w:id="53" w:name="_Hlk177749924"/>
      <w:r w:rsidRPr="0045720B">
        <w:rPr>
          <w:i/>
          <w:iCs/>
          <w:lang w:val="en-CA"/>
        </w:rPr>
        <w:t>R. v. Swain</w:t>
      </w:r>
      <w:r w:rsidRPr="0045720B">
        <w:rPr>
          <w:lang w:val="en-CA"/>
        </w:rPr>
        <w:t>, [1991]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933</w:t>
      </w:r>
      <w:r w:rsidR="00083108">
        <w:rPr>
          <w:lang w:val="en-CA"/>
        </w:rPr>
        <w:t>, pp. 1</w:t>
      </w:r>
      <w:r w:rsidRPr="0045720B">
        <w:rPr>
          <w:lang w:val="en-CA"/>
        </w:rPr>
        <w:t>010–1013 (reasons of Lamer, C.J.)</w:t>
      </w:r>
      <w:bookmarkEnd w:id="53"/>
      <w:r w:rsidRPr="0045720B">
        <w:rPr>
          <w:lang w:val="en-CA"/>
        </w:rPr>
        <w:t>.</w:t>
      </w:r>
    </w:p>
  </w:footnote>
  <w:footnote w:id="67">
    <w:p w14:paraId="4622E4E3" w14:textId="46A3AE26" w:rsidR="005A1C52" w:rsidRPr="0045720B" w:rsidRDefault="0043013D" w:rsidP="005A1C5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bookmarkStart w:id="54" w:name="_Hlk177749968"/>
      <w:r w:rsidRPr="0045720B">
        <w:rPr>
          <w:i/>
          <w:iCs/>
          <w:lang w:val="en-CA"/>
        </w:rPr>
        <w:t xml:space="preserve">Hunter </w:t>
      </w:r>
      <w:r w:rsidR="005D7E8F" w:rsidRPr="0045720B">
        <w:rPr>
          <w:i/>
          <w:iCs/>
          <w:lang w:val="en-CA"/>
        </w:rPr>
        <w:t>v</w:t>
      </w:r>
      <w:r w:rsidRPr="0045720B">
        <w:rPr>
          <w:i/>
          <w:iCs/>
          <w:lang w:val="en-CA"/>
        </w:rPr>
        <w:t xml:space="preserve">. Southam </w:t>
      </w:r>
      <w:r w:rsidR="005D7E8F" w:rsidRPr="0045720B">
        <w:rPr>
          <w:i/>
          <w:iCs/>
          <w:lang w:val="en-CA"/>
        </w:rPr>
        <w:t>I</w:t>
      </w:r>
      <w:r w:rsidRPr="0045720B">
        <w:rPr>
          <w:i/>
          <w:iCs/>
          <w:lang w:val="en-CA"/>
        </w:rPr>
        <w:t>nc</w:t>
      </w:r>
      <w:r w:rsidR="009979E1" w:rsidRPr="0045720B">
        <w:rPr>
          <w:lang w:val="en-CA"/>
        </w:rPr>
        <w:t xml:space="preserve">., [1984] 2 </w:t>
      </w:r>
      <w:r w:rsidR="00A37078" w:rsidRPr="0045720B">
        <w:rPr>
          <w:lang w:val="en-CA"/>
        </w:rPr>
        <w:t>S</w:t>
      </w:r>
      <w:r w:rsidR="000C61BD" w:rsidRPr="0045720B">
        <w:rPr>
          <w:lang w:val="en-CA"/>
        </w:rPr>
        <w:t>.</w:t>
      </w:r>
      <w:r w:rsidR="00A37078" w:rsidRPr="0045720B">
        <w:rPr>
          <w:lang w:val="en-CA"/>
        </w:rPr>
        <w:t>C</w:t>
      </w:r>
      <w:r w:rsidR="000C61BD" w:rsidRPr="0045720B">
        <w:rPr>
          <w:lang w:val="en-CA"/>
        </w:rPr>
        <w:t>.</w:t>
      </w:r>
      <w:r w:rsidR="00A37078" w:rsidRPr="0045720B">
        <w:rPr>
          <w:lang w:val="en-CA"/>
        </w:rPr>
        <w:t>R</w:t>
      </w:r>
      <w:r w:rsidR="000C61BD" w:rsidRPr="0045720B">
        <w:rPr>
          <w:lang w:val="en-CA"/>
        </w:rPr>
        <w:t>.</w:t>
      </w:r>
      <w:r w:rsidR="009979E1" w:rsidRPr="0045720B">
        <w:rPr>
          <w:lang w:val="en-CA"/>
        </w:rPr>
        <w:t xml:space="preserve"> 145 </w:t>
      </w:r>
      <w:r w:rsidR="005D7E8F" w:rsidRPr="0045720B">
        <w:rPr>
          <w:rFonts w:cs="Arial"/>
          <w:lang w:val="en-CA"/>
        </w:rPr>
        <w:t>[</w:t>
      </w:r>
      <w:r w:rsidR="004253D8" w:rsidRPr="0045720B">
        <w:rPr>
          <w:i/>
          <w:iCs/>
          <w:lang w:val="en-CA"/>
        </w:rPr>
        <w:t>Hunter</w:t>
      </w:r>
      <w:r w:rsidR="005D7E8F" w:rsidRPr="0045720B">
        <w:rPr>
          <w:rFonts w:cs="Arial"/>
          <w:lang w:val="en-CA"/>
        </w:rPr>
        <w:t>]</w:t>
      </w:r>
      <w:bookmarkEnd w:id="54"/>
      <w:r w:rsidR="00706F32">
        <w:rPr>
          <w:lang w:val="en-CA"/>
        </w:rPr>
        <w:t>, p. 1</w:t>
      </w:r>
      <w:r w:rsidRPr="0045720B">
        <w:rPr>
          <w:lang w:val="en-CA"/>
        </w:rPr>
        <w:t>69.</w:t>
      </w:r>
    </w:p>
  </w:footnote>
  <w:footnote w:id="68">
    <w:p w14:paraId="5A450597" w14:textId="46307A67" w:rsidR="003241C9" w:rsidRPr="0045720B" w:rsidRDefault="003241C9" w:rsidP="003241C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Eldridge v. British Columbia (Attorney General)</w:t>
      </w:r>
      <w:r w:rsidRPr="0045720B">
        <w:rPr>
          <w:lang w:val="en-CA"/>
        </w:rPr>
        <w:t>, [1997] 3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624</w:t>
      </w:r>
      <w:r w:rsidR="005D436F">
        <w:rPr>
          <w:lang w:val="en-CA"/>
        </w:rPr>
        <w:t>, para.</w:t>
      </w:r>
      <w:r w:rsidRPr="0045720B">
        <w:rPr>
          <w:lang w:val="en-CA"/>
        </w:rPr>
        <w:t xml:space="preserve"> 30. See for example: </w:t>
      </w:r>
      <w:r w:rsidRPr="0045720B">
        <w:rPr>
          <w:i/>
          <w:iCs/>
          <w:lang w:val="en-CA"/>
        </w:rPr>
        <w:t>R. v. Morgentaler</w:t>
      </w:r>
      <w:r w:rsidRPr="0045720B">
        <w:rPr>
          <w:lang w:val="en-CA"/>
        </w:rPr>
        <w:t>, [1988]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30 </w:t>
      </w:r>
      <w:r w:rsidRPr="0045720B">
        <w:rPr>
          <w:rFonts w:cs="Arial"/>
          <w:lang w:val="en-CA"/>
        </w:rPr>
        <w:t>[</w:t>
      </w:r>
      <w:r w:rsidRPr="0045720B">
        <w:rPr>
          <w:i/>
          <w:iCs/>
          <w:lang w:val="en-CA"/>
        </w:rPr>
        <w:t>Morgentaler</w:t>
      </w:r>
      <w:r w:rsidRPr="0045720B">
        <w:rPr>
          <w:rFonts w:cs="Arial"/>
          <w:lang w:val="en-CA"/>
        </w:rPr>
        <w:t>]</w:t>
      </w:r>
      <w:r w:rsidR="00083108">
        <w:rPr>
          <w:lang w:val="en-CA"/>
        </w:rPr>
        <w:t>, pp. 6</w:t>
      </w:r>
      <w:r w:rsidRPr="0045720B">
        <w:rPr>
          <w:lang w:val="en-CA"/>
        </w:rPr>
        <w:t>0–62 and 64</w:t>
      </w:r>
      <w:r w:rsidR="00311332" w:rsidRPr="0045720B">
        <w:rPr>
          <w:lang w:val="en-CA"/>
        </w:rPr>
        <w:t>–</w:t>
      </w:r>
      <w:r w:rsidRPr="0045720B">
        <w:rPr>
          <w:lang w:val="en-CA"/>
        </w:rPr>
        <w:t>73 (reasons of Dickson, C.J.) and</w:t>
      </w:r>
      <w:r w:rsidR="00083108">
        <w:rPr>
          <w:lang w:val="en-CA"/>
        </w:rPr>
        <w:t xml:space="preserve"> pp. 9</w:t>
      </w:r>
      <w:r w:rsidRPr="0045720B">
        <w:rPr>
          <w:lang w:val="en-CA"/>
        </w:rPr>
        <w:t>2</w:t>
      </w:r>
      <w:r w:rsidR="00F77662">
        <w:rPr>
          <w:lang w:val="en-CA"/>
        </w:rPr>
        <w:t>0ff</w:t>
      </w:r>
      <w:r w:rsidRPr="0045720B">
        <w:rPr>
          <w:lang w:val="en-CA"/>
        </w:rPr>
        <w:t>. (reasons of Beetz</w:t>
      </w:r>
      <w:r w:rsidR="00BF57A0">
        <w:rPr>
          <w:lang w:val="en-CA"/>
        </w:rPr>
        <w:t>,</w:t>
      </w:r>
      <w:r w:rsidRPr="0045720B">
        <w:rPr>
          <w:lang w:val="en-CA"/>
        </w:rPr>
        <w:t xml:space="preserve"> J.). </w:t>
      </w:r>
    </w:p>
  </w:footnote>
  <w:footnote w:id="69">
    <w:p w14:paraId="16C63C38" w14:textId="548730E8" w:rsidR="003241C9" w:rsidRPr="0045720B" w:rsidRDefault="003241C9" w:rsidP="003241C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Eldridge v. British Columbia (Attorney General)</w:t>
      </w:r>
      <w:r w:rsidRPr="0045720B">
        <w:rPr>
          <w:lang w:val="en-CA"/>
        </w:rPr>
        <w:t>, [1997] 3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624</w:t>
      </w:r>
      <w:r w:rsidR="005D436F">
        <w:rPr>
          <w:lang w:val="en-CA"/>
        </w:rPr>
        <w:t>, para.</w:t>
      </w:r>
      <w:r w:rsidRPr="0045720B">
        <w:rPr>
          <w:lang w:val="en-CA"/>
        </w:rPr>
        <w:t xml:space="preserve"> 30.</w:t>
      </w:r>
    </w:p>
  </w:footnote>
  <w:footnote w:id="70">
    <w:p w14:paraId="21393CAB" w14:textId="4A1408D6" w:rsidR="003241C9" w:rsidRPr="0045720B" w:rsidRDefault="003241C9" w:rsidP="003241C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Smith</w:t>
      </w:r>
      <w:r w:rsidRPr="0045720B">
        <w:rPr>
          <w:lang w:val="en-CA"/>
        </w:rPr>
        <w:t>, [1987]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1045</w:t>
      </w:r>
      <w:r w:rsidR="00706F32">
        <w:rPr>
          <w:lang w:val="en-CA"/>
        </w:rPr>
        <w:t>, p. 1</w:t>
      </w:r>
      <w:r w:rsidRPr="0045720B">
        <w:rPr>
          <w:lang w:val="en-CA"/>
        </w:rPr>
        <w:t>078 (reasons of the majority by Lamer, J.</w:t>
      </w:r>
      <w:r w:rsidR="006E3A6B">
        <w:rPr>
          <w:lang w:val="en-CA"/>
        </w:rPr>
        <w:t>,</w:t>
      </w:r>
      <w:r w:rsidRPr="0045720B">
        <w:rPr>
          <w:lang w:val="en-CA"/>
        </w:rPr>
        <w:t xml:space="preserve"> as he then was).</w:t>
      </w:r>
    </w:p>
  </w:footnote>
  <w:footnote w:id="71">
    <w:p w14:paraId="509D3940" w14:textId="12C02C7F" w:rsidR="003241C9" w:rsidRPr="0045720B" w:rsidRDefault="003241C9" w:rsidP="003241C9">
      <w:pPr>
        <w:pStyle w:val="Notedebasdepage"/>
        <w:rPr>
          <w:lang w:val="en-CA"/>
        </w:rPr>
      </w:pPr>
      <w:r w:rsidRPr="0045720B">
        <w:rPr>
          <w:rStyle w:val="Appelnotedebasdep"/>
          <w:lang w:val="en-CA"/>
        </w:rPr>
        <w:footnoteRef/>
      </w:r>
      <w:r w:rsidRPr="00077E55">
        <w:t xml:space="preserve"> </w:t>
      </w:r>
      <w:r w:rsidRPr="00077E55">
        <w:tab/>
      </w:r>
      <w:r w:rsidRPr="00077E55">
        <w:rPr>
          <w:i/>
          <w:iCs/>
        </w:rPr>
        <w:t>R. v. Appulonappa</w:t>
      </w:r>
      <w:r w:rsidRPr="00077E55">
        <w:t>, 2015 SCC 59</w:t>
      </w:r>
      <w:r w:rsidR="005D436F" w:rsidRPr="00077E55">
        <w:t>, para.</w:t>
      </w:r>
      <w:r w:rsidRPr="00077E55">
        <w:t xml:space="preserve"> 74; </w:t>
      </w:r>
      <w:r w:rsidRPr="00077E55">
        <w:rPr>
          <w:i/>
          <w:iCs/>
        </w:rPr>
        <w:t>R. v. Nur</w:t>
      </w:r>
      <w:r w:rsidRPr="00077E55">
        <w:t xml:space="preserve">, 2015 SCC 15 </w:t>
      </w:r>
      <w:r w:rsidRPr="00077E55">
        <w:rPr>
          <w:rFonts w:cs="Arial"/>
        </w:rPr>
        <w:t>[</w:t>
      </w:r>
      <w:r w:rsidRPr="00077E55">
        <w:rPr>
          <w:i/>
          <w:iCs/>
        </w:rPr>
        <w:t>Nur</w:t>
      </w:r>
      <w:r w:rsidRPr="00077E55">
        <w:rPr>
          <w:rFonts w:cs="Arial"/>
        </w:rPr>
        <w:t>]</w:t>
      </w:r>
      <w:r w:rsidR="005D436F" w:rsidRPr="00077E55">
        <w:t>, para</w:t>
      </w:r>
      <w:r w:rsidR="006E3A6B" w:rsidRPr="00077E55">
        <w:t>s</w:t>
      </w:r>
      <w:r w:rsidR="005D436F" w:rsidRPr="00077E55">
        <w:t>.</w:t>
      </w:r>
      <w:r w:rsidRPr="00077E55">
        <w:t xml:space="preserve"> </w:t>
      </w:r>
      <w:r w:rsidRPr="0045720B">
        <w:rPr>
          <w:lang w:val="en-CA"/>
        </w:rPr>
        <w:t>87</w:t>
      </w:r>
      <w:r w:rsidR="00F77662">
        <w:rPr>
          <w:lang w:val="en-CA"/>
        </w:rPr>
        <w:t>ff</w:t>
      </w:r>
      <w:r w:rsidRPr="0045720B">
        <w:rPr>
          <w:lang w:val="en-CA"/>
        </w:rPr>
        <w:t xml:space="preserve">.; </w:t>
      </w:r>
      <w:r w:rsidRPr="0045720B">
        <w:rPr>
          <w:i/>
          <w:iCs/>
          <w:lang w:val="en-CA"/>
        </w:rPr>
        <w:t>R. v. Anderson</w:t>
      </w:r>
      <w:r w:rsidRPr="0045720B">
        <w:rPr>
          <w:lang w:val="en-CA"/>
        </w:rPr>
        <w:t>, 2014 SCC 41</w:t>
      </w:r>
      <w:r w:rsidR="005D436F">
        <w:rPr>
          <w:lang w:val="en-CA"/>
        </w:rPr>
        <w:t>, para.</w:t>
      </w:r>
      <w:r w:rsidRPr="0045720B">
        <w:rPr>
          <w:lang w:val="en-CA"/>
        </w:rPr>
        <w:t xml:space="preserve"> 17; </w:t>
      </w:r>
      <w:r w:rsidRPr="0045720B">
        <w:rPr>
          <w:i/>
          <w:iCs/>
          <w:lang w:val="en-CA"/>
        </w:rPr>
        <w:t>R. v. Bain</w:t>
      </w:r>
      <w:r w:rsidRPr="0045720B">
        <w:rPr>
          <w:lang w:val="en-CA"/>
        </w:rPr>
        <w:t>, [1992] 1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91 </w:t>
      </w:r>
      <w:r w:rsidRPr="0045720B">
        <w:rPr>
          <w:rFonts w:cs="Arial"/>
          <w:lang w:val="en-CA"/>
        </w:rPr>
        <w:t>[</w:t>
      </w:r>
      <w:r w:rsidRPr="0045720B">
        <w:rPr>
          <w:i/>
          <w:iCs/>
          <w:lang w:val="en-CA"/>
        </w:rPr>
        <w:t>Bain</w:t>
      </w:r>
      <w:r w:rsidRPr="0045720B">
        <w:rPr>
          <w:rFonts w:cs="Arial"/>
          <w:lang w:val="en-CA"/>
        </w:rPr>
        <w:t>]</w:t>
      </w:r>
      <w:r w:rsidR="00083108">
        <w:rPr>
          <w:lang w:val="en-CA"/>
        </w:rPr>
        <w:t>, pp. 1</w:t>
      </w:r>
      <w:r w:rsidRPr="0045720B">
        <w:rPr>
          <w:lang w:val="en-CA"/>
        </w:rPr>
        <w:t>03–104.</w:t>
      </w:r>
    </w:p>
  </w:footnote>
  <w:footnote w:id="72">
    <w:p w14:paraId="57C29328" w14:textId="3FA998C4" w:rsidR="00511D5A" w:rsidRPr="00C74C07" w:rsidRDefault="00511D5A" w:rsidP="00511D5A">
      <w:pPr>
        <w:pStyle w:val="Notedebasdepage"/>
        <w:rPr>
          <w:lang w:val="en-CA"/>
        </w:rPr>
      </w:pPr>
      <w:r w:rsidRPr="0045720B">
        <w:rPr>
          <w:rStyle w:val="Appelnotedebasdep"/>
          <w:lang w:val="en-CA"/>
        </w:rPr>
        <w:footnoteRef/>
      </w:r>
      <w:r w:rsidRPr="00C74C07">
        <w:rPr>
          <w:lang w:val="en-CA"/>
        </w:rPr>
        <w:t xml:space="preserve"> </w:t>
      </w:r>
      <w:r w:rsidRPr="00C74C07">
        <w:rPr>
          <w:lang w:val="en-CA"/>
        </w:rPr>
        <w:tab/>
      </w:r>
      <w:r w:rsidRPr="00C74C07">
        <w:rPr>
          <w:i/>
          <w:iCs/>
          <w:lang w:val="en-CA"/>
        </w:rPr>
        <w:t>R. v. Morgentaler</w:t>
      </w:r>
      <w:r w:rsidRPr="00C74C07">
        <w:rPr>
          <w:lang w:val="en-CA"/>
        </w:rPr>
        <w:t>, [1988] 1 S</w:t>
      </w:r>
      <w:r w:rsidR="000C61BD" w:rsidRPr="00C74C07">
        <w:rPr>
          <w:lang w:val="en-CA"/>
        </w:rPr>
        <w:t>.</w:t>
      </w:r>
      <w:r w:rsidRPr="00C74C07">
        <w:rPr>
          <w:lang w:val="en-CA"/>
        </w:rPr>
        <w:t>C</w:t>
      </w:r>
      <w:r w:rsidR="000C61BD" w:rsidRPr="00C74C07">
        <w:rPr>
          <w:lang w:val="en-CA"/>
        </w:rPr>
        <w:t>.</w:t>
      </w:r>
      <w:r w:rsidRPr="00C74C07">
        <w:rPr>
          <w:lang w:val="en-CA"/>
        </w:rPr>
        <w:t>R</w:t>
      </w:r>
      <w:r w:rsidR="000C61BD" w:rsidRPr="00C74C07">
        <w:rPr>
          <w:lang w:val="en-CA"/>
        </w:rPr>
        <w:t>.</w:t>
      </w:r>
      <w:r w:rsidRPr="00C74C07">
        <w:rPr>
          <w:lang w:val="en-CA"/>
        </w:rPr>
        <w:t xml:space="preserve"> 30.</w:t>
      </w:r>
    </w:p>
  </w:footnote>
  <w:footnote w:id="73">
    <w:p w14:paraId="34169D20" w14:textId="77777777" w:rsidR="00511D5A" w:rsidRPr="00C74C07" w:rsidRDefault="00511D5A" w:rsidP="00511D5A">
      <w:pPr>
        <w:pStyle w:val="Notedebasdepage"/>
        <w:rPr>
          <w:lang w:val="en-CA"/>
        </w:rPr>
      </w:pPr>
      <w:r w:rsidRPr="0045720B">
        <w:rPr>
          <w:rStyle w:val="Appelnotedebasdep"/>
          <w:lang w:val="en-CA"/>
        </w:rPr>
        <w:footnoteRef/>
      </w:r>
      <w:r w:rsidRPr="00C74C07">
        <w:rPr>
          <w:lang w:val="en-CA"/>
        </w:rPr>
        <w:t xml:space="preserve"> </w:t>
      </w:r>
      <w:r w:rsidRPr="00C74C07">
        <w:rPr>
          <w:lang w:val="en-CA"/>
        </w:rPr>
        <w:tab/>
      </w:r>
      <w:r w:rsidRPr="00C74C07">
        <w:rPr>
          <w:i/>
          <w:iCs/>
          <w:lang w:val="en-CA"/>
        </w:rPr>
        <w:t>R. v. Nur</w:t>
      </w:r>
      <w:r w:rsidRPr="00C74C07">
        <w:rPr>
          <w:lang w:val="en-CA"/>
        </w:rPr>
        <w:t>, 2015 SCC 15.</w:t>
      </w:r>
    </w:p>
  </w:footnote>
  <w:footnote w:id="74">
    <w:p w14:paraId="4EE83E1C" w14:textId="75183D58" w:rsidR="006D446B" w:rsidRPr="00C74C07" w:rsidRDefault="006D446B" w:rsidP="006D446B">
      <w:pPr>
        <w:pStyle w:val="Notedebasdepage"/>
        <w:rPr>
          <w:lang w:val="en-CA"/>
        </w:rPr>
      </w:pPr>
      <w:r w:rsidRPr="0045720B">
        <w:rPr>
          <w:rStyle w:val="Appelnotedebasdep"/>
          <w:lang w:val="en-CA"/>
        </w:rPr>
        <w:footnoteRef/>
      </w:r>
      <w:r w:rsidRPr="00C74C07">
        <w:rPr>
          <w:lang w:val="en-CA"/>
        </w:rPr>
        <w:t xml:space="preserve"> </w:t>
      </w:r>
      <w:r w:rsidRPr="00C74C07">
        <w:rPr>
          <w:lang w:val="en-CA"/>
        </w:rPr>
        <w:tab/>
      </w:r>
      <w:r w:rsidRPr="00C74C07">
        <w:rPr>
          <w:i/>
          <w:iCs/>
          <w:lang w:val="en-CA"/>
        </w:rPr>
        <w:t>R. v. Morgentaler</w:t>
      </w:r>
      <w:r w:rsidRPr="00C74C07">
        <w:rPr>
          <w:lang w:val="en-CA"/>
        </w:rPr>
        <w:t>, [1988] 1 S</w:t>
      </w:r>
      <w:r w:rsidR="000C61BD" w:rsidRPr="00C74C07">
        <w:rPr>
          <w:lang w:val="en-CA"/>
        </w:rPr>
        <w:t>.</w:t>
      </w:r>
      <w:r w:rsidRPr="00C74C07">
        <w:rPr>
          <w:lang w:val="en-CA"/>
        </w:rPr>
        <w:t>C</w:t>
      </w:r>
      <w:r w:rsidR="000C61BD" w:rsidRPr="00C74C07">
        <w:rPr>
          <w:lang w:val="en-CA"/>
        </w:rPr>
        <w:t>.</w:t>
      </w:r>
      <w:r w:rsidRPr="00C74C07">
        <w:rPr>
          <w:lang w:val="en-CA"/>
        </w:rPr>
        <w:t>R</w:t>
      </w:r>
      <w:r w:rsidR="000C61BD" w:rsidRPr="00C74C07">
        <w:rPr>
          <w:lang w:val="en-CA"/>
        </w:rPr>
        <w:t>.</w:t>
      </w:r>
      <w:r w:rsidRPr="00C74C07">
        <w:rPr>
          <w:lang w:val="en-CA"/>
        </w:rPr>
        <w:t xml:space="preserve"> 30</w:t>
      </w:r>
      <w:r w:rsidR="00083108">
        <w:rPr>
          <w:lang w:val="en-CA"/>
        </w:rPr>
        <w:t>, p. 6</w:t>
      </w:r>
      <w:r w:rsidRPr="00C74C07">
        <w:rPr>
          <w:lang w:val="en-CA"/>
        </w:rPr>
        <w:t>5.</w:t>
      </w:r>
    </w:p>
  </w:footnote>
  <w:footnote w:id="75">
    <w:p w14:paraId="340E0617" w14:textId="77777777" w:rsidR="006D446B" w:rsidRPr="0045720B" w:rsidRDefault="006D446B" w:rsidP="006D446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r w:rsidRPr="0045720B">
        <w:rPr>
          <w:lang w:val="en-CA"/>
        </w:rPr>
        <w:t xml:space="preserve"> </w:t>
      </w:r>
    </w:p>
  </w:footnote>
  <w:footnote w:id="76">
    <w:p w14:paraId="240DDC6D" w14:textId="318672FA" w:rsidR="005A1C52" w:rsidRPr="0045720B" w:rsidRDefault="0043013D" w:rsidP="005A1C52">
      <w:pPr>
        <w:pStyle w:val="Notedebasdepage"/>
        <w:rPr>
          <w:lang w:val="en-CA"/>
        </w:rPr>
      </w:pPr>
      <w:r w:rsidRPr="0045720B">
        <w:rPr>
          <w:rStyle w:val="Appelnotedebasdep"/>
          <w:lang w:val="en-CA"/>
        </w:rPr>
        <w:footnoteRef/>
      </w:r>
      <w:r w:rsidR="00A5477B" w:rsidRPr="0045720B">
        <w:rPr>
          <w:i/>
          <w:iCs/>
          <w:lang w:val="en-CA"/>
        </w:rPr>
        <w:t xml:space="preserve"> </w:t>
      </w:r>
      <w:r w:rsidR="00A5477B" w:rsidRPr="0045720B">
        <w:rPr>
          <w:i/>
          <w:iCs/>
          <w:lang w:val="en-CA"/>
        </w:rPr>
        <w:tab/>
      </w:r>
      <w:r w:rsidR="00293A4C" w:rsidRPr="0045720B">
        <w:rPr>
          <w:i/>
          <w:iCs/>
          <w:lang w:val="en-CA"/>
        </w:rPr>
        <w:t>Id.</w:t>
      </w:r>
      <w:r w:rsidR="00083108">
        <w:rPr>
          <w:lang w:val="en-CA"/>
        </w:rPr>
        <w:t>, p. 6</w:t>
      </w:r>
      <w:r w:rsidRPr="0045720B">
        <w:rPr>
          <w:lang w:val="en-CA"/>
        </w:rPr>
        <w:t>6.</w:t>
      </w:r>
    </w:p>
  </w:footnote>
  <w:footnote w:id="77">
    <w:p w14:paraId="5ACF366E" w14:textId="0DF5BF02" w:rsidR="006D446B" w:rsidRPr="0045720B" w:rsidRDefault="006D446B" w:rsidP="006D446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pp. 6</w:t>
      </w:r>
      <w:r w:rsidRPr="0045720B">
        <w:rPr>
          <w:lang w:val="en-CA"/>
        </w:rPr>
        <w:t>8–69.</w:t>
      </w:r>
    </w:p>
  </w:footnote>
  <w:footnote w:id="78">
    <w:p w14:paraId="0AF8453E" w14:textId="1C28253E" w:rsidR="006D446B" w:rsidRPr="0045720B" w:rsidRDefault="006D446B" w:rsidP="006D446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pp. 6</w:t>
      </w:r>
      <w:r w:rsidRPr="0045720B">
        <w:rPr>
          <w:lang w:val="en-CA"/>
        </w:rPr>
        <w:t>9–70.</w:t>
      </w:r>
    </w:p>
  </w:footnote>
  <w:footnote w:id="79">
    <w:p w14:paraId="5D1A4F0C" w14:textId="698ECBC8" w:rsidR="006D446B" w:rsidRPr="0045720B" w:rsidRDefault="006D446B" w:rsidP="006D446B">
      <w:pPr>
        <w:pStyle w:val="Notedebasdepage"/>
        <w:rPr>
          <w:lang w:val="en-CA"/>
        </w:rPr>
      </w:pPr>
      <w:r w:rsidRPr="0045720B">
        <w:rPr>
          <w:rStyle w:val="Appelnotedebasdep"/>
          <w:lang w:val="en-CA"/>
        </w:rPr>
        <w:footnoteRef/>
      </w:r>
      <w:r w:rsidRPr="0045720B">
        <w:rPr>
          <w:lang w:val="en-CA"/>
        </w:rPr>
        <w:t xml:space="preserve"> </w:t>
      </w:r>
      <w:r w:rsidRPr="0045720B">
        <w:rPr>
          <w:lang w:val="en-CA"/>
        </w:rPr>
        <w:tab/>
        <w:t>R</w:t>
      </w:r>
      <w:r w:rsidR="00BF57A0">
        <w:rPr>
          <w:lang w:val="en-CA"/>
        </w:rPr>
        <w:t>.</w:t>
      </w:r>
      <w:r w:rsidRPr="0045720B">
        <w:rPr>
          <w:lang w:val="en-CA"/>
        </w:rPr>
        <w:t>S</w:t>
      </w:r>
      <w:r w:rsidR="00BF57A0">
        <w:rPr>
          <w:lang w:val="en-CA"/>
        </w:rPr>
        <w:t>.</w:t>
      </w:r>
      <w:r w:rsidRPr="0045720B">
        <w:rPr>
          <w:lang w:val="en-CA"/>
        </w:rPr>
        <w:t>C</w:t>
      </w:r>
      <w:r w:rsidR="00BF57A0">
        <w:rPr>
          <w:lang w:val="en-CA"/>
        </w:rPr>
        <w:t>.</w:t>
      </w:r>
      <w:r w:rsidRPr="0045720B">
        <w:rPr>
          <w:lang w:val="en-CA"/>
        </w:rPr>
        <w:t xml:space="preserve"> 1970, c. C</w:t>
      </w:r>
      <w:r w:rsidRPr="0045720B">
        <w:rPr>
          <w:lang w:val="en-CA"/>
        </w:rPr>
        <w:noBreakHyphen/>
        <w:t>23.</w:t>
      </w:r>
    </w:p>
  </w:footnote>
  <w:footnote w:id="80">
    <w:p w14:paraId="7EED7C45" w14:textId="2CC684CC" w:rsidR="006D446B" w:rsidRPr="0045720B" w:rsidRDefault="006D446B" w:rsidP="006D446B">
      <w:pPr>
        <w:pStyle w:val="Notedebasdepage"/>
        <w:rPr>
          <w:lang w:val="en-CA"/>
        </w:rPr>
      </w:pPr>
      <w:r w:rsidRPr="0045720B">
        <w:rPr>
          <w:rStyle w:val="Appelnotedebasdep"/>
          <w:lang w:val="en-CA"/>
        </w:rPr>
        <w:footnoteRef/>
      </w:r>
      <w:r w:rsidRPr="0045720B">
        <w:rPr>
          <w:i/>
          <w:iCs/>
          <w:lang w:val="en-CA"/>
        </w:rPr>
        <w:t xml:space="preserve"> </w:t>
      </w:r>
      <w:r w:rsidRPr="0045720B">
        <w:rPr>
          <w:i/>
          <w:iCs/>
          <w:lang w:val="en-CA"/>
        </w:rPr>
        <w:tab/>
        <w:t>Hunter v. Southam Inc</w:t>
      </w:r>
      <w:r w:rsidRPr="0045720B">
        <w:rPr>
          <w:lang w:val="en-CA"/>
        </w:rPr>
        <w:t>., [1984] 2 S</w:t>
      </w:r>
      <w:r w:rsidR="000C61BD" w:rsidRPr="0045720B">
        <w:rPr>
          <w:lang w:val="en-CA"/>
        </w:rPr>
        <w:t>.</w:t>
      </w:r>
      <w:r w:rsidRPr="0045720B">
        <w:rPr>
          <w:lang w:val="en-CA"/>
        </w:rPr>
        <w:t>C</w:t>
      </w:r>
      <w:r w:rsidR="000C61BD" w:rsidRPr="0045720B">
        <w:rPr>
          <w:lang w:val="en-CA"/>
        </w:rPr>
        <w:t>.</w:t>
      </w:r>
      <w:r w:rsidRPr="0045720B">
        <w:rPr>
          <w:lang w:val="en-CA"/>
        </w:rPr>
        <w:t>R</w:t>
      </w:r>
      <w:r w:rsidR="000C61BD" w:rsidRPr="0045720B">
        <w:rPr>
          <w:lang w:val="en-CA"/>
        </w:rPr>
        <w:t>.</w:t>
      </w:r>
      <w:r w:rsidRPr="0045720B">
        <w:rPr>
          <w:lang w:val="en-CA"/>
        </w:rPr>
        <w:t xml:space="preserve"> 145</w:t>
      </w:r>
      <w:r w:rsidR="00083108">
        <w:rPr>
          <w:lang w:val="en-CA"/>
        </w:rPr>
        <w:t>, pp. 1</w:t>
      </w:r>
      <w:r w:rsidRPr="0045720B">
        <w:rPr>
          <w:lang w:val="en-CA"/>
        </w:rPr>
        <w:t>65–168.</w:t>
      </w:r>
    </w:p>
  </w:footnote>
  <w:footnote w:id="81">
    <w:p w14:paraId="62682F6E" w14:textId="18C021B1" w:rsidR="00385EF3" w:rsidRPr="0045720B" w:rsidRDefault="00385EF3" w:rsidP="00385EF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706F32">
        <w:rPr>
          <w:lang w:val="en-CA"/>
        </w:rPr>
        <w:t>, p. 1</w:t>
      </w:r>
      <w:r w:rsidRPr="0045720B">
        <w:rPr>
          <w:lang w:val="en-CA"/>
        </w:rPr>
        <w:t xml:space="preserve">69. See also: </w:t>
      </w:r>
      <w:r w:rsidRPr="0045720B">
        <w:rPr>
          <w:i/>
          <w:iCs/>
          <w:lang w:val="en-CA"/>
        </w:rPr>
        <w:t>R. v. Canfield,</w:t>
      </w:r>
      <w:r w:rsidRPr="0045720B">
        <w:rPr>
          <w:lang w:val="en-CA"/>
        </w:rPr>
        <w:t xml:space="preserve"> 2020 ABCA 383, leave to appeal to SCC re</w:t>
      </w:r>
      <w:r w:rsidR="00785961" w:rsidRPr="0045720B">
        <w:rPr>
          <w:lang w:val="en-CA"/>
        </w:rPr>
        <w:t>fus</w:t>
      </w:r>
      <w:r w:rsidRPr="0045720B">
        <w:rPr>
          <w:lang w:val="en-CA"/>
        </w:rPr>
        <w:t>ed, March </w:t>
      </w:r>
      <w:r w:rsidR="00BF32F6">
        <w:rPr>
          <w:lang w:val="en-CA"/>
        </w:rPr>
        <w:t xml:space="preserve">11, </w:t>
      </w:r>
      <w:r w:rsidRPr="0045720B">
        <w:rPr>
          <w:lang w:val="en-CA"/>
        </w:rPr>
        <w:t>2021</w:t>
      </w:r>
      <w:r w:rsidR="00975814">
        <w:rPr>
          <w:lang w:val="en-CA"/>
        </w:rPr>
        <w:t xml:space="preserve">, </w:t>
      </w:r>
      <w:r w:rsidR="00975814" w:rsidRPr="00975814">
        <w:rPr>
          <w:lang w:val="en-CA"/>
        </w:rPr>
        <w:t>No. 39376</w:t>
      </w:r>
      <w:r w:rsidRPr="0045720B">
        <w:rPr>
          <w:lang w:val="en-CA"/>
        </w:rPr>
        <w:t>.</w:t>
      </w:r>
    </w:p>
  </w:footnote>
  <w:footnote w:id="82">
    <w:p w14:paraId="0DAE9B97" w14:textId="672D02B3" w:rsidR="005A1C52" w:rsidRPr="0045720B" w:rsidRDefault="0043013D" w:rsidP="005A1C5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E0005" w:rsidRPr="0045720B">
        <w:rPr>
          <w:i/>
          <w:iCs/>
          <w:lang w:val="en-CA"/>
        </w:rPr>
        <w:t xml:space="preserve">R. </w:t>
      </w:r>
      <w:r w:rsidR="00E64FC5" w:rsidRPr="0045720B">
        <w:rPr>
          <w:i/>
          <w:iCs/>
          <w:lang w:val="en-CA"/>
        </w:rPr>
        <w:t>v</w:t>
      </w:r>
      <w:r w:rsidR="00AE0005" w:rsidRPr="0045720B">
        <w:rPr>
          <w:i/>
          <w:iCs/>
          <w:lang w:val="en-CA"/>
        </w:rPr>
        <w:t>. Bain</w:t>
      </w:r>
      <w:r w:rsidR="00AE0005" w:rsidRPr="0045720B">
        <w:rPr>
          <w:lang w:val="en-CA"/>
        </w:rPr>
        <w:t>, [1992] 1 </w:t>
      </w:r>
      <w:r w:rsidR="00A37078" w:rsidRPr="0045720B">
        <w:rPr>
          <w:lang w:val="en-CA"/>
        </w:rPr>
        <w:t>S</w:t>
      </w:r>
      <w:r w:rsidR="000C61BD" w:rsidRPr="0045720B">
        <w:rPr>
          <w:lang w:val="en-CA"/>
        </w:rPr>
        <w:t>.</w:t>
      </w:r>
      <w:r w:rsidR="00A37078" w:rsidRPr="0045720B">
        <w:rPr>
          <w:lang w:val="en-CA"/>
        </w:rPr>
        <w:t>C</w:t>
      </w:r>
      <w:r w:rsidR="000C61BD" w:rsidRPr="0045720B">
        <w:rPr>
          <w:lang w:val="en-CA"/>
        </w:rPr>
        <w:t>.</w:t>
      </w:r>
      <w:r w:rsidR="00A37078" w:rsidRPr="0045720B">
        <w:rPr>
          <w:lang w:val="en-CA"/>
        </w:rPr>
        <w:t>R</w:t>
      </w:r>
      <w:r w:rsidR="000C61BD" w:rsidRPr="0045720B">
        <w:rPr>
          <w:lang w:val="en-CA"/>
        </w:rPr>
        <w:t>.</w:t>
      </w:r>
      <w:r w:rsidR="00AE0005" w:rsidRPr="0045720B">
        <w:rPr>
          <w:lang w:val="en-CA"/>
        </w:rPr>
        <w:t xml:space="preserve"> 91 </w:t>
      </w:r>
      <w:r w:rsidR="00E64FC5" w:rsidRPr="0045720B">
        <w:rPr>
          <w:rFonts w:cs="Arial"/>
          <w:lang w:val="en-CA"/>
        </w:rPr>
        <w:t>[</w:t>
      </w:r>
      <w:r w:rsidR="00AE0005" w:rsidRPr="0045720B">
        <w:rPr>
          <w:i/>
          <w:iCs/>
          <w:lang w:val="en-CA"/>
        </w:rPr>
        <w:t>Bain</w:t>
      </w:r>
      <w:r w:rsidR="00E64FC5" w:rsidRPr="0045720B">
        <w:rPr>
          <w:rFonts w:cs="Arial"/>
          <w:lang w:val="en-CA"/>
        </w:rPr>
        <w:t>]</w:t>
      </w:r>
      <w:r w:rsidR="00083108">
        <w:rPr>
          <w:lang w:val="en-CA"/>
        </w:rPr>
        <w:t>, pp. 1</w:t>
      </w:r>
      <w:r w:rsidRPr="0045720B">
        <w:rPr>
          <w:lang w:val="en-CA"/>
        </w:rPr>
        <w:t>03.</w:t>
      </w:r>
    </w:p>
  </w:footnote>
  <w:footnote w:id="83">
    <w:p w14:paraId="4F33F352" w14:textId="645D19AA" w:rsidR="009F0668" w:rsidRPr="0045720B" w:rsidRDefault="009F0668" w:rsidP="009F066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706F32">
        <w:rPr>
          <w:lang w:val="en-CA"/>
        </w:rPr>
        <w:t>, p. 1</w:t>
      </w:r>
      <w:r w:rsidRPr="0045720B">
        <w:rPr>
          <w:lang w:val="en-CA"/>
        </w:rPr>
        <w:t xml:space="preserve">04 (reasons of Cory, J.); </w:t>
      </w:r>
      <w:r w:rsidR="00F94EF9">
        <w:rPr>
          <w:lang w:val="en-CA"/>
        </w:rPr>
        <w:t>s</w:t>
      </w:r>
      <w:r w:rsidRPr="0045720B">
        <w:rPr>
          <w:lang w:val="en-CA"/>
        </w:rPr>
        <w:t xml:space="preserve">ee </w:t>
      </w:r>
      <w:r w:rsidR="00187257" w:rsidRPr="0045720B">
        <w:rPr>
          <w:lang w:val="en-CA"/>
        </w:rPr>
        <w:t>also:</w:t>
      </w:r>
      <w:r w:rsidR="00706F32">
        <w:rPr>
          <w:lang w:val="en-CA"/>
        </w:rPr>
        <w:t xml:space="preserve"> p. 1</w:t>
      </w:r>
      <w:r w:rsidRPr="0045720B">
        <w:rPr>
          <w:lang w:val="en-CA"/>
        </w:rPr>
        <w:t>56 (reasons of Stevenson, J.).</w:t>
      </w:r>
    </w:p>
  </w:footnote>
  <w:footnote w:id="84">
    <w:p w14:paraId="349AFBDD" w14:textId="0EFEDDDE" w:rsidR="009F0668" w:rsidRPr="00077E55" w:rsidRDefault="009F0668" w:rsidP="009F0668">
      <w:pPr>
        <w:pStyle w:val="Notedebasdepage"/>
      </w:pPr>
      <w:r w:rsidRPr="0045720B">
        <w:rPr>
          <w:rStyle w:val="Appelnotedebasdep"/>
          <w:lang w:val="en-CA"/>
        </w:rPr>
        <w:footnoteRef/>
      </w:r>
      <w:r w:rsidRPr="00077E55">
        <w:t xml:space="preserve"> </w:t>
      </w:r>
      <w:r w:rsidRPr="00077E55">
        <w:tab/>
      </w:r>
      <w:r w:rsidRPr="00077E55">
        <w:rPr>
          <w:i/>
          <w:iCs/>
        </w:rPr>
        <w:t>R. v. Nur</w:t>
      </w:r>
      <w:r w:rsidRPr="00077E55">
        <w:t>, 2015 SCC 15</w:t>
      </w:r>
      <w:r w:rsidR="005D436F" w:rsidRPr="00077E55">
        <w:t>, para.</w:t>
      </w:r>
      <w:r w:rsidRPr="00077E55">
        <w:t xml:space="preserve"> 91.</w:t>
      </w:r>
    </w:p>
  </w:footnote>
  <w:footnote w:id="85">
    <w:p w14:paraId="27D3591D" w14:textId="7617A8A5" w:rsidR="009F0668" w:rsidRPr="00077E55" w:rsidRDefault="009F0668" w:rsidP="009F0668">
      <w:pPr>
        <w:pStyle w:val="Notedebasdepage"/>
      </w:pPr>
      <w:r w:rsidRPr="0045720B">
        <w:rPr>
          <w:rStyle w:val="Appelnotedebasdep"/>
          <w:lang w:val="en-CA"/>
        </w:rPr>
        <w:footnoteRef/>
      </w:r>
      <w:r w:rsidRPr="00077E55">
        <w:t xml:space="preserve"> </w:t>
      </w:r>
      <w:r w:rsidRPr="00077E55">
        <w:tab/>
      </w:r>
      <w:r w:rsidRPr="00077E55">
        <w:rPr>
          <w:i/>
          <w:iCs/>
        </w:rPr>
        <w:t>R. v. Ladouceur</w:t>
      </w:r>
      <w:r w:rsidRPr="00077E55">
        <w:t>, [1990] 1 S</w:t>
      </w:r>
      <w:r w:rsidR="000C61BD" w:rsidRPr="00077E55">
        <w:t>.</w:t>
      </w:r>
      <w:r w:rsidRPr="00077E55">
        <w:t>C</w:t>
      </w:r>
      <w:r w:rsidR="000C61BD" w:rsidRPr="00077E55">
        <w:t>.</w:t>
      </w:r>
      <w:r w:rsidRPr="00077E55">
        <w:t>R</w:t>
      </w:r>
      <w:r w:rsidR="000C61BD" w:rsidRPr="00077E55">
        <w:t>.</w:t>
      </w:r>
      <w:r w:rsidRPr="00077E55">
        <w:t xml:space="preserve"> 1257</w:t>
      </w:r>
      <w:r w:rsidR="00083108" w:rsidRPr="00077E55">
        <w:t>, pp. 1</w:t>
      </w:r>
      <w:r w:rsidRPr="00077E55">
        <w:t>276.</w:t>
      </w:r>
    </w:p>
  </w:footnote>
  <w:footnote w:id="86">
    <w:p w14:paraId="4A3B5D88" w14:textId="43FF5766" w:rsidR="009F0668" w:rsidRPr="00077E55" w:rsidRDefault="009F0668" w:rsidP="009F0668">
      <w:pPr>
        <w:pStyle w:val="Notedebasdepage"/>
      </w:pPr>
      <w:r w:rsidRPr="0045720B">
        <w:rPr>
          <w:rStyle w:val="Appelnotedebasdep"/>
          <w:lang w:val="en-CA"/>
        </w:rPr>
        <w:footnoteRef/>
      </w:r>
      <w:r w:rsidRPr="00077E55">
        <w:t xml:space="preserve"> </w:t>
      </w:r>
      <w:r w:rsidRPr="00077E55">
        <w:tab/>
      </w:r>
      <w:r w:rsidRPr="00077E55">
        <w:rPr>
          <w:i/>
          <w:iCs/>
        </w:rPr>
        <w:t>R. c. Soucisse</w:t>
      </w:r>
      <w:r w:rsidRPr="00077E55">
        <w:t>, [1994] R</w:t>
      </w:r>
      <w:r w:rsidR="000C61BD" w:rsidRPr="00077E55">
        <w:t>.</w:t>
      </w:r>
      <w:r w:rsidRPr="00077E55">
        <w:t>J</w:t>
      </w:r>
      <w:r w:rsidR="000C61BD" w:rsidRPr="00077E55">
        <w:t>.</w:t>
      </w:r>
      <w:r w:rsidRPr="00077E55">
        <w:t>Q</w:t>
      </w:r>
      <w:r w:rsidR="000C61BD" w:rsidRPr="00077E55">
        <w:t>.</w:t>
      </w:r>
      <w:r w:rsidRPr="00077E55">
        <w:t xml:space="preserve"> 1546 (C</w:t>
      </w:r>
      <w:r w:rsidR="000C61BD" w:rsidRPr="00077E55">
        <w:t>.</w:t>
      </w:r>
      <w:r w:rsidRPr="00077E55">
        <w:t>A</w:t>
      </w:r>
      <w:r w:rsidR="000C61BD" w:rsidRPr="00077E55">
        <w:t>.</w:t>
      </w:r>
      <w:r w:rsidRPr="00077E55">
        <w:t>)</w:t>
      </w:r>
      <w:r w:rsidR="00083108" w:rsidRPr="00077E55">
        <w:t>, pp. 1</w:t>
      </w:r>
      <w:r w:rsidRPr="00077E55">
        <w:t xml:space="preserve">550–1551. </w:t>
      </w:r>
    </w:p>
  </w:footnote>
  <w:footnote w:id="87">
    <w:p w14:paraId="580AC77F" w14:textId="45DDFA10" w:rsidR="009F0668" w:rsidRPr="00077E55" w:rsidRDefault="009F0668" w:rsidP="009F0668">
      <w:pPr>
        <w:pStyle w:val="Notedebasdepage"/>
      </w:pPr>
      <w:r w:rsidRPr="0045720B">
        <w:rPr>
          <w:rStyle w:val="Appelnotedebasdep"/>
          <w:lang w:val="en-CA"/>
        </w:rPr>
        <w:footnoteRef/>
      </w:r>
      <w:r w:rsidRPr="0045720B">
        <w:rPr>
          <w:lang w:val="en-CA"/>
        </w:rPr>
        <w:t xml:space="preserve"> </w:t>
      </w:r>
      <w:r w:rsidRPr="0045720B">
        <w:rPr>
          <w:lang w:val="en-CA"/>
        </w:rPr>
        <w:tab/>
        <w:t xml:space="preserve">See in particular: </w:t>
      </w:r>
      <w:r w:rsidRPr="0045720B">
        <w:rPr>
          <w:i/>
          <w:iCs/>
          <w:lang w:val="en-CA"/>
        </w:rPr>
        <w:t>R. v. McColman</w:t>
      </w:r>
      <w:r w:rsidRPr="0045720B">
        <w:rPr>
          <w:lang w:val="en-CA"/>
        </w:rPr>
        <w:t>, 2023 SCC 8</w:t>
      </w:r>
      <w:r w:rsidR="005D436F">
        <w:rPr>
          <w:lang w:val="en-CA"/>
        </w:rPr>
        <w:t>, para.</w:t>
      </w:r>
      <w:r w:rsidRPr="0045720B">
        <w:rPr>
          <w:lang w:val="en-CA"/>
        </w:rPr>
        <w:t xml:space="preserve"> </w:t>
      </w:r>
      <w:r w:rsidRPr="00077E55">
        <w:t xml:space="preserve">30; </w:t>
      </w:r>
      <w:r w:rsidRPr="00077E55">
        <w:rPr>
          <w:i/>
          <w:iCs/>
        </w:rPr>
        <w:t>R. v. Nolet</w:t>
      </w:r>
      <w:r w:rsidRPr="00077E55">
        <w:t>, 2010 SCC 24</w:t>
      </w:r>
      <w:r w:rsidR="005D436F" w:rsidRPr="00077E55">
        <w:t>, para.</w:t>
      </w:r>
      <w:r w:rsidRPr="00077E55">
        <w:t xml:space="preserve"> 22; </w:t>
      </w:r>
      <w:r w:rsidRPr="00077E55">
        <w:rPr>
          <w:i/>
          <w:iCs/>
        </w:rPr>
        <w:t>R. v. Orbanski; R. v. Elias</w:t>
      </w:r>
      <w:r w:rsidRPr="00077E55">
        <w:t>, 2005 SCC 37</w:t>
      </w:r>
      <w:r w:rsidR="005D436F" w:rsidRPr="00077E55">
        <w:t>, para.</w:t>
      </w:r>
      <w:r w:rsidRPr="00077E55">
        <w:t xml:space="preserve"> 41; </w:t>
      </w:r>
      <w:r w:rsidRPr="00077E55">
        <w:rPr>
          <w:i/>
          <w:iCs/>
        </w:rPr>
        <w:t>R. v. Mellenthin</w:t>
      </w:r>
      <w:r w:rsidRPr="00077E55">
        <w:t>, [1992] 3 S</w:t>
      </w:r>
      <w:r w:rsidR="000C61BD" w:rsidRPr="00077E55">
        <w:t>.</w:t>
      </w:r>
      <w:r w:rsidRPr="00077E55">
        <w:t>C</w:t>
      </w:r>
      <w:r w:rsidR="000C61BD" w:rsidRPr="00077E55">
        <w:t>.</w:t>
      </w:r>
      <w:r w:rsidRPr="00077E55">
        <w:t>R</w:t>
      </w:r>
      <w:r w:rsidR="000C61BD" w:rsidRPr="00077E55">
        <w:t>.</w:t>
      </w:r>
      <w:r w:rsidRPr="00077E55">
        <w:t> 615</w:t>
      </w:r>
      <w:r w:rsidR="00083108" w:rsidRPr="00077E55">
        <w:t>, pp. 6</w:t>
      </w:r>
      <w:r w:rsidRPr="00077E55">
        <w:t>24</w:t>
      </w:r>
      <w:r w:rsidR="00F77662" w:rsidRPr="00077E55">
        <w:t>ff</w:t>
      </w:r>
      <w:r w:rsidRPr="00077E55">
        <w:t xml:space="preserve">.; </w:t>
      </w:r>
      <w:r w:rsidRPr="00077E55">
        <w:rPr>
          <w:i/>
          <w:iCs/>
        </w:rPr>
        <w:t>R.</w:t>
      </w:r>
      <w:r w:rsidR="00A614B8" w:rsidRPr="00077E55">
        <w:rPr>
          <w:i/>
          <w:iCs/>
        </w:rPr>
        <w:t> </w:t>
      </w:r>
      <w:r w:rsidRPr="00077E55">
        <w:rPr>
          <w:i/>
          <w:iCs/>
        </w:rPr>
        <w:t>v. Ladouceur</w:t>
      </w:r>
      <w:r w:rsidRPr="00077E55">
        <w:t>, [1990] 1 S</w:t>
      </w:r>
      <w:r w:rsidR="000C61BD" w:rsidRPr="00077E55">
        <w:t>.</w:t>
      </w:r>
      <w:r w:rsidRPr="00077E55">
        <w:t>C</w:t>
      </w:r>
      <w:r w:rsidR="000C61BD" w:rsidRPr="00077E55">
        <w:t>.</w:t>
      </w:r>
      <w:r w:rsidRPr="00077E55">
        <w:t>R</w:t>
      </w:r>
      <w:r w:rsidR="000C61BD" w:rsidRPr="00077E55">
        <w:t>.</w:t>
      </w:r>
      <w:r w:rsidRPr="00077E55">
        <w:t> 1257</w:t>
      </w:r>
      <w:r w:rsidR="00706F32" w:rsidRPr="00077E55">
        <w:t>, p. 1</w:t>
      </w:r>
      <w:r w:rsidRPr="00077E55">
        <w:t xml:space="preserve">287; </w:t>
      </w:r>
      <w:r w:rsidRPr="00077E55">
        <w:rPr>
          <w:i/>
          <w:iCs/>
        </w:rPr>
        <w:t>R. c. Soucisse</w:t>
      </w:r>
      <w:r w:rsidRPr="00077E55">
        <w:t>, [1994] R</w:t>
      </w:r>
      <w:r w:rsidR="000C61BD" w:rsidRPr="00077E55">
        <w:t>.</w:t>
      </w:r>
      <w:r w:rsidRPr="00077E55">
        <w:t>J</w:t>
      </w:r>
      <w:r w:rsidR="000C61BD" w:rsidRPr="00077E55">
        <w:t>.</w:t>
      </w:r>
      <w:r w:rsidRPr="00077E55">
        <w:t>Q</w:t>
      </w:r>
      <w:r w:rsidR="000C61BD" w:rsidRPr="00077E55">
        <w:t>.</w:t>
      </w:r>
      <w:r w:rsidRPr="00077E55">
        <w:t> 1546 (C</w:t>
      </w:r>
      <w:r w:rsidR="00BF57A0" w:rsidRPr="00077E55">
        <w:t>.</w:t>
      </w:r>
      <w:r w:rsidRPr="00077E55">
        <w:t>A</w:t>
      </w:r>
      <w:r w:rsidR="00BF57A0" w:rsidRPr="00077E55">
        <w:t>.</w:t>
      </w:r>
      <w:r w:rsidRPr="00077E55">
        <w:t>)</w:t>
      </w:r>
      <w:r w:rsidR="00706F32" w:rsidRPr="00077E55">
        <w:t>, p. 1</w:t>
      </w:r>
      <w:r w:rsidRPr="00077E55">
        <w:t>551.</w:t>
      </w:r>
    </w:p>
  </w:footnote>
  <w:footnote w:id="88">
    <w:p w14:paraId="42AFE5FF" w14:textId="372F6A2B" w:rsidR="005A1C52" w:rsidRPr="0045720B" w:rsidRDefault="0043013D" w:rsidP="005A1C52">
      <w:pPr>
        <w:pStyle w:val="Notedebasdepage"/>
        <w:rPr>
          <w:lang w:val="en-CA"/>
        </w:rPr>
      </w:pPr>
      <w:r w:rsidRPr="0045720B">
        <w:rPr>
          <w:rStyle w:val="Appelnotedebasdep"/>
          <w:lang w:val="en-CA"/>
        </w:rPr>
        <w:footnoteRef/>
      </w:r>
      <w:r w:rsidRPr="00077E55">
        <w:t xml:space="preserve"> </w:t>
      </w:r>
      <w:r w:rsidRPr="00077E55">
        <w:tab/>
      </w:r>
      <w:r w:rsidRPr="00077E55">
        <w:rPr>
          <w:i/>
          <w:iCs/>
        </w:rPr>
        <w:t>Qu</w:t>
      </w:r>
      <w:r w:rsidR="00CA4622" w:rsidRPr="00077E55">
        <w:rPr>
          <w:i/>
          <w:iCs/>
        </w:rPr>
        <w:t>e</w:t>
      </w:r>
      <w:r w:rsidRPr="00077E55">
        <w:rPr>
          <w:i/>
          <w:iCs/>
        </w:rPr>
        <w:t xml:space="preserve">bec (Commission des droits de la personne et des droits de la jeunesse) </w:t>
      </w:r>
      <w:r w:rsidR="00E64FC5" w:rsidRPr="00077E55">
        <w:rPr>
          <w:i/>
          <w:iCs/>
        </w:rPr>
        <w:t>v</w:t>
      </w:r>
      <w:r w:rsidRPr="00077E55">
        <w:rPr>
          <w:i/>
          <w:iCs/>
        </w:rPr>
        <w:t xml:space="preserve">. Bombardier Inc. (Bombardier </w:t>
      </w:r>
      <w:r w:rsidR="00E64FC5" w:rsidRPr="00077E55">
        <w:rPr>
          <w:i/>
          <w:iCs/>
        </w:rPr>
        <w:t>Aerospace Training Center</w:t>
      </w:r>
      <w:r w:rsidRPr="00077E55">
        <w:rPr>
          <w:i/>
          <w:iCs/>
        </w:rPr>
        <w:t xml:space="preserve">), </w:t>
      </w:r>
      <w:r w:rsidRPr="00077E55">
        <w:t xml:space="preserve">2015 </w:t>
      </w:r>
      <w:r w:rsidR="003514B8" w:rsidRPr="00077E55">
        <w:t>SCC</w:t>
      </w:r>
      <w:r w:rsidRPr="00077E55">
        <w:t xml:space="preserve"> 39. </w:t>
      </w:r>
      <w:r w:rsidR="00E64FC5" w:rsidRPr="00077E55">
        <w:t xml:space="preserve">The </w:t>
      </w:r>
      <w:r w:rsidRPr="00077E55">
        <w:t xml:space="preserve">citation </w:t>
      </w:r>
      <w:r w:rsidR="00E64FC5" w:rsidRPr="00077E55">
        <w:t>is taken from</w:t>
      </w:r>
      <w:r w:rsidRPr="00077E55">
        <w:t>: C</w:t>
      </w:r>
      <w:r w:rsidRPr="00077E55">
        <w:rPr>
          <w:color w:val="000000"/>
        </w:rPr>
        <w:t xml:space="preserve">ommission des droits de la personne et des droits de la jeunesse, </w:t>
      </w:r>
      <w:r w:rsidR="00584193" w:rsidRPr="00077E55">
        <w:rPr>
          <w:i/>
          <w:iCs/>
          <w:color w:val="000000"/>
        </w:rPr>
        <w:t>Racial profiling</w:t>
      </w:r>
      <w:r w:rsidRPr="00077E55">
        <w:rPr>
          <w:i/>
          <w:iCs/>
          <w:color w:val="000000"/>
        </w:rPr>
        <w:t xml:space="preserve">: </w:t>
      </w:r>
      <w:r w:rsidR="00584193" w:rsidRPr="00077E55">
        <w:rPr>
          <w:i/>
          <w:iCs/>
          <w:color w:val="000000"/>
        </w:rPr>
        <w:t>C</w:t>
      </w:r>
      <w:r w:rsidRPr="00077E55">
        <w:rPr>
          <w:i/>
          <w:iCs/>
          <w:color w:val="000000"/>
        </w:rPr>
        <w:t xml:space="preserve">ontext </w:t>
      </w:r>
      <w:r w:rsidR="00584193" w:rsidRPr="00077E55">
        <w:rPr>
          <w:i/>
          <w:iCs/>
          <w:color w:val="000000"/>
        </w:rPr>
        <w:t>and</w:t>
      </w:r>
      <w:r w:rsidRPr="00077E55">
        <w:rPr>
          <w:i/>
          <w:iCs/>
          <w:color w:val="000000"/>
        </w:rPr>
        <w:t xml:space="preserve"> </w:t>
      </w:r>
      <w:r w:rsidR="00584193" w:rsidRPr="00077E55">
        <w:rPr>
          <w:i/>
          <w:iCs/>
          <w:color w:val="000000"/>
        </w:rPr>
        <w:t>De</w:t>
      </w:r>
      <w:r w:rsidRPr="00077E55">
        <w:rPr>
          <w:i/>
          <w:iCs/>
          <w:color w:val="000000"/>
        </w:rPr>
        <w:t>finition</w:t>
      </w:r>
      <w:r w:rsidR="002F504C" w:rsidRPr="00077E55">
        <w:rPr>
          <w:color w:val="000000"/>
        </w:rPr>
        <w:t xml:space="preserve"> (2005)</w:t>
      </w:r>
      <w:r w:rsidR="001E1B82" w:rsidRPr="00077E55">
        <w:rPr>
          <w:color w:val="000000"/>
        </w:rPr>
        <w:t>,</w:t>
      </w:r>
      <w:r w:rsidR="00706F32" w:rsidRPr="00077E55">
        <w:rPr>
          <w:color w:val="000000"/>
        </w:rPr>
        <w:t xml:space="preserve"> p. 1</w:t>
      </w:r>
      <w:r w:rsidR="00BC443E" w:rsidRPr="00077E55">
        <w:rPr>
          <w:color w:val="000000"/>
        </w:rPr>
        <w:t>3</w:t>
      </w:r>
      <w:r w:rsidR="002F504C" w:rsidRPr="00077E55">
        <w:rPr>
          <w:color w:val="000000"/>
        </w:rPr>
        <w:t xml:space="preserve"> (</w:t>
      </w:r>
      <w:r w:rsidR="00A83261" w:rsidRPr="00077E55">
        <w:rPr>
          <w:color w:val="000000"/>
        </w:rPr>
        <w:t>Exhibit</w:t>
      </w:r>
      <w:r w:rsidR="002F504C" w:rsidRPr="00077E55">
        <w:t xml:space="preserve"> P-1, </w:t>
      </w:r>
      <w:r w:rsidR="00293A4C" w:rsidRPr="00077E55">
        <w:t>Expert report of</w:t>
      </w:r>
      <w:r w:rsidR="002F504C" w:rsidRPr="00077E55">
        <w:t xml:space="preserve"> Massimiliano Mulone, </w:t>
      </w:r>
      <w:r w:rsidR="00293A4C" w:rsidRPr="00077E55">
        <w:t>January</w:t>
      </w:r>
      <w:r w:rsidR="002F504C" w:rsidRPr="00077E55">
        <w:t xml:space="preserve"> </w:t>
      </w:r>
      <w:r w:rsidR="008309F0" w:rsidRPr="00077E55">
        <w:t xml:space="preserve">31, </w:t>
      </w:r>
      <w:r w:rsidR="002F504C" w:rsidRPr="00077E55">
        <w:t xml:space="preserve">2022, </w:t>
      </w:r>
      <w:r w:rsidR="00BF57A0" w:rsidRPr="00077E55">
        <w:t>appendix</w:t>
      </w:r>
      <w:r w:rsidR="002F504C" w:rsidRPr="00077E55">
        <w:t xml:space="preserve"> MM</w:t>
      </w:r>
      <w:r w:rsidR="002F504C" w:rsidRPr="00077E55">
        <w:noBreakHyphen/>
        <w:t>53)</w:t>
      </w:r>
      <w:r w:rsidRPr="00077E55">
        <w:rPr>
          <w:color w:val="000000"/>
        </w:rPr>
        <w:t xml:space="preserve">. </w:t>
      </w:r>
      <w:r w:rsidR="00E64FC5" w:rsidRPr="0045720B">
        <w:rPr>
          <w:color w:val="000000"/>
          <w:lang w:val="en-CA"/>
        </w:rPr>
        <w:t xml:space="preserve">The Supreme Court used this definition in </w:t>
      </w:r>
      <w:r w:rsidRPr="0045720B">
        <w:rPr>
          <w:i/>
          <w:iCs/>
          <w:lang w:val="en-CA"/>
        </w:rPr>
        <w:t xml:space="preserve">R. </w:t>
      </w:r>
      <w:r w:rsidR="00E64FC5" w:rsidRPr="0045720B">
        <w:rPr>
          <w:i/>
          <w:iCs/>
          <w:lang w:val="en-CA"/>
        </w:rPr>
        <w:t>v</w:t>
      </w:r>
      <w:r w:rsidRPr="0045720B">
        <w:rPr>
          <w:i/>
          <w:iCs/>
          <w:lang w:val="en-CA"/>
        </w:rPr>
        <w:t>. Le</w:t>
      </w:r>
      <w:r w:rsidR="009979E1" w:rsidRPr="0045720B">
        <w:rPr>
          <w:lang w:val="en-CA"/>
        </w:rPr>
        <w:t xml:space="preserve">, 2019 </w:t>
      </w:r>
      <w:r w:rsidR="003514B8" w:rsidRPr="0045720B">
        <w:rPr>
          <w:lang w:val="en-CA"/>
        </w:rPr>
        <w:t>SCC</w:t>
      </w:r>
      <w:r w:rsidR="009979E1" w:rsidRPr="0045720B">
        <w:rPr>
          <w:lang w:val="en-CA"/>
        </w:rPr>
        <w:t xml:space="preserve"> 34 </w:t>
      </w:r>
      <w:r w:rsidR="00CA4622" w:rsidRPr="0045720B">
        <w:rPr>
          <w:rFonts w:cs="Arial"/>
          <w:lang w:val="en-CA"/>
        </w:rPr>
        <w:t>[</w:t>
      </w:r>
      <w:r w:rsidR="009A1631" w:rsidRPr="0045720B">
        <w:rPr>
          <w:i/>
          <w:iCs/>
          <w:lang w:val="en-CA"/>
        </w:rPr>
        <w:t>Le</w:t>
      </w:r>
      <w:r w:rsidR="00CA4622" w:rsidRPr="0045720B">
        <w:rPr>
          <w:rFonts w:cs="Arial"/>
          <w:lang w:val="en-CA"/>
        </w:rPr>
        <w:t>]</w:t>
      </w:r>
      <w:r w:rsidR="005D436F">
        <w:rPr>
          <w:lang w:val="en-CA"/>
        </w:rPr>
        <w:t>, para.</w:t>
      </w:r>
      <w:r w:rsidRPr="0045720B">
        <w:rPr>
          <w:lang w:val="en-CA"/>
        </w:rPr>
        <w:t xml:space="preserve"> 77. </w:t>
      </w:r>
      <w:r w:rsidR="00E64FC5" w:rsidRPr="0045720B">
        <w:rPr>
          <w:lang w:val="en-CA"/>
        </w:rPr>
        <w:t xml:space="preserve">This definition </w:t>
      </w:r>
      <w:r w:rsidR="00BF57A0">
        <w:rPr>
          <w:lang w:val="en-CA"/>
        </w:rPr>
        <w:t xml:space="preserve">was also </w:t>
      </w:r>
      <w:r w:rsidR="00E64FC5" w:rsidRPr="0045720B">
        <w:rPr>
          <w:lang w:val="en-CA"/>
        </w:rPr>
        <w:t>used by the judge in this case</w:t>
      </w:r>
      <w:r w:rsidRPr="0045720B">
        <w:rPr>
          <w:lang w:val="en-CA"/>
        </w:rPr>
        <w:t xml:space="preserve">: </w:t>
      </w:r>
      <w:r w:rsidR="00173066">
        <w:rPr>
          <w:lang w:val="en-CA"/>
        </w:rPr>
        <w:t>T</w:t>
      </w:r>
      <w:r w:rsidR="00293A4C" w:rsidRPr="0045720B">
        <w:rPr>
          <w:lang w:val="en-CA"/>
        </w:rPr>
        <w:t>rial judgment</w:t>
      </w:r>
      <w:r w:rsidR="00706F32">
        <w:rPr>
          <w:lang w:val="en-CA"/>
        </w:rPr>
        <w:t>, paras.</w:t>
      </w:r>
      <w:r w:rsidRPr="0045720B">
        <w:rPr>
          <w:lang w:val="en-CA"/>
        </w:rPr>
        <w:t> 38</w:t>
      </w:r>
      <w:r w:rsidR="00E64FC5" w:rsidRPr="0045720B">
        <w:rPr>
          <w:lang w:val="en-CA"/>
        </w:rPr>
        <w:t>–</w:t>
      </w:r>
      <w:r w:rsidRPr="0045720B">
        <w:rPr>
          <w:lang w:val="en-CA"/>
        </w:rPr>
        <w:t>41.</w:t>
      </w:r>
    </w:p>
  </w:footnote>
  <w:footnote w:id="89">
    <w:p w14:paraId="765E1AD2" w14:textId="519F2EFA" w:rsidR="009F0668" w:rsidRPr="0045720B" w:rsidRDefault="009F0668" w:rsidP="009F066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Pierre-Louis c. Québec (Ville de)</w:t>
      </w:r>
      <w:r w:rsidRPr="0045720B">
        <w:rPr>
          <w:lang w:val="en-CA"/>
        </w:rPr>
        <w:t>, 2014 QCCA 1554</w:t>
      </w:r>
      <w:r w:rsidR="005D436F">
        <w:rPr>
          <w:lang w:val="en-CA"/>
        </w:rPr>
        <w:t>, para.</w:t>
      </w:r>
      <w:r w:rsidRPr="0045720B">
        <w:rPr>
          <w:lang w:val="en-CA"/>
        </w:rPr>
        <w:t xml:space="preserve"> 59, leave to appeal to SCC re</w:t>
      </w:r>
      <w:r w:rsidR="00785961" w:rsidRPr="0045720B">
        <w:rPr>
          <w:lang w:val="en-CA"/>
        </w:rPr>
        <w:t>fus</w:t>
      </w:r>
      <w:r w:rsidRPr="0045720B">
        <w:rPr>
          <w:lang w:val="en-CA"/>
        </w:rPr>
        <w:t xml:space="preserve">ed, </w:t>
      </w:r>
      <w:r w:rsidR="000A200B">
        <w:rPr>
          <w:lang w:val="en-CA"/>
        </w:rPr>
        <w:t>June</w:t>
      </w:r>
      <w:r w:rsidR="00776B88">
        <w:rPr>
          <w:lang w:val="en-CA"/>
        </w:rPr>
        <w:t xml:space="preserve"> </w:t>
      </w:r>
      <w:r w:rsidR="00EA2CF7">
        <w:rPr>
          <w:lang w:val="en-CA"/>
        </w:rPr>
        <w:t xml:space="preserve">16, </w:t>
      </w:r>
      <w:r w:rsidRPr="0045720B">
        <w:rPr>
          <w:lang w:val="en-CA"/>
        </w:rPr>
        <w:t>2015</w:t>
      </w:r>
      <w:r w:rsidR="006812CB">
        <w:rPr>
          <w:lang w:val="en-CA"/>
        </w:rPr>
        <w:t xml:space="preserve">, </w:t>
      </w:r>
      <w:r w:rsidR="006812CB" w:rsidRPr="006812CB">
        <w:rPr>
          <w:lang w:val="en-CA"/>
        </w:rPr>
        <w:t>No. 36055</w:t>
      </w:r>
      <w:r w:rsidRPr="0045720B">
        <w:rPr>
          <w:lang w:val="en-CA"/>
        </w:rPr>
        <w:t xml:space="preserve">. See also: </w:t>
      </w:r>
      <w:r w:rsidRPr="0045720B">
        <w:rPr>
          <w:i/>
          <w:iCs/>
          <w:lang w:val="en-CA"/>
        </w:rPr>
        <w:t>R. v. Dudhi</w:t>
      </w:r>
      <w:r w:rsidRPr="0045720B">
        <w:rPr>
          <w:lang w:val="en-CA"/>
        </w:rPr>
        <w:t>, 2019 ONCA 665</w:t>
      </w:r>
      <w:r w:rsidR="005D436F">
        <w:rPr>
          <w:lang w:val="en-CA"/>
        </w:rPr>
        <w:t>, para.</w:t>
      </w:r>
      <w:r w:rsidRPr="0045720B">
        <w:rPr>
          <w:lang w:val="en-CA"/>
        </w:rPr>
        <w:t xml:space="preserve"> 75; </w:t>
      </w:r>
      <w:r w:rsidRPr="0045720B">
        <w:rPr>
          <w:i/>
          <w:iCs/>
          <w:lang w:val="en-CA"/>
        </w:rPr>
        <w:t>Peart v. Peel Regional Police Services</w:t>
      </w:r>
      <w:r w:rsidRPr="0045720B">
        <w:rPr>
          <w:lang w:val="en-CA"/>
        </w:rPr>
        <w:t xml:space="preserve"> (2006), 43 C</w:t>
      </w:r>
      <w:r w:rsidR="00BF57A0">
        <w:rPr>
          <w:lang w:val="en-CA"/>
        </w:rPr>
        <w:t>.</w:t>
      </w:r>
      <w:r w:rsidRPr="0045720B">
        <w:rPr>
          <w:lang w:val="en-CA"/>
        </w:rPr>
        <w:t>R</w:t>
      </w:r>
      <w:r w:rsidR="00BF57A0">
        <w:rPr>
          <w:lang w:val="en-CA"/>
        </w:rPr>
        <w:t>.</w:t>
      </w:r>
      <w:r w:rsidRPr="0045720B">
        <w:rPr>
          <w:lang w:val="en-CA"/>
        </w:rPr>
        <w:t xml:space="preserve"> (6th) 175 (</w:t>
      </w:r>
      <w:r w:rsidR="00330F6A">
        <w:rPr>
          <w:lang w:val="en-CA"/>
        </w:rPr>
        <w:t>Ont. C.A.</w:t>
      </w:r>
      <w:r w:rsidRPr="0045720B">
        <w:rPr>
          <w:lang w:val="en-CA"/>
        </w:rPr>
        <w:t>)</w:t>
      </w:r>
      <w:r w:rsidR="00706F32">
        <w:rPr>
          <w:lang w:val="en-CA"/>
        </w:rPr>
        <w:t>, paras.</w:t>
      </w:r>
      <w:r w:rsidRPr="0045720B">
        <w:rPr>
          <w:lang w:val="en-CA"/>
        </w:rPr>
        <w:t xml:space="preserve"> 93 and 95, leave to appeal to SCC re</w:t>
      </w:r>
      <w:r w:rsidR="00785961" w:rsidRPr="0045720B">
        <w:rPr>
          <w:lang w:val="en-CA"/>
        </w:rPr>
        <w:t>fus</w:t>
      </w:r>
      <w:r w:rsidRPr="0045720B">
        <w:rPr>
          <w:lang w:val="en-CA"/>
        </w:rPr>
        <w:t xml:space="preserve">ed, March </w:t>
      </w:r>
      <w:r w:rsidR="005644D8">
        <w:rPr>
          <w:lang w:val="en-CA"/>
        </w:rPr>
        <w:t xml:space="preserve">29, </w:t>
      </w:r>
      <w:r w:rsidRPr="0045720B">
        <w:rPr>
          <w:lang w:val="en-CA"/>
        </w:rPr>
        <w:t>2007</w:t>
      </w:r>
      <w:r w:rsidR="00446460">
        <w:rPr>
          <w:lang w:val="en-CA"/>
        </w:rPr>
        <w:t xml:space="preserve">, </w:t>
      </w:r>
      <w:r w:rsidR="00446460" w:rsidRPr="00446460">
        <w:rPr>
          <w:lang w:val="en-CA"/>
        </w:rPr>
        <w:t>No. 31798</w:t>
      </w:r>
      <w:r w:rsidRPr="0045720B">
        <w:rPr>
          <w:lang w:val="en-CA"/>
        </w:rPr>
        <w:t xml:space="preserve">; </w:t>
      </w:r>
      <w:r w:rsidRPr="0045720B">
        <w:rPr>
          <w:i/>
          <w:iCs/>
          <w:lang w:val="en-CA"/>
        </w:rPr>
        <w:t>R. v. Brown</w:t>
      </w:r>
      <w:r w:rsidRPr="0045720B">
        <w:rPr>
          <w:lang w:val="en-CA"/>
        </w:rPr>
        <w:t xml:space="preserve"> (2003), 173 C</w:t>
      </w:r>
      <w:r w:rsidR="000C61BD" w:rsidRPr="0045720B">
        <w:rPr>
          <w:lang w:val="en-CA"/>
        </w:rPr>
        <w:t>.</w:t>
      </w:r>
      <w:r w:rsidRPr="0045720B">
        <w:rPr>
          <w:lang w:val="en-CA"/>
        </w:rPr>
        <w:t>C</w:t>
      </w:r>
      <w:r w:rsidR="000C61BD" w:rsidRPr="0045720B">
        <w:rPr>
          <w:lang w:val="en-CA"/>
        </w:rPr>
        <w:t>.</w:t>
      </w:r>
      <w:r w:rsidRPr="0045720B">
        <w:rPr>
          <w:lang w:val="en-CA"/>
        </w:rPr>
        <w:t>C</w:t>
      </w:r>
      <w:r w:rsidR="000C61BD" w:rsidRPr="0045720B">
        <w:rPr>
          <w:lang w:val="en-CA"/>
        </w:rPr>
        <w:t>.</w:t>
      </w:r>
      <w:r w:rsidRPr="0045720B">
        <w:rPr>
          <w:lang w:val="en-CA"/>
        </w:rPr>
        <w:t> (3d) 23 (</w:t>
      </w:r>
      <w:r w:rsidR="008A3165">
        <w:rPr>
          <w:lang w:val="en-CA"/>
        </w:rPr>
        <w:t>Ont. C.A.</w:t>
      </w:r>
      <w:r w:rsidRPr="0045720B">
        <w:rPr>
          <w:lang w:val="en-CA"/>
        </w:rPr>
        <w:t>)</w:t>
      </w:r>
      <w:r w:rsidR="005D436F">
        <w:rPr>
          <w:lang w:val="en-CA"/>
        </w:rPr>
        <w:t>, para.</w:t>
      </w:r>
      <w:r w:rsidRPr="0045720B">
        <w:rPr>
          <w:lang w:val="en-CA"/>
        </w:rPr>
        <w:t xml:space="preserve"> 8.</w:t>
      </w:r>
    </w:p>
  </w:footnote>
  <w:footnote w:id="90">
    <w:p w14:paraId="22FB8538" w14:textId="020EBE83" w:rsidR="005A1C52" w:rsidRPr="0045720B" w:rsidRDefault="0043013D" w:rsidP="005A1C5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83261" w:rsidRPr="0045720B">
        <w:rPr>
          <w:lang w:val="en-CA"/>
        </w:rPr>
        <w:t>Exhibit</w:t>
      </w:r>
      <w:r w:rsidRPr="0045720B">
        <w:rPr>
          <w:lang w:val="en-CA"/>
        </w:rPr>
        <w:t xml:space="preserve"> P-4, </w:t>
      </w:r>
      <w:r w:rsidR="00293A4C" w:rsidRPr="0045720B">
        <w:rPr>
          <w:lang w:val="en-CA"/>
        </w:rPr>
        <w:t>Expert report of</w:t>
      </w:r>
      <w:r w:rsidRPr="0045720B">
        <w:rPr>
          <w:lang w:val="en-CA"/>
        </w:rPr>
        <w:t xml:space="preserve"> Marie-Ève Sylvestre, </w:t>
      </w:r>
      <w:r w:rsidR="00293A4C" w:rsidRPr="0045720B">
        <w:rPr>
          <w:lang w:val="en-CA"/>
        </w:rPr>
        <w:t>February</w:t>
      </w:r>
      <w:r w:rsidRPr="0045720B">
        <w:rPr>
          <w:lang w:val="en-CA"/>
        </w:rPr>
        <w:t xml:space="preserve"> </w:t>
      </w:r>
      <w:r w:rsidR="00174919">
        <w:rPr>
          <w:lang w:val="en-CA"/>
        </w:rPr>
        <w:t xml:space="preserve">7, </w:t>
      </w:r>
      <w:r w:rsidRPr="0045720B">
        <w:rPr>
          <w:lang w:val="en-CA"/>
        </w:rPr>
        <w:t xml:space="preserve">2022, </w:t>
      </w:r>
      <w:r w:rsidR="00706F32">
        <w:rPr>
          <w:lang w:val="en-CA"/>
        </w:rPr>
        <w:t>p.</w:t>
      </w:r>
      <w:r w:rsidRPr="0045720B">
        <w:rPr>
          <w:lang w:val="en-CA"/>
        </w:rPr>
        <w:t xml:space="preserve"> 12.</w:t>
      </w:r>
    </w:p>
  </w:footnote>
  <w:footnote w:id="91">
    <w:p w14:paraId="4B28AB15" w14:textId="2C440D82" w:rsidR="00E27CEF" w:rsidRPr="0045720B" w:rsidRDefault="00E27CEF" w:rsidP="00E27CEF">
      <w:pPr>
        <w:pStyle w:val="Notedebasdepage"/>
        <w:rPr>
          <w:lang w:val="en-CA"/>
        </w:rPr>
      </w:pPr>
      <w:r w:rsidRPr="0045720B">
        <w:rPr>
          <w:rStyle w:val="Appelnotedebasdep"/>
          <w:lang w:val="en-CA"/>
        </w:rPr>
        <w:footnoteRef/>
      </w:r>
      <w:r w:rsidRPr="00077E55">
        <w:t xml:space="preserve"> </w:t>
      </w:r>
      <w:r w:rsidRPr="00077E55">
        <w:tab/>
      </w:r>
      <w:r w:rsidRPr="00077E55">
        <w:rPr>
          <w:i/>
          <w:iCs/>
        </w:rPr>
        <w:t>R. c. Dorfeuille</w:t>
      </w:r>
      <w:r w:rsidRPr="00077E55">
        <w:t xml:space="preserve">, 2020 QCCS 1499 </w:t>
      </w:r>
      <w:r w:rsidRPr="00077E55">
        <w:rPr>
          <w:rFonts w:cs="Arial"/>
        </w:rPr>
        <w:t>[</w:t>
      </w:r>
      <w:r w:rsidRPr="00077E55">
        <w:rPr>
          <w:i/>
          <w:iCs/>
        </w:rPr>
        <w:t>Dorfeuille</w:t>
      </w:r>
      <w:r w:rsidRPr="00077E55">
        <w:rPr>
          <w:rFonts w:cs="Arial"/>
        </w:rPr>
        <w:t>]</w:t>
      </w:r>
      <w:r w:rsidR="005D436F" w:rsidRPr="00077E55">
        <w:t>, para.</w:t>
      </w:r>
      <w:r w:rsidRPr="00077E55">
        <w:t xml:space="preserve"> </w:t>
      </w:r>
      <w:r w:rsidRPr="0045720B">
        <w:rPr>
          <w:lang w:val="en-CA"/>
        </w:rPr>
        <w:t xml:space="preserve">46. See also: </w:t>
      </w:r>
      <w:r w:rsidRPr="0045720B">
        <w:rPr>
          <w:i/>
          <w:iCs/>
          <w:lang w:val="en-CA"/>
        </w:rPr>
        <w:t>R. c. Ngarukiye</w:t>
      </w:r>
      <w:r w:rsidRPr="0045720B">
        <w:rPr>
          <w:lang w:val="en-CA"/>
        </w:rPr>
        <w:t>, 2023 QCCS 4677</w:t>
      </w:r>
      <w:r w:rsidR="005D436F">
        <w:rPr>
          <w:lang w:val="en-CA"/>
        </w:rPr>
        <w:t>, para.</w:t>
      </w:r>
      <w:r w:rsidRPr="0045720B">
        <w:rPr>
          <w:lang w:val="en-CA"/>
        </w:rPr>
        <w:t> </w:t>
      </w:r>
      <w:r w:rsidRPr="00077E55">
        <w:t xml:space="preserve">136; </w:t>
      </w:r>
      <w:r w:rsidRPr="00077E55">
        <w:rPr>
          <w:i/>
          <w:iCs/>
        </w:rPr>
        <w:t>R. v. Sitladeen</w:t>
      </w:r>
      <w:r w:rsidRPr="00077E55">
        <w:t>, 2021 ONCA 303</w:t>
      </w:r>
      <w:r w:rsidR="005D436F" w:rsidRPr="00077E55">
        <w:t>, para.</w:t>
      </w:r>
      <w:r w:rsidRPr="00077E55">
        <w:t xml:space="preserve"> 52; </w:t>
      </w:r>
      <w:r w:rsidRPr="00077E55">
        <w:rPr>
          <w:i/>
          <w:iCs/>
        </w:rPr>
        <w:t>R. v. Dudhi</w:t>
      </w:r>
      <w:r w:rsidRPr="00077E55">
        <w:t>, 2019 ONCA 665</w:t>
      </w:r>
      <w:r w:rsidR="00706F32" w:rsidRPr="00077E55">
        <w:t>, paras.</w:t>
      </w:r>
      <w:r w:rsidRPr="00077E55">
        <w:t> </w:t>
      </w:r>
      <w:r w:rsidRPr="0045720B">
        <w:rPr>
          <w:lang w:val="en-CA"/>
        </w:rPr>
        <w:t xml:space="preserve">62, 64 and 85; </w:t>
      </w:r>
      <w:r w:rsidRPr="0045720B">
        <w:rPr>
          <w:i/>
          <w:iCs/>
          <w:lang w:val="en-CA"/>
        </w:rPr>
        <w:t xml:space="preserve">Peart v. Peel Regional Police Services </w:t>
      </w:r>
      <w:r w:rsidRPr="0045720B">
        <w:rPr>
          <w:lang w:val="en-CA"/>
        </w:rPr>
        <w:t>(2006), 43 C</w:t>
      </w:r>
      <w:r w:rsidR="000C61BD" w:rsidRPr="0045720B">
        <w:rPr>
          <w:lang w:val="en-CA"/>
        </w:rPr>
        <w:t>.</w:t>
      </w:r>
      <w:r w:rsidRPr="0045720B">
        <w:rPr>
          <w:lang w:val="en-CA"/>
        </w:rPr>
        <w:t>R</w:t>
      </w:r>
      <w:r w:rsidR="000C61BD" w:rsidRPr="0045720B">
        <w:rPr>
          <w:lang w:val="en-CA"/>
        </w:rPr>
        <w:t>.</w:t>
      </w:r>
      <w:r w:rsidRPr="0045720B">
        <w:rPr>
          <w:lang w:val="en-CA"/>
        </w:rPr>
        <w:t> (6th) 175 (</w:t>
      </w:r>
      <w:r w:rsidR="00A73F83">
        <w:rPr>
          <w:lang w:val="en-CA"/>
        </w:rPr>
        <w:t>Ont. C.A.</w:t>
      </w:r>
      <w:r w:rsidRPr="0045720B">
        <w:rPr>
          <w:lang w:val="en-CA"/>
        </w:rPr>
        <w:t>)</w:t>
      </w:r>
      <w:r w:rsidR="00706F32">
        <w:rPr>
          <w:lang w:val="en-CA"/>
        </w:rPr>
        <w:t>, paras.</w:t>
      </w:r>
      <w:r w:rsidRPr="0045720B">
        <w:rPr>
          <w:lang w:val="en-CA"/>
        </w:rPr>
        <w:t xml:space="preserve"> 91 and 95, leave to appeal to SCC re</w:t>
      </w:r>
      <w:r w:rsidR="00785961" w:rsidRPr="0045720B">
        <w:rPr>
          <w:lang w:val="en-CA"/>
        </w:rPr>
        <w:t>fused</w:t>
      </w:r>
      <w:r w:rsidRPr="0045720B">
        <w:rPr>
          <w:lang w:val="en-CA"/>
        </w:rPr>
        <w:t xml:space="preserve">, March </w:t>
      </w:r>
      <w:r w:rsidR="007F0CBB">
        <w:rPr>
          <w:lang w:val="en-CA"/>
        </w:rPr>
        <w:t xml:space="preserve">29, </w:t>
      </w:r>
      <w:r w:rsidRPr="0045720B">
        <w:rPr>
          <w:lang w:val="en-CA"/>
        </w:rPr>
        <w:t>2007</w:t>
      </w:r>
      <w:r w:rsidR="00751234">
        <w:rPr>
          <w:lang w:val="en-CA"/>
        </w:rPr>
        <w:t xml:space="preserve">, </w:t>
      </w:r>
      <w:r w:rsidR="00751234" w:rsidRPr="00751234">
        <w:rPr>
          <w:lang w:val="en-CA"/>
        </w:rPr>
        <w:t>No. 31798</w:t>
      </w:r>
      <w:r w:rsidRPr="0045720B">
        <w:rPr>
          <w:lang w:val="en-CA"/>
        </w:rPr>
        <w:t xml:space="preserve">; Exhibit P-32, Commission des droits de la personne et des droits de la jeunesse (Québec), </w:t>
      </w:r>
      <w:r w:rsidR="0065447E" w:rsidRPr="0045720B">
        <w:rPr>
          <w:i/>
          <w:iCs/>
          <w:lang w:val="en-CA"/>
        </w:rPr>
        <w:t>Racial Profiling and Systemic Discrimination of Racialized Youth: Report of the Consultation on Racial Profiling and its Consequences</w:t>
      </w:r>
      <w:r w:rsidRPr="0045720B">
        <w:rPr>
          <w:lang w:val="en-CA"/>
        </w:rPr>
        <w:t>, March 2011</w:t>
      </w:r>
      <w:r w:rsidR="001E1B82">
        <w:rPr>
          <w:lang w:val="en-CA"/>
        </w:rPr>
        <w:t>,</w:t>
      </w:r>
      <w:r w:rsidR="00706F32">
        <w:rPr>
          <w:lang w:val="en-CA"/>
        </w:rPr>
        <w:t xml:space="preserve"> p. 1</w:t>
      </w:r>
      <w:r w:rsidRPr="0045720B">
        <w:rPr>
          <w:lang w:val="en-CA"/>
        </w:rPr>
        <w:t>0.</w:t>
      </w:r>
    </w:p>
  </w:footnote>
  <w:footnote w:id="92">
    <w:p w14:paraId="39149620" w14:textId="240C853C" w:rsidR="00E27CEF" w:rsidRPr="0045720B" w:rsidRDefault="00E27CEF" w:rsidP="00E27CEF">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P-1, Expert report of Massimiliano Mulone, January </w:t>
      </w:r>
      <w:r w:rsidR="002F311C">
        <w:rPr>
          <w:lang w:val="en-CA"/>
        </w:rPr>
        <w:t xml:space="preserve">31, </w:t>
      </w:r>
      <w:r w:rsidRPr="0045720B">
        <w:rPr>
          <w:lang w:val="en-CA"/>
        </w:rPr>
        <w:t xml:space="preserve">2022, </w:t>
      </w:r>
      <w:r w:rsidR="00BA6A4A">
        <w:rPr>
          <w:lang w:val="en-CA"/>
        </w:rPr>
        <w:t>appendix</w:t>
      </w:r>
      <w:r w:rsidRPr="0045720B">
        <w:rPr>
          <w:lang w:val="en-CA"/>
        </w:rPr>
        <w:t xml:space="preserve"> MM-48, David M. Tanovich, </w:t>
      </w:r>
      <w:r w:rsidRPr="0045720B">
        <w:rPr>
          <w:i/>
          <w:iCs/>
          <w:lang w:val="en-CA"/>
        </w:rPr>
        <w:t>The Colour of Justice: Policing Race in Canada</w:t>
      </w:r>
      <w:r w:rsidR="006D2C56">
        <w:rPr>
          <w:lang w:val="en-CA"/>
        </w:rPr>
        <w:t>,</w:t>
      </w:r>
      <w:r w:rsidRPr="0045720B">
        <w:rPr>
          <w:lang w:val="en-CA"/>
        </w:rPr>
        <w:t xml:space="preserve"> Toronto</w:t>
      </w:r>
      <w:r w:rsidR="006D2C56">
        <w:rPr>
          <w:lang w:val="en-CA"/>
        </w:rPr>
        <w:t>,</w:t>
      </w:r>
      <w:r w:rsidRPr="0045720B">
        <w:rPr>
          <w:lang w:val="en-CA"/>
        </w:rPr>
        <w:t xml:space="preserve"> Irwin Law, 2006</w:t>
      </w:r>
      <w:r w:rsidR="00706F32">
        <w:rPr>
          <w:lang w:val="en-CA"/>
        </w:rPr>
        <w:t>, p. 1</w:t>
      </w:r>
      <w:r w:rsidRPr="0045720B">
        <w:rPr>
          <w:lang w:val="en-CA"/>
        </w:rPr>
        <w:t xml:space="preserve">44. See also: </w:t>
      </w:r>
      <w:r w:rsidRPr="0045720B">
        <w:rPr>
          <w:i/>
          <w:iCs/>
          <w:lang w:val="en-CA"/>
        </w:rPr>
        <w:t>R. v. Sitladeen</w:t>
      </w:r>
      <w:r w:rsidRPr="0045720B">
        <w:rPr>
          <w:lang w:val="en-CA"/>
        </w:rPr>
        <w:t>, 2021 ONCA 303</w:t>
      </w:r>
      <w:r w:rsidR="005D436F">
        <w:rPr>
          <w:lang w:val="en-CA"/>
        </w:rPr>
        <w:t>, para.</w:t>
      </w:r>
      <w:r w:rsidRPr="0045720B">
        <w:rPr>
          <w:lang w:val="en-CA"/>
        </w:rPr>
        <w:t xml:space="preserve"> 54.</w:t>
      </w:r>
    </w:p>
  </w:footnote>
  <w:footnote w:id="93">
    <w:p w14:paraId="183E9587" w14:textId="6A3E177B" w:rsidR="00E27CEF" w:rsidRPr="0045720B" w:rsidRDefault="00E27CEF" w:rsidP="00E27CEF">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P-1, Expert report of Massimiliano Mulone, January </w:t>
      </w:r>
      <w:r w:rsidR="00084A24">
        <w:rPr>
          <w:lang w:val="en-CA"/>
        </w:rPr>
        <w:t xml:space="preserve">31, </w:t>
      </w:r>
      <w:r w:rsidRPr="0045720B">
        <w:rPr>
          <w:lang w:val="en-CA"/>
        </w:rPr>
        <w:t>2022</w:t>
      </w:r>
      <w:r w:rsidR="001E1B82">
        <w:rPr>
          <w:lang w:val="en-CA"/>
        </w:rPr>
        <w:t>,</w:t>
      </w:r>
      <w:r w:rsidR="00706F32">
        <w:rPr>
          <w:lang w:val="en-CA"/>
        </w:rPr>
        <w:t xml:space="preserve"> p. 1</w:t>
      </w:r>
      <w:r w:rsidRPr="0045720B">
        <w:rPr>
          <w:lang w:val="en-CA"/>
        </w:rPr>
        <w:t xml:space="preserve">6 and 29. </w:t>
      </w:r>
    </w:p>
  </w:footnote>
  <w:footnote w:id="94">
    <w:p w14:paraId="498305BA" w14:textId="7E4B8680" w:rsidR="00E27CEF" w:rsidRPr="0045720B" w:rsidRDefault="00E27CEF" w:rsidP="00E27CEF">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4377E7" w:rsidRPr="0045720B">
        <w:rPr>
          <w:lang w:val="en-CA"/>
        </w:rPr>
        <w:t>Below</w:t>
      </w:r>
      <w:r w:rsidR="00706F32">
        <w:rPr>
          <w:lang w:val="en-CA"/>
        </w:rPr>
        <w:t>, paras.</w:t>
      </w:r>
      <w:r w:rsidRPr="0045720B">
        <w:rPr>
          <w:lang w:val="en-CA"/>
        </w:rPr>
        <w:t xml:space="preserve"> </w:t>
      </w:r>
      <w:r w:rsidRPr="0045720B">
        <w:rPr>
          <w:lang w:val="en-CA"/>
        </w:rPr>
        <w:fldChar w:fldCharType="begin"/>
      </w:r>
      <w:r w:rsidRPr="0045720B">
        <w:rPr>
          <w:lang w:val="en-CA"/>
        </w:rPr>
        <w:instrText xml:space="preserve"> REF _Ref177748113 \r \h  \* MERGEFORMAT </w:instrText>
      </w:r>
      <w:r w:rsidRPr="0045720B">
        <w:rPr>
          <w:lang w:val="en-CA"/>
        </w:rPr>
      </w:r>
      <w:r w:rsidRPr="0045720B">
        <w:rPr>
          <w:lang w:val="en-CA"/>
        </w:rPr>
        <w:fldChar w:fldCharType="separate"/>
      </w:r>
      <w:r w:rsidR="00EB635D">
        <w:rPr>
          <w:lang w:val="en-CA"/>
        </w:rPr>
        <w:t>[152]</w:t>
      </w:r>
      <w:r w:rsidRPr="0045720B">
        <w:rPr>
          <w:lang w:val="en-CA"/>
        </w:rPr>
        <w:fldChar w:fldCharType="end"/>
      </w:r>
      <w:r w:rsidRPr="0045720B">
        <w:rPr>
          <w:lang w:val="en-CA"/>
        </w:rPr>
        <w:t xml:space="preserve"> to </w:t>
      </w:r>
      <w:r w:rsidRPr="0045720B">
        <w:rPr>
          <w:lang w:val="en-CA"/>
        </w:rPr>
        <w:fldChar w:fldCharType="begin"/>
      </w:r>
      <w:r w:rsidRPr="0045720B">
        <w:rPr>
          <w:lang w:val="en-CA"/>
        </w:rPr>
        <w:instrText xml:space="preserve"> REF _Ref180158645 \r \h </w:instrText>
      </w:r>
      <w:r w:rsidRPr="0045720B">
        <w:rPr>
          <w:lang w:val="en-CA"/>
        </w:rPr>
      </w:r>
      <w:r w:rsidRPr="0045720B">
        <w:rPr>
          <w:lang w:val="en-CA"/>
        </w:rPr>
        <w:fldChar w:fldCharType="separate"/>
      </w:r>
      <w:r w:rsidR="00EB635D">
        <w:rPr>
          <w:lang w:val="en-CA"/>
        </w:rPr>
        <w:t>[216]</w:t>
      </w:r>
      <w:r w:rsidRPr="0045720B">
        <w:rPr>
          <w:lang w:val="en-CA"/>
        </w:rPr>
        <w:fldChar w:fldCharType="end"/>
      </w:r>
      <w:r w:rsidRPr="0045720B">
        <w:rPr>
          <w:lang w:val="en-CA"/>
        </w:rPr>
        <w:t>.</w:t>
      </w:r>
    </w:p>
  </w:footnote>
  <w:footnote w:id="95">
    <w:p w14:paraId="27B44240" w14:textId="227C5795" w:rsidR="00E27CEF" w:rsidRPr="0045720B" w:rsidRDefault="00E27CEF" w:rsidP="00E27CEF">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A </w:t>
      </w:r>
      <w:r w:rsidR="005C64AC" w:rsidRPr="0045720B">
        <w:rPr>
          <w:lang w:val="en-CA"/>
        </w:rPr>
        <w:t xml:space="preserve">street </w:t>
      </w:r>
      <w:r w:rsidRPr="0045720B">
        <w:rPr>
          <w:lang w:val="en-CA"/>
        </w:rPr>
        <w:t xml:space="preserve">check corresponds to any intervention where a police officer </w:t>
      </w:r>
      <w:r w:rsidR="005C64AC" w:rsidRPr="0045720B">
        <w:rPr>
          <w:lang w:val="en-CA"/>
        </w:rPr>
        <w:t xml:space="preserve">seeks </w:t>
      </w:r>
      <w:r w:rsidRPr="0045720B">
        <w:rPr>
          <w:rFonts w:cs="Arial"/>
          <w:lang w:val="en-CA"/>
        </w:rPr>
        <w:t>[</w:t>
      </w:r>
      <w:r w:rsidRPr="0045720B">
        <w:rPr>
          <w:rFonts w:cs="Arial"/>
          <w:smallCaps/>
          <w:lang w:val="en-CA"/>
        </w:rPr>
        <w:t>translation</w:t>
      </w:r>
      <w:r w:rsidRPr="0045720B">
        <w:rPr>
          <w:rFonts w:cs="Arial"/>
          <w:lang w:val="en-CA"/>
        </w:rPr>
        <w:t>]</w:t>
      </w:r>
      <w:r w:rsidRPr="0045720B">
        <w:rPr>
          <w:lang w:val="en-CA"/>
        </w:rPr>
        <w:t xml:space="preserve"> “information on one or more individuals </w:t>
      </w:r>
      <w:r w:rsidR="00A074D8">
        <w:rPr>
          <w:lang w:val="en-CA"/>
        </w:rPr>
        <w:t>[</w:t>
      </w:r>
      <w:r w:rsidRPr="0045720B">
        <w:rPr>
          <w:lang w:val="en-CA"/>
        </w:rPr>
        <w:t>…</w:t>
      </w:r>
      <w:r w:rsidR="00A074D8">
        <w:rPr>
          <w:lang w:val="en-CA"/>
        </w:rPr>
        <w:t>]</w:t>
      </w:r>
      <w:r w:rsidRPr="0045720B">
        <w:rPr>
          <w:lang w:val="en-CA"/>
        </w:rPr>
        <w:t xml:space="preserve"> for an operation </w:t>
      </w:r>
      <w:r w:rsidR="00A074D8">
        <w:rPr>
          <w:lang w:val="en-CA"/>
        </w:rPr>
        <w:t>[</w:t>
      </w:r>
      <w:r w:rsidRPr="0045720B">
        <w:rPr>
          <w:lang w:val="en-CA"/>
        </w:rPr>
        <w:t>…</w:t>
      </w:r>
      <w:r w:rsidR="00A074D8">
        <w:rPr>
          <w:lang w:val="en-CA"/>
        </w:rPr>
        <w:t>]</w:t>
      </w:r>
      <w:r w:rsidRPr="0045720B">
        <w:rPr>
          <w:lang w:val="en-CA"/>
        </w:rPr>
        <w:t>, without the authority to compel the citizen to answer” (Exhibit P-1, Expert report of Massimiliano Mulone, January </w:t>
      </w:r>
      <w:r w:rsidR="005C3E1D">
        <w:rPr>
          <w:lang w:val="en-CA"/>
        </w:rPr>
        <w:t xml:space="preserve">31, </w:t>
      </w:r>
      <w:r w:rsidRPr="0045720B">
        <w:rPr>
          <w:lang w:val="en-CA"/>
        </w:rPr>
        <w:t>2022</w:t>
      </w:r>
      <w:r w:rsidR="001E1B82">
        <w:rPr>
          <w:lang w:val="en-CA"/>
        </w:rPr>
        <w:t>,</w:t>
      </w:r>
      <w:r w:rsidR="00706F32">
        <w:rPr>
          <w:lang w:val="en-CA"/>
        </w:rPr>
        <w:t xml:space="preserve"> p. 2</w:t>
      </w:r>
      <w:r w:rsidRPr="0045720B">
        <w:rPr>
          <w:lang w:val="en-CA"/>
        </w:rPr>
        <w:t>). The officer’s request for information does not</w:t>
      </w:r>
      <w:r w:rsidR="008E072D">
        <w:rPr>
          <w:lang w:val="en-CA"/>
        </w:rPr>
        <w:t>,</w:t>
      </w:r>
      <w:r w:rsidRPr="0045720B">
        <w:rPr>
          <w:lang w:val="en-CA"/>
        </w:rPr>
        <w:t xml:space="preserve"> </w:t>
      </w:r>
      <w:r w:rsidR="008E072D" w:rsidRPr="0045720B">
        <w:rPr>
          <w:lang w:val="en-CA"/>
        </w:rPr>
        <w:t>in principle</w:t>
      </w:r>
      <w:r w:rsidR="008E072D">
        <w:rPr>
          <w:lang w:val="en-CA"/>
        </w:rPr>
        <w:t>,</w:t>
      </w:r>
      <w:r w:rsidR="008E072D" w:rsidRPr="0045720B">
        <w:rPr>
          <w:lang w:val="en-CA"/>
        </w:rPr>
        <w:t xml:space="preserve"> </w:t>
      </w:r>
      <w:r w:rsidRPr="0045720B">
        <w:rPr>
          <w:lang w:val="en-CA"/>
        </w:rPr>
        <w:t xml:space="preserve">involve an obligation for the citizen. As a general rule, </w:t>
      </w:r>
      <w:r w:rsidR="005C64AC" w:rsidRPr="0045720B">
        <w:rPr>
          <w:lang w:val="en-CA"/>
        </w:rPr>
        <w:t xml:space="preserve">a street </w:t>
      </w:r>
      <w:r w:rsidRPr="0045720B">
        <w:rPr>
          <w:lang w:val="en-CA"/>
        </w:rPr>
        <w:t xml:space="preserve">check is not a form of detention </w:t>
      </w:r>
      <w:r w:rsidR="005C64AC" w:rsidRPr="0045720B">
        <w:rPr>
          <w:lang w:val="en-CA"/>
        </w:rPr>
        <w:t xml:space="preserve">contemplated </w:t>
      </w:r>
      <w:r w:rsidRPr="0045720B">
        <w:rPr>
          <w:lang w:val="en-CA"/>
        </w:rPr>
        <w:t xml:space="preserve">by s. 9 of the </w:t>
      </w:r>
      <w:r w:rsidRPr="0045720B">
        <w:rPr>
          <w:i/>
          <w:iCs/>
          <w:lang w:val="en-CA"/>
        </w:rPr>
        <w:t>Charter</w:t>
      </w:r>
      <w:r w:rsidRPr="0045720B">
        <w:rPr>
          <w:lang w:val="en-CA"/>
        </w:rPr>
        <w:t xml:space="preserve"> because, by definition, the person </w:t>
      </w:r>
      <w:r w:rsidR="005C64AC" w:rsidRPr="0045720B">
        <w:rPr>
          <w:lang w:val="en-CA"/>
        </w:rPr>
        <w:t xml:space="preserve">checked </w:t>
      </w:r>
      <w:r w:rsidRPr="0045720B">
        <w:rPr>
          <w:lang w:val="en-CA"/>
        </w:rPr>
        <w:t xml:space="preserve">is free to leave. This </w:t>
      </w:r>
      <w:r w:rsidR="005C64AC" w:rsidRPr="0045720B">
        <w:rPr>
          <w:lang w:val="en-CA"/>
        </w:rPr>
        <w:t xml:space="preserve">is </w:t>
      </w:r>
      <w:r w:rsidRPr="0045720B">
        <w:rPr>
          <w:lang w:val="en-CA"/>
        </w:rPr>
        <w:t xml:space="preserve">not </w:t>
      </w:r>
      <w:r w:rsidR="005C64AC" w:rsidRPr="0045720B">
        <w:rPr>
          <w:lang w:val="en-CA"/>
        </w:rPr>
        <w:t>true of</w:t>
      </w:r>
      <w:r w:rsidRPr="0045720B">
        <w:rPr>
          <w:lang w:val="en-CA"/>
        </w:rPr>
        <w:t xml:space="preserve"> a traffic stop, which involves a form of </w:t>
      </w:r>
      <w:r w:rsidR="00D1141A">
        <w:rPr>
          <w:lang w:val="en-CA"/>
        </w:rPr>
        <w:t>coercion</w:t>
      </w:r>
      <w:r w:rsidR="00D1141A" w:rsidRPr="0045720B">
        <w:rPr>
          <w:lang w:val="en-CA"/>
        </w:rPr>
        <w:t xml:space="preserve"> </w:t>
      </w:r>
      <w:r w:rsidRPr="0045720B">
        <w:rPr>
          <w:lang w:val="en-CA"/>
        </w:rPr>
        <w:t xml:space="preserve">(see in this regard: </w:t>
      </w:r>
      <w:r w:rsidR="004377E7" w:rsidRPr="0045720B">
        <w:rPr>
          <w:lang w:val="en-CA"/>
        </w:rPr>
        <w:t>below</w:t>
      </w:r>
      <w:r w:rsidR="00836239">
        <w:rPr>
          <w:lang w:val="en-CA"/>
        </w:rPr>
        <w:t>,</w:t>
      </w:r>
      <w:r w:rsidR="005C64AC" w:rsidRPr="0045720B">
        <w:rPr>
          <w:i/>
          <w:iCs/>
          <w:lang w:val="en-CA"/>
        </w:rPr>
        <w:t xml:space="preserve"> </w:t>
      </w:r>
      <w:r w:rsidRPr="0045720B">
        <w:rPr>
          <w:lang w:val="en-CA"/>
        </w:rPr>
        <w:t>paras. </w:t>
      </w:r>
      <w:r w:rsidRPr="0045720B">
        <w:rPr>
          <w:lang w:val="en-CA"/>
        </w:rPr>
        <w:fldChar w:fldCharType="begin"/>
      </w:r>
      <w:r w:rsidRPr="0045720B">
        <w:rPr>
          <w:lang w:val="en-CA"/>
        </w:rPr>
        <w:instrText xml:space="preserve"> REF _Ref178072375 \r \h </w:instrText>
      </w:r>
      <w:r w:rsidRPr="0045720B">
        <w:rPr>
          <w:lang w:val="en-CA"/>
        </w:rPr>
      </w:r>
      <w:r w:rsidRPr="0045720B">
        <w:rPr>
          <w:lang w:val="en-CA"/>
        </w:rPr>
        <w:fldChar w:fldCharType="separate"/>
      </w:r>
      <w:r w:rsidR="00EB635D">
        <w:rPr>
          <w:lang w:val="en-CA"/>
        </w:rPr>
        <w:t>[103]</w:t>
      </w:r>
      <w:r w:rsidRPr="0045720B">
        <w:rPr>
          <w:lang w:val="en-CA"/>
        </w:rPr>
        <w:fldChar w:fldCharType="end"/>
      </w:r>
      <w:r w:rsidRPr="0045720B">
        <w:rPr>
          <w:lang w:val="en-CA"/>
        </w:rPr>
        <w:t xml:space="preserve"> and </w:t>
      </w:r>
      <w:r w:rsidRPr="0045720B">
        <w:rPr>
          <w:lang w:val="en-CA"/>
        </w:rPr>
        <w:fldChar w:fldCharType="begin"/>
      </w:r>
      <w:r w:rsidRPr="0045720B">
        <w:rPr>
          <w:lang w:val="en-CA"/>
        </w:rPr>
        <w:instrText xml:space="preserve"> REF _Ref178072381 \r \h </w:instrText>
      </w:r>
      <w:r w:rsidRPr="0045720B">
        <w:rPr>
          <w:lang w:val="en-CA"/>
        </w:rPr>
      </w:r>
      <w:r w:rsidRPr="0045720B">
        <w:rPr>
          <w:lang w:val="en-CA"/>
        </w:rPr>
        <w:fldChar w:fldCharType="separate"/>
      </w:r>
      <w:r w:rsidR="00EB635D">
        <w:rPr>
          <w:lang w:val="en-CA"/>
        </w:rPr>
        <w:t>[104]</w:t>
      </w:r>
      <w:r w:rsidRPr="0045720B">
        <w:rPr>
          <w:lang w:val="en-CA"/>
        </w:rPr>
        <w:fldChar w:fldCharType="end"/>
      </w:r>
      <w:r w:rsidRPr="0045720B">
        <w:rPr>
          <w:lang w:val="en-CA"/>
        </w:rPr>
        <w:t>).</w:t>
      </w:r>
    </w:p>
  </w:footnote>
  <w:footnote w:id="96">
    <w:p w14:paraId="5737F606" w14:textId="49F74A4E" w:rsidR="00E27CEF" w:rsidRPr="0045720B" w:rsidRDefault="00E27CEF" w:rsidP="00E27CEF">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P-1, Expert report of Massimiliano Mulone, January </w:t>
      </w:r>
      <w:r w:rsidR="00C71486">
        <w:rPr>
          <w:lang w:val="en-CA"/>
        </w:rPr>
        <w:t xml:space="preserve">31, </w:t>
      </w:r>
      <w:r w:rsidRPr="0045720B">
        <w:rPr>
          <w:lang w:val="en-CA"/>
        </w:rPr>
        <w:t>2022</w:t>
      </w:r>
      <w:r w:rsidR="001E1B82">
        <w:rPr>
          <w:lang w:val="en-CA"/>
        </w:rPr>
        <w:t>,</w:t>
      </w:r>
      <w:r w:rsidR="00706F32">
        <w:rPr>
          <w:lang w:val="en-CA"/>
        </w:rPr>
        <w:t xml:space="preserve"> p. 1</w:t>
      </w:r>
      <w:r w:rsidRPr="0045720B">
        <w:rPr>
          <w:lang w:val="en-CA"/>
        </w:rPr>
        <w:t>6.</w:t>
      </w:r>
    </w:p>
  </w:footnote>
  <w:footnote w:id="97">
    <w:p w14:paraId="5D657B38" w14:textId="109A30A4" w:rsidR="00E27CEF" w:rsidRPr="0045720B" w:rsidRDefault="00E27CEF" w:rsidP="00E27CEF">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706F32">
        <w:rPr>
          <w:lang w:val="en-CA"/>
        </w:rPr>
        <w:t>, p. 1</w:t>
      </w:r>
      <w:r w:rsidRPr="0045720B">
        <w:rPr>
          <w:lang w:val="en-CA"/>
        </w:rPr>
        <w:t>8. See also: Steven Penney, “Driving While Innocent: Curbing the Excesses of “Traffic Stop” Power”, (2019) 24 Can</w:t>
      </w:r>
      <w:r w:rsidR="00BA6A4A">
        <w:rPr>
          <w:lang w:val="en-CA"/>
        </w:rPr>
        <w:t>.</w:t>
      </w:r>
      <w:r w:rsidRPr="0045720B">
        <w:rPr>
          <w:lang w:val="en-CA"/>
        </w:rPr>
        <w:t xml:space="preserve"> Crim</w:t>
      </w:r>
      <w:r w:rsidR="00BA6A4A">
        <w:rPr>
          <w:lang w:val="en-CA"/>
        </w:rPr>
        <w:t>.</w:t>
      </w:r>
      <w:r w:rsidRPr="0045720B">
        <w:rPr>
          <w:lang w:val="en-CA"/>
        </w:rPr>
        <w:t xml:space="preserve"> L</w:t>
      </w:r>
      <w:r w:rsidR="00BA6A4A">
        <w:rPr>
          <w:lang w:val="en-CA"/>
        </w:rPr>
        <w:t>.</w:t>
      </w:r>
      <w:r w:rsidRPr="0045720B">
        <w:rPr>
          <w:lang w:val="en-CA"/>
        </w:rPr>
        <w:t xml:space="preserve"> Rev</w:t>
      </w:r>
      <w:r w:rsidR="00BA6A4A">
        <w:rPr>
          <w:lang w:val="en-CA"/>
        </w:rPr>
        <w:t>.</w:t>
      </w:r>
      <w:r w:rsidRPr="0045720B">
        <w:rPr>
          <w:lang w:val="en-CA"/>
        </w:rPr>
        <w:t xml:space="preserve"> 339</w:t>
      </w:r>
      <w:r w:rsidR="00083108">
        <w:rPr>
          <w:lang w:val="en-CA"/>
        </w:rPr>
        <w:t>, pp. 3</w:t>
      </w:r>
      <w:r w:rsidRPr="0045720B">
        <w:rPr>
          <w:lang w:val="en-CA"/>
        </w:rPr>
        <w:t>63–367.</w:t>
      </w:r>
    </w:p>
  </w:footnote>
  <w:footnote w:id="98">
    <w:p w14:paraId="625D71C6" w14:textId="0A05B65B" w:rsidR="00FA63C3" w:rsidRPr="0045720B" w:rsidRDefault="00FA63C3" w:rsidP="00FA63C3">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P-1, Expert report of Massimiliano Mulone, January </w:t>
      </w:r>
      <w:r w:rsidR="003954B8">
        <w:rPr>
          <w:lang w:val="en-CA"/>
        </w:rPr>
        <w:t xml:space="preserve">31, </w:t>
      </w:r>
      <w:r w:rsidRPr="0045720B">
        <w:rPr>
          <w:lang w:val="en-CA"/>
        </w:rPr>
        <w:t>2022</w:t>
      </w:r>
      <w:r w:rsidR="001E1B82">
        <w:rPr>
          <w:lang w:val="en-CA"/>
        </w:rPr>
        <w:t>,</w:t>
      </w:r>
      <w:r w:rsidR="00706F32">
        <w:rPr>
          <w:lang w:val="en-CA"/>
        </w:rPr>
        <w:t xml:space="preserve"> p. 2</w:t>
      </w:r>
      <w:r w:rsidRPr="0045720B">
        <w:rPr>
          <w:lang w:val="en-CA"/>
        </w:rPr>
        <w:t>3.</w:t>
      </w:r>
    </w:p>
  </w:footnote>
  <w:footnote w:id="99">
    <w:p w14:paraId="63DAFFF5" w14:textId="1FF932F3" w:rsidR="00FA63C3" w:rsidRPr="0045720B" w:rsidRDefault="00FA63C3" w:rsidP="00FA63C3">
      <w:pPr>
        <w:autoSpaceDE w:val="0"/>
        <w:autoSpaceDN w:val="0"/>
        <w:adjustRightInd w:val="0"/>
        <w:spacing w:line="240" w:lineRule="auto"/>
        <w:ind w:left="357" w:hanging="357"/>
        <w:jc w:val="both"/>
        <w:rPr>
          <w:rFonts w:cs="Arial"/>
          <w:i/>
          <w:iCs/>
          <w:sz w:val="20"/>
          <w:lang w:val="en-CA" w:eastAsia="fr-CA"/>
        </w:rPr>
      </w:pPr>
      <w:r w:rsidRPr="0045720B">
        <w:rPr>
          <w:rStyle w:val="Appelnotedebasdep"/>
          <w:sz w:val="20"/>
          <w:lang w:val="en-CA"/>
        </w:rPr>
        <w:footnoteRef/>
      </w:r>
      <w:r w:rsidRPr="0045720B">
        <w:rPr>
          <w:rFonts w:cs="Arial"/>
          <w:sz w:val="20"/>
          <w:lang w:val="en-CA"/>
        </w:rPr>
        <w:t xml:space="preserve"> </w:t>
      </w:r>
      <w:r w:rsidRPr="0045720B">
        <w:rPr>
          <w:rFonts w:cs="Arial"/>
          <w:sz w:val="20"/>
          <w:lang w:val="en-CA"/>
        </w:rPr>
        <w:tab/>
        <w:t>The Ontario Human Rights Commission differ</w:t>
      </w:r>
      <w:r w:rsidR="00BA6A4A">
        <w:rPr>
          <w:rFonts w:cs="Arial"/>
          <w:sz w:val="20"/>
          <w:lang w:val="en-CA"/>
        </w:rPr>
        <w:t>entiates</w:t>
      </w:r>
      <w:r w:rsidRPr="0045720B">
        <w:rPr>
          <w:rFonts w:cs="Arial"/>
          <w:sz w:val="20"/>
          <w:lang w:val="en-CA"/>
        </w:rPr>
        <w:t xml:space="preserve"> racial profiling and criminal profiling: “</w:t>
      </w:r>
      <w:r w:rsidR="004F4EF9">
        <w:rPr>
          <w:rFonts w:cs="Arial"/>
          <w:sz w:val="20"/>
          <w:lang w:val="en-CA"/>
        </w:rPr>
        <w:t>[</w:t>
      </w:r>
      <w:r w:rsidRPr="0045720B">
        <w:rPr>
          <w:rFonts w:cs="Arial"/>
          <w:sz w:val="20"/>
          <w:lang w:val="en-CA" w:eastAsia="fr-CA"/>
        </w:rPr>
        <w:t>...</w:t>
      </w:r>
      <w:r w:rsidR="004F4EF9">
        <w:rPr>
          <w:rFonts w:cs="Arial"/>
          <w:sz w:val="20"/>
          <w:lang w:val="en-CA" w:eastAsia="fr-CA"/>
        </w:rPr>
        <w:t>]</w:t>
      </w:r>
      <w:r w:rsidRPr="0045720B">
        <w:rPr>
          <w:rFonts w:cs="Arial"/>
          <w:sz w:val="20"/>
          <w:lang w:val="en-CA" w:eastAsia="fr-CA"/>
        </w:rPr>
        <w:t xml:space="preserve"> racial profiling differs from criminal profiling which isn’t based on stereotypes but rather relies on actual behaviour or on information about suspected activity by someone who meets the description of a specific individual. In other words, criminal profiling is not the same as racial profiling since the former is based on objective evidence of wrongful behaviour while racial profiling is based on stereotypical assumptions”: Exhibit P-4, </w:t>
      </w:r>
      <w:r w:rsidRPr="0045720B">
        <w:rPr>
          <w:sz w:val="20"/>
          <w:lang w:val="en-CA"/>
        </w:rPr>
        <w:t xml:space="preserve">Expert report of Marie-Ève Sylvestre, February </w:t>
      </w:r>
      <w:r w:rsidR="001F499F">
        <w:rPr>
          <w:sz w:val="20"/>
          <w:lang w:val="en-CA"/>
        </w:rPr>
        <w:t xml:space="preserve">7, </w:t>
      </w:r>
      <w:r w:rsidRPr="0045720B">
        <w:rPr>
          <w:sz w:val="20"/>
          <w:lang w:val="en-CA"/>
        </w:rPr>
        <w:t xml:space="preserve">2022, </w:t>
      </w:r>
      <w:r w:rsidR="00BA6A4A">
        <w:rPr>
          <w:sz w:val="20"/>
          <w:lang w:val="en-CA"/>
        </w:rPr>
        <w:t xml:space="preserve">appendix </w:t>
      </w:r>
      <w:r w:rsidRPr="0045720B">
        <w:rPr>
          <w:sz w:val="20"/>
          <w:lang w:val="en-CA"/>
        </w:rPr>
        <w:t xml:space="preserve">MES-055, </w:t>
      </w:r>
      <w:r w:rsidRPr="0045720B">
        <w:rPr>
          <w:rFonts w:cs="Arial"/>
          <w:sz w:val="20"/>
          <w:lang w:val="en-CA" w:eastAsia="fr-CA"/>
        </w:rPr>
        <w:t xml:space="preserve">Ontario Human Rights Commission, </w:t>
      </w:r>
      <w:r w:rsidRPr="0045720B">
        <w:rPr>
          <w:i/>
          <w:iCs/>
          <w:sz w:val="20"/>
          <w:lang w:val="en-CA"/>
        </w:rPr>
        <w:t>Paying the Price: The Human Cost of Racial Profiling – Inquiry Report</w:t>
      </w:r>
      <w:r w:rsidRPr="0045720B">
        <w:rPr>
          <w:sz w:val="20"/>
          <w:lang w:val="en-CA"/>
        </w:rPr>
        <w:t>, 2003</w:t>
      </w:r>
      <w:r w:rsidR="001E1B82">
        <w:rPr>
          <w:sz w:val="20"/>
          <w:lang w:val="en-CA"/>
        </w:rPr>
        <w:t>,</w:t>
      </w:r>
      <w:r w:rsidR="00083108">
        <w:rPr>
          <w:sz w:val="20"/>
          <w:lang w:val="en-CA"/>
        </w:rPr>
        <w:t xml:space="preserve"> p. 6</w:t>
      </w:r>
      <w:r w:rsidRPr="0045720B">
        <w:rPr>
          <w:rFonts w:cs="Arial"/>
          <w:sz w:val="20"/>
          <w:lang w:val="en-CA" w:eastAsia="fr-CA"/>
        </w:rPr>
        <w:t>.</w:t>
      </w:r>
    </w:p>
  </w:footnote>
  <w:footnote w:id="100">
    <w:p w14:paraId="41B58B98" w14:textId="4C0E0FE4" w:rsidR="005A1C52" w:rsidRPr="0045720B" w:rsidRDefault="0043013D" w:rsidP="005A1C52">
      <w:pPr>
        <w:pStyle w:val="Notedebasdepage"/>
        <w:rPr>
          <w:lang w:val="en-CA"/>
        </w:rPr>
      </w:pPr>
      <w:r w:rsidRPr="0045720B">
        <w:rPr>
          <w:rStyle w:val="Appelnotedebasdep"/>
          <w:lang w:val="en-CA"/>
        </w:rPr>
        <w:footnoteRef/>
      </w:r>
      <w:r w:rsidR="00B75D6F" w:rsidRPr="0045720B">
        <w:rPr>
          <w:lang w:val="en-CA"/>
        </w:rPr>
        <w:t xml:space="preserve"> </w:t>
      </w:r>
      <w:r w:rsidR="00B75D6F" w:rsidRPr="0045720B">
        <w:rPr>
          <w:lang w:val="en-CA"/>
        </w:rPr>
        <w:tab/>
      </w:r>
      <w:r w:rsidR="00A83261" w:rsidRPr="0045720B">
        <w:rPr>
          <w:lang w:val="en-CA"/>
        </w:rPr>
        <w:t>Exhibit</w:t>
      </w:r>
      <w:r w:rsidR="00B75D6F" w:rsidRPr="0045720B">
        <w:rPr>
          <w:lang w:val="en-CA"/>
        </w:rPr>
        <w:t xml:space="preserve"> P-1, </w:t>
      </w:r>
      <w:r w:rsidR="00293A4C" w:rsidRPr="0045720B">
        <w:rPr>
          <w:lang w:val="en-CA"/>
        </w:rPr>
        <w:t>Expert report of</w:t>
      </w:r>
      <w:r w:rsidR="00B75D6F" w:rsidRPr="0045720B">
        <w:rPr>
          <w:lang w:val="en-CA"/>
        </w:rPr>
        <w:t xml:space="preserve"> Massimiliano Mulone, </w:t>
      </w:r>
      <w:r w:rsidR="00293A4C" w:rsidRPr="0045720B">
        <w:rPr>
          <w:lang w:val="en-CA"/>
        </w:rPr>
        <w:t>January</w:t>
      </w:r>
      <w:r w:rsidR="00B75D6F" w:rsidRPr="0045720B">
        <w:rPr>
          <w:lang w:val="en-CA"/>
        </w:rPr>
        <w:t xml:space="preserve"> </w:t>
      </w:r>
      <w:r w:rsidR="00E01580">
        <w:rPr>
          <w:lang w:val="en-CA"/>
        </w:rPr>
        <w:t xml:space="preserve">31, </w:t>
      </w:r>
      <w:r w:rsidR="00B75D6F" w:rsidRPr="0045720B">
        <w:rPr>
          <w:lang w:val="en-CA"/>
        </w:rPr>
        <w:t>2022</w:t>
      </w:r>
      <w:r w:rsidR="001E1B82">
        <w:rPr>
          <w:lang w:val="en-CA"/>
        </w:rPr>
        <w:t>,</w:t>
      </w:r>
      <w:r w:rsidR="00706F32">
        <w:rPr>
          <w:lang w:val="en-CA"/>
        </w:rPr>
        <w:t xml:space="preserve"> p. 2</w:t>
      </w:r>
      <w:r w:rsidR="00B75D6F" w:rsidRPr="0045720B">
        <w:rPr>
          <w:lang w:val="en-CA"/>
        </w:rPr>
        <w:t xml:space="preserve">7. </w:t>
      </w:r>
    </w:p>
  </w:footnote>
  <w:footnote w:id="101">
    <w:p w14:paraId="6CB9309D" w14:textId="023F0AED" w:rsidR="005A1C52" w:rsidRPr="0045720B" w:rsidRDefault="0043013D" w:rsidP="005A1C5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93A4C" w:rsidRPr="0045720B">
        <w:rPr>
          <w:i/>
          <w:iCs/>
          <w:lang w:val="en-CA"/>
        </w:rPr>
        <w:t>Id.</w:t>
      </w:r>
      <w:r w:rsidR="00706F32">
        <w:rPr>
          <w:lang w:val="en-CA"/>
        </w:rPr>
        <w:t>, p. 2</w:t>
      </w:r>
      <w:r w:rsidRPr="0045720B">
        <w:rPr>
          <w:lang w:val="en-CA"/>
        </w:rPr>
        <w:t>9.</w:t>
      </w:r>
    </w:p>
  </w:footnote>
  <w:footnote w:id="102">
    <w:p w14:paraId="0751F798" w14:textId="272B4C70" w:rsidR="00FA63C3" w:rsidRPr="0045720B" w:rsidRDefault="00FA63C3" w:rsidP="00FA63C3">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P-4, Expert report of Marie-Ève Sylvestre, February </w:t>
      </w:r>
      <w:r w:rsidR="00E01580">
        <w:rPr>
          <w:lang w:val="en-CA"/>
        </w:rPr>
        <w:t xml:space="preserve">7, </w:t>
      </w:r>
      <w:r w:rsidRPr="0045720B">
        <w:rPr>
          <w:lang w:val="en-CA"/>
        </w:rPr>
        <w:t>2022</w:t>
      </w:r>
      <w:r w:rsidR="001E1B82">
        <w:rPr>
          <w:lang w:val="en-CA"/>
        </w:rPr>
        <w:t>,</w:t>
      </w:r>
      <w:r w:rsidR="00706F32">
        <w:rPr>
          <w:lang w:val="en-CA"/>
        </w:rPr>
        <w:t xml:space="preserve"> p. 1</w:t>
      </w:r>
      <w:r w:rsidRPr="0045720B">
        <w:rPr>
          <w:lang w:val="en-CA"/>
        </w:rPr>
        <w:t>7.</w:t>
      </w:r>
    </w:p>
  </w:footnote>
  <w:footnote w:id="103">
    <w:p w14:paraId="58C5B422" w14:textId="5BEC9B3D" w:rsidR="00FA63C3" w:rsidRPr="0045720B" w:rsidRDefault="00FA63C3" w:rsidP="00FA63C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79799C" w:rsidRPr="0045720B">
        <w:rPr>
          <w:lang w:val="en-CA"/>
        </w:rPr>
        <w:t>.</w:t>
      </w:r>
      <w:r w:rsidRPr="0045720B">
        <w:rPr>
          <w:lang w:val="en-CA"/>
        </w:rPr>
        <w:t>C</w:t>
      </w:r>
      <w:r w:rsidR="0079799C" w:rsidRPr="0045720B">
        <w:rPr>
          <w:lang w:val="en-CA"/>
        </w:rPr>
        <w:t>.</w:t>
      </w:r>
      <w:r w:rsidRPr="0045720B">
        <w:rPr>
          <w:lang w:val="en-CA"/>
        </w:rPr>
        <w:t>R</w:t>
      </w:r>
      <w:r w:rsidR="0079799C" w:rsidRPr="0045720B">
        <w:rPr>
          <w:lang w:val="en-CA"/>
        </w:rPr>
        <w:t>.</w:t>
      </w:r>
      <w:r w:rsidRPr="0045720B">
        <w:rPr>
          <w:lang w:val="en-CA"/>
        </w:rPr>
        <w:t xml:space="preserve"> 1257</w:t>
      </w:r>
      <w:r w:rsidR="00706F32">
        <w:rPr>
          <w:lang w:val="en-CA"/>
        </w:rPr>
        <w:t>, p. 1</w:t>
      </w:r>
      <w:r w:rsidRPr="0045720B">
        <w:rPr>
          <w:lang w:val="en-CA"/>
        </w:rPr>
        <w:t>287 (majority reasons of Cory, J.).</w:t>
      </w:r>
    </w:p>
  </w:footnote>
  <w:footnote w:id="104">
    <w:p w14:paraId="38B661C0" w14:textId="77777777" w:rsidR="00FA63C3" w:rsidRPr="0045720B" w:rsidRDefault="00FA63C3" w:rsidP="00FA63C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Little Sisters Book and Art Emporium v. Canada (Minister of Justice)</w:t>
      </w:r>
      <w:r w:rsidRPr="0045720B">
        <w:rPr>
          <w:lang w:val="en-CA"/>
        </w:rPr>
        <w:t xml:space="preserve">, 2000 SCC 69 </w:t>
      </w:r>
      <w:r w:rsidRPr="0045720B">
        <w:rPr>
          <w:rFonts w:cs="Arial"/>
          <w:lang w:val="en-CA"/>
        </w:rPr>
        <w:t>[</w:t>
      </w:r>
      <w:r w:rsidRPr="0045720B">
        <w:rPr>
          <w:i/>
          <w:iCs/>
          <w:lang w:val="en-CA"/>
        </w:rPr>
        <w:t>Little Sisters</w:t>
      </w:r>
      <w:r w:rsidRPr="0045720B">
        <w:rPr>
          <w:rFonts w:cs="Arial"/>
          <w:lang w:val="en-CA"/>
        </w:rPr>
        <w:t>]</w:t>
      </w:r>
      <w:r w:rsidRPr="0045720B">
        <w:rPr>
          <w:lang w:val="en-CA"/>
        </w:rPr>
        <w:t>.</w:t>
      </w:r>
    </w:p>
  </w:footnote>
  <w:footnote w:id="105">
    <w:p w14:paraId="67ED0AFE" w14:textId="62761BB5" w:rsidR="00CF7AEB" w:rsidRPr="0045720B" w:rsidRDefault="00CF7AEB" w:rsidP="00CF7AE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A805BB">
        <w:rPr>
          <w:lang w:val="en-CA"/>
        </w:rPr>
        <w:t xml:space="preserve">, </w:t>
      </w:r>
      <w:r w:rsidRPr="0045720B">
        <w:rPr>
          <w:lang w:val="en-CA"/>
        </w:rPr>
        <w:t>para. 125.</w:t>
      </w:r>
    </w:p>
  </w:footnote>
  <w:footnote w:id="106">
    <w:p w14:paraId="0B47837E" w14:textId="76E106FE" w:rsidR="00CF7AEB" w:rsidRPr="0045720B" w:rsidRDefault="00CF7AEB" w:rsidP="00CF7AE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6567E0">
        <w:rPr>
          <w:i/>
          <w:iCs/>
          <w:lang w:val="en-CA"/>
        </w:rPr>
        <w:t>C</w:t>
      </w:r>
      <w:r w:rsidR="006567E0" w:rsidRPr="00B35C02">
        <w:rPr>
          <w:i/>
          <w:iCs/>
          <w:lang w:val="en-CA"/>
        </w:rPr>
        <w:t>f</w:t>
      </w:r>
      <w:r w:rsidR="006567E0">
        <w:rPr>
          <w:lang w:val="en-CA"/>
        </w:rPr>
        <w:t>.</w:t>
      </w:r>
      <w:r w:rsidRPr="0045720B">
        <w:rPr>
          <w:lang w:val="en-CA"/>
        </w:rPr>
        <w:t xml:space="preserve"> </w:t>
      </w:r>
      <w:r w:rsidRPr="0045720B">
        <w:rPr>
          <w:i/>
          <w:iCs/>
          <w:lang w:val="en-CA"/>
        </w:rPr>
        <w:t>R. v. Huf</w:t>
      </w:r>
      <w:r w:rsidR="00905D5E">
        <w:rPr>
          <w:i/>
          <w:iCs/>
          <w:lang w:val="en-CA"/>
        </w:rPr>
        <w:t>s</w:t>
      </w:r>
      <w:r w:rsidRPr="0045720B">
        <w:rPr>
          <w:i/>
          <w:iCs/>
          <w:lang w:val="en-CA"/>
        </w:rPr>
        <w:t>ky</w:t>
      </w:r>
      <w:r w:rsidRPr="0045720B">
        <w:rPr>
          <w:lang w:val="en-CA"/>
        </w:rPr>
        <w:t>, [1988] 1 S</w:t>
      </w:r>
      <w:r w:rsidR="00486271" w:rsidRPr="0045720B">
        <w:rPr>
          <w:lang w:val="en-CA"/>
        </w:rPr>
        <w:t>.</w:t>
      </w:r>
      <w:r w:rsidRPr="0045720B">
        <w:rPr>
          <w:lang w:val="en-CA"/>
        </w:rPr>
        <w:t>C</w:t>
      </w:r>
      <w:r w:rsidR="00486271" w:rsidRPr="0045720B">
        <w:rPr>
          <w:lang w:val="en-CA"/>
        </w:rPr>
        <w:t>.</w:t>
      </w:r>
      <w:r w:rsidRPr="0045720B">
        <w:rPr>
          <w:lang w:val="en-CA"/>
        </w:rPr>
        <w:t>R</w:t>
      </w:r>
      <w:r w:rsidR="00486271" w:rsidRPr="0045720B">
        <w:rPr>
          <w:lang w:val="en-CA"/>
        </w:rPr>
        <w:t>.</w:t>
      </w:r>
      <w:r w:rsidRPr="0045720B">
        <w:rPr>
          <w:lang w:val="en-CA"/>
        </w:rPr>
        <w:t xml:space="preserve"> 621</w:t>
      </w:r>
      <w:r w:rsidR="00083108">
        <w:rPr>
          <w:lang w:val="en-CA"/>
        </w:rPr>
        <w:t>, p. 6</w:t>
      </w:r>
      <w:r w:rsidRPr="0045720B">
        <w:rPr>
          <w:lang w:val="en-CA"/>
        </w:rPr>
        <w:t xml:space="preserve">33, cited in: </w:t>
      </w:r>
      <w:r w:rsidRPr="0045720B">
        <w:rPr>
          <w:i/>
          <w:iCs/>
          <w:lang w:val="en-CA"/>
        </w:rPr>
        <w:t>R. v. Ladouceur</w:t>
      </w:r>
      <w:r w:rsidRPr="0045720B">
        <w:rPr>
          <w:lang w:val="en-CA"/>
        </w:rPr>
        <w:t>, [1990] 1 S</w:t>
      </w:r>
      <w:r w:rsidR="00486271" w:rsidRPr="0045720B">
        <w:rPr>
          <w:lang w:val="en-CA"/>
        </w:rPr>
        <w:t>.</w:t>
      </w:r>
      <w:r w:rsidRPr="0045720B">
        <w:rPr>
          <w:lang w:val="en-CA"/>
        </w:rPr>
        <w:t>C</w:t>
      </w:r>
      <w:r w:rsidR="00486271" w:rsidRPr="0045720B">
        <w:rPr>
          <w:lang w:val="en-CA"/>
        </w:rPr>
        <w:t>.</w:t>
      </w:r>
      <w:r w:rsidRPr="0045720B">
        <w:rPr>
          <w:lang w:val="en-CA"/>
        </w:rPr>
        <w:t>R</w:t>
      </w:r>
      <w:r w:rsidR="00486271" w:rsidRPr="0045720B">
        <w:rPr>
          <w:lang w:val="en-CA"/>
        </w:rPr>
        <w:t>.</w:t>
      </w:r>
      <w:r w:rsidRPr="0045720B">
        <w:rPr>
          <w:lang w:val="en-CA"/>
        </w:rPr>
        <w:t xml:space="preserve"> 1257</w:t>
      </w:r>
      <w:r w:rsidR="00706F32">
        <w:rPr>
          <w:lang w:val="en-CA"/>
        </w:rPr>
        <w:t>, p. 1</w:t>
      </w:r>
      <w:r w:rsidRPr="0045720B">
        <w:rPr>
          <w:lang w:val="en-CA"/>
        </w:rPr>
        <w:t>277.</w:t>
      </w:r>
    </w:p>
  </w:footnote>
  <w:footnote w:id="107">
    <w:p w14:paraId="090CCF7C" w14:textId="0B4A9BFB" w:rsidR="001579A9" w:rsidRPr="00077E55" w:rsidRDefault="001579A9" w:rsidP="001579A9">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Kirkpatrick</w:t>
      </w:r>
      <w:r w:rsidRPr="0045720B">
        <w:rPr>
          <w:lang w:val="en-CA"/>
        </w:rPr>
        <w:t>, 2022 SCC 33</w:t>
      </w:r>
      <w:r w:rsidR="005D436F">
        <w:rPr>
          <w:lang w:val="en-CA"/>
        </w:rPr>
        <w:t>, para.</w:t>
      </w:r>
      <w:r w:rsidRPr="0045720B">
        <w:rPr>
          <w:lang w:val="en-CA"/>
        </w:rPr>
        <w:t xml:space="preserve"> </w:t>
      </w:r>
      <w:r w:rsidRPr="00077E55">
        <w:t xml:space="preserve">178; </w:t>
      </w:r>
      <w:r w:rsidRPr="00077E55">
        <w:rPr>
          <w:i/>
          <w:iCs/>
        </w:rPr>
        <w:t>R. v. Sullivan</w:t>
      </w:r>
      <w:r w:rsidRPr="00077E55">
        <w:t>, 2022 SCC 19</w:t>
      </w:r>
      <w:r w:rsidR="005D436F" w:rsidRPr="00077E55">
        <w:t>, para.</w:t>
      </w:r>
      <w:r w:rsidRPr="00077E55">
        <w:t xml:space="preserve"> 64.</w:t>
      </w:r>
    </w:p>
  </w:footnote>
  <w:footnote w:id="108">
    <w:p w14:paraId="755FF285" w14:textId="3413F201" w:rsidR="001579A9" w:rsidRPr="0045720B" w:rsidRDefault="001579A9" w:rsidP="001579A9">
      <w:pPr>
        <w:pStyle w:val="Notedebasdepage"/>
        <w:rPr>
          <w:lang w:val="en-CA"/>
        </w:rPr>
      </w:pPr>
      <w:r w:rsidRPr="0045720B">
        <w:rPr>
          <w:rStyle w:val="Appelnotedebasdep"/>
          <w:lang w:val="en-CA"/>
        </w:rPr>
        <w:footnoteRef/>
      </w:r>
      <w:r w:rsidRPr="00077E55">
        <w:t xml:space="preserve"> </w:t>
      </w:r>
      <w:r w:rsidRPr="00077E55">
        <w:tab/>
      </w:r>
      <w:r w:rsidRPr="00077E55">
        <w:rPr>
          <w:i/>
          <w:iCs/>
        </w:rPr>
        <w:t>R. v. Henry</w:t>
      </w:r>
      <w:r w:rsidRPr="00077E55">
        <w:t>, 2005 SCC 76</w:t>
      </w:r>
      <w:r w:rsidR="00706F32" w:rsidRPr="00077E55">
        <w:t>, paras.</w:t>
      </w:r>
      <w:r w:rsidRPr="00077E55">
        <w:t xml:space="preserve"> 54–59; </w:t>
      </w:r>
      <w:r w:rsidRPr="00077E55">
        <w:rPr>
          <w:i/>
          <w:iCs/>
        </w:rPr>
        <w:t>R. c. Lapointe</w:t>
      </w:r>
      <w:r w:rsidRPr="00077E55">
        <w:t>, 2021 QCCA 360</w:t>
      </w:r>
      <w:r w:rsidR="005D436F" w:rsidRPr="00077E55">
        <w:t>, para.</w:t>
      </w:r>
      <w:r w:rsidRPr="00077E55">
        <w:t xml:space="preserve"> </w:t>
      </w:r>
      <w:r w:rsidRPr="0045720B">
        <w:rPr>
          <w:lang w:val="en-CA"/>
        </w:rPr>
        <w:t>33, leave to appeal to SCC re</w:t>
      </w:r>
      <w:r w:rsidR="0073136A" w:rsidRPr="0045720B">
        <w:rPr>
          <w:lang w:val="en-CA"/>
        </w:rPr>
        <w:t>fus</w:t>
      </w:r>
      <w:r w:rsidRPr="0045720B">
        <w:rPr>
          <w:lang w:val="en-CA"/>
        </w:rPr>
        <w:t>ed, March </w:t>
      </w:r>
      <w:r w:rsidR="005E2FCC">
        <w:rPr>
          <w:lang w:val="en-CA"/>
        </w:rPr>
        <w:t xml:space="preserve">24, </w:t>
      </w:r>
      <w:r w:rsidRPr="0045720B">
        <w:rPr>
          <w:lang w:val="en-CA"/>
        </w:rPr>
        <w:t>2022</w:t>
      </w:r>
      <w:r w:rsidR="00727BB8">
        <w:rPr>
          <w:lang w:val="en-CA"/>
        </w:rPr>
        <w:t xml:space="preserve">, </w:t>
      </w:r>
      <w:r w:rsidR="00727BB8" w:rsidRPr="00727BB8">
        <w:rPr>
          <w:lang w:val="en-CA"/>
        </w:rPr>
        <w:t>No. 39655</w:t>
      </w:r>
      <w:r w:rsidRPr="0045720B">
        <w:rPr>
          <w:lang w:val="en-CA"/>
        </w:rPr>
        <w:t>.</w:t>
      </w:r>
    </w:p>
  </w:footnote>
  <w:footnote w:id="109">
    <w:p w14:paraId="4EBE764E" w14:textId="5CDAF57D" w:rsidR="001579A9" w:rsidRPr="0045720B" w:rsidRDefault="001579A9" w:rsidP="001579A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486271" w:rsidRPr="0045720B">
        <w:rPr>
          <w:lang w:val="en-CA"/>
        </w:rPr>
        <w:t>.</w:t>
      </w:r>
      <w:r w:rsidRPr="0045720B">
        <w:rPr>
          <w:lang w:val="en-CA"/>
        </w:rPr>
        <w:t>C</w:t>
      </w:r>
      <w:r w:rsidR="00486271" w:rsidRPr="0045720B">
        <w:rPr>
          <w:lang w:val="en-CA"/>
        </w:rPr>
        <w:t>.</w:t>
      </w:r>
      <w:r w:rsidRPr="0045720B">
        <w:rPr>
          <w:lang w:val="en-CA"/>
        </w:rPr>
        <w:t>R</w:t>
      </w:r>
      <w:r w:rsidR="00486271" w:rsidRPr="0045720B">
        <w:rPr>
          <w:lang w:val="en-CA"/>
        </w:rPr>
        <w:t>.</w:t>
      </w:r>
      <w:r w:rsidRPr="0045720B">
        <w:rPr>
          <w:lang w:val="en-CA"/>
        </w:rPr>
        <w:t xml:space="preserve"> 1257</w:t>
      </w:r>
      <w:r w:rsidR="00706F32">
        <w:rPr>
          <w:lang w:val="en-CA"/>
        </w:rPr>
        <w:t>, p. 1</w:t>
      </w:r>
      <w:r w:rsidRPr="0045720B">
        <w:rPr>
          <w:lang w:val="en-CA"/>
        </w:rPr>
        <w:t>271.</w:t>
      </w:r>
    </w:p>
  </w:footnote>
  <w:footnote w:id="110">
    <w:p w14:paraId="397719D4" w14:textId="77777777" w:rsidR="001579A9" w:rsidRPr="0045720B" w:rsidRDefault="001579A9" w:rsidP="001579A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Charter</w:t>
      </w:r>
      <w:r w:rsidRPr="0045720B">
        <w:rPr>
          <w:lang w:val="en-CA"/>
        </w:rPr>
        <w:t xml:space="preserve">, s. 32(2). </w:t>
      </w:r>
    </w:p>
  </w:footnote>
  <w:footnote w:id="111">
    <w:p w14:paraId="242C0101" w14:textId="674FDACF" w:rsidR="001579A9" w:rsidRPr="00077E55" w:rsidRDefault="001579A9" w:rsidP="001579A9">
      <w:pPr>
        <w:pStyle w:val="Notedebasdepage"/>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w:t>
      </w:r>
      <w:r w:rsidRPr="00077E55">
        <w:t xml:space="preserve">146. </w:t>
      </w:r>
    </w:p>
  </w:footnote>
  <w:footnote w:id="112">
    <w:p w14:paraId="0A12AAE3" w14:textId="674E1780" w:rsidR="001579A9" w:rsidRPr="0045720B" w:rsidRDefault="001579A9" w:rsidP="001579A9">
      <w:pPr>
        <w:pStyle w:val="Notedebasdepage"/>
        <w:rPr>
          <w:lang w:val="en-CA"/>
        </w:rPr>
      </w:pPr>
      <w:r w:rsidRPr="0045720B">
        <w:rPr>
          <w:rStyle w:val="Appelnotedebasdep"/>
          <w:lang w:val="en-CA"/>
        </w:rPr>
        <w:footnoteRef/>
      </w:r>
      <w:r w:rsidRPr="00077E55">
        <w:t xml:space="preserve"> </w:t>
      </w:r>
      <w:r w:rsidRPr="00077E55">
        <w:tab/>
      </w:r>
      <w:r w:rsidRPr="00077E55">
        <w:rPr>
          <w:i/>
          <w:iCs/>
        </w:rPr>
        <w:t>R. v. Ladouceur</w:t>
      </w:r>
      <w:r w:rsidRPr="00077E55">
        <w:rPr>
          <w:rFonts w:cs="Arial"/>
        </w:rPr>
        <w:t>, [1990] 1 S</w:t>
      </w:r>
      <w:r w:rsidR="00486271" w:rsidRPr="00077E55">
        <w:rPr>
          <w:rFonts w:cs="Arial"/>
        </w:rPr>
        <w:t>.</w:t>
      </w:r>
      <w:r w:rsidRPr="00077E55">
        <w:rPr>
          <w:rFonts w:cs="Arial"/>
        </w:rPr>
        <w:t>C</w:t>
      </w:r>
      <w:r w:rsidR="00486271" w:rsidRPr="00077E55">
        <w:rPr>
          <w:rFonts w:cs="Arial"/>
        </w:rPr>
        <w:t>.</w:t>
      </w:r>
      <w:r w:rsidRPr="00077E55">
        <w:rPr>
          <w:rFonts w:cs="Arial"/>
        </w:rPr>
        <w:t>R</w:t>
      </w:r>
      <w:r w:rsidR="00486271" w:rsidRPr="00077E55">
        <w:rPr>
          <w:rFonts w:cs="Arial"/>
        </w:rPr>
        <w:t>.</w:t>
      </w:r>
      <w:r w:rsidRPr="00077E55">
        <w:rPr>
          <w:rFonts w:cs="Arial"/>
        </w:rPr>
        <w:t xml:space="preserve"> 1257</w:t>
      </w:r>
      <w:r w:rsidR="00706F32" w:rsidRPr="00077E55">
        <w:rPr>
          <w:rFonts w:cs="Arial"/>
        </w:rPr>
        <w:t>, p. 1</w:t>
      </w:r>
      <w:r w:rsidRPr="00077E55">
        <w:rPr>
          <w:rFonts w:cs="Arial"/>
          <w:color w:val="000000"/>
          <w:spacing w:val="-3"/>
        </w:rPr>
        <w:t>278</w:t>
      </w:r>
      <w:r w:rsidRPr="00077E55">
        <w:t xml:space="preserve">. </w:t>
      </w:r>
      <w:r w:rsidRPr="0045720B">
        <w:rPr>
          <w:lang w:val="en-CA"/>
        </w:rPr>
        <w:t>Cory, J. on behalf of the majority, wrote: “Since it has been determined that routine check random stops violate s. 9</w:t>
      </w:r>
      <w:r w:rsidRPr="0045720B">
        <w:rPr>
          <w:rFonts w:cs="Arial"/>
          <w:color w:val="000000"/>
          <w:spacing w:val="-3"/>
          <w:lang w:val="en-CA"/>
        </w:rPr>
        <w:t xml:space="preserve"> of the </w:t>
      </w:r>
      <w:r w:rsidRPr="0045720B">
        <w:rPr>
          <w:rFonts w:cs="Arial"/>
          <w:i/>
          <w:iCs/>
          <w:color w:val="000000"/>
          <w:spacing w:val="-3"/>
          <w:lang w:val="en-CA"/>
        </w:rPr>
        <w:t>Charter</w:t>
      </w:r>
      <w:r w:rsidRPr="0045720B">
        <w:rPr>
          <w:rFonts w:cs="Arial"/>
          <w:color w:val="000000"/>
          <w:spacing w:val="-3"/>
          <w:lang w:val="en-CA"/>
        </w:rPr>
        <w:t xml:space="preserve">, it is unnecessary to decide whether these random stops infringe s. </w:t>
      </w:r>
      <w:r w:rsidR="00DE2019" w:rsidRPr="0045720B">
        <w:rPr>
          <w:rStyle w:val="reflex2-link"/>
          <w:rFonts w:cs="Arial"/>
          <w:color w:val="000000"/>
          <w:spacing w:val="-3"/>
          <w:lang w:val="en-CA"/>
        </w:rPr>
        <w:t>7</w:t>
      </w:r>
      <w:r w:rsidR="001339B5">
        <w:rPr>
          <w:rStyle w:val="reflex2-link"/>
          <w:rFonts w:cs="Arial"/>
          <w:color w:val="000000"/>
          <w:spacing w:val="-3"/>
          <w:lang w:val="en-CA"/>
        </w:rPr>
        <w:t>.</w:t>
      </w:r>
      <w:r w:rsidR="00DE2019" w:rsidRPr="0045720B">
        <w:rPr>
          <w:rStyle w:val="reflex2-link"/>
          <w:rFonts w:cs="Arial"/>
          <w:color w:val="000000"/>
          <w:spacing w:val="-3"/>
          <w:lang w:val="en-CA"/>
        </w:rPr>
        <w:t>”</w:t>
      </w:r>
    </w:p>
  </w:footnote>
  <w:footnote w:id="113">
    <w:p w14:paraId="38781471" w14:textId="36482271" w:rsidR="001579A9" w:rsidRPr="0045720B" w:rsidRDefault="001579A9" w:rsidP="001579A9">
      <w:pPr>
        <w:spacing w:line="240" w:lineRule="auto"/>
        <w:ind w:left="357" w:hanging="357"/>
        <w:jc w:val="both"/>
        <w:rPr>
          <w:rFonts w:cs="Arial"/>
          <w:color w:val="000000"/>
          <w:sz w:val="20"/>
          <w:lang w:val="en-CA" w:eastAsia="fr-CA"/>
        </w:rPr>
      </w:pPr>
      <w:r w:rsidRPr="0045720B">
        <w:rPr>
          <w:rStyle w:val="Appelnotedebasdep"/>
          <w:rFonts w:cs="Arial"/>
          <w:sz w:val="20"/>
          <w:lang w:val="en-CA"/>
        </w:rPr>
        <w:footnoteRef/>
      </w:r>
      <w:r w:rsidRPr="0045720B">
        <w:rPr>
          <w:rFonts w:cs="Arial"/>
          <w:sz w:val="20"/>
          <w:lang w:val="en-CA"/>
        </w:rPr>
        <w:t xml:space="preserve"> </w:t>
      </w:r>
      <w:r w:rsidRPr="0045720B">
        <w:rPr>
          <w:rFonts w:cs="Arial"/>
          <w:sz w:val="20"/>
          <w:lang w:val="en-CA"/>
        </w:rPr>
        <w:tab/>
        <w:t>Trial judgment</w:t>
      </w:r>
      <w:r w:rsidR="005D436F">
        <w:rPr>
          <w:rFonts w:cs="Arial"/>
          <w:sz w:val="20"/>
          <w:lang w:val="en-CA"/>
        </w:rPr>
        <w:t>, para.</w:t>
      </w:r>
      <w:r w:rsidRPr="0045720B">
        <w:rPr>
          <w:rFonts w:cs="Arial"/>
          <w:sz w:val="20"/>
          <w:lang w:val="en-CA"/>
        </w:rPr>
        <w:t xml:space="preserve"> 141. </w:t>
      </w:r>
    </w:p>
  </w:footnote>
  <w:footnote w:id="114">
    <w:p w14:paraId="39CBC851" w14:textId="5B6E915B" w:rsidR="001579A9" w:rsidRPr="0045720B" w:rsidRDefault="001579A9" w:rsidP="001579A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A4A38">
        <w:rPr>
          <w:lang w:val="en-CA"/>
        </w:rPr>
        <w:t>,</w:t>
      </w:r>
      <w:r w:rsidRPr="0045720B">
        <w:rPr>
          <w:i/>
          <w:iCs/>
          <w:lang w:val="en-CA"/>
        </w:rPr>
        <w:t xml:space="preserve"> </w:t>
      </w:r>
      <w:r w:rsidRPr="0045720B">
        <w:rPr>
          <w:lang w:val="en-CA"/>
        </w:rPr>
        <w:t xml:space="preserve">paras. 87–123. </w:t>
      </w:r>
      <w:r w:rsidR="00AD4ECC" w:rsidRPr="0045720B">
        <w:rPr>
          <w:i/>
          <w:iCs/>
          <w:lang w:val="en-CA"/>
        </w:rPr>
        <w:t>S</w:t>
      </w:r>
      <w:r w:rsidRPr="0045720B">
        <w:rPr>
          <w:i/>
          <w:iCs/>
          <w:lang w:val="en-CA"/>
        </w:rPr>
        <w:t>tare decisis</w:t>
      </w:r>
      <w:r w:rsidRPr="0045720B">
        <w:rPr>
          <w:lang w:val="en-CA"/>
        </w:rPr>
        <w:t xml:space="preserve"> applies here, not only in light of the </w:t>
      </w:r>
      <w:r w:rsidRPr="0045720B">
        <w:rPr>
          <w:i/>
          <w:iCs/>
          <w:lang w:val="en-CA"/>
        </w:rPr>
        <w:t>ratio decidendi</w:t>
      </w:r>
      <w:r w:rsidRPr="0045720B">
        <w:rPr>
          <w:lang w:val="en-CA"/>
        </w:rPr>
        <w:t xml:space="preserve"> of </w:t>
      </w:r>
      <w:r w:rsidRPr="0045720B">
        <w:rPr>
          <w:i/>
          <w:iCs/>
          <w:lang w:val="en-CA"/>
        </w:rPr>
        <w:t>Ladouceur</w:t>
      </w:r>
      <w:r w:rsidRPr="0045720B">
        <w:rPr>
          <w:lang w:val="en-CA"/>
        </w:rPr>
        <w:t xml:space="preserve">, but also that formulated by the Supreme Court in a related appeal, </w:t>
      </w:r>
      <w:r w:rsidRPr="0045720B">
        <w:rPr>
          <w:i/>
          <w:iCs/>
          <w:lang w:val="en-CA"/>
        </w:rPr>
        <w:t>R. v. Wilson,</w:t>
      </w:r>
      <w:r w:rsidRPr="0045720B">
        <w:rPr>
          <w:lang w:val="en-CA"/>
        </w:rPr>
        <w:t xml:space="preserve"> [1990] 1 S</w:t>
      </w:r>
      <w:r w:rsidR="00AD4ECC" w:rsidRPr="0045720B">
        <w:rPr>
          <w:lang w:val="en-CA"/>
        </w:rPr>
        <w:t>.</w:t>
      </w:r>
      <w:r w:rsidRPr="0045720B">
        <w:rPr>
          <w:lang w:val="en-CA"/>
        </w:rPr>
        <w:t>C</w:t>
      </w:r>
      <w:r w:rsidR="00AD4ECC" w:rsidRPr="0045720B">
        <w:rPr>
          <w:lang w:val="en-CA"/>
        </w:rPr>
        <w:t>.</w:t>
      </w:r>
      <w:r w:rsidRPr="0045720B">
        <w:rPr>
          <w:lang w:val="en-CA"/>
        </w:rPr>
        <w:t>R</w:t>
      </w:r>
      <w:r w:rsidR="00AD4ECC" w:rsidRPr="0045720B">
        <w:rPr>
          <w:lang w:val="en-CA"/>
        </w:rPr>
        <w:t>.</w:t>
      </w:r>
      <w:r w:rsidRPr="0045720B">
        <w:rPr>
          <w:lang w:val="en-CA"/>
        </w:rPr>
        <w:t xml:space="preserve"> 1291, and by this Court in </w:t>
      </w:r>
      <w:r w:rsidRPr="0045720B">
        <w:rPr>
          <w:i/>
          <w:iCs/>
          <w:lang w:val="en-CA"/>
        </w:rPr>
        <w:t>R. c.</w:t>
      </w:r>
      <w:r w:rsidRPr="0045720B">
        <w:rPr>
          <w:lang w:val="en-CA"/>
        </w:rPr>
        <w:t xml:space="preserve"> </w:t>
      </w:r>
      <w:r w:rsidRPr="0045720B">
        <w:rPr>
          <w:i/>
          <w:iCs/>
          <w:lang w:val="en-CA"/>
        </w:rPr>
        <w:t xml:space="preserve">Soucisse, </w:t>
      </w:r>
      <w:bookmarkStart w:id="58" w:name="_Hlk171962317"/>
      <w:r w:rsidRPr="0045720B">
        <w:rPr>
          <w:lang w:val="en-CA"/>
        </w:rPr>
        <w:t>[1994] R.J.Q. 1546 (C</w:t>
      </w:r>
      <w:r w:rsidR="00AD4ECC" w:rsidRPr="0045720B">
        <w:rPr>
          <w:lang w:val="en-CA"/>
        </w:rPr>
        <w:t>.</w:t>
      </w:r>
      <w:r w:rsidRPr="0045720B">
        <w:rPr>
          <w:lang w:val="en-CA"/>
        </w:rPr>
        <w:t>A</w:t>
      </w:r>
      <w:r w:rsidR="00AD4ECC" w:rsidRPr="0045720B">
        <w:rPr>
          <w:lang w:val="en-CA"/>
        </w:rPr>
        <w:t>.</w:t>
      </w:r>
      <w:r w:rsidRPr="0045720B">
        <w:rPr>
          <w:lang w:val="en-CA"/>
        </w:rPr>
        <w:t>)</w:t>
      </w:r>
      <w:bookmarkEnd w:id="58"/>
      <w:r w:rsidRPr="0045720B">
        <w:rPr>
          <w:lang w:val="en-CA"/>
        </w:rPr>
        <w:t>.</w:t>
      </w:r>
    </w:p>
  </w:footnote>
  <w:footnote w:id="115">
    <w:p w14:paraId="45204248" w14:textId="72D0DF87" w:rsidR="001579A9" w:rsidRPr="0045720B" w:rsidRDefault="001579A9" w:rsidP="001579A9">
      <w:pPr>
        <w:pStyle w:val="Notedebasdepage"/>
        <w:rPr>
          <w:lang w:val="en-CA"/>
        </w:rPr>
      </w:pPr>
      <w:r w:rsidRPr="0045720B">
        <w:rPr>
          <w:rStyle w:val="Appelnotedebasdep"/>
          <w:lang w:val="en-CA"/>
        </w:rPr>
        <w:footnoteRef/>
      </w:r>
      <w:r w:rsidRPr="00077E55">
        <w:t xml:space="preserve"> </w:t>
      </w:r>
      <w:bookmarkStart w:id="60" w:name="_Hlk171950497"/>
      <w:bookmarkStart w:id="61" w:name="_Hlk158375715"/>
      <w:r w:rsidRPr="00077E55">
        <w:tab/>
      </w:r>
      <w:r w:rsidRPr="00077E55">
        <w:rPr>
          <w:i/>
          <w:iCs/>
        </w:rPr>
        <w:t>R. v. Comeau</w:t>
      </w:r>
      <w:r w:rsidRPr="00077E55">
        <w:t>, 2018 SCC 15</w:t>
      </w:r>
      <w:r w:rsidR="005D436F" w:rsidRPr="00077E55">
        <w:t>, para.</w:t>
      </w:r>
      <w:r w:rsidRPr="00077E55">
        <w:t xml:space="preserve"> </w:t>
      </w:r>
      <w:r w:rsidRPr="0045720B">
        <w:rPr>
          <w:lang w:val="en-CA"/>
        </w:rPr>
        <w:t xml:space="preserve">29; </w:t>
      </w:r>
      <w:r w:rsidRPr="0045720B">
        <w:rPr>
          <w:i/>
          <w:iCs/>
          <w:lang w:val="en-CA"/>
        </w:rPr>
        <w:t>Carter v. Canada (Attorney General)</w:t>
      </w:r>
      <w:r w:rsidRPr="0045720B">
        <w:rPr>
          <w:lang w:val="en-CA"/>
        </w:rPr>
        <w:t>, 2015 SCC 5</w:t>
      </w:r>
      <w:r w:rsidR="005D436F">
        <w:rPr>
          <w:rStyle w:val="Hyperlien"/>
          <w:color w:val="auto"/>
          <w:u w:val="none"/>
          <w:lang w:val="en-CA"/>
        </w:rPr>
        <w:t>, para.</w:t>
      </w:r>
      <w:r w:rsidRPr="0045720B">
        <w:rPr>
          <w:rStyle w:val="Hyperlien"/>
          <w:color w:val="auto"/>
          <w:u w:val="none"/>
          <w:lang w:val="en-CA"/>
        </w:rPr>
        <w:t> 44</w:t>
      </w:r>
      <w:r w:rsidRPr="0045720B">
        <w:rPr>
          <w:lang w:val="en-CA"/>
        </w:rPr>
        <w:t xml:space="preserve">; </w:t>
      </w:r>
      <w:r w:rsidRPr="0045720B">
        <w:rPr>
          <w:i/>
          <w:iCs/>
          <w:lang w:val="en-CA"/>
        </w:rPr>
        <w:t>Canada (Attorney General) v. Bedford</w:t>
      </w:r>
      <w:r w:rsidRPr="0045720B">
        <w:rPr>
          <w:lang w:val="en-CA"/>
        </w:rPr>
        <w:t>, 2013 SCC 72</w:t>
      </w:r>
      <w:bookmarkEnd w:id="60"/>
      <w:r w:rsidR="005D436F">
        <w:rPr>
          <w:lang w:val="en-CA"/>
        </w:rPr>
        <w:t>, para.</w:t>
      </w:r>
      <w:r w:rsidRPr="0045720B">
        <w:rPr>
          <w:lang w:val="en-CA"/>
        </w:rPr>
        <w:t xml:space="preserve"> 42</w:t>
      </w:r>
      <w:r w:rsidRPr="0045720B">
        <w:rPr>
          <w:rStyle w:val="Hyperlien"/>
          <w:color w:val="auto"/>
          <w:u w:val="none"/>
          <w:lang w:val="en-CA"/>
        </w:rPr>
        <w:t>.</w:t>
      </w:r>
      <w:bookmarkEnd w:id="61"/>
    </w:p>
  </w:footnote>
  <w:footnote w:id="116">
    <w:p w14:paraId="54654E31" w14:textId="0B0C0132" w:rsidR="001579A9" w:rsidRPr="00077E55" w:rsidRDefault="001579A9" w:rsidP="001579A9">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Canada (Attorney General) v. Bedford</w:t>
      </w:r>
      <w:r w:rsidRPr="0045720B">
        <w:rPr>
          <w:lang w:val="en-CA"/>
        </w:rPr>
        <w:t>, 2013 SCC 72</w:t>
      </w:r>
      <w:r w:rsidR="005D436F">
        <w:rPr>
          <w:lang w:val="en-CA"/>
        </w:rPr>
        <w:t>, para.</w:t>
      </w:r>
      <w:r w:rsidRPr="0045720B">
        <w:rPr>
          <w:lang w:val="en-CA"/>
        </w:rPr>
        <w:t xml:space="preserve"> </w:t>
      </w:r>
      <w:r w:rsidRPr="00077E55">
        <w:t>44.</w:t>
      </w:r>
    </w:p>
  </w:footnote>
  <w:footnote w:id="117">
    <w:p w14:paraId="61CBD2E9" w14:textId="01B13FA1" w:rsidR="001579A9" w:rsidRPr="00077E55" w:rsidRDefault="001579A9" w:rsidP="001579A9">
      <w:pPr>
        <w:pStyle w:val="Notedebasdepage"/>
      </w:pPr>
      <w:r w:rsidRPr="0045720B">
        <w:rPr>
          <w:rStyle w:val="Appelnotedebasdep"/>
          <w:lang w:val="en-CA"/>
        </w:rPr>
        <w:footnoteRef/>
      </w:r>
      <w:r w:rsidRPr="00077E55">
        <w:t xml:space="preserve"> </w:t>
      </w:r>
      <w:bookmarkStart w:id="62" w:name="_Hlk172284402"/>
      <w:r w:rsidRPr="00077E55">
        <w:tab/>
      </w:r>
      <w:r w:rsidRPr="00077E55">
        <w:rPr>
          <w:i/>
          <w:iCs/>
        </w:rPr>
        <w:t>R. v. Comeau</w:t>
      </w:r>
      <w:r w:rsidRPr="00077E55">
        <w:t>, 2018 SCC 15</w:t>
      </w:r>
      <w:r w:rsidR="005D436F" w:rsidRPr="00077E55">
        <w:t>, para.</w:t>
      </w:r>
      <w:r w:rsidRPr="00077E55">
        <w:t xml:space="preserve"> 26.</w:t>
      </w:r>
      <w:bookmarkEnd w:id="62"/>
    </w:p>
  </w:footnote>
  <w:footnote w:id="118">
    <w:p w14:paraId="235383C0" w14:textId="32B2610E" w:rsidR="00801648" w:rsidRPr="0045720B" w:rsidRDefault="0043013D">
      <w:pPr>
        <w:pStyle w:val="Notedebasdepage"/>
        <w:rPr>
          <w:lang w:val="en-CA"/>
        </w:rPr>
      </w:pPr>
      <w:r w:rsidRPr="0045720B">
        <w:rPr>
          <w:rStyle w:val="Appelnotedebasdep"/>
          <w:lang w:val="en-CA"/>
        </w:rPr>
        <w:footnoteRef/>
      </w:r>
      <w:r w:rsidRPr="00077E55">
        <w:t xml:space="preserve"> </w:t>
      </w:r>
      <w:r w:rsidRPr="00077E55">
        <w:tab/>
      </w:r>
      <w:r w:rsidRPr="00077E55">
        <w:rPr>
          <w:i/>
          <w:iCs/>
        </w:rPr>
        <w:t xml:space="preserve">Organisation mondiale sikhe du Canada c. </w:t>
      </w:r>
      <w:r w:rsidR="001579A9" w:rsidRPr="00077E55">
        <w:rPr>
          <w:i/>
          <w:iCs/>
        </w:rPr>
        <w:t>Procureur général</w:t>
      </w:r>
      <w:r w:rsidRPr="00077E55">
        <w:rPr>
          <w:i/>
          <w:iCs/>
        </w:rPr>
        <w:t xml:space="preserve"> du Québec</w:t>
      </w:r>
      <w:r w:rsidRPr="00077E55">
        <w:t xml:space="preserve">, 2024 QCCA 254, </w:t>
      </w:r>
      <w:r w:rsidR="001579A9" w:rsidRPr="00077E55">
        <w:t xml:space="preserve">leaves to appeal and </w:t>
      </w:r>
      <w:r w:rsidR="005C4510" w:rsidRPr="00077E55">
        <w:t>to cross-</w:t>
      </w:r>
      <w:r w:rsidR="001579A9" w:rsidRPr="00077E55">
        <w:t>appeal to SCC</w:t>
      </w:r>
      <w:r w:rsidRPr="00077E55">
        <w:t xml:space="preserve">, </w:t>
      </w:r>
      <w:r w:rsidR="005C4510" w:rsidRPr="00077E55">
        <w:t xml:space="preserve">No. </w:t>
      </w:r>
      <w:r w:rsidRPr="00077E55">
        <w:t xml:space="preserve">41231. </w:t>
      </w:r>
      <w:r w:rsidR="001579A9" w:rsidRPr="0045720B">
        <w:rPr>
          <w:lang w:val="en-CA"/>
        </w:rPr>
        <w:t xml:space="preserve">The </w:t>
      </w:r>
      <w:r w:rsidR="006035A2" w:rsidRPr="0045720B">
        <w:rPr>
          <w:lang w:val="en-CA"/>
        </w:rPr>
        <w:t>quotation</w:t>
      </w:r>
      <w:r w:rsidRPr="0045720B">
        <w:rPr>
          <w:lang w:val="en-CA"/>
        </w:rPr>
        <w:t xml:space="preserve"> </w:t>
      </w:r>
      <w:r w:rsidR="001579A9" w:rsidRPr="0045720B">
        <w:rPr>
          <w:lang w:val="en-CA"/>
        </w:rPr>
        <w:t xml:space="preserve">is from </w:t>
      </w:r>
      <w:r w:rsidRPr="0045720B">
        <w:rPr>
          <w:i/>
          <w:iCs/>
          <w:lang w:val="en-CA"/>
        </w:rPr>
        <w:t xml:space="preserve">R. </w:t>
      </w:r>
      <w:r w:rsidR="00770F1E" w:rsidRPr="0045720B">
        <w:rPr>
          <w:i/>
          <w:iCs/>
          <w:lang w:val="en-CA"/>
        </w:rPr>
        <w:t>v</w:t>
      </w:r>
      <w:r w:rsidRPr="0045720B">
        <w:rPr>
          <w:i/>
          <w:iCs/>
          <w:lang w:val="en-CA"/>
        </w:rPr>
        <w:t>. Comeau</w:t>
      </w:r>
      <w:r w:rsidRPr="0045720B">
        <w:rPr>
          <w:lang w:val="en-CA"/>
        </w:rPr>
        <w:t xml:space="preserve">, 2018 </w:t>
      </w:r>
      <w:r w:rsidR="003514B8" w:rsidRPr="0045720B">
        <w:rPr>
          <w:lang w:val="en-CA"/>
        </w:rPr>
        <w:t>SCC</w:t>
      </w:r>
      <w:r w:rsidRPr="0045720B">
        <w:rPr>
          <w:lang w:val="en-CA"/>
        </w:rPr>
        <w:t xml:space="preserve"> 15</w:t>
      </w:r>
      <w:r w:rsidR="005D436F">
        <w:rPr>
          <w:lang w:val="en-CA"/>
        </w:rPr>
        <w:t>, para.</w:t>
      </w:r>
      <w:r w:rsidRPr="0045720B">
        <w:rPr>
          <w:lang w:val="en-CA"/>
        </w:rPr>
        <w:t> 31.</w:t>
      </w:r>
    </w:p>
  </w:footnote>
  <w:footnote w:id="119">
    <w:p w14:paraId="60F4BD98" w14:textId="1B398180" w:rsidR="00584193" w:rsidRPr="00077E55" w:rsidRDefault="00584193" w:rsidP="00584193">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Canada (Attorney General) v. Bedford</w:t>
      </w:r>
      <w:r w:rsidRPr="0045720B">
        <w:rPr>
          <w:lang w:val="en-CA"/>
        </w:rPr>
        <w:t>, 2013 SCC 72</w:t>
      </w:r>
      <w:r w:rsidR="005D436F">
        <w:rPr>
          <w:lang w:val="en-CA"/>
        </w:rPr>
        <w:t>, para.</w:t>
      </w:r>
      <w:r w:rsidRPr="0045720B">
        <w:rPr>
          <w:lang w:val="en-CA"/>
        </w:rPr>
        <w:t xml:space="preserve"> </w:t>
      </w:r>
      <w:r w:rsidRPr="00077E55">
        <w:t xml:space="preserve">46. </w:t>
      </w:r>
    </w:p>
  </w:footnote>
  <w:footnote w:id="120">
    <w:p w14:paraId="50221015" w14:textId="30CB167F" w:rsidR="00584193" w:rsidRPr="0045720B" w:rsidRDefault="00584193" w:rsidP="00584193">
      <w:pPr>
        <w:pStyle w:val="Notedebasdepage"/>
        <w:rPr>
          <w:lang w:val="en-CA"/>
        </w:rPr>
      </w:pPr>
      <w:r w:rsidRPr="0045720B">
        <w:rPr>
          <w:rStyle w:val="Appelnotedebasdep"/>
          <w:lang w:val="en-CA"/>
        </w:rPr>
        <w:footnoteRef/>
      </w:r>
      <w:r w:rsidRPr="00077E55">
        <w:t xml:space="preserve"> </w:t>
      </w:r>
      <w:r w:rsidRPr="00077E55">
        <w:tab/>
      </w:r>
      <w:r w:rsidRPr="00077E55">
        <w:rPr>
          <w:i/>
          <w:iCs/>
        </w:rPr>
        <w:t>R. v. Comeau</w:t>
      </w:r>
      <w:r w:rsidRPr="00077E55">
        <w:t>, 2018 SCC 15</w:t>
      </w:r>
      <w:r w:rsidR="005D436F" w:rsidRPr="00077E55">
        <w:t>, para.</w:t>
      </w:r>
      <w:r w:rsidRPr="00077E55">
        <w:t xml:space="preserve"> </w:t>
      </w:r>
      <w:r w:rsidRPr="0045720B">
        <w:rPr>
          <w:lang w:val="en-CA"/>
        </w:rPr>
        <w:t xml:space="preserve">34. </w:t>
      </w:r>
    </w:p>
  </w:footnote>
  <w:footnote w:id="121">
    <w:p w14:paraId="02633463" w14:textId="6E036B80" w:rsidR="00584193" w:rsidRPr="0045720B" w:rsidRDefault="00584193" w:rsidP="00584193">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144.</w:t>
      </w:r>
    </w:p>
  </w:footnote>
  <w:footnote w:id="122">
    <w:p w14:paraId="3A051761" w14:textId="5402D917" w:rsidR="00584193" w:rsidRPr="0045720B" w:rsidRDefault="00584193" w:rsidP="0058419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A4A38">
        <w:rPr>
          <w:lang w:val="en-CA"/>
        </w:rPr>
        <w:t xml:space="preserve">, </w:t>
      </w:r>
      <w:r w:rsidRPr="0045720B">
        <w:rPr>
          <w:lang w:val="en-CA"/>
        </w:rPr>
        <w:t>para. 145.</w:t>
      </w:r>
    </w:p>
  </w:footnote>
  <w:footnote w:id="123">
    <w:p w14:paraId="69023846" w14:textId="5CFAC254" w:rsidR="00584193" w:rsidRPr="0045720B" w:rsidRDefault="00584193" w:rsidP="0058419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A4A38">
        <w:rPr>
          <w:lang w:val="en-CA"/>
        </w:rPr>
        <w:t xml:space="preserve">, </w:t>
      </w:r>
      <w:r w:rsidRPr="0045720B">
        <w:rPr>
          <w:lang w:val="en-CA"/>
        </w:rPr>
        <w:t>para. 148.</w:t>
      </w:r>
    </w:p>
  </w:footnote>
  <w:footnote w:id="124">
    <w:p w14:paraId="2FFBDB97" w14:textId="0F03F94A" w:rsidR="00584193" w:rsidRPr="0045720B" w:rsidRDefault="00584193" w:rsidP="00584193">
      <w:pPr>
        <w:pStyle w:val="citationenretrait0"/>
        <w:spacing w:before="0" w:beforeAutospacing="0" w:after="0" w:afterAutospacing="0"/>
        <w:ind w:left="357" w:hanging="357"/>
        <w:rPr>
          <w:rFonts w:ascii="Arial" w:hAnsi="Arial" w:cs="Arial"/>
          <w:sz w:val="20"/>
          <w:szCs w:val="20"/>
          <w:lang w:val="en-CA"/>
        </w:rPr>
      </w:pPr>
      <w:r w:rsidRPr="0045720B">
        <w:rPr>
          <w:rStyle w:val="Appelnotedebasdep"/>
          <w:rFonts w:ascii="Arial" w:hAnsi="Arial" w:cs="Arial"/>
          <w:sz w:val="20"/>
          <w:szCs w:val="20"/>
          <w:lang w:val="en-CA"/>
        </w:rPr>
        <w:footnoteRef/>
      </w:r>
      <w:r w:rsidRPr="0045720B">
        <w:rPr>
          <w:rFonts w:ascii="Arial" w:hAnsi="Arial" w:cs="Arial"/>
          <w:sz w:val="20"/>
          <w:szCs w:val="20"/>
          <w:lang w:val="en-CA"/>
        </w:rPr>
        <w:t xml:space="preserve"> </w:t>
      </w:r>
      <w:r w:rsidRPr="0045720B">
        <w:rPr>
          <w:rFonts w:ascii="Arial" w:hAnsi="Arial" w:cs="Arial"/>
          <w:sz w:val="20"/>
          <w:szCs w:val="20"/>
          <w:lang w:val="en-CA"/>
        </w:rPr>
        <w:tab/>
      </w:r>
      <w:r w:rsidRPr="0045720B">
        <w:rPr>
          <w:rFonts w:ascii="Arial" w:hAnsi="Arial" w:cs="Arial"/>
          <w:i/>
          <w:iCs/>
          <w:sz w:val="20"/>
          <w:szCs w:val="20"/>
          <w:lang w:val="en-CA"/>
        </w:rPr>
        <w:t>Id.</w:t>
      </w:r>
      <w:r w:rsidR="007A71AA">
        <w:rPr>
          <w:rFonts w:ascii="Arial" w:hAnsi="Arial" w:cs="Arial"/>
          <w:sz w:val="20"/>
          <w:szCs w:val="20"/>
          <w:lang w:val="en-CA"/>
        </w:rPr>
        <w:t xml:space="preserve">, </w:t>
      </w:r>
      <w:r w:rsidRPr="0045720B">
        <w:rPr>
          <w:rFonts w:ascii="Arial" w:hAnsi="Arial" w:cs="Arial"/>
          <w:sz w:val="20"/>
          <w:szCs w:val="20"/>
          <w:lang w:val="en-CA"/>
        </w:rPr>
        <w:t>para. 160 [</w:t>
      </w:r>
      <w:r w:rsidR="007A71AA">
        <w:rPr>
          <w:rFonts w:ascii="Arial" w:hAnsi="Arial" w:cs="Arial"/>
          <w:sz w:val="20"/>
          <w:szCs w:val="20"/>
          <w:lang w:val="en-CA"/>
        </w:rPr>
        <w:t xml:space="preserve">italics </w:t>
      </w:r>
      <w:r w:rsidRPr="0045720B">
        <w:rPr>
          <w:rFonts w:ascii="Arial" w:hAnsi="Arial" w:cs="Arial"/>
          <w:sz w:val="20"/>
          <w:szCs w:val="20"/>
          <w:lang w:val="en-CA"/>
        </w:rPr>
        <w:t>in the original] (</w:t>
      </w:r>
      <w:r w:rsidR="007A71AA">
        <w:rPr>
          <w:rFonts w:ascii="Arial" w:hAnsi="Arial" w:cs="Arial"/>
          <w:sz w:val="20"/>
          <w:szCs w:val="20"/>
          <w:lang w:val="en-CA"/>
        </w:rPr>
        <w:t>s</w:t>
      </w:r>
      <w:r w:rsidRPr="0045720B">
        <w:rPr>
          <w:rFonts w:ascii="Arial" w:hAnsi="Arial" w:cs="Arial"/>
          <w:sz w:val="20"/>
          <w:szCs w:val="20"/>
          <w:lang w:val="en-CA"/>
        </w:rPr>
        <w:t>ee also paras. 161–370).</w:t>
      </w:r>
    </w:p>
  </w:footnote>
  <w:footnote w:id="125">
    <w:p w14:paraId="268CC07B" w14:textId="3C3CBB49" w:rsidR="00584193" w:rsidRPr="0045720B" w:rsidRDefault="00584193" w:rsidP="00584193">
      <w:pPr>
        <w:pStyle w:val="Notedebasdepage"/>
        <w:rPr>
          <w:rFonts w:cs="Arial"/>
          <w:lang w:val="en-CA"/>
        </w:rPr>
      </w:pPr>
      <w:r w:rsidRPr="0045720B">
        <w:rPr>
          <w:rStyle w:val="Appelnotedebasdep"/>
          <w:rFonts w:cs="Arial"/>
          <w:lang w:val="en-CA"/>
        </w:rPr>
        <w:footnoteRef/>
      </w:r>
      <w:r w:rsidRPr="0045720B">
        <w:rPr>
          <w:rFonts w:cs="Arial"/>
          <w:lang w:val="en-CA"/>
        </w:rPr>
        <w:t xml:space="preserve"> </w:t>
      </w:r>
      <w:r w:rsidRPr="0045720B">
        <w:rPr>
          <w:rFonts w:cs="Arial"/>
          <w:lang w:val="en-CA"/>
        </w:rPr>
        <w:tab/>
      </w:r>
      <w:r w:rsidRPr="0045720B">
        <w:rPr>
          <w:rFonts w:cs="Arial"/>
          <w:i/>
          <w:iCs/>
          <w:lang w:val="en-CA"/>
        </w:rPr>
        <w:t>Id.</w:t>
      </w:r>
      <w:r w:rsidR="007A71AA">
        <w:rPr>
          <w:rFonts w:cs="Arial"/>
          <w:lang w:val="en-CA"/>
        </w:rPr>
        <w:t xml:space="preserve">, </w:t>
      </w:r>
      <w:r w:rsidRPr="0045720B">
        <w:rPr>
          <w:rFonts w:cs="Arial"/>
          <w:lang w:val="en-CA"/>
        </w:rPr>
        <w:t>para. 166 [</w:t>
      </w:r>
      <w:r w:rsidR="007A71AA">
        <w:rPr>
          <w:rFonts w:cs="Arial"/>
          <w:lang w:val="en-CA"/>
        </w:rPr>
        <w:t xml:space="preserve">boldface </w:t>
      </w:r>
      <w:r w:rsidRPr="0045720B">
        <w:rPr>
          <w:rFonts w:cs="Arial"/>
          <w:lang w:val="en-CA"/>
        </w:rPr>
        <w:t>omitted].</w:t>
      </w:r>
    </w:p>
  </w:footnote>
  <w:footnote w:id="126">
    <w:p w14:paraId="5B75074E" w14:textId="5016159D" w:rsidR="00584193" w:rsidRPr="00077E55" w:rsidRDefault="00584193" w:rsidP="00584193">
      <w:pPr>
        <w:pStyle w:val="Notedebasdepage"/>
        <w:rPr>
          <w:rFonts w:cs="Arial"/>
        </w:rPr>
      </w:pPr>
      <w:r w:rsidRPr="0045720B">
        <w:rPr>
          <w:rStyle w:val="Appelnotedebasdep"/>
          <w:rFonts w:cs="Arial"/>
          <w:lang w:val="en-CA"/>
        </w:rPr>
        <w:footnoteRef/>
      </w:r>
      <w:r w:rsidRPr="0045720B">
        <w:rPr>
          <w:rFonts w:cs="Arial"/>
          <w:lang w:val="en-CA"/>
        </w:rPr>
        <w:t xml:space="preserve"> </w:t>
      </w:r>
      <w:r w:rsidRPr="0045720B">
        <w:rPr>
          <w:rFonts w:cs="Arial"/>
          <w:lang w:val="en-CA"/>
        </w:rPr>
        <w:tab/>
      </w:r>
      <w:r w:rsidRPr="0045720B">
        <w:rPr>
          <w:rFonts w:cs="Arial"/>
          <w:i/>
          <w:iCs/>
          <w:lang w:val="en-CA"/>
        </w:rPr>
        <w:t>Id.</w:t>
      </w:r>
      <w:r w:rsidR="007A71AA">
        <w:rPr>
          <w:rFonts w:cs="Arial"/>
          <w:lang w:val="en-CA"/>
        </w:rPr>
        <w:t xml:space="preserve">, </w:t>
      </w:r>
      <w:r w:rsidRPr="0045720B">
        <w:rPr>
          <w:rFonts w:cs="Arial"/>
          <w:lang w:val="en-CA"/>
        </w:rPr>
        <w:t xml:space="preserve">para. </w:t>
      </w:r>
      <w:r w:rsidRPr="00077E55">
        <w:rPr>
          <w:rFonts w:cs="Arial"/>
        </w:rPr>
        <w:t>370.</w:t>
      </w:r>
    </w:p>
  </w:footnote>
  <w:footnote w:id="127">
    <w:p w14:paraId="2A9340F0" w14:textId="4BFEFC50" w:rsidR="00584193" w:rsidRPr="00077E55" w:rsidRDefault="00584193" w:rsidP="00584193">
      <w:pPr>
        <w:pStyle w:val="Notedebasdepage"/>
        <w:rPr>
          <w:rFonts w:cs="Arial"/>
        </w:rPr>
      </w:pPr>
      <w:r w:rsidRPr="0045720B">
        <w:rPr>
          <w:rStyle w:val="Appelnotedebasdep"/>
          <w:rFonts w:cs="Arial"/>
          <w:lang w:val="en-CA"/>
        </w:rPr>
        <w:footnoteRef/>
      </w:r>
      <w:r w:rsidRPr="00077E55">
        <w:rPr>
          <w:rFonts w:cs="Arial"/>
        </w:rPr>
        <w:t xml:space="preserve"> </w:t>
      </w:r>
      <w:r w:rsidRPr="00077E55">
        <w:rPr>
          <w:rFonts w:cs="Arial"/>
          <w:i/>
          <w:iCs/>
        </w:rPr>
        <w:tab/>
        <w:t>Id.</w:t>
      </w:r>
      <w:r w:rsidR="007A71AA" w:rsidRPr="00077E55">
        <w:rPr>
          <w:rFonts w:cs="Arial"/>
        </w:rPr>
        <w:t xml:space="preserve">, </w:t>
      </w:r>
      <w:r w:rsidRPr="00077E55">
        <w:rPr>
          <w:rFonts w:cs="Arial"/>
        </w:rPr>
        <w:t>paras</w:t>
      </w:r>
      <w:r w:rsidRPr="00077E55">
        <w:rPr>
          <w:rFonts w:cs="Arial"/>
          <w:i/>
          <w:iCs/>
        </w:rPr>
        <w:t>.</w:t>
      </w:r>
      <w:r w:rsidRPr="00077E55">
        <w:rPr>
          <w:rFonts w:cs="Arial"/>
        </w:rPr>
        <w:t xml:space="preserve"> 379–390.</w:t>
      </w:r>
    </w:p>
  </w:footnote>
  <w:footnote w:id="128">
    <w:p w14:paraId="3C157202" w14:textId="19B1F6E2" w:rsidR="00584193" w:rsidRPr="00C57123" w:rsidRDefault="00584193" w:rsidP="00584193">
      <w:pPr>
        <w:pStyle w:val="Notedebasdepage"/>
        <w:rPr>
          <w:rFonts w:cs="Arial"/>
          <w:lang w:val="en-CA"/>
        </w:rPr>
      </w:pPr>
      <w:r w:rsidRPr="0045720B">
        <w:rPr>
          <w:rStyle w:val="Appelnotedebasdep"/>
          <w:rFonts w:cs="Arial"/>
          <w:lang w:val="en-CA"/>
        </w:rPr>
        <w:footnoteRef/>
      </w:r>
      <w:r w:rsidRPr="00077E55">
        <w:rPr>
          <w:rFonts w:cs="Arial"/>
        </w:rPr>
        <w:t xml:space="preserve"> </w:t>
      </w:r>
      <w:r w:rsidRPr="00077E55">
        <w:rPr>
          <w:rFonts w:cs="Arial"/>
        </w:rPr>
        <w:tab/>
      </w:r>
      <w:r w:rsidRPr="00077E55">
        <w:rPr>
          <w:rFonts w:cs="Arial"/>
          <w:i/>
          <w:iCs/>
        </w:rPr>
        <w:t>R. v. Le</w:t>
      </w:r>
      <w:r w:rsidRPr="00077E55">
        <w:rPr>
          <w:rFonts w:cs="Arial"/>
        </w:rPr>
        <w:t>, 2019 SCC 34</w:t>
      </w:r>
      <w:r w:rsidR="005D436F" w:rsidRPr="00077E55">
        <w:rPr>
          <w:rFonts w:cs="Arial"/>
        </w:rPr>
        <w:t>, para.</w:t>
      </w:r>
      <w:r w:rsidRPr="00077E55">
        <w:rPr>
          <w:rFonts w:cs="Arial"/>
        </w:rPr>
        <w:t xml:space="preserve"> </w:t>
      </w:r>
      <w:r w:rsidRPr="00C57123">
        <w:rPr>
          <w:rFonts w:cs="Arial"/>
          <w:lang w:val="en-CA"/>
        </w:rPr>
        <w:t>97.</w:t>
      </w:r>
    </w:p>
  </w:footnote>
  <w:footnote w:id="129">
    <w:p w14:paraId="5CE7B558" w14:textId="6D44B722" w:rsidR="00013341" w:rsidRPr="00C57123" w:rsidRDefault="0043013D" w:rsidP="00013341">
      <w:pPr>
        <w:pStyle w:val="Notedebasdepage"/>
        <w:rPr>
          <w:lang w:val="en-CA"/>
        </w:rPr>
      </w:pPr>
      <w:r w:rsidRPr="0045720B">
        <w:rPr>
          <w:rStyle w:val="Appelnotedebasdep"/>
          <w:lang w:val="en-CA"/>
        </w:rPr>
        <w:footnoteRef/>
      </w:r>
      <w:r w:rsidRPr="00C57123">
        <w:rPr>
          <w:lang w:val="en-CA"/>
        </w:rPr>
        <w:t xml:space="preserve"> </w:t>
      </w:r>
      <w:r w:rsidRPr="00C57123">
        <w:rPr>
          <w:lang w:val="en-CA"/>
        </w:rPr>
        <w:tab/>
      </w:r>
      <w:r w:rsidRPr="00C57123">
        <w:rPr>
          <w:rFonts w:cs="Arial"/>
          <w:i/>
          <w:iCs/>
          <w:color w:val="000000"/>
          <w:lang w:val="en-CA"/>
        </w:rPr>
        <w:t xml:space="preserve">R. </w:t>
      </w:r>
      <w:r w:rsidR="00155556" w:rsidRPr="00C57123">
        <w:rPr>
          <w:rFonts w:cs="Arial"/>
          <w:i/>
          <w:iCs/>
          <w:color w:val="000000"/>
          <w:lang w:val="en-CA"/>
        </w:rPr>
        <w:t>c</w:t>
      </w:r>
      <w:r w:rsidRPr="00C57123">
        <w:rPr>
          <w:rFonts w:cs="Arial"/>
          <w:i/>
          <w:iCs/>
          <w:color w:val="000000"/>
          <w:lang w:val="en-CA"/>
        </w:rPr>
        <w:t>. Dorfeuille</w:t>
      </w:r>
      <w:r w:rsidR="00DF3B04" w:rsidRPr="00C57123">
        <w:rPr>
          <w:rFonts w:cs="Arial"/>
          <w:color w:val="000000"/>
          <w:lang w:val="en-CA"/>
        </w:rPr>
        <w:t xml:space="preserve">, </w:t>
      </w:r>
      <w:r w:rsidRPr="00C57123">
        <w:rPr>
          <w:rFonts w:cs="Arial"/>
          <w:lang w:val="en-CA"/>
        </w:rPr>
        <w:t>2020 QCCS 1499</w:t>
      </w:r>
      <w:r w:rsidRPr="00C57123">
        <w:rPr>
          <w:rFonts w:cs="Arial"/>
          <w:color w:val="000000"/>
          <w:lang w:val="en-CA"/>
        </w:rPr>
        <w:t>.</w:t>
      </w:r>
    </w:p>
  </w:footnote>
  <w:footnote w:id="130">
    <w:p w14:paraId="23127F90" w14:textId="1ACF3EC2" w:rsidR="00584193" w:rsidRPr="0045720B" w:rsidRDefault="00584193" w:rsidP="00584193">
      <w:pPr>
        <w:pStyle w:val="Notedebasdepage"/>
        <w:ind w:left="357" w:hanging="357"/>
        <w:rPr>
          <w:lang w:val="en-CA"/>
        </w:rPr>
      </w:pPr>
      <w:r w:rsidRPr="0045720B">
        <w:rPr>
          <w:rStyle w:val="Appelnotedebasdep"/>
          <w:lang w:val="en-CA"/>
        </w:rPr>
        <w:footnoteRef/>
      </w:r>
      <w:r w:rsidRPr="0045720B">
        <w:rPr>
          <w:lang w:val="en-CA"/>
        </w:rPr>
        <w:t xml:space="preserve"> </w:t>
      </w:r>
      <w:bookmarkStart w:id="67" w:name="_Hlk178344968"/>
      <w:r w:rsidRPr="0045720B">
        <w:rPr>
          <w:lang w:val="en-CA"/>
        </w:rPr>
        <w:tab/>
        <w:t xml:space="preserve">Exhibit P-1, </w:t>
      </w:r>
      <w:r w:rsidRPr="0045720B">
        <w:rPr>
          <w:rStyle w:val="ui-provider"/>
          <w:lang w:val="en-CA"/>
        </w:rPr>
        <w:t xml:space="preserve">Expert report of Massimiliano Mulone, January </w:t>
      </w:r>
      <w:r w:rsidR="0092325A">
        <w:rPr>
          <w:rStyle w:val="ui-provider"/>
          <w:lang w:val="en-CA"/>
        </w:rPr>
        <w:t xml:space="preserve">31, </w:t>
      </w:r>
      <w:r w:rsidRPr="0045720B">
        <w:rPr>
          <w:rStyle w:val="ui-provider"/>
          <w:lang w:val="en-CA"/>
        </w:rPr>
        <w:t xml:space="preserve">2022, </w:t>
      </w:r>
      <w:r w:rsidR="00E94D38">
        <w:rPr>
          <w:rStyle w:val="ui-provider"/>
          <w:lang w:val="en-CA"/>
        </w:rPr>
        <w:t>appendix</w:t>
      </w:r>
      <w:r w:rsidRPr="0045720B">
        <w:rPr>
          <w:rStyle w:val="ui-provider"/>
          <w:lang w:val="en-CA"/>
        </w:rPr>
        <w:t xml:space="preserve"> MM-54, </w:t>
      </w:r>
      <w:r w:rsidRPr="0045720B">
        <w:rPr>
          <w:lang w:val="en-CA"/>
        </w:rPr>
        <w:t xml:space="preserve">Patricia Warren </w:t>
      </w:r>
      <w:r w:rsidRPr="0045720B">
        <w:rPr>
          <w:i/>
          <w:iCs/>
          <w:lang w:val="en-CA"/>
        </w:rPr>
        <w:t>et al</w:t>
      </w:r>
      <w:r w:rsidRPr="0045720B">
        <w:rPr>
          <w:lang w:val="en-CA"/>
        </w:rPr>
        <w:t>., “Driving While Black: Bias Processes and Racial Disparity in Police Stops”, (2006) 44:3 Criminology</w:t>
      </w:r>
      <w:r w:rsidRPr="0045720B">
        <w:rPr>
          <w:i/>
          <w:iCs/>
          <w:lang w:val="en-CA"/>
        </w:rPr>
        <w:t> </w:t>
      </w:r>
      <w:r w:rsidRPr="0045720B">
        <w:rPr>
          <w:lang w:val="en-CA"/>
        </w:rPr>
        <w:t xml:space="preserve">709, </w:t>
      </w:r>
      <w:r w:rsidR="006A35FD" w:rsidRPr="0045720B">
        <w:rPr>
          <w:rStyle w:val="ui-provider"/>
          <w:lang w:val="en-CA"/>
        </w:rPr>
        <w:t xml:space="preserve">schedule </w:t>
      </w:r>
      <w:r w:rsidRPr="0045720B">
        <w:rPr>
          <w:rStyle w:val="ui-provider"/>
          <w:lang w:val="en-CA"/>
        </w:rPr>
        <w:t xml:space="preserve">MM-38, </w:t>
      </w:r>
      <w:r w:rsidRPr="0045720B">
        <w:rPr>
          <w:lang w:val="en-CA"/>
        </w:rPr>
        <w:t>Richard J. Lundman &amp; Robert L. Kaufman, “Driving While Black: Effects of Race, Ethnicity, and Gender on Citizen Self-Reports of Traffic Stops and Police Actions”, (2003) 41:1 Criminology</w:t>
      </w:r>
      <w:r w:rsidRPr="0045720B">
        <w:rPr>
          <w:i/>
          <w:iCs/>
          <w:lang w:val="en-CA"/>
        </w:rPr>
        <w:t> </w:t>
      </w:r>
      <w:r w:rsidRPr="0045720B">
        <w:rPr>
          <w:lang w:val="en-CA"/>
        </w:rPr>
        <w:t>195</w:t>
      </w:r>
      <w:bookmarkEnd w:id="67"/>
      <w:r w:rsidRPr="0045720B">
        <w:rPr>
          <w:lang w:val="en-CA"/>
        </w:rPr>
        <w:t xml:space="preserve">, and </w:t>
      </w:r>
      <w:r w:rsidR="00E94D38">
        <w:rPr>
          <w:lang w:val="en-CA"/>
        </w:rPr>
        <w:t>appendix</w:t>
      </w:r>
      <w:r w:rsidRPr="0045720B">
        <w:rPr>
          <w:lang w:val="en-CA"/>
        </w:rPr>
        <w:t xml:space="preserve"> MM-41, </w:t>
      </w:r>
      <w:bookmarkStart w:id="68" w:name="_Hlk178344922"/>
      <w:r w:rsidRPr="0045720B">
        <w:rPr>
          <w:lang w:val="en-CA"/>
        </w:rPr>
        <w:t>Albert J. Meehan &amp; Michael C. Ponder, “Race and Place: The Ecology of Racial Profiling African American Motorists”, (2002) 19:3 Justice Quarterly 399.</w:t>
      </w:r>
      <w:bookmarkEnd w:id="68"/>
    </w:p>
  </w:footnote>
  <w:footnote w:id="131">
    <w:p w14:paraId="314119F5" w14:textId="4866FAA9" w:rsidR="00584193" w:rsidRPr="004F0A47" w:rsidRDefault="00584193" w:rsidP="00584193">
      <w:pPr>
        <w:pStyle w:val="Notedebasdepage"/>
        <w:ind w:left="357" w:hanging="357"/>
        <w:rPr>
          <w:lang w:val="en-CA"/>
        </w:rPr>
      </w:pPr>
      <w:r w:rsidRPr="0045720B">
        <w:rPr>
          <w:rStyle w:val="Appelnotedebasdep"/>
          <w:lang w:val="en-CA"/>
        </w:rPr>
        <w:footnoteRef/>
      </w:r>
      <w:r w:rsidRPr="004F0A47">
        <w:rPr>
          <w:lang w:val="en-CA"/>
        </w:rPr>
        <w:t xml:space="preserve"> </w:t>
      </w:r>
      <w:bookmarkStart w:id="69" w:name="_Hlk178344871"/>
      <w:r w:rsidRPr="004F0A47">
        <w:rPr>
          <w:lang w:val="en-CA"/>
        </w:rPr>
        <w:tab/>
      </w:r>
      <w:bookmarkStart w:id="70" w:name="_Hlk177721832"/>
      <w:r w:rsidRPr="004F0A47">
        <w:rPr>
          <w:lang w:val="en-CA"/>
        </w:rPr>
        <w:t>Exhibit P</w:t>
      </w:r>
      <w:r w:rsidRPr="004F0A47">
        <w:rPr>
          <w:lang w:val="en-CA"/>
        </w:rPr>
        <w:noBreakHyphen/>
        <w:t xml:space="preserve">24, Service de Police de la Ville de Montréal (Victor Armony, Mariam Hassaoui &amp; Massimiliano Mulone), </w:t>
      </w:r>
      <w:r w:rsidRPr="004F0A47">
        <w:rPr>
          <w:i/>
          <w:iCs/>
          <w:lang w:val="en-CA"/>
        </w:rPr>
        <w:t>Les interpellations policières à la lumière des identités racisées des personnes interpellées : Analyse des données du Service de Police de la Ville de Montréal (SPVM) et élaboration d’indicateurs de suivi en matière de profilage racial</w:t>
      </w:r>
      <w:r w:rsidRPr="004F0A47">
        <w:rPr>
          <w:lang w:val="en-CA"/>
        </w:rPr>
        <w:t xml:space="preserve">, August 2019; </w:t>
      </w:r>
      <w:bookmarkEnd w:id="69"/>
      <w:r w:rsidRPr="004F0A47">
        <w:rPr>
          <w:lang w:val="en-CA"/>
        </w:rPr>
        <w:t>Exhibit P</w:t>
      </w:r>
      <w:r w:rsidRPr="004F0A47">
        <w:rPr>
          <w:lang w:val="en-CA"/>
        </w:rPr>
        <w:noBreakHyphen/>
        <w:t xml:space="preserve">27, Nova Scotia Human Rights Commission (Dr. Scot Wortley), </w:t>
      </w:r>
      <w:r w:rsidRPr="004F0A47">
        <w:rPr>
          <w:i/>
          <w:iCs/>
          <w:lang w:val="en-CA"/>
        </w:rPr>
        <w:t>Halifax, Nova Scotia: Street Check Report (and appendices)</w:t>
      </w:r>
      <w:r w:rsidRPr="004F0A47">
        <w:rPr>
          <w:lang w:val="en-CA"/>
        </w:rPr>
        <w:t>, March 2019; MM</w:t>
      </w:r>
      <w:r w:rsidRPr="004F0A47">
        <w:rPr>
          <w:lang w:val="en-CA"/>
        </w:rPr>
        <w:noBreakHyphen/>
        <w:t xml:space="preserve">39, Vancouver Police Department (Drazen Manojlovic), </w:t>
      </w:r>
      <w:r w:rsidRPr="004F0A47">
        <w:rPr>
          <w:i/>
          <w:iCs/>
          <w:lang w:val="en-CA"/>
        </w:rPr>
        <w:t>Understanding Street Checks: An Examination of a Proactive Policing Strategy</w:t>
      </w:r>
      <w:r w:rsidRPr="004F0A47">
        <w:rPr>
          <w:rFonts w:cs="Arial"/>
          <w:lang w:val="en-CA"/>
        </w:rPr>
        <w:t xml:space="preserve">, September 2018; Exhibit P-4, </w:t>
      </w:r>
      <w:r w:rsidRPr="004F0A47">
        <w:rPr>
          <w:rFonts w:eastAsiaTheme="minorHAnsi" w:cs="Arial"/>
          <w:szCs w:val="24"/>
          <w:lang w:val="en-CA" w:eastAsia="en-US"/>
          <w14:ligatures w14:val="standardContextual"/>
        </w:rPr>
        <w:t xml:space="preserve">Expert report of Marie-Ève Sylvestre, February </w:t>
      </w:r>
      <w:r w:rsidR="0064067E">
        <w:rPr>
          <w:rFonts w:eastAsiaTheme="minorHAnsi" w:cs="Arial"/>
          <w:szCs w:val="24"/>
          <w:lang w:val="en-CA" w:eastAsia="en-US"/>
          <w14:ligatures w14:val="standardContextual"/>
        </w:rPr>
        <w:t xml:space="preserve">7, </w:t>
      </w:r>
      <w:r w:rsidRPr="004F0A47">
        <w:rPr>
          <w:rFonts w:eastAsiaTheme="minorHAnsi" w:cs="Arial"/>
          <w:szCs w:val="24"/>
          <w:lang w:val="en-CA" w:eastAsia="en-US"/>
          <w14:ligatures w14:val="standardContextual"/>
        </w:rPr>
        <w:t xml:space="preserve">2022, </w:t>
      </w:r>
      <w:r w:rsidR="00E94D38" w:rsidRPr="004F0A47">
        <w:rPr>
          <w:rFonts w:eastAsiaTheme="minorHAnsi" w:cs="Arial"/>
          <w:szCs w:val="24"/>
          <w:lang w:val="en-CA" w:eastAsia="en-US"/>
          <w14:ligatures w14:val="standardContextual"/>
        </w:rPr>
        <w:t>appendix</w:t>
      </w:r>
      <w:r w:rsidRPr="004F0A47">
        <w:rPr>
          <w:rFonts w:eastAsiaTheme="minorHAnsi" w:cs="Arial"/>
          <w:szCs w:val="24"/>
          <w:lang w:val="en-CA" w:eastAsia="en-US"/>
          <w14:ligatures w14:val="standardContextual"/>
        </w:rPr>
        <w:t xml:space="preserve"> MES-080, </w:t>
      </w:r>
      <w:r w:rsidRPr="004F0A47">
        <w:rPr>
          <w:lang w:val="en-CA"/>
        </w:rPr>
        <w:t xml:space="preserve">Curt Taylor Griffiths, Ruth Montgomery &amp; Joshua J. Murphy, </w:t>
      </w:r>
      <w:r w:rsidRPr="004F0A47">
        <w:rPr>
          <w:i/>
          <w:iCs/>
          <w:lang w:val="en-CA"/>
        </w:rPr>
        <w:t>City of Edmonton Street Checks Policy and Practice Review</w:t>
      </w:r>
      <w:r w:rsidRPr="004F0A47">
        <w:rPr>
          <w:rFonts w:cs="Arial"/>
          <w:lang w:val="en-CA"/>
        </w:rPr>
        <w:t>, June 2018.</w:t>
      </w:r>
      <w:bookmarkEnd w:id="70"/>
    </w:p>
  </w:footnote>
  <w:footnote w:id="132">
    <w:p w14:paraId="632CBE77" w14:textId="38F8CFB0" w:rsidR="00584193" w:rsidRPr="0045720B" w:rsidRDefault="00584193" w:rsidP="00584193">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t xml:space="preserve">Exhibit P-1, </w:t>
      </w:r>
      <w:r w:rsidRPr="0045720B">
        <w:rPr>
          <w:rStyle w:val="ui-provider"/>
          <w:lang w:val="en-CA"/>
        </w:rPr>
        <w:t xml:space="preserve">Expert report of Massimiliano Mulone, January </w:t>
      </w:r>
      <w:r w:rsidR="00484671">
        <w:rPr>
          <w:rStyle w:val="ui-provider"/>
          <w:lang w:val="en-CA"/>
        </w:rPr>
        <w:t xml:space="preserve">31, </w:t>
      </w:r>
      <w:r w:rsidRPr="0045720B">
        <w:rPr>
          <w:rStyle w:val="ui-provider"/>
          <w:lang w:val="en-CA"/>
        </w:rPr>
        <w:t xml:space="preserve">2022, </w:t>
      </w:r>
      <w:r w:rsidR="00E94D38">
        <w:rPr>
          <w:rStyle w:val="ui-provider"/>
          <w:lang w:val="en-CA"/>
        </w:rPr>
        <w:t xml:space="preserve">appendix </w:t>
      </w:r>
      <w:r w:rsidRPr="0045720B">
        <w:rPr>
          <w:lang w:val="en-CA"/>
        </w:rPr>
        <w:t xml:space="preserve">MM-19, Lorne Foster, </w:t>
      </w:r>
      <w:r w:rsidRPr="00E20D02">
        <w:rPr>
          <w:lang w:val="en-CA"/>
        </w:rPr>
        <w:t xml:space="preserve">Lesley Jacobs &amp; Bobby Siu, </w:t>
      </w:r>
      <w:r w:rsidRPr="00E20D02">
        <w:rPr>
          <w:i/>
          <w:iCs/>
          <w:lang w:val="en-CA"/>
        </w:rPr>
        <w:t xml:space="preserve">Race Data and Traffic Stops in Ottawa, 2013-2015: A Report on Ottawa </w:t>
      </w:r>
      <w:r w:rsidRPr="0045720B">
        <w:rPr>
          <w:i/>
          <w:iCs/>
          <w:lang w:val="en-CA"/>
        </w:rPr>
        <w:t>and the Police Districts</w:t>
      </w:r>
      <w:r w:rsidRPr="0045720B">
        <w:rPr>
          <w:lang w:val="en-CA"/>
        </w:rPr>
        <w:t>, October 2016.</w:t>
      </w:r>
    </w:p>
  </w:footnote>
  <w:footnote w:id="133">
    <w:p w14:paraId="7E691348" w14:textId="2DE11517" w:rsidR="00947D88" w:rsidRPr="0045720B" w:rsidRDefault="0043013D" w:rsidP="00947D88">
      <w:pPr>
        <w:pStyle w:val="Notedebasdepage"/>
        <w:rPr>
          <w:rFonts w:cs="Arial"/>
          <w:lang w:val="en-CA"/>
        </w:rPr>
      </w:pPr>
      <w:r w:rsidRPr="0045720B">
        <w:rPr>
          <w:rStyle w:val="Appelnotedebasdep"/>
          <w:rFonts w:cs="Arial"/>
          <w:lang w:val="en-CA"/>
        </w:rPr>
        <w:footnoteRef/>
      </w:r>
      <w:r w:rsidR="006C0755" w:rsidRPr="0045720B">
        <w:rPr>
          <w:rFonts w:cs="Arial"/>
          <w:lang w:val="en-CA"/>
        </w:rPr>
        <w:t xml:space="preserve"> </w:t>
      </w:r>
      <w:r w:rsidR="006C0755" w:rsidRPr="0045720B">
        <w:rPr>
          <w:rFonts w:cs="Arial"/>
          <w:lang w:val="en-CA"/>
        </w:rPr>
        <w:tab/>
      </w:r>
      <w:r w:rsidR="00A83261" w:rsidRPr="0045720B">
        <w:rPr>
          <w:rFonts w:cs="Arial"/>
          <w:lang w:val="en-CA"/>
        </w:rPr>
        <w:t>Exhibit</w:t>
      </w:r>
      <w:r w:rsidR="006C0755" w:rsidRPr="0045720B">
        <w:rPr>
          <w:rFonts w:cs="Arial"/>
          <w:lang w:val="en-CA"/>
        </w:rPr>
        <w:t xml:space="preserve"> P-1, </w:t>
      </w:r>
      <w:bookmarkStart w:id="71" w:name="_Hlk178344886"/>
      <w:r w:rsidR="00293A4C" w:rsidRPr="0045720B">
        <w:rPr>
          <w:rFonts w:cs="Arial"/>
          <w:lang w:val="en-CA"/>
        </w:rPr>
        <w:t>Expert report of</w:t>
      </w:r>
      <w:r w:rsidRPr="0045720B">
        <w:rPr>
          <w:rFonts w:cs="Arial"/>
          <w:lang w:val="en-CA"/>
        </w:rPr>
        <w:t xml:space="preserve"> Massimiliano Mulone, </w:t>
      </w:r>
      <w:r w:rsidR="00293A4C" w:rsidRPr="0045720B">
        <w:rPr>
          <w:rFonts w:cs="Arial"/>
          <w:lang w:val="en-CA"/>
        </w:rPr>
        <w:t>January</w:t>
      </w:r>
      <w:r w:rsidRPr="0045720B">
        <w:rPr>
          <w:rFonts w:cs="Arial"/>
          <w:lang w:val="en-CA"/>
        </w:rPr>
        <w:t xml:space="preserve"> </w:t>
      </w:r>
      <w:r w:rsidR="0064067E">
        <w:rPr>
          <w:rFonts w:cs="Arial"/>
          <w:lang w:val="en-CA"/>
        </w:rPr>
        <w:t xml:space="preserve">31, </w:t>
      </w:r>
      <w:r w:rsidRPr="0045720B">
        <w:rPr>
          <w:rFonts w:cs="Arial"/>
          <w:lang w:val="en-CA"/>
        </w:rPr>
        <w:t>2022</w:t>
      </w:r>
      <w:r w:rsidR="001E1B82">
        <w:rPr>
          <w:rFonts w:cs="Arial"/>
          <w:lang w:val="en-CA"/>
        </w:rPr>
        <w:t>,</w:t>
      </w:r>
      <w:r w:rsidR="00706F32">
        <w:rPr>
          <w:rFonts w:cs="Arial"/>
          <w:lang w:val="en-CA"/>
        </w:rPr>
        <w:t xml:space="preserve"> p. 1</w:t>
      </w:r>
      <w:r w:rsidRPr="0045720B">
        <w:rPr>
          <w:rFonts w:cs="Arial"/>
          <w:lang w:val="en-CA"/>
        </w:rPr>
        <w:t>8</w:t>
      </w:r>
      <w:bookmarkEnd w:id="71"/>
      <w:r w:rsidRPr="0045720B">
        <w:rPr>
          <w:rFonts w:cs="Arial"/>
          <w:lang w:val="en-CA"/>
        </w:rPr>
        <w:t>.</w:t>
      </w:r>
    </w:p>
  </w:footnote>
  <w:footnote w:id="134">
    <w:p w14:paraId="6E8083FB" w14:textId="5008DF4E" w:rsidR="00584193" w:rsidRPr="0045720B" w:rsidRDefault="00584193" w:rsidP="00584193">
      <w:pPr>
        <w:pStyle w:val="Notedebasdepage"/>
        <w:rPr>
          <w:rFonts w:cs="Arial"/>
          <w:lang w:val="en-CA"/>
        </w:rPr>
      </w:pPr>
      <w:r w:rsidRPr="0045720B">
        <w:rPr>
          <w:rStyle w:val="Appelnotedebasdep"/>
          <w:rFonts w:cs="Arial"/>
          <w:lang w:val="en-CA"/>
        </w:rPr>
        <w:footnoteRef/>
      </w:r>
      <w:r w:rsidRPr="0045720B">
        <w:rPr>
          <w:rFonts w:cs="Arial"/>
          <w:lang w:val="en-CA"/>
        </w:rPr>
        <w:t xml:space="preserve"> </w:t>
      </w:r>
      <w:r w:rsidRPr="0045720B">
        <w:rPr>
          <w:rFonts w:cs="Arial"/>
          <w:lang w:val="en-CA"/>
        </w:rPr>
        <w:tab/>
        <w:t xml:space="preserve">Exhibit P-4, </w:t>
      </w:r>
      <w:bookmarkStart w:id="72" w:name="_Hlk178344901"/>
      <w:r w:rsidRPr="0045720B">
        <w:rPr>
          <w:rFonts w:eastAsiaTheme="minorHAnsi" w:cs="Arial"/>
          <w:szCs w:val="24"/>
          <w:lang w:val="en-CA" w:eastAsia="en-US"/>
          <w14:ligatures w14:val="standardContextual"/>
        </w:rPr>
        <w:t xml:space="preserve">Expert report of Marie-Ève Sylvestre, February </w:t>
      </w:r>
      <w:r w:rsidR="0064067E">
        <w:rPr>
          <w:rFonts w:eastAsiaTheme="minorHAnsi" w:cs="Arial"/>
          <w:szCs w:val="24"/>
          <w:lang w:val="en-CA" w:eastAsia="en-US"/>
          <w14:ligatures w14:val="standardContextual"/>
        </w:rPr>
        <w:t xml:space="preserve">7, </w:t>
      </w:r>
      <w:r w:rsidRPr="0045720B">
        <w:rPr>
          <w:rFonts w:eastAsiaTheme="minorHAnsi" w:cs="Arial"/>
          <w:szCs w:val="24"/>
          <w:lang w:val="en-CA" w:eastAsia="en-US"/>
          <w14:ligatures w14:val="standardContextual"/>
        </w:rPr>
        <w:t>2022</w:t>
      </w:r>
      <w:r w:rsidR="001E1B82">
        <w:rPr>
          <w:rFonts w:eastAsiaTheme="minorHAnsi" w:cs="Arial"/>
          <w:szCs w:val="24"/>
          <w:lang w:val="en-CA" w:eastAsia="en-US"/>
          <w14:ligatures w14:val="standardContextual"/>
        </w:rPr>
        <w:t>,</w:t>
      </w:r>
      <w:r w:rsidR="00083108">
        <w:rPr>
          <w:rFonts w:eastAsiaTheme="minorHAnsi" w:cs="Arial"/>
          <w:szCs w:val="24"/>
          <w:lang w:val="en-CA" w:eastAsia="en-US"/>
          <w14:ligatures w14:val="standardContextual"/>
        </w:rPr>
        <w:t xml:space="preserve"> pp. 4</w:t>
      </w:r>
      <w:r w:rsidRPr="0045720B">
        <w:rPr>
          <w:rFonts w:eastAsiaTheme="minorHAnsi" w:cs="Arial"/>
          <w:szCs w:val="24"/>
          <w:lang w:val="en-CA" w:eastAsia="en-US"/>
          <w14:ligatures w14:val="standardContextual"/>
        </w:rPr>
        <w:t>9</w:t>
      </w:r>
      <w:r w:rsidR="00520AE2">
        <w:rPr>
          <w:rFonts w:eastAsiaTheme="minorHAnsi" w:cs="Arial"/>
          <w:szCs w:val="24"/>
          <w:lang w:val="en-CA" w:eastAsia="en-US"/>
          <w14:ligatures w14:val="standardContextual"/>
        </w:rPr>
        <w:t>-</w:t>
      </w:r>
      <w:r w:rsidRPr="0045720B">
        <w:rPr>
          <w:rFonts w:eastAsiaTheme="minorHAnsi" w:cs="Arial"/>
          <w:szCs w:val="24"/>
          <w:lang w:val="en-CA" w:eastAsia="en-US"/>
          <w14:ligatures w14:val="standardContextual"/>
        </w:rPr>
        <w:t>54.</w:t>
      </w:r>
      <w:bookmarkEnd w:id="72"/>
      <w:r w:rsidRPr="0045720B">
        <w:rPr>
          <w:rFonts w:eastAsiaTheme="minorHAnsi" w:cs="Arial"/>
          <w:szCs w:val="24"/>
          <w:lang w:val="en-CA" w:eastAsia="en-US"/>
          <w14:ligatures w14:val="standardContextual"/>
        </w:rPr>
        <w:t xml:space="preserve"> </w:t>
      </w:r>
    </w:p>
  </w:footnote>
  <w:footnote w:id="135">
    <w:p w14:paraId="2C8EE9FE" w14:textId="163D68D5" w:rsidR="00F47355" w:rsidRPr="0045720B" w:rsidRDefault="00F47355" w:rsidP="00F47355">
      <w:pPr>
        <w:pStyle w:val="Notedebasdepage"/>
        <w:ind w:left="357" w:hanging="357"/>
        <w:rPr>
          <w:rFonts w:cs="Arial"/>
          <w:lang w:val="en-CA"/>
        </w:rPr>
      </w:pPr>
      <w:r w:rsidRPr="0045720B">
        <w:rPr>
          <w:rStyle w:val="Appelnotedebasdep"/>
          <w:rFonts w:cs="Arial"/>
          <w:lang w:val="en-CA"/>
        </w:rPr>
        <w:footnoteRef/>
      </w:r>
      <w:r w:rsidRPr="0045720B">
        <w:rPr>
          <w:rFonts w:cs="Arial"/>
          <w:lang w:val="en-CA"/>
        </w:rPr>
        <w:t xml:space="preserve"> </w:t>
      </w:r>
      <w:r w:rsidRPr="0045720B">
        <w:rPr>
          <w:rFonts w:cs="Arial"/>
          <w:lang w:val="en-CA"/>
        </w:rPr>
        <w:tab/>
        <w:t>To this effect, see the enlightening expert report of Marie-Ève Sylvestre, wh</w:t>
      </w:r>
      <w:r w:rsidR="00CA5405">
        <w:rPr>
          <w:rFonts w:cs="Arial"/>
          <w:lang w:val="en-CA"/>
        </w:rPr>
        <w:t>o</w:t>
      </w:r>
      <w:r w:rsidRPr="0045720B">
        <w:rPr>
          <w:rFonts w:cs="Arial"/>
          <w:lang w:val="en-CA"/>
        </w:rPr>
        <w:t xml:space="preserve"> discusses in detail the notion of racial profiling, its appearance, its definition</w:t>
      </w:r>
      <w:r w:rsidR="00295EDE" w:rsidRPr="0045720B">
        <w:rPr>
          <w:rFonts w:cs="Arial"/>
          <w:lang w:val="en-CA"/>
        </w:rPr>
        <w:t>,</w:t>
      </w:r>
      <w:r w:rsidRPr="0045720B">
        <w:rPr>
          <w:rFonts w:cs="Arial"/>
          <w:lang w:val="en-CA"/>
        </w:rPr>
        <w:t xml:space="preserve"> and its recognition: </w:t>
      </w:r>
      <w:r w:rsidRPr="0045720B">
        <w:rPr>
          <w:rFonts w:cs="Arial"/>
          <w:i/>
          <w:iCs/>
          <w:lang w:val="en-CA"/>
        </w:rPr>
        <w:t>Id.</w:t>
      </w:r>
      <w:r w:rsidR="00083108">
        <w:rPr>
          <w:rFonts w:cs="Arial"/>
          <w:lang w:val="en-CA"/>
        </w:rPr>
        <w:t>, pp. 8</w:t>
      </w:r>
      <w:r w:rsidRPr="0045720B">
        <w:rPr>
          <w:rFonts w:cs="Arial"/>
          <w:lang w:val="en-CA"/>
        </w:rPr>
        <w:t>–16.</w:t>
      </w:r>
    </w:p>
  </w:footnote>
  <w:footnote w:id="136">
    <w:p w14:paraId="302B9D5C" w14:textId="352C9974" w:rsidR="00F47355" w:rsidRPr="0045720B" w:rsidRDefault="00F47355" w:rsidP="00F47355">
      <w:pPr>
        <w:pStyle w:val="Notedebasdepage"/>
        <w:ind w:left="357" w:hanging="357"/>
        <w:rPr>
          <w:lang w:val="en-CA"/>
        </w:rPr>
      </w:pPr>
      <w:r w:rsidRPr="0045720B">
        <w:rPr>
          <w:rStyle w:val="Appelnotedebasdep"/>
          <w:rFonts w:cs="Arial"/>
          <w:lang w:val="en-CA"/>
        </w:rPr>
        <w:footnoteRef/>
      </w:r>
      <w:r w:rsidRPr="0045720B">
        <w:rPr>
          <w:rFonts w:cs="Arial"/>
          <w:color w:val="000000"/>
          <w:lang w:val="en-CA"/>
        </w:rPr>
        <w:t xml:space="preserve"> </w:t>
      </w:r>
      <w:r w:rsidRPr="0045720B">
        <w:rPr>
          <w:rFonts w:cs="Arial"/>
          <w:color w:val="000000"/>
          <w:lang w:val="en-CA"/>
        </w:rPr>
        <w:tab/>
        <w:t xml:space="preserve">The judge noted that racial profiling is </w:t>
      </w:r>
      <w:r w:rsidR="005E7AE1">
        <w:rPr>
          <w:rFonts w:cs="Arial"/>
          <w:color w:val="000000"/>
          <w:lang w:val="en-CA"/>
        </w:rPr>
        <w:t>now</w:t>
      </w:r>
      <w:r w:rsidR="005E7AE1" w:rsidRPr="0045720B">
        <w:rPr>
          <w:rFonts w:cs="Arial"/>
          <w:color w:val="000000"/>
          <w:lang w:val="en-CA"/>
        </w:rPr>
        <w:t xml:space="preserve"> </w:t>
      </w:r>
      <w:r w:rsidRPr="0045720B">
        <w:rPr>
          <w:rFonts w:cs="Arial"/>
          <w:color w:val="000000"/>
          <w:lang w:val="en-CA"/>
        </w:rPr>
        <w:t>well defined and distinguished from racism:</w:t>
      </w:r>
      <w:r w:rsidRPr="0045720B">
        <w:rPr>
          <w:rFonts w:cs="Arial"/>
          <w:lang w:val="en-CA"/>
        </w:rPr>
        <w:t xml:space="preserve"> Trial judgment</w:t>
      </w:r>
      <w:r w:rsidR="00706F32">
        <w:rPr>
          <w:rFonts w:cs="Arial"/>
          <w:lang w:val="en-CA"/>
        </w:rPr>
        <w:t>, paras.</w:t>
      </w:r>
      <w:r w:rsidRPr="0045720B">
        <w:rPr>
          <w:rFonts w:cs="Arial"/>
          <w:lang w:val="en-CA"/>
        </w:rPr>
        <w:t xml:space="preserve"> 391 and 573.</w:t>
      </w:r>
    </w:p>
  </w:footnote>
  <w:footnote w:id="137">
    <w:p w14:paraId="79E3C10C" w14:textId="754870DB" w:rsidR="00F47355" w:rsidRPr="0045720B" w:rsidRDefault="00F47355" w:rsidP="00F4735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706F32">
        <w:rPr>
          <w:lang w:val="en-CA"/>
        </w:rPr>
        <w:t>, p. 1</w:t>
      </w:r>
      <w:r w:rsidRPr="0045720B">
        <w:rPr>
          <w:lang w:val="en-CA"/>
        </w:rPr>
        <w:t xml:space="preserve">286. </w:t>
      </w:r>
    </w:p>
  </w:footnote>
  <w:footnote w:id="138">
    <w:p w14:paraId="3C5DD364" w14:textId="2926A5D5" w:rsidR="00F47355" w:rsidRPr="0045720B" w:rsidRDefault="00F47355" w:rsidP="00F47355">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t xml:space="preserve">Exhibit P-4, Expert report of Marie-Ève Sylvestre, February </w:t>
      </w:r>
      <w:r w:rsidR="00C511AC">
        <w:rPr>
          <w:lang w:val="en-CA"/>
        </w:rPr>
        <w:t xml:space="preserve">7, </w:t>
      </w:r>
      <w:r w:rsidRPr="0045720B">
        <w:rPr>
          <w:lang w:val="en-CA"/>
        </w:rPr>
        <w:t>2022</w:t>
      </w:r>
      <w:r w:rsidR="001E1B82">
        <w:rPr>
          <w:lang w:val="en-CA"/>
        </w:rPr>
        <w:t>,</w:t>
      </w:r>
      <w:r w:rsidR="00083108">
        <w:rPr>
          <w:lang w:val="en-CA"/>
        </w:rPr>
        <w:t xml:space="preserve"> pp. 4</w:t>
      </w:r>
      <w:r w:rsidRPr="0045720B">
        <w:rPr>
          <w:lang w:val="en-CA"/>
        </w:rPr>
        <w:t xml:space="preserve">9–54. See also: </w:t>
      </w:r>
      <w:r w:rsidRPr="0045720B">
        <w:rPr>
          <w:i/>
          <w:iCs/>
          <w:lang w:val="en-CA"/>
        </w:rPr>
        <w:t>R. v. Le</w:t>
      </w:r>
      <w:r w:rsidRPr="0045720B">
        <w:rPr>
          <w:lang w:val="en-CA"/>
        </w:rPr>
        <w:t>, 2019 SCC 34</w:t>
      </w:r>
      <w:r w:rsidR="005D436F">
        <w:rPr>
          <w:lang w:val="en-CA"/>
        </w:rPr>
        <w:t>, para.</w:t>
      </w:r>
      <w:r w:rsidRPr="0045720B">
        <w:rPr>
          <w:lang w:val="en-CA"/>
        </w:rPr>
        <w:t xml:space="preserve"> 95. </w:t>
      </w:r>
    </w:p>
  </w:footnote>
  <w:footnote w:id="139">
    <w:p w14:paraId="1357CBC3" w14:textId="6D377146" w:rsidR="00F47355" w:rsidRPr="0045720B" w:rsidRDefault="00F47355" w:rsidP="00F4735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706F32">
        <w:rPr>
          <w:lang w:val="en-CA"/>
        </w:rPr>
        <w:t>, p. 1</w:t>
      </w:r>
      <w:r w:rsidRPr="0045720B">
        <w:rPr>
          <w:lang w:val="en-CA"/>
        </w:rPr>
        <w:t>287.</w:t>
      </w:r>
    </w:p>
  </w:footnote>
  <w:footnote w:id="140">
    <w:p w14:paraId="2E50F947" w14:textId="446ACB3B" w:rsidR="00F47355" w:rsidRPr="0045720B" w:rsidRDefault="00F47355" w:rsidP="00F47355">
      <w:pPr>
        <w:pStyle w:val="Notedebasdepage"/>
        <w:ind w:left="357" w:hanging="357"/>
        <w:rPr>
          <w:strike/>
          <w:lang w:val="en-CA"/>
        </w:rPr>
      </w:pPr>
      <w:r w:rsidRPr="0045720B">
        <w:rPr>
          <w:rStyle w:val="Appelnotedebasdep"/>
          <w:lang w:val="en-CA"/>
        </w:rPr>
        <w:footnoteRef/>
      </w:r>
      <w:r w:rsidRPr="0045720B">
        <w:rPr>
          <w:lang w:val="en-CA"/>
        </w:rPr>
        <w:t xml:space="preserve"> </w:t>
      </w:r>
      <w:r w:rsidRPr="0045720B">
        <w:rPr>
          <w:lang w:val="en-CA"/>
        </w:rPr>
        <w:tab/>
        <w:t xml:space="preserve">The expert report of Massimiliano Mulone </w:t>
      </w:r>
      <w:r w:rsidR="00C26984" w:rsidRPr="0045720B">
        <w:rPr>
          <w:lang w:val="en-CA"/>
        </w:rPr>
        <w:t>describe</w:t>
      </w:r>
      <w:r w:rsidRPr="0045720B">
        <w:rPr>
          <w:lang w:val="en-CA"/>
        </w:rPr>
        <w:t xml:space="preserve">s the confusion that may arise in law enforcement between racial profiling and criminal profiling: Exhibit P-1, Expert report of Massimiliano Mulone, January </w:t>
      </w:r>
      <w:r w:rsidR="00397F92">
        <w:rPr>
          <w:lang w:val="en-CA"/>
        </w:rPr>
        <w:t xml:space="preserve">31, </w:t>
      </w:r>
      <w:r w:rsidRPr="0045720B">
        <w:rPr>
          <w:lang w:val="en-CA"/>
        </w:rPr>
        <w:t>2022</w:t>
      </w:r>
      <w:r w:rsidR="001E1B82">
        <w:rPr>
          <w:lang w:val="en-CA"/>
        </w:rPr>
        <w:t>,</w:t>
      </w:r>
      <w:r w:rsidR="00706F32">
        <w:rPr>
          <w:lang w:val="en-CA"/>
        </w:rPr>
        <w:t xml:space="preserve"> p. 2</w:t>
      </w:r>
      <w:r w:rsidRPr="0045720B">
        <w:rPr>
          <w:lang w:val="en-CA"/>
        </w:rPr>
        <w:t>0.</w:t>
      </w:r>
    </w:p>
  </w:footnote>
  <w:footnote w:id="141">
    <w:p w14:paraId="3355BAE1" w14:textId="4F2F4684" w:rsidR="00F47355" w:rsidRPr="0045720B" w:rsidRDefault="00F47355" w:rsidP="00F47355">
      <w:pPr>
        <w:pStyle w:val="Notedebasdepage"/>
        <w:rPr>
          <w:lang w:val="en-CA"/>
        </w:rPr>
      </w:pPr>
      <w:r w:rsidRPr="0045720B">
        <w:rPr>
          <w:rStyle w:val="Appelnotedebasdep"/>
          <w:lang w:val="en-CA"/>
        </w:rPr>
        <w:footnoteRef/>
      </w:r>
      <w:r w:rsidRPr="00077E55">
        <w:t xml:space="preserve"> </w:t>
      </w:r>
      <w:r w:rsidRPr="00077E55">
        <w:tab/>
      </w:r>
      <w:r w:rsidRPr="00077E55">
        <w:rPr>
          <w:i/>
          <w:iCs/>
        </w:rPr>
        <w:t>R. v. Comeau</w:t>
      </w:r>
      <w:r w:rsidRPr="00077E55">
        <w:t>, 2018 SCC 15</w:t>
      </w:r>
      <w:r w:rsidR="005D436F" w:rsidRPr="00077E55">
        <w:t>, para.</w:t>
      </w:r>
      <w:r w:rsidRPr="00077E55">
        <w:t xml:space="preserve"> </w:t>
      </w:r>
      <w:r w:rsidRPr="0045720B">
        <w:rPr>
          <w:lang w:val="en-CA"/>
        </w:rPr>
        <w:t>31.</w:t>
      </w:r>
    </w:p>
  </w:footnote>
  <w:footnote w:id="142">
    <w:p w14:paraId="0923D9DC" w14:textId="28072B68" w:rsidR="00F47355" w:rsidRPr="0045720B" w:rsidRDefault="00F47355" w:rsidP="00F47355">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148.</w:t>
      </w:r>
    </w:p>
  </w:footnote>
  <w:footnote w:id="143">
    <w:p w14:paraId="4BE117BB" w14:textId="3D4C93BB" w:rsidR="00F47355" w:rsidRPr="0045720B" w:rsidRDefault="00F47355" w:rsidP="00F4735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3F64BD">
        <w:rPr>
          <w:lang w:val="en-CA"/>
        </w:rPr>
        <w:t xml:space="preserve">, </w:t>
      </w:r>
      <w:r w:rsidRPr="0045720B">
        <w:rPr>
          <w:lang w:val="en-CA"/>
        </w:rPr>
        <w:t>para. 573.</w:t>
      </w:r>
    </w:p>
  </w:footnote>
  <w:footnote w:id="144">
    <w:p w14:paraId="0B2F9505" w14:textId="665097F1"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This is also what was decided </w:t>
      </w:r>
      <w:r w:rsidR="0039689A" w:rsidRPr="0039689A">
        <w:rPr>
          <w:lang w:val="en-CA"/>
        </w:rPr>
        <w:t xml:space="preserve">precisely </w:t>
      </w:r>
      <w:r w:rsidRPr="0045720B">
        <w:rPr>
          <w:lang w:val="en-CA"/>
        </w:rPr>
        <w:t>in relation to s. 636</w:t>
      </w:r>
      <w:r w:rsidR="0030762F" w:rsidRPr="0030762F">
        <w:rPr>
          <w:i/>
          <w:lang w:val="en-CA"/>
        </w:rPr>
        <w:t> HSC</w:t>
      </w:r>
      <w:r w:rsidRPr="0045720B">
        <w:rPr>
          <w:lang w:val="en-CA"/>
        </w:rPr>
        <w:t xml:space="preserve"> </w:t>
      </w:r>
      <w:bookmarkStart w:id="82" w:name="_Hlk172283424"/>
      <w:r w:rsidRPr="0045720B">
        <w:rPr>
          <w:lang w:val="en-CA"/>
        </w:rPr>
        <w:t xml:space="preserve">in </w:t>
      </w:r>
      <w:r w:rsidRPr="0045720B">
        <w:rPr>
          <w:i/>
          <w:iCs/>
          <w:lang w:val="en-CA"/>
        </w:rPr>
        <w:t>R. c. Soucisse</w:t>
      </w:r>
      <w:r w:rsidRPr="0045720B">
        <w:rPr>
          <w:lang w:val="en-CA"/>
        </w:rPr>
        <w:t xml:space="preserve">, </w:t>
      </w:r>
      <w:bookmarkEnd w:id="82"/>
      <w:r w:rsidRPr="0045720B">
        <w:rPr>
          <w:lang w:val="en-CA"/>
        </w:rPr>
        <w:t>[1994] R.J.Q. 1546 (C</w:t>
      </w:r>
      <w:r w:rsidR="0031724A" w:rsidRPr="0045720B">
        <w:rPr>
          <w:lang w:val="en-CA"/>
        </w:rPr>
        <w:t>.</w:t>
      </w:r>
      <w:r w:rsidRPr="0045720B">
        <w:rPr>
          <w:lang w:val="en-CA"/>
        </w:rPr>
        <w:t>A</w:t>
      </w:r>
      <w:r w:rsidR="0031724A" w:rsidRPr="0045720B">
        <w:rPr>
          <w:lang w:val="en-CA"/>
        </w:rPr>
        <w:t>.</w:t>
      </w:r>
      <w:r w:rsidRPr="0045720B">
        <w:rPr>
          <w:lang w:val="en-CA"/>
        </w:rPr>
        <w:t>)</w:t>
      </w:r>
      <w:r w:rsidR="00083108">
        <w:rPr>
          <w:lang w:val="en-CA"/>
        </w:rPr>
        <w:t>, pp. 1</w:t>
      </w:r>
      <w:r w:rsidRPr="0045720B">
        <w:rPr>
          <w:lang w:val="en-CA"/>
        </w:rPr>
        <w:t>550–1551.</w:t>
      </w:r>
    </w:p>
  </w:footnote>
  <w:footnote w:id="145">
    <w:p w14:paraId="116FA3F5" w14:textId="1380D1E9"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rFonts w:cs="Arial"/>
          <w:i/>
          <w:iCs/>
          <w:color w:val="000000"/>
          <w:lang w:val="en-CA"/>
        </w:rPr>
        <w:t>R. v. Grant</w:t>
      </w:r>
      <w:r w:rsidRPr="0045720B">
        <w:rPr>
          <w:rFonts w:cs="Arial"/>
          <w:color w:val="000000"/>
          <w:lang w:val="en-CA"/>
        </w:rPr>
        <w:t xml:space="preserve">, 2009 SCC 32; </w:t>
      </w:r>
      <w:r w:rsidRPr="0045720B">
        <w:rPr>
          <w:i/>
          <w:iCs/>
          <w:lang w:val="en-CA"/>
        </w:rPr>
        <w:t>R. v. Ladouceur</w:t>
      </w:r>
      <w:r w:rsidRPr="0045720B">
        <w:rPr>
          <w:rFonts w:cs="Arial"/>
          <w:color w:val="000000"/>
          <w:lang w:val="en-CA"/>
        </w:rPr>
        <w:t>, [1990] 1 S</w:t>
      </w:r>
      <w:r w:rsidR="0031724A" w:rsidRPr="0045720B">
        <w:rPr>
          <w:rFonts w:cs="Arial"/>
          <w:color w:val="000000"/>
          <w:lang w:val="en-CA"/>
        </w:rPr>
        <w:t>.</w:t>
      </w:r>
      <w:r w:rsidRPr="0045720B">
        <w:rPr>
          <w:rFonts w:cs="Arial"/>
          <w:color w:val="000000"/>
          <w:lang w:val="en-CA"/>
        </w:rPr>
        <w:t>C</w:t>
      </w:r>
      <w:r w:rsidR="0031724A" w:rsidRPr="0045720B">
        <w:rPr>
          <w:rFonts w:cs="Arial"/>
          <w:color w:val="000000"/>
          <w:lang w:val="en-CA"/>
        </w:rPr>
        <w:t>.</w:t>
      </w:r>
      <w:r w:rsidRPr="0045720B">
        <w:rPr>
          <w:rFonts w:cs="Arial"/>
          <w:color w:val="000000"/>
          <w:lang w:val="en-CA"/>
        </w:rPr>
        <w:t>R</w:t>
      </w:r>
      <w:r w:rsidR="0031724A" w:rsidRPr="0045720B">
        <w:rPr>
          <w:rFonts w:cs="Arial"/>
          <w:color w:val="000000"/>
          <w:lang w:val="en-CA"/>
        </w:rPr>
        <w:t>.</w:t>
      </w:r>
      <w:r w:rsidRPr="0045720B">
        <w:rPr>
          <w:rFonts w:cs="Arial"/>
          <w:color w:val="000000"/>
          <w:lang w:val="en-CA"/>
        </w:rPr>
        <w:t xml:space="preserve"> 1257</w:t>
      </w:r>
      <w:r w:rsidR="00706F32">
        <w:rPr>
          <w:rFonts w:cs="Arial"/>
          <w:color w:val="000000"/>
          <w:lang w:val="en-CA"/>
        </w:rPr>
        <w:t>, p. 1</w:t>
      </w:r>
      <w:r w:rsidRPr="0045720B">
        <w:rPr>
          <w:rFonts w:cs="Arial"/>
          <w:color w:val="000000"/>
          <w:lang w:val="en-CA"/>
        </w:rPr>
        <w:t xml:space="preserve">287; </w:t>
      </w:r>
      <w:r w:rsidRPr="0045720B">
        <w:rPr>
          <w:i/>
          <w:iCs/>
          <w:lang w:val="en-CA"/>
        </w:rPr>
        <w:t>R. v. Hufsky</w:t>
      </w:r>
      <w:r w:rsidRPr="0045720B">
        <w:rPr>
          <w:lang w:val="en-CA"/>
        </w:rPr>
        <w:t>,</w:t>
      </w:r>
      <w:r w:rsidRPr="0045720B">
        <w:rPr>
          <w:i/>
          <w:iCs/>
          <w:lang w:val="en-CA"/>
        </w:rPr>
        <w:t xml:space="preserve"> </w:t>
      </w:r>
      <w:r w:rsidRPr="0045720B">
        <w:rPr>
          <w:rFonts w:cs="Arial"/>
          <w:color w:val="000000"/>
          <w:lang w:val="en-CA"/>
        </w:rPr>
        <w:t>[1988] 1 S</w:t>
      </w:r>
      <w:r w:rsidR="0031724A" w:rsidRPr="0045720B">
        <w:rPr>
          <w:rFonts w:cs="Arial"/>
          <w:color w:val="000000"/>
          <w:lang w:val="en-CA"/>
        </w:rPr>
        <w:t>.</w:t>
      </w:r>
      <w:r w:rsidRPr="0045720B">
        <w:rPr>
          <w:rFonts w:cs="Arial"/>
          <w:color w:val="000000"/>
          <w:lang w:val="en-CA"/>
        </w:rPr>
        <w:t>C</w:t>
      </w:r>
      <w:r w:rsidR="0031724A" w:rsidRPr="0045720B">
        <w:rPr>
          <w:rFonts w:cs="Arial"/>
          <w:color w:val="000000"/>
          <w:lang w:val="en-CA"/>
        </w:rPr>
        <w:t>.</w:t>
      </w:r>
      <w:r w:rsidRPr="0045720B">
        <w:rPr>
          <w:rFonts w:cs="Arial"/>
          <w:color w:val="000000"/>
          <w:lang w:val="en-CA"/>
        </w:rPr>
        <w:t>R</w:t>
      </w:r>
      <w:r w:rsidR="0031724A" w:rsidRPr="0045720B">
        <w:rPr>
          <w:rFonts w:cs="Arial"/>
          <w:color w:val="000000"/>
          <w:lang w:val="en-CA"/>
        </w:rPr>
        <w:t>.</w:t>
      </w:r>
      <w:r w:rsidR="00455C35">
        <w:rPr>
          <w:rFonts w:cs="Arial"/>
          <w:color w:val="000000"/>
          <w:lang w:val="en-CA"/>
        </w:rPr>
        <w:t xml:space="preserve"> </w:t>
      </w:r>
      <w:r w:rsidRPr="0045720B">
        <w:rPr>
          <w:rFonts w:cs="Arial"/>
          <w:color w:val="000000"/>
          <w:lang w:val="en-CA"/>
        </w:rPr>
        <w:t xml:space="preserve">621; </w:t>
      </w:r>
      <w:r w:rsidRPr="0045720B">
        <w:rPr>
          <w:i/>
          <w:iCs/>
          <w:lang w:val="en-CA"/>
        </w:rPr>
        <w:t xml:space="preserve">R. v. Thomsen, </w:t>
      </w:r>
      <w:r w:rsidRPr="0045720B">
        <w:rPr>
          <w:rFonts w:cs="Arial"/>
          <w:color w:val="000000"/>
          <w:lang w:val="en-CA"/>
        </w:rPr>
        <w:t>[1988] 1 S</w:t>
      </w:r>
      <w:r w:rsidR="0031724A" w:rsidRPr="0045720B">
        <w:rPr>
          <w:rFonts w:cs="Arial"/>
          <w:color w:val="000000"/>
          <w:lang w:val="en-CA"/>
        </w:rPr>
        <w:t>.</w:t>
      </w:r>
      <w:r w:rsidRPr="0045720B">
        <w:rPr>
          <w:rFonts w:cs="Arial"/>
          <w:color w:val="000000"/>
          <w:lang w:val="en-CA"/>
        </w:rPr>
        <w:t>C</w:t>
      </w:r>
      <w:r w:rsidR="0031724A" w:rsidRPr="0045720B">
        <w:rPr>
          <w:rFonts w:cs="Arial"/>
          <w:color w:val="000000"/>
          <w:lang w:val="en-CA"/>
        </w:rPr>
        <w:t>.</w:t>
      </w:r>
      <w:r w:rsidRPr="0045720B">
        <w:rPr>
          <w:rFonts w:cs="Arial"/>
          <w:color w:val="000000"/>
          <w:lang w:val="en-CA"/>
        </w:rPr>
        <w:t>R</w:t>
      </w:r>
      <w:r w:rsidR="0031724A" w:rsidRPr="0045720B">
        <w:rPr>
          <w:rFonts w:cs="Arial"/>
          <w:color w:val="000000"/>
          <w:lang w:val="en-CA"/>
        </w:rPr>
        <w:t>.</w:t>
      </w:r>
      <w:r w:rsidRPr="0045720B">
        <w:rPr>
          <w:rFonts w:cs="Arial"/>
          <w:color w:val="000000"/>
          <w:lang w:val="en-CA"/>
        </w:rPr>
        <w:t xml:space="preserve"> 640; </w:t>
      </w:r>
      <w:r w:rsidRPr="0045720B">
        <w:rPr>
          <w:i/>
          <w:iCs/>
          <w:lang w:val="en-CA"/>
        </w:rPr>
        <w:t>R. v. Therens</w:t>
      </w:r>
      <w:r w:rsidRPr="0045720B">
        <w:rPr>
          <w:lang w:val="en-CA"/>
        </w:rPr>
        <w:t>, [1985]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613; </w:t>
      </w:r>
      <w:r w:rsidRPr="0045720B">
        <w:rPr>
          <w:i/>
          <w:iCs/>
          <w:lang w:val="en-CA"/>
        </w:rPr>
        <w:t>Trask v. The Queen,</w:t>
      </w:r>
      <w:r w:rsidRPr="0045720B">
        <w:rPr>
          <w:rFonts w:cs="Arial"/>
          <w:color w:val="000000"/>
          <w:lang w:val="en-CA"/>
        </w:rPr>
        <w:t xml:space="preserve"> [1985] 1 S</w:t>
      </w:r>
      <w:r w:rsidR="0031724A" w:rsidRPr="0045720B">
        <w:rPr>
          <w:rFonts w:cs="Arial"/>
          <w:color w:val="000000"/>
          <w:lang w:val="en-CA"/>
        </w:rPr>
        <w:t>.</w:t>
      </w:r>
      <w:r w:rsidRPr="0045720B">
        <w:rPr>
          <w:rFonts w:cs="Arial"/>
          <w:color w:val="000000"/>
          <w:lang w:val="en-CA"/>
        </w:rPr>
        <w:t>C</w:t>
      </w:r>
      <w:r w:rsidR="0031724A" w:rsidRPr="0045720B">
        <w:rPr>
          <w:rFonts w:cs="Arial"/>
          <w:color w:val="000000"/>
          <w:lang w:val="en-CA"/>
        </w:rPr>
        <w:t>.</w:t>
      </w:r>
      <w:r w:rsidRPr="0045720B">
        <w:rPr>
          <w:rFonts w:cs="Arial"/>
          <w:color w:val="000000"/>
          <w:lang w:val="en-CA"/>
        </w:rPr>
        <w:t>R</w:t>
      </w:r>
      <w:r w:rsidR="0031724A" w:rsidRPr="0045720B">
        <w:rPr>
          <w:rFonts w:cs="Arial"/>
          <w:color w:val="000000"/>
          <w:lang w:val="en-CA"/>
        </w:rPr>
        <w:t>.</w:t>
      </w:r>
      <w:r w:rsidRPr="0045720B">
        <w:rPr>
          <w:rFonts w:cs="Arial"/>
          <w:color w:val="000000"/>
          <w:lang w:val="en-CA"/>
        </w:rPr>
        <w:t xml:space="preserve"> 655; </w:t>
      </w:r>
      <w:r w:rsidRPr="0045720B">
        <w:rPr>
          <w:i/>
          <w:iCs/>
          <w:lang w:val="en-CA"/>
        </w:rPr>
        <w:t xml:space="preserve">Rahn v. The Queen, </w:t>
      </w:r>
      <w:r w:rsidRPr="0045720B">
        <w:rPr>
          <w:rFonts w:cs="Arial"/>
          <w:color w:val="000000"/>
          <w:lang w:val="en-CA"/>
        </w:rPr>
        <w:t>[1985] 1 S</w:t>
      </w:r>
      <w:r w:rsidR="0031724A" w:rsidRPr="0045720B">
        <w:rPr>
          <w:rFonts w:cs="Arial"/>
          <w:color w:val="000000"/>
          <w:lang w:val="en-CA"/>
        </w:rPr>
        <w:t>.</w:t>
      </w:r>
      <w:r w:rsidRPr="0045720B">
        <w:rPr>
          <w:rFonts w:cs="Arial"/>
          <w:color w:val="000000"/>
          <w:lang w:val="en-CA"/>
        </w:rPr>
        <w:t>C</w:t>
      </w:r>
      <w:r w:rsidR="0031724A" w:rsidRPr="0045720B">
        <w:rPr>
          <w:rFonts w:cs="Arial"/>
          <w:color w:val="000000"/>
          <w:lang w:val="en-CA"/>
        </w:rPr>
        <w:t>.</w:t>
      </w:r>
      <w:r w:rsidRPr="0045720B">
        <w:rPr>
          <w:rFonts w:cs="Arial"/>
          <w:color w:val="000000"/>
          <w:lang w:val="en-CA"/>
        </w:rPr>
        <w:t>R</w:t>
      </w:r>
      <w:r w:rsidR="0031724A" w:rsidRPr="0045720B">
        <w:rPr>
          <w:rFonts w:cs="Arial"/>
          <w:color w:val="000000"/>
          <w:lang w:val="en-CA"/>
        </w:rPr>
        <w:t>.</w:t>
      </w:r>
      <w:r w:rsidRPr="0045720B">
        <w:rPr>
          <w:rFonts w:cs="Arial"/>
          <w:color w:val="000000"/>
          <w:lang w:val="en-CA"/>
        </w:rPr>
        <w:t xml:space="preserve"> 659;</w:t>
      </w:r>
      <w:r w:rsidRPr="0045720B">
        <w:rPr>
          <w:lang w:val="en-CA"/>
        </w:rPr>
        <w:t xml:space="preserve"> </w:t>
      </w:r>
      <w:r w:rsidRPr="0045720B">
        <w:rPr>
          <w:rFonts w:cs="Arial"/>
          <w:i/>
          <w:iCs/>
          <w:color w:val="000000"/>
          <w:lang w:val="en-CA"/>
        </w:rPr>
        <w:t>Hogan v. The Queen</w:t>
      </w:r>
      <w:r w:rsidRPr="0045720B">
        <w:rPr>
          <w:rFonts w:cs="Arial"/>
          <w:color w:val="000000"/>
          <w:lang w:val="en-CA"/>
        </w:rPr>
        <w:t>, [1975] 2 S</w:t>
      </w:r>
      <w:r w:rsidR="0031724A" w:rsidRPr="0045720B">
        <w:rPr>
          <w:rFonts w:cs="Arial"/>
          <w:color w:val="000000"/>
          <w:lang w:val="en-CA"/>
        </w:rPr>
        <w:t>.</w:t>
      </w:r>
      <w:r w:rsidRPr="0045720B">
        <w:rPr>
          <w:rFonts w:cs="Arial"/>
          <w:color w:val="000000"/>
          <w:lang w:val="en-CA"/>
        </w:rPr>
        <w:t>C</w:t>
      </w:r>
      <w:r w:rsidR="0031724A" w:rsidRPr="0045720B">
        <w:rPr>
          <w:rFonts w:cs="Arial"/>
          <w:color w:val="000000"/>
          <w:lang w:val="en-CA"/>
        </w:rPr>
        <w:t>.</w:t>
      </w:r>
      <w:r w:rsidRPr="0045720B">
        <w:rPr>
          <w:rFonts w:cs="Arial"/>
          <w:color w:val="000000"/>
          <w:lang w:val="en-CA"/>
        </w:rPr>
        <w:t>R</w:t>
      </w:r>
      <w:r w:rsidR="0031724A" w:rsidRPr="0045720B">
        <w:rPr>
          <w:rFonts w:cs="Arial"/>
          <w:color w:val="000000"/>
          <w:lang w:val="en-CA"/>
        </w:rPr>
        <w:t>.</w:t>
      </w:r>
      <w:r w:rsidRPr="0045720B">
        <w:rPr>
          <w:rFonts w:cs="Arial"/>
          <w:color w:val="000000"/>
          <w:lang w:val="en-CA"/>
        </w:rPr>
        <w:t> 574</w:t>
      </w:r>
      <w:r w:rsidR="00083108">
        <w:rPr>
          <w:rFonts w:cs="Arial"/>
          <w:color w:val="000000"/>
          <w:lang w:val="en-CA"/>
        </w:rPr>
        <w:t>, p. 5</w:t>
      </w:r>
      <w:r w:rsidRPr="0045720B">
        <w:rPr>
          <w:rFonts w:cs="Arial"/>
          <w:color w:val="000000"/>
          <w:lang w:val="en-CA"/>
        </w:rPr>
        <w:t>87.</w:t>
      </w:r>
    </w:p>
  </w:footnote>
  <w:footnote w:id="146">
    <w:p w14:paraId="3B284BC9" w14:textId="21E1DE0D"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604.</w:t>
      </w:r>
    </w:p>
  </w:footnote>
  <w:footnote w:id="147">
    <w:p w14:paraId="3791E256" w14:textId="2A58B5B3"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675FCA">
        <w:rPr>
          <w:lang w:val="en-CA"/>
        </w:rPr>
        <w:t xml:space="preserve">, </w:t>
      </w:r>
      <w:r w:rsidRPr="0045720B">
        <w:rPr>
          <w:lang w:val="en-CA"/>
        </w:rPr>
        <w:t>para. 605.</w:t>
      </w:r>
    </w:p>
  </w:footnote>
  <w:footnote w:id="148">
    <w:p w14:paraId="5B7FBD04" w14:textId="0305219F"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Huf</w:t>
      </w:r>
      <w:r w:rsidR="00905D5E">
        <w:rPr>
          <w:i/>
          <w:iCs/>
          <w:lang w:val="en-CA"/>
        </w:rPr>
        <w:t>s</w:t>
      </w:r>
      <w:r w:rsidRPr="0045720B">
        <w:rPr>
          <w:i/>
          <w:iCs/>
          <w:lang w:val="en-CA"/>
        </w:rPr>
        <w:t>ky</w:t>
      </w:r>
      <w:r w:rsidRPr="0045720B">
        <w:rPr>
          <w:lang w:val="en-CA"/>
        </w:rPr>
        <w:t>, [1988]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621</w:t>
      </w:r>
      <w:r w:rsidR="00083108">
        <w:rPr>
          <w:lang w:val="en-CA"/>
        </w:rPr>
        <w:t>, p. 6</w:t>
      </w:r>
      <w:r w:rsidRPr="0045720B">
        <w:rPr>
          <w:lang w:val="en-CA"/>
        </w:rPr>
        <w:t xml:space="preserve">33, cited in: </w:t>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706F32">
        <w:rPr>
          <w:lang w:val="en-CA"/>
        </w:rPr>
        <w:t>, p. 1</w:t>
      </w:r>
      <w:r w:rsidRPr="0045720B">
        <w:rPr>
          <w:lang w:val="en-CA"/>
        </w:rPr>
        <w:t xml:space="preserve">277. This principle </w:t>
      </w:r>
      <w:r w:rsidR="00CA5405">
        <w:rPr>
          <w:lang w:val="en-CA"/>
        </w:rPr>
        <w:t>h</w:t>
      </w:r>
      <w:r w:rsidRPr="0045720B">
        <w:rPr>
          <w:lang w:val="en-CA"/>
        </w:rPr>
        <w:t xml:space="preserve">as </w:t>
      </w:r>
      <w:r w:rsidR="00CA5405">
        <w:rPr>
          <w:lang w:val="en-CA"/>
        </w:rPr>
        <w:t xml:space="preserve">been </w:t>
      </w:r>
      <w:r w:rsidRPr="0045720B">
        <w:rPr>
          <w:lang w:val="en-CA"/>
        </w:rPr>
        <w:t xml:space="preserve">reiterated several times. See for example: </w:t>
      </w:r>
      <w:r w:rsidRPr="0045720B">
        <w:rPr>
          <w:i/>
          <w:iCs/>
          <w:lang w:val="en-CA"/>
        </w:rPr>
        <w:t>R. v. Morales</w:t>
      </w:r>
      <w:r w:rsidRPr="0045720B">
        <w:rPr>
          <w:lang w:val="en-CA"/>
        </w:rPr>
        <w:t>, [1992] 3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711</w:t>
      </w:r>
      <w:r w:rsidR="00083108">
        <w:rPr>
          <w:lang w:val="en-CA"/>
        </w:rPr>
        <w:t>, p.</w:t>
      </w:r>
      <w:r w:rsidR="00241CBD">
        <w:rPr>
          <w:lang w:val="en-CA"/>
        </w:rPr>
        <w:t> </w:t>
      </w:r>
      <w:r w:rsidR="00083108">
        <w:rPr>
          <w:lang w:val="en-CA"/>
        </w:rPr>
        <w:t>7</w:t>
      </w:r>
      <w:r w:rsidRPr="0045720B">
        <w:rPr>
          <w:lang w:val="en-CA"/>
        </w:rPr>
        <w:t xml:space="preserve">40; </w:t>
      </w:r>
      <w:r w:rsidRPr="0045720B">
        <w:rPr>
          <w:i/>
          <w:iCs/>
          <w:lang w:val="en-CA"/>
        </w:rPr>
        <w:t>R. v. Pearson</w:t>
      </w:r>
      <w:r w:rsidRPr="0045720B">
        <w:rPr>
          <w:lang w:val="en-CA"/>
        </w:rPr>
        <w:t>, [1992] 3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665</w:t>
      </w:r>
      <w:r w:rsidR="00083108">
        <w:rPr>
          <w:lang w:val="en-CA"/>
        </w:rPr>
        <w:t>, pp. 6</w:t>
      </w:r>
      <w:r w:rsidR="00016A67">
        <w:rPr>
          <w:lang w:val="en-CA"/>
        </w:rPr>
        <w:t>99-</w:t>
      </w:r>
      <w:r w:rsidRPr="0045720B">
        <w:rPr>
          <w:lang w:val="en-CA"/>
        </w:rPr>
        <w:t xml:space="preserve">700; </w:t>
      </w:r>
      <w:r w:rsidRPr="0045720B">
        <w:rPr>
          <w:i/>
          <w:iCs/>
          <w:lang w:val="en-CA"/>
        </w:rPr>
        <w:t>LSJPA – 1530</w:t>
      </w:r>
      <w:r w:rsidRPr="0045720B">
        <w:rPr>
          <w:lang w:val="en-CA"/>
        </w:rPr>
        <w:t>, 2015 QCCA 1315</w:t>
      </w:r>
      <w:r w:rsidR="005D436F">
        <w:rPr>
          <w:lang w:val="en-CA"/>
        </w:rPr>
        <w:t>, para.</w:t>
      </w:r>
      <w:r w:rsidRPr="0045720B">
        <w:rPr>
          <w:lang w:val="en-CA"/>
        </w:rPr>
        <w:t xml:space="preserve"> 19; </w:t>
      </w:r>
      <w:r w:rsidRPr="0045720B">
        <w:rPr>
          <w:i/>
          <w:iCs/>
          <w:lang w:val="en-CA"/>
        </w:rPr>
        <w:t>R. v. Donnelly</w:t>
      </w:r>
      <w:r w:rsidRPr="0045720B">
        <w:rPr>
          <w:lang w:val="en-CA"/>
        </w:rPr>
        <w:t>, 2016 ONCA 988</w:t>
      </w:r>
      <w:r w:rsidR="005D436F">
        <w:rPr>
          <w:lang w:val="en-CA"/>
        </w:rPr>
        <w:t>, para.</w:t>
      </w:r>
      <w:r w:rsidRPr="0045720B">
        <w:rPr>
          <w:lang w:val="en-CA"/>
        </w:rPr>
        <w:t xml:space="preserve"> 70.</w:t>
      </w:r>
    </w:p>
  </w:footnote>
  <w:footnote w:id="149">
    <w:p w14:paraId="3995EE04" w14:textId="7DB9A047"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Oakes</w:t>
      </w:r>
      <w:r w:rsidRPr="0045720B">
        <w:rPr>
          <w:lang w:val="en-CA"/>
        </w:rPr>
        <w:t>, [1986]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103 </w:t>
      </w:r>
      <w:r w:rsidRPr="0045720B">
        <w:rPr>
          <w:rFonts w:cs="Arial"/>
          <w:lang w:val="en-CA"/>
        </w:rPr>
        <w:t>[</w:t>
      </w:r>
      <w:r w:rsidRPr="0045720B">
        <w:rPr>
          <w:i/>
          <w:iCs/>
          <w:lang w:val="en-CA"/>
        </w:rPr>
        <w:t>Oakes</w:t>
      </w:r>
      <w:r w:rsidRPr="0045720B">
        <w:rPr>
          <w:rFonts w:cs="Arial"/>
          <w:lang w:val="en-CA"/>
        </w:rPr>
        <w:t>]</w:t>
      </w:r>
      <w:r w:rsidRPr="0045720B">
        <w:rPr>
          <w:lang w:val="en-CA"/>
        </w:rPr>
        <w:t>.</w:t>
      </w:r>
    </w:p>
  </w:footnote>
  <w:footnote w:id="150">
    <w:p w14:paraId="51C18F88" w14:textId="7A16A4A8" w:rsidR="00FA561A" w:rsidRPr="00077E55" w:rsidRDefault="0043013D" w:rsidP="00FA561A">
      <w:pPr>
        <w:pStyle w:val="Notedebasdepage"/>
      </w:pPr>
      <w:r w:rsidRPr="0045720B">
        <w:rPr>
          <w:rStyle w:val="Appelnotedebasdep"/>
          <w:lang w:val="en-CA"/>
        </w:rPr>
        <w:footnoteRef/>
      </w:r>
      <w:r w:rsidRPr="00077E55">
        <w:t xml:space="preserve"> </w:t>
      </w:r>
      <w:r w:rsidRPr="00077E55">
        <w:tab/>
      </w:r>
      <w:r w:rsidRPr="00077E55">
        <w:rPr>
          <w:i/>
          <w:iCs/>
        </w:rPr>
        <w:t xml:space="preserve">R. </w:t>
      </w:r>
      <w:r w:rsidR="00155556" w:rsidRPr="00077E55">
        <w:rPr>
          <w:i/>
          <w:iCs/>
        </w:rPr>
        <w:t>v</w:t>
      </w:r>
      <w:r w:rsidRPr="00077E55">
        <w:rPr>
          <w:i/>
          <w:iCs/>
        </w:rPr>
        <w:t>. Ndhlovu</w:t>
      </w:r>
      <w:r w:rsidR="00CE1945" w:rsidRPr="00077E55">
        <w:t>, 2022 </w:t>
      </w:r>
      <w:r w:rsidR="003514B8" w:rsidRPr="00077E55">
        <w:t>SCC</w:t>
      </w:r>
      <w:r w:rsidR="00CE1945" w:rsidRPr="00077E55">
        <w:t xml:space="preserve"> 38 </w:t>
      </w:r>
      <w:r w:rsidR="00155556" w:rsidRPr="00077E55">
        <w:rPr>
          <w:rFonts w:cs="Arial"/>
        </w:rPr>
        <w:t>[</w:t>
      </w:r>
      <w:r w:rsidRPr="00077E55">
        <w:rPr>
          <w:i/>
          <w:iCs/>
        </w:rPr>
        <w:t>Ndhlovu</w:t>
      </w:r>
      <w:r w:rsidR="00155556" w:rsidRPr="00077E55">
        <w:rPr>
          <w:rFonts w:cs="Arial"/>
        </w:rPr>
        <w:t>]</w:t>
      </w:r>
      <w:r w:rsidRPr="00077E55">
        <w:t>.</w:t>
      </w:r>
    </w:p>
  </w:footnote>
  <w:footnote w:id="151">
    <w:p w14:paraId="6FF2636B" w14:textId="6956AB42"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692.</w:t>
      </w:r>
    </w:p>
  </w:footnote>
  <w:footnote w:id="152">
    <w:p w14:paraId="0F27213C" w14:textId="4B561DB9" w:rsidR="001A6AF7" w:rsidRPr="0045720B" w:rsidRDefault="001A6AF7" w:rsidP="001A6AF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693.</w:t>
      </w:r>
    </w:p>
  </w:footnote>
  <w:footnote w:id="153">
    <w:p w14:paraId="40A0E900" w14:textId="0C298105" w:rsidR="001A6AF7" w:rsidRPr="00077E55" w:rsidRDefault="001A6AF7" w:rsidP="001A6AF7">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Frank v. Canada (Attorney General)</w:t>
      </w:r>
      <w:r w:rsidRPr="0045720B">
        <w:rPr>
          <w:lang w:val="en-CA"/>
        </w:rPr>
        <w:t>, 2019 SCC 1</w:t>
      </w:r>
      <w:r w:rsidR="005D436F">
        <w:rPr>
          <w:lang w:val="en-CA"/>
        </w:rPr>
        <w:t>, para.</w:t>
      </w:r>
      <w:r w:rsidRPr="0045720B">
        <w:rPr>
          <w:lang w:val="en-CA"/>
        </w:rPr>
        <w:t xml:space="preserve"> </w:t>
      </w:r>
      <w:r w:rsidRPr="00077E55">
        <w:t>46.</w:t>
      </w:r>
    </w:p>
  </w:footnote>
  <w:footnote w:id="154">
    <w:p w14:paraId="38AB87E7" w14:textId="7DC59170" w:rsidR="001C3D7E" w:rsidRPr="0045720B" w:rsidRDefault="001C3D7E" w:rsidP="001C3D7E">
      <w:pPr>
        <w:pStyle w:val="Notedebasdepage"/>
        <w:rPr>
          <w:lang w:val="en-CA"/>
        </w:rPr>
      </w:pPr>
      <w:r w:rsidRPr="0045720B">
        <w:rPr>
          <w:rStyle w:val="Appelnotedebasdep"/>
          <w:lang w:val="en-CA"/>
        </w:rPr>
        <w:footnoteRef/>
      </w:r>
      <w:r w:rsidRPr="00077E55">
        <w:t xml:space="preserve"> </w:t>
      </w:r>
      <w:r w:rsidRPr="00077E55">
        <w:tab/>
      </w:r>
      <w:r w:rsidRPr="00077E55">
        <w:rPr>
          <w:i/>
          <w:iCs/>
        </w:rPr>
        <w:t>La Presse inc. v. Quebec</w:t>
      </w:r>
      <w:r w:rsidRPr="00077E55">
        <w:t>, 2023 SCC 22</w:t>
      </w:r>
      <w:r w:rsidR="005D436F" w:rsidRPr="00077E55">
        <w:t>, para.</w:t>
      </w:r>
      <w:r w:rsidRPr="00077E55">
        <w:t xml:space="preserve"> </w:t>
      </w:r>
      <w:r w:rsidRPr="0045720B">
        <w:rPr>
          <w:lang w:val="en-CA"/>
        </w:rPr>
        <w:t>50.</w:t>
      </w:r>
    </w:p>
  </w:footnote>
  <w:footnote w:id="155">
    <w:p w14:paraId="598E5604" w14:textId="77777777" w:rsidR="001C3D7E" w:rsidRPr="0045720B" w:rsidRDefault="001C3D7E" w:rsidP="001C3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Act to</w:t>
      </w:r>
      <w:r w:rsidRPr="0045720B">
        <w:rPr>
          <w:lang w:val="en-CA"/>
        </w:rPr>
        <w:t xml:space="preserve"> </w:t>
      </w:r>
      <w:r w:rsidRPr="0045720B">
        <w:rPr>
          <w:i/>
          <w:iCs/>
          <w:lang w:val="en-CA"/>
        </w:rPr>
        <w:t>amend the Highway Safety Code and other legislative provisions</w:t>
      </w:r>
      <w:r w:rsidRPr="0045720B">
        <w:rPr>
          <w:lang w:val="en-CA"/>
        </w:rPr>
        <w:t>, S.Q. 1990, c. 83, s. 236.</w:t>
      </w:r>
    </w:p>
  </w:footnote>
  <w:footnote w:id="156">
    <w:p w14:paraId="0B4F2336" w14:textId="1F120240" w:rsidR="001C3D7E" w:rsidRPr="0045720B" w:rsidRDefault="001C3D7E" w:rsidP="001C3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National Assembly, </w:t>
      </w:r>
      <w:r w:rsidR="00383179" w:rsidRPr="0045720B">
        <w:rPr>
          <w:lang w:val="en-CA"/>
        </w:rPr>
        <w:t>Standing Committee on Planning and Infrastructures</w:t>
      </w:r>
      <w:r w:rsidRPr="0045720B">
        <w:rPr>
          <w:lang w:val="en-CA"/>
        </w:rPr>
        <w:t xml:space="preserve">, </w:t>
      </w:r>
      <w:r w:rsidRPr="0045720B">
        <w:rPr>
          <w:i/>
          <w:iCs/>
          <w:lang w:val="en-CA"/>
        </w:rPr>
        <w:t xml:space="preserve">Journal des débats, </w:t>
      </w:r>
      <w:r w:rsidRPr="0045720B">
        <w:rPr>
          <w:lang w:val="en-CA"/>
        </w:rPr>
        <w:t>34</w:t>
      </w:r>
      <w:r w:rsidR="00B91CA5">
        <w:rPr>
          <w:lang w:val="en-CA"/>
        </w:rPr>
        <w:t>th</w:t>
      </w:r>
      <w:r w:rsidR="00B91CA5">
        <w:rPr>
          <w:vertAlign w:val="superscript"/>
          <w:lang w:val="en-CA"/>
        </w:rPr>
        <w:t xml:space="preserve"> </w:t>
      </w:r>
      <w:r w:rsidR="00B91CA5">
        <w:rPr>
          <w:lang w:val="en-CA"/>
        </w:rPr>
        <w:t>Leg. 1st Sess.</w:t>
      </w:r>
      <w:r w:rsidRPr="0045720B">
        <w:rPr>
          <w:lang w:val="en-CA"/>
        </w:rPr>
        <w:t xml:space="preserve">, </w:t>
      </w:r>
      <w:r w:rsidR="00CA5405">
        <w:rPr>
          <w:lang w:val="en-CA"/>
        </w:rPr>
        <w:t>No.</w:t>
      </w:r>
      <w:r w:rsidRPr="0045720B">
        <w:rPr>
          <w:vertAlign w:val="superscript"/>
          <w:lang w:val="en-CA"/>
        </w:rPr>
        <w:t> </w:t>
      </w:r>
      <w:r w:rsidRPr="0045720B">
        <w:rPr>
          <w:lang w:val="en-CA"/>
        </w:rPr>
        <w:t xml:space="preserve">65, December </w:t>
      </w:r>
      <w:r w:rsidR="00B91CA5">
        <w:rPr>
          <w:lang w:val="en-CA"/>
        </w:rPr>
        <w:t xml:space="preserve">18, </w:t>
      </w:r>
      <w:r w:rsidRPr="0045720B">
        <w:rPr>
          <w:lang w:val="en-CA"/>
        </w:rPr>
        <w:t>1990</w:t>
      </w:r>
      <w:r w:rsidR="001E1B82">
        <w:rPr>
          <w:lang w:val="en-CA"/>
        </w:rPr>
        <w:t>,</w:t>
      </w:r>
      <w:r w:rsidR="00083108">
        <w:rPr>
          <w:lang w:val="en-CA"/>
        </w:rPr>
        <w:t xml:space="preserve"> pp. 3</w:t>
      </w:r>
      <w:r w:rsidRPr="0045720B">
        <w:rPr>
          <w:lang w:val="en-CA"/>
        </w:rPr>
        <w:t>730–3731.</w:t>
      </w:r>
    </w:p>
  </w:footnote>
  <w:footnote w:id="157">
    <w:p w14:paraId="30C7EFF2" w14:textId="4C426D64" w:rsidR="001C3D7E" w:rsidRPr="00077E55" w:rsidRDefault="001C3D7E" w:rsidP="001C3D7E">
      <w:pPr>
        <w:pStyle w:val="Notedebasdepage"/>
      </w:pPr>
      <w:r w:rsidRPr="0045720B">
        <w:rPr>
          <w:rStyle w:val="Appelnotedebasdep"/>
          <w:lang w:val="en-CA"/>
        </w:rPr>
        <w:footnoteRef/>
      </w:r>
      <w:r w:rsidRPr="00077E55">
        <w:t xml:space="preserve"> </w:t>
      </w:r>
      <w:r w:rsidRPr="00077E55">
        <w:tab/>
        <w:t xml:space="preserve">Exhibit PGQ-16, Portrait alcool au volant SAAQ, April </w:t>
      </w:r>
      <w:r w:rsidR="00D64598" w:rsidRPr="00077E55">
        <w:t xml:space="preserve">26, </w:t>
      </w:r>
      <w:r w:rsidRPr="00077E55">
        <w:t>2022</w:t>
      </w:r>
      <w:r w:rsidR="001E1B82" w:rsidRPr="00077E55">
        <w:t>,</w:t>
      </w:r>
      <w:r w:rsidR="00706F32" w:rsidRPr="00077E55">
        <w:t xml:space="preserve"> p. 2</w:t>
      </w:r>
      <w:r w:rsidRPr="00077E55">
        <w:t>.</w:t>
      </w:r>
    </w:p>
  </w:footnote>
  <w:footnote w:id="158">
    <w:p w14:paraId="72FE60BE" w14:textId="31178367" w:rsidR="001C3D7E" w:rsidRPr="0045720B" w:rsidRDefault="001C3D7E" w:rsidP="001C3D7E">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Alberta v. Hutterian Brethren of Wilson Colony</w:t>
      </w:r>
      <w:r w:rsidRPr="0045720B">
        <w:rPr>
          <w:lang w:val="en-CA"/>
        </w:rPr>
        <w:t>, 2009 SCC 37</w:t>
      </w:r>
      <w:r w:rsidR="00706F32">
        <w:rPr>
          <w:lang w:val="en-CA"/>
        </w:rPr>
        <w:t>, paras.</w:t>
      </w:r>
      <w:r w:rsidRPr="0045720B">
        <w:rPr>
          <w:lang w:val="en-CA"/>
        </w:rPr>
        <w:t xml:space="preserve"> 45–47; </w:t>
      </w:r>
      <w:r w:rsidRPr="0045720B">
        <w:rPr>
          <w:i/>
          <w:iCs/>
          <w:lang w:val="en-CA"/>
        </w:rPr>
        <w:t>R. v. Hufsky</w:t>
      </w:r>
      <w:r w:rsidRPr="0045720B">
        <w:rPr>
          <w:lang w:val="en-CA"/>
        </w:rPr>
        <w:t>, [1988]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621</w:t>
      </w:r>
      <w:r w:rsidR="00083108">
        <w:rPr>
          <w:lang w:val="en-CA"/>
        </w:rPr>
        <w:t>, p. 6</w:t>
      </w:r>
      <w:r w:rsidRPr="0045720B">
        <w:rPr>
          <w:lang w:val="en-CA"/>
        </w:rPr>
        <w:t>36.</w:t>
      </w:r>
    </w:p>
  </w:footnote>
  <w:footnote w:id="159">
    <w:p w14:paraId="6501A8CA" w14:textId="207792AF" w:rsidR="001C3D7E" w:rsidRPr="0045720B" w:rsidRDefault="001C3D7E" w:rsidP="001C3D7E">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Goodwin v. British Columbia (Superintendent of Motor Vehicles)</w:t>
      </w:r>
      <w:r w:rsidRPr="0045720B">
        <w:rPr>
          <w:lang w:val="en-CA"/>
        </w:rPr>
        <w:t>, 2015 SCC 46</w:t>
      </w:r>
      <w:r w:rsidR="005D436F">
        <w:rPr>
          <w:lang w:val="en-CA"/>
        </w:rPr>
        <w:t>, para.</w:t>
      </w:r>
      <w:r w:rsidRPr="0045720B">
        <w:rPr>
          <w:lang w:val="en-CA"/>
        </w:rPr>
        <w:t xml:space="preserve"> 80; </w:t>
      </w:r>
      <w:r w:rsidRPr="0045720B">
        <w:rPr>
          <w:i/>
          <w:iCs/>
          <w:lang w:val="en-CA"/>
        </w:rPr>
        <w:t>R. v. Orbanski; R. v. Elias</w:t>
      </w:r>
      <w:r w:rsidRPr="0045720B">
        <w:rPr>
          <w:lang w:val="en-CA"/>
        </w:rPr>
        <w:t>, 2005 SCC 37</w:t>
      </w:r>
      <w:r w:rsidR="005D436F">
        <w:rPr>
          <w:lang w:val="en-CA"/>
        </w:rPr>
        <w:t>, para.</w:t>
      </w:r>
      <w:r w:rsidRPr="0045720B">
        <w:rPr>
          <w:lang w:val="en-CA"/>
        </w:rPr>
        <w:t xml:space="preserve"> 55.</w:t>
      </w:r>
    </w:p>
  </w:footnote>
  <w:footnote w:id="160">
    <w:p w14:paraId="4EDAB67D" w14:textId="589FBDB5" w:rsidR="001C3D7E" w:rsidRPr="0045720B" w:rsidRDefault="001C3D7E" w:rsidP="001C3D7E">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Alberta v. Hutterian Brethren of Wilson Colony</w:t>
      </w:r>
      <w:r w:rsidRPr="0045720B">
        <w:rPr>
          <w:lang w:val="en-CA"/>
        </w:rPr>
        <w:t>, 2009 SCC 37</w:t>
      </w:r>
      <w:r w:rsidR="00706F32">
        <w:rPr>
          <w:lang w:val="en-CA"/>
        </w:rPr>
        <w:t>, paras.</w:t>
      </w:r>
      <w:r w:rsidRPr="0045720B">
        <w:rPr>
          <w:lang w:val="en-CA"/>
        </w:rPr>
        <w:t xml:space="preserve"> 45–47.</w:t>
      </w:r>
    </w:p>
  </w:footnote>
  <w:footnote w:id="161">
    <w:p w14:paraId="19E9C0EE" w14:textId="214EAAFC" w:rsidR="001C3D7E" w:rsidRPr="0045720B" w:rsidRDefault="001C3D7E" w:rsidP="001C3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w:t>
      </w:r>
      <w:r w:rsidR="00CA5405">
        <w:rPr>
          <w:lang w:val="en-CA"/>
        </w:rPr>
        <w:t>7</w:t>
      </w:r>
      <w:r w:rsidR="00706F32">
        <w:rPr>
          <w:lang w:val="en-CA"/>
        </w:rPr>
        <w:t>, p. 1</w:t>
      </w:r>
      <w:r w:rsidRPr="0045720B">
        <w:rPr>
          <w:lang w:val="en-CA"/>
        </w:rPr>
        <w:t xml:space="preserve">280. </w:t>
      </w:r>
    </w:p>
  </w:footnote>
  <w:footnote w:id="162">
    <w:p w14:paraId="7A6E68BB" w14:textId="18A2546D" w:rsidR="001C3D7E" w:rsidRPr="00077E55" w:rsidRDefault="001C3D7E" w:rsidP="001C3D7E">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Canada (Attorney General) v. Bedford</w:t>
      </w:r>
      <w:r w:rsidRPr="0045720B">
        <w:rPr>
          <w:lang w:val="en-CA"/>
        </w:rPr>
        <w:t>, 2013 SCC 72</w:t>
      </w:r>
      <w:r w:rsidR="005D436F">
        <w:rPr>
          <w:lang w:val="en-CA"/>
        </w:rPr>
        <w:t>, para.</w:t>
      </w:r>
      <w:r w:rsidRPr="0045720B">
        <w:rPr>
          <w:lang w:val="en-CA"/>
        </w:rPr>
        <w:t xml:space="preserve"> </w:t>
      </w:r>
      <w:r w:rsidRPr="00077E55">
        <w:t>126.</w:t>
      </w:r>
    </w:p>
  </w:footnote>
  <w:footnote w:id="163">
    <w:p w14:paraId="0824C894" w14:textId="4931FFFF" w:rsidR="001C3D7E" w:rsidRPr="0045720B" w:rsidRDefault="001C3D7E" w:rsidP="001C3D7E">
      <w:pPr>
        <w:pStyle w:val="Notedebasdepage"/>
        <w:rPr>
          <w:lang w:val="en-CA"/>
        </w:rPr>
      </w:pPr>
      <w:r w:rsidRPr="0045720B">
        <w:rPr>
          <w:rStyle w:val="Appelnotedebasdep"/>
          <w:lang w:val="en-CA"/>
        </w:rPr>
        <w:footnoteRef/>
      </w:r>
      <w:r w:rsidRPr="00077E55">
        <w:t xml:space="preserve"> </w:t>
      </w:r>
      <w:r w:rsidRPr="00077E55">
        <w:tab/>
      </w:r>
      <w:r w:rsidRPr="00077E55">
        <w:rPr>
          <w:i/>
          <w:iCs/>
        </w:rPr>
        <w:t>R. v. Ndhlovu</w:t>
      </w:r>
      <w:r w:rsidRPr="00077E55">
        <w:t>, 2022 SCC 38</w:t>
      </w:r>
      <w:r w:rsidR="005D436F" w:rsidRPr="00077E55">
        <w:t>, para.</w:t>
      </w:r>
      <w:r w:rsidRPr="00077E55">
        <w:t xml:space="preserve"> </w:t>
      </w:r>
      <w:r w:rsidRPr="0045720B">
        <w:rPr>
          <w:lang w:val="en-CA"/>
        </w:rPr>
        <w:t>121 [</w:t>
      </w:r>
      <w:r w:rsidR="00734EF1">
        <w:rPr>
          <w:lang w:val="en-CA"/>
        </w:rPr>
        <w:t xml:space="preserve">italics </w:t>
      </w:r>
      <w:r w:rsidRPr="0045720B">
        <w:rPr>
          <w:lang w:val="en-CA"/>
        </w:rPr>
        <w:t xml:space="preserve">in the original]. </w:t>
      </w:r>
    </w:p>
  </w:footnote>
  <w:footnote w:id="164">
    <w:p w14:paraId="262B89C2" w14:textId="6BE30373" w:rsidR="001C3D7E" w:rsidRPr="0045720B" w:rsidRDefault="001C3D7E" w:rsidP="001C3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Lavoie v. Canada</w:t>
      </w:r>
      <w:r w:rsidRPr="0045720B">
        <w:rPr>
          <w:lang w:val="en-CA"/>
        </w:rPr>
        <w:t>, 2002 SCC 23</w:t>
      </w:r>
      <w:r w:rsidR="005D436F">
        <w:rPr>
          <w:lang w:val="en-CA"/>
        </w:rPr>
        <w:t>, para.</w:t>
      </w:r>
      <w:r w:rsidRPr="0045720B">
        <w:rPr>
          <w:lang w:val="en-CA"/>
        </w:rPr>
        <w:t xml:space="preserve"> 59.</w:t>
      </w:r>
    </w:p>
  </w:footnote>
  <w:footnote w:id="165">
    <w:p w14:paraId="4E478495" w14:textId="7490DAED" w:rsidR="00E31069" w:rsidRPr="0045720B" w:rsidRDefault="0043013D" w:rsidP="00E3106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RJR</w:t>
      </w:r>
      <w:r w:rsidRPr="0045720B">
        <w:rPr>
          <w:i/>
          <w:iCs/>
          <w:lang w:val="en-CA"/>
        </w:rPr>
        <w:noBreakHyphen/>
        <w:t xml:space="preserve">MacDonald Inc. </w:t>
      </w:r>
      <w:r w:rsidR="00155556" w:rsidRPr="0045720B">
        <w:rPr>
          <w:i/>
          <w:iCs/>
          <w:lang w:val="en-CA"/>
        </w:rPr>
        <w:t>v</w:t>
      </w:r>
      <w:r w:rsidRPr="0045720B">
        <w:rPr>
          <w:i/>
          <w:iCs/>
          <w:lang w:val="en-CA"/>
        </w:rPr>
        <w:t>. Canada (</w:t>
      </w:r>
      <w:r w:rsidR="00A37078" w:rsidRPr="0045720B">
        <w:rPr>
          <w:i/>
          <w:iCs/>
          <w:lang w:val="en-CA"/>
        </w:rPr>
        <w:t>Attorney General</w:t>
      </w:r>
      <w:r w:rsidRPr="0045720B">
        <w:rPr>
          <w:i/>
          <w:iCs/>
          <w:lang w:val="en-CA"/>
        </w:rPr>
        <w:t>)</w:t>
      </w:r>
      <w:r w:rsidRPr="0045720B">
        <w:rPr>
          <w:lang w:val="en-CA"/>
        </w:rPr>
        <w:t xml:space="preserve">, [1995] 3 </w:t>
      </w:r>
      <w:r w:rsidR="00A37078" w:rsidRPr="0045720B">
        <w:rPr>
          <w:lang w:val="en-CA"/>
        </w:rPr>
        <w:t>S</w:t>
      </w:r>
      <w:r w:rsidR="0031724A" w:rsidRPr="0045720B">
        <w:rPr>
          <w:lang w:val="en-CA"/>
        </w:rPr>
        <w:t>.</w:t>
      </w:r>
      <w:r w:rsidR="00A37078" w:rsidRPr="0045720B">
        <w:rPr>
          <w:lang w:val="en-CA"/>
        </w:rPr>
        <w:t>C</w:t>
      </w:r>
      <w:r w:rsidR="0031724A" w:rsidRPr="0045720B">
        <w:rPr>
          <w:lang w:val="en-CA"/>
        </w:rPr>
        <w:t>.</w:t>
      </w:r>
      <w:r w:rsidR="00A37078" w:rsidRPr="0045720B">
        <w:rPr>
          <w:lang w:val="en-CA"/>
        </w:rPr>
        <w:t>R</w:t>
      </w:r>
      <w:r w:rsidR="0031724A" w:rsidRPr="0045720B">
        <w:rPr>
          <w:lang w:val="en-CA"/>
        </w:rPr>
        <w:t>.</w:t>
      </w:r>
      <w:r w:rsidRPr="0045720B">
        <w:rPr>
          <w:lang w:val="en-CA"/>
        </w:rPr>
        <w:t xml:space="preserve"> 199.</w:t>
      </w:r>
    </w:p>
  </w:footnote>
  <w:footnote w:id="166">
    <w:p w14:paraId="60C6D679" w14:textId="46D078C8" w:rsidR="001C3D7E" w:rsidRPr="0045720B" w:rsidRDefault="001C3D7E" w:rsidP="001C3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Alberta v. Hutterian Brethren of Wilson Colony</w:t>
      </w:r>
      <w:r w:rsidRPr="0045720B">
        <w:rPr>
          <w:lang w:val="en-CA"/>
        </w:rPr>
        <w:t>, 2009 SCC 37</w:t>
      </w:r>
      <w:r w:rsidR="005D436F">
        <w:rPr>
          <w:lang w:val="en-CA"/>
        </w:rPr>
        <w:t>, para.</w:t>
      </w:r>
      <w:r w:rsidRPr="0045720B">
        <w:rPr>
          <w:lang w:val="en-CA"/>
        </w:rPr>
        <w:t xml:space="preserve"> 48. See also: </w:t>
      </w:r>
      <w:r w:rsidRPr="0045720B">
        <w:rPr>
          <w:i/>
          <w:iCs/>
          <w:lang w:val="en-CA"/>
        </w:rPr>
        <w:t>Canadian Broadcasting Corp. v. Canada (Attorney General)</w:t>
      </w:r>
      <w:r w:rsidRPr="0045720B">
        <w:rPr>
          <w:lang w:val="en-CA"/>
        </w:rPr>
        <w:t xml:space="preserve">, </w:t>
      </w:r>
      <w:bookmarkStart w:id="92" w:name="_Hlk187934318"/>
      <w:r w:rsidRPr="0045720B">
        <w:rPr>
          <w:lang w:val="en-CA"/>
        </w:rPr>
        <w:t>2011 SCC 2</w:t>
      </w:r>
      <w:bookmarkEnd w:id="92"/>
      <w:r w:rsidR="005D436F">
        <w:rPr>
          <w:lang w:val="en-CA"/>
        </w:rPr>
        <w:t>, para.</w:t>
      </w:r>
      <w:r w:rsidRPr="0045720B">
        <w:rPr>
          <w:lang w:val="en-CA"/>
        </w:rPr>
        <w:t> 70.</w:t>
      </w:r>
    </w:p>
  </w:footnote>
  <w:footnote w:id="167">
    <w:p w14:paraId="5C9C4990" w14:textId="3ADFCD84" w:rsidR="001C3D7E" w:rsidRPr="0045720B" w:rsidRDefault="001C3D7E" w:rsidP="001C3D7E">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083108">
        <w:rPr>
          <w:lang w:val="en-CA"/>
        </w:rPr>
        <w:t>, pp. 1</w:t>
      </w:r>
      <w:r w:rsidRPr="0045720B">
        <w:rPr>
          <w:lang w:val="en-CA"/>
        </w:rPr>
        <w:t>283–1284.</w:t>
      </w:r>
    </w:p>
  </w:footnote>
  <w:footnote w:id="168">
    <w:p w14:paraId="2B04A9E3" w14:textId="06E16B1D" w:rsidR="00383179" w:rsidRPr="0045720B" w:rsidRDefault="00383179" w:rsidP="0038317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Little Sisters Book and Art Emporium v. Canada (Minister of Justice),</w:t>
      </w:r>
      <w:r w:rsidRPr="0045720B">
        <w:rPr>
          <w:lang w:val="en-CA"/>
        </w:rPr>
        <w:t xml:space="preserve"> 2000 SCC 69</w:t>
      </w:r>
      <w:r w:rsidR="005D436F">
        <w:rPr>
          <w:lang w:val="en-CA"/>
        </w:rPr>
        <w:t>, para.</w:t>
      </w:r>
      <w:r w:rsidRPr="0045720B">
        <w:rPr>
          <w:lang w:val="en-CA"/>
        </w:rPr>
        <w:t xml:space="preserve"> 228. </w:t>
      </w:r>
    </w:p>
  </w:footnote>
  <w:footnote w:id="169">
    <w:p w14:paraId="26861B0D" w14:textId="25CFDA6C" w:rsidR="00383179" w:rsidRPr="0045720B" w:rsidRDefault="00383179" w:rsidP="00383179">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690.</w:t>
      </w:r>
    </w:p>
  </w:footnote>
  <w:footnote w:id="170">
    <w:p w14:paraId="78CB3782" w14:textId="490C4A02" w:rsidR="00383179" w:rsidRPr="0045720B" w:rsidRDefault="00383179" w:rsidP="00383179">
      <w:pPr>
        <w:pStyle w:val="Notedebasdepage"/>
        <w:rPr>
          <w:lang w:val="en-CA"/>
        </w:rPr>
      </w:pPr>
      <w:r w:rsidRPr="0045720B">
        <w:rPr>
          <w:rStyle w:val="Appelnotedebasdep"/>
          <w:lang w:val="en-CA"/>
        </w:rPr>
        <w:footnoteRef/>
      </w:r>
      <w:r w:rsidRPr="0045720B">
        <w:rPr>
          <w:lang w:val="en-CA"/>
        </w:rPr>
        <w:t xml:space="preserve"> </w:t>
      </w:r>
      <w:bookmarkStart w:id="93" w:name="_Hlk176358456"/>
      <w:r w:rsidRPr="0045720B">
        <w:rPr>
          <w:lang w:val="en-CA"/>
        </w:rPr>
        <w:tab/>
      </w:r>
      <w:r w:rsidRPr="0045720B">
        <w:rPr>
          <w:i/>
          <w:iCs/>
          <w:lang w:val="en-CA"/>
        </w:rPr>
        <w:t>Carter v. Canada (Attorney General),</w:t>
      </w:r>
      <w:r w:rsidRPr="0045720B">
        <w:rPr>
          <w:lang w:val="en-CA"/>
        </w:rPr>
        <w:t xml:space="preserve"> 2015 SCC 5</w:t>
      </w:r>
      <w:bookmarkEnd w:id="93"/>
      <w:r w:rsidR="005D436F">
        <w:rPr>
          <w:lang w:val="en-CA"/>
        </w:rPr>
        <w:t>, para.</w:t>
      </w:r>
      <w:r w:rsidRPr="0045720B">
        <w:rPr>
          <w:lang w:val="en-CA"/>
        </w:rPr>
        <w:t xml:space="preserve"> </w:t>
      </w:r>
      <w:r w:rsidRPr="00077E55">
        <w:t xml:space="preserve">100. See also: </w:t>
      </w:r>
      <w:r w:rsidRPr="00077E55">
        <w:rPr>
          <w:i/>
          <w:iCs/>
        </w:rPr>
        <w:t>Procureur général du Québec c. Gallant</w:t>
      </w:r>
      <w:r w:rsidRPr="00077E55">
        <w:t>, 2021 QCCA 1701</w:t>
      </w:r>
      <w:r w:rsidR="005D436F" w:rsidRPr="00077E55">
        <w:t>, para.</w:t>
      </w:r>
      <w:r w:rsidRPr="00077E55">
        <w:t xml:space="preserve"> </w:t>
      </w:r>
      <w:r w:rsidRPr="0045720B">
        <w:rPr>
          <w:lang w:val="en-CA"/>
        </w:rPr>
        <w:t>211.</w:t>
      </w:r>
    </w:p>
  </w:footnote>
  <w:footnote w:id="171">
    <w:p w14:paraId="4C6456DD" w14:textId="5FBD6AE9" w:rsidR="0029512A" w:rsidRPr="0045720B" w:rsidRDefault="0029512A" w:rsidP="0029512A">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t xml:space="preserve">See for example: Exhibit PGQ-27, Expert report of Douglas Beirness, Expert Report, May </w:t>
      </w:r>
      <w:r w:rsidR="00544237">
        <w:rPr>
          <w:lang w:val="en-CA"/>
        </w:rPr>
        <w:t xml:space="preserve">19, </w:t>
      </w:r>
      <w:r w:rsidRPr="0045720B">
        <w:rPr>
          <w:lang w:val="en-CA"/>
        </w:rPr>
        <w:t xml:space="preserve">2022. </w:t>
      </w:r>
    </w:p>
  </w:footnote>
  <w:footnote w:id="172">
    <w:p w14:paraId="31D44D47" w14:textId="77777777" w:rsidR="0029512A" w:rsidRPr="0045720B" w:rsidRDefault="0029512A" w:rsidP="0029512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Brown</w:t>
      </w:r>
      <w:r w:rsidRPr="0045720B">
        <w:rPr>
          <w:lang w:val="en-CA"/>
        </w:rPr>
        <w:t xml:space="preserve">, 2022 SCC 18. </w:t>
      </w:r>
    </w:p>
  </w:footnote>
  <w:footnote w:id="173">
    <w:p w14:paraId="715BB020" w14:textId="66772CAC" w:rsidR="0029512A" w:rsidRPr="0045720B" w:rsidRDefault="0029512A" w:rsidP="0029512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 xml:space="preserve">para. 76. </w:t>
      </w:r>
    </w:p>
  </w:footnote>
  <w:footnote w:id="174">
    <w:p w14:paraId="6587A265" w14:textId="424F6121" w:rsidR="0029512A" w:rsidRPr="0045720B" w:rsidRDefault="0029512A" w:rsidP="0029512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 xml:space="preserve">para. 128, citing: </w:t>
      </w:r>
      <w:r w:rsidRPr="0045720B">
        <w:rPr>
          <w:i/>
          <w:iCs/>
          <w:lang w:val="en-CA"/>
        </w:rPr>
        <w:t>RJR</w:t>
      </w:r>
      <w:r w:rsidRPr="0045720B">
        <w:rPr>
          <w:i/>
          <w:iCs/>
          <w:lang w:val="en-CA"/>
        </w:rPr>
        <w:noBreakHyphen/>
        <w:t>MacDonald Inc. v. Canada (Attorney General)</w:t>
      </w:r>
      <w:r w:rsidRPr="0045720B">
        <w:rPr>
          <w:lang w:val="en-CA"/>
        </w:rPr>
        <w:t>, [1995] 3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199</w:t>
      </w:r>
      <w:r w:rsidR="005D436F">
        <w:rPr>
          <w:lang w:val="en-CA"/>
        </w:rPr>
        <w:t>, para.</w:t>
      </w:r>
      <w:r w:rsidRPr="0045720B">
        <w:rPr>
          <w:lang w:val="en-CA"/>
        </w:rPr>
        <w:t> 153.</w:t>
      </w:r>
    </w:p>
  </w:footnote>
  <w:footnote w:id="175">
    <w:p w14:paraId="484097A0" w14:textId="5A73CFAD" w:rsidR="00013FC2" w:rsidRPr="0045720B" w:rsidRDefault="0043013D" w:rsidP="00013FC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 xml:space="preserve">R. </w:t>
      </w:r>
      <w:r w:rsidR="00155556" w:rsidRPr="0045720B">
        <w:rPr>
          <w:i/>
          <w:iCs/>
          <w:lang w:val="en-CA"/>
        </w:rPr>
        <w:t>v</w:t>
      </w:r>
      <w:r w:rsidRPr="0045720B">
        <w:rPr>
          <w:i/>
          <w:iCs/>
          <w:lang w:val="en-CA"/>
        </w:rPr>
        <w:t>. Brown</w:t>
      </w:r>
      <w:r w:rsidRPr="0045720B">
        <w:rPr>
          <w:lang w:val="en-CA"/>
        </w:rPr>
        <w:t xml:space="preserve">, 2022 </w:t>
      </w:r>
      <w:r w:rsidR="003514B8" w:rsidRPr="0045720B">
        <w:rPr>
          <w:lang w:val="en-CA"/>
        </w:rPr>
        <w:t>SCC</w:t>
      </w:r>
      <w:r w:rsidRPr="0045720B">
        <w:rPr>
          <w:lang w:val="en-CA"/>
        </w:rPr>
        <w:t xml:space="preserve"> 18. </w:t>
      </w:r>
    </w:p>
  </w:footnote>
  <w:footnote w:id="176">
    <w:p w14:paraId="6689FD14" w14:textId="66355FB7" w:rsidR="0029512A" w:rsidRPr="0045720B" w:rsidRDefault="0029512A" w:rsidP="0029512A">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P-4, Expert report of Marie-Ève Sylvestre, February </w:t>
      </w:r>
      <w:r w:rsidR="0032306B">
        <w:rPr>
          <w:lang w:val="en-CA"/>
        </w:rPr>
        <w:t xml:space="preserve">7, </w:t>
      </w:r>
      <w:r w:rsidRPr="0045720B">
        <w:rPr>
          <w:lang w:val="en-CA"/>
        </w:rPr>
        <w:t>2022</w:t>
      </w:r>
      <w:r w:rsidR="001E1B82">
        <w:rPr>
          <w:lang w:val="en-CA"/>
        </w:rPr>
        <w:t>,</w:t>
      </w:r>
      <w:r w:rsidR="00083108">
        <w:rPr>
          <w:lang w:val="en-CA"/>
        </w:rPr>
        <w:t xml:space="preserve"> p. 3</w:t>
      </w:r>
      <w:r w:rsidRPr="0045720B">
        <w:rPr>
          <w:lang w:val="en-CA"/>
        </w:rPr>
        <w:t xml:space="preserve">9. </w:t>
      </w:r>
    </w:p>
  </w:footnote>
  <w:footnote w:id="177">
    <w:p w14:paraId="215F4F2F" w14:textId="79EB9B01" w:rsidR="0029512A" w:rsidRPr="0045720B" w:rsidRDefault="0029512A" w:rsidP="00A66144">
      <w:pPr>
        <w:pStyle w:val="Notedebasdepage"/>
        <w:tabs>
          <w:tab w:val="left" w:pos="2552"/>
        </w:tabs>
        <w:ind w:left="357" w:hanging="357"/>
        <w:rPr>
          <w:lang w:val="en-CA"/>
        </w:rPr>
      </w:pPr>
      <w:r w:rsidRPr="0045720B">
        <w:rPr>
          <w:rStyle w:val="Appelnotedebasdep"/>
          <w:lang w:val="en-CA"/>
        </w:rPr>
        <w:footnoteRef/>
      </w:r>
      <w:r w:rsidRPr="0045720B">
        <w:rPr>
          <w:lang w:val="en-CA"/>
        </w:rPr>
        <w:t xml:space="preserve"> </w:t>
      </w:r>
      <w:r w:rsidRPr="0045720B">
        <w:rPr>
          <w:lang w:val="en-CA"/>
        </w:rPr>
        <w:tab/>
        <w:t xml:space="preserve">Exhibit PGQ-27, Expert report of Douglas Beirness, May </w:t>
      </w:r>
      <w:r w:rsidR="0032306B">
        <w:rPr>
          <w:lang w:val="en-CA"/>
        </w:rPr>
        <w:t xml:space="preserve">19, </w:t>
      </w:r>
      <w:r w:rsidRPr="0045720B">
        <w:rPr>
          <w:lang w:val="en-CA"/>
        </w:rPr>
        <w:t xml:space="preserve">2022. </w:t>
      </w:r>
      <w:r w:rsidR="00B60F69">
        <w:rPr>
          <w:lang w:val="en-CA"/>
        </w:rPr>
        <w:t>As for e</w:t>
      </w:r>
      <w:r w:rsidRPr="0045720B">
        <w:rPr>
          <w:lang w:val="en-CA"/>
        </w:rPr>
        <w:t>xpert Mulone</w:t>
      </w:r>
      <w:r w:rsidR="00B60F69">
        <w:rPr>
          <w:lang w:val="en-CA"/>
        </w:rPr>
        <w:t>, he</w:t>
      </w:r>
      <w:r w:rsidRPr="0045720B">
        <w:rPr>
          <w:lang w:val="en-CA"/>
        </w:rPr>
        <w:t xml:space="preserve"> </w:t>
      </w:r>
      <w:r w:rsidR="0026779C" w:rsidRPr="0045720B">
        <w:rPr>
          <w:lang w:val="en-CA"/>
        </w:rPr>
        <w:t>believes that police practices based on prediction are ineffective because their targeted nature delegitimizes law enforcement with</w:t>
      </w:r>
      <w:r w:rsidR="003F3431">
        <w:rPr>
          <w:lang w:val="en-CA"/>
        </w:rPr>
        <w:t>in</w:t>
      </w:r>
      <w:r w:rsidR="0026779C" w:rsidRPr="0045720B">
        <w:rPr>
          <w:lang w:val="en-CA"/>
        </w:rPr>
        <w:t xml:space="preserve"> the target</w:t>
      </w:r>
      <w:r w:rsidR="006410B7" w:rsidRPr="0045720B">
        <w:rPr>
          <w:lang w:val="en-CA"/>
        </w:rPr>
        <w:t>ed</w:t>
      </w:r>
      <w:r w:rsidR="0026779C" w:rsidRPr="0045720B">
        <w:rPr>
          <w:lang w:val="en-CA"/>
        </w:rPr>
        <w:t xml:space="preserve"> communities </w:t>
      </w:r>
      <w:r w:rsidR="003F3431">
        <w:rPr>
          <w:lang w:val="en-CA"/>
        </w:rPr>
        <w:t xml:space="preserve">and </w:t>
      </w:r>
      <w:r w:rsidR="00CA5405">
        <w:rPr>
          <w:lang w:val="en-CA"/>
        </w:rPr>
        <w:t xml:space="preserve">because </w:t>
      </w:r>
      <w:r w:rsidR="0026779C" w:rsidRPr="0045720B">
        <w:rPr>
          <w:lang w:val="en-CA"/>
        </w:rPr>
        <w:t>groups</w:t>
      </w:r>
      <w:r w:rsidR="005D1B07">
        <w:rPr>
          <w:lang w:val="en-CA"/>
        </w:rPr>
        <w:t xml:space="preserve"> that are not watched</w:t>
      </w:r>
      <w:r w:rsidR="0026779C" w:rsidRPr="0045720B">
        <w:rPr>
          <w:lang w:val="en-CA"/>
        </w:rPr>
        <w:t xml:space="preserve"> within the population more easily escape detection</w:t>
      </w:r>
      <w:r w:rsidRPr="0045720B">
        <w:rPr>
          <w:lang w:val="en-CA"/>
        </w:rPr>
        <w:t xml:space="preserve">: Exhibit P-1, Expert report of Massimiliano Mulone, January </w:t>
      </w:r>
      <w:r w:rsidR="00B60F69">
        <w:rPr>
          <w:lang w:val="en-CA"/>
        </w:rPr>
        <w:t xml:space="preserve">31, </w:t>
      </w:r>
      <w:r w:rsidRPr="0045720B">
        <w:rPr>
          <w:lang w:val="en-CA"/>
        </w:rPr>
        <w:t>2022</w:t>
      </w:r>
      <w:r w:rsidR="001E1B82">
        <w:rPr>
          <w:lang w:val="en-CA"/>
        </w:rPr>
        <w:t>,</w:t>
      </w:r>
      <w:r w:rsidR="00083108">
        <w:rPr>
          <w:lang w:val="en-CA"/>
        </w:rPr>
        <w:t xml:space="preserve"> pp. 3</w:t>
      </w:r>
      <w:r w:rsidRPr="0045720B">
        <w:rPr>
          <w:lang w:val="en-CA"/>
        </w:rPr>
        <w:t>0</w:t>
      </w:r>
      <w:r w:rsidR="0026779C" w:rsidRPr="0045720B">
        <w:rPr>
          <w:lang w:val="en-CA"/>
        </w:rPr>
        <w:t>–</w:t>
      </w:r>
      <w:r w:rsidRPr="0045720B">
        <w:rPr>
          <w:lang w:val="en-CA"/>
        </w:rPr>
        <w:t>32.</w:t>
      </w:r>
    </w:p>
  </w:footnote>
  <w:footnote w:id="178">
    <w:p w14:paraId="12A01123" w14:textId="01256FC8"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Alberta v. Hutterian Brethren of Wilson Colony</w:t>
      </w:r>
      <w:r w:rsidRPr="0045720B">
        <w:rPr>
          <w:lang w:val="en-CA"/>
        </w:rPr>
        <w:t>, 2009 SCC 37</w:t>
      </w:r>
      <w:r w:rsidR="005D436F">
        <w:rPr>
          <w:lang w:val="en-CA"/>
        </w:rPr>
        <w:t>, para.</w:t>
      </w:r>
      <w:r w:rsidRPr="0045720B">
        <w:rPr>
          <w:lang w:val="en-CA"/>
        </w:rPr>
        <w:t xml:space="preserve"> 55. See also: </w:t>
      </w:r>
      <w:r w:rsidRPr="0045720B">
        <w:rPr>
          <w:i/>
          <w:iCs/>
          <w:lang w:val="en-CA"/>
        </w:rPr>
        <w:t>R. v. K.R.J.,</w:t>
      </w:r>
      <w:r w:rsidRPr="0045720B">
        <w:rPr>
          <w:lang w:val="en-CA"/>
        </w:rPr>
        <w:t xml:space="preserve"> 2016 SCC 31</w:t>
      </w:r>
      <w:r w:rsidR="005D436F">
        <w:rPr>
          <w:lang w:val="en-CA"/>
        </w:rPr>
        <w:t>, para.</w:t>
      </w:r>
      <w:r w:rsidRPr="0045720B">
        <w:rPr>
          <w:lang w:val="en-CA"/>
        </w:rPr>
        <w:t xml:space="preserve"> 70.</w:t>
      </w:r>
    </w:p>
  </w:footnote>
  <w:footnote w:id="179">
    <w:p w14:paraId="1CD4863D" w14:textId="046AFF24"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Carter v. Canada (Attorney General),</w:t>
      </w:r>
      <w:r w:rsidRPr="0045720B">
        <w:rPr>
          <w:lang w:val="en-CA"/>
        </w:rPr>
        <w:t xml:space="preserve"> 2015 SCC 5</w:t>
      </w:r>
      <w:r w:rsidR="005D436F">
        <w:rPr>
          <w:lang w:val="en-CA"/>
        </w:rPr>
        <w:t>, para.</w:t>
      </w:r>
      <w:r w:rsidRPr="0045720B">
        <w:rPr>
          <w:lang w:val="en-CA"/>
        </w:rPr>
        <w:t xml:space="preserve"> 102.</w:t>
      </w:r>
    </w:p>
  </w:footnote>
  <w:footnote w:id="180">
    <w:p w14:paraId="2D811FE5" w14:textId="217F5988" w:rsidR="0026779C" w:rsidRPr="0045720B" w:rsidRDefault="0026779C" w:rsidP="0026779C">
      <w:pPr>
        <w:pStyle w:val="Notedebasdepage"/>
        <w:ind w:left="357" w:hanging="357"/>
        <w:rPr>
          <w:lang w:val="en-CA"/>
        </w:rPr>
      </w:pPr>
      <w:r w:rsidRPr="0045720B">
        <w:rPr>
          <w:rStyle w:val="Appelnotedebasdep"/>
          <w:lang w:val="en-CA"/>
        </w:rPr>
        <w:footnoteRef/>
      </w:r>
      <w:r w:rsidRPr="0045720B">
        <w:rPr>
          <w:lang w:val="en-CA"/>
        </w:rPr>
        <w:t xml:space="preserve"> </w:t>
      </w:r>
      <w:r w:rsidRPr="0045720B">
        <w:rPr>
          <w:lang w:val="en-CA"/>
        </w:rPr>
        <w:tab/>
        <w:t>Errol P. Mendes, “Section 1 of the Charter after 30 Years: The Soul or the Dagger at its Heart?”, in Errol Mendes &amp; Stéphane Beaulac (ed</w:t>
      </w:r>
      <w:r w:rsidR="00A17E24">
        <w:rPr>
          <w:lang w:val="en-CA"/>
        </w:rPr>
        <w:t>s</w:t>
      </w:r>
      <w:r w:rsidRPr="0045720B">
        <w:rPr>
          <w:lang w:val="en-CA"/>
        </w:rPr>
        <w:t xml:space="preserve">.), </w:t>
      </w:r>
      <w:r w:rsidRPr="0045720B">
        <w:rPr>
          <w:i/>
          <w:iCs/>
          <w:lang w:val="en-CA"/>
        </w:rPr>
        <w:t>Canadian Charter of Rights and Freedoms</w:t>
      </w:r>
      <w:r w:rsidRPr="0045720B">
        <w:rPr>
          <w:lang w:val="en-CA"/>
        </w:rPr>
        <w:t>, 5th ed.</w:t>
      </w:r>
      <w:r w:rsidR="00A17E24">
        <w:rPr>
          <w:lang w:val="en-CA"/>
        </w:rPr>
        <w:t>,</w:t>
      </w:r>
      <w:r w:rsidRPr="0045720B">
        <w:rPr>
          <w:lang w:val="en-CA"/>
        </w:rPr>
        <w:t xml:space="preserve"> Markham</w:t>
      </w:r>
      <w:r w:rsidR="00A17E24">
        <w:rPr>
          <w:lang w:val="en-CA"/>
        </w:rPr>
        <w:t xml:space="preserve"> (</w:t>
      </w:r>
      <w:r w:rsidRPr="0045720B">
        <w:rPr>
          <w:lang w:val="en-CA"/>
        </w:rPr>
        <w:t>Ont.</w:t>
      </w:r>
      <w:r w:rsidR="00A17E24">
        <w:rPr>
          <w:lang w:val="en-CA"/>
        </w:rPr>
        <w:t>),</w:t>
      </w:r>
      <w:r w:rsidRPr="0045720B">
        <w:rPr>
          <w:lang w:val="en-CA"/>
        </w:rPr>
        <w:t xml:space="preserve"> LexisNexis, 2013</w:t>
      </w:r>
      <w:r w:rsidR="00A17E24">
        <w:rPr>
          <w:lang w:val="en-CA"/>
        </w:rPr>
        <w:t>,</w:t>
      </w:r>
      <w:r w:rsidRPr="0045720B">
        <w:rPr>
          <w:lang w:val="en-CA"/>
        </w:rPr>
        <w:t xml:space="preserve"> 293</w:t>
      </w:r>
      <w:r w:rsidR="00083108">
        <w:rPr>
          <w:lang w:val="en-CA"/>
        </w:rPr>
        <w:t>, p. 3</w:t>
      </w:r>
      <w:r w:rsidRPr="0045720B">
        <w:rPr>
          <w:lang w:val="en-CA"/>
        </w:rPr>
        <w:t xml:space="preserve">18. The Supreme Court </w:t>
      </w:r>
      <w:r w:rsidR="00140CAD" w:rsidRPr="0045720B">
        <w:rPr>
          <w:lang w:val="en-CA"/>
        </w:rPr>
        <w:t>acknowledg</w:t>
      </w:r>
      <w:r w:rsidRPr="0045720B">
        <w:rPr>
          <w:lang w:val="en-CA"/>
        </w:rPr>
        <w:t xml:space="preserve">ed this in </w:t>
      </w:r>
      <w:r w:rsidRPr="0045720B">
        <w:rPr>
          <w:i/>
          <w:iCs/>
          <w:lang w:val="en-CA"/>
        </w:rPr>
        <w:t>R. v. K.R.J.,</w:t>
      </w:r>
      <w:r w:rsidRPr="0045720B">
        <w:rPr>
          <w:lang w:val="en-CA"/>
        </w:rPr>
        <w:t xml:space="preserve"> 2016 SCC 31</w:t>
      </w:r>
      <w:r w:rsidR="005D436F">
        <w:rPr>
          <w:lang w:val="en-CA"/>
        </w:rPr>
        <w:t>, para.</w:t>
      </w:r>
      <w:r w:rsidRPr="0045720B">
        <w:rPr>
          <w:lang w:val="en-CA"/>
        </w:rPr>
        <w:t xml:space="preserve"> 79. </w:t>
      </w:r>
    </w:p>
  </w:footnote>
  <w:footnote w:id="181">
    <w:p w14:paraId="1D472021" w14:textId="5B4C938A"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Mounted Police Association of Ontario v. Canada (Attorney General)</w:t>
      </w:r>
      <w:r w:rsidRPr="0045720B">
        <w:rPr>
          <w:lang w:val="en-CA"/>
        </w:rPr>
        <w:t>, 2015 SCC 1</w:t>
      </w:r>
      <w:r w:rsidR="005D436F">
        <w:rPr>
          <w:lang w:val="en-CA"/>
        </w:rPr>
        <w:t>, para.</w:t>
      </w:r>
      <w:r w:rsidRPr="0045720B">
        <w:rPr>
          <w:lang w:val="en-CA"/>
        </w:rPr>
        <w:t xml:space="preserve"> 149; </w:t>
      </w:r>
      <w:r w:rsidRPr="0045720B">
        <w:rPr>
          <w:i/>
          <w:iCs/>
          <w:lang w:val="en-CA"/>
        </w:rPr>
        <w:t>Canada (Attorney General) v. JTI-Macdonald Corp.,</w:t>
      </w:r>
      <w:r w:rsidRPr="0045720B">
        <w:rPr>
          <w:lang w:val="en-CA"/>
        </w:rPr>
        <w:t xml:space="preserve"> 2007 SCC 30</w:t>
      </w:r>
      <w:r w:rsidR="005D436F">
        <w:rPr>
          <w:lang w:val="en-CA"/>
        </w:rPr>
        <w:t>, para.</w:t>
      </w:r>
      <w:r w:rsidRPr="0045720B">
        <w:rPr>
          <w:lang w:val="en-CA"/>
        </w:rPr>
        <w:t xml:space="preserve"> 43.</w:t>
      </w:r>
    </w:p>
  </w:footnote>
  <w:footnote w:id="182">
    <w:p w14:paraId="16206DB5" w14:textId="055DFADE"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Ndhlovu</w:t>
      </w:r>
      <w:r w:rsidRPr="0045720B">
        <w:rPr>
          <w:lang w:val="en-CA"/>
        </w:rPr>
        <w:t>, 2022 SCC 38</w:t>
      </w:r>
      <w:r w:rsidR="005D436F">
        <w:rPr>
          <w:lang w:val="en-CA"/>
        </w:rPr>
        <w:t>, para.</w:t>
      </w:r>
      <w:r w:rsidRPr="0045720B">
        <w:rPr>
          <w:lang w:val="en-CA"/>
        </w:rPr>
        <w:t xml:space="preserve"> 118; </w:t>
      </w:r>
      <w:r w:rsidRPr="0045720B">
        <w:rPr>
          <w:i/>
          <w:iCs/>
          <w:lang w:val="en-CA"/>
        </w:rPr>
        <w:t>R. v. Oakes</w:t>
      </w:r>
      <w:r w:rsidRPr="0045720B">
        <w:rPr>
          <w:lang w:val="en-CA"/>
        </w:rPr>
        <w:t>, [1986]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103</w:t>
      </w:r>
      <w:r w:rsidR="00083108">
        <w:rPr>
          <w:lang w:val="en-CA"/>
        </w:rPr>
        <w:t>, pp. 1</w:t>
      </w:r>
      <w:r w:rsidRPr="0045720B">
        <w:rPr>
          <w:lang w:val="en-CA"/>
        </w:rPr>
        <w:t>36–137.</w:t>
      </w:r>
    </w:p>
  </w:footnote>
  <w:footnote w:id="183">
    <w:p w14:paraId="74580811" w14:textId="5998B92B" w:rsidR="0026779C" w:rsidRPr="00077E55" w:rsidRDefault="0026779C" w:rsidP="0026779C">
      <w:pPr>
        <w:pStyle w:val="Notedebasdepage"/>
      </w:pPr>
      <w:r w:rsidRPr="0045720B">
        <w:rPr>
          <w:rStyle w:val="Appelnotedebasdep"/>
          <w:lang w:val="en-CA"/>
        </w:rPr>
        <w:footnoteRef/>
      </w:r>
      <w:r w:rsidRPr="00077E55">
        <w:t xml:space="preserve"> </w:t>
      </w:r>
      <w:r w:rsidRPr="00077E55">
        <w:tab/>
      </w:r>
      <w:r w:rsidRPr="00077E55">
        <w:rPr>
          <w:i/>
          <w:iCs/>
        </w:rPr>
        <w:t>R. v. Ladouceur</w:t>
      </w:r>
      <w:r w:rsidRPr="00077E55">
        <w:t>, [1990] 1 S</w:t>
      </w:r>
      <w:r w:rsidR="0031724A" w:rsidRPr="00077E55">
        <w:t>.</w:t>
      </w:r>
      <w:r w:rsidRPr="00077E55">
        <w:t>C</w:t>
      </w:r>
      <w:r w:rsidR="0031724A" w:rsidRPr="00077E55">
        <w:t>.</w:t>
      </w:r>
      <w:r w:rsidRPr="00077E55">
        <w:t>R</w:t>
      </w:r>
      <w:r w:rsidR="0031724A" w:rsidRPr="00077E55">
        <w:t>.</w:t>
      </w:r>
      <w:r w:rsidRPr="00077E55">
        <w:t xml:space="preserve"> 1257</w:t>
      </w:r>
      <w:r w:rsidR="00706F32" w:rsidRPr="00077E55">
        <w:t>, p. 1</w:t>
      </w:r>
      <w:r w:rsidRPr="00077E55">
        <w:t>284.</w:t>
      </w:r>
    </w:p>
  </w:footnote>
  <w:footnote w:id="184">
    <w:p w14:paraId="54B56CCB" w14:textId="77777777"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p>
  </w:footnote>
  <w:footnote w:id="185">
    <w:p w14:paraId="43E31FB5" w14:textId="6F18F22A"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pp. 1</w:t>
      </w:r>
      <w:r w:rsidRPr="0045720B">
        <w:rPr>
          <w:lang w:val="en-CA"/>
        </w:rPr>
        <w:t xml:space="preserve">284–1285. </w:t>
      </w:r>
    </w:p>
  </w:footnote>
  <w:footnote w:id="186">
    <w:p w14:paraId="5E2EF789" w14:textId="0714863C"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706F32">
        <w:rPr>
          <w:lang w:val="en-CA"/>
        </w:rPr>
        <w:t>, p. 1</w:t>
      </w:r>
      <w:r w:rsidRPr="0045720B">
        <w:rPr>
          <w:lang w:val="en-CA"/>
        </w:rPr>
        <w:t>285.</w:t>
      </w:r>
    </w:p>
  </w:footnote>
  <w:footnote w:id="187">
    <w:p w14:paraId="61D09DDE" w14:textId="77777777"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p>
  </w:footnote>
  <w:footnote w:id="188">
    <w:p w14:paraId="40E760F7" w14:textId="645F483E"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D2710" w:rsidRPr="0045720B">
        <w:rPr>
          <w:lang w:val="en-CA"/>
        </w:rPr>
        <w:t>Above</w:t>
      </w:r>
      <w:r w:rsidR="00706F32">
        <w:rPr>
          <w:lang w:val="en-CA"/>
        </w:rPr>
        <w:t>, paras.</w:t>
      </w:r>
      <w:r w:rsidRPr="0045720B">
        <w:rPr>
          <w:lang w:val="en-CA"/>
        </w:rPr>
        <w:t xml:space="preserve"> </w:t>
      </w:r>
      <w:r w:rsidRPr="0045720B">
        <w:rPr>
          <w:lang w:val="en-CA"/>
        </w:rPr>
        <w:fldChar w:fldCharType="begin"/>
      </w:r>
      <w:r w:rsidRPr="0045720B">
        <w:rPr>
          <w:lang w:val="en-CA"/>
        </w:rPr>
        <w:instrText xml:space="preserve"> REF _Ref177748296 \r \h  \* MERGEFORMAT </w:instrText>
      </w:r>
      <w:r w:rsidRPr="0045720B">
        <w:rPr>
          <w:lang w:val="en-CA"/>
        </w:rPr>
      </w:r>
      <w:r w:rsidRPr="0045720B">
        <w:rPr>
          <w:lang w:val="en-CA"/>
        </w:rPr>
        <w:fldChar w:fldCharType="separate"/>
      </w:r>
      <w:r w:rsidR="00EB635D">
        <w:rPr>
          <w:lang w:val="en-CA"/>
        </w:rPr>
        <w:t>[78]</w:t>
      </w:r>
      <w:r w:rsidRPr="0045720B">
        <w:rPr>
          <w:lang w:val="en-CA"/>
        </w:rPr>
        <w:fldChar w:fldCharType="end"/>
      </w:r>
      <w:r w:rsidRPr="0045720B">
        <w:rPr>
          <w:lang w:val="en-CA"/>
        </w:rPr>
        <w:t xml:space="preserve"> to </w:t>
      </w:r>
      <w:r w:rsidRPr="0045720B">
        <w:rPr>
          <w:lang w:val="en-CA"/>
        </w:rPr>
        <w:fldChar w:fldCharType="begin"/>
      </w:r>
      <w:r w:rsidRPr="0045720B">
        <w:rPr>
          <w:lang w:val="en-CA"/>
        </w:rPr>
        <w:instrText xml:space="preserve"> REF _Ref177748306 \r \h  \* MERGEFORMAT </w:instrText>
      </w:r>
      <w:r w:rsidRPr="0045720B">
        <w:rPr>
          <w:lang w:val="en-CA"/>
        </w:rPr>
      </w:r>
      <w:r w:rsidRPr="0045720B">
        <w:rPr>
          <w:lang w:val="en-CA"/>
        </w:rPr>
        <w:fldChar w:fldCharType="separate"/>
      </w:r>
      <w:r w:rsidR="00EB635D">
        <w:rPr>
          <w:lang w:val="en-CA"/>
        </w:rPr>
        <w:t>[102]</w:t>
      </w:r>
      <w:r w:rsidRPr="0045720B">
        <w:rPr>
          <w:lang w:val="en-CA"/>
        </w:rPr>
        <w:fldChar w:fldCharType="end"/>
      </w:r>
      <w:r w:rsidRPr="0045720B">
        <w:rPr>
          <w:lang w:val="en-CA"/>
        </w:rPr>
        <w:t>.</w:t>
      </w:r>
    </w:p>
  </w:footnote>
  <w:footnote w:id="189">
    <w:p w14:paraId="087F6F52" w14:textId="13D7BD95" w:rsidR="0026779C" w:rsidRPr="0045720B" w:rsidRDefault="0026779C" w:rsidP="0026779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706F32">
        <w:rPr>
          <w:lang w:val="en-CA"/>
        </w:rPr>
        <w:t>, p. 1</w:t>
      </w:r>
      <w:r w:rsidRPr="0045720B">
        <w:rPr>
          <w:lang w:val="en-CA"/>
        </w:rPr>
        <w:t>286.</w:t>
      </w:r>
    </w:p>
  </w:footnote>
  <w:footnote w:id="190">
    <w:p w14:paraId="5290072E" w14:textId="146A2345" w:rsidR="0026779C" w:rsidRPr="00077E55" w:rsidRDefault="0026779C" w:rsidP="0026779C">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Alberta v. Hutterian Brethren of Wilson Colony</w:t>
      </w:r>
      <w:r w:rsidRPr="0045720B">
        <w:rPr>
          <w:lang w:val="en-CA"/>
        </w:rPr>
        <w:t>, 2009 SCC 37</w:t>
      </w:r>
      <w:r w:rsidR="005D436F">
        <w:rPr>
          <w:lang w:val="en-CA"/>
        </w:rPr>
        <w:t>, para.</w:t>
      </w:r>
      <w:r w:rsidRPr="0045720B">
        <w:rPr>
          <w:lang w:val="en-CA"/>
        </w:rPr>
        <w:t xml:space="preserve"> </w:t>
      </w:r>
      <w:r w:rsidRPr="00077E55">
        <w:t>55.</w:t>
      </w:r>
    </w:p>
  </w:footnote>
  <w:footnote w:id="191">
    <w:p w14:paraId="51EC892F" w14:textId="218E59FC" w:rsidR="00CC042D" w:rsidRPr="00077E55" w:rsidRDefault="00CC042D" w:rsidP="00CC042D">
      <w:pPr>
        <w:pStyle w:val="Notedebasdepage"/>
      </w:pPr>
      <w:r w:rsidRPr="0045720B">
        <w:rPr>
          <w:rStyle w:val="Appelnotedebasdep"/>
          <w:lang w:val="en-CA"/>
        </w:rPr>
        <w:footnoteRef/>
      </w:r>
      <w:r w:rsidRPr="00077E55">
        <w:t xml:space="preserve"> </w:t>
      </w:r>
      <w:r w:rsidRPr="00077E55">
        <w:tab/>
      </w:r>
      <w:r w:rsidRPr="00077E55">
        <w:rPr>
          <w:i/>
          <w:iCs/>
        </w:rPr>
        <w:t>R. v. Ladouceur</w:t>
      </w:r>
      <w:r w:rsidRPr="00077E55">
        <w:t>, [1990] 1 S</w:t>
      </w:r>
      <w:r w:rsidR="0031724A" w:rsidRPr="00077E55">
        <w:t>.</w:t>
      </w:r>
      <w:r w:rsidRPr="00077E55">
        <w:t>C</w:t>
      </w:r>
      <w:r w:rsidR="0031724A" w:rsidRPr="00077E55">
        <w:t>.</w:t>
      </w:r>
      <w:r w:rsidRPr="00077E55">
        <w:t>R</w:t>
      </w:r>
      <w:r w:rsidR="0031724A" w:rsidRPr="00077E55">
        <w:t>.</w:t>
      </w:r>
      <w:r w:rsidRPr="00077E55">
        <w:t xml:space="preserve"> 1257</w:t>
      </w:r>
      <w:r w:rsidR="00706F32" w:rsidRPr="00077E55">
        <w:t>, p. 1</w:t>
      </w:r>
      <w:r w:rsidRPr="00077E55">
        <w:t>266.</w:t>
      </w:r>
    </w:p>
  </w:footnote>
  <w:footnote w:id="192">
    <w:p w14:paraId="5A31D372" w14:textId="77777777" w:rsidR="00CC042D" w:rsidRPr="00077E55" w:rsidRDefault="00CC042D" w:rsidP="00CC042D">
      <w:pPr>
        <w:pStyle w:val="Notedebasdepage"/>
      </w:pPr>
      <w:r w:rsidRPr="0045720B">
        <w:rPr>
          <w:rStyle w:val="Appelnotedebasdep"/>
          <w:lang w:val="en-CA"/>
        </w:rPr>
        <w:footnoteRef/>
      </w:r>
      <w:r w:rsidRPr="00077E55">
        <w:t xml:space="preserve"> </w:t>
      </w:r>
      <w:r w:rsidRPr="00077E55">
        <w:tab/>
      </w:r>
      <w:r w:rsidRPr="00077E55">
        <w:rPr>
          <w:i/>
          <w:iCs/>
        </w:rPr>
        <w:t>Ibid.</w:t>
      </w:r>
    </w:p>
  </w:footnote>
  <w:footnote w:id="193">
    <w:p w14:paraId="068630A4" w14:textId="417A31BC" w:rsidR="00CC042D" w:rsidRPr="00077E55" w:rsidRDefault="00CC042D" w:rsidP="00CC042D">
      <w:pPr>
        <w:pStyle w:val="Notedebasdepage"/>
        <w:ind w:left="357" w:hanging="357"/>
      </w:pPr>
      <w:r w:rsidRPr="0045720B">
        <w:rPr>
          <w:rStyle w:val="Appelnotedebasdep"/>
          <w:lang w:val="en-CA"/>
        </w:rPr>
        <w:footnoteRef/>
      </w:r>
      <w:r w:rsidRPr="00077E55">
        <w:t xml:space="preserve"> </w:t>
      </w:r>
      <w:r w:rsidRPr="00077E55">
        <w:tab/>
        <w:t xml:space="preserve">Hugues Parent, </w:t>
      </w:r>
      <w:r w:rsidRPr="00077E55">
        <w:rPr>
          <w:i/>
          <w:iCs/>
        </w:rPr>
        <w:t>Traité de droit criminel,</w:t>
      </w:r>
      <w:r w:rsidRPr="00077E55">
        <w:t xml:space="preserve"> t. IV: </w:t>
      </w:r>
      <w:r w:rsidR="0031724A" w:rsidRPr="00077E55">
        <w:t>“</w:t>
      </w:r>
      <w:r w:rsidRPr="00077E55">
        <w:t>Les garanties juridiques</w:t>
      </w:r>
      <w:r w:rsidR="0031724A" w:rsidRPr="00077E55">
        <w:t>”</w:t>
      </w:r>
      <w:r w:rsidRPr="00077E55">
        <w:t>, 2d ed.</w:t>
      </w:r>
      <w:r w:rsidR="00F77662" w:rsidRPr="00077E55">
        <w:t>,</w:t>
      </w:r>
      <w:r w:rsidRPr="00077E55">
        <w:rPr>
          <w:i/>
          <w:iCs/>
        </w:rPr>
        <w:t xml:space="preserve"> </w:t>
      </w:r>
      <w:r w:rsidRPr="00077E55">
        <w:t>Montreal</w:t>
      </w:r>
      <w:r w:rsidR="00F77662" w:rsidRPr="00077E55">
        <w:t>,</w:t>
      </w:r>
      <w:r w:rsidRPr="00077E55">
        <w:t xml:space="preserve"> Wilson &amp; Lafleur, 2021</w:t>
      </w:r>
      <w:r w:rsidR="00083108" w:rsidRPr="00077E55">
        <w:t>, pp. 5</w:t>
      </w:r>
      <w:r w:rsidRPr="00077E55">
        <w:t>24</w:t>
      </w:r>
      <w:r w:rsidR="00F77662" w:rsidRPr="00077E55">
        <w:t>ff</w:t>
      </w:r>
      <w:r w:rsidRPr="00077E55">
        <w:t>.</w:t>
      </w:r>
    </w:p>
  </w:footnote>
  <w:footnote w:id="194">
    <w:p w14:paraId="613BB182" w14:textId="198EF9A7" w:rsidR="00CC042D" w:rsidRPr="0045720B" w:rsidRDefault="00CC042D" w:rsidP="00CC042D">
      <w:pPr>
        <w:pStyle w:val="Notedebasdepage"/>
        <w:rPr>
          <w:lang w:val="en-CA"/>
        </w:rPr>
      </w:pPr>
      <w:r w:rsidRPr="0045720B">
        <w:rPr>
          <w:rStyle w:val="Appelnotedebasdep"/>
          <w:lang w:val="en-CA"/>
        </w:rPr>
        <w:footnoteRef/>
      </w:r>
      <w:r w:rsidRPr="00077E55">
        <w:t xml:space="preserve"> </w:t>
      </w:r>
      <w:r w:rsidRPr="00077E55">
        <w:tab/>
      </w:r>
      <w:r w:rsidRPr="00077E55">
        <w:rPr>
          <w:i/>
          <w:iCs/>
        </w:rPr>
        <w:t>R. v. Aucoin</w:t>
      </w:r>
      <w:r w:rsidRPr="00077E55">
        <w:t>, 2012 SCC 66</w:t>
      </w:r>
      <w:r w:rsidR="005D436F" w:rsidRPr="00077E55">
        <w:t>, para.</w:t>
      </w:r>
      <w:r w:rsidRPr="00077E55">
        <w:t xml:space="preserve"> </w:t>
      </w:r>
      <w:r w:rsidRPr="0045720B">
        <w:rPr>
          <w:lang w:val="en-CA"/>
        </w:rPr>
        <w:t xml:space="preserve">36. See also: </w:t>
      </w:r>
      <w:r w:rsidRPr="0045720B">
        <w:rPr>
          <w:i/>
          <w:iCs/>
          <w:lang w:val="en-CA"/>
        </w:rPr>
        <w:t>R. v. Clayton</w:t>
      </w:r>
      <w:r w:rsidRPr="0045720B">
        <w:rPr>
          <w:lang w:val="en-CA"/>
        </w:rPr>
        <w:t>, 2007 SCC 32</w:t>
      </w:r>
      <w:r w:rsidR="00706F32">
        <w:rPr>
          <w:lang w:val="en-CA"/>
        </w:rPr>
        <w:t>, paras.</w:t>
      </w:r>
      <w:r w:rsidRPr="0045720B">
        <w:rPr>
          <w:lang w:val="en-CA"/>
        </w:rPr>
        <w:t xml:space="preserve"> 32, 33 and 40–41. </w:t>
      </w:r>
    </w:p>
  </w:footnote>
  <w:footnote w:id="195">
    <w:p w14:paraId="365BBC2C" w14:textId="250A2039" w:rsidR="00CC042D" w:rsidRPr="0045720B" w:rsidRDefault="00CC042D" w:rsidP="00CC042D">
      <w:pPr>
        <w:pStyle w:val="Notedebasdepage"/>
        <w:rPr>
          <w:lang w:val="en-CA"/>
        </w:rPr>
      </w:pPr>
      <w:r w:rsidRPr="0045720B">
        <w:rPr>
          <w:rStyle w:val="Appelnotedebasdep"/>
          <w:lang w:val="en-CA"/>
        </w:rPr>
        <w:footnoteRef/>
      </w:r>
      <w:r w:rsidRPr="0045720B">
        <w:rPr>
          <w:lang w:val="en-CA"/>
        </w:rPr>
        <w:t xml:space="preserve"> </w:t>
      </w:r>
      <w:bookmarkStart w:id="96" w:name="_Hlk176508264"/>
      <w:r w:rsidRPr="0045720B">
        <w:rPr>
          <w:lang w:val="en-CA"/>
        </w:rPr>
        <w:tab/>
      </w:r>
      <w:bookmarkEnd w:id="96"/>
      <w:r w:rsidRPr="0045720B">
        <w:rPr>
          <w:lang w:val="en-CA"/>
        </w:rPr>
        <w:t>Trial judgment</w:t>
      </w:r>
      <w:r w:rsidR="00706F32">
        <w:rPr>
          <w:lang w:val="en-CA"/>
        </w:rPr>
        <w:t>, paras.</w:t>
      </w:r>
      <w:r w:rsidRPr="0045720B">
        <w:rPr>
          <w:lang w:val="en-CA"/>
        </w:rPr>
        <w:t xml:space="preserve"> 684, 702</w:t>
      </w:r>
      <w:r w:rsidR="006430A3" w:rsidRPr="0045720B">
        <w:rPr>
          <w:lang w:val="en-CA"/>
        </w:rPr>
        <w:t>,</w:t>
      </w:r>
      <w:r w:rsidRPr="0045720B">
        <w:rPr>
          <w:lang w:val="en-CA"/>
        </w:rPr>
        <w:t xml:space="preserve"> and 772.</w:t>
      </w:r>
    </w:p>
  </w:footnote>
  <w:footnote w:id="196">
    <w:p w14:paraId="1405EFE7" w14:textId="635B5F00" w:rsidR="00115E3B" w:rsidRPr="0045720B" w:rsidRDefault="00115E3B" w:rsidP="00115E3B">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Ndhlovu</w:t>
      </w:r>
      <w:r w:rsidRPr="0045720B">
        <w:rPr>
          <w:lang w:val="en-CA"/>
        </w:rPr>
        <w:t>, 2022 SCC 38</w:t>
      </w:r>
      <w:r w:rsidR="005D436F">
        <w:rPr>
          <w:lang w:val="en-CA"/>
        </w:rPr>
        <w:t>, para.</w:t>
      </w:r>
      <w:r w:rsidRPr="0045720B">
        <w:rPr>
          <w:lang w:val="en-CA"/>
        </w:rPr>
        <w:t xml:space="preserve"> 130, </w:t>
      </w:r>
      <w:r w:rsidR="00D12FDC">
        <w:rPr>
          <w:lang w:val="en-CA"/>
        </w:rPr>
        <w:t>referring to</w:t>
      </w:r>
      <w:r w:rsidRPr="0045720B">
        <w:rPr>
          <w:lang w:val="en-CA"/>
        </w:rPr>
        <w:t xml:space="preserve">: </w:t>
      </w:r>
      <w:r w:rsidRPr="0045720B">
        <w:rPr>
          <w:i/>
          <w:iCs/>
          <w:lang w:val="en-CA"/>
        </w:rPr>
        <w:t>R. v. K.R.J</w:t>
      </w:r>
      <w:r w:rsidRPr="0045720B">
        <w:rPr>
          <w:lang w:val="en-CA"/>
        </w:rPr>
        <w:t>., 2016 SCC 31</w:t>
      </w:r>
      <w:r w:rsidR="005D436F">
        <w:rPr>
          <w:lang w:val="en-CA"/>
        </w:rPr>
        <w:t>, para.</w:t>
      </w:r>
      <w:r w:rsidRPr="0045720B">
        <w:rPr>
          <w:lang w:val="en-CA"/>
        </w:rPr>
        <w:t xml:space="preserve"> 77, citing </w:t>
      </w:r>
      <w:r w:rsidRPr="0045720B">
        <w:rPr>
          <w:i/>
          <w:iCs/>
          <w:lang w:val="en-CA"/>
        </w:rPr>
        <w:t>Thomson Newspapers Co. v. Canada (Attorney General)</w:t>
      </w:r>
      <w:r w:rsidRPr="0045720B">
        <w:rPr>
          <w:lang w:val="en-CA"/>
        </w:rPr>
        <w:t>, [1998]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877</w:t>
      </w:r>
      <w:r w:rsidR="005D436F">
        <w:rPr>
          <w:lang w:val="en-CA"/>
        </w:rPr>
        <w:t>, para.</w:t>
      </w:r>
      <w:r w:rsidRPr="0045720B">
        <w:rPr>
          <w:lang w:val="en-CA"/>
        </w:rPr>
        <w:t xml:space="preserve"> 125. </w:t>
      </w:r>
    </w:p>
  </w:footnote>
  <w:footnote w:id="197">
    <w:p w14:paraId="6B4C7C33" w14:textId="08102D33" w:rsidR="00211F21" w:rsidRPr="0045720B" w:rsidRDefault="0043013D" w:rsidP="00211F21">
      <w:pPr>
        <w:pStyle w:val="Notedebasdepage"/>
        <w:rPr>
          <w:lang w:val="en-CA"/>
        </w:rPr>
      </w:pPr>
      <w:r w:rsidRPr="0045720B">
        <w:rPr>
          <w:rStyle w:val="Appelnotedebasdep"/>
          <w:lang w:val="en-CA"/>
        </w:rPr>
        <w:footnoteRef/>
      </w:r>
      <w:r w:rsidR="00B723D2" w:rsidRPr="0045720B">
        <w:rPr>
          <w:lang w:val="en-CA"/>
        </w:rPr>
        <w:t xml:space="preserve"> </w:t>
      </w:r>
      <w:r w:rsidR="00B723D2" w:rsidRPr="0045720B">
        <w:rPr>
          <w:lang w:val="en-CA"/>
        </w:rPr>
        <w:tab/>
      </w:r>
      <w:r w:rsidRPr="0045720B">
        <w:rPr>
          <w:i/>
          <w:iCs/>
          <w:lang w:val="en-CA"/>
        </w:rPr>
        <w:t xml:space="preserve">Carter </w:t>
      </w:r>
      <w:r w:rsidR="00155556" w:rsidRPr="0045720B">
        <w:rPr>
          <w:i/>
          <w:iCs/>
          <w:lang w:val="en-CA"/>
        </w:rPr>
        <w:t>v</w:t>
      </w:r>
      <w:r w:rsidRPr="0045720B">
        <w:rPr>
          <w:i/>
          <w:iCs/>
          <w:lang w:val="en-CA"/>
        </w:rPr>
        <w:t>. Canada (</w:t>
      </w:r>
      <w:r w:rsidR="00A37078" w:rsidRPr="0045720B">
        <w:rPr>
          <w:i/>
          <w:iCs/>
          <w:lang w:val="en-CA"/>
        </w:rPr>
        <w:t>Attorney General</w:t>
      </w:r>
      <w:r w:rsidRPr="0045720B">
        <w:rPr>
          <w:i/>
          <w:iCs/>
          <w:lang w:val="en-CA"/>
        </w:rPr>
        <w:t>)</w:t>
      </w:r>
      <w:r w:rsidRPr="0045720B">
        <w:rPr>
          <w:lang w:val="en-CA"/>
        </w:rPr>
        <w:t xml:space="preserve">, 2015 </w:t>
      </w:r>
      <w:r w:rsidR="003514B8" w:rsidRPr="0045720B">
        <w:rPr>
          <w:lang w:val="en-CA"/>
        </w:rPr>
        <w:t>SCC</w:t>
      </w:r>
      <w:r w:rsidRPr="0045720B">
        <w:rPr>
          <w:lang w:val="en-CA"/>
        </w:rPr>
        <w:t xml:space="preserve"> 5</w:t>
      </w:r>
      <w:r w:rsidR="005D436F">
        <w:rPr>
          <w:lang w:val="en-CA"/>
        </w:rPr>
        <w:t>, para.</w:t>
      </w:r>
      <w:r w:rsidRPr="0045720B">
        <w:rPr>
          <w:lang w:val="en-CA"/>
        </w:rPr>
        <w:t xml:space="preserve"> 122. </w:t>
      </w:r>
    </w:p>
  </w:footnote>
  <w:footnote w:id="198">
    <w:p w14:paraId="5B5CD001" w14:textId="2B9FC69F" w:rsidR="00115E3B" w:rsidRPr="0045720B" w:rsidRDefault="00115E3B" w:rsidP="00115E3B">
      <w:pPr>
        <w:pStyle w:val="Notedebasdepage"/>
        <w:rPr>
          <w:lang w:val="en-CA"/>
        </w:rPr>
      </w:pPr>
      <w:r w:rsidRPr="0045720B">
        <w:rPr>
          <w:rStyle w:val="Appelnotedebasdep"/>
          <w:lang w:val="en-CA"/>
        </w:rPr>
        <w:footnoteRef/>
      </w:r>
      <w:r w:rsidRPr="0045720B">
        <w:rPr>
          <w:lang w:val="en-CA"/>
        </w:rPr>
        <w:t xml:space="preserve"> </w:t>
      </w:r>
      <w:bookmarkStart w:id="102" w:name="_Hlk176508804"/>
      <w:bookmarkStart w:id="103" w:name="_Hlk176539837"/>
      <w:r w:rsidRPr="0045720B">
        <w:rPr>
          <w:lang w:val="en-CA"/>
        </w:rPr>
        <w:tab/>
      </w:r>
      <w:bookmarkEnd w:id="102"/>
      <w:r w:rsidRPr="0045720B">
        <w:rPr>
          <w:lang w:val="en-CA"/>
        </w:rPr>
        <w:t>Trial judgment</w:t>
      </w:r>
      <w:r w:rsidR="00706F32">
        <w:rPr>
          <w:lang w:val="en-CA"/>
        </w:rPr>
        <w:t>, paras.</w:t>
      </w:r>
      <w:r w:rsidRPr="0045720B">
        <w:rPr>
          <w:lang w:val="en-CA"/>
        </w:rPr>
        <w:t xml:space="preserve"> 681–697 and 772</w:t>
      </w:r>
      <w:bookmarkEnd w:id="103"/>
      <w:r w:rsidRPr="0045720B">
        <w:rPr>
          <w:lang w:val="en-CA"/>
        </w:rPr>
        <w:t>.</w:t>
      </w:r>
    </w:p>
  </w:footnote>
  <w:footnote w:id="199">
    <w:p w14:paraId="11B966B3" w14:textId="61EAB87E" w:rsidR="00115E3B" w:rsidRPr="0045720B" w:rsidRDefault="00115E3B" w:rsidP="00115E3B">
      <w:pPr>
        <w:pStyle w:val="Notedebasdepage"/>
        <w:rPr>
          <w:lang w:val="en-CA"/>
        </w:rPr>
      </w:pPr>
      <w:r w:rsidRPr="0045720B">
        <w:rPr>
          <w:rStyle w:val="Appelnotedebasdep"/>
          <w:lang w:val="en-CA"/>
        </w:rPr>
        <w:footnoteRef/>
      </w:r>
      <w:r w:rsidRPr="0045720B">
        <w:rPr>
          <w:lang w:val="en-CA"/>
        </w:rPr>
        <w:t xml:space="preserve"> </w:t>
      </w:r>
      <w:r w:rsidRPr="0045720B">
        <w:rPr>
          <w:i/>
          <w:iCs/>
          <w:lang w:val="en-CA"/>
        </w:rPr>
        <w:tab/>
        <w:t>Id.</w:t>
      </w:r>
      <w:r w:rsidR="00241CBD">
        <w:rPr>
          <w:lang w:val="en-CA"/>
        </w:rPr>
        <w:t xml:space="preserve">, </w:t>
      </w:r>
      <w:r w:rsidRPr="0045720B">
        <w:rPr>
          <w:lang w:val="en-CA"/>
        </w:rPr>
        <w:t>para. 690 [</w:t>
      </w:r>
      <w:r w:rsidR="00D12FDC">
        <w:rPr>
          <w:lang w:val="en-CA"/>
        </w:rPr>
        <w:t xml:space="preserve">italics </w:t>
      </w:r>
      <w:r w:rsidRPr="0045720B">
        <w:rPr>
          <w:lang w:val="en-CA"/>
        </w:rPr>
        <w:t>in the original].</w:t>
      </w:r>
    </w:p>
  </w:footnote>
  <w:footnote w:id="200">
    <w:p w14:paraId="6F880EDD" w14:textId="287DAEC3" w:rsidR="00115E3B" w:rsidRPr="0045720B" w:rsidRDefault="00115E3B" w:rsidP="00115E3B">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See in particular: </w:t>
      </w:r>
      <w:r w:rsidRPr="0045720B">
        <w:rPr>
          <w:i/>
          <w:iCs/>
          <w:lang w:val="en-CA"/>
        </w:rPr>
        <w:t>Id.</w:t>
      </w:r>
      <w:r w:rsidR="00241CBD">
        <w:rPr>
          <w:lang w:val="en-CA"/>
        </w:rPr>
        <w:t xml:space="preserve">, </w:t>
      </w:r>
      <w:r w:rsidRPr="0045720B">
        <w:rPr>
          <w:lang w:val="en-CA"/>
        </w:rPr>
        <w:t>paras. 438–440, 445–446, 455–460</w:t>
      </w:r>
      <w:r w:rsidR="00CA5405">
        <w:rPr>
          <w:lang w:val="en-CA"/>
        </w:rPr>
        <w:t>,</w:t>
      </w:r>
      <w:r w:rsidRPr="0045720B">
        <w:rPr>
          <w:lang w:val="en-CA"/>
        </w:rPr>
        <w:t xml:space="preserve"> and 737.</w:t>
      </w:r>
    </w:p>
  </w:footnote>
  <w:footnote w:id="201">
    <w:p w14:paraId="7F2D47F9" w14:textId="47CAE659" w:rsidR="00DE2019" w:rsidRPr="0045720B" w:rsidRDefault="00DE2019" w:rsidP="00DE2019">
      <w:pPr>
        <w:pStyle w:val="Notedebasdepage"/>
        <w:rPr>
          <w:rFonts w:cs="Arial"/>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 xml:space="preserve">para. 839; </w:t>
      </w:r>
      <w:r w:rsidR="00D12FDC">
        <w:rPr>
          <w:lang w:val="en-CA"/>
        </w:rPr>
        <w:t>s</w:t>
      </w:r>
      <w:r w:rsidRPr="0045720B">
        <w:rPr>
          <w:lang w:val="en-CA"/>
        </w:rPr>
        <w:t xml:space="preserve">ee also: Exhibit P-1 </w:t>
      </w:r>
      <w:r w:rsidRPr="0045720B">
        <w:rPr>
          <w:rStyle w:val="cf01"/>
          <w:rFonts w:ascii="Arial" w:hAnsi="Arial" w:cs="Arial"/>
          <w:sz w:val="20"/>
          <w:szCs w:val="20"/>
          <w:lang w:val="en-CA"/>
        </w:rPr>
        <w:t xml:space="preserve">Expert report of Massimiliano Mulone, January </w:t>
      </w:r>
      <w:r w:rsidR="00136CD1">
        <w:rPr>
          <w:rStyle w:val="cf01"/>
          <w:rFonts w:ascii="Arial" w:hAnsi="Arial" w:cs="Arial"/>
          <w:sz w:val="20"/>
          <w:szCs w:val="20"/>
          <w:lang w:val="en-CA"/>
        </w:rPr>
        <w:t xml:space="preserve">31, </w:t>
      </w:r>
      <w:r w:rsidRPr="0045720B">
        <w:rPr>
          <w:rStyle w:val="cf01"/>
          <w:rFonts w:ascii="Arial" w:hAnsi="Arial" w:cs="Arial"/>
          <w:sz w:val="20"/>
          <w:szCs w:val="20"/>
          <w:lang w:val="en-CA"/>
        </w:rPr>
        <w:t>2022</w:t>
      </w:r>
      <w:r w:rsidR="001E1B82">
        <w:rPr>
          <w:rStyle w:val="cf01"/>
          <w:rFonts w:ascii="Arial" w:hAnsi="Arial" w:cs="Arial"/>
          <w:sz w:val="20"/>
          <w:szCs w:val="20"/>
          <w:lang w:val="en-CA"/>
        </w:rPr>
        <w:t>,</w:t>
      </w:r>
      <w:r w:rsidR="00083108">
        <w:rPr>
          <w:rStyle w:val="cf01"/>
          <w:rFonts w:ascii="Arial" w:hAnsi="Arial" w:cs="Arial"/>
          <w:sz w:val="20"/>
          <w:szCs w:val="20"/>
          <w:lang w:val="en-CA"/>
        </w:rPr>
        <w:t xml:space="preserve"> p. 7</w:t>
      </w:r>
      <w:r w:rsidRPr="0045720B">
        <w:rPr>
          <w:rStyle w:val="cf01"/>
          <w:rFonts w:ascii="Arial" w:hAnsi="Arial" w:cs="Arial"/>
          <w:sz w:val="20"/>
          <w:szCs w:val="20"/>
          <w:lang w:val="en-CA"/>
        </w:rPr>
        <w:t>.</w:t>
      </w:r>
    </w:p>
  </w:footnote>
  <w:footnote w:id="202">
    <w:p w14:paraId="6300B172" w14:textId="765DA656" w:rsidR="00DE2019" w:rsidRPr="00077E55" w:rsidRDefault="00DE2019" w:rsidP="00DE2019">
      <w:pPr>
        <w:pStyle w:val="Notedebasdepage"/>
      </w:pPr>
      <w:r w:rsidRPr="0045720B">
        <w:rPr>
          <w:rStyle w:val="Appelnotedebasdep"/>
          <w:lang w:val="en-CA"/>
        </w:rPr>
        <w:footnoteRef/>
      </w:r>
      <w:r w:rsidRPr="00077E55">
        <w:tab/>
      </w:r>
      <w:r w:rsidRPr="00077E55">
        <w:rPr>
          <w:i/>
          <w:iCs/>
        </w:rPr>
        <w:t>R. v. Ladouceur</w:t>
      </w:r>
      <w:r w:rsidRPr="00077E55">
        <w:t>, [1990] 1 S</w:t>
      </w:r>
      <w:r w:rsidR="0031724A" w:rsidRPr="00077E55">
        <w:t>.</w:t>
      </w:r>
      <w:r w:rsidRPr="00077E55">
        <w:t>C</w:t>
      </w:r>
      <w:r w:rsidR="0031724A" w:rsidRPr="00077E55">
        <w:t>.</w:t>
      </w:r>
      <w:r w:rsidRPr="00077E55">
        <w:t>R</w:t>
      </w:r>
      <w:r w:rsidR="0031724A" w:rsidRPr="00077E55">
        <w:t>.</w:t>
      </w:r>
      <w:r w:rsidRPr="00077E55">
        <w:t xml:space="preserve"> 1257</w:t>
      </w:r>
      <w:r w:rsidR="00706F32" w:rsidRPr="00077E55">
        <w:t>, p. 1</w:t>
      </w:r>
      <w:r w:rsidRPr="00077E55">
        <w:t>287.</w:t>
      </w:r>
    </w:p>
  </w:footnote>
  <w:footnote w:id="203">
    <w:p w14:paraId="671CCA15" w14:textId="097A231D" w:rsidR="00DE2019" w:rsidRPr="0045720B" w:rsidRDefault="00DE2019" w:rsidP="00DE201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155762" w:rsidRPr="0045720B">
        <w:rPr>
          <w:lang w:val="en-CA"/>
        </w:rPr>
        <w:t xml:space="preserve">The Court will return to the balancing test </w:t>
      </w:r>
      <w:r w:rsidR="00430F27">
        <w:rPr>
          <w:lang w:val="en-CA"/>
        </w:rPr>
        <w:t xml:space="preserve">in </w:t>
      </w:r>
      <w:r w:rsidR="00D12FDC" w:rsidRPr="00D12FDC">
        <w:rPr>
          <w:lang w:val="en-CA"/>
        </w:rPr>
        <w:t xml:space="preserve">greater detail </w:t>
      </w:r>
      <w:r w:rsidR="00155762" w:rsidRPr="0045720B">
        <w:rPr>
          <w:lang w:val="en-CA"/>
        </w:rPr>
        <w:t xml:space="preserve">in its analysis of the justification of the infringement of the right to equality guaranteed by s. </w:t>
      </w:r>
      <w:r w:rsidRPr="0045720B">
        <w:rPr>
          <w:lang w:val="en-CA"/>
        </w:rPr>
        <w:t xml:space="preserve">15(1) of the </w:t>
      </w:r>
      <w:r w:rsidRPr="0045720B">
        <w:rPr>
          <w:i/>
          <w:iCs/>
          <w:lang w:val="en-CA"/>
        </w:rPr>
        <w:t>Charter</w:t>
      </w:r>
      <w:r w:rsidRPr="0045720B">
        <w:rPr>
          <w:lang w:val="en-CA"/>
        </w:rPr>
        <w:t xml:space="preserve"> (</w:t>
      </w:r>
      <w:r w:rsidR="004377E7" w:rsidRPr="0045720B">
        <w:rPr>
          <w:lang w:val="en-CA"/>
        </w:rPr>
        <w:t>below</w:t>
      </w:r>
      <w:r w:rsidR="00706F32">
        <w:rPr>
          <w:lang w:val="en-CA"/>
        </w:rPr>
        <w:t>, paras.</w:t>
      </w:r>
      <w:r w:rsidRPr="0045720B">
        <w:rPr>
          <w:lang w:val="en-CA"/>
        </w:rPr>
        <w:t xml:space="preserve"> </w:t>
      </w:r>
      <w:r w:rsidRPr="0045720B">
        <w:rPr>
          <w:lang w:val="en-CA"/>
        </w:rPr>
        <w:fldChar w:fldCharType="begin"/>
      </w:r>
      <w:r w:rsidRPr="0045720B">
        <w:rPr>
          <w:lang w:val="en-CA"/>
        </w:rPr>
        <w:instrText xml:space="preserve"> REF _Ref178071153 \r \h </w:instrText>
      </w:r>
      <w:r w:rsidRPr="0045720B">
        <w:rPr>
          <w:lang w:val="en-CA"/>
        </w:rPr>
      </w:r>
      <w:r w:rsidRPr="0045720B">
        <w:rPr>
          <w:lang w:val="en-CA"/>
        </w:rPr>
        <w:fldChar w:fldCharType="separate"/>
      </w:r>
      <w:r w:rsidR="00EB635D">
        <w:rPr>
          <w:lang w:val="en-CA"/>
        </w:rPr>
        <w:t>[207]</w:t>
      </w:r>
      <w:r w:rsidRPr="0045720B">
        <w:rPr>
          <w:lang w:val="en-CA"/>
        </w:rPr>
        <w:fldChar w:fldCharType="end"/>
      </w:r>
      <w:r w:rsidRPr="0045720B">
        <w:rPr>
          <w:lang w:val="en-CA"/>
        </w:rPr>
        <w:t xml:space="preserve"> to </w:t>
      </w:r>
      <w:r w:rsidRPr="0045720B">
        <w:rPr>
          <w:lang w:val="en-CA"/>
        </w:rPr>
        <w:fldChar w:fldCharType="begin"/>
      </w:r>
      <w:r w:rsidRPr="0045720B">
        <w:rPr>
          <w:lang w:val="en-CA"/>
        </w:rPr>
        <w:instrText xml:space="preserve"> REF _Ref180158645 \r \h </w:instrText>
      </w:r>
      <w:r w:rsidRPr="0045720B">
        <w:rPr>
          <w:lang w:val="en-CA"/>
        </w:rPr>
      </w:r>
      <w:r w:rsidRPr="0045720B">
        <w:rPr>
          <w:lang w:val="en-CA"/>
        </w:rPr>
        <w:fldChar w:fldCharType="separate"/>
      </w:r>
      <w:r w:rsidR="00EB635D">
        <w:rPr>
          <w:lang w:val="en-CA"/>
        </w:rPr>
        <w:t>[216]</w:t>
      </w:r>
      <w:r w:rsidRPr="0045720B">
        <w:rPr>
          <w:lang w:val="en-CA"/>
        </w:rPr>
        <w:fldChar w:fldCharType="end"/>
      </w:r>
      <w:r w:rsidRPr="0045720B">
        <w:rPr>
          <w:lang w:val="en-CA"/>
        </w:rPr>
        <w:t>).</w:t>
      </w:r>
    </w:p>
  </w:footnote>
  <w:footnote w:id="204">
    <w:p w14:paraId="7655B636" w14:textId="7DEC2936" w:rsidR="00DE2019" w:rsidRPr="0045720B" w:rsidRDefault="00DE2019" w:rsidP="00DE2019">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704. </w:t>
      </w:r>
    </w:p>
  </w:footnote>
  <w:footnote w:id="205">
    <w:p w14:paraId="72DB879D" w14:textId="182ED9E4" w:rsidR="00DE2019" w:rsidRPr="0045720B" w:rsidRDefault="00DE2019" w:rsidP="00DE2019">
      <w:pPr>
        <w:pStyle w:val="Notedebasdepage"/>
        <w:rPr>
          <w:lang w:val="en-CA"/>
        </w:rPr>
      </w:pPr>
      <w:r w:rsidRPr="0045720B">
        <w:rPr>
          <w:rStyle w:val="Appelnotedebasdep"/>
          <w:lang w:val="en-CA"/>
        </w:rPr>
        <w:footnoteRef/>
      </w:r>
      <w:r w:rsidRPr="0045720B">
        <w:rPr>
          <w:lang w:val="en-CA"/>
        </w:rPr>
        <w:tab/>
      </w:r>
      <w:r w:rsidRPr="0045720B">
        <w:rPr>
          <w:i/>
          <w:iCs/>
          <w:lang w:val="en-CA"/>
        </w:rPr>
        <w:t xml:space="preserve">Re B.C. Motor Vehicle Act, </w:t>
      </w:r>
      <w:r w:rsidRPr="0045720B">
        <w:rPr>
          <w:lang w:val="en-CA"/>
        </w:rPr>
        <w:t>[1985] 2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486</w:t>
      </w:r>
      <w:r w:rsidR="00083108">
        <w:rPr>
          <w:lang w:val="en-CA"/>
        </w:rPr>
        <w:t>, pp. 5</w:t>
      </w:r>
      <w:r w:rsidRPr="0045720B">
        <w:rPr>
          <w:lang w:val="en-CA"/>
        </w:rPr>
        <w:t>02–503.</w:t>
      </w:r>
    </w:p>
  </w:footnote>
  <w:footnote w:id="206">
    <w:p w14:paraId="44AD6833" w14:textId="45C9F949" w:rsidR="00DE2019" w:rsidRPr="0045720B" w:rsidRDefault="00DE2019" w:rsidP="00DE2019">
      <w:pPr>
        <w:pStyle w:val="Notedebasdepage"/>
        <w:rPr>
          <w:lang w:val="en-CA"/>
        </w:rPr>
      </w:pPr>
      <w:r w:rsidRPr="0045720B">
        <w:rPr>
          <w:rStyle w:val="Appelnotedebasdep"/>
          <w:lang w:val="en-CA"/>
        </w:rPr>
        <w:footnoteRef/>
      </w:r>
      <w:r w:rsidRPr="0045720B">
        <w:rPr>
          <w:lang w:val="en-CA"/>
        </w:rPr>
        <w:tab/>
      </w:r>
      <w:r w:rsidRPr="0045720B">
        <w:rPr>
          <w:i/>
          <w:iCs/>
          <w:lang w:val="en-CA"/>
        </w:rPr>
        <w:t>Id.</w:t>
      </w:r>
      <w:r w:rsidR="00083108">
        <w:rPr>
          <w:lang w:val="en-CA"/>
        </w:rPr>
        <w:t>, p. 5</w:t>
      </w:r>
      <w:r w:rsidRPr="0045720B">
        <w:rPr>
          <w:lang w:val="en-CA"/>
        </w:rPr>
        <w:t>02.</w:t>
      </w:r>
    </w:p>
  </w:footnote>
  <w:footnote w:id="207">
    <w:p w14:paraId="52F8CF53" w14:textId="77777777" w:rsidR="00DE2019" w:rsidRPr="0045720B" w:rsidRDefault="00DE2019" w:rsidP="00DE2019">
      <w:pPr>
        <w:pStyle w:val="Notedebasdepage"/>
        <w:rPr>
          <w:lang w:val="en-CA"/>
        </w:rPr>
      </w:pPr>
      <w:r w:rsidRPr="0045720B">
        <w:rPr>
          <w:rStyle w:val="Appelnotedebasdep"/>
          <w:lang w:val="en-CA"/>
        </w:rPr>
        <w:footnoteRef/>
      </w:r>
      <w:r w:rsidRPr="0045720B">
        <w:rPr>
          <w:lang w:val="en-CA"/>
        </w:rPr>
        <w:tab/>
      </w:r>
      <w:r w:rsidRPr="0045720B">
        <w:rPr>
          <w:i/>
          <w:iCs/>
          <w:lang w:val="en-CA"/>
        </w:rPr>
        <w:t>Ibid.</w:t>
      </w:r>
    </w:p>
  </w:footnote>
  <w:footnote w:id="208">
    <w:p w14:paraId="7772C691" w14:textId="48E1FE00" w:rsidR="00155762" w:rsidRPr="0045720B" w:rsidRDefault="00155762" w:rsidP="00155762">
      <w:pPr>
        <w:pStyle w:val="Notedebasdepage"/>
        <w:rPr>
          <w:lang w:val="en-CA"/>
        </w:rPr>
      </w:pPr>
      <w:r w:rsidRPr="0045720B">
        <w:rPr>
          <w:rStyle w:val="Appelnotedebasdep"/>
          <w:lang w:val="en-CA"/>
        </w:rPr>
        <w:footnoteRef/>
      </w:r>
      <w:r w:rsidRPr="0045720B">
        <w:rPr>
          <w:lang w:val="en-CA"/>
        </w:rPr>
        <w:tab/>
        <w:t xml:space="preserve">This is also the Supreme Court’s conclusion in </w:t>
      </w:r>
      <w:r w:rsidRPr="0045720B">
        <w:rPr>
          <w:i/>
          <w:iCs/>
          <w:lang w:val="en-CA"/>
        </w:rPr>
        <w:t>R. v. Swain</w:t>
      </w:r>
      <w:r w:rsidRPr="0045720B">
        <w:rPr>
          <w:lang w:val="en-CA"/>
        </w:rPr>
        <w:t>, [1991]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933</w:t>
      </w:r>
      <w:r w:rsidR="00706F32">
        <w:rPr>
          <w:lang w:val="en-CA"/>
        </w:rPr>
        <w:t>, p. 1</w:t>
      </w:r>
      <w:r w:rsidRPr="0045720B">
        <w:rPr>
          <w:lang w:val="en-CA"/>
        </w:rPr>
        <w:t xml:space="preserve">012. </w:t>
      </w:r>
      <w:r w:rsidR="004D73B6" w:rsidRPr="0045720B">
        <w:rPr>
          <w:lang w:val="en-CA"/>
        </w:rPr>
        <w:t>See also, i</w:t>
      </w:r>
      <w:r w:rsidRPr="0045720B">
        <w:rPr>
          <w:lang w:val="en-CA"/>
        </w:rPr>
        <w:t xml:space="preserve">n relation to an infringement of s. 8 of the </w:t>
      </w:r>
      <w:r w:rsidRPr="0045720B">
        <w:rPr>
          <w:i/>
          <w:iCs/>
          <w:lang w:val="en-CA"/>
        </w:rPr>
        <w:t>Charter</w:t>
      </w:r>
      <w:r w:rsidRPr="0045720B">
        <w:rPr>
          <w:lang w:val="en-CA"/>
        </w:rPr>
        <w:t xml:space="preserve">: </w:t>
      </w:r>
      <w:r w:rsidRPr="0045720B">
        <w:rPr>
          <w:i/>
          <w:iCs/>
          <w:lang w:val="en-CA"/>
        </w:rPr>
        <w:t>R. v. Rodgers</w:t>
      </w:r>
      <w:r w:rsidRPr="0045720B">
        <w:rPr>
          <w:lang w:val="en-CA"/>
        </w:rPr>
        <w:t>, 2006 SCC 15</w:t>
      </w:r>
      <w:r w:rsidR="00706F32">
        <w:rPr>
          <w:lang w:val="en-CA"/>
        </w:rPr>
        <w:t>, paras.</w:t>
      </w:r>
      <w:r w:rsidRPr="0045720B">
        <w:rPr>
          <w:lang w:val="en-CA"/>
        </w:rPr>
        <w:t> 23–24.</w:t>
      </w:r>
    </w:p>
  </w:footnote>
  <w:footnote w:id="209">
    <w:p w14:paraId="57EEC5FD" w14:textId="7CF9296D" w:rsidR="00155762" w:rsidRPr="0045720B" w:rsidRDefault="00155762" w:rsidP="00155762">
      <w:pPr>
        <w:pStyle w:val="Notedebasdepage"/>
        <w:rPr>
          <w:lang w:val="en-CA"/>
        </w:rPr>
      </w:pPr>
      <w:r w:rsidRPr="0045720B">
        <w:rPr>
          <w:rStyle w:val="Appelnotedebasdep"/>
          <w:lang w:val="en-CA"/>
        </w:rPr>
        <w:footnoteRef/>
      </w:r>
      <w:r w:rsidR="00455C35" w:rsidRPr="00455C35">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706F32">
        <w:rPr>
          <w:lang w:val="en-CA"/>
        </w:rPr>
        <w:t>, p. 1</w:t>
      </w:r>
      <w:r w:rsidRPr="0045720B">
        <w:rPr>
          <w:lang w:val="en-CA"/>
        </w:rPr>
        <w:t>278.</w:t>
      </w:r>
    </w:p>
  </w:footnote>
  <w:footnote w:id="210">
    <w:p w14:paraId="5B68349D" w14:textId="7DA4BB55" w:rsidR="005505AA" w:rsidRPr="0045720B" w:rsidRDefault="005505AA" w:rsidP="005505A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xml:space="preserve"> </w:t>
      </w:r>
      <w:r w:rsidRPr="00077E55">
        <w:t xml:space="preserve">40; </w:t>
      </w:r>
      <w:r w:rsidRPr="00077E55">
        <w:rPr>
          <w:i/>
          <w:iCs/>
        </w:rPr>
        <w:t>Quebec (Attorney General) v. Alliance du personnel professionnel et technique de la santé et des services sociaux</w:t>
      </w:r>
      <w:r w:rsidRPr="00077E55">
        <w:t>, 2018 SCC 17</w:t>
      </w:r>
      <w:r w:rsidR="005D436F" w:rsidRPr="00077E55">
        <w:t>, para.</w:t>
      </w:r>
      <w:r w:rsidRPr="00077E55">
        <w:t> </w:t>
      </w:r>
      <w:r w:rsidRPr="0045720B">
        <w:rPr>
          <w:lang w:val="en-CA"/>
        </w:rPr>
        <w:t xml:space="preserve">25; </w:t>
      </w:r>
      <w:r w:rsidRPr="0045720B">
        <w:rPr>
          <w:i/>
          <w:iCs/>
          <w:lang w:val="en-CA"/>
        </w:rPr>
        <w:t>Kahkewistahaw First Nation v. Taypotat</w:t>
      </w:r>
      <w:r w:rsidRPr="0045720B">
        <w:rPr>
          <w:lang w:val="en-CA"/>
        </w:rPr>
        <w:t>, 2015 SCC 30</w:t>
      </w:r>
      <w:r w:rsidR="005D436F">
        <w:rPr>
          <w:lang w:val="en-CA"/>
        </w:rPr>
        <w:t>, para.</w:t>
      </w:r>
      <w:r w:rsidRPr="0045720B">
        <w:rPr>
          <w:lang w:val="en-CA"/>
        </w:rPr>
        <w:t xml:space="preserve"> 17.</w:t>
      </w:r>
    </w:p>
  </w:footnote>
  <w:footnote w:id="211">
    <w:p w14:paraId="76D84183" w14:textId="7B0FF5D7" w:rsidR="00A67F5A" w:rsidRPr="0045720B" w:rsidRDefault="00A67F5A" w:rsidP="00A67F5A">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With respect to formal equality, see in particular: </w:t>
      </w:r>
      <w:r w:rsidRPr="0045720B">
        <w:rPr>
          <w:i/>
          <w:iCs/>
          <w:lang w:val="en-CA"/>
        </w:rPr>
        <w:t>Ontario (Attorney General) v. G</w:t>
      </w:r>
      <w:r w:rsidRPr="0045720B">
        <w:rPr>
          <w:lang w:val="en-CA"/>
        </w:rPr>
        <w:t>., 2020 SCC 38</w:t>
      </w:r>
      <w:r w:rsidR="005D436F">
        <w:rPr>
          <w:lang w:val="en-CA"/>
        </w:rPr>
        <w:t>, para.</w:t>
      </w:r>
      <w:r w:rsidRPr="0045720B">
        <w:rPr>
          <w:lang w:val="en-CA"/>
        </w:rPr>
        <w:t xml:space="preserve"> 44; </w:t>
      </w:r>
      <w:r w:rsidRPr="0045720B">
        <w:rPr>
          <w:i/>
          <w:iCs/>
          <w:lang w:val="en-CA"/>
        </w:rPr>
        <w:t>Withler v. Canada (Attorney General)</w:t>
      </w:r>
      <w:r w:rsidRPr="0045720B">
        <w:rPr>
          <w:lang w:val="en-CA"/>
        </w:rPr>
        <w:t>, 2011 SCC 12</w:t>
      </w:r>
      <w:r w:rsidR="005D436F">
        <w:rPr>
          <w:lang w:val="en-CA"/>
        </w:rPr>
        <w:t>, para.</w:t>
      </w:r>
      <w:r w:rsidRPr="0045720B">
        <w:rPr>
          <w:lang w:val="en-CA"/>
        </w:rPr>
        <w:t xml:space="preserve"> 2; </w:t>
      </w:r>
      <w:r w:rsidRPr="0045720B">
        <w:rPr>
          <w:i/>
          <w:iCs/>
          <w:lang w:val="en-CA"/>
        </w:rPr>
        <w:t>Andrews v. Law Society of British Columbia</w:t>
      </w:r>
      <w:r w:rsidRPr="0045720B">
        <w:rPr>
          <w:lang w:val="en-CA"/>
        </w:rPr>
        <w:t>, [1989]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143</w:t>
      </w:r>
      <w:r w:rsidR="00706F32">
        <w:rPr>
          <w:lang w:val="en-CA"/>
        </w:rPr>
        <w:t>, p. 1</w:t>
      </w:r>
      <w:r w:rsidRPr="0045720B">
        <w:rPr>
          <w:lang w:val="en-CA"/>
        </w:rPr>
        <w:t>66.</w:t>
      </w:r>
    </w:p>
  </w:footnote>
  <w:footnote w:id="212">
    <w:p w14:paraId="6545BBE3" w14:textId="6BF246CA" w:rsidR="00A67F5A" w:rsidRPr="0045720B" w:rsidRDefault="00A67F5A" w:rsidP="00A67F5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Kahkewistahaw First Nation v. Taypotat</w:t>
      </w:r>
      <w:r w:rsidRPr="0045720B">
        <w:rPr>
          <w:lang w:val="en-CA"/>
        </w:rPr>
        <w:t>, 2015 SCC 30</w:t>
      </w:r>
      <w:r w:rsidR="005D436F">
        <w:rPr>
          <w:lang w:val="en-CA"/>
        </w:rPr>
        <w:t>, para.</w:t>
      </w:r>
      <w:r w:rsidRPr="0045720B">
        <w:rPr>
          <w:lang w:val="en-CA"/>
        </w:rPr>
        <w:t xml:space="preserve"> 17.</w:t>
      </w:r>
    </w:p>
  </w:footnote>
  <w:footnote w:id="213">
    <w:p w14:paraId="0DCAC21A" w14:textId="753FE9A2" w:rsidR="00A67F5A" w:rsidRPr="0045720B" w:rsidRDefault="00A67F5A" w:rsidP="00A67F5A">
      <w:pPr>
        <w:spacing w:line="240" w:lineRule="auto"/>
        <w:ind w:left="357" w:hanging="357"/>
        <w:jc w:val="both"/>
        <w:rPr>
          <w:sz w:val="20"/>
          <w:lang w:val="en-CA" w:eastAsia="fr-CA"/>
        </w:rPr>
      </w:pPr>
      <w:r w:rsidRPr="0045720B">
        <w:rPr>
          <w:rStyle w:val="Appelnotedebasdep"/>
          <w:sz w:val="20"/>
          <w:lang w:val="en-CA"/>
        </w:rPr>
        <w:footnoteRef/>
      </w:r>
      <w:r w:rsidRPr="0045720B">
        <w:rPr>
          <w:sz w:val="20"/>
          <w:lang w:val="en-CA"/>
        </w:rPr>
        <w:t xml:space="preserve"> </w:t>
      </w:r>
      <w:r w:rsidRPr="0045720B">
        <w:rPr>
          <w:sz w:val="20"/>
          <w:lang w:val="en-CA"/>
        </w:rPr>
        <w:tab/>
      </w:r>
      <w:r w:rsidRPr="0045720B">
        <w:rPr>
          <w:i/>
          <w:iCs/>
          <w:sz w:val="20"/>
          <w:lang w:val="en-CA"/>
        </w:rPr>
        <w:t>Ibid.</w:t>
      </w:r>
      <w:r w:rsidRPr="0045720B">
        <w:rPr>
          <w:sz w:val="20"/>
          <w:lang w:val="en-CA"/>
        </w:rPr>
        <w:t xml:space="preserve"> See also: </w:t>
      </w:r>
      <w:r w:rsidRPr="0045720B">
        <w:rPr>
          <w:i/>
          <w:iCs/>
          <w:sz w:val="20"/>
          <w:lang w:val="en-CA"/>
        </w:rPr>
        <w:t>Andrews v. Law Society of British Columbia</w:t>
      </w:r>
      <w:r w:rsidRPr="0045720B">
        <w:rPr>
          <w:sz w:val="20"/>
          <w:lang w:val="en-CA"/>
        </w:rPr>
        <w:t>, [1989] 1 S</w:t>
      </w:r>
      <w:r w:rsidR="0031724A" w:rsidRPr="0045720B">
        <w:rPr>
          <w:sz w:val="20"/>
          <w:lang w:val="en-CA"/>
        </w:rPr>
        <w:t>.</w:t>
      </w:r>
      <w:r w:rsidRPr="0045720B">
        <w:rPr>
          <w:sz w:val="20"/>
          <w:lang w:val="en-CA"/>
        </w:rPr>
        <w:t>C</w:t>
      </w:r>
      <w:r w:rsidR="0031724A" w:rsidRPr="0045720B">
        <w:rPr>
          <w:sz w:val="20"/>
          <w:lang w:val="en-CA"/>
        </w:rPr>
        <w:t>.</w:t>
      </w:r>
      <w:r w:rsidRPr="0045720B">
        <w:rPr>
          <w:sz w:val="20"/>
          <w:lang w:val="en-CA"/>
        </w:rPr>
        <w:t>R</w:t>
      </w:r>
      <w:r w:rsidR="0031724A" w:rsidRPr="0045720B">
        <w:rPr>
          <w:sz w:val="20"/>
          <w:lang w:val="en-CA"/>
        </w:rPr>
        <w:t>.</w:t>
      </w:r>
      <w:r w:rsidRPr="0045720B">
        <w:rPr>
          <w:sz w:val="20"/>
          <w:lang w:val="en-CA"/>
        </w:rPr>
        <w:t xml:space="preserve"> 143</w:t>
      </w:r>
      <w:r w:rsidR="00706F32">
        <w:rPr>
          <w:sz w:val="20"/>
          <w:lang w:val="en-CA"/>
        </w:rPr>
        <w:t>, p. 1</w:t>
      </w:r>
      <w:r w:rsidRPr="0045720B">
        <w:rPr>
          <w:sz w:val="20"/>
          <w:lang w:val="en-CA"/>
        </w:rPr>
        <w:t xml:space="preserve">64–168; </w:t>
      </w:r>
      <w:r w:rsidRPr="0045720B">
        <w:rPr>
          <w:i/>
          <w:iCs/>
          <w:sz w:val="20"/>
          <w:lang w:val="en-CA"/>
        </w:rPr>
        <w:t>Procureur général du Québec c. Centre de lutte contre l</w:t>
      </w:r>
      <w:r w:rsidR="009520A0">
        <w:rPr>
          <w:i/>
          <w:iCs/>
          <w:sz w:val="20"/>
          <w:lang w:val="en-CA"/>
        </w:rPr>
        <w:t>’</w:t>
      </w:r>
      <w:r w:rsidRPr="0045720B">
        <w:rPr>
          <w:i/>
          <w:iCs/>
          <w:sz w:val="20"/>
          <w:lang w:val="en-CA"/>
        </w:rPr>
        <w:t>oppression des genres</w:t>
      </w:r>
      <w:r w:rsidRPr="0045720B">
        <w:rPr>
          <w:sz w:val="20"/>
          <w:lang w:val="en-CA"/>
        </w:rPr>
        <w:t>, 2024 QCCA 348</w:t>
      </w:r>
      <w:r w:rsidR="005D436F">
        <w:rPr>
          <w:sz w:val="20"/>
          <w:lang w:val="en-CA"/>
        </w:rPr>
        <w:t>, para.</w:t>
      </w:r>
      <w:r w:rsidRPr="0045720B">
        <w:rPr>
          <w:sz w:val="20"/>
          <w:lang w:val="en-CA"/>
        </w:rPr>
        <w:t> 111 (majority reasons of Marcotte and Hogue, JJ</w:t>
      </w:r>
      <w:r w:rsidR="0031724A" w:rsidRPr="0045720B">
        <w:rPr>
          <w:sz w:val="20"/>
          <w:lang w:val="en-CA"/>
        </w:rPr>
        <w:t>.</w:t>
      </w:r>
      <w:r w:rsidRPr="0045720B">
        <w:rPr>
          <w:sz w:val="20"/>
          <w:lang w:val="en-CA"/>
        </w:rPr>
        <w:t>A</w:t>
      </w:r>
      <w:r w:rsidR="0031724A" w:rsidRPr="0045720B">
        <w:rPr>
          <w:sz w:val="20"/>
          <w:lang w:val="en-CA"/>
        </w:rPr>
        <w:t>.</w:t>
      </w:r>
      <w:r w:rsidR="00E63B8C">
        <w:rPr>
          <w:sz w:val="20"/>
          <w:lang w:val="en-CA"/>
        </w:rPr>
        <w:t>)</w:t>
      </w:r>
      <w:r w:rsidRPr="0045720B">
        <w:rPr>
          <w:sz w:val="20"/>
          <w:lang w:val="en-CA"/>
        </w:rPr>
        <w:t xml:space="preserve"> and </w:t>
      </w:r>
      <w:r w:rsidR="00E63B8C">
        <w:rPr>
          <w:sz w:val="20"/>
          <w:lang w:val="en-CA"/>
        </w:rPr>
        <w:t xml:space="preserve">para. </w:t>
      </w:r>
      <w:r w:rsidRPr="0045720B">
        <w:rPr>
          <w:sz w:val="20"/>
          <w:lang w:val="en-CA"/>
        </w:rPr>
        <w:t>219 (concurring reasons of Hamilton, J</w:t>
      </w:r>
      <w:r w:rsidR="0031724A" w:rsidRPr="0045720B">
        <w:rPr>
          <w:sz w:val="20"/>
          <w:lang w:val="en-CA"/>
        </w:rPr>
        <w:t>.</w:t>
      </w:r>
      <w:r w:rsidRPr="0045720B">
        <w:rPr>
          <w:sz w:val="20"/>
          <w:lang w:val="en-CA"/>
        </w:rPr>
        <w:t>A</w:t>
      </w:r>
      <w:r w:rsidR="0031724A" w:rsidRPr="0045720B">
        <w:rPr>
          <w:sz w:val="20"/>
          <w:lang w:val="en-CA"/>
        </w:rPr>
        <w:t>.</w:t>
      </w:r>
      <w:r w:rsidRPr="0045720B">
        <w:rPr>
          <w:sz w:val="20"/>
          <w:lang w:val="en-CA"/>
        </w:rPr>
        <w:t>).</w:t>
      </w:r>
    </w:p>
  </w:footnote>
  <w:footnote w:id="214">
    <w:p w14:paraId="06D1FDF9" w14:textId="6A48DC96"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 xml:space="preserve">Withler </w:t>
      </w:r>
      <w:r w:rsidR="00155556" w:rsidRPr="0045720B">
        <w:rPr>
          <w:i/>
          <w:iCs/>
          <w:lang w:val="en-CA"/>
        </w:rPr>
        <w:t>v</w:t>
      </w:r>
      <w:r w:rsidRPr="0045720B">
        <w:rPr>
          <w:i/>
          <w:iCs/>
          <w:lang w:val="en-CA"/>
        </w:rPr>
        <w:t>. Canada (</w:t>
      </w:r>
      <w:r w:rsidR="00A37078" w:rsidRPr="0045720B">
        <w:rPr>
          <w:i/>
          <w:iCs/>
          <w:lang w:val="en-CA"/>
        </w:rPr>
        <w:t>Attorney General</w:t>
      </w:r>
      <w:r w:rsidRPr="0045720B">
        <w:rPr>
          <w:i/>
          <w:iCs/>
          <w:lang w:val="en-CA"/>
        </w:rPr>
        <w:t>)</w:t>
      </w:r>
      <w:r w:rsidRPr="0045720B">
        <w:rPr>
          <w:lang w:val="en-CA"/>
        </w:rPr>
        <w:t xml:space="preserve">, 2011 </w:t>
      </w:r>
      <w:r w:rsidR="003514B8" w:rsidRPr="0045720B">
        <w:rPr>
          <w:lang w:val="en-CA"/>
        </w:rPr>
        <w:t>SCC</w:t>
      </w:r>
      <w:r w:rsidRPr="0045720B">
        <w:rPr>
          <w:lang w:val="en-CA"/>
        </w:rPr>
        <w:t xml:space="preserve"> 12</w:t>
      </w:r>
      <w:r w:rsidR="005D436F">
        <w:rPr>
          <w:lang w:val="en-CA"/>
        </w:rPr>
        <w:t>, para.</w:t>
      </w:r>
      <w:r w:rsidRPr="0045720B">
        <w:rPr>
          <w:lang w:val="en-CA"/>
        </w:rPr>
        <w:t xml:space="preserve"> 39.</w:t>
      </w:r>
    </w:p>
  </w:footnote>
  <w:footnote w:id="215">
    <w:p w14:paraId="37B66226" w14:textId="77777777" w:rsidR="00A67F5A" w:rsidRPr="0045720B" w:rsidRDefault="00A67F5A" w:rsidP="00A67F5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p>
  </w:footnote>
  <w:footnote w:id="216">
    <w:p w14:paraId="31994E89" w14:textId="6599040B"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2.</w:t>
      </w:r>
    </w:p>
  </w:footnote>
  <w:footnote w:id="217">
    <w:p w14:paraId="044CD8D1" w14:textId="32462D13"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See in particular: </w:t>
      </w:r>
      <w:r w:rsidRPr="0045720B">
        <w:rPr>
          <w:i/>
          <w:iCs/>
          <w:lang w:val="en-CA"/>
        </w:rPr>
        <w:t>Fraser v. Canada (Attorney General)</w:t>
      </w:r>
      <w:r w:rsidRPr="0045720B">
        <w:rPr>
          <w:lang w:val="en-CA"/>
        </w:rPr>
        <w:t>, 2020 SCC 28</w:t>
      </w:r>
      <w:r w:rsidR="00706F32">
        <w:rPr>
          <w:lang w:val="en-CA"/>
        </w:rPr>
        <w:t>, paras.</w:t>
      </w:r>
      <w:r w:rsidRPr="0045720B">
        <w:rPr>
          <w:lang w:val="en-CA"/>
        </w:rPr>
        <w:t xml:space="preserve"> 43–45; </w:t>
      </w:r>
      <w:r w:rsidRPr="0045720B">
        <w:rPr>
          <w:i/>
          <w:iCs/>
          <w:lang w:val="en-CA"/>
        </w:rPr>
        <w:t>Withler v. Canada (Attorney General)</w:t>
      </w:r>
      <w:r w:rsidRPr="0045720B">
        <w:rPr>
          <w:lang w:val="en-CA"/>
        </w:rPr>
        <w:t>, 2011 SCC 12</w:t>
      </w:r>
      <w:r w:rsidR="005D436F">
        <w:rPr>
          <w:lang w:val="en-CA"/>
        </w:rPr>
        <w:t>, para.</w:t>
      </w:r>
      <w:r w:rsidRPr="0045720B">
        <w:rPr>
          <w:lang w:val="en-CA"/>
        </w:rPr>
        <w:t xml:space="preserve"> 64; </w:t>
      </w:r>
      <w:r w:rsidRPr="0045720B">
        <w:rPr>
          <w:i/>
          <w:iCs/>
          <w:lang w:val="en-CA"/>
        </w:rPr>
        <w:t>Eldridge v. British Columbia (Attorney General)</w:t>
      </w:r>
      <w:r w:rsidRPr="0045720B">
        <w:rPr>
          <w:lang w:val="en-CA"/>
        </w:rPr>
        <w:t>, [1997] 3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624</w:t>
      </w:r>
      <w:r w:rsidR="005D436F">
        <w:rPr>
          <w:lang w:val="en-CA"/>
        </w:rPr>
        <w:t>, para.</w:t>
      </w:r>
      <w:r w:rsidRPr="0045720B">
        <w:rPr>
          <w:lang w:val="en-CA"/>
        </w:rPr>
        <w:t xml:space="preserve"> 61; </w:t>
      </w:r>
      <w:r w:rsidRPr="0045720B">
        <w:rPr>
          <w:i/>
          <w:iCs/>
          <w:lang w:val="en-CA"/>
        </w:rPr>
        <w:t>Vriend v. Alberta</w:t>
      </w:r>
      <w:r w:rsidRPr="0045720B">
        <w:rPr>
          <w:lang w:val="en-CA"/>
        </w:rPr>
        <w:t>, [1998]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493</w:t>
      </w:r>
      <w:r w:rsidR="00706F32">
        <w:rPr>
          <w:lang w:val="en-CA"/>
        </w:rPr>
        <w:t>, paras.</w:t>
      </w:r>
      <w:r w:rsidRPr="0045720B">
        <w:rPr>
          <w:lang w:val="en-CA"/>
        </w:rPr>
        <w:t xml:space="preserve"> 82–83; </w:t>
      </w:r>
      <w:r w:rsidRPr="0045720B">
        <w:rPr>
          <w:i/>
          <w:iCs/>
          <w:lang w:val="en-CA"/>
        </w:rPr>
        <w:t>Ontario Human Rights Commission v. Simpson</w:t>
      </w:r>
      <w:r w:rsidRPr="0045720B">
        <w:rPr>
          <w:i/>
          <w:iCs/>
          <w:lang w:val="en-CA"/>
        </w:rPr>
        <w:noBreakHyphen/>
        <w:t>Sears Ltd.</w:t>
      </w:r>
      <w:r w:rsidRPr="0045720B">
        <w:rPr>
          <w:lang w:val="en-CA"/>
        </w:rPr>
        <w:t>, [1985] 2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536</w:t>
      </w:r>
      <w:r w:rsidR="00083108">
        <w:rPr>
          <w:lang w:val="en-CA"/>
        </w:rPr>
        <w:t>, p. 5</w:t>
      </w:r>
      <w:r w:rsidRPr="0045720B">
        <w:rPr>
          <w:lang w:val="en-CA"/>
        </w:rPr>
        <w:t>51.</w:t>
      </w:r>
    </w:p>
  </w:footnote>
  <w:footnote w:id="218">
    <w:p w14:paraId="32B7F217" w14:textId="770B3582"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xml:space="preserve"> 30. See also: </w:t>
      </w:r>
      <w:r w:rsidRPr="0045720B">
        <w:rPr>
          <w:i/>
          <w:iCs/>
          <w:lang w:val="en-CA"/>
        </w:rPr>
        <w:t>Withler v. Canada (Attorney General)</w:t>
      </w:r>
      <w:r w:rsidRPr="0045720B">
        <w:rPr>
          <w:lang w:val="en-CA"/>
        </w:rPr>
        <w:t>, 2011 SCC 12</w:t>
      </w:r>
      <w:r w:rsidR="005D436F">
        <w:rPr>
          <w:lang w:val="en-CA"/>
        </w:rPr>
        <w:t>, para.</w:t>
      </w:r>
      <w:r w:rsidRPr="0045720B">
        <w:rPr>
          <w:lang w:val="en-CA"/>
        </w:rPr>
        <w:t xml:space="preserve"> 64.</w:t>
      </w:r>
    </w:p>
  </w:footnote>
  <w:footnote w:id="219">
    <w:p w14:paraId="45298884" w14:textId="3EBB2011"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xml:space="preserve">, 2022 SCC 39 </w:t>
      </w:r>
      <w:r w:rsidRPr="0045720B">
        <w:rPr>
          <w:rFonts w:cs="Arial"/>
          <w:lang w:val="en-CA"/>
        </w:rPr>
        <w:t>[</w:t>
      </w:r>
      <w:r w:rsidRPr="0045720B">
        <w:rPr>
          <w:i/>
          <w:iCs/>
          <w:lang w:val="en-CA"/>
        </w:rPr>
        <w:t>Sharma</w:t>
      </w:r>
      <w:r w:rsidRPr="0045720B">
        <w:rPr>
          <w:rFonts w:cs="Arial"/>
          <w:lang w:val="en-CA"/>
        </w:rPr>
        <w:t>]</w:t>
      </w:r>
      <w:r w:rsidR="005D436F">
        <w:rPr>
          <w:lang w:val="en-CA"/>
        </w:rPr>
        <w:t>, para.</w:t>
      </w:r>
      <w:r w:rsidRPr="0045720B">
        <w:rPr>
          <w:lang w:val="en-CA"/>
        </w:rPr>
        <w:t xml:space="preserve"> 29. See also: </w:t>
      </w:r>
      <w:r w:rsidRPr="0045720B">
        <w:rPr>
          <w:i/>
          <w:iCs/>
          <w:lang w:val="en-CA"/>
        </w:rPr>
        <w:t>Procureur general du Québec c. Kanyinda</w:t>
      </w:r>
      <w:r w:rsidRPr="0045720B">
        <w:rPr>
          <w:lang w:val="en-CA"/>
        </w:rPr>
        <w:t>, 2024 QCCA 144</w:t>
      </w:r>
      <w:r w:rsidR="005D436F">
        <w:rPr>
          <w:lang w:val="en-CA"/>
        </w:rPr>
        <w:t>, para.</w:t>
      </w:r>
      <w:r w:rsidRPr="0045720B">
        <w:rPr>
          <w:lang w:val="en-CA"/>
        </w:rPr>
        <w:t xml:space="preserve"> 83, leave to appeal to SCC granted, October </w:t>
      </w:r>
      <w:r w:rsidR="0028624E">
        <w:rPr>
          <w:lang w:val="en-CA"/>
        </w:rPr>
        <w:t xml:space="preserve">3, </w:t>
      </w:r>
      <w:r w:rsidRPr="0045720B">
        <w:rPr>
          <w:lang w:val="en-CA"/>
        </w:rPr>
        <w:t>2024</w:t>
      </w:r>
      <w:r w:rsidR="00D30C6C">
        <w:rPr>
          <w:lang w:val="en-CA"/>
        </w:rPr>
        <w:t xml:space="preserve">, </w:t>
      </w:r>
      <w:r w:rsidR="00D30C6C" w:rsidRPr="00D30C6C">
        <w:rPr>
          <w:lang w:val="en-CA"/>
        </w:rPr>
        <w:t>No. 41210</w:t>
      </w:r>
      <w:r w:rsidRPr="0045720B">
        <w:rPr>
          <w:lang w:val="en-CA"/>
        </w:rPr>
        <w:t>.</w:t>
      </w:r>
    </w:p>
  </w:footnote>
  <w:footnote w:id="220">
    <w:p w14:paraId="09DA3BB9" w14:textId="704B1733"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6567E0">
        <w:rPr>
          <w:i/>
          <w:iCs/>
          <w:lang w:val="en-CA"/>
        </w:rPr>
        <w:t>C</w:t>
      </w:r>
      <w:r w:rsidR="006567E0" w:rsidRPr="00B35C02">
        <w:rPr>
          <w:i/>
          <w:iCs/>
          <w:lang w:val="en-CA"/>
        </w:rPr>
        <w:t>f</w:t>
      </w:r>
      <w:r w:rsidR="006567E0">
        <w:rPr>
          <w:lang w:val="en-CA"/>
        </w:rPr>
        <w:t>.</w:t>
      </w:r>
      <w:r w:rsidRPr="0045720B">
        <w:rPr>
          <w:lang w:val="en-CA"/>
        </w:rPr>
        <w:t xml:space="preserve"> Trial judgment</w:t>
      </w:r>
      <w:r w:rsidR="00706F32">
        <w:rPr>
          <w:lang w:val="en-CA"/>
        </w:rPr>
        <w:t>, paras.</w:t>
      </w:r>
      <w:r w:rsidRPr="0045720B">
        <w:rPr>
          <w:lang w:val="en-CA"/>
        </w:rPr>
        <w:t xml:space="preserve"> 777–812.</w:t>
      </w:r>
    </w:p>
  </w:footnote>
  <w:footnote w:id="221">
    <w:p w14:paraId="694F2689" w14:textId="37A58D2E" w:rsidR="000B4108" w:rsidRPr="0045720B" w:rsidRDefault="000B4108" w:rsidP="000B4108">
      <w:pPr>
        <w:pStyle w:val="Notedebasdepage"/>
        <w:rPr>
          <w:lang w:val="en-CA"/>
        </w:rPr>
      </w:pPr>
      <w:r w:rsidRPr="0045720B">
        <w:rPr>
          <w:rStyle w:val="Appelnotedebasdep"/>
          <w:lang w:val="en-CA"/>
        </w:rPr>
        <w:footnoteRef/>
      </w:r>
      <w:r w:rsidRPr="0045720B">
        <w:rPr>
          <w:lang w:val="en-CA"/>
        </w:rPr>
        <w:tab/>
      </w:r>
      <w:r w:rsidRPr="0045720B">
        <w:rPr>
          <w:i/>
          <w:iCs/>
          <w:lang w:val="en-CA"/>
        </w:rPr>
        <w:t xml:space="preserve"> R. v. Sharma</w:t>
      </w:r>
      <w:r w:rsidRPr="0045720B">
        <w:rPr>
          <w:lang w:val="en-CA"/>
        </w:rPr>
        <w:t>, 2022 SCC 39</w:t>
      </w:r>
      <w:r w:rsidR="005D436F">
        <w:rPr>
          <w:lang w:val="en-CA"/>
        </w:rPr>
        <w:t>, para.</w:t>
      </w:r>
      <w:r w:rsidRPr="0045720B">
        <w:rPr>
          <w:lang w:val="en-CA"/>
        </w:rPr>
        <w:t xml:space="preserve"> 33.</w:t>
      </w:r>
    </w:p>
  </w:footnote>
  <w:footnote w:id="222">
    <w:p w14:paraId="5E7DB5BB" w14:textId="7B15F935"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xml:space="preserve"> 48 (</w:t>
      </w:r>
      <w:r w:rsidR="0000373D">
        <w:rPr>
          <w:lang w:val="en-CA"/>
        </w:rPr>
        <w:t>s</w:t>
      </w:r>
      <w:r w:rsidRPr="0045720B">
        <w:rPr>
          <w:lang w:val="en-CA"/>
        </w:rPr>
        <w:t>ee also para. 49).</w:t>
      </w:r>
    </w:p>
  </w:footnote>
  <w:footnote w:id="223">
    <w:p w14:paraId="32658551" w14:textId="4CB2E0EC"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29.</w:t>
      </w:r>
    </w:p>
  </w:footnote>
  <w:footnote w:id="224">
    <w:p w14:paraId="7C092AE5" w14:textId="659AD58A" w:rsidR="000B4108" w:rsidRPr="0045720B" w:rsidRDefault="000B4108" w:rsidP="000B410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30.</w:t>
      </w:r>
    </w:p>
  </w:footnote>
  <w:footnote w:id="225">
    <w:p w14:paraId="54A2AC67" w14:textId="5B2C3735"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 xml:space="preserve">paras. 31 and 40; </w:t>
      </w:r>
      <w:r w:rsidRPr="0045720B">
        <w:rPr>
          <w:i/>
          <w:iCs/>
          <w:lang w:val="en-CA"/>
        </w:rPr>
        <w:t>Fraser v. Canada (Attorney General)</w:t>
      </w:r>
      <w:r w:rsidRPr="0045720B">
        <w:rPr>
          <w:lang w:val="en-CA"/>
        </w:rPr>
        <w:t>, 2020 SCC 28</w:t>
      </w:r>
      <w:r w:rsidR="005D436F">
        <w:rPr>
          <w:lang w:val="en-CA"/>
        </w:rPr>
        <w:t>, para.</w:t>
      </w:r>
      <w:r w:rsidRPr="0045720B">
        <w:rPr>
          <w:lang w:val="en-CA"/>
        </w:rPr>
        <w:t xml:space="preserve"> 52; </w:t>
      </w:r>
      <w:r w:rsidRPr="0045720B">
        <w:rPr>
          <w:i/>
          <w:iCs/>
          <w:lang w:val="en-CA"/>
        </w:rPr>
        <w:t>Procureur général du Québec c. Kanyinda</w:t>
      </w:r>
      <w:r w:rsidRPr="0045720B">
        <w:rPr>
          <w:lang w:val="en-CA"/>
        </w:rPr>
        <w:t>, 2024 QCCA 144</w:t>
      </w:r>
      <w:r w:rsidR="005D436F">
        <w:rPr>
          <w:lang w:val="en-CA"/>
        </w:rPr>
        <w:t>, para.</w:t>
      </w:r>
      <w:r w:rsidRPr="0045720B">
        <w:rPr>
          <w:lang w:val="en-CA"/>
        </w:rPr>
        <w:t> 84, leave to appeal to SCC granted, October </w:t>
      </w:r>
      <w:r w:rsidR="00384BBB">
        <w:rPr>
          <w:lang w:val="en-CA"/>
        </w:rPr>
        <w:t xml:space="preserve">3, </w:t>
      </w:r>
      <w:r w:rsidRPr="0045720B">
        <w:rPr>
          <w:lang w:val="en-CA"/>
        </w:rPr>
        <w:t>2024</w:t>
      </w:r>
      <w:r w:rsidR="0000373D">
        <w:rPr>
          <w:lang w:val="en-CA"/>
        </w:rPr>
        <w:t xml:space="preserve">, </w:t>
      </w:r>
      <w:r w:rsidR="0000373D" w:rsidRPr="0000373D">
        <w:rPr>
          <w:lang w:val="en-CA"/>
        </w:rPr>
        <w:t>No. 41210</w:t>
      </w:r>
      <w:r w:rsidRPr="0045720B">
        <w:rPr>
          <w:lang w:val="en-CA"/>
        </w:rPr>
        <w:t>.</w:t>
      </w:r>
    </w:p>
  </w:footnote>
  <w:footnote w:id="226">
    <w:p w14:paraId="722B5061" w14:textId="488BF654"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41.</w:t>
      </w:r>
    </w:p>
  </w:footnote>
  <w:footnote w:id="227">
    <w:p w14:paraId="332923C8" w14:textId="62B29B5F"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r w:rsidRPr="0045720B">
        <w:rPr>
          <w:lang w:val="en-CA"/>
        </w:rPr>
        <w:t xml:space="preserve">; </w:t>
      </w:r>
      <w:r w:rsidRPr="0045720B">
        <w:rPr>
          <w:i/>
          <w:iCs/>
          <w:lang w:val="en-CA"/>
        </w:rPr>
        <w:t>Fraser v. Canada (Attorney General)</w:t>
      </w:r>
      <w:r w:rsidRPr="0045720B">
        <w:rPr>
          <w:lang w:val="en-CA"/>
        </w:rPr>
        <w:t>, 2020 SCC 28</w:t>
      </w:r>
      <w:r w:rsidR="005D436F">
        <w:rPr>
          <w:lang w:val="en-CA"/>
        </w:rPr>
        <w:t>, para.</w:t>
      </w:r>
      <w:r w:rsidRPr="0045720B">
        <w:rPr>
          <w:lang w:val="en-CA"/>
        </w:rPr>
        <w:t> </w:t>
      </w:r>
      <w:r w:rsidRPr="00077E55">
        <w:t xml:space="preserve">94; </w:t>
      </w:r>
      <w:r w:rsidRPr="00077E55">
        <w:rPr>
          <w:i/>
          <w:iCs/>
        </w:rPr>
        <w:t>Quebec (Attorney General) v. Alliance du personnel professionnel et technique de la santé et des services sociaux</w:t>
      </w:r>
      <w:r w:rsidRPr="00077E55">
        <w:t>, 2018 SCC 17</w:t>
      </w:r>
      <w:r w:rsidR="005D436F" w:rsidRPr="00077E55">
        <w:t>, para.</w:t>
      </w:r>
      <w:r w:rsidRPr="00077E55">
        <w:t xml:space="preserve"> 27; </w:t>
      </w:r>
      <w:r w:rsidRPr="00077E55">
        <w:rPr>
          <w:i/>
          <w:iCs/>
        </w:rPr>
        <w:t>Withler v. Canada (Attorney General)</w:t>
      </w:r>
      <w:r w:rsidRPr="00077E55">
        <w:t>, 2011 SCC 12</w:t>
      </w:r>
      <w:r w:rsidR="00706F32" w:rsidRPr="00077E55">
        <w:t>, paras.</w:t>
      </w:r>
      <w:r w:rsidRPr="00077E55">
        <w:t xml:space="preserve"> 55–64; </w:t>
      </w:r>
      <w:r w:rsidRPr="00077E55">
        <w:rPr>
          <w:i/>
          <w:iCs/>
        </w:rPr>
        <w:t>Procureure générale du Québec c. Association des juristes de l’État</w:t>
      </w:r>
      <w:r w:rsidRPr="00077E55">
        <w:t>, 2017 QCCA 103</w:t>
      </w:r>
      <w:r w:rsidR="005D436F" w:rsidRPr="00077E55">
        <w:t>, para.</w:t>
      </w:r>
      <w:r w:rsidRPr="00077E55">
        <w:t> </w:t>
      </w:r>
      <w:r w:rsidRPr="0045720B">
        <w:rPr>
          <w:lang w:val="en-CA"/>
        </w:rPr>
        <w:t>35.</w:t>
      </w:r>
    </w:p>
  </w:footnote>
  <w:footnote w:id="228">
    <w:p w14:paraId="3D0D867B" w14:textId="62DBCDF6"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31.</w:t>
      </w:r>
    </w:p>
  </w:footnote>
  <w:footnote w:id="229">
    <w:p w14:paraId="387247A3" w14:textId="59318410"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41.</w:t>
      </w:r>
    </w:p>
  </w:footnote>
  <w:footnote w:id="230">
    <w:p w14:paraId="30F564B6" w14:textId="6E3E6036"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5D436F">
        <w:rPr>
          <w:lang w:val="en-CA"/>
        </w:rPr>
        <w:t>, para.</w:t>
      </w:r>
      <w:r w:rsidRPr="0045720B">
        <w:rPr>
          <w:lang w:val="en-CA"/>
        </w:rPr>
        <w:t xml:space="preserve"> 44.</w:t>
      </w:r>
    </w:p>
  </w:footnote>
  <w:footnote w:id="231">
    <w:p w14:paraId="201CA470" w14:textId="5F95657F" w:rsidR="00583AE9" w:rsidRPr="0045720B" w:rsidRDefault="00583AE9" w:rsidP="00583AE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42 [</w:t>
      </w:r>
      <w:r w:rsidR="003D57B4">
        <w:rPr>
          <w:lang w:val="en-CA"/>
        </w:rPr>
        <w:t xml:space="preserve">italics </w:t>
      </w:r>
      <w:r w:rsidRPr="0045720B">
        <w:rPr>
          <w:lang w:val="en-CA"/>
        </w:rPr>
        <w:t>in the original].</w:t>
      </w:r>
    </w:p>
  </w:footnote>
  <w:footnote w:id="232">
    <w:p w14:paraId="421EEA43" w14:textId="0A97B3BF" w:rsidR="00FF51D8" w:rsidRPr="0045720B" w:rsidRDefault="00FF51D8" w:rsidP="00FF51D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 xml:space="preserve">para. 49; </w:t>
      </w:r>
      <w:r w:rsidRPr="0045720B">
        <w:rPr>
          <w:i/>
          <w:iCs/>
          <w:lang w:val="en-CA"/>
        </w:rPr>
        <w:t>Withler v. Canada (Attorney General)</w:t>
      </w:r>
      <w:r w:rsidRPr="0045720B">
        <w:rPr>
          <w:lang w:val="en-CA"/>
        </w:rPr>
        <w:t>, 2011 SCC 12</w:t>
      </w:r>
      <w:r w:rsidR="005D436F">
        <w:rPr>
          <w:lang w:val="en-CA"/>
        </w:rPr>
        <w:t>, para.</w:t>
      </w:r>
      <w:r w:rsidRPr="0045720B">
        <w:rPr>
          <w:lang w:val="en-CA"/>
        </w:rPr>
        <w:t xml:space="preserve"> 43. </w:t>
      </w:r>
      <w:r w:rsidR="005E75E6" w:rsidRPr="0045720B">
        <w:rPr>
          <w:lang w:val="en-CA"/>
        </w:rPr>
        <w:t>E</w:t>
      </w:r>
      <w:r w:rsidRPr="0045720B">
        <w:rPr>
          <w:lang w:val="en-CA"/>
        </w:rPr>
        <w:t>vidence on the group’s situation may come from the claimant (or other ordinary witnesses), from expert witnesses</w:t>
      </w:r>
      <w:r w:rsidR="00F05C47" w:rsidRPr="0045720B">
        <w:rPr>
          <w:lang w:val="en-CA"/>
        </w:rPr>
        <w:t>,</w:t>
      </w:r>
      <w:r w:rsidRPr="0045720B">
        <w:rPr>
          <w:lang w:val="en-CA"/>
        </w:rPr>
        <w:t xml:space="preserve"> or through judicial notice: </w:t>
      </w:r>
      <w:r w:rsidRPr="0045720B">
        <w:rPr>
          <w:i/>
          <w:iCs/>
          <w:lang w:val="en-CA"/>
        </w:rPr>
        <w:t>Fraser v. Canada (Attorney General)</w:t>
      </w:r>
      <w:r w:rsidRPr="0045720B">
        <w:rPr>
          <w:lang w:val="en-CA"/>
        </w:rPr>
        <w:t>, 2020 SCC 28</w:t>
      </w:r>
      <w:r w:rsidR="005D436F">
        <w:rPr>
          <w:lang w:val="en-CA"/>
        </w:rPr>
        <w:t>, para.</w:t>
      </w:r>
      <w:r w:rsidRPr="0045720B">
        <w:rPr>
          <w:lang w:val="en-CA"/>
        </w:rPr>
        <w:t> 57.</w:t>
      </w:r>
    </w:p>
  </w:footnote>
  <w:footnote w:id="233">
    <w:p w14:paraId="44EFF37B" w14:textId="7384BDAF" w:rsidR="00FF51D8" w:rsidRPr="0045720B" w:rsidRDefault="00FF51D8" w:rsidP="00FF51D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49. </w:t>
      </w:r>
      <w:r w:rsidR="00B9322F" w:rsidRPr="0045720B">
        <w:rPr>
          <w:lang w:val="en-CA"/>
        </w:rPr>
        <w:t xml:space="preserve">The </w:t>
      </w:r>
      <w:r w:rsidR="00F05C47" w:rsidRPr="0045720B">
        <w:rPr>
          <w:lang w:val="en-CA"/>
        </w:rPr>
        <w:t xml:space="preserve">outcomes </w:t>
      </w:r>
      <w:r w:rsidR="00B9322F" w:rsidRPr="0045720B">
        <w:rPr>
          <w:lang w:val="en-CA"/>
        </w:rPr>
        <w:t>of the law may be demonstrated using statistical evidence</w:t>
      </w:r>
      <w:r w:rsidRPr="0045720B">
        <w:rPr>
          <w:lang w:val="en-CA"/>
        </w:rPr>
        <w:t>, “</w:t>
      </w:r>
      <w:r w:rsidRPr="0045720B">
        <w:rPr>
          <w:color w:val="000000"/>
          <w:lang w:val="en-CA"/>
        </w:rPr>
        <w:t>especially if the pool of people adversely affected by a criterion or standard includes </w:t>
      </w:r>
      <w:r w:rsidRPr="0045720B">
        <w:rPr>
          <w:i/>
          <w:iCs/>
          <w:color w:val="000000"/>
          <w:lang w:val="en-CA"/>
        </w:rPr>
        <w:t>both </w:t>
      </w:r>
      <w:r w:rsidRPr="0045720B">
        <w:rPr>
          <w:color w:val="000000"/>
          <w:lang w:val="en-CA"/>
        </w:rPr>
        <w:t>members of a protected group </w:t>
      </w:r>
      <w:r w:rsidRPr="0045720B">
        <w:rPr>
          <w:i/>
          <w:iCs/>
          <w:color w:val="000000"/>
          <w:lang w:val="en-CA"/>
        </w:rPr>
        <w:t>and</w:t>
      </w:r>
      <w:r w:rsidRPr="0045720B">
        <w:rPr>
          <w:color w:val="000000"/>
          <w:lang w:val="en-CA"/>
        </w:rPr>
        <w:t> members of more advantaged groups”</w:t>
      </w:r>
      <w:r w:rsidRPr="0045720B">
        <w:rPr>
          <w:lang w:val="en-CA"/>
        </w:rPr>
        <w:t xml:space="preserve">: </w:t>
      </w:r>
      <w:r w:rsidRPr="0045720B">
        <w:rPr>
          <w:i/>
          <w:iCs/>
          <w:lang w:val="en-CA"/>
        </w:rPr>
        <w:t>Fraser v. Canada (Attorney General)</w:t>
      </w:r>
      <w:r w:rsidRPr="0045720B">
        <w:rPr>
          <w:lang w:val="en-CA"/>
        </w:rPr>
        <w:t>, 2020 SCC 28</w:t>
      </w:r>
      <w:r w:rsidR="005D436F">
        <w:rPr>
          <w:lang w:val="en-CA"/>
        </w:rPr>
        <w:t>, para.</w:t>
      </w:r>
      <w:r w:rsidRPr="0045720B">
        <w:rPr>
          <w:lang w:val="en-CA"/>
        </w:rPr>
        <w:t> 58 [</w:t>
      </w:r>
      <w:r w:rsidR="00AE41C1">
        <w:rPr>
          <w:lang w:val="en-CA"/>
        </w:rPr>
        <w:t xml:space="preserve">italics </w:t>
      </w:r>
      <w:r w:rsidRPr="0045720B">
        <w:rPr>
          <w:lang w:val="en-CA"/>
        </w:rPr>
        <w:t>in the original].</w:t>
      </w:r>
    </w:p>
  </w:footnote>
  <w:footnote w:id="234">
    <w:p w14:paraId="497A0394" w14:textId="379410BA" w:rsidR="00FF51D8" w:rsidRPr="0045720B" w:rsidRDefault="00FF51D8" w:rsidP="00FF51D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49. But </w:t>
      </w:r>
      <w:r w:rsidR="00F6717A" w:rsidRPr="0045720B">
        <w:rPr>
          <w:lang w:val="en-CA"/>
        </w:rPr>
        <w:t xml:space="preserve">both kinds </w:t>
      </w:r>
      <w:r w:rsidRPr="0045720B">
        <w:rPr>
          <w:lang w:val="en-CA"/>
        </w:rPr>
        <w:t xml:space="preserve">of evidence are not always required: </w:t>
      </w:r>
      <w:r w:rsidRPr="0045720B">
        <w:rPr>
          <w:i/>
          <w:iCs/>
          <w:lang w:val="en-CA"/>
        </w:rPr>
        <w:t>Fraser v. Canada (Attorney General)</w:t>
      </w:r>
      <w:r w:rsidRPr="0045720B">
        <w:rPr>
          <w:lang w:val="en-CA"/>
        </w:rPr>
        <w:t>, 2020 SCC 28</w:t>
      </w:r>
      <w:r w:rsidR="005D436F">
        <w:rPr>
          <w:lang w:val="en-CA"/>
        </w:rPr>
        <w:t>, para.</w:t>
      </w:r>
      <w:r w:rsidRPr="0045720B">
        <w:rPr>
          <w:lang w:val="en-CA"/>
        </w:rPr>
        <w:t> 61.</w:t>
      </w:r>
    </w:p>
  </w:footnote>
  <w:footnote w:id="235">
    <w:p w14:paraId="6C86474E" w14:textId="3E7275F1" w:rsidR="00E94EE3" w:rsidRPr="0045720B" w:rsidRDefault="00E94EE3" w:rsidP="00E94EE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50.</w:t>
      </w:r>
    </w:p>
  </w:footnote>
  <w:footnote w:id="236">
    <w:p w14:paraId="132B6FA2" w14:textId="77777777" w:rsidR="00E94EE3" w:rsidRPr="0045720B" w:rsidRDefault="00E94EE3" w:rsidP="00E94EE3">
      <w:pPr>
        <w:pStyle w:val="Notedebasdepage"/>
        <w:rPr>
          <w:lang w:val="en-CA"/>
        </w:rPr>
      </w:pPr>
      <w:r w:rsidRPr="0045720B">
        <w:rPr>
          <w:rStyle w:val="Appelnotedebasdep"/>
          <w:lang w:val="en-CA"/>
        </w:rPr>
        <w:footnoteRef/>
      </w:r>
      <w:r w:rsidRPr="0045720B">
        <w:rPr>
          <w:lang w:val="en-CA"/>
        </w:rPr>
        <w:tab/>
      </w:r>
      <w:r w:rsidRPr="0045720B">
        <w:rPr>
          <w:i/>
          <w:iCs/>
          <w:lang w:val="en-CA"/>
        </w:rPr>
        <w:t>Ibid.</w:t>
      </w:r>
    </w:p>
  </w:footnote>
  <w:footnote w:id="237">
    <w:p w14:paraId="33A12926" w14:textId="6E134A3F" w:rsidR="00E94EE3" w:rsidRPr="0045720B" w:rsidRDefault="00E94EE3" w:rsidP="00E94EE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5D436F">
        <w:rPr>
          <w:lang w:val="en-CA"/>
        </w:rPr>
        <w:t>, para.</w:t>
      </w:r>
      <w:r w:rsidRPr="0045720B">
        <w:rPr>
          <w:lang w:val="en-CA"/>
        </w:rPr>
        <w:t xml:space="preserve"> 51.</w:t>
      </w:r>
    </w:p>
  </w:footnote>
  <w:footnote w:id="238">
    <w:p w14:paraId="26672132" w14:textId="61981566" w:rsidR="00E94EE3" w:rsidRPr="0045720B" w:rsidRDefault="00E94EE3" w:rsidP="00E94EE3">
      <w:pPr>
        <w:pStyle w:val="Notedebasdepage"/>
        <w:rPr>
          <w:lang w:val="en-CA"/>
        </w:rPr>
      </w:pPr>
      <w:r w:rsidRPr="0045720B">
        <w:rPr>
          <w:rStyle w:val="Appelnotedebasdep"/>
          <w:lang w:val="en-CA"/>
        </w:rPr>
        <w:footnoteRef/>
      </w:r>
      <w:r w:rsidRPr="0045720B">
        <w:rPr>
          <w:lang w:val="en-CA"/>
        </w:rPr>
        <w:tab/>
      </w:r>
      <w:r w:rsidRPr="0045720B">
        <w:rPr>
          <w:i/>
          <w:iCs/>
          <w:lang w:val="en-CA"/>
        </w:rPr>
        <w:t>Id.</w:t>
      </w:r>
      <w:r w:rsidR="00241CBD">
        <w:rPr>
          <w:lang w:val="en-CA"/>
        </w:rPr>
        <w:t xml:space="preserve">, </w:t>
      </w:r>
      <w:r w:rsidRPr="0045720B">
        <w:rPr>
          <w:lang w:val="en-CA"/>
        </w:rPr>
        <w:t>para. 52.</w:t>
      </w:r>
    </w:p>
  </w:footnote>
  <w:footnote w:id="239">
    <w:p w14:paraId="77539C8D" w14:textId="37780C40" w:rsidR="00E94EE3" w:rsidRPr="00077E55" w:rsidRDefault="00E94EE3" w:rsidP="00E94EE3">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w:t>
      </w:r>
      <w:r w:rsidRPr="00077E55">
        <w:t>76.</w:t>
      </w:r>
    </w:p>
  </w:footnote>
  <w:footnote w:id="240">
    <w:p w14:paraId="3077BDED" w14:textId="3CE150F0" w:rsidR="00E94EE3" w:rsidRPr="0045720B" w:rsidRDefault="00E94EE3" w:rsidP="00E94EE3">
      <w:pPr>
        <w:pStyle w:val="Notedebasdepage"/>
        <w:rPr>
          <w:lang w:val="en-CA"/>
        </w:rPr>
      </w:pPr>
      <w:r w:rsidRPr="0045720B">
        <w:rPr>
          <w:rStyle w:val="Appelnotedebasdep"/>
          <w:lang w:val="en-CA"/>
        </w:rPr>
        <w:footnoteRef/>
      </w:r>
      <w:r w:rsidRPr="00077E55">
        <w:t xml:space="preserve"> </w:t>
      </w:r>
      <w:r w:rsidRPr="00077E55">
        <w:tab/>
      </w:r>
      <w:r w:rsidRPr="00077E55">
        <w:rPr>
          <w:i/>
          <w:iCs/>
        </w:rPr>
        <w:t>Quebec (Attorney General) v.</w:t>
      </w:r>
      <w:r w:rsidRPr="00077E55">
        <w:t xml:space="preserve"> </w:t>
      </w:r>
      <w:r w:rsidRPr="00077E55">
        <w:rPr>
          <w:i/>
          <w:iCs/>
        </w:rPr>
        <w:t>Alliance du personnel professionnel et technique de la santé et des services sociaux</w:t>
      </w:r>
      <w:r w:rsidRPr="00077E55">
        <w:t>, 2018 SCC 17</w:t>
      </w:r>
      <w:r w:rsidR="005D436F" w:rsidRPr="00077E55">
        <w:t>, para.</w:t>
      </w:r>
      <w:r w:rsidRPr="00077E55">
        <w:t> </w:t>
      </w:r>
      <w:r w:rsidRPr="0045720B">
        <w:rPr>
          <w:lang w:val="en-CA"/>
        </w:rPr>
        <w:t>28 [</w:t>
      </w:r>
      <w:r w:rsidR="00511FD3">
        <w:rPr>
          <w:lang w:val="en-CA"/>
        </w:rPr>
        <w:t xml:space="preserve">italics </w:t>
      </w:r>
      <w:r w:rsidRPr="0045720B">
        <w:rPr>
          <w:lang w:val="en-CA"/>
        </w:rPr>
        <w:t xml:space="preserve">in the original], citing </w:t>
      </w:r>
      <w:r w:rsidRPr="0045720B">
        <w:rPr>
          <w:i/>
          <w:iCs/>
          <w:lang w:val="en-CA"/>
        </w:rPr>
        <w:t>Quebec (Attorney General) v. A.</w:t>
      </w:r>
      <w:r w:rsidRPr="0045720B">
        <w:rPr>
          <w:lang w:val="en-CA"/>
        </w:rPr>
        <w:t>, 2013 SCC 5</w:t>
      </w:r>
      <w:r w:rsidR="00706F32">
        <w:rPr>
          <w:lang w:val="en-CA"/>
        </w:rPr>
        <w:t>, paras.</w:t>
      </w:r>
      <w:r w:rsidRPr="0045720B">
        <w:rPr>
          <w:lang w:val="en-CA"/>
        </w:rPr>
        <w:t xml:space="preserve"> 327 and 330. </w:t>
      </w:r>
      <w:r w:rsidR="00B9322F" w:rsidRPr="0045720B">
        <w:rPr>
          <w:lang w:val="en-CA"/>
        </w:rPr>
        <w:t>Similarly</w:t>
      </w:r>
      <w:r w:rsidRPr="0045720B">
        <w:rPr>
          <w:lang w:val="en-CA"/>
        </w:rPr>
        <w:t xml:space="preserve">, </w:t>
      </w:r>
      <w:r w:rsidR="00B9322F" w:rsidRPr="0045720B">
        <w:rPr>
          <w:lang w:val="en-CA"/>
        </w:rPr>
        <w:t xml:space="preserve">it is not necessary to prove a </w:t>
      </w:r>
      <w:r w:rsidR="006A35FD" w:rsidRPr="0045720B">
        <w:rPr>
          <w:lang w:val="en-CA"/>
        </w:rPr>
        <w:t>discriminatory</w:t>
      </w:r>
      <w:r w:rsidR="00B9322F" w:rsidRPr="0045720B">
        <w:rPr>
          <w:lang w:val="en-CA"/>
        </w:rPr>
        <w:t xml:space="preserve"> </w:t>
      </w:r>
      <w:r w:rsidR="009C65EC" w:rsidRPr="0045720B">
        <w:rPr>
          <w:lang w:val="en-CA"/>
        </w:rPr>
        <w:t>purpose</w:t>
      </w:r>
      <w:r w:rsidR="00B9322F" w:rsidRPr="0045720B">
        <w:rPr>
          <w:lang w:val="en-CA"/>
        </w:rPr>
        <w:t xml:space="preserve"> or intention for s</w:t>
      </w:r>
      <w:r w:rsidRPr="0045720B">
        <w:rPr>
          <w:lang w:val="en-CA"/>
        </w:rPr>
        <w:t>. 15(1)</w:t>
      </w:r>
      <w:r w:rsidR="00B9322F" w:rsidRPr="0045720B">
        <w:rPr>
          <w:lang w:val="en-CA"/>
        </w:rPr>
        <w:t xml:space="preserve"> to be infringed</w:t>
      </w:r>
      <w:r w:rsidRPr="0045720B">
        <w:rPr>
          <w:lang w:val="en-CA"/>
        </w:rPr>
        <w:t xml:space="preserve">: </w:t>
      </w:r>
      <w:r w:rsidRPr="0045720B">
        <w:rPr>
          <w:i/>
          <w:iCs/>
          <w:lang w:val="en-CA"/>
        </w:rPr>
        <w:t>Eldridge v. British Columbia (Attorney General)</w:t>
      </w:r>
      <w:r w:rsidRPr="0045720B">
        <w:rPr>
          <w:lang w:val="en-CA"/>
        </w:rPr>
        <w:t>, [1997] 3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624</w:t>
      </w:r>
      <w:r w:rsidR="005D436F">
        <w:rPr>
          <w:lang w:val="en-CA"/>
        </w:rPr>
        <w:t>, para.</w:t>
      </w:r>
      <w:r w:rsidRPr="0045720B">
        <w:rPr>
          <w:lang w:val="en-CA"/>
        </w:rPr>
        <w:t> 62.</w:t>
      </w:r>
    </w:p>
  </w:footnote>
  <w:footnote w:id="241">
    <w:p w14:paraId="6AF0055E" w14:textId="610E00B2" w:rsidR="00AB7AD2" w:rsidRPr="0045720B" w:rsidRDefault="0043013D" w:rsidP="00AB7AD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Qu</w:t>
      </w:r>
      <w:r w:rsidR="00155556" w:rsidRPr="0045720B">
        <w:rPr>
          <w:i/>
          <w:iCs/>
          <w:lang w:val="en-CA"/>
        </w:rPr>
        <w:t>e</w:t>
      </w:r>
      <w:r w:rsidRPr="0045720B">
        <w:rPr>
          <w:i/>
          <w:iCs/>
          <w:lang w:val="en-CA"/>
        </w:rPr>
        <w:t>bec (</w:t>
      </w:r>
      <w:r w:rsidR="00A37078" w:rsidRPr="0045720B">
        <w:rPr>
          <w:i/>
          <w:iCs/>
          <w:lang w:val="en-CA"/>
        </w:rPr>
        <w:t>Attorney General</w:t>
      </w:r>
      <w:r w:rsidRPr="0045720B">
        <w:rPr>
          <w:i/>
          <w:iCs/>
          <w:lang w:val="en-CA"/>
        </w:rPr>
        <w:t xml:space="preserve">) </w:t>
      </w:r>
      <w:r w:rsidR="00155556" w:rsidRPr="0045720B">
        <w:rPr>
          <w:i/>
          <w:iCs/>
          <w:lang w:val="en-CA"/>
        </w:rPr>
        <w:t>v</w:t>
      </w:r>
      <w:r w:rsidRPr="0045720B">
        <w:rPr>
          <w:i/>
          <w:iCs/>
          <w:lang w:val="en-CA"/>
        </w:rPr>
        <w:t>. A.</w:t>
      </w:r>
      <w:r w:rsidRPr="0045720B">
        <w:rPr>
          <w:lang w:val="en-CA"/>
        </w:rPr>
        <w:t>, 2013 </w:t>
      </w:r>
      <w:r w:rsidR="003514B8" w:rsidRPr="0045720B">
        <w:rPr>
          <w:lang w:val="en-CA"/>
        </w:rPr>
        <w:t>SCC</w:t>
      </w:r>
      <w:r w:rsidRPr="0045720B">
        <w:rPr>
          <w:lang w:val="en-CA"/>
        </w:rPr>
        <w:t> 5.</w:t>
      </w:r>
    </w:p>
  </w:footnote>
  <w:footnote w:id="242">
    <w:p w14:paraId="478B1C7D" w14:textId="3C13BF1D" w:rsidR="005A4E85" w:rsidRPr="0045720B" w:rsidRDefault="005A4E85" w:rsidP="005A4E8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52.</w:t>
      </w:r>
    </w:p>
  </w:footnote>
  <w:footnote w:id="243">
    <w:p w14:paraId="1643CA2E" w14:textId="513F5840" w:rsidR="005A4E85" w:rsidRPr="0045720B" w:rsidRDefault="005A4E85" w:rsidP="005A4E85">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r w:rsidRPr="0045720B">
        <w:rPr>
          <w:lang w:val="en-CA"/>
        </w:rPr>
        <w:t xml:space="preserve">; </w:t>
      </w:r>
      <w:r w:rsidRPr="0045720B">
        <w:rPr>
          <w:i/>
          <w:iCs/>
          <w:lang w:val="en-CA"/>
        </w:rPr>
        <w:t>Ontario (Attorney General) v. G</w:t>
      </w:r>
      <w:r w:rsidRPr="0045720B">
        <w:rPr>
          <w:lang w:val="en-CA"/>
        </w:rPr>
        <w:t>., 2020 SCC 38</w:t>
      </w:r>
      <w:r w:rsidR="005D436F">
        <w:rPr>
          <w:lang w:val="en-CA"/>
        </w:rPr>
        <w:t>, para.</w:t>
      </w:r>
      <w:r w:rsidRPr="0045720B">
        <w:rPr>
          <w:lang w:val="en-CA"/>
        </w:rPr>
        <w:t xml:space="preserve"> 40; </w:t>
      </w:r>
      <w:r w:rsidRPr="0045720B">
        <w:rPr>
          <w:i/>
          <w:iCs/>
          <w:lang w:val="en-CA"/>
        </w:rPr>
        <w:t>Fraser v. Canada (Attorney General)</w:t>
      </w:r>
      <w:r w:rsidRPr="0045720B">
        <w:rPr>
          <w:lang w:val="en-CA"/>
        </w:rPr>
        <w:t>, 2020 SCC 28</w:t>
      </w:r>
      <w:r w:rsidR="005D436F">
        <w:rPr>
          <w:lang w:val="en-CA"/>
        </w:rPr>
        <w:t>, para.</w:t>
      </w:r>
      <w:r w:rsidRPr="0045720B">
        <w:rPr>
          <w:lang w:val="en-CA"/>
        </w:rPr>
        <w:t> </w:t>
      </w:r>
      <w:r w:rsidRPr="00077E55">
        <w:t xml:space="preserve">76; </w:t>
      </w:r>
      <w:r w:rsidRPr="00077E55">
        <w:rPr>
          <w:i/>
          <w:iCs/>
        </w:rPr>
        <w:t>Centrale des syndicats du Québec v. Quebec (Attorney General)</w:t>
      </w:r>
      <w:r w:rsidRPr="00077E55">
        <w:t>, 2018 SCC 18</w:t>
      </w:r>
      <w:r w:rsidR="005D436F" w:rsidRPr="00077E55">
        <w:t>, para.</w:t>
      </w:r>
      <w:r w:rsidRPr="00077E55">
        <w:t> </w:t>
      </w:r>
      <w:r w:rsidRPr="0045720B">
        <w:rPr>
          <w:lang w:val="en-CA"/>
        </w:rPr>
        <w:t>22.</w:t>
      </w:r>
    </w:p>
  </w:footnote>
  <w:footnote w:id="244">
    <w:p w14:paraId="4B3F950C" w14:textId="159BEBAF"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 xml:space="preserve">Withler </w:t>
      </w:r>
      <w:r w:rsidR="00155556" w:rsidRPr="0045720B">
        <w:rPr>
          <w:i/>
          <w:iCs/>
          <w:lang w:val="en-CA"/>
        </w:rPr>
        <w:t>v</w:t>
      </w:r>
      <w:r w:rsidRPr="0045720B">
        <w:rPr>
          <w:i/>
          <w:iCs/>
          <w:lang w:val="en-CA"/>
        </w:rPr>
        <w:t>. Canada (</w:t>
      </w:r>
      <w:r w:rsidR="00A37078" w:rsidRPr="0045720B">
        <w:rPr>
          <w:i/>
          <w:iCs/>
          <w:lang w:val="en-CA"/>
        </w:rPr>
        <w:t>Attorney General</w:t>
      </w:r>
      <w:r w:rsidRPr="0045720B">
        <w:rPr>
          <w:i/>
          <w:iCs/>
          <w:lang w:val="en-CA"/>
        </w:rPr>
        <w:t>)</w:t>
      </w:r>
      <w:r w:rsidRPr="0045720B">
        <w:rPr>
          <w:lang w:val="en-CA"/>
        </w:rPr>
        <w:t>, 2011 </w:t>
      </w:r>
      <w:r w:rsidR="003514B8" w:rsidRPr="0045720B">
        <w:rPr>
          <w:lang w:val="en-CA"/>
        </w:rPr>
        <w:t>SCC</w:t>
      </w:r>
      <w:r w:rsidRPr="0045720B">
        <w:rPr>
          <w:lang w:val="en-CA"/>
        </w:rPr>
        <w:t xml:space="preserve"> 12. </w:t>
      </w:r>
      <w:r w:rsidR="00293A4C" w:rsidRPr="0045720B">
        <w:rPr>
          <w:lang w:val="en-CA"/>
        </w:rPr>
        <w:t>See also</w:t>
      </w:r>
      <w:r w:rsidRPr="0045720B">
        <w:rPr>
          <w:lang w:val="en-CA"/>
        </w:rPr>
        <w:t xml:space="preserve">: </w:t>
      </w:r>
      <w:r w:rsidRPr="0045720B">
        <w:rPr>
          <w:i/>
          <w:iCs/>
          <w:lang w:val="en-CA"/>
        </w:rPr>
        <w:t xml:space="preserve">R. </w:t>
      </w:r>
      <w:r w:rsidR="00155556" w:rsidRPr="0045720B">
        <w:rPr>
          <w:i/>
          <w:iCs/>
          <w:lang w:val="en-CA"/>
        </w:rPr>
        <w:t>v</w:t>
      </w:r>
      <w:r w:rsidRPr="0045720B">
        <w:rPr>
          <w:i/>
          <w:iCs/>
          <w:lang w:val="en-CA"/>
        </w:rPr>
        <w:t>. Sharma</w:t>
      </w:r>
      <w:r w:rsidRPr="0045720B">
        <w:rPr>
          <w:lang w:val="en-CA"/>
        </w:rPr>
        <w:t>, 2022 </w:t>
      </w:r>
      <w:r w:rsidR="003514B8" w:rsidRPr="0045720B">
        <w:rPr>
          <w:lang w:val="en-CA"/>
        </w:rPr>
        <w:t>SCC</w:t>
      </w:r>
      <w:r w:rsidRPr="0045720B">
        <w:rPr>
          <w:lang w:val="en-CA"/>
        </w:rPr>
        <w:t> 39</w:t>
      </w:r>
      <w:r w:rsidR="005D436F">
        <w:rPr>
          <w:lang w:val="en-CA"/>
        </w:rPr>
        <w:t>, para.</w:t>
      </w:r>
      <w:r w:rsidRPr="0045720B">
        <w:rPr>
          <w:lang w:val="en-CA"/>
        </w:rPr>
        <w:t> 52.</w:t>
      </w:r>
    </w:p>
  </w:footnote>
  <w:footnote w:id="245">
    <w:p w14:paraId="3FCC34E1" w14:textId="7247ED95" w:rsidR="002217C7" w:rsidRPr="0045720B" w:rsidRDefault="002217C7" w:rsidP="002217C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71.</w:t>
      </w:r>
    </w:p>
  </w:footnote>
  <w:footnote w:id="246">
    <w:p w14:paraId="611DB381" w14:textId="380BFC89" w:rsidR="002217C7" w:rsidRPr="0045720B" w:rsidRDefault="002217C7" w:rsidP="002217C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Centrale des syndicats du Québec v. Quebec (Attorney General)</w:t>
      </w:r>
      <w:r w:rsidRPr="0045720B">
        <w:rPr>
          <w:lang w:val="en-CA"/>
        </w:rPr>
        <w:t>, 2018 SCC 18</w:t>
      </w:r>
      <w:r w:rsidR="005D436F">
        <w:rPr>
          <w:lang w:val="en-CA"/>
        </w:rPr>
        <w:t>, para.</w:t>
      </w:r>
      <w:r w:rsidRPr="0045720B">
        <w:rPr>
          <w:lang w:val="en-CA"/>
        </w:rPr>
        <w:t xml:space="preserve"> 32, citing: </w:t>
      </w:r>
      <w:r w:rsidRPr="0045720B">
        <w:rPr>
          <w:i/>
          <w:iCs/>
          <w:lang w:val="en-CA"/>
        </w:rPr>
        <w:t>Vriend v. Alberta</w:t>
      </w:r>
      <w:r w:rsidRPr="0045720B">
        <w:rPr>
          <w:lang w:val="en-CA"/>
        </w:rPr>
        <w:t>, [1998]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493</w:t>
      </w:r>
      <w:r w:rsidR="005D436F">
        <w:rPr>
          <w:lang w:val="en-CA"/>
        </w:rPr>
        <w:t>, para.</w:t>
      </w:r>
      <w:r w:rsidRPr="0045720B">
        <w:rPr>
          <w:lang w:val="en-CA"/>
        </w:rPr>
        <w:t> 84 [</w:t>
      </w:r>
      <w:r w:rsidR="006014E3">
        <w:rPr>
          <w:lang w:val="en-CA"/>
        </w:rPr>
        <w:t xml:space="preserve">underlining </w:t>
      </w:r>
      <w:r w:rsidRPr="0045720B">
        <w:rPr>
          <w:lang w:val="en-CA"/>
        </w:rPr>
        <w:t>in the original].</w:t>
      </w:r>
    </w:p>
  </w:footnote>
  <w:footnote w:id="247">
    <w:p w14:paraId="7D07A78F" w14:textId="415E98E1" w:rsidR="000456F3" w:rsidRPr="00077E55" w:rsidRDefault="000456F3" w:rsidP="000456F3">
      <w:pPr>
        <w:pStyle w:val="Notedebasdepage"/>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xml:space="preserve"> 76; </w:t>
      </w:r>
      <w:r w:rsidRPr="0045720B">
        <w:rPr>
          <w:i/>
          <w:iCs/>
          <w:lang w:val="en-CA"/>
        </w:rPr>
        <w:t>Quebec (Attorney General) v. A.</w:t>
      </w:r>
      <w:r w:rsidRPr="0045720B">
        <w:rPr>
          <w:lang w:val="en-CA"/>
        </w:rPr>
        <w:t>, 2013 SCC 5</w:t>
      </w:r>
      <w:r w:rsidR="005D436F">
        <w:rPr>
          <w:lang w:val="en-CA"/>
        </w:rPr>
        <w:t>, para.</w:t>
      </w:r>
      <w:r w:rsidRPr="0045720B">
        <w:rPr>
          <w:lang w:val="en-CA"/>
        </w:rPr>
        <w:t> 331 (</w:t>
      </w:r>
      <w:r w:rsidR="003A35D8" w:rsidRPr="0045720B">
        <w:rPr>
          <w:lang w:val="en-CA"/>
        </w:rPr>
        <w:t>R</w:t>
      </w:r>
      <w:r w:rsidRPr="0045720B">
        <w:rPr>
          <w:lang w:val="en-CA"/>
        </w:rPr>
        <w:t xml:space="preserve">easons </w:t>
      </w:r>
      <w:r w:rsidR="003A35D8" w:rsidRPr="0045720B">
        <w:rPr>
          <w:lang w:val="en-CA"/>
        </w:rPr>
        <w:t xml:space="preserve">dissenting in result </w:t>
      </w:r>
      <w:r w:rsidRPr="0045720B">
        <w:rPr>
          <w:lang w:val="en-CA"/>
        </w:rPr>
        <w:t xml:space="preserve">of Abella, J.); </w:t>
      </w:r>
      <w:r w:rsidRPr="0045720B">
        <w:rPr>
          <w:i/>
          <w:iCs/>
          <w:lang w:val="en-CA"/>
        </w:rPr>
        <w:t>Withler v. Canada (Attorney General)</w:t>
      </w:r>
      <w:r w:rsidRPr="0045720B">
        <w:rPr>
          <w:lang w:val="en-CA"/>
        </w:rPr>
        <w:t>, 2011 SCC 12</w:t>
      </w:r>
      <w:r w:rsidR="005D436F">
        <w:rPr>
          <w:lang w:val="en-CA"/>
        </w:rPr>
        <w:t>, para.</w:t>
      </w:r>
      <w:r w:rsidRPr="0045720B">
        <w:rPr>
          <w:lang w:val="en-CA"/>
        </w:rPr>
        <w:t> </w:t>
      </w:r>
      <w:r w:rsidRPr="00077E55">
        <w:t>66.</w:t>
      </w:r>
    </w:p>
  </w:footnote>
  <w:footnote w:id="248">
    <w:p w14:paraId="08C9528B" w14:textId="034989BA" w:rsidR="000456F3" w:rsidRPr="0045720B" w:rsidRDefault="000456F3" w:rsidP="000456F3">
      <w:pPr>
        <w:pStyle w:val="Notedebasdepage"/>
        <w:rPr>
          <w:lang w:val="en-CA"/>
        </w:rPr>
      </w:pPr>
      <w:r w:rsidRPr="0045720B">
        <w:rPr>
          <w:rStyle w:val="Appelnotedebasdep"/>
          <w:lang w:val="en-CA"/>
        </w:rPr>
        <w:footnoteRef/>
      </w:r>
      <w:r w:rsidRPr="00077E55">
        <w:t xml:space="preserve"> </w:t>
      </w:r>
      <w:r w:rsidRPr="00077E55">
        <w:tab/>
      </w:r>
      <w:r w:rsidRPr="00077E55">
        <w:rPr>
          <w:i/>
          <w:iCs/>
        </w:rPr>
        <w:t>R.O. c. Ministre de l’Emploi et de la Solidarité sociale</w:t>
      </w:r>
      <w:r w:rsidRPr="00077E55">
        <w:t>, 2021 QCCA 1185</w:t>
      </w:r>
      <w:r w:rsidR="005D436F" w:rsidRPr="00077E55">
        <w:t>, para.</w:t>
      </w:r>
      <w:r w:rsidRPr="00077E55">
        <w:t> </w:t>
      </w:r>
      <w:r w:rsidRPr="0045720B">
        <w:rPr>
          <w:lang w:val="en-CA"/>
        </w:rPr>
        <w:t xml:space="preserve">43, leave to appeal to SCC refused, March </w:t>
      </w:r>
      <w:r w:rsidR="00DE670C">
        <w:rPr>
          <w:lang w:val="en-CA"/>
        </w:rPr>
        <w:t xml:space="preserve">31, </w:t>
      </w:r>
      <w:r w:rsidRPr="0045720B">
        <w:rPr>
          <w:lang w:val="en-CA"/>
        </w:rPr>
        <w:t>2022</w:t>
      </w:r>
      <w:r w:rsidR="008C0319">
        <w:rPr>
          <w:lang w:val="en-CA"/>
        </w:rPr>
        <w:t>,</w:t>
      </w:r>
      <w:r w:rsidR="008C0319" w:rsidRPr="00077E55">
        <w:rPr>
          <w:lang w:val="en-CA"/>
        </w:rPr>
        <w:t xml:space="preserve"> </w:t>
      </w:r>
      <w:r w:rsidR="008C0319" w:rsidRPr="008C0319">
        <w:rPr>
          <w:lang w:val="en-CA"/>
        </w:rPr>
        <w:t>No. 39880</w:t>
      </w:r>
      <w:r w:rsidRPr="0045720B">
        <w:rPr>
          <w:lang w:val="en-CA"/>
        </w:rPr>
        <w:t>.</w:t>
      </w:r>
    </w:p>
  </w:footnote>
  <w:footnote w:id="249">
    <w:p w14:paraId="5A8D6383" w14:textId="2C9ADABB" w:rsidR="000456F3" w:rsidRPr="0045720B" w:rsidRDefault="000456F3" w:rsidP="000456F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Fraser v. Canada (Attorney General)</w:t>
      </w:r>
      <w:r w:rsidRPr="0045720B">
        <w:rPr>
          <w:lang w:val="en-CA"/>
        </w:rPr>
        <w:t>, 2020 SCC 28</w:t>
      </w:r>
      <w:r w:rsidR="005D436F">
        <w:rPr>
          <w:lang w:val="en-CA"/>
        </w:rPr>
        <w:t>, para.</w:t>
      </w:r>
      <w:r w:rsidRPr="0045720B">
        <w:rPr>
          <w:lang w:val="en-CA"/>
        </w:rPr>
        <w:t> 78.</w:t>
      </w:r>
    </w:p>
  </w:footnote>
  <w:footnote w:id="250">
    <w:p w14:paraId="7C352299" w14:textId="0DDB796A" w:rsidR="000456F3" w:rsidRPr="0045720B" w:rsidRDefault="000456F3" w:rsidP="000456F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80.</w:t>
      </w:r>
    </w:p>
  </w:footnote>
  <w:footnote w:id="251">
    <w:p w14:paraId="6B1EE812" w14:textId="7D4F0771" w:rsidR="000456F3" w:rsidRPr="0045720B" w:rsidRDefault="000456F3" w:rsidP="000456F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53. See also: </w:t>
      </w:r>
      <w:r w:rsidRPr="0045720B">
        <w:rPr>
          <w:i/>
          <w:iCs/>
          <w:lang w:val="en-CA"/>
        </w:rPr>
        <w:t>Dickson v. Vuntut Gwitchin First Nation</w:t>
      </w:r>
      <w:r w:rsidRPr="0045720B">
        <w:rPr>
          <w:lang w:val="en-CA"/>
        </w:rPr>
        <w:t>, 2024 SCC 10</w:t>
      </w:r>
      <w:r w:rsidR="005D436F">
        <w:rPr>
          <w:lang w:val="en-CA"/>
        </w:rPr>
        <w:t>, para.</w:t>
      </w:r>
      <w:r w:rsidRPr="0045720B">
        <w:rPr>
          <w:lang w:val="en-CA"/>
        </w:rPr>
        <w:t> 202.</w:t>
      </w:r>
    </w:p>
  </w:footnote>
  <w:footnote w:id="252">
    <w:p w14:paraId="763B10B3" w14:textId="3EF984F7" w:rsidR="000456F3" w:rsidRPr="0045720B" w:rsidRDefault="000456F3" w:rsidP="000456F3">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55(b).</w:t>
      </w:r>
    </w:p>
  </w:footnote>
  <w:footnote w:id="253">
    <w:p w14:paraId="3C9D369C" w14:textId="384310A8" w:rsidR="003F57B4" w:rsidRPr="0045720B" w:rsidRDefault="003F57B4" w:rsidP="003F57B4">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55(c) [</w:t>
      </w:r>
      <w:r w:rsidR="00C852DC">
        <w:rPr>
          <w:lang w:val="en-CA"/>
        </w:rPr>
        <w:t>italics</w:t>
      </w:r>
      <w:r w:rsidR="00C852DC" w:rsidRPr="0045720B">
        <w:rPr>
          <w:lang w:val="en-CA"/>
        </w:rPr>
        <w:t xml:space="preserve"> </w:t>
      </w:r>
      <w:r w:rsidRPr="0045720B">
        <w:rPr>
          <w:lang w:val="en-CA"/>
        </w:rPr>
        <w:t xml:space="preserve">omitted]. </w:t>
      </w:r>
      <w:r w:rsidR="006567E0">
        <w:rPr>
          <w:i/>
          <w:iCs/>
          <w:lang w:val="en-CA"/>
        </w:rPr>
        <w:t>C</w:t>
      </w:r>
      <w:r w:rsidR="006567E0" w:rsidRPr="00B35C02">
        <w:rPr>
          <w:i/>
          <w:iCs/>
          <w:lang w:val="en-CA"/>
        </w:rPr>
        <w:t>f</w:t>
      </w:r>
      <w:r w:rsidR="006567E0">
        <w:rPr>
          <w:lang w:val="en-CA"/>
        </w:rPr>
        <w:t>.</w:t>
      </w:r>
      <w:r w:rsidRPr="0045720B">
        <w:rPr>
          <w:i/>
          <w:iCs/>
          <w:lang w:val="en-CA"/>
        </w:rPr>
        <w:t xml:space="preserve"> Law v. Canada (Minister of Employment and Immigration)</w:t>
      </w:r>
      <w:r w:rsidRPr="0045720B">
        <w:rPr>
          <w:lang w:val="en-CA"/>
        </w:rPr>
        <w:t>, [1999]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497</w:t>
      </w:r>
      <w:r w:rsidR="005D436F">
        <w:rPr>
          <w:lang w:val="en-CA"/>
        </w:rPr>
        <w:t>, para.</w:t>
      </w:r>
      <w:r w:rsidRPr="0045720B">
        <w:rPr>
          <w:lang w:val="en-CA"/>
        </w:rPr>
        <w:t xml:space="preserve"> 75.</w:t>
      </w:r>
    </w:p>
  </w:footnote>
  <w:footnote w:id="254">
    <w:p w14:paraId="33E28670" w14:textId="0D8F71A9" w:rsidR="003F57B4" w:rsidRPr="0045720B" w:rsidRDefault="003F57B4" w:rsidP="003F57B4">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Sharma</w:t>
      </w:r>
      <w:r w:rsidRPr="0045720B">
        <w:rPr>
          <w:lang w:val="en-CA"/>
        </w:rPr>
        <w:t>, 2022 SCC 39</w:t>
      </w:r>
      <w:r w:rsidR="005D436F">
        <w:rPr>
          <w:lang w:val="en-CA"/>
        </w:rPr>
        <w:t>, para.</w:t>
      </w:r>
      <w:r w:rsidRPr="0045720B">
        <w:rPr>
          <w:lang w:val="en-CA"/>
        </w:rPr>
        <w:t xml:space="preserve"> 56.</w:t>
      </w:r>
    </w:p>
  </w:footnote>
  <w:footnote w:id="255">
    <w:p w14:paraId="03067F60" w14:textId="7ADA06BD" w:rsidR="003F57B4" w:rsidRPr="0045720B" w:rsidRDefault="003F57B4" w:rsidP="003F57B4">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 59.</w:t>
      </w:r>
    </w:p>
  </w:footnote>
  <w:footnote w:id="256">
    <w:p w14:paraId="7F00422B" w14:textId="49EC825B" w:rsidR="00F6446F" w:rsidRPr="0045720B" w:rsidRDefault="00F6446F" w:rsidP="00F6446F">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815.</w:t>
      </w:r>
    </w:p>
  </w:footnote>
  <w:footnote w:id="257">
    <w:p w14:paraId="47D2C642" w14:textId="3A84B999" w:rsidR="00F6446F" w:rsidRPr="0045720B" w:rsidRDefault="00F6446F" w:rsidP="00F6446F">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 xml:space="preserve">1, Expert report of Massimiliano Mulone, January </w:t>
      </w:r>
      <w:r w:rsidR="00F36C99">
        <w:rPr>
          <w:lang w:val="en-CA"/>
        </w:rPr>
        <w:t xml:space="preserve">31, </w:t>
      </w:r>
      <w:r w:rsidRPr="0045720B">
        <w:rPr>
          <w:lang w:val="en-CA"/>
        </w:rPr>
        <w:t>2022</w:t>
      </w:r>
      <w:r w:rsidR="001E1B82">
        <w:rPr>
          <w:lang w:val="en-CA"/>
        </w:rPr>
        <w:t>,</w:t>
      </w:r>
      <w:r w:rsidR="00706F32">
        <w:rPr>
          <w:lang w:val="en-CA"/>
        </w:rPr>
        <w:t xml:space="preserve"> p. 1</w:t>
      </w:r>
      <w:r w:rsidRPr="0045720B">
        <w:rPr>
          <w:lang w:val="en-CA"/>
        </w:rPr>
        <w:t>6.</w:t>
      </w:r>
    </w:p>
  </w:footnote>
  <w:footnote w:id="258">
    <w:p w14:paraId="3AFA769B" w14:textId="3F1B41D6" w:rsidR="00F6446F" w:rsidRPr="0045720B" w:rsidRDefault="00F6446F" w:rsidP="00F6446F">
      <w:pPr>
        <w:pStyle w:val="Notedebasdepage"/>
        <w:rPr>
          <w:lang w:val="en-CA"/>
        </w:rPr>
      </w:pPr>
      <w:r w:rsidRPr="0045720B">
        <w:rPr>
          <w:rStyle w:val="Appelnotedebasdep"/>
          <w:lang w:val="en-CA"/>
        </w:rPr>
        <w:footnoteRef/>
      </w:r>
      <w:r w:rsidRPr="0045720B">
        <w:rPr>
          <w:lang w:val="en-CA"/>
        </w:rPr>
        <w:t xml:space="preserve"> </w:t>
      </w:r>
      <w:r w:rsidRPr="0045720B">
        <w:rPr>
          <w:i/>
          <w:iCs/>
          <w:lang w:val="en-CA"/>
        </w:rPr>
        <w:tab/>
        <w:t>Id.</w:t>
      </w:r>
      <w:r w:rsidR="00083108">
        <w:rPr>
          <w:lang w:val="en-CA"/>
        </w:rPr>
        <w:t>, p. 5</w:t>
      </w:r>
      <w:r w:rsidRPr="0045720B">
        <w:rPr>
          <w:lang w:val="en-CA"/>
        </w:rPr>
        <w:t>. See also: Exhibit P</w:t>
      </w:r>
      <w:r w:rsidRPr="0045720B">
        <w:rPr>
          <w:lang w:val="en-CA"/>
        </w:rPr>
        <w:noBreakHyphen/>
        <w:t>4, Expert report of Marie</w:t>
      </w:r>
      <w:r w:rsidRPr="0045720B">
        <w:rPr>
          <w:lang w:val="en-CA"/>
        </w:rPr>
        <w:noBreakHyphen/>
        <w:t>Ève Sylvestre, February </w:t>
      </w:r>
      <w:r w:rsidR="00F36C99">
        <w:rPr>
          <w:lang w:val="en-CA"/>
        </w:rPr>
        <w:t xml:space="preserve">7, </w:t>
      </w:r>
      <w:r w:rsidRPr="0045720B">
        <w:rPr>
          <w:lang w:val="en-CA"/>
        </w:rPr>
        <w:t>2022</w:t>
      </w:r>
      <w:r w:rsidR="001E1B82">
        <w:rPr>
          <w:lang w:val="en-CA"/>
        </w:rPr>
        <w:t>,</w:t>
      </w:r>
      <w:r w:rsidR="00083108">
        <w:rPr>
          <w:lang w:val="en-CA"/>
        </w:rPr>
        <w:t xml:space="preserve"> p. 9</w:t>
      </w:r>
      <w:r w:rsidRPr="0045720B">
        <w:rPr>
          <w:lang w:val="en-CA"/>
        </w:rPr>
        <w:t>.</w:t>
      </w:r>
    </w:p>
  </w:footnote>
  <w:footnote w:id="259">
    <w:p w14:paraId="4C9D4A29" w14:textId="649BD853" w:rsidR="00F6446F" w:rsidRPr="00ED01FC" w:rsidRDefault="00F6446F" w:rsidP="00F6446F">
      <w:pPr>
        <w:pStyle w:val="Notedebasdepage"/>
        <w:rPr>
          <w:lang w:val="en-CA"/>
        </w:rPr>
      </w:pPr>
      <w:r w:rsidRPr="00ED01FC">
        <w:rPr>
          <w:rStyle w:val="Appelnotedebasdep"/>
          <w:lang w:val="en-CA"/>
        </w:rPr>
        <w:footnoteRef/>
      </w:r>
      <w:r w:rsidRPr="00ED01FC">
        <w:rPr>
          <w:lang w:val="en-CA"/>
        </w:rPr>
        <w:t xml:space="preserve"> </w:t>
      </w:r>
      <w:r w:rsidRPr="00ED01FC">
        <w:rPr>
          <w:lang w:val="en-CA"/>
        </w:rPr>
        <w:tab/>
        <w:t>See: Exhibit P</w:t>
      </w:r>
      <w:r w:rsidRPr="00ED01FC">
        <w:rPr>
          <w:lang w:val="en-CA"/>
        </w:rPr>
        <w:noBreakHyphen/>
        <w:t xml:space="preserve">1, Expert report of Massimiliano Mulone, January </w:t>
      </w:r>
      <w:r w:rsidR="00885E03" w:rsidRPr="00ED01FC">
        <w:rPr>
          <w:lang w:val="en-CA"/>
        </w:rPr>
        <w:t xml:space="preserve">31, </w:t>
      </w:r>
      <w:r w:rsidRPr="00ED01FC">
        <w:rPr>
          <w:lang w:val="en-CA"/>
        </w:rPr>
        <w:t xml:space="preserve">2022, </w:t>
      </w:r>
      <w:r w:rsidR="003A75BF" w:rsidRPr="00ED01FC">
        <w:rPr>
          <w:lang w:val="en-CA"/>
        </w:rPr>
        <w:t xml:space="preserve">appendix </w:t>
      </w:r>
      <w:r w:rsidRPr="00ED01FC">
        <w:rPr>
          <w:lang w:val="en-CA"/>
        </w:rPr>
        <w:t>MM</w:t>
      </w:r>
      <w:r w:rsidRPr="00ED01FC">
        <w:rPr>
          <w:lang w:val="en-CA"/>
        </w:rPr>
        <w:noBreakHyphen/>
        <w:t xml:space="preserve">16, Ontario Human Rights Commission, </w:t>
      </w:r>
      <w:r w:rsidRPr="00ED01FC">
        <w:rPr>
          <w:i/>
          <w:iCs/>
          <w:lang w:val="en-CA"/>
        </w:rPr>
        <w:t xml:space="preserve">Under suspicion: Research and consultation report on racial profiling in Toronto, </w:t>
      </w:r>
      <w:r w:rsidRPr="00ED01FC">
        <w:rPr>
          <w:lang w:val="en-CA"/>
        </w:rPr>
        <w:t>April 2017, MM</w:t>
      </w:r>
      <w:r w:rsidRPr="00ED01FC">
        <w:rPr>
          <w:lang w:val="en-CA"/>
        </w:rPr>
        <w:noBreakHyphen/>
        <w:t xml:space="preserve">19, Lorne Foster, Lesley Jacobs &amp; Bobby Siu, </w:t>
      </w:r>
      <w:r w:rsidRPr="00ED01FC">
        <w:rPr>
          <w:i/>
          <w:iCs/>
          <w:lang w:val="en-CA"/>
        </w:rPr>
        <w:t>Race Data and Traffic Stops in Ottawa, 2013-2015: A Report on Ottawa and the Police Districts</w:t>
      </w:r>
      <w:r w:rsidRPr="00ED01FC">
        <w:rPr>
          <w:lang w:val="en-CA"/>
        </w:rPr>
        <w:t>, October 2016, MM</w:t>
      </w:r>
      <w:r w:rsidRPr="00ED01FC">
        <w:rPr>
          <w:lang w:val="en-CA"/>
        </w:rPr>
        <w:noBreakHyphen/>
        <w:t xml:space="preserve">25, Curt Taylor Griffiths, Ruth Montgomery &amp; Joshua J. Murphy, </w:t>
      </w:r>
      <w:r w:rsidRPr="00ED01FC">
        <w:rPr>
          <w:i/>
          <w:iCs/>
          <w:lang w:val="en-CA"/>
        </w:rPr>
        <w:t>City of Edmonton Street Checks Policy and Practice Review</w:t>
      </w:r>
      <w:r w:rsidRPr="00ED01FC">
        <w:rPr>
          <w:lang w:val="en-CA"/>
        </w:rPr>
        <w:t>, June 2018, MM</w:t>
      </w:r>
      <w:r w:rsidRPr="00ED01FC">
        <w:rPr>
          <w:lang w:val="en-CA"/>
        </w:rPr>
        <w:noBreakHyphen/>
        <w:t xml:space="preserve">39, Vancouver Police Department (Drazen Manojlovic), </w:t>
      </w:r>
      <w:r w:rsidRPr="00ED01FC">
        <w:rPr>
          <w:i/>
          <w:iCs/>
          <w:lang w:val="en-CA"/>
        </w:rPr>
        <w:t>Understanding Street Checks: An examination of a proactive policing strategy</w:t>
      </w:r>
      <w:r w:rsidRPr="00ED01FC">
        <w:rPr>
          <w:lang w:val="en-CA"/>
        </w:rPr>
        <w:t>, September 2018, MM</w:t>
      </w:r>
      <w:r w:rsidRPr="00ED01FC">
        <w:rPr>
          <w:lang w:val="en-CA"/>
        </w:rPr>
        <w:noBreakHyphen/>
        <w:t xml:space="preserve">56, Scot Wortley, </w:t>
      </w:r>
      <w:r w:rsidRPr="00ED01FC">
        <w:rPr>
          <w:i/>
          <w:iCs/>
          <w:lang w:val="en-CA"/>
        </w:rPr>
        <w:t>Racial Disparity in Arrests and Charges: An analysis of arrest and charge data from the Toronto Police Service</w:t>
      </w:r>
      <w:r w:rsidRPr="00ED01FC">
        <w:rPr>
          <w:lang w:val="en-CA"/>
        </w:rPr>
        <w:t xml:space="preserve">, July 2020 </w:t>
      </w:r>
      <w:r w:rsidR="00096074" w:rsidRPr="00ED01FC">
        <w:rPr>
          <w:lang w:val="en-CA"/>
        </w:rPr>
        <w:t>and</w:t>
      </w:r>
      <w:r w:rsidRPr="00ED01FC">
        <w:rPr>
          <w:lang w:val="en-CA"/>
        </w:rPr>
        <w:t xml:space="preserve"> MM-57, Scot Wortley, </w:t>
      </w:r>
      <w:r w:rsidRPr="00ED01FC">
        <w:rPr>
          <w:i/>
          <w:iCs/>
          <w:lang w:val="en-CA"/>
        </w:rPr>
        <w:t>Use of force by the Toronto Police Service</w:t>
      </w:r>
      <w:r w:rsidRPr="00ED01FC">
        <w:rPr>
          <w:lang w:val="en-CA"/>
        </w:rPr>
        <w:t xml:space="preserve">, July 2020; </w:t>
      </w:r>
      <w:bookmarkStart w:id="113" w:name="_Hlk177721869"/>
      <w:r w:rsidRPr="00ED01FC">
        <w:rPr>
          <w:lang w:val="en-CA"/>
        </w:rPr>
        <w:t xml:space="preserve">Victor Armony, Mariam Hassaoui </w:t>
      </w:r>
      <w:r w:rsidR="006A35FD" w:rsidRPr="00ED01FC">
        <w:rPr>
          <w:lang w:val="en-CA"/>
        </w:rPr>
        <w:t>&amp;</w:t>
      </w:r>
      <w:r w:rsidRPr="00ED01FC">
        <w:rPr>
          <w:lang w:val="en-CA"/>
        </w:rPr>
        <w:t xml:space="preserve"> Massimiliano Mulone, </w:t>
      </w:r>
      <w:r w:rsidRPr="00ED01FC">
        <w:rPr>
          <w:i/>
          <w:iCs/>
          <w:lang w:val="en-CA"/>
        </w:rPr>
        <w:t>Portrait de recherche sur les interpellations dans le dossier profilage : Rapport présenté au Service de police de la Ville de Repentigny (SPVR)</w:t>
      </w:r>
      <w:r w:rsidRPr="00ED01FC">
        <w:rPr>
          <w:lang w:val="en-CA"/>
        </w:rPr>
        <w:t>, June 2021 (</w:t>
      </w:r>
      <w:r w:rsidR="006A35FD" w:rsidRPr="00ED01FC">
        <w:rPr>
          <w:lang w:val="en-CA"/>
        </w:rPr>
        <w:t>online</w:t>
      </w:r>
      <w:r w:rsidRPr="00ED01FC">
        <w:rPr>
          <w:lang w:val="en-CA"/>
        </w:rPr>
        <w:t>); Exhibit P</w:t>
      </w:r>
      <w:r w:rsidRPr="00ED01FC">
        <w:rPr>
          <w:lang w:val="en-CA"/>
        </w:rPr>
        <w:noBreakHyphen/>
        <w:t xml:space="preserve">23, Ottawa Police Services Board and Ottawa Police Service (Dr. Lorne Foster and Dr. Les Jacobs), </w:t>
      </w:r>
      <w:r w:rsidRPr="00ED01FC">
        <w:rPr>
          <w:i/>
          <w:iCs/>
          <w:lang w:val="en-CA"/>
        </w:rPr>
        <w:t>Traffic Stop Race Data Collection Project II – Progressing Towards Bias-Free Policing: Five Years of Race Data on Traffic Stops in Ottawa</w:t>
      </w:r>
      <w:r w:rsidRPr="00ED01FC">
        <w:rPr>
          <w:lang w:val="en-CA"/>
        </w:rPr>
        <w:t>, November 2019; Exhibit P</w:t>
      </w:r>
      <w:r w:rsidRPr="00ED01FC">
        <w:rPr>
          <w:lang w:val="en-CA"/>
        </w:rPr>
        <w:noBreakHyphen/>
        <w:t xml:space="preserve">24, Service de Police de la Ville de Montréal (Victor Armony, Mariam Hassaoui &amp; Massimiliano Mulone), </w:t>
      </w:r>
      <w:r w:rsidRPr="00ED01FC">
        <w:rPr>
          <w:i/>
          <w:iCs/>
          <w:lang w:val="en-CA"/>
        </w:rPr>
        <w:t>Les interpellations policières à la lumière des identités racisées des personnes interpellées : Analyse des données du Service de Police de la Ville de Montréal (SPVM) et élaboration d’indicateurs de suivi en matière de profilage racial</w:t>
      </w:r>
      <w:r w:rsidRPr="00ED01FC">
        <w:rPr>
          <w:lang w:val="en-CA"/>
        </w:rPr>
        <w:t>, August 2019; Exhibit P</w:t>
      </w:r>
      <w:r w:rsidRPr="00ED01FC">
        <w:rPr>
          <w:lang w:val="en-CA"/>
        </w:rPr>
        <w:noBreakHyphen/>
        <w:t xml:space="preserve">27, Nova Scotia Human Rights Commission (Dr. Scot Wortley), </w:t>
      </w:r>
      <w:r w:rsidRPr="00ED01FC">
        <w:rPr>
          <w:i/>
          <w:iCs/>
          <w:lang w:val="en-CA"/>
        </w:rPr>
        <w:t>Halifax, Nova Scotia: Street Check Report (and appendices)</w:t>
      </w:r>
      <w:r w:rsidRPr="00ED01FC">
        <w:rPr>
          <w:lang w:val="en-CA"/>
        </w:rPr>
        <w:t xml:space="preserve">, March 2019; Exhibit P-29, Ontario Human Rights Commission, </w:t>
      </w:r>
      <w:r w:rsidRPr="00ED01FC">
        <w:rPr>
          <w:i/>
          <w:iCs/>
          <w:lang w:val="en-CA"/>
        </w:rPr>
        <w:t>A Collective Impact: Interim report on the inquiry into racial profiling and racial discrimination of Black persons by the Toronto Police Service</w:t>
      </w:r>
      <w:r w:rsidRPr="00ED01FC">
        <w:rPr>
          <w:lang w:val="en-CA"/>
        </w:rPr>
        <w:t xml:space="preserve">, November 2018; Exhibit P-31, Ontario Human Rights Commission, </w:t>
      </w:r>
      <w:r w:rsidRPr="00ED01FC">
        <w:rPr>
          <w:i/>
          <w:iCs/>
          <w:lang w:val="en-CA"/>
        </w:rPr>
        <w:t>Under suspicion – Research and consultation report on racial profiling in Ontario</w:t>
      </w:r>
      <w:r w:rsidRPr="00ED01FC">
        <w:rPr>
          <w:lang w:val="en-CA"/>
        </w:rPr>
        <w:t xml:space="preserve">, April 2017. </w:t>
      </w:r>
      <w:bookmarkEnd w:id="113"/>
    </w:p>
  </w:footnote>
  <w:footnote w:id="260">
    <w:p w14:paraId="72E303D1" w14:textId="29BFA42F" w:rsidR="00F6446F" w:rsidRPr="0045720B" w:rsidRDefault="00F6446F" w:rsidP="00F6446F">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1, Expert report of Massimiliano Mulone, January </w:t>
      </w:r>
      <w:r w:rsidR="0062140E">
        <w:rPr>
          <w:lang w:val="en-CA"/>
        </w:rPr>
        <w:t xml:space="preserve">31, </w:t>
      </w:r>
      <w:r w:rsidRPr="0045720B">
        <w:rPr>
          <w:lang w:val="en-CA"/>
        </w:rPr>
        <w:t>2022</w:t>
      </w:r>
      <w:r w:rsidR="001E1B82">
        <w:rPr>
          <w:lang w:val="en-CA"/>
        </w:rPr>
        <w:t>,</w:t>
      </w:r>
      <w:r w:rsidR="00083108">
        <w:rPr>
          <w:lang w:val="en-CA"/>
        </w:rPr>
        <w:t xml:space="preserve"> p. 7</w:t>
      </w:r>
      <w:r w:rsidRPr="0045720B">
        <w:rPr>
          <w:lang w:val="en-CA"/>
        </w:rPr>
        <w:t>; Exhibit P</w:t>
      </w:r>
      <w:r w:rsidRPr="0045720B">
        <w:rPr>
          <w:lang w:val="en-CA"/>
        </w:rPr>
        <w:noBreakHyphen/>
        <w:t xml:space="preserve">23, Ottawa Police Services Board and Ottawa Police Service (Dr. Lorne Foster and Dr. Les Jacobs), </w:t>
      </w:r>
      <w:r w:rsidRPr="0045720B">
        <w:rPr>
          <w:i/>
          <w:iCs/>
          <w:lang w:val="en-CA"/>
        </w:rPr>
        <w:t>Traffic Stop Race Data Collection Project II – Progressing Towards Bias-Free Policing: Five Years of Race Data on Traffic Stops in Ottawa</w:t>
      </w:r>
      <w:r w:rsidRPr="0045720B">
        <w:rPr>
          <w:lang w:val="en-CA"/>
        </w:rPr>
        <w:t>, November 2019</w:t>
      </w:r>
      <w:r w:rsidR="001E1B82">
        <w:rPr>
          <w:lang w:val="en-CA"/>
        </w:rPr>
        <w:t>,</w:t>
      </w:r>
      <w:r w:rsidR="00083108">
        <w:rPr>
          <w:lang w:val="en-CA"/>
        </w:rPr>
        <w:t xml:space="preserve"> p. 4</w:t>
      </w:r>
      <w:r w:rsidRPr="0045720B">
        <w:rPr>
          <w:lang w:val="en-CA"/>
        </w:rPr>
        <w:t>0.</w:t>
      </w:r>
    </w:p>
  </w:footnote>
  <w:footnote w:id="261">
    <w:p w14:paraId="66E98DF5" w14:textId="182CDBD4" w:rsidR="00F6446F" w:rsidRPr="0045720B" w:rsidRDefault="00F6446F" w:rsidP="00F6446F">
      <w:pPr>
        <w:pStyle w:val="Notedebasdepage"/>
        <w:rPr>
          <w:lang w:val="en-CA"/>
        </w:rPr>
      </w:pPr>
      <w:r w:rsidRPr="0045720B">
        <w:rPr>
          <w:rStyle w:val="Appelnotedebasdep"/>
          <w:lang w:val="en-CA"/>
        </w:rPr>
        <w:footnoteRef/>
      </w:r>
      <w:r w:rsidRPr="0045720B">
        <w:rPr>
          <w:lang w:val="en-CA"/>
        </w:rPr>
        <w:t xml:space="preserve"> </w:t>
      </w:r>
      <w:r w:rsidRPr="0045720B">
        <w:rPr>
          <w:i/>
          <w:iCs/>
          <w:lang w:val="en-CA"/>
        </w:rPr>
        <w:tab/>
      </w:r>
      <w:r w:rsidRPr="0045720B">
        <w:rPr>
          <w:lang w:val="en-CA"/>
        </w:rPr>
        <w:t>Exhibit P</w:t>
      </w:r>
      <w:r w:rsidRPr="0045720B">
        <w:rPr>
          <w:lang w:val="en-CA"/>
        </w:rPr>
        <w:noBreakHyphen/>
        <w:t xml:space="preserve">23, Ottawa Police Services Board and Ottawa Police Service (Dr. Lorne Foster and Dr. Les Jacobs), </w:t>
      </w:r>
      <w:r w:rsidRPr="0045720B">
        <w:rPr>
          <w:i/>
          <w:iCs/>
          <w:lang w:val="en-CA"/>
        </w:rPr>
        <w:t>Traffic Stop Race Data Collection Project II – Progressing Towards Bias-Free Policing: Five Years of Race Data on Traffic Stops in Ottawa</w:t>
      </w:r>
      <w:r w:rsidRPr="0045720B">
        <w:rPr>
          <w:lang w:val="en-CA"/>
        </w:rPr>
        <w:t>, November 2019</w:t>
      </w:r>
      <w:r w:rsidR="001E1B82">
        <w:rPr>
          <w:lang w:val="en-CA"/>
        </w:rPr>
        <w:t>,</w:t>
      </w:r>
      <w:r w:rsidR="00083108">
        <w:rPr>
          <w:lang w:val="en-CA"/>
        </w:rPr>
        <w:t xml:space="preserve"> p. 4</w:t>
      </w:r>
      <w:r w:rsidRPr="0045720B">
        <w:rPr>
          <w:lang w:val="en-CA"/>
        </w:rPr>
        <w:t>1.</w:t>
      </w:r>
    </w:p>
  </w:footnote>
  <w:footnote w:id="262">
    <w:p w14:paraId="04645641" w14:textId="3E61C597" w:rsidR="00616C0E" w:rsidRPr="0045720B" w:rsidRDefault="00616C0E" w:rsidP="00616C0E">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1, Expert report of Massimiliano Mulone, January </w:t>
      </w:r>
      <w:r w:rsidR="00A3669F">
        <w:rPr>
          <w:lang w:val="en-CA"/>
        </w:rPr>
        <w:t xml:space="preserve">31, </w:t>
      </w:r>
      <w:r w:rsidRPr="0045720B">
        <w:rPr>
          <w:lang w:val="en-CA"/>
        </w:rPr>
        <w:t>2022</w:t>
      </w:r>
      <w:r w:rsidR="001E1B82">
        <w:rPr>
          <w:lang w:val="en-CA"/>
        </w:rPr>
        <w:t>,</w:t>
      </w:r>
      <w:r w:rsidR="00083108">
        <w:rPr>
          <w:lang w:val="en-CA"/>
        </w:rPr>
        <w:t xml:space="preserve"> pp. 1</w:t>
      </w:r>
      <w:r w:rsidRPr="0045720B">
        <w:rPr>
          <w:lang w:val="en-CA"/>
        </w:rPr>
        <w:t>2–13.</w:t>
      </w:r>
    </w:p>
  </w:footnote>
  <w:footnote w:id="263">
    <w:p w14:paraId="4F6B43EB" w14:textId="48EFDF2B"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293A4C" w:rsidRPr="0045720B">
        <w:rPr>
          <w:i/>
          <w:iCs/>
          <w:lang w:val="en-CA"/>
        </w:rPr>
        <w:t>Id.</w:t>
      </w:r>
      <w:r w:rsidR="00083108">
        <w:rPr>
          <w:lang w:val="en-CA"/>
        </w:rPr>
        <w:t>, pp. 1</w:t>
      </w:r>
      <w:r w:rsidR="00BD1C18" w:rsidRPr="0045720B">
        <w:rPr>
          <w:lang w:val="en-CA"/>
        </w:rPr>
        <w:t>3</w:t>
      </w:r>
      <w:r w:rsidR="00293A4C" w:rsidRPr="0045720B">
        <w:rPr>
          <w:lang w:val="en-CA"/>
        </w:rPr>
        <w:t>–</w:t>
      </w:r>
      <w:r w:rsidR="00BD1C18" w:rsidRPr="0045720B">
        <w:rPr>
          <w:lang w:val="en-CA"/>
        </w:rPr>
        <w:t>14.</w:t>
      </w:r>
    </w:p>
  </w:footnote>
  <w:footnote w:id="264">
    <w:p w14:paraId="323FD6C7" w14:textId="0E20344E" w:rsidR="00616C0E" w:rsidRPr="0045720B" w:rsidRDefault="00616C0E" w:rsidP="00616C0E">
      <w:pPr>
        <w:pStyle w:val="Notedebasdepage"/>
        <w:rPr>
          <w:lang w:val="en-CA"/>
        </w:rPr>
      </w:pPr>
      <w:r w:rsidRPr="0045720B">
        <w:rPr>
          <w:rStyle w:val="Appelnotedebasdep"/>
          <w:lang w:val="en-CA"/>
        </w:rPr>
        <w:footnoteRef/>
      </w:r>
      <w:r w:rsidRPr="0045720B">
        <w:rPr>
          <w:lang w:val="en-CA"/>
        </w:rPr>
        <w:t xml:space="preserve"> </w:t>
      </w:r>
      <w:r w:rsidRPr="0045720B">
        <w:rPr>
          <w:lang w:val="en-CA"/>
        </w:rPr>
        <w:tab/>
        <w:t>Testimony of Massimiliano Mulone, June </w:t>
      </w:r>
      <w:r w:rsidR="00BF0523">
        <w:rPr>
          <w:lang w:val="en-CA"/>
        </w:rPr>
        <w:t xml:space="preserve">20, </w:t>
      </w:r>
      <w:r w:rsidRPr="0045720B">
        <w:rPr>
          <w:lang w:val="en-CA"/>
        </w:rPr>
        <w:t>2022.</w:t>
      </w:r>
    </w:p>
  </w:footnote>
  <w:footnote w:id="265">
    <w:p w14:paraId="24F985B9" w14:textId="495E45C7" w:rsidR="001A3EF8" w:rsidRPr="0045720B" w:rsidRDefault="0043013D" w:rsidP="004122F9">
      <w:pPr>
        <w:pStyle w:val="Notedebasdepage"/>
        <w:rPr>
          <w:lang w:val="en-CA"/>
        </w:rPr>
      </w:pPr>
      <w:r w:rsidRPr="0045720B">
        <w:rPr>
          <w:rStyle w:val="Appelnotedebasdep"/>
          <w:lang w:val="en-CA"/>
        </w:rPr>
        <w:footnoteRef/>
      </w:r>
      <w:r w:rsidR="004122F9" w:rsidRPr="0045720B">
        <w:rPr>
          <w:lang w:val="en-CA"/>
        </w:rPr>
        <w:t xml:space="preserve"> </w:t>
      </w:r>
      <w:r w:rsidR="004122F9" w:rsidRPr="0045720B">
        <w:rPr>
          <w:lang w:val="en-CA"/>
        </w:rPr>
        <w:tab/>
      </w:r>
      <w:r w:rsidR="00A83261" w:rsidRPr="0045720B">
        <w:rPr>
          <w:lang w:val="en-CA"/>
        </w:rPr>
        <w:t>Exhibit</w:t>
      </w:r>
      <w:r w:rsidR="004122F9" w:rsidRPr="0045720B">
        <w:rPr>
          <w:lang w:val="en-CA"/>
        </w:rPr>
        <w:t xml:space="preserve"> P</w:t>
      </w:r>
      <w:r w:rsidR="004122F9" w:rsidRPr="0045720B">
        <w:rPr>
          <w:lang w:val="en-CA"/>
        </w:rPr>
        <w:noBreakHyphen/>
        <w:t xml:space="preserve">1, </w:t>
      </w:r>
      <w:r w:rsidR="00293A4C" w:rsidRPr="0045720B">
        <w:rPr>
          <w:lang w:val="en-CA"/>
        </w:rPr>
        <w:t>Expert report of</w:t>
      </w:r>
      <w:r w:rsidR="004122F9" w:rsidRPr="0045720B">
        <w:rPr>
          <w:lang w:val="en-CA"/>
        </w:rPr>
        <w:t xml:space="preserve"> Massimiliano Mulone, </w:t>
      </w:r>
      <w:r w:rsidR="00293A4C" w:rsidRPr="0045720B">
        <w:rPr>
          <w:lang w:val="en-CA"/>
        </w:rPr>
        <w:t>January</w:t>
      </w:r>
      <w:r w:rsidR="004122F9" w:rsidRPr="0045720B">
        <w:rPr>
          <w:lang w:val="en-CA"/>
        </w:rPr>
        <w:t xml:space="preserve"> </w:t>
      </w:r>
      <w:r w:rsidR="006E4957">
        <w:rPr>
          <w:lang w:val="en-CA"/>
        </w:rPr>
        <w:t xml:space="preserve">31, </w:t>
      </w:r>
      <w:r w:rsidR="004122F9" w:rsidRPr="0045720B">
        <w:rPr>
          <w:lang w:val="en-CA"/>
        </w:rPr>
        <w:t>2022</w:t>
      </w:r>
      <w:r w:rsidR="001E1B82">
        <w:rPr>
          <w:lang w:val="en-CA"/>
        </w:rPr>
        <w:t>,</w:t>
      </w:r>
      <w:r w:rsidR="00083108">
        <w:rPr>
          <w:lang w:val="en-CA"/>
        </w:rPr>
        <w:t xml:space="preserve"> pp. 1</w:t>
      </w:r>
      <w:r w:rsidR="004122F9" w:rsidRPr="0045720B">
        <w:rPr>
          <w:lang w:val="en-CA"/>
        </w:rPr>
        <w:t>5</w:t>
      </w:r>
      <w:r w:rsidR="00293A4C" w:rsidRPr="0045720B">
        <w:rPr>
          <w:lang w:val="en-CA"/>
        </w:rPr>
        <w:t>–</w:t>
      </w:r>
      <w:r w:rsidR="004122F9" w:rsidRPr="0045720B">
        <w:rPr>
          <w:lang w:val="en-CA"/>
        </w:rPr>
        <w:t>16.</w:t>
      </w:r>
    </w:p>
  </w:footnote>
  <w:footnote w:id="266">
    <w:p w14:paraId="55F346C2" w14:textId="05C22B44" w:rsidR="00315EA4" w:rsidRPr="00077E55" w:rsidRDefault="00315EA4" w:rsidP="00315EA4">
      <w:pPr>
        <w:pStyle w:val="Notedebasdepage"/>
      </w:pPr>
      <w:r w:rsidRPr="0045720B">
        <w:rPr>
          <w:rStyle w:val="Appelnotedebasdep"/>
          <w:lang w:val="en-CA"/>
        </w:rPr>
        <w:footnoteRef/>
      </w:r>
      <w:r w:rsidRPr="00077E55">
        <w:t xml:space="preserve"> </w:t>
      </w:r>
      <w:r w:rsidRPr="00077E55">
        <w:tab/>
      </w:r>
      <w:r w:rsidRPr="00077E55">
        <w:rPr>
          <w:i/>
          <w:iCs/>
        </w:rPr>
        <w:t>Id.</w:t>
      </w:r>
      <w:r w:rsidR="00706F32" w:rsidRPr="00077E55">
        <w:t>, p. 1</w:t>
      </w:r>
      <w:r w:rsidRPr="00077E55">
        <w:t>8.</w:t>
      </w:r>
    </w:p>
  </w:footnote>
  <w:footnote w:id="267">
    <w:p w14:paraId="612CB0F3" w14:textId="77777777" w:rsidR="00315EA4" w:rsidRPr="00077E55" w:rsidRDefault="00315EA4" w:rsidP="00315EA4">
      <w:pPr>
        <w:pStyle w:val="Notedebasdepage"/>
      </w:pPr>
      <w:r w:rsidRPr="0045720B">
        <w:rPr>
          <w:rStyle w:val="Appelnotedebasdep"/>
          <w:lang w:val="en-CA"/>
        </w:rPr>
        <w:footnoteRef/>
      </w:r>
      <w:r w:rsidRPr="00077E55">
        <w:t xml:space="preserve"> </w:t>
      </w:r>
      <w:r w:rsidRPr="00077E55">
        <w:tab/>
      </w:r>
      <w:r w:rsidRPr="00077E55">
        <w:rPr>
          <w:i/>
          <w:iCs/>
        </w:rPr>
        <w:t>Ibid.</w:t>
      </w:r>
    </w:p>
  </w:footnote>
  <w:footnote w:id="268">
    <w:p w14:paraId="2A4BF41E" w14:textId="16B0B8D4" w:rsidR="00315EA4" w:rsidRPr="0045720B" w:rsidRDefault="00315EA4" w:rsidP="00315EA4">
      <w:pPr>
        <w:pStyle w:val="Notedebasdepage"/>
        <w:rPr>
          <w:lang w:val="en-CA"/>
        </w:rPr>
      </w:pPr>
      <w:r w:rsidRPr="0045720B">
        <w:rPr>
          <w:rStyle w:val="Appelnotedebasdep"/>
          <w:lang w:val="en-CA"/>
        </w:rPr>
        <w:footnoteRef/>
      </w:r>
      <w:r w:rsidRPr="00077E55">
        <w:t xml:space="preserve"> </w:t>
      </w:r>
      <w:r w:rsidRPr="00077E55">
        <w:tab/>
        <w:t xml:space="preserve">Testimony of Massimiliano Mulone, June </w:t>
      </w:r>
      <w:r w:rsidR="00485604" w:rsidRPr="00077E55">
        <w:t xml:space="preserve">20, </w:t>
      </w:r>
      <w:r w:rsidRPr="00077E55">
        <w:t>2022; Exhibit P</w:t>
      </w:r>
      <w:r w:rsidRPr="00077E55">
        <w:noBreakHyphen/>
        <w:t xml:space="preserve">24, Service de Police de la Ville de Montréal (Victor Armony, Mariam Hassaoui &amp; Massimiliano Mulone), </w:t>
      </w:r>
      <w:r w:rsidRPr="00077E55">
        <w:rPr>
          <w:i/>
          <w:iCs/>
        </w:rPr>
        <w:t>Les interpellations policières à la lumière des identités racisées des personnes interpellées : Analyse des données du Service de Police de la Ville de Montréal (SPVM) et élaboration d’indicateurs de suivi en matière de profilage racial</w:t>
      </w:r>
      <w:r w:rsidRPr="00077E55">
        <w:t>, August 2019</w:t>
      </w:r>
      <w:r w:rsidR="001E1B82" w:rsidRPr="00077E55">
        <w:t>,</w:t>
      </w:r>
      <w:r w:rsidR="00706F32" w:rsidRPr="00077E55">
        <w:t xml:space="preserve"> p. 2</w:t>
      </w:r>
      <w:r w:rsidRPr="00077E55">
        <w:t xml:space="preserve">0. </w:t>
      </w:r>
      <w:r w:rsidRPr="0045720B">
        <w:rPr>
          <w:lang w:val="en-CA"/>
        </w:rPr>
        <w:t>See also: Exhibit P</w:t>
      </w:r>
      <w:r w:rsidRPr="0045720B">
        <w:rPr>
          <w:lang w:val="en-CA"/>
        </w:rPr>
        <w:noBreakHyphen/>
        <w:t xml:space="preserve">4, Expert report of Marie-Ève Sylvestre, February </w:t>
      </w:r>
      <w:r w:rsidR="00F414B7">
        <w:rPr>
          <w:lang w:val="en-CA"/>
        </w:rPr>
        <w:t xml:space="preserve">7, </w:t>
      </w:r>
      <w:r w:rsidRPr="0045720B">
        <w:rPr>
          <w:lang w:val="en-CA"/>
        </w:rPr>
        <w:t>2022</w:t>
      </w:r>
      <w:r w:rsidR="001E1B82">
        <w:rPr>
          <w:lang w:val="en-CA"/>
        </w:rPr>
        <w:t>,</w:t>
      </w:r>
      <w:r w:rsidR="00706F32">
        <w:rPr>
          <w:lang w:val="en-CA"/>
        </w:rPr>
        <w:t xml:space="preserve"> p.</w:t>
      </w:r>
      <w:r w:rsidR="00285DBD">
        <w:rPr>
          <w:lang w:val="en-CA"/>
        </w:rPr>
        <w:t> </w:t>
      </w:r>
      <w:r w:rsidR="00706F32">
        <w:rPr>
          <w:lang w:val="en-CA"/>
        </w:rPr>
        <w:t>1</w:t>
      </w:r>
      <w:r w:rsidRPr="0045720B">
        <w:rPr>
          <w:lang w:val="en-CA"/>
        </w:rPr>
        <w:t>3.</w:t>
      </w:r>
    </w:p>
  </w:footnote>
  <w:footnote w:id="269">
    <w:p w14:paraId="24F6B9D4" w14:textId="5F607AAD" w:rsidR="00AF6E41" w:rsidRPr="0045720B" w:rsidRDefault="00AF6E41" w:rsidP="00AF6E41">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 xml:space="preserve">4, Expert report of Marie-Ève Sylvestre, February </w:t>
      </w:r>
      <w:r w:rsidR="00B604D3">
        <w:rPr>
          <w:lang w:val="en-CA"/>
        </w:rPr>
        <w:t xml:space="preserve">7, </w:t>
      </w:r>
      <w:r w:rsidRPr="0045720B">
        <w:rPr>
          <w:lang w:val="en-CA"/>
        </w:rPr>
        <w:t>2022</w:t>
      </w:r>
      <w:r w:rsidR="001E1B82">
        <w:rPr>
          <w:lang w:val="en-CA"/>
        </w:rPr>
        <w:t>,</w:t>
      </w:r>
      <w:r w:rsidR="00083108">
        <w:rPr>
          <w:lang w:val="en-CA"/>
        </w:rPr>
        <w:t xml:space="preserve"> pp. 4</w:t>
      </w:r>
      <w:r w:rsidRPr="0045720B">
        <w:rPr>
          <w:lang w:val="en-CA"/>
        </w:rPr>
        <w:t>3</w:t>
      </w:r>
      <w:r w:rsidR="00F77662">
        <w:rPr>
          <w:lang w:val="en-CA"/>
        </w:rPr>
        <w:t>ff</w:t>
      </w:r>
      <w:r w:rsidRPr="0045720B">
        <w:rPr>
          <w:lang w:val="en-CA"/>
        </w:rPr>
        <w:t>.</w:t>
      </w:r>
    </w:p>
  </w:footnote>
  <w:footnote w:id="270">
    <w:p w14:paraId="2784A278" w14:textId="5DBC824D" w:rsidR="00AF6E41" w:rsidRPr="0045720B" w:rsidRDefault="00AF6E41" w:rsidP="00AF6E41">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 6</w:t>
      </w:r>
      <w:r w:rsidRPr="0045720B">
        <w:rPr>
          <w:lang w:val="en-CA"/>
        </w:rPr>
        <w:t>4.</w:t>
      </w:r>
    </w:p>
  </w:footnote>
  <w:footnote w:id="271">
    <w:p w14:paraId="5C0C9ABA" w14:textId="2CBC35DF" w:rsidR="00AF6E41" w:rsidRPr="0045720B" w:rsidRDefault="00AF6E41" w:rsidP="00AF6E41">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706F32">
        <w:rPr>
          <w:lang w:val="en-CA"/>
        </w:rPr>
        <w:t>, paras.</w:t>
      </w:r>
      <w:r w:rsidRPr="0045720B">
        <w:rPr>
          <w:lang w:val="en-CA"/>
        </w:rPr>
        <w:t> 168–370.</w:t>
      </w:r>
    </w:p>
  </w:footnote>
  <w:footnote w:id="272">
    <w:p w14:paraId="73A77E8C" w14:textId="77777777" w:rsidR="00AF6E41" w:rsidRPr="00077E55" w:rsidRDefault="00AF6E41" w:rsidP="00AF6E41">
      <w:pPr>
        <w:pStyle w:val="Notedebasdepage"/>
      </w:pPr>
      <w:r w:rsidRPr="0045720B">
        <w:rPr>
          <w:rStyle w:val="Appelnotedebasdep"/>
          <w:lang w:val="en-CA"/>
        </w:rPr>
        <w:footnoteRef/>
      </w:r>
      <w:r w:rsidRPr="0045720B">
        <w:rPr>
          <w:lang w:val="en-CA"/>
        </w:rPr>
        <w:t xml:space="preserve"> </w:t>
      </w:r>
      <w:r w:rsidRPr="0045720B">
        <w:rPr>
          <w:lang w:val="en-CA"/>
        </w:rPr>
        <w:tab/>
        <w:t xml:space="preserve">Certain recent decisions of the lower courts also illustrate this situation. </w:t>
      </w:r>
      <w:r w:rsidRPr="00077E55">
        <w:t xml:space="preserve">See for example: </w:t>
      </w:r>
      <w:r w:rsidRPr="00077E55">
        <w:rPr>
          <w:i/>
          <w:iCs/>
        </w:rPr>
        <w:t>R. c. Sale Nkouendji</w:t>
      </w:r>
      <w:r w:rsidRPr="00077E55">
        <w:t xml:space="preserve">, 2024 QCCM 26 and </w:t>
      </w:r>
      <w:r w:rsidRPr="00077E55">
        <w:rPr>
          <w:i/>
          <w:iCs/>
        </w:rPr>
        <w:t>Commission des droits de la personne et des droits de la jeunesse (DeBellefeuille) c. Ville de Longueuil</w:t>
      </w:r>
      <w:r w:rsidRPr="00077E55">
        <w:t>, 2020 QCTDP 21.</w:t>
      </w:r>
    </w:p>
  </w:footnote>
  <w:footnote w:id="273">
    <w:p w14:paraId="24125BAE" w14:textId="426D6D70" w:rsidR="00AF6E41" w:rsidRPr="00077E55" w:rsidRDefault="00AF6E41" w:rsidP="00AF6E41">
      <w:pPr>
        <w:pStyle w:val="Notedebasdepage"/>
      </w:pPr>
      <w:r w:rsidRPr="0045720B">
        <w:rPr>
          <w:rStyle w:val="Appelnotedebasdep"/>
          <w:lang w:val="en-CA"/>
        </w:rPr>
        <w:footnoteRef/>
      </w:r>
      <w:r w:rsidRPr="00077E55">
        <w:t xml:space="preserve"> </w:t>
      </w:r>
      <w:r w:rsidRPr="00077E55">
        <w:tab/>
        <w:t>Trial judgment</w:t>
      </w:r>
      <w:r w:rsidR="005D436F" w:rsidRPr="00077E55">
        <w:t>, para.</w:t>
      </w:r>
      <w:r w:rsidRPr="00077E55">
        <w:t xml:space="preserve"> 370.</w:t>
      </w:r>
    </w:p>
  </w:footnote>
  <w:footnote w:id="274">
    <w:p w14:paraId="40B45E7E" w14:textId="6A15E382" w:rsidR="00AF6E41" w:rsidRPr="0045720B" w:rsidRDefault="00AF6E41" w:rsidP="00AF6E41">
      <w:pPr>
        <w:pStyle w:val="Notedebasdepage"/>
        <w:rPr>
          <w:lang w:val="en-CA"/>
        </w:rPr>
      </w:pPr>
      <w:r w:rsidRPr="0045720B">
        <w:rPr>
          <w:rStyle w:val="Appelnotedebasdep"/>
          <w:lang w:val="en-CA"/>
        </w:rPr>
        <w:footnoteRef/>
      </w:r>
      <w:r w:rsidRPr="00077E55">
        <w:t xml:space="preserve"> </w:t>
      </w:r>
      <w:r w:rsidRPr="00077E55">
        <w:tab/>
        <w:t xml:space="preserve">See in particular: </w:t>
      </w:r>
      <w:r w:rsidRPr="00077E55">
        <w:rPr>
          <w:i/>
          <w:iCs/>
        </w:rPr>
        <w:t>Eurobank Ergasias S.A. v. Bombardier inc</w:t>
      </w:r>
      <w:r w:rsidRPr="00077E55">
        <w:t>., 2024 SCC 11</w:t>
      </w:r>
      <w:r w:rsidR="005D436F" w:rsidRPr="00077E55">
        <w:t>, para.</w:t>
      </w:r>
      <w:r w:rsidRPr="00077E55">
        <w:t xml:space="preserve"> 91; </w:t>
      </w:r>
      <w:r w:rsidRPr="00077E55">
        <w:rPr>
          <w:i/>
          <w:iCs/>
        </w:rPr>
        <w:t>Salomon v. Matte</w:t>
      </w:r>
      <w:r w:rsidRPr="00077E55">
        <w:rPr>
          <w:i/>
          <w:iCs/>
        </w:rPr>
        <w:noBreakHyphen/>
        <w:t>Thompson</w:t>
      </w:r>
      <w:r w:rsidRPr="00077E55">
        <w:t>, 2019 SCC 14</w:t>
      </w:r>
      <w:r w:rsidR="00706F32" w:rsidRPr="00077E55">
        <w:t>, paras.</w:t>
      </w:r>
      <w:r w:rsidRPr="00077E55">
        <w:t xml:space="preserve"> 32–33; </w:t>
      </w:r>
      <w:r w:rsidRPr="00077E55">
        <w:rPr>
          <w:i/>
          <w:iCs/>
        </w:rPr>
        <w:t>Housen v. Nikolaisen</w:t>
      </w:r>
      <w:r w:rsidRPr="00077E55">
        <w:t>, 2002 SCC 33</w:t>
      </w:r>
      <w:r w:rsidR="00706F32" w:rsidRPr="00077E55">
        <w:t>, paras.</w:t>
      </w:r>
      <w:r w:rsidRPr="00077E55">
        <w:t xml:space="preserve"> 10–37; </w:t>
      </w:r>
      <w:r w:rsidRPr="00077E55">
        <w:rPr>
          <w:i/>
          <w:iCs/>
        </w:rPr>
        <w:t>J.G. c. Nadeau</w:t>
      </w:r>
      <w:r w:rsidRPr="00077E55">
        <w:t>, 2016 QCCA 167</w:t>
      </w:r>
      <w:r w:rsidR="00706F32" w:rsidRPr="00077E55">
        <w:t>, paras.</w:t>
      </w:r>
      <w:r w:rsidRPr="00077E55">
        <w:t> </w:t>
      </w:r>
      <w:r w:rsidRPr="0045720B">
        <w:rPr>
          <w:lang w:val="en-CA"/>
        </w:rPr>
        <w:t>76–77, leave to appeal to SCC refused, March </w:t>
      </w:r>
      <w:r w:rsidR="00B3488A">
        <w:rPr>
          <w:lang w:val="en-CA"/>
        </w:rPr>
        <w:t xml:space="preserve">2, </w:t>
      </w:r>
      <w:r w:rsidRPr="0045720B">
        <w:rPr>
          <w:lang w:val="en-CA"/>
        </w:rPr>
        <w:t>2017</w:t>
      </w:r>
      <w:r w:rsidR="0085297E">
        <w:rPr>
          <w:lang w:val="en-CA"/>
        </w:rPr>
        <w:t xml:space="preserve">, </w:t>
      </w:r>
      <w:r w:rsidR="0085297E" w:rsidRPr="0085297E">
        <w:rPr>
          <w:lang w:val="en-CA"/>
        </w:rPr>
        <w:t>No. 36924</w:t>
      </w:r>
      <w:r w:rsidRPr="0045720B">
        <w:rPr>
          <w:lang w:val="en-CA"/>
        </w:rPr>
        <w:t>.</w:t>
      </w:r>
    </w:p>
  </w:footnote>
  <w:footnote w:id="275">
    <w:p w14:paraId="57473E23" w14:textId="276E2C8A" w:rsidR="00AF6E41" w:rsidRPr="0045720B" w:rsidRDefault="00AF6E41" w:rsidP="00AF6E41">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t>See in particular: Exhibit P</w:t>
      </w:r>
      <w:r w:rsidRPr="0045720B">
        <w:rPr>
          <w:szCs w:val="16"/>
          <w:lang w:val="en-CA"/>
        </w:rPr>
        <w:noBreakHyphen/>
        <w:t xml:space="preserve">4, Expert report of Marie-Ève Sylvestre, February </w:t>
      </w:r>
      <w:r w:rsidR="00062E07">
        <w:rPr>
          <w:szCs w:val="16"/>
          <w:lang w:val="en-CA"/>
        </w:rPr>
        <w:t xml:space="preserve">7, </w:t>
      </w:r>
      <w:r w:rsidRPr="0045720B">
        <w:rPr>
          <w:szCs w:val="16"/>
          <w:lang w:val="en-CA"/>
        </w:rPr>
        <w:t xml:space="preserve">2022, </w:t>
      </w:r>
      <w:r w:rsidR="003A75BF">
        <w:rPr>
          <w:lang w:val="en-CA"/>
        </w:rPr>
        <w:t>appendix</w:t>
      </w:r>
      <w:r w:rsidRPr="0045720B">
        <w:rPr>
          <w:szCs w:val="16"/>
          <w:lang w:val="en-CA"/>
        </w:rPr>
        <w:t xml:space="preserve"> MES</w:t>
      </w:r>
      <w:r w:rsidRPr="0045720B">
        <w:rPr>
          <w:szCs w:val="16"/>
          <w:lang w:val="en-CA"/>
        </w:rPr>
        <w:noBreakHyphen/>
        <w:t xml:space="preserve">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083108">
        <w:rPr>
          <w:szCs w:val="16"/>
          <w:lang w:val="en-CA"/>
        </w:rPr>
        <w:t xml:space="preserve"> pp. 9</w:t>
      </w:r>
      <w:r w:rsidRPr="0045720B">
        <w:rPr>
          <w:szCs w:val="16"/>
          <w:lang w:val="en-CA"/>
        </w:rPr>
        <w:t>–1</w:t>
      </w:r>
      <w:r w:rsidR="004C42C3">
        <w:rPr>
          <w:szCs w:val="16"/>
          <w:lang w:val="en-CA"/>
        </w:rPr>
        <w:t>0</w:t>
      </w:r>
      <w:r w:rsidRPr="0045720B">
        <w:rPr>
          <w:szCs w:val="16"/>
          <w:lang w:val="en-CA"/>
        </w:rPr>
        <w:t>.</w:t>
      </w:r>
    </w:p>
  </w:footnote>
  <w:footnote w:id="276">
    <w:p w14:paraId="2C7FE4FB" w14:textId="30655AE1" w:rsidR="00671F60" w:rsidRPr="0045720B" w:rsidRDefault="00671F60" w:rsidP="00671F60">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 xml:space="preserve">19, Ontario Human Rights Commission, </w:t>
      </w:r>
      <w:r w:rsidRPr="0045720B">
        <w:rPr>
          <w:i/>
          <w:iCs/>
          <w:lang w:val="en-CA"/>
        </w:rPr>
        <w:t>A Disparate Impact: Second interim report on the inquiry into racial profiling and racial discrimination of Black persons by the Toronto Police Service</w:t>
      </w:r>
      <w:r w:rsidRPr="0045720B">
        <w:rPr>
          <w:lang w:val="en-CA"/>
        </w:rPr>
        <w:t>, August 2020</w:t>
      </w:r>
      <w:r w:rsidR="001E1B82">
        <w:rPr>
          <w:lang w:val="en-CA"/>
        </w:rPr>
        <w:t>,</w:t>
      </w:r>
      <w:r w:rsidR="00083108">
        <w:rPr>
          <w:lang w:val="en-CA"/>
        </w:rPr>
        <w:t xml:space="preserve"> p. 6</w:t>
      </w:r>
      <w:r w:rsidRPr="0045720B">
        <w:rPr>
          <w:lang w:val="en-CA"/>
        </w:rPr>
        <w:t>.</w:t>
      </w:r>
    </w:p>
  </w:footnote>
  <w:footnote w:id="277">
    <w:p w14:paraId="6B45B883" w14:textId="012BD4EA" w:rsidR="00671F60" w:rsidRPr="0045720B" w:rsidRDefault="00671F60" w:rsidP="00671F6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 7</w:t>
      </w:r>
      <w:r w:rsidRPr="0045720B">
        <w:rPr>
          <w:lang w:val="en-CA"/>
        </w:rPr>
        <w:t>.</w:t>
      </w:r>
    </w:p>
  </w:footnote>
  <w:footnote w:id="278">
    <w:p w14:paraId="62EE36D9" w14:textId="7C7C1A46" w:rsidR="002A56E8" w:rsidRPr="0045720B" w:rsidRDefault="002A56E8" w:rsidP="002A56E8">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P-32, Commission des droits de la personne et des droits de la jeunesse (Québec), </w:t>
      </w:r>
      <w:r w:rsidRPr="0045720B">
        <w:rPr>
          <w:i/>
          <w:iCs/>
          <w:lang w:val="en-CA"/>
        </w:rPr>
        <w:t>Racial Profiling and Systemic Discrimination of Racialized Youth: Report of the Consultation on Racial Profiling and its Consequences</w:t>
      </w:r>
      <w:r w:rsidRPr="0045720B">
        <w:rPr>
          <w:lang w:val="en-CA"/>
        </w:rPr>
        <w:t>, March 2011</w:t>
      </w:r>
      <w:r w:rsidR="001E1B82">
        <w:rPr>
          <w:lang w:val="en-CA"/>
        </w:rPr>
        <w:t>,</w:t>
      </w:r>
      <w:r w:rsidR="00706F32">
        <w:rPr>
          <w:lang w:val="en-CA"/>
        </w:rPr>
        <w:t xml:space="preserve"> p. 2</w:t>
      </w:r>
      <w:r w:rsidRPr="0045720B">
        <w:rPr>
          <w:lang w:val="en-CA"/>
        </w:rPr>
        <w:t>6.</w:t>
      </w:r>
    </w:p>
  </w:footnote>
  <w:footnote w:id="279">
    <w:p w14:paraId="59C9A15E" w14:textId="1194939E" w:rsidR="002A56E8" w:rsidRPr="0045720B" w:rsidRDefault="002A56E8" w:rsidP="002A56E8">
      <w:pPr>
        <w:pStyle w:val="Notedebasdepage"/>
        <w:rPr>
          <w:lang w:val="en-CA"/>
        </w:rPr>
      </w:pPr>
      <w:r w:rsidRPr="0045720B">
        <w:rPr>
          <w:rStyle w:val="Appelnotedebasdep"/>
          <w:lang w:val="en-CA"/>
        </w:rPr>
        <w:footnoteRef/>
      </w:r>
      <w:r w:rsidRPr="00077E55">
        <w:t xml:space="preserve"> </w:t>
      </w:r>
      <w:r w:rsidRPr="00077E55">
        <w:tab/>
      </w:r>
      <w:r w:rsidRPr="00077E55">
        <w:rPr>
          <w:i/>
          <w:iCs/>
        </w:rPr>
        <w:t xml:space="preserve">R. v. Le, </w:t>
      </w:r>
      <w:r w:rsidRPr="00077E55">
        <w:t>2019 SCC 34</w:t>
      </w:r>
      <w:r w:rsidR="005D436F" w:rsidRPr="00077E55">
        <w:t>, para.</w:t>
      </w:r>
      <w:r w:rsidRPr="00077E55">
        <w:t xml:space="preserve"> </w:t>
      </w:r>
      <w:r w:rsidRPr="0045720B">
        <w:rPr>
          <w:lang w:val="en-CA"/>
        </w:rPr>
        <w:t xml:space="preserve">90, </w:t>
      </w:r>
      <w:r w:rsidR="003A75BF">
        <w:rPr>
          <w:lang w:val="en-CA"/>
        </w:rPr>
        <w:t>citing</w:t>
      </w:r>
      <w:r w:rsidRPr="0045720B">
        <w:rPr>
          <w:lang w:val="en-CA"/>
        </w:rPr>
        <w:t>: Robin T. Fitzgerald &amp; Peter J. Carrington, “Disproportionate Minority Contact in Canada: Police and Visible Minority Youth”, (2011) 53:4 Can</w:t>
      </w:r>
      <w:r w:rsidR="0031724A" w:rsidRPr="0045720B">
        <w:rPr>
          <w:lang w:val="en-CA"/>
        </w:rPr>
        <w:t>.</w:t>
      </w:r>
      <w:r w:rsidRPr="0045720B">
        <w:rPr>
          <w:lang w:val="en-CA"/>
        </w:rPr>
        <w:t xml:space="preserve"> J</w:t>
      </w:r>
      <w:r w:rsidR="0031724A" w:rsidRPr="0045720B">
        <w:rPr>
          <w:lang w:val="en-CA"/>
        </w:rPr>
        <w:t>.</w:t>
      </w:r>
      <w:r w:rsidRPr="0045720B">
        <w:rPr>
          <w:lang w:val="en-CA"/>
        </w:rPr>
        <w:t xml:space="preserve"> Crimin</w:t>
      </w:r>
      <w:r w:rsidR="0031724A" w:rsidRPr="0045720B">
        <w:rPr>
          <w:lang w:val="en-CA"/>
        </w:rPr>
        <w:t>.</w:t>
      </w:r>
      <w:r w:rsidRPr="0045720B">
        <w:rPr>
          <w:lang w:val="en-CA"/>
        </w:rPr>
        <w:t xml:space="preserve"> &amp; Crim</w:t>
      </w:r>
      <w:r w:rsidR="0031724A" w:rsidRPr="0045720B">
        <w:rPr>
          <w:lang w:val="en-CA"/>
        </w:rPr>
        <w:t>.</w:t>
      </w:r>
      <w:r w:rsidRPr="0045720B">
        <w:rPr>
          <w:lang w:val="en-CA"/>
        </w:rPr>
        <w:t xml:space="preserve"> Jus</w:t>
      </w:r>
      <w:r w:rsidR="0031724A" w:rsidRPr="0045720B">
        <w:rPr>
          <w:lang w:val="en-CA"/>
        </w:rPr>
        <w:t>.</w:t>
      </w:r>
      <w:r w:rsidRPr="0045720B">
        <w:rPr>
          <w:lang w:val="en-CA"/>
        </w:rPr>
        <w:t> 449</w:t>
      </w:r>
      <w:r w:rsidR="00083108">
        <w:rPr>
          <w:lang w:val="en-CA"/>
        </w:rPr>
        <w:t>, p. 4</w:t>
      </w:r>
      <w:r w:rsidRPr="0045720B">
        <w:rPr>
          <w:lang w:val="en-CA"/>
        </w:rPr>
        <w:t xml:space="preserve">50. </w:t>
      </w:r>
    </w:p>
  </w:footnote>
  <w:footnote w:id="280">
    <w:p w14:paraId="1E1F64A0" w14:textId="0377B079" w:rsidR="002A56E8" w:rsidRPr="0045720B" w:rsidRDefault="002A56E8" w:rsidP="002A56E8">
      <w:pPr>
        <w:pStyle w:val="Notedebasdepage"/>
        <w:rPr>
          <w:lang w:val="en-CA"/>
        </w:rPr>
      </w:pPr>
      <w:r w:rsidRPr="0045720B">
        <w:rPr>
          <w:rStyle w:val="Appelnotedebasdep"/>
          <w:lang w:val="en-CA"/>
        </w:rPr>
        <w:footnoteRef/>
      </w:r>
      <w:r w:rsidRPr="0045720B">
        <w:rPr>
          <w:lang w:val="en-CA"/>
        </w:rPr>
        <w:tab/>
        <w:t>Trial judgment</w:t>
      </w:r>
      <w:r w:rsidR="005D436F">
        <w:rPr>
          <w:lang w:val="en-CA"/>
        </w:rPr>
        <w:t>, para.</w:t>
      </w:r>
      <w:r w:rsidRPr="0045720B">
        <w:rPr>
          <w:lang w:val="en-CA"/>
        </w:rPr>
        <w:t xml:space="preserve"> 821.</w:t>
      </w:r>
    </w:p>
  </w:footnote>
  <w:footnote w:id="281">
    <w:p w14:paraId="7AA83386" w14:textId="4FAF152A"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83261" w:rsidRPr="0045720B">
        <w:rPr>
          <w:lang w:val="en-CA"/>
        </w:rPr>
        <w:t>Exhibit</w:t>
      </w:r>
      <w:r w:rsidRPr="0045720B">
        <w:rPr>
          <w:lang w:val="en-CA"/>
        </w:rPr>
        <w:t xml:space="preserve"> P-29, </w:t>
      </w:r>
      <w:r w:rsidR="00A83261" w:rsidRPr="0045720B">
        <w:rPr>
          <w:lang w:val="en-CA"/>
        </w:rPr>
        <w:t>Ontario Human Rights Commission</w:t>
      </w:r>
      <w:r w:rsidRPr="0045720B">
        <w:rPr>
          <w:lang w:val="en-CA"/>
        </w:rPr>
        <w:t xml:space="preserve">, </w:t>
      </w:r>
      <w:r w:rsidR="003514B8" w:rsidRPr="0045720B">
        <w:rPr>
          <w:i/>
          <w:iCs/>
          <w:lang w:val="en-CA"/>
        </w:rPr>
        <w:t xml:space="preserve">A Collective Impact: Interim report on the inquiry into racial profiling and racial discrimination of Black persons by the Toronto Police Service, </w:t>
      </w:r>
      <w:r w:rsidR="003514B8" w:rsidRPr="0045720B">
        <w:rPr>
          <w:lang w:val="en-CA"/>
        </w:rPr>
        <w:t>November</w:t>
      </w:r>
      <w:r w:rsidRPr="0045720B">
        <w:rPr>
          <w:lang w:val="en-CA"/>
        </w:rPr>
        <w:t xml:space="preserve"> 2018, cit</w:t>
      </w:r>
      <w:r w:rsidR="00293A4C" w:rsidRPr="0045720B">
        <w:rPr>
          <w:lang w:val="en-CA"/>
        </w:rPr>
        <w:t>ing</w:t>
      </w:r>
      <w:r w:rsidRPr="0045720B">
        <w:rPr>
          <w:lang w:val="en-CA"/>
        </w:rPr>
        <w:t xml:space="preserve"> Michael H. Tulloch, </w:t>
      </w:r>
      <w:r w:rsidRPr="0045720B">
        <w:rPr>
          <w:i/>
          <w:iCs/>
          <w:lang w:val="en-CA"/>
        </w:rPr>
        <w:t>R</w:t>
      </w:r>
      <w:r w:rsidR="00293A4C" w:rsidRPr="0045720B">
        <w:rPr>
          <w:i/>
          <w:iCs/>
          <w:lang w:val="en-CA"/>
        </w:rPr>
        <w:t>e</w:t>
      </w:r>
      <w:r w:rsidRPr="0045720B">
        <w:rPr>
          <w:i/>
          <w:iCs/>
          <w:lang w:val="en-CA"/>
        </w:rPr>
        <w:t xml:space="preserve">port </w:t>
      </w:r>
      <w:r w:rsidR="00293A4C" w:rsidRPr="0045720B">
        <w:rPr>
          <w:i/>
          <w:iCs/>
          <w:lang w:val="en-CA"/>
        </w:rPr>
        <w:t>of the Independent Police Oversight Review</w:t>
      </w:r>
      <w:r w:rsidR="00CA5DCF">
        <w:rPr>
          <w:lang w:val="en-CA"/>
        </w:rPr>
        <w:t>,</w:t>
      </w:r>
      <w:r w:rsidR="009F6F3F" w:rsidRPr="0045720B">
        <w:rPr>
          <w:lang w:val="en-CA"/>
        </w:rPr>
        <w:t xml:space="preserve"> Toronto, </w:t>
      </w:r>
      <w:r w:rsidR="00293A4C" w:rsidRPr="0045720B">
        <w:rPr>
          <w:lang w:val="en-CA"/>
        </w:rPr>
        <w:t xml:space="preserve">Queen’s Printer for </w:t>
      </w:r>
      <w:r w:rsidR="009F6F3F" w:rsidRPr="0045720B">
        <w:rPr>
          <w:lang w:val="en-CA"/>
        </w:rPr>
        <w:t>Ontario, 2017</w:t>
      </w:r>
      <w:r w:rsidR="00706F32">
        <w:rPr>
          <w:lang w:val="en-CA"/>
        </w:rPr>
        <w:t>, p. 2</w:t>
      </w:r>
      <w:r w:rsidR="002A56E8" w:rsidRPr="0045720B">
        <w:rPr>
          <w:lang w:val="en-CA"/>
        </w:rPr>
        <w:t>6</w:t>
      </w:r>
      <w:r w:rsidR="009F6F3F" w:rsidRPr="0045720B">
        <w:rPr>
          <w:lang w:val="en-CA"/>
        </w:rPr>
        <w:t xml:space="preserve">. </w:t>
      </w:r>
      <w:r w:rsidR="00293A4C" w:rsidRPr="0045720B">
        <w:rPr>
          <w:lang w:val="en-CA"/>
        </w:rPr>
        <w:t>See also</w:t>
      </w:r>
      <w:r w:rsidR="009F6F3F" w:rsidRPr="0045720B">
        <w:rPr>
          <w:lang w:val="en-CA"/>
        </w:rPr>
        <w:t xml:space="preserve">: </w:t>
      </w:r>
      <w:r w:rsidR="00A83261" w:rsidRPr="0045720B">
        <w:rPr>
          <w:lang w:val="en-CA"/>
        </w:rPr>
        <w:t>Exhibit</w:t>
      </w:r>
      <w:r w:rsidR="009F6F3F" w:rsidRPr="0045720B">
        <w:rPr>
          <w:lang w:val="en-CA"/>
        </w:rPr>
        <w:t xml:space="preserve"> IN</w:t>
      </w:r>
      <w:r w:rsidR="009F6F3F" w:rsidRPr="0045720B">
        <w:rPr>
          <w:lang w:val="en-CA"/>
        </w:rPr>
        <w:noBreakHyphen/>
        <w:t xml:space="preserve">3, </w:t>
      </w:r>
      <w:r w:rsidR="00293A4C" w:rsidRPr="0045720B">
        <w:rPr>
          <w:lang w:val="en-CA"/>
        </w:rPr>
        <w:t>Expert report of</w:t>
      </w:r>
      <w:r w:rsidR="009F6F3F" w:rsidRPr="0045720B">
        <w:rPr>
          <w:lang w:val="en-CA"/>
        </w:rPr>
        <w:t xml:space="preserve"> Robert S. Wright, </w:t>
      </w:r>
      <w:r w:rsidR="00293A4C" w:rsidRPr="0045720B">
        <w:rPr>
          <w:lang w:val="en-CA"/>
        </w:rPr>
        <w:t>April</w:t>
      </w:r>
      <w:r w:rsidRPr="0045720B">
        <w:rPr>
          <w:lang w:val="en-CA"/>
        </w:rPr>
        <w:t xml:space="preserve"> </w:t>
      </w:r>
      <w:r w:rsidR="0060473B">
        <w:rPr>
          <w:lang w:val="en-CA"/>
        </w:rPr>
        <w:t xml:space="preserve">1, </w:t>
      </w:r>
      <w:r w:rsidRPr="0045720B">
        <w:rPr>
          <w:lang w:val="en-CA"/>
        </w:rPr>
        <w:t>2022</w:t>
      </w:r>
      <w:r w:rsidR="001E1B82">
        <w:rPr>
          <w:lang w:val="en-CA"/>
        </w:rPr>
        <w:t>,</w:t>
      </w:r>
      <w:r w:rsidR="00083108">
        <w:rPr>
          <w:lang w:val="en-CA"/>
        </w:rPr>
        <w:t xml:space="preserve"> pp. 2</w:t>
      </w:r>
      <w:r w:rsidR="00293A4C" w:rsidRPr="0045720B">
        <w:rPr>
          <w:lang w:val="en-CA"/>
        </w:rPr>
        <w:t>–</w:t>
      </w:r>
      <w:r w:rsidRPr="0045720B">
        <w:rPr>
          <w:lang w:val="en-CA"/>
        </w:rPr>
        <w:t>3.</w:t>
      </w:r>
    </w:p>
  </w:footnote>
  <w:footnote w:id="282">
    <w:p w14:paraId="085CAC7A" w14:textId="34B7DC77" w:rsidR="001C0E1E" w:rsidRPr="0045720B" w:rsidRDefault="001C0E1E" w:rsidP="001C0E1E">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 xml:space="preserve">1, Expert report of Massimiliano Mulone, January </w:t>
      </w:r>
      <w:r w:rsidR="00E719DE">
        <w:rPr>
          <w:lang w:val="en-CA"/>
        </w:rPr>
        <w:t xml:space="preserve">31, </w:t>
      </w:r>
      <w:r w:rsidRPr="0045720B">
        <w:rPr>
          <w:lang w:val="en-CA"/>
        </w:rPr>
        <w:t>2022</w:t>
      </w:r>
      <w:r w:rsidR="001E1B82">
        <w:rPr>
          <w:lang w:val="en-CA"/>
        </w:rPr>
        <w:t>,</w:t>
      </w:r>
      <w:r w:rsidR="00083108">
        <w:rPr>
          <w:lang w:val="en-CA"/>
        </w:rPr>
        <w:t xml:space="preserve"> pp. 3</w:t>
      </w:r>
      <w:r w:rsidRPr="0045720B">
        <w:rPr>
          <w:lang w:val="en-CA"/>
        </w:rPr>
        <w:t>1–32; Exhibit IN</w:t>
      </w:r>
      <w:r w:rsidRPr="0045720B">
        <w:rPr>
          <w:lang w:val="en-CA"/>
        </w:rPr>
        <w:noBreakHyphen/>
        <w:t xml:space="preserve">3, Expert report of Robert S. Wright, April </w:t>
      </w:r>
      <w:r w:rsidR="00E719DE">
        <w:rPr>
          <w:lang w:val="en-CA"/>
        </w:rPr>
        <w:t xml:space="preserve">1, </w:t>
      </w:r>
      <w:r w:rsidRPr="0045720B">
        <w:rPr>
          <w:lang w:val="en-CA"/>
        </w:rPr>
        <w:t>2022</w:t>
      </w:r>
      <w:r w:rsidR="001E1B82">
        <w:rPr>
          <w:lang w:val="en-CA"/>
        </w:rPr>
        <w:t>,</w:t>
      </w:r>
      <w:r w:rsidR="00706F32">
        <w:rPr>
          <w:lang w:val="en-CA"/>
        </w:rPr>
        <w:t xml:space="preserve"> p. 1</w:t>
      </w:r>
      <w:r w:rsidRPr="0045720B">
        <w:rPr>
          <w:lang w:val="en-CA"/>
        </w:rPr>
        <w:t>3.</w:t>
      </w:r>
    </w:p>
  </w:footnote>
  <w:footnote w:id="283">
    <w:p w14:paraId="2138422B" w14:textId="219BF016" w:rsidR="001C0E1E" w:rsidRPr="0045720B" w:rsidRDefault="001C0E1E" w:rsidP="001C0E1E">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t>Exhibit P</w:t>
      </w:r>
      <w:r w:rsidRPr="0045720B">
        <w:rPr>
          <w:szCs w:val="16"/>
          <w:lang w:val="en-CA"/>
        </w:rPr>
        <w:noBreakHyphen/>
        <w:t xml:space="preserve">4, Expert report of Marie-Ève Sylvestre, February </w:t>
      </w:r>
      <w:r w:rsidR="00C23812">
        <w:rPr>
          <w:szCs w:val="16"/>
          <w:lang w:val="en-CA"/>
        </w:rPr>
        <w:t xml:space="preserve">7, </w:t>
      </w:r>
      <w:r w:rsidRPr="0045720B">
        <w:rPr>
          <w:szCs w:val="16"/>
          <w:lang w:val="en-CA"/>
        </w:rPr>
        <w:t xml:space="preserve">2022, </w:t>
      </w:r>
      <w:r w:rsidR="00005966">
        <w:rPr>
          <w:szCs w:val="16"/>
          <w:lang w:val="en-CA"/>
        </w:rPr>
        <w:t>appendix</w:t>
      </w:r>
      <w:r w:rsidRPr="0045720B">
        <w:rPr>
          <w:szCs w:val="16"/>
          <w:lang w:val="en-CA"/>
        </w:rPr>
        <w:t xml:space="preserve"> MES-055,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083108">
        <w:rPr>
          <w:szCs w:val="16"/>
          <w:lang w:val="en-CA"/>
        </w:rPr>
        <w:t xml:space="preserve"> pp. 1</w:t>
      </w:r>
      <w:r w:rsidR="00B413D9" w:rsidRPr="0045720B">
        <w:rPr>
          <w:szCs w:val="16"/>
          <w:lang w:val="en-CA"/>
        </w:rPr>
        <w:t>7</w:t>
      </w:r>
      <w:r w:rsidR="00F77662">
        <w:rPr>
          <w:szCs w:val="16"/>
          <w:lang w:val="en-CA"/>
        </w:rPr>
        <w:t>ff</w:t>
      </w:r>
      <w:r w:rsidRPr="0045720B">
        <w:rPr>
          <w:szCs w:val="16"/>
          <w:lang w:val="en-CA"/>
        </w:rPr>
        <w:t>.</w:t>
      </w:r>
    </w:p>
  </w:footnote>
  <w:footnote w:id="284">
    <w:p w14:paraId="39F3DC53" w14:textId="77777777"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P-29, Ontario Human Rights Commission, </w:t>
      </w:r>
      <w:r w:rsidRPr="0045720B">
        <w:rPr>
          <w:i/>
          <w:iCs/>
          <w:lang w:val="en-CA"/>
        </w:rPr>
        <w:t xml:space="preserve">A Collective Impact: Interim report on the inquiry into racial profiling and racial discrimination of Black persons by the Toronto Police Service, </w:t>
      </w:r>
      <w:r w:rsidRPr="0045720B">
        <w:rPr>
          <w:lang w:val="en-CA"/>
        </w:rPr>
        <w:t>November 2018.</w:t>
      </w:r>
    </w:p>
  </w:footnote>
  <w:footnote w:id="285">
    <w:p w14:paraId="462A3D43" w14:textId="234EB108"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P-31, Ontario Human Rights Commission, </w:t>
      </w:r>
      <w:r w:rsidRPr="0045720B">
        <w:rPr>
          <w:i/>
          <w:iCs/>
          <w:lang w:val="en-CA"/>
        </w:rPr>
        <w:t>Under suspicion – Research and consultation report on racial profiling in Ontario</w:t>
      </w:r>
      <w:r w:rsidRPr="0045720B">
        <w:rPr>
          <w:lang w:val="en-CA"/>
        </w:rPr>
        <w:t>, April 2017</w:t>
      </w:r>
      <w:r w:rsidR="001E1B82">
        <w:rPr>
          <w:lang w:val="en-CA"/>
        </w:rPr>
        <w:t>,</w:t>
      </w:r>
      <w:r w:rsidR="00083108">
        <w:rPr>
          <w:lang w:val="en-CA"/>
        </w:rPr>
        <w:t xml:space="preserve"> p. 8</w:t>
      </w:r>
      <w:r w:rsidR="00297D50">
        <w:rPr>
          <w:lang w:val="en-CA"/>
        </w:rPr>
        <w:t>4</w:t>
      </w:r>
      <w:r w:rsidRPr="0045720B">
        <w:rPr>
          <w:lang w:val="en-CA"/>
        </w:rPr>
        <w:t>.</w:t>
      </w:r>
    </w:p>
  </w:footnote>
  <w:footnote w:id="286">
    <w:p w14:paraId="0F5E7F61" w14:textId="34DE1DED"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EF098A">
        <w:rPr>
          <w:lang w:val="en-CA"/>
        </w:rPr>
        <w:t xml:space="preserve">7, </w:t>
      </w:r>
      <w:r w:rsidRPr="0045720B">
        <w:rPr>
          <w:lang w:val="en-CA"/>
        </w:rPr>
        <w:t>2022</w:t>
      </w:r>
      <w:r w:rsidR="001E1B82">
        <w:rPr>
          <w:lang w:val="en-CA"/>
        </w:rPr>
        <w:t>,</w:t>
      </w:r>
      <w:r w:rsidR="00083108">
        <w:rPr>
          <w:lang w:val="en-CA"/>
        </w:rPr>
        <w:t xml:space="preserve"> pp. 3</w:t>
      </w:r>
      <w:r w:rsidRPr="0045720B">
        <w:rPr>
          <w:lang w:val="en-CA"/>
        </w:rPr>
        <w:t>3 and 49–50; Exhibit P</w:t>
      </w:r>
      <w:r w:rsidRPr="0045720B">
        <w:rPr>
          <w:lang w:val="en-CA"/>
        </w:rPr>
        <w:noBreakHyphen/>
        <w:t xml:space="preserve">29, Ontario Human Rights Commission, </w:t>
      </w:r>
      <w:r w:rsidRPr="0045720B">
        <w:rPr>
          <w:i/>
          <w:iCs/>
          <w:lang w:val="en-CA"/>
        </w:rPr>
        <w:t>A Collective Impact: Interim report on the inquiry into racial profiling and racial discrimination of Black persons by the Toronto Police Service</w:t>
      </w:r>
      <w:r w:rsidRPr="0045720B">
        <w:rPr>
          <w:lang w:val="en-CA"/>
        </w:rPr>
        <w:t>, November 2018.</w:t>
      </w:r>
    </w:p>
  </w:footnote>
  <w:footnote w:id="287">
    <w:p w14:paraId="79600C25" w14:textId="77E7F30B"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6A2294">
        <w:rPr>
          <w:lang w:val="en-CA"/>
        </w:rPr>
        <w:t xml:space="preserve">7, </w:t>
      </w:r>
      <w:r w:rsidRPr="0045720B">
        <w:rPr>
          <w:lang w:val="en-CA"/>
        </w:rPr>
        <w:t>2022</w:t>
      </w:r>
      <w:r w:rsidR="001E1B82">
        <w:rPr>
          <w:lang w:val="en-CA"/>
        </w:rPr>
        <w:t>,</w:t>
      </w:r>
      <w:r w:rsidR="00083108">
        <w:rPr>
          <w:lang w:val="en-CA"/>
        </w:rPr>
        <w:t xml:space="preserve"> p. 3</w:t>
      </w:r>
      <w:r w:rsidRPr="0045720B">
        <w:rPr>
          <w:lang w:val="en-CA"/>
        </w:rPr>
        <w:t>3; Exhibit IN</w:t>
      </w:r>
      <w:r w:rsidRPr="0045720B">
        <w:rPr>
          <w:lang w:val="en-CA"/>
        </w:rPr>
        <w:noBreakHyphen/>
        <w:t xml:space="preserve">3, Expert report of Robert S. Wright, April </w:t>
      </w:r>
      <w:r w:rsidR="00FD237B">
        <w:rPr>
          <w:lang w:val="en-CA"/>
        </w:rPr>
        <w:t xml:space="preserve">1, </w:t>
      </w:r>
      <w:r w:rsidRPr="0045720B">
        <w:rPr>
          <w:lang w:val="en-CA"/>
        </w:rPr>
        <w:t>2022</w:t>
      </w:r>
      <w:r w:rsidR="001E1B82">
        <w:rPr>
          <w:lang w:val="en-CA"/>
        </w:rPr>
        <w:t>,</w:t>
      </w:r>
      <w:r w:rsidR="00083108">
        <w:rPr>
          <w:lang w:val="en-CA"/>
        </w:rPr>
        <w:t xml:space="preserve"> p. 6</w:t>
      </w:r>
      <w:r w:rsidRPr="0045720B">
        <w:rPr>
          <w:lang w:val="en-CA"/>
        </w:rPr>
        <w:t xml:space="preserve">; Exhibit P-29, Ontario Human Rights Commission, </w:t>
      </w:r>
      <w:r w:rsidRPr="0045720B">
        <w:rPr>
          <w:i/>
          <w:iCs/>
          <w:lang w:val="en-CA"/>
        </w:rPr>
        <w:t xml:space="preserve">A Collective Impact: Interim report on the inquiry into racial profiling and racial discrimination of Black persons by the Toronto Police Service, </w:t>
      </w:r>
      <w:r w:rsidRPr="0045720B">
        <w:rPr>
          <w:lang w:val="en-CA"/>
        </w:rPr>
        <w:t>November 2018.</w:t>
      </w:r>
    </w:p>
  </w:footnote>
  <w:footnote w:id="288">
    <w:p w14:paraId="1E23D26C" w14:textId="05059675" w:rsidR="002C29F2" w:rsidRPr="0045720B" w:rsidRDefault="002C29F2" w:rsidP="002C29F2">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t>Exhibit P</w:t>
      </w:r>
      <w:r w:rsidRPr="0045720B">
        <w:rPr>
          <w:szCs w:val="16"/>
          <w:lang w:val="en-CA"/>
        </w:rPr>
        <w:noBreakHyphen/>
        <w:t>4, Expert report of Marie</w:t>
      </w:r>
      <w:r w:rsidRPr="0045720B">
        <w:rPr>
          <w:szCs w:val="16"/>
          <w:lang w:val="en-CA"/>
        </w:rPr>
        <w:noBreakHyphen/>
        <w:t xml:space="preserve">Ève Sylvestre, February </w:t>
      </w:r>
      <w:r w:rsidR="00775581">
        <w:rPr>
          <w:szCs w:val="16"/>
          <w:lang w:val="en-CA"/>
        </w:rPr>
        <w:t xml:space="preserve">7, </w:t>
      </w:r>
      <w:r w:rsidRPr="0045720B">
        <w:rPr>
          <w:szCs w:val="16"/>
          <w:lang w:val="en-CA"/>
        </w:rPr>
        <w:t>2022</w:t>
      </w:r>
      <w:r w:rsidR="001E1B82">
        <w:rPr>
          <w:szCs w:val="16"/>
          <w:lang w:val="en-CA"/>
        </w:rPr>
        <w:t>,</w:t>
      </w:r>
      <w:r w:rsidR="00083108">
        <w:rPr>
          <w:szCs w:val="16"/>
          <w:lang w:val="en-CA"/>
        </w:rPr>
        <w:t xml:space="preserve"> pp. 3</w:t>
      </w:r>
      <w:r w:rsidRPr="0045720B">
        <w:rPr>
          <w:szCs w:val="16"/>
          <w:lang w:val="en-CA"/>
        </w:rPr>
        <w:t xml:space="preserve">2 and 48, and </w:t>
      </w:r>
      <w:r w:rsidR="00B34015">
        <w:rPr>
          <w:szCs w:val="16"/>
          <w:lang w:val="en-CA"/>
        </w:rPr>
        <w:t xml:space="preserve">appendix </w:t>
      </w:r>
      <w:r w:rsidRPr="0045720B">
        <w:rPr>
          <w:szCs w:val="16"/>
          <w:lang w:val="en-CA"/>
        </w:rPr>
        <w:t>MES</w:t>
      </w:r>
      <w:r w:rsidRPr="0045720B">
        <w:rPr>
          <w:szCs w:val="16"/>
          <w:lang w:val="en-CA"/>
        </w:rPr>
        <w:noBreakHyphen/>
        <w:t xml:space="preserve">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083108">
        <w:rPr>
          <w:szCs w:val="16"/>
          <w:lang w:val="en-CA"/>
        </w:rPr>
        <w:t xml:space="preserve"> p. 4</w:t>
      </w:r>
      <w:r w:rsidR="00737DD1" w:rsidRPr="0045720B">
        <w:rPr>
          <w:szCs w:val="16"/>
          <w:lang w:val="en-CA"/>
        </w:rPr>
        <w:t>7</w:t>
      </w:r>
      <w:r w:rsidRPr="0045720B">
        <w:rPr>
          <w:szCs w:val="16"/>
          <w:lang w:val="en-CA"/>
        </w:rPr>
        <w:t>.</w:t>
      </w:r>
    </w:p>
  </w:footnote>
  <w:footnote w:id="289">
    <w:p w14:paraId="16E830E7" w14:textId="461A7EAF"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775581">
        <w:rPr>
          <w:lang w:val="en-CA"/>
        </w:rPr>
        <w:t xml:space="preserve">7, </w:t>
      </w:r>
      <w:r w:rsidRPr="0045720B">
        <w:rPr>
          <w:lang w:val="en-CA"/>
        </w:rPr>
        <w:t>2022</w:t>
      </w:r>
      <w:r w:rsidR="00083108">
        <w:rPr>
          <w:lang w:val="en-CA"/>
        </w:rPr>
        <w:t>, p. 3</w:t>
      </w:r>
      <w:r w:rsidRPr="0045720B">
        <w:rPr>
          <w:lang w:val="en-CA"/>
        </w:rPr>
        <w:t>2.</w:t>
      </w:r>
    </w:p>
  </w:footnote>
  <w:footnote w:id="290">
    <w:p w14:paraId="12DFB254" w14:textId="5EBA65EE"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pp. 5</w:t>
      </w:r>
      <w:r w:rsidRPr="0045720B">
        <w:rPr>
          <w:lang w:val="en-CA"/>
        </w:rPr>
        <w:t>5</w:t>
      </w:r>
      <w:r w:rsidR="00F77662">
        <w:rPr>
          <w:lang w:val="en-CA"/>
        </w:rPr>
        <w:t>ff</w:t>
      </w:r>
      <w:r w:rsidRPr="0045720B">
        <w:rPr>
          <w:lang w:val="en-CA"/>
        </w:rPr>
        <w:t xml:space="preserve">.; Exhibit P-31, Ontario Human Rights Commission, </w:t>
      </w:r>
      <w:r w:rsidRPr="0045720B">
        <w:rPr>
          <w:i/>
          <w:iCs/>
          <w:lang w:val="en-CA"/>
        </w:rPr>
        <w:t>Under suspicion – Research and consultation report on racial profiling in Ontario</w:t>
      </w:r>
      <w:r w:rsidRPr="0045720B">
        <w:rPr>
          <w:lang w:val="en-CA"/>
        </w:rPr>
        <w:t>, April 2017</w:t>
      </w:r>
      <w:r w:rsidR="001E1B82">
        <w:rPr>
          <w:lang w:val="en-CA"/>
        </w:rPr>
        <w:t>,</w:t>
      </w:r>
      <w:r w:rsidR="00083108">
        <w:rPr>
          <w:lang w:val="en-CA"/>
        </w:rPr>
        <w:t xml:space="preserve"> pp. </w:t>
      </w:r>
      <w:r w:rsidR="00BB51BC">
        <w:rPr>
          <w:lang w:val="en-CA"/>
        </w:rPr>
        <w:t>84-85</w:t>
      </w:r>
      <w:r w:rsidRPr="0045720B">
        <w:rPr>
          <w:lang w:val="en-CA"/>
        </w:rPr>
        <w:t>.</w:t>
      </w:r>
    </w:p>
  </w:footnote>
  <w:footnote w:id="291">
    <w:p w14:paraId="5A7C1602" w14:textId="059F9DA4" w:rsidR="002C29F2" w:rsidRPr="0045720B" w:rsidRDefault="002C29F2" w:rsidP="002C29F2">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t>Exhibit P</w:t>
      </w:r>
      <w:r w:rsidRPr="0045720B">
        <w:rPr>
          <w:szCs w:val="16"/>
          <w:lang w:val="en-CA"/>
        </w:rPr>
        <w:noBreakHyphen/>
        <w:t>4, Expert report of Marie</w:t>
      </w:r>
      <w:r w:rsidRPr="0045720B">
        <w:rPr>
          <w:szCs w:val="16"/>
          <w:lang w:val="en-CA"/>
        </w:rPr>
        <w:noBreakHyphen/>
        <w:t xml:space="preserve">Ève Sylvestre, February </w:t>
      </w:r>
      <w:r w:rsidR="002024E3">
        <w:rPr>
          <w:szCs w:val="16"/>
          <w:lang w:val="en-CA"/>
        </w:rPr>
        <w:t xml:space="preserve">7, </w:t>
      </w:r>
      <w:r w:rsidRPr="0045720B">
        <w:rPr>
          <w:szCs w:val="16"/>
          <w:lang w:val="en-CA"/>
        </w:rPr>
        <w:t>2022</w:t>
      </w:r>
      <w:r w:rsidR="001E1B82">
        <w:rPr>
          <w:szCs w:val="16"/>
          <w:lang w:val="en-CA"/>
        </w:rPr>
        <w:t>,</w:t>
      </w:r>
      <w:r w:rsidR="00083108">
        <w:rPr>
          <w:szCs w:val="16"/>
          <w:lang w:val="en-CA"/>
        </w:rPr>
        <w:t xml:space="preserve"> pp. 4</w:t>
      </w:r>
      <w:r w:rsidRPr="0045720B">
        <w:rPr>
          <w:szCs w:val="16"/>
          <w:lang w:val="en-CA"/>
        </w:rPr>
        <w:t xml:space="preserve">9 and </w:t>
      </w:r>
      <w:r w:rsidR="00B34015">
        <w:rPr>
          <w:szCs w:val="16"/>
          <w:lang w:val="en-CA"/>
        </w:rPr>
        <w:t xml:space="preserve">appendix </w:t>
      </w:r>
      <w:r w:rsidRPr="0045720B">
        <w:rPr>
          <w:szCs w:val="16"/>
          <w:lang w:val="en-CA"/>
        </w:rPr>
        <w:t>MES</w:t>
      </w:r>
      <w:r w:rsidRPr="0045720B">
        <w:rPr>
          <w:szCs w:val="16"/>
          <w:lang w:val="en-CA"/>
        </w:rPr>
        <w:noBreakHyphen/>
        <w:t xml:space="preserve">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083108">
        <w:rPr>
          <w:szCs w:val="16"/>
          <w:lang w:val="en-CA"/>
        </w:rPr>
        <w:t xml:space="preserve"> pp. 2</w:t>
      </w:r>
      <w:r w:rsidR="007A0C92">
        <w:rPr>
          <w:szCs w:val="16"/>
          <w:lang w:val="en-CA"/>
        </w:rPr>
        <w:t>2</w:t>
      </w:r>
      <w:r w:rsidR="00F77662">
        <w:rPr>
          <w:szCs w:val="16"/>
          <w:lang w:val="en-CA"/>
        </w:rPr>
        <w:t>ff</w:t>
      </w:r>
      <w:r w:rsidRPr="0045720B">
        <w:rPr>
          <w:szCs w:val="16"/>
          <w:lang w:val="en-CA"/>
        </w:rPr>
        <w:t>.; Exhibit P</w:t>
      </w:r>
      <w:r w:rsidRPr="0045720B">
        <w:rPr>
          <w:szCs w:val="16"/>
          <w:lang w:val="en-CA"/>
        </w:rPr>
        <w:noBreakHyphen/>
        <w:t>1, Expert report of Massimiliano Mulone, January </w:t>
      </w:r>
      <w:r w:rsidR="00003F54">
        <w:rPr>
          <w:szCs w:val="16"/>
          <w:lang w:val="en-CA"/>
        </w:rPr>
        <w:t xml:space="preserve">31, </w:t>
      </w:r>
      <w:r w:rsidRPr="0045720B">
        <w:rPr>
          <w:szCs w:val="16"/>
          <w:lang w:val="en-CA"/>
        </w:rPr>
        <w:t>2022</w:t>
      </w:r>
      <w:r w:rsidR="001E1B82">
        <w:rPr>
          <w:szCs w:val="16"/>
          <w:lang w:val="en-CA"/>
        </w:rPr>
        <w:t>,</w:t>
      </w:r>
      <w:r w:rsidR="00706F32">
        <w:rPr>
          <w:szCs w:val="16"/>
          <w:lang w:val="en-CA"/>
        </w:rPr>
        <w:t xml:space="preserve"> p. 1</w:t>
      </w:r>
      <w:r w:rsidRPr="0045720B">
        <w:rPr>
          <w:szCs w:val="16"/>
          <w:lang w:val="en-CA"/>
        </w:rPr>
        <w:t>1.</w:t>
      </w:r>
    </w:p>
  </w:footnote>
  <w:footnote w:id="292">
    <w:p w14:paraId="688CDDCA" w14:textId="38D2D09C"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365C93">
        <w:rPr>
          <w:lang w:val="en-CA"/>
        </w:rPr>
        <w:t xml:space="preserve">7, </w:t>
      </w:r>
      <w:r w:rsidRPr="0045720B">
        <w:rPr>
          <w:lang w:val="en-CA"/>
        </w:rPr>
        <w:t>2022</w:t>
      </w:r>
      <w:r w:rsidR="001E1B82">
        <w:rPr>
          <w:lang w:val="en-CA"/>
        </w:rPr>
        <w:t>,</w:t>
      </w:r>
      <w:r w:rsidR="00083108">
        <w:rPr>
          <w:lang w:val="en-CA"/>
        </w:rPr>
        <w:t xml:space="preserve"> p. 3</w:t>
      </w:r>
      <w:r w:rsidRPr="0045720B">
        <w:rPr>
          <w:lang w:val="en-CA"/>
        </w:rPr>
        <w:t>2.</w:t>
      </w:r>
    </w:p>
  </w:footnote>
  <w:footnote w:id="293">
    <w:p w14:paraId="21988A90" w14:textId="681000E3"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 5</w:t>
      </w:r>
      <w:r w:rsidRPr="0045720B">
        <w:rPr>
          <w:lang w:val="en-CA"/>
        </w:rPr>
        <w:t xml:space="preserve">3; Exhibit P-29, Ontario Human Rights Commission, </w:t>
      </w:r>
      <w:r w:rsidRPr="0045720B">
        <w:rPr>
          <w:i/>
          <w:iCs/>
          <w:lang w:val="en-CA"/>
        </w:rPr>
        <w:t xml:space="preserve">A Collective Impact: Interim report on the inquiry into racial profiling and racial discrimination of Black persons by the Toronto Police Service, </w:t>
      </w:r>
      <w:r w:rsidRPr="0045720B">
        <w:rPr>
          <w:lang w:val="en-CA"/>
        </w:rPr>
        <w:t>November 2018.</w:t>
      </w:r>
    </w:p>
  </w:footnote>
  <w:footnote w:id="294">
    <w:p w14:paraId="292D82D4" w14:textId="557AFC1B"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B552A6">
        <w:rPr>
          <w:lang w:val="en-CA"/>
        </w:rPr>
        <w:t xml:space="preserve">7, </w:t>
      </w:r>
      <w:r w:rsidRPr="0045720B">
        <w:rPr>
          <w:lang w:val="en-CA"/>
        </w:rPr>
        <w:t>2022</w:t>
      </w:r>
      <w:r w:rsidR="001E1B82">
        <w:rPr>
          <w:lang w:val="en-CA"/>
        </w:rPr>
        <w:t>,</w:t>
      </w:r>
      <w:r w:rsidR="00083108">
        <w:rPr>
          <w:lang w:val="en-CA"/>
        </w:rPr>
        <w:t xml:space="preserve"> p. 3</w:t>
      </w:r>
      <w:r w:rsidRPr="0045720B">
        <w:rPr>
          <w:lang w:val="en-CA"/>
        </w:rPr>
        <w:t>7; Exhibit P</w:t>
      </w:r>
      <w:r w:rsidRPr="0045720B">
        <w:rPr>
          <w:lang w:val="en-CA"/>
        </w:rPr>
        <w:noBreakHyphen/>
        <w:t xml:space="preserve">27, Nova Scotia Human Rights Commission (Dr. Scot Wortley), </w:t>
      </w:r>
      <w:r w:rsidRPr="0045720B">
        <w:rPr>
          <w:i/>
          <w:iCs/>
          <w:lang w:val="en-CA"/>
        </w:rPr>
        <w:t>Halifax, Nova Scotia: Street Checks Report (and appendices)</w:t>
      </w:r>
      <w:r w:rsidRPr="0045720B">
        <w:rPr>
          <w:lang w:val="en-CA"/>
        </w:rPr>
        <w:t>, March 2019</w:t>
      </w:r>
      <w:r w:rsidR="001E1B82">
        <w:rPr>
          <w:lang w:val="en-CA"/>
        </w:rPr>
        <w:t>,</w:t>
      </w:r>
      <w:r w:rsidR="00706F32">
        <w:rPr>
          <w:lang w:val="en-CA"/>
        </w:rPr>
        <w:t xml:space="preserve"> p. 1</w:t>
      </w:r>
      <w:r w:rsidRPr="0045720B">
        <w:rPr>
          <w:lang w:val="en-CA"/>
        </w:rPr>
        <w:t>6.</w:t>
      </w:r>
    </w:p>
  </w:footnote>
  <w:footnote w:id="295">
    <w:p w14:paraId="036DA449" w14:textId="2B3B81F3"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426173">
        <w:rPr>
          <w:lang w:val="en-CA"/>
        </w:rPr>
        <w:t xml:space="preserve">7, </w:t>
      </w:r>
      <w:r w:rsidRPr="0045720B">
        <w:rPr>
          <w:lang w:val="en-CA"/>
        </w:rPr>
        <w:t>2022</w:t>
      </w:r>
      <w:r w:rsidR="001E1B82">
        <w:rPr>
          <w:lang w:val="en-CA"/>
        </w:rPr>
        <w:t>,</w:t>
      </w:r>
      <w:r w:rsidR="00083108">
        <w:rPr>
          <w:lang w:val="en-CA"/>
        </w:rPr>
        <w:t xml:space="preserve"> pp. 3</w:t>
      </w:r>
      <w:r w:rsidRPr="0045720B">
        <w:rPr>
          <w:lang w:val="en-CA"/>
        </w:rPr>
        <w:t>2 and 37–38; Exhibit IN</w:t>
      </w:r>
      <w:r w:rsidRPr="0045720B">
        <w:rPr>
          <w:lang w:val="en-CA"/>
        </w:rPr>
        <w:noBreakHyphen/>
        <w:t xml:space="preserve">3, Expert report of Robert S. Wright, April </w:t>
      </w:r>
      <w:r w:rsidR="00426173">
        <w:rPr>
          <w:lang w:val="en-CA"/>
        </w:rPr>
        <w:t xml:space="preserve">1, </w:t>
      </w:r>
      <w:r w:rsidRPr="0045720B">
        <w:rPr>
          <w:lang w:val="en-CA"/>
        </w:rPr>
        <w:t>2022</w:t>
      </w:r>
      <w:r w:rsidR="00083108">
        <w:rPr>
          <w:lang w:val="en-CA"/>
        </w:rPr>
        <w:t>, p. 5</w:t>
      </w:r>
      <w:r w:rsidRPr="0045720B">
        <w:rPr>
          <w:lang w:val="en-CA"/>
        </w:rPr>
        <w:t>; Exhibit P</w:t>
      </w:r>
      <w:r w:rsidRPr="0045720B">
        <w:rPr>
          <w:lang w:val="en-CA"/>
        </w:rPr>
        <w:noBreakHyphen/>
        <w:t xml:space="preserve">28, The Honourable Michael H. Tulloch, </w:t>
      </w:r>
      <w:r w:rsidRPr="0045720B">
        <w:rPr>
          <w:i/>
          <w:iCs/>
          <w:lang w:val="en-CA"/>
        </w:rPr>
        <w:t>Report of the Independent Street Checks Review</w:t>
      </w:r>
      <w:r w:rsidRPr="0045720B">
        <w:rPr>
          <w:lang w:val="en-CA"/>
        </w:rPr>
        <w:t>, 2018</w:t>
      </w:r>
      <w:r w:rsidR="001E1B82">
        <w:rPr>
          <w:lang w:val="en-CA"/>
        </w:rPr>
        <w:t>,</w:t>
      </w:r>
      <w:r w:rsidR="005D436F">
        <w:rPr>
          <w:lang w:val="en-CA"/>
        </w:rPr>
        <w:t xml:space="preserve"> para.</w:t>
      </w:r>
      <w:r w:rsidRPr="0045720B">
        <w:rPr>
          <w:lang w:val="en-CA"/>
        </w:rPr>
        <w:t xml:space="preserve"> 68.</w:t>
      </w:r>
    </w:p>
  </w:footnote>
  <w:footnote w:id="296">
    <w:p w14:paraId="5491247B" w14:textId="6BEA4400" w:rsidR="002C29F2" w:rsidRPr="0045720B" w:rsidRDefault="002C29F2" w:rsidP="002C29F2">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t>Exhibit P</w:t>
      </w:r>
      <w:r w:rsidRPr="0045720B">
        <w:rPr>
          <w:szCs w:val="16"/>
          <w:lang w:val="en-CA"/>
        </w:rPr>
        <w:noBreakHyphen/>
        <w:t>4, Expert report of Marie</w:t>
      </w:r>
      <w:r w:rsidRPr="0045720B">
        <w:rPr>
          <w:szCs w:val="16"/>
          <w:lang w:val="en-CA"/>
        </w:rPr>
        <w:noBreakHyphen/>
        <w:t xml:space="preserve">Ève Sylvestre, February </w:t>
      </w:r>
      <w:r w:rsidR="00A675F9">
        <w:rPr>
          <w:szCs w:val="16"/>
          <w:lang w:val="en-CA"/>
        </w:rPr>
        <w:t xml:space="preserve">7, </w:t>
      </w:r>
      <w:r w:rsidRPr="0045720B">
        <w:rPr>
          <w:szCs w:val="16"/>
          <w:lang w:val="en-CA"/>
        </w:rPr>
        <w:t xml:space="preserve">2022, </w:t>
      </w:r>
      <w:r w:rsidR="0096236F">
        <w:rPr>
          <w:szCs w:val="16"/>
          <w:lang w:val="en-CA"/>
        </w:rPr>
        <w:t xml:space="preserve">appendix </w:t>
      </w:r>
      <w:r w:rsidRPr="0045720B">
        <w:rPr>
          <w:szCs w:val="16"/>
          <w:lang w:val="en-CA"/>
        </w:rPr>
        <w:t xml:space="preserve">MES-055,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706F32">
        <w:rPr>
          <w:szCs w:val="16"/>
          <w:lang w:val="en-CA"/>
        </w:rPr>
        <w:t xml:space="preserve"> p. 2</w:t>
      </w:r>
      <w:r w:rsidR="002E5F6D" w:rsidRPr="0045720B">
        <w:rPr>
          <w:szCs w:val="16"/>
          <w:lang w:val="en-CA"/>
        </w:rPr>
        <w:t>6</w:t>
      </w:r>
      <w:r w:rsidRPr="0045720B">
        <w:rPr>
          <w:szCs w:val="16"/>
          <w:lang w:val="en-CA"/>
        </w:rPr>
        <w:t>.</w:t>
      </w:r>
    </w:p>
  </w:footnote>
  <w:footnote w:id="297">
    <w:p w14:paraId="652CC875" w14:textId="5CA163DE"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6C0887">
        <w:rPr>
          <w:lang w:val="en-CA"/>
        </w:rPr>
        <w:t xml:space="preserve">7, </w:t>
      </w:r>
      <w:r w:rsidRPr="0045720B">
        <w:rPr>
          <w:lang w:val="en-CA"/>
        </w:rPr>
        <w:t>2022</w:t>
      </w:r>
      <w:r w:rsidR="001E1B82">
        <w:rPr>
          <w:lang w:val="en-CA"/>
        </w:rPr>
        <w:t>,</w:t>
      </w:r>
      <w:r w:rsidR="00083108">
        <w:rPr>
          <w:lang w:val="en-CA"/>
        </w:rPr>
        <w:t xml:space="preserve"> p. 3</w:t>
      </w:r>
      <w:r w:rsidRPr="0045720B">
        <w:rPr>
          <w:lang w:val="en-CA"/>
        </w:rPr>
        <w:t>8. See also: Exhibit IN</w:t>
      </w:r>
      <w:r w:rsidRPr="0045720B">
        <w:rPr>
          <w:lang w:val="en-CA"/>
        </w:rPr>
        <w:noBreakHyphen/>
        <w:t xml:space="preserve">3, Expert report of Robert S. Wright, April </w:t>
      </w:r>
      <w:r w:rsidR="006C0887">
        <w:rPr>
          <w:lang w:val="en-CA"/>
        </w:rPr>
        <w:t xml:space="preserve">1, </w:t>
      </w:r>
      <w:r w:rsidRPr="0045720B">
        <w:rPr>
          <w:lang w:val="en-CA"/>
        </w:rPr>
        <w:t>2022</w:t>
      </w:r>
      <w:r w:rsidR="001E1B82">
        <w:rPr>
          <w:lang w:val="en-CA"/>
        </w:rPr>
        <w:t>,</w:t>
      </w:r>
      <w:r w:rsidR="00706F32">
        <w:rPr>
          <w:lang w:val="en-CA"/>
        </w:rPr>
        <w:t xml:space="preserve"> p. 1</w:t>
      </w:r>
      <w:r w:rsidRPr="0045720B">
        <w:rPr>
          <w:lang w:val="en-CA"/>
        </w:rPr>
        <w:t xml:space="preserve">4; Exhibit P-32, Commission des droits de la personne et des droits de la jeunesse (Québec), </w:t>
      </w:r>
      <w:r w:rsidRPr="0045720B">
        <w:rPr>
          <w:i/>
          <w:iCs/>
          <w:lang w:val="en-CA"/>
        </w:rPr>
        <w:t>Racial Profiling and Systemic Discrimination of Racialized Youth: Report of the Consultation on Racial Profiling and its Consequences</w:t>
      </w:r>
      <w:r w:rsidRPr="0045720B">
        <w:rPr>
          <w:lang w:val="en-CA"/>
        </w:rPr>
        <w:t>, March 2011</w:t>
      </w:r>
      <w:r w:rsidR="001E1B82">
        <w:rPr>
          <w:lang w:val="en-CA"/>
        </w:rPr>
        <w:t>,</w:t>
      </w:r>
      <w:r w:rsidR="00083108">
        <w:rPr>
          <w:lang w:val="en-CA"/>
        </w:rPr>
        <w:t xml:space="preserve"> p. 3</w:t>
      </w:r>
      <w:r w:rsidRPr="0045720B">
        <w:rPr>
          <w:lang w:val="en-CA"/>
        </w:rPr>
        <w:t>2.</w:t>
      </w:r>
    </w:p>
  </w:footnote>
  <w:footnote w:id="298">
    <w:p w14:paraId="60BA2F12" w14:textId="4B87647D"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P-32, Commission des droits de la personne et des droits de la jeunesse (Québec), </w:t>
      </w:r>
      <w:r w:rsidRPr="0045720B">
        <w:rPr>
          <w:i/>
          <w:iCs/>
          <w:lang w:val="en-CA"/>
        </w:rPr>
        <w:t>Racial Profiling and Systemic Discrimination of Racialized Youth: Report of the Consultation on Racial Profiling and its Consequences</w:t>
      </w:r>
      <w:r w:rsidRPr="0045720B">
        <w:rPr>
          <w:lang w:val="en-CA"/>
        </w:rPr>
        <w:t>, March 2011</w:t>
      </w:r>
      <w:r w:rsidR="001E1B82">
        <w:rPr>
          <w:lang w:val="en-CA"/>
        </w:rPr>
        <w:t>,</w:t>
      </w:r>
      <w:r w:rsidR="00083108">
        <w:rPr>
          <w:lang w:val="en-CA"/>
        </w:rPr>
        <w:t xml:space="preserve"> pp. 1</w:t>
      </w:r>
      <w:r w:rsidRPr="0045720B">
        <w:rPr>
          <w:lang w:val="en-CA"/>
        </w:rPr>
        <w:t>5 and 24.</w:t>
      </w:r>
    </w:p>
  </w:footnote>
  <w:footnote w:id="299">
    <w:p w14:paraId="011A45DF" w14:textId="0ACB3C1A"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7A24AD">
        <w:rPr>
          <w:lang w:val="en-CA"/>
        </w:rPr>
        <w:t xml:space="preserve">7, </w:t>
      </w:r>
      <w:r w:rsidRPr="0045720B">
        <w:rPr>
          <w:lang w:val="en-CA"/>
        </w:rPr>
        <w:t>2022</w:t>
      </w:r>
      <w:r w:rsidR="001E1B82">
        <w:rPr>
          <w:lang w:val="en-CA"/>
        </w:rPr>
        <w:t>,</w:t>
      </w:r>
      <w:r w:rsidR="00083108">
        <w:rPr>
          <w:lang w:val="en-CA"/>
        </w:rPr>
        <w:t xml:space="preserve"> p. 5</w:t>
      </w:r>
      <w:r w:rsidRPr="0045720B">
        <w:rPr>
          <w:lang w:val="en-CA"/>
        </w:rPr>
        <w:t>0.</w:t>
      </w:r>
    </w:p>
  </w:footnote>
  <w:footnote w:id="300">
    <w:p w14:paraId="6B7C069C" w14:textId="22A01665"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lang w:val="en-CA"/>
        </w:rPr>
        <w:t>, p. 5</w:t>
      </w:r>
      <w:r w:rsidRPr="0045720B">
        <w:rPr>
          <w:lang w:val="en-CA"/>
        </w:rPr>
        <w:t>3.</w:t>
      </w:r>
    </w:p>
  </w:footnote>
  <w:footnote w:id="301">
    <w:p w14:paraId="7DF5BC07" w14:textId="7716D79E"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083108">
        <w:rPr>
          <w:i/>
          <w:iCs/>
          <w:lang w:val="en-CA"/>
        </w:rPr>
        <w:t>, pp. 3</w:t>
      </w:r>
      <w:r w:rsidRPr="0045720B">
        <w:rPr>
          <w:lang w:val="en-CA"/>
        </w:rPr>
        <w:t>2, 49</w:t>
      </w:r>
      <w:r w:rsidR="0096236F">
        <w:rPr>
          <w:lang w:val="en-CA"/>
        </w:rPr>
        <w:t>,</w:t>
      </w:r>
      <w:r w:rsidRPr="0045720B">
        <w:rPr>
          <w:lang w:val="en-CA"/>
        </w:rPr>
        <w:t xml:space="preserve"> and 51.</w:t>
      </w:r>
    </w:p>
  </w:footnote>
  <w:footnote w:id="302">
    <w:p w14:paraId="586A3B9E" w14:textId="3EC65817"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i/>
          <w:iCs/>
          <w:lang w:val="en-CA"/>
        </w:rPr>
        <w:tab/>
        <w:t>Id.</w:t>
      </w:r>
      <w:r w:rsidR="00083108">
        <w:rPr>
          <w:lang w:val="en-CA"/>
        </w:rPr>
        <w:t>, pp. 4</w:t>
      </w:r>
      <w:r w:rsidRPr="0045720B">
        <w:rPr>
          <w:lang w:val="en-CA"/>
        </w:rPr>
        <w:t>9 and 53</w:t>
      </w:r>
      <w:r w:rsidR="00F77662">
        <w:rPr>
          <w:lang w:val="en-CA"/>
        </w:rPr>
        <w:t>ff</w:t>
      </w:r>
      <w:r w:rsidRPr="0045720B">
        <w:rPr>
          <w:lang w:val="en-CA"/>
        </w:rPr>
        <w:t>.; Exhibit P</w:t>
      </w:r>
      <w:r w:rsidRPr="0045720B">
        <w:rPr>
          <w:lang w:val="en-CA"/>
        </w:rPr>
        <w:noBreakHyphen/>
        <w:t xml:space="preserve">32, Commission des droits de la personne et des droits de la jeunesse (Québec), </w:t>
      </w:r>
      <w:r w:rsidRPr="0045720B">
        <w:rPr>
          <w:i/>
          <w:iCs/>
          <w:lang w:val="en-CA"/>
        </w:rPr>
        <w:t>Racial Profiling and Systemic Discrimination of Racialized Youth: Report of the Consultation on Racial Profiling and its Consequences</w:t>
      </w:r>
      <w:r w:rsidRPr="0045720B">
        <w:rPr>
          <w:szCs w:val="16"/>
          <w:lang w:val="en-CA"/>
        </w:rPr>
        <w:t>, March 2011</w:t>
      </w:r>
      <w:r w:rsidR="001E1B82">
        <w:rPr>
          <w:szCs w:val="16"/>
          <w:lang w:val="en-CA"/>
        </w:rPr>
        <w:t>,</w:t>
      </w:r>
      <w:r w:rsidR="00083108">
        <w:rPr>
          <w:szCs w:val="16"/>
          <w:lang w:val="en-CA"/>
        </w:rPr>
        <w:t xml:space="preserve"> pp. 1</w:t>
      </w:r>
      <w:r w:rsidRPr="0045720B">
        <w:rPr>
          <w:szCs w:val="16"/>
          <w:lang w:val="en-CA"/>
        </w:rPr>
        <w:t>5 and 24. See also: Exhibit P</w:t>
      </w:r>
      <w:r w:rsidRPr="0045720B">
        <w:rPr>
          <w:szCs w:val="16"/>
          <w:lang w:val="en-CA"/>
        </w:rPr>
        <w:noBreakHyphen/>
        <w:t>4, Expert report of Marie</w:t>
      </w:r>
      <w:r w:rsidRPr="0045720B">
        <w:rPr>
          <w:szCs w:val="16"/>
          <w:lang w:val="en-CA"/>
        </w:rPr>
        <w:noBreakHyphen/>
        <w:t xml:space="preserve">Ève Sylvestre, February </w:t>
      </w:r>
      <w:r w:rsidR="00B87E2C">
        <w:rPr>
          <w:szCs w:val="16"/>
          <w:lang w:val="en-CA"/>
        </w:rPr>
        <w:t xml:space="preserve">7, </w:t>
      </w:r>
      <w:r w:rsidRPr="0045720B">
        <w:rPr>
          <w:szCs w:val="16"/>
          <w:lang w:val="en-CA"/>
        </w:rPr>
        <w:t xml:space="preserve">2022, </w:t>
      </w:r>
      <w:r w:rsidR="0096236F">
        <w:rPr>
          <w:szCs w:val="16"/>
          <w:lang w:val="en-CA"/>
        </w:rPr>
        <w:t xml:space="preserve">appendix </w:t>
      </w:r>
      <w:r w:rsidRPr="0045720B">
        <w:rPr>
          <w:szCs w:val="16"/>
          <w:lang w:val="en-CA"/>
        </w:rPr>
        <w:t xml:space="preserve">MES-055,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083108">
        <w:rPr>
          <w:szCs w:val="16"/>
          <w:lang w:val="en-CA"/>
        </w:rPr>
        <w:t xml:space="preserve"> pp. 3</w:t>
      </w:r>
      <w:r w:rsidR="005D3A3A">
        <w:rPr>
          <w:szCs w:val="16"/>
          <w:lang w:val="en-CA"/>
        </w:rPr>
        <w:t>0</w:t>
      </w:r>
      <w:r w:rsidR="00F77662">
        <w:rPr>
          <w:szCs w:val="16"/>
          <w:lang w:val="en-CA"/>
        </w:rPr>
        <w:t>ff</w:t>
      </w:r>
      <w:r w:rsidRPr="0045720B">
        <w:rPr>
          <w:szCs w:val="16"/>
          <w:lang w:val="en-CA"/>
        </w:rPr>
        <w:t>.</w:t>
      </w:r>
    </w:p>
  </w:footnote>
  <w:footnote w:id="303">
    <w:p w14:paraId="20EB3F93" w14:textId="1C32D458"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 xml:space="preserve">1, Expert report of Massimiliano Mulone, January </w:t>
      </w:r>
      <w:r w:rsidR="00D67785">
        <w:rPr>
          <w:lang w:val="en-CA"/>
        </w:rPr>
        <w:t xml:space="preserve">31, </w:t>
      </w:r>
      <w:r w:rsidRPr="0045720B">
        <w:rPr>
          <w:lang w:val="en-CA"/>
        </w:rPr>
        <w:t>2022</w:t>
      </w:r>
      <w:r w:rsidR="001E1B82">
        <w:rPr>
          <w:lang w:val="en-CA"/>
        </w:rPr>
        <w:t>,</w:t>
      </w:r>
      <w:r w:rsidR="00083108">
        <w:rPr>
          <w:lang w:val="en-CA"/>
        </w:rPr>
        <w:t xml:space="preserve"> p. 3</w:t>
      </w:r>
      <w:r w:rsidRPr="0045720B">
        <w:rPr>
          <w:lang w:val="en-CA"/>
        </w:rPr>
        <w:t>2.</w:t>
      </w:r>
    </w:p>
  </w:footnote>
  <w:footnote w:id="304">
    <w:p w14:paraId="779890D0" w14:textId="62206A7C"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P-31, Ontario Human Rights Commission, </w:t>
      </w:r>
      <w:r w:rsidRPr="0045720B">
        <w:rPr>
          <w:i/>
          <w:iCs/>
          <w:lang w:val="en-CA"/>
        </w:rPr>
        <w:t>Under suspicion – Research and consultation report on racial profiling in Ontario</w:t>
      </w:r>
      <w:r w:rsidRPr="0045720B">
        <w:rPr>
          <w:szCs w:val="16"/>
          <w:lang w:val="en-CA"/>
        </w:rPr>
        <w:t>, April 2017</w:t>
      </w:r>
      <w:r w:rsidR="001E1B82">
        <w:rPr>
          <w:szCs w:val="16"/>
          <w:lang w:val="en-CA"/>
        </w:rPr>
        <w:t>,</w:t>
      </w:r>
      <w:r w:rsidR="00083108">
        <w:rPr>
          <w:szCs w:val="16"/>
          <w:lang w:val="en-CA"/>
        </w:rPr>
        <w:t xml:space="preserve"> p. 8</w:t>
      </w:r>
      <w:r w:rsidR="00751140" w:rsidRPr="0045720B">
        <w:rPr>
          <w:szCs w:val="16"/>
          <w:lang w:val="en-CA"/>
        </w:rPr>
        <w:t>3</w:t>
      </w:r>
      <w:r w:rsidRPr="0045720B">
        <w:rPr>
          <w:szCs w:val="16"/>
          <w:lang w:val="en-CA"/>
        </w:rPr>
        <w:t>; Exhibit P</w:t>
      </w:r>
      <w:r w:rsidRPr="0045720B">
        <w:rPr>
          <w:szCs w:val="16"/>
          <w:lang w:val="en-CA"/>
        </w:rPr>
        <w:noBreakHyphen/>
        <w:t>4, Expert report of Marie</w:t>
      </w:r>
      <w:r w:rsidRPr="0045720B">
        <w:rPr>
          <w:szCs w:val="16"/>
          <w:lang w:val="en-CA"/>
        </w:rPr>
        <w:noBreakHyphen/>
        <w:t xml:space="preserve">Ève Sylvestre, February </w:t>
      </w:r>
      <w:r w:rsidR="006E5D11">
        <w:rPr>
          <w:szCs w:val="16"/>
          <w:lang w:val="en-CA"/>
        </w:rPr>
        <w:t xml:space="preserve">7, </w:t>
      </w:r>
      <w:r w:rsidRPr="0045720B">
        <w:rPr>
          <w:szCs w:val="16"/>
          <w:lang w:val="en-CA"/>
        </w:rPr>
        <w:t xml:space="preserve">2022, </w:t>
      </w:r>
      <w:r w:rsidR="0096236F">
        <w:rPr>
          <w:szCs w:val="16"/>
          <w:lang w:val="en-CA"/>
        </w:rPr>
        <w:t>appendix</w:t>
      </w:r>
      <w:r w:rsidRPr="0045720B">
        <w:rPr>
          <w:szCs w:val="16"/>
          <w:lang w:val="en-CA"/>
        </w:rPr>
        <w:t xml:space="preserve"> MES-055, Ontario Human Rights Commission, </w:t>
      </w:r>
      <w:r w:rsidRPr="0045720B">
        <w:rPr>
          <w:i/>
          <w:iCs/>
          <w:szCs w:val="16"/>
          <w:lang w:val="en-CA"/>
        </w:rPr>
        <w:t>Paying the Price: The Human Cost of Racial Profiling</w:t>
      </w:r>
      <w:r w:rsidRPr="0045720B">
        <w:rPr>
          <w:szCs w:val="16"/>
          <w:lang w:val="en-CA"/>
        </w:rPr>
        <w:t xml:space="preserve"> </w:t>
      </w:r>
      <w:r w:rsidRPr="0045720B">
        <w:rPr>
          <w:i/>
          <w:iCs/>
          <w:szCs w:val="16"/>
          <w:lang w:val="en-CA"/>
        </w:rPr>
        <w:t>– Inquiry Report</w:t>
      </w:r>
      <w:r w:rsidRPr="0045720B">
        <w:rPr>
          <w:szCs w:val="16"/>
          <w:lang w:val="en-CA"/>
        </w:rPr>
        <w:t>, 2003</w:t>
      </w:r>
      <w:r w:rsidR="001E1B82">
        <w:rPr>
          <w:szCs w:val="16"/>
          <w:lang w:val="en-CA"/>
        </w:rPr>
        <w:t>,</w:t>
      </w:r>
      <w:r w:rsidR="00083108">
        <w:rPr>
          <w:szCs w:val="16"/>
          <w:lang w:val="en-CA"/>
        </w:rPr>
        <w:t xml:space="preserve"> pp. </w:t>
      </w:r>
      <w:r w:rsidR="005A5DB0">
        <w:rPr>
          <w:szCs w:val="16"/>
          <w:lang w:val="en-CA"/>
        </w:rPr>
        <w:t>35–37</w:t>
      </w:r>
      <w:r w:rsidRPr="0045720B">
        <w:rPr>
          <w:szCs w:val="16"/>
          <w:lang w:val="en-CA"/>
        </w:rPr>
        <w:t>.</w:t>
      </w:r>
    </w:p>
  </w:footnote>
  <w:footnote w:id="305">
    <w:p w14:paraId="422CCDB0" w14:textId="43C1E3C3" w:rsidR="001A3EF8" w:rsidRPr="0045720B" w:rsidRDefault="0043013D" w:rsidP="001A3EF8">
      <w:pPr>
        <w:pStyle w:val="Notedebasdepage"/>
        <w:rPr>
          <w:lang w:val="en-CA"/>
        </w:rPr>
      </w:pPr>
      <w:r w:rsidRPr="0045720B">
        <w:rPr>
          <w:rStyle w:val="Appelnotedebasdep"/>
          <w:lang w:val="en-CA"/>
        </w:rPr>
        <w:footnoteRef/>
      </w:r>
      <w:r w:rsidR="00542755" w:rsidRPr="0045720B">
        <w:rPr>
          <w:lang w:val="en-CA"/>
        </w:rPr>
        <w:t xml:space="preserve"> </w:t>
      </w:r>
      <w:r w:rsidR="00542755" w:rsidRPr="0045720B">
        <w:rPr>
          <w:lang w:val="en-CA"/>
        </w:rPr>
        <w:tab/>
      </w:r>
      <w:r w:rsidR="00A83261" w:rsidRPr="0045720B">
        <w:rPr>
          <w:lang w:val="en-CA"/>
        </w:rPr>
        <w:t>Exhibit</w:t>
      </w:r>
      <w:r w:rsidR="00542755" w:rsidRPr="0045720B">
        <w:rPr>
          <w:lang w:val="en-CA"/>
        </w:rPr>
        <w:t xml:space="preserve"> P</w:t>
      </w:r>
      <w:r w:rsidR="00542755" w:rsidRPr="0045720B">
        <w:rPr>
          <w:lang w:val="en-CA"/>
        </w:rPr>
        <w:noBreakHyphen/>
        <w:t xml:space="preserve">4, </w:t>
      </w:r>
      <w:r w:rsidR="00293A4C" w:rsidRPr="0045720B">
        <w:rPr>
          <w:lang w:val="en-CA"/>
        </w:rPr>
        <w:t>Expert report of</w:t>
      </w:r>
      <w:r w:rsidR="00542755" w:rsidRPr="0045720B">
        <w:rPr>
          <w:lang w:val="en-CA"/>
        </w:rPr>
        <w:t xml:space="preserve"> Marie</w:t>
      </w:r>
      <w:r w:rsidR="00542755" w:rsidRPr="0045720B">
        <w:rPr>
          <w:lang w:val="en-CA"/>
        </w:rPr>
        <w:noBreakHyphen/>
        <w:t xml:space="preserve">Ève Sylvestre, </w:t>
      </w:r>
      <w:r w:rsidR="00293A4C" w:rsidRPr="0045720B">
        <w:rPr>
          <w:lang w:val="en-CA"/>
        </w:rPr>
        <w:t>February</w:t>
      </w:r>
      <w:r w:rsidR="00542755" w:rsidRPr="0045720B">
        <w:rPr>
          <w:lang w:val="en-CA"/>
        </w:rPr>
        <w:t xml:space="preserve"> </w:t>
      </w:r>
      <w:r w:rsidR="00A0203D">
        <w:rPr>
          <w:lang w:val="en-CA"/>
        </w:rPr>
        <w:t xml:space="preserve">7, </w:t>
      </w:r>
      <w:r w:rsidR="00542755" w:rsidRPr="0045720B">
        <w:rPr>
          <w:lang w:val="en-CA"/>
        </w:rPr>
        <w:t>2022</w:t>
      </w:r>
      <w:r w:rsidR="001E1B82">
        <w:rPr>
          <w:lang w:val="en-CA"/>
        </w:rPr>
        <w:t>,</w:t>
      </w:r>
      <w:r w:rsidR="00083108">
        <w:rPr>
          <w:lang w:val="en-CA"/>
        </w:rPr>
        <w:t xml:space="preserve"> p. 3</w:t>
      </w:r>
      <w:r w:rsidR="00542755" w:rsidRPr="0045720B">
        <w:rPr>
          <w:lang w:val="en-CA"/>
        </w:rPr>
        <w:t>3.</w:t>
      </w:r>
    </w:p>
  </w:footnote>
  <w:footnote w:id="306">
    <w:p w14:paraId="4BDBC057" w14:textId="060A4357"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83261" w:rsidRPr="0045720B">
        <w:rPr>
          <w:lang w:val="en-CA"/>
        </w:rPr>
        <w:t>Exhibit</w:t>
      </w:r>
      <w:r w:rsidRPr="0045720B">
        <w:rPr>
          <w:lang w:val="en-CA"/>
        </w:rPr>
        <w:t xml:space="preserve"> P-29, </w:t>
      </w:r>
      <w:r w:rsidR="00A83261" w:rsidRPr="0045720B">
        <w:rPr>
          <w:lang w:val="en-CA"/>
        </w:rPr>
        <w:t>Ontario Human Rights Commission</w:t>
      </w:r>
      <w:r w:rsidRPr="0045720B">
        <w:rPr>
          <w:lang w:val="en-CA"/>
        </w:rPr>
        <w:t xml:space="preserve">, </w:t>
      </w:r>
      <w:r w:rsidR="003514B8" w:rsidRPr="0045720B">
        <w:rPr>
          <w:i/>
          <w:iCs/>
          <w:lang w:val="en-CA"/>
        </w:rPr>
        <w:t xml:space="preserve">A Collective Impact: Interim report on the inquiry into racial profiling and racial discrimination of Black persons by the Toronto Police Service, </w:t>
      </w:r>
      <w:r w:rsidR="003514B8" w:rsidRPr="0045720B">
        <w:rPr>
          <w:lang w:val="en-CA"/>
        </w:rPr>
        <w:t>November</w:t>
      </w:r>
      <w:r w:rsidRPr="0045720B">
        <w:rPr>
          <w:lang w:val="en-CA"/>
        </w:rPr>
        <w:t xml:space="preserve"> 2018.</w:t>
      </w:r>
    </w:p>
  </w:footnote>
  <w:footnote w:id="307">
    <w:p w14:paraId="30F9C06B" w14:textId="1B88E820"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4, Expert report of Marie</w:t>
      </w:r>
      <w:r w:rsidRPr="0045720B">
        <w:rPr>
          <w:lang w:val="en-CA"/>
        </w:rPr>
        <w:noBreakHyphen/>
        <w:t xml:space="preserve">Ève Sylvestre, February </w:t>
      </w:r>
      <w:r w:rsidR="004C37BB">
        <w:rPr>
          <w:lang w:val="en-CA"/>
        </w:rPr>
        <w:t xml:space="preserve">7, </w:t>
      </w:r>
      <w:r w:rsidRPr="0045720B">
        <w:rPr>
          <w:lang w:val="en-CA"/>
        </w:rPr>
        <w:t>2022</w:t>
      </w:r>
      <w:r w:rsidR="001E1B82">
        <w:rPr>
          <w:lang w:val="en-CA"/>
        </w:rPr>
        <w:t>,</w:t>
      </w:r>
      <w:r w:rsidR="00083108">
        <w:rPr>
          <w:lang w:val="en-CA"/>
        </w:rPr>
        <w:t xml:space="preserve"> p. 4</w:t>
      </w:r>
      <w:r w:rsidRPr="0045720B">
        <w:rPr>
          <w:lang w:val="en-CA"/>
        </w:rPr>
        <w:t>9.</w:t>
      </w:r>
    </w:p>
  </w:footnote>
  <w:footnote w:id="308">
    <w:p w14:paraId="408EC78E" w14:textId="5BF9B3F7" w:rsidR="002C29F2" w:rsidRPr="0045720B" w:rsidRDefault="002C29F2" w:rsidP="002C29F2">
      <w:pPr>
        <w:pStyle w:val="Notedebasdepage"/>
        <w:rPr>
          <w:lang w:val="en-CA"/>
        </w:rPr>
      </w:pPr>
      <w:r w:rsidRPr="0045720B">
        <w:rPr>
          <w:rStyle w:val="Appelnotedebasdep"/>
          <w:lang w:val="en-CA"/>
        </w:rPr>
        <w:footnoteRef/>
      </w:r>
      <w:r w:rsidRPr="0045720B">
        <w:rPr>
          <w:lang w:val="en-CA"/>
        </w:rPr>
        <w:t xml:space="preserve"> </w:t>
      </w:r>
      <w:r w:rsidRPr="0045720B">
        <w:rPr>
          <w:lang w:val="en-CA"/>
        </w:rPr>
        <w:tab/>
        <w:t>Exhibit P</w:t>
      </w:r>
      <w:r w:rsidRPr="0045720B">
        <w:rPr>
          <w:lang w:val="en-CA"/>
        </w:rPr>
        <w:noBreakHyphen/>
        <w:t xml:space="preserve">1, Expert report of Massimiliano Mulone, January </w:t>
      </w:r>
      <w:r w:rsidR="00527AD0">
        <w:rPr>
          <w:lang w:val="en-CA"/>
        </w:rPr>
        <w:t xml:space="preserve">31, </w:t>
      </w:r>
      <w:r w:rsidRPr="0045720B">
        <w:rPr>
          <w:lang w:val="en-CA"/>
        </w:rPr>
        <w:t>2022</w:t>
      </w:r>
      <w:r w:rsidR="001E1B82">
        <w:rPr>
          <w:lang w:val="en-CA"/>
        </w:rPr>
        <w:t>,</w:t>
      </w:r>
      <w:r w:rsidR="00083108">
        <w:rPr>
          <w:lang w:val="en-CA"/>
        </w:rPr>
        <w:t xml:space="preserve"> pp. 8</w:t>
      </w:r>
      <w:r w:rsidRPr="0045720B">
        <w:rPr>
          <w:lang w:val="en-CA"/>
        </w:rPr>
        <w:t>–9; Exhibit P</w:t>
      </w:r>
      <w:r w:rsidRPr="0045720B">
        <w:rPr>
          <w:lang w:val="en-CA"/>
        </w:rPr>
        <w:noBreakHyphen/>
        <w:t xml:space="preserve">29, Ontario Human Rights Commission, </w:t>
      </w:r>
      <w:r w:rsidRPr="0045720B">
        <w:rPr>
          <w:i/>
          <w:iCs/>
          <w:lang w:val="en-CA"/>
        </w:rPr>
        <w:t xml:space="preserve">A Collective Impact: Interim report on the inquiry into racial profiling and racial discrimination of Black persons by the Toronto Police Service, </w:t>
      </w:r>
      <w:r w:rsidRPr="0045720B">
        <w:rPr>
          <w:lang w:val="en-CA"/>
        </w:rPr>
        <w:t>November 2018.</w:t>
      </w:r>
    </w:p>
  </w:footnote>
  <w:footnote w:id="309">
    <w:p w14:paraId="746D0BB5" w14:textId="46F3EB8E" w:rsidR="00D668E7" w:rsidRPr="0045720B" w:rsidRDefault="00D668E7" w:rsidP="00D668E7">
      <w:pPr>
        <w:pStyle w:val="Notedebasdepage"/>
        <w:rPr>
          <w:lang w:val="en-CA"/>
        </w:rPr>
      </w:pPr>
      <w:r w:rsidRPr="0045720B">
        <w:rPr>
          <w:rStyle w:val="Appelnotedebasdep"/>
          <w:lang w:val="en-CA"/>
        </w:rPr>
        <w:footnoteRef/>
      </w:r>
      <w:r w:rsidRPr="00077E55">
        <w:t xml:space="preserve"> </w:t>
      </w:r>
      <w:r w:rsidRPr="00077E55">
        <w:tab/>
      </w:r>
      <w:r w:rsidRPr="00077E55">
        <w:rPr>
          <w:i/>
          <w:iCs/>
        </w:rPr>
        <w:t>R. v. Le</w:t>
      </w:r>
      <w:r w:rsidRPr="00077E55">
        <w:t>, 2019 SCC 34</w:t>
      </w:r>
      <w:r w:rsidR="005D436F" w:rsidRPr="00077E55">
        <w:t>, para.</w:t>
      </w:r>
      <w:r w:rsidRPr="00077E55">
        <w:t xml:space="preserve"> </w:t>
      </w:r>
      <w:r w:rsidRPr="0045720B">
        <w:rPr>
          <w:lang w:val="en-CA"/>
        </w:rPr>
        <w:t>95.</w:t>
      </w:r>
    </w:p>
  </w:footnote>
  <w:footnote w:id="310">
    <w:p w14:paraId="46D55C7F" w14:textId="4F00656F" w:rsidR="00D668E7" w:rsidRPr="0045720B" w:rsidRDefault="00D668E7" w:rsidP="00D668E7">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Pr="0045720B">
        <w:rPr>
          <w:lang w:val="en-CA"/>
        </w:rPr>
        <w:t xml:space="preserve"> </w:t>
      </w:r>
      <w:r w:rsidR="0096236F">
        <w:rPr>
          <w:lang w:val="en-CA"/>
        </w:rPr>
        <w:t>Th</w:t>
      </w:r>
      <w:r w:rsidR="0092128E">
        <w:rPr>
          <w:lang w:val="en-CA"/>
        </w:rPr>
        <w:t>e</w:t>
      </w:r>
      <w:r w:rsidR="0096236F">
        <w:rPr>
          <w:lang w:val="en-CA"/>
        </w:rPr>
        <w:t xml:space="preserve"> issue i</w:t>
      </w:r>
      <w:r w:rsidRPr="0045720B">
        <w:rPr>
          <w:lang w:val="en-CA"/>
        </w:rPr>
        <w:t xml:space="preserve">n that judgment was carding, but the Court’s remarks are relevant regarding </w:t>
      </w:r>
      <w:r w:rsidR="006A073A">
        <w:rPr>
          <w:lang w:val="en-CA"/>
        </w:rPr>
        <w:t xml:space="preserve">excessive traffic stops </w:t>
      </w:r>
      <w:r w:rsidRPr="0045720B">
        <w:rPr>
          <w:lang w:val="en-CA"/>
        </w:rPr>
        <w:t xml:space="preserve">of Black persons. See also: </w:t>
      </w:r>
      <w:r w:rsidRPr="0045720B">
        <w:rPr>
          <w:i/>
          <w:iCs/>
          <w:lang w:val="en-CA"/>
        </w:rPr>
        <w:t>R. v. Morris</w:t>
      </w:r>
      <w:r w:rsidRPr="0045720B">
        <w:rPr>
          <w:lang w:val="en-CA"/>
        </w:rPr>
        <w:t>, 2021 ONCA 680</w:t>
      </w:r>
      <w:r w:rsidR="005D436F">
        <w:rPr>
          <w:lang w:val="en-CA"/>
        </w:rPr>
        <w:t>, para.</w:t>
      </w:r>
      <w:r w:rsidRPr="0045720B">
        <w:rPr>
          <w:lang w:val="en-CA"/>
        </w:rPr>
        <w:t xml:space="preserve"> 1; </w:t>
      </w:r>
      <w:r w:rsidRPr="0045720B">
        <w:rPr>
          <w:i/>
          <w:iCs/>
          <w:lang w:val="en-CA"/>
        </w:rPr>
        <w:t>R. v. Dudhi</w:t>
      </w:r>
      <w:r w:rsidRPr="0045720B">
        <w:rPr>
          <w:lang w:val="en-CA"/>
        </w:rPr>
        <w:t>, 2019 ONCA 665</w:t>
      </w:r>
      <w:r w:rsidR="005D436F">
        <w:rPr>
          <w:lang w:val="en-CA"/>
        </w:rPr>
        <w:t>, para.</w:t>
      </w:r>
      <w:r w:rsidRPr="0045720B">
        <w:rPr>
          <w:lang w:val="en-CA"/>
        </w:rPr>
        <w:t xml:space="preserve"> 65, citing a passage from </w:t>
      </w:r>
      <w:r w:rsidRPr="0045720B">
        <w:rPr>
          <w:i/>
          <w:iCs/>
          <w:lang w:val="en-CA"/>
        </w:rPr>
        <w:t xml:space="preserve">Peart v. Peel Regional Police Services </w:t>
      </w:r>
      <w:r w:rsidRPr="0045720B">
        <w:rPr>
          <w:lang w:val="en-CA"/>
        </w:rPr>
        <w:t>(2006), 43 C.R. (6th) 175 (</w:t>
      </w:r>
      <w:r w:rsidR="00F049D2">
        <w:rPr>
          <w:lang w:val="en-CA"/>
        </w:rPr>
        <w:t>Ont. C.A</w:t>
      </w:r>
      <w:r w:rsidR="00F707CD">
        <w:rPr>
          <w:lang w:val="en-CA"/>
        </w:rPr>
        <w:t>.</w:t>
      </w:r>
      <w:r w:rsidRPr="0045720B">
        <w:rPr>
          <w:lang w:val="en-CA"/>
        </w:rPr>
        <w:t xml:space="preserve">), leave to appeal to SCC refused, March </w:t>
      </w:r>
      <w:r w:rsidR="00677F04">
        <w:rPr>
          <w:lang w:val="en-CA"/>
        </w:rPr>
        <w:t xml:space="preserve">29, </w:t>
      </w:r>
      <w:r w:rsidRPr="0045720B">
        <w:rPr>
          <w:lang w:val="en-CA"/>
        </w:rPr>
        <w:t>2007</w:t>
      </w:r>
      <w:r w:rsidR="00FA0665">
        <w:rPr>
          <w:lang w:val="en-CA"/>
        </w:rPr>
        <w:t xml:space="preserve">, </w:t>
      </w:r>
      <w:r w:rsidR="00FA0665" w:rsidRPr="00FA0665">
        <w:rPr>
          <w:lang w:val="en-CA"/>
        </w:rPr>
        <w:t>No. 31798</w:t>
      </w:r>
      <w:r w:rsidRPr="0045720B">
        <w:rPr>
          <w:lang w:val="en-CA"/>
        </w:rPr>
        <w:t>.</w:t>
      </w:r>
    </w:p>
  </w:footnote>
  <w:footnote w:id="311">
    <w:p w14:paraId="2999E94D" w14:textId="3706A4AC"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83261" w:rsidRPr="0045720B">
        <w:rPr>
          <w:lang w:val="en-CA"/>
        </w:rPr>
        <w:t>Exhibit</w:t>
      </w:r>
      <w:r w:rsidRPr="0045720B">
        <w:rPr>
          <w:lang w:val="en-CA"/>
        </w:rPr>
        <w:t xml:space="preserve"> P</w:t>
      </w:r>
      <w:r w:rsidRPr="0045720B">
        <w:rPr>
          <w:lang w:val="en-CA"/>
        </w:rPr>
        <w:noBreakHyphen/>
        <w:t xml:space="preserve">1, </w:t>
      </w:r>
      <w:r w:rsidR="00293A4C" w:rsidRPr="0045720B">
        <w:rPr>
          <w:lang w:val="en-CA"/>
        </w:rPr>
        <w:t>Expert report of</w:t>
      </w:r>
      <w:r w:rsidRPr="0045720B">
        <w:rPr>
          <w:lang w:val="en-CA"/>
        </w:rPr>
        <w:t xml:space="preserve"> Massimiliano Mulone, </w:t>
      </w:r>
      <w:r w:rsidR="00293A4C" w:rsidRPr="0045720B">
        <w:rPr>
          <w:lang w:val="en-CA"/>
        </w:rPr>
        <w:t>January</w:t>
      </w:r>
      <w:r w:rsidRPr="0045720B">
        <w:rPr>
          <w:lang w:val="en-CA"/>
        </w:rPr>
        <w:t xml:space="preserve"> </w:t>
      </w:r>
      <w:r w:rsidR="00176C2E">
        <w:rPr>
          <w:lang w:val="en-CA"/>
        </w:rPr>
        <w:t xml:space="preserve">31, </w:t>
      </w:r>
      <w:r w:rsidRPr="0045720B">
        <w:rPr>
          <w:lang w:val="en-CA"/>
        </w:rPr>
        <w:t>2022</w:t>
      </w:r>
      <w:r w:rsidR="001E1B82">
        <w:rPr>
          <w:lang w:val="en-CA"/>
        </w:rPr>
        <w:t>,</w:t>
      </w:r>
      <w:r w:rsidR="00083108">
        <w:rPr>
          <w:lang w:val="en-CA"/>
        </w:rPr>
        <w:t xml:space="preserve"> pp. 2</w:t>
      </w:r>
      <w:r w:rsidRPr="0045720B">
        <w:rPr>
          <w:lang w:val="en-CA"/>
        </w:rPr>
        <w:t>6</w:t>
      </w:r>
      <w:r w:rsidR="00293A4C" w:rsidRPr="0045720B">
        <w:rPr>
          <w:lang w:val="en-CA"/>
        </w:rPr>
        <w:t>–</w:t>
      </w:r>
      <w:r w:rsidRPr="0045720B">
        <w:rPr>
          <w:lang w:val="en-CA"/>
        </w:rPr>
        <w:t xml:space="preserve">27. </w:t>
      </w:r>
      <w:r w:rsidR="00293A4C" w:rsidRPr="0045720B">
        <w:rPr>
          <w:lang w:val="en-CA"/>
        </w:rPr>
        <w:t>See also</w:t>
      </w:r>
      <w:r w:rsidRPr="0045720B">
        <w:rPr>
          <w:lang w:val="en-CA"/>
        </w:rPr>
        <w:t xml:space="preserve">: </w:t>
      </w:r>
      <w:r w:rsidR="00A83261" w:rsidRPr="0045720B">
        <w:rPr>
          <w:lang w:val="en-CA"/>
        </w:rPr>
        <w:t>Exhibit</w:t>
      </w:r>
      <w:r w:rsidRPr="0045720B">
        <w:rPr>
          <w:lang w:val="en-CA"/>
        </w:rPr>
        <w:t xml:space="preserve"> P</w:t>
      </w:r>
      <w:r w:rsidRPr="0045720B">
        <w:rPr>
          <w:lang w:val="en-CA"/>
        </w:rPr>
        <w:noBreakHyphen/>
        <w:t xml:space="preserve">4, </w:t>
      </w:r>
      <w:r w:rsidR="00293A4C" w:rsidRPr="0045720B">
        <w:rPr>
          <w:lang w:val="en-CA"/>
        </w:rPr>
        <w:t>Expert report of</w:t>
      </w:r>
      <w:r w:rsidRPr="0045720B">
        <w:rPr>
          <w:lang w:val="en-CA"/>
        </w:rPr>
        <w:t xml:space="preserve"> Marie</w:t>
      </w:r>
      <w:r w:rsidRPr="0045720B">
        <w:rPr>
          <w:lang w:val="en-CA"/>
        </w:rPr>
        <w:noBreakHyphen/>
        <w:t xml:space="preserve">Ève Sylvestre, </w:t>
      </w:r>
      <w:r w:rsidR="00293A4C" w:rsidRPr="0045720B">
        <w:rPr>
          <w:lang w:val="en-CA"/>
        </w:rPr>
        <w:t>February</w:t>
      </w:r>
      <w:r w:rsidRPr="0045720B">
        <w:rPr>
          <w:lang w:val="en-CA"/>
        </w:rPr>
        <w:t xml:space="preserve"> </w:t>
      </w:r>
      <w:r w:rsidR="00176C2E">
        <w:rPr>
          <w:lang w:val="en-CA"/>
        </w:rPr>
        <w:t xml:space="preserve">7, </w:t>
      </w:r>
      <w:r w:rsidRPr="0045720B">
        <w:rPr>
          <w:lang w:val="en-CA"/>
        </w:rPr>
        <w:t>2022</w:t>
      </w:r>
      <w:r w:rsidR="001E1B82">
        <w:rPr>
          <w:lang w:val="en-CA"/>
        </w:rPr>
        <w:t>,</w:t>
      </w:r>
      <w:r w:rsidR="00706F32">
        <w:rPr>
          <w:lang w:val="en-CA"/>
        </w:rPr>
        <w:t xml:space="preserve"> p. 1</w:t>
      </w:r>
      <w:r w:rsidRPr="0045720B">
        <w:rPr>
          <w:lang w:val="en-CA"/>
        </w:rPr>
        <w:t>4.</w:t>
      </w:r>
    </w:p>
  </w:footnote>
  <w:footnote w:id="312">
    <w:p w14:paraId="109809A4" w14:textId="70AB640B"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A83261" w:rsidRPr="0045720B">
        <w:rPr>
          <w:lang w:val="en-CA"/>
        </w:rPr>
        <w:t>Exhibit</w:t>
      </w:r>
      <w:r w:rsidRPr="0045720B">
        <w:rPr>
          <w:lang w:val="en-CA"/>
        </w:rPr>
        <w:t xml:space="preserve"> P-32, Commission des droits de la personne et des droits de la jeunesse (Québec), </w:t>
      </w:r>
      <w:r w:rsidR="00293A4C" w:rsidRPr="0045720B">
        <w:rPr>
          <w:i/>
          <w:iCs/>
          <w:lang w:val="en-CA"/>
        </w:rPr>
        <w:t>Racial Profiling and Systemic Discrimination of Racialized Youth: Report of the Consultation on Racial Profiling and its Consequences</w:t>
      </w:r>
      <w:r w:rsidRPr="0045720B">
        <w:rPr>
          <w:lang w:val="en-CA"/>
        </w:rPr>
        <w:t xml:space="preserve">, </w:t>
      </w:r>
      <w:r w:rsidR="00293A4C" w:rsidRPr="0045720B">
        <w:rPr>
          <w:lang w:val="en-CA"/>
        </w:rPr>
        <w:t>March</w:t>
      </w:r>
      <w:r w:rsidRPr="0045720B">
        <w:rPr>
          <w:lang w:val="en-CA"/>
        </w:rPr>
        <w:t xml:space="preserve"> 2011</w:t>
      </w:r>
      <w:r w:rsidR="001E1B82">
        <w:rPr>
          <w:lang w:val="en-CA"/>
        </w:rPr>
        <w:t>,</w:t>
      </w:r>
      <w:r w:rsidR="00706F32">
        <w:rPr>
          <w:lang w:val="en-CA"/>
        </w:rPr>
        <w:t xml:space="preserve"> p. 2</w:t>
      </w:r>
      <w:r w:rsidR="002B33B6" w:rsidRPr="0045720B">
        <w:rPr>
          <w:lang w:val="en-CA"/>
        </w:rPr>
        <w:t>5</w:t>
      </w:r>
      <w:r w:rsidRPr="0045720B">
        <w:rPr>
          <w:lang w:val="en-CA"/>
        </w:rPr>
        <w:t>.</w:t>
      </w:r>
    </w:p>
  </w:footnote>
  <w:footnote w:id="313">
    <w:p w14:paraId="540ADFFF" w14:textId="24EF6D2E" w:rsidR="002811F9" w:rsidRPr="0045720B" w:rsidRDefault="002811F9" w:rsidP="002811F9">
      <w:pPr>
        <w:pStyle w:val="Notedebasdepage"/>
        <w:rPr>
          <w:lang w:val="en-CA"/>
        </w:rPr>
      </w:pPr>
      <w:r w:rsidRPr="0045720B">
        <w:rPr>
          <w:rStyle w:val="Appelnotedebasdep"/>
          <w:lang w:val="en-CA"/>
        </w:rPr>
        <w:footnoteRef/>
      </w:r>
      <w:r w:rsidRPr="0045720B">
        <w:rPr>
          <w:lang w:val="en-CA"/>
        </w:rPr>
        <w:t xml:space="preserve"> </w:t>
      </w:r>
      <w:r w:rsidRPr="0045720B">
        <w:rPr>
          <w:lang w:val="en-CA"/>
        </w:rPr>
        <w:tab/>
        <w:t>Trial judgment</w:t>
      </w:r>
      <w:r w:rsidR="005D436F">
        <w:rPr>
          <w:lang w:val="en-CA"/>
        </w:rPr>
        <w:t>, para.</w:t>
      </w:r>
      <w:r w:rsidRPr="0045720B">
        <w:rPr>
          <w:lang w:val="en-CA"/>
        </w:rPr>
        <w:t xml:space="preserve"> 827.</w:t>
      </w:r>
    </w:p>
  </w:footnote>
  <w:footnote w:id="314">
    <w:p w14:paraId="1EA53A6B" w14:textId="2C2E01D7" w:rsidR="002811F9" w:rsidRPr="0045720B" w:rsidRDefault="002811F9" w:rsidP="002811F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w:t>
      </w:r>
      <w:r w:rsidRPr="0045720B">
        <w:rPr>
          <w:i/>
          <w:iCs/>
          <w:lang w:val="en-CA"/>
        </w:rPr>
        <w:t>.</w:t>
      </w:r>
      <w:r w:rsidRPr="0045720B">
        <w:rPr>
          <w:lang w:val="en-CA"/>
        </w:rPr>
        <w:t xml:space="preserve"> 816.</w:t>
      </w:r>
    </w:p>
  </w:footnote>
  <w:footnote w:id="315">
    <w:p w14:paraId="79DFCA3E" w14:textId="7FA1761F" w:rsidR="002811F9" w:rsidRPr="0045720B" w:rsidRDefault="002811F9" w:rsidP="002811F9">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Quebec (Attorney General) v. A.</w:t>
      </w:r>
      <w:r w:rsidRPr="0045720B">
        <w:rPr>
          <w:lang w:val="en-CA"/>
        </w:rPr>
        <w:t>, 2013 SCC 5</w:t>
      </w:r>
      <w:r w:rsidR="005D436F">
        <w:rPr>
          <w:lang w:val="en-CA"/>
        </w:rPr>
        <w:t>, para.</w:t>
      </w:r>
      <w:r w:rsidRPr="0045720B">
        <w:rPr>
          <w:lang w:val="en-CA"/>
        </w:rPr>
        <w:t xml:space="preserve"> 332.</w:t>
      </w:r>
    </w:p>
  </w:footnote>
  <w:footnote w:id="316">
    <w:p w14:paraId="08B9BA3A" w14:textId="419F2277" w:rsidR="002811F9" w:rsidRPr="0045720B" w:rsidRDefault="002811F9" w:rsidP="002811F9">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It </w:t>
      </w:r>
      <w:r w:rsidR="0024748B">
        <w:rPr>
          <w:lang w:val="en-CA"/>
        </w:rPr>
        <w:t>could</w:t>
      </w:r>
      <w:r w:rsidR="0024748B" w:rsidRPr="0045720B">
        <w:rPr>
          <w:lang w:val="en-CA"/>
        </w:rPr>
        <w:t xml:space="preserve"> </w:t>
      </w:r>
      <w:r w:rsidRPr="0045720B">
        <w:rPr>
          <w:lang w:val="en-CA"/>
        </w:rPr>
        <w:t>also be argued that s. 636</w:t>
      </w:r>
      <w:r w:rsidR="0030762F" w:rsidRPr="0030762F">
        <w:rPr>
          <w:i/>
          <w:lang w:val="en-CA"/>
        </w:rPr>
        <w:t> HSC</w:t>
      </w:r>
      <w:r w:rsidRPr="0045720B">
        <w:rPr>
          <w:lang w:val="en-CA"/>
        </w:rPr>
        <w:t xml:space="preserve"> creates a distinction based on colour (another prohibited ground of discrimination under s. 15(1) of the </w:t>
      </w:r>
      <w:r w:rsidRPr="0045720B">
        <w:rPr>
          <w:i/>
          <w:iCs/>
          <w:lang w:val="en-CA"/>
        </w:rPr>
        <w:t>Charter</w:t>
      </w:r>
      <w:r w:rsidRPr="0045720B">
        <w:rPr>
          <w:lang w:val="en-CA"/>
        </w:rPr>
        <w:t>).</w:t>
      </w:r>
    </w:p>
  </w:footnote>
  <w:footnote w:id="317">
    <w:p w14:paraId="61487D34" w14:textId="38C5A026" w:rsidR="002811F9" w:rsidRPr="0045720B" w:rsidRDefault="002811F9" w:rsidP="002811F9">
      <w:pPr>
        <w:pStyle w:val="Notedebasdepage"/>
        <w:rPr>
          <w:lang w:val="en-CA"/>
        </w:rPr>
      </w:pPr>
      <w:r w:rsidRPr="0045720B">
        <w:rPr>
          <w:rStyle w:val="Appelnotedebasdep"/>
          <w:lang w:val="en-CA"/>
        </w:rPr>
        <w:footnoteRef/>
      </w:r>
      <w:r w:rsidRPr="0045720B">
        <w:rPr>
          <w:lang w:val="en-CA"/>
        </w:rPr>
        <w:t xml:space="preserve"> </w:t>
      </w:r>
      <w:r w:rsidRPr="0045720B">
        <w:rPr>
          <w:lang w:val="en-CA"/>
        </w:rPr>
        <w:tab/>
        <w:t>Above</w:t>
      </w:r>
      <w:r w:rsidR="00706F32">
        <w:rPr>
          <w:lang w:val="en-CA"/>
        </w:rPr>
        <w:t>, paras.</w:t>
      </w:r>
      <w:r w:rsidRPr="0045720B">
        <w:rPr>
          <w:lang w:val="en-CA"/>
        </w:rPr>
        <w:t xml:space="preserve"> </w:t>
      </w:r>
      <w:r w:rsidRPr="0045720B">
        <w:rPr>
          <w:lang w:val="en-CA"/>
        </w:rPr>
        <w:fldChar w:fldCharType="begin"/>
      </w:r>
      <w:r w:rsidRPr="0045720B">
        <w:rPr>
          <w:lang w:val="en-CA"/>
        </w:rPr>
        <w:instrText xml:space="preserve"> REF _Ref178079702 \r \h </w:instrText>
      </w:r>
      <w:r w:rsidRPr="0045720B">
        <w:rPr>
          <w:lang w:val="en-CA"/>
        </w:rPr>
      </w:r>
      <w:r w:rsidRPr="0045720B">
        <w:rPr>
          <w:lang w:val="en-CA"/>
        </w:rPr>
        <w:fldChar w:fldCharType="separate"/>
      </w:r>
      <w:r w:rsidR="00EB635D">
        <w:rPr>
          <w:lang w:val="en-CA"/>
        </w:rPr>
        <w:t>[111]</w:t>
      </w:r>
      <w:r w:rsidRPr="0045720B">
        <w:rPr>
          <w:lang w:val="en-CA"/>
        </w:rPr>
        <w:fldChar w:fldCharType="end"/>
      </w:r>
      <w:r w:rsidRPr="0045720B">
        <w:rPr>
          <w:lang w:val="en-CA"/>
        </w:rPr>
        <w:t>–</w:t>
      </w:r>
      <w:r w:rsidRPr="0045720B">
        <w:rPr>
          <w:lang w:val="en-CA"/>
        </w:rPr>
        <w:fldChar w:fldCharType="begin"/>
      </w:r>
      <w:r w:rsidRPr="0045720B">
        <w:rPr>
          <w:lang w:val="en-CA"/>
        </w:rPr>
        <w:instrText xml:space="preserve"> REF _Ref178079717 \r \h </w:instrText>
      </w:r>
      <w:r w:rsidRPr="0045720B">
        <w:rPr>
          <w:lang w:val="en-CA"/>
        </w:rPr>
      </w:r>
      <w:r w:rsidRPr="0045720B">
        <w:rPr>
          <w:lang w:val="en-CA"/>
        </w:rPr>
        <w:fldChar w:fldCharType="separate"/>
      </w:r>
      <w:r w:rsidR="00EB635D">
        <w:rPr>
          <w:lang w:val="en-CA"/>
        </w:rPr>
        <w:t>[138]</w:t>
      </w:r>
      <w:r w:rsidRPr="0045720B">
        <w:rPr>
          <w:lang w:val="en-CA"/>
        </w:rPr>
        <w:fldChar w:fldCharType="end"/>
      </w:r>
      <w:r w:rsidRPr="0045720B">
        <w:rPr>
          <w:lang w:val="en-CA"/>
        </w:rPr>
        <w:t>.</w:t>
      </w:r>
    </w:p>
  </w:footnote>
  <w:footnote w:id="318">
    <w:p w14:paraId="524E335A" w14:textId="28A954A7"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Above</w:t>
      </w:r>
      <w:r w:rsidR="00706F32">
        <w:rPr>
          <w:lang w:val="en-CA"/>
        </w:rPr>
        <w:t>, paras.</w:t>
      </w:r>
      <w:r w:rsidRPr="0045720B">
        <w:rPr>
          <w:lang w:val="en-CA"/>
        </w:rPr>
        <w:t xml:space="preserve"> </w:t>
      </w:r>
      <w:r w:rsidRPr="0045720B">
        <w:rPr>
          <w:lang w:val="en-CA"/>
        </w:rPr>
        <w:fldChar w:fldCharType="begin"/>
      </w:r>
      <w:r w:rsidRPr="0045720B">
        <w:rPr>
          <w:lang w:val="en-CA"/>
        </w:rPr>
        <w:instrText xml:space="preserve"> REF _Ref178176080 \r \h </w:instrText>
      </w:r>
      <w:r w:rsidRPr="0045720B">
        <w:rPr>
          <w:lang w:val="en-CA"/>
        </w:rPr>
      </w:r>
      <w:r w:rsidRPr="0045720B">
        <w:rPr>
          <w:lang w:val="en-CA"/>
        </w:rPr>
        <w:fldChar w:fldCharType="separate"/>
      </w:r>
      <w:r w:rsidR="00EB635D">
        <w:rPr>
          <w:lang w:val="en-CA"/>
        </w:rPr>
        <w:t>[98]</w:t>
      </w:r>
      <w:r w:rsidRPr="0045720B">
        <w:rPr>
          <w:lang w:val="en-CA"/>
        </w:rPr>
        <w:fldChar w:fldCharType="end"/>
      </w:r>
      <w:r w:rsidRPr="0045720B">
        <w:rPr>
          <w:lang w:val="en-CA"/>
        </w:rPr>
        <w:t xml:space="preserve">, </w:t>
      </w:r>
      <w:r w:rsidR="00D30FC7">
        <w:rPr>
          <w:lang w:val="en-CA"/>
        </w:rPr>
        <w:fldChar w:fldCharType="begin"/>
      </w:r>
      <w:r w:rsidR="00D30FC7">
        <w:rPr>
          <w:lang w:val="en-CA"/>
        </w:rPr>
        <w:instrText xml:space="preserve"> REF _Ref197931194 \r \h </w:instrText>
      </w:r>
      <w:r w:rsidR="00D30FC7">
        <w:rPr>
          <w:lang w:val="en-CA"/>
        </w:rPr>
      </w:r>
      <w:r w:rsidR="00D30FC7">
        <w:rPr>
          <w:lang w:val="en-CA"/>
        </w:rPr>
        <w:fldChar w:fldCharType="separate"/>
      </w:r>
      <w:r w:rsidR="00D30FC7">
        <w:rPr>
          <w:lang w:val="en-CA"/>
        </w:rPr>
        <w:t>[142]</w:t>
      </w:r>
      <w:r w:rsidR="00D30FC7">
        <w:rPr>
          <w:lang w:val="en-CA"/>
        </w:rPr>
        <w:fldChar w:fldCharType="end"/>
      </w:r>
      <w:r w:rsidRPr="0045720B">
        <w:rPr>
          <w:lang w:val="en-CA"/>
        </w:rPr>
        <w:t>–</w:t>
      </w:r>
      <w:r w:rsidRPr="0045720B">
        <w:rPr>
          <w:lang w:val="en-CA"/>
        </w:rPr>
        <w:fldChar w:fldCharType="begin"/>
      </w:r>
      <w:r w:rsidRPr="0045720B">
        <w:rPr>
          <w:lang w:val="en-CA"/>
        </w:rPr>
        <w:instrText xml:space="preserve"> REF _Ref177748469 \r \h </w:instrText>
      </w:r>
      <w:r w:rsidRPr="0045720B">
        <w:rPr>
          <w:lang w:val="en-CA"/>
        </w:rPr>
      </w:r>
      <w:r w:rsidRPr="0045720B">
        <w:rPr>
          <w:lang w:val="en-CA"/>
        </w:rPr>
        <w:fldChar w:fldCharType="separate"/>
      </w:r>
      <w:r w:rsidR="00EB635D">
        <w:rPr>
          <w:lang w:val="en-CA"/>
        </w:rPr>
        <w:t>[143]</w:t>
      </w:r>
      <w:r w:rsidRPr="0045720B">
        <w:rPr>
          <w:lang w:val="en-CA"/>
        </w:rPr>
        <w:fldChar w:fldCharType="end"/>
      </w:r>
      <w:r w:rsidRPr="0045720B">
        <w:rPr>
          <w:lang w:val="en-CA"/>
        </w:rPr>
        <w:t xml:space="preserve"> and </w:t>
      </w:r>
      <w:r w:rsidRPr="0045720B">
        <w:rPr>
          <w:lang w:val="en-CA"/>
        </w:rPr>
        <w:fldChar w:fldCharType="begin"/>
      </w:r>
      <w:r w:rsidRPr="0045720B">
        <w:rPr>
          <w:lang w:val="en-CA"/>
        </w:rPr>
        <w:instrText xml:space="preserve"> REF _Ref164957298 \r \h </w:instrText>
      </w:r>
      <w:r w:rsidRPr="0045720B">
        <w:rPr>
          <w:lang w:val="en-CA"/>
        </w:rPr>
      </w:r>
      <w:r w:rsidRPr="0045720B">
        <w:rPr>
          <w:lang w:val="en-CA"/>
        </w:rPr>
        <w:fldChar w:fldCharType="separate"/>
      </w:r>
      <w:r w:rsidR="00EB635D">
        <w:rPr>
          <w:lang w:val="en-CA"/>
        </w:rPr>
        <w:t>[197]</w:t>
      </w:r>
      <w:r w:rsidRPr="0045720B">
        <w:rPr>
          <w:lang w:val="en-CA"/>
        </w:rPr>
        <w:fldChar w:fldCharType="end"/>
      </w:r>
      <w:r w:rsidRPr="0045720B">
        <w:rPr>
          <w:lang w:val="en-CA"/>
        </w:rPr>
        <w:t>–</w:t>
      </w:r>
      <w:r w:rsidRPr="0045720B">
        <w:rPr>
          <w:lang w:val="en-CA"/>
        </w:rPr>
        <w:fldChar w:fldCharType="begin"/>
      </w:r>
      <w:r w:rsidRPr="0045720B">
        <w:rPr>
          <w:lang w:val="en-CA"/>
        </w:rPr>
        <w:instrText xml:space="preserve"> REF _Ref178176108 \r \h </w:instrText>
      </w:r>
      <w:r w:rsidRPr="0045720B">
        <w:rPr>
          <w:lang w:val="en-CA"/>
        </w:rPr>
      </w:r>
      <w:r w:rsidRPr="0045720B">
        <w:rPr>
          <w:lang w:val="en-CA"/>
        </w:rPr>
        <w:fldChar w:fldCharType="separate"/>
      </w:r>
      <w:r w:rsidR="00EB635D">
        <w:rPr>
          <w:lang w:val="en-CA"/>
        </w:rPr>
        <w:t>[198]</w:t>
      </w:r>
      <w:r w:rsidRPr="0045720B">
        <w:rPr>
          <w:lang w:val="en-CA"/>
        </w:rPr>
        <w:fldChar w:fldCharType="end"/>
      </w:r>
      <w:r w:rsidRPr="0045720B">
        <w:rPr>
          <w:lang w:val="en-CA"/>
        </w:rPr>
        <w:t>.</w:t>
      </w:r>
    </w:p>
  </w:footnote>
  <w:footnote w:id="319">
    <w:p w14:paraId="2DF5E865" w14:textId="77777777"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Exhibit P-29, Ontario Human Rights Commission, </w:t>
      </w:r>
      <w:r w:rsidRPr="0045720B">
        <w:rPr>
          <w:i/>
          <w:iCs/>
          <w:lang w:val="en-CA"/>
        </w:rPr>
        <w:t xml:space="preserve">A Collective Impact: Interim report on the inquiry into racial profiling and racial discrimination of Black persons by the Toronto Police Service, </w:t>
      </w:r>
      <w:r w:rsidRPr="0045720B">
        <w:rPr>
          <w:lang w:val="en-CA"/>
        </w:rPr>
        <w:t>November 2018.</w:t>
      </w:r>
    </w:p>
  </w:footnote>
  <w:footnote w:id="320">
    <w:p w14:paraId="1619D4D4" w14:textId="3FF915DE" w:rsidR="001A3EF8" w:rsidRPr="0045720B" w:rsidRDefault="0043013D" w:rsidP="001A3EF8">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r>
      <w:r w:rsidR="00A83261" w:rsidRPr="0045720B">
        <w:rPr>
          <w:szCs w:val="16"/>
          <w:lang w:val="en-CA"/>
        </w:rPr>
        <w:t>Exhibit</w:t>
      </w:r>
      <w:r w:rsidRPr="0045720B">
        <w:rPr>
          <w:szCs w:val="16"/>
          <w:lang w:val="en-CA"/>
        </w:rPr>
        <w:t xml:space="preserve"> P</w:t>
      </w:r>
      <w:r w:rsidRPr="0045720B">
        <w:rPr>
          <w:szCs w:val="16"/>
          <w:lang w:val="en-CA"/>
        </w:rPr>
        <w:noBreakHyphen/>
        <w:t xml:space="preserve">4, </w:t>
      </w:r>
      <w:r w:rsidR="00293A4C" w:rsidRPr="0045720B">
        <w:rPr>
          <w:szCs w:val="16"/>
          <w:lang w:val="en-CA"/>
        </w:rPr>
        <w:t>Expert report of</w:t>
      </w:r>
      <w:r w:rsidRPr="0045720B">
        <w:rPr>
          <w:szCs w:val="16"/>
          <w:lang w:val="en-CA"/>
        </w:rPr>
        <w:t xml:space="preserve"> Marie</w:t>
      </w:r>
      <w:r w:rsidRPr="0045720B">
        <w:rPr>
          <w:szCs w:val="16"/>
          <w:lang w:val="en-CA"/>
        </w:rPr>
        <w:noBreakHyphen/>
        <w:t xml:space="preserve">Ève Sylvestre, </w:t>
      </w:r>
      <w:r w:rsidR="00293A4C" w:rsidRPr="0045720B">
        <w:rPr>
          <w:szCs w:val="16"/>
          <w:lang w:val="en-CA"/>
        </w:rPr>
        <w:t>February</w:t>
      </w:r>
      <w:r w:rsidRPr="0045720B">
        <w:rPr>
          <w:szCs w:val="16"/>
          <w:lang w:val="en-CA"/>
        </w:rPr>
        <w:t xml:space="preserve"> </w:t>
      </w:r>
      <w:r w:rsidR="00161F6A">
        <w:rPr>
          <w:szCs w:val="16"/>
          <w:lang w:val="en-CA"/>
        </w:rPr>
        <w:t xml:space="preserve">7, </w:t>
      </w:r>
      <w:r w:rsidRPr="0045720B">
        <w:rPr>
          <w:szCs w:val="16"/>
          <w:lang w:val="en-CA"/>
        </w:rPr>
        <w:t xml:space="preserve">2022, </w:t>
      </w:r>
      <w:r w:rsidR="00D66166">
        <w:rPr>
          <w:szCs w:val="16"/>
          <w:lang w:val="en-CA"/>
        </w:rPr>
        <w:t>appendix</w:t>
      </w:r>
      <w:r w:rsidRPr="0045720B">
        <w:rPr>
          <w:szCs w:val="16"/>
          <w:lang w:val="en-CA"/>
        </w:rPr>
        <w:t xml:space="preserve"> MES-055, </w:t>
      </w:r>
      <w:r w:rsidR="00A83261" w:rsidRPr="0045720B">
        <w:rPr>
          <w:szCs w:val="16"/>
          <w:lang w:val="en-CA"/>
        </w:rPr>
        <w:t>Ontario Human Rights Commission</w:t>
      </w:r>
      <w:r w:rsidRPr="0045720B">
        <w:rPr>
          <w:szCs w:val="16"/>
          <w:lang w:val="en-CA"/>
        </w:rPr>
        <w:t xml:space="preserve">, </w:t>
      </w:r>
      <w:r w:rsidR="003514B8" w:rsidRPr="0045720B">
        <w:rPr>
          <w:i/>
          <w:iCs/>
          <w:szCs w:val="16"/>
          <w:lang w:val="en-CA"/>
        </w:rPr>
        <w:t>Paying the Price: The Human Cost of Racial Profiling</w:t>
      </w:r>
      <w:r w:rsidRPr="0045720B">
        <w:rPr>
          <w:szCs w:val="16"/>
          <w:lang w:val="en-CA"/>
        </w:rPr>
        <w:t>, 2003</w:t>
      </w:r>
      <w:r w:rsidR="001E1B82">
        <w:rPr>
          <w:szCs w:val="16"/>
          <w:lang w:val="en-CA"/>
        </w:rPr>
        <w:t>,</w:t>
      </w:r>
      <w:r w:rsidR="00083108">
        <w:rPr>
          <w:szCs w:val="16"/>
          <w:lang w:val="en-CA"/>
        </w:rPr>
        <w:t xml:space="preserve"> pp. 2</w:t>
      </w:r>
      <w:r w:rsidR="002B33B6" w:rsidRPr="0045720B">
        <w:rPr>
          <w:szCs w:val="16"/>
          <w:lang w:val="en-CA"/>
        </w:rPr>
        <w:t>2</w:t>
      </w:r>
      <w:r w:rsidR="00350ABA">
        <w:rPr>
          <w:szCs w:val="16"/>
          <w:lang w:val="en-CA"/>
        </w:rPr>
        <w:t>–23</w:t>
      </w:r>
      <w:r w:rsidRPr="0045720B">
        <w:rPr>
          <w:szCs w:val="16"/>
          <w:lang w:val="en-CA"/>
        </w:rPr>
        <w:t>.</w:t>
      </w:r>
    </w:p>
  </w:footnote>
  <w:footnote w:id="321">
    <w:p w14:paraId="75BC25D5" w14:textId="45D49672" w:rsidR="00FD3240" w:rsidRPr="0045720B" w:rsidRDefault="00FD3240" w:rsidP="00FD3240">
      <w:pPr>
        <w:pStyle w:val="Notedebasdepage"/>
        <w:rPr>
          <w:lang w:val="en-CA"/>
        </w:rPr>
      </w:pPr>
      <w:r w:rsidRPr="0045720B">
        <w:rPr>
          <w:rStyle w:val="Appelnotedebasdep"/>
          <w:lang w:val="en-CA"/>
        </w:rPr>
        <w:footnoteRef/>
      </w:r>
      <w:r w:rsidRPr="0045720B">
        <w:rPr>
          <w:szCs w:val="16"/>
          <w:lang w:val="en-CA"/>
        </w:rPr>
        <w:t xml:space="preserve"> </w:t>
      </w:r>
      <w:r w:rsidRPr="0045720B">
        <w:rPr>
          <w:szCs w:val="16"/>
          <w:lang w:val="en-CA"/>
        </w:rPr>
        <w:tab/>
        <w:t xml:space="preserve">Exhibit P-1, Expert report of Massimiliano Mulone, January </w:t>
      </w:r>
      <w:r w:rsidR="002E4C81">
        <w:rPr>
          <w:szCs w:val="16"/>
          <w:lang w:val="en-CA"/>
        </w:rPr>
        <w:t xml:space="preserve">31, </w:t>
      </w:r>
      <w:r w:rsidRPr="0045720B">
        <w:rPr>
          <w:szCs w:val="16"/>
          <w:lang w:val="en-CA"/>
        </w:rPr>
        <w:t>2022</w:t>
      </w:r>
      <w:r w:rsidR="001E1B82">
        <w:rPr>
          <w:szCs w:val="16"/>
          <w:lang w:val="en-CA"/>
        </w:rPr>
        <w:t>,</w:t>
      </w:r>
      <w:r w:rsidR="00083108">
        <w:rPr>
          <w:szCs w:val="16"/>
          <w:lang w:val="en-CA"/>
        </w:rPr>
        <w:t xml:space="preserve"> p. 3</w:t>
      </w:r>
      <w:r w:rsidRPr="0045720B">
        <w:rPr>
          <w:szCs w:val="16"/>
          <w:lang w:val="en-CA"/>
        </w:rPr>
        <w:t>1. See also: Exhibit P</w:t>
      </w:r>
      <w:r w:rsidRPr="0045720B">
        <w:rPr>
          <w:szCs w:val="16"/>
          <w:lang w:val="en-CA"/>
        </w:rPr>
        <w:noBreakHyphen/>
        <w:t>4, Expert report of Marie</w:t>
      </w:r>
      <w:r w:rsidRPr="0045720B">
        <w:rPr>
          <w:szCs w:val="16"/>
          <w:lang w:val="en-CA"/>
        </w:rPr>
        <w:noBreakHyphen/>
        <w:t xml:space="preserve">Ève Sylvestre, February </w:t>
      </w:r>
      <w:r w:rsidR="002E4C81">
        <w:rPr>
          <w:szCs w:val="16"/>
          <w:lang w:val="en-CA"/>
        </w:rPr>
        <w:t xml:space="preserve">7, </w:t>
      </w:r>
      <w:r w:rsidRPr="0045720B">
        <w:rPr>
          <w:szCs w:val="16"/>
          <w:lang w:val="en-CA"/>
        </w:rPr>
        <w:t xml:space="preserve">2022, </w:t>
      </w:r>
      <w:r w:rsidR="00D66166">
        <w:rPr>
          <w:szCs w:val="16"/>
          <w:lang w:val="en-CA"/>
        </w:rPr>
        <w:t>appendix</w:t>
      </w:r>
      <w:r w:rsidRPr="0045720B">
        <w:rPr>
          <w:szCs w:val="16"/>
          <w:lang w:val="en-CA"/>
        </w:rPr>
        <w:t xml:space="preserve"> MES-055, Ontario Human Rights Commission, </w:t>
      </w:r>
      <w:r w:rsidRPr="0045720B">
        <w:rPr>
          <w:i/>
          <w:iCs/>
          <w:szCs w:val="16"/>
          <w:lang w:val="en-CA"/>
        </w:rPr>
        <w:t>Paying the Price: The Human Cost of Racial Profiling – Inquiry Report</w:t>
      </w:r>
      <w:r w:rsidRPr="0045720B">
        <w:rPr>
          <w:szCs w:val="16"/>
          <w:lang w:val="en-CA"/>
        </w:rPr>
        <w:t>, 2003</w:t>
      </w:r>
      <w:r w:rsidR="001E1B82">
        <w:rPr>
          <w:szCs w:val="16"/>
          <w:lang w:val="en-CA"/>
        </w:rPr>
        <w:t>,</w:t>
      </w:r>
      <w:r w:rsidR="00083108">
        <w:rPr>
          <w:szCs w:val="16"/>
          <w:lang w:val="en-CA"/>
        </w:rPr>
        <w:t xml:space="preserve"> pp. 2</w:t>
      </w:r>
      <w:r w:rsidR="007C0942" w:rsidRPr="0045720B">
        <w:rPr>
          <w:szCs w:val="16"/>
          <w:lang w:val="en-CA"/>
        </w:rPr>
        <w:t>7</w:t>
      </w:r>
      <w:r w:rsidRPr="0045720B">
        <w:rPr>
          <w:szCs w:val="16"/>
          <w:lang w:val="en-CA"/>
        </w:rPr>
        <w:t>–</w:t>
      </w:r>
      <w:r w:rsidR="007C0942" w:rsidRPr="0045720B">
        <w:rPr>
          <w:szCs w:val="16"/>
          <w:lang w:val="en-CA"/>
        </w:rPr>
        <w:t>28</w:t>
      </w:r>
      <w:r w:rsidRPr="0045720B">
        <w:rPr>
          <w:szCs w:val="16"/>
          <w:lang w:val="en-CA"/>
        </w:rPr>
        <w:t>.</w:t>
      </w:r>
    </w:p>
  </w:footnote>
  <w:footnote w:id="322">
    <w:p w14:paraId="38ABBDDA" w14:textId="00B8B720"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Above</w:t>
      </w:r>
      <w:r w:rsidR="005D436F">
        <w:rPr>
          <w:lang w:val="en-CA"/>
        </w:rPr>
        <w:t>, para.</w:t>
      </w:r>
      <w:r w:rsidRPr="0045720B">
        <w:rPr>
          <w:lang w:val="en-CA"/>
        </w:rPr>
        <w:t xml:space="preserve"> </w:t>
      </w:r>
      <w:r w:rsidRPr="0045720B">
        <w:rPr>
          <w:lang w:val="en-CA"/>
        </w:rPr>
        <w:fldChar w:fldCharType="begin"/>
      </w:r>
      <w:r w:rsidRPr="0045720B">
        <w:rPr>
          <w:lang w:val="en-CA"/>
        </w:rPr>
        <w:instrText xml:space="preserve"> REF _Ref178079918 \r \h </w:instrText>
      </w:r>
      <w:r w:rsidRPr="0045720B">
        <w:rPr>
          <w:lang w:val="en-CA"/>
        </w:rPr>
      </w:r>
      <w:r w:rsidRPr="0045720B">
        <w:rPr>
          <w:lang w:val="en-CA"/>
        </w:rPr>
        <w:fldChar w:fldCharType="separate"/>
      </w:r>
      <w:r w:rsidR="00EB635D">
        <w:rPr>
          <w:lang w:val="en-CA"/>
        </w:rPr>
        <w:t>[141]</w:t>
      </w:r>
      <w:r w:rsidRPr="0045720B">
        <w:rPr>
          <w:lang w:val="en-CA"/>
        </w:rPr>
        <w:fldChar w:fldCharType="end"/>
      </w:r>
      <w:r w:rsidRPr="0045720B">
        <w:rPr>
          <w:lang w:val="en-CA"/>
        </w:rPr>
        <w:t>.</w:t>
      </w:r>
    </w:p>
  </w:footnote>
  <w:footnote w:id="323">
    <w:p w14:paraId="0BFE2F88" w14:textId="7DBDF8A6"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 xml:space="preserve">See, by analogy: </w:t>
      </w:r>
      <w:r w:rsidRPr="0045720B">
        <w:rPr>
          <w:i/>
          <w:iCs/>
          <w:lang w:val="en-CA"/>
        </w:rPr>
        <w:t>R. v. Ndhlovu</w:t>
      </w:r>
      <w:r w:rsidRPr="0045720B">
        <w:rPr>
          <w:lang w:val="en-CA"/>
        </w:rPr>
        <w:t>, 2022 SCC 38</w:t>
      </w:r>
      <w:r w:rsidR="005D436F">
        <w:rPr>
          <w:lang w:val="en-CA"/>
        </w:rPr>
        <w:t>, para.</w:t>
      </w:r>
      <w:r w:rsidRPr="0045720B">
        <w:rPr>
          <w:lang w:val="en-CA"/>
        </w:rPr>
        <w:t> 131</w:t>
      </w:r>
      <w:r w:rsidR="00F77662">
        <w:rPr>
          <w:lang w:val="en-CA"/>
        </w:rPr>
        <w:t>ff</w:t>
      </w:r>
      <w:r w:rsidRPr="0045720B">
        <w:rPr>
          <w:lang w:val="en-CA"/>
        </w:rPr>
        <w:t>.</w:t>
      </w:r>
    </w:p>
  </w:footnote>
  <w:footnote w:id="324">
    <w:p w14:paraId="103B5C12" w14:textId="4455321D"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RJR</w:t>
      </w:r>
      <w:r w:rsidRPr="0045720B">
        <w:rPr>
          <w:i/>
          <w:iCs/>
          <w:lang w:val="en-CA"/>
        </w:rPr>
        <w:noBreakHyphen/>
        <w:t>MacDonald Inc. v. Canada (Attorney General)</w:t>
      </w:r>
      <w:r w:rsidRPr="0045720B">
        <w:rPr>
          <w:lang w:val="en-CA"/>
        </w:rPr>
        <w:t>, [1995] 3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199</w:t>
      </w:r>
      <w:r w:rsidR="005D436F">
        <w:rPr>
          <w:lang w:val="en-CA"/>
        </w:rPr>
        <w:t>, para.</w:t>
      </w:r>
      <w:r w:rsidRPr="0045720B">
        <w:rPr>
          <w:lang w:val="en-CA"/>
        </w:rPr>
        <w:t xml:space="preserve"> 129. See also: </w:t>
      </w:r>
      <w:r w:rsidRPr="0045720B">
        <w:rPr>
          <w:i/>
          <w:iCs/>
          <w:lang w:val="en-CA"/>
        </w:rPr>
        <w:t>R. v. Bryan</w:t>
      </w:r>
      <w:r w:rsidRPr="0045720B">
        <w:rPr>
          <w:lang w:val="en-CA"/>
        </w:rPr>
        <w:t>, 2007 SCC 12</w:t>
      </w:r>
      <w:r w:rsidR="005D436F">
        <w:rPr>
          <w:lang w:val="en-CA"/>
        </w:rPr>
        <w:t>, para.</w:t>
      </w:r>
      <w:r w:rsidRPr="0045720B">
        <w:rPr>
          <w:lang w:val="en-CA"/>
        </w:rPr>
        <w:t xml:space="preserve"> 67.</w:t>
      </w:r>
    </w:p>
  </w:footnote>
  <w:footnote w:id="325">
    <w:p w14:paraId="20925FC7" w14:textId="089640D3"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Ladouceur</w:t>
      </w:r>
      <w:r w:rsidRPr="0045720B">
        <w:rPr>
          <w:lang w:val="en-CA"/>
        </w:rPr>
        <w:t>, [1990] 1 S</w:t>
      </w:r>
      <w:r w:rsidR="0031724A" w:rsidRPr="0045720B">
        <w:rPr>
          <w:lang w:val="en-CA"/>
        </w:rPr>
        <w:t>.</w:t>
      </w:r>
      <w:r w:rsidRPr="0045720B">
        <w:rPr>
          <w:lang w:val="en-CA"/>
        </w:rPr>
        <w:t>C</w:t>
      </w:r>
      <w:r w:rsidR="0031724A" w:rsidRPr="0045720B">
        <w:rPr>
          <w:lang w:val="en-CA"/>
        </w:rPr>
        <w:t>.</w:t>
      </w:r>
      <w:r w:rsidRPr="0045720B">
        <w:rPr>
          <w:lang w:val="en-CA"/>
        </w:rPr>
        <w:t>R</w:t>
      </w:r>
      <w:r w:rsidR="0031724A" w:rsidRPr="0045720B">
        <w:rPr>
          <w:lang w:val="en-CA"/>
        </w:rPr>
        <w:t>.</w:t>
      </w:r>
      <w:r w:rsidRPr="0045720B">
        <w:rPr>
          <w:lang w:val="en-CA"/>
        </w:rPr>
        <w:t xml:space="preserve"> 1257</w:t>
      </w:r>
      <w:r w:rsidR="00706F32">
        <w:rPr>
          <w:lang w:val="en-CA"/>
        </w:rPr>
        <w:t>, p. 1</w:t>
      </w:r>
      <w:r w:rsidRPr="0045720B">
        <w:rPr>
          <w:lang w:val="en-CA"/>
        </w:rPr>
        <w:t>267.</w:t>
      </w:r>
    </w:p>
  </w:footnote>
  <w:footnote w:id="326">
    <w:p w14:paraId="07AC2107" w14:textId="033CCAA8" w:rsidR="00FD3240" w:rsidRPr="0045720B" w:rsidRDefault="00FD3240" w:rsidP="00FD3240">
      <w:pPr>
        <w:pStyle w:val="Notedebasdepage"/>
        <w:rPr>
          <w:lang w:val="en-CA"/>
        </w:rPr>
      </w:pPr>
      <w:r w:rsidRPr="0045720B">
        <w:rPr>
          <w:rStyle w:val="Appelnotedebasdep"/>
          <w:lang w:val="en-CA"/>
        </w:rPr>
        <w:footnoteRef/>
      </w:r>
      <w:r w:rsidRPr="0045720B">
        <w:rPr>
          <w:lang w:val="en-CA"/>
        </w:rPr>
        <w:t xml:space="preserve"> </w:t>
      </w:r>
      <w:r w:rsidRPr="0045720B">
        <w:rPr>
          <w:lang w:val="en-CA"/>
        </w:rPr>
        <w:tab/>
        <w:t>Testimony of Lyne Vézina, June </w:t>
      </w:r>
      <w:r w:rsidR="00B00ADD">
        <w:rPr>
          <w:lang w:val="en-CA"/>
        </w:rPr>
        <w:t xml:space="preserve">17, </w:t>
      </w:r>
      <w:r w:rsidRPr="0045720B">
        <w:rPr>
          <w:lang w:val="en-CA"/>
        </w:rPr>
        <w:t>2022.</w:t>
      </w:r>
    </w:p>
  </w:footnote>
  <w:footnote w:id="327">
    <w:p w14:paraId="652FDBF3" w14:textId="2CC70BB7" w:rsidR="00A3678C" w:rsidRPr="0045720B" w:rsidRDefault="00A3678C" w:rsidP="00A3678C">
      <w:pPr>
        <w:pStyle w:val="Notedebasdepage"/>
        <w:rPr>
          <w:lang w:val="en-CA"/>
        </w:rPr>
      </w:pPr>
      <w:r w:rsidRPr="0045720B">
        <w:rPr>
          <w:rStyle w:val="Appelnotedebasdep"/>
          <w:lang w:val="en-CA"/>
        </w:rPr>
        <w:footnoteRef/>
      </w:r>
      <w:r w:rsidRPr="0045720B">
        <w:rPr>
          <w:lang w:val="en-CA"/>
        </w:rPr>
        <w:t xml:space="preserve"> </w:t>
      </w:r>
      <w:r w:rsidRPr="0045720B">
        <w:rPr>
          <w:lang w:val="en-CA"/>
        </w:rPr>
        <w:tab/>
        <w:t>Testimony of Douglas Beirness, June </w:t>
      </w:r>
      <w:r w:rsidR="00B00ADD">
        <w:rPr>
          <w:lang w:val="en-CA"/>
        </w:rPr>
        <w:t xml:space="preserve">14, </w:t>
      </w:r>
      <w:r w:rsidRPr="0045720B">
        <w:rPr>
          <w:lang w:val="en-CA"/>
        </w:rPr>
        <w:t>2022.</w:t>
      </w:r>
    </w:p>
  </w:footnote>
  <w:footnote w:id="328">
    <w:p w14:paraId="530B5F4B" w14:textId="51BEF9CA" w:rsidR="001A3EF8" w:rsidRPr="0045720B" w:rsidRDefault="0043013D" w:rsidP="001A3EF8">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00F25910" w:rsidRPr="0045720B">
        <w:rPr>
          <w:i/>
          <w:iCs/>
          <w:lang w:val="en-CA"/>
        </w:rPr>
        <w:t>Ib</w:t>
      </w:r>
      <w:r w:rsidR="00293A4C" w:rsidRPr="0045720B">
        <w:rPr>
          <w:i/>
          <w:iCs/>
          <w:lang w:val="en-CA"/>
        </w:rPr>
        <w:t>id.</w:t>
      </w:r>
    </w:p>
  </w:footnote>
  <w:footnote w:id="329">
    <w:p w14:paraId="20F77521" w14:textId="35D3B384" w:rsidR="00A3678C" w:rsidRPr="0045720B" w:rsidRDefault="00A3678C" w:rsidP="00A3678C">
      <w:pPr>
        <w:pStyle w:val="Notedebasdepage"/>
        <w:rPr>
          <w:lang w:val="en-CA"/>
        </w:rPr>
      </w:pPr>
      <w:r w:rsidRPr="0045720B">
        <w:rPr>
          <w:rStyle w:val="Appelnotedebasdep"/>
          <w:lang w:val="en-CA"/>
        </w:rPr>
        <w:footnoteRef/>
      </w:r>
      <w:r w:rsidRPr="0045720B">
        <w:rPr>
          <w:lang w:val="en-CA"/>
        </w:rPr>
        <w:t xml:space="preserve"> </w:t>
      </w:r>
      <w:r w:rsidRPr="0045720B">
        <w:rPr>
          <w:lang w:val="en-CA"/>
        </w:rPr>
        <w:tab/>
        <w:t>Testimony of Lyne Vézina, June </w:t>
      </w:r>
      <w:r w:rsidR="008A251F">
        <w:rPr>
          <w:lang w:val="en-CA"/>
        </w:rPr>
        <w:t xml:space="preserve">17, </w:t>
      </w:r>
      <w:r w:rsidRPr="0045720B">
        <w:rPr>
          <w:lang w:val="en-CA"/>
        </w:rPr>
        <w:t>2022.</w:t>
      </w:r>
    </w:p>
  </w:footnote>
  <w:footnote w:id="330">
    <w:p w14:paraId="6AA4AE4A" w14:textId="77777777" w:rsidR="00A3678C" w:rsidRPr="0045720B" w:rsidRDefault="00A3678C" w:rsidP="00A3678C">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p>
  </w:footnote>
  <w:footnote w:id="331">
    <w:p w14:paraId="4C002DEB" w14:textId="6B43D40E"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Carter v. Canada (Attorney General)</w:t>
      </w:r>
      <w:r w:rsidRPr="0045720B">
        <w:rPr>
          <w:lang w:val="en-CA"/>
        </w:rPr>
        <w:t>, 2016 SCC 4</w:t>
      </w:r>
      <w:r w:rsidR="005D436F">
        <w:rPr>
          <w:lang w:val="en-CA"/>
        </w:rPr>
        <w:t>, para.</w:t>
      </w:r>
      <w:r w:rsidRPr="0045720B">
        <w:rPr>
          <w:lang w:val="en-CA"/>
        </w:rPr>
        <w:t xml:space="preserve"> 2.</w:t>
      </w:r>
    </w:p>
  </w:footnote>
  <w:footnote w:id="332">
    <w:p w14:paraId="5A4F6E3A" w14:textId="374549B5"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Ontario (Attorney General) v. G</w:t>
      </w:r>
      <w:r w:rsidRPr="0045720B">
        <w:rPr>
          <w:lang w:val="en-CA"/>
        </w:rPr>
        <w:t>., 2020 SCC 38</w:t>
      </w:r>
      <w:r w:rsidR="005D436F">
        <w:rPr>
          <w:lang w:val="en-CA"/>
        </w:rPr>
        <w:t>, para.</w:t>
      </w:r>
      <w:r w:rsidRPr="0045720B">
        <w:rPr>
          <w:lang w:val="en-CA"/>
        </w:rPr>
        <w:t xml:space="preserve"> 126. </w:t>
      </w:r>
    </w:p>
  </w:footnote>
  <w:footnote w:id="333">
    <w:p w14:paraId="79524A20" w14:textId="4753CC59"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w:t>
      </w:r>
      <w:r w:rsidRPr="0045720B">
        <w:rPr>
          <w:i/>
          <w:iCs/>
          <w:lang w:val="en-CA"/>
        </w:rPr>
        <w:t>.</w:t>
      </w:r>
      <w:r w:rsidRPr="0045720B">
        <w:rPr>
          <w:lang w:val="en-CA"/>
        </w:rPr>
        <w:t xml:space="preserve"> 83.</w:t>
      </w:r>
    </w:p>
  </w:footnote>
  <w:footnote w:id="334">
    <w:p w14:paraId="2FE954F4" w14:textId="3AC4DFA8"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Id.</w:t>
      </w:r>
      <w:r w:rsidR="00241CBD">
        <w:rPr>
          <w:lang w:val="en-CA"/>
        </w:rPr>
        <w:t xml:space="preserve">, </w:t>
      </w:r>
      <w:r w:rsidRPr="0045720B">
        <w:rPr>
          <w:lang w:val="en-CA"/>
        </w:rPr>
        <w:t>para</w:t>
      </w:r>
      <w:r w:rsidRPr="0045720B">
        <w:rPr>
          <w:i/>
          <w:iCs/>
          <w:lang w:val="en-CA"/>
        </w:rPr>
        <w:t>.</w:t>
      </w:r>
      <w:r w:rsidRPr="0045720B">
        <w:rPr>
          <w:lang w:val="en-CA"/>
        </w:rPr>
        <w:t xml:space="preserve"> 135.</w:t>
      </w:r>
    </w:p>
  </w:footnote>
  <w:footnote w:id="335">
    <w:p w14:paraId="67EC3226" w14:textId="68B8FDBC"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Carter v. Canada (Attorney General)</w:t>
      </w:r>
      <w:r w:rsidRPr="0045720B">
        <w:rPr>
          <w:lang w:val="en-CA"/>
        </w:rPr>
        <w:t>, 2016 SCC 4</w:t>
      </w:r>
      <w:r w:rsidR="005D436F">
        <w:rPr>
          <w:lang w:val="en-CA"/>
        </w:rPr>
        <w:t>, para.</w:t>
      </w:r>
      <w:r w:rsidRPr="0045720B">
        <w:rPr>
          <w:lang w:val="en-CA"/>
        </w:rPr>
        <w:t xml:space="preserve"> 2.</w:t>
      </w:r>
    </w:p>
  </w:footnote>
  <w:footnote w:id="336">
    <w:p w14:paraId="64EBFE7C" w14:textId="77777777"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Ibid.</w:t>
      </w:r>
    </w:p>
  </w:footnote>
  <w:footnote w:id="337">
    <w:p w14:paraId="374F72D4" w14:textId="6B8001E3" w:rsidR="0066080A" w:rsidRPr="0045720B" w:rsidRDefault="0066080A" w:rsidP="0066080A">
      <w:pPr>
        <w:pStyle w:val="Notedebasdepage"/>
        <w:rPr>
          <w:lang w:val="en-CA"/>
        </w:rPr>
      </w:pPr>
      <w:r w:rsidRPr="0045720B">
        <w:rPr>
          <w:rStyle w:val="Appelnotedebasdep"/>
          <w:lang w:val="en-CA"/>
        </w:rPr>
        <w:footnoteRef/>
      </w:r>
      <w:r w:rsidRPr="0045720B">
        <w:rPr>
          <w:lang w:val="en-CA"/>
        </w:rPr>
        <w:t xml:space="preserve"> </w:t>
      </w:r>
      <w:r w:rsidRPr="0045720B">
        <w:rPr>
          <w:lang w:val="en-CA"/>
        </w:rPr>
        <w:tab/>
      </w:r>
      <w:r w:rsidRPr="0045720B">
        <w:rPr>
          <w:i/>
          <w:iCs/>
          <w:lang w:val="en-CA"/>
        </w:rPr>
        <w:t>R. v. Powley</w:t>
      </w:r>
      <w:r w:rsidRPr="0045720B">
        <w:rPr>
          <w:lang w:val="en-CA"/>
        </w:rPr>
        <w:t>, 2003 SCC 43</w:t>
      </w:r>
      <w:r w:rsidR="005D436F">
        <w:rPr>
          <w:lang w:val="en-CA"/>
        </w:rPr>
        <w:t>, para.</w:t>
      </w:r>
      <w:r w:rsidRPr="0045720B">
        <w:rPr>
          <w:lang w:val="en-CA"/>
        </w:rPr>
        <w:t xml:space="preserve"> </w:t>
      </w:r>
      <w:r w:rsidRPr="00077E55">
        <w:t xml:space="preserve">52. See also: </w:t>
      </w:r>
      <w:r w:rsidRPr="00077E55">
        <w:rPr>
          <w:i/>
          <w:iCs/>
        </w:rPr>
        <w:t>Procureure générale du Canada c. Descheneaux</w:t>
      </w:r>
      <w:r w:rsidRPr="00077E55">
        <w:t>, 2017 QCCA 1238</w:t>
      </w:r>
      <w:r w:rsidR="005D436F" w:rsidRPr="00077E55">
        <w:t>, para.</w:t>
      </w:r>
      <w:r w:rsidRPr="00077E55">
        <w:t xml:space="preserve"> </w:t>
      </w:r>
      <w:r w:rsidRPr="0045720B">
        <w:rPr>
          <w:lang w:val="en-CA"/>
        </w:rPr>
        <w:t>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8F3B" w14:textId="6FA438CC" w:rsidR="007E33E4" w:rsidRDefault="0043013D" w:rsidP="00DB2119">
    <w:pPr>
      <w:tabs>
        <w:tab w:val="center" w:pos="4709"/>
        <w:tab w:val="right" w:pos="9360"/>
      </w:tabs>
      <w:spacing w:line="360" w:lineRule="auto"/>
      <w:ind w:right="524"/>
    </w:pPr>
    <w:bookmarkStart w:id="3" w:name="EntDossier"/>
    <w:r>
      <w:t>500-09-030301-220</w:t>
    </w:r>
    <w:bookmarkEnd w:id="3"/>
    <w:r>
      <w:t xml:space="preserve"> </w:t>
    </w:r>
    <w:r>
      <w:tab/>
    </w:r>
    <w:r>
      <w:tab/>
    </w:r>
    <w:r w:rsidR="00360D2E" w:rsidRPr="00250DFD">
      <w:t>PAGE:</w:t>
    </w:r>
    <w:r>
      <w:t xml:space="preserve"> </w:t>
    </w:r>
    <w:r>
      <w:fldChar w:fldCharType="begin"/>
    </w:r>
    <w:r>
      <w:instrText xml:space="preserve"> PAGE </w:instrText>
    </w:r>
    <w:r>
      <w:fldChar w:fldCharType="separate"/>
    </w:r>
    <w:r w:rsidR="008D18FC">
      <w:rPr>
        <w:noProof/>
      </w:rPr>
      <w:t>2</w:t>
    </w:r>
    <w:r>
      <w:fldChar w:fldCharType="end"/>
    </w:r>
  </w:p>
  <w:p w14:paraId="1146C099" w14:textId="77777777" w:rsidR="007E33E4" w:rsidRDefault="007E33E4" w:rsidP="00DB2119">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DC5B" w14:textId="5D08DC8D" w:rsidR="00724621" w:rsidRDefault="0043013D" w:rsidP="00724621">
    <w:pPr>
      <w:tabs>
        <w:tab w:val="center" w:pos="4709"/>
        <w:tab w:val="right" w:pos="9360"/>
      </w:tabs>
      <w:spacing w:line="360" w:lineRule="auto"/>
      <w:ind w:right="524"/>
    </w:pPr>
    <w:r>
      <w:t xml:space="preserve">500-09-030301-220 </w:t>
    </w:r>
    <w:r>
      <w:tab/>
    </w:r>
    <w:r>
      <w:tab/>
    </w:r>
    <w:r w:rsidR="00360D2E" w:rsidRPr="00250DFD">
      <w:t>PAGE:</w:t>
    </w:r>
    <w:r>
      <w:t xml:space="preserve"> </w:t>
    </w:r>
    <w:r>
      <w:fldChar w:fldCharType="begin"/>
    </w:r>
    <w:r>
      <w:instrText xml:space="preserve"> PAGE </w:instrText>
    </w:r>
    <w:r>
      <w:fldChar w:fldCharType="separate"/>
    </w:r>
    <w:r>
      <w:t>5</w:t>
    </w:r>
    <w:r>
      <w:fldChar w:fldCharType="end"/>
    </w:r>
  </w:p>
  <w:p w14:paraId="1C1769A6" w14:textId="77777777" w:rsidR="00724621" w:rsidRDefault="00724621" w:rsidP="00724621">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5CF"/>
    <w:multiLevelType w:val="hybridMultilevel"/>
    <w:tmpl w:val="7442966A"/>
    <w:lvl w:ilvl="0" w:tplc="FCFE3A5E">
      <w:start w:val="1"/>
      <w:numFmt w:val="decimal"/>
      <w:lvlText w:val="%1)"/>
      <w:lvlJc w:val="left"/>
      <w:pPr>
        <w:ind w:left="1997" w:hanging="360"/>
      </w:pPr>
    </w:lvl>
    <w:lvl w:ilvl="1" w:tplc="B300B87A">
      <w:start w:val="1"/>
      <w:numFmt w:val="decimal"/>
      <w:lvlText w:val="%2)"/>
      <w:lvlJc w:val="left"/>
      <w:pPr>
        <w:ind w:left="1997" w:hanging="360"/>
      </w:pPr>
    </w:lvl>
    <w:lvl w:ilvl="2" w:tplc="8F346A52">
      <w:start w:val="1"/>
      <w:numFmt w:val="decimal"/>
      <w:lvlText w:val="%3)"/>
      <w:lvlJc w:val="left"/>
      <w:pPr>
        <w:ind w:left="1997" w:hanging="360"/>
      </w:pPr>
    </w:lvl>
    <w:lvl w:ilvl="3" w:tplc="3510FC7C">
      <w:start w:val="1"/>
      <w:numFmt w:val="decimal"/>
      <w:lvlText w:val="%4)"/>
      <w:lvlJc w:val="left"/>
      <w:pPr>
        <w:ind w:left="1997" w:hanging="360"/>
      </w:pPr>
    </w:lvl>
    <w:lvl w:ilvl="4" w:tplc="D4708314">
      <w:start w:val="1"/>
      <w:numFmt w:val="decimal"/>
      <w:lvlText w:val="%5)"/>
      <w:lvlJc w:val="left"/>
      <w:pPr>
        <w:ind w:left="1997" w:hanging="360"/>
      </w:pPr>
    </w:lvl>
    <w:lvl w:ilvl="5" w:tplc="01543178">
      <w:start w:val="1"/>
      <w:numFmt w:val="decimal"/>
      <w:lvlText w:val="%6)"/>
      <w:lvlJc w:val="left"/>
      <w:pPr>
        <w:ind w:left="1997" w:hanging="360"/>
      </w:pPr>
    </w:lvl>
    <w:lvl w:ilvl="6" w:tplc="3B383978">
      <w:start w:val="1"/>
      <w:numFmt w:val="decimal"/>
      <w:lvlText w:val="%7)"/>
      <w:lvlJc w:val="left"/>
      <w:pPr>
        <w:ind w:left="1997" w:hanging="360"/>
      </w:pPr>
    </w:lvl>
    <w:lvl w:ilvl="7" w:tplc="2D0693F8">
      <w:start w:val="1"/>
      <w:numFmt w:val="decimal"/>
      <w:lvlText w:val="%8)"/>
      <w:lvlJc w:val="left"/>
      <w:pPr>
        <w:ind w:left="1997" w:hanging="360"/>
      </w:pPr>
    </w:lvl>
    <w:lvl w:ilvl="8" w:tplc="10167E48">
      <w:start w:val="1"/>
      <w:numFmt w:val="decimal"/>
      <w:lvlText w:val="%9)"/>
      <w:lvlJc w:val="left"/>
      <w:pPr>
        <w:ind w:left="1997" w:hanging="360"/>
      </w:pPr>
    </w:lvl>
  </w:abstractNum>
  <w:abstractNum w:abstractNumId="1" w15:restartNumberingAfterBreak="0">
    <w:nsid w:val="1D002F29"/>
    <w:multiLevelType w:val="hybridMultilevel"/>
    <w:tmpl w:val="DE4CB1E0"/>
    <w:lvl w:ilvl="0" w:tplc="85B4E676">
      <w:start w:val="1"/>
      <w:numFmt w:val="bullet"/>
      <w:lvlText w:val=""/>
      <w:lvlJc w:val="left"/>
      <w:pPr>
        <w:ind w:left="720" w:hanging="360"/>
      </w:pPr>
      <w:rPr>
        <w:rFonts w:ascii="Symbol" w:hAnsi="Symbol" w:hint="default"/>
      </w:rPr>
    </w:lvl>
    <w:lvl w:ilvl="1" w:tplc="ECAC3032">
      <w:start w:val="1"/>
      <w:numFmt w:val="bullet"/>
      <w:lvlText w:val="o"/>
      <w:lvlJc w:val="left"/>
      <w:pPr>
        <w:ind w:left="1440" w:hanging="360"/>
      </w:pPr>
      <w:rPr>
        <w:rFonts w:ascii="Courier New" w:hAnsi="Courier New" w:cs="Courier New" w:hint="default"/>
      </w:rPr>
    </w:lvl>
    <w:lvl w:ilvl="2" w:tplc="66CE7978" w:tentative="1">
      <w:start w:val="1"/>
      <w:numFmt w:val="bullet"/>
      <w:lvlText w:val=""/>
      <w:lvlJc w:val="left"/>
      <w:pPr>
        <w:ind w:left="2160" w:hanging="360"/>
      </w:pPr>
      <w:rPr>
        <w:rFonts w:ascii="Wingdings" w:hAnsi="Wingdings" w:hint="default"/>
      </w:rPr>
    </w:lvl>
    <w:lvl w:ilvl="3" w:tplc="68FC17C2" w:tentative="1">
      <w:start w:val="1"/>
      <w:numFmt w:val="bullet"/>
      <w:lvlText w:val=""/>
      <w:lvlJc w:val="left"/>
      <w:pPr>
        <w:ind w:left="2880" w:hanging="360"/>
      </w:pPr>
      <w:rPr>
        <w:rFonts w:ascii="Symbol" w:hAnsi="Symbol" w:hint="default"/>
      </w:rPr>
    </w:lvl>
    <w:lvl w:ilvl="4" w:tplc="E53485B2" w:tentative="1">
      <w:start w:val="1"/>
      <w:numFmt w:val="bullet"/>
      <w:lvlText w:val="o"/>
      <w:lvlJc w:val="left"/>
      <w:pPr>
        <w:ind w:left="3600" w:hanging="360"/>
      </w:pPr>
      <w:rPr>
        <w:rFonts w:ascii="Courier New" w:hAnsi="Courier New" w:cs="Courier New" w:hint="default"/>
      </w:rPr>
    </w:lvl>
    <w:lvl w:ilvl="5" w:tplc="9CCCEC06" w:tentative="1">
      <w:start w:val="1"/>
      <w:numFmt w:val="bullet"/>
      <w:lvlText w:val=""/>
      <w:lvlJc w:val="left"/>
      <w:pPr>
        <w:ind w:left="4320" w:hanging="360"/>
      </w:pPr>
      <w:rPr>
        <w:rFonts w:ascii="Wingdings" w:hAnsi="Wingdings" w:hint="default"/>
      </w:rPr>
    </w:lvl>
    <w:lvl w:ilvl="6" w:tplc="2F788AAE" w:tentative="1">
      <w:start w:val="1"/>
      <w:numFmt w:val="bullet"/>
      <w:lvlText w:val=""/>
      <w:lvlJc w:val="left"/>
      <w:pPr>
        <w:ind w:left="5040" w:hanging="360"/>
      </w:pPr>
      <w:rPr>
        <w:rFonts w:ascii="Symbol" w:hAnsi="Symbol" w:hint="default"/>
      </w:rPr>
    </w:lvl>
    <w:lvl w:ilvl="7" w:tplc="C5EA19FC" w:tentative="1">
      <w:start w:val="1"/>
      <w:numFmt w:val="bullet"/>
      <w:lvlText w:val="o"/>
      <w:lvlJc w:val="left"/>
      <w:pPr>
        <w:ind w:left="5760" w:hanging="360"/>
      </w:pPr>
      <w:rPr>
        <w:rFonts w:ascii="Courier New" w:hAnsi="Courier New" w:cs="Courier New" w:hint="default"/>
      </w:rPr>
    </w:lvl>
    <w:lvl w:ilvl="8" w:tplc="194244B0" w:tentative="1">
      <w:start w:val="1"/>
      <w:numFmt w:val="bullet"/>
      <w:lvlText w:val=""/>
      <w:lvlJc w:val="left"/>
      <w:pPr>
        <w:ind w:left="6480" w:hanging="360"/>
      </w:pPr>
      <w:rPr>
        <w:rFonts w:ascii="Wingdings" w:hAnsi="Wingdings" w:hint="default"/>
      </w:rPr>
    </w:lvl>
  </w:abstractNum>
  <w:abstractNum w:abstractNumId="2"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2AC30D7"/>
    <w:multiLevelType w:val="hybridMultilevel"/>
    <w:tmpl w:val="12B049CC"/>
    <w:lvl w:ilvl="0" w:tplc="DB780458">
      <w:start w:val="1"/>
      <w:numFmt w:val="upperLetter"/>
      <w:lvlText w:val="%1."/>
      <w:lvlJc w:val="left"/>
      <w:pPr>
        <w:ind w:left="1080" w:hanging="360"/>
      </w:pPr>
    </w:lvl>
    <w:lvl w:ilvl="1" w:tplc="F3826D18" w:tentative="1">
      <w:start w:val="1"/>
      <w:numFmt w:val="lowerLetter"/>
      <w:lvlText w:val="%2."/>
      <w:lvlJc w:val="left"/>
      <w:pPr>
        <w:ind w:left="1800" w:hanging="360"/>
      </w:pPr>
    </w:lvl>
    <w:lvl w:ilvl="2" w:tplc="BFAE2904" w:tentative="1">
      <w:start w:val="1"/>
      <w:numFmt w:val="lowerRoman"/>
      <w:lvlText w:val="%3."/>
      <w:lvlJc w:val="right"/>
      <w:pPr>
        <w:ind w:left="2520" w:hanging="180"/>
      </w:pPr>
    </w:lvl>
    <w:lvl w:ilvl="3" w:tplc="DC008302" w:tentative="1">
      <w:start w:val="1"/>
      <w:numFmt w:val="decimal"/>
      <w:lvlText w:val="%4."/>
      <w:lvlJc w:val="left"/>
      <w:pPr>
        <w:ind w:left="3240" w:hanging="360"/>
      </w:pPr>
    </w:lvl>
    <w:lvl w:ilvl="4" w:tplc="5D888486" w:tentative="1">
      <w:start w:val="1"/>
      <w:numFmt w:val="lowerLetter"/>
      <w:lvlText w:val="%5."/>
      <w:lvlJc w:val="left"/>
      <w:pPr>
        <w:ind w:left="3960" w:hanging="360"/>
      </w:pPr>
    </w:lvl>
    <w:lvl w:ilvl="5" w:tplc="7E3C6AD2" w:tentative="1">
      <w:start w:val="1"/>
      <w:numFmt w:val="lowerRoman"/>
      <w:lvlText w:val="%6."/>
      <w:lvlJc w:val="right"/>
      <w:pPr>
        <w:ind w:left="4680" w:hanging="180"/>
      </w:pPr>
    </w:lvl>
    <w:lvl w:ilvl="6" w:tplc="6CE4CA3A" w:tentative="1">
      <w:start w:val="1"/>
      <w:numFmt w:val="decimal"/>
      <w:lvlText w:val="%7."/>
      <w:lvlJc w:val="left"/>
      <w:pPr>
        <w:ind w:left="5400" w:hanging="360"/>
      </w:pPr>
    </w:lvl>
    <w:lvl w:ilvl="7" w:tplc="BB2C24D8" w:tentative="1">
      <w:start w:val="1"/>
      <w:numFmt w:val="lowerLetter"/>
      <w:lvlText w:val="%8."/>
      <w:lvlJc w:val="left"/>
      <w:pPr>
        <w:ind w:left="6120" w:hanging="360"/>
      </w:pPr>
    </w:lvl>
    <w:lvl w:ilvl="8" w:tplc="BFF8379E" w:tentative="1">
      <w:start w:val="1"/>
      <w:numFmt w:val="lowerRoman"/>
      <w:lvlText w:val="%9."/>
      <w:lvlJc w:val="right"/>
      <w:pPr>
        <w:ind w:left="6840" w:hanging="180"/>
      </w:pPr>
    </w:lvl>
  </w:abstractNum>
  <w:abstractNum w:abstractNumId="4" w15:restartNumberingAfterBreak="0">
    <w:nsid w:val="37FB483D"/>
    <w:multiLevelType w:val="hybridMultilevel"/>
    <w:tmpl w:val="150481A8"/>
    <w:lvl w:ilvl="0" w:tplc="C8168F44">
      <w:numFmt w:val="bullet"/>
      <w:lvlText w:val="-"/>
      <w:lvlJc w:val="left"/>
      <w:pPr>
        <w:ind w:left="1080" w:hanging="360"/>
      </w:pPr>
      <w:rPr>
        <w:rFonts w:ascii="Arial" w:eastAsia="Times New Roman" w:hAnsi="Arial" w:cs="Arial" w:hint="default"/>
      </w:rPr>
    </w:lvl>
    <w:lvl w:ilvl="1" w:tplc="9C1EA2B8" w:tentative="1">
      <w:start w:val="1"/>
      <w:numFmt w:val="bullet"/>
      <w:lvlText w:val="o"/>
      <w:lvlJc w:val="left"/>
      <w:pPr>
        <w:ind w:left="1800" w:hanging="360"/>
      </w:pPr>
      <w:rPr>
        <w:rFonts w:ascii="Courier New" w:hAnsi="Courier New" w:cs="Courier New" w:hint="default"/>
      </w:rPr>
    </w:lvl>
    <w:lvl w:ilvl="2" w:tplc="0D4A1AEE" w:tentative="1">
      <w:start w:val="1"/>
      <w:numFmt w:val="bullet"/>
      <w:lvlText w:val=""/>
      <w:lvlJc w:val="left"/>
      <w:pPr>
        <w:ind w:left="2520" w:hanging="360"/>
      </w:pPr>
      <w:rPr>
        <w:rFonts w:ascii="Wingdings" w:hAnsi="Wingdings" w:hint="default"/>
      </w:rPr>
    </w:lvl>
    <w:lvl w:ilvl="3" w:tplc="5D90D462" w:tentative="1">
      <w:start w:val="1"/>
      <w:numFmt w:val="bullet"/>
      <w:lvlText w:val=""/>
      <w:lvlJc w:val="left"/>
      <w:pPr>
        <w:ind w:left="3240" w:hanging="360"/>
      </w:pPr>
      <w:rPr>
        <w:rFonts w:ascii="Symbol" w:hAnsi="Symbol" w:hint="default"/>
      </w:rPr>
    </w:lvl>
    <w:lvl w:ilvl="4" w:tplc="32949EDA" w:tentative="1">
      <w:start w:val="1"/>
      <w:numFmt w:val="bullet"/>
      <w:lvlText w:val="o"/>
      <w:lvlJc w:val="left"/>
      <w:pPr>
        <w:ind w:left="3960" w:hanging="360"/>
      </w:pPr>
      <w:rPr>
        <w:rFonts w:ascii="Courier New" w:hAnsi="Courier New" w:cs="Courier New" w:hint="default"/>
      </w:rPr>
    </w:lvl>
    <w:lvl w:ilvl="5" w:tplc="8C10CE60" w:tentative="1">
      <w:start w:val="1"/>
      <w:numFmt w:val="bullet"/>
      <w:lvlText w:val=""/>
      <w:lvlJc w:val="left"/>
      <w:pPr>
        <w:ind w:left="4680" w:hanging="360"/>
      </w:pPr>
      <w:rPr>
        <w:rFonts w:ascii="Wingdings" w:hAnsi="Wingdings" w:hint="default"/>
      </w:rPr>
    </w:lvl>
    <w:lvl w:ilvl="6" w:tplc="B8647D34" w:tentative="1">
      <w:start w:val="1"/>
      <w:numFmt w:val="bullet"/>
      <w:lvlText w:val=""/>
      <w:lvlJc w:val="left"/>
      <w:pPr>
        <w:ind w:left="5400" w:hanging="360"/>
      </w:pPr>
      <w:rPr>
        <w:rFonts w:ascii="Symbol" w:hAnsi="Symbol" w:hint="default"/>
      </w:rPr>
    </w:lvl>
    <w:lvl w:ilvl="7" w:tplc="BE9A9BC8" w:tentative="1">
      <w:start w:val="1"/>
      <w:numFmt w:val="bullet"/>
      <w:lvlText w:val="o"/>
      <w:lvlJc w:val="left"/>
      <w:pPr>
        <w:ind w:left="6120" w:hanging="360"/>
      </w:pPr>
      <w:rPr>
        <w:rFonts w:ascii="Courier New" w:hAnsi="Courier New" w:cs="Courier New" w:hint="default"/>
      </w:rPr>
    </w:lvl>
    <w:lvl w:ilvl="8" w:tplc="E79CD2F0" w:tentative="1">
      <w:start w:val="1"/>
      <w:numFmt w:val="bullet"/>
      <w:lvlText w:val=""/>
      <w:lvlJc w:val="left"/>
      <w:pPr>
        <w:ind w:left="6840" w:hanging="360"/>
      </w:pPr>
      <w:rPr>
        <w:rFonts w:ascii="Wingdings" w:hAnsi="Wingdings" w:hint="default"/>
      </w:rPr>
    </w:lvl>
  </w:abstractNum>
  <w:abstractNum w:abstractNumId="5" w15:restartNumberingAfterBreak="0">
    <w:nsid w:val="3A476C12"/>
    <w:multiLevelType w:val="hybridMultilevel"/>
    <w:tmpl w:val="9FC60E06"/>
    <w:lvl w:ilvl="0" w:tplc="96C209DC">
      <w:numFmt w:val="bullet"/>
      <w:lvlText w:val="-"/>
      <w:lvlJc w:val="left"/>
      <w:pPr>
        <w:ind w:left="-708" w:hanging="360"/>
      </w:pPr>
      <w:rPr>
        <w:rFonts w:ascii="Arial" w:eastAsia="Times New Roman" w:hAnsi="Arial" w:cs="Arial" w:hint="default"/>
      </w:rPr>
    </w:lvl>
    <w:lvl w:ilvl="1" w:tplc="76260AA2">
      <w:start w:val="1"/>
      <w:numFmt w:val="bullet"/>
      <w:lvlText w:val="o"/>
      <w:lvlJc w:val="left"/>
      <w:pPr>
        <w:ind w:left="12" w:hanging="360"/>
      </w:pPr>
      <w:rPr>
        <w:rFonts w:ascii="Courier New" w:hAnsi="Courier New" w:cs="Courier New" w:hint="default"/>
      </w:rPr>
    </w:lvl>
    <w:lvl w:ilvl="2" w:tplc="3F120028" w:tentative="1">
      <w:start w:val="1"/>
      <w:numFmt w:val="bullet"/>
      <w:lvlText w:val=""/>
      <w:lvlJc w:val="left"/>
      <w:pPr>
        <w:ind w:left="732" w:hanging="360"/>
      </w:pPr>
      <w:rPr>
        <w:rFonts w:ascii="Wingdings" w:hAnsi="Wingdings" w:hint="default"/>
      </w:rPr>
    </w:lvl>
    <w:lvl w:ilvl="3" w:tplc="509CF106" w:tentative="1">
      <w:start w:val="1"/>
      <w:numFmt w:val="bullet"/>
      <w:lvlText w:val=""/>
      <w:lvlJc w:val="left"/>
      <w:pPr>
        <w:ind w:left="1452" w:hanging="360"/>
      </w:pPr>
      <w:rPr>
        <w:rFonts w:ascii="Symbol" w:hAnsi="Symbol" w:hint="default"/>
      </w:rPr>
    </w:lvl>
    <w:lvl w:ilvl="4" w:tplc="14F08538" w:tentative="1">
      <w:start w:val="1"/>
      <w:numFmt w:val="bullet"/>
      <w:lvlText w:val="o"/>
      <w:lvlJc w:val="left"/>
      <w:pPr>
        <w:ind w:left="2172" w:hanging="360"/>
      </w:pPr>
      <w:rPr>
        <w:rFonts w:ascii="Courier New" w:hAnsi="Courier New" w:cs="Courier New" w:hint="default"/>
      </w:rPr>
    </w:lvl>
    <w:lvl w:ilvl="5" w:tplc="477278A4" w:tentative="1">
      <w:start w:val="1"/>
      <w:numFmt w:val="bullet"/>
      <w:lvlText w:val=""/>
      <w:lvlJc w:val="left"/>
      <w:pPr>
        <w:ind w:left="2892" w:hanging="360"/>
      </w:pPr>
      <w:rPr>
        <w:rFonts w:ascii="Wingdings" w:hAnsi="Wingdings" w:hint="default"/>
      </w:rPr>
    </w:lvl>
    <w:lvl w:ilvl="6" w:tplc="D1A6573E" w:tentative="1">
      <w:start w:val="1"/>
      <w:numFmt w:val="bullet"/>
      <w:lvlText w:val=""/>
      <w:lvlJc w:val="left"/>
      <w:pPr>
        <w:ind w:left="3612" w:hanging="360"/>
      </w:pPr>
      <w:rPr>
        <w:rFonts w:ascii="Symbol" w:hAnsi="Symbol" w:hint="default"/>
      </w:rPr>
    </w:lvl>
    <w:lvl w:ilvl="7" w:tplc="5FACB378" w:tentative="1">
      <w:start w:val="1"/>
      <w:numFmt w:val="bullet"/>
      <w:lvlText w:val="o"/>
      <w:lvlJc w:val="left"/>
      <w:pPr>
        <w:ind w:left="4332" w:hanging="360"/>
      </w:pPr>
      <w:rPr>
        <w:rFonts w:ascii="Courier New" w:hAnsi="Courier New" w:cs="Courier New" w:hint="default"/>
      </w:rPr>
    </w:lvl>
    <w:lvl w:ilvl="8" w:tplc="7DDA81B2" w:tentative="1">
      <w:start w:val="1"/>
      <w:numFmt w:val="bullet"/>
      <w:lvlText w:val=""/>
      <w:lvlJc w:val="left"/>
      <w:pPr>
        <w:ind w:left="5052" w:hanging="360"/>
      </w:pPr>
      <w:rPr>
        <w:rFonts w:ascii="Wingdings" w:hAnsi="Wingdings" w:hint="default"/>
      </w:rPr>
    </w:lvl>
  </w:abstractNum>
  <w:abstractNum w:abstractNumId="6" w15:restartNumberingAfterBreak="0">
    <w:nsid w:val="4C383C2F"/>
    <w:multiLevelType w:val="hybridMultilevel"/>
    <w:tmpl w:val="0304FDFA"/>
    <w:lvl w:ilvl="0" w:tplc="6B2E2A16">
      <w:start w:val="1"/>
      <w:numFmt w:val="lowerLetter"/>
      <w:pStyle w:val="Titre4"/>
      <w:lvlText w:val="(%1)"/>
      <w:lvlJc w:val="left"/>
      <w:pPr>
        <w:ind w:left="720" w:hanging="360"/>
      </w:pPr>
      <w:rPr>
        <w:rFonts w:hint="default"/>
      </w:rPr>
    </w:lvl>
    <w:lvl w:ilvl="1" w:tplc="4FCC979A" w:tentative="1">
      <w:start w:val="1"/>
      <w:numFmt w:val="lowerLetter"/>
      <w:lvlText w:val="%2."/>
      <w:lvlJc w:val="left"/>
      <w:pPr>
        <w:ind w:left="1440" w:hanging="360"/>
      </w:pPr>
    </w:lvl>
    <w:lvl w:ilvl="2" w:tplc="9684B8E8" w:tentative="1">
      <w:start w:val="1"/>
      <w:numFmt w:val="lowerRoman"/>
      <w:lvlText w:val="%3."/>
      <w:lvlJc w:val="right"/>
      <w:pPr>
        <w:ind w:left="2160" w:hanging="180"/>
      </w:pPr>
    </w:lvl>
    <w:lvl w:ilvl="3" w:tplc="46720444" w:tentative="1">
      <w:start w:val="1"/>
      <w:numFmt w:val="decimal"/>
      <w:lvlText w:val="%4."/>
      <w:lvlJc w:val="left"/>
      <w:pPr>
        <w:ind w:left="2880" w:hanging="360"/>
      </w:pPr>
    </w:lvl>
    <w:lvl w:ilvl="4" w:tplc="2160A57A" w:tentative="1">
      <w:start w:val="1"/>
      <w:numFmt w:val="lowerLetter"/>
      <w:lvlText w:val="%5."/>
      <w:lvlJc w:val="left"/>
      <w:pPr>
        <w:ind w:left="3600" w:hanging="360"/>
      </w:pPr>
    </w:lvl>
    <w:lvl w:ilvl="5" w:tplc="E07447AA" w:tentative="1">
      <w:start w:val="1"/>
      <w:numFmt w:val="lowerRoman"/>
      <w:lvlText w:val="%6."/>
      <w:lvlJc w:val="right"/>
      <w:pPr>
        <w:ind w:left="4320" w:hanging="180"/>
      </w:pPr>
    </w:lvl>
    <w:lvl w:ilvl="6" w:tplc="AAE0E4C0" w:tentative="1">
      <w:start w:val="1"/>
      <w:numFmt w:val="decimal"/>
      <w:lvlText w:val="%7."/>
      <w:lvlJc w:val="left"/>
      <w:pPr>
        <w:ind w:left="5040" w:hanging="360"/>
      </w:pPr>
    </w:lvl>
    <w:lvl w:ilvl="7" w:tplc="4A02997E" w:tentative="1">
      <w:start w:val="1"/>
      <w:numFmt w:val="lowerLetter"/>
      <w:lvlText w:val="%8."/>
      <w:lvlJc w:val="left"/>
      <w:pPr>
        <w:ind w:left="5760" w:hanging="360"/>
      </w:pPr>
    </w:lvl>
    <w:lvl w:ilvl="8" w:tplc="2126FCE4" w:tentative="1">
      <w:start w:val="1"/>
      <w:numFmt w:val="lowerRoman"/>
      <w:lvlText w:val="%9."/>
      <w:lvlJc w:val="right"/>
      <w:pPr>
        <w:ind w:left="6480" w:hanging="180"/>
      </w:pPr>
    </w:lvl>
  </w:abstractNum>
  <w:abstractNum w:abstractNumId="7" w15:restartNumberingAfterBreak="0">
    <w:nsid w:val="57FC2821"/>
    <w:multiLevelType w:val="hybridMultilevel"/>
    <w:tmpl w:val="8438E6F4"/>
    <w:lvl w:ilvl="0" w:tplc="42F63400">
      <w:numFmt w:val="bullet"/>
      <w:lvlText w:val="-"/>
      <w:lvlJc w:val="left"/>
      <w:pPr>
        <w:ind w:left="1440" w:hanging="360"/>
      </w:pPr>
      <w:rPr>
        <w:rFonts w:ascii="Arial" w:eastAsia="Times New Roman" w:hAnsi="Arial" w:cs="Arial" w:hint="default"/>
      </w:rPr>
    </w:lvl>
    <w:lvl w:ilvl="1" w:tplc="3FD2B07C" w:tentative="1">
      <w:start w:val="1"/>
      <w:numFmt w:val="bullet"/>
      <w:lvlText w:val="o"/>
      <w:lvlJc w:val="left"/>
      <w:pPr>
        <w:ind w:left="2160" w:hanging="360"/>
      </w:pPr>
      <w:rPr>
        <w:rFonts w:ascii="Courier New" w:hAnsi="Courier New" w:cs="Courier New" w:hint="default"/>
      </w:rPr>
    </w:lvl>
    <w:lvl w:ilvl="2" w:tplc="3C42F908" w:tentative="1">
      <w:start w:val="1"/>
      <w:numFmt w:val="bullet"/>
      <w:lvlText w:val=""/>
      <w:lvlJc w:val="left"/>
      <w:pPr>
        <w:ind w:left="2880" w:hanging="360"/>
      </w:pPr>
      <w:rPr>
        <w:rFonts w:ascii="Wingdings" w:hAnsi="Wingdings" w:hint="default"/>
      </w:rPr>
    </w:lvl>
    <w:lvl w:ilvl="3" w:tplc="2BB63616" w:tentative="1">
      <w:start w:val="1"/>
      <w:numFmt w:val="bullet"/>
      <w:lvlText w:val=""/>
      <w:lvlJc w:val="left"/>
      <w:pPr>
        <w:ind w:left="3600" w:hanging="360"/>
      </w:pPr>
      <w:rPr>
        <w:rFonts w:ascii="Symbol" w:hAnsi="Symbol" w:hint="default"/>
      </w:rPr>
    </w:lvl>
    <w:lvl w:ilvl="4" w:tplc="50BC8B00" w:tentative="1">
      <w:start w:val="1"/>
      <w:numFmt w:val="bullet"/>
      <w:lvlText w:val="o"/>
      <w:lvlJc w:val="left"/>
      <w:pPr>
        <w:ind w:left="4320" w:hanging="360"/>
      </w:pPr>
      <w:rPr>
        <w:rFonts w:ascii="Courier New" w:hAnsi="Courier New" w:cs="Courier New" w:hint="default"/>
      </w:rPr>
    </w:lvl>
    <w:lvl w:ilvl="5" w:tplc="0C5EE10C" w:tentative="1">
      <w:start w:val="1"/>
      <w:numFmt w:val="bullet"/>
      <w:lvlText w:val=""/>
      <w:lvlJc w:val="left"/>
      <w:pPr>
        <w:ind w:left="5040" w:hanging="360"/>
      </w:pPr>
      <w:rPr>
        <w:rFonts w:ascii="Wingdings" w:hAnsi="Wingdings" w:hint="default"/>
      </w:rPr>
    </w:lvl>
    <w:lvl w:ilvl="6" w:tplc="4CCED33E" w:tentative="1">
      <w:start w:val="1"/>
      <w:numFmt w:val="bullet"/>
      <w:lvlText w:val=""/>
      <w:lvlJc w:val="left"/>
      <w:pPr>
        <w:ind w:left="5760" w:hanging="360"/>
      </w:pPr>
      <w:rPr>
        <w:rFonts w:ascii="Symbol" w:hAnsi="Symbol" w:hint="default"/>
      </w:rPr>
    </w:lvl>
    <w:lvl w:ilvl="7" w:tplc="AE9891C4" w:tentative="1">
      <w:start w:val="1"/>
      <w:numFmt w:val="bullet"/>
      <w:lvlText w:val="o"/>
      <w:lvlJc w:val="left"/>
      <w:pPr>
        <w:ind w:left="6480" w:hanging="360"/>
      </w:pPr>
      <w:rPr>
        <w:rFonts w:ascii="Courier New" w:hAnsi="Courier New" w:cs="Courier New" w:hint="default"/>
      </w:rPr>
    </w:lvl>
    <w:lvl w:ilvl="8" w:tplc="A76C5F68" w:tentative="1">
      <w:start w:val="1"/>
      <w:numFmt w:val="bullet"/>
      <w:lvlText w:val=""/>
      <w:lvlJc w:val="left"/>
      <w:pPr>
        <w:ind w:left="7200" w:hanging="360"/>
      </w:pPr>
      <w:rPr>
        <w:rFonts w:ascii="Wingdings" w:hAnsi="Wingdings" w:hint="default"/>
      </w:rPr>
    </w:lvl>
  </w:abstractNum>
  <w:num w:numId="1" w16cid:durableId="247665186">
    <w:abstractNumId w:val="2"/>
  </w:num>
  <w:num w:numId="2" w16cid:durableId="2002196925">
    <w:abstractNumId w:val="1"/>
  </w:num>
  <w:num w:numId="3" w16cid:durableId="1804037571">
    <w:abstractNumId w:val="5"/>
  </w:num>
  <w:num w:numId="4" w16cid:durableId="524488784">
    <w:abstractNumId w:val="4"/>
  </w:num>
  <w:num w:numId="5" w16cid:durableId="556671711">
    <w:abstractNumId w:val="7"/>
  </w:num>
  <w:num w:numId="6" w16cid:durableId="1387875054">
    <w:abstractNumId w:val="3"/>
  </w:num>
  <w:num w:numId="7" w16cid:durableId="1857189858">
    <w:abstractNumId w:val="6"/>
  </w:num>
  <w:num w:numId="8" w16cid:durableId="498544183">
    <w:abstractNumId w:val="6"/>
    <w:lvlOverride w:ilvl="0">
      <w:startOverride w:val="1"/>
    </w:lvlOverride>
  </w:num>
  <w:num w:numId="9" w16cid:durableId="11105622">
    <w:abstractNumId w:val="0"/>
  </w:num>
  <w:num w:numId="10" w16cid:durableId="5516234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B416FB-EF3F-41EF-AA68-CE7ED9A8E575}"/>
    <w:docVar w:name="dgnword-eventsink" w:val="43938976"/>
    <w:docVar w:name="inNBChoix" w:val="3"/>
    <w:docVar w:name="MotifJuge1" w:val="MOTIFS DE LA JUGE"/>
    <w:docVar w:name="MotifJuge2" w:val="MOTIFS DE LA JUGE"/>
    <w:docVar w:name="MotifJuge3" w:val="MOTIFS DE LA JUGE"/>
    <w:docVar w:name="NomFamJuge1" w:val="DUTIL"/>
    <w:docVar w:name="NomFamJuge2" w:val="GAGNÉ"/>
    <w:docVar w:name="NomFamJuge3" w:val="WEITZMAN"/>
    <w:docVar w:name="NomFamJuge4" w:val="MAILHOT"/>
    <w:docVar w:name="NomFamJuge5" w:val="BAUDOUIN"/>
    <w:docVar w:name="QteJuge1" w:val=", J.C.A."/>
    <w:docVar w:name="QteJuge2" w:val=", J.C.A."/>
    <w:docVar w:name="QteJuge3" w:val=", J.C.A."/>
    <w:docVar w:name="stPremiereFois" w:val="Non"/>
  </w:docVars>
  <w:rsids>
    <w:rsidRoot w:val="009238E1"/>
    <w:rsid w:val="00001584"/>
    <w:rsid w:val="0000260F"/>
    <w:rsid w:val="00003552"/>
    <w:rsid w:val="0000373D"/>
    <w:rsid w:val="00003A20"/>
    <w:rsid w:val="00003F54"/>
    <w:rsid w:val="00004101"/>
    <w:rsid w:val="000044BB"/>
    <w:rsid w:val="00005966"/>
    <w:rsid w:val="000107B0"/>
    <w:rsid w:val="00011F02"/>
    <w:rsid w:val="00012280"/>
    <w:rsid w:val="00012720"/>
    <w:rsid w:val="000129E6"/>
    <w:rsid w:val="000131E1"/>
    <w:rsid w:val="00013341"/>
    <w:rsid w:val="0001368F"/>
    <w:rsid w:val="00013842"/>
    <w:rsid w:val="00013FC2"/>
    <w:rsid w:val="00015C88"/>
    <w:rsid w:val="00016A67"/>
    <w:rsid w:val="00017360"/>
    <w:rsid w:val="00020A42"/>
    <w:rsid w:val="0002160B"/>
    <w:rsid w:val="00021D65"/>
    <w:rsid w:val="000228C6"/>
    <w:rsid w:val="00022907"/>
    <w:rsid w:val="00023D00"/>
    <w:rsid w:val="0002414E"/>
    <w:rsid w:val="0002415B"/>
    <w:rsid w:val="0002485B"/>
    <w:rsid w:val="00025657"/>
    <w:rsid w:val="0002577C"/>
    <w:rsid w:val="0002597E"/>
    <w:rsid w:val="0002618B"/>
    <w:rsid w:val="000266EB"/>
    <w:rsid w:val="00031A06"/>
    <w:rsid w:val="00031AD6"/>
    <w:rsid w:val="000351C7"/>
    <w:rsid w:val="00035820"/>
    <w:rsid w:val="0003745D"/>
    <w:rsid w:val="000406C7"/>
    <w:rsid w:val="00042BF1"/>
    <w:rsid w:val="00042E12"/>
    <w:rsid w:val="00043873"/>
    <w:rsid w:val="0004394C"/>
    <w:rsid w:val="00043FA1"/>
    <w:rsid w:val="000454A6"/>
    <w:rsid w:val="000456F3"/>
    <w:rsid w:val="00045DAD"/>
    <w:rsid w:val="000473DD"/>
    <w:rsid w:val="00050A39"/>
    <w:rsid w:val="00050BE4"/>
    <w:rsid w:val="00052175"/>
    <w:rsid w:val="00052230"/>
    <w:rsid w:val="00052CF1"/>
    <w:rsid w:val="00053353"/>
    <w:rsid w:val="0005361E"/>
    <w:rsid w:val="00053691"/>
    <w:rsid w:val="000554CC"/>
    <w:rsid w:val="0005595E"/>
    <w:rsid w:val="00055A17"/>
    <w:rsid w:val="0005611C"/>
    <w:rsid w:val="00062057"/>
    <w:rsid w:val="0006256C"/>
    <w:rsid w:val="00062591"/>
    <w:rsid w:val="00062B9C"/>
    <w:rsid w:val="00062DE3"/>
    <w:rsid w:val="00062E07"/>
    <w:rsid w:val="00063079"/>
    <w:rsid w:val="000637AA"/>
    <w:rsid w:val="00063B84"/>
    <w:rsid w:val="00063D09"/>
    <w:rsid w:val="00063EA9"/>
    <w:rsid w:val="0006696E"/>
    <w:rsid w:val="00066C0A"/>
    <w:rsid w:val="0006707D"/>
    <w:rsid w:val="000679EA"/>
    <w:rsid w:val="0007086E"/>
    <w:rsid w:val="00071524"/>
    <w:rsid w:val="00072047"/>
    <w:rsid w:val="00073FBF"/>
    <w:rsid w:val="000743C4"/>
    <w:rsid w:val="00074967"/>
    <w:rsid w:val="00076740"/>
    <w:rsid w:val="0007702D"/>
    <w:rsid w:val="00077148"/>
    <w:rsid w:val="0007752F"/>
    <w:rsid w:val="000779F9"/>
    <w:rsid w:val="00077E55"/>
    <w:rsid w:val="00077E95"/>
    <w:rsid w:val="000817A6"/>
    <w:rsid w:val="00081A64"/>
    <w:rsid w:val="00083108"/>
    <w:rsid w:val="0008372C"/>
    <w:rsid w:val="0008431E"/>
    <w:rsid w:val="000847F0"/>
    <w:rsid w:val="00084A24"/>
    <w:rsid w:val="00085219"/>
    <w:rsid w:val="000862F3"/>
    <w:rsid w:val="00086840"/>
    <w:rsid w:val="0008687D"/>
    <w:rsid w:val="0008734F"/>
    <w:rsid w:val="000879CD"/>
    <w:rsid w:val="00087DEA"/>
    <w:rsid w:val="000908BC"/>
    <w:rsid w:val="00091F7D"/>
    <w:rsid w:val="00092D16"/>
    <w:rsid w:val="000938B0"/>
    <w:rsid w:val="00096074"/>
    <w:rsid w:val="000A0270"/>
    <w:rsid w:val="000A0BB5"/>
    <w:rsid w:val="000A1E5E"/>
    <w:rsid w:val="000A200B"/>
    <w:rsid w:val="000A241F"/>
    <w:rsid w:val="000A4A38"/>
    <w:rsid w:val="000A4A99"/>
    <w:rsid w:val="000A4F0F"/>
    <w:rsid w:val="000A6EE4"/>
    <w:rsid w:val="000A7516"/>
    <w:rsid w:val="000A796A"/>
    <w:rsid w:val="000B043E"/>
    <w:rsid w:val="000B1C5C"/>
    <w:rsid w:val="000B1D88"/>
    <w:rsid w:val="000B2D2F"/>
    <w:rsid w:val="000B3736"/>
    <w:rsid w:val="000B3EAB"/>
    <w:rsid w:val="000B3EB0"/>
    <w:rsid w:val="000B4108"/>
    <w:rsid w:val="000B42AF"/>
    <w:rsid w:val="000B4347"/>
    <w:rsid w:val="000B453A"/>
    <w:rsid w:val="000B559F"/>
    <w:rsid w:val="000B643E"/>
    <w:rsid w:val="000B6767"/>
    <w:rsid w:val="000B76C0"/>
    <w:rsid w:val="000B7EEC"/>
    <w:rsid w:val="000C009D"/>
    <w:rsid w:val="000C10A4"/>
    <w:rsid w:val="000C16A2"/>
    <w:rsid w:val="000C2A85"/>
    <w:rsid w:val="000C3653"/>
    <w:rsid w:val="000C3731"/>
    <w:rsid w:val="000C38D1"/>
    <w:rsid w:val="000C5FEC"/>
    <w:rsid w:val="000C60C8"/>
    <w:rsid w:val="000C61BD"/>
    <w:rsid w:val="000C61E2"/>
    <w:rsid w:val="000C6C49"/>
    <w:rsid w:val="000D0E9B"/>
    <w:rsid w:val="000D246A"/>
    <w:rsid w:val="000D2D38"/>
    <w:rsid w:val="000D3244"/>
    <w:rsid w:val="000D52F9"/>
    <w:rsid w:val="000D556B"/>
    <w:rsid w:val="000D6240"/>
    <w:rsid w:val="000D659D"/>
    <w:rsid w:val="000D6A83"/>
    <w:rsid w:val="000D7200"/>
    <w:rsid w:val="000D7A05"/>
    <w:rsid w:val="000E10E7"/>
    <w:rsid w:val="000E26D5"/>
    <w:rsid w:val="000E307C"/>
    <w:rsid w:val="000E3444"/>
    <w:rsid w:val="000E3550"/>
    <w:rsid w:val="000E3AED"/>
    <w:rsid w:val="000E3AF5"/>
    <w:rsid w:val="000E4522"/>
    <w:rsid w:val="000E4F1A"/>
    <w:rsid w:val="000E53D6"/>
    <w:rsid w:val="000E5406"/>
    <w:rsid w:val="000E5FE4"/>
    <w:rsid w:val="000E654A"/>
    <w:rsid w:val="000E7855"/>
    <w:rsid w:val="000E7B69"/>
    <w:rsid w:val="000F07AE"/>
    <w:rsid w:val="000F1851"/>
    <w:rsid w:val="000F29F2"/>
    <w:rsid w:val="000F6337"/>
    <w:rsid w:val="000F7CCD"/>
    <w:rsid w:val="00100789"/>
    <w:rsid w:val="001008C9"/>
    <w:rsid w:val="0010123B"/>
    <w:rsid w:val="00102156"/>
    <w:rsid w:val="00102448"/>
    <w:rsid w:val="00102803"/>
    <w:rsid w:val="001033AD"/>
    <w:rsid w:val="001045C7"/>
    <w:rsid w:val="001048E7"/>
    <w:rsid w:val="00104AA3"/>
    <w:rsid w:val="00105D59"/>
    <w:rsid w:val="00106D28"/>
    <w:rsid w:val="00107D66"/>
    <w:rsid w:val="0011027D"/>
    <w:rsid w:val="00110B53"/>
    <w:rsid w:val="0011102B"/>
    <w:rsid w:val="001112E1"/>
    <w:rsid w:val="00112321"/>
    <w:rsid w:val="001127E9"/>
    <w:rsid w:val="00112E00"/>
    <w:rsid w:val="001130AA"/>
    <w:rsid w:val="0011319E"/>
    <w:rsid w:val="00113B77"/>
    <w:rsid w:val="001145F8"/>
    <w:rsid w:val="00114755"/>
    <w:rsid w:val="00114A87"/>
    <w:rsid w:val="00114D7C"/>
    <w:rsid w:val="001156AD"/>
    <w:rsid w:val="00115E3B"/>
    <w:rsid w:val="00116A16"/>
    <w:rsid w:val="00116E7E"/>
    <w:rsid w:val="00117914"/>
    <w:rsid w:val="001202F6"/>
    <w:rsid w:val="001208DD"/>
    <w:rsid w:val="00120EEF"/>
    <w:rsid w:val="00122A62"/>
    <w:rsid w:val="001263C6"/>
    <w:rsid w:val="001266A2"/>
    <w:rsid w:val="00126BE6"/>
    <w:rsid w:val="00127CE0"/>
    <w:rsid w:val="00130184"/>
    <w:rsid w:val="0013028C"/>
    <w:rsid w:val="00133669"/>
    <w:rsid w:val="0013378A"/>
    <w:rsid w:val="001339B5"/>
    <w:rsid w:val="00133B73"/>
    <w:rsid w:val="001344D3"/>
    <w:rsid w:val="001349E8"/>
    <w:rsid w:val="00135898"/>
    <w:rsid w:val="00135FAB"/>
    <w:rsid w:val="00136C8F"/>
    <w:rsid w:val="00136CD1"/>
    <w:rsid w:val="001373A5"/>
    <w:rsid w:val="00140BCF"/>
    <w:rsid w:val="00140CAD"/>
    <w:rsid w:val="00141446"/>
    <w:rsid w:val="00141A17"/>
    <w:rsid w:val="00143B85"/>
    <w:rsid w:val="0014576E"/>
    <w:rsid w:val="001460A0"/>
    <w:rsid w:val="0014657B"/>
    <w:rsid w:val="00147C3A"/>
    <w:rsid w:val="00151556"/>
    <w:rsid w:val="00152B23"/>
    <w:rsid w:val="00152C0C"/>
    <w:rsid w:val="00153253"/>
    <w:rsid w:val="00153FA2"/>
    <w:rsid w:val="00155556"/>
    <w:rsid w:val="00155762"/>
    <w:rsid w:val="00155FE9"/>
    <w:rsid w:val="0015610F"/>
    <w:rsid w:val="001566D0"/>
    <w:rsid w:val="00156E7A"/>
    <w:rsid w:val="00156F19"/>
    <w:rsid w:val="001577C9"/>
    <w:rsid w:val="001579A9"/>
    <w:rsid w:val="001606AE"/>
    <w:rsid w:val="00160B31"/>
    <w:rsid w:val="00161093"/>
    <w:rsid w:val="00161F6A"/>
    <w:rsid w:val="001621D7"/>
    <w:rsid w:val="00162410"/>
    <w:rsid w:val="00162C0A"/>
    <w:rsid w:val="00162E51"/>
    <w:rsid w:val="00163E84"/>
    <w:rsid w:val="00164C20"/>
    <w:rsid w:val="001656C9"/>
    <w:rsid w:val="001656D3"/>
    <w:rsid w:val="00166314"/>
    <w:rsid w:val="00166D5B"/>
    <w:rsid w:val="00167454"/>
    <w:rsid w:val="001674E7"/>
    <w:rsid w:val="001718C4"/>
    <w:rsid w:val="00172AD3"/>
    <w:rsid w:val="00172E96"/>
    <w:rsid w:val="00173066"/>
    <w:rsid w:val="001732B4"/>
    <w:rsid w:val="00173996"/>
    <w:rsid w:val="00173E14"/>
    <w:rsid w:val="00174919"/>
    <w:rsid w:val="00174C21"/>
    <w:rsid w:val="001752AA"/>
    <w:rsid w:val="00175419"/>
    <w:rsid w:val="00176C2E"/>
    <w:rsid w:val="00176D0A"/>
    <w:rsid w:val="001778F6"/>
    <w:rsid w:val="00180976"/>
    <w:rsid w:val="00181739"/>
    <w:rsid w:val="00181F56"/>
    <w:rsid w:val="001821CE"/>
    <w:rsid w:val="00182D0A"/>
    <w:rsid w:val="001834B3"/>
    <w:rsid w:val="001839CF"/>
    <w:rsid w:val="0018402F"/>
    <w:rsid w:val="00184509"/>
    <w:rsid w:val="0018489A"/>
    <w:rsid w:val="001860FE"/>
    <w:rsid w:val="00186250"/>
    <w:rsid w:val="00186917"/>
    <w:rsid w:val="00187257"/>
    <w:rsid w:val="00187FE1"/>
    <w:rsid w:val="00190A40"/>
    <w:rsid w:val="00190E92"/>
    <w:rsid w:val="00190FA7"/>
    <w:rsid w:val="001950F9"/>
    <w:rsid w:val="001972F2"/>
    <w:rsid w:val="0019773A"/>
    <w:rsid w:val="00197C62"/>
    <w:rsid w:val="00197EC2"/>
    <w:rsid w:val="00197FC4"/>
    <w:rsid w:val="001A12A6"/>
    <w:rsid w:val="001A21AE"/>
    <w:rsid w:val="001A2632"/>
    <w:rsid w:val="001A2A93"/>
    <w:rsid w:val="001A2C5C"/>
    <w:rsid w:val="001A30A9"/>
    <w:rsid w:val="001A3B08"/>
    <w:rsid w:val="001A3EF8"/>
    <w:rsid w:val="001A54C1"/>
    <w:rsid w:val="001A5C0B"/>
    <w:rsid w:val="001A5FD7"/>
    <w:rsid w:val="001A6AF7"/>
    <w:rsid w:val="001A6F12"/>
    <w:rsid w:val="001A7B35"/>
    <w:rsid w:val="001B01B2"/>
    <w:rsid w:val="001B07FD"/>
    <w:rsid w:val="001B08A7"/>
    <w:rsid w:val="001B099F"/>
    <w:rsid w:val="001B1262"/>
    <w:rsid w:val="001B12FD"/>
    <w:rsid w:val="001B2308"/>
    <w:rsid w:val="001B280E"/>
    <w:rsid w:val="001B2C65"/>
    <w:rsid w:val="001B3697"/>
    <w:rsid w:val="001B377D"/>
    <w:rsid w:val="001B3F02"/>
    <w:rsid w:val="001B493B"/>
    <w:rsid w:val="001B66D0"/>
    <w:rsid w:val="001B6884"/>
    <w:rsid w:val="001B7943"/>
    <w:rsid w:val="001C0BFB"/>
    <w:rsid w:val="001C0E1E"/>
    <w:rsid w:val="001C30A2"/>
    <w:rsid w:val="001C377C"/>
    <w:rsid w:val="001C3B2D"/>
    <w:rsid w:val="001C3D7E"/>
    <w:rsid w:val="001C3FF0"/>
    <w:rsid w:val="001C4096"/>
    <w:rsid w:val="001C42A2"/>
    <w:rsid w:val="001C51D0"/>
    <w:rsid w:val="001C60AD"/>
    <w:rsid w:val="001C6350"/>
    <w:rsid w:val="001C66AC"/>
    <w:rsid w:val="001C692A"/>
    <w:rsid w:val="001C7091"/>
    <w:rsid w:val="001C71BA"/>
    <w:rsid w:val="001C7BDE"/>
    <w:rsid w:val="001C7FCB"/>
    <w:rsid w:val="001D02BC"/>
    <w:rsid w:val="001D0968"/>
    <w:rsid w:val="001D0C65"/>
    <w:rsid w:val="001D25D1"/>
    <w:rsid w:val="001D26B4"/>
    <w:rsid w:val="001D27C5"/>
    <w:rsid w:val="001D2B2A"/>
    <w:rsid w:val="001D2EB3"/>
    <w:rsid w:val="001D381A"/>
    <w:rsid w:val="001D3E96"/>
    <w:rsid w:val="001D459F"/>
    <w:rsid w:val="001D505C"/>
    <w:rsid w:val="001D5302"/>
    <w:rsid w:val="001D5EF1"/>
    <w:rsid w:val="001D60AD"/>
    <w:rsid w:val="001D6D2A"/>
    <w:rsid w:val="001E0E9B"/>
    <w:rsid w:val="001E1391"/>
    <w:rsid w:val="001E18B2"/>
    <w:rsid w:val="001E1B82"/>
    <w:rsid w:val="001E204C"/>
    <w:rsid w:val="001E35D7"/>
    <w:rsid w:val="001E3F84"/>
    <w:rsid w:val="001E51F5"/>
    <w:rsid w:val="001E5FF0"/>
    <w:rsid w:val="001E7353"/>
    <w:rsid w:val="001F0040"/>
    <w:rsid w:val="001F0C79"/>
    <w:rsid w:val="001F0E7D"/>
    <w:rsid w:val="001F12A7"/>
    <w:rsid w:val="001F1951"/>
    <w:rsid w:val="001F1AA6"/>
    <w:rsid w:val="001F1CCB"/>
    <w:rsid w:val="001F3C17"/>
    <w:rsid w:val="001F499F"/>
    <w:rsid w:val="001F4C1F"/>
    <w:rsid w:val="001F55EF"/>
    <w:rsid w:val="001F700C"/>
    <w:rsid w:val="001F707F"/>
    <w:rsid w:val="001F7AFE"/>
    <w:rsid w:val="001F7DFB"/>
    <w:rsid w:val="00200164"/>
    <w:rsid w:val="00200170"/>
    <w:rsid w:val="00200E2D"/>
    <w:rsid w:val="00201429"/>
    <w:rsid w:val="00201804"/>
    <w:rsid w:val="0020184F"/>
    <w:rsid w:val="00201D1C"/>
    <w:rsid w:val="002024E3"/>
    <w:rsid w:val="002053A1"/>
    <w:rsid w:val="002059A8"/>
    <w:rsid w:val="002059F0"/>
    <w:rsid w:val="00205DC4"/>
    <w:rsid w:val="002060A1"/>
    <w:rsid w:val="00206951"/>
    <w:rsid w:val="00207274"/>
    <w:rsid w:val="00211886"/>
    <w:rsid w:val="00211F21"/>
    <w:rsid w:val="002120D0"/>
    <w:rsid w:val="00212F4E"/>
    <w:rsid w:val="00213D7E"/>
    <w:rsid w:val="00214513"/>
    <w:rsid w:val="002147EC"/>
    <w:rsid w:val="00215118"/>
    <w:rsid w:val="00215430"/>
    <w:rsid w:val="0021548E"/>
    <w:rsid w:val="00215593"/>
    <w:rsid w:val="00215615"/>
    <w:rsid w:val="00217F14"/>
    <w:rsid w:val="002217C7"/>
    <w:rsid w:val="00221BED"/>
    <w:rsid w:val="00222B61"/>
    <w:rsid w:val="00223005"/>
    <w:rsid w:val="00223BAF"/>
    <w:rsid w:val="002273C4"/>
    <w:rsid w:val="002273F5"/>
    <w:rsid w:val="00227543"/>
    <w:rsid w:val="00227CC4"/>
    <w:rsid w:val="00227D12"/>
    <w:rsid w:val="00231C06"/>
    <w:rsid w:val="00231C8A"/>
    <w:rsid w:val="0023217E"/>
    <w:rsid w:val="002328ED"/>
    <w:rsid w:val="002331CB"/>
    <w:rsid w:val="00233CD0"/>
    <w:rsid w:val="002351D7"/>
    <w:rsid w:val="002363B2"/>
    <w:rsid w:val="00236B54"/>
    <w:rsid w:val="00236BDF"/>
    <w:rsid w:val="00237039"/>
    <w:rsid w:val="0024014C"/>
    <w:rsid w:val="002406F5"/>
    <w:rsid w:val="00240AD5"/>
    <w:rsid w:val="00241521"/>
    <w:rsid w:val="00241CBD"/>
    <w:rsid w:val="00243269"/>
    <w:rsid w:val="002439B5"/>
    <w:rsid w:val="00244629"/>
    <w:rsid w:val="00244ECC"/>
    <w:rsid w:val="00246073"/>
    <w:rsid w:val="00246607"/>
    <w:rsid w:val="00246AA6"/>
    <w:rsid w:val="0024748B"/>
    <w:rsid w:val="00250DFD"/>
    <w:rsid w:val="00251A6E"/>
    <w:rsid w:val="00251F0C"/>
    <w:rsid w:val="0025591E"/>
    <w:rsid w:val="00257B08"/>
    <w:rsid w:val="00260CE1"/>
    <w:rsid w:val="00260F69"/>
    <w:rsid w:val="00260FAC"/>
    <w:rsid w:val="00262767"/>
    <w:rsid w:val="00262774"/>
    <w:rsid w:val="00263053"/>
    <w:rsid w:val="00264AF5"/>
    <w:rsid w:val="0026616D"/>
    <w:rsid w:val="0026779C"/>
    <w:rsid w:val="00270328"/>
    <w:rsid w:val="00270DBA"/>
    <w:rsid w:val="00272213"/>
    <w:rsid w:val="00272ABC"/>
    <w:rsid w:val="00273263"/>
    <w:rsid w:val="00273E10"/>
    <w:rsid w:val="002748FE"/>
    <w:rsid w:val="00275940"/>
    <w:rsid w:val="00275F44"/>
    <w:rsid w:val="002804B3"/>
    <w:rsid w:val="002809BD"/>
    <w:rsid w:val="002811F9"/>
    <w:rsid w:val="00281445"/>
    <w:rsid w:val="002817DE"/>
    <w:rsid w:val="00281B5D"/>
    <w:rsid w:val="00282E92"/>
    <w:rsid w:val="0028334E"/>
    <w:rsid w:val="00283C83"/>
    <w:rsid w:val="00283F6B"/>
    <w:rsid w:val="002854EB"/>
    <w:rsid w:val="00285A64"/>
    <w:rsid w:val="00285DBD"/>
    <w:rsid w:val="0028624E"/>
    <w:rsid w:val="00291EF9"/>
    <w:rsid w:val="00291FF4"/>
    <w:rsid w:val="00292D55"/>
    <w:rsid w:val="0029328B"/>
    <w:rsid w:val="0029334F"/>
    <w:rsid w:val="00293A4C"/>
    <w:rsid w:val="00294ACB"/>
    <w:rsid w:val="0029512A"/>
    <w:rsid w:val="00295EDE"/>
    <w:rsid w:val="00296582"/>
    <w:rsid w:val="00296722"/>
    <w:rsid w:val="00296CA7"/>
    <w:rsid w:val="00296F35"/>
    <w:rsid w:val="0029734A"/>
    <w:rsid w:val="00297D50"/>
    <w:rsid w:val="00297D9F"/>
    <w:rsid w:val="002A1A12"/>
    <w:rsid w:val="002A3566"/>
    <w:rsid w:val="002A37A1"/>
    <w:rsid w:val="002A4E32"/>
    <w:rsid w:val="002A56E8"/>
    <w:rsid w:val="002A5A3D"/>
    <w:rsid w:val="002A6009"/>
    <w:rsid w:val="002B07D6"/>
    <w:rsid w:val="002B08F7"/>
    <w:rsid w:val="002B33B6"/>
    <w:rsid w:val="002B385A"/>
    <w:rsid w:val="002B387D"/>
    <w:rsid w:val="002B3938"/>
    <w:rsid w:val="002B394E"/>
    <w:rsid w:val="002B3E3B"/>
    <w:rsid w:val="002B40E3"/>
    <w:rsid w:val="002B4A07"/>
    <w:rsid w:val="002B5C43"/>
    <w:rsid w:val="002B653F"/>
    <w:rsid w:val="002B72CC"/>
    <w:rsid w:val="002B7D25"/>
    <w:rsid w:val="002C24CA"/>
    <w:rsid w:val="002C29F2"/>
    <w:rsid w:val="002C329D"/>
    <w:rsid w:val="002C32A7"/>
    <w:rsid w:val="002C3ABC"/>
    <w:rsid w:val="002C4107"/>
    <w:rsid w:val="002C66C3"/>
    <w:rsid w:val="002C674F"/>
    <w:rsid w:val="002C6B89"/>
    <w:rsid w:val="002C722D"/>
    <w:rsid w:val="002C7298"/>
    <w:rsid w:val="002C790E"/>
    <w:rsid w:val="002D1820"/>
    <w:rsid w:val="002D182C"/>
    <w:rsid w:val="002D2248"/>
    <w:rsid w:val="002D2710"/>
    <w:rsid w:val="002D3AA6"/>
    <w:rsid w:val="002D41DA"/>
    <w:rsid w:val="002D76C4"/>
    <w:rsid w:val="002E04B8"/>
    <w:rsid w:val="002E076A"/>
    <w:rsid w:val="002E15C7"/>
    <w:rsid w:val="002E1AEE"/>
    <w:rsid w:val="002E1F0E"/>
    <w:rsid w:val="002E1FB0"/>
    <w:rsid w:val="002E229C"/>
    <w:rsid w:val="002E2824"/>
    <w:rsid w:val="002E28D2"/>
    <w:rsid w:val="002E29FB"/>
    <w:rsid w:val="002E46A6"/>
    <w:rsid w:val="002E47F4"/>
    <w:rsid w:val="002E4C81"/>
    <w:rsid w:val="002E51F1"/>
    <w:rsid w:val="002E559C"/>
    <w:rsid w:val="002E57E2"/>
    <w:rsid w:val="002E58E3"/>
    <w:rsid w:val="002E5F6D"/>
    <w:rsid w:val="002E7449"/>
    <w:rsid w:val="002E7D5B"/>
    <w:rsid w:val="002F0F69"/>
    <w:rsid w:val="002F1350"/>
    <w:rsid w:val="002F137E"/>
    <w:rsid w:val="002F1E8A"/>
    <w:rsid w:val="002F2162"/>
    <w:rsid w:val="002F311C"/>
    <w:rsid w:val="002F4238"/>
    <w:rsid w:val="002F4440"/>
    <w:rsid w:val="002F504C"/>
    <w:rsid w:val="002F6136"/>
    <w:rsid w:val="002F7117"/>
    <w:rsid w:val="002F7E60"/>
    <w:rsid w:val="002F7ECB"/>
    <w:rsid w:val="00301311"/>
    <w:rsid w:val="003034C6"/>
    <w:rsid w:val="00303A27"/>
    <w:rsid w:val="0030462B"/>
    <w:rsid w:val="00304EF2"/>
    <w:rsid w:val="0030606F"/>
    <w:rsid w:val="00306172"/>
    <w:rsid w:val="00306C6F"/>
    <w:rsid w:val="0030762F"/>
    <w:rsid w:val="00307C69"/>
    <w:rsid w:val="00310DE5"/>
    <w:rsid w:val="00311332"/>
    <w:rsid w:val="00311F5C"/>
    <w:rsid w:val="0031214C"/>
    <w:rsid w:val="00312E4C"/>
    <w:rsid w:val="00312F44"/>
    <w:rsid w:val="0031344A"/>
    <w:rsid w:val="00313749"/>
    <w:rsid w:val="00313BA7"/>
    <w:rsid w:val="00313C75"/>
    <w:rsid w:val="00313C8F"/>
    <w:rsid w:val="00314D06"/>
    <w:rsid w:val="00315EA4"/>
    <w:rsid w:val="0031638F"/>
    <w:rsid w:val="00316F44"/>
    <w:rsid w:val="0031724A"/>
    <w:rsid w:val="00317F0B"/>
    <w:rsid w:val="0032045F"/>
    <w:rsid w:val="003217A3"/>
    <w:rsid w:val="00322BF9"/>
    <w:rsid w:val="00322DE0"/>
    <w:rsid w:val="0032306B"/>
    <w:rsid w:val="0032363D"/>
    <w:rsid w:val="003241C9"/>
    <w:rsid w:val="0032484D"/>
    <w:rsid w:val="003254A2"/>
    <w:rsid w:val="00326281"/>
    <w:rsid w:val="00326B7D"/>
    <w:rsid w:val="00327394"/>
    <w:rsid w:val="00330519"/>
    <w:rsid w:val="00330C92"/>
    <w:rsid w:val="00330F6A"/>
    <w:rsid w:val="0033190E"/>
    <w:rsid w:val="003334EF"/>
    <w:rsid w:val="0033402D"/>
    <w:rsid w:val="00334CBE"/>
    <w:rsid w:val="003404D3"/>
    <w:rsid w:val="00341795"/>
    <w:rsid w:val="00341D75"/>
    <w:rsid w:val="00343A3C"/>
    <w:rsid w:val="00343F08"/>
    <w:rsid w:val="00344762"/>
    <w:rsid w:val="00345AD9"/>
    <w:rsid w:val="00345D4A"/>
    <w:rsid w:val="0035093A"/>
    <w:rsid w:val="00350ABA"/>
    <w:rsid w:val="00350E2B"/>
    <w:rsid w:val="00350F07"/>
    <w:rsid w:val="003514B8"/>
    <w:rsid w:val="00352955"/>
    <w:rsid w:val="00352B9B"/>
    <w:rsid w:val="0035334A"/>
    <w:rsid w:val="003537D1"/>
    <w:rsid w:val="003538B7"/>
    <w:rsid w:val="00353C0D"/>
    <w:rsid w:val="00353DE6"/>
    <w:rsid w:val="0035596D"/>
    <w:rsid w:val="00356ECE"/>
    <w:rsid w:val="0036027A"/>
    <w:rsid w:val="00360D2E"/>
    <w:rsid w:val="00361325"/>
    <w:rsid w:val="003616EE"/>
    <w:rsid w:val="0036225E"/>
    <w:rsid w:val="00363737"/>
    <w:rsid w:val="00364592"/>
    <w:rsid w:val="0036506C"/>
    <w:rsid w:val="00365C93"/>
    <w:rsid w:val="003665B9"/>
    <w:rsid w:val="00366E57"/>
    <w:rsid w:val="003672FF"/>
    <w:rsid w:val="00372060"/>
    <w:rsid w:val="003724F1"/>
    <w:rsid w:val="00372D5D"/>
    <w:rsid w:val="0037430D"/>
    <w:rsid w:val="00374888"/>
    <w:rsid w:val="003749E0"/>
    <w:rsid w:val="00374E40"/>
    <w:rsid w:val="0037552F"/>
    <w:rsid w:val="00375905"/>
    <w:rsid w:val="00376217"/>
    <w:rsid w:val="00376858"/>
    <w:rsid w:val="00377535"/>
    <w:rsid w:val="003779B7"/>
    <w:rsid w:val="003779DA"/>
    <w:rsid w:val="00377EA3"/>
    <w:rsid w:val="00380AEF"/>
    <w:rsid w:val="0038240B"/>
    <w:rsid w:val="00383179"/>
    <w:rsid w:val="003834F6"/>
    <w:rsid w:val="00384AAA"/>
    <w:rsid w:val="00384BBB"/>
    <w:rsid w:val="00384D9F"/>
    <w:rsid w:val="00385EF3"/>
    <w:rsid w:val="003863B7"/>
    <w:rsid w:val="003869B7"/>
    <w:rsid w:val="00387233"/>
    <w:rsid w:val="0039097F"/>
    <w:rsid w:val="003910E1"/>
    <w:rsid w:val="00391801"/>
    <w:rsid w:val="00392D14"/>
    <w:rsid w:val="0039341F"/>
    <w:rsid w:val="00393E05"/>
    <w:rsid w:val="003954B8"/>
    <w:rsid w:val="00395682"/>
    <w:rsid w:val="00395C80"/>
    <w:rsid w:val="003962A8"/>
    <w:rsid w:val="0039672F"/>
    <w:rsid w:val="003967A7"/>
    <w:rsid w:val="0039689A"/>
    <w:rsid w:val="00397AAE"/>
    <w:rsid w:val="00397F92"/>
    <w:rsid w:val="003A14E5"/>
    <w:rsid w:val="003A1B1E"/>
    <w:rsid w:val="003A26D5"/>
    <w:rsid w:val="003A35D8"/>
    <w:rsid w:val="003A471E"/>
    <w:rsid w:val="003A4F3C"/>
    <w:rsid w:val="003A5B17"/>
    <w:rsid w:val="003A5B22"/>
    <w:rsid w:val="003A684E"/>
    <w:rsid w:val="003A686F"/>
    <w:rsid w:val="003A6E4A"/>
    <w:rsid w:val="003A71E6"/>
    <w:rsid w:val="003A75BF"/>
    <w:rsid w:val="003A7DC3"/>
    <w:rsid w:val="003B01D3"/>
    <w:rsid w:val="003B1E06"/>
    <w:rsid w:val="003B224D"/>
    <w:rsid w:val="003B2DA5"/>
    <w:rsid w:val="003B364D"/>
    <w:rsid w:val="003B62CA"/>
    <w:rsid w:val="003B706B"/>
    <w:rsid w:val="003C0B83"/>
    <w:rsid w:val="003C11ED"/>
    <w:rsid w:val="003C1F89"/>
    <w:rsid w:val="003C2980"/>
    <w:rsid w:val="003C2CA9"/>
    <w:rsid w:val="003C4C59"/>
    <w:rsid w:val="003C51E0"/>
    <w:rsid w:val="003C65DB"/>
    <w:rsid w:val="003C7AF4"/>
    <w:rsid w:val="003C7EE7"/>
    <w:rsid w:val="003D04B6"/>
    <w:rsid w:val="003D0590"/>
    <w:rsid w:val="003D0629"/>
    <w:rsid w:val="003D0F27"/>
    <w:rsid w:val="003D11FF"/>
    <w:rsid w:val="003D1959"/>
    <w:rsid w:val="003D2A69"/>
    <w:rsid w:val="003D379F"/>
    <w:rsid w:val="003D3D73"/>
    <w:rsid w:val="003D487D"/>
    <w:rsid w:val="003D4B2E"/>
    <w:rsid w:val="003D5356"/>
    <w:rsid w:val="003D57B4"/>
    <w:rsid w:val="003D5F92"/>
    <w:rsid w:val="003D692F"/>
    <w:rsid w:val="003D6F3F"/>
    <w:rsid w:val="003D772F"/>
    <w:rsid w:val="003D7C43"/>
    <w:rsid w:val="003E02EF"/>
    <w:rsid w:val="003E0827"/>
    <w:rsid w:val="003E2429"/>
    <w:rsid w:val="003E28E2"/>
    <w:rsid w:val="003E3239"/>
    <w:rsid w:val="003E3317"/>
    <w:rsid w:val="003E3E3C"/>
    <w:rsid w:val="003E3E54"/>
    <w:rsid w:val="003E486D"/>
    <w:rsid w:val="003E587D"/>
    <w:rsid w:val="003E5A2F"/>
    <w:rsid w:val="003E5F29"/>
    <w:rsid w:val="003F08E0"/>
    <w:rsid w:val="003F0F3E"/>
    <w:rsid w:val="003F3431"/>
    <w:rsid w:val="003F384E"/>
    <w:rsid w:val="003F4868"/>
    <w:rsid w:val="003F4F1E"/>
    <w:rsid w:val="003F500C"/>
    <w:rsid w:val="003F57B4"/>
    <w:rsid w:val="003F5F36"/>
    <w:rsid w:val="003F6493"/>
    <w:rsid w:val="003F64BD"/>
    <w:rsid w:val="003F78B9"/>
    <w:rsid w:val="0040012B"/>
    <w:rsid w:val="00400183"/>
    <w:rsid w:val="00400C7E"/>
    <w:rsid w:val="00401982"/>
    <w:rsid w:val="00402EDB"/>
    <w:rsid w:val="0040330D"/>
    <w:rsid w:val="0040342E"/>
    <w:rsid w:val="0040523D"/>
    <w:rsid w:val="00410520"/>
    <w:rsid w:val="0041141A"/>
    <w:rsid w:val="004120A4"/>
    <w:rsid w:val="004122F9"/>
    <w:rsid w:val="00413376"/>
    <w:rsid w:val="004139C9"/>
    <w:rsid w:val="00413E19"/>
    <w:rsid w:val="004141AE"/>
    <w:rsid w:val="00415110"/>
    <w:rsid w:val="004171F3"/>
    <w:rsid w:val="00417765"/>
    <w:rsid w:val="004213AA"/>
    <w:rsid w:val="00421A9F"/>
    <w:rsid w:val="004234CB"/>
    <w:rsid w:val="00423DF1"/>
    <w:rsid w:val="004246C8"/>
    <w:rsid w:val="00424CAC"/>
    <w:rsid w:val="004253D8"/>
    <w:rsid w:val="00426173"/>
    <w:rsid w:val="00426264"/>
    <w:rsid w:val="004266E9"/>
    <w:rsid w:val="004275C2"/>
    <w:rsid w:val="00427D07"/>
    <w:rsid w:val="0043013D"/>
    <w:rsid w:val="004303BE"/>
    <w:rsid w:val="00430C58"/>
    <w:rsid w:val="00430F27"/>
    <w:rsid w:val="00430FD3"/>
    <w:rsid w:val="00431685"/>
    <w:rsid w:val="004325BB"/>
    <w:rsid w:val="0043281B"/>
    <w:rsid w:val="004331C4"/>
    <w:rsid w:val="0043374D"/>
    <w:rsid w:val="004346D5"/>
    <w:rsid w:val="00434820"/>
    <w:rsid w:val="00434C7C"/>
    <w:rsid w:val="004353A0"/>
    <w:rsid w:val="0043564D"/>
    <w:rsid w:val="00435A69"/>
    <w:rsid w:val="00435DD7"/>
    <w:rsid w:val="00436A48"/>
    <w:rsid w:val="00436F0D"/>
    <w:rsid w:val="004377E7"/>
    <w:rsid w:val="00440D0D"/>
    <w:rsid w:val="00441C25"/>
    <w:rsid w:val="00441E19"/>
    <w:rsid w:val="004431DF"/>
    <w:rsid w:val="0044379A"/>
    <w:rsid w:val="00443EF6"/>
    <w:rsid w:val="004450BC"/>
    <w:rsid w:val="00446452"/>
    <w:rsid w:val="00446460"/>
    <w:rsid w:val="00446C9B"/>
    <w:rsid w:val="0044764E"/>
    <w:rsid w:val="00450DA2"/>
    <w:rsid w:val="00451BFE"/>
    <w:rsid w:val="0045271A"/>
    <w:rsid w:val="00452A94"/>
    <w:rsid w:val="004536CC"/>
    <w:rsid w:val="004537D2"/>
    <w:rsid w:val="00454B44"/>
    <w:rsid w:val="00454EA1"/>
    <w:rsid w:val="00455479"/>
    <w:rsid w:val="00455A5E"/>
    <w:rsid w:val="00455C35"/>
    <w:rsid w:val="00455C9A"/>
    <w:rsid w:val="00456D61"/>
    <w:rsid w:val="0045720B"/>
    <w:rsid w:val="00457C47"/>
    <w:rsid w:val="00457F33"/>
    <w:rsid w:val="004602C8"/>
    <w:rsid w:val="00460E6B"/>
    <w:rsid w:val="0046117A"/>
    <w:rsid w:val="0046156C"/>
    <w:rsid w:val="00461F55"/>
    <w:rsid w:val="004624F9"/>
    <w:rsid w:val="0046446E"/>
    <w:rsid w:val="00464A26"/>
    <w:rsid w:val="0046501E"/>
    <w:rsid w:val="00466552"/>
    <w:rsid w:val="004667F5"/>
    <w:rsid w:val="004672A5"/>
    <w:rsid w:val="004707C5"/>
    <w:rsid w:val="00472134"/>
    <w:rsid w:val="00472DC8"/>
    <w:rsid w:val="00473066"/>
    <w:rsid w:val="00476D72"/>
    <w:rsid w:val="00476F24"/>
    <w:rsid w:val="0048019D"/>
    <w:rsid w:val="004802EC"/>
    <w:rsid w:val="0048051D"/>
    <w:rsid w:val="0048190C"/>
    <w:rsid w:val="00483B2F"/>
    <w:rsid w:val="00484073"/>
    <w:rsid w:val="00484671"/>
    <w:rsid w:val="0048493F"/>
    <w:rsid w:val="00484B65"/>
    <w:rsid w:val="00484BF3"/>
    <w:rsid w:val="00485604"/>
    <w:rsid w:val="00485F5C"/>
    <w:rsid w:val="00486271"/>
    <w:rsid w:val="00486D4D"/>
    <w:rsid w:val="00487545"/>
    <w:rsid w:val="00490030"/>
    <w:rsid w:val="004915F3"/>
    <w:rsid w:val="00491C8E"/>
    <w:rsid w:val="00491FE8"/>
    <w:rsid w:val="00492B81"/>
    <w:rsid w:val="00493B47"/>
    <w:rsid w:val="00494C66"/>
    <w:rsid w:val="00496150"/>
    <w:rsid w:val="00496F7C"/>
    <w:rsid w:val="00496FFA"/>
    <w:rsid w:val="00497663"/>
    <w:rsid w:val="00497E1A"/>
    <w:rsid w:val="004A0ADF"/>
    <w:rsid w:val="004A0BA9"/>
    <w:rsid w:val="004A274B"/>
    <w:rsid w:val="004A29F1"/>
    <w:rsid w:val="004A3796"/>
    <w:rsid w:val="004A6641"/>
    <w:rsid w:val="004A7773"/>
    <w:rsid w:val="004B0F0D"/>
    <w:rsid w:val="004B154F"/>
    <w:rsid w:val="004B1E94"/>
    <w:rsid w:val="004B2392"/>
    <w:rsid w:val="004B2556"/>
    <w:rsid w:val="004B2DB4"/>
    <w:rsid w:val="004B33FF"/>
    <w:rsid w:val="004B492D"/>
    <w:rsid w:val="004B4DD5"/>
    <w:rsid w:val="004B50B2"/>
    <w:rsid w:val="004B56DE"/>
    <w:rsid w:val="004B5A3C"/>
    <w:rsid w:val="004B6646"/>
    <w:rsid w:val="004B7AF2"/>
    <w:rsid w:val="004C051A"/>
    <w:rsid w:val="004C1A18"/>
    <w:rsid w:val="004C26CA"/>
    <w:rsid w:val="004C37BB"/>
    <w:rsid w:val="004C4128"/>
    <w:rsid w:val="004C42C3"/>
    <w:rsid w:val="004C584D"/>
    <w:rsid w:val="004C58C3"/>
    <w:rsid w:val="004C6B1F"/>
    <w:rsid w:val="004C7415"/>
    <w:rsid w:val="004C76BB"/>
    <w:rsid w:val="004C7B2F"/>
    <w:rsid w:val="004C7D6E"/>
    <w:rsid w:val="004D1C96"/>
    <w:rsid w:val="004D1FB9"/>
    <w:rsid w:val="004D2974"/>
    <w:rsid w:val="004D2F69"/>
    <w:rsid w:val="004D400A"/>
    <w:rsid w:val="004D42FA"/>
    <w:rsid w:val="004D4563"/>
    <w:rsid w:val="004D56DB"/>
    <w:rsid w:val="004D5E78"/>
    <w:rsid w:val="004D7349"/>
    <w:rsid w:val="004D73B6"/>
    <w:rsid w:val="004D7ED2"/>
    <w:rsid w:val="004E172A"/>
    <w:rsid w:val="004E2BD0"/>
    <w:rsid w:val="004E322D"/>
    <w:rsid w:val="004E429F"/>
    <w:rsid w:val="004E4FBA"/>
    <w:rsid w:val="004E5B14"/>
    <w:rsid w:val="004E6BE0"/>
    <w:rsid w:val="004E6C96"/>
    <w:rsid w:val="004F081B"/>
    <w:rsid w:val="004F091F"/>
    <w:rsid w:val="004F0A47"/>
    <w:rsid w:val="004F1676"/>
    <w:rsid w:val="004F1729"/>
    <w:rsid w:val="004F2D8B"/>
    <w:rsid w:val="004F368F"/>
    <w:rsid w:val="004F3E35"/>
    <w:rsid w:val="004F405D"/>
    <w:rsid w:val="004F4EF9"/>
    <w:rsid w:val="004F5434"/>
    <w:rsid w:val="004F5FF2"/>
    <w:rsid w:val="004F6796"/>
    <w:rsid w:val="004F733A"/>
    <w:rsid w:val="0050144B"/>
    <w:rsid w:val="00501F8C"/>
    <w:rsid w:val="005035B9"/>
    <w:rsid w:val="00504D25"/>
    <w:rsid w:val="00504F98"/>
    <w:rsid w:val="00505C1C"/>
    <w:rsid w:val="005066CA"/>
    <w:rsid w:val="00511D5A"/>
    <w:rsid w:val="00511FD3"/>
    <w:rsid w:val="00512142"/>
    <w:rsid w:val="0051220A"/>
    <w:rsid w:val="005124FE"/>
    <w:rsid w:val="005131F1"/>
    <w:rsid w:val="0051484F"/>
    <w:rsid w:val="005151AB"/>
    <w:rsid w:val="005154B8"/>
    <w:rsid w:val="0051575A"/>
    <w:rsid w:val="00516B3E"/>
    <w:rsid w:val="0051708C"/>
    <w:rsid w:val="005179C3"/>
    <w:rsid w:val="00520AE2"/>
    <w:rsid w:val="00520D93"/>
    <w:rsid w:val="00521205"/>
    <w:rsid w:val="005212F4"/>
    <w:rsid w:val="00521AE6"/>
    <w:rsid w:val="00521F63"/>
    <w:rsid w:val="0052221B"/>
    <w:rsid w:val="005238C6"/>
    <w:rsid w:val="00523FDE"/>
    <w:rsid w:val="005253CB"/>
    <w:rsid w:val="00525DB5"/>
    <w:rsid w:val="00525EFA"/>
    <w:rsid w:val="00526144"/>
    <w:rsid w:val="0052617C"/>
    <w:rsid w:val="005262C9"/>
    <w:rsid w:val="005273D9"/>
    <w:rsid w:val="00527AD0"/>
    <w:rsid w:val="005301D1"/>
    <w:rsid w:val="00531D70"/>
    <w:rsid w:val="00534EA0"/>
    <w:rsid w:val="00534FC2"/>
    <w:rsid w:val="005350B2"/>
    <w:rsid w:val="005374CF"/>
    <w:rsid w:val="0053755F"/>
    <w:rsid w:val="00540731"/>
    <w:rsid w:val="00540798"/>
    <w:rsid w:val="00540EDB"/>
    <w:rsid w:val="00541231"/>
    <w:rsid w:val="0054143F"/>
    <w:rsid w:val="0054194E"/>
    <w:rsid w:val="00541F90"/>
    <w:rsid w:val="00541FF0"/>
    <w:rsid w:val="00542755"/>
    <w:rsid w:val="00543BED"/>
    <w:rsid w:val="00544237"/>
    <w:rsid w:val="005443E9"/>
    <w:rsid w:val="005459C4"/>
    <w:rsid w:val="00545AA9"/>
    <w:rsid w:val="00545EB1"/>
    <w:rsid w:val="00546829"/>
    <w:rsid w:val="00546857"/>
    <w:rsid w:val="0054771E"/>
    <w:rsid w:val="005505AA"/>
    <w:rsid w:val="00550EED"/>
    <w:rsid w:val="005531BB"/>
    <w:rsid w:val="0055394C"/>
    <w:rsid w:val="0055671D"/>
    <w:rsid w:val="00556CCE"/>
    <w:rsid w:val="005570F1"/>
    <w:rsid w:val="00560102"/>
    <w:rsid w:val="00561C16"/>
    <w:rsid w:val="00562175"/>
    <w:rsid w:val="00562685"/>
    <w:rsid w:val="005631A5"/>
    <w:rsid w:val="00563884"/>
    <w:rsid w:val="00564303"/>
    <w:rsid w:val="005644D8"/>
    <w:rsid w:val="0056481F"/>
    <w:rsid w:val="00564ED7"/>
    <w:rsid w:val="0056553C"/>
    <w:rsid w:val="00566BF6"/>
    <w:rsid w:val="005679BB"/>
    <w:rsid w:val="00570064"/>
    <w:rsid w:val="00570E2E"/>
    <w:rsid w:val="005715DD"/>
    <w:rsid w:val="00571B46"/>
    <w:rsid w:val="00571D80"/>
    <w:rsid w:val="00571F09"/>
    <w:rsid w:val="005720F8"/>
    <w:rsid w:val="00572547"/>
    <w:rsid w:val="0057385A"/>
    <w:rsid w:val="0057401E"/>
    <w:rsid w:val="00574EC7"/>
    <w:rsid w:val="00575613"/>
    <w:rsid w:val="00575837"/>
    <w:rsid w:val="0057652C"/>
    <w:rsid w:val="00576A1B"/>
    <w:rsid w:val="00577199"/>
    <w:rsid w:val="00577CBA"/>
    <w:rsid w:val="0058213D"/>
    <w:rsid w:val="00582BAD"/>
    <w:rsid w:val="00583434"/>
    <w:rsid w:val="0058349F"/>
    <w:rsid w:val="00583AE9"/>
    <w:rsid w:val="00584193"/>
    <w:rsid w:val="0058466D"/>
    <w:rsid w:val="005849B5"/>
    <w:rsid w:val="005849C1"/>
    <w:rsid w:val="00584A5C"/>
    <w:rsid w:val="00586206"/>
    <w:rsid w:val="00586275"/>
    <w:rsid w:val="00586F52"/>
    <w:rsid w:val="005870DB"/>
    <w:rsid w:val="005909CD"/>
    <w:rsid w:val="0059243A"/>
    <w:rsid w:val="005936D6"/>
    <w:rsid w:val="00593B67"/>
    <w:rsid w:val="005945D7"/>
    <w:rsid w:val="00594ABD"/>
    <w:rsid w:val="005972BE"/>
    <w:rsid w:val="005973AF"/>
    <w:rsid w:val="00597BBB"/>
    <w:rsid w:val="005A1C52"/>
    <w:rsid w:val="005A1EDA"/>
    <w:rsid w:val="005A2944"/>
    <w:rsid w:val="005A3ECE"/>
    <w:rsid w:val="005A43A4"/>
    <w:rsid w:val="005A4E85"/>
    <w:rsid w:val="005A5670"/>
    <w:rsid w:val="005A5DB0"/>
    <w:rsid w:val="005A78BF"/>
    <w:rsid w:val="005A7E6F"/>
    <w:rsid w:val="005B0829"/>
    <w:rsid w:val="005B13B6"/>
    <w:rsid w:val="005B154D"/>
    <w:rsid w:val="005B1783"/>
    <w:rsid w:val="005B2933"/>
    <w:rsid w:val="005B40ED"/>
    <w:rsid w:val="005B4203"/>
    <w:rsid w:val="005B4A9D"/>
    <w:rsid w:val="005B4CC1"/>
    <w:rsid w:val="005B548F"/>
    <w:rsid w:val="005B6718"/>
    <w:rsid w:val="005B6B4C"/>
    <w:rsid w:val="005B6D35"/>
    <w:rsid w:val="005B7DB9"/>
    <w:rsid w:val="005C01D3"/>
    <w:rsid w:val="005C0D7E"/>
    <w:rsid w:val="005C2ECD"/>
    <w:rsid w:val="005C3E1D"/>
    <w:rsid w:val="005C3F4E"/>
    <w:rsid w:val="005C4510"/>
    <w:rsid w:val="005C4BBD"/>
    <w:rsid w:val="005C4ED2"/>
    <w:rsid w:val="005C6060"/>
    <w:rsid w:val="005C628E"/>
    <w:rsid w:val="005C647D"/>
    <w:rsid w:val="005C64AC"/>
    <w:rsid w:val="005C710F"/>
    <w:rsid w:val="005C7516"/>
    <w:rsid w:val="005D053C"/>
    <w:rsid w:val="005D117E"/>
    <w:rsid w:val="005D1522"/>
    <w:rsid w:val="005D1B07"/>
    <w:rsid w:val="005D252E"/>
    <w:rsid w:val="005D332E"/>
    <w:rsid w:val="005D3A3A"/>
    <w:rsid w:val="005D436F"/>
    <w:rsid w:val="005D559C"/>
    <w:rsid w:val="005D5961"/>
    <w:rsid w:val="005D61A2"/>
    <w:rsid w:val="005D7210"/>
    <w:rsid w:val="005D7E8F"/>
    <w:rsid w:val="005D7ED9"/>
    <w:rsid w:val="005E08D6"/>
    <w:rsid w:val="005E0B69"/>
    <w:rsid w:val="005E2FCC"/>
    <w:rsid w:val="005E3414"/>
    <w:rsid w:val="005E3D7D"/>
    <w:rsid w:val="005E4013"/>
    <w:rsid w:val="005E44A4"/>
    <w:rsid w:val="005E4BE6"/>
    <w:rsid w:val="005E4D9F"/>
    <w:rsid w:val="005E4E9F"/>
    <w:rsid w:val="005E583B"/>
    <w:rsid w:val="005E5B2C"/>
    <w:rsid w:val="005E6801"/>
    <w:rsid w:val="005E6E6B"/>
    <w:rsid w:val="005E75E6"/>
    <w:rsid w:val="005E7AE1"/>
    <w:rsid w:val="005F1B1F"/>
    <w:rsid w:val="005F2060"/>
    <w:rsid w:val="005F24E1"/>
    <w:rsid w:val="005F2C00"/>
    <w:rsid w:val="005F3641"/>
    <w:rsid w:val="005F41FD"/>
    <w:rsid w:val="005F450B"/>
    <w:rsid w:val="005F4FC1"/>
    <w:rsid w:val="005F540A"/>
    <w:rsid w:val="005F5F5F"/>
    <w:rsid w:val="005F6470"/>
    <w:rsid w:val="006014E3"/>
    <w:rsid w:val="00603516"/>
    <w:rsid w:val="006035A2"/>
    <w:rsid w:val="00603BEB"/>
    <w:rsid w:val="0060402D"/>
    <w:rsid w:val="00604656"/>
    <w:rsid w:val="0060473B"/>
    <w:rsid w:val="006059DF"/>
    <w:rsid w:val="00605FDB"/>
    <w:rsid w:val="00607CA3"/>
    <w:rsid w:val="0061087D"/>
    <w:rsid w:val="00610BE2"/>
    <w:rsid w:val="00612B11"/>
    <w:rsid w:val="00612ED0"/>
    <w:rsid w:val="00614254"/>
    <w:rsid w:val="0061658E"/>
    <w:rsid w:val="0061671F"/>
    <w:rsid w:val="00616747"/>
    <w:rsid w:val="00616C0E"/>
    <w:rsid w:val="00616DFA"/>
    <w:rsid w:val="00616F94"/>
    <w:rsid w:val="0062036A"/>
    <w:rsid w:val="00621344"/>
    <w:rsid w:val="0062140E"/>
    <w:rsid w:val="00621A4B"/>
    <w:rsid w:val="00621E73"/>
    <w:rsid w:val="006234FB"/>
    <w:rsid w:val="00624770"/>
    <w:rsid w:val="00624775"/>
    <w:rsid w:val="00625D60"/>
    <w:rsid w:val="00626ACC"/>
    <w:rsid w:val="00627894"/>
    <w:rsid w:val="0063031C"/>
    <w:rsid w:val="00631EA9"/>
    <w:rsid w:val="006324D6"/>
    <w:rsid w:val="00632526"/>
    <w:rsid w:val="00632CD2"/>
    <w:rsid w:val="006334E4"/>
    <w:rsid w:val="006342EC"/>
    <w:rsid w:val="006345FB"/>
    <w:rsid w:val="006352EB"/>
    <w:rsid w:val="006354AE"/>
    <w:rsid w:val="0063747D"/>
    <w:rsid w:val="0064067E"/>
    <w:rsid w:val="006409C7"/>
    <w:rsid w:val="006410B7"/>
    <w:rsid w:val="00641F2D"/>
    <w:rsid w:val="0064250B"/>
    <w:rsid w:val="0064307A"/>
    <w:rsid w:val="006430A3"/>
    <w:rsid w:val="006432CD"/>
    <w:rsid w:val="006455AB"/>
    <w:rsid w:val="00646C7A"/>
    <w:rsid w:val="00646D00"/>
    <w:rsid w:val="00647B81"/>
    <w:rsid w:val="006511CB"/>
    <w:rsid w:val="006515AB"/>
    <w:rsid w:val="0065228E"/>
    <w:rsid w:val="00654113"/>
    <w:rsid w:val="0065447E"/>
    <w:rsid w:val="006544D1"/>
    <w:rsid w:val="00654940"/>
    <w:rsid w:val="00656014"/>
    <w:rsid w:val="0065626B"/>
    <w:rsid w:val="006563CF"/>
    <w:rsid w:val="006567E0"/>
    <w:rsid w:val="00656E2B"/>
    <w:rsid w:val="006570C0"/>
    <w:rsid w:val="00657E14"/>
    <w:rsid w:val="0066006F"/>
    <w:rsid w:val="00660419"/>
    <w:rsid w:val="0066080A"/>
    <w:rsid w:val="00661184"/>
    <w:rsid w:val="0066166C"/>
    <w:rsid w:val="006617CE"/>
    <w:rsid w:val="0066259A"/>
    <w:rsid w:val="00662A8D"/>
    <w:rsid w:val="006630C4"/>
    <w:rsid w:val="006647C6"/>
    <w:rsid w:val="00664BDF"/>
    <w:rsid w:val="00665573"/>
    <w:rsid w:val="006657D1"/>
    <w:rsid w:val="00665930"/>
    <w:rsid w:val="00666416"/>
    <w:rsid w:val="00666826"/>
    <w:rsid w:val="00667D72"/>
    <w:rsid w:val="00670A4B"/>
    <w:rsid w:val="00670FEF"/>
    <w:rsid w:val="006710E7"/>
    <w:rsid w:val="00671A29"/>
    <w:rsid w:val="00671EED"/>
    <w:rsid w:val="00671F60"/>
    <w:rsid w:val="00673BA9"/>
    <w:rsid w:val="006744B1"/>
    <w:rsid w:val="0067465E"/>
    <w:rsid w:val="00674AB9"/>
    <w:rsid w:val="00674AD6"/>
    <w:rsid w:val="00674CAD"/>
    <w:rsid w:val="00674FD8"/>
    <w:rsid w:val="00675FCA"/>
    <w:rsid w:val="006772D4"/>
    <w:rsid w:val="00677F04"/>
    <w:rsid w:val="006812CB"/>
    <w:rsid w:val="006817A8"/>
    <w:rsid w:val="00681AE7"/>
    <w:rsid w:val="006826AA"/>
    <w:rsid w:val="00682861"/>
    <w:rsid w:val="0068310A"/>
    <w:rsid w:val="0068356A"/>
    <w:rsid w:val="006835F7"/>
    <w:rsid w:val="00683927"/>
    <w:rsid w:val="00684248"/>
    <w:rsid w:val="0068507A"/>
    <w:rsid w:val="006857E9"/>
    <w:rsid w:val="00685E19"/>
    <w:rsid w:val="006904DB"/>
    <w:rsid w:val="006906AE"/>
    <w:rsid w:val="0069158D"/>
    <w:rsid w:val="00693CA6"/>
    <w:rsid w:val="00694B93"/>
    <w:rsid w:val="006968FC"/>
    <w:rsid w:val="00696B6E"/>
    <w:rsid w:val="00696D38"/>
    <w:rsid w:val="00697903"/>
    <w:rsid w:val="00697DDF"/>
    <w:rsid w:val="006A0468"/>
    <w:rsid w:val="006A073A"/>
    <w:rsid w:val="006A0B2A"/>
    <w:rsid w:val="006A0D51"/>
    <w:rsid w:val="006A0DB0"/>
    <w:rsid w:val="006A160F"/>
    <w:rsid w:val="006A1A1A"/>
    <w:rsid w:val="006A1AD5"/>
    <w:rsid w:val="006A1C4B"/>
    <w:rsid w:val="006A1FC7"/>
    <w:rsid w:val="006A2294"/>
    <w:rsid w:val="006A35FD"/>
    <w:rsid w:val="006A3701"/>
    <w:rsid w:val="006A37E1"/>
    <w:rsid w:val="006A482B"/>
    <w:rsid w:val="006A48A7"/>
    <w:rsid w:val="006A551D"/>
    <w:rsid w:val="006A5C36"/>
    <w:rsid w:val="006A6629"/>
    <w:rsid w:val="006A6CF1"/>
    <w:rsid w:val="006A7565"/>
    <w:rsid w:val="006A7981"/>
    <w:rsid w:val="006B109D"/>
    <w:rsid w:val="006B1EB5"/>
    <w:rsid w:val="006B3A9D"/>
    <w:rsid w:val="006B6171"/>
    <w:rsid w:val="006B6193"/>
    <w:rsid w:val="006B6326"/>
    <w:rsid w:val="006C0136"/>
    <w:rsid w:val="006C0601"/>
    <w:rsid w:val="006C065C"/>
    <w:rsid w:val="006C0755"/>
    <w:rsid w:val="006C0887"/>
    <w:rsid w:val="006C2262"/>
    <w:rsid w:val="006C2773"/>
    <w:rsid w:val="006C365E"/>
    <w:rsid w:val="006C3AF7"/>
    <w:rsid w:val="006C3FFA"/>
    <w:rsid w:val="006C4606"/>
    <w:rsid w:val="006C48CA"/>
    <w:rsid w:val="006C5F5A"/>
    <w:rsid w:val="006C77A3"/>
    <w:rsid w:val="006C7E53"/>
    <w:rsid w:val="006D0EB2"/>
    <w:rsid w:val="006D1EFE"/>
    <w:rsid w:val="006D2C56"/>
    <w:rsid w:val="006D3823"/>
    <w:rsid w:val="006D3C5E"/>
    <w:rsid w:val="006D4131"/>
    <w:rsid w:val="006D446B"/>
    <w:rsid w:val="006D5B92"/>
    <w:rsid w:val="006E05FB"/>
    <w:rsid w:val="006E060E"/>
    <w:rsid w:val="006E0A51"/>
    <w:rsid w:val="006E0E2B"/>
    <w:rsid w:val="006E11C6"/>
    <w:rsid w:val="006E1E94"/>
    <w:rsid w:val="006E26DE"/>
    <w:rsid w:val="006E38C3"/>
    <w:rsid w:val="006E3A6B"/>
    <w:rsid w:val="006E4957"/>
    <w:rsid w:val="006E5636"/>
    <w:rsid w:val="006E5D11"/>
    <w:rsid w:val="006E5F5F"/>
    <w:rsid w:val="006E6153"/>
    <w:rsid w:val="006E7F73"/>
    <w:rsid w:val="006F2757"/>
    <w:rsid w:val="006F2BA0"/>
    <w:rsid w:val="006F4096"/>
    <w:rsid w:val="006F476C"/>
    <w:rsid w:val="006F4915"/>
    <w:rsid w:val="006F57E7"/>
    <w:rsid w:val="006F5851"/>
    <w:rsid w:val="006F5D63"/>
    <w:rsid w:val="006F6592"/>
    <w:rsid w:val="006F6CC6"/>
    <w:rsid w:val="006F6FA1"/>
    <w:rsid w:val="007037B9"/>
    <w:rsid w:val="00704FEA"/>
    <w:rsid w:val="0070533B"/>
    <w:rsid w:val="00705443"/>
    <w:rsid w:val="007058EE"/>
    <w:rsid w:val="00705B79"/>
    <w:rsid w:val="00705DEB"/>
    <w:rsid w:val="00706F32"/>
    <w:rsid w:val="00707C7E"/>
    <w:rsid w:val="00707E00"/>
    <w:rsid w:val="00710942"/>
    <w:rsid w:val="00712A98"/>
    <w:rsid w:val="007137B3"/>
    <w:rsid w:val="00713AAF"/>
    <w:rsid w:val="00714C39"/>
    <w:rsid w:val="0071580D"/>
    <w:rsid w:val="007163D5"/>
    <w:rsid w:val="007165DA"/>
    <w:rsid w:val="007168EB"/>
    <w:rsid w:val="00722091"/>
    <w:rsid w:val="00722D5C"/>
    <w:rsid w:val="007245A6"/>
    <w:rsid w:val="00724621"/>
    <w:rsid w:val="007248CB"/>
    <w:rsid w:val="007249A8"/>
    <w:rsid w:val="007250EE"/>
    <w:rsid w:val="007262F9"/>
    <w:rsid w:val="00726D92"/>
    <w:rsid w:val="00727BB8"/>
    <w:rsid w:val="0073012D"/>
    <w:rsid w:val="0073136A"/>
    <w:rsid w:val="00734EF1"/>
    <w:rsid w:val="007359C3"/>
    <w:rsid w:val="00735A6A"/>
    <w:rsid w:val="007363E6"/>
    <w:rsid w:val="00736B8B"/>
    <w:rsid w:val="007377A5"/>
    <w:rsid w:val="00737DD1"/>
    <w:rsid w:val="00740A17"/>
    <w:rsid w:val="00743496"/>
    <w:rsid w:val="00743C84"/>
    <w:rsid w:val="00744A8B"/>
    <w:rsid w:val="00744F36"/>
    <w:rsid w:val="0074521B"/>
    <w:rsid w:val="0074529C"/>
    <w:rsid w:val="007462D6"/>
    <w:rsid w:val="00746758"/>
    <w:rsid w:val="0074738B"/>
    <w:rsid w:val="007508DE"/>
    <w:rsid w:val="007509D8"/>
    <w:rsid w:val="00751140"/>
    <w:rsid w:val="00751234"/>
    <w:rsid w:val="007518F1"/>
    <w:rsid w:val="00752AF0"/>
    <w:rsid w:val="00752F4D"/>
    <w:rsid w:val="0075332C"/>
    <w:rsid w:val="007544FF"/>
    <w:rsid w:val="007549B7"/>
    <w:rsid w:val="007571CB"/>
    <w:rsid w:val="0076062E"/>
    <w:rsid w:val="007615AF"/>
    <w:rsid w:val="007620A0"/>
    <w:rsid w:val="00762BBB"/>
    <w:rsid w:val="00763B02"/>
    <w:rsid w:val="00763FA2"/>
    <w:rsid w:val="007640BF"/>
    <w:rsid w:val="0076633F"/>
    <w:rsid w:val="00766C09"/>
    <w:rsid w:val="0076734B"/>
    <w:rsid w:val="00770F1E"/>
    <w:rsid w:val="007729EF"/>
    <w:rsid w:val="0077477F"/>
    <w:rsid w:val="00775581"/>
    <w:rsid w:val="00775A18"/>
    <w:rsid w:val="00776B88"/>
    <w:rsid w:val="007811CD"/>
    <w:rsid w:val="00782657"/>
    <w:rsid w:val="00782C69"/>
    <w:rsid w:val="00783715"/>
    <w:rsid w:val="00783A75"/>
    <w:rsid w:val="00785961"/>
    <w:rsid w:val="00786076"/>
    <w:rsid w:val="0078623A"/>
    <w:rsid w:val="00787437"/>
    <w:rsid w:val="00787A1C"/>
    <w:rsid w:val="00787F9B"/>
    <w:rsid w:val="00790E46"/>
    <w:rsid w:val="00794029"/>
    <w:rsid w:val="007953F3"/>
    <w:rsid w:val="007955FD"/>
    <w:rsid w:val="007962FF"/>
    <w:rsid w:val="0079651C"/>
    <w:rsid w:val="00796689"/>
    <w:rsid w:val="00797014"/>
    <w:rsid w:val="0079777F"/>
    <w:rsid w:val="0079799C"/>
    <w:rsid w:val="007A0C92"/>
    <w:rsid w:val="007A0D2F"/>
    <w:rsid w:val="007A1C2C"/>
    <w:rsid w:val="007A24AD"/>
    <w:rsid w:val="007A2801"/>
    <w:rsid w:val="007A2C41"/>
    <w:rsid w:val="007A3960"/>
    <w:rsid w:val="007A3AA0"/>
    <w:rsid w:val="007A66CA"/>
    <w:rsid w:val="007A6BD4"/>
    <w:rsid w:val="007A6DF0"/>
    <w:rsid w:val="007A71AA"/>
    <w:rsid w:val="007A737C"/>
    <w:rsid w:val="007A7740"/>
    <w:rsid w:val="007A7803"/>
    <w:rsid w:val="007A7D40"/>
    <w:rsid w:val="007B061E"/>
    <w:rsid w:val="007B0D27"/>
    <w:rsid w:val="007B1D4A"/>
    <w:rsid w:val="007B3975"/>
    <w:rsid w:val="007B48D5"/>
    <w:rsid w:val="007B6122"/>
    <w:rsid w:val="007B6CA8"/>
    <w:rsid w:val="007C0162"/>
    <w:rsid w:val="007C0942"/>
    <w:rsid w:val="007C1029"/>
    <w:rsid w:val="007C1A01"/>
    <w:rsid w:val="007C1BB0"/>
    <w:rsid w:val="007C28D2"/>
    <w:rsid w:val="007C3F5E"/>
    <w:rsid w:val="007C45A4"/>
    <w:rsid w:val="007C5337"/>
    <w:rsid w:val="007D0027"/>
    <w:rsid w:val="007D03CB"/>
    <w:rsid w:val="007D04A0"/>
    <w:rsid w:val="007D0519"/>
    <w:rsid w:val="007D059C"/>
    <w:rsid w:val="007D087C"/>
    <w:rsid w:val="007D1E99"/>
    <w:rsid w:val="007D37A4"/>
    <w:rsid w:val="007D3D34"/>
    <w:rsid w:val="007D5A02"/>
    <w:rsid w:val="007D67B2"/>
    <w:rsid w:val="007D681C"/>
    <w:rsid w:val="007D6F71"/>
    <w:rsid w:val="007E028D"/>
    <w:rsid w:val="007E0EFB"/>
    <w:rsid w:val="007E20AD"/>
    <w:rsid w:val="007E33E4"/>
    <w:rsid w:val="007E3D5F"/>
    <w:rsid w:val="007E42CC"/>
    <w:rsid w:val="007E466D"/>
    <w:rsid w:val="007E4AA6"/>
    <w:rsid w:val="007E4CC9"/>
    <w:rsid w:val="007E54AD"/>
    <w:rsid w:val="007E5FF0"/>
    <w:rsid w:val="007F0086"/>
    <w:rsid w:val="007F0696"/>
    <w:rsid w:val="007F0CBB"/>
    <w:rsid w:val="007F14A0"/>
    <w:rsid w:val="007F1883"/>
    <w:rsid w:val="007F245D"/>
    <w:rsid w:val="007F29D8"/>
    <w:rsid w:val="007F3518"/>
    <w:rsid w:val="007F3BE5"/>
    <w:rsid w:val="007F4E2A"/>
    <w:rsid w:val="007F511E"/>
    <w:rsid w:val="007F5AA1"/>
    <w:rsid w:val="007F5F65"/>
    <w:rsid w:val="00800D23"/>
    <w:rsid w:val="00801648"/>
    <w:rsid w:val="00801DD3"/>
    <w:rsid w:val="008021E9"/>
    <w:rsid w:val="00802FC9"/>
    <w:rsid w:val="008030C2"/>
    <w:rsid w:val="00803371"/>
    <w:rsid w:val="008050BA"/>
    <w:rsid w:val="00805382"/>
    <w:rsid w:val="00806C30"/>
    <w:rsid w:val="00807D72"/>
    <w:rsid w:val="008109F6"/>
    <w:rsid w:val="00810A7B"/>
    <w:rsid w:val="00812064"/>
    <w:rsid w:val="0081251B"/>
    <w:rsid w:val="00814BDB"/>
    <w:rsid w:val="00815C5E"/>
    <w:rsid w:val="00816273"/>
    <w:rsid w:val="0081673F"/>
    <w:rsid w:val="0081765F"/>
    <w:rsid w:val="00821189"/>
    <w:rsid w:val="00822442"/>
    <w:rsid w:val="0082294A"/>
    <w:rsid w:val="00823E43"/>
    <w:rsid w:val="008249A4"/>
    <w:rsid w:val="00826805"/>
    <w:rsid w:val="0082717B"/>
    <w:rsid w:val="00827B04"/>
    <w:rsid w:val="008301C7"/>
    <w:rsid w:val="0083032E"/>
    <w:rsid w:val="0083082C"/>
    <w:rsid w:val="008309F0"/>
    <w:rsid w:val="0083192D"/>
    <w:rsid w:val="00832E4A"/>
    <w:rsid w:val="00833993"/>
    <w:rsid w:val="00834211"/>
    <w:rsid w:val="0083470E"/>
    <w:rsid w:val="00834D4B"/>
    <w:rsid w:val="0083557B"/>
    <w:rsid w:val="008355F3"/>
    <w:rsid w:val="00835884"/>
    <w:rsid w:val="00836239"/>
    <w:rsid w:val="00836D1D"/>
    <w:rsid w:val="008373DD"/>
    <w:rsid w:val="008373E5"/>
    <w:rsid w:val="008379A0"/>
    <w:rsid w:val="00840183"/>
    <w:rsid w:val="0084136D"/>
    <w:rsid w:val="00841628"/>
    <w:rsid w:val="00841681"/>
    <w:rsid w:val="00841907"/>
    <w:rsid w:val="00842379"/>
    <w:rsid w:val="00842AC9"/>
    <w:rsid w:val="00843289"/>
    <w:rsid w:val="0084356A"/>
    <w:rsid w:val="00843AEE"/>
    <w:rsid w:val="00844A9E"/>
    <w:rsid w:val="008455E6"/>
    <w:rsid w:val="0084618B"/>
    <w:rsid w:val="0085297E"/>
    <w:rsid w:val="00852BA5"/>
    <w:rsid w:val="00853C04"/>
    <w:rsid w:val="00854857"/>
    <w:rsid w:val="00854875"/>
    <w:rsid w:val="00855684"/>
    <w:rsid w:val="00855A7C"/>
    <w:rsid w:val="00856B8E"/>
    <w:rsid w:val="00856D71"/>
    <w:rsid w:val="00857FC0"/>
    <w:rsid w:val="0086036A"/>
    <w:rsid w:val="008605FE"/>
    <w:rsid w:val="00860A4C"/>
    <w:rsid w:val="00861784"/>
    <w:rsid w:val="00862908"/>
    <w:rsid w:val="00862D97"/>
    <w:rsid w:val="00863D8D"/>
    <w:rsid w:val="00864708"/>
    <w:rsid w:val="008653A3"/>
    <w:rsid w:val="008657A2"/>
    <w:rsid w:val="00865E53"/>
    <w:rsid w:val="00866645"/>
    <w:rsid w:val="00866890"/>
    <w:rsid w:val="00866B49"/>
    <w:rsid w:val="00866FE6"/>
    <w:rsid w:val="00866FF9"/>
    <w:rsid w:val="008671D8"/>
    <w:rsid w:val="00867E2D"/>
    <w:rsid w:val="00870ED7"/>
    <w:rsid w:val="00871171"/>
    <w:rsid w:val="008735BC"/>
    <w:rsid w:val="00873E1B"/>
    <w:rsid w:val="00874453"/>
    <w:rsid w:val="00874FB0"/>
    <w:rsid w:val="0087586E"/>
    <w:rsid w:val="008762D6"/>
    <w:rsid w:val="008764FE"/>
    <w:rsid w:val="00876EC9"/>
    <w:rsid w:val="00880A06"/>
    <w:rsid w:val="0088111C"/>
    <w:rsid w:val="008820AB"/>
    <w:rsid w:val="00882210"/>
    <w:rsid w:val="00882FA8"/>
    <w:rsid w:val="00883B2A"/>
    <w:rsid w:val="00885353"/>
    <w:rsid w:val="00885364"/>
    <w:rsid w:val="00885E03"/>
    <w:rsid w:val="00886027"/>
    <w:rsid w:val="008862C6"/>
    <w:rsid w:val="00886F70"/>
    <w:rsid w:val="00887319"/>
    <w:rsid w:val="008920F2"/>
    <w:rsid w:val="008930CE"/>
    <w:rsid w:val="00895DF6"/>
    <w:rsid w:val="00896114"/>
    <w:rsid w:val="0089680E"/>
    <w:rsid w:val="00896A02"/>
    <w:rsid w:val="00897175"/>
    <w:rsid w:val="008975A8"/>
    <w:rsid w:val="00897F48"/>
    <w:rsid w:val="008A165D"/>
    <w:rsid w:val="008A251F"/>
    <w:rsid w:val="008A3165"/>
    <w:rsid w:val="008A31C0"/>
    <w:rsid w:val="008A3216"/>
    <w:rsid w:val="008A6185"/>
    <w:rsid w:val="008A659F"/>
    <w:rsid w:val="008A7E2E"/>
    <w:rsid w:val="008B0FB7"/>
    <w:rsid w:val="008B1AEA"/>
    <w:rsid w:val="008B3457"/>
    <w:rsid w:val="008B4094"/>
    <w:rsid w:val="008B4227"/>
    <w:rsid w:val="008B5886"/>
    <w:rsid w:val="008B58D5"/>
    <w:rsid w:val="008B5F6E"/>
    <w:rsid w:val="008B793C"/>
    <w:rsid w:val="008B7F3F"/>
    <w:rsid w:val="008C0319"/>
    <w:rsid w:val="008C1BE4"/>
    <w:rsid w:val="008C1FDA"/>
    <w:rsid w:val="008C1FE9"/>
    <w:rsid w:val="008C24D5"/>
    <w:rsid w:val="008C290C"/>
    <w:rsid w:val="008C3C72"/>
    <w:rsid w:val="008C48BF"/>
    <w:rsid w:val="008C5411"/>
    <w:rsid w:val="008C6D5F"/>
    <w:rsid w:val="008C7DCE"/>
    <w:rsid w:val="008D000A"/>
    <w:rsid w:val="008D04DD"/>
    <w:rsid w:val="008D162A"/>
    <w:rsid w:val="008D18FC"/>
    <w:rsid w:val="008D235E"/>
    <w:rsid w:val="008D398B"/>
    <w:rsid w:val="008D4641"/>
    <w:rsid w:val="008D5008"/>
    <w:rsid w:val="008D584F"/>
    <w:rsid w:val="008D653E"/>
    <w:rsid w:val="008D6A29"/>
    <w:rsid w:val="008D6C26"/>
    <w:rsid w:val="008D7D7C"/>
    <w:rsid w:val="008D7E49"/>
    <w:rsid w:val="008E072D"/>
    <w:rsid w:val="008E08EE"/>
    <w:rsid w:val="008E0E07"/>
    <w:rsid w:val="008E195F"/>
    <w:rsid w:val="008E196E"/>
    <w:rsid w:val="008E247C"/>
    <w:rsid w:val="008E3806"/>
    <w:rsid w:val="008E521F"/>
    <w:rsid w:val="008E53D5"/>
    <w:rsid w:val="008E572E"/>
    <w:rsid w:val="008E6925"/>
    <w:rsid w:val="008E6956"/>
    <w:rsid w:val="008E714F"/>
    <w:rsid w:val="008F1D37"/>
    <w:rsid w:val="008F2086"/>
    <w:rsid w:val="008F2334"/>
    <w:rsid w:val="008F260E"/>
    <w:rsid w:val="008F2F32"/>
    <w:rsid w:val="008F343A"/>
    <w:rsid w:val="008F364A"/>
    <w:rsid w:val="008F3C25"/>
    <w:rsid w:val="008F3D6A"/>
    <w:rsid w:val="008F3F53"/>
    <w:rsid w:val="008F4183"/>
    <w:rsid w:val="008F4854"/>
    <w:rsid w:val="008F5068"/>
    <w:rsid w:val="008F72C5"/>
    <w:rsid w:val="00900085"/>
    <w:rsid w:val="009010F0"/>
    <w:rsid w:val="009036EB"/>
    <w:rsid w:val="009038EF"/>
    <w:rsid w:val="00904204"/>
    <w:rsid w:val="009052A4"/>
    <w:rsid w:val="00905D5E"/>
    <w:rsid w:val="00910D03"/>
    <w:rsid w:val="00911261"/>
    <w:rsid w:val="009136D6"/>
    <w:rsid w:val="00913E03"/>
    <w:rsid w:val="00914873"/>
    <w:rsid w:val="00914AAE"/>
    <w:rsid w:val="00916CD7"/>
    <w:rsid w:val="0092090F"/>
    <w:rsid w:val="0092128E"/>
    <w:rsid w:val="00921CC7"/>
    <w:rsid w:val="0092264D"/>
    <w:rsid w:val="009229E9"/>
    <w:rsid w:val="0092325A"/>
    <w:rsid w:val="00923624"/>
    <w:rsid w:val="00923798"/>
    <w:rsid w:val="009238C6"/>
    <w:rsid w:val="009238E1"/>
    <w:rsid w:val="00923E52"/>
    <w:rsid w:val="00924DF8"/>
    <w:rsid w:val="0092615B"/>
    <w:rsid w:val="00926953"/>
    <w:rsid w:val="00926EE8"/>
    <w:rsid w:val="009278CF"/>
    <w:rsid w:val="00930160"/>
    <w:rsid w:val="009303CC"/>
    <w:rsid w:val="009304E9"/>
    <w:rsid w:val="00930525"/>
    <w:rsid w:val="00931BB2"/>
    <w:rsid w:val="00932703"/>
    <w:rsid w:val="00932823"/>
    <w:rsid w:val="00932905"/>
    <w:rsid w:val="00932AA6"/>
    <w:rsid w:val="00934030"/>
    <w:rsid w:val="0093436B"/>
    <w:rsid w:val="0093522A"/>
    <w:rsid w:val="00936376"/>
    <w:rsid w:val="00936469"/>
    <w:rsid w:val="0093717D"/>
    <w:rsid w:val="00937569"/>
    <w:rsid w:val="00937C49"/>
    <w:rsid w:val="009400B7"/>
    <w:rsid w:val="0094083E"/>
    <w:rsid w:val="00940C75"/>
    <w:rsid w:val="00941354"/>
    <w:rsid w:val="00941814"/>
    <w:rsid w:val="00941BCF"/>
    <w:rsid w:val="009428ED"/>
    <w:rsid w:val="00942DE9"/>
    <w:rsid w:val="00943858"/>
    <w:rsid w:val="00943F71"/>
    <w:rsid w:val="009447C3"/>
    <w:rsid w:val="00947355"/>
    <w:rsid w:val="00947D88"/>
    <w:rsid w:val="00950440"/>
    <w:rsid w:val="00950A4F"/>
    <w:rsid w:val="00950E2C"/>
    <w:rsid w:val="0095208B"/>
    <w:rsid w:val="009520A0"/>
    <w:rsid w:val="00953A4A"/>
    <w:rsid w:val="00953DAC"/>
    <w:rsid w:val="009541EC"/>
    <w:rsid w:val="00954D43"/>
    <w:rsid w:val="00954DC2"/>
    <w:rsid w:val="00954F32"/>
    <w:rsid w:val="009564A1"/>
    <w:rsid w:val="00957B92"/>
    <w:rsid w:val="00957FB7"/>
    <w:rsid w:val="00960C3A"/>
    <w:rsid w:val="0096236F"/>
    <w:rsid w:val="00962729"/>
    <w:rsid w:val="00965267"/>
    <w:rsid w:val="0096638E"/>
    <w:rsid w:val="00966C3E"/>
    <w:rsid w:val="00970966"/>
    <w:rsid w:val="00972F06"/>
    <w:rsid w:val="00973902"/>
    <w:rsid w:val="00974442"/>
    <w:rsid w:val="00975616"/>
    <w:rsid w:val="00975814"/>
    <w:rsid w:val="00976FF5"/>
    <w:rsid w:val="0097752A"/>
    <w:rsid w:val="009821BE"/>
    <w:rsid w:val="009822A2"/>
    <w:rsid w:val="009826BD"/>
    <w:rsid w:val="00983C64"/>
    <w:rsid w:val="009848E8"/>
    <w:rsid w:val="00985013"/>
    <w:rsid w:val="00985D84"/>
    <w:rsid w:val="00986B86"/>
    <w:rsid w:val="00987004"/>
    <w:rsid w:val="009902E4"/>
    <w:rsid w:val="00991D78"/>
    <w:rsid w:val="00991E90"/>
    <w:rsid w:val="0099220A"/>
    <w:rsid w:val="00992CA3"/>
    <w:rsid w:val="00993625"/>
    <w:rsid w:val="00994FA5"/>
    <w:rsid w:val="0099554D"/>
    <w:rsid w:val="00996E34"/>
    <w:rsid w:val="00997457"/>
    <w:rsid w:val="00997922"/>
    <w:rsid w:val="009979E1"/>
    <w:rsid w:val="00997AB0"/>
    <w:rsid w:val="00997FCA"/>
    <w:rsid w:val="009A06C5"/>
    <w:rsid w:val="009A12E6"/>
    <w:rsid w:val="009A1631"/>
    <w:rsid w:val="009A1B4E"/>
    <w:rsid w:val="009A1BE6"/>
    <w:rsid w:val="009A366C"/>
    <w:rsid w:val="009A3D8B"/>
    <w:rsid w:val="009A3E30"/>
    <w:rsid w:val="009A3F3A"/>
    <w:rsid w:val="009A56D3"/>
    <w:rsid w:val="009A69DD"/>
    <w:rsid w:val="009A7B3A"/>
    <w:rsid w:val="009B0F09"/>
    <w:rsid w:val="009B25C9"/>
    <w:rsid w:val="009B5149"/>
    <w:rsid w:val="009B590A"/>
    <w:rsid w:val="009B5CF1"/>
    <w:rsid w:val="009B7796"/>
    <w:rsid w:val="009C2CAC"/>
    <w:rsid w:val="009C4571"/>
    <w:rsid w:val="009C4E92"/>
    <w:rsid w:val="009C4F08"/>
    <w:rsid w:val="009C573C"/>
    <w:rsid w:val="009C57A2"/>
    <w:rsid w:val="009C61A5"/>
    <w:rsid w:val="009C65EC"/>
    <w:rsid w:val="009C6B07"/>
    <w:rsid w:val="009C721D"/>
    <w:rsid w:val="009C7E3C"/>
    <w:rsid w:val="009C7F2D"/>
    <w:rsid w:val="009D0FDB"/>
    <w:rsid w:val="009D178B"/>
    <w:rsid w:val="009D22C2"/>
    <w:rsid w:val="009D2403"/>
    <w:rsid w:val="009D454C"/>
    <w:rsid w:val="009D49A8"/>
    <w:rsid w:val="009D5F92"/>
    <w:rsid w:val="009D6E8E"/>
    <w:rsid w:val="009D7225"/>
    <w:rsid w:val="009E0345"/>
    <w:rsid w:val="009E1083"/>
    <w:rsid w:val="009E2884"/>
    <w:rsid w:val="009E2B10"/>
    <w:rsid w:val="009E2EC5"/>
    <w:rsid w:val="009E3749"/>
    <w:rsid w:val="009E5064"/>
    <w:rsid w:val="009E67AD"/>
    <w:rsid w:val="009E7E68"/>
    <w:rsid w:val="009E7F69"/>
    <w:rsid w:val="009F0668"/>
    <w:rsid w:val="009F0A4F"/>
    <w:rsid w:val="009F1F69"/>
    <w:rsid w:val="009F295C"/>
    <w:rsid w:val="009F2AEA"/>
    <w:rsid w:val="009F3261"/>
    <w:rsid w:val="009F3C2B"/>
    <w:rsid w:val="009F4BF9"/>
    <w:rsid w:val="009F4E8C"/>
    <w:rsid w:val="009F5B8B"/>
    <w:rsid w:val="009F6F3F"/>
    <w:rsid w:val="009F77FB"/>
    <w:rsid w:val="00A00701"/>
    <w:rsid w:val="00A00B4A"/>
    <w:rsid w:val="00A0203D"/>
    <w:rsid w:val="00A037E0"/>
    <w:rsid w:val="00A074D8"/>
    <w:rsid w:val="00A07870"/>
    <w:rsid w:val="00A07AA3"/>
    <w:rsid w:val="00A12A27"/>
    <w:rsid w:val="00A13103"/>
    <w:rsid w:val="00A1418B"/>
    <w:rsid w:val="00A150C9"/>
    <w:rsid w:val="00A15B2F"/>
    <w:rsid w:val="00A15EFD"/>
    <w:rsid w:val="00A16368"/>
    <w:rsid w:val="00A16CBB"/>
    <w:rsid w:val="00A16CC0"/>
    <w:rsid w:val="00A17E24"/>
    <w:rsid w:val="00A205DF"/>
    <w:rsid w:val="00A20A0C"/>
    <w:rsid w:val="00A2153D"/>
    <w:rsid w:val="00A23A6C"/>
    <w:rsid w:val="00A23BF4"/>
    <w:rsid w:val="00A2425A"/>
    <w:rsid w:val="00A24AB4"/>
    <w:rsid w:val="00A24C2C"/>
    <w:rsid w:val="00A24E5A"/>
    <w:rsid w:val="00A24F50"/>
    <w:rsid w:val="00A254B0"/>
    <w:rsid w:val="00A2567F"/>
    <w:rsid w:val="00A2570B"/>
    <w:rsid w:val="00A2593B"/>
    <w:rsid w:val="00A26543"/>
    <w:rsid w:val="00A303BB"/>
    <w:rsid w:val="00A30D7A"/>
    <w:rsid w:val="00A30E45"/>
    <w:rsid w:val="00A33530"/>
    <w:rsid w:val="00A34DD1"/>
    <w:rsid w:val="00A34E05"/>
    <w:rsid w:val="00A34E0C"/>
    <w:rsid w:val="00A35DAD"/>
    <w:rsid w:val="00A3669F"/>
    <w:rsid w:val="00A3678C"/>
    <w:rsid w:val="00A37078"/>
    <w:rsid w:val="00A37417"/>
    <w:rsid w:val="00A379E9"/>
    <w:rsid w:val="00A401F5"/>
    <w:rsid w:val="00A405FF"/>
    <w:rsid w:val="00A40BCD"/>
    <w:rsid w:val="00A41AE1"/>
    <w:rsid w:val="00A43D8B"/>
    <w:rsid w:val="00A454F1"/>
    <w:rsid w:val="00A4654E"/>
    <w:rsid w:val="00A46A35"/>
    <w:rsid w:val="00A46EB9"/>
    <w:rsid w:val="00A4784E"/>
    <w:rsid w:val="00A5030C"/>
    <w:rsid w:val="00A5034E"/>
    <w:rsid w:val="00A5038C"/>
    <w:rsid w:val="00A50C1F"/>
    <w:rsid w:val="00A52662"/>
    <w:rsid w:val="00A52AF0"/>
    <w:rsid w:val="00A52E2B"/>
    <w:rsid w:val="00A543CC"/>
    <w:rsid w:val="00A546C0"/>
    <w:rsid w:val="00A5477B"/>
    <w:rsid w:val="00A55BD9"/>
    <w:rsid w:val="00A569B3"/>
    <w:rsid w:val="00A56FE2"/>
    <w:rsid w:val="00A57184"/>
    <w:rsid w:val="00A57FE1"/>
    <w:rsid w:val="00A614B8"/>
    <w:rsid w:val="00A66144"/>
    <w:rsid w:val="00A662E4"/>
    <w:rsid w:val="00A66E3D"/>
    <w:rsid w:val="00A675F9"/>
    <w:rsid w:val="00A67F5A"/>
    <w:rsid w:val="00A70DEC"/>
    <w:rsid w:val="00A72B5A"/>
    <w:rsid w:val="00A73461"/>
    <w:rsid w:val="00A73F83"/>
    <w:rsid w:val="00A74D19"/>
    <w:rsid w:val="00A7560E"/>
    <w:rsid w:val="00A77332"/>
    <w:rsid w:val="00A801FB"/>
    <w:rsid w:val="00A80488"/>
    <w:rsid w:val="00A805BB"/>
    <w:rsid w:val="00A8194B"/>
    <w:rsid w:val="00A828C9"/>
    <w:rsid w:val="00A83261"/>
    <w:rsid w:val="00A836DF"/>
    <w:rsid w:val="00A8371D"/>
    <w:rsid w:val="00A83A1A"/>
    <w:rsid w:val="00A83A44"/>
    <w:rsid w:val="00A83CFE"/>
    <w:rsid w:val="00A846A3"/>
    <w:rsid w:val="00A85198"/>
    <w:rsid w:val="00A851A6"/>
    <w:rsid w:val="00A8596C"/>
    <w:rsid w:val="00A861FD"/>
    <w:rsid w:val="00A863AC"/>
    <w:rsid w:val="00A87466"/>
    <w:rsid w:val="00A8792C"/>
    <w:rsid w:val="00A87FC8"/>
    <w:rsid w:val="00A902A6"/>
    <w:rsid w:val="00A908EA"/>
    <w:rsid w:val="00A9296E"/>
    <w:rsid w:val="00A92FBC"/>
    <w:rsid w:val="00A933FD"/>
    <w:rsid w:val="00A93CFF"/>
    <w:rsid w:val="00A93E07"/>
    <w:rsid w:val="00A94863"/>
    <w:rsid w:val="00A94B65"/>
    <w:rsid w:val="00A94E64"/>
    <w:rsid w:val="00A97A12"/>
    <w:rsid w:val="00AA07D8"/>
    <w:rsid w:val="00AA1131"/>
    <w:rsid w:val="00AA1DBC"/>
    <w:rsid w:val="00AA255F"/>
    <w:rsid w:val="00AA2FA4"/>
    <w:rsid w:val="00AA51A8"/>
    <w:rsid w:val="00AA77D6"/>
    <w:rsid w:val="00AA7C00"/>
    <w:rsid w:val="00AB0D49"/>
    <w:rsid w:val="00AB0D4C"/>
    <w:rsid w:val="00AB0FBE"/>
    <w:rsid w:val="00AB1C6D"/>
    <w:rsid w:val="00AB4261"/>
    <w:rsid w:val="00AB56A6"/>
    <w:rsid w:val="00AB56E8"/>
    <w:rsid w:val="00AB7617"/>
    <w:rsid w:val="00AB7A17"/>
    <w:rsid w:val="00AB7AD2"/>
    <w:rsid w:val="00AB7DD2"/>
    <w:rsid w:val="00AC00F6"/>
    <w:rsid w:val="00AC137D"/>
    <w:rsid w:val="00AC15E6"/>
    <w:rsid w:val="00AC1899"/>
    <w:rsid w:val="00AC203A"/>
    <w:rsid w:val="00AC5084"/>
    <w:rsid w:val="00AC55BE"/>
    <w:rsid w:val="00AC5C69"/>
    <w:rsid w:val="00AC6325"/>
    <w:rsid w:val="00AC72C3"/>
    <w:rsid w:val="00AC7E76"/>
    <w:rsid w:val="00AD08B5"/>
    <w:rsid w:val="00AD0A08"/>
    <w:rsid w:val="00AD1431"/>
    <w:rsid w:val="00AD207B"/>
    <w:rsid w:val="00AD3945"/>
    <w:rsid w:val="00AD3EE3"/>
    <w:rsid w:val="00AD427A"/>
    <w:rsid w:val="00AD4E93"/>
    <w:rsid w:val="00AD4ECC"/>
    <w:rsid w:val="00AD5291"/>
    <w:rsid w:val="00AD53FE"/>
    <w:rsid w:val="00AD69A9"/>
    <w:rsid w:val="00AD7061"/>
    <w:rsid w:val="00AD745E"/>
    <w:rsid w:val="00AD7674"/>
    <w:rsid w:val="00AE0005"/>
    <w:rsid w:val="00AE0129"/>
    <w:rsid w:val="00AE0705"/>
    <w:rsid w:val="00AE0D33"/>
    <w:rsid w:val="00AE1E01"/>
    <w:rsid w:val="00AE1FB1"/>
    <w:rsid w:val="00AE35D5"/>
    <w:rsid w:val="00AE408B"/>
    <w:rsid w:val="00AE41C1"/>
    <w:rsid w:val="00AE4BD5"/>
    <w:rsid w:val="00AE5881"/>
    <w:rsid w:val="00AE597D"/>
    <w:rsid w:val="00AE5F5C"/>
    <w:rsid w:val="00AE6DAE"/>
    <w:rsid w:val="00AE72D4"/>
    <w:rsid w:val="00AF0C7C"/>
    <w:rsid w:val="00AF3880"/>
    <w:rsid w:val="00AF3BAE"/>
    <w:rsid w:val="00AF49FF"/>
    <w:rsid w:val="00AF55F7"/>
    <w:rsid w:val="00AF6E41"/>
    <w:rsid w:val="00AF6EB7"/>
    <w:rsid w:val="00AF71BF"/>
    <w:rsid w:val="00B00ADD"/>
    <w:rsid w:val="00B016A0"/>
    <w:rsid w:val="00B018C8"/>
    <w:rsid w:val="00B01D86"/>
    <w:rsid w:val="00B032B9"/>
    <w:rsid w:val="00B037D7"/>
    <w:rsid w:val="00B0496E"/>
    <w:rsid w:val="00B04A66"/>
    <w:rsid w:val="00B057FF"/>
    <w:rsid w:val="00B0591E"/>
    <w:rsid w:val="00B07443"/>
    <w:rsid w:val="00B0791D"/>
    <w:rsid w:val="00B07B04"/>
    <w:rsid w:val="00B07E4E"/>
    <w:rsid w:val="00B10922"/>
    <w:rsid w:val="00B10D86"/>
    <w:rsid w:val="00B11FD1"/>
    <w:rsid w:val="00B137E9"/>
    <w:rsid w:val="00B14E92"/>
    <w:rsid w:val="00B15E69"/>
    <w:rsid w:val="00B15FD2"/>
    <w:rsid w:val="00B16A65"/>
    <w:rsid w:val="00B17DD6"/>
    <w:rsid w:val="00B2065E"/>
    <w:rsid w:val="00B2070E"/>
    <w:rsid w:val="00B2204C"/>
    <w:rsid w:val="00B22B04"/>
    <w:rsid w:val="00B22D19"/>
    <w:rsid w:val="00B2444B"/>
    <w:rsid w:val="00B2698F"/>
    <w:rsid w:val="00B27FAD"/>
    <w:rsid w:val="00B30EA2"/>
    <w:rsid w:val="00B3107D"/>
    <w:rsid w:val="00B31467"/>
    <w:rsid w:val="00B314EC"/>
    <w:rsid w:val="00B33500"/>
    <w:rsid w:val="00B33613"/>
    <w:rsid w:val="00B34015"/>
    <w:rsid w:val="00B3488A"/>
    <w:rsid w:val="00B34CC6"/>
    <w:rsid w:val="00B36A0E"/>
    <w:rsid w:val="00B36ED3"/>
    <w:rsid w:val="00B37D0D"/>
    <w:rsid w:val="00B40CA2"/>
    <w:rsid w:val="00B40CD7"/>
    <w:rsid w:val="00B413D9"/>
    <w:rsid w:val="00B421A4"/>
    <w:rsid w:val="00B42472"/>
    <w:rsid w:val="00B424A5"/>
    <w:rsid w:val="00B4282D"/>
    <w:rsid w:val="00B431D5"/>
    <w:rsid w:val="00B445A3"/>
    <w:rsid w:val="00B47CCC"/>
    <w:rsid w:val="00B50EB0"/>
    <w:rsid w:val="00B51346"/>
    <w:rsid w:val="00B513C9"/>
    <w:rsid w:val="00B51478"/>
    <w:rsid w:val="00B52A05"/>
    <w:rsid w:val="00B52F72"/>
    <w:rsid w:val="00B54619"/>
    <w:rsid w:val="00B54DA8"/>
    <w:rsid w:val="00B55005"/>
    <w:rsid w:val="00B552A6"/>
    <w:rsid w:val="00B56EF4"/>
    <w:rsid w:val="00B56F83"/>
    <w:rsid w:val="00B57B69"/>
    <w:rsid w:val="00B60060"/>
    <w:rsid w:val="00B604D3"/>
    <w:rsid w:val="00B60CCC"/>
    <w:rsid w:val="00B60F69"/>
    <w:rsid w:val="00B61D26"/>
    <w:rsid w:val="00B627D4"/>
    <w:rsid w:val="00B65902"/>
    <w:rsid w:val="00B702BE"/>
    <w:rsid w:val="00B70485"/>
    <w:rsid w:val="00B722B4"/>
    <w:rsid w:val="00B723D2"/>
    <w:rsid w:val="00B7369C"/>
    <w:rsid w:val="00B75380"/>
    <w:rsid w:val="00B75D6F"/>
    <w:rsid w:val="00B7643E"/>
    <w:rsid w:val="00B814BC"/>
    <w:rsid w:val="00B82A13"/>
    <w:rsid w:val="00B83309"/>
    <w:rsid w:val="00B83B1A"/>
    <w:rsid w:val="00B840E6"/>
    <w:rsid w:val="00B8663B"/>
    <w:rsid w:val="00B87504"/>
    <w:rsid w:val="00B8792D"/>
    <w:rsid w:val="00B87E2C"/>
    <w:rsid w:val="00B906E1"/>
    <w:rsid w:val="00B90CEF"/>
    <w:rsid w:val="00B915CF"/>
    <w:rsid w:val="00B91CA5"/>
    <w:rsid w:val="00B91E8D"/>
    <w:rsid w:val="00B91FA7"/>
    <w:rsid w:val="00B92697"/>
    <w:rsid w:val="00B9322F"/>
    <w:rsid w:val="00B94F94"/>
    <w:rsid w:val="00B964DD"/>
    <w:rsid w:val="00B96BB0"/>
    <w:rsid w:val="00BA00D1"/>
    <w:rsid w:val="00BA0190"/>
    <w:rsid w:val="00BA1436"/>
    <w:rsid w:val="00BA16CA"/>
    <w:rsid w:val="00BA349F"/>
    <w:rsid w:val="00BA3B7C"/>
    <w:rsid w:val="00BA493A"/>
    <w:rsid w:val="00BA4D5F"/>
    <w:rsid w:val="00BA4E02"/>
    <w:rsid w:val="00BA5E8A"/>
    <w:rsid w:val="00BA641F"/>
    <w:rsid w:val="00BA65D3"/>
    <w:rsid w:val="00BA65FF"/>
    <w:rsid w:val="00BA6858"/>
    <w:rsid w:val="00BA6A4A"/>
    <w:rsid w:val="00BA71E3"/>
    <w:rsid w:val="00BA73D7"/>
    <w:rsid w:val="00BB0217"/>
    <w:rsid w:val="00BB06D3"/>
    <w:rsid w:val="00BB0ED0"/>
    <w:rsid w:val="00BB16E8"/>
    <w:rsid w:val="00BB1859"/>
    <w:rsid w:val="00BB3D86"/>
    <w:rsid w:val="00BB3DC7"/>
    <w:rsid w:val="00BB4298"/>
    <w:rsid w:val="00BB51BC"/>
    <w:rsid w:val="00BB5345"/>
    <w:rsid w:val="00BB60EB"/>
    <w:rsid w:val="00BB6BAA"/>
    <w:rsid w:val="00BC0659"/>
    <w:rsid w:val="00BC0DEC"/>
    <w:rsid w:val="00BC0F59"/>
    <w:rsid w:val="00BC1422"/>
    <w:rsid w:val="00BC2A9C"/>
    <w:rsid w:val="00BC4029"/>
    <w:rsid w:val="00BC443E"/>
    <w:rsid w:val="00BC53EE"/>
    <w:rsid w:val="00BC6906"/>
    <w:rsid w:val="00BC6929"/>
    <w:rsid w:val="00BD13CA"/>
    <w:rsid w:val="00BD1BD4"/>
    <w:rsid w:val="00BD1C18"/>
    <w:rsid w:val="00BD276D"/>
    <w:rsid w:val="00BD4E52"/>
    <w:rsid w:val="00BD57EE"/>
    <w:rsid w:val="00BD59C3"/>
    <w:rsid w:val="00BD6908"/>
    <w:rsid w:val="00BD6A73"/>
    <w:rsid w:val="00BD708A"/>
    <w:rsid w:val="00BD72ED"/>
    <w:rsid w:val="00BE0D25"/>
    <w:rsid w:val="00BE34EA"/>
    <w:rsid w:val="00BE4180"/>
    <w:rsid w:val="00BE59BB"/>
    <w:rsid w:val="00BE5C05"/>
    <w:rsid w:val="00BE60D9"/>
    <w:rsid w:val="00BE658C"/>
    <w:rsid w:val="00BE7B22"/>
    <w:rsid w:val="00BF04C0"/>
    <w:rsid w:val="00BF0523"/>
    <w:rsid w:val="00BF0AD5"/>
    <w:rsid w:val="00BF16A6"/>
    <w:rsid w:val="00BF2275"/>
    <w:rsid w:val="00BF283E"/>
    <w:rsid w:val="00BF32F6"/>
    <w:rsid w:val="00BF33E3"/>
    <w:rsid w:val="00BF41B5"/>
    <w:rsid w:val="00BF49F3"/>
    <w:rsid w:val="00BF5340"/>
    <w:rsid w:val="00BF568C"/>
    <w:rsid w:val="00BF57A0"/>
    <w:rsid w:val="00BF5BD3"/>
    <w:rsid w:val="00BF60FD"/>
    <w:rsid w:val="00BF7B48"/>
    <w:rsid w:val="00C00314"/>
    <w:rsid w:val="00C00ABA"/>
    <w:rsid w:val="00C01233"/>
    <w:rsid w:val="00C016E5"/>
    <w:rsid w:val="00C01A60"/>
    <w:rsid w:val="00C01AB1"/>
    <w:rsid w:val="00C01CC0"/>
    <w:rsid w:val="00C02250"/>
    <w:rsid w:val="00C023B9"/>
    <w:rsid w:val="00C02AF8"/>
    <w:rsid w:val="00C0344C"/>
    <w:rsid w:val="00C03724"/>
    <w:rsid w:val="00C039F3"/>
    <w:rsid w:val="00C03C66"/>
    <w:rsid w:val="00C04384"/>
    <w:rsid w:val="00C04470"/>
    <w:rsid w:val="00C045B9"/>
    <w:rsid w:val="00C05B79"/>
    <w:rsid w:val="00C06CBF"/>
    <w:rsid w:val="00C072E3"/>
    <w:rsid w:val="00C07453"/>
    <w:rsid w:val="00C07816"/>
    <w:rsid w:val="00C11145"/>
    <w:rsid w:val="00C11A99"/>
    <w:rsid w:val="00C1293E"/>
    <w:rsid w:val="00C12AEE"/>
    <w:rsid w:val="00C13395"/>
    <w:rsid w:val="00C13F9E"/>
    <w:rsid w:val="00C15F6B"/>
    <w:rsid w:val="00C167A5"/>
    <w:rsid w:val="00C17E01"/>
    <w:rsid w:val="00C201A1"/>
    <w:rsid w:val="00C21166"/>
    <w:rsid w:val="00C2155A"/>
    <w:rsid w:val="00C21877"/>
    <w:rsid w:val="00C23812"/>
    <w:rsid w:val="00C23BA3"/>
    <w:rsid w:val="00C242EA"/>
    <w:rsid w:val="00C243AB"/>
    <w:rsid w:val="00C2489F"/>
    <w:rsid w:val="00C24BA9"/>
    <w:rsid w:val="00C25996"/>
    <w:rsid w:val="00C25FBE"/>
    <w:rsid w:val="00C26984"/>
    <w:rsid w:val="00C303EF"/>
    <w:rsid w:val="00C305CD"/>
    <w:rsid w:val="00C310F9"/>
    <w:rsid w:val="00C31AC4"/>
    <w:rsid w:val="00C34B56"/>
    <w:rsid w:val="00C34DE9"/>
    <w:rsid w:val="00C351BC"/>
    <w:rsid w:val="00C409BE"/>
    <w:rsid w:val="00C420B0"/>
    <w:rsid w:val="00C423CA"/>
    <w:rsid w:val="00C4244D"/>
    <w:rsid w:val="00C43402"/>
    <w:rsid w:val="00C44A6F"/>
    <w:rsid w:val="00C47178"/>
    <w:rsid w:val="00C476F9"/>
    <w:rsid w:val="00C47888"/>
    <w:rsid w:val="00C47E67"/>
    <w:rsid w:val="00C511AC"/>
    <w:rsid w:val="00C5258F"/>
    <w:rsid w:val="00C52E2B"/>
    <w:rsid w:val="00C54243"/>
    <w:rsid w:val="00C553E3"/>
    <w:rsid w:val="00C55488"/>
    <w:rsid w:val="00C57123"/>
    <w:rsid w:val="00C572DC"/>
    <w:rsid w:val="00C572DD"/>
    <w:rsid w:val="00C57F88"/>
    <w:rsid w:val="00C57FBC"/>
    <w:rsid w:val="00C57FF0"/>
    <w:rsid w:val="00C6025F"/>
    <w:rsid w:val="00C64F7C"/>
    <w:rsid w:val="00C652ED"/>
    <w:rsid w:val="00C65530"/>
    <w:rsid w:val="00C65696"/>
    <w:rsid w:val="00C6704B"/>
    <w:rsid w:val="00C704E2"/>
    <w:rsid w:val="00C71486"/>
    <w:rsid w:val="00C719F7"/>
    <w:rsid w:val="00C71DD8"/>
    <w:rsid w:val="00C724B2"/>
    <w:rsid w:val="00C726A1"/>
    <w:rsid w:val="00C72769"/>
    <w:rsid w:val="00C72868"/>
    <w:rsid w:val="00C74C07"/>
    <w:rsid w:val="00C74DE1"/>
    <w:rsid w:val="00C74FA9"/>
    <w:rsid w:val="00C771FC"/>
    <w:rsid w:val="00C7793C"/>
    <w:rsid w:val="00C806E3"/>
    <w:rsid w:val="00C80AD9"/>
    <w:rsid w:val="00C82E7C"/>
    <w:rsid w:val="00C8315D"/>
    <w:rsid w:val="00C8348C"/>
    <w:rsid w:val="00C852DC"/>
    <w:rsid w:val="00C86300"/>
    <w:rsid w:val="00C86794"/>
    <w:rsid w:val="00C86D55"/>
    <w:rsid w:val="00C874C4"/>
    <w:rsid w:val="00C87C70"/>
    <w:rsid w:val="00C87EC1"/>
    <w:rsid w:val="00C92AA2"/>
    <w:rsid w:val="00C92E5C"/>
    <w:rsid w:val="00C939A8"/>
    <w:rsid w:val="00C945E3"/>
    <w:rsid w:val="00C94924"/>
    <w:rsid w:val="00C94BF1"/>
    <w:rsid w:val="00C9546A"/>
    <w:rsid w:val="00C9620E"/>
    <w:rsid w:val="00C96D06"/>
    <w:rsid w:val="00C97145"/>
    <w:rsid w:val="00C975B7"/>
    <w:rsid w:val="00C97DB2"/>
    <w:rsid w:val="00CA126A"/>
    <w:rsid w:val="00CA1B57"/>
    <w:rsid w:val="00CA2189"/>
    <w:rsid w:val="00CA2F78"/>
    <w:rsid w:val="00CA3911"/>
    <w:rsid w:val="00CA3D30"/>
    <w:rsid w:val="00CA40B4"/>
    <w:rsid w:val="00CA4622"/>
    <w:rsid w:val="00CA5231"/>
    <w:rsid w:val="00CA5405"/>
    <w:rsid w:val="00CA5777"/>
    <w:rsid w:val="00CA5A77"/>
    <w:rsid w:val="00CA5DCF"/>
    <w:rsid w:val="00CA634E"/>
    <w:rsid w:val="00CA711E"/>
    <w:rsid w:val="00CA7F01"/>
    <w:rsid w:val="00CB2048"/>
    <w:rsid w:val="00CB32A5"/>
    <w:rsid w:val="00CB4002"/>
    <w:rsid w:val="00CB48BA"/>
    <w:rsid w:val="00CB4DC3"/>
    <w:rsid w:val="00CB5F34"/>
    <w:rsid w:val="00CB6108"/>
    <w:rsid w:val="00CB65D8"/>
    <w:rsid w:val="00CB716E"/>
    <w:rsid w:val="00CB75DE"/>
    <w:rsid w:val="00CB7CC1"/>
    <w:rsid w:val="00CC0085"/>
    <w:rsid w:val="00CC023C"/>
    <w:rsid w:val="00CC042D"/>
    <w:rsid w:val="00CC0558"/>
    <w:rsid w:val="00CC1906"/>
    <w:rsid w:val="00CC259F"/>
    <w:rsid w:val="00CC2E69"/>
    <w:rsid w:val="00CC3D2E"/>
    <w:rsid w:val="00CC5A7C"/>
    <w:rsid w:val="00CC5F6C"/>
    <w:rsid w:val="00CC5FFE"/>
    <w:rsid w:val="00CC6AB8"/>
    <w:rsid w:val="00CC7CBE"/>
    <w:rsid w:val="00CD0B7C"/>
    <w:rsid w:val="00CD327F"/>
    <w:rsid w:val="00CD3E2E"/>
    <w:rsid w:val="00CD3FDF"/>
    <w:rsid w:val="00CD4880"/>
    <w:rsid w:val="00CD5F4D"/>
    <w:rsid w:val="00CE1602"/>
    <w:rsid w:val="00CE1945"/>
    <w:rsid w:val="00CE2B7C"/>
    <w:rsid w:val="00CE458A"/>
    <w:rsid w:val="00CE4D60"/>
    <w:rsid w:val="00CE4DF3"/>
    <w:rsid w:val="00CE59B9"/>
    <w:rsid w:val="00CE6547"/>
    <w:rsid w:val="00CE768E"/>
    <w:rsid w:val="00CF154E"/>
    <w:rsid w:val="00CF1684"/>
    <w:rsid w:val="00CF1CC0"/>
    <w:rsid w:val="00CF2FDB"/>
    <w:rsid w:val="00CF30DA"/>
    <w:rsid w:val="00CF3338"/>
    <w:rsid w:val="00CF4E9F"/>
    <w:rsid w:val="00CF5577"/>
    <w:rsid w:val="00CF68DF"/>
    <w:rsid w:val="00CF7AEB"/>
    <w:rsid w:val="00CF7E5E"/>
    <w:rsid w:val="00CF7FA6"/>
    <w:rsid w:val="00D009FA"/>
    <w:rsid w:val="00D00A15"/>
    <w:rsid w:val="00D010FD"/>
    <w:rsid w:val="00D02812"/>
    <w:rsid w:val="00D04536"/>
    <w:rsid w:val="00D04C84"/>
    <w:rsid w:val="00D05BE5"/>
    <w:rsid w:val="00D062A2"/>
    <w:rsid w:val="00D1141A"/>
    <w:rsid w:val="00D127C8"/>
    <w:rsid w:val="00D12FDC"/>
    <w:rsid w:val="00D14E80"/>
    <w:rsid w:val="00D15086"/>
    <w:rsid w:val="00D157BD"/>
    <w:rsid w:val="00D1633B"/>
    <w:rsid w:val="00D1660D"/>
    <w:rsid w:val="00D16687"/>
    <w:rsid w:val="00D17255"/>
    <w:rsid w:val="00D20056"/>
    <w:rsid w:val="00D20C36"/>
    <w:rsid w:val="00D20DBB"/>
    <w:rsid w:val="00D20DE9"/>
    <w:rsid w:val="00D2193F"/>
    <w:rsid w:val="00D21CC1"/>
    <w:rsid w:val="00D224FD"/>
    <w:rsid w:val="00D2326F"/>
    <w:rsid w:val="00D23BF1"/>
    <w:rsid w:val="00D23C81"/>
    <w:rsid w:val="00D2481A"/>
    <w:rsid w:val="00D24BC9"/>
    <w:rsid w:val="00D25D51"/>
    <w:rsid w:val="00D26CD9"/>
    <w:rsid w:val="00D273B5"/>
    <w:rsid w:val="00D2798F"/>
    <w:rsid w:val="00D30990"/>
    <w:rsid w:val="00D30C6C"/>
    <w:rsid w:val="00D30FC7"/>
    <w:rsid w:val="00D33326"/>
    <w:rsid w:val="00D3414E"/>
    <w:rsid w:val="00D36051"/>
    <w:rsid w:val="00D3693C"/>
    <w:rsid w:val="00D37FAD"/>
    <w:rsid w:val="00D42317"/>
    <w:rsid w:val="00D42C17"/>
    <w:rsid w:val="00D430A8"/>
    <w:rsid w:val="00D43DA3"/>
    <w:rsid w:val="00D44460"/>
    <w:rsid w:val="00D44D2C"/>
    <w:rsid w:val="00D45606"/>
    <w:rsid w:val="00D45E3B"/>
    <w:rsid w:val="00D47E8D"/>
    <w:rsid w:val="00D503A3"/>
    <w:rsid w:val="00D51EF8"/>
    <w:rsid w:val="00D52724"/>
    <w:rsid w:val="00D52B50"/>
    <w:rsid w:val="00D53CAF"/>
    <w:rsid w:val="00D54701"/>
    <w:rsid w:val="00D54832"/>
    <w:rsid w:val="00D558E1"/>
    <w:rsid w:val="00D55B46"/>
    <w:rsid w:val="00D572A0"/>
    <w:rsid w:val="00D6091A"/>
    <w:rsid w:val="00D60D9B"/>
    <w:rsid w:val="00D60DF0"/>
    <w:rsid w:val="00D61728"/>
    <w:rsid w:val="00D62641"/>
    <w:rsid w:val="00D628D3"/>
    <w:rsid w:val="00D631E8"/>
    <w:rsid w:val="00D634F2"/>
    <w:rsid w:val="00D63A1B"/>
    <w:rsid w:val="00D63DDA"/>
    <w:rsid w:val="00D63FB3"/>
    <w:rsid w:val="00D640E1"/>
    <w:rsid w:val="00D64598"/>
    <w:rsid w:val="00D64D17"/>
    <w:rsid w:val="00D6587E"/>
    <w:rsid w:val="00D66166"/>
    <w:rsid w:val="00D6651F"/>
    <w:rsid w:val="00D668E7"/>
    <w:rsid w:val="00D674D6"/>
    <w:rsid w:val="00D6772D"/>
    <w:rsid w:val="00D67785"/>
    <w:rsid w:val="00D72862"/>
    <w:rsid w:val="00D72EA2"/>
    <w:rsid w:val="00D748F2"/>
    <w:rsid w:val="00D757D7"/>
    <w:rsid w:val="00D757DC"/>
    <w:rsid w:val="00D75E35"/>
    <w:rsid w:val="00D801AE"/>
    <w:rsid w:val="00D80997"/>
    <w:rsid w:val="00D80AB9"/>
    <w:rsid w:val="00D811B1"/>
    <w:rsid w:val="00D812AD"/>
    <w:rsid w:val="00D8169F"/>
    <w:rsid w:val="00D83C77"/>
    <w:rsid w:val="00D84037"/>
    <w:rsid w:val="00D85D42"/>
    <w:rsid w:val="00D862A6"/>
    <w:rsid w:val="00D876FF"/>
    <w:rsid w:val="00D87A9D"/>
    <w:rsid w:val="00D908B0"/>
    <w:rsid w:val="00D91342"/>
    <w:rsid w:val="00D9164F"/>
    <w:rsid w:val="00D921B2"/>
    <w:rsid w:val="00D93BE9"/>
    <w:rsid w:val="00D9459D"/>
    <w:rsid w:val="00D95523"/>
    <w:rsid w:val="00D95A04"/>
    <w:rsid w:val="00D95AE4"/>
    <w:rsid w:val="00D96F18"/>
    <w:rsid w:val="00DA2C37"/>
    <w:rsid w:val="00DA2E26"/>
    <w:rsid w:val="00DA3654"/>
    <w:rsid w:val="00DA4EF6"/>
    <w:rsid w:val="00DA64A9"/>
    <w:rsid w:val="00DB2119"/>
    <w:rsid w:val="00DB2259"/>
    <w:rsid w:val="00DB22EB"/>
    <w:rsid w:val="00DB29FC"/>
    <w:rsid w:val="00DB2D36"/>
    <w:rsid w:val="00DB3040"/>
    <w:rsid w:val="00DB3F77"/>
    <w:rsid w:val="00DB4021"/>
    <w:rsid w:val="00DB5E93"/>
    <w:rsid w:val="00DB6D54"/>
    <w:rsid w:val="00DB6FD0"/>
    <w:rsid w:val="00DC05BC"/>
    <w:rsid w:val="00DC0D34"/>
    <w:rsid w:val="00DC1EA0"/>
    <w:rsid w:val="00DC1ECF"/>
    <w:rsid w:val="00DC230B"/>
    <w:rsid w:val="00DC36D7"/>
    <w:rsid w:val="00DC422A"/>
    <w:rsid w:val="00DC57A9"/>
    <w:rsid w:val="00DC72A7"/>
    <w:rsid w:val="00DC7AC2"/>
    <w:rsid w:val="00DC7C40"/>
    <w:rsid w:val="00DC7CA8"/>
    <w:rsid w:val="00DD05C0"/>
    <w:rsid w:val="00DD070D"/>
    <w:rsid w:val="00DD1444"/>
    <w:rsid w:val="00DD1E90"/>
    <w:rsid w:val="00DD2852"/>
    <w:rsid w:val="00DD2B92"/>
    <w:rsid w:val="00DD32CA"/>
    <w:rsid w:val="00DD3A24"/>
    <w:rsid w:val="00DD3F8A"/>
    <w:rsid w:val="00DD4114"/>
    <w:rsid w:val="00DD42C3"/>
    <w:rsid w:val="00DD4807"/>
    <w:rsid w:val="00DD56FF"/>
    <w:rsid w:val="00DD5DC1"/>
    <w:rsid w:val="00DD623B"/>
    <w:rsid w:val="00DD6FD3"/>
    <w:rsid w:val="00DD7B76"/>
    <w:rsid w:val="00DD7D29"/>
    <w:rsid w:val="00DE03AA"/>
    <w:rsid w:val="00DE1AFA"/>
    <w:rsid w:val="00DE2019"/>
    <w:rsid w:val="00DE279F"/>
    <w:rsid w:val="00DE313E"/>
    <w:rsid w:val="00DE3519"/>
    <w:rsid w:val="00DE4111"/>
    <w:rsid w:val="00DE48B3"/>
    <w:rsid w:val="00DE4925"/>
    <w:rsid w:val="00DE4DF2"/>
    <w:rsid w:val="00DE5E3F"/>
    <w:rsid w:val="00DE6666"/>
    <w:rsid w:val="00DE670C"/>
    <w:rsid w:val="00DE7A11"/>
    <w:rsid w:val="00DF06D4"/>
    <w:rsid w:val="00DF0BF9"/>
    <w:rsid w:val="00DF1DDA"/>
    <w:rsid w:val="00DF27CC"/>
    <w:rsid w:val="00DF293E"/>
    <w:rsid w:val="00DF2AF8"/>
    <w:rsid w:val="00DF2E2D"/>
    <w:rsid w:val="00DF2FE8"/>
    <w:rsid w:val="00DF3516"/>
    <w:rsid w:val="00DF3B04"/>
    <w:rsid w:val="00DF58C1"/>
    <w:rsid w:val="00E001E2"/>
    <w:rsid w:val="00E01580"/>
    <w:rsid w:val="00E01C4A"/>
    <w:rsid w:val="00E01DC9"/>
    <w:rsid w:val="00E01E6F"/>
    <w:rsid w:val="00E025E6"/>
    <w:rsid w:val="00E02837"/>
    <w:rsid w:val="00E02F94"/>
    <w:rsid w:val="00E03AE0"/>
    <w:rsid w:val="00E03C07"/>
    <w:rsid w:val="00E046B4"/>
    <w:rsid w:val="00E04DC5"/>
    <w:rsid w:val="00E05942"/>
    <w:rsid w:val="00E07C03"/>
    <w:rsid w:val="00E1131D"/>
    <w:rsid w:val="00E1177F"/>
    <w:rsid w:val="00E11D8E"/>
    <w:rsid w:val="00E124AF"/>
    <w:rsid w:val="00E12BFC"/>
    <w:rsid w:val="00E12F24"/>
    <w:rsid w:val="00E13F5C"/>
    <w:rsid w:val="00E14BC9"/>
    <w:rsid w:val="00E14CD1"/>
    <w:rsid w:val="00E172E6"/>
    <w:rsid w:val="00E17725"/>
    <w:rsid w:val="00E17CB0"/>
    <w:rsid w:val="00E17DFD"/>
    <w:rsid w:val="00E20D02"/>
    <w:rsid w:val="00E20E3C"/>
    <w:rsid w:val="00E211C7"/>
    <w:rsid w:val="00E21B84"/>
    <w:rsid w:val="00E22336"/>
    <w:rsid w:val="00E224A3"/>
    <w:rsid w:val="00E23169"/>
    <w:rsid w:val="00E23E40"/>
    <w:rsid w:val="00E244D7"/>
    <w:rsid w:val="00E25C84"/>
    <w:rsid w:val="00E265B1"/>
    <w:rsid w:val="00E27CEF"/>
    <w:rsid w:val="00E30190"/>
    <w:rsid w:val="00E305F0"/>
    <w:rsid w:val="00E31069"/>
    <w:rsid w:val="00E31796"/>
    <w:rsid w:val="00E327A8"/>
    <w:rsid w:val="00E36290"/>
    <w:rsid w:val="00E36689"/>
    <w:rsid w:val="00E36E1B"/>
    <w:rsid w:val="00E3767F"/>
    <w:rsid w:val="00E37DF5"/>
    <w:rsid w:val="00E40014"/>
    <w:rsid w:val="00E4208A"/>
    <w:rsid w:val="00E42A0B"/>
    <w:rsid w:val="00E42C3F"/>
    <w:rsid w:val="00E43289"/>
    <w:rsid w:val="00E445FF"/>
    <w:rsid w:val="00E46235"/>
    <w:rsid w:val="00E4666F"/>
    <w:rsid w:val="00E46BAC"/>
    <w:rsid w:val="00E46C32"/>
    <w:rsid w:val="00E47774"/>
    <w:rsid w:val="00E5027D"/>
    <w:rsid w:val="00E515B0"/>
    <w:rsid w:val="00E51B28"/>
    <w:rsid w:val="00E51D09"/>
    <w:rsid w:val="00E53677"/>
    <w:rsid w:val="00E544CB"/>
    <w:rsid w:val="00E5536E"/>
    <w:rsid w:val="00E55421"/>
    <w:rsid w:val="00E554DF"/>
    <w:rsid w:val="00E55797"/>
    <w:rsid w:val="00E55919"/>
    <w:rsid w:val="00E55E68"/>
    <w:rsid w:val="00E57C75"/>
    <w:rsid w:val="00E57E86"/>
    <w:rsid w:val="00E57F13"/>
    <w:rsid w:val="00E6172B"/>
    <w:rsid w:val="00E62078"/>
    <w:rsid w:val="00E63B8C"/>
    <w:rsid w:val="00E64C6C"/>
    <w:rsid w:val="00E64FC5"/>
    <w:rsid w:val="00E670B5"/>
    <w:rsid w:val="00E71610"/>
    <w:rsid w:val="00E719DE"/>
    <w:rsid w:val="00E71C86"/>
    <w:rsid w:val="00E720F6"/>
    <w:rsid w:val="00E73B4F"/>
    <w:rsid w:val="00E73B95"/>
    <w:rsid w:val="00E740B3"/>
    <w:rsid w:val="00E74166"/>
    <w:rsid w:val="00E74780"/>
    <w:rsid w:val="00E7595C"/>
    <w:rsid w:val="00E81386"/>
    <w:rsid w:val="00E818C9"/>
    <w:rsid w:val="00E81E61"/>
    <w:rsid w:val="00E820F2"/>
    <w:rsid w:val="00E839EB"/>
    <w:rsid w:val="00E8442A"/>
    <w:rsid w:val="00E848B4"/>
    <w:rsid w:val="00E861EB"/>
    <w:rsid w:val="00E876FB"/>
    <w:rsid w:val="00E90507"/>
    <w:rsid w:val="00E908A7"/>
    <w:rsid w:val="00E909A7"/>
    <w:rsid w:val="00E90AE6"/>
    <w:rsid w:val="00E91417"/>
    <w:rsid w:val="00E91452"/>
    <w:rsid w:val="00E927C7"/>
    <w:rsid w:val="00E93650"/>
    <w:rsid w:val="00E94329"/>
    <w:rsid w:val="00E944EB"/>
    <w:rsid w:val="00E94D38"/>
    <w:rsid w:val="00E94EE3"/>
    <w:rsid w:val="00E96547"/>
    <w:rsid w:val="00E976CF"/>
    <w:rsid w:val="00EA17F3"/>
    <w:rsid w:val="00EA1914"/>
    <w:rsid w:val="00EA219C"/>
    <w:rsid w:val="00EA236A"/>
    <w:rsid w:val="00EA2388"/>
    <w:rsid w:val="00EA292B"/>
    <w:rsid w:val="00EA2CF7"/>
    <w:rsid w:val="00EA32C0"/>
    <w:rsid w:val="00EA3F91"/>
    <w:rsid w:val="00EA57C6"/>
    <w:rsid w:val="00EA5877"/>
    <w:rsid w:val="00EA67F1"/>
    <w:rsid w:val="00EB04C7"/>
    <w:rsid w:val="00EB0C4C"/>
    <w:rsid w:val="00EB12AA"/>
    <w:rsid w:val="00EB1377"/>
    <w:rsid w:val="00EB1873"/>
    <w:rsid w:val="00EB24A8"/>
    <w:rsid w:val="00EB27A2"/>
    <w:rsid w:val="00EB2C99"/>
    <w:rsid w:val="00EB32EA"/>
    <w:rsid w:val="00EB3D13"/>
    <w:rsid w:val="00EB48CF"/>
    <w:rsid w:val="00EB5C20"/>
    <w:rsid w:val="00EB5FD5"/>
    <w:rsid w:val="00EB622C"/>
    <w:rsid w:val="00EB635D"/>
    <w:rsid w:val="00EB659E"/>
    <w:rsid w:val="00EB7001"/>
    <w:rsid w:val="00EB70A2"/>
    <w:rsid w:val="00EB7E9A"/>
    <w:rsid w:val="00EC09D7"/>
    <w:rsid w:val="00EC17A1"/>
    <w:rsid w:val="00EC1E33"/>
    <w:rsid w:val="00EC2DAD"/>
    <w:rsid w:val="00EC382F"/>
    <w:rsid w:val="00EC4244"/>
    <w:rsid w:val="00EC783E"/>
    <w:rsid w:val="00ED01FC"/>
    <w:rsid w:val="00ED04EB"/>
    <w:rsid w:val="00ED09F2"/>
    <w:rsid w:val="00ED2151"/>
    <w:rsid w:val="00ED296F"/>
    <w:rsid w:val="00ED2B5B"/>
    <w:rsid w:val="00ED33C2"/>
    <w:rsid w:val="00ED366B"/>
    <w:rsid w:val="00ED46C7"/>
    <w:rsid w:val="00ED6126"/>
    <w:rsid w:val="00ED71E0"/>
    <w:rsid w:val="00ED77BC"/>
    <w:rsid w:val="00ED7FCE"/>
    <w:rsid w:val="00EE0168"/>
    <w:rsid w:val="00EE0F8B"/>
    <w:rsid w:val="00EE3B89"/>
    <w:rsid w:val="00EE4679"/>
    <w:rsid w:val="00EE48A8"/>
    <w:rsid w:val="00EE498F"/>
    <w:rsid w:val="00EE5410"/>
    <w:rsid w:val="00EE5843"/>
    <w:rsid w:val="00EE6527"/>
    <w:rsid w:val="00EE6683"/>
    <w:rsid w:val="00EE724F"/>
    <w:rsid w:val="00EE74CF"/>
    <w:rsid w:val="00EE7656"/>
    <w:rsid w:val="00EF098A"/>
    <w:rsid w:val="00EF24F1"/>
    <w:rsid w:val="00EF2E3A"/>
    <w:rsid w:val="00EF3487"/>
    <w:rsid w:val="00EF5178"/>
    <w:rsid w:val="00EF5BE8"/>
    <w:rsid w:val="00EF63A8"/>
    <w:rsid w:val="00F00484"/>
    <w:rsid w:val="00F01923"/>
    <w:rsid w:val="00F01A2D"/>
    <w:rsid w:val="00F025D8"/>
    <w:rsid w:val="00F043C2"/>
    <w:rsid w:val="00F049D2"/>
    <w:rsid w:val="00F04FAD"/>
    <w:rsid w:val="00F05099"/>
    <w:rsid w:val="00F0570E"/>
    <w:rsid w:val="00F05C47"/>
    <w:rsid w:val="00F06A5F"/>
    <w:rsid w:val="00F06B42"/>
    <w:rsid w:val="00F07022"/>
    <w:rsid w:val="00F076A3"/>
    <w:rsid w:val="00F10D7D"/>
    <w:rsid w:val="00F1119E"/>
    <w:rsid w:val="00F11F05"/>
    <w:rsid w:val="00F12BEC"/>
    <w:rsid w:val="00F131BB"/>
    <w:rsid w:val="00F141ED"/>
    <w:rsid w:val="00F149F3"/>
    <w:rsid w:val="00F153B6"/>
    <w:rsid w:val="00F16BC5"/>
    <w:rsid w:val="00F17D56"/>
    <w:rsid w:val="00F2036C"/>
    <w:rsid w:val="00F21C3C"/>
    <w:rsid w:val="00F21C96"/>
    <w:rsid w:val="00F22428"/>
    <w:rsid w:val="00F22CB1"/>
    <w:rsid w:val="00F24DF2"/>
    <w:rsid w:val="00F25741"/>
    <w:rsid w:val="00F25761"/>
    <w:rsid w:val="00F25910"/>
    <w:rsid w:val="00F25FB7"/>
    <w:rsid w:val="00F26177"/>
    <w:rsid w:val="00F26E70"/>
    <w:rsid w:val="00F27BB8"/>
    <w:rsid w:val="00F27BC5"/>
    <w:rsid w:val="00F27D28"/>
    <w:rsid w:val="00F30016"/>
    <w:rsid w:val="00F30769"/>
    <w:rsid w:val="00F31689"/>
    <w:rsid w:val="00F32793"/>
    <w:rsid w:val="00F33E30"/>
    <w:rsid w:val="00F34107"/>
    <w:rsid w:val="00F34B01"/>
    <w:rsid w:val="00F34FF4"/>
    <w:rsid w:val="00F35079"/>
    <w:rsid w:val="00F35A34"/>
    <w:rsid w:val="00F360B7"/>
    <w:rsid w:val="00F367CE"/>
    <w:rsid w:val="00F36C99"/>
    <w:rsid w:val="00F37269"/>
    <w:rsid w:val="00F40882"/>
    <w:rsid w:val="00F412FF"/>
    <w:rsid w:val="00F414B7"/>
    <w:rsid w:val="00F4345B"/>
    <w:rsid w:val="00F43559"/>
    <w:rsid w:val="00F43D1C"/>
    <w:rsid w:val="00F45783"/>
    <w:rsid w:val="00F47355"/>
    <w:rsid w:val="00F50665"/>
    <w:rsid w:val="00F509CA"/>
    <w:rsid w:val="00F513CB"/>
    <w:rsid w:val="00F5188D"/>
    <w:rsid w:val="00F51CBD"/>
    <w:rsid w:val="00F537A6"/>
    <w:rsid w:val="00F54FC7"/>
    <w:rsid w:val="00F55D9C"/>
    <w:rsid w:val="00F562D7"/>
    <w:rsid w:val="00F56DC2"/>
    <w:rsid w:val="00F5789B"/>
    <w:rsid w:val="00F57F6E"/>
    <w:rsid w:val="00F61C1E"/>
    <w:rsid w:val="00F61F4D"/>
    <w:rsid w:val="00F626F1"/>
    <w:rsid w:val="00F62B05"/>
    <w:rsid w:val="00F63EA8"/>
    <w:rsid w:val="00F6408A"/>
    <w:rsid w:val="00F6446F"/>
    <w:rsid w:val="00F65BEC"/>
    <w:rsid w:val="00F65F14"/>
    <w:rsid w:val="00F6715B"/>
    <w:rsid w:val="00F6717A"/>
    <w:rsid w:val="00F707CD"/>
    <w:rsid w:val="00F70EE1"/>
    <w:rsid w:val="00F72052"/>
    <w:rsid w:val="00F7259B"/>
    <w:rsid w:val="00F72A5C"/>
    <w:rsid w:val="00F731AA"/>
    <w:rsid w:val="00F733FA"/>
    <w:rsid w:val="00F739E6"/>
    <w:rsid w:val="00F73FF5"/>
    <w:rsid w:val="00F74F92"/>
    <w:rsid w:val="00F75057"/>
    <w:rsid w:val="00F75AAB"/>
    <w:rsid w:val="00F75C76"/>
    <w:rsid w:val="00F77662"/>
    <w:rsid w:val="00F77ECF"/>
    <w:rsid w:val="00F800C4"/>
    <w:rsid w:val="00F808C3"/>
    <w:rsid w:val="00F80A5E"/>
    <w:rsid w:val="00F82200"/>
    <w:rsid w:val="00F82DC8"/>
    <w:rsid w:val="00F83E88"/>
    <w:rsid w:val="00F8437E"/>
    <w:rsid w:val="00F84EB8"/>
    <w:rsid w:val="00F8508D"/>
    <w:rsid w:val="00F86023"/>
    <w:rsid w:val="00F86ED0"/>
    <w:rsid w:val="00F877A4"/>
    <w:rsid w:val="00F90C07"/>
    <w:rsid w:val="00F9156A"/>
    <w:rsid w:val="00F9226F"/>
    <w:rsid w:val="00F9285B"/>
    <w:rsid w:val="00F93401"/>
    <w:rsid w:val="00F94EF9"/>
    <w:rsid w:val="00F97692"/>
    <w:rsid w:val="00F97A1F"/>
    <w:rsid w:val="00FA0665"/>
    <w:rsid w:val="00FA0A1D"/>
    <w:rsid w:val="00FA14DC"/>
    <w:rsid w:val="00FA394E"/>
    <w:rsid w:val="00FA45F9"/>
    <w:rsid w:val="00FA4EBA"/>
    <w:rsid w:val="00FA561A"/>
    <w:rsid w:val="00FA63C3"/>
    <w:rsid w:val="00FA7138"/>
    <w:rsid w:val="00FA72B9"/>
    <w:rsid w:val="00FB0B43"/>
    <w:rsid w:val="00FB1C7A"/>
    <w:rsid w:val="00FB34EE"/>
    <w:rsid w:val="00FB3984"/>
    <w:rsid w:val="00FB3BE7"/>
    <w:rsid w:val="00FB3CD2"/>
    <w:rsid w:val="00FB434F"/>
    <w:rsid w:val="00FB57C1"/>
    <w:rsid w:val="00FB614F"/>
    <w:rsid w:val="00FC16C6"/>
    <w:rsid w:val="00FC1706"/>
    <w:rsid w:val="00FC21C6"/>
    <w:rsid w:val="00FC2AF3"/>
    <w:rsid w:val="00FC2ED3"/>
    <w:rsid w:val="00FC4288"/>
    <w:rsid w:val="00FC42B1"/>
    <w:rsid w:val="00FC4843"/>
    <w:rsid w:val="00FC4F32"/>
    <w:rsid w:val="00FC5BE0"/>
    <w:rsid w:val="00FC676C"/>
    <w:rsid w:val="00FC676D"/>
    <w:rsid w:val="00FC6D0C"/>
    <w:rsid w:val="00FC720B"/>
    <w:rsid w:val="00FD076F"/>
    <w:rsid w:val="00FD237B"/>
    <w:rsid w:val="00FD2642"/>
    <w:rsid w:val="00FD2D42"/>
    <w:rsid w:val="00FD3240"/>
    <w:rsid w:val="00FD361A"/>
    <w:rsid w:val="00FD3F9F"/>
    <w:rsid w:val="00FD53D5"/>
    <w:rsid w:val="00FD5FE7"/>
    <w:rsid w:val="00FD6FE9"/>
    <w:rsid w:val="00FD7410"/>
    <w:rsid w:val="00FD7A74"/>
    <w:rsid w:val="00FD7AE8"/>
    <w:rsid w:val="00FE01DE"/>
    <w:rsid w:val="00FE293E"/>
    <w:rsid w:val="00FE3FE9"/>
    <w:rsid w:val="00FE4571"/>
    <w:rsid w:val="00FE52AB"/>
    <w:rsid w:val="00FE53E7"/>
    <w:rsid w:val="00FE5537"/>
    <w:rsid w:val="00FE5B56"/>
    <w:rsid w:val="00FE5B62"/>
    <w:rsid w:val="00FE60AD"/>
    <w:rsid w:val="00FE6A10"/>
    <w:rsid w:val="00FF1120"/>
    <w:rsid w:val="00FF1621"/>
    <w:rsid w:val="00FF310E"/>
    <w:rsid w:val="00FF478C"/>
    <w:rsid w:val="00FF4DA0"/>
    <w:rsid w:val="00FF4DE3"/>
    <w:rsid w:val="00FF51D8"/>
    <w:rsid w:val="00FF55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4E67"/>
  <w15:chartTrackingRefBased/>
  <w15:docId w15:val="{910B9A5E-9482-4F09-A7EC-1F4DAAD0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rsid w:val="00916CD7"/>
    <w:pPr>
      <w:keepNext/>
      <w:spacing w:before="120" w:after="120" w:line="500" w:lineRule="exact"/>
      <w:outlineLvl w:val="0"/>
    </w:pPr>
    <w:rPr>
      <w:b/>
      <w:caps/>
      <w:kern w:val="28"/>
    </w:rPr>
  </w:style>
  <w:style w:type="paragraph" w:styleId="Titre2">
    <w:name w:val="heading 2"/>
    <w:basedOn w:val="Normal"/>
    <w:next w:val="Normal"/>
    <w:qFormat/>
    <w:rsid w:val="00916CD7"/>
    <w:pPr>
      <w:keepNext/>
      <w:spacing w:before="120" w:after="120"/>
      <w:ind w:left="720" w:hanging="720"/>
      <w:jc w:val="both"/>
      <w:outlineLvl w:val="1"/>
    </w:pPr>
    <w:rPr>
      <w:b/>
      <w:smallCaps/>
    </w:rPr>
  </w:style>
  <w:style w:type="paragraph" w:styleId="Titre3">
    <w:name w:val="heading 3"/>
    <w:basedOn w:val="Normal"/>
    <w:next w:val="Normal"/>
    <w:qFormat/>
    <w:rsid w:val="00916CD7"/>
    <w:pPr>
      <w:keepNext/>
      <w:spacing w:before="120" w:after="120" w:line="500" w:lineRule="exact"/>
      <w:outlineLvl w:val="2"/>
    </w:pPr>
    <w:rPr>
      <w:b/>
    </w:rPr>
  </w:style>
  <w:style w:type="paragraph" w:styleId="Titre4">
    <w:name w:val="heading 4"/>
    <w:basedOn w:val="Normal"/>
    <w:next w:val="Normal"/>
    <w:qFormat/>
    <w:rsid w:val="00270328"/>
    <w:pPr>
      <w:keepNext/>
      <w:numPr>
        <w:numId w:val="7"/>
      </w:numPr>
      <w:spacing w:before="120" w:after="120"/>
      <w:jc w:val="both"/>
      <w:outlineLvl w:val="3"/>
    </w:pPr>
    <w:rPr>
      <w:i/>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styleId="Hyperlien">
    <w:name w:val="Hyperlink"/>
    <w:uiPriority w:val="99"/>
    <w:rsid w:val="00F82200"/>
    <w:rPr>
      <w:noProof w:val="0"/>
      <w:color w:val="0000FF"/>
      <w:u w:val="single"/>
      <w:lang w:val="fr-CA"/>
    </w:rPr>
  </w:style>
  <w:style w:type="character" w:customStyle="1" w:styleId="ParagrapheCar">
    <w:name w:val="Paragraphe Car"/>
    <w:link w:val="Paragraphe"/>
    <w:rsid w:val="00F82200"/>
    <w:rPr>
      <w:rFonts w:ascii="Arial" w:hAnsi="Arial"/>
      <w:kern w:val="28"/>
      <w:sz w:val="24"/>
      <w:lang w:eastAsia="fr-FR"/>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basedOn w:val="Policepardfaut"/>
    <w:link w:val="Notedebasdepage"/>
    <w:rsid w:val="00F82200"/>
    <w:rPr>
      <w:rFonts w:ascii="Arial" w:hAnsi="Arial"/>
      <w:lang w:eastAsia="fr-FR"/>
    </w:rPr>
  </w:style>
  <w:style w:type="character" w:styleId="Marquedecommentaire">
    <w:name w:val="annotation reference"/>
    <w:basedOn w:val="Policepardfaut"/>
    <w:uiPriority w:val="99"/>
    <w:semiHidden/>
    <w:unhideWhenUsed/>
    <w:rsid w:val="005A1C52"/>
    <w:rPr>
      <w:sz w:val="16"/>
      <w:szCs w:val="16"/>
    </w:rPr>
  </w:style>
  <w:style w:type="paragraph" w:styleId="Commentaire">
    <w:name w:val="annotation text"/>
    <w:basedOn w:val="Normal"/>
    <w:link w:val="CommentaireCar"/>
    <w:uiPriority w:val="99"/>
    <w:unhideWhenUsed/>
    <w:rsid w:val="005A1C52"/>
    <w:pPr>
      <w:spacing w:line="240" w:lineRule="auto"/>
    </w:pPr>
    <w:rPr>
      <w:sz w:val="20"/>
    </w:rPr>
  </w:style>
  <w:style w:type="character" w:customStyle="1" w:styleId="CommentaireCar">
    <w:name w:val="Commentaire Car"/>
    <w:basedOn w:val="Policepardfaut"/>
    <w:link w:val="Commentaire"/>
    <w:uiPriority w:val="99"/>
    <w:rsid w:val="005A1C52"/>
    <w:rPr>
      <w:rFonts w:ascii="Arial" w:hAnsi="Arial"/>
      <w:lang w:eastAsia="fr-FR"/>
    </w:rPr>
  </w:style>
  <w:style w:type="paragraph" w:customStyle="1" w:styleId="citation-altc">
    <w:name w:val="citation-altc"/>
    <w:basedOn w:val="Normal"/>
    <w:rsid w:val="005A1C52"/>
    <w:pPr>
      <w:spacing w:before="100" w:beforeAutospacing="1" w:after="100" w:afterAutospacing="1" w:line="240" w:lineRule="auto"/>
    </w:pPr>
    <w:rPr>
      <w:rFonts w:ascii="Times New Roman" w:hAnsi="Times New Roman"/>
      <w:szCs w:val="24"/>
      <w:lang w:eastAsia="fr-CA"/>
    </w:rPr>
  </w:style>
  <w:style w:type="paragraph" w:styleId="Rvision">
    <w:name w:val="Revision"/>
    <w:hidden/>
    <w:uiPriority w:val="99"/>
    <w:semiHidden/>
    <w:rsid w:val="00540798"/>
    <w:rPr>
      <w:rFonts w:ascii="Arial" w:hAnsi="Arial"/>
      <w:sz w:val="24"/>
      <w:lang w:eastAsia="fr-FR"/>
    </w:rPr>
  </w:style>
  <w:style w:type="character" w:customStyle="1" w:styleId="reflex3-missing">
    <w:name w:val="reflex3-missing"/>
    <w:basedOn w:val="Policepardfaut"/>
    <w:rsid w:val="00540798"/>
  </w:style>
  <w:style w:type="paragraph" w:customStyle="1" w:styleId="Style1">
    <w:name w:val="Style1"/>
    <w:basedOn w:val="Paragraphe"/>
    <w:link w:val="Style1Car"/>
    <w:qFormat/>
    <w:rsid w:val="00540798"/>
    <w:pPr>
      <w:numPr>
        <w:numId w:val="0"/>
      </w:numPr>
      <w:tabs>
        <w:tab w:val="num" w:pos="720"/>
      </w:tabs>
      <w:spacing w:before="60" w:after="60" w:line="360" w:lineRule="auto"/>
    </w:pPr>
  </w:style>
  <w:style w:type="character" w:customStyle="1" w:styleId="Style1Car">
    <w:name w:val="Style1 Car"/>
    <w:basedOn w:val="Policepardfaut"/>
    <w:link w:val="Style1"/>
    <w:rsid w:val="00540798"/>
    <w:rPr>
      <w:rFonts w:ascii="Arial" w:hAnsi="Arial"/>
      <w:kern w:val="28"/>
      <w:sz w:val="24"/>
      <w:lang w:eastAsia="fr-FR"/>
    </w:rPr>
  </w:style>
  <w:style w:type="character" w:customStyle="1" w:styleId="reflex">
    <w:name w:val="reflex"/>
    <w:basedOn w:val="Policepardfaut"/>
    <w:rsid w:val="00540798"/>
  </w:style>
  <w:style w:type="character" w:customStyle="1" w:styleId="solexhl">
    <w:name w:val="solexhl"/>
    <w:basedOn w:val="Policepardfaut"/>
    <w:rsid w:val="00540798"/>
  </w:style>
  <w:style w:type="character" w:customStyle="1" w:styleId="cf01">
    <w:name w:val="cf01"/>
    <w:basedOn w:val="Policepardfaut"/>
    <w:rsid w:val="00AE597D"/>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707C7E"/>
    <w:rPr>
      <w:b/>
      <w:bCs/>
    </w:rPr>
  </w:style>
  <w:style w:type="character" w:customStyle="1" w:styleId="ObjetducommentaireCar">
    <w:name w:val="Objet du commentaire Car"/>
    <w:basedOn w:val="CommentaireCar"/>
    <w:link w:val="Objetducommentaire"/>
    <w:uiPriority w:val="99"/>
    <w:semiHidden/>
    <w:rsid w:val="00707C7E"/>
    <w:rPr>
      <w:rFonts w:ascii="Arial" w:hAnsi="Arial"/>
      <w:b/>
      <w:bCs/>
      <w:lang w:eastAsia="fr-FR"/>
    </w:rPr>
  </w:style>
  <w:style w:type="paragraph" w:styleId="Paragraphedeliste">
    <w:name w:val="List Paragraph"/>
    <w:basedOn w:val="Normal"/>
    <w:uiPriority w:val="34"/>
    <w:qFormat/>
    <w:rsid w:val="004C7B2F"/>
    <w:pPr>
      <w:ind w:left="720"/>
      <w:contextualSpacing/>
    </w:pPr>
  </w:style>
  <w:style w:type="paragraph" w:styleId="Citation">
    <w:name w:val="Quote"/>
    <w:basedOn w:val="Normal"/>
    <w:next w:val="Normal"/>
    <w:link w:val="CitationCar"/>
    <w:uiPriority w:val="29"/>
    <w:qFormat/>
    <w:rsid w:val="0032484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2484D"/>
    <w:rPr>
      <w:rFonts w:ascii="Arial" w:hAnsi="Arial"/>
      <w:i/>
      <w:iCs/>
      <w:color w:val="404040" w:themeColor="text1" w:themeTint="BF"/>
      <w:sz w:val="24"/>
      <w:lang w:eastAsia="fr-FR"/>
    </w:rPr>
  </w:style>
  <w:style w:type="paragraph" w:customStyle="1" w:styleId="citationenretrait0">
    <w:name w:val="citationenretrait"/>
    <w:basedOn w:val="Normal"/>
    <w:rsid w:val="0032484D"/>
    <w:pPr>
      <w:spacing w:before="100" w:beforeAutospacing="1" w:after="100" w:afterAutospacing="1" w:line="240" w:lineRule="auto"/>
    </w:pPr>
    <w:rPr>
      <w:rFonts w:ascii="Times New Roman" w:hAnsi="Times New Roman"/>
      <w:szCs w:val="24"/>
      <w:lang w:eastAsia="fr-CA"/>
    </w:rPr>
  </w:style>
  <w:style w:type="character" w:customStyle="1" w:styleId="lawlabel">
    <w:name w:val="lawlabel"/>
    <w:basedOn w:val="Policepardfaut"/>
    <w:rsid w:val="001A3EF8"/>
  </w:style>
  <w:style w:type="character" w:customStyle="1" w:styleId="reflex2-link">
    <w:name w:val="reflex2-link"/>
    <w:basedOn w:val="Policepardfaut"/>
    <w:rsid w:val="001A3EF8"/>
  </w:style>
  <w:style w:type="character" w:customStyle="1" w:styleId="cf11">
    <w:name w:val="cf11"/>
    <w:basedOn w:val="Policepardfaut"/>
    <w:rsid w:val="001A3EF8"/>
    <w:rPr>
      <w:rFonts w:ascii="Segoe UI" w:hAnsi="Segoe UI" w:cs="Segoe UI" w:hint="default"/>
      <w:i/>
      <w:iCs/>
      <w:sz w:val="18"/>
      <w:szCs w:val="18"/>
    </w:rPr>
  </w:style>
  <w:style w:type="character" w:styleId="Lienvisit">
    <w:name w:val="FollowedHyperlink"/>
    <w:basedOn w:val="Policepardfaut"/>
    <w:uiPriority w:val="99"/>
    <w:semiHidden/>
    <w:unhideWhenUsed/>
    <w:rsid w:val="00FF4DA0"/>
    <w:rPr>
      <w:color w:val="954F72" w:themeColor="followedHyperlink"/>
      <w:u w:val="single"/>
    </w:rPr>
  </w:style>
  <w:style w:type="character" w:styleId="Appeldenotedefin">
    <w:name w:val="endnote reference"/>
    <w:basedOn w:val="Policepardfaut"/>
    <w:uiPriority w:val="99"/>
    <w:semiHidden/>
    <w:unhideWhenUsed/>
    <w:rsid w:val="00F877A4"/>
    <w:rPr>
      <w:vertAlign w:val="superscript"/>
    </w:rPr>
  </w:style>
  <w:style w:type="character" w:customStyle="1" w:styleId="Mentionnonrsolue1">
    <w:name w:val="Mention non résolue1"/>
    <w:basedOn w:val="Policepardfaut"/>
    <w:uiPriority w:val="99"/>
    <w:semiHidden/>
    <w:unhideWhenUsed/>
    <w:rsid w:val="00F043C2"/>
    <w:rPr>
      <w:color w:val="605E5C"/>
      <w:shd w:val="clear" w:color="auto" w:fill="E1DFDD"/>
    </w:rPr>
  </w:style>
  <w:style w:type="paragraph" w:styleId="TM1">
    <w:name w:val="toc 1"/>
    <w:basedOn w:val="Normal"/>
    <w:next w:val="Normal"/>
    <w:autoRedefine/>
    <w:uiPriority w:val="39"/>
    <w:unhideWhenUsed/>
    <w:rsid w:val="00116A16"/>
    <w:pPr>
      <w:tabs>
        <w:tab w:val="left" w:pos="480"/>
        <w:tab w:val="right" w:leader="dot" w:pos="9352"/>
      </w:tabs>
      <w:spacing w:after="120"/>
    </w:pPr>
    <w:rPr>
      <w:b/>
      <w:caps/>
    </w:rPr>
  </w:style>
  <w:style w:type="paragraph" w:styleId="TM2">
    <w:name w:val="toc 2"/>
    <w:basedOn w:val="Normal"/>
    <w:next w:val="Normal"/>
    <w:autoRedefine/>
    <w:uiPriority w:val="39"/>
    <w:unhideWhenUsed/>
    <w:rsid w:val="00116A16"/>
    <w:pPr>
      <w:tabs>
        <w:tab w:val="left" w:pos="964"/>
        <w:tab w:val="right" w:leader="dot" w:pos="9352"/>
      </w:tabs>
      <w:spacing w:after="120"/>
      <w:ind w:left="964" w:right="567" w:hanging="482"/>
    </w:pPr>
    <w:rPr>
      <w:b/>
      <w:smallCaps/>
    </w:rPr>
  </w:style>
  <w:style w:type="paragraph" w:styleId="TM3">
    <w:name w:val="toc 3"/>
    <w:basedOn w:val="Normal"/>
    <w:next w:val="Normal"/>
    <w:autoRedefine/>
    <w:uiPriority w:val="39"/>
    <w:unhideWhenUsed/>
    <w:rsid w:val="00116A16"/>
    <w:pPr>
      <w:tabs>
        <w:tab w:val="left" w:pos="1446"/>
        <w:tab w:val="right" w:leader="dot" w:pos="9352"/>
      </w:tabs>
      <w:spacing w:after="120"/>
      <w:ind w:left="1446" w:right="567" w:hanging="482"/>
    </w:pPr>
    <w:rPr>
      <w:b/>
    </w:rPr>
  </w:style>
  <w:style w:type="paragraph" w:styleId="TM4">
    <w:name w:val="toc 4"/>
    <w:basedOn w:val="Normal"/>
    <w:next w:val="Normal"/>
    <w:autoRedefine/>
    <w:uiPriority w:val="39"/>
    <w:unhideWhenUsed/>
    <w:rsid w:val="00270328"/>
    <w:pPr>
      <w:tabs>
        <w:tab w:val="left" w:pos="1928"/>
        <w:tab w:val="right" w:leader="dot" w:pos="9352"/>
      </w:tabs>
      <w:spacing w:after="120"/>
      <w:ind w:left="1928" w:right="567" w:hanging="482"/>
    </w:pPr>
    <w:rPr>
      <w:i/>
    </w:rPr>
  </w:style>
  <w:style w:type="paragraph" w:customStyle="1" w:styleId="paragraphe0">
    <w:name w:val="paragraphe"/>
    <w:basedOn w:val="Normal"/>
    <w:rsid w:val="00991E90"/>
    <w:pPr>
      <w:spacing w:before="100" w:beforeAutospacing="1" w:after="100" w:afterAutospacing="1" w:line="240" w:lineRule="auto"/>
    </w:pPr>
    <w:rPr>
      <w:rFonts w:ascii="Times New Roman" w:hAnsi="Times New Roman"/>
      <w:szCs w:val="24"/>
      <w:lang w:eastAsia="fr-CA"/>
    </w:rPr>
  </w:style>
  <w:style w:type="paragraph" w:customStyle="1" w:styleId="paranondepar-altn0">
    <w:name w:val="paranondepar-altn0"/>
    <w:basedOn w:val="Normal"/>
    <w:rsid w:val="00991E90"/>
    <w:pPr>
      <w:spacing w:before="100" w:beforeAutospacing="1" w:after="100" w:afterAutospacing="1" w:line="240" w:lineRule="auto"/>
    </w:pPr>
    <w:rPr>
      <w:rFonts w:ascii="Times New Roman" w:hAnsi="Times New Roman"/>
      <w:szCs w:val="24"/>
      <w:lang w:eastAsia="fr-CA"/>
    </w:rPr>
  </w:style>
  <w:style w:type="character" w:customStyle="1" w:styleId="ui-provider">
    <w:name w:val="ui-provider"/>
    <w:basedOn w:val="Policepardfaut"/>
    <w:rsid w:val="001127E9"/>
  </w:style>
  <w:style w:type="character" w:styleId="Mentionnonrsolue">
    <w:name w:val="Unresolved Mention"/>
    <w:basedOn w:val="Policepardfaut"/>
    <w:uiPriority w:val="99"/>
    <w:semiHidden/>
    <w:unhideWhenUsed/>
    <w:rsid w:val="0035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7249">
      <w:bodyDiv w:val="1"/>
      <w:marLeft w:val="0"/>
      <w:marRight w:val="0"/>
      <w:marTop w:val="0"/>
      <w:marBottom w:val="0"/>
      <w:divBdr>
        <w:top w:val="none" w:sz="0" w:space="0" w:color="auto"/>
        <w:left w:val="none" w:sz="0" w:space="0" w:color="auto"/>
        <w:bottom w:val="none" w:sz="0" w:space="0" w:color="auto"/>
        <w:right w:val="none" w:sz="0" w:space="0" w:color="auto"/>
      </w:divBdr>
    </w:div>
    <w:div w:id="1459565022">
      <w:bodyDiv w:val="1"/>
      <w:marLeft w:val="0"/>
      <w:marRight w:val="0"/>
      <w:marTop w:val="0"/>
      <w:marBottom w:val="0"/>
      <w:divBdr>
        <w:top w:val="none" w:sz="0" w:space="0" w:color="auto"/>
        <w:left w:val="none" w:sz="0" w:space="0" w:color="auto"/>
        <w:bottom w:val="none" w:sz="0" w:space="0" w:color="auto"/>
        <w:right w:val="none" w:sz="0" w:space="0" w:color="auto"/>
      </w:divBdr>
    </w:div>
    <w:div w:id="15246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E66D-F281-4891-907C-FDC17D42A356}">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67</Pages>
  <Words>20073</Words>
  <Characters>110404</Characters>
  <Application>Microsoft Office Word</Application>
  <DocSecurity>0</DocSecurity>
  <Lines>920</Lines>
  <Paragraphs>260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Karpel</dc:creator>
  <cp:lastModifiedBy>Traduction</cp:lastModifiedBy>
  <cp:revision>2</cp:revision>
  <dcterms:created xsi:type="dcterms:W3CDTF">2025-06-27T13:35:00Z</dcterms:created>
  <dcterms:modified xsi:type="dcterms:W3CDTF">2025-06-27T13:35:00Z</dcterms:modified>
</cp:coreProperties>
</file>