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ayout w:type="fixed"/>
        <w:tblLook w:val="04A0" w:firstRow="1" w:lastRow="0" w:firstColumn="1" w:lastColumn="0" w:noHBand="0" w:noVBand="1"/>
      </w:tblPr>
      <w:tblGrid>
        <w:gridCol w:w="630"/>
        <w:gridCol w:w="1071"/>
        <w:gridCol w:w="5373"/>
        <w:gridCol w:w="2196"/>
      </w:tblGrid>
      <w:tr w:rsidR="00050CAD" w14:paraId="73F1421A" w14:textId="77777777" w:rsidTr="00A34B32">
        <w:tc>
          <w:tcPr>
            <w:tcW w:w="7074" w:type="dxa"/>
            <w:gridSpan w:val="3"/>
            <w:tcBorders>
              <w:top w:val="nil"/>
              <w:left w:val="nil"/>
              <w:bottom w:val="nil"/>
              <w:right w:val="nil"/>
            </w:tcBorders>
          </w:tcPr>
          <w:p w14:paraId="3330CB99" w14:textId="04763CFE" w:rsidR="00050CAD" w:rsidRPr="003032DB" w:rsidRDefault="00050CAD" w:rsidP="00F95FC5">
            <w:pPr>
              <w:pStyle w:val="zSoquijdatRepertorie"/>
              <w:rPr>
                <w:lang w:val="en-CA"/>
              </w:rPr>
            </w:pPr>
            <w:r w:rsidRPr="00050CAD">
              <w:t>Droit de la famille — 241779</w:t>
            </w:r>
          </w:p>
        </w:tc>
        <w:tc>
          <w:tcPr>
            <w:tcW w:w="2196" w:type="dxa"/>
            <w:tcBorders>
              <w:top w:val="nil"/>
              <w:left w:val="nil"/>
              <w:bottom w:val="nil"/>
              <w:right w:val="nil"/>
            </w:tcBorders>
          </w:tcPr>
          <w:p w14:paraId="71FF8DD6" w14:textId="1A553D3D" w:rsidR="00050CAD" w:rsidRPr="003032DB" w:rsidRDefault="00050CAD" w:rsidP="00F95FC5">
            <w:pPr>
              <w:pStyle w:val="zSoquijdatRefNeutre"/>
              <w:rPr>
                <w:lang w:val="en-CA"/>
              </w:rPr>
            </w:pPr>
            <w:r w:rsidRPr="00050CAD">
              <w:t>2024 QCCA 1583</w:t>
            </w:r>
          </w:p>
        </w:tc>
      </w:tr>
      <w:tr w:rsidR="00050CAD" w14:paraId="52B91FBA" w14:textId="77777777" w:rsidTr="00A34B32">
        <w:tc>
          <w:tcPr>
            <w:tcW w:w="9270" w:type="dxa"/>
            <w:gridSpan w:val="4"/>
            <w:tcBorders>
              <w:top w:val="nil"/>
              <w:left w:val="nil"/>
              <w:bottom w:val="nil"/>
              <w:right w:val="nil"/>
            </w:tcBorders>
          </w:tcPr>
          <w:p w14:paraId="36C16295" w14:textId="77777777" w:rsidR="0030533F" w:rsidRPr="0030533F" w:rsidRDefault="0030533F" w:rsidP="0030533F">
            <w:pPr>
              <w:pStyle w:val="zSoquijdatRepertorie"/>
              <w:rPr>
                <w:b w:val="0"/>
                <w:bCs/>
                <w:sz w:val="24"/>
                <w:lang w:val="en-CA"/>
              </w:rPr>
            </w:pPr>
            <w:r w:rsidRPr="0030533F">
              <w:rPr>
                <w:b w:val="0"/>
                <w:bCs/>
                <w:sz w:val="24"/>
                <w:lang w:val="en-CA"/>
              </w:rPr>
              <w:t>English translation of the judgment of the Court</w:t>
            </w:r>
          </w:p>
          <w:p w14:paraId="0981C6ED" w14:textId="77777777" w:rsidR="00050CAD" w:rsidRPr="003032DB" w:rsidRDefault="00050CAD" w:rsidP="00C02B72">
            <w:pPr>
              <w:pStyle w:val="zSoquijlblCour"/>
              <w:rPr>
                <w:lang w:val="en-CA"/>
              </w:rPr>
            </w:pPr>
            <w:r w:rsidRPr="003032DB">
              <w:rPr>
                <w:bCs/>
                <w:lang w:val="en-CA"/>
              </w:rPr>
              <w:t>COURT OF APPEAL</w:t>
            </w:r>
          </w:p>
        </w:tc>
      </w:tr>
      <w:tr w:rsidR="00050CAD" w14:paraId="482950D2" w14:textId="77777777" w:rsidTr="00A34B32">
        <w:tc>
          <w:tcPr>
            <w:tcW w:w="9270" w:type="dxa"/>
            <w:gridSpan w:val="4"/>
            <w:tcBorders>
              <w:top w:val="nil"/>
              <w:left w:val="nil"/>
              <w:bottom w:val="nil"/>
              <w:right w:val="nil"/>
            </w:tcBorders>
          </w:tcPr>
          <w:p w14:paraId="2303142A" w14:textId="77777777" w:rsidR="00050CAD" w:rsidRPr="003032DB" w:rsidRDefault="00050CAD" w:rsidP="00447A05">
            <w:pPr>
              <w:pStyle w:val="zSoquijlblPays"/>
              <w:rPr>
                <w:lang w:val="en-CA"/>
              </w:rPr>
            </w:pPr>
            <w:r w:rsidRPr="003032DB">
              <w:rPr>
                <w:lang w:val="en-CA"/>
              </w:rPr>
              <w:t>CANADA</w:t>
            </w:r>
          </w:p>
        </w:tc>
      </w:tr>
      <w:tr w:rsidR="00050CAD" w14:paraId="667881ED" w14:textId="77777777" w:rsidTr="00A34B32">
        <w:tc>
          <w:tcPr>
            <w:tcW w:w="9270" w:type="dxa"/>
            <w:gridSpan w:val="4"/>
            <w:tcBorders>
              <w:top w:val="nil"/>
              <w:left w:val="nil"/>
              <w:bottom w:val="nil"/>
              <w:right w:val="nil"/>
            </w:tcBorders>
          </w:tcPr>
          <w:p w14:paraId="740E5FA7" w14:textId="77777777" w:rsidR="00050CAD" w:rsidRPr="003032DB" w:rsidRDefault="00050CAD" w:rsidP="00447A05">
            <w:pPr>
              <w:pStyle w:val="zSoquijlblProvince"/>
              <w:rPr>
                <w:lang w:val="en-CA"/>
              </w:rPr>
            </w:pPr>
            <w:r w:rsidRPr="003032DB">
              <w:rPr>
                <w:lang w:val="en-CA"/>
              </w:rPr>
              <w:t>PROVINCE OF QUEBEC</w:t>
            </w:r>
          </w:p>
        </w:tc>
      </w:tr>
      <w:tr w:rsidR="00050CAD" w14:paraId="29B8595B" w14:textId="77777777" w:rsidTr="00062CCF">
        <w:tc>
          <w:tcPr>
            <w:tcW w:w="1701" w:type="dxa"/>
            <w:gridSpan w:val="2"/>
            <w:tcBorders>
              <w:top w:val="nil"/>
              <w:left w:val="nil"/>
              <w:bottom w:val="nil"/>
              <w:right w:val="nil"/>
            </w:tcBorders>
          </w:tcPr>
          <w:p w14:paraId="381D4F78" w14:textId="77777777" w:rsidR="00050CAD" w:rsidRPr="003032DB" w:rsidRDefault="00050CAD" w:rsidP="00062CCF">
            <w:pPr>
              <w:pStyle w:val="zSoquijlblGreffe"/>
              <w:ind w:right="-111"/>
              <w:rPr>
                <w:lang w:val="en-CA"/>
              </w:rPr>
            </w:pPr>
            <w:r w:rsidRPr="003032DB">
              <w:rPr>
                <w:lang w:val="en-CA"/>
              </w:rPr>
              <w:t xml:space="preserve">REGISTRY OF </w:t>
            </w:r>
          </w:p>
        </w:tc>
        <w:tc>
          <w:tcPr>
            <w:tcW w:w="7569" w:type="dxa"/>
            <w:gridSpan w:val="2"/>
            <w:tcBorders>
              <w:top w:val="nil"/>
              <w:left w:val="nil"/>
              <w:bottom w:val="nil"/>
              <w:right w:val="nil"/>
            </w:tcBorders>
          </w:tcPr>
          <w:p w14:paraId="577E776C" w14:textId="77777777" w:rsidR="00050CAD" w:rsidRPr="003032DB" w:rsidRDefault="00050CAD" w:rsidP="00803B9C">
            <w:pPr>
              <w:pStyle w:val="zSoquijdatGreffe"/>
              <w:rPr>
                <w:lang w:val="en-CA"/>
              </w:rPr>
            </w:pPr>
            <w:r w:rsidRPr="003032DB">
              <w:rPr>
                <w:lang w:val="en-CA"/>
              </w:rPr>
              <w:t>MONTREAL</w:t>
            </w:r>
          </w:p>
        </w:tc>
      </w:tr>
      <w:tr w:rsidR="00050CAD" w14:paraId="210E7FBE" w14:textId="77777777" w:rsidTr="00A34B32">
        <w:tc>
          <w:tcPr>
            <w:tcW w:w="9270" w:type="dxa"/>
            <w:gridSpan w:val="4"/>
            <w:tcBorders>
              <w:top w:val="nil"/>
              <w:left w:val="nil"/>
              <w:bottom w:val="nil"/>
              <w:right w:val="nil"/>
            </w:tcBorders>
          </w:tcPr>
          <w:p w14:paraId="2048B9D9" w14:textId="77777777" w:rsidR="00050CAD" w:rsidRPr="003032DB" w:rsidRDefault="00050CAD" w:rsidP="002C7179">
            <w:pPr>
              <w:ind w:left="-108"/>
              <w:rPr>
                <w:lang w:val="en-CA"/>
              </w:rPr>
            </w:pPr>
          </w:p>
        </w:tc>
      </w:tr>
      <w:tr w:rsidR="00050CAD" w14:paraId="384D2806" w14:textId="77777777" w:rsidTr="00392DCA">
        <w:tc>
          <w:tcPr>
            <w:tcW w:w="630" w:type="dxa"/>
            <w:tcBorders>
              <w:top w:val="nil"/>
              <w:left w:val="nil"/>
              <w:bottom w:val="nil"/>
              <w:right w:val="nil"/>
            </w:tcBorders>
          </w:tcPr>
          <w:p w14:paraId="4447618F" w14:textId="77777777" w:rsidR="00050CAD" w:rsidRPr="003032DB" w:rsidRDefault="00050CAD" w:rsidP="00392DCA">
            <w:pPr>
              <w:pStyle w:val="zSoquijlblNoDossier"/>
              <w:ind w:left="-108"/>
              <w:rPr>
                <w:lang w:val="en-CA"/>
              </w:rPr>
            </w:pPr>
            <w:r w:rsidRPr="003032DB">
              <w:rPr>
                <w:lang w:val="en-CA"/>
              </w:rPr>
              <w:t xml:space="preserve">No.:  </w:t>
            </w:r>
          </w:p>
        </w:tc>
        <w:tc>
          <w:tcPr>
            <w:tcW w:w="8640" w:type="dxa"/>
            <w:gridSpan w:val="3"/>
            <w:tcBorders>
              <w:top w:val="nil"/>
              <w:left w:val="nil"/>
              <w:bottom w:val="nil"/>
              <w:right w:val="nil"/>
            </w:tcBorders>
          </w:tcPr>
          <w:p w14:paraId="01767402" w14:textId="77777777" w:rsidR="00050CAD" w:rsidRPr="003032DB" w:rsidRDefault="00050CAD" w:rsidP="00392DCA">
            <w:pPr>
              <w:pStyle w:val="zSoquijdatNoDossier"/>
              <w:rPr>
                <w:lang w:val="en-CA"/>
              </w:rPr>
            </w:pPr>
            <w:r w:rsidRPr="003032DB">
              <w:rPr>
                <w:lang w:val="en-CA"/>
              </w:rPr>
              <w:t>500-09-030876-247</w:t>
            </w:r>
          </w:p>
        </w:tc>
      </w:tr>
      <w:tr w:rsidR="00050CAD" w14:paraId="7CF38196" w14:textId="77777777" w:rsidTr="00A34B32">
        <w:tc>
          <w:tcPr>
            <w:tcW w:w="9270" w:type="dxa"/>
            <w:gridSpan w:val="4"/>
            <w:tcBorders>
              <w:top w:val="nil"/>
              <w:left w:val="nil"/>
              <w:bottom w:val="nil"/>
              <w:right w:val="nil"/>
            </w:tcBorders>
          </w:tcPr>
          <w:p w14:paraId="030549F9" w14:textId="77777777" w:rsidR="00050CAD" w:rsidRPr="003032DB" w:rsidRDefault="00050CAD" w:rsidP="00392DCA">
            <w:pPr>
              <w:pStyle w:val="zSoquijdatNoDossierAnt"/>
              <w:rPr>
                <w:lang w:val="en-CA"/>
              </w:rPr>
            </w:pPr>
            <w:r w:rsidRPr="003032DB">
              <w:rPr>
                <w:lang w:val="en-CA"/>
              </w:rPr>
              <w:t xml:space="preserve">        (505-04-030078-224)</w:t>
            </w:r>
          </w:p>
        </w:tc>
      </w:tr>
      <w:tr w:rsidR="00050CAD" w14:paraId="5B801151" w14:textId="77777777" w:rsidTr="00A34B32">
        <w:tc>
          <w:tcPr>
            <w:tcW w:w="9270" w:type="dxa"/>
            <w:gridSpan w:val="4"/>
            <w:tcBorders>
              <w:top w:val="nil"/>
              <w:left w:val="nil"/>
              <w:bottom w:val="single" w:sz="4" w:space="0" w:color="auto"/>
              <w:right w:val="nil"/>
            </w:tcBorders>
          </w:tcPr>
          <w:p w14:paraId="24BF572D" w14:textId="77777777" w:rsidR="00050CAD" w:rsidRPr="003032DB" w:rsidRDefault="00050CAD">
            <w:pPr>
              <w:rPr>
                <w:lang w:val="en-CA"/>
              </w:rPr>
            </w:pPr>
          </w:p>
        </w:tc>
      </w:tr>
      <w:tr w:rsidR="00050CAD" w14:paraId="3FC436FB" w14:textId="77777777" w:rsidTr="00A34B32">
        <w:tc>
          <w:tcPr>
            <w:tcW w:w="9270" w:type="dxa"/>
            <w:gridSpan w:val="4"/>
            <w:tcBorders>
              <w:top w:val="single" w:sz="4" w:space="0" w:color="auto"/>
              <w:left w:val="nil"/>
              <w:bottom w:val="nil"/>
              <w:right w:val="nil"/>
            </w:tcBorders>
          </w:tcPr>
          <w:p w14:paraId="5B254490" w14:textId="77777777" w:rsidR="00050CAD" w:rsidRPr="003032DB" w:rsidRDefault="00050CAD">
            <w:pPr>
              <w:rPr>
                <w:lang w:val="en-CA"/>
              </w:rPr>
            </w:pPr>
          </w:p>
        </w:tc>
      </w:tr>
      <w:tr w:rsidR="00050CAD" w14:paraId="329A261A" w14:textId="77777777" w:rsidTr="00A34B32">
        <w:tc>
          <w:tcPr>
            <w:tcW w:w="9270" w:type="dxa"/>
            <w:gridSpan w:val="4"/>
            <w:tcBorders>
              <w:top w:val="nil"/>
              <w:left w:val="nil"/>
              <w:bottom w:val="nil"/>
              <w:right w:val="nil"/>
            </w:tcBorders>
          </w:tcPr>
          <w:p w14:paraId="657E1FE3" w14:textId="77777777" w:rsidR="00050CAD" w:rsidRPr="003032DB" w:rsidRDefault="00050CAD" w:rsidP="00A8271F">
            <w:pPr>
              <w:pStyle w:val="zSoquijlblTypeDocument"/>
              <w:rPr>
                <w:lang w:val="en-CA"/>
              </w:rPr>
            </w:pPr>
            <w:r w:rsidRPr="003032DB">
              <w:rPr>
                <w:lang w:val="en-CA"/>
              </w:rPr>
              <w:t>MINUTES OF THE HEARING</w:t>
            </w:r>
          </w:p>
        </w:tc>
      </w:tr>
      <w:tr w:rsidR="00050CAD" w14:paraId="4C3BC21E" w14:textId="77777777" w:rsidTr="00A34B32">
        <w:tc>
          <w:tcPr>
            <w:tcW w:w="9270" w:type="dxa"/>
            <w:gridSpan w:val="4"/>
            <w:tcBorders>
              <w:top w:val="nil"/>
              <w:left w:val="nil"/>
              <w:bottom w:val="single" w:sz="4" w:space="0" w:color="auto"/>
              <w:right w:val="nil"/>
            </w:tcBorders>
          </w:tcPr>
          <w:p w14:paraId="5EB476BB" w14:textId="77777777" w:rsidR="00050CAD" w:rsidRPr="003032DB" w:rsidRDefault="00050CAD">
            <w:pPr>
              <w:rPr>
                <w:lang w:val="en-CA"/>
              </w:rPr>
            </w:pPr>
          </w:p>
        </w:tc>
      </w:tr>
    </w:tbl>
    <w:p w14:paraId="2B92DF1A" w14:textId="77777777" w:rsidR="00050CAD" w:rsidRPr="003032DB" w:rsidRDefault="00050CAD" w:rsidP="00887EEB">
      <w:pPr>
        <w:tabs>
          <w:tab w:val="left" w:pos="630"/>
        </w:tabs>
        <w:spacing w:line="240" w:lineRule="auto"/>
        <w:jc w:val="both"/>
        <w:rPr>
          <w:rFonts w:cs="Arial"/>
          <w:szCs w:val="24"/>
          <w:lang w:val="en-CA"/>
        </w:rPr>
      </w:pPr>
    </w:p>
    <w:p w14:paraId="3C85B8FE" w14:textId="77777777" w:rsidR="00050CAD" w:rsidRPr="003032DB" w:rsidRDefault="00050CAD" w:rsidP="00F20D8E">
      <w:pPr>
        <w:tabs>
          <w:tab w:val="left" w:pos="630"/>
        </w:tabs>
        <w:spacing w:line="240" w:lineRule="auto"/>
        <w:jc w:val="both"/>
        <w:rPr>
          <w:rFonts w:cs="Arial"/>
          <w:szCs w:val="24"/>
          <w:lang w:val="en-CA"/>
        </w:rPr>
      </w:pPr>
      <w:r w:rsidRPr="003032DB">
        <w:rPr>
          <w:rStyle w:val="normaltextrun"/>
          <w:rFonts w:cs="Arial"/>
          <w:b/>
          <w:bCs/>
          <w:color w:val="000000"/>
          <w:u w:val="single"/>
          <w:shd w:val="clear" w:color="auto" w:fill="FFFFFF"/>
          <w:lang w:val="en-CA"/>
        </w:rPr>
        <w:t>WARNING</w:t>
      </w:r>
      <w:r w:rsidRPr="003032DB">
        <w:rPr>
          <w:rStyle w:val="normaltextrun"/>
          <w:rFonts w:cs="Arial"/>
          <w:b/>
          <w:bCs/>
          <w:color w:val="000000"/>
          <w:shd w:val="clear" w:color="auto" w:fill="FFFFFF"/>
          <w:lang w:val="en-CA"/>
        </w:rPr>
        <w:t>: Disclosure and circulation prohibited</w:t>
      </w:r>
      <w:r w:rsidRPr="003032DB">
        <w:rPr>
          <w:rStyle w:val="normaltextrun"/>
          <w:rFonts w:cs="Arial"/>
          <w:bCs/>
          <w:color w:val="000000"/>
          <w:shd w:val="clear" w:color="auto" w:fill="FFFFFF"/>
          <w:lang w:val="en-CA"/>
        </w:rPr>
        <w:t xml:space="preserve">: </w:t>
      </w:r>
      <w:r w:rsidRPr="003032DB">
        <w:rPr>
          <w:rStyle w:val="normaltextrun"/>
          <w:rFonts w:cs="Arial"/>
          <w:b/>
          <w:bCs/>
          <w:color w:val="000000"/>
          <w:shd w:val="clear" w:color="auto" w:fill="FFFFFF"/>
          <w:lang w:val="en-CA"/>
        </w:rPr>
        <w:t xml:space="preserve">The </w:t>
      </w:r>
      <w:r w:rsidRPr="003032DB">
        <w:rPr>
          <w:rStyle w:val="normaltextrun"/>
          <w:rFonts w:cs="Arial"/>
          <w:b/>
          <w:bCs/>
          <w:i/>
          <w:iCs/>
          <w:color w:val="000000"/>
          <w:shd w:val="clear" w:color="auto" w:fill="FFFFFF"/>
          <w:lang w:val="en-CA"/>
        </w:rPr>
        <w:t>Code of Civil Procedure</w:t>
      </w:r>
      <w:r w:rsidRPr="003032DB">
        <w:rPr>
          <w:rStyle w:val="normaltextrun"/>
          <w:rFonts w:cs="Arial"/>
          <w:b/>
          <w:bCs/>
          <w:color w:val="000000"/>
          <w:shd w:val="clear" w:color="auto" w:fill="FFFFFF"/>
          <w:lang w:val="en-CA"/>
        </w:rPr>
        <w:t xml:space="preserve"> (</w:t>
      </w:r>
      <w:r>
        <w:rPr>
          <w:rStyle w:val="normaltextrun"/>
          <w:rFonts w:cs="Arial"/>
          <w:b/>
          <w:bCs/>
          <w:color w:val="000000"/>
          <w:shd w:val="clear" w:color="auto" w:fill="FFFFFF"/>
          <w:lang w:val="en-CA"/>
        </w:rPr>
        <w:t>“</w:t>
      </w:r>
      <w:r w:rsidRPr="003032DB">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w:t>
      </w:r>
      <w:r w:rsidRPr="003032DB">
        <w:rPr>
          <w:rStyle w:val="normaltextrun"/>
          <w:rFonts w:cs="Arial"/>
          <w:b/>
          <w:bCs/>
          <w:color w:val="000000"/>
          <w:shd w:val="clear" w:color="auto" w:fill="FFFFFF"/>
          <w:lang w:val="en-CA"/>
        </w:rPr>
        <w:t>) provides that, except as authorized by the court, no person shall disclose or circulate any information that would allow a party or a child whose interests are at stake in a proceeding in a family matter to be identified (art.</w:t>
      </w:r>
      <w:r>
        <w:rPr>
          <w:rStyle w:val="normaltextrun"/>
          <w:rFonts w:cs="Arial"/>
          <w:b/>
          <w:bCs/>
          <w:color w:val="000000"/>
          <w:shd w:val="clear" w:color="auto" w:fill="FFFFFF"/>
          <w:lang w:val="en-CA"/>
        </w:rPr>
        <w:t> </w:t>
      </w:r>
      <w:r w:rsidRPr="003032DB">
        <w:rPr>
          <w:rStyle w:val="normaltextrun"/>
          <w:rFonts w:cs="Arial"/>
          <w:b/>
          <w:bCs/>
          <w:color w:val="000000"/>
          <w:shd w:val="clear" w:color="auto" w:fill="FFFFFF"/>
          <w:lang w:val="en-CA"/>
        </w:rPr>
        <w:t>16</w:t>
      </w:r>
      <w:r>
        <w:rPr>
          <w:rStyle w:val="normaltextrun"/>
          <w:rFonts w:cs="Arial"/>
          <w:b/>
          <w:bCs/>
          <w:color w:val="000000"/>
          <w:shd w:val="clear" w:color="auto" w:fill="FFFFFF"/>
          <w:lang w:val="en-CA"/>
        </w:rPr>
        <w:t> </w:t>
      </w:r>
      <w:r w:rsidRPr="003032DB">
        <w:rPr>
          <w:rStyle w:val="normaltextrun"/>
          <w:rFonts w:cs="Arial"/>
          <w:b/>
          <w:bCs/>
          <w:i/>
          <w:iCs/>
          <w:color w:val="000000"/>
          <w:shd w:val="clear" w:color="auto" w:fill="FFFFFF"/>
          <w:lang w:val="en-CA"/>
        </w:rPr>
        <w:t>C.C.P.</w:t>
      </w:r>
      <w:r w:rsidRPr="003032DB">
        <w:rPr>
          <w:rStyle w:val="normaltextrun"/>
          <w:rFonts w:cs="Arial"/>
          <w:b/>
          <w:bCs/>
          <w:color w:val="000000"/>
          <w:shd w:val="clear" w:color="auto" w:fill="FFFFFF"/>
          <w:lang w:val="en-CA"/>
        </w:rPr>
        <w:t>).</w:t>
      </w:r>
      <w:r w:rsidRPr="003032DB">
        <w:rPr>
          <w:rStyle w:val="eop"/>
          <w:rFonts w:cs="Arial"/>
          <w:color w:val="000000"/>
          <w:shd w:val="clear" w:color="auto" w:fill="FFFFFF"/>
          <w:lang w:val="en-CA"/>
        </w:rPr>
        <w:t> </w:t>
      </w:r>
      <w:r w:rsidRPr="003032DB">
        <w:rPr>
          <w:rFonts w:cs="Arial"/>
          <w:szCs w:val="24"/>
          <w:lang w:val="en-CA"/>
        </w:rPr>
        <w:fldChar w:fldCharType="begin"/>
      </w:r>
      <w:r w:rsidRPr="003032DB">
        <w:rPr>
          <w:rFonts w:cs="Arial"/>
          <w:szCs w:val="24"/>
          <w:lang w:val="en-CA"/>
        </w:rPr>
        <w:instrText xml:space="preserve"> REF ORDONNANCE_DE \h </w:instrText>
      </w:r>
      <w:r w:rsidRPr="003032DB">
        <w:rPr>
          <w:rFonts w:cs="Arial"/>
          <w:szCs w:val="24"/>
          <w:lang w:val="en-CA"/>
        </w:rPr>
      </w:r>
      <w:r w:rsidR="00000000">
        <w:rPr>
          <w:rFonts w:cs="Arial"/>
          <w:szCs w:val="24"/>
          <w:lang w:val="en-CA"/>
        </w:rPr>
        <w:fldChar w:fldCharType="separate"/>
      </w:r>
      <w:r w:rsidRPr="003032DB">
        <w:rPr>
          <w:rFonts w:cs="Arial"/>
          <w:szCs w:val="24"/>
          <w:lang w:val="en-CA"/>
        </w:rPr>
        <w:fldChar w:fldCharType="end"/>
      </w:r>
    </w:p>
    <w:p w14:paraId="7116CC3A" w14:textId="77777777" w:rsidR="00050CAD" w:rsidRPr="003032DB" w:rsidRDefault="00050CAD" w:rsidP="00F20D8E">
      <w:pPr>
        <w:tabs>
          <w:tab w:val="left" w:pos="630"/>
        </w:tabs>
        <w:spacing w:line="240" w:lineRule="auto"/>
        <w:jc w:val="both"/>
        <w:rPr>
          <w:rFonts w:cs="Arial"/>
          <w:szCs w:val="24"/>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215"/>
      </w:tblGrid>
      <w:tr w:rsidR="00050CAD" w14:paraId="6A6DD969" w14:textId="77777777" w:rsidTr="00BE1C8F">
        <w:tc>
          <w:tcPr>
            <w:tcW w:w="4045" w:type="dxa"/>
          </w:tcPr>
          <w:p w14:paraId="12A5B2C0" w14:textId="77777777" w:rsidR="00050CAD" w:rsidRPr="003032DB" w:rsidRDefault="00050CAD" w:rsidP="00F20D8E">
            <w:pPr>
              <w:pStyle w:val="zSoquijdatDateJugement"/>
              <w:ind w:left="-112"/>
              <w:rPr>
                <w:lang w:val="en-CA"/>
              </w:rPr>
            </w:pPr>
            <w:r w:rsidRPr="003032DB">
              <w:rPr>
                <w:lang w:val="en-CA"/>
              </w:rPr>
              <w:t xml:space="preserve">DATE: </w:t>
            </w:r>
            <w:r w:rsidRPr="00062CCF">
              <w:rPr>
                <w:lang w:val="en-CA"/>
              </w:rPr>
              <w:t>November 22, 2024</w:t>
            </w:r>
          </w:p>
        </w:tc>
        <w:tc>
          <w:tcPr>
            <w:tcW w:w="5215" w:type="dxa"/>
          </w:tcPr>
          <w:p w14:paraId="79C735F4" w14:textId="77777777" w:rsidR="00050CAD" w:rsidRPr="003032DB" w:rsidRDefault="00050CAD" w:rsidP="00F20D8E">
            <w:pPr>
              <w:tabs>
                <w:tab w:val="left" w:pos="630"/>
              </w:tabs>
              <w:spacing w:line="240" w:lineRule="auto"/>
              <w:jc w:val="both"/>
              <w:rPr>
                <w:lang w:val="en-CA"/>
              </w:rPr>
            </w:pPr>
          </w:p>
        </w:tc>
      </w:tr>
      <w:tr w:rsidR="00050CAD" w14:paraId="1866B94D" w14:textId="77777777" w:rsidTr="00BE1C8F">
        <w:tc>
          <w:tcPr>
            <w:tcW w:w="4045" w:type="dxa"/>
          </w:tcPr>
          <w:p w14:paraId="133A7015" w14:textId="77777777" w:rsidR="00050CAD" w:rsidRPr="003032DB" w:rsidRDefault="00050CAD" w:rsidP="00F20D8E">
            <w:pPr>
              <w:tabs>
                <w:tab w:val="left" w:pos="630"/>
              </w:tabs>
              <w:spacing w:line="240" w:lineRule="auto"/>
              <w:ind w:left="-112"/>
              <w:jc w:val="both"/>
              <w:rPr>
                <w:lang w:val="en-CA"/>
              </w:rPr>
            </w:pPr>
          </w:p>
        </w:tc>
        <w:tc>
          <w:tcPr>
            <w:tcW w:w="5215" w:type="dxa"/>
          </w:tcPr>
          <w:p w14:paraId="43EA8E6D" w14:textId="77777777" w:rsidR="00050CAD" w:rsidRPr="003032DB" w:rsidRDefault="00050CAD" w:rsidP="00F20D8E">
            <w:pPr>
              <w:tabs>
                <w:tab w:val="left" w:pos="630"/>
              </w:tabs>
              <w:spacing w:line="240" w:lineRule="auto"/>
              <w:jc w:val="both"/>
              <w:rPr>
                <w:lang w:val="en-CA"/>
              </w:rPr>
            </w:pPr>
          </w:p>
        </w:tc>
      </w:tr>
      <w:tr w:rsidR="00050CAD" w14:paraId="7F73D5F0" w14:textId="77777777" w:rsidTr="00BE1C8F">
        <w:tc>
          <w:tcPr>
            <w:tcW w:w="4045" w:type="dxa"/>
          </w:tcPr>
          <w:p w14:paraId="37DF8050" w14:textId="77777777" w:rsidR="00050CAD" w:rsidRPr="003032DB" w:rsidRDefault="00050CAD" w:rsidP="00F20D8E">
            <w:pPr>
              <w:pStyle w:val="zSoquijdatQteJuge"/>
              <w:ind w:left="-112"/>
              <w:rPr>
                <w:lang w:val="en-CA"/>
              </w:rPr>
            </w:pPr>
            <w:r w:rsidRPr="003032DB">
              <w:rPr>
                <w:lang w:val="en-CA"/>
              </w:rPr>
              <w:t>PANEL: THE HONOURABLE</w:t>
            </w:r>
          </w:p>
        </w:tc>
        <w:tc>
          <w:tcPr>
            <w:tcW w:w="5215" w:type="dxa"/>
          </w:tcPr>
          <w:p w14:paraId="144A3F87" w14:textId="77777777" w:rsidR="00050CAD" w:rsidRPr="003032DB" w:rsidRDefault="00050CAD" w:rsidP="00F20D8E">
            <w:pPr>
              <w:pStyle w:val="zSoquijdatJuge1"/>
              <w:ind w:left="0"/>
              <w:rPr>
                <w:lang w:val="en-CA"/>
              </w:rPr>
            </w:pPr>
            <w:r w:rsidRPr="003032DB">
              <w:rPr>
                <w:lang w:val="en-CA"/>
              </w:rPr>
              <w:t>MARK SCHRAGER, J.A.</w:t>
            </w:r>
          </w:p>
        </w:tc>
      </w:tr>
      <w:tr w:rsidR="00050CAD" w14:paraId="7E589707" w14:textId="77777777" w:rsidTr="00BE1C8F">
        <w:tc>
          <w:tcPr>
            <w:tcW w:w="4045" w:type="dxa"/>
          </w:tcPr>
          <w:p w14:paraId="19E3455C" w14:textId="77777777" w:rsidR="00050CAD" w:rsidRPr="003032DB" w:rsidRDefault="00050CAD" w:rsidP="00F20D8E">
            <w:pPr>
              <w:tabs>
                <w:tab w:val="left" w:pos="630"/>
              </w:tabs>
              <w:spacing w:line="240" w:lineRule="auto"/>
              <w:ind w:left="-112"/>
              <w:jc w:val="both"/>
              <w:rPr>
                <w:lang w:val="en-CA"/>
              </w:rPr>
            </w:pPr>
          </w:p>
        </w:tc>
        <w:tc>
          <w:tcPr>
            <w:tcW w:w="5215" w:type="dxa"/>
          </w:tcPr>
          <w:p w14:paraId="3EE8A6ED" w14:textId="77777777" w:rsidR="00050CAD" w:rsidRPr="003032DB" w:rsidRDefault="00050CAD" w:rsidP="00F20D8E">
            <w:pPr>
              <w:pStyle w:val="zSoquijdatJuge2"/>
              <w:ind w:left="0"/>
              <w:rPr>
                <w:lang w:val="en-CA"/>
              </w:rPr>
            </w:pPr>
            <w:r w:rsidRPr="003032DB">
              <w:rPr>
                <w:lang w:val="en-CA"/>
              </w:rPr>
              <w:t>GUY COURNOYER, J.A.</w:t>
            </w:r>
          </w:p>
        </w:tc>
      </w:tr>
      <w:tr w:rsidR="00050CAD" w14:paraId="72E38E95" w14:textId="77777777" w:rsidTr="00BE1C8F">
        <w:tc>
          <w:tcPr>
            <w:tcW w:w="4045" w:type="dxa"/>
          </w:tcPr>
          <w:p w14:paraId="27A6EBF1" w14:textId="77777777" w:rsidR="00050CAD" w:rsidRPr="003032DB" w:rsidRDefault="00050CAD" w:rsidP="00F20D8E">
            <w:pPr>
              <w:tabs>
                <w:tab w:val="left" w:pos="630"/>
              </w:tabs>
              <w:spacing w:line="240" w:lineRule="auto"/>
              <w:ind w:left="-112"/>
              <w:jc w:val="both"/>
              <w:rPr>
                <w:lang w:val="en-CA"/>
              </w:rPr>
            </w:pPr>
          </w:p>
        </w:tc>
        <w:tc>
          <w:tcPr>
            <w:tcW w:w="5215" w:type="dxa"/>
          </w:tcPr>
          <w:p w14:paraId="49B654E4" w14:textId="77777777" w:rsidR="00050CAD" w:rsidRPr="003032DB" w:rsidRDefault="00050CAD" w:rsidP="00F20D8E">
            <w:pPr>
              <w:pStyle w:val="zSoquijdatJuge3"/>
              <w:ind w:left="0"/>
              <w:rPr>
                <w:lang w:val="en-CA"/>
              </w:rPr>
            </w:pPr>
            <w:r w:rsidRPr="003032DB">
              <w:rPr>
                <w:lang w:val="en-CA"/>
              </w:rPr>
              <w:t>JUDITH HARVIE, J.A.</w:t>
            </w:r>
          </w:p>
        </w:tc>
      </w:tr>
    </w:tbl>
    <w:p w14:paraId="1EE1EF94" w14:textId="77777777" w:rsidR="00050CAD" w:rsidRPr="003032DB" w:rsidRDefault="00050CAD" w:rsidP="00F20D8E">
      <w:pPr>
        <w:spacing w:line="240" w:lineRule="auto"/>
        <w:jc w:val="both"/>
        <w:rPr>
          <w:rFonts w:cs="Arial"/>
          <w:szCs w:val="24"/>
          <w:lang w:val="en-CA"/>
        </w:rPr>
      </w:pPr>
    </w:p>
    <w:tbl>
      <w:tblPr>
        <w:tblStyle w:val="Grilledutableau1"/>
        <w:tblW w:w="0" w:type="auto"/>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849"/>
      </w:tblGrid>
      <w:tr w:rsidR="00050CAD" w14:paraId="64DC8F58" w14:textId="77777777" w:rsidTr="002A785B">
        <w:tc>
          <w:tcPr>
            <w:tcW w:w="4416" w:type="dxa"/>
          </w:tcPr>
          <w:p w14:paraId="5CB0C792" w14:textId="77777777" w:rsidR="00050CAD" w:rsidRPr="003032DB" w:rsidRDefault="00050CAD" w:rsidP="00FA7F32">
            <w:pPr>
              <w:pStyle w:val="zSoquijdatQtePartieDem"/>
              <w:rPr>
                <w:lang w:val="en-CA"/>
              </w:rPr>
            </w:pPr>
            <w:r w:rsidRPr="003032DB">
              <w:rPr>
                <w:lang w:val="en-CA"/>
              </w:rPr>
              <w:t>APPELLANT</w:t>
            </w:r>
          </w:p>
        </w:tc>
        <w:tc>
          <w:tcPr>
            <w:tcW w:w="4849" w:type="dxa"/>
            <w:vAlign w:val="center"/>
          </w:tcPr>
          <w:p w14:paraId="04E51ED5" w14:textId="77777777" w:rsidR="00050CAD" w:rsidRPr="003032DB" w:rsidRDefault="00050CAD" w:rsidP="00C551F8">
            <w:pPr>
              <w:pStyle w:val="zSoquijlblProcureurDem"/>
              <w:rPr>
                <w:lang w:val="en-CA"/>
              </w:rPr>
            </w:pPr>
            <w:r w:rsidRPr="003032DB">
              <w:rPr>
                <w:lang w:val="en-CA"/>
              </w:rPr>
              <w:t>COUNSEL</w:t>
            </w:r>
          </w:p>
        </w:tc>
      </w:tr>
      <w:tr w:rsidR="00050CAD" w14:paraId="3D2A08C2" w14:textId="77777777" w:rsidTr="002A785B">
        <w:tc>
          <w:tcPr>
            <w:tcW w:w="4416" w:type="dxa"/>
          </w:tcPr>
          <w:p w14:paraId="7C74051F" w14:textId="77777777" w:rsidR="00050CAD" w:rsidRPr="003032DB" w:rsidRDefault="00050CAD" w:rsidP="00033ACA">
            <w:pPr>
              <w:tabs>
                <w:tab w:val="center" w:pos="2162"/>
              </w:tabs>
              <w:spacing w:line="240" w:lineRule="auto"/>
              <w:jc w:val="center"/>
              <w:rPr>
                <w:b/>
                <w:lang w:val="en-CA"/>
              </w:rPr>
            </w:pPr>
          </w:p>
          <w:p w14:paraId="09F57485" w14:textId="09DD75BD" w:rsidR="00050CAD" w:rsidRPr="003032DB" w:rsidRDefault="00050CAD" w:rsidP="00F12661">
            <w:pPr>
              <w:pStyle w:val="zSoquijdatNomPartieDem"/>
              <w:tabs>
                <w:tab w:val="center" w:pos="2412"/>
              </w:tabs>
              <w:rPr>
                <w:lang w:val="en-CA"/>
              </w:rPr>
            </w:pPr>
            <w:r>
              <w:rPr>
                <w:caps/>
                <w:lang w:val="en-CA"/>
              </w:rPr>
              <w:t>R.</w:t>
            </w:r>
            <w:r w:rsidRPr="003032DB">
              <w:rPr>
                <w:caps/>
                <w:lang w:val="en-CA"/>
              </w:rPr>
              <w:t xml:space="preserve"> R</w:t>
            </w:r>
            <w:r>
              <w:rPr>
                <w:caps/>
                <w:lang w:val="en-CA"/>
              </w:rPr>
              <w:t>.</w:t>
            </w:r>
          </w:p>
        </w:tc>
        <w:tc>
          <w:tcPr>
            <w:tcW w:w="4849" w:type="dxa"/>
          </w:tcPr>
          <w:p w14:paraId="2883C857" w14:textId="77777777" w:rsidR="00050CAD" w:rsidRPr="003032DB" w:rsidRDefault="00050CAD" w:rsidP="00887EEB">
            <w:pPr>
              <w:spacing w:line="240" w:lineRule="auto"/>
              <w:jc w:val="center"/>
              <w:rPr>
                <w:rFonts w:cs="Arial"/>
                <w:szCs w:val="24"/>
                <w:lang w:val="en-CA"/>
              </w:rPr>
            </w:pPr>
          </w:p>
          <w:p w14:paraId="62A98A05" w14:textId="77777777" w:rsidR="00050CAD" w:rsidRPr="003032DB" w:rsidRDefault="00050CAD" w:rsidP="00297733">
            <w:pPr>
              <w:pStyle w:val="zSoquijdatNomProcureurDem"/>
              <w:spacing w:before="0" w:after="0"/>
              <w:rPr>
                <w:lang w:val="en-CA"/>
              </w:rPr>
            </w:pPr>
            <w:r w:rsidRPr="003032DB">
              <w:rPr>
                <w:lang w:val="en-CA"/>
              </w:rPr>
              <w:t>Mtre ROSALIE LAROUCHE</w:t>
            </w:r>
          </w:p>
          <w:p w14:paraId="1D20C88C" w14:textId="77777777" w:rsidR="00050CAD" w:rsidRPr="003032DB" w:rsidRDefault="00050CAD" w:rsidP="00297733">
            <w:pPr>
              <w:pStyle w:val="zSoquijdatCabinetProcureurDem"/>
              <w:rPr>
                <w:lang w:val="en-CA"/>
              </w:rPr>
            </w:pPr>
            <w:r w:rsidRPr="003032DB">
              <w:rPr>
                <w:lang w:val="en-CA"/>
              </w:rPr>
              <w:t>(</w:t>
            </w:r>
            <w:r w:rsidRPr="003032DB">
              <w:rPr>
                <w:i/>
                <w:iCs/>
                <w:lang w:val="en-CA"/>
              </w:rPr>
              <w:t>Rosalie Larouche Avocate</w:t>
            </w:r>
            <w:r w:rsidRPr="003032DB">
              <w:rPr>
                <w:lang w:val="en-CA"/>
              </w:rPr>
              <w:t>)</w:t>
            </w:r>
          </w:p>
          <w:p w14:paraId="0DBA5776" w14:textId="77777777" w:rsidR="00050CAD" w:rsidRPr="003032DB" w:rsidRDefault="00050CAD" w:rsidP="00887EEB">
            <w:pPr>
              <w:spacing w:line="240" w:lineRule="auto"/>
              <w:jc w:val="center"/>
              <w:rPr>
                <w:rFonts w:cs="Arial"/>
                <w:szCs w:val="24"/>
                <w:lang w:val="en-CA"/>
              </w:rPr>
            </w:pPr>
            <w:r w:rsidRPr="003032DB">
              <w:rPr>
                <w:rFonts w:cs="Arial"/>
                <w:szCs w:val="24"/>
                <w:lang w:val="en-CA"/>
              </w:rPr>
              <w:t>Absent</w:t>
            </w:r>
          </w:p>
          <w:p w14:paraId="40BA10F9" w14:textId="77777777" w:rsidR="00050CAD" w:rsidRPr="003032DB" w:rsidRDefault="00050CAD" w:rsidP="00887EEB">
            <w:pPr>
              <w:spacing w:line="240" w:lineRule="auto"/>
              <w:jc w:val="center"/>
              <w:rPr>
                <w:rFonts w:cs="Arial"/>
                <w:szCs w:val="24"/>
                <w:lang w:val="en-CA"/>
              </w:rPr>
            </w:pPr>
          </w:p>
        </w:tc>
      </w:tr>
      <w:tr w:rsidR="00050CAD" w14:paraId="2CB6F638" w14:textId="77777777" w:rsidTr="002A785B">
        <w:tc>
          <w:tcPr>
            <w:tcW w:w="4416" w:type="dxa"/>
          </w:tcPr>
          <w:p w14:paraId="109ECE53" w14:textId="77777777" w:rsidR="00050CAD" w:rsidRPr="003032DB" w:rsidRDefault="00050CAD" w:rsidP="00FA7F32">
            <w:pPr>
              <w:pStyle w:val="zSoquijdatQtePartieDef"/>
              <w:rPr>
                <w:lang w:val="en-CA"/>
              </w:rPr>
            </w:pPr>
            <w:r w:rsidRPr="003032DB">
              <w:rPr>
                <w:lang w:val="en-CA"/>
              </w:rPr>
              <w:t>RESPONDENT</w:t>
            </w:r>
          </w:p>
        </w:tc>
        <w:tc>
          <w:tcPr>
            <w:tcW w:w="4849" w:type="dxa"/>
            <w:vAlign w:val="center"/>
          </w:tcPr>
          <w:p w14:paraId="375E0372" w14:textId="77777777" w:rsidR="00050CAD" w:rsidRPr="003032DB" w:rsidRDefault="00050CAD" w:rsidP="00C551F8">
            <w:pPr>
              <w:pStyle w:val="zSoquijlblProcureurDef"/>
              <w:rPr>
                <w:lang w:val="en-CA"/>
              </w:rPr>
            </w:pPr>
            <w:r w:rsidRPr="003032DB">
              <w:rPr>
                <w:lang w:val="en-CA"/>
              </w:rPr>
              <w:t>COUNSEL</w:t>
            </w:r>
          </w:p>
        </w:tc>
      </w:tr>
      <w:tr w:rsidR="00050CAD" w14:paraId="1B3FB8DA" w14:textId="77777777" w:rsidTr="002A785B">
        <w:tc>
          <w:tcPr>
            <w:tcW w:w="4416" w:type="dxa"/>
          </w:tcPr>
          <w:p w14:paraId="021098F7" w14:textId="77777777" w:rsidR="00050CAD" w:rsidRPr="003032DB" w:rsidRDefault="00050CAD" w:rsidP="00887EEB">
            <w:pPr>
              <w:spacing w:line="240" w:lineRule="auto"/>
              <w:jc w:val="center"/>
              <w:rPr>
                <w:b/>
                <w:lang w:val="en-CA"/>
              </w:rPr>
            </w:pPr>
          </w:p>
          <w:p w14:paraId="51C8EE4E" w14:textId="1E192944" w:rsidR="00050CAD" w:rsidRPr="003032DB" w:rsidRDefault="00050CAD" w:rsidP="007377D2">
            <w:pPr>
              <w:pStyle w:val="zSoquijdatNomPartieDef"/>
              <w:tabs>
                <w:tab w:val="center" w:pos="2412"/>
              </w:tabs>
              <w:rPr>
                <w:lang w:val="en-CA"/>
              </w:rPr>
            </w:pPr>
            <w:r>
              <w:rPr>
                <w:caps/>
                <w:lang w:val="en-CA"/>
              </w:rPr>
              <w:t>J.</w:t>
            </w:r>
            <w:r w:rsidRPr="003032DB">
              <w:rPr>
                <w:caps/>
                <w:lang w:val="en-CA"/>
              </w:rPr>
              <w:t xml:space="preserve"> M</w:t>
            </w:r>
            <w:r>
              <w:rPr>
                <w:caps/>
                <w:lang w:val="en-CA"/>
              </w:rPr>
              <w:t>.</w:t>
            </w:r>
          </w:p>
        </w:tc>
        <w:tc>
          <w:tcPr>
            <w:tcW w:w="4849" w:type="dxa"/>
          </w:tcPr>
          <w:p w14:paraId="246B177B" w14:textId="77777777" w:rsidR="00050CAD" w:rsidRPr="003032DB" w:rsidRDefault="00050CAD" w:rsidP="00887EEB">
            <w:pPr>
              <w:spacing w:line="240" w:lineRule="auto"/>
              <w:jc w:val="center"/>
              <w:rPr>
                <w:rFonts w:cs="Arial"/>
                <w:szCs w:val="24"/>
                <w:lang w:val="en-CA"/>
              </w:rPr>
            </w:pPr>
          </w:p>
          <w:p w14:paraId="3B709ECE" w14:textId="77777777" w:rsidR="00050CAD" w:rsidRPr="003032DB" w:rsidRDefault="00050CAD" w:rsidP="00297733">
            <w:pPr>
              <w:pStyle w:val="zSoquijdatNomProcureurDef"/>
              <w:spacing w:before="0" w:after="0"/>
              <w:rPr>
                <w:lang w:val="en-CA"/>
              </w:rPr>
            </w:pPr>
            <w:r w:rsidRPr="003032DB">
              <w:rPr>
                <w:lang w:val="en-CA"/>
              </w:rPr>
              <w:t>Mtre ERICA GOSSELIN</w:t>
            </w:r>
          </w:p>
          <w:p w14:paraId="6A89057F" w14:textId="77777777" w:rsidR="00050CAD" w:rsidRPr="003032DB" w:rsidRDefault="00050CAD" w:rsidP="00297733">
            <w:pPr>
              <w:pStyle w:val="zSoquijdatCabinetProcureurDef"/>
              <w:spacing w:before="0" w:after="0"/>
              <w:rPr>
                <w:lang w:val="en-CA"/>
              </w:rPr>
            </w:pPr>
            <w:r w:rsidRPr="003032DB">
              <w:rPr>
                <w:lang w:val="en-CA"/>
              </w:rPr>
              <w:t>(</w:t>
            </w:r>
            <w:r w:rsidRPr="003032DB">
              <w:rPr>
                <w:i/>
                <w:iCs/>
                <w:lang w:val="en-CA"/>
              </w:rPr>
              <w:t>Lavin Gosselin Avocats</w:t>
            </w:r>
            <w:r w:rsidRPr="003032DB">
              <w:rPr>
                <w:lang w:val="en-CA"/>
              </w:rPr>
              <w:t>)</w:t>
            </w:r>
          </w:p>
          <w:p w14:paraId="25A4CFFA" w14:textId="77777777" w:rsidR="00050CAD" w:rsidRPr="003032DB" w:rsidRDefault="00050CAD" w:rsidP="00887EEB">
            <w:pPr>
              <w:spacing w:line="240" w:lineRule="auto"/>
              <w:jc w:val="center"/>
              <w:rPr>
                <w:rFonts w:cs="Arial"/>
                <w:szCs w:val="24"/>
                <w:lang w:val="en-CA"/>
              </w:rPr>
            </w:pPr>
            <w:r w:rsidRPr="003032DB">
              <w:rPr>
                <w:rFonts w:cs="Arial"/>
                <w:szCs w:val="24"/>
                <w:lang w:val="en-CA"/>
              </w:rPr>
              <w:t>Absent</w:t>
            </w:r>
          </w:p>
          <w:p w14:paraId="3ECB6072" w14:textId="77777777" w:rsidR="00050CAD" w:rsidRPr="003032DB" w:rsidRDefault="00050CAD" w:rsidP="00887EEB">
            <w:pPr>
              <w:spacing w:line="240" w:lineRule="auto"/>
              <w:jc w:val="center"/>
              <w:rPr>
                <w:rFonts w:cs="Arial"/>
                <w:szCs w:val="24"/>
                <w:lang w:val="en-CA"/>
              </w:rPr>
            </w:pPr>
          </w:p>
        </w:tc>
      </w:tr>
    </w:tbl>
    <w:p w14:paraId="76A348F3" w14:textId="77777777" w:rsidR="00050CAD" w:rsidRPr="003032DB" w:rsidRDefault="00050CAD" w:rsidP="00887EEB">
      <w:pPr>
        <w:spacing w:line="240" w:lineRule="auto"/>
        <w:jc w:val="both"/>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9270"/>
      </w:tblGrid>
      <w:tr w:rsidR="00050CAD" w14:paraId="3CC86365" w14:textId="77777777" w:rsidTr="002159AA">
        <w:tc>
          <w:tcPr>
            <w:tcW w:w="9450" w:type="dxa"/>
          </w:tcPr>
          <w:p w14:paraId="71329699" w14:textId="77777777" w:rsidR="00050CAD" w:rsidRPr="003032DB" w:rsidRDefault="00050CAD" w:rsidP="009E2B19">
            <w:pPr>
              <w:spacing w:line="240" w:lineRule="auto"/>
              <w:ind w:left="-108"/>
              <w:jc w:val="both"/>
              <w:rPr>
                <w:lang w:val="en-CA"/>
              </w:rPr>
            </w:pPr>
            <w:r w:rsidRPr="003032DB">
              <w:rPr>
                <w:lang w:val="en-CA"/>
              </w:rPr>
              <w:t>On appeal from a judgment rendered on December 20, 2023 by the Honourable Aline U.K. Quach of the Superior Court, District of Longueuil.</w:t>
            </w:r>
          </w:p>
        </w:tc>
      </w:tr>
    </w:tbl>
    <w:p w14:paraId="6E99DE40" w14:textId="77777777" w:rsidR="00050CAD" w:rsidRPr="003032DB" w:rsidRDefault="00050CAD" w:rsidP="00887EEB">
      <w:pPr>
        <w:spacing w:line="240" w:lineRule="auto"/>
        <w:jc w:val="both"/>
        <w:rPr>
          <w:rFonts w:cs="Arial"/>
          <w:szCs w:val="24"/>
          <w:lang w:val="en-CA"/>
        </w:rPr>
      </w:pPr>
    </w:p>
    <w:tbl>
      <w:tblPr>
        <w:tblStyle w:val="Grilledutableau1"/>
        <w:tblW w:w="9360" w:type="dxa"/>
        <w:tblBorders>
          <w:top w:val="none" w:sz="0" w:space="0" w:color="auto"/>
          <w:bottom w:val="none" w:sz="0" w:space="0" w:color="auto"/>
        </w:tblBorders>
        <w:tblLook w:val="04A0" w:firstRow="1" w:lastRow="0" w:firstColumn="1" w:lastColumn="0" w:noHBand="0" w:noVBand="1"/>
      </w:tblPr>
      <w:tblGrid>
        <w:gridCol w:w="3119"/>
        <w:gridCol w:w="6241"/>
      </w:tblGrid>
      <w:tr w:rsidR="00050CAD" w14:paraId="1450B0E4" w14:textId="77777777" w:rsidTr="00062CCF">
        <w:tc>
          <w:tcPr>
            <w:tcW w:w="3119" w:type="dxa"/>
            <w:shd w:val="clear" w:color="auto" w:fill="auto"/>
          </w:tcPr>
          <w:p w14:paraId="1FF01ECF" w14:textId="77777777" w:rsidR="00050CAD" w:rsidRPr="003032DB" w:rsidRDefault="00050CAD" w:rsidP="004630AB">
            <w:pPr>
              <w:spacing w:line="240" w:lineRule="auto"/>
              <w:ind w:left="-108"/>
              <w:jc w:val="both"/>
              <w:rPr>
                <w:rFonts w:cs="Arial"/>
                <w:kern w:val="28"/>
                <w:szCs w:val="24"/>
                <w:lang w:val="en-CA"/>
              </w:rPr>
            </w:pPr>
            <w:r w:rsidRPr="003032DB">
              <w:rPr>
                <w:rFonts w:cs="Arial"/>
                <w:kern w:val="28"/>
                <w:szCs w:val="24"/>
                <w:lang w:val="en-CA"/>
              </w:rPr>
              <w:t>NATURE OF THE APPEAL:</w:t>
            </w:r>
          </w:p>
        </w:tc>
        <w:tc>
          <w:tcPr>
            <w:tcW w:w="6241" w:type="dxa"/>
            <w:vAlign w:val="center"/>
          </w:tcPr>
          <w:p w14:paraId="59DAB1DB" w14:textId="77777777" w:rsidR="00050CAD" w:rsidRPr="003032DB" w:rsidRDefault="00050CAD" w:rsidP="00887EEB">
            <w:pPr>
              <w:spacing w:line="240" w:lineRule="auto"/>
              <w:jc w:val="both"/>
              <w:rPr>
                <w:rFonts w:cs="Arial"/>
                <w:b/>
                <w:kern w:val="28"/>
                <w:szCs w:val="24"/>
                <w:lang w:val="en-CA"/>
              </w:rPr>
            </w:pPr>
            <w:r w:rsidRPr="003032DB">
              <w:rPr>
                <w:rFonts w:cs="Arial"/>
                <w:b/>
                <w:bCs/>
                <w:kern w:val="28"/>
                <w:szCs w:val="24"/>
                <w:lang w:val="en-CA"/>
              </w:rPr>
              <w:t xml:space="preserve">Family – Cancellation of support. </w:t>
            </w:r>
          </w:p>
          <w:p w14:paraId="35E6036A" w14:textId="77777777" w:rsidR="00050CAD" w:rsidRPr="003032DB" w:rsidRDefault="00050CAD" w:rsidP="00887EEB">
            <w:pPr>
              <w:spacing w:line="240" w:lineRule="auto"/>
              <w:jc w:val="both"/>
              <w:rPr>
                <w:rFonts w:cs="Arial"/>
                <w:b/>
                <w:kern w:val="28"/>
                <w:szCs w:val="24"/>
                <w:lang w:val="en-CA"/>
              </w:rPr>
            </w:pPr>
          </w:p>
          <w:p w14:paraId="541DBFB7" w14:textId="77777777" w:rsidR="00050CAD" w:rsidRPr="003032DB" w:rsidRDefault="00050CAD" w:rsidP="00887EEB">
            <w:pPr>
              <w:spacing w:line="240" w:lineRule="auto"/>
              <w:jc w:val="both"/>
              <w:rPr>
                <w:rFonts w:cs="Arial"/>
                <w:kern w:val="28"/>
                <w:szCs w:val="24"/>
                <w:lang w:val="en-CA"/>
              </w:rPr>
            </w:pPr>
            <w:r w:rsidRPr="003032DB">
              <w:rPr>
                <w:rFonts w:cs="Arial"/>
                <w:b/>
                <w:bCs/>
                <w:kern w:val="28"/>
                <w:szCs w:val="24"/>
                <w:lang w:val="en-CA"/>
              </w:rPr>
              <w:t>Application for leave to present indispensable new evidence (art.</w:t>
            </w:r>
            <w:r>
              <w:rPr>
                <w:rFonts w:cs="Arial"/>
                <w:b/>
                <w:bCs/>
                <w:kern w:val="28"/>
                <w:szCs w:val="24"/>
                <w:lang w:val="en-CA"/>
              </w:rPr>
              <w:t> </w:t>
            </w:r>
            <w:r w:rsidRPr="003032DB">
              <w:rPr>
                <w:rFonts w:cs="Arial"/>
                <w:b/>
                <w:bCs/>
                <w:kern w:val="28"/>
                <w:szCs w:val="24"/>
                <w:lang w:val="en-CA"/>
              </w:rPr>
              <w:t>380</w:t>
            </w:r>
            <w:r>
              <w:rPr>
                <w:rFonts w:cs="Arial"/>
                <w:b/>
                <w:bCs/>
                <w:kern w:val="28"/>
                <w:szCs w:val="24"/>
                <w:lang w:val="en-CA"/>
              </w:rPr>
              <w:t> </w:t>
            </w:r>
            <w:r w:rsidRPr="003032DB">
              <w:rPr>
                <w:rFonts w:cs="Arial"/>
                <w:b/>
                <w:bCs/>
                <w:i/>
                <w:iCs/>
                <w:kern w:val="28"/>
                <w:szCs w:val="24"/>
                <w:lang w:val="en-CA"/>
              </w:rPr>
              <w:t>C.C.P.</w:t>
            </w:r>
            <w:r w:rsidRPr="003032DB">
              <w:rPr>
                <w:rFonts w:cs="Arial"/>
                <w:b/>
                <w:bCs/>
                <w:kern w:val="28"/>
                <w:szCs w:val="24"/>
                <w:lang w:val="en-CA"/>
              </w:rPr>
              <w:t>).</w:t>
            </w:r>
          </w:p>
        </w:tc>
      </w:tr>
    </w:tbl>
    <w:p w14:paraId="769ED365" w14:textId="77777777" w:rsidR="00050CAD" w:rsidRPr="003032DB" w:rsidRDefault="00050CAD" w:rsidP="00887EEB">
      <w:pPr>
        <w:spacing w:line="240" w:lineRule="auto"/>
        <w:jc w:val="both"/>
        <w:rPr>
          <w:rFonts w:cs="Arial"/>
          <w:szCs w:val="24"/>
          <w:lang w:val="en-CA"/>
        </w:rPr>
      </w:pPr>
    </w:p>
    <w:tbl>
      <w:tblPr>
        <w:tblW w:w="936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930"/>
        <w:gridCol w:w="4430"/>
      </w:tblGrid>
      <w:tr w:rsidR="00050CAD" w14:paraId="4B0940A7" w14:textId="77777777" w:rsidTr="00FB3369">
        <w:trPr>
          <w:cantSplit/>
          <w:trHeight w:val="397"/>
        </w:trPr>
        <w:tc>
          <w:tcPr>
            <w:tcW w:w="4930" w:type="dxa"/>
            <w:tcBorders>
              <w:top w:val="single" w:sz="4" w:space="0" w:color="auto"/>
              <w:bottom w:val="single" w:sz="4" w:space="0" w:color="auto"/>
              <w:right w:val="single" w:sz="4" w:space="0" w:color="auto"/>
            </w:tcBorders>
            <w:vAlign w:val="center"/>
          </w:tcPr>
          <w:p w14:paraId="4620CF37" w14:textId="77777777" w:rsidR="00050CAD" w:rsidRPr="003032DB" w:rsidRDefault="00050CAD" w:rsidP="00887EEB">
            <w:pPr>
              <w:spacing w:before="120" w:after="120" w:line="240" w:lineRule="auto"/>
              <w:rPr>
                <w:rFonts w:cs="Arial"/>
                <w:szCs w:val="24"/>
                <w:lang w:val="en-CA"/>
              </w:rPr>
            </w:pPr>
            <w:r w:rsidRPr="003032DB">
              <w:rPr>
                <w:rFonts w:cs="Arial"/>
                <w:szCs w:val="24"/>
                <w:lang w:val="en-CA"/>
              </w:rPr>
              <w:lastRenderedPageBreak/>
              <w:t>Clerk at the hearing: Élizabeth Lanthier</w:t>
            </w:r>
          </w:p>
        </w:tc>
        <w:tc>
          <w:tcPr>
            <w:tcW w:w="4430" w:type="dxa"/>
            <w:tcBorders>
              <w:left w:val="single" w:sz="4" w:space="0" w:color="auto"/>
            </w:tcBorders>
            <w:vAlign w:val="center"/>
          </w:tcPr>
          <w:p w14:paraId="73BA3ED4" w14:textId="77777777" w:rsidR="00050CAD" w:rsidRPr="003032DB" w:rsidRDefault="00050CAD" w:rsidP="00887EEB">
            <w:pPr>
              <w:spacing w:line="240" w:lineRule="auto"/>
              <w:jc w:val="both"/>
              <w:rPr>
                <w:rFonts w:eastAsiaTheme="minorHAnsi" w:cs="Arial"/>
                <w:szCs w:val="24"/>
                <w:lang w:val="en-CA" w:eastAsia="en-US"/>
              </w:rPr>
            </w:pPr>
            <w:r w:rsidRPr="003032DB">
              <w:rPr>
                <w:rFonts w:cs="Arial"/>
                <w:szCs w:val="24"/>
                <w:lang w:val="en-CA"/>
              </w:rPr>
              <w:t xml:space="preserve">Courtroom: Pierre-Basile </w:t>
            </w:r>
            <w:proofErr w:type="spellStart"/>
            <w:r w:rsidRPr="003032DB">
              <w:rPr>
                <w:rFonts w:cs="Arial"/>
                <w:szCs w:val="24"/>
                <w:lang w:val="en-CA"/>
              </w:rPr>
              <w:t>Mignault</w:t>
            </w:r>
            <w:proofErr w:type="spellEnd"/>
            <w:r w:rsidRPr="003032DB">
              <w:rPr>
                <w:rFonts w:cs="Arial"/>
                <w:szCs w:val="24"/>
                <w:lang w:val="en-CA"/>
              </w:rPr>
              <w:fldChar w:fldCharType="begin"/>
            </w:r>
            <w:r w:rsidRPr="003032DB">
              <w:rPr>
                <w:rFonts w:cs="Arial"/>
                <w:szCs w:val="24"/>
                <w:lang w:val="en-CA"/>
              </w:rPr>
              <w:instrText xml:space="preserve">  </w:instrText>
            </w:r>
            <w:r w:rsidRPr="003032DB">
              <w:rPr>
                <w:rFonts w:cs="Arial"/>
                <w:szCs w:val="24"/>
                <w:lang w:val="en-CA"/>
              </w:rPr>
              <w:fldChar w:fldCharType="end"/>
            </w:r>
          </w:p>
        </w:tc>
      </w:tr>
    </w:tbl>
    <w:p w14:paraId="3D022767" w14:textId="77777777" w:rsidR="00050CAD" w:rsidRPr="003032DB" w:rsidRDefault="00050CAD" w:rsidP="00887EEB">
      <w:pPr>
        <w:spacing w:line="240" w:lineRule="auto"/>
        <w:jc w:val="both"/>
        <w:rPr>
          <w:rFonts w:cs="Arial"/>
          <w:szCs w:val="24"/>
          <w:lang w:val="en-CA"/>
        </w:rPr>
      </w:pPr>
    </w:p>
    <w:p w14:paraId="16AE6101" w14:textId="77777777" w:rsidR="00050CAD" w:rsidRPr="003032DB" w:rsidRDefault="00050CAD">
      <w:pPr>
        <w:spacing w:line="240" w:lineRule="auto"/>
        <w:rPr>
          <w:rFonts w:cs="Arial"/>
          <w:szCs w:val="24"/>
          <w:lang w:val="en-CA"/>
        </w:rPr>
      </w:pPr>
    </w:p>
    <w:tbl>
      <w:tblPr>
        <w:tblStyle w:val="Grilledutableau1"/>
        <w:tblW w:w="9360" w:type="dxa"/>
        <w:tblBorders>
          <w:insideH w:val="single" w:sz="4" w:space="0" w:color="auto"/>
          <w:insideV w:val="single" w:sz="4" w:space="0" w:color="auto"/>
        </w:tblBorders>
        <w:tblLook w:val="04A0" w:firstRow="1" w:lastRow="0" w:firstColumn="1" w:lastColumn="0" w:noHBand="0" w:noVBand="1"/>
      </w:tblPr>
      <w:tblGrid>
        <w:gridCol w:w="9360"/>
      </w:tblGrid>
      <w:tr w:rsidR="00050CAD" w14:paraId="433040CB" w14:textId="77777777" w:rsidTr="00FB3369">
        <w:tc>
          <w:tcPr>
            <w:tcW w:w="9360" w:type="dxa"/>
            <w:vAlign w:val="center"/>
          </w:tcPr>
          <w:p w14:paraId="3ACC1AE3" w14:textId="77777777" w:rsidR="00050CAD" w:rsidRPr="003032DB" w:rsidRDefault="00050CAD" w:rsidP="00887EEB">
            <w:pPr>
              <w:spacing w:before="240" w:after="240" w:line="240" w:lineRule="auto"/>
              <w:jc w:val="center"/>
              <w:rPr>
                <w:lang w:val="en-CA"/>
              </w:rPr>
            </w:pPr>
            <w:r w:rsidRPr="003032DB">
              <w:rPr>
                <w:lang w:val="en-CA"/>
              </w:rPr>
              <w:t>HEARING</w:t>
            </w:r>
          </w:p>
        </w:tc>
      </w:tr>
    </w:tbl>
    <w:p w14:paraId="2D328CC8" w14:textId="77777777" w:rsidR="00050CAD" w:rsidRPr="003032DB" w:rsidRDefault="00050CAD" w:rsidP="00887EEB">
      <w:pPr>
        <w:spacing w:line="240" w:lineRule="auto"/>
        <w:jc w:val="both"/>
        <w:rPr>
          <w:rFonts w:cs="Arial"/>
          <w:szCs w:val="24"/>
          <w:lang w:val="en-CA"/>
        </w:rPr>
      </w:pPr>
    </w:p>
    <w:tbl>
      <w:tblPr>
        <w:tblW w:w="936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8100"/>
      </w:tblGrid>
      <w:tr w:rsidR="00050CAD" w14:paraId="64637B95" w14:textId="77777777" w:rsidTr="00FB3369">
        <w:trPr>
          <w:trHeight w:val="260"/>
        </w:trPr>
        <w:tc>
          <w:tcPr>
            <w:tcW w:w="1260" w:type="dxa"/>
            <w:tcBorders>
              <w:top w:val="nil"/>
              <w:bottom w:val="single" w:sz="4" w:space="0" w:color="auto"/>
              <w:right w:val="nil"/>
            </w:tcBorders>
          </w:tcPr>
          <w:p w14:paraId="074F90C1" w14:textId="77777777" w:rsidR="00050CAD" w:rsidRPr="003032DB" w:rsidRDefault="00050CAD" w:rsidP="00887EEB">
            <w:pPr>
              <w:spacing w:before="120" w:after="120" w:line="240" w:lineRule="auto"/>
              <w:jc w:val="both"/>
              <w:rPr>
                <w:rFonts w:cs="Arial"/>
                <w:szCs w:val="24"/>
                <w:lang w:val="en-CA"/>
              </w:rPr>
            </w:pPr>
            <w:r w:rsidRPr="003032DB">
              <w:rPr>
                <w:rFonts w:cs="Arial"/>
                <w:szCs w:val="24"/>
                <w:lang w:val="en-CA"/>
              </w:rPr>
              <w:t>09:30</w:t>
            </w:r>
          </w:p>
        </w:tc>
        <w:tc>
          <w:tcPr>
            <w:tcW w:w="8100" w:type="dxa"/>
            <w:tcBorders>
              <w:top w:val="nil"/>
              <w:left w:val="nil"/>
              <w:bottom w:val="single" w:sz="4" w:space="0" w:color="auto"/>
            </w:tcBorders>
          </w:tcPr>
          <w:p w14:paraId="1270E327" w14:textId="77777777" w:rsidR="00050CAD" w:rsidRPr="003032DB" w:rsidRDefault="00050CAD" w:rsidP="002A785B">
            <w:pPr>
              <w:spacing w:before="120" w:after="120" w:line="240" w:lineRule="auto"/>
              <w:jc w:val="both"/>
              <w:rPr>
                <w:rFonts w:cs="Arial"/>
                <w:szCs w:val="24"/>
                <w:lang w:val="en-CA"/>
              </w:rPr>
            </w:pPr>
            <w:r w:rsidRPr="003032DB">
              <w:rPr>
                <w:rFonts w:cs="Arial"/>
                <w:szCs w:val="24"/>
                <w:lang w:val="en-CA"/>
              </w:rPr>
              <w:t xml:space="preserve">Commencement of the hearing. </w:t>
            </w:r>
          </w:p>
          <w:p w14:paraId="0FC71B00" w14:textId="77777777" w:rsidR="00050CAD" w:rsidRPr="003032DB" w:rsidRDefault="00050CAD" w:rsidP="002A785B">
            <w:pPr>
              <w:spacing w:before="120" w:after="120" w:line="240" w:lineRule="auto"/>
              <w:jc w:val="both"/>
              <w:rPr>
                <w:rFonts w:cs="Arial"/>
                <w:szCs w:val="24"/>
                <w:lang w:val="en-CA"/>
              </w:rPr>
            </w:pPr>
            <w:r w:rsidRPr="003032DB">
              <w:rPr>
                <w:rFonts w:cs="Arial"/>
                <w:szCs w:val="24"/>
                <w:lang w:val="en-CA"/>
              </w:rPr>
              <w:t>Continuation of the hearing held on November</w:t>
            </w:r>
            <w:r>
              <w:rPr>
                <w:rFonts w:cs="Arial"/>
                <w:szCs w:val="24"/>
                <w:lang w:val="en-CA"/>
              </w:rPr>
              <w:t> </w:t>
            </w:r>
            <w:r w:rsidRPr="003032DB">
              <w:rPr>
                <w:rFonts w:cs="Arial"/>
                <w:szCs w:val="24"/>
                <w:lang w:val="en-CA"/>
              </w:rPr>
              <w:t>21,</w:t>
            </w:r>
            <w:r>
              <w:rPr>
                <w:rFonts w:cs="Arial"/>
                <w:szCs w:val="24"/>
                <w:lang w:val="en-CA"/>
              </w:rPr>
              <w:t> </w:t>
            </w:r>
            <w:r w:rsidRPr="003032DB">
              <w:rPr>
                <w:rFonts w:cs="Arial"/>
                <w:szCs w:val="24"/>
                <w:lang w:val="en-CA"/>
              </w:rPr>
              <w:t>2024. Counsel were excused from appearing in Court.</w:t>
            </w:r>
          </w:p>
        </w:tc>
      </w:tr>
      <w:tr w:rsidR="00050CAD" w14:paraId="3983845A" w14:textId="77777777" w:rsidTr="00FB3369">
        <w:trPr>
          <w:trHeight w:val="260"/>
        </w:trPr>
        <w:tc>
          <w:tcPr>
            <w:tcW w:w="1260" w:type="dxa"/>
            <w:tcBorders>
              <w:top w:val="nil"/>
              <w:bottom w:val="single" w:sz="4" w:space="0" w:color="auto"/>
              <w:right w:val="nil"/>
            </w:tcBorders>
          </w:tcPr>
          <w:p w14:paraId="5788DFE4" w14:textId="77777777" w:rsidR="00050CAD" w:rsidRPr="003032DB" w:rsidRDefault="00050CAD" w:rsidP="00887EEB">
            <w:pPr>
              <w:spacing w:before="120" w:after="120" w:line="240" w:lineRule="auto"/>
              <w:jc w:val="both"/>
              <w:rPr>
                <w:rFonts w:cs="Arial"/>
                <w:szCs w:val="24"/>
                <w:lang w:val="en-CA"/>
              </w:rPr>
            </w:pPr>
            <w:r w:rsidRPr="003032DB">
              <w:rPr>
                <w:rFonts w:cs="Arial"/>
                <w:szCs w:val="24"/>
                <w:lang w:val="en-CA"/>
              </w:rPr>
              <w:t>09:31</w:t>
            </w:r>
          </w:p>
        </w:tc>
        <w:tc>
          <w:tcPr>
            <w:tcW w:w="8100" w:type="dxa"/>
            <w:tcBorders>
              <w:top w:val="nil"/>
              <w:left w:val="nil"/>
              <w:bottom w:val="single" w:sz="4" w:space="0" w:color="auto"/>
            </w:tcBorders>
          </w:tcPr>
          <w:p w14:paraId="390202B9" w14:textId="77777777" w:rsidR="00050CAD" w:rsidRPr="003032DB" w:rsidRDefault="00050CAD" w:rsidP="00165037">
            <w:pPr>
              <w:spacing w:before="120" w:after="120" w:line="240" w:lineRule="auto"/>
              <w:jc w:val="both"/>
              <w:rPr>
                <w:rFonts w:cs="Arial"/>
                <w:b/>
                <w:bCs/>
                <w:szCs w:val="24"/>
                <w:lang w:val="en-CA"/>
              </w:rPr>
            </w:pPr>
            <w:r w:rsidRPr="003032DB">
              <w:rPr>
                <w:rFonts w:cs="Arial"/>
                <w:b/>
                <w:bCs/>
                <w:szCs w:val="24"/>
                <w:lang w:val="en-CA"/>
              </w:rPr>
              <w:t>BY THE COURT:</w:t>
            </w:r>
            <w:r w:rsidRPr="003032DB">
              <w:rPr>
                <w:rFonts w:cs="Arial"/>
                <w:bCs/>
                <w:szCs w:val="24"/>
                <w:lang w:val="en-CA"/>
              </w:rPr>
              <w:t xml:space="preserve"> Judgment – see page 3.</w:t>
            </w:r>
          </w:p>
          <w:p w14:paraId="1D2F4555" w14:textId="77777777" w:rsidR="00050CAD" w:rsidRPr="003032DB" w:rsidRDefault="00050CAD" w:rsidP="00165037">
            <w:pPr>
              <w:spacing w:before="120" w:after="120" w:line="240" w:lineRule="auto"/>
              <w:jc w:val="both"/>
              <w:rPr>
                <w:rFonts w:cs="Arial"/>
                <w:szCs w:val="24"/>
                <w:lang w:val="en-CA"/>
              </w:rPr>
            </w:pPr>
            <w:r w:rsidRPr="003032DB">
              <w:rPr>
                <w:rFonts w:cs="Arial"/>
                <w:szCs w:val="24"/>
                <w:lang w:val="en-CA"/>
              </w:rPr>
              <w:t>End of the hearing.</w:t>
            </w:r>
          </w:p>
        </w:tc>
      </w:tr>
      <w:tr w:rsidR="00050CAD" w14:paraId="18BB627E" w14:textId="77777777" w:rsidTr="00FB3369">
        <w:trPr>
          <w:trHeight w:val="251"/>
        </w:trPr>
        <w:tc>
          <w:tcPr>
            <w:tcW w:w="1260" w:type="dxa"/>
            <w:tcBorders>
              <w:top w:val="single" w:sz="4" w:space="0" w:color="auto"/>
              <w:bottom w:val="nil"/>
              <w:right w:val="nil"/>
            </w:tcBorders>
          </w:tcPr>
          <w:p w14:paraId="05794C90" w14:textId="77777777" w:rsidR="00050CAD" w:rsidRPr="003032DB" w:rsidRDefault="00050CAD" w:rsidP="002A785B">
            <w:pPr>
              <w:spacing w:before="120" w:after="120" w:line="240" w:lineRule="auto"/>
              <w:jc w:val="both"/>
              <w:rPr>
                <w:rFonts w:cs="Arial"/>
                <w:szCs w:val="24"/>
                <w:lang w:val="en-CA"/>
              </w:rPr>
            </w:pPr>
          </w:p>
        </w:tc>
        <w:tc>
          <w:tcPr>
            <w:tcW w:w="8100" w:type="dxa"/>
            <w:tcBorders>
              <w:top w:val="single" w:sz="4" w:space="0" w:color="auto"/>
              <w:left w:val="nil"/>
            </w:tcBorders>
          </w:tcPr>
          <w:p w14:paraId="197AD7F4" w14:textId="77777777" w:rsidR="00050CAD" w:rsidRPr="003032DB" w:rsidRDefault="00050CAD" w:rsidP="002A785B">
            <w:pPr>
              <w:spacing w:before="120" w:after="120" w:line="240" w:lineRule="auto"/>
              <w:jc w:val="both"/>
              <w:rPr>
                <w:rFonts w:cs="Arial"/>
                <w:szCs w:val="24"/>
                <w:lang w:val="en-CA"/>
              </w:rPr>
            </w:pPr>
          </w:p>
        </w:tc>
      </w:tr>
    </w:tbl>
    <w:p w14:paraId="67BE2DC0" w14:textId="77777777" w:rsidR="00050CAD" w:rsidRPr="003032DB" w:rsidRDefault="00050CAD" w:rsidP="00887EEB">
      <w:pPr>
        <w:spacing w:line="240" w:lineRule="auto"/>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4770"/>
      </w:tblGrid>
      <w:tr w:rsidR="00050CAD" w14:paraId="1649A050" w14:textId="77777777" w:rsidTr="002159AA">
        <w:tc>
          <w:tcPr>
            <w:tcW w:w="4770" w:type="dxa"/>
            <w:tcBorders>
              <w:bottom w:val="single" w:sz="4" w:space="0" w:color="auto"/>
            </w:tcBorders>
          </w:tcPr>
          <w:p w14:paraId="05EDFE83" w14:textId="77777777" w:rsidR="00050CAD" w:rsidRPr="003032DB" w:rsidRDefault="00050CAD" w:rsidP="00887EEB">
            <w:pPr>
              <w:spacing w:line="240" w:lineRule="auto"/>
              <w:jc w:val="both"/>
              <w:rPr>
                <w:rFonts w:cs="Arial"/>
                <w:szCs w:val="24"/>
                <w:lang w:val="en-CA"/>
              </w:rPr>
            </w:pPr>
          </w:p>
        </w:tc>
      </w:tr>
      <w:tr w:rsidR="00050CAD" w14:paraId="5B0ACE91" w14:textId="77777777" w:rsidTr="002159AA">
        <w:tc>
          <w:tcPr>
            <w:tcW w:w="4770" w:type="dxa"/>
            <w:tcBorders>
              <w:top w:val="single" w:sz="4" w:space="0" w:color="auto"/>
            </w:tcBorders>
          </w:tcPr>
          <w:p w14:paraId="2197E3CC" w14:textId="77777777" w:rsidR="00050CAD" w:rsidRPr="003032DB" w:rsidRDefault="00050CAD" w:rsidP="00887EEB">
            <w:pPr>
              <w:spacing w:line="240" w:lineRule="auto"/>
              <w:jc w:val="both"/>
              <w:rPr>
                <w:rFonts w:cs="Arial"/>
                <w:szCs w:val="24"/>
                <w:lang w:val="en-CA"/>
              </w:rPr>
            </w:pPr>
            <w:r w:rsidRPr="00062CCF">
              <w:rPr>
                <w:rFonts w:cs="Arial"/>
                <w:szCs w:val="24"/>
                <w:lang w:val="en-CA"/>
              </w:rPr>
              <w:t>Élizabeth Lanthier</w:t>
            </w:r>
            <w:r w:rsidRPr="003032DB">
              <w:rPr>
                <w:rFonts w:cs="Arial"/>
                <w:szCs w:val="24"/>
                <w:lang w:val="en-CA"/>
              </w:rPr>
              <w:t xml:space="preserve">, </w:t>
            </w:r>
            <w:r>
              <w:rPr>
                <w:rFonts w:cs="Arial"/>
                <w:szCs w:val="24"/>
                <w:lang w:val="en-CA"/>
              </w:rPr>
              <w:t>Clerk at the hearing</w:t>
            </w:r>
          </w:p>
        </w:tc>
      </w:tr>
    </w:tbl>
    <w:p w14:paraId="48A37920" w14:textId="77777777" w:rsidR="00050CAD" w:rsidRPr="003032DB" w:rsidRDefault="00050CAD" w:rsidP="002C7179">
      <w:pPr>
        <w:spacing w:after="160" w:line="259" w:lineRule="auto"/>
        <w:rPr>
          <w:rFonts w:cs="Arial"/>
          <w:szCs w:val="24"/>
          <w:lang w:val="en-CA"/>
        </w:rPr>
      </w:pPr>
    </w:p>
    <w:p w14:paraId="426AA268" w14:textId="77777777" w:rsidR="00050CAD" w:rsidRPr="003032DB" w:rsidRDefault="00050CAD">
      <w:pPr>
        <w:spacing w:line="240" w:lineRule="auto"/>
        <w:rPr>
          <w:rFonts w:cs="Arial"/>
          <w:szCs w:val="24"/>
          <w:lang w:val="en-CA"/>
        </w:rPr>
      </w:pPr>
      <w:r w:rsidRPr="003032DB">
        <w:rPr>
          <w:rFonts w:cs="Arial"/>
          <w:szCs w:val="24"/>
          <w:lang w:val="en-CA"/>
        </w:rPr>
        <w:br w:type="page"/>
      </w:r>
    </w:p>
    <w:tbl>
      <w:tblPr>
        <w:tblStyle w:val="Grilledutableau1"/>
        <w:tblW w:w="9360" w:type="dxa"/>
        <w:tblBorders>
          <w:top w:val="single" w:sz="8" w:space="0" w:color="auto"/>
          <w:bottom w:val="single" w:sz="8" w:space="0" w:color="auto"/>
        </w:tblBorders>
        <w:tblLook w:val="04A0" w:firstRow="1" w:lastRow="0" w:firstColumn="1" w:lastColumn="0" w:noHBand="0" w:noVBand="1"/>
      </w:tblPr>
      <w:tblGrid>
        <w:gridCol w:w="9360"/>
      </w:tblGrid>
      <w:tr w:rsidR="00050CAD" w14:paraId="6A8287B7" w14:textId="77777777" w:rsidTr="00FB3369">
        <w:tc>
          <w:tcPr>
            <w:tcW w:w="9360" w:type="dxa"/>
            <w:vAlign w:val="center"/>
          </w:tcPr>
          <w:p w14:paraId="0FE54B32" w14:textId="77777777" w:rsidR="00050CAD" w:rsidRPr="003032DB" w:rsidRDefault="00050CAD" w:rsidP="00887EEB">
            <w:pPr>
              <w:spacing w:before="240" w:after="240" w:line="240" w:lineRule="exact"/>
              <w:jc w:val="center"/>
              <w:rPr>
                <w:lang w:val="en-CA"/>
              </w:rPr>
            </w:pPr>
            <w:r w:rsidRPr="003032DB">
              <w:rPr>
                <w:lang w:val="en-CA"/>
              </w:rPr>
              <w:lastRenderedPageBreak/>
              <w:t>JUDGMENT</w:t>
            </w:r>
          </w:p>
        </w:tc>
      </w:tr>
    </w:tbl>
    <w:p w14:paraId="2C9D6D6B" w14:textId="77777777" w:rsidR="00050CAD" w:rsidRPr="003032DB" w:rsidRDefault="00050CAD" w:rsidP="00887EEB">
      <w:pPr>
        <w:spacing w:line="240" w:lineRule="auto"/>
        <w:jc w:val="both"/>
        <w:rPr>
          <w:lang w:val="en-CA"/>
        </w:rPr>
      </w:pPr>
    </w:p>
    <w:p w14:paraId="2E7B77F7" w14:textId="77777777" w:rsidR="00050CAD" w:rsidRPr="003032DB" w:rsidRDefault="00050CAD" w:rsidP="00E06061">
      <w:pPr>
        <w:spacing w:line="240" w:lineRule="auto"/>
        <w:jc w:val="both"/>
        <w:rPr>
          <w:lang w:val="en-CA"/>
        </w:rPr>
      </w:pPr>
      <w:r w:rsidRPr="003032DB">
        <w:rPr>
          <w:rStyle w:val="normaltextrun"/>
          <w:rFonts w:cs="Arial"/>
          <w:b/>
          <w:bCs/>
          <w:color w:val="000000"/>
          <w:u w:val="single"/>
          <w:shd w:val="clear" w:color="auto" w:fill="FFFFFF"/>
          <w:lang w:val="en-CA"/>
        </w:rPr>
        <w:t>WARNING</w:t>
      </w:r>
      <w:r w:rsidRPr="003032DB">
        <w:rPr>
          <w:rStyle w:val="normaltextrun"/>
          <w:rFonts w:cs="Arial"/>
          <w:b/>
          <w:bCs/>
          <w:color w:val="000000"/>
          <w:shd w:val="clear" w:color="auto" w:fill="FFFFFF"/>
          <w:lang w:val="en-CA"/>
        </w:rPr>
        <w:t>: Disclosure and circulation prohibited</w:t>
      </w:r>
      <w:r w:rsidRPr="003032DB">
        <w:rPr>
          <w:rStyle w:val="normaltextrun"/>
          <w:rFonts w:cs="Arial"/>
          <w:bCs/>
          <w:color w:val="000000"/>
          <w:shd w:val="clear" w:color="auto" w:fill="FFFFFF"/>
          <w:lang w:val="en-CA"/>
        </w:rPr>
        <w:t xml:space="preserve">: </w:t>
      </w:r>
      <w:r w:rsidRPr="003032DB">
        <w:rPr>
          <w:rStyle w:val="normaltextrun"/>
          <w:rFonts w:cs="Arial"/>
          <w:b/>
          <w:bCs/>
          <w:color w:val="000000"/>
          <w:shd w:val="clear" w:color="auto" w:fill="FFFFFF"/>
          <w:lang w:val="en-CA"/>
        </w:rPr>
        <w:t xml:space="preserve">The </w:t>
      </w:r>
      <w:r w:rsidRPr="003032DB">
        <w:rPr>
          <w:rStyle w:val="normaltextrun"/>
          <w:rFonts w:cs="Arial"/>
          <w:b/>
          <w:bCs/>
          <w:i/>
          <w:iCs/>
          <w:color w:val="000000"/>
          <w:shd w:val="clear" w:color="auto" w:fill="FFFFFF"/>
          <w:lang w:val="en-CA"/>
        </w:rPr>
        <w:t>Code of Civil Procedure</w:t>
      </w:r>
      <w:r w:rsidRPr="003032DB">
        <w:rPr>
          <w:rStyle w:val="normaltextrun"/>
          <w:rFonts w:cs="Arial"/>
          <w:b/>
          <w:bCs/>
          <w:color w:val="000000"/>
          <w:shd w:val="clear" w:color="auto" w:fill="FFFFFF"/>
          <w:lang w:val="en-CA"/>
        </w:rPr>
        <w:t xml:space="preserve"> (</w:t>
      </w:r>
      <w:r>
        <w:rPr>
          <w:rStyle w:val="normaltextrun"/>
          <w:rFonts w:cs="Arial"/>
          <w:b/>
          <w:bCs/>
          <w:color w:val="000000"/>
          <w:shd w:val="clear" w:color="auto" w:fill="FFFFFF"/>
          <w:lang w:val="en-CA"/>
        </w:rPr>
        <w:t>“</w:t>
      </w:r>
      <w:r w:rsidRPr="003032DB">
        <w:rPr>
          <w:rStyle w:val="normaltextrun"/>
          <w:rFonts w:cs="Arial"/>
          <w:b/>
          <w:bCs/>
          <w:i/>
          <w:iCs/>
          <w:color w:val="000000"/>
          <w:shd w:val="clear" w:color="auto" w:fill="FFFFFF"/>
          <w:lang w:val="en-CA"/>
        </w:rPr>
        <w:t>C.C.P</w:t>
      </w:r>
      <w:r w:rsidRPr="003032DB">
        <w:rPr>
          <w:rStyle w:val="normaltextrun"/>
          <w:rFonts w:cs="Arial"/>
          <w:b/>
          <w:bCs/>
          <w:color w:val="000000"/>
          <w:shd w:val="clear" w:color="auto" w:fill="FFFFFF"/>
          <w:lang w:val="en-CA"/>
        </w:rPr>
        <w:t>.</w:t>
      </w:r>
      <w:r>
        <w:rPr>
          <w:rStyle w:val="normaltextrun"/>
          <w:rFonts w:cs="Arial"/>
          <w:b/>
          <w:bCs/>
          <w:color w:val="000000"/>
          <w:shd w:val="clear" w:color="auto" w:fill="FFFFFF"/>
          <w:lang w:val="en-CA"/>
        </w:rPr>
        <w:t>”</w:t>
      </w:r>
      <w:r w:rsidRPr="003032DB">
        <w:rPr>
          <w:rStyle w:val="normaltextrun"/>
          <w:rFonts w:cs="Arial"/>
          <w:b/>
          <w:bCs/>
          <w:color w:val="000000"/>
          <w:shd w:val="clear" w:color="auto" w:fill="FFFFFF"/>
          <w:lang w:val="en-CA"/>
        </w:rPr>
        <w:t>) provides that, except as authorized by the court, no person shall disclose or circulate any information that would allow a party or a child whose interests are at stake in a proceeding in a family matter to be identified (art.</w:t>
      </w:r>
      <w:r>
        <w:rPr>
          <w:rStyle w:val="normaltextrun"/>
          <w:rFonts w:cs="Arial"/>
          <w:b/>
          <w:bCs/>
          <w:color w:val="000000"/>
          <w:shd w:val="clear" w:color="auto" w:fill="FFFFFF"/>
          <w:lang w:val="en-CA"/>
        </w:rPr>
        <w:t> </w:t>
      </w:r>
      <w:r w:rsidRPr="003032DB">
        <w:rPr>
          <w:rStyle w:val="normaltextrun"/>
          <w:rFonts w:cs="Arial"/>
          <w:b/>
          <w:bCs/>
          <w:color w:val="000000"/>
          <w:shd w:val="clear" w:color="auto" w:fill="FFFFFF"/>
          <w:lang w:val="en-CA"/>
        </w:rPr>
        <w:t>16</w:t>
      </w:r>
      <w:r>
        <w:rPr>
          <w:rStyle w:val="normaltextrun"/>
          <w:rFonts w:cs="Arial"/>
          <w:b/>
          <w:bCs/>
          <w:color w:val="000000"/>
          <w:shd w:val="clear" w:color="auto" w:fill="FFFFFF"/>
          <w:lang w:val="en-CA"/>
        </w:rPr>
        <w:t> </w:t>
      </w:r>
      <w:r w:rsidRPr="003032DB">
        <w:rPr>
          <w:rStyle w:val="normaltextrun"/>
          <w:rFonts w:cs="Arial"/>
          <w:b/>
          <w:bCs/>
          <w:i/>
          <w:iCs/>
          <w:color w:val="000000"/>
          <w:shd w:val="clear" w:color="auto" w:fill="FFFFFF"/>
          <w:lang w:val="en-CA"/>
        </w:rPr>
        <w:t>C.C.P</w:t>
      </w:r>
      <w:r w:rsidRPr="003032DB">
        <w:rPr>
          <w:rStyle w:val="normaltextrun"/>
          <w:rFonts w:cs="Arial"/>
          <w:b/>
          <w:bCs/>
          <w:color w:val="000000"/>
          <w:shd w:val="clear" w:color="auto" w:fill="FFFFFF"/>
          <w:lang w:val="en-CA"/>
        </w:rPr>
        <w:t>.).</w:t>
      </w:r>
      <w:r w:rsidRPr="003032DB">
        <w:rPr>
          <w:rStyle w:val="eop"/>
          <w:rFonts w:cs="Arial"/>
          <w:color w:val="000000"/>
          <w:shd w:val="clear" w:color="auto" w:fill="FFFFFF"/>
          <w:lang w:val="en-CA"/>
        </w:rPr>
        <w:t> </w:t>
      </w:r>
    </w:p>
    <w:p w14:paraId="51B60D41" w14:textId="77777777" w:rsidR="00050CAD" w:rsidRPr="003032DB" w:rsidRDefault="00050CAD" w:rsidP="00887EEB">
      <w:pPr>
        <w:spacing w:line="240" w:lineRule="auto"/>
        <w:jc w:val="both"/>
        <w:rPr>
          <w:lang w:val="en-CA"/>
        </w:rPr>
      </w:pPr>
    </w:p>
    <w:p w14:paraId="50275E3D" w14:textId="77777777" w:rsidR="00050CAD" w:rsidRPr="00050CAD" w:rsidRDefault="00050CAD" w:rsidP="00050CAD">
      <w:pPr>
        <w:pStyle w:val="Paragraphe"/>
        <w:numPr>
          <w:ilvl w:val="0"/>
          <w:numId w:val="19"/>
        </w:numPr>
        <w:ind w:left="0"/>
        <w:rPr>
          <w:kern w:val="28"/>
          <w:lang w:val="en-CA"/>
        </w:rPr>
      </w:pPr>
      <w:r w:rsidRPr="00050CAD">
        <w:rPr>
          <w:kern w:val="28"/>
          <w:lang w:val="en-CA"/>
        </w:rPr>
        <w:t>The trial judge granted in part the appellant’s application to reduce the support he pays to the respondent, his former wife, because of his reduced income stemming from his recent retirement.</w:t>
      </w:r>
      <w:r>
        <w:rPr>
          <w:vertAlign w:val="superscript"/>
          <w:lang w:val="en-CA"/>
        </w:rPr>
        <w:footnoteReference w:id="2"/>
      </w:r>
      <w:r w:rsidRPr="00050CAD">
        <w:rPr>
          <w:kern w:val="28"/>
          <w:lang w:val="en-CA"/>
        </w:rPr>
        <w:t xml:space="preserve"> The support the appellant was paying her prior to the proceedings, amounting to nearly $4,500 per month, was reduced progressively as of January 1, 2024, ultimately arriving at a monthly amount of $1,000 as of July 1, 2024. </w:t>
      </w:r>
    </w:p>
    <w:p w14:paraId="11572C05"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 xml:space="preserve">The appellant appeals from the judgment under appeal on the ground that the judge erred </w:t>
      </w:r>
      <w:r>
        <w:rPr>
          <w:kern w:val="28"/>
          <w:lang w:val="en-CA"/>
        </w:rPr>
        <w:t>in</w:t>
      </w:r>
      <w:r w:rsidRPr="003032DB">
        <w:rPr>
          <w:kern w:val="28"/>
          <w:lang w:val="en-CA"/>
        </w:rPr>
        <w:t xml:space="preserve"> refusing to cancel the support retroactive to July 1, 2023. Moreover, he asks that the amounts he paid since January 2023 be used to set off the arrears of support he owes to the respondent and that, consequently, those arrears be cancelled. With respect to the arrears, the appellant filed an application to present indispensable new evidence under art.</w:t>
      </w:r>
      <w:r>
        <w:rPr>
          <w:kern w:val="28"/>
          <w:lang w:val="en-CA"/>
        </w:rPr>
        <w:t> </w:t>
      </w:r>
      <w:r w:rsidRPr="003032DB">
        <w:rPr>
          <w:kern w:val="28"/>
          <w:lang w:val="en-CA"/>
        </w:rPr>
        <w:t>380</w:t>
      </w:r>
      <w:r>
        <w:rPr>
          <w:kern w:val="28"/>
          <w:lang w:val="en-CA"/>
        </w:rPr>
        <w:t> </w:t>
      </w:r>
      <w:r w:rsidRPr="003032DB">
        <w:rPr>
          <w:i/>
          <w:iCs/>
          <w:kern w:val="28"/>
          <w:lang w:val="en-CA"/>
        </w:rPr>
        <w:t>C.C.P.</w:t>
      </w:r>
      <w:r w:rsidRPr="003032DB">
        <w:rPr>
          <w:kern w:val="28"/>
          <w:lang w:val="en-CA"/>
        </w:rPr>
        <w:t xml:space="preserve"> – namely, his latest statement of account received from Revenu Québec after the judgment under appeal, in order to show the most recent amount of accumulated arrears – although he had presented evidence at trial regarding the arrears. He is therefore seeking to update his financial situation on appeal through the use of this document, which the Court </w:t>
      </w:r>
      <w:r>
        <w:rPr>
          <w:kern w:val="28"/>
          <w:lang w:val="en-CA"/>
        </w:rPr>
        <w:t xml:space="preserve">does </w:t>
      </w:r>
      <w:r w:rsidRPr="003032DB">
        <w:rPr>
          <w:kern w:val="28"/>
          <w:lang w:val="en-CA"/>
        </w:rPr>
        <w:t>not authorize as new evidence</w:t>
      </w:r>
      <w:r>
        <w:rPr>
          <w:kern w:val="28"/>
          <w:lang w:val="en-CA"/>
        </w:rPr>
        <w:t>.</w:t>
      </w:r>
      <w:r>
        <w:rPr>
          <w:kern w:val="28"/>
          <w:szCs w:val="24"/>
          <w:vertAlign w:val="superscript"/>
          <w:lang w:val="en-CA"/>
        </w:rPr>
        <w:footnoteReference w:id="3"/>
      </w:r>
      <w:r w:rsidRPr="003032DB">
        <w:rPr>
          <w:kern w:val="28"/>
          <w:lang w:val="en-CA"/>
        </w:rPr>
        <w:t xml:space="preserve"> </w:t>
      </w:r>
    </w:p>
    <w:p w14:paraId="584077D5" w14:textId="77777777" w:rsidR="00050CAD" w:rsidRPr="003032DB" w:rsidRDefault="00050CAD" w:rsidP="002B356E">
      <w:pPr>
        <w:spacing w:before="120" w:after="120" w:line="240" w:lineRule="auto"/>
        <w:jc w:val="center"/>
        <w:rPr>
          <w:kern w:val="28"/>
          <w:lang w:val="en-CA"/>
        </w:rPr>
      </w:pPr>
      <w:r w:rsidRPr="003032DB">
        <w:rPr>
          <w:kern w:val="28"/>
          <w:lang w:val="en-CA"/>
        </w:rPr>
        <w:t>*****</w:t>
      </w:r>
    </w:p>
    <w:p w14:paraId="3C42132D"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The appellant argues that the judge erred in refusing to consider the additional evidence and the re</w:t>
      </w:r>
      <w:r>
        <w:rPr>
          <w:kern w:val="28"/>
          <w:lang w:val="en-CA"/>
        </w:rPr>
        <w:t>-</w:t>
      </w:r>
      <w:r w:rsidRPr="003032DB">
        <w:rPr>
          <w:kern w:val="28"/>
          <w:lang w:val="en-CA"/>
        </w:rPr>
        <w:t xml:space="preserve">amended version of his application </w:t>
      </w:r>
      <w:r>
        <w:rPr>
          <w:kern w:val="28"/>
          <w:lang w:val="en-CA"/>
        </w:rPr>
        <w:t xml:space="preserve">which </w:t>
      </w:r>
      <w:r w:rsidRPr="003032DB">
        <w:rPr>
          <w:kern w:val="28"/>
          <w:lang w:val="en-CA"/>
        </w:rPr>
        <w:t xml:space="preserve">he provided after the hearing had ended, at which point the judge had suspended her </w:t>
      </w:r>
      <w:r>
        <w:rPr>
          <w:kern w:val="28"/>
          <w:lang w:val="en-CA"/>
        </w:rPr>
        <w:t xml:space="preserve">advisement </w:t>
      </w:r>
      <w:r w:rsidRPr="003032DB">
        <w:rPr>
          <w:kern w:val="28"/>
          <w:lang w:val="en-CA"/>
        </w:rPr>
        <w:t xml:space="preserve">and had granted the parties time within which to provide specific information in connection with a gap in the evidence that she had raised. This argument has no merit. </w:t>
      </w:r>
    </w:p>
    <w:p w14:paraId="4DE6754C"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 xml:space="preserve">At the hearing, as the submissions were ending and both parties had finished presenting their evidence, the judge allowed the parties to provide her with calculations regarding the amounts of the Old Age Security pension and the Guaranteed Income Supplement for which the respondent would be eligible if support from the appellant were cancelled or decreased. She authorized calculations and additional submissions on a document not to exceed five pages. The authorization granted was noted in the minutes of the hearing and the judge stated that should a problem arise, an additional application </w:t>
      </w:r>
      <w:r w:rsidRPr="003032DB">
        <w:rPr>
          <w:kern w:val="28"/>
          <w:lang w:val="en-CA"/>
        </w:rPr>
        <w:lastRenderedPageBreak/>
        <w:t xml:space="preserve">could be filed. Under these circumstances, the judge was justified in not allowing the filing of new evidence and the amendment of the application absent an authorization to that effect or an application to reopen the proceedings. In any event, this decision has no impact because, as the appellant has acknowledged, the judge was already aware of the various items of evidence the appellant had sought to add, </w:t>
      </w:r>
      <w:r>
        <w:rPr>
          <w:kern w:val="28"/>
          <w:lang w:val="en-CA"/>
        </w:rPr>
        <w:t xml:space="preserve">because </w:t>
      </w:r>
      <w:r w:rsidRPr="003032DB">
        <w:rPr>
          <w:kern w:val="28"/>
          <w:lang w:val="en-CA"/>
        </w:rPr>
        <w:t xml:space="preserve">these items had been addressed at the hearing. Moreover, the appellant has not shown how these items would have had a decisive effect on the outcome of the case. </w:t>
      </w:r>
    </w:p>
    <w:p w14:paraId="1D2EB72F"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The appellant also argues that the judge erred in concluding that the respondent did not have the burden of proving that it was impossible for her to become economically independent. The Court cannot accept this argument. The parties were married in 1972 and had three children for whom the respondent cared as a stay</w:t>
      </w:r>
      <w:r>
        <w:rPr>
          <w:kern w:val="28"/>
          <w:lang w:val="en-CA"/>
        </w:rPr>
        <w:noBreakHyphen/>
      </w:r>
      <w:r w:rsidRPr="003032DB">
        <w:rPr>
          <w:kern w:val="28"/>
          <w:lang w:val="en-CA"/>
        </w:rPr>
        <w:t>at</w:t>
      </w:r>
      <w:r>
        <w:rPr>
          <w:kern w:val="28"/>
          <w:lang w:val="en-CA"/>
        </w:rPr>
        <w:noBreakHyphen/>
      </w:r>
      <w:r w:rsidRPr="003032DB">
        <w:rPr>
          <w:kern w:val="28"/>
          <w:lang w:val="en-CA"/>
        </w:rPr>
        <w:t xml:space="preserve">home parent while the appellant held employment as a professional musician. The respondent suffers from severe rheumatoid arthritis that has prevented her from holding employment since 1981. The parties ceased cohabiting in 1988 and divorced in 1992 </w:t>
      </w:r>
      <w:r>
        <w:rPr>
          <w:kern w:val="28"/>
          <w:lang w:val="en-CA"/>
        </w:rPr>
        <w:t xml:space="preserve">when they entered </w:t>
      </w:r>
      <w:r w:rsidRPr="003032DB">
        <w:rPr>
          <w:kern w:val="28"/>
          <w:lang w:val="en-CA"/>
        </w:rPr>
        <w:t>into an agreement on corollary relief, which agreement was homologated by the court and pursuant to which the appellant agreed to pay the respondent monthly spousal support of nearly $2,500 until the latter</w:t>
      </w:r>
      <w:r>
        <w:rPr>
          <w:kern w:val="28"/>
          <w:lang w:val="en-CA"/>
        </w:rPr>
        <w:t>’</w:t>
      </w:r>
      <w:r w:rsidRPr="003032DB">
        <w:rPr>
          <w:kern w:val="28"/>
          <w:lang w:val="en-CA"/>
        </w:rPr>
        <w:t>s death or remarriage.</w:t>
      </w:r>
    </w:p>
    <w:p w14:paraId="24363FFF"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 xml:space="preserve">In October 2005, the appellant sought to have the corollary relief varied – namely, the cancellation of the support payable to the respondent – because his income had decreased. The parties arrived at an agreement, which was homologated </w:t>
      </w:r>
      <w:r>
        <w:rPr>
          <w:kern w:val="28"/>
          <w:lang w:val="en-CA"/>
        </w:rPr>
        <w:t xml:space="preserve">by the </w:t>
      </w:r>
      <w:r w:rsidRPr="003032DB">
        <w:rPr>
          <w:kern w:val="28"/>
          <w:lang w:val="en-CA"/>
        </w:rPr>
        <w:t>court. The appellant once again agreed to pay the respondent support, until the latter</w:t>
      </w:r>
      <w:r>
        <w:rPr>
          <w:kern w:val="28"/>
          <w:lang w:val="en-CA"/>
        </w:rPr>
        <w:t>’</w:t>
      </w:r>
      <w:r w:rsidRPr="003032DB">
        <w:rPr>
          <w:kern w:val="28"/>
          <w:lang w:val="en-CA"/>
        </w:rPr>
        <w:t xml:space="preserve">s death or remarriage, in the amount of nearly $3,200 per month, indexed annually. In that agreement, the appellant acknowledged that the respondent has been unable to work since 1981 due to her severe health problems. </w:t>
      </w:r>
    </w:p>
    <w:p w14:paraId="5041DCC6"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The evidence supports the judge</w:t>
      </w:r>
      <w:r>
        <w:rPr>
          <w:kern w:val="28"/>
          <w:lang w:val="en-CA"/>
        </w:rPr>
        <w:t>’</w:t>
      </w:r>
      <w:r w:rsidRPr="003032DB">
        <w:rPr>
          <w:kern w:val="28"/>
          <w:lang w:val="en-CA"/>
        </w:rPr>
        <w:t>s findings of fact that the respondent was unable enter the job market or become economically independent. The appellant has not demonstrated a palpable and overriding error in this regard.</w:t>
      </w:r>
    </w:p>
    <w:p w14:paraId="09BF682E"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The judge dismissed the argument that an agreement providing for the payment of support for life is contrary to public order. She did not err in this regard.</w:t>
      </w:r>
      <w:r>
        <w:rPr>
          <w:kern w:val="28"/>
          <w:vertAlign w:val="superscript"/>
          <w:lang w:val="en-CA"/>
        </w:rPr>
        <w:footnoteReference w:id="4"/>
      </w:r>
      <w:r w:rsidRPr="003032DB">
        <w:rPr>
          <w:kern w:val="28"/>
          <w:lang w:val="en-CA"/>
        </w:rPr>
        <w:t xml:space="preserve"> The support should not be cancelled solely by reason of the passage of time or the size of the amount paid, considering that the agreement between the parties was for the payment of support for the respondent</w:t>
      </w:r>
      <w:r>
        <w:rPr>
          <w:kern w:val="28"/>
          <w:lang w:val="en-CA"/>
        </w:rPr>
        <w:t>’</w:t>
      </w:r>
      <w:r w:rsidRPr="003032DB">
        <w:rPr>
          <w:kern w:val="28"/>
          <w:lang w:val="en-CA"/>
        </w:rPr>
        <w:t>s life, unless she remarried, and that the support is non-compensatory in nature due to the respondent</w:t>
      </w:r>
      <w:r>
        <w:rPr>
          <w:kern w:val="28"/>
          <w:lang w:val="en-CA"/>
        </w:rPr>
        <w:t>’</w:t>
      </w:r>
      <w:r w:rsidRPr="003032DB">
        <w:rPr>
          <w:kern w:val="28"/>
          <w:lang w:val="en-CA"/>
        </w:rPr>
        <w:t>s health problems, which began during the marriage and resulted in her inability to work. The agreements, entered into freely by the parties and homologated by the courts, must be taken into consideration as they involve concessions by each party.</w:t>
      </w:r>
    </w:p>
    <w:p w14:paraId="0F0C74CC"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 xml:space="preserve">Lastly, the appellant contends that the judge erred in establishing the support. In his view, the judge should have cancelled the amount of support paid by him, </w:t>
      </w:r>
      <w:r w:rsidRPr="003032DB">
        <w:rPr>
          <w:kern w:val="28"/>
          <w:lang w:val="en-CA"/>
        </w:rPr>
        <w:lastRenderedPageBreak/>
        <w:t>retroactive to his retirement in January 2023. In addition, she should have cancelled the accumulated arrears of support because he effectively had to stop paying support to the respondent as of January 1, 2023, by reason of his reduced income.</w:t>
      </w:r>
    </w:p>
    <w:p w14:paraId="6BE95F8B"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 xml:space="preserve">The Court cannot accept these arguments. Trial judges have broad discretion when making support orders, which entails a high standard of review: </w:t>
      </w:r>
    </w:p>
    <w:p w14:paraId="7303427E" w14:textId="77777777" w:rsidR="00050CAD" w:rsidRDefault="00050CAD" w:rsidP="002B356E">
      <w:pPr>
        <w:tabs>
          <w:tab w:val="left" w:pos="1276"/>
        </w:tabs>
        <w:spacing w:before="120" w:after="120" w:line="240" w:lineRule="auto"/>
        <w:ind w:left="720" w:right="720"/>
        <w:jc w:val="both"/>
        <w:rPr>
          <w:kern w:val="24"/>
          <w:sz w:val="22"/>
          <w:lang w:val="en-CA"/>
        </w:rPr>
      </w:pPr>
      <w:r w:rsidRPr="003032DB">
        <w:rPr>
          <w:kern w:val="24"/>
          <w:sz w:val="22"/>
          <w:lang w:val="en-CA"/>
        </w:rPr>
        <w:t>[</w:t>
      </w:r>
      <w:r w:rsidRPr="00914CD6">
        <w:rPr>
          <w:smallCaps/>
          <w:kern w:val="24"/>
          <w:sz w:val="22"/>
          <w:lang w:val="en-CA"/>
        </w:rPr>
        <w:t>translation</w:t>
      </w:r>
      <w:r w:rsidRPr="003032DB">
        <w:rPr>
          <w:kern w:val="24"/>
          <w:sz w:val="22"/>
          <w:lang w:val="en-CA"/>
        </w:rPr>
        <w:t>]</w:t>
      </w:r>
    </w:p>
    <w:p w14:paraId="5F1AC44C" w14:textId="77777777" w:rsidR="00050CAD" w:rsidRPr="003032DB" w:rsidRDefault="00050CAD" w:rsidP="002B356E">
      <w:pPr>
        <w:tabs>
          <w:tab w:val="left" w:pos="1276"/>
        </w:tabs>
        <w:spacing w:before="120" w:after="120" w:line="240" w:lineRule="auto"/>
        <w:ind w:left="720" w:right="720"/>
        <w:jc w:val="both"/>
        <w:rPr>
          <w:kern w:val="24"/>
          <w:sz w:val="22"/>
          <w:lang w:val="en-CA"/>
        </w:rPr>
      </w:pPr>
      <w:r w:rsidRPr="003032DB">
        <w:rPr>
          <w:kern w:val="24"/>
          <w:sz w:val="22"/>
          <w:lang w:val="en-CA"/>
        </w:rPr>
        <w:t>[13]</w:t>
      </w:r>
      <w:r w:rsidRPr="003032DB">
        <w:rPr>
          <w:kern w:val="24"/>
          <w:sz w:val="22"/>
          <w:lang w:val="en-CA"/>
        </w:rPr>
        <w:tab/>
        <w:t>[…] [T]he Court will overturn a support order only if the latter shows that the trial judge</w:t>
      </w:r>
      <w:r>
        <w:rPr>
          <w:kern w:val="24"/>
          <w:sz w:val="22"/>
          <w:lang w:val="en-CA"/>
        </w:rPr>
        <w:t>’</w:t>
      </w:r>
      <w:r w:rsidRPr="003032DB">
        <w:rPr>
          <w:kern w:val="24"/>
          <w:sz w:val="22"/>
          <w:lang w:val="en-CA"/>
        </w:rPr>
        <w:t>s reasons disclose an error of law or a significant misapprehension of the evidence, or if the award is clearly wrong. This standard of review is especially high if, as in the case at bar, the appellant alleges that the judge erred by refusing to impose a termination date on his support obligation. Indeed, the imposition of such a termination date is an exceptional measure, which can only be justified in the presence of particular, precise, real and concrete circumstances, whose assessment is also a matter for the trier of fact.</w:t>
      </w:r>
      <w:r>
        <w:rPr>
          <w:kern w:val="24"/>
          <w:sz w:val="22"/>
          <w:vertAlign w:val="superscript"/>
          <w:lang w:val="en-CA"/>
        </w:rPr>
        <w:footnoteReference w:id="5"/>
      </w:r>
    </w:p>
    <w:p w14:paraId="20E98070" w14:textId="77777777" w:rsidR="00050CAD" w:rsidRPr="003032DB" w:rsidRDefault="00050CAD" w:rsidP="002B356E">
      <w:pPr>
        <w:spacing w:before="120" w:after="120" w:line="240" w:lineRule="auto"/>
        <w:ind w:left="720" w:right="720"/>
        <w:jc w:val="right"/>
        <w:rPr>
          <w:kern w:val="24"/>
          <w:sz w:val="22"/>
          <w:lang w:val="en-CA"/>
        </w:rPr>
      </w:pPr>
      <w:r w:rsidRPr="003032DB">
        <w:rPr>
          <w:kern w:val="24"/>
          <w:sz w:val="22"/>
          <w:lang w:val="en-CA"/>
        </w:rPr>
        <w:t>[References</w:t>
      </w:r>
      <w:r>
        <w:rPr>
          <w:kern w:val="24"/>
          <w:sz w:val="22"/>
          <w:lang w:val="en-CA"/>
        </w:rPr>
        <w:t xml:space="preserve"> </w:t>
      </w:r>
      <w:r w:rsidRPr="003032DB">
        <w:rPr>
          <w:kern w:val="24"/>
          <w:sz w:val="22"/>
          <w:lang w:val="en-CA"/>
        </w:rPr>
        <w:t>omitted]</w:t>
      </w:r>
    </w:p>
    <w:p w14:paraId="38F10096"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t>In early January 2023, the appellant retired and his annual income decreased from nearly $225,000 to approximately $100,000. In August 2023, the court issued a safeguard order reducing the support from $4,500 per month to $2,500 per month. The trial judge took these elements into account, as well as the appellant</w:t>
      </w:r>
      <w:r>
        <w:rPr>
          <w:kern w:val="28"/>
          <w:lang w:val="en-CA"/>
        </w:rPr>
        <w:t>’</w:t>
      </w:r>
      <w:r w:rsidRPr="003032DB">
        <w:rPr>
          <w:kern w:val="28"/>
          <w:lang w:val="en-CA"/>
        </w:rPr>
        <w:t>s support obligation towards his son,</w:t>
      </w:r>
      <w:r>
        <w:rPr>
          <w:kern w:val="28"/>
          <w:vertAlign w:val="superscript"/>
          <w:lang w:val="en-CA"/>
        </w:rPr>
        <w:footnoteReference w:id="6"/>
      </w:r>
      <w:r w:rsidRPr="003032DB">
        <w:rPr>
          <w:kern w:val="28"/>
          <w:lang w:val="en-CA"/>
        </w:rPr>
        <w:t xml:space="preserve"> and then performed an exhaustive analysis of the parties</w:t>
      </w:r>
      <w:r>
        <w:rPr>
          <w:kern w:val="28"/>
          <w:lang w:val="en-CA"/>
        </w:rPr>
        <w:t>’</w:t>
      </w:r>
      <w:r w:rsidRPr="003032DB">
        <w:rPr>
          <w:kern w:val="28"/>
          <w:lang w:val="en-CA"/>
        </w:rPr>
        <w:t xml:space="preserve"> financial situation. The judge analyzed the respondent</w:t>
      </w:r>
      <w:r>
        <w:rPr>
          <w:kern w:val="28"/>
          <w:lang w:val="en-CA"/>
        </w:rPr>
        <w:t>’</w:t>
      </w:r>
      <w:r w:rsidRPr="003032DB">
        <w:rPr>
          <w:kern w:val="28"/>
          <w:lang w:val="en-CA"/>
        </w:rPr>
        <w:t xml:space="preserve">s projected income, including the income generated by her assets. She </w:t>
      </w:r>
      <w:r>
        <w:rPr>
          <w:kern w:val="28"/>
          <w:lang w:val="en-CA"/>
        </w:rPr>
        <w:t xml:space="preserve">considered the fact </w:t>
      </w:r>
      <w:r w:rsidRPr="003032DB">
        <w:rPr>
          <w:kern w:val="28"/>
          <w:lang w:val="en-CA"/>
        </w:rPr>
        <w:t>that the respondent will have to gradually liquidate her assets and granted her some time to do so, which justifies her decision to grant a progressive decrease of the support payments as of January 2024, instead of 2023 as requested.</w:t>
      </w:r>
      <w:r>
        <w:rPr>
          <w:kern w:val="28"/>
          <w:vertAlign w:val="superscript"/>
          <w:lang w:val="en-CA"/>
        </w:rPr>
        <w:footnoteReference w:id="7"/>
      </w:r>
      <w:r w:rsidRPr="003032DB">
        <w:rPr>
          <w:kern w:val="28"/>
          <w:lang w:val="en-CA"/>
        </w:rPr>
        <w:t xml:space="preserve"> This decision is discretionary, and the appellant has not convinced the Court that the trial judge committed a reviewable error,</w:t>
      </w:r>
      <w:r>
        <w:rPr>
          <w:kern w:val="28"/>
          <w:vertAlign w:val="superscript"/>
          <w:lang w:val="en-CA"/>
        </w:rPr>
        <w:footnoteReference w:id="8"/>
      </w:r>
      <w:r w:rsidRPr="003032DB">
        <w:rPr>
          <w:kern w:val="28"/>
          <w:lang w:val="en-CA"/>
        </w:rPr>
        <w:t xml:space="preserve"> save for one aspect. At paragraph 68 of the judgment under appeal, the judge concluded as follows: </w:t>
      </w:r>
    </w:p>
    <w:p w14:paraId="10B0414D" w14:textId="77777777" w:rsidR="00050CAD" w:rsidRPr="003032DB" w:rsidRDefault="00050CAD" w:rsidP="002B356E">
      <w:pPr>
        <w:tabs>
          <w:tab w:val="left" w:pos="1276"/>
        </w:tabs>
        <w:spacing w:before="120" w:after="120" w:line="240" w:lineRule="auto"/>
        <w:ind w:left="720" w:right="720"/>
        <w:jc w:val="both"/>
        <w:rPr>
          <w:kern w:val="24"/>
          <w:sz w:val="22"/>
          <w:lang w:val="en-CA"/>
        </w:rPr>
      </w:pPr>
      <w:r w:rsidRPr="003032DB">
        <w:rPr>
          <w:kern w:val="24"/>
          <w:sz w:val="22"/>
          <w:lang w:val="en-CA"/>
        </w:rPr>
        <w:t>[68]</w:t>
      </w:r>
      <w:r w:rsidRPr="003032DB">
        <w:rPr>
          <w:kern w:val="24"/>
          <w:sz w:val="22"/>
          <w:lang w:val="en-CA"/>
        </w:rPr>
        <w:tab/>
        <w:t>The Court finds that the wife</w:t>
      </w:r>
      <w:r>
        <w:rPr>
          <w:kern w:val="24"/>
          <w:sz w:val="22"/>
          <w:lang w:val="en-CA"/>
        </w:rPr>
        <w:t>’</w:t>
      </w:r>
      <w:r w:rsidRPr="003032DB">
        <w:rPr>
          <w:kern w:val="24"/>
          <w:sz w:val="22"/>
          <w:lang w:val="en-CA"/>
        </w:rPr>
        <w:t>s present needs total $2,989.06 per month or $35,868.72 per year. Moreover, the Court estimates that, after liquidating her assets, the wife</w:t>
      </w:r>
      <w:r>
        <w:rPr>
          <w:kern w:val="24"/>
          <w:sz w:val="22"/>
          <w:lang w:val="en-CA"/>
        </w:rPr>
        <w:t>’</w:t>
      </w:r>
      <w:r w:rsidRPr="003032DB">
        <w:rPr>
          <w:kern w:val="24"/>
          <w:sz w:val="22"/>
          <w:lang w:val="en-CA"/>
        </w:rPr>
        <w:t>s minimum annual income will be $34,614.88. In view of the foregoing, it is reasonable and appropriate to reduce the spousal support payment to $1,000 per month.</w:t>
      </w:r>
    </w:p>
    <w:p w14:paraId="54C5F366"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kern w:val="28"/>
          <w:lang w:val="en-CA"/>
        </w:rPr>
        <w:lastRenderedPageBreak/>
        <w:t xml:space="preserve">Based on this reasoning, the reduced support should have been $1,000 </w:t>
      </w:r>
      <w:r w:rsidRPr="003032DB">
        <w:rPr>
          <w:kern w:val="28"/>
          <w:u w:val="single"/>
          <w:lang w:val="en-CA"/>
        </w:rPr>
        <w:t>per year</w:t>
      </w:r>
      <w:r w:rsidRPr="003032DB">
        <w:rPr>
          <w:b/>
          <w:bCs/>
          <w:kern w:val="28"/>
          <w:lang w:val="en-CA"/>
        </w:rPr>
        <w:t xml:space="preserve">. </w:t>
      </w:r>
      <w:r w:rsidRPr="003032DB">
        <w:rPr>
          <w:kern w:val="28"/>
          <w:lang w:val="en-CA"/>
        </w:rPr>
        <w:t>On the other hand, the appellant</w:t>
      </w:r>
      <w:r>
        <w:rPr>
          <w:kern w:val="28"/>
          <w:lang w:val="en-CA"/>
        </w:rPr>
        <w:t>’</w:t>
      </w:r>
      <w:r w:rsidRPr="003032DB">
        <w:rPr>
          <w:kern w:val="28"/>
          <w:lang w:val="en-CA"/>
        </w:rPr>
        <w:t xml:space="preserve">s support obligations under the </w:t>
      </w:r>
      <w:r w:rsidRPr="003032DB">
        <w:rPr>
          <w:i/>
          <w:iCs/>
          <w:kern w:val="28"/>
          <w:lang w:val="en-CA"/>
        </w:rPr>
        <w:t>Divorce Act</w:t>
      </w:r>
      <w:r>
        <w:rPr>
          <w:kern w:val="28"/>
          <w:vertAlign w:val="superscript"/>
          <w:lang w:val="en-CA"/>
        </w:rPr>
        <w:footnoteReference w:id="9"/>
      </w:r>
      <w:r w:rsidRPr="003032DB">
        <w:rPr>
          <w:kern w:val="28"/>
          <w:lang w:val="en-CA"/>
        </w:rPr>
        <w:t xml:space="preserve"> and pursuant to the agreement between the parties are not solely compensatory.</w:t>
      </w:r>
      <w:r>
        <w:rPr>
          <w:kern w:val="28"/>
          <w:vertAlign w:val="superscript"/>
          <w:lang w:val="en-CA"/>
        </w:rPr>
        <w:footnoteReference w:id="10"/>
      </w:r>
      <w:r w:rsidRPr="003032DB">
        <w:rPr>
          <w:kern w:val="28"/>
          <w:lang w:val="en-CA"/>
        </w:rPr>
        <w:t xml:space="preserve"> Accordingly, the Court will reduce the support payable to the respondent by the appellant to $500 per month as of July 1, 2024.</w:t>
      </w:r>
    </w:p>
    <w:p w14:paraId="49177462" w14:textId="77777777" w:rsidR="00050CAD" w:rsidRPr="003032DB" w:rsidRDefault="00050CAD" w:rsidP="002B356E">
      <w:pPr>
        <w:spacing w:before="120" w:after="120" w:line="240" w:lineRule="auto"/>
        <w:jc w:val="both"/>
        <w:rPr>
          <w:b/>
          <w:bCs/>
          <w:kern w:val="28"/>
          <w:lang w:val="en-CA"/>
        </w:rPr>
      </w:pPr>
      <w:r w:rsidRPr="003032DB">
        <w:rPr>
          <w:b/>
          <w:bCs/>
          <w:kern w:val="28"/>
          <w:lang w:val="en-CA"/>
        </w:rPr>
        <w:t>FOR THESE REASONS, THE COURT:</w:t>
      </w:r>
      <w:r w:rsidRPr="003032DB">
        <w:rPr>
          <w:bCs/>
          <w:kern w:val="28"/>
          <w:lang w:val="en-CA"/>
        </w:rPr>
        <w:t xml:space="preserve"> </w:t>
      </w:r>
    </w:p>
    <w:p w14:paraId="23D8B5C2"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b/>
          <w:bCs/>
          <w:kern w:val="28"/>
          <w:lang w:val="en-CA"/>
        </w:rPr>
        <w:t>DISMISSES</w:t>
      </w:r>
      <w:r w:rsidRPr="003032DB">
        <w:rPr>
          <w:kern w:val="28"/>
          <w:lang w:val="en-CA"/>
        </w:rPr>
        <w:t xml:space="preserve"> the application for leave to present indispensable new evidence; </w:t>
      </w:r>
    </w:p>
    <w:p w14:paraId="4BC1AB5E"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b/>
          <w:bCs/>
          <w:kern w:val="28"/>
          <w:lang w:val="en-CA"/>
        </w:rPr>
        <w:t xml:space="preserve">ALLOWS </w:t>
      </w:r>
      <w:r w:rsidRPr="003032DB">
        <w:rPr>
          <w:kern w:val="28"/>
          <w:lang w:val="en-CA"/>
        </w:rPr>
        <w:t xml:space="preserve">the appeal in part; </w:t>
      </w:r>
    </w:p>
    <w:p w14:paraId="5FD81175"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b/>
          <w:bCs/>
          <w:kern w:val="28"/>
          <w:lang w:val="en-CA"/>
        </w:rPr>
        <w:t>REVERSES</w:t>
      </w:r>
      <w:r w:rsidRPr="003032DB">
        <w:rPr>
          <w:kern w:val="28"/>
          <w:lang w:val="en-CA"/>
        </w:rPr>
        <w:t xml:space="preserve"> the trial judgment for the sole purpose of replacing the conclusion set out in paragraph [71], 4th dash, with the following:</w:t>
      </w:r>
    </w:p>
    <w:p w14:paraId="7F22AD50" w14:textId="77777777" w:rsidR="00050CAD" w:rsidRPr="003032DB" w:rsidRDefault="00050CAD" w:rsidP="002B356E">
      <w:pPr>
        <w:spacing w:before="120" w:after="120" w:line="240" w:lineRule="auto"/>
        <w:ind w:left="720" w:right="720"/>
        <w:jc w:val="both"/>
        <w:rPr>
          <w:kern w:val="24"/>
          <w:szCs w:val="24"/>
          <w:lang w:val="en-CA"/>
        </w:rPr>
      </w:pPr>
      <w:r w:rsidRPr="003032DB">
        <w:rPr>
          <w:kern w:val="24"/>
          <w:szCs w:val="24"/>
          <w:lang w:val="en-CA"/>
        </w:rPr>
        <w:t xml:space="preserve">[71] […] </w:t>
      </w:r>
    </w:p>
    <w:p w14:paraId="705FC0E8" w14:textId="77777777" w:rsidR="00050CAD" w:rsidRPr="003032DB" w:rsidRDefault="00050CAD" w:rsidP="002B356E">
      <w:pPr>
        <w:spacing w:before="120" w:after="120" w:line="240" w:lineRule="auto"/>
        <w:ind w:left="720" w:right="720"/>
        <w:jc w:val="both"/>
        <w:rPr>
          <w:kern w:val="24"/>
          <w:szCs w:val="24"/>
          <w:lang w:val="en-CA"/>
        </w:rPr>
      </w:pPr>
      <w:r w:rsidRPr="003032DB">
        <w:rPr>
          <w:kern w:val="24"/>
          <w:szCs w:val="24"/>
          <w:lang w:val="en-CA"/>
        </w:rPr>
        <w:t>- As of July 1, 2024, $500 per month.</w:t>
      </w:r>
    </w:p>
    <w:p w14:paraId="24788562" w14:textId="77777777" w:rsidR="00050CAD" w:rsidRPr="003032DB" w:rsidRDefault="00050CAD" w:rsidP="002B356E">
      <w:pPr>
        <w:numPr>
          <w:ilvl w:val="0"/>
          <w:numId w:val="18"/>
        </w:numPr>
        <w:spacing w:before="120" w:after="120" w:line="240" w:lineRule="auto"/>
        <w:ind w:left="0"/>
        <w:jc w:val="both"/>
        <w:rPr>
          <w:kern w:val="28"/>
          <w:lang w:val="en-CA"/>
        </w:rPr>
      </w:pPr>
      <w:r w:rsidRPr="003032DB">
        <w:rPr>
          <w:b/>
          <w:bCs/>
          <w:caps/>
          <w:kern w:val="28"/>
          <w:lang w:val="en-CA"/>
        </w:rPr>
        <w:t>The whole</w:t>
      </w:r>
      <w:r w:rsidRPr="003032DB">
        <w:rPr>
          <w:kern w:val="28"/>
          <w:lang w:val="en-CA"/>
        </w:rPr>
        <w:t>, without legal costs, given the nature of the case.</w:t>
      </w:r>
    </w:p>
    <w:p w14:paraId="3EA1D93E" w14:textId="77777777" w:rsidR="00050CAD" w:rsidRPr="003032DB" w:rsidRDefault="00050CAD" w:rsidP="002B356E">
      <w:pPr>
        <w:pStyle w:val="Paragraphe"/>
        <w:numPr>
          <w:ilvl w:val="0"/>
          <w:numId w:val="0"/>
        </w:numPr>
        <w:rPr>
          <w:lang w:val="en-CA"/>
        </w:rPr>
      </w:pPr>
    </w:p>
    <w:p w14:paraId="6217F4CA" w14:textId="77777777" w:rsidR="00050CAD" w:rsidRPr="003032DB" w:rsidRDefault="00050CAD" w:rsidP="002B356E">
      <w:pPr>
        <w:pStyle w:val="Paragraphe"/>
        <w:numPr>
          <w:ilvl w:val="0"/>
          <w:numId w:val="0"/>
        </w:numPr>
        <w:rPr>
          <w:lang w:val="en-CA"/>
        </w:rPr>
      </w:pPr>
    </w:p>
    <w:p w14:paraId="4C16DE58" w14:textId="77777777" w:rsidR="00050CAD" w:rsidRPr="003032DB" w:rsidRDefault="00050CAD" w:rsidP="002B356E">
      <w:pPr>
        <w:pStyle w:val="Paragraphe"/>
        <w:numPr>
          <w:ilvl w:val="0"/>
          <w:numId w:val="0"/>
        </w:numPr>
        <w:rPr>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050CAD" w14:paraId="5907FD1D" w14:textId="77777777" w:rsidTr="00FB3369">
        <w:tc>
          <w:tcPr>
            <w:tcW w:w="4500" w:type="dxa"/>
          </w:tcPr>
          <w:p w14:paraId="245CC491" w14:textId="77777777" w:rsidR="00050CAD" w:rsidRPr="003032DB" w:rsidRDefault="00050CAD" w:rsidP="00887EEB">
            <w:pPr>
              <w:keepNext/>
              <w:spacing w:line="240" w:lineRule="auto"/>
              <w:jc w:val="both"/>
              <w:rPr>
                <w:rFonts w:cs="Arial"/>
                <w:szCs w:val="24"/>
                <w:lang w:val="en-CA"/>
              </w:rPr>
            </w:pPr>
          </w:p>
        </w:tc>
        <w:tc>
          <w:tcPr>
            <w:tcW w:w="4860" w:type="dxa"/>
            <w:tcBorders>
              <w:top w:val="single" w:sz="4" w:space="0" w:color="auto"/>
            </w:tcBorders>
          </w:tcPr>
          <w:p w14:paraId="15EDA60D" w14:textId="77777777" w:rsidR="00050CAD" w:rsidRPr="003032DB" w:rsidRDefault="00050CAD" w:rsidP="00887EEB">
            <w:pPr>
              <w:keepNext/>
              <w:spacing w:line="240" w:lineRule="auto"/>
              <w:rPr>
                <w:rFonts w:cs="Arial"/>
                <w:caps/>
                <w:szCs w:val="24"/>
                <w:lang w:val="en-CA"/>
              </w:rPr>
            </w:pPr>
            <w:r w:rsidRPr="00062CCF">
              <w:rPr>
                <w:rFonts w:cs="Arial"/>
                <w:caps/>
                <w:szCs w:val="24"/>
                <w:lang w:val="en-CA"/>
              </w:rPr>
              <w:t>MARK SCHRAGER, J.A.</w:t>
            </w:r>
          </w:p>
        </w:tc>
      </w:tr>
    </w:tbl>
    <w:p w14:paraId="22862AD0" w14:textId="77777777" w:rsidR="00050CAD" w:rsidRPr="003032DB" w:rsidRDefault="00050CAD" w:rsidP="00887EEB">
      <w:pPr>
        <w:keepNext/>
        <w:spacing w:line="240" w:lineRule="auto"/>
        <w:jc w:val="both"/>
        <w:rPr>
          <w:rFonts w:cs="Arial"/>
          <w:szCs w:val="24"/>
          <w:lang w:val="en-CA"/>
        </w:rPr>
      </w:pPr>
    </w:p>
    <w:p w14:paraId="102528E9" w14:textId="77777777" w:rsidR="00050CAD" w:rsidRPr="003032DB" w:rsidRDefault="00050CAD"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050CAD" w14:paraId="3641963D" w14:textId="77777777" w:rsidTr="00FB3369">
        <w:tc>
          <w:tcPr>
            <w:tcW w:w="4500" w:type="dxa"/>
          </w:tcPr>
          <w:p w14:paraId="7C9F20B9" w14:textId="77777777" w:rsidR="00050CAD" w:rsidRPr="003032DB" w:rsidRDefault="00050CAD" w:rsidP="00887EEB">
            <w:pPr>
              <w:keepNext/>
              <w:spacing w:line="240" w:lineRule="auto"/>
              <w:jc w:val="both"/>
              <w:rPr>
                <w:rFonts w:cs="Arial"/>
                <w:szCs w:val="24"/>
                <w:lang w:val="en-CA"/>
              </w:rPr>
            </w:pPr>
          </w:p>
        </w:tc>
        <w:tc>
          <w:tcPr>
            <w:tcW w:w="4860" w:type="dxa"/>
            <w:tcBorders>
              <w:top w:val="single" w:sz="4" w:space="0" w:color="auto"/>
            </w:tcBorders>
          </w:tcPr>
          <w:p w14:paraId="7FB74E3E" w14:textId="77777777" w:rsidR="00050CAD" w:rsidRPr="003032DB" w:rsidRDefault="00050CAD" w:rsidP="00887EEB">
            <w:pPr>
              <w:keepNext/>
              <w:spacing w:line="240" w:lineRule="auto"/>
              <w:rPr>
                <w:rFonts w:cs="Arial"/>
                <w:caps/>
                <w:szCs w:val="24"/>
                <w:lang w:val="en-CA"/>
              </w:rPr>
            </w:pPr>
            <w:r w:rsidRPr="00062CCF">
              <w:rPr>
                <w:rFonts w:cs="Arial"/>
                <w:caps/>
                <w:szCs w:val="24"/>
                <w:lang w:val="en-CA"/>
              </w:rPr>
              <w:t>GUY COURNOYER, J.A.</w:t>
            </w:r>
          </w:p>
        </w:tc>
      </w:tr>
    </w:tbl>
    <w:p w14:paraId="0D2D636D" w14:textId="77777777" w:rsidR="00050CAD" w:rsidRPr="003032DB" w:rsidRDefault="00050CAD" w:rsidP="00887EEB">
      <w:pPr>
        <w:keepNext/>
        <w:spacing w:line="240" w:lineRule="auto"/>
        <w:jc w:val="both"/>
        <w:rPr>
          <w:rFonts w:cs="Arial"/>
          <w:szCs w:val="24"/>
          <w:lang w:val="en-CA"/>
        </w:rPr>
      </w:pPr>
    </w:p>
    <w:p w14:paraId="214C0818" w14:textId="77777777" w:rsidR="00050CAD" w:rsidRPr="003032DB" w:rsidRDefault="00050CAD"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050CAD" w14:paraId="314699AB" w14:textId="77777777" w:rsidTr="00FB3369">
        <w:tc>
          <w:tcPr>
            <w:tcW w:w="4500" w:type="dxa"/>
          </w:tcPr>
          <w:p w14:paraId="7CDF3CBC" w14:textId="77777777" w:rsidR="00050CAD" w:rsidRPr="003032DB" w:rsidRDefault="00050CAD" w:rsidP="00887EEB">
            <w:pPr>
              <w:keepNext/>
              <w:spacing w:line="240" w:lineRule="auto"/>
              <w:jc w:val="both"/>
              <w:rPr>
                <w:rFonts w:cs="Arial"/>
                <w:szCs w:val="24"/>
                <w:lang w:val="en-CA"/>
              </w:rPr>
            </w:pPr>
          </w:p>
        </w:tc>
        <w:tc>
          <w:tcPr>
            <w:tcW w:w="4860" w:type="dxa"/>
            <w:tcBorders>
              <w:top w:val="single" w:sz="4" w:space="0" w:color="auto"/>
            </w:tcBorders>
          </w:tcPr>
          <w:p w14:paraId="1B29E518" w14:textId="77777777" w:rsidR="00050CAD" w:rsidRPr="003032DB" w:rsidRDefault="00050CAD" w:rsidP="00887EEB">
            <w:pPr>
              <w:keepNext/>
              <w:spacing w:line="240" w:lineRule="auto"/>
              <w:rPr>
                <w:rFonts w:cs="Arial"/>
                <w:caps/>
                <w:szCs w:val="24"/>
                <w:lang w:val="en-CA"/>
              </w:rPr>
            </w:pPr>
            <w:r w:rsidRPr="00062CCF">
              <w:rPr>
                <w:rFonts w:cs="Arial"/>
                <w:caps/>
                <w:szCs w:val="24"/>
                <w:lang w:val="en-CA"/>
              </w:rPr>
              <w:t>JUDITH HARVIE, J.A.</w:t>
            </w:r>
          </w:p>
        </w:tc>
      </w:tr>
    </w:tbl>
    <w:p w14:paraId="7C8207B0" w14:textId="77777777" w:rsidR="00050CAD" w:rsidRPr="003032DB" w:rsidRDefault="00050CAD" w:rsidP="00887EEB">
      <w:pPr>
        <w:spacing w:line="240" w:lineRule="auto"/>
        <w:jc w:val="both"/>
        <w:rPr>
          <w:rFonts w:cs="Arial"/>
          <w:szCs w:val="24"/>
          <w:lang w:val="en-CA"/>
        </w:rPr>
      </w:pPr>
    </w:p>
    <w:p w14:paraId="6D2F0872" w14:textId="77777777" w:rsidR="00887EEB" w:rsidRPr="00887EEB" w:rsidRDefault="00887EEB" w:rsidP="00887EEB">
      <w:pPr>
        <w:spacing w:line="240" w:lineRule="auto"/>
        <w:jc w:val="both"/>
        <w:rPr>
          <w:rFonts w:cs="Arial"/>
          <w:szCs w:val="24"/>
          <w:lang w:val="es-ES"/>
        </w:rPr>
      </w:pPr>
    </w:p>
    <w:sectPr w:rsidR="00887EEB" w:rsidRPr="00887EEB" w:rsidSect="00050CAD">
      <w:headerReference w:type="default" r:id="rId12"/>
      <w:footerReference w:type="default" r:id="rId13"/>
      <w:footnotePr>
        <w:numRestart w:val="eachSect"/>
      </w:footnotePr>
      <w:pgSz w:w="12242" w:h="15842" w:code="1"/>
      <w:pgMar w:top="720" w:right="1352" w:bottom="1296" w:left="1620" w:header="1440" w:footer="792" w:gutter="0"/>
      <w:pgNumType w:start="1"/>
      <w:cols w:space="720"/>
      <w:formProt w:val="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B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57C1" w14:textId="77777777" w:rsidR="00553888" w:rsidRDefault="00553888">
      <w:pPr>
        <w:spacing w:line="240" w:lineRule="auto"/>
      </w:pPr>
      <w:r>
        <w:separator/>
      </w:r>
    </w:p>
  </w:endnote>
  <w:endnote w:type="continuationSeparator" w:id="0">
    <w:p w14:paraId="6DE1CD1E" w14:textId="77777777" w:rsidR="00553888" w:rsidRDefault="00553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481F" w14:textId="77777777" w:rsidR="00050CAD" w:rsidRDefault="00050CAD" w:rsidP="001D0769">
    <w:pPr>
      <w:pStyle w:val="Pieddepage"/>
      <w:jc w:val="right"/>
    </w:pPr>
    <w:r w:rsidRPr="001D0769">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39D8" w14:textId="77777777" w:rsidR="00553888" w:rsidRDefault="00553888">
      <w:r>
        <w:separator/>
      </w:r>
    </w:p>
  </w:footnote>
  <w:footnote w:type="continuationSeparator" w:id="0">
    <w:p w14:paraId="2CD1C4A5" w14:textId="77777777" w:rsidR="00553888" w:rsidRDefault="00553888">
      <w:r>
        <w:continuationSeparator/>
      </w:r>
    </w:p>
    <w:p w14:paraId="0671C683" w14:textId="77777777" w:rsidR="00553888" w:rsidRDefault="00553888"/>
    <w:p w14:paraId="55D93787" w14:textId="77777777" w:rsidR="00553888" w:rsidRDefault="00553888"/>
  </w:footnote>
  <w:footnote w:type="continuationNotice" w:id="1">
    <w:p w14:paraId="2C410F10" w14:textId="77777777" w:rsidR="00553888" w:rsidRDefault="00553888">
      <w:pPr>
        <w:spacing w:line="240" w:lineRule="auto"/>
      </w:pPr>
    </w:p>
  </w:footnote>
  <w:footnote w:id="2">
    <w:p w14:paraId="236DF196" w14:textId="77777777" w:rsidR="00050CAD" w:rsidRDefault="00050CAD" w:rsidP="002B356E">
      <w:pPr>
        <w:pStyle w:val="Notedebasdepage"/>
      </w:pPr>
      <w:r>
        <w:rPr>
          <w:rStyle w:val="Appelnotedebasdep"/>
        </w:rPr>
        <w:footnoteRef/>
      </w:r>
      <w:r>
        <w:rPr>
          <w:lang w:val="en-CA"/>
        </w:rPr>
        <w:t xml:space="preserve"> </w:t>
      </w:r>
      <w:r>
        <w:rPr>
          <w:lang w:val="en-CA"/>
        </w:rPr>
        <w:tab/>
      </w:r>
      <w:r>
        <w:rPr>
          <w:i/>
          <w:iCs/>
          <w:lang w:val="en-CA"/>
        </w:rPr>
        <w:t xml:space="preserve">Droit de la </w:t>
      </w:r>
      <w:proofErr w:type="spellStart"/>
      <w:r>
        <w:rPr>
          <w:i/>
          <w:iCs/>
          <w:lang w:val="en-CA"/>
        </w:rPr>
        <w:t>famille</w:t>
      </w:r>
      <w:proofErr w:type="spellEnd"/>
      <w:r>
        <w:rPr>
          <w:i/>
          <w:iCs/>
          <w:lang w:val="en-CA"/>
        </w:rPr>
        <w:t xml:space="preserve"> — 232133</w:t>
      </w:r>
      <w:r>
        <w:rPr>
          <w:lang w:val="en-CA"/>
        </w:rPr>
        <w:t>, 2023 QCCS 4918 (judgment under appeal).</w:t>
      </w:r>
    </w:p>
  </w:footnote>
  <w:footnote w:id="3">
    <w:p w14:paraId="4BD9CAB4" w14:textId="77777777" w:rsidR="00050CAD" w:rsidRDefault="00050CAD" w:rsidP="002B356E">
      <w:pPr>
        <w:pStyle w:val="Notedebasdepage"/>
      </w:pPr>
      <w:r>
        <w:rPr>
          <w:rStyle w:val="Appelnotedebasdep"/>
        </w:rPr>
        <w:footnoteRef/>
      </w:r>
      <w:r>
        <w:rPr>
          <w:lang w:val="en-CA"/>
        </w:rPr>
        <w:t xml:space="preserve"> </w:t>
      </w:r>
      <w:r>
        <w:rPr>
          <w:lang w:val="en-CA"/>
        </w:rPr>
        <w:tab/>
      </w:r>
      <w:r>
        <w:rPr>
          <w:i/>
          <w:iCs/>
          <w:lang w:val="en-CA"/>
        </w:rPr>
        <w:t>Droit de la famille — 142041</w:t>
      </w:r>
      <w:r>
        <w:rPr>
          <w:lang w:val="en-CA"/>
        </w:rPr>
        <w:t xml:space="preserve">, 2014 QCCA 1507, paras. 1-2; </w:t>
      </w:r>
      <w:r>
        <w:rPr>
          <w:i/>
          <w:iCs/>
          <w:lang w:val="en-CA"/>
        </w:rPr>
        <w:t>Droit de la famille — 122136</w:t>
      </w:r>
      <w:r>
        <w:rPr>
          <w:lang w:val="en-CA"/>
        </w:rPr>
        <w:t xml:space="preserve">, 2012 QCCA 1406. </w:t>
      </w:r>
    </w:p>
  </w:footnote>
  <w:footnote w:id="4">
    <w:p w14:paraId="7D42329B" w14:textId="77777777" w:rsidR="00050CAD" w:rsidRDefault="00050CAD" w:rsidP="002B356E">
      <w:pPr>
        <w:pStyle w:val="Notedebasdepage"/>
      </w:pPr>
      <w:r>
        <w:rPr>
          <w:rStyle w:val="Appelnotedebasdep"/>
        </w:rPr>
        <w:footnoteRef/>
      </w:r>
      <w:r>
        <w:rPr>
          <w:lang w:val="en-CA"/>
        </w:rPr>
        <w:t xml:space="preserve"> </w:t>
      </w:r>
      <w:r>
        <w:rPr>
          <w:lang w:val="en-CA"/>
        </w:rPr>
        <w:tab/>
      </w:r>
      <w:r>
        <w:rPr>
          <w:i/>
          <w:iCs/>
          <w:lang w:val="en-CA"/>
        </w:rPr>
        <w:t xml:space="preserve">Droit de la famille – </w:t>
      </w:r>
      <w:r w:rsidRPr="00243DC9">
        <w:rPr>
          <w:i/>
          <w:iCs/>
          <w:lang w:val="en-CA"/>
        </w:rPr>
        <w:t>133164</w:t>
      </w:r>
      <w:r>
        <w:rPr>
          <w:i/>
          <w:iCs/>
          <w:lang w:val="en-CA"/>
        </w:rPr>
        <w:t xml:space="preserve">, </w:t>
      </w:r>
      <w:r>
        <w:rPr>
          <w:lang w:val="en-CA"/>
        </w:rPr>
        <w:t xml:space="preserve">2013 QCCA 1945, paras. 28-38; </w:t>
      </w:r>
      <w:r>
        <w:rPr>
          <w:i/>
          <w:iCs/>
          <w:lang w:val="en-CA"/>
        </w:rPr>
        <w:t>Droit de la famille – 122683</w:t>
      </w:r>
      <w:r>
        <w:rPr>
          <w:lang w:val="en-CA"/>
        </w:rPr>
        <w:t xml:space="preserve">, 2012 QCCA 1742, para. 9; </w:t>
      </w:r>
      <w:r>
        <w:rPr>
          <w:i/>
          <w:iCs/>
          <w:lang w:val="en-CA"/>
        </w:rPr>
        <w:t>Droit de la famille – 2190</w:t>
      </w:r>
      <w:r>
        <w:rPr>
          <w:lang w:val="en-CA"/>
        </w:rPr>
        <w:t xml:space="preserve">, 1995 CanLII 5475 (QC CA). </w:t>
      </w:r>
    </w:p>
  </w:footnote>
  <w:footnote w:id="5">
    <w:p w14:paraId="6F9C4EA1" w14:textId="77777777" w:rsidR="00050CAD" w:rsidRDefault="00050CAD" w:rsidP="002B356E">
      <w:pPr>
        <w:pStyle w:val="Notedebasdepage"/>
      </w:pPr>
      <w:r>
        <w:rPr>
          <w:rStyle w:val="Appelnotedebasdep"/>
        </w:rPr>
        <w:footnoteRef/>
      </w:r>
      <w:r>
        <w:rPr>
          <w:lang w:val="en-CA"/>
        </w:rPr>
        <w:t xml:space="preserve"> </w:t>
      </w:r>
      <w:r>
        <w:rPr>
          <w:lang w:val="en-CA"/>
        </w:rPr>
        <w:tab/>
      </w:r>
      <w:r>
        <w:rPr>
          <w:i/>
          <w:iCs/>
          <w:lang w:val="en-CA"/>
        </w:rPr>
        <w:t xml:space="preserve">Droit de la famille — 211162, </w:t>
      </w:r>
      <w:r>
        <w:rPr>
          <w:lang w:val="en-CA"/>
        </w:rPr>
        <w:t xml:space="preserve">2021 QCCA 1047, para. 13. See also: </w:t>
      </w:r>
      <w:r>
        <w:rPr>
          <w:i/>
          <w:iCs/>
          <w:lang w:val="en-CA"/>
        </w:rPr>
        <w:t>Hickey v. Hickey</w:t>
      </w:r>
      <w:r>
        <w:rPr>
          <w:lang w:val="en-CA"/>
        </w:rPr>
        <w:t xml:space="preserve">, [1999] 2 S.C.R. 518, paras. 10-11; </w:t>
      </w:r>
      <w:r>
        <w:rPr>
          <w:i/>
          <w:iCs/>
          <w:lang w:val="en-CA"/>
        </w:rPr>
        <w:t>Droit de la famille — 19982</w:t>
      </w:r>
      <w:r>
        <w:rPr>
          <w:lang w:val="en-CA"/>
        </w:rPr>
        <w:t xml:space="preserve">, 2019 QCCA 930, para. 49; </w:t>
      </w:r>
      <w:r>
        <w:rPr>
          <w:i/>
          <w:iCs/>
          <w:lang w:val="en-CA"/>
        </w:rPr>
        <w:t>Droit de la famille — 192617</w:t>
      </w:r>
      <w:r>
        <w:rPr>
          <w:lang w:val="en-CA"/>
        </w:rPr>
        <w:t>, 2019 QCCA 2186, para. 10.</w:t>
      </w:r>
    </w:p>
  </w:footnote>
  <w:footnote w:id="6">
    <w:p w14:paraId="5A816D19" w14:textId="77777777" w:rsidR="00050CAD" w:rsidRDefault="00050CAD" w:rsidP="002B356E">
      <w:pPr>
        <w:pStyle w:val="Notedebasdepage"/>
      </w:pPr>
      <w:r>
        <w:rPr>
          <w:rStyle w:val="Appelnotedebasdep"/>
        </w:rPr>
        <w:footnoteRef/>
      </w:r>
      <w:r>
        <w:rPr>
          <w:lang w:val="en-CA"/>
        </w:rPr>
        <w:t xml:space="preserve"> </w:t>
      </w:r>
      <w:r>
        <w:rPr>
          <w:lang w:val="en-CA"/>
        </w:rPr>
        <w:tab/>
        <w:t>Judgment under appeal, paras. 37 and 67.</w:t>
      </w:r>
    </w:p>
  </w:footnote>
  <w:footnote w:id="7">
    <w:p w14:paraId="3243469A" w14:textId="77777777" w:rsidR="00050CAD" w:rsidRDefault="00050CAD" w:rsidP="002B356E">
      <w:pPr>
        <w:pStyle w:val="Notedebasdepage"/>
      </w:pPr>
      <w:r>
        <w:rPr>
          <w:rStyle w:val="Appelnotedebasdep"/>
        </w:rPr>
        <w:footnoteRef/>
      </w:r>
      <w:r>
        <w:rPr>
          <w:lang w:val="en-CA"/>
        </w:rPr>
        <w:t xml:space="preserve"> </w:t>
      </w:r>
      <w:r>
        <w:rPr>
          <w:lang w:val="en-CA"/>
        </w:rPr>
        <w:tab/>
        <w:t>Judgment under appeal, para. 69.</w:t>
      </w:r>
    </w:p>
  </w:footnote>
  <w:footnote w:id="8">
    <w:p w14:paraId="59F858B6" w14:textId="77777777" w:rsidR="00050CAD" w:rsidRDefault="00050CAD" w:rsidP="002B356E">
      <w:pPr>
        <w:pStyle w:val="Notedebasdepage"/>
      </w:pPr>
      <w:r>
        <w:rPr>
          <w:rStyle w:val="Appelnotedebasdep"/>
        </w:rPr>
        <w:footnoteRef/>
      </w:r>
      <w:r>
        <w:rPr>
          <w:lang w:val="en-CA"/>
        </w:rPr>
        <w:t xml:space="preserve"> </w:t>
      </w:r>
      <w:r>
        <w:rPr>
          <w:lang w:val="en-CA"/>
        </w:rPr>
        <w:tab/>
      </w:r>
      <w:r>
        <w:rPr>
          <w:i/>
          <w:iCs/>
          <w:lang w:val="en-CA"/>
        </w:rPr>
        <w:t>Droit de la famille — 091006</w:t>
      </w:r>
      <w:r>
        <w:rPr>
          <w:lang w:val="en-CA"/>
        </w:rPr>
        <w:t>, 2009 QCCA 847, para. 12.</w:t>
      </w:r>
    </w:p>
  </w:footnote>
  <w:footnote w:id="9">
    <w:p w14:paraId="277024FF" w14:textId="77777777" w:rsidR="00050CAD" w:rsidRPr="002B4735" w:rsidRDefault="00050CAD" w:rsidP="002B356E">
      <w:pPr>
        <w:pStyle w:val="Notedebasdepage"/>
      </w:pPr>
      <w:r>
        <w:rPr>
          <w:rStyle w:val="Appelnotedebasdep"/>
        </w:rPr>
        <w:footnoteRef/>
      </w:r>
      <w:r>
        <w:rPr>
          <w:lang w:val="en-CA"/>
        </w:rPr>
        <w:t xml:space="preserve"> </w:t>
      </w:r>
      <w:r>
        <w:rPr>
          <w:lang w:val="en-CA"/>
        </w:rPr>
        <w:tab/>
      </w:r>
      <w:r>
        <w:rPr>
          <w:i/>
          <w:iCs/>
          <w:lang w:val="en-CA"/>
        </w:rPr>
        <w:t>Divorce Act</w:t>
      </w:r>
      <w:r>
        <w:rPr>
          <w:lang w:val="en-CA"/>
        </w:rPr>
        <w:t>, R.S.C. 1985, c. 3 (2nd Supp.)</w:t>
      </w:r>
    </w:p>
  </w:footnote>
  <w:footnote w:id="10">
    <w:p w14:paraId="14480D2D" w14:textId="77777777" w:rsidR="00050CAD" w:rsidRPr="00943E5F" w:rsidRDefault="00050CAD" w:rsidP="002B356E">
      <w:pPr>
        <w:pStyle w:val="Notedebasdepage"/>
      </w:pPr>
      <w:r>
        <w:rPr>
          <w:rStyle w:val="Appelnotedebasdep"/>
        </w:rPr>
        <w:footnoteRef/>
      </w:r>
      <w:r w:rsidRPr="009B3226">
        <w:rPr>
          <w:lang w:val="en-CA"/>
        </w:rPr>
        <w:t xml:space="preserve"> </w:t>
      </w:r>
      <w:r w:rsidRPr="009B3226">
        <w:rPr>
          <w:lang w:val="en-CA"/>
        </w:rPr>
        <w:tab/>
      </w:r>
      <w:r w:rsidRPr="009B3226">
        <w:rPr>
          <w:i/>
          <w:iCs/>
          <w:lang w:val="en-CA"/>
        </w:rPr>
        <w:t>Bracklow v. Bracklow</w:t>
      </w:r>
      <w:r w:rsidRPr="009B3226">
        <w:rPr>
          <w:lang w:val="en-CA"/>
        </w:rPr>
        <w:t>, [1999] 1 S</w:t>
      </w:r>
      <w:r>
        <w:rPr>
          <w:lang w:val="en-CA"/>
        </w:rPr>
        <w:t>.</w:t>
      </w:r>
      <w:r w:rsidRPr="009B3226">
        <w:rPr>
          <w:lang w:val="en-CA"/>
        </w:rPr>
        <w:t>C</w:t>
      </w:r>
      <w:r>
        <w:rPr>
          <w:lang w:val="en-CA"/>
        </w:rPr>
        <w:t>.</w:t>
      </w:r>
      <w:r w:rsidRPr="009B3226">
        <w:rPr>
          <w:lang w:val="en-CA"/>
        </w:rPr>
        <w:t>R</w:t>
      </w:r>
      <w:r>
        <w:rPr>
          <w:lang w:val="en-CA"/>
        </w:rPr>
        <w:t>.</w:t>
      </w:r>
      <w:r w:rsidRPr="009B3226">
        <w:rPr>
          <w:lang w:val="en-CA"/>
        </w:rPr>
        <w:t xml:space="preserve"> 420, paras. 49-50; </w:t>
      </w:r>
      <w:r w:rsidRPr="009B3226">
        <w:rPr>
          <w:i/>
          <w:iCs/>
          <w:lang w:val="en-CA"/>
        </w:rPr>
        <w:t>Droit de la famille — 221972</w:t>
      </w:r>
      <w:r w:rsidRPr="009B3226">
        <w:rPr>
          <w:lang w:val="en-CA"/>
        </w:rPr>
        <w:t>, 2022 QCCA 1549, paras. 29-30.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7383"/>
      <w:gridCol w:w="2157"/>
    </w:tblGrid>
    <w:tr w:rsidR="00D67BD2" w14:paraId="5EEDD2EC" w14:textId="77777777" w:rsidTr="00241A86">
      <w:tc>
        <w:tcPr>
          <w:tcW w:w="7383" w:type="dxa"/>
        </w:tcPr>
        <w:p w14:paraId="2B2E3637" w14:textId="77777777" w:rsidR="004D106E" w:rsidRDefault="00050CAD" w:rsidP="00637D6F">
          <w:pPr>
            <w:tabs>
              <w:tab w:val="left" w:pos="442"/>
              <w:tab w:val="center" w:pos="4709"/>
              <w:tab w:val="right" w:pos="9360"/>
            </w:tabs>
            <w:ind w:right="524"/>
          </w:pPr>
          <w:r>
            <w:rPr>
              <w:lang w:val="en-CA"/>
            </w:rPr>
            <w:t>500-09-030876-247</w:t>
          </w:r>
        </w:p>
      </w:tc>
      <w:tc>
        <w:tcPr>
          <w:tcW w:w="2157" w:type="dxa"/>
        </w:tcPr>
        <w:p w14:paraId="26E29EAB" w14:textId="77777777" w:rsidR="004D106E" w:rsidRDefault="00050CAD" w:rsidP="00CD58FC">
          <w:pPr>
            <w:tabs>
              <w:tab w:val="left" w:pos="442"/>
              <w:tab w:val="center" w:pos="4709"/>
              <w:tab w:val="right" w:pos="9360"/>
            </w:tabs>
            <w:ind w:right="159"/>
            <w:jc w:val="right"/>
          </w:pPr>
          <w:r>
            <w:rPr>
              <w:lang w:val="en-CA"/>
            </w:rPr>
            <w:tab/>
            <w:t xml:space="preserve">PAGE: </w:t>
          </w:r>
          <w:r>
            <w:fldChar w:fldCharType="begin"/>
          </w:r>
          <w:r>
            <w:instrText xml:space="preserve"> PAGE </w:instrText>
          </w:r>
          <w:r>
            <w:fldChar w:fldCharType="separate"/>
          </w:r>
          <w:r>
            <w:t>6</w:t>
          </w:r>
          <w:r>
            <w:fldChar w:fldCharType="end"/>
          </w:r>
        </w:p>
      </w:tc>
    </w:tr>
  </w:tbl>
  <w:p w14:paraId="64C1888A" w14:textId="77777777" w:rsidR="004D106E" w:rsidRDefault="004D106E" w:rsidP="002A785B">
    <w:pPr>
      <w:tabs>
        <w:tab w:val="left" w:pos="442"/>
        <w:tab w:val="center" w:pos="4709"/>
        <w:tab w:val="right" w:pos="936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C103B16"/>
    <w:lvl w:ilvl="0">
      <w:start w:val="1"/>
      <w:numFmt w:val="decimal"/>
      <w:pStyle w:val="Paragraphe"/>
      <w:lvlText w:val="[%1]"/>
      <w:lvlJc w:val="left"/>
      <w:pPr>
        <w:tabs>
          <w:tab w:val="num" w:pos="990"/>
        </w:tabs>
        <w:ind w:left="27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932082055">
    <w:abstractNumId w:val="12"/>
  </w:num>
  <w:num w:numId="2" w16cid:durableId="1500077617">
    <w:abstractNumId w:val="12"/>
  </w:num>
  <w:num w:numId="3" w16cid:durableId="58791959">
    <w:abstractNumId w:val="12"/>
  </w:num>
  <w:num w:numId="4" w16cid:durableId="1708944767">
    <w:abstractNumId w:val="8"/>
  </w:num>
  <w:num w:numId="5" w16cid:durableId="1370186117">
    <w:abstractNumId w:val="3"/>
  </w:num>
  <w:num w:numId="6" w16cid:durableId="187069756">
    <w:abstractNumId w:val="2"/>
  </w:num>
  <w:num w:numId="7" w16cid:durableId="70279359">
    <w:abstractNumId w:val="1"/>
  </w:num>
  <w:num w:numId="8" w16cid:durableId="866069230">
    <w:abstractNumId w:val="0"/>
  </w:num>
  <w:num w:numId="9" w16cid:durableId="1539781717">
    <w:abstractNumId w:val="9"/>
  </w:num>
  <w:num w:numId="10" w16cid:durableId="2135712833">
    <w:abstractNumId w:val="7"/>
  </w:num>
  <w:num w:numId="11" w16cid:durableId="1966736263">
    <w:abstractNumId w:val="6"/>
  </w:num>
  <w:num w:numId="12" w16cid:durableId="1193421779">
    <w:abstractNumId w:val="5"/>
  </w:num>
  <w:num w:numId="13" w16cid:durableId="961882968">
    <w:abstractNumId w:val="4"/>
  </w:num>
  <w:num w:numId="14" w16cid:durableId="1639460208">
    <w:abstractNumId w:val="12"/>
  </w:num>
  <w:num w:numId="15" w16cid:durableId="1997298674">
    <w:abstractNumId w:val="12"/>
  </w:num>
  <w:num w:numId="16" w16cid:durableId="1730568777">
    <w:abstractNumId w:val="12"/>
  </w:num>
  <w:num w:numId="17" w16cid:durableId="586959678">
    <w:abstractNumId w:val="11"/>
  </w:num>
  <w:num w:numId="18" w16cid:durableId="1869633993">
    <w:abstractNumId w:val="10"/>
  </w:num>
  <w:num w:numId="19" w16cid:durableId="156352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E3"/>
    <w:rsid w:val="00005741"/>
    <w:rsid w:val="000250C2"/>
    <w:rsid w:val="00033ACA"/>
    <w:rsid w:val="00050CAD"/>
    <w:rsid w:val="000614D8"/>
    <w:rsid w:val="00064EA7"/>
    <w:rsid w:val="00075207"/>
    <w:rsid w:val="00080D1F"/>
    <w:rsid w:val="00082F0A"/>
    <w:rsid w:val="00084297"/>
    <w:rsid w:val="000949A6"/>
    <w:rsid w:val="00094DC3"/>
    <w:rsid w:val="000B3F39"/>
    <w:rsid w:val="000B60BA"/>
    <w:rsid w:val="000C54D9"/>
    <w:rsid w:val="000D5528"/>
    <w:rsid w:val="000E3231"/>
    <w:rsid w:val="000F74B3"/>
    <w:rsid w:val="001009B2"/>
    <w:rsid w:val="00103275"/>
    <w:rsid w:val="00104397"/>
    <w:rsid w:val="00106BD1"/>
    <w:rsid w:val="00135014"/>
    <w:rsid w:val="00137252"/>
    <w:rsid w:val="001433C6"/>
    <w:rsid w:val="00146ED1"/>
    <w:rsid w:val="00151498"/>
    <w:rsid w:val="00156F49"/>
    <w:rsid w:val="00160465"/>
    <w:rsid w:val="00165037"/>
    <w:rsid w:val="00175437"/>
    <w:rsid w:val="00186B64"/>
    <w:rsid w:val="00187994"/>
    <w:rsid w:val="001933CB"/>
    <w:rsid w:val="001A4667"/>
    <w:rsid w:val="001A7C22"/>
    <w:rsid w:val="001B1B44"/>
    <w:rsid w:val="001E13E3"/>
    <w:rsid w:val="0021091C"/>
    <w:rsid w:val="00215559"/>
    <w:rsid w:val="002159AA"/>
    <w:rsid w:val="00221170"/>
    <w:rsid w:val="0022417B"/>
    <w:rsid w:val="0023213C"/>
    <w:rsid w:val="00235C4B"/>
    <w:rsid w:val="00240B45"/>
    <w:rsid w:val="00241A86"/>
    <w:rsid w:val="00263A55"/>
    <w:rsid w:val="00266D03"/>
    <w:rsid w:val="002741F1"/>
    <w:rsid w:val="002745AE"/>
    <w:rsid w:val="00293750"/>
    <w:rsid w:val="00297733"/>
    <w:rsid w:val="002A0B7A"/>
    <w:rsid w:val="002A295B"/>
    <w:rsid w:val="002A785B"/>
    <w:rsid w:val="002B356E"/>
    <w:rsid w:val="002B4735"/>
    <w:rsid w:val="002C1B95"/>
    <w:rsid w:val="002C4107"/>
    <w:rsid w:val="002C7179"/>
    <w:rsid w:val="002E540C"/>
    <w:rsid w:val="002E7403"/>
    <w:rsid w:val="003041AF"/>
    <w:rsid w:val="0030533F"/>
    <w:rsid w:val="00305ADB"/>
    <w:rsid w:val="00315497"/>
    <w:rsid w:val="00317A57"/>
    <w:rsid w:val="00320C2D"/>
    <w:rsid w:val="00322707"/>
    <w:rsid w:val="0033020E"/>
    <w:rsid w:val="00335475"/>
    <w:rsid w:val="00345FBF"/>
    <w:rsid w:val="0037521E"/>
    <w:rsid w:val="003822C1"/>
    <w:rsid w:val="003847F3"/>
    <w:rsid w:val="0039120A"/>
    <w:rsid w:val="00392D3D"/>
    <w:rsid w:val="00392DCA"/>
    <w:rsid w:val="00397E57"/>
    <w:rsid w:val="003B65F2"/>
    <w:rsid w:val="003E5AF3"/>
    <w:rsid w:val="003F40FD"/>
    <w:rsid w:val="00424BE3"/>
    <w:rsid w:val="004331C4"/>
    <w:rsid w:val="00447A05"/>
    <w:rsid w:val="004505FD"/>
    <w:rsid w:val="004546D6"/>
    <w:rsid w:val="004630AB"/>
    <w:rsid w:val="0046488A"/>
    <w:rsid w:val="004917D1"/>
    <w:rsid w:val="0049788A"/>
    <w:rsid w:val="004A681D"/>
    <w:rsid w:val="004B31B8"/>
    <w:rsid w:val="004D106E"/>
    <w:rsid w:val="004D10FD"/>
    <w:rsid w:val="004D37E3"/>
    <w:rsid w:val="004D3CB0"/>
    <w:rsid w:val="004D74FD"/>
    <w:rsid w:val="004F15FC"/>
    <w:rsid w:val="004F69BB"/>
    <w:rsid w:val="00501E09"/>
    <w:rsid w:val="005244DB"/>
    <w:rsid w:val="00540690"/>
    <w:rsid w:val="0054437A"/>
    <w:rsid w:val="005504D5"/>
    <w:rsid w:val="00553888"/>
    <w:rsid w:val="005654A8"/>
    <w:rsid w:val="00566BF6"/>
    <w:rsid w:val="00570958"/>
    <w:rsid w:val="005717CD"/>
    <w:rsid w:val="00571913"/>
    <w:rsid w:val="005B4976"/>
    <w:rsid w:val="005D1522"/>
    <w:rsid w:val="005D29E7"/>
    <w:rsid w:val="005F0450"/>
    <w:rsid w:val="006162F3"/>
    <w:rsid w:val="00637D6F"/>
    <w:rsid w:val="0065602B"/>
    <w:rsid w:val="00692E06"/>
    <w:rsid w:val="006A3FE4"/>
    <w:rsid w:val="006C6451"/>
    <w:rsid w:val="006D1CB1"/>
    <w:rsid w:val="006E12E8"/>
    <w:rsid w:val="00702C6D"/>
    <w:rsid w:val="00706367"/>
    <w:rsid w:val="00711DD5"/>
    <w:rsid w:val="007149F6"/>
    <w:rsid w:val="007165F0"/>
    <w:rsid w:val="0073154F"/>
    <w:rsid w:val="00734481"/>
    <w:rsid w:val="007377D2"/>
    <w:rsid w:val="00740A17"/>
    <w:rsid w:val="00747420"/>
    <w:rsid w:val="007519EA"/>
    <w:rsid w:val="00752373"/>
    <w:rsid w:val="007547CE"/>
    <w:rsid w:val="00757467"/>
    <w:rsid w:val="0077096E"/>
    <w:rsid w:val="00770C57"/>
    <w:rsid w:val="007818B0"/>
    <w:rsid w:val="007953F3"/>
    <w:rsid w:val="007B663C"/>
    <w:rsid w:val="007C678F"/>
    <w:rsid w:val="007D13F3"/>
    <w:rsid w:val="007D632A"/>
    <w:rsid w:val="007E2C19"/>
    <w:rsid w:val="007E57DF"/>
    <w:rsid w:val="007F2157"/>
    <w:rsid w:val="00803B9C"/>
    <w:rsid w:val="00827B04"/>
    <w:rsid w:val="00831C53"/>
    <w:rsid w:val="00836D3E"/>
    <w:rsid w:val="008430CA"/>
    <w:rsid w:val="00850063"/>
    <w:rsid w:val="00854C3E"/>
    <w:rsid w:val="00863777"/>
    <w:rsid w:val="008757BD"/>
    <w:rsid w:val="00882210"/>
    <w:rsid w:val="00887EEB"/>
    <w:rsid w:val="00893C15"/>
    <w:rsid w:val="008A1AD8"/>
    <w:rsid w:val="008D03F2"/>
    <w:rsid w:val="008D2FB6"/>
    <w:rsid w:val="008E0ED5"/>
    <w:rsid w:val="008E36F0"/>
    <w:rsid w:val="008F2ACD"/>
    <w:rsid w:val="008F364A"/>
    <w:rsid w:val="00907492"/>
    <w:rsid w:val="0092460F"/>
    <w:rsid w:val="0093677F"/>
    <w:rsid w:val="00943E5F"/>
    <w:rsid w:val="00950F4A"/>
    <w:rsid w:val="00950FA6"/>
    <w:rsid w:val="0095228A"/>
    <w:rsid w:val="00953B63"/>
    <w:rsid w:val="009542F2"/>
    <w:rsid w:val="00954DC2"/>
    <w:rsid w:val="00996C51"/>
    <w:rsid w:val="009A2428"/>
    <w:rsid w:val="009B3226"/>
    <w:rsid w:val="009B77AF"/>
    <w:rsid w:val="009C3ACF"/>
    <w:rsid w:val="009D1618"/>
    <w:rsid w:val="009D1739"/>
    <w:rsid w:val="009D2AC5"/>
    <w:rsid w:val="009D3BA6"/>
    <w:rsid w:val="009E2B19"/>
    <w:rsid w:val="009F0E98"/>
    <w:rsid w:val="00A00FEB"/>
    <w:rsid w:val="00A12875"/>
    <w:rsid w:val="00A26979"/>
    <w:rsid w:val="00A34B32"/>
    <w:rsid w:val="00A449F2"/>
    <w:rsid w:val="00A62FEE"/>
    <w:rsid w:val="00A641B2"/>
    <w:rsid w:val="00A65E08"/>
    <w:rsid w:val="00A8271F"/>
    <w:rsid w:val="00AA0AE4"/>
    <w:rsid w:val="00AA6B06"/>
    <w:rsid w:val="00AC5BB3"/>
    <w:rsid w:val="00AE1C2E"/>
    <w:rsid w:val="00AE35C8"/>
    <w:rsid w:val="00AF38CF"/>
    <w:rsid w:val="00AF5327"/>
    <w:rsid w:val="00B15536"/>
    <w:rsid w:val="00B323E7"/>
    <w:rsid w:val="00B367AC"/>
    <w:rsid w:val="00B451C3"/>
    <w:rsid w:val="00B71E57"/>
    <w:rsid w:val="00B757D0"/>
    <w:rsid w:val="00B82A13"/>
    <w:rsid w:val="00BB0501"/>
    <w:rsid w:val="00BB483F"/>
    <w:rsid w:val="00BC14B8"/>
    <w:rsid w:val="00BD1289"/>
    <w:rsid w:val="00BD31B6"/>
    <w:rsid w:val="00BE1C8F"/>
    <w:rsid w:val="00BE2FA2"/>
    <w:rsid w:val="00BF09C1"/>
    <w:rsid w:val="00BF1A06"/>
    <w:rsid w:val="00C02B72"/>
    <w:rsid w:val="00C1429C"/>
    <w:rsid w:val="00C30F2F"/>
    <w:rsid w:val="00C31380"/>
    <w:rsid w:val="00C40A6B"/>
    <w:rsid w:val="00C439FC"/>
    <w:rsid w:val="00C47029"/>
    <w:rsid w:val="00C47211"/>
    <w:rsid w:val="00C477EB"/>
    <w:rsid w:val="00C551F8"/>
    <w:rsid w:val="00C572B6"/>
    <w:rsid w:val="00C617FC"/>
    <w:rsid w:val="00C92E57"/>
    <w:rsid w:val="00C96021"/>
    <w:rsid w:val="00CA5121"/>
    <w:rsid w:val="00CB6420"/>
    <w:rsid w:val="00CC7EE5"/>
    <w:rsid w:val="00CD58FC"/>
    <w:rsid w:val="00D10772"/>
    <w:rsid w:val="00D16D0E"/>
    <w:rsid w:val="00D17CF6"/>
    <w:rsid w:val="00D26AB1"/>
    <w:rsid w:val="00D57AC7"/>
    <w:rsid w:val="00D63F55"/>
    <w:rsid w:val="00D67052"/>
    <w:rsid w:val="00D738ED"/>
    <w:rsid w:val="00D942E5"/>
    <w:rsid w:val="00DB2A53"/>
    <w:rsid w:val="00DB348F"/>
    <w:rsid w:val="00DC15D8"/>
    <w:rsid w:val="00DC223B"/>
    <w:rsid w:val="00DC384E"/>
    <w:rsid w:val="00DD3A24"/>
    <w:rsid w:val="00DE3438"/>
    <w:rsid w:val="00DF3EE2"/>
    <w:rsid w:val="00DF7D37"/>
    <w:rsid w:val="00E01CAD"/>
    <w:rsid w:val="00E06061"/>
    <w:rsid w:val="00E160E9"/>
    <w:rsid w:val="00E21494"/>
    <w:rsid w:val="00E22228"/>
    <w:rsid w:val="00E25C04"/>
    <w:rsid w:val="00E311DC"/>
    <w:rsid w:val="00E44A1C"/>
    <w:rsid w:val="00E50F09"/>
    <w:rsid w:val="00E51293"/>
    <w:rsid w:val="00E55CDF"/>
    <w:rsid w:val="00E80CD5"/>
    <w:rsid w:val="00E8227B"/>
    <w:rsid w:val="00E85342"/>
    <w:rsid w:val="00EB395F"/>
    <w:rsid w:val="00EC2D0A"/>
    <w:rsid w:val="00EC57E1"/>
    <w:rsid w:val="00F050F0"/>
    <w:rsid w:val="00F12661"/>
    <w:rsid w:val="00F1760F"/>
    <w:rsid w:val="00F20D8E"/>
    <w:rsid w:val="00F257C5"/>
    <w:rsid w:val="00F3537E"/>
    <w:rsid w:val="00F44D2D"/>
    <w:rsid w:val="00F47DB9"/>
    <w:rsid w:val="00F55CD4"/>
    <w:rsid w:val="00F7072E"/>
    <w:rsid w:val="00F72BD0"/>
    <w:rsid w:val="00F853BE"/>
    <w:rsid w:val="00F903C2"/>
    <w:rsid w:val="00F92F3A"/>
    <w:rsid w:val="00F933A4"/>
    <w:rsid w:val="00F943C5"/>
    <w:rsid w:val="00F95FC5"/>
    <w:rsid w:val="00FA7F32"/>
    <w:rsid w:val="00FB0AFC"/>
    <w:rsid w:val="00FB3369"/>
    <w:rsid w:val="00FB3A36"/>
    <w:rsid w:val="00FB48E1"/>
    <w:rsid w:val="00FC1957"/>
    <w:rsid w:val="00FE73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2EE80"/>
  <w15:chartTrackingRefBased/>
  <w15:docId w15:val="{15106B09-27B9-4461-AB81-A27D0DD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E06061"/>
    <w:pPr>
      <w:numPr>
        <w:numId w:val="18"/>
      </w:numPr>
      <w:tabs>
        <w:tab w:val="clear" w:pos="990"/>
      </w:tabs>
      <w:spacing w:before="120" w:after="120" w:line="240" w:lineRule="auto"/>
      <w:ind w:left="0"/>
      <w:jc w:val="both"/>
    </w:p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rsid w:val="00447A05"/>
    <w:pPr>
      <w:ind w:left="-108"/>
    </w:pPr>
    <w:rPr>
      <w:rFonts w:eastAsiaTheme="minorHAnsi" w:cs="Arial"/>
      <w:szCs w:val="24"/>
    </w:rPr>
  </w:style>
  <w:style w:type="paragraph" w:customStyle="1" w:styleId="zSoquijlblProvince">
    <w:name w:val="zSoquij_lblProvince"/>
    <w:basedOn w:val="Normal"/>
    <w:rsid w:val="00447A05"/>
    <w:pPr>
      <w:ind w:left="-108"/>
    </w:pPr>
    <w:rPr>
      <w:rFonts w:eastAsiaTheme="minorHAnsi" w:cs="Arial"/>
      <w:szCs w:val="24"/>
    </w:rPr>
  </w:style>
  <w:style w:type="paragraph" w:customStyle="1" w:styleId="zSoquijlblGreffe">
    <w:name w:val="zSoquij_lblGreffe"/>
    <w:basedOn w:val="Normal"/>
    <w:rsid w:val="00F933A4"/>
    <w:pPr>
      <w:ind w:left="-108"/>
    </w:pPr>
    <w:rPr>
      <w:rFonts w:eastAsiaTheme="minorHAnsi" w:cs="Arial"/>
      <w:szCs w:val="24"/>
    </w:rPr>
  </w:style>
  <w:style w:type="paragraph" w:customStyle="1" w:styleId="zSoquijdatGreffe">
    <w:name w:val="zSoquij_datGreffe"/>
    <w:basedOn w:val="Normal"/>
    <w:rsid w:val="00F95FC5"/>
    <w:pPr>
      <w:ind w:left="-108"/>
    </w:pPr>
    <w:rPr>
      <w:rFonts w:eastAsiaTheme="minorHAnsi" w:cs="Arial"/>
      <w:szCs w:val="24"/>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rsid w:val="00392DCA"/>
    <w:rPr>
      <w:rFonts w:eastAsiaTheme="minorHAnsi" w:cs="Arial"/>
      <w:szCs w:val="24"/>
    </w:rPr>
  </w:style>
  <w:style w:type="paragraph" w:customStyle="1" w:styleId="zSoquijdatNoDossier">
    <w:name w:val="zSoquij_datNoDossier"/>
    <w:basedOn w:val="Normal"/>
    <w:rsid w:val="00160465"/>
    <w:pPr>
      <w:ind w:left="-108"/>
    </w:pPr>
    <w:rPr>
      <w:rFonts w:eastAsiaTheme="minorHAnsi" w:cs="Arial"/>
      <w:szCs w:val="24"/>
    </w:rPr>
  </w:style>
  <w:style w:type="paragraph" w:customStyle="1" w:styleId="zSoquijdatNoDossierAnt">
    <w:name w:val="zSoquij_datNoDossierAnt"/>
    <w:basedOn w:val="Normal"/>
    <w:rsid w:val="00160465"/>
    <w:pPr>
      <w:ind w:left="-108"/>
    </w:pPr>
    <w:rPr>
      <w:rFonts w:eastAsiaTheme="minorHAnsi" w:cs="Arial"/>
      <w:szCs w:val="24"/>
    </w:rPr>
  </w:style>
  <w:style w:type="paragraph" w:customStyle="1" w:styleId="zSoquijdatDateJugement">
    <w:name w:val="zSoquij_datDateJugement"/>
    <w:basedOn w:val="Normal"/>
    <w:rsid w:val="00160465"/>
    <w:pPr>
      <w:ind w:left="-108"/>
    </w:pPr>
    <w:rPr>
      <w:rFonts w:eastAsiaTheme="minorHAnsi" w:cs="Arial"/>
      <w:szCs w:val="24"/>
    </w:rPr>
  </w:style>
  <w:style w:type="paragraph" w:customStyle="1" w:styleId="zSoquijlblDateJugement">
    <w:name w:val="zSoquij_lblDateJugement"/>
    <w:basedOn w:val="Normal"/>
  </w:style>
  <w:style w:type="paragraph" w:customStyle="1" w:styleId="zSoquijlblJuge">
    <w:name w:val="zSoquij_lblJuge"/>
    <w:basedOn w:val="Normal"/>
    <w:rsid w:val="00DC384E"/>
    <w:pPr>
      <w:ind w:left="-108"/>
    </w:pPr>
    <w:rPr>
      <w:rFonts w:eastAsiaTheme="minorHAnsi" w:cs="Arial"/>
      <w:szCs w:val="24"/>
    </w:rPr>
  </w:style>
  <w:style w:type="paragraph" w:customStyle="1" w:styleId="zSoquijdatQteJuge">
    <w:name w:val="zSoquij_datQteJuge"/>
    <w:basedOn w:val="Normal"/>
    <w:rsid w:val="00FB0AFC"/>
    <w:rPr>
      <w:rFonts w:eastAsiaTheme="minorHAnsi" w:cs="Arial"/>
      <w:szCs w:val="24"/>
    </w:rPr>
  </w:style>
  <w:style w:type="paragraph" w:customStyle="1" w:styleId="zSoquijdatJuge1">
    <w:name w:val="zSoquij_datJuge_1"/>
    <w:basedOn w:val="Normal"/>
    <w:qFormat/>
    <w:rsid w:val="00FB0AFC"/>
    <w:pPr>
      <w:ind w:left="-103"/>
    </w:pPr>
    <w:rPr>
      <w:rFonts w:eastAsiaTheme="minorHAnsi" w:cs="Arial"/>
      <w:szCs w:val="24"/>
    </w:rPr>
  </w:style>
  <w:style w:type="paragraph" w:customStyle="1" w:styleId="zSoquijdatNomPartieDem">
    <w:name w:val="zSoquij_datNomPartieDem"/>
    <w:basedOn w:val="Normal"/>
    <w:rsid w:val="00F12661"/>
    <w:pPr>
      <w:jc w:val="center"/>
    </w:pPr>
    <w:rPr>
      <w:b/>
      <w:bCs/>
    </w:rPr>
  </w:style>
  <w:style w:type="paragraph" w:customStyle="1" w:styleId="zSoquijdatQtePartieDem">
    <w:name w:val="zSoquij_datQtePartieDem"/>
    <w:basedOn w:val="Normal"/>
    <w:rsid w:val="00FA7F32"/>
    <w:pPr>
      <w:spacing w:before="120" w:after="120" w:line="240" w:lineRule="auto"/>
      <w:jc w:val="center"/>
    </w:pPr>
    <w:rPr>
      <w:rFonts w:cs="Arial"/>
      <w:kern w:val="28"/>
      <w:szCs w:val="24"/>
    </w:rPr>
  </w:style>
  <w:style w:type="paragraph" w:customStyle="1" w:styleId="zSoquijlblLienParties">
    <w:name w:val="zSoquij_lblLienParties"/>
    <w:basedOn w:val="Normal"/>
  </w:style>
  <w:style w:type="paragraph" w:customStyle="1" w:styleId="zSoquijdatNomPartieDef">
    <w:name w:val="zSoquij_datNomPartieDef"/>
    <w:basedOn w:val="Normal"/>
    <w:rsid w:val="007519EA"/>
    <w:pPr>
      <w:jc w:val="center"/>
    </w:pPr>
    <w:rPr>
      <w:b/>
      <w:bCs/>
    </w:rPr>
  </w:style>
  <w:style w:type="paragraph" w:customStyle="1" w:styleId="zSoquijdatQtePartieDef">
    <w:name w:val="zSoquij_datQtePartieDef"/>
    <w:basedOn w:val="Normal"/>
    <w:rsid w:val="00FA7F32"/>
    <w:pPr>
      <w:spacing w:before="120" w:after="120" w:line="240" w:lineRule="auto"/>
      <w:jc w:val="center"/>
    </w:pPr>
    <w:rPr>
      <w:rFonts w:cs="Arial"/>
      <w:kern w:val="28"/>
      <w:szCs w:val="24"/>
    </w:r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rsid w:val="00C551F8"/>
    <w:pPr>
      <w:spacing w:before="40" w:after="40" w:line="240" w:lineRule="auto"/>
      <w:jc w:val="center"/>
    </w:pPr>
    <w:rPr>
      <w:rFonts w:cs="Arial"/>
      <w:kern w:val="28"/>
      <w:szCs w:val="24"/>
    </w:rPr>
  </w:style>
  <w:style w:type="paragraph" w:customStyle="1" w:styleId="zSoquijlblProcureurDef">
    <w:name w:val="zSoquij_lblProcureurDef"/>
    <w:basedOn w:val="Normal"/>
    <w:rsid w:val="00C551F8"/>
    <w:pPr>
      <w:spacing w:before="40" w:after="40" w:line="240" w:lineRule="auto"/>
      <w:jc w:val="center"/>
    </w:pPr>
    <w:rPr>
      <w:rFonts w:cs="Arial"/>
      <w:kern w:val="28"/>
      <w:szCs w:val="24"/>
    </w:rPr>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rsid w:val="00F12661"/>
    <w:pPr>
      <w:keepNext/>
    </w:pPr>
  </w:style>
  <w:style w:type="paragraph" w:customStyle="1" w:styleId="zSoquijdatNomProcureurDef">
    <w:name w:val="zSoquij_datNomProcureurDef"/>
    <w:basedOn w:val="zSoquijlblProcureurDef"/>
    <w:rsid w:val="002E7403"/>
    <w:pPr>
      <w:keepNext/>
    </w:pPr>
  </w:style>
  <w:style w:type="paragraph" w:customStyle="1" w:styleId="zSoquijdatCabinetProcureurDem">
    <w:name w:val="zSoquij_datCabinetProcureurDem"/>
    <w:basedOn w:val="Normal"/>
    <w:rsid w:val="00F12661"/>
    <w:pPr>
      <w:keepNext/>
      <w:jc w:val="center"/>
    </w:pPr>
    <w:rPr>
      <w:lang w:val="es-ES"/>
    </w:rPr>
  </w:style>
  <w:style w:type="paragraph" w:customStyle="1" w:styleId="zSoquijdatCabinetProcureurDef">
    <w:name w:val="zSoquij_datCabinetProcureurDef"/>
    <w:basedOn w:val="zSoquijlblProcureurDef"/>
    <w:rsid w:val="002E7403"/>
    <w:pPr>
      <w:keepNext/>
    </w:pPr>
    <w:rPr>
      <w:lang w:val="es-E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link w:val="TableaudroiteanglaisCar"/>
    <w:pPr>
      <w:ind w:left="144" w:right="720"/>
      <w:jc w:val="both"/>
    </w:pPr>
    <w:rPr>
      <w:lang w:val="en-CA"/>
    </w:rPr>
  </w:style>
  <w:style w:type="paragraph" w:customStyle="1" w:styleId="Tableaugauchefranais">
    <w:name w:val="Tableau gauche français"/>
    <w:basedOn w:val="Normal"/>
    <w:link w:val="TableaugauchefranaisCar"/>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rsid w:val="00FB3A36"/>
    <w:rPr>
      <w:rFonts w:ascii="Arial" w:hAnsi="Arial"/>
      <w:lang w:eastAsia="fr-FR"/>
    </w:rPr>
  </w:style>
  <w:style w:type="character" w:customStyle="1" w:styleId="ParagrapheCar">
    <w:name w:val="Paragraphe Car"/>
    <w:link w:val="Paragraphe"/>
    <w:qFormat/>
    <w:rsid w:val="00E06061"/>
    <w:rPr>
      <w:rFonts w:ascii="Arial" w:hAnsi="Arial"/>
      <w:sz w:val="24"/>
      <w:lang w:eastAsia="fr-FR"/>
    </w:rPr>
  </w:style>
  <w:style w:type="paragraph" w:styleId="Textedebulles">
    <w:name w:val="Balloon Text"/>
    <w:basedOn w:val="Normal"/>
    <w:link w:val="TextedebullesCar"/>
    <w:uiPriority w:val="99"/>
    <w:semiHidden/>
    <w:unhideWhenUsed/>
    <w:rsid w:val="00082F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F0A"/>
    <w:rPr>
      <w:rFonts w:ascii="Segoe UI" w:hAnsi="Segoe UI" w:cs="Segoe UI"/>
      <w:sz w:val="18"/>
      <w:szCs w:val="18"/>
      <w:lang w:eastAsia="fr-FR"/>
    </w:rPr>
  </w:style>
  <w:style w:type="character" w:styleId="Hyperlien">
    <w:name w:val="Hyperlink"/>
    <w:uiPriority w:val="99"/>
    <w:rsid w:val="00711DD5"/>
    <w:rPr>
      <w:noProof w:val="0"/>
      <w:color w:val="0000FF"/>
      <w:u w:val="single"/>
      <w:lang w:val="fr-CA"/>
    </w:rPr>
  </w:style>
  <w:style w:type="character" w:customStyle="1" w:styleId="TableaugauchefranaisCar">
    <w:name w:val="Tableau gauche français Car"/>
    <w:link w:val="Tableaugauchefranais"/>
    <w:rsid w:val="00711DD5"/>
    <w:rPr>
      <w:rFonts w:ascii="Arial" w:hAnsi="Arial"/>
      <w:sz w:val="22"/>
      <w:lang w:eastAsia="fr-FR"/>
    </w:rPr>
  </w:style>
  <w:style w:type="character" w:customStyle="1" w:styleId="TableaudroiteanglaisCar">
    <w:name w:val="Tableau droite anglais Car"/>
    <w:link w:val="Tableaudroiteanglais"/>
    <w:rsid w:val="00711DD5"/>
    <w:rPr>
      <w:rFonts w:ascii="Arial" w:hAnsi="Arial"/>
      <w:sz w:val="22"/>
      <w:lang w:val="en-CA" w:eastAsia="fr-FR"/>
    </w:rPr>
  </w:style>
  <w:style w:type="character" w:customStyle="1" w:styleId="CitationenretraitCar">
    <w:name w:val="Citation en retrait Car"/>
    <w:link w:val="Citationenretrait"/>
    <w:rsid w:val="00711DD5"/>
    <w:rPr>
      <w:rFonts w:ascii="Arial" w:hAnsi="Arial"/>
      <w:kern w:val="24"/>
      <w:sz w:val="22"/>
      <w:lang w:eastAsia="fr-FR"/>
    </w:rPr>
  </w:style>
  <w:style w:type="character" w:styleId="Marquedecommentaire">
    <w:name w:val="annotation reference"/>
    <w:basedOn w:val="Policepardfaut"/>
    <w:uiPriority w:val="99"/>
    <w:semiHidden/>
    <w:unhideWhenUsed/>
    <w:rsid w:val="00711DD5"/>
    <w:rPr>
      <w:sz w:val="16"/>
      <w:szCs w:val="16"/>
    </w:rPr>
  </w:style>
  <w:style w:type="paragraph" w:styleId="Commentaire">
    <w:name w:val="annotation text"/>
    <w:basedOn w:val="Normal"/>
    <w:link w:val="CommentaireCar"/>
    <w:uiPriority w:val="99"/>
    <w:semiHidden/>
    <w:unhideWhenUsed/>
    <w:rsid w:val="00711DD5"/>
    <w:pPr>
      <w:spacing w:line="240" w:lineRule="auto"/>
    </w:pPr>
    <w:rPr>
      <w:sz w:val="20"/>
    </w:rPr>
  </w:style>
  <w:style w:type="character" w:customStyle="1" w:styleId="CommentaireCar">
    <w:name w:val="Commentaire Car"/>
    <w:basedOn w:val="Policepardfaut"/>
    <w:link w:val="Commentaire"/>
    <w:uiPriority w:val="99"/>
    <w:semiHidden/>
    <w:rsid w:val="00711DD5"/>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11DD5"/>
    <w:rPr>
      <w:b/>
      <w:bCs/>
    </w:rPr>
  </w:style>
  <w:style w:type="character" w:customStyle="1" w:styleId="ObjetducommentaireCar">
    <w:name w:val="Objet du commentaire Car"/>
    <w:basedOn w:val="CommentaireCar"/>
    <w:link w:val="Objetducommentaire"/>
    <w:uiPriority w:val="99"/>
    <w:semiHidden/>
    <w:rsid w:val="00711DD5"/>
    <w:rPr>
      <w:rFonts w:ascii="Arial" w:hAnsi="Arial"/>
      <w:b/>
      <w:bCs/>
      <w:lang w:eastAsia="fr-FR"/>
    </w:rPr>
  </w:style>
  <w:style w:type="table" w:styleId="Grilledutableau">
    <w:name w:val="Table Grid"/>
    <w:basedOn w:val="TableauNormal"/>
    <w:uiPriority w:val="39"/>
    <w:rsid w:val="002C1B9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009B2"/>
    <w:rPr>
      <w:color w:val="808080"/>
    </w:rPr>
  </w:style>
  <w:style w:type="table" w:customStyle="1" w:styleId="Grilledutableau1">
    <w:name w:val="Grille du tableau1"/>
    <w:basedOn w:val="TableauNormal"/>
    <w:next w:val="Grilledutableau"/>
    <w:uiPriority w:val="39"/>
    <w:rsid w:val="00887EEB"/>
    <w:rPr>
      <w:rFonts w:ascii="Arial" w:hAnsi="Arial"/>
      <w:sz w:val="24"/>
    </w:rPr>
    <w:tblPr>
      <w:tblBorders>
        <w:top w:val="single" w:sz="4" w:space="0" w:color="auto"/>
        <w:bottom w:val="single" w:sz="4" w:space="0" w:color="auto"/>
      </w:tblBorders>
    </w:tblPr>
  </w:style>
  <w:style w:type="paragraph" w:customStyle="1" w:styleId="zSoquijdatNomPartieMec">
    <w:name w:val="zSoquij_datNomPartieMec"/>
    <w:basedOn w:val="Normal"/>
    <w:qFormat/>
    <w:rsid w:val="002E7403"/>
    <w:pPr>
      <w:spacing w:line="240" w:lineRule="auto"/>
      <w:jc w:val="center"/>
    </w:pPr>
    <w:rPr>
      <w:b/>
      <w:bCs/>
    </w:rPr>
  </w:style>
  <w:style w:type="paragraph" w:customStyle="1" w:styleId="zSoquijdatNomProcureurMec">
    <w:name w:val="zSoquij_datNomProcureurMec"/>
    <w:basedOn w:val="Normal"/>
    <w:qFormat/>
    <w:rsid w:val="00F3537E"/>
    <w:pPr>
      <w:spacing w:line="240" w:lineRule="auto"/>
      <w:jc w:val="center"/>
    </w:pPr>
  </w:style>
  <w:style w:type="paragraph" w:customStyle="1" w:styleId="zSoquijdatCabinetProcureurMec">
    <w:name w:val="zSoquij_datCabinetProcureurMec"/>
    <w:basedOn w:val="Normal"/>
    <w:qFormat/>
    <w:rsid w:val="00F3537E"/>
    <w:pPr>
      <w:spacing w:line="240" w:lineRule="auto"/>
      <w:jc w:val="center"/>
    </w:pPr>
    <w:rPr>
      <w:lang w:val="es-ES"/>
    </w:rPr>
  </w:style>
  <w:style w:type="paragraph" w:customStyle="1" w:styleId="zSoquijdatJuge2">
    <w:name w:val="zSoquij_datJuge_2"/>
    <w:basedOn w:val="zSoquijdatJuge1"/>
    <w:qFormat/>
    <w:rsid w:val="00836D3E"/>
  </w:style>
  <w:style w:type="paragraph" w:customStyle="1" w:styleId="zSoquijdatJuge3">
    <w:name w:val="zSoquij_datJuge_3"/>
    <w:basedOn w:val="zSoquijdatJuge1"/>
    <w:qFormat/>
    <w:rsid w:val="00836D3E"/>
  </w:style>
  <w:style w:type="paragraph" w:customStyle="1" w:styleId="zSoquijdatQtePartieMec">
    <w:name w:val="zSoquij_datQtePartieMec"/>
    <w:basedOn w:val="zSoquijdatQtePartieDem"/>
    <w:qFormat/>
    <w:rsid w:val="00C551F8"/>
  </w:style>
  <w:style w:type="paragraph" w:customStyle="1" w:styleId="zSoquijlblProcureurMec">
    <w:name w:val="zSoquij_lblProcureurMec"/>
    <w:basedOn w:val="zSoquijlblProcureurDef"/>
    <w:qFormat/>
    <w:rsid w:val="00C551F8"/>
  </w:style>
  <w:style w:type="character" w:customStyle="1" w:styleId="normaltextrun">
    <w:name w:val="normaltextrun"/>
    <w:basedOn w:val="Policepardfaut"/>
    <w:rsid w:val="00DC15D8"/>
  </w:style>
  <w:style w:type="character" w:customStyle="1" w:styleId="eop">
    <w:name w:val="eop"/>
    <w:basedOn w:val="Policepardfaut"/>
    <w:rsid w:val="00DC15D8"/>
  </w:style>
  <w:style w:type="paragraph" w:styleId="Rvision">
    <w:name w:val="Revision"/>
    <w:hidden/>
    <w:uiPriority w:val="99"/>
    <w:semiHidden/>
    <w:rsid w:val="004B31B8"/>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770F2B928FDB48896B0941B624CC9E" ma:contentTypeVersion="19" ma:contentTypeDescription="Crée un document." ma:contentTypeScope="" ma:versionID="b46ecfb704b2c57c9e71e211b73ea7fb">
  <xsd:schema xmlns:xsd="http://www.w3.org/2001/XMLSchema" xmlns:xs="http://www.w3.org/2001/XMLSchema" xmlns:p="http://schemas.microsoft.com/office/2006/metadata/properties" xmlns:ns2="dca0bc24-81a7-447d-9f55-b1d7a29c61b2" xmlns:ns3="4dfbed45-abbb-4b63-a31e-d7ffeeefdcae" targetNamespace="http://schemas.microsoft.com/office/2006/metadata/properties" ma:root="true" ma:fieldsID="1925627f6109fd819f7275e34af869bf" ns2:_="" ns3:_="">
    <xsd:import namespace="dca0bc24-81a7-447d-9f55-b1d7a29c61b2"/>
    <xsd:import namespace="4dfbed45-abbb-4b63-a31e-d7ffeeefdcae"/>
    <xsd:element name="properties">
      <xsd:complexType>
        <xsd:sequence>
          <xsd:element name="documentManagement">
            <xsd:complexType>
              <xsd:all>
                <xsd:element ref="ns2:PublishingStartDate" minOccurs="0"/>
                <xsd:element ref="ns2:PublishingExpirationDate" minOccurs="0"/>
                <xsd:element ref="ns3:Auteur_x0020_du_x0020_document" minOccurs="0"/>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bc24-81a7-447d-9f55-b1d7a29c61b2"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 ma:format="DateTime" ma:internalName="PublishingStartDate" ma:readOnly="false">
      <xsd:simpleType>
        <xsd:restriction base="dms:Unknown"/>
      </xsd:simpleType>
    </xsd:element>
    <xsd:element name="PublishingExpirationDate" ma:index="5" nillable="true" ma:displayName="Date de fin de planification" ma:description="" ma:format="DateTime" ma:internalName="PublishingExpirationDate" ma:readOnly="false">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9b14b7a-cac8-4449-987a-68cfb39174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Auteur_x0020_du_x0020_document" ma:index="6" nillable="true" ma:displayName="Auteur du document" ma:description="Auteur principal" ma:internalName="Auteur_x0020_du_x0020_document" ma:readOnly="false">
      <xsd:simpleType>
        <xsd:restriction base="dms:Text">
          <xsd:maxLength value="255"/>
        </xsd:restriction>
      </xsd:simpleType>
    </xsd:element>
    <xsd:element name="TaxCatchAll" ma:index="16" nillable="true" ma:displayName="Taxonomy Catch All Column" ma:hidden="true" ma:list="{39410d8e-a21d-4875-85bf-1e0e21b676a4}" ma:internalName="TaxCatchAll" ma:showField="CatchAllData" ma:web="4dfbed45-abbb-4b63-a31e-d7ffeeefd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eur_x0020_du_x0020_document xmlns="4dfbed45-abbb-4b63-a31e-d7ffeeefdcae" xsi:nil="true"/>
    <PublishingExpirationDate xmlns="dca0bc24-81a7-447d-9f55-b1d7a29c61b2" xsi:nil="true"/>
    <PublishingStartDate xmlns="dca0bc24-81a7-447d-9f55-b1d7a29c61b2" xsi:nil="true"/>
    <lcf76f155ced4ddcb4097134ff3c332f xmlns="dca0bc24-81a7-447d-9f55-b1d7a29c61b2">
      <Terms xmlns="http://schemas.microsoft.com/office/infopath/2007/PartnerControls"/>
    </lcf76f155ced4ddcb4097134ff3c332f>
    <TaxCatchAll xmlns="4dfbed45-abbb-4b63-a31e-d7ffeeefdc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5EAAE-8313-487C-A9D0-999B0649ED87}">
  <ds:schemaRefs>
    <ds:schemaRef ds:uri="http://schemas.openxmlformats.org/officeDocument/2006/bibliography"/>
  </ds:schemaRefs>
</ds:datastoreItem>
</file>

<file path=customXml/itemProps2.xml><?xml version="1.0" encoding="utf-8"?>
<ds:datastoreItem xmlns:ds="http://schemas.openxmlformats.org/officeDocument/2006/customXml" ds:itemID="{9CD4D526-A7BF-41BD-9919-DD1E5C69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bc24-81a7-447d-9f55-b1d7a29c61b2"/>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9E368-B3E8-45DA-B27D-C302E8E1726C}">
  <ds:schemaRefs>
    <ds:schemaRef ds:uri="http://schemas.microsoft.com/office/2006/metadata/properties"/>
    <ds:schemaRef ds:uri="http://schemas.microsoft.com/office/infopath/2007/PartnerControls"/>
    <ds:schemaRef ds:uri="4dfbed45-abbb-4b63-a31e-d7ffeeefdcae"/>
    <ds:schemaRef ds:uri="dca0bc24-81a7-447d-9f55-b1d7a29c61b2"/>
  </ds:schemaRefs>
</ds:datastoreItem>
</file>

<file path=customXml/itemProps4.xml><?xml version="1.0" encoding="utf-8"?>
<ds:datastoreItem xmlns:ds="http://schemas.openxmlformats.org/officeDocument/2006/customXml" ds:itemID="{09D256C5-2120-47CD-9705-4C0C5831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1603</Words>
  <Characters>8817</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Paillé, Pryscilla</dc:creator>
  <cp:lastModifiedBy>Bourgon, Véronique</cp:lastModifiedBy>
  <cp:revision>3</cp:revision>
  <dcterms:created xsi:type="dcterms:W3CDTF">2024-12-12T16:11:00Z</dcterms:created>
  <dcterms:modified xsi:type="dcterms:W3CDTF">2025-06-10T13:13:00Z</dcterms:modified>
</cp:coreProperties>
</file>