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1EE4" w14:textId="77777777" w:rsidR="00E60C8D" w:rsidRDefault="00E60C8D"/>
    <w:tbl>
      <w:tblPr>
        <w:tblStyle w:val="Grilledutableau"/>
        <w:tblW w:w="9450" w:type="dxa"/>
        <w:tblLook w:val="04A0" w:firstRow="1" w:lastRow="0" w:firstColumn="1" w:lastColumn="0" w:noHBand="0" w:noVBand="1"/>
      </w:tblPr>
      <w:tblGrid>
        <w:gridCol w:w="1800"/>
        <w:gridCol w:w="5427"/>
        <w:gridCol w:w="2223"/>
      </w:tblGrid>
      <w:tr w:rsidR="00E60C8D" w14:paraId="626DF45F" w14:textId="77777777" w:rsidTr="00BC2EFF">
        <w:tc>
          <w:tcPr>
            <w:tcW w:w="7227" w:type="dxa"/>
            <w:gridSpan w:val="2"/>
            <w:tcBorders>
              <w:top w:val="nil"/>
              <w:left w:val="nil"/>
              <w:bottom w:val="nil"/>
              <w:right w:val="nil"/>
            </w:tcBorders>
          </w:tcPr>
          <w:p w14:paraId="05974CA8" w14:textId="5735538E" w:rsidR="00E60C8D" w:rsidRPr="004F4914" w:rsidRDefault="00E60C8D" w:rsidP="00BC2EFF">
            <w:pPr>
              <w:pStyle w:val="zSoquijdatRepertorie"/>
            </w:pPr>
            <w:r w:rsidRPr="00E60C8D">
              <w:rPr>
                <w:lang w:val="fr-CA"/>
              </w:rPr>
              <w:t>N.G. c. McGill University Health Center</w:t>
            </w:r>
          </w:p>
        </w:tc>
        <w:tc>
          <w:tcPr>
            <w:tcW w:w="2223" w:type="dxa"/>
            <w:tcBorders>
              <w:top w:val="nil"/>
              <w:left w:val="nil"/>
              <w:bottom w:val="nil"/>
              <w:right w:val="nil"/>
            </w:tcBorders>
          </w:tcPr>
          <w:p w14:paraId="18647F22" w14:textId="0E09294D" w:rsidR="00E60C8D" w:rsidRPr="004F4914" w:rsidRDefault="00E60C8D" w:rsidP="00BC2EFF">
            <w:pPr>
              <w:pStyle w:val="zSoquijdatRefNeutre"/>
            </w:pPr>
            <w:r w:rsidRPr="00E60C8D">
              <w:rPr>
                <w:lang w:val="fr-CA"/>
              </w:rPr>
              <w:t>2024 QCCA 1738</w:t>
            </w:r>
          </w:p>
        </w:tc>
      </w:tr>
      <w:tr w:rsidR="00E60C8D" w14:paraId="7BFE313C" w14:textId="77777777" w:rsidTr="00BC2EFF">
        <w:tc>
          <w:tcPr>
            <w:tcW w:w="9450" w:type="dxa"/>
            <w:gridSpan w:val="3"/>
            <w:tcBorders>
              <w:top w:val="nil"/>
              <w:left w:val="nil"/>
              <w:bottom w:val="nil"/>
              <w:right w:val="nil"/>
            </w:tcBorders>
          </w:tcPr>
          <w:p w14:paraId="1F0D5FF2" w14:textId="65E0F594" w:rsidR="00274C9C" w:rsidRDefault="00274C9C" w:rsidP="00BC2EFF">
            <w:pPr>
              <w:pStyle w:val="zSoquijlblCour"/>
              <w:jc w:val="left"/>
              <w:rPr>
                <w:b w:val="0"/>
                <w:bCs/>
                <w:sz w:val="24"/>
                <w:szCs w:val="24"/>
              </w:rPr>
            </w:pPr>
            <w:r>
              <w:rPr>
                <w:b w:val="0"/>
                <w:bCs/>
                <w:sz w:val="24"/>
                <w:szCs w:val="24"/>
              </w:rPr>
              <w:t>E</w:t>
            </w:r>
            <w:r w:rsidRPr="00274C9C">
              <w:rPr>
                <w:b w:val="0"/>
                <w:bCs/>
                <w:sz w:val="24"/>
                <w:szCs w:val="24"/>
              </w:rPr>
              <w:t>nglish translation of the judgment of the Court</w:t>
            </w:r>
          </w:p>
          <w:p w14:paraId="2F44C31E" w14:textId="768D1FE4" w:rsidR="00E60C8D" w:rsidRPr="00274C9C" w:rsidRDefault="00E60C8D" w:rsidP="00BC2EFF">
            <w:pPr>
              <w:pStyle w:val="zSoquijlblCour"/>
              <w:rPr>
                <w:b w:val="0"/>
                <w:bCs/>
                <w:sz w:val="24"/>
                <w:szCs w:val="24"/>
              </w:rPr>
            </w:pPr>
            <w:r w:rsidRPr="00385784">
              <w:t xml:space="preserve">COURT </w:t>
            </w:r>
            <w:r w:rsidRPr="004F4914">
              <w:t>OF</w:t>
            </w:r>
            <w:r w:rsidRPr="00385784">
              <w:t xml:space="preserve"> APPEAL</w:t>
            </w:r>
          </w:p>
        </w:tc>
      </w:tr>
      <w:tr w:rsidR="00E60C8D" w14:paraId="4629D73B" w14:textId="77777777" w:rsidTr="00BC2EFF">
        <w:tc>
          <w:tcPr>
            <w:tcW w:w="9450" w:type="dxa"/>
            <w:gridSpan w:val="3"/>
            <w:tcBorders>
              <w:top w:val="nil"/>
              <w:left w:val="nil"/>
              <w:bottom w:val="nil"/>
              <w:right w:val="nil"/>
            </w:tcBorders>
          </w:tcPr>
          <w:p w14:paraId="61B3B4BE" w14:textId="77777777" w:rsidR="00E60C8D" w:rsidRPr="004F4914" w:rsidRDefault="00E60C8D" w:rsidP="00BC2EFF">
            <w:pPr>
              <w:pStyle w:val="zSoquijlblPays"/>
            </w:pPr>
            <w:r w:rsidRPr="00385784">
              <w:t>CANADA</w:t>
            </w:r>
          </w:p>
        </w:tc>
      </w:tr>
      <w:tr w:rsidR="00E60C8D" w14:paraId="0F4BFA2A" w14:textId="77777777" w:rsidTr="00BC2EFF">
        <w:tc>
          <w:tcPr>
            <w:tcW w:w="9450" w:type="dxa"/>
            <w:gridSpan w:val="3"/>
            <w:tcBorders>
              <w:top w:val="nil"/>
              <w:left w:val="nil"/>
              <w:bottom w:val="nil"/>
              <w:right w:val="nil"/>
            </w:tcBorders>
          </w:tcPr>
          <w:p w14:paraId="4E32D616" w14:textId="77777777" w:rsidR="00E60C8D" w:rsidRPr="004F4914" w:rsidRDefault="00E60C8D" w:rsidP="00BC2EFF">
            <w:pPr>
              <w:pStyle w:val="zSoquijlblProvince"/>
            </w:pPr>
            <w:r w:rsidRPr="00385784">
              <w:t>PROVINCE OF QUEBEC</w:t>
            </w:r>
          </w:p>
        </w:tc>
      </w:tr>
      <w:tr w:rsidR="00E60C8D" w14:paraId="080B7343" w14:textId="77777777" w:rsidTr="00BC2EFF">
        <w:tc>
          <w:tcPr>
            <w:tcW w:w="1800" w:type="dxa"/>
            <w:tcBorders>
              <w:top w:val="nil"/>
              <w:left w:val="nil"/>
              <w:bottom w:val="nil"/>
              <w:right w:val="nil"/>
            </w:tcBorders>
          </w:tcPr>
          <w:p w14:paraId="70C8CD82" w14:textId="77777777" w:rsidR="00E60C8D" w:rsidRPr="004F4914" w:rsidRDefault="00E60C8D" w:rsidP="00BC2EFF">
            <w:pPr>
              <w:pStyle w:val="zSoquijlblGreffe"/>
            </w:pPr>
            <w:r>
              <w:t xml:space="preserve">MONTREAL </w:t>
            </w:r>
            <w:r w:rsidRPr="004F4914">
              <w:t xml:space="preserve"> </w:t>
            </w:r>
          </w:p>
        </w:tc>
        <w:tc>
          <w:tcPr>
            <w:tcW w:w="7650" w:type="dxa"/>
            <w:gridSpan w:val="2"/>
            <w:tcBorders>
              <w:top w:val="nil"/>
              <w:left w:val="nil"/>
              <w:bottom w:val="nil"/>
              <w:right w:val="nil"/>
            </w:tcBorders>
          </w:tcPr>
          <w:p w14:paraId="6280F387" w14:textId="77777777" w:rsidR="00E60C8D" w:rsidRPr="00385784" w:rsidRDefault="00E60C8D" w:rsidP="00BC2EFF">
            <w:pPr>
              <w:pStyle w:val="zSoquijdatGreffe"/>
              <w:rPr>
                <w:lang w:val="en-CA"/>
              </w:rPr>
            </w:pPr>
            <w:r>
              <w:rPr>
                <w:lang w:val="en-CA"/>
              </w:rPr>
              <w:t>SEAT</w:t>
            </w:r>
          </w:p>
        </w:tc>
      </w:tr>
      <w:tr w:rsidR="00E60C8D" w14:paraId="67049934" w14:textId="77777777" w:rsidTr="00BC2EFF">
        <w:tc>
          <w:tcPr>
            <w:tcW w:w="9450" w:type="dxa"/>
            <w:gridSpan w:val="3"/>
            <w:tcBorders>
              <w:top w:val="nil"/>
              <w:left w:val="nil"/>
              <w:bottom w:val="nil"/>
              <w:right w:val="nil"/>
            </w:tcBorders>
          </w:tcPr>
          <w:p w14:paraId="3A51966D" w14:textId="77777777" w:rsidR="00E60C8D" w:rsidRPr="00385784" w:rsidRDefault="00E60C8D" w:rsidP="00BC2EFF">
            <w:pPr>
              <w:ind w:left="-108"/>
              <w:rPr>
                <w:lang w:val="en-CA"/>
              </w:rPr>
            </w:pPr>
          </w:p>
        </w:tc>
      </w:tr>
      <w:tr w:rsidR="00E60C8D" w14:paraId="74D8BB54" w14:textId="77777777" w:rsidTr="00BC2EFF">
        <w:tc>
          <w:tcPr>
            <w:tcW w:w="9450" w:type="dxa"/>
            <w:gridSpan w:val="3"/>
            <w:tcBorders>
              <w:top w:val="nil"/>
              <w:left w:val="nil"/>
              <w:bottom w:val="nil"/>
              <w:right w:val="nil"/>
            </w:tcBorders>
          </w:tcPr>
          <w:p w14:paraId="36765647" w14:textId="77777777" w:rsidR="00E60C8D" w:rsidRPr="00385784" w:rsidRDefault="00E60C8D" w:rsidP="00BC2EFF">
            <w:pPr>
              <w:pStyle w:val="zSoquijdatNoDossier"/>
              <w:rPr>
                <w:lang w:val="en-CA"/>
              </w:rPr>
            </w:pPr>
            <w:r w:rsidRPr="00385784">
              <w:rPr>
                <w:lang w:val="en-CA"/>
              </w:rPr>
              <w:t>No</w:t>
            </w:r>
            <w:r>
              <w:rPr>
                <w:lang w:val="en-CA"/>
              </w:rPr>
              <w:t>.</w:t>
            </w:r>
            <w:r w:rsidRPr="00385784">
              <w:rPr>
                <w:lang w:val="en-CA"/>
              </w:rPr>
              <w:t xml:space="preserve">:  </w:t>
            </w:r>
            <w:r>
              <w:rPr>
                <w:lang w:val="en-CA"/>
              </w:rPr>
              <w:t>500-09-031214-240</w:t>
            </w:r>
          </w:p>
        </w:tc>
      </w:tr>
      <w:tr w:rsidR="00E60C8D" w14:paraId="054AD1A9" w14:textId="77777777" w:rsidTr="00BC2EFF">
        <w:tc>
          <w:tcPr>
            <w:tcW w:w="9450" w:type="dxa"/>
            <w:gridSpan w:val="3"/>
            <w:tcBorders>
              <w:top w:val="nil"/>
              <w:left w:val="nil"/>
              <w:bottom w:val="nil"/>
              <w:right w:val="nil"/>
            </w:tcBorders>
          </w:tcPr>
          <w:p w14:paraId="3997880B" w14:textId="77777777" w:rsidR="00E60C8D" w:rsidRPr="00385784" w:rsidRDefault="00E60C8D" w:rsidP="00BC2EFF">
            <w:pPr>
              <w:pStyle w:val="zSoquijdatNoDossierAnt"/>
              <w:rPr>
                <w:lang w:val="en-CA"/>
              </w:rPr>
            </w:pPr>
            <w:r w:rsidRPr="00385784">
              <w:rPr>
                <w:lang w:val="en-CA"/>
              </w:rPr>
              <w:t xml:space="preserve">      (</w:t>
            </w:r>
            <w:r>
              <w:rPr>
                <w:lang w:val="en-CA"/>
              </w:rPr>
              <w:t>500-64-000125-240</w:t>
            </w:r>
            <w:r w:rsidRPr="00385784">
              <w:rPr>
                <w:lang w:val="en-CA"/>
              </w:rPr>
              <w:t>)</w:t>
            </w:r>
          </w:p>
        </w:tc>
      </w:tr>
      <w:tr w:rsidR="00E60C8D" w14:paraId="700D2242" w14:textId="77777777" w:rsidTr="00BC2EFF">
        <w:tc>
          <w:tcPr>
            <w:tcW w:w="9450" w:type="dxa"/>
            <w:gridSpan w:val="3"/>
            <w:tcBorders>
              <w:top w:val="nil"/>
              <w:left w:val="nil"/>
              <w:bottom w:val="single" w:sz="4" w:space="0" w:color="auto"/>
              <w:right w:val="nil"/>
            </w:tcBorders>
          </w:tcPr>
          <w:p w14:paraId="2259F4B2" w14:textId="77777777" w:rsidR="00E60C8D" w:rsidRPr="00385784" w:rsidRDefault="00E60C8D" w:rsidP="00BC2EFF">
            <w:pPr>
              <w:rPr>
                <w:lang w:val="en-CA"/>
              </w:rPr>
            </w:pPr>
          </w:p>
        </w:tc>
      </w:tr>
      <w:tr w:rsidR="00E60C8D" w14:paraId="6189A92F" w14:textId="77777777" w:rsidTr="00BC2EFF">
        <w:tc>
          <w:tcPr>
            <w:tcW w:w="9450" w:type="dxa"/>
            <w:gridSpan w:val="3"/>
            <w:tcBorders>
              <w:top w:val="single" w:sz="4" w:space="0" w:color="auto"/>
              <w:left w:val="nil"/>
              <w:bottom w:val="nil"/>
              <w:right w:val="nil"/>
            </w:tcBorders>
          </w:tcPr>
          <w:p w14:paraId="42E836C3" w14:textId="77777777" w:rsidR="00E60C8D" w:rsidRPr="00385784" w:rsidRDefault="00E60C8D" w:rsidP="00BC2EFF">
            <w:pPr>
              <w:rPr>
                <w:lang w:val="en-CA"/>
              </w:rPr>
            </w:pPr>
          </w:p>
        </w:tc>
      </w:tr>
      <w:tr w:rsidR="00E60C8D" w14:paraId="36B15E6D" w14:textId="77777777" w:rsidTr="00BC2EFF">
        <w:tc>
          <w:tcPr>
            <w:tcW w:w="9450" w:type="dxa"/>
            <w:gridSpan w:val="3"/>
            <w:tcBorders>
              <w:top w:val="nil"/>
              <w:left w:val="nil"/>
              <w:bottom w:val="nil"/>
              <w:right w:val="nil"/>
            </w:tcBorders>
          </w:tcPr>
          <w:p w14:paraId="792C61D0" w14:textId="77777777" w:rsidR="00E60C8D" w:rsidRPr="00385784" w:rsidRDefault="00E60C8D" w:rsidP="00BC2EFF">
            <w:pPr>
              <w:pStyle w:val="zSoquijlblTypeDocument"/>
            </w:pPr>
            <w:r w:rsidRPr="00385784">
              <w:t xml:space="preserve">MINUTES </w:t>
            </w:r>
            <w:r w:rsidRPr="004F4914">
              <w:t>OF</w:t>
            </w:r>
            <w:r w:rsidRPr="00385784">
              <w:t xml:space="preserve"> HEARING</w:t>
            </w:r>
          </w:p>
        </w:tc>
      </w:tr>
      <w:tr w:rsidR="00E60C8D" w14:paraId="4DC24DB9" w14:textId="77777777" w:rsidTr="00BC2EFF">
        <w:tc>
          <w:tcPr>
            <w:tcW w:w="9450" w:type="dxa"/>
            <w:gridSpan w:val="3"/>
            <w:tcBorders>
              <w:top w:val="nil"/>
              <w:left w:val="nil"/>
              <w:bottom w:val="single" w:sz="4" w:space="0" w:color="auto"/>
              <w:right w:val="nil"/>
            </w:tcBorders>
          </w:tcPr>
          <w:p w14:paraId="4D804ACC" w14:textId="77777777" w:rsidR="00E60C8D" w:rsidRPr="00385784" w:rsidRDefault="00E60C8D" w:rsidP="00BC2EFF">
            <w:pPr>
              <w:rPr>
                <w:lang w:val="en-CA"/>
              </w:rPr>
            </w:pPr>
          </w:p>
        </w:tc>
      </w:tr>
    </w:tbl>
    <w:p w14:paraId="322C9557" w14:textId="77777777" w:rsidR="00E60C8D" w:rsidRDefault="00E60C8D" w:rsidP="00887EEB">
      <w:pPr>
        <w:tabs>
          <w:tab w:val="left" w:pos="630"/>
        </w:tabs>
        <w:spacing w:line="240" w:lineRule="auto"/>
        <w:jc w:val="both"/>
        <w:rPr>
          <w:rFonts w:cs="Arial"/>
          <w:szCs w:val="24"/>
          <w:lang w:val="en-CA"/>
        </w:rPr>
      </w:pPr>
    </w:p>
    <w:p w14:paraId="7369E9FE" w14:textId="77777777" w:rsidR="00E60C8D" w:rsidRPr="00520353" w:rsidRDefault="00E60C8D" w:rsidP="00520353">
      <w:pPr>
        <w:tabs>
          <w:tab w:val="left" w:pos="630"/>
        </w:tabs>
        <w:spacing w:line="240" w:lineRule="auto"/>
        <w:ind w:left="-90"/>
        <w:jc w:val="both"/>
        <w:rPr>
          <w:rFonts w:cs="Arial"/>
          <w:b/>
          <w:szCs w:val="24"/>
          <w:lang w:val="en-CA"/>
        </w:rPr>
      </w:pPr>
      <w:r>
        <w:rPr>
          <w:rStyle w:val="normaltextrun"/>
          <w:rFonts w:cs="Arial"/>
          <w:b/>
          <w:bCs/>
          <w:color w:val="000000"/>
          <w:u w:val="single"/>
          <w:shd w:val="clear" w:color="auto" w:fill="FFFFFF"/>
          <w:lang w:val="en-CA"/>
        </w:rPr>
        <w:t>WARNING</w:t>
      </w:r>
      <w:r>
        <w:rPr>
          <w:rStyle w:val="normaltextrun"/>
          <w:rFonts w:cs="Arial"/>
          <w:b/>
          <w:bCs/>
          <w:color w:val="000000"/>
          <w:shd w:val="clear" w:color="auto" w:fill="FFFFFF"/>
          <w:lang w:val="en-CA"/>
        </w:rPr>
        <w:t xml:space="preserve">: Disclosure and circulation prohibited: The </w:t>
      </w:r>
      <w:r>
        <w:rPr>
          <w:rStyle w:val="normaltextrun"/>
          <w:rFonts w:cs="Arial"/>
          <w:b/>
          <w:bCs/>
          <w:i/>
          <w:iCs/>
          <w:color w:val="000000"/>
          <w:shd w:val="clear" w:color="auto" w:fill="FFFFFF"/>
          <w:lang w:val="en-CA"/>
        </w:rPr>
        <w:t>Code of Civil Procedure</w:t>
      </w:r>
      <w:r>
        <w:rPr>
          <w:rStyle w:val="normaltextrun"/>
          <w:rFonts w:cs="Arial"/>
          <w:b/>
          <w:bCs/>
          <w:color w:val="000000"/>
          <w:shd w:val="clear" w:color="auto" w:fill="FFFFFF"/>
          <w:lang w:val="en-CA"/>
        </w:rPr>
        <w:t xml:space="preserve">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 xml:space="preserve">.”) provides that, except as authorized by the court, no person shall disclose or circulate any information that would allow a party or a child whose interests are at stake in a proceeding in a matter regarding authorization for care to be identified (art. 16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w:t>
      </w:r>
      <w:r w:rsidRPr="001A36F5">
        <w:rPr>
          <w:rStyle w:val="eop"/>
          <w:rFonts w:cs="Arial"/>
          <w:color w:val="000000"/>
          <w:shd w:val="clear" w:color="auto" w:fill="FFFFFF"/>
          <w:lang w:val="en-CA"/>
        </w:rPr>
        <w:t> </w:t>
      </w:r>
    </w:p>
    <w:p w14:paraId="4142A8BD" w14:textId="77777777" w:rsidR="00E60C8D" w:rsidRDefault="00E60C8D" w:rsidP="00887EEB">
      <w:pPr>
        <w:tabs>
          <w:tab w:val="left" w:pos="630"/>
        </w:tabs>
        <w:spacing w:line="240" w:lineRule="auto"/>
        <w:jc w:val="both"/>
        <w:rPr>
          <w:rFonts w:cs="Arial"/>
          <w:szCs w:val="24"/>
          <w:lang w:val="en-CA"/>
        </w:rPr>
      </w:pPr>
    </w:p>
    <w:tbl>
      <w:tblPr>
        <w:tblStyle w:val="Grilledutableau"/>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E60C8D" w14:paraId="6076AA1F" w14:textId="77777777" w:rsidTr="005D47C7">
        <w:tc>
          <w:tcPr>
            <w:tcW w:w="9445" w:type="dxa"/>
          </w:tcPr>
          <w:p w14:paraId="3550310E" w14:textId="77777777" w:rsidR="00E60C8D" w:rsidRDefault="00E60C8D" w:rsidP="004F4914">
            <w:pPr>
              <w:pStyle w:val="zSoquijdatDateJugement"/>
            </w:pPr>
            <w:r w:rsidRPr="00385784">
              <w:t xml:space="preserve">DATE: </w:t>
            </w:r>
            <w:sdt>
              <w:sdtPr>
                <w:id w:val="-1317951951"/>
                <w:placeholder>
                  <w:docPart w:val="3304FD4B917549E3A0DFE94F2286E023"/>
                </w:placeholder>
                <w:date w:fullDate="2024-12-27T00:00:00Z">
                  <w:dateFormat w:val="MMMM d, yyyy"/>
                  <w:lid w:val="en-CA"/>
                  <w:storeMappedDataAs w:val="dateTime"/>
                  <w:calendar w:val="gregorian"/>
                </w:date>
              </w:sdtPr>
              <w:sdtEndPr/>
              <w:sdtContent>
                <w:r>
                  <w:t>December 27, 2024</w:t>
                </w:r>
              </w:sdtContent>
            </w:sdt>
          </w:p>
        </w:tc>
      </w:tr>
      <w:tr w:rsidR="00E60C8D" w14:paraId="378BD8C6" w14:textId="77777777" w:rsidTr="005D47C7">
        <w:tc>
          <w:tcPr>
            <w:tcW w:w="9445" w:type="dxa"/>
          </w:tcPr>
          <w:p w14:paraId="43693E67" w14:textId="77777777" w:rsidR="00E60C8D" w:rsidRDefault="00E60C8D" w:rsidP="00887EEB">
            <w:pPr>
              <w:tabs>
                <w:tab w:val="left" w:pos="630"/>
              </w:tabs>
              <w:spacing w:line="240" w:lineRule="auto"/>
              <w:jc w:val="both"/>
              <w:rPr>
                <w:lang w:val="en-CA"/>
              </w:rPr>
            </w:pPr>
          </w:p>
        </w:tc>
      </w:tr>
      <w:tr w:rsidR="00E60C8D" w14:paraId="4BCA89CF" w14:textId="77777777" w:rsidTr="005D47C7">
        <w:tc>
          <w:tcPr>
            <w:tcW w:w="9445" w:type="dxa"/>
          </w:tcPr>
          <w:p w14:paraId="0B07F83A" w14:textId="77777777" w:rsidR="00E60C8D" w:rsidRPr="004F4914" w:rsidRDefault="00E60C8D" w:rsidP="004F4914">
            <w:pPr>
              <w:pStyle w:val="zSoquijdatJuge"/>
            </w:pPr>
            <w:r w:rsidRPr="004F4914">
              <w:t xml:space="preserve">THE HONOURABLE </w:t>
            </w:r>
            <w:r>
              <w:t>ÉRIC HARDY, J.A.</w:t>
            </w:r>
          </w:p>
        </w:tc>
      </w:tr>
    </w:tbl>
    <w:p w14:paraId="3415A1A4" w14:textId="77777777" w:rsidR="00E60C8D" w:rsidRPr="00385784" w:rsidRDefault="00E60C8D" w:rsidP="00887EEB">
      <w:pPr>
        <w:tabs>
          <w:tab w:val="left" w:pos="630"/>
        </w:tabs>
        <w:spacing w:line="240" w:lineRule="auto"/>
        <w:jc w:val="both"/>
        <w:rPr>
          <w:rFonts w:cs="Arial"/>
          <w:szCs w:val="24"/>
          <w:lang w:val="en-CA"/>
        </w:rPr>
      </w:pPr>
      <w:r w:rsidRPr="00385784">
        <w:rPr>
          <w:rFonts w:cs="Arial"/>
          <w:szCs w:val="24"/>
          <w:lang w:val="en-CA"/>
        </w:rPr>
        <w:tab/>
      </w:r>
    </w:p>
    <w:p w14:paraId="3CE6E972" w14:textId="77777777" w:rsidR="00E60C8D" w:rsidRPr="00385784" w:rsidRDefault="00E60C8D" w:rsidP="00215559">
      <w:pPr>
        <w:tabs>
          <w:tab w:val="left" w:pos="-90"/>
        </w:tabs>
        <w:spacing w:line="240" w:lineRule="auto"/>
        <w:ind w:left="-90"/>
        <w:jc w:val="both"/>
        <w:rPr>
          <w:rFonts w:cs="Arial"/>
          <w:szCs w:val="24"/>
          <w:lang w:val="en-CA"/>
        </w:rPr>
      </w:pPr>
    </w:p>
    <w:p w14:paraId="01967E3A" w14:textId="77777777" w:rsidR="00E60C8D" w:rsidRPr="00385784" w:rsidRDefault="00E60C8D" w:rsidP="00887EEB">
      <w:pPr>
        <w:spacing w:line="240" w:lineRule="auto"/>
        <w:jc w:val="both"/>
        <w:rPr>
          <w:rFonts w:cs="Arial"/>
          <w:szCs w:val="24"/>
          <w:lang w:val="en-CA"/>
        </w:rPr>
      </w:pPr>
    </w:p>
    <w:tbl>
      <w:tblPr>
        <w:tblStyle w:val="Grilledutableau1"/>
        <w:tblW w:w="0" w:type="auto"/>
        <w:tblInd w:w="-9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04"/>
      </w:tblGrid>
      <w:tr w:rsidR="00E60C8D" w14:paraId="75DFD8C0" w14:textId="77777777" w:rsidTr="00215559">
        <w:tc>
          <w:tcPr>
            <w:tcW w:w="4590" w:type="dxa"/>
          </w:tcPr>
          <w:p w14:paraId="05753950" w14:textId="77777777" w:rsidR="00E60C8D" w:rsidRPr="004F4914" w:rsidRDefault="00E60C8D" w:rsidP="004F4914">
            <w:pPr>
              <w:pStyle w:val="zSoquijdatQtePartieDem"/>
            </w:pPr>
            <w:r w:rsidRPr="001A36F5">
              <w:t>APPLICANT</w:t>
            </w:r>
          </w:p>
        </w:tc>
        <w:tc>
          <w:tcPr>
            <w:tcW w:w="4950" w:type="dxa"/>
            <w:vAlign w:val="center"/>
          </w:tcPr>
          <w:p w14:paraId="7D24550D" w14:textId="77777777" w:rsidR="00E60C8D" w:rsidRPr="00EA027E" w:rsidRDefault="00E60C8D" w:rsidP="00EA027E">
            <w:pPr>
              <w:pStyle w:val="zSoquijlblProcureurDem"/>
            </w:pPr>
            <w:r w:rsidRPr="00EA027E">
              <w:t>COUNSEL</w:t>
            </w:r>
          </w:p>
        </w:tc>
      </w:tr>
      <w:tr w:rsidR="00E60C8D" w14:paraId="094A34A0" w14:textId="77777777" w:rsidTr="00215559">
        <w:tc>
          <w:tcPr>
            <w:tcW w:w="4590" w:type="dxa"/>
          </w:tcPr>
          <w:p w14:paraId="278B3676" w14:textId="77777777" w:rsidR="00E60C8D" w:rsidRPr="00385784" w:rsidRDefault="00E60C8D" w:rsidP="00033ACA">
            <w:pPr>
              <w:tabs>
                <w:tab w:val="center" w:pos="2162"/>
              </w:tabs>
              <w:spacing w:line="240" w:lineRule="auto"/>
              <w:jc w:val="center"/>
              <w:rPr>
                <w:b/>
                <w:lang w:val="en-CA"/>
              </w:rPr>
            </w:pPr>
          </w:p>
          <w:p w14:paraId="22B51852" w14:textId="75FB24F9" w:rsidR="00E60C8D" w:rsidRPr="00385784" w:rsidRDefault="0060147D" w:rsidP="00F12661">
            <w:pPr>
              <w:pStyle w:val="zSoquijdatNomPartieDem"/>
              <w:tabs>
                <w:tab w:val="center" w:pos="2412"/>
              </w:tabs>
              <w:rPr>
                <w:lang w:val="en-CA"/>
              </w:rPr>
            </w:pPr>
            <w:r>
              <w:rPr>
                <w:caps/>
                <w:lang w:val="en-CA"/>
              </w:rPr>
              <w:t>N.</w:t>
            </w:r>
            <w:r w:rsidRPr="001A36F5">
              <w:rPr>
                <w:caps/>
                <w:lang w:val="en-CA"/>
              </w:rPr>
              <w:t xml:space="preserve"> G</w:t>
            </w:r>
            <w:r>
              <w:rPr>
                <w:caps/>
                <w:lang w:val="en-CA"/>
              </w:rPr>
              <w:t>.</w:t>
            </w:r>
          </w:p>
        </w:tc>
        <w:tc>
          <w:tcPr>
            <w:tcW w:w="4950" w:type="dxa"/>
          </w:tcPr>
          <w:p w14:paraId="1872D842" w14:textId="77777777" w:rsidR="00E60C8D" w:rsidRPr="00385784" w:rsidRDefault="00E60C8D" w:rsidP="00887EEB">
            <w:pPr>
              <w:spacing w:line="240" w:lineRule="auto"/>
              <w:jc w:val="center"/>
              <w:rPr>
                <w:rFonts w:cs="Arial"/>
                <w:szCs w:val="24"/>
                <w:lang w:val="en-CA"/>
              </w:rPr>
            </w:pPr>
          </w:p>
          <w:p w14:paraId="08DF26FC" w14:textId="77777777" w:rsidR="00E60C8D" w:rsidRPr="001A36F5" w:rsidRDefault="00E60C8D" w:rsidP="001A36F5">
            <w:pPr>
              <w:pStyle w:val="zSoquijdatNomProcureurDem"/>
            </w:pPr>
            <w:r>
              <w:rPr>
                <w:caps/>
              </w:rPr>
              <w:t xml:space="preserve">ABSENT AND </w:t>
            </w:r>
            <w:r w:rsidRPr="001A36F5">
              <w:rPr>
                <w:caps/>
              </w:rPr>
              <w:t>Unrepresented</w:t>
            </w:r>
          </w:p>
          <w:p w14:paraId="73E73E34" w14:textId="77777777" w:rsidR="00E60C8D" w:rsidRPr="00385784" w:rsidRDefault="00E60C8D" w:rsidP="00887EEB">
            <w:pPr>
              <w:spacing w:line="240" w:lineRule="auto"/>
              <w:jc w:val="center"/>
              <w:rPr>
                <w:rFonts w:cs="Arial"/>
                <w:szCs w:val="24"/>
                <w:lang w:val="en-CA"/>
              </w:rPr>
            </w:pPr>
          </w:p>
        </w:tc>
      </w:tr>
      <w:tr w:rsidR="00E60C8D" w14:paraId="13C2EE10" w14:textId="77777777" w:rsidTr="00215559">
        <w:tc>
          <w:tcPr>
            <w:tcW w:w="4590" w:type="dxa"/>
          </w:tcPr>
          <w:p w14:paraId="7ED1889B" w14:textId="77777777" w:rsidR="00E60C8D" w:rsidRPr="00385784" w:rsidRDefault="00E60C8D" w:rsidP="004F4914">
            <w:pPr>
              <w:pStyle w:val="zSoquijdatQtePartieDef"/>
            </w:pPr>
            <w:r w:rsidRPr="004F4914">
              <w:t>RESPONDENT</w:t>
            </w:r>
          </w:p>
        </w:tc>
        <w:tc>
          <w:tcPr>
            <w:tcW w:w="4950" w:type="dxa"/>
            <w:vAlign w:val="center"/>
          </w:tcPr>
          <w:p w14:paraId="4772A223" w14:textId="77777777" w:rsidR="00E60C8D" w:rsidRPr="00EA027E" w:rsidRDefault="00E60C8D" w:rsidP="00EA027E">
            <w:pPr>
              <w:pStyle w:val="zSoquijlblProcureurDef"/>
            </w:pPr>
            <w:r w:rsidRPr="00EA027E">
              <w:t>COUNSEL</w:t>
            </w:r>
          </w:p>
        </w:tc>
      </w:tr>
      <w:tr w:rsidR="00E60C8D" w14:paraId="27E543DC" w14:textId="77777777" w:rsidTr="00215559">
        <w:tc>
          <w:tcPr>
            <w:tcW w:w="4590" w:type="dxa"/>
          </w:tcPr>
          <w:p w14:paraId="38338B05" w14:textId="77777777" w:rsidR="00E60C8D" w:rsidRPr="00385784" w:rsidRDefault="00E60C8D" w:rsidP="00887EEB">
            <w:pPr>
              <w:spacing w:line="240" w:lineRule="auto"/>
              <w:jc w:val="center"/>
              <w:rPr>
                <w:b/>
                <w:lang w:val="en-CA"/>
              </w:rPr>
            </w:pPr>
          </w:p>
          <w:p w14:paraId="2C6902EE" w14:textId="77777777" w:rsidR="00E60C8D" w:rsidRPr="00385784" w:rsidRDefault="00E60C8D" w:rsidP="007377D2">
            <w:pPr>
              <w:pStyle w:val="zSoquijdatNomPartieDef"/>
              <w:tabs>
                <w:tab w:val="center" w:pos="2412"/>
              </w:tabs>
              <w:rPr>
                <w:lang w:val="en-CA"/>
              </w:rPr>
            </w:pPr>
            <w:r w:rsidRPr="001A36F5">
              <w:rPr>
                <w:caps/>
                <w:lang w:val="en-CA"/>
              </w:rPr>
              <w:t>mcgill university health center</w:t>
            </w:r>
          </w:p>
        </w:tc>
        <w:tc>
          <w:tcPr>
            <w:tcW w:w="4950" w:type="dxa"/>
          </w:tcPr>
          <w:p w14:paraId="53A21C35" w14:textId="77777777" w:rsidR="00E60C8D" w:rsidRPr="000953C6" w:rsidRDefault="00E60C8D" w:rsidP="00887EEB">
            <w:pPr>
              <w:spacing w:line="240" w:lineRule="auto"/>
              <w:jc w:val="center"/>
              <w:rPr>
                <w:rFonts w:cs="Arial"/>
                <w:szCs w:val="24"/>
              </w:rPr>
            </w:pPr>
          </w:p>
          <w:p w14:paraId="0D20FC7E" w14:textId="77777777" w:rsidR="00E60C8D" w:rsidRDefault="00E60C8D" w:rsidP="00EA027E">
            <w:pPr>
              <w:pStyle w:val="zSoquijdatNomProcureurDef"/>
              <w:rPr>
                <w:lang w:val="fr-CA"/>
              </w:rPr>
            </w:pPr>
            <w:r w:rsidRPr="000A64EE">
              <w:rPr>
                <w:lang w:val="fr-CA"/>
              </w:rPr>
              <w:t>Mtre DENISA VOICULES</w:t>
            </w:r>
            <w:r>
              <w:rPr>
                <w:lang w:val="fr-CA"/>
              </w:rPr>
              <w:t>CU</w:t>
            </w:r>
          </w:p>
          <w:p w14:paraId="45831C14" w14:textId="77777777" w:rsidR="00E60C8D" w:rsidRPr="000A64EE" w:rsidRDefault="00E60C8D" w:rsidP="00EA027E">
            <w:pPr>
              <w:pStyle w:val="zSoquijdatNomProcureurDef"/>
              <w:rPr>
                <w:lang w:val="fr-CA"/>
              </w:rPr>
            </w:pPr>
            <w:r>
              <w:rPr>
                <w:lang w:val="fr-CA"/>
              </w:rPr>
              <w:t>Mtre STÉPHANIE RAINVILLE</w:t>
            </w:r>
          </w:p>
          <w:p w14:paraId="51D90ED8" w14:textId="77777777" w:rsidR="00E60C8D" w:rsidRPr="00385784" w:rsidRDefault="00E60C8D" w:rsidP="00EA027E">
            <w:pPr>
              <w:pStyle w:val="zSoquijdatCabinetProcureurDef"/>
            </w:pPr>
            <w:r w:rsidRPr="00385784">
              <w:t>(</w:t>
            </w:r>
            <w:r w:rsidRPr="001A36F5">
              <w:rPr>
                <w:i/>
              </w:rPr>
              <w:t>Monette Barakett</w:t>
            </w:r>
            <w:r w:rsidRPr="00385784">
              <w:t>)</w:t>
            </w:r>
          </w:p>
          <w:p w14:paraId="0F1B5DAC" w14:textId="77777777" w:rsidR="00E60C8D" w:rsidRPr="000A64EE" w:rsidRDefault="00E60C8D" w:rsidP="00436B20">
            <w:pPr>
              <w:spacing w:line="240" w:lineRule="auto"/>
              <w:jc w:val="center"/>
              <w:rPr>
                <w:rFonts w:cs="Arial"/>
                <w:szCs w:val="24"/>
              </w:rPr>
            </w:pPr>
            <w:r>
              <w:rPr>
                <w:rFonts w:cs="Arial"/>
                <w:szCs w:val="24"/>
              </w:rPr>
              <w:t>Absent</w:t>
            </w:r>
          </w:p>
        </w:tc>
      </w:tr>
      <w:tr w:rsidR="00E60C8D" w14:paraId="1A4D7CD7" w14:textId="77777777" w:rsidTr="00215559">
        <w:tc>
          <w:tcPr>
            <w:tcW w:w="4590" w:type="dxa"/>
            <w:vAlign w:val="center"/>
          </w:tcPr>
          <w:p w14:paraId="2169277D" w14:textId="77777777" w:rsidR="00E60C8D" w:rsidRPr="00385784" w:rsidRDefault="00E60C8D" w:rsidP="004F4914">
            <w:pPr>
              <w:pStyle w:val="zSoquijdatQtePartieMec"/>
            </w:pPr>
            <w:r>
              <w:t>IMPLEADED PARTY</w:t>
            </w:r>
          </w:p>
        </w:tc>
        <w:tc>
          <w:tcPr>
            <w:tcW w:w="4950" w:type="dxa"/>
            <w:vAlign w:val="center"/>
          </w:tcPr>
          <w:p w14:paraId="5A1CB4B5" w14:textId="77777777" w:rsidR="00E60C8D" w:rsidRPr="00385784" w:rsidRDefault="00E60C8D" w:rsidP="00EA027E">
            <w:pPr>
              <w:pStyle w:val="zSoquijlblProcureurMec"/>
              <w:framePr w:wrap="around"/>
            </w:pPr>
            <w:r>
              <w:t>COUNSEL</w:t>
            </w:r>
          </w:p>
        </w:tc>
      </w:tr>
      <w:tr w:rsidR="00E60C8D" w14:paraId="5631AC7F" w14:textId="77777777" w:rsidTr="00215559">
        <w:tc>
          <w:tcPr>
            <w:tcW w:w="4590" w:type="dxa"/>
          </w:tcPr>
          <w:p w14:paraId="29BB0BF7" w14:textId="77777777" w:rsidR="00E60C8D" w:rsidRPr="00385784" w:rsidRDefault="00E60C8D" w:rsidP="002E7403">
            <w:pPr>
              <w:pStyle w:val="zSoquijdatNomPartieMec"/>
              <w:rPr>
                <w:lang w:val="en-CA"/>
              </w:rPr>
            </w:pPr>
          </w:p>
          <w:p w14:paraId="07C6BDA1" w14:textId="5872E2C8" w:rsidR="00E60C8D" w:rsidRPr="00385784" w:rsidRDefault="0060147D" w:rsidP="007377D2">
            <w:pPr>
              <w:pStyle w:val="zSoquijdatNomPartieMec"/>
              <w:tabs>
                <w:tab w:val="center" w:pos="2322"/>
              </w:tabs>
              <w:rPr>
                <w:lang w:val="en-CA"/>
              </w:rPr>
            </w:pPr>
            <w:r w:rsidRPr="001A36F5">
              <w:rPr>
                <w:caps/>
                <w:lang w:val="en-CA"/>
              </w:rPr>
              <w:t>Na</w:t>
            </w:r>
            <w:r>
              <w:rPr>
                <w:caps/>
                <w:lang w:val="en-CA"/>
              </w:rPr>
              <w:t>.</w:t>
            </w:r>
            <w:r w:rsidRPr="001A36F5">
              <w:rPr>
                <w:caps/>
                <w:lang w:val="en-CA"/>
              </w:rPr>
              <w:t xml:space="preserve"> G</w:t>
            </w:r>
            <w:r>
              <w:rPr>
                <w:caps/>
                <w:lang w:val="en-CA"/>
              </w:rPr>
              <w:t>.</w:t>
            </w:r>
          </w:p>
        </w:tc>
        <w:tc>
          <w:tcPr>
            <w:tcW w:w="4950" w:type="dxa"/>
          </w:tcPr>
          <w:p w14:paraId="6E65741F" w14:textId="77777777" w:rsidR="00E60C8D" w:rsidRPr="00385784" w:rsidRDefault="00E60C8D" w:rsidP="00887EEB">
            <w:pPr>
              <w:spacing w:line="240" w:lineRule="auto"/>
              <w:jc w:val="center"/>
              <w:rPr>
                <w:rFonts w:cs="Arial"/>
                <w:szCs w:val="24"/>
                <w:lang w:val="en-CA"/>
              </w:rPr>
            </w:pPr>
          </w:p>
          <w:p w14:paraId="4524B0AA" w14:textId="77777777" w:rsidR="00E60C8D" w:rsidRPr="00385784" w:rsidRDefault="00E60C8D" w:rsidP="00F3537E">
            <w:pPr>
              <w:pStyle w:val="zSoquijdatNomProcureurMec"/>
              <w:rPr>
                <w:lang w:val="en-CA"/>
              </w:rPr>
            </w:pPr>
            <w:r w:rsidRPr="001A36F5">
              <w:rPr>
                <w:caps/>
                <w:lang w:val="en-CA"/>
              </w:rPr>
              <w:t>absent and unrepresented</w:t>
            </w:r>
          </w:p>
          <w:p w14:paraId="2B9A36B6" w14:textId="77777777" w:rsidR="00E60C8D" w:rsidRPr="00385784" w:rsidRDefault="00E60C8D" w:rsidP="00887EEB">
            <w:pPr>
              <w:spacing w:line="240" w:lineRule="auto"/>
              <w:jc w:val="center"/>
              <w:rPr>
                <w:rFonts w:cs="Arial"/>
                <w:szCs w:val="24"/>
                <w:lang w:val="en-CA"/>
              </w:rPr>
            </w:pPr>
          </w:p>
        </w:tc>
      </w:tr>
    </w:tbl>
    <w:p w14:paraId="4AB36FCF" w14:textId="77777777" w:rsidR="00E60C8D" w:rsidRPr="00385784" w:rsidRDefault="00E60C8D" w:rsidP="00887EEB">
      <w:pPr>
        <w:spacing w:line="240" w:lineRule="auto"/>
        <w:jc w:val="both"/>
        <w:rPr>
          <w:rFonts w:cs="Arial"/>
          <w:szCs w:val="24"/>
          <w:lang w:val="en-CA"/>
        </w:rPr>
      </w:pPr>
    </w:p>
    <w:tbl>
      <w:tblPr>
        <w:tblStyle w:val="Grilledutableau1"/>
        <w:tblW w:w="9450" w:type="dxa"/>
        <w:tblInd w:w="-90" w:type="dxa"/>
        <w:tblBorders>
          <w:top w:val="none" w:sz="0" w:space="0" w:color="auto"/>
          <w:bottom w:val="none" w:sz="0" w:space="0" w:color="auto"/>
        </w:tblBorders>
        <w:tblLook w:val="04A0" w:firstRow="1" w:lastRow="0" w:firstColumn="1" w:lastColumn="0" w:noHBand="0" w:noVBand="1"/>
      </w:tblPr>
      <w:tblGrid>
        <w:gridCol w:w="1923"/>
        <w:gridCol w:w="7527"/>
      </w:tblGrid>
      <w:tr w:rsidR="00E60C8D" w14:paraId="2B19F1BE" w14:textId="77777777" w:rsidTr="004F1005">
        <w:tc>
          <w:tcPr>
            <w:tcW w:w="1923" w:type="dxa"/>
            <w:shd w:val="clear" w:color="auto" w:fill="auto"/>
          </w:tcPr>
          <w:p w14:paraId="60D532B6" w14:textId="77777777" w:rsidR="00E60C8D" w:rsidRPr="00385784" w:rsidRDefault="00E60C8D" w:rsidP="002F75FF">
            <w:pPr>
              <w:spacing w:line="240" w:lineRule="auto"/>
              <w:ind w:left="-70"/>
              <w:jc w:val="both"/>
              <w:rPr>
                <w:rFonts w:cs="Arial"/>
                <w:kern w:val="28"/>
                <w:szCs w:val="24"/>
                <w:lang w:val="en-CA"/>
              </w:rPr>
            </w:pPr>
            <w:r>
              <w:rPr>
                <w:rFonts w:cs="Arial"/>
                <w:kern w:val="28"/>
                <w:szCs w:val="24"/>
                <w:lang w:val="en-CA"/>
              </w:rPr>
              <w:lastRenderedPageBreak/>
              <w:t>DESCRIPTION</w:t>
            </w:r>
            <w:r w:rsidRPr="00385784">
              <w:rPr>
                <w:rFonts w:cs="Arial"/>
                <w:kern w:val="28"/>
                <w:szCs w:val="24"/>
                <w:lang w:val="en-CA"/>
              </w:rPr>
              <w:t>:</w:t>
            </w:r>
          </w:p>
        </w:tc>
        <w:tc>
          <w:tcPr>
            <w:tcW w:w="7527" w:type="dxa"/>
            <w:vAlign w:val="center"/>
          </w:tcPr>
          <w:p w14:paraId="6E075A23" w14:textId="77777777" w:rsidR="00E60C8D" w:rsidRPr="00385784" w:rsidRDefault="00E60C8D" w:rsidP="00887EEB">
            <w:pPr>
              <w:spacing w:line="240" w:lineRule="auto"/>
              <w:jc w:val="both"/>
              <w:rPr>
                <w:rFonts w:cs="Arial"/>
                <w:kern w:val="28"/>
                <w:szCs w:val="24"/>
                <w:lang w:val="en-CA"/>
              </w:rPr>
            </w:pPr>
            <w:r w:rsidRPr="001A36F5">
              <w:rPr>
                <w:rFonts w:cs="Arial"/>
                <w:b/>
                <w:kern w:val="28"/>
                <w:szCs w:val="24"/>
                <w:lang w:val="en-CA"/>
              </w:rPr>
              <w:t xml:space="preserve">Appellant </w:t>
            </w:r>
            <w:r>
              <w:rPr>
                <w:rFonts w:cs="Arial"/>
                <w:b/>
                <w:kern w:val="28"/>
                <w:szCs w:val="24"/>
                <w:lang w:val="en-CA"/>
              </w:rPr>
              <w:t>application</w:t>
            </w:r>
            <w:r w:rsidRPr="001A36F5">
              <w:rPr>
                <w:rFonts w:cs="Arial"/>
                <w:b/>
                <w:kern w:val="28"/>
                <w:szCs w:val="24"/>
                <w:lang w:val="en-CA"/>
              </w:rPr>
              <w:t xml:space="preserve"> for</w:t>
            </w:r>
            <w:r>
              <w:rPr>
                <w:rFonts w:cs="Arial"/>
                <w:b/>
                <w:kern w:val="28"/>
                <w:szCs w:val="24"/>
                <w:lang w:val="en-CA"/>
              </w:rPr>
              <w:t xml:space="preserve"> a</w:t>
            </w:r>
            <w:r w:rsidRPr="001A36F5">
              <w:rPr>
                <w:rFonts w:cs="Arial"/>
                <w:b/>
                <w:kern w:val="28"/>
                <w:szCs w:val="24"/>
                <w:lang w:val="en-CA"/>
              </w:rPr>
              <w:t xml:space="preserve"> stay of execution of</w:t>
            </w:r>
            <w:r>
              <w:rPr>
                <w:rFonts w:cs="Arial"/>
                <w:b/>
                <w:kern w:val="28"/>
                <w:szCs w:val="24"/>
                <w:lang w:val="en-CA"/>
              </w:rPr>
              <w:t xml:space="preserve"> a</w:t>
            </w:r>
            <w:r w:rsidRPr="001A36F5">
              <w:rPr>
                <w:rFonts w:cs="Arial"/>
                <w:b/>
                <w:kern w:val="28"/>
                <w:szCs w:val="24"/>
                <w:lang w:val="en-CA"/>
              </w:rPr>
              <w:t xml:space="preserve"> judgment pending appeal to the Supreme Court of Canada </w:t>
            </w:r>
            <w:r w:rsidRPr="001A36F5">
              <w:rPr>
                <w:rFonts w:cs="Arial"/>
                <w:bCs/>
                <w:kern w:val="28"/>
                <w:szCs w:val="24"/>
                <w:lang w:val="en-CA"/>
              </w:rPr>
              <w:t xml:space="preserve">(Section 65.1(2) </w:t>
            </w:r>
            <w:r w:rsidRPr="001A36F5">
              <w:rPr>
                <w:rFonts w:cs="Arial"/>
                <w:bCs/>
                <w:i/>
                <w:iCs/>
                <w:kern w:val="28"/>
                <w:szCs w:val="24"/>
                <w:lang w:val="en-CA"/>
              </w:rPr>
              <w:t>Supreme Court Act</w:t>
            </w:r>
            <w:r w:rsidRPr="001A36F5">
              <w:rPr>
                <w:rFonts w:cs="Arial"/>
                <w:bCs/>
                <w:kern w:val="28"/>
                <w:szCs w:val="24"/>
                <w:lang w:val="en-CA"/>
              </w:rPr>
              <w:t xml:space="preserve"> and art. 522.1 </w:t>
            </w:r>
            <w:r w:rsidRPr="001A36F5">
              <w:rPr>
                <w:rFonts w:cs="Arial"/>
                <w:bCs/>
                <w:i/>
                <w:iCs/>
                <w:kern w:val="28"/>
                <w:szCs w:val="24"/>
                <w:lang w:val="en-CA"/>
              </w:rPr>
              <w:t>C.C.P.</w:t>
            </w:r>
            <w:r w:rsidRPr="001A36F5">
              <w:rPr>
                <w:rFonts w:cs="Arial"/>
                <w:bCs/>
                <w:kern w:val="28"/>
                <w:szCs w:val="24"/>
                <w:lang w:val="en-CA"/>
              </w:rPr>
              <w:t>)</w:t>
            </w:r>
            <w:r w:rsidRPr="001A36F5">
              <w:rPr>
                <w:rFonts w:cs="Arial"/>
                <w:b/>
                <w:kern w:val="28"/>
                <w:szCs w:val="24"/>
                <w:lang w:val="en-CA"/>
              </w:rPr>
              <w:t>.</w:t>
            </w:r>
          </w:p>
        </w:tc>
      </w:tr>
    </w:tbl>
    <w:p w14:paraId="1D5BD7C6" w14:textId="77777777" w:rsidR="00E60C8D" w:rsidRPr="00385784" w:rsidRDefault="00E60C8D" w:rsidP="00887EEB">
      <w:pPr>
        <w:spacing w:line="240" w:lineRule="auto"/>
        <w:jc w:val="both"/>
        <w:rPr>
          <w:rFonts w:cs="Arial"/>
          <w:szCs w:val="24"/>
          <w:lang w:val="en-CA"/>
        </w:rPr>
      </w:pPr>
    </w:p>
    <w:tbl>
      <w:tblPr>
        <w:tblW w:w="9450" w:type="dxa"/>
        <w:tblInd w:w="-9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20"/>
        <w:gridCol w:w="4430"/>
      </w:tblGrid>
      <w:tr w:rsidR="00E60C8D" w14:paraId="2AD26D05" w14:textId="77777777" w:rsidTr="004F1005">
        <w:trPr>
          <w:cantSplit/>
          <w:trHeight w:val="397"/>
        </w:trPr>
        <w:tc>
          <w:tcPr>
            <w:tcW w:w="5020" w:type="dxa"/>
            <w:tcBorders>
              <w:top w:val="single" w:sz="4" w:space="0" w:color="auto"/>
              <w:bottom w:val="single" w:sz="4" w:space="0" w:color="auto"/>
              <w:right w:val="single" w:sz="4" w:space="0" w:color="auto"/>
            </w:tcBorders>
            <w:vAlign w:val="center"/>
          </w:tcPr>
          <w:p w14:paraId="677180EC" w14:textId="77777777" w:rsidR="00E60C8D" w:rsidRPr="00385784" w:rsidRDefault="00E60C8D" w:rsidP="002F75FF">
            <w:pPr>
              <w:spacing w:before="120" w:after="120" w:line="240" w:lineRule="auto"/>
              <w:ind w:left="-70"/>
              <w:rPr>
                <w:rFonts w:cs="Arial"/>
                <w:szCs w:val="24"/>
                <w:lang w:val="en-CA"/>
              </w:rPr>
            </w:pPr>
            <w:r>
              <w:rPr>
                <w:rFonts w:cs="Arial"/>
                <w:szCs w:val="24"/>
                <w:lang w:val="en-CA"/>
              </w:rPr>
              <w:t>Clerk at the hearing</w:t>
            </w:r>
            <w:r w:rsidRPr="00385784">
              <w:rPr>
                <w:rFonts w:cs="Arial"/>
                <w:szCs w:val="24"/>
                <w:lang w:val="en-CA"/>
              </w:rPr>
              <w:t xml:space="preserve">: </w:t>
            </w:r>
            <w:r>
              <w:rPr>
                <w:rFonts w:cs="Arial"/>
                <w:szCs w:val="24"/>
                <w:lang w:val="en-CA"/>
              </w:rPr>
              <w:t>Mélanie Camiré</w:t>
            </w:r>
          </w:p>
        </w:tc>
        <w:tc>
          <w:tcPr>
            <w:tcW w:w="4430" w:type="dxa"/>
            <w:tcBorders>
              <w:left w:val="single" w:sz="4" w:space="0" w:color="auto"/>
            </w:tcBorders>
            <w:vAlign w:val="center"/>
          </w:tcPr>
          <w:p w14:paraId="086BCE35" w14:textId="77777777" w:rsidR="00E60C8D" w:rsidRPr="00385784" w:rsidRDefault="00E60C8D" w:rsidP="00887EEB">
            <w:pPr>
              <w:spacing w:line="240" w:lineRule="auto"/>
              <w:jc w:val="both"/>
              <w:rPr>
                <w:rFonts w:eastAsiaTheme="minorHAnsi" w:cs="Arial"/>
                <w:szCs w:val="24"/>
                <w:lang w:val="en-CA" w:eastAsia="en-US"/>
              </w:rPr>
            </w:pPr>
            <w:r>
              <w:rPr>
                <w:rFonts w:cs="Arial"/>
                <w:szCs w:val="24"/>
                <w:lang w:val="en-CA"/>
              </w:rPr>
              <w:t>Courtroom</w:t>
            </w:r>
            <w:r w:rsidRPr="00385784">
              <w:rPr>
                <w:rFonts w:cs="Arial"/>
                <w:szCs w:val="24"/>
                <w:lang w:val="en-CA"/>
              </w:rPr>
              <w:t xml:space="preserve">: </w:t>
            </w:r>
            <w:r>
              <w:rPr>
                <w:rFonts w:cs="Arial"/>
                <w:szCs w:val="24"/>
                <w:lang w:val="en-CA"/>
              </w:rPr>
              <w:t>RC-18</w:t>
            </w:r>
            <w:r w:rsidRPr="00385784">
              <w:rPr>
                <w:rFonts w:cs="Arial"/>
                <w:szCs w:val="24"/>
                <w:lang w:val="en-CA"/>
              </w:rPr>
              <w:fldChar w:fldCharType="begin"/>
            </w:r>
            <w:r w:rsidRPr="00385784">
              <w:rPr>
                <w:rFonts w:cs="Arial"/>
                <w:szCs w:val="24"/>
                <w:lang w:val="en-CA"/>
              </w:rPr>
              <w:instrText xml:space="preserve">  </w:instrText>
            </w:r>
            <w:r w:rsidRPr="00385784">
              <w:rPr>
                <w:rFonts w:cs="Arial"/>
                <w:szCs w:val="24"/>
                <w:lang w:val="en-CA"/>
              </w:rPr>
              <w:fldChar w:fldCharType="end"/>
            </w:r>
          </w:p>
        </w:tc>
      </w:tr>
    </w:tbl>
    <w:p w14:paraId="65AD2145" w14:textId="77777777" w:rsidR="00E60C8D" w:rsidRDefault="00E60C8D" w:rsidP="00887EEB">
      <w:pPr>
        <w:spacing w:line="240" w:lineRule="auto"/>
        <w:jc w:val="both"/>
        <w:rPr>
          <w:rFonts w:cs="Arial"/>
          <w:szCs w:val="24"/>
          <w:lang w:val="en-CA"/>
        </w:rPr>
      </w:pPr>
    </w:p>
    <w:tbl>
      <w:tblPr>
        <w:tblStyle w:val="Grilledutableau1"/>
        <w:tblW w:w="9450" w:type="dxa"/>
        <w:tblInd w:w="-90" w:type="dxa"/>
        <w:tblBorders>
          <w:insideH w:val="single" w:sz="4" w:space="0" w:color="auto"/>
          <w:insideV w:val="single" w:sz="4" w:space="0" w:color="auto"/>
        </w:tblBorders>
        <w:tblLook w:val="04A0" w:firstRow="1" w:lastRow="0" w:firstColumn="1" w:lastColumn="0" w:noHBand="0" w:noVBand="1"/>
      </w:tblPr>
      <w:tblGrid>
        <w:gridCol w:w="9450"/>
      </w:tblGrid>
      <w:tr w:rsidR="00E60C8D" w14:paraId="2CBF6426" w14:textId="77777777" w:rsidTr="004F1005">
        <w:tc>
          <w:tcPr>
            <w:tcW w:w="9450" w:type="dxa"/>
            <w:vAlign w:val="center"/>
          </w:tcPr>
          <w:p w14:paraId="3DE246B5" w14:textId="77777777" w:rsidR="00E60C8D" w:rsidRPr="00385784" w:rsidRDefault="00E60C8D" w:rsidP="00887EEB">
            <w:pPr>
              <w:spacing w:before="240" w:after="240" w:line="240" w:lineRule="auto"/>
              <w:jc w:val="center"/>
              <w:rPr>
                <w:lang w:val="en-CA"/>
              </w:rPr>
            </w:pPr>
            <w:r>
              <w:rPr>
                <w:rFonts w:cs="Arial"/>
                <w:szCs w:val="24"/>
                <w:lang w:val="en-CA"/>
              </w:rPr>
              <w:br w:type="page"/>
            </w:r>
            <w:r>
              <w:rPr>
                <w:lang w:val="en-CA"/>
              </w:rPr>
              <w:t>HEARING</w:t>
            </w:r>
          </w:p>
        </w:tc>
      </w:tr>
    </w:tbl>
    <w:p w14:paraId="4571C9D7" w14:textId="77777777" w:rsidR="00E60C8D" w:rsidRPr="00385784" w:rsidRDefault="00E60C8D" w:rsidP="00887EEB">
      <w:pPr>
        <w:spacing w:line="240" w:lineRule="auto"/>
        <w:jc w:val="both"/>
        <w:rPr>
          <w:rFonts w:cs="Arial"/>
          <w:szCs w:val="24"/>
          <w:lang w:val="en-CA"/>
        </w:rPr>
      </w:pPr>
    </w:p>
    <w:tbl>
      <w:tblPr>
        <w:tblW w:w="9450" w:type="dxa"/>
        <w:tblInd w:w="-9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8100"/>
      </w:tblGrid>
      <w:tr w:rsidR="00E60C8D" w14:paraId="795F56D1" w14:textId="77777777" w:rsidTr="004F1005">
        <w:trPr>
          <w:trHeight w:val="260"/>
        </w:trPr>
        <w:tc>
          <w:tcPr>
            <w:tcW w:w="1350" w:type="dxa"/>
            <w:tcBorders>
              <w:top w:val="nil"/>
              <w:bottom w:val="single" w:sz="4" w:space="0" w:color="auto"/>
              <w:right w:val="nil"/>
            </w:tcBorders>
          </w:tcPr>
          <w:p w14:paraId="3959143F" w14:textId="77777777" w:rsidR="00E60C8D" w:rsidRPr="00385784" w:rsidRDefault="00E60C8D" w:rsidP="00360A34">
            <w:pPr>
              <w:spacing w:before="120" w:after="120" w:line="240" w:lineRule="auto"/>
              <w:jc w:val="both"/>
              <w:rPr>
                <w:rFonts w:cs="Arial"/>
                <w:szCs w:val="24"/>
                <w:lang w:val="en-CA"/>
              </w:rPr>
            </w:pPr>
          </w:p>
        </w:tc>
        <w:tc>
          <w:tcPr>
            <w:tcW w:w="8100" w:type="dxa"/>
            <w:tcBorders>
              <w:top w:val="nil"/>
              <w:left w:val="nil"/>
              <w:bottom w:val="single" w:sz="4" w:space="0" w:color="auto"/>
            </w:tcBorders>
          </w:tcPr>
          <w:p w14:paraId="296A983E" w14:textId="77777777" w:rsidR="00E60C8D" w:rsidRPr="00385784" w:rsidRDefault="00E60C8D" w:rsidP="00887EEB">
            <w:pPr>
              <w:spacing w:before="120" w:after="120" w:line="240" w:lineRule="auto"/>
              <w:jc w:val="both"/>
              <w:rPr>
                <w:rFonts w:cs="Arial"/>
                <w:szCs w:val="24"/>
                <w:lang w:val="en-CA"/>
              </w:rPr>
            </w:pPr>
            <w:r w:rsidRPr="00360A34">
              <w:rPr>
                <w:rFonts w:cs="Arial"/>
                <w:szCs w:val="24"/>
                <w:lang w:val="en-CA"/>
              </w:rPr>
              <w:t xml:space="preserve">Continuation of the hearing held on </w:t>
            </w:r>
            <w:r>
              <w:rPr>
                <w:rFonts w:cs="Arial"/>
                <w:szCs w:val="24"/>
                <w:lang w:val="en-CA"/>
              </w:rPr>
              <w:t>December 23</w:t>
            </w:r>
            <w:r w:rsidRPr="00360A34">
              <w:rPr>
                <w:rFonts w:cs="Arial"/>
                <w:szCs w:val="24"/>
                <w:lang w:val="en-CA"/>
              </w:rPr>
              <w:t>, 20</w:t>
            </w:r>
            <w:r>
              <w:rPr>
                <w:rFonts w:cs="Arial"/>
                <w:szCs w:val="24"/>
                <w:lang w:val="en-CA"/>
              </w:rPr>
              <w:t>24</w:t>
            </w:r>
            <w:r w:rsidRPr="00360A34">
              <w:rPr>
                <w:rFonts w:cs="Arial"/>
                <w:szCs w:val="24"/>
                <w:lang w:val="en-CA"/>
              </w:rPr>
              <w:t>. The parties were excused from appearing in Court.</w:t>
            </w:r>
          </w:p>
        </w:tc>
      </w:tr>
      <w:tr w:rsidR="00E60C8D" w14:paraId="3DCA826A" w14:textId="77777777" w:rsidTr="004F1005">
        <w:trPr>
          <w:trHeight w:val="260"/>
        </w:trPr>
        <w:tc>
          <w:tcPr>
            <w:tcW w:w="1350" w:type="dxa"/>
            <w:tcBorders>
              <w:top w:val="nil"/>
              <w:bottom w:val="single" w:sz="4" w:space="0" w:color="auto"/>
              <w:right w:val="nil"/>
            </w:tcBorders>
          </w:tcPr>
          <w:p w14:paraId="59927707" w14:textId="77777777" w:rsidR="00E60C8D" w:rsidRDefault="00E60C8D" w:rsidP="00360A34">
            <w:pPr>
              <w:spacing w:before="120" w:after="120" w:line="240" w:lineRule="auto"/>
              <w:jc w:val="both"/>
              <w:rPr>
                <w:rFonts w:cs="Arial"/>
                <w:szCs w:val="24"/>
                <w:lang w:val="en-CA"/>
              </w:rPr>
            </w:pPr>
          </w:p>
        </w:tc>
        <w:tc>
          <w:tcPr>
            <w:tcW w:w="8100" w:type="dxa"/>
            <w:tcBorders>
              <w:top w:val="nil"/>
              <w:left w:val="nil"/>
              <w:bottom w:val="single" w:sz="4" w:space="0" w:color="auto"/>
            </w:tcBorders>
          </w:tcPr>
          <w:p w14:paraId="62ED1EFC" w14:textId="77777777" w:rsidR="00E60C8D" w:rsidRPr="00436B20" w:rsidRDefault="00E60C8D" w:rsidP="00887EEB">
            <w:pPr>
              <w:spacing w:before="120" w:after="120" w:line="240" w:lineRule="auto"/>
              <w:jc w:val="both"/>
              <w:rPr>
                <w:rFonts w:cs="Arial"/>
                <w:szCs w:val="24"/>
                <w:lang w:val="en-CA"/>
              </w:rPr>
            </w:pPr>
            <w:r>
              <w:rPr>
                <w:rFonts w:cs="Arial"/>
                <w:b/>
                <w:bCs/>
                <w:szCs w:val="24"/>
                <w:lang w:val="en-CA"/>
              </w:rPr>
              <w:t xml:space="preserve">BY THE JUDGE: </w:t>
            </w:r>
            <w:r>
              <w:rPr>
                <w:rFonts w:cs="Arial"/>
                <w:szCs w:val="24"/>
                <w:lang w:val="en-CA"/>
              </w:rPr>
              <w:t>Judgment – see page 3.</w:t>
            </w:r>
          </w:p>
        </w:tc>
      </w:tr>
      <w:tr w:rsidR="00E60C8D" w14:paraId="058011E7" w14:textId="77777777" w:rsidTr="004F1005">
        <w:trPr>
          <w:trHeight w:val="251"/>
        </w:trPr>
        <w:tc>
          <w:tcPr>
            <w:tcW w:w="1350" w:type="dxa"/>
            <w:tcBorders>
              <w:top w:val="single" w:sz="4" w:space="0" w:color="auto"/>
              <w:bottom w:val="nil"/>
              <w:right w:val="nil"/>
            </w:tcBorders>
          </w:tcPr>
          <w:p w14:paraId="1CF9E052" w14:textId="77777777" w:rsidR="00E60C8D" w:rsidRPr="00385784" w:rsidRDefault="00E60C8D" w:rsidP="00887EEB">
            <w:pPr>
              <w:spacing w:before="120" w:after="120" w:line="240" w:lineRule="auto"/>
              <w:jc w:val="both"/>
              <w:rPr>
                <w:rFonts w:cs="Arial"/>
                <w:szCs w:val="24"/>
                <w:lang w:val="en-CA"/>
              </w:rPr>
            </w:pPr>
          </w:p>
        </w:tc>
        <w:tc>
          <w:tcPr>
            <w:tcW w:w="8100" w:type="dxa"/>
            <w:tcBorders>
              <w:top w:val="single" w:sz="4" w:space="0" w:color="auto"/>
              <w:left w:val="nil"/>
            </w:tcBorders>
          </w:tcPr>
          <w:p w14:paraId="391F6C07" w14:textId="77777777" w:rsidR="00E60C8D" w:rsidRPr="00385784" w:rsidRDefault="00E60C8D" w:rsidP="00887EEB">
            <w:pPr>
              <w:spacing w:before="120" w:after="120" w:line="240" w:lineRule="auto"/>
              <w:jc w:val="both"/>
              <w:rPr>
                <w:rFonts w:cs="Arial"/>
                <w:szCs w:val="24"/>
                <w:lang w:val="en-CA"/>
              </w:rPr>
            </w:pPr>
          </w:p>
        </w:tc>
      </w:tr>
    </w:tbl>
    <w:p w14:paraId="1D3B77BA" w14:textId="77777777" w:rsidR="00E60C8D" w:rsidRPr="00385784" w:rsidRDefault="00E60C8D" w:rsidP="00887EEB">
      <w:pPr>
        <w:spacing w:line="240" w:lineRule="auto"/>
        <w:rPr>
          <w:rFonts w:cs="Arial"/>
          <w:szCs w:val="24"/>
          <w:lang w:val="en-CA"/>
        </w:rPr>
      </w:pPr>
    </w:p>
    <w:tbl>
      <w:tblPr>
        <w:tblStyle w:val="Grilledutableau1"/>
        <w:tblW w:w="0" w:type="auto"/>
        <w:tblInd w:w="-90" w:type="dxa"/>
        <w:tblBorders>
          <w:top w:val="none" w:sz="0" w:space="0" w:color="auto"/>
          <w:bottom w:val="none" w:sz="0" w:space="0" w:color="auto"/>
        </w:tblBorders>
        <w:tblLook w:val="04A0" w:firstRow="1" w:lastRow="0" w:firstColumn="1" w:lastColumn="0" w:noHBand="0" w:noVBand="1"/>
      </w:tblPr>
      <w:tblGrid>
        <w:gridCol w:w="4860"/>
      </w:tblGrid>
      <w:tr w:rsidR="00E60C8D" w14:paraId="25BB8AE8" w14:textId="77777777" w:rsidTr="00E06061">
        <w:tc>
          <w:tcPr>
            <w:tcW w:w="4860" w:type="dxa"/>
            <w:tcBorders>
              <w:bottom w:val="single" w:sz="4" w:space="0" w:color="auto"/>
            </w:tcBorders>
          </w:tcPr>
          <w:p w14:paraId="0D6CE5E0" w14:textId="77777777" w:rsidR="00E60C8D" w:rsidRPr="00385784" w:rsidRDefault="00E60C8D" w:rsidP="00887EEB">
            <w:pPr>
              <w:spacing w:line="240" w:lineRule="auto"/>
              <w:jc w:val="both"/>
              <w:rPr>
                <w:rFonts w:cs="Arial"/>
                <w:szCs w:val="24"/>
                <w:lang w:val="en-CA"/>
              </w:rPr>
            </w:pPr>
          </w:p>
        </w:tc>
      </w:tr>
      <w:tr w:rsidR="00E60C8D" w14:paraId="16F64251" w14:textId="77777777" w:rsidTr="00E06061">
        <w:tc>
          <w:tcPr>
            <w:tcW w:w="4860" w:type="dxa"/>
            <w:tcBorders>
              <w:top w:val="single" w:sz="4" w:space="0" w:color="auto"/>
            </w:tcBorders>
          </w:tcPr>
          <w:p w14:paraId="26CCB987" w14:textId="77777777" w:rsidR="00E60C8D" w:rsidRPr="00385784" w:rsidRDefault="00E60C8D" w:rsidP="00887EEB">
            <w:pPr>
              <w:spacing w:line="240" w:lineRule="auto"/>
              <w:jc w:val="both"/>
              <w:rPr>
                <w:rFonts w:cs="Arial"/>
                <w:szCs w:val="24"/>
                <w:lang w:val="en-CA"/>
              </w:rPr>
            </w:pPr>
            <w:r>
              <w:rPr>
                <w:rFonts w:cs="Arial"/>
                <w:szCs w:val="24"/>
                <w:lang w:val="en-CA"/>
              </w:rPr>
              <w:t>Mélanie Camiré</w:t>
            </w:r>
            <w:r w:rsidRPr="00385784">
              <w:rPr>
                <w:rFonts w:cs="Arial"/>
                <w:szCs w:val="24"/>
                <w:lang w:val="en-CA"/>
              </w:rPr>
              <w:t xml:space="preserve">, </w:t>
            </w:r>
            <w:r>
              <w:rPr>
                <w:rFonts w:cs="Arial"/>
                <w:szCs w:val="24"/>
                <w:lang w:val="en-CA"/>
              </w:rPr>
              <w:t>Clerk at the hearing</w:t>
            </w:r>
          </w:p>
        </w:tc>
      </w:tr>
    </w:tbl>
    <w:p w14:paraId="005AE1D7" w14:textId="77777777" w:rsidR="00E60C8D" w:rsidRPr="00385784" w:rsidRDefault="00E60C8D">
      <w:pPr>
        <w:spacing w:line="240" w:lineRule="auto"/>
        <w:rPr>
          <w:rFonts w:cs="Arial"/>
          <w:szCs w:val="24"/>
          <w:lang w:val="en-CA"/>
        </w:rPr>
      </w:pPr>
      <w:r w:rsidRPr="00385784">
        <w:rPr>
          <w:rFonts w:cs="Arial"/>
          <w:szCs w:val="24"/>
          <w:lang w:val="en-CA"/>
        </w:rPr>
        <w:br w:type="page"/>
      </w:r>
    </w:p>
    <w:tbl>
      <w:tblPr>
        <w:tblStyle w:val="Grilledutableau1"/>
        <w:tblW w:w="9450" w:type="dxa"/>
        <w:tblInd w:w="-90" w:type="dxa"/>
        <w:tblBorders>
          <w:top w:val="single" w:sz="8" w:space="0" w:color="auto"/>
          <w:bottom w:val="single" w:sz="8" w:space="0" w:color="auto"/>
        </w:tblBorders>
        <w:tblLook w:val="04A0" w:firstRow="1" w:lastRow="0" w:firstColumn="1" w:lastColumn="0" w:noHBand="0" w:noVBand="1"/>
      </w:tblPr>
      <w:tblGrid>
        <w:gridCol w:w="9450"/>
      </w:tblGrid>
      <w:tr w:rsidR="00E60C8D" w14:paraId="62DF9889" w14:textId="77777777" w:rsidTr="004F1005">
        <w:tc>
          <w:tcPr>
            <w:tcW w:w="9450" w:type="dxa"/>
            <w:vAlign w:val="center"/>
          </w:tcPr>
          <w:p w14:paraId="3996A25D" w14:textId="77777777" w:rsidR="00E60C8D" w:rsidRPr="00385784" w:rsidRDefault="00E60C8D" w:rsidP="00887EEB">
            <w:pPr>
              <w:spacing w:before="240" w:after="240" w:line="240" w:lineRule="exact"/>
              <w:jc w:val="center"/>
              <w:rPr>
                <w:lang w:val="en-CA"/>
              </w:rPr>
            </w:pPr>
            <w:r>
              <w:rPr>
                <w:lang w:val="en-CA"/>
              </w:rPr>
              <w:lastRenderedPageBreak/>
              <w:t>ENGLISH TRANSLATION OF THE JUDGMENT OF HARDY, J.A.</w:t>
            </w:r>
          </w:p>
        </w:tc>
      </w:tr>
    </w:tbl>
    <w:p w14:paraId="36EBA453" w14:textId="77777777" w:rsidR="00E60C8D" w:rsidRPr="00385784" w:rsidRDefault="00E60C8D" w:rsidP="00887EEB">
      <w:pPr>
        <w:spacing w:line="240" w:lineRule="auto"/>
        <w:jc w:val="both"/>
        <w:rPr>
          <w:lang w:val="en-CA"/>
        </w:rPr>
      </w:pPr>
    </w:p>
    <w:p w14:paraId="090BD4DB" w14:textId="77777777" w:rsidR="00E60C8D" w:rsidRPr="00385784" w:rsidRDefault="00E60C8D" w:rsidP="00E06061">
      <w:pPr>
        <w:spacing w:line="240" w:lineRule="auto"/>
        <w:jc w:val="both"/>
        <w:rPr>
          <w:lang w:val="en-CA"/>
        </w:rPr>
      </w:pPr>
      <w:r>
        <w:rPr>
          <w:rStyle w:val="normaltextrun"/>
          <w:rFonts w:cs="Arial"/>
          <w:b/>
          <w:bCs/>
          <w:color w:val="000000"/>
          <w:u w:val="single"/>
          <w:shd w:val="clear" w:color="auto" w:fill="FFFFFF"/>
          <w:lang w:val="en-CA"/>
        </w:rPr>
        <w:t>WARNING</w:t>
      </w:r>
      <w:r>
        <w:rPr>
          <w:rStyle w:val="normaltextrun"/>
          <w:rFonts w:cs="Arial"/>
          <w:b/>
          <w:bCs/>
          <w:color w:val="000000"/>
          <w:shd w:val="clear" w:color="auto" w:fill="FFFFFF"/>
          <w:lang w:val="en-CA"/>
        </w:rPr>
        <w:t xml:space="preserve">: Disclosure and circulation prohibited: The </w:t>
      </w:r>
      <w:r>
        <w:rPr>
          <w:rStyle w:val="normaltextrun"/>
          <w:rFonts w:cs="Arial"/>
          <w:b/>
          <w:bCs/>
          <w:i/>
          <w:iCs/>
          <w:color w:val="000000"/>
          <w:shd w:val="clear" w:color="auto" w:fill="FFFFFF"/>
          <w:lang w:val="en-CA"/>
        </w:rPr>
        <w:t>Code of Civil Procedure</w:t>
      </w:r>
      <w:r>
        <w:rPr>
          <w:rStyle w:val="normaltextrun"/>
          <w:rFonts w:cs="Arial"/>
          <w:b/>
          <w:bCs/>
          <w:color w:val="000000"/>
          <w:shd w:val="clear" w:color="auto" w:fill="FFFFFF"/>
          <w:lang w:val="en-CA"/>
        </w:rPr>
        <w:t xml:space="preserve">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 xml:space="preserve">.”) provides that, except as authorized by the court, no person shall disclose or circulate any information that would allow a party or a child whose interests are at stake in a proceeding in a matter regarding authorization for care to be identified (art. 16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w:t>
      </w:r>
      <w:r w:rsidRPr="001A36F5">
        <w:rPr>
          <w:rStyle w:val="eop"/>
          <w:rFonts w:cs="Arial"/>
          <w:color w:val="000000"/>
          <w:shd w:val="clear" w:color="auto" w:fill="FFFFFF"/>
          <w:lang w:val="en-CA"/>
        </w:rPr>
        <w:t> </w:t>
      </w:r>
    </w:p>
    <w:p w14:paraId="25F17ABA" w14:textId="77777777" w:rsidR="00E60C8D" w:rsidRPr="00385784" w:rsidRDefault="00E60C8D" w:rsidP="00887EEB">
      <w:pPr>
        <w:spacing w:line="240" w:lineRule="auto"/>
        <w:jc w:val="both"/>
        <w:rPr>
          <w:lang w:val="en-CA"/>
        </w:rPr>
      </w:pPr>
    </w:p>
    <w:p w14:paraId="3BFDE8A5" w14:textId="77777777" w:rsidR="00E60C8D" w:rsidRPr="00E60C8D" w:rsidRDefault="00E60C8D" w:rsidP="00E60C8D">
      <w:pPr>
        <w:pStyle w:val="Paragraphe"/>
        <w:numPr>
          <w:ilvl w:val="0"/>
          <w:numId w:val="19"/>
        </w:numPr>
        <w:tabs>
          <w:tab w:val="num" w:pos="720"/>
        </w:tabs>
        <w:spacing w:line="240" w:lineRule="auto"/>
        <w:ind w:left="0"/>
        <w:rPr>
          <w:lang w:val="en-CA"/>
        </w:rPr>
      </w:pPr>
      <w:r w:rsidRPr="00E60C8D">
        <w:rPr>
          <w:lang w:val="en-CA"/>
        </w:rPr>
        <w:t>Relying on art. 390 of the</w:t>
      </w:r>
      <w:r w:rsidRPr="00E60C8D">
        <w:rPr>
          <w:i/>
          <w:iCs/>
          <w:lang w:val="en-CA"/>
        </w:rPr>
        <w:t xml:space="preserve"> Code of Civil Procedure</w:t>
      </w:r>
      <w:r w:rsidRPr="00E60C8D">
        <w:rPr>
          <w:lang w:val="en-CA"/>
        </w:rPr>
        <w:t xml:space="preserve"> and s. 65.1 of the </w:t>
      </w:r>
      <w:r w:rsidRPr="00E60C8D">
        <w:rPr>
          <w:i/>
          <w:iCs/>
          <w:lang w:val="en-CA"/>
        </w:rPr>
        <w:t>Supreme Court Act</w:t>
      </w:r>
      <w:r w:rsidRPr="00E60C8D">
        <w:rPr>
          <w:lang w:val="en-CA"/>
        </w:rPr>
        <w:t>,</w:t>
      </w:r>
      <w:r>
        <w:rPr>
          <w:rStyle w:val="Appelnotedebasdep"/>
          <w:iCs/>
          <w:lang w:val="en-CA"/>
        </w:rPr>
        <w:footnoteReference w:id="1"/>
      </w:r>
      <w:r w:rsidRPr="00E60C8D">
        <w:rPr>
          <w:i/>
          <w:iCs/>
          <w:lang w:val="en-CA"/>
        </w:rPr>
        <w:t xml:space="preserve"> </w:t>
      </w:r>
      <w:r w:rsidRPr="00E60C8D">
        <w:rPr>
          <w:lang w:val="en-CA"/>
        </w:rPr>
        <w:t>the appellant</w:t>
      </w:r>
      <w:r w:rsidRPr="00E60C8D">
        <w:rPr>
          <w:i/>
          <w:iCs/>
          <w:lang w:val="en-CA"/>
        </w:rPr>
        <w:t xml:space="preserve"> </w:t>
      </w:r>
      <w:r w:rsidRPr="00E60C8D">
        <w:rPr>
          <w:lang w:val="en-CA"/>
        </w:rPr>
        <w:t>seeks a stay of execution of the judgment (the “Judgment”) rendered by the Court on December 19, 2024, in the case at bar.</w:t>
      </w:r>
    </w:p>
    <w:p w14:paraId="16D2C8D4" w14:textId="77777777" w:rsidR="00E60C8D" w:rsidRPr="00347F26" w:rsidRDefault="00E60C8D" w:rsidP="00E60C8D">
      <w:pPr>
        <w:pStyle w:val="Paragraphe"/>
        <w:tabs>
          <w:tab w:val="num" w:pos="720"/>
        </w:tabs>
        <w:spacing w:line="240" w:lineRule="auto"/>
        <w:rPr>
          <w:lang w:val="en-CA"/>
        </w:rPr>
      </w:pPr>
      <w:r w:rsidRPr="00347F26">
        <w:rPr>
          <w:lang w:val="en-CA"/>
        </w:rPr>
        <w:t>In the Judgment, the Court dismissed the appeal from a Superior Court judgment that authorizes the respondent to implement a care plan for the appellant</w:t>
      </w:r>
      <w:r>
        <w:rPr>
          <w:lang w:val="en-CA"/>
        </w:rPr>
        <w:t>’</w:t>
      </w:r>
      <w:r w:rsidRPr="00347F26">
        <w:rPr>
          <w:lang w:val="en-CA"/>
        </w:rPr>
        <w:t xml:space="preserve">s brother, who is the impleaded party in the present case (the </w:t>
      </w:r>
      <w:r>
        <w:rPr>
          <w:lang w:val="en-CA"/>
        </w:rPr>
        <w:t>“</w:t>
      </w:r>
      <w:r w:rsidRPr="00347F26">
        <w:rPr>
          <w:lang w:val="en-CA"/>
        </w:rPr>
        <w:t>Patient</w:t>
      </w:r>
      <w:r>
        <w:rPr>
          <w:lang w:val="en-CA"/>
        </w:rPr>
        <w:t>”</w:t>
      </w:r>
      <w:r w:rsidRPr="00347F26">
        <w:rPr>
          <w:lang w:val="en-CA"/>
        </w:rPr>
        <w:t>). The care plan provides for the withdrawal of active life-sustaining treatment the Patient was receiving up to then and its replacement with palliative comfort care to be administered until his death. The Superior Court concluded that the Patient is incapable of consenting, and that the appellant</w:t>
      </w:r>
      <w:r>
        <w:rPr>
          <w:lang w:val="en-CA"/>
        </w:rPr>
        <w:t>’</w:t>
      </w:r>
      <w:r w:rsidRPr="00347F26">
        <w:rPr>
          <w:lang w:val="en-CA"/>
        </w:rPr>
        <w:t>s refusal of the proposed care plan is unreasonable and unjustified whereas the treatment contemplated in the plan is necessary in order to allow the Patient to live out the remainder of his life with dignity and to reduce his suffering.</w:t>
      </w:r>
      <w:r>
        <w:rPr>
          <w:rStyle w:val="Appelnotedebasdep"/>
          <w:lang w:val="en-CA"/>
        </w:rPr>
        <w:footnoteReference w:id="2"/>
      </w:r>
    </w:p>
    <w:p w14:paraId="2F6F1A0D" w14:textId="77777777" w:rsidR="00E60C8D" w:rsidRPr="00347F26" w:rsidRDefault="00E60C8D" w:rsidP="00E60C8D">
      <w:pPr>
        <w:pStyle w:val="Paragraphe"/>
        <w:tabs>
          <w:tab w:val="num" w:pos="720"/>
        </w:tabs>
        <w:spacing w:line="240" w:lineRule="auto"/>
        <w:rPr>
          <w:lang w:val="en-CA"/>
        </w:rPr>
      </w:pPr>
      <w:r w:rsidRPr="00347F26">
        <w:rPr>
          <w:lang w:val="en-CA"/>
        </w:rPr>
        <w:t xml:space="preserve">In her application for a stay of execution of the Judgment, the appellant states her intention to apply to the Supreme Court for leave to appeal from the Judgment. Yesterday, she sent the Court a copy of an application for leave to appeal to the Supreme Court that she had just sent to it by email. </w:t>
      </w:r>
    </w:p>
    <w:p w14:paraId="54471E91" w14:textId="77777777" w:rsidR="00E60C8D" w:rsidRPr="00347F26" w:rsidRDefault="00E60C8D" w:rsidP="00B21F8F">
      <w:pPr>
        <w:pStyle w:val="Paragraphe"/>
        <w:numPr>
          <w:ilvl w:val="0"/>
          <w:numId w:val="0"/>
        </w:numPr>
        <w:jc w:val="center"/>
        <w:rPr>
          <w:lang w:val="en-CA"/>
        </w:rPr>
      </w:pPr>
      <w:r w:rsidRPr="00347F26">
        <w:rPr>
          <w:lang w:val="en-CA"/>
        </w:rPr>
        <w:t>* * *</w:t>
      </w:r>
    </w:p>
    <w:p w14:paraId="476C8335" w14:textId="77777777" w:rsidR="00E60C8D" w:rsidRPr="00347F26" w:rsidRDefault="00E60C8D" w:rsidP="00E60C8D">
      <w:pPr>
        <w:pStyle w:val="Paragraphe"/>
        <w:tabs>
          <w:tab w:val="num" w:pos="720"/>
        </w:tabs>
        <w:spacing w:line="240" w:lineRule="auto"/>
        <w:rPr>
          <w:lang w:val="en-CA"/>
        </w:rPr>
      </w:pPr>
      <w:r w:rsidRPr="00347F26">
        <w:rPr>
          <w:lang w:val="en-CA"/>
        </w:rPr>
        <w:t>The background to the present case is set out in detail in the Judgment. Suffice it to note that the Patient is 77 years old,</w:t>
      </w:r>
      <w:r>
        <w:rPr>
          <w:rStyle w:val="Appelnotedebasdep"/>
          <w:lang w:val="en-CA"/>
        </w:rPr>
        <w:footnoteReference w:id="3"/>
      </w:r>
      <w:r w:rsidRPr="00347F26">
        <w:rPr>
          <w:lang w:val="en-CA"/>
        </w:rPr>
        <w:t xml:space="preserve"> that in 2007 he gave the appellant a protection mandate in the event of incapacity,</w:t>
      </w:r>
      <w:r>
        <w:rPr>
          <w:rStyle w:val="Appelnotedebasdep"/>
          <w:lang w:val="en-CA"/>
        </w:rPr>
        <w:footnoteReference w:id="4"/>
      </w:r>
      <w:r w:rsidRPr="00347F26">
        <w:rPr>
          <w:lang w:val="en-CA"/>
        </w:rPr>
        <w:t xml:space="preserve"> and that this past May he suffered a seven-minute cardiac arrest that caused him to sustain anoxic brain damage.</w:t>
      </w:r>
      <w:r>
        <w:rPr>
          <w:rStyle w:val="Appelnotedebasdep"/>
          <w:lang w:val="en-CA"/>
        </w:rPr>
        <w:footnoteReference w:id="5"/>
      </w:r>
      <w:r w:rsidRPr="00347F26">
        <w:rPr>
          <w:lang w:val="en-CA"/>
        </w:rPr>
        <w:t xml:space="preserve"> Since then, he has not regained consciousness and his condition has only worsened.</w:t>
      </w:r>
      <w:r>
        <w:rPr>
          <w:rStyle w:val="Appelnotedebasdep"/>
          <w:lang w:val="en-CA"/>
        </w:rPr>
        <w:footnoteReference w:id="6"/>
      </w:r>
      <w:r w:rsidRPr="00347F26">
        <w:rPr>
          <w:lang w:val="en-CA"/>
        </w:rPr>
        <w:t xml:space="preserve"> He is now in a state described as a </w:t>
      </w:r>
      <w:r>
        <w:rPr>
          <w:lang w:val="en-CA"/>
        </w:rPr>
        <w:t>“</w:t>
      </w:r>
      <w:r w:rsidRPr="00347F26">
        <w:rPr>
          <w:lang w:val="en-CA"/>
        </w:rPr>
        <w:t>persistent vegetative state</w:t>
      </w:r>
      <w:r>
        <w:rPr>
          <w:lang w:val="en-CA"/>
        </w:rPr>
        <w:t>”</w:t>
      </w:r>
      <w:r w:rsidRPr="00347F26">
        <w:rPr>
          <w:lang w:val="en-CA"/>
        </w:rPr>
        <w:t>.</w:t>
      </w:r>
      <w:r>
        <w:rPr>
          <w:rStyle w:val="Appelnotedebasdep"/>
          <w:lang w:val="en-CA"/>
        </w:rPr>
        <w:footnoteReference w:id="7"/>
      </w:r>
      <w:r w:rsidRPr="00347F26">
        <w:rPr>
          <w:lang w:val="en-CA"/>
        </w:rPr>
        <w:t xml:space="preserve"> In addition to the neurological aftereffects</w:t>
      </w:r>
      <w:r>
        <w:rPr>
          <w:lang w:val="en-CA"/>
        </w:rPr>
        <w:t xml:space="preserve"> </w:t>
      </w:r>
      <w:r>
        <w:rPr>
          <w:lang w:val="en-CA"/>
        </w:rPr>
        <w:lastRenderedPageBreak/>
        <w:t>from which he suffers</w:t>
      </w:r>
      <w:r w:rsidRPr="00347F26">
        <w:rPr>
          <w:lang w:val="en-CA"/>
        </w:rPr>
        <w:t>, the rest of his physical condition is more than fragile, such that the care he is receiving is not only futile, but also contrary to his best interests.</w:t>
      </w:r>
      <w:r>
        <w:rPr>
          <w:rStyle w:val="Appelnotedebasdep"/>
          <w:lang w:val="en-CA"/>
        </w:rPr>
        <w:footnoteReference w:id="8"/>
      </w:r>
      <w:r w:rsidRPr="00347F26">
        <w:rPr>
          <w:lang w:val="en-CA"/>
        </w:rPr>
        <w:t xml:space="preserve"> In short, his state of health is irreversible and his death inevitable.</w:t>
      </w:r>
      <w:r>
        <w:rPr>
          <w:rStyle w:val="Appelnotedebasdep"/>
          <w:lang w:val="en-CA"/>
        </w:rPr>
        <w:footnoteReference w:id="9"/>
      </w:r>
    </w:p>
    <w:p w14:paraId="28F25CA0" w14:textId="77777777" w:rsidR="00E60C8D" w:rsidRPr="00347F26" w:rsidRDefault="00E60C8D" w:rsidP="00B21F8F">
      <w:pPr>
        <w:pStyle w:val="Paragraphe"/>
        <w:numPr>
          <w:ilvl w:val="0"/>
          <w:numId w:val="0"/>
        </w:numPr>
        <w:jc w:val="center"/>
        <w:rPr>
          <w:lang w:val="en-CA"/>
        </w:rPr>
      </w:pPr>
      <w:r w:rsidRPr="00347F26">
        <w:rPr>
          <w:lang w:val="en-CA"/>
        </w:rPr>
        <w:t>* * *</w:t>
      </w:r>
    </w:p>
    <w:p w14:paraId="74D82DD4" w14:textId="77777777" w:rsidR="00E60C8D" w:rsidRDefault="00E60C8D" w:rsidP="00E60C8D">
      <w:pPr>
        <w:pStyle w:val="Paragraphe"/>
        <w:tabs>
          <w:tab w:val="num" w:pos="720"/>
        </w:tabs>
        <w:spacing w:line="240" w:lineRule="auto"/>
        <w:rPr>
          <w:lang w:val="en-CA"/>
        </w:rPr>
      </w:pPr>
      <w:r w:rsidRPr="00347F26">
        <w:rPr>
          <w:lang w:val="en-CA"/>
        </w:rPr>
        <w:t>The following are the statutory provisions on which the appellant</w:t>
      </w:r>
      <w:r>
        <w:rPr>
          <w:lang w:val="en-CA"/>
        </w:rPr>
        <w:t>’</w:t>
      </w:r>
      <w:r w:rsidRPr="00347F26">
        <w:rPr>
          <w:lang w:val="en-CA"/>
        </w:rPr>
        <w:t>s application is based:</w:t>
      </w:r>
    </w:p>
    <w:tbl>
      <w:tblPr>
        <w:tblW w:w="9362" w:type="dxa"/>
        <w:tblLayout w:type="fixed"/>
        <w:tblCellMar>
          <w:left w:w="70" w:type="dxa"/>
          <w:right w:w="70" w:type="dxa"/>
        </w:tblCellMar>
        <w:tblLook w:val="0000" w:firstRow="0" w:lastRow="0" w:firstColumn="0" w:lastColumn="0" w:noHBand="0" w:noVBand="0"/>
      </w:tblPr>
      <w:tblGrid>
        <w:gridCol w:w="4681"/>
        <w:gridCol w:w="4681"/>
      </w:tblGrid>
      <w:tr w:rsidR="00E60C8D" w14:paraId="3ED0A25B" w14:textId="77777777" w:rsidTr="00D846F5">
        <w:tc>
          <w:tcPr>
            <w:tcW w:w="4681" w:type="dxa"/>
            <w:shd w:val="clear" w:color="auto" w:fill="auto"/>
          </w:tcPr>
          <w:p w14:paraId="246317B4" w14:textId="77777777" w:rsidR="00E60C8D" w:rsidRPr="00293F1B" w:rsidRDefault="00E60C8D" w:rsidP="00B21F8F">
            <w:pPr>
              <w:pStyle w:val="Tableaugauchefranais"/>
              <w:spacing w:before="120" w:after="120" w:line="240" w:lineRule="auto"/>
              <w:rPr>
                <w:rFonts w:cs="Arial"/>
                <w:b/>
                <w:bCs/>
                <w:i/>
                <w:iCs/>
                <w:szCs w:val="22"/>
              </w:rPr>
            </w:pPr>
            <w:r w:rsidRPr="00293F1B">
              <w:rPr>
                <w:rFonts w:cs="Arial"/>
                <w:b/>
                <w:bCs/>
                <w:i/>
                <w:iCs/>
                <w:szCs w:val="22"/>
              </w:rPr>
              <w:t>Code of Civil Procedure</w:t>
            </w:r>
          </w:p>
        </w:tc>
        <w:tc>
          <w:tcPr>
            <w:tcW w:w="4681" w:type="dxa"/>
            <w:shd w:val="clear" w:color="auto" w:fill="auto"/>
          </w:tcPr>
          <w:p w14:paraId="08910745" w14:textId="77777777" w:rsidR="00E60C8D" w:rsidRPr="00293F1B" w:rsidRDefault="00E60C8D" w:rsidP="00B21F8F">
            <w:pPr>
              <w:pStyle w:val="Tableaudroiteanglais"/>
              <w:spacing w:before="120" w:after="120" w:line="240" w:lineRule="auto"/>
              <w:rPr>
                <w:rFonts w:cs="Arial"/>
                <w:szCs w:val="22"/>
              </w:rPr>
            </w:pPr>
          </w:p>
        </w:tc>
      </w:tr>
      <w:tr w:rsidR="00E60C8D" w14:paraId="7E9F51FC" w14:textId="77777777" w:rsidTr="00D846F5">
        <w:tc>
          <w:tcPr>
            <w:tcW w:w="4681" w:type="dxa"/>
            <w:shd w:val="clear" w:color="auto" w:fill="auto"/>
          </w:tcPr>
          <w:p w14:paraId="64F1510D" w14:textId="77777777" w:rsidR="00E60C8D" w:rsidRPr="00293F1B" w:rsidRDefault="00E60C8D" w:rsidP="00B21F8F">
            <w:pPr>
              <w:pStyle w:val="Tableaugauchefranais"/>
              <w:spacing w:before="120" w:after="120" w:line="240" w:lineRule="auto"/>
              <w:ind w:right="142"/>
              <w:jc w:val="both"/>
              <w:rPr>
                <w:rFonts w:cs="Arial"/>
                <w:szCs w:val="22"/>
                <w:lang w:val="en-CA"/>
              </w:rPr>
            </w:pPr>
            <w:r w:rsidRPr="00293F1B">
              <w:rPr>
                <w:rFonts w:cs="Arial"/>
                <w:b/>
                <w:bCs/>
                <w:szCs w:val="22"/>
                <w:lang w:val="en-CA"/>
              </w:rPr>
              <w:t>390.</w:t>
            </w:r>
            <w:r w:rsidRPr="00293F1B">
              <w:rPr>
                <w:rFonts w:cs="Arial"/>
                <w:szCs w:val="22"/>
                <w:lang w:val="en-CA"/>
              </w:rPr>
              <w:t> </w:t>
            </w:r>
            <w:r w:rsidRPr="00293F1B">
              <w:rPr>
                <w:rFonts w:cs="Arial"/>
                <w:szCs w:val="22"/>
                <w:shd w:val="clear" w:color="auto" w:fill="FFFFFF"/>
                <w:lang w:val="en-CA"/>
              </w:rPr>
              <w:t>A decision of the Court of Appeal is enforceable immediately and bears interest from the date it is rendered, unless it specifies otherwise. Its execution, as regards both the principal and any legal costs, is carried out by the court of first instance.</w:t>
            </w:r>
          </w:p>
        </w:tc>
        <w:tc>
          <w:tcPr>
            <w:tcW w:w="4681" w:type="dxa"/>
            <w:shd w:val="clear" w:color="auto" w:fill="auto"/>
          </w:tcPr>
          <w:p w14:paraId="18BF5151" w14:textId="77777777" w:rsidR="00E60C8D" w:rsidRPr="00293F1B" w:rsidRDefault="00E60C8D" w:rsidP="00B21F8F">
            <w:pPr>
              <w:pStyle w:val="Tableaudroiteanglais"/>
              <w:spacing w:before="120" w:after="120" w:line="240" w:lineRule="auto"/>
              <w:ind w:left="142"/>
              <w:rPr>
                <w:rFonts w:cs="Arial"/>
                <w:szCs w:val="22"/>
                <w:lang w:val="fr-CA"/>
              </w:rPr>
            </w:pPr>
            <w:r w:rsidRPr="00293F1B">
              <w:rPr>
                <w:rFonts w:cs="Arial"/>
                <w:b/>
                <w:bCs/>
                <w:szCs w:val="22"/>
                <w:lang w:val="fr-CA"/>
              </w:rPr>
              <w:t>390. </w:t>
            </w:r>
            <w:r w:rsidRPr="00293F1B">
              <w:rPr>
                <w:rFonts w:cs="Arial"/>
                <w:szCs w:val="22"/>
                <w:shd w:val="clear" w:color="auto" w:fill="FFFFFF"/>
                <w:lang w:val="fr-CA"/>
              </w:rPr>
              <w:t>L’arrêt est exécutoire immédiatement et il porte intérêt à compter de sa date, sauf mention contraire. Il est mis à exécution, tant pour le principal que pour, le cas échéant, les frais de justice, par le tribunal de première instance.</w:t>
            </w:r>
          </w:p>
        </w:tc>
      </w:tr>
      <w:tr w:rsidR="00E60C8D" w14:paraId="73CBACF8" w14:textId="77777777" w:rsidTr="00D846F5">
        <w:tc>
          <w:tcPr>
            <w:tcW w:w="4681" w:type="dxa"/>
            <w:shd w:val="clear" w:color="auto" w:fill="auto"/>
          </w:tcPr>
          <w:p w14:paraId="41192E47" w14:textId="77777777" w:rsidR="00E60C8D" w:rsidRPr="00293F1B" w:rsidRDefault="00E60C8D" w:rsidP="00B21F8F">
            <w:pPr>
              <w:pStyle w:val="Tableaugauchefranais"/>
              <w:spacing w:before="120" w:after="120" w:line="240" w:lineRule="auto"/>
              <w:ind w:right="142"/>
              <w:jc w:val="both"/>
              <w:rPr>
                <w:rFonts w:cs="Arial"/>
                <w:szCs w:val="22"/>
                <w:lang w:val="en-CA"/>
              </w:rPr>
            </w:pPr>
            <w:r w:rsidRPr="00293F1B">
              <w:rPr>
                <w:rFonts w:cs="Arial"/>
                <w:szCs w:val="22"/>
                <w:shd w:val="clear" w:color="auto" w:fill="FFFFFF"/>
                <w:lang w:val="en-CA"/>
              </w:rPr>
              <w:t>However, the Court of Appeal or one of its judges, on an application, may order execution stayed, on appropriate conditions, if the party shows that it intends to bring an application for leave to appeal to the Supreme Court of Canada.</w:t>
            </w:r>
          </w:p>
        </w:tc>
        <w:tc>
          <w:tcPr>
            <w:tcW w:w="4681" w:type="dxa"/>
            <w:shd w:val="clear" w:color="auto" w:fill="auto"/>
          </w:tcPr>
          <w:p w14:paraId="7E112BD6" w14:textId="77777777" w:rsidR="00E60C8D" w:rsidRPr="00293F1B" w:rsidRDefault="00E60C8D" w:rsidP="00B21F8F">
            <w:pPr>
              <w:pStyle w:val="Tableaudroiteanglais"/>
              <w:spacing w:before="120" w:after="120" w:line="240" w:lineRule="auto"/>
              <w:rPr>
                <w:rFonts w:cs="Arial"/>
                <w:szCs w:val="22"/>
                <w:lang w:val="fr-CA"/>
              </w:rPr>
            </w:pPr>
            <w:r w:rsidRPr="00293F1B">
              <w:rPr>
                <w:rFonts w:cs="Arial"/>
                <w:szCs w:val="22"/>
                <w:shd w:val="clear" w:color="auto" w:fill="FFFFFF"/>
                <w:lang w:val="fr-CA"/>
              </w:rPr>
              <w:t>Cependant, la Cour d’appel ou l’un de ses juges peut, sur demande, ordonner, aux conditions appropriées, d’en suspendre l’exécution, si la partie démontre son intention de présenter une demande d’autorisation d’appel à la Cour suprême du Canada.</w:t>
            </w:r>
          </w:p>
        </w:tc>
      </w:tr>
      <w:tr w:rsidR="00E60C8D" w14:paraId="189DD93C" w14:textId="77777777" w:rsidTr="00D846F5">
        <w:tc>
          <w:tcPr>
            <w:tcW w:w="4681" w:type="dxa"/>
            <w:shd w:val="clear" w:color="auto" w:fill="auto"/>
          </w:tcPr>
          <w:p w14:paraId="67B7AC97" w14:textId="77777777" w:rsidR="00E60C8D" w:rsidRPr="00293F1B" w:rsidRDefault="00E60C8D" w:rsidP="00B21F8F">
            <w:pPr>
              <w:pStyle w:val="Tableaugauchefranais"/>
              <w:spacing w:before="120" w:after="120" w:line="240" w:lineRule="auto"/>
              <w:ind w:right="142"/>
              <w:rPr>
                <w:rFonts w:cs="Arial"/>
                <w:b/>
                <w:bCs/>
                <w:i/>
                <w:iCs/>
                <w:szCs w:val="22"/>
              </w:rPr>
            </w:pPr>
            <w:r w:rsidRPr="00293F1B">
              <w:rPr>
                <w:rFonts w:cs="Arial"/>
                <w:b/>
                <w:bCs/>
                <w:i/>
                <w:iCs/>
                <w:szCs w:val="22"/>
              </w:rPr>
              <w:t>Supreme Court Act</w:t>
            </w:r>
          </w:p>
        </w:tc>
        <w:tc>
          <w:tcPr>
            <w:tcW w:w="4681" w:type="dxa"/>
            <w:shd w:val="clear" w:color="auto" w:fill="auto"/>
          </w:tcPr>
          <w:p w14:paraId="0C64F87F" w14:textId="77777777" w:rsidR="00E60C8D" w:rsidRPr="00293F1B" w:rsidRDefault="00E60C8D" w:rsidP="00B21F8F">
            <w:pPr>
              <w:pStyle w:val="Tableaudroiteanglais"/>
              <w:spacing w:before="120" w:after="120" w:line="240" w:lineRule="auto"/>
              <w:rPr>
                <w:rFonts w:cs="Arial"/>
                <w:szCs w:val="22"/>
                <w:lang w:val="fr-CA"/>
              </w:rPr>
            </w:pPr>
          </w:p>
        </w:tc>
      </w:tr>
      <w:tr w:rsidR="00E60C8D" w14:paraId="5C5784DF" w14:textId="77777777" w:rsidTr="00D846F5">
        <w:tc>
          <w:tcPr>
            <w:tcW w:w="4681" w:type="dxa"/>
            <w:shd w:val="clear" w:color="auto" w:fill="auto"/>
          </w:tcPr>
          <w:p w14:paraId="7AA39601" w14:textId="77777777" w:rsidR="00E60C8D" w:rsidRPr="00293F1B" w:rsidRDefault="00E60C8D" w:rsidP="00B21F8F">
            <w:pPr>
              <w:pStyle w:val="Tableaugauchefranais"/>
              <w:spacing w:before="120" w:after="120" w:line="240" w:lineRule="auto"/>
              <w:ind w:right="142"/>
              <w:jc w:val="both"/>
              <w:rPr>
                <w:rFonts w:cs="Arial"/>
                <w:szCs w:val="22"/>
                <w:lang w:val="en-CA"/>
              </w:rPr>
            </w:pPr>
            <w:r w:rsidRPr="00293F1B">
              <w:rPr>
                <w:rFonts w:cs="Arial"/>
                <w:b/>
                <w:bCs/>
                <w:szCs w:val="22"/>
                <w:lang w:val="en-CA"/>
              </w:rPr>
              <w:t>65.1 (1)</w:t>
            </w:r>
            <w:r w:rsidRPr="00293F1B">
              <w:rPr>
                <w:rFonts w:cs="Arial"/>
                <w:szCs w:val="22"/>
                <w:lang w:val="en-CA"/>
              </w:rPr>
              <w:t> The Court, the court appealed from or a judge of either of those courts may, on the request of the party who has served and filed a notice of application for leave to appeal, order that proceedings be stayed with respect to the judgment from which leave to appeal is being sought, on the terms deemed appropriate.</w:t>
            </w:r>
          </w:p>
        </w:tc>
        <w:tc>
          <w:tcPr>
            <w:tcW w:w="4681" w:type="dxa"/>
            <w:shd w:val="clear" w:color="auto" w:fill="auto"/>
          </w:tcPr>
          <w:p w14:paraId="70BEA1F1" w14:textId="77777777" w:rsidR="00E60C8D" w:rsidRPr="00293F1B" w:rsidRDefault="00E60C8D" w:rsidP="00B21F8F">
            <w:pPr>
              <w:pStyle w:val="Tableaudroiteanglais"/>
              <w:spacing w:before="120" w:after="120" w:line="240" w:lineRule="auto"/>
              <w:rPr>
                <w:rFonts w:cs="Arial"/>
                <w:szCs w:val="22"/>
                <w:lang w:val="fr-CA"/>
              </w:rPr>
            </w:pPr>
            <w:r w:rsidRPr="00293F1B">
              <w:rPr>
                <w:rFonts w:cs="Arial"/>
                <w:b/>
                <w:bCs/>
                <w:szCs w:val="22"/>
                <w:lang w:val="fr-CA"/>
              </w:rPr>
              <w:t xml:space="preserve">65.1 (1) </w:t>
            </w:r>
            <w:r w:rsidRPr="00293F1B">
              <w:rPr>
                <w:rFonts w:cs="Arial"/>
                <w:szCs w:val="22"/>
                <w:lang w:val="fr-CA"/>
              </w:rPr>
              <w:t>La Cour, la juridiction inférieure ou un de leurs juges peut, à la demande de la partie qui a signifié et déposé l’avis de la demande d’autorisation d’appel, ordonner, aux conditions jugées appropriées, le sursis d’exécution du jugement objet de la demande.</w:t>
            </w:r>
          </w:p>
        </w:tc>
      </w:tr>
      <w:tr w:rsidR="00E60C8D" w14:paraId="5917F80D" w14:textId="77777777" w:rsidTr="00D846F5">
        <w:tc>
          <w:tcPr>
            <w:tcW w:w="4681" w:type="dxa"/>
            <w:shd w:val="clear" w:color="auto" w:fill="auto"/>
          </w:tcPr>
          <w:p w14:paraId="249155A0" w14:textId="77777777" w:rsidR="00E60C8D" w:rsidRPr="00293F1B" w:rsidRDefault="00E60C8D" w:rsidP="00B21F8F">
            <w:pPr>
              <w:pStyle w:val="paragraph"/>
              <w:shd w:val="clear" w:color="auto" w:fill="FFFFFF"/>
              <w:spacing w:before="120" w:beforeAutospacing="0" w:after="120" w:afterAutospacing="0"/>
              <w:ind w:left="639" w:right="142"/>
              <w:jc w:val="both"/>
              <w:rPr>
                <w:rFonts w:ascii="Arial" w:hAnsi="Arial" w:cs="Arial"/>
                <w:sz w:val="22"/>
                <w:szCs w:val="22"/>
                <w:lang w:val="en-CA"/>
              </w:rPr>
            </w:pPr>
            <w:r w:rsidRPr="00293F1B">
              <w:rPr>
                <w:rStyle w:val="lawlabel"/>
                <w:rFonts w:ascii="Arial" w:hAnsi="Arial" w:cs="Arial"/>
                <w:b/>
                <w:bCs/>
                <w:sz w:val="22"/>
                <w:szCs w:val="22"/>
                <w:lang w:val="en-CA"/>
              </w:rPr>
              <w:t xml:space="preserve">(2) </w:t>
            </w:r>
            <w:r w:rsidRPr="00293F1B">
              <w:rPr>
                <w:rStyle w:val="lawlabel"/>
                <w:rFonts w:ascii="Arial" w:hAnsi="Arial" w:cs="Arial"/>
                <w:sz w:val="22"/>
                <w:szCs w:val="22"/>
                <w:lang w:val="en-CA"/>
              </w:rPr>
              <w:t xml:space="preserve">The court appealed from or a judge of that court may exercise the power conferred by subsection (1) before the serving and filing of the notice of </w:t>
            </w:r>
            <w:r w:rsidRPr="00293F1B">
              <w:rPr>
                <w:rStyle w:val="lawlabel"/>
                <w:rFonts w:ascii="Arial" w:hAnsi="Arial" w:cs="Arial"/>
                <w:sz w:val="22"/>
                <w:szCs w:val="22"/>
                <w:lang w:val="en-CA"/>
              </w:rPr>
              <w:lastRenderedPageBreak/>
              <w:t>application for leave to appeal if satisfied that the party seeking the stay intends to apply for leave to appeal and that delay would result in a miscarriage of justice.</w:t>
            </w:r>
            <w:r w:rsidRPr="00293F1B">
              <w:rPr>
                <w:rStyle w:val="lawlabel"/>
                <w:rFonts w:ascii="Arial" w:hAnsi="Arial" w:cs="Arial"/>
                <w:b/>
                <w:bCs/>
                <w:sz w:val="22"/>
                <w:szCs w:val="22"/>
                <w:lang w:val="en-CA"/>
              </w:rPr>
              <w:t xml:space="preserve"> </w:t>
            </w:r>
          </w:p>
        </w:tc>
        <w:tc>
          <w:tcPr>
            <w:tcW w:w="4681" w:type="dxa"/>
            <w:shd w:val="clear" w:color="auto" w:fill="auto"/>
          </w:tcPr>
          <w:p w14:paraId="768EA334" w14:textId="77777777" w:rsidR="00E60C8D" w:rsidRPr="00293F1B" w:rsidRDefault="00E60C8D" w:rsidP="00B21F8F">
            <w:pPr>
              <w:pStyle w:val="paragraph"/>
              <w:shd w:val="clear" w:color="auto" w:fill="FFFFFF"/>
              <w:spacing w:before="120" w:beforeAutospacing="0" w:after="120" w:afterAutospacing="0"/>
              <w:ind w:left="212" w:right="720"/>
              <w:jc w:val="both"/>
              <w:rPr>
                <w:rFonts w:ascii="Arial" w:hAnsi="Arial" w:cs="Arial"/>
                <w:sz w:val="22"/>
                <w:szCs w:val="22"/>
              </w:rPr>
            </w:pPr>
            <w:r w:rsidRPr="00293F1B">
              <w:rPr>
                <w:rStyle w:val="lawlabel"/>
                <w:rFonts w:ascii="Arial" w:hAnsi="Arial" w:cs="Arial"/>
                <w:b/>
                <w:bCs/>
                <w:sz w:val="22"/>
                <w:szCs w:val="22"/>
              </w:rPr>
              <w:lastRenderedPageBreak/>
              <w:t xml:space="preserve">(2) </w:t>
            </w:r>
            <w:r w:rsidRPr="00293F1B">
              <w:rPr>
                <w:rStyle w:val="lawlabel"/>
                <w:rFonts w:ascii="Arial" w:hAnsi="Arial" w:cs="Arial"/>
                <w:sz w:val="22"/>
                <w:szCs w:val="22"/>
              </w:rPr>
              <w:t xml:space="preserve">La juridiction inférieure ou un de ses juges, convaincu que la partie qui demande le sursis a l’intention de demander l’autorisation d’appel et </w:t>
            </w:r>
            <w:r w:rsidRPr="00293F1B">
              <w:rPr>
                <w:rStyle w:val="lawlabel"/>
                <w:rFonts w:ascii="Arial" w:hAnsi="Arial" w:cs="Arial"/>
                <w:sz w:val="22"/>
                <w:szCs w:val="22"/>
              </w:rPr>
              <w:lastRenderedPageBreak/>
              <w:t>que le délai entraînerait un déni de justice, peut exercer le pouvoir prévu au paragraphe (1) avant la signification et le dépôt de l’avis de demande d’autorisation d’appel.</w:t>
            </w:r>
          </w:p>
        </w:tc>
      </w:tr>
      <w:tr w:rsidR="00E60C8D" w14:paraId="636474C9" w14:textId="77777777" w:rsidTr="00D846F5">
        <w:tc>
          <w:tcPr>
            <w:tcW w:w="4681" w:type="dxa"/>
            <w:shd w:val="clear" w:color="auto" w:fill="auto"/>
          </w:tcPr>
          <w:p w14:paraId="0793F5CD" w14:textId="77777777" w:rsidR="00E60C8D" w:rsidRPr="00293F1B" w:rsidRDefault="00E60C8D" w:rsidP="00B21F8F">
            <w:pPr>
              <w:pStyle w:val="paragraph"/>
              <w:shd w:val="clear" w:color="auto" w:fill="FFFFFF"/>
              <w:spacing w:before="120" w:beforeAutospacing="0" w:after="120" w:afterAutospacing="0"/>
              <w:ind w:left="639" w:right="142"/>
              <w:jc w:val="both"/>
              <w:rPr>
                <w:rStyle w:val="lawlabel"/>
                <w:rFonts w:ascii="Arial" w:hAnsi="Arial" w:cs="Arial"/>
                <w:sz w:val="22"/>
                <w:szCs w:val="22"/>
                <w:lang w:val="en-CA"/>
              </w:rPr>
            </w:pPr>
            <w:r w:rsidRPr="00293F1B">
              <w:rPr>
                <w:rStyle w:val="lawlabel"/>
                <w:rFonts w:ascii="Arial" w:hAnsi="Arial" w:cs="Arial"/>
                <w:b/>
                <w:bCs/>
                <w:sz w:val="22"/>
                <w:szCs w:val="22"/>
                <w:lang w:val="en-CA"/>
              </w:rPr>
              <w:lastRenderedPageBreak/>
              <w:t xml:space="preserve">(3) </w:t>
            </w:r>
            <w:r w:rsidRPr="00293F1B">
              <w:rPr>
                <w:rStyle w:val="lawlabel"/>
                <w:rFonts w:ascii="Arial" w:hAnsi="Arial" w:cs="Arial"/>
                <w:sz w:val="22"/>
                <w:szCs w:val="22"/>
                <w:lang w:val="en-CA"/>
              </w:rPr>
              <w:t>The Court, the court appealed from or a judge of either of those courts may modify, vary or vacate a stay order made under this section.</w:t>
            </w:r>
            <w:r w:rsidRPr="00293F1B">
              <w:rPr>
                <w:rStyle w:val="lawlabel"/>
                <w:rFonts w:ascii="Arial" w:hAnsi="Arial" w:cs="Arial"/>
                <w:b/>
                <w:bCs/>
                <w:sz w:val="22"/>
                <w:szCs w:val="22"/>
                <w:lang w:val="en-CA"/>
              </w:rPr>
              <w:t xml:space="preserve"> </w:t>
            </w:r>
          </w:p>
        </w:tc>
        <w:tc>
          <w:tcPr>
            <w:tcW w:w="4681" w:type="dxa"/>
            <w:shd w:val="clear" w:color="auto" w:fill="auto"/>
          </w:tcPr>
          <w:p w14:paraId="52495C3D" w14:textId="77777777" w:rsidR="00E60C8D" w:rsidRPr="00293F1B" w:rsidRDefault="00E60C8D" w:rsidP="00B21F8F">
            <w:pPr>
              <w:pStyle w:val="paragraph"/>
              <w:shd w:val="clear" w:color="auto" w:fill="FFFFFF"/>
              <w:spacing w:before="120" w:beforeAutospacing="0" w:after="120" w:afterAutospacing="0"/>
              <w:ind w:left="212" w:right="720"/>
              <w:jc w:val="both"/>
              <w:rPr>
                <w:rFonts w:ascii="Arial" w:hAnsi="Arial" w:cs="Arial"/>
                <w:sz w:val="22"/>
                <w:szCs w:val="22"/>
              </w:rPr>
            </w:pPr>
            <w:r w:rsidRPr="00293F1B">
              <w:rPr>
                <w:rStyle w:val="lawlabel"/>
                <w:rFonts w:ascii="Arial" w:hAnsi="Arial" w:cs="Arial"/>
                <w:b/>
                <w:bCs/>
                <w:sz w:val="22"/>
                <w:szCs w:val="22"/>
              </w:rPr>
              <w:t xml:space="preserve">(3) </w:t>
            </w:r>
            <w:r w:rsidRPr="00293F1B">
              <w:rPr>
                <w:rStyle w:val="lawlabel"/>
                <w:rFonts w:ascii="Arial" w:hAnsi="Arial" w:cs="Arial"/>
                <w:sz w:val="22"/>
                <w:szCs w:val="22"/>
              </w:rPr>
              <w:t>La Cour, la juridiction inférieure ou un de leurs juges peut modifier ou annuler le sursis ordonné en vertu du présent article.</w:t>
            </w:r>
          </w:p>
        </w:tc>
      </w:tr>
    </w:tbl>
    <w:p w14:paraId="1FE1410D" w14:textId="77777777" w:rsidR="00E60C8D" w:rsidRPr="00347F26" w:rsidRDefault="00E60C8D" w:rsidP="00E60C8D">
      <w:pPr>
        <w:pStyle w:val="Paragraphe"/>
        <w:tabs>
          <w:tab w:val="num" w:pos="720"/>
        </w:tabs>
        <w:spacing w:line="240" w:lineRule="auto"/>
        <w:rPr>
          <w:lang w:val="en-CA"/>
        </w:rPr>
      </w:pPr>
      <w:r w:rsidRPr="00347F26">
        <w:rPr>
          <w:lang w:val="en-CA"/>
        </w:rPr>
        <w:t xml:space="preserve">As the Court wrote in </w:t>
      </w:r>
      <w:r w:rsidRPr="00347F26">
        <w:rPr>
          <w:i/>
          <w:iCs/>
          <w:lang w:val="en-CA"/>
        </w:rPr>
        <w:t>Immeubles HTH inc. c. Plaza Chevrolet Hummer Cadillac inc.</w:t>
      </w:r>
      <w:r w:rsidRPr="00347F26">
        <w:rPr>
          <w:lang w:val="en-CA"/>
        </w:rPr>
        <w:t>, these provisions must be interpreted broadly:</w:t>
      </w:r>
      <w:r>
        <w:rPr>
          <w:rStyle w:val="Appelnotedebasdep"/>
          <w:lang w:val="en-CA"/>
        </w:rPr>
        <w:footnoteReference w:id="10"/>
      </w:r>
    </w:p>
    <w:p w14:paraId="1F895722" w14:textId="77777777" w:rsidR="00E60C8D" w:rsidRPr="00293F1B" w:rsidRDefault="00E60C8D" w:rsidP="00B21F8F">
      <w:pPr>
        <w:pStyle w:val="Citationenretrait"/>
        <w:keepNext/>
        <w:spacing w:line="240" w:lineRule="auto"/>
        <w:rPr>
          <w:rStyle w:val="Citationintgre"/>
          <w:i w:val="0"/>
        </w:rPr>
      </w:pPr>
      <w:r w:rsidRPr="00293F1B">
        <w:rPr>
          <w:rStyle w:val="Citationintgre"/>
          <w:i w:val="0"/>
        </w:rPr>
        <w:t>[5]</w:t>
      </w:r>
      <w:r w:rsidRPr="00293F1B">
        <w:rPr>
          <w:rStyle w:val="Citationintgre"/>
          <w:i w:val="0"/>
        </w:rPr>
        <w:tab/>
        <w:t xml:space="preserve">Aux termes de l’article 65.1 de la </w:t>
      </w:r>
      <w:r w:rsidRPr="00293F1B">
        <w:rPr>
          <w:rStyle w:val="Citationintgre"/>
          <w:iCs/>
        </w:rPr>
        <w:t>Loi sur la Cour suprême du Canada</w:t>
      </w:r>
      <w:r w:rsidRPr="00293F1B">
        <w:rPr>
          <w:rStyle w:val="Citationintgre"/>
          <w:i w:val="0"/>
        </w:rPr>
        <w:t xml:space="preserve"> et de l’article 390 </w:t>
      </w:r>
      <w:r w:rsidRPr="00293F1B">
        <w:rPr>
          <w:rStyle w:val="Citationintgre"/>
          <w:iCs/>
        </w:rPr>
        <w:t>C.p.c.</w:t>
      </w:r>
      <w:r w:rsidRPr="00293F1B">
        <w:rPr>
          <w:rStyle w:val="Citationintgre"/>
          <w:i w:val="0"/>
        </w:rPr>
        <w:t>, interprétés largement afin de « maintenir les parties dans une situation qui, dans la mesure du possible, ne sera pas cause de préjudice en attendant le règlement du différend par la Cour suprême  » et de permettre à celle-ci de « rendre une décision qui ne sera pas dénuée de sens et d’efficacité », et prenant en compte les articles 25 et 49 </w:t>
      </w:r>
      <w:r w:rsidRPr="00293F1B">
        <w:rPr>
          <w:rStyle w:val="Citationintgre"/>
          <w:iCs/>
        </w:rPr>
        <w:t>C.p.c.</w:t>
      </w:r>
      <w:r w:rsidRPr="00293F1B">
        <w:rPr>
          <w:rStyle w:val="Citationintgre"/>
          <w:i w:val="0"/>
        </w:rPr>
        <w:t>, il y a lieu de faire droit aux requêtes en suspension d’exécution.</w:t>
      </w:r>
    </w:p>
    <w:p w14:paraId="72E06ACC" w14:textId="77777777" w:rsidR="00E60C8D" w:rsidRPr="00347F26" w:rsidRDefault="00E60C8D" w:rsidP="00B21F8F">
      <w:pPr>
        <w:pStyle w:val="Citationenretrait"/>
        <w:keepNext/>
        <w:spacing w:line="240" w:lineRule="auto"/>
        <w:jc w:val="right"/>
        <w:rPr>
          <w:rStyle w:val="Citationintgre"/>
          <w:i w:val="0"/>
          <w:lang w:val="en-CA"/>
        </w:rPr>
      </w:pPr>
      <w:r w:rsidRPr="00347F26">
        <w:rPr>
          <w:rStyle w:val="Citationintgre"/>
          <w:i w:val="0"/>
          <w:lang w:val="en-CA"/>
        </w:rPr>
        <w:t>[References omitted]</w:t>
      </w:r>
    </w:p>
    <w:p w14:paraId="266DFDD6" w14:textId="77777777" w:rsidR="00E60C8D" w:rsidRPr="00347F26" w:rsidRDefault="00E60C8D" w:rsidP="00E60C8D">
      <w:pPr>
        <w:pStyle w:val="Paragraphe"/>
        <w:tabs>
          <w:tab w:val="num" w:pos="720"/>
        </w:tabs>
        <w:spacing w:line="240" w:lineRule="auto"/>
        <w:rPr>
          <w:lang w:val="en-CA"/>
        </w:rPr>
      </w:pPr>
      <w:r w:rsidRPr="00347F26">
        <w:rPr>
          <w:lang w:val="en-CA"/>
        </w:rPr>
        <w:t>It should also be noted that the party seeking a stay of execution of a judgment must show that the conditions for obtaining a stay have been met.</w:t>
      </w:r>
      <w:r>
        <w:rPr>
          <w:rStyle w:val="Appelnotedebasdep"/>
          <w:lang w:val="en-CA"/>
        </w:rPr>
        <w:footnoteReference w:id="11"/>
      </w:r>
      <w:r w:rsidRPr="00347F26">
        <w:rPr>
          <w:lang w:val="en-CA"/>
        </w:rPr>
        <w:t xml:space="preserve"> As Bélanger, J.A. pointed out in </w:t>
      </w:r>
      <w:r w:rsidRPr="00347F26">
        <w:rPr>
          <w:i/>
          <w:iCs/>
          <w:lang w:val="en-CA"/>
        </w:rPr>
        <w:t>SNC-Lavalin inc. (Terratech inc. et SNC-Lavalin Environnement inc.) c. Deguise</w:t>
      </w:r>
      <w:r w:rsidRPr="00347F26">
        <w:rPr>
          <w:lang w:val="en-CA"/>
        </w:rPr>
        <w:t>, three conditions must be satisfied:</w:t>
      </w:r>
    </w:p>
    <w:p w14:paraId="64AFB99B" w14:textId="77777777" w:rsidR="00E60C8D" w:rsidRPr="00347F26" w:rsidRDefault="00E60C8D" w:rsidP="00B21F8F">
      <w:pPr>
        <w:pStyle w:val="Citationenretrait"/>
        <w:keepNext/>
        <w:spacing w:line="240" w:lineRule="auto"/>
        <w:rPr>
          <w:rFonts w:cs="Arial"/>
          <w:color w:val="000000"/>
          <w:lang w:val="en-CA"/>
        </w:rPr>
      </w:pPr>
      <w:r w:rsidRPr="00293F1B">
        <w:rPr>
          <w:rFonts w:cs="Arial"/>
          <w:color w:val="000000"/>
        </w:rPr>
        <w:t>[34]</w:t>
      </w:r>
      <w:r w:rsidRPr="00293F1B">
        <w:rPr>
          <w:color w:val="000000"/>
          <w:sz w:val="14"/>
          <w:szCs w:val="14"/>
        </w:rPr>
        <w:tab/>
      </w:r>
      <w:r w:rsidRPr="00293F1B">
        <w:rPr>
          <w:rFonts w:cs="Arial"/>
          <w:color w:val="000000"/>
        </w:rPr>
        <w:t>Les critères pour l’octroi d’une suspension d’exécution sont connus et il appartient à celui qui la requiert de démontrer qu’il rencontre trois conditions : 1) l’appel projeté doit soulever l’existence d’une question sérieuse à juger, détermination qui, sauf circonstances exceptionnelles, ne peut découler que d’un examen préliminaire du fond de l’affaire; 2) l’exécution de l’arrêt de la Cour d’appel est susceptible de causer un préjudice sérieux et irréparable, auquel un jugement favorable de la Cour suprême ne pourra remédier; et 3) la prépondérance des inconvénients, compte tenu de l’intérêt public dans certaines circonstances, favorise le maintien du </w:t>
      </w:r>
      <w:r w:rsidRPr="00293F1B">
        <w:rPr>
          <w:rFonts w:cs="Arial"/>
          <w:i/>
          <w:iCs/>
          <w:color w:val="000000"/>
        </w:rPr>
        <w:t>statu quo</w:t>
      </w:r>
      <w:r w:rsidRPr="00293F1B">
        <w:rPr>
          <w:rFonts w:cs="Arial"/>
          <w:color w:val="000000"/>
        </w:rPr>
        <w:t xml:space="preserve"> jusqu’à ce que la Cour suprême se soit </w:t>
      </w:r>
      <w:r w:rsidRPr="00293F1B">
        <w:rPr>
          <w:rFonts w:cs="Arial"/>
          <w:color w:val="000000"/>
        </w:rPr>
        <w:lastRenderedPageBreak/>
        <w:t xml:space="preserve">prononcée sur la demande d’autorisation ou, le cas échéant, l’appel. </w:t>
      </w:r>
      <w:r w:rsidRPr="00347F26">
        <w:rPr>
          <w:rFonts w:cs="Arial"/>
          <w:color w:val="000000"/>
          <w:lang w:val="en-CA"/>
        </w:rPr>
        <w:t>Ces critères sont cumulatifs</w:t>
      </w:r>
      <w:r>
        <w:rPr>
          <w:rStyle w:val="Appelnotedebasdep"/>
          <w:rFonts w:cs="Arial"/>
          <w:color w:val="000000"/>
          <w:lang w:val="en-CA"/>
        </w:rPr>
        <w:footnoteReference w:id="12"/>
      </w:r>
      <w:r w:rsidRPr="00347F26">
        <w:rPr>
          <w:rFonts w:cs="Arial"/>
          <w:color w:val="000000"/>
          <w:lang w:val="en-CA"/>
        </w:rPr>
        <w:t>.</w:t>
      </w:r>
    </w:p>
    <w:p w14:paraId="4470585C" w14:textId="77777777" w:rsidR="00E60C8D" w:rsidRPr="00347F26" w:rsidRDefault="00E60C8D" w:rsidP="00B21F8F">
      <w:pPr>
        <w:pStyle w:val="Citationenretrait"/>
        <w:keepNext/>
        <w:spacing w:line="240" w:lineRule="auto"/>
        <w:jc w:val="right"/>
        <w:rPr>
          <w:lang w:val="en-CA"/>
        </w:rPr>
      </w:pPr>
      <w:r w:rsidRPr="00347F26">
        <w:rPr>
          <w:color w:val="000000"/>
          <w:lang w:val="en-CA"/>
        </w:rPr>
        <w:t>[References omitted]</w:t>
      </w:r>
    </w:p>
    <w:p w14:paraId="24FA8E3A" w14:textId="77777777" w:rsidR="00E60C8D" w:rsidRPr="00347F26" w:rsidRDefault="00E60C8D" w:rsidP="00B21F8F">
      <w:pPr>
        <w:pStyle w:val="Paragraphe"/>
        <w:numPr>
          <w:ilvl w:val="0"/>
          <w:numId w:val="0"/>
        </w:numPr>
        <w:jc w:val="center"/>
        <w:rPr>
          <w:lang w:val="en-CA"/>
        </w:rPr>
      </w:pPr>
      <w:r w:rsidRPr="00347F26">
        <w:rPr>
          <w:lang w:val="en-CA"/>
        </w:rPr>
        <w:t>* * *</w:t>
      </w:r>
    </w:p>
    <w:p w14:paraId="3B2F0184" w14:textId="77777777" w:rsidR="00E60C8D" w:rsidRPr="00347F26" w:rsidRDefault="00E60C8D" w:rsidP="00E60C8D">
      <w:pPr>
        <w:pStyle w:val="Paragraphe"/>
        <w:tabs>
          <w:tab w:val="num" w:pos="720"/>
        </w:tabs>
        <w:spacing w:line="240" w:lineRule="auto"/>
        <w:rPr>
          <w:lang w:val="en-CA"/>
        </w:rPr>
      </w:pPr>
      <w:r w:rsidRPr="00347F26">
        <w:rPr>
          <w:lang w:val="en-CA"/>
        </w:rPr>
        <w:t>The appellant contends that her brother</w:t>
      </w:r>
      <w:r>
        <w:rPr>
          <w:lang w:val="en-CA"/>
        </w:rPr>
        <w:t>’</w:t>
      </w:r>
      <w:r w:rsidRPr="00347F26">
        <w:rPr>
          <w:lang w:val="en-CA"/>
        </w:rPr>
        <w:t xml:space="preserve">s health is improving day by day, that he feels no pain or suffering and that he has always expressed the desire to live until he can no longer communicate. She argues that these facts, combined with his right to life as enshrined in the </w:t>
      </w:r>
      <w:r w:rsidRPr="00347F26">
        <w:rPr>
          <w:i/>
          <w:iCs/>
          <w:lang w:val="en-CA"/>
        </w:rPr>
        <w:t>Canadian Charter of Rights and Freedoms</w:t>
      </w:r>
      <w:r w:rsidRPr="00347F26">
        <w:rPr>
          <w:lang w:val="en-CA"/>
        </w:rPr>
        <w:t>,</w:t>
      </w:r>
      <w:r>
        <w:rPr>
          <w:rStyle w:val="Appelnotedebasdep"/>
          <w:lang w:val="en-CA"/>
        </w:rPr>
        <w:footnoteReference w:id="13"/>
      </w:r>
      <w:r w:rsidRPr="00347F26">
        <w:rPr>
          <w:lang w:val="en-CA"/>
        </w:rPr>
        <w:t xml:space="preserve"> are such that a stay of execution of the Judgment should be ordered until the Supreme Court rules on her application for leave to appeal. Otherwise, any appeal she might be authorized to bring would become moot. </w:t>
      </w:r>
    </w:p>
    <w:p w14:paraId="1559F282" w14:textId="77777777" w:rsidR="00E60C8D" w:rsidRPr="00347F26" w:rsidRDefault="00E60C8D" w:rsidP="00E60C8D">
      <w:pPr>
        <w:pStyle w:val="Paragraphe"/>
        <w:tabs>
          <w:tab w:val="num" w:pos="720"/>
        </w:tabs>
        <w:spacing w:line="240" w:lineRule="auto"/>
        <w:rPr>
          <w:lang w:val="en-CA"/>
        </w:rPr>
      </w:pPr>
      <w:r w:rsidRPr="00347F26">
        <w:rPr>
          <w:lang w:val="en-CA"/>
        </w:rPr>
        <w:t>The respondent opposes the application for a stay.</w:t>
      </w:r>
    </w:p>
    <w:p w14:paraId="36B918A1" w14:textId="77777777" w:rsidR="00E60C8D" w:rsidRPr="00347F26" w:rsidRDefault="00E60C8D" w:rsidP="00E60C8D">
      <w:pPr>
        <w:pStyle w:val="Paragraphe"/>
        <w:tabs>
          <w:tab w:val="num" w:pos="720"/>
        </w:tabs>
        <w:spacing w:line="240" w:lineRule="auto"/>
        <w:rPr>
          <w:lang w:val="en-CA"/>
        </w:rPr>
      </w:pPr>
      <w:r w:rsidRPr="00347F26">
        <w:rPr>
          <w:lang w:val="en-CA"/>
        </w:rPr>
        <w:t>It points out that the Patient</w:t>
      </w:r>
      <w:r>
        <w:rPr>
          <w:lang w:val="en-CA"/>
        </w:rPr>
        <w:t>’</w:t>
      </w:r>
      <w:r w:rsidRPr="00347F26">
        <w:rPr>
          <w:lang w:val="en-CA"/>
        </w:rPr>
        <w:t>s interests constitute the cornerstone of every decision regarding him.</w:t>
      </w:r>
      <w:r>
        <w:rPr>
          <w:rStyle w:val="Appelnotedebasdep"/>
          <w:lang w:val="en-CA"/>
        </w:rPr>
        <w:footnoteReference w:id="14"/>
      </w:r>
      <w:r w:rsidRPr="00347F26">
        <w:rPr>
          <w:lang w:val="en-CA"/>
        </w:rPr>
        <w:t xml:space="preserve"> The uncontradicted evidence shows that the Patient</w:t>
      </w:r>
      <w:r>
        <w:rPr>
          <w:lang w:val="en-CA"/>
        </w:rPr>
        <w:t>’</w:t>
      </w:r>
      <w:r w:rsidRPr="00347F26">
        <w:rPr>
          <w:lang w:val="en-CA"/>
        </w:rPr>
        <w:t>s death is inevitable and that the care plan endorsed by the Superior Court is essential to shorten his suffering and allow him to live out the remainder of his life with dignity.</w:t>
      </w:r>
    </w:p>
    <w:p w14:paraId="75F2A330" w14:textId="77777777" w:rsidR="00E60C8D" w:rsidRPr="00347F26" w:rsidRDefault="00E60C8D" w:rsidP="00B21F8F">
      <w:pPr>
        <w:pStyle w:val="Paragraphe"/>
        <w:numPr>
          <w:ilvl w:val="0"/>
          <w:numId w:val="0"/>
        </w:numPr>
        <w:jc w:val="center"/>
        <w:rPr>
          <w:lang w:val="en-CA"/>
        </w:rPr>
      </w:pPr>
      <w:r w:rsidRPr="00347F26">
        <w:rPr>
          <w:lang w:val="en-CA"/>
        </w:rPr>
        <w:t>* * *</w:t>
      </w:r>
    </w:p>
    <w:p w14:paraId="786B6C4F" w14:textId="77777777" w:rsidR="00E60C8D" w:rsidRPr="00347F26" w:rsidRDefault="00E60C8D" w:rsidP="00E60C8D">
      <w:pPr>
        <w:pStyle w:val="Paragraphe"/>
        <w:tabs>
          <w:tab w:val="num" w:pos="720"/>
        </w:tabs>
        <w:spacing w:line="240" w:lineRule="auto"/>
        <w:rPr>
          <w:lang w:val="en-CA"/>
        </w:rPr>
      </w:pPr>
      <w:r w:rsidRPr="00347F26">
        <w:rPr>
          <w:lang w:val="en-CA"/>
        </w:rPr>
        <w:t>The respondent is right. The Patient</w:t>
      </w:r>
      <w:r>
        <w:rPr>
          <w:lang w:val="en-CA"/>
        </w:rPr>
        <w:t>’</w:t>
      </w:r>
      <w:r w:rsidRPr="00347F26">
        <w:rPr>
          <w:lang w:val="en-CA"/>
        </w:rPr>
        <w:t>s interests are at the heart of the decision I must render.</w:t>
      </w:r>
    </w:p>
    <w:p w14:paraId="4C2706EA" w14:textId="77777777" w:rsidR="00E60C8D" w:rsidRPr="00347F26" w:rsidRDefault="00E60C8D" w:rsidP="00E60C8D">
      <w:pPr>
        <w:pStyle w:val="Paragraphe"/>
        <w:tabs>
          <w:tab w:val="num" w:pos="720"/>
        </w:tabs>
        <w:spacing w:line="240" w:lineRule="auto"/>
        <w:rPr>
          <w:lang w:val="en-CA"/>
        </w:rPr>
      </w:pPr>
      <w:r w:rsidRPr="00347F26">
        <w:rPr>
          <w:lang w:val="en-CA"/>
        </w:rPr>
        <w:t>The evidence that the trial judge heard convinced him that the care the Patient is receiving is futile and is only prolonging his agony.</w:t>
      </w:r>
      <w:r>
        <w:rPr>
          <w:rStyle w:val="Appelnotedebasdep"/>
          <w:lang w:val="en-CA"/>
        </w:rPr>
        <w:footnoteReference w:id="15"/>
      </w:r>
      <w:r w:rsidRPr="00347F26">
        <w:rPr>
          <w:lang w:val="en-CA"/>
        </w:rPr>
        <w:t xml:space="preserve"> One need only read paragraphs 42 to 45 of the Judgment to be convinced of this. In the trial judge</w:t>
      </w:r>
      <w:r>
        <w:rPr>
          <w:lang w:val="en-CA"/>
        </w:rPr>
        <w:t>’</w:t>
      </w:r>
      <w:r w:rsidRPr="00347F26">
        <w:rPr>
          <w:lang w:val="en-CA"/>
        </w:rPr>
        <w:t xml:space="preserve">s opinion, the only care that should now be provided to the Patient is palliative comfort care. </w:t>
      </w:r>
    </w:p>
    <w:p w14:paraId="10410E5C" w14:textId="77777777" w:rsidR="00E60C8D" w:rsidRPr="00347F26" w:rsidRDefault="00E60C8D" w:rsidP="00E60C8D">
      <w:pPr>
        <w:pStyle w:val="Paragraphe"/>
        <w:tabs>
          <w:tab w:val="num" w:pos="720"/>
        </w:tabs>
        <w:spacing w:line="240" w:lineRule="auto"/>
        <w:rPr>
          <w:lang w:val="en-CA"/>
        </w:rPr>
      </w:pPr>
      <w:r w:rsidRPr="00347F26">
        <w:rPr>
          <w:lang w:val="en-CA"/>
        </w:rPr>
        <w:t xml:space="preserve">As the appellant did not show that the trial judgment contains a reviewable error, her appeal was dismissed. </w:t>
      </w:r>
    </w:p>
    <w:p w14:paraId="2AD0A09C" w14:textId="77777777" w:rsidR="00E60C8D" w:rsidRPr="00347F26" w:rsidRDefault="00E60C8D" w:rsidP="00E60C8D">
      <w:pPr>
        <w:pStyle w:val="Paragraphe"/>
        <w:tabs>
          <w:tab w:val="num" w:pos="720"/>
        </w:tabs>
        <w:spacing w:line="240" w:lineRule="auto"/>
        <w:rPr>
          <w:lang w:val="en-CA"/>
        </w:rPr>
      </w:pPr>
      <w:r w:rsidRPr="00347F26">
        <w:rPr>
          <w:lang w:val="en-CA"/>
        </w:rPr>
        <w:t>Despite the compassion I feel for the appellant</w:t>
      </w:r>
      <w:r>
        <w:rPr>
          <w:lang w:val="en-CA"/>
        </w:rPr>
        <w:t>’</w:t>
      </w:r>
      <w:r w:rsidRPr="00347F26">
        <w:rPr>
          <w:lang w:val="en-CA"/>
        </w:rPr>
        <w:t>s grief, I am of the view that the application must be dismissed.</w:t>
      </w:r>
    </w:p>
    <w:p w14:paraId="20AE5B90" w14:textId="77777777" w:rsidR="00E60C8D" w:rsidRPr="00347F26" w:rsidRDefault="00E60C8D" w:rsidP="00B21F8F">
      <w:pPr>
        <w:pStyle w:val="Titre2"/>
        <w:spacing w:line="240" w:lineRule="auto"/>
        <w:rPr>
          <w:lang w:val="en-CA"/>
        </w:rPr>
      </w:pPr>
      <w:r w:rsidRPr="00347F26">
        <w:rPr>
          <w:bCs/>
          <w:iCs/>
          <w:lang w:val="en-CA"/>
        </w:rPr>
        <w:lastRenderedPageBreak/>
        <w:t>Denial of justice</w:t>
      </w:r>
    </w:p>
    <w:p w14:paraId="5BFB6373" w14:textId="77777777" w:rsidR="00E60C8D" w:rsidRPr="00347F26" w:rsidRDefault="00E60C8D" w:rsidP="00E60C8D">
      <w:pPr>
        <w:pStyle w:val="Paragraphe"/>
        <w:tabs>
          <w:tab w:val="num" w:pos="720"/>
        </w:tabs>
        <w:spacing w:line="240" w:lineRule="auto"/>
        <w:rPr>
          <w:lang w:val="en-CA"/>
        </w:rPr>
      </w:pPr>
      <w:r w:rsidRPr="00347F26">
        <w:rPr>
          <w:lang w:val="en-CA"/>
        </w:rPr>
        <w:t>First, I do not believe that dismissing her application would, in the words of s.</w:t>
      </w:r>
      <w:r>
        <w:rPr>
          <w:lang w:val="en-CA"/>
        </w:rPr>
        <w:t> </w:t>
      </w:r>
      <w:r w:rsidRPr="00347F26">
        <w:rPr>
          <w:lang w:val="en-CA"/>
        </w:rPr>
        <w:t xml:space="preserve">65.1(2) of the </w:t>
      </w:r>
      <w:r w:rsidRPr="00347F26">
        <w:rPr>
          <w:i/>
          <w:iCs/>
          <w:lang w:val="en-CA"/>
        </w:rPr>
        <w:t>Supreme Court Act</w:t>
      </w:r>
      <w:r w:rsidRPr="00347F26">
        <w:rPr>
          <w:lang w:val="en-CA"/>
        </w:rPr>
        <w:t xml:space="preserve">, result in a </w:t>
      </w:r>
      <w:r>
        <w:rPr>
          <w:lang w:val="en-CA"/>
        </w:rPr>
        <w:t>“</w:t>
      </w:r>
      <w:r w:rsidRPr="00347F26">
        <w:rPr>
          <w:lang w:val="en-CA"/>
        </w:rPr>
        <w:t>miscarriage of justice</w:t>
      </w:r>
      <w:r>
        <w:rPr>
          <w:lang w:val="en-CA"/>
        </w:rPr>
        <w:t>”</w:t>
      </w:r>
      <w:r w:rsidRPr="00347F26">
        <w:rPr>
          <w:lang w:val="en-CA"/>
        </w:rPr>
        <w:t>. Indeed, the opposite is true. Continuing futile treatments and prolonging the Patient</w:t>
      </w:r>
      <w:r>
        <w:rPr>
          <w:lang w:val="en-CA"/>
        </w:rPr>
        <w:t>’</w:t>
      </w:r>
      <w:r w:rsidRPr="00347F26">
        <w:rPr>
          <w:lang w:val="en-CA"/>
        </w:rPr>
        <w:t>s agony would be unfair to him.</w:t>
      </w:r>
    </w:p>
    <w:p w14:paraId="56231F33" w14:textId="77777777" w:rsidR="00E60C8D" w:rsidRPr="00347F26" w:rsidRDefault="00E60C8D" w:rsidP="00B21F8F">
      <w:pPr>
        <w:pStyle w:val="Titre2"/>
        <w:spacing w:line="240" w:lineRule="auto"/>
        <w:rPr>
          <w:lang w:val="en-CA"/>
        </w:rPr>
      </w:pPr>
      <w:r w:rsidRPr="00347F26">
        <w:rPr>
          <w:bCs/>
          <w:iCs/>
          <w:lang w:val="en-CA"/>
        </w:rPr>
        <w:t>Serious issue</w:t>
      </w:r>
    </w:p>
    <w:p w14:paraId="1C70BB00" w14:textId="77777777" w:rsidR="00E60C8D" w:rsidRPr="00347F26" w:rsidRDefault="00E60C8D" w:rsidP="00E60C8D">
      <w:pPr>
        <w:pStyle w:val="Paragraphe"/>
        <w:tabs>
          <w:tab w:val="num" w:pos="720"/>
        </w:tabs>
        <w:spacing w:line="240" w:lineRule="auto"/>
        <w:rPr>
          <w:lang w:val="en-CA"/>
        </w:rPr>
      </w:pPr>
      <w:r w:rsidRPr="00347F26">
        <w:rPr>
          <w:lang w:val="en-CA"/>
        </w:rPr>
        <w:t>Admittedly, the proposed appeal raises a serious issue in light of its purpose, but with a caveat. It is unlikely that the factual findings on which the trial judgment and the Judgment are based can be overturned, especially since the underlying medical evidence is uncontradicted.</w:t>
      </w:r>
    </w:p>
    <w:p w14:paraId="2BC2AFD1" w14:textId="77777777" w:rsidR="00E60C8D" w:rsidRPr="00347F26" w:rsidRDefault="00E60C8D" w:rsidP="00B21F8F">
      <w:pPr>
        <w:pStyle w:val="Titre2"/>
        <w:spacing w:line="240" w:lineRule="auto"/>
        <w:rPr>
          <w:lang w:val="en-CA"/>
        </w:rPr>
      </w:pPr>
      <w:r w:rsidRPr="00347F26">
        <w:rPr>
          <w:bCs/>
          <w:iCs/>
          <w:lang w:val="en-CA"/>
        </w:rPr>
        <w:t>Serious or irreparable harm</w:t>
      </w:r>
    </w:p>
    <w:p w14:paraId="66DF9CF8" w14:textId="77777777" w:rsidR="00E60C8D" w:rsidRPr="00347F26" w:rsidRDefault="00E60C8D" w:rsidP="00E60C8D">
      <w:pPr>
        <w:pStyle w:val="Paragraphe"/>
        <w:tabs>
          <w:tab w:val="num" w:pos="720"/>
        </w:tabs>
        <w:spacing w:line="240" w:lineRule="auto"/>
        <w:rPr>
          <w:lang w:val="en-CA"/>
        </w:rPr>
      </w:pPr>
      <w:r w:rsidRPr="00347F26">
        <w:rPr>
          <w:lang w:val="en-CA"/>
        </w:rPr>
        <w:t>Prolonging life-sustaining treatment will only prolong the Patient</w:t>
      </w:r>
      <w:r>
        <w:rPr>
          <w:lang w:val="en-CA"/>
        </w:rPr>
        <w:t>’</w:t>
      </w:r>
      <w:r w:rsidRPr="00347F26">
        <w:rPr>
          <w:lang w:val="en-CA"/>
        </w:rPr>
        <w:t>s agony, whereas palliative comfort care will have the opposite effect, in addition to allowing the Patient to die with dignity. Therefore, execution of the Judgment is not likely to cause him serious and irreparable harm.</w:t>
      </w:r>
    </w:p>
    <w:p w14:paraId="2B95D134" w14:textId="77777777" w:rsidR="00E60C8D" w:rsidRPr="00347F26" w:rsidRDefault="00E60C8D" w:rsidP="00B21F8F">
      <w:pPr>
        <w:pStyle w:val="Titre2"/>
        <w:spacing w:line="240" w:lineRule="auto"/>
        <w:rPr>
          <w:lang w:val="en-CA"/>
        </w:rPr>
      </w:pPr>
      <w:r w:rsidRPr="00347F26">
        <w:rPr>
          <w:bCs/>
          <w:iCs/>
          <w:lang w:val="en-CA"/>
        </w:rPr>
        <w:t>Balance of convenience</w:t>
      </w:r>
    </w:p>
    <w:p w14:paraId="2D877C14" w14:textId="77777777" w:rsidR="00E60C8D" w:rsidRPr="00347F26" w:rsidRDefault="00E60C8D" w:rsidP="00E60C8D">
      <w:pPr>
        <w:pStyle w:val="Paragraphe"/>
        <w:tabs>
          <w:tab w:val="num" w:pos="720"/>
        </w:tabs>
        <w:spacing w:line="240" w:lineRule="auto"/>
        <w:rPr>
          <w:lang w:val="en-CA"/>
        </w:rPr>
      </w:pPr>
      <w:r w:rsidRPr="00347F26">
        <w:rPr>
          <w:lang w:val="en-CA"/>
        </w:rPr>
        <w:t>Here, too, this criterion weighs in favour of dismissing the application.</w:t>
      </w:r>
    </w:p>
    <w:p w14:paraId="41AFC9FB" w14:textId="77777777" w:rsidR="00E60C8D" w:rsidRPr="00347F26" w:rsidRDefault="00E60C8D" w:rsidP="00E60C8D">
      <w:pPr>
        <w:pStyle w:val="Paragraphe"/>
        <w:tabs>
          <w:tab w:val="num" w:pos="720"/>
        </w:tabs>
        <w:spacing w:line="240" w:lineRule="auto"/>
        <w:rPr>
          <w:lang w:val="en-CA"/>
        </w:rPr>
      </w:pPr>
      <w:r w:rsidRPr="00347F26">
        <w:rPr>
          <w:lang w:val="en-CA"/>
        </w:rPr>
        <w:t xml:space="preserve">Granting it </w:t>
      </w:r>
      <w:r>
        <w:rPr>
          <w:lang w:val="en-CA"/>
        </w:rPr>
        <w:t xml:space="preserve">would </w:t>
      </w:r>
      <w:r w:rsidRPr="00347F26">
        <w:rPr>
          <w:lang w:val="en-CA"/>
        </w:rPr>
        <w:t>not benefit the Patient in any way, whereas dismissing it will allow him to die with dignity.</w:t>
      </w:r>
    </w:p>
    <w:p w14:paraId="0FE47D4D" w14:textId="77777777" w:rsidR="00E60C8D" w:rsidRPr="00347F26" w:rsidRDefault="00E60C8D" w:rsidP="00E60C8D">
      <w:pPr>
        <w:pStyle w:val="Paragraphe"/>
        <w:tabs>
          <w:tab w:val="num" w:pos="720"/>
        </w:tabs>
        <w:spacing w:line="240" w:lineRule="auto"/>
        <w:rPr>
          <w:lang w:val="en-CA"/>
        </w:rPr>
      </w:pPr>
      <w:r w:rsidRPr="00347F26">
        <w:rPr>
          <w:lang w:val="en-CA"/>
        </w:rPr>
        <w:t>I therefore conclude that the application cannot succeed.</w:t>
      </w:r>
    </w:p>
    <w:p w14:paraId="4BA7A1A7" w14:textId="77777777" w:rsidR="00E60C8D" w:rsidRPr="00347F26" w:rsidRDefault="00E60C8D" w:rsidP="00B21F8F">
      <w:pPr>
        <w:pStyle w:val="Paragraphe"/>
        <w:numPr>
          <w:ilvl w:val="0"/>
          <w:numId w:val="0"/>
        </w:numPr>
        <w:rPr>
          <w:b/>
          <w:bCs/>
          <w:lang w:val="en-CA"/>
        </w:rPr>
      </w:pPr>
      <w:r w:rsidRPr="00347F26">
        <w:rPr>
          <w:b/>
          <w:bCs/>
          <w:lang w:val="en-CA"/>
        </w:rPr>
        <w:t>FOR THESE REASONS, THE UNDERSIGNED:</w:t>
      </w:r>
    </w:p>
    <w:p w14:paraId="78F163B9" w14:textId="77777777" w:rsidR="00E60C8D" w:rsidRPr="00347F26" w:rsidRDefault="00E60C8D" w:rsidP="00E60C8D">
      <w:pPr>
        <w:pStyle w:val="Paragraphe"/>
        <w:tabs>
          <w:tab w:val="num" w:pos="720"/>
        </w:tabs>
        <w:spacing w:line="240" w:lineRule="auto"/>
        <w:rPr>
          <w:lang w:val="en-CA"/>
        </w:rPr>
      </w:pPr>
      <w:r w:rsidRPr="00347F26">
        <w:rPr>
          <w:b/>
          <w:bCs/>
          <w:lang w:val="en-CA"/>
        </w:rPr>
        <w:t xml:space="preserve">DISMISSES </w:t>
      </w:r>
      <w:r w:rsidRPr="00347F26">
        <w:rPr>
          <w:lang w:val="en-CA"/>
        </w:rPr>
        <w:t>the application for a stay of execution of the judgment rendered by this Court in the present file on December 19, 2024, without legal costs given the nature of the matter.</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4682"/>
        <w:gridCol w:w="4680"/>
      </w:tblGrid>
      <w:tr w:rsidR="00E60C8D" w14:paraId="0C3246F3" w14:textId="77777777" w:rsidTr="00D846F5">
        <w:trPr>
          <w:trHeight w:val="576"/>
        </w:trPr>
        <w:tc>
          <w:tcPr>
            <w:tcW w:w="9362" w:type="dxa"/>
            <w:gridSpan w:val="2"/>
            <w:tcBorders>
              <w:top w:val="nil"/>
              <w:bottom w:val="nil"/>
            </w:tcBorders>
          </w:tcPr>
          <w:p w14:paraId="5F8BAB2A" w14:textId="77777777" w:rsidR="00E60C8D" w:rsidRPr="00347F26" w:rsidRDefault="00E60C8D" w:rsidP="00D846F5">
            <w:pPr>
              <w:keepNext/>
              <w:rPr>
                <w:lang w:val="en-CA"/>
              </w:rPr>
            </w:pPr>
          </w:p>
        </w:tc>
      </w:tr>
      <w:tr w:rsidR="00E60C8D" w14:paraId="224AFFDF" w14:textId="77777777" w:rsidTr="00D846F5">
        <w:trPr>
          <w:trHeight w:val="283"/>
        </w:trPr>
        <w:tc>
          <w:tcPr>
            <w:tcW w:w="4682" w:type="dxa"/>
            <w:tcBorders>
              <w:top w:val="nil"/>
              <w:bottom w:val="nil"/>
            </w:tcBorders>
          </w:tcPr>
          <w:p w14:paraId="7FD87FD6" w14:textId="77777777" w:rsidR="00E60C8D" w:rsidRPr="00347F26" w:rsidRDefault="00E60C8D" w:rsidP="00D846F5">
            <w:pPr>
              <w:keepNext/>
              <w:rPr>
                <w:lang w:val="en-CA"/>
              </w:rPr>
            </w:pPr>
          </w:p>
        </w:tc>
        <w:tc>
          <w:tcPr>
            <w:tcW w:w="4680" w:type="dxa"/>
            <w:tcBorders>
              <w:top w:val="nil"/>
              <w:bottom w:val="single" w:sz="8" w:space="0" w:color="auto"/>
            </w:tcBorders>
          </w:tcPr>
          <w:p w14:paraId="2FAD3159" w14:textId="77777777" w:rsidR="00E60C8D" w:rsidRPr="00347F26" w:rsidRDefault="00E60C8D" w:rsidP="00D846F5">
            <w:pPr>
              <w:keepNext/>
              <w:rPr>
                <w:lang w:val="en-CA"/>
              </w:rPr>
            </w:pPr>
          </w:p>
        </w:tc>
      </w:tr>
      <w:tr w:rsidR="00E60C8D" w14:paraId="496DD4C2" w14:textId="77777777" w:rsidTr="00D846F5">
        <w:trPr>
          <w:trHeight w:val="283"/>
        </w:trPr>
        <w:tc>
          <w:tcPr>
            <w:tcW w:w="4682" w:type="dxa"/>
            <w:tcBorders>
              <w:top w:val="nil"/>
            </w:tcBorders>
          </w:tcPr>
          <w:p w14:paraId="3246CE00" w14:textId="77777777" w:rsidR="00E60C8D" w:rsidRPr="00347F26" w:rsidRDefault="00E60C8D" w:rsidP="00D846F5">
            <w:pPr>
              <w:keepNext/>
              <w:rPr>
                <w:lang w:val="en-CA"/>
              </w:rPr>
            </w:pPr>
          </w:p>
        </w:tc>
        <w:tc>
          <w:tcPr>
            <w:tcW w:w="4680" w:type="dxa"/>
            <w:tcBorders>
              <w:top w:val="single" w:sz="8" w:space="0" w:color="auto"/>
            </w:tcBorders>
          </w:tcPr>
          <w:p w14:paraId="6159B47C" w14:textId="77777777" w:rsidR="00E60C8D" w:rsidRPr="00347F26" w:rsidRDefault="00E60C8D" w:rsidP="00D846F5">
            <w:pPr>
              <w:rPr>
                <w:lang w:val="en-CA"/>
              </w:rPr>
            </w:pPr>
            <w:r w:rsidRPr="008126F0">
              <w:rPr>
                <w:lang w:val="en-CA"/>
              </w:rPr>
              <w:t>ÉRIC HARDY, J.A.</w:t>
            </w:r>
          </w:p>
        </w:tc>
      </w:tr>
    </w:tbl>
    <w:p w14:paraId="1587FCE8" w14:textId="77777777" w:rsidR="00E60C8D" w:rsidRPr="00385784" w:rsidRDefault="00E60C8D" w:rsidP="00E06061">
      <w:pPr>
        <w:pStyle w:val="Paragraphe"/>
        <w:numPr>
          <w:ilvl w:val="0"/>
          <w:numId w:val="0"/>
        </w:numPr>
        <w:rPr>
          <w:lang w:val="en-CA"/>
        </w:rPr>
      </w:pPr>
    </w:p>
    <w:p w14:paraId="1CFE0F60" w14:textId="77777777" w:rsidR="00E60C8D" w:rsidRPr="00385784" w:rsidRDefault="00E60C8D" w:rsidP="00E06061">
      <w:pPr>
        <w:pStyle w:val="Paragraphe"/>
        <w:numPr>
          <w:ilvl w:val="0"/>
          <w:numId w:val="0"/>
        </w:numPr>
        <w:rPr>
          <w:lang w:val="en-CA"/>
        </w:rPr>
      </w:pPr>
    </w:p>
    <w:sectPr w:rsidR="00E60C8D" w:rsidRPr="00385784" w:rsidSect="00E60C8D">
      <w:headerReference w:type="default" r:id="rId12"/>
      <w:footnotePr>
        <w:numRestart w:val="eachSect"/>
      </w:footnotePr>
      <w:pgSz w:w="12242" w:h="15842" w:code="1"/>
      <w:pgMar w:top="720" w:right="1262" w:bottom="1296" w:left="1620" w:header="1440" w:footer="792" w:gutter="0"/>
      <w:pgNumType w:start="1"/>
      <w:cols w:space="720"/>
      <w:formProt w:val="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B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B902" w14:textId="77777777" w:rsidR="00DC415D" w:rsidRDefault="00DC415D">
      <w:pPr>
        <w:spacing w:line="240" w:lineRule="auto"/>
      </w:pPr>
      <w:r>
        <w:separator/>
      </w:r>
    </w:p>
  </w:endnote>
  <w:endnote w:type="continuationSeparator" w:id="0">
    <w:p w14:paraId="17555B26" w14:textId="77777777" w:rsidR="00DC415D" w:rsidRDefault="00DC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27F1" w14:textId="77777777" w:rsidR="00DC415D" w:rsidRDefault="00DC415D">
      <w:pPr>
        <w:spacing w:line="240" w:lineRule="auto"/>
      </w:pPr>
      <w:r>
        <w:separator/>
      </w:r>
    </w:p>
  </w:footnote>
  <w:footnote w:type="continuationSeparator" w:id="0">
    <w:p w14:paraId="3E1572A9" w14:textId="77777777" w:rsidR="00DC415D" w:rsidRDefault="00DC415D">
      <w:pPr>
        <w:spacing w:line="240" w:lineRule="auto"/>
      </w:pPr>
      <w:r>
        <w:continuationSeparator/>
      </w:r>
    </w:p>
  </w:footnote>
  <w:footnote w:id="1">
    <w:p w14:paraId="7E6BD73E" w14:textId="77777777" w:rsidR="00E60C8D" w:rsidRPr="000463F8" w:rsidRDefault="00E60C8D" w:rsidP="00A417B2">
      <w:pPr>
        <w:pStyle w:val="Notedebasdepage"/>
        <w:rPr>
          <w:lang w:val="en-CA"/>
        </w:rPr>
      </w:pPr>
      <w:r>
        <w:rPr>
          <w:rStyle w:val="Appelnotedebasdep"/>
        </w:rPr>
        <w:footnoteRef/>
      </w:r>
      <w:r w:rsidRPr="000463F8">
        <w:rPr>
          <w:lang w:val="en-CA"/>
        </w:rPr>
        <w:t xml:space="preserve"> </w:t>
      </w:r>
      <w:r w:rsidRPr="000463F8">
        <w:rPr>
          <w:lang w:val="en-CA"/>
        </w:rPr>
        <w:tab/>
        <w:t>R.S.C. 1985, c. S-26.</w:t>
      </w:r>
    </w:p>
  </w:footnote>
  <w:footnote w:id="2">
    <w:p w14:paraId="0A2D6DD2" w14:textId="77777777" w:rsidR="00E60C8D" w:rsidRPr="00B736B5" w:rsidRDefault="00E60C8D" w:rsidP="00A417B2">
      <w:pPr>
        <w:pStyle w:val="Notedebasdepage"/>
        <w:rPr>
          <w:lang w:val="en-CA"/>
        </w:rPr>
      </w:pPr>
      <w:r>
        <w:rPr>
          <w:rStyle w:val="Appelnotedebasdep"/>
        </w:rPr>
        <w:footnoteRef/>
      </w:r>
      <w:r w:rsidRPr="000463F8">
        <w:rPr>
          <w:lang w:val="en-CA"/>
        </w:rPr>
        <w:t xml:space="preserve"> </w:t>
      </w:r>
      <w:r w:rsidRPr="000463F8">
        <w:rPr>
          <w:lang w:val="en-CA"/>
        </w:rPr>
        <w:tab/>
        <w:t>Judgment, para. 21.</w:t>
      </w:r>
    </w:p>
  </w:footnote>
  <w:footnote w:id="3">
    <w:p w14:paraId="0BDAD45A" w14:textId="77777777" w:rsidR="00E60C8D" w:rsidRPr="00B736B5" w:rsidRDefault="00E60C8D" w:rsidP="00A417B2">
      <w:pPr>
        <w:pStyle w:val="Notedebasdepage"/>
        <w:rPr>
          <w:lang w:val="en-CA"/>
        </w:rPr>
      </w:pPr>
      <w:r>
        <w:rPr>
          <w:rStyle w:val="Appelnotedebasdep"/>
        </w:rPr>
        <w:footnoteRef/>
      </w:r>
      <w:r w:rsidRPr="00B736B5">
        <w:rPr>
          <w:lang w:val="en-CA"/>
        </w:rPr>
        <w:t xml:space="preserve"> </w:t>
      </w:r>
      <w:r w:rsidRPr="00B736B5">
        <w:rPr>
          <w:lang w:val="en-CA"/>
        </w:rPr>
        <w:tab/>
      </w:r>
      <w:r w:rsidRPr="00B736B5">
        <w:rPr>
          <w:i/>
          <w:iCs/>
          <w:lang w:val="en-CA"/>
        </w:rPr>
        <w:t>Id</w:t>
      </w:r>
      <w:r w:rsidRPr="00B736B5">
        <w:rPr>
          <w:lang w:val="en-CA"/>
        </w:rPr>
        <w:t>., para. 2.</w:t>
      </w:r>
    </w:p>
  </w:footnote>
  <w:footnote w:id="4">
    <w:p w14:paraId="651149F9" w14:textId="77777777" w:rsidR="00E60C8D" w:rsidRPr="00B736B5" w:rsidRDefault="00E60C8D" w:rsidP="00A417B2">
      <w:pPr>
        <w:pStyle w:val="Notedebasdepage"/>
        <w:rPr>
          <w:lang w:val="en-CA"/>
        </w:rPr>
      </w:pPr>
      <w:r>
        <w:rPr>
          <w:rStyle w:val="Appelnotedebasdep"/>
        </w:rPr>
        <w:footnoteRef/>
      </w:r>
      <w:r w:rsidRPr="00B736B5">
        <w:rPr>
          <w:lang w:val="en-CA"/>
        </w:rPr>
        <w:t xml:space="preserve"> </w:t>
      </w:r>
      <w:r w:rsidRPr="00B736B5">
        <w:rPr>
          <w:lang w:val="en-CA"/>
        </w:rPr>
        <w:tab/>
      </w:r>
      <w:r w:rsidRPr="00B736B5">
        <w:rPr>
          <w:i/>
          <w:iCs/>
          <w:lang w:val="en-CA"/>
        </w:rPr>
        <w:t>Id</w:t>
      </w:r>
      <w:r w:rsidRPr="00B736B5">
        <w:rPr>
          <w:lang w:val="en-CA"/>
        </w:rPr>
        <w:t>., para. 3.</w:t>
      </w:r>
    </w:p>
  </w:footnote>
  <w:footnote w:id="5">
    <w:p w14:paraId="634FC805" w14:textId="77777777" w:rsidR="00E60C8D" w:rsidRPr="00D14433" w:rsidRDefault="00E60C8D" w:rsidP="00A417B2">
      <w:pPr>
        <w:pStyle w:val="Notedebasdepage"/>
        <w:rPr>
          <w:lang w:val="en-CA"/>
        </w:rPr>
      </w:pPr>
      <w:r>
        <w:rPr>
          <w:rStyle w:val="Appelnotedebasdep"/>
        </w:rPr>
        <w:footnoteRef/>
      </w:r>
      <w:r w:rsidRPr="00B736B5">
        <w:rPr>
          <w:lang w:val="en-CA"/>
        </w:rPr>
        <w:t xml:space="preserve"> </w:t>
      </w:r>
      <w:r w:rsidRPr="00B736B5">
        <w:rPr>
          <w:lang w:val="en-CA"/>
        </w:rPr>
        <w:tab/>
      </w:r>
      <w:r w:rsidRPr="00B736B5">
        <w:rPr>
          <w:i/>
          <w:iCs/>
          <w:lang w:val="en-CA"/>
        </w:rPr>
        <w:t>Id</w:t>
      </w:r>
      <w:r w:rsidRPr="00B736B5">
        <w:rPr>
          <w:lang w:val="en-CA"/>
        </w:rPr>
        <w:t>., para. 11.</w:t>
      </w:r>
    </w:p>
  </w:footnote>
  <w:footnote w:id="6">
    <w:p w14:paraId="06B95D9C" w14:textId="77777777" w:rsidR="00E60C8D" w:rsidRPr="00EF7969" w:rsidRDefault="00E60C8D" w:rsidP="00A417B2">
      <w:pPr>
        <w:pStyle w:val="Notedebasdepage"/>
        <w:rPr>
          <w:lang w:val="en-CA"/>
        </w:rPr>
      </w:pPr>
      <w:r>
        <w:rPr>
          <w:rStyle w:val="Appelnotedebasdep"/>
        </w:rPr>
        <w:footnoteRef/>
      </w:r>
      <w:r w:rsidRPr="00EF7969">
        <w:rPr>
          <w:lang w:val="en-CA"/>
        </w:rPr>
        <w:t xml:space="preserve"> </w:t>
      </w:r>
      <w:r w:rsidRPr="00EF7969">
        <w:rPr>
          <w:lang w:val="en-CA"/>
        </w:rPr>
        <w:tab/>
      </w:r>
      <w:r w:rsidRPr="00EF7969">
        <w:rPr>
          <w:i/>
          <w:iCs/>
          <w:lang w:val="en-CA"/>
        </w:rPr>
        <w:t>Ibid</w:t>
      </w:r>
      <w:r w:rsidRPr="00EF7969">
        <w:rPr>
          <w:lang w:val="en-CA"/>
        </w:rPr>
        <w:t>.</w:t>
      </w:r>
    </w:p>
  </w:footnote>
  <w:footnote w:id="7">
    <w:p w14:paraId="1048CB78" w14:textId="77777777" w:rsidR="00E60C8D" w:rsidRPr="00EF7969" w:rsidRDefault="00E60C8D" w:rsidP="00A417B2">
      <w:pPr>
        <w:pStyle w:val="Notedebasdepage"/>
        <w:rPr>
          <w:lang w:val="en-CA"/>
        </w:rPr>
      </w:pPr>
      <w:r>
        <w:rPr>
          <w:rStyle w:val="Appelnotedebasdep"/>
        </w:rPr>
        <w:footnoteRef/>
      </w:r>
      <w:r w:rsidRPr="00D14433">
        <w:rPr>
          <w:lang w:val="en-CA"/>
        </w:rPr>
        <w:t xml:space="preserve"> </w:t>
      </w:r>
      <w:r w:rsidRPr="00D14433">
        <w:rPr>
          <w:lang w:val="en-CA"/>
        </w:rPr>
        <w:tab/>
      </w:r>
      <w:r w:rsidRPr="00D14433">
        <w:rPr>
          <w:i/>
          <w:iCs/>
          <w:lang w:val="en-CA"/>
        </w:rPr>
        <w:t>Id</w:t>
      </w:r>
      <w:r w:rsidRPr="00D14433">
        <w:rPr>
          <w:lang w:val="en-CA"/>
        </w:rPr>
        <w:t>., para. 40.</w:t>
      </w:r>
    </w:p>
  </w:footnote>
  <w:footnote w:id="8">
    <w:p w14:paraId="53B26AFF" w14:textId="77777777" w:rsidR="00E60C8D" w:rsidRPr="00293F1B" w:rsidRDefault="00E60C8D" w:rsidP="00A417B2">
      <w:pPr>
        <w:pStyle w:val="Notedebasdepage"/>
      </w:pPr>
      <w:r>
        <w:rPr>
          <w:rStyle w:val="Appelnotedebasdep"/>
        </w:rPr>
        <w:footnoteRef/>
      </w:r>
      <w:r w:rsidRPr="00EF7969">
        <w:rPr>
          <w:lang w:val="en-CA"/>
        </w:rPr>
        <w:t xml:space="preserve"> </w:t>
      </w:r>
      <w:r w:rsidRPr="00EF7969">
        <w:rPr>
          <w:lang w:val="en-CA"/>
        </w:rPr>
        <w:tab/>
      </w:r>
      <w:r w:rsidRPr="00EF7969">
        <w:rPr>
          <w:i/>
          <w:iCs/>
          <w:lang w:val="en-CA"/>
        </w:rPr>
        <w:t>Id</w:t>
      </w:r>
      <w:r w:rsidRPr="00EF7969">
        <w:rPr>
          <w:lang w:val="en-CA"/>
        </w:rPr>
        <w:t xml:space="preserve">., paras. </w:t>
      </w:r>
      <w:r w:rsidRPr="00293F1B">
        <w:t>43-45.</w:t>
      </w:r>
    </w:p>
  </w:footnote>
  <w:footnote w:id="9">
    <w:p w14:paraId="7EBF9F82" w14:textId="77777777" w:rsidR="00E60C8D" w:rsidRDefault="00E60C8D" w:rsidP="00A417B2">
      <w:pPr>
        <w:pStyle w:val="Notedebasdepage"/>
      </w:pPr>
      <w:r>
        <w:rPr>
          <w:rStyle w:val="Appelnotedebasdep"/>
        </w:rPr>
        <w:footnoteRef/>
      </w:r>
      <w:r w:rsidRPr="00293F1B">
        <w:t xml:space="preserve"> </w:t>
      </w:r>
      <w:r w:rsidRPr="00293F1B">
        <w:tab/>
      </w:r>
      <w:r w:rsidRPr="00293F1B">
        <w:rPr>
          <w:i/>
          <w:iCs/>
        </w:rPr>
        <w:t>Id</w:t>
      </w:r>
      <w:r w:rsidRPr="00293F1B">
        <w:t>., paras. 39-40.</w:t>
      </w:r>
    </w:p>
  </w:footnote>
  <w:footnote w:id="10">
    <w:p w14:paraId="18574D7E" w14:textId="77777777" w:rsidR="00E60C8D" w:rsidRDefault="00E60C8D" w:rsidP="00A417B2">
      <w:pPr>
        <w:pStyle w:val="Notedebasdepage"/>
      </w:pPr>
      <w:r>
        <w:rPr>
          <w:rStyle w:val="Appelnotedebasdep"/>
        </w:rPr>
        <w:footnoteRef/>
      </w:r>
      <w:r w:rsidRPr="00293F1B">
        <w:t xml:space="preserve"> </w:t>
      </w:r>
      <w:r w:rsidRPr="00293F1B">
        <w:tab/>
        <w:t>2018 QCCA 1482.</w:t>
      </w:r>
    </w:p>
  </w:footnote>
  <w:footnote w:id="11">
    <w:p w14:paraId="684499A3" w14:textId="77777777" w:rsidR="00E60C8D" w:rsidRDefault="00E60C8D" w:rsidP="00A417B2">
      <w:pPr>
        <w:pStyle w:val="Notedebasdepage"/>
      </w:pPr>
      <w:r>
        <w:rPr>
          <w:rStyle w:val="Appelnotedebasdep"/>
        </w:rPr>
        <w:footnoteRef/>
      </w:r>
      <w:r w:rsidRPr="00293F1B">
        <w:t xml:space="preserve"> </w:t>
      </w:r>
      <w:r w:rsidRPr="00293F1B">
        <w:tab/>
      </w:r>
      <w:r w:rsidRPr="00293F1B">
        <w:rPr>
          <w:i/>
          <w:iCs/>
        </w:rPr>
        <w:t>SNC-Lavalin inc. (Terratech inc. et SNC-Lavalin Environnement inc.) c. Deguise</w:t>
      </w:r>
      <w:r w:rsidRPr="00293F1B">
        <w:t>, 2020 QCCA 921, para. 31 (Bélanger, J.A.).</w:t>
      </w:r>
    </w:p>
  </w:footnote>
  <w:footnote w:id="12">
    <w:p w14:paraId="2AC6EB44" w14:textId="77777777" w:rsidR="00E60C8D" w:rsidRPr="00293F1B" w:rsidRDefault="00E60C8D" w:rsidP="00A417B2">
      <w:pPr>
        <w:pStyle w:val="Notedebasdepage"/>
        <w:rPr>
          <w:lang w:val="en-CA"/>
        </w:rPr>
      </w:pPr>
      <w:r>
        <w:rPr>
          <w:rStyle w:val="Appelnotedebasdep"/>
        </w:rPr>
        <w:footnoteRef/>
      </w:r>
      <w:r w:rsidRPr="00293F1B">
        <w:t xml:space="preserve"> </w:t>
      </w:r>
      <w:r w:rsidRPr="00293F1B">
        <w:tab/>
      </w:r>
      <w:r w:rsidRPr="00293F1B">
        <w:rPr>
          <w:i/>
          <w:iCs/>
        </w:rPr>
        <w:t>Id</w:t>
      </w:r>
      <w:r w:rsidRPr="00293F1B">
        <w:t xml:space="preserve">., para. 34. See also: </w:t>
      </w:r>
      <w:r w:rsidRPr="00293F1B">
        <w:rPr>
          <w:i/>
          <w:iCs/>
        </w:rPr>
        <w:t>Procureur général du Québec c. Kanyinda</w:t>
      </w:r>
      <w:r w:rsidRPr="00293F1B">
        <w:t xml:space="preserve">, 2024 QCCA 346, para. 8 (Weitzman, J.A.); </w:t>
      </w:r>
      <w:r w:rsidRPr="00293F1B">
        <w:rPr>
          <w:i/>
          <w:iCs/>
        </w:rPr>
        <w:t>Lafond c. Elnemr</w:t>
      </w:r>
      <w:r w:rsidRPr="00293F1B">
        <w:t xml:space="preserve">, 2023 QCCA 1135, para. 10 (Hogue, J.A.); </w:t>
      </w:r>
      <w:r w:rsidRPr="00293F1B">
        <w:rPr>
          <w:i/>
          <w:iCs/>
        </w:rPr>
        <w:t>L.A. c. Bourgeois</w:t>
      </w:r>
      <w:r w:rsidRPr="00293F1B">
        <w:t xml:space="preserve">, 2023 QCCA 416, para. </w:t>
      </w:r>
      <w:r>
        <w:rPr>
          <w:lang w:val="en-CA"/>
        </w:rPr>
        <w:t>17 (Bich, J.A.).</w:t>
      </w:r>
    </w:p>
  </w:footnote>
  <w:footnote w:id="13">
    <w:p w14:paraId="2C3C5C82" w14:textId="77777777" w:rsidR="00E60C8D" w:rsidRPr="00293F1B" w:rsidRDefault="00E60C8D" w:rsidP="00A417B2">
      <w:pPr>
        <w:pStyle w:val="Notedebasdepage"/>
        <w:rPr>
          <w:lang w:val="en-CA"/>
        </w:rPr>
      </w:pPr>
      <w:r>
        <w:rPr>
          <w:rStyle w:val="Appelnotedebasdep"/>
        </w:rPr>
        <w:footnoteRef/>
      </w:r>
      <w:r w:rsidRPr="00AC28F6">
        <w:rPr>
          <w:lang w:val="en-CA"/>
        </w:rPr>
        <w:t xml:space="preserve"> </w:t>
      </w:r>
      <w:r w:rsidRPr="00AC28F6">
        <w:rPr>
          <w:lang w:val="en-CA"/>
        </w:rPr>
        <w:tab/>
      </w:r>
      <w:r w:rsidRPr="00AC28F6">
        <w:rPr>
          <w:i/>
          <w:iCs/>
          <w:lang w:val="en-CA"/>
        </w:rPr>
        <w:t>Canadian Charter of Rights and Freedoms</w:t>
      </w:r>
      <w:r w:rsidRPr="00AC28F6">
        <w:rPr>
          <w:lang w:val="en-CA"/>
        </w:rPr>
        <w:t xml:space="preserve">, Part I of the </w:t>
      </w:r>
      <w:r w:rsidRPr="00AC28F6">
        <w:rPr>
          <w:i/>
          <w:iCs/>
          <w:lang w:val="en-CA"/>
        </w:rPr>
        <w:t>Constitution Act, 1982</w:t>
      </w:r>
      <w:r w:rsidRPr="00AC28F6">
        <w:rPr>
          <w:lang w:val="en-CA"/>
        </w:rPr>
        <w:t xml:space="preserve">, being Schedule B to the </w:t>
      </w:r>
      <w:r w:rsidRPr="00AC28F6">
        <w:rPr>
          <w:i/>
          <w:iCs/>
          <w:lang w:val="en-CA"/>
        </w:rPr>
        <w:t>Canada Act 1982</w:t>
      </w:r>
      <w:r w:rsidRPr="00AC28F6">
        <w:rPr>
          <w:lang w:val="en-CA"/>
        </w:rPr>
        <w:t xml:space="preserve"> (U.K.), 1982, c. 11.</w:t>
      </w:r>
    </w:p>
  </w:footnote>
  <w:footnote w:id="14">
    <w:p w14:paraId="22B5A1AC" w14:textId="77777777" w:rsidR="00E60C8D" w:rsidRPr="00293F1B" w:rsidRDefault="00E60C8D" w:rsidP="00A417B2">
      <w:pPr>
        <w:pStyle w:val="Notedebasdepage"/>
        <w:rPr>
          <w:lang w:val="en-CA"/>
        </w:rPr>
      </w:pPr>
      <w:r>
        <w:rPr>
          <w:rStyle w:val="Appelnotedebasdep"/>
        </w:rPr>
        <w:footnoteRef/>
      </w:r>
      <w:r>
        <w:rPr>
          <w:lang w:val="en-CA"/>
        </w:rPr>
        <w:t xml:space="preserve"> </w:t>
      </w:r>
      <w:r>
        <w:rPr>
          <w:lang w:val="en-CA"/>
        </w:rPr>
        <w:tab/>
        <w:t xml:space="preserve">Judgment, paras. 30-33; art. 12 of the </w:t>
      </w:r>
      <w:r>
        <w:rPr>
          <w:i/>
          <w:iCs/>
          <w:lang w:val="en-CA"/>
        </w:rPr>
        <w:t>Civil Code of Québec</w:t>
      </w:r>
      <w:r>
        <w:rPr>
          <w:lang w:val="en-CA"/>
        </w:rPr>
        <w:t>.</w:t>
      </w:r>
    </w:p>
  </w:footnote>
  <w:footnote w:id="15">
    <w:p w14:paraId="2D081109" w14:textId="77777777" w:rsidR="00E60C8D" w:rsidRDefault="00E60C8D" w:rsidP="00A417B2">
      <w:pPr>
        <w:pStyle w:val="Notedebasdepage"/>
      </w:pPr>
      <w:r>
        <w:rPr>
          <w:rStyle w:val="Appelnotedebasdep"/>
        </w:rPr>
        <w:footnoteRef/>
      </w:r>
      <w:r>
        <w:rPr>
          <w:lang w:val="en-CA"/>
        </w:rPr>
        <w:t xml:space="preserve"> </w:t>
      </w:r>
      <w:r>
        <w:rPr>
          <w:lang w:val="en-CA"/>
        </w:rPr>
        <w:tab/>
      </w:r>
      <w:r>
        <w:rPr>
          <w:i/>
          <w:iCs/>
          <w:lang w:val="en-CA"/>
        </w:rPr>
        <w:t>Id</w:t>
      </w:r>
      <w:r>
        <w:rPr>
          <w:lang w:val="en-CA"/>
        </w:rPr>
        <w:t>., paras. 21 and 42-45.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7470"/>
      <w:gridCol w:w="2160"/>
    </w:tblGrid>
    <w:tr w:rsidR="003B19B8" w14:paraId="00C444F9" w14:textId="77777777" w:rsidTr="008C3004">
      <w:tc>
        <w:tcPr>
          <w:tcW w:w="7470" w:type="dxa"/>
        </w:tcPr>
        <w:p w14:paraId="29826009" w14:textId="77777777" w:rsidR="00CD58FC" w:rsidRDefault="00E60C8D" w:rsidP="00637D6F">
          <w:pPr>
            <w:tabs>
              <w:tab w:val="left" w:pos="442"/>
              <w:tab w:val="center" w:pos="4709"/>
              <w:tab w:val="right" w:pos="9360"/>
            </w:tabs>
            <w:ind w:right="524"/>
          </w:pPr>
          <w:r>
            <w:t>500-09-031214-240</w:t>
          </w:r>
        </w:p>
      </w:tc>
      <w:tc>
        <w:tcPr>
          <w:tcW w:w="2160" w:type="dxa"/>
        </w:tcPr>
        <w:p w14:paraId="09AB03FA" w14:textId="77777777" w:rsidR="00CD58FC" w:rsidRDefault="00E60C8D" w:rsidP="00CD58FC">
          <w:pPr>
            <w:tabs>
              <w:tab w:val="left" w:pos="442"/>
              <w:tab w:val="center" w:pos="4709"/>
              <w:tab w:val="right" w:pos="9360"/>
            </w:tabs>
            <w:ind w:right="159"/>
            <w:jc w:val="right"/>
          </w:pPr>
          <w:r>
            <w:tab/>
            <w:t xml:space="preserve">PAGE : </w:t>
          </w:r>
          <w:r>
            <w:fldChar w:fldCharType="begin"/>
          </w:r>
          <w:r>
            <w:instrText xml:space="preserve"> PAGE </w:instrText>
          </w:r>
          <w:r>
            <w:fldChar w:fldCharType="separate"/>
          </w:r>
          <w:r>
            <w:t>8</w:t>
          </w:r>
          <w:r>
            <w:fldChar w:fldCharType="end"/>
          </w:r>
        </w:p>
      </w:tc>
    </w:tr>
  </w:tbl>
  <w:p w14:paraId="0496ABF3" w14:textId="77777777" w:rsidR="001009B2" w:rsidRDefault="00E60C8D" w:rsidP="00CD58FC">
    <w:pPr>
      <w:tabs>
        <w:tab w:val="left" w:pos="442"/>
        <w:tab w:val="center" w:pos="4709"/>
        <w:tab w:val="right" w:pos="9360"/>
      </w:tabs>
      <w:ind w:right="524"/>
    </w:pPr>
    <w:r>
      <w:tab/>
    </w:r>
  </w:p>
  <w:p w14:paraId="234F3231" w14:textId="77777777" w:rsidR="001009B2" w:rsidRDefault="001009B2">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C103B16"/>
    <w:lvl w:ilvl="0">
      <w:start w:val="1"/>
      <w:numFmt w:val="decimal"/>
      <w:pStyle w:val="Paragraphe"/>
      <w:lvlText w:val="[%1]"/>
      <w:lvlJc w:val="left"/>
      <w:pPr>
        <w:tabs>
          <w:tab w:val="num" w:pos="990"/>
        </w:tabs>
        <w:ind w:left="27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529029710">
    <w:abstractNumId w:val="12"/>
  </w:num>
  <w:num w:numId="2" w16cid:durableId="314723816">
    <w:abstractNumId w:val="12"/>
  </w:num>
  <w:num w:numId="3" w16cid:durableId="310334589">
    <w:abstractNumId w:val="12"/>
  </w:num>
  <w:num w:numId="4" w16cid:durableId="697320442">
    <w:abstractNumId w:val="8"/>
  </w:num>
  <w:num w:numId="5" w16cid:durableId="1816027646">
    <w:abstractNumId w:val="3"/>
  </w:num>
  <w:num w:numId="6" w16cid:durableId="1939407277">
    <w:abstractNumId w:val="2"/>
  </w:num>
  <w:num w:numId="7" w16cid:durableId="1960917847">
    <w:abstractNumId w:val="1"/>
  </w:num>
  <w:num w:numId="8" w16cid:durableId="1824467567">
    <w:abstractNumId w:val="0"/>
  </w:num>
  <w:num w:numId="9" w16cid:durableId="1551726920">
    <w:abstractNumId w:val="9"/>
  </w:num>
  <w:num w:numId="10" w16cid:durableId="434666912">
    <w:abstractNumId w:val="7"/>
  </w:num>
  <w:num w:numId="11" w16cid:durableId="322709892">
    <w:abstractNumId w:val="6"/>
  </w:num>
  <w:num w:numId="12" w16cid:durableId="1166554916">
    <w:abstractNumId w:val="5"/>
  </w:num>
  <w:num w:numId="13" w16cid:durableId="142552408">
    <w:abstractNumId w:val="4"/>
  </w:num>
  <w:num w:numId="14" w16cid:durableId="1059282561">
    <w:abstractNumId w:val="12"/>
  </w:num>
  <w:num w:numId="15" w16cid:durableId="223685676">
    <w:abstractNumId w:val="12"/>
  </w:num>
  <w:num w:numId="16" w16cid:durableId="223637146">
    <w:abstractNumId w:val="12"/>
  </w:num>
  <w:num w:numId="17" w16cid:durableId="152066496">
    <w:abstractNumId w:val="11"/>
  </w:num>
  <w:num w:numId="18" w16cid:durableId="915553796">
    <w:abstractNumId w:val="10"/>
  </w:num>
  <w:num w:numId="19" w16cid:durableId="2125731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E3"/>
    <w:rsid w:val="00005741"/>
    <w:rsid w:val="000250C2"/>
    <w:rsid w:val="00033ACA"/>
    <w:rsid w:val="000463F8"/>
    <w:rsid w:val="00075207"/>
    <w:rsid w:val="00080D1F"/>
    <w:rsid w:val="00082F0A"/>
    <w:rsid w:val="000953C6"/>
    <w:rsid w:val="000A4F05"/>
    <w:rsid w:val="000A64EE"/>
    <w:rsid w:val="000B60BA"/>
    <w:rsid w:val="000B6B18"/>
    <w:rsid w:val="000C54D9"/>
    <w:rsid w:val="000C5DA3"/>
    <w:rsid w:val="000E3231"/>
    <w:rsid w:val="000F74B3"/>
    <w:rsid w:val="001009B2"/>
    <w:rsid w:val="00103275"/>
    <w:rsid w:val="00104397"/>
    <w:rsid w:val="00106BD1"/>
    <w:rsid w:val="00111EF3"/>
    <w:rsid w:val="00116CDD"/>
    <w:rsid w:val="00121902"/>
    <w:rsid w:val="001259A6"/>
    <w:rsid w:val="00135014"/>
    <w:rsid w:val="00137252"/>
    <w:rsid w:val="00146ED1"/>
    <w:rsid w:val="00151498"/>
    <w:rsid w:val="00160465"/>
    <w:rsid w:val="00175437"/>
    <w:rsid w:val="00186B64"/>
    <w:rsid w:val="001A36F5"/>
    <w:rsid w:val="001A4667"/>
    <w:rsid w:val="001B1B44"/>
    <w:rsid w:val="001D3F0B"/>
    <w:rsid w:val="001D69FC"/>
    <w:rsid w:val="001E13E3"/>
    <w:rsid w:val="0021091C"/>
    <w:rsid w:val="00210B3B"/>
    <w:rsid w:val="00215559"/>
    <w:rsid w:val="00221170"/>
    <w:rsid w:val="0022417B"/>
    <w:rsid w:val="00231975"/>
    <w:rsid w:val="0023213C"/>
    <w:rsid w:val="0024554A"/>
    <w:rsid w:val="00263A55"/>
    <w:rsid w:val="00266D03"/>
    <w:rsid w:val="002745AE"/>
    <w:rsid w:val="00274C9C"/>
    <w:rsid w:val="002A0B7A"/>
    <w:rsid w:val="002A295B"/>
    <w:rsid w:val="002B74F7"/>
    <w:rsid w:val="002C1B95"/>
    <w:rsid w:val="002C4107"/>
    <w:rsid w:val="002C7179"/>
    <w:rsid w:val="002E024C"/>
    <w:rsid w:val="002E7403"/>
    <w:rsid w:val="002F75FF"/>
    <w:rsid w:val="00302839"/>
    <w:rsid w:val="003041AF"/>
    <w:rsid w:val="00320C2D"/>
    <w:rsid w:val="0033020E"/>
    <w:rsid w:val="00336571"/>
    <w:rsid w:val="00344FC1"/>
    <w:rsid w:val="00356FA0"/>
    <w:rsid w:val="00360A34"/>
    <w:rsid w:val="00372D73"/>
    <w:rsid w:val="00385784"/>
    <w:rsid w:val="0039120A"/>
    <w:rsid w:val="00393B7B"/>
    <w:rsid w:val="003B65F2"/>
    <w:rsid w:val="003C1D0E"/>
    <w:rsid w:val="003E5AF3"/>
    <w:rsid w:val="00424BE3"/>
    <w:rsid w:val="004331C4"/>
    <w:rsid w:val="00435282"/>
    <w:rsid w:val="00436B20"/>
    <w:rsid w:val="004505FD"/>
    <w:rsid w:val="004546D6"/>
    <w:rsid w:val="0047067A"/>
    <w:rsid w:val="00476010"/>
    <w:rsid w:val="00485725"/>
    <w:rsid w:val="00486E1D"/>
    <w:rsid w:val="00492C5E"/>
    <w:rsid w:val="00497771"/>
    <w:rsid w:val="004A03DA"/>
    <w:rsid w:val="004D37E3"/>
    <w:rsid w:val="004D3CB0"/>
    <w:rsid w:val="004F1005"/>
    <w:rsid w:val="004F15FC"/>
    <w:rsid w:val="004F4914"/>
    <w:rsid w:val="00501E09"/>
    <w:rsid w:val="00520353"/>
    <w:rsid w:val="00540690"/>
    <w:rsid w:val="0054437A"/>
    <w:rsid w:val="005504D5"/>
    <w:rsid w:val="0055237D"/>
    <w:rsid w:val="00566BF6"/>
    <w:rsid w:val="005B3645"/>
    <w:rsid w:val="005B4976"/>
    <w:rsid w:val="005D1522"/>
    <w:rsid w:val="005D29E7"/>
    <w:rsid w:val="005D47C7"/>
    <w:rsid w:val="005D655E"/>
    <w:rsid w:val="005F0450"/>
    <w:rsid w:val="0060147D"/>
    <w:rsid w:val="00637D6F"/>
    <w:rsid w:val="00645C89"/>
    <w:rsid w:val="0065602B"/>
    <w:rsid w:val="00661ABD"/>
    <w:rsid w:val="00674488"/>
    <w:rsid w:val="00692E06"/>
    <w:rsid w:val="00696706"/>
    <w:rsid w:val="006B13BF"/>
    <w:rsid w:val="006C6451"/>
    <w:rsid w:val="006D1CB1"/>
    <w:rsid w:val="00702C6D"/>
    <w:rsid w:val="00711DD5"/>
    <w:rsid w:val="007149F6"/>
    <w:rsid w:val="0073154F"/>
    <w:rsid w:val="00736EB8"/>
    <w:rsid w:val="007377D2"/>
    <w:rsid w:val="00740A17"/>
    <w:rsid w:val="0074505F"/>
    <w:rsid w:val="00747420"/>
    <w:rsid w:val="007519EA"/>
    <w:rsid w:val="00752373"/>
    <w:rsid w:val="007547CE"/>
    <w:rsid w:val="00757467"/>
    <w:rsid w:val="0076084E"/>
    <w:rsid w:val="0077096E"/>
    <w:rsid w:val="00770C57"/>
    <w:rsid w:val="00772723"/>
    <w:rsid w:val="007818B0"/>
    <w:rsid w:val="007859AB"/>
    <w:rsid w:val="007953F3"/>
    <w:rsid w:val="007A3C0E"/>
    <w:rsid w:val="007B3F54"/>
    <w:rsid w:val="007C678F"/>
    <w:rsid w:val="007D13F3"/>
    <w:rsid w:val="007D1F2B"/>
    <w:rsid w:val="007D632A"/>
    <w:rsid w:val="007D7341"/>
    <w:rsid w:val="007F2157"/>
    <w:rsid w:val="007F2695"/>
    <w:rsid w:val="00827B04"/>
    <w:rsid w:val="00831C53"/>
    <w:rsid w:val="008430CA"/>
    <w:rsid w:val="00847FF7"/>
    <w:rsid w:val="00850063"/>
    <w:rsid w:val="00854C3E"/>
    <w:rsid w:val="008757BD"/>
    <w:rsid w:val="00882210"/>
    <w:rsid w:val="00887D85"/>
    <w:rsid w:val="00887EEB"/>
    <w:rsid w:val="008922CB"/>
    <w:rsid w:val="00893C15"/>
    <w:rsid w:val="008A1AD8"/>
    <w:rsid w:val="008A61C4"/>
    <w:rsid w:val="008C3004"/>
    <w:rsid w:val="008C4B2F"/>
    <w:rsid w:val="008D2FB6"/>
    <w:rsid w:val="008E0ED5"/>
    <w:rsid w:val="008F2ACD"/>
    <w:rsid w:val="008F364A"/>
    <w:rsid w:val="00907492"/>
    <w:rsid w:val="0093677F"/>
    <w:rsid w:val="00950F4A"/>
    <w:rsid w:val="00950FA6"/>
    <w:rsid w:val="00953B63"/>
    <w:rsid w:val="009542F2"/>
    <w:rsid w:val="00954DC2"/>
    <w:rsid w:val="00960C19"/>
    <w:rsid w:val="00990139"/>
    <w:rsid w:val="009922A8"/>
    <w:rsid w:val="00996C51"/>
    <w:rsid w:val="009A2428"/>
    <w:rsid w:val="009A4C1F"/>
    <w:rsid w:val="009B77AF"/>
    <w:rsid w:val="009C3ACF"/>
    <w:rsid w:val="009D1618"/>
    <w:rsid w:val="009F0E98"/>
    <w:rsid w:val="00A00FEB"/>
    <w:rsid w:val="00A12875"/>
    <w:rsid w:val="00A2656B"/>
    <w:rsid w:val="00A46BA0"/>
    <w:rsid w:val="00A62FEE"/>
    <w:rsid w:val="00A710B1"/>
    <w:rsid w:val="00A82A01"/>
    <w:rsid w:val="00A83BE1"/>
    <w:rsid w:val="00AA0AE4"/>
    <w:rsid w:val="00AB54AE"/>
    <w:rsid w:val="00AC28F6"/>
    <w:rsid w:val="00AC5BB3"/>
    <w:rsid w:val="00AE1C2E"/>
    <w:rsid w:val="00AF5327"/>
    <w:rsid w:val="00B11514"/>
    <w:rsid w:val="00B15536"/>
    <w:rsid w:val="00B451C3"/>
    <w:rsid w:val="00B60B12"/>
    <w:rsid w:val="00B71E57"/>
    <w:rsid w:val="00B736B5"/>
    <w:rsid w:val="00B82A13"/>
    <w:rsid w:val="00B92C4F"/>
    <w:rsid w:val="00BA2D52"/>
    <w:rsid w:val="00BB0501"/>
    <w:rsid w:val="00BB483F"/>
    <w:rsid w:val="00BB5626"/>
    <w:rsid w:val="00BC2EFF"/>
    <w:rsid w:val="00BC685B"/>
    <w:rsid w:val="00BD31B6"/>
    <w:rsid w:val="00BE2FA2"/>
    <w:rsid w:val="00BE3FF3"/>
    <w:rsid w:val="00BF09C1"/>
    <w:rsid w:val="00BF1A06"/>
    <w:rsid w:val="00C127A6"/>
    <w:rsid w:val="00C1429C"/>
    <w:rsid w:val="00C30F2F"/>
    <w:rsid w:val="00C40A6B"/>
    <w:rsid w:val="00C47029"/>
    <w:rsid w:val="00C47211"/>
    <w:rsid w:val="00C477EB"/>
    <w:rsid w:val="00C617FC"/>
    <w:rsid w:val="00C92E57"/>
    <w:rsid w:val="00C96021"/>
    <w:rsid w:val="00CB03A3"/>
    <w:rsid w:val="00CC7EE5"/>
    <w:rsid w:val="00CD58FC"/>
    <w:rsid w:val="00CD6AFC"/>
    <w:rsid w:val="00D14433"/>
    <w:rsid w:val="00D26AB1"/>
    <w:rsid w:val="00D5518C"/>
    <w:rsid w:val="00D57AC7"/>
    <w:rsid w:val="00D67052"/>
    <w:rsid w:val="00D90C29"/>
    <w:rsid w:val="00DC415D"/>
    <w:rsid w:val="00DD3A24"/>
    <w:rsid w:val="00DE3438"/>
    <w:rsid w:val="00DF3EE2"/>
    <w:rsid w:val="00DF7D37"/>
    <w:rsid w:val="00E06061"/>
    <w:rsid w:val="00E1355D"/>
    <w:rsid w:val="00E25C04"/>
    <w:rsid w:val="00E311DC"/>
    <w:rsid w:val="00E47598"/>
    <w:rsid w:val="00E50F09"/>
    <w:rsid w:val="00E51293"/>
    <w:rsid w:val="00E55CDF"/>
    <w:rsid w:val="00E60C8D"/>
    <w:rsid w:val="00E63A8A"/>
    <w:rsid w:val="00E85342"/>
    <w:rsid w:val="00EA027E"/>
    <w:rsid w:val="00EA3C46"/>
    <w:rsid w:val="00EC2D0A"/>
    <w:rsid w:val="00EC470F"/>
    <w:rsid w:val="00EC57E1"/>
    <w:rsid w:val="00ED48BB"/>
    <w:rsid w:val="00EF7969"/>
    <w:rsid w:val="00F050F0"/>
    <w:rsid w:val="00F065DB"/>
    <w:rsid w:val="00F12661"/>
    <w:rsid w:val="00F1760F"/>
    <w:rsid w:val="00F257C5"/>
    <w:rsid w:val="00F27FF7"/>
    <w:rsid w:val="00F3537E"/>
    <w:rsid w:val="00F44D2D"/>
    <w:rsid w:val="00F47DB9"/>
    <w:rsid w:val="00F52D0D"/>
    <w:rsid w:val="00F55C93"/>
    <w:rsid w:val="00F55CD4"/>
    <w:rsid w:val="00F7072E"/>
    <w:rsid w:val="00F72BD0"/>
    <w:rsid w:val="00F853BE"/>
    <w:rsid w:val="00F903C2"/>
    <w:rsid w:val="00F943C5"/>
    <w:rsid w:val="00F95FC5"/>
    <w:rsid w:val="00FB3A36"/>
    <w:rsid w:val="00FC1694"/>
    <w:rsid w:val="00FC19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02D9"/>
  <w15:chartTrackingRefBased/>
  <w15:docId w15:val="{3169859A-90CF-4610-BF2A-F5627A5F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A46BA0"/>
    <w:pPr>
      <w:numPr>
        <w:numId w:val="18"/>
      </w:numPr>
      <w:tabs>
        <w:tab w:val="clear" w:pos="990"/>
      </w:tabs>
      <w:spacing w:before="120" w:after="120"/>
      <w:ind w:left="0"/>
      <w:jc w:val="both"/>
    </w:p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4F4914"/>
    <w:pPr>
      <w:spacing w:before="200" w:after="200" w:line="240" w:lineRule="auto"/>
      <w:jc w:val="center"/>
    </w:pPr>
    <w:rPr>
      <w:rFonts w:eastAsiaTheme="minorHAnsi" w:cs="Arial"/>
      <w:b/>
      <w:sz w:val="36"/>
      <w:szCs w:val="36"/>
      <w:lang w:val="en-CA"/>
    </w:rPr>
  </w:style>
  <w:style w:type="paragraph" w:customStyle="1" w:styleId="zSoquijlblPays">
    <w:name w:val="zSoquij_lblPays"/>
    <w:basedOn w:val="Normal"/>
    <w:rsid w:val="004F4914"/>
    <w:pPr>
      <w:ind w:left="-108"/>
    </w:pPr>
    <w:rPr>
      <w:rFonts w:eastAsiaTheme="minorHAnsi" w:cs="Arial"/>
      <w:szCs w:val="24"/>
      <w:lang w:val="en-CA"/>
    </w:rPr>
  </w:style>
  <w:style w:type="paragraph" w:customStyle="1" w:styleId="zSoquijlblProvince">
    <w:name w:val="zSoquij_lblProvince"/>
    <w:basedOn w:val="Normal"/>
    <w:rsid w:val="004F4914"/>
    <w:pPr>
      <w:ind w:left="-108"/>
    </w:pPr>
    <w:rPr>
      <w:rFonts w:eastAsiaTheme="minorHAnsi" w:cs="Arial"/>
      <w:szCs w:val="24"/>
      <w:lang w:val="en-CA"/>
    </w:rPr>
  </w:style>
  <w:style w:type="paragraph" w:customStyle="1" w:styleId="zSoquijlblGreffe">
    <w:name w:val="zSoquij_lblGreffe"/>
    <w:basedOn w:val="zSoquijdatGreffe"/>
    <w:rsid w:val="004F4914"/>
    <w:rPr>
      <w:lang w:val="en-CA"/>
    </w:rPr>
  </w:style>
  <w:style w:type="paragraph" w:customStyle="1" w:styleId="zSoquijdatGreffe">
    <w:name w:val="zSoquij_datGreffe"/>
    <w:basedOn w:val="Normal"/>
    <w:rsid w:val="00F95FC5"/>
    <w:pPr>
      <w:ind w:left="-108"/>
    </w:pPr>
    <w:rPr>
      <w:rFonts w:eastAsiaTheme="minorHAnsi" w:cs="Arial"/>
      <w:szCs w:val="24"/>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rsid w:val="00160465"/>
    <w:pPr>
      <w:ind w:left="-108"/>
    </w:pPr>
    <w:rPr>
      <w:rFonts w:eastAsiaTheme="minorHAnsi" w:cs="Arial"/>
      <w:szCs w:val="24"/>
    </w:rPr>
  </w:style>
  <w:style w:type="paragraph" w:customStyle="1" w:styleId="zSoquijdatNoDossierAnt">
    <w:name w:val="zSoquij_datNoDossierAnt"/>
    <w:basedOn w:val="Normal"/>
    <w:rsid w:val="00160465"/>
    <w:pPr>
      <w:ind w:left="-108"/>
    </w:pPr>
    <w:rPr>
      <w:rFonts w:eastAsiaTheme="minorHAnsi" w:cs="Arial"/>
      <w:szCs w:val="24"/>
    </w:rPr>
  </w:style>
  <w:style w:type="paragraph" w:customStyle="1" w:styleId="zSoquijdatDateJugement">
    <w:name w:val="zSoquij_datDateJugement"/>
    <w:basedOn w:val="Normal"/>
    <w:rsid w:val="004F4914"/>
    <w:pPr>
      <w:tabs>
        <w:tab w:val="left" w:pos="630"/>
      </w:tabs>
      <w:spacing w:line="240" w:lineRule="auto"/>
      <w:ind w:left="-108"/>
      <w:jc w:val="both"/>
    </w:pPr>
    <w:rPr>
      <w:rFonts w:eastAsiaTheme="minorHAnsi" w:cs="Arial"/>
      <w:szCs w:val="24"/>
      <w:lang w:val="en-CA"/>
    </w:rPr>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sid w:val="004F4914"/>
    <w:pPr>
      <w:tabs>
        <w:tab w:val="left" w:pos="630"/>
      </w:tabs>
      <w:spacing w:line="240" w:lineRule="auto"/>
      <w:jc w:val="center"/>
    </w:pPr>
    <w:rPr>
      <w:rFonts w:eastAsiaTheme="minorHAnsi" w:cs="Arial"/>
      <w:szCs w:val="24"/>
      <w:lang w:val="en-CA"/>
    </w:rPr>
  </w:style>
  <w:style w:type="paragraph" w:customStyle="1" w:styleId="zSoquijdatNomPartieDem">
    <w:name w:val="zSoquij_datNomPartieDem"/>
    <w:basedOn w:val="Normal"/>
    <w:rsid w:val="00F12661"/>
    <w:pPr>
      <w:jc w:val="center"/>
    </w:pPr>
    <w:rPr>
      <w:b/>
      <w:bCs/>
    </w:rPr>
  </w:style>
  <w:style w:type="paragraph" w:customStyle="1" w:styleId="zSoquijdatQtePartieDem">
    <w:name w:val="zSoquij_datQtePartieDem"/>
    <w:basedOn w:val="Normal"/>
    <w:rsid w:val="004F4914"/>
    <w:pPr>
      <w:spacing w:before="120" w:after="120" w:line="240" w:lineRule="auto"/>
      <w:jc w:val="center"/>
    </w:pPr>
    <w:rPr>
      <w:rFonts w:cs="Arial"/>
      <w:kern w:val="28"/>
      <w:szCs w:val="24"/>
      <w:lang w:val="en-CA"/>
    </w:rPr>
  </w:style>
  <w:style w:type="paragraph" w:customStyle="1" w:styleId="zSoquijlblLienParties">
    <w:name w:val="zSoquij_lblLienParties"/>
    <w:basedOn w:val="Normal"/>
  </w:style>
  <w:style w:type="paragraph" w:customStyle="1" w:styleId="zSoquijdatNomPartieDef">
    <w:name w:val="zSoquij_datNomPartieDef"/>
    <w:basedOn w:val="Normal"/>
    <w:rsid w:val="007519EA"/>
    <w:pPr>
      <w:jc w:val="center"/>
    </w:pPr>
    <w:rPr>
      <w:b/>
      <w:bCs/>
    </w:rPr>
  </w:style>
  <w:style w:type="paragraph" w:customStyle="1" w:styleId="zSoquijdatQtePartieDef">
    <w:name w:val="zSoquij_datQtePartieDef"/>
    <w:basedOn w:val="Normal"/>
    <w:rsid w:val="004F4914"/>
    <w:pPr>
      <w:spacing w:before="120" w:after="120" w:line="240" w:lineRule="auto"/>
      <w:jc w:val="center"/>
    </w:pPr>
    <w:rPr>
      <w:rFonts w:cs="Arial"/>
      <w:kern w:val="28"/>
      <w:szCs w:val="24"/>
      <w:lang w:val="en-CA"/>
    </w:rPr>
  </w:style>
  <w:style w:type="paragraph" w:customStyle="1" w:styleId="zSoquijlblTypeDocument">
    <w:name w:val="zSoquij_lblTypeDocument"/>
    <w:basedOn w:val="Normal"/>
    <w:rsid w:val="004F4914"/>
    <w:pPr>
      <w:jc w:val="center"/>
    </w:pPr>
    <w:rPr>
      <w:rFonts w:eastAsiaTheme="minorHAnsi" w:cs="Arial"/>
      <w:szCs w:val="24"/>
      <w:lang w:val="en-CA"/>
    </w:rPr>
  </w:style>
  <w:style w:type="paragraph" w:customStyle="1" w:styleId="zSoquijlblProcureurDem">
    <w:name w:val="zSoquij_lblProcureurDem"/>
    <w:basedOn w:val="Normal"/>
    <w:rsid w:val="00EA027E"/>
    <w:pPr>
      <w:spacing w:before="40" w:after="40" w:line="240" w:lineRule="auto"/>
      <w:jc w:val="center"/>
    </w:pPr>
    <w:rPr>
      <w:rFonts w:cs="Arial"/>
      <w:kern w:val="28"/>
      <w:szCs w:val="24"/>
      <w:lang w:val="en-CA"/>
    </w:rPr>
  </w:style>
  <w:style w:type="paragraph" w:customStyle="1" w:styleId="zSoquijlblProcureurDef">
    <w:name w:val="zSoquij_lblProcureurDef"/>
    <w:basedOn w:val="Normal"/>
    <w:rsid w:val="00EA027E"/>
    <w:pPr>
      <w:spacing w:before="40" w:after="40" w:line="240" w:lineRule="auto"/>
      <w:jc w:val="center"/>
    </w:pPr>
    <w:rPr>
      <w:rFonts w:cs="Arial"/>
      <w:kern w:val="28"/>
      <w:szCs w:val="24"/>
      <w:lang w:val="en-CA"/>
    </w:rPr>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rsid w:val="00F12661"/>
    <w:pPr>
      <w:keepNext/>
    </w:pPr>
  </w:style>
  <w:style w:type="paragraph" w:customStyle="1" w:styleId="zSoquijdatNomProcureurDef">
    <w:name w:val="zSoquij_datNomProcureurDef"/>
    <w:basedOn w:val="zSoquijlblProcureurDef"/>
    <w:rsid w:val="002E7403"/>
    <w:pPr>
      <w:keepNext/>
    </w:pPr>
  </w:style>
  <w:style w:type="paragraph" w:customStyle="1" w:styleId="zSoquijdatCabinetProcureurDem">
    <w:name w:val="zSoquij_datCabinetProcureurDem"/>
    <w:basedOn w:val="Normal"/>
    <w:rsid w:val="00F12661"/>
    <w:pPr>
      <w:keepNext/>
      <w:jc w:val="center"/>
    </w:pPr>
    <w:rPr>
      <w:lang w:val="es-ES"/>
    </w:rPr>
  </w:style>
  <w:style w:type="paragraph" w:customStyle="1" w:styleId="zSoquijdatCabinetProcureurDef">
    <w:name w:val="zSoquij_datCabinetProcureurDef"/>
    <w:basedOn w:val="zSoquijlblProcureurDef"/>
    <w:rsid w:val="002E7403"/>
    <w:pPr>
      <w:keepNext/>
    </w:pPr>
    <w:rPr>
      <w:lang w:val="es-E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link w:val="TableaudroiteanglaisCar"/>
    <w:pPr>
      <w:ind w:left="144" w:right="720"/>
      <w:jc w:val="both"/>
    </w:pPr>
    <w:rPr>
      <w:lang w:val="en-CA"/>
    </w:rPr>
  </w:style>
  <w:style w:type="paragraph" w:customStyle="1" w:styleId="Tableaugauchefranais">
    <w:name w:val="Tableau gauche français"/>
    <w:basedOn w:val="Normal"/>
    <w:link w:val="TableaugauchefranaisCar"/>
    <w:pPr>
      <w:ind w:left="720" w:right="144"/>
    </w:pPr>
    <w:rPr>
      <w:sz w:val="22"/>
    </w:rPr>
  </w:style>
  <w:style w:type="character" w:styleId="Appelnotedebasdep">
    <w:name w:val="footnote reference"/>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rsid w:val="004F4914"/>
    <w:pPr>
      <w:spacing w:before="0" w:after="0"/>
      <w:jc w:val="left"/>
    </w:pPr>
    <w:rPr>
      <w:sz w:val="22"/>
      <w:szCs w:val="24"/>
    </w:rPr>
  </w:style>
  <w:style w:type="paragraph" w:customStyle="1" w:styleId="zSoquijdatRefNeutre">
    <w:name w:val="zSoquij_datRefNeutre"/>
    <w:basedOn w:val="zSoquijlblCour"/>
    <w:rsid w:val="004F4914"/>
    <w:pPr>
      <w:spacing w:before="0" w:after="0"/>
      <w:jc w:val="left"/>
    </w:pPr>
    <w:rPr>
      <w:sz w:val="22"/>
    </w:rPr>
  </w:style>
  <w:style w:type="character" w:customStyle="1" w:styleId="NotedebasdepageCar">
    <w:name w:val="Note de bas de page Car"/>
    <w:basedOn w:val="Policepardfaut"/>
    <w:link w:val="Notedebasdepage"/>
    <w:rsid w:val="00FB3A36"/>
    <w:rPr>
      <w:rFonts w:ascii="Arial" w:hAnsi="Arial"/>
      <w:lang w:eastAsia="fr-FR"/>
    </w:rPr>
  </w:style>
  <w:style w:type="character" w:customStyle="1" w:styleId="ParagrapheCar">
    <w:name w:val="Paragraphe Car"/>
    <w:link w:val="Paragraphe"/>
    <w:qFormat/>
    <w:rsid w:val="00A46BA0"/>
    <w:rPr>
      <w:rFonts w:ascii="Arial" w:hAnsi="Arial"/>
      <w:sz w:val="24"/>
      <w:lang w:eastAsia="fr-FR"/>
    </w:rPr>
  </w:style>
  <w:style w:type="paragraph" w:styleId="Textedebulles">
    <w:name w:val="Balloon Text"/>
    <w:basedOn w:val="Normal"/>
    <w:link w:val="TextedebullesCar"/>
    <w:uiPriority w:val="99"/>
    <w:semiHidden/>
    <w:unhideWhenUsed/>
    <w:rsid w:val="00082F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F0A"/>
    <w:rPr>
      <w:rFonts w:ascii="Segoe UI" w:hAnsi="Segoe UI" w:cs="Segoe UI"/>
      <w:sz w:val="18"/>
      <w:szCs w:val="18"/>
      <w:lang w:eastAsia="fr-FR"/>
    </w:rPr>
  </w:style>
  <w:style w:type="character" w:styleId="Hyperlien">
    <w:name w:val="Hyperlink"/>
    <w:uiPriority w:val="99"/>
    <w:rsid w:val="00711DD5"/>
    <w:rPr>
      <w:noProof w:val="0"/>
      <w:color w:val="0000FF"/>
      <w:u w:val="single"/>
      <w:lang w:val="fr-CA"/>
    </w:rPr>
  </w:style>
  <w:style w:type="character" w:customStyle="1" w:styleId="TableaugauchefranaisCar">
    <w:name w:val="Tableau gauche français Car"/>
    <w:link w:val="Tableaugauchefranais"/>
    <w:rsid w:val="00711DD5"/>
    <w:rPr>
      <w:rFonts w:ascii="Arial" w:hAnsi="Arial"/>
      <w:sz w:val="22"/>
      <w:lang w:eastAsia="fr-FR"/>
    </w:rPr>
  </w:style>
  <w:style w:type="character" w:customStyle="1" w:styleId="TableaudroiteanglaisCar">
    <w:name w:val="Tableau droite anglais Car"/>
    <w:link w:val="Tableaudroiteanglais"/>
    <w:rsid w:val="00711DD5"/>
    <w:rPr>
      <w:rFonts w:ascii="Arial" w:hAnsi="Arial"/>
      <w:sz w:val="22"/>
      <w:lang w:val="en-CA" w:eastAsia="fr-FR"/>
    </w:rPr>
  </w:style>
  <w:style w:type="character" w:customStyle="1" w:styleId="CitationenretraitCar">
    <w:name w:val="Citation en retrait Car"/>
    <w:link w:val="Citationenretrait"/>
    <w:rsid w:val="00711DD5"/>
    <w:rPr>
      <w:rFonts w:ascii="Arial" w:hAnsi="Arial"/>
      <w:kern w:val="24"/>
      <w:sz w:val="22"/>
      <w:lang w:eastAsia="fr-FR"/>
    </w:rPr>
  </w:style>
  <w:style w:type="character" w:styleId="Marquedecommentaire">
    <w:name w:val="annotation reference"/>
    <w:basedOn w:val="Policepardfaut"/>
    <w:uiPriority w:val="99"/>
    <w:semiHidden/>
    <w:unhideWhenUsed/>
    <w:rsid w:val="00711DD5"/>
    <w:rPr>
      <w:sz w:val="16"/>
      <w:szCs w:val="16"/>
    </w:rPr>
  </w:style>
  <w:style w:type="paragraph" w:styleId="Commentaire">
    <w:name w:val="annotation text"/>
    <w:basedOn w:val="Normal"/>
    <w:link w:val="CommentaireCar"/>
    <w:uiPriority w:val="99"/>
    <w:unhideWhenUsed/>
    <w:rsid w:val="00711DD5"/>
    <w:pPr>
      <w:spacing w:line="240" w:lineRule="auto"/>
    </w:pPr>
    <w:rPr>
      <w:sz w:val="20"/>
    </w:rPr>
  </w:style>
  <w:style w:type="character" w:customStyle="1" w:styleId="CommentaireCar">
    <w:name w:val="Commentaire Car"/>
    <w:basedOn w:val="Policepardfaut"/>
    <w:link w:val="Commentaire"/>
    <w:uiPriority w:val="99"/>
    <w:rsid w:val="00711DD5"/>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11DD5"/>
    <w:rPr>
      <w:b/>
      <w:bCs/>
    </w:rPr>
  </w:style>
  <w:style w:type="character" w:customStyle="1" w:styleId="ObjetducommentaireCar">
    <w:name w:val="Objet du commentaire Car"/>
    <w:basedOn w:val="CommentaireCar"/>
    <w:link w:val="Objetducommentaire"/>
    <w:uiPriority w:val="99"/>
    <w:semiHidden/>
    <w:rsid w:val="00711DD5"/>
    <w:rPr>
      <w:rFonts w:ascii="Arial" w:hAnsi="Arial"/>
      <w:b/>
      <w:bCs/>
      <w:lang w:eastAsia="fr-FR"/>
    </w:rPr>
  </w:style>
  <w:style w:type="table" w:styleId="Grilledutableau">
    <w:name w:val="Table Grid"/>
    <w:basedOn w:val="TableauNormal"/>
    <w:uiPriority w:val="39"/>
    <w:rsid w:val="002C1B9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009B2"/>
    <w:rPr>
      <w:color w:val="808080"/>
    </w:rPr>
  </w:style>
  <w:style w:type="table" w:customStyle="1" w:styleId="Grilledutableau1">
    <w:name w:val="Grille du tableau1"/>
    <w:basedOn w:val="TableauNormal"/>
    <w:next w:val="Grilledutableau"/>
    <w:uiPriority w:val="39"/>
    <w:rsid w:val="00887EEB"/>
    <w:rPr>
      <w:rFonts w:ascii="Arial" w:hAnsi="Arial"/>
      <w:sz w:val="24"/>
    </w:rPr>
    <w:tblPr>
      <w:tblBorders>
        <w:top w:val="single" w:sz="4" w:space="0" w:color="auto"/>
        <w:bottom w:val="single" w:sz="4" w:space="0" w:color="auto"/>
      </w:tblBorders>
    </w:tblPr>
  </w:style>
  <w:style w:type="paragraph" w:customStyle="1" w:styleId="zSoquijdatNomPartieMec">
    <w:name w:val="zSoquij_datNomPartieMec"/>
    <w:basedOn w:val="Normal"/>
    <w:qFormat/>
    <w:rsid w:val="002E7403"/>
    <w:pPr>
      <w:spacing w:line="240" w:lineRule="auto"/>
      <w:jc w:val="center"/>
    </w:pPr>
    <w:rPr>
      <w:b/>
      <w:bCs/>
    </w:rPr>
  </w:style>
  <w:style w:type="paragraph" w:customStyle="1" w:styleId="zSoquijdatNomProcureurMec">
    <w:name w:val="zSoquij_datNomProcureurMec"/>
    <w:basedOn w:val="Normal"/>
    <w:qFormat/>
    <w:rsid w:val="00F3537E"/>
    <w:pPr>
      <w:spacing w:line="240" w:lineRule="auto"/>
      <w:jc w:val="center"/>
    </w:pPr>
  </w:style>
  <w:style w:type="paragraph" w:customStyle="1" w:styleId="zSoquijdatCabinetProcureurMec">
    <w:name w:val="zSoquij_datCabinetProcureurMec"/>
    <w:basedOn w:val="Normal"/>
    <w:qFormat/>
    <w:rsid w:val="00F3537E"/>
    <w:pPr>
      <w:spacing w:line="240" w:lineRule="auto"/>
      <w:jc w:val="center"/>
    </w:pPr>
    <w:rPr>
      <w:lang w:val="es-ES"/>
    </w:rPr>
  </w:style>
  <w:style w:type="paragraph" w:customStyle="1" w:styleId="zSoquijdatQtePartieMec">
    <w:name w:val="zSoquij_datQtePartieMec"/>
    <w:basedOn w:val="zSoquijdatQtePartieDem"/>
    <w:qFormat/>
    <w:rsid w:val="004F4914"/>
  </w:style>
  <w:style w:type="paragraph" w:customStyle="1" w:styleId="zSoquijlblProcureurMec">
    <w:name w:val="zSoquij_lblProcureurMec"/>
    <w:basedOn w:val="zSoquijlblProcureurDem"/>
    <w:qFormat/>
    <w:rsid w:val="00EA027E"/>
    <w:pPr>
      <w:framePr w:hSpace="141" w:wrap="around" w:vAnchor="text" w:hAnchor="text" w:y="1"/>
      <w:suppressOverlap/>
    </w:pPr>
  </w:style>
  <w:style w:type="paragraph" w:customStyle="1" w:styleId="paragraphe0">
    <w:name w:val="paragraphe"/>
    <w:basedOn w:val="Normal"/>
    <w:rsid w:val="00EA3C46"/>
    <w:pPr>
      <w:spacing w:before="100" w:beforeAutospacing="1" w:after="100" w:afterAutospacing="1" w:line="240" w:lineRule="auto"/>
    </w:pPr>
    <w:rPr>
      <w:rFonts w:ascii="Times New Roman" w:hAnsi="Times New Roman"/>
      <w:szCs w:val="24"/>
      <w:lang w:eastAsia="fr-CA"/>
    </w:rPr>
  </w:style>
  <w:style w:type="character" w:customStyle="1" w:styleId="normaltextrun">
    <w:name w:val="normaltextrun"/>
    <w:basedOn w:val="Policepardfaut"/>
    <w:rsid w:val="001A36F5"/>
  </w:style>
  <w:style w:type="character" w:customStyle="1" w:styleId="eop">
    <w:name w:val="eop"/>
    <w:basedOn w:val="Policepardfaut"/>
    <w:rsid w:val="001A36F5"/>
  </w:style>
  <w:style w:type="paragraph" w:customStyle="1" w:styleId="paragraph">
    <w:name w:val="paragraph"/>
    <w:basedOn w:val="Normal"/>
    <w:rsid w:val="006B13BF"/>
    <w:pPr>
      <w:spacing w:before="100" w:beforeAutospacing="1" w:after="100" w:afterAutospacing="1" w:line="240" w:lineRule="auto"/>
    </w:pPr>
    <w:rPr>
      <w:rFonts w:ascii="Times New Roman" w:hAnsi="Times New Roman"/>
      <w:szCs w:val="24"/>
      <w:lang w:eastAsia="fr-CA"/>
    </w:rPr>
  </w:style>
  <w:style w:type="character" w:customStyle="1" w:styleId="lawlabel">
    <w:name w:val="lawlabel"/>
    <w:basedOn w:val="Policepardfaut"/>
    <w:rsid w:val="006B13BF"/>
  </w:style>
  <w:style w:type="paragraph" w:styleId="Rvision">
    <w:name w:val="Revision"/>
    <w:hidden/>
    <w:uiPriority w:val="99"/>
    <w:semiHidden/>
    <w:rsid w:val="007D1F2B"/>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4FD4B917549E3A0DFE94F2286E023"/>
        <w:category>
          <w:name w:val="Général"/>
          <w:gallery w:val="placeholder"/>
        </w:category>
        <w:types>
          <w:type w:val="bbPlcHdr"/>
        </w:types>
        <w:behaviors>
          <w:behavior w:val="content"/>
        </w:behaviors>
        <w:guid w:val="{B5FF22ED-C5E4-483D-A5B7-022D98E102D5}"/>
      </w:docPartPr>
      <w:docPartBody>
        <w:p w:rsidR="00235E90" w:rsidRDefault="00235E90" w:rsidP="00235E90">
          <w:pPr>
            <w:pStyle w:val="3304FD4B917549E3A0DFE94F2286E023"/>
          </w:pPr>
          <w:r w:rsidRPr="003B65F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85"/>
    <w:rsid w:val="001D69FC"/>
    <w:rsid w:val="00235E90"/>
    <w:rsid w:val="00372D73"/>
    <w:rsid w:val="004361DD"/>
    <w:rsid w:val="0044060A"/>
    <w:rsid w:val="00486E1D"/>
    <w:rsid w:val="004D3A24"/>
    <w:rsid w:val="004D585A"/>
    <w:rsid w:val="005B70F7"/>
    <w:rsid w:val="0060721E"/>
    <w:rsid w:val="009B5F85"/>
    <w:rsid w:val="00AE6AA4"/>
    <w:rsid w:val="00CB62A6"/>
    <w:rsid w:val="00F52D0D"/>
    <w:rsid w:val="00F55C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5E90"/>
    <w:rPr>
      <w:color w:val="808080"/>
    </w:rPr>
  </w:style>
  <w:style w:type="paragraph" w:customStyle="1" w:styleId="3304FD4B917549E3A0DFE94F2286E023">
    <w:name w:val="3304FD4B917549E3A0DFE94F2286E023"/>
    <w:rsid w:val="00235E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6E5C38BEB7D47B481EFAA9500C527" ma:contentTypeVersion="3" ma:contentTypeDescription="Crée un document." ma:contentTypeScope="" ma:versionID="cfe173ba16a03b619cb81f0fc45f2e75">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2db7a610f5d53e3816f1ccaec44c3812"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internalName="PublishingStartDate">
      <xsd:simpleType>
        <xsd:restriction base="dms:Unknown"/>
      </xsd:simpleType>
    </xsd:element>
    <xsd:element name="PublishingExpirationDate" ma:index="9" nillable="true" ma:displayName="Date de fin de planification"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A092A-CBBA-4ABC-B661-A0EE39A74AAE}">
  <ds:schemaRefs>
    <ds:schemaRef ds:uri="http://schemas.openxmlformats.org/officeDocument/2006/bibliography"/>
  </ds:schemaRefs>
</ds:datastoreItem>
</file>

<file path=customXml/itemProps2.xml><?xml version="1.0" encoding="utf-8"?>
<ds:datastoreItem xmlns:ds="http://schemas.openxmlformats.org/officeDocument/2006/customXml" ds:itemID="{09D256C5-2120-47CD-9705-4C0C5831D503}">
  <ds:schemaRefs>
    <ds:schemaRef ds:uri="http://schemas.microsoft.com/sharepoint/v3/contenttype/forms"/>
  </ds:schemaRefs>
</ds:datastoreItem>
</file>

<file path=customXml/itemProps3.xml><?xml version="1.0" encoding="utf-8"?>
<ds:datastoreItem xmlns:ds="http://schemas.openxmlformats.org/officeDocument/2006/customXml" ds:itemID="{3519E368-B3E8-45DA-B27D-C302E8E1726C}">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customXml/itemProps4.xml><?xml version="1.0" encoding="utf-8"?>
<ds:datastoreItem xmlns:ds="http://schemas.openxmlformats.org/officeDocument/2006/customXml" ds:itemID="{B2E77EDD-E97B-4675-83A4-85D97A49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7</Pages>
  <Words>1879</Words>
  <Characters>9399</Characters>
  <Application>Microsoft Office Word</Application>
  <DocSecurity>0</DocSecurity>
  <Lines>78</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Gauthier, François</cp:lastModifiedBy>
  <cp:revision>5</cp:revision>
  <dcterms:created xsi:type="dcterms:W3CDTF">2025-02-11T18:21:00Z</dcterms:created>
  <dcterms:modified xsi:type="dcterms:W3CDTF">2025-06-11T15:11:00Z</dcterms:modified>
</cp:coreProperties>
</file>