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4635"/>
        <w:gridCol w:w="4635"/>
      </w:tblGrid>
      <w:tr w:rsidR="0076467F" w14:paraId="3A8A65DA" w14:textId="77777777">
        <w:tc>
          <w:tcPr>
            <w:tcW w:w="4635" w:type="dxa"/>
          </w:tcPr>
          <w:p w14:paraId="4D7AB64A" w14:textId="77777777" w:rsidR="0076467F" w:rsidRDefault="0076467F"/>
        </w:tc>
        <w:tc>
          <w:tcPr>
            <w:tcW w:w="4635" w:type="dxa"/>
          </w:tcPr>
          <w:p w14:paraId="77B01E61" w14:textId="77777777" w:rsidR="0076467F" w:rsidRDefault="0076467F"/>
        </w:tc>
      </w:tr>
    </w:tbl>
    <w:tbl>
      <w:tblPr>
        <w:tblStyle w:val="Grilledutableau"/>
        <w:tblW w:w="0" w:type="auto"/>
        <w:tblLayout w:type="fixed"/>
        <w:tblLook w:val="04A0" w:firstRow="1" w:lastRow="0" w:firstColumn="1" w:lastColumn="0" w:noHBand="0" w:noVBand="1"/>
      </w:tblPr>
      <w:tblGrid>
        <w:gridCol w:w="630"/>
        <w:gridCol w:w="6444"/>
        <w:gridCol w:w="2196"/>
      </w:tblGrid>
      <w:tr w:rsidR="009C4668" w14:paraId="1BFB16BB" w14:textId="77777777" w:rsidTr="00A34B32">
        <w:tc>
          <w:tcPr>
            <w:tcW w:w="7074" w:type="dxa"/>
            <w:gridSpan w:val="2"/>
            <w:tcBorders>
              <w:top w:val="nil"/>
              <w:left w:val="nil"/>
              <w:bottom w:val="nil"/>
              <w:right w:val="nil"/>
            </w:tcBorders>
          </w:tcPr>
          <w:p w14:paraId="5AE02689" w14:textId="536A2642" w:rsidR="00590C10" w:rsidRPr="004F58D6" w:rsidRDefault="00590C10" w:rsidP="00F95FC5">
            <w:pPr>
              <w:pStyle w:val="zSoquijdatRepertorie"/>
              <w:rPr>
                <w:lang w:val="en-CA"/>
              </w:rPr>
            </w:pPr>
            <w:proofErr w:type="spellStart"/>
            <w:r w:rsidRPr="00590C10">
              <w:rPr>
                <w:lang w:val="en-CA"/>
              </w:rPr>
              <w:t>Niu</w:t>
            </w:r>
            <w:proofErr w:type="spellEnd"/>
            <w:r w:rsidRPr="00590C10">
              <w:rPr>
                <w:lang w:val="en-CA"/>
              </w:rPr>
              <w:t xml:space="preserve"> c. American Cinema Inspires</w:t>
            </w:r>
            <w:r w:rsidR="004E1C1F">
              <w:rPr>
                <w:lang w:val="en-CA"/>
              </w:rPr>
              <w:t xml:space="preserve"> Inc.</w:t>
            </w:r>
          </w:p>
        </w:tc>
        <w:tc>
          <w:tcPr>
            <w:tcW w:w="2196" w:type="dxa"/>
            <w:tcBorders>
              <w:top w:val="nil"/>
              <w:left w:val="nil"/>
              <w:bottom w:val="nil"/>
              <w:right w:val="nil"/>
            </w:tcBorders>
          </w:tcPr>
          <w:p w14:paraId="64333813" w14:textId="1F16C83D" w:rsidR="00590C10" w:rsidRPr="004F58D6" w:rsidRDefault="00590C10" w:rsidP="00F95FC5">
            <w:pPr>
              <w:pStyle w:val="zSoquijdatRefNeutre"/>
              <w:rPr>
                <w:lang w:val="en-CA"/>
              </w:rPr>
            </w:pPr>
            <w:r w:rsidRPr="00590C10">
              <w:rPr>
                <w:lang w:val="en-CA"/>
              </w:rPr>
              <w:t>2025 QCCA 100</w:t>
            </w:r>
          </w:p>
        </w:tc>
      </w:tr>
      <w:tr w:rsidR="009C4668" w14:paraId="4AA2708F" w14:textId="77777777" w:rsidTr="00A34B32">
        <w:tc>
          <w:tcPr>
            <w:tcW w:w="9270" w:type="dxa"/>
            <w:gridSpan w:val="3"/>
            <w:tcBorders>
              <w:top w:val="nil"/>
              <w:left w:val="nil"/>
              <w:bottom w:val="nil"/>
              <w:right w:val="nil"/>
            </w:tcBorders>
          </w:tcPr>
          <w:p w14:paraId="29DD738A" w14:textId="77777777" w:rsidR="00EF6D4C" w:rsidRPr="00EF6D4C" w:rsidRDefault="00EF6D4C" w:rsidP="00EF6D4C">
            <w:pPr>
              <w:pStyle w:val="zSoquijdatRepertorie"/>
              <w:rPr>
                <w:b w:val="0"/>
                <w:bCs/>
                <w:sz w:val="24"/>
                <w:lang w:val="en-CA"/>
              </w:rPr>
            </w:pPr>
            <w:r w:rsidRPr="00EF6D4C">
              <w:rPr>
                <w:b w:val="0"/>
                <w:bCs/>
                <w:sz w:val="24"/>
                <w:lang w:val="en-CA"/>
              </w:rPr>
              <w:fldChar w:fldCharType="begin"/>
            </w:r>
            <w:r w:rsidRPr="00EF6D4C">
              <w:rPr>
                <w:b w:val="0"/>
                <w:bCs/>
                <w:sz w:val="24"/>
                <w:lang w:val="en-CA"/>
              </w:rPr>
              <w:instrText xml:space="preserve">  </w:instrText>
            </w:r>
            <w:r w:rsidRPr="00EF6D4C">
              <w:rPr>
                <w:b w:val="0"/>
                <w:bCs/>
                <w:sz w:val="24"/>
                <w:lang w:val="en-CA"/>
              </w:rPr>
              <w:fldChar w:fldCharType="end"/>
            </w:r>
            <w:r w:rsidRPr="00EF6D4C">
              <w:rPr>
                <w:b w:val="0"/>
                <w:bCs/>
                <w:sz w:val="24"/>
                <w:lang w:val="en-CA"/>
              </w:rPr>
              <w:t>English translation of the judgment of the Court</w:t>
            </w:r>
          </w:p>
          <w:p w14:paraId="0AA3D802" w14:textId="77777777" w:rsidR="009C4668" w:rsidRPr="004F58D6" w:rsidRDefault="009C4668" w:rsidP="00C02B72">
            <w:pPr>
              <w:pStyle w:val="zSoquijlblCour"/>
              <w:rPr>
                <w:lang w:val="en-CA"/>
              </w:rPr>
            </w:pPr>
            <w:r w:rsidRPr="004F58D6">
              <w:rPr>
                <w:bCs/>
                <w:lang w:val="en-CA"/>
              </w:rPr>
              <w:t>COURT OF APPEAL</w:t>
            </w:r>
          </w:p>
        </w:tc>
      </w:tr>
      <w:tr w:rsidR="009C4668" w14:paraId="24E120DB" w14:textId="77777777" w:rsidTr="00A34B32">
        <w:tc>
          <w:tcPr>
            <w:tcW w:w="9270" w:type="dxa"/>
            <w:gridSpan w:val="3"/>
            <w:tcBorders>
              <w:top w:val="nil"/>
              <w:left w:val="nil"/>
              <w:bottom w:val="nil"/>
              <w:right w:val="nil"/>
            </w:tcBorders>
          </w:tcPr>
          <w:p w14:paraId="54C501C1" w14:textId="77777777" w:rsidR="009C4668" w:rsidRPr="004F58D6" w:rsidRDefault="009C4668" w:rsidP="00447A05">
            <w:pPr>
              <w:pStyle w:val="zSoquijlblPays"/>
              <w:rPr>
                <w:lang w:val="en-CA"/>
              </w:rPr>
            </w:pPr>
            <w:r w:rsidRPr="004F58D6">
              <w:rPr>
                <w:lang w:val="en-CA"/>
              </w:rPr>
              <w:t>CANADA</w:t>
            </w:r>
          </w:p>
        </w:tc>
      </w:tr>
      <w:tr w:rsidR="009C4668" w14:paraId="54A4C4C3" w14:textId="77777777" w:rsidTr="00A34B32">
        <w:tc>
          <w:tcPr>
            <w:tcW w:w="9270" w:type="dxa"/>
            <w:gridSpan w:val="3"/>
            <w:tcBorders>
              <w:top w:val="nil"/>
              <w:left w:val="nil"/>
              <w:bottom w:val="nil"/>
              <w:right w:val="nil"/>
            </w:tcBorders>
          </w:tcPr>
          <w:p w14:paraId="6BB63FEE" w14:textId="77777777" w:rsidR="009C4668" w:rsidRPr="004F58D6" w:rsidRDefault="009C4668" w:rsidP="00447A05">
            <w:pPr>
              <w:pStyle w:val="zSoquijlblProvince"/>
              <w:rPr>
                <w:lang w:val="en-CA"/>
              </w:rPr>
            </w:pPr>
            <w:r w:rsidRPr="004F58D6">
              <w:rPr>
                <w:lang w:val="en-CA"/>
              </w:rPr>
              <w:t>PROVINCE OF QUEBEC</w:t>
            </w:r>
          </w:p>
          <w:p w14:paraId="49BF8D83" w14:textId="77777777" w:rsidR="009C4668" w:rsidRPr="004F58D6" w:rsidRDefault="009C4668" w:rsidP="00447A05">
            <w:pPr>
              <w:pStyle w:val="zSoquijlblProvince"/>
              <w:rPr>
                <w:lang w:val="en-CA"/>
              </w:rPr>
            </w:pPr>
            <w:r w:rsidRPr="004F58D6">
              <w:rPr>
                <w:lang w:val="en-CA"/>
              </w:rPr>
              <w:t>MONTREAL SEAT</w:t>
            </w:r>
          </w:p>
        </w:tc>
      </w:tr>
      <w:tr w:rsidR="009C4668" w14:paraId="10639969" w14:textId="77777777" w:rsidTr="00A34B32">
        <w:tc>
          <w:tcPr>
            <w:tcW w:w="9270" w:type="dxa"/>
            <w:gridSpan w:val="3"/>
            <w:tcBorders>
              <w:top w:val="nil"/>
              <w:left w:val="nil"/>
              <w:bottom w:val="nil"/>
              <w:right w:val="nil"/>
            </w:tcBorders>
          </w:tcPr>
          <w:p w14:paraId="501D5570" w14:textId="77777777" w:rsidR="009C4668" w:rsidRPr="004F58D6" w:rsidRDefault="009C4668" w:rsidP="002C7179">
            <w:pPr>
              <w:ind w:left="-108"/>
              <w:rPr>
                <w:lang w:val="en-CA"/>
              </w:rPr>
            </w:pPr>
          </w:p>
        </w:tc>
      </w:tr>
      <w:tr w:rsidR="009C4668" w14:paraId="6630C071" w14:textId="77777777" w:rsidTr="00392DCA">
        <w:tc>
          <w:tcPr>
            <w:tcW w:w="630" w:type="dxa"/>
            <w:tcBorders>
              <w:top w:val="nil"/>
              <w:left w:val="nil"/>
              <w:bottom w:val="nil"/>
              <w:right w:val="nil"/>
            </w:tcBorders>
          </w:tcPr>
          <w:p w14:paraId="5800FDF3" w14:textId="77777777" w:rsidR="009C4668" w:rsidRPr="004F58D6" w:rsidRDefault="009C4668" w:rsidP="00392DCA">
            <w:pPr>
              <w:pStyle w:val="zSoquijlblNoDossier"/>
              <w:ind w:left="-108"/>
              <w:rPr>
                <w:lang w:val="en-CA"/>
              </w:rPr>
            </w:pPr>
            <w:r w:rsidRPr="004F58D6">
              <w:rPr>
                <w:lang w:val="en-CA"/>
              </w:rPr>
              <w:t xml:space="preserve">No.:  </w:t>
            </w:r>
          </w:p>
        </w:tc>
        <w:tc>
          <w:tcPr>
            <w:tcW w:w="8640" w:type="dxa"/>
            <w:gridSpan w:val="2"/>
            <w:tcBorders>
              <w:top w:val="nil"/>
              <w:left w:val="nil"/>
              <w:bottom w:val="nil"/>
              <w:right w:val="nil"/>
            </w:tcBorders>
          </w:tcPr>
          <w:p w14:paraId="391B44F2" w14:textId="77777777" w:rsidR="009C4668" w:rsidRPr="004F58D6" w:rsidRDefault="009C4668" w:rsidP="00392DCA">
            <w:pPr>
              <w:pStyle w:val="zSoquijdatNoDossier"/>
              <w:rPr>
                <w:lang w:val="en-CA"/>
              </w:rPr>
            </w:pPr>
            <w:r w:rsidRPr="004F58D6">
              <w:rPr>
                <w:lang w:val="en-CA"/>
              </w:rPr>
              <w:t>500-09-030563-233</w:t>
            </w:r>
          </w:p>
        </w:tc>
      </w:tr>
      <w:tr w:rsidR="009C4668" w14:paraId="5F7A2DAA" w14:textId="77777777" w:rsidTr="00A34B32">
        <w:tc>
          <w:tcPr>
            <w:tcW w:w="9270" w:type="dxa"/>
            <w:gridSpan w:val="3"/>
            <w:tcBorders>
              <w:top w:val="nil"/>
              <w:left w:val="nil"/>
              <w:bottom w:val="nil"/>
              <w:right w:val="nil"/>
            </w:tcBorders>
          </w:tcPr>
          <w:p w14:paraId="7753A8A8" w14:textId="77777777" w:rsidR="009C4668" w:rsidRPr="004F58D6" w:rsidRDefault="009C4668" w:rsidP="00392DCA">
            <w:pPr>
              <w:pStyle w:val="zSoquijdatNoDossierAnt"/>
              <w:rPr>
                <w:lang w:val="en-CA"/>
              </w:rPr>
            </w:pPr>
            <w:r w:rsidRPr="004F58D6">
              <w:rPr>
                <w:lang w:val="en-CA"/>
              </w:rPr>
              <w:t xml:space="preserve">        (500-17-123874-235)</w:t>
            </w:r>
          </w:p>
        </w:tc>
      </w:tr>
      <w:tr w:rsidR="009C4668" w14:paraId="68179DC4" w14:textId="77777777" w:rsidTr="00A34B32">
        <w:tc>
          <w:tcPr>
            <w:tcW w:w="9270" w:type="dxa"/>
            <w:gridSpan w:val="3"/>
            <w:tcBorders>
              <w:top w:val="nil"/>
              <w:left w:val="nil"/>
              <w:bottom w:val="single" w:sz="4" w:space="0" w:color="auto"/>
              <w:right w:val="nil"/>
            </w:tcBorders>
          </w:tcPr>
          <w:p w14:paraId="6D36BDAE" w14:textId="77777777" w:rsidR="009C4668" w:rsidRPr="004F58D6" w:rsidRDefault="009C4668">
            <w:pPr>
              <w:rPr>
                <w:lang w:val="en-CA"/>
              </w:rPr>
            </w:pPr>
          </w:p>
        </w:tc>
      </w:tr>
      <w:tr w:rsidR="009C4668" w14:paraId="0D2E5090" w14:textId="77777777" w:rsidTr="00A34B32">
        <w:tc>
          <w:tcPr>
            <w:tcW w:w="9270" w:type="dxa"/>
            <w:gridSpan w:val="3"/>
            <w:tcBorders>
              <w:top w:val="single" w:sz="4" w:space="0" w:color="auto"/>
              <w:left w:val="nil"/>
              <w:bottom w:val="nil"/>
              <w:right w:val="nil"/>
            </w:tcBorders>
          </w:tcPr>
          <w:p w14:paraId="6D0C5539" w14:textId="77777777" w:rsidR="009C4668" w:rsidRPr="004F58D6" w:rsidRDefault="009C4668">
            <w:pPr>
              <w:rPr>
                <w:lang w:val="en-CA"/>
              </w:rPr>
            </w:pPr>
          </w:p>
        </w:tc>
      </w:tr>
      <w:tr w:rsidR="009C4668" w14:paraId="4A6A1177" w14:textId="77777777" w:rsidTr="00A34B32">
        <w:tc>
          <w:tcPr>
            <w:tcW w:w="9270" w:type="dxa"/>
            <w:gridSpan w:val="3"/>
            <w:tcBorders>
              <w:top w:val="nil"/>
              <w:left w:val="nil"/>
              <w:bottom w:val="nil"/>
              <w:right w:val="nil"/>
            </w:tcBorders>
          </w:tcPr>
          <w:p w14:paraId="44D56AAC" w14:textId="77777777" w:rsidR="009C4668" w:rsidRPr="004F58D6" w:rsidRDefault="009C4668" w:rsidP="00A8271F">
            <w:pPr>
              <w:pStyle w:val="zSoquijlblTypeDocument"/>
              <w:rPr>
                <w:lang w:val="en-CA"/>
              </w:rPr>
            </w:pPr>
            <w:r w:rsidRPr="004F58D6">
              <w:rPr>
                <w:lang w:val="en-CA"/>
              </w:rPr>
              <w:t>MINUTES OF THE HEARING</w:t>
            </w:r>
          </w:p>
        </w:tc>
      </w:tr>
      <w:tr w:rsidR="009C4668" w14:paraId="6D8AB5A4" w14:textId="77777777" w:rsidTr="00A34B32">
        <w:tc>
          <w:tcPr>
            <w:tcW w:w="9270" w:type="dxa"/>
            <w:gridSpan w:val="3"/>
            <w:tcBorders>
              <w:top w:val="nil"/>
              <w:left w:val="nil"/>
              <w:bottom w:val="single" w:sz="4" w:space="0" w:color="auto"/>
              <w:right w:val="nil"/>
            </w:tcBorders>
          </w:tcPr>
          <w:p w14:paraId="622CD8EC" w14:textId="77777777" w:rsidR="009C4668" w:rsidRPr="004F58D6" w:rsidRDefault="009C4668">
            <w:pPr>
              <w:rPr>
                <w:lang w:val="en-CA"/>
              </w:rPr>
            </w:pPr>
          </w:p>
        </w:tc>
      </w:tr>
    </w:tbl>
    <w:p w14:paraId="7D674198" w14:textId="77777777" w:rsidR="009C4668" w:rsidRPr="004F58D6" w:rsidRDefault="009C4668" w:rsidP="00887EEB">
      <w:pPr>
        <w:tabs>
          <w:tab w:val="left" w:pos="630"/>
        </w:tabs>
        <w:spacing w:line="240" w:lineRule="auto"/>
        <w:jc w:val="both"/>
        <w:rPr>
          <w:rFonts w:cs="Arial"/>
          <w:szCs w:val="24"/>
          <w:lang w:val="en-CA"/>
        </w:rPr>
      </w:pPr>
    </w:p>
    <w:p w14:paraId="7D4C6F82" w14:textId="77777777" w:rsidR="009C4668" w:rsidRPr="004F58D6" w:rsidRDefault="009C4668" w:rsidP="00887EEB">
      <w:pPr>
        <w:tabs>
          <w:tab w:val="left" w:pos="630"/>
        </w:tabs>
        <w:spacing w:line="240" w:lineRule="auto"/>
        <w:jc w:val="both"/>
        <w:rPr>
          <w:rFonts w:cs="Arial"/>
          <w:szCs w:val="24"/>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215"/>
      </w:tblGrid>
      <w:tr w:rsidR="009C4668" w14:paraId="228B398F" w14:textId="77777777" w:rsidTr="00BE1C8F">
        <w:tc>
          <w:tcPr>
            <w:tcW w:w="4045" w:type="dxa"/>
          </w:tcPr>
          <w:p w14:paraId="785EC1D6" w14:textId="77777777" w:rsidR="009C4668" w:rsidRPr="004F58D6" w:rsidRDefault="009C4668" w:rsidP="00DC384E">
            <w:pPr>
              <w:pStyle w:val="zSoquijdatDateJugement"/>
              <w:rPr>
                <w:lang w:val="en-CA"/>
              </w:rPr>
            </w:pPr>
            <w:r w:rsidRPr="004F58D6">
              <w:rPr>
                <w:lang w:val="en-CA"/>
              </w:rPr>
              <w:t xml:space="preserve">DATE: </w:t>
            </w:r>
            <w:sdt>
              <w:sdtPr>
                <w:rPr>
                  <w:lang w:val="en-CA"/>
                </w:rPr>
                <w:id w:val="243187043"/>
                <w:placeholder>
                  <w:docPart w:val="891225C06EA34277959CB8F2EBED027D"/>
                </w:placeholder>
                <w:date w:fullDate="2025-01-31T00:00:00Z">
                  <w:dateFormat w:val="d MMMM yyyy"/>
                  <w:lid w:val="fr-CA"/>
                  <w:storeMappedDataAs w:val="dateTime"/>
                  <w:calendar w:val="gregorian"/>
                </w:date>
              </w:sdtPr>
              <w:sdtContent>
                <w:r w:rsidRPr="004F58D6">
                  <w:rPr>
                    <w:lang w:val="en-CA"/>
                  </w:rPr>
                  <w:t>January 31, 2025</w:t>
                </w:r>
              </w:sdtContent>
            </w:sdt>
          </w:p>
        </w:tc>
        <w:tc>
          <w:tcPr>
            <w:tcW w:w="5215" w:type="dxa"/>
          </w:tcPr>
          <w:p w14:paraId="663F396F" w14:textId="77777777" w:rsidR="009C4668" w:rsidRPr="004F58D6" w:rsidRDefault="009C4668" w:rsidP="00887EEB">
            <w:pPr>
              <w:tabs>
                <w:tab w:val="left" w:pos="630"/>
              </w:tabs>
              <w:spacing w:line="240" w:lineRule="auto"/>
              <w:jc w:val="both"/>
              <w:rPr>
                <w:lang w:val="en-CA"/>
              </w:rPr>
            </w:pPr>
          </w:p>
        </w:tc>
      </w:tr>
      <w:tr w:rsidR="009C4668" w14:paraId="304F1822" w14:textId="77777777" w:rsidTr="00BE1C8F">
        <w:tc>
          <w:tcPr>
            <w:tcW w:w="4045" w:type="dxa"/>
          </w:tcPr>
          <w:p w14:paraId="522BDB72" w14:textId="77777777" w:rsidR="009C4668" w:rsidRPr="004F58D6" w:rsidRDefault="009C4668" w:rsidP="00887EEB">
            <w:pPr>
              <w:tabs>
                <w:tab w:val="left" w:pos="630"/>
              </w:tabs>
              <w:spacing w:line="240" w:lineRule="auto"/>
              <w:jc w:val="both"/>
              <w:rPr>
                <w:lang w:val="en-CA"/>
              </w:rPr>
            </w:pPr>
          </w:p>
        </w:tc>
        <w:tc>
          <w:tcPr>
            <w:tcW w:w="5215" w:type="dxa"/>
          </w:tcPr>
          <w:p w14:paraId="778E7C9A" w14:textId="77777777" w:rsidR="009C4668" w:rsidRPr="004F58D6" w:rsidRDefault="009C4668" w:rsidP="00887EEB">
            <w:pPr>
              <w:tabs>
                <w:tab w:val="left" w:pos="630"/>
              </w:tabs>
              <w:spacing w:line="240" w:lineRule="auto"/>
              <w:jc w:val="both"/>
              <w:rPr>
                <w:lang w:val="en-CA"/>
              </w:rPr>
            </w:pPr>
          </w:p>
        </w:tc>
      </w:tr>
      <w:tr w:rsidR="009C4668" w14:paraId="7F4306A5" w14:textId="77777777" w:rsidTr="00BE1C8F">
        <w:tc>
          <w:tcPr>
            <w:tcW w:w="4045" w:type="dxa"/>
          </w:tcPr>
          <w:p w14:paraId="655D9150" w14:textId="77777777" w:rsidR="009C4668" w:rsidRPr="004F58D6" w:rsidRDefault="009C4668" w:rsidP="003822C1">
            <w:pPr>
              <w:pStyle w:val="zSoquijdatQteJuge"/>
              <w:ind w:left="-108"/>
              <w:rPr>
                <w:lang w:val="en-CA"/>
              </w:rPr>
            </w:pPr>
            <w:r w:rsidRPr="004F58D6">
              <w:rPr>
                <w:lang w:val="en-CA"/>
              </w:rPr>
              <w:t>PANEL: THE HONOURABLE</w:t>
            </w:r>
          </w:p>
        </w:tc>
        <w:tc>
          <w:tcPr>
            <w:tcW w:w="5215" w:type="dxa"/>
          </w:tcPr>
          <w:p w14:paraId="519C9668" w14:textId="77777777" w:rsidR="009C4668" w:rsidRPr="00F149AB" w:rsidRDefault="009C4668" w:rsidP="00E21494">
            <w:pPr>
              <w:pStyle w:val="zSoquijdatJuge1"/>
            </w:pPr>
            <w:r w:rsidRPr="00F149AB">
              <w:t>ROBERT M. MAINVILLE, J.A.</w:t>
            </w:r>
          </w:p>
        </w:tc>
      </w:tr>
      <w:tr w:rsidR="009C4668" w14:paraId="37BDBB6E" w14:textId="77777777" w:rsidTr="00BE1C8F">
        <w:tc>
          <w:tcPr>
            <w:tcW w:w="4045" w:type="dxa"/>
          </w:tcPr>
          <w:p w14:paraId="4962D33D" w14:textId="77777777" w:rsidR="009C4668" w:rsidRPr="00F149AB" w:rsidRDefault="009C4668" w:rsidP="00887EEB">
            <w:pPr>
              <w:tabs>
                <w:tab w:val="left" w:pos="630"/>
              </w:tabs>
              <w:spacing w:line="240" w:lineRule="auto"/>
              <w:jc w:val="both"/>
            </w:pPr>
          </w:p>
        </w:tc>
        <w:tc>
          <w:tcPr>
            <w:tcW w:w="5215" w:type="dxa"/>
          </w:tcPr>
          <w:p w14:paraId="6F4EA931" w14:textId="77777777" w:rsidR="009C4668" w:rsidRPr="004F58D6" w:rsidRDefault="009C4668" w:rsidP="00E21494">
            <w:pPr>
              <w:pStyle w:val="zSoquijdatJuge2"/>
              <w:rPr>
                <w:lang w:val="en-CA"/>
              </w:rPr>
            </w:pPr>
            <w:r w:rsidRPr="004F58D6">
              <w:rPr>
                <w:lang w:val="en-CA"/>
              </w:rPr>
              <w:t>CHRISTINE BAUDOUIN, J.A.</w:t>
            </w:r>
          </w:p>
        </w:tc>
      </w:tr>
      <w:tr w:rsidR="009C4668" w14:paraId="13A7F425" w14:textId="77777777" w:rsidTr="00BE1C8F">
        <w:tc>
          <w:tcPr>
            <w:tcW w:w="4045" w:type="dxa"/>
          </w:tcPr>
          <w:p w14:paraId="04CC43E8" w14:textId="77777777" w:rsidR="009C4668" w:rsidRPr="004F58D6" w:rsidRDefault="009C4668" w:rsidP="00887EEB">
            <w:pPr>
              <w:tabs>
                <w:tab w:val="left" w:pos="630"/>
              </w:tabs>
              <w:spacing w:line="240" w:lineRule="auto"/>
              <w:jc w:val="both"/>
              <w:rPr>
                <w:lang w:val="en-CA"/>
              </w:rPr>
            </w:pPr>
          </w:p>
        </w:tc>
        <w:tc>
          <w:tcPr>
            <w:tcW w:w="5215" w:type="dxa"/>
          </w:tcPr>
          <w:p w14:paraId="2B55BFB3" w14:textId="77777777" w:rsidR="009C4668" w:rsidRPr="004F58D6" w:rsidRDefault="009C4668" w:rsidP="00E21494">
            <w:pPr>
              <w:pStyle w:val="zSoquijdatJuge3"/>
              <w:rPr>
                <w:lang w:val="en-CA"/>
              </w:rPr>
            </w:pPr>
            <w:r w:rsidRPr="004F58D6">
              <w:rPr>
                <w:lang w:val="en-CA"/>
              </w:rPr>
              <w:t>JUDITH HARVIE, J.A.</w:t>
            </w:r>
          </w:p>
        </w:tc>
      </w:tr>
    </w:tbl>
    <w:p w14:paraId="2D4DF92C" w14:textId="77777777" w:rsidR="009C4668" w:rsidRPr="004F58D6" w:rsidRDefault="009C4668" w:rsidP="00887EEB">
      <w:pPr>
        <w:tabs>
          <w:tab w:val="left" w:pos="630"/>
        </w:tabs>
        <w:spacing w:line="240" w:lineRule="auto"/>
        <w:jc w:val="both"/>
        <w:rPr>
          <w:rFonts w:cs="Arial"/>
          <w:szCs w:val="24"/>
          <w:lang w:val="en-CA"/>
        </w:rPr>
      </w:pPr>
    </w:p>
    <w:p w14:paraId="235CDCA3" w14:textId="77777777" w:rsidR="009C4668" w:rsidRPr="004F58D6" w:rsidRDefault="009C4668" w:rsidP="00887EEB">
      <w:pPr>
        <w:spacing w:line="240" w:lineRule="auto"/>
        <w:jc w:val="both"/>
        <w:rPr>
          <w:rFonts w:cs="Arial"/>
          <w:szCs w:val="24"/>
          <w:lang w:val="en-CA"/>
        </w:rPr>
      </w:pPr>
    </w:p>
    <w:tbl>
      <w:tblPr>
        <w:tblStyle w:val="Grilledutableau1"/>
        <w:tblW w:w="0" w:type="auto"/>
        <w:tblInd w:w="-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849"/>
      </w:tblGrid>
      <w:tr w:rsidR="009C4668" w14:paraId="7EB0FA24" w14:textId="77777777" w:rsidTr="005F61EC">
        <w:tc>
          <w:tcPr>
            <w:tcW w:w="4416" w:type="dxa"/>
          </w:tcPr>
          <w:p w14:paraId="3C890FEA" w14:textId="77777777" w:rsidR="009C4668" w:rsidRPr="004F58D6" w:rsidRDefault="009C4668" w:rsidP="0048057A">
            <w:pPr>
              <w:pStyle w:val="zSoquijdatQtePartieDem"/>
              <w:rPr>
                <w:lang w:val="en-CA"/>
              </w:rPr>
            </w:pPr>
            <w:r w:rsidRPr="004F58D6">
              <w:rPr>
                <w:lang w:val="en-CA"/>
              </w:rPr>
              <w:t>APPELLANT</w:t>
            </w:r>
          </w:p>
        </w:tc>
        <w:tc>
          <w:tcPr>
            <w:tcW w:w="4849" w:type="dxa"/>
            <w:vAlign w:val="center"/>
          </w:tcPr>
          <w:p w14:paraId="71344E69" w14:textId="77777777" w:rsidR="009C4668" w:rsidRPr="004F58D6" w:rsidRDefault="009C4668" w:rsidP="00C551F8">
            <w:pPr>
              <w:pStyle w:val="zSoquijlblProcureurDem"/>
              <w:rPr>
                <w:lang w:val="en-CA"/>
              </w:rPr>
            </w:pPr>
          </w:p>
        </w:tc>
      </w:tr>
      <w:tr w:rsidR="009C4668" w14:paraId="643F3A86" w14:textId="77777777" w:rsidTr="005F61EC">
        <w:tc>
          <w:tcPr>
            <w:tcW w:w="4416" w:type="dxa"/>
          </w:tcPr>
          <w:p w14:paraId="66793BC6" w14:textId="77777777" w:rsidR="009C4668" w:rsidRPr="004F58D6" w:rsidRDefault="009C4668" w:rsidP="00033ACA">
            <w:pPr>
              <w:tabs>
                <w:tab w:val="center" w:pos="2162"/>
              </w:tabs>
              <w:spacing w:line="240" w:lineRule="auto"/>
              <w:jc w:val="center"/>
              <w:rPr>
                <w:b/>
                <w:lang w:val="en-CA"/>
              </w:rPr>
            </w:pPr>
          </w:p>
          <w:p w14:paraId="53F70F24" w14:textId="77777777" w:rsidR="009C4668" w:rsidRPr="004F58D6" w:rsidRDefault="009C4668" w:rsidP="00F12661">
            <w:pPr>
              <w:pStyle w:val="zSoquijdatNomPartieDem"/>
              <w:tabs>
                <w:tab w:val="center" w:pos="2412"/>
              </w:tabs>
              <w:rPr>
                <w:lang w:val="en-CA"/>
              </w:rPr>
            </w:pPr>
            <w:r w:rsidRPr="004F58D6">
              <w:rPr>
                <w:caps/>
                <w:lang w:val="en-CA"/>
              </w:rPr>
              <w:t>YUAN NIU</w:t>
            </w:r>
          </w:p>
        </w:tc>
        <w:tc>
          <w:tcPr>
            <w:tcW w:w="4849" w:type="dxa"/>
          </w:tcPr>
          <w:p w14:paraId="480CCDB7" w14:textId="77777777" w:rsidR="009C4668" w:rsidRPr="004F58D6" w:rsidRDefault="009C4668" w:rsidP="00887EEB">
            <w:pPr>
              <w:spacing w:line="240" w:lineRule="auto"/>
              <w:jc w:val="center"/>
              <w:rPr>
                <w:rFonts w:cs="Arial"/>
                <w:szCs w:val="24"/>
                <w:lang w:val="en-CA"/>
              </w:rPr>
            </w:pPr>
          </w:p>
          <w:p w14:paraId="2E3CC610" w14:textId="77777777" w:rsidR="009C4668" w:rsidRPr="004F58D6" w:rsidRDefault="009C4668" w:rsidP="00F12661">
            <w:pPr>
              <w:pStyle w:val="zSoquijdatCabinetProcureurDem"/>
              <w:rPr>
                <w:lang w:val="en-CA"/>
              </w:rPr>
            </w:pPr>
            <w:r w:rsidRPr="004F58D6">
              <w:rPr>
                <w:lang w:val="en-CA"/>
              </w:rPr>
              <w:t>PRESENT AND UNREPRESENTED</w:t>
            </w:r>
          </w:p>
          <w:p w14:paraId="6C8732D2" w14:textId="77777777" w:rsidR="009C4668" w:rsidRPr="004F58D6" w:rsidRDefault="009C4668" w:rsidP="00887EEB">
            <w:pPr>
              <w:spacing w:line="240" w:lineRule="auto"/>
              <w:jc w:val="center"/>
              <w:rPr>
                <w:rFonts w:cs="Arial"/>
                <w:szCs w:val="24"/>
                <w:lang w:val="en-CA"/>
              </w:rPr>
            </w:pPr>
            <w:r w:rsidRPr="004F58D6">
              <w:rPr>
                <w:rFonts w:cs="Arial"/>
                <w:szCs w:val="24"/>
                <w:lang w:val="en-CA"/>
              </w:rPr>
              <w:t>Absent</w:t>
            </w:r>
          </w:p>
          <w:p w14:paraId="19B5886B" w14:textId="77777777" w:rsidR="009C4668" w:rsidRPr="004F58D6" w:rsidRDefault="009C4668" w:rsidP="00887EEB">
            <w:pPr>
              <w:spacing w:line="240" w:lineRule="auto"/>
              <w:jc w:val="center"/>
              <w:rPr>
                <w:rFonts w:cs="Arial"/>
                <w:szCs w:val="24"/>
                <w:lang w:val="en-CA"/>
              </w:rPr>
            </w:pPr>
          </w:p>
        </w:tc>
      </w:tr>
      <w:tr w:rsidR="009C4668" w14:paraId="1166355C" w14:textId="77777777" w:rsidTr="005F61EC">
        <w:tc>
          <w:tcPr>
            <w:tcW w:w="4416" w:type="dxa"/>
          </w:tcPr>
          <w:p w14:paraId="68B515B9" w14:textId="77777777" w:rsidR="009C4668" w:rsidRPr="004F58D6" w:rsidRDefault="009C4668" w:rsidP="00FA7F32">
            <w:pPr>
              <w:pStyle w:val="zSoquijdatQtePartieDef"/>
              <w:rPr>
                <w:lang w:val="en-CA"/>
              </w:rPr>
            </w:pPr>
            <w:r w:rsidRPr="004F58D6">
              <w:rPr>
                <w:lang w:val="en-CA"/>
              </w:rPr>
              <w:t>RESPONDENTS</w:t>
            </w:r>
          </w:p>
        </w:tc>
        <w:tc>
          <w:tcPr>
            <w:tcW w:w="4849" w:type="dxa"/>
            <w:vAlign w:val="center"/>
          </w:tcPr>
          <w:p w14:paraId="060F3B65" w14:textId="77777777" w:rsidR="009C4668" w:rsidRPr="004F58D6" w:rsidRDefault="009C4668" w:rsidP="00C551F8">
            <w:pPr>
              <w:pStyle w:val="zSoquijlblProcureurDef"/>
              <w:rPr>
                <w:lang w:val="en-CA"/>
              </w:rPr>
            </w:pPr>
            <w:r w:rsidRPr="004F58D6">
              <w:rPr>
                <w:lang w:val="en-CA"/>
              </w:rPr>
              <w:t>COUNSEL</w:t>
            </w:r>
          </w:p>
        </w:tc>
      </w:tr>
      <w:tr w:rsidR="009C4668" w14:paraId="65598D9F" w14:textId="77777777" w:rsidTr="005F61EC">
        <w:tc>
          <w:tcPr>
            <w:tcW w:w="4416" w:type="dxa"/>
          </w:tcPr>
          <w:p w14:paraId="1919CF95" w14:textId="77777777" w:rsidR="009C4668" w:rsidRPr="004F58D6" w:rsidRDefault="009C4668" w:rsidP="00887EEB">
            <w:pPr>
              <w:spacing w:line="240" w:lineRule="auto"/>
              <w:jc w:val="center"/>
              <w:rPr>
                <w:b/>
                <w:lang w:val="en-CA"/>
              </w:rPr>
            </w:pPr>
          </w:p>
          <w:p w14:paraId="0E3D53B6" w14:textId="77777777" w:rsidR="009C4668" w:rsidRPr="004F58D6" w:rsidRDefault="009C4668" w:rsidP="007377D2">
            <w:pPr>
              <w:pStyle w:val="zSoquijdatNomPartieDef"/>
              <w:tabs>
                <w:tab w:val="center" w:pos="2412"/>
              </w:tabs>
              <w:rPr>
                <w:caps/>
                <w:lang w:val="en-CA"/>
              </w:rPr>
            </w:pPr>
            <w:r w:rsidRPr="004F58D6">
              <w:rPr>
                <w:caps/>
                <w:lang w:val="en-CA"/>
              </w:rPr>
              <w:t>AMERICAN CINEMA INSPIRES, INC.</w:t>
            </w:r>
          </w:p>
          <w:p w14:paraId="61C112A8" w14:textId="77777777" w:rsidR="009C4668" w:rsidRPr="004F58D6" w:rsidRDefault="009C4668" w:rsidP="007377D2">
            <w:pPr>
              <w:pStyle w:val="zSoquijdatNomPartieDef"/>
              <w:tabs>
                <w:tab w:val="center" w:pos="2412"/>
              </w:tabs>
              <w:rPr>
                <w:lang w:val="en-CA"/>
              </w:rPr>
            </w:pPr>
            <w:r w:rsidRPr="004F58D6">
              <w:rPr>
                <w:lang w:val="en-CA"/>
              </w:rPr>
              <w:t>TRIAL FILM, LLC</w:t>
            </w:r>
          </w:p>
          <w:p w14:paraId="46F590F2" w14:textId="77777777" w:rsidR="009C4668" w:rsidRPr="004F58D6" w:rsidRDefault="009C4668" w:rsidP="007377D2">
            <w:pPr>
              <w:pStyle w:val="zSoquijdatNomPartieDef"/>
              <w:tabs>
                <w:tab w:val="center" w:pos="2412"/>
              </w:tabs>
              <w:rPr>
                <w:lang w:val="en-CA"/>
              </w:rPr>
            </w:pPr>
          </w:p>
          <w:p w14:paraId="55C66C8E" w14:textId="77777777" w:rsidR="009C4668" w:rsidRPr="004F58D6" w:rsidRDefault="009C4668" w:rsidP="007377D2">
            <w:pPr>
              <w:pStyle w:val="zSoquijdatNomPartieDef"/>
              <w:tabs>
                <w:tab w:val="center" w:pos="2412"/>
              </w:tabs>
              <w:rPr>
                <w:lang w:val="en-CA"/>
              </w:rPr>
            </w:pPr>
          </w:p>
        </w:tc>
        <w:tc>
          <w:tcPr>
            <w:tcW w:w="4849" w:type="dxa"/>
          </w:tcPr>
          <w:p w14:paraId="383F58DB" w14:textId="77777777" w:rsidR="009C4668" w:rsidRPr="004F58D6" w:rsidRDefault="009C4668" w:rsidP="00887EEB">
            <w:pPr>
              <w:spacing w:line="240" w:lineRule="auto"/>
              <w:jc w:val="center"/>
              <w:rPr>
                <w:rFonts w:cs="Arial"/>
                <w:szCs w:val="24"/>
                <w:lang w:val="en-CA"/>
              </w:rPr>
            </w:pPr>
          </w:p>
          <w:p w14:paraId="71409828" w14:textId="77777777" w:rsidR="009C4668" w:rsidRPr="004F58D6" w:rsidRDefault="009C4668" w:rsidP="005F61EC">
            <w:pPr>
              <w:pStyle w:val="zSoquijdatNomProcureurDef"/>
              <w:spacing w:before="0" w:after="0"/>
              <w:rPr>
                <w:lang w:val="en-CA"/>
              </w:rPr>
            </w:pPr>
            <w:r w:rsidRPr="004F58D6">
              <w:rPr>
                <w:lang w:val="en-CA"/>
              </w:rPr>
              <w:t xml:space="preserve">Mtre </w:t>
            </w:r>
            <w:r w:rsidRPr="004F58D6">
              <w:rPr>
                <w:caps/>
                <w:lang w:val="en-CA"/>
              </w:rPr>
              <w:t>Ousmane Ndiaye-Kaberamanzi</w:t>
            </w:r>
          </w:p>
          <w:p w14:paraId="561A2520" w14:textId="77777777" w:rsidR="009C4668" w:rsidRPr="004F58D6" w:rsidRDefault="009C4668" w:rsidP="005F61EC">
            <w:pPr>
              <w:pStyle w:val="zSoquijdatCabinetProcureurDef"/>
              <w:spacing w:before="0" w:after="0"/>
              <w:rPr>
                <w:lang w:val="en-CA"/>
              </w:rPr>
            </w:pPr>
            <w:r w:rsidRPr="004F58D6">
              <w:rPr>
                <w:lang w:val="en-CA"/>
              </w:rPr>
              <w:t>(</w:t>
            </w:r>
            <w:r w:rsidRPr="004F58D6">
              <w:rPr>
                <w:i/>
                <w:iCs/>
                <w:lang w:val="en-CA"/>
              </w:rPr>
              <w:t>Charness, Charness &amp; Charness</w:t>
            </w:r>
            <w:r w:rsidRPr="004F58D6">
              <w:rPr>
                <w:lang w:val="en-CA"/>
              </w:rPr>
              <w:t>)</w:t>
            </w:r>
          </w:p>
          <w:p w14:paraId="440F1A5C" w14:textId="77777777" w:rsidR="009C4668" w:rsidRPr="004F58D6" w:rsidRDefault="009C4668" w:rsidP="00F27CDE">
            <w:pPr>
              <w:pStyle w:val="zSoquijdatCabinetProcureurDef"/>
              <w:spacing w:before="0" w:after="0"/>
              <w:rPr>
                <w:lang w:val="en-CA"/>
              </w:rPr>
            </w:pPr>
            <w:r w:rsidRPr="004F58D6">
              <w:rPr>
                <w:lang w:val="en-CA"/>
              </w:rPr>
              <w:t>Absent</w:t>
            </w:r>
          </w:p>
          <w:p w14:paraId="12731E2E" w14:textId="77777777" w:rsidR="009C4668" w:rsidRPr="004F58D6" w:rsidRDefault="009C4668" w:rsidP="00887EEB">
            <w:pPr>
              <w:spacing w:line="240" w:lineRule="auto"/>
              <w:jc w:val="center"/>
              <w:rPr>
                <w:rFonts w:cs="Arial"/>
                <w:szCs w:val="24"/>
                <w:lang w:val="en-CA"/>
              </w:rPr>
            </w:pPr>
          </w:p>
        </w:tc>
      </w:tr>
    </w:tbl>
    <w:p w14:paraId="379AEE78" w14:textId="77777777" w:rsidR="009C4668" w:rsidRPr="004F58D6" w:rsidRDefault="009C4668" w:rsidP="00887EEB">
      <w:pPr>
        <w:spacing w:line="240" w:lineRule="auto"/>
        <w:jc w:val="both"/>
        <w:rPr>
          <w:rFonts w:cs="Arial"/>
          <w:szCs w:val="24"/>
          <w:lang w:val="en-CA"/>
        </w:rPr>
      </w:pPr>
    </w:p>
    <w:tbl>
      <w:tblPr>
        <w:tblStyle w:val="Grilledutableau1"/>
        <w:tblW w:w="0" w:type="auto"/>
        <w:tblBorders>
          <w:top w:val="none" w:sz="0" w:space="0" w:color="auto"/>
          <w:bottom w:val="none" w:sz="0" w:space="0" w:color="auto"/>
        </w:tblBorders>
        <w:tblLook w:val="04A0" w:firstRow="1" w:lastRow="0" w:firstColumn="1" w:lastColumn="0" w:noHBand="0" w:noVBand="1"/>
      </w:tblPr>
      <w:tblGrid>
        <w:gridCol w:w="9270"/>
      </w:tblGrid>
      <w:tr w:rsidR="009C4668" w14:paraId="247ABC4F" w14:textId="77777777" w:rsidTr="002159AA">
        <w:tc>
          <w:tcPr>
            <w:tcW w:w="9450" w:type="dxa"/>
          </w:tcPr>
          <w:p w14:paraId="4DBB460A" w14:textId="77777777" w:rsidR="009C4668" w:rsidRPr="004F58D6" w:rsidRDefault="009C4668" w:rsidP="009E2B19">
            <w:pPr>
              <w:spacing w:line="240" w:lineRule="auto"/>
              <w:ind w:left="-108"/>
              <w:jc w:val="both"/>
              <w:rPr>
                <w:lang w:val="en-CA"/>
              </w:rPr>
            </w:pPr>
            <w:r w:rsidRPr="004F58D6">
              <w:rPr>
                <w:lang w:val="en-CA"/>
              </w:rPr>
              <w:t>On appeal from a judgment rendered on May 3, 2023, by the Honourable Alexander Pless of the Superior Court, District of Montreal.</w:t>
            </w:r>
          </w:p>
        </w:tc>
      </w:tr>
    </w:tbl>
    <w:p w14:paraId="1396F1E7" w14:textId="77777777" w:rsidR="009C4668" w:rsidRPr="004F58D6" w:rsidRDefault="009C4668" w:rsidP="00887EEB">
      <w:pPr>
        <w:spacing w:line="240" w:lineRule="auto"/>
        <w:jc w:val="both"/>
        <w:rPr>
          <w:rFonts w:cs="Arial"/>
          <w:szCs w:val="24"/>
          <w:lang w:val="en-CA"/>
        </w:rPr>
      </w:pPr>
    </w:p>
    <w:tbl>
      <w:tblPr>
        <w:tblStyle w:val="Grilledutableau1"/>
        <w:tblW w:w="9360" w:type="dxa"/>
        <w:tblBorders>
          <w:top w:val="none" w:sz="0" w:space="0" w:color="auto"/>
          <w:bottom w:val="none" w:sz="0" w:space="0" w:color="auto"/>
        </w:tblBorders>
        <w:tblLook w:val="04A0" w:firstRow="1" w:lastRow="0" w:firstColumn="1" w:lastColumn="0" w:noHBand="0" w:noVBand="1"/>
      </w:tblPr>
      <w:tblGrid>
        <w:gridCol w:w="3119"/>
        <w:gridCol w:w="6241"/>
      </w:tblGrid>
      <w:tr w:rsidR="009C4668" w14:paraId="76D57D80" w14:textId="77777777" w:rsidTr="007530C4">
        <w:tc>
          <w:tcPr>
            <w:tcW w:w="3119" w:type="dxa"/>
            <w:shd w:val="clear" w:color="auto" w:fill="auto"/>
          </w:tcPr>
          <w:p w14:paraId="20CADE2C" w14:textId="77777777" w:rsidR="009C4668" w:rsidRPr="004F58D6" w:rsidRDefault="009C4668" w:rsidP="004630AB">
            <w:pPr>
              <w:spacing w:line="240" w:lineRule="auto"/>
              <w:ind w:left="-108"/>
              <w:jc w:val="both"/>
              <w:rPr>
                <w:rFonts w:cs="Arial"/>
                <w:kern w:val="28"/>
                <w:szCs w:val="24"/>
                <w:lang w:val="en-CA"/>
              </w:rPr>
            </w:pPr>
            <w:r w:rsidRPr="004F58D6">
              <w:rPr>
                <w:rFonts w:cs="Arial"/>
                <w:kern w:val="28"/>
                <w:szCs w:val="24"/>
                <w:lang w:val="en-CA"/>
              </w:rPr>
              <w:t>NATURE OF THE APPEAL:</w:t>
            </w:r>
          </w:p>
        </w:tc>
        <w:tc>
          <w:tcPr>
            <w:tcW w:w="6241" w:type="dxa"/>
            <w:vAlign w:val="center"/>
          </w:tcPr>
          <w:p w14:paraId="21B9FAC1" w14:textId="77777777" w:rsidR="009C4668" w:rsidRPr="004F58D6" w:rsidRDefault="009C4668" w:rsidP="00887EEB">
            <w:pPr>
              <w:spacing w:line="240" w:lineRule="auto"/>
              <w:jc w:val="both"/>
              <w:rPr>
                <w:rFonts w:cs="Arial"/>
                <w:kern w:val="28"/>
                <w:szCs w:val="24"/>
                <w:lang w:val="en-CA"/>
              </w:rPr>
            </w:pPr>
            <w:r w:rsidRPr="004F58D6">
              <w:rPr>
                <w:rFonts w:cs="Arial"/>
                <w:b/>
                <w:bCs/>
                <w:kern w:val="28"/>
                <w:szCs w:val="24"/>
                <w:lang w:val="en-CA"/>
              </w:rPr>
              <w:t>Intellectual Property – Copyright infringement – Application for recognition and enforcement of a foreign judgment rendered by default – Evidence and procedure.</w:t>
            </w:r>
          </w:p>
        </w:tc>
      </w:tr>
    </w:tbl>
    <w:p w14:paraId="773C8AF6" w14:textId="77777777" w:rsidR="009C4668" w:rsidRPr="004F58D6" w:rsidRDefault="009C4668" w:rsidP="00887EEB">
      <w:pPr>
        <w:spacing w:line="240" w:lineRule="auto"/>
        <w:jc w:val="both"/>
        <w:rPr>
          <w:rFonts w:cs="Arial"/>
          <w:szCs w:val="24"/>
          <w:lang w:val="en-CA"/>
        </w:rPr>
      </w:pPr>
    </w:p>
    <w:tbl>
      <w:tblPr>
        <w:tblW w:w="936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930"/>
        <w:gridCol w:w="4430"/>
      </w:tblGrid>
      <w:tr w:rsidR="009C4668" w14:paraId="37D8D968" w14:textId="77777777" w:rsidTr="00FB3369">
        <w:trPr>
          <w:cantSplit/>
          <w:trHeight w:val="397"/>
        </w:trPr>
        <w:tc>
          <w:tcPr>
            <w:tcW w:w="4930" w:type="dxa"/>
            <w:tcBorders>
              <w:top w:val="single" w:sz="4" w:space="0" w:color="auto"/>
              <w:bottom w:val="single" w:sz="4" w:space="0" w:color="auto"/>
              <w:right w:val="single" w:sz="4" w:space="0" w:color="auto"/>
            </w:tcBorders>
            <w:vAlign w:val="center"/>
          </w:tcPr>
          <w:p w14:paraId="68ABFC1F" w14:textId="77777777" w:rsidR="009C4668" w:rsidRPr="004F58D6" w:rsidRDefault="009C4668" w:rsidP="00887EEB">
            <w:pPr>
              <w:spacing w:before="120" w:after="120" w:line="240" w:lineRule="auto"/>
              <w:rPr>
                <w:rFonts w:cs="Arial"/>
                <w:szCs w:val="24"/>
                <w:lang w:val="en-CA"/>
              </w:rPr>
            </w:pPr>
            <w:r w:rsidRPr="004F58D6">
              <w:rPr>
                <w:rFonts w:cs="Arial"/>
                <w:szCs w:val="24"/>
                <w:lang w:val="en-CA"/>
              </w:rPr>
              <w:t>Clerk at the hearing: Myriam Villeneuve</w:t>
            </w:r>
          </w:p>
        </w:tc>
        <w:tc>
          <w:tcPr>
            <w:tcW w:w="4430" w:type="dxa"/>
            <w:tcBorders>
              <w:left w:val="single" w:sz="4" w:space="0" w:color="auto"/>
            </w:tcBorders>
            <w:vAlign w:val="center"/>
          </w:tcPr>
          <w:p w14:paraId="28F41BBD" w14:textId="77777777" w:rsidR="009C4668" w:rsidRPr="004F58D6" w:rsidRDefault="009C4668" w:rsidP="00887EEB">
            <w:pPr>
              <w:spacing w:line="240" w:lineRule="auto"/>
              <w:jc w:val="both"/>
              <w:rPr>
                <w:rFonts w:eastAsiaTheme="minorHAnsi" w:cs="Arial"/>
                <w:szCs w:val="24"/>
                <w:lang w:val="en-CA" w:eastAsia="en-US"/>
              </w:rPr>
            </w:pPr>
            <w:r w:rsidRPr="004F58D6">
              <w:rPr>
                <w:rFonts w:cs="Arial"/>
                <w:szCs w:val="24"/>
                <w:lang w:val="en-CA"/>
              </w:rPr>
              <w:t>Courtroom: Antonio Lamer</w:t>
            </w:r>
            <w:r w:rsidRPr="004F58D6">
              <w:rPr>
                <w:rFonts w:cs="Arial"/>
                <w:szCs w:val="24"/>
                <w:lang w:val="en-CA"/>
              </w:rPr>
              <w:fldChar w:fldCharType="begin"/>
            </w:r>
            <w:r w:rsidRPr="004F58D6">
              <w:rPr>
                <w:rFonts w:cs="Arial"/>
                <w:szCs w:val="24"/>
                <w:lang w:val="en-CA"/>
              </w:rPr>
              <w:instrText xml:space="preserve">  </w:instrText>
            </w:r>
            <w:r w:rsidRPr="004F58D6">
              <w:rPr>
                <w:rFonts w:cs="Arial"/>
                <w:szCs w:val="24"/>
                <w:lang w:val="en-CA"/>
              </w:rPr>
              <w:fldChar w:fldCharType="end"/>
            </w:r>
          </w:p>
        </w:tc>
      </w:tr>
    </w:tbl>
    <w:p w14:paraId="15194A05" w14:textId="77777777" w:rsidR="009C4668" w:rsidRPr="004F58D6" w:rsidRDefault="009C4668">
      <w:pPr>
        <w:spacing w:line="240" w:lineRule="auto"/>
        <w:rPr>
          <w:rFonts w:cs="Arial"/>
          <w:szCs w:val="24"/>
          <w:lang w:val="en-CA"/>
        </w:rPr>
      </w:pPr>
    </w:p>
    <w:tbl>
      <w:tblPr>
        <w:tblStyle w:val="Grilledutableau1"/>
        <w:tblW w:w="9360" w:type="dxa"/>
        <w:tblBorders>
          <w:insideH w:val="single" w:sz="4" w:space="0" w:color="auto"/>
          <w:insideV w:val="single" w:sz="4" w:space="0" w:color="auto"/>
        </w:tblBorders>
        <w:tblLook w:val="04A0" w:firstRow="1" w:lastRow="0" w:firstColumn="1" w:lastColumn="0" w:noHBand="0" w:noVBand="1"/>
      </w:tblPr>
      <w:tblGrid>
        <w:gridCol w:w="9360"/>
      </w:tblGrid>
      <w:tr w:rsidR="009C4668" w14:paraId="5FC398D7" w14:textId="77777777" w:rsidTr="00FB3369">
        <w:tc>
          <w:tcPr>
            <w:tcW w:w="9360" w:type="dxa"/>
            <w:vAlign w:val="center"/>
          </w:tcPr>
          <w:p w14:paraId="06395020" w14:textId="77777777" w:rsidR="009C4668" w:rsidRPr="004F58D6" w:rsidRDefault="009C4668" w:rsidP="008D1B37">
            <w:pPr>
              <w:keepNext/>
              <w:keepLines/>
              <w:spacing w:before="240" w:after="240" w:line="240" w:lineRule="auto"/>
              <w:jc w:val="center"/>
              <w:rPr>
                <w:lang w:val="en-CA"/>
              </w:rPr>
            </w:pPr>
            <w:r w:rsidRPr="004F58D6">
              <w:rPr>
                <w:lang w:val="en-CA"/>
              </w:rPr>
              <w:lastRenderedPageBreak/>
              <w:t>HEARING</w:t>
            </w:r>
          </w:p>
        </w:tc>
      </w:tr>
    </w:tbl>
    <w:p w14:paraId="6DCB594D" w14:textId="77777777" w:rsidR="009C4668" w:rsidRPr="004F58D6" w:rsidRDefault="009C4668" w:rsidP="00887EEB">
      <w:pPr>
        <w:spacing w:line="240" w:lineRule="auto"/>
        <w:rPr>
          <w:rFonts w:cs="Arial"/>
          <w:szCs w:val="24"/>
          <w:lang w:val="en-CA"/>
        </w:rPr>
      </w:pPr>
    </w:p>
    <w:tbl>
      <w:tblPr>
        <w:tblW w:w="936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8100"/>
      </w:tblGrid>
      <w:tr w:rsidR="009C4668" w14:paraId="7E890610" w14:textId="77777777" w:rsidTr="000161A3">
        <w:trPr>
          <w:trHeight w:val="260"/>
        </w:trPr>
        <w:tc>
          <w:tcPr>
            <w:tcW w:w="1260" w:type="dxa"/>
            <w:tcBorders>
              <w:top w:val="nil"/>
              <w:bottom w:val="single" w:sz="4" w:space="0" w:color="auto"/>
              <w:right w:val="nil"/>
            </w:tcBorders>
          </w:tcPr>
          <w:p w14:paraId="2D2DE013" w14:textId="77777777" w:rsidR="009C4668" w:rsidRPr="004F58D6" w:rsidRDefault="009C4668" w:rsidP="000161A3">
            <w:pPr>
              <w:keepNext/>
              <w:keepLines/>
              <w:spacing w:before="120" w:after="120" w:line="240" w:lineRule="auto"/>
              <w:jc w:val="both"/>
              <w:rPr>
                <w:rFonts w:cs="Arial"/>
                <w:szCs w:val="24"/>
                <w:lang w:val="en-CA"/>
              </w:rPr>
            </w:pPr>
            <w:r>
              <w:rPr>
                <w:rFonts w:cs="Arial"/>
                <w:szCs w:val="24"/>
                <w:lang w:val="en-CA"/>
              </w:rPr>
              <w:t>9:38</w:t>
            </w:r>
          </w:p>
        </w:tc>
        <w:tc>
          <w:tcPr>
            <w:tcW w:w="8100" w:type="dxa"/>
            <w:tcBorders>
              <w:top w:val="nil"/>
              <w:left w:val="nil"/>
              <w:bottom w:val="single" w:sz="4" w:space="0" w:color="auto"/>
            </w:tcBorders>
          </w:tcPr>
          <w:p w14:paraId="53FA118B" w14:textId="77777777" w:rsidR="009C4668" w:rsidRPr="004F58D6" w:rsidRDefault="009C4668" w:rsidP="000161A3">
            <w:pPr>
              <w:keepNext/>
              <w:keepLines/>
              <w:spacing w:before="120" w:after="120" w:line="240" w:lineRule="auto"/>
              <w:jc w:val="both"/>
              <w:rPr>
                <w:rFonts w:cs="Arial"/>
                <w:szCs w:val="24"/>
                <w:lang w:val="en-CA"/>
              </w:rPr>
            </w:pPr>
            <w:r w:rsidRPr="004F58D6">
              <w:rPr>
                <w:rFonts w:cs="Arial"/>
                <w:szCs w:val="24"/>
                <w:lang w:val="en-CA"/>
              </w:rPr>
              <w:t>Commencement of the hearing.</w:t>
            </w:r>
          </w:p>
          <w:p w14:paraId="3B7FD6C4" w14:textId="77777777" w:rsidR="009C4668" w:rsidRPr="004F58D6" w:rsidRDefault="009C4668" w:rsidP="000161A3">
            <w:pPr>
              <w:keepNext/>
              <w:keepLines/>
              <w:spacing w:before="120" w:after="120" w:line="240" w:lineRule="auto"/>
              <w:jc w:val="both"/>
              <w:rPr>
                <w:rFonts w:cs="Arial"/>
                <w:szCs w:val="24"/>
                <w:lang w:val="en-CA"/>
              </w:rPr>
            </w:pPr>
            <w:r w:rsidRPr="004F58D6">
              <w:rPr>
                <w:rFonts w:cs="Arial"/>
                <w:szCs w:val="24"/>
                <w:lang w:val="en-CA"/>
              </w:rPr>
              <w:t>Continuation of the hearing of January 30, 2025. The parties were excused from appearing in Court.</w:t>
            </w:r>
          </w:p>
          <w:p w14:paraId="325EEBCE" w14:textId="77777777" w:rsidR="009C4668" w:rsidRPr="004F58D6" w:rsidRDefault="009C4668" w:rsidP="000161A3">
            <w:pPr>
              <w:keepNext/>
              <w:keepLines/>
              <w:spacing w:before="120" w:after="120" w:line="240" w:lineRule="auto"/>
              <w:jc w:val="both"/>
              <w:rPr>
                <w:rFonts w:cs="Arial"/>
                <w:szCs w:val="24"/>
                <w:lang w:val="en-CA"/>
              </w:rPr>
            </w:pPr>
            <w:r w:rsidRPr="004F58D6">
              <w:rPr>
                <w:rFonts w:cs="Arial"/>
                <w:szCs w:val="24"/>
                <w:lang w:val="en-CA"/>
              </w:rPr>
              <w:t>Judgment – see page 3.</w:t>
            </w:r>
          </w:p>
        </w:tc>
      </w:tr>
      <w:tr w:rsidR="009C4668" w14:paraId="01E61A34" w14:textId="77777777" w:rsidTr="000161A3">
        <w:trPr>
          <w:trHeight w:val="260"/>
        </w:trPr>
        <w:tc>
          <w:tcPr>
            <w:tcW w:w="1260" w:type="dxa"/>
            <w:tcBorders>
              <w:top w:val="nil"/>
              <w:bottom w:val="single" w:sz="4" w:space="0" w:color="auto"/>
              <w:right w:val="nil"/>
            </w:tcBorders>
          </w:tcPr>
          <w:p w14:paraId="69BA97E9" w14:textId="77777777" w:rsidR="009C4668" w:rsidRPr="004F58D6" w:rsidRDefault="009C4668" w:rsidP="000161A3">
            <w:pPr>
              <w:keepNext/>
              <w:keepLines/>
              <w:spacing w:before="120" w:after="120" w:line="240" w:lineRule="auto"/>
              <w:jc w:val="both"/>
              <w:rPr>
                <w:rFonts w:cs="Arial"/>
                <w:szCs w:val="24"/>
                <w:lang w:val="en-CA"/>
              </w:rPr>
            </w:pPr>
            <w:r>
              <w:rPr>
                <w:rFonts w:cs="Arial"/>
                <w:szCs w:val="24"/>
                <w:lang w:val="en-CA"/>
              </w:rPr>
              <w:t>9:39</w:t>
            </w:r>
          </w:p>
        </w:tc>
        <w:tc>
          <w:tcPr>
            <w:tcW w:w="8100" w:type="dxa"/>
            <w:tcBorders>
              <w:top w:val="nil"/>
              <w:left w:val="nil"/>
              <w:bottom w:val="single" w:sz="4" w:space="0" w:color="auto"/>
            </w:tcBorders>
          </w:tcPr>
          <w:p w14:paraId="3662A87A" w14:textId="77777777" w:rsidR="009C4668" w:rsidRPr="004F58D6" w:rsidRDefault="009C4668" w:rsidP="000161A3">
            <w:pPr>
              <w:keepNext/>
              <w:keepLines/>
              <w:spacing w:before="120" w:after="120" w:line="240" w:lineRule="auto"/>
              <w:jc w:val="both"/>
              <w:rPr>
                <w:rFonts w:cs="Arial"/>
                <w:szCs w:val="24"/>
                <w:lang w:val="en-CA"/>
              </w:rPr>
            </w:pPr>
            <w:r w:rsidRPr="00F54BA0">
              <w:rPr>
                <w:rFonts w:cs="Arial"/>
                <w:szCs w:val="24"/>
                <w:lang w:val="en-CA"/>
              </w:rPr>
              <w:t>End of the hearing.</w:t>
            </w:r>
          </w:p>
        </w:tc>
      </w:tr>
    </w:tbl>
    <w:p w14:paraId="7387F41C" w14:textId="77777777" w:rsidR="009C4668" w:rsidRPr="004F58D6" w:rsidRDefault="009C4668" w:rsidP="00887EEB">
      <w:pPr>
        <w:spacing w:line="240" w:lineRule="auto"/>
        <w:rPr>
          <w:rFonts w:cs="Arial"/>
          <w:szCs w:val="24"/>
          <w:lang w:val="en-CA"/>
        </w:rPr>
      </w:pPr>
    </w:p>
    <w:p w14:paraId="41ACD15B" w14:textId="77777777" w:rsidR="009C4668" w:rsidRPr="004F58D6" w:rsidRDefault="009C4668" w:rsidP="00887EEB">
      <w:pPr>
        <w:spacing w:line="240" w:lineRule="auto"/>
        <w:rPr>
          <w:rFonts w:cs="Arial"/>
          <w:szCs w:val="24"/>
          <w:lang w:val="en-CA"/>
        </w:rPr>
      </w:pPr>
    </w:p>
    <w:tbl>
      <w:tblPr>
        <w:tblStyle w:val="Grilledutableau1"/>
        <w:tblW w:w="0" w:type="auto"/>
        <w:tblBorders>
          <w:top w:val="none" w:sz="0" w:space="0" w:color="auto"/>
          <w:bottom w:val="none" w:sz="0" w:space="0" w:color="auto"/>
        </w:tblBorders>
        <w:tblLook w:val="04A0" w:firstRow="1" w:lastRow="0" w:firstColumn="1" w:lastColumn="0" w:noHBand="0" w:noVBand="1"/>
      </w:tblPr>
      <w:tblGrid>
        <w:gridCol w:w="4770"/>
      </w:tblGrid>
      <w:tr w:rsidR="009C4668" w14:paraId="79755FBD" w14:textId="77777777" w:rsidTr="002159AA">
        <w:tc>
          <w:tcPr>
            <w:tcW w:w="4770" w:type="dxa"/>
            <w:tcBorders>
              <w:bottom w:val="single" w:sz="4" w:space="0" w:color="auto"/>
            </w:tcBorders>
          </w:tcPr>
          <w:p w14:paraId="1DE8724B" w14:textId="77777777" w:rsidR="009C4668" w:rsidRPr="004F58D6" w:rsidRDefault="009C4668" w:rsidP="00887EEB">
            <w:pPr>
              <w:spacing w:line="240" w:lineRule="auto"/>
              <w:jc w:val="both"/>
              <w:rPr>
                <w:rFonts w:cs="Arial"/>
                <w:szCs w:val="24"/>
                <w:lang w:val="en-CA"/>
              </w:rPr>
            </w:pPr>
          </w:p>
        </w:tc>
      </w:tr>
      <w:tr w:rsidR="009C4668" w14:paraId="006813E2" w14:textId="77777777" w:rsidTr="002159AA">
        <w:tc>
          <w:tcPr>
            <w:tcW w:w="4770" w:type="dxa"/>
            <w:tcBorders>
              <w:top w:val="single" w:sz="4" w:space="0" w:color="auto"/>
            </w:tcBorders>
          </w:tcPr>
          <w:p w14:paraId="26E6D437" w14:textId="77777777" w:rsidR="009C4668" w:rsidRPr="004F58D6" w:rsidRDefault="009C4668" w:rsidP="00887EEB">
            <w:pPr>
              <w:spacing w:line="240" w:lineRule="auto"/>
              <w:jc w:val="both"/>
              <w:rPr>
                <w:rFonts w:cs="Arial"/>
                <w:szCs w:val="24"/>
                <w:lang w:val="en-CA"/>
              </w:rPr>
            </w:pPr>
            <w:r w:rsidRPr="004F58D6">
              <w:rPr>
                <w:rFonts w:cs="Arial"/>
                <w:szCs w:val="24"/>
                <w:lang w:val="en-CA"/>
              </w:rPr>
              <w:t xml:space="preserve">Myriam Villeneuve, Clerk at the hearing </w:t>
            </w:r>
          </w:p>
        </w:tc>
      </w:tr>
    </w:tbl>
    <w:p w14:paraId="33CF66AC" w14:textId="77777777" w:rsidR="009C4668" w:rsidRPr="004F58D6" w:rsidRDefault="009C4668" w:rsidP="002C7179">
      <w:pPr>
        <w:spacing w:after="160" w:line="259" w:lineRule="auto"/>
        <w:rPr>
          <w:rFonts w:cs="Arial"/>
          <w:szCs w:val="24"/>
          <w:lang w:val="en-CA"/>
        </w:rPr>
      </w:pPr>
    </w:p>
    <w:p w14:paraId="36A29659" w14:textId="77777777" w:rsidR="009C4668" w:rsidRPr="004F58D6" w:rsidRDefault="009C4668">
      <w:pPr>
        <w:spacing w:line="240" w:lineRule="auto"/>
        <w:rPr>
          <w:rFonts w:cs="Arial"/>
          <w:szCs w:val="24"/>
          <w:lang w:val="en-CA"/>
        </w:rPr>
      </w:pPr>
      <w:r w:rsidRPr="004F58D6">
        <w:rPr>
          <w:rFonts w:cs="Arial"/>
          <w:szCs w:val="24"/>
          <w:lang w:val="en-CA"/>
        </w:rPr>
        <w:br w:type="page"/>
      </w:r>
    </w:p>
    <w:tbl>
      <w:tblPr>
        <w:tblStyle w:val="Grilledutableau1"/>
        <w:tblW w:w="9360" w:type="dxa"/>
        <w:tblBorders>
          <w:top w:val="single" w:sz="8" w:space="0" w:color="auto"/>
          <w:bottom w:val="single" w:sz="8" w:space="0" w:color="auto"/>
        </w:tblBorders>
        <w:tblLook w:val="04A0" w:firstRow="1" w:lastRow="0" w:firstColumn="1" w:lastColumn="0" w:noHBand="0" w:noVBand="1"/>
      </w:tblPr>
      <w:tblGrid>
        <w:gridCol w:w="9360"/>
      </w:tblGrid>
      <w:tr w:rsidR="009C4668" w14:paraId="2F533D33" w14:textId="77777777" w:rsidTr="00FB3369">
        <w:tc>
          <w:tcPr>
            <w:tcW w:w="9360" w:type="dxa"/>
            <w:vAlign w:val="center"/>
          </w:tcPr>
          <w:p w14:paraId="166EAF99" w14:textId="77777777" w:rsidR="009C4668" w:rsidRPr="004F58D6" w:rsidRDefault="009C4668" w:rsidP="00887EEB">
            <w:pPr>
              <w:spacing w:before="240" w:after="240" w:line="240" w:lineRule="exact"/>
              <w:jc w:val="center"/>
              <w:rPr>
                <w:lang w:val="en-CA"/>
              </w:rPr>
            </w:pPr>
            <w:r w:rsidRPr="004F58D6">
              <w:rPr>
                <w:lang w:val="en-CA"/>
              </w:rPr>
              <w:lastRenderedPageBreak/>
              <w:t>JUDGMENT</w:t>
            </w:r>
          </w:p>
        </w:tc>
      </w:tr>
    </w:tbl>
    <w:p w14:paraId="275FA558" w14:textId="77777777" w:rsidR="009C4668" w:rsidRPr="004F58D6" w:rsidRDefault="009C4668" w:rsidP="00887EEB">
      <w:pPr>
        <w:spacing w:line="240" w:lineRule="auto"/>
        <w:jc w:val="both"/>
        <w:rPr>
          <w:lang w:val="en-CA"/>
        </w:rPr>
      </w:pPr>
    </w:p>
    <w:p w14:paraId="1B56F651" w14:textId="77777777" w:rsidR="009C4668" w:rsidRPr="009C4668" w:rsidRDefault="009C4668" w:rsidP="009C4668">
      <w:pPr>
        <w:pStyle w:val="Paragraphe"/>
        <w:numPr>
          <w:ilvl w:val="0"/>
          <w:numId w:val="19"/>
        </w:numPr>
        <w:ind w:left="0"/>
        <w:rPr>
          <w:kern w:val="28"/>
          <w:lang w:val="en-CA"/>
        </w:rPr>
      </w:pPr>
      <w:r w:rsidRPr="009C4668">
        <w:rPr>
          <w:kern w:val="28"/>
          <w:lang w:val="en-CA"/>
        </w:rPr>
        <w:t>The appellant appeals from a judgment in first instance that: (1) recognized a foreign judgment rendered by default in the United States by the United States District Court for the District of Arizona (the “</w:t>
      </w:r>
      <w:r w:rsidRPr="009C4668">
        <w:rPr>
          <w:b/>
          <w:bCs/>
          <w:kern w:val="28"/>
          <w:lang w:val="en-CA"/>
        </w:rPr>
        <w:t>U.S. District Court</w:t>
      </w:r>
      <w:r w:rsidRPr="009C4668">
        <w:rPr>
          <w:kern w:val="28"/>
          <w:lang w:val="en-CA"/>
        </w:rPr>
        <w:t>”);</w:t>
      </w:r>
      <w:r>
        <w:rPr>
          <w:vertAlign w:val="superscript"/>
          <w:lang w:val="en-CA"/>
        </w:rPr>
        <w:footnoteReference w:id="2"/>
      </w:r>
      <w:r w:rsidRPr="009C4668">
        <w:rPr>
          <w:kern w:val="28"/>
          <w:lang w:val="en-CA"/>
        </w:rPr>
        <w:t xml:space="preserve"> (2) declared that judgment to be enforceable in Quebec; and (3) ordered the appellant to pay the respondents damages in the amount of CAD$111,636 (USD$90,000), plus interest at the legal rate and the additional indemnity provided for by law as of the date of service.</w:t>
      </w:r>
      <w:r>
        <w:rPr>
          <w:vertAlign w:val="superscript"/>
          <w:lang w:val="en-CA"/>
        </w:rPr>
        <w:footnoteReference w:id="3"/>
      </w:r>
      <w:r w:rsidRPr="009C4668">
        <w:rPr>
          <w:kern w:val="28"/>
          <w:lang w:val="en-CA"/>
        </w:rPr>
        <w:t xml:space="preserve"> The following is a brief background to this case.</w:t>
      </w:r>
    </w:p>
    <w:p w14:paraId="723430A1" w14:textId="77777777" w:rsidR="009C4668" w:rsidRPr="00F149AB" w:rsidRDefault="009C4668" w:rsidP="00F149AB">
      <w:pPr>
        <w:numPr>
          <w:ilvl w:val="0"/>
          <w:numId w:val="18"/>
        </w:numPr>
        <w:spacing w:before="120" w:after="120" w:line="240" w:lineRule="auto"/>
        <w:ind w:left="0"/>
        <w:jc w:val="both"/>
        <w:rPr>
          <w:kern w:val="28"/>
          <w:lang w:val="en-CA"/>
        </w:rPr>
      </w:pPr>
      <w:r w:rsidRPr="00F149AB">
        <w:rPr>
          <w:kern w:val="28"/>
          <w:lang w:val="en-CA"/>
        </w:rPr>
        <w:t>The respondents are two U.S. companies operating in the field of motion picture production and distribution. They learned that someone was infringing their copyrights by illegally disseminating one of their motion pictures on the Internet to third parties, all from a site hosted in Arizona, and that the income arising therefrom was being paid to an account opened with the online payment intermediary PayPal Inc. (“</w:t>
      </w:r>
      <w:r w:rsidRPr="00F149AB">
        <w:rPr>
          <w:b/>
          <w:bCs/>
          <w:kern w:val="28"/>
          <w:lang w:val="en-CA"/>
        </w:rPr>
        <w:t>PayPal</w:t>
      </w:r>
      <w:r w:rsidRPr="00F149AB">
        <w:rPr>
          <w:kern w:val="28"/>
          <w:lang w:val="en-CA"/>
        </w:rPr>
        <w:t>”). In May 2021, they obtained information from the site’s host (the “</w:t>
      </w:r>
      <w:r w:rsidRPr="00F149AB">
        <w:rPr>
          <w:b/>
          <w:bCs/>
          <w:kern w:val="28"/>
          <w:lang w:val="en-CA"/>
        </w:rPr>
        <w:t>Host</w:t>
      </w:r>
      <w:r w:rsidRPr="00F149AB">
        <w:rPr>
          <w:kern w:val="28"/>
          <w:lang w:val="en-CA"/>
        </w:rPr>
        <w:t xml:space="preserve">”) identifying the person behind the dissemination, including his name, a civic address that seemed to be a hotel, and an email address. They initiated proceedings in Arizona before the U.S. District Court seeking to put a stop to this practice and, in early July 2021, they obtained an </w:t>
      </w:r>
      <w:r w:rsidRPr="00F149AB">
        <w:rPr>
          <w:i/>
          <w:iCs/>
          <w:kern w:val="28"/>
          <w:lang w:val="en-CA"/>
        </w:rPr>
        <w:t>ex parte</w:t>
      </w:r>
      <w:r w:rsidRPr="00F149AB">
        <w:rPr>
          <w:kern w:val="28"/>
          <w:lang w:val="en-CA"/>
        </w:rPr>
        <w:t xml:space="preserve"> order requiring that the Host prevent or terminate the dissemination and that PayPal freeze the payments made for such dissemination or as a result thereof and cease all funds transfers. The order also authorized the respondents to obtain information from PayPal related to the associated account and to serve the proceedings on the appellant by email at the address obtained from the Host, the whole pursuant to the </w:t>
      </w:r>
      <w:r w:rsidRPr="00F149AB">
        <w:rPr>
          <w:i/>
          <w:iCs/>
          <w:kern w:val="28"/>
          <w:lang w:val="en-CA"/>
        </w:rPr>
        <w:t>Federal Rules of Civil Procedure</w:t>
      </w:r>
      <w:r w:rsidRPr="00F149AB">
        <w:rPr>
          <w:kern w:val="28"/>
          <w:lang w:val="en-CA"/>
        </w:rPr>
        <w:t xml:space="preserve"> (the “</w:t>
      </w:r>
      <w:r w:rsidRPr="00F149AB">
        <w:rPr>
          <w:b/>
          <w:bCs/>
          <w:kern w:val="28"/>
          <w:lang w:val="en-CA"/>
        </w:rPr>
        <w:t>Federal Rules</w:t>
      </w:r>
      <w:r w:rsidRPr="00F149AB">
        <w:rPr>
          <w:kern w:val="28"/>
          <w:lang w:val="en-CA"/>
        </w:rPr>
        <w:t>”).</w:t>
      </w:r>
      <w:r>
        <w:rPr>
          <w:kern w:val="28"/>
          <w:vertAlign w:val="superscript"/>
          <w:lang w:val="en-CA"/>
        </w:rPr>
        <w:footnoteReference w:id="4"/>
      </w:r>
      <w:r w:rsidRPr="00F149AB">
        <w:rPr>
          <w:kern w:val="28"/>
          <w:lang w:val="en-CA"/>
        </w:rPr>
        <w:t xml:space="preserve"> A few days later, the respondents, as they had been duly authorized to do, served the pleadings and the order by email to the address indicated in the order, and they obtained confirmation that the email had indeed been received and opened by the addressee. As no one responded to the U.S. proceedings, however, the respondents obtained the U.S. default judgment on the merits in early November 2021.</w:t>
      </w:r>
    </w:p>
    <w:p w14:paraId="573A7AF6" w14:textId="77777777" w:rsidR="009C4668" w:rsidRPr="00F149AB" w:rsidRDefault="009C4668" w:rsidP="00F149AB">
      <w:pPr>
        <w:numPr>
          <w:ilvl w:val="0"/>
          <w:numId w:val="18"/>
        </w:numPr>
        <w:spacing w:before="120" w:after="120" w:line="240" w:lineRule="auto"/>
        <w:ind w:left="0"/>
        <w:jc w:val="both"/>
        <w:rPr>
          <w:kern w:val="28"/>
          <w:lang w:val="en-CA"/>
        </w:rPr>
      </w:pPr>
      <w:r w:rsidRPr="00F149AB">
        <w:rPr>
          <w:kern w:val="28"/>
          <w:lang w:val="en-CA"/>
        </w:rPr>
        <w:t>In September 2022, the respondents hired a private investigation firm and obtained a consumer credit report that confirmed the information identifying the appellant and provided a new civic address for him. In addition, in November</w:t>
      </w:r>
      <w:r>
        <w:rPr>
          <w:kern w:val="28"/>
          <w:lang w:val="en-CA"/>
        </w:rPr>
        <w:t xml:space="preserve"> </w:t>
      </w:r>
      <w:r w:rsidRPr="00F149AB">
        <w:rPr>
          <w:kern w:val="28"/>
          <w:lang w:val="en-CA"/>
        </w:rPr>
        <w:t>2022, they obtained information from PayPal that supported the identification of the appellant.</w:t>
      </w:r>
    </w:p>
    <w:p w14:paraId="798C0D8D" w14:textId="77777777" w:rsidR="009C4668" w:rsidRPr="00F149AB" w:rsidRDefault="009C4668" w:rsidP="00F149AB">
      <w:pPr>
        <w:numPr>
          <w:ilvl w:val="0"/>
          <w:numId w:val="18"/>
        </w:numPr>
        <w:spacing w:before="120" w:after="120" w:line="240" w:lineRule="auto"/>
        <w:ind w:left="0"/>
        <w:jc w:val="both"/>
        <w:rPr>
          <w:kern w:val="28"/>
          <w:lang w:val="en-CA"/>
        </w:rPr>
      </w:pPr>
      <w:r w:rsidRPr="00F149AB">
        <w:rPr>
          <w:kern w:val="28"/>
          <w:lang w:val="en-CA"/>
        </w:rPr>
        <w:lastRenderedPageBreak/>
        <w:t xml:space="preserve">In January 2023, the respondents filed an originating application in Quebec and served it on the appellant at the new civic address they had obtained. The appellant contested the application on the ground of mistaken identity. He alleged that he had no connection with the copyright infringement and claimed that he had never received the email effecting service. After hearing the parties, the judge determined that the requirements set out in arts. 3155 and 3156 </w:t>
      </w:r>
      <w:r w:rsidRPr="00F149AB">
        <w:rPr>
          <w:i/>
          <w:iCs/>
          <w:kern w:val="28"/>
          <w:lang w:val="en-CA"/>
        </w:rPr>
        <w:t>C.C.Q.</w:t>
      </w:r>
      <w:r w:rsidRPr="00F149AB">
        <w:rPr>
          <w:kern w:val="28"/>
          <w:lang w:val="en-CA"/>
        </w:rPr>
        <w:t xml:space="preserve"> for the recognition of a judgment rendered outside Quebec had been met and he granted the application.</w:t>
      </w:r>
    </w:p>
    <w:p w14:paraId="0CF0C06E" w14:textId="77777777" w:rsidR="009C4668" w:rsidRPr="00F149AB" w:rsidRDefault="009C4668" w:rsidP="00F149AB">
      <w:pPr>
        <w:numPr>
          <w:ilvl w:val="0"/>
          <w:numId w:val="18"/>
        </w:numPr>
        <w:spacing w:before="120" w:after="120" w:line="240" w:lineRule="auto"/>
        <w:ind w:left="0"/>
        <w:jc w:val="both"/>
        <w:rPr>
          <w:kern w:val="28"/>
          <w:lang w:val="en-CA"/>
        </w:rPr>
      </w:pPr>
      <w:r w:rsidRPr="00F149AB">
        <w:rPr>
          <w:kern w:val="28"/>
          <w:lang w:val="en-CA"/>
        </w:rPr>
        <w:t>The appellant raises numerous grounds that call into question the judge’s assessment of the evidence, his findings of fact and the application of the relevant principles to his conclusions, but the appellant has not pointed to any palpable and overriding error.</w:t>
      </w:r>
      <w:r>
        <w:rPr>
          <w:kern w:val="28"/>
          <w:vertAlign w:val="superscript"/>
          <w:lang w:val="en-CA"/>
        </w:rPr>
        <w:footnoteReference w:id="5"/>
      </w:r>
      <w:r w:rsidRPr="00F149AB">
        <w:rPr>
          <w:kern w:val="28"/>
          <w:lang w:val="en-CA"/>
        </w:rPr>
        <w:t xml:space="preserve"> He repeats many of the arguments made at first instance and asks for a reassessment of the evidence, inviting the Court to substitute its assessment for that of the trial judge, but that is not the Court’s role.</w:t>
      </w:r>
      <w:r>
        <w:rPr>
          <w:rFonts w:cs="Arial"/>
          <w:color w:val="000000"/>
          <w:kern w:val="28"/>
          <w:vertAlign w:val="superscript"/>
          <w:lang w:val="en-CA"/>
        </w:rPr>
        <w:footnoteReference w:id="6"/>
      </w:r>
    </w:p>
    <w:p w14:paraId="0B12E626" w14:textId="77777777" w:rsidR="009C4668" w:rsidRPr="00F149AB" w:rsidRDefault="009C4668" w:rsidP="00F149AB">
      <w:pPr>
        <w:numPr>
          <w:ilvl w:val="0"/>
          <w:numId w:val="18"/>
        </w:numPr>
        <w:spacing w:before="120" w:after="120" w:line="240" w:lineRule="auto"/>
        <w:ind w:left="0"/>
        <w:jc w:val="both"/>
        <w:rPr>
          <w:kern w:val="28"/>
          <w:lang w:val="en-CA"/>
        </w:rPr>
      </w:pPr>
      <w:r w:rsidRPr="00F149AB">
        <w:rPr>
          <w:kern w:val="28"/>
          <w:lang w:val="en-CA"/>
        </w:rPr>
        <w:t>The judge did not accept the appellant’s version, finding that it was not credible because [</w:t>
      </w:r>
      <w:r w:rsidRPr="00F149AB">
        <w:rPr>
          <w:smallCaps/>
          <w:kern w:val="28"/>
          <w:lang w:val="en-CA"/>
        </w:rPr>
        <w:t>translation</w:t>
      </w:r>
      <w:r w:rsidRPr="00F149AB">
        <w:rPr>
          <w:kern w:val="28"/>
          <w:lang w:val="en-CA"/>
        </w:rPr>
        <w:t>] “[m]uch evidence from different sources supports the conclusion that Mr. </w:t>
      </w:r>
      <w:r w:rsidRPr="00F149AB">
        <w:rPr>
          <w:rFonts w:cs="Arial"/>
          <w:color w:val="000000"/>
          <w:kern w:val="28"/>
          <w:lang w:val="en-CA"/>
        </w:rPr>
        <w:t>Niu</w:t>
      </w:r>
      <w:r w:rsidRPr="00F149AB">
        <w:rPr>
          <w:kern w:val="28"/>
          <w:lang w:val="en-CA"/>
        </w:rPr>
        <w:t xml:space="preserve"> is the person who set up the websites and that he contracted with PayPal to administer payments for users of these websites”.</w:t>
      </w:r>
      <w:r>
        <w:rPr>
          <w:kern w:val="28"/>
          <w:vertAlign w:val="superscript"/>
          <w:lang w:val="en-CA"/>
        </w:rPr>
        <w:footnoteReference w:id="7"/>
      </w:r>
      <w:r w:rsidRPr="00F149AB">
        <w:rPr>
          <w:kern w:val="28"/>
          <w:lang w:val="en-CA"/>
        </w:rPr>
        <w:t xml:space="preserve"> The information came from three independent sources – the Host, the payment intermediary PayPal, and the consumer credit report – all of which linked the appellant to the email address to which service had been effected. Moreover, there is no objective evidence to support the appellant’s version or to dissociate him from the identifying information obtained from neutral third parties (telephone number, payments received by PayPal, civic addresses and emails). The appellant nevertheless affirms that there is no direct evidence linking him to the email address, that there is a risk of fraud or identity theft and that he should have the benefit of any doubt in this regard. He is mistaken because, as the judge held, the applicable evidentiary burden in civil matters is proof on a balance of probabilities. Additionally, art. 3156 para. 2 </w:t>
      </w:r>
      <w:r w:rsidRPr="00F149AB">
        <w:rPr>
          <w:i/>
          <w:iCs/>
          <w:kern w:val="28"/>
          <w:lang w:val="en-CA"/>
        </w:rPr>
        <w:t>C.C.Q.</w:t>
      </w:r>
      <w:r w:rsidRPr="00F149AB">
        <w:rPr>
          <w:kern w:val="28"/>
          <w:lang w:val="en-CA"/>
        </w:rPr>
        <w:t xml:space="preserve"> clearly provides that the party against whom a judgment by default has been rendered has the burden of proving that “owing to the circumstances, he was unable to acquaint himself with the act instituting the proceedings”,</w:t>
      </w:r>
      <w:r>
        <w:rPr>
          <w:kern w:val="28"/>
          <w:vertAlign w:val="superscript"/>
        </w:rPr>
        <w:footnoteReference w:id="8"/>
      </w:r>
      <w:r w:rsidRPr="00F149AB">
        <w:rPr>
          <w:kern w:val="28"/>
          <w:lang w:val="en-CA"/>
        </w:rPr>
        <w:t xml:space="preserve"> something the appellant has manifestly not succeeded in doing.</w:t>
      </w:r>
    </w:p>
    <w:p w14:paraId="6F13FD65" w14:textId="77777777" w:rsidR="009C4668" w:rsidRPr="00F149AB" w:rsidRDefault="009C4668" w:rsidP="00F149AB">
      <w:pPr>
        <w:numPr>
          <w:ilvl w:val="0"/>
          <w:numId w:val="18"/>
        </w:numPr>
        <w:spacing w:before="120" w:after="120" w:line="240" w:lineRule="auto"/>
        <w:ind w:left="0"/>
        <w:jc w:val="both"/>
        <w:rPr>
          <w:kern w:val="28"/>
          <w:lang w:val="en-CA"/>
        </w:rPr>
      </w:pPr>
      <w:r w:rsidRPr="00F149AB">
        <w:rPr>
          <w:kern w:val="28"/>
          <w:lang w:val="en-CA"/>
        </w:rPr>
        <w:t xml:space="preserve">The appellant submits that the consumer credit report obtained by the respondents is a violation of his privacy and should be excluded. This argument, which was not raised at first instance, has no merit. There is no evidence that the information was obtained without the appellant’s consent, nor that he did not authorize the sharing thereof, as it is information pertaining to his credit. Thus, he has not convinced the Court </w:t>
      </w:r>
      <w:r w:rsidRPr="00F149AB">
        <w:rPr>
          <w:kern w:val="28"/>
          <w:lang w:val="en-CA"/>
        </w:rPr>
        <w:lastRenderedPageBreak/>
        <w:t>that the evidence was obtained “under such circumstances that fundamental rights and freedoms are violated”.</w:t>
      </w:r>
      <w:r>
        <w:rPr>
          <w:kern w:val="28"/>
          <w:vertAlign w:val="superscript"/>
          <w:lang w:val="en-CA"/>
        </w:rPr>
        <w:footnoteReference w:id="9"/>
      </w:r>
      <w:r w:rsidRPr="00F149AB">
        <w:rPr>
          <w:kern w:val="28"/>
          <w:lang w:val="en-CA"/>
        </w:rPr>
        <w:t xml:space="preserve"> Moreover, nothing indicates that the use of this evidence “would tend to bring the administration of justice into disrepute”.</w:t>
      </w:r>
      <w:r>
        <w:rPr>
          <w:kern w:val="28"/>
          <w:vertAlign w:val="superscript"/>
          <w:lang w:val="en-CA"/>
        </w:rPr>
        <w:footnoteReference w:id="10"/>
      </w:r>
    </w:p>
    <w:p w14:paraId="6CECF15E" w14:textId="77777777" w:rsidR="009C4668" w:rsidRPr="00F149AB" w:rsidRDefault="009C4668" w:rsidP="00F149AB">
      <w:pPr>
        <w:numPr>
          <w:ilvl w:val="0"/>
          <w:numId w:val="18"/>
        </w:numPr>
        <w:spacing w:before="120" w:after="120" w:line="240" w:lineRule="auto"/>
        <w:ind w:left="0"/>
        <w:jc w:val="both"/>
        <w:rPr>
          <w:kern w:val="28"/>
          <w:lang w:val="en-CA"/>
        </w:rPr>
      </w:pPr>
      <w:r w:rsidRPr="00F149AB">
        <w:rPr>
          <w:kern w:val="28"/>
          <w:lang w:val="en-CA"/>
        </w:rPr>
        <w:t>To support his allegation of identity theft, he further points out that the consumer credit report contains the annotation “05Aug2021 #HK# POTENTIAL FRAUD VICTIM BEFORE EXTENDING CREDIT VERIFY ALL APPLICANT INFORMATION CONTACT CONSUMER […]”.</w:t>
      </w:r>
      <w:r>
        <w:rPr>
          <w:kern w:val="28"/>
          <w:vertAlign w:val="superscript"/>
          <w:lang w:val="en-CA"/>
        </w:rPr>
        <w:footnoteReference w:id="11"/>
      </w:r>
      <w:r w:rsidRPr="00F149AB">
        <w:rPr>
          <w:kern w:val="28"/>
          <w:lang w:val="en-CA"/>
        </w:rPr>
        <w:t xml:space="preserve"> This annotation, however, which is subsequent to the date on which the appellant’s email address was obtained from the Host, does not provide any details on the type of potential fraud, nor does it lead to the conclusion that the personal data provided by the Host and PayPal is incorrect.</w:t>
      </w:r>
    </w:p>
    <w:p w14:paraId="58F48FB8" w14:textId="77777777" w:rsidR="009C4668" w:rsidRPr="00F149AB" w:rsidRDefault="009C4668" w:rsidP="00F149AB">
      <w:pPr>
        <w:numPr>
          <w:ilvl w:val="0"/>
          <w:numId w:val="18"/>
        </w:numPr>
        <w:spacing w:before="120" w:after="120" w:line="240" w:lineRule="auto"/>
        <w:ind w:left="0"/>
        <w:jc w:val="both"/>
        <w:rPr>
          <w:kern w:val="28"/>
          <w:lang w:val="en-CA"/>
        </w:rPr>
      </w:pPr>
      <w:r w:rsidRPr="00F149AB">
        <w:rPr>
          <w:kern w:val="28"/>
          <w:lang w:val="en-CA"/>
        </w:rPr>
        <w:t>Consequently, the judge was justified in concluding that the evidence shows that [</w:t>
      </w:r>
      <w:r w:rsidRPr="00F149AB">
        <w:rPr>
          <w:smallCaps/>
          <w:kern w:val="28"/>
          <w:lang w:val="en-CA"/>
        </w:rPr>
        <w:t>translation</w:t>
      </w:r>
      <w:r w:rsidRPr="00F149AB">
        <w:rPr>
          <w:kern w:val="28"/>
          <w:lang w:val="en-CA"/>
        </w:rPr>
        <w:t>] “the pleadings were sent and the emails were received and opened”</w:t>
      </w:r>
      <w:r>
        <w:rPr>
          <w:kern w:val="28"/>
          <w:vertAlign w:val="superscript"/>
          <w:lang w:val="en-CA"/>
        </w:rPr>
        <w:footnoteReference w:id="12"/>
      </w:r>
      <w:r w:rsidRPr="00F149AB">
        <w:rPr>
          <w:kern w:val="28"/>
          <w:lang w:val="en-CA"/>
        </w:rPr>
        <w:t xml:space="preserve"> at an email address controlled by the appellant, whereas the latter [</w:t>
      </w:r>
      <w:r w:rsidRPr="00F149AB">
        <w:rPr>
          <w:smallCaps/>
          <w:kern w:val="28"/>
          <w:lang w:val="en-CA"/>
        </w:rPr>
        <w:t>translation</w:t>
      </w:r>
      <w:r w:rsidRPr="00F149AB">
        <w:rPr>
          <w:kern w:val="28"/>
          <w:lang w:val="en-CA"/>
        </w:rPr>
        <w:t>] “did not convince the Court [...] [that he] was unable to acquaint himself with the act instituting the proceedings”.</w:t>
      </w:r>
      <w:r>
        <w:rPr>
          <w:kern w:val="28"/>
          <w:vertAlign w:val="superscript"/>
          <w:lang w:val="en-CA"/>
        </w:rPr>
        <w:footnoteReference w:id="13"/>
      </w:r>
    </w:p>
    <w:p w14:paraId="393A6754" w14:textId="77777777" w:rsidR="009C4668" w:rsidRPr="00F149AB" w:rsidRDefault="009C4668" w:rsidP="00F149AB">
      <w:pPr>
        <w:numPr>
          <w:ilvl w:val="0"/>
          <w:numId w:val="18"/>
        </w:numPr>
        <w:tabs>
          <w:tab w:val="clear" w:pos="990"/>
          <w:tab w:val="num" w:pos="720"/>
        </w:tabs>
        <w:spacing w:before="120" w:after="120" w:line="240" w:lineRule="auto"/>
        <w:ind w:left="0"/>
        <w:jc w:val="both"/>
        <w:rPr>
          <w:kern w:val="28"/>
          <w:lang w:val="en-CA"/>
        </w:rPr>
      </w:pPr>
      <w:r w:rsidRPr="00F149AB">
        <w:rPr>
          <w:kern w:val="28"/>
          <w:lang w:val="en-CA"/>
        </w:rPr>
        <w:t>As to whether the service that preceded the U.S. judgment rendered by default was duly effected, the judge rightly stated that this question must be analyzed in light of U.S. law applicable in the state of Arizona and that the party seeking the recognition and enforcement of the foreign decision has the burden of proving that service was duly effected.</w:t>
      </w:r>
      <w:r>
        <w:rPr>
          <w:kern w:val="28"/>
          <w:vertAlign w:val="superscript"/>
          <w:lang w:val="en-CA"/>
        </w:rPr>
        <w:footnoteReference w:id="14"/>
      </w:r>
      <w:r w:rsidRPr="00F149AB">
        <w:rPr>
          <w:kern w:val="28"/>
          <w:lang w:val="en-CA"/>
        </w:rPr>
        <w:t xml:space="preserve"> The uncontradicted evidence shows that [</w:t>
      </w:r>
      <w:r w:rsidRPr="00F149AB">
        <w:rPr>
          <w:smallCaps/>
          <w:kern w:val="28"/>
          <w:lang w:val="en-CA"/>
        </w:rPr>
        <w:t>translation</w:t>
      </w:r>
      <w:r w:rsidRPr="00F149AB">
        <w:rPr>
          <w:kern w:val="28"/>
          <w:lang w:val="en-CA"/>
        </w:rPr>
        <w:t>] “when he [the respondents’ lawyer] sought permission to effect notification by email, he did not know the address of Mr. </w:t>
      </w:r>
      <w:r w:rsidRPr="00F149AB">
        <w:rPr>
          <w:rFonts w:eastAsia="Yu Gothic Light"/>
          <w:kern w:val="28"/>
          <w:lang w:val="en-CA"/>
        </w:rPr>
        <w:t>Niu [the appellant],</w:t>
      </w:r>
      <w:r w:rsidRPr="00F149AB">
        <w:rPr>
          <w:kern w:val="28"/>
          <w:lang w:val="en-CA"/>
        </w:rPr>
        <w:t xml:space="preserve"> because the address Mr. </w:t>
      </w:r>
      <w:r w:rsidRPr="00F149AB">
        <w:rPr>
          <w:rFonts w:eastAsia="Yu Gothic Light"/>
          <w:kern w:val="28"/>
          <w:lang w:val="en-CA"/>
        </w:rPr>
        <w:t>Niu</w:t>
      </w:r>
      <w:r w:rsidRPr="00F149AB">
        <w:rPr>
          <w:kern w:val="28"/>
          <w:lang w:val="en-CA"/>
        </w:rPr>
        <w:t xml:space="preserve"> had provided to Namecheap [the Host] was the address of a hotel”.</w:t>
      </w:r>
      <w:r>
        <w:rPr>
          <w:kern w:val="28"/>
          <w:vertAlign w:val="superscript"/>
          <w:lang w:val="en-CA"/>
        </w:rPr>
        <w:footnoteReference w:id="15"/>
      </w:r>
      <w:r w:rsidRPr="00F149AB">
        <w:rPr>
          <w:kern w:val="28"/>
          <w:lang w:val="en-CA"/>
        </w:rPr>
        <w:t xml:space="preserve"> As set out in the second paragraph of Article 1 of the </w:t>
      </w:r>
      <w:r w:rsidRPr="00F149AB">
        <w:rPr>
          <w:i/>
          <w:iCs/>
          <w:kern w:val="28"/>
          <w:lang w:val="en-CA"/>
        </w:rPr>
        <w:t>Convention</w:t>
      </w:r>
      <w:r>
        <w:rPr>
          <w:i/>
          <w:iCs/>
          <w:kern w:val="28"/>
          <w:lang w:val="en-CA"/>
        </w:rPr>
        <w:t xml:space="preserve"> </w:t>
      </w:r>
      <w:r w:rsidRPr="00F149AB">
        <w:rPr>
          <w:i/>
          <w:iCs/>
          <w:kern w:val="28"/>
          <w:lang w:val="en-CA"/>
        </w:rPr>
        <w:t>of 15 November 1965 on the Service Abroad of Judicial and Extrajudicial Documents in Civil or Commercial Matters</w:t>
      </w:r>
      <w:r>
        <w:rPr>
          <w:i/>
          <w:iCs/>
          <w:kern w:val="28"/>
          <w:vertAlign w:val="superscript"/>
          <w:lang w:val="en-CA"/>
        </w:rPr>
        <w:footnoteReference w:id="16"/>
      </w:r>
      <w:r w:rsidRPr="00F149AB">
        <w:rPr>
          <w:kern w:val="28"/>
          <w:lang w:val="en-CA"/>
        </w:rPr>
        <w:t xml:space="preserve"> (the “</w:t>
      </w:r>
      <w:r w:rsidRPr="00F149AB">
        <w:rPr>
          <w:b/>
          <w:bCs/>
          <w:kern w:val="28"/>
          <w:lang w:val="en-CA"/>
        </w:rPr>
        <w:t>Convention</w:t>
      </w:r>
      <w:r w:rsidRPr="00F149AB">
        <w:rPr>
          <w:kern w:val="28"/>
          <w:lang w:val="en-CA"/>
        </w:rPr>
        <w:t>”), the Convention does not apply “where the address of the person to be served with the document is not known”.</w:t>
      </w:r>
      <w:r>
        <w:rPr>
          <w:kern w:val="28"/>
          <w:vertAlign w:val="superscript"/>
          <w:lang w:val="en-CA"/>
        </w:rPr>
        <w:footnoteReference w:id="17"/>
      </w:r>
    </w:p>
    <w:p w14:paraId="109AC10F" w14:textId="77777777" w:rsidR="009C4668" w:rsidRPr="00F149AB" w:rsidRDefault="009C4668" w:rsidP="00F149AB">
      <w:pPr>
        <w:numPr>
          <w:ilvl w:val="0"/>
          <w:numId w:val="18"/>
        </w:numPr>
        <w:tabs>
          <w:tab w:val="clear" w:pos="990"/>
          <w:tab w:val="num" w:pos="720"/>
        </w:tabs>
        <w:spacing w:before="120" w:after="120" w:line="240" w:lineRule="auto"/>
        <w:ind w:left="0"/>
        <w:jc w:val="both"/>
        <w:rPr>
          <w:kern w:val="28"/>
          <w:lang w:val="en-CA"/>
        </w:rPr>
      </w:pPr>
      <w:r w:rsidRPr="00F149AB">
        <w:rPr>
          <w:kern w:val="28"/>
          <w:lang w:val="en-CA"/>
        </w:rPr>
        <w:lastRenderedPageBreak/>
        <w:t xml:space="preserve"> U.S. law allows U.S. courts to authorize service by email in situations such as the one here, even when no other method of service has been attempted.</w:t>
      </w:r>
      <w:r>
        <w:rPr>
          <w:kern w:val="28"/>
          <w:vertAlign w:val="superscript"/>
          <w:lang w:val="en-CA"/>
        </w:rPr>
        <w:footnoteReference w:id="18"/>
      </w:r>
      <w:r w:rsidRPr="00F149AB">
        <w:rPr>
          <w:kern w:val="28"/>
          <w:lang w:val="en-CA"/>
        </w:rPr>
        <w:t xml:space="preserve"> Thus, in all cases, determining whether the originating pleading was duly served is to be established “in accordance with the law of the place where the decision [by default] was rendered”.</w:t>
      </w:r>
      <w:r>
        <w:rPr>
          <w:kern w:val="28"/>
          <w:vertAlign w:val="superscript"/>
          <w:lang w:val="en-CA"/>
        </w:rPr>
        <w:footnoteReference w:id="19"/>
      </w:r>
    </w:p>
    <w:p w14:paraId="1BED1120" w14:textId="77777777" w:rsidR="009C4668" w:rsidRPr="00F149AB" w:rsidRDefault="009C4668" w:rsidP="00F149AB">
      <w:pPr>
        <w:numPr>
          <w:ilvl w:val="0"/>
          <w:numId w:val="18"/>
        </w:numPr>
        <w:tabs>
          <w:tab w:val="clear" w:pos="990"/>
          <w:tab w:val="num" w:pos="720"/>
        </w:tabs>
        <w:spacing w:before="120" w:after="120" w:line="240" w:lineRule="auto"/>
        <w:ind w:left="0"/>
        <w:jc w:val="both"/>
        <w:rPr>
          <w:kern w:val="28"/>
          <w:lang w:val="en-CA"/>
        </w:rPr>
      </w:pPr>
      <w:r w:rsidRPr="00F149AB">
        <w:rPr>
          <w:kern w:val="28"/>
          <w:lang w:val="en-CA"/>
        </w:rPr>
        <w:t>In this regard, the appellant has attempted to cast doubt on the credibility of the U.S. attorney who signed the affidavit establishing the applicable U.S. law, arguing that he represents the respondents, which puts him in a situation of conflict of interest. This allegation cannot stand, given that the attorney is a professional subject to a code of ethics and that his explanation of U.S. law is supported by legislation and case law. Moreover, the appellant did not submit any evidence to contradict him.</w:t>
      </w:r>
    </w:p>
    <w:p w14:paraId="70B6C6B3" w14:textId="77777777" w:rsidR="009C4668" w:rsidRPr="00F149AB" w:rsidRDefault="009C4668" w:rsidP="00F149AB">
      <w:pPr>
        <w:spacing w:before="120" w:after="120" w:line="240" w:lineRule="auto"/>
        <w:jc w:val="both"/>
        <w:rPr>
          <w:rFonts w:cs="Arial"/>
          <w:color w:val="000000"/>
          <w:kern w:val="28"/>
          <w:szCs w:val="24"/>
          <w:lang w:val="en-CA" w:eastAsia="en-US"/>
        </w:rPr>
      </w:pPr>
      <w:r w:rsidRPr="00F149AB">
        <w:rPr>
          <w:rFonts w:cs="Arial"/>
          <w:b/>
          <w:bCs/>
          <w:color w:val="000000"/>
          <w:kern w:val="28"/>
          <w:szCs w:val="24"/>
          <w:lang w:val="en-CA" w:eastAsia="en-US"/>
        </w:rPr>
        <w:t>FOR THESE REASONS, THE COURT:</w:t>
      </w:r>
      <w:r w:rsidRPr="00F149AB">
        <w:rPr>
          <w:rFonts w:cs="Arial"/>
          <w:color w:val="000000"/>
          <w:kern w:val="28"/>
          <w:szCs w:val="24"/>
          <w:lang w:val="en-CA" w:eastAsia="en-US"/>
        </w:rPr>
        <w:t xml:space="preserve"> </w:t>
      </w:r>
    </w:p>
    <w:p w14:paraId="2EF1A535" w14:textId="77777777" w:rsidR="009C4668" w:rsidRPr="00F149AB" w:rsidRDefault="009C4668" w:rsidP="00F149AB">
      <w:pPr>
        <w:numPr>
          <w:ilvl w:val="0"/>
          <w:numId w:val="18"/>
        </w:numPr>
        <w:spacing w:before="120" w:after="120" w:line="240" w:lineRule="auto"/>
        <w:ind w:left="0"/>
        <w:jc w:val="both"/>
        <w:rPr>
          <w:kern w:val="28"/>
          <w:lang w:val="en-CA"/>
        </w:rPr>
      </w:pPr>
      <w:r w:rsidRPr="00F149AB">
        <w:rPr>
          <w:b/>
          <w:bCs/>
          <w:kern w:val="28"/>
          <w:lang w:val="en-CA"/>
        </w:rPr>
        <w:t>DISMISSES</w:t>
      </w:r>
      <w:r w:rsidRPr="00F149AB">
        <w:rPr>
          <w:kern w:val="28"/>
          <w:lang w:val="en-CA"/>
        </w:rPr>
        <w:t xml:space="preserve"> the appeal, with legal costs.</w:t>
      </w:r>
    </w:p>
    <w:p w14:paraId="075BB68D" w14:textId="77777777" w:rsidR="009C4668" w:rsidRPr="00F149AB" w:rsidRDefault="009C4668" w:rsidP="00F149AB">
      <w:pPr>
        <w:spacing w:before="120" w:after="120" w:line="240" w:lineRule="auto"/>
        <w:jc w:val="both"/>
        <w:rPr>
          <w:kern w:val="28"/>
          <w:lang w:val="en-CA"/>
        </w:rPr>
      </w:pPr>
    </w:p>
    <w:p w14:paraId="6476FFF5" w14:textId="77777777" w:rsidR="009C4668" w:rsidRPr="00F149AB" w:rsidRDefault="009C4668" w:rsidP="00F149AB">
      <w:pPr>
        <w:spacing w:line="240" w:lineRule="auto"/>
        <w:rPr>
          <w:kern w:val="28"/>
          <w:lang w:val="en-CA"/>
        </w:rPr>
      </w:pPr>
    </w:p>
    <w:tbl>
      <w:tblPr>
        <w:tblW w:w="9360" w:type="dxa"/>
        <w:tblLayout w:type="fixed"/>
        <w:tblCellMar>
          <w:left w:w="70" w:type="dxa"/>
          <w:right w:w="70" w:type="dxa"/>
        </w:tblCellMar>
        <w:tblLook w:val="0000" w:firstRow="0" w:lastRow="0" w:firstColumn="0" w:lastColumn="0" w:noHBand="0" w:noVBand="0"/>
      </w:tblPr>
      <w:tblGrid>
        <w:gridCol w:w="4500"/>
        <w:gridCol w:w="4860"/>
      </w:tblGrid>
      <w:tr w:rsidR="009C4668" w14:paraId="6F6844FC" w14:textId="77777777" w:rsidTr="00FB3369">
        <w:tc>
          <w:tcPr>
            <w:tcW w:w="4500" w:type="dxa"/>
          </w:tcPr>
          <w:p w14:paraId="444657CF" w14:textId="77777777" w:rsidR="009C4668" w:rsidRPr="004F58D6" w:rsidRDefault="009C4668" w:rsidP="00887EEB">
            <w:pPr>
              <w:keepNext/>
              <w:spacing w:line="240" w:lineRule="auto"/>
              <w:jc w:val="both"/>
              <w:rPr>
                <w:rFonts w:cs="Arial"/>
                <w:szCs w:val="24"/>
                <w:lang w:val="en-CA"/>
              </w:rPr>
            </w:pPr>
          </w:p>
        </w:tc>
        <w:tc>
          <w:tcPr>
            <w:tcW w:w="4860" w:type="dxa"/>
            <w:tcBorders>
              <w:top w:val="single" w:sz="4" w:space="0" w:color="auto"/>
            </w:tcBorders>
          </w:tcPr>
          <w:p w14:paraId="59A37910" w14:textId="77777777" w:rsidR="009C4668" w:rsidRPr="00F149AB" w:rsidRDefault="009C4668" w:rsidP="00887EEB">
            <w:pPr>
              <w:keepNext/>
              <w:spacing w:line="240" w:lineRule="auto"/>
              <w:rPr>
                <w:rFonts w:cs="Arial"/>
                <w:caps/>
                <w:szCs w:val="24"/>
              </w:rPr>
            </w:pPr>
            <w:r w:rsidRPr="00F149AB">
              <w:rPr>
                <w:rFonts w:cs="Arial"/>
                <w:caps/>
                <w:szCs w:val="24"/>
              </w:rPr>
              <w:t>ROBERT M. MAINVILLE, J.A.</w:t>
            </w:r>
          </w:p>
        </w:tc>
      </w:tr>
    </w:tbl>
    <w:p w14:paraId="0E2B6026" w14:textId="77777777" w:rsidR="009C4668" w:rsidRPr="00F149AB" w:rsidRDefault="009C4668" w:rsidP="00887EEB">
      <w:pPr>
        <w:keepNext/>
        <w:spacing w:line="240" w:lineRule="auto"/>
        <w:jc w:val="both"/>
        <w:rPr>
          <w:rFonts w:cs="Arial"/>
          <w:szCs w:val="24"/>
        </w:rPr>
      </w:pPr>
    </w:p>
    <w:p w14:paraId="31145B29" w14:textId="77777777" w:rsidR="009C4668" w:rsidRPr="00F149AB" w:rsidRDefault="009C4668" w:rsidP="00887EEB">
      <w:pPr>
        <w:keepNext/>
        <w:spacing w:line="240" w:lineRule="auto"/>
        <w:jc w:val="both"/>
        <w:rPr>
          <w:rFonts w:cs="Arial"/>
          <w:szCs w:val="24"/>
        </w:rPr>
      </w:pPr>
    </w:p>
    <w:tbl>
      <w:tblPr>
        <w:tblW w:w="9360" w:type="dxa"/>
        <w:tblLayout w:type="fixed"/>
        <w:tblCellMar>
          <w:left w:w="70" w:type="dxa"/>
          <w:right w:w="70" w:type="dxa"/>
        </w:tblCellMar>
        <w:tblLook w:val="0000" w:firstRow="0" w:lastRow="0" w:firstColumn="0" w:lastColumn="0" w:noHBand="0" w:noVBand="0"/>
      </w:tblPr>
      <w:tblGrid>
        <w:gridCol w:w="4500"/>
        <w:gridCol w:w="4860"/>
      </w:tblGrid>
      <w:tr w:rsidR="009C4668" w14:paraId="5F16514A" w14:textId="77777777" w:rsidTr="00FB3369">
        <w:tc>
          <w:tcPr>
            <w:tcW w:w="4500" w:type="dxa"/>
          </w:tcPr>
          <w:p w14:paraId="74FA0710" w14:textId="77777777" w:rsidR="009C4668" w:rsidRPr="00F149AB" w:rsidRDefault="009C4668" w:rsidP="00887EEB">
            <w:pPr>
              <w:keepNext/>
              <w:spacing w:line="240" w:lineRule="auto"/>
              <w:jc w:val="both"/>
              <w:rPr>
                <w:rFonts w:cs="Arial"/>
                <w:szCs w:val="24"/>
              </w:rPr>
            </w:pPr>
          </w:p>
        </w:tc>
        <w:tc>
          <w:tcPr>
            <w:tcW w:w="4860" w:type="dxa"/>
            <w:tcBorders>
              <w:top w:val="single" w:sz="4" w:space="0" w:color="auto"/>
            </w:tcBorders>
          </w:tcPr>
          <w:p w14:paraId="36EDE27B" w14:textId="77777777" w:rsidR="009C4668" w:rsidRPr="004F58D6" w:rsidRDefault="009C4668" w:rsidP="00887EEB">
            <w:pPr>
              <w:keepNext/>
              <w:spacing w:line="240" w:lineRule="auto"/>
              <w:rPr>
                <w:rFonts w:cs="Arial"/>
                <w:caps/>
                <w:szCs w:val="24"/>
                <w:lang w:val="en-CA"/>
              </w:rPr>
            </w:pPr>
            <w:r w:rsidRPr="00CA345E">
              <w:rPr>
                <w:rFonts w:cs="Arial"/>
                <w:caps/>
                <w:szCs w:val="24"/>
                <w:lang w:val="en-CA"/>
              </w:rPr>
              <w:t>CHRISTINE BAUDOUIN, J.A.</w:t>
            </w:r>
          </w:p>
        </w:tc>
      </w:tr>
    </w:tbl>
    <w:p w14:paraId="76395E18" w14:textId="77777777" w:rsidR="009C4668" w:rsidRPr="004F58D6" w:rsidRDefault="009C4668" w:rsidP="00887EEB">
      <w:pPr>
        <w:keepNext/>
        <w:spacing w:line="240" w:lineRule="auto"/>
        <w:jc w:val="both"/>
        <w:rPr>
          <w:rFonts w:cs="Arial"/>
          <w:szCs w:val="24"/>
          <w:lang w:val="en-CA"/>
        </w:rPr>
      </w:pPr>
    </w:p>
    <w:p w14:paraId="11DBB33C" w14:textId="77777777" w:rsidR="009C4668" w:rsidRPr="004F58D6" w:rsidRDefault="009C4668" w:rsidP="00887EEB">
      <w:pPr>
        <w:keepNext/>
        <w:spacing w:line="240" w:lineRule="auto"/>
        <w:jc w:val="both"/>
        <w:rPr>
          <w:rFonts w:cs="Arial"/>
          <w:szCs w:val="24"/>
          <w:lang w:val="en-CA"/>
        </w:rPr>
      </w:pPr>
    </w:p>
    <w:tbl>
      <w:tblPr>
        <w:tblW w:w="9360" w:type="dxa"/>
        <w:tblLayout w:type="fixed"/>
        <w:tblCellMar>
          <w:left w:w="70" w:type="dxa"/>
          <w:right w:w="70" w:type="dxa"/>
        </w:tblCellMar>
        <w:tblLook w:val="0000" w:firstRow="0" w:lastRow="0" w:firstColumn="0" w:lastColumn="0" w:noHBand="0" w:noVBand="0"/>
      </w:tblPr>
      <w:tblGrid>
        <w:gridCol w:w="4500"/>
        <w:gridCol w:w="4860"/>
      </w:tblGrid>
      <w:tr w:rsidR="009C4668" w14:paraId="34E9E078" w14:textId="77777777" w:rsidTr="00FB3369">
        <w:tc>
          <w:tcPr>
            <w:tcW w:w="4500" w:type="dxa"/>
          </w:tcPr>
          <w:p w14:paraId="3477C9A8" w14:textId="77777777" w:rsidR="009C4668" w:rsidRPr="004F58D6" w:rsidRDefault="009C4668" w:rsidP="00887EEB">
            <w:pPr>
              <w:keepNext/>
              <w:spacing w:line="240" w:lineRule="auto"/>
              <w:jc w:val="both"/>
              <w:rPr>
                <w:rFonts w:cs="Arial"/>
                <w:szCs w:val="24"/>
                <w:lang w:val="en-CA"/>
              </w:rPr>
            </w:pPr>
          </w:p>
        </w:tc>
        <w:tc>
          <w:tcPr>
            <w:tcW w:w="4860" w:type="dxa"/>
            <w:tcBorders>
              <w:top w:val="single" w:sz="4" w:space="0" w:color="auto"/>
            </w:tcBorders>
          </w:tcPr>
          <w:p w14:paraId="72800918" w14:textId="77777777" w:rsidR="009C4668" w:rsidRPr="004F58D6" w:rsidRDefault="009C4668" w:rsidP="00887EEB">
            <w:pPr>
              <w:keepNext/>
              <w:spacing w:line="240" w:lineRule="auto"/>
              <w:rPr>
                <w:rFonts w:cs="Arial"/>
                <w:caps/>
                <w:szCs w:val="24"/>
                <w:lang w:val="en-CA"/>
              </w:rPr>
            </w:pPr>
            <w:r w:rsidRPr="00CA345E">
              <w:rPr>
                <w:rFonts w:cs="Arial"/>
                <w:caps/>
                <w:szCs w:val="24"/>
                <w:lang w:val="en-CA"/>
              </w:rPr>
              <w:t>JUDITH HARVIE, J.A.</w:t>
            </w:r>
          </w:p>
        </w:tc>
      </w:tr>
    </w:tbl>
    <w:p w14:paraId="0B553416" w14:textId="77777777" w:rsidR="009C4668" w:rsidRPr="004F58D6" w:rsidRDefault="009C4668" w:rsidP="00887EEB">
      <w:pPr>
        <w:spacing w:line="240" w:lineRule="auto"/>
        <w:jc w:val="both"/>
        <w:rPr>
          <w:rFonts w:cs="Arial"/>
          <w:szCs w:val="24"/>
          <w:lang w:val="en-CA"/>
        </w:rPr>
      </w:pPr>
    </w:p>
    <w:p w14:paraId="6D2F0872" w14:textId="77777777" w:rsidR="00887EEB" w:rsidRPr="00887EEB" w:rsidRDefault="00887EEB" w:rsidP="00887EEB">
      <w:pPr>
        <w:spacing w:line="240" w:lineRule="auto"/>
        <w:jc w:val="both"/>
        <w:rPr>
          <w:rFonts w:cs="Arial"/>
          <w:szCs w:val="24"/>
          <w:lang w:val="es-ES"/>
        </w:rPr>
      </w:pPr>
    </w:p>
    <w:sectPr w:rsidR="00887EEB" w:rsidRPr="00887EEB" w:rsidSect="009C4668">
      <w:headerReference w:type="default" r:id="rId12"/>
      <w:footerReference w:type="default" r:id="rId13"/>
      <w:footnotePr>
        <w:numRestart w:val="eachSect"/>
      </w:footnotePr>
      <w:pgSz w:w="12242" w:h="15842" w:code="1"/>
      <w:pgMar w:top="720" w:right="1352" w:bottom="1296" w:left="1620" w:header="1440" w:footer="792" w:gutter="0"/>
      <w:pgNumType w:start="1"/>
      <w:cols w:space="720"/>
      <w:formProt w:val="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BC"/>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B86C" w14:textId="77777777" w:rsidR="00466A2C" w:rsidRDefault="00466A2C">
      <w:pPr>
        <w:spacing w:line="240" w:lineRule="auto"/>
      </w:pPr>
      <w:r>
        <w:separator/>
      </w:r>
    </w:p>
  </w:endnote>
  <w:endnote w:type="continuationSeparator" w:id="0">
    <w:p w14:paraId="678E71DD" w14:textId="77777777" w:rsidR="00466A2C" w:rsidRDefault="00466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05C5" w14:textId="77777777" w:rsidR="00241A86" w:rsidRPr="00F149AB" w:rsidRDefault="009C4668" w:rsidP="00263B88">
    <w:pPr>
      <w:pStyle w:val="Pieddepage"/>
      <w:jc w:val="right"/>
      <w:rPr>
        <w:lang w:val="en-CA"/>
      </w:rPr>
    </w:pPr>
    <w:r w:rsidRPr="00F149AB">
      <w:rPr>
        <w:lang w:val="en-CA"/>
      </w:rPr>
      <w:t>English translation of the judgment of the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1DDC" w14:textId="77777777" w:rsidR="00466A2C" w:rsidRDefault="00466A2C">
      <w:r>
        <w:separator/>
      </w:r>
    </w:p>
  </w:footnote>
  <w:footnote w:type="continuationSeparator" w:id="0">
    <w:p w14:paraId="176B8D21" w14:textId="77777777" w:rsidR="00466A2C" w:rsidRDefault="00466A2C">
      <w:r>
        <w:continuationSeparator/>
      </w:r>
    </w:p>
    <w:p w14:paraId="1411E97B" w14:textId="77777777" w:rsidR="00466A2C" w:rsidRDefault="00466A2C"/>
    <w:p w14:paraId="0E36D9E5" w14:textId="77777777" w:rsidR="00466A2C" w:rsidRDefault="00466A2C"/>
  </w:footnote>
  <w:footnote w:type="continuationNotice" w:id="1">
    <w:p w14:paraId="053A99BC" w14:textId="77777777" w:rsidR="00466A2C" w:rsidRDefault="00466A2C">
      <w:pPr>
        <w:spacing w:line="240" w:lineRule="auto"/>
      </w:pPr>
    </w:p>
  </w:footnote>
  <w:footnote w:id="2">
    <w:p w14:paraId="5EBBF753" w14:textId="77777777" w:rsidR="009C4668" w:rsidRPr="00F93881" w:rsidRDefault="009C4668" w:rsidP="00F149AB">
      <w:pPr>
        <w:pStyle w:val="Notedebasdepage"/>
        <w:rPr>
          <w:lang w:val="en-CA"/>
        </w:rPr>
      </w:pPr>
      <w:r w:rsidRPr="00F93881">
        <w:rPr>
          <w:rStyle w:val="Appelnotedebasdep"/>
          <w:lang w:val="en-CA"/>
        </w:rPr>
        <w:footnoteRef/>
      </w:r>
      <w:r w:rsidRPr="00F93881">
        <w:rPr>
          <w:lang w:val="en-CA"/>
        </w:rPr>
        <w:t xml:space="preserve"> </w:t>
      </w:r>
      <w:r w:rsidRPr="00F93881">
        <w:rPr>
          <w:lang w:val="en-CA"/>
        </w:rPr>
        <w:tab/>
        <w:t xml:space="preserve">Judgment rendered by the Honourable John J. </w:t>
      </w:r>
      <w:proofErr w:type="spellStart"/>
      <w:r w:rsidRPr="00F93881">
        <w:rPr>
          <w:lang w:val="en-CA"/>
        </w:rPr>
        <w:t>Tuchi</w:t>
      </w:r>
      <w:proofErr w:type="spellEnd"/>
      <w:r w:rsidRPr="00F93881">
        <w:rPr>
          <w:lang w:val="en-CA"/>
        </w:rPr>
        <w:t>, United States District Judge, dated November 2, 2021, No. CV-21-00984-PHX-JJT.</w:t>
      </w:r>
    </w:p>
  </w:footnote>
  <w:footnote w:id="3">
    <w:p w14:paraId="6C0C01FE" w14:textId="77777777" w:rsidR="009C4668" w:rsidRPr="00F93881" w:rsidRDefault="009C4668" w:rsidP="00F149AB">
      <w:pPr>
        <w:pStyle w:val="Notedebasdepage"/>
        <w:rPr>
          <w:lang w:val="en-CA"/>
        </w:rPr>
      </w:pPr>
      <w:r w:rsidRPr="00F93881">
        <w:rPr>
          <w:rStyle w:val="Appelnotedebasdep"/>
          <w:lang w:val="en-CA"/>
        </w:rPr>
        <w:footnoteRef/>
      </w:r>
      <w:r w:rsidRPr="00F93881">
        <w:rPr>
          <w:lang w:val="en-CA"/>
        </w:rPr>
        <w:t xml:space="preserve"> </w:t>
      </w:r>
      <w:r w:rsidRPr="00F93881">
        <w:rPr>
          <w:lang w:val="en-CA"/>
        </w:rPr>
        <w:tab/>
      </w:r>
      <w:r w:rsidRPr="00F93881">
        <w:rPr>
          <w:i/>
          <w:iCs/>
          <w:lang w:val="en-CA"/>
        </w:rPr>
        <w:t xml:space="preserve">American Cinema Inspire c. </w:t>
      </w:r>
      <w:proofErr w:type="spellStart"/>
      <w:r w:rsidRPr="00F93881">
        <w:rPr>
          <w:i/>
          <w:iCs/>
          <w:lang w:val="en-CA"/>
        </w:rPr>
        <w:t>Niu</w:t>
      </w:r>
      <w:proofErr w:type="spellEnd"/>
      <w:r w:rsidRPr="00F93881">
        <w:rPr>
          <w:lang w:val="en-CA"/>
        </w:rPr>
        <w:t xml:space="preserve">, 2023 QCCS 2091 [judgment under appeal]. </w:t>
      </w:r>
    </w:p>
  </w:footnote>
  <w:footnote w:id="4">
    <w:p w14:paraId="23B55B1F" w14:textId="77777777" w:rsidR="009C4668" w:rsidRPr="005A4BE1" w:rsidRDefault="009C4668" w:rsidP="00F149AB">
      <w:pPr>
        <w:pStyle w:val="Notedebasdepage"/>
      </w:pPr>
      <w:r w:rsidRPr="00F93881">
        <w:rPr>
          <w:rStyle w:val="Appelnotedebasdep"/>
          <w:lang w:val="en-CA"/>
        </w:rPr>
        <w:footnoteRef/>
      </w:r>
      <w:r w:rsidRPr="00F93881">
        <w:rPr>
          <w:lang w:val="en-CA"/>
        </w:rPr>
        <w:t xml:space="preserve"> </w:t>
      </w:r>
      <w:r w:rsidRPr="00F93881">
        <w:rPr>
          <w:lang w:val="en-CA"/>
        </w:rPr>
        <w:tab/>
        <w:t xml:space="preserve">Order made by the Honourable John J. </w:t>
      </w:r>
      <w:proofErr w:type="spellStart"/>
      <w:r w:rsidRPr="00F93881">
        <w:rPr>
          <w:lang w:val="en-CA"/>
        </w:rPr>
        <w:t>Tuchi</w:t>
      </w:r>
      <w:proofErr w:type="spellEnd"/>
      <w:r w:rsidRPr="00F93881">
        <w:rPr>
          <w:lang w:val="en-CA"/>
        </w:rPr>
        <w:t xml:space="preserve">, United States District Judge, United States District Court for the District of Arizona, dated July 1, 2021, No. </w:t>
      </w:r>
      <w:r w:rsidRPr="005A4BE1">
        <w:t>CV-21-00984-PHX-JJT.</w:t>
      </w:r>
    </w:p>
  </w:footnote>
  <w:footnote w:id="5">
    <w:p w14:paraId="7F7572D3" w14:textId="77777777" w:rsidR="009C4668" w:rsidRPr="005A4BE1" w:rsidRDefault="009C4668" w:rsidP="00F149AB">
      <w:pPr>
        <w:pStyle w:val="Notedebasdepage"/>
      </w:pPr>
      <w:r w:rsidRPr="00F93881">
        <w:rPr>
          <w:rStyle w:val="Appelnotedebasdep"/>
          <w:lang w:val="en-CA"/>
        </w:rPr>
        <w:footnoteRef/>
      </w:r>
      <w:r w:rsidRPr="005A4BE1">
        <w:t xml:space="preserve"> </w:t>
      </w:r>
      <w:r w:rsidRPr="005A4BE1">
        <w:tab/>
      </w:r>
      <w:r w:rsidRPr="005A4BE1">
        <w:rPr>
          <w:i/>
          <w:iCs/>
        </w:rPr>
        <w:t xml:space="preserve">Mercier c. Essor assurances placements conseils </w:t>
      </w:r>
      <w:proofErr w:type="spellStart"/>
      <w:r w:rsidRPr="005A4BE1">
        <w:rPr>
          <w:i/>
          <w:iCs/>
        </w:rPr>
        <w:t>inc.</w:t>
      </w:r>
      <w:proofErr w:type="spellEnd"/>
      <w:r w:rsidRPr="005A4BE1">
        <w:t xml:space="preserve">, 2024 QCCA 1246, para. </w:t>
      </w:r>
      <w:r w:rsidRPr="00F93881">
        <w:rPr>
          <w:lang w:val="en-CA"/>
        </w:rPr>
        <w:t xml:space="preserve">21; </w:t>
      </w:r>
      <w:proofErr w:type="spellStart"/>
      <w:r w:rsidRPr="00F93881">
        <w:rPr>
          <w:i/>
          <w:iCs/>
          <w:lang w:val="en-CA"/>
        </w:rPr>
        <w:t>Gercotech</w:t>
      </w:r>
      <w:proofErr w:type="spellEnd"/>
      <w:r w:rsidRPr="00F93881">
        <w:rPr>
          <w:i/>
          <w:iCs/>
          <w:lang w:val="en-CA"/>
        </w:rPr>
        <w:t xml:space="preserve"> inc. c. Kruger inc. Master Trust (CIBC Mellon Trust Company)</w:t>
      </w:r>
      <w:r w:rsidRPr="00F93881">
        <w:rPr>
          <w:lang w:val="en-CA"/>
        </w:rPr>
        <w:t xml:space="preserve">, 2019 QCCA 1168, para. </w:t>
      </w:r>
      <w:r w:rsidRPr="005A4BE1">
        <w:t>8.</w:t>
      </w:r>
    </w:p>
  </w:footnote>
  <w:footnote w:id="6">
    <w:p w14:paraId="57C2FC31" w14:textId="77777777" w:rsidR="009C4668" w:rsidRPr="00F93881" w:rsidRDefault="009C4668" w:rsidP="00F149AB">
      <w:pPr>
        <w:pStyle w:val="Notedebasdepage"/>
        <w:rPr>
          <w:lang w:val="en-CA"/>
        </w:rPr>
      </w:pPr>
      <w:r w:rsidRPr="00F93881">
        <w:rPr>
          <w:rStyle w:val="Appelnotedebasdep"/>
          <w:lang w:val="en-CA"/>
        </w:rPr>
        <w:footnoteRef/>
      </w:r>
      <w:r w:rsidRPr="005A4BE1">
        <w:t xml:space="preserve"> </w:t>
      </w:r>
      <w:r w:rsidRPr="005A4BE1">
        <w:rPr>
          <w:i/>
          <w:iCs/>
        </w:rPr>
        <w:tab/>
      </w:r>
      <w:proofErr w:type="spellStart"/>
      <w:r w:rsidRPr="005A4BE1">
        <w:rPr>
          <w:i/>
          <w:iCs/>
        </w:rPr>
        <w:t>Fiasche</w:t>
      </w:r>
      <w:proofErr w:type="spellEnd"/>
      <w:r w:rsidRPr="005A4BE1">
        <w:rPr>
          <w:i/>
          <w:iCs/>
        </w:rPr>
        <w:t xml:space="preserve"> c. </w:t>
      </w:r>
      <w:proofErr w:type="spellStart"/>
      <w:r w:rsidRPr="005A4BE1">
        <w:rPr>
          <w:i/>
          <w:iCs/>
        </w:rPr>
        <w:t>Zaraa</w:t>
      </w:r>
      <w:proofErr w:type="spellEnd"/>
      <w:r w:rsidRPr="005A4BE1">
        <w:t xml:space="preserve">, 2025 QCCA 28, para. 5; </w:t>
      </w:r>
      <w:r w:rsidRPr="005A4BE1">
        <w:rPr>
          <w:i/>
          <w:iCs/>
        </w:rPr>
        <w:t xml:space="preserve">McGill Avocats </w:t>
      </w:r>
      <w:proofErr w:type="spellStart"/>
      <w:r w:rsidRPr="005A4BE1">
        <w:rPr>
          <w:i/>
          <w:iCs/>
        </w:rPr>
        <w:t>inc.</w:t>
      </w:r>
      <w:proofErr w:type="spellEnd"/>
      <w:r w:rsidRPr="005A4BE1">
        <w:rPr>
          <w:i/>
          <w:iCs/>
        </w:rPr>
        <w:t xml:space="preserve"> c. Roch</w:t>
      </w:r>
      <w:r w:rsidRPr="005A4BE1">
        <w:t>, 2024 QCCA 1581, paras.</w:t>
      </w:r>
      <w:r>
        <w:t> </w:t>
      </w:r>
      <w:r w:rsidRPr="00AE6FCF">
        <w:rPr>
          <w:lang w:val="en-CA"/>
        </w:rPr>
        <w:t>45</w:t>
      </w:r>
      <w:r>
        <w:rPr>
          <w:lang w:val="en-CA"/>
        </w:rPr>
        <w:noBreakHyphen/>
      </w:r>
      <w:r w:rsidRPr="00AE6FCF">
        <w:rPr>
          <w:lang w:val="en-CA"/>
        </w:rPr>
        <w:t>50</w:t>
      </w:r>
      <w:r>
        <w:rPr>
          <w:lang w:val="en-CA"/>
        </w:rPr>
        <w:t xml:space="preserve">; </w:t>
      </w:r>
      <w:proofErr w:type="spellStart"/>
      <w:r w:rsidRPr="00F93881">
        <w:rPr>
          <w:i/>
          <w:iCs/>
          <w:lang w:val="en-CA"/>
        </w:rPr>
        <w:t>Airpura</w:t>
      </w:r>
      <w:proofErr w:type="spellEnd"/>
      <w:r w:rsidRPr="00F93881">
        <w:rPr>
          <w:i/>
          <w:iCs/>
          <w:lang w:val="en-CA"/>
        </w:rPr>
        <w:t xml:space="preserve"> Industries inc. c. Tak Design </w:t>
      </w:r>
      <w:proofErr w:type="spellStart"/>
      <w:r w:rsidRPr="00F93881">
        <w:rPr>
          <w:i/>
          <w:iCs/>
          <w:lang w:val="en-CA"/>
        </w:rPr>
        <w:t>industriel</w:t>
      </w:r>
      <w:proofErr w:type="spellEnd"/>
      <w:r w:rsidRPr="00F93881">
        <w:rPr>
          <w:i/>
          <w:iCs/>
          <w:lang w:val="en-CA"/>
        </w:rPr>
        <w:t xml:space="preserve"> inc.</w:t>
      </w:r>
      <w:r w:rsidRPr="00F93881">
        <w:rPr>
          <w:lang w:val="en-CA"/>
        </w:rPr>
        <w:t xml:space="preserve">, 2024 QCCA 1729, para. 9. </w:t>
      </w:r>
    </w:p>
  </w:footnote>
  <w:footnote w:id="7">
    <w:p w14:paraId="6E51C13C" w14:textId="77777777" w:rsidR="009C4668" w:rsidRPr="005A4BE1" w:rsidRDefault="009C4668" w:rsidP="00F149AB">
      <w:pPr>
        <w:pStyle w:val="Notedebasdepage"/>
      </w:pPr>
      <w:r w:rsidRPr="00F93881">
        <w:rPr>
          <w:rStyle w:val="Appelnotedebasdep"/>
          <w:lang w:val="en-CA"/>
        </w:rPr>
        <w:footnoteRef/>
      </w:r>
      <w:r w:rsidRPr="00F93881">
        <w:rPr>
          <w:lang w:val="en-CA"/>
        </w:rPr>
        <w:t xml:space="preserve"> </w:t>
      </w:r>
      <w:r w:rsidRPr="00F93881">
        <w:rPr>
          <w:lang w:val="en-CA"/>
        </w:rPr>
        <w:tab/>
        <w:t xml:space="preserve">Judgment under appeal, para. 29. See also: Judgment under appeal, para. </w:t>
      </w:r>
      <w:r w:rsidRPr="005A4BE1">
        <w:t xml:space="preserve">20. </w:t>
      </w:r>
    </w:p>
  </w:footnote>
  <w:footnote w:id="8">
    <w:p w14:paraId="516F080B" w14:textId="77777777" w:rsidR="009C4668" w:rsidRPr="005A4BE1" w:rsidRDefault="009C4668" w:rsidP="00F149AB">
      <w:pPr>
        <w:pStyle w:val="Notedebasdepage"/>
      </w:pPr>
      <w:r>
        <w:rPr>
          <w:rStyle w:val="Appelnotedebasdep"/>
        </w:rPr>
        <w:footnoteRef/>
      </w:r>
      <w:r w:rsidRPr="005A4BE1">
        <w:t xml:space="preserve"> </w:t>
      </w:r>
      <w:r w:rsidRPr="005A4BE1">
        <w:tab/>
        <w:t xml:space="preserve">Art. 3156 para. 2 </w:t>
      </w:r>
      <w:r w:rsidRPr="005A4BE1">
        <w:rPr>
          <w:i/>
          <w:iCs/>
        </w:rPr>
        <w:t>C.C.Q.</w:t>
      </w:r>
    </w:p>
  </w:footnote>
  <w:footnote w:id="9">
    <w:p w14:paraId="2B94618B" w14:textId="77777777" w:rsidR="009C4668" w:rsidRPr="005A4BE1" w:rsidRDefault="009C4668" w:rsidP="00F149AB">
      <w:pPr>
        <w:pStyle w:val="Notedebasdepage"/>
      </w:pPr>
      <w:r w:rsidRPr="00F93881">
        <w:rPr>
          <w:rStyle w:val="Appelnotedebasdep"/>
          <w:lang w:val="en-CA"/>
        </w:rPr>
        <w:footnoteRef/>
      </w:r>
      <w:r w:rsidRPr="005A4BE1">
        <w:t xml:space="preserve"> </w:t>
      </w:r>
      <w:r w:rsidRPr="005A4BE1">
        <w:tab/>
        <w:t xml:space="preserve">Art. 2858 </w:t>
      </w:r>
      <w:r w:rsidRPr="005A4BE1">
        <w:rPr>
          <w:i/>
          <w:iCs/>
        </w:rPr>
        <w:t>C.C.Q.</w:t>
      </w:r>
    </w:p>
  </w:footnote>
  <w:footnote w:id="10">
    <w:p w14:paraId="766ED946" w14:textId="77777777" w:rsidR="009C4668" w:rsidRPr="00F93881" w:rsidRDefault="009C4668" w:rsidP="00F149AB">
      <w:pPr>
        <w:pStyle w:val="Notedebasdepage"/>
        <w:rPr>
          <w:lang w:val="en-CA"/>
        </w:rPr>
      </w:pPr>
      <w:r w:rsidRPr="00F93881">
        <w:rPr>
          <w:rStyle w:val="Appelnotedebasdep"/>
          <w:lang w:val="en-CA"/>
        </w:rPr>
        <w:footnoteRef/>
      </w:r>
      <w:r w:rsidRPr="005A4BE1">
        <w:t xml:space="preserve"> </w:t>
      </w:r>
      <w:r w:rsidRPr="005A4BE1">
        <w:tab/>
      </w:r>
      <w:proofErr w:type="spellStart"/>
      <w:r w:rsidRPr="005A4BE1">
        <w:t>See</w:t>
      </w:r>
      <w:proofErr w:type="spellEnd"/>
      <w:r w:rsidRPr="005A4BE1">
        <w:t xml:space="preserve">: </w:t>
      </w:r>
      <w:r w:rsidRPr="005A4BE1">
        <w:rPr>
          <w:i/>
          <w:iCs/>
        </w:rPr>
        <w:t>Centre de services scolaire de Montréal (Commission scolaire de Montréal)</w:t>
      </w:r>
      <w:r w:rsidRPr="005A4BE1">
        <w:t xml:space="preserve"> </w:t>
      </w:r>
      <w:r w:rsidRPr="005A4BE1">
        <w:rPr>
          <w:i/>
          <w:iCs/>
        </w:rPr>
        <w:t>c.</w:t>
      </w:r>
      <w:r w:rsidRPr="005A4BE1">
        <w:t xml:space="preserve"> </w:t>
      </w:r>
      <w:r w:rsidRPr="005A4BE1">
        <w:rPr>
          <w:i/>
          <w:iCs/>
        </w:rPr>
        <w:t>Alliance des professeures et professeurs de Montréal (FAE)</w:t>
      </w:r>
      <w:r w:rsidRPr="005A4BE1">
        <w:t xml:space="preserve">, 2021 QCCA 1095, para. </w:t>
      </w:r>
      <w:r w:rsidRPr="00F93881">
        <w:rPr>
          <w:lang w:val="en-CA"/>
        </w:rPr>
        <w:t>55.</w:t>
      </w:r>
    </w:p>
  </w:footnote>
  <w:footnote w:id="11">
    <w:p w14:paraId="15925316" w14:textId="77777777" w:rsidR="009C4668" w:rsidRPr="00F93881" w:rsidRDefault="009C4668" w:rsidP="00F149AB">
      <w:pPr>
        <w:pStyle w:val="Notedebasdepage"/>
        <w:rPr>
          <w:lang w:val="en-CA"/>
        </w:rPr>
      </w:pPr>
      <w:r w:rsidRPr="00F93881">
        <w:rPr>
          <w:rStyle w:val="Appelnotedebasdep"/>
          <w:lang w:val="en-CA"/>
        </w:rPr>
        <w:footnoteRef/>
      </w:r>
      <w:r w:rsidRPr="00F93881">
        <w:rPr>
          <w:lang w:val="en-CA"/>
        </w:rPr>
        <w:t xml:space="preserve"> </w:t>
      </w:r>
      <w:r w:rsidRPr="00F93881">
        <w:rPr>
          <w:lang w:val="en-CA"/>
        </w:rPr>
        <w:tab/>
        <w:t>King International Advisory Group, Consumer Credit Report, dated July 21, 2022.</w:t>
      </w:r>
    </w:p>
  </w:footnote>
  <w:footnote w:id="12">
    <w:p w14:paraId="298A21D3" w14:textId="77777777" w:rsidR="009C4668" w:rsidRPr="00F93881" w:rsidRDefault="009C4668" w:rsidP="00F149AB">
      <w:pPr>
        <w:pStyle w:val="Notedebasdepage"/>
        <w:rPr>
          <w:lang w:val="en-CA"/>
        </w:rPr>
      </w:pPr>
      <w:r w:rsidRPr="00F93881">
        <w:rPr>
          <w:rStyle w:val="Appelnotedebasdep"/>
          <w:lang w:val="en-CA"/>
        </w:rPr>
        <w:footnoteRef/>
      </w:r>
      <w:r w:rsidRPr="00F93881">
        <w:rPr>
          <w:lang w:val="en-CA"/>
        </w:rPr>
        <w:t xml:space="preserve"> </w:t>
      </w:r>
      <w:r w:rsidRPr="00F93881">
        <w:rPr>
          <w:lang w:val="en-CA"/>
        </w:rPr>
        <w:tab/>
      </w:r>
      <w:r w:rsidRPr="00F6520B">
        <w:rPr>
          <w:lang w:val="en-CA"/>
        </w:rPr>
        <w:t>Judgment under appeal, para. 7.</w:t>
      </w:r>
    </w:p>
  </w:footnote>
  <w:footnote w:id="13">
    <w:p w14:paraId="33406349" w14:textId="77777777" w:rsidR="009C4668" w:rsidRPr="00F6520B" w:rsidRDefault="009C4668" w:rsidP="00F149AB">
      <w:pPr>
        <w:pStyle w:val="Notedebasdepage"/>
        <w:rPr>
          <w:lang w:val="en-CA"/>
        </w:rPr>
      </w:pPr>
      <w:r w:rsidRPr="00F6520B">
        <w:rPr>
          <w:rStyle w:val="Appelnotedebasdep"/>
          <w:lang w:val="en-CA"/>
        </w:rPr>
        <w:footnoteRef/>
      </w:r>
      <w:r w:rsidRPr="00F6520B">
        <w:rPr>
          <w:lang w:val="en-CA"/>
        </w:rPr>
        <w:t xml:space="preserve"> </w:t>
      </w:r>
      <w:r w:rsidRPr="00F6520B">
        <w:rPr>
          <w:lang w:val="en-CA"/>
        </w:rPr>
        <w:tab/>
        <w:t xml:space="preserve">Judgment under appeal, para. 30. See also art. 3156 para. 2 </w:t>
      </w:r>
      <w:r w:rsidRPr="00F6520B">
        <w:rPr>
          <w:i/>
          <w:iCs/>
          <w:lang w:val="en-CA"/>
        </w:rPr>
        <w:t>C.C.Q.</w:t>
      </w:r>
    </w:p>
  </w:footnote>
  <w:footnote w:id="14">
    <w:p w14:paraId="482DB3DF" w14:textId="77777777" w:rsidR="009C4668" w:rsidRPr="00F6520B" w:rsidRDefault="009C4668" w:rsidP="00F149AB">
      <w:pPr>
        <w:pStyle w:val="Notedebasdepage"/>
        <w:rPr>
          <w:lang w:val="en-CA"/>
        </w:rPr>
      </w:pPr>
      <w:r w:rsidRPr="00F6520B">
        <w:rPr>
          <w:rStyle w:val="Appelnotedebasdep"/>
          <w:lang w:val="en-CA"/>
        </w:rPr>
        <w:footnoteRef/>
      </w:r>
      <w:r w:rsidRPr="00F6520B">
        <w:rPr>
          <w:lang w:val="en-CA"/>
        </w:rPr>
        <w:t xml:space="preserve"> </w:t>
      </w:r>
      <w:r w:rsidRPr="00F6520B">
        <w:rPr>
          <w:lang w:val="en-CA"/>
        </w:rPr>
        <w:tab/>
        <w:t xml:space="preserve">Judgment under appeal, para. 25. See also: art. 3156 para. 1 </w:t>
      </w:r>
      <w:r w:rsidRPr="00F6520B">
        <w:rPr>
          <w:i/>
          <w:iCs/>
          <w:lang w:val="en-CA"/>
        </w:rPr>
        <w:t>C.C.Q.</w:t>
      </w:r>
      <w:r w:rsidRPr="00F6520B">
        <w:rPr>
          <w:lang w:val="en-CA"/>
        </w:rPr>
        <w:t xml:space="preserve">; </w:t>
      </w:r>
      <w:proofErr w:type="spellStart"/>
      <w:r w:rsidRPr="00F6520B">
        <w:rPr>
          <w:i/>
          <w:iCs/>
          <w:lang w:val="en-CA"/>
        </w:rPr>
        <w:t>Platania</w:t>
      </w:r>
      <w:proofErr w:type="spellEnd"/>
      <w:r w:rsidRPr="00F6520B">
        <w:rPr>
          <w:lang w:val="en-CA"/>
        </w:rPr>
        <w:t xml:space="preserve"> </w:t>
      </w:r>
      <w:r w:rsidRPr="00F6520B">
        <w:rPr>
          <w:i/>
          <w:iCs/>
          <w:lang w:val="en-CA"/>
        </w:rPr>
        <w:t>c.</w:t>
      </w:r>
      <w:r w:rsidRPr="00F6520B">
        <w:rPr>
          <w:lang w:val="en-CA"/>
        </w:rPr>
        <w:t xml:space="preserve"> </w:t>
      </w:r>
      <w:r w:rsidRPr="00F6520B">
        <w:rPr>
          <w:i/>
          <w:iCs/>
          <w:lang w:val="en-CA"/>
        </w:rPr>
        <w:t>Di Campo</w:t>
      </w:r>
      <w:r w:rsidRPr="00F6520B">
        <w:rPr>
          <w:lang w:val="en-CA"/>
        </w:rPr>
        <w:t xml:space="preserve">, 2018 QCCA 1532, para. 26; </w:t>
      </w:r>
      <w:r w:rsidRPr="00F6520B">
        <w:rPr>
          <w:i/>
          <w:iCs/>
          <w:lang w:val="en-CA"/>
        </w:rPr>
        <w:t>Yousuf</w:t>
      </w:r>
      <w:r w:rsidRPr="00F6520B">
        <w:rPr>
          <w:lang w:val="en-CA"/>
        </w:rPr>
        <w:t xml:space="preserve"> </w:t>
      </w:r>
      <w:r w:rsidRPr="00F6520B">
        <w:rPr>
          <w:i/>
          <w:iCs/>
          <w:lang w:val="en-CA"/>
        </w:rPr>
        <w:t>c.</w:t>
      </w:r>
      <w:r w:rsidRPr="00F6520B">
        <w:rPr>
          <w:lang w:val="en-CA"/>
        </w:rPr>
        <w:t xml:space="preserve"> </w:t>
      </w:r>
      <w:proofErr w:type="spellStart"/>
      <w:r w:rsidRPr="00F6520B">
        <w:rPr>
          <w:i/>
          <w:iCs/>
          <w:lang w:val="en-CA"/>
        </w:rPr>
        <w:t>Jannesar</w:t>
      </w:r>
      <w:proofErr w:type="spellEnd"/>
      <w:r w:rsidRPr="00F6520B">
        <w:rPr>
          <w:lang w:val="en-CA"/>
        </w:rPr>
        <w:t>, 2014 QCCA 2096, para. 28, application for leave to appeal dismissed, October 29, 2015, No. 36271.</w:t>
      </w:r>
    </w:p>
  </w:footnote>
  <w:footnote w:id="15">
    <w:p w14:paraId="1C5A4F60" w14:textId="77777777" w:rsidR="009C4668" w:rsidRPr="00F93881" w:rsidRDefault="009C4668" w:rsidP="00F149AB">
      <w:pPr>
        <w:pStyle w:val="Notedebasdepage"/>
        <w:rPr>
          <w:lang w:val="en-CA"/>
        </w:rPr>
      </w:pPr>
      <w:r w:rsidRPr="00F6520B">
        <w:rPr>
          <w:rStyle w:val="Appelnotedebasdep"/>
          <w:lang w:val="en-CA"/>
        </w:rPr>
        <w:footnoteRef/>
      </w:r>
      <w:r w:rsidRPr="00F6520B">
        <w:rPr>
          <w:lang w:val="en-CA"/>
        </w:rPr>
        <w:t xml:space="preserve"> </w:t>
      </w:r>
      <w:r w:rsidRPr="00F6520B">
        <w:rPr>
          <w:lang w:val="en-CA"/>
        </w:rPr>
        <w:tab/>
        <w:t>Judgment under appeal, para. 27.</w:t>
      </w:r>
      <w:r w:rsidRPr="00F93881">
        <w:rPr>
          <w:lang w:val="en-CA"/>
        </w:rPr>
        <w:t xml:space="preserve"> </w:t>
      </w:r>
    </w:p>
  </w:footnote>
  <w:footnote w:id="16">
    <w:p w14:paraId="4FA3D5CA" w14:textId="77777777" w:rsidR="009C4668" w:rsidRPr="00F93881" w:rsidRDefault="009C4668" w:rsidP="00F149AB">
      <w:pPr>
        <w:pStyle w:val="Notedebasdepage"/>
        <w:rPr>
          <w:lang w:val="en-CA"/>
        </w:rPr>
      </w:pPr>
      <w:r w:rsidRPr="00F93881">
        <w:rPr>
          <w:rStyle w:val="Appelnotedebasdep"/>
          <w:lang w:val="en-CA"/>
        </w:rPr>
        <w:footnoteRef/>
      </w:r>
      <w:r w:rsidRPr="00F93881">
        <w:rPr>
          <w:lang w:val="en-CA"/>
        </w:rPr>
        <w:t xml:space="preserve"> </w:t>
      </w:r>
      <w:r w:rsidRPr="00F93881">
        <w:rPr>
          <w:lang w:val="en-CA"/>
        </w:rPr>
        <w:tab/>
        <w:t xml:space="preserve">November 15, 1965, 658 U.N.T.S. 163. See also </w:t>
      </w:r>
      <w:r w:rsidRPr="00F93881">
        <w:rPr>
          <w:i/>
          <w:iCs/>
          <w:lang w:val="en-CA"/>
        </w:rPr>
        <w:t>Code of Civil Procedure</w:t>
      </w:r>
      <w:r w:rsidRPr="00F93881">
        <w:rPr>
          <w:lang w:val="en-CA"/>
        </w:rPr>
        <w:t xml:space="preserve">, Schedule I (art. 494 </w:t>
      </w:r>
      <w:r w:rsidRPr="00F93881">
        <w:rPr>
          <w:i/>
          <w:iCs/>
          <w:lang w:val="en-CA"/>
        </w:rPr>
        <w:t>C.C.P.</w:t>
      </w:r>
      <w:r w:rsidRPr="00F93881">
        <w:rPr>
          <w:lang w:val="en-CA"/>
        </w:rPr>
        <w:t>).</w:t>
      </w:r>
    </w:p>
  </w:footnote>
  <w:footnote w:id="17">
    <w:p w14:paraId="5B4D7DE6" w14:textId="77777777" w:rsidR="009C4668" w:rsidRPr="00F93881" w:rsidRDefault="009C4668" w:rsidP="00F149AB">
      <w:pPr>
        <w:pStyle w:val="Notedebasdepage"/>
        <w:rPr>
          <w:lang w:val="en-CA"/>
        </w:rPr>
      </w:pPr>
      <w:r w:rsidRPr="00F93881">
        <w:rPr>
          <w:rStyle w:val="Appelnotedebasdep"/>
          <w:lang w:val="en-CA"/>
        </w:rPr>
        <w:footnoteRef/>
      </w:r>
      <w:r w:rsidRPr="00F93881">
        <w:rPr>
          <w:lang w:val="en-CA"/>
        </w:rPr>
        <w:t xml:space="preserve"> </w:t>
      </w:r>
      <w:r w:rsidRPr="00F93881">
        <w:rPr>
          <w:lang w:val="en-CA"/>
        </w:rPr>
        <w:tab/>
        <w:t xml:space="preserve">Convention, Art. 1 para. 2. </w:t>
      </w:r>
    </w:p>
  </w:footnote>
  <w:footnote w:id="18">
    <w:p w14:paraId="46E3C063" w14:textId="77777777" w:rsidR="009C4668" w:rsidRPr="00F93881" w:rsidRDefault="009C4668" w:rsidP="00F149AB">
      <w:pPr>
        <w:pStyle w:val="Notedebasdepage"/>
        <w:rPr>
          <w:lang w:val="en-CA"/>
        </w:rPr>
      </w:pPr>
      <w:r w:rsidRPr="00F93881">
        <w:rPr>
          <w:rStyle w:val="Appelnotedebasdep"/>
          <w:lang w:val="en-CA"/>
        </w:rPr>
        <w:footnoteRef/>
      </w:r>
      <w:r w:rsidRPr="00F93881">
        <w:rPr>
          <w:lang w:val="en-CA"/>
        </w:rPr>
        <w:t xml:space="preserve"> </w:t>
      </w:r>
      <w:bookmarkStart w:id="0" w:name="_Hlk189125856"/>
      <w:r w:rsidRPr="00F93881">
        <w:rPr>
          <w:lang w:val="en-CA"/>
        </w:rPr>
        <w:tab/>
      </w:r>
      <w:bookmarkEnd w:id="0"/>
      <w:r w:rsidRPr="00F93881">
        <w:rPr>
          <w:lang w:val="en-CA"/>
        </w:rPr>
        <w:t xml:space="preserve">Affidavit of U.S. attorney Kerry S. Culpepper, dated March 30, 2023, citing </w:t>
      </w:r>
      <w:r w:rsidRPr="00F93881">
        <w:rPr>
          <w:i/>
          <w:iCs/>
          <w:lang w:val="en-CA"/>
        </w:rPr>
        <w:t>Rio Props v. Rio Int’l Interlink</w:t>
      </w:r>
      <w:r w:rsidRPr="00F93881">
        <w:rPr>
          <w:lang w:val="en-CA"/>
        </w:rPr>
        <w:t>, (2002) 284 F.3d. 1007, pp. 1015-1016, and Rule 4(f) of the Federal Rules. The trial judge also concluded that the interpretation given to</w:t>
      </w:r>
      <w:r w:rsidRPr="00F93881">
        <w:rPr>
          <w:i/>
          <w:iCs/>
          <w:lang w:val="en-CA"/>
        </w:rPr>
        <w:t xml:space="preserve"> </w:t>
      </w:r>
      <w:r w:rsidRPr="00F93881">
        <w:rPr>
          <w:lang w:val="en-CA"/>
        </w:rPr>
        <w:t xml:space="preserve">the Convention by the Ninth Circuit Court of Appeals and other U.S. federal courts leads to the same result; see judgment under appeal, para. 26. </w:t>
      </w:r>
    </w:p>
  </w:footnote>
  <w:footnote w:id="19">
    <w:p w14:paraId="2A587C05" w14:textId="77777777" w:rsidR="009C4668" w:rsidRPr="00A8136F" w:rsidRDefault="009C4668" w:rsidP="00F149AB">
      <w:pPr>
        <w:pStyle w:val="Notedebasdepage"/>
        <w:rPr>
          <w:vertAlign w:val="subscript"/>
        </w:rPr>
      </w:pPr>
      <w:r w:rsidRPr="00F93881">
        <w:rPr>
          <w:rStyle w:val="Appelnotedebasdep"/>
          <w:lang w:val="en-CA"/>
        </w:rPr>
        <w:footnoteRef/>
      </w:r>
      <w:r w:rsidRPr="00F93881">
        <w:rPr>
          <w:lang w:val="en-CA"/>
        </w:rPr>
        <w:tab/>
        <w:t xml:space="preserve">Art. 3156 para. 1 </w:t>
      </w:r>
      <w:r w:rsidRPr="00F93881">
        <w:rPr>
          <w:i/>
          <w:iCs/>
          <w:lang w:val="en-CA"/>
        </w:rPr>
        <w:t>C.C.Q.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7383"/>
      <w:gridCol w:w="2157"/>
    </w:tblGrid>
    <w:tr w:rsidR="002235A0" w14:paraId="29A16BAD" w14:textId="77777777" w:rsidTr="00241A86">
      <w:tc>
        <w:tcPr>
          <w:tcW w:w="7383" w:type="dxa"/>
        </w:tcPr>
        <w:p w14:paraId="1F9A8E6E" w14:textId="77777777" w:rsidR="004D106E" w:rsidRDefault="009C4668" w:rsidP="00637D6F">
          <w:pPr>
            <w:tabs>
              <w:tab w:val="left" w:pos="442"/>
              <w:tab w:val="center" w:pos="4709"/>
              <w:tab w:val="right" w:pos="9360"/>
            </w:tabs>
            <w:ind w:right="524"/>
          </w:pPr>
          <w:r>
            <w:rPr>
              <w:lang w:val="en-CA"/>
            </w:rPr>
            <w:t>500-09-030563-233</w:t>
          </w:r>
        </w:p>
      </w:tc>
      <w:tc>
        <w:tcPr>
          <w:tcW w:w="2157" w:type="dxa"/>
        </w:tcPr>
        <w:p w14:paraId="0756D7CC" w14:textId="77777777" w:rsidR="004D106E" w:rsidRDefault="009C4668" w:rsidP="00CD58FC">
          <w:pPr>
            <w:tabs>
              <w:tab w:val="left" w:pos="442"/>
              <w:tab w:val="center" w:pos="4709"/>
              <w:tab w:val="right" w:pos="9360"/>
            </w:tabs>
            <w:ind w:right="159"/>
            <w:jc w:val="right"/>
          </w:pPr>
          <w:r>
            <w:rPr>
              <w:lang w:val="en-CA"/>
            </w:rPr>
            <w:tab/>
            <w:t xml:space="preserve">PAGE: </w:t>
          </w:r>
          <w:r>
            <w:fldChar w:fldCharType="begin"/>
          </w:r>
          <w:r>
            <w:instrText xml:space="preserve"> PAGE </w:instrText>
          </w:r>
          <w:r>
            <w:fldChar w:fldCharType="separate"/>
          </w:r>
          <w:r>
            <w:t>6</w:t>
          </w:r>
          <w:r>
            <w:fldChar w:fldCharType="end"/>
          </w:r>
        </w:p>
      </w:tc>
    </w:tr>
  </w:tbl>
  <w:p w14:paraId="30AC9906" w14:textId="77777777" w:rsidR="004D106E" w:rsidRDefault="004D106E" w:rsidP="00CD58FC">
    <w:pPr>
      <w:tabs>
        <w:tab w:val="left" w:pos="442"/>
        <w:tab w:val="center" w:pos="4709"/>
        <w:tab w:val="right" w:pos="9360"/>
      </w:tabs>
      <w:ind w:right="524"/>
    </w:pPr>
  </w:p>
  <w:p w14:paraId="68775877" w14:textId="77777777" w:rsidR="004D106E" w:rsidRDefault="004D10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5C103B16"/>
    <w:lvl w:ilvl="0">
      <w:start w:val="1"/>
      <w:numFmt w:val="decimal"/>
      <w:pStyle w:val="Paragraphe"/>
      <w:lvlText w:val="[%1]"/>
      <w:lvlJc w:val="left"/>
      <w:pPr>
        <w:tabs>
          <w:tab w:val="num" w:pos="990"/>
        </w:tabs>
        <w:ind w:left="27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289358647">
    <w:abstractNumId w:val="12"/>
  </w:num>
  <w:num w:numId="2" w16cid:durableId="1535461330">
    <w:abstractNumId w:val="12"/>
  </w:num>
  <w:num w:numId="3" w16cid:durableId="357583216">
    <w:abstractNumId w:val="12"/>
  </w:num>
  <w:num w:numId="4" w16cid:durableId="2101947380">
    <w:abstractNumId w:val="8"/>
  </w:num>
  <w:num w:numId="5" w16cid:durableId="755437649">
    <w:abstractNumId w:val="3"/>
  </w:num>
  <w:num w:numId="6" w16cid:durableId="81724029">
    <w:abstractNumId w:val="2"/>
  </w:num>
  <w:num w:numId="7" w16cid:durableId="1539586755">
    <w:abstractNumId w:val="1"/>
  </w:num>
  <w:num w:numId="8" w16cid:durableId="1058477947">
    <w:abstractNumId w:val="0"/>
  </w:num>
  <w:num w:numId="9" w16cid:durableId="774906086">
    <w:abstractNumId w:val="9"/>
  </w:num>
  <w:num w:numId="10" w16cid:durableId="75173509">
    <w:abstractNumId w:val="7"/>
  </w:num>
  <w:num w:numId="11" w16cid:durableId="1163817435">
    <w:abstractNumId w:val="6"/>
  </w:num>
  <w:num w:numId="12" w16cid:durableId="2101024506">
    <w:abstractNumId w:val="5"/>
  </w:num>
  <w:num w:numId="13" w16cid:durableId="547299011">
    <w:abstractNumId w:val="4"/>
  </w:num>
  <w:num w:numId="14" w16cid:durableId="725645170">
    <w:abstractNumId w:val="12"/>
  </w:num>
  <w:num w:numId="15" w16cid:durableId="1247574549">
    <w:abstractNumId w:val="12"/>
  </w:num>
  <w:num w:numId="16" w16cid:durableId="1930190378">
    <w:abstractNumId w:val="12"/>
  </w:num>
  <w:num w:numId="17" w16cid:durableId="914972709">
    <w:abstractNumId w:val="11"/>
  </w:num>
  <w:num w:numId="18" w16cid:durableId="1785953790">
    <w:abstractNumId w:val="10"/>
  </w:num>
  <w:num w:numId="19" w16cid:durableId="133914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E3"/>
    <w:rsid w:val="00005741"/>
    <w:rsid w:val="000250C2"/>
    <w:rsid w:val="00033ACA"/>
    <w:rsid w:val="000614D8"/>
    <w:rsid w:val="000643E3"/>
    <w:rsid w:val="00065EEA"/>
    <w:rsid w:val="000713F4"/>
    <w:rsid w:val="00075207"/>
    <w:rsid w:val="00080D1F"/>
    <w:rsid w:val="00081D7C"/>
    <w:rsid w:val="00082F0A"/>
    <w:rsid w:val="00084297"/>
    <w:rsid w:val="000949A6"/>
    <w:rsid w:val="00094DC3"/>
    <w:rsid w:val="000A44A0"/>
    <w:rsid w:val="000B3F39"/>
    <w:rsid w:val="000B60BA"/>
    <w:rsid w:val="000B6EFE"/>
    <w:rsid w:val="000C54D9"/>
    <w:rsid w:val="000D5528"/>
    <w:rsid w:val="000E1111"/>
    <w:rsid w:val="000E3231"/>
    <w:rsid w:val="000F74B3"/>
    <w:rsid w:val="001009B2"/>
    <w:rsid w:val="00100BF1"/>
    <w:rsid w:val="00103275"/>
    <w:rsid w:val="00104397"/>
    <w:rsid w:val="00106BD1"/>
    <w:rsid w:val="00135014"/>
    <w:rsid w:val="00137252"/>
    <w:rsid w:val="001433C6"/>
    <w:rsid w:val="00146ED1"/>
    <w:rsid w:val="00151498"/>
    <w:rsid w:val="00156F49"/>
    <w:rsid w:val="00160465"/>
    <w:rsid w:val="00171CC8"/>
    <w:rsid w:val="00175437"/>
    <w:rsid w:val="00177E00"/>
    <w:rsid w:val="00186B64"/>
    <w:rsid w:val="00187994"/>
    <w:rsid w:val="001933CB"/>
    <w:rsid w:val="001952E1"/>
    <w:rsid w:val="001A4667"/>
    <w:rsid w:val="001A7C22"/>
    <w:rsid w:val="001B1B44"/>
    <w:rsid w:val="001C2F4F"/>
    <w:rsid w:val="001E13E3"/>
    <w:rsid w:val="0021091C"/>
    <w:rsid w:val="00215559"/>
    <w:rsid w:val="002159AA"/>
    <w:rsid w:val="00221170"/>
    <w:rsid w:val="0022417B"/>
    <w:rsid w:val="0023213C"/>
    <w:rsid w:val="00240B45"/>
    <w:rsid w:val="00241A86"/>
    <w:rsid w:val="00263A55"/>
    <w:rsid w:val="00266D03"/>
    <w:rsid w:val="002745AE"/>
    <w:rsid w:val="002819C2"/>
    <w:rsid w:val="00286338"/>
    <w:rsid w:val="00293750"/>
    <w:rsid w:val="002A0B7A"/>
    <w:rsid w:val="002A295B"/>
    <w:rsid w:val="002C1B95"/>
    <w:rsid w:val="002C4107"/>
    <w:rsid w:val="002C7179"/>
    <w:rsid w:val="002E540C"/>
    <w:rsid w:val="002E7403"/>
    <w:rsid w:val="00303011"/>
    <w:rsid w:val="003041AF"/>
    <w:rsid w:val="00315497"/>
    <w:rsid w:val="00317A57"/>
    <w:rsid w:val="00320C2D"/>
    <w:rsid w:val="00322707"/>
    <w:rsid w:val="0033020E"/>
    <w:rsid w:val="00335475"/>
    <w:rsid w:val="00347C5E"/>
    <w:rsid w:val="00350DC9"/>
    <w:rsid w:val="003647FF"/>
    <w:rsid w:val="0037521E"/>
    <w:rsid w:val="003822C1"/>
    <w:rsid w:val="003847F3"/>
    <w:rsid w:val="0039120A"/>
    <w:rsid w:val="00392D3D"/>
    <w:rsid w:val="00392DCA"/>
    <w:rsid w:val="003A04D0"/>
    <w:rsid w:val="003B65F2"/>
    <w:rsid w:val="003D31F5"/>
    <w:rsid w:val="003E40D4"/>
    <w:rsid w:val="003E5AF3"/>
    <w:rsid w:val="003F40FD"/>
    <w:rsid w:val="00403A4F"/>
    <w:rsid w:val="0041020D"/>
    <w:rsid w:val="00424BE3"/>
    <w:rsid w:val="004331C4"/>
    <w:rsid w:val="00437C7E"/>
    <w:rsid w:val="00447A05"/>
    <w:rsid w:val="004505FD"/>
    <w:rsid w:val="004546D6"/>
    <w:rsid w:val="004630AB"/>
    <w:rsid w:val="0046488A"/>
    <w:rsid w:val="00466A2C"/>
    <w:rsid w:val="0048057A"/>
    <w:rsid w:val="0049788A"/>
    <w:rsid w:val="004A05A5"/>
    <w:rsid w:val="004D106E"/>
    <w:rsid w:val="004D10FD"/>
    <w:rsid w:val="004D37E3"/>
    <w:rsid w:val="004D3CB0"/>
    <w:rsid w:val="004D74FD"/>
    <w:rsid w:val="004E1C1F"/>
    <w:rsid w:val="004F074F"/>
    <w:rsid w:val="004F15FC"/>
    <w:rsid w:val="004F69BB"/>
    <w:rsid w:val="00501E09"/>
    <w:rsid w:val="00523B52"/>
    <w:rsid w:val="005244DB"/>
    <w:rsid w:val="00540690"/>
    <w:rsid w:val="0054437A"/>
    <w:rsid w:val="005504D5"/>
    <w:rsid w:val="00554129"/>
    <w:rsid w:val="005572B0"/>
    <w:rsid w:val="00564847"/>
    <w:rsid w:val="005654A8"/>
    <w:rsid w:val="00566BF6"/>
    <w:rsid w:val="00571913"/>
    <w:rsid w:val="0057270E"/>
    <w:rsid w:val="00590C10"/>
    <w:rsid w:val="005B4976"/>
    <w:rsid w:val="005D1522"/>
    <w:rsid w:val="005D29E7"/>
    <w:rsid w:val="005F0450"/>
    <w:rsid w:val="005F61EC"/>
    <w:rsid w:val="00614E0D"/>
    <w:rsid w:val="006162F3"/>
    <w:rsid w:val="00637D6F"/>
    <w:rsid w:val="0065602B"/>
    <w:rsid w:val="006573A2"/>
    <w:rsid w:val="006652C2"/>
    <w:rsid w:val="00670914"/>
    <w:rsid w:val="00692E06"/>
    <w:rsid w:val="006C6451"/>
    <w:rsid w:val="006D1CB1"/>
    <w:rsid w:val="006E12E8"/>
    <w:rsid w:val="006F39CB"/>
    <w:rsid w:val="00702C6D"/>
    <w:rsid w:val="00706367"/>
    <w:rsid w:val="00711DD5"/>
    <w:rsid w:val="007149F6"/>
    <w:rsid w:val="0073154F"/>
    <w:rsid w:val="00734481"/>
    <w:rsid w:val="007377D2"/>
    <w:rsid w:val="00740A17"/>
    <w:rsid w:val="00747420"/>
    <w:rsid w:val="00750D06"/>
    <w:rsid w:val="007519EA"/>
    <w:rsid w:val="00752373"/>
    <w:rsid w:val="007547CE"/>
    <w:rsid w:val="00757467"/>
    <w:rsid w:val="00763124"/>
    <w:rsid w:val="0076467F"/>
    <w:rsid w:val="0077096E"/>
    <w:rsid w:val="00770C57"/>
    <w:rsid w:val="007818B0"/>
    <w:rsid w:val="007953F3"/>
    <w:rsid w:val="007B663C"/>
    <w:rsid w:val="007C678F"/>
    <w:rsid w:val="007D13F3"/>
    <w:rsid w:val="007D632A"/>
    <w:rsid w:val="007E57DF"/>
    <w:rsid w:val="007F2157"/>
    <w:rsid w:val="00803B9C"/>
    <w:rsid w:val="00821E47"/>
    <w:rsid w:val="00823A8F"/>
    <w:rsid w:val="00827B04"/>
    <w:rsid w:val="00831C53"/>
    <w:rsid w:val="00834A23"/>
    <w:rsid w:val="00836D3E"/>
    <w:rsid w:val="008430CA"/>
    <w:rsid w:val="00850063"/>
    <w:rsid w:val="00854C3E"/>
    <w:rsid w:val="008757BD"/>
    <w:rsid w:val="00882210"/>
    <w:rsid w:val="00887EEB"/>
    <w:rsid w:val="00893C15"/>
    <w:rsid w:val="008A1AD8"/>
    <w:rsid w:val="008B712A"/>
    <w:rsid w:val="008D2FB6"/>
    <w:rsid w:val="008E0ED5"/>
    <w:rsid w:val="008E36F0"/>
    <w:rsid w:val="008F2ACD"/>
    <w:rsid w:val="008F364A"/>
    <w:rsid w:val="00907492"/>
    <w:rsid w:val="009177A2"/>
    <w:rsid w:val="0093677F"/>
    <w:rsid w:val="00950F4A"/>
    <w:rsid w:val="00950FA6"/>
    <w:rsid w:val="0095228A"/>
    <w:rsid w:val="00953B63"/>
    <w:rsid w:val="009542F2"/>
    <w:rsid w:val="00954DC2"/>
    <w:rsid w:val="00996C51"/>
    <w:rsid w:val="009A2428"/>
    <w:rsid w:val="009B77AF"/>
    <w:rsid w:val="009C3ACF"/>
    <w:rsid w:val="009C4668"/>
    <w:rsid w:val="009D1618"/>
    <w:rsid w:val="009D2AC5"/>
    <w:rsid w:val="009E2B19"/>
    <w:rsid w:val="009F0A10"/>
    <w:rsid w:val="009F0E98"/>
    <w:rsid w:val="00A00FEB"/>
    <w:rsid w:val="00A043DF"/>
    <w:rsid w:val="00A12875"/>
    <w:rsid w:val="00A26979"/>
    <w:rsid w:val="00A34B32"/>
    <w:rsid w:val="00A41014"/>
    <w:rsid w:val="00A449F2"/>
    <w:rsid w:val="00A62FEE"/>
    <w:rsid w:val="00A641B2"/>
    <w:rsid w:val="00A65E08"/>
    <w:rsid w:val="00A8136F"/>
    <w:rsid w:val="00A8271F"/>
    <w:rsid w:val="00A91B39"/>
    <w:rsid w:val="00A92F59"/>
    <w:rsid w:val="00AA0AE4"/>
    <w:rsid w:val="00AA6B06"/>
    <w:rsid w:val="00AC570F"/>
    <w:rsid w:val="00AC5BB3"/>
    <w:rsid w:val="00AE1C2E"/>
    <w:rsid w:val="00AE35C8"/>
    <w:rsid w:val="00AF38CF"/>
    <w:rsid w:val="00AF5327"/>
    <w:rsid w:val="00B06E74"/>
    <w:rsid w:val="00B15536"/>
    <w:rsid w:val="00B323E7"/>
    <w:rsid w:val="00B367AC"/>
    <w:rsid w:val="00B451C3"/>
    <w:rsid w:val="00B71E57"/>
    <w:rsid w:val="00B757D0"/>
    <w:rsid w:val="00B81877"/>
    <w:rsid w:val="00B82A13"/>
    <w:rsid w:val="00B8723B"/>
    <w:rsid w:val="00BB0501"/>
    <w:rsid w:val="00BB483F"/>
    <w:rsid w:val="00BC14B8"/>
    <w:rsid w:val="00BD1289"/>
    <w:rsid w:val="00BD31B6"/>
    <w:rsid w:val="00BE1C8F"/>
    <w:rsid w:val="00BE2FA2"/>
    <w:rsid w:val="00BF09C1"/>
    <w:rsid w:val="00BF1A06"/>
    <w:rsid w:val="00C02B72"/>
    <w:rsid w:val="00C108AA"/>
    <w:rsid w:val="00C1429C"/>
    <w:rsid w:val="00C16073"/>
    <w:rsid w:val="00C30F2F"/>
    <w:rsid w:val="00C40A6B"/>
    <w:rsid w:val="00C47029"/>
    <w:rsid w:val="00C47211"/>
    <w:rsid w:val="00C477EB"/>
    <w:rsid w:val="00C551F8"/>
    <w:rsid w:val="00C617FC"/>
    <w:rsid w:val="00C8333C"/>
    <w:rsid w:val="00C92E57"/>
    <w:rsid w:val="00C96021"/>
    <w:rsid w:val="00CA5121"/>
    <w:rsid w:val="00CA74DE"/>
    <w:rsid w:val="00CC7EE5"/>
    <w:rsid w:val="00CD58FC"/>
    <w:rsid w:val="00CE0A51"/>
    <w:rsid w:val="00D16D0E"/>
    <w:rsid w:val="00D26AB1"/>
    <w:rsid w:val="00D57AC7"/>
    <w:rsid w:val="00D63F55"/>
    <w:rsid w:val="00D67052"/>
    <w:rsid w:val="00DB2A53"/>
    <w:rsid w:val="00DB348F"/>
    <w:rsid w:val="00DB727C"/>
    <w:rsid w:val="00DC223B"/>
    <w:rsid w:val="00DC384E"/>
    <w:rsid w:val="00DD3A24"/>
    <w:rsid w:val="00DE3438"/>
    <w:rsid w:val="00DE7999"/>
    <w:rsid w:val="00DF2DC8"/>
    <w:rsid w:val="00DF3EE2"/>
    <w:rsid w:val="00DF7D37"/>
    <w:rsid w:val="00E01CAD"/>
    <w:rsid w:val="00E06061"/>
    <w:rsid w:val="00E21494"/>
    <w:rsid w:val="00E22228"/>
    <w:rsid w:val="00E25C04"/>
    <w:rsid w:val="00E311DC"/>
    <w:rsid w:val="00E44A1C"/>
    <w:rsid w:val="00E50F09"/>
    <w:rsid w:val="00E51293"/>
    <w:rsid w:val="00E557EC"/>
    <w:rsid w:val="00E55CDF"/>
    <w:rsid w:val="00E85342"/>
    <w:rsid w:val="00EB395F"/>
    <w:rsid w:val="00EC2D0A"/>
    <w:rsid w:val="00EC57E1"/>
    <w:rsid w:val="00EC7C4A"/>
    <w:rsid w:val="00EE091A"/>
    <w:rsid w:val="00EF6D4C"/>
    <w:rsid w:val="00F03D0F"/>
    <w:rsid w:val="00F050F0"/>
    <w:rsid w:val="00F12661"/>
    <w:rsid w:val="00F1760F"/>
    <w:rsid w:val="00F257C5"/>
    <w:rsid w:val="00F27CDE"/>
    <w:rsid w:val="00F3537E"/>
    <w:rsid w:val="00F44D2D"/>
    <w:rsid w:val="00F47DB9"/>
    <w:rsid w:val="00F55CD4"/>
    <w:rsid w:val="00F7072E"/>
    <w:rsid w:val="00F72BD0"/>
    <w:rsid w:val="00F853BE"/>
    <w:rsid w:val="00F903C2"/>
    <w:rsid w:val="00F933A4"/>
    <w:rsid w:val="00F943C5"/>
    <w:rsid w:val="00F95FC5"/>
    <w:rsid w:val="00FA7F32"/>
    <w:rsid w:val="00FB02AE"/>
    <w:rsid w:val="00FB0AFC"/>
    <w:rsid w:val="00FB3369"/>
    <w:rsid w:val="00FB3A36"/>
    <w:rsid w:val="00FB48E1"/>
    <w:rsid w:val="00FC1957"/>
    <w:rsid w:val="00FE7348"/>
    <w:rsid w:val="00FF5785"/>
    <w:rsid w:val="00FF78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F8DC0"/>
  <w15:chartTrackingRefBased/>
  <w15:docId w15:val="{15106B09-27B9-4461-AB81-A27D0DD3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E06061"/>
    <w:pPr>
      <w:numPr>
        <w:numId w:val="18"/>
      </w:numPr>
      <w:tabs>
        <w:tab w:val="clear" w:pos="990"/>
      </w:tabs>
      <w:spacing w:before="120" w:after="120" w:line="240" w:lineRule="auto"/>
      <w:ind w:left="0"/>
      <w:jc w:val="both"/>
    </w:pPr>
  </w:style>
  <w:style w:type="paragraph" w:customStyle="1" w:styleId="Citationenretrait">
    <w:name w:val="Citation en retrait"/>
    <w:basedOn w:val="Normal"/>
    <w:link w:val="CitationenretraitCar"/>
    <w:qFormat/>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Char,Char Char,Char Char Char,Char Char Char Char Char,FA Fu,Footnote Text Char Char Char Char,Footnote Text Char Char Char Char Char,Footnote ak,Footnote reference,Footnote text,Footnotes,Nota de rodapé,fn,ft,ft Char Ch,ft2"/>
    <w:basedOn w:val="Normal"/>
    <w:link w:val="NotedebasdepageCar"/>
    <w:uiPriority w:val="99"/>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rsid w:val="00447A05"/>
    <w:pPr>
      <w:ind w:left="-108"/>
    </w:pPr>
    <w:rPr>
      <w:rFonts w:eastAsiaTheme="minorHAnsi" w:cs="Arial"/>
      <w:szCs w:val="24"/>
    </w:rPr>
  </w:style>
  <w:style w:type="paragraph" w:customStyle="1" w:styleId="zSoquijlblProvince">
    <w:name w:val="zSoquij_lblProvince"/>
    <w:basedOn w:val="Normal"/>
    <w:rsid w:val="00447A05"/>
    <w:pPr>
      <w:ind w:left="-108"/>
    </w:pPr>
    <w:rPr>
      <w:rFonts w:eastAsiaTheme="minorHAnsi" w:cs="Arial"/>
      <w:szCs w:val="24"/>
    </w:rPr>
  </w:style>
  <w:style w:type="paragraph" w:customStyle="1" w:styleId="zSoquijlblGreffe">
    <w:name w:val="zSoquij_lblGreffe"/>
    <w:basedOn w:val="Normal"/>
    <w:rsid w:val="00F933A4"/>
    <w:pPr>
      <w:ind w:left="-108"/>
    </w:pPr>
    <w:rPr>
      <w:rFonts w:eastAsiaTheme="minorHAnsi" w:cs="Arial"/>
      <w:szCs w:val="24"/>
    </w:rPr>
  </w:style>
  <w:style w:type="paragraph" w:customStyle="1" w:styleId="zSoquijdatGreffe">
    <w:name w:val="zSoquij_datGreffe"/>
    <w:basedOn w:val="Normal"/>
    <w:rsid w:val="00F95FC5"/>
    <w:pPr>
      <w:ind w:left="-108"/>
    </w:pPr>
    <w:rPr>
      <w:rFonts w:eastAsiaTheme="minorHAnsi" w:cs="Arial"/>
      <w:szCs w:val="24"/>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rsid w:val="00392DCA"/>
    <w:rPr>
      <w:rFonts w:eastAsiaTheme="minorHAnsi" w:cs="Arial"/>
      <w:szCs w:val="24"/>
    </w:rPr>
  </w:style>
  <w:style w:type="paragraph" w:customStyle="1" w:styleId="zSoquijdatNoDossier">
    <w:name w:val="zSoquij_datNoDossier"/>
    <w:basedOn w:val="Normal"/>
    <w:rsid w:val="00160465"/>
    <w:pPr>
      <w:ind w:left="-108"/>
    </w:pPr>
    <w:rPr>
      <w:rFonts w:eastAsiaTheme="minorHAnsi" w:cs="Arial"/>
      <w:szCs w:val="24"/>
    </w:rPr>
  </w:style>
  <w:style w:type="paragraph" w:customStyle="1" w:styleId="zSoquijdatNoDossierAnt">
    <w:name w:val="zSoquij_datNoDossierAnt"/>
    <w:basedOn w:val="Normal"/>
    <w:rsid w:val="00160465"/>
    <w:pPr>
      <w:ind w:left="-108"/>
    </w:pPr>
    <w:rPr>
      <w:rFonts w:eastAsiaTheme="minorHAnsi" w:cs="Arial"/>
      <w:szCs w:val="24"/>
    </w:rPr>
  </w:style>
  <w:style w:type="paragraph" w:customStyle="1" w:styleId="zSoquijdatDateJugement">
    <w:name w:val="zSoquij_datDateJugement"/>
    <w:basedOn w:val="Normal"/>
    <w:rsid w:val="00160465"/>
    <w:pPr>
      <w:ind w:left="-108"/>
    </w:pPr>
    <w:rPr>
      <w:rFonts w:eastAsiaTheme="minorHAnsi" w:cs="Arial"/>
      <w:szCs w:val="24"/>
    </w:rPr>
  </w:style>
  <w:style w:type="paragraph" w:customStyle="1" w:styleId="zSoquijlblDateJugement">
    <w:name w:val="zSoquij_lblDateJugement"/>
    <w:basedOn w:val="Normal"/>
  </w:style>
  <w:style w:type="paragraph" w:customStyle="1" w:styleId="zSoquijlblJuge">
    <w:name w:val="zSoquij_lblJuge"/>
    <w:basedOn w:val="Normal"/>
    <w:rsid w:val="00DC384E"/>
    <w:pPr>
      <w:ind w:left="-108"/>
    </w:pPr>
    <w:rPr>
      <w:rFonts w:eastAsiaTheme="minorHAnsi" w:cs="Arial"/>
      <w:szCs w:val="24"/>
    </w:rPr>
  </w:style>
  <w:style w:type="paragraph" w:customStyle="1" w:styleId="zSoquijdatQteJuge">
    <w:name w:val="zSoquij_datQteJuge"/>
    <w:basedOn w:val="Normal"/>
    <w:rsid w:val="00FB0AFC"/>
    <w:rPr>
      <w:rFonts w:eastAsiaTheme="minorHAnsi" w:cs="Arial"/>
      <w:szCs w:val="24"/>
    </w:rPr>
  </w:style>
  <w:style w:type="paragraph" w:customStyle="1" w:styleId="zSoquijdatJuge1">
    <w:name w:val="zSoquij_datJuge_1"/>
    <w:basedOn w:val="Normal"/>
    <w:qFormat/>
    <w:rsid w:val="00FB0AFC"/>
    <w:pPr>
      <w:ind w:left="-103"/>
    </w:pPr>
    <w:rPr>
      <w:rFonts w:eastAsiaTheme="minorHAnsi" w:cs="Arial"/>
      <w:szCs w:val="24"/>
    </w:rPr>
  </w:style>
  <w:style w:type="paragraph" w:customStyle="1" w:styleId="zSoquijdatNomPartieDem">
    <w:name w:val="zSoquij_datNomPartieDem"/>
    <w:basedOn w:val="Normal"/>
    <w:rsid w:val="00F12661"/>
    <w:pPr>
      <w:jc w:val="center"/>
    </w:pPr>
    <w:rPr>
      <w:b/>
      <w:bCs/>
    </w:rPr>
  </w:style>
  <w:style w:type="paragraph" w:customStyle="1" w:styleId="zSoquijdatQtePartieDem">
    <w:name w:val="zSoquij_datQtePartieDem"/>
    <w:basedOn w:val="Normal"/>
    <w:rsid w:val="00FA7F32"/>
    <w:pPr>
      <w:spacing w:before="120" w:after="120" w:line="240" w:lineRule="auto"/>
      <w:jc w:val="center"/>
    </w:pPr>
    <w:rPr>
      <w:rFonts w:cs="Arial"/>
      <w:kern w:val="28"/>
      <w:szCs w:val="24"/>
    </w:rPr>
  </w:style>
  <w:style w:type="paragraph" w:customStyle="1" w:styleId="zSoquijlblLienParties">
    <w:name w:val="zSoquij_lblLienParties"/>
    <w:basedOn w:val="Normal"/>
  </w:style>
  <w:style w:type="paragraph" w:customStyle="1" w:styleId="zSoquijdatNomPartieDef">
    <w:name w:val="zSoquij_datNomPartieDef"/>
    <w:basedOn w:val="Normal"/>
    <w:rsid w:val="007519EA"/>
    <w:pPr>
      <w:jc w:val="center"/>
    </w:pPr>
    <w:rPr>
      <w:b/>
      <w:bCs/>
    </w:rPr>
  </w:style>
  <w:style w:type="paragraph" w:customStyle="1" w:styleId="zSoquijdatQtePartieDef">
    <w:name w:val="zSoquij_datQtePartieDef"/>
    <w:basedOn w:val="Normal"/>
    <w:rsid w:val="00FA7F32"/>
    <w:pPr>
      <w:spacing w:before="120" w:after="120" w:line="240" w:lineRule="auto"/>
      <w:jc w:val="center"/>
    </w:pPr>
    <w:rPr>
      <w:rFonts w:cs="Arial"/>
      <w:kern w:val="28"/>
      <w:szCs w:val="24"/>
    </w:r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rsid w:val="00C551F8"/>
    <w:pPr>
      <w:spacing w:before="40" w:after="40" w:line="240" w:lineRule="auto"/>
      <w:jc w:val="center"/>
    </w:pPr>
    <w:rPr>
      <w:rFonts w:cs="Arial"/>
      <w:kern w:val="28"/>
      <w:szCs w:val="24"/>
    </w:rPr>
  </w:style>
  <w:style w:type="paragraph" w:customStyle="1" w:styleId="zSoquijlblProcureurDef">
    <w:name w:val="zSoquij_lblProcureurDef"/>
    <w:basedOn w:val="Normal"/>
    <w:rsid w:val="00C551F8"/>
    <w:pPr>
      <w:spacing w:before="40" w:after="40" w:line="240" w:lineRule="auto"/>
      <w:jc w:val="center"/>
    </w:pPr>
    <w:rPr>
      <w:rFonts w:cs="Arial"/>
      <w:kern w:val="28"/>
      <w:szCs w:val="24"/>
    </w:rPr>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rsid w:val="00F12661"/>
    <w:pPr>
      <w:keepNext/>
    </w:pPr>
  </w:style>
  <w:style w:type="paragraph" w:customStyle="1" w:styleId="zSoquijdatNomProcureurDef">
    <w:name w:val="zSoquij_datNomProcureurDef"/>
    <w:basedOn w:val="zSoquijlblProcureurDef"/>
    <w:rsid w:val="002E7403"/>
    <w:pPr>
      <w:keepNext/>
    </w:pPr>
  </w:style>
  <w:style w:type="paragraph" w:customStyle="1" w:styleId="zSoquijdatCabinetProcureurDem">
    <w:name w:val="zSoquij_datCabinetProcureurDem"/>
    <w:basedOn w:val="Normal"/>
    <w:rsid w:val="00F12661"/>
    <w:pPr>
      <w:keepNext/>
      <w:jc w:val="center"/>
    </w:pPr>
    <w:rPr>
      <w:lang w:val="es-ES"/>
    </w:rPr>
  </w:style>
  <w:style w:type="paragraph" w:customStyle="1" w:styleId="zSoquijdatCabinetProcureurDef">
    <w:name w:val="zSoquij_datCabinetProcureurDef"/>
    <w:basedOn w:val="zSoquijlblProcureurDef"/>
    <w:rsid w:val="002E7403"/>
    <w:pPr>
      <w:keepNext/>
    </w:pPr>
    <w:rPr>
      <w:lang w:val="es-ES"/>
    </w:r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link w:val="TableaudroiteanglaisCar"/>
    <w:pPr>
      <w:ind w:left="144" w:right="720"/>
      <w:jc w:val="both"/>
    </w:pPr>
    <w:rPr>
      <w:lang w:val="en-CA"/>
    </w:rPr>
  </w:style>
  <w:style w:type="paragraph" w:customStyle="1" w:styleId="Tableaugauchefranais">
    <w:name w:val="Tableau gauche français"/>
    <w:basedOn w:val="Normal"/>
    <w:link w:val="TableaugauchefranaisCar"/>
    <w:pPr>
      <w:ind w:left="720" w:right="144"/>
    </w:pPr>
    <w:rPr>
      <w:sz w:val="22"/>
    </w:rPr>
  </w:style>
  <w:style w:type="character" w:styleId="Appelnotedebasdep">
    <w:name w:val="footnote reference"/>
    <w:aliases w:val="Char Char6 Char Char Char Char Char Char Char Char Char Char Char Char,Char6 Char Char Char Char Char Char Char Char Char Char Char Char Char,Footnote,Ref,de nota al pie,fr"/>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character" w:customStyle="1" w:styleId="NotedebasdepageCar">
    <w:name w:val="Note de bas de page Car"/>
    <w:aliases w:val="Char Car,Char Char Car,Char Char Char Car,Char Char Char Char Char Car,FA Fu Car,Footnote Text Char Char Char Char Car,Footnote Text Char Char Char Char Char Car,Footnote ak Car,Footnote reference Car,Footnote text Car,fn Car"/>
    <w:basedOn w:val="Policepardfaut"/>
    <w:link w:val="Notedebasdepage"/>
    <w:uiPriority w:val="99"/>
    <w:rsid w:val="00FB3A36"/>
    <w:rPr>
      <w:rFonts w:ascii="Arial" w:hAnsi="Arial"/>
      <w:lang w:eastAsia="fr-FR"/>
    </w:rPr>
  </w:style>
  <w:style w:type="character" w:customStyle="1" w:styleId="ParagrapheCar">
    <w:name w:val="Paragraphe Car"/>
    <w:link w:val="Paragraphe"/>
    <w:qFormat/>
    <w:rsid w:val="00E06061"/>
    <w:rPr>
      <w:rFonts w:ascii="Arial" w:hAnsi="Arial"/>
      <w:sz w:val="24"/>
      <w:lang w:eastAsia="fr-FR"/>
    </w:rPr>
  </w:style>
  <w:style w:type="paragraph" w:styleId="Textedebulles">
    <w:name w:val="Balloon Text"/>
    <w:basedOn w:val="Normal"/>
    <w:link w:val="TextedebullesCar"/>
    <w:uiPriority w:val="99"/>
    <w:semiHidden/>
    <w:unhideWhenUsed/>
    <w:rsid w:val="00082F0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2F0A"/>
    <w:rPr>
      <w:rFonts w:ascii="Segoe UI" w:hAnsi="Segoe UI" w:cs="Segoe UI"/>
      <w:sz w:val="18"/>
      <w:szCs w:val="18"/>
      <w:lang w:eastAsia="fr-FR"/>
    </w:rPr>
  </w:style>
  <w:style w:type="character" w:styleId="Hyperlien">
    <w:name w:val="Hyperlink"/>
    <w:uiPriority w:val="99"/>
    <w:rsid w:val="00711DD5"/>
    <w:rPr>
      <w:noProof w:val="0"/>
      <w:color w:val="0000FF"/>
      <w:u w:val="single"/>
      <w:lang w:val="fr-CA"/>
    </w:rPr>
  </w:style>
  <w:style w:type="character" w:customStyle="1" w:styleId="TableaugauchefranaisCar">
    <w:name w:val="Tableau gauche français Car"/>
    <w:link w:val="Tableaugauchefranais"/>
    <w:rsid w:val="00711DD5"/>
    <w:rPr>
      <w:rFonts w:ascii="Arial" w:hAnsi="Arial"/>
      <w:sz w:val="22"/>
      <w:lang w:eastAsia="fr-FR"/>
    </w:rPr>
  </w:style>
  <w:style w:type="character" w:customStyle="1" w:styleId="TableaudroiteanglaisCar">
    <w:name w:val="Tableau droite anglais Car"/>
    <w:link w:val="Tableaudroiteanglais"/>
    <w:rsid w:val="00711DD5"/>
    <w:rPr>
      <w:rFonts w:ascii="Arial" w:hAnsi="Arial"/>
      <w:sz w:val="22"/>
      <w:lang w:val="en-CA" w:eastAsia="fr-FR"/>
    </w:rPr>
  </w:style>
  <w:style w:type="character" w:customStyle="1" w:styleId="CitationenretraitCar">
    <w:name w:val="Citation en retrait Car"/>
    <w:link w:val="Citationenretrait"/>
    <w:rsid w:val="00711DD5"/>
    <w:rPr>
      <w:rFonts w:ascii="Arial" w:hAnsi="Arial"/>
      <w:kern w:val="24"/>
      <w:sz w:val="22"/>
      <w:lang w:eastAsia="fr-FR"/>
    </w:rPr>
  </w:style>
  <w:style w:type="character" w:styleId="Marquedecommentaire">
    <w:name w:val="annotation reference"/>
    <w:basedOn w:val="Policepardfaut"/>
    <w:uiPriority w:val="99"/>
    <w:semiHidden/>
    <w:unhideWhenUsed/>
    <w:rsid w:val="00711DD5"/>
    <w:rPr>
      <w:sz w:val="16"/>
      <w:szCs w:val="16"/>
    </w:rPr>
  </w:style>
  <w:style w:type="paragraph" w:styleId="Commentaire">
    <w:name w:val="annotation text"/>
    <w:basedOn w:val="Normal"/>
    <w:link w:val="CommentaireCar"/>
    <w:uiPriority w:val="99"/>
    <w:unhideWhenUsed/>
    <w:rsid w:val="00711DD5"/>
    <w:pPr>
      <w:spacing w:line="240" w:lineRule="auto"/>
    </w:pPr>
    <w:rPr>
      <w:sz w:val="20"/>
    </w:rPr>
  </w:style>
  <w:style w:type="character" w:customStyle="1" w:styleId="CommentaireCar">
    <w:name w:val="Commentaire Car"/>
    <w:basedOn w:val="Policepardfaut"/>
    <w:link w:val="Commentaire"/>
    <w:uiPriority w:val="99"/>
    <w:rsid w:val="00711DD5"/>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711DD5"/>
    <w:rPr>
      <w:b/>
      <w:bCs/>
    </w:rPr>
  </w:style>
  <w:style w:type="character" w:customStyle="1" w:styleId="ObjetducommentaireCar">
    <w:name w:val="Objet du commentaire Car"/>
    <w:basedOn w:val="CommentaireCar"/>
    <w:link w:val="Objetducommentaire"/>
    <w:uiPriority w:val="99"/>
    <w:semiHidden/>
    <w:rsid w:val="00711DD5"/>
    <w:rPr>
      <w:rFonts w:ascii="Arial" w:hAnsi="Arial"/>
      <w:b/>
      <w:bCs/>
      <w:lang w:eastAsia="fr-FR"/>
    </w:rPr>
  </w:style>
  <w:style w:type="table" w:styleId="Grilledutableau">
    <w:name w:val="Table Grid"/>
    <w:basedOn w:val="TableauNormal"/>
    <w:uiPriority w:val="39"/>
    <w:rsid w:val="002C1B95"/>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009B2"/>
    <w:rPr>
      <w:color w:val="808080"/>
    </w:rPr>
  </w:style>
  <w:style w:type="table" w:customStyle="1" w:styleId="Grilledutableau1">
    <w:name w:val="Grille du tableau1"/>
    <w:basedOn w:val="TableauNormal"/>
    <w:next w:val="Grilledutableau"/>
    <w:uiPriority w:val="39"/>
    <w:rsid w:val="00887EEB"/>
    <w:rPr>
      <w:rFonts w:ascii="Arial" w:hAnsi="Arial"/>
      <w:sz w:val="24"/>
    </w:rPr>
    <w:tblPr>
      <w:tblBorders>
        <w:top w:val="single" w:sz="4" w:space="0" w:color="auto"/>
        <w:bottom w:val="single" w:sz="4" w:space="0" w:color="auto"/>
      </w:tblBorders>
    </w:tblPr>
  </w:style>
  <w:style w:type="paragraph" w:customStyle="1" w:styleId="zSoquijdatNomPartieMec">
    <w:name w:val="zSoquij_datNomPartieMec"/>
    <w:basedOn w:val="Normal"/>
    <w:qFormat/>
    <w:rsid w:val="002E7403"/>
    <w:pPr>
      <w:spacing w:line="240" w:lineRule="auto"/>
      <w:jc w:val="center"/>
    </w:pPr>
    <w:rPr>
      <w:b/>
      <w:bCs/>
    </w:rPr>
  </w:style>
  <w:style w:type="paragraph" w:customStyle="1" w:styleId="zSoquijdatNomProcureurMec">
    <w:name w:val="zSoquij_datNomProcureurMec"/>
    <w:basedOn w:val="Normal"/>
    <w:qFormat/>
    <w:rsid w:val="00F3537E"/>
    <w:pPr>
      <w:spacing w:line="240" w:lineRule="auto"/>
      <w:jc w:val="center"/>
    </w:pPr>
  </w:style>
  <w:style w:type="paragraph" w:customStyle="1" w:styleId="zSoquijdatCabinetProcureurMec">
    <w:name w:val="zSoquij_datCabinetProcureurMec"/>
    <w:basedOn w:val="Normal"/>
    <w:qFormat/>
    <w:rsid w:val="00F3537E"/>
    <w:pPr>
      <w:spacing w:line="240" w:lineRule="auto"/>
      <w:jc w:val="center"/>
    </w:pPr>
    <w:rPr>
      <w:lang w:val="es-ES"/>
    </w:rPr>
  </w:style>
  <w:style w:type="paragraph" w:customStyle="1" w:styleId="zSoquijdatJuge2">
    <w:name w:val="zSoquij_datJuge_2"/>
    <w:basedOn w:val="zSoquijdatJuge1"/>
    <w:qFormat/>
    <w:rsid w:val="00836D3E"/>
  </w:style>
  <w:style w:type="paragraph" w:customStyle="1" w:styleId="zSoquijdatJuge3">
    <w:name w:val="zSoquij_datJuge_3"/>
    <w:basedOn w:val="zSoquijdatJuge1"/>
    <w:qFormat/>
    <w:rsid w:val="00836D3E"/>
  </w:style>
  <w:style w:type="paragraph" w:customStyle="1" w:styleId="zSoquijdatQtePartieMec">
    <w:name w:val="zSoquij_datQtePartieMec"/>
    <w:basedOn w:val="zSoquijdatQtePartieDem"/>
    <w:qFormat/>
    <w:rsid w:val="00C551F8"/>
  </w:style>
  <w:style w:type="paragraph" w:customStyle="1" w:styleId="zSoquijlblProcureurMec">
    <w:name w:val="zSoquij_lblProcureurMec"/>
    <w:basedOn w:val="zSoquijlblProcureurDef"/>
    <w:qFormat/>
    <w:rsid w:val="00C551F8"/>
  </w:style>
  <w:style w:type="character" w:customStyle="1" w:styleId="normaltextrun">
    <w:name w:val="normaltextrun"/>
    <w:basedOn w:val="Policepardfaut"/>
    <w:rsid w:val="00303011"/>
  </w:style>
  <w:style w:type="character" w:customStyle="1" w:styleId="eop">
    <w:name w:val="eop"/>
    <w:basedOn w:val="Policepardfaut"/>
    <w:rsid w:val="00303011"/>
  </w:style>
  <w:style w:type="character" w:customStyle="1" w:styleId="solexhl">
    <w:name w:val="solexhl"/>
    <w:basedOn w:val="Policepardfaut"/>
    <w:rsid w:val="003E40D4"/>
  </w:style>
  <w:style w:type="paragraph" w:customStyle="1" w:styleId="JgtParagraphe">
    <w:name w:val="Jgt Paragraphe"/>
    <w:basedOn w:val="Normal"/>
    <w:qFormat/>
    <w:rsid w:val="003E40D4"/>
    <w:pPr>
      <w:tabs>
        <w:tab w:val="num" w:pos="720"/>
      </w:tabs>
      <w:spacing w:before="120" w:after="120" w:line="500" w:lineRule="exact"/>
      <w:jc w:val="both"/>
    </w:pPr>
    <w:rPr>
      <w:rFonts w:cs="Arial"/>
      <w:color w:val="000000"/>
      <w:kern w:val="28"/>
      <w:szCs w:val="24"/>
      <w:lang w:eastAsia="en-US"/>
    </w:rPr>
  </w:style>
  <w:style w:type="paragraph" w:styleId="Rvision">
    <w:name w:val="Revision"/>
    <w:hidden/>
    <w:uiPriority w:val="99"/>
    <w:semiHidden/>
    <w:rsid w:val="00DE7999"/>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225C06EA34277959CB8F2EBED027D"/>
        <w:category>
          <w:name w:val="Général"/>
          <w:gallery w:val="placeholder"/>
        </w:category>
        <w:types>
          <w:type w:val="bbPlcHdr"/>
        </w:types>
        <w:behaviors>
          <w:behavior w:val="content"/>
        </w:behaviors>
        <w:guid w:val="{9A0DF1DF-0242-49EA-ACD2-6C299B4D8923}"/>
      </w:docPartPr>
      <w:docPartBody>
        <w:p w:rsidR="005D1CA5" w:rsidRDefault="005D1CA5" w:rsidP="005D1CA5">
          <w:pPr>
            <w:pStyle w:val="891225C06EA34277959CB8F2EBED027D"/>
          </w:pPr>
          <w:r w:rsidRPr="003B65F2">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85"/>
    <w:rsid w:val="00081D7C"/>
    <w:rsid w:val="00347C5E"/>
    <w:rsid w:val="004361DD"/>
    <w:rsid w:val="0044060A"/>
    <w:rsid w:val="004607A3"/>
    <w:rsid w:val="004D10FD"/>
    <w:rsid w:val="004D585A"/>
    <w:rsid w:val="005D1CA5"/>
    <w:rsid w:val="0060721E"/>
    <w:rsid w:val="00614E0D"/>
    <w:rsid w:val="006652C2"/>
    <w:rsid w:val="009B5F85"/>
    <w:rsid w:val="00BB042E"/>
    <w:rsid w:val="00C8333C"/>
    <w:rsid w:val="00CB62A6"/>
    <w:rsid w:val="00EE09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1CA5"/>
    <w:rPr>
      <w:color w:val="808080"/>
    </w:rPr>
  </w:style>
  <w:style w:type="paragraph" w:customStyle="1" w:styleId="140462DD9F6D4DC4910B5C88414FEF2F">
    <w:name w:val="140462DD9F6D4DC4910B5C88414FEF2F"/>
    <w:rsid w:val="004D10FD"/>
  </w:style>
  <w:style w:type="paragraph" w:customStyle="1" w:styleId="891225C06EA34277959CB8F2EBED027D">
    <w:name w:val="891225C06EA34277959CB8F2EBED027D"/>
    <w:rsid w:val="005D1CA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teur_x0020_du_x0020_document xmlns="4dfbed45-abbb-4b63-a31e-d7ffeeefdcae" xsi:nil="true"/>
    <PublishingExpirationDate xmlns="dca0bc24-81a7-447d-9f55-b1d7a29c61b2" xsi:nil="true"/>
    <PublishingStartDate xmlns="dca0bc24-81a7-447d-9f55-b1d7a29c61b2" xsi:nil="true"/>
    <lcf76f155ced4ddcb4097134ff3c332f xmlns="dca0bc24-81a7-447d-9f55-b1d7a29c61b2">
      <Terms xmlns="http://schemas.microsoft.com/office/infopath/2007/PartnerControls"/>
    </lcf76f155ced4ddcb4097134ff3c332f>
    <TaxCatchAll xmlns="4dfbed45-abbb-4b63-a31e-d7ffeeefdc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770F2B928FDB48896B0941B624CC9E" ma:contentTypeVersion="19" ma:contentTypeDescription="Crée un document." ma:contentTypeScope="" ma:versionID="b46ecfb704b2c57c9e71e211b73ea7fb">
  <xsd:schema xmlns:xsd="http://www.w3.org/2001/XMLSchema" xmlns:xs="http://www.w3.org/2001/XMLSchema" xmlns:p="http://schemas.microsoft.com/office/2006/metadata/properties" xmlns:ns2="dca0bc24-81a7-447d-9f55-b1d7a29c61b2" xmlns:ns3="4dfbed45-abbb-4b63-a31e-d7ffeeefdcae" targetNamespace="http://schemas.microsoft.com/office/2006/metadata/properties" ma:root="true" ma:fieldsID="1925627f6109fd819f7275e34af869bf" ns2:_="" ns3:_="">
    <xsd:import namespace="dca0bc24-81a7-447d-9f55-b1d7a29c61b2"/>
    <xsd:import namespace="4dfbed45-abbb-4b63-a31e-d7ffeeefdcae"/>
    <xsd:element name="properties">
      <xsd:complexType>
        <xsd:sequence>
          <xsd:element name="documentManagement">
            <xsd:complexType>
              <xsd:all>
                <xsd:element ref="ns2:PublishingStartDate" minOccurs="0"/>
                <xsd:element ref="ns2:PublishingExpirationDate" minOccurs="0"/>
                <xsd:element ref="ns3:Auteur_x0020_du_x0020_document" minOccurs="0"/>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bc24-81a7-447d-9f55-b1d7a29c61b2"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 ma:format="DateTime" ma:internalName="PublishingStartDate" ma:readOnly="false">
      <xsd:simpleType>
        <xsd:restriction base="dms:Unknown"/>
      </xsd:simpleType>
    </xsd:element>
    <xsd:element name="PublishingExpirationDate" ma:index="5" nillable="true" ma:displayName="Date de fin de planification" ma:description="" ma:format="DateTime" ma:internalName="PublishingExpirationDate" ma:readOnly="false">
      <xsd:simpleType>
        <xsd:restriction base="dms:Unknow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b9b14b7a-cac8-4449-987a-68cfb39174c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bed45-abbb-4b63-a31e-d7ffeeefdcae" elementFormDefault="qualified">
    <xsd:import namespace="http://schemas.microsoft.com/office/2006/documentManagement/types"/>
    <xsd:import namespace="http://schemas.microsoft.com/office/infopath/2007/PartnerControls"/>
    <xsd:element name="Auteur_x0020_du_x0020_document" ma:index="6" nillable="true" ma:displayName="Auteur du document" ma:description="Auteur principal" ma:internalName="Auteur_x0020_du_x0020_document" ma:readOnly="false">
      <xsd:simpleType>
        <xsd:restriction base="dms:Text">
          <xsd:maxLength value="255"/>
        </xsd:restriction>
      </xsd:simpleType>
    </xsd:element>
    <xsd:element name="TaxCatchAll" ma:index="16" nillable="true" ma:displayName="Taxonomy Catch All Column" ma:hidden="true" ma:list="{39410d8e-a21d-4875-85bf-1e0e21b676a4}" ma:internalName="TaxCatchAll" ma:showField="CatchAllData" ma:web="4dfbed45-abbb-4b63-a31e-d7ffeeefd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256C5-2120-47CD-9705-4C0C5831D503}">
  <ds:schemaRefs>
    <ds:schemaRef ds:uri="http://schemas.microsoft.com/sharepoint/v3/contenttype/forms"/>
  </ds:schemaRefs>
</ds:datastoreItem>
</file>

<file path=customXml/itemProps2.xml><?xml version="1.0" encoding="utf-8"?>
<ds:datastoreItem xmlns:ds="http://schemas.openxmlformats.org/officeDocument/2006/customXml" ds:itemID="{3519E368-B3E8-45DA-B27D-C302E8E1726C}">
  <ds:schemaRefs>
    <ds:schemaRef ds:uri="http://schemas.microsoft.com/office/2006/metadata/properties"/>
    <ds:schemaRef ds:uri="http://schemas.microsoft.com/office/infopath/2007/PartnerControls"/>
    <ds:schemaRef ds:uri="4dfbed45-abbb-4b63-a31e-d7ffeeefdcae"/>
    <ds:schemaRef ds:uri="dca0bc24-81a7-447d-9f55-b1d7a29c61b2"/>
  </ds:schemaRefs>
</ds:datastoreItem>
</file>

<file path=customXml/itemProps3.xml><?xml version="1.0" encoding="utf-8"?>
<ds:datastoreItem xmlns:ds="http://schemas.openxmlformats.org/officeDocument/2006/customXml" ds:itemID="{9CD4D526-A7BF-41BD-9919-DD1E5C69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bc24-81a7-447d-9f55-b1d7a29c61b2"/>
    <ds:schemaRef ds:uri="4dfbed45-abbb-4b63-a31e-d7ffeeefd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5EAAE-8313-487C-A9D0-999B0649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1508</Words>
  <Characters>8294</Characters>
  <Application>Microsoft Office Word</Application>
  <DocSecurity>0</DocSecurity>
  <Lines>69</Lines>
  <Paragraphs>19</Paragraphs>
  <ScaleCrop>false</ScaleCrop>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Paillé, Pryscilla</dc:creator>
  <cp:lastModifiedBy>Bourgon, Véronique</cp:lastModifiedBy>
  <cp:revision>3</cp:revision>
  <dcterms:created xsi:type="dcterms:W3CDTF">2025-02-12T17:50:00Z</dcterms:created>
  <dcterms:modified xsi:type="dcterms:W3CDTF">2025-06-10T13:23:00Z</dcterms:modified>
</cp:coreProperties>
</file>