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54"/>
        <w:gridCol w:w="1343"/>
        <w:gridCol w:w="1219"/>
        <w:gridCol w:w="3764"/>
      </w:tblGrid>
      <w:tr w:rsidR="009C665E" w:rsidRPr="009C665E" w14:paraId="6E33A43A" w14:textId="77777777" w:rsidTr="009C665E">
        <w:trPr>
          <w:trHeight w:val="1786"/>
        </w:trPr>
        <w:tc>
          <w:tcPr>
            <w:tcW w:w="5000" w:type="pct"/>
            <w:gridSpan w:val="4"/>
          </w:tcPr>
          <w:p w14:paraId="21A91AC5" w14:textId="77777777" w:rsidR="009C665E" w:rsidRPr="009C665E" w:rsidRDefault="009C665E" w:rsidP="009C665E">
            <w:pPr>
              <w:jc w:val="center"/>
              <w:rPr>
                <w:b/>
                <w:lang w:val="fr-CA"/>
              </w:rPr>
            </w:pPr>
            <w:r w:rsidRPr="009C665E">
              <w:rPr>
                <w:b/>
                <w:noProof/>
                <w:lang w:val="fr-CA" w:eastAsia="fr-CA"/>
              </w:rPr>
              <w:drawing>
                <wp:inline distT="0" distB="0" distL="0" distR="0" wp14:anchorId="006B9AC3" wp14:editId="3B1CD45A">
                  <wp:extent cx="1191895" cy="1638300"/>
                  <wp:effectExtent l="0" t="0" r="8255" b="0"/>
                  <wp:docPr id="3" name="Picture 3"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6F74C843" w14:textId="77777777" w:rsidR="009C665E" w:rsidRPr="009C665E" w:rsidRDefault="009C665E" w:rsidP="009C665E">
            <w:pPr>
              <w:spacing w:before="120" w:after="100" w:afterAutospacing="1"/>
              <w:jc w:val="center"/>
              <w:rPr>
                <w:lang w:val="fr-CA"/>
              </w:rPr>
            </w:pPr>
            <w:r w:rsidRPr="009C665E">
              <w:rPr>
                <w:b/>
                <w:lang w:val="fr-CA"/>
              </w:rPr>
              <w:t>COUR SUPRÊME DU CANADA</w:t>
            </w:r>
          </w:p>
        </w:tc>
      </w:tr>
      <w:tr w:rsidR="009C665E" w:rsidRPr="009C665E" w14:paraId="12092E92" w14:textId="77777777" w:rsidTr="009C665E">
        <w:tblPrEx>
          <w:tblCellMar>
            <w:top w:w="58" w:type="dxa"/>
            <w:left w:w="58" w:type="dxa"/>
            <w:bottom w:w="58" w:type="dxa"/>
            <w:right w:w="58" w:type="dxa"/>
          </w:tblCellMar>
        </w:tblPrEx>
        <w:trPr>
          <w:cantSplit/>
        </w:trPr>
        <w:tc>
          <w:tcPr>
            <w:tcW w:w="1991" w:type="pct"/>
            <w:gridSpan w:val="2"/>
          </w:tcPr>
          <w:p w14:paraId="4E3048DE" w14:textId="77777777" w:rsidR="009C665E" w:rsidRPr="009C665E" w:rsidRDefault="009C665E" w:rsidP="009C665E">
            <w:pPr>
              <w:rPr>
                <w:b/>
                <w:smallCaps/>
                <w:lang w:val="fr-CA"/>
              </w:rPr>
            </w:pPr>
          </w:p>
          <w:p w14:paraId="2D6859F8" w14:textId="77777777" w:rsidR="009C665E" w:rsidRPr="009C665E" w:rsidRDefault="009C665E" w:rsidP="009C665E">
            <w:pPr>
              <w:rPr>
                <w:b/>
                <w:smallCaps/>
                <w:lang w:val="fr-CA"/>
              </w:rPr>
            </w:pPr>
            <w:r w:rsidRPr="009C665E">
              <w:rPr>
                <w:b/>
                <w:smallCaps/>
                <w:lang w:val="fr-CA"/>
              </w:rPr>
              <w:t>Référence :</w:t>
            </w:r>
            <w:r w:rsidRPr="009C665E">
              <w:rPr>
                <w:lang w:val="fr-CA"/>
              </w:rPr>
              <w:t xml:space="preserve"> R. </w:t>
            </w:r>
            <w:r w:rsidRPr="009C665E">
              <w:rPr>
                <w:i/>
                <w:lang w:val="fr-CA"/>
              </w:rPr>
              <w:t>c.</w:t>
            </w:r>
            <w:r w:rsidRPr="009C665E">
              <w:rPr>
                <w:lang w:val="fr-CA"/>
              </w:rPr>
              <w:t xml:space="preserve"> Bouvette, 2025 CSC 18</w:t>
            </w:r>
          </w:p>
        </w:tc>
        <w:tc>
          <w:tcPr>
            <w:tcW w:w="736" w:type="pct"/>
          </w:tcPr>
          <w:p w14:paraId="17505976" w14:textId="77777777" w:rsidR="009C665E" w:rsidRPr="009C665E" w:rsidRDefault="009C665E" w:rsidP="009C665E">
            <w:pPr>
              <w:rPr>
                <w:lang w:val="fr-CA"/>
              </w:rPr>
            </w:pPr>
          </w:p>
        </w:tc>
        <w:tc>
          <w:tcPr>
            <w:tcW w:w="2273" w:type="pct"/>
          </w:tcPr>
          <w:p w14:paraId="0084B998" w14:textId="77777777" w:rsidR="009C665E" w:rsidRPr="009C665E" w:rsidRDefault="009C665E" w:rsidP="009C665E">
            <w:pPr>
              <w:jc w:val="both"/>
              <w:rPr>
                <w:b/>
                <w:smallCaps/>
                <w:lang w:val="fr-CA"/>
              </w:rPr>
            </w:pPr>
          </w:p>
          <w:p w14:paraId="7ED0B8C2" w14:textId="77777777" w:rsidR="009C665E" w:rsidRPr="009C665E" w:rsidRDefault="009C665E" w:rsidP="009C665E">
            <w:pPr>
              <w:jc w:val="both"/>
              <w:rPr>
                <w:lang w:val="fr-CA"/>
              </w:rPr>
            </w:pPr>
            <w:r w:rsidRPr="009C665E">
              <w:rPr>
                <w:b/>
                <w:smallCaps/>
                <w:lang w:val="fr-CA"/>
              </w:rPr>
              <w:t>Appel entendu :</w:t>
            </w:r>
            <w:r w:rsidRPr="009C665E">
              <w:rPr>
                <w:lang w:val="fr-CA"/>
              </w:rPr>
              <w:t xml:space="preserve"> 14 novembre 2024</w:t>
            </w:r>
          </w:p>
          <w:p w14:paraId="284CE1B1" w14:textId="77777777" w:rsidR="009C665E" w:rsidRPr="009C665E" w:rsidRDefault="009C665E" w:rsidP="009C665E">
            <w:pPr>
              <w:rPr>
                <w:lang w:val="fr-CA"/>
              </w:rPr>
            </w:pPr>
            <w:r w:rsidRPr="009C665E">
              <w:rPr>
                <w:b/>
                <w:smallCaps/>
                <w:lang w:val="fr-CA"/>
              </w:rPr>
              <w:t>Jugement rendu :</w:t>
            </w:r>
            <w:r w:rsidRPr="009C665E">
              <w:rPr>
                <w:lang w:val="fr-CA"/>
              </w:rPr>
              <w:t xml:space="preserve"> 6 juin 2025</w:t>
            </w:r>
          </w:p>
          <w:p w14:paraId="287B0204" w14:textId="77777777" w:rsidR="009C665E" w:rsidRPr="009C665E" w:rsidRDefault="009C665E" w:rsidP="009C665E">
            <w:pPr>
              <w:rPr>
                <w:lang w:val="fr-CA"/>
              </w:rPr>
            </w:pPr>
            <w:r w:rsidRPr="009C665E">
              <w:rPr>
                <w:b/>
                <w:smallCaps/>
                <w:lang w:val="fr-CA"/>
              </w:rPr>
              <w:t>Dossier :</w:t>
            </w:r>
            <w:r w:rsidRPr="009C665E">
              <w:rPr>
                <w:lang w:val="fr-CA"/>
              </w:rPr>
              <w:t xml:space="preserve"> 40780</w:t>
            </w:r>
          </w:p>
        </w:tc>
      </w:tr>
      <w:tr w:rsidR="009C665E" w:rsidRPr="00EB5626" w14:paraId="65F0EC51" w14:textId="77777777" w:rsidTr="009C665E">
        <w:tblPrEx>
          <w:tblCellMar>
            <w:top w:w="58" w:type="dxa"/>
            <w:left w:w="58" w:type="dxa"/>
            <w:bottom w:w="58" w:type="dxa"/>
            <w:right w:w="58" w:type="dxa"/>
          </w:tblCellMar>
        </w:tblPrEx>
        <w:trPr>
          <w:cantSplit/>
        </w:trPr>
        <w:tc>
          <w:tcPr>
            <w:tcW w:w="5000" w:type="pct"/>
            <w:gridSpan w:val="4"/>
          </w:tcPr>
          <w:p w14:paraId="054C45B9" w14:textId="71D2B1CC" w:rsidR="009C665E" w:rsidRPr="009C665E" w:rsidRDefault="009C665E" w:rsidP="009C665E">
            <w:pPr>
              <w:rPr>
                <w:lang w:val="fr-CA"/>
              </w:rPr>
            </w:pPr>
          </w:p>
          <w:p w14:paraId="5A1B83E7" w14:textId="77777777" w:rsidR="009C665E" w:rsidRPr="009C665E" w:rsidRDefault="009C665E" w:rsidP="009C665E">
            <w:pPr>
              <w:rPr>
                <w:b/>
                <w:smallCaps/>
                <w:lang w:val="fr-CA"/>
              </w:rPr>
            </w:pPr>
            <w:r w:rsidRPr="009C665E">
              <w:rPr>
                <w:b/>
                <w:smallCaps/>
                <w:lang w:val="fr-CA"/>
              </w:rPr>
              <w:t>Entre :</w:t>
            </w:r>
          </w:p>
          <w:p w14:paraId="6CA00982" w14:textId="77777777" w:rsidR="009C665E" w:rsidRPr="009C665E" w:rsidRDefault="009C665E" w:rsidP="009C665E">
            <w:pPr>
              <w:rPr>
                <w:lang w:val="fr-CA"/>
              </w:rPr>
            </w:pPr>
          </w:p>
          <w:p w14:paraId="5299C333" w14:textId="77777777" w:rsidR="009C665E" w:rsidRPr="009C665E" w:rsidRDefault="009C665E" w:rsidP="009C665E">
            <w:pPr>
              <w:jc w:val="center"/>
              <w:rPr>
                <w:b/>
                <w:lang w:val="fr-CA"/>
              </w:rPr>
            </w:pPr>
            <w:r w:rsidRPr="009C665E">
              <w:rPr>
                <w:b/>
                <w:lang w:val="fr-CA"/>
              </w:rPr>
              <w:t>Tammy Marion Bouvette</w:t>
            </w:r>
          </w:p>
          <w:p w14:paraId="6FE268D8" w14:textId="77777777" w:rsidR="009C665E" w:rsidRPr="009C665E" w:rsidRDefault="009C665E" w:rsidP="009C665E">
            <w:pPr>
              <w:jc w:val="center"/>
              <w:rPr>
                <w:lang w:val="fr-CA"/>
              </w:rPr>
            </w:pPr>
            <w:r w:rsidRPr="009C665E">
              <w:rPr>
                <w:lang w:val="fr-CA"/>
              </w:rPr>
              <w:t>Appelante</w:t>
            </w:r>
          </w:p>
          <w:p w14:paraId="5BDD2732" w14:textId="77777777" w:rsidR="009C665E" w:rsidRPr="009C665E" w:rsidRDefault="009C665E" w:rsidP="009C665E">
            <w:pPr>
              <w:rPr>
                <w:lang w:val="fr-CA"/>
              </w:rPr>
            </w:pPr>
          </w:p>
          <w:p w14:paraId="4E358566" w14:textId="77777777" w:rsidR="009C665E" w:rsidRPr="009C665E" w:rsidRDefault="009C665E" w:rsidP="009C665E">
            <w:pPr>
              <w:jc w:val="center"/>
              <w:rPr>
                <w:lang w:val="fr-CA"/>
              </w:rPr>
            </w:pPr>
            <w:proofErr w:type="gramStart"/>
            <w:r w:rsidRPr="009C665E">
              <w:rPr>
                <w:lang w:val="fr-CA"/>
              </w:rPr>
              <w:t>et</w:t>
            </w:r>
            <w:proofErr w:type="gramEnd"/>
          </w:p>
          <w:p w14:paraId="764B8AE5" w14:textId="77777777" w:rsidR="009C665E" w:rsidRPr="009C665E" w:rsidRDefault="009C665E" w:rsidP="009C665E">
            <w:pPr>
              <w:rPr>
                <w:lang w:val="fr-CA"/>
              </w:rPr>
            </w:pPr>
          </w:p>
          <w:p w14:paraId="4B1C6229" w14:textId="77777777" w:rsidR="009C665E" w:rsidRPr="009C665E" w:rsidRDefault="009C665E" w:rsidP="009C665E">
            <w:pPr>
              <w:jc w:val="center"/>
              <w:rPr>
                <w:b/>
                <w:lang w:val="fr-CA"/>
              </w:rPr>
            </w:pPr>
            <w:r w:rsidRPr="009C665E">
              <w:rPr>
                <w:b/>
                <w:lang w:val="fr-CA"/>
              </w:rPr>
              <w:t>Sa Majesté le Roi</w:t>
            </w:r>
          </w:p>
          <w:p w14:paraId="1AEE9930" w14:textId="77777777" w:rsidR="009C665E" w:rsidRPr="009C665E" w:rsidRDefault="009C665E" w:rsidP="009C665E">
            <w:pPr>
              <w:jc w:val="center"/>
              <w:rPr>
                <w:lang w:val="fr-CA"/>
              </w:rPr>
            </w:pPr>
            <w:r w:rsidRPr="009C665E">
              <w:rPr>
                <w:lang w:val="fr-CA"/>
              </w:rPr>
              <w:t>Intimé</w:t>
            </w:r>
          </w:p>
          <w:p w14:paraId="4E777531" w14:textId="77777777" w:rsidR="009C665E" w:rsidRPr="009C665E" w:rsidRDefault="009C665E" w:rsidP="009C665E">
            <w:pPr>
              <w:rPr>
                <w:lang w:val="fr-CA"/>
              </w:rPr>
            </w:pPr>
          </w:p>
          <w:p w14:paraId="57D7BFD3" w14:textId="77777777" w:rsidR="009C665E" w:rsidRPr="009C665E" w:rsidRDefault="009C665E" w:rsidP="009C665E">
            <w:pPr>
              <w:jc w:val="center"/>
              <w:rPr>
                <w:lang w:val="fr-CA"/>
              </w:rPr>
            </w:pPr>
            <w:r w:rsidRPr="009C665E">
              <w:rPr>
                <w:lang w:val="fr-CA"/>
              </w:rPr>
              <w:t>- et -</w:t>
            </w:r>
          </w:p>
          <w:p w14:paraId="0AE6F87E" w14:textId="77777777" w:rsidR="009C665E" w:rsidRPr="009C665E" w:rsidRDefault="009C665E" w:rsidP="009C665E">
            <w:pPr>
              <w:rPr>
                <w:lang w:val="fr-CA"/>
              </w:rPr>
            </w:pPr>
          </w:p>
          <w:p w14:paraId="1D521A96" w14:textId="77777777" w:rsidR="002109E2" w:rsidRDefault="002109E2" w:rsidP="009C665E">
            <w:pPr>
              <w:jc w:val="center"/>
              <w:rPr>
                <w:b/>
                <w:lang w:val="fr-CA"/>
              </w:rPr>
            </w:pPr>
            <w:r>
              <w:rPr>
                <w:b/>
                <w:lang w:val="fr-CA"/>
              </w:rPr>
              <w:t>Procureur général de l’Ontario,</w:t>
            </w:r>
          </w:p>
          <w:p w14:paraId="19729A56" w14:textId="6BCCB091" w:rsidR="00EB5626" w:rsidRDefault="009C665E" w:rsidP="009C665E">
            <w:pPr>
              <w:jc w:val="center"/>
              <w:rPr>
                <w:b/>
                <w:lang w:val="fr-CA"/>
              </w:rPr>
            </w:pPr>
            <w:r w:rsidRPr="009C665E">
              <w:rPr>
                <w:b/>
                <w:lang w:val="fr-CA"/>
              </w:rPr>
              <w:t>Association c</w:t>
            </w:r>
            <w:r w:rsidR="002109E2">
              <w:rPr>
                <w:b/>
                <w:lang w:val="fr-CA"/>
              </w:rPr>
              <w:t>anadienne des libertés civiles,</w:t>
            </w:r>
          </w:p>
          <w:p w14:paraId="59D7B065" w14:textId="5C978C3D" w:rsidR="009C665E" w:rsidRPr="009C665E" w:rsidRDefault="009C665E" w:rsidP="009C665E">
            <w:pPr>
              <w:jc w:val="center"/>
              <w:rPr>
                <w:b/>
                <w:lang w:val="fr-CA"/>
              </w:rPr>
            </w:pPr>
            <w:r w:rsidRPr="009C665E">
              <w:rPr>
                <w:b/>
                <w:lang w:val="fr-CA"/>
              </w:rPr>
              <w:t>Innocence Canada et Independent Criminal Defence Advocacy Society</w:t>
            </w:r>
          </w:p>
          <w:p w14:paraId="4296FC7E" w14:textId="77777777" w:rsidR="009C665E" w:rsidRPr="009C665E" w:rsidRDefault="009C665E" w:rsidP="009C665E">
            <w:pPr>
              <w:jc w:val="center"/>
              <w:rPr>
                <w:lang w:val="fr-CA"/>
              </w:rPr>
            </w:pPr>
            <w:r w:rsidRPr="009C665E">
              <w:rPr>
                <w:lang w:val="fr-CA"/>
              </w:rPr>
              <w:t>Intervenants</w:t>
            </w:r>
          </w:p>
          <w:p w14:paraId="35613388" w14:textId="77777777" w:rsidR="009C665E" w:rsidRPr="009C665E" w:rsidRDefault="009C665E" w:rsidP="009C665E">
            <w:pPr>
              <w:rPr>
                <w:lang w:val="fr-CA"/>
              </w:rPr>
            </w:pPr>
          </w:p>
          <w:p w14:paraId="6D02C65D" w14:textId="77777777" w:rsidR="009C665E" w:rsidRPr="009C665E" w:rsidRDefault="009C665E" w:rsidP="009C665E">
            <w:pPr>
              <w:jc w:val="center"/>
              <w:rPr>
                <w:b/>
                <w:smallCaps/>
                <w:lang w:val="fr-CA"/>
              </w:rPr>
            </w:pPr>
            <w:r w:rsidRPr="009C665E">
              <w:rPr>
                <w:b/>
                <w:smallCaps/>
                <w:lang w:val="fr-CA"/>
              </w:rPr>
              <w:t>Traduction française officielle</w:t>
            </w:r>
          </w:p>
          <w:p w14:paraId="1E80D573" w14:textId="77777777" w:rsidR="009C665E" w:rsidRPr="009C665E" w:rsidRDefault="009C665E" w:rsidP="009C665E">
            <w:pPr>
              <w:rPr>
                <w:lang w:val="fr-CA"/>
              </w:rPr>
            </w:pPr>
          </w:p>
          <w:p w14:paraId="4F895366" w14:textId="77777777" w:rsidR="009C665E" w:rsidRPr="009C665E" w:rsidRDefault="009C665E" w:rsidP="009C665E">
            <w:pPr>
              <w:rPr>
                <w:lang w:val="fr-CA"/>
              </w:rPr>
            </w:pPr>
            <w:r w:rsidRPr="009C665E">
              <w:rPr>
                <w:b/>
                <w:smallCaps/>
                <w:lang w:val="fr-CA"/>
              </w:rPr>
              <w:t>Coram :</w:t>
            </w:r>
            <w:r w:rsidRPr="009C665E">
              <w:rPr>
                <w:lang w:val="fr-CA"/>
              </w:rPr>
              <w:t xml:space="preserve"> Le juge en chef Wagner et les juges Karakatsanis, Côté, Rowe, Martin, Kasirer, Jamal, O’Bonsawin et Moreau</w:t>
            </w:r>
          </w:p>
          <w:p w14:paraId="625159DA" w14:textId="77777777" w:rsidR="009C665E" w:rsidRPr="009C665E" w:rsidRDefault="009C665E" w:rsidP="009C665E">
            <w:pPr>
              <w:jc w:val="both"/>
              <w:rPr>
                <w:b/>
                <w:smallCaps/>
                <w:lang w:val="fr-CA"/>
              </w:rPr>
            </w:pPr>
          </w:p>
        </w:tc>
      </w:tr>
      <w:tr w:rsidR="009C665E" w:rsidRPr="00EB5626" w14:paraId="309D3515" w14:textId="77777777" w:rsidTr="009C665E">
        <w:tblPrEx>
          <w:tblCellMar>
            <w:top w:w="58" w:type="dxa"/>
            <w:left w:w="58" w:type="dxa"/>
            <w:bottom w:w="58" w:type="dxa"/>
            <w:right w:w="58" w:type="dxa"/>
          </w:tblCellMar>
        </w:tblPrEx>
        <w:trPr>
          <w:cantSplit/>
        </w:trPr>
        <w:tc>
          <w:tcPr>
            <w:tcW w:w="1180" w:type="pct"/>
          </w:tcPr>
          <w:p w14:paraId="66A6BD62" w14:textId="77777777" w:rsidR="009C665E" w:rsidRPr="009C665E" w:rsidRDefault="009C665E" w:rsidP="009C665E">
            <w:pPr>
              <w:rPr>
                <w:b/>
                <w:smallCaps/>
                <w:lang w:val="fr-CA"/>
              </w:rPr>
            </w:pPr>
            <w:r w:rsidRPr="009C665E">
              <w:rPr>
                <w:b/>
                <w:smallCaps/>
                <w:lang w:val="fr-CA"/>
              </w:rPr>
              <w:t>Motifs de jugement :</w:t>
            </w:r>
          </w:p>
          <w:p w14:paraId="25BC5044" w14:textId="77777777" w:rsidR="009C665E" w:rsidRPr="009C665E" w:rsidRDefault="009C665E" w:rsidP="009C665E">
            <w:pPr>
              <w:rPr>
                <w:smallCaps/>
                <w:lang w:val="fr-CA"/>
              </w:rPr>
            </w:pPr>
            <w:r w:rsidRPr="009C665E">
              <w:rPr>
                <w:lang w:val="fr-CA"/>
              </w:rPr>
              <w:t>(</w:t>
            </w:r>
            <w:proofErr w:type="gramStart"/>
            <w:r w:rsidRPr="009C665E">
              <w:rPr>
                <w:lang w:val="fr-CA"/>
              </w:rPr>
              <w:t>par</w:t>
            </w:r>
            <w:proofErr w:type="gramEnd"/>
            <w:r w:rsidRPr="009C665E">
              <w:rPr>
                <w:lang w:val="fr-CA"/>
              </w:rPr>
              <w:t>. 1 à 128)</w:t>
            </w:r>
          </w:p>
        </w:tc>
        <w:tc>
          <w:tcPr>
            <w:tcW w:w="3820" w:type="pct"/>
            <w:gridSpan w:val="3"/>
          </w:tcPr>
          <w:p w14:paraId="445FF740" w14:textId="77777777" w:rsidR="009C665E" w:rsidRPr="009C665E" w:rsidRDefault="009C665E" w:rsidP="009C665E">
            <w:pPr>
              <w:rPr>
                <w:lang w:val="fr-CA"/>
              </w:rPr>
            </w:pPr>
            <w:r w:rsidRPr="009C665E">
              <w:rPr>
                <w:lang w:val="fr-CA"/>
              </w:rPr>
              <w:t>Le juge Kasirer (avec l’accord du juge en chef Wagner et des juges Côté, Rowe et Jamal)</w:t>
            </w:r>
          </w:p>
        </w:tc>
      </w:tr>
      <w:tr w:rsidR="009C665E" w:rsidRPr="00EB5626" w14:paraId="0A6BA863" w14:textId="77777777" w:rsidTr="009C665E">
        <w:tblPrEx>
          <w:tblCellMar>
            <w:top w:w="58" w:type="dxa"/>
            <w:left w:w="58" w:type="dxa"/>
            <w:bottom w:w="58" w:type="dxa"/>
            <w:right w:w="58" w:type="dxa"/>
          </w:tblCellMar>
        </w:tblPrEx>
        <w:trPr>
          <w:cantSplit/>
        </w:trPr>
        <w:tc>
          <w:tcPr>
            <w:tcW w:w="1180" w:type="pct"/>
          </w:tcPr>
          <w:p w14:paraId="1A0A3083" w14:textId="77777777" w:rsidR="009C665E" w:rsidRPr="009C665E" w:rsidRDefault="009C665E" w:rsidP="009C665E">
            <w:pPr>
              <w:rPr>
                <w:lang w:val="fr-CA"/>
              </w:rPr>
            </w:pPr>
          </w:p>
        </w:tc>
        <w:tc>
          <w:tcPr>
            <w:tcW w:w="3820" w:type="pct"/>
            <w:gridSpan w:val="3"/>
          </w:tcPr>
          <w:p w14:paraId="13F3C8D1" w14:textId="77777777" w:rsidR="009C665E" w:rsidRPr="009C665E" w:rsidRDefault="009C665E" w:rsidP="009C665E">
            <w:pPr>
              <w:rPr>
                <w:lang w:val="fr-CA"/>
              </w:rPr>
            </w:pPr>
          </w:p>
        </w:tc>
      </w:tr>
      <w:tr w:rsidR="009C665E" w:rsidRPr="00EB5626" w14:paraId="4148F311" w14:textId="77777777" w:rsidTr="009C665E">
        <w:tblPrEx>
          <w:tblCellMar>
            <w:top w:w="58" w:type="dxa"/>
            <w:left w:w="58" w:type="dxa"/>
            <w:bottom w:w="58" w:type="dxa"/>
            <w:right w:w="58" w:type="dxa"/>
          </w:tblCellMar>
        </w:tblPrEx>
        <w:trPr>
          <w:cantSplit/>
        </w:trPr>
        <w:tc>
          <w:tcPr>
            <w:tcW w:w="1180" w:type="pct"/>
          </w:tcPr>
          <w:p w14:paraId="5F2782C1" w14:textId="77777777" w:rsidR="009C665E" w:rsidRPr="009C665E" w:rsidRDefault="009C665E" w:rsidP="009C665E">
            <w:pPr>
              <w:rPr>
                <w:b/>
                <w:smallCaps/>
                <w:lang w:val="fr-CA"/>
              </w:rPr>
            </w:pPr>
            <w:r w:rsidRPr="009C665E">
              <w:rPr>
                <w:b/>
                <w:bCs/>
                <w:smallCaps/>
                <w:color w:val="000000"/>
                <w:lang w:val="fr-CA"/>
              </w:rPr>
              <w:t>Motifs concordants </w:t>
            </w:r>
            <w:r w:rsidRPr="009C665E">
              <w:rPr>
                <w:b/>
                <w:smallCaps/>
                <w:lang w:val="fr-CA"/>
              </w:rPr>
              <w:t>:</w:t>
            </w:r>
          </w:p>
          <w:p w14:paraId="09D00713" w14:textId="77777777" w:rsidR="009C665E" w:rsidRPr="009C665E" w:rsidRDefault="009C665E" w:rsidP="009C665E">
            <w:pPr>
              <w:rPr>
                <w:lang w:val="fr-CA"/>
              </w:rPr>
            </w:pPr>
            <w:r w:rsidRPr="009C665E">
              <w:rPr>
                <w:lang w:val="fr-CA"/>
              </w:rPr>
              <w:t>(</w:t>
            </w:r>
            <w:proofErr w:type="gramStart"/>
            <w:r w:rsidRPr="009C665E">
              <w:rPr>
                <w:lang w:val="fr-CA"/>
              </w:rPr>
              <w:t>par</w:t>
            </w:r>
            <w:proofErr w:type="gramEnd"/>
            <w:r w:rsidRPr="009C665E">
              <w:rPr>
                <w:lang w:val="fr-CA"/>
              </w:rPr>
              <w:t>. 129 à 300)</w:t>
            </w:r>
          </w:p>
        </w:tc>
        <w:tc>
          <w:tcPr>
            <w:tcW w:w="3820" w:type="pct"/>
            <w:gridSpan w:val="3"/>
          </w:tcPr>
          <w:p w14:paraId="0CAC1908" w14:textId="77777777" w:rsidR="009C665E" w:rsidRPr="009C665E" w:rsidRDefault="009C665E" w:rsidP="009C665E">
            <w:pPr>
              <w:rPr>
                <w:lang w:val="fr-CA"/>
              </w:rPr>
            </w:pPr>
            <w:r w:rsidRPr="009C665E">
              <w:rPr>
                <w:lang w:val="fr-CA"/>
              </w:rPr>
              <w:t>La juge Martin (avec l’accord des juges Karakatsanis, O’Bonsawin et Moreau)</w:t>
            </w:r>
          </w:p>
        </w:tc>
      </w:tr>
    </w:tbl>
    <w:p w14:paraId="26A19EA1" w14:textId="77777777" w:rsidR="009C665E" w:rsidRPr="009C665E" w:rsidRDefault="009C665E" w:rsidP="009C665E">
      <w:pPr>
        <w:rPr>
          <w:rFonts w:eastAsiaTheme="minorHAnsi" w:cstheme="minorBidi"/>
          <w:szCs w:val="24"/>
          <w:lang w:val="fr-CA" w:eastAsia="en-US"/>
        </w:rPr>
      </w:pPr>
    </w:p>
    <w:p w14:paraId="214F5CF5" w14:textId="77777777" w:rsidR="009C665E" w:rsidRPr="009C665E" w:rsidRDefault="009C665E" w:rsidP="009C665E">
      <w:pPr>
        <w:rPr>
          <w:rFonts w:eastAsiaTheme="minorHAnsi" w:cstheme="minorBidi"/>
          <w:szCs w:val="24"/>
          <w:lang w:val="fr-CA" w:eastAsia="en-US"/>
        </w:rPr>
      </w:pPr>
    </w:p>
    <w:p w14:paraId="7CADEE01" w14:textId="77777777" w:rsidR="009C665E" w:rsidRPr="009C665E" w:rsidRDefault="009C665E" w:rsidP="009C665E">
      <w:pPr>
        <w:rPr>
          <w:rFonts w:eastAsiaTheme="minorHAnsi" w:cstheme="minorBidi"/>
          <w:szCs w:val="24"/>
          <w:lang w:val="fr-CA" w:eastAsia="en-US"/>
        </w:rPr>
      </w:pPr>
      <w:r w:rsidRPr="009C665E">
        <w:rPr>
          <w:rFonts w:eastAsiaTheme="minorHAnsi" w:cstheme="minorBidi"/>
          <w:b/>
          <w:smallCaps/>
          <w:szCs w:val="24"/>
          <w:lang w:val="fr-CA" w:eastAsia="en-US"/>
        </w:rPr>
        <w:lastRenderedPageBreak/>
        <w:t>Note :</w:t>
      </w:r>
      <w:r w:rsidRPr="009C665E">
        <w:rPr>
          <w:rFonts w:eastAsiaTheme="minorHAnsi" w:cstheme="minorBidi"/>
          <w:b/>
          <w:szCs w:val="24"/>
          <w:lang w:val="fr-CA" w:eastAsia="en-US"/>
        </w:rPr>
        <w:t xml:space="preserve"> </w:t>
      </w:r>
      <w:r w:rsidRPr="009C665E">
        <w:rPr>
          <w:rFonts w:eastAsiaTheme="minorHAnsi" w:cstheme="minorBidi"/>
          <w:szCs w:val="24"/>
          <w:lang w:val="fr-CA" w:eastAsia="en-US"/>
        </w:rPr>
        <w:t xml:space="preserve">Ce document fera l’objet de retouches de forme avant la parution de sa version définitive dans le </w:t>
      </w:r>
      <w:r w:rsidRPr="009C665E">
        <w:rPr>
          <w:rFonts w:eastAsiaTheme="minorHAnsi" w:cstheme="minorBidi"/>
          <w:i/>
          <w:szCs w:val="24"/>
          <w:lang w:val="fr-CA" w:eastAsia="en-US"/>
        </w:rPr>
        <w:t>Recueil des arrêts de la Cour suprême du Canada</w:t>
      </w:r>
      <w:r w:rsidRPr="009C665E">
        <w:rPr>
          <w:rFonts w:eastAsiaTheme="minorHAnsi" w:cstheme="minorBidi"/>
          <w:szCs w:val="24"/>
          <w:lang w:val="fr-CA"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9C665E" w:rsidRPr="00EB5626" w14:paraId="11B40FFC" w14:textId="77777777" w:rsidTr="003846F4">
        <w:tc>
          <w:tcPr>
            <w:tcW w:w="1500" w:type="pct"/>
            <w:tcMar>
              <w:top w:w="284" w:type="dxa"/>
            </w:tcMar>
          </w:tcPr>
          <w:p w14:paraId="379095BF" w14:textId="77777777" w:rsidR="009C665E" w:rsidRPr="009C665E" w:rsidRDefault="009C665E" w:rsidP="009C665E">
            <w:pPr>
              <w:rPr>
                <w:lang w:val="fr-CA"/>
              </w:rPr>
            </w:pPr>
          </w:p>
        </w:tc>
        <w:tc>
          <w:tcPr>
            <w:tcW w:w="2000" w:type="pct"/>
            <w:tcBorders>
              <w:bottom w:val="single" w:sz="4" w:space="0" w:color="auto"/>
            </w:tcBorders>
            <w:tcMar>
              <w:top w:w="284" w:type="dxa"/>
            </w:tcMar>
          </w:tcPr>
          <w:p w14:paraId="40CDA41E" w14:textId="77777777" w:rsidR="009C665E" w:rsidRPr="009C665E" w:rsidRDefault="009C665E" w:rsidP="009C665E">
            <w:pPr>
              <w:rPr>
                <w:lang w:val="fr-CA"/>
              </w:rPr>
            </w:pPr>
          </w:p>
        </w:tc>
        <w:tc>
          <w:tcPr>
            <w:tcW w:w="1500" w:type="pct"/>
            <w:tcMar>
              <w:top w:w="284" w:type="dxa"/>
            </w:tcMar>
          </w:tcPr>
          <w:p w14:paraId="2C1DE3AC" w14:textId="77777777" w:rsidR="009C665E" w:rsidRPr="009C665E" w:rsidRDefault="009C665E" w:rsidP="009C665E">
            <w:pPr>
              <w:rPr>
                <w:lang w:val="fr-CA"/>
              </w:rPr>
            </w:pPr>
          </w:p>
        </w:tc>
      </w:tr>
    </w:tbl>
    <w:p w14:paraId="43D5E980" w14:textId="77777777" w:rsidR="009C665E" w:rsidRPr="009C665E" w:rsidRDefault="009C665E" w:rsidP="009C665E">
      <w:pPr>
        <w:rPr>
          <w:rFonts w:eastAsiaTheme="minorHAnsi" w:cstheme="minorBidi"/>
          <w:szCs w:val="24"/>
          <w:lang w:val="fr-CA" w:eastAsia="en-US"/>
        </w:rPr>
      </w:pPr>
    </w:p>
    <w:p w14:paraId="2A9ED542" w14:textId="77777777" w:rsidR="009C665E" w:rsidRPr="009C665E" w:rsidRDefault="009C665E">
      <w:pPr>
        <w:rPr>
          <w:b/>
          <w:lang w:val="fr-CA"/>
        </w:rPr>
      </w:pPr>
      <w:r w:rsidRPr="009C665E">
        <w:rPr>
          <w:lang w:val="fr-CA"/>
        </w:rPr>
        <w:br w:type="page"/>
      </w:r>
    </w:p>
    <w:p w14:paraId="58FF76AD" w14:textId="26411A68" w:rsidR="003A63C0" w:rsidRPr="009C665E" w:rsidRDefault="00027DF6">
      <w:pPr>
        <w:pStyle w:val="SCCLsocLastPartyInRole"/>
        <w:rPr>
          <w:lang w:val="fr-CA"/>
        </w:rPr>
      </w:pPr>
      <w:r w:rsidRPr="009C665E">
        <w:rPr>
          <w:lang w:val="fr-CA"/>
        </w:rPr>
        <w:lastRenderedPageBreak/>
        <w:t>Tammy Marion Bouvette</w:t>
      </w:r>
      <w:r w:rsidRPr="009C665E">
        <w:rPr>
          <w:rStyle w:val="SCCLsocPartyRole"/>
          <w:lang w:val="fr-CA"/>
        </w:rPr>
        <w:tab/>
        <w:t>Appelant</w:t>
      </w:r>
      <w:r w:rsidR="002C3DD2" w:rsidRPr="009C665E">
        <w:rPr>
          <w:rStyle w:val="SCCLsocPartyRole"/>
          <w:lang w:val="fr-CA"/>
        </w:rPr>
        <w:t>e</w:t>
      </w:r>
    </w:p>
    <w:p w14:paraId="5B78A463" w14:textId="77777777" w:rsidR="003A63C0" w:rsidRPr="009C665E" w:rsidRDefault="00027DF6">
      <w:pPr>
        <w:pStyle w:val="SCCLsocVersus"/>
        <w:rPr>
          <w:lang w:val="fr-CA"/>
        </w:rPr>
      </w:pPr>
      <w:r w:rsidRPr="009C665E">
        <w:rPr>
          <w:lang w:val="fr-CA"/>
        </w:rPr>
        <w:t>c.</w:t>
      </w:r>
    </w:p>
    <w:p w14:paraId="3E474621" w14:textId="77777777" w:rsidR="003A63C0" w:rsidRPr="009C665E" w:rsidRDefault="00027DF6">
      <w:pPr>
        <w:pStyle w:val="SCCLsocLastPartyInRole"/>
        <w:rPr>
          <w:lang w:val="fr-CA"/>
        </w:rPr>
      </w:pPr>
      <w:r w:rsidRPr="009C665E">
        <w:rPr>
          <w:lang w:val="fr-CA"/>
        </w:rPr>
        <w:t>Sa Majesté le Roi</w:t>
      </w:r>
      <w:r w:rsidR="002C3DD2" w:rsidRPr="009C665E">
        <w:rPr>
          <w:rStyle w:val="SCCLsocPartyRole"/>
          <w:lang w:val="fr-CA"/>
        </w:rPr>
        <w:tab/>
        <w:t>Intimé</w:t>
      </w:r>
    </w:p>
    <w:p w14:paraId="4F5A2380" w14:textId="77777777" w:rsidR="003A63C0" w:rsidRPr="009C665E" w:rsidRDefault="00027DF6">
      <w:pPr>
        <w:pStyle w:val="SCCLsocOtherPartySeparator"/>
        <w:rPr>
          <w:lang w:val="fr-CA"/>
        </w:rPr>
      </w:pPr>
      <w:proofErr w:type="gramStart"/>
      <w:r w:rsidRPr="009C665E">
        <w:rPr>
          <w:lang w:val="fr-CA"/>
        </w:rPr>
        <w:t>et</w:t>
      </w:r>
      <w:proofErr w:type="gramEnd"/>
    </w:p>
    <w:p w14:paraId="5010B23A" w14:textId="77777777" w:rsidR="003A63C0" w:rsidRPr="009C665E" w:rsidRDefault="00027DF6">
      <w:pPr>
        <w:pStyle w:val="SCCLsocParty"/>
        <w:rPr>
          <w:lang w:val="fr-CA"/>
        </w:rPr>
      </w:pPr>
      <w:r w:rsidRPr="009C665E">
        <w:rPr>
          <w:lang w:val="fr-CA"/>
        </w:rPr>
        <w:t>Procureur général de l</w:t>
      </w:r>
      <w:r w:rsidR="000C5AF4" w:rsidRPr="009C665E">
        <w:rPr>
          <w:lang w:val="fr-CA"/>
        </w:rPr>
        <w:t>’</w:t>
      </w:r>
      <w:r w:rsidRPr="009C665E">
        <w:rPr>
          <w:lang w:val="fr-CA"/>
        </w:rPr>
        <w:t>Ontario,</w:t>
      </w:r>
    </w:p>
    <w:p w14:paraId="2B9234E9" w14:textId="77777777" w:rsidR="003A63C0" w:rsidRPr="009C665E" w:rsidRDefault="00027DF6">
      <w:pPr>
        <w:pStyle w:val="SCCLsocParty"/>
        <w:rPr>
          <w:lang w:val="fr-CA"/>
        </w:rPr>
      </w:pPr>
      <w:r w:rsidRPr="009C665E">
        <w:rPr>
          <w:lang w:val="fr-CA"/>
        </w:rPr>
        <w:t>Association canadienne des libertés civiles,</w:t>
      </w:r>
    </w:p>
    <w:p w14:paraId="2304A052" w14:textId="77777777" w:rsidR="003A63C0" w:rsidRPr="009C665E" w:rsidRDefault="003F335D">
      <w:pPr>
        <w:pStyle w:val="SCCLsocParty"/>
        <w:rPr>
          <w:lang w:val="fr-CA"/>
        </w:rPr>
      </w:pPr>
      <w:r w:rsidRPr="009C665E">
        <w:rPr>
          <w:lang w:val="fr-CA"/>
        </w:rPr>
        <w:t>Innocence Canada et</w:t>
      </w:r>
    </w:p>
    <w:p w14:paraId="03871CD2" w14:textId="77777777" w:rsidR="003A63C0" w:rsidRPr="009C665E" w:rsidRDefault="00027DF6" w:rsidP="0014130A">
      <w:pPr>
        <w:pStyle w:val="SCCLsocLastPartyInRole"/>
        <w:rPr>
          <w:lang w:val="fr-CA"/>
        </w:rPr>
      </w:pPr>
      <w:r w:rsidRPr="009C665E">
        <w:rPr>
          <w:lang w:val="fr-CA"/>
        </w:rPr>
        <w:t>Independent Criminal Defence Advocacy Society</w:t>
      </w:r>
      <w:r w:rsidR="004D0BE6" w:rsidRPr="009C665E">
        <w:rPr>
          <w:rStyle w:val="SCCLsocPartyRole"/>
          <w:lang w:val="fr-CA"/>
        </w:rPr>
        <w:tab/>
        <w:t>Intervenant</w:t>
      </w:r>
      <w:r w:rsidRPr="009C665E">
        <w:rPr>
          <w:rStyle w:val="SCCLsocPartyRole"/>
          <w:lang w:val="fr-CA"/>
        </w:rPr>
        <w:t>s</w:t>
      </w:r>
    </w:p>
    <w:p w14:paraId="612762F2" w14:textId="6A0C9B87" w:rsidR="004D7D95" w:rsidRPr="009C665E" w:rsidRDefault="006C0B47" w:rsidP="0014130A">
      <w:pPr>
        <w:spacing w:after="720"/>
        <w:jc w:val="both"/>
        <w:rPr>
          <w:b/>
          <w:lang w:val="fr-CA"/>
        </w:rPr>
      </w:pPr>
      <w:r w:rsidRPr="009C665E">
        <w:rPr>
          <w:b/>
          <w:lang w:val="fr-CA"/>
        </w:rPr>
        <w:t>Répertorié :</w:t>
      </w:r>
      <w:r w:rsidR="0014130A" w:rsidRPr="009C665E">
        <w:rPr>
          <w:b/>
          <w:lang w:val="fr-CA"/>
        </w:rPr>
        <w:t xml:space="preserve"> </w:t>
      </w:r>
      <w:r w:rsidRPr="009C665E">
        <w:rPr>
          <w:rStyle w:val="SCCRespondentForIndexChar"/>
          <w:lang w:val="fr-CA"/>
        </w:rPr>
        <w:t xml:space="preserve">R. </w:t>
      </w:r>
      <w:r w:rsidRPr="009C665E">
        <w:rPr>
          <w:b/>
          <w:i/>
          <w:lang w:val="fr-CA"/>
        </w:rPr>
        <w:t>c.</w:t>
      </w:r>
      <w:r w:rsidRPr="009C665E">
        <w:rPr>
          <w:b/>
          <w:lang w:val="fr-CA"/>
        </w:rPr>
        <w:t xml:space="preserve"> </w:t>
      </w:r>
      <w:r w:rsidR="004D7D95" w:rsidRPr="009C665E">
        <w:rPr>
          <w:rStyle w:val="SCCAppellantForIndexChar"/>
          <w:lang w:val="fr-CA"/>
        </w:rPr>
        <w:t>Bouvette</w:t>
      </w:r>
    </w:p>
    <w:p w14:paraId="4C3343AE" w14:textId="147C62F3" w:rsidR="004D7D95" w:rsidRPr="009C665E" w:rsidRDefault="00226E6A" w:rsidP="0014130A">
      <w:pPr>
        <w:pStyle w:val="SCCSystemYear"/>
        <w:spacing w:after="720"/>
        <w:jc w:val="both"/>
        <w:rPr>
          <w:lang w:val="fr-CA"/>
        </w:rPr>
      </w:pPr>
      <w:r w:rsidRPr="009C665E">
        <w:rPr>
          <w:lang w:val="fr-CA"/>
        </w:rPr>
        <w:t>2025</w:t>
      </w:r>
      <w:r w:rsidR="00F847E7" w:rsidRPr="009C665E">
        <w:rPr>
          <w:lang w:val="fr-CA"/>
        </w:rPr>
        <w:t xml:space="preserve"> CSC</w:t>
      </w:r>
      <w:r w:rsidR="0014130A" w:rsidRPr="009C665E">
        <w:rPr>
          <w:lang w:val="fr-CA"/>
        </w:rPr>
        <w:t xml:space="preserve"> </w:t>
      </w:r>
      <w:r w:rsidR="00BE4244" w:rsidRPr="009C665E">
        <w:rPr>
          <w:lang w:val="fr-CA"/>
        </w:rPr>
        <w:t>18</w:t>
      </w:r>
    </w:p>
    <w:p w14:paraId="401584C7" w14:textId="5B78BF32" w:rsidR="004D7D95" w:rsidRPr="009C665E" w:rsidRDefault="004D7D95" w:rsidP="0014130A">
      <w:pPr>
        <w:spacing w:after="720"/>
        <w:jc w:val="both"/>
        <w:rPr>
          <w:lang w:val="fr-CA"/>
        </w:rPr>
      </w:pPr>
      <w:r w:rsidRPr="009C665E">
        <w:rPr>
          <w:lang w:val="fr-CA"/>
        </w:rPr>
        <w:t>N</w:t>
      </w:r>
      <w:r w:rsidRPr="009C665E">
        <w:rPr>
          <w:vertAlign w:val="superscript"/>
          <w:lang w:val="fr-CA"/>
        </w:rPr>
        <w:t>o</w:t>
      </w:r>
      <w:r w:rsidRPr="009C665E">
        <w:rPr>
          <w:lang w:val="fr-CA"/>
        </w:rPr>
        <w:t xml:space="preserve"> du greffe :</w:t>
      </w:r>
      <w:r w:rsidR="0014130A" w:rsidRPr="009C665E">
        <w:rPr>
          <w:lang w:val="fr-CA"/>
        </w:rPr>
        <w:t xml:space="preserve"> </w:t>
      </w:r>
      <w:r w:rsidRPr="009C665E">
        <w:rPr>
          <w:lang w:val="fr-CA"/>
        </w:rPr>
        <w:t>40780.</w:t>
      </w:r>
    </w:p>
    <w:p w14:paraId="70F5E9C6" w14:textId="10FFCA1C" w:rsidR="004D7D95" w:rsidRPr="009C665E" w:rsidRDefault="00C56BC4" w:rsidP="0014130A">
      <w:pPr>
        <w:spacing w:after="720"/>
        <w:jc w:val="both"/>
        <w:rPr>
          <w:lang w:val="fr-CA"/>
        </w:rPr>
      </w:pPr>
      <w:r w:rsidRPr="009C665E">
        <w:rPr>
          <w:lang w:val="fr-CA"/>
        </w:rPr>
        <w:t>2024 </w:t>
      </w:r>
      <w:r w:rsidR="00D17B0E" w:rsidRPr="009C665E">
        <w:rPr>
          <w:lang w:val="fr-CA"/>
        </w:rPr>
        <w:t>: 14 novembre</w:t>
      </w:r>
      <w:r w:rsidR="00F847E7" w:rsidRPr="009C665E">
        <w:rPr>
          <w:lang w:val="fr-CA"/>
        </w:rPr>
        <w:t xml:space="preserve">; 2025 : </w:t>
      </w:r>
      <w:r w:rsidR="00A5642B" w:rsidRPr="009C665E">
        <w:rPr>
          <w:lang w:val="fr-CA"/>
        </w:rPr>
        <w:t>6 juin</w:t>
      </w:r>
      <w:r w:rsidR="004D7D95" w:rsidRPr="009C665E">
        <w:rPr>
          <w:lang w:val="fr-CA"/>
        </w:rPr>
        <w:t>.</w:t>
      </w:r>
    </w:p>
    <w:p w14:paraId="75C4701F" w14:textId="72108BF1" w:rsidR="004D7D95" w:rsidRPr="009C665E" w:rsidRDefault="004D7D95" w:rsidP="0014130A">
      <w:pPr>
        <w:spacing w:after="720"/>
        <w:jc w:val="both"/>
        <w:rPr>
          <w:lang w:val="fr-CA"/>
        </w:rPr>
      </w:pPr>
      <w:r w:rsidRPr="009C665E">
        <w:rPr>
          <w:lang w:val="fr-CA"/>
        </w:rPr>
        <w:t>Présents :</w:t>
      </w:r>
      <w:r w:rsidR="0014130A" w:rsidRPr="009C665E">
        <w:rPr>
          <w:lang w:val="fr-CA"/>
        </w:rPr>
        <w:t xml:space="preserve"> </w:t>
      </w:r>
      <w:r w:rsidRPr="009C665E">
        <w:rPr>
          <w:lang w:val="fr-CA"/>
        </w:rPr>
        <w:t>Le juge en chef Wagner et les juges Karakatsanis, Côté, Rowe, Martin, Kasirer, Jamal, O’Bonsawin et Moreau.</w:t>
      </w:r>
    </w:p>
    <w:p w14:paraId="34CD7D79" w14:textId="3CA15B43" w:rsidR="004D7D95" w:rsidRPr="009C665E" w:rsidRDefault="004D7D95" w:rsidP="0014130A">
      <w:pPr>
        <w:spacing w:after="720"/>
        <w:jc w:val="both"/>
        <w:rPr>
          <w:smallCaps/>
          <w:lang w:val="fr-CA"/>
        </w:rPr>
      </w:pPr>
      <w:r w:rsidRPr="009C665E">
        <w:rPr>
          <w:smallCaps/>
          <w:lang w:val="fr-CA"/>
        </w:rPr>
        <w:t xml:space="preserve">en appel de la cour d’appel de la </w:t>
      </w:r>
      <w:r w:rsidR="00F847E7" w:rsidRPr="009C665E">
        <w:rPr>
          <w:smallCaps/>
          <w:lang w:val="fr-CA"/>
        </w:rPr>
        <w:t>colombie</w:t>
      </w:r>
      <w:r w:rsidR="0014130A" w:rsidRPr="009C665E">
        <w:rPr>
          <w:smallCaps/>
          <w:lang w:val="fr-CA"/>
        </w:rPr>
        <w:noBreakHyphen/>
      </w:r>
      <w:r w:rsidR="00F847E7" w:rsidRPr="009C665E">
        <w:rPr>
          <w:smallCaps/>
          <w:lang w:val="fr-CA"/>
        </w:rPr>
        <w:t>britannique</w:t>
      </w:r>
    </w:p>
    <w:p w14:paraId="7366C43B" w14:textId="3F5331DF" w:rsidR="005365A4" w:rsidRPr="009C665E" w:rsidRDefault="005365A4" w:rsidP="00F86D5B">
      <w:pPr>
        <w:pStyle w:val="SCCNormalKeyWords"/>
        <w:rPr>
          <w:lang w:val="fr-CA"/>
        </w:rPr>
      </w:pPr>
      <w:r w:rsidRPr="009C665E">
        <w:rPr>
          <w:lang w:val="fr-CA"/>
        </w:rPr>
        <w:lastRenderedPageBreak/>
        <w:tab/>
        <w:t>Droit crim</w:t>
      </w:r>
      <w:r w:rsidR="00C87674" w:rsidRPr="009C665E">
        <w:rPr>
          <w:lang w:val="fr-CA"/>
        </w:rPr>
        <w:t>inel — Appels — Pouvoirs de la c</w:t>
      </w:r>
      <w:r w:rsidRPr="009C665E">
        <w:rPr>
          <w:lang w:val="fr-CA"/>
        </w:rPr>
        <w:t>our d’appel — Erreur judiciaire — Réparation — Motifs pour prononcer un acquittement en appel — Non</w:t>
      </w:r>
      <w:r w:rsidRPr="009C665E">
        <w:rPr>
          <w:lang w:val="fr-CA"/>
        </w:rPr>
        <w:noBreakHyphen/>
        <w:t>communication par la Couronne donnant lieu à une erreur judiciaire et à un appel par la personne déclarée coupable — Annulation de la déclaration de culpabilité par la Cour d’appel, mais inscription par celle</w:t>
      </w:r>
      <w:r w:rsidRPr="009C665E">
        <w:rPr>
          <w:lang w:val="fr-CA"/>
        </w:rPr>
        <w:noBreakHyphen/>
        <w:t>ci d’un arrêt judiciaire des procédures plutôt que de l’acquittement sollicité par les parties — Conclusion de la Cour d’appel portant que le dossier admettrait l’existence d’une possibilité raisonnable qu’un verdict de culpabilité soit rendu lors d’un nouveau procès et qu’aucune circonstance spéciale ne justifiait un acquittement — La Cour d’appel a</w:t>
      </w:r>
      <w:r w:rsidRPr="009C665E">
        <w:rPr>
          <w:lang w:val="fr-CA"/>
        </w:rPr>
        <w:noBreakHyphen/>
        <w:t>t</w:t>
      </w:r>
      <w:r w:rsidRPr="009C665E">
        <w:rPr>
          <w:lang w:val="fr-CA"/>
        </w:rPr>
        <w:noBreakHyphen/>
        <w:t>elle commis une erreur en refusant de prononcer un acquittement? — Code criminel, L.R.C. 1985, c.</w:t>
      </w:r>
      <w:r w:rsidR="00684C82" w:rsidRPr="009C665E">
        <w:rPr>
          <w:lang w:val="fr-CA"/>
        </w:rPr>
        <w:t> </w:t>
      </w:r>
      <w:r w:rsidRPr="009C665E">
        <w:rPr>
          <w:lang w:val="fr-CA"/>
        </w:rPr>
        <w:t>C-46, art. 686(2).</w:t>
      </w:r>
    </w:p>
    <w:p w14:paraId="64F80E41" w14:textId="77777777" w:rsidR="005365A4" w:rsidRPr="009C665E" w:rsidRDefault="005365A4" w:rsidP="005365A4">
      <w:pPr>
        <w:pStyle w:val="SCCNormalDoubleSpacing"/>
        <w:spacing w:after="480"/>
        <w:rPr>
          <w:lang w:val="fr-CA"/>
        </w:rPr>
      </w:pPr>
      <w:r w:rsidRPr="009C665E">
        <w:rPr>
          <w:lang w:val="fr-CA"/>
        </w:rPr>
        <w:tab/>
        <w:t>En 2011, B a été accusée du meurtre au second degré d’une enfant de 19 mois qu’elle gardait, qui s’est noyée dans son bain. L’enfant a été déclarée en état de mort cérébrale à l’hôpital et elle est décédée peu après. Une autopsie a été pratiquée sur le corps de l’enfant par M. Ce dernier a témoigné pour la Couronne lors de l’enquête préliminaire de B que l’enfant avait des blessures récentes, qu’elle était morte par noyade et que le mode de décès était indéterminé. B a plaidé coupable à l’accusation moindre de négligence criminelle ayant causé la mort. Elle a été déclarée coupable et condamnée à 12 mois d’emprisonnement assortis d’une période de probation.</w:t>
      </w:r>
    </w:p>
    <w:p w14:paraId="1B47C881" w14:textId="193A6FF6" w:rsidR="005365A4" w:rsidRPr="009C665E" w:rsidRDefault="005365A4" w:rsidP="005365A4">
      <w:pPr>
        <w:pStyle w:val="SCCNormalDoubleSpacing"/>
        <w:spacing w:after="480"/>
        <w:rPr>
          <w:lang w:val="fr-CA"/>
        </w:rPr>
      </w:pPr>
      <w:r w:rsidRPr="009C665E">
        <w:rPr>
          <w:lang w:val="fr-CA"/>
        </w:rPr>
        <w:tab/>
        <w:t>En 2020, un</w:t>
      </w:r>
      <w:r w:rsidR="00C87674" w:rsidRPr="009C665E">
        <w:rPr>
          <w:lang w:val="fr-CA"/>
        </w:rPr>
        <w:t>e</w:t>
      </w:r>
      <w:r w:rsidRPr="009C665E">
        <w:rPr>
          <w:lang w:val="fr-CA"/>
        </w:rPr>
        <w:t xml:space="preserve"> procureur</w:t>
      </w:r>
      <w:r w:rsidR="00C87674" w:rsidRPr="009C665E">
        <w:rPr>
          <w:lang w:val="fr-CA"/>
        </w:rPr>
        <w:t>e</w:t>
      </w:r>
      <w:r w:rsidRPr="009C665E">
        <w:rPr>
          <w:lang w:val="fr-CA"/>
        </w:rPr>
        <w:t xml:space="preserve"> spécial</w:t>
      </w:r>
      <w:r w:rsidR="00C87674" w:rsidRPr="009C665E">
        <w:rPr>
          <w:lang w:val="fr-CA"/>
        </w:rPr>
        <w:t>e</w:t>
      </w:r>
      <w:r w:rsidRPr="009C665E">
        <w:rPr>
          <w:lang w:val="fr-CA"/>
        </w:rPr>
        <w:t xml:space="preserve"> nommé</w:t>
      </w:r>
      <w:r w:rsidR="00C87674" w:rsidRPr="009C665E">
        <w:rPr>
          <w:lang w:val="fr-CA"/>
        </w:rPr>
        <w:t>e</w:t>
      </w:r>
      <w:r w:rsidRPr="009C665E">
        <w:rPr>
          <w:lang w:val="fr-CA"/>
        </w:rPr>
        <w:t xml:space="preserve"> pour procéder à un examen indépendant de l’affaire a conclu que B n’avait peut</w:t>
      </w:r>
      <w:r w:rsidR="006024D4" w:rsidRPr="009C665E">
        <w:rPr>
          <w:lang w:val="fr-CA"/>
        </w:rPr>
        <w:noBreakHyphen/>
      </w:r>
      <w:r w:rsidRPr="009C665E">
        <w:rPr>
          <w:lang w:val="fr-CA"/>
        </w:rPr>
        <w:t xml:space="preserve">être pas reçu communication de </w:t>
      </w:r>
      <w:r w:rsidRPr="009C665E">
        <w:rPr>
          <w:lang w:val="fr-CA"/>
        </w:rPr>
        <w:lastRenderedPageBreak/>
        <w:t>documents pertinents importants</w:t>
      </w:r>
      <w:r w:rsidR="00C87674" w:rsidRPr="009C665E">
        <w:rPr>
          <w:lang w:val="fr-CA"/>
        </w:rPr>
        <w:t>. La</w:t>
      </w:r>
      <w:r w:rsidRPr="009C665E">
        <w:rPr>
          <w:lang w:val="fr-CA"/>
        </w:rPr>
        <w:t xml:space="preserve"> procureur</w:t>
      </w:r>
      <w:r w:rsidR="00C87674" w:rsidRPr="009C665E">
        <w:rPr>
          <w:lang w:val="fr-CA"/>
        </w:rPr>
        <w:t>e</w:t>
      </w:r>
      <w:r w:rsidRPr="009C665E">
        <w:rPr>
          <w:lang w:val="fr-CA"/>
        </w:rPr>
        <w:t xml:space="preserve"> spécial</w:t>
      </w:r>
      <w:r w:rsidR="00C87674" w:rsidRPr="009C665E">
        <w:rPr>
          <w:lang w:val="fr-CA"/>
        </w:rPr>
        <w:t>e</w:t>
      </w:r>
      <w:r w:rsidRPr="009C665E">
        <w:rPr>
          <w:lang w:val="fr-CA"/>
        </w:rPr>
        <w:t xml:space="preserve"> a recommandé un contrôle en appel pour qu’il soit déterminé si une erreur judiciaire avait été commise. La Couronne a communiqué </w:t>
      </w:r>
      <w:r w:rsidR="00C87674" w:rsidRPr="009C665E">
        <w:rPr>
          <w:lang w:val="fr-CA"/>
        </w:rPr>
        <w:t>d</w:t>
      </w:r>
      <w:r w:rsidRPr="009C665E">
        <w:rPr>
          <w:lang w:val="fr-CA"/>
        </w:rPr>
        <w:t>es documents qu’elle avait reçus avant que B ne plaide coupable et qui n’avaient pas été communiqués à B, y compris les résultats issus d’un examen par les pairs du travail de M dans l’affaire de B, indiquant que les conclusions tirées par M sur l’autopsie de l’enfant étaient déraisonnables.</w:t>
      </w:r>
    </w:p>
    <w:p w14:paraId="2BE3BE21" w14:textId="77777777" w:rsidR="005365A4" w:rsidRPr="009C665E" w:rsidRDefault="005365A4" w:rsidP="007B06D1">
      <w:pPr>
        <w:pStyle w:val="SCCNormalDoubleSpacing"/>
        <w:spacing w:after="480"/>
        <w:rPr>
          <w:lang w:val="fr-CA"/>
        </w:rPr>
      </w:pPr>
      <w:r w:rsidRPr="009C665E">
        <w:rPr>
          <w:lang w:val="fr-CA"/>
        </w:rPr>
        <w:tab/>
        <w:t>En 2021, la demande présentée par B en vue de faire proroger le délai d’appel de sa déclaration de culpabilité a été accueillie et elle a sollicité des ordonnances annulant son plaidoyer de culpabilité, annulant sa déclaration de culpabilité et prononçant un acquittement. La Couronne a convenu que la déclaration de culpabilité devait être annulée et a également demandé un acquittement ou, à titre subsidiaire, un arrêt judiciaire des procédures. La Cour d’appel a annulé la déclaration de culpabilité de B, mais a refusé de prononcer un acquittement. Elle a conclu qu’il existait au dossier des éléments de preuve au vu desquels un jury raisonnable pouvait déclarer B coupable et elle n’était pas convaincue qu’il existait des circonstances suffisamment exceptionnelles pour justifier un acquittement. Toutefois, elle a inscrit un arrêt des procédures au motif qu’obliger B à subir de nouveau un procès violerait les principes de justice fondamentaux qui sous</w:t>
      </w:r>
      <w:r w:rsidRPr="009C665E">
        <w:rPr>
          <w:lang w:val="fr-CA"/>
        </w:rPr>
        <w:noBreakHyphen/>
        <w:t>tendent le sens du franc</w:t>
      </w:r>
      <w:r w:rsidRPr="009C665E">
        <w:rPr>
          <w:lang w:val="fr-CA"/>
        </w:rPr>
        <w:noBreakHyphen/>
        <w:t>jeu et de la décence de la communauté. B se pourvoit devant la Cour pour obtenir un acquittement. La Couronne convient qu’elle devrait être acquittée.</w:t>
      </w:r>
    </w:p>
    <w:p w14:paraId="6B4F5810" w14:textId="77777777" w:rsidR="005365A4" w:rsidRPr="009C665E" w:rsidRDefault="005365A4" w:rsidP="007B06D1">
      <w:pPr>
        <w:pStyle w:val="SCCNormalDoubleSpacing"/>
        <w:spacing w:after="480"/>
        <w:rPr>
          <w:lang w:val="fr-CA"/>
        </w:rPr>
      </w:pPr>
      <w:r w:rsidRPr="009C665E">
        <w:rPr>
          <w:lang w:val="fr-CA"/>
        </w:rPr>
        <w:lastRenderedPageBreak/>
        <w:tab/>
      </w:r>
      <w:r w:rsidRPr="009C665E">
        <w:rPr>
          <w:rStyle w:val="CitationCar"/>
          <w:color w:val="auto"/>
          <w:lang w:val="fr-CA"/>
        </w:rPr>
        <w:t>Arrêt </w:t>
      </w:r>
      <w:r w:rsidRPr="009C665E">
        <w:rPr>
          <w:rStyle w:val="CitationCar"/>
          <w:i w:val="0"/>
          <w:color w:val="auto"/>
          <w:lang w:val="fr-CA"/>
        </w:rPr>
        <w:t>:</w:t>
      </w:r>
      <w:r w:rsidRPr="009C665E">
        <w:rPr>
          <w:lang w:val="fr-CA"/>
        </w:rPr>
        <w:t xml:space="preserve"> Le pourvoi est accueilli, l’arrêt des procédures est annulé et un acquittement est prononcé.</w:t>
      </w:r>
    </w:p>
    <w:p w14:paraId="3325129F" w14:textId="4D8CEB87" w:rsidR="005365A4" w:rsidRPr="009C665E" w:rsidRDefault="005365A4" w:rsidP="005365A4">
      <w:pPr>
        <w:pStyle w:val="SCCNormalDoubleSpacing"/>
        <w:spacing w:after="480"/>
        <w:rPr>
          <w:lang w:val="fr-CA"/>
        </w:rPr>
      </w:pPr>
      <w:r w:rsidRPr="009C665E">
        <w:rPr>
          <w:lang w:val="fr-CA"/>
        </w:rPr>
        <w:tab/>
      </w:r>
      <w:r w:rsidRPr="009C665E">
        <w:rPr>
          <w:i/>
          <w:lang w:val="fr-CA"/>
        </w:rPr>
        <w:t xml:space="preserve">Le </w:t>
      </w:r>
      <w:r w:rsidRPr="009C665E">
        <w:rPr>
          <w:lang w:val="fr-CA"/>
        </w:rPr>
        <w:t>juge</w:t>
      </w:r>
      <w:r w:rsidRPr="009C665E">
        <w:rPr>
          <w:i/>
          <w:lang w:val="fr-CA"/>
        </w:rPr>
        <w:t xml:space="preserve"> </w:t>
      </w:r>
      <w:r w:rsidRPr="009C665E">
        <w:rPr>
          <w:lang w:val="fr-CA"/>
        </w:rPr>
        <w:t xml:space="preserve">en chef Wagner et les juges Côté, Rowe, </w:t>
      </w:r>
      <w:r w:rsidRPr="009C665E">
        <w:rPr>
          <w:b/>
          <w:lang w:val="fr-CA"/>
        </w:rPr>
        <w:t>Kasirer</w:t>
      </w:r>
      <w:r w:rsidRPr="009C665E">
        <w:rPr>
          <w:lang w:val="fr-CA"/>
        </w:rPr>
        <w:t xml:space="preserve"> et Jamal : B devrait être acquittée immédiatement en vertu de l’al. 686(2)a) du </w:t>
      </w:r>
      <w:r w:rsidRPr="009C665E">
        <w:rPr>
          <w:i/>
          <w:lang w:val="fr-CA"/>
        </w:rPr>
        <w:t>Code criminel</w:t>
      </w:r>
      <w:r w:rsidRPr="009C665E">
        <w:rPr>
          <w:lang w:val="fr-CA"/>
        </w:rPr>
        <w:t xml:space="preserve">, au motif que la Couronne réclame un acquittement et a affirmé explicitement qu’elle ne présenterait pas de preuve lors d’un nouveau procès. Plutôt que de forcer les parties à passer par </w:t>
      </w:r>
      <w:proofErr w:type="gramStart"/>
      <w:r w:rsidRPr="009C665E">
        <w:rPr>
          <w:lang w:val="fr-CA"/>
        </w:rPr>
        <w:t xml:space="preserve">des procédures </w:t>
      </w:r>
      <w:r w:rsidRPr="009C665E">
        <w:rPr>
          <w:i/>
          <w:lang w:val="fr-CA"/>
        </w:rPr>
        <w:t>pro</w:t>
      </w:r>
      <w:proofErr w:type="gramEnd"/>
      <w:r w:rsidRPr="009C665E">
        <w:rPr>
          <w:i/>
          <w:lang w:val="fr-CA"/>
        </w:rPr>
        <w:t xml:space="preserve"> forma</w:t>
      </w:r>
      <w:r w:rsidRPr="009C665E">
        <w:rPr>
          <w:lang w:val="fr-CA"/>
        </w:rPr>
        <w:t xml:space="preserve"> pour parvenir à ce résultat ou que de faire obstacle à ce résultat en inscrivant un arrêt judiciaire des procédures, le résultat juste consiste à prononcer l’acquittement maintenant, malgré le fait qu’il existe au dossier des éléments de preuve qui pourraient amener un jury raisonnable, ayant reçu des directives appropriées, à déclarer B coupable lors d’un nouveau procès</w:t>
      </w:r>
      <w:r w:rsidR="007B06D1" w:rsidRPr="009C665E">
        <w:rPr>
          <w:lang w:val="fr-CA"/>
        </w:rPr>
        <w:t>.</w:t>
      </w:r>
    </w:p>
    <w:p w14:paraId="30483055" w14:textId="77777777" w:rsidR="005365A4" w:rsidRPr="009C665E" w:rsidRDefault="005365A4" w:rsidP="005365A4">
      <w:pPr>
        <w:pStyle w:val="SCCNormalDoubleSpacing"/>
        <w:spacing w:after="480"/>
        <w:rPr>
          <w:lang w:val="fr-CA"/>
        </w:rPr>
      </w:pPr>
      <w:r w:rsidRPr="009C665E">
        <w:rPr>
          <w:lang w:val="fr-CA"/>
        </w:rPr>
        <w:tab/>
        <w:t xml:space="preserve">Le paragraphe 686(2) du </w:t>
      </w:r>
      <w:r w:rsidRPr="009C665E">
        <w:rPr>
          <w:i/>
          <w:lang w:val="fr-CA"/>
        </w:rPr>
        <w:t>Code criminel</w:t>
      </w:r>
      <w:r w:rsidRPr="009C665E">
        <w:rPr>
          <w:lang w:val="fr-CA"/>
        </w:rPr>
        <w:t xml:space="preserve"> prévoit que, lorsqu’un appel a été accueilli en raison d’une erreur judiciaire, la cour d’appel doit annuler la déclaration de culpabilité. Le point de mire de la cour d’appel passe ensuite d’un examen rétrospectif de la question de savoir si la déclaration de culpabilité constitue une erreur judiciaire à un examen prospectif de la réparation appropriée, qu’il s’agisse d’un acquittement (al. 686(2)a)), d’un nouveau procès (al. 686(2)b)) ou d’un arrêt judiciaire des procédures (par. 686(8)). La réparation que constitue un acquittement doit être examinée en premier et les autres options doivent l’être lorsqu’un acquittement n’est pas justifié. Contrairement à l’ordonnance de nouveau procès, l’arrêt judiciaire des procédures et l’acquittement mettent tous deux un terme définitif aux procédures et </w:t>
      </w:r>
      <w:r w:rsidRPr="009C665E">
        <w:rPr>
          <w:lang w:val="fr-CA"/>
        </w:rPr>
        <w:lastRenderedPageBreak/>
        <w:t>laissent l’accusé dans une situation de présomption d’innocence. En revanche, lorsqu’un nouveau procès est ordonné, la Couronne dispose de diverses options, notamment aller de l’avant en vue d’obtenir une déclaration de culpabilité, ne présenter aucune preuve et inviter le tribunal de première instance à rendre un verdict d’acquittement, demander le retrait de l’accusation ou ordonner un arrêt des procédures par la poursuite. La différence entre un acquittement et un arrêt judiciaire des procédures résiderait dans le stigmate résiduel pour l’accusé, parce que l’acquittement représente une conclusion de non</w:t>
      </w:r>
      <w:r w:rsidRPr="009C665E">
        <w:rPr>
          <w:lang w:val="fr-CA"/>
        </w:rPr>
        <w:noBreakHyphen/>
        <w:t>culpabilité, ce qui n’est pas le cas pour l’arrêt judiciaire des procédures, mais il ne faudrait certes pas exagérer la différence en matière de stigmate.</w:t>
      </w:r>
    </w:p>
    <w:p w14:paraId="5C730D29" w14:textId="77777777" w:rsidR="005365A4" w:rsidRPr="009C665E" w:rsidRDefault="005365A4" w:rsidP="007B06D1">
      <w:pPr>
        <w:pStyle w:val="SCCNormalDoubleSpacing"/>
        <w:spacing w:after="480"/>
        <w:rPr>
          <w:lang w:val="fr-CA"/>
        </w:rPr>
      </w:pPr>
      <w:r w:rsidRPr="009C665E">
        <w:rPr>
          <w:lang w:val="fr-CA"/>
        </w:rPr>
        <w:tab/>
        <w:t>La cour d’appel doit examiner soigneusement si un acquittement est justifié, même lorsqu’il y a des motifs d’arrêter judiciairement les procédures. Cependant, les cours doivent également veiller à ne prononcer des acquittements que dans les cas qui s’y prêtent. Si les cours d’appel rendaient régulièrement des jugements d’acquittement même lorsqu’elles affirment qu’il existe une possibilité de déclaration de culpabilité lors d’un nouveau procès, cela aurait pour effet de miner l’idée selon laquelle un acquittement signifie que la Couronne n’a pas établi le bien-fondé de sa cause à partir de la preuve — signification dite à l’origine de la différence de stigmatisation. Vu qu’il n’existe pas différentes sortes d’acquittements, l’effet perturbateur qui en découlerait pourrait se faire sentir dans tous les contextes, y compris lorsque l’acquittement est prononcé en première instance.</w:t>
      </w:r>
    </w:p>
    <w:p w14:paraId="7F0A3DF0" w14:textId="77777777" w:rsidR="005365A4" w:rsidRPr="009C665E" w:rsidRDefault="005365A4" w:rsidP="005365A4">
      <w:pPr>
        <w:pStyle w:val="SCCNormalDoubleSpacing"/>
        <w:spacing w:after="480"/>
        <w:rPr>
          <w:lang w:val="fr-CA"/>
        </w:rPr>
      </w:pPr>
      <w:r w:rsidRPr="009C665E">
        <w:rPr>
          <w:lang w:val="fr-CA"/>
        </w:rPr>
        <w:lastRenderedPageBreak/>
        <w:tab/>
        <w:t xml:space="preserve">Le premier motif d’acquittement fondé sur le par. 686(2) est </w:t>
      </w:r>
      <w:r w:rsidRPr="009C665E">
        <w:rPr>
          <w:szCs w:val="24"/>
          <w:lang w:val="fr-CA"/>
        </w:rPr>
        <w:t>l’absence d’éléments de preuve pour étayer une déclaration de culpabilité raisonnable.</w:t>
      </w:r>
      <w:r w:rsidRPr="009C665E">
        <w:rPr>
          <w:lang w:val="fr-CA"/>
        </w:rPr>
        <w:t xml:space="preserve"> Lorsque les éléments de preuve admissibles présentés au tribunal de première instance n’auraient pas permis à un juge des faits de raisonnablement rendre un verdict de culpabilité, ou lorsque les nouveaux éléments de preuve présentés en appel convainquent la cour d’appel qu’aucun juge des faits ne pourrait raisonnablement rendre un verdict de culpabilité, la cour d’appel doit rendre un verdict d’acquittement. Il serait injuste et inutile de renvoyer l’affaire pour la tenue d’un nouveau procès lorsque la preuve démontre que la seule issue raisonnable serait l’acquittement. Rendre un verdict d’acquittement pour ce motif respecte les limites institutionnelles auxquelles sont assujetties les cours d’appel et laisse intact le sens généralement reconnu d’un acquittement. Il faut toutefois distinguer une telle situation de celle où les nouveaux éléments de preuve semblent compromettre, dans une certaine mesure, la possibilité que l’accusé soit déclaré coupable lors d’un nouveau procès, mais où le dossier admet néanmoins l’existence d’une possibilité raisonnable qu’un verdict de culpabilité soit rendu. Un tel dossier ne permet pas, à lui seul, de rendre un verdict d’acquittement. En l’espèce, B n’a pas démontré qu’un juge des faits serait incapable de raisonnablement rendre un verdict de culpabilité au vu de la preuve disponible.</w:t>
      </w:r>
    </w:p>
    <w:p w14:paraId="46F70EA2" w14:textId="1C3A3D72" w:rsidR="005365A4" w:rsidRPr="009C665E" w:rsidRDefault="005365A4" w:rsidP="005365A4">
      <w:pPr>
        <w:pStyle w:val="SCCNormalDoubleSpacing"/>
        <w:spacing w:after="480"/>
        <w:rPr>
          <w:lang w:val="fr-CA"/>
        </w:rPr>
      </w:pPr>
      <w:r w:rsidRPr="009C665E">
        <w:rPr>
          <w:lang w:val="fr-CA"/>
        </w:rPr>
        <w:tab/>
        <w:t xml:space="preserve">Le deuxième motif d’acquittement est lorsque la Couronne réclame un acquittement et affirme qu’elle ne présenterait aucune preuve lors d’un nouveau procès pour s’assurer qu’un acquittement soit prononcé. À moins qu’il ne soit contraire à l’intérêt public de le faire, une cour d’appel doit rendre un verdict d’acquittement, </w:t>
      </w:r>
      <w:r w:rsidRPr="009C665E">
        <w:rPr>
          <w:lang w:val="fr-CA"/>
        </w:rPr>
        <w:lastRenderedPageBreak/>
        <w:t xml:space="preserve">donnant ainsi effet à des circonstances qui mèneraient directement à un acquittement si un nouveau procès était ordonné, parce qu’une déclaration de culpabilité serait déraisonnable au vu d’un dossier ne comportant aucune preuve. Comme la cour d’appel ne fait que prononcer le même acquittement que celui que prononcerait finalement le tribunal de première instance, on ne peut prétendre que la cour d’appel usurpe le rôle du juge des faits, ni qu’elle déforme le sens généralement reconnu d’un acquittement. Si la Couronne ne souhaite pas qu’un acquittement soit prononcé pour ce motif et préfère procéder différemment, elle n’a qu’à adopter une position différente devant la cour d’appel ou qu’à refuser de présenter des observations sur ce qui se passerait lors d’un nouveau procès. La reconnaissance de ce motif d’acquittement est compatible avec l’idée selon laquelle les tribunaux devraient s’abstenir de s’immiscer dans les positions conjointes des parties à un procès criminel quant au règlement définitif de leur litige. Elle permet à la Couronne de s’attaquer au stigmate résiduel qu’entraînent les erreurs judiciaires relativement en temps utile et </w:t>
      </w:r>
      <w:r w:rsidR="00C87674" w:rsidRPr="009C665E">
        <w:rPr>
          <w:lang w:val="fr-CA"/>
        </w:rPr>
        <w:t xml:space="preserve">relativement </w:t>
      </w:r>
      <w:r w:rsidRPr="009C665E">
        <w:rPr>
          <w:lang w:val="fr-CA"/>
        </w:rPr>
        <w:t>efficacement, et il faut saluer les efforts déployés par la Couronne pour mettre fin rapidement à des procédures entachées d’erreur judiciaire et y donner effet. En l’espèce, B doit être acquittée en vertu de ce deuxième motif.</w:t>
      </w:r>
    </w:p>
    <w:p w14:paraId="71E2BB7E" w14:textId="0838870C" w:rsidR="004D7D95" w:rsidRPr="009C665E" w:rsidRDefault="005365A4" w:rsidP="005365A4">
      <w:pPr>
        <w:pStyle w:val="SCCNormalDoubleSpacing"/>
        <w:spacing w:after="480"/>
        <w:rPr>
          <w:lang w:val="fr-CA"/>
        </w:rPr>
      </w:pPr>
      <w:r w:rsidRPr="009C665E">
        <w:rPr>
          <w:lang w:val="fr-CA"/>
        </w:rPr>
        <w:tab/>
        <w:t xml:space="preserve">Il existe des situations qui peuvent justifier un acquittement pour d’autres motifs. B et la Couronne soutiennent toutes deux devant la Cour que des acquittements devraient pouvoir être prononcés sur une troisième base, une base discrétionnaire large. Dans les circonstances de l’espèce, il est inutile de définir de façon exhaustive le fondement sur lequel des acquittements peuvent être prononcés pour des motifs </w:t>
      </w:r>
      <w:r w:rsidRPr="009C665E">
        <w:rPr>
          <w:lang w:val="fr-CA"/>
        </w:rPr>
        <w:lastRenderedPageBreak/>
        <w:t>discrétionnaires en vertu du par. 686(2). Les larges cadres discrétionnaires en matière d’acquittement proposés par les parties mettraient en péril à la fois le sens reconnu d’un acquittement et le rôle que devraient jouer les cours d’appel dans notre système de justice criminelle. Le droit protège jalousement la capacité du juge des faits de décider, selon son interprétation du dossier, si la Couronne a établi le bien</w:t>
      </w:r>
      <w:r w:rsidRPr="009C665E">
        <w:rPr>
          <w:lang w:val="fr-CA"/>
        </w:rPr>
        <w:noBreakHyphen/>
        <w:t>fondé de sa cause, et le droit craint à juste titre que les cours d’appel n’usurpent le rôle des juges des faits en se lançant dans une évaluation substantielle de la preuve. Des facteurs étrangers au fond de l’affaire, qui constituent la majeure partie des facteurs dans les cadres proposés par les parties, ne traitent pas clairement de la question de savoir si la Couronne omettrait d’établir la culpabilité hors de tout doute raisonnable. Ce sont les cours dans leurs décisions futures qui devraient analyser minutieusement d’autres prétendus motifs d’acquittement, y compris ceux qui confèrent aux cours d’appel un pouvoir discrétionnaire approprié, dans les cas où ces motifs d’acquittement auraient une incidence réelle sur le dispositif. Elles seront mieux placées pour évaluer si, comme dans le cas des deux motifs d’acquittement reconnus ci</w:t>
      </w:r>
      <w:r w:rsidRPr="009C665E">
        <w:rPr>
          <w:lang w:val="fr-CA"/>
        </w:rPr>
        <w:noBreakHyphen/>
        <w:t>dessus, il convient de prononcer un acquittement dans les circonstances compte tenu du rôle de la cour d’appel et du sens reconnu d’un acquittement.</w:t>
      </w:r>
    </w:p>
    <w:p w14:paraId="0DEDF0E5" w14:textId="2214BC9C" w:rsidR="009723F1" w:rsidRPr="009C665E" w:rsidRDefault="009723F1" w:rsidP="009723F1">
      <w:pPr>
        <w:pStyle w:val="SCCNormalDoubleSpacing"/>
        <w:spacing w:after="480"/>
        <w:rPr>
          <w:lang w:val="fr-CA"/>
        </w:rPr>
      </w:pPr>
      <w:r w:rsidRPr="009C665E">
        <w:rPr>
          <w:lang w:val="fr-CA"/>
        </w:rPr>
        <w:tab/>
      </w:r>
      <w:r w:rsidRPr="009C665E">
        <w:rPr>
          <w:i/>
          <w:lang w:val="fr-CA"/>
        </w:rPr>
        <w:t>Les</w:t>
      </w:r>
      <w:r w:rsidRPr="009C665E">
        <w:rPr>
          <w:lang w:val="fr-CA"/>
        </w:rPr>
        <w:t xml:space="preserve"> juges Karakatsanis, </w:t>
      </w:r>
      <w:r w:rsidRPr="009C665E">
        <w:rPr>
          <w:b/>
          <w:lang w:val="fr-CA"/>
        </w:rPr>
        <w:t>Martin</w:t>
      </w:r>
      <w:r w:rsidRPr="009C665E">
        <w:rPr>
          <w:lang w:val="fr-CA"/>
        </w:rPr>
        <w:t xml:space="preserve">, O’Bonsawin et Moreau : Il y a accord avec les juges majoritaires pour dire que l’acquittement est la réparation appropriée en l’espèce. Toutefois, l’acquittement qui est justifié en l’espèce repose sur un fondement juridique différent de celui retenu par les juges majoritaires. La présente cause est une occasion pour que </w:t>
      </w:r>
      <w:r w:rsidR="00C87674" w:rsidRPr="009C665E">
        <w:rPr>
          <w:lang w:val="fr-CA"/>
        </w:rPr>
        <w:t>la</w:t>
      </w:r>
      <w:r w:rsidRPr="009C665E">
        <w:rPr>
          <w:lang w:val="fr-CA"/>
        </w:rPr>
        <w:t xml:space="preserve"> Cour fournisse des orientations sur les cas dans lesquels une cour </w:t>
      </w:r>
      <w:r w:rsidRPr="009C665E">
        <w:rPr>
          <w:lang w:val="fr-CA"/>
        </w:rPr>
        <w:lastRenderedPageBreak/>
        <w:t>d’appel devrait inscrire un acquittement pour remédier à une erreur judiciaire. Pour ce nombre réduit de causes qui présentent les caractéristiques des déclarations de culpabilités injustifiées, la jurisprudence favorise l’application d’un cadre pour déterminer si un acquittement est dans l’intérêt de la justice. Les cours d’appel doivent prendre en compte la nature de l’erreur, la solidité de la preuve restante et le caractère équitable global de la cause.</w:t>
      </w:r>
    </w:p>
    <w:p w14:paraId="7C3F417A" w14:textId="109479AA" w:rsidR="009723F1" w:rsidRPr="009C665E" w:rsidRDefault="009723F1" w:rsidP="009723F1">
      <w:pPr>
        <w:pStyle w:val="SCCNormalDoubleSpacing"/>
        <w:spacing w:after="480"/>
        <w:rPr>
          <w:lang w:val="fr-CA"/>
        </w:rPr>
      </w:pPr>
      <w:r w:rsidRPr="009C665E">
        <w:rPr>
          <w:lang w:val="fr-CA"/>
        </w:rPr>
        <w:tab/>
        <w:t xml:space="preserve">Toutes les ordonnances que l’art. 686 du </w:t>
      </w:r>
      <w:r w:rsidRPr="009C665E">
        <w:rPr>
          <w:i/>
          <w:lang w:val="fr-CA"/>
        </w:rPr>
        <w:t>Code criminel</w:t>
      </w:r>
      <w:r w:rsidRPr="009C665E">
        <w:rPr>
          <w:lang w:val="fr-CA"/>
        </w:rPr>
        <w:t xml:space="preserve"> autorise le tribunal à rendre, y compris les acquittements, comportent l’exercice d’un pouvoir discrétionnaire et en sont le résultat. Après avoir annulé une déclaration de culpabilité pour quelque motif que ce soit, les cours d’appel disposent d’un large pouvoir discrétionnaire, fondé sur le libellé explicite du par. 686(2), pour inscrire un acquittement ou ordonner un nouveau procès. L’arrêt des procédures ne devrait être envisagé qu’après que le tribunal a déterminé de façon concluante que l’acquittement ne convenait pas. L’arrêt des procédures est une réparation draconienne de dernier recours qui ne peut être accordée que dans les cas les plus manifestes. Comme le par. 686(2) offre à la cour d’appel le choix entre deux mesures de réparation présumées pour corriger l’erreur judiciaire, et comme l’acquittement permet de supprimer le préjudice et d’accorder une réparation complète, ces mesures devraient être envisagées en premier lieu. Le tribunal ne peut faire l’économie d’un examen des principales réparations présumées que constituent l’acquittement et la tenue d’un nouveau procès en décidant d’accorder directement une réparation, comme un arrêt des procédures, en vertu du par. 686(8).</w:t>
      </w:r>
    </w:p>
    <w:p w14:paraId="21BFDFAE" w14:textId="5FCCCB55" w:rsidR="009723F1" w:rsidRPr="009C665E" w:rsidRDefault="009723F1" w:rsidP="009723F1">
      <w:pPr>
        <w:pStyle w:val="SCCNormalDoubleSpacing"/>
        <w:spacing w:after="480"/>
        <w:rPr>
          <w:b/>
          <w:lang w:val="fr-CA"/>
        </w:rPr>
      </w:pPr>
      <w:r w:rsidRPr="009C665E">
        <w:rPr>
          <w:lang w:val="fr-CA"/>
        </w:rPr>
        <w:lastRenderedPageBreak/>
        <w:tab/>
        <w:t xml:space="preserve">De façon générale, si une cour d’appel est convaincue que le dossier pourrait raisonnablement donner lieu à une déclaration de culpabilité, il sera souvent approprié d’ordonner un nouveau procès. Cela n’épuise toutefois pas le large pouvoir discrétionnaire de la cour en matière de réparation. Dans certaines causes hors norme, l’acquittement est la seule mesure corrective qui sert les intérêts de la justice, même lorsqu’il est théoriquement possible de tenir un nouveau procès. En présence de caractéristiques procédurales ou substantielles de déclarations de culpabilité injustifiées, il incombe à une cour d’appel d’examiner si un acquittement serait approprié, même si elle n’est pas en mesure de conclure qu’aucun jury ne pourrait raisonnablement déclarer l’accusé coupable. Par caractéristiques procédurales des déclarations de culpabilité injustifiées, il faut entendre les caractéristiques spécifiques des causes où les procédures habituelles sont insuffisantes pour que justice soit rendue, </w:t>
      </w:r>
      <w:r w:rsidR="00C87674" w:rsidRPr="009C665E">
        <w:rPr>
          <w:lang w:val="fr-CA"/>
        </w:rPr>
        <w:t>qui</w:t>
      </w:r>
      <w:r w:rsidRPr="009C665E">
        <w:rPr>
          <w:lang w:val="fr-CA"/>
        </w:rPr>
        <w:t xml:space="preserve"> comprennent : le recours au pouvoir de renvoi du ministre (sous</w:t>
      </w:r>
      <w:r w:rsidRPr="009C665E">
        <w:rPr>
          <w:lang w:val="fr-CA"/>
        </w:rPr>
        <w:noBreakHyphen/>
        <w:t>al. 696.3(3</w:t>
      </w:r>
      <w:proofErr w:type="gramStart"/>
      <w:r w:rsidRPr="009C665E">
        <w:rPr>
          <w:lang w:val="fr-CA"/>
        </w:rPr>
        <w:t>)a)(</w:t>
      </w:r>
      <w:proofErr w:type="gramEnd"/>
      <w:r w:rsidRPr="009C665E">
        <w:rPr>
          <w:lang w:val="fr-CA"/>
        </w:rPr>
        <w:t xml:space="preserve">ii)); </w:t>
      </w:r>
      <w:r w:rsidRPr="009C665E">
        <w:rPr>
          <w:color w:val="333333"/>
          <w:szCs w:val="24"/>
          <w:shd w:val="clear" w:color="auto" w:fill="FFFFFF"/>
          <w:lang w:val="fr-CA"/>
        </w:rPr>
        <w:t xml:space="preserve">une requête en prorogation du délai pour déposer un avis d’appel </w:t>
      </w:r>
      <w:r w:rsidRPr="009C665E">
        <w:rPr>
          <w:lang w:val="fr-CA"/>
        </w:rPr>
        <w:t>(par. 678(2)); la nomination d’un procureur spécial; et les demandes visant l’admission de nouveaux éléments de preuve qui n’avaient pas été communiqués auparavant ou qui ont été découverts récemment. Les caractéristiques substantielles des déclarations de culpabilité injustifiées remettent en cause des questions liées à la culpabilité. Ces caractéristiques communes, qui ont été étudiées par de nombreuses commissions d’enquête, comprennent notamment : une omission par l’État de communiquer des renseignements importants; une preuve scientifique ou d’expert non fiabl</w:t>
      </w:r>
      <w:r w:rsidR="00C87674" w:rsidRPr="009C665E">
        <w:rPr>
          <w:lang w:val="fr-CA"/>
        </w:rPr>
        <w:t xml:space="preserve">e; </w:t>
      </w:r>
      <w:r w:rsidRPr="009C665E">
        <w:rPr>
          <w:lang w:val="fr-CA"/>
        </w:rPr>
        <w:t xml:space="preserve">une erreur d’identification </w:t>
      </w:r>
      <w:r w:rsidR="00C87674" w:rsidRPr="009C665E">
        <w:rPr>
          <w:lang w:val="fr-CA"/>
        </w:rPr>
        <w:t xml:space="preserve">par un témoin oculaire, notamment quant à une identification </w:t>
      </w:r>
      <w:r w:rsidRPr="009C665E">
        <w:rPr>
          <w:lang w:val="fr-CA"/>
        </w:rPr>
        <w:t xml:space="preserve">interraciale; des enquêtes policières inadéquates; un manque d’objectivité de la </w:t>
      </w:r>
      <w:r w:rsidRPr="009C665E">
        <w:rPr>
          <w:lang w:val="fr-CA"/>
        </w:rPr>
        <w:lastRenderedPageBreak/>
        <w:t>Couronne et de la police; de faux aveux; de faux plaidoyers de culpabilité; de la discrimination systémique.</w:t>
      </w:r>
    </w:p>
    <w:p w14:paraId="58F4E183" w14:textId="77777777" w:rsidR="009723F1" w:rsidRPr="009C665E" w:rsidRDefault="009723F1" w:rsidP="009723F1">
      <w:pPr>
        <w:pStyle w:val="SCCNormalDoubleSpacing"/>
        <w:spacing w:after="480"/>
        <w:rPr>
          <w:lang w:val="fr-CA"/>
        </w:rPr>
      </w:pPr>
      <w:r w:rsidRPr="009C665E">
        <w:rPr>
          <w:lang w:val="fr-CA"/>
        </w:rPr>
        <w:tab/>
        <w:t>Pour ce nombre réduit de causes qui présentent les caractéristiques des déclarations de culpabilités injustifiées, les cours d’appel devraient appliquer un cadre d’analyse pour déterminer si un acquittement est dans l’intérêt de la justice. En appliquant ce cadre d’analyse, les cours d’appel doivent prendre en compte la nature et les répercussions de l’erreur, la possibilité de tenir un nouveau procès et la probabilité qu’un acquittement soit prononcé, ainsi que le caractère équitable dans un cas donné. Un tel cadre concentre l’attention de la cour d’appel sur les facteurs pertinents pour la question de savoir si un acquittement est approprié, tout en offrant la flexibilité voulue pour qu’il puisse s’adapter aux causes futures.</w:t>
      </w:r>
    </w:p>
    <w:p w14:paraId="457C4D7C" w14:textId="742BABE2" w:rsidR="009723F1" w:rsidRPr="009C665E" w:rsidRDefault="009723F1" w:rsidP="009723F1">
      <w:pPr>
        <w:pStyle w:val="SCCNormalDoubleSpacing"/>
        <w:spacing w:after="480"/>
        <w:rPr>
          <w:lang w:val="fr-CA" w:bidi="en-US"/>
        </w:rPr>
      </w:pPr>
      <w:r w:rsidRPr="009C665E">
        <w:rPr>
          <w:lang w:val="fr-CA"/>
        </w:rPr>
        <w:tab/>
        <w:t xml:space="preserve">La nature de l’erreur judiciaire peut miner le fondement probatoire de la culpabilité, donner un éclairage sur le fondement de l’accusation originale, ou avoir une incidence sur tout nouveau procès. Par exemple, </w:t>
      </w:r>
      <w:r w:rsidRPr="009C665E">
        <w:rPr>
          <w:szCs w:val="24"/>
          <w:lang w:val="fr-CA"/>
        </w:rPr>
        <w:t>un dommage irréparable a pu être causé par l’absence de communication d’éléments de preuve importants. Il peut aussi y avoir une</w:t>
      </w:r>
      <w:r w:rsidRPr="009C665E">
        <w:rPr>
          <w:lang w:val="fr-CA" w:bidi="en-US"/>
        </w:rPr>
        <w:t xml:space="preserve"> preuve d’expert peu fiable ou douteuse. Les tribunaux ont reconnu avec raison les dangers de la preuve d’expert, y compris le risque que le juge des faits puisse ne pas être en mesure de l’évaluer efficacement. Les tribunaux ont aussi reconnu </w:t>
      </w:r>
      <w:r w:rsidRPr="009C665E">
        <w:rPr>
          <w:lang w:val="fr-CA"/>
        </w:rPr>
        <w:t xml:space="preserve">le problème des faux plaidoyers de culpabilité qui peuvent survenir en raison d’un conseil incompétent, d’une pression indue, d’un dossier apparemment solide pour la Couronne, ou de l’omission par le tribunal de poser les questions nécessaires à la personne </w:t>
      </w:r>
      <w:r w:rsidRPr="009C665E">
        <w:rPr>
          <w:lang w:val="fr-CA"/>
        </w:rPr>
        <w:lastRenderedPageBreak/>
        <w:t xml:space="preserve">accusée. Les erreurs judiciaires et les faux plaidoyers de culpabilité ont aussi une incidence disproportionnée sur les groupes vulnérables, comme </w:t>
      </w:r>
      <w:r w:rsidRPr="009C665E">
        <w:rPr>
          <w:lang w:val="fr-CA" w:bidi="en-US"/>
        </w:rPr>
        <w:t xml:space="preserve">les femmes, les Autochtones, les personnes racisées et les personnes souffrant de maladies mentales ou </w:t>
      </w:r>
      <w:proofErr w:type="gramStart"/>
      <w:r w:rsidRPr="009C665E">
        <w:rPr>
          <w:lang w:val="fr-CA" w:bidi="en-US"/>
        </w:rPr>
        <w:t>ayant</w:t>
      </w:r>
      <w:proofErr w:type="gramEnd"/>
      <w:r w:rsidRPr="009C665E">
        <w:rPr>
          <w:lang w:val="fr-CA" w:bidi="en-US"/>
        </w:rPr>
        <w:t xml:space="preserve"> des difficultés cognitives.</w:t>
      </w:r>
    </w:p>
    <w:p w14:paraId="4CB5614B" w14:textId="00295869" w:rsidR="009723F1" w:rsidRPr="009C665E" w:rsidRDefault="009723F1" w:rsidP="009723F1">
      <w:pPr>
        <w:pStyle w:val="SCCNormalDoubleSpacing"/>
        <w:spacing w:after="480"/>
        <w:rPr>
          <w:lang w:val="fr-CA"/>
        </w:rPr>
      </w:pPr>
      <w:r w:rsidRPr="009C665E">
        <w:rPr>
          <w:lang w:val="fr-CA"/>
        </w:rPr>
        <w:tab/>
        <w:t>En se penchant sur la possibilité de tenir un nouveau procès et sur la solidité de la cause de la Couronne, le critère du verdict déraisonnable est une norme qui est mal adaptée aux difficultés particulières que pose la preuve en cas d’erreur judiciaire. Lorsqu’il serait inévitablement satisfait à la norme exigeante prévue au sous</w:t>
      </w:r>
      <w:r w:rsidRPr="009C665E">
        <w:rPr>
          <w:lang w:val="fr-CA"/>
        </w:rPr>
        <w:noBreakHyphen/>
        <w:t>al. 686(1</w:t>
      </w:r>
      <w:proofErr w:type="gramStart"/>
      <w:r w:rsidRPr="009C665E">
        <w:rPr>
          <w:lang w:val="fr-CA"/>
        </w:rPr>
        <w:t>)a)(</w:t>
      </w:r>
      <w:proofErr w:type="gramEnd"/>
      <w:r w:rsidRPr="009C665E">
        <w:rPr>
          <w:lang w:val="fr-CA"/>
        </w:rPr>
        <w:t>i) pour conclure à un verdict déraisonnable dans le cadre d’un nouveau procès, l’acquittement devrait être la mesure que la cour est présumée ordonner, et ce, même si d’autres moyens d’appel ont été plaidés ou acceptés. Cependant, il n’incombe pas aux appelants d’établir qu’il est impossible de tenir un nouveau procès si l’intérêt de la justice dans leur cause justifie autrement un examen approfondi de l’opportunité d’un acquittement. Lorsqu’il s’agit de déterminer si l’acquittement est justifié dans l’intérêt de la justice, les cours d’appel devraient évaluer la solidité de la preuve de la Couronne en examinant si le dossier modifié ou plus étoffé, mais pas nécessairement « complet », dont est saisi</w:t>
      </w:r>
      <w:r w:rsidR="00C87674" w:rsidRPr="009C665E">
        <w:rPr>
          <w:lang w:val="fr-CA"/>
        </w:rPr>
        <w:t xml:space="preserve"> la c</w:t>
      </w:r>
      <w:r w:rsidRPr="009C665E">
        <w:rPr>
          <w:lang w:val="fr-CA"/>
        </w:rPr>
        <w:t xml:space="preserve">our d’appel, montre </w:t>
      </w:r>
      <w:r w:rsidR="00C87674" w:rsidRPr="009C665E">
        <w:rPr>
          <w:lang w:val="fr-CA"/>
        </w:rPr>
        <w:t>clairement</w:t>
      </w:r>
      <w:r w:rsidRPr="009C665E">
        <w:rPr>
          <w:lang w:val="fr-CA"/>
        </w:rPr>
        <w:t xml:space="preserve"> qu’il est plus probable qu’improbable qu’un nouveau procès se solderait par un acquittement. Cette approche établit un juste équilibre entre l’importance de la solidité des preuves à charge et les circonstances particulières d’une affaire qui présente les caractéristiques d’une déclaration de culpabilité injustifiée. </w:t>
      </w:r>
    </w:p>
    <w:p w14:paraId="65624C84" w14:textId="0560B19A" w:rsidR="009723F1" w:rsidRPr="009C665E" w:rsidRDefault="009723F1" w:rsidP="009723F1">
      <w:pPr>
        <w:pStyle w:val="SCCNormalDoubleSpacing"/>
        <w:spacing w:after="480"/>
        <w:rPr>
          <w:lang w:val="fr-CA"/>
        </w:rPr>
      </w:pPr>
      <w:r w:rsidRPr="009C665E">
        <w:rPr>
          <w:lang w:val="fr-CA"/>
        </w:rPr>
        <w:lastRenderedPageBreak/>
        <w:tab/>
      </w:r>
      <w:r w:rsidR="00C87674" w:rsidRPr="009C665E">
        <w:rPr>
          <w:lang w:val="fr-CA"/>
        </w:rPr>
        <w:t>Une</w:t>
      </w:r>
      <w:r w:rsidRPr="009C665E">
        <w:rPr>
          <w:lang w:val="fr-CA"/>
        </w:rPr>
        <w:t xml:space="preserve"> position conjointe </w:t>
      </w:r>
      <w:r w:rsidR="00C87674" w:rsidRPr="009C665E">
        <w:rPr>
          <w:lang w:val="fr-CA"/>
        </w:rPr>
        <w:t>que font</w:t>
      </w:r>
      <w:r w:rsidRPr="009C665E">
        <w:rPr>
          <w:lang w:val="fr-CA"/>
        </w:rPr>
        <w:t xml:space="preserve"> valoir la Couronne et la défense selon laquelle un acquittement est la réparation appropriée inspirera le respect et la déférence qui sont habituellement accordés aux recommandations conjointes. Toutefois, bien que les concessions faites par la Couronne devraient être un facteur important dans </w:t>
      </w:r>
      <w:r w:rsidR="00C87674" w:rsidRPr="009C665E">
        <w:rPr>
          <w:lang w:val="fr-CA"/>
        </w:rPr>
        <w:t xml:space="preserve">leur </w:t>
      </w:r>
      <w:r w:rsidRPr="009C665E">
        <w:rPr>
          <w:lang w:val="fr-CA"/>
        </w:rPr>
        <w:t>analyse, les tribunaux ne sont pas liés par les admissions de droit, y compris lorsque la Couronne réclame un acquittement ou a révélé qu’elle ne présenterait aucune preuve dans le cadre d’un nouveau procès. La décision d’inscrire un acquittement relève entièrement du pouvoir discrétionnaire conféré à la cour par le par. 686(2); bien que cela serait rare, les tribunaux conservent le pouvoir discrétionnaire d’ordonner un nouveau procès même si la Couronne a concédé qu’un acquittement serait la mesure de réparation appropriée. Si une recommandation conjointe présentée au tribunal spécifie que c’est un acquittement qui constituerait la juste réparation, le tribunal peut se demander si, sur le fondement d’un simple examen du dossier, un jury dûment instruit pourrait conclure qu’il est plus probable qu’improbable qu’un nouveau procès de l’accusé se solderait par un acquittement en appliquant la norme de la preuve hors de tout doute raisonnable.</w:t>
      </w:r>
    </w:p>
    <w:p w14:paraId="071E4EBB" w14:textId="5CBD68B1" w:rsidR="009723F1" w:rsidRPr="009C665E" w:rsidRDefault="009723F1" w:rsidP="009723F1">
      <w:pPr>
        <w:pStyle w:val="SCCNormalDoubleSpacing"/>
        <w:spacing w:after="480"/>
        <w:rPr>
          <w:lang w:val="fr-CA"/>
        </w:rPr>
      </w:pPr>
      <w:r w:rsidRPr="009C665E">
        <w:rPr>
          <w:lang w:val="fr-CA"/>
        </w:rPr>
        <w:tab/>
        <w:t xml:space="preserve">Finalement, une </w:t>
      </w:r>
      <w:r w:rsidRPr="009C665E">
        <w:rPr>
          <w:lang w:val="fr-CA" w:bidi="en-US"/>
        </w:rPr>
        <w:t>cour d’appel doit aussi procéder à une appréciation du caractère équitable global de l’espèce lorsqu’elle exerce son pouvoir discrétionnaire en vertu du par. 686(2)</w:t>
      </w:r>
      <w:r w:rsidRPr="009C665E">
        <w:rPr>
          <w:lang w:val="fr-CA"/>
        </w:rPr>
        <w:t xml:space="preserve">. Bien que </w:t>
      </w:r>
      <w:r w:rsidRPr="009C665E">
        <w:rPr>
          <w:lang w:val="fr-CA" w:bidi="en-US"/>
        </w:rPr>
        <w:t xml:space="preserve">le caractère équitable ne puisse pas, à lui seul, servir de fondement pour substituer un acquittement à un nouveau procès, les tribunaux doivent procéder à une évaluation qualitative de la situation de l’appelant et du préjudice qu’il a subi en raison de l’erreur judiciaire. Les facteurs suivants sont parmi ceux qui sont </w:t>
      </w:r>
      <w:r w:rsidRPr="009C665E">
        <w:rPr>
          <w:lang w:val="fr-CA" w:bidi="en-US"/>
        </w:rPr>
        <w:lastRenderedPageBreak/>
        <w:t xml:space="preserve">pertinents : l’appelant a déjà purgé l’intégralité ou une partie de sa peine; l’appelant a fait l’objet d’une multitude de procès et d’appels; le temps écoulé; </w:t>
      </w:r>
      <w:r w:rsidRPr="009C665E">
        <w:rPr>
          <w:lang w:val="fr-CA"/>
        </w:rPr>
        <w:t>l’existence d’un préjudice personnel important, y compris le fardeau imposé à l’appelant et à sa famille par la stigmatisation associée à une déclaration de culpabilité.</w:t>
      </w:r>
    </w:p>
    <w:p w14:paraId="30BF0931" w14:textId="79386EC9" w:rsidR="009723F1" w:rsidRPr="009C665E" w:rsidRDefault="009723F1" w:rsidP="009723F1">
      <w:pPr>
        <w:pStyle w:val="SCCNormalDoubleSpacing"/>
        <w:spacing w:after="480"/>
        <w:rPr>
          <w:lang w:val="fr-CA"/>
        </w:rPr>
      </w:pPr>
      <w:r w:rsidRPr="009C665E">
        <w:rPr>
          <w:lang w:val="fr-CA"/>
        </w:rPr>
        <w:tab/>
        <w:t>Beaucoup de ces caractéristiques procédurales et substantielles des déclarations de culpabilité injustifiées sont présentes dans la cause de B. Celle</w:t>
      </w:r>
      <w:r w:rsidR="004A3BE6" w:rsidRPr="009C665E">
        <w:rPr>
          <w:lang w:val="fr-CA"/>
        </w:rPr>
        <w:noBreakHyphen/>
      </w:r>
      <w:r w:rsidRPr="009C665E">
        <w:rPr>
          <w:lang w:val="fr-CA"/>
        </w:rPr>
        <w:t>ci a été revue indépendamment par un</w:t>
      </w:r>
      <w:r w:rsidR="00C87674" w:rsidRPr="009C665E">
        <w:rPr>
          <w:lang w:val="fr-CA"/>
        </w:rPr>
        <w:t>e</w:t>
      </w:r>
      <w:r w:rsidRPr="009C665E">
        <w:rPr>
          <w:lang w:val="fr-CA"/>
        </w:rPr>
        <w:t xml:space="preserve"> procureur</w:t>
      </w:r>
      <w:r w:rsidR="00C87674" w:rsidRPr="009C665E">
        <w:rPr>
          <w:lang w:val="fr-CA"/>
        </w:rPr>
        <w:t>e</w:t>
      </w:r>
      <w:r w:rsidRPr="009C665E">
        <w:rPr>
          <w:lang w:val="fr-CA"/>
        </w:rPr>
        <w:t xml:space="preserve"> spécial</w:t>
      </w:r>
      <w:r w:rsidR="00C87674" w:rsidRPr="009C665E">
        <w:rPr>
          <w:lang w:val="fr-CA"/>
        </w:rPr>
        <w:t>e</w:t>
      </w:r>
      <w:r w:rsidRPr="009C665E">
        <w:rPr>
          <w:lang w:val="fr-CA"/>
        </w:rPr>
        <w:t>, dont le rapport a en définitive mené à une requête en prorogation du délai d’appel et à une requête en production de nouveaux éléments de preuve qui remettaient en question la solidité de sa déclaration de culpabilité. B n’avait pas eu accès à des renseignements non communiqués détaillés qui avaient une incidence sur sa culpabilité et soulevaient de sérieuses questions quant à son plaidoyer de culpabilité. Elle était aussi une accusée vulnérable issue d’un milieu désavantagé, et sa cause avait fait intervenir une preuve d’expert qui a été remise en question.</w:t>
      </w:r>
    </w:p>
    <w:p w14:paraId="265AD247" w14:textId="36350A2A" w:rsidR="009723F1" w:rsidRPr="009C665E" w:rsidRDefault="009723F1" w:rsidP="005365A4">
      <w:pPr>
        <w:pStyle w:val="SCCNormalDoubleSpacing"/>
        <w:spacing w:after="480"/>
        <w:rPr>
          <w:lang w:val="fr-CA"/>
        </w:rPr>
      </w:pPr>
      <w:r w:rsidRPr="009C665E">
        <w:rPr>
          <w:lang w:val="fr-CA"/>
        </w:rPr>
        <w:tab/>
        <w:t xml:space="preserve">L’examen de la nature de l’erreur judiciaire dans la cause de B permet d’y déceler plusieurs caractéristiques communes aux affaires de déclarations de culpabilité injustifiées qui méritent une attention particulière. Tout d’abord, B a été privée de la communication d’éléments de preuve d’une importance considérable. Puisque la Cour d’appel ne disposait pas d’un dossier complet au regard du plaidoyer de culpabilité de B, </w:t>
      </w:r>
      <w:r w:rsidRPr="009C665E">
        <w:rPr>
          <w:lang w:val="fr-CA" w:bidi="en-US"/>
        </w:rPr>
        <w:t xml:space="preserve">la capacité de cette dernière de soutenir de manière convaincante que le verdict prononcé contre elle serait autrement déraisonnable a été minée. </w:t>
      </w:r>
      <w:r w:rsidRPr="009C665E">
        <w:rPr>
          <w:lang w:val="fr-CA"/>
        </w:rPr>
        <w:t xml:space="preserve">L’omission par la </w:t>
      </w:r>
      <w:r w:rsidRPr="009C665E">
        <w:rPr>
          <w:lang w:val="fr-CA"/>
        </w:rPr>
        <w:lastRenderedPageBreak/>
        <w:t>Couronne d’avoir communiqué intégralement la preuve a été directement liée à la déclaration de culpabilité de B, et elle mine donc la confiance du public dans la bonne administration de la justice. Ensuite, la cause de B comportait une</w:t>
      </w:r>
      <w:r w:rsidRPr="009C665E">
        <w:rPr>
          <w:lang w:val="fr-CA" w:bidi="en-US"/>
        </w:rPr>
        <w:t xml:space="preserve"> preuve d’expert qui peut être peu fiable ou douteuse. </w:t>
      </w:r>
      <w:r w:rsidRPr="009C665E">
        <w:rPr>
          <w:lang w:val="fr-CA"/>
        </w:rPr>
        <w:t xml:space="preserve">Les décisions d’accuser B et de lui ordonner de subir un procès pour l’infraction de meurtre au deuxième degré étaient largement fondées sur l’opinion d’expert de M, décrite plus tard comme « déraisonnable » dans une évaluation par des pairs. </w:t>
      </w:r>
      <w:r w:rsidRPr="009C665E">
        <w:rPr>
          <w:lang w:val="fr-CA" w:bidi="en-US"/>
        </w:rPr>
        <w:t xml:space="preserve">Une diversité d’opinions parmi les experts mine la perspective d’une déclaration de culpabilité. </w:t>
      </w:r>
      <w:r w:rsidRPr="009C665E">
        <w:rPr>
          <w:lang w:val="fr-CA"/>
        </w:rPr>
        <w:t>En dépit de l’exclusion ou non du témoignage de M, la preuve restante de la Couronne est faible et il est plus probable qu’improbable que B serait acquittée lors d’un nouveau procès. Enfin, le caractère équitable dans la cause de B milite fortement pour un acquittement. Celle</w:t>
      </w:r>
      <w:r w:rsidR="00897D4F" w:rsidRPr="009C665E">
        <w:rPr>
          <w:lang w:val="fr-CA"/>
        </w:rPr>
        <w:noBreakHyphen/>
      </w:r>
      <w:r w:rsidRPr="009C665E">
        <w:rPr>
          <w:lang w:val="fr-CA"/>
        </w:rPr>
        <w:t>ci a déjà purgé la totalité de sa peine. La famille de la victime s’est prononcée sans réserve en faveur de son acquittement et la déclaration de culpabilité ayant découlé de sa fausse déclaration de culpabilité a eu un effet dévastateur sur la vie.</w:t>
      </w:r>
    </w:p>
    <w:p w14:paraId="223FD1BA" w14:textId="77777777" w:rsidR="004D7D95" w:rsidRPr="009C665E" w:rsidRDefault="004D7D95" w:rsidP="0014130A">
      <w:pPr>
        <w:pStyle w:val="SCCNormalDoubleSpacing"/>
        <w:widowControl w:val="0"/>
        <w:spacing w:after="720" w:line="240" w:lineRule="auto"/>
        <w:rPr>
          <w:b/>
          <w:lang w:val="fr-CA"/>
        </w:rPr>
      </w:pPr>
      <w:r w:rsidRPr="009C665E">
        <w:rPr>
          <w:b/>
          <w:lang w:val="fr-CA"/>
        </w:rPr>
        <w:t>Jurisprudence</w:t>
      </w:r>
    </w:p>
    <w:p w14:paraId="055D9747" w14:textId="77777777" w:rsidR="004D7D95" w:rsidRPr="009C665E" w:rsidRDefault="00DE03E4" w:rsidP="0014130A">
      <w:pPr>
        <w:pStyle w:val="SCCNormalDoubleSpacing"/>
        <w:widowControl w:val="0"/>
        <w:spacing w:after="720" w:line="240" w:lineRule="auto"/>
        <w:rPr>
          <w:lang w:val="fr-CA"/>
        </w:rPr>
      </w:pPr>
      <w:r w:rsidRPr="009C665E">
        <w:rPr>
          <w:lang w:val="fr-CA"/>
        </w:rPr>
        <w:t>Citée par le juge Kasirer</w:t>
      </w:r>
    </w:p>
    <w:p w14:paraId="728135F0" w14:textId="10073799" w:rsidR="004D7D95" w:rsidRPr="009C665E" w:rsidRDefault="004D7D95" w:rsidP="0014130A">
      <w:pPr>
        <w:pStyle w:val="SCCNormalDoubleSpacing"/>
        <w:widowControl w:val="0"/>
        <w:spacing w:after="480"/>
        <w:rPr>
          <w:b/>
          <w:lang w:val="fr-CA"/>
        </w:rPr>
      </w:pPr>
      <w:r w:rsidRPr="009C665E">
        <w:rPr>
          <w:lang w:val="fr-CA"/>
        </w:rPr>
        <w:tab/>
      </w:r>
      <w:r w:rsidR="00A134D6" w:rsidRPr="009C665E">
        <w:rPr>
          <w:rStyle w:val="lev"/>
          <w:lang w:val="fr-CA"/>
        </w:rPr>
        <w:t>Distinction d’avec l’arrêt </w:t>
      </w:r>
      <w:r w:rsidR="00A134D6" w:rsidRPr="009C665E">
        <w:rPr>
          <w:b/>
          <w:lang w:val="fr-CA"/>
        </w:rPr>
        <w:t>:</w:t>
      </w:r>
      <w:r w:rsidR="00A134D6" w:rsidRPr="009C665E">
        <w:rPr>
          <w:lang w:val="fr-CA"/>
        </w:rPr>
        <w:t xml:space="preserve"> </w:t>
      </w:r>
      <w:r w:rsidR="00A134D6" w:rsidRPr="009C665E">
        <w:rPr>
          <w:i/>
          <w:szCs w:val="24"/>
          <w:lang w:val="fr-CA"/>
        </w:rPr>
        <w:t>Reference re :</w:t>
      </w:r>
      <w:r w:rsidR="00A134D6" w:rsidRPr="009C665E">
        <w:rPr>
          <w:szCs w:val="24"/>
          <w:lang w:val="fr-CA"/>
        </w:rPr>
        <w:t xml:space="preserve"> </w:t>
      </w:r>
      <w:r w:rsidR="00A134D6" w:rsidRPr="009C665E">
        <w:rPr>
          <w:i/>
          <w:lang w:val="fr-CA"/>
        </w:rPr>
        <w:t>Truscott</w:t>
      </w:r>
      <w:r w:rsidR="00A134D6" w:rsidRPr="009C665E">
        <w:rPr>
          <w:lang w:val="fr-CA"/>
        </w:rPr>
        <w:t xml:space="preserve">, 2007 ONCA 575, 225 C.C.C. (3d) 321; </w:t>
      </w:r>
      <w:r w:rsidR="00A454E6" w:rsidRPr="009C665E">
        <w:rPr>
          <w:b/>
          <w:lang w:val="fr-CA"/>
        </w:rPr>
        <w:t>a</w:t>
      </w:r>
      <w:r w:rsidRPr="009C665E">
        <w:rPr>
          <w:b/>
          <w:lang w:val="fr-CA"/>
        </w:rPr>
        <w:t>rrêts mentionnés :</w:t>
      </w:r>
      <w:r w:rsidRPr="009C665E">
        <w:rPr>
          <w:lang w:val="fr-CA"/>
        </w:rPr>
        <w:t xml:space="preserve"> </w:t>
      </w:r>
      <w:r w:rsidR="00C8109B" w:rsidRPr="009C665E">
        <w:rPr>
          <w:i/>
          <w:lang w:val="fr-CA"/>
        </w:rPr>
        <w:t>R. c. Kwon</w:t>
      </w:r>
      <w:r w:rsidR="00C8109B" w:rsidRPr="009C665E">
        <w:rPr>
          <w:lang w:val="fr-CA"/>
        </w:rPr>
        <w:t xml:space="preserve">, 2024 SKCA 50, 438 C.C.C. (3d) 196, </w:t>
      </w:r>
      <w:r w:rsidR="007A66F0" w:rsidRPr="009C665E">
        <w:rPr>
          <w:lang w:val="fr-CA"/>
        </w:rPr>
        <w:t>inf. par</w:t>
      </w:r>
      <w:r w:rsidR="00C8109B" w:rsidRPr="009C665E">
        <w:rPr>
          <w:lang w:val="fr-CA"/>
        </w:rPr>
        <w:t xml:space="preserve"> 2025 CSC 11; </w:t>
      </w:r>
      <w:r w:rsidR="00EC2252" w:rsidRPr="009C665E">
        <w:rPr>
          <w:i/>
          <w:szCs w:val="24"/>
          <w:lang w:val="fr-CA"/>
        </w:rPr>
        <w:t>Dunlop c. La Reine</w:t>
      </w:r>
      <w:r w:rsidR="00EC2252" w:rsidRPr="009C665E">
        <w:rPr>
          <w:szCs w:val="24"/>
          <w:lang w:val="fr-CA"/>
        </w:rPr>
        <w:t>, [1979] 2 R.C.S. 881;</w:t>
      </w:r>
      <w:r w:rsidR="000C3277" w:rsidRPr="009C665E">
        <w:rPr>
          <w:szCs w:val="24"/>
          <w:lang w:val="fr-CA"/>
        </w:rPr>
        <w:t xml:space="preserve"> </w:t>
      </w:r>
      <w:bookmarkStart w:id="0" w:name="_Hlk185498474"/>
      <w:r w:rsidR="00F13B1D" w:rsidRPr="009C665E">
        <w:rPr>
          <w:i/>
          <w:lang w:val="fr-CA"/>
        </w:rPr>
        <w:t>R. c. Smith</w:t>
      </w:r>
      <w:r w:rsidR="00F13B1D" w:rsidRPr="009C665E">
        <w:rPr>
          <w:lang w:val="fr-CA"/>
        </w:rPr>
        <w:t>, 2004 CSC 14, [2004] 1 R.C.S. 385</w:t>
      </w:r>
      <w:bookmarkEnd w:id="0"/>
      <w:r w:rsidR="00F13B1D" w:rsidRPr="009C665E">
        <w:rPr>
          <w:lang w:val="fr-CA"/>
        </w:rPr>
        <w:t xml:space="preserve">; </w:t>
      </w:r>
      <w:bookmarkStart w:id="1" w:name="_Hlk185498489"/>
      <w:r w:rsidR="00AA468D" w:rsidRPr="009C665E">
        <w:rPr>
          <w:i/>
          <w:lang w:val="fr-CA"/>
        </w:rPr>
        <w:t>R. c. Hinse</w:t>
      </w:r>
      <w:r w:rsidR="00AA468D" w:rsidRPr="009C665E">
        <w:rPr>
          <w:lang w:val="fr-CA"/>
        </w:rPr>
        <w:t>, [1995] 4 R.C.S. 597</w:t>
      </w:r>
      <w:bookmarkEnd w:id="1"/>
      <w:r w:rsidR="00AA468D" w:rsidRPr="009C665E">
        <w:rPr>
          <w:lang w:val="fr-CA"/>
        </w:rPr>
        <w:t xml:space="preserve">; </w:t>
      </w:r>
      <w:bookmarkStart w:id="2" w:name="_Hlk185498520"/>
      <w:r w:rsidR="00E74549" w:rsidRPr="009C665E">
        <w:rPr>
          <w:i/>
          <w:lang w:val="fr-CA"/>
        </w:rPr>
        <w:t>R. c. Babos</w:t>
      </w:r>
      <w:r w:rsidR="00E74549" w:rsidRPr="009C665E">
        <w:rPr>
          <w:lang w:val="fr-CA"/>
        </w:rPr>
        <w:t>, 2014 CSC 16, [2014] 1 R.C.S. 309</w:t>
      </w:r>
      <w:bookmarkEnd w:id="2"/>
      <w:r w:rsidR="00E74549" w:rsidRPr="009C665E">
        <w:rPr>
          <w:lang w:val="fr-CA"/>
        </w:rPr>
        <w:t xml:space="preserve">; </w:t>
      </w:r>
      <w:bookmarkStart w:id="3" w:name="_Hlk185498533"/>
      <w:r w:rsidR="00DD43D1" w:rsidRPr="009C665E">
        <w:rPr>
          <w:i/>
          <w:lang w:val="fr-CA"/>
        </w:rPr>
        <w:t>R. c. O’Connor</w:t>
      </w:r>
      <w:r w:rsidR="00DD43D1" w:rsidRPr="009C665E">
        <w:rPr>
          <w:lang w:val="fr-CA"/>
        </w:rPr>
        <w:t xml:space="preserve">, [1995] 4 R.C.S. 411; </w:t>
      </w:r>
      <w:r w:rsidR="001B007C" w:rsidRPr="009C665E">
        <w:rPr>
          <w:i/>
          <w:lang w:val="fr-CA"/>
        </w:rPr>
        <w:t>R. c. R.V.</w:t>
      </w:r>
      <w:r w:rsidR="001B007C" w:rsidRPr="009C665E">
        <w:rPr>
          <w:lang w:val="fr-CA"/>
        </w:rPr>
        <w:t xml:space="preserve">, 2021 CSC </w:t>
      </w:r>
      <w:r w:rsidR="001B007C" w:rsidRPr="009C665E">
        <w:rPr>
          <w:lang w:val="fr-CA"/>
        </w:rPr>
        <w:lastRenderedPageBreak/>
        <w:t>10, [2021] 1 R.C.S. 131</w:t>
      </w:r>
      <w:bookmarkEnd w:id="3"/>
      <w:r w:rsidR="001B007C" w:rsidRPr="009C665E">
        <w:rPr>
          <w:lang w:val="fr-CA"/>
        </w:rPr>
        <w:t xml:space="preserve">; </w:t>
      </w:r>
      <w:bookmarkStart w:id="4" w:name="_Hlk185498543"/>
      <w:r w:rsidR="00EF57BD" w:rsidRPr="009C665E">
        <w:rPr>
          <w:i/>
          <w:lang w:val="fr-CA"/>
        </w:rPr>
        <w:t>R. c. Bellusci</w:t>
      </w:r>
      <w:r w:rsidR="00EF57BD" w:rsidRPr="009C665E">
        <w:rPr>
          <w:lang w:val="fr-CA"/>
        </w:rPr>
        <w:t>, 2012 CSC 44, [2012] 2 R.C.S. 509</w:t>
      </w:r>
      <w:bookmarkEnd w:id="4"/>
      <w:r w:rsidR="00EF57BD" w:rsidRPr="009C665E">
        <w:rPr>
          <w:lang w:val="fr-CA"/>
        </w:rPr>
        <w:t xml:space="preserve">; </w:t>
      </w:r>
      <w:r w:rsidR="00B044E9" w:rsidRPr="009C665E">
        <w:rPr>
          <w:i/>
          <w:lang w:val="fr-CA"/>
        </w:rPr>
        <w:t>R. c. Jewitt</w:t>
      </w:r>
      <w:r w:rsidR="00B044E9" w:rsidRPr="009C665E">
        <w:rPr>
          <w:lang w:val="fr-CA"/>
        </w:rPr>
        <w:t xml:space="preserve">, [1985] 2 R.C.S. 128; </w:t>
      </w:r>
      <w:r w:rsidR="002C4EC3" w:rsidRPr="009C665E">
        <w:rPr>
          <w:i/>
          <w:lang w:val="fr-CA"/>
        </w:rPr>
        <w:t>Reference re</w:t>
      </w:r>
      <w:r w:rsidR="0006768F" w:rsidRPr="009C665E">
        <w:rPr>
          <w:i/>
          <w:lang w:val="fr-CA"/>
        </w:rPr>
        <w:t> </w:t>
      </w:r>
      <w:r w:rsidR="002C4EC3" w:rsidRPr="009C665E">
        <w:rPr>
          <w:i/>
          <w:lang w:val="fr-CA"/>
        </w:rPr>
        <w:t>: Phillion</w:t>
      </w:r>
      <w:r w:rsidR="002C4EC3" w:rsidRPr="009C665E">
        <w:rPr>
          <w:lang w:val="fr-CA"/>
        </w:rPr>
        <w:t>, 2009 ONCA 202, 241 C.C.C. (3d) 193;</w:t>
      </w:r>
      <w:bookmarkStart w:id="5" w:name="_Hlk185498675"/>
      <w:r w:rsidR="00A21187" w:rsidRPr="009C665E">
        <w:rPr>
          <w:i/>
          <w:lang w:val="fr-CA"/>
        </w:rPr>
        <w:t xml:space="preserve"> R. c. Selhi</w:t>
      </w:r>
      <w:r w:rsidR="00A21187" w:rsidRPr="009C665E">
        <w:rPr>
          <w:lang w:val="fr-CA"/>
        </w:rPr>
        <w:t>, [1990] 1 R.C.S. 277</w:t>
      </w:r>
      <w:bookmarkEnd w:id="5"/>
      <w:r w:rsidR="00A21187" w:rsidRPr="009C665E">
        <w:rPr>
          <w:lang w:val="fr-CA"/>
        </w:rPr>
        <w:t xml:space="preserve">; </w:t>
      </w:r>
      <w:bookmarkStart w:id="6" w:name="_Hlk185498713"/>
      <w:r w:rsidR="00BD0CF9" w:rsidRPr="009C665E">
        <w:rPr>
          <w:i/>
          <w:lang w:val="fr-CA"/>
        </w:rPr>
        <w:t>R. c. Puskas</w:t>
      </w:r>
      <w:r w:rsidR="00BD0CF9" w:rsidRPr="009C665E">
        <w:rPr>
          <w:lang w:val="fr-CA"/>
        </w:rPr>
        <w:t>, [1998] 1 R.C.S. 1207</w:t>
      </w:r>
      <w:bookmarkEnd w:id="6"/>
      <w:r w:rsidR="00BD0CF9" w:rsidRPr="009C665E">
        <w:rPr>
          <w:lang w:val="fr-CA"/>
        </w:rPr>
        <w:t xml:space="preserve">; </w:t>
      </w:r>
      <w:bookmarkStart w:id="7" w:name="_Hlk185498729"/>
      <w:r w:rsidR="007F4D58" w:rsidRPr="009C665E">
        <w:rPr>
          <w:i/>
          <w:lang w:val="fr-CA"/>
        </w:rPr>
        <w:t>R. c. Mullins-Johnson</w:t>
      </w:r>
      <w:r w:rsidR="007F4D58" w:rsidRPr="009C665E">
        <w:rPr>
          <w:lang w:val="fr-CA"/>
        </w:rPr>
        <w:t>, 2007 ONCA 720</w:t>
      </w:r>
      <w:bookmarkEnd w:id="7"/>
      <w:r w:rsidR="007F4D58" w:rsidRPr="009C665E">
        <w:rPr>
          <w:lang w:val="fr-CA"/>
        </w:rPr>
        <w:t xml:space="preserve">, 87 O.R. (3d) 425; </w:t>
      </w:r>
      <w:bookmarkStart w:id="8" w:name="_Hlk185498770"/>
      <w:r w:rsidR="0025475A" w:rsidRPr="009C665E">
        <w:rPr>
          <w:i/>
          <w:lang w:val="fr-CA"/>
        </w:rPr>
        <w:t xml:space="preserve">R. </w:t>
      </w:r>
      <w:r w:rsidR="009F1F54" w:rsidRPr="009C665E">
        <w:rPr>
          <w:i/>
          <w:lang w:val="fr-CA"/>
        </w:rPr>
        <w:t>c</w:t>
      </w:r>
      <w:r w:rsidR="0025475A" w:rsidRPr="009C665E">
        <w:rPr>
          <w:i/>
          <w:lang w:val="fr-CA"/>
        </w:rPr>
        <w:t>. D.R.S.</w:t>
      </w:r>
      <w:r w:rsidR="0025475A" w:rsidRPr="009C665E">
        <w:rPr>
          <w:lang w:val="fr-CA"/>
        </w:rPr>
        <w:t>, 2013 ABCA 18</w:t>
      </w:r>
      <w:bookmarkEnd w:id="8"/>
      <w:r w:rsidR="0025475A" w:rsidRPr="009C665E">
        <w:rPr>
          <w:lang w:val="fr-CA"/>
        </w:rPr>
        <w:t xml:space="preserve">, 542 A.R. 92; </w:t>
      </w:r>
      <w:bookmarkStart w:id="9" w:name="_Hlk185498820"/>
      <w:r w:rsidR="007A5ADB" w:rsidRPr="009C665E">
        <w:rPr>
          <w:i/>
          <w:lang w:val="fr-CA"/>
        </w:rPr>
        <w:t>Hill c. Commission des services policiers de la municipalité régionale de Hamilton-Wentworth</w:t>
      </w:r>
      <w:r w:rsidR="007A5ADB" w:rsidRPr="009C665E">
        <w:rPr>
          <w:lang w:val="fr-CA"/>
        </w:rPr>
        <w:t xml:space="preserve">, 2007 </w:t>
      </w:r>
      <w:r w:rsidR="00DD3196" w:rsidRPr="009C665E">
        <w:rPr>
          <w:lang w:val="fr-CA"/>
        </w:rPr>
        <w:t>CSC</w:t>
      </w:r>
      <w:r w:rsidR="007A5ADB" w:rsidRPr="009C665E">
        <w:rPr>
          <w:lang w:val="fr-CA"/>
        </w:rPr>
        <w:t xml:space="preserve"> 41, [2007] 3 </w:t>
      </w:r>
      <w:r w:rsidR="00DD3196" w:rsidRPr="009C665E">
        <w:rPr>
          <w:lang w:val="fr-CA"/>
        </w:rPr>
        <w:t>R.C.</w:t>
      </w:r>
      <w:r w:rsidR="007A5ADB" w:rsidRPr="009C665E">
        <w:rPr>
          <w:lang w:val="fr-CA"/>
        </w:rPr>
        <w:t>S. 129</w:t>
      </w:r>
      <w:bookmarkEnd w:id="9"/>
      <w:r w:rsidR="007A5ADB" w:rsidRPr="009C665E">
        <w:rPr>
          <w:lang w:val="fr-CA"/>
        </w:rPr>
        <w:t>;</w:t>
      </w:r>
      <w:bookmarkStart w:id="10" w:name="_Hlk185498852"/>
      <w:r w:rsidR="00A53A05" w:rsidRPr="009C665E">
        <w:rPr>
          <w:i/>
          <w:lang w:val="fr-CA"/>
        </w:rPr>
        <w:t xml:space="preserve"> R. c. Potvin</w:t>
      </w:r>
      <w:r w:rsidR="00A53A05" w:rsidRPr="009C665E">
        <w:rPr>
          <w:lang w:val="fr-CA"/>
        </w:rPr>
        <w:t>, [1993] 2 R.C.S. 880</w:t>
      </w:r>
      <w:bookmarkEnd w:id="10"/>
      <w:r w:rsidR="00A53A05" w:rsidRPr="009C665E">
        <w:rPr>
          <w:lang w:val="fr-CA"/>
        </w:rPr>
        <w:t xml:space="preserve">; </w:t>
      </w:r>
      <w:r w:rsidR="005E0C90" w:rsidRPr="009C665E">
        <w:rPr>
          <w:i/>
          <w:lang w:val="fr-CA"/>
        </w:rPr>
        <w:t>R. c. Morrissey</w:t>
      </w:r>
      <w:r w:rsidR="005E0C90" w:rsidRPr="009C665E">
        <w:rPr>
          <w:lang w:val="fr-CA"/>
        </w:rPr>
        <w:t xml:space="preserve"> (1995), 22 O.R. (3d) 514;</w:t>
      </w:r>
      <w:bookmarkStart w:id="11" w:name="_Hlk185498865"/>
      <w:r w:rsidR="00BB2488" w:rsidRPr="009C665E">
        <w:rPr>
          <w:i/>
          <w:lang w:val="fr-CA"/>
        </w:rPr>
        <w:t xml:space="preserve"> Grdic c. La Reine</w:t>
      </w:r>
      <w:r w:rsidR="00BB2488" w:rsidRPr="009C665E">
        <w:rPr>
          <w:lang w:val="fr-CA"/>
        </w:rPr>
        <w:t>, [1985] 1 R.C.S. 810</w:t>
      </w:r>
      <w:bookmarkEnd w:id="11"/>
      <w:r w:rsidR="00BB2488" w:rsidRPr="009C665E">
        <w:rPr>
          <w:lang w:val="fr-CA"/>
        </w:rPr>
        <w:t>;</w:t>
      </w:r>
      <w:bookmarkStart w:id="12" w:name="_Hlk185498878"/>
      <w:r w:rsidR="00CD4F53" w:rsidRPr="009C665E">
        <w:rPr>
          <w:i/>
          <w:lang w:val="fr-CA"/>
        </w:rPr>
        <w:t xml:space="preserve"> R. c. Roy</w:t>
      </w:r>
      <w:r w:rsidR="00CD4F53" w:rsidRPr="009C665E">
        <w:rPr>
          <w:lang w:val="fr-CA"/>
        </w:rPr>
        <w:t>, 2012 CSC 26, [2012] 2 R.C.S. 60</w:t>
      </w:r>
      <w:bookmarkEnd w:id="12"/>
      <w:r w:rsidR="00CD4F53" w:rsidRPr="009C665E">
        <w:rPr>
          <w:lang w:val="fr-CA"/>
        </w:rPr>
        <w:t xml:space="preserve">; </w:t>
      </w:r>
      <w:bookmarkStart w:id="13" w:name="_Hlk185498886"/>
      <w:r w:rsidR="004F2563" w:rsidRPr="009C665E">
        <w:rPr>
          <w:i/>
          <w:lang w:val="fr-CA"/>
        </w:rPr>
        <w:t>R. c. Pittiman</w:t>
      </w:r>
      <w:r w:rsidR="004F2563" w:rsidRPr="009C665E">
        <w:rPr>
          <w:lang w:val="fr-CA"/>
        </w:rPr>
        <w:t xml:space="preserve">, 2006 </w:t>
      </w:r>
      <w:r w:rsidR="00E335F4" w:rsidRPr="009C665E">
        <w:rPr>
          <w:lang w:val="fr-CA"/>
        </w:rPr>
        <w:t>CSC</w:t>
      </w:r>
      <w:r w:rsidR="004F2563" w:rsidRPr="009C665E">
        <w:rPr>
          <w:lang w:val="fr-CA"/>
        </w:rPr>
        <w:t xml:space="preserve"> 9, [2006] 1 </w:t>
      </w:r>
      <w:r w:rsidR="00E335F4" w:rsidRPr="009C665E">
        <w:rPr>
          <w:lang w:val="fr-CA"/>
        </w:rPr>
        <w:t>R.C.</w:t>
      </w:r>
      <w:r w:rsidR="004F2563" w:rsidRPr="009C665E">
        <w:rPr>
          <w:lang w:val="fr-CA"/>
        </w:rPr>
        <w:t>S. 381</w:t>
      </w:r>
      <w:bookmarkEnd w:id="13"/>
      <w:r w:rsidR="004F2563" w:rsidRPr="009C665E">
        <w:rPr>
          <w:lang w:val="fr-CA"/>
        </w:rPr>
        <w:t xml:space="preserve">; </w:t>
      </w:r>
      <w:r w:rsidR="00003918" w:rsidRPr="009C665E">
        <w:rPr>
          <w:i/>
          <w:lang w:val="fr-CA"/>
        </w:rPr>
        <w:t>R. c. S. (P.L.)</w:t>
      </w:r>
      <w:r w:rsidR="00003918" w:rsidRPr="009C665E">
        <w:rPr>
          <w:lang w:val="fr-CA"/>
        </w:rPr>
        <w:t xml:space="preserve">, [1991] 1 R.C.S. 909; </w:t>
      </w:r>
      <w:bookmarkStart w:id="14" w:name="_Hlk185498906"/>
      <w:r w:rsidR="00B777BD" w:rsidRPr="009C665E">
        <w:rPr>
          <w:i/>
          <w:lang w:val="fr-CA"/>
        </w:rPr>
        <w:t>P.G. c. R.</w:t>
      </w:r>
      <w:r w:rsidR="00B777BD" w:rsidRPr="009C665E">
        <w:rPr>
          <w:lang w:val="fr-CA"/>
        </w:rPr>
        <w:t>,</w:t>
      </w:r>
      <w:r w:rsidR="00B777BD" w:rsidRPr="009C665E">
        <w:rPr>
          <w:i/>
          <w:lang w:val="fr-CA"/>
        </w:rPr>
        <w:t xml:space="preserve"> </w:t>
      </w:r>
      <w:r w:rsidR="00B777BD" w:rsidRPr="009C665E">
        <w:rPr>
          <w:lang w:val="fr-CA"/>
        </w:rPr>
        <w:t>2007 QCCA 1160</w:t>
      </w:r>
      <w:bookmarkEnd w:id="14"/>
      <w:r w:rsidR="00B777BD" w:rsidRPr="009C665E">
        <w:rPr>
          <w:lang w:val="fr-CA"/>
        </w:rPr>
        <w:t xml:space="preserve">; </w:t>
      </w:r>
      <w:bookmarkStart w:id="15" w:name="_Hlk185498915"/>
      <w:r w:rsidR="00C73289" w:rsidRPr="009C665E">
        <w:rPr>
          <w:i/>
          <w:lang w:val="fr-CA"/>
        </w:rPr>
        <w:t>R. c. D.C.S.</w:t>
      </w:r>
      <w:r w:rsidR="00C73289" w:rsidRPr="009C665E">
        <w:rPr>
          <w:lang w:val="fr-CA"/>
        </w:rPr>
        <w:t>,</w:t>
      </w:r>
      <w:r w:rsidR="00C73289" w:rsidRPr="009C665E">
        <w:rPr>
          <w:i/>
          <w:lang w:val="fr-CA"/>
        </w:rPr>
        <w:t xml:space="preserve"> </w:t>
      </w:r>
      <w:r w:rsidR="00C73289" w:rsidRPr="009C665E">
        <w:rPr>
          <w:lang w:val="fr-CA"/>
        </w:rPr>
        <w:t>2000 NSCA 61</w:t>
      </w:r>
      <w:bookmarkEnd w:id="15"/>
      <w:r w:rsidR="00C73289" w:rsidRPr="009C665E">
        <w:rPr>
          <w:lang w:val="fr-CA"/>
        </w:rPr>
        <w:t xml:space="preserve">, 184 N.S.R. (2d) 299; </w:t>
      </w:r>
      <w:r w:rsidR="001E56BC" w:rsidRPr="009C665E">
        <w:rPr>
          <w:i/>
          <w:lang w:val="fr-CA"/>
        </w:rPr>
        <w:t>Boisvert c. R.</w:t>
      </w:r>
      <w:r w:rsidR="001E56BC" w:rsidRPr="009C665E">
        <w:rPr>
          <w:lang w:val="fr-CA"/>
        </w:rPr>
        <w:t xml:space="preserve">, 2012 QCCA 1945; </w:t>
      </w:r>
      <w:r w:rsidR="00D711FF" w:rsidRPr="009C665E">
        <w:rPr>
          <w:i/>
          <w:lang w:val="fr-CA"/>
        </w:rPr>
        <w:t>R. c. Sinclair</w:t>
      </w:r>
      <w:r w:rsidR="00D711FF" w:rsidRPr="009C665E">
        <w:rPr>
          <w:lang w:val="fr-CA"/>
        </w:rPr>
        <w:t xml:space="preserve">, 2011 CSC 40, [2011] 3 R.C.S. 3; </w:t>
      </w:r>
      <w:r w:rsidR="00D711FF" w:rsidRPr="009C665E">
        <w:rPr>
          <w:i/>
          <w:iCs/>
          <w:lang w:val="fr-CA"/>
        </w:rPr>
        <w:t>R. c. Beaudry</w:t>
      </w:r>
      <w:r w:rsidR="00D711FF" w:rsidRPr="009C665E">
        <w:rPr>
          <w:lang w:val="fr-CA"/>
        </w:rPr>
        <w:t xml:space="preserve">, 2007 CSC 5, [2007] 1 R.C.S. 190; </w:t>
      </w:r>
      <w:r w:rsidR="00451E6C" w:rsidRPr="009C665E">
        <w:rPr>
          <w:i/>
          <w:lang w:val="fr-CA"/>
        </w:rPr>
        <w:t xml:space="preserve">R. c. Harvey </w:t>
      </w:r>
      <w:r w:rsidR="00451E6C" w:rsidRPr="009C665E">
        <w:rPr>
          <w:lang w:val="fr-CA"/>
        </w:rPr>
        <w:t xml:space="preserve">(2001), 57 O.R. (3d) 296, conf. </w:t>
      </w:r>
      <w:proofErr w:type="gramStart"/>
      <w:r w:rsidR="00451E6C" w:rsidRPr="009C665E">
        <w:rPr>
          <w:lang w:val="fr-CA"/>
        </w:rPr>
        <w:t>par</w:t>
      </w:r>
      <w:proofErr w:type="gramEnd"/>
      <w:r w:rsidR="00451E6C" w:rsidRPr="009C665E">
        <w:rPr>
          <w:lang w:val="fr-CA"/>
        </w:rPr>
        <w:t xml:space="preserve"> 2002 CSC 80, [2002] 4 R.C.S. 311;</w:t>
      </w:r>
      <w:bookmarkStart w:id="16" w:name="_Hlk185499007"/>
      <w:r w:rsidR="00280CD9" w:rsidRPr="009C665E">
        <w:rPr>
          <w:i/>
          <w:lang w:val="fr-CA"/>
        </w:rPr>
        <w:t xml:space="preserve"> Savard c. The King</w:t>
      </w:r>
      <w:r w:rsidR="00280CD9" w:rsidRPr="009C665E">
        <w:rPr>
          <w:lang w:val="fr-CA"/>
        </w:rPr>
        <w:t>, [1946] R.C.S. 20</w:t>
      </w:r>
      <w:bookmarkEnd w:id="16"/>
      <w:r w:rsidR="00280CD9" w:rsidRPr="009C665E">
        <w:rPr>
          <w:lang w:val="fr-CA"/>
        </w:rPr>
        <w:t>;</w:t>
      </w:r>
      <w:r w:rsidR="00A776EF" w:rsidRPr="009C665E">
        <w:rPr>
          <w:i/>
          <w:lang w:val="fr-CA"/>
        </w:rPr>
        <w:t xml:space="preserve"> R. c. More</w:t>
      </w:r>
      <w:r w:rsidR="00A776EF" w:rsidRPr="009C665E">
        <w:rPr>
          <w:lang w:val="fr-CA"/>
        </w:rPr>
        <w:t xml:space="preserve"> (1959), 124 C.C.C. 140</w:t>
      </w:r>
      <w:r w:rsidR="00964A69" w:rsidRPr="009C665E">
        <w:rPr>
          <w:lang w:val="fr-CA"/>
        </w:rPr>
        <w:t xml:space="preserve">; </w:t>
      </w:r>
      <w:r w:rsidR="00964A69" w:rsidRPr="009C665E">
        <w:rPr>
          <w:i/>
          <w:lang w:val="fr-CA"/>
        </w:rPr>
        <w:t>R. c. Ledesma</w:t>
      </w:r>
      <w:r w:rsidR="00964A69" w:rsidRPr="009C665E">
        <w:rPr>
          <w:lang w:val="fr-CA"/>
        </w:rPr>
        <w:t xml:space="preserve">, 2020 ABCA 411; </w:t>
      </w:r>
      <w:bookmarkStart w:id="17" w:name="_Hlk185499028"/>
      <w:r w:rsidR="00DB0888" w:rsidRPr="009C665E">
        <w:rPr>
          <w:i/>
          <w:lang w:val="fr-CA"/>
        </w:rPr>
        <w:t>R. c. Hinse</w:t>
      </w:r>
      <w:r w:rsidR="00DB0888" w:rsidRPr="009C665E">
        <w:rPr>
          <w:lang w:val="fr-CA"/>
        </w:rPr>
        <w:t>, [1997] 1 R.C.S. 3</w:t>
      </w:r>
      <w:bookmarkEnd w:id="17"/>
      <w:r w:rsidR="00DB0888" w:rsidRPr="009C665E">
        <w:rPr>
          <w:lang w:val="fr-CA"/>
        </w:rPr>
        <w:t xml:space="preserve">; </w:t>
      </w:r>
      <w:bookmarkStart w:id="18" w:name="_Hlk185499040"/>
      <w:r w:rsidR="003F1CD5" w:rsidRPr="009C665E">
        <w:rPr>
          <w:i/>
          <w:lang w:val="fr-CA"/>
        </w:rPr>
        <w:t>R. c. Oakes</w:t>
      </w:r>
      <w:r w:rsidR="003F1CD5" w:rsidRPr="009C665E">
        <w:rPr>
          <w:lang w:val="fr-CA"/>
        </w:rPr>
        <w:t>, 2016 ABCA 90</w:t>
      </w:r>
      <w:bookmarkEnd w:id="18"/>
      <w:r w:rsidR="003F1CD5" w:rsidRPr="009C665E">
        <w:rPr>
          <w:lang w:val="fr-CA"/>
        </w:rPr>
        <w:t xml:space="preserve">, 36 Alta. L.R. (6th) 248; </w:t>
      </w:r>
      <w:bookmarkStart w:id="19" w:name="_Hlk185499050"/>
      <w:r w:rsidR="003559C5" w:rsidRPr="009C665E">
        <w:rPr>
          <w:i/>
          <w:lang w:val="fr-CA"/>
        </w:rPr>
        <w:t>R. c. Maciel</w:t>
      </w:r>
      <w:r w:rsidR="003559C5" w:rsidRPr="009C665E">
        <w:rPr>
          <w:lang w:val="fr-CA"/>
        </w:rPr>
        <w:t>, 2007 ONCA 196</w:t>
      </w:r>
      <w:bookmarkEnd w:id="19"/>
      <w:r w:rsidR="003559C5" w:rsidRPr="009C665E">
        <w:rPr>
          <w:lang w:val="fr-CA"/>
        </w:rPr>
        <w:t xml:space="preserve">, 219 C.C.C. (3d) 516; </w:t>
      </w:r>
      <w:bookmarkStart w:id="20" w:name="_Hlk185499058"/>
      <w:r w:rsidR="00127B7E" w:rsidRPr="009C665E">
        <w:rPr>
          <w:i/>
          <w:lang w:val="fr-CA"/>
        </w:rPr>
        <w:t>R. c. Dhillon</w:t>
      </w:r>
      <w:r w:rsidR="00127B7E" w:rsidRPr="009C665E">
        <w:rPr>
          <w:lang w:val="fr-CA"/>
        </w:rPr>
        <w:t>,</w:t>
      </w:r>
      <w:r w:rsidR="00127B7E" w:rsidRPr="009C665E">
        <w:rPr>
          <w:i/>
          <w:lang w:val="fr-CA"/>
        </w:rPr>
        <w:t xml:space="preserve"> </w:t>
      </w:r>
      <w:r w:rsidR="00127B7E" w:rsidRPr="009C665E">
        <w:rPr>
          <w:lang w:val="fr-CA"/>
        </w:rPr>
        <w:t xml:space="preserve">2014 BCCA </w:t>
      </w:r>
      <w:bookmarkEnd w:id="20"/>
      <w:r w:rsidR="00127B7E" w:rsidRPr="009C665E">
        <w:rPr>
          <w:lang w:val="fr-CA"/>
        </w:rPr>
        <w:t>480, 16 C.R. (7th) 8;</w:t>
      </w:r>
      <w:bookmarkStart w:id="21" w:name="_Hlk185499068"/>
      <w:r w:rsidR="00AC2F96" w:rsidRPr="009C665E">
        <w:rPr>
          <w:i/>
          <w:lang w:val="fr-CA"/>
        </w:rPr>
        <w:t xml:space="preserve"> R. c. Ostrowski</w:t>
      </w:r>
      <w:r w:rsidR="00AC2F96" w:rsidRPr="009C665E">
        <w:rPr>
          <w:lang w:val="fr-CA"/>
        </w:rPr>
        <w:t>, 2018 MBCA 125</w:t>
      </w:r>
      <w:bookmarkEnd w:id="21"/>
      <w:r w:rsidR="00AC2F96" w:rsidRPr="009C665E">
        <w:rPr>
          <w:lang w:val="fr-CA"/>
        </w:rPr>
        <w:t>, 369 C.C.C. (3d) 139;</w:t>
      </w:r>
      <w:r w:rsidR="00886529" w:rsidRPr="009C665E">
        <w:rPr>
          <w:i/>
          <w:lang w:val="fr-CA"/>
        </w:rPr>
        <w:t xml:space="preserve"> R. c. Hay</w:t>
      </w:r>
      <w:r w:rsidR="00886529" w:rsidRPr="009C665E">
        <w:rPr>
          <w:lang w:val="fr-CA"/>
        </w:rPr>
        <w:t xml:space="preserve">, 2013 CSC 61, [2013] 3 R.C.S. 694; </w:t>
      </w:r>
      <w:bookmarkStart w:id="22" w:name="_Hlk185499083"/>
      <w:r w:rsidR="00E26EFD" w:rsidRPr="009C665E">
        <w:rPr>
          <w:i/>
          <w:lang w:val="fr-CA"/>
        </w:rPr>
        <w:t>R. c. Stolar</w:t>
      </w:r>
      <w:r w:rsidR="00E26EFD" w:rsidRPr="009C665E">
        <w:rPr>
          <w:lang w:val="fr-CA"/>
        </w:rPr>
        <w:t>, [1988] 1 R.C.S. 480</w:t>
      </w:r>
      <w:bookmarkEnd w:id="22"/>
      <w:r w:rsidR="00E26EFD" w:rsidRPr="009C665E">
        <w:rPr>
          <w:lang w:val="fr-CA"/>
        </w:rPr>
        <w:t xml:space="preserve">; </w:t>
      </w:r>
      <w:r w:rsidR="0081636A" w:rsidRPr="009C665E">
        <w:rPr>
          <w:i/>
          <w:lang w:val="fr-CA"/>
        </w:rPr>
        <w:t>R. c. C.D.G.</w:t>
      </w:r>
      <w:r w:rsidR="0081636A" w:rsidRPr="009C665E">
        <w:rPr>
          <w:lang w:val="fr-CA"/>
        </w:rPr>
        <w:t xml:space="preserve"> (1995), 128 Nfld. &amp; P.E.I.R. 312; </w:t>
      </w:r>
      <w:bookmarkStart w:id="23" w:name="_Hlk185499103"/>
      <w:r w:rsidR="00E07436" w:rsidRPr="009C665E">
        <w:rPr>
          <w:i/>
          <w:lang w:val="fr-CA"/>
        </w:rPr>
        <w:t>R. c. W.H.</w:t>
      </w:r>
      <w:r w:rsidR="00E07436" w:rsidRPr="009C665E">
        <w:rPr>
          <w:lang w:val="fr-CA"/>
        </w:rPr>
        <w:t>, 2013 CSC 22, [2013] 2 R.C.S. 180</w:t>
      </w:r>
      <w:bookmarkEnd w:id="23"/>
      <w:r w:rsidR="00E07436" w:rsidRPr="009C665E">
        <w:rPr>
          <w:lang w:val="fr-CA"/>
        </w:rPr>
        <w:t xml:space="preserve">; </w:t>
      </w:r>
      <w:bookmarkStart w:id="24" w:name="_Hlk185499130"/>
      <w:r w:rsidR="00525802" w:rsidRPr="009C665E">
        <w:rPr>
          <w:i/>
          <w:lang w:val="fr-CA"/>
        </w:rPr>
        <w:t>R. c. Riddle</w:t>
      </w:r>
      <w:r w:rsidR="00525802" w:rsidRPr="009C665E">
        <w:rPr>
          <w:lang w:val="fr-CA"/>
        </w:rPr>
        <w:t>, [1980] 1 R.C.S. 380</w:t>
      </w:r>
      <w:bookmarkEnd w:id="24"/>
      <w:r w:rsidR="00525802" w:rsidRPr="009C665E">
        <w:rPr>
          <w:lang w:val="fr-CA"/>
        </w:rPr>
        <w:t xml:space="preserve">; </w:t>
      </w:r>
      <w:r w:rsidR="007D3400" w:rsidRPr="009C665E">
        <w:rPr>
          <w:i/>
          <w:lang w:val="fr-CA"/>
        </w:rPr>
        <w:t>R. c. Jordan</w:t>
      </w:r>
      <w:r w:rsidR="007D3400" w:rsidRPr="009C665E">
        <w:rPr>
          <w:lang w:val="fr-CA"/>
        </w:rPr>
        <w:t xml:space="preserve">, 2016 CSC 27, [2016] 1 R.C.S. 631; </w:t>
      </w:r>
      <w:r w:rsidR="00044B7C" w:rsidRPr="009C665E">
        <w:rPr>
          <w:i/>
          <w:lang w:val="fr-CA"/>
        </w:rPr>
        <w:t>La Presse inc. c. Qu</w:t>
      </w:r>
      <w:r w:rsidR="00E06701" w:rsidRPr="009C665E">
        <w:rPr>
          <w:i/>
          <w:lang w:val="fr-CA"/>
        </w:rPr>
        <w:t>é</w:t>
      </w:r>
      <w:r w:rsidR="00044B7C" w:rsidRPr="009C665E">
        <w:rPr>
          <w:i/>
          <w:lang w:val="fr-CA"/>
        </w:rPr>
        <w:t>bec</w:t>
      </w:r>
      <w:r w:rsidR="00044B7C" w:rsidRPr="009C665E">
        <w:rPr>
          <w:lang w:val="fr-CA"/>
        </w:rPr>
        <w:t xml:space="preserve">, 2023 CSC 22; </w:t>
      </w:r>
      <w:bookmarkStart w:id="25" w:name="_Hlk185499299"/>
      <w:r w:rsidR="004617D2" w:rsidRPr="009C665E">
        <w:rPr>
          <w:i/>
          <w:lang w:val="fr-CA"/>
        </w:rPr>
        <w:t>R. c. Anthony-Cook</w:t>
      </w:r>
      <w:r w:rsidR="004617D2" w:rsidRPr="009C665E">
        <w:rPr>
          <w:lang w:val="fr-CA"/>
        </w:rPr>
        <w:t>, 2016 CSC 43, [2016] 2 R.C.S. 204</w:t>
      </w:r>
      <w:bookmarkEnd w:id="25"/>
      <w:r w:rsidR="004617D2" w:rsidRPr="009C665E">
        <w:rPr>
          <w:lang w:val="fr-CA"/>
        </w:rPr>
        <w:t xml:space="preserve">; </w:t>
      </w:r>
      <w:bookmarkStart w:id="26" w:name="_Hlk185499308"/>
      <w:r w:rsidR="00C1300E" w:rsidRPr="009C665E">
        <w:rPr>
          <w:i/>
          <w:lang w:val="fr-CA"/>
        </w:rPr>
        <w:t>R. c. Nahanee</w:t>
      </w:r>
      <w:r w:rsidR="00C1300E" w:rsidRPr="009C665E">
        <w:rPr>
          <w:lang w:val="fr-CA"/>
        </w:rPr>
        <w:t>, 2022 CSC 37</w:t>
      </w:r>
      <w:bookmarkEnd w:id="26"/>
      <w:r w:rsidR="00C1300E" w:rsidRPr="009C665E">
        <w:rPr>
          <w:lang w:val="fr-CA"/>
        </w:rPr>
        <w:t xml:space="preserve">; </w:t>
      </w:r>
      <w:r w:rsidR="006A326A" w:rsidRPr="009C665E">
        <w:rPr>
          <w:i/>
          <w:lang w:val="fr-CA"/>
        </w:rPr>
        <w:t>R. c. Hanemaayer</w:t>
      </w:r>
      <w:r w:rsidR="006A326A" w:rsidRPr="009C665E">
        <w:rPr>
          <w:lang w:val="fr-CA"/>
        </w:rPr>
        <w:t xml:space="preserve">, 2008 ONCA 580, 234 C.C.C. (3d) 3; </w:t>
      </w:r>
      <w:r w:rsidR="0097554F" w:rsidRPr="009C665E">
        <w:rPr>
          <w:i/>
          <w:lang w:val="fr-CA"/>
        </w:rPr>
        <w:t>Brouillard c. La Reine</w:t>
      </w:r>
      <w:r w:rsidR="0097554F" w:rsidRPr="009C665E">
        <w:rPr>
          <w:lang w:val="fr-CA"/>
        </w:rPr>
        <w:t>, [1985] 1 R.C.S. 39;</w:t>
      </w:r>
      <w:r w:rsidR="00E264C6" w:rsidRPr="009C665E">
        <w:rPr>
          <w:i/>
          <w:lang w:val="fr-CA"/>
        </w:rPr>
        <w:t xml:space="preserve"> R. c. Karuranga</w:t>
      </w:r>
      <w:r w:rsidR="00E264C6" w:rsidRPr="009C665E">
        <w:rPr>
          <w:lang w:val="fr-CA"/>
        </w:rPr>
        <w:t>, 2021 SKCA 90, 488 C.R.R. (2d) 317;</w:t>
      </w:r>
      <w:r w:rsidR="001C7677" w:rsidRPr="009C665E">
        <w:rPr>
          <w:i/>
          <w:lang w:val="fr-CA"/>
        </w:rPr>
        <w:t xml:space="preserve"> </w:t>
      </w:r>
      <w:r w:rsidR="00E82980" w:rsidRPr="009C665E">
        <w:rPr>
          <w:i/>
          <w:lang w:val="fr-CA"/>
        </w:rPr>
        <w:t>Walsh, Re</w:t>
      </w:r>
      <w:r w:rsidR="00E82980" w:rsidRPr="009C665E">
        <w:rPr>
          <w:lang w:val="fr-CA"/>
        </w:rPr>
        <w:t xml:space="preserve">, 2008 NBCA 33, 335 </w:t>
      </w:r>
      <w:r w:rsidR="00E82980" w:rsidRPr="009C665E">
        <w:rPr>
          <w:lang w:val="fr-CA"/>
        </w:rPr>
        <w:lastRenderedPageBreak/>
        <w:t>R.N.</w:t>
      </w:r>
      <w:r w:rsidR="007B262C" w:rsidRPr="009C665E">
        <w:rPr>
          <w:lang w:val="fr-CA"/>
        </w:rPr>
        <w:noBreakHyphen/>
      </w:r>
      <w:r w:rsidR="00E82980" w:rsidRPr="009C665E">
        <w:rPr>
          <w:lang w:val="fr-CA"/>
        </w:rPr>
        <w:t>B. (2e) 1</w:t>
      </w:r>
      <w:r w:rsidR="00D97982" w:rsidRPr="009C665E">
        <w:rPr>
          <w:lang w:val="fr-CA"/>
        </w:rPr>
        <w:t>;</w:t>
      </w:r>
      <w:r w:rsidR="0030558E" w:rsidRPr="009C665E">
        <w:rPr>
          <w:i/>
          <w:lang w:val="fr-CA"/>
        </w:rPr>
        <w:t xml:space="preserve"> R. c. Tom </w:t>
      </w:r>
      <w:r w:rsidR="0030558E" w:rsidRPr="009C665E">
        <w:rPr>
          <w:lang w:val="fr-CA"/>
        </w:rPr>
        <w:t xml:space="preserve">(1992), 79 C.C.C. (3d) 84; </w:t>
      </w:r>
      <w:r w:rsidR="00C11968" w:rsidRPr="009C665E">
        <w:rPr>
          <w:i/>
          <w:lang w:val="fr-CA"/>
        </w:rPr>
        <w:t xml:space="preserve">R. c. O’Brien </w:t>
      </w:r>
      <w:r w:rsidR="00C11968" w:rsidRPr="009C665E">
        <w:rPr>
          <w:lang w:val="fr-CA"/>
        </w:rPr>
        <w:t xml:space="preserve">(1987), 10 Q.A.C. 135; </w:t>
      </w:r>
      <w:r w:rsidR="00716F74" w:rsidRPr="009C665E">
        <w:rPr>
          <w:i/>
          <w:lang w:val="fr-CA"/>
        </w:rPr>
        <w:t>R. c. Vickerson</w:t>
      </w:r>
      <w:r w:rsidR="00716F74" w:rsidRPr="009C665E">
        <w:rPr>
          <w:lang w:val="fr-CA"/>
        </w:rPr>
        <w:t>, 2020 ONCA 434;</w:t>
      </w:r>
      <w:r w:rsidR="00441C8F" w:rsidRPr="009C665E">
        <w:rPr>
          <w:i/>
          <w:lang w:val="fr-CA"/>
        </w:rPr>
        <w:t xml:space="preserve"> LSJPA — 1521</w:t>
      </w:r>
      <w:r w:rsidR="00441C8F" w:rsidRPr="009C665E">
        <w:rPr>
          <w:lang w:val="fr-CA"/>
        </w:rPr>
        <w:t xml:space="preserve">, 2015 QCCA 1229; </w:t>
      </w:r>
      <w:r w:rsidR="00C30483" w:rsidRPr="009C665E">
        <w:rPr>
          <w:i/>
          <w:lang w:val="fr-CA"/>
        </w:rPr>
        <w:t>R. c. Biniaris</w:t>
      </w:r>
      <w:r w:rsidR="00C30483" w:rsidRPr="009C665E">
        <w:rPr>
          <w:lang w:val="fr-CA"/>
        </w:rPr>
        <w:t xml:space="preserve">, 2000 CSC 15, [2000] 1 R.C.S. 381; </w:t>
      </w:r>
      <w:r w:rsidR="004004A0" w:rsidRPr="009C665E">
        <w:rPr>
          <w:i/>
          <w:lang w:val="fr-CA"/>
        </w:rPr>
        <w:t>R. c. Yusif</w:t>
      </w:r>
      <w:r w:rsidR="004004A0" w:rsidRPr="009C665E">
        <w:rPr>
          <w:lang w:val="fr-CA"/>
        </w:rPr>
        <w:t xml:space="preserve"> (1994), 74 O.A.C. 348; </w:t>
      </w:r>
      <w:r w:rsidR="005952F8" w:rsidRPr="009C665E">
        <w:rPr>
          <w:i/>
          <w:lang w:val="fr-CA"/>
        </w:rPr>
        <w:t>R. c. C.P.</w:t>
      </w:r>
      <w:r w:rsidR="005952F8" w:rsidRPr="009C665E">
        <w:rPr>
          <w:lang w:val="fr-CA"/>
        </w:rPr>
        <w:t xml:space="preserve">, 2021 CSC 19, [2021] 1 R.C.S. 679; </w:t>
      </w:r>
      <w:r w:rsidR="00335EFF" w:rsidRPr="009C665E">
        <w:rPr>
          <w:i/>
          <w:lang w:val="fr-CA"/>
        </w:rPr>
        <w:t>Colucci c. Colucci</w:t>
      </w:r>
      <w:r w:rsidR="00335EFF" w:rsidRPr="009C665E">
        <w:rPr>
          <w:lang w:val="fr-CA"/>
        </w:rPr>
        <w:t xml:space="preserve">, 2021 CSC 24, [2021] 2 R.C.S. 3; </w:t>
      </w:r>
      <w:r w:rsidR="002F302C" w:rsidRPr="009C665E">
        <w:rPr>
          <w:i/>
          <w:lang w:val="fr-CA"/>
        </w:rPr>
        <w:t>Borowski c. Canada (Procureur général)</w:t>
      </w:r>
      <w:r w:rsidR="002F302C" w:rsidRPr="009C665E">
        <w:rPr>
          <w:lang w:val="fr-CA"/>
        </w:rPr>
        <w:t xml:space="preserve">, [1989] 1 </w:t>
      </w:r>
      <w:r w:rsidR="00816DE5" w:rsidRPr="009C665E">
        <w:rPr>
          <w:lang w:val="fr-CA"/>
        </w:rPr>
        <w:t>R.C.</w:t>
      </w:r>
      <w:r w:rsidR="002F302C" w:rsidRPr="009C665E">
        <w:rPr>
          <w:lang w:val="fr-CA"/>
        </w:rPr>
        <w:t xml:space="preserve">S. 342; </w:t>
      </w:r>
      <w:r w:rsidR="0042100F" w:rsidRPr="009C665E">
        <w:rPr>
          <w:i/>
          <w:lang w:val="fr-CA"/>
        </w:rPr>
        <w:t>Cordell c. Second Clanfield Properties Ltd.</w:t>
      </w:r>
      <w:r w:rsidR="0042100F" w:rsidRPr="009C665E">
        <w:rPr>
          <w:lang w:val="fr-CA"/>
        </w:rPr>
        <w:t xml:space="preserve">, [1969] 2 Ch. 9; </w:t>
      </w:r>
      <w:r w:rsidR="006C7B46" w:rsidRPr="009C665E">
        <w:rPr>
          <w:i/>
          <w:lang w:val="fr-CA"/>
        </w:rPr>
        <w:t>R. c. Mars</w:t>
      </w:r>
      <w:r w:rsidR="006C7B46" w:rsidRPr="009C665E">
        <w:rPr>
          <w:lang w:val="fr-CA"/>
        </w:rPr>
        <w:t xml:space="preserve"> (2006), 205 C.C.C. (3d) 376; </w:t>
      </w:r>
      <w:r w:rsidR="00C81A5D" w:rsidRPr="009C665E">
        <w:rPr>
          <w:i/>
          <w:lang w:val="fr-CA"/>
        </w:rPr>
        <w:t>R. c. Browne</w:t>
      </w:r>
      <w:r w:rsidR="00C81A5D" w:rsidRPr="009C665E">
        <w:rPr>
          <w:lang w:val="fr-CA"/>
        </w:rPr>
        <w:t xml:space="preserve">, 2021 ONCA 836, 498 C.R.R. (2d) 345; </w:t>
      </w:r>
      <w:r w:rsidR="009D1971" w:rsidRPr="009C665E">
        <w:rPr>
          <w:i/>
          <w:lang w:val="fr-CA"/>
        </w:rPr>
        <w:t>Doucet c. R.</w:t>
      </w:r>
      <w:r w:rsidR="009D1971" w:rsidRPr="009C665E">
        <w:rPr>
          <w:lang w:val="fr-CA"/>
        </w:rPr>
        <w:t xml:space="preserve">, 2024 QCCA 461; </w:t>
      </w:r>
      <w:bookmarkStart w:id="27" w:name="_Hlk185499339"/>
      <w:r w:rsidR="00B1485B" w:rsidRPr="009C665E">
        <w:rPr>
          <w:i/>
          <w:lang w:val="fr-CA"/>
        </w:rPr>
        <w:t>R. c. Buzizi</w:t>
      </w:r>
      <w:r w:rsidR="00B1485B" w:rsidRPr="009C665E">
        <w:rPr>
          <w:lang w:val="fr-CA"/>
        </w:rPr>
        <w:t>, 2013 CSC 27, [2013] 2 R.C.S. 248</w:t>
      </w:r>
      <w:bookmarkEnd w:id="27"/>
      <w:r w:rsidR="00B1485B" w:rsidRPr="009C665E">
        <w:rPr>
          <w:lang w:val="fr-CA"/>
        </w:rPr>
        <w:t xml:space="preserve">; </w:t>
      </w:r>
      <w:r w:rsidR="009B7993" w:rsidRPr="009C665E">
        <w:rPr>
          <w:i/>
          <w:lang w:val="fr-CA"/>
        </w:rPr>
        <w:t>R. c. Villaroman</w:t>
      </w:r>
      <w:r w:rsidR="009B7993" w:rsidRPr="009C665E">
        <w:rPr>
          <w:lang w:val="fr-CA"/>
        </w:rPr>
        <w:t>, 2016 CSC 33, [2016] 1 R.C.S. 1000</w:t>
      </w:r>
      <w:r w:rsidR="003D5A90" w:rsidRPr="009C665E">
        <w:rPr>
          <w:lang w:val="fr-CA"/>
        </w:rPr>
        <w:t>.</w:t>
      </w:r>
    </w:p>
    <w:p w14:paraId="15573AC5" w14:textId="3FCA2997" w:rsidR="00DE03E4" w:rsidRPr="009C665E" w:rsidRDefault="00DE03E4" w:rsidP="0014130A">
      <w:pPr>
        <w:pStyle w:val="SCCNormalDoubleSpacing"/>
        <w:widowControl w:val="0"/>
        <w:spacing w:after="720" w:line="240" w:lineRule="auto"/>
        <w:rPr>
          <w:lang w:val="fr-CA"/>
        </w:rPr>
      </w:pPr>
      <w:r w:rsidRPr="009C665E">
        <w:rPr>
          <w:lang w:val="fr-CA"/>
        </w:rPr>
        <w:t xml:space="preserve">Citée par la juge </w:t>
      </w:r>
      <w:r w:rsidR="007950EA" w:rsidRPr="009C665E">
        <w:rPr>
          <w:lang w:val="fr-CA"/>
        </w:rPr>
        <w:t>Martin</w:t>
      </w:r>
    </w:p>
    <w:p w14:paraId="4E7658C1" w14:textId="32416BB0" w:rsidR="00DE03E4" w:rsidRPr="009C665E" w:rsidRDefault="00DE03E4" w:rsidP="0014130A">
      <w:pPr>
        <w:pStyle w:val="SCCNormalDoubleSpacing"/>
        <w:widowControl w:val="0"/>
        <w:spacing w:after="480"/>
        <w:rPr>
          <w:b/>
          <w:lang w:val="fr-CA"/>
        </w:rPr>
      </w:pPr>
      <w:r w:rsidRPr="009C665E">
        <w:rPr>
          <w:lang w:val="fr-CA"/>
        </w:rPr>
        <w:tab/>
      </w:r>
      <w:r w:rsidRPr="009C665E">
        <w:rPr>
          <w:b/>
          <w:lang w:val="fr-CA"/>
        </w:rPr>
        <w:t xml:space="preserve">Arrêts </w:t>
      </w:r>
      <w:r w:rsidR="007950EA" w:rsidRPr="009C665E">
        <w:rPr>
          <w:b/>
          <w:lang w:val="fr-CA"/>
        </w:rPr>
        <w:t xml:space="preserve">examinés : </w:t>
      </w:r>
      <w:r w:rsidR="007950EA" w:rsidRPr="009C665E">
        <w:rPr>
          <w:i/>
          <w:szCs w:val="24"/>
          <w:lang w:val="fr-CA"/>
        </w:rPr>
        <w:t>Reference re :</w:t>
      </w:r>
      <w:r w:rsidR="007950EA" w:rsidRPr="009C665E">
        <w:rPr>
          <w:szCs w:val="24"/>
          <w:lang w:val="fr-CA"/>
        </w:rPr>
        <w:t xml:space="preserve"> </w:t>
      </w:r>
      <w:r w:rsidR="007950EA" w:rsidRPr="009C665E">
        <w:rPr>
          <w:i/>
          <w:lang w:val="fr-CA"/>
        </w:rPr>
        <w:t>Truscott</w:t>
      </w:r>
      <w:r w:rsidR="007950EA" w:rsidRPr="009C665E">
        <w:rPr>
          <w:lang w:val="fr-CA"/>
        </w:rPr>
        <w:t xml:space="preserve">, 2007 ONCA 575, 225 C.C.C. (3d) 321; </w:t>
      </w:r>
      <w:r w:rsidR="007950EA" w:rsidRPr="009C665E">
        <w:rPr>
          <w:i/>
          <w:lang w:val="fr-CA"/>
        </w:rPr>
        <w:t>R. c. Biniaris</w:t>
      </w:r>
      <w:r w:rsidR="007950EA" w:rsidRPr="009C665E">
        <w:rPr>
          <w:lang w:val="fr-CA"/>
        </w:rPr>
        <w:t xml:space="preserve"> (1998), 124 C.C.C. (3d) 58, inf. </w:t>
      </w:r>
      <w:r w:rsidR="007950EA" w:rsidRPr="009C665E">
        <w:rPr>
          <w:color w:val="000000"/>
          <w:lang w:val="fr-CA"/>
        </w:rPr>
        <w:t xml:space="preserve">en partie </w:t>
      </w:r>
      <w:r w:rsidR="007950EA" w:rsidRPr="009C665E">
        <w:rPr>
          <w:lang w:val="fr-CA"/>
        </w:rPr>
        <w:t xml:space="preserve">par 2000 CSC 15, [2000] 1 R.C.S. 381; </w:t>
      </w:r>
      <w:r w:rsidR="007950EA" w:rsidRPr="009C665E">
        <w:rPr>
          <w:i/>
          <w:lang w:val="fr-CA"/>
        </w:rPr>
        <w:t>R. c. Yebes</w:t>
      </w:r>
      <w:r w:rsidR="007950EA" w:rsidRPr="009C665E">
        <w:rPr>
          <w:lang w:val="fr-CA"/>
        </w:rPr>
        <w:t>, [1987] 2 R.C.S. 168;</w:t>
      </w:r>
      <w:r w:rsidR="007950EA" w:rsidRPr="009C665E">
        <w:rPr>
          <w:i/>
          <w:lang w:val="fr-CA"/>
        </w:rPr>
        <w:t xml:space="preserve"> </w:t>
      </w:r>
      <w:r w:rsidR="007950EA" w:rsidRPr="009C665E">
        <w:rPr>
          <w:b/>
          <w:lang w:val="fr-CA"/>
        </w:rPr>
        <w:t xml:space="preserve">arrêts </w:t>
      </w:r>
      <w:r w:rsidRPr="009C665E">
        <w:rPr>
          <w:b/>
          <w:lang w:val="fr-CA"/>
        </w:rPr>
        <w:t>mentionnés :</w:t>
      </w:r>
      <w:r w:rsidRPr="009C665E">
        <w:rPr>
          <w:lang w:val="fr-CA"/>
        </w:rPr>
        <w:t xml:space="preserve"> </w:t>
      </w:r>
      <w:r w:rsidR="00B50D6F" w:rsidRPr="009C665E">
        <w:rPr>
          <w:i/>
          <w:lang w:val="fr-CA"/>
        </w:rPr>
        <w:t>R. c. T.W.W.</w:t>
      </w:r>
      <w:r w:rsidR="00B50D6F" w:rsidRPr="009C665E">
        <w:rPr>
          <w:lang w:val="fr-CA"/>
        </w:rPr>
        <w:t xml:space="preserve">, 2024 CSC 19; </w:t>
      </w:r>
      <w:r w:rsidR="00661BAA" w:rsidRPr="009C665E">
        <w:rPr>
          <w:i/>
          <w:lang w:val="fr-CA"/>
        </w:rPr>
        <w:t>R. c. Hinse</w:t>
      </w:r>
      <w:r w:rsidR="00661BAA" w:rsidRPr="009C665E">
        <w:rPr>
          <w:lang w:val="fr-CA"/>
        </w:rPr>
        <w:t xml:space="preserve">, [1997] 1 </w:t>
      </w:r>
      <w:r w:rsidR="000B77FE" w:rsidRPr="009C665E">
        <w:rPr>
          <w:lang w:val="fr-CA"/>
        </w:rPr>
        <w:t>R.C.</w:t>
      </w:r>
      <w:r w:rsidR="00661BAA" w:rsidRPr="009C665E">
        <w:rPr>
          <w:lang w:val="fr-CA"/>
        </w:rPr>
        <w:t>S. 3</w:t>
      </w:r>
      <w:r w:rsidR="0001291D" w:rsidRPr="009C665E">
        <w:rPr>
          <w:lang w:val="fr-CA"/>
        </w:rPr>
        <w:t xml:space="preserve">; </w:t>
      </w:r>
      <w:r w:rsidR="003A3EE1" w:rsidRPr="009C665E">
        <w:rPr>
          <w:i/>
          <w:lang w:val="fr-CA"/>
        </w:rPr>
        <w:t>Boucher c. The Queen</w:t>
      </w:r>
      <w:r w:rsidR="003A3EE1" w:rsidRPr="009C665E">
        <w:rPr>
          <w:lang w:val="fr-CA"/>
        </w:rPr>
        <w:t xml:space="preserve">, [1955] R.C.S. 16; </w:t>
      </w:r>
      <w:r w:rsidR="00D00207" w:rsidRPr="009C665E">
        <w:rPr>
          <w:i/>
          <w:lang w:val="fr-CA"/>
        </w:rPr>
        <w:t>R. c. Anthony-Cook</w:t>
      </w:r>
      <w:r w:rsidR="00D00207" w:rsidRPr="009C665E">
        <w:rPr>
          <w:lang w:val="fr-CA"/>
        </w:rPr>
        <w:t xml:space="preserve">, 2016 CSC 43, [2016] 2 R.C.S. 204; </w:t>
      </w:r>
      <w:r w:rsidR="00D00207" w:rsidRPr="009C665E">
        <w:rPr>
          <w:i/>
          <w:lang w:val="fr-CA"/>
        </w:rPr>
        <w:t>R. c. Antic</w:t>
      </w:r>
      <w:r w:rsidR="00D00207" w:rsidRPr="009C665E">
        <w:rPr>
          <w:lang w:val="fr-CA"/>
        </w:rPr>
        <w:t xml:space="preserve">, 2017 CSC 27, [2017] 1 R.C.S. 509; </w:t>
      </w:r>
      <w:r w:rsidR="00C766F6" w:rsidRPr="009C665E">
        <w:rPr>
          <w:i/>
          <w:lang w:val="fr-CA"/>
        </w:rPr>
        <w:t>R. c</w:t>
      </w:r>
      <w:r w:rsidR="002D018F" w:rsidRPr="009C665E">
        <w:rPr>
          <w:i/>
          <w:lang w:val="fr-CA"/>
        </w:rPr>
        <w:t>. Zora</w:t>
      </w:r>
      <w:r w:rsidR="002D018F" w:rsidRPr="009C665E">
        <w:rPr>
          <w:lang w:val="fr-CA"/>
        </w:rPr>
        <w:t xml:space="preserve">, 2020 </w:t>
      </w:r>
      <w:r w:rsidR="00C766F6" w:rsidRPr="009C665E">
        <w:rPr>
          <w:lang w:val="fr-CA"/>
        </w:rPr>
        <w:t>CSC</w:t>
      </w:r>
      <w:r w:rsidR="002D018F" w:rsidRPr="009C665E">
        <w:rPr>
          <w:lang w:val="fr-CA"/>
        </w:rPr>
        <w:t xml:space="preserve"> 14, [2020] 2 </w:t>
      </w:r>
      <w:r w:rsidR="00C766F6" w:rsidRPr="009C665E">
        <w:rPr>
          <w:lang w:val="fr-CA"/>
        </w:rPr>
        <w:t>R.C.</w:t>
      </w:r>
      <w:r w:rsidR="002D018F" w:rsidRPr="009C665E">
        <w:rPr>
          <w:lang w:val="fr-CA"/>
        </w:rPr>
        <w:t xml:space="preserve">S. 3; </w:t>
      </w:r>
      <w:r w:rsidR="00CF6664" w:rsidRPr="009C665E">
        <w:rPr>
          <w:i/>
          <w:lang w:val="fr-CA"/>
        </w:rPr>
        <w:t>R. c. Pickton</w:t>
      </w:r>
      <w:r w:rsidR="00CF6664" w:rsidRPr="009C665E">
        <w:rPr>
          <w:lang w:val="fr-CA"/>
        </w:rPr>
        <w:t>, 2010 CSC 32, [2010] 2 R.C.S. 198;</w:t>
      </w:r>
      <w:r w:rsidR="000A37F1" w:rsidRPr="009C665E">
        <w:rPr>
          <w:lang w:val="fr-CA"/>
        </w:rPr>
        <w:t xml:space="preserve"> </w:t>
      </w:r>
      <w:r w:rsidR="009F3C3D" w:rsidRPr="009C665E">
        <w:rPr>
          <w:i/>
          <w:lang w:val="fr-CA"/>
        </w:rPr>
        <w:t>R. c. Akram</w:t>
      </w:r>
      <w:r w:rsidR="009F3C3D" w:rsidRPr="009C665E">
        <w:rPr>
          <w:lang w:val="fr-CA"/>
        </w:rPr>
        <w:t>, 2025 ONCA 158</w:t>
      </w:r>
      <w:r w:rsidR="00D63DC1" w:rsidRPr="009C665E">
        <w:rPr>
          <w:lang w:val="fr-CA"/>
        </w:rPr>
        <w:t>, 445 C.C.C. (3d) 270</w:t>
      </w:r>
      <w:r w:rsidR="009F3C3D" w:rsidRPr="009C665E">
        <w:rPr>
          <w:lang w:val="fr-CA"/>
        </w:rPr>
        <w:t xml:space="preserve">; </w:t>
      </w:r>
      <w:r w:rsidR="00EC0EAF" w:rsidRPr="009C665E">
        <w:rPr>
          <w:i/>
          <w:lang w:val="fr-CA"/>
        </w:rPr>
        <w:t>États-Unis c. Burns</w:t>
      </w:r>
      <w:r w:rsidR="00EC0EAF" w:rsidRPr="009C665E">
        <w:rPr>
          <w:color w:val="000000"/>
          <w:lang w:val="fr-CA"/>
        </w:rPr>
        <w:t>, 2001 CSC 7</w:t>
      </w:r>
      <w:r w:rsidR="00EC0EAF" w:rsidRPr="009C665E">
        <w:rPr>
          <w:lang w:val="fr-CA"/>
        </w:rPr>
        <w:t>, [2001] 1 R.C.S. 283</w:t>
      </w:r>
      <w:r w:rsidR="00310EF3" w:rsidRPr="009C665E">
        <w:rPr>
          <w:lang w:val="fr-CA"/>
        </w:rPr>
        <w:t xml:space="preserve">; </w:t>
      </w:r>
      <w:r w:rsidR="00310EF3" w:rsidRPr="009C665E">
        <w:rPr>
          <w:i/>
          <w:iCs/>
          <w:color w:val="000000"/>
          <w:lang w:val="fr-CA"/>
        </w:rPr>
        <w:t>Renvoi relatif à la Motor Vehicle Act (C.</w:t>
      </w:r>
      <w:r w:rsidR="00310EF3" w:rsidRPr="009C665E">
        <w:rPr>
          <w:i/>
          <w:iCs/>
          <w:color w:val="000000"/>
          <w:lang w:val="fr-CA"/>
        </w:rPr>
        <w:noBreakHyphen/>
        <w:t>B.)</w:t>
      </w:r>
      <w:r w:rsidR="00310EF3" w:rsidRPr="009C665E">
        <w:rPr>
          <w:color w:val="000000"/>
          <w:lang w:val="fr-CA"/>
        </w:rPr>
        <w:t>, [1985] 2 R.C.S. 486</w:t>
      </w:r>
      <w:r w:rsidR="00EC0EAF" w:rsidRPr="009C665E">
        <w:rPr>
          <w:lang w:val="fr-CA"/>
        </w:rPr>
        <w:t xml:space="preserve">; </w:t>
      </w:r>
      <w:r w:rsidR="004C3B5A" w:rsidRPr="009C665E">
        <w:rPr>
          <w:i/>
          <w:lang w:val="fr-CA" w:bidi="en-US"/>
        </w:rPr>
        <w:t>R. c. C.P.</w:t>
      </w:r>
      <w:r w:rsidR="004C3B5A" w:rsidRPr="009C665E">
        <w:rPr>
          <w:lang w:val="fr-CA" w:bidi="en-US"/>
        </w:rPr>
        <w:t xml:space="preserve">, 2021 CSC 19, [2021] 1 R.C.S. 679; </w:t>
      </w:r>
      <w:r w:rsidR="00FD5D61" w:rsidRPr="009C665E">
        <w:rPr>
          <w:i/>
          <w:lang w:val="fr-CA"/>
        </w:rPr>
        <w:t>R. c. Stinchcombe</w:t>
      </w:r>
      <w:r w:rsidR="00FD5D61" w:rsidRPr="009C665E">
        <w:rPr>
          <w:lang w:val="fr-CA"/>
        </w:rPr>
        <w:t xml:space="preserve">, [1991] 3 R.C.S. 326; </w:t>
      </w:r>
      <w:r w:rsidR="006C629D" w:rsidRPr="009C665E">
        <w:rPr>
          <w:i/>
          <w:lang w:val="fr-CA" w:bidi="en-US"/>
        </w:rPr>
        <w:t>R. c. Bernardo</w:t>
      </w:r>
      <w:r w:rsidR="006C629D" w:rsidRPr="009C665E">
        <w:rPr>
          <w:lang w:val="fr-CA" w:bidi="en-US"/>
        </w:rPr>
        <w:t xml:space="preserve"> (1997), 121 C.C.C. (3d) 123; </w:t>
      </w:r>
      <w:r w:rsidR="00E075DF" w:rsidRPr="009C665E">
        <w:rPr>
          <w:i/>
          <w:lang w:val="fr-CA" w:bidi="en-US"/>
        </w:rPr>
        <w:t>R. c. Morrissey</w:t>
      </w:r>
      <w:r w:rsidR="00D560F0" w:rsidRPr="009C665E">
        <w:rPr>
          <w:i/>
          <w:lang w:val="fr-CA" w:bidi="en-US"/>
        </w:rPr>
        <w:t xml:space="preserve"> </w:t>
      </w:r>
      <w:r w:rsidR="00D560F0" w:rsidRPr="009C665E">
        <w:rPr>
          <w:lang w:val="fr-CA"/>
        </w:rPr>
        <w:t>(1995), 22 O.R. (3d) 514</w:t>
      </w:r>
      <w:r w:rsidR="00E075DF" w:rsidRPr="009C665E">
        <w:rPr>
          <w:lang w:val="fr-CA" w:bidi="en-US"/>
        </w:rPr>
        <w:t>;</w:t>
      </w:r>
      <w:r w:rsidR="000D3704" w:rsidRPr="009C665E">
        <w:rPr>
          <w:i/>
          <w:iCs/>
          <w:lang w:val="fr-CA"/>
        </w:rPr>
        <w:t xml:space="preserve"> R. c. Sinclair</w:t>
      </w:r>
      <w:r w:rsidR="000D3704" w:rsidRPr="009C665E">
        <w:rPr>
          <w:lang w:val="fr-CA"/>
        </w:rPr>
        <w:t xml:space="preserve">, 2011 CSC 40, [2011] 3 </w:t>
      </w:r>
      <w:r w:rsidR="000D3704" w:rsidRPr="009C665E">
        <w:rPr>
          <w:lang w:val="fr-CA"/>
        </w:rPr>
        <w:lastRenderedPageBreak/>
        <w:t xml:space="preserve">R.C.S. 3; </w:t>
      </w:r>
      <w:r w:rsidR="00400368" w:rsidRPr="009C665E">
        <w:rPr>
          <w:i/>
          <w:lang w:val="fr-CA"/>
        </w:rPr>
        <w:t xml:space="preserve">R. c. </w:t>
      </w:r>
      <w:r w:rsidR="00400368" w:rsidRPr="009C665E">
        <w:rPr>
          <w:i/>
          <w:lang w:val="fr-CA" w:bidi="en-US"/>
        </w:rPr>
        <w:t>Davey</w:t>
      </w:r>
      <w:r w:rsidR="00400368" w:rsidRPr="009C665E">
        <w:rPr>
          <w:lang w:val="fr-CA"/>
        </w:rPr>
        <w:t xml:space="preserve">, 2012 CSC 75, [2012] 3 R.C.S. 828; </w:t>
      </w:r>
      <w:r w:rsidR="00D338D4" w:rsidRPr="009C665E">
        <w:rPr>
          <w:i/>
          <w:lang w:val="fr-CA" w:bidi="en-US"/>
        </w:rPr>
        <w:t>R. c. Wolkins</w:t>
      </w:r>
      <w:r w:rsidR="00D338D4" w:rsidRPr="009C665E">
        <w:rPr>
          <w:lang w:val="fr-CA" w:bidi="en-US"/>
        </w:rPr>
        <w:t xml:space="preserve">, 2005 NSCA 2, 229 N.S.R. (2d) 222; </w:t>
      </w:r>
      <w:r w:rsidR="00A70DED" w:rsidRPr="009C665E">
        <w:rPr>
          <w:i/>
          <w:lang w:val="fr-CA" w:bidi="en-US"/>
        </w:rPr>
        <w:t>R. c. Kahsai</w:t>
      </w:r>
      <w:r w:rsidR="00A70DED" w:rsidRPr="009C665E">
        <w:rPr>
          <w:szCs w:val="23"/>
          <w:lang w:val="fr-CA"/>
        </w:rPr>
        <w:t xml:space="preserve">, 2023 CSC 20; </w:t>
      </w:r>
      <w:r w:rsidR="00677819" w:rsidRPr="009C665E">
        <w:rPr>
          <w:i/>
          <w:lang w:val="fr-CA" w:bidi="en-US"/>
        </w:rPr>
        <w:t>R. c. Khan</w:t>
      </w:r>
      <w:r w:rsidR="00677819" w:rsidRPr="009C665E">
        <w:rPr>
          <w:lang w:val="fr-CA" w:bidi="en-US"/>
        </w:rPr>
        <w:t xml:space="preserve">, </w:t>
      </w:r>
      <w:r w:rsidR="00677819" w:rsidRPr="009C665E">
        <w:rPr>
          <w:lang w:val="fr-CA"/>
        </w:rPr>
        <w:t xml:space="preserve">2001 CSC 86, [2001] 3 R.C.S. 823; </w:t>
      </w:r>
      <w:r w:rsidR="004A47FB" w:rsidRPr="009C665E">
        <w:rPr>
          <w:i/>
          <w:lang w:val="fr-CA" w:bidi="en-US"/>
        </w:rPr>
        <w:t>Fanjoy c. La Reine</w:t>
      </w:r>
      <w:r w:rsidR="004A47FB" w:rsidRPr="009C665E">
        <w:rPr>
          <w:lang w:val="fr-CA" w:bidi="en-US"/>
        </w:rPr>
        <w:t xml:space="preserve">, [1985] 2 R.C.S. 233; </w:t>
      </w:r>
      <w:r w:rsidR="00636E39" w:rsidRPr="009C665E">
        <w:rPr>
          <w:i/>
          <w:lang w:val="fr-CA"/>
        </w:rPr>
        <w:t>R. c. R.V.</w:t>
      </w:r>
      <w:r w:rsidR="00636E39" w:rsidRPr="009C665E">
        <w:rPr>
          <w:lang w:val="fr-CA"/>
        </w:rPr>
        <w:t xml:space="preserve">, 2021 CSC 10, [2021] 1 R.C.S. 131; </w:t>
      </w:r>
      <w:r w:rsidR="00BA1276" w:rsidRPr="009C665E">
        <w:rPr>
          <w:i/>
          <w:lang w:val="fr-CA"/>
        </w:rPr>
        <w:t>R. c. Haslam</w:t>
      </w:r>
      <w:r w:rsidR="00BA1276" w:rsidRPr="009C665E">
        <w:rPr>
          <w:lang w:val="fr-CA"/>
        </w:rPr>
        <w:t xml:space="preserve"> (1990), 56 C.C.C. (3d) 491; </w:t>
      </w:r>
      <w:r w:rsidR="002F7679" w:rsidRPr="009C665E">
        <w:rPr>
          <w:i/>
          <w:lang w:val="fr-CA"/>
        </w:rPr>
        <w:t>R. c. Levy</w:t>
      </w:r>
      <w:r w:rsidR="002F7679" w:rsidRPr="009C665E">
        <w:rPr>
          <w:lang w:val="fr-CA"/>
        </w:rPr>
        <w:t xml:space="preserve"> (1991)</w:t>
      </w:r>
      <w:r w:rsidR="0012364D" w:rsidRPr="009C665E">
        <w:rPr>
          <w:lang w:val="fr-CA"/>
        </w:rPr>
        <w:t>,</w:t>
      </w:r>
      <w:r w:rsidR="002F7679" w:rsidRPr="009C665E">
        <w:rPr>
          <w:lang w:val="fr-CA"/>
        </w:rPr>
        <w:t xml:space="preserve"> 62 C.C.C. (3d) 97; </w:t>
      </w:r>
      <w:r w:rsidR="00433224" w:rsidRPr="009C665E">
        <w:rPr>
          <w:i/>
          <w:lang w:val="fr-CA" w:bidi="en-US"/>
        </w:rPr>
        <w:t>R. c. Provo</w:t>
      </w:r>
      <w:r w:rsidR="00433224" w:rsidRPr="009C665E">
        <w:rPr>
          <w:lang w:val="fr-CA" w:bidi="en-US"/>
        </w:rPr>
        <w:t xml:space="preserve">, [1989] 2 R.C.S. 3; </w:t>
      </w:r>
      <w:r w:rsidR="00D74638" w:rsidRPr="009C665E">
        <w:rPr>
          <w:i/>
          <w:lang w:val="fr-CA" w:bidi="en-US"/>
        </w:rPr>
        <w:t>R. c. Thomas</w:t>
      </w:r>
      <w:r w:rsidR="00D74638" w:rsidRPr="009C665E">
        <w:rPr>
          <w:lang w:val="fr-CA" w:bidi="en-US"/>
        </w:rPr>
        <w:t>, [1998] 3 R.C.S. 535;</w:t>
      </w:r>
      <w:r w:rsidR="009F18D5" w:rsidRPr="009C665E">
        <w:rPr>
          <w:i/>
          <w:lang w:val="fr-CA"/>
        </w:rPr>
        <w:t xml:space="preserve"> </w:t>
      </w:r>
      <w:r w:rsidR="00902BC7" w:rsidRPr="009C665E">
        <w:rPr>
          <w:i/>
          <w:lang w:val="fr-CA" w:bidi="en-US"/>
        </w:rPr>
        <w:t>R. c. Lights</w:t>
      </w:r>
      <w:r w:rsidR="00902BC7" w:rsidRPr="009C665E">
        <w:rPr>
          <w:lang w:val="fr-CA" w:bidi="en-US"/>
        </w:rPr>
        <w:t xml:space="preserve">, 2020 ONCA 128, 149 O.R. (3d) 273; </w:t>
      </w:r>
      <w:r w:rsidR="006C1D8B" w:rsidRPr="009C665E">
        <w:rPr>
          <w:i/>
          <w:lang w:val="fr-CA" w:bidi="en-US"/>
        </w:rPr>
        <w:t>R. c. Pearson</w:t>
      </w:r>
      <w:r w:rsidR="006C1D8B" w:rsidRPr="009C665E">
        <w:rPr>
          <w:lang w:val="fr-CA" w:bidi="en-US"/>
        </w:rPr>
        <w:t>, [1998] 3 R.C.S. 620</w:t>
      </w:r>
      <w:r w:rsidR="006A3743" w:rsidRPr="009C665E">
        <w:rPr>
          <w:lang w:val="fr-CA" w:bidi="en-US"/>
        </w:rPr>
        <w:t xml:space="preserve">; </w:t>
      </w:r>
      <w:r w:rsidR="006A3743" w:rsidRPr="009C665E">
        <w:rPr>
          <w:i/>
          <w:lang w:val="fr-CA" w:bidi="en-US"/>
        </w:rPr>
        <w:t>R. c. Hartman</w:t>
      </w:r>
      <w:r w:rsidR="006A3743" w:rsidRPr="009C665E">
        <w:rPr>
          <w:lang w:val="fr-CA" w:bidi="en-US"/>
        </w:rPr>
        <w:t>, 2015 ONCA 498, 326 C.C.C. (3d)</w:t>
      </w:r>
      <w:r w:rsidR="006A3743" w:rsidRPr="009C665E">
        <w:rPr>
          <w:lang w:val="fr-CA"/>
        </w:rPr>
        <w:t xml:space="preserve"> </w:t>
      </w:r>
      <w:r w:rsidR="006A3743" w:rsidRPr="009C665E">
        <w:rPr>
          <w:lang w:val="fr-CA" w:bidi="en-US"/>
        </w:rPr>
        <w:t>263</w:t>
      </w:r>
      <w:r w:rsidR="006C1D8B" w:rsidRPr="009C665E">
        <w:rPr>
          <w:lang w:val="fr-CA" w:bidi="en-US"/>
        </w:rPr>
        <w:t xml:space="preserve">; </w:t>
      </w:r>
      <w:r w:rsidR="00D26B54" w:rsidRPr="009C665E">
        <w:rPr>
          <w:i/>
          <w:lang w:val="fr-CA" w:bidi="en-US"/>
        </w:rPr>
        <w:t>R. c. Abukar</w:t>
      </w:r>
      <w:r w:rsidR="00D26B54" w:rsidRPr="009C665E">
        <w:rPr>
          <w:lang w:val="fr-CA" w:bidi="en-US"/>
        </w:rPr>
        <w:t xml:space="preserve">, 2007 ABCA 286; </w:t>
      </w:r>
      <w:r w:rsidR="0010744D" w:rsidRPr="009C665E">
        <w:rPr>
          <w:i/>
          <w:lang w:val="fr-CA"/>
        </w:rPr>
        <w:t xml:space="preserve">R. c. Harvey </w:t>
      </w:r>
      <w:r w:rsidR="0010744D" w:rsidRPr="009C665E">
        <w:rPr>
          <w:lang w:val="fr-CA"/>
        </w:rPr>
        <w:t xml:space="preserve">(2001), 57 O.R. (3d) 296; </w:t>
      </w:r>
      <w:r w:rsidR="0007371C" w:rsidRPr="009C665E">
        <w:rPr>
          <w:i/>
          <w:lang w:val="fr-CA"/>
        </w:rPr>
        <w:t>R. c. Turner</w:t>
      </w:r>
      <w:r w:rsidR="0007371C" w:rsidRPr="009C665E">
        <w:rPr>
          <w:lang w:val="fr-CA"/>
        </w:rPr>
        <w:t>, 2023 MBCA 40, 426 C.C.C. (3d) 211;</w:t>
      </w:r>
      <w:r w:rsidR="00B4639E" w:rsidRPr="009C665E">
        <w:rPr>
          <w:i/>
          <w:lang w:val="fr-CA" w:bidi="en-US"/>
        </w:rPr>
        <w:t xml:space="preserve"> Venneri</w:t>
      </w:r>
      <w:r w:rsidR="00487C9A" w:rsidRPr="009C665E">
        <w:rPr>
          <w:i/>
          <w:lang w:val="fr-CA" w:bidi="en-US"/>
        </w:rPr>
        <w:t xml:space="preserve"> c. R.</w:t>
      </w:r>
      <w:r w:rsidR="00B4639E" w:rsidRPr="009C665E">
        <w:rPr>
          <w:lang w:val="fr-CA" w:bidi="en-US"/>
        </w:rPr>
        <w:t xml:space="preserve">, </w:t>
      </w:r>
      <w:r w:rsidR="00487C9A" w:rsidRPr="009C665E">
        <w:rPr>
          <w:lang w:val="fr-CA" w:bidi="en-US"/>
        </w:rPr>
        <w:t xml:space="preserve">2011 QCCA 1957, </w:t>
      </w:r>
      <w:r w:rsidR="001F47DF" w:rsidRPr="009C665E">
        <w:rPr>
          <w:lang w:val="fr-CA" w:bidi="en-US"/>
        </w:rPr>
        <w:t xml:space="preserve">inf. en partie par </w:t>
      </w:r>
      <w:r w:rsidR="00B4639E" w:rsidRPr="009C665E">
        <w:rPr>
          <w:lang w:val="fr-CA" w:bidi="en-US"/>
        </w:rPr>
        <w:t xml:space="preserve">2012 CSC 33, [2012] 2 R.C.S. 211; </w:t>
      </w:r>
      <w:r w:rsidR="00B4639E" w:rsidRPr="009C665E">
        <w:rPr>
          <w:i/>
          <w:lang w:val="fr-CA" w:bidi="en-US"/>
        </w:rPr>
        <w:t>R. c. Lacroix</w:t>
      </w:r>
      <w:r w:rsidR="00B4639E" w:rsidRPr="009C665E">
        <w:rPr>
          <w:lang w:val="fr-CA" w:bidi="en-US"/>
        </w:rPr>
        <w:t xml:space="preserve">, 2008 CSC 67, [2008] 3 R.C.S. 509; </w:t>
      </w:r>
      <w:r w:rsidR="00B4639E" w:rsidRPr="009C665E">
        <w:rPr>
          <w:i/>
          <w:lang w:val="fr-CA" w:bidi="en-US"/>
        </w:rPr>
        <w:t xml:space="preserve">R. c. </w:t>
      </w:r>
      <w:r w:rsidR="0035368A" w:rsidRPr="009C665E">
        <w:rPr>
          <w:i/>
          <w:lang w:val="fr-CA" w:bidi="en-US"/>
        </w:rPr>
        <w:t>L.A.</w:t>
      </w:r>
      <w:r w:rsidR="00E830CF" w:rsidRPr="009C665E">
        <w:rPr>
          <w:i/>
          <w:lang w:val="fr-CA" w:bidi="en-US"/>
        </w:rPr>
        <w:t>P.</w:t>
      </w:r>
      <w:r w:rsidR="00B4639E" w:rsidRPr="009C665E">
        <w:rPr>
          <w:lang w:val="fr-CA" w:bidi="en-US"/>
        </w:rPr>
        <w:t xml:space="preserve">, </w:t>
      </w:r>
      <w:r w:rsidR="0035368A" w:rsidRPr="009C665E">
        <w:rPr>
          <w:lang w:val="fr-CA" w:bidi="en-US"/>
        </w:rPr>
        <w:t xml:space="preserve">2000 MBCA 109, 150 Man. R. (2d) 247, conf. </w:t>
      </w:r>
      <w:proofErr w:type="gramStart"/>
      <w:r w:rsidR="0035368A" w:rsidRPr="009C665E">
        <w:rPr>
          <w:lang w:val="fr-CA" w:bidi="en-US"/>
        </w:rPr>
        <w:t>par</w:t>
      </w:r>
      <w:proofErr w:type="gramEnd"/>
      <w:r w:rsidR="0035368A" w:rsidRPr="009C665E">
        <w:rPr>
          <w:lang w:val="fr-CA" w:bidi="en-US"/>
        </w:rPr>
        <w:t xml:space="preserve"> </w:t>
      </w:r>
      <w:r w:rsidR="00B4639E" w:rsidRPr="009C665E">
        <w:rPr>
          <w:lang w:val="fr-CA" w:bidi="en-US"/>
        </w:rPr>
        <w:t xml:space="preserve">2001 CSC 28, [2001] 1 R.C.S. 757; </w:t>
      </w:r>
      <w:r w:rsidR="00B4639E" w:rsidRPr="009C665E">
        <w:rPr>
          <w:i/>
          <w:lang w:val="fr-CA" w:bidi="en-US"/>
        </w:rPr>
        <w:t>R. c. Roy</w:t>
      </w:r>
      <w:r w:rsidR="00B4639E" w:rsidRPr="009C665E">
        <w:rPr>
          <w:lang w:val="fr-CA" w:bidi="en-US"/>
        </w:rPr>
        <w:t xml:space="preserve">, 2024 SKCA 98; </w:t>
      </w:r>
      <w:r w:rsidR="00B4639E" w:rsidRPr="009C665E">
        <w:rPr>
          <w:i/>
          <w:lang w:val="fr-CA" w:bidi="en-US"/>
        </w:rPr>
        <w:t>R. c. Shaw</w:t>
      </w:r>
      <w:r w:rsidR="00B4639E" w:rsidRPr="009C665E">
        <w:rPr>
          <w:lang w:val="fr-CA" w:bidi="en-US"/>
        </w:rPr>
        <w:t>, 2024 ONCA 119, 170 O.R. (3d) 161</w:t>
      </w:r>
      <w:r w:rsidR="00F40210" w:rsidRPr="009C665E">
        <w:rPr>
          <w:lang w:val="fr-CA" w:bidi="en-US"/>
        </w:rPr>
        <w:t xml:space="preserve">; </w:t>
      </w:r>
      <w:r w:rsidR="00280E5D" w:rsidRPr="009C665E">
        <w:rPr>
          <w:i/>
          <w:lang w:val="fr-CA" w:bidi="en-US"/>
        </w:rPr>
        <w:t xml:space="preserve">R. </w:t>
      </w:r>
      <w:r w:rsidR="00F40210" w:rsidRPr="009C665E">
        <w:rPr>
          <w:i/>
          <w:lang w:val="fr-CA" w:bidi="en-US"/>
        </w:rPr>
        <w:t>c</w:t>
      </w:r>
      <w:r w:rsidR="00280E5D" w:rsidRPr="009C665E">
        <w:rPr>
          <w:i/>
          <w:lang w:val="fr-CA" w:bidi="en-US"/>
        </w:rPr>
        <w:t xml:space="preserve">. Tat </w:t>
      </w:r>
      <w:r w:rsidR="00280E5D" w:rsidRPr="009C665E">
        <w:rPr>
          <w:lang w:val="fr-CA" w:bidi="en-US"/>
        </w:rPr>
        <w:t>(1997), 35 O.R. (3d) 641</w:t>
      </w:r>
      <w:r w:rsidR="00F40210" w:rsidRPr="009C665E">
        <w:rPr>
          <w:lang w:val="fr-CA" w:bidi="en-US"/>
        </w:rPr>
        <w:t xml:space="preserve">; </w:t>
      </w:r>
      <w:r w:rsidR="00220163" w:rsidRPr="009C665E">
        <w:rPr>
          <w:i/>
          <w:lang w:val="fr-CA"/>
        </w:rPr>
        <w:t>R. c. Dillabough</w:t>
      </w:r>
      <w:r w:rsidR="00220163" w:rsidRPr="009C665E">
        <w:rPr>
          <w:lang w:val="fr-CA"/>
        </w:rPr>
        <w:t xml:space="preserve"> (1975), 28 C.C.C. (2d) 482; </w:t>
      </w:r>
      <w:r w:rsidR="000E0DF3" w:rsidRPr="009C665E">
        <w:rPr>
          <w:i/>
          <w:lang w:val="fr-CA"/>
        </w:rPr>
        <w:t>R. c. Grant</w:t>
      </w:r>
      <w:r w:rsidR="000E0DF3" w:rsidRPr="009C665E">
        <w:rPr>
          <w:lang w:val="fr-CA"/>
        </w:rPr>
        <w:t xml:space="preserve"> (1975), 23 C.C.C. (2d) 317;</w:t>
      </w:r>
      <w:r w:rsidR="00AE25E7" w:rsidRPr="009C665E">
        <w:rPr>
          <w:i/>
          <w:lang w:val="fr-CA"/>
        </w:rPr>
        <w:t xml:space="preserve"> Dunlop c. La Reine</w:t>
      </w:r>
      <w:r w:rsidR="00AE25E7" w:rsidRPr="009C665E">
        <w:rPr>
          <w:lang w:val="fr-CA"/>
        </w:rPr>
        <w:t xml:space="preserve">, [1979] 2 </w:t>
      </w:r>
      <w:r w:rsidR="00E15E95" w:rsidRPr="009C665E">
        <w:rPr>
          <w:lang w:val="fr-CA"/>
        </w:rPr>
        <w:t>R.C.</w:t>
      </w:r>
      <w:r w:rsidR="00AE25E7" w:rsidRPr="009C665E">
        <w:rPr>
          <w:lang w:val="fr-CA"/>
        </w:rPr>
        <w:t xml:space="preserve">S. 881; </w:t>
      </w:r>
      <w:r w:rsidR="00BB5ABD" w:rsidRPr="009C665E">
        <w:rPr>
          <w:i/>
          <w:lang w:val="fr-CA"/>
        </w:rPr>
        <w:t>R. c. Boissonneault</w:t>
      </w:r>
      <w:r w:rsidR="00BB5ABD" w:rsidRPr="009C665E">
        <w:rPr>
          <w:lang w:val="fr-CA"/>
        </w:rPr>
        <w:t xml:space="preserve"> (1986), 29 C.C.C. (3d) 345;</w:t>
      </w:r>
      <w:r w:rsidR="000137A1" w:rsidRPr="009C665E">
        <w:rPr>
          <w:i/>
          <w:lang w:val="fr-CA"/>
        </w:rPr>
        <w:t xml:space="preserve"> R. c. M.B.</w:t>
      </w:r>
      <w:r w:rsidR="000137A1" w:rsidRPr="009C665E">
        <w:rPr>
          <w:lang w:val="fr-CA"/>
        </w:rPr>
        <w:t xml:space="preserve"> (1986), 53 Sask. R. 55;</w:t>
      </w:r>
      <w:r w:rsidR="005E1F50" w:rsidRPr="009C665E">
        <w:rPr>
          <w:i/>
          <w:lang w:val="fr-CA"/>
        </w:rPr>
        <w:t xml:space="preserve"> R. c. Sophonow </w:t>
      </w:r>
      <w:r w:rsidR="005E1F50" w:rsidRPr="009C665E">
        <w:rPr>
          <w:lang w:val="fr-CA"/>
        </w:rPr>
        <w:t>(1986), 38 Man. R. (2d) 198;</w:t>
      </w:r>
      <w:r w:rsidR="00324F5D" w:rsidRPr="009C665E">
        <w:rPr>
          <w:i/>
          <w:lang w:val="fr-CA"/>
        </w:rPr>
        <w:t xml:space="preserve"> R. c. Mohamed</w:t>
      </w:r>
      <w:r w:rsidR="00324F5D" w:rsidRPr="009C665E">
        <w:rPr>
          <w:lang w:val="fr-CA"/>
        </w:rPr>
        <w:t xml:space="preserve"> (1991), 64 C.C.C. (3d) 1; </w:t>
      </w:r>
      <w:r w:rsidR="008A6BB9" w:rsidRPr="009C665E">
        <w:rPr>
          <w:i/>
          <w:lang w:val="fr-CA"/>
        </w:rPr>
        <w:t>R. c. Tom</w:t>
      </w:r>
      <w:r w:rsidR="008A6BB9" w:rsidRPr="009C665E">
        <w:rPr>
          <w:lang w:val="fr-CA"/>
        </w:rPr>
        <w:t xml:space="preserve"> (1992), 79 C.C.C. (3d) 84; </w:t>
      </w:r>
      <w:r w:rsidR="00EB5DAD" w:rsidRPr="009C665E">
        <w:rPr>
          <w:i/>
          <w:lang w:val="fr-CA"/>
        </w:rPr>
        <w:t xml:space="preserve">R. </w:t>
      </w:r>
      <w:r w:rsidR="00BE4295" w:rsidRPr="009C665E">
        <w:rPr>
          <w:i/>
          <w:lang w:val="fr-CA"/>
        </w:rPr>
        <w:t>c.</w:t>
      </w:r>
      <w:r w:rsidR="00EB5DAD" w:rsidRPr="009C665E">
        <w:rPr>
          <w:i/>
          <w:lang w:val="fr-CA"/>
        </w:rPr>
        <w:t xml:space="preserve"> P.L.</w:t>
      </w:r>
      <w:r w:rsidR="0038617B" w:rsidRPr="009C665E">
        <w:rPr>
          <w:lang w:val="fr-CA"/>
        </w:rPr>
        <w:t>,</w:t>
      </w:r>
      <w:r w:rsidR="00EB5DAD" w:rsidRPr="009C665E">
        <w:rPr>
          <w:lang w:val="fr-CA"/>
        </w:rPr>
        <w:t xml:space="preserve"> [1995] O.J. No. 854</w:t>
      </w:r>
      <w:r w:rsidR="0070513E" w:rsidRPr="009C665E">
        <w:rPr>
          <w:lang w:val="fr-CA"/>
        </w:rPr>
        <w:t xml:space="preserve"> (Lexis)</w:t>
      </w:r>
      <w:r w:rsidR="00EB5DAD" w:rsidRPr="009C665E">
        <w:rPr>
          <w:lang w:val="fr-CA"/>
        </w:rPr>
        <w:t>, 1995 CarswellOnt 4000</w:t>
      </w:r>
      <w:r w:rsidR="0070513E" w:rsidRPr="009C665E">
        <w:rPr>
          <w:lang w:val="fr-CA"/>
        </w:rPr>
        <w:t xml:space="preserve"> (WL)</w:t>
      </w:r>
      <w:r w:rsidR="00EB5DAD" w:rsidRPr="009C665E">
        <w:rPr>
          <w:lang w:val="fr-CA"/>
        </w:rPr>
        <w:t xml:space="preserve">; </w:t>
      </w:r>
      <w:r w:rsidR="000113B2" w:rsidRPr="009C665E">
        <w:rPr>
          <w:i/>
          <w:lang w:val="fr-CA"/>
        </w:rPr>
        <w:t>R. c. Sargent</w:t>
      </w:r>
      <w:r w:rsidR="000113B2" w:rsidRPr="009C665E">
        <w:rPr>
          <w:lang w:val="fr-CA"/>
        </w:rPr>
        <w:t>, 2006 ABCA 411, 401 A.R. 146;</w:t>
      </w:r>
      <w:r w:rsidR="00776C89" w:rsidRPr="009C665E">
        <w:rPr>
          <w:i/>
          <w:lang w:val="fr-CA"/>
        </w:rPr>
        <w:t xml:space="preserve"> R. c. W.J.G.</w:t>
      </w:r>
      <w:r w:rsidR="00776C89" w:rsidRPr="009C665E">
        <w:rPr>
          <w:lang w:val="fr-CA"/>
        </w:rPr>
        <w:t xml:space="preserve">, 2006 MBCA 20, 205 Man. R. (2d) 5; </w:t>
      </w:r>
      <w:r w:rsidR="00A9104E" w:rsidRPr="009C665E">
        <w:rPr>
          <w:i/>
          <w:lang w:val="fr-CA"/>
        </w:rPr>
        <w:t>R. c. Titong</w:t>
      </w:r>
      <w:r w:rsidR="00A9104E" w:rsidRPr="009C665E">
        <w:rPr>
          <w:lang w:val="fr-CA"/>
        </w:rPr>
        <w:t xml:space="preserve">, 2021 ABCA 75; </w:t>
      </w:r>
      <w:r w:rsidR="00441C58" w:rsidRPr="009C665E">
        <w:rPr>
          <w:i/>
          <w:lang w:val="fr-CA"/>
        </w:rPr>
        <w:t>R. c. Karuranga</w:t>
      </w:r>
      <w:r w:rsidR="00441C58" w:rsidRPr="009C665E">
        <w:rPr>
          <w:lang w:val="fr-CA"/>
        </w:rPr>
        <w:t xml:space="preserve">, 2021 SKCA 90, 488 C.R.R. (2d) 317; </w:t>
      </w:r>
      <w:r w:rsidR="00312B2D" w:rsidRPr="009C665E">
        <w:rPr>
          <w:i/>
          <w:lang w:val="fr-CA"/>
        </w:rPr>
        <w:t>R. c. Deuling</w:t>
      </w:r>
      <w:r w:rsidR="00312B2D" w:rsidRPr="009C665E">
        <w:rPr>
          <w:lang w:val="fr-CA"/>
        </w:rPr>
        <w:t xml:space="preserve">, 2024 YKCA 7; </w:t>
      </w:r>
      <w:r w:rsidR="00BC357F" w:rsidRPr="009C665E">
        <w:rPr>
          <w:i/>
          <w:lang w:val="fr-CA" w:bidi="en-US"/>
        </w:rPr>
        <w:t>R. c. Mullins-Johnson</w:t>
      </w:r>
      <w:r w:rsidR="00BC357F" w:rsidRPr="009C665E">
        <w:rPr>
          <w:lang w:val="fr-CA" w:bidi="en-US"/>
        </w:rPr>
        <w:t>, 2007 ONCA 720</w:t>
      </w:r>
      <w:r w:rsidR="00BC357F" w:rsidRPr="009C665E">
        <w:rPr>
          <w:lang w:val="fr-CA"/>
        </w:rPr>
        <w:t>, 87 O.R. (3d) 425</w:t>
      </w:r>
      <w:r w:rsidR="00BC357F" w:rsidRPr="009C665E">
        <w:rPr>
          <w:lang w:val="fr-CA" w:bidi="en-US"/>
        </w:rPr>
        <w:t>;</w:t>
      </w:r>
      <w:r w:rsidR="00082DA9" w:rsidRPr="009C665E">
        <w:rPr>
          <w:i/>
          <w:lang w:val="fr-CA"/>
        </w:rPr>
        <w:t xml:space="preserve"> Walsh, Re</w:t>
      </w:r>
      <w:r w:rsidR="00082DA9" w:rsidRPr="009C665E">
        <w:rPr>
          <w:lang w:val="fr-CA"/>
        </w:rPr>
        <w:t>, 2008 NBCA 33, 335 R.N.</w:t>
      </w:r>
      <w:r w:rsidR="00D910FE" w:rsidRPr="009C665E">
        <w:rPr>
          <w:lang w:val="fr-CA"/>
        </w:rPr>
        <w:noBreakHyphen/>
      </w:r>
      <w:r w:rsidR="00082DA9" w:rsidRPr="009C665E">
        <w:rPr>
          <w:lang w:val="fr-CA"/>
        </w:rPr>
        <w:t>B. (2e) 1;</w:t>
      </w:r>
      <w:r w:rsidR="00823111" w:rsidRPr="009C665E">
        <w:rPr>
          <w:i/>
          <w:lang w:val="fr-CA"/>
        </w:rPr>
        <w:t xml:space="preserve"> R. c. Sherret-Robinson</w:t>
      </w:r>
      <w:r w:rsidR="00823111" w:rsidRPr="009C665E">
        <w:rPr>
          <w:lang w:val="fr-CA"/>
        </w:rPr>
        <w:t xml:space="preserve">, 2009 ONCA 886; </w:t>
      </w:r>
      <w:r w:rsidR="00152214" w:rsidRPr="009C665E">
        <w:rPr>
          <w:i/>
          <w:lang w:val="fr-CA" w:bidi="en-US"/>
        </w:rPr>
        <w:t>R. c. Kumar</w:t>
      </w:r>
      <w:r w:rsidR="00152214" w:rsidRPr="009C665E">
        <w:rPr>
          <w:lang w:val="fr-CA" w:bidi="en-US"/>
        </w:rPr>
        <w:t xml:space="preserve">, 2011 ONCA 120, 268 C.C.C. (3d) 369; </w:t>
      </w:r>
      <w:r w:rsidR="00427ED9" w:rsidRPr="009C665E">
        <w:rPr>
          <w:i/>
          <w:lang w:val="fr-CA" w:bidi="en-US"/>
        </w:rPr>
        <w:t>R. c. Brant</w:t>
      </w:r>
      <w:r w:rsidR="00427ED9" w:rsidRPr="009C665E">
        <w:rPr>
          <w:lang w:val="fr-CA" w:bidi="en-US"/>
        </w:rPr>
        <w:t>, 2011 ONCA 362;</w:t>
      </w:r>
      <w:r w:rsidR="00684025" w:rsidRPr="009C665E">
        <w:rPr>
          <w:i/>
          <w:lang w:val="fr-CA"/>
        </w:rPr>
        <w:t xml:space="preserve"> R. </w:t>
      </w:r>
      <w:r w:rsidR="00BB050C" w:rsidRPr="009C665E">
        <w:rPr>
          <w:i/>
          <w:lang w:val="fr-CA"/>
        </w:rPr>
        <w:t>c</w:t>
      </w:r>
      <w:r w:rsidR="00684025" w:rsidRPr="009C665E">
        <w:rPr>
          <w:i/>
          <w:lang w:val="fr-CA"/>
        </w:rPr>
        <w:t>. Lewis</w:t>
      </w:r>
      <w:r w:rsidR="00684025" w:rsidRPr="009C665E">
        <w:rPr>
          <w:lang w:val="fr-CA"/>
        </w:rPr>
        <w:t>, 2012 SKCA 81, 399 Sask. R. 180;</w:t>
      </w:r>
      <w:r w:rsidR="008407BC" w:rsidRPr="009C665E">
        <w:rPr>
          <w:i/>
          <w:lang w:val="fr-CA"/>
        </w:rPr>
        <w:t xml:space="preserve"> R. c. D.R.S.</w:t>
      </w:r>
      <w:r w:rsidR="008407BC" w:rsidRPr="009C665E">
        <w:rPr>
          <w:lang w:val="fr-CA"/>
        </w:rPr>
        <w:t xml:space="preserve">, 2013 ABCA 18, 542 </w:t>
      </w:r>
      <w:r w:rsidR="008407BC" w:rsidRPr="009C665E">
        <w:rPr>
          <w:lang w:val="fr-CA"/>
        </w:rPr>
        <w:lastRenderedPageBreak/>
        <w:t>A.R. 92;</w:t>
      </w:r>
      <w:r w:rsidR="00280E5D" w:rsidRPr="009C665E">
        <w:rPr>
          <w:i/>
          <w:lang w:val="fr-CA" w:bidi="en-US"/>
        </w:rPr>
        <w:t xml:space="preserve"> R. c. Shepherd</w:t>
      </w:r>
      <w:r w:rsidR="00280E5D" w:rsidRPr="009C665E">
        <w:rPr>
          <w:lang w:val="fr-CA" w:bidi="en-US"/>
        </w:rPr>
        <w:t>, 2016 ONCA 188;</w:t>
      </w:r>
      <w:r w:rsidR="00280E5D" w:rsidRPr="009C665E">
        <w:rPr>
          <w:lang w:val="fr-CA"/>
        </w:rPr>
        <w:t xml:space="preserve"> </w:t>
      </w:r>
      <w:r w:rsidR="00280E5D" w:rsidRPr="009C665E">
        <w:rPr>
          <w:i/>
          <w:lang w:val="fr-CA"/>
        </w:rPr>
        <w:t>R. c. J.C.</w:t>
      </w:r>
      <w:r w:rsidR="00280E5D" w:rsidRPr="009C665E">
        <w:rPr>
          <w:lang w:val="fr-CA"/>
        </w:rPr>
        <w:t xml:space="preserve">, 2024 ABCA 69; </w:t>
      </w:r>
      <w:r w:rsidR="00B31519" w:rsidRPr="009C665E">
        <w:rPr>
          <w:i/>
          <w:lang w:val="fr-CA" w:bidi="en-US"/>
        </w:rPr>
        <w:t>R. c. Luedecke</w:t>
      </w:r>
      <w:r w:rsidR="00B31519" w:rsidRPr="009C665E">
        <w:rPr>
          <w:lang w:val="fr-CA" w:bidi="en-US"/>
        </w:rPr>
        <w:t>, 2008 ONCA 716, 93 O.R. (3d) 89;</w:t>
      </w:r>
      <w:r w:rsidR="00F47E2F" w:rsidRPr="009C665E">
        <w:rPr>
          <w:i/>
          <w:lang w:val="fr-CA" w:bidi="en-US"/>
        </w:rPr>
        <w:t xml:space="preserve"> Canada c. Loblaw Financial Holdings Inc.</w:t>
      </w:r>
      <w:r w:rsidR="00F47E2F" w:rsidRPr="009C665E">
        <w:rPr>
          <w:lang w:val="fr-CA" w:bidi="en-US"/>
        </w:rPr>
        <w:t>, 2021 CSC 51, [2021] 3 R.C.S. 687</w:t>
      </w:r>
      <w:r w:rsidR="00E027B3" w:rsidRPr="009C665E">
        <w:rPr>
          <w:lang w:val="fr-CA" w:bidi="en-US"/>
        </w:rPr>
        <w:t xml:space="preserve">; </w:t>
      </w:r>
      <w:r w:rsidR="00E027B3" w:rsidRPr="009C665E">
        <w:rPr>
          <w:i/>
          <w:lang w:val="fr-CA" w:bidi="en-US"/>
        </w:rPr>
        <w:t>Cadieux (Litigation Guardian of) c. Cloutier</w:t>
      </w:r>
      <w:r w:rsidR="00E027B3" w:rsidRPr="009C665E">
        <w:rPr>
          <w:lang w:val="fr-CA" w:bidi="en-US"/>
        </w:rPr>
        <w:t>, 2018 ONCA 903, 143 O.R. (3d) 545</w:t>
      </w:r>
      <w:r w:rsidR="00F47E2F" w:rsidRPr="009C665E">
        <w:rPr>
          <w:lang w:val="fr-CA" w:bidi="en-US"/>
        </w:rPr>
        <w:t xml:space="preserve">; </w:t>
      </w:r>
      <w:r w:rsidR="00D67712" w:rsidRPr="009C665E">
        <w:rPr>
          <w:i/>
          <w:lang w:val="fr-CA"/>
        </w:rPr>
        <w:t>R. c. Papasotiriou</w:t>
      </w:r>
      <w:r w:rsidR="00D67712" w:rsidRPr="009C665E">
        <w:rPr>
          <w:lang w:val="fr-CA"/>
        </w:rPr>
        <w:t xml:space="preserve">, 2023 ONCA 358, 166 O.R. (3d) 266; </w:t>
      </w:r>
      <w:r w:rsidR="00D212EA" w:rsidRPr="009C665E">
        <w:rPr>
          <w:i/>
          <w:lang w:val="fr-CA"/>
        </w:rPr>
        <w:t>R. c. Kwok</w:t>
      </w:r>
      <w:r w:rsidR="00D212EA" w:rsidRPr="009C665E">
        <w:rPr>
          <w:lang w:val="fr-CA"/>
        </w:rPr>
        <w:t>, 2002 BCCA 177, 164 C.C.C. (3d) 182;</w:t>
      </w:r>
      <w:r w:rsidR="00BC0B59" w:rsidRPr="009C665E">
        <w:rPr>
          <w:i/>
          <w:lang w:val="fr-CA"/>
        </w:rPr>
        <w:t xml:space="preserve"> R. c. Grandbois</w:t>
      </w:r>
      <w:r w:rsidR="00BC0B59" w:rsidRPr="009C665E">
        <w:rPr>
          <w:lang w:val="fr-CA"/>
        </w:rPr>
        <w:t xml:space="preserve"> (2003), 63 O.R. (3d) 161;</w:t>
      </w:r>
      <w:r w:rsidR="00366DB2" w:rsidRPr="009C665E">
        <w:rPr>
          <w:i/>
          <w:lang w:val="fr-CA"/>
        </w:rPr>
        <w:t xml:space="preserve"> R. c. Chacon-Perez</w:t>
      </w:r>
      <w:r w:rsidR="00366DB2" w:rsidRPr="009C665E">
        <w:rPr>
          <w:lang w:val="fr-CA"/>
        </w:rPr>
        <w:t>, 2022 ONCA 3, 159 O.R. (3d) 481;</w:t>
      </w:r>
      <w:r w:rsidR="004F1453" w:rsidRPr="009C665E">
        <w:rPr>
          <w:i/>
          <w:lang w:val="fr-CA"/>
        </w:rPr>
        <w:t xml:space="preserve"> R. c. Jackson</w:t>
      </w:r>
      <w:r w:rsidR="004F1453" w:rsidRPr="009C665E">
        <w:rPr>
          <w:lang w:val="fr-CA"/>
        </w:rPr>
        <w:t xml:space="preserve">, 2007 CSC 52, [2007] 3 R.C.S. 514; </w:t>
      </w:r>
      <w:r w:rsidR="00D401D1" w:rsidRPr="009C665E">
        <w:rPr>
          <w:i/>
          <w:lang w:val="fr-CA"/>
        </w:rPr>
        <w:t>R. c. Hinse</w:t>
      </w:r>
      <w:r w:rsidR="00D401D1" w:rsidRPr="009C665E">
        <w:rPr>
          <w:lang w:val="fr-CA"/>
        </w:rPr>
        <w:t xml:space="preserve"> (1994), 64 Q.A.C. 53, </w:t>
      </w:r>
      <w:r w:rsidR="00044AEF" w:rsidRPr="009C665E">
        <w:rPr>
          <w:lang w:val="fr-CA"/>
        </w:rPr>
        <w:t xml:space="preserve">inf. </w:t>
      </w:r>
      <w:r w:rsidR="005643A6" w:rsidRPr="009C665E">
        <w:rPr>
          <w:lang w:val="fr-CA"/>
        </w:rPr>
        <w:t xml:space="preserve">en partie </w:t>
      </w:r>
      <w:r w:rsidR="00044AEF" w:rsidRPr="009C665E">
        <w:rPr>
          <w:lang w:val="fr-CA"/>
        </w:rPr>
        <w:t>par</w:t>
      </w:r>
      <w:r w:rsidR="00D401D1" w:rsidRPr="009C665E">
        <w:rPr>
          <w:lang w:val="fr-CA"/>
        </w:rPr>
        <w:t xml:space="preserve"> [1997] 1 </w:t>
      </w:r>
      <w:r w:rsidR="00044AEF" w:rsidRPr="009C665E">
        <w:rPr>
          <w:lang w:val="fr-CA"/>
        </w:rPr>
        <w:t>R.C.</w:t>
      </w:r>
      <w:r w:rsidR="00D401D1" w:rsidRPr="009C665E">
        <w:rPr>
          <w:lang w:val="fr-CA"/>
        </w:rPr>
        <w:t>S. 3;</w:t>
      </w:r>
      <w:r w:rsidR="005A5793" w:rsidRPr="009C665E">
        <w:rPr>
          <w:i/>
          <w:lang w:val="fr-CA"/>
        </w:rPr>
        <w:t xml:space="preserve"> R. c. W.H.</w:t>
      </w:r>
      <w:r w:rsidR="005A5793" w:rsidRPr="009C665E">
        <w:rPr>
          <w:lang w:val="fr-CA"/>
        </w:rPr>
        <w:t xml:space="preserve">, 2013 CSC 22, [2013] 2 R.C.S. 180; </w:t>
      </w:r>
      <w:r w:rsidR="00C8357E" w:rsidRPr="009C665E">
        <w:rPr>
          <w:i/>
          <w:lang w:val="fr-CA"/>
        </w:rPr>
        <w:t>R. c. Tayo Tompouba</w:t>
      </w:r>
      <w:r w:rsidR="00C8357E" w:rsidRPr="009C665E">
        <w:rPr>
          <w:lang w:val="fr-CA"/>
        </w:rPr>
        <w:t>, 2024 CSC 16;</w:t>
      </w:r>
      <w:r w:rsidR="00BE44E0" w:rsidRPr="009C665E">
        <w:rPr>
          <w:i/>
          <w:lang w:val="fr-CA"/>
        </w:rPr>
        <w:t xml:space="preserve"> R. c. Oakes</w:t>
      </w:r>
      <w:r w:rsidR="00BE44E0" w:rsidRPr="009C665E">
        <w:rPr>
          <w:lang w:val="fr-CA"/>
        </w:rPr>
        <w:t>, [1986] 1 R.C.S. 103;</w:t>
      </w:r>
      <w:r w:rsidR="004358B0" w:rsidRPr="009C665E">
        <w:rPr>
          <w:i/>
          <w:lang w:val="fr-CA"/>
        </w:rPr>
        <w:t xml:space="preserve"> R. c. Lohrer</w:t>
      </w:r>
      <w:r w:rsidR="004358B0" w:rsidRPr="009C665E">
        <w:rPr>
          <w:lang w:val="fr-CA"/>
        </w:rPr>
        <w:t>, 2004 CSC 80, [2004] 3 R.C.S. 732;</w:t>
      </w:r>
      <w:r w:rsidR="00CD239A" w:rsidRPr="009C665E">
        <w:rPr>
          <w:i/>
          <w:lang w:val="fr-CA"/>
        </w:rPr>
        <w:t xml:space="preserve"> R. c. Smith</w:t>
      </w:r>
      <w:r w:rsidR="00CD239A" w:rsidRPr="009C665E">
        <w:rPr>
          <w:lang w:val="fr-CA"/>
        </w:rPr>
        <w:t xml:space="preserve">, 2021 CSC 16, [2021] 1 R.C.S. 530; </w:t>
      </w:r>
      <w:r w:rsidR="00D21E29" w:rsidRPr="009C665E">
        <w:rPr>
          <w:i/>
          <w:lang w:val="fr-CA"/>
        </w:rPr>
        <w:t>R. c. S. (R.D.)</w:t>
      </w:r>
      <w:r w:rsidR="00D21E29" w:rsidRPr="009C665E">
        <w:rPr>
          <w:lang w:val="fr-CA"/>
        </w:rPr>
        <w:t xml:space="preserve">, [1997] 3 R.C.S. 484; </w:t>
      </w:r>
      <w:r w:rsidR="00D21E29" w:rsidRPr="009C665E">
        <w:rPr>
          <w:i/>
          <w:lang w:val="fr-CA"/>
        </w:rPr>
        <w:t>R. c. Curragh Inc.</w:t>
      </w:r>
      <w:r w:rsidR="00D21E29" w:rsidRPr="009C665E">
        <w:rPr>
          <w:lang w:val="fr-CA"/>
        </w:rPr>
        <w:t>, [1997] 1 R.C.S. 537;</w:t>
      </w:r>
      <w:r w:rsidR="002C54B5" w:rsidRPr="009C665E">
        <w:rPr>
          <w:i/>
          <w:lang w:val="fr-CA"/>
        </w:rPr>
        <w:t xml:space="preserve"> R. c. Yumnu</w:t>
      </w:r>
      <w:r w:rsidR="002C54B5" w:rsidRPr="009C665E">
        <w:rPr>
          <w:lang w:val="fr-CA"/>
        </w:rPr>
        <w:t>, 2012 CSC 73, [2012] 3 R.C.S. 777;</w:t>
      </w:r>
      <w:r w:rsidR="00184053" w:rsidRPr="009C665E">
        <w:rPr>
          <w:i/>
          <w:lang w:val="fr-CA"/>
        </w:rPr>
        <w:t xml:space="preserve"> R. c. G.D.B.</w:t>
      </w:r>
      <w:r w:rsidR="00184053" w:rsidRPr="009C665E">
        <w:rPr>
          <w:lang w:val="fr-CA"/>
        </w:rPr>
        <w:t xml:space="preserve">, 2000 CSC 22, [2000] 1 R.C.S. 520; </w:t>
      </w:r>
      <w:r w:rsidR="005C4C7B" w:rsidRPr="009C665E">
        <w:rPr>
          <w:i/>
          <w:lang w:val="fr-CA"/>
        </w:rPr>
        <w:t>R. c. Joanisse</w:t>
      </w:r>
      <w:r w:rsidR="005C4C7B" w:rsidRPr="009C665E">
        <w:rPr>
          <w:lang w:val="fr-CA"/>
        </w:rPr>
        <w:t xml:space="preserve"> (1995), 102 C.C.C. (3d) 35; </w:t>
      </w:r>
      <w:r w:rsidR="009C1F68" w:rsidRPr="009C665E">
        <w:rPr>
          <w:i/>
          <w:lang w:val="fr-CA"/>
        </w:rPr>
        <w:t>R. c. Wong</w:t>
      </w:r>
      <w:r w:rsidR="009C1F68" w:rsidRPr="009C665E">
        <w:rPr>
          <w:lang w:val="fr-CA"/>
        </w:rPr>
        <w:t xml:space="preserve">, 2018 CSC 25, [2018] 1 R.C.S. 696; </w:t>
      </w:r>
      <w:r w:rsidR="00CA40C8" w:rsidRPr="009C665E">
        <w:rPr>
          <w:i/>
          <w:lang w:val="fr-CA"/>
        </w:rPr>
        <w:t>R. c. Stolar</w:t>
      </w:r>
      <w:r w:rsidR="00CA40C8" w:rsidRPr="009C665E">
        <w:rPr>
          <w:lang w:val="fr-CA"/>
        </w:rPr>
        <w:t>, [1988] 1 R.C.S. 480;</w:t>
      </w:r>
      <w:r w:rsidR="00167826" w:rsidRPr="009C665E">
        <w:rPr>
          <w:i/>
          <w:lang w:val="fr-CA"/>
        </w:rPr>
        <w:t xml:space="preserve"> R. c. S. (P.L.)</w:t>
      </w:r>
      <w:r w:rsidR="00167826" w:rsidRPr="009C665E">
        <w:rPr>
          <w:lang w:val="fr-CA"/>
        </w:rPr>
        <w:t>, [1991] 1 R.C.S. 909;</w:t>
      </w:r>
      <w:r w:rsidR="005B7659" w:rsidRPr="009C665E">
        <w:rPr>
          <w:i/>
          <w:lang w:val="fr-CA"/>
        </w:rPr>
        <w:t xml:space="preserve"> R. c. Maciel</w:t>
      </w:r>
      <w:r w:rsidR="005B7659" w:rsidRPr="009C665E">
        <w:rPr>
          <w:lang w:val="fr-CA"/>
        </w:rPr>
        <w:t xml:space="preserve">, </w:t>
      </w:r>
      <w:bookmarkStart w:id="28" w:name="_Hlk188617952"/>
      <w:r w:rsidR="005B7659" w:rsidRPr="009C665E">
        <w:rPr>
          <w:lang w:val="fr-CA"/>
        </w:rPr>
        <w:t>2007 ONCA 196</w:t>
      </w:r>
      <w:bookmarkEnd w:id="28"/>
      <w:r w:rsidR="005B7659" w:rsidRPr="009C665E">
        <w:rPr>
          <w:lang w:val="fr-CA"/>
        </w:rPr>
        <w:t xml:space="preserve">, 219 C.C.C. (3d) 516; </w:t>
      </w:r>
      <w:r w:rsidR="000872F1" w:rsidRPr="009C665E">
        <w:rPr>
          <w:i/>
          <w:lang w:val="fr-CA"/>
        </w:rPr>
        <w:t>R. c. Hinse</w:t>
      </w:r>
      <w:r w:rsidR="000872F1" w:rsidRPr="009C665E">
        <w:rPr>
          <w:lang w:val="fr-CA"/>
        </w:rPr>
        <w:t>, [1995] 4 R.C.S. 597;</w:t>
      </w:r>
      <w:r w:rsidR="00A34265" w:rsidRPr="009C665E">
        <w:rPr>
          <w:i/>
          <w:lang w:val="fr-CA"/>
        </w:rPr>
        <w:t xml:space="preserve"> R. c. Henry</w:t>
      </w:r>
      <w:r w:rsidR="00A34265" w:rsidRPr="009C665E">
        <w:rPr>
          <w:lang w:val="fr-CA"/>
        </w:rPr>
        <w:t xml:space="preserve">, 2010 BCCA 462, 262 C.C.C. (3d) 307; </w:t>
      </w:r>
      <w:r w:rsidR="00B64565" w:rsidRPr="009C665E">
        <w:rPr>
          <w:i/>
          <w:lang w:val="fr-CA"/>
        </w:rPr>
        <w:t>R. c. Dhillon</w:t>
      </w:r>
      <w:r w:rsidR="00B64565" w:rsidRPr="009C665E">
        <w:rPr>
          <w:lang w:val="fr-CA"/>
        </w:rPr>
        <w:t xml:space="preserve">, 2014 BCCA 480, 16 C.R. (7th) 8; </w:t>
      </w:r>
      <w:r w:rsidR="00D26F45" w:rsidRPr="009C665E">
        <w:rPr>
          <w:i/>
          <w:lang w:val="fr-CA" w:bidi="en-US"/>
        </w:rPr>
        <w:t>Renvoi relatif à Milgaard (Can.)</w:t>
      </w:r>
      <w:r w:rsidR="00D26F45" w:rsidRPr="009C665E">
        <w:rPr>
          <w:lang w:val="fr-CA" w:bidi="en-US"/>
        </w:rPr>
        <w:t xml:space="preserve">, [1992] 1 R.C.S. 866; </w:t>
      </w:r>
      <w:r w:rsidR="007B3DEF" w:rsidRPr="009C665E">
        <w:rPr>
          <w:i/>
          <w:lang w:val="fr-CA" w:bidi="en-US"/>
        </w:rPr>
        <w:t>R. c. Ostrowski</w:t>
      </w:r>
      <w:r w:rsidR="007B3DEF" w:rsidRPr="009C665E">
        <w:rPr>
          <w:lang w:val="fr-CA" w:bidi="en-US"/>
        </w:rPr>
        <w:t>, 2018 MBCA 125, 369 C.C.C. (3d) 139</w:t>
      </w:r>
      <w:r w:rsidR="00895C7E" w:rsidRPr="009C665E">
        <w:rPr>
          <w:lang w:val="fr-CA" w:bidi="en-US"/>
        </w:rPr>
        <w:t xml:space="preserve">; </w:t>
      </w:r>
      <w:r w:rsidR="00895C7E" w:rsidRPr="009C665E">
        <w:rPr>
          <w:i/>
          <w:lang w:val="fr-CA" w:bidi="en-US"/>
        </w:rPr>
        <w:t>R. c. McClure</w:t>
      </w:r>
      <w:r w:rsidR="00895C7E" w:rsidRPr="009C665E">
        <w:rPr>
          <w:lang w:val="fr-CA" w:bidi="en-US"/>
        </w:rPr>
        <w:t>, 2001 CSC 14, [2001] 1 R.C.S. 445</w:t>
      </w:r>
      <w:r w:rsidR="007B3DEF" w:rsidRPr="009C665E">
        <w:rPr>
          <w:lang w:val="fr-CA" w:bidi="en-US"/>
        </w:rPr>
        <w:t xml:space="preserve">; </w:t>
      </w:r>
      <w:r w:rsidR="00307EC9" w:rsidRPr="009C665E">
        <w:rPr>
          <w:i/>
          <w:lang w:val="fr-CA" w:bidi="en-US"/>
        </w:rPr>
        <w:t>R. c. Doyle</w:t>
      </w:r>
      <w:r w:rsidR="00307EC9" w:rsidRPr="009C665E">
        <w:rPr>
          <w:lang w:val="fr-CA" w:bidi="en-US"/>
        </w:rPr>
        <w:t xml:space="preserve">, 2023 ONCA 427, 428 C.C.C. (3d) 293; </w:t>
      </w:r>
      <w:r w:rsidR="00DB15FA" w:rsidRPr="009C665E">
        <w:rPr>
          <w:i/>
          <w:lang w:val="fr-CA"/>
        </w:rPr>
        <w:t>R. c. Taillefer</w:t>
      </w:r>
      <w:r w:rsidR="00DB15FA" w:rsidRPr="009C665E">
        <w:rPr>
          <w:lang w:val="fr-CA"/>
        </w:rPr>
        <w:t xml:space="preserve">, 2003 CSC 70, [2003] 3 R.C.S. 307; </w:t>
      </w:r>
      <w:r w:rsidR="00A1122C" w:rsidRPr="009C665E">
        <w:rPr>
          <w:i/>
          <w:lang w:val="fr-CA"/>
        </w:rPr>
        <w:t>R. c. Dixon</w:t>
      </w:r>
      <w:r w:rsidR="00A1122C" w:rsidRPr="009C665E">
        <w:rPr>
          <w:lang w:val="fr-CA"/>
        </w:rPr>
        <w:t xml:space="preserve">, [1998] 1 R.C.S. 244; </w:t>
      </w:r>
      <w:r w:rsidR="00DD033D" w:rsidRPr="009C665E">
        <w:rPr>
          <w:i/>
          <w:lang w:val="fr-CA" w:bidi="en-US"/>
        </w:rPr>
        <w:t>White Burgess Langille Inman c. Abbott and Haliburton Co.</w:t>
      </w:r>
      <w:r w:rsidR="00DD033D" w:rsidRPr="009C665E">
        <w:rPr>
          <w:lang w:val="fr-CA" w:bidi="en-US"/>
        </w:rPr>
        <w:t xml:space="preserve">, 2015 CSC 23, [2015] 2 R.C.S. 182; </w:t>
      </w:r>
      <w:r w:rsidR="00264128" w:rsidRPr="009C665E">
        <w:rPr>
          <w:i/>
          <w:lang w:val="fr-CA"/>
        </w:rPr>
        <w:t xml:space="preserve">R. </w:t>
      </w:r>
      <w:r w:rsidR="005B026E" w:rsidRPr="009C665E">
        <w:rPr>
          <w:i/>
          <w:lang w:val="fr-CA"/>
        </w:rPr>
        <w:t>c</w:t>
      </w:r>
      <w:r w:rsidR="00264128" w:rsidRPr="009C665E">
        <w:rPr>
          <w:i/>
          <w:lang w:val="fr-CA"/>
        </w:rPr>
        <w:t>. Abbey</w:t>
      </w:r>
      <w:r w:rsidR="00264128" w:rsidRPr="009C665E">
        <w:rPr>
          <w:lang w:val="fr-CA"/>
        </w:rPr>
        <w:t>, 2009 ONCA 624, 97 O.R. (3d) 330;</w:t>
      </w:r>
      <w:r w:rsidR="00D152AE" w:rsidRPr="009C665E">
        <w:rPr>
          <w:i/>
          <w:lang w:val="fr-CA" w:bidi="en-US"/>
        </w:rPr>
        <w:t xml:space="preserve"> R. c. Blackett</w:t>
      </w:r>
      <w:r w:rsidR="00D152AE" w:rsidRPr="009C665E">
        <w:rPr>
          <w:lang w:val="fr-CA" w:bidi="en-US"/>
        </w:rPr>
        <w:t>, 2018 ONCA 119;</w:t>
      </w:r>
      <w:r w:rsidR="003B07CA" w:rsidRPr="009C665E">
        <w:rPr>
          <w:i/>
          <w:lang w:val="fr-CA"/>
        </w:rPr>
        <w:t xml:space="preserve"> R. c. McIlvride-Lister</w:t>
      </w:r>
      <w:r w:rsidR="003B07CA" w:rsidRPr="009C665E">
        <w:rPr>
          <w:lang w:val="fr-CA"/>
        </w:rPr>
        <w:t xml:space="preserve">, 2019 ONSC 1869, 373 C.C.C. (3d) 490; </w:t>
      </w:r>
      <w:r w:rsidR="00B05282" w:rsidRPr="009C665E">
        <w:rPr>
          <w:i/>
          <w:lang w:val="fr-CA"/>
        </w:rPr>
        <w:t>R. c. Hanemaayer</w:t>
      </w:r>
      <w:r w:rsidR="00B05282" w:rsidRPr="009C665E">
        <w:rPr>
          <w:lang w:val="fr-CA"/>
        </w:rPr>
        <w:t xml:space="preserve">, 2008 ONCA 580, 234 C.C.C. (3d) 3; </w:t>
      </w:r>
      <w:r w:rsidR="0001754F" w:rsidRPr="009C665E">
        <w:rPr>
          <w:i/>
          <w:lang w:val="fr-CA"/>
        </w:rPr>
        <w:t xml:space="preserve">Reference re </w:t>
      </w:r>
      <w:r w:rsidR="0001754F" w:rsidRPr="009C665E">
        <w:rPr>
          <w:i/>
          <w:lang w:val="fr-CA"/>
        </w:rPr>
        <w:lastRenderedPageBreak/>
        <w:t>Truscott</w:t>
      </w:r>
      <w:r w:rsidR="0001754F" w:rsidRPr="009C665E">
        <w:rPr>
          <w:lang w:val="fr-CA"/>
        </w:rPr>
        <w:t>, [1967] R.C.S. 309;</w:t>
      </w:r>
      <w:r w:rsidR="00A54427" w:rsidRPr="009C665E">
        <w:rPr>
          <w:lang w:val="fr-CA"/>
        </w:rPr>
        <w:t xml:space="preserve"> </w:t>
      </w:r>
      <w:r w:rsidR="00A54427" w:rsidRPr="009C665E">
        <w:rPr>
          <w:i/>
          <w:lang w:val="fr-CA"/>
        </w:rPr>
        <w:t>R. c. Jolivet</w:t>
      </w:r>
      <w:r w:rsidR="00A54427" w:rsidRPr="009C665E">
        <w:rPr>
          <w:lang w:val="fr-CA"/>
        </w:rPr>
        <w:t xml:space="preserve">, 2000 CSC 29, [2000] 1 R.C.S. 751; </w:t>
      </w:r>
      <w:r w:rsidR="00694D35" w:rsidRPr="009C665E">
        <w:rPr>
          <w:i/>
          <w:lang w:val="fr-CA"/>
        </w:rPr>
        <w:t>Reference re</w:t>
      </w:r>
      <w:r w:rsidR="00ED590F" w:rsidRPr="009C665E">
        <w:rPr>
          <w:i/>
          <w:lang w:val="fr-CA"/>
        </w:rPr>
        <w:t> </w:t>
      </w:r>
      <w:r w:rsidR="00694D35" w:rsidRPr="009C665E">
        <w:rPr>
          <w:i/>
          <w:lang w:val="fr-CA"/>
        </w:rPr>
        <w:t>: Phillion</w:t>
      </w:r>
      <w:r w:rsidR="00694D35" w:rsidRPr="009C665E">
        <w:rPr>
          <w:lang w:val="fr-CA"/>
        </w:rPr>
        <w:t xml:space="preserve">, 2009 ONCA 202, 241 C.C.C. (3d) 193; </w:t>
      </w:r>
      <w:r w:rsidR="00D70780" w:rsidRPr="009C665E">
        <w:rPr>
          <w:i/>
          <w:lang w:val="fr-CA"/>
        </w:rPr>
        <w:t>R. c. Nixon</w:t>
      </w:r>
      <w:r w:rsidR="00D70780" w:rsidRPr="009C665E">
        <w:rPr>
          <w:lang w:val="fr-CA"/>
        </w:rPr>
        <w:t>, 2011 CSC 34, [2011] 2 R</w:t>
      </w:r>
      <w:r w:rsidR="004A07DA" w:rsidRPr="009C665E">
        <w:rPr>
          <w:lang w:val="fr-CA"/>
        </w:rPr>
        <w:t>.C</w:t>
      </w:r>
      <w:r w:rsidR="00D70780" w:rsidRPr="009C665E">
        <w:rPr>
          <w:lang w:val="fr-CA"/>
        </w:rPr>
        <w:t>.</w:t>
      </w:r>
      <w:r w:rsidR="004A07DA" w:rsidRPr="009C665E">
        <w:rPr>
          <w:lang w:val="fr-CA"/>
        </w:rPr>
        <w:t>S.</w:t>
      </w:r>
      <w:r w:rsidR="00D70780" w:rsidRPr="009C665E">
        <w:rPr>
          <w:lang w:val="fr-CA"/>
        </w:rPr>
        <w:t xml:space="preserve"> 566; </w:t>
      </w:r>
      <w:r w:rsidR="000C63CE" w:rsidRPr="009C665E">
        <w:rPr>
          <w:i/>
          <w:lang w:val="fr-CA"/>
        </w:rPr>
        <w:t>R. c. Jordan</w:t>
      </w:r>
      <w:r w:rsidR="000C63CE" w:rsidRPr="009C665E">
        <w:rPr>
          <w:lang w:val="fr-CA"/>
        </w:rPr>
        <w:t xml:space="preserve">, 2016 CSC 27, [2016] 1 R.C.S. 631; </w:t>
      </w:r>
      <w:r w:rsidR="00001EFA" w:rsidRPr="009C665E">
        <w:rPr>
          <w:i/>
          <w:lang w:val="fr-CA"/>
        </w:rPr>
        <w:t>R. c. Robertson</w:t>
      </w:r>
      <w:r w:rsidR="00001EFA" w:rsidRPr="009C665E">
        <w:rPr>
          <w:lang w:val="fr-CA"/>
        </w:rPr>
        <w:t xml:space="preserve">, 2021 SKCA 125, 495 C.R.R. (2d) 31; </w:t>
      </w:r>
      <w:r w:rsidR="00B05729" w:rsidRPr="009C665E">
        <w:rPr>
          <w:i/>
          <w:lang w:val="fr-CA"/>
        </w:rPr>
        <w:t>R. c. Silveira</w:t>
      </w:r>
      <w:r w:rsidR="00B05729" w:rsidRPr="009C665E">
        <w:rPr>
          <w:lang w:val="fr-CA"/>
        </w:rPr>
        <w:t xml:space="preserve">, [1995] 2 R.C.S. 297; </w:t>
      </w:r>
      <w:r w:rsidR="008E38BC" w:rsidRPr="009C665E">
        <w:rPr>
          <w:i/>
          <w:lang w:val="fr-CA"/>
        </w:rPr>
        <w:t>R. c. Elshaw</w:t>
      </w:r>
      <w:r w:rsidR="008E38BC" w:rsidRPr="009C665E">
        <w:rPr>
          <w:lang w:val="fr-CA"/>
        </w:rPr>
        <w:t xml:space="preserve">, [1991] 3 R.C.S. 24; </w:t>
      </w:r>
      <w:r w:rsidR="006E7E06" w:rsidRPr="009C665E">
        <w:rPr>
          <w:i/>
          <w:lang w:val="fr-CA"/>
        </w:rPr>
        <w:t>R. c. Barton</w:t>
      </w:r>
      <w:r w:rsidR="006E7E06" w:rsidRPr="009C665E">
        <w:rPr>
          <w:lang w:val="fr-CA"/>
        </w:rPr>
        <w:t xml:space="preserve">, 2019 CSC 33, </w:t>
      </w:r>
      <w:r w:rsidR="006E7E06" w:rsidRPr="009C665E">
        <w:rPr>
          <w:color w:val="000000"/>
          <w:lang w:val="fr-CA"/>
        </w:rPr>
        <w:t xml:space="preserve">[2019] 2 R.C.S. 579; </w:t>
      </w:r>
      <w:r w:rsidR="00401762" w:rsidRPr="009C665E">
        <w:rPr>
          <w:i/>
          <w:lang w:val="fr-CA"/>
        </w:rPr>
        <w:t xml:space="preserve">R. c. Naraindeen </w:t>
      </w:r>
      <w:r w:rsidR="00401762" w:rsidRPr="009C665E">
        <w:rPr>
          <w:lang w:val="fr-CA"/>
        </w:rPr>
        <w:t xml:space="preserve">(1990), 75 O.R. (2d) 120; </w:t>
      </w:r>
      <w:r w:rsidR="00FA552E" w:rsidRPr="009C665E">
        <w:rPr>
          <w:i/>
          <w:iCs/>
          <w:lang w:val="fr-CA"/>
        </w:rPr>
        <w:t>Demande fondée sur l’art. 83.28 du Code criminel (Re)</w:t>
      </w:r>
      <w:r w:rsidR="00FA552E" w:rsidRPr="009C665E">
        <w:rPr>
          <w:lang w:val="fr-CA"/>
        </w:rPr>
        <w:t xml:space="preserve">, 2004 CSC 42, </w:t>
      </w:r>
      <w:r w:rsidR="00FA552E" w:rsidRPr="009C665E">
        <w:rPr>
          <w:lang w:val="fr-CA" w:bidi="en-US"/>
        </w:rPr>
        <w:t xml:space="preserve">[2004] 2 R.C.S. 248; </w:t>
      </w:r>
      <w:r w:rsidR="00983780" w:rsidRPr="009C665E">
        <w:rPr>
          <w:i/>
          <w:lang w:val="fr-CA" w:bidi="en-US"/>
        </w:rPr>
        <w:t>Miazga c. Kvello (Succession)</w:t>
      </w:r>
      <w:r w:rsidR="00983780" w:rsidRPr="009C665E">
        <w:rPr>
          <w:lang w:val="fr-CA" w:bidi="en-US"/>
        </w:rPr>
        <w:t>, 2009 CSC 51, [2009] 3 R.C.S. 339;</w:t>
      </w:r>
      <w:r w:rsidR="00723089" w:rsidRPr="009C665E">
        <w:rPr>
          <w:i/>
          <w:iCs/>
          <w:lang w:val="fr-CA"/>
        </w:rPr>
        <w:t xml:space="preserve"> Brouillard </w:t>
      </w:r>
      <w:r w:rsidR="00723089" w:rsidRPr="009C665E">
        <w:rPr>
          <w:i/>
          <w:lang w:val="fr-CA"/>
        </w:rPr>
        <w:t>c. La Reine</w:t>
      </w:r>
      <w:r w:rsidR="00723089" w:rsidRPr="009C665E">
        <w:rPr>
          <w:lang w:val="fr-CA"/>
        </w:rPr>
        <w:t>, [1985] 1 R.C.S. 39;</w:t>
      </w:r>
      <w:r w:rsidR="00695F82" w:rsidRPr="009C665E">
        <w:rPr>
          <w:i/>
          <w:iCs/>
          <w:lang w:val="fr-CA"/>
        </w:rPr>
        <w:t xml:space="preserve"> R. c. Vickerson</w:t>
      </w:r>
      <w:r w:rsidR="00695F82" w:rsidRPr="009C665E">
        <w:rPr>
          <w:lang w:val="fr-CA"/>
        </w:rPr>
        <w:t>, 2020 ONCA 434;</w:t>
      </w:r>
      <w:r w:rsidR="009B7186" w:rsidRPr="009C665E">
        <w:rPr>
          <w:i/>
          <w:iCs/>
          <w:lang w:val="fr-CA"/>
        </w:rPr>
        <w:t xml:space="preserve"> R. c. O’Brien</w:t>
      </w:r>
      <w:r w:rsidR="009B7186" w:rsidRPr="009C665E">
        <w:rPr>
          <w:lang w:val="fr-CA"/>
        </w:rPr>
        <w:t xml:space="preserve"> (1987), 10 Q.A.C. 135;</w:t>
      </w:r>
      <w:r w:rsidR="004B43B0" w:rsidRPr="009C665E">
        <w:rPr>
          <w:i/>
          <w:lang w:val="fr-CA"/>
        </w:rPr>
        <w:t xml:space="preserve"> R. c. Power</w:t>
      </w:r>
      <w:r w:rsidR="004B43B0" w:rsidRPr="009C665E">
        <w:rPr>
          <w:lang w:val="fr-CA"/>
        </w:rPr>
        <w:t>, [1994] 1 R.C.S. 601;</w:t>
      </w:r>
      <w:r w:rsidR="00A567C1" w:rsidRPr="009C665E">
        <w:rPr>
          <w:i/>
          <w:lang w:val="fr-CA"/>
        </w:rPr>
        <w:t xml:space="preserve"> R. c. McArthur</w:t>
      </w:r>
      <w:r w:rsidR="00A567C1" w:rsidRPr="009C665E">
        <w:rPr>
          <w:lang w:val="fr-CA"/>
        </w:rPr>
        <w:t>, 1999 ABCA 117, 232 A.R. 349;</w:t>
      </w:r>
      <w:r w:rsidR="009A1D83" w:rsidRPr="009C665E">
        <w:rPr>
          <w:i/>
          <w:lang w:val="fr-CA"/>
        </w:rPr>
        <w:t xml:space="preserve"> </w:t>
      </w:r>
      <w:r w:rsidR="00D93A95" w:rsidRPr="009C665E">
        <w:rPr>
          <w:i/>
          <w:lang w:val="fr-CA"/>
        </w:rPr>
        <w:t>R. c. Tateham</w:t>
      </w:r>
      <w:r w:rsidR="00D93A95" w:rsidRPr="009C665E">
        <w:rPr>
          <w:lang w:val="fr-CA"/>
        </w:rPr>
        <w:t xml:space="preserve"> (1982), 70 C.C.C. (2d) 565</w:t>
      </w:r>
      <w:r w:rsidR="003D180B" w:rsidRPr="009C665E">
        <w:rPr>
          <w:lang w:val="fr-CA"/>
        </w:rPr>
        <w:t xml:space="preserve">; </w:t>
      </w:r>
      <w:r w:rsidR="003D180B" w:rsidRPr="009C665E">
        <w:rPr>
          <w:i/>
          <w:lang w:val="fr-CA"/>
        </w:rPr>
        <w:t>R. c. T.G.</w:t>
      </w:r>
      <w:r w:rsidR="003D180B" w:rsidRPr="009C665E">
        <w:rPr>
          <w:lang w:val="fr-CA"/>
        </w:rPr>
        <w:t>, 2017 ONSC 3213</w:t>
      </w:r>
      <w:r w:rsidR="00D93A95" w:rsidRPr="009C665E">
        <w:rPr>
          <w:lang w:val="fr-CA"/>
        </w:rPr>
        <w:t>;</w:t>
      </w:r>
      <w:r w:rsidR="005E4489" w:rsidRPr="009C665E">
        <w:rPr>
          <w:i/>
          <w:lang w:val="fr-CA"/>
        </w:rPr>
        <w:t xml:space="preserve"> R. c. Karpinski</w:t>
      </w:r>
      <w:r w:rsidR="005E4489" w:rsidRPr="009C665E">
        <w:rPr>
          <w:lang w:val="fr-CA"/>
        </w:rPr>
        <w:t>, [1957] R.C.S. 343;</w:t>
      </w:r>
      <w:r w:rsidR="009C3C22" w:rsidRPr="009C665E">
        <w:rPr>
          <w:i/>
          <w:lang w:val="fr-CA"/>
        </w:rPr>
        <w:t xml:space="preserve"> R. c. Gillespie et Mailman</w:t>
      </w:r>
      <w:r w:rsidR="009C3C22" w:rsidRPr="009C665E">
        <w:rPr>
          <w:lang w:val="fr-CA"/>
        </w:rPr>
        <w:t>, 2024 NBBR 2;</w:t>
      </w:r>
      <w:r w:rsidR="00387505" w:rsidRPr="009C665E">
        <w:rPr>
          <w:i/>
          <w:lang w:val="fr-CA"/>
        </w:rPr>
        <w:t xml:space="preserve"> R. c. Smith</w:t>
      </w:r>
      <w:r w:rsidR="00387505" w:rsidRPr="009C665E">
        <w:rPr>
          <w:lang w:val="fr-CA"/>
        </w:rPr>
        <w:t xml:space="preserve">, 2004 CSC 14, [2004] 1 R.C.S. 385; </w:t>
      </w:r>
      <w:r w:rsidR="004B2303" w:rsidRPr="009C665E">
        <w:rPr>
          <w:i/>
          <w:lang w:val="fr-CA"/>
        </w:rPr>
        <w:t>Charkaoui c. Canada (Citoyenneté et Immigration)</w:t>
      </w:r>
      <w:r w:rsidR="004B2303" w:rsidRPr="009C665E">
        <w:rPr>
          <w:lang w:val="fr-CA"/>
        </w:rPr>
        <w:t xml:space="preserve">, 2008 CSC 38, [2008] 2 R.C.S. 326; </w:t>
      </w:r>
      <w:r w:rsidR="008F7D8B" w:rsidRPr="009C665E">
        <w:rPr>
          <w:i/>
          <w:lang w:val="fr-CA"/>
        </w:rPr>
        <w:t>R. c. O’Connor</w:t>
      </w:r>
      <w:r w:rsidR="008F7D8B" w:rsidRPr="009C665E">
        <w:rPr>
          <w:lang w:val="fr-CA"/>
        </w:rPr>
        <w:t>, [1995] 4 R.C.S. 411;</w:t>
      </w:r>
      <w:r w:rsidR="00B2791E" w:rsidRPr="009C665E">
        <w:rPr>
          <w:i/>
          <w:lang w:val="fr-CA"/>
        </w:rPr>
        <w:t xml:space="preserve"> Canada (Ministre de la Citoyenneté et de l’Immigration) </w:t>
      </w:r>
      <w:r w:rsidR="00CB7A64" w:rsidRPr="009C665E">
        <w:rPr>
          <w:i/>
          <w:lang w:val="fr-CA"/>
        </w:rPr>
        <w:t>c</w:t>
      </w:r>
      <w:r w:rsidR="00B2791E" w:rsidRPr="009C665E">
        <w:rPr>
          <w:i/>
          <w:lang w:val="fr-CA"/>
        </w:rPr>
        <w:t>. Tobiass</w:t>
      </w:r>
      <w:r w:rsidR="00B2791E" w:rsidRPr="009C665E">
        <w:rPr>
          <w:lang w:val="fr-CA"/>
        </w:rPr>
        <w:t xml:space="preserve">, [1997] 3 </w:t>
      </w:r>
      <w:r w:rsidR="00CB7A64" w:rsidRPr="009C665E">
        <w:rPr>
          <w:lang w:val="fr-CA"/>
        </w:rPr>
        <w:t>R.C.</w:t>
      </w:r>
      <w:r w:rsidR="00B2791E" w:rsidRPr="009C665E">
        <w:rPr>
          <w:lang w:val="fr-CA"/>
        </w:rPr>
        <w:t>S. 391;</w:t>
      </w:r>
      <w:r w:rsidR="002B1453" w:rsidRPr="009C665E">
        <w:rPr>
          <w:i/>
          <w:lang w:val="fr-CA"/>
        </w:rPr>
        <w:t xml:space="preserve"> R. c. Regan</w:t>
      </w:r>
      <w:r w:rsidR="002B1453" w:rsidRPr="009C665E">
        <w:rPr>
          <w:lang w:val="fr-CA"/>
        </w:rPr>
        <w:t>, 2002 CSC 12, [2002] 1 R.C.S. 297;</w:t>
      </w:r>
      <w:r w:rsidR="00F834BD" w:rsidRPr="009C665E">
        <w:rPr>
          <w:i/>
          <w:lang w:val="fr-CA"/>
        </w:rPr>
        <w:t xml:space="preserve"> R. c. Babos</w:t>
      </w:r>
      <w:r w:rsidR="00F834BD" w:rsidRPr="009C665E">
        <w:rPr>
          <w:lang w:val="fr-CA"/>
        </w:rPr>
        <w:t xml:space="preserve">, 2014 CSC 16, [2014] 1 R.C.S. 309; </w:t>
      </w:r>
      <w:r w:rsidR="006F54FB" w:rsidRPr="009C665E">
        <w:rPr>
          <w:i/>
          <w:lang w:val="fr-CA"/>
        </w:rPr>
        <w:t>R. c.</w:t>
      </w:r>
      <w:r w:rsidR="006F54FB" w:rsidRPr="009C665E">
        <w:rPr>
          <w:lang w:val="fr-CA"/>
        </w:rPr>
        <w:t xml:space="preserve"> </w:t>
      </w:r>
      <w:r w:rsidR="006F54FB" w:rsidRPr="009C665E">
        <w:rPr>
          <w:i/>
          <w:lang w:val="fr-CA"/>
        </w:rPr>
        <w:t>Brunelle</w:t>
      </w:r>
      <w:r w:rsidR="006F54FB" w:rsidRPr="009C665E">
        <w:rPr>
          <w:lang w:val="fr-CA"/>
        </w:rPr>
        <w:t xml:space="preserve">, 2024 CSC 3; </w:t>
      </w:r>
      <w:r w:rsidR="00673F4D" w:rsidRPr="009C665E">
        <w:rPr>
          <w:i/>
          <w:lang w:val="fr-CA"/>
        </w:rPr>
        <w:t>R. c.</w:t>
      </w:r>
      <w:r w:rsidR="00673F4D" w:rsidRPr="009C665E">
        <w:rPr>
          <w:lang w:val="fr-CA"/>
        </w:rPr>
        <w:t xml:space="preserve"> </w:t>
      </w:r>
      <w:r w:rsidR="00673F4D" w:rsidRPr="009C665E">
        <w:rPr>
          <w:i/>
          <w:lang w:val="fr-CA"/>
        </w:rPr>
        <w:t>Bellusci</w:t>
      </w:r>
      <w:r w:rsidR="00673F4D" w:rsidRPr="009C665E">
        <w:rPr>
          <w:lang w:val="fr-CA"/>
        </w:rPr>
        <w:t xml:space="preserve">, 2012 CSC 44, [2012] 2 R.C.S. 509; </w:t>
      </w:r>
      <w:r w:rsidR="00426C3A" w:rsidRPr="009C665E">
        <w:rPr>
          <w:i/>
          <w:lang w:val="fr-CA"/>
        </w:rPr>
        <w:t>R. c. Yelle</w:t>
      </w:r>
      <w:r w:rsidR="00426C3A" w:rsidRPr="009C665E">
        <w:rPr>
          <w:lang w:val="fr-CA"/>
        </w:rPr>
        <w:t>, 2006 ABCA 276, 397 A.R. 287</w:t>
      </w:r>
      <w:r w:rsidR="00837A6C" w:rsidRPr="009C665E">
        <w:rPr>
          <w:lang w:val="fr-CA"/>
        </w:rPr>
        <w:t>.</w:t>
      </w:r>
    </w:p>
    <w:p w14:paraId="4EA74980" w14:textId="77777777" w:rsidR="004D7D95" w:rsidRPr="009C665E" w:rsidRDefault="004D7D95" w:rsidP="0014130A">
      <w:pPr>
        <w:pStyle w:val="SCCNormalDoubleSpacing"/>
        <w:spacing w:after="720" w:line="240" w:lineRule="auto"/>
        <w:rPr>
          <w:b/>
          <w:lang w:val="fr-CA"/>
        </w:rPr>
      </w:pPr>
      <w:r w:rsidRPr="009C665E">
        <w:rPr>
          <w:b/>
          <w:lang w:val="fr-CA"/>
        </w:rPr>
        <w:t>Lois et règlements cités</w:t>
      </w:r>
    </w:p>
    <w:p w14:paraId="72F2F434" w14:textId="3311D057" w:rsidR="005B0E6F" w:rsidRPr="009C665E" w:rsidRDefault="005B0E6F" w:rsidP="0014130A">
      <w:pPr>
        <w:pStyle w:val="SCCNormalDoubleSpacing"/>
        <w:spacing w:after="240" w:line="240" w:lineRule="auto"/>
        <w:ind w:left="547" w:hanging="547"/>
        <w:rPr>
          <w:lang w:val="fr-CA"/>
        </w:rPr>
      </w:pPr>
      <w:r w:rsidRPr="009C665E">
        <w:rPr>
          <w:i/>
          <w:lang w:val="fr-CA"/>
        </w:rPr>
        <w:t>Charte canadienne des droits et libertés</w:t>
      </w:r>
      <w:r w:rsidRPr="009C665E">
        <w:rPr>
          <w:lang w:val="fr-CA"/>
        </w:rPr>
        <w:t>, art. </w:t>
      </w:r>
      <w:r w:rsidR="0005036D" w:rsidRPr="009C665E">
        <w:rPr>
          <w:lang w:val="fr-CA"/>
        </w:rPr>
        <w:t xml:space="preserve">7, </w:t>
      </w:r>
      <w:r w:rsidRPr="009C665E">
        <w:rPr>
          <w:lang w:val="fr-CA"/>
        </w:rPr>
        <w:t>24(1).</w:t>
      </w:r>
    </w:p>
    <w:p w14:paraId="2EE5BF97" w14:textId="0E8BA1D3" w:rsidR="004D7D95" w:rsidRPr="009C665E" w:rsidRDefault="00CA4211" w:rsidP="0014130A">
      <w:pPr>
        <w:pStyle w:val="SCCNormalDoubleSpacing"/>
        <w:spacing w:after="240" w:line="240" w:lineRule="auto"/>
        <w:ind w:left="547" w:hanging="547"/>
        <w:rPr>
          <w:lang w:val="fr-CA"/>
        </w:rPr>
      </w:pPr>
      <w:r w:rsidRPr="009C665E">
        <w:rPr>
          <w:i/>
          <w:lang w:val="fr-CA"/>
        </w:rPr>
        <w:t>Code criminel</w:t>
      </w:r>
      <w:r w:rsidRPr="009C665E">
        <w:rPr>
          <w:lang w:val="fr-CA"/>
        </w:rPr>
        <w:t>, L.R.C. 1985, c.</w:t>
      </w:r>
      <w:r w:rsidR="0014130A" w:rsidRPr="009C665E">
        <w:rPr>
          <w:lang w:val="fr-CA"/>
        </w:rPr>
        <w:t> </w:t>
      </w:r>
      <w:r w:rsidRPr="009C665E">
        <w:rPr>
          <w:lang w:val="fr-CA"/>
        </w:rPr>
        <w:t>C</w:t>
      </w:r>
      <w:r w:rsidR="0014130A" w:rsidRPr="009C665E">
        <w:rPr>
          <w:lang w:val="fr-CA"/>
        </w:rPr>
        <w:noBreakHyphen/>
      </w:r>
      <w:r w:rsidRPr="009C665E">
        <w:rPr>
          <w:lang w:val="fr-CA"/>
        </w:rPr>
        <w:t>46, art. </w:t>
      </w:r>
      <w:r w:rsidR="00E9773A" w:rsidRPr="009C665E">
        <w:rPr>
          <w:lang w:val="fr-CA"/>
        </w:rPr>
        <w:t xml:space="preserve">579, </w:t>
      </w:r>
      <w:r w:rsidR="00AB3896" w:rsidRPr="009C665E">
        <w:rPr>
          <w:lang w:val="fr-CA"/>
        </w:rPr>
        <w:t>606(1.1)</w:t>
      </w:r>
      <w:r w:rsidR="00865F1C" w:rsidRPr="009C665E">
        <w:rPr>
          <w:lang w:val="fr-CA"/>
        </w:rPr>
        <w:t>, (4)</w:t>
      </w:r>
      <w:r w:rsidR="00296AAA" w:rsidRPr="009C665E">
        <w:rPr>
          <w:lang w:val="fr-CA"/>
        </w:rPr>
        <w:t xml:space="preserve">, </w:t>
      </w:r>
      <w:r w:rsidR="00296AAA" w:rsidRPr="009C665E">
        <w:rPr>
          <w:lang w:val="fr-CA" w:bidi="en-US"/>
        </w:rPr>
        <w:t>675</w:t>
      </w:r>
      <w:r w:rsidR="001B07DD" w:rsidRPr="009C665E">
        <w:rPr>
          <w:lang w:val="fr-CA" w:bidi="en-US"/>
        </w:rPr>
        <w:t>(1)</w:t>
      </w:r>
      <w:r w:rsidR="00DC42D3" w:rsidRPr="009C665E">
        <w:rPr>
          <w:lang w:val="fr-CA" w:bidi="en-US"/>
        </w:rPr>
        <w:t xml:space="preserve">, </w:t>
      </w:r>
      <w:r w:rsidR="00DC42D3" w:rsidRPr="009C665E">
        <w:rPr>
          <w:lang w:val="fr-CA"/>
        </w:rPr>
        <w:t>678</w:t>
      </w:r>
      <w:r w:rsidR="00666643" w:rsidRPr="009C665E">
        <w:rPr>
          <w:lang w:val="fr-CA"/>
        </w:rPr>
        <w:t>(2)</w:t>
      </w:r>
      <w:r w:rsidR="00AB3896" w:rsidRPr="009C665E">
        <w:rPr>
          <w:lang w:val="fr-CA"/>
        </w:rPr>
        <w:t xml:space="preserve">, </w:t>
      </w:r>
      <w:r w:rsidRPr="009C665E">
        <w:rPr>
          <w:lang w:val="fr-CA"/>
        </w:rPr>
        <w:t>686</w:t>
      </w:r>
      <w:r w:rsidR="004C5EEC" w:rsidRPr="009C665E">
        <w:rPr>
          <w:lang w:val="fr-CA"/>
        </w:rPr>
        <w:t>, 696.3(3</w:t>
      </w:r>
      <w:proofErr w:type="gramStart"/>
      <w:r w:rsidR="004C5EEC" w:rsidRPr="009C665E">
        <w:rPr>
          <w:lang w:val="fr-CA"/>
        </w:rPr>
        <w:t>)a)(</w:t>
      </w:r>
      <w:proofErr w:type="gramEnd"/>
      <w:r w:rsidR="004C5EEC" w:rsidRPr="009C665E">
        <w:rPr>
          <w:lang w:val="fr-CA"/>
        </w:rPr>
        <w:t>ii)</w:t>
      </w:r>
      <w:r w:rsidRPr="009C665E">
        <w:rPr>
          <w:lang w:val="fr-CA"/>
        </w:rPr>
        <w:t>.</w:t>
      </w:r>
    </w:p>
    <w:p w14:paraId="4B57B4EB" w14:textId="595B9315" w:rsidR="005E548A" w:rsidRPr="009C665E" w:rsidRDefault="00641D74" w:rsidP="0014130A">
      <w:pPr>
        <w:pStyle w:val="SCCNormalDoubleSpacing"/>
        <w:spacing w:after="240" w:line="240" w:lineRule="auto"/>
        <w:ind w:left="547" w:hanging="547"/>
        <w:rPr>
          <w:lang w:val="fr-CA"/>
        </w:rPr>
      </w:pPr>
      <w:r w:rsidRPr="009C665E">
        <w:rPr>
          <w:i/>
          <w:lang w:val="fr-CA"/>
        </w:rPr>
        <w:lastRenderedPageBreak/>
        <w:t>Code criminel</w:t>
      </w:r>
      <w:r w:rsidR="005E548A" w:rsidRPr="009C665E">
        <w:rPr>
          <w:i/>
          <w:lang w:val="fr-CA"/>
        </w:rPr>
        <w:t>, 1892</w:t>
      </w:r>
      <w:r w:rsidR="005E548A" w:rsidRPr="009C665E">
        <w:rPr>
          <w:lang w:val="fr-CA"/>
        </w:rPr>
        <w:t>, S.C. 1892, c.</w:t>
      </w:r>
      <w:r w:rsidR="00D16764" w:rsidRPr="009C665E">
        <w:rPr>
          <w:lang w:val="fr-CA"/>
        </w:rPr>
        <w:t> </w:t>
      </w:r>
      <w:r w:rsidR="005E548A" w:rsidRPr="009C665E">
        <w:rPr>
          <w:lang w:val="fr-CA"/>
        </w:rPr>
        <w:t xml:space="preserve">29, </w:t>
      </w:r>
      <w:r w:rsidRPr="009C665E">
        <w:rPr>
          <w:lang w:val="fr-CA"/>
        </w:rPr>
        <w:t>art</w:t>
      </w:r>
      <w:r w:rsidR="005E548A" w:rsidRPr="009C665E">
        <w:rPr>
          <w:lang w:val="fr-CA"/>
        </w:rPr>
        <w:t>. 746(d), 747.</w:t>
      </w:r>
    </w:p>
    <w:p w14:paraId="4A74693A" w14:textId="1C519304" w:rsidR="000139DB" w:rsidRPr="009C665E" w:rsidRDefault="006C02E3" w:rsidP="0014130A">
      <w:pPr>
        <w:pStyle w:val="SCCNormalDoubleSpacing"/>
        <w:spacing w:after="240" w:line="240" w:lineRule="auto"/>
        <w:ind w:left="547" w:hanging="547"/>
        <w:rPr>
          <w:lang w:val="fr-CA"/>
        </w:rPr>
      </w:pPr>
      <w:r w:rsidRPr="009C665E">
        <w:rPr>
          <w:i/>
          <w:lang w:val="fr-CA"/>
        </w:rPr>
        <w:t>Loi modifiant le Code criminel</w:t>
      </w:r>
      <w:r w:rsidR="000139DB" w:rsidRPr="009C665E">
        <w:rPr>
          <w:lang w:val="fr-CA"/>
        </w:rPr>
        <w:t>, S.C. 1923, c. 41, art. 9.</w:t>
      </w:r>
    </w:p>
    <w:p w14:paraId="70A864CB" w14:textId="422C30C8" w:rsidR="00BA5CA2" w:rsidRPr="009C665E" w:rsidRDefault="00BA5CA2" w:rsidP="00D16764">
      <w:pPr>
        <w:pStyle w:val="SCCNormalDoubleSpacing"/>
        <w:spacing w:after="720" w:line="240" w:lineRule="auto"/>
        <w:ind w:left="547" w:hanging="547"/>
        <w:rPr>
          <w:lang w:val="fr-CA"/>
        </w:rPr>
      </w:pPr>
      <w:r w:rsidRPr="009C665E">
        <w:rPr>
          <w:i/>
          <w:lang w:val="fr-CA"/>
        </w:rPr>
        <w:t>Loi sur la Commission d’examen des erreurs du système judiciaire (Loi de David et Joyce Milgaard)</w:t>
      </w:r>
      <w:r w:rsidRPr="009C665E">
        <w:rPr>
          <w:lang w:val="fr-CA"/>
        </w:rPr>
        <w:t>, L.C. 2024, c. 33, art. 3</w:t>
      </w:r>
      <w:r w:rsidR="00805CC8" w:rsidRPr="009C665E">
        <w:rPr>
          <w:lang w:val="fr-CA"/>
        </w:rPr>
        <w:t>, 4</w:t>
      </w:r>
      <w:r w:rsidRPr="009C665E">
        <w:rPr>
          <w:lang w:val="fr-CA"/>
        </w:rPr>
        <w:t>.</w:t>
      </w:r>
    </w:p>
    <w:p w14:paraId="2A705FA7" w14:textId="77777777" w:rsidR="004D7D95" w:rsidRPr="009C665E" w:rsidRDefault="004D7D95" w:rsidP="00D16764">
      <w:pPr>
        <w:pStyle w:val="SCCNormalDoubleSpacing"/>
        <w:spacing w:after="720" w:line="240" w:lineRule="auto"/>
        <w:rPr>
          <w:b/>
        </w:rPr>
      </w:pPr>
      <w:r w:rsidRPr="009C665E">
        <w:rPr>
          <w:b/>
        </w:rPr>
        <w:t>Doctrine et autres documents cités</w:t>
      </w:r>
    </w:p>
    <w:p w14:paraId="34124430" w14:textId="63D9B4A7" w:rsidR="00702AF9" w:rsidRPr="009C665E" w:rsidRDefault="002B7B14" w:rsidP="00D16764">
      <w:pPr>
        <w:pStyle w:val="SCCNormalDoubleSpacing"/>
        <w:spacing w:after="240" w:line="240" w:lineRule="auto"/>
        <w:ind w:left="547" w:hanging="547"/>
        <w:rPr>
          <w:lang w:val="fr-CA"/>
        </w:rPr>
      </w:pPr>
      <w:r w:rsidRPr="009C665E">
        <w:t xml:space="preserve">Berger, Benjamin L. « Criminal Appeals as Jury </w:t>
      </w:r>
      <w:proofErr w:type="gramStart"/>
      <w:r w:rsidRPr="009C665E">
        <w:t>Control :</w:t>
      </w:r>
      <w:proofErr w:type="gramEnd"/>
      <w:r w:rsidRPr="009C665E">
        <w:t xml:space="preserve"> An Anglo</w:t>
      </w:r>
      <w:r w:rsidR="00D16764" w:rsidRPr="009C665E">
        <w:noBreakHyphen/>
      </w:r>
      <w:r w:rsidRPr="009C665E">
        <w:t xml:space="preserve">Canadian Historical Perspective on the Rise of Criminal Appeals » (2006), 10 </w:t>
      </w:r>
      <w:r w:rsidR="00893E13" w:rsidRPr="009C665E">
        <w:rPr>
          <w:i/>
        </w:rPr>
        <w:t xml:space="preserve">Rev. can. </w:t>
      </w:r>
      <w:r w:rsidR="00893E13" w:rsidRPr="009C665E">
        <w:rPr>
          <w:i/>
          <w:lang w:val="fr-CA"/>
        </w:rPr>
        <w:t>D.P.</w:t>
      </w:r>
      <w:r w:rsidRPr="009C665E">
        <w:rPr>
          <w:lang w:val="fr-CA"/>
        </w:rPr>
        <w:t xml:space="preserve"> 1.</w:t>
      </w:r>
    </w:p>
    <w:p w14:paraId="02A64FC2" w14:textId="7E5E9DAF" w:rsidR="00043DAD" w:rsidRPr="009C665E" w:rsidRDefault="00043DAD" w:rsidP="00043DAD">
      <w:pPr>
        <w:pStyle w:val="SCCNormalDoubleSpacing"/>
        <w:spacing w:after="240" w:line="240" w:lineRule="auto"/>
        <w:ind w:left="540" w:hanging="540"/>
        <w:rPr>
          <w:color w:val="000000"/>
          <w:lang w:val="fr-CA"/>
        </w:rPr>
      </w:pPr>
      <w:r w:rsidRPr="009C665E">
        <w:rPr>
          <w:color w:val="000000"/>
          <w:lang w:val="fr-CA"/>
        </w:rPr>
        <w:t xml:space="preserve">Canada. </w:t>
      </w:r>
      <w:r w:rsidRPr="009C665E">
        <w:rPr>
          <w:lang w:val="fr-CA"/>
        </w:rPr>
        <w:t xml:space="preserve">Ministère de la Justice. </w:t>
      </w:r>
      <w:r w:rsidR="008B77D4" w:rsidRPr="009C665E">
        <w:rPr>
          <w:i/>
          <w:lang w:val="fr-CA"/>
        </w:rPr>
        <w:t>Le rapport final sur l’</w:t>
      </w:r>
      <w:r w:rsidRPr="009C665E">
        <w:rPr>
          <w:i/>
          <w:lang w:val="fr-CA"/>
        </w:rPr>
        <w:t>examen du système de justice pénale du Canada</w:t>
      </w:r>
      <w:r w:rsidRPr="009C665E">
        <w:rPr>
          <w:lang w:val="fr-CA"/>
        </w:rPr>
        <w:t>, Ottawa, 2019.</w:t>
      </w:r>
    </w:p>
    <w:p w14:paraId="2B35F1D7" w14:textId="237EA49F" w:rsidR="00121974" w:rsidRPr="009C665E" w:rsidRDefault="00121974" w:rsidP="00D16764">
      <w:pPr>
        <w:pStyle w:val="SCCNormalDoubleSpacing"/>
        <w:spacing w:after="240" w:line="240" w:lineRule="auto"/>
        <w:ind w:left="540" w:hanging="540"/>
        <w:rPr>
          <w:color w:val="000000"/>
        </w:rPr>
      </w:pPr>
      <w:r w:rsidRPr="009C665E">
        <w:rPr>
          <w:lang w:bidi="en-US"/>
        </w:rPr>
        <w:t xml:space="preserve">Carling, Amanda. « A Way to Reduce Indigenous </w:t>
      </w:r>
      <w:proofErr w:type="gramStart"/>
      <w:r w:rsidRPr="009C665E">
        <w:rPr>
          <w:lang w:bidi="en-US"/>
        </w:rPr>
        <w:t>Overrepresentation :</w:t>
      </w:r>
      <w:proofErr w:type="gramEnd"/>
      <w:r w:rsidRPr="009C665E">
        <w:rPr>
          <w:lang w:bidi="en-US"/>
        </w:rPr>
        <w:t xml:space="preserve"> Prevent False Guilty Plea Wrongful Convictions » (2017), 64 </w:t>
      </w:r>
      <w:r w:rsidRPr="009C665E">
        <w:rPr>
          <w:i/>
          <w:lang w:bidi="en-US"/>
        </w:rPr>
        <w:t>Crim. L.Q.</w:t>
      </w:r>
      <w:r w:rsidRPr="009C665E">
        <w:rPr>
          <w:lang w:bidi="en-US"/>
        </w:rPr>
        <w:t xml:space="preserve"> 415.</w:t>
      </w:r>
    </w:p>
    <w:p w14:paraId="6EA3EA35" w14:textId="2B491275" w:rsidR="0097753D" w:rsidRPr="009C665E" w:rsidRDefault="0097753D" w:rsidP="00D16764">
      <w:pPr>
        <w:pStyle w:val="SCCNormalDoubleSpacing"/>
        <w:spacing w:after="240" w:line="240" w:lineRule="auto"/>
        <w:ind w:left="540" w:hanging="540"/>
        <w:rPr>
          <w:color w:val="000000"/>
        </w:rPr>
      </w:pPr>
      <w:r w:rsidRPr="009C665E">
        <w:t xml:space="preserve">Cohen, Stanley A. </w:t>
      </w:r>
      <w:r w:rsidRPr="009C665E">
        <w:rPr>
          <w:i/>
        </w:rPr>
        <w:t xml:space="preserve">Due Process of </w:t>
      </w:r>
      <w:proofErr w:type="gramStart"/>
      <w:r w:rsidRPr="009C665E">
        <w:rPr>
          <w:i/>
        </w:rPr>
        <w:t>Law :</w:t>
      </w:r>
      <w:proofErr w:type="gramEnd"/>
      <w:r w:rsidRPr="009C665E">
        <w:rPr>
          <w:i/>
        </w:rPr>
        <w:t xml:space="preserve"> The Canadian System of Criminal Justice</w:t>
      </w:r>
      <w:r w:rsidRPr="009C665E">
        <w:t>, Toronto, Carswell, 1977.</w:t>
      </w:r>
    </w:p>
    <w:p w14:paraId="65B3451F" w14:textId="33B18F62" w:rsidR="008A6EAC" w:rsidRPr="009C665E" w:rsidRDefault="008A6EAC" w:rsidP="00D16764">
      <w:pPr>
        <w:pStyle w:val="SCCNormalDoubleSpacing"/>
        <w:spacing w:after="240" w:line="240" w:lineRule="auto"/>
        <w:ind w:left="540" w:hanging="540"/>
      </w:pPr>
      <w:r w:rsidRPr="009C665E">
        <w:rPr>
          <w:color w:val="000000"/>
        </w:rPr>
        <w:t xml:space="preserve">Cory, Peter deC. </w:t>
      </w:r>
      <w:r w:rsidRPr="009C665E">
        <w:rPr>
          <w:i/>
          <w:iCs/>
          <w:color w:val="000000"/>
        </w:rPr>
        <w:t xml:space="preserve">The Inquiry Regarding </w:t>
      </w:r>
      <w:r w:rsidRPr="009C665E">
        <w:rPr>
          <w:rStyle w:val="solexhl"/>
          <w:rFonts w:eastAsiaTheme="majorEastAsia"/>
          <w:i/>
          <w:iCs/>
          <w:color w:val="000000"/>
        </w:rPr>
        <w:t xml:space="preserve">Thomas </w:t>
      </w:r>
      <w:proofErr w:type="gramStart"/>
      <w:r w:rsidRPr="009C665E">
        <w:rPr>
          <w:rStyle w:val="solexhl"/>
          <w:rFonts w:eastAsiaTheme="majorEastAsia"/>
          <w:i/>
          <w:iCs/>
          <w:color w:val="000000"/>
        </w:rPr>
        <w:t>Sophonow </w:t>
      </w:r>
      <w:r w:rsidRPr="009C665E">
        <w:rPr>
          <w:i/>
          <w:iCs/>
          <w:color w:val="000000"/>
        </w:rPr>
        <w:t>:</w:t>
      </w:r>
      <w:proofErr w:type="gramEnd"/>
      <w:r w:rsidRPr="009C665E">
        <w:rPr>
          <w:i/>
          <w:iCs/>
          <w:color w:val="000000"/>
        </w:rPr>
        <w:t xml:space="preserve"> The Investigation, Prosecution and Consideration of Entitlement to Compensation</w:t>
      </w:r>
      <w:r w:rsidRPr="009C665E">
        <w:rPr>
          <w:color w:val="000000"/>
        </w:rPr>
        <w:t>, Winnipeg, Manitoba Justice, 2001.</w:t>
      </w:r>
    </w:p>
    <w:p w14:paraId="71D1C861" w14:textId="77777777" w:rsidR="00263062" w:rsidRPr="009C665E" w:rsidRDefault="00263062" w:rsidP="00D16764">
      <w:pPr>
        <w:pStyle w:val="SCCNormalDoubleSpacing"/>
        <w:spacing w:after="240" w:line="240" w:lineRule="auto"/>
        <w:ind w:left="540" w:hanging="540"/>
      </w:pPr>
      <w:r w:rsidRPr="009C665E">
        <w:t xml:space="preserve">Coughlan, Steve. </w:t>
      </w:r>
      <w:r w:rsidRPr="009C665E">
        <w:rPr>
          <w:i/>
        </w:rPr>
        <w:t>Criminal Procedure</w:t>
      </w:r>
      <w:r w:rsidRPr="009C665E">
        <w:t>, 4</w:t>
      </w:r>
      <w:r w:rsidRPr="009C665E">
        <w:rPr>
          <w:vertAlign w:val="superscript"/>
        </w:rPr>
        <w:t>e</w:t>
      </w:r>
      <w:r w:rsidRPr="009C665E">
        <w:t xml:space="preserve"> éd., Toronto, Irwin Law, 2020.</w:t>
      </w:r>
    </w:p>
    <w:p w14:paraId="5657FC42" w14:textId="0071B0F4" w:rsidR="00C07DC4" w:rsidRPr="009C665E" w:rsidRDefault="00C07DC4" w:rsidP="00D16764">
      <w:pPr>
        <w:pStyle w:val="SCCNormalDoubleSpacing"/>
        <w:spacing w:after="240" w:line="240" w:lineRule="auto"/>
        <w:ind w:left="540" w:hanging="540"/>
      </w:pPr>
      <w:r w:rsidRPr="009C665E">
        <w:rPr>
          <w:lang w:bidi="en-US"/>
        </w:rPr>
        <w:t>Coughlan</w:t>
      </w:r>
      <w:r w:rsidRPr="009C665E">
        <w:t>, Steve,</w:t>
      </w:r>
      <w:r w:rsidRPr="009C665E">
        <w:rPr>
          <w:lang w:bidi="en-US"/>
        </w:rPr>
        <w:t xml:space="preserve"> et Alex Gorlewski. </w:t>
      </w:r>
      <w:r w:rsidRPr="009C665E">
        <w:rPr>
          <w:i/>
          <w:lang w:bidi="en-US"/>
        </w:rPr>
        <w:t xml:space="preserve">The Anatomy of Criminal </w:t>
      </w:r>
      <w:proofErr w:type="gramStart"/>
      <w:r w:rsidRPr="009C665E">
        <w:rPr>
          <w:i/>
          <w:lang w:bidi="en-US"/>
        </w:rPr>
        <w:t>Procedure :</w:t>
      </w:r>
      <w:proofErr w:type="gramEnd"/>
      <w:r w:rsidRPr="009C665E">
        <w:rPr>
          <w:i/>
          <w:lang w:bidi="en-US"/>
        </w:rPr>
        <w:t xml:space="preserve"> A Visual Guide to the Law</w:t>
      </w:r>
      <w:r w:rsidRPr="009C665E">
        <w:rPr>
          <w:lang w:bidi="en-US"/>
        </w:rPr>
        <w:t xml:space="preserve">, </w:t>
      </w:r>
      <w:r w:rsidRPr="009C665E">
        <w:t xml:space="preserve">Toronto, Irwin Law, </w:t>
      </w:r>
      <w:r w:rsidRPr="009C665E">
        <w:rPr>
          <w:lang w:bidi="en-US"/>
        </w:rPr>
        <w:t>2019.</w:t>
      </w:r>
    </w:p>
    <w:p w14:paraId="00D84D8B" w14:textId="77777777" w:rsidR="00EE332B" w:rsidRPr="009C665E" w:rsidRDefault="00EE332B" w:rsidP="00D16764">
      <w:pPr>
        <w:pStyle w:val="SCCNormalDoubleSpacing"/>
        <w:spacing w:after="240" w:line="240" w:lineRule="auto"/>
        <w:ind w:left="540" w:hanging="540"/>
      </w:pPr>
      <w:r w:rsidRPr="009C665E">
        <w:t xml:space="preserve">Daly, Paul. « Introduction », dans Paul Daly, dir., </w:t>
      </w:r>
      <w:r w:rsidRPr="009C665E">
        <w:rPr>
          <w:i/>
        </w:rPr>
        <w:t>Apex Courts and the Common Law</w:t>
      </w:r>
      <w:r w:rsidRPr="009C665E">
        <w:t>, Toronto, University of Toronto Press, 2019, 3.</w:t>
      </w:r>
    </w:p>
    <w:p w14:paraId="7D0FEAF2" w14:textId="24A5E2B0" w:rsidR="00B343F1" w:rsidRPr="009C665E" w:rsidRDefault="00B343F1" w:rsidP="00D16764">
      <w:pPr>
        <w:pStyle w:val="SCCNormalDoubleSpacing"/>
        <w:spacing w:after="240" w:line="240" w:lineRule="auto"/>
        <w:ind w:left="540" w:hanging="540"/>
        <w:rPr>
          <w:lang w:bidi="en-US"/>
        </w:rPr>
      </w:pPr>
      <w:r w:rsidRPr="009C665E">
        <w:t xml:space="preserve">David, Lawrence. </w:t>
      </w:r>
      <w:r w:rsidRPr="009C665E">
        <w:rPr>
          <w:i/>
        </w:rPr>
        <w:t>Stare Decisis, The Charter and the Rule of Law in the Supreme Court of Canada</w:t>
      </w:r>
      <w:r w:rsidRPr="009C665E">
        <w:t>, Toronto, LexisNexis, 2020.</w:t>
      </w:r>
    </w:p>
    <w:p w14:paraId="6692AB6A" w14:textId="30D7DBA8" w:rsidR="00A964DC" w:rsidRPr="009C665E" w:rsidRDefault="00A964DC" w:rsidP="00D16764">
      <w:pPr>
        <w:pStyle w:val="SCCNormalDoubleSpacing"/>
        <w:spacing w:after="240" w:line="240" w:lineRule="auto"/>
        <w:ind w:left="540" w:hanging="540"/>
      </w:pPr>
      <w:r w:rsidRPr="009C665E">
        <w:rPr>
          <w:lang w:bidi="en-US"/>
        </w:rPr>
        <w:t xml:space="preserve">Del Buono, Vincent M. « The Right to Appeal in Indictable </w:t>
      </w:r>
      <w:proofErr w:type="gramStart"/>
      <w:r w:rsidRPr="009C665E">
        <w:rPr>
          <w:lang w:bidi="en-US"/>
        </w:rPr>
        <w:t>Cases :</w:t>
      </w:r>
      <w:proofErr w:type="gramEnd"/>
      <w:r w:rsidRPr="009C665E">
        <w:rPr>
          <w:lang w:bidi="en-US"/>
        </w:rPr>
        <w:t xml:space="preserve"> A Legislative History » (1978), 16 </w:t>
      </w:r>
      <w:r w:rsidRPr="009C665E">
        <w:rPr>
          <w:i/>
          <w:lang w:bidi="en-US"/>
        </w:rPr>
        <w:t>Alta. L. Rev.</w:t>
      </w:r>
      <w:r w:rsidRPr="009C665E">
        <w:rPr>
          <w:lang w:bidi="en-US"/>
        </w:rPr>
        <w:t xml:space="preserve"> 446.</w:t>
      </w:r>
    </w:p>
    <w:p w14:paraId="3DD5851B" w14:textId="0A357445" w:rsidR="0002660D" w:rsidRPr="009C665E" w:rsidRDefault="0002660D" w:rsidP="00D16764">
      <w:pPr>
        <w:pStyle w:val="SCCNormalDoubleSpacing"/>
        <w:spacing w:after="240" w:line="240" w:lineRule="auto"/>
        <w:ind w:left="540" w:hanging="540"/>
        <w:rPr>
          <w:lang w:val="fr-CA"/>
        </w:rPr>
      </w:pPr>
      <w:r w:rsidRPr="009C665E">
        <w:rPr>
          <w:lang w:val="fr-CA"/>
        </w:rPr>
        <w:t xml:space="preserve">Desjardins, Tristan. </w:t>
      </w:r>
      <w:r w:rsidRPr="009C665E">
        <w:rPr>
          <w:i/>
          <w:lang w:val="fr-CA"/>
        </w:rPr>
        <w:t>L’appel en droit criminel et pénal</w:t>
      </w:r>
      <w:r w:rsidRPr="009C665E">
        <w:rPr>
          <w:lang w:val="fr-CA"/>
        </w:rPr>
        <w:t>, 2</w:t>
      </w:r>
      <w:r w:rsidRPr="009C665E">
        <w:rPr>
          <w:vertAlign w:val="superscript"/>
          <w:lang w:val="fr-CA"/>
        </w:rPr>
        <w:t>e</w:t>
      </w:r>
      <w:r w:rsidRPr="009C665E">
        <w:rPr>
          <w:lang w:val="fr-CA"/>
        </w:rPr>
        <w:t xml:space="preserve"> éd.</w:t>
      </w:r>
      <w:r w:rsidR="00AE0BBF" w:rsidRPr="009C665E">
        <w:rPr>
          <w:lang w:val="fr-CA"/>
        </w:rPr>
        <w:t>,</w:t>
      </w:r>
      <w:r w:rsidRPr="009C665E">
        <w:rPr>
          <w:lang w:val="fr-CA"/>
        </w:rPr>
        <w:t xml:space="preserve"> Montréal</w:t>
      </w:r>
      <w:r w:rsidR="00AE0BBF" w:rsidRPr="009C665E">
        <w:rPr>
          <w:lang w:val="fr-CA"/>
        </w:rPr>
        <w:t>,</w:t>
      </w:r>
      <w:r w:rsidRPr="009C665E">
        <w:rPr>
          <w:lang w:val="fr-CA"/>
        </w:rPr>
        <w:t xml:space="preserve"> LexisNexis, 2012.</w:t>
      </w:r>
    </w:p>
    <w:p w14:paraId="37775D51" w14:textId="77AEBE64" w:rsidR="00074F2E" w:rsidRPr="009C665E" w:rsidRDefault="00074F2E" w:rsidP="00D16764">
      <w:pPr>
        <w:pStyle w:val="SCCNormalDoubleSpacing"/>
        <w:spacing w:after="240" w:line="240" w:lineRule="auto"/>
        <w:ind w:left="540" w:hanging="540"/>
      </w:pPr>
      <w:r w:rsidRPr="009C665E">
        <w:rPr>
          <w:i/>
        </w:rPr>
        <w:lastRenderedPageBreak/>
        <w:t xml:space="preserve">Elusive </w:t>
      </w:r>
      <w:proofErr w:type="gramStart"/>
      <w:r w:rsidRPr="009C665E">
        <w:rPr>
          <w:i/>
        </w:rPr>
        <w:t>Justice :</w:t>
      </w:r>
      <w:proofErr w:type="gramEnd"/>
      <w:r w:rsidRPr="009C665E">
        <w:rPr>
          <w:i/>
        </w:rPr>
        <w:t xml:space="preserve"> Beyond The Marshall Inquiry</w:t>
      </w:r>
      <w:r w:rsidRPr="009C665E">
        <w:t>, par Joy Mannette, dir., Halifax, Fernwood, 1992.</w:t>
      </w:r>
    </w:p>
    <w:p w14:paraId="5BBA21FA" w14:textId="77777777" w:rsidR="00114E47" w:rsidRPr="009C665E" w:rsidRDefault="00114E47" w:rsidP="00D16764">
      <w:pPr>
        <w:pStyle w:val="SCCNormalDoubleSpacing"/>
        <w:spacing w:after="240" w:line="240" w:lineRule="auto"/>
        <w:ind w:left="540" w:hanging="540"/>
        <w:rPr>
          <w:lang w:val="fr-CA"/>
        </w:rPr>
      </w:pPr>
      <w:r w:rsidRPr="009C665E">
        <w:rPr>
          <w:lang w:val="fr-CA"/>
        </w:rPr>
        <w:t xml:space="preserve">Fortin, Jacques. </w:t>
      </w:r>
      <w:r w:rsidRPr="009C665E">
        <w:rPr>
          <w:i/>
          <w:iCs/>
          <w:lang w:val="fr-CA"/>
        </w:rPr>
        <w:t>Preuve pénale</w:t>
      </w:r>
      <w:r w:rsidRPr="009C665E">
        <w:rPr>
          <w:lang w:val="fr-CA"/>
        </w:rPr>
        <w:t>, Montréal, Thémis, 1984.</w:t>
      </w:r>
    </w:p>
    <w:p w14:paraId="078287E2" w14:textId="77777777" w:rsidR="00EC7605" w:rsidRPr="009C665E" w:rsidRDefault="00EC7605" w:rsidP="00D16764">
      <w:pPr>
        <w:pStyle w:val="SCCNormalDoubleSpacing"/>
        <w:spacing w:after="240" w:line="240" w:lineRule="auto"/>
        <w:ind w:left="540" w:hanging="540"/>
      </w:pPr>
      <w:r w:rsidRPr="009C665E">
        <w:t xml:space="preserve">Friedland, Martin L. </w:t>
      </w:r>
      <w:r w:rsidRPr="009C665E">
        <w:rPr>
          <w:i/>
        </w:rPr>
        <w:t>Double Jeopardy</w:t>
      </w:r>
      <w:r w:rsidR="0080406F" w:rsidRPr="009C665E">
        <w:t>,</w:t>
      </w:r>
      <w:r w:rsidRPr="009C665E">
        <w:t xml:space="preserve"> Oxford</w:t>
      </w:r>
      <w:r w:rsidR="0080406F" w:rsidRPr="009C665E">
        <w:t>,</w:t>
      </w:r>
      <w:r w:rsidRPr="009C665E">
        <w:t xml:space="preserve"> Clarendon Press, 1969.</w:t>
      </w:r>
    </w:p>
    <w:p w14:paraId="28E320E4" w14:textId="53ED9D70" w:rsidR="00142014" w:rsidRPr="009C665E" w:rsidRDefault="00142014" w:rsidP="00D16764">
      <w:pPr>
        <w:pStyle w:val="SCCNormalDoubleSpacing"/>
        <w:spacing w:after="240" w:line="240" w:lineRule="auto"/>
        <w:ind w:left="540" w:hanging="540"/>
      </w:pPr>
      <w:r w:rsidRPr="009C665E">
        <w:t xml:space="preserve">Green, Melvyn. « Crown Culture and Wrongful </w:t>
      </w:r>
      <w:proofErr w:type="gramStart"/>
      <w:r w:rsidRPr="009C665E">
        <w:t>Convictions :</w:t>
      </w:r>
      <w:proofErr w:type="gramEnd"/>
      <w:r w:rsidRPr="009C665E">
        <w:t xml:space="preserve"> A Beginning » (2005), 29 C.R. (6th) 262.</w:t>
      </w:r>
    </w:p>
    <w:p w14:paraId="5F8096A1" w14:textId="0306ADC1" w:rsidR="00287204" w:rsidRPr="009C665E" w:rsidRDefault="00287204" w:rsidP="00D16764">
      <w:pPr>
        <w:pStyle w:val="SCCNormalDoubleSpacing"/>
        <w:spacing w:after="240" w:line="240" w:lineRule="auto"/>
        <w:ind w:left="540" w:hanging="540"/>
        <w:rPr>
          <w:lang w:val="fr-CA"/>
        </w:rPr>
      </w:pPr>
      <w:r w:rsidRPr="009C665E">
        <w:rPr>
          <w:lang w:val="fr-CA" w:bidi="en-US"/>
        </w:rPr>
        <w:t xml:space="preserve">Kaufman, Fred. </w:t>
      </w:r>
      <w:r w:rsidRPr="009C665E">
        <w:rPr>
          <w:i/>
          <w:lang w:val="fr-CA" w:bidi="en-US"/>
        </w:rPr>
        <w:t>Commission sur les poursuites contre Guy Paul Morin : rapport</w:t>
      </w:r>
      <w:r w:rsidRPr="009C665E">
        <w:rPr>
          <w:lang w:val="fr-CA" w:bidi="en-US"/>
        </w:rPr>
        <w:t>, t. 1</w:t>
      </w:r>
      <w:r w:rsidR="001F3A06" w:rsidRPr="009C665E">
        <w:rPr>
          <w:lang w:val="fr-CA" w:bidi="en-US"/>
        </w:rPr>
        <w:t>,</w:t>
      </w:r>
      <w:r w:rsidRPr="009C665E">
        <w:rPr>
          <w:lang w:val="fr-CA" w:bidi="en-US"/>
        </w:rPr>
        <w:t xml:space="preserve"> Toronto, 1998.</w:t>
      </w:r>
    </w:p>
    <w:p w14:paraId="609B0CDC" w14:textId="77777777" w:rsidR="00A112B1" w:rsidRPr="009C665E" w:rsidRDefault="00A112B1" w:rsidP="00D16764">
      <w:pPr>
        <w:pStyle w:val="SCCNormalDoubleSpacing"/>
        <w:spacing w:after="240" w:line="240" w:lineRule="auto"/>
        <w:ind w:left="540" w:hanging="540"/>
      </w:pPr>
      <w:r w:rsidRPr="009C665E">
        <w:rPr>
          <w:color w:val="000000"/>
        </w:rPr>
        <w:t>Lederman, Sidney N., Michelle K. Fuerst et Hamish C. Stewart. </w:t>
      </w:r>
      <w:r w:rsidRPr="009C665E">
        <w:rPr>
          <w:rStyle w:val="solexhl"/>
          <w:rFonts w:eastAsiaTheme="majorEastAsia"/>
          <w:i/>
          <w:iCs/>
          <w:color w:val="000000"/>
        </w:rPr>
        <w:t>Sopinka, Lederman</w:t>
      </w:r>
      <w:r w:rsidRPr="009C665E">
        <w:rPr>
          <w:i/>
          <w:iCs/>
          <w:color w:val="000000"/>
        </w:rPr>
        <w:t xml:space="preserve"> &amp; </w:t>
      </w:r>
      <w:proofErr w:type="gramStart"/>
      <w:r w:rsidRPr="009C665E">
        <w:rPr>
          <w:i/>
          <w:iCs/>
          <w:color w:val="000000"/>
        </w:rPr>
        <w:t>Bryant :</w:t>
      </w:r>
      <w:proofErr w:type="gramEnd"/>
      <w:r w:rsidRPr="009C665E">
        <w:rPr>
          <w:i/>
          <w:iCs/>
          <w:color w:val="000000"/>
        </w:rPr>
        <w:t xml:space="preserve"> The Law of Evidence in Canada</w:t>
      </w:r>
      <w:r w:rsidRPr="009C665E">
        <w:rPr>
          <w:color w:val="000000"/>
        </w:rPr>
        <w:t>, 6</w:t>
      </w:r>
      <w:r w:rsidRPr="009C665E">
        <w:rPr>
          <w:color w:val="000000"/>
          <w:vertAlign w:val="superscript"/>
        </w:rPr>
        <w:t>e</w:t>
      </w:r>
      <w:r w:rsidRPr="009C665E">
        <w:rPr>
          <w:color w:val="000000"/>
        </w:rPr>
        <w:t> éd., Toronto, LexisNexis, 2022.</w:t>
      </w:r>
    </w:p>
    <w:p w14:paraId="0E677844" w14:textId="77777777" w:rsidR="00471E1C" w:rsidRPr="009C665E" w:rsidRDefault="00471E1C" w:rsidP="00D16764">
      <w:pPr>
        <w:pStyle w:val="SCCNormalDoubleSpacing"/>
        <w:spacing w:after="240" w:line="240" w:lineRule="auto"/>
        <w:ind w:left="540" w:hanging="540"/>
        <w:rPr>
          <w:color w:val="000000"/>
        </w:rPr>
      </w:pPr>
      <w:r w:rsidRPr="009C665E">
        <w:t xml:space="preserve">LeSage, Patrick J. </w:t>
      </w:r>
      <w:r w:rsidRPr="009C665E">
        <w:rPr>
          <w:i/>
        </w:rPr>
        <w:t>Report of the Commission of Inquiry into certain aspects of the trial and conviction of James Driskell</w:t>
      </w:r>
      <w:r w:rsidRPr="009C665E">
        <w:t>, Winnipeg, 2007.</w:t>
      </w:r>
    </w:p>
    <w:p w14:paraId="6E278D02" w14:textId="340C1127" w:rsidR="00313BDF" w:rsidRPr="009C665E" w:rsidRDefault="00313BDF" w:rsidP="00D16764">
      <w:pPr>
        <w:pStyle w:val="SCCNormalDoubleSpacing"/>
        <w:spacing w:after="240" w:line="240" w:lineRule="auto"/>
        <w:ind w:left="540" w:hanging="540"/>
        <w:rPr>
          <w:color w:val="000000"/>
        </w:rPr>
      </w:pPr>
      <w:r w:rsidRPr="009C665E">
        <w:t xml:space="preserve">MacFarlane, Bruce. « Convicting The </w:t>
      </w:r>
      <w:proofErr w:type="gramStart"/>
      <w:r w:rsidRPr="009C665E">
        <w:t>Innocent :</w:t>
      </w:r>
      <w:proofErr w:type="gramEnd"/>
      <w:r w:rsidRPr="009C665E">
        <w:t xml:space="preserve"> A Triple Failure of the Justice System » (2006), 31 </w:t>
      </w:r>
      <w:r w:rsidRPr="009C665E">
        <w:rPr>
          <w:i/>
        </w:rPr>
        <w:t>Man. L.J.</w:t>
      </w:r>
      <w:r w:rsidRPr="009C665E">
        <w:t xml:space="preserve"> 403.</w:t>
      </w:r>
    </w:p>
    <w:p w14:paraId="1103BA0D" w14:textId="77777777" w:rsidR="00FC7A8E" w:rsidRPr="009C665E" w:rsidRDefault="00FC7A8E" w:rsidP="00D16764">
      <w:pPr>
        <w:pStyle w:val="SCCNormalDoubleSpacing"/>
        <w:spacing w:after="240" w:line="240" w:lineRule="auto"/>
        <w:ind w:left="540" w:hanging="540"/>
        <w:rPr>
          <w:color w:val="000000"/>
        </w:rPr>
      </w:pPr>
      <w:r w:rsidRPr="009C665E">
        <w:t xml:space="preserve">MacKinnon, Peter. « Costs and Compensation for the Innocent Accused » (1988), 67 </w:t>
      </w:r>
      <w:r w:rsidR="00393D2B" w:rsidRPr="009C665E">
        <w:rPr>
          <w:i/>
        </w:rPr>
        <w:t xml:space="preserve">R. du B. can. </w:t>
      </w:r>
      <w:r w:rsidRPr="009C665E">
        <w:t>489.</w:t>
      </w:r>
    </w:p>
    <w:p w14:paraId="5D44A2DD" w14:textId="74AA412C" w:rsidR="00F46973" w:rsidRPr="009C665E" w:rsidRDefault="00F46973" w:rsidP="00D16764">
      <w:pPr>
        <w:pStyle w:val="SCCNormalDoubleSpacing"/>
        <w:spacing w:after="240" w:line="240" w:lineRule="auto"/>
        <w:ind w:left="540" w:hanging="540"/>
      </w:pPr>
      <w:r w:rsidRPr="009C665E">
        <w:t xml:space="preserve">Marshall, Peter D. « A Comparative Analysis of the Right </w:t>
      </w:r>
      <w:proofErr w:type="gramStart"/>
      <w:r w:rsidRPr="009C665E">
        <w:t>To</w:t>
      </w:r>
      <w:proofErr w:type="gramEnd"/>
      <w:r w:rsidRPr="009C665E">
        <w:t xml:space="preserve"> Appeal » (2011), 22 </w:t>
      </w:r>
      <w:r w:rsidRPr="009C665E">
        <w:rPr>
          <w:i/>
        </w:rPr>
        <w:t>Duke J. Comp. &amp; Int’l L.</w:t>
      </w:r>
      <w:r w:rsidRPr="009C665E">
        <w:t xml:space="preserve"> 1.</w:t>
      </w:r>
    </w:p>
    <w:p w14:paraId="02014365" w14:textId="77777777" w:rsidR="00866954" w:rsidRPr="009C665E" w:rsidRDefault="00866954" w:rsidP="00D16764">
      <w:pPr>
        <w:pStyle w:val="SCCNormalDoubleSpacing"/>
        <w:spacing w:after="240" w:line="240" w:lineRule="auto"/>
        <w:ind w:left="540" w:hanging="540"/>
      </w:pPr>
      <w:r w:rsidRPr="009C665E">
        <w:t>Morden, John W. « The “good” judge » (2005), 23</w:t>
      </w:r>
      <w:r w:rsidR="00BC1B46" w:rsidRPr="009C665E">
        <w:t>(4)</w:t>
      </w:r>
      <w:r w:rsidRPr="009C665E">
        <w:t xml:space="preserve"> </w:t>
      </w:r>
      <w:r w:rsidRPr="009C665E">
        <w:rPr>
          <w:i/>
        </w:rPr>
        <w:t>Advocates’ Soc. J.</w:t>
      </w:r>
      <w:r w:rsidRPr="009C665E">
        <w:t xml:space="preserve"> 13.</w:t>
      </w:r>
    </w:p>
    <w:p w14:paraId="7603C0AD" w14:textId="7B15211E" w:rsidR="00FC0768" w:rsidRPr="009C665E" w:rsidRDefault="00FC0768" w:rsidP="00D16764">
      <w:pPr>
        <w:pStyle w:val="SCCNormalDoubleSpacing"/>
        <w:spacing w:after="240" w:line="240" w:lineRule="auto"/>
        <w:ind w:left="540" w:hanging="540"/>
      </w:pPr>
      <w:r w:rsidRPr="009C665E">
        <w:rPr>
          <w:szCs w:val="19"/>
        </w:rPr>
        <w:t>Nouvelle</w:t>
      </w:r>
      <w:r w:rsidR="00D16764" w:rsidRPr="009C665E">
        <w:rPr>
          <w:szCs w:val="19"/>
        </w:rPr>
        <w:noBreakHyphen/>
      </w:r>
      <w:r w:rsidRPr="009C665E">
        <w:rPr>
          <w:szCs w:val="19"/>
        </w:rPr>
        <w:t xml:space="preserve">Écosse. </w:t>
      </w:r>
      <w:r w:rsidRPr="009C665E">
        <w:rPr>
          <w:i/>
          <w:iCs/>
          <w:szCs w:val="19"/>
        </w:rPr>
        <w:t xml:space="preserve">Royal Commission on the Donald Marshall, Jr., </w:t>
      </w:r>
      <w:proofErr w:type="gramStart"/>
      <w:r w:rsidRPr="009C665E">
        <w:rPr>
          <w:i/>
          <w:iCs/>
          <w:szCs w:val="19"/>
        </w:rPr>
        <w:t>Prosecution</w:t>
      </w:r>
      <w:r w:rsidR="00CF60C6" w:rsidRPr="009C665E">
        <w:rPr>
          <w:i/>
          <w:iCs/>
          <w:szCs w:val="19"/>
        </w:rPr>
        <w:t> :</w:t>
      </w:r>
      <w:proofErr w:type="gramEnd"/>
      <w:r w:rsidRPr="009C665E">
        <w:rPr>
          <w:i/>
          <w:szCs w:val="24"/>
        </w:rPr>
        <w:t xml:space="preserve"> Digest of Findings and Recommendations</w:t>
      </w:r>
      <w:r w:rsidRPr="009C665E">
        <w:rPr>
          <w:iCs/>
          <w:szCs w:val="19"/>
        </w:rPr>
        <w:t>,</w:t>
      </w:r>
      <w:r w:rsidRPr="009C665E">
        <w:rPr>
          <w:i/>
          <w:iCs/>
          <w:szCs w:val="19"/>
        </w:rPr>
        <w:t xml:space="preserve"> </w:t>
      </w:r>
      <w:r w:rsidRPr="009C665E">
        <w:rPr>
          <w:szCs w:val="19"/>
        </w:rPr>
        <w:t>Halifax, 1989.</w:t>
      </w:r>
    </w:p>
    <w:p w14:paraId="32D9ADAC" w14:textId="6BCF454E" w:rsidR="005555A2" w:rsidRPr="009C665E" w:rsidRDefault="005555A2" w:rsidP="00D16764">
      <w:pPr>
        <w:pStyle w:val="SCCNormalDoubleSpacing"/>
        <w:spacing w:after="240" w:line="240" w:lineRule="auto"/>
        <w:ind w:left="540" w:hanging="540"/>
      </w:pPr>
      <w:r w:rsidRPr="009C665E">
        <w:rPr>
          <w:szCs w:val="19"/>
        </w:rPr>
        <w:t>Nouvelle</w:t>
      </w:r>
      <w:r w:rsidR="00D16764" w:rsidRPr="009C665E">
        <w:rPr>
          <w:szCs w:val="19"/>
        </w:rPr>
        <w:noBreakHyphen/>
      </w:r>
      <w:r w:rsidRPr="009C665E">
        <w:rPr>
          <w:szCs w:val="19"/>
        </w:rPr>
        <w:t xml:space="preserve">Écosse. </w:t>
      </w:r>
      <w:r w:rsidRPr="009C665E">
        <w:rPr>
          <w:i/>
          <w:iCs/>
          <w:szCs w:val="19"/>
        </w:rPr>
        <w:t>Royal Commission on the Donald Marshall, Jr., Prosecution</w:t>
      </w:r>
      <w:r w:rsidRPr="009C665E">
        <w:rPr>
          <w:iCs/>
          <w:szCs w:val="19"/>
        </w:rPr>
        <w:t>, vol.</w:t>
      </w:r>
      <w:r w:rsidR="00D16764" w:rsidRPr="009C665E">
        <w:rPr>
          <w:iCs/>
          <w:szCs w:val="19"/>
        </w:rPr>
        <w:t> </w:t>
      </w:r>
      <w:r w:rsidRPr="009C665E">
        <w:rPr>
          <w:iCs/>
          <w:szCs w:val="19"/>
        </w:rPr>
        <w:t>I,</w:t>
      </w:r>
      <w:r w:rsidRPr="009C665E">
        <w:rPr>
          <w:i/>
          <w:iCs/>
          <w:szCs w:val="19"/>
        </w:rPr>
        <w:t xml:space="preserve"> Findings and Recommendations</w:t>
      </w:r>
      <w:r w:rsidR="00610E9E" w:rsidRPr="009C665E">
        <w:rPr>
          <w:iCs/>
          <w:szCs w:val="19"/>
        </w:rPr>
        <w:t>,</w:t>
      </w:r>
      <w:r w:rsidRPr="009C665E">
        <w:rPr>
          <w:i/>
          <w:iCs/>
          <w:szCs w:val="19"/>
        </w:rPr>
        <w:t xml:space="preserve"> </w:t>
      </w:r>
      <w:r w:rsidRPr="009C665E">
        <w:rPr>
          <w:szCs w:val="19"/>
        </w:rPr>
        <w:t>Halifax, 1989.</w:t>
      </w:r>
    </w:p>
    <w:p w14:paraId="32F4EA4A" w14:textId="05A1B534" w:rsidR="00032DA4" w:rsidRPr="009C665E" w:rsidRDefault="00F71990" w:rsidP="00D16764">
      <w:pPr>
        <w:pStyle w:val="SCCNormalDoubleSpacing"/>
        <w:spacing w:after="240" w:line="240" w:lineRule="auto"/>
        <w:ind w:left="540" w:hanging="540"/>
        <w:rPr>
          <w:color w:val="000000"/>
          <w:lang w:val="fr-CA"/>
        </w:rPr>
      </w:pPr>
      <w:r w:rsidRPr="009C665E">
        <w:rPr>
          <w:color w:val="000000"/>
          <w:lang w:val="fr-CA"/>
        </w:rPr>
        <w:t xml:space="preserve">Ontario. </w:t>
      </w:r>
      <w:r w:rsidRPr="009C665E">
        <w:rPr>
          <w:i/>
          <w:iCs/>
          <w:color w:val="000000"/>
          <w:lang w:val="fr-CA"/>
        </w:rPr>
        <w:t xml:space="preserve">Rapport de la </w:t>
      </w:r>
      <w:r w:rsidR="00032DA4" w:rsidRPr="009C665E">
        <w:rPr>
          <w:i/>
          <w:iCs/>
          <w:color w:val="000000"/>
          <w:lang w:val="fr-CA"/>
        </w:rPr>
        <w:t>Commission d’enquête sur la médecine légale pédiatrique en Ontario</w:t>
      </w:r>
      <w:r w:rsidR="00032DA4" w:rsidRPr="009C665E">
        <w:rPr>
          <w:color w:val="000000"/>
          <w:lang w:val="fr-CA"/>
        </w:rPr>
        <w:t>, par Stephen T. Goudge, Toronto, 2008.</w:t>
      </w:r>
    </w:p>
    <w:p w14:paraId="77EFB005" w14:textId="525F8704" w:rsidR="003F7D53" w:rsidRPr="009C665E" w:rsidRDefault="003F7D53" w:rsidP="00D16764">
      <w:pPr>
        <w:pStyle w:val="SCCNormalDoubleSpacing"/>
        <w:spacing w:after="240" w:line="240" w:lineRule="auto"/>
        <w:ind w:left="540" w:hanging="540"/>
        <w:rPr>
          <w:color w:val="000000"/>
          <w:lang w:val="en-US"/>
        </w:rPr>
      </w:pPr>
      <w:r w:rsidRPr="009C665E">
        <w:rPr>
          <w:lang w:val="fr-CA"/>
        </w:rPr>
        <w:t xml:space="preserve">Parkes, Debra, et Emma Cunliffe. </w:t>
      </w:r>
      <w:r w:rsidRPr="009C665E">
        <w:t xml:space="preserve">« Women and wrongful </w:t>
      </w:r>
      <w:proofErr w:type="gramStart"/>
      <w:r w:rsidRPr="009C665E">
        <w:t>convictions :</w:t>
      </w:r>
      <w:proofErr w:type="gramEnd"/>
      <w:r w:rsidRPr="009C665E">
        <w:t xml:space="preserve"> concepts and challenges » (2015), 11 </w:t>
      </w:r>
      <w:r w:rsidRPr="009C665E">
        <w:rPr>
          <w:i/>
        </w:rPr>
        <w:t>Int’l J. L. Context</w:t>
      </w:r>
      <w:r w:rsidRPr="009C665E">
        <w:t xml:space="preserve"> 219</w:t>
      </w:r>
      <w:r w:rsidRPr="009C665E">
        <w:rPr>
          <w:lang w:val="en-US"/>
        </w:rPr>
        <w:t>.</w:t>
      </w:r>
    </w:p>
    <w:p w14:paraId="16E3DFB8" w14:textId="3F6F905A" w:rsidR="000412AF" w:rsidRPr="009C665E" w:rsidRDefault="000412AF" w:rsidP="00D16764">
      <w:pPr>
        <w:pStyle w:val="SCCNormalDoubleSpacing"/>
        <w:spacing w:after="240" w:line="240" w:lineRule="auto"/>
        <w:ind w:left="540" w:hanging="540"/>
        <w:rPr>
          <w:color w:val="000000"/>
        </w:rPr>
      </w:pPr>
      <w:r w:rsidRPr="009C665E">
        <w:rPr>
          <w:lang w:val="fr-CA"/>
        </w:rPr>
        <w:t>Penney, Steven, Vincenzo</w:t>
      </w:r>
      <w:r w:rsidR="00D16764" w:rsidRPr="009C665E">
        <w:rPr>
          <w:lang w:val="fr-CA"/>
        </w:rPr>
        <w:t xml:space="preserve"> </w:t>
      </w:r>
      <w:r w:rsidRPr="009C665E">
        <w:rPr>
          <w:lang w:val="fr-CA"/>
        </w:rPr>
        <w:t xml:space="preserve">Rondinelli et James Stribopoulos. </w:t>
      </w:r>
      <w:r w:rsidRPr="009C665E">
        <w:rPr>
          <w:i/>
        </w:rPr>
        <w:t>Criminal Procedure in Canada</w:t>
      </w:r>
      <w:r w:rsidRPr="009C665E">
        <w:t>,</w:t>
      </w:r>
      <w:r w:rsidRPr="009C665E">
        <w:rPr>
          <w:i/>
        </w:rPr>
        <w:t xml:space="preserve"> </w:t>
      </w:r>
      <w:r w:rsidRPr="009C665E">
        <w:t>3</w:t>
      </w:r>
      <w:r w:rsidRPr="009C665E">
        <w:rPr>
          <w:vertAlign w:val="superscript"/>
        </w:rPr>
        <w:t>e</w:t>
      </w:r>
      <w:r w:rsidRPr="009C665E">
        <w:t xml:space="preserve"> éd., Toronto, LexisNexis, 2022.</w:t>
      </w:r>
    </w:p>
    <w:p w14:paraId="52767660" w14:textId="6583870C" w:rsidR="00FB3CB6" w:rsidRPr="009C665E" w:rsidRDefault="00FB3CB6" w:rsidP="00D16764">
      <w:pPr>
        <w:pStyle w:val="SCCNormalDoubleSpacing"/>
        <w:spacing w:after="240" w:line="240" w:lineRule="auto"/>
        <w:ind w:left="540" w:hanging="540"/>
        <w:rPr>
          <w:color w:val="000000"/>
        </w:rPr>
      </w:pPr>
      <w:r w:rsidRPr="009C665E">
        <w:t xml:space="preserve">Roach, Kent. « Canada’s False Guilty </w:t>
      </w:r>
      <w:proofErr w:type="gramStart"/>
      <w:r w:rsidRPr="009C665E">
        <w:t>Pleas :</w:t>
      </w:r>
      <w:proofErr w:type="gramEnd"/>
      <w:r w:rsidRPr="009C665E">
        <w:t xml:space="preserve"> Lessons from The Canadian Registry of Wrongful Convictions » (2023),</w:t>
      </w:r>
      <w:r w:rsidR="00B252D1" w:rsidRPr="009C665E">
        <w:t xml:space="preserve"> 4</w:t>
      </w:r>
      <w:r w:rsidRPr="009C665E">
        <w:t xml:space="preserve"> </w:t>
      </w:r>
      <w:r w:rsidRPr="009C665E">
        <w:rPr>
          <w:i/>
        </w:rPr>
        <w:t>Wrongful</w:t>
      </w:r>
      <w:r w:rsidRPr="009C665E">
        <w:t xml:space="preserve"> </w:t>
      </w:r>
      <w:r w:rsidRPr="009C665E">
        <w:rPr>
          <w:i/>
        </w:rPr>
        <w:t>Conv. L. Rev.</w:t>
      </w:r>
      <w:r w:rsidRPr="009C665E">
        <w:t xml:space="preserve"> 16.</w:t>
      </w:r>
    </w:p>
    <w:p w14:paraId="3BCA961B" w14:textId="7019F14E" w:rsidR="00985B52" w:rsidRPr="009C665E" w:rsidRDefault="00985B52" w:rsidP="00D16764">
      <w:pPr>
        <w:pStyle w:val="SCCNormalDoubleSpacing"/>
        <w:spacing w:after="240" w:line="240" w:lineRule="auto"/>
        <w:ind w:left="540" w:hanging="540"/>
        <w:rPr>
          <w:color w:val="000000"/>
        </w:rPr>
      </w:pPr>
      <w:r w:rsidRPr="009C665E">
        <w:lastRenderedPageBreak/>
        <w:t xml:space="preserve">Roach, Kent. « The Wrongful Conviction of Indigenous People in Australia and Canada » (2015), 17 </w:t>
      </w:r>
      <w:r w:rsidRPr="009C665E">
        <w:rPr>
          <w:i/>
        </w:rPr>
        <w:t>Flinders L.J.</w:t>
      </w:r>
      <w:r w:rsidRPr="009C665E">
        <w:t xml:space="preserve"> 203.</w:t>
      </w:r>
    </w:p>
    <w:p w14:paraId="07CB0E94" w14:textId="77777777" w:rsidR="00E10219" w:rsidRPr="009C665E" w:rsidRDefault="00E10219" w:rsidP="00D16764">
      <w:pPr>
        <w:pStyle w:val="SCCNormalDoubleSpacing"/>
        <w:spacing w:after="240" w:line="240" w:lineRule="auto"/>
        <w:ind w:left="540" w:hanging="540"/>
        <w:rPr>
          <w:color w:val="000000"/>
        </w:rPr>
      </w:pPr>
      <w:r w:rsidRPr="009C665E">
        <w:t xml:space="preserve">Roach, Kent. « The Wrongfully Convicted Deserve Acquittals Not Prosecutorial Stays » (2024), 102 </w:t>
      </w:r>
      <w:r w:rsidRPr="009C665E">
        <w:rPr>
          <w:i/>
        </w:rPr>
        <w:t xml:space="preserve">R. du B. can. </w:t>
      </w:r>
      <w:r w:rsidRPr="009C665E">
        <w:t>201.</w:t>
      </w:r>
    </w:p>
    <w:p w14:paraId="1D5EFD89" w14:textId="77777777" w:rsidR="00F45917" w:rsidRPr="009C665E" w:rsidRDefault="00F45917" w:rsidP="00D16764">
      <w:pPr>
        <w:pStyle w:val="SCCNormalDoubleSpacing"/>
        <w:spacing w:after="240" w:line="240" w:lineRule="auto"/>
        <w:ind w:left="540" w:hanging="540"/>
        <w:rPr>
          <w:color w:val="000000"/>
        </w:rPr>
      </w:pPr>
      <w:r w:rsidRPr="009C665E">
        <w:rPr>
          <w:lang w:bidi="en-US"/>
        </w:rPr>
        <w:t>Russell,</w:t>
      </w:r>
      <w:r w:rsidRPr="009C665E">
        <w:t xml:space="preserve"> </w:t>
      </w:r>
      <w:r w:rsidRPr="009C665E">
        <w:rPr>
          <w:lang w:bidi="en-US"/>
        </w:rPr>
        <w:t>Peter H.</w:t>
      </w:r>
      <w:r w:rsidR="00391E6B" w:rsidRPr="009C665E">
        <w:rPr>
          <w:lang w:bidi="en-US"/>
        </w:rPr>
        <w:t xml:space="preserve"> « </w:t>
      </w:r>
      <w:r w:rsidRPr="009C665E">
        <w:rPr>
          <w:lang w:bidi="en-US"/>
        </w:rPr>
        <w:t xml:space="preserve">The Jurisdiction of the Supreme Court of </w:t>
      </w:r>
      <w:proofErr w:type="gramStart"/>
      <w:r w:rsidRPr="009C665E">
        <w:rPr>
          <w:lang w:bidi="en-US"/>
        </w:rPr>
        <w:t>Canada</w:t>
      </w:r>
      <w:r w:rsidR="00391E6B" w:rsidRPr="009C665E">
        <w:rPr>
          <w:lang w:bidi="en-US"/>
        </w:rPr>
        <w:t> </w:t>
      </w:r>
      <w:r w:rsidRPr="009C665E">
        <w:rPr>
          <w:lang w:bidi="en-US"/>
        </w:rPr>
        <w:t>:</w:t>
      </w:r>
      <w:proofErr w:type="gramEnd"/>
      <w:r w:rsidRPr="009C665E">
        <w:rPr>
          <w:lang w:bidi="en-US"/>
        </w:rPr>
        <w:t xml:space="preserve"> Present Poli</w:t>
      </w:r>
      <w:r w:rsidR="00391E6B" w:rsidRPr="009C665E">
        <w:rPr>
          <w:lang w:bidi="en-US"/>
        </w:rPr>
        <w:t>cies and a Programme for Reform »</w:t>
      </w:r>
      <w:r w:rsidRPr="009C665E">
        <w:rPr>
          <w:lang w:bidi="en-US"/>
        </w:rPr>
        <w:t xml:space="preserve"> (1968), 6 </w:t>
      </w:r>
      <w:r w:rsidRPr="009C665E">
        <w:rPr>
          <w:i/>
          <w:lang w:bidi="en-US"/>
        </w:rPr>
        <w:t>Osgoode Hall L.J.</w:t>
      </w:r>
      <w:r w:rsidRPr="009C665E">
        <w:rPr>
          <w:lang w:bidi="en-US"/>
        </w:rPr>
        <w:t xml:space="preserve"> 1.</w:t>
      </w:r>
    </w:p>
    <w:p w14:paraId="09028F40" w14:textId="33A8FDAE" w:rsidR="00D65F2A" w:rsidRPr="009C665E" w:rsidRDefault="00D65F2A" w:rsidP="00D16764">
      <w:pPr>
        <w:pStyle w:val="SCCNormalDoubleSpacing"/>
        <w:spacing w:after="240" w:line="240" w:lineRule="auto"/>
        <w:ind w:left="540" w:hanging="540"/>
        <w:rPr>
          <w:color w:val="000000"/>
        </w:rPr>
      </w:pPr>
      <w:r w:rsidRPr="009C665E">
        <w:t xml:space="preserve">Saskatchewan. Commission of Inquiry into the Wrongful Conviction of David Milgaard. </w:t>
      </w:r>
      <w:r w:rsidRPr="009C665E">
        <w:rPr>
          <w:i/>
        </w:rPr>
        <w:t>Report of the Commission of Inquiry into the Wrongful Conviction of David Milgaard</w:t>
      </w:r>
      <w:r w:rsidR="00077BE8" w:rsidRPr="009C665E">
        <w:t>,</w:t>
      </w:r>
      <w:r w:rsidR="00077BE8" w:rsidRPr="009C665E">
        <w:rPr>
          <w:i/>
        </w:rPr>
        <w:t xml:space="preserve"> </w:t>
      </w:r>
      <w:r w:rsidR="00077BE8" w:rsidRPr="009C665E">
        <w:t>vol. 1</w:t>
      </w:r>
      <w:r w:rsidRPr="009C665E">
        <w:t>, par Edward P. MacCallum, Saskatoon, 2008.</w:t>
      </w:r>
    </w:p>
    <w:p w14:paraId="59BB25E0" w14:textId="77777777" w:rsidR="003E4544" w:rsidRPr="009C665E" w:rsidRDefault="003E4544" w:rsidP="00D16764">
      <w:pPr>
        <w:pStyle w:val="SCCNormalDoubleSpacing"/>
        <w:spacing w:after="240" w:line="240" w:lineRule="auto"/>
        <w:ind w:left="540" w:hanging="540"/>
        <w:rPr>
          <w:color w:val="000000"/>
        </w:rPr>
      </w:pPr>
      <w:r w:rsidRPr="009C665E">
        <w:t xml:space="preserve">Sharpe, Robert J. </w:t>
      </w:r>
      <w:r w:rsidRPr="009C665E">
        <w:rPr>
          <w:i/>
        </w:rPr>
        <w:t xml:space="preserve">Good </w:t>
      </w:r>
      <w:proofErr w:type="gramStart"/>
      <w:r w:rsidRPr="009C665E">
        <w:rPr>
          <w:i/>
        </w:rPr>
        <w:t>Judgment :</w:t>
      </w:r>
      <w:proofErr w:type="gramEnd"/>
      <w:r w:rsidRPr="009C665E">
        <w:rPr>
          <w:i/>
        </w:rPr>
        <w:t xml:space="preserve"> Making Judicial Decisions</w:t>
      </w:r>
      <w:r w:rsidRPr="009C665E">
        <w:t>, Toronto, University of Toronto Press, 2018.</w:t>
      </w:r>
    </w:p>
    <w:p w14:paraId="685DA450" w14:textId="794C0031" w:rsidR="00CD5841" w:rsidRPr="009C665E" w:rsidRDefault="00CD5841" w:rsidP="00D16764">
      <w:pPr>
        <w:pStyle w:val="SCCNormalDoubleSpacing"/>
        <w:spacing w:after="240" w:line="240" w:lineRule="auto"/>
        <w:ind w:left="540" w:hanging="540"/>
        <w:rPr>
          <w:color w:val="000000"/>
        </w:rPr>
      </w:pPr>
      <w:r w:rsidRPr="009C665E">
        <w:t xml:space="preserve">Sharpe, Robert J. </w:t>
      </w:r>
      <w:r w:rsidRPr="009C665E">
        <w:rPr>
          <w:i/>
        </w:rPr>
        <w:t xml:space="preserve">The Lazier </w:t>
      </w:r>
      <w:proofErr w:type="gramStart"/>
      <w:r w:rsidRPr="009C665E">
        <w:rPr>
          <w:i/>
        </w:rPr>
        <w:t>Murder</w:t>
      </w:r>
      <w:r w:rsidR="00447B08" w:rsidRPr="009C665E">
        <w:rPr>
          <w:i/>
        </w:rPr>
        <w:t> </w:t>
      </w:r>
      <w:r w:rsidRPr="009C665E">
        <w:rPr>
          <w:i/>
        </w:rPr>
        <w:t>:</w:t>
      </w:r>
      <w:proofErr w:type="gramEnd"/>
      <w:r w:rsidRPr="009C665E">
        <w:rPr>
          <w:i/>
        </w:rPr>
        <w:t xml:space="preserve"> Prince Edward County, 1884</w:t>
      </w:r>
      <w:r w:rsidR="00447B08" w:rsidRPr="009C665E">
        <w:t>,</w:t>
      </w:r>
      <w:r w:rsidRPr="009C665E">
        <w:t xml:space="preserve"> Toronto</w:t>
      </w:r>
      <w:r w:rsidR="00447B08" w:rsidRPr="009C665E">
        <w:t>,</w:t>
      </w:r>
      <w:r w:rsidRPr="009C665E">
        <w:t xml:space="preserve"> University of Toronto Press, 2011.</w:t>
      </w:r>
    </w:p>
    <w:p w14:paraId="54A1D564" w14:textId="07446120" w:rsidR="00485455" w:rsidRPr="009C665E" w:rsidRDefault="00485455" w:rsidP="00D16764">
      <w:pPr>
        <w:pStyle w:val="SCCNormalDoubleSpacing"/>
        <w:spacing w:after="240" w:line="240" w:lineRule="auto"/>
        <w:ind w:left="540" w:hanging="540"/>
        <w:rPr>
          <w:color w:val="000000"/>
        </w:rPr>
      </w:pPr>
      <w:r w:rsidRPr="009C665E">
        <w:t xml:space="preserve">Sherrin, Christopher. « Guilty Pleas from the Innocent » (2011), 30 </w:t>
      </w:r>
      <w:r w:rsidRPr="009C665E">
        <w:rPr>
          <w:rFonts w:cstheme="minorBidi"/>
          <w:i/>
        </w:rPr>
        <w:t>Windsor Rev. Legal Soc. Issues</w:t>
      </w:r>
      <w:r w:rsidRPr="009C665E">
        <w:t xml:space="preserve"> 1.</w:t>
      </w:r>
    </w:p>
    <w:p w14:paraId="18D592FD" w14:textId="77777777" w:rsidR="005B0225" w:rsidRPr="009C665E" w:rsidRDefault="005B0225" w:rsidP="00D16764">
      <w:pPr>
        <w:pStyle w:val="SCCNormalDoubleSpacing"/>
        <w:spacing w:after="240" w:line="240" w:lineRule="auto"/>
        <w:ind w:left="540" w:hanging="540"/>
        <w:rPr>
          <w:color w:val="000000"/>
        </w:rPr>
      </w:pPr>
      <w:r w:rsidRPr="009C665E">
        <w:t xml:space="preserve">Sopinka, John, Mark A. Gelowitz et W. David Rankin. </w:t>
      </w:r>
      <w:r w:rsidRPr="009C665E">
        <w:rPr>
          <w:i/>
        </w:rPr>
        <w:t>Sopinka, Gelowitz and Rankin on the Conduct of an Appeal</w:t>
      </w:r>
      <w:r w:rsidRPr="009C665E">
        <w:t>, 5</w:t>
      </w:r>
      <w:r w:rsidRPr="009C665E">
        <w:rPr>
          <w:vertAlign w:val="superscript"/>
        </w:rPr>
        <w:t>e</w:t>
      </w:r>
      <w:r w:rsidRPr="009C665E">
        <w:t xml:space="preserve"> éd., Toronto, LexisNexis, 2022.</w:t>
      </w:r>
    </w:p>
    <w:p w14:paraId="06CF5FA0" w14:textId="0DF500B6" w:rsidR="006427FF" w:rsidRPr="009C665E" w:rsidRDefault="006427FF" w:rsidP="00D16764">
      <w:pPr>
        <w:pStyle w:val="SCCNormalDoubleSpacing"/>
        <w:spacing w:after="240" w:line="240" w:lineRule="auto"/>
        <w:ind w:left="540" w:hanging="540"/>
        <w:rPr>
          <w:color w:val="000000"/>
        </w:rPr>
      </w:pPr>
      <w:r w:rsidRPr="009C665E">
        <w:t xml:space="preserve">Stuesser, Lee. </w:t>
      </w:r>
      <w:r w:rsidR="005235B9" w:rsidRPr="009C665E">
        <w:t>« </w:t>
      </w:r>
      <w:r w:rsidRPr="009C665E">
        <w:t xml:space="preserve">Experts on Eyewitness </w:t>
      </w:r>
      <w:proofErr w:type="gramStart"/>
      <w:r w:rsidRPr="009C665E">
        <w:t>Identification</w:t>
      </w:r>
      <w:r w:rsidR="005235B9" w:rsidRPr="009C665E">
        <w:t> </w:t>
      </w:r>
      <w:r w:rsidRPr="009C665E">
        <w:t>:</w:t>
      </w:r>
      <w:proofErr w:type="gramEnd"/>
      <w:r w:rsidRPr="009C665E">
        <w:t xml:space="preserve"> I Just Don’t See It</w:t>
      </w:r>
      <w:r w:rsidR="005235B9" w:rsidRPr="009C665E">
        <w:t> »</w:t>
      </w:r>
      <w:r w:rsidRPr="009C665E">
        <w:t xml:space="preserve"> (2006), 31 </w:t>
      </w:r>
      <w:r w:rsidRPr="009C665E">
        <w:rPr>
          <w:i/>
        </w:rPr>
        <w:t>Man. L.J</w:t>
      </w:r>
      <w:r w:rsidRPr="009C665E">
        <w:t>. 543.</w:t>
      </w:r>
    </w:p>
    <w:p w14:paraId="7139FE08" w14:textId="5989943D" w:rsidR="0086055A" w:rsidRPr="009C665E" w:rsidRDefault="0086055A" w:rsidP="00D16764">
      <w:pPr>
        <w:pStyle w:val="SCCNormalDoubleSpacing"/>
        <w:spacing w:after="240" w:line="240" w:lineRule="auto"/>
        <w:ind w:left="540" w:hanging="540"/>
        <w:rPr>
          <w:color w:val="000000"/>
        </w:rPr>
      </w:pPr>
      <w:r w:rsidRPr="009C665E">
        <w:rPr>
          <w:lang w:bidi="en-US"/>
        </w:rPr>
        <w:t xml:space="preserve">Sullivan, Ruth. </w:t>
      </w:r>
      <w:r w:rsidRPr="009C665E">
        <w:rPr>
          <w:i/>
          <w:lang w:bidi="en-US"/>
        </w:rPr>
        <w:t>The Construction of Statutes</w:t>
      </w:r>
      <w:r w:rsidRPr="009C665E">
        <w:rPr>
          <w:lang w:bidi="en-US"/>
        </w:rPr>
        <w:t>,</w:t>
      </w:r>
      <w:r w:rsidRPr="009C665E">
        <w:rPr>
          <w:i/>
          <w:lang w:bidi="en-US"/>
        </w:rPr>
        <w:t xml:space="preserve"> </w:t>
      </w:r>
      <w:r w:rsidRPr="009C665E">
        <w:rPr>
          <w:lang w:bidi="en-US"/>
        </w:rPr>
        <w:t>7</w:t>
      </w:r>
      <w:r w:rsidRPr="009C665E">
        <w:rPr>
          <w:vertAlign w:val="superscript"/>
          <w:lang w:bidi="en-US"/>
        </w:rPr>
        <w:t>e</w:t>
      </w:r>
      <w:r w:rsidRPr="009C665E">
        <w:rPr>
          <w:lang w:bidi="en-US"/>
        </w:rPr>
        <w:t xml:space="preserve"> éd., </w:t>
      </w:r>
      <w:r w:rsidRPr="009C665E">
        <w:t>Toronto, LexisNexis,</w:t>
      </w:r>
      <w:r w:rsidRPr="009C665E">
        <w:rPr>
          <w:lang w:bidi="en-US"/>
        </w:rPr>
        <w:t> 2022.</w:t>
      </w:r>
    </w:p>
    <w:p w14:paraId="1ED55E22" w14:textId="77777777" w:rsidR="00A112B1" w:rsidRPr="009C665E" w:rsidRDefault="00A112B1" w:rsidP="00D16764">
      <w:pPr>
        <w:pStyle w:val="SCCNormalDoubleSpacing"/>
        <w:spacing w:after="240" w:line="240" w:lineRule="auto"/>
        <w:ind w:left="540" w:hanging="540"/>
      </w:pPr>
      <w:r w:rsidRPr="009C665E">
        <w:t xml:space="preserve">Terre‐Neuve‐et‐Labrador. </w:t>
      </w:r>
      <w:r w:rsidRPr="009C665E">
        <w:rPr>
          <w:i/>
        </w:rPr>
        <w:t xml:space="preserve">The Lamer Commission of Inquiry into the Proceedings Pertaining </w:t>
      </w:r>
      <w:proofErr w:type="gramStart"/>
      <w:r w:rsidRPr="009C665E">
        <w:rPr>
          <w:i/>
        </w:rPr>
        <w:t>to :</w:t>
      </w:r>
      <w:proofErr w:type="gramEnd"/>
      <w:r w:rsidRPr="009C665E">
        <w:rPr>
          <w:i/>
        </w:rPr>
        <w:t xml:space="preserve"> Ronald Dalton, Gregory Parsons and Randy Druken : Report and Annexes</w:t>
      </w:r>
      <w:r w:rsidRPr="009C665E">
        <w:t>, par Antonio Lamer, St. John’s, 2006.</w:t>
      </w:r>
    </w:p>
    <w:p w14:paraId="74DA0ADB" w14:textId="77777777" w:rsidR="004D7D95" w:rsidRPr="009C665E" w:rsidRDefault="004B0861" w:rsidP="00D16764">
      <w:pPr>
        <w:pStyle w:val="SCCNormalDoubleSpacing"/>
        <w:spacing w:after="240" w:line="240" w:lineRule="auto"/>
        <w:ind w:left="540" w:hanging="540"/>
        <w:rPr>
          <w:lang w:val="fr-CA"/>
        </w:rPr>
      </w:pPr>
      <w:r w:rsidRPr="009C665E">
        <w:rPr>
          <w:color w:val="000000"/>
          <w:lang w:val="fr-CA"/>
        </w:rPr>
        <w:t xml:space="preserve">Vauclair, Martin, Tristan </w:t>
      </w:r>
      <w:r w:rsidR="009D0534" w:rsidRPr="009C665E">
        <w:rPr>
          <w:color w:val="000000"/>
          <w:lang w:val="fr-CA"/>
        </w:rPr>
        <w:t xml:space="preserve">Desjardins et Pauline Lachance. </w:t>
      </w:r>
      <w:r w:rsidRPr="009C665E">
        <w:rPr>
          <w:rStyle w:val="solexhl"/>
          <w:rFonts w:eastAsiaTheme="majorEastAsia"/>
          <w:i/>
          <w:iCs/>
          <w:color w:val="000000"/>
          <w:lang w:val="fr-CA"/>
        </w:rPr>
        <w:t>Traité général de preuve et de procédure pénales 2024</w:t>
      </w:r>
      <w:r w:rsidRPr="009C665E">
        <w:rPr>
          <w:color w:val="000000"/>
          <w:lang w:val="fr-CA"/>
        </w:rPr>
        <w:t>, 31</w:t>
      </w:r>
      <w:r w:rsidRPr="009C665E">
        <w:rPr>
          <w:color w:val="000000"/>
          <w:vertAlign w:val="superscript"/>
          <w:lang w:val="fr-CA"/>
        </w:rPr>
        <w:t>e</w:t>
      </w:r>
      <w:r w:rsidRPr="009C665E">
        <w:rPr>
          <w:color w:val="000000"/>
          <w:lang w:val="fr-CA"/>
        </w:rPr>
        <w:t> éd., Montréal, Yvon Blais, 2024.</w:t>
      </w:r>
    </w:p>
    <w:p w14:paraId="53A70F83" w14:textId="66ACEC3F" w:rsidR="00A12E31" w:rsidRPr="009C665E" w:rsidRDefault="00A12E31" w:rsidP="00D16764">
      <w:pPr>
        <w:pStyle w:val="SCCNormalDoubleSpacing"/>
        <w:spacing w:after="240" w:line="240" w:lineRule="auto"/>
        <w:ind w:left="540" w:hanging="540"/>
        <w:rPr>
          <w:color w:val="000000"/>
        </w:rPr>
      </w:pPr>
      <w:r w:rsidRPr="009C665E">
        <w:t xml:space="preserve">Vijaykumar, Malini. « A Crisis of </w:t>
      </w:r>
      <w:proofErr w:type="gramStart"/>
      <w:r w:rsidRPr="009C665E">
        <w:t>Conscience :</w:t>
      </w:r>
      <w:proofErr w:type="gramEnd"/>
      <w:r w:rsidRPr="009C665E">
        <w:t xml:space="preserve"> Miscarriages of Justice and Indigenous Defendants in Canada » (2018), 51 </w:t>
      </w:r>
      <w:r w:rsidRPr="009C665E">
        <w:rPr>
          <w:i/>
        </w:rPr>
        <w:t>U.B.C. L. Rev.</w:t>
      </w:r>
      <w:r w:rsidRPr="009C665E">
        <w:t xml:space="preserve"> 161.</w:t>
      </w:r>
    </w:p>
    <w:p w14:paraId="64BAF3EA" w14:textId="3FAA4557" w:rsidR="00621DCA" w:rsidRPr="009C665E" w:rsidRDefault="00621DCA" w:rsidP="00D16764">
      <w:pPr>
        <w:pStyle w:val="SCCNormalDoubleSpacing"/>
        <w:spacing w:after="240" w:line="240" w:lineRule="auto"/>
        <w:ind w:left="540" w:hanging="540"/>
        <w:rPr>
          <w:color w:val="000000"/>
        </w:rPr>
      </w:pPr>
      <w:r w:rsidRPr="009C665E">
        <w:t xml:space="preserve">Wildsmith, Bruce H. « Getting at </w:t>
      </w:r>
      <w:proofErr w:type="gramStart"/>
      <w:r w:rsidRPr="009C665E">
        <w:t>Racism :</w:t>
      </w:r>
      <w:proofErr w:type="gramEnd"/>
      <w:r w:rsidRPr="009C665E">
        <w:t xml:space="preserve"> The Marshall Inquiry » (1991), 55 </w:t>
      </w:r>
      <w:r w:rsidRPr="009C665E">
        <w:rPr>
          <w:i/>
        </w:rPr>
        <w:t>Sask. L. Rev.</w:t>
      </w:r>
      <w:r w:rsidRPr="009C665E">
        <w:t xml:space="preserve"> 97.</w:t>
      </w:r>
    </w:p>
    <w:p w14:paraId="2D9B0728" w14:textId="343BA2C7" w:rsidR="000F734F" w:rsidRPr="009C665E" w:rsidRDefault="000F734F" w:rsidP="00D16764">
      <w:pPr>
        <w:pStyle w:val="SCCNormalDoubleSpacing"/>
        <w:spacing w:after="720" w:line="240" w:lineRule="auto"/>
        <w:ind w:left="547" w:hanging="547"/>
        <w:rPr>
          <w:color w:val="000000"/>
        </w:rPr>
      </w:pPr>
      <w:r w:rsidRPr="009C665E">
        <w:t xml:space="preserve">Zellick, Graham. « Facing up to Miscarriages of Justice » (2006), 31 </w:t>
      </w:r>
      <w:r w:rsidRPr="009C665E">
        <w:rPr>
          <w:i/>
        </w:rPr>
        <w:t>Man. L.J.</w:t>
      </w:r>
      <w:r w:rsidRPr="009C665E">
        <w:t xml:space="preserve"> 555.</w:t>
      </w:r>
    </w:p>
    <w:p w14:paraId="72C57B7C" w14:textId="05B698C9" w:rsidR="004D7D95" w:rsidRPr="009C665E" w:rsidRDefault="004624F1" w:rsidP="002002B3">
      <w:pPr>
        <w:pStyle w:val="SCCNormalDoubleSpacing"/>
        <w:spacing w:after="480"/>
        <w:rPr>
          <w:lang w:val="fr-CA"/>
        </w:rPr>
      </w:pPr>
      <w:r w:rsidRPr="009C665E">
        <w:lastRenderedPageBreak/>
        <w:tab/>
      </w:r>
      <w:r w:rsidR="004D7D95" w:rsidRPr="009C665E">
        <w:rPr>
          <w:lang w:val="fr-CA"/>
        </w:rPr>
        <w:t xml:space="preserve">POURVOI contre un arrêt de la Cour d’appel de la </w:t>
      </w:r>
      <w:r w:rsidRPr="009C665E">
        <w:rPr>
          <w:lang w:val="fr-CA"/>
        </w:rPr>
        <w:t>Colombie</w:t>
      </w:r>
      <w:r w:rsidR="006639CE" w:rsidRPr="009C665E">
        <w:rPr>
          <w:lang w:val="fr-CA"/>
        </w:rPr>
        <w:noBreakHyphen/>
      </w:r>
      <w:r w:rsidRPr="009C665E">
        <w:rPr>
          <w:lang w:val="fr-CA"/>
        </w:rPr>
        <w:t xml:space="preserve">Britannique </w:t>
      </w:r>
      <w:r w:rsidR="0041519B" w:rsidRPr="009C665E">
        <w:rPr>
          <w:lang w:val="fr-CA"/>
        </w:rPr>
        <w:t xml:space="preserve">(les juges Fitch, Voith et Skolrood), </w:t>
      </w:r>
      <w:hyperlink r:id="rId10" w:history="1">
        <w:r w:rsidR="0041519B" w:rsidRPr="009C665E">
          <w:rPr>
            <w:rStyle w:val="Hyperlien"/>
            <w:lang w:val="fr-CA"/>
          </w:rPr>
          <w:t>2023 BCCA 152</w:t>
        </w:r>
      </w:hyperlink>
      <w:r w:rsidR="0041519B" w:rsidRPr="009C665E">
        <w:rPr>
          <w:lang w:val="fr-CA"/>
        </w:rPr>
        <w:t>, 424 C.C.C. (3d) 513, [2023] B.C.J. No. 634 (Lexis), 2023 CarswellBC 938 (WL), qui a annulé la déclaration de culpabilité pour négligence criminelle causant la mort prononcée contre l’accusé</w:t>
      </w:r>
      <w:r w:rsidR="00435418" w:rsidRPr="009C665E">
        <w:rPr>
          <w:lang w:val="fr-CA"/>
        </w:rPr>
        <w:t>e et a inscrit un arrêt des procédures</w:t>
      </w:r>
      <w:r w:rsidR="0041519B" w:rsidRPr="009C665E">
        <w:rPr>
          <w:lang w:val="fr-CA"/>
        </w:rPr>
        <w:t xml:space="preserve">. </w:t>
      </w:r>
      <w:r w:rsidR="007265C6" w:rsidRPr="009C665E">
        <w:rPr>
          <w:lang w:val="fr-CA"/>
        </w:rPr>
        <w:t>Pourvoi</w:t>
      </w:r>
      <w:r w:rsidR="0041519B" w:rsidRPr="009C665E">
        <w:rPr>
          <w:lang w:val="fr-CA"/>
        </w:rPr>
        <w:t xml:space="preserve"> </w:t>
      </w:r>
      <w:r w:rsidR="007265C6" w:rsidRPr="009C665E">
        <w:rPr>
          <w:lang w:val="fr-CA"/>
        </w:rPr>
        <w:t>accueilli</w:t>
      </w:r>
      <w:r w:rsidR="0041519B" w:rsidRPr="009C665E">
        <w:rPr>
          <w:lang w:val="fr-CA"/>
        </w:rPr>
        <w:t>.</w:t>
      </w:r>
    </w:p>
    <w:p w14:paraId="53679E8C" w14:textId="77777777" w:rsidR="003A63C0" w:rsidRPr="009C665E" w:rsidRDefault="00027DF6" w:rsidP="002002B3">
      <w:pPr>
        <w:pStyle w:val="SCCNormalDoubleSpacing"/>
        <w:spacing w:after="480"/>
        <w:rPr>
          <w:lang w:val="fr-CA"/>
        </w:rPr>
      </w:pPr>
      <w:r w:rsidRPr="009C665E">
        <w:rPr>
          <w:rStyle w:val="SCCCounselNameChar"/>
          <w:lang w:val="fr-CA"/>
        </w:rPr>
        <w:tab/>
      </w:r>
      <w:r w:rsidR="006E4615" w:rsidRPr="009C665E">
        <w:rPr>
          <w:rStyle w:val="SCCCounselNameChar"/>
          <w:lang w:val="fr-CA"/>
        </w:rPr>
        <w:t>Vanessa de Jong</w:t>
      </w:r>
      <w:r w:rsidR="006E4615" w:rsidRPr="009C665E">
        <w:rPr>
          <w:rStyle w:val="SCCCounselNameChar"/>
          <w:i w:val="0"/>
          <w:lang w:val="fr-CA"/>
        </w:rPr>
        <w:t>,</w:t>
      </w:r>
      <w:r w:rsidR="006E4615" w:rsidRPr="009C665E">
        <w:rPr>
          <w:rStyle w:val="SCCCounselNameChar"/>
          <w:lang w:val="fr-CA"/>
        </w:rPr>
        <w:t xml:space="preserve"> Kristy Neurauter</w:t>
      </w:r>
      <w:r w:rsidR="006E4615" w:rsidRPr="009C665E">
        <w:rPr>
          <w:rStyle w:val="SCCCounselSeparatorChar"/>
          <w:lang w:val="fr-CA"/>
        </w:rPr>
        <w:t xml:space="preserve"> et </w:t>
      </w:r>
      <w:r w:rsidR="006E4615" w:rsidRPr="009C665E">
        <w:rPr>
          <w:rStyle w:val="SCCCounselNameChar"/>
          <w:lang w:val="fr-CA"/>
        </w:rPr>
        <w:t>Hovan Patey</w:t>
      </w:r>
      <w:r w:rsidRPr="009C665E">
        <w:rPr>
          <w:rStyle w:val="SCCCounselPartyRoleChar"/>
          <w:lang w:val="fr-CA"/>
        </w:rPr>
        <w:t>, pour l</w:t>
      </w:r>
      <w:r w:rsidR="000C5AF4" w:rsidRPr="009C665E">
        <w:rPr>
          <w:rStyle w:val="SCCCounselPartyRoleChar"/>
          <w:lang w:val="fr-CA"/>
        </w:rPr>
        <w:t>’</w:t>
      </w:r>
      <w:r w:rsidR="006E4615" w:rsidRPr="009C665E">
        <w:rPr>
          <w:rStyle w:val="SCCCounselPartyRoleChar"/>
          <w:lang w:val="fr-CA"/>
        </w:rPr>
        <w:t>appelante</w:t>
      </w:r>
      <w:r w:rsidRPr="009C665E">
        <w:rPr>
          <w:rStyle w:val="SCCCounselPartyRoleChar"/>
          <w:lang w:val="fr-CA"/>
        </w:rPr>
        <w:t>.</w:t>
      </w:r>
    </w:p>
    <w:p w14:paraId="5C8E384E" w14:textId="77777777" w:rsidR="003A63C0" w:rsidRPr="009C665E" w:rsidRDefault="00027DF6" w:rsidP="002002B3">
      <w:pPr>
        <w:pStyle w:val="SCCNormalDoubleSpacing"/>
        <w:spacing w:after="480"/>
        <w:rPr>
          <w:lang w:val="fr-CA"/>
        </w:rPr>
      </w:pPr>
      <w:r w:rsidRPr="009C665E">
        <w:rPr>
          <w:rStyle w:val="SCCCounselNameChar"/>
          <w:lang w:val="fr-CA"/>
        </w:rPr>
        <w:tab/>
      </w:r>
      <w:r w:rsidR="006E4615" w:rsidRPr="009C665E">
        <w:rPr>
          <w:rStyle w:val="SCCCounselNameChar"/>
          <w:lang w:val="fr-CA"/>
        </w:rPr>
        <w:t>Marilyn E. Sandford</w:t>
      </w:r>
      <w:r w:rsidR="006E4615" w:rsidRPr="009C665E">
        <w:rPr>
          <w:rStyle w:val="SCCCounselNameChar"/>
          <w:i w:val="0"/>
          <w:lang w:val="fr-CA"/>
        </w:rPr>
        <w:t>,</w:t>
      </w:r>
      <w:r w:rsidR="006E4615" w:rsidRPr="009C665E">
        <w:rPr>
          <w:rStyle w:val="SCCCounselNameChar"/>
          <w:lang w:val="fr-CA"/>
        </w:rPr>
        <w:t xml:space="preserve"> c.r.</w:t>
      </w:r>
      <w:r w:rsidR="006E4615" w:rsidRPr="009C665E">
        <w:rPr>
          <w:rStyle w:val="SCCCounselNameChar"/>
          <w:i w:val="0"/>
          <w:lang w:val="fr-CA"/>
        </w:rPr>
        <w:t>,</w:t>
      </w:r>
      <w:r w:rsidR="006E4615" w:rsidRPr="009C665E">
        <w:rPr>
          <w:rStyle w:val="SCCCounselSeparatorChar"/>
          <w:lang w:val="fr-CA"/>
        </w:rPr>
        <w:t xml:space="preserve"> et </w:t>
      </w:r>
      <w:r w:rsidR="006E4615" w:rsidRPr="009C665E">
        <w:rPr>
          <w:rStyle w:val="SCCCounselNameChar"/>
          <w:lang w:val="fr-CA"/>
        </w:rPr>
        <w:t>Bryn Laxton-Coglon</w:t>
      </w:r>
      <w:r w:rsidRPr="009C665E">
        <w:rPr>
          <w:rStyle w:val="SCCCounselPartyRoleChar"/>
          <w:lang w:val="fr-CA"/>
        </w:rPr>
        <w:t>, pour l</w:t>
      </w:r>
      <w:r w:rsidR="000C5AF4" w:rsidRPr="009C665E">
        <w:rPr>
          <w:rStyle w:val="SCCCounselPartyRoleChar"/>
          <w:lang w:val="fr-CA"/>
        </w:rPr>
        <w:t>’</w:t>
      </w:r>
      <w:r w:rsidR="006E4615" w:rsidRPr="009C665E">
        <w:rPr>
          <w:rStyle w:val="SCCCounselPartyRoleChar"/>
          <w:lang w:val="fr-CA"/>
        </w:rPr>
        <w:t>intimé</w:t>
      </w:r>
      <w:r w:rsidRPr="009C665E">
        <w:rPr>
          <w:rStyle w:val="SCCCounselPartyRoleChar"/>
          <w:lang w:val="fr-CA"/>
        </w:rPr>
        <w:t>.</w:t>
      </w:r>
    </w:p>
    <w:p w14:paraId="0EC2D8C0" w14:textId="77777777" w:rsidR="003A63C0" w:rsidRPr="009C665E" w:rsidRDefault="00027DF6" w:rsidP="002002B3">
      <w:pPr>
        <w:pStyle w:val="SCCNormalDoubleSpacing"/>
        <w:spacing w:after="480"/>
        <w:rPr>
          <w:lang w:val="fr-CA"/>
        </w:rPr>
      </w:pPr>
      <w:r w:rsidRPr="009C665E">
        <w:rPr>
          <w:rStyle w:val="SCCCounselNameChar"/>
          <w:lang w:val="fr-CA"/>
        </w:rPr>
        <w:tab/>
        <w:t>Karen Papadopoulos</w:t>
      </w:r>
      <w:r w:rsidRPr="009C665E">
        <w:rPr>
          <w:rStyle w:val="SCCCounselPartyRoleChar"/>
          <w:lang w:val="fr-CA"/>
        </w:rPr>
        <w:t>, pour l</w:t>
      </w:r>
      <w:r w:rsidR="000C5AF4" w:rsidRPr="009C665E">
        <w:rPr>
          <w:rStyle w:val="SCCCounselPartyRoleChar"/>
          <w:lang w:val="fr-CA"/>
        </w:rPr>
        <w:t>’</w:t>
      </w:r>
      <w:r w:rsidR="00975024" w:rsidRPr="009C665E">
        <w:rPr>
          <w:rStyle w:val="SCCCounselPartyRoleChar"/>
          <w:lang w:val="fr-CA"/>
        </w:rPr>
        <w:t>intervenant</w:t>
      </w:r>
      <w:r w:rsidRPr="009C665E">
        <w:rPr>
          <w:rStyle w:val="SCCCounselPartyRoleChar"/>
          <w:lang w:val="fr-CA"/>
        </w:rPr>
        <w:t xml:space="preserve"> </w:t>
      </w:r>
      <w:r w:rsidR="00975024" w:rsidRPr="009C665E">
        <w:rPr>
          <w:rStyle w:val="SCCCounselPartyRoleChar"/>
          <w:lang w:val="fr-CA"/>
        </w:rPr>
        <w:t>le p</w:t>
      </w:r>
      <w:r w:rsidRPr="009C665E">
        <w:rPr>
          <w:rStyle w:val="SCCCounselPartyRoleChar"/>
          <w:lang w:val="fr-CA"/>
        </w:rPr>
        <w:t>rocureur général de l</w:t>
      </w:r>
      <w:r w:rsidR="000C5AF4" w:rsidRPr="009C665E">
        <w:rPr>
          <w:rStyle w:val="SCCCounselPartyRoleChar"/>
          <w:lang w:val="fr-CA"/>
        </w:rPr>
        <w:t>’</w:t>
      </w:r>
      <w:r w:rsidRPr="009C665E">
        <w:rPr>
          <w:rStyle w:val="SCCCounselPartyRoleChar"/>
          <w:lang w:val="fr-CA"/>
        </w:rPr>
        <w:t>Ontario.</w:t>
      </w:r>
    </w:p>
    <w:p w14:paraId="39E92BBC" w14:textId="77777777" w:rsidR="003A63C0" w:rsidRPr="009C665E" w:rsidRDefault="00027DF6" w:rsidP="002002B3">
      <w:pPr>
        <w:pStyle w:val="SCCNormalDoubleSpacing"/>
        <w:spacing w:after="480"/>
        <w:rPr>
          <w:lang w:val="fr-CA"/>
        </w:rPr>
      </w:pPr>
      <w:r w:rsidRPr="009C665E">
        <w:rPr>
          <w:rStyle w:val="SCCCounselNameChar"/>
          <w:lang w:val="fr-CA"/>
        </w:rPr>
        <w:tab/>
        <w:t>Matthew R. Gourlay</w:t>
      </w:r>
      <w:r w:rsidRPr="009C665E">
        <w:rPr>
          <w:rStyle w:val="SCCCounselSeparatorChar"/>
          <w:lang w:val="fr-CA"/>
        </w:rPr>
        <w:t xml:space="preserve"> et </w:t>
      </w:r>
      <w:r w:rsidRPr="009C665E">
        <w:rPr>
          <w:rStyle w:val="SCCCounselNameChar"/>
          <w:lang w:val="fr-CA"/>
        </w:rPr>
        <w:t>Érik Arsenault</w:t>
      </w:r>
      <w:r w:rsidRPr="009C665E">
        <w:rPr>
          <w:rStyle w:val="SCCCounselPartyRoleChar"/>
          <w:lang w:val="fr-CA"/>
        </w:rPr>
        <w:t>, pour l</w:t>
      </w:r>
      <w:r w:rsidR="000C5AF4" w:rsidRPr="009C665E">
        <w:rPr>
          <w:rStyle w:val="SCCCounselPartyRoleChar"/>
          <w:lang w:val="fr-CA"/>
        </w:rPr>
        <w:t>’</w:t>
      </w:r>
      <w:r w:rsidR="00D779E2" w:rsidRPr="009C665E">
        <w:rPr>
          <w:rStyle w:val="SCCCounselPartyRoleChar"/>
          <w:lang w:val="fr-CA"/>
        </w:rPr>
        <w:t>intervenante</w:t>
      </w:r>
      <w:r w:rsidRPr="009C665E">
        <w:rPr>
          <w:rStyle w:val="SCCCounselPartyRoleChar"/>
          <w:lang w:val="fr-CA"/>
        </w:rPr>
        <w:t xml:space="preserve"> </w:t>
      </w:r>
      <w:r w:rsidR="00D779E2" w:rsidRPr="009C665E">
        <w:rPr>
          <w:rStyle w:val="SCCCounselPartyRoleChar"/>
          <w:lang w:val="fr-CA"/>
        </w:rPr>
        <w:t>l’</w:t>
      </w:r>
      <w:r w:rsidRPr="009C665E">
        <w:rPr>
          <w:rStyle w:val="SCCCounselPartyRoleChar"/>
          <w:lang w:val="fr-CA"/>
        </w:rPr>
        <w:t>Association canadienne des libertés civiles.</w:t>
      </w:r>
    </w:p>
    <w:p w14:paraId="3FB7F805" w14:textId="77777777" w:rsidR="003A63C0" w:rsidRPr="009C665E" w:rsidRDefault="00027DF6" w:rsidP="002002B3">
      <w:pPr>
        <w:pStyle w:val="SCCNormalDoubleSpacing"/>
        <w:spacing w:after="480"/>
        <w:rPr>
          <w:lang w:val="fr-CA"/>
        </w:rPr>
      </w:pPr>
      <w:r w:rsidRPr="009C665E">
        <w:rPr>
          <w:rStyle w:val="SCCCounselNameChar"/>
          <w:lang w:val="fr-CA"/>
        </w:rPr>
        <w:tab/>
        <w:t>James Lockyer</w:t>
      </w:r>
      <w:r w:rsidRPr="009C665E">
        <w:rPr>
          <w:rStyle w:val="SCCCounselSeparatorChar"/>
          <w:lang w:val="fr-CA"/>
        </w:rPr>
        <w:t xml:space="preserve"> et </w:t>
      </w:r>
      <w:r w:rsidRPr="009C665E">
        <w:rPr>
          <w:rStyle w:val="SCCCounselNameChar"/>
          <w:lang w:val="fr-CA"/>
        </w:rPr>
        <w:t>Pamela Zbarsky</w:t>
      </w:r>
      <w:r w:rsidRPr="009C665E">
        <w:rPr>
          <w:rStyle w:val="SCCCounselPartyRoleChar"/>
          <w:lang w:val="fr-CA"/>
        </w:rPr>
        <w:t>, pour l</w:t>
      </w:r>
      <w:r w:rsidR="000C5AF4" w:rsidRPr="009C665E">
        <w:rPr>
          <w:rStyle w:val="SCCCounselPartyRoleChar"/>
          <w:lang w:val="fr-CA"/>
        </w:rPr>
        <w:t>’</w:t>
      </w:r>
      <w:r w:rsidR="00D779E2" w:rsidRPr="009C665E">
        <w:rPr>
          <w:rStyle w:val="SCCCounselPartyRoleChar"/>
          <w:lang w:val="fr-CA"/>
        </w:rPr>
        <w:t>intervenante</w:t>
      </w:r>
      <w:r w:rsidRPr="009C665E">
        <w:rPr>
          <w:rStyle w:val="SCCCounselPartyRoleChar"/>
          <w:lang w:val="fr-CA"/>
        </w:rPr>
        <w:t xml:space="preserve"> Innocence Canada.</w:t>
      </w:r>
    </w:p>
    <w:p w14:paraId="541CF9CC" w14:textId="77777777" w:rsidR="003A63C0" w:rsidRPr="009C665E" w:rsidRDefault="00027DF6" w:rsidP="002002B3">
      <w:pPr>
        <w:pStyle w:val="SCCNormalDoubleSpacing"/>
        <w:spacing w:after="480"/>
        <w:rPr>
          <w:rStyle w:val="SCCCounselPartyRoleChar"/>
          <w:lang w:val="fr-CA"/>
        </w:rPr>
      </w:pPr>
      <w:r w:rsidRPr="009C665E">
        <w:rPr>
          <w:rStyle w:val="SCCCounselNameChar"/>
          <w:lang w:val="fr-CA"/>
        </w:rPr>
        <w:tab/>
      </w:r>
      <w:r w:rsidR="00827F09" w:rsidRPr="009C665E">
        <w:rPr>
          <w:rStyle w:val="SCCCounselNameChar"/>
          <w:lang w:val="fr-CA"/>
        </w:rPr>
        <w:t>Daniel J. Song</w:t>
      </w:r>
      <w:r w:rsidR="00827F09" w:rsidRPr="009C665E">
        <w:rPr>
          <w:rStyle w:val="SCCCounselNameChar"/>
          <w:i w:val="0"/>
          <w:lang w:val="fr-CA"/>
        </w:rPr>
        <w:t>,</w:t>
      </w:r>
      <w:r w:rsidR="00827F09" w:rsidRPr="009C665E">
        <w:rPr>
          <w:rStyle w:val="SCCCounselNameChar"/>
          <w:lang w:val="fr-CA"/>
        </w:rPr>
        <w:t xml:space="preserve"> c.r.</w:t>
      </w:r>
      <w:r w:rsidR="00827F09" w:rsidRPr="009C665E">
        <w:rPr>
          <w:rStyle w:val="SCCCounselNameChar"/>
          <w:i w:val="0"/>
          <w:lang w:val="fr-CA"/>
        </w:rPr>
        <w:t>,</w:t>
      </w:r>
      <w:r w:rsidR="00827F09" w:rsidRPr="009C665E">
        <w:rPr>
          <w:rStyle w:val="SCCCounselSeparatorChar"/>
          <w:lang w:val="fr-CA"/>
        </w:rPr>
        <w:t xml:space="preserve"> </w:t>
      </w:r>
      <w:r w:rsidR="00827F09" w:rsidRPr="009C665E">
        <w:rPr>
          <w:rStyle w:val="SCCCounselNameChar"/>
          <w:lang w:val="fr-CA"/>
        </w:rPr>
        <w:t>Gregory P. Delbigio</w:t>
      </w:r>
      <w:r w:rsidR="00827F09" w:rsidRPr="009C665E">
        <w:rPr>
          <w:rStyle w:val="SCCCounselNameChar"/>
          <w:i w:val="0"/>
          <w:lang w:val="fr-CA"/>
        </w:rPr>
        <w:t>,</w:t>
      </w:r>
      <w:r w:rsidR="00827F09" w:rsidRPr="009C665E">
        <w:rPr>
          <w:rStyle w:val="SCCCounselNameChar"/>
          <w:lang w:val="fr-CA"/>
        </w:rPr>
        <w:t xml:space="preserve"> c.r.</w:t>
      </w:r>
      <w:r w:rsidR="00827F09" w:rsidRPr="009C665E">
        <w:rPr>
          <w:rStyle w:val="SCCCounselPartyRoleChar"/>
          <w:lang w:val="fr-CA"/>
        </w:rPr>
        <w:t xml:space="preserve">, </w:t>
      </w:r>
      <w:r w:rsidR="00531698" w:rsidRPr="009C665E">
        <w:rPr>
          <w:rStyle w:val="SCCCounselPartyRoleChar"/>
          <w:lang w:val="fr-CA"/>
        </w:rPr>
        <w:t>et</w:t>
      </w:r>
      <w:r w:rsidR="00827F09" w:rsidRPr="009C665E">
        <w:rPr>
          <w:rStyle w:val="SCCCounselPartyRoleChar"/>
          <w:lang w:val="fr-CA"/>
        </w:rPr>
        <w:t xml:space="preserve"> </w:t>
      </w:r>
      <w:r w:rsidR="00827F09" w:rsidRPr="009C665E">
        <w:rPr>
          <w:rStyle w:val="SCCCounselPartyRoleChar"/>
          <w:i/>
          <w:lang w:val="fr-CA"/>
        </w:rPr>
        <w:t>Tamara M. Levy</w:t>
      </w:r>
      <w:r w:rsidR="00827F09" w:rsidRPr="009C665E">
        <w:rPr>
          <w:rStyle w:val="SCCCounselNameChar"/>
          <w:i w:val="0"/>
          <w:lang w:val="fr-CA"/>
        </w:rPr>
        <w:t>,</w:t>
      </w:r>
      <w:r w:rsidR="00827F09" w:rsidRPr="009C665E">
        <w:rPr>
          <w:rStyle w:val="SCCCounselNameChar"/>
          <w:lang w:val="fr-CA"/>
        </w:rPr>
        <w:t xml:space="preserve"> c.r.</w:t>
      </w:r>
      <w:r w:rsidRPr="009C665E">
        <w:rPr>
          <w:rStyle w:val="SCCCounselPartyRoleChar"/>
          <w:lang w:val="fr-CA"/>
        </w:rPr>
        <w:t>, pour l</w:t>
      </w:r>
      <w:r w:rsidR="000C5AF4" w:rsidRPr="009C665E">
        <w:rPr>
          <w:rStyle w:val="SCCCounselPartyRoleChar"/>
          <w:lang w:val="fr-CA"/>
        </w:rPr>
        <w:t>’</w:t>
      </w:r>
      <w:r w:rsidR="00827F09" w:rsidRPr="009C665E">
        <w:rPr>
          <w:rStyle w:val="SCCCounselPartyRoleChar"/>
          <w:lang w:val="fr-CA"/>
        </w:rPr>
        <w:t>intervenante</w:t>
      </w:r>
      <w:r w:rsidRPr="009C665E">
        <w:rPr>
          <w:rStyle w:val="SCCCounselPartyRoleChar"/>
          <w:lang w:val="fr-CA"/>
        </w:rPr>
        <w:t xml:space="preserve"> Independent Criminal Defence Advocacy Society.</w:t>
      </w:r>
    </w:p>
    <w:p w14:paraId="7E6CB6DF" w14:textId="77777777" w:rsidR="009C665E" w:rsidRPr="009C665E" w:rsidRDefault="009C665E" w:rsidP="009C665E">
      <w:pPr>
        <w:tabs>
          <w:tab w:val="left" w:pos="1134"/>
        </w:tabs>
        <w:spacing w:after="480" w:line="480" w:lineRule="auto"/>
        <w:ind w:firstLine="12"/>
        <w:jc w:val="both"/>
        <w:rPr>
          <w:lang w:val="fr-CA"/>
        </w:rPr>
      </w:pPr>
      <w:r w:rsidRPr="00EB5626">
        <w:rPr>
          <w:lang w:val="fr-CA"/>
        </w:rPr>
        <w:tab/>
      </w:r>
      <w:r w:rsidRPr="009C665E">
        <w:rPr>
          <w:lang w:val="fr-CA"/>
        </w:rPr>
        <w:t>Version française du jugement du juge en chef Wagner et des juges Côté, Rowe, Kasirer et Jamal rendu par</w:t>
      </w:r>
    </w:p>
    <w:p w14:paraId="437603AA" w14:textId="77777777" w:rsidR="009C665E" w:rsidRPr="009C665E" w:rsidRDefault="009C665E" w:rsidP="004E2EA3">
      <w:pPr>
        <w:pStyle w:val="JudgeJuge"/>
        <w:tabs>
          <w:tab w:val="clear" w:pos="1166"/>
          <w:tab w:val="left" w:pos="1134"/>
        </w:tabs>
        <w:spacing w:before="240"/>
        <w:rPr>
          <w:lang w:val="fr-CA"/>
        </w:rPr>
      </w:pPr>
      <w:r w:rsidRPr="009C665E">
        <w:rPr>
          <w:lang w:val="fr-CA"/>
        </w:rPr>
        <w:tab/>
        <w:t>Le juge Kasirer —</w:t>
      </w:r>
    </w:p>
    <w:p w14:paraId="217757A4" w14:textId="77777777" w:rsidR="009C665E" w:rsidRPr="009C665E" w:rsidRDefault="009C665E" w:rsidP="009C665E">
      <w:pPr>
        <w:pStyle w:val="Title1LevelTitre1Niveau-AltL"/>
        <w:numPr>
          <w:ilvl w:val="0"/>
          <w:numId w:val="7"/>
        </w:numPr>
        <w:tabs>
          <w:tab w:val="clear" w:pos="3553"/>
          <w:tab w:val="num" w:pos="576"/>
        </w:tabs>
        <w:ind w:left="576"/>
        <w:rPr>
          <w:rFonts w:cs="Times New Roman"/>
          <w:lang w:val="fr-CA"/>
        </w:rPr>
      </w:pPr>
      <w:r w:rsidRPr="009C665E">
        <w:rPr>
          <w:rFonts w:cs="Times New Roman"/>
          <w:lang w:val="fr-CA"/>
        </w:rPr>
        <w:lastRenderedPageBreak/>
        <w:t>Aperçu</w:t>
      </w:r>
    </w:p>
    <w:p w14:paraId="7A6A01F8" w14:textId="77777777" w:rsidR="009C665E" w:rsidRPr="009C665E" w:rsidRDefault="009C665E" w:rsidP="009C665E">
      <w:pPr>
        <w:pStyle w:val="ParaNoNdepar-AltN"/>
        <w:spacing w:before="0"/>
        <w:rPr>
          <w:rFonts w:cs="Times New Roman"/>
          <w:lang w:val="fr-CA"/>
        </w:rPr>
      </w:pPr>
      <w:r w:rsidRPr="009C665E">
        <w:rPr>
          <w:rFonts w:cs="Times New Roman"/>
          <w:lang w:val="fr-CA"/>
        </w:rPr>
        <w:t>La genèse du présent pourvoi remonte à l’innommable tragédie de la mort d’un bébé de 19 mois qui s’est noyé dans son bain. Il y a eu par la suite une erreur judiciaire lorsque la Couronne a manqué à ses obligations de communication envers la personne qui été accusée d’avoir causé cette mort. L’accusée a inscrit ce qui a plus tard été considéré comme un plaidoyer de culpabilité invalide à l’égard de l’accusation d’avoir causé cette mort par négligence criminelle. À bon droit, la Cour d’appel a annulé la déclaration de culpabilité qui en a résulté, et il reste à décider quelle réparation peut et devrait être ordonnée pour corriger l’erreur judiciaire. Plus précisément, la question est de savoir si nous devrions prononcer un acquittement ou confirmer l’arrêt judiciaire des procédures ordonné par la Cour d’appel.</w:t>
      </w:r>
    </w:p>
    <w:p w14:paraId="4FDA8DAA" w14:textId="77777777" w:rsidR="009C665E" w:rsidRPr="009C665E" w:rsidRDefault="009C665E" w:rsidP="009C665E">
      <w:pPr>
        <w:pStyle w:val="ParaNoNdepar-AltN"/>
        <w:spacing w:before="0"/>
        <w:rPr>
          <w:rFonts w:cs="Times New Roman"/>
          <w:lang w:val="fr-CA"/>
        </w:rPr>
      </w:pPr>
      <w:r w:rsidRPr="009C665E">
        <w:rPr>
          <w:rFonts w:cs="Times New Roman"/>
          <w:lang w:val="fr-CA"/>
        </w:rPr>
        <w:t>Iyanna Teeple était sous la responsabilité de sa gardienne, l’appelante Tammy Marion Bouvette, quand elle est tombée inconsciente. Elle est décédée plus tard à l’hôpital. Madame Bouvette a été accusée du meurtre au deuxième degré de l’enfant. Environ un an et demi plus tard, sur les conseils d’un avocat, elle a plaidé coupable à l’accusation moindre de négligence criminelle ayant causé la mort d’Iyanna. Elle a été condamnée à 12 mois d’emprisonnement, suivis d’une période de probation assortie de conditions strictes.</w:t>
      </w:r>
    </w:p>
    <w:p w14:paraId="0E79954B" w14:textId="77777777" w:rsidR="009C665E" w:rsidRPr="009C665E" w:rsidRDefault="009C665E" w:rsidP="009C665E">
      <w:pPr>
        <w:pStyle w:val="ParaNoNdepar-AltN"/>
        <w:rPr>
          <w:rFonts w:cs="Times New Roman"/>
          <w:lang w:val="fr-CA"/>
        </w:rPr>
      </w:pPr>
      <w:r w:rsidRPr="009C665E">
        <w:rPr>
          <w:rFonts w:cs="Times New Roman"/>
          <w:lang w:val="fr-CA"/>
        </w:rPr>
        <w:t>À la suite d’un vaste examen, une procureure spéciale a révélé que la Couronne avait omis de communiquer des renseignements relatifs à la fiabilité du témoignage qu’avait donné un expert médical avant que M</w:t>
      </w:r>
      <w:r w:rsidRPr="009C665E">
        <w:rPr>
          <w:rFonts w:cs="Times New Roman"/>
          <w:vertAlign w:val="superscript"/>
          <w:lang w:val="fr-CA"/>
        </w:rPr>
        <w:t>me</w:t>
      </w:r>
      <w:r w:rsidRPr="009C665E">
        <w:rPr>
          <w:rFonts w:cs="Times New Roman"/>
          <w:lang w:val="fr-CA"/>
        </w:rPr>
        <w:t xml:space="preserve"> Bouvette ne plaide </w:t>
      </w:r>
      <w:r w:rsidRPr="009C665E">
        <w:rPr>
          <w:rFonts w:cs="Times New Roman"/>
          <w:lang w:val="fr-CA"/>
        </w:rPr>
        <w:lastRenderedPageBreak/>
        <w:t>coupable, et avait par le fait même violé le droit de cette dernière à une défense pleine et entière. La Cour d’appel a annulé sa déclaration de culpabilité en vertu du sous</w:t>
      </w:r>
      <w:r w:rsidRPr="009C665E">
        <w:rPr>
          <w:rFonts w:cs="Times New Roman"/>
          <w:lang w:val="fr-CA"/>
        </w:rPr>
        <w:noBreakHyphen/>
        <w:t>al. 686(1</w:t>
      </w:r>
      <w:proofErr w:type="gramStart"/>
      <w:r w:rsidRPr="009C665E">
        <w:rPr>
          <w:rFonts w:cs="Times New Roman"/>
          <w:lang w:val="fr-CA"/>
        </w:rPr>
        <w:t>)a)(</w:t>
      </w:r>
      <w:proofErr w:type="gramEnd"/>
      <w:r w:rsidRPr="009C665E">
        <w:rPr>
          <w:rFonts w:cs="Times New Roman"/>
          <w:lang w:val="fr-CA"/>
        </w:rPr>
        <w:t xml:space="preserve">iii) et du par. 686(2) du </w:t>
      </w:r>
      <w:r w:rsidRPr="009C665E">
        <w:rPr>
          <w:rFonts w:cs="Times New Roman"/>
          <w:i/>
          <w:lang w:val="fr-CA"/>
        </w:rPr>
        <w:t>Code criminel</w:t>
      </w:r>
      <w:r w:rsidRPr="009C665E">
        <w:rPr>
          <w:rFonts w:cs="Times New Roman"/>
          <w:lang w:val="fr-CA"/>
        </w:rPr>
        <w:t>, L.R.C. 1985, c. C</w:t>
      </w:r>
      <w:r w:rsidRPr="009C665E">
        <w:rPr>
          <w:rFonts w:cs="Times New Roman"/>
          <w:lang w:val="fr-CA"/>
        </w:rPr>
        <w:noBreakHyphen/>
        <w:t>46 (« </w:t>
      </w:r>
      <w:r w:rsidRPr="009C665E">
        <w:rPr>
          <w:rFonts w:cs="Times New Roman"/>
          <w:i/>
          <w:lang w:val="fr-CA"/>
        </w:rPr>
        <w:t>C. cr.</w:t>
      </w:r>
      <w:r w:rsidRPr="009C665E">
        <w:rPr>
          <w:rFonts w:cs="Times New Roman"/>
          <w:lang w:val="fr-CA"/>
        </w:rPr>
        <w:t xml:space="preserve"> »). La cour a conclu en termes très clairs que la déclaration de culpabilité résultait d’une erreur judiciaire : </w:t>
      </w:r>
      <w:r w:rsidRPr="009C665E">
        <w:rPr>
          <w:rFonts w:cs="Times New Roman"/>
          <w:smallCaps/>
          <w:lang w:val="fr-CA"/>
        </w:rPr>
        <w:t>[traduction]</w:t>
      </w:r>
      <w:r w:rsidRPr="009C665E">
        <w:rPr>
          <w:rFonts w:cs="Times New Roman"/>
          <w:lang w:val="fr-CA"/>
        </w:rPr>
        <w:t xml:space="preserve"> « Il n’est pas difficile de concevoir pourquoi, sans disposer de renseignements cruciaux susceptibles de l’aider, cette appelante marginalisée, dépassée par les événements et présentant une déficience intellectuelle, inscrirait un plaidoyer de culpabilité à l’égard d’une infraction moindre » (2023 BCCA 152, 424 C.C.C. (3d) 513, par. 110). La cour a néanmoins statué qu’il existait au dossier des éléments de preuve au vu desquels un jury raisonnable, ayant reçu des directives appropriées, pourrait déclarer M</w:t>
      </w:r>
      <w:r w:rsidRPr="009C665E">
        <w:rPr>
          <w:rFonts w:cs="Times New Roman"/>
          <w:vertAlign w:val="superscript"/>
          <w:lang w:val="fr-CA"/>
        </w:rPr>
        <w:t>me</w:t>
      </w:r>
      <w:r w:rsidRPr="009C665E">
        <w:rPr>
          <w:rFonts w:cs="Times New Roman"/>
          <w:lang w:val="fr-CA"/>
        </w:rPr>
        <w:t> Bouvette coupable. Dans les circonstances, elle a inscrit un arrêt judiciaire des procédures plutôt qu’un acquittement en vertu du par. 686(2).</w:t>
      </w:r>
    </w:p>
    <w:p w14:paraId="69610C40" w14:textId="77777777" w:rsidR="009C665E" w:rsidRPr="009C665E" w:rsidRDefault="009C665E" w:rsidP="009C665E">
      <w:pPr>
        <w:pStyle w:val="ParaNoNdepar-AltN"/>
        <w:rPr>
          <w:rFonts w:cs="Times New Roman"/>
          <w:lang w:val="fr-CA"/>
        </w:rPr>
      </w:pPr>
      <w:r w:rsidRPr="009C665E">
        <w:rPr>
          <w:rFonts w:cs="Times New Roman"/>
          <w:lang w:val="fr-CA"/>
        </w:rPr>
        <w:t>Bien qu’il ne faille pas perdre de vue la terrible réalité du décès d’Iyanna Teeple, le présent pourvoi porte sur la réparation que peut obtenir M</w:t>
      </w:r>
      <w:r w:rsidRPr="009C665E">
        <w:rPr>
          <w:rFonts w:cs="Times New Roman"/>
          <w:vertAlign w:val="superscript"/>
          <w:lang w:val="fr-CA"/>
        </w:rPr>
        <w:t>me</w:t>
      </w:r>
      <w:r w:rsidRPr="009C665E">
        <w:rPr>
          <w:rFonts w:cs="Times New Roman"/>
          <w:lang w:val="fr-CA"/>
        </w:rPr>
        <w:t> Bouvette compte tenu de l’erreur judiciaire dont elle a été victime lorsque la Couronne a omis de respecter ses obligations de communication. La cour d’appel qui fait droit à un appel d’une déclaration de culpabilité comme celle qui a été prononcée contre M</w:t>
      </w:r>
      <w:r w:rsidRPr="009C665E">
        <w:rPr>
          <w:rFonts w:cs="Times New Roman"/>
          <w:vertAlign w:val="superscript"/>
          <w:lang w:val="fr-CA"/>
        </w:rPr>
        <w:t>me</w:t>
      </w:r>
      <w:r w:rsidRPr="009C665E">
        <w:rPr>
          <w:rFonts w:cs="Times New Roman"/>
          <w:lang w:val="fr-CA"/>
        </w:rPr>
        <w:t xml:space="preserve"> Bouvette peut, après avoir annulé la déclaration de culpabilité, ordonner l’une des trois principales réparations prévues à l’art. 686 </w:t>
      </w:r>
      <w:r w:rsidRPr="009C665E">
        <w:rPr>
          <w:rFonts w:cs="Times New Roman"/>
          <w:i/>
          <w:lang w:val="fr-CA"/>
        </w:rPr>
        <w:t>C. cr. </w:t>
      </w:r>
      <w:r w:rsidRPr="009C665E">
        <w:rPr>
          <w:rFonts w:cs="Times New Roman"/>
          <w:lang w:val="fr-CA"/>
        </w:rPr>
        <w:t xml:space="preserve">: elle peut acquitter l’accusé; elle peut ordonner un nouveau procès; ou elle peut inscrire un arrêt judiciaire des procédures. La question de la détermination de la réparation appropriée en appel d’une déclaration de </w:t>
      </w:r>
      <w:r w:rsidRPr="009C665E">
        <w:rPr>
          <w:rFonts w:cs="Times New Roman"/>
          <w:lang w:val="fr-CA"/>
        </w:rPr>
        <w:lastRenderedPageBreak/>
        <w:t xml:space="preserve">culpabilité ayant été annulée est régulièrement soulevée dans la jurisprudence des juridictions d’appel, y compris la jurisprudence de notre Cour (voir, p. ex., </w:t>
      </w:r>
      <w:r w:rsidRPr="009C665E">
        <w:rPr>
          <w:rFonts w:cs="Times New Roman"/>
          <w:i/>
          <w:lang w:val="fr-CA"/>
        </w:rPr>
        <w:t>R. c. Kwon</w:t>
      </w:r>
      <w:r w:rsidRPr="009C665E">
        <w:rPr>
          <w:rFonts w:cs="Times New Roman"/>
          <w:lang w:val="fr-CA"/>
        </w:rPr>
        <w:t>, 2024 SKCA 50, 438 C.C.C. (3d) 196, par. 95 et 97, le juge Tholl, dissident, infirmé essentiellement pour les motifs exposés par le juge Tholl, 2025 CSC 11). L’un des traits distinctifs du présent pourvoi réside dans les importants points d’accord entre M</w:t>
      </w:r>
      <w:r w:rsidRPr="009C665E">
        <w:rPr>
          <w:rFonts w:cs="Times New Roman"/>
          <w:vertAlign w:val="superscript"/>
          <w:lang w:val="fr-CA"/>
        </w:rPr>
        <w:t>me</w:t>
      </w:r>
      <w:r w:rsidRPr="009C665E">
        <w:rPr>
          <w:rFonts w:cs="Times New Roman"/>
          <w:lang w:val="fr-CA"/>
        </w:rPr>
        <w:t> Bouvette et la Couronne devant notre Cour. Les deux parties s’entendent pour dire que la Couronne a manqué à ses obligations de communication. Il n’est pas contesté que le plaidoyer de culpabilité vicié de M</w:t>
      </w:r>
      <w:r w:rsidRPr="009C665E">
        <w:rPr>
          <w:rFonts w:cs="Times New Roman"/>
          <w:vertAlign w:val="superscript"/>
          <w:lang w:val="fr-CA"/>
        </w:rPr>
        <w:t>me</w:t>
      </w:r>
      <w:r w:rsidRPr="009C665E">
        <w:rPr>
          <w:rFonts w:cs="Times New Roman"/>
          <w:lang w:val="fr-CA"/>
        </w:rPr>
        <w:t> Bouvette a été annulé à juste titre. Les deux parties affirment que la Cour d’appel a eu raison d’annuler la déclaration de culpabilité et il n’y a pas de désaccord sur le fait que M</w:t>
      </w:r>
      <w:r w:rsidRPr="009C665E">
        <w:rPr>
          <w:rFonts w:cs="Times New Roman"/>
          <w:vertAlign w:val="superscript"/>
          <w:lang w:val="fr-CA"/>
        </w:rPr>
        <w:t>me</w:t>
      </w:r>
      <w:r w:rsidRPr="009C665E">
        <w:rPr>
          <w:rFonts w:cs="Times New Roman"/>
          <w:lang w:val="fr-CA"/>
        </w:rPr>
        <w:t> Bouvette a subi un préjudice important. Fait le plus important pour les besoins de la présente affaire, elles conviennent que la Cour d’appel a eu tort d’ordonner un arrêt des procédures dans les circonstances et que notre Cour devrait prononcer un acquittement afin de faire disparaître à la fois le stigmate d’une déclaration de culpabilité et la marque d’une allégation non résolue de ce crime grave. La Couronne se joint à M</w:t>
      </w:r>
      <w:r w:rsidRPr="009C665E">
        <w:rPr>
          <w:rFonts w:cs="Times New Roman"/>
          <w:vertAlign w:val="superscript"/>
          <w:lang w:val="fr-CA"/>
        </w:rPr>
        <w:t>me</w:t>
      </w:r>
      <w:r w:rsidRPr="009C665E">
        <w:rPr>
          <w:rFonts w:cs="Times New Roman"/>
          <w:lang w:val="fr-CA"/>
        </w:rPr>
        <w:t> Bouvette pour réclamer un acquittement même si, à son avis, il existe au dossier des éléments de preuve qui pourraient amener un jury raisonnable, ayant reçu des directives appropriées, à déclarer M</w:t>
      </w:r>
      <w:r w:rsidRPr="009C665E">
        <w:rPr>
          <w:rFonts w:cs="Times New Roman"/>
          <w:vertAlign w:val="superscript"/>
          <w:lang w:val="fr-CA"/>
        </w:rPr>
        <w:t>me</w:t>
      </w:r>
      <w:r w:rsidRPr="009C665E">
        <w:rPr>
          <w:rFonts w:cs="Times New Roman"/>
          <w:lang w:val="fr-CA"/>
        </w:rPr>
        <w:t> Bouvette coupable lors d’un nouveau procès.</w:t>
      </w:r>
    </w:p>
    <w:p w14:paraId="4B1FE152" w14:textId="77777777" w:rsidR="009C665E" w:rsidRPr="009C665E" w:rsidRDefault="009C665E" w:rsidP="009C665E">
      <w:pPr>
        <w:pStyle w:val="ParaNoNdepar-AltN"/>
        <w:rPr>
          <w:rFonts w:cs="Times New Roman"/>
          <w:lang w:val="fr-CA"/>
        </w:rPr>
      </w:pPr>
      <w:r w:rsidRPr="009C665E">
        <w:rPr>
          <w:rFonts w:cs="Times New Roman"/>
          <w:lang w:val="fr-CA"/>
        </w:rPr>
        <w:t>L’analyse de la réparation appropriée pose d’abord la question de savoir si M</w:t>
      </w:r>
      <w:r w:rsidRPr="009C665E">
        <w:rPr>
          <w:rFonts w:cs="Times New Roman"/>
          <w:vertAlign w:val="superscript"/>
          <w:lang w:val="fr-CA"/>
        </w:rPr>
        <w:t>me</w:t>
      </w:r>
      <w:r w:rsidRPr="009C665E">
        <w:rPr>
          <w:rFonts w:cs="Times New Roman"/>
          <w:lang w:val="fr-CA"/>
        </w:rPr>
        <w:t xml:space="preserve"> Bouvette devrait être acquittée. À cette étape de l’analyse, l’accent est mis non pas sur l’erreur judiciaire antérieure qui a donné lieu à sa déclaration de culpabilité; cette déclaration de culpabilité a déjà été annulée. La question est de savoir si, pour l’avenir, </w:t>
      </w:r>
      <w:r w:rsidRPr="009C665E">
        <w:rPr>
          <w:rFonts w:cs="Times New Roman"/>
          <w:lang w:val="fr-CA"/>
        </w:rPr>
        <w:lastRenderedPageBreak/>
        <w:t>un acquittement représente l’exercice approprié et juste du pouvoir que la loi confère à la cour d’appel. Il convient de souligner qu’il n’y a aucun risque que M</w:t>
      </w:r>
      <w:r w:rsidRPr="009C665E">
        <w:rPr>
          <w:rFonts w:cs="Times New Roman"/>
          <w:vertAlign w:val="superscript"/>
          <w:lang w:val="fr-CA"/>
        </w:rPr>
        <w:t>me</w:t>
      </w:r>
      <w:r w:rsidRPr="009C665E">
        <w:rPr>
          <w:rFonts w:cs="Times New Roman"/>
          <w:lang w:val="fr-CA"/>
        </w:rPr>
        <w:t xml:space="preserve"> Bouvette soit déclarée coupable de l’accusation liée à la mort d’Iyanna, parce que la Couronne s’est engagée en l’espèce à ne pas présenter de preuve contre elle. Le paragraphe 686(2) </w:t>
      </w:r>
      <w:r w:rsidRPr="009C665E">
        <w:rPr>
          <w:rFonts w:cs="Times New Roman"/>
          <w:i/>
          <w:lang w:val="fr-CA"/>
        </w:rPr>
        <w:t>C. cr.</w:t>
      </w:r>
      <w:r w:rsidRPr="009C665E">
        <w:rPr>
          <w:rFonts w:cs="Times New Roman"/>
          <w:lang w:val="fr-CA"/>
        </w:rPr>
        <w:t xml:space="preserve"> </w:t>
      </w:r>
      <w:proofErr w:type="gramStart"/>
      <w:r w:rsidRPr="009C665E">
        <w:rPr>
          <w:rFonts w:cs="Times New Roman"/>
          <w:lang w:val="fr-CA"/>
        </w:rPr>
        <w:t>prévoit</w:t>
      </w:r>
      <w:proofErr w:type="gramEnd"/>
      <w:r w:rsidRPr="009C665E">
        <w:rPr>
          <w:rFonts w:cs="Times New Roman"/>
          <w:lang w:val="fr-CA"/>
        </w:rPr>
        <w:t xml:space="preserve"> trois motifs possibles qui pourraient permettre à notre Cour de prononcer l’acquittement comme solution de rechange à l’arrêt judiciaire des procédures ordonné par la Cour d’appel.</w:t>
      </w:r>
    </w:p>
    <w:p w14:paraId="2113DA1D" w14:textId="77777777" w:rsidR="009C665E" w:rsidRPr="009C665E" w:rsidRDefault="009C665E" w:rsidP="009C665E">
      <w:pPr>
        <w:pStyle w:val="ParaNoNdepar-AltN"/>
        <w:spacing w:before="0"/>
        <w:rPr>
          <w:rFonts w:cs="Times New Roman"/>
          <w:lang w:val="fr-CA"/>
        </w:rPr>
      </w:pPr>
      <w:r w:rsidRPr="009C665E">
        <w:rPr>
          <w:rFonts w:cs="Times New Roman"/>
          <w:lang w:val="fr-CA"/>
        </w:rPr>
        <w:t>Le premier, préconisé par M</w:t>
      </w:r>
      <w:r w:rsidRPr="009C665E">
        <w:rPr>
          <w:rFonts w:cs="Times New Roman"/>
          <w:vertAlign w:val="superscript"/>
          <w:lang w:val="fr-CA"/>
        </w:rPr>
        <w:t>me</w:t>
      </w:r>
      <w:r w:rsidRPr="009C665E">
        <w:rPr>
          <w:rFonts w:cs="Times New Roman"/>
          <w:lang w:val="fr-CA"/>
        </w:rPr>
        <w:t> Bouvette, est qu’un acquittement doit être prononcé parce qu’il n’y a, selon elle, pas d’éléments de preuve au vu desquels un jury raisonnable pourrait la déclarer coupable de l’accusation. La Couronne conteste ce motif d’acquittement, préférant l’interprétation de la preuve retenue par la Cour d’appel : malgré le manquement en matière de communication, il existe néanmoins au dossier des éléments de preuve au vu desquels un jury raisonnable pourrait rendre un verdict de culpabilité.</w:t>
      </w:r>
    </w:p>
    <w:p w14:paraId="11A33D6A" w14:textId="77777777" w:rsidR="009C665E" w:rsidRPr="009C665E" w:rsidRDefault="009C665E" w:rsidP="009C665E">
      <w:pPr>
        <w:pStyle w:val="ParaNoNdepar-AltN"/>
        <w:spacing w:before="0"/>
        <w:rPr>
          <w:rFonts w:cs="Times New Roman"/>
          <w:lang w:val="fr-CA"/>
        </w:rPr>
      </w:pPr>
      <w:r w:rsidRPr="009C665E">
        <w:rPr>
          <w:rFonts w:cs="Times New Roman"/>
          <w:lang w:val="fr-CA"/>
        </w:rPr>
        <w:t>La deuxième avenue menant à un acquittement repose sur le fait que la Couronne a annoncé son refus de poursuivre M</w:t>
      </w:r>
      <w:r w:rsidRPr="009C665E">
        <w:rPr>
          <w:rFonts w:cs="Times New Roman"/>
          <w:vertAlign w:val="superscript"/>
          <w:lang w:val="fr-CA"/>
        </w:rPr>
        <w:t>me</w:t>
      </w:r>
      <w:r w:rsidRPr="009C665E">
        <w:rPr>
          <w:rFonts w:cs="Times New Roman"/>
          <w:lang w:val="fr-CA"/>
        </w:rPr>
        <w:t xml:space="preserve"> Bouvette lors d’un nouveau procès. Pour ce motif, notre Cour devrait immédiatement prononcer un acquittement en appel, même si la preuve est suffisante pour ordonner un nouveau procès. La Couronne a déclaré devant nous, comme elle l’avait fait devant la Cour d’appel, qu’un acquittement devrait être prononcé maintenant. Devant notre Cour, elle s’est engagée, si un nouveau procès était ordonné, à ne présenter aucune preuve et à inviter le tribunal de première </w:t>
      </w:r>
      <w:r w:rsidRPr="009C665E">
        <w:rPr>
          <w:rFonts w:cs="Times New Roman"/>
          <w:lang w:val="fr-CA"/>
        </w:rPr>
        <w:lastRenderedPageBreak/>
        <w:t>instance à rendre un verdict d’acquittement. Dans les circonstances, je suis d’avis qu’ordonner un nouveau procès constituerait un gaspillage de ressources judiciaires et ferait subir à M</w:t>
      </w:r>
      <w:r w:rsidRPr="009C665E">
        <w:rPr>
          <w:rFonts w:cs="Times New Roman"/>
          <w:vertAlign w:val="superscript"/>
          <w:lang w:val="fr-CA"/>
        </w:rPr>
        <w:t>me</w:t>
      </w:r>
      <w:r w:rsidRPr="009C665E">
        <w:rPr>
          <w:rFonts w:cs="Times New Roman"/>
          <w:lang w:val="fr-CA"/>
        </w:rPr>
        <w:t xml:space="preserve"> Bouvette et à la famille d’Iyanna des délais inutiles et de l’incertitude quant à la fin de cette épreuve. Dans cette optique, le prononcé d’un acquittement immédiat par notre Cour en vertu du par. 686(2) </w:t>
      </w:r>
      <w:r w:rsidRPr="009C665E">
        <w:rPr>
          <w:rFonts w:cs="Times New Roman"/>
          <w:i/>
          <w:lang w:val="fr-CA"/>
        </w:rPr>
        <w:t xml:space="preserve">C. cr. </w:t>
      </w:r>
      <w:proofErr w:type="gramStart"/>
      <w:r w:rsidRPr="009C665E">
        <w:rPr>
          <w:rFonts w:cs="Times New Roman"/>
          <w:lang w:val="fr-CA"/>
        </w:rPr>
        <w:t>est</w:t>
      </w:r>
      <w:proofErr w:type="gramEnd"/>
      <w:r w:rsidRPr="009C665E">
        <w:rPr>
          <w:rFonts w:cs="Times New Roman"/>
          <w:lang w:val="fr-CA"/>
        </w:rPr>
        <w:t xml:space="preserve"> la seule issue qui est juste et qui sert l’intérêt public. La cour d’appel n’est pas tenue par la loi de rendre un verdict d’acquittement, mais ordonner l’une ou l’autre des autres issues possibles — un nouveau procès ou un arrêt judiciaire des procédures — serait injuste pour M</w:t>
      </w:r>
      <w:r w:rsidRPr="009C665E">
        <w:rPr>
          <w:rFonts w:cs="Times New Roman"/>
          <w:vertAlign w:val="superscript"/>
          <w:lang w:val="fr-CA"/>
        </w:rPr>
        <w:t>me</w:t>
      </w:r>
      <w:r w:rsidRPr="009C665E">
        <w:rPr>
          <w:rFonts w:cs="Times New Roman"/>
          <w:lang w:val="fr-CA"/>
        </w:rPr>
        <w:t> Bouvette dans les circonstances de l’espèce.</w:t>
      </w:r>
    </w:p>
    <w:p w14:paraId="3E77CBCC" w14:textId="77777777" w:rsidR="009C665E" w:rsidRPr="009C665E" w:rsidRDefault="009C665E" w:rsidP="009C665E">
      <w:pPr>
        <w:pStyle w:val="ParaNoNdepar-AltN"/>
        <w:rPr>
          <w:rFonts w:cs="Times New Roman"/>
          <w:lang w:val="fr-CA"/>
        </w:rPr>
      </w:pPr>
      <w:r w:rsidRPr="009C665E">
        <w:rPr>
          <w:rFonts w:cs="Times New Roman"/>
          <w:lang w:val="fr-CA"/>
        </w:rPr>
        <w:t xml:space="preserve">Les deux parties affirment qu’il existe une troisième voie « discrétionnaire » menant à un acquittement pour cette erreur judiciaire, bien qu’elles reconnaissent que le droit relatif aux acquittements lorsqu’un jury raisonnable pourrait rendre un verdict de culpabilité lors d’un nouveau procès est incertain en vertu du par. 686(2) </w:t>
      </w:r>
      <w:r w:rsidRPr="009C665E">
        <w:rPr>
          <w:rFonts w:cs="Times New Roman"/>
          <w:i/>
          <w:lang w:val="fr-CA"/>
        </w:rPr>
        <w:t>C. cr.</w:t>
      </w:r>
      <w:r w:rsidRPr="009C665E">
        <w:rPr>
          <w:rFonts w:cs="Times New Roman"/>
          <w:lang w:val="fr-CA"/>
        </w:rPr>
        <w:t xml:space="preserve"> Citant, entre autres sources, l’arrêt rendu par notre Cour dans l’affaire </w:t>
      </w:r>
      <w:r w:rsidRPr="009C665E">
        <w:rPr>
          <w:rFonts w:cs="Times New Roman"/>
          <w:i/>
          <w:lang w:val="fr-CA"/>
        </w:rPr>
        <w:t>Dunlop c. La Reine</w:t>
      </w:r>
      <w:r w:rsidRPr="009C665E">
        <w:rPr>
          <w:rFonts w:cs="Times New Roman"/>
          <w:lang w:val="fr-CA"/>
        </w:rPr>
        <w:t>, [1979] 2 R.C.S. 881, la Couronne convient avec M</w:t>
      </w:r>
      <w:r w:rsidRPr="009C665E">
        <w:rPr>
          <w:rFonts w:cs="Times New Roman"/>
          <w:vertAlign w:val="superscript"/>
          <w:lang w:val="fr-CA"/>
        </w:rPr>
        <w:t>me</w:t>
      </w:r>
      <w:r w:rsidRPr="009C665E">
        <w:rPr>
          <w:rFonts w:cs="Times New Roman"/>
          <w:lang w:val="fr-CA"/>
        </w:rPr>
        <w:t xml:space="preserve"> Bouvette qu’une cour d’appel peut, dans l’intérêt de la justice, prononcer un acquittement dans les circonstances inhabituelles de l’espèce. La Couronne rejette l’arrêt de principe rendu par la Cour d’appel de l’Ontario en la matière, </w:t>
      </w:r>
      <w:r w:rsidRPr="009C665E">
        <w:rPr>
          <w:rFonts w:cs="Times New Roman"/>
          <w:i/>
          <w:lang w:val="fr-CA"/>
        </w:rPr>
        <w:t>Reference re : Truscott</w:t>
      </w:r>
      <w:r w:rsidRPr="009C665E">
        <w:rPr>
          <w:rFonts w:cs="Times New Roman"/>
          <w:lang w:val="fr-CA"/>
        </w:rPr>
        <w:t xml:space="preserve">, 2007 ONCA 575, </w:t>
      </w:r>
      <w:r w:rsidRPr="009C665E">
        <w:rPr>
          <w:rFonts w:cs="Times New Roman"/>
          <w:szCs w:val="24"/>
          <w:lang w:val="fr-CA"/>
        </w:rPr>
        <w:t xml:space="preserve">225 C.C.C. (3d) 321, </w:t>
      </w:r>
      <w:r w:rsidRPr="009C665E">
        <w:rPr>
          <w:rFonts w:cs="Times New Roman"/>
          <w:lang w:val="fr-CA"/>
        </w:rPr>
        <w:t xml:space="preserve">au motif qu’il s’agit d’un précédent inapplicable. Les parties sont essentiellement d’accord </w:t>
      </w:r>
      <w:proofErr w:type="gramStart"/>
      <w:r w:rsidRPr="009C665E">
        <w:rPr>
          <w:rFonts w:cs="Times New Roman"/>
          <w:lang w:val="fr-CA"/>
        </w:rPr>
        <w:t>sur</w:t>
      </w:r>
      <w:proofErr w:type="gramEnd"/>
      <w:r w:rsidRPr="009C665E">
        <w:rPr>
          <w:rFonts w:cs="Times New Roman"/>
          <w:lang w:val="fr-CA"/>
        </w:rPr>
        <w:t xml:space="preserve"> de nouveaux facteurs qui devraient servir de guide, pour reprendre l’expression utilisée par la Couronne, pour [</w:t>
      </w:r>
      <w:r w:rsidRPr="009C665E">
        <w:rPr>
          <w:rFonts w:cs="Times New Roman"/>
          <w:smallCaps/>
          <w:lang w:val="fr-CA"/>
        </w:rPr>
        <w:t>traduction</w:t>
      </w:r>
      <w:r w:rsidRPr="009C665E">
        <w:rPr>
          <w:rFonts w:cs="Times New Roman"/>
          <w:lang w:val="fr-CA"/>
        </w:rPr>
        <w:t>] « un acquittement discrétionnaire » (m.i., par. 121; transcription, p. 55, 58</w:t>
      </w:r>
      <w:r w:rsidRPr="009C665E">
        <w:rPr>
          <w:rFonts w:cs="Times New Roman"/>
          <w:lang w:val="fr-CA"/>
        </w:rPr>
        <w:noBreakHyphen/>
        <w:t xml:space="preserve">59, 75 et 77; voir </w:t>
      </w:r>
      <w:r w:rsidRPr="009C665E">
        <w:rPr>
          <w:rFonts w:cs="Times New Roman"/>
          <w:lang w:val="fr-CA"/>
        </w:rPr>
        <w:lastRenderedPageBreak/>
        <w:t>aussi les p. 48 et 56</w:t>
      </w:r>
      <w:r w:rsidRPr="009C665E">
        <w:rPr>
          <w:rFonts w:cs="Times New Roman"/>
          <w:lang w:val="fr-CA"/>
        </w:rPr>
        <w:noBreakHyphen/>
        <w:t>57; m.i., par. 101</w:t>
      </w:r>
      <w:r w:rsidRPr="009C665E">
        <w:rPr>
          <w:rFonts w:cs="Times New Roman"/>
          <w:lang w:val="fr-CA"/>
        </w:rPr>
        <w:noBreakHyphen/>
        <w:t>102; recueil condensé de l’appelante, p. 1, par. 5).</w:t>
      </w:r>
    </w:p>
    <w:p w14:paraId="14D2251B" w14:textId="77777777" w:rsidR="009C665E" w:rsidRPr="009C665E" w:rsidRDefault="009C665E" w:rsidP="009C665E">
      <w:pPr>
        <w:pStyle w:val="ParaNoNdepar-AltN"/>
        <w:spacing w:before="0"/>
        <w:rPr>
          <w:rFonts w:cs="Times New Roman"/>
          <w:szCs w:val="24"/>
          <w:lang w:val="fr-CA"/>
        </w:rPr>
      </w:pPr>
      <w:r w:rsidRPr="009C665E">
        <w:rPr>
          <w:rFonts w:cs="Times New Roman"/>
          <w:szCs w:val="24"/>
          <w:lang w:val="fr-CA"/>
        </w:rPr>
        <w:t>Je reconnais qu’il s’agit là de trois voies qui, lorsqu’elles sont applicables, pourraient autoriser une cour d’appel à prononcer un acquittement en vertu du par. 686(2). La première — un acquittement reposant sur l’absence d’éléments de preuve pour fonder une déclaration de culpabilité raisonnable — ne peut être suivie eu égard aux faits de l’espèce. La deuxième — un acquittement justifié par l’engagement de la Couronne auprès de la cour d’appel à ne pas présenter de preuve lors d’un nouveau procès — peut être suivie et n’est pas controversée. La troisième voie — ce qu’on appelle l</w:t>
      </w:r>
      <w:proofErr w:type="gramStart"/>
      <w:r w:rsidRPr="009C665E">
        <w:rPr>
          <w:rFonts w:cs="Times New Roman"/>
          <w:szCs w:val="24"/>
          <w:lang w:val="fr-CA"/>
        </w:rPr>
        <w:t>’«</w:t>
      </w:r>
      <w:proofErr w:type="gramEnd"/>
      <w:r w:rsidRPr="009C665E">
        <w:rPr>
          <w:rFonts w:cs="Times New Roman"/>
          <w:szCs w:val="24"/>
          <w:lang w:val="fr-CA"/>
        </w:rPr>
        <w:t xml:space="preserve"> acquittement discrétionnaire » basé sur l’intérêt de la justice malgré une preuve justifiant la tenue d’un nouveau procès — est plus incertaine sur le plan jurisprudentiel. Je suis porté à croire qu’il ne convient pas dans le présent pourvoi d’examiner le cadre d’analyse en matière d’acquittements discrétionnaires ou d’écarter l’arrêt </w:t>
      </w:r>
      <w:r w:rsidRPr="009C665E">
        <w:rPr>
          <w:rFonts w:cs="Times New Roman"/>
          <w:i/>
          <w:szCs w:val="24"/>
          <w:lang w:val="fr-CA"/>
        </w:rPr>
        <w:t>Truscott</w:t>
      </w:r>
      <w:r w:rsidRPr="009C665E">
        <w:rPr>
          <w:rFonts w:cs="Times New Roman"/>
          <w:szCs w:val="24"/>
          <w:lang w:val="fr-CA"/>
        </w:rPr>
        <w:t xml:space="preserve"> comme les parties nous exhortent à le faire. L’affaire </w:t>
      </w:r>
      <w:r w:rsidRPr="009C665E">
        <w:rPr>
          <w:rFonts w:cs="Times New Roman"/>
          <w:i/>
          <w:szCs w:val="24"/>
          <w:lang w:val="fr-CA"/>
        </w:rPr>
        <w:t>Truscott</w:t>
      </w:r>
      <w:r w:rsidRPr="009C665E">
        <w:rPr>
          <w:rFonts w:cs="Times New Roman"/>
          <w:szCs w:val="24"/>
          <w:lang w:val="fr-CA"/>
        </w:rPr>
        <w:t xml:space="preserve"> concernait une situation, </w:t>
      </w:r>
      <w:r w:rsidRPr="009C665E">
        <w:rPr>
          <w:rFonts w:cs="Times New Roman"/>
          <w:smallCaps/>
          <w:szCs w:val="24"/>
          <w:lang w:val="fr-CA"/>
        </w:rPr>
        <w:t>[traduction]</w:t>
      </w:r>
      <w:r w:rsidRPr="009C665E">
        <w:rPr>
          <w:rFonts w:cs="Times New Roman"/>
          <w:szCs w:val="24"/>
          <w:lang w:val="fr-CA"/>
        </w:rPr>
        <w:t xml:space="preserve"> « hors norme » (par. 259), nettement différente de celle de </w:t>
      </w:r>
      <w:r w:rsidRPr="009C665E">
        <w:rPr>
          <w:rFonts w:cs="Times New Roman"/>
          <w:lang w:val="fr-CA"/>
        </w:rPr>
        <w:t>M</w:t>
      </w:r>
      <w:r w:rsidRPr="009C665E">
        <w:rPr>
          <w:rFonts w:cs="Times New Roman"/>
          <w:vertAlign w:val="superscript"/>
          <w:lang w:val="fr-CA"/>
        </w:rPr>
        <w:t>me</w:t>
      </w:r>
      <w:r w:rsidRPr="009C665E">
        <w:rPr>
          <w:rFonts w:cs="Times New Roman"/>
          <w:lang w:val="fr-CA"/>
        </w:rPr>
        <w:t> Bouvette</w:t>
      </w:r>
      <w:r w:rsidRPr="009C665E">
        <w:rPr>
          <w:rFonts w:cs="Times New Roman"/>
          <w:szCs w:val="24"/>
          <w:lang w:val="fr-CA"/>
        </w:rPr>
        <w:t>.</w:t>
      </w:r>
    </w:p>
    <w:p w14:paraId="5CE64809" w14:textId="77777777" w:rsidR="009C665E" w:rsidRPr="009C665E" w:rsidRDefault="009C665E" w:rsidP="009C665E">
      <w:pPr>
        <w:pStyle w:val="ParaNoNdepar-AltN"/>
        <w:spacing w:before="0"/>
        <w:rPr>
          <w:rFonts w:cs="Times New Roman"/>
          <w:szCs w:val="24"/>
          <w:lang w:val="fr-CA"/>
        </w:rPr>
      </w:pPr>
      <w:r w:rsidRPr="009C665E">
        <w:rPr>
          <w:rFonts w:cs="Times New Roman"/>
          <w:szCs w:val="24"/>
          <w:lang w:val="fr-CA"/>
        </w:rPr>
        <w:t xml:space="preserve">Dans l’affaire </w:t>
      </w:r>
      <w:r w:rsidRPr="009C665E">
        <w:rPr>
          <w:rFonts w:cs="Times New Roman"/>
          <w:i/>
          <w:szCs w:val="24"/>
          <w:lang w:val="fr-CA"/>
        </w:rPr>
        <w:t>Truscott</w:t>
      </w:r>
      <w:r w:rsidRPr="009C665E">
        <w:rPr>
          <w:rFonts w:cs="Times New Roman"/>
          <w:szCs w:val="24"/>
          <w:lang w:val="fr-CA"/>
        </w:rPr>
        <w:t xml:space="preserve">, la Couronne s’opposait à la demande d’acquittement de l’accusé, alors que, dans le cas de </w:t>
      </w:r>
      <w:r w:rsidRPr="009C665E">
        <w:rPr>
          <w:rFonts w:cs="Times New Roman"/>
          <w:lang w:val="fr-CA"/>
        </w:rPr>
        <w:t>M</w:t>
      </w:r>
      <w:r w:rsidRPr="009C665E">
        <w:rPr>
          <w:rFonts w:cs="Times New Roman"/>
          <w:vertAlign w:val="superscript"/>
          <w:lang w:val="fr-CA"/>
        </w:rPr>
        <w:t>me</w:t>
      </w:r>
      <w:r w:rsidRPr="009C665E">
        <w:rPr>
          <w:rFonts w:cs="Times New Roman"/>
          <w:lang w:val="fr-CA"/>
        </w:rPr>
        <w:t> Bouvette</w:t>
      </w:r>
      <w:r w:rsidRPr="009C665E">
        <w:rPr>
          <w:rFonts w:cs="Times New Roman"/>
          <w:szCs w:val="24"/>
          <w:lang w:val="fr-CA"/>
        </w:rPr>
        <w:t xml:space="preserve">, la Couronne a, tant devant notre Cour que devant la Cour d’appel, fait valoir qu’un acquittement devrait être prononcé. En l’espèce, la Couronne s’est engagée à ne présenter aucune preuve si un nouveau procès était ordonné, et inviterait le tribunal à prononcer un acquittement, </w:t>
      </w:r>
      <w:r w:rsidRPr="009C665E">
        <w:rPr>
          <w:rFonts w:cs="Times New Roman"/>
          <w:szCs w:val="24"/>
          <w:lang w:val="fr-CA"/>
        </w:rPr>
        <w:lastRenderedPageBreak/>
        <w:t xml:space="preserve">de sorte qu’il ne s’agit pas véritablement d’une affaire dans laquelle le juge des faits pourrait raisonnablement parvenir à une déclaration de culpabilité lors d’un nouveau procès, quel que soit l’état de la preuve disponible. De plus, l’absence de contexte contradictoire sur la question des paramètres appropriés pour les acquittements discrétionnaires limite la capacité de </w:t>
      </w:r>
      <w:r w:rsidRPr="009C665E">
        <w:rPr>
          <w:rFonts w:cs="Times New Roman"/>
          <w:lang w:val="fr-CA"/>
        </w:rPr>
        <w:t>notre Cour de discerner les forces et les faiblesses relatives en ce qui a trait à ce point de droit qui touche au cœur même de ce qu’est un acquittement en droit criminel. L’aspect le plus difficile de ces observations concerne le pouvoir d’une cour d’appel de prononcer un acquittement qui n’a rien à voir avec le fondement factuel servant à décider si l’appelant est coupable du crime dont il est inculpé lorsqu’il y a au dossier des éléments de preuve au vu desquels un jury raisonnable pourrait rendre un verdict de culpabilité. Les cadres d’analyse que préconisent les parties à l’égard de cet acquittement dit discrétionnaire, basés sur des facteurs larges et non pondérés, risquent d’être à la fois trop étroits et trop vastes dans leur application. Ils seraient trop étroits s’ils permettaient à une cour d’appel de refuser un acquittement lorsqu’un acquittement est le seul résultat juste. À l’inverse, ils seraient trop vastes s’ils excluaient la possibilité d’une déclaration de culpabilité appropriée lorsqu’une déclaration de culpabilité est un résultat juste. Avec égards pour toutes les autres opinions, je refuserais d’adopter un cadre d’analyse en appel axé sur une évaluation non déterminée du caractère équitable de l’affaire dans ces circonstances où, en raison de la décision de la Couronne de ne pas présenter de preuve contre elle lors d’un nouveau procès, l’acquittement de M</w:t>
      </w:r>
      <w:r w:rsidRPr="009C665E">
        <w:rPr>
          <w:rFonts w:cs="Times New Roman"/>
          <w:vertAlign w:val="superscript"/>
          <w:lang w:val="fr-CA"/>
        </w:rPr>
        <w:t>me</w:t>
      </w:r>
      <w:r w:rsidRPr="009C665E">
        <w:rPr>
          <w:rFonts w:cs="Times New Roman"/>
          <w:lang w:val="fr-CA"/>
        </w:rPr>
        <w:t> Bouvette ne fait aucun doute.</w:t>
      </w:r>
    </w:p>
    <w:p w14:paraId="09666933" w14:textId="77777777" w:rsidR="009C665E" w:rsidRPr="009C665E" w:rsidRDefault="009C665E" w:rsidP="009C665E">
      <w:pPr>
        <w:pStyle w:val="ParaNoNdepar-AltN"/>
        <w:spacing w:before="0"/>
        <w:rPr>
          <w:rFonts w:cs="Times New Roman"/>
          <w:lang w:val="fr-CA"/>
        </w:rPr>
      </w:pPr>
      <w:r w:rsidRPr="009C665E">
        <w:rPr>
          <w:rFonts w:cs="Times New Roman"/>
          <w:szCs w:val="24"/>
          <w:lang w:val="fr-CA"/>
        </w:rPr>
        <w:lastRenderedPageBreak/>
        <w:t xml:space="preserve">Je suis néanmoins d’accord avec les parties pour dire qu’il y a lieu de prononcer un acquittement immédiatement conformément au </w:t>
      </w:r>
      <w:r w:rsidRPr="009C665E">
        <w:rPr>
          <w:rFonts w:cs="Times New Roman"/>
          <w:lang w:val="fr-CA"/>
        </w:rPr>
        <w:t xml:space="preserve">par. 686(2) </w:t>
      </w:r>
      <w:r w:rsidRPr="009C665E">
        <w:rPr>
          <w:rFonts w:cs="Times New Roman"/>
          <w:i/>
          <w:lang w:val="fr-CA"/>
        </w:rPr>
        <w:t>C. cr.</w:t>
      </w:r>
      <w:r w:rsidRPr="009C665E">
        <w:rPr>
          <w:rFonts w:cs="Times New Roman"/>
          <w:lang w:val="fr-CA"/>
        </w:rPr>
        <w:t xml:space="preserve"> Pour reprendre les propos qu’a tenus l’avocate de la Couronne à l’audience, </w:t>
      </w:r>
      <w:r w:rsidRPr="009C665E">
        <w:rPr>
          <w:rFonts w:cs="Times New Roman"/>
          <w:smallCaps/>
          <w:lang w:val="fr-CA"/>
        </w:rPr>
        <w:t>[traduction]</w:t>
      </w:r>
      <w:r w:rsidRPr="009C665E">
        <w:rPr>
          <w:rFonts w:cs="Times New Roman"/>
          <w:lang w:val="fr-CA"/>
        </w:rPr>
        <w:t xml:space="preserve"> « un acquittement est un acquittement est un acquittement et la voie pour y parvenir importe peu » (transcription, p. 44). Compte tenu de l’engagement de la Couronne à ne pas présenter de preuve même si un nouveau procès était ordonné, l’acquittement de M</w:t>
      </w:r>
      <w:r w:rsidRPr="009C665E">
        <w:rPr>
          <w:rFonts w:cs="Times New Roman"/>
          <w:vertAlign w:val="superscript"/>
          <w:lang w:val="fr-CA"/>
        </w:rPr>
        <w:t>me</w:t>
      </w:r>
      <w:r w:rsidRPr="009C665E">
        <w:rPr>
          <w:rFonts w:cs="Times New Roman"/>
          <w:lang w:val="fr-CA"/>
        </w:rPr>
        <w:t> Bouvette ne fait aucun doute. En l’espèce, la Couronne s’est engagée auprès de notre Cour, malgré une preuve qui tend à indiquer qu’une déclaration de culpabilité est possible, à réclamer un acquittement et, si un nouveau procès est ordonné, à ne pas produire d’éléments de preuve, y compris ceux dont elle dispose déjà. Ordonner la tenue d’un procès dans le cas de M</w:t>
      </w:r>
      <w:r w:rsidRPr="009C665E">
        <w:rPr>
          <w:rFonts w:cs="Times New Roman"/>
          <w:vertAlign w:val="superscript"/>
          <w:lang w:val="fr-CA"/>
        </w:rPr>
        <w:t>me</w:t>
      </w:r>
      <w:r w:rsidRPr="009C665E">
        <w:rPr>
          <w:rFonts w:cs="Times New Roman"/>
          <w:lang w:val="fr-CA"/>
        </w:rPr>
        <w:t> Bouvette alors que la Couronne a affirmé qu’elle réclame un acquittement et qu’elle s’est engagée à ne pas présenter de preuve lors d’un nouveau procès serait une opération inutile et un gaspillage de ressources judiciaires limitées. Un cadre d’analyse raisonné pour l’exercice du pouvoir conféré par le par. 686(2) ne devrait pas permettre à une cour d’appel dans de telles circonstances de refuser un acquittement. Soyons clairs, c’est la cour d’appel, et non la Couronne, qui a le pouvoir de rendre un verdict d’acquittement en vertu du par. 686(2). Compte tenu de l’engagement de la Couronne auprès de notre Cour, un acquittement immédiat constitue la seule issue qui est juste dans les circonstances.</w:t>
      </w:r>
    </w:p>
    <w:p w14:paraId="38DE7A88" w14:textId="77777777" w:rsidR="009C665E" w:rsidRPr="009C665E" w:rsidRDefault="009C665E" w:rsidP="009C665E">
      <w:pPr>
        <w:pStyle w:val="ParaNoNdepar-AltN"/>
        <w:spacing w:before="0"/>
        <w:rPr>
          <w:rFonts w:cs="Times New Roman"/>
          <w:lang w:val="fr-CA"/>
        </w:rPr>
      </w:pPr>
      <w:r w:rsidRPr="009C665E">
        <w:rPr>
          <w:rFonts w:cs="Times New Roman"/>
          <w:lang w:val="fr-CA"/>
        </w:rPr>
        <w:t>Pour les motifs qui suivent, je suis d’avis d’accueillir le pourvoi et d’acquitter M</w:t>
      </w:r>
      <w:r w:rsidRPr="009C665E">
        <w:rPr>
          <w:rFonts w:cs="Times New Roman"/>
          <w:vertAlign w:val="superscript"/>
          <w:lang w:val="fr-CA"/>
        </w:rPr>
        <w:t>me</w:t>
      </w:r>
      <w:r w:rsidRPr="009C665E">
        <w:rPr>
          <w:rFonts w:cs="Times New Roman"/>
          <w:lang w:val="fr-CA"/>
        </w:rPr>
        <w:t xml:space="preserve"> Bouvette de l’accusation de négligence criminelle ayant causé la mort d’Iyanna Teeple sur le fondement du par. 686(2) </w:t>
      </w:r>
      <w:r w:rsidRPr="009C665E">
        <w:rPr>
          <w:rFonts w:cs="Times New Roman"/>
          <w:i/>
          <w:lang w:val="fr-CA"/>
        </w:rPr>
        <w:t>C. cr.</w:t>
      </w:r>
    </w:p>
    <w:p w14:paraId="4A0F854D" w14:textId="77777777" w:rsidR="009C665E" w:rsidRPr="009C665E" w:rsidRDefault="009C665E" w:rsidP="009C665E">
      <w:pPr>
        <w:pStyle w:val="Title1LevelTitre1Niveau-AltL"/>
        <w:numPr>
          <w:ilvl w:val="0"/>
          <w:numId w:val="7"/>
        </w:numPr>
        <w:tabs>
          <w:tab w:val="clear" w:pos="3553"/>
          <w:tab w:val="num" w:pos="576"/>
        </w:tabs>
        <w:spacing w:before="0"/>
        <w:ind w:left="576"/>
        <w:rPr>
          <w:rFonts w:cs="Times New Roman"/>
          <w:lang w:val="fr-CA"/>
        </w:rPr>
      </w:pPr>
      <w:r w:rsidRPr="009C665E">
        <w:rPr>
          <w:rFonts w:cs="Times New Roman"/>
          <w:lang w:val="fr-CA"/>
        </w:rPr>
        <w:lastRenderedPageBreak/>
        <w:t>Contexte</w:t>
      </w:r>
    </w:p>
    <w:p w14:paraId="5079C944"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De façon générale, le contexte nécessaire pour trancher le présent pourvoi peut être dégagé de l’exposé conjoint </w:t>
      </w:r>
      <w:proofErr w:type="gramStart"/>
      <w:r w:rsidRPr="009C665E">
        <w:rPr>
          <w:rFonts w:cs="Times New Roman"/>
          <w:lang w:val="fr-CA"/>
        </w:rPr>
        <w:t>des faits déposé</w:t>
      </w:r>
      <w:proofErr w:type="gramEnd"/>
      <w:r w:rsidRPr="009C665E">
        <w:rPr>
          <w:rFonts w:cs="Times New Roman"/>
          <w:lang w:val="fr-CA"/>
        </w:rPr>
        <w:t xml:space="preserve"> par les parties devant la Cour d’appel. Je tiens à souligner que l’affaire implique des allégations de non</w:t>
      </w:r>
      <w:r w:rsidRPr="009C665E">
        <w:rPr>
          <w:rFonts w:cs="Times New Roman"/>
          <w:lang w:val="fr-CA"/>
        </w:rPr>
        <w:noBreakHyphen/>
        <w:t>communication par la Couronne portant, en partie, sur la teneur contestée du témoignage donné par certains pathologistes judiciaires. Je répète ce que la Cour d’appel a rappelé à juste titre : aucune conclusion n’est tirée ici sur la fiabilité ou le caractère déterminant des éléments de preuve contestés. C’est particulièrement le cas en ce qui concerne la fiabilité du témoignage livré par les différents experts qui ont participé à la présente affaire. Je tiens également à répéter que rien dans les présents motifs ne devrait être interprété comme une remise en question de la bonne foi des avocats de la Couronne impliqués. Le récit suivant vise simplement à fournir un aperçu général suffisant pour permettre de comprendre les principales questions en litige dans le présent pourvoi qui concernent l’acquittement sollicité par M</w:t>
      </w:r>
      <w:r w:rsidRPr="009C665E">
        <w:rPr>
          <w:rFonts w:cs="Times New Roman"/>
          <w:vertAlign w:val="superscript"/>
          <w:lang w:val="fr-CA"/>
        </w:rPr>
        <w:t>me</w:t>
      </w:r>
      <w:r w:rsidRPr="009C665E">
        <w:rPr>
          <w:rFonts w:cs="Times New Roman"/>
          <w:lang w:val="fr-CA"/>
        </w:rPr>
        <w:t> Bouvette devant notre Cour.</w:t>
      </w:r>
    </w:p>
    <w:p w14:paraId="6B2B1DED" w14:textId="77777777" w:rsidR="009C665E" w:rsidRPr="009C665E" w:rsidRDefault="009C665E" w:rsidP="009C665E">
      <w:pPr>
        <w:pStyle w:val="Title2LevelTitre2Niveau"/>
        <w:numPr>
          <w:ilvl w:val="1"/>
          <w:numId w:val="7"/>
        </w:numPr>
        <w:spacing w:before="0"/>
        <w:rPr>
          <w:rFonts w:cs="Times New Roman"/>
          <w:lang w:val="fr-CA"/>
        </w:rPr>
      </w:pPr>
      <w:r w:rsidRPr="009C665E">
        <w:rPr>
          <w:rFonts w:cs="Times New Roman"/>
          <w:lang w:val="fr-CA"/>
        </w:rPr>
        <w:t>Décès d’Iyanna Teeple</w:t>
      </w:r>
    </w:p>
    <w:p w14:paraId="70280056" w14:textId="77777777" w:rsidR="009C665E" w:rsidRPr="009C665E" w:rsidRDefault="009C665E" w:rsidP="009C665E">
      <w:pPr>
        <w:pStyle w:val="ParaNoNdepar-AltN"/>
        <w:spacing w:before="0"/>
        <w:rPr>
          <w:rFonts w:cs="Times New Roman"/>
          <w:lang w:val="fr-CA"/>
        </w:rPr>
      </w:pPr>
      <w:r w:rsidRPr="009C665E">
        <w:rPr>
          <w:rFonts w:cs="Times New Roman"/>
          <w:lang w:val="fr-CA"/>
        </w:rPr>
        <w:t>Le 26 mai 2011, Iyanna Teeple, âgée de 19 mois, avait été laissée à la garde de M</w:t>
      </w:r>
      <w:r w:rsidRPr="009C665E">
        <w:rPr>
          <w:rFonts w:cs="Times New Roman"/>
          <w:vertAlign w:val="superscript"/>
          <w:lang w:val="fr-CA"/>
        </w:rPr>
        <w:t>me</w:t>
      </w:r>
      <w:r w:rsidRPr="009C665E">
        <w:rPr>
          <w:rFonts w:cs="Times New Roman"/>
          <w:lang w:val="fr-CA"/>
        </w:rPr>
        <w:t> Bouvette au domicile de cette dernière à Cranbrook, en Colombie</w:t>
      </w:r>
      <w:r w:rsidRPr="009C665E">
        <w:rPr>
          <w:rFonts w:cs="Times New Roman"/>
          <w:lang w:val="fr-CA"/>
        </w:rPr>
        <w:noBreakHyphen/>
        <w:t>Britannique, pour la journée. Madame Bouvette avait régulièrement gardé l’enfant par le passé. Deux des propres enfants de M</w:t>
      </w:r>
      <w:r w:rsidRPr="009C665E">
        <w:rPr>
          <w:rFonts w:cs="Times New Roman"/>
          <w:vertAlign w:val="superscript"/>
          <w:lang w:val="fr-CA"/>
        </w:rPr>
        <w:t>me</w:t>
      </w:r>
      <w:r w:rsidRPr="009C665E">
        <w:rPr>
          <w:rFonts w:cs="Times New Roman"/>
          <w:lang w:val="fr-CA"/>
        </w:rPr>
        <w:t xml:space="preserve"> Bouvette — âgés de 4 ans et de 18 mois — se </w:t>
      </w:r>
      <w:r w:rsidRPr="009C665E">
        <w:rPr>
          <w:rFonts w:cs="Times New Roman"/>
          <w:lang w:val="fr-CA"/>
        </w:rPr>
        <w:lastRenderedPageBreak/>
        <w:t>trouvaient également chez elle sous sa responsabilité. Elle était par ailleurs seule à la maison.</w:t>
      </w:r>
    </w:p>
    <w:p w14:paraId="49A1CB2B" w14:textId="77777777" w:rsidR="009C665E" w:rsidRPr="009C665E" w:rsidRDefault="009C665E" w:rsidP="009C665E">
      <w:pPr>
        <w:pStyle w:val="ParaNoNdepar-AltN"/>
        <w:spacing w:before="0"/>
        <w:rPr>
          <w:rFonts w:cs="Times New Roman"/>
          <w:lang w:val="fr-CA"/>
        </w:rPr>
      </w:pPr>
      <w:r w:rsidRPr="009C665E">
        <w:rPr>
          <w:rFonts w:cs="Times New Roman"/>
          <w:lang w:val="fr-CA"/>
        </w:rPr>
        <w:t>En fin de matinée, M</w:t>
      </w:r>
      <w:r w:rsidRPr="009C665E">
        <w:rPr>
          <w:rFonts w:cs="Times New Roman"/>
          <w:vertAlign w:val="superscript"/>
          <w:lang w:val="fr-CA"/>
        </w:rPr>
        <w:t>me</w:t>
      </w:r>
      <w:r w:rsidRPr="009C665E">
        <w:rPr>
          <w:rFonts w:cs="Times New Roman"/>
          <w:lang w:val="fr-CA"/>
        </w:rPr>
        <w:t> Bouvette a donné un bain à Iyanna. À un moment donné, elle a laissé l’enfant sans surveillance. La baignoire n’était pas munie d’une protection antidérapante.</w:t>
      </w:r>
    </w:p>
    <w:p w14:paraId="5EFC0810" w14:textId="77777777" w:rsidR="009C665E" w:rsidRPr="009C665E" w:rsidRDefault="009C665E" w:rsidP="009C665E">
      <w:pPr>
        <w:pStyle w:val="ParaNoNdepar-AltN"/>
        <w:spacing w:before="0"/>
        <w:rPr>
          <w:rFonts w:cs="Times New Roman"/>
          <w:lang w:val="fr-CA"/>
        </w:rPr>
      </w:pPr>
      <w:r w:rsidRPr="009C665E">
        <w:rPr>
          <w:rFonts w:cs="Times New Roman"/>
          <w:lang w:val="fr-CA"/>
        </w:rPr>
        <w:t>Vers 11 h 30, M</w:t>
      </w:r>
      <w:r w:rsidRPr="009C665E">
        <w:rPr>
          <w:rFonts w:cs="Times New Roman"/>
          <w:vertAlign w:val="superscript"/>
          <w:lang w:val="fr-CA"/>
        </w:rPr>
        <w:t>me</w:t>
      </w:r>
      <w:r w:rsidRPr="009C665E">
        <w:rPr>
          <w:rFonts w:cs="Times New Roman"/>
          <w:lang w:val="fr-CA"/>
        </w:rPr>
        <w:t> Bouvette a appelé le 9</w:t>
      </w:r>
      <w:r w:rsidRPr="009C665E">
        <w:rPr>
          <w:rFonts w:cs="Times New Roman"/>
          <w:lang w:val="fr-CA"/>
        </w:rPr>
        <w:noBreakHyphen/>
        <w:t>1</w:t>
      </w:r>
      <w:r w:rsidRPr="009C665E">
        <w:rPr>
          <w:rFonts w:cs="Times New Roman"/>
          <w:lang w:val="fr-CA"/>
        </w:rPr>
        <w:noBreakHyphen/>
        <w:t>1 à deux reprises pour demander de l’aide médicale pour Iyanna. Les premiers intervenants sont arrivés vers 11 h 36. Ils ont trouvé M</w:t>
      </w:r>
      <w:r w:rsidRPr="009C665E">
        <w:rPr>
          <w:rFonts w:cs="Times New Roman"/>
          <w:vertAlign w:val="superscript"/>
          <w:lang w:val="fr-CA"/>
        </w:rPr>
        <w:t>me</w:t>
      </w:r>
      <w:r w:rsidRPr="009C665E">
        <w:rPr>
          <w:rFonts w:cs="Times New Roman"/>
          <w:lang w:val="fr-CA"/>
        </w:rPr>
        <w:t> Bouvette en train de tenter de réanimer l’enfant, qui ne respirait pas et n’avait pas de pouls. Le personnel d’urgence a pris en charge les tentatives de réanimation et a transporté l’enfant à un hôpital local. L’enfant a ensuite été transportée par avion à un hôpital de Calgary. Elle a été déclarée en état de mort cérébrale le lendemain et elle est décédée peu après.</w:t>
      </w:r>
    </w:p>
    <w:p w14:paraId="05CE26AE" w14:textId="77777777" w:rsidR="009C665E" w:rsidRPr="009C665E" w:rsidRDefault="009C665E" w:rsidP="009C665E">
      <w:pPr>
        <w:pStyle w:val="Title2LevelTitre2Niveau"/>
        <w:numPr>
          <w:ilvl w:val="1"/>
          <w:numId w:val="7"/>
        </w:numPr>
        <w:spacing w:before="0"/>
        <w:rPr>
          <w:rFonts w:cs="Times New Roman"/>
          <w:lang w:val="fr-CA"/>
        </w:rPr>
      </w:pPr>
      <w:r w:rsidRPr="009C665E">
        <w:rPr>
          <w:rFonts w:cs="Times New Roman"/>
          <w:lang w:val="fr-CA"/>
        </w:rPr>
        <w:t>Enquête</w:t>
      </w:r>
    </w:p>
    <w:p w14:paraId="50AEA505" w14:textId="77777777" w:rsidR="009C665E" w:rsidRPr="009C665E" w:rsidRDefault="009C665E" w:rsidP="009C665E">
      <w:pPr>
        <w:pStyle w:val="ParaNoNdepar-AltN"/>
        <w:spacing w:before="0"/>
        <w:rPr>
          <w:rFonts w:cs="Times New Roman"/>
          <w:lang w:val="fr-CA"/>
        </w:rPr>
      </w:pPr>
      <w:r w:rsidRPr="009C665E">
        <w:rPr>
          <w:rFonts w:cs="Times New Roman"/>
          <w:lang w:val="fr-CA"/>
        </w:rPr>
        <w:t>Les premiers intervenants n’ont pas remarqué de sang dans la bouche de l’enfant ou ailleurs sur les lieux. Peu après le départ des premiers intervenants de la maison avec l’enfant pour se rendre à l’hôpital, des enquêteurs de la GRC sont arrivés sur les lieux. Aucune preuve médicolégale d’importance, notamment une preuve de sang, n’a été remarquée. Des taches humides ont été constatées sur le tapis du salon et de l’étage, tant à l’extérieur de la salle de bains que dans une chambre.</w:t>
      </w:r>
    </w:p>
    <w:p w14:paraId="56FD996A" w14:textId="77777777" w:rsidR="009C665E" w:rsidRPr="009C665E" w:rsidRDefault="009C665E" w:rsidP="009C665E">
      <w:pPr>
        <w:pStyle w:val="ParaNoNdepar-AltN"/>
        <w:spacing w:before="0"/>
        <w:rPr>
          <w:rFonts w:cs="Times New Roman"/>
          <w:lang w:val="fr-CA"/>
        </w:rPr>
      </w:pPr>
      <w:r w:rsidRPr="009C665E">
        <w:rPr>
          <w:rFonts w:cs="Times New Roman"/>
          <w:lang w:val="fr-CA"/>
        </w:rPr>
        <w:lastRenderedPageBreak/>
        <w:t>Madame Bouvette a fait quatre déclarations à la police. Le récit des faits dans ses déclarations à la police, le relevé des appels au service 9</w:t>
      </w:r>
      <w:r w:rsidRPr="009C665E">
        <w:rPr>
          <w:rFonts w:cs="Times New Roman"/>
          <w:lang w:val="fr-CA"/>
        </w:rPr>
        <w:noBreakHyphen/>
        <w:t>1</w:t>
      </w:r>
      <w:r w:rsidRPr="009C665E">
        <w:rPr>
          <w:rFonts w:cs="Times New Roman"/>
          <w:lang w:val="fr-CA"/>
        </w:rPr>
        <w:noBreakHyphen/>
        <w:t xml:space="preserve">1 et les déclarations qu’elle a faites aux premiers intervenants n’étaient pas identiques. Elle a d’abord déclaré à la police qu’elle était en tout </w:t>
      </w:r>
      <w:proofErr w:type="gramStart"/>
      <w:r w:rsidRPr="009C665E">
        <w:rPr>
          <w:rFonts w:cs="Times New Roman"/>
          <w:lang w:val="fr-CA"/>
        </w:rPr>
        <w:t>temps demeurée</w:t>
      </w:r>
      <w:proofErr w:type="gramEnd"/>
      <w:r w:rsidRPr="009C665E">
        <w:rPr>
          <w:rFonts w:cs="Times New Roman"/>
          <w:lang w:val="fr-CA"/>
        </w:rPr>
        <w:t xml:space="preserve"> avec l’enfant dans la salle de bains, mais qu’elle avait momentanément détourné la tête et que, lorsqu’elle s’était retournée, l’enfant était à plat ventre dans l’eau et inconsciente. Plus tard, elle a déclaré qu’elle avait quitté la salle de bains pour un très bref moment et que, lorsqu’elle était revenue, l’enfant était en détresse. Dans une deuxième déclaration à la police, elle a affirmé que l’un des autres enfants avait frappé Iyanna plus tôt dans la matinée. Dans une troisième déclaration faite en juin, M</w:t>
      </w:r>
      <w:r w:rsidRPr="009C665E">
        <w:rPr>
          <w:rFonts w:cs="Times New Roman"/>
          <w:vertAlign w:val="superscript"/>
          <w:lang w:val="fr-CA"/>
        </w:rPr>
        <w:t>me</w:t>
      </w:r>
      <w:r w:rsidRPr="009C665E">
        <w:rPr>
          <w:rFonts w:cs="Times New Roman"/>
          <w:lang w:val="fr-CA"/>
        </w:rPr>
        <w:t> Bouvette a expliqué qu’Iyanna était tombée au sol avec un siège d’appoint par</w:t>
      </w:r>
      <w:r w:rsidRPr="009C665E">
        <w:rPr>
          <w:rFonts w:cs="Times New Roman"/>
          <w:lang w:val="fr-CA"/>
        </w:rPr>
        <w:noBreakHyphen/>
        <w:t>dessus elle le jour du drame, juste avant le bain. Une quatrième déclaration à la police a été faite dans des circonstances telles que la Couronne a ultérieurement considéré qu’elle était involontaire et a décidé de ne pas la présenter en preuve.</w:t>
      </w:r>
    </w:p>
    <w:p w14:paraId="59F3673A" w14:textId="77777777" w:rsidR="009C665E" w:rsidRPr="009C665E" w:rsidRDefault="009C665E" w:rsidP="009C665E">
      <w:pPr>
        <w:pStyle w:val="ParaNoNdepar-AltN"/>
        <w:spacing w:before="0"/>
        <w:rPr>
          <w:rFonts w:cs="Times New Roman"/>
          <w:lang w:val="fr-CA"/>
        </w:rPr>
      </w:pPr>
      <w:r w:rsidRPr="009C665E">
        <w:rPr>
          <w:rFonts w:cs="Times New Roman"/>
          <w:lang w:val="fr-CA"/>
        </w:rPr>
        <w:t>Dans une déclaration faite le jour du drame, la mère d’Iyanna a informé la police que l’enfant avait été victime d’une infection virale au cerveau plusieurs mois auparavant.</w:t>
      </w:r>
    </w:p>
    <w:p w14:paraId="69CBEF3D"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Le docteur Evan Matshes, qui était alors médecin légiste en chef adjoint en Alberta, a pratiqué une autopsie sur le corps d’Iyanna le 30 mai 2011. L’autopsie a conclu que l’enfant avait des ecchymoses sur le visage et le cuir chevelu ainsi qu’une déchirure récente de la lèvre supérieure interne. Le docteur Matshes a conclu que la </w:t>
      </w:r>
      <w:r w:rsidRPr="009C665E">
        <w:rPr>
          <w:rFonts w:cs="Times New Roman"/>
          <w:lang w:val="fr-CA"/>
        </w:rPr>
        <w:lastRenderedPageBreak/>
        <w:t>cause du décès était la noyade et que le mode de décès était indéterminé. Il a fait d’autres commentaires à la police et à la Couronne, en affirmant notamment que la blessure à la tête de l’enfant était « assez récente » et que les ecchymoses n’avaient pas une explication anodine.</w:t>
      </w:r>
    </w:p>
    <w:p w14:paraId="4FA5E8D3" w14:textId="77777777" w:rsidR="009C665E" w:rsidRPr="009C665E" w:rsidRDefault="009C665E" w:rsidP="009C665E">
      <w:pPr>
        <w:pStyle w:val="Title2LevelTitre2Niveau"/>
        <w:numPr>
          <w:ilvl w:val="1"/>
          <w:numId w:val="7"/>
        </w:numPr>
        <w:spacing w:before="0"/>
        <w:rPr>
          <w:rFonts w:cs="Times New Roman"/>
          <w:lang w:val="fr-CA"/>
        </w:rPr>
      </w:pPr>
      <w:r w:rsidRPr="009C665E">
        <w:rPr>
          <w:rFonts w:cs="Times New Roman"/>
          <w:lang w:val="fr-CA"/>
        </w:rPr>
        <w:t>Procédures criminelles</w:t>
      </w:r>
    </w:p>
    <w:p w14:paraId="2AE1D58C" w14:textId="77777777" w:rsidR="009C665E" w:rsidRPr="009C665E" w:rsidRDefault="009C665E" w:rsidP="009C665E">
      <w:pPr>
        <w:pStyle w:val="ParaNoNdepar-AltN"/>
        <w:spacing w:before="0"/>
        <w:rPr>
          <w:rFonts w:cs="Times New Roman"/>
          <w:lang w:val="fr-CA"/>
        </w:rPr>
      </w:pPr>
      <w:r w:rsidRPr="009C665E">
        <w:rPr>
          <w:rFonts w:cs="Times New Roman"/>
          <w:lang w:val="fr-CA"/>
        </w:rPr>
        <w:t>Le 24 octobre 2011, M</w:t>
      </w:r>
      <w:r w:rsidRPr="009C665E">
        <w:rPr>
          <w:rFonts w:cs="Times New Roman"/>
          <w:vertAlign w:val="superscript"/>
          <w:lang w:val="fr-CA"/>
        </w:rPr>
        <w:t>me</w:t>
      </w:r>
      <w:r w:rsidRPr="009C665E">
        <w:rPr>
          <w:rFonts w:cs="Times New Roman"/>
          <w:lang w:val="fr-CA"/>
        </w:rPr>
        <w:t> Bouvette a été accusée du meurtre au second degré d’Iyanna Teeple.</w:t>
      </w:r>
    </w:p>
    <w:p w14:paraId="34CA2F1B" w14:textId="77777777" w:rsidR="009C665E" w:rsidRPr="009C665E" w:rsidRDefault="009C665E" w:rsidP="009C665E">
      <w:pPr>
        <w:pStyle w:val="ParaNoNdepar-AltN"/>
        <w:spacing w:before="0"/>
        <w:rPr>
          <w:rFonts w:cs="Times New Roman"/>
          <w:lang w:val="fr-CA"/>
        </w:rPr>
      </w:pPr>
      <w:r w:rsidRPr="009C665E">
        <w:rPr>
          <w:rFonts w:cs="Times New Roman"/>
          <w:lang w:val="fr-CA"/>
        </w:rPr>
        <w:t>À la fin de mai 2012 et avant l’enquête préliminaire de M</w:t>
      </w:r>
      <w:r w:rsidRPr="009C665E">
        <w:rPr>
          <w:rFonts w:cs="Times New Roman"/>
          <w:vertAlign w:val="superscript"/>
          <w:lang w:val="fr-CA"/>
        </w:rPr>
        <w:t>me</w:t>
      </w:r>
      <w:r w:rsidRPr="009C665E">
        <w:rPr>
          <w:rFonts w:cs="Times New Roman"/>
          <w:lang w:val="fr-CA"/>
        </w:rPr>
        <w:t> Bouvette, le ministère de la Justice de l’Alberta a entrepris un examen des dossiers d’autopsie du D</w:t>
      </w:r>
      <w:r w:rsidRPr="009C665E">
        <w:rPr>
          <w:rFonts w:cs="Times New Roman"/>
          <w:vertAlign w:val="superscript"/>
          <w:lang w:val="fr-CA"/>
        </w:rPr>
        <w:t>r</w:t>
      </w:r>
      <w:r w:rsidRPr="009C665E">
        <w:rPr>
          <w:rFonts w:cs="Times New Roman"/>
          <w:lang w:val="fr-CA"/>
        </w:rPr>
        <w:t> Matshes, y compris le dossier d’Iyanna. En un mot, la fiabilité du travail du D</w:t>
      </w:r>
      <w:r w:rsidRPr="009C665E">
        <w:rPr>
          <w:rFonts w:cs="Times New Roman"/>
          <w:vertAlign w:val="superscript"/>
          <w:lang w:val="fr-CA"/>
        </w:rPr>
        <w:t>r</w:t>
      </w:r>
      <w:r w:rsidRPr="009C665E">
        <w:rPr>
          <w:rFonts w:cs="Times New Roman"/>
          <w:lang w:val="fr-CA"/>
        </w:rPr>
        <w:t> Matshes était remise en question, en particulier par le médecin légiste en chef de l’Alberta de l’époque. En août 2012, d’autres pathologistes judiciaires ont présenté des évaluations divergentes, y compris un avis particulier contraire à l’opinion du médecin légiste en chef selon laquelle les points de vue que le D</w:t>
      </w:r>
      <w:r w:rsidRPr="009C665E">
        <w:rPr>
          <w:rFonts w:cs="Times New Roman"/>
          <w:vertAlign w:val="superscript"/>
          <w:lang w:val="fr-CA"/>
        </w:rPr>
        <w:t>r</w:t>
      </w:r>
      <w:r w:rsidRPr="009C665E">
        <w:rPr>
          <w:rFonts w:cs="Times New Roman"/>
          <w:lang w:val="fr-CA"/>
        </w:rPr>
        <w:t> Matshes avait communiqués aux autorités étaient déraisonnables.</w:t>
      </w:r>
    </w:p>
    <w:p w14:paraId="4B7DF114" w14:textId="77777777" w:rsidR="009C665E" w:rsidRPr="009C665E" w:rsidRDefault="009C665E" w:rsidP="009C665E">
      <w:pPr>
        <w:pStyle w:val="ParaNoNdepar-AltN"/>
        <w:spacing w:before="0"/>
        <w:rPr>
          <w:rFonts w:cs="Times New Roman"/>
          <w:lang w:val="fr-CA"/>
        </w:rPr>
      </w:pPr>
      <w:r w:rsidRPr="009C665E">
        <w:rPr>
          <w:rFonts w:cs="Times New Roman"/>
          <w:lang w:val="fr-CA"/>
        </w:rPr>
        <w:t>Le docteur Matshes a témoigné pour la Couronne lors de l’enquête préliminaire de M</w:t>
      </w:r>
      <w:r w:rsidRPr="009C665E">
        <w:rPr>
          <w:rFonts w:cs="Times New Roman"/>
          <w:vertAlign w:val="superscript"/>
          <w:lang w:val="fr-CA"/>
        </w:rPr>
        <w:t>me</w:t>
      </w:r>
      <w:r w:rsidRPr="009C665E">
        <w:rPr>
          <w:rFonts w:cs="Times New Roman"/>
          <w:lang w:val="fr-CA"/>
        </w:rPr>
        <w:t xml:space="preserve"> Bouvette le 28 août 2012. Il a affirmé qu’Iyanna était morte par noyade et que le mode de décès était indéterminé. Il a reconnu que la fiabilité de son travail était contestée en Alberta. Il a témoigné qu’Iyanna présentait des ecchymoses au front ainsi qu’une blessure sur la lèvre et qu’il était peu probable que les blessures </w:t>
      </w:r>
      <w:r w:rsidRPr="009C665E">
        <w:rPr>
          <w:rFonts w:cs="Times New Roman"/>
          <w:lang w:val="fr-CA"/>
        </w:rPr>
        <w:lastRenderedPageBreak/>
        <w:t>aient été causées par une chute de la chaise haute ou les tentatives de réanimation. Il a déclaré que la période dans laquelle une lésion cérébrale irréversible résulterait du manque d’oxygène serait de trois à cinq minutes.</w:t>
      </w:r>
    </w:p>
    <w:p w14:paraId="3996770A" w14:textId="77777777" w:rsidR="009C665E" w:rsidRPr="009C665E" w:rsidRDefault="009C665E" w:rsidP="009C665E">
      <w:pPr>
        <w:pStyle w:val="ParaNoNdepar-AltN"/>
        <w:spacing w:before="0"/>
        <w:rPr>
          <w:rFonts w:cs="Times New Roman"/>
          <w:lang w:val="fr-CA"/>
        </w:rPr>
      </w:pPr>
      <w:r w:rsidRPr="009C665E">
        <w:rPr>
          <w:rFonts w:cs="Times New Roman"/>
          <w:lang w:val="fr-CA"/>
        </w:rPr>
        <w:t>Par la suite, M</w:t>
      </w:r>
      <w:r w:rsidRPr="009C665E">
        <w:rPr>
          <w:rFonts w:cs="Times New Roman"/>
          <w:vertAlign w:val="superscript"/>
          <w:lang w:val="fr-CA"/>
        </w:rPr>
        <w:t>me</w:t>
      </w:r>
      <w:r w:rsidRPr="009C665E">
        <w:rPr>
          <w:rFonts w:cs="Times New Roman"/>
          <w:lang w:val="fr-CA"/>
        </w:rPr>
        <w:t> Bouvette a été renvoyée pour subir son procès à l’égard d’une accusation de meurtre au second degré.</w:t>
      </w:r>
    </w:p>
    <w:p w14:paraId="5C618E40" w14:textId="77777777" w:rsidR="009C665E" w:rsidRPr="009C665E" w:rsidRDefault="009C665E" w:rsidP="009C665E">
      <w:pPr>
        <w:pStyle w:val="ParaNoNdepar-AltN"/>
        <w:spacing w:before="0"/>
        <w:rPr>
          <w:rFonts w:cs="Times New Roman"/>
          <w:lang w:val="fr-CA"/>
        </w:rPr>
      </w:pPr>
      <w:r w:rsidRPr="009C665E">
        <w:rPr>
          <w:rFonts w:cs="Times New Roman"/>
          <w:lang w:val="fr-CA"/>
        </w:rPr>
        <w:t>Ayant appris qu’il était possible que M</w:t>
      </w:r>
      <w:r w:rsidRPr="009C665E">
        <w:rPr>
          <w:rFonts w:cs="Times New Roman"/>
          <w:vertAlign w:val="superscript"/>
          <w:lang w:val="fr-CA"/>
        </w:rPr>
        <w:t>me</w:t>
      </w:r>
      <w:r w:rsidRPr="009C665E">
        <w:rPr>
          <w:rFonts w:cs="Times New Roman"/>
          <w:lang w:val="fr-CA"/>
        </w:rPr>
        <w:t> Bouvette plaide coupable à l’égard d’une accusation liée à la mort d’Iyanna, le ministère de la Justice de l’Alberta a informé la GRC à Cranbrook, en Colombie</w:t>
      </w:r>
      <w:r w:rsidRPr="009C665E">
        <w:rPr>
          <w:rFonts w:cs="Times New Roman"/>
          <w:lang w:val="fr-CA"/>
        </w:rPr>
        <w:noBreakHyphen/>
        <w:t>Britannique, que le travail du D</w:t>
      </w:r>
      <w:r w:rsidRPr="009C665E">
        <w:rPr>
          <w:rFonts w:cs="Times New Roman"/>
          <w:vertAlign w:val="superscript"/>
          <w:lang w:val="fr-CA"/>
        </w:rPr>
        <w:t>r</w:t>
      </w:r>
      <w:r w:rsidRPr="009C665E">
        <w:rPr>
          <w:rFonts w:cs="Times New Roman"/>
          <w:lang w:val="fr-CA"/>
        </w:rPr>
        <w:t xml:space="preserve"> Matshes faisait l’objet d’un examen. Compte tenu de la possibilité que </w:t>
      </w:r>
      <w:r w:rsidRPr="009C665E">
        <w:rPr>
          <w:rFonts w:cs="Times New Roman"/>
          <w:smallCaps/>
          <w:lang w:val="fr-CA"/>
        </w:rPr>
        <w:t>[traduction]</w:t>
      </w:r>
      <w:r w:rsidRPr="009C665E">
        <w:rPr>
          <w:rFonts w:cs="Times New Roman"/>
          <w:lang w:val="fr-CA"/>
        </w:rPr>
        <w:t xml:space="preserve"> « l’affaire soit instruite et/ou [du] risque d’une déclaration de culpabilité injustifiée », le ministère de la Justice de l’Alberta a proposé de parler à la GRC (motifs de la C.A., par. 40).</w:t>
      </w:r>
    </w:p>
    <w:p w14:paraId="259B225D" w14:textId="77777777" w:rsidR="009C665E" w:rsidRPr="009C665E" w:rsidRDefault="009C665E" w:rsidP="009C665E">
      <w:pPr>
        <w:pStyle w:val="ParaNoNdepar-AltN"/>
        <w:spacing w:before="0"/>
        <w:rPr>
          <w:rFonts w:cs="Times New Roman"/>
          <w:lang w:val="fr-CA"/>
        </w:rPr>
      </w:pPr>
      <w:r w:rsidRPr="009C665E">
        <w:rPr>
          <w:rFonts w:cs="Times New Roman"/>
          <w:lang w:val="fr-CA"/>
        </w:rPr>
        <w:t>Un comité externe d’examen par les pairs s’est penché sur l’autopsie réalisée par le D</w:t>
      </w:r>
      <w:r w:rsidRPr="009C665E">
        <w:rPr>
          <w:rFonts w:cs="Times New Roman"/>
          <w:vertAlign w:val="superscript"/>
          <w:lang w:val="fr-CA"/>
        </w:rPr>
        <w:t>r</w:t>
      </w:r>
      <w:r w:rsidRPr="009C665E">
        <w:rPr>
          <w:rFonts w:cs="Times New Roman"/>
          <w:lang w:val="fr-CA"/>
        </w:rPr>
        <w:t> Matshes dans le dossier. Trois pathologistes judiciaires ont examiné le rapport et ont déclaré que les conclusions tirées par le D</w:t>
      </w:r>
      <w:r w:rsidRPr="009C665E">
        <w:rPr>
          <w:rFonts w:cs="Times New Roman"/>
          <w:vertAlign w:val="superscript"/>
          <w:lang w:val="fr-CA"/>
        </w:rPr>
        <w:t>r</w:t>
      </w:r>
      <w:r w:rsidRPr="009C665E">
        <w:rPr>
          <w:rFonts w:cs="Times New Roman"/>
          <w:lang w:val="fr-CA"/>
        </w:rPr>
        <w:t> Matshes sur l’autopsie d’Iyanna étaient déraisonnables. Ces résultats issus d’un examen par les pairs, qui critiquaient le travail du D</w:t>
      </w:r>
      <w:r w:rsidRPr="009C665E">
        <w:rPr>
          <w:rFonts w:cs="Times New Roman"/>
          <w:vertAlign w:val="superscript"/>
          <w:lang w:val="fr-CA"/>
        </w:rPr>
        <w:t>r</w:t>
      </w:r>
      <w:r w:rsidRPr="009C665E">
        <w:rPr>
          <w:rFonts w:cs="Times New Roman"/>
          <w:lang w:val="fr-CA"/>
        </w:rPr>
        <w:t> Matshes, faisaient partie d’une liasse de documents que le ministère de la Justice de l’Alberta a fait parvenir en décembre 2012 à l’avocate de la Couronne en Colombie</w:t>
      </w:r>
      <w:r w:rsidRPr="009C665E">
        <w:rPr>
          <w:rFonts w:cs="Times New Roman"/>
          <w:lang w:val="fr-CA"/>
        </w:rPr>
        <w:noBreakHyphen/>
        <w:t>Britannique, après le renvoi de M</w:t>
      </w:r>
      <w:r w:rsidRPr="009C665E">
        <w:rPr>
          <w:rFonts w:cs="Times New Roman"/>
          <w:vertAlign w:val="superscript"/>
          <w:lang w:val="fr-CA"/>
        </w:rPr>
        <w:t>me</w:t>
      </w:r>
      <w:r w:rsidRPr="009C665E">
        <w:rPr>
          <w:rFonts w:cs="Times New Roman"/>
          <w:lang w:val="fr-CA"/>
        </w:rPr>
        <w:t> Bouvette à procès.</w:t>
      </w:r>
    </w:p>
    <w:p w14:paraId="4B821FF4"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La Couronne n’a pas communiqué à la défense un lot de 140 pages de documents provenant du ministère de la Justice de l’Alberta concernant l’examen </w:t>
      </w:r>
      <w:r w:rsidRPr="009C665E">
        <w:rPr>
          <w:rFonts w:cs="Times New Roman"/>
          <w:lang w:val="fr-CA"/>
        </w:rPr>
        <w:lastRenderedPageBreak/>
        <w:t>externe par les pairs de divers dossiers impliquant le D</w:t>
      </w:r>
      <w:r w:rsidRPr="009C665E">
        <w:rPr>
          <w:rFonts w:cs="Times New Roman"/>
          <w:vertAlign w:val="superscript"/>
          <w:lang w:val="fr-CA"/>
        </w:rPr>
        <w:t>r</w:t>
      </w:r>
      <w:r w:rsidRPr="009C665E">
        <w:rPr>
          <w:rFonts w:cs="Times New Roman"/>
          <w:lang w:val="fr-CA"/>
        </w:rPr>
        <w:t> Matshes, y compris celui d’Iyanna.</w:t>
      </w:r>
    </w:p>
    <w:p w14:paraId="5A10A922" w14:textId="77777777" w:rsidR="009C665E" w:rsidRPr="009C665E" w:rsidRDefault="009C665E" w:rsidP="009C665E">
      <w:pPr>
        <w:pStyle w:val="ParaNoNdepar-AltN"/>
        <w:spacing w:before="0"/>
        <w:rPr>
          <w:rFonts w:cs="Times New Roman"/>
          <w:lang w:val="fr-CA"/>
        </w:rPr>
      </w:pPr>
      <w:r w:rsidRPr="009C665E">
        <w:rPr>
          <w:rFonts w:cs="Times New Roman"/>
          <w:lang w:val="fr-CA"/>
        </w:rPr>
        <w:t>Finalement, la Couronne a décidé de ne pas invoquer le témoignage du D</w:t>
      </w:r>
      <w:r w:rsidRPr="009C665E">
        <w:rPr>
          <w:rFonts w:cs="Times New Roman"/>
          <w:vertAlign w:val="superscript"/>
          <w:lang w:val="fr-CA"/>
        </w:rPr>
        <w:t>r</w:t>
      </w:r>
      <w:r w:rsidRPr="009C665E">
        <w:rPr>
          <w:rFonts w:cs="Times New Roman"/>
          <w:lang w:val="fr-CA"/>
        </w:rPr>
        <w:t> Matshes, bien que cette décision ait plus tard été réexaminée. Pour les besoins d’un plaidoyer de culpabilité à l’égard d’une accusation de négligence criminelle ayant causé la mort, ses opinions seraient utilisées, mais uniquement à l’égard de la cause du décès et des questions de nature temporelle en ce qui a trait à la noyade. En outre, la Couronne ne voulait pas invoquer l’une des déclarations faites par M</w:t>
      </w:r>
      <w:r w:rsidRPr="009C665E">
        <w:rPr>
          <w:rFonts w:cs="Times New Roman"/>
          <w:vertAlign w:val="superscript"/>
          <w:lang w:val="fr-CA"/>
        </w:rPr>
        <w:t>me</w:t>
      </w:r>
      <w:r w:rsidRPr="009C665E">
        <w:rPr>
          <w:rFonts w:cs="Times New Roman"/>
          <w:lang w:val="fr-CA"/>
        </w:rPr>
        <w:t> Bouvette à la police qui aurait pu être défavorable à cette dernière parce qu’elle semblait être involontaire et donc inadmissible.</w:t>
      </w:r>
    </w:p>
    <w:p w14:paraId="4C3560DB" w14:textId="77777777" w:rsidR="009C665E" w:rsidRPr="009C665E" w:rsidRDefault="009C665E" w:rsidP="009C665E">
      <w:pPr>
        <w:pStyle w:val="ParaNoNdepar-AltN"/>
        <w:spacing w:before="0"/>
        <w:rPr>
          <w:rFonts w:cs="Times New Roman"/>
          <w:lang w:val="fr-CA"/>
        </w:rPr>
      </w:pPr>
      <w:r w:rsidRPr="009C665E">
        <w:rPr>
          <w:rFonts w:cs="Times New Roman"/>
          <w:lang w:val="fr-CA"/>
        </w:rPr>
        <w:t>Le 13 mai 2013, M</w:t>
      </w:r>
      <w:r w:rsidRPr="009C665E">
        <w:rPr>
          <w:rFonts w:cs="Times New Roman"/>
          <w:vertAlign w:val="superscript"/>
          <w:lang w:val="fr-CA"/>
        </w:rPr>
        <w:t>me</w:t>
      </w:r>
      <w:r w:rsidRPr="009C665E">
        <w:rPr>
          <w:rFonts w:cs="Times New Roman"/>
          <w:lang w:val="fr-CA"/>
        </w:rPr>
        <w:t> Bouvette a, par l’entremise de son avocat, plaidé coupable à une nouvelle accusation de négligence criminelle ayant causé la mort. Il y aurait arrêt des procédures relativement à l’accusation de meurtre. Il n’est consigné nulle part que la Couronne a communiqué l’examen par les pairs du travail du D</w:t>
      </w:r>
      <w:r w:rsidRPr="009C665E">
        <w:rPr>
          <w:rFonts w:cs="Times New Roman"/>
          <w:vertAlign w:val="superscript"/>
          <w:lang w:val="fr-CA"/>
        </w:rPr>
        <w:t>r</w:t>
      </w:r>
      <w:r w:rsidRPr="009C665E">
        <w:rPr>
          <w:rFonts w:cs="Times New Roman"/>
          <w:lang w:val="fr-CA"/>
        </w:rPr>
        <w:t xml:space="preserve"> Matshes ou sa décision de ne pas invoquer la déclaration involontaire faite à la police. Comme la Cour d’appel l’a plus tard fait remarquer, il n’y a eu aucune enquête sur la compréhension du plaidoyer tel que l’exige le par. 606(1.1) </w:t>
      </w:r>
      <w:r w:rsidRPr="009C665E">
        <w:rPr>
          <w:rFonts w:cs="Times New Roman"/>
          <w:i/>
          <w:lang w:val="fr-CA"/>
        </w:rPr>
        <w:t>C. cr.</w:t>
      </w:r>
    </w:p>
    <w:p w14:paraId="36D193CA" w14:textId="77777777" w:rsidR="009C665E" w:rsidRPr="009C665E" w:rsidRDefault="009C665E" w:rsidP="009C665E">
      <w:pPr>
        <w:pStyle w:val="ParaNoNdepar-AltN"/>
        <w:spacing w:before="0"/>
        <w:rPr>
          <w:rFonts w:cs="Times New Roman"/>
          <w:lang w:val="fr-CA"/>
        </w:rPr>
      </w:pPr>
      <w:r w:rsidRPr="009C665E">
        <w:rPr>
          <w:rFonts w:cs="Times New Roman"/>
          <w:lang w:val="fr-CA"/>
        </w:rPr>
        <w:t>Madame Bouvette a été déclarée coupable et condamnée à 12 mois d’emprisonnement assortis d’une période de probation pour négligence criminelle ayant causé la mort.</w:t>
      </w:r>
    </w:p>
    <w:p w14:paraId="211F8B3F" w14:textId="77777777" w:rsidR="009C665E" w:rsidRPr="009C665E" w:rsidRDefault="009C665E" w:rsidP="009C665E">
      <w:pPr>
        <w:pStyle w:val="ParaNoNdepar-AltN"/>
        <w:rPr>
          <w:rFonts w:cs="Times New Roman"/>
          <w:lang w:val="fr-CA"/>
        </w:rPr>
      </w:pPr>
      <w:r w:rsidRPr="009C665E">
        <w:rPr>
          <w:rFonts w:cs="Times New Roman"/>
          <w:lang w:val="fr-CA"/>
        </w:rPr>
        <w:lastRenderedPageBreak/>
        <w:t>Lors de l’audience sur la détermination de la peine de M</w:t>
      </w:r>
      <w:r w:rsidRPr="009C665E">
        <w:rPr>
          <w:rFonts w:cs="Times New Roman"/>
          <w:vertAlign w:val="superscript"/>
          <w:lang w:val="fr-CA"/>
        </w:rPr>
        <w:t>me</w:t>
      </w:r>
      <w:r w:rsidRPr="009C665E">
        <w:rPr>
          <w:rFonts w:cs="Times New Roman"/>
          <w:lang w:val="fr-CA"/>
        </w:rPr>
        <w:t> Bouvette, la mère d’Iyanna, Renee Savarie, a présenté une déclaration de victime par l’intermédiaire de l’avocate de la Couronne. Cette dernière a déclaré que M</w:t>
      </w:r>
      <w:r w:rsidRPr="009C665E">
        <w:rPr>
          <w:rFonts w:cs="Times New Roman"/>
          <w:vertAlign w:val="superscript"/>
          <w:lang w:val="fr-CA"/>
        </w:rPr>
        <w:t>me</w:t>
      </w:r>
      <w:r w:rsidRPr="009C665E">
        <w:rPr>
          <w:rFonts w:cs="Times New Roman"/>
          <w:lang w:val="fr-CA"/>
        </w:rPr>
        <w:t xml:space="preserve"> Savarie était </w:t>
      </w:r>
      <w:r w:rsidRPr="009C665E">
        <w:rPr>
          <w:rFonts w:cs="Times New Roman"/>
          <w:smallCaps/>
          <w:lang w:val="fr-CA"/>
        </w:rPr>
        <w:t>[traduction]</w:t>
      </w:r>
      <w:r w:rsidRPr="009C665E">
        <w:rPr>
          <w:rFonts w:cs="Times New Roman"/>
          <w:lang w:val="fr-CA"/>
        </w:rPr>
        <w:t xml:space="preserve"> « anéantie » par la perte de son enfant unique, et a expliqué qu’elle avait le sentiment que ce chagrin suivrait M</w:t>
      </w:r>
      <w:r w:rsidRPr="009C665E">
        <w:rPr>
          <w:rFonts w:cs="Times New Roman"/>
          <w:vertAlign w:val="superscript"/>
          <w:lang w:val="fr-CA"/>
        </w:rPr>
        <w:t>me</w:t>
      </w:r>
      <w:r w:rsidRPr="009C665E">
        <w:rPr>
          <w:rFonts w:cs="Times New Roman"/>
          <w:lang w:val="fr-CA"/>
        </w:rPr>
        <w:t> Savarie et son compagnon pour le reste de leur vie (d.a., vol. VIII, p. 203</w:t>
      </w:r>
      <w:r w:rsidRPr="009C665E">
        <w:rPr>
          <w:rFonts w:cs="Times New Roman"/>
          <w:lang w:val="fr-CA"/>
        </w:rPr>
        <w:noBreakHyphen/>
        <w:t>204). La juge chargée de la détermination de la peine a noté que M</w:t>
      </w:r>
      <w:r w:rsidRPr="009C665E">
        <w:rPr>
          <w:rFonts w:cs="Times New Roman"/>
          <w:vertAlign w:val="superscript"/>
          <w:lang w:val="fr-CA"/>
        </w:rPr>
        <w:t>me</w:t>
      </w:r>
      <w:r w:rsidRPr="009C665E">
        <w:rPr>
          <w:rFonts w:cs="Times New Roman"/>
          <w:lang w:val="fr-CA"/>
        </w:rPr>
        <w:t> Savarie avait exprimé sa souffrance sans rancœur.</w:t>
      </w:r>
    </w:p>
    <w:p w14:paraId="522DA1B7"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Dans ses motifs, la juge chargée de la détermination de la peine a fait observer </w:t>
      </w:r>
      <w:r w:rsidRPr="009C665E">
        <w:rPr>
          <w:rFonts w:cs="Times New Roman"/>
          <w:smallCaps/>
          <w:lang w:val="fr-CA"/>
        </w:rPr>
        <w:t>[traduction]</w:t>
      </w:r>
      <w:r w:rsidRPr="009C665E">
        <w:rPr>
          <w:rFonts w:cs="Times New Roman"/>
          <w:lang w:val="fr-CA"/>
        </w:rPr>
        <w:t xml:space="preserve"> « [qu’i]l se peut qu’on ne sache jamais ce qui s’est effectivement produit dans les moments ou les heures ayant précédé la mort de la petite Iyanna » (par. 10, reproduit dans le d.a., vol. I, p. 75). Elle a estimé que la conduite de M</w:t>
      </w:r>
      <w:r w:rsidRPr="009C665E">
        <w:rPr>
          <w:rFonts w:cs="Times New Roman"/>
          <w:vertAlign w:val="superscript"/>
          <w:lang w:val="fr-CA"/>
        </w:rPr>
        <w:t>me</w:t>
      </w:r>
      <w:r w:rsidRPr="009C665E">
        <w:rPr>
          <w:rFonts w:cs="Times New Roman"/>
          <w:lang w:val="fr-CA"/>
        </w:rPr>
        <w:t xml:space="preserve"> Bouvette ayant précédé la mort de l’enfant n’était ni violente ni intentionnelle et se situait </w:t>
      </w:r>
      <w:r w:rsidRPr="009C665E">
        <w:rPr>
          <w:rFonts w:cs="Times New Roman"/>
          <w:smallCaps/>
          <w:lang w:val="fr-CA"/>
        </w:rPr>
        <w:t>[traduction]</w:t>
      </w:r>
      <w:r w:rsidRPr="009C665E">
        <w:rPr>
          <w:rFonts w:cs="Times New Roman"/>
          <w:lang w:val="fr-CA"/>
        </w:rPr>
        <w:t xml:space="preserve"> « au plus bas échelon de l’échelle de la culpabilité morale » (par. 86). De plus, les remords de M</w:t>
      </w:r>
      <w:r w:rsidRPr="009C665E">
        <w:rPr>
          <w:rFonts w:cs="Times New Roman"/>
          <w:vertAlign w:val="superscript"/>
          <w:lang w:val="fr-CA"/>
        </w:rPr>
        <w:t>me</w:t>
      </w:r>
      <w:r w:rsidRPr="009C665E">
        <w:rPr>
          <w:rFonts w:cs="Times New Roman"/>
          <w:lang w:val="fr-CA"/>
        </w:rPr>
        <w:t> Bouvette et ses propres difficultés, y compris ce que la juge a appelé ses troubles cognitifs, étaient des facteurs à prendre en compte dans la détermination de la peine.</w:t>
      </w:r>
    </w:p>
    <w:p w14:paraId="3BA1BB4E"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Ces procédures ont </w:t>
      </w:r>
      <w:proofErr w:type="gramStart"/>
      <w:r w:rsidRPr="009C665E">
        <w:rPr>
          <w:rFonts w:cs="Times New Roman"/>
          <w:lang w:val="fr-CA"/>
        </w:rPr>
        <w:t>eu</w:t>
      </w:r>
      <w:proofErr w:type="gramEnd"/>
      <w:r w:rsidRPr="009C665E">
        <w:rPr>
          <w:rFonts w:cs="Times New Roman"/>
          <w:lang w:val="fr-CA"/>
        </w:rPr>
        <w:t xml:space="preserve"> les répercussions les plus profondes sur M</w:t>
      </w:r>
      <w:r w:rsidRPr="009C665E">
        <w:rPr>
          <w:rFonts w:cs="Times New Roman"/>
          <w:vertAlign w:val="superscript"/>
          <w:lang w:val="fr-CA"/>
        </w:rPr>
        <w:t>me</w:t>
      </w:r>
      <w:r w:rsidRPr="009C665E">
        <w:rPr>
          <w:rFonts w:cs="Times New Roman"/>
          <w:lang w:val="fr-CA"/>
        </w:rPr>
        <w:t xml:space="preserve"> Bouvette. Dans leurs plaidoiries devant notre Cour, ses avocats ont expliqué que l’affaire avait </w:t>
      </w:r>
      <w:r w:rsidRPr="009C665E">
        <w:rPr>
          <w:rFonts w:cs="Times New Roman"/>
          <w:smallCaps/>
          <w:lang w:val="fr-CA"/>
        </w:rPr>
        <w:t>[traduction]</w:t>
      </w:r>
      <w:r w:rsidRPr="009C665E">
        <w:rPr>
          <w:rFonts w:cs="Times New Roman"/>
          <w:lang w:val="fr-CA"/>
        </w:rPr>
        <w:t xml:space="preserve"> « bouleversé » la vie de M</w:t>
      </w:r>
      <w:r w:rsidRPr="009C665E">
        <w:rPr>
          <w:rFonts w:cs="Times New Roman"/>
          <w:vertAlign w:val="superscript"/>
          <w:lang w:val="fr-CA"/>
        </w:rPr>
        <w:t>me</w:t>
      </w:r>
      <w:r w:rsidRPr="009C665E">
        <w:rPr>
          <w:rFonts w:cs="Times New Roman"/>
          <w:lang w:val="fr-CA"/>
        </w:rPr>
        <w:t xml:space="preserve"> Bouvette et que l’accusation et la déclaration de culpabilité avaient eu des conséquences </w:t>
      </w:r>
      <w:r w:rsidRPr="009C665E">
        <w:rPr>
          <w:rFonts w:cs="Times New Roman"/>
          <w:smallCaps/>
          <w:lang w:val="fr-CA"/>
        </w:rPr>
        <w:t>[traduction]</w:t>
      </w:r>
      <w:r w:rsidRPr="009C665E">
        <w:rPr>
          <w:rFonts w:cs="Times New Roman"/>
          <w:lang w:val="fr-CA"/>
        </w:rPr>
        <w:t xml:space="preserve"> « dévastatrices » (m.a., par. 2). Madame Bouvette a perdu la garde de ses quatre </w:t>
      </w:r>
      <w:r w:rsidRPr="009C665E">
        <w:rPr>
          <w:rFonts w:cs="Times New Roman"/>
          <w:lang w:val="fr-CA"/>
        </w:rPr>
        <w:lastRenderedPageBreak/>
        <w:t>enfants. Elle a été ostracisée par sa communauté, elle a sombré dans la toxicomanie et elle a dû faire face à l’itinérance et à la pauvreté. Elle a depuis longtemps purgé sa peine d’emprisonnement et elle continue de subir les conséquences néfastes de cette épreuve.</w:t>
      </w:r>
    </w:p>
    <w:p w14:paraId="469B604C" w14:textId="77777777" w:rsidR="009C665E" w:rsidRPr="009C665E" w:rsidRDefault="009C665E" w:rsidP="009C665E">
      <w:pPr>
        <w:pStyle w:val="Title2LevelTitre2Niveau"/>
        <w:numPr>
          <w:ilvl w:val="1"/>
          <w:numId w:val="7"/>
        </w:numPr>
        <w:spacing w:before="0"/>
        <w:rPr>
          <w:rFonts w:cs="Times New Roman"/>
          <w:lang w:val="fr-CA"/>
        </w:rPr>
      </w:pPr>
      <w:r w:rsidRPr="009C665E">
        <w:rPr>
          <w:rFonts w:cs="Times New Roman"/>
          <w:lang w:val="fr-CA"/>
        </w:rPr>
        <w:t>Examen indépendant</w:t>
      </w:r>
    </w:p>
    <w:p w14:paraId="51CA2FF4" w14:textId="77777777" w:rsidR="009C665E" w:rsidRPr="009C665E" w:rsidRDefault="009C665E" w:rsidP="009C665E">
      <w:pPr>
        <w:pStyle w:val="ParaNoNdepar-AltN"/>
        <w:spacing w:before="0"/>
        <w:rPr>
          <w:rFonts w:cs="Times New Roman"/>
          <w:lang w:val="fr-CA"/>
        </w:rPr>
      </w:pPr>
      <w:r w:rsidRPr="009C665E">
        <w:rPr>
          <w:rFonts w:cs="Times New Roman"/>
          <w:lang w:val="fr-CA"/>
        </w:rPr>
        <w:t>En 2020, le service des poursuites de la Colombie</w:t>
      </w:r>
      <w:r w:rsidRPr="009C665E">
        <w:rPr>
          <w:rFonts w:cs="Times New Roman"/>
          <w:lang w:val="fr-CA"/>
        </w:rPr>
        <w:noBreakHyphen/>
        <w:t>Britannique a annoncé la nomination d’une procureure spéciale chargée de procéder à un examen indépendant de l’affaire pour déterminer si une erreur judiciaire avait été commise. Environ un an plus tard, le service des poursuites a annoncé que la procureure spéciale avait formulé une série de recommandations de réparation. La procureure spéciale a conclu qu’on pouvait solidement faire valoir que M</w:t>
      </w:r>
      <w:r w:rsidRPr="009C665E">
        <w:rPr>
          <w:rFonts w:cs="Times New Roman"/>
          <w:vertAlign w:val="superscript"/>
          <w:lang w:val="fr-CA"/>
        </w:rPr>
        <w:t>me</w:t>
      </w:r>
      <w:r w:rsidRPr="009C665E">
        <w:rPr>
          <w:rFonts w:cs="Times New Roman"/>
          <w:lang w:val="fr-CA"/>
        </w:rPr>
        <w:t> Bouvette n’avait pas reçu communication de documents pertinents importants. La procureure spéciale a estimé qu’il était souhaitable que l’affaire fasse l’objet d’un contrôle en appel pour déterminer si une erreur judiciaire avait été commise. La Couronne a par la suite communiqué les documents identifiés par la procureure spéciale qui n’avaient pas encore été communiqués à M</w:t>
      </w:r>
      <w:r w:rsidRPr="009C665E">
        <w:rPr>
          <w:rFonts w:cs="Times New Roman"/>
          <w:vertAlign w:val="superscript"/>
          <w:lang w:val="fr-CA"/>
        </w:rPr>
        <w:t>me</w:t>
      </w:r>
      <w:r w:rsidRPr="009C665E">
        <w:rPr>
          <w:rFonts w:cs="Times New Roman"/>
          <w:lang w:val="fr-CA"/>
        </w:rPr>
        <w:t> Bouvette.</w:t>
      </w:r>
    </w:p>
    <w:p w14:paraId="549E9681" w14:textId="77777777" w:rsidR="009C665E" w:rsidRPr="009C665E" w:rsidRDefault="009C665E" w:rsidP="009C665E">
      <w:pPr>
        <w:pStyle w:val="ParaNoNdepar-AltN"/>
        <w:spacing w:before="0"/>
        <w:rPr>
          <w:rFonts w:cs="Times New Roman"/>
          <w:lang w:val="fr-CA"/>
        </w:rPr>
      </w:pPr>
      <w:r w:rsidRPr="009C665E">
        <w:rPr>
          <w:rFonts w:cs="Times New Roman"/>
          <w:lang w:val="fr-CA"/>
        </w:rPr>
        <w:t>En 2021, M</w:t>
      </w:r>
      <w:r w:rsidRPr="009C665E">
        <w:rPr>
          <w:rFonts w:cs="Times New Roman"/>
          <w:vertAlign w:val="superscript"/>
          <w:lang w:val="fr-CA"/>
        </w:rPr>
        <w:t>me</w:t>
      </w:r>
      <w:r w:rsidRPr="009C665E">
        <w:rPr>
          <w:rFonts w:cs="Times New Roman"/>
          <w:lang w:val="fr-CA"/>
        </w:rPr>
        <w:t> Bouvette a présenté une demande en vue de faire proroger le délai d’appel de sa déclaration de culpabilité, demande qui a été accueillie par une juge de la Cour d’appel (2022 BCCA 9), et un avis d’appel a été déposé. Une demande visant à présenter de nouveaux éléments de preuve concernant l’allégation de non</w:t>
      </w:r>
      <w:r w:rsidRPr="009C665E">
        <w:rPr>
          <w:rFonts w:cs="Times New Roman"/>
          <w:lang w:val="fr-CA"/>
        </w:rPr>
        <w:noBreakHyphen/>
        <w:t>communication formulée par M</w:t>
      </w:r>
      <w:r w:rsidRPr="009C665E">
        <w:rPr>
          <w:rFonts w:cs="Times New Roman"/>
          <w:vertAlign w:val="superscript"/>
          <w:lang w:val="fr-CA"/>
        </w:rPr>
        <w:t>me</w:t>
      </w:r>
      <w:r w:rsidRPr="009C665E">
        <w:rPr>
          <w:rFonts w:cs="Times New Roman"/>
          <w:lang w:val="fr-CA"/>
        </w:rPr>
        <w:t xml:space="preserve"> Bouvette a été déposée avec son appel. Plus précisément, elle a fait valoir que son plaidoyer de culpabilité devait être annulé en </w:t>
      </w:r>
      <w:r w:rsidRPr="009C665E">
        <w:rPr>
          <w:rFonts w:cs="Times New Roman"/>
          <w:lang w:val="fr-CA"/>
        </w:rPr>
        <w:lastRenderedPageBreak/>
        <w:t>raison de l’omission par la Couronne de communiquer le rapport du comité d’examen par des experts qui critiquait le rapport d’autopsie du D</w:t>
      </w:r>
      <w:r w:rsidRPr="009C665E">
        <w:rPr>
          <w:rFonts w:cs="Times New Roman"/>
          <w:vertAlign w:val="superscript"/>
          <w:lang w:val="fr-CA"/>
        </w:rPr>
        <w:t>r</w:t>
      </w:r>
      <w:r w:rsidRPr="009C665E">
        <w:rPr>
          <w:rFonts w:cs="Times New Roman"/>
          <w:lang w:val="fr-CA"/>
        </w:rPr>
        <w:t> Matshes. Dans son avis d’appel, M</w:t>
      </w:r>
      <w:r w:rsidRPr="009C665E">
        <w:rPr>
          <w:rFonts w:cs="Times New Roman"/>
          <w:vertAlign w:val="superscript"/>
          <w:lang w:val="fr-CA"/>
        </w:rPr>
        <w:t>me</w:t>
      </w:r>
      <w:r w:rsidRPr="009C665E">
        <w:rPr>
          <w:rFonts w:cs="Times New Roman"/>
          <w:lang w:val="fr-CA"/>
        </w:rPr>
        <w:t> Bouvette a affirmé que la déclaration de culpabilité basée sur le plaidoyer de culpabilité constituait une erreur judiciaire au sens du sous</w:t>
      </w:r>
      <w:r w:rsidRPr="009C665E">
        <w:rPr>
          <w:rFonts w:cs="Times New Roman"/>
          <w:lang w:val="fr-CA"/>
        </w:rPr>
        <w:noBreakHyphen/>
        <w:t>al. 686(1</w:t>
      </w:r>
      <w:proofErr w:type="gramStart"/>
      <w:r w:rsidRPr="009C665E">
        <w:rPr>
          <w:rFonts w:cs="Times New Roman"/>
          <w:lang w:val="fr-CA"/>
        </w:rPr>
        <w:t>)a)(</w:t>
      </w:r>
      <w:proofErr w:type="gramEnd"/>
      <w:r w:rsidRPr="009C665E">
        <w:rPr>
          <w:rFonts w:cs="Times New Roman"/>
          <w:lang w:val="fr-CA"/>
        </w:rPr>
        <w:t xml:space="preserve">iii) </w:t>
      </w:r>
      <w:r w:rsidRPr="009C665E">
        <w:rPr>
          <w:rFonts w:cs="Times New Roman"/>
          <w:i/>
          <w:lang w:val="fr-CA"/>
        </w:rPr>
        <w:t>C. cr.</w:t>
      </w:r>
    </w:p>
    <w:p w14:paraId="6300BE29" w14:textId="77777777" w:rsidR="009C665E" w:rsidRPr="009C665E" w:rsidRDefault="009C665E" w:rsidP="009C665E">
      <w:pPr>
        <w:pStyle w:val="Title1LevelTitre1Niveau-AltL"/>
        <w:numPr>
          <w:ilvl w:val="0"/>
          <w:numId w:val="7"/>
        </w:numPr>
        <w:spacing w:before="0"/>
        <w:ind w:left="576"/>
        <w:rPr>
          <w:rFonts w:cs="Times New Roman"/>
          <w:lang w:val="fr-CA"/>
        </w:rPr>
      </w:pPr>
      <w:r w:rsidRPr="009C665E">
        <w:rPr>
          <w:rFonts w:cs="Times New Roman"/>
          <w:lang w:val="fr-CA"/>
        </w:rPr>
        <w:t>Jugement de la Cour d’appel de la Colombie</w:t>
      </w:r>
      <w:r w:rsidRPr="009C665E">
        <w:rPr>
          <w:rFonts w:cs="Times New Roman"/>
          <w:lang w:val="fr-CA"/>
        </w:rPr>
        <w:noBreakHyphen/>
        <w:t>Britannique, 2023 BCCA 152, 424 C.C.C. (3d) 513 (les juges Fitch, Voith et Skolrood)</w:t>
      </w:r>
    </w:p>
    <w:p w14:paraId="2E8C08EE" w14:textId="77777777" w:rsidR="009C665E" w:rsidRPr="009C665E" w:rsidRDefault="009C665E" w:rsidP="009C665E">
      <w:pPr>
        <w:pStyle w:val="ParaNoNdepar-AltN"/>
        <w:spacing w:before="0"/>
        <w:rPr>
          <w:rFonts w:cs="Times New Roman"/>
          <w:lang w:val="fr-CA"/>
        </w:rPr>
      </w:pPr>
      <w:r w:rsidRPr="009C665E">
        <w:rPr>
          <w:rFonts w:cs="Times New Roman"/>
          <w:lang w:val="fr-CA"/>
        </w:rPr>
        <w:t>Devant la Cour d’appel, M</w:t>
      </w:r>
      <w:r w:rsidRPr="009C665E">
        <w:rPr>
          <w:rFonts w:cs="Times New Roman"/>
          <w:vertAlign w:val="superscript"/>
          <w:lang w:val="fr-CA"/>
        </w:rPr>
        <w:t>me</w:t>
      </w:r>
      <w:r w:rsidRPr="009C665E">
        <w:rPr>
          <w:rFonts w:cs="Times New Roman"/>
          <w:lang w:val="fr-CA"/>
        </w:rPr>
        <w:t> Bouvette a sollicité des ordonnances faisant droit à son appel, annulant le plaidoyer de culpabilité qu’elle avait inscrit au procès, annulant la déclaration de culpabilité et prononçant un acquittement. Si un acquittement ne pouvait être prononcé, elle a demandé un arrêt judiciaire des procédures.</w:t>
      </w:r>
    </w:p>
    <w:p w14:paraId="4D3F6ABA" w14:textId="77777777" w:rsidR="009C665E" w:rsidRPr="009C665E" w:rsidRDefault="009C665E" w:rsidP="009C665E">
      <w:pPr>
        <w:pStyle w:val="ParaNoNdepar-AltN"/>
        <w:spacing w:before="0"/>
        <w:rPr>
          <w:rFonts w:cs="Times New Roman"/>
          <w:lang w:val="fr-CA"/>
        </w:rPr>
      </w:pPr>
      <w:r w:rsidRPr="009C665E">
        <w:rPr>
          <w:rFonts w:cs="Times New Roman"/>
          <w:lang w:val="fr-CA"/>
        </w:rPr>
        <w:t>La Couronne a concédé que les nouveaux éléments de preuve relatifs à la non</w:t>
      </w:r>
      <w:r w:rsidRPr="009C665E">
        <w:rPr>
          <w:rFonts w:cs="Times New Roman"/>
          <w:lang w:val="fr-CA"/>
        </w:rPr>
        <w:noBreakHyphen/>
        <w:t>communication devaient être admis. Elle a convenu avec M</w:t>
      </w:r>
      <w:r w:rsidRPr="009C665E">
        <w:rPr>
          <w:rFonts w:cs="Times New Roman"/>
          <w:vertAlign w:val="superscript"/>
          <w:lang w:val="fr-CA"/>
        </w:rPr>
        <w:t>me</w:t>
      </w:r>
      <w:r w:rsidRPr="009C665E">
        <w:rPr>
          <w:rFonts w:cs="Times New Roman"/>
          <w:lang w:val="fr-CA"/>
        </w:rPr>
        <w:t> Bouvette que l’appel devait être accueilli et que la déclaration de culpabilité devait être annulée. La Couronne a demandé un acquittement ou, à titre subsidiaire, un arrêt judiciaire des procédures.</w:t>
      </w:r>
    </w:p>
    <w:p w14:paraId="14EE3A5D" w14:textId="77777777" w:rsidR="009C665E" w:rsidRPr="009C665E" w:rsidRDefault="009C665E" w:rsidP="009C665E">
      <w:pPr>
        <w:pStyle w:val="ParaNoNdepar-AltN"/>
        <w:spacing w:before="0"/>
        <w:rPr>
          <w:rFonts w:cs="Times New Roman"/>
          <w:lang w:val="fr-CA"/>
        </w:rPr>
      </w:pPr>
      <w:r w:rsidRPr="009C665E">
        <w:rPr>
          <w:rFonts w:cs="Times New Roman"/>
          <w:lang w:val="fr-CA"/>
        </w:rPr>
        <w:t>La Cour d’appel a conclu que la non</w:t>
      </w:r>
      <w:r w:rsidRPr="009C665E">
        <w:rPr>
          <w:rFonts w:cs="Times New Roman"/>
          <w:lang w:val="fr-CA"/>
        </w:rPr>
        <w:noBreakHyphen/>
        <w:t xml:space="preserve">communication établissait l’omission par la Couronne et la police de communiquer des renseignements importants à la défense. Madame Bouvette avait démontré l’existence d’un préjudice suffisamment grave pour constituer une erreur judiciaire, et plus précisément d’une possibilité </w:t>
      </w:r>
      <w:r w:rsidRPr="009C665E">
        <w:rPr>
          <w:rFonts w:cs="Times New Roman"/>
          <w:lang w:val="fr-CA"/>
        </w:rPr>
        <w:lastRenderedPageBreak/>
        <w:t>raisonnable qu’elle n’aurait pas inscrit un plaidoyer de culpabilité s’il y avait eu communication complète.</w:t>
      </w:r>
    </w:p>
    <w:p w14:paraId="1241BEA1"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La Cour d’appel a procédé à l’examen des réparations possibles pour corriger l’erreur judiciaire en vertu du par. 686(2) </w:t>
      </w:r>
      <w:r w:rsidRPr="009C665E">
        <w:rPr>
          <w:rFonts w:cs="Times New Roman"/>
          <w:i/>
          <w:lang w:val="fr-CA"/>
        </w:rPr>
        <w:t>C. cr.</w:t>
      </w:r>
      <w:r w:rsidRPr="009C665E">
        <w:rPr>
          <w:rFonts w:cs="Times New Roman"/>
          <w:lang w:val="fr-CA"/>
        </w:rPr>
        <w:t xml:space="preserve">, soulignant que, lorsqu’elle fait droit à un appel d’une déclaration de culpabilité pour l’une des trois raisons énoncées à l’al. 686(1)a) </w:t>
      </w:r>
      <w:r w:rsidRPr="009C665E">
        <w:rPr>
          <w:rFonts w:cs="Times New Roman"/>
          <w:i/>
          <w:lang w:val="fr-CA"/>
        </w:rPr>
        <w:t>Cr. C.</w:t>
      </w:r>
      <w:r w:rsidRPr="009C665E">
        <w:rPr>
          <w:rFonts w:cs="Times New Roman"/>
          <w:lang w:val="fr-CA"/>
        </w:rPr>
        <w:t xml:space="preserve"> — verdict déraisonnable, erreur de droit ou erreur judiciaire —, la cour doit annuler la déclaration de culpabilité et a) ordonner un jugement ou verdict d’acquittement, ou b) ordonner un nouveau procès.</w:t>
      </w:r>
    </w:p>
    <w:p w14:paraId="7F3AECD8"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La Cour d’appel a écrit qu’un acquittement sera prononcé en vertu de l’al. 686(2)a) </w:t>
      </w:r>
      <w:r w:rsidRPr="009C665E">
        <w:rPr>
          <w:rFonts w:cs="Times New Roman"/>
          <w:smallCaps/>
          <w:lang w:val="fr-CA"/>
        </w:rPr>
        <w:t>[traduction]</w:t>
      </w:r>
      <w:r w:rsidRPr="009C665E">
        <w:rPr>
          <w:rFonts w:cs="Times New Roman"/>
          <w:lang w:val="fr-CA"/>
        </w:rPr>
        <w:t xml:space="preserve"> « si la cour d’appel est convaincue, d’après le dossier de première instance auquel s’ajoutent les nouveaux éléments de preuve, qu’aucun jury raisonnable, ayant reçu des directives appropriées sur le droit, ne pourrait rendre un verdict de culpabilité » (par. 114). Le test applicable, a poursuivi la cour, « est strict » (par. 114).</w:t>
      </w:r>
    </w:p>
    <w:p w14:paraId="129D09D1" w14:textId="77777777" w:rsidR="009C665E" w:rsidRPr="009C665E" w:rsidRDefault="009C665E" w:rsidP="009C665E">
      <w:pPr>
        <w:pStyle w:val="ParaNoNdepar-AltN"/>
        <w:spacing w:before="0"/>
        <w:rPr>
          <w:rFonts w:cs="Times New Roman"/>
          <w:lang w:val="fr-CA"/>
        </w:rPr>
      </w:pPr>
      <w:r w:rsidRPr="009C665E">
        <w:rPr>
          <w:rFonts w:cs="Times New Roman"/>
          <w:smallCaps/>
          <w:lang w:val="fr-CA"/>
        </w:rPr>
        <w:t>[traduction]</w:t>
      </w:r>
      <w:r w:rsidRPr="009C665E">
        <w:rPr>
          <w:rFonts w:cs="Times New Roman"/>
          <w:lang w:val="fr-CA"/>
        </w:rPr>
        <w:t xml:space="preserve"> « Il existe des arrêts de cours d’appel », a écrit la cour, « qui appuient la thèse suivant laquelle, dans des circonstances exceptionnelles, un acquittement peut être prononcé même si l’on ne peut pas dire que l’acquittement est le seul verdict raisonnable » (par. 115). La cour a fait observer que, dans l’affaire </w:t>
      </w:r>
      <w:r w:rsidRPr="009C665E">
        <w:rPr>
          <w:rFonts w:cs="Times New Roman"/>
          <w:i/>
          <w:lang w:val="fr-CA"/>
        </w:rPr>
        <w:t>Truscott</w:t>
      </w:r>
      <w:r w:rsidRPr="009C665E">
        <w:rPr>
          <w:rFonts w:cs="Times New Roman"/>
          <w:lang w:val="fr-CA"/>
        </w:rPr>
        <w:t xml:space="preserve">, un nouveau procès n’était pas possible et que la Cour d’appel de l’Ontario était convaincue, eu égard au </w:t>
      </w:r>
      <w:r w:rsidRPr="009C665E">
        <w:rPr>
          <w:rFonts w:cs="Times New Roman"/>
          <w:smallCaps/>
          <w:lang w:val="fr-CA"/>
        </w:rPr>
        <w:t>[traduction]</w:t>
      </w:r>
      <w:r w:rsidRPr="009C665E">
        <w:rPr>
          <w:rFonts w:cs="Times New Roman"/>
          <w:lang w:val="fr-CA"/>
        </w:rPr>
        <w:t xml:space="preserve"> « dossier complet » dont elle disposait, qu’aucun autre forum ne serait mieux placé pour évaluer la culpabilité de l’appelant </w:t>
      </w:r>
      <w:r w:rsidRPr="009C665E">
        <w:rPr>
          <w:rFonts w:cs="Times New Roman"/>
          <w:lang w:val="fr-CA"/>
        </w:rPr>
        <w:lastRenderedPageBreak/>
        <w:t xml:space="preserve">(par. 116, citant </w:t>
      </w:r>
      <w:r w:rsidRPr="009C665E">
        <w:rPr>
          <w:rFonts w:cs="Times New Roman"/>
          <w:i/>
          <w:lang w:val="fr-CA"/>
        </w:rPr>
        <w:t>Truscott</w:t>
      </w:r>
      <w:r w:rsidRPr="009C665E">
        <w:rPr>
          <w:rFonts w:cs="Times New Roman"/>
          <w:lang w:val="fr-CA"/>
        </w:rPr>
        <w:t>, par. 260 et 265</w:t>
      </w:r>
      <w:r w:rsidRPr="009C665E">
        <w:rPr>
          <w:rFonts w:cs="Times New Roman"/>
          <w:lang w:val="fr-CA"/>
        </w:rPr>
        <w:noBreakHyphen/>
        <w:t xml:space="preserve">269). S’appuyant toujours sur l’arrêt </w:t>
      </w:r>
      <w:r w:rsidRPr="009C665E">
        <w:rPr>
          <w:rFonts w:cs="Times New Roman"/>
          <w:i/>
          <w:lang w:val="fr-CA"/>
        </w:rPr>
        <w:t>Truscott</w:t>
      </w:r>
      <w:r w:rsidRPr="009C665E">
        <w:rPr>
          <w:rFonts w:cs="Times New Roman"/>
          <w:lang w:val="fr-CA"/>
        </w:rPr>
        <w:t xml:space="preserve">, la cour a souligné qu’un nouveau procès sera généralement ordonné si la cour d’appel est convaincue que le dossier d’appel </w:t>
      </w:r>
      <w:r w:rsidRPr="009C665E">
        <w:rPr>
          <w:rFonts w:cs="Times New Roman"/>
          <w:smallCaps/>
          <w:lang w:val="fr-CA"/>
        </w:rPr>
        <w:t>[traduction]</w:t>
      </w:r>
      <w:r w:rsidRPr="009C665E">
        <w:rPr>
          <w:rFonts w:cs="Times New Roman"/>
          <w:lang w:val="fr-CA"/>
        </w:rPr>
        <w:t xml:space="preserve"> « admet l’existence d’une possibilité raisonnable qu’un verdict de culpabilité soit rendu » (par. 117, citant </w:t>
      </w:r>
      <w:r w:rsidRPr="009C665E">
        <w:rPr>
          <w:rFonts w:cs="Times New Roman"/>
          <w:i/>
          <w:lang w:val="fr-CA"/>
        </w:rPr>
        <w:t>Truscott</w:t>
      </w:r>
      <w:r w:rsidRPr="009C665E">
        <w:rPr>
          <w:rFonts w:cs="Times New Roman"/>
          <w:lang w:val="fr-CA"/>
        </w:rPr>
        <w:t>, par. 247</w:t>
      </w:r>
      <w:r w:rsidRPr="009C665E">
        <w:rPr>
          <w:rFonts w:cs="Times New Roman"/>
          <w:lang w:val="fr-CA"/>
        </w:rPr>
        <w:noBreakHyphen/>
        <w:t>248).</w:t>
      </w:r>
    </w:p>
    <w:p w14:paraId="2D8E4768"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La cour a fait observer qu’il lui était loisible de prononcer l’arrêt des procédures pour empêcher un abus de procédure, eu égard à la compétence que confèrent à la cour d’appel les par. 686(8) </w:t>
      </w:r>
      <w:r w:rsidRPr="009C665E">
        <w:rPr>
          <w:rFonts w:cs="Times New Roman"/>
          <w:i/>
          <w:lang w:val="fr-CA"/>
        </w:rPr>
        <w:t xml:space="preserve">C. cr. </w:t>
      </w:r>
      <w:proofErr w:type="gramStart"/>
      <w:r w:rsidRPr="009C665E">
        <w:rPr>
          <w:rFonts w:cs="Times New Roman"/>
          <w:lang w:val="fr-CA"/>
        </w:rPr>
        <w:t>et</w:t>
      </w:r>
      <w:proofErr w:type="gramEnd"/>
      <w:r w:rsidRPr="009C665E">
        <w:rPr>
          <w:rFonts w:cs="Times New Roman"/>
          <w:lang w:val="fr-CA"/>
        </w:rPr>
        <w:t xml:space="preserve"> 24(1) de la </w:t>
      </w:r>
      <w:r w:rsidRPr="009C665E">
        <w:rPr>
          <w:rFonts w:cs="Times New Roman"/>
          <w:i/>
          <w:lang w:val="fr-CA"/>
        </w:rPr>
        <w:t xml:space="preserve">Charte canadienne des droits et libertés </w:t>
      </w:r>
      <w:r w:rsidRPr="009C665E">
        <w:rPr>
          <w:rFonts w:cs="Times New Roman"/>
          <w:lang w:val="fr-CA"/>
        </w:rPr>
        <w:t xml:space="preserve">(par. 118). De plus, elle a écrit que, comme la cour qui annule une déclaration de culpabilité exerce un pouvoir que lui confère le par. 686(2), </w:t>
      </w:r>
      <w:r w:rsidRPr="009C665E">
        <w:rPr>
          <w:rFonts w:cs="Times New Roman"/>
          <w:smallCaps/>
          <w:lang w:val="fr-CA"/>
        </w:rPr>
        <w:t>[traduction]</w:t>
      </w:r>
      <w:r w:rsidRPr="009C665E">
        <w:rPr>
          <w:rFonts w:cs="Times New Roman"/>
          <w:lang w:val="fr-CA"/>
        </w:rPr>
        <w:t xml:space="preserve"> « [i]l n’est donc pas nécessaire que la cour ordonne un nouveau procès avant d’ordonner l’arrêt des procédures » (par. 119). La cour a toutefois reconnu que, du point de vue de M</w:t>
      </w:r>
      <w:r w:rsidRPr="009C665E">
        <w:rPr>
          <w:rFonts w:cs="Times New Roman"/>
          <w:vertAlign w:val="superscript"/>
          <w:lang w:val="fr-CA"/>
        </w:rPr>
        <w:t>me</w:t>
      </w:r>
      <w:r w:rsidRPr="009C665E">
        <w:rPr>
          <w:rFonts w:cs="Times New Roman"/>
          <w:lang w:val="fr-CA"/>
        </w:rPr>
        <w:t xml:space="preserve"> Bouvette, l’arrêt des procédures représente </w:t>
      </w:r>
      <w:r w:rsidRPr="009C665E">
        <w:rPr>
          <w:rFonts w:cs="Times New Roman"/>
          <w:smallCaps/>
          <w:lang w:val="fr-CA"/>
        </w:rPr>
        <w:t>[traduction]</w:t>
      </w:r>
      <w:r w:rsidRPr="009C665E">
        <w:rPr>
          <w:rFonts w:cs="Times New Roman"/>
          <w:lang w:val="fr-CA"/>
        </w:rPr>
        <w:t xml:space="preserve"> « une réparation inférieure » à un acquittement en ce que, bien qu’il fasse disparaître le stigmate d’une déclaration de culpabilité, il laisserait le stigmate tenace associé à une allégation non résolue de négligence criminelle ayant causé la mort d’un enfant (par. 122).</w:t>
      </w:r>
    </w:p>
    <w:p w14:paraId="46562843" w14:textId="77777777" w:rsidR="009C665E" w:rsidRPr="009C665E" w:rsidRDefault="009C665E" w:rsidP="009C665E">
      <w:pPr>
        <w:pStyle w:val="ParaNoNdepar-AltN"/>
        <w:spacing w:before="0"/>
        <w:rPr>
          <w:rFonts w:cs="Times New Roman"/>
          <w:lang w:val="fr-CA"/>
        </w:rPr>
      </w:pPr>
      <w:r w:rsidRPr="009C665E">
        <w:rPr>
          <w:rFonts w:cs="Times New Roman"/>
          <w:lang w:val="fr-CA"/>
        </w:rPr>
        <w:t>Pour ce qui est des circonstances de l’espèce, la cour a conclu qu’il existait au dossier des éléments de preuve au vu desquels un jury raisonnable pouvait déclarer M</w:t>
      </w:r>
      <w:r w:rsidRPr="009C665E">
        <w:rPr>
          <w:rFonts w:cs="Times New Roman"/>
          <w:vertAlign w:val="superscript"/>
          <w:lang w:val="fr-CA"/>
        </w:rPr>
        <w:t>me</w:t>
      </w:r>
      <w:r w:rsidRPr="009C665E">
        <w:rPr>
          <w:rFonts w:cs="Times New Roman"/>
          <w:lang w:val="fr-CA"/>
        </w:rPr>
        <w:t> Bouvette coupable de négligence criminelle ayant causé la mort d’Iyanna. La cour a cité, en particulier, le témoignage du D</w:t>
      </w:r>
      <w:r w:rsidRPr="009C665E">
        <w:rPr>
          <w:rFonts w:cs="Times New Roman"/>
          <w:vertAlign w:val="superscript"/>
          <w:lang w:val="fr-CA"/>
        </w:rPr>
        <w:t>r</w:t>
      </w:r>
      <w:r w:rsidRPr="009C665E">
        <w:rPr>
          <w:rFonts w:cs="Times New Roman"/>
          <w:lang w:val="fr-CA"/>
        </w:rPr>
        <w:t xml:space="preserve"> Matshes à l’enquête préliminaire selon lequel </w:t>
      </w:r>
      <w:r w:rsidRPr="009C665E">
        <w:rPr>
          <w:rFonts w:cs="Times New Roman"/>
          <w:lang w:val="fr-CA"/>
        </w:rPr>
        <w:lastRenderedPageBreak/>
        <w:t xml:space="preserve">il aurait été peu probable qu’Iyanna présente un état normal à la suite des blessures qu’il avait observées lors de l’autopsie. Cela aurait pu expliquer la noyade dans la baignoire. </w:t>
      </w:r>
      <w:r w:rsidRPr="009C665E">
        <w:rPr>
          <w:rFonts w:cs="Times New Roman"/>
          <w:smallCaps/>
          <w:lang w:val="fr-CA"/>
        </w:rPr>
        <w:t>[traduction]</w:t>
      </w:r>
      <w:r w:rsidRPr="009C665E">
        <w:rPr>
          <w:rFonts w:cs="Times New Roman"/>
          <w:lang w:val="fr-CA"/>
        </w:rPr>
        <w:t xml:space="preserve"> « Au vu des mêmes éléments de preuve », a écrit la cour, « un jury raisonnable pourrait également conclure que l’appelante savait qu’Iyanna avait été blessée avant de la mettre dans la baignoire » (par. 131). Plus précisément, la cour a écrit qu’un jury raisonnable, ayant reçu des directives appropriées, pourrait </w:t>
      </w:r>
      <w:r w:rsidRPr="009C665E">
        <w:rPr>
          <w:rFonts w:cs="Times New Roman"/>
          <w:smallCaps/>
          <w:lang w:val="fr-CA"/>
        </w:rPr>
        <w:t>[traduction]</w:t>
      </w:r>
      <w:r w:rsidRPr="009C665E">
        <w:rPr>
          <w:rFonts w:cs="Times New Roman"/>
          <w:lang w:val="fr-CA"/>
        </w:rPr>
        <w:t xml:space="preserve"> « conclure que le fait de laisser sciemment un enfant blessé de 19 mois sans surveillance dans une baignoire pendant une minute constitue un écart marqué et important par rapport à la conduite qu’aurait eue une personne raisonnable dans la même situation que l’appelante » (par. 133).</w:t>
      </w:r>
    </w:p>
    <w:p w14:paraId="7253771E"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Sur ce fondement, la cour a refusé de prononcer un acquittement. Elle s’est ensuite demandé si elle devrait néanmoins prononcer un acquittement en raison de l’existence de circonstances spéciales, en appliquant le cadre d’analyse développé notamment dans l’arrêt </w:t>
      </w:r>
      <w:r w:rsidRPr="009C665E">
        <w:rPr>
          <w:rFonts w:cs="Times New Roman"/>
          <w:i/>
          <w:lang w:val="fr-CA"/>
        </w:rPr>
        <w:t>Truscott</w:t>
      </w:r>
      <w:r w:rsidRPr="009C665E">
        <w:rPr>
          <w:rFonts w:cs="Times New Roman"/>
          <w:lang w:val="fr-CA"/>
        </w:rPr>
        <w:t xml:space="preserve">. La Couronne a fait valoir que les circonstances de l’espèce étayaient l’opinion suivant laquelle il s’agit d’un cas exceptionnel justifiant une analyse de type </w:t>
      </w:r>
      <w:r w:rsidRPr="009C665E">
        <w:rPr>
          <w:rFonts w:cs="Times New Roman"/>
          <w:i/>
          <w:lang w:val="fr-CA"/>
        </w:rPr>
        <w:t>Truscott</w:t>
      </w:r>
      <w:r w:rsidRPr="009C665E">
        <w:rPr>
          <w:rFonts w:cs="Times New Roman"/>
          <w:lang w:val="fr-CA"/>
        </w:rPr>
        <w:t>, faisant remarquer que M</w:t>
      </w:r>
      <w:r w:rsidRPr="009C665E">
        <w:rPr>
          <w:rFonts w:cs="Times New Roman"/>
          <w:vertAlign w:val="superscript"/>
          <w:lang w:val="fr-CA"/>
        </w:rPr>
        <w:t>me</w:t>
      </w:r>
      <w:r w:rsidRPr="009C665E">
        <w:rPr>
          <w:rFonts w:cs="Times New Roman"/>
          <w:lang w:val="fr-CA"/>
        </w:rPr>
        <w:t> Bouvette avait purgé la totalité de sa peine; qu’elle avait subi un grand préjudice en raison de l’erreur judiciaire; et que, lors d’un nouveau procès, la preuve de la Couronne serait faible, de sorte qu’il était plus probable que le contraire que M</w:t>
      </w:r>
      <w:r w:rsidRPr="009C665E">
        <w:rPr>
          <w:rFonts w:cs="Times New Roman"/>
          <w:vertAlign w:val="superscript"/>
          <w:lang w:val="fr-CA"/>
        </w:rPr>
        <w:t>me</w:t>
      </w:r>
      <w:r w:rsidRPr="009C665E">
        <w:rPr>
          <w:rFonts w:cs="Times New Roman"/>
          <w:lang w:val="fr-CA"/>
        </w:rPr>
        <w:t xml:space="preserve"> Bouvette soit acquittée à ce procès. La cour a ajouté que la Couronne avait précisé dans sa plaidoirie que, quelle que soit la réparation qu’accorderait la Cour d’appel, </w:t>
      </w:r>
      <w:r w:rsidRPr="009C665E">
        <w:rPr>
          <w:rFonts w:cs="Times New Roman"/>
          <w:smallCaps/>
          <w:lang w:val="fr-CA"/>
        </w:rPr>
        <w:t>[traduction]</w:t>
      </w:r>
      <w:r w:rsidRPr="009C665E">
        <w:rPr>
          <w:rFonts w:cs="Times New Roman"/>
          <w:lang w:val="fr-CA"/>
        </w:rPr>
        <w:t xml:space="preserve"> « elle n’a nullement l’intention de donner suite à un nouveau procès » (par. 136).</w:t>
      </w:r>
    </w:p>
    <w:p w14:paraId="070D9F81" w14:textId="77777777" w:rsidR="009C665E" w:rsidRPr="009C665E" w:rsidRDefault="009C665E" w:rsidP="009C665E">
      <w:pPr>
        <w:pStyle w:val="ParaNoNdepar-AltN"/>
        <w:spacing w:before="0"/>
        <w:rPr>
          <w:rFonts w:cs="Times New Roman"/>
          <w:lang w:val="fr-CA"/>
        </w:rPr>
      </w:pPr>
      <w:r w:rsidRPr="009C665E">
        <w:rPr>
          <w:rFonts w:cs="Times New Roman"/>
          <w:lang w:val="fr-CA"/>
        </w:rPr>
        <w:lastRenderedPageBreak/>
        <w:t xml:space="preserve">Malgré la position des parties, la Cour d’appel a écrit qu’elle n’était pas convaincue que les circonstances de l’affaire étaient </w:t>
      </w:r>
      <w:r w:rsidRPr="009C665E">
        <w:rPr>
          <w:rFonts w:cs="Times New Roman"/>
          <w:smallCaps/>
          <w:lang w:val="fr-CA"/>
        </w:rPr>
        <w:t>[traduction]</w:t>
      </w:r>
      <w:r w:rsidRPr="009C665E">
        <w:rPr>
          <w:rFonts w:cs="Times New Roman"/>
          <w:lang w:val="fr-CA"/>
        </w:rPr>
        <w:t xml:space="preserve"> « suffisamment exceptionnelles pour justifier d’entreprendre une analyse de type </w:t>
      </w:r>
      <w:r w:rsidRPr="009C665E">
        <w:rPr>
          <w:rFonts w:cs="Times New Roman"/>
          <w:i/>
          <w:lang w:val="fr-CA"/>
        </w:rPr>
        <w:t>Truscott</w:t>
      </w:r>
      <w:r w:rsidRPr="009C665E">
        <w:rPr>
          <w:rFonts w:cs="Times New Roman"/>
          <w:lang w:val="fr-CA"/>
        </w:rPr>
        <w:t> »</w:t>
      </w:r>
      <w:r w:rsidRPr="009C665E">
        <w:rPr>
          <w:rFonts w:cs="Times New Roman"/>
          <w:i/>
          <w:lang w:val="fr-CA"/>
        </w:rPr>
        <w:t xml:space="preserve"> </w:t>
      </w:r>
      <w:r w:rsidRPr="009C665E">
        <w:rPr>
          <w:rFonts w:cs="Times New Roman"/>
          <w:lang w:val="fr-CA"/>
        </w:rPr>
        <w:t>(par. 137). En particulier, [</w:t>
      </w:r>
      <w:r w:rsidRPr="009C665E">
        <w:rPr>
          <w:rFonts w:cs="Times New Roman"/>
          <w:smallCaps/>
          <w:lang w:val="fr-CA"/>
        </w:rPr>
        <w:t>traduction</w:t>
      </w:r>
      <w:r w:rsidRPr="009C665E">
        <w:rPr>
          <w:rFonts w:cs="Times New Roman"/>
          <w:lang w:val="fr-CA"/>
        </w:rPr>
        <w:t xml:space="preserve">] « la possibilité théorique d’un nouveau procès » (par. 138) distinguait la présente espèce de l’affaire </w:t>
      </w:r>
      <w:r w:rsidRPr="009C665E">
        <w:rPr>
          <w:rFonts w:cs="Times New Roman"/>
          <w:i/>
          <w:lang w:val="fr-CA"/>
        </w:rPr>
        <w:t>Truscott</w:t>
      </w:r>
      <w:r w:rsidRPr="009C665E">
        <w:rPr>
          <w:rFonts w:cs="Times New Roman"/>
          <w:lang w:val="fr-CA"/>
        </w:rPr>
        <w:t xml:space="preserve">. De plus, a fait observer la cour, on ne peut pas dire en l’espèce que, comme dans l’affaire </w:t>
      </w:r>
      <w:r w:rsidRPr="009C665E">
        <w:rPr>
          <w:rFonts w:cs="Times New Roman"/>
          <w:i/>
          <w:lang w:val="fr-CA"/>
        </w:rPr>
        <w:t>Truscott</w:t>
      </w:r>
      <w:r w:rsidRPr="009C665E">
        <w:rPr>
          <w:rFonts w:cs="Times New Roman"/>
          <w:lang w:val="fr-CA"/>
        </w:rPr>
        <w:t xml:space="preserve">, la cour d’appel disposait d’un dossier complet ou encore qu’il ne </w:t>
      </w:r>
      <w:proofErr w:type="gramStart"/>
      <w:r w:rsidRPr="009C665E">
        <w:rPr>
          <w:rFonts w:cs="Times New Roman"/>
          <w:lang w:val="fr-CA"/>
        </w:rPr>
        <w:t>pouvait</w:t>
      </w:r>
      <w:proofErr w:type="gramEnd"/>
      <w:r w:rsidRPr="009C665E">
        <w:rPr>
          <w:rFonts w:cs="Times New Roman"/>
          <w:lang w:val="fr-CA"/>
        </w:rPr>
        <w:t xml:space="preserve"> exister de forum mieux placé pour évaluer la culpabilité. Plus précisément, les avocats ont reconnu que la Cour d’appel n’était pas en mesure de tirer de conclusions à l’égard de la preuve médicolégale contestée et que trancher l’affaire </w:t>
      </w:r>
      <w:r w:rsidRPr="009C665E">
        <w:rPr>
          <w:rFonts w:cs="Times New Roman"/>
          <w:smallCaps/>
          <w:lang w:val="fr-CA"/>
        </w:rPr>
        <w:t>[traduction]</w:t>
      </w:r>
      <w:r w:rsidRPr="009C665E">
        <w:rPr>
          <w:rFonts w:cs="Times New Roman"/>
          <w:lang w:val="fr-CA"/>
        </w:rPr>
        <w:t xml:space="preserve"> « impliquerait [nécessairement] une part intolérable de conjectures judiciaires » quant à l’issue probable d’un nouveau procès (par. 139).</w:t>
      </w:r>
    </w:p>
    <w:p w14:paraId="30ACD707" w14:textId="77777777" w:rsidR="009C665E" w:rsidRPr="009C665E" w:rsidRDefault="009C665E" w:rsidP="009C665E">
      <w:pPr>
        <w:pStyle w:val="ParaNoNdepar-AltN"/>
        <w:spacing w:before="0"/>
        <w:rPr>
          <w:rFonts w:cs="Times New Roman"/>
          <w:lang w:val="fr-CA"/>
        </w:rPr>
      </w:pPr>
      <w:r w:rsidRPr="009C665E">
        <w:rPr>
          <w:rFonts w:cs="Times New Roman"/>
          <w:lang w:val="fr-CA"/>
        </w:rPr>
        <w:t>Cela dit, la Cour d’appel n’a pas hésité à inscrire un arrêt judiciaire des procédures, l’ordonnance subsidiaire sollicitée par les parties, en raison de la grave violation du droit de M</w:t>
      </w:r>
      <w:r w:rsidRPr="009C665E">
        <w:rPr>
          <w:rFonts w:cs="Times New Roman"/>
          <w:vertAlign w:val="superscript"/>
          <w:lang w:val="fr-CA"/>
        </w:rPr>
        <w:t>me</w:t>
      </w:r>
      <w:r w:rsidRPr="009C665E">
        <w:rPr>
          <w:rFonts w:cs="Times New Roman"/>
          <w:lang w:val="fr-CA"/>
        </w:rPr>
        <w:t xml:space="preserve"> Bouvette à une défense pleine et entière causée par </w:t>
      </w:r>
      <w:proofErr w:type="gramStart"/>
      <w:r w:rsidRPr="009C665E">
        <w:rPr>
          <w:rFonts w:cs="Times New Roman"/>
          <w:lang w:val="fr-CA"/>
        </w:rPr>
        <w:t>la non</w:t>
      </w:r>
      <w:proofErr w:type="gramEnd"/>
      <w:r w:rsidRPr="009C665E">
        <w:rPr>
          <w:rFonts w:cs="Times New Roman"/>
          <w:lang w:val="fr-CA"/>
        </w:rPr>
        <w:noBreakHyphen/>
        <w:t>communication. La cour n’a pas conclu à la mauvaise foi ou à l’inconduite, mais elle a souligné le caractère important du préjudice qu’avait subi M</w:t>
      </w:r>
      <w:r w:rsidRPr="009C665E">
        <w:rPr>
          <w:rFonts w:cs="Times New Roman"/>
          <w:vertAlign w:val="superscript"/>
          <w:lang w:val="fr-CA"/>
        </w:rPr>
        <w:t>me</w:t>
      </w:r>
      <w:r w:rsidRPr="009C665E">
        <w:rPr>
          <w:rFonts w:cs="Times New Roman"/>
          <w:lang w:val="fr-CA"/>
        </w:rPr>
        <w:t xml:space="preserve"> Bouvette en raison de </w:t>
      </w:r>
      <w:proofErr w:type="gramStart"/>
      <w:r w:rsidRPr="009C665E">
        <w:rPr>
          <w:rFonts w:cs="Times New Roman"/>
          <w:lang w:val="fr-CA"/>
        </w:rPr>
        <w:t>la non</w:t>
      </w:r>
      <w:proofErr w:type="gramEnd"/>
      <w:r w:rsidRPr="009C665E">
        <w:rPr>
          <w:rFonts w:cs="Times New Roman"/>
          <w:lang w:val="fr-CA"/>
        </w:rPr>
        <w:noBreakHyphen/>
        <w:t>communication et le fait qu’elle avait purgé la totalité de sa peine.</w:t>
      </w:r>
    </w:p>
    <w:p w14:paraId="71C2061A"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En somme, la Cour d’appel a fait droit à la demande visant à présenter de nouveaux éléments de preuve, notamment la transcription de l’enquête préliminaire, a accueilli l’appel, a ordonné l’annulation du plaidoyer de culpabilité inscrit par </w:t>
      </w:r>
      <w:r w:rsidRPr="009C665E">
        <w:rPr>
          <w:rFonts w:cs="Times New Roman"/>
          <w:lang w:val="fr-CA"/>
        </w:rPr>
        <w:lastRenderedPageBreak/>
        <w:t>M</w:t>
      </w:r>
      <w:r w:rsidRPr="009C665E">
        <w:rPr>
          <w:rFonts w:cs="Times New Roman"/>
          <w:vertAlign w:val="superscript"/>
          <w:lang w:val="fr-CA"/>
        </w:rPr>
        <w:t>me</w:t>
      </w:r>
      <w:r w:rsidRPr="009C665E">
        <w:rPr>
          <w:rFonts w:cs="Times New Roman"/>
          <w:lang w:val="fr-CA"/>
        </w:rPr>
        <w:t> Bouvette au procès et a annulé la déclaration de culpabilité. La cour a refusé de prononcer un acquittement parce qu’elle était d’avis qu’il existait des éléments de preuve au vu desquels un jury ayant reçu des directives appropriées et agissant raisonnablement pourrait déclarer M</w:t>
      </w:r>
      <w:r w:rsidRPr="009C665E">
        <w:rPr>
          <w:rFonts w:cs="Times New Roman"/>
          <w:vertAlign w:val="superscript"/>
          <w:lang w:val="fr-CA"/>
        </w:rPr>
        <w:t>me</w:t>
      </w:r>
      <w:r w:rsidRPr="009C665E">
        <w:rPr>
          <w:rFonts w:cs="Times New Roman"/>
          <w:lang w:val="fr-CA"/>
        </w:rPr>
        <w:t xml:space="preserve"> Bouvette coupable lors d’un nouveau procès. Malgré la gravité de l’accusation, l’arrêt des procédures était justifié en vertu du par. 686(8) </w:t>
      </w:r>
      <w:r w:rsidRPr="009C665E">
        <w:rPr>
          <w:rFonts w:cs="Times New Roman"/>
          <w:i/>
          <w:lang w:val="fr-CA"/>
        </w:rPr>
        <w:t>C. cr.</w:t>
      </w:r>
      <w:r w:rsidRPr="009C665E">
        <w:rPr>
          <w:rFonts w:cs="Times New Roman"/>
          <w:lang w:val="fr-CA"/>
        </w:rPr>
        <w:t xml:space="preserve">, a écrit la cour, </w:t>
      </w:r>
      <w:r w:rsidRPr="009C665E">
        <w:rPr>
          <w:rFonts w:cs="Times New Roman"/>
          <w:smallCaps/>
          <w:lang w:val="fr-CA"/>
        </w:rPr>
        <w:t>[traduction]</w:t>
      </w:r>
      <w:r w:rsidRPr="009C665E">
        <w:rPr>
          <w:rFonts w:cs="Times New Roman"/>
          <w:lang w:val="fr-CA"/>
        </w:rPr>
        <w:t xml:space="preserve"> « parce qu’obliger l’appelante à subir de nouveau un procès violerait les principes de justice fondamentaux qui sous</w:t>
      </w:r>
      <w:r w:rsidRPr="009C665E">
        <w:rPr>
          <w:rFonts w:cs="Times New Roman"/>
          <w:lang w:val="fr-CA"/>
        </w:rPr>
        <w:noBreakHyphen/>
        <w:t>tendent le sens du franc</w:t>
      </w:r>
      <w:r w:rsidRPr="009C665E">
        <w:rPr>
          <w:rFonts w:cs="Times New Roman"/>
          <w:lang w:val="fr-CA"/>
        </w:rPr>
        <w:noBreakHyphen/>
        <w:t>jeu et de la décence de la communauté » (par. 144).</w:t>
      </w:r>
    </w:p>
    <w:p w14:paraId="3B70F620" w14:textId="77777777" w:rsidR="009C665E" w:rsidRPr="009C665E" w:rsidRDefault="009C665E" w:rsidP="009C665E">
      <w:pPr>
        <w:pStyle w:val="Title1LevelTitre1Niveau-AltL"/>
        <w:numPr>
          <w:ilvl w:val="0"/>
          <w:numId w:val="7"/>
        </w:numPr>
        <w:spacing w:before="0"/>
        <w:ind w:left="576"/>
        <w:rPr>
          <w:rFonts w:cs="Times New Roman"/>
          <w:lang w:val="fr-CA"/>
        </w:rPr>
      </w:pPr>
      <w:r w:rsidRPr="009C665E">
        <w:rPr>
          <w:rFonts w:cs="Times New Roman"/>
          <w:lang w:val="fr-CA"/>
        </w:rPr>
        <w:t>Questions en litige</w:t>
      </w:r>
    </w:p>
    <w:p w14:paraId="779F0C01" w14:textId="77777777" w:rsidR="009C665E" w:rsidRPr="009C665E" w:rsidRDefault="009C665E" w:rsidP="009C665E">
      <w:pPr>
        <w:pStyle w:val="ParaNoNdepar-AltN"/>
        <w:spacing w:before="0"/>
        <w:rPr>
          <w:rFonts w:cs="Times New Roman"/>
          <w:lang w:val="fr-CA"/>
        </w:rPr>
      </w:pPr>
      <w:r w:rsidRPr="009C665E">
        <w:rPr>
          <w:rFonts w:cs="Times New Roman"/>
          <w:lang w:val="fr-CA"/>
        </w:rPr>
        <w:t>Madame Bouvette se pourvoit à l’encontre de l’arrêt judiciaire des procédures ordonné par la Cour d’appel, demandant à notre Cour de l’annuler et de prononcer un acquittement (m.a., par. 134).</w:t>
      </w:r>
    </w:p>
    <w:p w14:paraId="2B9C6F29" w14:textId="77777777" w:rsidR="009C665E" w:rsidRPr="009C665E" w:rsidRDefault="009C665E" w:rsidP="009C665E">
      <w:pPr>
        <w:pStyle w:val="ParaNoNdepar-AltN"/>
        <w:spacing w:before="0"/>
        <w:rPr>
          <w:rFonts w:cs="Times New Roman"/>
          <w:lang w:val="fr-CA"/>
        </w:rPr>
      </w:pPr>
      <w:r w:rsidRPr="009C665E">
        <w:rPr>
          <w:rFonts w:cs="Times New Roman"/>
          <w:lang w:val="fr-CA"/>
        </w:rPr>
        <w:t>Madame Bouvette dit qu’elle devrait être acquittée pour l’un des deux motifs suivants (m.a., par. 106). Premièrement, elle affirme qu’il n’y a aucun élément de preuve permettant à un juge des faits raisonnable de rendre un verdict de culpabilité. Deuxièmement, et à titre subsidiaire, elle soutient qu’elle devrait être acquittée sur une base discrétionnaire compte tenu des circonstances de son cas.</w:t>
      </w:r>
    </w:p>
    <w:p w14:paraId="2B6147D8" w14:textId="77777777" w:rsidR="009C665E" w:rsidRPr="009C665E" w:rsidRDefault="009C665E" w:rsidP="009C665E">
      <w:pPr>
        <w:pStyle w:val="ParaNoNdepar-AltN"/>
        <w:spacing w:before="0"/>
        <w:rPr>
          <w:rFonts w:cs="Times New Roman"/>
          <w:lang w:val="fr-CA"/>
        </w:rPr>
      </w:pPr>
      <w:r w:rsidRPr="009C665E">
        <w:rPr>
          <w:rFonts w:cs="Times New Roman"/>
          <w:lang w:val="fr-CA"/>
        </w:rPr>
        <w:t>Devant la Cour d’appel, la Couronne a convenu que M</w:t>
      </w:r>
      <w:r w:rsidRPr="009C665E">
        <w:rPr>
          <w:rFonts w:cs="Times New Roman"/>
          <w:vertAlign w:val="superscript"/>
          <w:lang w:val="fr-CA"/>
        </w:rPr>
        <w:t>me</w:t>
      </w:r>
      <w:r w:rsidRPr="009C665E">
        <w:rPr>
          <w:rFonts w:cs="Times New Roman"/>
          <w:lang w:val="fr-CA"/>
        </w:rPr>
        <w:t xml:space="preserve"> Bouvette avait droit à un acquittement au motif qu’il n’y a aucun élément de preuve permettant à un juge des faits raisonnable, ayant reçu des directives appropriées, de rendre un verdict </w:t>
      </w:r>
      <w:r w:rsidRPr="009C665E">
        <w:rPr>
          <w:rFonts w:cs="Times New Roman"/>
          <w:lang w:val="fr-CA"/>
        </w:rPr>
        <w:lastRenderedPageBreak/>
        <w:t>de culpabilité (m.i., par. 118</w:t>
      </w:r>
      <w:r w:rsidRPr="009C665E">
        <w:rPr>
          <w:rFonts w:cs="Times New Roman"/>
          <w:lang w:val="fr-CA"/>
        </w:rPr>
        <w:noBreakHyphen/>
        <w:t>119), mais elle adopte maintenant un point de vue différent. La Couronne dit qu’il était loisible à la Cour d’appel de conclure que M</w:t>
      </w:r>
      <w:r w:rsidRPr="009C665E">
        <w:rPr>
          <w:rFonts w:cs="Times New Roman"/>
          <w:vertAlign w:val="superscript"/>
          <w:lang w:val="fr-CA"/>
        </w:rPr>
        <w:t>me</w:t>
      </w:r>
      <w:r w:rsidRPr="009C665E">
        <w:rPr>
          <w:rFonts w:cs="Times New Roman"/>
          <w:lang w:val="fr-CA"/>
        </w:rPr>
        <w:t> Bouvette ne devrait pas être acquittée pour ce motif (par. 119). La Couronne soutient toutefois que M</w:t>
      </w:r>
      <w:r w:rsidRPr="009C665E">
        <w:rPr>
          <w:rFonts w:cs="Times New Roman"/>
          <w:vertAlign w:val="superscript"/>
          <w:lang w:val="fr-CA"/>
        </w:rPr>
        <w:t>me</w:t>
      </w:r>
      <w:r w:rsidRPr="009C665E">
        <w:rPr>
          <w:rFonts w:cs="Times New Roman"/>
          <w:lang w:val="fr-CA"/>
        </w:rPr>
        <w:t> Bouvette devrait néanmoins être acquittée sur une base discrétionnaire en raison de l’erreur judiciaire qui a été commise et affirme que la Cour d’appel n’aurait pas dû ordonner l’arrêt des procédures en l’occurrence (par. 7 et 11).</w:t>
      </w:r>
    </w:p>
    <w:p w14:paraId="4E0DFC0A" w14:textId="77777777" w:rsidR="009C665E" w:rsidRPr="009C665E" w:rsidRDefault="009C665E" w:rsidP="009C665E">
      <w:pPr>
        <w:pStyle w:val="Title1LevelTitre1Niveau-AltL"/>
        <w:numPr>
          <w:ilvl w:val="0"/>
          <w:numId w:val="7"/>
        </w:numPr>
        <w:spacing w:before="0"/>
        <w:ind w:left="576"/>
        <w:rPr>
          <w:rFonts w:cs="Times New Roman"/>
          <w:lang w:val="fr-CA"/>
        </w:rPr>
      </w:pPr>
      <w:r w:rsidRPr="009C665E">
        <w:rPr>
          <w:rFonts w:cs="Times New Roman"/>
          <w:lang w:val="fr-CA"/>
        </w:rPr>
        <w:t>Analyse</w:t>
      </w:r>
    </w:p>
    <w:p w14:paraId="098AEBEB" w14:textId="77777777" w:rsidR="009C665E" w:rsidRPr="009C665E" w:rsidRDefault="009C665E" w:rsidP="009C665E">
      <w:pPr>
        <w:pStyle w:val="Title2LevelTitre2Niveau"/>
        <w:spacing w:before="0"/>
        <w:ind w:left="576" w:hanging="576"/>
        <w:rPr>
          <w:rFonts w:cs="Times New Roman"/>
          <w:lang w:val="fr-CA"/>
        </w:rPr>
      </w:pPr>
      <w:r w:rsidRPr="009C665E">
        <w:rPr>
          <w:rFonts w:cs="Times New Roman"/>
          <w:i w:val="0"/>
          <w:lang w:val="fr-CA"/>
        </w:rPr>
        <w:t>A.</w:t>
      </w:r>
      <w:r w:rsidRPr="009C665E">
        <w:rPr>
          <w:rFonts w:cs="Times New Roman"/>
          <w:i w:val="0"/>
          <w:lang w:val="fr-CA"/>
        </w:rPr>
        <w:tab/>
      </w:r>
      <w:r w:rsidRPr="009C665E">
        <w:rPr>
          <w:rFonts w:cs="Times New Roman"/>
          <w:lang w:val="fr-CA"/>
        </w:rPr>
        <w:t>Pouvoirs de réparation des cours d’appel qui annulent une déclaration de culpabilité</w:t>
      </w:r>
    </w:p>
    <w:p w14:paraId="31895982" w14:textId="77777777" w:rsidR="009C665E" w:rsidRPr="009C665E" w:rsidRDefault="009C665E" w:rsidP="009C665E">
      <w:pPr>
        <w:pStyle w:val="ParaNoNdepar-AltN"/>
        <w:spacing w:before="0"/>
        <w:rPr>
          <w:rFonts w:cs="Times New Roman"/>
          <w:lang w:val="fr-CA"/>
        </w:rPr>
      </w:pPr>
      <w:r w:rsidRPr="009C665E">
        <w:rPr>
          <w:rFonts w:cs="Times New Roman"/>
          <w:lang w:val="fr-CA"/>
        </w:rPr>
        <w:t>Pour décider si M</w:t>
      </w:r>
      <w:r w:rsidRPr="009C665E">
        <w:rPr>
          <w:rFonts w:cs="Times New Roman"/>
          <w:vertAlign w:val="superscript"/>
          <w:lang w:val="fr-CA"/>
        </w:rPr>
        <w:t>me</w:t>
      </w:r>
      <w:r w:rsidRPr="009C665E">
        <w:rPr>
          <w:rFonts w:cs="Times New Roman"/>
          <w:lang w:val="fr-CA"/>
        </w:rPr>
        <w:t xml:space="preserve"> Bouvette devrait être acquittée, il est utile de rappeler les pouvoirs légaux dont disposait la Cour d’appel lorsqu’elle a annulé sa déclaration de culpabilité en vertu du par. 686(2) </w:t>
      </w:r>
      <w:r w:rsidRPr="009C665E">
        <w:rPr>
          <w:rFonts w:cs="Times New Roman"/>
          <w:i/>
          <w:lang w:val="fr-CA"/>
        </w:rPr>
        <w:t>C. cr.</w:t>
      </w:r>
      <w:r w:rsidRPr="009C665E">
        <w:rPr>
          <w:rFonts w:cs="Times New Roman"/>
          <w:lang w:val="fr-CA"/>
        </w:rPr>
        <w:t xml:space="preserve"> Je vais premièrement examiner les ordonnances pertinentes qui peuvent être rendues en vertu des par. 686(2) et (8), avant de comparer les deux réparations — un acquittement ou un arrêt judiciaire des procédures — qui sont plus particulièrement en cause dans le présent pourvoi.</w:t>
      </w:r>
    </w:p>
    <w:p w14:paraId="7D3BA079" w14:textId="77777777" w:rsidR="009C665E" w:rsidRPr="009C665E" w:rsidRDefault="009C665E" w:rsidP="009C665E">
      <w:pPr>
        <w:pStyle w:val="Title3LevelTitre3Niveau"/>
        <w:numPr>
          <w:ilvl w:val="3"/>
          <w:numId w:val="6"/>
        </w:numPr>
        <w:spacing w:before="0"/>
        <w:ind w:left="1152" w:hanging="576"/>
        <w:rPr>
          <w:rFonts w:cs="Times New Roman"/>
          <w:lang w:val="fr-CA"/>
        </w:rPr>
      </w:pPr>
      <w:r w:rsidRPr="009C665E">
        <w:rPr>
          <w:rFonts w:cs="Times New Roman"/>
          <w:lang w:val="fr-CA"/>
        </w:rPr>
        <w:t>Principales ordonnances qui peuvent être rendues : acquittement, nouveau procès et arrêt judiciaire des procédures</w:t>
      </w:r>
    </w:p>
    <w:p w14:paraId="73883066" w14:textId="77777777" w:rsidR="009C665E" w:rsidRPr="009C665E" w:rsidRDefault="009C665E" w:rsidP="009C665E">
      <w:pPr>
        <w:pStyle w:val="ParaNoNdepar-AltN"/>
        <w:spacing w:before="0"/>
        <w:rPr>
          <w:rFonts w:cs="Times New Roman"/>
          <w:lang w:val="fr-CA"/>
        </w:rPr>
      </w:pPr>
      <w:r w:rsidRPr="009C665E">
        <w:rPr>
          <w:rFonts w:cs="Times New Roman"/>
          <w:lang w:val="fr-CA"/>
        </w:rPr>
        <w:t>Comme pour tous les pouvoirs qui lui sont conférés, les options qui s’offrent à la cour d’appel doivent trouver leur source dans la loi (</w:t>
      </w:r>
      <w:r w:rsidRPr="009C665E">
        <w:rPr>
          <w:rFonts w:cs="Times New Roman"/>
          <w:i/>
          <w:lang w:val="fr-CA"/>
        </w:rPr>
        <w:t>R. c. Smith</w:t>
      </w:r>
      <w:r w:rsidRPr="009C665E">
        <w:rPr>
          <w:rFonts w:cs="Times New Roman"/>
          <w:lang w:val="fr-CA"/>
        </w:rPr>
        <w:t xml:space="preserve">, 2004 CSC 14, [2004] 1 R.C.S. 385, par. 21). Les principaux pouvoirs dont dispose la cour </w:t>
      </w:r>
      <w:r w:rsidRPr="009C665E">
        <w:rPr>
          <w:rFonts w:cs="Times New Roman"/>
          <w:lang w:val="fr-CA"/>
        </w:rPr>
        <w:lastRenderedPageBreak/>
        <w:t xml:space="preserve">d’appel lorsqu’elle fait droit à un appel d’une déclaration de culpabilité comme celle en litige sont prévus aux par. 686(1), (2) et (8) </w:t>
      </w:r>
      <w:r w:rsidRPr="009C665E">
        <w:rPr>
          <w:rFonts w:cs="Times New Roman"/>
          <w:i/>
          <w:lang w:val="fr-CA"/>
        </w:rPr>
        <w:t>C. cr.</w:t>
      </w:r>
      <w:r w:rsidRPr="009C665E">
        <w:rPr>
          <w:rFonts w:cs="Times New Roman"/>
          <w:lang w:val="fr-CA"/>
        </w:rPr>
        <w:t xml:space="preserve"> D’autres pouvoirs prévus par l’art. 686 peuvent être exercés dans des circonstances différentes de celles en cause dans le présent pourvoi, comme la substitution d’un autre verdict lorsqu’un appel est rejeté (voir, p. ex., le par. 686(3)).</w:t>
      </w:r>
    </w:p>
    <w:p w14:paraId="4AB5AF5E" w14:textId="77777777" w:rsidR="009C665E" w:rsidRPr="009C665E" w:rsidRDefault="009C665E" w:rsidP="009C665E">
      <w:pPr>
        <w:pStyle w:val="ParaNoNdepar-AltN"/>
        <w:spacing w:before="0"/>
        <w:rPr>
          <w:rFonts w:cs="Times New Roman"/>
          <w:lang w:val="fr-CA"/>
        </w:rPr>
      </w:pPr>
      <w:r w:rsidRPr="009C665E">
        <w:rPr>
          <w:rFonts w:cs="Times New Roman"/>
          <w:lang w:val="fr-CA"/>
        </w:rPr>
        <w:t>Premièrement, l’al. 686(1)a) permet à la cour d’appel de faire droit à l’appel lorsque, notamment, comme le prévoit le sous</w:t>
      </w:r>
      <w:r w:rsidRPr="009C665E">
        <w:rPr>
          <w:rFonts w:cs="Times New Roman"/>
          <w:lang w:val="fr-CA"/>
        </w:rPr>
        <w:noBreakHyphen/>
        <w:t>al. (</w:t>
      </w:r>
      <w:proofErr w:type="gramStart"/>
      <w:r w:rsidRPr="009C665E">
        <w:rPr>
          <w:rFonts w:cs="Times New Roman"/>
          <w:lang w:val="fr-CA"/>
        </w:rPr>
        <w:t>iii</w:t>
      </w:r>
      <w:proofErr w:type="gramEnd"/>
      <w:r w:rsidRPr="009C665E">
        <w:rPr>
          <w:rFonts w:cs="Times New Roman"/>
          <w:lang w:val="fr-CA"/>
        </w:rPr>
        <w:t>), pour un motif quelconque, il y a eu une erreur judiciaire :</w:t>
      </w:r>
    </w:p>
    <w:p w14:paraId="37157BCC" w14:textId="77777777" w:rsidR="009C665E" w:rsidRPr="009C665E" w:rsidRDefault="009C665E" w:rsidP="009C665E">
      <w:pPr>
        <w:pStyle w:val="Citation-AltC"/>
        <w:spacing w:after="240"/>
        <w:ind w:left="1168" w:hanging="358"/>
        <w:contextualSpacing w:val="0"/>
        <w:rPr>
          <w:lang w:val="fr-CA"/>
        </w:rPr>
      </w:pPr>
      <w:r w:rsidRPr="009C665E">
        <w:rPr>
          <w:b/>
          <w:lang w:val="fr-CA"/>
        </w:rPr>
        <w:tab/>
        <w:t>686 (1)</w:t>
      </w:r>
      <w:r w:rsidRPr="009C665E">
        <w:rPr>
          <w:lang w:val="fr-CA"/>
        </w:rPr>
        <w:t xml:space="preserve"> Lors de l’audition d’un appel d’une déclaration de culpabilité ou d’un verdict d’inaptitude à subir son procès ou de non-responsabilité criminelle pour cause de troubles mentaux, la cour d’appel :</w:t>
      </w:r>
    </w:p>
    <w:p w14:paraId="4E3B01FF" w14:textId="77777777" w:rsidR="009C665E" w:rsidRPr="009C665E" w:rsidRDefault="009C665E" w:rsidP="009C665E">
      <w:pPr>
        <w:pStyle w:val="Citation-AltC"/>
        <w:tabs>
          <w:tab w:val="left" w:pos="1440"/>
        </w:tabs>
        <w:spacing w:after="240"/>
        <w:ind w:left="1440" w:hanging="360"/>
        <w:contextualSpacing w:val="0"/>
        <w:rPr>
          <w:lang w:val="fr-CA"/>
        </w:rPr>
      </w:pPr>
      <w:r w:rsidRPr="009C665E">
        <w:rPr>
          <w:b/>
          <w:lang w:val="fr-CA"/>
        </w:rPr>
        <w:tab/>
        <w:t>a)</w:t>
      </w:r>
      <w:r w:rsidRPr="009C665E">
        <w:rPr>
          <w:lang w:val="fr-CA"/>
        </w:rPr>
        <w:t xml:space="preserve"> peut admettre l’appel, si elle est d’avis, selon le cas :</w:t>
      </w:r>
    </w:p>
    <w:p w14:paraId="48C87904" w14:textId="77777777" w:rsidR="009C665E" w:rsidRPr="009C665E" w:rsidRDefault="009C665E" w:rsidP="009C665E">
      <w:pPr>
        <w:pStyle w:val="Citation-AltC"/>
        <w:numPr>
          <w:ilvl w:val="5"/>
          <w:numId w:val="6"/>
        </w:numPr>
        <w:tabs>
          <w:tab w:val="left" w:pos="2250"/>
        </w:tabs>
        <w:spacing w:after="240"/>
        <w:ind w:left="1803" w:firstLine="0"/>
        <w:contextualSpacing w:val="0"/>
        <w:rPr>
          <w:lang w:val="fr-CA"/>
        </w:rPr>
      </w:pPr>
      <w:proofErr w:type="gramStart"/>
      <w:r w:rsidRPr="009C665E">
        <w:rPr>
          <w:lang w:val="fr-CA"/>
        </w:rPr>
        <w:t>que</w:t>
      </w:r>
      <w:proofErr w:type="gramEnd"/>
      <w:r w:rsidRPr="009C665E">
        <w:rPr>
          <w:lang w:val="fr-CA"/>
        </w:rPr>
        <w:t xml:space="preserve"> le verdict devrait être rejeté pour le motif qu’il est déraisonnable ou ne peut pas s’appuyer sur la preuve,</w:t>
      </w:r>
    </w:p>
    <w:p w14:paraId="4DD75F13" w14:textId="77777777" w:rsidR="009C665E" w:rsidRPr="009C665E" w:rsidRDefault="009C665E" w:rsidP="009C665E">
      <w:pPr>
        <w:pStyle w:val="Citation-AltC"/>
        <w:numPr>
          <w:ilvl w:val="5"/>
          <w:numId w:val="6"/>
        </w:numPr>
        <w:tabs>
          <w:tab w:val="left" w:pos="2250"/>
        </w:tabs>
        <w:spacing w:after="240"/>
        <w:ind w:left="1803" w:firstLine="0"/>
        <w:contextualSpacing w:val="0"/>
        <w:rPr>
          <w:lang w:val="fr-CA"/>
        </w:rPr>
      </w:pPr>
      <w:proofErr w:type="gramStart"/>
      <w:r w:rsidRPr="009C665E">
        <w:rPr>
          <w:lang w:val="fr-CA"/>
        </w:rPr>
        <w:t>que</w:t>
      </w:r>
      <w:proofErr w:type="gramEnd"/>
      <w:r w:rsidRPr="009C665E">
        <w:rPr>
          <w:lang w:val="fr-CA"/>
        </w:rPr>
        <w:t xml:space="preserve"> le jugement du tribunal de première instance devrait être écarté pour le motif qu’il constitue une décision erronée sur une question de droit,</w:t>
      </w:r>
    </w:p>
    <w:p w14:paraId="5A6746D3" w14:textId="77777777" w:rsidR="009C665E" w:rsidRPr="009C665E" w:rsidRDefault="009C665E" w:rsidP="009C665E">
      <w:pPr>
        <w:pStyle w:val="Citation-AltC"/>
        <w:numPr>
          <w:ilvl w:val="5"/>
          <w:numId w:val="6"/>
        </w:numPr>
        <w:tabs>
          <w:tab w:val="left" w:pos="2250"/>
        </w:tabs>
        <w:ind w:left="1800" w:firstLine="0"/>
        <w:contextualSpacing w:val="0"/>
        <w:rPr>
          <w:lang w:val="fr-CA"/>
        </w:rPr>
      </w:pPr>
      <w:proofErr w:type="gramStart"/>
      <w:r w:rsidRPr="009C665E">
        <w:rPr>
          <w:lang w:val="fr-CA"/>
        </w:rPr>
        <w:t>que</w:t>
      </w:r>
      <w:proofErr w:type="gramEnd"/>
      <w:r w:rsidRPr="009C665E">
        <w:rPr>
          <w:lang w:val="fr-CA"/>
        </w:rPr>
        <w:t>, pour un motif quelconque, il y a eu erreur judiciaire;</w:t>
      </w:r>
    </w:p>
    <w:p w14:paraId="4714EE35" w14:textId="77777777" w:rsidR="009C665E" w:rsidRPr="009C665E" w:rsidRDefault="009C665E" w:rsidP="009C665E">
      <w:pPr>
        <w:pStyle w:val="ParaNoNdepar-AltN"/>
        <w:spacing w:before="0"/>
        <w:rPr>
          <w:rFonts w:cs="Times New Roman"/>
          <w:lang w:val="fr-CA"/>
        </w:rPr>
      </w:pPr>
      <w:r w:rsidRPr="009C665E">
        <w:rPr>
          <w:rFonts w:cs="Times New Roman"/>
          <w:lang w:val="fr-CA"/>
        </w:rPr>
        <w:t>Le paragraphe 686(2) prévoit ensuite que, lorsqu’un appel a été accueilli en vertu de l’al. 686(1)a), la cour d’appel doit, en portant un regard rétrospectif, annuler la déclaration de culpabilité. L’annulation de déclarations de culpabilité protège les personnes accusées contre les erreurs judiciaires, telle l’absence de communication dans le cas de M</w:t>
      </w:r>
      <w:r w:rsidRPr="009C665E">
        <w:rPr>
          <w:rFonts w:cs="Times New Roman"/>
          <w:vertAlign w:val="superscript"/>
          <w:lang w:val="fr-CA"/>
        </w:rPr>
        <w:t>me</w:t>
      </w:r>
      <w:r w:rsidRPr="009C665E">
        <w:rPr>
          <w:rFonts w:cs="Times New Roman"/>
          <w:lang w:val="fr-CA"/>
        </w:rPr>
        <w:t xml:space="preserve"> Bouvette, donnant lieu à des déclarations de culpabilité susceptibles </w:t>
      </w:r>
      <w:r w:rsidRPr="009C665E">
        <w:rPr>
          <w:rFonts w:cs="Times New Roman"/>
          <w:lang w:val="fr-CA"/>
        </w:rPr>
        <w:lastRenderedPageBreak/>
        <w:t>d’être qualifiées de douteuses ou même d’injustifiées. Le point de mire de la cour d’appel passe ensuite d’un examen rétrospectif de la question de savoir si [</w:t>
      </w:r>
      <w:r w:rsidRPr="009C665E">
        <w:rPr>
          <w:rFonts w:cs="Times New Roman"/>
          <w:smallCaps/>
          <w:lang w:val="fr-CA"/>
        </w:rPr>
        <w:t>traduction</w:t>
      </w:r>
      <w:r w:rsidRPr="009C665E">
        <w:rPr>
          <w:rFonts w:cs="Times New Roman"/>
          <w:lang w:val="fr-CA"/>
        </w:rPr>
        <w:t>] « la déclaration de culpabilité [. . .] constitue une erreur judiciaire » à une « deuxième étape [prospective] de [l</w:t>
      </w:r>
      <w:proofErr w:type="gramStart"/>
      <w:r w:rsidRPr="009C665E">
        <w:rPr>
          <w:rFonts w:cs="Times New Roman"/>
          <w:lang w:val="fr-CA"/>
        </w:rPr>
        <w:t>’]analyse</w:t>
      </w:r>
      <w:proofErr w:type="gramEnd"/>
      <w:r w:rsidRPr="009C665E">
        <w:rPr>
          <w:rFonts w:cs="Times New Roman"/>
          <w:lang w:val="fr-CA"/>
        </w:rPr>
        <w:t> : ayant annulé la déclaration de culpabilité, quelle est la réparation appropriée? » (</w:t>
      </w:r>
      <w:proofErr w:type="gramStart"/>
      <w:r w:rsidRPr="009C665E">
        <w:rPr>
          <w:rFonts w:cs="Times New Roman"/>
          <w:lang w:val="fr-CA"/>
        </w:rPr>
        <w:t>voir</w:t>
      </w:r>
      <w:proofErr w:type="gramEnd"/>
      <w:r w:rsidRPr="009C665E">
        <w:rPr>
          <w:rFonts w:cs="Times New Roman"/>
          <w:lang w:val="fr-CA"/>
        </w:rPr>
        <w:t xml:space="preserve"> </w:t>
      </w:r>
      <w:r w:rsidRPr="009C665E">
        <w:rPr>
          <w:rFonts w:cs="Times New Roman"/>
          <w:i/>
          <w:lang w:val="fr-CA"/>
        </w:rPr>
        <w:t>Truscott</w:t>
      </w:r>
      <w:r w:rsidRPr="009C665E">
        <w:rPr>
          <w:rFonts w:cs="Times New Roman"/>
          <w:lang w:val="fr-CA"/>
        </w:rPr>
        <w:t>, par. 245). Cet examen prospectif n’est plus axé sur la question de savoir si la déclaration de culpabilité devrait être annulée en raison d’une erreur judiciaire. La tâche en matière de réparation qui reste à la cour d’appel à accomplir consiste plutôt à choisir la voie appropriée à suivre, maintenant que la déclaration de culpabilité a été effacée, en ordonnant un acquittement, un nouveau procès ou un arrêt judiciaire des procédures. Quelle que soit la voie choisie, la déclaration de culpabilité ayant fait l’objet de l’appel ne sera ni évitée ni perpétuée.</w:t>
      </w:r>
    </w:p>
    <w:p w14:paraId="09035421" w14:textId="77777777" w:rsidR="009C665E" w:rsidRPr="009C665E" w:rsidRDefault="009C665E" w:rsidP="009C665E">
      <w:pPr>
        <w:pStyle w:val="ParaNoNdepar-AltN"/>
        <w:spacing w:before="0"/>
        <w:rPr>
          <w:rFonts w:cs="Times New Roman"/>
          <w:lang w:val="fr-CA"/>
        </w:rPr>
      </w:pPr>
      <w:r w:rsidRPr="009C665E">
        <w:rPr>
          <w:rFonts w:cs="Times New Roman"/>
          <w:lang w:val="fr-CA"/>
        </w:rPr>
        <w:t>Les alinéas 686(2)a) et b) énoncent deux des réparations pertinentes en l’espèce, prescrivant que les mêmes réparations sont possibles indépendamment du motif invoqué pour accueillir l’appel en vertu de l’al. 686(1)a) :</w:t>
      </w:r>
    </w:p>
    <w:p w14:paraId="5FBF268A" w14:textId="77777777" w:rsidR="009C665E" w:rsidRPr="009C665E" w:rsidRDefault="009C665E" w:rsidP="009C665E">
      <w:pPr>
        <w:pStyle w:val="Citation-AltC"/>
        <w:spacing w:after="240"/>
        <w:ind w:left="1168" w:hanging="358"/>
        <w:contextualSpacing w:val="0"/>
        <w:rPr>
          <w:lang w:val="fr-CA"/>
        </w:rPr>
      </w:pPr>
      <w:r w:rsidRPr="009C665E">
        <w:rPr>
          <w:b/>
          <w:lang w:val="fr-CA"/>
        </w:rPr>
        <w:tab/>
        <w:t>(2)</w:t>
      </w:r>
      <w:r w:rsidRPr="009C665E">
        <w:rPr>
          <w:lang w:val="fr-CA"/>
        </w:rPr>
        <w:t> Lorsqu’une cour d’appel admet un appel en vertu de l’alinéa (1)a), elle annule la condamnation et, selon le cas :</w:t>
      </w:r>
    </w:p>
    <w:p w14:paraId="433670F2" w14:textId="77777777" w:rsidR="009C665E" w:rsidRPr="009C665E" w:rsidRDefault="009C665E" w:rsidP="009C665E">
      <w:pPr>
        <w:pStyle w:val="Citation-AltC"/>
        <w:spacing w:after="240"/>
        <w:ind w:left="1440" w:hanging="360"/>
        <w:contextualSpacing w:val="0"/>
        <w:rPr>
          <w:lang w:val="fr-CA"/>
        </w:rPr>
      </w:pPr>
      <w:r w:rsidRPr="009C665E">
        <w:rPr>
          <w:b/>
          <w:lang w:val="fr-CA"/>
        </w:rPr>
        <w:tab/>
        <w:t>a)</w:t>
      </w:r>
      <w:r w:rsidRPr="009C665E">
        <w:rPr>
          <w:lang w:val="fr-CA"/>
        </w:rPr>
        <w:t> ordonne l’inscription d’un jugement ou verdict d’acquittement;</w:t>
      </w:r>
    </w:p>
    <w:p w14:paraId="1A97D493" w14:textId="77777777" w:rsidR="009C665E" w:rsidRPr="009C665E" w:rsidRDefault="009C665E" w:rsidP="009C665E">
      <w:pPr>
        <w:pStyle w:val="Citation-AltC"/>
        <w:ind w:left="1440" w:hanging="360"/>
        <w:contextualSpacing w:val="0"/>
        <w:rPr>
          <w:lang w:val="fr-CA"/>
        </w:rPr>
      </w:pPr>
      <w:r w:rsidRPr="009C665E">
        <w:rPr>
          <w:b/>
          <w:lang w:val="fr-CA"/>
        </w:rPr>
        <w:tab/>
        <w:t>b)</w:t>
      </w:r>
      <w:r w:rsidRPr="009C665E">
        <w:rPr>
          <w:lang w:val="fr-CA"/>
        </w:rPr>
        <w:t> ordonne un nouveau procès.</w:t>
      </w:r>
    </w:p>
    <w:p w14:paraId="4DC2CB04"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Le paragraphe 686(8) confère à la cour d’appel des pouvoirs additionnels, parfois appelés « résiduels » ou « accessoires », qui lui permettent en outre de rendre </w:t>
      </w:r>
      <w:r w:rsidRPr="009C665E">
        <w:rPr>
          <w:rFonts w:cs="Times New Roman"/>
          <w:lang w:val="fr-CA"/>
        </w:rPr>
        <w:lastRenderedPageBreak/>
        <w:t>toute ordonnance que la justice exige lorsqu’elle exerce son pouvoir d’annuler une déclaration de culpabilité :</w:t>
      </w:r>
    </w:p>
    <w:p w14:paraId="44F33A76" w14:textId="77777777" w:rsidR="009C665E" w:rsidRPr="009C665E" w:rsidRDefault="009C665E" w:rsidP="009C665E">
      <w:pPr>
        <w:pStyle w:val="Citation-AltC"/>
        <w:ind w:hanging="360"/>
        <w:contextualSpacing w:val="0"/>
        <w:rPr>
          <w:lang w:val="fr-CA"/>
        </w:rPr>
      </w:pPr>
      <w:r w:rsidRPr="009C665E">
        <w:rPr>
          <w:b/>
          <w:lang w:val="fr-CA"/>
        </w:rPr>
        <w:tab/>
        <w:t>(8)</w:t>
      </w:r>
      <w:r w:rsidRPr="009C665E">
        <w:rPr>
          <w:lang w:val="fr-CA"/>
        </w:rPr>
        <w:t> Lorsqu’une cour d’appel exerce des pouvoirs conférés par le paragraphe (2), (4), (6) ou (7), elle peut en outre rendre toute ordonnance que la justice exige.</w:t>
      </w:r>
    </w:p>
    <w:p w14:paraId="42168AD2" w14:textId="77777777" w:rsidR="009C665E" w:rsidRPr="009C665E" w:rsidRDefault="009C665E" w:rsidP="009C665E">
      <w:pPr>
        <w:pStyle w:val="ParaNoNdepar-AltN"/>
        <w:rPr>
          <w:rFonts w:cs="Times New Roman"/>
          <w:lang w:val="fr-CA"/>
        </w:rPr>
      </w:pPr>
      <w:r w:rsidRPr="009C665E">
        <w:rPr>
          <w:rFonts w:cs="Times New Roman"/>
          <w:lang w:val="fr-CA"/>
        </w:rPr>
        <w:t xml:space="preserve">Ensemble, ces dispositions offrent à la cour d’appel trois options principales lorsqu’elle fait droit à un appel d’une déclaration de culpabilité. Comme le prévoient explicitement les al. 686(2)a) et b), la cour d’appel peut ordonner un nouveau procès ou prononcer un acquittement en lieu et place de la déclaration de culpabilité annulée. Une troisième option, l’arrêt judiciaire des procédures, n’est pas explicitement mentionnée au par. 686(2), mais peut être ordonnée en vertu du par. 686(8) à titre de mesure accessoire ou résiduelle par rapport à l’annulation de la déclaration de culpabilité (voir </w:t>
      </w:r>
      <w:r w:rsidRPr="009C665E">
        <w:rPr>
          <w:rFonts w:cs="Times New Roman"/>
          <w:i/>
          <w:lang w:val="fr-CA"/>
        </w:rPr>
        <w:t>R. c. Hinse</w:t>
      </w:r>
      <w:r w:rsidRPr="009C665E">
        <w:rPr>
          <w:rFonts w:cs="Times New Roman"/>
          <w:lang w:val="fr-CA"/>
        </w:rPr>
        <w:t>, [1995] 4 R.C.S. 597, par. 29). L’arrêt judiciaire des procédures met un terme définitif aux procédures — il constitue une réparation « draconienne » (</w:t>
      </w:r>
      <w:r w:rsidRPr="009C665E">
        <w:rPr>
          <w:rFonts w:cs="Times New Roman"/>
          <w:i/>
          <w:lang w:val="fr-CA"/>
        </w:rPr>
        <w:t>R. c. Babos</w:t>
      </w:r>
      <w:r w:rsidRPr="009C665E">
        <w:rPr>
          <w:rFonts w:cs="Times New Roman"/>
          <w:lang w:val="fr-CA"/>
        </w:rPr>
        <w:t xml:space="preserve">, 2014 CSC 16, [2014] 1 R.C.S. 309, par. 30). Il ne peut être accordé que pour empêcher un abus de procédures dans les « cas les plus manifestes », remédiant à une atteinte au droit de l’accusé à un procès équitable ou à l’intégrité du système de justice (par. 31, citant </w:t>
      </w:r>
      <w:r w:rsidRPr="009C665E">
        <w:rPr>
          <w:rFonts w:cs="Times New Roman"/>
          <w:i/>
          <w:lang w:val="fr-CA"/>
        </w:rPr>
        <w:t>R. c. O’Connor</w:t>
      </w:r>
      <w:r w:rsidRPr="009C665E">
        <w:rPr>
          <w:rFonts w:cs="Times New Roman"/>
          <w:lang w:val="fr-CA"/>
        </w:rPr>
        <w:t xml:space="preserve">, [1995] 4 R.C.S. 411, par. 68). En clair, bien que le </w:t>
      </w:r>
      <w:r w:rsidRPr="009C665E">
        <w:rPr>
          <w:rFonts w:cs="Times New Roman"/>
          <w:i/>
          <w:lang w:val="fr-CA"/>
        </w:rPr>
        <w:t xml:space="preserve">Code criminel </w:t>
      </w:r>
      <w:r w:rsidRPr="009C665E">
        <w:rPr>
          <w:rFonts w:cs="Times New Roman"/>
          <w:lang w:val="fr-CA"/>
        </w:rPr>
        <w:t>offre ces trois options à la cour d’appel, la réparation que constitue un acquittement doit être examinée en premier et les autres options doivent l’être lorsqu’un acquittement n’est pas justifié.</w:t>
      </w:r>
    </w:p>
    <w:p w14:paraId="75D87ED7" w14:textId="77777777" w:rsidR="009C665E" w:rsidRPr="009C665E" w:rsidRDefault="009C665E" w:rsidP="009C665E">
      <w:pPr>
        <w:pStyle w:val="ParaNoNdepar-AltN"/>
        <w:spacing w:before="0"/>
        <w:rPr>
          <w:rFonts w:cs="Times New Roman"/>
          <w:lang w:val="fr-CA"/>
        </w:rPr>
      </w:pPr>
      <w:r w:rsidRPr="009C665E">
        <w:rPr>
          <w:rFonts w:cs="Times New Roman"/>
          <w:lang w:val="fr-CA"/>
        </w:rPr>
        <w:lastRenderedPageBreak/>
        <w:t>En sa qualité d’intervenant, le procureur général de l’Ontario a soutenu que l’arrêt judiciaire des procédures ne devrait être inscrit qu’après que la cour a décidé en vertu du par. 686(2) d’ordonner un nouveau procès (m. interv., par. 14</w:t>
      </w:r>
      <w:r w:rsidRPr="009C665E">
        <w:rPr>
          <w:rFonts w:cs="Times New Roman"/>
          <w:lang w:val="fr-CA"/>
        </w:rPr>
        <w:noBreakHyphen/>
        <w:t>15). Avec égards, je ne suis pas de cet avis.</w:t>
      </w:r>
    </w:p>
    <w:p w14:paraId="0D86F52C"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Il est bien établi en droit qu’annuler la déclaration de culpabilité en vertu du par. 686(2) suffit pour qu’entre en jeu le pouvoir d’inscrire l’arrêt judiciaire des procédures en vertu du par. 686(8), et ce, même si un nouveau procès n’est pas ordonné (voir </w:t>
      </w:r>
      <w:r w:rsidRPr="009C665E">
        <w:rPr>
          <w:rFonts w:cs="Times New Roman"/>
          <w:i/>
          <w:lang w:val="fr-CA"/>
        </w:rPr>
        <w:t>Smith</w:t>
      </w:r>
      <w:r w:rsidRPr="009C665E">
        <w:rPr>
          <w:rFonts w:cs="Times New Roman"/>
          <w:lang w:val="fr-CA"/>
        </w:rPr>
        <w:t>, par. 22; voir aussi</w:t>
      </w:r>
      <w:r w:rsidRPr="009C665E">
        <w:rPr>
          <w:rFonts w:cs="Times New Roman"/>
          <w:i/>
          <w:lang w:val="fr-CA"/>
        </w:rPr>
        <w:t xml:space="preserve"> R. c. R.V.</w:t>
      </w:r>
      <w:r w:rsidRPr="009C665E">
        <w:rPr>
          <w:rFonts w:cs="Times New Roman"/>
          <w:lang w:val="fr-CA"/>
        </w:rPr>
        <w:t xml:space="preserve">, 2021 CSC 10, [2021] 1 R.C.S. 131, par. 75; </w:t>
      </w:r>
      <w:r w:rsidRPr="009C665E">
        <w:rPr>
          <w:rFonts w:cs="Times New Roman"/>
          <w:i/>
          <w:lang w:val="fr-CA"/>
        </w:rPr>
        <w:t>R. c. Bellusci</w:t>
      </w:r>
      <w:r w:rsidRPr="009C665E">
        <w:rPr>
          <w:rFonts w:cs="Times New Roman"/>
          <w:lang w:val="fr-CA"/>
        </w:rPr>
        <w:t xml:space="preserve">, 2012 CSC 44, [2012] 2 R.C.S. 509, par. 39; </w:t>
      </w:r>
      <w:bookmarkStart w:id="29" w:name="_Hlk185498558"/>
      <w:r w:rsidRPr="009C665E">
        <w:rPr>
          <w:rFonts w:cs="Times New Roman"/>
          <w:lang w:val="fr-CA"/>
        </w:rPr>
        <w:t xml:space="preserve">M. Vauclair, T. Desjardins et P. Lachance, </w:t>
      </w:r>
      <w:r w:rsidRPr="009C665E">
        <w:rPr>
          <w:rFonts w:cs="Times New Roman"/>
          <w:i/>
          <w:lang w:val="fr-CA"/>
        </w:rPr>
        <w:t>Traité général de preuve et de procédure pénales</w:t>
      </w:r>
      <w:r w:rsidRPr="009C665E">
        <w:rPr>
          <w:rFonts w:cs="Times New Roman"/>
          <w:lang w:val="fr-CA"/>
        </w:rPr>
        <w:t xml:space="preserve"> </w:t>
      </w:r>
      <w:r w:rsidRPr="009C665E">
        <w:rPr>
          <w:rFonts w:cs="Times New Roman"/>
          <w:i/>
          <w:lang w:val="fr-CA"/>
        </w:rPr>
        <w:t>2024</w:t>
      </w:r>
      <w:r w:rsidRPr="009C665E">
        <w:rPr>
          <w:rFonts w:cs="Times New Roman"/>
          <w:lang w:val="fr-CA"/>
        </w:rPr>
        <w:t xml:space="preserve"> (31</w:t>
      </w:r>
      <w:r w:rsidRPr="009C665E">
        <w:rPr>
          <w:rFonts w:cs="Times New Roman"/>
          <w:vertAlign w:val="superscript"/>
          <w:lang w:val="fr-CA"/>
        </w:rPr>
        <w:t>e</w:t>
      </w:r>
      <w:r w:rsidRPr="009C665E">
        <w:rPr>
          <w:rFonts w:cs="Times New Roman"/>
          <w:lang w:val="fr-CA"/>
        </w:rPr>
        <w:t> éd. 2024)</w:t>
      </w:r>
      <w:bookmarkEnd w:id="29"/>
      <w:r w:rsidRPr="009C665E">
        <w:rPr>
          <w:rFonts w:cs="Times New Roman"/>
          <w:lang w:val="fr-CA"/>
        </w:rPr>
        <w:t>, par. 51.282). Il est par conséquent préférable de considérer l’arrêt judiciaire des procédures comme une troisième ordonnance, distincte. Il est effectivement également possible d’ordonner l’arrêt judiciaire des procédures « au lieu » de rendre une ordonnance de nouveau de procès ou un verdict d’acquittement (</w:t>
      </w:r>
      <w:r w:rsidRPr="009C665E">
        <w:rPr>
          <w:rFonts w:cs="Times New Roman"/>
          <w:i/>
          <w:lang w:val="fr-CA"/>
        </w:rPr>
        <w:t>Hinse</w:t>
      </w:r>
      <w:r w:rsidRPr="009C665E">
        <w:rPr>
          <w:rFonts w:cs="Times New Roman"/>
          <w:lang w:val="fr-CA"/>
        </w:rPr>
        <w:t>, par. 29). Il n’y a donc aucun problème dans le fait que la Cour d’appel n’a ni ordonné un nouveau procès ni acquitté M</w:t>
      </w:r>
      <w:r w:rsidRPr="009C665E">
        <w:rPr>
          <w:rFonts w:cs="Times New Roman"/>
          <w:vertAlign w:val="superscript"/>
          <w:lang w:val="fr-CA"/>
        </w:rPr>
        <w:t>me</w:t>
      </w:r>
      <w:r w:rsidRPr="009C665E">
        <w:rPr>
          <w:rFonts w:cs="Times New Roman"/>
          <w:lang w:val="fr-CA"/>
        </w:rPr>
        <w:t> Bouvette, mais a simplement annulé la déclaration de culpabilité et inscrit l’arrêt des procédures (par. 147).</w:t>
      </w:r>
    </w:p>
    <w:p w14:paraId="0D783E3A"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Les cours d’appel ne sont pas tenues par la loi de prononcer des acquittements dans tous les cas; le Parlement a prescrit qu’elles font un choix parmi les réparations possibles comme le dictent les circonstances et l’intérêt de la justice. Cette tâche leur incombe en vertu de l’art. 686. Autrement dit, le Parlement a confié aux </w:t>
      </w:r>
      <w:r w:rsidRPr="009C665E">
        <w:rPr>
          <w:rFonts w:cs="Times New Roman"/>
          <w:lang w:val="fr-CA"/>
        </w:rPr>
        <w:lastRenderedPageBreak/>
        <w:t>cours d’appel le pouvoir de rendre un verdict d’acquittement en vertu du par. 686(2). Personne ne prétend le contraire. Le présent pourvoi fournit une occasion de clarifier dans quelles circonstances un acquittement, par rapport à un nouveau procès ou à un arrêt judiciaire des procédures, constituerait un résultat juste et approprié, dans les limites appropriées de l’évolution progressive du droit.</w:t>
      </w:r>
    </w:p>
    <w:p w14:paraId="58F7F51C" w14:textId="77777777" w:rsidR="009C665E" w:rsidRPr="009C665E" w:rsidRDefault="009C665E" w:rsidP="009C665E">
      <w:pPr>
        <w:pStyle w:val="Title3LevelTitre3Niveau"/>
        <w:spacing w:before="0"/>
        <w:ind w:left="1152" w:hanging="576"/>
        <w:rPr>
          <w:rFonts w:cs="Times New Roman"/>
          <w:lang w:val="fr-CA"/>
        </w:rPr>
      </w:pPr>
      <w:r w:rsidRPr="009C665E">
        <w:rPr>
          <w:rFonts w:cs="Times New Roman"/>
          <w:u w:val="none"/>
          <w:lang w:val="fr-CA"/>
        </w:rPr>
        <w:t>(2)</w:t>
      </w:r>
      <w:r w:rsidRPr="009C665E">
        <w:rPr>
          <w:rFonts w:cs="Times New Roman"/>
          <w:u w:val="none"/>
          <w:lang w:val="fr-CA"/>
        </w:rPr>
        <w:tab/>
      </w:r>
      <w:r w:rsidRPr="009C665E">
        <w:rPr>
          <w:rFonts w:cs="Times New Roman"/>
          <w:lang w:val="fr-CA"/>
        </w:rPr>
        <w:t>Distinction entre un acquittement et un arrêt judiciaire des procédures</w:t>
      </w:r>
    </w:p>
    <w:p w14:paraId="3B831C4C" w14:textId="77777777" w:rsidR="009C665E" w:rsidRPr="009C665E" w:rsidRDefault="009C665E" w:rsidP="009C665E">
      <w:pPr>
        <w:pStyle w:val="ParaNoNdepar-AltN"/>
        <w:spacing w:before="0"/>
        <w:rPr>
          <w:rFonts w:cs="Times New Roman"/>
          <w:lang w:val="fr-CA"/>
        </w:rPr>
      </w:pPr>
      <w:r w:rsidRPr="009C665E">
        <w:rPr>
          <w:rFonts w:cs="Times New Roman"/>
          <w:lang w:val="fr-CA"/>
        </w:rPr>
        <w:t>Nul ne conteste qu’il existe des motifs justifiant l’arrêt judiciaire des procédures inscrit par la Cour d’appel. Indépendamment de l’issue du présent pourvoi, il n’y aura pas de nouveau procès. La Cour d’appel n’en a pas ordonné un avant d’inscrire l’arrêt des procédures et ni l’une ni l’autre des parties n’en a fait la demande, qu’il y ait un acquittement ou non. La seule question qui se pose est de savoir si la Cour d’appel aurait dû prononcer un acquittement au lieu d’ordonner l’arrêt des procédures. Comprendre la nature de ces deux ordonnances distinctes est donc au cœur du présent pourvoi.</w:t>
      </w:r>
    </w:p>
    <w:p w14:paraId="2FE16361" w14:textId="77777777" w:rsidR="009C665E" w:rsidRPr="009C665E" w:rsidRDefault="009C665E" w:rsidP="009C665E">
      <w:pPr>
        <w:pStyle w:val="ParaNoNdepar-AltN"/>
        <w:spacing w:before="0"/>
        <w:rPr>
          <w:rFonts w:cs="Times New Roman"/>
          <w:lang w:val="fr-CA"/>
        </w:rPr>
      </w:pPr>
      <w:r w:rsidRPr="009C665E">
        <w:rPr>
          <w:rFonts w:cs="Times New Roman"/>
          <w:lang w:val="fr-CA"/>
        </w:rPr>
        <w:t>Un acquittement représente une conclusion selon laquelle l’accusé n’est pas coupable. Il signifie que la Couronne n’a pas prouvé le bien</w:t>
      </w:r>
      <w:r w:rsidRPr="009C665E">
        <w:rPr>
          <w:rFonts w:cs="Times New Roman"/>
          <w:lang w:val="fr-CA"/>
        </w:rPr>
        <w:noBreakHyphen/>
        <w:t>fondé de sa cause hors de tout doute raisonnable et, sous réserve de l’existence d’un droit d’appel, il met fin aux procédures. Un arrêt judiciaire des procédures y met également fin et signifie que la Couronne est « incapable d’obtenir une déclaration de culpabilité » (</w:t>
      </w:r>
      <w:r w:rsidRPr="009C665E">
        <w:rPr>
          <w:rFonts w:cs="Times New Roman"/>
          <w:i/>
          <w:lang w:val="fr-CA"/>
        </w:rPr>
        <w:t>R. c.</w:t>
      </w:r>
      <w:bookmarkStart w:id="30" w:name="_Hlk185498629"/>
      <w:r w:rsidRPr="009C665E">
        <w:rPr>
          <w:rFonts w:cs="Times New Roman"/>
          <w:i/>
          <w:lang w:val="fr-CA"/>
        </w:rPr>
        <w:t xml:space="preserve"> Jewitt</w:t>
      </w:r>
      <w:r w:rsidRPr="009C665E">
        <w:rPr>
          <w:rFonts w:cs="Times New Roman"/>
          <w:lang w:val="fr-CA"/>
        </w:rPr>
        <w:t>, [1985] 2 R.C.S. 128</w:t>
      </w:r>
      <w:bookmarkEnd w:id="30"/>
      <w:r w:rsidRPr="009C665E">
        <w:rPr>
          <w:rFonts w:cs="Times New Roman"/>
          <w:lang w:val="fr-CA"/>
        </w:rPr>
        <w:t xml:space="preserve">, p. 148). Contrairement à un acquittement, l’arrêt des procédures </w:t>
      </w:r>
      <w:r w:rsidRPr="009C665E">
        <w:rPr>
          <w:rFonts w:cs="Times New Roman"/>
          <w:lang w:val="fr-CA"/>
        </w:rPr>
        <w:lastRenderedPageBreak/>
        <w:t>ne reflète pas une conclusion sur la question de savoir si la personne est coupable ou non.</w:t>
      </w:r>
    </w:p>
    <w:p w14:paraId="74AE5CEC" w14:textId="77777777" w:rsidR="009C665E" w:rsidRPr="009C665E" w:rsidRDefault="009C665E" w:rsidP="009C665E">
      <w:pPr>
        <w:pStyle w:val="ParaNoNdepar-AltN"/>
        <w:rPr>
          <w:rFonts w:cs="Times New Roman"/>
          <w:lang w:val="fr-CA"/>
        </w:rPr>
      </w:pPr>
      <w:r w:rsidRPr="009C665E">
        <w:rPr>
          <w:rFonts w:cs="Times New Roman"/>
          <w:lang w:val="fr-CA"/>
        </w:rPr>
        <w:t xml:space="preserve">Bien qu’elles soient distinctes sur le plan conceptuel, les deux réparations présentent d’importantes similitudes. Contrairement à l’ordonnance de nouveau procès, l’arrêt judiciaire des procédures et l’acquittement mettent tous les deux un terme définitif aux procédures criminelles contre l’accusé (voir </w:t>
      </w:r>
      <w:r w:rsidRPr="009C665E">
        <w:rPr>
          <w:rFonts w:cs="Times New Roman"/>
          <w:i/>
          <w:lang w:val="fr-CA"/>
        </w:rPr>
        <w:t>Jewitt</w:t>
      </w:r>
      <w:r w:rsidRPr="009C665E">
        <w:rPr>
          <w:rFonts w:cs="Times New Roman"/>
          <w:lang w:val="fr-CA"/>
        </w:rPr>
        <w:t xml:space="preserve">, p. 148). Lorsqu’un nouveau procès est ordonné, la Couronne dispose de diverses options, notamment donner suite au nouveau procès en vue d’obtenir une déclaration de culpabilité, ne présenter aucune preuve et inviter le tribunal de première instance à rendre un verdict d’acquittement, demander le retrait de l’accusation ou ordonner un arrêt des procédures par la poursuite (voir </w:t>
      </w:r>
      <w:bookmarkStart w:id="31" w:name="_Hlk185498640"/>
      <w:r w:rsidRPr="009C665E">
        <w:rPr>
          <w:rFonts w:cs="Times New Roman"/>
          <w:lang w:val="fr-CA"/>
        </w:rPr>
        <w:t>l’hon. </w:t>
      </w:r>
      <w:r w:rsidRPr="009C665E">
        <w:rPr>
          <w:rFonts w:cs="Times New Roman"/>
        </w:rPr>
        <w:t xml:space="preserve">P. J. LeSage, </w:t>
      </w:r>
      <w:r w:rsidRPr="009C665E">
        <w:rPr>
          <w:rFonts w:cs="Times New Roman"/>
          <w:i/>
        </w:rPr>
        <w:t>Report of the Commission of Inquiry into certain aspects of the trial and conviction of James Driskell</w:t>
      </w:r>
      <w:r w:rsidRPr="009C665E">
        <w:rPr>
          <w:rFonts w:cs="Times New Roman"/>
        </w:rPr>
        <w:t xml:space="preserve"> (2007)</w:t>
      </w:r>
      <w:bookmarkEnd w:id="31"/>
      <w:r w:rsidRPr="009C665E">
        <w:rPr>
          <w:rFonts w:cs="Times New Roman"/>
        </w:rPr>
        <w:t xml:space="preserve">, p. 130; </w:t>
      </w:r>
      <w:r w:rsidRPr="009C665E">
        <w:rPr>
          <w:rFonts w:cs="Times New Roman"/>
          <w:i/>
        </w:rPr>
        <w:t xml:space="preserve">Reference </w:t>
      </w:r>
      <w:proofErr w:type="gramStart"/>
      <w:r w:rsidRPr="009C665E">
        <w:rPr>
          <w:rFonts w:cs="Times New Roman"/>
          <w:i/>
        </w:rPr>
        <w:t>re :</w:t>
      </w:r>
      <w:proofErr w:type="gramEnd"/>
      <w:r w:rsidRPr="009C665E">
        <w:rPr>
          <w:rFonts w:cs="Times New Roman"/>
          <w:i/>
        </w:rPr>
        <w:t xml:space="preserve"> Phillion</w:t>
      </w:r>
      <w:r w:rsidRPr="009C665E">
        <w:rPr>
          <w:rFonts w:cs="Times New Roman"/>
        </w:rPr>
        <w:t xml:space="preserve">, 2009 ONCA 202, 241 C.C.C. (3d) 193, par. 242). </w:t>
      </w:r>
      <w:r w:rsidRPr="009C665E">
        <w:rPr>
          <w:rFonts w:cs="Times New Roman"/>
          <w:lang w:val="fr-CA"/>
        </w:rPr>
        <w:t xml:space="preserve">Les deux premières options mèneront à un verdict final, alors que ce ne sera généralement pas le cas pour les deux dernières (voir, de façon générale, </w:t>
      </w:r>
      <w:r w:rsidRPr="009C665E">
        <w:rPr>
          <w:rFonts w:cs="Times New Roman"/>
          <w:i/>
          <w:lang w:val="fr-CA"/>
        </w:rPr>
        <w:t>R. c. Selhi</w:t>
      </w:r>
      <w:r w:rsidRPr="009C665E">
        <w:rPr>
          <w:rFonts w:cs="Times New Roman"/>
          <w:lang w:val="fr-CA"/>
        </w:rPr>
        <w:t xml:space="preserve">, [1990] 1 R.C.S. 277; </w:t>
      </w:r>
      <w:r w:rsidRPr="009C665E">
        <w:rPr>
          <w:rFonts w:cs="Times New Roman"/>
          <w:i/>
          <w:lang w:val="fr-CA"/>
        </w:rPr>
        <w:t>Code criminel</w:t>
      </w:r>
      <w:r w:rsidRPr="009C665E">
        <w:rPr>
          <w:rFonts w:cs="Times New Roman"/>
          <w:lang w:val="fr-CA"/>
        </w:rPr>
        <w:t xml:space="preserve">, par. 579(2); </w:t>
      </w:r>
      <w:bookmarkStart w:id="32" w:name="_Hlk185498686"/>
      <w:r w:rsidRPr="009C665E">
        <w:rPr>
          <w:rFonts w:cs="Times New Roman"/>
          <w:lang w:val="fr-CA"/>
        </w:rPr>
        <w:t xml:space="preserve">K. Roach, « The Wrongfully Convicted Deserve Acquittals Not Prosecutorial Stays » (2024), 102 </w:t>
      </w:r>
      <w:r w:rsidRPr="009C665E">
        <w:rPr>
          <w:rFonts w:cs="Times New Roman"/>
          <w:i/>
          <w:lang w:val="fr-CA"/>
        </w:rPr>
        <w:t xml:space="preserve">R. du B. can. </w:t>
      </w:r>
      <w:r w:rsidRPr="009C665E">
        <w:rPr>
          <w:rFonts w:cs="Times New Roman"/>
          <w:lang w:val="fr-CA"/>
        </w:rPr>
        <w:t>201</w:t>
      </w:r>
      <w:bookmarkEnd w:id="32"/>
      <w:r w:rsidRPr="009C665E">
        <w:rPr>
          <w:rFonts w:cs="Times New Roman"/>
          <w:lang w:val="fr-CA"/>
        </w:rPr>
        <w:t>, p. 208).</w:t>
      </w:r>
    </w:p>
    <w:p w14:paraId="602FBE05"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Selon l’avenue empruntée par la Couronne et selon le jugement du tribunal de première instance, l’accusé peut ultimement être déclaré coupable, être acquitté ou ni l’un ni l’autre. En revanche, l’acquittement et l’arrêt judiciaire des procédures mettent tous deux un terme définitif aux procédures (voir Roach, p. 210) et laissent </w:t>
      </w:r>
      <w:r w:rsidRPr="009C665E">
        <w:rPr>
          <w:rFonts w:cs="Times New Roman"/>
          <w:lang w:val="fr-CA"/>
        </w:rPr>
        <w:lastRenderedPageBreak/>
        <w:t>l’accusé dans une situation de « présomption d’innocence » (</w:t>
      </w:r>
      <w:r w:rsidRPr="009C665E">
        <w:rPr>
          <w:rFonts w:cs="Times New Roman"/>
          <w:i/>
          <w:lang w:val="fr-CA"/>
        </w:rPr>
        <w:t>R.V.</w:t>
      </w:r>
      <w:r w:rsidRPr="009C665E">
        <w:rPr>
          <w:rFonts w:cs="Times New Roman"/>
          <w:lang w:val="fr-CA"/>
        </w:rPr>
        <w:t xml:space="preserve">, par. 76). Ils sont donc considérés comme équivalents à certaines fins, comme pour certaines voies d’appel à notre Cour (voir </w:t>
      </w:r>
      <w:r w:rsidRPr="009C665E">
        <w:rPr>
          <w:rFonts w:cs="Times New Roman"/>
          <w:i/>
          <w:lang w:val="fr-CA"/>
        </w:rPr>
        <w:t>Jewitt</w:t>
      </w:r>
      <w:r w:rsidRPr="009C665E">
        <w:rPr>
          <w:rFonts w:cs="Times New Roman"/>
          <w:lang w:val="fr-CA"/>
        </w:rPr>
        <w:t xml:space="preserve">, p. 148; </w:t>
      </w:r>
      <w:r w:rsidRPr="009C665E">
        <w:rPr>
          <w:rFonts w:cs="Times New Roman"/>
          <w:i/>
          <w:lang w:val="fr-CA"/>
        </w:rPr>
        <w:t>R. c. Puskas</w:t>
      </w:r>
      <w:r w:rsidRPr="009C665E">
        <w:rPr>
          <w:rFonts w:cs="Times New Roman"/>
          <w:lang w:val="fr-CA"/>
        </w:rPr>
        <w:t>, [1998] 1 R.C.S. 1207, par. 1).</w:t>
      </w:r>
    </w:p>
    <w:p w14:paraId="2299C26D" w14:textId="77777777" w:rsidR="009C665E" w:rsidRPr="009C665E" w:rsidRDefault="009C665E" w:rsidP="009C665E">
      <w:pPr>
        <w:pStyle w:val="ParaNoNdepar-AltN"/>
        <w:spacing w:before="0"/>
        <w:rPr>
          <w:rFonts w:cs="Times New Roman"/>
          <w:lang w:val="fr-CA"/>
        </w:rPr>
      </w:pPr>
      <w:r w:rsidRPr="009C665E">
        <w:rPr>
          <w:rFonts w:cs="Times New Roman"/>
          <w:lang w:val="fr-CA"/>
        </w:rPr>
        <w:t>La différence entre un acquittement et un arrêt judiciaire des procédures résiderait dans le stigmate résiduel pour l’accusé (m.a., par. 130; m.i., par. 91), parce que l’acquittement représente une conclusion de non</w:t>
      </w:r>
      <w:r w:rsidRPr="009C665E">
        <w:rPr>
          <w:rFonts w:cs="Times New Roman"/>
          <w:lang w:val="fr-CA"/>
        </w:rPr>
        <w:noBreakHyphen/>
        <w:t xml:space="preserve">culpabilité, ce qui n’est pas le cas pour l’arrêt judiciaire des procédures. L’intervenante l’Association canadienne des libertés civiles fait valoir que l’arrêt judiciaire des procédures </w:t>
      </w:r>
      <w:r w:rsidRPr="009C665E">
        <w:rPr>
          <w:rFonts w:cs="Times New Roman"/>
          <w:smallCaps/>
          <w:lang w:val="fr-CA"/>
        </w:rPr>
        <w:t>[traduction]</w:t>
      </w:r>
      <w:r w:rsidRPr="009C665E">
        <w:rPr>
          <w:rFonts w:cs="Times New Roman"/>
          <w:lang w:val="fr-CA"/>
        </w:rPr>
        <w:t xml:space="preserve"> « n’est qu’un baume partiel pour l’intérêt de la justice » (m. interv., par. 20).</w:t>
      </w:r>
    </w:p>
    <w:p w14:paraId="7FC485B1" w14:textId="77777777" w:rsidR="009C665E" w:rsidRPr="009C665E" w:rsidRDefault="009C665E" w:rsidP="009C665E">
      <w:pPr>
        <w:pStyle w:val="ParaNoNdepar-AltN"/>
        <w:rPr>
          <w:rFonts w:cs="Times New Roman"/>
          <w:lang w:val="fr-CA"/>
        </w:rPr>
      </w:pPr>
      <w:r w:rsidRPr="009C665E">
        <w:rPr>
          <w:rFonts w:cs="Times New Roman"/>
          <w:lang w:val="fr-CA"/>
        </w:rPr>
        <w:t>Cependant, en vérité, même un acquittement ne fera bien entendu pas disparaître tout stigmate associé à l’accusation criminelle. Une conclusion de non</w:t>
      </w:r>
      <w:r w:rsidRPr="009C665E">
        <w:rPr>
          <w:rFonts w:cs="Times New Roman"/>
          <w:lang w:val="fr-CA"/>
        </w:rPr>
        <w:noBreakHyphen/>
        <w:t>culpabilité n’exige ou n’implique pas une conclusion factuelle d’innocence, mais indique, en droit, que la Couronne n’a pas prouvé le bien</w:t>
      </w:r>
      <w:r w:rsidRPr="009C665E">
        <w:rPr>
          <w:rFonts w:cs="Times New Roman"/>
          <w:lang w:val="fr-CA"/>
        </w:rPr>
        <w:noBreakHyphen/>
        <w:t xml:space="preserve">fondé de sa cause hors de tout doute raisonnable (voir </w:t>
      </w:r>
      <w:r w:rsidRPr="009C665E">
        <w:rPr>
          <w:rFonts w:cs="Times New Roman"/>
          <w:i/>
          <w:lang w:val="fr-CA"/>
        </w:rPr>
        <w:t>R. c. Mullins-Johnson</w:t>
      </w:r>
      <w:r w:rsidRPr="009C665E">
        <w:rPr>
          <w:rFonts w:cs="Times New Roman"/>
          <w:lang w:val="fr-CA"/>
        </w:rPr>
        <w:t>, 2007 ONCA 720, 87 O.R. (3d) 425, par. 23</w:t>
      </w:r>
      <w:r w:rsidRPr="009C665E">
        <w:rPr>
          <w:rFonts w:cs="Times New Roman"/>
          <w:lang w:val="fr-CA"/>
        </w:rPr>
        <w:noBreakHyphen/>
        <w:t>25, citant l’hon.</w:t>
      </w:r>
      <w:bookmarkStart w:id="33" w:name="_Hlk185498741"/>
      <w:r w:rsidRPr="009C665E">
        <w:rPr>
          <w:rFonts w:cs="Times New Roman"/>
          <w:lang w:val="fr-CA"/>
        </w:rPr>
        <w:t xml:space="preserve"> A. Lamer, </w:t>
      </w:r>
      <w:r w:rsidRPr="009C665E">
        <w:rPr>
          <w:rFonts w:cs="Times New Roman"/>
          <w:i/>
          <w:lang w:val="fr-CA"/>
        </w:rPr>
        <w:t>The Lamer Commission of Inquiry into the Proceedings Pertaining to : Ronald Dalton, Gregory Parsons and Randy Druken : Report and Annexes</w:t>
      </w:r>
      <w:r w:rsidRPr="009C665E">
        <w:rPr>
          <w:rFonts w:cs="Times New Roman"/>
          <w:lang w:val="fr-CA"/>
        </w:rPr>
        <w:t xml:space="preserve"> (2006)</w:t>
      </w:r>
      <w:bookmarkEnd w:id="33"/>
      <w:r w:rsidRPr="009C665E">
        <w:rPr>
          <w:rFonts w:cs="Times New Roman"/>
          <w:lang w:val="fr-CA"/>
        </w:rPr>
        <w:t xml:space="preserve">, p. 342; </w:t>
      </w:r>
      <w:r w:rsidRPr="009C665E">
        <w:rPr>
          <w:rFonts w:cs="Times New Roman"/>
          <w:i/>
          <w:lang w:val="fr-CA"/>
        </w:rPr>
        <w:t>R. c. D.R.S.</w:t>
      </w:r>
      <w:r w:rsidRPr="009C665E">
        <w:rPr>
          <w:rFonts w:cs="Times New Roman"/>
          <w:lang w:val="fr-CA"/>
        </w:rPr>
        <w:t xml:space="preserve">, 2013 ABCA 18, 542 A.R. 92, par. 15; voir aussi </w:t>
      </w:r>
      <w:bookmarkStart w:id="34" w:name="_Hlk185498785"/>
      <w:r w:rsidRPr="009C665E">
        <w:rPr>
          <w:rFonts w:cs="Times New Roman"/>
          <w:lang w:val="fr-CA"/>
        </w:rPr>
        <w:t xml:space="preserve">S. N. Lederman, M. K. Fuerst et H. C. Stewart, </w:t>
      </w:r>
      <w:r w:rsidRPr="009C665E">
        <w:rPr>
          <w:rFonts w:cs="Times New Roman"/>
          <w:i/>
          <w:lang w:val="fr-CA"/>
        </w:rPr>
        <w:t xml:space="preserve">Sopinka, Lederman &amp; Bryant : The Law of Evidence in Canada </w:t>
      </w:r>
      <w:r w:rsidRPr="009C665E">
        <w:rPr>
          <w:rFonts w:cs="Times New Roman"/>
          <w:lang w:val="fr-CA"/>
        </w:rPr>
        <w:t>(6</w:t>
      </w:r>
      <w:r w:rsidRPr="009C665E">
        <w:rPr>
          <w:rFonts w:cs="Times New Roman"/>
          <w:vertAlign w:val="superscript"/>
          <w:lang w:val="fr-CA"/>
        </w:rPr>
        <w:t>e</w:t>
      </w:r>
      <w:r w:rsidRPr="009C665E">
        <w:rPr>
          <w:rFonts w:cs="Times New Roman"/>
          <w:lang w:val="fr-CA"/>
        </w:rPr>
        <w:t> éd. 2022)</w:t>
      </w:r>
      <w:bookmarkEnd w:id="34"/>
      <w:r w:rsidRPr="009C665E">
        <w:rPr>
          <w:rFonts w:cs="Times New Roman"/>
          <w:lang w:val="fr-CA"/>
        </w:rPr>
        <w:t xml:space="preserve">, ¶19.234; </w:t>
      </w:r>
      <w:r w:rsidRPr="009C665E">
        <w:rPr>
          <w:rFonts w:cs="Times New Roman"/>
          <w:i/>
          <w:iCs/>
          <w:lang w:val="fr-CA"/>
        </w:rPr>
        <w:t>Hill c. Commission des services policiers de la municipalité régionale de Hamilton-Wentworth</w:t>
      </w:r>
      <w:r w:rsidRPr="009C665E">
        <w:rPr>
          <w:rFonts w:cs="Times New Roman"/>
          <w:lang w:val="fr-CA"/>
        </w:rPr>
        <w:t xml:space="preserve">, 2007 CSC 41, [2007] 3 R.C.S. 129, par. 156, la juge Charron, dissidente, mais non sur ce point). </w:t>
      </w:r>
      <w:r w:rsidRPr="009C665E">
        <w:rPr>
          <w:rFonts w:cs="Times New Roman"/>
          <w:lang w:val="fr-CA"/>
        </w:rPr>
        <w:lastRenderedPageBreak/>
        <w:t xml:space="preserve">Je trouve utile la transposition de cette idée aux pouvoirs des cours d’appel qui a été effectuée dans l’arrêt </w:t>
      </w:r>
      <w:r w:rsidRPr="009C665E">
        <w:rPr>
          <w:rFonts w:cs="Times New Roman"/>
          <w:i/>
          <w:lang w:val="fr-CA"/>
        </w:rPr>
        <w:t>Mullins</w:t>
      </w:r>
      <w:r w:rsidRPr="009C665E">
        <w:rPr>
          <w:rFonts w:cs="Times New Roman"/>
          <w:i/>
          <w:lang w:val="fr-CA"/>
        </w:rPr>
        <w:noBreakHyphen/>
        <w:t>Johnson</w:t>
      </w:r>
      <w:r w:rsidRPr="009C665E">
        <w:rPr>
          <w:rFonts w:cs="Times New Roman"/>
          <w:lang w:val="fr-CA"/>
        </w:rPr>
        <w:t xml:space="preserve">, par. 24 : </w:t>
      </w:r>
      <w:r w:rsidRPr="009C665E">
        <w:rPr>
          <w:rFonts w:cs="Times New Roman"/>
          <w:smallCaps/>
          <w:lang w:val="fr-CA"/>
        </w:rPr>
        <w:t>[traduction]</w:t>
      </w:r>
      <w:r w:rsidRPr="009C665E">
        <w:rPr>
          <w:rFonts w:cs="Times New Roman"/>
          <w:lang w:val="fr-CA"/>
        </w:rPr>
        <w:t xml:space="preserve"> « Tout comme le procès criminel ne permet pas de faire des déclarations d’innocence factuelle, une cour d’appel, qui tire sa compétence de la loi, n’a pas compétence pour faire une déclaration juridique formelle d’innocence factuelle. »</w:t>
      </w:r>
    </w:p>
    <w:p w14:paraId="3149DD0D"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L’acquittement découle plutôt d’un </w:t>
      </w:r>
      <w:r w:rsidRPr="009C665E">
        <w:rPr>
          <w:rFonts w:cs="Times New Roman"/>
          <w:smallCaps/>
          <w:lang w:val="fr-CA"/>
        </w:rPr>
        <w:t>[traduction]</w:t>
      </w:r>
      <w:r w:rsidRPr="009C665E">
        <w:rPr>
          <w:rFonts w:cs="Times New Roman"/>
          <w:lang w:val="fr-CA"/>
        </w:rPr>
        <w:t xml:space="preserve"> « large éventail de situations, allant de l’innocence factuelle/réelle démontrable à une preuve à charge qui établit la culpabilité probable, mais qui ne constitue pas tout à fait une preuve hors de tout doute raisonnable » (LeSage, p. 138). Il ne sera pas toujours possible d’éliminer complètement les soupçons du public, même après qu’une personne accusée d’une infraction criminelle a été acquittée (</w:t>
      </w:r>
      <w:bookmarkStart w:id="35" w:name="_Hlk185498835"/>
      <w:r w:rsidRPr="009C665E">
        <w:rPr>
          <w:rFonts w:cs="Times New Roman"/>
          <w:lang w:val="fr-CA"/>
        </w:rPr>
        <w:t xml:space="preserve">P. MacKinnon, « Costs and Compensation for the Innocent Accused » (1988), 67 </w:t>
      </w:r>
      <w:r w:rsidRPr="009C665E">
        <w:rPr>
          <w:rFonts w:cs="Times New Roman"/>
          <w:i/>
          <w:lang w:val="fr-CA"/>
        </w:rPr>
        <w:t>R. du B. can.</w:t>
      </w:r>
      <w:r w:rsidRPr="009C665E">
        <w:rPr>
          <w:rFonts w:cs="Times New Roman"/>
          <w:lang w:val="fr-CA"/>
        </w:rPr>
        <w:t xml:space="preserve"> 489</w:t>
      </w:r>
      <w:bookmarkEnd w:id="35"/>
      <w:r w:rsidRPr="009C665E">
        <w:rPr>
          <w:rFonts w:cs="Times New Roman"/>
          <w:lang w:val="fr-CA"/>
        </w:rPr>
        <w:t>, p. 498</w:t>
      </w:r>
      <w:r w:rsidRPr="009C665E">
        <w:rPr>
          <w:rFonts w:cs="Times New Roman"/>
          <w:lang w:val="fr-CA"/>
        </w:rPr>
        <w:noBreakHyphen/>
        <w:t>499).</w:t>
      </w:r>
    </w:p>
    <w:p w14:paraId="79B1F809" w14:textId="77777777" w:rsidR="009C665E" w:rsidRPr="009C665E" w:rsidRDefault="009C665E" w:rsidP="009C665E">
      <w:pPr>
        <w:pStyle w:val="ParaNoNdepar-AltN"/>
        <w:spacing w:before="0"/>
        <w:rPr>
          <w:rFonts w:cs="Times New Roman"/>
          <w:lang w:val="fr-CA"/>
        </w:rPr>
      </w:pPr>
      <w:bookmarkStart w:id="36" w:name="_Hlk186919560"/>
      <w:r w:rsidRPr="009C665E">
        <w:rPr>
          <w:rFonts w:cs="Times New Roman"/>
          <w:lang w:val="fr-CA"/>
        </w:rPr>
        <w:t>Pour cette raison, il ne faudrait pas exagérer la différence en matière de stigmate. Notre Cour s’est demandé si « l’existence théorique d’une accusation suspendue crée un opprobre plus grand » qu’un acquittement</w:t>
      </w:r>
      <w:bookmarkEnd w:id="36"/>
      <w:r w:rsidRPr="009C665E">
        <w:rPr>
          <w:rFonts w:cs="Times New Roman"/>
          <w:lang w:val="fr-CA"/>
        </w:rPr>
        <w:t>, et si le public comprendrait vraiment la différence, soulignant qu</w:t>
      </w:r>
      <w:proofErr w:type="gramStart"/>
      <w:r w:rsidRPr="009C665E">
        <w:rPr>
          <w:rFonts w:cs="Times New Roman"/>
          <w:lang w:val="fr-CA"/>
        </w:rPr>
        <w:t>’«</w:t>
      </w:r>
      <w:proofErr w:type="gramEnd"/>
      <w:r w:rsidRPr="009C665E">
        <w:rPr>
          <w:rFonts w:cs="Times New Roman"/>
          <w:lang w:val="fr-CA"/>
        </w:rPr>
        <w:t> [u]n acquittement impopulaire suscite autant d’indignation au sein du public qu’un arrêt des procédures » (</w:t>
      </w:r>
      <w:r w:rsidRPr="009C665E">
        <w:rPr>
          <w:rFonts w:cs="Times New Roman"/>
          <w:i/>
          <w:lang w:val="fr-CA"/>
        </w:rPr>
        <w:t>R. c. Potvin</w:t>
      </w:r>
      <w:r w:rsidRPr="009C665E">
        <w:rPr>
          <w:rFonts w:cs="Times New Roman"/>
          <w:lang w:val="fr-CA"/>
        </w:rPr>
        <w:t xml:space="preserve">, [1993] 2 R.C.S. 880, p. 915). Qu’une affaire criminelle se termine par un acquittement en appel ou par un arrêt judiciaire des procédures, l’accusé ne se trouve pas dans la même situation que la personne qui attend un procès ou un appel qui déterminera sa </w:t>
      </w:r>
      <w:r w:rsidRPr="009C665E">
        <w:rPr>
          <w:rFonts w:cs="Times New Roman"/>
          <w:lang w:val="fr-CA"/>
        </w:rPr>
        <w:lastRenderedPageBreak/>
        <w:t>culpabilité, car il ne risque plus d’être déclaré coupable de l’infraction (voir, de façon générale, les p. 910</w:t>
      </w:r>
      <w:r w:rsidRPr="009C665E">
        <w:rPr>
          <w:rFonts w:cs="Times New Roman"/>
          <w:lang w:val="fr-CA"/>
        </w:rPr>
        <w:noBreakHyphen/>
        <w:t>911).</w:t>
      </w:r>
    </w:p>
    <w:p w14:paraId="3B8579F0" w14:textId="77777777" w:rsidR="009C665E" w:rsidRPr="009C665E" w:rsidRDefault="009C665E" w:rsidP="009C665E">
      <w:pPr>
        <w:pStyle w:val="ParaNoNdepar-AltN"/>
        <w:spacing w:before="0"/>
        <w:rPr>
          <w:rFonts w:cs="Times New Roman"/>
          <w:lang w:val="fr-CA"/>
        </w:rPr>
      </w:pPr>
      <w:r w:rsidRPr="009C665E">
        <w:rPr>
          <w:rFonts w:cs="Times New Roman"/>
          <w:lang w:val="fr-CA"/>
        </w:rPr>
        <w:t>Cela dit, une impression subsiste dans certains milieux selon laquelle un acquittement fait disparaître une plus grande part du stigmate associé à l’accusation criminelle qu’un arrêt des procédures (voir Lamer, p. 319; Roach, p. 210</w:t>
      </w:r>
      <w:r w:rsidRPr="009C665E">
        <w:rPr>
          <w:rFonts w:cs="Times New Roman"/>
          <w:lang w:val="fr-CA"/>
        </w:rPr>
        <w:noBreakHyphen/>
        <w:t xml:space="preserve">213; voir aussi </w:t>
      </w:r>
      <w:r w:rsidRPr="009C665E">
        <w:rPr>
          <w:rFonts w:cs="Times New Roman"/>
          <w:i/>
          <w:lang w:val="fr-CA"/>
        </w:rPr>
        <w:t>Truscott</w:t>
      </w:r>
      <w:r w:rsidRPr="009C665E">
        <w:rPr>
          <w:rFonts w:cs="Times New Roman"/>
          <w:lang w:val="fr-CA"/>
        </w:rPr>
        <w:t xml:space="preserve">, par. 265). Comme l’affirme l’intervenante Innocence Canada, </w:t>
      </w:r>
      <w:r w:rsidRPr="009C665E">
        <w:rPr>
          <w:rFonts w:cs="Times New Roman"/>
          <w:smallCaps/>
          <w:lang w:val="fr-CA"/>
        </w:rPr>
        <w:t>[traduction]</w:t>
      </w:r>
      <w:r w:rsidRPr="009C665E">
        <w:rPr>
          <w:rFonts w:cs="Times New Roman"/>
          <w:lang w:val="fr-CA"/>
        </w:rPr>
        <w:t xml:space="preserve"> « le stigmate ne disparaît probablement jamais complètement, mais l’acquittement prononcé par un tribunal contribuera grandement à l’effacer » (m. interv., par. 15). Contrairement à un acquittement, un arrêt judiciaire des procédures ne révèle rien de l’opinion de la cour sur le fond de l’affaire (</w:t>
      </w:r>
      <w:r w:rsidRPr="009C665E">
        <w:rPr>
          <w:rFonts w:cs="Times New Roman"/>
          <w:i/>
          <w:lang w:val="fr-CA"/>
        </w:rPr>
        <w:t>Jewitt</w:t>
      </w:r>
      <w:r w:rsidRPr="009C665E">
        <w:rPr>
          <w:rFonts w:cs="Times New Roman"/>
          <w:lang w:val="fr-CA"/>
        </w:rPr>
        <w:t>, p. 148), pas même que la Couronne n’a pas prouvé le bien</w:t>
      </w:r>
      <w:r w:rsidRPr="009C665E">
        <w:rPr>
          <w:rFonts w:cs="Times New Roman"/>
          <w:lang w:val="fr-CA"/>
        </w:rPr>
        <w:noBreakHyphen/>
        <w:t xml:space="preserve">fondé de sa cause hors de tout doute raisonnable. Cette différence signifie qu’il incombe à la cour d’appel d’examiner soigneusement si un acquittement est justifié dans chaque cas où une déclaration de culpabilité a été annulée. Il en est ainsi même lorsqu’il y a des motifs d’arrêter judiciairement les procédures, et ce, pour s’assurer que l’accusé ne soit pas victime d’une stigmatisation injustifiée une fois les procédures terminées. Cela explique l’idée, qui n’est pas contestée en l’espèce, selon laquelle une cour d’appel devrait d’abord examiner les motifs d’acquittement avant de décider si elle peut accorder des réparations moindres pour d’autres motifs (voir S. Coughlan, </w:t>
      </w:r>
      <w:r w:rsidRPr="009C665E">
        <w:rPr>
          <w:rFonts w:cs="Times New Roman"/>
          <w:i/>
          <w:lang w:val="fr-CA"/>
        </w:rPr>
        <w:t xml:space="preserve">Criminal Procedure </w:t>
      </w:r>
      <w:r w:rsidRPr="009C665E">
        <w:rPr>
          <w:rFonts w:cs="Times New Roman"/>
          <w:lang w:val="fr-CA"/>
        </w:rPr>
        <w:t>(4</w:t>
      </w:r>
      <w:r w:rsidRPr="009C665E">
        <w:rPr>
          <w:rFonts w:cs="Times New Roman"/>
          <w:vertAlign w:val="superscript"/>
          <w:lang w:val="fr-CA"/>
        </w:rPr>
        <w:t>e</w:t>
      </w:r>
      <w:r w:rsidRPr="009C665E">
        <w:rPr>
          <w:rFonts w:cs="Times New Roman"/>
          <w:lang w:val="fr-CA"/>
        </w:rPr>
        <w:t xml:space="preserve"> éd. 2020), p. 584, note 104, citant </w:t>
      </w:r>
      <w:r w:rsidRPr="009C665E">
        <w:rPr>
          <w:rFonts w:cs="Times New Roman"/>
          <w:i/>
          <w:lang w:val="fr-CA"/>
        </w:rPr>
        <w:t>R. c. Morrissey</w:t>
      </w:r>
      <w:r w:rsidRPr="009C665E">
        <w:rPr>
          <w:rFonts w:cs="Times New Roman"/>
          <w:lang w:val="fr-CA"/>
        </w:rPr>
        <w:t xml:space="preserve"> (1995), 22 O.R. (3d) 514, p. 540).</w:t>
      </w:r>
    </w:p>
    <w:p w14:paraId="0AA3D205" w14:textId="77777777" w:rsidR="009C665E" w:rsidRPr="009C665E" w:rsidRDefault="009C665E" w:rsidP="009C665E">
      <w:pPr>
        <w:pStyle w:val="ParaNoNdepar-AltN"/>
        <w:spacing w:before="0"/>
        <w:rPr>
          <w:rFonts w:cs="Times New Roman"/>
          <w:lang w:val="fr-CA"/>
        </w:rPr>
      </w:pPr>
      <w:r w:rsidRPr="009C665E">
        <w:rPr>
          <w:rFonts w:cs="Times New Roman"/>
          <w:lang w:val="fr-CA"/>
        </w:rPr>
        <w:lastRenderedPageBreak/>
        <w:t>Les cours doivent également veiller à ne prononcer des acquittements que dans les cas qui s’y prêtent de manière à éviter d’en déformer le sens et d’atténuer ainsi tout effet de réduction de la stigmatisation. Si les cours d’appel rendaient régulièrement des jugements portant qu’il existe une possibilité de déclaration de culpabilité lors d’un nouveau procès, mais prononçaient néanmoins un acquittement, cela aurait pour effet de miner l’idée selon laquelle un acquittement signifie que la Couronne n’a pas établi le bien-fondé de sa cause à partir de la preuve — signification dite à l’origine de la différence de stigmatisation qui distingue en fait l’acquittement de l’arrêt judiciaire des procédures. Vu qu</w:t>
      </w:r>
      <w:proofErr w:type="gramStart"/>
      <w:r w:rsidRPr="009C665E">
        <w:rPr>
          <w:rFonts w:cs="Times New Roman"/>
          <w:lang w:val="fr-CA"/>
        </w:rPr>
        <w:t>’«</w:t>
      </w:r>
      <w:proofErr w:type="gramEnd"/>
      <w:r w:rsidRPr="009C665E">
        <w:rPr>
          <w:rFonts w:cs="Times New Roman"/>
          <w:lang w:val="fr-CA"/>
        </w:rPr>
        <w:t> [i]l n’existe pas différentes sortes d’acquittements » (</w:t>
      </w:r>
      <w:r w:rsidRPr="009C665E">
        <w:rPr>
          <w:rFonts w:cs="Times New Roman"/>
          <w:i/>
          <w:lang w:val="fr-CA"/>
        </w:rPr>
        <w:t>Grdic c. La Reine</w:t>
      </w:r>
      <w:r w:rsidRPr="009C665E">
        <w:rPr>
          <w:rFonts w:cs="Times New Roman"/>
          <w:lang w:val="fr-CA"/>
        </w:rPr>
        <w:t>, [1985] 1 R.C.S. 810, p. 825), l’effet perturbateur qui en découlerait pourrait se faire sentir dans tous les contextes, y compris lorsque l’acquittement est prononcé en première instance.</w:t>
      </w:r>
    </w:p>
    <w:p w14:paraId="49BCB786" w14:textId="77777777" w:rsidR="009C665E" w:rsidRPr="009C665E" w:rsidRDefault="009C665E" w:rsidP="009C665E">
      <w:pPr>
        <w:pStyle w:val="Title2LevelTitre2Niveau"/>
        <w:spacing w:before="0"/>
        <w:ind w:left="576" w:hanging="576"/>
        <w:rPr>
          <w:rFonts w:cs="Times New Roman"/>
          <w:lang w:val="fr-CA"/>
        </w:rPr>
      </w:pPr>
      <w:r w:rsidRPr="009C665E">
        <w:rPr>
          <w:rFonts w:cs="Times New Roman"/>
          <w:i w:val="0"/>
          <w:lang w:val="fr-CA"/>
        </w:rPr>
        <w:t>B.</w:t>
      </w:r>
      <w:r w:rsidRPr="009C665E">
        <w:rPr>
          <w:rFonts w:cs="Times New Roman"/>
          <w:lang w:val="fr-CA"/>
        </w:rPr>
        <w:tab/>
        <w:t>Motifs d’acquittement visés au par. 686(2) C. cr.</w:t>
      </w:r>
    </w:p>
    <w:p w14:paraId="67D961E0"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En gardant ces pouvoirs de réparation à l’esprit, je passe maintenant à l’examen des motifs pour lesquels la réparation demandée dans le présent pourvoi — un acquittement — pourrait dûment être prononcée après l’annulation d’une déclaration de culpabilité en vertu du par. 686(2). Par souci de clarté, je me demanderai d’abord si un acquittement constitue une réparation appropriée avant de me tourner, si nécessaire, vers les autres options. Comme je l’ai souligné plus haut, la question de savoir si un acquittement est justifié dans les circonstances doit être examinée en </w:t>
      </w:r>
      <w:r w:rsidRPr="009C665E">
        <w:rPr>
          <w:rFonts w:cs="Times New Roman"/>
          <w:lang w:val="fr-CA"/>
        </w:rPr>
        <w:lastRenderedPageBreak/>
        <w:t>premier, même lorsqu’il peut exister des motifs justifiant un arrêt judiciaire des procédures.</w:t>
      </w:r>
    </w:p>
    <w:p w14:paraId="198CB22F" w14:textId="77777777" w:rsidR="009C665E" w:rsidRPr="009C665E" w:rsidRDefault="009C665E" w:rsidP="009C665E">
      <w:pPr>
        <w:pStyle w:val="Title3LevelTitre3Niveau"/>
        <w:numPr>
          <w:ilvl w:val="3"/>
          <w:numId w:val="6"/>
        </w:numPr>
        <w:spacing w:before="0"/>
        <w:ind w:left="1152" w:hanging="576"/>
        <w:rPr>
          <w:rFonts w:cs="Times New Roman"/>
          <w:lang w:val="fr-CA"/>
        </w:rPr>
      </w:pPr>
      <w:r w:rsidRPr="009C665E">
        <w:rPr>
          <w:rFonts w:cs="Times New Roman"/>
          <w:lang w:val="fr-CA"/>
        </w:rPr>
        <w:t>Acquittements dans les cas où une déclaration de culpabilité serait déraisonnable au vu du dossier</w:t>
      </w:r>
    </w:p>
    <w:p w14:paraId="459C6674" w14:textId="77777777" w:rsidR="009C665E" w:rsidRPr="009C665E" w:rsidRDefault="009C665E" w:rsidP="009C665E">
      <w:pPr>
        <w:pStyle w:val="ParaNoNdepar-AltN"/>
        <w:spacing w:before="0"/>
        <w:rPr>
          <w:rFonts w:cs="Times New Roman"/>
          <w:lang w:val="fr-CA"/>
        </w:rPr>
      </w:pPr>
      <w:r w:rsidRPr="009C665E">
        <w:rPr>
          <w:rFonts w:cs="Times New Roman"/>
          <w:lang w:val="fr-CA"/>
        </w:rPr>
        <w:t>Le motif d’acquittement en appel le plus fréquemment invoqué concerne l’insuffisance de la preuve sous</w:t>
      </w:r>
      <w:r w:rsidRPr="009C665E">
        <w:rPr>
          <w:rFonts w:cs="Times New Roman"/>
          <w:lang w:val="fr-CA"/>
        </w:rPr>
        <w:noBreakHyphen/>
        <w:t>tendant une déclaration de culpabilité.</w:t>
      </w:r>
    </w:p>
    <w:p w14:paraId="1C133E85" w14:textId="77777777" w:rsidR="009C665E" w:rsidRPr="009C665E" w:rsidRDefault="009C665E" w:rsidP="009C665E">
      <w:pPr>
        <w:pStyle w:val="ParaNoNdepar-AltN"/>
        <w:rPr>
          <w:rFonts w:cs="Times New Roman"/>
          <w:lang w:val="fr-CA"/>
        </w:rPr>
      </w:pPr>
      <w:r w:rsidRPr="009C665E">
        <w:rPr>
          <w:rFonts w:cs="Times New Roman"/>
          <w:lang w:val="fr-CA"/>
        </w:rPr>
        <w:t xml:space="preserve">Cela est très évident dans les cas où les éléments de preuve admissibles présentés au tribunal de première instance n’auraient pas permis à un juge des faits de raisonnablement rendre un verdict de culpabilité (voir </w:t>
      </w:r>
      <w:r w:rsidRPr="009C665E">
        <w:rPr>
          <w:rFonts w:cs="Times New Roman"/>
          <w:i/>
          <w:lang w:val="fr-CA"/>
        </w:rPr>
        <w:t>R. c. Roy</w:t>
      </w:r>
      <w:r w:rsidRPr="009C665E">
        <w:rPr>
          <w:rFonts w:cs="Times New Roman"/>
          <w:lang w:val="fr-CA"/>
        </w:rPr>
        <w:t xml:space="preserve">, 2012 CSC 26, [2012] 2 R.C.S. 60, par. 53; </w:t>
      </w:r>
      <w:r w:rsidRPr="009C665E">
        <w:rPr>
          <w:rFonts w:cs="Times New Roman"/>
          <w:i/>
          <w:lang w:val="fr-CA"/>
        </w:rPr>
        <w:t>R. c. Pittiman</w:t>
      </w:r>
      <w:r w:rsidRPr="009C665E">
        <w:rPr>
          <w:rFonts w:cs="Times New Roman"/>
          <w:lang w:val="fr-CA"/>
        </w:rPr>
        <w:t xml:space="preserve">, 2006 CSC 9, [2006] 1 R.C.S. 381, par. 14; </w:t>
      </w:r>
      <w:r w:rsidRPr="009C665E">
        <w:rPr>
          <w:rFonts w:cs="Times New Roman"/>
          <w:i/>
          <w:lang w:val="fr-CA"/>
        </w:rPr>
        <w:t>R. c. S. (P.L.)</w:t>
      </w:r>
      <w:r w:rsidRPr="009C665E">
        <w:rPr>
          <w:rFonts w:cs="Times New Roman"/>
          <w:lang w:val="fr-CA"/>
        </w:rPr>
        <w:t>, [1991] 1 R.C.S. 909, p. 915</w:t>
      </w:r>
      <w:r w:rsidRPr="009C665E">
        <w:rPr>
          <w:rFonts w:cs="Times New Roman"/>
          <w:lang w:val="fr-CA"/>
        </w:rPr>
        <w:noBreakHyphen/>
        <w:t>916;</w:t>
      </w:r>
      <w:r w:rsidRPr="009C665E">
        <w:rPr>
          <w:rFonts w:cs="Times New Roman"/>
          <w:i/>
          <w:lang w:val="fr-CA"/>
        </w:rPr>
        <w:t xml:space="preserve"> </w:t>
      </w:r>
      <w:r w:rsidRPr="009C665E">
        <w:rPr>
          <w:rFonts w:cs="Times New Roman"/>
          <w:lang w:val="fr-CA"/>
        </w:rPr>
        <w:t xml:space="preserve">voir aussi </w:t>
      </w:r>
      <w:r w:rsidRPr="009C665E">
        <w:rPr>
          <w:rFonts w:cs="Times New Roman"/>
          <w:i/>
          <w:lang w:val="fr-CA"/>
        </w:rPr>
        <w:t>P.G. c. R.</w:t>
      </w:r>
      <w:r w:rsidRPr="009C665E">
        <w:rPr>
          <w:rFonts w:cs="Times New Roman"/>
          <w:lang w:val="fr-CA"/>
        </w:rPr>
        <w:t>,</w:t>
      </w:r>
      <w:r w:rsidRPr="009C665E">
        <w:rPr>
          <w:rFonts w:cs="Times New Roman"/>
          <w:i/>
          <w:lang w:val="fr-CA"/>
        </w:rPr>
        <w:t xml:space="preserve"> </w:t>
      </w:r>
      <w:r w:rsidRPr="009C665E">
        <w:rPr>
          <w:rFonts w:cs="Times New Roman"/>
          <w:lang w:val="fr-CA"/>
        </w:rPr>
        <w:t>2007 QCCA 1160, par. 92</w:t>
      </w:r>
      <w:r w:rsidRPr="009C665E">
        <w:rPr>
          <w:rFonts w:cs="Times New Roman"/>
          <w:lang w:val="fr-CA"/>
        </w:rPr>
        <w:noBreakHyphen/>
        <w:t xml:space="preserve">93; </w:t>
      </w:r>
      <w:r w:rsidRPr="009C665E">
        <w:rPr>
          <w:rFonts w:cs="Times New Roman"/>
          <w:i/>
          <w:lang w:val="fr-CA"/>
        </w:rPr>
        <w:t>R. c. D.C.S.</w:t>
      </w:r>
      <w:r w:rsidRPr="009C665E">
        <w:rPr>
          <w:rFonts w:cs="Times New Roman"/>
          <w:lang w:val="fr-CA"/>
        </w:rPr>
        <w:t>,</w:t>
      </w:r>
      <w:r w:rsidRPr="009C665E">
        <w:rPr>
          <w:rFonts w:cs="Times New Roman"/>
          <w:i/>
          <w:lang w:val="fr-CA"/>
        </w:rPr>
        <w:t xml:space="preserve"> </w:t>
      </w:r>
      <w:r w:rsidRPr="009C665E">
        <w:rPr>
          <w:rFonts w:cs="Times New Roman"/>
          <w:lang w:val="fr-CA"/>
        </w:rPr>
        <w:t>2000 NSCA 61, 184 N.S.R. (2d) 299, par. 46</w:t>
      </w:r>
      <w:r w:rsidRPr="009C665E">
        <w:rPr>
          <w:rFonts w:cs="Times New Roman"/>
          <w:lang w:val="fr-CA"/>
        </w:rPr>
        <w:noBreakHyphen/>
        <w:t xml:space="preserve">50; </w:t>
      </w:r>
      <w:bookmarkStart w:id="37" w:name="_Hlk185498932"/>
      <w:r w:rsidRPr="009C665E">
        <w:rPr>
          <w:rFonts w:cs="Times New Roman"/>
          <w:i/>
          <w:lang w:val="fr-CA"/>
        </w:rPr>
        <w:t>Boisvert c. R.</w:t>
      </w:r>
      <w:r w:rsidRPr="009C665E">
        <w:rPr>
          <w:rFonts w:cs="Times New Roman"/>
          <w:lang w:val="fr-CA"/>
        </w:rPr>
        <w:t xml:space="preserve">, 2012 QCCA 1945, par. 15; T. Desjardins, </w:t>
      </w:r>
      <w:r w:rsidRPr="009C665E">
        <w:rPr>
          <w:rFonts w:cs="Times New Roman"/>
          <w:i/>
          <w:lang w:val="fr-CA"/>
        </w:rPr>
        <w:t>L’appel en droit criminel et pénal</w:t>
      </w:r>
      <w:r w:rsidRPr="009C665E">
        <w:rPr>
          <w:rFonts w:cs="Times New Roman"/>
          <w:lang w:val="fr-CA"/>
        </w:rPr>
        <w:t xml:space="preserve"> (2</w:t>
      </w:r>
      <w:r w:rsidRPr="009C665E">
        <w:rPr>
          <w:rFonts w:cs="Times New Roman"/>
          <w:vertAlign w:val="superscript"/>
          <w:lang w:val="fr-CA"/>
        </w:rPr>
        <w:t>e</w:t>
      </w:r>
      <w:r w:rsidRPr="009C665E">
        <w:rPr>
          <w:rFonts w:cs="Times New Roman"/>
          <w:lang w:val="fr-CA"/>
        </w:rPr>
        <w:t> éd. 2012)</w:t>
      </w:r>
      <w:bookmarkEnd w:id="37"/>
      <w:r w:rsidRPr="009C665E">
        <w:rPr>
          <w:rFonts w:cs="Times New Roman"/>
          <w:lang w:val="fr-CA"/>
        </w:rPr>
        <w:t>, par. 443</w:t>
      </w:r>
      <w:r w:rsidRPr="009C665E">
        <w:rPr>
          <w:rFonts w:cs="Times New Roman"/>
          <w:lang w:val="fr-CA"/>
        </w:rPr>
        <w:noBreakHyphen/>
        <w:t xml:space="preserve">446; J. Sopinka, M. A. Gelowitz et W. D. Rankin, </w:t>
      </w:r>
      <w:r w:rsidRPr="009C665E">
        <w:rPr>
          <w:rFonts w:cs="Times New Roman"/>
          <w:i/>
          <w:lang w:val="fr-CA"/>
        </w:rPr>
        <w:t>Sopinka, Gelowitz and Rankin on the Conduct of an Appeal</w:t>
      </w:r>
      <w:r w:rsidRPr="009C665E">
        <w:rPr>
          <w:rFonts w:cs="Times New Roman"/>
          <w:lang w:val="fr-CA"/>
        </w:rPr>
        <w:t xml:space="preserve"> (5</w:t>
      </w:r>
      <w:r w:rsidRPr="009C665E">
        <w:rPr>
          <w:rFonts w:cs="Times New Roman"/>
          <w:vertAlign w:val="superscript"/>
          <w:lang w:val="fr-CA"/>
        </w:rPr>
        <w:t>e</w:t>
      </w:r>
      <w:r w:rsidRPr="009C665E">
        <w:rPr>
          <w:rFonts w:cs="Times New Roman"/>
          <w:lang w:val="fr-CA"/>
        </w:rPr>
        <w:t xml:space="preserve"> éd. 2022), ⁋4.44; </w:t>
      </w:r>
      <w:bookmarkStart w:id="38" w:name="_Hlk185498976"/>
      <w:r w:rsidRPr="009C665E">
        <w:rPr>
          <w:rFonts w:cs="Times New Roman"/>
          <w:lang w:val="fr-CA"/>
        </w:rPr>
        <w:t xml:space="preserve">Coughlan, </w:t>
      </w:r>
      <w:bookmarkEnd w:id="38"/>
      <w:r w:rsidRPr="009C665E">
        <w:rPr>
          <w:rFonts w:cs="Times New Roman"/>
          <w:lang w:val="fr-CA"/>
        </w:rPr>
        <w:t xml:space="preserve">p. 583). Il convient de souligner que c’est l’état du dossier qui est pertinent en l’espèce. C’est pourquoi, par exemple, un verdict déraisonnable reposant sur l’insuffisance du dossier justifie un acquittement, tandis qu’un verdict déraisonnable fondé sur une erreur de type </w:t>
      </w:r>
      <w:r w:rsidRPr="009C665E">
        <w:rPr>
          <w:rFonts w:cs="Times New Roman"/>
          <w:i/>
          <w:lang w:val="fr-CA"/>
        </w:rPr>
        <w:t xml:space="preserve">Beaudry </w:t>
      </w:r>
      <w:r w:rsidRPr="009C665E">
        <w:rPr>
          <w:rFonts w:cs="Times New Roman"/>
          <w:lang w:val="fr-CA"/>
        </w:rPr>
        <w:t>exige de se demander si la déclaration de culpabilité ne pouvait « de toute façon se justifier eu égard à la preuve au dossier » (</w:t>
      </w:r>
      <w:r w:rsidRPr="009C665E">
        <w:rPr>
          <w:rFonts w:cs="Times New Roman"/>
          <w:i/>
          <w:lang w:val="fr-CA"/>
        </w:rPr>
        <w:t>R. c. Sinclair</w:t>
      </w:r>
      <w:r w:rsidRPr="009C665E">
        <w:rPr>
          <w:rFonts w:cs="Times New Roman"/>
          <w:lang w:val="fr-CA"/>
        </w:rPr>
        <w:t xml:space="preserve">, 2011 CSC 40, </w:t>
      </w:r>
      <w:r w:rsidRPr="009C665E">
        <w:rPr>
          <w:rFonts w:cs="Times New Roman"/>
          <w:lang w:val="fr-CA"/>
        </w:rPr>
        <w:lastRenderedPageBreak/>
        <w:t xml:space="preserve">[2011] 3 R.C.S. 3, par. 23, le juge Fish, dissident, mais non sur ce point; </w:t>
      </w:r>
      <w:r w:rsidRPr="009C665E">
        <w:rPr>
          <w:rFonts w:cs="Times New Roman"/>
          <w:i/>
          <w:lang w:val="fr-CA"/>
        </w:rPr>
        <w:t>R. c. Beaudry</w:t>
      </w:r>
      <w:r w:rsidRPr="009C665E">
        <w:rPr>
          <w:rFonts w:cs="Times New Roman"/>
          <w:lang w:val="fr-CA"/>
        </w:rPr>
        <w:t>, 2007 CSC 5, [2007] 1 R.C.S. 190).</w:t>
      </w:r>
    </w:p>
    <w:p w14:paraId="295227A5" w14:textId="77777777" w:rsidR="009C665E" w:rsidRPr="009C665E" w:rsidRDefault="009C665E" w:rsidP="009C665E">
      <w:pPr>
        <w:pStyle w:val="ParaNoNdepar-AltN"/>
        <w:rPr>
          <w:rFonts w:cs="Times New Roman"/>
          <w:lang w:val="fr-CA"/>
        </w:rPr>
      </w:pPr>
      <w:r w:rsidRPr="009C665E">
        <w:rPr>
          <w:rFonts w:cs="Times New Roman"/>
          <w:lang w:val="fr-CA"/>
        </w:rPr>
        <w:t>Il est nécessaire de prononcer l’acquittement en pareil cas pour empêcher la Couronne d’avoir a posteriori une deuxième occasion d’établir une preuve, peut</w:t>
      </w:r>
      <w:r w:rsidRPr="009C665E">
        <w:rPr>
          <w:rFonts w:cs="Times New Roman"/>
          <w:lang w:val="fr-CA"/>
        </w:rPr>
        <w:noBreakHyphen/>
        <w:t xml:space="preserve">être différente et meilleure, contre l’accusé (voir </w:t>
      </w:r>
      <w:r w:rsidRPr="009C665E">
        <w:rPr>
          <w:rFonts w:cs="Times New Roman"/>
          <w:i/>
          <w:lang w:val="fr-CA"/>
        </w:rPr>
        <w:t>Pittiman</w:t>
      </w:r>
      <w:r w:rsidRPr="009C665E">
        <w:rPr>
          <w:rFonts w:cs="Times New Roman"/>
          <w:lang w:val="fr-CA"/>
        </w:rPr>
        <w:t xml:space="preserve">, par. 14, citant </w:t>
      </w:r>
      <w:r w:rsidRPr="009C665E">
        <w:rPr>
          <w:rFonts w:cs="Times New Roman"/>
          <w:i/>
          <w:lang w:val="fr-CA"/>
        </w:rPr>
        <w:t>R. c.</w:t>
      </w:r>
      <w:bookmarkStart w:id="39" w:name="_Hlk185498996"/>
      <w:r w:rsidRPr="009C665E">
        <w:rPr>
          <w:rFonts w:cs="Times New Roman"/>
          <w:i/>
          <w:lang w:val="fr-CA"/>
        </w:rPr>
        <w:t xml:space="preserve"> Harvey </w:t>
      </w:r>
      <w:r w:rsidRPr="009C665E">
        <w:rPr>
          <w:rFonts w:cs="Times New Roman"/>
          <w:lang w:val="fr-CA"/>
        </w:rPr>
        <w:t>(2001), 57 O.R. (3d) 296 (C.A.)</w:t>
      </w:r>
      <w:bookmarkEnd w:id="39"/>
      <w:r w:rsidRPr="009C665E">
        <w:rPr>
          <w:rFonts w:cs="Times New Roman"/>
          <w:lang w:val="fr-CA"/>
        </w:rPr>
        <w:t xml:space="preserve">, par. 30, conf. </w:t>
      </w:r>
      <w:proofErr w:type="gramStart"/>
      <w:r w:rsidRPr="009C665E">
        <w:rPr>
          <w:rFonts w:cs="Times New Roman"/>
          <w:lang w:val="fr-CA"/>
        </w:rPr>
        <w:t>par</w:t>
      </w:r>
      <w:proofErr w:type="gramEnd"/>
      <w:r w:rsidRPr="009C665E">
        <w:rPr>
          <w:rFonts w:cs="Times New Roman"/>
          <w:lang w:val="fr-CA"/>
        </w:rPr>
        <w:t xml:space="preserve"> 2002 CSC 80, [2002] 4 R.C.S. 311). Notre Cour a dit qu’accorder une telle occasion à la Couronne irait à l’encontre des principes fondamentaux d’équité relatifs à la prévention du double péril (voir </w:t>
      </w:r>
      <w:r w:rsidRPr="009C665E">
        <w:rPr>
          <w:rFonts w:cs="Times New Roman"/>
          <w:i/>
          <w:lang w:val="fr-CA"/>
        </w:rPr>
        <w:t>Savard c. The King</w:t>
      </w:r>
      <w:r w:rsidRPr="009C665E">
        <w:rPr>
          <w:rFonts w:cs="Times New Roman"/>
          <w:lang w:val="fr-CA"/>
        </w:rPr>
        <w:t>, [1946] R.C.S. 20, p. 33</w:t>
      </w:r>
      <w:r w:rsidRPr="009C665E">
        <w:rPr>
          <w:rFonts w:cs="Times New Roman"/>
          <w:lang w:val="fr-CA"/>
        </w:rPr>
        <w:noBreakHyphen/>
        <w:t xml:space="preserve">34; voir aussi </w:t>
      </w:r>
      <w:bookmarkStart w:id="40" w:name="_Hlk185499017"/>
      <w:r w:rsidRPr="009C665E">
        <w:rPr>
          <w:rFonts w:cs="Times New Roman"/>
          <w:i/>
          <w:lang w:val="fr-CA"/>
        </w:rPr>
        <w:t>R. c. More</w:t>
      </w:r>
      <w:r w:rsidRPr="009C665E">
        <w:rPr>
          <w:rFonts w:cs="Times New Roman"/>
          <w:lang w:val="fr-CA"/>
        </w:rPr>
        <w:t xml:space="preserve"> (1959), 124 C.C.C. 140 (C.A. C.</w:t>
      </w:r>
      <w:r w:rsidRPr="009C665E">
        <w:rPr>
          <w:rFonts w:cs="Times New Roman"/>
          <w:lang w:val="fr-CA"/>
        </w:rPr>
        <w:noBreakHyphen/>
        <w:t>B.)</w:t>
      </w:r>
      <w:bookmarkEnd w:id="40"/>
      <w:r w:rsidRPr="009C665E">
        <w:rPr>
          <w:rFonts w:cs="Times New Roman"/>
          <w:lang w:val="fr-CA"/>
        </w:rPr>
        <w:t>, p. 148</w:t>
      </w:r>
      <w:r w:rsidRPr="009C665E">
        <w:rPr>
          <w:rFonts w:cs="Times New Roman"/>
          <w:lang w:val="fr-CA"/>
        </w:rPr>
        <w:noBreakHyphen/>
        <w:t xml:space="preserve">150; </w:t>
      </w:r>
      <w:r w:rsidRPr="009C665E">
        <w:rPr>
          <w:rFonts w:cs="Times New Roman"/>
          <w:i/>
          <w:lang w:val="fr-CA"/>
        </w:rPr>
        <w:t>R. c. Ledesma</w:t>
      </w:r>
      <w:r w:rsidRPr="009C665E">
        <w:rPr>
          <w:rFonts w:cs="Times New Roman"/>
          <w:lang w:val="fr-CA"/>
        </w:rPr>
        <w:t>, 2020 ABCA 411, par. 21).</w:t>
      </w:r>
    </w:p>
    <w:p w14:paraId="4FC7A8AD" w14:textId="77777777" w:rsidR="009C665E" w:rsidRPr="009C665E" w:rsidRDefault="009C665E" w:rsidP="009C665E">
      <w:pPr>
        <w:pStyle w:val="ParaNoNdepar-AltN"/>
        <w:rPr>
          <w:rFonts w:cs="Times New Roman"/>
          <w:lang w:val="fr-CA"/>
        </w:rPr>
      </w:pPr>
      <w:r w:rsidRPr="009C665E">
        <w:rPr>
          <w:rFonts w:cs="Times New Roman"/>
          <w:lang w:val="fr-CA"/>
        </w:rPr>
        <w:t>Même lorsque les éléments de preuve présentés en première instance auraient pu raisonnablement étayer une déclaration de culpabilité à ce moment</w:t>
      </w:r>
      <w:r w:rsidRPr="009C665E">
        <w:rPr>
          <w:rFonts w:cs="Times New Roman"/>
          <w:lang w:val="fr-CA"/>
        </w:rPr>
        <w:noBreakHyphen/>
        <w:t xml:space="preserve">là, les nouveaux éléments de preuve présentés en appel peuvent convaincre la cour d’appel qu’aucun juge des faits ne pourrait raisonnablement rendre un verdict de culpabilité au vu du dossier tel que complété (voir, p. ex., </w:t>
      </w:r>
      <w:r w:rsidRPr="009C665E">
        <w:rPr>
          <w:rFonts w:cs="Times New Roman"/>
          <w:i/>
          <w:lang w:val="fr-CA"/>
        </w:rPr>
        <w:t>R. c. Hinse</w:t>
      </w:r>
      <w:r w:rsidRPr="009C665E">
        <w:rPr>
          <w:rFonts w:cs="Times New Roman"/>
          <w:lang w:val="fr-CA"/>
        </w:rPr>
        <w:t xml:space="preserve">, [1997] 1 R.C.S. 3; voir aussi </w:t>
      </w:r>
      <w:r w:rsidRPr="009C665E">
        <w:rPr>
          <w:rFonts w:cs="Times New Roman"/>
          <w:i/>
          <w:lang w:val="fr-CA"/>
        </w:rPr>
        <w:t>R. c. Oakes</w:t>
      </w:r>
      <w:r w:rsidRPr="009C665E">
        <w:rPr>
          <w:rFonts w:cs="Times New Roman"/>
          <w:lang w:val="fr-CA"/>
        </w:rPr>
        <w:t>, 2016 ABCA 90, 36 Alta. L.R. (6th) 248, par. 50</w:t>
      </w:r>
      <w:r w:rsidRPr="009C665E">
        <w:rPr>
          <w:rFonts w:cs="Times New Roman"/>
          <w:lang w:val="fr-CA"/>
        </w:rPr>
        <w:noBreakHyphen/>
        <w:t>53). Dans ce cas aussi, la cour d’appel doit rendre un verdict d’acquittement. C’est en ce sens que ce motif d’acquittement a été à juste titre décrit comme étant un motif qui [</w:t>
      </w:r>
      <w:r w:rsidRPr="009C665E">
        <w:rPr>
          <w:rFonts w:cs="Times New Roman"/>
          <w:smallCaps/>
          <w:lang w:val="fr-CA"/>
        </w:rPr>
        <w:t>traduction</w:t>
      </w:r>
      <w:r w:rsidRPr="009C665E">
        <w:rPr>
          <w:rFonts w:cs="Times New Roman"/>
          <w:lang w:val="fr-CA"/>
        </w:rPr>
        <w:t>] « s’impose » — il s’agit de la seule réparation possible en pareilles circonstances (</w:t>
      </w:r>
      <w:r w:rsidRPr="009C665E">
        <w:rPr>
          <w:rFonts w:cs="Times New Roman"/>
          <w:i/>
          <w:lang w:val="fr-CA"/>
        </w:rPr>
        <w:t>Truscott</w:t>
      </w:r>
      <w:r w:rsidRPr="009C665E">
        <w:rPr>
          <w:rFonts w:cs="Times New Roman"/>
          <w:lang w:val="fr-CA"/>
        </w:rPr>
        <w:t>, par. 247</w:t>
      </w:r>
      <w:r w:rsidRPr="009C665E">
        <w:rPr>
          <w:rFonts w:cs="Times New Roman"/>
          <w:lang w:val="fr-CA"/>
        </w:rPr>
        <w:noBreakHyphen/>
        <w:t xml:space="preserve">248; voir aussi </w:t>
      </w:r>
      <w:r w:rsidRPr="009C665E">
        <w:rPr>
          <w:rFonts w:cs="Times New Roman"/>
          <w:i/>
          <w:iCs/>
          <w:lang w:val="fr-CA"/>
        </w:rPr>
        <w:t>R. c.</w:t>
      </w:r>
      <w:r w:rsidRPr="009C665E">
        <w:rPr>
          <w:rFonts w:cs="Times New Roman"/>
          <w:i/>
          <w:lang w:val="fr-CA"/>
        </w:rPr>
        <w:t xml:space="preserve"> Maciel</w:t>
      </w:r>
      <w:r w:rsidRPr="009C665E">
        <w:rPr>
          <w:rFonts w:cs="Times New Roman"/>
          <w:lang w:val="fr-CA"/>
        </w:rPr>
        <w:t xml:space="preserve">, 2007 ONCA 196, 219 C.C.C. (3d) 516, par. 46; </w:t>
      </w:r>
      <w:r w:rsidRPr="009C665E">
        <w:rPr>
          <w:rFonts w:cs="Times New Roman"/>
          <w:i/>
          <w:lang w:val="fr-CA"/>
        </w:rPr>
        <w:t>R. c. Dhillon</w:t>
      </w:r>
      <w:r w:rsidRPr="009C665E">
        <w:rPr>
          <w:rFonts w:cs="Times New Roman"/>
          <w:lang w:val="fr-CA"/>
        </w:rPr>
        <w:t>,</w:t>
      </w:r>
      <w:r w:rsidRPr="009C665E">
        <w:rPr>
          <w:rFonts w:cs="Times New Roman"/>
          <w:i/>
          <w:lang w:val="fr-CA"/>
        </w:rPr>
        <w:t xml:space="preserve"> </w:t>
      </w:r>
      <w:r w:rsidRPr="009C665E">
        <w:rPr>
          <w:rFonts w:cs="Times New Roman"/>
          <w:lang w:val="fr-CA"/>
        </w:rPr>
        <w:t xml:space="preserve">2014 BCCA 480, 16 C.R. (7th) 8, par. 28; </w:t>
      </w:r>
      <w:r w:rsidRPr="009C665E">
        <w:rPr>
          <w:rFonts w:cs="Times New Roman"/>
          <w:i/>
          <w:lang w:val="fr-CA"/>
        </w:rPr>
        <w:t>R. c. Ostrowski</w:t>
      </w:r>
      <w:r w:rsidRPr="009C665E">
        <w:rPr>
          <w:rFonts w:cs="Times New Roman"/>
          <w:lang w:val="fr-CA"/>
        </w:rPr>
        <w:t xml:space="preserve">, 2018 </w:t>
      </w:r>
      <w:r w:rsidRPr="009C665E">
        <w:rPr>
          <w:rFonts w:cs="Times New Roman"/>
          <w:lang w:val="fr-CA"/>
        </w:rPr>
        <w:lastRenderedPageBreak/>
        <w:t>MBCA 125, 369 C.C.C. (3d) 139, par. 26; Coughlan, p. 584). Il serait injuste et inutile de renvoyer l’affaire pour la tenue d’un nouveau procès lorsque la preuve démontre que la seule issue raisonnable serait l’acquittement. En effet, dans les circonstances, l’acquittement est la seule option juste qui s’offre à la cour d’appel. Si le droit permettait à la cour d’appel de refuser un acquittement, il laisserait place à l’injustice en exposant l’accusé à un nouveau procès ou à un arrêt judiciaire des procédures alors que l’intérêt de la justice dicte une conclusion différente. L’intégrité de l’acquittement est préservée, car le verdict reflète l’omission par la Couronne de prouver le bien</w:t>
      </w:r>
      <w:r w:rsidRPr="009C665E">
        <w:rPr>
          <w:rFonts w:cs="Times New Roman"/>
          <w:lang w:val="fr-CA"/>
        </w:rPr>
        <w:noBreakHyphen/>
        <w:t>fondé de sa cause hors de tout doute raisonnable eu égard au dossier.</w:t>
      </w:r>
    </w:p>
    <w:p w14:paraId="399ED67B"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Il faut distinguer cette situation de celle où les nouveaux éléments de preuve présentés en appel semblent compromettre, dans une certaine mesure, la possibilité que l’accusé soit déclaré coupable lors d’un nouveau procès, mais où le dossier complété admet néanmoins l’existence d’une possibilité raisonnable qu’un verdict de culpabilité soit rendu. L’état d’un tel dossier ne permet pas, à lui seul, de rendre un verdict d’acquittement (voir </w:t>
      </w:r>
      <w:r w:rsidRPr="009C665E">
        <w:rPr>
          <w:rFonts w:cs="Times New Roman"/>
          <w:i/>
          <w:lang w:val="fr-CA"/>
        </w:rPr>
        <w:t>R. c. Hay</w:t>
      </w:r>
      <w:r w:rsidRPr="009C665E">
        <w:rPr>
          <w:rFonts w:cs="Times New Roman"/>
          <w:lang w:val="fr-CA"/>
        </w:rPr>
        <w:t xml:space="preserve">, 2013 CSC 61, [2013] 3 R.C.S. 694, par. 76; </w:t>
      </w:r>
      <w:r w:rsidRPr="009C665E">
        <w:rPr>
          <w:rFonts w:cs="Times New Roman"/>
          <w:i/>
          <w:lang w:val="fr-CA"/>
        </w:rPr>
        <w:t>Maciel</w:t>
      </w:r>
      <w:r w:rsidRPr="009C665E">
        <w:rPr>
          <w:rFonts w:cs="Times New Roman"/>
          <w:lang w:val="fr-CA"/>
        </w:rPr>
        <w:t xml:space="preserve">, par. 46, citant </w:t>
      </w:r>
      <w:r w:rsidRPr="009C665E">
        <w:rPr>
          <w:rFonts w:cs="Times New Roman"/>
          <w:i/>
          <w:lang w:val="fr-CA"/>
        </w:rPr>
        <w:t>R. c. Stolar</w:t>
      </w:r>
      <w:r w:rsidRPr="009C665E">
        <w:rPr>
          <w:rFonts w:cs="Times New Roman"/>
          <w:lang w:val="fr-CA"/>
        </w:rPr>
        <w:t xml:space="preserve">, [1988] 1 R.C.S. 480; voir aussi </w:t>
      </w:r>
      <w:bookmarkStart w:id="41" w:name="_Hlk185499093"/>
      <w:r w:rsidRPr="009C665E">
        <w:rPr>
          <w:rFonts w:cs="Times New Roman"/>
          <w:i/>
          <w:lang w:val="fr-CA"/>
        </w:rPr>
        <w:t>R. c. C.D.G.</w:t>
      </w:r>
      <w:r w:rsidRPr="009C665E">
        <w:rPr>
          <w:rFonts w:cs="Times New Roman"/>
          <w:lang w:val="fr-CA"/>
        </w:rPr>
        <w:t xml:space="preserve"> (1995), 128 Nfld. &amp; P.E.I.R. 312 (C.A. T.</w:t>
      </w:r>
      <w:r w:rsidRPr="009C665E">
        <w:rPr>
          <w:rFonts w:cs="Times New Roman"/>
          <w:lang w:val="fr-CA"/>
        </w:rPr>
        <w:noBreakHyphen/>
        <w:t>N.)</w:t>
      </w:r>
      <w:bookmarkEnd w:id="41"/>
      <w:r w:rsidRPr="009C665E">
        <w:rPr>
          <w:rFonts w:cs="Times New Roman"/>
          <w:lang w:val="fr-CA"/>
        </w:rPr>
        <w:t>, par. 82).</w:t>
      </w:r>
    </w:p>
    <w:p w14:paraId="1D96FA29"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Rendre un verdict d’acquittement lorsque la preuve ne peut raisonnablement étayer une déclaration de culpabilité respecte les limites institutionnelles auxquelles sont assujetties les cours d’appel et reconnaît l’avantage institutionnel dont jouit le tribunal de première instance lorsqu’il s’agit d’apprécier la </w:t>
      </w:r>
      <w:r w:rsidRPr="009C665E">
        <w:rPr>
          <w:rFonts w:cs="Times New Roman"/>
          <w:lang w:val="fr-CA"/>
        </w:rPr>
        <w:lastRenderedPageBreak/>
        <w:t xml:space="preserve">preuve. Le procureur général de l’Ontario rappelle que les procédures d’appel ne doivent pas se transformer en « procès instruit par la cour d’appel à partir du dossier » (m. interv., par. 20, citant </w:t>
      </w:r>
      <w:r w:rsidRPr="009C665E">
        <w:rPr>
          <w:rFonts w:cs="Times New Roman"/>
          <w:i/>
          <w:lang w:val="fr-CA"/>
        </w:rPr>
        <w:t>R. c. W.H.</w:t>
      </w:r>
      <w:r w:rsidRPr="009C665E">
        <w:rPr>
          <w:rFonts w:cs="Times New Roman"/>
          <w:lang w:val="fr-CA"/>
        </w:rPr>
        <w:t xml:space="preserve">, 2013 CSC 22, [2013] 2 R.C.S. 180, par. 34). Comme l’a affirmé le juge Cromwell dans l’arrêt </w:t>
      </w:r>
      <w:r w:rsidRPr="009C665E">
        <w:rPr>
          <w:rFonts w:cs="Times New Roman"/>
          <w:i/>
          <w:lang w:val="fr-CA"/>
        </w:rPr>
        <w:t>W.H.</w:t>
      </w:r>
      <w:r w:rsidRPr="009C665E">
        <w:rPr>
          <w:rFonts w:cs="Times New Roman"/>
          <w:lang w:val="fr-CA"/>
        </w:rPr>
        <w:t>,</w:t>
      </w:r>
      <w:r w:rsidRPr="009C665E">
        <w:rPr>
          <w:rFonts w:cs="Times New Roman"/>
          <w:i/>
          <w:lang w:val="fr-CA"/>
        </w:rPr>
        <w:t xml:space="preserve"> </w:t>
      </w:r>
      <w:r w:rsidRPr="009C665E">
        <w:rPr>
          <w:rFonts w:cs="Times New Roman"/>
          <w:lang w:val="fr-CA"/>
        </w:rPr>
        <w:t>le contrôle en appel « constitue un solide rempart contre la déclaration de culpabilité injustifiée, mais il doit être exercé de pair avec une grande déférence pour la fonction de juge des faits » (par. 34). On ne peut pas dire qu’en se fondant sur sa propre appréciation de la preuve, la cour d’appel prive le juge des faits de son rôle consistant à faire un choix entre les verdicts possibles lorsque cette preuve n’offre qu’une seule option raisonnablement possible.</w:t>
      </w:r>
    </w:p>
    <w:p w14:paraId="4407C9B1" w14:textId="77777777" w:rsidR="009C665E" w:rsidRPr="009C665E" w:rsidRDefault="009C665E" w:rsidP="009C665E">
      <w:pPr>
        <w:pStyle w:val="ParaNoNdepar-AltN"/>
        <w:spacing w:before="0"/>
        <w:rPr>
          <w:rFonts w:cs="Times New Roman"/>
          <w:lang w:val="fr-CA"/>
        </w:rPr>
      </w:pPr>
      <w:r w:rsidRPr="009C665E">
        <w:rPr>
          <w:rFonts w:cs="Times New Roman"/>
          <w:lang w:val="fr-CA"/>
        </w:rPr>
        <w:t>Ce motif d’acquittement fondé sur la preuve laisse également intact le sens généralement reconnu d’un acquittement, parce que la cour peut, sans risque de se tromper, conclure qu’au vu du dossier, l’accusé n’est pas coupable de l’infraction dont il est inculpé : la même conclusion que celle qui sous</w:t>
      </w:r>
      <w:r w:rsidRPr="009C665E">
        <w:rPr>
          <w:rFonts w:cs="Times New Roman"/>
          <w:lang w:val="fr-CA"/>
        </w:rPr>
        <w:noBreakHyphen/>
        <w:t>tend un acquittement prononcé en première instance.</w:t>
      </w:r>
    </w:p>
    <w:p w14:paraId="79D15A1F" w14:textId="77777777" w:rsidR="009C665E" w:rsidRPr="009C665E" w:rsidRDefault="009C665E" w:rsidP="009C665E">
      <w:pPr>
        <w:pStyle w:val="Title3LevelTitre3Niveau"/>
        <w:spacing w:before="0"/>
        <w:ind w:left="1152" w:hanging="576"/>
        <w:rPr>
          <w:rFonts w:cs="Times New Roman"/>
          <w:lang w:val="fr-CA"/>
        </w:rPr>
      </w:pPr>
      <w:r w:rsidRPr="009C665E">
        <w:rPr>
          <w:rFonts w:cs="Times New Roman"/>
          <w:u w:val="none"/>
          <w:lang w:val="fr-CA"/>
        </w:rPr>
        <w:t>(2)</w:t>
      </w:r>
      <w:r w:rsidRPr="009C665E">
        <w:rPr>
          <w:rFonts w:cs="Times New Roman"/>
          <w:u w:val="none"/>
          <w:lang w:val="fr-CA"/>
        </w:rPr>
        <w:tab/>
      </w:r>
      <w:r w:rsidRPr="009C665E">
        <w:rPr>
          <w:rFonts w:cs="Times New Roman"/>
          <w:lang w:val="fr-CA"/>
        </w:rPr>
        <w:t>Acquittements lorsque la Couronne inviterait le tribunal à prononcer un acquittement</w:t>
      </w:r>
    </w:p>
    <w:p w14:paraId="6F7B5AC2" w14:textId="77777777" w:rsidR="009C665E" w:rsidRPr="009C665E" w:rsidRDefault="009C665E" w:rsidP="009C665E">
      <w:pPr>
        <w:pStyle w:val="ParaNoNdepar-AltN"/>
        <w:spacing w:before="0"/>
        <w:rPr>
          <w:rFonts w:cs="Times New Roman"/>
          <w:lang w:val="fr-CA"/>
        </w:rPr>
      </w:pPr>
      <w:bookmarkStart w:id="42" w:name="_Hlk184219965"/>
      <w:r w:rsidRPr="009C665E">
        <w:rPr>
          <w:rFonts w:cs="Times New Roman"/>
          <w:lang w:val="fr-CA"/>
        </w:rPr>
        <w:t xml:space="preserve">Des considérations similaires commandent de reconnaître un deuxième motif d’acquittement fondé sur le par. 686(2) </w:t>
      </w:r>
      <w:r w:rsidRPr="009C665E">
        <w:rPr>
          <w:rFonts w:cs="Times New Roman"/>
          <w:i/>
          <w:lang w:val="fr-CA"/>
        </w:rPr>
        <w:t>C. cr.</w:t>
      </w:r>
      <w:r w:rsidRPr="009C665E">
        <w:rPr>
          <w:rFonts w:cs="Times New Roman"/>
          <w:lang w:val="fr-CA"/>
        </w:rPr>
        <w:t xml:space="preserve">, un motif d’acquittement que soulèvent les circonstances inhabituelles du présent pourvoi. À moins qu’il ne soit contraire à l’intérêt public de le faire, une cour d’appel doit rendre un verdict d’acquittement lorsque la Couronne réclame un acquittement et affirme qu’elle ne </w:t>
      </w:r>
      <w:r w:rsidRPr="009C665E">
        <w:rPr>
          <w:rFonts w:cs="Times New Roman"/>
          <w:lang w:val="fr-CA"/>
        </w:rPr>
        <w:lastRenderedPageBreak/>
        <w:t>présenterait aucune preuve lors d’un nouveau procès pour s’assurer qu’un acquittement soit prononcé. Il en est ainsi qu’une déclaration de culpabilité soit ou non déraisonnable au vu du dossier existant, et indépendamment de ce que la cour d’appel pense qu’il pourrait arriver lors d’un nouveau procès hypothétique.</w:t>
      </w:r>
    </w:p>
    <w:p w14:paraId="6A55BC49" w14:textId="77777777" w:rsidR="009C665E" w:rsidRPr="009C665E" w:rsidRDefault="009C665E" w:rsidP="009C665E">
      <w:pPr>
        <w:pStyle w:val="ParaNoNdepar-AltN"/>
        <w:spacing w:before="0"/>
        <w:rPr>
          <w:rFonts w:cs="Times New Roman"/>
          <w:lang w:val="fr-CA"/>
        </w:rPr>
      </w:pPr>
      <w:r w:rsidRPr="009C665E">
        <w:rPr>
          <w:rFonts w:cs="Times New Roman"/>
          <w:lang w:val="fr-CA"/>
        </w:rPr>
        <w:t>Le raisonnement qui sous</w:t>
      </w:r>
      <w:r w:rsidRPr="009C665E">
        <w:rPr>
          <w:rFonts w:cs="Times New Roman"/>
          <w:lang w:val="fr-CA"/>
        </w:rPr>
        <w:noBreakHyphen/>
        <w:t>tend ce motif d’acquittement est que, comme dans le cas d’un motif traditionnel fondé sur la preuve qui est visé au par. 686(2), la cour d’appel donne simplement effet à des circonstances qui mèneraient de toute façon directement à un acquittement. Même si la cour ordonnait un nouveau procès, ce qui constituerait la réparation la moins avantageuse du point de vue de l’accusé, la position de la Couronne signifierait que le tribunal de première instance serait tenu de rendre un verdict d’acquittement (voir LeSage, p. 130; Roach, p. 224</w:t>
      </w:r>
      <w:r w:rsidRPr="009C665E">
        <w:rPr>
          <w:rFonts w:cs="Times New Roman"/>
          <w:lang w:val="fr-CA"/>
        </w:rPr>
        <w:noBreakHyphen/>
        <w:t>227). Lorsqu’il résulte du fait que la Couronne n’a présenté aucune preuve, un acquittement résout l’affaire de manière définitive par une conclusion de non</w:t>
      </w:r>
      <w:r w:rsidRPr="009C665E">
        <w:rPr>
          <w:rFonts w:cs="Times New Roman"/>
          <w:lang w:val="fr-CA"/>
        </w:rPr>
        <w:noBreakHyphen/>
        <w:t xml:space="preserve">culpabilité, comme tout autre acquittement (voir </w:t>
      </w:r>
      <w:r w:rsidRPr="009C665E">
        <w:rPr>
          <w:rFonts w:cs="Times New Roman"/>
          <w:i/>
          <w:lang w:val="fr-CA"/>
        </w:rPr>
        <w:t>R. c. Riddle</w:t>
      </w:r>
      <w:r w:rsidRPr="009C665E">
        <w:rPr>
          <w:rFonts w:cs="Times New Roman"/>
          <w:lang w:val="fr-CA"/>
        </w:rPr>
        <w:t>, [1980] 1 R.C.S. 380, p. 399). En remplaçant maintenant la déclaration de culpabilité par un acquittement, compte tenu de l’engagement de la Couronne, la cour d’appel, dans l’exercice du pouvoir que lui confère le par. 686(2), ne fait donc qu’imposer un résultat auquel les parties parviendraient inévitablement si un nouveau procès était ordonné.</w:t>
      </w:r>
    </w:p>
    <w:p w14:paraId="76252770"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Comme la cour d’appel ne fait que prononcer le même acquittement que celui que prononcerait finalement le tribunal de première instance, on ne peut prétendre que la cour d’appel usurpe le rôle du juge des faits, ni qu’elle déforme le sens </w:t>
      </w:r>
      <w:r w:rsidRPr="009C665E">
        <w:rPr>
          <w:rFonts w:cs="Times New Roman"/>
          <w:lang w:val="fr-CA"/>
        </w:rPr>
        <w:lastRenderedPageBreak/>
        <w:t>généralement reconnu d’un acquittement. Dans la nouvelle instance, un verdict de non</w:t>
      </w:r>
      <w:r w:rsidRPr="009C665E">
        <w:rPr>
          <w:rFonts w:cs="Times New Roman"/>
          <w:lang w:val="fr-CA"/>
        </w:rPr>
        <w:noBreakHyphen/>
        <w:t>culpabilité serait la seule conclusion juridique à laquelle le juge des faits pourrait parvenir parce qu’une déclaration de culpabilité serait déraisonnable au vu d’un dossier ne comportant aucune preuve. L’acquittement serait prononcé au motif que la Couronne n’a pas prouvé le bien</w:t>
      </w:r>
      <w:r w:rsidRPr="009C665E">
        <w:rPr>
          <w:rFonts w:cs="Times New Roman"/>
          <w:lang w:val="fr-CA"/>
        </w:rPr>
        <w:noBreakHyphen/>
        <w:t>fondé de sa cause contre l’accusé, ce qui correspond au sens juridique d’un acquittement.</w:t>
      </w:r>
    </w:p>
    <w:p w14:paraId="0A66FB9C" w14:textId="77777777" w:rsidR="009C665E" w:rsidRPr="009C665E" w:rsidRDefault="009C665E" w:rsidP="009C665E">
      <w:pPr>
        <w:pStyle w:val="ParaNoNdepar-AltN"/>
        <w:spacing w:before="0"/>
        <w:rPr>
          <w:rFonts w:cs="Times New Roman"/>
          <w:lang w:val="fr-CA"/>
        </w:rPr>
      </w:pPr>
      <w:r w:rsidRPr="009C665E">
        <w:rPr>
          <w:rFonts w:cs="Times New Roman"/>
          <w:lang w:val="fr-CA"/>
        </w:rPr>
        <w:t>Le procureur général de l’Ontario affirme que, dans ce scénario, la cour d’appel devrait, au lieu d’imposer directement ce résultat final, ordonner un nouveau procès et faire en sorte que ce soit le tribunal de première instance qui prononce l’acquittement (transcription, p. 87). Avec égards, je ne suis pas d’accord.</w:t>
      </w:r>
    </w:p>
    <w:p w14:paraId="2BCF5655"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La position préconisée par le procureur général de l’Ontario nécessiterait </w:t>
      </w:r>
      <w:proofErr w:type="gramStart"/>
      <w:r w:rsidRPr="009C665E">
        <w:rPr>
          <w:rFonts w:cs="Times New Roman"/>
          <w:lang w:val="fr-CA"/>
        </w:rPr>
        <w:t xml:space="preserve">des procédures </w:t>
      </w:r>
      <w:r w:rsidRPr="009C665E">
        <w:rPr>
          <w:rFonts w:cs="Times New Roman"/>
          <w:i/>
          <w:lang w:val="fr-CA"/>
        </w:rPr>
        <w:t>pro</w:t>
      </w:r>
      <w:proofErr w:type="gramEnd"/>
      <w:r w:rsidRPr="009C665E">
        <w:rPr>
          <w:rFonts w:cs="Times New Roman"/>
          <w:i/>
          <w:lang w:val="fr-CA"/>
        </w:rPr>
        <w:t> forma</w:t>
      </w:r>
      <w:r w:rsidRPr="009C665E">
        <w:rPr>
          <w:rFonts w:cs="Times New Roman"/>
          <w:lang w:val="fr-CA"/>
        </w:rPr>
        <w:t xml:space="preserve"> qui ne cadrent pas avec une justice criminelle rendue en temps utile et efficacement. Notre Cour a déclaré que tous les participants à la justice criminelle, y compris les tribunaux, doivent en faire davantage pour remédier aux pratiques inefficaces de la justice criminelle (</w:t>
      </w:r>
      <w:bookmarkStart w:id="43" w:name="_Hlk185499142"/>
      <w:r w:rsidRPr="009C665E">
        <w:rPr>
          <w:rFonts w:cs="Times New Roman"/>
          <w:lang w:val="fr-CA"/>
        </w:rPr>
        <w:t xml:space="preserve">voir </w:t>
      </w:r>
      <w:r w:rsidRPr="009C665E">
        <w:rPr>
          <w:rFonts w:cs="Times New Roman"/>
          <w:i/>
          <w:lang w:val="fr-CA"/>
        </w:rPr>
        <w:t>R. c. Jordan</w:t>
      </w:r>
      <w:r w:rsidRPr="009C665E">
        <w:rPr>
          <w:rFonts w:cs="Times New Roman"/>
          <w:lang w:val="fr-CA"/>
        </w:rPr>
        <w:t>, 2016 CSC 27, [2016] 1 R.C.S. 631</w:t>
      </w:r>
      <w:bookmarkEnd w:id="43"/>
      <w:r w:rsidRPr="009C665E">
        <w:rPr>
          <w:rFonts w:cs="Times New Roman"/>
          <w:lang w:val="fr-CA"/>
        </w:rPr>
        <w:t xml:space="preserve">, par. 41, 45 et 116; </w:t>
      </w:r>
      <w:bookmarkStart w:id="44" w:name="_Hlk185499152"/>
      <w:r w:rsidRPr="009C665E">
        <w:rPr>
          <w:rFonts w:cs="Times New Roman"/>
          <w:lang w:val="fr-CA"/>
        </w:rPr>
        <w:t xml:space="preserve">voir aussi </w:t>
      </w:r>
      <w:r w:rsidRPr="009C665E">
        <w:rPr>
          <w:rFonts w:cs="Times New Roman"/>
          <w:i/>
          <w:lang w:val="fr-CA"/>
        </w:rPr>
        <w:t>La Presse inc. c. Québec</w:t>
      </w:r>
      <w:r w:rsidRPr="009C665E">
        <w:rPr>
          <w:rFonts w:cs="Times New Roman"/>
          <w:lang w:val="fr-CA"/>
        </w:rPr>
        <w:t>, 2023 CSC 22</w:t>
      </w:r>
      <w:bookmarkEnd w:id="44"/>
      <w:r w:rsidRPr="009C665E">
        <w:rPr>
          <w:rFonts w:cs="Times New Roman"/>
          <w:lang w:val="fr-CA"/>
        </w:rPr>
        <w:t>, par. 55). C’est un lieu commun de dire que les délais dans les procédures criminelles continuent de constituer un problème de taille pour les tribunaux canadiens (</w:t>
      </w:r>
      <w:bookmarkStart w:id="45" w:name="_Hlk185499166"/>
      <w:r w:rsidRPr="009C665E">
        <w:rPr>
          <w:rFonts w:cs="Times New Roman"/>
          <w:lang w:val="fr-CA"/>
        </w:rPr>
        <w:t xml:space="preserve">voir </w:t>
      </w:r>
      <w:proofErr w:type="gramStart"/>
      <w:r w:rsidRPr="009C665E">
        <w:rPr>
          <w:rFonts w:cs="Times New Roman"/>
          <w:lang w:val="fr-CA"/>
        </w:rPr>
        <w:t>Ministère</w:t>
      </w:r>
      <w:proofErr w:type="gramEnd"/>
      <w:r w:rsidRPr="009C665E">
        <w:rPr>
          <w:rFonts w:cs="Times New Roman"/>
          <w:lang w:val="fr-CA"/>
        </w:rPr>
        <w:t xml:space="preserve"> de la Justice du Canada, </w:t>
      </w:r>
      <w:r w:rsidRPr="009C665E">
        <w:rPr>
          <w:rFonts w:cs="Times New Roman"/>
          <w:i/>
          <w:iCs/>
          <w:lang w:val="fr-CA"/>
        </w:rPr>
        <w:t>Le rapport final sur l’examen du système de justice pénale du Canada</w:t>
      </w:r>
      <w:r w:rsidRPr="009C665E">
        <w:rPr>
          <w:rFonts w:cs="Times New Roman"/>
          <w:lang w:val="fr-CA"/>
        </w:rPr>
        <w:t xml:space="preserve"> (2019)</w:t>
      </w:r>
      <w:bookmarkEnd w:id="45"/>
      <w:r w:rsidRPr="009C665E">
        <w:rPr>
          <w:rFonts w:cs="Times New Roman"/>
          <w:lang w:val="fr-CA"/>
        </w:rPr>
        <w:t xml:space="preserve">, p. 5). Il ne servirait à rien de tenir une instance devant le </w:t>
      </w:r>
      <w:r w:rsidRPr="009C665E">
        <w:rPr>
          <w:rFonts w:cs="Times New Roman"/>
          <w:lang w:val="fr-CA"/>
        </w:rPr>
        <w:lastRenderedPageBreak/>
        <w:t>tribunal de première instance, ce qui entraînerait des frais et des délais supplémentaires, pour arriver au même résultat que celui qu’une cour d’appel peut décréter directement.</w:t>
      </w:r>
    </w:p>
    <w:p w14:paraId="4C2FB95E" w14:textId="77777777" w:rsidR="009C665E" w:rsidRPr="009C665E" w:rsidRDefault="009C665E" w:rsidP="009C665E">
      <w:pPr>
        <w:pStyle w:val="ParaNoNdepar-AltN"/>
        <w:spacing w:before="0"/>
        <w:rPr>
          <w:rFonts w:cs="Times New Roman"/>
          <w:lang w:val="fr-CA"/>
        </w:rPr>
      </w:pPr>
      <w:bookmarkStart w:id="46" w:name="_Hlk188437814"/>
      <w:r w:rsidRPr="009C665E">
        <w:rPr>
          <w:rFonts w:cs="Times New Roman"/>
          <w:lang w:val="fr-CA"/>
        </w:rPr>
        <w:t>De plus, la position du procureur général de l’Ontario laisserait des personnes accusées comme M</w:t>
      </w:r>
      <w:r w:rsidRPr="009C665E">
        <w:rPr>
          <w:rFonts w:cs="Times New Roman"/>
          <w:vertAlign w:val="superscript"/>
          <w:lang w:val="fr-CA"/>
        </w:rPr>
        <w:t>me</w:t>
      </w:r>
      <w:r w:rsidRPr="009C665E">
        <w:rPr>
          <w:rFonts w:cs="Times New Roman"/>
          <w:lang w:val="fr-CA"/>
        </w:rPr>
        <w:t xml:space="preserve"> Bouvette, qui ont déjà réussi à faire annuler leurs déclarations de culpabilité, dans un état d’inquiétude constante jusqu’à l’issue d’une instance qui est, en fait, une formalité plutôt </w:t>
      </w:r>
      <w:bookmarkEnd w:id="46"/>
      <w:r w:rsidRPr="009C665E">
        <w:rPr>
          <w:rFonts w:cs="Times New Roman"/>
          <w:lang w:val="fr-CA"/>
        </w:rPr>
        <w:t>qu’un examen sérieux du fond. Il est facile d’imaginer d’autres procédures qui imposent des difficultés réelles à de telles personnes. Les accusés ne devraient pas avoir à attendre l’issue de formalités sans objet pour obtenir la décision définitive qui s’ensuivrait inévitablement.</w:t>
      </w:r>
    </w:p>
    <w:p w14:paraId="5DE737B8" w14:textId="77777777" w:rsidR="009C665E" w:rsidRPr="009C665E" w:rsidRDefault="009C665E" w:rsidP="009C665E">
      <w:pPr>
        <w:pStyle w:val="ParaNoNdepar-AltN"/>
        <w:rPr>
          <w:rFonts w:cs="Times New Roman"/>
          <w:lang w:val="fr-CA"/>
        </w:rPr>
      </w:pPr>
      <w:r w:rsidRPr="009C665E">
        <w:rPr>
          <w:rFonts w:cs="Times New Roman"/>
          <w:lang w:val="fr-CA"/>
        </w:rPr>
        <w:t xml:space="preserve">Le fait que la Couronne n’a pas seulement déclaré qu’elle ne présenterait aucune preuve lors d’un éventuel procès et inviterait le tribunal à prononcer un acquittement, mais qu’elle a aussi demandé qu’un acquittement soit immédiatement prononcé par la cour d’appel, est au cœur de ce motif d’acquittement. Si la Couronne ne souhaite pas qu’un acquittement soit prononcé pour ce motif et préfère procéder différemment, elle n’a qu’à adopter une position différente devant la cour d’appel ou qu’à refuser de présenter des observations sur ce qui se passerait lors d’un nouveau procès (voir, p. ex., </w:t>
      </w:r>
      <w:r w:rsidRPr="009C665E">
        <w:rPr>
          <w:rFonts w:cs="Times New Roman"/>
          <w:i/>
          <w:lang w:val="fr-CA"/>
        </w:rPr>
        <w:t>Phillion</w:t>
      </w:r>
      <w:r w:rsidRPr="009C665E">
        <w:rPr>
          <w:rFonts w:cs="Times New Roman"/>
          <w:lang w:val="fr-CA"/>
        </w:rPr>
        <w:t>, par. 242). Comme l’a dit l’avocate à l’audience, la Couronne n’a pas à donner de réponse à la question de savoir ce qu’elle ferait lors d’un nouveau procès, mais, lorsqu’elle le fait, notre Cour doit tenir compte de cette position (voir la transcription, p. 45).</w:t>
      </w:r>
    </w:p>
    <w:p w14:paraId="0A516F41" w14:textId="77777777" w:rsidR="009C665E" w:rsidRPr="009C665E" w:rsidRDefault="009C665E" w:rsidP="009C665E">
      <w:pPr>
        <w:pStyle w:val="ParaNoNdepar-AltN"/>
        <w:spacing w:before="0"/>
        <w:rPr>
          <w:rFonts w:cs="Times New Roman"/>
          <w:lang w:val="fr-CA"/>
        </w:rPr>
      </w:pPr>
      <w:r w:rsidRPr="009C665E">
        <w:rPr>
          <w:rFonts w:cs="Times New Roman"/>
          <w:lang w:val="fr-CA"/>
        </w:rPr>
        <w:lastRenderedPageBreak/>
        <w:t xml:space="preserve">La reconnaissance de ce motif d’acquittement est compatible avec l’idée, exprimée dans d’autres contextes, selon laquelle les tribunaux devraient s’abstenir de s’immiscer dans les positions conjointes des parties à un procès criminel quant au règlement définitif de leur litige (voir, par analogie, </w:t>
      </w:r>
      <w:r w:rsidRPr="009C665E">
        <w:rPr>
          <w:rFonts w:cs="Times New Roman"/>
          <w:i/>
          <w:lang w:val="fr-CA"/>
        </w:rPr>
        <w:t>R. c. Anthony‑Cook</w:t>
      </w:r>
      <w:r w:rsidRPr="009C665E">
        <w:rPr>
          <w:rFonts w:cs="Times New Roman"/>
          <w:lang w:val="fr-CA"/>
        </w:rPr>
        <w:t xml:space="preserve">, 2016 CSC 43, [2016] 2 R.C.S. 204). Non seulement le respect des positions conjointes sert les objectifs d’une justice rendue en temps utile et efficacement (voir le par. 40; voir aussi </w:t>
      </w:r>
      <w:r w:rsidRPr="009C665E">
        <w:rPr>
          <w:rFonts w:cs="Times New Roman"/>
          <w:i/>
          <w:lang w:val="fr-CA"/>
        </w:rPr>
        <w:t>R. c. Nahanee</w:t>
      </w:r>
      <w:r w:rsidRPr="009C665E">
        <w:rPr>
          <w:rFonts w:cs="Times New Roman"/>
          <w:lang w:val="fr-CA"/>
        </w:rPr>
        <w:t xml:space="preserve">, 2022 CSC 37, par. 26), mais il montre que les parties sont bien placées pour en arriver à une issue qui, eu égard aux circonstances particulières de leur affaire, est équitable et juste (voir </w:t>
      </w:r>
      <w:r w:rsidRPr="009C665E">
        <w:rPr>
          <w:rFonts w:cs="Times New Roman"/>
          <w:i/>
          <w:lang w:val="fr-CA"/>
        </w:rPr>
        <w:t>Anthony-Cook</w:t>
      </w:r>
      <w:r w:rsidRPr="009C665E">
        <w:rPr>
          <w:rFonts w:cs="Times New Roman"/>
          <w:lang w:val="fr-CA"/>
        </w:rPr>
        <w:t>, par. 44).</w:t>
      </w:r>
    </w:p>
    <w:p w14:paraId="7125C92E"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Lorsque l’accusé plaide coupable et se voit infliger une peine conforme à une recommandation conjointe, le tribunal doit examiner minutieusement la peine pour s’assurer qu’elle n’est pas contraire à l’intérêt public (voir </w:t>
      </w:r>
      <w:r w:rsidRPr="009C665E">
        <w:rPr>
          <w:rFonts w:cs="Times New Roman"/>
          <w:i/>
          <w:lang w:val="fr-CA"/>
        </w:rPr>
        <w:t>Anthony-Cook</w:t>
      </w:r>
      <w:r w:rsidRPr="009C665E">
        <w:rPr>
          <w:rFonts w:cs="Times New Roman"/>
          <w:lang w:val="fr-CA"/>
        </w:rPr>
        <w:t>, par. 32</w:t>
      </w:r>
      <w:r w:rsidRPr="009C665E">
        <w:rPr>
          <w:rFonts w:cs="Times New Roman"/>
          <w:lang w:val="fr-CA"/>
        </w:rPr>
        <w:noBreakHyphen/>
        <w:t>33). Compte tenu de l’importance des recommandations conjointes, le critère de l’intérêt public « place [. . .] la barre très haut » pour justifier une intervention (</w:t>
      </w:r>
      <w:r w:rsidRPr="009C665E">
        <w:rPr>
          <w:rFonts w:cs="Times New Roman"/>
          <w:i/>
          <w:lang w:val="fr-CA"/>
        </w:rPr>
        <w:t>Nahanee</w:t>
      </w:r>
      <w:r w:rsidRPr="009C665E">
        <w:rPr>
          <w:rFonts w:cs="Times New Roman"/>
          <w:lang w:val="fr-CA"/>
        </w:rPr>
        <w:t>, par. 26). Ce critère exige que la recommandation conjointe soit « à ce point dissociée » des circonstances de l’infraction et de la situation de l’accusé qu’elle « </w:t>
      </w:r>
      <w:bookmarkStart w:id="47" w:name="_Hlk188447228"/>
      <w:r w:rsidRPr="009C665E">
        <w:rPr>
          <w:rFonts w:cs="Times New Roman"/>
          <w:lang w:val="fr-CA"/>
        </w:rPr>
        <w:t>amènerait les personnes renseignées et raisonnables, au fait de toutes les circonstances pertinentes » à croire que le système de justice « avait cessé » de bien fonctionner</w:t>
      </w:r>
      <w:bookmarkEnd w:id="47"/>
      <w:r w:rsidRPr="009C665E">
        <w:rPr>
          <w:rFonts w:cs="Times New Roman"/>
          <w:lang w:val="fr-CA"/>
        </w:rPr>
        <w:t xml:space="preserve"> (</w:t>
      </w:r>
      <w:r w:rsidRPr="009C665E">
        <w:rPr>
          <w:rFonts w:cs="Times New Roman"/>
          <w:i/>
          <w:lang w:val="fr-CA"/>
        </w:rPr>
        <w:t>Anthony</w:t>
      </w:r>
      <w:r w:rsidRPr="009C665E">
        <w:rPr>
          <w:rFonts w:cs="Times New Roman"/>
          <w:i/>
          <w:lang w:val="fr-CA"/>
        </w:rPr>
        <w:noBreakHyphen/>
        <w:t>Cook</w:t>
      </w:r>
      <w:r w:rsidRPr="009C665E">
        <w:rPr>
          <w:rFonts w:cs="Times New Roman"/>
          <w:lang w:val="fr-CA"/>
        </w:rPr>
        <w:t>, par. 34). Malgré le caractère exigeant du critère de l’intérêt public, on peut imaginer des recommandations conjointes qui y satisferaient, compte tenu du large éventail de peines possibles sur lesquelles les parties peuvent théoriquement s’entendre.</w:t>
      </w:r>
    </w:p>
    <w:p w14:paraId="51A3EF3B" w14:textId="77777777" w:rsidR="009C665E" w:rsidRPr="009C665E" w:rsidRDefault="009C665E" w:rsidP="009C665E">
      <w:pPr>
        <w:pStyle w:val="ParaNoNdepar-AltN"/>
        <w:spacing w:before="0"/>
        <w:rPr>
          <w:rFonts w:cs="Times New Roman"/>
          <w:lang w:val="fr-CA"/>
        </w:rPr>
      </w:pPr>
      <w:r w:rsidRPr="009C665E">
        <w:rPr>
          <w:rFonts w:cs="Times New Roman"/>
          <w:lang w:val="fr-CA"/>
        </w:rPr>
        <w:lastRenderedPageBreak/>
        <w:t>La cour d’appel qui exerce son pouvoir en vertu du par. 686(2) doit s’assurer qu’elle n’agit pas de manière contraire à l’intérêt public. Lorsque la Couronne fait savoir que l’accusé serait inévitablement acquitté lors d’un nouveau procès, il est peu probable qu’un acquittement immédiat en appel mine l’intérêt public. La cour d’appel donne simplement effet immédiatement à un résultat — un acquittement — auquel on parviendrait inévitablement devant le tribunal de première instance de toute façon. Lorsque prononcer un acquittement immédiatement n’est pas contraire à l’intérêt public, la cour d’appel s’acquitte convenablement de son rôle de surveillance et arrive à bon droit à l’issue juste dans les circonstances. En clair, on ne saurait affirmer que la cour transfère, dans les faits ou autrement, à la Couronne ou aux parties le pouvoir que lui confère la loi. Ultimement, c’est la cour qui prononce l’acquittement lorsqu’il s’agit, comme dans les circonstances de l’espèce, de l’issue qui est juste. Comme je l’ai mentionné précédemment, le Parlement a conféré à la cour d’appel la responsabilité de faire en sorte que la réparation appropriée soit ordonnée. Une cour d’appel qui ne rend pas un verdict d’acquittement dans ces circonstances faillirait nécessairement à cette tâche.</w:t>
      </w:r>
    </w:p>
    <w:p w14:paraId="191D9EA6" w14:textId="77777777" w:rsidR="009C665E" w:rsidRPr="009C665E" w:rsidRDefault="009C665E" w:rsidP="009C665E">
      <w:pPr>
        <w:pStyle w:val="ParaNoNdepar-AltN"/>
        <w:rPr>
          <w:rFonts w:cs="Times New Roman"/>
          <w:lang w:val="fr-CA"/>
        </w:rPr>
      </w:pPr>
      <w:r w:rsidRPr="009C665E">
        <w:rPr>
          <w:rFonts w:cs="Times New Roman"/>
          <w:lang w:val="fr-CA"/>
        </w:rPr>
        <w:t>En pratique, la reconnaissance de ce motif d’acquittement permet à la Couronne de s’attaquer au stigmate résiduel qu’entraînent les erreurs judiciaires.</w:t>
      </w:r>
      <w:bookmarkEnd w:id="42"/>
      <w:r w:rsidRPr="009C665E">
        <w:rPr>
          <w:rFonts w:cs="Times New Roman"/>
          <w:lang w:val="fr-CA"/>
        </w:rPr>
        <w:t xml:space="preserve"> Comme ce motif d’acquittement ne requiert pas d’arguments complexes en matière de preuve ou de contexte, et s’applique peu importe qu’un acquittement soit ou non déraisonnable au vu du dossier existant, il le permet relativement en temps utile et relativement efficacement. Un cadre d’analyse qui priverait des personnes comme </w:t>
      </w:r>
      <w:r w:rsidRPr="009C665E">
        <w:rPr>
          <w:rFonts w:cs="Times New Roman"/>
          <w:lang w:val="fr-CA"/>
        </w:rPr>
        <w:lastRenderedPageBreak/>
        <w:t>M</w:t>
      </w:r>
      <w:r w:rsidRPr="009C665E">
        <w:rPr>
          <w:rFonts w:cs="Times New Roman"/>
          <w:vertAlign w:val="superscript"/>
          <w:lang w:val="fr-CA"/>
        </w:rPr>
        <w:t>me</w:t>
      </w:r>
      <w:r w:rsidRPr="009C665E">
        <w:rPr>
          <w:rFonts w:cs="Times New Roman"/>
          <w:lang w:val="fr-CA"/>
        </w:rPr>
        <w:t xml:space="preserve"> Bouvette d’un acquittement pour ce motif, et qui exigerait plutôt des parties qu’elles se livrent à une analyse de grande portée et requérant beaucoup de ressources pour atteindre le même résultat, reviendrait à admettre un gaspillage de ressources en appel déjà limitées sans but apparent. Un acquittement ne fait aucun doute dans ces circonstances. Il n’est donc pas nécessaire, pour la bonne administration de la justice, d’entreprendre une très longue détermination quant à savoir s’il est clairement plus probable qu’improbable qu’un accusé soit déclaré non coupable lors d’un nouveau procès hypothétique. Il faut saluer les efforts déployés par la Couronne pour mettre fin rapidement à des procédures entachées d’erreur judiciaire et y donner effet (voir </w:t>
      </w:r>
      <w:r w:rsidRPr="009C665E">
        <w:rPr>
          <w:rFonts w:cs="Times New Roman"/>
          <w:i/>
          <w:lang w:val="fr-CA"/>
        </w:rPr>
        <w:t>R. c. Hanemaayer</w:t>
      </w:r>
      <w:r w:rsidRPr="009C665E">
        <w:rPr>
          <w:rFonts w:cs="Times New Roman"/>
          <w:lang w:val="fr-CA"/>
        </w:rPr>
        <w:t xml:space="preserve">, 2008 ONCA 580, 234 C.C.C. (3d) 3, par. 15 et 31; voir aussi </w:t>
      </w:r>
      <w:r w:rsidRPr="009C665E">
        <w:rPr>
          <w:rFonts w:cs="Times New Roman"/>
          <w:i/>
          <w:lang w:val="fr-CA"/>
        </w:rPr>
        <w:t>Mullins-Johnson</w:t>
      </w:r>
      <w:r w:rsidRPr="009C665E">
        <w:rPr>
          <w:rFonts w:cs="Times New Roman"/>
          <w:lang w:val="fr-CA"/>
        </w:rPr>
        <w:t>, par. 9</w:t>
      </w:r>
      <w:r w:rsidRPr="009C665E">
        <w:rPr>
          <w:rFonts w:cs="Times New Roman"/>
          <w:lang w:val="fr-CA"/>
        </w:rPr>
        <w:noBreakHyphen/>
        <w:t>10 et 29).</w:t>
      </w:r>
    </w:p>
    <w:p w14:paraId="205C1595" w14:textId="77777777" w:rsidR="009C665E" w:rsidRPr="009C665E" w:rsidRDefault="009C665E" w:rsidP="009C665E">
      <w:pPr>
        <w:pStyle w:val="Title3LevelTitre3Niveau"/>
        <w:spacing w:before="0"/>
        <w:ind w:left="1152" w:hanging="576"/>
        <w:rPr>
          <w:rFonts w:cs="Times New Roman"/>
          <w:lang w:val="fr-CA"/>
        </w:rPr>
      </w:pPr>
      <w:r w:rsidRPr="009C665E">
        <w:rPr>
          <w:rFonts w:cs="Times New Roman"/>
          <w:u w:val="none"/>
          <w:lang w:val="fr-CA"/>
        </w:rPr>
        <w:t>(3)</w:t>
      </w:r>
      <w:r w:rsidRPr="009C665E">
        <w:rPr>
          <w:rFonts w:cs="Times New Roman"/>
          <w:u w:val="none"/>
          <w:lang w:val="fr-CA"/>
        </w:rPr>
        <w:tab/>
      </w:r>
      <w:r w:rsidRPr="009C665E">
        <w:rPr>
          <w:rFonts w:cs="Times New Roman"/>
          <w:lang w:val="fr-CA"/>
        </w:rPr>
        <w:t>Acquittements basés sur le pouvoir discrétionnaire en appel</w:t>
      </w:r>
    </w:p>
    <w:p w14:paraId="07B4AF5A" w14:textId="77777777" w:rsidR="009C665E" w:rsidRPr="009C665E" w:rsidRDefault="009C665E" w:rsidP="009C665E">
      <w:pPr>
        <w:pStyle w:val="ParaNoNdepar-AltN"/>
        <w:rPr>
          <w:rFonts w:cs="Times New Roman"/>
          <w:lang w:val="fr-CA"/>
        </w:rPr>
      </w:pPr>
      <w:r w:rsidRPr="009C665E">
        <w:rPr>
          <w:rFonts w:cs="Times New Roman"/>
          <w:lang w:val="fr-CA"/>
        </w:rPr>
        <w:t xml:space="preserve">Je reconnais qu’il existe des situations qui peuvent justifier un acquittement pour d’autres motifs que ceux que j’ai mentionnés précédemment, y compris pour des motifs susceptibles de conférer un plus grand pouvoir discrétionnaire à la cour d’appel (voir, p. ex., </w:t>
      </w:r>
      <w:r w:rsidRPr="009C665E">
        <w:rPr>
          <w:rFonts w:cs="Times New Roman"/>
          <w:i/>
          <w:lang w:val="fr-CA"/>
        </w:rPr>
        <w:t>Dunlop</w:t>
      </w:r>
      <w:r w:rsidRPr="009C665E">
        <w:rPr>
          <w:rFonts w:cs="Times New Roman"/>
          <w:lang w:val="fr-CA"/>
        </w:rPr>
        <w:t xml:space="preserve">, p. 900; mais voir </w:t>
      </w:r>
      <w:r w:rsidRPr="009C665E">
        <w:rPr>
          <w:rFonts w:cs="Times New Roman"/>
          <w:i/>
          <w:lang w:val="fr-CA"/>
        </w:rPr>
        <w:t>Brouillard c. La Reine</w:t>
      </w:r>
      <w:r w:rsidRPr="009C665E">
        <w:rPr>
          <w:rFonts w:cs="Times New Roman"/>
          <w:lang w:val="fr-CA"/>
        </w:rPr>
        <w:t xml:space="preserve">, [1985] 1 R.C.S. 39, p. 53; voir aussi </w:t>
      </w:r>
      <w:r w:rsidRPr="009C665E">
        <w:rPr>
          <w:rFonts w:cs="Times New Roman"/>
          <w:i/>
          <w:lang w:val="fr-CA"/>
        </w:rPr>
        <w:t>Stolar</w:t>
      </w:r>
      <w:r w:rsidRPr="009C665E">
        <w:rPr>
          <w:rFonts w:cs="Times New Roman"/>
          <w:lang w:val="fr-CA"/>
        </w:rPr>
        <w:t>, p. 492</w:t>
      </w:r>
      <w:r w:rsidRPr="009C665E">
        <w:rPr>
          <w:rFonts w:cs="Times New Roman"/>
          <w:lang w:val="fr-CA"/>
        </w:rPr>
        <w:noBreakHyphen/>
        <w:t xml:space="preserve">493). Les parties nous renvoient à divers arrêts de cours d’appel qui semblent rendre un verdict d’acquittement sur une base discrétionnaire et eu égard à des facteurs semblables à ceux mentionnés dans l’arrêt </w:t>
      </w:r>
      <w:r w:rsidRPr="009C665E">
        <w:rPr>
          <w:rFonts w:cs="Times New Roman"/>
          <w:i/>
          <w:lang w:val="fr-CA"/>
        </w:rPr>
        <w:t>Dunlop</w:t>
      </w:r>
      <w:r w:rsidRPr="009C665E">
        <w:rPr>
          <w:rFonts w:cs="Times New Roman"/>
          <w:lang w:val="fr-CA"/>
        </w:rPr>
        <w:t xml:space="preserve">, y compris l’arrêt rendu par la Cour d’appel de l’Ontario dans l’affaire </w:t>
      </w:r>
      <w:r w:rsidRPr="009C665E">
        <w:rPr>
          <w:rFonts w:cs="Times New Roman"/>
          <w:i/>
          <w:lang w:val="fr-CA"/>
        </w:rPr>
        <w:t>Truscott</w:t>
      </w:r>
      <w:r w:rsidRPr="009C665E">
        <w:rPr>
          <w:rFonts w:cs="Times New Roman"/>
          <w:lang w:val="fr-CA"/>
        </w:rPr>
        <w:t xml:space="preserve"> (voir, p. ex., </w:t>
      </w:r>
      <w:r w:rsidRPr="009C665E">
        <w:rPr>
          <w:rFonts w:cs="Times New Roman"/>
          <w:i/>
          <w:lang w:val="fr-CA"/>
        </w:rPr>
        <w:t>R. c. Karuranga</w:t>
      </w:r>
      <w:r w:rsidRPr="009C665E">
        <w:rPr>
          <w:rFonts w:cs="Times New Roman"/>
          <w:lang w:val="fr-CA"/>
        </w:rPr>
        <w:t>, 2021 SKCA 90, 488 C.R.R. (2d) 317, par. 41</w:t>
      </w:r>
      <w:r w:rsidRPr="009C665E">
        <w:rPr>
          <w:rFonts w:cs="Times New Roman"/>
          <w:lang w:val="fr-CA"/>
        </w:rPr>
        <w:noBreakHyphen/>
        <w:t xml:space="preserve">43; </w:t>
      </w:r>
      <w:r w:rsidRPr="009C665E">
        <w:rPr>
          <w:rFonts w:cs="Times New Roman"/>
          <w:i/>
          <w:lang w:val="fr-CA"/>
        </w:rPr>
        <w:t xml:space="preserve">Walsh, </w:t>
      </w:r>
      <w:r w:rsidRPr="009C665E">
        <w:rPr>
          <w:rFonts w:cs="Times New Roman"/>
          <w:i/>
          <w:lang w:val="fr-CA"/>
        </w:rPr>
        <w:lastRenderedPageBreak/>
        <w:t>Re</w:t>
      </w:r>
      <w:r w:rsidRPr="009C665E">
        <w:rPr>
          <w:rFonts w:cs="Times New Roman"/>
          <w:lang w:val="fr-CA"/>
        </w:rPr>
        <w:t>, 2008 NBCA 33, 335 R.N.</w:t>
      </w:r>
      <w:r w:rsidRPr="009C665E">
        <w:rPr>
          <w:rFonts w:cs="Times New Roman"/>
          <w:lang w:val="fr-CA"/>
        </w:rPr>
        <w:noBreakHyphen/>
        <w:t>B. (2e) 1, par. 57</w:t>
      </w:r>
      <w:r w:rsidRPr="009C665E">
        <w:rPr>
          <w:rFonts w:cs="Times New Roman"/>
          <w:lang w:val="fr-CA"/>
        </w:rPr>
        <w:noBreakHyphen/>
        <w:t xml:space="preserve">61; </w:t>
      </w:r>
      <w:r w:rsidRPr="009C665E">
        <w:rPr>
          <w:rFonts w:cs="Times New Roman"/>
          <w:i/>
          <w:lang w:val="fr-CA"/>
        </w:rPr>
        <w:t xml:space="preserve">R. c. Tom </w:t>
      </w:r>
      <w:r w:rsidRPr="009C665E">
        <w:rPr>
          <w:rFonts w:cs="Times New Roman"/>
          <w:lang w:val="fr-CA"/>
        </w:rPr>
        <w:t>(1992), 79 C.C.C. (3d) 84 (C.A. C.</w:t>
      </w:r>
      <w:r w:rsidRPr="009C665E">
        <w:rPr>
          <w:rFonts w:cs="Times New Roman"/>
          <w:lang w:val="fr-CA"/>
        </w:rPr>
        <w:noBreakHyphen/>
        <w:t>B.), p. 94</w:t>
      </w:r>
      <w:r w:rsidRPr="009C665E">
        <w:rPr>
          <w:rFonts w:cs="Times New Roman"/>
          <w:lang w:val="fr-CA"/>
        </w:rPr>
        <w:noBreakHyphen/>
        <w:t>95).</w:t>
      </w:r>
    </w:p>
    <w:p w14:paraId="39B7C858" w14:textId="77777777" w:rsidR="009C665E" w:rsidRPr="009C665E" w:rsidRDefault="009C665E" w:rsidP="009C665E">
      <w:pPr>
        <w:pStyle w:val="ParaNoNdepar-AltN"/>
        <w:rPr>
          <w:rFonts w:cs="Times New Roman"/>
          <w:lang w:val="fr-CA"/>
        </w:rPr>
      </w:pPr>
      <w:r w:rsidRPr="009C665E">
        <w:rPr>
          <w:rFonts w:cs="Times New Roman"/>
          <w:lang w:val="fr-CA"/>
        </w:rPr>
        <w:t xml:space="preserve">Dans l’arrêt </w:t>
      </w:r>
      <w:r w:rsidRPr="009C665E">
        <w:rPr>
          <w:rFonts w:cs="Times New Roman"/>
          <w:i/>
          <w:lang w:val="fr-CA"/>
        </w:rPr>
        <w:t>Dunlop</w:t>
      </w:r>
      <w:r w:rsidRPr="009C665E">
        <w:rPr>
          <w:rFonts w:cs="Times New Roman"/>
          <w:lang w:val="fr-CA"/>
        </w:rPr>
        <w:t>, notre Cour a acquitté les appelants qui avaient eu gain de cause dans le pourvoi interjeté contre leur déclaration de culpabilité, en s’appuyant sur le fait que le [</w:t>
      </w:r>
      <w:r w:rsidRPr="009C665E">
        <w:rPr>
          <w:rFonts w:cs="Times New Roman"/>
          <w:smallCaps/>
          <w:lang w:val="fr-CA"/>
        </w:rPr>
        <w:t>traduction</w:t>
      </w:r>
      <w:r w:rsidRPr="009C665E">
        <w:rPr>
          <w:rFonts w:cs="Times New Roman"/>
          <w:lang w:val="fr-CA"/>
        </w:rPr>
        <w:t xml:space="preserve">] « fond de l’affaire [était], ni plus ni moins, leur dénégation du témoignage » de la plaignante, mais aussi qu’ils avaient déjà subi deux procès et étaient incarcérés depuis plus d’un an (p. 900). Étant donné que le raisonnement de notre Cour se bornait à adopter la brève analyse du juge dissident de la cour d’appel, on ne sait pas avec certitude quelle incidence chaque facteur a eu sur l’analyse. Bien que je reconnaisse que l’arrêt </w:t>
      </w:r>
      <w:r w:rsidRPr="009C665E">
        <w:rPr>
          <w:rFonts w:cs="Times New Roman"/>
          <w:i/>
          <w:lang w:val="fr-CA"/>
        </w:rPr>
        <w:t>Dunlop</w:t>
      </w:r>
      <w:r w:rsidRPr="009C665E">
        <w:rPr>
          <w:rFonts w:cs="Times New Roman"/>
          <w:lang w:val="fr-CA"/>
        </w:rPr>
        <w:t xml:space="preserve"> fournit effectivement un fondement, dans la jurisprudence de notre Cour, au prononcé d’un acquittement discrétionnaire basé en partie sur des facteurs qui sont sans rapport avec le fond de l’appel, en particulier lorsque la peine a été purgée, l’arrêt que nous avons rendu ultérieurement dans l’affaire </w:t>
      </w:r>
      <w:r w:rsidRPr="009C665E">
        <w:rPr>
          <w:rFonts w:cs="Times New Roman"/>
          <w:i/>
          <w:lang w:val="fr-CA"/>
        </w:rPr>
        <w:t>Brouillard</w:t>
      </w:r>
      <w:r w:rsidRPr="009C665E">
        <w:rPr>
          <w:rFonts w:cs="Times New Roman"/>
          <w:lang w:val="fr-CA"/>
        </w:rPr>
        <w:t xml:space="preserve"> indique clairement que le fait que l’appelant a purgé sa peine ne permet pas nécessairement à lui seul un acquittement (voir aussi </w:t>
      </w:r>
      <w:r w:rsidRPr="009C665E">
        <w:rPr>
          <w:rFonts w:cs="Times New Roman"/>
          <w:i/>
          <w:lang w:val="fr-CA"/>
        </w:rPr>
        <w:t xml:space="preserve">R. c. O’Brien </w:t>
      </w:r>
      <w:r w:rsidRPr="009C665E">
        <w:rPr>
          <w:rFonts w:cs="Times New Roman"/>
          <w:lang w:val="fr-CA"/>
        </w:rPr>
        <w:t xml:space="preserve">(1987), 10 Q.A.C. 135, par. 12; </w:t>
      </w:r>
      <w:r w:rsidRPr="009C665E">
        <w:rPr>
          <w:rFonts w:cs="Times New Roman"/>
          <w:i/>
          <w:lang w:val="fr-CA"/>
        </w:rPr>
        <w:t>R. c. Vickerson</w:t>
      </w:r>
      <w:r w:rsidRPr="009C665E">
        <w:rPr>
          <w:rFonts w:cs="Times New Roman"/>
          <w:lang w:val="fr-CA"/>
        </w:rPr>
        <w:t xml:space="preserve">, 2020 ONCA 434, par. 8; </w:t>
      </w:r>
      <w:r w:rsidRPr="009C665E">
        <w:rPr>
          <w:rFonts w:cs="Times New Roman"/>
          <w:i/>
          <w:lang w:val="fr-CA"/>
        </w:rPr>
        <w:t>LSJPA — 1521</w:t>
      </w:r>
      <w:r w:rsidRPr="009C665E">
        <w:rPr>
          <w:rFonts w:cs="Times New Roman"/>
          <w:lang w:val="fr-CA"/>
        </w:rPr>
        <w:t>, 2015 QCCA 1229, par. 54</w:t>
      </w:r>
      <w:r w:rsidRPr="009C665E">
        <w:rPr>
          <w:rFonts w:cs="Times New Roman"/>
          <w:lang w:val="fr-CA"/>
        </w:rPr>
        <w:noBreakHyphen/>
        <w:t xml:space="preserve">56). Commentant l’arrêt </w:t>
      </w:r>
      <w:r w:rsidRPr="009C665E">
        <w:rPr>
          <w:rFonts w:cs="Times New Roman"/>
          <w:i/>
          <w:lang w:val="fr-CA"/>
        </w:rPr>
        <w:t>LSJPA — 1521</w:t>
      </w:r>
      <w:r w:rsidRPr="009C665E">
        <w:rPr>
          <w:rFonts w:cs="Times New Roman"/>
          <w:lang w:val="fr-CA"/>
        </w:rPr>
        <w:t xml:space="preserve">, dans lequel tant l’arrêt </w:t>
      </w:r>
      <w:r w:rsidRPr="009C665E">
        <w:rPr>
          <w:rFonts w:cs="Times New Roman"/>
          <w:i/>
          <w:lang w:val="fr-CA"/>
        </w:rPr>
        <w:t>Dunlop</w:t>
      </w:r>
      <w:r w:rsidRPr="009C665E">
        <w:rPr>
          <w:rFonts w:cs="Times New Roman"/>
          <w:lang w:val="fr-CA"/>
        </w:rPr>
        <w:t xml:space="preserve"> que l’arrêt </w:t>
      </w:r>
      <w:r w:rsidRPr="009C665E">
        <w:rPr>
          <w:rFonts w:cs="Times New Roman"/>
          <w:i/>
          <w:lang w:val="fr-CA"/>
        </w:rPr>
        <w:t>Brouillard</w:t>
      </w:r>
      <w:r w:rsidRPr="009C665E">
        <w:rPr>
          <w:rFonts w:cs="Times New Roman"/>
          <w:lang w:val="fr-CA"/>
        </w:rPr>
        <w:t xml:space="preserve"> ont été examinés, les auteurs Vauclair, Desjardins et Lachance, au par. 51.248, note 958, ont écrit que « la Cour [d’appel du Québec] a ordonné un nouveau procès malgré la peine purgée alors que le verdict n’était pas déraisonnable, estimant que le prochain juge pourrait en tenir compte </w:t>
      </w:r>
      <w:r w:rsidRPr="009C665E">
        <w:rPr>
          <w:rFonts w:cs="Times New Roman"/>
          <w:lang w:val="fr-CA"/>
        </w:rPr>
        <w:lastRenderedPageBreak/>
        <w:t>s’il devait imposer une autre peine, ou alors que le ministère public pourrait le considérer avant de décider de refaire le procès ».</w:t>
      </w:r>
    </w:p>
    <w:p w14:paraId="5A8D97BB"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Madame Bouvette et la Couronne soutiennent toutes deux que des acquittements devraient pouvoir être prononcés sur une base discrétionnaire large. Madame Bouvette fait valoir que ces acquittements discrétionnaires n’ont pas à être exceptionnels ni à n’être prononcés que dans les mêmes circonstances que celles dans lesquelles la décision de la Cour d’appel de l’Ontario a été rendue dans l’affaire </w:t>
      </w:r>
      <w:r w:rsidRPr="009C665E">
        <w:rPr>
          <w:rFonts w:cs="Times New Roman"/>
          <w:i/>
          <w:lang w:val="fr-CA"/>
        </w:rPr>
        <w:t xml:space="preserve">Truscott </w:t>
      </w:r>
      <w:r w:rsidRPr="009C665E">
        <w:rPr>
          <w:rFonts w:cs="Times New Roman"/>
          <w:lang w:val="fr-CA"/>
        </w:rPr>
        <w:t>(m.a., par. 105). Elle insiste sur le fait que notre Cour devrait reconnaître un cadre d’analyse large même si celui</w:t>
      </w:r>
      <w:r w:rsidRPr="009C665E">
        <w:rPr>
          <w:rFonts w:cs="Times New Roman"/>
          <w:lang w:val="fr-CA"/>
        </w:rPr>
        <w:noBreakHyphen/>
        <w:t>ci n’est pas nécessaire pour trancher son cas (transcription, p. 12), relevant plusieurs facteurs qui, affirme</w:t>
      </w:r>
      <w:r w:rsidRPr="009C665E">
        <w:rPr>
          <w:rFonts w:cs="Times New Roman"/>
          <w:lang w:val="fr-CA"/>
        </w:rPr>
        <w:noBreakHyphen/>
        <w:t>t</w:t>
      </w:r>
      <w:r w:rsidRPr="009C665E">
        <w:rPr>
          <w:rFonts w:cs="Times New Roman"/>
          <w:lang w:val="fr-CA"/>
        </w:rPr>
        <w:noBreakHyphen/>
        <w:t>elle, guident l’analyse : (1) elle a purgé sa peine, (2) elle a subi un préjudice important, et (3) elle vit avec un grave stigmate (m.a., par. 107</w:t>
      </w:r>
      <w:r w:rsidRPr="009C665E">
        <w:rPr>
          <w:rFonts w:cs="Times New Roman"/>
          <w:lang w:val="fr-CA"/>
        </w:rPr>
        <w:noBreakHyphen/>
        <w:t>110; voir aussi la transcription, p. 11). Elle affirme que lorsque ces facteurs sont réunis, une erreur judiciaire justifie un acquittement en appel plutôt qu’un arrêt judiciaire des procédures, même si le dossier indique l’existence d’une possibilité raisonnable qu’un verdict de culpabilité soit rendu lors d’un nouveau procès.</w:t>
      </w:r>
    </w:p>
    <w:p w14:paraId="0502D0E1"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La Couronne convient que des acquittements discrétionnaires devraient pouvoir être prononcés sur une base plus large que celle de l’arrêt </w:t>
      </w:r>
      <w:r w:rsidRPr="009C665E">
        <w:rPr>
          <w:rFonts w:cs="Times New Roman"/>
          <w:i/>
          <w:lang w:val="fr-CA"/>
        </w:rPr>
        <w:t>Truscott</w:t>
      </w:r>
      <w:r w:rsidRPr="009C665E">
        <w:rPr>
          <w:rFonts w:cs="Times New Roman"/>
          <w:lang w:val="fr-CA"/>
        </w:rPr>
        <w:t xml:space="preserve">, qui a été décrit à l’audience comme une décision </w:t>
      </w:r>
      <w:r w:rsidRPr="009C665E">
        <w:rPr>
          <w:rFonts w:cs="Times New Roman"/>
          <w:smallCaps/>
          <w:lang w:val="fr-CA"/>
        </w:rPr>
        <w:t>[traduction]</w:t>
      </w:r>
      <w:r w:rsidRPr="009C665E">
        <w:rPr>
          <w:rFonts w:cs="Times New Roman"/>
          <w:lang w:val="fr-CA"/>
        </w:rPr>
        <w:t xml:space="preserve"> « déroutante sur le plan conceptuel » (transcription, p. 41). La Couronne propose une myriade de facteurs formulés en termes larges, notamment : (1) l’historique des procédures, (2) la situation </w:t>
      </w:r>
      <w:r w:rsidRPr="009C665E">
        <w:rPr>
          <w:rFonts w:cs="Times New Roman"/>
          <w:lang w:val="fr-CA"/>
        </w:rPr>
        <w:lastRenderedPageBreak/>
        <w:t xml:space="preserve">de l’accusé, (3) la question de savoir si la peine a été purgée en tout ou en partie, (4) la position des parties sur le </w:t>
      </w:r>
      <w:r w:rsidRPr="009C665E">
        <w:rPr>
          <w:rFonts w:cs="Times New Roman"/>
          <w:smallCaps/>
          <w:lang w:val="fr-CA"/>
        </w:rPr>
        <w:t>[traduction]</w:t>
      </w:r>
      <w:r w:rsidRPr="009C665E">
        <w:rPr>
          <w:rFonts w:cs="Times New Roman"/>
          <w:lang w:val="fr-CA"/>
        </w:rPr>
        <w:t xml:space="preserve"> « fondement factuel en appel », (5) la nature des procédures devant la juridiction inférieure, (6) la nature du fondement de l’annulation de la déclaration de culpabilité, et (7) l’incidence du temps écoulé sur la disponibilité et le poids des éléments de preuve (m.i., par. 102</w:t>
      </w:r>
      <w:r w:rsidRPr="009C665E">
        <w:rPr>
          <w:rFonts w:cs="Times New Roman"/>
          <w:lang w:val="fr-CA"/>
        </w:rPr>
        <w:noBreakHyphen/>
        <w:t>108). Dans sa plaidoirie, M</w:t>
      </w:r>
      <w:r w:rsidRPr="009C665E">
        <w:rPr>
          <w:rFonts w:cs="Times New Roman"/>
          <w:vertAlign w:val="superscript"/>
          <w:lang w:val="fr-CA"/>
        </w:rPr>
        <w:t>me</w:t>
      </w:r>
      <w:r w:rsidRPr="009C665E">
        <w:rPr>
          <w:rFonts w:cs="Times New Roman"/>
          <w:lang w:val="fr-CA"/>
        </w:rPr>
        <w:t> Bouvette a souscrit dans l’ensemble au cadre d’analyse préconisé par la Couronne (recueil condensé de l’appelante, p. 1, par. 5; transcription, p. 11).</w:t>
      </w:r>
    </w:p>
    <w:p w14:paraId="58140973" w14:textId="77777777" w:rsidR="009C665E" w:rsidRPr="009C665E" w:rsidRDefault="009C665E" w:rsidP="009C665E">
      <w:pPr>
        <w:pStyle w:val="ParaNoNdepar-AltN"/>
        <w:spacing w:before="0"/>
        <w:rPr>
          <w:rFonts w:cs="Times New Roman"/>
          <w:lang w:val="fr-CA"/>
        </w:rPr>
      </w:pPr>
      <w:r w:rsidRPr="009C665E">
        <w:rPr>
          <w:rFonts w:cs="Times New Roman"/>
          <w:lang w:val="fr-CA"/>
        </w:rPr>
        <w:t>Il est inutile, à mon humble avis, de définir de façon exhaustive le fondement sur lequel des acquittements peuvent être prononcés pour des motifs discrétionnaires en vertu du par. 686(2). Vu l’état actuel de la jurisprudence, et l’absence de participation contradictoire véritable des parties, ce motif d’acquittement représente une voie incertaine et semée d’embûches dans les circonstances de l’espèce. Les autres avenues examinées précédemment ne prêtent pas à controverse et un acquittement comme réparation pour l’erreur judiciaire ne fait aucun doute en l’espèce. Comme je l’expliquerai plus loin, M</w:t>
      </w:r>
      <w:r w:rsidRPr="009C665E">
        <w:rPr>
          <w:rFonts w:cs="Times New Roman"/>
          <w:vertAlign w:val="superscript"/>
          <w:lang w:val="fr-CA"/>
        </w:rPr>
        <w:t>me</w:t>
      </w:r>
      <w:r w:rsidRPr="009C665E">
        <w:rPr>
          <w:rFonts w:cs="Times New Roman"/>
          <w:lang w:val="fr-CA"/>
        </w:rPr>
        <w:t> Bouvette doit être acquittée en vertu du deuxième motif d’acquittement susmentionné, et la discussion théorique à laquelle les parties nous invitent n’a aucune incidence sur l’issue du présent pourvoi.</w:t>
      </w:r>
    </w:p>
    <w:p w14:paraId="13BB6615"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Dans les circonstances, je suis d’avis de ne pas accepter l’invitation des parties d’approuver ces larges cadres discrétionnaires en matière d’acquittement. Leurs propositions mettraient en péril à la fois le sens reconnu d’un acquittement et le rôle que devraient jouer les cours d’appel dans notre système de justice criminelle. Il est </w:t>
      </w:r>
      <w:r w:rsidRPr="009C665E">
        <w:rPr>
          <w:rFonts w:cs="Times New Roman"/>
          <w:lang w:val="fr-CA"/>
        </w:rPr>
        <w:lastRenderedPageBreak/>
        <w:t xml:space="preserve">vrai que certaines cours d’appel ont choisi de prononcer des acquittements discrétionnaires en vertu du par. 686(2) </w:t>
      </w:r>
      <w:r w:rsidRPr="009C665E">
        <w:rPr>
          <w:rFonts w:cs="Times New Roman"/>
          <w:i/>
          <w:lang w:val="fr-CA"/>
        </w:rPr>
        <w:t>C. cr.</w:t>
      </w:r>
      <w:r w:rsidRPr="009C665E">
        <w:rPr>
          <w:rFonts w:cs="Times New Roman"/>
          <w:lang w:val="fr-CA"/>
        </w:rPr>
        <w:t xml:space="preserve"> </w:t>
      </w:r>
      <w:proofErr w:type="gramStart"/>
      <w:r w:rsidRPr="009C665E">
        <w:rPr>
          <w:rFonts w:cs="Times New Roman"/>
          <w:lang w:val="fr-CA"/>
        </w:rPr>
        <w:t>en</w:t>
      </w:r>
      <w:proofErr w:type="gramEnd"/>
      <w:r w:rsidRPr="009C665E">
        <w:rPr>
          <w:rFonts w:cs="Times New Roman"/>
          <w:lang w:val="fr-CA"/>
        </w:rPr>
        <w:t xml:space="preserve"> se fondant sur une erreur judiciaire qui n’a aucun rapport avec le fond et malgré la présence au dossier d’éléments de preuve susceptibles de fonder une déclaration de culpabilité raisonnable. La lecture de ces décisions ne montre toutefois pas toujours clairement pourquoi une personne qui pourrait être déclarée coupable sur le fond lors d’un nouveau procès devrait néanmoins être acquittée en appel. Le droit protège jalousement la capacité du juge des faits de décider, selon son interprétation du dossier, si la Couronne a établi le bien</w:t>
      </w:r>
      <w:r w:rsidRPr="009C665E">
        <w:rPr>
          <w:rFonts w:cs="Times New Roman"/>
          <w:lang w:val="fr-CA"/>
        </w:rPr>
        <w:noBreakHyphen/>
        <w:t xml:space="preserve">fondé de sa cause. Il est évident que dans un appel où les nouveaux éléments de preuve admis en appel sont clairement décisifs lorsqu’ils sont considérés comme faisant partie de l’ensemble du dossier, un acquittement peut être prononcé (voir </w:t>
      </w:r>
      <w:r w:rsidRPr="009C665E">
        <w:rPr>
          <w:rFonts w:cs="Times New Roman"/>
          <w:i/>
          <w:lang w:val="fr-CA"/>
        </w:rPr>
        <w:t>Stolar</w:t>
      </w:r>
      <w:r w:rsidRPr="009C665E">
        <w:rPr>
          <w:rFonts w:cs="Times New Roman"/>
          <w:lang w:val="fr-CA"/>
        </w:rPr>
        <w:t>, p. 491</w:t>
      </w:r>
      <w:r w:rsidRPr="009C665E">
        <w:rPr>
          <w:rFonts w:cs="Times New Roman"/>
          <w:lang w:val="fr-CA"/>
        </w:rPr>
        <w:noBreakHyphen/>
        <w:t>492). Autrement, en règle générale, le droit craint à juste titre que les cours d’appel n’usurpent le rôle des juges des faits en se lançant dans une évaluation substantielle de la preuve, ce qui invite à une grande prudence dans un cas comme celui qui nous occupe où les nouveaux éléments de preuve ne sont pas décisifs.</w:t>
      </w:r>
    </w:p>
    <w:p w14:paraId="1747FD49" w14:textId="77777777" w:rsidR="009C665E" w:rsidRPr="009C665E" w:rsidRDefault="009C665E" w:rsidP="009C665E">
      <w:pPr>
        <w:pStyle w:val="ParaNoNdepar-AltN"/>
        <w:rPr>
          <w:rFonts w:cs="Times New Roman"/>
          <w:lang w:val="fr-CA"/>
        </w:rPr>
      </w:pPr>
      <w:r w:rsidRPr="009C665E">
        <w:rPr>
          <w:rFonts w:cs="Times New Roman"/>
          <w:lang w:val="fr-CA"/>
        </w:rPr>
        <w:t xml:space="preserve">Bon nombre des facteurs que les parties ont soumis à notre examen en l’espèce renvoient à un certain degré d’évaluation substantielle de la preuve en appel avant le prononcé d’un acquittement. En s’appuyant sur ces facteurs, on risque d’usurper le rôle du tribunal de première instance parce qu’ils n’ont rien à voir avec la question de savoir si le juge des faits disposerait de plusieurs options au vu de la preuve, y compris une déclaration de culpabilité (comparer avec </w:t>
      </w:r>
      <w:r w:rsidRPr="009C665E">
        <w:rPr>
          <w:rFonts w:cs="Times New Roman"/>
          <w:i/>
          <w:lang w:val="fr-CA"/>
        </w:rPr>
        <w:t>R. c. Biniaris</w:t>
      </w:r>
      <w:r w:rsidRPr="009C665E">
        <w:rPr>
          <w:rFonts w:cs="Times New Roman"/>
          <w:lang w:val="fr-CA"/>
        </w:rPr>
        <w:t xml:space="preserve">, 2000 CSC 15, [2000] 1 R.C.S. 381, par. 40; </w:t>
      </w:r>
      <w:r w:rsidRPr="009C665E">
        <w:rPr>
          <w:rFonts w:cs="Times New Roman"/>
          <w:i/>
          <w:lang w:val="fr-CA"/>
        </w:rPr>
        <w:t>W.H.</w:t>
      </w:r>
      <w:r w:rsidRPr="009C665E">
        <w:rPr>
          <w:rFonts w:cs="Times New Roman"/>
          <w:lang w:val="fr-CA"/>
        </w:rPr>
        <w:t xml:space="preserve">, par. 27). De même, le fait de se demander s’il est </w:t>
      </w:r>
      <w:r w:rsidRPr="009C665E">
        <w:rPr>
          <w:rFonts w:cs="Times New Roman"/>
          <w:lang w:val="fr-CA"/>
        </w:rPr>
        <w:lastRenderedPageBreak/>
        <w:t xml:space="preserve">plus probable qu’improbable qu’un nouveau procès donne lieu à un acquittement ressemble beaucoup à l’évaluation substantielle qui relève pleinement de la compétence du tribunal de première instance. Un acquittement en première instance signifie que le tribunal de première instance avait, en fait, un doute raisonnable quant à la culpabilité, et non que ce résultat </w:t>
      </w:r>
      <w:proofErr w:type="gramStart"/>
      <w:r w:rsidRPr="009C665E">
        <w:rPr>
          <w:rFonts w:cs="Times New Roman"/>
          <w:lang w:val="fr-CA"/>
        </w:rPr>
        <w:t>était</w:t>
      </w:r>
      <w:proofErr w:type="gramEnd"/>
      <w:r w:rsidRPr="009C665E">
        <w:rPr>
          <w:rFonts w:cs="Times New Roman"/>
          <w:lang w:val="fr-CA"/>
        </w:rPr>
        <w:t xml:space="preserve"> probable. Je suis d’accord avec le procureur général de l’Ontario pour dire qu’il est beaucoup plus naturel pour les juges et les jurys en première instance de vérifier la preuve au moyen d’un processus contradictoire (m. interv., par. 20) et que les cours d’appel doivent résister à la tentation de devenir un « 13</w:t>
      </w:r>
      <w:r w:rsidRPr="009C665E">
        <w:rPr>
          <w:rFonts w:cs="Times New Roman"/>
          <w:vertAlign w:val="superscript"/>
          <w:lang w:val="fr-CA"/>
        </w:rPr>
        <w:t>e</w:t>
      </w:r>
      <w:r w:rsidRPr="009C665E">
        <w:rPr>
          <w:rFonts w:cs="Times New Roman"/>
          <w:lang w:val="fr-CA"/>
        </w:rPr>
        <w:t> juré » (</w:t>
      </w:r>
      <w:r w:rsidRPr="009C665E">
        <w:rPr>
          <w:rFonts w:cs="Times New Roman"/>
          <w:i/>
          <w:lang w:val="fr-CA"/>
        </w:rPr>
        <w:t>W.H.</w:t>
      </w:r>
      <w:r w:rsidRPr="009C665E">
        <w:rPr>
          <w:rFonts w:cs="Times New Roman"/>
          <w:lang w:val="fr-CA"/>
        </w:rPr>
        <w:t>, par. 27).</w:t>
      </w:r>
    </w:p>
    <w:p w14:paraId="3FCCA233" w14:textId="77777777" w:rsidR="009C665E" w:rsidRPr="009C665E" w:rsidRDefault="009C665E" w:rsidP="009C665E">
      <w:pPr>
        <w:pStyle w:val="ParaNoNdepar-AltN"/>
        <w:spacing w:before="0"/>
        <w:rPr>
          <w:rFonts w:cs="Times New Roman"/>
          <w:lang w:val="fr-CA"/>
        </w:rPr>
      </w:pPr>
      <w:r w:rsidRPr="009C665E">
        <w:rPr>
          <w:rFonts w:cs="Times New Roman"/>
          <w:lang w:val="fr-CA"/>
        </w:rPr>
        <w:t>Par ailleurs, les autres facteurs étrangers au fond de l’affaire, qui constituent la majeure partie des facteurs relevés par les parties dans le présent pourvoi, ne traitent pas clairement de la question de savoir si la Couronne ne réussirait pas à établir la culpabilité hors de tout doute raisonnable. Prononcer un acquittement sur le fondement de ces facteurs risque de miner le sens d’un acquittement, parce que les facteurs proposés pourraient permettre un acquittement dans des circonstances où l’accusé aurait pu finalement être déclaré coupable lors d’un nouveau procès, et peut</w:t>
      </w:r>
      <w:r w:rsidRPr="009C665E">
        <w:rPr>
          <w:rFonts w:cs="Times New Roman"/>
          <w:lang w:val="fr-CA"/>
        </w:rPr>
        <w:noBreakHyphen/>
        <w:t>être même lorsqu’une telle issue est probable. Étant donné qu’un acquittement est un acquittement (</w:t>
      </w:r>
      <w:r w:rsidRPr="009C665E">
        <w:rPr>
          <w:rFonts w:cs="Times New Roman"/>
          <w:i/>
          <w:lang w:val="fr-CA"/>
        </w:rPr>
        <w:t>Grdic</w:t>
      </w:r>
      <w:r w:rsidRPr="009C665E">
        <w:rPr>
          <w:rFonts w:cs="Times New Roman"/>
          <w:lang w:val="fr-CA"/>
        </w:rPr>
        <w:t xml:space="preserve">, p. 825), l’effet de réduction de la stigmatisation que comportent tous les acquittements est menacé. Un procès criminel est censé permettre de déterminer </w:t>
      </w:r>
      <w:r w:rsidRPr="009C665E">
        <w:rPr>
          <w:rFonts w:cs="Times New Roman"/>
          <w:smallCaps/>
          <w:lang w:val="fr-CA"/>
        </w:rPr>
        <w:t>[traduction]</w:t>
      </w:r>
      <w:r w:rsidRPr="009C665E">
        <w:rPr>
          <w:rFonts w:cs="Times New Roman"/>
          <w:lang w:val="fr-CA"/>
        </w:rPr>
        <w:t xml:space="preserve"> « si la Couronne a prouvé sa cause hors de tout doute raisonnable. Dans l’affirmative, l’accusé est coupable. Dans la négative, l’accusé est déclaré non coupable » (</w:t>
      </w:r>
      <w:r w:rsidRPr="009C665E">
        <w:rPr>
          <w:rFonts w:cs="Times New Roman"/>
          <w:i/>
          <w:lang w:val="fr-CA"/>
        </w:rPr>
        <w:t>Mullins-Johnson</w:t>
      </w:r>
      <w:r w:rsidRPr="009C665E">
        <w:rPr>
          <w:rFonts w:cs="Times New Roman"/>
          <w:lang w:val="fr-CA"/>
        </w:rPr>
        <w:t xml:space="preserve">, par. 23, citant Lamer, p. 342). En outre, on </w:t>
      </w:r>
      <w:r w:rsidRPr="009C665E">
        <w:rPr>
          <w:rFonts w:cs="Times New Roman"/>
          <w:lang w:val="fr-CA"/>
        </w:rPr>
        <w:lastRenderedPageBreak/>
        <w:t xml:space="preserve">a dit que, dans les procédures criminelles subséquentes, l’acquittement aurait un sens équivalent à celui d’une </w:t>
      </w:r>
      <w:r w:rsidRPr="009C665E">
        <w:rPr>
          <w:rFonts w:cs="Times New Roman"/>
          <w:smallCaps/>
          <w:lang w:val="fr-CA"/>
        </w:rPr>
        <w:t>[traduction]</w:t>
      </w:r>
      <w:r w:rsidRPr="009C665E">
        <w:rPr>
          <w:rFonts w:cs="Times New Roman"/>
          <w:lang w:val="fr-CA"/>
        </w:rPr>
        <w:t xml:space="preserve"> « déclaration d’innocence » (M. L. Friedland, </w:t>
      </w:r>
      <w:r w:rsidRPr="009C665E">
        <w:rPr>
          <w:rFonts w:cs="Times New Roman"/>
          <w:i/>
          <w:lang w:val="fr-CA"/>
        </w:rPr>
        <w:t xml:space="preserve">Double Jeopardy </w:t>
      </w:r>
      <w:r w:rsidRPr="009C665E">
        <w:rPr>
          <w:rFonts w:cs="Times New Roman"/>
          <w:lang w:val="fr-CA"/>
        </w:rPr>
        <w:t xml:space="preserve">(1969), p. 129; voir aussi </w:t>
      </w:r>
      <w:r w:rsidRPr="009C665E">
        <w:rPr>
          <w:rFonts w:cs="Times New Roman"/>
          <w:i/>
          <w:lang w:val="fr-CA"/>
        </w:rPr>
        <w:t>Grdic</w:t>
      </w:r>
      <w:r w:rsidRPr="009C665E">
        <w:rPr>
          <w:rFonts w:cs="Times New Roman"/>
          <w:lang w:val="fr-CA"/>
        </w:rPr>
        <w:t xml:space="preserve">, p. 825). Les procédures d’appel qui perdent de vue ces notions fondamentales de la justice criminelle risquent d’en arriver à </w:t>
      </w:r>
      <w:r w:rsidRPr="009C665E">
        <w:rPr>
          <w:rFonts w:cs="Times New Roman"/>
          <w:smallCaps/>
          <w:lang w:val="fr-CA"/>
        </w:rPr>
        <w:t>[traduction]</w:t>
      </w:r>
      <w:r w:rsidRPr="009C665E">
        <w:rPr>
          <w:rFonts w:cs="Times New Roman"/>
          <w:lang w:val="fr-CA"/>
        </w:rPr>
        <w:t xml:space="preserve"> « un résultat trompeur qui rend un mauvais service à l’administration de la justice » (m. interv. (</w:t>
      </w:r>
      <w:proofErr w:type="gramStart"/>
      <w:r w:rsidRPr="009C665E">
        <w:rPr>
          <w:rFonts w:cs="Times New Roman"/>
          <w:lang w:val="fr-CA"/>
        </w:rPr>
        <w:t>procureur</w:t>
      </w:r>
      <w:proofErr w:type="gramEnd"/>
      <w:r w:rsidRPr="009C665E">
        <w:rPr>
          <w:rFonts w:cs="Times New Roman"/>
          <w:lang w:val="fr-CA"/>
        </w:rPr>
        <w:t xml:space="preserve"> général de l’Ontario), par. 19).</w:t>
      </w:r>
    </w:p>
    <w:p w14:paraId="28775FB6"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Je n’oublie pas le préjudice qu’une erreur judiciaire peut occasionner ni l’injustice qu’un nouveau procès pourrait faire subir à l’accusé. Cependant, lorsqu’il y a au dossier des éléments de preuve au vu desquels un jury raisonnable pourrait rendre un verdict de culpabilité, d’autres considérations peuvent fort bien donner à penser qu’un acquittement, qui indique que l’accusé n’est pas coupable au vu de la preuve, ne serait pas approprié (voir, p. ex., </w:t>
      </w:r>
      <w:r w:rsidRPr="009C665E">
        <w:rPr>
          <w:rFonts w:cs="Times New Roman"/>
          <w:i/>
          <w:lang w:val="fr-CA"/>
        </w:rPr>
        <w:t>R. c. Yusif</w:t>
      </w:r>
      <w:r w:rsidRPr="009C665E">
        <w:rPr>
          <w:rFonts w:cs="Times New Roman"/>
          <w:lang w:val="fr-CA"/>
        </w:rPr>
        <w:t xml:space="preserve"> (1994), 74 O.A.C. 348, par. 28). Les facteurs évidents comprennent l’intérêt de l’État à l’égard du préjudice subi par la victime et l’intérêt de la société à l’égard de l’intégrité des acquittements fondés sur les faits. La perspective de la victime n’était pas un élément explicite des facteurs qui constitueraient, selon ce que la Couronne et M</w:t>
      </w:r>
      <w:r w:rsidRPr="009C665E">
        <w:rPr>
          <w:rFonts w:cs="Times New Roman"/>
          <w:vertAlign w:val="superscript"/>
          <w:lang w:val="fr-CA"/>
        </w:rPr>
        <w:t>me</w:t>
      </w:r>
      <w:r w:rsidRPr="009C665E">
        <w:rPr>
          <w:rFonts w:cs="Times New Roman"/>
          <w:lang w:val="fr-CA"/>
        </w:rPr>
        <w:t xml:space="preserve"> Bouvette ont convenu devant nous, le fondement d’un acquittement discrétionnaire. À l’audience, la Couronne a donné, à mon humble avis, une réponse ambiguë sur ce point, affirmant que l’incidence sur la victime ne devrait pas être </w:t>
      </w:r>
      <w:r w:rsidRPr="009C665E">
        <w:rPr>
          <w:rFonts w:cs="Times New Roman"/>
          <w:smallCaps/>
          <w:lang w:val="fr-CA"/>
        </w:rPr>
        <w:t>[traduction]</w:t>
      </w:r>
      <w:r w:rsidRPr="009C665E">
        <w:rPr>
          <w:rFonts w:cs="Times New Roman"/>
          <w:lang w:val="fr-CA"/>
        </w:rPr>
        <w:t xml:space="preserve"> « un facteur majeur, mais [qu</w:t>
      </w:r>
      <w:proofErr w:type="gramStart"/>
      <w:r w:rsidRPr="009C665E">
        <w:rPr>
          <w:rFonts w:cs="Times New Roman"/>
          <w:lang w:val="fr-CA"/>
        </w:rPr>
        <w:t>’]elle</w:t>
      </w:r>
      <w:proofErr w:type="gramEnd"/>
      <w:r w:rsidRPr="009C665E">
        <w:rPr>
          <w:rFonts w:cs="Times New Roman"/>
          <w:lang w:val="fr-CA"/>
        </w:rPr>
        <w:t xml:space="preserve"> peut constituer dans certains cas [. . .] un facteur d’une certaine importance » (transcription, p. 74).</w:t>
      </w:r>
    </w:p>
    <w:p w14:paraId="069F9326" w14:textId="77777777" w:rsidR="009C665E" w:rsidRPr="009C665E" w:rsidRDefault="009C665E" w:rsidP="009C665E">
      <w:pPr>
        <w:pStyle w:val="ParaNoNdepar-AltN"/>
        <w:spacing w:before="0"/>
        <w:rPr>
          <w:rFonts w:cs="Times New Roman"/>
          <w:lang w:val="fr-CA"/>
        </w:rPr>
      </w:pPr>
      <w:r w:rsidRPr="009C665E">
        <w:rPr>
          <w:rFonts w:cs="Times New Roman"/>
          <w:lang w:val="fr-CA"/>
        </w:rPr>
        <w:lastRenderedPageBreak/>
        <w:t xml:space="preserve">Le défi auquel est confronté le droit consiste à discerner dans quelles circonstances une erreur judiciaire justifiera un acquittement en appel eu égard à ces motifs discrétionnaires plus larges, circonstances qui, affirme le procureur général de l’Ontario, si tant est qu’elles doivent être reconnues, </w:t>
      </w:r>
      <w:r w:rsidRPr="009C665E">
        <w:rPr>
          <w:rFonts w:cs="Times New Roman"/>
          <w:smallCaps/>
          <w:lang w:val="fr-CA"/>
        </w:rPr>
        <w:t>[traduction] « </w:t>
      </w:r>
      <w:r w:rsidRPr="009C665E">
        <w:rPr>
          <w:rFonts w:cs="Times New Roman"/>
          <w:lang w:val="fr-CA"/>
        </w:rPr>
        <w:t>devrai[ent] être étroitement défini[es] » (m. interv., par. 31). Certes, l’erreur judiciaire a trait à l’équité des procédures qui ont mené à une déclaration de culpabilité et elle peut signifier que cette dernière doit être annulée. Comme M</w:t>
      </w:r>
      <w:r w:rsidRPr="009C665E">
        <w:rPr>
          <w:rFonts w:cs="Times New Roman"/>
          <w:vertAlign w:val="superscript"/>
          <w:lang w:val="fr-CA"/>
        </w:rPr>
        <w:t>me</w:t>
      </w:r>
      <w:r w:rsidRPr="009C665E">
        <w:rPr>
          <w:rFonts w:cs="Times New Roman"/>
          <w:lang w:val="fr-CA"/>
        </w:rPr>
        <w:t xml:space="preserve"> Bouvette le rappelle à très juste titre, l’importance d’éviter les erreurs judiciaires n’est pas contestée (voir le m.a., par. 89, citant </w:t>
      </w:r>
      <w:r w:rsidRPr="009C665E">
        <w:rPr>
          <w:rFonts w:cs="Times New Roman"/>
          <w:i/>
          <w:lang w:val="fr-CA"/>
        </w:rPr>
        <w:t>R. c. C.P.</w:t>
      </w:r>
      <w:r w:rsidRPr="009C665E">
        <w:rPr>
          <w:rFonts w:cs="Times New Roman"/>
          <w:lang w:val="fr-CA"/>
        </w:rPr>
        <w:t xml:space="preserve">, 2021 CSC 19, [2021] 1 R.C.S. 679, par. 61, la juge Abella). Cependant, il convient de rappeler que la déclaration de culpabilité découlant de l’erreur judiciaire a été annulée. Le défi auquel est confrontée la cour d’appel n’est plus de corriger l’injustice passée qui a abouti à une déclaration de culpabilité, mais de tracer, de manière prospective, la voie de réparation menant à une issue juste. Comme je l’ai dit, ce n’est pas l’erreur judiciaire passée, mais l’exercice par la cour de son pouvoir de réparation prévu par la loi, qui, en soi, détermine si un acquittement, un nouveau procès ou un arrêt judiciaire des procédures est approprié. Il s’agit de questions distinctes. Par exemple, si après qu’une déclaration de culpabilité est annulée du fait qu’elle résulte d’une erreur judiciaire, il reste des éléments de preuve sur lesquels peut reposer une déclaration de culpabilité raisonnable, il n’est pas évident de savoir comment la nature du tort associé à l’erreur judiciaire passée peut justifier une réparation de </w:t>
      </w:r>
      <w:proofErr w:type="gramStart"/>
      <w:r w:rsidRPr="009C665E">
        <w:rPr>
          <w:rFonts w:cs="Times New Roman"/>
          <w:lang w:val="fr-CA"/>
        </w:rPr>
        <w:t>« non culpabilité »</w:t>
      </w:r>
      <w:proofErr w:type="gramEnd"/>
      <w:r w:rsidRPr="009C665E">
        <w:rPr>
          <w:rFonts w:cs="Times New Roman"/>
          <w:lang w:val="fr-CA"/>
        </w:rPr>
        <w:t xml:space="preserve"> pour l’avenir.</w:t>
      </w:r>
    </w:p>
    <w:p w14:paraId="32DCDDF7" w14:textId="77777777" w:rsidR="009C665E" w:rsidRPr="009C665E" w:rsidRDefault="009C665E" w:rsidP="009C665E">
      <w:pPr>
        <w:pStyle w:val="ParaNoNdepar-AltN"/>
        <w:spacing w:before="0"/>
        <w:rPr>
          <w:rFonts w:cs="Times New Roman"/>
          <w:lang w:val="fr-CA"/>
        </w:rPr>
      </w:pPr>
      <w:r w:rsidRPr="009C665E">
        <w:rPr>
          <w:rFonts w:cs="Times New Roman"/>
          <w:lang w:val="fr-CA"/>
        </w:rPr>
        <w:lastRenderedPageBreak/>
        <w:t>Il convient donc de faire preuve de prudence lorsqu’il s’agit d’établir l’étendue appropriée des acquittements discrétionnaires, compte tenu de ces risques additionnels, lesquels ne sont pas présents dans le cas des autres motifs d’acquittement que j’ai reconnus ci</w:t>
      </w:r>
      <w:r w:rsidRPr="009C665E">
        <w:rPr>
          <w:rFonts w:cs="Times New Roman"/>
          <w:lang w:val="fr-CA"/>
        </w:rPr>
        <w:noBreakHyphen/>
        <w:t>dessus. Les cadres d’analyse proposés par la Couronne et M</w:t>
      </w:r>
      <w:r w:rsidRPr="009C665E">
        <w:rPr>
          <w:rFonts w:cs="Times New Roman"/>
          <w:vertAlign w:val="superscript"/>
          <w:lang w:val="fr-CA"/>
        </w:rPr>
        <w:t>me</w:t>
      </w:r>
      <w:r w:rsidRPr="009C665E">
        <w:rPr>
          <w:rFonts w:cs="Times New Roman"/>
          <w:lang w:val="fr-CA"/>
        </w:rPr>
        <w:t xml:space="preserve"> Bouvette ne témoignent pas d’une prise en compte significative de ces risques et ils n’offrent pas de moyen évident de les gérer. Bon nombre des facteurs relevés par les parties ont tout au plus un lien ténu avec le sens reconnu d’un acquittement, et leur caractère non pondéré pourrait, je le crains, justifier un acquittement dans des situations qui ne sont pas circonscrites de façon raisonnée. De tels cadres, qui s’articulent autour de longues listes de facteurs formulés en termes larges, se chevauchant et discrétionnaires, peuvent entraîner une confusion qui milite contre leur adoption (voir, p. ex., </w:t>
      </w:r>
      <w:r w:rsidRPr="009C665E">
        <w:rPr>
          <w:rFonts w:cs="Times New Roman"/>
          <w:i/>
          <w:lang w:val="fr-CA"/>
        </w:rPr>
        <w:t>Colucci c. Colucci</w:t>
      </w:r>
      <w:r w:rsidRPr="009C665E">
        <w:rPr>
          <w:rFonts w:cs="Times New Roman"/>
          <w:lang w:val="fr-CA"/>
        </w:rPr>
        <w:t>, 2021 CSC 24, [2021] 2 R.C.S. 3, par. 68 et 71). Lorsqu’il n’y a pas d’évaluation prescrite de tels facteurs, la détermination peut fort bien échapper au contrôle en appel, dans la mesure où l’évaluation commande vraisemblablement la déférence. Les cadres d’analyse préconisés par les parties favoriseraient une complexité excessive susceptible de miner la prévisibilité associée aux issues justes en appel.</w:t>
      </w:r>
    </w:p>
    <w:p w14:paraId="5E3C194E" w14:textId="77777777" w:rsidR="009C665E" w:rsidRPr="009C665E" w:rsidRDefault="009C665E" w:rsidP="009C665E">
      <w:pPr>
        <w:pStyle w:val="ParaNoNdepar-AltN"/>
        <w:spacing w:before="0"/>
        <w:rPr>
          <w:rFonts w:cs="Times New Roman"/>
          <w:lang w:val="fr-CA"/>
        </w:rPr>
      </w:pPr>
      <w:bookmarkStart w:id="48" w:name="_Hlk188539998"/>
      <w:r w:rsidRPr="009C665E">
        <w:rPr>
          <w:rFonts w:cs="Times New Roman"/>
          <w:lang w:val="fr-CA"/>
        </w:rPr>
        <w:t>Il n’est peut</w:t>
      </w:r>
      <w:r w:rsidRPr="009C665E">
        <w:rPr>
          <w:rFonts w:cs="Times New Roman"/>
          <w:lang w:val="fr-CA"/>
        </w:rPr>
        <w:noBreakHyphen/>
        <w:t xml:space="preserve">être pas surprenant que les observations présentées en l’espèce au sujet du cadre d’analyse ne soient pas développées davantage, compte tenu de l’absence de contexte contradictoire sur cette question. Le contexte contradictoire est « l’un des principes fondamentaux de notre système juridique [qui] tend à garantir que les parties ayant un intérêt dans l’issue du litige en débattent complètement tous les </w:t>
      </w:r>
      <w:r w:rsidRPr="009C665E">
        <w:rPr>
          <w:rFonts w:cs="Times New Roman"/>
          <w:lang w:val="fr-CA"/>
        </w:rPr>
        <w:lastRenderedPageBreak/>
        <w:t>aspects » (</w:t>
      </w:r>
      <w:r w:rsidRPr="009C665E">
        <w:rPr>
          <w:rFonts w:cs="Times New Roman"/>
          <w:i/>
          <w:lang w:val="fr-CA"/>
        </w:rPr>
        <w:t>Borowski c. Canada (Procureur général)</w:t>
      </w:r>
      <w:r w:rsidRPr="009C665E">
        <w:rPr>
          <w:rFonts w:cs="Times New Roman"/>
          <w:lang w:val="fr-CA"/>
        </w:rPr>
        <w:t>, [1989] 1 R.C.S. 342, p. 358</w:t>
      </w:r>
      <w:r w:rsidRPr="009C665E">
        <w:rPr>
          <w:rFonts w:cs="Times New Roman"/>
          <w:lang w:val="fr-CA"/>
        </w:rPr>
        <w:noBreakHyphen/>
        <w:t>359). Cela rappelle les remarques du juge Megarry, faites dans un autre contexte, où celui</w:t>
      </w:r>
      <w:r w:rsidRPr="009C665E">
        <w:rPr>
          <w:rFonts w:cs="Times New Roman"/>
          <w:lang w:val="fr-CA"/>
        </w:rPr>
        <w:noBreakHyphen/>
        <w:t xml:space="preserve">ci a fait allusion à </w:t>
      </w:r>
      <w:r w:rsidRPr="009C665E">
        <w:rPr>
          <w:rFonts w:cs="Times New Roman"/>
          <w:smallCaps/>
          <w:lang w:val="fr-CA"/>
        </w:rPr>
        <w:t>[traduction]</w:t>
      </w:r>
      <w:r w:rsidRPr="009C665E">
        <w:rPr>
          <w:rFonts w:cs="Times New Roman"/>
          <w:lang w:val="fr-CA"/>
        </w:rPr>
        <w:t xml:space="preserve"> « l’épreuve purificatrice que constitue un débat habilement mené sur les faits propres à une affaire contestée » et a fait remarquer, comme chacun le sait, « [qu’u]n droit débattu est un droit solide »</w:t>
      </w:r>
      <w:bookmarkEnd w:id="48"/>
      <w:r w:rsidRPr="009C665E">
        <w:rPr>
          <w:rFonts w:cs="Times New Roman"/>
          <w:lang w:val="fr-CA"/>
        </w:rPr>
        <w:t xml:space="preserve"> (</w:t>
      </w:r>
      <w:r w:rsidRPr="009C665E">
        <w:rPr>
          <w:rFonts w:cs="Times New Roman"/>
          <w:i/>
          <w:lang w:val="fr-CA"/>
        </w:rPr>
        <w:t>Cordell c. Second Clanfield Properties Ltd.</w:t>
      </w:r>
      <w:r w:rsidRPr="009C665E">
        <w:rPr>
          <w:rFonts w:cs="Times New Roman"/>
          <w:lang w:val="fr-CA"/>
        </w:rPr>
        <w:t>, [1969] 2 Ch. 9, p. 16). Les observations sur les acquittements discrétionnaires n’avaient pas un caractère contradictoire entre les parties en l’espèce, car la Couronne et M</w:t>
      </w:r>
      <w:r w:rsidRPr="009C665E">
        <w:rPr>
          <w:rFonts w:cs="Times New Roman"/>
          <w:vertAlign w:val="superscript"/>
          <w:lang w:val="fr-CA"/>
        </w:rPr>
        <w:t>me</w:t>
      </w:r>
      <w:r w:rsidRPr="009C665E">
        <w:rPr>
          <w:rFonts w:cs="Times New Roman"/>
          <w:lang w:val="fr-CA"/>
        </w:rPr>
        <w:t xml:space="preserve"> Bouvette ont toutes deux plaidé en faveur </w:t>
      </w:r>
      <w:bookmarkStart w:id="49" w:name="_Hlk188285601"/>
      <w:r w:rsidRPr="009C665E">
        <w:rPr>
          <w:rFonts w:cs="Times New Roman"/>
          <w:lang w:val="fr-CA"/>
        </w:rPr>
        <w:t>de cadres discrétionnaires</w:t>
      </w:r>
      <w:bookmarkEnd w:id="49"/>
      <w:r w:rsidRPr="009C665E">
        <w:rPr>
          <w:rFonts w:cs="Times New Roman"/>
          <w:lang w:val="fr-CA"/>
        </w:rPr>
        <w:t xml:space="preserve"> larges de nature similaire, insistant dans une large mesure sur la même liste de facteurs, dont certains n’ont aucune incidence sur l’issue du pourvoi qui les concerne. Un contexte contradictoire conviendrait le mieux pour permettre à notre Cour de pleinement faire face aux points de vue divergents inhérents à l’établissement d’un cadre exhaustif en matière d’acquittements discrétionnaires. En son absence, et étant donné qu’il n’est pas nécessaire de trancher la question en l’espèce, notre Cour devrait agir avec prudence (voir J. W. Morden, « The “good” judge » (2005), 23(4) </w:t>
      </w:r>
      <w:r w:rsidRPr="009C665E">
        <w:rPr>
          <w:rFonts w:cs="Times New Roman"/>
          <w:i/>
          <w:lang w:val="fr-CA"/>
        </w:rPr>
        <w:t>Advocates’ Soc. J.</w:t>
      </w:r>
      <w:r w:rsidRPr="009C665E">
        <w:rPr>
          <w:rFonts w:cs="Times New Roman"/>
          <w:lang w:val="fr-CA"/>
        </w:rPr>
        <w:t xml:space="preserve"> 13, p. 21; R. J. Sharpe, </w:t>
      </w:r>
      <w:r w:rsidRPr="009C665E">
        <w:rPr>
          <w:rFonts w:cs="Times New Roman"/>
          <w:i/>
          <w:lang w:val="fr-CA"/>
        </w:rPr>
        <w:t>Good Judgment : Making Judicial Decisions</w:t>
      </w:r>
      <w:r w:rsidRPr="009C665E">
        <w:rPr>
          <w:rFonts w:cs="Times New Roman"/>
          <w:lang w:val="fr-CA"/>
        </w:rPr>
        <w:t xml:space="preserve"> (2018), p.</w:t>
      </w:r>
      <w:r w:rsidRPr="009C665E">
        <w:rPr>
          <w:rFonts w:cs="Times New Roman"/>
          <w:i/>
          <w:lang w:val="fr-CA"/>
        </w:rPr>
        <w:t> </w:t>
      </w:r>
      <w:r w:rsidRPr="009C665E">
        <w:rPr>
          <w:rFonts w:cs="Times New Roman"/>
          <w:lang w:val="fr-CA"/>
        </w:rPr>
        <w:t>84).</w:t>
      </w:r>
    </w:p>
    <w:p w14:paraId="42A3B79A"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Dans les circonstances, ce sont les cours dans leurs décisions futures qui devraient analyser minutieusement d’autres prétendus motifs d’acquittement, y compris ceux qui confèrent aux cours d’appel un pouvoir discrétionnaire approprié, dans les cas où ces motifs d’acquittement auraient une incidence réelle sur le dispositif. Elles seront mieux placées pour évaluer si, comme dans le cas des deux motifs </w:t>
      </w:r>
      <w:r w:rsidRPr="009C665E">
        <w:rPr>
          <w:rFonts w:cs="Times New Roman"/>
          <w:lang w:val="fr-CA"/>
        </w:rPr>
        <w:lastRenderedPageBreak/>
        <w:t>d’acquittement reconnus ci</w:t>
      </w:r>
      <w:r w:rsidRPr="009C665E">
        <w:rPr>
          <w:rFonts w:cs="Times New Roman"/>
          <w:lang w:val="fr-CA"/>
        </w:rPr>
        <w:noBreakHyphen/>
        <w:t>dessus, il convient de prononcer un acquittement dans les circonstances compte tenu du rôle de la cour d’appel et du sens reconnu d’un acquittement. Lorsqu’il n’y a aucun autre fondement à un acquittement en tant qu’issue juste, l’intérêt de la justice et les circonstances d’une affaire donnée garantiront que le droit évolue de façon utile et équilibrée.</w:t>
      </w:r>
    </w:p>
    <w:p w14:paraId="1DC768DD"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Je rappelle que, même lorsqu’il n’y a aucun motif d’acquittement, des facteurs étrangers au fond de l’affaire, comme bon nombre de ceux invoqués dans les cadres en matière d’acquittements discrétionnaires que préconisent les parties, peuvent encore jouer de manière à empêcher la tenue d’un nouveau procès. Des facteurs ayant trait à l’injustice d’un nouveau procès sont directement à la base de la nécessité d’un arrêt judiciaire des procédures (voir </w:t>
      </w:r>
      <w:r w:rsidRPr="009C665E">
        <w:rPr>
          <w:rFonts w:cs="Times New Roman"/>
          <w:i/>
          <w:lang w:val="fr-CA"/>
        </w:rPr>
        <w:t>Babos</w:t>
      </w:r>
      <w:r w:rsidRPr="009C665E">
        <w:rPr>
          <w:rFonts w:cs="Times New Roman"/>
          <w:lang w:val="fr-CA"/>
        </w:rPr>
        <w:t>, par. 32), et peuvent contribuer à la décision de la Couronne de donner suite ou non à un nouveau procès si celui</w:t>
      </w:r>
      <w:r w:rsidRPr="009C665E">
        <w:rPr>
          <w:rFonts w:cs="Times New Roman"/>
          <w:lang w:val="fr-CA"/>
        </w:rPr>
        <w:noBreakHyphen/>
        <w:t>ci est ordonné. C’est d’ailleurs en se fondant sur ces facteurs que la Cour d’appel a refusé d’ordonner un nouveau procès en l’espèce.</w:t>
      </w:r>
    </w:p>
    <w:p w14:paraId="060E9891" w14:textId="77777777" w:rsidR="009C665E" w:rsidRPr="009C665E" w:rsidRDefault="009C665E" w:rsidP="009C665E">
      <w:pPr>
        <w:pStyle w:val="Title2LevelTitre2Niveau"/>
        <w:spacing w:before="0"/>
        <w:ind w:left="576" w:hanging="576"/>
        <w:rPr>
          <w:rFonts w:cs="Times New Roman"/>
          <w:lang w:val="fr-CA"/>
        </w:rPr>
      </w:pPr>
      <w:r w:rsidRPr="009C665E">
        <w:rPr>
          <w:rFonts w:cs="Times New Roman"/>
          <w:i w:val="0"/>
          <w:lang w:val="fr-CA"/>
        </w:rPr>
        <w:t>C.</w:t>
      </w:r>
      <w:r w:rsidRPr="009C665E">
        <w:rPr>
          <w:rFonts w:cs="Times New Roman"/>
          <w:lang w:val="fr-CA"/>
        </w:rPr>
        <w:tab/>
        <w:t>Madame Bouvette doit être acquittée par notre Cour en vertu du par. 686(2) C. cr.</w:t>
      </w:r>
    </w:p>
    <w:p w14:paraId="78FFA194" w14:textId="77777777" w:rsidR="009C665E" w:rsidRPr="009C665E" w:rsidRDefault="009C665E" w:rsidP="009C665E">
      <w:pPr>
        <w:pStyle w:val="ParaNoNdepar-AltN"/>
        <w:spacing w:before="0"/>
        <w:rPr>
          <w:rFonts w:cs="Times New Roman"/>
          <w:lang w:val="fr-CA"/>
        </w:rPr>
      </w:pPr>
      <w:r w:rsidRPr="009C665E">
        <w:rPr>
          <w:rFonts w:cs="Times New Roman"/>
          <w:lang w:val="fr-CA"/>
        </w:rPr>
        <w:t>Appliquant ces principes au cas de M</w:t>
      </w:r>
      <w:r w:rsidRPr="009C665E">
        <w:rPr>
          <w:rFonts w:cs="Times New Roman"/>
          <w:vertAlign w:val="superscript"/>
          <w:lang w:val="fr-CA"/>
        </w:rPr>
        <w:t>me</w:t>
      </w:r>
      <w:r w:rsidRPr="009C665E">
        <w:rPr>
          <w:rFonts w:cs="Times New Roman"/>
          <w:lang w:val="fr-CA"/>
        </w:rPr>
        <w:t> Bouvette, et avec égards pour la décision de la Cour d’appel d’inscrire un arrêt des procédures, je suis d’avis que M</w:t>
      </w:r>
      <w:r w:rsidRPr="009C665E">
        <w:rPr>
          <w:rFonts w:cs="Times New Roman"/>
          <w:vertAlign w:val="superscript"/>
          <w:lang w:val="fr-CA"/>
        </w:rPr>
        <w:t>me</w:t>
      </w:r>
      <w:r w:rsidRPr="009C665E">
        <w:rPr>
          <w:rFonts w:cs="Times New Roman"/>
          <w:lang w:val="fr-CA"/>
        </w:rPr>
        <w:t xml:space="preserve"> Bouvette doit être acquittée. Bien que rien ne permette d’affirmer qu’une déclaration de culpabilité serait nécessairement déraisonnable au vu de cette preuve, la </w:t>
      </w:r>
      <w:r w:rsidRPr="009C665E">
        <w:rPr>
          <w:rFonts w:cs="Times New Roman"/>
          <w:lang w:val="fr-CA"/>
        </w:rPr>
        <w:lastRenderedPageBreak/>
        <w:t>position de la Couronne est déterminante dans les circonstances exceptionnelles de la présente affaire.</w:t>
      </w:r>
    </w:p>
    <w:p w14:paraId="01E69FBC"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Les motifs d’acquittement n’ont pas à être examinés dans un ordre particulier et les cours d’appels peuvent, par exemple, estimer opportun de se pencher sur la position de la Couronne avant de se demander si une déclaration de culpabilité serait déraisonnable au vu du dossier. Je tiens à rappeler l’arrêt </w:t>
      </w:r>
      <w:r w:rsidRPr="009C665E">
        <w:rPr>
          <w:rFonts w:cs="Times New Roman"/>
          <w:i/>
          <w:lang w:val="fr-CA"/>
        </w:rPr>
        <w:t>Grdic</w:t>
      </w:r>
      <w:r w:rsidRPr="009C665E">
        <w:rPr>
          <w:rFonts w:cs="Times New Roman"/>
          <w:lang w:val="fr-CA"/>
        </w:rPr>
        <w:t> : un acquittement est un acquittement en droit, et le motif de preuve à l’appui de ce résultat n’est pas supérieur, en droit, à tout autre motif. Si un acquittement est justifié par un motif, l’examen des autres motifs devient inutile. Dans le cas de M</w:t>
      </w:r>
      <w:r w:rsidRPr="009C665E">
        <w:rPr>
          <w:rFonts w:cs="Times New Roman"/>
          <w:vertAlign w:val="superscript"/>
          <w:lang w:val="fr-CA"/>
        </w:rPr>
        <w:t>me</w:t>
      </w:r>
      <w:r w:rsidRPr="009C665E">
        <w:rPr>
          <w:rFonts w:cs="Times New Roman"/>
          <w:lang w:val="fr-CA"/>
        </w:rPr>
        <w:t> Bouvette, j’ai examiné tant le motif de preuve que le motif fondé sur l’engagement de la Couronne à ne pas présenter de preuve lors d’un nouveau procès, de manière à traiter des points de désaccord véritable entre les parties au pourvoi de M</w:t>
      </w:r>
      <w:r w:rsidRPr="009C665E">
        <w:rPr>
          <w:rFonts w:cs="Times New Roman"/>
          <w:vertAlign w:val="superscript"/>
          <w:lang w:val="fr-CA"/>
        </w:rPr>
        <w:t>me</w:t>
      </w:r>
      <w:r w:rsidRPr="009C665E">
        <w:rPr>
          <w:rFonts w:cs="Times New Roman"/>
          <w:lang w:val="fr-CA"/>
        </w:rPr>
        <w:t> Bouvette. Une partie de ce désaccord a trait au fondement d’un acquittement en matière de preuve. Je me penche d’abord sur ce motif.</w:t>
      </w:r>
    </w:p>
    <w:p w14:paraId="078A913E" w14:textId="77777777" w:rsidR="009C665E" w:rsidRPr="009C665E" w:rsidRDefault="009C665E" w:rsidP="009C665E">
      <w:pPr>
        <w:pStyle w:val="Title3LevelTitre3Niveau"/>
        <w:numPr>
          <w:ilvl w:val="3"/>
          <w:numId w:val="6"/>
        </w:numPr>
        <w:spacing w:before="0"/>
        <w:ind w:left="1152" w:hanging="576"/>
        <w:rPr>
          <w:rFonts w:cs="Times New Roman"/>
          <w:lang w:val="fr-CA"/>
        </w:rPr>
      </w:pPr>
      <w:r w:rsidRPr="009C665E">
        <w:rPr>
          <w:rFonts w:cs="Times New Roman"/>
          <w:lang w:val="fr-CA"/>
        </w:rPr>
        <w:t>Le dossier à lui seul ne peut fonder un acquittement</w:t>
      </w:r>
    </w:p>
    <w:p w14:paraId="69F2B5DD" w14:textId="77777777" w:rsidR="009C665E" w:rsidRPr="009C665E" w:rsidRDefault="009C665E" w:rsidP="009C665E">
      <w:pPr>
        <w:pStyle w:val="ParaNoNdepar-AltN"/>
        <w:spacing w:before="0"/>
        <w:rPr>
          <w:rFonts w:cs="Times New Roman"/>
          <w:lang w:val="fr-CA"/>
        </w:rPr>
      </w:pPr>
      <w:r w:rsidRPr="009C665E">
        <w:rPr>
          <w:rFonts w:cs="Times New Roman"/>
          <w:lang w:val="fr-CA"/>
        </w:rPr>
        <w:t>Je suis d’accord avec la Cour d’appel pour dire que M</w:t>
      </w:r>
      <w:r w:rsidRPr="009C665E">
        <w:rPr>
          <w:rFonts w:cs="Times New Roman"/>
          <w:vertAlign w:val="superscript"/>
          <w:lang w:val="fr-CA"/>
        </w:rPr>
        <w:t>me</w:t>
      </w:r>
      <w:r w:rsidRPr="009C665E">
        <w:rPr>
          <w:rFonts w:cs="Times New Roman"/>
          <w:lang w:val="fr-CA"/>
        </w:rPr>
        <w:t> Bouvette n’a pas démontré qu’au vu du présent dossier, une déclaration de culpabilité serait nécessairement déraisonnable.</w:t>
      </w:r>
    </w:p>
    <w:p w14:paraId="1F37D4EA" w14:textId="77777777" w:rsidR="009C665E" w:rsidRPr="009C665E" w:rsidRDefault="009C665E" w:rsidP="009C665E">
      <w:pPr>
        <w:pStyle w:val="ParaNoNdepar-AltN"/>
        <w:rPr>
          <w:rFonts w:cs="Times New Roman"/>
          <w:lang w:val="fr-CA"/>
        </w:rPr>
      </w:pPr>
      <w:r w:rsidRPr="009C665E">
        <w:rPr>
          <w:rFonts w:cs="Times New Roman"/>
          <w:lang w:val="fr-CA"/>
        </w:rPr>
        <w:t xml:space="preserve">Décider si aucun juge des faits ne pourrait raisonnablement rendre un verdict de culpabilité au vu d’un dossier de preuve donné est une opération que </w:t>
      </w:r>
      <w:r w:rsidRPr="009C665E">
        <w:rPr>
          <w:rFonts w:cs="Times New Roman"/>
          <w:lang w:val="fr-CA"/>
        </w:rPr>
        <w:lastRenderedPageBreak/>
        <w:t xml:space="preserve">connaissent bien les cours d’appel, car il s’agit en soi d’un motif permettant de faire droit à l’appel interjeté d’une déclaration de culpabilité (voir </w:t>
      </w:r>
      <w:bookmarkStart w:id="50" w:name="_Hlk185499324"/>
      <w:r w:rsidRPr="009C665E">
        <w:rPr>
          <w:rFonts w:cs="Times New Roman"/>
          <w:i/>
          <w:lang w:val="fr-CA"/>
        </w:rPr>
        <w:t>Biniaris</w:t>
      </w:r>
      <w:r w:rsidRPr="009C665E">
        <w:rPr>
          <w:rFonts w:cs="Times New Roman"/>
          <w:lang w:val="fr-CA"/>
        </w:rPr>
        <w:t xml:space="preserve">, </w:t>
      </w:r>
      <w:bookmarkEnd w:id="50"/>
      <w:r w:rsidRPr="009C665E">
        <w:rPr>
          <w:rFonts w:cs="Times New Roman"/>
          <w:lang w:val="fr-CA"/>
        </w:rPr>
        <w:t>par. 36; sous</w:t>
      </w:r>
      <w:r w:rsidRPr="009C665E">
        <w:rPr>
          <w:rFonts w:cs="Times New Roman"/>
          <w:lang w:val="fr-CA"/>
        </w:rPr>
        <w:noBreakHyphen/>
        <w:t>al. 686(1</w:t>
      </w:r>
      <w:proofErr w:type="gramStart"/>
      <w:r w:rsidRPr="009C665E">
        <w:rPr>
          <w:rFonts w:cs="Times New Roman"/>
          <w:lang w:val="fr-CA"/>
        </w:rPr>
        <w:t>)a)(</w:t>
      </w:r>
      <w:proofErr w:type="gramEnd"/>
      <w:r w:rsidRPr="009C665E">
        <w:rPr>
          <w:rFonts w:cs="Times New Roman"/>
          <w:lang w:val="fr-CA"/>
        </w:rPr>
        <w:t xml:space="preserve">i) </w:t>
      </w:r>
      <w:r w:rsidRPr="009C665E">
        <w:rPr>
          <w:rFonts w:cs="Times New Roman"/>
          <w:i/>
          <w:lang w:val="fr-CA"/>
        </w:rPr>
        <w:t>C. cr.</w:t>
      </w:r>
      <w:r w:rsidRPr="009C665E">
        <w:rPr>
          <w:rFonts w:cs="Times New Roman"/>
          <w:lang w:val="fr-CA"/>
        </w:rPr>
        <w:t xml:space="preserve">; voir aussi Vauclair, Desjardins et Lachance, par. 51.248). Cette décision exige plus qu’une simple conclusion selon laquelle la cour d’appel a, selon sa propre interprétation du dossier, un doute raisonnable quant à la culpabilité (voir </w:t>
      </w:r>
      <w:r w:rsidRPr="009C665E">
        <w:rPr>
          <w:rFonts w:cs="Times New Roman"/>
          <w:i/>
          <w:lang w:val="fr-CA"/>
        </w:rPr>
        <w:t>W.H.</w:t>
      </w:r>
      <w:r w:rsidRPr="009C665E">
        <w:rPr>
          <w:rFonts w:cs="Times New Roman"/>
          <w:lang w:val="fr-CA"/>
        </w:rPr>
        <w:t xml:space="preserve">, par. 27; voir aussi </w:t>
      </w:r>
      <w:r w:rsidRPr="009C665E">
        <w:rPr>
          <w:rFonts w:cs="Times New Roman"/>
          <w:i/>
          <w:lang w:val="fr-CA"/>
        </w:rPr>
        <w:t>R. c. Mars</w:t>
      </w:r>
      <w:r w:rsidRPr="009C665E">
        <w:rPr>
          <w:rFonts w:cs="Times New Roman"/>
          <w:lang w:val="fr-CA"/>
        </w:rPr>
        <w:t xml:space="preserve"> (2006), 205 C.C.C. (3d) 376 (C.A. Ont.), par. 3). En raison de la compétence institutionnelle différente dont jouissent les cours d’appel et les tribunaux de première instance, la cour d’appel ne se trouve pas dans la même position privilégiée que le juge des faits lorsqu’il s’agit d’apprécier la preuve et elle doit veiller à ne pas usurper le rôle de ce dernier. Néanmoins, la cour d’appel doit examiner toute la preuve et se livrer à une </w:t>
      </w:r>
      <w:r w:rsidRPr="009C665E">
        <w:rPr>
          <w:rFonts w:cs="Times New Roman"/>
          <w:smallCaps/>
          <w:lang w:val="fr-CA"/>
        </w:rPr>
        <w:t>[traduction]</w:t>
      </w:r>
      <w:r w:rsidRPr="009C665E">
        <w:rPr>
          <w:rFonts w:cs="Times New Roman"/>
          <w:lang w:val="fr-CA"/>
        </w:rPr>
        <w:t xml:space="preserve"> « évaluation limitée » pour décider si une déclaration de culpabilité raisonnable est exclue (</w:t>
      </w:r>
      <w:r w:rsidRPr="009C665E">
        <w:rPr>
          <w:rFonts w:cs="Times New Roman"/>
          <w:i/>
          <w:lang w:val="fr-CA"/>
        </w:rPr>
        <w:t>R. c. Browne</w:t>
      </w:r>
      <w:r w:rsidRPr="009C665E">
        <w:rPr>
          <w:rFonts w:cs="Times New Roman"/>
          <w:lang w:val="fr-CA"/>
        </w:rPr>
        <w:t xml:space="preserve">, 2021 ONCA 836, 498 C.R.R. (2d) 345, par. 30; voir </w:t>
      </w:r>
      <w:r w:rsidRPr="009C665E">
        <w:rPr>
          <w:rFonts w:cs="Times New Roman"/>
          <w:i/>
          <w:lang w:val="fr-CA"/>
        </w:rPr>
        <w:t>W.H.</w:t>
      </w:r>
      <w:r w:rsidRPr="009C665E">
        <w:rPr>
          <w:rFonts w:cs="Times New Roman"/>
          <w:lang w:val="fr-CA"/>
        </w:rPr>
        <w:t xml:space="preserve">, par. 28, citant </w:t>
      </w:r>
      <w:r w:rsidRPr="009C665E">
        <w:rPr>
          <w:rFonts w:cs="Times New Roman"/>
          <w:i/>
          <w:lang w:val="fr-CA"/>
        </w:rPr>
        <w:t>Biniaris</w:t>
      </w:r>
      <w:r w:rsidRPr="009C665E">
        <w:rPr>
          <w:rFonts w:cs="Times New Roman"/>
          <w:lang w:val="fr-CA"/>
        </w:rPr>
        <w:t xml:space="preserve">, par. 36 et 39; voir aussi </w:t>
      </w:r>
      <w:r w:rsidRPr="009C665E">
        <w:rPr>
          <w:rFonts w:cs="Times New Roman"/>
          <w:i/>
          <w:lang w:val="fr-CA"/>
        </w:rPr>
        <w:t>Doucet c. R.</w:t>
      </w:r>
      <w:r w:rsidRPr="009C665E">
        <w:rPr>
          <w:rFonts w:cs="Times New Roman"/>
          <w:lang w:val="fr-CA"/>
        </w:rPr>
        <w:t>, 2024 QCCA 461, par. 11).</w:t>
      </w:r>
    </w:p>
    <w:p w14:paraId="3BEFE64E" w14:textId="77777777" w:rsidR="009C665E" w:rsidRPr="009C665E" w:rsidRDefault="009C665E" w:rsidP="009C665E">
      <w:pPr>
        <w:pStyle w:val="ParaNoNdepar-AltN"/>
        <w:spacing w:before="0"/>
        <w:rPr>
          <w:rFonts w:cs="Times New Roman"/>
          <w:lang w:val="fr-CA"/>
        </w:rPr>
      </w:pPr>
      <w:r w:rsidRPr="009C665E">
        <w:rPr>
          <w:rFonts w:cs="Times New Roman"/>
          <w:lang w:val="fr-CA"/>
        </w:rPr>
        <w:t>La Couronne soutient que la conclusion de la Cour d’appel sur la question de savoir si ce seuil a été respecté est étayée par des conclusions de fait à l’égard desquelles notre Cour doit faire preuve de déférence. Bien qu’elle ait soutenu devant la Cour d’appel que la preuve ne pouvait raisonnablement fonder une déclaration de culpabilité, la Couronne cherche maintenant à faire confirmer la décision contraire de la Cour d’appel (m.i., par. 118</w:t>
      </w:r>
      <w:r w:rsidRPr="009C665E">
        <w:rPr>
          <w:rFonts w:cs="Times New Roman"/>
          <w:lang w:val="fr-CA"/>
        </w:rPr>
        <w:noBreakHyphen/>
        <w:t>119).</w:t>
      </w:r>
    </w:p>
    <w:p w14:paraId="7D631B3E" w14:textId="77777777" w:rsidR="009C665E" w:rsidRPr="009C665E" w:rsidRDefault="009C665E" w:rsidP="009C665E">
      <w:pPr>
        <w:pStyle w:val="ParaNoNdepar-AltN"/>
        <w:spacing w:before="0"/>
        <w:rPr>
          <w:rFonts w:cs="Times New Roman"/>
          <w:lang w:val="fr-CA"/>
        </w:rPr>
      </w:pPr>
      <w:r w:rsidRPr="009C665E">
        <w:rPr>
          <w:rFonts w:cs="Times New Roman"/>
          <w:lang w:val="fr-CA"/>
        </w:rPr>
        <w:lastRenderedPageBreak/>
        <w:t>Dans la mesure où la Couronne affirme qu’il faut faire preuve de déférence, je ne suis pas d’accord. La conclusion que la Cour d’appel a tirée sur cette question était, de façon tout à fait appropriée, axée sur ce qu’un juge des faits raisonnable pouvait ou ne pouvait pas conclure au vu du dossier, et non sur la formulation de conclusions de fait elle</w:t>
      </w:r>
      <w:r w:rsidRPr="009C665E">
        <w:rPr>
          <w:rFonts w:cs="Times New Roman"/>
          <w:lang w:val="fr-CA"/>
        </w:rPr>
        <w:noBreakHyphen/>
        <w:t>même (par. 128</w:t>
      </w:r>
      <w:r w:rsidRPr="009C665E">
        <w:rPr>
          <w:rFonts w:cs="Times New Roman"/>
          <w:lang w:val="fr-CA"/>
        </w:rPr>
        <w:noBreakHyphen/>
        <w:t xml:space="preserve">133). La question de savoir si un juge des faits pourrait raisonnablement arriver à une conclusion donnée au vu de la preuve n’est pas une question de fait — c’est une question de droit à laquelle il faut répondre correctement (voir, par analogie, </w:t>
      </w:r>
      <w:r w:rsidRPr="009C665E">
        <w:rPr>
          <w:rFonts w:cs="Times New Roman"/>
          <w:i/>
          <w:lang w:val="fr-CA"/>
        </w:rPr>
        <w:t>R. c. Buzizi</w:t>
      </w:r>
      <w:r w:rsidRPr="009C665E">
        <w:rPr>
          <w:rFonts w:cs="Times New Roman"/>
          <w:lang w:val="fr-CA"/>
        </w:rPr>
        <w:t>, 2013 CSC 27, [2013] 2 R.C.S. 248, par. 15</w:t>
      </w:r>
      <w:r w:rsidRPr="009C665E">
        <w:rPr>
          <w:rFonts w:cs="Times New Roman"/>
          <w:lang w:val="fr-CA"/>
        </w:rPr>
        <w:noBreakHyphen/>
        <w:t xml:space="preserve">16; voir aussi J. Fortin, </w:t>
      </w:r>
      <w:r w:rsidRPr="009C665E">
        <w:rPr>
          <w:rFonts w:cs="Times New Roman"/>
          <w:i/>
          <w:iCs/>
          <w:lang w:val="fr-CA"/>
        </w:rPr>
        <w:t>Preuve pénale</w:t>
      </w:r>
      <w:r w:rsidRPr="009C665E">
        <w:rPr>
          <w:rFonts w:cs="Times New Roman"/>
          <w:lang w:val="fr-CA"/>
        </w:rPr>
        <w:t xml:space="preserve"> (1984), p. 313). Par conséquent, bien que je prenne bonne note des motifs de la Cour d’appel, sa conclusion ne peut être confirmée que si elle est correcte.</w:t>
      </w:r>
    </w:p>
    <w:p w14:paraId="5E1922B7" w14:textId="77777777" w:rsidR="009C665E" w:rsidRPr="009C665E" w:rsidRDefault="009C665E" w:rsidP="009C665E">
      <w:pPr>
        <w:pStyle w:val="ParaNoNdepar-AltN"/>
        <w:spacing w:before="0"/>
        <w:rPr>
          <w:rFonts w:cs="Times New Roman"/>
          <w:lang w:val="fr-CA"/>
        </w:rPr>
      </w:pPr>
      <w:r w:rsidRPr="009C665E">
        <w:rPr>
          <w:rFonts w:cs="Times New Roman"/>
          <w:lang w:val="fr-CA"/>
        </w:rPr>
        <w:t>Madame Bouvette affirme que la Cour d’appel a commis une erreur en concluant qu’il y a des éléments de preuve au vu desquels un juge des faits raisonnable pourrait rendre un verdict de culpabilité. Elle soutient que la Cour d’appel n’aurait pas dû se fonder sur le témoignage du D</w:t>
      </w:r>
      <w:r w:rsidRPr="009C665E">
        <w:rPr>
          <w:rFonts w:cs="Times New Roman"/>
          <w:vertAlign w:val="superscript"/>
          <w:lang w:val="fr-CA"/>
        </w:rPr>
        <w:t>r</w:t>
      </w:r>
      <w:r w:rsidRPr="009C665E">
        <w:rPr>
          <w:rFonts w:cs="Times New Roman"/>
          <w:lang w:val="fr-CA"/>
        </w:rPr>
        <w:t> Matshes (m.a., par. 113 et 129). Avant le plaidoyer de culpabilité, la Couronne s’était fondée sur ce témoignage à une fin limitée et elle affirme maintenant qu’elle ne s’appuierait pas sur ce dernier s’il y avait un nouveau procès (par. 113</w:t>
      </w:r>
      <w:r w:rsidRPr="009C665E">
        <w:rPr>
          <w:rFonts w:cs="Times New Roman"/>
          <w:lang w:val="fr-CA"/>
        </w:rPr>
        <w:noBreakHyphen/>
        <w:t>114). Ce témoignage était au cœur de l’erreur judiciaire parce que des documents se rapportant à la fiabilité du témoignage d’expert n’ont pas été communiqués (par. 128). Madame Bouvette affirme qu’abstraction faite du témoignage du D</w:t>
      </w:r>
      <w:r w:rsidRPr="009C665E">
        <w:rPr>
          <w:rFonts w:cs="Times New Roman"/>
          <w:vertAlign w:val="superscript"/>
          <w:lang w:val="fr-CA"/>
        </w:rPr>
        <w:t>r</w:t>
      </w:r>
      <w:r w:rsidRPr="009C665E">
        <w:rPr>
          <w:rFonts w:cs="Times New Roman"/>
          <w:lang w:val="fr-CA"/>
        </w:rPr>
        <w:t xml:space="preserve"> Matshes, la preuve dont disposerait le juge des faits lors d’un nouveau procès ne pourrait pas étayer une déclaration de culpabilité raisonnable </w:t>
      </w:r>
      <w:r w:rsidRPr="009C665E">
        <w:rPr>
          <w:rFonts w:cs="Times New Roman"/>
          <w:lang w:val="fr-CA"/>
        </w:rPr>
        <w:lastRenderedPageBreak/>
        <w:t>(par. 112 et 114). À l’audience, M</w:t>
      </w:r>
      <w:r w:rsidRPr="009C665E">
        <w:rPr>
          <w:rFonts w:cs="Times New Roman"/>
          <w:vertAlign w:val="superscript"/>
          <w:lang w:val="fr-CA"/>
        </w:rPr>
        <w:t>me</w:t>
      </w:r>
      <w:r w:rsidRPr="009C665E">
        <w:rPr>
          <w:rFonts w:cs="Times New Roman"/>
          <w:lang w:val="fr-CA"/>
        </w:rPr>
        <w:t> Bouvette a reconnu que d’autres éléments de preuve indiquaient que la chute que l’enfant avait faite d’une chaise avait laissé une marque visible, mais elle a affirmé que la Cour d’appel s’était appuyée à tort sur le témoignage du D</w:t>
      </w:r>
      <w:r w:rsidRPr="009C665E">
        <w:rPr>
          <w:rFonts w:cs="Times New Roman"/>
          <w:vertAlign w:val="superscript"/>
          <w:lang w:val="fr-CA"/>
        </w:rPr>
        <w:t>r</w:t>
      </w:r>
      <w:r w:rsidRPr="009C665E">
        <w:rPr>
          <w:rFonts w:cs="Times New Roman"/>
          <w:lang w:val="fr-CA"/>
        </w:rPr>
        <w:t> Matshes concernant l’étendue de la blessure de l’enfant au moment où elle avait été mise dans la baignoire (transcription, p. 8</w:t>
      </w:r>
      <w:r w:rsidRPr="009C665E">
        <w:rPr>
          <w:rFonts w:cs="Times New Roman"/>
          <w:lang w:val="fr-CA"/>
        </w:rPr>
        <w:noBreakHyphen/>
        <w:t>10).</w:t>
      </w:r>
    </w:p>
    <w:p w14:paraId="0555B6CD" w14:textId="77777777" w:rsidR="009C665E" w:rsidRPr="009C665E" w:rsidRDefault="009C665E" w:rsidP="009C665E">
      <w:pPr>
        <w:pStyle w:val="ParaNoNdepar-AltN"/>
        <w:spacing w:before="0"/>
        <w:rPr>
          <w:rFonts w:cs="Times New Roman"/>
          <w:lang w:val="fr-CA"/>
        </w:rPr>
      </w:pPr>
      <w:r w:rsidRPr="009C665E">
        <w:rPr>
          <w:rFonts w:cs="Times New Roman"/>
          <w:lang w:val="fr-CA"/>
        </w:rPr>
        <w:t>La Couronne n’est pas de cet avis (m.i., par. 113). Elle affirme que la décision de ne pas faire entendre le D</w:t>
      </w:r>
      <w:r w:rsidRPr="009C665E">
        <w:rPr>
          <w:rFonts w:cs="Times New Roman"/>
          <w:vertAlign w:val="superscript"/>
          <w:lang w:val="fr-CA"/>
        </w:rPr>
        <w:t>r</w:t>
      </w:r>
      <w:r w:rsidRPr="009C665E">
        <w:rPr>
          <w:rFonts w:cs="Times New Roman"/>
          <w:lang w:val="fr-CA"/>
        </w:rPr>
        <w:t xml:space="preserve"> Matshes lors d’un nouveau procès n’exige pas que son témoignage soit exclu du dossier pour les besoins de la présente analyse. Le témoignage n’est pas inadmissible et il n’est pas miné de manière décisive par de nouveaux éléments de preuve (par. 114). La Couronne affirme que sa décision sur les éléments de preuve à présenter lors d’un nouveau procès n’est pas pertinente pour l’analyse (par. 115). Comme l’a dit l’avocate à l’audience, </w:t>
      </w:r>
      <w:r w:rsidRPr="009C665E">
        <w:rPr>
          <w:rFonts w:cs="Times New Roman"/>
          <w:smallCaps/>
          <w:lang w:val="fr-CA"/>
        </w:rPr>
        <w:t>[traduction]</w:t>
      </w:r>
      <w:r w:rsidRPr="009C665E">
        <w:rPr>
          <w:rFonts w:cs="Times New Roman"/>
          <w:lang w:val="fr-CA"/>
        </w:rPr>
        <w:t xml:space="preserve"> « le fait que le D</w:t>
      </w:r>
      <w:r w:rsidRPr="009C665E">
        <w:rPr>
          <w:rFonts w:cs="Times New Roman"/>
          <w:vertAlign w:val="superscript"/>
          <w:lang w:val="fr-CA"/>
        </w:rPr>
        <w:t>r</w:t>
      </w:r>
      <w:r w:rsidRPr="009C665E">
        <w:rPr>
          <w:rFonts w:cs="Times New Roman"/>
          <w:lang w:val="fr-CA"/>
        </w:rPr>
        <w:t> Matshes [était] un témoin que, je l’ai concédé, je ne ferais pas témoigner n’est pas pertinent. Je n’allais faire entendre aucun témoin parce qu’il n’allait pas y avoir de procès » (transcription, p. 83). La Couronne affirme que la Cour d’appel a eu raison de conclure que le témoignage selon lequel M</w:t>
      </w:r>
      <w:r w:rsidRPr="009C665E">
        <w:rPr>
          <w:rFonts w:cs="Times New Roman"/>
          <w:vertAlign w:val="superscript"/>
          <w:lang w:val="fr-CA"/>
        </w:rPr>
        <w:t>me</w:t>
      </w:r>
      <w:r w:rsidRPr="009C665E">
        <w:rPr>
          <w:rFonts w:cs="Times New Roman"/>
          <w:lang w:val="fr-CA"/>
        </w:rPr>
        <w:t> Bouvette avait laissé l’enfant seule dans le bain pendant un certain temps peu après que l’enfant eut fait une chute d’une chaise pouvait raisonnablement fonder une déclaration de culpabilité (m.i., par. 118).</w:t>
      </w:r>
    </w:p>
    <w:p w14:paraId="445294AA" w14:textId="77777777" w:rsidR="009C665E" w:rsidRPr="009C665E" w:rsidRDefault="009C665E" w:rsidP="009C665E">
      <w:pPr>
        <w:pStyle w:val="ParaNoNdepar-AltN"/>
        <w:spacing w:before="0"/>
        <w:rPr>
          <w:rFonts w:cs="Times New Roman"/>
          <w:lang w:val="fr-CA"/>
        </w:rPr>
      </w:pPr>
      <w:r w:rsidRPr="009C665E">
        <w:rPr>
          <w:rFonts w:cs="Times New Roman"/>
          <w:lang w:val="fr-CA"/>
        </w:rPr>
        <w:t>Je suis d’accord avec la Couronne pour dire que le témoignage du D</w:t>
      </w:r>
      <w:r w:rsidRPr="009C665E">
        <w:rPr>
          <w:rFonts w:cs="Times New Roman"/>
          <w:vertAlign w:val="superscript"/>
          <w:lang w:val="fr-CA"/>
        </w:rPr>
        <w:t>r</w:t>
      </w:r>
      <w:r w:rsidRPr="009C665E">
        <w:rPr>
          <w:rFonts w:cs="Times New Roman"/>
          <w:lang w:val="fr-CA"/>
        </w:rPr>
        <w:t xml:space="preserve"> Matshes ne devrait pas être exclu de l’examen du caractère suffisant du dossier pour les besoins de la présente espèce. Madame Bouvette fait ici une analogie avec une </w:t>
      </w:r>
      <w:r w:rsidRPr="009C665E">
        <w:rPr>
          <w:rFonts w:cs="Times New Roman"/>
          <w:lang w:val="fr-CA"/>
        </w:rPr>
        <w:lastRenderedPageBreak/>
        <w:t>preuve inadmissible, dont le juge des faits ne peut légalement se servir pour fonder une déclaration de culpabilité et qui est donc sans pertinence lorsqu’il s’agit de décider si un juge des faits ayant reçu des directives appropriées pourrait raisonnablement rendre un verdict de culpabilité (m.a., par. 129; transcription, p. 30</w:t>
      </w:r>
      <w:r w:rsidRPr="009C665E">
        <w:rPr>
          <w:rFonts w:cs="Times New Roman"/>
          <w:lang w:val="fr-CA"/>
        </w:rPr>
        <w:noBreakHyphen/>
        <w:t>31). Cependant, le fait que la cour d’appel estime que la Couronne ne présentera probablement pas de preuve lors d’un nouveau procès se distingue aisément de l’inadmissibilité parce qu’il n’établit en rien qu’il est légalement interdit au juge des faits d’examiner la preuve. Traiter des éléments de preuve admissibles qui ne seront peut-être pas invoqués par la Couronne comme s’ils étaient inadmissibles inviterait la cour d’appel à se livrer à des conjectures sur la stratégie que suivra la Couronne lors d’un nouveau procès, ce qui ne conviendrait pas. La position qu’a adoptée la Couronne devant notre Cour en affirmant qu’elle ne présenterait pas de preuve n’indique aucunement si la preuve disponible justifie une déclaration de culpabilité, mais, comme je l’ai expliqué, il est préférable de considérer qu’il s’agit d’un motif d’acquittement distinct.</w:t>
      </w:r>
    </w:p>
    <w:p w14:paraId="2F1E0E75" w14:textId="77777777" w:rsidR="009C665E" w:rsidRPr="009C665E" w:rsidRDefault="009C665E" w:rsidP="009C665E">
      <w:pPr>
        <w:pStyle w:val="ParaNoNdepar-AltN"/>
        <w:spacing w:before="0"/>
        <w:rPr>
          <w:rFonts w:cs="Times New Roman"/>
          <w:lang w:val="fr-CA"/>
        </w:rPr>
      </w:pPr>
      <w:r w:rsidRPr="009C665E">
        <w:rPr>
          <w:rFonts w:cs="Times New Roman"/>
          <w:lang w:val="fr-CA"/>
        </w:rPr>
        <w:t>Il faut analyser dans leur intégralité les « éléments de preuve légalement admissibles » qui ont été soumis à la cour d’appel et procéder à une évaluation limitée pour déterminer si un jury raisonnable pourrait rendre un verdict de culpabilité (</w:t>
      </w:r>
      <w:r w:rsidRPr="009C665E">
        <w:rPr>
          <w:rFonts w:cs="Times New Roman"/>
          <w:i/>
          <w:lang w:val="fr-CA"/>
        </w:rPr>
        <w:t>S. (P.L.)</w:t>
      </w:r>
      <w:r w:rsidRPr="009C665E">
        <w:rPr>
          <w:rFonts w:cs="Times New Roman"/>
          <w:lang w:val="fr-CA"/>
        </w:rPr>
        <w:t>, p. 916; voir aussi Sopinka, Gelowitz et Rankin, ⁋4.44). Cela inclut les éléments de preuve que pourrait utiliser M</w:t>
      </w:r>
      <w:r w:rsidRPr="009C665E">
        <w:rPr>
          <w:rFonts w:cs="Times New Roman"/>
          <w:vertAlign w:val="superscript"/>
          <w:lang w:val="fr-CA"/>
        </w:rPr>
        <w:t>me</w:t>
      </w:r>
      <w:r w:rsidRPr="009C665E">
        <w:rPr>
          <w:rFonts w:cs="Times New Roman"/>
          <w:lang w:val="fr-CA"/>
        </w:rPr>
        <w:t> Bouvette pour contester les opinions du D</w:t>
      </w:r>
      <w:r w:rsidRPr="009C665E">
        <w:rPr>
          <w:rFonts w:cs="Times New Roman"/>
          <w:vertAlign w:val="superscript"/>
          <w:lang w:val="fr-CA"/>
        </w:rPr>
        <w:t>r</w:t>
      </w:r>
      <w:r w:rsidRPr="009C665E">
        <w:rPr>
          <w:rFonts w:cs="Times New Roman"/>
          <w:lang w:val="fr-CA"/>
        </w:rPr>
        <w:t> Matshes, et qui ne lui ont pas été communiqués de manière à lui permettre de faire un plaidoyer de culpabilité éclairé, ce qui a entraîné l’erreur judiciaire. Dans sa plaidoirie devant notre Cour, M</w:t>
      </w:r>
      <w:r w:rsidRPr="009C665E">
        <w:rPr>
          <w:rFonts w:cs="Times New Roman"/>
          <w:vertAlign w:val="superscript"/>
          <w:lang w:val="fr-CA"/>
        </w:rPr>
        <w:t>me</w:t>
      </w:r>
      <w:r w:rsidRPr="009C665E">
        <w:rPr>
          <w:rFonts w:cs="Times New Roman"/>
          <w:lang w:val="fr-CA"/>
        </w:rPr>
        <w:t xml:space="preserve"> Bouvette indique comment elle pourrait s’y prendre </w:t>
      </w:r>
      <w:r w:rsidRPr="009C665E">
        <w:rPr>
          <w:rFonts w:cs="Times New Roman"/>
          <w:lang w:val="fr-CA"/>
        </w:rPr>
        <w:lastRenderedPageBreak/>
        <w:t>pour procéder à cette contestation si un nouveau procès avait lieu (m.a., par. 44</w:t>
      </w:r>
      <w:r w:rsidRPr="009C665E">
        <w:rPr>
          <w:rFonts w:cs="Times New Roman"/>
          <w:lang w:val="fr-CA"/>
        </w:rPr>
        <w:noBreakHyphen/>
        <w:t>68). Cependant, notre Cour ne doit pas faire porter son analyse sur la question de savoir si cette contestation réussirait devant le juge des faits ni sur celle de savoir si elle soulève un doute raisonnable devant la cour d’appel, ce qui équivaudrait à une évaluation substantielle de la preuve. Il faut s’en tenir à une évaluation limitée, axée sur la question de savoir si un juge des faits pourrait raisonnablement déclarer M</w:t>
      </w:r>
      <w:r w:rsidRPr="009C665E">
        <w:rPr>
          <w:rFonts w:cs="Times New Roman"/>
          <w:vertAlign w:val="superscript"/>
          <w:lang w:val="fr-CA"/>
        </w:rPr>
        <w:t>me</w:t>
      </w:r>
      <w:r w:rsidRPr="009C665E">
        <w:rPr>
          <w:rFonts w:cs="Times New Roman"/>
          <w:lang w:val="fr-CA"/>
        </w:rPr>
        <w:t xml:space="preserve"> Bouvette coupable hors de tout doute raisonnable au vu du dossier (voir </w:t>
      </w:r>
      <w:r w:rsidRPr="009C665E">
        <w:rPr>
          <w:rFonts w:cs="Times New Roman"/>
          <w:i/>
          <w:lang w:val="fr-CA"/>
        </w:rPr>
        <w:t>Biniaris</w:t>
      </w:r>
      <w:r w:rsidRPr="009C665E">
        <w:rPr>
          <w:rFonts w:cs="Times New Roman"/>
          <w:lang w:val="fr-CA"/>
        </w:rPr>
        <w:t>, par. 36).</w:t>
      </w:r>
    </w:p>
    <w:p w14:paraId="2F1D6A08" w14:textId="77777777" w:rsidR="009C665E" w:rsidRPr="009C665E" w:rsidRDefault="009C665E" w:rsidP="009C665E">
      <w:pPr>
        <w:pStyle w:val="ParaNoNdepar-AltN"/>
        <w:spacing w:before="0"/>
        <w:rPr>
          <w:rFonts w:cs="Times New Roman"/>
          <w:lang w:val="fr-CA"/>
        </w:rPr>
      </w:pPr>
      <w:r w:rsidRPr="009C665E">
        <w:rPr>
          <w:rFonts w:cs="Times New Roman"/>
          <w:lang w:val="fr-CA"/>
        </w:rPr>
        <w:t>Je suis conscient que, dans une affaire comme la présente, le juge des faits serait tenu d’envisager d’autres possibilités raisonnables incompatibles avec la culpabilité et devrait être convaincu que la culpabilité est la seule conclusion raisonnable eu égard à l’ensemble de la preuve (</w:t>
      </w:r>
      <w:r w:rsidRPr="009C665E">
        <w:rPr>
          <w:rFonts w:cs="Times New Roman"/>
          <w:i/>
          <w:lang w:val="fr-CA"/>
        </w:rPr>
        <w:t>R. c. Villaroman</w:t>
      </w:r>
      <w:r w:rsidRPr="009C665E">
        <w:rPr>
          <w:rFonts w:cs="Times New Roman"/>
          <w:lang w:val="fr-CA"/>
        </w:rPr>
        <w:t>, 2016 CSC 33, [2016] 1 R.C.S. 1000, par. 55; Vauclair, Desjardins et Lachance, par. 51.220). L’évaluation limitée requise en l’espèce doit se faire à la lumière de l’obligation de la Couronne de prouver la culpabilité hors de tout doute raisonnable.</w:t>
      </w:r>
    </w:p>
    <w:p w14:paraId="16799258" w14:textId="77777777" w:rsidR="009C665E" w:rsidRPr="009C665E" w:rsidRDefault="009C665E" w:rsidP="009C665E">
      <w:pPr>
        <w:pStyle w:val="ParaNoNdepar-AltN"/>
        <w:spacing w:before="0"/>
        <w:rPr>
          <w:rFonts w:cs="Times New Roman"/>
          <w:lang w:val="fr-CA"/>
        </w:rPr>
      </w:pPr>
      <w:r w:rsidRPr="009C665E">
        <w:rPr>
          <w:rFonts w:cs="Times New Roman"/>
          <w:lang w:val="fr-CA"/>
        </w:rPr>
        <w:t>Sans exprimer d’opinion sur la probabilité d’une déclaration de culpabilité, je conviens avec la Cour d’appel que M</w:t>
      </w:r>
      <w:r w:rsidRPr="009C665E">
        <w:rPr>
          <w:rFonts w:cs="Times New Roman"/>
          <w:vertAlign w:val="superscript"/>
          <w:lang w:val="fr-CA"/>
        </w:rPr>
        <w:t>me</w:t>
      </w:r>
      <w:r w:rsidRPr="009C665E">
        <w:rPr>
          <w:rFonts w:cs="Times New Roman"/>
          <w:lang w:val="fr-CA"/>
        </w:rPr>
        <w:t xml:space="preserve"> Bouvette n’a pas démontré qu’un juge des faits serait incapable de raisonnablement rendre un verdict de culpabilité pour négligence criminelle ayant causé la mort au vu de la preuve disponible (par. 133). Je relève que la Cour d’appel a expressément déclaré qu’elle acceptait </w:t>
      </w:r>
      <w:r w:rsidRPr="009C665E">
        <w:rPr>
          <w:rFonts w:cs="Times New Roman"/>
          <w:smallCaps/>
          <w:lang w:val="fr-CA"/>
        </w:rPr>
        <w:t>[traduction]</w:t>
      </w:r>
      <w:r w:rsidRPr="009C665E">
        <w:rPr>
          <w:rFonts w:cs="Times New Roman"/>
          <w:lang w:val="fr-CA"/>
        </w:rPr>
        <w:t xml:space="preserve"> « pour les besoins de la présente analyse qu’un jury ne pourrait raisonnablement conclure que l’une ou l’autre des blessures subies par Iyanna a été infligée par </w:t>
      </w:r>
      <w:r w:rsidRPr="009C665E">
        <w:rPr>
          <w:rFonts w:cs="Times New Roman"/>
          <w:lang w:val="fr-CA"/>
        </w:rPr>
        <w:lastRenderedPageBreak/>
        <w:t>l’appelante » (par. 133). Néanmoins, comme l’a statué la Cour d’appel, la preuve au dossier pourrait permettre à un jury raisonnable de conclure que le fait de laisser sciemment un enfant blessé sans surveillance dans une baignoire pendant même une courte période pourrait constituer de la négligence criminelle. Il ne s’agit pas d’un cas dans lequel la nouvelle preuve a un caractère « décisif au point » d’exclure la possibilité qu’un juge des faits ait pu raisonnablement rendre un verdict de culpabilité (</w:t>
      </w:r>
      <w:r w:rsidRPr="009C665E">
        <w:rPr>
          <w:rFonts w:cs="Times New Roman"/>
          <w:i/>
          <w:lang w:val="fr-CA"/>
        </w:rPr>
        <w:t>Hay</w:t>
      </w:r>
      <w:r w:rsidRPr="009C665E">
        <w:rPr>
          <w:rFonts w:cs="Times New Roman"/>
          <w:lang w:val="fr-CA"/>
        </w:rPr>
        <w:t>, par. 76).</w:t>
      </w:r>
    </w:p>
    <w:p w14:paraId="50F000DA" w14:textId="77777777" w:rsidR="009C665E" w:rsidRPr="009C665E" w:rsidRDefault="009C665E" w:rsidP="009C665E">
      <w:pPr>
        <w:pStyle w:val="ParaNoNdepar-AltN"/>
        <w:spacing w:before="0"/>
        <w:rPr>
          <w:rFonts w:cs="Times New Roman"/>
          <w:lang w:val="fr-CA"/>
        </w:rPr>
      </w:pPr>
      <w:r w:rsidRPr="009C665E">
        <w:rPr>
          <w:rFonts w:cs="Times New Roman"/>
          <w:lang w:val="fr-CA"/>
        </w:rPr>
        <w:t>Même sans le témoignage d’opinion du D</w:t>
      </w:r>
      <w:r w:rsidRPr="009C665E">
        <w:rPr>
          <w:rFonts w:cs="Times New Roman"/>
          <w:vertAlign w:val="superscript"/>
          <w:lang w:val="fr-CA"/>
        </w:rPr>
        <w:t>r</w:t>
      </w:r>
      <w:r w:rsidRPr="009C665E">
        <w:rPr>
          <w:rFonts w:cs="Times New Roman"/>
          <w:lang w:val="fr-CA"/>
        </w:rPr>
        <w:t> Matshes, la Couronne disposait d’éléments de preuve admissibles tendant à indiquer : (1) que l’enfant avait subi une blessure visible lorsqu’elle était tombée au sol alors qu’elle était sous la garde de M</w:t>
      </w:r>
      <w:r w:rsidRPr="009C665E">
        <w:rPr>
          <w:rFonts w:cs="Times New Roman"/>
          <w:vertAlign w:val="superscript"/>
          <w:lang w:val="fr-CA"/>
        </w:rPr>
        <w:t>me</w:t>
      </w:r>
      <w:r w:rsidRPr="009C665E">
        <w:rPr>
          <w:rFonts w:cs="Times New Roman"/>
          <w:lang w:val="fr-CA"/>
        </w:rPr>
        <w:t> Bouvette (d.a., vol. III, p. 169</w:t>
      </w:r>
      <w:r w:rsidRPr="009C665E">
        <w:rPr>
          <w:rFonts w:cs="Times New Roman"/>
          <w:lang w:val="fr-CA"/>
        </w:rPr>
        <w:noBreakHyphen/>
        <w:t>172 et 180; m.a., par. 25); (2) que plus tard le même jour, M</w:t>
      </w:r>
      <w:r w:rsidRPr="009C665E">
        <w:rPr>
          <w:rFonts w:cs="Times New Roman"/>
          <w:vertAlign w:val="superscript"/>
          <w:lang w:val="fr-CA"/>
        </w:rPr>
        <w:t>me</w:t>
      </w:r>
      <w:r w:rsidRPr="009C665E">
        <w:rPr>
          <w:rFonts w:cs="Times New Roman"/>
          <w:lang w:val="fr-CA"/>
        </w:rPr>
        <w:t> Bouvette avait laissé l’enfant seule dans la baignoire pendant une minute (d.a., vol. II, p. 209; voir aussi le vol. III, p. 30; m.a., par. 12); et (3) que, pendant qu’elle se trouvait dans la baignoire, l’enfant avait perdu conscience (d.a., vol. III, p. 175; m.a., par. 22) et était décédée par la suite. Examinée à la lumière de l’ensemble de la preuve disponible dans cette affaire particulière, la possibilité qu’un juge des faits puisse raisonnablement rendre un verdict de culpabilité ne peut être exclue.</w:t>
      </w:r>
    </w:p>
    <w:p w14:paraId="225D7E98" w14:textId="77777777" w:rsidR="009C665E" w:rsidRPr="009C665E" w:rsidRDefault="009C665E" w:rsidP="009C665E">
      <w:pPr>
        <w:pStyle w:val="ParaNoNdepar-AltN"/>
        <w:rPr>
          <w:rFonts w:cs="Times New Roman"/>
          <w:lang w:val="fr-CA"/>
        </w:rPr>
      </w:pPr>
      <w:r w:rsidRPr="009C665E">
        <w:rPr>
          <w:rFonts w:cs="Times New Roman"/>
          <w:lang w:val="fr-CA"/>
        </w:rPr>
        <w:t>Le dossier ne justifie donc pas, à lui seul, l’acquittement de M</w:t>
      </w:r>
      <w:r w:rsidRPr="009C665E">
        <w:rPr>
          <w:rFonts w:cs="Times New Roman"/>
          <w:vertAlign w:val="superscript"/>
          <w:lang w:val="fr-CA"/>
        </w:rPr>
        <w:t>me</w:t>
      </w:r>
      <w:r w:rsidRPr="009C665E">
        <w:rPr>
          <w:rFonts w:cs="Times New Roman"/>
          <w:lang w:val="fr-CA"/>
        </w:rPr>
        <w:t> Bouvette.</w:t>
      </w:r>
    </w:p>
    <w:p w14:paraId="77CE470F" w14:textId="77777777" w:rsidR="009C665E" w:rsidRPr="009C665E" w:rsidRDefault="009C665E" w:rsidP="009C665E">
      <w:pPr>
        <w:pStyle w:val="Title3LevelTitre3Niveau"/>
        <w:spacing w:before="0"/>
        <w:ind w:left="1152" w:hanging="576"/>
        <w:rPr>
          <w:rFonts w:cs="Times New Roman"/>
          <w:lang w:val="fr-CA"/>
        </w:rPr>
      </w:pPr>
      <w:r w:rsidRPr="009C665E">
        <w:rPr>
          <w:rFonts w:cs="Times New Roman"/>
          <w:u w:val="none"/>
          <w:lang w:val="fr-CA"/>
        </w:rPr>
        <w:t>(2)</w:t>
      </w:r>
      <w:r w:rsidRPr="009C665E">
        <w:rPr>
          <w:rFonts w:cs="Times New Roman"/>
          <w:u w:val="none"/>
          <w:lang w:val="fr-CA"/>
        </w:rPr>
        <w:tab/>
      </w:r>
      <w:r w:rsidRPr="009C665E">
        <w:rPr>
          <w:rFonts w:cs="Times New Roman"/>
          <w:lang w:val="fr-CA"/>
        </w:rPr>
        <w:t>Un acquittement immédiat par notre Cour est justifié, compte tenu de l’engagement de la Couronne</w:t>
      </w:r>
    </w:p>
    <w:p w14:paraId="3F891358" w14:textId="77777777" w:rsidR="009C665E" w:rsidRPr="009C665E" w:rsidRDefault="009C665E" w:rsidP="009C665E">
      <w:pPr>
        <w:pStyle w:val="ParaNoNdepar-AltN"/>
        <w:spacing w:before="0"/>
        <w:rPr>
          <w:rFonts w:cs="Times New Roman"/>
          <w:lang w:val="fr-CA"/>
        </w:rPr>
      </w:pPr>
      <w:r w:rsidRPr="009C665E">
        <w:rPr>
          <w:rFonts w:cs="Times New Roman"/>
          <w:lang w:val="fr-CA"/>
        </w:rPr>
        <w:lastRenderedPageBreak/>
        <w:t>Notre Cour doit néanmoins acquitter immédiatement M</w:t>
      </w:r>
      <w:r w:rsidRPr="009C665E">
        <w:rPr>
          <w:rFonts w:cs="Times New Roman"/>
          <w:vertAlign w:val="superscript"/>
          <w:lang w:val="fr-CA"/>
        </w:rPr>
        <w:t>me</w:t>
      </w:r>
      <w:r w:rsidRPr="009C665E">
        <w:rPr>
          <w:rFonts w:cs="Times New Roman"/>
          <w:lang w:val="fr-CA"/>
        </w:rPr>
        <w:t xml:space="preserve"> Bouvette en vertu de l’al. 686(2)a) </w:t>
      </w:r>
      <w:r w:rsidRPr="009C665E">
        <w:rPr>
          <w:rFonts w:cs="Times New Roman"/>
          <w:i/>
          <w:lang w:val="fr-CA"/>
        </w:rPr>
        <w:t>Cr. C.</w:t>
      </w:r>
      <w:r w:rsidRPr="009C665E">
        <w:rPr>
          <w:rFonts w:cs="Times New Roman"/>
          <w:lang w:val="fr-CA"/>
        </w:rPr>
        <w:t>, au motif que la Couronne réclame un acquittement et inviterait le tribunal de première instance à rendre un verdict d’acquittement lors d’un nouveau procès.</w:t>
      </w:r>
    </w:p>
    <w:p w14:paraId="08B7EB6B" w14:textId="77777777" w:rsidR="009C665E" w:rsidRPr="009C665E" w:rsidRDefault="009C665E" w:rsidP="009C665E">
      <w:pPr>
        <w:pStyle w:val="ParaNoNdepar-AltN"/>
        <w:spacing w:before="0"/>
        <w:rPr>
          <w:rFonts w:cs="Times New Roman"/>
          <w:lang w:val="fr-CA"/>
        </w:rPr>
      </w:pPr>
      <w:r w:rsidRPr="009C665E">
        <w:rPr>
          <w:rFonts w:cs="Times New Roman"/>
          <w:lang w:val="fr-CA"/>
        </w:rPr>
        <w:t>Tant devant nous que devant la Cour d’appel, la Couronne a réclamé sans équivoque l’acquittement de M</w:t>
      </w:r>
      <w:r w:rsidRPr="009C665E">
        <w:rPr>
          <w:rFonts w:cs="Times New Roman"/>
          <w:vertAlign w:val="superscript"/>
          <w:lang w:val="fr-CA"/>
        </w:rPr>
        <w:t>me</w:t>
      </w:r>
      <w:r w:rsidRPr="009C665E">
        <w:rPr>
          <w:rFonts w:cs="Times New Roman"/>
          <w:lang w:val="fr-CA"/>
        </w:rPr>
        <w:t xml:space="preserve"> Bouvette (motifs de la C.A., par. 126; m.i., par. 121). La position de la Couronne sur ce qui arriverait si un nouveau procès était ordonné n’était pas claire devant la Cour d’appel, hormis le fait qu’elle ne donnerait pas suite à ce procès (motifs de la C.A., par. 136; m.i., par. 113). Toutefois, comme je l’ai souligné, la Couronne a précisé explicitement dans ses observations devant notre Cour que, si un nouveau procès était ordonné, elle </w:t>
      </w:r>
      <w:r w:rsidRPr="009C665E">
        <w:rPr>
          <w:rFonts w:cs="Times New Roman"/>
          <w:smallCaps/>
          <w:lang w:val="fr-CA"/>
        </w:rPr>
        <w:t>[traduction]</w:t>
      </w:r>
      <w:r w:rsidRPr="009C665E">
        <w:rPr>
          <w:rFonts w:cs="Times New Roman"/>
          <w:lang w:val="fr-CA"/>
        </w:rPr>
        <w:t xml:space="preserve"> « ne présenterai[t] pas de preuve » et que le tribunal de première instance « rendrait un verdict d’acquittement » (transcription, p. 42). D’ailleurs, la Couronne a été explicite sur le fait qu’elle ne retirerait pas simplement l’accusation, une autre avenue qui s’offrait à elle et qui permettrait d’éviter la tenue d’un nouveau procès, mais qu’au lieu de cela, elle </w:t>
      </w:r>
      <w:r w:rsidRPr="009C665E">
        <w:rPr>
          <w:rFonts w:cs="Times New Roman"/>
          <w:smallCaps/>
          <w:lang w:val="fr-CA"/>
        </w:rPr>
        <w:t>[traduction]</w:t>
      </w:r>
      <w:r w:rsidRPr="009C665E">
        <w:rPr>
          <w:rFonts w:cs="Times New Roman"/>
          <w:lang w:val="fr-CA"/>
        </w:rPr>
        <w:t xml:space="preserve"> « appel[lerait] l’affaire devant le tribunal et [s]’arranger[ait] pour que la Couronne ne présente pas de preuve », comme elle l’avait fait dans d’autres affaires ayant abouti à un acquittement (p. 80</w:t>
      </w:r>
      <w:r w:rsidRPr="009C665E">
        <w:rPr>
          <w:rFonts w:cs="Times New Roman"/>
          <w:lang w:val="fr-CA"/>
        </w:rPr>
        <w:noBreakHyphen/>
        <w:t>81).</w:t>
      </w:r>
    </w:p>
    <w:p w14:paraId="12CF1030" w14:textId="77777777" w:rsidR="009C665E" w:rsidRPr="009C665E" w:rsidRDefault="009C665E" w:rsidP="009C665E">
      <w:pPr>
        <w:pStyle w:val="ParaNoNdepar-AltN"/>
        <w:spacing w:before="0"/>
        <w:rPr>
          <w:rFonts w:cs="Times New Roman"/>
          <w:lang w:val="fr-CA"/>
        </w:rPr>
      </w:pPr>
      <w:r w:rsidRPr="009C665E">
        <w:rPr>
          <w:rFonts w:cs="Times New Roman"/>
          <w:lang w:val="fr-CA"/>
        </w:rPr>
        <w:t>La position de la Couronne est donc claire : elle inviterait le tribunal de première instance à rendre un verdict d’acquittement. Si notre Cour ordonnait un nouveau procès et si la Couronne menait la poursuite de cette manière, M</w:t>
      </w:r>
      <w:r w:rsidRPr="009C665E">
        <w:rPr>
          <w:rFonts w:cs="Times New Roman"/>
          <w:vertAlign w:val="superscript"/>
          <w:lang w:val="fr-CA"/>
        </w:rPr>
        <w:t>me</w:t>
      </w:r>
      <w:r w:rsidRPr="009C665E">
        <w:rPr>
          <w:rFonts w:cs="Times New Roman"/>
          <w:lang w:val="fr-CA"/>
        </w:rPr>
        <w:t xml:space="preserve"> Bouvette </w:t>
      </w:r>
      <w:r w:rsidRPr="009C665E">
        <w:rPr>
          <w:rFonts w:cs="Times New Roman"/>
          <w:lang w:val="fr-CA"/>
        </w:rPr>
        <w:lastRenderedPageBreak/>
        <w:t xml:space="preserve">serait acquittée. Plutôt que de forcer les parties à passer par </w:t>
      </w:r>
      <w:proofErr w:type="gramStart"/>
      <w:r w:rsidRPr="009C665E">
        <w:rPr>
          <w:rFonts w:cs="Times New Roman"/>
          <w:lang w:val="fr-CA"/>
        </w:rPr>
        <w:t xml:space="preserve">des procédures </w:t>
      </w:r>
      <w:r w:rsidRPr="009C665E">
        <w:rPr>
          <w:rFonts w:cs="Times New Roman"/>
          <w:i/>
          <w:lang w:val="fr-CA"/>
        </w:rPr>
        <w:t>pro</w:t>
      </w:r>
      <w:proofErr w:type="gramEnd"/>
      <w:r w:rsidRPr="009C665E">
        <w:rPr>
          <w:rFonts w:cs="Times New Roman"/>
          <w:i/>
          <w:lang w:val="fr-CA"/>
        </w:rPr>
        <w:t xml:space="preserve"> forma</w:t>
      </w:r>
      <w:r w:rsidRPr="009C665E">
        <w:rPr>
          <w:rFonts w:cs="Times New Roman"/>
          <w:lang w:val="fr-CA"/>
        </w:rPr>
        <w:t xml:space="preserve"> pour parvenir à ce résultat, procédures qui entraîneraient davantage de retards et d’anxiété pour M</w:t>
      </w:r>
      <w:r w:rsidRPr="009C665E">
        <w:rPr>
          <w:rFonts w:cs="Times New Roman"/>
          <w:vertAlign w:val="superscript"/>
          <w:lang w:val="fr-CA"/>
        </w:rPr>
        <w:t>me</w:t>
      </w:r>
      <w:r w:rsidRPr="009C665E">
        <w:rPr>
          <w:rFonts w:cs="Times New Roman"/>
          <w:lang w:val="fr-CA"/>
        </w:rPr>
        <w:t xml:space="preserve"> Bouvette, ou que de faire obstacle à ce résultat en inscrivant un arrêt judiciaire des procédures, le résultat juste consiste à prononcer l’acquittement maintenant. Cela respecte également la position conjointe des parties par analogie avec l’approche préconisée par notre Cour dans l’arrêt </w:t>
      </w:r>
      <w:r w:rsidRPr="009C665E">
        <w:rPr>
          <w:rFonts w:cs="Times New Roman"/>
          <w:i/>
          <w:lang w:val="fr-CA"/>
        </w:rPr>
        <w:t>Anthony-Cook</w:t>
      </w:r>
      <w:r w:rsidRPr="009C665E">
        <w:rPr>
          <w:rFonts w:cs="Times New Roman"/>
          <w:lang w:val="fr-CA"/>
        </w:rPr>
        <w:t>.</w:t>
      </w:r>
    </w:p>
    <w:p w14:paraId="2CACAA46" w14:textId="77777777" w:rsidR="009C665E" w:rsidRPr="009C665E" w:rsidRDefault="009C665E" w:rsidP="009C665E">
      <w:pPr>
        <w:pStyle w:val="ParaNoNdepar-AltN"/>
        <w:spacing w:before="0"/>
        <w:rPr>
          <w:rFonts w:cs="Times New Roman"/>
          <w:lang w:val="fr-CA"/>
        </w:rPr>
      </w:pPr>
      <w:r w:rsidRPr="009C665E">
        <w:rPr>
          <w:rFonts w:cs="Times New Roman"/>
          <w:lang w:val="fr-CA"/>
        </w:rPr>
        <w:t>Par conséquent, M</w:t>
      </w:r>
      <w:r w:rsidRPr="009C665E">
        <w:rPr>
          <w:rFonts w:cs="Times New Roman"/>
          <w:vertAlign w:val="superscript"/>
          <w:lang w:val="fr-CA"/>
        </w:rPr>
        <w:t>me</w:t>
      </w:r>
      <w:r w:rsidRPr="009C665E">
        <w:rPr>
          <w:rFonts w:cs="Times New Roman"/>
          <w:lang w:val="fr-CA"/>
        </w:rPr>
        <w:t> Bouvette doit être acquittée par la Cour sans autre retard ni aucune possible détresse associée au renvoi de l’affaire au tribunal de première instance.</w:t>
      </w:r>
    </w:p>
    <w:p w14:paraId="770D190A" w14:textId="77777777" w:rsidR="009C665E" w:rsidRPr="009C665E" w:rsidRDefault="009C665E" w:rsidP="009C665E">
      <w:pPr>
        <w:pStyle w:val="Title3LevelTitre3Niveau"/>
        <w:spacing w:before="0"/>
        <w:ind w:left="1152" w:hanging="576"/>
        <w:rPr>
          <w:rFonts w:cs="Times New Roman"/>
          <w:lang w:val="fr-CA"/>
        </w:rPr>
      </w:pPr>
      <w:r w:rsidRPr="009C665E">
        <w:rPr>
          <w:rFonts w:cs="Times New Roman"/>
          <w:u w:val="none"/>
          <w:lang w:val="fr-CA"/>
        </w:rPr>
        <w:t>(3)</w:t>
      </w:r>
      <w:r w:rsidRPr="009C665E">
        <w:rPr>
          <w:rFonts w:cs="Times New Roman"/>
          <w:u w:val="none"/>
          <w:lang w:val="fr-CA"/>
        </w:rPr>
        <w:tab/>
      </w:r>
      <w:r w:rsidRPr="009C665E">
        <w:rPr>
          <w:rFonts w:cs="Times New Roman"/>
          <w:lang w:val="fr-CA"/>
        </w:rPr>
        <w:t>Un acquittement basé sur le pouvoir discrétionnaire de la cour d’appel n’a pas à être envisagé</w:t>
      </w:r>
    </w:p>
    <w:p w14:paraId="4C869E20" w14:textId="77777777" w:rsidR="009C665E" w:rsidRPr="009C665E" w:rsidRDefault="009C665E" w:rsidP="009C665E">
      <w:pPr>
        <w:pStyle w:val="ParaNoNdepar-AltN"/>
        <w:spacing w:before="0"/>
        <w:rPr>
          <w:rFonts w:cs="Times New Roman"/>
          <w:lang w:val="fr-CA"/>
        </w:rPr>
      </w:pPr>
      <w:r w:rsidRPr="009C665E">
        <w:rPr>
          <w:rFonts w:cs="Times New Roman"/>
          <w:lang w:val="fr-CA"/>
        </w:rPr>
        <w:t>Madame Bouvette et la Couronne soutiennent toutes deux que M</w:t>
      </w:r>
      <w:r w:rsidRPr="009C665E">
        <w:rPr>
          <w:rFonts w:cs="Times New Roman"/>
          <w:vertAlign w:val="superscript"/>
          <w:lang w:val="fr-CA"/>
        </w:rPr>
        <w:t>me</w:t>
      </w:r>
      <w:r w:rsidRPr="009C665E">
        <w:rPr>
          <w:rFonts w:cs="Times New Roman"/>
          <w:lang w:val="fr-CA"/>
        </w:rPr>
        <w:t> Bouvette devrait être acquittée sur une base discrétionnaire. Comme je l’ai dit précédemment, je suis très respectueusement d’avis de ne pas accepter l’invitation des parties d’approuver les larges cadres discrétionnaires en matière d’acquittement qu’elles proposent et de reporter à une autre occasion l’examen de la portée de tels acquittements.</w:t>
      </w:r>
    </w:p>
    <w:p w14:paraId="636D1773" w14:textId="77777777" w:rsidR="009C665E" w:rsidRPr="009C665E" w:rsidRDefault="009C665E" w:rsidP="009C665E">
      <w:pPr>
        <w:pStyle w:val="ParaNoNdepar-AltN"/>
        <w:spacing w:before="0"/>
        <w:rPr>
          <w:rFonts w:cs="Times New Roman"/>
          <w:lang w:val="fr-CA"/>
        </w:rPr>
      </w:pPr>
      <w:r w:rsidRPr="009C665E">
        <w:rPr>
          <w:rFonts w:cs="Times New Roman"/>
          <w:lang w:val="fr-CA"/>
        </w:rPr>
        <w:t>Le pourvoi formé par M</w:t>
      </w:r>
      <w:r w:rsidRPr="009C665E">
        <w:rPr>
          <w:rFonts w:cs="Times New Roman"/>
          <w:vertAlign w:val="superscript"/>
          <w:lang w:val="fr-CA"/>
        </w:rPr>
        <w:t>me</w:t>
      </w:r>
      <w:r w:rsidRPr="009C665E">
        <w:rPr>
          <w:rFonts w:cs="Times New Roman"/>
          <w:lang w:val="fr-CA"/>
        </w:rPr>
        <w:t xml:space="preserve"> Bouvette se distingue des cas d’acquittements discrétionnaires comme celui dont il était question dans l’affaire </w:t>
      </w:r>
      <w:r w:rsidRPr="009C665E">
        <w:rPr>
          <w:rFonts w:cs="Times New Roman"/>
          <w:i/>
          <w:lang w:val="fr-CA"/>
        </w:rPr>
        <w:t>Truscott</w:t>
      </w:r>
      <w:r w:rsidRPr="009C665E">
        <w:rPr>
          <w:rFonts w:cs="Times New Roman"/>
          <w:lang w:val="fr-CA"/>
        </w:rPr>
        <w:t xml:space="preserve">, dans laquelle un acquittement ne pouvait pas être prononcé pour l’un ou l’autre des deux motifs </w:t>
      </w:r>
      <w:r w:rsidRPr="009C665E">
        <w:rPr>
          <w:rFonts w:cs="Times New Roman"/>
          <w:lang w:val="fr-CA"/>
        </w:rPr>
        <w:lastRenderedPageBreak/>
        <w:t xml:space="preserve">susmentionnés (voir les par. 253 et 265). Il faut insister sur le fait que, dans </w:t>
      </w:r>
      <w:r w:rsidRPr="009C665E">
        <w:rPr>
          <w:rFonts w:cs="Times New Roman"/>
          <w:i/>
          <w:lang w:val="fr-CA"/>
        </w:rPr>
        <w:t>Truscott</w:t>
      </w:r>
      <w:r w:rsidRPr="009C665E">
        <w:rPr>
          <w:rFonts w:cs="Times New Roman"/>
          <w:lang w:val="fr-CA"/>
        </w:rPr>
        <w:t xml:space="preserve">, contrairement à ce qu’il en est dans le pourvoi débattu devant notre Cour, la Couronne niait qu’un acquittement constituait une réparation appropriée, et elle refusait explicitement de s’engager à l’égard de l’une ou l’autre des options qui se seraient offertes à elle si un nouveau procès avait été ordonné (par. 253 et 257). La Couronne affirmait qu’un nouveau procès était requis, malgré le fait qu’elle reconnaissait que mener ce procès serait impossible (par. 254). La preuve matérielle présentée au procès avait été détruite et les témoins clés étaient décédés ou incapables (par. 254). La nature de la question de fond dans </w:t>
      </w:r>
      <w:r w:rsidRPr="009C665E">
        <w:rPr>
          <w:rFonts w:cs="Times New Roman"/>
          <w:i/>
          <w:lang w:val="fr-CA"/>
        </w:rPr>
        <w:t>Truscott</w:t>
      </w:r>
      <w:r w:rsidRPr="009C665E">
        <w:rPr>
          <w:rFonts w:cs="Times New Roman"/>
          <w:lang w:val="fr-CA"/>
        </w:rPr>
        <w:t>, contrairement à la présente affaire, avait trait à l’identité; M. Truscott soutenait ne pas être la personne qui avait tué Lynne Harper près de 50 ans auparavant (par. 260).</w:t>
      </w:r>
    </w:p>
    <w:p w14:paraId="6B299135"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Les circonstances dans </w:t>
      </w:r>
      <w:r w:rsidRPr="009C665E">
        <w:rPr>
          <w:rFonts w:cs="Times New Roman"/>
          <w:i/>
          <w:lang w:val="fr-CA"/>
        </w:rPr>
        <w:t>Truscott</w:t>
      </w:r>
      <w:r w:rsidRPr="009C665E">
        <w:rPr>
          <w:rFonts w:cs="Times New Roman"/>
          <w:lang w:val="fr-CA"/>
        </w:rPr>
        <w:t>, que la Cour d’appel de l’Ontario a qualifiées de [</w:t>
      </w:r>
      <w:r w:rsidRPr="009C665E">
        <w:rPr>
          <w:rFonts w:cs="Times New Roman"/>
          <w:smallCaps/>
          <w:lang w:val="fr-CA"/>
        </w:rPr>
        <w:t>traduction</w:t>
      </w:r>
      <w:r w:rsidRPr="009C665E">
        <w:rPr>
          <w:rFonts w:cs="Times New Roman"/>
          <w:lang w:val="fr-CA"/>
        </w:rPr>
        <w:t>] « hautement inhabituelles » (par. 787), ne sont pas celles de M</w:t>
      </w:r>
      <w:r w:rsidRPr="009C665E">
        <w:rPr>
          <w:rFonts w:cs="Times New Roman"/>
          <w:vertAlign w:val="superscript"/>
          <w:lang w:val="fr-CA"/>
        </w:rPr>
        <w:t>me</w:t>
      </w:r>
      <w:r w:rsidRPr="009C665E">
        <w:rPr>
          <w:rFonts w:cs="Times New Roman"/>
          <w:lang w:val="fr-CA"/>
        </w:rPr>
        <w:t> Bouvette. Bien que M. Truscott et M</w:t>
      </w:r>
      <w:r w:rsidRPr="009C665E">
        <w:rPr>
          <w:rFonts w:cs="Times New Roman"/>
          <w:vertAlign w:val="superscript"/>
          <w:lang w:val="fr-CA"/>
        </w:rPr>
        <w:t>me</w:t>
      </w:r>
      <w:r w:rsidRPr="009C665E">
        <w:rPr>
          <w:rFonts w:cs="Times New Roman"/>
          <w:lang w:val="fr-CA"/>
        </w:rPr>
        <w:t> Bouvette aient tous deux purgé leur peine, ce qui, comme je l’ai dit, ne justifie pas en soi un acquittement, ces affaires sont par ailleurs très différentes. Dans le cas de M</w:t>
      </w:r>
      <w:r w:rsidRPr="009C665E">
        <w:rPr>
          <w:rFonts w:cs="Times New Roman"/>
          <w:vertAlign w:val="superscript"/>
          <w:lang w:val="fr-CA"/>
        </w:rPr>
        <w:t>me</w:t>
      </w:r>
      <w:r w:rsidRPr="009C665E">
        <w:rPr>
          <w:rFonts w:cs="Times New Roman"/>
          <w:lang w:val="fr-CA"/>
        </w:rPr>
        <w:t xml:space="preserve"> Bouvette, la Couronne a réclamé un acquittement tant devant nous que devant la Cour d’appel, et elle affirme qu’elle aurait appelé l’affaire devant le tribunal et n’aurait présenté aucune preuve si un nouveau procès avait été ordonné. Madame Bouvette a subi une erreur judiciaire ayant donné lieu à une déclaration de culpabilité mal fondée qui a maintenant été annulée, et nul ne conteste que la Cour d’appel </w:t>
      </w:r>
      <w:proofErr w:type="gramStart"/>
      <w:r w:rsidRPr="009C665E">
        <w:rPr>
          <w:rFonts w:cs="Times New Roman"/>
          <w:lang w:val="fr-CA"/>
        </w:rPr>
        <w:t>a</w:t>
      </w:r>
      <w:proofErr w:type="gramEnd"/>
      <w:r w:rsidRPr="009C665E">
        <w:rPr>
          <w:rFonts w:cs="Times New Roman"/>
          <w:lang w:val="fr-CA"/>
        </w:rPr>
        <w:t xml:space="preserve"> commis une erreur en refusant un acquittement. Madame Bouvette a expressément reconnu cette distinction d’avec l’affaire </w:t>
      </w:r>
      <w:r w:rsidRPr="009C665E">
        <w:rPr>
          <w:rFonts w:cs="Times New Roman"/>
          <w:i/>
          <w:lang w:val="fr-CA"/>
        </w:rPr>
        <w:t xml:space="preserve">Truscott </w:t>
      </w:r>
      <w:r w:rsidRPr="009C665E">
        <w:rPr>
          <w:rFonts w:cs="Times New Roman"/>
          <w:lang w:val="fr-CA"/>
        </w:rPr>
        <w:t xml:space="preserve">à </w:t>
      </w:r>
      <w:r w:rsidRPr="009C665E">
        <w:rPr>
          <w:rFonts w:cs="Times New Roman"/>
          <w:lang w:val="fr-CA"/>
        </w:rPr>
        <w:lastRenderedPageBreak/>
        <w:t xml:space="preserve">l’audience (transcription, p. 15). Il faut aussi dire que les circonstances dans </w:t>
      </w:r>
      <w:r w:rsidRPr="009C665E">
        <w:rPr>
          <w:rFonts w:cs="Times New Roman"/>
          <w:i/>
          <w:lang w:val="fr-CA"/>
        </w:rPr>
        <w:t>Truscott</w:t>
      </w:r>
      <w:r w:rsidRPr="009C665E">
        <w:rPr>
          <w:rFonts w:cs="Times New Roman"/>
          <w:lang w:val="fr-CA"/>
        </w:rPr>
        <w:t xml:space="preserve"> qui rendaient un nouveau procès théoriquement impossible ne sont tout simplement pas présentes en l’espèce, et que la nature de l’erreur judiciaire justifiant l’annulation des déclarations de culpabilité dans chaque affaire est entièrement différente. Alors qu’il n’était pas possible dans </w:t>
      </w:r>
      <w:r w:rsidRPr="009C665E">
        <w:rPr>
          <w:rFonts w:cs="Times New Roman"/>
          <w:i/>
          <w:lang w:val="fr-CA"/>
        </w:rPr>
        <w:t>Truscott</w:t>
      </w:r>
      <w:r w:rsidRPr="009C665E">
        <w:rPr>
          <w:rFonts w:cs="Times New Roman"/>
          <w:lang w:val="fr-CA"/>
        </w:rPr>
        <w:t>, un nouveau procès serait possible en l’espèce, n’eût été la position de la Couronne. Tout compte fait, l’affaire de M</w:t>
      </w:r>
      <w:r w:rsidRPr="009C665E">
        <w:rPr>
          <w:rFonts w:cs="Times New Roman"/>
          <w:vertAlign w:val="superscript"/>
          <w:lang w:val="fr-CA"/>
        </w:rPr>
        <w:t>me</w:t>
      </w:r>
      <w:r w:rsidRPr="009C665E">
        <w:rPr>
          <w:rFonts w:cs="Times New Roman"/>
          <w:lang w:val="fr-CA"/>
        </w:rPr>
        <w:t xml:space="preserve"> Bouvette est très différente de l’affaire </w:t>
      </w:r>
      <w:r w:rsidRPr="009C665E">
        <w:rPr>
          <w:rFonts w:cs="Times New Roman"/>
          <w:i/>
          <w:lang w:val="fr-CA"/>
        </w:rPr>
        <w:t>Truscott</w:t>
      </w:r>
      <w:r w:rsidRPr="009C665E">
        <w:rPr>
          <w:rFonts w:cs="Times New Roman"/>
          <w:lang w:val="fr-CA"/>
        </w:rPr>
        <w:t>.</w:t>
      </w:r>
    </w:p>
    <w:p w14:paraId="34B496D1"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Il ne s’agit donc pas d’un pourvoi où nous devons examiner l’opportunité du cadre d’analyse établi dans l’arrêt </w:t>
      </w:r>
      <w:r w:rsidRPr="009C665E">
        <w:rPr>
          <w:rFonts w:cs="Times New Roman"/>
          <w:i/>
          <w:lang w:val="fr-CA"/>
        </w:rPr>
        <w:t>Truscott</w:t>
      </w:r>
      <w:r w:rsidRPr="009C665E">
        <w:rPr>
          <w:rFonts w:cs="Times New Roman"/>
          <w:lang w:val="fr-CA"/>
        </w:rPr>
        <w:t xml:space="preserve"> ou toute autre solution de rechange à celui</w:t>
      </w:r>
      <w:r w:rsidRPr="009C665E">
        <w:rPr>
          <w:rFonts w:cs="Times New Roman"/>
          <w:lang w:val="fr-CA"/>
        </w:rPr>
        <w:noBreakHyphen/>
        <w:t xml:space="preserve">ci. Il y a lieu de reporter à une autre occasion l’examen des principes régissant la possibilité et l’opportunité de prononcer des acquittements discrétionnaires; ces </w:t>
      </w:r>
      <w:proofErr w:type="gramStart"/>
      <w:r w:rsidRPr="009C665E">
        <w:rPr>
          <w:rFonts w:cs="Times New Roman"/>
          <w:lang w:val="fr-CA"/>
        </w:rPr>
        <w:t>principes</w:t>
      </w:r>
      <w:proofErr w:type="gramEnd"/>
      <w:r w:rsidRPr="009C665E">
        <w:rPr>
          <w:rFonts w:cs="Times New Roman"/>
          <w:lang w:val="fr-CA"/>
        </w:rPr>
        <w:t xml:space="preserve"> ne sont pas pertinents pour la cause de M</w:t>
      </w:r>
      <w:r w:rsidRPr="009C665E">
        <w:rPr>
          <w:rFonts w:cs="Times New Roman"/>
          <w:vertAlign w:val="superscript"/>
          <w:lang w:val="fr-CA"/>
        </w:rPr>
        <w:t>me</w:t>
      </w:r>
      <w:r w:rsidRPr="009C665E">
        <w:rPr>
          <w:rFonts w:cs="Times New Roman"/>
          <w:lang w:val="fr-CA"/>
        </w:rPr>
        <w:t> Bouvette parce qu’elle sera acquittée de toute façon. Vu la position de la Couronne selon laquelle, si un nouveau procès était ordonné, elle interpellerait M</w:t>
      </w:r>
      <w:r w:rsidRPr="009C665E">
        <w:rPr>
          <w:rFonts w:cs="Times New Roman"/>
          <w:vertAlign w:val="superscript"/>
          <w:lang w:val="fr-CA"/>
        </w:rPr>
        <w:t>me</w:t>
      </w:r>
      <w:r w:rsidRPr="009C665E">
        <w:rPr>
          <w:rFonts w:cs="Times New Roman"/>
          <w:lang w:val="fr-CA"/>
        </w:rPr>
        <w:t> Bouvette et ne présenterait aucune preuve contre elle, le tribunal de première instance lors du nouveau procès n’aura pas d’autre choix que d’ordonner un acquittement dans les circonstances. Notre Cour doit rendre cette ordonnance maintenant dans l’intérêt de la justice.</w:t>
      </w:r>
    </w:p>
    <w:p w14:paraId="0F0A8D72"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En l’espèce, et dans les instances similaires, une cour d’appel peut et devrait exercer le pouvoir que lui confère la loi de prononcer un acquittement </w:t>
      </w:r>
      <w:proofErr w:type="gramStart"/>
      <w:r w:rsidRPr="009C665E">
        <w:rPr>
          <w:rFonts w:cs="Times New Roman"/>
          <w:lang w:val="fr-CA"/>
        </w:rPr>
        <w:t>immédiatement</w:t>
      </w:r>
      <w:proofErr w:type="gramEnd"/>
      <w:r w:rsidRPr="009C665E">
        <w:rPr>
          <w:rFonts w:cs="Times New Roman"/>
          <w:lang w:val="fr-CA"/>
        </w:rPr>
        <w:t xml:space="preserve"> étant donné que le temps, les dépenses et les incertitudes associés à un procès hypothétique sur appel ne sont pas nécessaires.</w:t>
      </w:r>
    </w:p>
    <w:p w14:paraId="22E106C3" w14:textId="77777777" w:rsidR="009C665E" w:rsidRPr="009C665E" w:rsidRDefault="009C665E" w:rsidP="009C665E">
      <w:pPr>
        <w:pStyle w:val="ParaNoNdepar-AltN"/>
        <w:spacing w:before="0"/>
        <w:rPr>
          <w:rFonts w:cs="Times New Roman"/>
          <w:lang w:val="fr-CA"/>
        </w:rPr>
      </w:pPr>
      <w:r w:rsidRPr="009C665E">
        <w:rPr>
          <w:rFonts w:cs="Times New Roman"/>
          <w:lang w:val="fr-CA"/>
        </w:rPr>
        <w:lastRenderedPageBreak/>
        <w:t>Je n’exprime donc aucune opinion sur la question de savoir si M</w:t>
      </w:r>
      <w:r w:rsidRPr="009C665E">
        <w:rPr>
          <w:rFonts w:cs="Times New Roman"/>
          <w:vertAlign w:val="superscript"/>
          <w:lang w:val="fr-CA"/>
        </w:rPr>
        <w:t>me</w:t>
      </w:r>
      <w:r w:rsidRPr="009C665E">
        <w:rPr>
          <w:rFonts w:cs="Times New Roman"/>
          <w:lang w:val="fr-CA"/>
        </w:rPr>
        <w:t> Bouvette aurait droit à un acquittement sur une base discrétionnaire distincte.</w:t>
      </w:r>
    </w:p>
    <w:p w14:paraId="2DCD3118" w14:textId="77777777" w:rsidR="009C665E" w:rsidRPr="009C665E" w:rsidRDefault="009C665E" w:rsidP="009C665E">
      <w:pPr>
        <w:pStyle w:val="Title1LevelTitre1Niveau-AltL"/>
        <w:numPr>
          <w:ilvl w:val="0"/>
          <w:numId w:val="7"/>
        </w:numPr>
        <w:spacing w:before="0"/>
        <w:ind w:left="576"/>
        <w:rPr>
          <w:rFonts w:cs="Times New Roman"/>
          <w:lang w:val="fr-CA"/>
        </w:rPr>
      </w:pPr>
      <w:r w:rsidRPr="009C665E">
        <w:rPr>
          <w:rFonts w:cs="Times New Roman"/>
          <w:lang w:val="fr-CA"/>
        </w:rPr>
        <w:t>Dispositif</w:t>
      </w:r>
    </w:p>
    <w:p w14:paraId="33E13FC9" w14:textId="139B8420" w:rsidR="00990E37" w:rsidRDefault="009C665E" w:rsidP="009C665E">
      <w:pPr>
        <w:pStyle w:val="ParaNoNdepar-AltN"/>
        <w:spacing w:before="0"/>
        <w:rPr>
          <w:rFonts w:cs="Times New Roman"/>
          <w:lang w:val="fr-CA"/>
        </w:rPr>
      </w:pPr>
      <w:r w:rsidRPr="009C665E">
        <w:rPr>
          <w:rFonts w:cs="Times New Roman"/>
          <w:lang w:val="fr-CA"/>
        </w:rPr>
        <w:t>Je suis d’avis d’accueillir le pourvoi, d’annuler l’arrêt judiciaire des procédures et de prononcer un acquittement.</w:t>
      </w:r>
      <w:r w:rsidR="00990E37">
        <w:rPr>
          <w:rFonts w:cs="Times New Roman"/>
          <w:lang w:val="fr-CA"/>
        </w:rPr>
        <w:br w:type="page"/>
      </w:r>
    </w:p>
    <w:p w14:paraId="5028805D" w14:textId="77777777" w:rsidR="009C665E" w:rsidRPr="009C665E" w:rsidRDefault="009C665E" w:rsidP="00990E37">
      <w:pPr>
        <w:pStyle w:val="ParaNoNdepar-AltN"/>
        <w:numPr>
          <w:ilvl w:val="0"/>
          <w:numId w:val="0"/>
        </w:numPr>
        <w:spacing w:before="0"/>
        <w:rPr>
          <w:rFonts w:cs="Times New Roman"/>
          <w:lang w:val="fr-CA"/>
        </w:rPr>
      </w:pPr>
    </w:p>
    <w:p w14:paraId="519EE68A" w14:textId="77777777" w:rsidR="009C665E" w:rsidRPr="009C665E" w:rsidRDefault="009C665E" w:rsidP="009C665E">
      <w:pPr>
        <w:tabs>
          <w:tab w:val="left" w:pos="1134"/>
        </w:tabs>
        <w:spacing w:after="480" w:line="480" w:lineRule="auto"/>
        <w:ind w:firstLine="12"/>
        <w:jc w:val="both"/>
        <w:rPr>
          <w:lang w:val="fr-CA"/>
        </w:rPr>
      </w:pPr>
      <w:r w:rsidRPr="009C665E">
        <w:tab/>
      </w:r>
      <w:r w:rsidRPr="009C665E">
        <w:rPr>
          <w:lang w:val="fr-CA"/>
        </w:rPr>
        <w:t>Version française des motifs des juges Karakatsanis, Martin, O’Bonsawin et Moreau rendus par</w:t>
      </w:r>
    </w:p>
    <w:p w14:paraId="73522F5F" w14:textId="77777777" w:rsidR="009C665E" w:rsidRPr="009C665E" w:rsidRDefault="009C665E" w:rsidP="009C665E">
      <w:pPr>
        <w:pStyle w:val="JudgeJuge"/>
        <w:spacing w:before="240"/>
        <w:rPr>
          <w:lang w:val="fr-CA"/>
        </w:rPr>
      </w:pPr>
      <w:r w:rsidRPr="009C665E">
        <w:rPr>
          <w:lang w:val="fr-CA"/>
        </w:rPr>
        <w:tab/>
        <w:t xml:space="preserve">La juge Martin — </w:t>
      </w:r>
    </w:p>
    <w:p w14:paraId="32F04201" w14:textId="77777777" w:rsidR="009C665E" w:rsidRPr="009C665E" w:rsidRDefault="009C665E" w:rsidP="00824D79">
      <w:pPr>
        <w:pStyle w:val="Title1LevelTitre1Niveau-AltL"/>
        <w:numPr>
          <w:ilvl w:val="0"/>
          <w:numId w:val="30"/>
        </w:numPr>
        <w:tabs>
          <w:tab w:val="clear" w:pos="3553"/>
          <w:tab w:val="num" w:pos="567"/>
          <w:tab w:val="left" w:pos="2977"/>
        </w:tabs>
        <w:spacing w:before="0"/>
        <w:ind w:hanging="3553"/>
        <w:rPr>
          <w:rFonts w:cs="Times New Roman"/>
          <w:lang w:val="fr-CA"/>
        </w:rPr>
      </w:pPr>
      <w:r w:rsidRPr="009C665E">
        <w:rPr>
          <w:rFonts w:cs="Times New Roman"/>
          <w:lang w:val="fr-CA"/>
        </w:rPr>
        <w:t>Aperçu</w:t>
      </w:r>
    </w:p>
    <w:p w14:paraId="4620E8D2" w14:textId="77777777" w:rsidR="009C665E" w:rsidRPr="009C665E" w:rsidRDefault="009C665E" w:rsidP="009C665E">
      <w:pPr>
        <w:pStyle w:val="ParaNoNdepar-AltN"/>
        <w:tabs>
          <w:tab w:val="clear" w:pos="1166"/>
          <w:tab w:val="num" w:pos="1152"/>
        </w:tabs>
        <w:rPr>
          <w:rFonts w:cs="Times New Roman"/>
          <w:lang w:val="fr-CA"/>
        </w:rPr>
      </w:pPr>
      <w:r w:rsidRPr="009C665E">
        <w:rPr>
          <w:rFonts w:cs="Times New Roman"/>
          <w:lang w:val="fr-CA"/>
        </w:rPr>
        <w:t>Le présent pourvoi concerne le pouvoir discrétionnaire des cours d’appel de prononcer un acquittement lorsqu’elles sont saisies de l’appel d’une déclaration de culpabilité dans le cadre duquel l’appelant a démontré qu’une erreur judiciaire a été commise. Ce pourvoi nous invite à préciser dans quels cas une cour d’appel peut inscrire un acquittement si le dossier révèle qu’un jury, agissant de manière judiciaire, pourrait raisonnablement rendre un verdict de culpabilité, mais que l’intérêt de la justice peut justifier un acquittement.</w:t>
      </w:r>
    </w:p>
    <w:p w14:paraId="77908C90"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De 2011 à 2013, M</w:t>
      </w:r>
      <w:r w:rsidRPr="009C665E">
        <w:rPr>
          <w:rFonts w:cs="Times New Roman"/>
          <w:vertAlign w:val="superscript"/>
          <w:lang w:val="fr-CA"/>
        </w:rPr>
        <w:t>me</w:t>
      </w:r>
      <w:r w:rsidRPr="009C665E">
        <w:rPr>
          <w:rFonts w:cs="Times New Roman"/>
          <w:lang w:val="fr-CA"/>
        </w:rPr>
        <w:t> Bouvette a été poursuivie relativement au décès d’une enfant de 19 mois dont elle avait la garde. Faisant face à une accusation de meurtre au second degré et n’étant pas au courant d’éléments de preuve cruciaux qui remettaient en question la fiabilité du témoignage d’expert qui lui était défavorable, M</w:t>
      </w:r>
      <w:r w:rsidRPr="009C665E">
        <w:rPr>
          <w:rFonts w:cs="Times New Roman"/>
          <w:vertAlign w:val="superscript"/>
          <w:lang w:val="fr-CA"/>
        </w:rPr>
        <w:t>me</w:t>
      </w:r>
      <w:r w:rsidRPr="009C665E">
        <w:rPr>
          <w:rFonts w:cs="Times New Roman"/>
          <w:lang w:val="fr-CA"/>
        </w:rPr>
        <w:t> Bouvette a accepté de plaider coupable à l’accusation de négligence criminelle ayant causé la mort. Elle a purgé une peine d’emprisonnement de 12 mois.</w:t>
      </w:r>
    </w:p>
    <w:p w14:paraId="7F6D6D11"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Des années plus tard, des informations ont fait surface, révélant que la Couronne avait omis de communiquer des éléments de preuve importants qu’elle avait en sa possession avant que M</w:t>
      </w:r>
      <w:r w:rsidRPr="009C665E">
        <w:rPr>
          <w:rFonts w:cs="Times New Roman"/>
          <w:vertAlign w:val="superscript"/>
          <w:lang w:val="fr-CA"/>
        </w:rPr>
        <w:t>me</w:t>
      </w:r>
      <w:r w:rsidRPr="009C665E">
        <w:rPr>
          <w:rFonts w:cs="Times New Roman"/>
          <w:lang w:val="fr-CA"/>
        </w:rPr>
        <w:t> Bouvette ne plaide coupable. Une grande partie de ces renseignements concernait la fiabilité du rapport du médecin légiste sur lequel reposaient l’accusation initiale et le plaidoyer. Une procureure spéciale a été nommée pour enquêter en profondeur sur les circonstances de la déclaration de culpabilité de M</w:t>
      </w:r>
      <w:r w:rsidRPr="009C665E">
        <w:rPr>
          <w:rFonts w:cs="Times New Roman"/>
          <w:vertAlign w:val="superscript"/>
          <w:lang w:val="fr-CA"/>
        </w:rPr>
        <w:t>me</w:t>
      </w:r>
      <w:r w:rsidRPr="009C665E">
        <w:rPr>
          <w:rFonts w:cs="Times New Roman"/>
          <w:lang w:val="fr-CA"/>
        </w:rPr>
        <w:t> Bouvette. À la suite de cette enquête, la Cour d’appel de la Colombie</w:t>
      </w:r>
      <w:r w:rsidRPr="009C665E">
        <w:rPr>
          <w:rFonts w:cs="Times New Roman"/>
          <w:lang w:val="fr-CA"/>
        </w:rPr>
        <w:noBreakHyphen/>
        <w:t>Britannique a été appelée à se prononcer sur le bien</w:t>
      </w:r>
      <w:r w:rsidRPr="009C665E">
        <w:rPr>
          <w:rFonts w:cs="Times New Roman"/>
          <w:lang w:val="fr-CA"/>
        </w:rPr>
        <w:noBreakHyphen/>
        <w:t>fondé et la solidité de la déclaration de culpabilité de M</w:t>
      </w:r>
      <w:r w:rsidRPr="009C665E">
        <w:rPr>
          <w:rFonts w:cs="Times New Roman"/>
          <w:vertAlign w:val="superscript"/>
          <w:lang w:val="fr-CA"/>
        </w:rPr>
        <w:t>me</w:t>
      </w:r>
      <w:r w:rsidRPr="009C665E">
        <w:rPr>
          <w:rFonts w:cs="Times New Roman"/>
          <w:lang w:val="fr-CA"/>
        </w:rPr>
        <w:t> Bouvette. La Couronne a fait d’importantes concessions devant la Cour d’appel à la lumière de l’examen mené par la procureure spéciale : elle a admis que le manquement à ses obligations de communication avait entraîné une erreur judiciaire, que, compte tenu de la preuve, aucun jury raisonnable, dûment instruit, ne pourrait déclarer M</w:t>
      </w:r>
      <w:r w:rsidRPr="009C665E">
        <w:rPr>
          <w:rFonts w:cs="Times New Roman"/>
          <w:vertAlign w:val="superscript"/>
          <w:lang w:val="fr-CA"/>
        </w:rPr>
        <w:t>me</w:t>
      </w:r>
      <w:r w:rsidRPr="009C665E">
        <w:rPr>
          <w:rFonts w:cs="Times New Roman"/>
          <w:lang w:val="fr-CA"/>
        </w:rPr>
        <w:t> Bouvette coupable lors d’un hypothétique nouveau procès et, enfin, que M</w:t>
      </w:r>
      <w:r w:rsidRPr="009C665E">
        <w:rPr>
          <w:rFonts w:cs="Times New Roman"/>
          <w:vertAlign w:val="superscript"/>
          <w:lang w:val="fr-CA"/>
        </w:rPr>
        <w:t>me</w:t>
      </w:r>
      <w:r w:rsidRPr="009C665E">
        <w:rPr>
          <w:rFonts w:cs="Times New Roman"/>
          <w:lang w:val="fr-CA"/>
        </w:rPr>
        <w:t> Bouvette méritait un acquittement.</w:t>
      </w:r>
    </w:p>
    <w:p w14:paraId="23FE0FA7"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La Cour d’appel a conclu que, en raison du défaut de la Couronne de communiquer à la défense cette preuve qui revêtait </w:t>
      </w:r>
      <w:r w:rsidRPr="009C665E">
        <w:rPr>
          <w:rFonts w:cs="Times New Roman"/>
          <w:smallCaps/>
          <w:lang w:val="fr-CA"/>
        </w:rPr>
        <w:t>[traduction]</w:t>
      </w:r>
      <w:r w:rsidRPr="009C665E">
        <w:rPr>
          <w:rFonts w:cs="Times New Roman"/>
          <w:lang w:val="fr-CA"/>
        </w:rPr>
        <w:t xml:space="preserve"> « une importance considérable » (2023 BCCA 152, 424 C.C.C. (3d) 513, par. 99) et de l’effet que cette omission avait pu avoir sur la décision de M</w:t>
      </w:r>
      <w:r w:rsidRPr="009C665E">
        <w:rPr>
          <w:rFonts w:cs="Times New Roman"/>
          <w:vertAlign w:val="superscript"/>
          <w:lang w:val="fr-CA"/>
        </w:rPr>
        <w:t>me</w:t>
      </w:r>
      <w:r w:rsidRPr="009C665E">
        <w:rPr>
          <w:rFonts w:cs="Times New Roman"/>
          <w:lang w:val="fr-CA"/>
        </w:rPr>
        <w:t> Bouvette de plaider coupable, la déclaration de culpabilité de cette dernière était le résultat d’une erreur judiciaire et devait être annulée. La cour a toutefois rejeté la concession de la Couronne selon laquelle il était justifié de prononcer un acquittement et elle a plutôt inscrit l’arrêt des procédures.</w:t>
      </w:r>
    </w:p>
    <w:p w14:paraId="64AB317D"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Madame Bouvette se pourvoit devant notre Cour afin d’obtenir un verdict d’acquittement ainsi que des éclaircissements sur les situations dans lesquelles une cour d’appel peut inscrire un acquittement lorsqu’une déclaration de culpabilité est annulée par la suite d’une erreur judiciaire. La Couronne a admis que le temps était venu d’examiner cette question, qui est d’importance pour le public.</w:t>
      </w:r>
    </w:p>
    <w:p w14:paraId="16966E9D"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Je suis d’accord avec mon collègue pour dire que l’acquittement est la réparation appropriée : l’al. 686(2)a) du </w:t>
      </w:r>
      <w:r w:rsidRPr="009C665E">
        <w:rPr>
          <w:rFonts w:cs="Times New Roman"/>
          <w:i/>
          <w:lang w:val="fr-CA"/>
        </w:rPr>
        <w:t>Code criminel</w:t>
      </w:r>
      <w:r w:rsidRPr="009C665E">
        <w:rPr>
          <w:rFonts w:cs="Times New Roman"/>
          <w:lang w:val="fr-CA"/>
        </w:rPr>
        <w:t>, L.R.C. 1985, c. C</w:t>
      </w:r>
      <w:r w:rsidRPr="009C665E">
        <w:rPr>
          <w:rFonts w:cs="Times New Roman"/>
          <w:lang w:val="fr-CA"/>
        </w:rPr>
        <w:noBreakHyphen/>
        <w:t>46 (« </w:t>
      </w:r>
      <w:r w:rsidRPr="009C665E">
        <w:rPr>
          <w:rFonts w:cs="Times New Roman"/>
          <w:i/>
          <w:lang w:val="fr-CA"/>
        </w:rPr>
        <w:t>Code</w:t>
      </w:r>
      <w:r w:rsidRPr="009C665E">
        <w:rPr>
          <w:rFonts w:cs="Times New Roman"/>
          <w:lang w:val="fr-CA"/>
        </w:rPr>
        <w:t> ») permet au tribunal de prononcer un acquittement pour remédier à une erreur judiciaire. En outre, un acquittement peut être justifié pour des motifs autres que le fait qu’une déclaration de culpabilité serait déraisonnable. Je fais également miens les motifs qu’expose mon collègue pour rejeter l’argument avancé par le procureur général de l’Ontario (« PGO ») selon lequel, face à une erreur judiciaire, les cours d’appel devraient seulement ordonner la tenue d’un nouveau procès et laisser le soin aux procureurs de la Couronne de réclamer d’autres mesures de réparation.</w:t>
      </w:r>
    </w:p>
    <w:p w14:paraId="241E4D96"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Je tiens toutefois à rédiger des motifs distincts pour aborder certains points litigieux soulevés dans la présente affaire et pour traiter des dispositions et des principes qui fondent et encadrent l’exercice par les cours d’appel de leur pouvoir discrétionnaire, conféré par la loi, de prononcer un acquittement en cas d’erreur judiciaire avérée. Comme l’indiquent mes motifs, l’acquittement qui est justifié en l’espèce repose sur un fondement juridique différent de celui retenu par mon collègue.</w:t>
      </w:r>
    </w:p>
    <w:p w14:paraId="39933115"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 xml:space="preserve">Les deux parties et tous les intervenants — le PGO, Innocence Canada, l’Association canadienne des libertés civiles et l’Independent Criminal Defence Advocacy Society — implorent la Cour d’apporter clarté et cohérence à ce domaine du droit négligé, </w:t>
      </w:r>
      <w:proofErr w:type="gramStart"/>
      <w:r w:rsidRPr="009C665E">
        <w:rPr>
          <w:rFonts w:cs="Times New Roman"/>
          <w:lang w:val="fr-CA"/>
        </w:rPr>
        <w:t>mais pourtant</w:t>
      </w:r>
      <w:proofErr w:type="gramEnd"/>
      <w:r w:rsidRPr="009C665E">
        <w:rPr>
          <w:rFonts w:cs="Times New Roman"/>
          <w:lang w:val="fr-CA"/>
        </w:rPr>
        <w:t xml:space="preserve"> fondamentalement important. Ils réclament un cadre d’analyse clair que les cours d’appel pourront appliquer lorsqu’elles seront appelées à déterminer la réparation appropriée en cas d’erreur judiciaire. Ils ont présenté, dans leurs observations orales et écrites, des arguments sur les considérations qui devraient guider l’exercice de ce pouvoir discrétionnaire et en ont fait valoir les mérites et les inconvénients respectifs.</w:t>
      </w:r>
    </w:p>
    <w:p w14:paraId="5ECED84E"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De nombreuses raisons justifient que notre Cour fournisse les orientations que l’ensemble des parties et des intervenants réclament en l’espèce. En effet, elle a « le devoir [. . .] de formuler à l’intention des tribunaux inférieurs des indications et des énoncés du droit clairs et faisant autorité » (</w:t>
      </w:r>
      <w:r w:rsidRPr="009C665E">
        <w:rPr>
          <w:rFonts w:cs="Times New Roman"/>
          <w:i/>
          <w:lang w:val="fr-CA"/>
        </w:rPr>
        <w:t>R. c. T.W.W.</w:t>
      </w:r>
      <w:r w:rsidRPr="009C665E">
        <w:rPr>
          <w:rFonts w:cs="Times New Roman"/>
          <w:lang w:val="fr-CA"/>
        </w:rPr>
        <w:t xml:space="preserve">, 2024 CSC 19, par. 79). La Cour suprême du Canada doit, </w:t>
      </w:r>
      <w:proofErr w:type="gramStart"/>
      <w:r w:rsidRPr="009C665E">
        <w:rPr>
          <w:rFonts w:cs="Times New Roman"/>
          <w:lang w:val="fr-CA"/>
        </w:rPr>
        <w:t>de par</w:t>
      </w:r>
      <w:proofErr w:type="gramEnd"/>
      <w:r w:rsidRPr="009C665E">
        <w:rPr>
          <w:rFonts w:cs="Times New Roman"/>
          <w:lang w:val="fr-CA"/>
        </w:rPr>
        <w:t xml:space="preserve"> sa conception et son fonctionnement, servir </w:t>
      </w:r>
      <w:r w:rsidRPr="009C665E">
        <w:rPr>
          <w:rFonts w:cs="Times New Roman"/>
          <w:smallCaps/>
          <w:lang w:val="fr-CA"/>
        </w:rPr>
        <w:t>[traduction]</w:t>
      </w:r>
      <w:r w:rsidRPr="009C665E">
        <w:rPr>
          <w:rFonts w:cs="Times New Roman"/>
          <w:lang w:val="fr-CA"/>
        </w:rPr>
        <w:t xml:space="preserve"> « l’intérêt de la société en fournissant une solution péremptoire aux questions de droit qui intéressent l’ensemble de la nation » (voir P. H. </w:t>
      </w:r>
      <w:r w:rsidRPr="009C665E">
        <w:rPr>
          <w:rFonts w:cs="Times New Roman"/>
          <w:lang w:val="fr-CA" w:bidi="en-US"/>
        </w:rPr>
        <w:t xml:space="preserve">Russell, « The Jurisdiction of the Supreme Court of Canada : Present Policies and a Programme for Reform » (1968), 6 </w:t>
      </w:r>
      <w:r w:rsidRPr="009C665E">
        <w:rPr>
          <w:rFonts w:cs="Times New Roman"/>
          <w:i/>
          <w:iCs/>
          <w:lang w:val="fr-CA" w:bidi="en-US"/>
        </w:rPr>
        <w:t>Osgoode Hall L.J.</w:t>
      </w:r>
      <w:r w:rsidRPr="009C665E">
        <w:rPr>
          <w:rFonts w:cs="Times New Roman"/>
          <w:lang w:val="fr-CA" w:bidi="en-US"/>
        </w:rPr>
        <w:t xml:space="preserve"> 1, </w:t>
      </w:r>
      <w:r w:rsidRPr="009C665E">
        <w:rPr>
          <w:rFonts w:cs="Times New Roman"/>
          <w:lang w:val="fr-CA"/>
        </w:rPr>
        <w:t>p. 28</w:t>
      </w:r>
      <w:r w:rsidRPr="009C665E">
        <w:rPr>
          <w:rFonts w:cs="Times New Roman"/>
          <w:lang w:val="fr-CA"/>
        </w:rPr>
        <w:noBreakHyphen/>
        <w:t xml:space="preserve">29). À défaut d’éclaircissements de la part de notre Cour, les cours d’appel intermédiaires et les justiciables risquent </w:t>
      </w:r>
      <w:r w:rsidRPr="009C665E">
        <w:rPr>
          <w:rFonts w:cs="Times New Roman"/>
          <w:smallCaps/>
          <w:lang w:val="fr-CA"/>
        </w:rPr>
        <w:t>[traduction]</w:t>
      </w:r>
      <w:r w:rsidRPr="009C665E">
        <w:rPr>
          <w:rFonts w:cs="Times New Roman"/>
          <w:lang w:val="fr-CA"/>
        </w:rPr>
        <w:t xml:space="preserve"> « d’être plongés dans l’incertitude » (P. Daly, « Introduction », dans P. Daly, dir., </w:t>
      </w:r>
      <w:r w:rsidRPr="009C665E">
        <w:rPr>
          <w:rFonts w:cs="Times New Roman"/>
          <w:i/>
          <w:lang w:val="fr-CA"/>
        </w:rPr>
        <w:t>Apex Courts and the Common Law</w:t>
      </w:r>
      <w:r w:rsidRPr="009C665E">
        <w:rPr>
          <w:rFonts w:cs="Times New Roman"/>
          <w:lang w:val="fr-CA"/>
        </w:rPr>
        <w:t xml:space="preserve"> (2019), 3, p. 14).</w:t>
      </w:r>
    </w:p>
    <w:p w14:paraId="404D14D5"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La principale question dont notre Cour est saisie est celle de savoir si la Cour d’appel a commis une erreur en ordonnant l’arrêt des procédures contre M</w:t>
      </w:r>
      <w:r w:rsidRPr="009C665E">
        <w:rPr>
          <w:rFonts w:cs="Times New Roman"/>
          <w:vertAlign w:val="superscript"/>
          <w:lang w:val="fr-CA"/>
        </w:rPr>
        <w:t>me</w:t>
      </w:r>
      <w:r w:rsidRPr="009C665E">
        <w:rPr>
          <w:rFonts w:cs="Times New Roman"/>
          <w:lang w:val="fr-CA"/>
        </w:rPr>
        <w:t xml:space="preserve"> Bouvette, plutôt que d’inscrire un acquittement, ce qui nous oblige forcément à nous demander dans quels cas une cour d’appel devrait prononcer un acquittement pour cause d’erreur judiciaire. La dernière fois que notre Cour s’est penchée sur cette question, c’était il y a 28 ans dans l’affaire </w:t>
      </w:r>
      <w:r w:rsidRPr="009C665E">
        <w:rPr>
          <w:rFonts w:cs="Times New Roman"/>
          <w:i/>
          <w:lang w:val="fr-CA"/>
        </w:rPr>
        <w:t>R. c. Hinse</w:t>
      </w:r>
      <w:r w:rsidRPr="009C665E">
        <w:rPr>
          <w:rFonts w:cs="Times New Roman"/>
          <w:lang w:val="fr-CA"/>
        </w:rPr>
        <w:t>, [1997] 1 R.C.S. 3 (« </w:t>
      </w:r>
      <w:r w:rsidRPr="009C665E">
        <w:rPr>
          <w:rFonts w:cs="Times New Roman"/>
          <w:i/>
          <w:lang w:val="fr-CA"/>
        </w:rPr>
        <w:t>Hinse 1997</w:t>
      </w:r>
      <w:r w:rsidRPr="009C665E">
        <w:rPr>
          <w:rFonts w:cs="Times New Roman"/>
          <w:lang w:val="fr-CA"/>
        </w:rPr>
        <w:t> »), dans laquelle, même si elle avait inscrit un acquittement en raison d’une erreur judiciaire, elle n’avait rendu qu’un bref jugement, sans proposer de démarche faisant autorité sur l’application du par. 686(2).</w:t>
      </w:r>
    </w:p>
    <w:p w14:paraId="682509D1"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La jurisprudence subséquente a été marquée par la confusion et l’incohérence, et les différentes cours d’appel ont appliqué des critères juridiques variés. En l’occurrence, la Cour d’appel de la Colombie</w:t>
      </w:r>
      <w:r w:rsidRPr="009C665E">
        <w:rPr>
          <w:rFonts w:cs="Times New Roman"/>
          <w:lang w:val="fr-CA"/>
        </w:rPr>
        <w:noBreakHyphen/>
        <w:t>Britannique a adopté une approche différente de celle qu’avait suivie la Cour d’appel de l’Ontario en 2007 pour acquitter Steven Truscott, pour cause d’erreur judiciaire, du meurtre de Lynne Harper commis en 1959 (</w:t>
      </w:r>
      <w:r w:rsidRPr="009C665E">
        <w:rPr>
          <w:rFonts w:cs="Times New Roman"/>
          <w:i/>
          <w:szCs w:val="24"/>
          <w:lang w:val="fr-CA"/>
        </w:rPr>
        <w:t>Reference re :</w:t>
      </w:r>
      <w:r w:rsidRPr="009C665E">
        <w:rPr>
          <w:rFonts w:cs="Times New Roman"/>
          <w:szCs w:val="24"/>
          <w:lang w:val="fr-CA"/>
        </w:rPr>
        <w:t xml:space="preserve"> </w:t>
      </w:r>
      <w:r w:rsidRPr="009C665E">
        <w:rPr>
          <w:rFonts w:cs="Times New Roman"/>
          <w:i/>
          <w:lang w:val="fr-CA"/>
        </w:rPr>
        <w:t>Truscott</w:t>
      </w:r>
      <w:r w:rsidRPr="009C665E">
        <w:rPr>
          <w:rFonts w:cs="Times New Roman"/>
          <w:lang w:val="fr-CA"/>
        </w:rPr>
        <w:t>, 2007 ONCA 575, 225 C.C.C. (3d) 321). Cet acquittement reposait sur un grand nombre de facteurs et de conclusions, dont l’évaluation de nouveaux éléments de preuve, le fond de l’affaire et le tort considérable subi par M. Truscott, notamment la forte stigmatisation liée à sa déclaration de culpabilité pour meurtre. La Cour d’appel de la Colombie</w:t>
      </w:r>
      <w:r w:rsidRPr="009C665E">
        <w:rPr>
          <w:rFonts w:cs="Times New Roman"/>
          <w:lang w:val="fr-CA"/>
        </w:rPr>
        <w:noBreakHyphen/>
        <w:t xml:space="preserve">Britannique s’est demandé si l’arrêt </w:t>
      </w:r>
      <w:r w:rsidRPr="009C665E">
        <w:rPr>
          <w:rFonts w:cs="Times New Roman"/>
          <w:i/>
          <w:lang w:val="fr-CA"/>
        </w:rPr>
        <w:t xml:space="preserve">Truscott </w:t>
      </w:r>
      <w:r w:rsidRPr="009C665E">
        <w:rPr>
          <w:rFonts w:cs="Times New Roman"/>
          <w:lang w:val="fr-CA"/>
        </w:rPr>
        <w:t xml:space="preserve">avait établi une norme juridique générale applicable à tous les acquittements, ou si elle n’avait fait qu’expliquer pourquoi l’acquittement était dans </w:t>
      </w:r>
      <w:r w:rsidRPr="009C665E">
        <w:rPr>
          <w:rFonts w:cs="Times New Roman"/>
          <w:lang w:val="fr-CA"/>
        </w:rPr>
        <w:lastRenderedPageBreak/>
        <w:t>l’intérêt public dans le cas de M. Truscott compte tenu des circonstances particulières de cette affaire.</w:t>
      </w:r>
    </w:p>
    <w:p w14:paraId="6FF679FA"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Le fait que la Couronne propose un cadre d’analyse, auquel souscrit la défense, n’empêche pas la Cour de fournir les orientations qui s’imposent. Les tribunaux encouragent systématiquement les parties à s’entendre dans la mesure du possible et à limiter leur différend aux seules questions qui les divisent véritablement, les incitant même à trouver un terrain d’entente sur les principes juridiques applicables. Le cadre que propose la Couronne est fondé sur une analyse des principales caractéristiques et des facteurs clés retenus dans la jurisprudence. Il s’appuie aussi sur les conclusions, l’analyse et la sagesse de divers juristes chevronnés chargés de présider des enquêtes et des commissions d’enquête portant sur divers cas d’erreurs judiciaires et de déclarations de culpabilité injustifiées.</w:t>
      </w:r>
    </w:p>
    <w:p w14:paraId="5DB270F7"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t xml:space="preserve">À mon avis, le contexte du présent pourvoi permet à la Cour de tirer des conclusions valables. Les parties ne s’entendent pas sur toutes les questions en litige et l’appel a suscité l’intérêt de procureurs généraux et d’autres intervenants qui ont fait valoir divers points de vue. Il est crucial de rappeler qu’il ne cesse jamais d’incomber à la Cour de s’acquitter de son rôle de garantir qu’il est adéquatement satisfait aux intérêts de la justice. Dans les circonstances de la présente cause, pour ce faire, elle doit trancher une question non résolue, mais d’une importance cruciale dans ce domaine du droit. La Couronne et la défense jouent des rôles institutionnels opposés : elles protègent des intérêts différents, servent des parties différentes et ont chacune des </w:t>
      </w:r>
      <w:r w:rsidRPr="009C665E">
        <w:rPr>
          <w:rFonts w:cs="Times New Roman"/>
          <w:lang w:val="fr-CA"/>
        </w:rPr>
        <w:lastRenderedPageBreak/>
        <w:t xml:space="preserve">obligations juridiques et éthiques bien définies découlant de leurs rôles distincts (voir, de façon générale, </w:t>
      </w:r>
      <w:r w:rsidRPr="009C665E">
        <w:rPr>
          <w:rFonts w:cs="Times New Roman"/>
          <w:i/>
          <w:lang w:val="fr-CA"/>
        </w:rPr>
        <w:t>Boucher c. The Queen</w:t>
      </w:r>
      <w:r w:rsidRPr="009C665E">
        <w:rPr>
          <w:rFonts w:cs="Times New Roman"/>
          <w:lang w:val="fr-CA"/>
        </w:rPr>
        <w:t xml:space="preserve">, [1955] R.C.S. 16; voir aussi </w:t>
      </w:r>
      <w:r w:rsidRPr="009C665E">
        <w:rPr>
          <w:rFonts w:cs="Times New Roman"/>
          <w:i/>
          <w:lang w:val="fr-CA"/>
        </w:rPr>
        <w:t>R. c. Anthony-Cook</w:t>
      </w:r>
      <w:r w:rsidRPr="009C665E">
        <w:rPr>
          <w:rFonts w:cs="Times New Roman"/>
          <w:lang w:val="fr-CA"/>
        </w:rPr>
        <w:t xml:space="preserve">, 2016 CSC 43, [2016] 2 R.C.S. 204, par. 44). La reconnaissance de ces impératifs divergents est l’une des raisons pour lesquelles les tribunaux traitent habituellement avec le plus grand intérêt et le plus grand respect les recommandations conjointes soumises par ces parties adverses. Les tribunaux sont généralement d’accord avec l’idée selon laquelle, lorsque des parties qui, par définition, sont des adversaires se mettent d’accord, leur recommandation conjointe a probablement fait l’objet d’un examen approfondi et d’une évaluation rigoureuse en fonction de leurs propres normes fondamentales distinctes. Cela dit, bien entendu, même lorsque la Couronne et la défense s’entendent pour parler d’une seule voix, que ce soit au sujet de la mise en liberté sous caution, d’un plaidoyer, de la détermination de la peine ou d’un cadre juridique, les tribunaux ne sont pas liés par ces recommandations conjointes et exercent leur propre jugement sur les questions dont ils sont saisis (voir, p. ex., </w:t>
      </w:r>
      <w:r w:rsidRPr="009C665E">
        <w:rPr>
          <w:rFonts w:cs="Times New Roman"/>
          <w:i/>
          <w:lang w:val="fr-CA"/>
        </w:rPr>
        <w:t>Anthony‑Cook</w:t>
      </w:r>
      <w:r w:rsidRPr="009C665E">
        <w:rPr>
          <w:rFonts w:cs="Times New Roman"/>
          <w:lang w:val="fr-CA"/>
        </w:rPr>
        <w:t xml:space="preserve">; </w:t>
      </w:r>
      <w:r w:rsidRPr="009C665E">
        <w:rPr>
          <w:rFonts w:cs="Times New Roman"/>
          <w:i/>
          <w:lang w:val="fr-CA"/>
        </w:rPr>
        <w:t>R. c. Antic</w:t>
      </w:r>
      <w:r w:rsidRPr="009C665E">
        <w:rPr>
          <w:rFonts w:cs="Times New Roman"/>
          <w:lang w:val="fr-CA"/>
        </w:rPr>
        <w:t xml:space="preserve">, 2017 CSC 27, [2017] 1 R.C.S. 509, par. 68; </w:t>
      </w:r>
      <w:r w:rsidRPr="009C665E">
        <w:rPr>
          <w:rFonts w:cs="Times New Roman"/>
          <w:i/>
          <w:lang w:val="fr-CA"/>
        </w:rPr>
        <w:t>R. c. Zora</w:t>
      </w:r>
      <w:r w:rsidRPr="009C665E">
        <w:rPr>
          <w:rFonts w:cs="Times New Roman"/>
          <w:lang w:val="fr-CA"/>
        </w:rPr>
        <w:t xml:space="preserve">, 2020 CSC 14, [2020] 2 R.C.S. 3, par. 105; </w:t>
      </w:r>
      <w:r w:rsidRPr="009C665E">
        <w:rPr>
          <w:rFonts w:cs="Times New Roman"/>
          <w:i/>
          <w:lang w:val="fr-CA"/>
        </w:rPr>
        <w:t>R. c. Pickton</w:t>
      </w:r>
      <w:r w:rsidRPr="009C665E">
        <w:rPr>
          <w:rFonts w:cs="Times New Roman"/>
          <w:lang w:val="fr-CA"/>
        </w:rPr>
        <w:t xml:space="preserve">, 2010 CSC 32, [2010] 2 R.C.S. 198, par. 27; </w:t>
      </w:r>
      <w:r w:rsidRPr="009C665E">
        <w:rPr>
          <w:rFonts w:cs="Times New Roman"/>
          <w:i/>
          <w:lang w:val="fr-CA"/>
        </w:rPr>
        <w:t>R. c. Akram</w:t>
      </w:r>
      <w:r w:rsidRPr="009C665E">
        <w:rPr>
          <w:rFonts w:cs="Times New Roman"/>
          <w:lang w:val="fr-CA"/>
        </w:rPr>
        <w:t>, 2025 ONCA 158, 445 C.C.C. (3d) 270, par. 58).</w:t>
      </w:r>
    </w:p>
    <w:p w14:paraId="21A4AB65"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La jurisprudence peu abondante de notre Cour sur la question précise dont elle est saisie — en l’occurrence celle de savoir dans quels cas une cour d’appel peut prononcer un acquittement pour cause d’erreur judiciaire —, le fait qu’il est généralement admis que la jurisprudence est flottante sur ces questions et la pertinence des arguments que les parties et les intervenants ont fait valoir fournissent à notre Cour </w:t>
      </w:r>
      <w:r w:rsidRPr="009C665E">
        <w:rPr>
          <w:rFonts w:cs="Times New Roman"/>
          <w:lang w:val="fr-CA"/>
        </w:rPr>
        <w:lastRenderedPageBreak/>
        <w:t xml:space="preserve">amplement d’éléments pour l’examiner. Il existe toutefois une autre raison impérieuse pour laquelle notre Cour devrait fournir des orientations dès maintenant sans attendre une affaire qui ne se présentera peut-être jamais ou sans attendre encore 28 ans. Les dispositions du </w:t>
      </w:r>
      <w:r w:rsidRPr="009C665E">
        <w:rPr>
          <w:rFonts w:cs="Times New Roman"/>
          <w:i/>
          <w:lang w:val="fr-CA"/>
        </w:rPr>
        <w:t>Code</w:t>
      </w:r>
      <w:r w:rsidRPr="009C665E">
        <w:rPr>
          <w:rFonts w:cs="Times New Roman"/>
          <w:lang w:val="fr-CA"/>
        </w:rPr>
        <w:t xml:space="preserve"> qui accordent aux personnes reconnues coupables un vaste droit d’appel leur permettant de faire remédier à une erreur judiciaire par une cour d’appel offrent aux accusés une protection essentielle contre les déclarations de culpabilité douteuses et injustifiées.</w:t>
      </w:r>
    </w:p>
    <w:p w14:paraId="454FF83D"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Chaque fois qu’une erreur judiciaire survient, elle mérite toute l’attention du système de justice et de notre Cour. Tout manque de clarté quant aux cas dans lesquels il convient d’inscrire un acquittement à titre de réparation par suite d’une erreur judiciaire risque de nuire à la capacité des tribunaux d’exercer ce pouvoir discrétionnaire de manière raisonnée et cohérente, et de compromettre leur capacité de respecter </w:t>
      </w:r>
      <w:r w:rsidRPr="009C665E">
        <w:rPr>
          <w:rFonts w:cs="Times New Roman"/>
          <w:szCs w:val="24"/>
          <w:lang w:val="fr-CA"/>
        </w:rPr>
        <w:t>leur obligation d’agir en tant que « gardien[s] du système judiciaire » (</w:t>
      </w:r>
      <w:r w:rsidRPr="009C665E">
        <w:rPr>
          <w:rFonts w:cs="Times New Roman"/>
          <w:i/>
          <w:szCs w:val="24"/>
          <w:lang w:val="fr-CA"/>
        </w:rPr>
        <w:t xml:space="preserve">États-Unis </w:t>
      </w:r>
      <w:r w:rsidRPr="009C665E">
        <w:rPr>
          <w:rFonts w:cs="Times New Roman"/>
          <w:i/>
          <w:iCs/>
          <w:szCs w:val="24"/>
          <w:lang w:val="fr-CA"/>
        </w:rPr>
        <w:t>c</w:t>
      </w:r>
      <w:r w:rsidRPr="009C665E">
        <w:rPr>
          <w:rFonts w:cs="Times New Roman"/>
          <w:i/>
          <w:szCs w:val="24"/>
          <w:lang w:val="fr-CA"/>
        </w:rPr>
        <w:t>. Burns</w:t>
      </w:r>
      <w:r w:rsidRPr="009C665E">
        <w:rPr>
          <w:rFonts w:cs="Times New Roman"/>
          <w:szCs w:val="24"/>
          <w:lang w:val="fr-CA"/>
        </w:rPr>
        <w:t xml:space="preserve">, 2001 CSC 7, [2001] 1 R.C.S. 283, par. 71, citant le </w:t>
      </w:r>
      <w:r w:rsidRPr="009C665E">
        <w:rPr>
          <w:rFonts w:cs="Times New Roman"/>
          <w:i/>
          <w:iCs/>
          <w:szCs w:val="24"/>
          <w:lang w:val="fr-CA"/>
        </w:rPr>
        <w:t>Renvoi relatif à la Motor Vehicle Act (C.-B.)</w:t>
      </w:r>
      <w:r w:rsidRPr="009C665E">
        <w:rPr>
          <w:rFonts w:cs="Times New Roman"/>
          <w:szCs w:val="24"/>
          <w:lang w:val="fr-CA"/>
        </w:rPr>
        <w:t xml:space="preserve">, [1985] 2 R.C.S. 486, p. 503). </w:t>
      </w:r>
      <w:r w:rsidRPr="009C665E">
        <w:rPr>
          <w:rFonts w:cs="Times New Roman"/>
          <w:lang w:val="fr-CA"/>
        </w:rPr>
        <w:t>Non seulement cette situation se produirait</w:t>
      </w:r>
      <w:r w:rsidRPr="009C665E">
        <w:rPr>
          <w:rFonts w:cs="Times New Roman"/>
          <w:lang w:val="fr-CA"/>
        </w:rPr>
        <w:noBreakHyphen/>
        <w:t>elle dans un bon nombre des innombrables types d’erreurs judiciaires qui sont commises, mais elle revêt une urgence particulière compte tenu du lien bien connu qui existe entre les erreurs judiciaires et les déclarations de culpabilité injustifiées (</w:t>
      </w:r>
      <w:r w:rsidRPr="009C665E">
        <w:rPr>
          <w:rFonts w:cs="Times New Roman"/>
          <w:i/>
          <w:lang w:val="fr-CA" w:bidi="en-US"/>
        </w:rPr>
        <w:t>R. c. C.P.</w:t>
      </w:r>
      <w:r w:rsidRPr="009C665E">
        <w:rPr>
          <w:rFonts w:cs="Times New Roman"/>
          <w:lang w:val="fr-CA" w:bidi="en-US"/>
        </w:rPr>
        <w:t xml:space="preserve">, 2021 CSC 19, [2021] 1 R.C.S. 679, par. 61, la juge Abella). Au fil des ans, on a beaucoup appris sur les causes et les coûts des déclarations de culpabilité injustifiées. Les cours d’appel ont non seulement le pouvoir incontestable d’inscrire un acquittement dans de tels cas, mais il s’agit peut-être de la seule mesure réparatrice qui </w:t>
      </w:r>
      <w:r w:rsidRPr="009C665E">
        <w:rPr>
          <w:rFonts w:cs="Times New Roman"/>
          <w:lang w:val="fr-CA" w:bidi="en-US"/>
        </w:rPr>
        <w:lastRenderedPageBreak/>
        <w:t>réponde pleinement, définitivement et équitablement aux injustices inhérentes à une déclaration de culpabilité injustifiée et causées par elle</w:t>
      </w:r>
      <w:r w:rsidRPr="009C665E">
        <w:rPr>
          <w:rFonts w:cs="Times New Roman"/>
          <w:lang w:val="fr-CA"/>
        </w:rPr>
        <w:t>.</w:t>
      </w:r>
    </w:p>
    <w:p w14:paraId="27F31EFE"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Comme je l’expliquerai, pour les cas [</w:t>
      </w:r>
      <w:r w:rsidRPr="009C665E">
        <w:rPr>
          <w:rFonts w:cs="Times New Roman"/>
          <w:smallCaps/>
          <w:lang w:val="fr-CA"/>
        </w:rPr>
        <w:t>traduction</w:t>
      </w:r>
      <w:r w:rsidRPr="009C665E">
        <w:rPr>
          <w:rFonts w:cs="Times New Roman"/>
          <w:lang w:val="fr-CA"/>
        </w:rPr>
        <w:t>] « hors norme » (</w:t>
      </w:r>
      <w:r w:rsidRPr="009C665E">
        <w:rPr>
          <w:rFonts w:cs="Times New Roman"/>
          <w:i/>
          <w:lang w:val="fr-CA"/>
        </w:rPr>
        <w:t>Truscott</w:t>
      </w:r>
      <w:r w:rsidRPr="009C665E">
        <w:rPr>
          <w:rFonts w:cs="Times New Roman"/>
          <w:lang w:val="fr-CA"/>
        </w:rPr>
        <w:t xml:space="preserve">, par. 259), la jurisprudence favorise l’application d’un cadre qui demande directement si un acquittement est dans l’intérêt de la justice pour ce nombre réduit de causes qui présentent les caractéristiques des déclarations de culpabilités injustifiées. Ce faisant, les cours d’appel doivent prendre en compte la nature de l’erreur, la solidité de la preuve restante — y compris la probabilité de la tenue du procès — et le caractère équitable global de la cause. Il faut accorder le plus de poids à l’appréciation par la cour de la solidité de la preuve restante. La conclusion du tribunal qu’un acquittement est plus probable qu’improbable est donc généralement une condition préalable à ce qu’il inscrive un verdict d’acquittement. En outre, bien que le caractère équitable ne </w:t>
      </w:r>
      <w:proofErr w:type="gramStart"/>
      <w:r w:rsidRPr="009C665E">
        <w:rPr>
          <w:rFonts w:cs="Times New Roman"/>
          <w:lang w:val="fr-CA"/>
        </w:rPr>
        <w:t>saurait</w:t>
      </w:r>
      <w:proofErr w:type="gramEnd"/>
      <w:r w:rsidRPr="009C665E">
        <w:rPr>
          <w:rFonts w:cs="Times New Roman"/>
          <w:lang w:val="fr-CA"/>
        </w:rPr>
        <w:t xml:space="preserve"> être le seul fondement d’un acquittement, il peut éclairer la mise en balance ultime effectuée par la cour pour juger de l’opportunité de prononcer un tel verdict.</w:t>
      </w:r>
    </w:p>
    <w:p w14:paraId="34F8C027" w14:textId="77777777" w:rsidR="009C665E" w:rsidRPr="009C665E" w:rsidRDefault="009C665E" w:rsidP="009C665E">
      <w:pPr>
        <w:pStyle w:val="Title1LevelTitre1Niveau-AltL"/>
        <w:widowControl w:val="0"/>
        <w:numPr>
          <w:ilvl w:val="0"/>
          <w:numId w:val="7"/>
        </w:numPr>
        <w:tabs>
          <w:tab w:val="clear" w:pos="3553"/>
          <w:tab w:val="num" w:pos="576"/>
        </w:tabs>
        <w:spacing w:before="0"/>
        <w:ind w:left="576"/>
        <w:rPr>
          <w:rFonts w:cs="Times New Roman"/>
          <w:lang w:val="fr-CA"/>
        </w:rPr>
      </w:pPr>
      <w:r w:rsidRPr="009C665E">
        <w:rPr>
          <w:rFonts w:cs="Times New Roman"/>
          <w:lang w:val="fr-CA"/>
        </w:rPr>
        <w:t>Contexte et questions en litige</w:t>
      </w:r>
    </w:p>
    <w:p w14:paraId="45F075C1"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t>Le présent pourvoi concerne uniquement la question de la réparation; M</w:t>
      </w:r>
      <w:r w:rsidRPr="009C665E">
        <w:rPr>
          <w:rFonts w:cs="Times New Roman"/>
          <w:vertAlign w:val="superscript"/>
          <w:lang w:val="fr-CA"/>
        </w:rPr>
        <w:t>me</w:t>
      </w:r>
      <w:r w:rsidRPr="009C665E">
        <w:rPr>
          <w:rFonts w:cs="Times New Roman"/>
          <w:lang w:val="fr-CA"/>
        </w:rPr>
        <w:t> Bouvette n’interjette pas appel de la conclusion de la Cour d’appel selon laquelle il y a eu une erreur judiciaire qui justifiait l’annulation de son plaidoyer de culpabilité et de sa déclaration de culpabilité. Ainsi, lorsque M</w:t>
      </w:r>
      <w:r w:rsidRPr="009C665E">
        <w:rPr>
          <w:rFonts w:cs="Times New Roman"/>
          <w:vertAlign w:val="superscript"/>
          <w:lang w:val="fr-CA"/>
        </w:rPr>
        <w:t>me</w:t>
      </w:r>
      <w:r w:rsidRPr="009C665E">
        <w:rPr>
          <w:rFonts w:cs="Times New Roman"/>
          <w:lang w:val="fr-CA"/>
        </w:rPr>
        <w:t xml:space="preserve"> Bouvette a comparu devant notre Cour pour faire valoir que l’acquittement est la mesure appropriée pour mettre un terme définitif à cette erreur judiciaire, la présomption de son innocence avait été rétablie et </w:t>
      </w:r>
      <w:r w:rsidRPr="009C665E">
        <w:rPr>
          <w:rFonts w:cs="Times New Roman"/>
          <w:lang w:val="fr-CA"/>
        </w:rPr>
        <w:lastRenderedPageBreak/>
        <w:t>l’accusation qui pesait contre elle demeurait. Bien que l’existence d’une erreur judiciaire ne soit pas une question en litige devant notre Cour, sa nature et les circonstances dans lesquelles elle a été commise sont très importantes pour pouvoir trancher la question de la réparation.</w:t>
      </w:r>
    </w:p>
    <w:p w14:paraId="34E241EF"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En l’espèce, l’erreur judiciaire résulte directement du fait que la Couronne a omis de communiquer à la défense des renseignements très importants, contrairement à l’obligation qui lui incombait en vertu de l’arrêt </w:t>
      </w:r>
      <w:r w:rsidRPr="009C665E">
        <w:rPr>
          <w:rFonts w:eastAsia="Times New Roman" w:cs="Times New Roman"/>
          <w:i/>
          <w:lang w:val="fr-CA"/>
        </w:rPr>
        <w:t>R. c. Stinchcombe</w:t>
      </w:r>
      <w:r w:rsidRPr="009C665E">
        <w:rPr>
          <w:rFonts w:eastAsia="Times New Roman" w:cs="Times New Roman"/>
          <w:lang w:val="fr-CA"/>
        </w:rPr>
        <w:t>, [1991] 3 R.C.S. 326</w:t>
      </w:r>
      <w:r w:rsidRPr="009C665E">
        <w:rPr>
          <w:rFonts w:cs="Times New Roman"/>
          <w:lang w:val="fr-CA"/>
        </w:rPr>
        <w:t>, et en violation des droits constitutionnels de M</w:t>
      </w:r>
      <w:r w:rsidRPr="009C665E">
        <w:rPr>
          <w:rFonts w:cs="Times New Roman"/>
          <w:vertAlign w:val="superscript"/>
          <w:lang w:val="fr-CA"/>
        </w:rPr>
        <w:t>me</w:t>
      </w:r>
      <w:r w:rsidRPr="009C665E">
        <w:rPr>
          <w:rFonts w:cs="Times New Roman"/>
          <w:lang w:val="fr-CA"/>
        </w:rPr>
        <w:t> Bouvette. L’accusation portée contre M</w:t>
      </w:r>
      <w:r w:rsidRPr="009C665E">
        <w:rPr>
          <w:rFonts w:cs="Times New Roman"/>
          <w:vertAlign w:val="superscript"/>
          <w:lang w:val="fr-CA"/>
        </w:rPr>
        <w:t>me</w:t>
      </w:r>
      <w:r w:rsidRPr="009C665E">
        <w:rPr>
          <w:rFonts w:cs="Times New Roman"/>
          <w:lang w:val="fr-CA"/>
        </w:rPr>
        <w:t> Bouvette pour le meurtre au second degré de l’enfant et son plaidoyer de culpabilité pour négligence criminelle ayant causé la mort étaient tous deux fondés en grande partie sur les avis formulés par le D</w:t>
      </w:r>
      <w:r w:rsidRPr="009C665E">
        <w:rPr>
          <w:rFonts w:cs="Times New Roman"/>
          <w:vertAlign w:val="superscript"/>
          <w:lang w:val="fr-CA"/>
        </w:rPr>
        <w:t>r</w:t>
      </w:r>
      <w:r w:rsidRPr="009C665E">
        <w:rPr>
          <w:rFonts w:cs="Times New Roman"/>
          <w:lang w:val="fr-CA"/>
        </w:rPr>
        <w:t> Evan Matshes, le médecin légiste qui a procédé à l’autopsie de l’enfant. Dans son rapport écrit, complété par ses observations verbales à la police et son témoignage lors de l’enquête préliminaire, le D</w:t>
      </w:r>
      <w:r w:rsidRPr="009C665E">
        <w:rPr>
          <w:rFonts w:cs="Times New Roman"/>
          <w:vertAlign w:val="superscript"/>
          <w:lang w:val="fr-CA"/>
        </w:rPr>
        <w:t>r</w:t>
      </w:r>
      <w:r w:rsidRPr="009C665E">
        <w:rPr>
          <w:rFonts w:cs="Times New Roman"/>
          <w:lang w:val="fr-CA"/>
        </w:rPr>
        <w:t xml:space="preserve"> Matshes a estimé que, même si la cause du décès de l’enfant était la noyade, celle-ci présentait d’autres blessures qui suggéraient qu’il </w:t>
      </w:r>
      <w:r w:rsidRPr="009C665E">
        <w:rPr>
          <w:rFonts w:cs="Times New Roman"/>
          <w:smallCaps/>
          <w:lang w:val="fr-CA"/>
        </w:rPr>
        <w:t>[traduction]</w:t>
      </w:r>
      <w:r w:rsidRPr="009C665E">
        <w:rPr>
          <w:rFonts w:cs="Times New Roman"/>
          <w:lang w:val="fr-CA"/>
        </w:rPr>
        <w:t xml:space="preserve"> « s’agi[ssait] d’une enfant qui a[vait] été blessée par une autre personne au cours des derniers jours », que les blessures qu’elle avait subies ne pouvaient pas être attribuées à « une explication anodine », que les ecchymoses en question présentaient « les caractéristiques typiques que l’on retrouve chez des enfants maltraités », ce qui « rend[ait] toute la version des faits avancée douteuse » (motifs de la C.A., par. 34</w:t>
      </w:r>
      <w:r w:rsidRPr="009C665E">
        <w:rPr>
          <w:rFonts w:cs="Times New Roman"/>
          <w:lang w:val="fr-CA"/>
        </w:rPr>
        <w:noBreakHyphen/>
        <w:t>39 et 43).</w:t>
      </w:r>
    </w:p>
    <w:p w14:paraId="670838FA"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En mai 2013, confrontée à ce témoignage d’expert et sur les conseils de son avocat, M</w:t>
      </w:r>
      <w:r w:rsidRPr="009C665E">
        <w:rPr>
          <w:rFonts w:cs="Times New Roman"/>
          <w:vertAlign w:val="superscript"/>
          <w:lang w:val="fr-CA"/>
        </w:rPr>
        <w:t>me</w:t>
      </w:r>
      <w:r w:rsidRPr="009C665E">
        <w:rPr>
          <w:rFonts w:cs="Times New Roman"/>
          <w:lang w:val="fr-CA"/>
        </w:rPr>
        <w:t> Bouvette a accepté de plaider coupable à l’infraction moindre. Âgée de 27 ans à la date de l’infraction reprochée, M</w:t>
      </w:r>
      <w:r w:rsidRPr="009C665E">
        <w:rPr>
          <w:rFonts w:cs="Times New Roman"/>
          <w:vertAlign w:val="superscript"/>
          <w:lang w:val="fr-CA"/>
        </w:rPr>
        <w:t>me</w:t>
      </w:r>
      <w:r w:rsidRPr="009C665E">
        <w:rPr>
          <w:rFonts w:cs="Times New Roman"/>
          <w:lang w:val="fr-CA"/>
        </w:rPr>
        <w:t> Bouvette est autochtone et mère de quatre enfants. Elle a reçu un diagnostic de fonctionnement intellectuel limite et de trouble du déficit de l’attention avec hyperactivité. De plus, elle était inscrite à des cours d’éducation spécialisée lorsqu’elle fréquentait l’école.</w:t>
      </w:r>
    </w:p>
    <w:p w14:paraId="417EAFC7"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Avant d’accepter le plaidoyer de culpabilité de M</w:t>
      </w:r>
      <w:r w:rsidRPr="009C665E">
        <w:rPr>
          <w:rFonts w:cs="Times New Roman"/>
          <w:vertAlign w:val="superscript"/>
          <w:lang w:val="fr-CA"/>
        </w:rPr>
        <w:t>me</w:t>
      </w:r>
      <w:r w:rsidRPr="009C665E">
        <w:rPr>
          <w:rFonts w:cs="Times New Roman"/>
          <w:lang w:val="fr-CA"/>
        </w:rPr>
        <w:t> Bouvette, le service des poursuites de la Colombie</w:t>
      </w:r>
      <w:r w:rsidRPr="009C665E">
        <w:rPr>
          <w:rFonts w:cs="Times New Roman"/>
          <w:lang w:val="fr-CA"/>
        </w:rPr>
        <w:noBreakHyphen/>
        <w:t>Britannique, qui agissait pour le poursuivant, avait reçu en mai, août et décembre 2012, de multiples communications du ministère de la Justice de l’Alberta, son vis</w:t>
      </w:r>
      <w:r w:rsidRPr="009C665E">
        <w:rPr>
          <w:rFonts w:cs="Times New Roman"/>
          <w:lang w:val="fr-CA"/>
        </w:rPr>
        <w:noBreakHyphen/>
        <w:t>à</w:t>
      </w:r>
      <w:r w:rsidRPr="009C665E">
        <w:rPr>
          <w:rFonts w:cs="Times New Roman"/>
          <w:lang w:val="fr-CA"/>
        </w:rPr>
        <w:noBreakHyphen/>
        <w:t>vis dans cette province. Celles</w:t>
      </w:r>
      <w:r w:rsidRPr="009C665E">
        <w:rPr>
          <w:rFonts w:cs="Times New Roman"/>
          <w:lang w:val="fr-CA"/>
        </w:rPr>
        <w:noBreakHyphen/>
        <w:t>ci l’informaient que l’Alberta avait ouvert une enquête officielle pour examiner et évaluer la fiabilité des avis d’expert donnés par le D</w:t>
      </w:r>
      <w:r w:rsidRPr="009C665E">
        <w:rPr>
          <w:rFonts w:cs="Times New Roman"/>
          <w:vertAlign w:val="superscript"/>
          <w:lang w:val="fr-CA"/>
        </w:rPr>
        <w:t>r</w:t>
      </w:r>
      <w:r w:rsidRPr="009C665E">
        <w:rPr>
          <w:rFonts w:cs="Times New Roman"/>
          <w:lang w:val="fr-CA"/>
        </w:rPr>
        <w:t> Matshes dans diverses affaires dans différentes provinces, et notamment dans le dossier de l’enfant. La Couronne avait reçu une grande quantité de renseignements, y compris certaines déclarations qui étaient favorables au D</w:t>
      </w:r>
      <w:r w:rsidRPr="009C665E">
        <w:rPr>
          <w:rFonts w:cs="Times New Roman"/>
          <w:vertAlign w:val="superscript"/>
          <w:lang w:val="fr-CA"/>
        </w:rPr>
        <w:t>r</w:t>
      </w:r>
      <w:r w:rsidRPr="009C665E">
        <w:rPr>
          <w:rFonts w:cs="Times New Roman"/>
          <w:lang w:val="fr-CA"/>
        </w:rPr>
        <w:t> Matshes, mais également les renseignements suivants, qui présentaient un intérêt significatif pour la défense et qui n’ont été communiqués ni à M</w:t>
      </w:r>
      <w:r w:rsidRPr="009C665E">
        <w:rPr>
          <w:rFonts w:cs="Times New Roman"/>
          <w:vertAlign w:val="superscript"/>
          <w:lang w:val="fr-CA"/>
        </w:rPr>
        <w:t>me</w:t>
      </w:r>
      <w:r w:rsidRPr="009C665E">
        <w:rPr>
          <w:rFonts w:cs="Times New Roman"/>
          <w:lang w:val="fr-CA"/>
        </w:rPr>
        <w:t> Bouvette ni à son avocat :</w:t>
      </w:r>
    </w:p>
    <w:p w14:paraId="342A40C8" w14:textId="77777777" w:rsidR="009C665E" w:rsidRPr="009C665E" w:rsidRDefault="009C665E" w:rsidP="009C665E">
      <w:pPr>
        <w:pStyle w:val="ContinueParaSuitedupar-AltP"/>
        <w:numPr>
          <w:ilvl w:val="0"/>
          <w:numId w:val="29"/>
        </w:numPr>
        <w:tabs>
          <w:tab w:val="left" w:pos="1890"/>
        </w:tabs>
        <w:spacing w:before="0"/>
        <w:ind w:left="1886" w:hanging="720"/>
        <w:rPr>
          <w:rFonts w:cs="Times New Roman"/>
          <w:lang w:val="fr-CA"/>
        </w:rPr>
      </w:pPr>
      <w:r w:rsidRPr="009C665E">
        <w:rPr>
          <w:rFonts w:cs="Times New Roman"/>
          <w:lang w:val="fr-CA"/>
        </w:rPr>
        <w:t>En mai 2012, le ministère de la Justice de l’Alberta avait avisé le détachement de la GRC de Cranbrook que le travail du D</w:t>
      </w:r>
      <w:r w:rsidRPr="009C665E">
        <w:rPr>
          <w:rFonts w:cs="Times New Roman"/>
          <w:vertAlign w:val="superscript"/>
          <w:lang w:val="fr-CA"/>
        </w:rPr>
        <w:t>r</w:t>
      </w:r>
      <w:r w:rsidRPr="009C665E">
        <w:rPr>
          <w:rFonts w:cs="Times New Roman"/>
          <w:lang w:val="fr-CA"/>
        </w:rPr>
        <w:t xml:space="preserve"> Matshes, y compris celui dans le dossier de l’enfant en cause dans la présente espèce, faisait l’objet d’un examen, et que le médecin légiste en </w:t>
      </w:r>
      <w:r w:rsidRPr="009C665E">
        <w:rPr>
          <w:rFonts w:cs="Times New Roman"/>
          <w:lang w:val="fr-CA"/>
        </w:rPr>
        <w:lastRenderedPageBreak/>
        <w:t>chef de l’Alberta, la D</w:t>
      </w:r>
      <w:r w:rsidRPr="009C665E">
        <w:rPr>
          <w:rFonts w:cs="Times New Roman"/>
          <w:vertAlign w:val="superscript"/>
          <w:lang w:val="fr-CA"/>
        </w:rPr>
        <w:t>re</w:t>
      </w:r>
      <w:r w:rsidRPr="009C665E">
        <w:rPr>
          <w:rFonts w:cs="Times New Roman"/>
          <w:lang w:val="fr-CA"/>
        </w:rPr>
        <w:t> Anny Sauvageau, avait exprimé des réserves au sujet du travail du D</w:t>
      </w:r>
      <w:r w:rsidRPr="009C665E">
        <w:rPr>
          <w:rFonts w:cs="Times New Roman"/>
          <w:vertAlign w:val="superscript"/>
          <w:lang w:val="fr-CA"/>
        </w:rPr>
        <w:t>r</w:t>
      </w:r>
      <w:r w:rsidRPr="009C665E">
        <w:rPr>
          <w:rFonts w:cs="Times New Roman"/>
          <w:lang w:val="fr-CA"/>
        </w:rPr>
        <w:t> Matshes.</w:t>
      </w:r>
    </w:p>
    <w:p w14:paraId="54040A2D" w14:textId="77777777" w:rsidR="009C665E" w:rsidRPr="009C665E" w:rsidRDefault="009C665E" w:rsidP="009C665E">
      <w:pPr>
        <w:pStyle w:val="ContinueParaSuitedupar-AltP"/>
        <w:numPr>
          <w:ilvl w:val="0"/>
          <w:numId w:val="29"/>
        </w:numPr>
        <w:tabs>
          <w:tab w:val="left" w:pos="1890"/>
        </w:tabs>
        <w:spacing w:before="0"/>
        <w:ind w:left="1890" w:hanging="720"/>
        <w:rPr>
          <w:rFonts w:cs="Times New Roman"/>
        </w:rPr>
      </w:pPr>
      <w:r w:rsidRPr="009C665E">
        <w:rPr>
          <w:rFonts w:cs="Times New Roman"/>
          <w:lang w:val="fr-CA"/>
        </w:rPr>
        <w:t>Le 29 août 2012, soit le lendemain du début de l’enquête préliminaire, le ministère de la Justice de l’Alberta avait avisé la procureure de la Couronne que le caractère raisonnable des conclusions du D</w:t>
      </w:r>
      <w:r w:rsidRPr="009C665E">
        <w:rPr>
          <w:rFonts w:cs="Times New Roman"/>
          <w:vertAlign w:val="superscript"/>
          <w:lang w:val="fr-CA"/>
        </w:rPr>
        <w:t>r</w:t>
      </w:r>
      <w:r w:rsidRPr="009C665E">
        <w:rPr>
          <w:rFonts w:cs="Times New Roman"/>
          <w:lang w:val="fr-CA"/>
        </w:rPr>
        <w:t> Matshes dans le dossier de l’enfant en cause dans la présente espèce était remis en question et faisait l’objet d’un examen. L’auteur de cette communication indiquait que celle</w:t>
      </w:r>
      <w:r w:rsidRPr="009C665E">
        <w:rPr>
          <w:rFonts w:cs="Times New Roman"/>
          <w:lang w:val="fr-CA"/>
        </w:rPr>
        <w:noBreakHyphen/>
        <w:t xml:space="preserve">ci était transmise à la procureure de la Couronne de Cranbrook </w:t>
      </w:r>
      <w:r w:rsidRPr="009C665E">
        <w:rPr>
          <w:rFonts w:cs="Times New Roman"/>
          <w:smallCaps/>
          <w:lang w:val="fr-CA"/>
        </w:rPr>
        <w:t>[traduction]</w:t>
      </w:r>
      <w:r w:rsidRPr="009C665E">
        <w:rPr>
          <w:rFonts w:cs="Times New Roman"/>
          <w:lang w:val="fr-CA"/>
        </w:rPr>
        <w:t xml:space="preserve"> « pour qu’elle puisse donner suite à sa cause comme il se doit et communiquer la preuve à la défense » (motifs de la C.A., par. 57; d.a., vol. </w:t>
      </w:r>
      <w:r w:rsidRPr="009C665E">
        <w:rPr>
          <w:rFonts w:cs="Times New Roman"/>
        </w:rPr>
        <w:t>VI, p. 27</w:t>
      </w:r>
      <w:r w:rsidRPr="009C665E">
        <w:rPr>
          <w:rFonts w:cs="Times New Roman"/>
        </w:rPr>
        <w:noBreakHyphen/>
        <w:t>28).</w:t>
      </w:r>
    </w:p>
    <w:p w14:paraId="3A07522A" w14:textId="77777777" w:rsidR="009C665E" w:rsidRPr="009C665E" w:rsidRDefault="009C665E" w:rsidP="009C665E">
      <w:pPr>
        <w:pStyle w:val="ContinueParaSuitedupar-AltP"/>
        <w:numPr>
          <w:ilvl w:val="0"/>
          <w:numId w:val="29"/>
        </w:numPr>
        <w:spacing w:before="0"/>
        <w:ind w:left="1890" w:hanging="720"/>
        <w:rPr>
          <w:rFonts w:eastAsiaTheme="minorEastAsia" w:cs="Times New Roman"/>
        </w:rPr>
      </w:pPr>
      <w:r w:rsidRPr="009C665E">
        <w:rPr>
          <w:rFonts w:eastAsiaTheme="minorEastAsia" w:cs="Times New Roman"/>
          <w:lang w:val="fr-CA"/>
        </w:rPr>
        <w:t xml:space="preserve">Le 13 décembre 2012, la procureure de la Couronne avait reçu du ministère de la Justice de l’Alberta une liasse </w:t>
      </w:r>
      <w:r w:rsidRPr="009C665E">
        <w:rPr>
          <w:rFonts w:cs="Times New Roman"/>
          <w:lang w:val="fr-CA"/>
        </w:rPr>
        <w:t>de 140 pages de documents concernant les résultats de l’examen auquel avait procédé un comité externe d’examen par des pairs au sujet des conclusions tirées par le D</w:t>
      </w:r>
      <w:r w:rsidRPr="009C665E">
        <w:rPr>
          <w:rFonts w:cs="Times New Roman"/>
          <w:vertAlign w:val="superscript"/>
          <w:lang w:val="fr-CA"/>
        </w:rPr>
        <w:t>r</w:t>
      </w:r>
      <w:r w:rsidRPr="009C665E">
        <w:rPr>
          <w:rFonts w:cs="Times New Roman"/>
          <w:lang w:val="fr-CA"/>
        </w:rPr>
        <w:t xml:space="preserve"> Matshes dans de nombreux dossiers, dont celui relatif au décès </w:t>
      </w:r>
      <w:r w:rsidRPr="009C665E">
        <w:rPr>
          <w:rFonts w:eastAsiaTheme="minorEastAsia" w:cs="Times New Roman"/>
          <w:lang w:val="fr-CA"/>
        </w:rPr>
        <w:t>de l’enfant en cause en l’espèce.</w:t>
      </w:r>
      <w:r w:rsidRPr="009C665E">
        <w:rPr>
          <w:rFonts w:cs="Times New Roman"/>
          <w:lang w:val="fr-CA"/>
        </w:rPr>
        <w:t xml:space="preserve"> Le comité, composé de trois médecins légistes, avait conclu que les opinions exprimées par le D</w:t>
      </w:r>
      <w:r w:rsidRPr="009C665E">
        <w:rPr>
          <w:rFonts w:cs="Times New Roman"/>
          <w:vertAlign w:val="superscript"/>
          <w:lang w:val="fr-CA"/>
        </w:rPr>
        <w:t>r</w:t>
      </w:r>
      <w:r w:rsidRPr="009C665E">
        <w:rPr>
          <w:rFonts w:cs="Times New Roman"/>
          <w:lang w:val="fr-CA"/>
        </w:rPr>
        <w:t xml:space="preserve"> Matshes à la police et à la procureure de la Couronne </w:t>
      </w:r>
      <w:r w:rsidRPr="009C665E">
        <w:rPr>
          <w:rFonts w:eastAsiaTheme="minorEastAsia" w:cs="Times New Roman"/>
          <w:smallCaps/>
          <w:lang w:val="fr-CA"/>
        </w:rPr>
        <w:t>[traduction]</w:t>
      </w:r>
      <w:r w:rsidRPr="009C665E">
        <w:rPr>
          <w:rFonts w:eastAsiaTheme="minorEastAsia" w:cs="Times New Roman"/>
          <w:lang w:val="fr-CA"/>
        </w:rPr>
        <w:t xml:space="preserve"> « </w:t>
      </w:r>
      <w:r w:rsidRPr="009C665E">
        <w:rPr>
          <w:rFonts w:cs="Times New Roman"/>
          <w:lang w:val="fr-CA"/>
        </w:rPr>
        <w:t xml:space="preserve">n’étaient pas raisonnables », et </w:t>
      </w:r>
      <w:r w:rsidRPr="009C665E">
        <w:rPr>
          <w:rFonts w:cs="Times New Roman"/>
          <w:lang w:val="fr-CA"/>
        </w:rPr>
        <w:lastRenderedPageBreak/>
        <w:t>que ses conclusions quant à la cause et aux circonstances du décès étaient également déraisonnables</w:t>
      </w:r>
      <w:r w:rsidRPr="009C665E">
        <w:rPr>
          <w:rFonts w:eastAsiaTheme="minorEastAsia" w:cs="Times New Roman"/>
          <w:lang w:val="fr-CA"/>
        </w:rPr>
        <w:t xml:space="preserve"> (motifs de la C.A., par. 62 et 64; d.a., vol. </w:t>
      </w:r>
      <w:r w:rsidRPr="009C665E">
        <w:rPr>
          <w:rFonts w:eastAsiaTheme="minorEastAsia" w:cs="Times New Roman"/>
        </w:rPr>
        <w:t>II, p. 15; d.a., vol. VI, onglet 13).</w:t>
      </w:r>
    </w:p>
    <w:p w14:paraId="45E7EBBA"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De plus, avant le plaidoyer de culpabilité de M</w:t>
      </w:r>
      <w:r w:rsidRPr="009C665E">
        <w:rPr>
          <w:rFonts w:cs="Times New Roman"/>
          <w:vertAlign w:val="superscript"/>
          <w:lang w:val="fr-CA"/>
        </w:rPr>
        <w:t>me</w:t>
      </w:r>
      <w:r w:rsidRPr="009C665E">
        <w:rPr>
          <w:rFonts w:cs="Times New Roman"/>
          <w:lang w:val="fr-CA"/>
        </w:rPr>
        <w:t> Bouvette, la Couronne avait estimé que, sur les quatre déclarations faites par M</w:t>
      </w:r>
      <w:r w:rsidRPr="009C665E">
        <w:rPr>
          <w:rFonts w:cs="Times New Roman"/>
          <w:vertAlign w:val="superscript"/>
          <w:lang w:val="fr-CA"/>
        </w:rPr>
        <w:t>me</w:t>
      </w:r>
      <w:r w:rsidRPr="009C665E">
        <w:rPr>
          <w:rFonts w:cs="Times New Roman"/>
          <w:lang w:val="fr-CA"/>
        </w:rPr>
        <w:t> Bouvette à la police, la quatrième n’était pas volontaire et ne pouvait pas être légalement utilisée en preuve contre elle. Or, la Couronne n’avait fait part de cette décision ni à M</w:t>
      </w:r>
      <w:r w:rsidRPr="009C665E">
        <w:rPr>
          <w:rFonts w:cs="Times New Roman"/>
          <w:vertAlign w:val="superscript"/>
          <w:lang w:val="fr-CA"/>
        </w:rPr>
        <w:t>me</w:t>
      </w:r>
      <w:r w:rsidRPr="009C665E">
        <w:rPr>
          <w:rFonts w:cs="Times New Roman"/>
          <w:lang w:val="fr-CA"/>
        </w:rPr>
        <w:t> Bouvette ni à son avocat avant d’accepter son plaidoyer de culpabilité.</w:t>
      </w:r>
    </w:p>
    <w:p w14:paraId="6D4B0992"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Le tribunal de première instance a accepté le plaidoyer de culpabilité de M</w:t>
      </w:r>
      <w:r w:rsidRPr="009C665E">
        <w:rPr>
          <w:rFonts w:cs="Times New Roman"/>
          <w:vertAlign w:val="superscript"/>
          <w:lang w:val="fr-CA"/>
        </w:rPr>
        <w:t>me</w:t>
      </w:r>
      <w:r w:rsidRPr="009C665E">
        <w:rPr>
          <w:rFonts w:cs="Times New Roman"/>
          <w:lang w:val="fr-CA"/>
        </w:rPr>
        <w:t xml:space="preserve"> Bouvette, qui a été inscrit en son nom par son avocat. Il n’y a eu aucune enquête sur la compréhension du plaidoyer comme l’exige le par. 606(1.1) du </w:t>
      </w:r>
      <w:r w:rsidRPr="009C665E">
        <w:rPr>
          <w:rFonts w:cs="Times New Roman"/>
          <w:i/>
          <w:lang w:val="fr-CA"/>
        </w:rPr>
        <w:t>Code</w:t>
      </w:r>
      <w:r w:rsidRPr="009C665E">
        <w:rPr>
          <w:rFonts w:cs="Times New Roman"/>
          <w:lang w:val="fr-CA"/>
        </w:rPr>
        <w:t>.</w:t>
      </w:r>
      <w:r w:rsidRPr="009C665E">
        <w:rPr>
          <w:rFonts w:cs="Times New Roman"/>
          <w:i/>
          <w:lang w:val="fr-CA"/>
        </w:rPr>
        <w:t xml:space="preserve"> </w:t>
      </w:r>
      <w:r w:rsidRPr="009C665E">
        <w:rPr>
          <w:rFonts w:cs="Times New Roman"/>
          <w:lang w:val="fr-CA"/>
        </w:rPr>
        <w:t>Le tribunal a reconnu M</w:t>
      </w:r>
      <w:r w:rsidRPr="009C665E">
        <w:rPr>
          <w:rFonts w:cs="Times New Roman"/>
          <w:vertAlign w:val="superscript"/>
          <w:lang w:val="fr-CA"/>
        </w:rPr>
        <w:t>me</w:t>
      </w:r>
      <w:r w:rsidRPr="009C665E">
        <w:rPr>
          <w:rFonts w:cs="Times New Roman"/>
          <w:lang w:val="fr-CA"/>
        </w:rPr>
        <w:t> Bouvette coupable de négligence criminelle ayant causé la mort et l’a condamnée à une peine d’emprisonnement de 12 mois avec probation. Elle a purgé cette peine et a subi d’autres préjudices importants. Au moment du décès de l’enfant, elle avait la garde de ses quatre enfants et elle ne consommait pas de drogue et ne buvait pas d’alcool. Après son arrestation initiale, elle a commencé à consommer du crack et a perdu la garde de ses enfants. Depuis sa déclaration de culpabilité, sa vie a été marquée par la toxicomanie, l’itinérance, la pauvreté et une mauvaise santé mentale et physique.</w:t>
      </w:r>
    </w:p>
    <w:p w14:paraId="72BB1F6C" w14:textId="77777777" w:rsidR="009C665E" w:rsidRPr="009C665E" w:rsidRDefault="009C665E" w:rsidP="009C665E">
      <w:pPr>
        <w:pStyle w:val="ParaNoNdepar-AltN"/>
        <w:tabs>
          <w:tab w:val="clear" w:pos="1166"/>
          <w:tab w:val="num" w:pos="1152"/>
        </w:tabs>
        <w:rPr>
          <w:rFonts w:cs="Times New Roman"/>
          <w:lang w:val="fr-CA"/>
        </w:rPr>
      </w:pPr>
      <w:r w:rsidRPr="009C665E">
        <w:rPr>
          <w:rFonts w:cs="Times New Roman"/>
          <w:lang w:val="fr-CA"/>
        </w:rPr>
        <w:t>À la fin de 2019, l’avocat de M</w:t>
      </w:r>
      <w:r w:rsidRPr="009C665E">
        <w:rPr>
          <w:rFonts w:cs="Times New Roman"/>
          <w:vertAlign w:val="superscript"/>
          <w:lang w:val="fr-CA"/>
        </w:rPr>
        <w:t>me</w:t>
      </w:r>
      <w:r w:rsidRPr="009C665E">
        <w:rPr>
          <w:rFonts w:cs="Times New Roman"/>
          <w:lang w:val="fr-CA"/>
        </w:rPr>
        <w:t> Bouvette a été mis au courant des réserves exprimées au sujet du travail du D</w:t>
      </w:r>
      <w:r w:rsidRPr="009C665E">
        <w:rPr>
          <w:rFonts w:cs="Times New Roman"/>
          <w:vertAlign w:val="superscript"/>
          <w:lang w:val="fr-CA"/>
        </w:rPr>
        <w:t>r</w:t>
      </w:r>
      <w:r w:rsidRPr="009C665E">
        <w:rPr>
          <w:rFonts w:cs="Times New Roman"/>
          <w:lang w:val="fr-CA"/>
        </w:rPr>
        <w:t xml:space="preserve"> Matshes. L’émission de télévision </w:t>
      </w:r>
      <w:r w:rsidRPr="009C665E">
        <w:rPr>
          <w:rFonts w:cs="Times New Roman"/>
          <w:i/>
          <w:iCs/>
          <w:lang w:val="fr-CA"/>
        </w:rPr>
        <w:lastRenderedPageBreak/>
        <w:t>The Fifth Estate</w:t>
      </w:r>
      <w:r w:rsidRPr="009C665E">
        <w:rPr>
          <w:rFonts w:cs="Times New Roman"/>
          <w:lang w:val="fr-CA"/>
        </w:rPr>
        <w:t xml:space="preserve"> a diffusé un reportage sur ce dernier. En janvier 2020, le service des poursuites de la Colombie</w:t>
      </w:r>
      <w:r w:rsidRPr="009C665E">
        <w:rPr>
          <w:rFonts w:cs="Times New Roman"/>
          <w:lang w:val="fr-CA"/>
        </w:rPr>
        <w:noBreakHyphen/>
        <w:t>Britannique a annoncé la nomination d’une procureure spéciale. Celle</w:t>
      </w:r>
      <w:r w:rsidRPr="009C665E">
        <w:rPr>
          <w:rFonts w:cs="Times New Roman"/>
          <w:lang w:val="fr-CA"/>
        </w:rPr>
        <w:noBreakHyphen/>
        <w:t>ci a procédé à un examen indépendant pour déterminer si une erreur judiciaire avait été commise et elle a pris des mesures correctives lorsque l’ensemble des circonstances entourant le plaidoyer de culpabilité et la déclaration de culpabilité de M</w:t>
      </w:r>
      <w:r w:rsidRPr="009C665E">
        <w:rPr>
          <w:rFonts w:cs="Times New Roman"/>
          <w:vertAlign w:val="superscript"/>
          <w:lang w:val="fr-CA"/>
        </w:rPr>
        <w:t>me</w:t>
      </w:r>
      <w:r w:rsidRPr="009C665E">
        <w:rPr>
          <w:rFonts w:cs="Times New Roman"/>
          <w:lang w:val="fr-CA"/>
        </w:rPr>
        <w:t> Bouvette a été mis au jour. En mars 2021, M</w:t>
      </w:r>
      <w:r w:rsidRPr="009C665E">
        <w:rPr>
          <w:rFonts w:cs="Times New Roman"/>
          <w:vertAlign w:val="superscript"/>
          <w:lang w:val="fr-CA"/>
        </w:rPr>
        <w:t>me</w:t>
      </w:r>
      <w:r w:rsidRPr="009C665E">
        <w:rPr>
          <w:rFonts w:cs="Times New Roman"/>
          <w:lang w:val="fr-CA"/>
        </w:rPr>
        <w:t> Bouvette a déposé un avis d’appel et a demandé la prorogation du délai qui lui était imparti pour interjeter appel de sa déclaration de culpabilité. La Cour d’appel a accordé la prorogation avec le consentement de la Couronne.</w:t>
      </w:r>
    </w:p>
    <w:p w14:paraId="0FB155F8"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Devant la Cour d’appel, la Couronne a fait trois concessions cruciales. Tout d’abord, elle a reconnu avoir manqué à ses obligations de communication et que ce manquement avait causé un préjudice grave à M</w:t>
      </w:r>
      <w:r w:rsidRPr="009C665E">
        <w:rPr>
          <w:rFonts w:cs="Times New Roman"/>
          <w:vertAlign w:val="superscript"/>
          <w:lang w:val="fr-CA"/>
        </w:rPr>
        <w:t>me</w:t>
      </w:r>
      <w:r w:rsidRPr="009C665E">
        <w:rPr>
          <w:rFonts w:cs="Times New Roman"/>
          <w:lang w:val="fr-CA"/>
        </w:rPr>
        <w:t> Bouvette; elle a ensuite admis que, en raison de ce préjudice, le plaidoyer de culpabilité de l’appelante avait été le fruit d’une erreur judiciaire et pouvait être retiré et que sa déclaration de culpabilité pouvait être annulée. Ensuite, la Couronne a demandé à la Cour d’appel d’acquitter M</w:t>
      </w:r>
      <w:r w:rsidRPr="009C665E">
        <w:rPr>
          <w:rFonts w:cs="Times New Roman"/>
          <w:vertAlign w:val="superscript"/>
          <w:lang w:val="fr-CA"/>
        </w:rPr>
        <w:t>me</w:t>
      </w:r>
      <w:r w:rsidRPr="009C665E">
        <w:rPr>
          <w:rFonts w:cs="Times New Roman"/>
          <w:lang w:val="fr-CA"/>
        </w:rPr>
        <w:t xml:space="preserve"> Bouvette des accusations qui étaient encore pendantes contre elle, étant entendu que l’annulation de son plaidoyer de culpabilité ou de sa déclaration de culpabilité ne faisait pas disparaître les accusations en question. Enfin, la Couronne a reconnu et plaidé qu’au vu du dossier de première instance auquel s’ajoutaient les nouveaux éléments de preuve, aucun jury raisonnable, dûment instruit, ne pourrait rendre un verdict de culpabilité contre l’appelante dans le cadre d’un nouveau procès. À titre subsidiaire, la Couronne a réclamé un acquittement au motif que, lors d’un </w:t>
      </w:r>
      <w:r w:rsidRPr="009C665E">
        <w:rPr>
          <w:rFonts w:cs="Times New Roman"/>
          <w:lang w:val="fr-CA"/>
        </w:rPr>
        <w:lastRenderedPageBreak/>
        <w:t xml:space="preserve">hypothétique nouveau procès, il était plus probable qu’improbable que l’appelante serait acquittée, en application de l’arrêt </w:t>
      </w:r>
      <w:r w:rsidRPr="009C665E">
        <w:rPr>
          <w:rFonts w:cs="Times New Roman"/>
          <w:i/>
          <w:lang w:val="fr-CA"/>
        </w:rPr>
        <w:t>Truscott</w:t>
      </w:r>
      <w:r w:rsidRPr="009C665E">
        <w:rPr>
          <w:rFonts w:cs="Times New Roman"/>
          <w:lang w:val="fr-CA"/>
        </w:rPr>
        <w:t>.</w:t>
      </w:r>
    </w:p>
    <w:p w14:paraId="213BB595"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Reconnaissant qu’une erreur judiciaire avait été commise, la Cour d’appel a permis à M</w:t>
      </w:r>
      <w:r w:rsidRPr="009C665E">
        <w:rPr>
          <w:rFonts w:cs="Times New Roman"/>
          <w:vertAlign w:val="superscript"/>
          <w:lang w:val="fr-CA"/>
        </w:rPr>
        <w:t>me</w:t>
      </w:r>
      <w:r w:rsidRPr="009C665E">
        <w:rPr>
          <w:rFonts w:cs="Times New Roman"/>
          <w:lang w:val="fr-CA"/>
        </w:rPr>
        <w:t> Bouvette de retirer son plaidoyer de culpabilité et a annulé sa déclaration de culpabilité pour négligence criminelle ayant causé la mort. Elle a déclaré : [</w:t>
      </w:r>
      <w:r w:rsidRPr="009C665E">
        <w:rPr>
          <w:rFonts w:cs="Times New Roman"/>
          <w:smallCaps/>
          <w:lang w:val="fr-CA"/>
        </w:rPr>
        <w:t>traduction]</w:t>
      </w:r>
      <w:r w:rsidRPr="009C665E">
        <w:rPr>
          <w:rFonts w:cs="Times New Roman"/>
          <w:lang w:val="fr-CA"/>
        </w:rPr>
        <w:t xml:space="preserve"> « Il n’est pas difficile de concevoir pourquoi, sans disposer de renseignements cruciaux susceptibles de l’aider, cette appelante marginalisée, dépassée par les événements et présentant une déficience intellectuelle, inscrirait un plaidoyer de culpabilité à l’égard d’une infraction moindre » (par. 110).</w:t>
      </w:r>
    </w:p>
    <w:p w14:paraId="0AB1C83C"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La Cour d’appel n’a toutefois pas retenu la proposition de la Couronne de prononcer l’acquittement et a plutôt exercé le pouvoir discrétionnaire accessoire que lui confère le par. 686(8) pour ordonner l’arrêt des procédures. La Cour d’appel a rejeté la recommandation conjointe des parties et a tiré sa propre conclusion quant à savoir si le dossier résiduel admettait néanmoins l’existence d’une possibilité raisonnable qu’un verdict de culpabilité soit rendu. Tout en sachant que la Couronne avait affirmé qu’elle ne présenterait pas les avis du D</w:t>
      </w:r>
      <w:r w:rsidRPr="009C665E">
        <w:rPr>
          <w:rFonts w:cs="Times New Roman"/>
          <w:vertAlign w:val="superscript"/>
          <w:lang w:val="fr-CA"/>
        </w:rPr>
        <w:t>r</w:t>
      </w:r>
      <w:r w:rsidRPr="009C665E">
        <w:rPr>
          <w:rFonts w:cs="Times New Roman"/>
          <w:lang w:val="fr-CA"/>
        </w:rPr>
        <w:t> Matshes dans le cadre d’un hypothétique nouveau procès et ne s’appuierait pas sur eux, la Cour d’appel a estimé qu’un jury raisonnable, dûment instruit, pourrait quand même déclarer M</w:t>
      </w:r>
      <w:r w:rsidRPr="009C665E">
        <w:rPr>
          <w:rFonts w:cs="Times New Roman"/>
          <w:vertAlign w:val="superscript"/>
          <w:lang w:val="fr-CA"/>
        </w:rPr>
        <w:t>me</w:t>
      </w:r>
      <w:r w:rsidRPr="009C665E">
        <w:rPr>
          <w:rFonts w:cs="Times New Roman"/>
          <w:lang w:val="fr-CA"/>
        </w:rPr>
        <w:t xml:space="preserve"> Bouvette coupable de négligence criminelle, en se fondant principalement sur la conclusion qu’en laissant une enfant de 19 mois blessée sans surveillance dans une baignoire pendant une minute, elle avait eu </w:t>
      </w:r>
      <w:r w:rsidRPr="009C665E">
        <w:rPr>
          <w:rFonts w:cs="Times New Roman"/>
          <w:lang w:val="fr-CA"/>
        </w:rPr>
        <w:lastRenderedPageBreak/>
        <w:t>une conduite qui constituait [</w:t>
      </w:r>
      <w:r w:rsidRPr="009C665E">
        <w:rPr>
          <w:rFonts w:cs="Times New Roman"/>
          <w:smallCaps/>
          <w:lang w:val="fr-CA"/>
        </w:rPr>
        <w:t>traduction</w:t>
      </w:r>
      <w:r w:rsidRPr="009C665E">
        <w:rPr>
          <w:rFonts w:cs="Times New Roman"/>
          <w:lang w:val="fr-CA"/>
        </w:rPr>
        <w:t>] « un écart marqué et important par rapport à [celle] qu’aurait eue une personne raisonnable dans [s]a même situation » (par. 133).</w:t>
      </w:r>
    </w:p>
    <w:p w14:paraId="615B54A0"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La cour s’est ensuite demandé si elle devait exercer son pouvoir discrétionnaire de réparation et prononcer un acquittement pour cause d’erreur judiciaire en vertu de l’al. 686(2)a). Elle a établi une distinction entre la présente espèce et l’affaire </w:t>
      </w:r>
      <w:r w:rsidRPr="009C665E">
        <w:rPr>
          <w:rFonts w:cs="Times New Roman"/>
          <w:i/>
          <w:lang w:val="fr-CA"/>
        </w:rPr>
        <w:t>Truscott</w:t>
      </w:r>
      <w:r w:rsidRPr="009C665E">
        <w:rPr>
          <w:rFonts w:cs="Times New Roman"/>
          <w:lang w:val="fr-CA"/>
        </w:rPr>
        <w:t xml:space="preserve"> et conclu qu’un acquittement n’était possible que dans des </w:t>
      </w:r>
      <w:r w:rsidRPr="009C665E">
        <w:rPr>
          <w:rFonts w:cs="Times New Roman"/>
          <w:smallCaps/>
          <w:lang w:val="fr-CA"/>
        </w:rPr>
        <w:t>[traduction]</w:t>
      </w:r>
      <w:r w:rsidRPr="009C665E">
        <w:rPr>
          <w:rFonts w:cs="Times New Roman"/>
          <w:lang w:val="fr-CA"/>
        </w:rPr>
        <w:t xml:space="preserve"> « circonstances exceptionnelles », dont nécessairement celle de ne pas pouvoir tenir un nouveau procès (par. 115).</w:t>
      </w:r>
    </w:p>
    <w:p w14:paraId="07CA6C20"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Devant notre Cour, l’appelante avance deux principaux arguments. Elle soutient tout d’abord que la Cour d’appel a commis une erreur en concluant qu’un jury dûment instruit pourrait rendre un verdict de culpabilité même si la Couronne avait admis que, une fois le rapport du pathologiste expurgé, la preuve qui demeurait au dossier ne pouvait justifier une déclaration de culpabilité dans le cadre d’un hypothétique nouveau procès. Elle affirme ensuite que la Cour d’appel a commis une erreur en interprétant de façon restrictive la compétence que confère l’al. 686(2)a) aux cours d’appel, et qui leur reconnaît le vaste pouvoir discrétionnaire de prononcer un acquittement si l’intérêt de la justice l’exige. L’appelante soutient qu’elle aurait dû être acquittée, car elle a purgé sa peine depuis longtemps et a subi un tort considérable en raison d’une erreur judiciaire.</w:t>
      </w:r>
    </w:p>
    <w:p w14:paraId="7BA2AD9C"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Bien qu’elle ait adopté une position différente devant la Cour d’appel, la Couronne soutient maintenant qu’un jury raisonnable pourrait rendre un verdict de </w:t>
      </w:r>
      <w:r w:rsidRPr="009C665E">
        <w:rPr>
          <w:rFonts w:cs="Times New Roman"/>
          <w:lang w:val="fr-CA"/>
        </w:rPr>
        <w:lastRenderedPageBreak/>
        <w:t>culpabilité au vu de la preuve, mais qu’un acquittement devrait être inscrit en raison de l’existence de circonstances exceptionnelles. En adoptant cette nouvelle position, la Couronne fait ressortir avec encore plus d’acuité la principale question qui nous est soumise, soit celle du critère qui doit s’appliquer aux acquittements pour cause d’erreur judiciaire dans les cas où un jury raisonnable pourrait rendre un verdict de culpabilité lors d’un hypothétique nouveau procès.</w:t>
      </w:r>
    </w:p>
    <w:p w14:paraId="2AEB3D66" w14:textId="77777777" w:rsidR="009C665E" w:rsidRPr="009C665E" w:rsidRDefault="009C665E" w:rsidP="009C665E">
      <w:pPr>
        <w:pStyle w:val="Title1LevelTitre1Niveau-AltL"/>
        <w:widowControl w:val="0"/>
        <w:numPr>
          <w:ilvl w:val="0"/>
          <w:numId w:val="7"/>
        </w:numPr>
        <w:tabs>
          <w:tab w:val="clear" w:pos="3553"/>
          <w:tab w:val="num" w:pos="576"/>
        </w:tabs>
        <w:spacing w:before="0"/>
        <w:ind w:left="576"/>
        <w:rPr>
          <w:rFonts w:cs="Times New Roman"/>
          <w:lang w:val="fr-CA"/>
        </w:rPr>
      </w:pPr>
      <w:r w:rsidRPr="009C665E">
        <w:rPr>
          <w:rFonts w:cs="Times New Roman"/>
          <w:lang w:val="fr-CA"/>
        </w:rPr>
        <w:t>Analyse</w:t>
      </w:r>
    </w:p>
    <w:p w14:paraId="1D9F321F"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t>Je passerai d’abord en revue le cadre législatif. J’examinerai ensuite les deux autres motifs invoqués par l’appelante pour affirmer qu’un acquittement est justifié en application du sous</w:t>
      </w:r>
      <w:r w:rsidRPr="009C665E">
        <w:rPr>
          <w:rFonts w:cs="Times New Roman"/>
          <w:lang w:val="fr-CA"/>
        </w:rPr>
        <w:noBreakHyphen/>
        <w:t>al. 686(1</w:t>
      </w:r>
      <w:proofErr w:type="gramStart"/>
      <w:r w:rsidRPr="009C665E">
        <w:rPr>
          <w:rFonts w:cs="Times New Roman"/>
          <w:lang w:val="fr-CA"/>
        </w:rPr>
        <w:t>)a)(</w:t>
      </w:r>
      <w:proofErr w:type="gramEnd"/>
      <w:r w:rsidRPr="009C665E">
        <w:rPr>
          <w:rFonts w:cs="Times New Roman"/>
          <w:lang w:val="fr-CA"/>
        </w:rPr>
        <w:t>iii) afin de remédier à l’erreur judiciaire dont l’existence a été démontrée. Comme je l’expliquerai, la Cour d’appel a eu raison de conclure qu’un jury raisonnable pouvait rendre un verdict de culpabilité au vu de la preuve, mais elle a commis une erreur en ne prononçant pas un acquittement compte tenu de l’ensemble des circonstances de l’espèce.</w:t>
      </w:r>
    </w:p>
    <w:p w14:paraId="7F528E59" w14:textId="77777777" w:rsidR="009C665E" w:rsidRPr="009C665E" w:rsidRDefault="009C665E" w:rsidP="009C665E">
      <w:pPr>
        <w:pStyle w:val="Title2LevelTitre2Niveau"/>
        <w:widowControl w:val="0"/>
        <w:numPr>
          <w:ilvl w:val="1"/>
          <w:numId w:val="7"/>
        </w:numPr>
        <w:spacing w:before="0"/>
        <w:rPr>
          <w:rFonts w:cs="Times New Roman"/>
          <w:lang w:val="fr-CA"/>
        </w:rPr>
      </w:pPr>
      <w:r w:rsidRPr="009C665E">
        <w:rPr>
          <w:rFonts w:cs="Times New Roman"/>
          <w:lang w:val="fr-CA"/>
        </w:rPr>
        <w:t>Le régime législatif confère aux cours d’appel un large pouvoir leur permettant de prononcer un acquittement pour cause d’erreur judiciaire en vertu du par. 686(2) dans une multitude de scénarios</w:t>
      </w:r>
    </w:p>
    <w:p w14:paraId="1D2BEA4A"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t xml:space="preserve">Il convient de rappeler que, avant toute chose, après avoir annulé la déclaration de culpabilité pour quelque motif que ce soit, le tribunal dispose d’un large pouvoir discrétionnaire, fondé sur le libellé explicite du par. 686(2), pour inscrire un acquittement ou ordonner la tenue d’un nouveau procès. En dernier recours, le tribunal </w:t>
      </w:r>
      <w:r w:rsidRPr="009C665E">
        <w:rPr>
          <w:rFonts w:cs="Times New Roman"/>
          <w:lang w:val="fr-CA"/>
        </w:rPr>
        <w:lastRenderedPageBreak/>
        <w:t xml:space="preserve">peut prononcer l’arrêt des procédures à titre d’ordonnance accessoire en vertu du par. 686(8). L’article 686 du </w:t>
      </w:r>
      <w:r w:rsidRPr="009C665E">
        <w:rPr>
          <w:rFonts w:cs="Times New Roman"/>
          <w:i/>
          <w:lang w:val="fr-CA"/>
        </w:rPr>
        <w:t>Code</w:t>
      </w:r>
      <w:r w:rsidRPr="009C665E">
        <w:rPr>
          <w:rFonts w:cs="Times New Roman"/>
          <w:lang w:val="fr-CA"/>
        </w:rPr>
        <w:t xml:space="preserve"> est ainsi libellé :</w:t>
      </w:r>
    </w:p>
    <w:p w14:paraId="38C7D966" w14:textId="77777777" w:rsidR="009C665E" w:rsidRPr="009C665E" w:rsidRDefault="009C665E" w:rsidP="009C665E">
      <w:pPr>
        <w:pStyle w:val="subsection"/>
        <w:shd w:val="clear" w:color="auto" w:fill="FFFFFF"/>
        <w:tabs>
          <w:tab w:val="left" w:pos="1170"/>
        </w:tabs>
        <w:spacing w:before="0" w:beforeAutospacing="0" w:after="240" w:afterAutospacing="0"/>
        <w:ind w:left="1170" w:hanging="360"/>
        <w:jc w:val="both"/>
      </w:pPr>
      <w:r w:rsidRPr="009C665E">
        <w:rPr>
          <w:rStyle w:val="sectionlabel"/>
          <w:rFonts w:eastAsiaTheme="majorEastAsia"/>
          <w:b/>
          <w:bCs/>
        </w:rPr>
        <w:tab/>
        <w:t>686</w:t>
      </w:r>
      <w:r w:rsidRPr="009C665E">
        <w:t> </w:t>
      </w:r>
      <w:r w:rsidRPr="009C665E">
        <w:rPr>
          <w:rStyle w:val="lawlabel"/>
          <w:rFonts w:eastAsiaTheme="majorEastAsia"/>
          <w:b/>
          <w:bCs/>
        </w:rPr>
        <w:t>(1)</w:t>
      </w:r>
      <w:r w:rsidRPr="009C665E">
        <w:t> Lors de l’audition d’un appel d’une déclaration de culpabilité ou d’un verdict d’inaptitude à subir son procès ou de non</w:t>
      </w:r>
      <w:r w:rsidRPr="009C665E">
        <w:noBreakHyphen/>
        <w:t>responsabilité criminelle pour cause de troubles mentaux, la cour d’appel :</w:t>
      </w:r>
    </w:p>
    <w:p w14:paraId="65EBE097" w14:textId="77777777" w:rsidR="009C665E" w:rsidRPr="009C665E" w:rsidRDefault="009C665E" w:rsidP="009C665E">
      <w:pPr>
        <w:pStyle w:val="paragraph"/>
        <w:shd w:val="clear" w:color="auto" w:fill="FFFFFF"/>
        <w:tabs>
          <w:tab w:val="left" w:pos="1440"/>
        </w:tabs>
        <w:spacing w:before="0" w:beforeAutospacing="0" w:after="240" w:afterAutospacing="0"/>
        <w:ind w:left="1440" w:hanging="357"/>
        <w:jc w:val="both"/>
      </w:pPr>
      <w:r w:rsidRPr="009C665E">
        <w:rPr>
          <w:rStyle w:val="lawlabel"/>
          <w:rFonts w:eastAsiaTheme="majorEastAsia"/>
          <w:b/>
          <w:bCs/>
        </w:rPr>
        <w:tab/>
        <w:t>a)</w:t>
      </w:r>
      <w:r w:rsidRPr="009C665E">
        <w:t> peut admettre l’appel, si elle est d’avis, selon le cas :</w:t>
      </w:r>
    </w:p>
    <w:p w14:paraId="2513E616" w14:textId="77777777" w:rsidR="009C665E" w:rsidRPr="009C665E" w:rsidRDefault="009C665E" w:rsidP="009C665E">
      <w:pPr>
        <w:pStyle w:val="subparagraph"/>
        <w:shd w:val="clear" w:color="auto" w:fill="FFFFFF"/>
        <w:tabs>
          <w:tab w:val="left" w:pos="1800"/>
        </w:tabs>
        <w:spacing w:before="0" w:beforeAutospacing="0" w:after="240" w:afterAutospacing="0"/>
        <w:ind w:left="1800" w:hanging="357"/>
        <w:jc w:val="both"/>
      </w:pPr>
      <w:r w:rsidRPr="009C665E">
        <w:rPr>
          <w:rStyle w:val="lawlabel"/>
          <w:rFonts w:eastAsiaTheme="majorEastAsia"/>
          <w:b/>
          <w:bCs/>
        </w:rPr>
        <w:tab/>
        <w:t>(i)</w:t>
      </w:r>
      <w:r w:rsidRPr="009C665E">
        <w:t> que le verdict devrait être rejeté pour le motif qu’il est déraisonnable ou ne peut pas s’appuyer sur la preuve,</w:t>
      </w:r>
    </w:p>
    <w:p w14:paraId="076E9CAF" w14:textId="77777777" w:rsidR="009C665E" w:rsidRPr="009C665E" w:rsidRDefault="009C665E" w:rsidP="009C665E">
      <w:pPr>
        <w:pStyle w:val="subparagraph"/>
        <w:shd w:val="clear" w:color="auto" w:fill="FFFFFF"/>
        <w:tabs>
          <w:tab w:val="left" w:pos="1800"/>
        </w:tabs>
        <w:spacing w:before="0" w:beforeAutospacing="0" w:after="240" w:afterAutospacing="0"/>
        <w:ind w:left="1800" w:hanging="357"/>
        <w:jc w:val="both"/>
      </w:pPr>
      <w:r w:rsidRPr="009C665E">
        <w:rPr>
          <w:rStyle w:val="lawlabel"/>
          <w:rFonts w:eastAsiaTheme="majorEastAsia"/>
          <w:b/>
          <w:bCs/>
        </w:rPr>
        <w:tab/>
        <w:t>(ii)</w:t>
      </w:r>
      <w:r w:rsidRPr="009C665E">
        <w:t> que le jugement du tribunal de première instance devrait être écarté pour le motif qu’il constitue une décision erronée sur une question de droit,</w:t>
      </w:r>
    </w:p>
    <w:p w14:paraId="397D8C03" w14:textId="77777777" w:rsidR="009C665E" w:rsidRPr="009C665E" w:rsidRDefault="009C665E" w:rsidP="009C665E">
      <w:pPr>
        <w:pStyle w:val="subparagraph"/>
        <w:shd w:val="clear" w:color="auto" w:fill="FFFFFF"/>
        <w:tabs>
          <w:tab w:val="left" w:pos="1800"/>
        </w:tabs>
        <w:spacing w:before="0" w:beforeAutospacing="0" w:after="240" w:afterAutospacing="0"/>
        <w:ind w:left="1800" w:hanging="357"/>
        <w:jc w:val="both"/>
      </w:pPr>
      <w:r w:rsidRPr="009C665E">
        <w:rPr>
          <w:rStyle w:val="lawlabel"/>
          <w:rFonts w:eastAsiaTheme="majorEastAsia"/>
          <w:b/>
          <w:bCs/>
        </w:rPr>
        <w:tab/>
        <w:t>(iii)</w:t>
      </w:r>
      <w:r w:rsidRPr="009C665E">
        <w:t> que, pour un motif quelconque, il y a eu erreur judiciaire;</w:t>
      </w:r>
    </w:p>
    <w:p w14:paraId="20712FE6" w14:textId="77777777" w:rsidR="009C665E" w:rsidRPr="009C665E" w:rsidRDefault="009C665E" w:rsidP="009C665E">
      <w:pPr>
        <w:pStyle w:val="subparagraph"/>
        <w:shd w:val="clear" w:color="auto" w:fill="FFFFFF"/>
        <w:tabs>
          <w:tab w:val="left" w:pos="4590"/>
        </w:tabs>
        <w:spacing w:before="0" w:beforeAutospacing="0" w:after="240" w:afterAutospacing="0"/>
        <w:ind w:left="4590" w:hanging="357"/>
        <w:jc w:val="both"/>
      </w:pPr>
      <w:r w:rsidRPr="009C665E">
        <w:rPr>
          <w:rStyle w:val="lawlabel"/>
          <w:rFonts w:eastAsiaTheme="majorEastAsia"/>
          <w:b/>
          <w:bCs/>
        </w:rPr>
        <w:tab/>
      </w:r>
      <w:r w:rsidRPr="009C665E">
        <w:t>. . .</w:t>
      </w:r>
    </w:p>
    <w:p w14:paraId="3147581B" w14:textId="77777777" w:rsidR="009C665E" w:rsidRPr="009C665E" w:rsidRDefault="009C665E" w:rsidP="009C665E">
      <w:pPr>
        <w:pStyle w:val="subsection"/>
        <w:shd w:val="clear" w:color="auto" w:fill="FFFFFF"/>
        <w:tabs>
          <w:tab w:val="left" w:pos="1170"/>
        </w:tabs>
        <w:spacing w:before="0" w:beforeAutospacing="0" w:after="240" w:afterAutospacing="0"/>
        <w:ind w:left="1170" w:hanging="360"/>
        <w:jc w:val="both"/>
      </w:pPr>
      <w:r w:rsidRPr="009C665E">
        <w:rPr>
          <w:rStyle w:val="lawlabel"/>
          <w:rFonts w:eastAsiaTheme="majorEastAsia"/>
          <w:b/>
          <w:bCs/>
        </w:rPr>
        <w:tab/>
        <w:t>(2)</w:t>
      </w:r>
      <w:r w:rsidRPr="009C665E">
        <w:t> Lorsqu’une cour d’appel admet un appel en vertu de l’alinéa (1)a), elle annule la condamnation et, selon le cas :</w:t>
      </w:r>
    </w:p>
    <w:p w14:paraId="190BDD93" w14:textId="77777777" w:rsidR="009C665E" w:rsidRPr="009C665E" w:rsidRDefault="009C665E" w:rsidP="009C665E">
      <w:pPr>
        <w:pStyle w:val="paragraph"/>
        <w:shd w:val="clear" w:color="auto" w:fill="FFFFFF"/>
        <w:tabs>
          <w:tab w:val="left" w:pos="1440"/>
        </w:tabs>
        <w:spacing w:before="0" w:beforeAutospacing="0" w:after="240" w:afterAutospacing="0"/>
        <w:ind w:left="1440" w:hanging="357"/>
        <w:jc w:val="both"/>
      </w:pPr>
      <w:r w:rsidRPr="009C665E">
        <w:rPr>
          <w:rStyle w:val="lawlabel"/>
          <w:rFonts w:eastAsiaTheme="majorEastAsia"/>
          <w:b/>
          <w:bCs/>
        </w:rPr>
        <w:tab/>
        <w:t>a)</w:t>
      </w:r>
      <w:r w:rsidRPr="009C665E">
        <w:t> ordonne l’inscription d’un jugement ou verdict d’acquittement;</w:t>
      </w:r>
    </w:p>
    <w:p w14:paraId="77401B1A" w14:textId="77777777" w:rsidR="009C665E" w:rsidRPr="009C665E" w:rsidRDefault="009C665E" w:rsidP="009C665E">
      <w:pPr>
        <w:pStyle w:val="paragraph"/>
        <w:shd w:val="clear" w:color="auto" w:fill="FFFFFF"/>
        <w:tabs>
          <w:tab w:val="left" w:pos="1440"/>
        </w:tabs>
        <w:spacing w:before="0" w:beforeAutospacing="0" w:after="240" w:afterAutospacing="0"/>
        <w:ind w:left="1440" w:hanging="357"/>
        <w:jc w:val="both"/>
      </w:pPr>
      <w:r w:rsidRPr="009C665E">
        <w:rPr>
          <w:rStyle w:val="lawlabel"/>
          <w:rFonts w:eastAsiaTheme="majorEastAsia"/>
          <w:b/>
          <w:bCs/>
        </w:rPr>
        <w:tab/>
        <w:t>b)</w:t>
      </w:r>
      <w:r w:rsidRPr="009C665E">
        <w:t> ordonne un nouveau procès.</w:t>
      </w:r>
    </w:p>
    <w:p w14:paraId="715CB851" w14:textId="77777777" w:rsidR="009C665E" w:rsidRPr="009C665E" w:rsidRDefault="009C665E" w:rsidP="009C665E">
      <w:pPr>
        <w:pStyle w:val="paragraph"/>
        <w:shd w:val="clear" w:color="auto" w:fill="FFFFFF"/>
        <w:tabs>
          <w:tab w:val="left" w:pos="4590"/>
        </w:tabs>
        <w:spacing w:before="0" w:beforeAutospacing="0" w:after="240" w:afterAutospacing="0"/>
        <w:ind w:left="4590" w:hanging="357"/>
        <w:jc w:val="both"/>
      </w:pPr>
      <w:r w:rsidRPr="009C665E">
        <w:rPr>
          <w:rStyle w:val="lawlabel"/>
          <w:rFonts w:eastAsiaTheme="majorEastAsia"/>
          <w:b/>
          <w:bCs/>
        </w:rPr>
        <w:tab/>
      </w:r>
      <w:r w:rsidRPr="009C665E">
        <w:t>. . .</w:t>
      </w:r>
    </w:p>
    <w:p w14:paraId="0D17EFA5" w14:textId="77777777" w:rsidR="009C665E" w:rsidRPr="009C665E" w:rsidRDefault="009C665E" w:rsidP="009C665E">
      <w:pPr>
        <w:pStyle w:val="subsection"/>
        <w:shd w:val="clear" w:color="auto" w:fill="FFFFFF"/>
        <w:tabs>
          <w:tab w:val="left" w:pos="1170"/>
          <w:tab w:val="left" w:pos="4590"/>
        </w:tabs>
        <w:spacing w:before="0" w:beforeAutospacing="0" w:after="720" w:afterAutospacing="0"/>
        <w:ind w:left="1166" w:hanging="360"/>
        <w:jc w:val="both"/>
      </w:pPr>
      <w:r w:rsidRPr="009C665E">
        <w:rPr>
          <w:rStyle w:val="lawlabel"/>
          <w:rFonts w:eastAsiaTheme="majorEastAsia"/>
          <w:b/>
          <w:bCs/>
        </w:rPr>
        <w:tab/>
        <w:t>(8)</w:t>
      </w:r>
      <w:r w:rsidRPr="009C665E">
        <w:t> Lorsqu’une cour d’appel exerce des pouvoirs conférés par le paragraphe (2), (4), (6) ou (7), elle peut en outre rendre toute ordonnance que la justice exige.</w:t>
      </w:r>
    </w:p>
    <w:p w14:paraId="6A5135ED"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t xml:space="preserve">Les dispositions pertinentes du </w:t>
      </w:r>
      <w:r w:rsidRPr="009C665E">
        <w:rPr>
          <w:rFonts w:cs="Times New Roman"/>
          <w:i/>
          <w:lang w:val="fr-CA"/>
        </w:rPr>
        <w:t>Code</w:t>
      </w:r>
      <w:r w:rsidRPr="009C665E">
        <w:rPr>
          <w:rFonts w:cs="Times New Roman"/>
          <w:lang w:val="fr-CA"/>
        </w:rPr>
        <w:t xml:space="preserve"> démontrent clairement que ce sont les cours d’appel qui se sont </w:t>
      </w:r>
      <w:proofErr w:type="gramStart"/>
      <w:r w:rsidRPr="009C665E">
        <w:rPr>
          <w:rFonts w:cs="Times New Roman"/>
          <w:lang w:val="fr-CA"/>
        </w:rPr>
        <w:t>vues</w:t>
      </w:r>
      <w:proofErr w:type="gramEnd"/>
      <w:r w:rsidRPr="009C665E">
        <w:rPr>
          <w:rFonts w:cs="Times New Roman"/>
          <w:lang w:val="fr-CA"/>
        </w:rPr>
        <w:t xml:space="preserve"> conférer une vaste compétence en matière de contrôle des verdicts. Les divers pouvoirs décrits dans cette partie du </w:t>
      </w:r>
      <w:r w:rsidRPr="009C665E">
        <w:rPr>
          <w:rFonts w:cs="Times New Roman"/>
          <w:i/>
          <w:lang w:val="fr-CA"/>
        </w:rPr>
        <w:t>Code</w:t>
      </w:r>
      <w:r w:rsidRPr="009C665E">
        <w:rPr>
          <w:rFonts w:cs="Times New Roman"/>
          <w:lang w:val="fr-CA"/>
        </w:rPr>
        <w:t xml:space="preserve"> sont explicitement conférés aux cours d’appel, dont le rôle est incontestablement un rôle de surveillance, qui fait également partie intégrante de leur raison d’être et qui s’inscrit tout à fait dans </w:t>
      </w:r>
      <w:r w:rsidRPr="009C665E">
        <w:rPr>
          <w:rFonts w:cs="Times New Roman"/>
          <w:lang w:val="fr-CA"/>
        </w:rPr>
        <w:lastRenderedPageBreak/>
        <w:t xml:space="preserve">leur champ d’action traditionnel. Le </w:t>
      </w:r>
      <w:r w:rsidRPr="009C665E">
        <w:rPr>
          <w:rFonts w:cs="Times New Roman"/>
          <w:i/>
          <w:lang w:val="fr-CA"/>
        </w:rPr>
        <w:t>Code</w:t>
      </w:r>
      <w:r w:rsidRPr="009C665E">
        <w:rPr>
          <w:rFonts w:cs="Times New Roman"/>
          <w:lang w:val="fr-CA"/>
        </w:rPr>
        <w:t xml:space="preserve"> exprime un élément essentiel du principe de la primauté du droit, à savoir que les tribunaux, y compris ceux qui sont créés par la loi, sont les gardiens ultimes de la Constitution. Ainsi, en vertu du </w:t>
      </w:r>
      <w:r w:rsidRPr="009C665E">
        <w:rPr>
          <w:rFonts w:cs="Times New Roman"/>
          <w:i/>
          <w:lang w:val="fr-CA"/>
        </w:rPr>
        <w:t>Code</w:t>
      </w:r>
      <w:r w:rsidRPr="009C665E">
        <w:rPr>
          <w:rFonts w:cs="Times New Roman"/>
          <w:lang w:val="fr-CA"/>
        </w:rPr>
        <w:t>, les cours d’appel agissent comme arbitres ultimes pour déterminer quelles ordonnances réparatrices sont justifiées et dans quelles circonstances elles doivent être rendues. Je reconnais que les concessions faites par la Couronne devraient être un facteur important dans l’analyse de la cour. Cela dit, compte tenu du rôle de surveillance ultime de la cour, je ne peux souscrire à l’idée qu’un acquittement « doit » être inscrit parce que la Couronne l’a réclamé et qu’elle a révélé qu’elle ne présenterait aucune preuve dans le cadre d’un nouveau procès (motifs des juges majoritaires, par. 79).</w:t>
      </w:r>
    </w:p>
    <w:p w14:paraId="488EACA6" w14:textId="77777777" w:rsidR="009C665E" w:rsidRPr="009C665E" w:rsidRDefault="009C665E" w:rsidP="009C665E">
      <w:pPr>
        <w:pStyle w:val="Title3LevelTitre3Niveau"/>
        <w:widowControl w:val="0"/>
        <w:numPr>
          <w:ilvl w:val="2"/>
          <w:numId w:val="7"/>
        </w:numPr>
        <w:spacing w:before="0"/>
        <w:rPr>
          <w:rFonts w:cs="Times New Roman"/>
          <w:lang w:val="fr-CA"/>
        </w:rPr>
      </w:pPr>
      <w:r w:rsidRPr="009C665E">
        <w:rPr>
          <w:rFonts w:cs="Times New Roman"/>
          <w:lang w:val="fr-CA"/>
        </w:rPr>
        <w:t xml:space="preserve">Le </w:t>
      </w:r>
      <w:r w:rsidRPr="009C665E">
        <w:rPr>
          <w:rFonts w:cs="Times New Roman"/>
          <w:i/>
          <w:lang w:val="fr-CA"/>
        </w:rPr>
        <w:t>Code</w:t>
      </w:r>
      <w:r w:rsidRPr="009C665E">
        <w:rPr>
          <w:rFonts w:cs="Times New Roman"/>
          <w:lang w:val="fr-CA"/>
        </w:rPr>
        <w:t xml:space="preserve"> accorde aux accusés un vaste accès au contrôle en appel de leur déclaration de culpabilité</w:t>
      </w:r>
    </w:p>
    <w:p w14:paraId="24823732"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bidi="en-US"/>
        </w:rPr>
        <w:t xml:space="preserve">Les pouvoirs en matière de réparation prévus au par. 686(2) doivent être interprétés en fonction du par. 675(1) du </w:t>
      </w:r>
      <w:r w:rsidRPr="009C665E">
        <w:rPr>
          <w:rFonts w:cs="Times New Roman"/>
          <w:i/>
          <w:lang w:val="fr-CA" w:bidi="en-US"/>
        </w:rPr>
        <w:t>Code</w:t>
      </w:r>
      <w:r w:rsidRPr="009C665E">
        <w:rPr>
          <w:rFonts w:cs="Times New Roman"/>
          <w:lang w:val="fr-CA" w:bidi="en-US"/>
        </w:rPr>
        <w:t xml:space="preserve">, qui </w:t>
      </w:r>
      <w:r w:rsidRPr="009C665E">
        <w:rPr>
          <w:rFonts w:cs="Times New Roman"/>
          <w:lang w:val="fr-CA"/>
        </w:rPr>
        <w:t xml:space="preserve">accorde aux personnes déclarées coupables d’un acte criminel un vaste accès au contrôle en appel pour </w:t>
      </w:r>
      <w:r w:rsidRPr="009C665E">
        <w:rPr>
          <w:rFonts w:cs="Times New Roman"/>
          <w:smallCaps/>
          <w:lang w:val="fr-CA"/>
        </w:rPr>
        <w:t>[traduction]</w:t>
      </w:r>
      <w:r w:rsidRPr="009C665E">
        <w:rPr>
          <w:rFonts w:cs="Times New Roman"/>
          <w:lang w:val="fr-CA"/>
        </w:rPr>
        <w:t xml:space="preserve"> « pratiquement n’importe quel motif »</w:t>
      </w:r>
      <w:r w:rsidRPr="009C665E">
        <w:rPr>
          <w:rFonts w:cs="Times New Roman"/>
          <w:lang w:val="fr-CA" w:bidi="en-US"/>
        </w:rPr>
        <w:t xml:space="preserve"> (</w:t>
      </w:r>
      <w:r w:rsidRPr="009C665E">
        <w:rPr>
          <w:rFonts w:cs="Times New Roman"/>
          <w:i/>
          <w:lang w:val="fr-CA" w:bidi="en-US"/>
        </w:rPr>
        <w:t>R. c. Bernardo</w:t>
      </w:r>
      <w:r w:rsidRPr="009C665E">
        <w:rPr>
          <w:rFonts w:cs="Times New Roman"/>
          <w:lang w:val="fr-CA" w:bidi="en-US"/>
        </w:rPr>
        <w:t xml:space="preserve"> (1997), 121 C.C.C. (3d) 123 (C.A. Ont.), par. 17). Comme le juge Doherty l’a noté dans l’arrêt </w:t>
      </w:r>
      <w:r w:rsidRPr="009C665E">
        <w:rPr>
          <w:rFonts w:cs="Times New Roman"/>
          <w:i/>
          <w:lang w:val="fr-CA" w:bidi="en-US"/>
        </w:rPr>
        <w:t>Bernardo</w:t>
      </w:r>
      <w:r w:rsidRPr="009C665E">
        <w:rPr>
          <w:rFonts w:cs="Times New Roman"/>
          <w:lang w:val="fr-CA" w:bidi="en-US"/>
        </w:rPr>
        <w:t xml:space="preserve">, lorsque les art. 675 et 686 sont considérés conjointement, il appert clairement que le législateur envisageait de reconnaître aux personnes déclarées coupables d’un acte criminel </w:t>
      </w:r>
      <w:r w:rsidRPr="009C665E">
        <w:rPr>
          <w:rFonts w:cs="Times New Roman"/>
          <w:smallCaps/>
          <w:lang w:val="fr-CA"/>
        </w:rPr>
        <w:t>[traduction]</w:t>
      </w:r>
      <w:r w:rsidRPr="009C665E">
        <w:rPr>
          <w:rFonts w:cs="Times New Roman"/>
          <w:lang w:val="fr-CA"/>
        </w:rPr>
        <w:t xml:space="preserve"> </w:t>
      </w:r>
      <w:r w:rsidRPr="009C665E">
        <w:rPr>
          <w:rFonts w:cs="Times New Roman"/>
          <w:lang w:val="fr-CA" w:bidi="en-US"/>
        </w:rPr>
        <w:t xml:space="preserve">« la faculté pratiquement illimitée de faire contrôler par une cour d’appel de premier niveau la décision de première instance » prononcée contre elles (par. 18, citant </w:t>
      </w:r>
      <w:r w:rsidRPr="009C665E">
        <w:rPr>
          <w:rFonts w:cs="Times New Roman"/>
          <w:i/>
          <w:lang w:val="fr-CA" w:bidi="en-US"/>
        </w:rPr>
        <w:t>R. c. Morrissey</w:t>
      </w:r>
      <w:r w:rsidRPr="009C665E">
        <w:rPr>
          <w:rFonts w:cs="Times New Roman"/>
          <w:lang w:val="fr-CA"/>
        </w:rPr>
        <w:t xml:space="preserve"> (1995)</w:t>
      </w:r>
      <w:r w:rsidRPr="009C665E">
        <w:rPr>
          <w:rFonts w:cs="Times New Roman"/>
          <w:lang w:val="fr-CA" w:bidi="en-US"/>
        </w:rPr>
        <w:t>, 22 O.R. (3d) 514 (C.A.), p. 538-540).</w:t>
      </w:r>
    </w:p>
    <w:p w14:paraId="328C394E"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bidi="en-US"/>
        </w:rPr>
        <w:lastRenderedPageBreak/>
        <w:t>Une personne déclarée coupable d’une infraction au terme de procédures par mise en accusation peut interjeter appel de sa déclaration de culpabilité sans autorisation sur les questions de droit et, avec autorisation, sur les questions de fait, les questions mixtes de droit et de fait, ou pour tout autre « motif d’appel [. . .] jugé suffisant » (sous</w:t>
      </w:r>
      <w:r w:rsidRPr="009C665E">
        <w:rPr>
          <w:rFonts w:cs="Times New Roman"/>
          <w:lang w:val="fr-CA" w:bidi="en-US"/>
        </w:rPr>
        <w:noBreakHyphen/>
        <w:t>al. 675(1</w:t>
      </w:r>
      <w:proofErr w:type="gramStart"/>
      <w:r w:rsidRPr="009C665E">
        <w:rPr>
          <w:rFonts w:cs="Times New Roman"/>
          <w:lang w:val="fr-CA" w:bidi="en-US"/>
        </w:rPr>
        <w:t>)a)(</w:t>
      </w:r>
      <w:proofErr w:type="gramEnd"/>
      <w:r w:rsidRPr="009C665E">
        <w:rPr>
          <w:rFonts w:cs="Times New Roman"/>
          <w:lang w:val="fr-CA" w:bidi="en-US"/>
        </w:rPr>
        <w:t xml:space="preserve">iii)). Il s’agit, dans ce dernier cas, d’une </w:t>
      </w:r>
      <w:r w:rsidRPr="009C665E">
        <w:rPr>
          <w:rFonts w:cs="Times New Roman"/>
          <w:smallCaps/>
          <w:lang w:val="fr-CA" w:bidi="en-US"/>
        </w:rPr>
        <w:t>[traduction]</w:t>
      </w:r>
      <w:r w:rsidRPr="009C665E">
        <w:rPr>
          <w:rFonts w:cs="Times New Roman"/>
          <w:lang w:val="fr-CA" w:bidi="en-US"/>
        </w:rPr>
        <w:t xml:space="preserve"> « compétence résiduelle permettant de remédier aux erreurs judiciaires qui ne soulèvent pas strictement des questions de droit ou de fait » (J. Sopinka, M. A. Gelowitz et W. D. Rankin, </w:t>
      </w:r>
      <w:r w:rsidRPr="009C665E">
        <w:rPr>
          <w:rFonts w:cs="Times New Roman"/>
          <w:i/>
          <w:lang w:val="fr-CA" w:bidi="en-US"/>
        </w:rPr>
        <w:t>Sopinka, Gelowitz and Rankin on the Conduct of an Appeal</w:t>
      </w:r>
      <w:r w:rsidRPr="009C665E">
        <w:rPr>
          <w:rFonts w:cs="Times New Roman"/>
          <w:lang w:val="fr-CA" w:bidi="en-US"/>
        </w:rPr>
        <w:t xml:space="preserve"> (5</w:t>
      </w:r>
      <w:r w:rsidRPr="009C665E">
        <w:rPr>
          <w:rFonts w:cs="Times New Roman"/>
          <w:vertAlign w:val="superscript"/>
          <w:lang w:val="fr-CA" w:bidi="en-US"/>
        </w:rPr>
        <w:t>e</w:t>
      </w:r>
      <w:r w:rsidRPr="009C665E">
        <w:rPr>
          <w:rFonts w:cs="Times New Roman"/>
          <w:lang w:val="fr-CA" w:bidi="en-US"/>
        </w:rPr>
        <w:t> éd. 2022), ⁋3.42</w:t>
      </w:r>
      <w:r w:rsidRPr="009C665E">
        <w:rPr>
          <w:rFonts w:cs="Times New Roman"/>
          <w:lang w:val="fr-CA" w:bidi="en-US"/>
        </w:rPr>
        <w:noBreakHyphen/>
        <w:t>3.43).</w:t>
      </w:r>
    </w:p>
    <w:p w14:paraId="487F2B65"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De même, la justification commune à ces trois moyens d’appel prévus à </w:t>
      </w:r>
      <w:r w:rsidRPr="009C665E">
        <w:rPr>
          <w:rFonts w:cs="Times New Roman"/>
          <w:lang w:val="fr-CA" w:bidi="en-US"/>
        </w:rPr>
        <w:t>l’al. 686(1)a) (c.</w:t>
      </w:r>
      <w:r w:rsidRPr="009C665E">
        <w:rPr>
          <w:rFonts w:cs="Times New Roman"/>
          <w:lang w:val="fr-CA" w:bidi="en-US"/>
        </w:rPr>
        <w:noBreakHyphen/>
        <w:t>à</w:t>
      </w:r>
      <w:r w:rsidRPr="009C665E">
        <w:rPr>
          <w:rFonts w:cs="Times New Roman"/>
          <w:lang w:val="fr-CA" w:bidi="en-US"/>
        </w:rPr>
        <w:noBreakHyphen/>
        <w:t>d., le verdict déraisonnable, l’erreur de droit ou l’erreur judiciaire) est la volonté de se prémunir contre les déclarations de culpabilité qui sont le résultat d’une erreur judiciaire, le sous</w:t>
      </w:r>
      <w:r w:rsidRPr="009C665E">
        <w:rPr>
          <w:rFonts w:cs="Times New Roman"/>
          <w:lang w:val="fr-CA" w:bidi="en-US"/>
        </w:rPr>
        <w:noBreakHyphen/>
        <w:t>al. 686(1</w:t>
      </w:r>
      <w:proofErr w:type="gramStart"/>
      <w:r w:rsidRPr="009C665E">
        <w:rPr>
          <w:rFonts w:cs="Times New Roman"/>
          <w:lang w:val="fr-CA" w:bidi="en-US"/>
        </w:rPr>
        <w:t>)a)(</w:t>
      </w:r>
      <w:proofErr w:type="gramEnd"/>
      <w:r w:rsidRPr="009C665E">
        <w:rPr>
          <w:rFonts w:cs="Times New Roman"/>
          <w:lang w:val="fr-CA" w:bidi="en-US"/>
        </w:rPr>
        <w:t>iii) servant de clause résiduelle (</w:t>
      </w:r>
      <w:r w:rsidRPr="009C665E">
        <w:rPr>
          <w:rFonts w:cs="Times New Roman"/>
          <w:i/>
          <w:iCs/>
          <w:lang w:val="fr-CA"/>
        </w:rPr>
        <w:t>R. c. Sinclair</w:t>
      </w:r>
      <w:r w:rsidRPr="009C665E">
        <w:rPr>
          <w:rFonts w:cs="Times New Roman"/>
          <w:lang w:val="fr-CA"/>
        </w:rPr>
        <w:t xml:space="preserve">, 2011 CSC 40, [2011] 3 R.C.S. 3, par. 76, la juge Charron, citant </w:t>
      </w:r>
      <w:r w:rsidRPr="009C665E">
        <w:rPr>
          <w:rFonts w:cs="Times New Roman"/>
          <w:i/>
          <w:lang w:val="fr-CA" w:bidi="en-US"/>
        </w:rPr>
        <w:t>Morrissey</w:t>
      </w:r>
      <w:r w:rsidRPr="009C665E">
        <w:rPr>
          <w:rFonts w:cs="Times New Roman"/>
          <w:lang w:val="fr-CA" w:bidi="en-US"/>
        </w:rPr>
        <w:t>,</w:t>
      </w:r>
      <w:r w:rsidRPr="009C665E">
        <w:rPr>
          <w:rFonts w:cs="Times New Roman"/>
          <w:i/>
          <w:lang w:val="fr-CA" w:bidi="en-US"/>
        </w:rPr>
        <w:t xml:space="preserve"> </w:t>
      </w:r>
      <w:r w:rsidRPr="009C665E">
        <w:rPr>
          <w:rFonts w:cs="Times New Roman"/>
          <w:lang w:val="fr-CA"/>
        </w:rPr>
        <w:t>p. 539</w:t>
      </w:r>
      <w:r w:rsidRPr="009C665E">
        <w:rPr>
          <w:rFonts w:cs="Times New Roman"/>
          <w:lang w:val="fr-CA"/>
        </w:rPr>
        <w:noBreakHyphen/>
        <w:t>540</w:t>
      </w:r>
      <w:r w:rsidRPr="009C665E">
        <w:rPr>
          <w:rFonts w:cs="Times New Roman"/>
          <w:lang w:val="fr-CA" w:bidi="en-US"/>
        </w:rPr>
        <w:t xml:space="preserve">; </w:t>
      </w:r>
      <w:r w:rsidRPr="009C665E">
        <w:rPr>
          <w:rFonts w:cs="Times New Roman"/>
          <w:lang w:val="fr-CA"/>
        </w:rPr>
        <w:t xml:space="preserve">Sopinka, Gelowitz et Rankin, ⁋4.26; T. Desjardins, </w:t>
      </w:r>
      <w:r w:rsidRPr="009C665E">
        <w:rPr>
          <w:rFonts w:cs="Times New Roman"/>
          <w:i/>
          <w:iCs/>
          <w:lang w:val="fr-CA"/>
        </w:rPr>
        <w:t>L’appel en droit criminel et pénal</w:t>
      </w:r>
      <w:r w:rsidRPr="009C665E">
        <w:rPr>
          <w:rFonts w:cs="Times New Roman"/>
          <w:lang w:val="fr-CA"/>
        </w:rPr>
        <w:t xml:space="preserve"> (2</w:t>
      </w:r>
      <w:r w:rsidRPr="009C665E">
        <w:rPr>
          <w:rFonts w:cs="Times New Roman"/>
          <w:vertAlign w:val="superscript"/>
          <w:lang w:val="fr-CA"/>
        </w:rPr>
        <w:t>e</w:t>
      </w:r>
      <w:r w:rsidRPr="009C665E">
        <w:rPr>
          <w:rFonts w:cs="Times New Roman"/>
          <w:lang w:val="fr-CA"/>
        </w:rPr>
        <w:t> éd. 2012), par. 419</w:t>
      </w:r>
      <w:r w:rsidRPr="009C665E">
        <w:rPr>
          <w:rFonts w:cs="Times New Roman"/>
          <w:lang w:val="fr-CA" w:bidi="en-US"/>
        </w:rPr>
        <w:t>).</w:t>
      </w:r>
    </w:p>
    <w:p w14:paraId="51B09529" w14:textId="77777777" w:rsidR="009C665E" w:rsidRPr="009C665E" w:rsidRDefault="009C665E" w:rsidP="009C665E">
      <w:pPr>
        <w:pStyle w:val="ParaNoNdepar-AltN"/>
        <w:tabs>
          <w:tab w:val="clear" w:pos="1166"/>
          <w:tab w:val="num" w:pos="1152"/>
        </w:tabs>
        <w:spacing w:before="0"/>
        <w:rPr>
          <w:rFonts w:cs="Times New Roman"/>
          <w:lang w:val="fr-CA" w:bidi="en-US"/>
        </w:rPr>
      </w:pPr>
      <w:r w:rsidRPr="009C665E">
        <w:rPr>
          <w:rFonts w:cs="Times New Roman"/>
          <w:lang w:val="fr-CA" w:bidi="en-US"/>
        </w:rPr>
        <w:t>Le seul motif en litige devant la Cour d’appel était celui prévu au sous</w:t>
      </w:r>
      <w:r w:rsidRPr="009C665E">
        <w:rPr>
          <w:rFonts w:cs="Times New Roman"/>
          <w:lang w:val="fr-CA" w:bidi="en-US"/>
        </w:rPr>
        <w:noBreakHyphen/>
        <w:t>al. 686(1</w:t>
      </w:r>
      <w:proofErr w:type="gramStart"/>
      <w:r w:rsidRPr="009C665E">
        <w:rPr>
          <w:rFonts w:cs="Times New Roman"/>
          <w:lang w:val="fr-CA" w:bidi="en-US"/>
        </w:rPr>
        <w:t>)a)(</w:t>
      </w:r>
      <w:proofErr w:type="gramEnd"/>
      <w:r w:rsidRPr="009C665E">
        <w:rPr>
          <w:rFonts w:cs="Times New Roman"/>
          <w:lang w:val="fr-CA" w:bidi="en-US"/>
        </w:rPr>
        <w:t xml:space="preserve">iii). En tant que clause résiduelle, cette disposition permet aux tribunaux de remédier à toute erreur judiciaire, mais ceux-ci les ont généralement regroupées en deux catégories : l’irrégularité rend le procès inéquitable soit en fait soit en créant une apparence d’iniquité telle que l’intégrité de l’administration de la justice </w:t>
      </w:r>
      <w:r w:rsidRPr="009C665E">
        <w:rPr>
          <w:rFonts w:cs="Times New Roman"/>
          <w:lang w:val="fr-CA" w:bidi="en-US"/>
        </w:rPr>
        <w:lastRenderedPageBreak/>
        <w:t xml:space="preserve">est compromise (voir </w:t>
      </w:r>
      <w:r w:rsidRPr="009C665E">
        <w:rPr>
          <w:rFonts w:cs="Times New Roman"/>
          <w:i/>
          <w:lang w:val="fr-CA" w:bidi="en-US"/>
        </w:rPr>
        <w:t>R. c. Davey</w:t>
      </w:r>
      <w:r w:rsidRPr="009C665E">
        <w:rPr>
          <w:rFonts w:cs="Times New Roman"/>
          <w:lang w:val="fr-CA" w:bidi="en-US"/>
        </w:rPr>
        <w:t xml:space="preserve">, </w:t>
      </w:r>
      <w:r w:rsidRPr="009C665E">
        <w:rPr>
          <w:rFonts w:eastAsia="Times New Roman" w:cs="Times New Roman"/>
          <w:lang w:val="fr-CA"/>
        </w:rPr>
        <w:t xml:space="preserve">2012 CSC 75, [2012] 3 R.C.S. 828, </w:t>
      </w:r>
      <w:r w:rsidRPr="009C665E">
        <w:rPr>
          <w:rFonts w:cs="Times New Roman"/>
          <w:lang w:val="fr-CA" w:bidi="en-US"/>
        </w:rPr>
        <w:t xml:space="preserve">par. 51, citant </w:t>
      </w:r>
      <w:r w:rsidRPr="009C665E">
        <w:rPr>
          <w:rFonts w:cs="Times New Roman"/>
          <w:i/>
          <w:lang w:val="fr-CA" w:bidi="en-US"/>
        </w:rPr>
        <w:t>R. c. Wolkins</w:t>
      </w:r>
      <w:r w:rsidRPr="009C665E">
        <w:rPr>
          <w:rFonts w:cs="Times New Roman"/>
          <w:lang w:val="fr-CA" w:bidi="en-US"/>
        </w:rPr>
        <w:t xml:space="preserve">, 2005 NSCA 2, 229 N.S.R. (2d) 222, par. 89; </w:t>
      </w:r>
      <w:r w:rsidRPr="009C665E">
        <w:rPr>
          <w:rFonts w:cs="Times New Roman"/>
          <w:i/>
          <w:lang w:val="fr-CA" w:bidi="en-US"/>
        </w:rPr>
        <w:t>R. c. Kahsai</w:t>
      </w:r>
      <w:r w:rsidRPr="009C665E">
        <w:rPr>
          <w:rFonts w:cs="Times New Roman"/>
          <w:lang w:val="fr-CA" w:bidi="en-US"/>
        </w:rPr>
        <w:t>, 2023 CSC 20, par. 67</w:t>
      </w:r>
      <w:r w:rsidRPr="009C665E">
        <w:rPr>
          <w:rFonts w:cs="Times New Roman"/>
          <w:lang w:val="fr-CA" w:bidi="en-US"/>
        </w:rPr>
        <w:noBreakHyphen/>
        <w:t xml:space="preserve">69; </w:t>
      </w:r>
      <w:r w:rsidRPr="009C665E">
        <w:rPr>
          <w:rFonts w:cs="Times New Roman"/>
          <w:i/>
          <w:lang w:val="fr-CA" w:bidi="en-US"/>
        </w:rPr>
        <w:t>R. c. Khan</w:t>
      </w:r>
      <w:r w:rsidRPr="009C665E">
        <w:rPr>
          <w:rFonts w:cs="Times New Roman"/>
          <w:lang w:val="fr-CA" w:bidi="en-US"/>
        </w:rPr>
        <w:t xml:space="preserve">, 2001 CSC 86, [2001] 3 R.C.S. 823, par. 69, le juge LeBel; </w:t>
      </w:r>
      <w:r w:rsidRPr="009C665E">
        <w:rPr>
          <w:rFonts w:cs="Times New Roman"/>
          <w:i/>
          <w:lang w:val="fr-CA" w:bidi="en-US"/>
        </w:rPr>
        <w:t>Fanjoy c. La Reine</w:t>
      </w:r>
      <w:r w:rsidRPr="009C665E">
        <w:rPr>
          <w:rFonts w:cs="Times New Roman"/>
          <w:lang w:val="fr-CA" w:bidi="en-US"/>
        </w:rPr>
        <w:t xml:space="preserve">, [1985] 2 R.C.S. 233, p. 240; Sopinka, Gelowitz et Rankin, </w:t>
      </w:r>
      <w:r w:rsidRPr="009C665E">
        <w:rPr>
          <w:rFonts w:cs="Times New Roman"/>
          <w:lang w:val="fr-CA"/>
        </w:rPr>
        <w:t>⁋4.34</w:t>
      </w:r>
      <w:r w:rsidRPr="009C665E">
        <w:rPr>
          <w:rFonts w:cs="Times New Roman"/>
          <w:lang w:val="fr-CA"/>
        </w:rPr>
        <w:noBreakHyphen/>
        <w:t>4.35</w:t>
      </w:r>
      <w:r w:rsidRPr="009C665E">
        <w:rPr>
          <w:rFonts w:cs="Times New Roman"/>
          <w:lang w:val="fr-CA" w:bidi="en-US"/>
        </w:rPr>
        <w:t xml:space="preserve">; S. Coughlan et A. Gorlewski, </w:t>
      </w:r>
      <w:r w:rsidRPr="009C665E">
        <w:rPr>
          <w:rFonts w:cs="Times New Roman"/>
          <w:i/>
          <w:lang w:val="fr-CA" w:bidi="en-US"/>
        </w:rPr>
        <w:t>The Anatomy of Criminal Procedure : A Visual Guide to the Law</w:t>
      </w:r>
      <w:r w:rsidRPr="009C665E">
        <w:rPr>
          <w:rFonts w:cs="Times New Roman"/>
          <w:lang w:val="fr-CA" w:bidi="en-US"/>
        </w:rPr>
        <w:t xml:space="preserve"> (2019), p. 331; S. Penney, V. Rondinelli et J. Stribopoulos, </w:t>
      </w:r>
      <w:r w:rsidRPr="009C665E">
        <w:rPr>
          <w:rFonts w:cs="Times New Roman"/>
          <w:i/>
          <w:lang w:val="fr-CA" w:bidi="en-US"/>
        </w:rPr>
        <w:t>Criminal Procedure in Canada</w:t>
      </w:r>
      <w:r w:rsidRPr="009C665E">
        <w:rPr>
          <w:rFonts w:cs="Times New Roman"/>
          <w:lang w:val="fr-CA" w:bidi="en-US"/>
        </w:rPr>
        <w:t xml:space="preserve"> (3</w:t>
      </w:r>
      <w:r w:rsidRPr="009C665E">
        <w:rPr>
          <w:rFonts w:cs="Times New Roman"/>
          <w:vertAlign w:val="superscript"/>
          <w:lang w:val="fr-CA" w:bidi="en-US"/>
        </w:rPr>
        <w:t>e</w:t>
      </w:r>
      <w:r w:rsidRPr="009C665E">
        <w:rPr>
          <w:rFonts w:cs="Times New Roman"/>
          <w:lang w:val="fr-CA" w:bidi="en-US"/>
        </w:rPr>
        <w:t> éd. 2022),</w:t>
      </w:r>
      <w:r w:rsidRPr="009C665E">
        <w:rPr>
          <w:rFonts w:cs="Times New Roman"/>
          <w:i/>
          <w:lang w:val="fr-CA" w:bidi="en-US"/>
        </w:rPr>
        <w:t xml:space="preserve"> </w:t>
      </w:r>
      <w:r w:rsidRPr="009C665E">
        <w:rPr>
          <w:rFonts w:cs="Times New Roman"/>
          <w:lang w:val="fr-CA" w:bidi="en-US"/>
        </w:rPr>
        <w:t>¶18.14). Je reviendrai sur le champ d’application de ce motif plus loin dans les présents motifs.</w:t>
      </w:r>
    </w:p>
    <w:p w14:paraId="7E572D11" w14:textId="77777777" w:rsidR="009C665E" w:rsidRPr="009C665E" w:rsidRDefault="009C665E" w:rsidP="009C665E">
      <w:pPr>
        <w:pStyle w:val="Title3LevelTitre3Niveau"/>
        <w:widowControl w:val="0"/>
        <w:numPr>
          <w:ilvl w:val="2"/>
          <w:numId w:val="7"/>
        </w:numPr>
        <w:spacing w:before="0"/>
        <w:rPr>
          <w:rFonts w:cs="Times New Roman"/>
          <w:lang w:val="fr-CA"/>
        </w:rPr>
      </w:pPr>
      <w:r w:rsidRPr="009C665E">
        <w:rPr>
          <w:rFonts w:cs="Times New Roman"/>
          <w:lang w:val="fr-CA"/>
        </w:rPr>
        <w:t>Le paragraphe 686(2) confère expressément aux tribunaux un vaste pouvoir discrétionnaire de réparation</w:t>
      </w:r>
    </w:p>
    <w:p w14:paraId="7168E9F2" w14:textId="77777777" w:rsidR="009C665E" w:rsidRPr="009C665E" w:rsidRDefault="009C665E" w:rsidP="009C665E">
      <w:pPr>
        <w:pStyle w:val="Title4LevelTitre4Niveau"/>
        <w:numPr>
          <w:ilvl w:val="3"/>
          <w:numId w:val="7"/>
        </w:numPr>
        <w:spacing w:before="0"/>
        <w:rPr>
          <w:rFonts w:cs="Times New Roman"/>
          <w:lang w:val="fr-CA"/>
        </w:rPr>
      </w:pPr>
      <w:r w:rsidRPr="009C665E">
        <w:rPr>
          <w:rFonts w:cs="Times New Roman"/>
          <w:lang w:val="fr-CA"/>
        </w:rPr>
        <w:t>Le paragraphe 686(2) confère au tribunal le pouvoir discrétionnaire de prononcer l’acquittement ou d’ordonner un nouveau procès</w:t>
      </w:r>
    </w:p>
    <w:p w14:paraId="60E3E405"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t>C’est le pouvoir de réparation prévu au par. 686(2) qui est au cœur du présent pourvoi. Un examen du texte, du contexte et de l’objet de cette disposition démontre que le législateur ne s’est pas contenté de donner ouverture à un acquittement en cas d’erreur judiciaire : les modalités d’application et le libellé de l’art. 686, ainsi que les termes exprès et précis du par. 686(2), confèrent aux cours d’appel le pouvoir souverain d’inscrire un acquittement (al. 686(2)a)) ou d’ordonner un nouveau procès (al. 686(2)b)) chaque fois que l’un des trois motifs permettant d’accueillir l’appel prévus à l’al. 686(1)a) est établi. Cette disposition ne fait pas de l’ordonnance d’un nouveau procès la réparation présumée, et elle n’oblige pas non plus le tribunal à examiner l’une ou l’autre des mesures de réparation dans un ordre particulier.</w:t>
      </w:r>
    </w:p>
    <w:p w14:paraId="21AF7E71"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Selon la disposition liminaire du par. 686(2), la cour d’appel « annule » (« </w:t>
      </w:r>
      <w:r w:rsidRPr="009C665E">
        <w:rPr>
          <w:rFonts w:cs="Times New Roman"/>
          <w:i/>
          <w:iCs/>
          <w:lang w:val="fr-CA"/>
        </w:rPr>
        <w:t>shall quash</w:t>
      </w:r>
      <w:r w:rsidRPr="009C665E">
        <w:rPr>
          <w:rFonts w:cs="Times New Roman"/>
          <w:lang w:val="fr-CA"/>
        </w:rPr>
        <w:t> » dans la version anglaise) la déclaration de culpabilité qui présente une des lacunes énumérées à l’al. 686(1)a), étant donné qu’un verdict foncièrement vicié ne peut être maintenu. L’accusé dont la déclaration de culpabilité est annulée bénéficie à nouveau de la présomption d’innocence (</w:t>
      </w:r>
      <w:r w:rsidRPr="009C665E">
        <w:rPr>
          <w:rFonts w:cs="Times New Roman"/>
          <w:i/>
          <w:lang w:val="fr-CA"/>
        </w:rPr>
        <w:t>R. c. R.V.</w:t>
      </w:r>
      <w:r w:rsidRPr="009C665E">
        <w:rPr>
          <w:rFonts w:cs="Times New Roman"/>
          <w:lang w:val="fr-CA"/>
        </w:rPr>
        <w:t>, 2021 CSC 10, [2021] 1 R.C.S. 131, par. 76).</w:t>
      </w:r>
    </w:p>
    <w:p w14:paraId="64927ABB"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Une fois que cette disposition impérative a été respectée, l’accusation tient toujours et le choix entre les mesures de réparation prévues au par. 686(2) relève entièrement du pouvoir discrétionnaire de la cour d’appel (</w:t>
      </w:r>
      <w:r w:rsidRPr="009C665E">
        <w:rPr>
          <w:rFonts w:cs="Times New Roman"/>
          <w:i/>
          <w:lang w:val="fr-CA"/>
        </w:rPr>
        <w:t>R. c. Haslam</w:t>
      </w:r>
      <w:r w:rsidRPr="009C665E">
        <w:rPr>
          <w:rFonts w:cs="Times New Roman"/>
          <w:lang w:val="fr-CA"/>
        </w:rPr>
        <w:t xml:space="preserve"> (1990), 56 C.C.C. (3d) 491 (C.A. C.</w:t>
      </w:r>
      <w:r w:rsidRPr="009C665E">
        <w:rPr>
          <w:rFonts w:cs="Times New Roman"/>
          <w:lang w:val="fr-CA"/>
        </w:rPr>
        <w:noBreakHyphen/>
        <w:t xml:space="preserve">B.), p. 502; </w:t>
      </w:r>
      <w:r w:rsidRPr="009C665E">
        <w:rPr>
          <w:rFonts w:cs="Times New Roman"/>
          <w:i/>
          <w:lang w:val="fr-CA"/>
        </w:rPr>
        <w:t>R. c. Levy</w:t>
      </w:r>
      <w:r w:rsidRPr="009C665E">
        <w:rPr>
          <w:rFonts w:cs="Times New Roman"/>
          <w:lang w:val="fr-CA"/>
        </w:rPr>
        <w:t xml:space="preserve"> (1991), 62 C.C.C. (3d) 97 (C.A. Ont.); </w:t>
      </w:r>
      <w:r w:rsidRPr="009C665E">
        <w:rPr>
          <w:rFonts w:cs="Times New Roman"/>
          <w:lang w:val="fr-CA" w:bidi="en-US"/>
        </w:rPr>
        <w:t>Sopinka, Gelowitz et Rankin,</w:t>
      </w:r>
      <w:r w:rsidRPr="009C665E">
        <w:rPr>
          <w:rFonts w:cs="Times New Roman"/>
          <w:lang w:val="fr-CA"/>
        </w:rPr>
        <w:t xml:space="preserve"> ⁋4.44). La loi ne limite pas le pouvoir du tribunal d’ordonner soit </w:t>
      </w:r>
      <w:r w:rsidRPr="009C665E">
        <w:rPr>
          <w:rFonts w:cs="Times New Roman"/>
          <w:lang w:val="fr-CA" w:bidi="en-US"/>
        </w:rPr>
        <w:t xml:space="preserve">l’acquittement soit un nouveau procès à des situations précises et ne l’oblige pas à exercer ce pouvoir dans des cas précis. L’inclusion, par </w:t>
      </w:r>
      <w:r w:rsidRPr="009C665E">
        <w:rPr>
          <w:rFonts w:cs="Times New Roman"/>
          <w:lang w:val="fr-CA"/>
        </w:rPr>
        <w:t xml:space="preserve">le législateur, du par. 686(8), qui confère à la cour d’appel le pouvoir discrétionnaire de rendre toute </w:t>
      </w:r>
      <w:r w:rsidRPr="009C665E">
        <w:rPr>
          <w:rFonts w:cs="Times New Roman"/>
          <w:lang w:val="fr-CA" w:bidi="en-US"/>
        </w:rPr>
        <w:t>ordonnance accessoire « que la justice exige », confirme par ailleurs que le par. 686(2) confère un pouvoir de réparation large et souple (</w:t>
      </w:r>
      <w:r w:rsidRPr="009C665E">
        <w:rPr>
          <w:rFonts w:cs="Times New Roman"/>
          <w:i/>
          <w:lang w:val="fr-CA" w:bidi="en-US"/>
        </w:rPr>
        <w:t>R. c. Provo</w:t>
      </w:r>
      <w:r w:rsidRPr="009C665E">
        <w:rPr>
          <w:rFonts w:cs="Times New Roman"/>
          <w:lang w:val="fr-CA" w:bidi="en-US"/>
        </w:rPr>
        <w:t>, [1989] 2 R.C.S. 3, p. 19</w:t>
      </w:r>
      <w:r w:rsidRPr="009C665E">
        <w:rPr>
          <w:rFonts w:cs="Times New Roman"/>
          <w:lang w:val="fr-CA" w:bidi="en-US"/>
        </w:rPr>
        <w:noBreakHyphen/>
        <w:t xml:space="preserve">20; </w:t>
      </w:r>
      <w:r w:rsidRPr="009C665E">
        <w:rPr>
          <w:rFonts w:cs="Times New Roman"/>
          <w:i/>
          <w:lang w:val="fr-CA" w:bidi="en-US"/>
        </w:rPr>
        <w:t>R. c. Thomas</w:t>
      </w:r>
      <w:r w:rsidRPr="009C665E">
        <w:rPr>
          <w:rFonts w:cs="Times New Roman"/>
          <w:lang w:val="fr-CA" w:bidi="en-US"/>
        </w:rPr>
        <w:t xml:space="preserve">, [1998] 3 R.C.S. 535, par. 19; </w:t>
      </w:r>
      <w:r w:rsidRPr="009C665E">
        <w:rPr>
          <w:rFonts w:cs="Times New Roman"/>
          <w:i/>
          <w:lang w:val="fr-CA" w:bidi="en-US"/>
        </w:rPr>
        <w:t>R.V.</w:t>
      </w:r>
      <w:r w:rsidRPr="009C665E">
        <w:rPr>
          <w:rFonts w:cs="Times New Roman"/>
          <w:lang w:val="fr-CA" w:bidi="en-US"/>
        </w:rPr>
        <w:t xml:space="preserve">, par. 74). </w:t>
      </w:r>
      <w:r w:rsidRPr="009C665E">
        <w:rPr>
          <w:rFonts w:cs="Times New Roman"/>
          <w:lang w:val="fr-CA"/>
        </w:rPr>
        <w:t>Des tribunaux ont inscrit l’arrêt judiciaire des procédures en vertu du par. 686(8), comme la Cour d’appel l’a fait en l’espèce.</w:t>
      </w:r>
    </w:p>
    <w:p w14:paraId="627B5549"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t xml:space="preserve">Les tribunaux ont élaboré des principes et des règles qui encadrent l’exercice de leur pouvoir discrétionnaire et qui leur permettent de déterminer dans </w:t>
      </w:r>
      <w:r w:rsidRPr="009C665E">
        <w:rPr>
          <w:rFonts w:cs="Times New Roman"/>
          <w:lang w:val="fr-CA"/>
        </w:rPr>
        <w:lastRenderedPageBreak/>
        <w:t>quels cas il convient de prononcer l’acquittement ou d’ordonner la tenue d’un nouveau procès après avoir décidé d’accueillir l’appel de la déclaration de culpabilité. Le fondement légal sur lequel repose l’annulation d’une déclaration de culpabilité peut avoir une incidence sur l’exercice par la cour de son pouvoir discrétionnaire quant à ce qui constitue « la voie appropriée à suivre » (motifs des juges majoritaires, par. 54). Lorsque l’appelant établit qu’un verdict est déraisonnable au sens voulu pour l’application du sous</w:t>
      </w:r>
      <w:r w:rsidRPr="009C665E">
        <w:rPr>
          <w:rFonts w:cs="Times New Roman"/>
          <w:lang w:val="fr-CA"/>
        </w:rPr>
        <w:noBreakHyphen/>
        <w:t>al. 686(1</w:t>
      </w:r>
      <w:proofErr w:type="gramStart"/>
      <w:r w:rsidRPr="009C665E">
        <w:rPr>
          <w:rFonts w:cs="Times New Roman"/>
          <w:lang w:val="fr-CA"/>
        </w:rPr>
        <w:t>)a)(</w:t>
      </w:r>
      <w:proofErr w:type="gramEnd"/>
      <w:r w:rsidRPr="009C665E">
        <w:rPr>
          <w:rFonts w:cs="Times New Roman"/>
          <w:lang w:val="fr-CA"/>
        </w:rPr>
        <w:t xml:space="preserve">i), il est aussi possible d’y remédier en annulant la déclaration de culpabilité, mais la nature du verdict déraisonnable influencera la question de savoir si un nouveau procès ou un acquittement est généralement la mesure corrective appropriée </w:t>
      </w:r>
      <w:r w:rsidRPr="009C665E">
        <w:rPr>
          <w:rFonts w:cs="Times New Roman"/>
          <w:lang w:val="fr-CA" w:bidi="en-US"/>
        </w:rPr>
        <w:t>(</w:t>
      </w:r>
      <w:r w:rsidRPr="009C665E">
        <w:rPr>
          <w:rFonts w:cs="Times New Roman"/>
          <w:i/>
          <w:lang w:val="fr-CA" w:bidi="en-US"/>
        </w:rPr>
        <w:t>Sinclair</w:t>
      </w:r>
      <w:r w:rsidRPr="009C665E">
        <w:rPr>
          <w:rFonts w:cs="Times New Roman"/>
          <w:lang w:val="fr-CA" w:bidi="en-US"/>
        </w:rPr>
        <w:t>,</w:t>
      </w:r>
      <w:r w:rsidRPr="009C665E">
        <w:rPr>
          <w:rFonts w:cs="Times New Roman"/>
          <w:sz w:val="21"/>
          <w:szCs w:val="21"/>
          <w:shd w:val="clear" w:color="auto" w:fill="F9FAFB"/>
          <w:lang w:val="fr-CA"/>
        </w:rPr>
        <w:t xml:space="preserve"> </w:t>
      </w:r>
      <w:r w:rsidRPr="009C665E">
        <w:rPr>
          <w:rFonts w:cs="Times New Roman"/>
          <w:lang w:val="fr-CA" w:bidi="en-US"/>
        </w:rPr>
        <w:t xml:space="preserve">par. 23; </w:t>
      </w:r>
      <w:bookmarkStart w:id="51" w:name="_Hlk194303100"/>
      <w:r w:rsidRPr="009C665E">
        <w:rPr>
          <w:rFonts w:cs="Times New Roman"/>
          <w:i/>
          <w:lang w:val="fr-CA" w:bidi="en-US"/>
        </w:rPr>
        <w:t>R. c. Lights</w:t>
      </w:r>
      <w:r w:rsidRPr="009C665E">
        <w:rPr>
          <w:rFonts w:cs="Times New Roman"/>
          <w:lang w:val="fr-CA" w:bidi="en-US"/>
        </w:rPr>
        <w:t>, 2020 ONCA 128, 149 O.R. (3d) 273, par. 34</w:t>
      </w:r>
      <w:bookmarkEnd w:id="51"/>
      <w:r w:rsidRPr="009C665E">
        <w:rPr>
          <w:rFonts w:cs="Times New Roman"/>
          <w:lang w:val="fr-CA" w:bidi="en-US"/>
        </w:rPr>
        <w:t>). En ce sens, le fondement de l’annulation de la déclaration de culpabilité éclaire également l’analyse de la mesure corrective appropriée. La nature et l’étendue de l’erreur de droit visée au sous</w:t>
      </w:r>
      <w:r w:rsidRPr="009C665E">
        <w:rPr>
          <w:rFonts w:cs="Times New Roman"/>
          <w:lang w:val="fr-CA" w:bidi="en-US"/>
        </w:rPr>
        <w:noBreakHyphen/>
        <w:t>al. 686(1</w:t>
      </w:r>
      <w:proofErr w:type="gramStart"/>
      <w:r w:rsidRPr="009C665E">
        <w:rPr>
          <w:rFonts w:cs="Times New Roman"/>
          <w:lang w:val="fr-CA" w:bidi="en-US"/>
        </w:rPr>
        <w:t>)a)(</w:t>
      </w:r>
      <w:proofErr w:type="gramEnd"/>
      <w:r w:rsidRPr="009C665E">
        <w:rPr>
          <w:rFonts w:cs="Times New Roman"/>
          <w:lang w:val="fr-CA" w:bidi="en-US"/>
        </w:rPr>
        <w:t xml:space="preserve">ii) peuvent aussi contribuer à la portée de l’ordonnance visant la tenue d’un nouveau procès (voir, p. ex., </w:t>
      </w:r>
      <w:r w:rsidRPr="009C665E">
        <w:rPr>
          <w:rFonts w:cs="Times New Roman"/>
          <w:i/>
          <w:lang w:val="fr-CA" w:bidi="en-US"/>
        </w:rPr>
        <w:t>R. c. Pearson</w:t>
      </w:r>
      <w:r w:rsidRPr="009C665E">
        <w:rPr>
          <w:rFonts w:cs="Times New Roman"/>
          <w:lang w:val="fr-CA" w:bidi="en-US"/>
        </w:rPr>
        <w:t xml:space="preserve">, [1998] 3 R.C.S. 620; </w:t>
      </w:r>
      <w:r w:rsidRPr="009C665E">
        <w:rPr>
          <w:rFonts w:cs="Times New Roman"/>
          <w:i/>
          <w:lang w:val="fr-CA" w:bidi="en-US"/>
        </w:rPr>
        <w:t>Thomas</w:t>
      </w:r>
      <w:r w:rsidRPr="009C665E">
        <w:rPr>
          <w:rFonts w:cs="Times New Roman"/>
          <w:lang w:val="fr-CA" w:bidi="en-US"/>
        </w:rPr>
        <w:t xml:space="preserve">, par. 58; </w:t>
      </w:r>
      <w:r w:rsidRPr="009C665E">
        <w:rPr>
          <w:rFonts w:cs="Times New Roman"/>
          <w:i/>
          <w:lang w:val="fr-CA" w:bidi="en-US"/>
        </w:rPr>
        <w:t>R. c. Hartman</w:t>
      </w:r>
      <w:r w:rsidRPr="009C665E">
        <w:rPr>
          <w:rFonts w:cs="Times New Roman"/>
          <w:lang w:val="fr-CA" w:bidi="en-US"/>
        </w:rPr>
        <w:t>, 2015 ONCA 498, 326 C.C.C. (3d)</w:t>
      </w:r>
      <w:r w:rsidRPr="009C665E">
        <w:rPr>
          <w:rFonts w:cs="Times New Roman"/>
          <w:lang w:val="fr-CA"/>
        </w:rPr>
        <w:t xml:space="preserve"> </w:t>
      </w:r>
      <w:r w:rsidRPr="009C665E">
        <w:rPr>
          <w:rFonts w:cs="Times New Roman"/>
          <w:lang w:val="fr-CA" w:bidi="en-US"/>
        </w:rPr>
        <w:t>263, par. 47</w:t>
      </w:r>
      <w:r w:rsidRPr="009C665E">
        <w:rPr>
          <w:rFonts w:cs="Times New Roman"/>
          <w:lang w:val="fr-CA" w:bidi="en-US"/>
        </w:rPr>
        <w:noBreakHyphen/>
        <w:t>57). Le type d’erreur judiciaire visé au sous</w:t>
      </w:r>
      <w:r w:rsidRPr="009C665E">
        <w:rPr>
          <w:rFonts w:cs="Times New Roman"/>
          <w:lang w:val="fr-CA" w:bidi="en-US"/>
        </w:rPr>
        <w:noBreakHyphen/>
        <w:t>al. 686(1</w:t>
      </w:r>
      <w:proofErr w:type="gramStart"/>
      <w:r w:rsidRPr="009C665E">
        <w:rPr>
          <w:rFonts w:cs="Times New Roman"/>
          <w:lang w:val="fr-CA" w:bidi="en-US"/>
        </w:rPr>
        <w:t>)a)(</w:t>
      </w:r>
      <w:proofErr w:type="gramEnd"/>
      <w:r w:rsidRPr="009C665E">
        <w:rPr>
          <w:rFonts w:cs="Times New Roman"/>
          <w:lang w:val="fr-CA" w:bidi="en-US"/>
        </w:rPr>
        <w:t>iii) peut avoir une incidence sur l’analyse qu’effectue la cour de la réparation au</w:t>
      </w:r>
      <w:r w:rsidRPr="009C665E">
        <w:rPr>
          <w:rFonts w:cs="Times New Roman"/>
          <w:lang w:val="fr-CA" w:bidi="en-US"/>
        </w:rPr>
        <w:noBreakHyphen/>
        <w:t xml:space="preserve">delà de l’annulation d’une déclaration de culpabilité (voir, p. ex., </w:t>
      </w:r>
      <w:r w:rsidRPr="009C665E">
        <w:rPr>
          <w:rFonts w:cs="Times New Roman"/>
          <w:i/>
          <w:lang w:val="fr-CA" w:bidi="en-US"/>
        </w:rPr>
        <w:t>R. c. Abukar</w:t>
      </w:r>
      <w:r w:rsidRPr="009C665E">
        <w:rPr>
          <w:rFonts w:cs="Times New Roman"/>
          <w:lang w:val="fr-CA" w:bidi="en-US"/>
        </w:rPr>
        <w:t>, 2007 ABCA 286, une décision dans laquelle la cour a rejeté l’argument de la Couronne selon lequel il n’était pas nécessaire de tenir un nouveau procès sur certains chefs qui n’auraient pas été minés par une crainte raisonnable de partialité).</w:t>
      </w:r>
      <w:r w:rsidRPr="009C665E">
        <w:rPr>
          <w:rFonts w:cs="Times New Roman"/>
          <w:lang w:val="fr-CA"/>
        </w:rPr>
        <w:t xml:space="preserve"> Je signale également que </w:t>
      </w:r>
      <w:r w:rsidRPr="009C665E">
        <w:rPr>
          <w:rFonts w:cs="Times New Roman"/>
          <w:lang w:val="fr-CA" w:bidi="en-US"/>
        </w:rPr>
        <w:t>la nature de l’erreur judiciaire à l’origine de l’épreuve de M. Truscott a été expressément utilisée par la cour dans son analyse pour juger de la réparation appropriée (</w:t>
      </w:r>
      <w:r w:rsidRPr="009C665E">
        <w:rPr>
          <w:rFonts w:cs="Times New Roman"/>
          <w:i/>
          <w:lang w:val="fr-CA" w:bidi="en-US"/>
        </w:rPr>
        <w:t>Truscott</w:t>
      </w:r>
      <w:r w:rsidRPr="009C665E">
        <w:rPr>
          <w:rFonts w:cs="Times New Roman"/>
          <w:lang w:val="fr-CA" w:bidi="en-US"/>
        </w:rPr>
        <w:t xml:space="preserve">, par. 260). Comme </w:t>
      </w:r>
      <w:r w:rsidRPr="009C665E">
        <w:rPr>
          <w:rFonts w:cs="Times New Roman"/>
          <w:lang w:val="fr-CA" w:bidi="en-US"/>
        </w:rPr>
        <w:lastRenderedPageBreak/>
        <w:t>cela a toujours été le cas, pour en arriver à une issue qui soit juste, la cour peut avoir besoin de tenir compte de la nature du fondement sur lequel l’appel a été accueilli pour concevoir une ordonnance qui répare suffisamment le préjudice subi par l’appelant.</w:t>
      </w:r>
    </w:p>
    <w:p w14:paraId="3083CD4D"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Je souligne également que, sur le plan conceptuel, on ne trouve à l’art. 686 </w:t>
      </w:r>
      <w:r w:rsidRPr="009C665E">
        <w:rPr>
          <w:rFonts w:cs="Times New Roman"/>
          <w:iCs/>
          <w:lang w:val="fr-CA"/>
        </w:rPr>
        <w:t>aucun fondement</w:t>
      </w:r>
      <w:r w:rsidRPr="009C665E">
        <w:rPr>
          <w:rFonts w:cs="Times New Roman"/>
          <w:i/>
          <w:iCs/>
          <w:lang w:val="fr-CA"/>
        </w:rPr>
        <w:t xml:space="preserve"> législatif</w:t>
      </w:r>
      <w:r w:rsidRPr="009C665E">
        <w:rPr>
          <w:rFonts w:cs="Times New Roman"/>
          <w:lang w:val="fr-CA"/>
        </w:rPr>
        <w:t xml:space="preserve"> à l’obligation pour le tribunal de prononcer un acquittement dans des circonstances spécifiques. Comme pour tout octroi de pouvoir discrétionnaire, les principes applicables peuvent orienter le tribunal vers une conclusion plutôt qu’une autre (voir </w:t>
      </w:r>
      <w:r w:rsidRPr="009C665E">
        <w:rPr>
          <w:rFonts w:cs="Times New Roman"/>
          <w:i/>
          <w:lang w:val="fr-CA"/>
        </w:rPr>
        <w:t>R. c. Harvey</w:t>
      </w:r>
      <w:r w:rsidRPr="009C665E">
        <w:rPr>
          <w:rFonts w:cs="Times New Roman"/>
          <w:lang w:val="fr-CA"/>
        </w:rPr>
        <w:t xml:space="preserve"> (2001), 57 O.R. (3d) 296 (C.A.), par. 30;</w:t>
      </w:r>
      <w:r w:rsidRPr="009C665E">
        <w:rPr>
          <w:rFonts w:cs="Times New Roman"/>
          <w:i/>
          <w:lang w:val="fr-CA"/>
        </w:rPr>
        <w:t xml:space="preserve"> Truscott</w:t>
      </w:r>
      <w:r w:rsidRPr="009C665E">
        <w:rPr>
          <w:rFonts w:cs="Times New Roman"/>
          <w:lang w:val="fr-CA"/>
        </w:rPr>
        <w:t>, par. 247). Qui plus est, dans la mesure où l’acquittement est plus fréquent en cas de verdict déraisonnable que d’erreur judiciaire, une telle ordonnance résulte toujours de l’exercice du pouvoir discrétionnaire du tribunal sans toutefois lui être prescrite par la loi (voir les motifs des juges majoritaires, par. 7).</w:t>
      </w:r>
    </w:p>
    <w:p w14:paraId="4B67DF82"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Même lorsque l’appelant a démontré que le verdict est déraisonnable, le tribunal conserve le pouvoir discrétionnaire de rejeter l’appel en vertu du sous</w:t>
      </w:r>
      <w:r w:rsidRPr="009C665E">
        <w:rPr>
          <w:rFonts w:cs="Times New Roman"/>
          <w:lang w:val="fr-CA"/>
        </w:rPr>
        <w:noBreakHyphen/>
        <w:t>al. 686(1</w:t>
      </w:r>
      <w:proofErr w:type="gramStart"/>
      <w:r w:rsidRPr="009C665E">
        <w:rPr>
          <w:rFonts w:cs="Times New Roman"/>
          <w:lang w:val="fr-CA"/>
        </w:rPr>
        <w:t>)b)(</w:t>
      </w:r>
      <w:proofErr w:type="gramEnd"/>
      <w:r w:rsidRPr="009C665E">
        <w:rPr>
          <w:rFonts w:cs="Times New Roman"/>
          <w:lang w:val="fr-CA"/>
        </w:rPr>
        <w:t xml:space="preserve">i) et de lui substituer, en vertu du par. 686(3), un verdict de culpabilité pour une infraction moindre et incluse (voir, p. ex., </w:t>
      </w:r>
      <w:r w:rsidRPr="009C665E">
        <w:rPr>
          <w:rFonts w:cs="Times New Roman"/>
          <w:i/>
          <w:lang w:val="fr-CA"/>
        </w:rPr>
        <w:t>R. c. Biniaris</w:t>
      </w:r>
      <w:r w:rsidRPr="009C665E">
        <w:rPr>
          <w:rFonts w:cs="Times New Roman"/>
          <w:lang w:val="fr-CA"/>
        </w:rPr>
        <w:t xml:space="preserve"> (1998), 124 C.C.C. (3d) 58 (C.A. C.</w:t>
      </w:r>
      <w:r w:rsidRPr="009C665E">
        <w:rPr>
          <w:rFonts w:cs="Times New Roman"/>
          <w:lang w:val="fr-CA"/>
        </w:rPr>
        <w:noBreakHyphen/>
        <w:t>B.), par. 26, inf. en partie pour d’autres motifs par 2000 CSC 15, [2000] 1 R.C.S. 381</w:t>
      </w:r>
      <w:r w:rsidRPr="009C665E">
        <w:rPr>
          <w:rFonts w:cs="Times New Roman"/>
          <w:i/>
          <w:lang w:val="fr-CA"/>
        </w:rPr>
        <w:t xml:space="preserve"> </w:t>
      </w:r>
      <w:r w:rsidRPr="009C665E">
        <w:rPr>
          <w:rFonts w:cs="Times New Roman"/>
          <w:lang w:val="fr-CA"/>
        </w:rPr>
        <w:t>(« </w:t>
      </w:r>
      <w:r w:rsidRPr="009C665E">
        <w:rPr>
          <w:rFonts w:cs="Times New Roman"/>
          <w:i/>
          <w:lang w:val="fr-CA"/>
        </w:rPr>
        <w:t>Biniaris CSC</w:t>
      </w:r>
      <w:r w:rsidRPr="009C665E">
        <w:rPr>
          <w:rFonts w:cs="Times New Roman"/>
          <w:lang w:val="fr-CA"/>
        </w:rPr>
        <w:t> »), par.</w:t>
      </w:r>
      <w:r w:rsidRPr="009C665E">
        <w:rPr>
          <w:rFonts w:cs="Times New Roman"/>
          <w:b/>
          <w:lang w:val="fr-CA"/>
        </w:rPr>
        <w:t> </w:t>
      </w:r>
      <w:r w:rsidRPr="009C665E">
        <w:rPr>
          <w:rFonts w:cs="Times New Roman"/>
          <w:lang w:val="fr-CA"/>
        </w:rPr>
        <w:t xml:space="preserve">16; </w:t>
      </w:r>
      <w:r w:rsidRPr="009C665E">
        <w:rPr>
          <w:rFonts w:cs="Times New Roman"/>
          <w:i/>
          <w:lang w:val="fr-CA"/>
        </w:rPr>
        <w:t>R. c. Turner</w:t>
      </w:r>
      <w:r w:rsidRPr="009C665E">
        <w:rPr>
          <w:rFonts w:cs="Times New Roman"/>
          <w:lang w:val="fr-CA"/>
        </w:rPr>
        <w:t>, 2023 MBCA 40, 426 C.C.C. (3d) 211, par. 55</w:t>
      </w:r>
      <w:r w:rsidRPr="009C665E">
        <w:rPr>
          <w:rFonts w:cs="Times New Roman"/>
          <w:lang w:val="fr-CA"/>
        </w:rPr>
        <w:noBreakHyphen/>
        <w:t>56).</w:t>
      </w:r>
    </w:p>
    <w:p w14:paraId="6AF66494" w14:textId="77777777" w:rsidR="009C665E" w:rsidRPr="009C665E" w:rsidRDefault="009C665E" w:rsidP="009C665E">
      <w:pPr>
        <w:pStyle w:val="ParaNoNdepar-AltN"/>
        <w:tabs>
          <w:tab w:val="clear" w:pos="1166"/>
          <w:tab w:val="num" w:pos="1152"/>
        </w:tabs>
        <w:rPr>
          <w:rFonts w:cs="Times New Roman"/>
          <w:lang w:val="fr-CA"/>
        </w:rPr>
      </w:pPr>
      <w:r w:rsidRPr="009C665E">
        <w:rPr>
          <w:rFonts w:cs="Times New Roman"/>
          <w:lang w:val="fr-CA"/>
        </w:rPr>
        <w:t>Il n’est pas nécessaire, et il ne serait pas utile non plus, de créer une nouvelle catégorie conceptuelle d</w:t>
      </w:r>
      <w:proofErr w:type="gramStart"/>
      <w:r w:rsidRPr="009C665E">
        <w:rPr>
          <w:rFonts w:cs="Times New Roman"/>
          <w:lang w:val="fr-CA"/>
        </w:rPr>
        <w:t>’«</w:t>
      </w:r>
      <w:proofErr w:type="gramEnd"/>
      <w:r w:rsidRPr="009C665E">
        <w:rPr>
          <w:rFonts w:cs="Times New Roman"/>
          <w:lang w:val="fr-CA"/>
        </w:rPr>
        <w:t xml:space="preserve"> acquittements discrétionnaires » qui ne </w:t>
      </w:r>
      <w:r w:rsidRPr="009C665E">
        <w:rPr>
          <w:rFonts w:cs="Times New Roman"/>
          <w:lang w:val="fr-CA"/>
        </w:rPr>
        <w:lastRenderedPageBreak/>
        <w:t>s’appliquerait qu’en cas d’erreur judiciaire (motifs des juges majoritaires, par. 8</w:t>
      </w:r>
      <w:r w:rsidRPr="009C665E">
        <w:rPr>
          <w:rFonts w:cs="Times New Roman"/>
          <w:lang w:val="fr-CA"/>
        </w:rPr>
        <w:noBreakHyphen/>
        <w:t xml:space="preserve">9; </w:t>
      </w:r>
      <w:proofErr w:type="gramStart"/>
      <w:r w:rsidRPr="009C665E">
        <w:rPr>
          <w:rFonts w:cs="Times New Roman"/>
          <w:lang w:val="fr-CA"/>
        </w:rPr>
        <w:t>m.interv</w:t>
      </w:r>
      <w:proofErr w:type="gramEnd"/>
      <w:r w:rsidRPr="009C665E">
        <w:rPr>
          <w:rFonts w:cs="Times New Roman"/>
          <w:lang w:val="fr-CA"/>
        </w:rPr>
        <w:t>. (PGO), par. 11). En effet, l’analyse de mon collègue entraîne l’exercice d’un pouvoir discrétionnaire en tenant compte de facteurs particuliers, et reconnaît qu’une cour d’appel conserve le pouvoir discrétionnaire de refuser de prononcer un acquittement dans les cas où il serait contraire à l’intérêt public de le faire (par. 87). Fait important, ces acquittements ne sont pas d’une nature tellement différente qu’ils méritent leur propre classement par l’établissement d’une catégorie distincte à aborder avec une attention particulière, sinon avec suspicion.</w:t>
      </w:r>
    </w:p>
    <w:p w14:paraId="097D6041" w14:textId="77777777" w:rsidR="009C665E" w:rsidRPr="009C665E" w:rsidRDefault="009C665E" w:rsidP="009C665E">
      <w:pPr>
        <w:pStyle w:val="ParaNoNdepar-AltN"/>
        <w:tabs>
          <w:tab w:val="clear" w:pos="1166"/>
          <w:tab w:val="num" w:pos="1152"/>
        </w:tabs>
        <w:rPr>
          <w:rFonts w:cs="Times New Roman"/>
          <w:lang w:val="fr-CA"/>
        </w:rPr>
      </w:pPr>
      <w:r w:rsidRPr="009C665E">
        <w:rPr>
          <w:rFonts w:cs="Times New Roman"/>
          <w:lang w:val="fr-CA"/>
        </w:rPr>
        <w:t>Toutes les ordonnances que l’art. 686 autorise le tribunal à rendre comportent l’exercice d’un pouvoir discrétionnaire et en sont le résultat, qu’il s’agisse d’un acquittement pour cause de verdict déraisonnable, d’une ordonnance de nouveau procès en raison d’une erreur de droit ou d’un arrêt des procédures pour cause d’erreur judiciaire. En outre, tous les acquittements que la cour d’appel prononce, pour tout motif autorisé par la loi, relèvent également de son pouvoir discrétionnaire. Nous ne parlons pas d’un « nouveau procès discrétionnaire » ou d’un « arrêt des procédures discrétionnaire », et nous ne parlons pas non plus d</w:t>
      </w:r>
      <w:proofErr w:type="gramStart"/>
      <w:r w:rsidRPr="009C665E">
        <w:rPr>
          <w:rFonts w:cs="Times New Roman"/>
          <w:lang w:val="fr-CA"/>
        </w:rPr>
        <w:t>’«</w:t>
      </w:r>
      <w:proofErr w:type="gramEnd"/>
      <w:r w:rsidRPr="009C665E">
        <w:rPr>
          <w:rFonts w:cs="Times New Roman"/>
          <w:lang w:val="fr-CA"/>
        </w:rPr>
        <w:t> acquittement discrétionnaire » lorsque le verdict a été jugé déraisonnable. Il convient d’être prudent, voire circonspect, lorsqu’il s’agit d’évaluer, et de choisir, entre diverses ordonnances réparatrices. Pour des raisons de clarté conceptuelle, et parce que toutes les ordonnances et tous les acquittements relèvent de son pouvoir discrétionnaire, l’introduction ou l’application du concept d’acquittement discrétionnaire n’est ni nécessaire ni utile et risque de prêter à confusion.</w:t>
      </w:r>
    </w:p>
    <w:p w14:paraId="29E2530A"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Le législateur était parfaitement conscient qu’un « acquittement » signifie simplement que la Couronne ne s’est pas acquittée du fardeau de démontrer la culpabilité du prévenu hors de tout doute raisonnable. C’est un verdict fréquent et bien connu en première instance. Pourtant, le législateur a également manifestement accordé aux cours d’appel le pouvoir explicite d’exercer ce pouvoir d</w:t>
      </w:r>
      <w:proofErr w:type="gramStart"/>
      <w:r w:rsidRPr="009C665E">
        <w:rPr>
          <w:rFonts w:cs="Times New Roman"/>
          <w:lang w:val="fr-CA"/>
        </w:rPr>
        <w:t>’«</w:t>
      </w:r>
      <w:proofErr w:type="gramEnd"/>
      <w:r w:rsidRPr="009C665E">
        <w:rPr>
          <w:rFonts w:cs="Times New Roman"/>
          <w:lang w:val="fr-CA"/>
        </w:rPr>
        <w:t> acquittement » lorsqu’elles font droit à l’appel d’une déclaration de culpabilité pour l’un ou l’autre des trois motifs prévus à l’al. 686(1)a). Compte tenu de cette attribution expresse de pouvoir légal, rien ne permet de croire que les acquittements prononcés dans l’intérêt public pour réparer une erreur judiciaire avérée altèrent, diluent ou affaiblissent de quelque manière la valeur d’un acquittement.</w:t>
      </w:r>
    </w:p>
    <w:p w14:paraId="6A986DAA"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bidi="en-US"/>
        </w:rPr>
        <w:t>De fait, les tribunaux ont prononcé des acquittements après avoir accueilli des appels fondés sur chacun des trois motifs prévus à l’al. 686(1)a). Par exemple :</w:t>
      </w:r>
    </w:p>
    <w:p w14:paraId="74B3F416" w14:textId="77777777" w:rsidR="009C665E" w:rsidRPr="009C665E" w:rsidRDefault="009C665E" w:rsidP="009C665E">
      <w:pPr>
        <w:pStyle w:val="ContinueParaSuitedupar-AltP"/>
        <w:numPr>
          <w:ilvl w:val="0"/>
          <w:numId w:val="26"/>
        </w:numPr>
        <w:tabs>
          <w:tab w:val="left" w:pos="1890"/>
        </w:tabs>
        <w:spacing w:before="0"/>
        <w:ind w:left="1890" w:hanging="720"/>
        <w:rPr>
          <w:rFonts w:cs="Times New Roman"/>
          <w:lang w:val="fr-CA"/>
        </w:rPr>
      </w:pPr>
      <w:proofErr w:type="gramStart"/>
      <w:r w:rsidRPr="009C665E">
        <w:rPr>
          <w:rFonts w:cs="Times New Roman"/>
          <w:lang w:val="fr-CA" w:bidi="en-US"/>
        </w:rPr>
        <w:t>après</w:t>
      </w:r>
      <w:proofErr w:type="gramEnd"/>
      <w:r w:rsidRPr="009C665E">
        <w:rPr>
          <w:rFonts w:cs="Times New Roman"/>
          <w:lang w:val="fr-CA" w:bidi="en-US"/>
        </w:rPr>
        <w:t xml:space="preserve"> avoir conclu que le verdict était déraisonnable : </w:t>
      </w:r>
      <w:r w:rsidRPr="009C665E">
        <w:rPr>
          <w:rFonts w:cs="Times New Roman"/>
          <w:i/>
          <w:lang w:val="fr-CA" w:bidi="en-US"/>
        </w:rPr>
        <w:t>Venneri c. R.</w:t>
      </w:r>
      <w:r w:rsidRPr="009C665E">
        <w:rPr>
          <w:rFonts w:cs="Times New Roman"/>
          <w:lang w:val="fr-CA" w:bidi="en-US"/>
        </w:rPr>
        <w:t xml:space="preserve">, 2011 QCCA 1957, inf. en partie par 2012 CSC 33, [2012] 2 R.C.S. 211; </w:t>
      </w:r>
      <w:r w:rsidRPr="009C665E">
        <w:rPr>
          <w:rFonts w:cs="Times New Roman"/>
          <w:i/>
          <w:lang w:val="fr-CA" w:bidi="en-US"/>
        </w:rPr>
        <w:t>R. c. Lacroix</w:t>
      </w:r>
      <w:r w:rsidRPr="009C665E">
        <w:rPr>
          <w:rFonts w:cs="Times New Roman"/>
          <w:lang w:val="fr-CA" w:bidi="en-US"/>
        </w:rPr>
        <w:t xml:space="preserve">, 2008 CSC 67, [2008] 3 R.C.S. 509; </w:t>
      </w:r>
      <w:r w:rsidRPr="009C665E">
        <w:rPr>
          <w:rFonts w:cs="Times New Roman"/>
          <w:i/>
          <w:lang w:val="fr-CA" w:bidi="en-US"/>
        </w:rPr>
        <w:t>R. c. L.A.P.</w:t>
      </w:r>
      <w:r w:rsidRPr="009C665E">
        <w:rPr>
          <w:rFonts w:cs="Times New Roman"/>
          <w:lang w:val="fr-CA" w:bidi="en-US"/>
        </w:rPr>
        <w:t xml:space="preserve">, 2000 MBCA 109, 150 Man. R. (2d) 247, par. 32, conf. </w:t>
      </w:r>
      <w:proofErr w:type="gramStart"/>
      <w:r w:rsidRPr="009C665E">
        <w:rPr>
          <w:rFonts w:cs="Times New Roman"/>
          <w:lang w:val="fr-CA" w:bidi="en-US"/>
        </w:rPr>
        <w:t>par</w:t>
      </w:r>
      <w:proofErr w:type="gramEnd"/>
      <w:r w:rsidRPr="009C665E">
        <w:rPr>
          <w:rFonts w:cs="Times New Roman"/>
          <w:lang w:val="fr-CA" w:bidi="en-US"/>
        </w:rPr>
        <w:t xml:space="preserve"> 2001 CSC 28, [2001] 1 R.C.S. 757; </w:t>
      </w:r>
      <w:r w:rsidRPr="009C665E">
        <w:rPr>
          <w:rFonts w:cs="Times New Roman"/>
          <w:i/>
          <w:lang w:val="fr-CA" w:bidi="en-US"/>
        </w:rPr>
        <w:t>R. c. Roy</w:t>
      </w:r>
      <w:r w:rsidRPr="009C665E">
        <w:rPr>
          <w:rFonts w:cs="Times New Roman"/>
          <w:lang w:val="fr-CA" w:bidi="en-US"/>
        </w:rPr>
        <w:t xml:space="preserve">, 2024 SKCA 98, par. 31; </w:t>
      </w:r>
      <w:r w:rsidRPr="009C665E">
        <w:rPr>
          <w:rFonts w:cs="Times New Roman"/>
          <w:i/>
          <w:lang w:val="fr-CA" w:bidi="en-US"/>
        </w:rPr>
        <w:t>R. c. Shaw</w:t>
      </w:r>
      <w:r w:rsidRPr="009C665E">
        <w:rPr>
          <w:rFonts w:cs="Times New Roman"/>
          <w:lang w:val="fr-CA" w:bidi="en-US"/>
        </w:rPr>
        <w:t>, 2024 ONCA 119, 170 O.R. (3d) 161, par. 163</w:t>
      </w:r>
      <w:r w:rsidRPr="009C665E">
        <w:rPr>
          <w:rFonts w:cs="Times New Roman"/>
          <w:lang w:val="fr-CA" w:bidi="en-US"/>
        </w:rPr>
        <w:noBreakHyphen/>
        <w:t>201;</w:t>
      </w:r>
      <w:r w:rsidRPr="009C665E">
        <w:rPr>
          <w:rFonts w:eastAsia="Times New Roman" w:cs="Times New Roman"/>
          <w:i/>
          <w:szCs w:val="24"/>
          <w:lang w:val="fr-CA" w:eastAsia="en-CA" w:bidi="en-US"/>
        </w:rPr>
        <w:t xml:space="preserve"> </w:t>
      </w:r>
      <w:r w:rsidRPr="009C665E">
        <w:rPr>
          <w:rFonts w:cs="Times New Roman"/>
          <w:i/>
          <w:lang w:val="fr-CA" w:bidi="en-US"/>
        </w:rPr>
        <w:t xml:space="preserve">R. c. Tat </w:t>
      </w:r>
      <w:r w:rsidRPr="009C665E">
        <w:rPr>
          <w:rFonts w:cs="Times New Roman"/>
          <w:lang w:val="fr-CA" w:bidi="en-US"/>
        </w:rPr>
        <w:t>(1997), 35 O.R. (3d) 641 (C.A.);</w:t>
      </w:r>
    </w:p>
    <w:p w14:paraId="36A7EE52" w14:textId="77777777" w:rsidR="009C665E" w:rsidRPr="009C665E" w:rsidRDefault="009C665E" w:rsidP="009C665E">
      <w:pPr>
        <w:pStyle w:val="ContinueParaSuitedupar-AltP"/>
        <w:numPr>
          <w:ilvl w:val="0"/>
          <w:numId w:val="26"/>
        </w:numPr>
        <w:tabs>
          <w:tab w:val="left" w:pos="1890"/>
        </w:tabs>
        <w:spacing w:before="0"/>
        <w:ind w:left="1890" w:hanging="720"/>
        <w:rPr>
          <w:rFonts w:cs="Times New Roman"/>
          <w:lang w:val="fr-CA"/>
        </w:rPr>
      </w:pPr>
      <w:proofErr w:type="gramStart"/>
      <w:r w:rsidRPr="009C665E">
        <w:rPr>
          <w:rFonts w:cs="Times New Roman"/>
          <w:lang w:val="fr-CA" w:bidi="en-US"/>
        </w:rPr>
        <w:t>après</w:t>
      </w:r>
      <w:proofErr w:type="gramEnd"/>
      <w:r w:rsidRPr="009C665E">
        <w:rPr>
          <w:rFonts w:cs="Times New Roman"/>
          <w:lang w:val="fr-CA" w:bidi="en-US"/>
        </w:rPr>
        <w:t xml:space="preserve"> avoir conclu qu’une erreur de droit avait été démontrée : </w:t>
      </w:r>
      <w:r w:rsidRPr="009C665E">
        <w:rPr>
          <w:rFonts w:cs="Times New Roman"/>
          <w:i/>
          <w:lang w:val="fr-CA"/>
        </w:rPr>
        <w:t>R. c. Dillabough</w:t>
      </w:r>
      <w:r w:rsidRPr="009C665E">
        <w:rPr>
          <w:rFonts w:cs="Times New Roman"/>
          <w:lang w:val="fr-CA"/>
        </w:rPr>
        <w:t xml:space="preserve"> (1975), 28 C.C.C. (2d) 482 (C.A. Ont.); </w:t>
      </w:r>
      <w:r w:rsidRPr="009C665E">
        <w:rPr>
          <w:rFonts w:cs="Times New Roman"/>
          <w:i/>
          <w:lang w:val="fr-CA"/>
        </w:rPr>
        <w:t>R. c. Grant</w:t>
      </w:r>
      <w:r w:rsidRPr="009C665E">
        <w:rPr>
          <w:rFonts w:cs="Times New Roman"/>
          <w:lang w:val="fr-CA"/>
        </w:rPr>
        <w:t xml:space="preserve"> (1975), 23 C.C.C. (2d) 317 (C.A. C.</w:t>
      </w:r>
      <w:r w:rsidRPr="009C665E">
        <w:rPr>
          <w:rFonts w:cs="Times New Roman"/>
          <w:lang w:val="fr-CA"/>
        </w:rPr>
        <w:noBreakHyphen/>
        <w:t xml:space="preserve">B.); </w:t>
      </w:r>
      <w:r w:rsidRPr="009C665E">
        <w:rPr>
          <w:rFonts w:cs="Times New Roman"/>
          <w:i/>
          <w:lang w:val="fr-CA"/>
        </w:rPr>
        <w:t>Dunlop</w:t>
      </w:r>
      <w:r w:rsidRPr="009C665E">
        <w:rPr>
          <w:rFonts w:cs="Times New Roman"/>
          <w:lang w:val="fr-CA"/>
        </w:rPr>
        <w:t xml:space="preserve"> </w:t>
      </w:r>
      <w:r w:rsidRPr="009C665E">
        <w:rPr>
          <w:rFonts w:cs="Times New Roman"/>
          <w:i/>
          <w:lang w:val="fr-CA"/>
        </w:rPr>
        <w:t>c. La Reine</w:t>
      </w:r>
      <w:r w:rsidRPr="009C665E">
        <w:rPr>
          <w:rFonts w:cs="Times New Roman"/>
          <w:lang w:val="fr-CA"/>
        </w:rPr>
        <w:t xml:space="preserve">, [1979] 2 R.C.S. 881, p. 900; </w:t>
      </w:r>
      <w:r w:rsidRPr="009C665E">
        <w:rPr>
          <w:rFonts w:cs="Times New Roman"/>
          <w:i/>
          <w:lang w:val="fr-CA"/>
        </w:rPr>
        <w:t>R. c. Boissonneault</w:t>
      </w:r>
      <w:r w:rsidRPr="009C665E">
        <w:rPr>
          <w:rFonts w:cs="Times New Roman"/>
          <w:lang w:val="fr-CA"/>
        </w:rPr>
        <w:t xml:space="preserve"> (1986), 29 C.C.C. (3d) 345 (C.A. Ont.); </w:t>
      </w:r>
      <w:r w:rsidRPr="009C665E">
        <w:rPr>
          <w:rFonts w:cs="Times New Roman"/>
          <w:i/>
          <w:lang w:val="fr-CA"/>
        </w:rPr>
        <w:t>R. c. M.B.</w:t>
      </w:r>
      <w:r w:rsidRPr="009C665E">
        <w:rPr>
          <w:rFonts w:cs="Times New Roman"/>
          <w:lang w:val="fr-CA"/>
        </w:rPr>
        <w:t xml:space="preserve"> (1986), 53 Sask. R. 55 (C.A.); </w:t>
      </w:r>
      <w:r w:rsidRPr="009C665E">
        <w:rPr>
          <w:rFonts w:cs="Times New Roman"/>
          <w:i/>
          <w:lang w:val="fr-CA"/>
        </w:rPr>
        <w:t xml:space="preserve">R. c. Sophonow </w:t>
      </w:r>
      <w:r w:rsidRPr="009C665E">
        <w:rPr>
          <w:rFonts w:cs="Times New Roman"/>
          <w:lang w:val="fr-CA"/>
        </w:rPr>
        <w:t xml:space="preserve">(1986), 38 Man. R. (2d) 198 (C.A.); </w:t>
      </w:r>
      <w:r w:rsidRPr="009C665E">
        <w:rPr>
          <w:rFonts w:cs="Times New Roman"/>
          <w:i/>
          <w:lang w:val="fr-CA"/>
        </w:rPr>
        <w:t>Haslam</w:t>
      </w:r>
      <w:r w:rsidRPr="009C665E">
        <w:rPr>
          <w:rFonts w:cs="Times New Roman"/>
          <w:lang w:val="fr-CA"/>
        </w:rPr>
        <w:t>;</w:t>
      </w:r>
      <w:r w:rsidRPr="009C665E">
        <w:rPr>
          <w:rFonts w:cs="Times New Roman"/>
          <w:i/>
          <w:lang w:val="fr-CA" w:bidi="en-US"/>
        </w:rPr>
        <w:t xml:space="preserve"> </w:t>
      </w:r>
      <w:r w:rsidRPr="009C665E">
        <w:rPr>
          <w:rFonts w:cs="Times New Roman"/>
          <w:i/>
          <w:lang w:val="fr-CA"/>
        </w:rPr>
        <w:t>R. c. Mohamed</w:t>
      </w:r>
      <w:r w:rsidRPr="009C665E">
        <w:rPr>
          <w:rFonts w:cs="Times New Roman"/>
          <w:lang w:val="fr-CA"/>
        </w:rPr>
        <w:t xml:space="preserve"> (1991), 64 C.C.C. (3d) 1 (C.A. C.</w:t>
      </w:r>
      <w:r w:rsidRPr="009C665E">
        <w:rPr>
          <w:rFonts w:cs="Times New Roman"/>
          <w:lang w:val="fr-CA"/>
        </w:rPr>
        <w:noBreakHyphen/>
        <w:t xml:space="preserve">B.); </w:t>
      </w:r>
      <w:r w:rsidRPr="009C665E">
        <w:rPr>
          <w:rFonts w:cs="Times New Roman"/>
          <w:i/>
          <w:lang w:val="fr-CA"/>
        </w:rPr>
        <w:t>R. c. Tom</w:t>
      </w:r>
      <w:r w:rsidRPr="009C665E">
        <w:rPr>
          <w:rFonts w:cs="Times New Roman"/>
          <w:lang w:val="fr-CA"/>
        </w:rPr>
        <w:t xml:space="preserve"> (1992), 79 C.C.C. (3d) 84 (C.A. C.</w:t>
      </w:r>
      <w:r w:rsidRPr="009C665E">
        <w:rPr>
          <w:rFonts w:cs="Times New Roman"/>
          <w:lang w:val="fr-CA"/>
        </w:rPr>
        <w:noBreakHyphen/>
        <w:t xml:space="preserve">B.); </w:t>
      </w:r>
      <w:r w:rsidRPr="009C665E">
        <w:rPr>
          <w:rFonts w:cs="Times New Roman"/>
          <w:i/>
          <w:lang w:val="fr-CA"/>
        </w:rPr>
        <w:t>R. c. P.L.</w:t>
      </w:r>
      <w:r w:rsidRPr="009C665E">
        <w:rPr>
          <w:rFonts w:cs="Times New Roman"/>
          <w:lang w:val="fr-CA"/>
        </w:rPr>
        <w:t xml:space="preserve">, [1995] O.J. No. 854 (Lexis), 1995 CarswellOnt 4000 (WL) (C.A.); </w:t>
      </w:r>
      <w:r w:rsidRPr="009C665E">
        <w:rPr>
          <w:rFonts w:cs="Times New Roman"/>
          <w:i/>
          <w:lang w:val="fr-CA"/>
        </w:rPr>
        <w:t>R. c. Sargent</w:t>
      </w:r>
      <w:r w:rsidRPr="009C665E">
        <w:rPr>
          <w:rFonts w:cs="Times New Roman"/>
          <w:lang w:val="fr-CA"/>
        </w:rPr>
        <w:t xml:space="preserve">, 2006 ABCA 411, 401 A.R. 146, par. 3; </w:t>
      </w:r>
      <w:r w:rsidRPr="009C665E">
        <w:rPr>
          <w:rFonts w:cs="Times New Roman"/>
          <w:i/>
          <w:lang w:val="fr-CA"/>
        </w:rPr>
        <w:t>R. c. W.J.G.</w:t>
      </w:r>
      <w:r w:rsidRPr="009C665E">
        <w:rPr>
          <w:rFonts w:cs="Times New Roman"/>
          <w:lang w:val="fr-CA"/>
        </w:rPr>
        <w:t xml:space="preserve">, 2006 MBCA 20, 205 Man. R. (2d) 5, par. 11; </w:t>
      </w:r>
      <w:r w:rsidRPr="009C665E">
        <w:rPr>
          <w:rFonts w:cs="Times New Roman"/>
          <w:i/>
          <w:lang w:val="fr-CA"/>
        </w:rPr>
        <w:t>R. c. Titong</w:t>
      </w:r>
      <w:r w:rsidRPr="009C665E">
        <w:rPr>
          <w:rFonts w:cs="Times New Roman"/>
          <w:lang w:val="fr-CA"/>
        </w:rPr>
        <w:t xml:space="preserve">, 2021 ABCA 75, </w:t>
      </w:r>
      <w:r w:rsidRPr="009C665E">
        <w:rPr>
          <w:rFonts w:cs="Times New Roman"/>
          <w:lang w:val="fr-CA"/>
        </w:rPr>
        <w:lastRenderedPageBreak/>
        <w:t>par. 18</w:t>
      </w:r>
      <w:r w:rsidRPr="009C665E">
        <w:rPr>
          <w:rFonts w:cs="Times New Roman"/>
          <w:lang w:val="fr-CA"/>
        </w:rPr>
        <w:noBreakHyphen/>
        <w:t xml:space="preserve">20; </w:t>
      </w:r>
      <w:r w:rsidRPr="009C665E">
        <w:rPr>
          <w:rFonts w:cs="Times New Roman"/>
          <w:i/>
          <w:lang w:val="fr-CA"/>
        </w:rPr>
        <w:t>R. c. Karuranga</w:t>
      </w:r>
      <w:r w:rsidRPr="009C665E">
        <w:rPr>
          <w:rFonts w:cs="Times New Roman"/>
          <w:lang w:val="fr-CA"/>
        </w:rPr>
        <w:t>, 2021 SKCA 90, 488 C.R.R. (2d) 317, par. 41</w:t>
      </w:r>
      <w:r w:rsidRPr="009C665E">
        <w:rPr>
          <w:rFonts w:cs="Times New Roman"/>
          <w:lang w:val="fr-CA"/>
        </w:rPr>
        <w:noBreakHyphen/>
        <w:t xml:space="preserve">43; </w:t>
      </w:r>
      <w:r w:rsidRPr="009C665E">
        <w:rPr>
          <w:rFonts w:cs="Times New Roman"/>
          <w:i/>
          <w:lang w:val="fr-CA"/>
        </w:rPr>
        <w:t>R. c. Deuling</w:t>
      </w:r>
      <w:r w:rsidRPr="009C665E">
        <w:rPr>
          <w:rFonts w:cs="Times New Roman"/>
          <w:lang w:val="fr-CA"/>
        </w:rPr>
        <w:t>, 2024 YKCA 7, par. 50</w:t>
      </w:r>
      <w:r w:rsidRPr="009C665E">
        <w:rPr>
          <w:rFonts w:cs="Times New Roman"/>
          <w:lang w:val="fr-CA"/>
        </w:rPr>
        <w:noBreakHyphen/>
        <w:t>51;</w:t>
      </w:r>
    </w:p>
    <w:p w14:paraId="636EA338" w14:textId="77777777" w:rsidR="009C665E" w:rsidRPr="009C665E" w:rsidRDefault="009C665E" w:rsidP="009C665E">
      <w:pPr>
        <w:pStyle w:val="ContinueParaSuitedupar-AltP"/>
        <w:numPr>
          <w:ilvl w:val="0"/>
          <w:numId w:val="26"/>
        </w:numPr>
        <w:tabs>
          <w:tab w:val="left" w:pos="1890"/>
        </w:tabs>
        <w:spacing w:before="0"/>
        <w:ind w:left="1890" w:hanging="720"/>
        <w:rPr>
          <w:rFonts w:cs="Times New Roman"/>
          <w:lang w:val="fr-CA"/>
        </w:rPr>
      </w:pPr>
      <w:proofErr w:type="gramStart"/>
      <w:r w:rsidRPr="009C665E">
        <w:rPr>
          <w:rFonts w:cs="Times New Roman"/>
          <w:lang w:val="fr-CA"/>
        </w:rPr>
        <w:t>après</w:t>
      </w:r>
      <w:proofErr w:type="gramEnd"/>
      <w:r w:rsidRPr="009C665E">
        <w:rPr>
          <w:rFonts w:cs="Times New Roman"/>
          <w:lang w:val="fr-CA"/>
        </w:rPr>
        <w:t xml:space="preserve"> que l’appelant a démontré l’existence d’une erreur judiciaire : </w:t>
      </w:r>
      <w:r w:rsidRPr="009C665E">
        <w:rPr>
          <w:rFonts w:cs="Times New Roman"/>
          <w:i/>
          <w:lang w:val="fr-CA"/>
        </w:rPr>
        <w:t>Hinse</w:t>
      </w:r>
      <w:r w:rsidRPr="009C665E">
        <w:rPr>
          <w:rFonts w:cs="Times New Roman"/>
          <w:lang w:val="fr-CA"/>
        </w:rPr>
        <w:t xml:space="preserve"> </w:t>
      </w:r>
      <w:r w:rsidRPr="009C665E">
        <w:rPr>
          <w:rFonts w:cs="Times New Roman"/>
          <w:i/>
          <w:lang w:val="fr-CA"/>
        </w:rPr>
        <w:t>1997</w:t>
      </w:r>
      <w:r w:rsidRPr="009C665E">
        <w:rPr>
          <w:rFonts w:cs="Times New Roman"/>
          <w:lang w:val="fr-CA"/>
        </w:rPr>
        <w:t xml:space="preserve">; </w:t>
      </w:r>
      <w:r w:rsidRPr="009C665E">
        <w:rPr>
          <w:rFonts w:cs="Times New Roman"/>
          <w:i/>
          <w:lang w:val="fr-CA"/>
        </w:rPr>
        <w:t>Truscott</w:t>
      </w:r>
      <w:r w:rsidRPr="009C665E">
        <w:rPr>
          <w:rFonts w:cs="Times New Roman"/>
          <w:lang w:val="fr-CA"/>
        </w:rPr>
        <w:t>, par. 787;</w:t>
      </w:r>
      <w:r w:rsidRPr="009C665E">
        <w:rPr>
          <w:rFonts w:cs="Times New Roman"/>
          <w:i/>
          <w:lang w:val="fr-CA" w:bidi="en-US"/>
        </w:rPr>
        <w:t xml:space="preserve"> R. c. Mullins-Johnson</w:t>
      </w:r>
      <w:r w:rsidRPr="009C665E">
        <w:rPr>
          <w:rFonts w:cs="Times New Roman"/>
          <w:lang w:val="fr-CA" w:bidi="en-US"/>
        </w:rPr>
        <w:t xml:space="preserve">, 2007 ONCA 720, 87 O.R. (3d) 425, par. 28; </w:t>
      </w:r>
      <w:r w:rsidRPr="009C665E">
        <w:rPr>
          <w:rFonts w:cs="Times New Roman"/>
          <w:i/>
          <w:lang w:val="fr-CA"/>
        </w:rPr>
        <w:t>Walsh, Re</w:t>
      </w:r>
      <w:r w:rsidRPr="009C665E">
        <w:rPr>
          <w:rFonts w:cs="Times New Roman"/>
          <w:lang w:val="fr-CA"/>
        </w:rPr>
        <w:t xml:space="preserve">, 2008 NBCA 33, 335 R.N.-B. (2e) 1; </w:t>
      </w:r>
      <w:r w:rsidRPr="009C665E">
        <w:rPr>
          <w:rFonts w:cs="Times New Roman"/>
          <w:i/>
          <w:lang w:val="fr-CA"/>
        </w:rPr>
        <w:t>R. c. Sherret-Robinson</w:t>
      </w:r>
      <w:r w:rsidRPr="009C665E">
        <w:rPr>
          <w:rFonts w:cs="Times New Roman"/>
          <w:lang w:val="fr-CA"/>
        </w:rPr>
        <w:t>, 2009 ONCA 886, par. 9</w:t>
      </w:r>
      <w:r w:rsidRPr="009C665E">
        <w:rPr>
          <w:rFonts w:cs="Times New Roman"/>
          <w:lang w:val="fr-CA"/>
        </w:rPr>
        <w:noBreakHyphen/>
        <w:t xml:space="preserve">10; </w:t>
      </w:r>
      <w:r w:rsidRPr="009C665E">
        <w:rPr>
          <w:rFonts w:cs="Times New Roman"/>
          <w:i/>
          <w:lang w:val="fr-CA" w:bidi="en-US"/>
        </w:rPr>
        <w:t>R. c. Kumar</w:t>
      </w:r>
      <w:r w:rsidRPr="009C665E">
        <w:rPr>
          <w:rFonts w:cs="Times New Roman"/>
          <w:lang w:val="fr-CA" w:bidi="en-US"/>
        </w:rPr>
        <w:t>, 2011 ONCA 120, 268 C.C.C. (3d) 369, par. 33</w:t>
      </w:r>
      <w:r w:rsidRPr="009C665E">
        <w:rPr>
          <w:rFonts w:cs="Times New Roman"/>
          <w:lang w:val="fr-CA" w:bidi="en-US"/>
        </w:rPr>
        <w:noBreakHyphen/>
        <w:t xml:space="preserve">34 et 39; </w:t>
      </w:r>
      <w:r w:rsidRPr="009C665E">
        <w:rPr>
          <w:rFonts w:cs="Times New Roman"/>
          <w:i/>
          <w:lang w:val="fr-CA" w:bidi="en-US"/>
        </w:rPr>
        <w:t>R. c. Brant</w:t>
      </w:r>
      <w:r w:rsidRPr="009C665E">
        <w:rPr>
          <w:rFonts w:cs="Times New Roman"/>
          <w:lang w:val="fr-CA" w:bidi="en-US"/>
        </w:rPr>
        <w:t xml:space="preserve">, 2011 ONCA 362; </w:t>
      </w:r>
      <w:r w:rsidRPr="009C665E">
        <w:rPr>
          <w:rFonts w:cs="Times New Roman"/>
          <w:i/>
          <w:lang w:val="fr-CA"/>
        </w:rPr>
        <w:t>R. c. Lewis</w:t>
      </w:r>
      <w:r w:rsidRPr="009C665E">
        <w:rPr>
          <w:rFonts w:cs="Times New Roman"/>
          <w:lang w:val="fr-CA"/>
        </w:rPr>
        <w:t xml:space="preserve">, 2012 SKCA 81, 399 Sask. R. 180; </w:t>
      </w:r>
      <w:r w:rsidRPr="009C665E">
        <w:rPr>
          <w:rFonts w:cs="Times New Roman"/>
          <w:i/>
          <w:lang w:val="fr-CA"/>
        </w:rPr>
        <w:t>R. c. D.R.S.</w:t>
      </w:r>
      <w:r w:rsidRPr="009C665E">
        <w:rPr>
          <w:rFonts w:cs="Times New Roman"/>
          <w:lang w:val="fr-CA"/>
        </w:rPr>
        <w:t xml:space="preserve">, 2013 ABCA 18, 542 A.R. 92; </w:t>
      </w:r>
      <w:r w:rsidRPr="009C665E">
        <w:rPr>
          <w:rFonts w:cs="Times New Roman"/>
          <w:i/>
          <w:lang w:val="fr-CA" w:bidi="en-US"/>
        </w:rPr>
        <w:t>R. c. Shepherd</w:t>
      </w:r>
      <w:r w:rsidRPr="009C665E">
        <w:rPr>
          <w:rFonts w:cs="Times New Roman"/>
          <w:lang w:val="fr-CA" w:bidi="en-US"/>
        </w:rPr>
        <w:t>, 2016 ONCA 188, par. 13 et 21;</w:t>
      </w:r>
      <w:r w:rsidRPr="009C665E">
        <w:rPr>
          <w:rFonts w:cs="Times New Roman"/>
          <w:lang w:val="fr-CA"/>
        </w:rPr>
        <w:t xml:space="preserve"> </w:t>
      </w:r>
      <w:r w:rsidRPr="009C665E">
        <w:rPr>
          <w:rFonts w:cs="Times New Roman"/>
          <w:i/>
          <w:lang w:val="fr-CA"/>
        </w:rPr>
        <w:t>R. c. J.C.</w:t>
      </w:r>
      <w:r w:rsidRPr="009C665E">
        <w:rPr>
          <w:rFonts w:cs="Times New Roman"/>
          <w:lang w:val="fr-CA"/>
        </w:rPr>
        <w:t>, 2024 ABCA 69, par. 4 et 13</w:t>
      </w:r>
      <w:r w:rsidRPr="009C665E">
        <w:rPr>
          <w:rFonts w:cs="Times New Roman"/>
          <w:lang w:val="fr-CA"/>
        </w:rPr>
        <w:noBreakHyphen/>
        <w:t>14.</w:t>
      </w:r>
    </w:p>
    <w:p w14:paraId="2678769C" w14:textId="77777777" w:rsidR="009C665E" w:rsidRPr="009C665E" w:rsidRDefault="009C665E" w:rsidP="009C665E">
      <w:pPr>
        <w:pStyle w:val="Title4LevelTitre4Niveau"/>
        <w:widowControl w:val="0"/>
        <w:numPr>
          <w:ilvl w:val="3"/>
          <w:numId w:val="7"/>
        </w:numPr>
        <w:spacing w:before="0"/>
        <w:rPr>
          <w:rFonts w:cs="Times New Roman"/>
          <w:lang w:val="fr-CA"/>
        </w:rPr>
      </w:pPr>
      <w:r w:rsidRPr="009C665E">
        <w:rPr>
          <w:rFonts w:cs="Times New Roman"/>
          <w:lang w:val="fr-CA"/>
        </w:rPr>
        <w:t>Lorsque le législateur veut limiter le pouvoir discrétionnaire de la Cour d’appel, il le dit expressément</w:t>
      </w:r>
    </w:p>
    <w:p w14:paraId="766AFB49"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t>Le paragraphe 686(2), qui confère explicitement à la cour d’appel un vaste pouvoir discrétionnaire de réparation lorsqu’elle fait droit à l’appel d’une déclaration de culpabilité, peut être mis en contraste avec d’autres dispositions qui limitent expressément les pouvoirs de la cour d’appel dans d’autres situations.</w:t>
      </w:r>
    </w:p>
    <w:p w14:paraId="01371DB4"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Par exemple, si elle accueille l’appel d’un verdict d’acquittement, la cour peut ordonner la tenue d’un nouveau procès ou rendre un verdict de culpabilité, mais elle ne peut prononcer ce dernier verdict que lorsque certaines conditions sont réunies </w:t>
      </w:r>
      <w:r w:rsidRPr="009C665E">
        <w:rPr>
          <w:rFonts w:cs="Times New Roman"/>
          <w:lang w:val="fr-CA"/>
        </w:rPr>
        <w:lastRenderedPageBreak/>
        <w:t xml:space="preserve">(al. 686(4)b)), et pas si « [le] verdict [a été] rendu par un tribunal composé d’un juge et d’un jury » </w:t>
      </w:r>
      <w:r w:rsidRPr="009C665E">
        <w:rPr>
          <w:rFonts w:cs="Times New Roman"/>
          <w:lang w:val="fr-CA" w:bidi="en-US"/>
        </w:rPr>
        <w:t>(sous</w:t>
      </w:r>
      <w:r w:rsidRPr="009C665E">
        <w:rPr>
          <w:rFonts w:cs="Times New Roman"/>
          <w:lang w:val="fr-CA" w:bidi="en-US"/>
        </w:rPr>
        <w:noBreakHyphen/>
        <w:t>al. 686(4</w:t>
      </w:r>
      <w:proofErr w:type="gramStart"/>
      <w:r w:rsidRPr="009C665E">
        <w:rPr>
          <w:rFonts w:cs="Times New Roman"/>
          <w:lang w:val="fr-CA" w:bidi="en-US"/>
        </w:rPr>
        <w:t>)b)(</w:t>
      </w:r>
      <w:proofErr w:type="gramEnd"/>
      <w:r w:rsidRPr="009C665E">
        <w:rPr>
          <w:rFonts w:cs="Times New Roman"/>
          <w:lang w:val="fr-CA" w:bidi="en-US"/>
        </w:rPr>
        <w:t>ii)). Dans le même ordre d’idée, même s’il lui est loisible, après avoir annulé une déclaration de culpabilité, de substituer au verdict qui a été rendu le verdict d’inaptitude à subir son procès ou de non</w:t>
      </w:r>
      <w:r w:rsidRPr="009C665E">
        <w:rPr>
          <w:rFonts w:cs="Times New Roman"/>
          <w:lang w:val="fr-CA" w:bidi="en-US"/>
        </w:rPr>
        <w:noBreakHyphen/>
        <w:t xml:space="preserve">responsabilité criminelle pour cause de troubles mentaux en vertu de l’al. 686(1)d), la cour d’appel n’a pas le pouvoir légal de prendre cette mesure lorsqu’elle annule un verdict d’acquittement (par. 686(4); </w:t>
      </w:r>
      <w:r w:rsidRPr="009C665E">
        <w:rPr>
          <w:rFonts w:cs="Times New Roman"/>
          <w:i/>
          <w:lang w:val="fr-CA" w:bidi="en-US"/>
        </w:rPr>
        <w:t>R. c. Luedecke</w:t>
      </w:r>
      <w:r w:rsidRPr="009C665E">
        <w:rPr>
          <w:rFonts w:cs="Times New Roman"/>
          <w:lang w:val="fr-CA" w:bidi="en-US"/>
        </w:rPr>
        <w:t xml:space="preserve">, 2008 ONCA 716, 93 O.R. (3d) 89, par. 126). On trouve un autre exemple au </w:t>
      </w:r>
      <w:r w:rsidRPr="009C665E">
        <w:rPr>
          <w:rFonts w:cs="Times New Roman"/>
          <w:lang w:val="fr-CA"/>
        </w:rPr>
        <w:t>par. 686(6), qui oblige la cour d’appel à ordonner un nouveau procès lorsqu’elle admet l’appel d’un verdict d’inaptitude à subir son procès, sous réserve du par. 686(7), qui permet à la cour d’inscrire un acquittement « si elle est d’avis que l’accusé aurait dû être acquitté au terme de l’exposé de la poursuite ». Bien que la tenue d’un nouveau procès soit la réparation présumée, si le verdict selon lequel l’accusé est inapte à subir son procès est rendu après que la poursuite a clos sa preuve, la cour doit d’abord se demander si un acquittement est approprié. On ne trouve aucune restriction ou exigence de ce type au par. 686(2).</w:t>
      </w:r>
    </w:p>
    <w:p w14:paraId="3A7B315F"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bidi="en-US"/>
        </w:rPr>
        <w:t xml:space="preserve">Dans les cas où l’on s’attend à ce qu’une restriction soit expressément mentionnée, le tribunal peut inférer que l’omission du législateur de la mentionner résulte de son choix délibéré de l’exclure (R. Sullivan, </w:t>
      </w:r>
      <w:r w:rsidRPr="009C665E">
        <w:rPr>
          <w:rFonts w:cs="Times New Roman"/>
          <w:i/>
          <w:lang w:val="fr-CA" w:bidi="en-US"/>
        </w:rPr>
        <w:t>The Construction of Statutes</w:t>
      </w:r>
      <w:r w:rsidRPr="009C665E">
        <w:rPr>
          <w:rFonts w:cs="Times New Roman"/>
          <w:lang w:val="fr-CA" w:bidi="en-US"/>
        </w:rPr>
        <w:t xml:space="preserve"> (7</w:t>
      </w:r>
      <w:r w:rsidRPr="009C665E">
        <w:rPr>
          <w:rFonts w:cs="Times New Roman"/>
          <w:vertAlign w:val="superscript"/>
          <w:lang w:val="fr-CA" w:bidi="en-US"/>
        </w:rPr>
        <w:t>e</w:t>
      </w:r>
      <w:r w:rsidRPr="009C665E">
        <w:rPr>
          <w:rFonts w:cs="Times New Roman"/>
          <w:lang w:val="fr-CA" w:bidi="en-US"/>
        </w:rPr>
        <w:t xml:space="preserve"> éd. 2022), § 8.09[1]; voir aussi </w:t>
      </w:r>
      <w:r w:rsidRPr="009C665E">
        <w:rPr>
          <w:rFonts w:cs="Times New Roman"/>
          <w:i/>
          <w:lang w:val="fr-CA" w:bidi="en-US"/>
        </w:rPr>
        <w:t>Canada c. Loblaw Financial Holdings Inc.</w:t>
      </w:r>
      <w:r w:rsidRPr="009C665E">
        <w:rPr>
          <w:rFonts w:cs="Times New Roman"/>
          <w:lang w:val="fr-CA" w:bidi="en-US"/>
        </w:rPr>
        <w:t xml:space="preserve">, 2021 CSC 51, [2021] 3 R.C.S. 687, par. 59; </w:t>
      </w:r>
      <w:r w:rsidRPr="009C665E">
        <w:rPr>
          <w:rFonts w:cs="Times New Roman"/>
          <w:i/>
          <w:lang w:val="fr-CA" w:bidi="en-US"/>
        </w:rPr>
        <w:t>Cadieux (Litigation Guardian of) c. Cloutier</w:t>
      </w:r>
      <w:r w:rsidRPr="009C665E">
        <w:rPr>
          <w:rFonts w:cs="Times New Roman"/>
          <w:lang w:val="fr-CA" w:bidi="en-US"/>
        </w:rPr>
        <w:t xml:space="preserve">, 2018 ONCA 903, 143 O.R. (3d) 545, par. 114). Ces exemples démontrent que le législateur a restreint les pouvoirs de réparation dans les situations où il estime que ces </w:t>
      </w:r>
      <w:r w:rsidRPr="009C665E">
        <w:rPr>
          <w:rFonts w:cs="Times New Roman"/>
          <w:lang w:val="fr-CA" w:bidi="en-US"/>
        </w:rPr>
        <w:lastRenderedPageBreak/>
        <w:t>restrictions sont justifiées. S’il avait voulu limiter à certaines situations le pouvoir du tribunal de prononcer un acquittement, par exemple lorsque l’appelant a démontré que le verdict était déraisonnable, il aurait pu le faire, mais il ne l’a pas fait.</w:t>
      </w:r>
    </w:p>
    <w:p w14:paraId="2321DF15" w14:textId="69CCB3CB" w:rsidR="009C665E" w:rsidRPr="009C665E" w:rsidRDefault="009C665E" w:rsidP="00417DF7">
      <w:pPr>
        <w:pStyle w:val="Title4LevelTitre4Niveau"/>
        <w:widowControl w:val="0"/>
        <w:numPr>
          <w:ilvl w:val="1"/>
          <w:numId w:val="31"/>
        </w:numPr>
        <w:spacing w:before="0"/>
        <w:ind w:left="1134" w:hanging="567"/>
        <w:rPr>
          <w:rFonts w:cs="Times New Roman"/>
          <w:lang w:val="fr-CA"/>
        </w:rPr>
      </w:pPr>
      <w:r w:rsidRPr="009C665E">
        <w:rPr>
          <w:rFonts w:cs="Times New Roman"/>
          <w:lang w:val="fr-CA"/>
        </w:rPr>
        <w:t>L’évolution législative confirme l’existence d’un vaste pouvoir discrétionnaire de réparation</w:t>
      </w:r>
    </w:p>
    <w:p w14:paraId="6577F833"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t>L’évolution législative de la compétence et des pouvoirs de réparation des cours d’appel en matière pénale renforce également la conclusion selon laquelle le législateur souhaitait que les cours d’appel disposent d’un vaste pouvoir discrétionnaire de réparation pour prononcer un acquittement.</w:t>
      </w:r>
    </w:p>
    <w:p w14:paraId="4679B8FC" w14:textId="77777777" w:rsidR="009C665E" w:rsidRPr="009C665E" w:rsidRDefault="009C665E" w:rsidP="009C665E">
      <w:pPr>
        <w:pStyle w:val="ParaNoNdepar-AltN"/>
        <w:tabs>
          <w:tab w:val="clear" w:pos="1166"/>
          <w:tab w:val="num" w:pos="1152"/>
        </w:tabs>
        <w:spacing w:before="0"/>
        <w:rPr>
          <w:rFonts w:cs="Times New Roman"/>
          <w:lang w:val="en-US"/>
        </w:rPr>
      </w:pPr>
      <w:r w:rsidRPr="009C665E">
        <w:rPr>
          <w:rFonts w:cs="Times New Roman"/>
          <w:lang w:val="fr-CA"/>
        </w:rPr>
        <w:t>Les appels en matière pénale sont d’origine relativement récente en common law. Au départ, les procédures de contrôle et d’examen étaient rarement utilisées en common law anglaise ou étaient d’une efficacité limitée. Ce n’est qu’au 19</w:t>
      </w:r>
      <w:r w:rsidRPr="009C665E">
        <w:rPr>
          <w:rFonts w:cs="Times New Roman"/>
          <w:vertAlign w:val="superscript"/>
          <w:lang w:val="fr-CA"/>
        </w:rPr>
        <w:t>e</w:t>
      </w:r>
      <w:r w:rsidRPr="009C665E">
        <w:rPr>
          <w:rFonts w:cs="Times New Roman"/>
          <w:lang w:val="fr-CA"/>
        </w:rPr>
        <w:t xml:space="preserve"> siècle que les mesures de réforme visant à permettre le contrôle en appel se sont intensifiées (P. D. Marshall, « A Comparative Analysis of the Right to Appeal » (2011), 22 </w:t>
      </w:r>
      <w:r w:rsidRPr="009C665E">
        <w:rPr>
          <w:rFonts w:cs="Times New Roman"/>
          <w:i/>
          <w:iCs/>
          <w:lang w:val="fr-CA"/>
        </w:rPr>
        <w:t xml:space="preserve">Duke J. Comp. </w:t>
      </w:r>
      <w:r w:rsidRPr="009C665E">
        <w:rPr>
          <w:rFonts w:cs="Times New Roman"/>
          <w:i/>
          <w:iCs/>
          <w:lang w:val="en-US"/>
        </w:rPr>
        <w:t>&amp; Int’l L.</w:t>
      </w:r>
      <w:r w:rsidRPr="009C665E">
        <w:rPr>
          <w:rFonts w:cs="Times New Roman"/>
          <w:lang w:val="en-US"/>
        </w:rPr>
        <w:t xml:space="preserve"> 1, p. 4</w:t>
      </w:r>
      <w:r w:rsidRPr="009C665E">
        <w:rPr>
          <w:rFonts w:cs="Times New Roman"/>
          <w:lang w:val="en-US"/>
        </w:rPr>
        <w:noBreakHyphen/>
        <w:t>7; B. L. Berger, « Criminal Appeals as Jury Control : An Anglo</w:t>
      </w:r>
      <w:r w:rsidRPr="009C665E">
        <w:rPr>
          <w:rFonts w:cs="Times New Roman"/>
          <w:lang w:val="en-US"/>
        </w:rPr>
        <w:noBreakHyphen/>
        <w:t xml:space="preserve">Canadian Historical Perspective on the Rise of Criminal Appeals » (2006), 10 </w:t>
      </w:r>
      <w:r w:rsidRPr="009C665E">
        <w:rPr>
          <w:rFonts w:cs="Times New Roman"/>
          <w:i/>
          <w:lang w:val="en-US"/>
        </w:rPr>
        <w:t>Rev. can. D.P.</w:t>
      </w:r>
      <w:r w:rsidRPr="009C665E">
        <w:rPr>
          <w:rFonts w:cs="Times New Roman"/>
          <w:lang w:val="en-US"/>
        </w:rPr>
        <w:t xml:space="preserve"> 1, p. 4</w:t>
      </w:r>
      <w:r w:rsidRPr="009C665E">
        <w:rPr>
          <w:rFonts w:cs="Times New Roman"/>
          <w:lang w:val="en-US"/>
        </w:rPr>
        <w:noBreakHyphen/>
        <w:t>9 et 25</w:t>
      </w:r>
      <w:r w:rsidRPr="009C665E">
        <w:rPr>
          <w:rFonts w:cs="Times New Roman"/>
          <w:lang w:val="en-US"/>
        </w:rPr>
        <w:noBreakHyphen/>
        <w:t>29).</w:t>
      </w:r>
    </w:p>
    <w:p w14:paraId="46BA6A12"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Les mesures de réformes se sont heurtées à une forte opposition en raison de la </w:t>
      </w:r>
      <w:r w:rsidRPr="009C665E">
        <w:rPr>
          <w:rFonts w:cs="Times New Roman"/>
          <w:smallCaps/>
          <w:lang w:val="fr-CA"/>
        </w:rPr>
        <w:t>[traduction]</w:t>
      </w:r>
      <w:r w:rsidRPr="009C665E">
        <w:rPr>
          <w:rFonts w:cs="Times New Roman"/>
          <w:lang w:val="fr-CA"/>
        </w:rPr>
        <w:t xml:space="preserve"> « confiance indéfectible » dans les jurys et les juges de procès, de la croyance selon laquelle les déclarations de culpabilité injustifiées étaient rares et de </w:t>
      </w:r>
      <w:r w:rsidRPr="009C665E">
        <w:rPr>
          <w:rFonts w:cs="Times New Roman"/>
          <w:lang w:val="fr-CA"/>
        </w:rPr>
        <w:lastRenderedPageBreak/>
        <w:t xml:space="preserve">la volonté de régler rapidement les procès (R. J. Sharpe, </w:t>
      </w:r>
      <w:r w:rsidRPr="009C665E">
        <w:rPr>
          <w:rFonts w:cs="Times New Roman"/>
          <w:i/>
          <w:lang w:val="fr-CA"/>
        </w:rPr>
        <w:t>The Lazier Murder : Prince Edward County, 1884</w:t>
      </w:r>
      <w:r w:rsidRPr="009C665E">
        <w:rPr>
          <w:rFonts w:cs="Times New Roman"/>
          <w:lang w:val="fr-CA"/>
        </w:rPr>
        <w:t xml:space="preserve"> (2011), p. 116; Berger, p. 25</w:t>
      </w:r>
      <w:r w:rsidRPr="009C665E">
        <w:rPr>
          <w:rFonts w:cs="Times New Roman"/>
          <w:lang w:val="fr-CA"/>
        </w:rPr>
        <w:noBreakHyphen/>
        <w:t>29). Deux affaires de déclarations de culpabilité injustifiées en Angleterre qui ont défrayé la chronique sont à l’origine de l’adoption par voie législative de droits d’appel tant en Angleterre qu’au Canada (Marshall, p. 8</w:t>
      </w:r>
      <w:r w:rsidRPr="009C665E">
        <w:rPr>
          <w:rFonts w:cs="Times New Roman"/>
          <w:lang w:val="fr-CA"/>
        </w:rPr>
        <w:noBreakHyphen/>
        <w:t>9).</w:t>
      </w:r>
    </w:p>
    <w:p w14:paraId="78841C29"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La première codification du droit criminel dans le </w:t>
      </w:r>
      <w:r w:rsidRPr="009C665E">
        <w:rPr>
          <w:rFonts w:cs="Times New Roman"/>
          <w:i/>
          <w:lang w:val="fr-CA"/>
        </w:rPr>
        <w:t>Code criminel</w:t>
      </w:r>
      <w:r w:rsidRPr="009C665E">
        <w:rPr>
          <w:rFonts w:cs="Times New Roman"/>
          <w:lang w:val="fr-CA"/>
        </w:rPr>
        <w:t xml:space="preserve">, </w:t>
      </w:r>
      <w:r w:rsidRPr="009C665E">
        <w:rPr>
          <w:rFonts w:cs="Times New Roman"/>
          <w:i/>
          <w:lang w:val="fr-CA"/>
        </w:rPr>
        <w:t>1892</w:t>
      </w:r>
      <w:r w:rsidRPr="009C665E">
        <w:rPr>
          <w:rFonts w:cs="Times New Roman"/>
          <w:lang w:val="fr-CA"/>
        </w:rPr>
        <w:t xml:space="preserve">, S.C. 1892, c. 29, a permis à la cour d’appel d’inscrire un acquittement, si elle était « d’avis [. . .] que la décision [était] erronée et que l’accusé aurait dû être acquitté » (al. 746(d)), et d’ordonner un nouveau procès, si le verdict était contraire à l’ensemble de la preuve (art. 747). La </w:t>
      </w:r>
      <w:r w:rsidRPr="009C665E">
        <w:rPr>
          <w:rFonts w:cs="Times New Roman"/>
          <w:i/>
          <w:lang w:val="fr-CA"/>
        </w:rPr>
        <w:t>Loi modifiant le Code criminel</w:t>
      </w:r>
      <w:r w:rsidRPr="009C665E">
        <w:rPr>
          <w:rFonts w:cs="Times New Roman"/>
          <w:lang w:val="fr-CA"/>
        </w:rPr>
        <w:t>,</w:t>
      </w:r>
      <w:r w:rsidRPr="009C665E">
        <w:rPr>
          <w:rFonts w:cs="Times New Roman"/>
          <w:i/>
          <w:lang w:val="fr-CA"/>
        </w:rPr>
        <w:t xml:space="preserve"> </w:t>
      </w:r>
      <w:r w:rsidRPr="009C665E">
        <w:rPr>
          <w:rFonts w:cs="Times New Roman"/>
          <w:lang w:val="fr-CA"/>
        </w:rPr>
        <w:t xml:space="preserve">S.C. 1923, c. 41, a ensuite adopté l’art. 1014, qui correspondait essentiellement à l’art. 686 actuel et qui ne limitait plus les réparations à des motifs particuliers. Après avoir accueilli l’appel d’une déclaration de culpabilité, la cour d’appel pouvait « infirmer le jugement de culpabilité et ordonner l’inscription d’un jugement et d’un verdict d’acquittement » ou « ordonner un nouveau procès » </w:t>
      </w:r>
      <w:r w:rsidRPr="009C665E">
        <w:rPr>
          <w:rFonts w:cs="Times New Roman"/>
          <w:lang w:val="fr-CA" w:bidi="en-US"/>
        </w:rPr>
        <w:t xml:space="preserve">(art. 9; </w:t>
      </w:r>
      <w:r w:rsidRPr="009C665E">
        <w:rPr>
          <w:rFonts w:cs="Times New Roman"/>
          <w:lang w:val="fr-CA"/>
        </w:rPr>
        <w:t xml:space="preserve">voir aussi </w:t>
      </w:r>
      <w:r w:rsidRPr="009C665E">
        <w:rPr>
          <w:rFonts w:cs="Times New Roman"/>
          <w:lang w:val="fr-CA" w:bidi="en-US"/>
        </w:rPr>
        <w:t xml:space="preserve">V. M. Del Buono, « The Right to Appeal in Indictable Cases : A Legislative History » (1978), 16 </w:t>
      </w:r>
      <w:r w:rsidRPr="009C665E">
        <w:rPr>
          <w:rFonts w:cs="Times New Roman"/>
          <w:i/>
          <w:iCs/>
          <w:lang w:val="fr-CA" w:bidi="en-US"/>
        </w:rPr>
        <w:t>Alta. L. Rev.</w:t>
      </w:r>
      <w:r w:rsidRPr="009C665E">
        <w:rPr>
          <w:rFonts w:cs="Times New Roman"/>
          <w:lang w:val="fr-CA" w:bidi="en-US"/>
        </w:rPr>
        <w:t xml:space="preserve"> 446</w:t>
      </w:r>
      <w:r w:rsidRPr="009C665E">
        <w:rPr>
          <w:rFonts w:cs="Times New Roman"/>
          <w:lang w:val="fr-CA"/>
        </w:rPr>
        <w:t>, p. 458</w:t>
      </w:r>
      <w:r w:rsidRPr="009C665E">
        <w:rPr>
          <w:rFonts w:cs="Times New Roman"/>
          <w:lang w:val="fr-CA"/>
        </w:rPr>
        <w:noBreakHyphen/>
        <w:t>461).</w:t>
      </w:r>
    </w:p>
    <w:p w14:paraId="7F39591C"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Par conséquent, les opinions erronées que l’on avait au départ au sujet de la fréquence des erreurs commises par les jurys et les juges du procès ont finalement cédé la place au pouvoir des cours d’appel de procéder à un examen et d’exercer sans entrave leur pouvoir de prononcer un acquittement lorsqu’un appel d’une déclaration de culpabilité est accueilli en vertu de l’al. 686(1)a).</w:t>
      </w:r>
      <w:r w:rsidRPr="009C665E">
        <w:rPr>
          <w:rFonts w:cs="Times New Roman"/>
          <w:lang w:val="fr-CA" w:bidi="en-US"/>
        </w:rPr>
        <w:t xml:space="preserve"> Le texte actuel du par. 686(2) du </w:t>
      </w:r>
      <w:r w:rsidRPr="009C665E">
        <w:rPr>
          <w:rFonts w:cs="Times New Roman"/>
          <w:i/>
          <w:lang w:val="fr-CA" w:bidi="en-US"/>
        </w:rPr>
        <w:lastRenderedPageBreak/>
        <w:t>Code</w:t>
      </w:r>
      <w:r w:rsidRPr="009C665E">
        <w:rPr>
          <w:rFonts w:cs="Times New Roman"/>
          <w:lang w:val="fr-CA" w:bidi="en-US"/>
        </w:rPr>
        <w:t xml:space="preserve"> n’a fait l’objet d’aucune autre modification importante, ce qui confirme les pouvoirs de réparation étendus que possèdent les cours d’appel.</w:t>
      </w:r>
    </w:p>
    <w:p w14:paraId="561C9011"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Ce survol démontre que le législateur a expressément et intentionnellement conféré par voie législative aux cours d’appel le pouvoir de prononcer un acquittement en cas d’erreur judiciaire avérée.</w:t>
      </w:r>
    </w:p>
    <w:p w14:paraId="20CFB09F" w14:textId="77777777" w:rsidR="009C665E" w:rsidRPr="009C665E" w:rsidRDefault="009C665E" w:rsidP="009C665E">
      <w:pPr>
        <w:pStyle w:val="Title2LevelTitre2Niveau"/>
        <w:widowControl w:val="0"/>
        <w:numPr>
          <w:ilvl w:val="1"/>
          <w:numId w:val="7"/>
        </w:numPr>
        <w:spacing w:before="0"/>
        <w:rPr>
          <w:rFonts w:cs="Times New Roman"/>
          <w:lang w:val="fr-CA"/>
        </w:rPr>
      </w:pPr>
      <w:r w:rsidRPr="009C665E">
        <w:rPr>
          <w:rFonts w:cs="Times New Roman"/>
          <w:lang w:val="fr-CA"/>
        </w:rPr>
        <w:t>La Cour d’appel n’a pas commis d’erreur en concluant qu’un jury raisonnable pourrait rendre un verdict de culpabilité</w:t>
      </w:r>
    </w:p>
    <w:p w14:paraId="5AB7926F" w14:textId="77777777" w:rsidR="009C665E" w:rsidRPr="009C665E" w:rsidRDefault="009C665E" w:rsidP="009C665E">
      <w:pPr>
        <w:pStyle w:val="ParaNoNdepar-AltN"/>
        <w:widowControl w:val="0"/>
        <w:tabs>
          <w:tab w:val="clear" w:pos="1166"/>
          <w:tab w:val="num" w:pos="1152"/>
        </w:tabs>
        <w:spacing w:before="0"/>
        <w:rPr>
          <w:rFonts w:cs="Times New Roman"/>
          <w:lang w:val="fr-CA"/>
        </w:rPr>
      </w:pPr>
      <w:bookmarkStart w:id="52" w:name="_Hlk191459711"/>
      <w:r w:rsidRPr="009C665E">
        <w:rPr>
          <w:rFonts w:cs="Times New Roman"/>
          <w:lang w:val="fr-CA"/>
        </w:rPr>
        <w:t>Je passe maintenant au premier argument de l’appelante selon lequel la Cour d’appel a commis une erreur en concluant qu’un jury raisonnable pourrait déclarer M</w:t>
      </w:r>
      <w:r w:rsidRPr="009C665E">
        <w:rPr>
          <w:rFonts w:cs="Times New Roman"/>
          <w:vertAlign w:val="superscript"/>
          <w:lang w:val="fr-CA"/>
        </w:rPr>
        <w:t>me</w:t>
      </w:r>
      <w:r w:rsidRPr="009C665E">
        <w:rPr>
          <w:rFonts w:cs="Times New Roman"/>
          <w:lang w:val="fr-CA"/>
        </w:rPr>
        <w:t> Bouvette coupable au vu de l’ensemble du dossier, tel que complété en appel. Elle soutient que la Cour d’appel a commis une erreur en s’appuyant sur l’avis du D</w:t>
      </w:r>
      <w:r w:rsidRPr="009C665E">
        <w:rPr>
          <w:rFonts w:cs="Times New Roman"/>
          <w:vertAlign w:val="superscript"/>
          <w:lang w:val="fr-CA"/>
        </w:rPr>
        <w:t>r</w:t>
      </w:r>
      <w:r w:rsidRPr="009C665E">
        <w:rPr>
          <w:rFonts w:cs="Times New Roman"/>
          <w:lang w:val="fr-CA"/>
        </w:rPr>
        <w:t> Matshes pour en arriver à cette conclusion, puisque la Couronne avait indiqué qu’elle ne présenterait pas cet avis en preuve en cas de nouveau procès. Elle exhorte notre Cour à examiner le témoignage du D</w:t>
      </w:r>
      <w:r w:rsidRPr="009C665E">
        <w:rPr>
          <w:rFonts w:cs="Times New Roman"/>
          <w:vertAlign w:val="superscript"/>
          <w:lang w:val="fr-CA"/>
        </w:rPr>
        <w:t>r</w:t>
      </w:r>
      <w:r w:rsidRPr="009C665E">
        <w:rPr>
          <w:rFonts w:cs="Times New Roman"/>
          <w:lang w:val="fr-CA"/>
        </w:rPr>
        <w:t> Matshes dans le contexte des lacunes sur le plan de la communication de la preuve et de l’existence des éléments de preuve qui contredisaient ses opinions (m.a., par. 131).</w:t>
      </w:r>
    </w:p>
    <w:p w14:paraId="4F79A1E3" w14:textId="77777777" w:rsidR="009C665E" w:rsidRPr="009C665E" w:rsidRDefault="009C665E" w:rsidP="009C665E">
      <w:pPr>
        <w:pStyle w:val="ParaNoNdepar-AltN"/>
        <w:spacing w:before="0"/>
        <w:rPr>
          <w:rFonts w:cs="Times New Roman"/>
          <w:lang w:val="fr-CA"/>
        </w:rPr>
      </w:pPr>
      <w:r w:rsidRPr="009C665E">
        <w:rPr>
          <w:rFonts w:cs="Times New Roman"/>
          <w:lang w:val="fr-CA"/>
        </w:rPr>
        <w:t>Pour déterminer s’il y a lieu de prononcer l’acquittement en cas d’erreur judiciaire avérée, les cours d’appel peuvent se demander si, d’après le dossier auquel s’ajoutent de nouveaux éléments de preuve, un jury dûment instruit et agissant de manière judiciaire pourrait raisonnablement rendre un verdict de culpabilité (</w:t>
      </w:r>
      <w:r w:rsidRPr="009C665E">
        <w:rPr>
          <w:rFonts w:cs="Times New Roman"/>
          <w:i/>
          <w:lang w:val="fr-CA"/>
        </w:rPr>
        <w:t xml:space="preserve">R. c. </w:t>
      </w:r>
      <w:r w:rsidRPr="009C665E">
        <w:rPr>
          <w:rFonts w:cs="Times New Roman"/>
          <w:i/>
          <w:lang w:val="fr-CA"/>
        </w:rPr>
        <w:lastRenderedPageBreak/>
        <w:t>Yebes</w:t>
      </w:r>
      <w:r w:rsidRPr="009C665E">
        <w:rPr>
          <w:rFonts w:cs="Times New Roman"/>
          <w:lang w:val="fr-CA"/>
        </w:rPr>
        <w:t xml:space="preserve">, [1987] 2 R.C.S. 168, p. 185; </w:t>
      </w:r>
      <w:r w:rsidRPr="009C665E">
        <w:rPr>
          <w:rFonts w:cs="Times New Roman"/>
          <w:i/>
          <w:lang w:val="fr-CA"/>
        </w:rPr>
        <w:t>Biniaris</w:t>
      </w:r>
      <w:r w:rsidRPr="009C665E">
        <w:rPr>
          <w:rFonts w:cs="Times New Roman"/>
          <w:lang w:val="fr-CA"/>
        </w:rPr>
        <w:t xml:space="preserve"> </w:t>
      </w:r>
      <w:r w:rsidRPr="009C665E">
        <w:rPr>
          <w:rFonts w:cs="Times New Roman"/>
          <w:i/>
          <w:lang w:val="fr-CA"/>
        </w:rPr>
        <w:t>CSC</w:t>
      </w:r>
      <w:r w:rsidRPr="009C665E">
        <w:rPr>
          <w:rFonts w:cs="Times New Roman"/>
          <w:lang w:val="fr-CA"/>
        </w:rPr>
        <w:t xml:space="preserve">, par. 36; </w:t>
      </w:r>
      <w:r w:rsidRPr="009C665E">
        <w:rPr>
          <w:rFonts w:cs="Times New Roman"/>
          <w:i/>
          <w:lang w:val="fr-CA"/>
        </w:rPr>
        <w:t>R. c. Papasotiriou</w:t>
      </w:r>
      <w:r w:rsidRPr="009C665E">
        <w:rPr>
          <w:rFonts w:cs="Times New Roman"/>
          <w:lang w:val="fr-CA"/>
        </w:rPr>
        <w:t>, 2023 ONCA 358, 166 O.R. (3d) 266, par. 42). Cette norme, appliquée dans la jurisprudence lorsque le tribunal se penche en application du sous</w:t>
      </w:r>
      <w:r w:rsidRPr="009C665E">
        <w:rPr>
          <w:rFonts w:cs="Times New Roman"/>
          <w:lang w:val="fr-CA"/>
        </w:rPr>
        <w:noBreakHyphen/>
        <w:t>al. 686(1</w:t>
      </w:r>
      <w:proofErr w:type="gramStart"/>
      <w:r w:rsidRPr="009C665E">
        <w:rPr>
          <w:rFonts w:cs="Times New Roman"/>
          <w:lang w:val="fr-CA"/>
        </w:rPr>
        <w:t>)a)(</w:t>
      </w:r>
      <w:proofErr w:type="gramEnd"/>
      <w:r w:rsidRPr="009C665E">
        <w:rPr>
          <w:rFonts w:cs="Times New Roman"/>
          <w:lang w:val="fr-CA"/>
        </w:rPr>
        <w:t xml:space="preserve">i) sur un verdict déraisonnable, a aussi été appliquée pour évaluer si un acquittement constitue la réparation appropriée en application de l’al. 686(2)a) (voir, p. ex., </w:t>
      </w:r>
      <w:r w:rsidRPr="009C665E">
        <w:rPr>
          <w:rFonts w:cs="Times New Roman"/>
          <w:i/>
          <w:lang w:val="fr-CA"/>
        </w:rPr>
        <w:t>Walsh</w:t>
      </w:r>
      <w:r w:rsidRPr="009C665E">
        <w:rPr>
          <w:rFonts w:cs="Times New Roman"/>
          <w:lang w:val="fr-CA"/>
        </w:rPr>
        <w:t xml:space="preserve">, par. 62; </w:t>
      </w:r>
      <w:r w:rsidRPr="009C665E">
        <w:rPr>
          <w:rFonts w:cs="Times New Roman"/>
          <w:i/>
          <w:lang w:val="fr-CA"/>
        </w:rPr>
        <w:t>Truscott</w:t>
      </w:r>
      <w:r w:rsidRPr="009C665E">
        <w:rPr>
          <w:rFonts w:cs="Times New Roman"/>
          <w:lang w:val="fr-CA"/>
        </w:rPr>
        <w:t xml:space="preserve">, par. 247; </w:t>
      </w:r>
      <w:proofErr w:type="gramStart"/>
      <w:r w:rsidRPr="009C665E">
        <w:rPr>
          <w:rFonts w:cs="Times New Roman"/>
          <w:lang w:val="fr-CA"/>
        </w:rPr>
        <w:t>m.interv</w:t>
      </w:r>
      <w:proofErr w:type="gramEnd"/>
      <w:r w:rsidRPr="009C665E">
        <w:rPr>
          <w:rFonts w:cs="Times New Roman"/>
          <w:lang w:val="fr-CA"/>
        </w:rPr>
        <w:t xml:space="preserve">. (Innocence Canada), par. 11; </w:t>
      </w:r>
      <w:proofErr w:type="gramStart"/>
      <w:r w:rsidRPr="009C665E">
        <w:rPr>
          <w:rFonts w:cs="Times New Roman"/>
          <w:lang w:val="fr-CA"/>
        </w:rPr>
        <w:t>m.interv</w:t>
      </w:r>
      <w:proofErr w:type="gramEnd"/>
      <w:r w:rsidRPr="009C665E">
        <w:rPr>
          <w:rFonts w:cs="Times New Roman"/>
          <w:lang w:val="fr-CA"/>
        </w:rPr>
        <w:t>. (Association canadienne des libertés civiles), par. 9</w:t>
      </w:r>
      <w:r w:rsidRPr="009C665E">
        <w:rPr>
          <w:rFonts w:cs="Times New Roman"/>
          <w:lang w:val="fr-CA"/>
        </w:rPr>
        <w:noBreakHyphen/>
        <w:t>10; voir aussi Sopinka, Gelowitz et Rankin, ⁋4.43</w:t>
      </w:r>
      <w:r w:rsidRPr="009C665E">
        <w:rPr>
          <w:rFonts w:cs="Times New Roman"/>
          <w:lang w:val="fr-CA"/>
        </w:rPr>
        <w:noBreakHyphen/>
        <w:t>4.44). Pour plus de clarté, je précise que, dans l’ensemble de mes motifs, je désigne cette norme sous le nom de norme « </w:t>
      </w:r>
      <w:r w:rsidRPr="009C665E">
        <w:rPr>
          <w:rFonts w:cs="Times New Roman"/>
          <w:i/>
          <w:lang w:val="fr-CA"/>
        </w:rPr>
        <w:t>Yebes/Biniaris</w:t>
      </w:r>
      <w:r w:rsidRPr="009C665E">
        <w:rPr>
          <w:rFonts w:cs="Times New Roman"/>
          <w:lang w:val="fr-CA"/>
        </w:rPr>
        <w:t> ». Cette norme a été décrite comme une norme stricte (</w:t>
      </w:r>
      <w:r w:rsidRPr="009C665E">
        <w:rPr>
          <w:rFonts w:cs="Times New Roman"/>
          <w:i/>
          <w:lang w:val="fr-CA"/>
        </w:rPr>
        <w:t>R. c. Kwok</w:t>
      </w:r>
      <w:r w:rsidRPr="009C665E">
        <w:rPr>
          <w:rFonts w:cs="Times New Roman"/>
          <w:lang w:val="fr-CA"/>
        </w:rPr>
        <w:t xml:space="preserve">, 2002 BCCA 177, 164 C.C.C. (3d) 182, par. 27; </w:t>
      </w:r>
      <w:r w:rsidRPr="009C665E">
        <w:rPr>
          <w:rFonts w:cs="Times New Roman"/>
          <w:i/>
          <w:lang w:val="fr-CA"/>
        </w:rPr>
        <w:t>R. c. Grandbois</w:t>
      </w:r>
      <w:r w:rsidRPr="009C665E">
        <w:rPr>
          <w:rFonts w:cs="Times New Roman"/>
          <w:lang w:val="fr-CA"/>
        </w:rPr>
        <w:t xml:space="preserve"> (2003), 63 O.R. (3d) 161 (C.A.), par. 13; </w:t>
      </w:r>
      <w:r w:rsidRPr="009C665E">
        <w:rPr>
          <w:rFonts w:cs="Times New Roman"/>
          <w:i/>
          <w:lang w:val="fr-CA"/>
        </w:rPr>
        <w:t>Truscott</w:t>
      </w:r>
      <w:r w:rsidRPr="009C665E">
        <w:rPr>
          <w:rFonts w:cs="Times New Roman"/>
          <w:lang w:val="fr-CA"/>
        </w:rPr>
        <w:t>, par. 752). Il ne s’agit pas de savoir si un jury dûment instruit pourrait raisonnablement rendre un verdict d’acquittement (</w:t>
      </w:r>
      <w:r w:rsidRPr="009C665E">
        <w:rPr>
          <w:rFonts w:cs="Times New Roman"/>
          <w:i/>
          <w:lang w:val="fr-CA"/>
        </w:rPr>
        <w:t>Papasotiriou</w:t>
      </w:r>
      <w:r w:rsidRPr="009C665E">
        <w:rPr>
          <w:rFonts w:cs="Times New Roman"/>
          <w:lang w:val="fr-CA"/>
        </w:rPr>
        <w:t xml:space="preserve">, par. 42). En fait, une cour d’appel peut intervenir </w:t>
      </w:r>
      <w:r w:rsidRPr="009C665E">
        <w:rPr>
          <w:rFonts w:cs="Times New Roman"/>
          <w:i/>
          <w:lang w:val="fr-CA"/>
        </w:rPr>
        <w:t xml:space="preserve">seulement </w:t>
      </w:r>
      <w:r w:rsidRPr="009C665E">
        <w:rPr>
          <w:rFonts w:cs="Times New Roman"/>
          <w:lang w:val="fr-CA"/>
        </w:rPr>
        <w:t xml:space="preserve">si </w:t>
      </w:r>
      <w:r w:rsidRPr="009C665E">
        <w:rPr>
          <w:rFonts w:cs="Times New Roman"/>
          <w:i/>
          <w:lang w:val="fr-CA"/>
        </w:rPr>
        <w:t>aucun</w:t>
      </w:r>
      <w:r w:rsidRPr="009C665E">
        <w:rPr>
          <w:rFonts w:cs="Times New Roman"/>
          <w:lang w:val="fr-CA"/>
        </w:rPr>
        <w:t xml:space="preserve"> jury ayant reçu les directives appropriées et agissant de manière judiciaire </w:t>
      </w:r>
      <w:r w:rsidRPr="009C665E">
        <w:rPr>
          <w:rFonts w:cs="Times New Roman"/>
          <w:i/>
          <w:iCs/>
          <w:lang w:val="fr-CA"/>
        </w:rPr>
        <w:t>n’aurait raisonnablement pu</w:t>
      </w:r>
      <w:r w:rsidRPr="009C665E">
        <w:rPr>
          <w:rFonts w:cs="Times New Roman"/>
          <w:lang w:val="fr-CA"/>
        </w:rPr>
        <w:t xml:space="preserve"> déclarer l’appelant coupable (</w:t>
      </w:r>
      <w:r w:rsidRPr="009C665E">
        <w:rPr>
          <w:rFonts w:cs="Times New Roman"/>
          <w:i/>
          <w:lang w:val="fr-CA"/>
        </w:rPr>
        <w:t>Biniaris</w:t>
      </w:r>
      <w:r w:rsidRPr="009C665E">
        <w:rPr>
          <w:rFonts w:cs="Times New Roman"/>
          <w:lang w:val="fr-CA"/>
        </w:rPr>
        <w:t xml:space="preserve"> </w:t>
      </w:r>
      <w:r w:rsidRPr="009C665E">
        <w:rPr>
          <w:rFonts w:cs="Times New Roman"/>
          <w:i/>
          <w:lang w:val="fr-CA"/>
        </w:rPr>
        <w:t>CSC</w:t>
      </w:r>
      <w:r w:rsidRPr="009C665E">
        <w:rPr>
          <w:rFonts w:cs="Times New Roman"/>
          <w:lang w:val="fr-CA"/>
        </w:rPr>
        <w:t xml:space="preserve">, par. 36; </w:t>
      </w:r>
      <w:r w:rsidRPr="009C665E">
        <w:rPr>
          <w:rFonts w:cs="Times New Roman"/>
          <w:i/>
          <w:lang w:val="fr-CA"/>
        </w:rPr>
        <w:t>R. c.</w:t>
      </w:r>
      <w:r w:rsidRPr="009C665E">
        <w:rPr>
          <w:rFonts w:cs="Times New Roman"/>
          <w:lang w:val="fr-CA"/>
        </w:rPr>
        <w:t xml:space="preserve"> </w:t>
      </w:r>
      <w:r w:rsidRPr="009C665E">
        <w:rPr>
          <w:rFonts w:cs="Times New Roman"/>
          <w:i/>
          <w:lang w:val="fr-CA"/>
        </w:rPr>
        <w:t>Chacon-Perez</w:t>
      </w:r>
      <w:r w:rsidRPr="009C665E">
        <w:rPr>
          <w:rFonts w:cs="Times New Roman"/>
          <w:lang w:val="fr-CA"/>
        </w:rPr>
        <w:t>, 2022 ONCA 3, 159 O.R. (3d) 481, par. 74</w:t>
      </w:r>
      <w:r w:rsidRPr="009C665E">
        <w:rPr>
          <w:rFonts w:cs="Times New Roman"/>
          <w:lang w:val="fr-CA"/>
        </w:rPr>
        <w:noBreakHyphen/>
        <w:t xml:space="preserve">80; </w:t>
      </w:r>
      <w:r w:rsidRPr="009C665E">
        <w:rPr>
          <w:rFonts w:cs="Times New Roman"/>
          <w:i/>
          <w:lang w:val="fr-CA"/>
        </w:rPr>
        <w:t>R. c. Jackson</w:t>
      </w:r>
      <w:r w:rsidRPr="009C665E">
        <w:rPr>
          <w:rFonts w:cs="Times New Roman"/>
          <w:lang w:val="fr-CA"/>
        </w:rPr>
        <w:t>, 2007 CSC 52, [2007] 3 R.C.S. 514, par. 2).</w:t>
      </w:r>
    </w:p>
    <w:bookmarkEnd w:id="52"/>
    <w:p w14:paraId="08445B15"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Déterminer si un verdict est déraisonnable appelle un exercice d’appréciation. Eu égard aux circonstances particulières de la présente affaire, et conformément à la démarche suivie par les tribunaux dans des circonstances semblables, il faut également tenir compte dans une certaine mesure de l’existence et de la qualité de la preuve lors d’un hypothétique nouveau procès (voir, p. ex., </w:t>
      </w:r>
      <w:r w:rsidRPr="009C665E">
        <w:rPr>
          <w:rFonts w:cs="Times New Roman"/>
          <w:i/>
          <w:lang w:val="fr-CA"/>
        </w:rPr>
        <w:t>Walsh</w:t>
      </w:r>
      <w:r w:rsidRPr="009C665E">
        <w:rPr>
          <w:rFonts w:cs="Times New Roman"/>
          <w:lang w:val="fr-CA"/>
        </w:rPr>
        <w:t xml:space="preserve">, </w:t>
      </w:r>
      <w:r w:rsidRPr="009C665E">
        <w:rPr>
          <w:rFonts w:cs="Times New Roman"/>
          <w:lang w:val="fr-CA"/>
        </w:rPr>
        <w:lastRenderedPageBreak/>
        <w:t>par. 63</w:t>
      </w:r>
      <w:r w:rsidRPr="009C665E">
        <w:rPr>
          <w:rFonts w:cs="Times New Roman"/>
          <w:lang w:val="fr-CA"/>
        </w:rPr>
        <w:noBreakHyphen/>
        <w:t xml:space="preserve">94; </w:t>
      </w:r>
      <w:r w:rsidRPr="009C665E">
        <w:rPr>
          <w:rFonts w:cs="Times New Roman"/>
          <w:i/>
          <w:lang w:val="fr-CA"/>
        </w:rPr>
        <w:t xml:space="preserve">R. c. Hinse </w:t>
      </w:r>
      <w:r w:rsidRPr="009C665E">
        <w:rPr>
          <w:rFonts w:cs="Times New Roman"/>
          <w:lang w:val="fr-CA"/>
        </w:rPr>
        <w:t>(1994), 64 Q.A.C. 53 (« </w:t>
      </w:r>
      <w:r w:rsidRPr="009C665E">
        <w:rPr>
          <w:rFonts w:cs="Times New Roman"/>
          <w:i/>
          <w:lang w:val="fr-CA"/>
        </w:rPr>
        <w:t>Hinse 1994</w:t>
      </w:r>
      <w:r w:rsidRPr="009C665E">
        <w:rPr>
          <w:rFonts w:cs="Times New Roman"/>
          <w:lang w:val="fr-CA"/>
        </w:rPr>
        <w:t xml:space="preserve"> »), inf. en partie par </w:t>
      </w:r>
      <w:r w:rsidRPr="009C665E">
        <w:rPr>
          <w:rFonts w:cs="Times New Roman"/>
          <w:i/>
          <w:lang w:val="fr-CA"/>
        </w:rPr>
        <w:t>Hinse 1997</w:t>
      </w:r>
      <w:r w:rsidRPr="009C665E">
        <w:rPr>
          <w:rFonts w:cs="Times New Roman"/>
          <w:lang w:val="fr-CA"/>
        </w:rPr>
        <w:t>). Bien que la cour d’appel ne doive pas agir comme un « 13</w:t>
      </w:r>
      <w:r w:rsidRPr="009C665E">
        <w:rPr>
          <w:rFonts w:cs="Times New Roman"/>
          <w:vertAlign w:val="superscript"/>
          <w:lang w:val="fr-CA"/>
        </w:rPr>
        <w:t>e </w:t>
      </w:r>
      <w:r w:rsidRPr="009C665E">
        <w:rPr>
          <w:rFonts w:cs="Times New Roman"/>
          <w:lang w:val="fr-CA"/>
        </w:rPr>
        <w:t>juré », son rôle ne se borne pas à déterminer s’il existe des éléments de preuve qui, s’il leur est ajouté foi, étayent la déclaration de culpabilité (</w:t>
      </w:r>
      <w:r w:rsidRPr="009C665E">
        <w:rPr>
          <w:rFonts w:cs="Times New Roman"/>
          <w:i/>
          <w:lang w:val="fr-CA"/>
        </w:rPr>
        <w:t>R. c. W.H.</w:t>
      </w:r>
      <w:r w:rsidRPr="009C665E">
        <w:rPr>
          <w:rFonts w:cs="Times New Roman"/>
          <w:lang w:val="fr-CA"/>
        </w:rPr>
        <w:t>, 20113 CSC 22, [2013] 2 R.C.S. 180, par. 27</w:t>
      </w:r>
      <w:r w:rsidRPr="009C665E">
        <w:rPr>
          <w:rFonts w:cs="Times New Roman"/>
          <w:lang w:val="fr-CA"/>
        </w:rPr>
        <w:noBreakHyphen/>
        <w:t xml:space="preserve">28; </w:t>
      </w:r>
      <w:r w:rsidRPr="009C665E">
        <w:rPr>
          <w:rFonts w:cs="Times New Roman"/>
          <w:i/>
          <w:lang w:val="fr-CA"/>
        </w:rPr>
        <w:t>Chacon-Perez</w:t>
      </w:r>
      <w:r w:rsidRPr="009C665E">
        <w:rPr>
          <w:rFonts w:cs="Times New Roman"/>
          <w:lang w:val="fr-CA"/>
        </w:rPr>
        <w:t>, par. 76). Elle doit également se demander si la conclusion du jury va à l’encontre de l’ensemble de l’expérience judiciaire (</w:t>
      </w:r>
      <w:r w:rsidRPr="009C665E">
        <w:rPr>
          <w:rFonts w:cs="Times New Roman"/>
          <w:i/>
          <w:lang w:val="fr-CA"/>
        </w:rPr>
        <w:t>Biniaris CSC</w:t>
      </w:r>
      <w:r w:rsidRPr="009C665E">
        <w:rPr>
          <w:rFonts w:cs="Times New Roman"/>
          <w:lang w:val="fr-CA"/>
        </w:rPr>
        <w:t>, par. 40). Dans le cadre de cet exercice d’appréciation, la cour doit examiner, analyser et, dans les limites de son rôle en tant que cour d’appel, évaluer la preuve pour se demander si, à la lumière de l’expérience judiciaire acquise, il existe « un risque de déclaration de culpabilité injustifiée » (</w:t>
      </w:r>
      <w:r w:rsidRPr="009C665E">
        <w:rPr>
          <w:rFonts w:cs="Times New Roman"/>
          <w:i/>
          <w:lang w:val="fr-CA"/>
        </w:rPr>
        <w:t>W.H.</w:t>
      </w:r>
      <w:r w:rsidRPr="009C665E">
        <w:rPr>
          <w:rFonts w:cs="Times New Roman"/>
          <w:lang w:val="fr-CA"/>
        </w:rPr>
        <w:t>,</w:t>
      </w:r>
      <w:r w:rsidRPr="009C665E">
        <w:rPr>
          <w:rFonts w:cs="Times New Roman"/>
          <w:i/>
          <w:lang w:val="fr-CA"/>
        </w:rPr>
        <w:t xml:space="preserve"> </w:t>
      </w:r>
      <w:r w:rsidRPr="009C665E">
        <w:rPr>
          <w:rFonts w:cs="Times New Roman"/>
          <w:lang w:val="fr-CA"/>
        </w:rPr>
        <w:t xml:space="preserve">par. 29; voir aussi </w:t>
      </w:r>
      <w:r w:rsidRPr="009C665E">
        <w:rPr>
          <w:rFonts w:cs="Times New Roman"/>
          <w:i/>
          <w:lang w:val="fr-CA"/>
        </w:rPr>
        <w:t>Biniaris</w:t>
      </w:r>
      <w:r w:rsidRPr="009C665E">
        <w:rPr>
          <w:rFonts w:cs="Times New Roman"/>
          <w:lang w:val="fr-CA"/>
        </w:rPr>
        <w:t xml:space="preserve"> </w:t>
      </w:r>
      <w:r w:rsidRPr="009C665E">
        <w:rPr>
          <w:rFonts w:cs="Times New Roman"/>
          <w:i/>
          <w:lang w:val="fr-CA"/>
        </w:rPr>
        <w:t>CSC</w:t>
      </w:r>
      <w:r w:rsidRPr="009C665E">
        <w:rPr>
          <w:rFonts w:cs="Times New Roman"/>
          <w:lang w:val="fr-CA"/>
        </w:rPr>
        <w:t>, par. 40</w:t>
      </w:r>
      <w:r w:rsidRPr="009C665E">
        <w:rPr>
          <w:rFonts w:cs="Times New Roman"/>
          <w:lang w:val="fr-CA"/>
        </w:rPr>
        <w:noBreakHyphen/>
        <w:t xml:space="preserve">41; </w:t>
      </w:r>
      <w:bookmarkStart w:id="53" w:name="_Hlk191041810"/>
      <w:r w:rsidRPr="009C665E">
        <w:rPr>
          <w:rFonts w:cs="Times New Roman"/>
          <w:i/>
          <w:lang w:val="fr-CA"/>
        </w:rPr>
        <w:t>Chacon-Perez</w:t>
      </w:r>
      <w:r w:rsidRPr="009C665E">
        <w:rPr>
          <w:rFonts w:cs="Times New Roman"/>
          <w:lang w:val="fr-CA"/>
        </w:rPr>
        <w:t>, par. 74</w:t>
      </w:r>
      <w:bookmarkEnd w:id="53"/>
      <w:r w:rsidRPr="009C665E">
        <w:rPr>
          <w:rFonts w:cs="Times New Roman"/>
          <w:lang w:val="fr-CA"/>
        </w:rPr>
        <w:t>). Cette analyse est à la fois subjective et objective (</w:t>
      </w:r>
      <w:r w:rsidRPr="009C665E">
        <w:rPr>
          <w:rFonts w:cs="Times New Roman"/>
          <w:i/>
          <w:lang w:val="fr-CA"/>
        </w:rPr>
        <w:t>Biniaris</w:t>
      </w:r>
      <w:r w:rsidRPr="009C665E">
        <w:rPr>
          <w:rFonts w:cs="Times New Roman"/>
          <w:lang w:val="fr-CA"/>
        </w:rPr>
        <w:t xml:space="preserve"> </w:t>
      </w:r>
      <w:r w:rsidRPr="009C665E">
        <w:rPr>
          <w:rFonts w:cs="Times New Roman"/>
          <w:i/>
          <w:lang w:val="fr-CA"/>
        </w:rPr>
        <w:t>CSC</w:t>
      </w:r>
      <w:r w:rsidRPr="009C665E">
        <w:rPr>
          <w:rFonts w:cs="Times New Roman"/>
          <w:lang w:val="fr-CA"/>
        </w:rPr>
        <w:t>, par. 36).</w:t>
      </w:r>
    </w:p>
    <w:p w14:paraId="4166F165" w14:textId="77777777" w:rsidR="009C665E" w:rsidRPr="009C665E" w:rsidRDefault="009C665E" w:rsidP="009C665E">
      <w:pPr>
        <w:pStyle w:val="ParaNoNdepar-AltN"/>
        <w:spacing w:before="0"/>
        <w:rPr>
          <w:rFonts w:cs="Times New Roman"/>
          <w:lang w:val="fr-CA"/>
        </w:rPr>
      </w:pPr>
      <w:r w:rsidRPr="009C665E">
        <w:rPr>
          <w:rFonts w:cs="Times New Roman"/>
          <w:lang w:val="fr-CA"/>
        </w:rPr>
        <w:t>À mon avis, M</w:t>
      </w:r>
      <w:r w:rsidRPr="009C665E">
        <w:rPr>
          <w:rFonts w:cs="Times New Roman"/>
          <w:vertAlign w:val="superscript"/>
          <w:lang w:val="fr-CA"/>
        </w:rPr>
        <w:t>me</w:t>
      </w:r>
      <w:r w:rsidRPr="009C665E">
        <w:rPr>
          <w:rFonts w:cs="Times New Roman"/>
          <w:lang w:val="fr-CA"/>
        </w:rPr>
        <w:t xml:space="preserve"> Bouvette ne peut obtenir gain de cause sur ce moyen, même si je suis d’accord avec l’argument formulé par la Couronne devant la cour d’instance inférieure pour dire que la preuve restante contre elle est </w:t>
      </w:r>
      <w:r w:rsidRPr="009C665E">
        <w:rPr>
          <w:rFonts w:cs="Times New Roman"/>
          <w:smallCaps/>
          <w:lang w:val="fr-CA"/>
        </w:rPr>
        <w:t>[traduction]</w:t>
      </w:r>
      <w:r w:rsidRPr="009C665E">
        <w:rPr>
          <w:rFonts w:cs="Times New Roman"/>
          <w:lang w:val="fr-CA"/>
        </w:rPr>
        <w:t xml:space="preserve"> « faible » (</w:t>
      </w:r>
      <w:r w:rsidRPr="009C665E">
        <w:rPr>
          <w:rFonts w:eastAsia="Times New Roman" w:cs="Times New Roman"/>
          <w:szCs w:val="24"/>
          <w:lang w:val="fr-CA" w:eastAsia="en-CA"/>
        </w:rPr>
        <w:t>dossier supplémentaire de l’appelante (« d.s.a. »)</w:t>
      </w:r>
      <w:r w:rsidRPr="009C665E">
        <w:rPr>
          <w:rFonts w:cs="Times New Roman"/>
          <w:lang w:val="fr-CA"/>
        </w:rPr>
        <w:t>, onglet 1, par. 31). Je conviens donc avec mon collègue qu’il n’y a pas eu d’erreur justifiant l’annulation du verdict selon le premier moyen d’appel, car, même en faisant abstraction de l’avis du D</w:t>
      </w:r>
      <w:r w:rsidRPr="009C665E">
        <w:rPr>
          <w:rFonts w:cs="Times New Roman"/>
          <w:vertAlign w:val="superscript"/>
          <w:lang w:val="fr-CA"/>
        </w:rPr>
        <w:t>r</w:t>
      </w:r>
      <w:r w:rsidRPr="009C665E">
        <w:rPr>
          <w:rFonts w:cs="Times New Roman"/>
          <w:lang w:val="fr-CA"/>
        </w:rPr>
        <w:t> Matshes, on ne peut affirmer qu’aucun jury raisonnable ne pourrait rendre un verdict de culpabilité.</w:t>
      </w:r>
    </w:p>
    <w:p w14:paraId="25479572" w14:textId="77777777" w:rsidR="009C665E" w:rsidRPr="009C665E" w:rsidRDefault="009C665E" w:rsidP="009C665E">
      <w:pPr>
        <w:pStyle w:val="Title2LevelTitre2Niveau"/>
        <w:widowControl w:val="0"/>
        <w:numPr>
          <w:ilvl w:val="1"/>
          <w:numId w:val="7"/>
        </w:numPr>
        <w:spacing w:before="0"/>
        <w:rPr>
          <w:rFonts w:cs="Times New Roman"/>
          <w:lang w:val="fr-CA"/>
        </w:rPr>
      </w:pPr>
      <w:r w:rsidRPr="009C665E">
        <w:rPr>
          <w:rFonts w:cs="Times New Roman"/>
          <w:lang w:val="fr-CA"/>
        </w:rPr>
        <w:t>Un acquittement peut être prononcé lorsque l’intérêt de la justice le justifie</w:t>
      </w:r>
    </w:p>
    <w:p w14:paraId="463D0384" w14:textId="77777777" w:rsidR="009C665E" w:rsidRPr="009C665E" w:rsidRDefault="009C665E" w:rsidP="009C665E">
      <w:pPr>
        <w:pStyle w:val="ParaNoNdepar-AltN"/>
        <w:widowControl w:val="0"/>
        <w:tabs>
          <w:tab w:val="clear" w:pos="1166"/>
          <w:tab w:val="num" w:pos="1152"/>
        </w:tabs>
        <w:spacing w:before="0"/>
        <w:rPr>
          <w:rFonts w:cs="Times New Roman"/>
          <w:lang w:val="fr-CA"/>
        </w:rPr>
      </w:pPr>
      <w:bookmarkStart w:id="54" w:name="_Hlk191305401"/>
      <w:r w:rsidRPr="009C665E">
        <w:rPr>
          <w:rFonts w:cs="Times New Roman"/>
          <w:lang w:val="fr-CA"/>
        </w:rPr>
        <w:lastRenderedPageBreak/>
        <w:t xml:space="preserve">Au cœur du présent pourvoi se pose la question de savoir si, en présence d’une erreur judiciaire avérée, les cours d’appel peuvent prononcer un acquittement même lorsqu’un jury raisonnable pourrait rendre un verdict de culpabilité dans le cadre d’un hypothétique nouveau procès et, dans l’affirmative, quels principes régissent le pouvoir discrétionnaire de réparation des cours d’appel à cet égard. Malgré le plein pouvoir que la loi lui reconnaît, la Cour d’appel a conclu en l’espèce qu’une </w:t>
      </w:r>
      <w:r w:rsidRPr="009C665E">
        <w:rPr>
          <w:rFonts w:cs="Times New Roman"/>
          <w:smallCaps/>
          <w:lang w:val="fr-CA"/>
        </w:rPr>
        <w:t xml:space="preserve">[traduction] </w:t>
      </w:r>
      <w:r w:rsidRPr="009C665E">
        <w:rPr>
          <w:rFonts w:cs="Times New Roman"/>
          <w:lang w:val="fr-CA"/>
        </w:rPr>
        <w:t xml:space="preserve">« approche exceptionnelle de la réparation » prévue au par. 686(2) avait été retenue dans certains arrêts, dont l’arrêt </w:t>
      </w:r>
      <w:r w:rsidRPr="009C665E">
        <w:rPr>
          <w:rFonts w:cs="Times New Roman"/>
          <w:i/>
          <w:lang w:val="fr-CA"/>
        </w:rPr>
        <w:t>Truscott</w:t>
      </w:r>
      <w:r w:rsidRPr="009C665E">
        <w:rPr>
          <w:rFonts w:cs="Times New Roman"/>
          <w:lang w:val="fr-CA"/>
        </w:rPr>
        <w:t xml:space="preserve"> (motifs de la C.A., par. 137). La Cour d’appel n’était pas convaincue que le cas de M</w:t>
      </w:r>
      <w:r w:rsidRPr="009C665E">
        <w:rPr>
          <w:rFonts w:cs="Times New Roman"/>
          <w:vertAlign w:val="superscript"/>
          <w:lang w:val="fr-CA"/>
        </w:rPr>
        <w:t>me</w:t>
      </w:r>
      <w:r w:rsidRPr="009C665E">
        <w:rPr>
          <w:rFonts w:cs="Times New Roman"/>
          <w:lang w:val="fr-CA"/>
        </w:rPr>
        <w:t xml:space="preserve"> Bouvette </w:t>
      </w:r>
      <w:proofErr w:type="gramStart"/>
      <w:r w:rsidRPr="009C665E">
        <w:rPr>
          <w:rFonts w:cs="Times New Roman"/>
          <w:lang w:val="fr-CA"/>
        </w:rPr>
        <w:t>était</w:t>
      </w:r>
      <w:proofErr w:type="gramEnd"/>
      <w:r w:rsidRPr="009C665E">
        <w:rPr>
          <w:rFonts w:cs="Times New Roman"/>
          <w:lang w:val="fr-CA"/>
        </w:rPr>
        <w:t xml:space="preserve"> </w:t>
      </w:r>
      <w:r w:rsidRPr="009C665E">
        <w:rPr>
          <w:rFonts w:cs="Times New Roman"/>
          <w:smallCaps/>
          <w:lang w:val="fr-CA"/>
        </w:rPr>
        <w:t xml:space="preserve">[traduction] </w:t>
      </w:r>
      <w:r w:rsidRPr="009C665E">
        <w:rPr>
          <w:rFonts w:cs="Times New Roman"/>
          <w:lang w:val="fr-CA"/>
        </w:rPr>
        <w:t>« suffisamment exceptionnel » pour justifier l’application de cette démarche (par. 137</w:t>
      </w:r>
      <w:r w:rsidRPr="009C665E">
        <w:rPr>
          <w:rFonts w:cs="Times New Roman"/>
          <w:lang w:val="fr-CA"/>
        </w:rPr>
        <w:noBreakHyphen/>
        <w:t xml:space="preserve">138). La cour a établi une distinction entre les faits de la présente espèce et ceux de l’affaire </w:t>
      </w:r>
      <w:r w:rsidRPr="009C665E" w:rsidDel="00DF64E3">
        <w:rPr>
          <w:rFonts w:cs="Times New Roman"/>
          <w:i/>
          <w:lang w:val="fr-CA"/>
        </w:rPr>
        <w:t xml:space="preserve">Truscott </w:t>
      </w:r>
      <w:r w:rsidRPr="009C665E">
        <w:rPr>
          <w:rFonts w:cs="Times New Roman"/>
          <w:lang w:val="fr-CA"/>
        </w:rPr>
        <w:t>à deux égards : tout d’abord,</w:t>
      </w:r>
      <w:r w:rsidRPr="009C665E" w:rsidDel="00DF64E3">
        <w:rPr>
          <w:rFonts w:cs="Times New Roman"/>
          <w:lang w:val="fr-CA"/>
        </w:rPr>
        <w:t xml:space="preserve"> </w:t>
      </w:r>
      <w:r w:rsidRPr="009C665E">
        <w:rPr>
          <w:rFonts w:cs="Times New Roman"/>
          <w:lang w:val="fr-CA"/>
        </w:rPr>
        <w:t xml:space="preserve">la tenue d’un nouveau procès n’était pas possible dans l’affaire </w:t>
      </w:r>
      <w:r w:rsidRPr="009C665E" w:rsidDel="00DF64E3">
        <w:rPr>
          <w:rFonts w:cs="Times New Roman"/>
          <w:i/>
          <w:lang w:val="fr-CA"/>
        </w:rPr>
        <w:t>Truscott</w:t>
      </w:r>
      <w:r w:rsidRPr="009C665E">
        <w:rPr>
          <w:rFonts w:cs="Times New Roman"/>
          <w:lang w:val="fr-CA"/>
        </w:rPr>
        <w:t>, tandis qu’il y avait encore une possibilité théorique d’en tenir un en l’espèce; ensuite, le dossier soumis en l’espèce à la Cour d’appel</w:t>
      </w:r>
      <w:r w:rsidRPr="009C665E" w:rsidDel="00DF64E3">
        <w:rPr>
          <w:rFonts w:cs="Times New Roman"/>
          <w:lang w:val="fr-CA"/>
        </w:rPr>
        <w:t xml:space="preserve"> </w:t>
      </w:r>
      <w:r w:rsidRPr="009C665E">
        <w:rPr>
          <w:rFonts w:cs="Times New Roman"/>
          <w:lang w:val="fr-CA"/>
        </w:rPr>
        <w:t xml:space="preserve">était incomplet, tandis que, dans l’affaire </w:t>
      </w:r>
      <w:r w:rsidRPr="009C665E" w:rsidDel="00DF64E3">
        <w:rPr>
          <w:rFonts w:cs="Times New Roman"/>
          <w:i/>
          <w:lang w:val="fr-CA"/>
        </w:rPr>
        <w:t>Truscott</w:t>
      </w:r>
      <w:r w:rsidRPr="009C665E">
        <w:rPr>
          <w:rFonts w:cs="Times New Roman"/>
          <w:lang w:val="fr-CA"/>
        </w:rPr>
        <w:t xml:space="preserve">, la cour disposait d’un dossier complet pour évaluer la culpabilité </w:t>
      </w:r>
      <w:r w:rsidRPr="009C665E" w:rsidDel="00DF64E3">
        <w:rPr>
          <w:rFonts w:cs="Times New Roman"/>
          <w:lang w:val="fr-CA"/>
        </w:rPr>
        <w:t>(par.</w:t>
      </w:r>
      <w:r w:rsidRPr="009C665E">
        <w:rPr>
          <w:rFonts w:cs="Times New Roman"/>
          <w:lang w:val="fr-CA"/>
        </w:rPr>
        <w:t> </w:t>
      </w:r>
      <w:r w:rsidRPr="009C665E" w:rsidDel="00DF64E3">
        <w:rPr>
          <w:rFonts w:cs="Times New Roman"/>
          <w:lang w:val="fr-CA"/>
        </w:rPr>
        <w:t>114</w:t>
      </w:r>
      <w:r w:rsidRPr="009C665E">
        <w:rPr>
          <w:rFonts w:cs="Times New Roman"/>
          <w:lang w:val="fr-CA"/>
        </w:rPr>
        <w:noBreakHyphen/>
        <w:t>1</w:t>
      </w:r>
      <w:r w:rsidRPr="009C665E" w:rsidDel="00DF64E3">
        <w:rPr>
          <w:rFonts w:cs="Times New Roman"/>
          <w:lang w:val="fr-CA"/>
        </w:rPr>
        <w:t>15</w:t>
      </w:r>
      <w:r w:rsidRPr="009C665E">
        <w:rPr>
          <w:rFonts w:cs="Times New Roman"/>
          <w:lang w:val="fr-CA"/>
        </w:rPr>
        <w:t xml:space="preserve"> et </w:t>
      </w:r>
      <w:r w:rsidRPr="009C665E" w:rsidDel="00DF64E3">
        <w:rPr>
          <w:rFonts w:cs="Times New Roman"/>
          <w:lang w:val="fr-CA"/>
        </w:rPr>
        <w:t>138</w:t>
      </w:r>
      <w:r w:rsidRPr="009C665E">
        <w:rPr>
          <w:rFonts w:cs="Times New Roman"/>
          <w:lang w:val="fr-CA"/>
        </w:rPr>
        <w:noBreakHyphen/>
        <w:t>13</w:t>
      </w:r>
      <w:r w:rsidRPr="009C665E" w:rsidDel="00DF64E3">
        <w:rPr>
          <w:rFonts w:cs="Times New Roman"/>
          <w:lang w:val="fr-CA"/>
        </w:rPr>
        <w:t xml:space="preserve">9). </w:t>
      </w:r>
      <w:r w:rsidRPr="009C665E">
        <w:rPr>
          <w:rFonts w:cs="Times New Roman"/>
          <w:lang w:val="fr-CA"/>
        </w:rPr>
        <w:t>La Cour d’appel</w:t>
      </w:r>
      <w:r w:rsidRPr="009C665E" w:rsidDel="00DF64E3">
        <w:rPr>
          <w:rFonts w:cs="Times New Roman"/>
          <w:lang w:val="fr-CA"/>
        </w:rPr>
        <w:t xml:space="preserve"> </w:t>
      </w:r>
      <w:r w:rsidRPr="009C665E">
        <w:rPr>
          <w:rFonts w:cs="Times New Roman"/>
          <w:lang w:val="fr-CA"/>
        </w:rPr>
        <w:t>a notamment indiqué qu’elle n’était pas en mesure de tirer de conclusion à l’égard de la preuve médicolégale contestée. Elle a conclu que l’arrêt des procédures</w:t>
      </w:r>
      <w:r w:rsidRPr="009C665E" w:rsidDel="00DF64E3">
        <w:rPr>
          <w:rFonts w:cs="Times New Roman"/>
          <w:lang w:val="fr-CA"/>
        </w:rPr>
        <w:t xml:space="preserve"> </w:t>
      </w:r>
      <w:r w:rsidRPr="009C665E">
        <w:rPr>
          <w:rFonts w:cs="Times New Roman"/>
          <w:lang w:val="fr-CA"/>
        </w:rPr>
        <w:t>était néanmoins de toute évidence justifié</w:t>
      </w:r>
      <w:r w:rsidRPr="009C665E" w:rsidDel="00DF64E3">
        <w:rPr>
          <w:rFonts w:cs="Times New Roman"/>
          <w:lang w:val="fr-CA"/>
        </w:rPr>
        <w:t>.</w:t>
      </w:r>
    </w:p>
    <w:p w14:paraId="2DBCB546"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Les parties conviennent que la Cour d’appel a commis une erreur en refusant d’inscrire un acquittement dans le cas qui nous occupe. L’appelante conteste l’interprétation que la Cour d’appel a faite de l’arrêt </w:t>
      </w:r>
      <w:r w:rsidRPr="009C665E">
        <w:rPr>
          <w:rFonts w:cs="Times New Roman"/>
          <w:i/>
          <w:lang w:val="fr-CA"/>
        </w:rPr>
        <w:t>Truscott</w:t>
      </w:r>
      <w:r w:rsidRPr="009C665E">
        <w:rPr>
          <w:rFonts w:cs="Times New Roman"/>
          <w:lang w:val="fr-CA"/>
        </w:rPr>
        <w:t xml:space="preserve"> et soutient que cette </w:t>
      </w:r>
      <w:r w:rsidRPr="009C665E">
        <w:rPr>
          <w:rFonts w:cs="Times New Roman"/>
          <w:lang w:val="fr-CA"/>
        </w:rPr>
        <w:lastRenderedPageBreak/>
        <w:t xml:space="preserve">décision n’a pas conclu que l’existence de circonstances </w:t>
      </w:r>
      <w:r w:rsidRPr="009C665E">
        <w:rPr>
          <w:rFonts w:cs="Times New Roman"/>
          <w:smallCaps/>
          <w:lang w:val="fr-CA"/>
        </w:rPr>
        <w:t xml:space="preserve">[traduction] </w:t>
      </w:r>
      <w:r w:rsidRPr="009C665E">
        <w:rPr>
          <w:rFonts w:cs="Times New Roman"/>
          <w:lang w:val="fr-CA"/>
        </w:rPr>
        <w:t xml:space="preserve">« exceptionnelles » était une condition préalable à l’exercice du pouvoir discrétionnaire de prononcer un acquittement dans un cas où un jury raisonnable pourrait rendre un verdict de culpabilité (m.a., par. 94). Elle invoque des arrêts antérieurs et postérieurs à l’arrêt </w:t>
      </w:r>
      <w:r w:rsidRPr="009C665E">
        <w:rPr>
          <w:rFonts w:cs="Times New Roman"/>
          <w:i/>
          <w:lang w:val="fr-CA"/>
        </w:rPr>
        <w:t xml:space="preserve">Truscott </w:t>
      </w:r>
      <w:r w:rsidRPr="009C665E">
        <w:rPr>
          <w:rFonts w:cs="Times New Roman"/>
          <w:lang w:val="fr-CA"/>
        </w:rPr>
        <w:t>dans lesquels les cours d’appel ont rendu un verdict d’acquittement dans l’intérêt de la justice, sans recourir à ce cadre d’analyse (par. 98</w:t>
      </w:r>
      <w:r w:rsidRPr="009C665E">
        <w:rPr>
          <w:rFonts w:cs="Times New Roman"/>
          <w:lang w:val="fr-CA"/>
        </w:rPr>
        <w:noBreakHyphen/>
        <w:t>105). À titre subsidiaire, M</w:t>
      </w:r>
      <w:r w:rsidRPr="009C665E">
        <w:rPr>
          <w:rFonts w:cs="Times New Roman"/>
          <w:vertAlign w:val="superscript"/>
          <w:lang w:val="fr-CA"/>
        </w:rPr>
        <w:t>me</w:t>
      </w:r>
      <w:r w:rsidRPr="009C665E">
        <w:rPr>
          <w:rFonts w:cs="Times New Roman"/>
          <w:lang w:val="fr-CA"/>
        </w:rPr>
        <w:t> Bouvette soutient que les circonstances de son cas sont suffisamment « exceptionnelles » pour justifier son acquittement (par. 110).</w:t>
      </w:r>
    </w:p>
    <w:p w14:paraId="3B82FB7F"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La Couronne reconnaît l’existence d’une catégorie de [</w:t>
      </w:r>
      <w:r w:rsidRPr="009C665E">
        <w:rPr>
          <w:rFonts w:cs="Times New Roman"/>
          <w:smallCaps/>
          <w:lang w:val="fr-CA"/>
        </w:rPr>
        <w:t>traduction</w:t>
      </w:r>
      <w:r w:rsidRPr="009C665E">
        <w:rPr>
          <w:rFonts w:cs="Times New Roman"/>
          <w:lang w:val="fr-CA"/>
        </w:rPr>
        <w:t>] « causes comportant des circonstances exceptionnelles », mais insiste sur la façon approximative et incohérente avec laquelle les tribunaux ont exercé leur pouvoir discrétionnaire en pareil cas (m.i., par. 80</w:t>
      </w:r>
      <w:r w:rsidRPr="009C665E">
        <w:rPr>
          <w:rFonts w:cs="Times New Roman"/>
          <w:lang w:val="fr-CA"/>
        </w:rPr>
        <w:noBreakHyphen/>
        <w:t xml:space="preserve">93). Elle propose un cadre d’analyse qui permet aux tribunaux de déterminer la réparation appropriée dans de telles causes en se fondant sur une analyse contextuelle qui prend en compte certains facteurs, dont la nature et l’historique des procédures, la situation de l’appelante et </w:t>
      </w:r>
      <w:r w:rsidRPr="009C665E">
        <w:rPr>
          <w:rFonts w:cs="Times New Roman"/>
          <w:smallCaps/>
          <w:lang w:val="fr-CA"/>
        </w:rPr>
        <w:t>[traduction]</w:t>
      </w:r>
      <w:r w:rsidRPr="009C665E">
        <w:rPr>
          <w:rFonts w:cs="Times New Roman"/>
          <w:lang w:val="fr-CA"/>
        </w:rPr>
        <w:t xml:space="preserve"> « l’ensemble des faits en appel » (par. 102</w:t>
      </w:r>
      <w:r w:rsidRPr="009C665E">
        <w:rPr>
          <w:rFonts w:cs="Times New Roman"/>
          <w:lang w:val="fr-CA"/>
        </w:rPr>
        <w:noBreakHyphen/>
        <w:t>109). Dans sa plaidoirie orale, l’avocat de M</w:t>
      </w:r>
      <w:r w:rsidRPr="009C665E">
        <w:rPr>
          <w:rFonts w:cs="Times New Roman"/>
          <w:vertAlign w:val="superscript"/>
          <w:lang w:val="fr-CA"/>
        </w:rPr>
        <w:t>me</w:t>
      </w:r>
      <w:r w:rsidRPr="009C665E">
        <w:rPr>
          <w:rFonts w:cs="Times New Roman"/>
          <w:lang w:val="fr-CA"/>
        </w:rPr>
        <w:t> Bouvette a souscrit au cadre d’analyse préconisé par la Couronne (transcription, p. 17). La Couronne souligne également le manque de clarté de la jurisprudence quant aux cas dans lesquels il y a lieu d’ordonner l’arrêt des procédures plutôt que de prononcer un acquittement (m.i., par. 91</w:t>
      </w:r>
      <w:r w:rsidRPr="009C665E">
        <w:rPr>
          <w:rFonts w:cs="Times New Roman"/>
          <w:lang w:val="fr-CA"/>
        </w:rPr>
        <w:noBreakHyphen/>
        <w:t>92).</w:t>
      </w:r>
    </w:p>
    <w:p w14:paraId="2AF71267"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En tout respect, je conviens que la Cour d’appel a commis une erreur en interprétant de façon restrictive son pouvoir discrétionnaire de réparation et en refusant d’inscrire un acquittement en vertu du par. 686(2). Dans la section suivante, j’examinerai d’abord le moyen tiré de l’erreur judiciaire, avant d’expliquer dans quels cas les tribunaux devraient envisager l’acquittement comme réparation possible lorsqu’il existe une possibilité raisonnable de déclaration de culpabilité lors d’un nouveau procès. Je proposerai ensuite un cadre d’analyse pour aider les tribunaux à déterminer la réparation appropriée en application du vaste pouvoir discrétionnaire que leur confère le par. 686(2).</w:t>
      </w:r>
    </w:p>
    <w:p w14:paraId="6389B608"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À mon avis, on peut dégager de la jurisprudence les trois composantes analytiques fondamentales suivantes pour aider les tribunaux à déterminer s’il est dans l’intérêt de la justice de prononcer un acquittement dans un cas donné, à savoir : la nature et les répercussions de l’erreur judiciaire; l’issue possible d’un hypothétique nouveau procès, y compris la probabilité qu’un acquittement soit prononcé; et, enfin, l’appréciation du caractère équitable global de l’espèce. Lorsqu’ils examinent ces facteurs, les tribunaux doivent garder à l’esprit l’une des principales raisons d’être de la réparation des erreurs judiciaires : empêcher les déclarations de culpabilité injustifiées. S’appuyant sur des décennies de jurisprudence, le cadre que je propose vise à apporter plus de clarté et de cohérence dans ce domaine du droit.</w:t>
      </w:r>
      <w:bookmarkEnd w:id="54"/>
    </w:p>
    <w:p w14:paraId="35194F16" w14:textId="77777777" w:rsidR="009C665E" w:rsidRPr="009C665E" w:rsidRDefault="009C665E" w:rsidP="009C665E">
      <w:pPr>
        <w:pStyle w:val="Title3LevelTitre3Niveau"/>
        <w:numPr>
          <w:ilvl w:val="2"/>
          <w:numId w:val="7"/>
        </w:numPr>
        <w:spacing w:before="0"/>
        <w:rPr>
          <w:rFonts w:cs="Times New Roman"/>
          <w:lang w:val="fr-CA"/>
        </w:rPr>
      </w:pPr>
      <w:r w:rsidRPr="009C665E">
        <w:rPr>
          <w:rFonts w:cs="Times New Roman"/>
          <w:lang w:val="fr-CA"/>
        </w:rPr>
        <w:t>La catégorie d’erreurs judiciaires englobe un large éventail de circonstances qui peuvent justifier d’accueillir un appel</w:t>
      </w:r>
    </w:p>
    <w:p w14:paraId="26FBD456"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Les erreurs judiciaires qui ont été reconnues en application du sous</w:t>
      </w:r>
      <w:r w:rsidRPr="009C665E">
        <w:rPr>
          <w:rFonts w:cs="Times New Roman"/>
          <w:lang w:val="fr-CA"/>
        </w:rPr>
        <w:noBreakHyphen/>
        <w:t>al. 686(1</w:t>
      </w:r>
      <w:proofErr w:type="gramStart"/>
      <w:r w:rsidRPr="009C665E">
        <w:rPr>
          <w:rFonts w:cs="Times New Roman"/>
          <w:lang w:val="fr-CA"/>
        </w:rPr>
        <w:t>)a)(</w:t>
      </w:r>
      <w:proofErr w:type="gramEnd"/>
      <w:r w:rsidRPr="009C665E">
        <w:rPr>
          <w:rFonts w:cs="Times New Roman"/>
          <w:lang w:val="fr-CA"/>
        </w:rPr>
        <w:t>iii) englobent un éventail diversifié d’erreurs, d’inconduites ou d’irrégularités. À titre de motif résiduel pour accueillir l’appel d’une déclaration de culpabilité, cette disposition a une [</w:t>
      </w:r>
      <w:r w:rsidRPr="009C665E">
        <w:rPr>
          <w:rFonts w:cs="Times New Roman"/>
          <w:smallCaps/>
          <w:lang w:val="fr-CA"/>
        </w:rPr>
        <w:t>traduction</w:t>
      </w:r>
      <w:r w:rsidRPr="009C665E">
        <w:rPr>
          <w:rFonts w:cs="Times New Roman"/>
          <w:lang w:val="fr-CA"/>
        </w:rPr>
        <w:t xml:space="preserve">] « portée significative », ce qui garantit que les déclarations de culpabilité résultant de </w:t>
      </w:r>
      <w:r w:rsidRPr="009C665E">
        <w:rPr>
          <w:rFonts w:cs="Times New Roman"/>
          <w:i/>
          <w:lang w:val="fr-CA"/>
        </w:rPr>
        <w:t>quelque</w:t>
      </w:r>
      <w:r w:rsidRPr="009C665E">
        <w:rPr>
          <w:rFonts w:cs="Times New Roman"/>
          <w:lang w:val="fr-CA"/>
        </w:rPr>
        <w:t xml:space="preserve"> erreur judiciaire </w:t>
      </w:r>
      <w:r w:rsidRPr="009C665E">
        <w:rPr>
          <w:rFonts w:cs="Times New Roman"/>
          <w:i/>
          <w:lang w:val="fr-CA"/>
        </w:rPr>
        <w:t>que ce soit</w:t>
      </w:r>
      <w:r w:rsidRPr="009C665E">
        <w:rPr>
          <w:rFonts w:cs="Times New Roman"/>
          <w:lang w:val="fr-CA"/>
        </w:rPr>
        <w:t xml:space="preserve">, et non pas uniquement celles visées par les deux premiers motifs, ne sauraient être maintenues </w:t>
      </w:r>
      <w:r w:rsidRPr="009C665E">
        <w:rPr>
          <w:rFonts w:eastAsia="Times New Roman" w:cs="Times New Roman"/>
          <w:szCs w:val="24"/>
          <w:lang w:val="fr-CA" w:eastAsia="en-CA"/>
        </w:rPr>
        <w:t>(</w:t>
      </w:r>
      <w:r w:rsidRPr="009C665E">
        <w:rPr>
          <w:rFonts w:eastAsia="Times New Roman" w:cs="Times New Roman"/>
          <w:i/>
          <w:szCs w:val="24"/>
          <w:lang w:val="fr-CA" w:eastAsia="en-CA"/>
        </w:rPr>
        <w:t>Morrissey</w:t>
      </w:r>
      <w:r w:rsidRPr="009C665E">
        <w:rPr>
          <w:rFonts w:eastAsia="Times New Roman" w:cs="Times New Roman"/>
          <w:szCs w:val="24"/>
          <w:lang w:val="fr-CA" w:eastAsia="en-CA"/>
        </w:rPr>
        <w:t xml:space="preserve">, p. 541; </w:t>
      </w:r>
      <w:r w:rsidRPr="009C665E">
        <w:rPr>
          <w:rFonts w:eastAsia="Times New Roman" w:cs="Times New Roman"/>
          <w:i/>
          <w:szCs w:val="24"/>
          <w:lang w:val="fr-CA" w:eastAsia="en-CA"/>
        </w:rPr>
        <w:t>R. c.</w:t>
      </w:r>
      <w:r w:rsidRPr="009C665E">
        <w:rPr>
          <w:rFonts w:eastAsia="Times New Roman" w:cs="Times New Roman"/>
          <w:szCs w:val="24"/>
          <w:lang w:val="fr-CA" w:eastAsia="en-CA"/>
        </w:rPr>
        <w:t xml:space="preserve"> </w:t>
      </w:r>
      <w:r w:rsidRPr="009C665E">
        <w:rPr>
          <w:rFonts w:cs="Times New Roman"/>
          <w:i/>
          <w:lang w:val="fr-CA"/>
        </w:rPr>
        <w:t>Tayo Tompouba</w:t>
      </w:r>
      <w:r w:rsidRPr="009C665E">
        <w:rPr>
          <w:rFonts w:cs="Times New Roman"/>
          <w:lang w:val="fr-CA"/>
        </w:rPr>
        <w:t>, 2024 CSC 16, par. 72</w:t>
      </w:r>
      <w:r w:rsidRPr="009C665E">
        <w:rPr>
          <w:rFonts w:eastAsia="Times New Roman" w:cs="Times New Roman"/>
          <w:szCs w:val="24"/>
          <w:lang w:val="fr-CA" w:eastAsia="en-CA"/>
        </w:rPr>
        <w:t>).</w:t>
      </w:r>
      <w:r w:rsidRPr="009C665E">
        <w:rPr>
          <w:rFonts w:cs="Times New Roman"/>
          <w:lang w:val="fr-CA"/>
        </w:rPr>
        <w:t xml:space="preserve"> Le pouvoir en question reflète la préoccupation plus large du système de justice criminel de garantir que les déclarations de culpabilité résultent de procédures rigoureuses et équitables dans le cadre desquelles les accusés sont présumés innocents à moins que leur culpabilité ne soit prouvée hors de tout doute raisonnable (voir </w:t>
      </w:r>
      <w:r w:rsidRPr="009C665E">
        <w:rPr>
          <w:rFonts w:cs="Times New Roman"/>
          <w:i/>
          <w:lang w:val="fr-CA"/>
        </w:rPr>
        <w:t>Burns</w:t>
      </w:r>
      <w:r w:rsidRPr="009C665E">
        <w:rPr>
          <w:rFonts w:cs="Times New Roman"/>
          <w:lang w:val="fr-CA"/>
        </w:rPr>
        <w:t xml:space="preserve">, par. 95; </w:t>
      </w:r>
      <w:r w:rsidRPr="009C665E">
        <w:rPr>
          <w:rFonts w:cs="Times New Roman"/>
          <w:i/>
          <w:lang w:val="fr-CA"/>
        </w:rPr>
        <w:t>R. c. Oakes</w:t>
      </w:r>
      <w:r w:rsidRPr="009C665E">
        <w:rPr>
          <w:rFonts w:cs="Times New Roman"/>
          <w:lang w:val="fr-CA"/>
        </w:rPr>
        <w:t>, [1986] 1 R.C.S. 103, p. 120</w:t>
      </w:r>
      <w:r w:rsidRPr="009C665E">
        <w:rPr>
          <w:rFonts w:cs="Times New Roman"/>
          <w:lang w:val="fr-CA"/>
        </w:rPr>
        <w:noBreakHyphen/>
        <w:t>121).</w:t>
      </w:r>
    </w:p>
    <w:p w14:paraId="260DBCD0"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Le cadre légal garantit donc que toutes les erreurs judiciaires résiduelles peuvent être identifiées et qu’il peut y être remédié. On ne peut s’attendre à ce qu’une seule mesure corrective réponde à une telle diversité de causes. La Cour a reconnu que les erreurs judiciaires peuvent découler de divers manquements du système de justice, intentionnels ou non. Certains peuvent avoir un lien avec le juge du procès, comme de mauvaises évaluations de la preuve </w:t>
      </w:r>
      <w:r w:rsidRPr="009C665E">
        <w:rPr>
          <w:rFonts w:eastAsia="Times New Roman" w:cs="Times New Roman"/>
          <w:lang w:val="fr-CA"/>
        </w:rPr>
        <w:t xml:space="preserve">(voir, p. ex., </w:t>
      </w:r>
      <w:r w:rsidRPr="009C665E">
        <w:rPr>
          <w:rFonts w:eastAsia="Times New Roman" w:cs="Times New Roman"/>
          <w:i/>
          <w:lang w:val="fr-CA"/>
        </w:rPr>
        <w:t>R. c. Lohrer</w:t>
      </w:r>
      <w:r w:rsidRPr="009C665E">
        <w:rPr>
          <w:rFonts w:eastAsia="Times New Roman" w:cs="Times New Roman"/>
          <w:lang w:val="fr-CA"/>
        </w:rPr>
        <w:t xml:space="preserve">, 2004 CSC 80, [2004] 3 R.C.S. 732, par. 1; </w:t>
      </w:r>
      <w:r w:rsidRPr="009C665E">
        <w:rPr>
          <w:rFonts w:eastAsia="Times New Roman" w:cs="Times New Roman"/>
          <w:i/>
          <w:lang w:val="fr-CA"/>
        </w:rPr>
        <w:t>R. c. Smith</w:t>
      </w:r>
      <w:r w:rsidRPr="009C665E">
        <w:rPr>
          <w:rFonts w:eastAsia="Times New Roman" w:cs="Times New Roman"/>
          <w:lang w:val="fr-CA"/>
        </w:rPr>
        <w:t xml:space="preserve">, 2021 CSC 16, [2021] 1 R.C.S. 530, par. 2; voir aussi S. Coughlan, </w:t>
      </w:r>
      <w:r w:rsidRPr="009C665E">
        <w:rPr>
          <w:rFonts w:cs="Times New Roman"/>
          <w:i/>
          <w:lang w:val="fr-CA"/>
        </w:rPr>
        <w:t>Criminal Procedure</w:t>
      </w:r>
      <w:r w:rsidRPr="009C665E">
        <w:rPr>
          <w:rFonts w:cs="Times New Roman"/>
          <w:lang w:val="fr-CA"/>
        </w:rPr>
        <w:t xml:space="preserve"> (4</w:t>
      </w:r>
      <w:r w:rsidRPr="009C665E">
        <w:rPr>
          <w:rFonts w:cs="Times New Roman"/>
          <w:vertAlign w:val="superscript"/>
          <w:lang w:val="fr-CA"/>
        </w:rPr>
        <w:t>e</w:t>
      </w:r>
      <w:r w:rsidRPr="009C665E">
        <w:rPr>
          <w:rFonts w:cs="Times New Roman"/>
          <w:lang w:val="fr-CA"/>
        </w:rPr>
        <w:t xml:space="preserve"> éd. 2020), </w:t>
      </w:r>
      <w:r w:rsidRPr="009C665E">
        <w:rPr>
          <w:rFonts w:eastAsia="Times New Roman" w:cs="Times New Roman"/>
          <w:lang w:val="fr-CA"/>
        </w:rPr>
        <w:t>p. 576</w:t>
      </w:r>
      <w:r w:rsidRPr="009C665E">
        <w:rPr>
          <w:rFonts w:eastAsia="Times New Roman" w:cs="Times New Roman"/>
          <w:lang w:val="fr-CA"/>
        </w:rPr>
        <w:noBreakHyphen/>
        <w:t xml:space="preserve">577), et une crainte raisonnable de partialité (voir, p. ex., </w:t>
      </w:r>
      <w:r w:rsidRPr="009C665E">
        <w:rPr>
          <w:rFonts w:eastAsia="Times New Roman" w:cs="Times New Roman"/>
          <w:i/>
          <w:lang w:val="fr-CA"/>
        </w:rPr>
        <w:t>R. c. S. (R.D.)</w:t>
      </w:r>
      <w:r w:rsidRPr="009C665E">
        <w:rPr>
          <w:rFonts w:eastAsia="Times New Roman" w:cs="Times New Roman"/>
          <w:lang w:val="fr-CA"/>
        </w:rPr>
        <w:t xml:space="preserve">, [1997] 3 R.C.S. 484; </w:t>
      </w:r>
      <w:r w:rsidRPr="009C665E">
        <w:rPr>
          <w:rFonts w:eastAsia="Times New Roman" w:cs="Times New Roman"/>
          <w:i/>
          <w:lang w:val="fr-CA"/>
        </w:rPr>
        <w:t>R. c. Curragh Inc.</w:t>
      </w:r>
      <w:r w:rsidRPr="009C665E">
        <w:rPr>
          <w:rFonts w:eastAsia="Times New Roman" w:cs="Times New Roman"/>
          <w:lang w:val="fr-CA"/>
        </w:rPr>
        <w:t>, [1997] 1 R.C.S. 537; voir aussi Sopinka, Gelowitz et Rankin, ⁋</w:t>
      </w:r>
      <w:r w:rsidRPr="009C665E">
        <w:rPr>
          <w:rFonts w:cs="Times New Roman"/>
          <w:lang w:val="fr-CA"/>
        </w:rPr>
        <w:t>4.38</w:t>
      </w:r>
      <w:r w:rsidRPr="009C665E">
        <w:rPr>
          <w:rFonts w:eastAsia="Times New Roman" w:cs="Times New Roman"/>
          <w:lang w:val="fr-CA"/>
        </w:rPr>
        <w:t>).</w:t>
      </w:r>
    </w:p>
    <w:p w14:paraId="78113BAB"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 xml:space="preserve">D’autres participants au système de justice peuvent aussi avoir été impliqués, comme lorsque la Couronne ne communique pas certains éléments de preuve et que cette omission est un facteur important dans la déclaration de culpabilité d’une personne innocente </w:t>
      </w:r>
      <w:r w:rsidRPr="009C665E">
        <w:rPr>
          <w:rFonts w:eastAsia="Times New Roman" w:cs="Times New Roman"/>
          <w:lang w:val="fr-CA"/>
        </w:rPr>
        <w:t>(voir</w:t>
      </w:r>
      <w:r w:rsidRPr="009C665E">
        <w:rPr>
          <w:rFonts w:eastAsia="Times New Roman" w:cs="Times New Roman"/>
          <w:i/>
          <w:lang w:val="fr-CA"/>
        </w:rPr>
        <w:t xml:space="preserve"> Stinchcombe</w:t>
      </w:r>
      <w:r w:rsidRPr="009C665E">
        <w:rPr>
          <w:rFonts w:eastAsia="Times New Roman" w:cs="Times New Roman"/>
          <w:lang w:val="fr-CA"/>
        </w:rPr>
        <w:t xml:space="preserve">, p. 336, citant </w:t>
      </w:r>
      <w:r w:rsidRPr="009C665E">
        <w:rPr>
          <w:rFonts w:eastAsia="Times New Roman" w:cs="Times New Roman"/>
          <w:i/>
          <w:lang w:val="fr-CA"/>
        </w:rPr>
        <w:t>Royal Commission on the Donald Marshall, Jr., Prosecution</w:t>
      </w:r>
      <w:r w:rsidRPr="009C665E">
        <w:rPr>
          <w:rFonts w:eastAsia="Times New Roman" w:cs="Times New Roman"/>
          <w:lang w:val="fr-CA"/>
        </w:rPr>
        <w:t xml:space="preserve"> (« </w:t>
      </w:r>
      <w:r w:rsidRPr="009C665E">
        <w:rPr>
          <w:rFonts w:eastAsia="Times New Roman" w:cs="Times New Roman"/>
          <w:i/>
          <w:lang w:val="fr-CA"/>
        </w:rPr>
        <w:t>Rapport Marshall</w:t>
      </w:r>
      <w:r w:rsidRPr="009C665E">
        <w:rPr>
          <w:rFonts w:eastAsia="Times New Roman" w:cs="Times New Roman"/>
          <w:lang w:val="fr-CA"/>
        </w:rPr>
        <w:t xml:space="preserve"> »), vol. I, </w:t>
      </w:r>
      <w:r w:rsidRPr="009C665E">
        <w:rPr>
          <w:rFonts w:eastAsia="Times New Roman" w:cs="Times New Roman"/>
          <w:i/>
          <w:lang w:val="fr-CA"/>
        </w:rPr>
        <w:t xml:space="preserve">Findings and Recommendations </w:t>
      </w:r>
      <w:r w:rsidRPr="009C665E">
        <w:rPr>
          <w:rFonts w:eastAsia="Times New Roman" w:cs="Times New Roman"/>
          <w:lang w:val="fr-CA"/>
        </w:rPr>
        <w:t xml:space="preserve">(1989)). D’autres inconvenances ou irrégularités durant le procès peuvent </w:t>
      </w:r>
      <w:proofErr w:type="gramStart"/>
      <w:r w:rsidRPr="009C665E">
        <w:rPr>
          <w:rFonts w:eastAsia="Times New Roman" w:cs="Times New Roman"/>
          <w:lang w:val="fr-CA"/>
        </w:rPr>
        <w:t>avoir</w:t>
      </w:r>
      <w:proofErr w:type="gramEnd"/>
      <w:r w:rsidRPr="009C665E">
        <w:rPr>
          <w:rFonts w:eastAsia="Times New Roman" w:cs="Times New Roman"/>
          <w:lang w:val="fr-CA"/>
        </w:rPr>
        <w:t xml:space="preserve"> des répercussions sur l’équité, ou donner lieu à une apparence d’iniquité, établissant une erreur judiciaire. Des exemples comprennent la conduite de la Couronne et de la police dans la sélection du jury (</w:t>
      </w:r>
      <w:r w:rsidRPr="009C665E">
        <w:rPr>
          <w:rFonts w:eastAsia="Times New Roman" w:cs="Times New Roman"/>
          <w:i/>
          <w:lang w:val="fr-CA"/>
        </w:rPr>
        <w:t>R. c. Yumnu</w:t>
      </w:r>
      <w:r w:rsidRPr="009C665E">
        <w:rPr>
          <w:rFonts w:eastAsia="Times New Roman" w:cs="Times New Roman"/>
          <w:lang w:val="fr-CA"/>
        </w:rPr>
        <w:t xml:space="preserve">, 2012 CSC 73, [2012] 3 R.C.S. 777, par. 79), ou l’assistance inefficace d’un avocat (voir, p. ex., </w:t>
      </w:r>
      <w:r w:rsidRPr="009C665E">
        <w:rPr>
          <w:rFonts w:eastAsia="Times New Roman" w:cs="Times New Roman"/>
          <w:i/>
          <w:lang w:val="fr-CA"/>
        </w:rPr>
        <w:t>R. c. G.D.B.</w:t>
      </w:r>
      <w:r w:rsidRPr="009C665E">
        <w:rPr>
          <w:rFonts w:eastAsia="Times New Roman" w:cs="Times New Roman"/>
          <w:lang w:val="fr-CA"/>
        </w:rPr>
        <w:t xml:space="preserve">, 2000 CSC 22, [2000] 1 R.C.S. 520, par. 28; </w:t>
      </w:r>
      <w:r w:rsidRPr="009C665E">
        <w:rPr>
          <w:rFonts w:eastAsia="Times New Roman" w:cs="Times New Roman"/>
          <w:i/>
          <w:lang w:val="fr-CA"/>
        </w:rPr>
        <w:t>R. c. Joanisse</w:t>
      </w:r>
      <w:r w:rsidRPr="009C665E">
        <w:rPr>
          <w:rFonts w:eastAsia="Times New Roman" w:cs="Times New Roman"/>
          <w:lang w:val="fr-CA"/>
        </w:rPr>
        <w:t xml:space="preserve"> (1995), 102 C.C.C. (3d) 35 (C.A. Ont.), p. 62). Les plaidoyers de culpabilité non éclairés peuvent aussi être le fondement d’erreurs judiciaires, lorsqu’il en découle un préjudice pour l’accusé. Notre Cour a souligné que, dans ces cas, c’est sur la désinformation elle</w:t>
      </w:r>
      <w:r w:rsidRPr="009C665E">
        <w:rPr>
          <w:rFonts w:eastAsia="Times New Roman" w:cs="Times New Roman"/>
          <w:lang w:val="fr-CA"/>
        </w:rPr>
        <w:noBreakHyphen/>
        <w:t xml:space="preserve">même que le tribunal doit axer son attention, ainsi que sur la question de savoir si elle aurait eu une incidence sur la décision de l’accusé de plaider coupable </w:t>
      </w:r>
      <w:r w:rsidRPr="009C665E">
        <w:rPr>
          <w:rFonts w:cs="Times New Roman"/>
          <w:lang w:val="fr-CA"/>
        </w:rPr>
        <w:t>(</w:t>
      </w:r>
      <w:r w:rsidRPr="009C665E">
        <w:rPr>
          <w:rFonts w:cs="Times New Roman"/>
          <w:i/>
          <w:lang w:val="fr-CA"/>
        </w:rPr>
        <w:t>R. c. Wong</w:t>
      </w:r>
      <w:r w:rsidRPr="009C665E">
        <w:rPr>
          <w:rFonts w:cs="Times New Roman"/>
          <w:lang w:val="fr-CA"/>
        </w:rPr>
        <w:t>, 2018 CSC 25, [2018] 1 R.C.S. 696, par. 19 et 34</w:t>
      </w:r>
      <w:r w:rsidRPr="009C665E">
        <w:rPr>
          <w:rFonts w:cs="Times New Roman"/>
          <w:lang w:val="fr-CA"/>
        </w:rPr>
        <w:noBreakHyphen/>
        <w:t>35).</w:t>
      </w:r>
    </w:p>
    <w:p w14:paraId="482B1398"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Les causes relatives aux erreurs judiciaires concernent donc l’équité et la solidité de la déclaration de culpabilité sous</w:t>
      </w:r>
      <w:r w:rsidRPr="009C665E">
        <w:rPr>
          <w:rFonts w:cs="Times New Roman"/>
          <w:lang w:val="fr-CA"/>
        </w:rPr>
        <w:noBreakHyphen/>
        <w:t xml:space="preserve">jacente. Le </w:t>
      </w:r>
      <w:r w:rsidRPr="009C665E">
        <w:rPr>
          <w:rFonts w:cs="Times New Roman"/>
          <w:i/>
          <w:lang w:val="fr-CA"/>
        </w:rPr>
        <w:t>Code</w:t>
      </w:r>
      <w:r w:rsidRPr="009C665E">
        <w:rPr>
          <w:rFonts w:cs="Times New Roman"/>
          <w:lang w:val="fr-CA"/>
        </w:rPr>
        <w:t xml:space="preserve"> confère en termes clairs un large pouvoir d’ordonner un acquittement ou un nouveau procès dans n’importe laquelle de ces circonstances.</w:t>
      </w:r>
    </w:p>
    <w:p w14:paraId="379B8D74"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J’accepte que, de façon générale, si une cour d’appel est convaincue que l’ensemble du dossier au terme de l’appel pourrait raisonnablement donner lieu à une déclaration de culpabilité en cas de nouveau procès, il soit souvent approprié qu’elle ordonne un nouveau procès (</w:t>
      </w:r>
      <w:r w:rsidRPr="009C665E">
        <w:rPr>
          <w:rFonts w:cs="Times New Roman"/>
          <w:i/>
          <w:lang w:val="fr-CA"/>
        </w:rPr>
        <w:t>R. c. Stolar</w:t>
      </w:r>
      <w:r w:rsidRPr="009C665E">
        <w:rPr>
          <w:rFonts w:cs="Times New Roman"/>
          <w:lang w:val="fr-CA"/>
        </w:rPr>
        <w:t>, [1988] 1 R.C.S. 480,</w:t>
      </w:r>
      <w:r w:rsidRPr="009C665E">
        <w:rPr>
          <w:rFonts w:cs="Times New Roman"/>
          <w:i/>
          <w:lang w:val="fr-CA"/>
        </w:rPr>
        <w:t xml:space="preserve"> </w:t>
      </w:r>
      <w:r w:rsidRPr="009C665E">
        <w:rPr>
          <w:rFonts w:cs="Times New Roman"/>
          <w:lang w:val="fr-CA"/>
        </w:rPr>
        <w:t xml:space="preserve">p. 491; </w:t>
      </w:r>
      <w:r w:rsidRPr="009C665E">
        <w:rPr>
          <w:rFonts w:cs="Times New Roman"/>
          <w:i/>
          <w:lang w:val="fr-CA"/>
        </w:rPr>
        <w:t>R. c. S. (P.L.)</w:t>
      </w:r>
      <w:r w:rsidRPr="009C665E">
        <w:rPr>
          <w:rFonts w:cs="Times New Roman"/>
          <w:lang w:val="fr-CA"/>
        </w:rPr>
        <w:t>, [1991] 1 R.C.S. 909, p. 915</w:t>
      </w:r>
      <w:r w:rsidRPr="009C665E">
        <w:rPr>
          <w:rFonts w:cs="Times New Roman"/>
          <w:lang w:val="fr-CA"/>
        </w:rPr>
        <w:noBreakHyphen/>
        <w:t xml:space="preserve">916; </w:t>
      </w:r>
      <w:r w:rsidRPr="009C665E">
        <w:rPr>
          <w:rFonts w:cs="Times New Roman"/>
          <w:i/>
          <w:lang w:val="fr-CA"/>
        </w:rPr>
        <w:t>R. c. Maciel</w:t>
      </w:r>
      <w:r w:rsidRPr="009C665E">
        <w:rPr>
          <w:rFonts w:cs="Times New Roman"/>
          <w:lang w:val="fr-CA"/>
        </w:rPr>
        <w:t xml:space="preserve">, 2007 ONCA 196, 219 C.C.C. (3d) 516, par. 46; </w:t>
      </w:r>
      <w:r w:rsidRPr="009C665E">
        <w:rPr>
          <w:rFonts w:cs="Times New Roman"/>
          <w:lang w:val="fr-CA" w:bidi="en-US"/>
        </w:rPr>
        <w:t xml:space="preserve">Sopinka, Gelowitz et Rankin, </w:t>
      </w:r>
      <w:r w:rsidRPr="009C665E">
        <w:rPr>
          <w:rFonts w:cs="Times New Roman"/>
          <w:lang w:val="fr-CA"/>
        </w:rPr>
        <w:t xml:space="preserve">⁋4.44). Cependant, comme l’indiquent la décision </w:t>
      </w:r>
      <w:r w:rsidRPr="009C665E">
        <w:rPr>
          <w:rFonts w:cs="Times New Roman"/>
          <w:i/>
          <w:lang w:val="fr-CA"/>
        </w:rPr>
        <w:t>Truscott</w:t>
      </w:r>
      <w:r w:rsidRPr="009C665E">
        <w:rPr>
          <w:rFonts w:cs="Times New Roman"/>
          <w:lang w:val="fr-CA"/>
        </w:rPr>
        <w:t xml:space="preserve"> et d’autres décisions similaires, cela n’épuise pas le large pouvoir discrétionnaire de la cour en matière de réparation, car [</w:t>
      </w:r>
      <w:r w:rsidRPr="009C665E">
        <w:rPr>
          <w:rFonts w:cs="Times New Roman"/>
          <w:smallCaps/>
          <w:lang w:val="fr-CA"/>
        </w:rPr>
        <w:t>traduction</w:t>
      </w:r>
      <w:r w:rsidRPr="009C665E">
        <w:rPr>
          <w:rFonts w:cs="Times New Roman"/>
          <w:lang w:val="fr-CA"/>
        </w:rPr>
        <w:t>] « [c]ertaines causes sont hors norme » (par. 259). Dans certains cas, l’acquittement n’est pas seulement une mesure corrective qui sert les intérêts de la justice, il est le seul à le faire, même lorsqu’il est théoriquement possible de tenir un nouveau procès.</w:t>
      </w:r>
    </w:p>
    <w:p w14:paraId="658E6FCF"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Je suis d’accord avec M</w:t>
      </w:r>
      <w:r w:rsidRPr="009C665E">
        <w:rPr>
          <w:rFonts w:cs="Times New Roman"/>
          <w:vertAlign w:val="superscript"/>
          <w:lang w:val="fr-CA"/>
        </w:rPr>
        <w:t>me</w:t>
      </w:r>
      <w:r w:rsidRPr="009C665E">
        <w:rPr>
          <w:rFonts w:cs="Times New Roman"/>
          <w:lang w:val="fr-CA"/>
        </w:rPr>
        <w:t xml:space="preserve"> Bouvette qu’il n’y a aucun avantage à concevoir le pouvoir discrétionnaire de réparation d’inscrire un acquittement comme étant « exceptionnel », en ce sens qu’il est rare ou extraordinaire, et ni la loi ni le cadre d’analyse prescrit par </w:t>
      </w:r>
      <w:r w:rsidRPr="009C665E">
        <w:rPr>
          <w:rFonts w:cs="Times New Roman"/>
          <w:i/>
          <w:lang w:val="fr-CA"/>
        </w:rPr>
        <w:t>Truscott</w:t>
      </w:r>
      <w:r w:rsidRPr="009C665E">
        <w:rPr>
          <w:rFonts w:cs="Times New Roman"/>
          <w:lang w:val="fr-CA"/>
        </w:rPr>
        <w:t xml:space="preserve"> n’oblige à le caractériser de cette façon. Cependant, ce pouvoir discrétionnaire est souvent exercé dans des circonstances uniques et impérieuses, reflétant la diversité des façons dans lesquelles les irrégularités peuvent survenir dans le système de justice. Ces circonstances, y compris les affaires présentant des caractéristiques procédurales ou substantielles d’une déclaration de culpabilité injustifiée, peuvent alerter la cour d’appel sur la nécessité d’examiner des facteurs allant au-delà de la possibilité raisonnable d’une déclaration de culpabilité.</w:t>
      </w:r>
    </w:p>
    <w:p w14:paraId="24643BC8" w14:textId="77777777" w:rsidR="009C665E" w:rsidRPr="009C665E" w:rsidRDefault="009C665E" w:rsidP="009C665E">
      <w:pPr>
        <w:pStyle w:val="Title3LevelTitre3Niveau"/>
        <w:numPr>
          <w:ilvl w:val="2"/>
          <w:numId w:val="7"/>
        </w:numPr>
        <w:spacing w:before="0"/>
        <w:rPr>
          <w:rFonts w:cs="Times New Roman"/>
          <w:lang w:val="fr-CA"/>
        </w:rPr>
      </w:pPr>
      <w:r w:rsidRPr="009C665E">
        <w:rPr>
          <w:rFonts w:cs="Times New Roman"/>
          <w:lang w:val="fr-CA"/>
        </w:rPr>
        <w:lastRenderedPageBreak/>
        <w:t>Seuil pour exercer le pouvoir discrétionnaire de réparation : les caractéristiques procédurales ou substantielles d’une déclaration de culpabilité injustifiée</w:t>
      </w:r>
    </w:p>
    <w:p w14:paraId="34562A7E"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Il n’est ni nécessaire ni souhaitable de dresser une liste exhaustive de tous les cas dans lesquels un acquittement peut être approprié même lorsque le dossier suggère qu’un jury pourrait raisonnablement déclarer l’accusé coupable. Cependant, le présent appel souligne qu’il faut porter une attention particulière aux causes dans lesquelles une erreur judiciaire avérée constitue une déclaration de culpabilité injustifiée ou s’en approche. Les tribunaux doivent tenir compte des erreurs, des inconduites ou des faiblesses de la preuve associées à la déclaration de culpabilité de la personne innocente, compte tenu de la réalité tragique que dans tous les systèmes de justice pénale, aussi bons soient-ils, il y a des déclarations de culpabilité injustifiées ou des erreurs judiciaires (voir G. Zellick, « Facing up to Miscarriages of Justice » (2006), 31 </w:t>
      </w:r>
      <w:r w:rsidRPr="009C665E">
        <w:rPr>
          <w:rFonts w:cs="Times New Roman"/>
          <w:i/>
          <w:lang w:val="fr-CA"/>
        </w:rPr>
        <w:t>Man. L.J.</w:t>
      </w:r>
      <w:r w:rsidRPr="009C665E">
        <w:rPr>
          <w:rFonts w:cs="Times New Roman"/>
          <w:lang w:val="fr-CA"/>
        </w:rPr>
        <w:t xml:space="preserve"> 555, p. 555). Comme je l’explique ci</w:t>
      </w:r>
      <w:r w:rsidRPr="009C665E">
        <w:rPr>
          <w:rFonts w:cs="Times New Roman"/>
          <w:lang w:val="fr-CA"/>
        </w:rPr>
        <w:noBreakHyphen/>
        <w:t>après, le cas de M</w:t>
      </w:r>
      <w:r w:rsidRPr="009C665E">
        <w:rPr>
          <w:rFonts w:cs="Times New Roman"/>
          <w:vertAlign w:val="superscript"/>
          <w:lang w:val="fr-CA"/>
        </w:rPr>
        <w:t>me</w:t>
      </w:r>
      <w:r w:rsidRPr="009C665E">
        <w:rPr>
          <w:rFonts w:cs="Times New Roman"/>
          <w:lang w:val="fr-CA"/>
        </w:rPr>
        <w:t> Bouvette présente de nombreuses caractéristiques de ce type.</w:t>
      </w:r>
    </w:p>
    <w:p w14:paraId="68A8FE82"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Selon moi, en présence de caractéristiques procédurales ou substantielles de déclarations de culpabilité injustifiées, il incombe à une cour d’appel d’examiner si un acquittement serait approprié, même si elle n’est pas en mesure de conclure qu’aucun jury ne pourrait raisonnablement déclarer l’accusé coupable. Sans souscrire à une définition exhaustive, une déclaration de culpabilité injustifiée serait décrite utilement en parlant de celle [</w:t>
      </w:r>
      <w:r w:rsidRPr="009C665E">
        <w:rPr>
          <w:rFonts w:cs="Times New Roman"/>
          <w:smallCaps/>
          <w:lang w:val="fr-CA"/>
        </w:rPr>
        <w:t>traduction</w:t>
      </w:r>
      <w:r w:rsidRPr="009C665E">
        <w:rPr>
          <w:rFonts w:cs="Times New Roman"/>
          <w:lang w:val="fr-CA"/>
        </w:rPr>
        <w:t xml:space="preserve">] « qui est infirmée sur le fondement de nouveaux faits importants en lien avec la culpabilité et qui n’ont pas été pris en </w:t>
      </w:r>
      <w:r w:rsidRPr="009C665E">
        <w:rPr>
          <w:rFonts w:cs="Times New Roman"/>
          <w:lang w:val="fr-CA"/>
        </w:rPr>
        <w:lastRenderedPageBreak/>
        <w:t xml:space="preserve">considération lorsque l’accusé a été déclaré coupable ou a plaidé coupable » (K. Roach, « The Wrongfully Convicted Deserve Acquittals not Prosecutorial Stays » (2024), 102 </w:t>
      </w:r>
      <w:r w:rsidRPr="009C665E">
        <w:rPr>
          <w:rFonts w:cs="Times New Roman"/>
          <w:i/>
          <w:sz w:val="23"/>
          <w:szCs w:val="23"/>
          <w:lang w:val="fr-CA"/>
        </w:rPr>
        <w:t>R. du B. can.</w:t>
      </w:r>
      <w:r w:rsidRPr="009C665E">
        <w:rPr>
          <w:rFonts w:cs="Times New Roman"/>
          <w:lang w:val="fr-CA"/>
        </w:rPr>
        <w:t xml:space="preserve"> 201, note 12; voir aussi </w:t>
      </w:r>
      <w:bookmarkStart w:id="55" w:name="_Hlk187309846"/>
      <w:r w:rsidRPr="009C665E">
        <w:rPr>
          <w:rFonts w:cs="Times New Roman"/>
          <w:lang w:val="fr-CA"/>
        </w:rPr>
        <w:t>E. P. MacCallum,</w:t>
      </w:r>
      <w:r w:rsidRPr="009C665E">
        <w:rPr>
          <w:rFonts w:cs="Times New Roman"/>
          <w:i/>
          <w:lang w:val="fr-CA"/>
        </w:rPr>
        <w:t xml:space="preserve"> Report of the Commission of Inquiry into the Wrongful Conviction of David Milgaard</w:t>
      </w:r>
      <w:r w:rsidRPr="009C665E">
        <w:rPr>
          <w:rFonts w:cs="Times New Roman"/>
          <w:lang w:val="fr-CA"/>
        </w:rPr>
        <w:t xml:space="preserve"> (2008), vol. 1, p. 365</w:t>
      </w:r>
      <w:bookmarkEnd w:id="55"/>
      <w:r w:rsidRPr="009C665E">
        <w:rPr>
          <w:rFonts w:cs="Times New Roman"/>
          <w:lang w:val="fr-CA"/>
        </w:rPr>
        <w:t>).</w:t>
      </w:r>
    </w:p>
    <w:p w14:paraId="3638C028"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Par caractéristiques procédurales, j’entends les caractéristiques spécifiques des causes où les procédures habituelles ou routinières sont insuffisantes pour garantir le respect des intérêts de la justice. À titre d’exemple, les appels fondés sur les erreurs judiciaires peuvent aboutir devant une cour d’appel de différentes façons, et souvent après que </w:t>
      </w:r>
      <w:proofErr w:type="gramStart"/>
      <w:r w:rsidRPr="009C665E">
        <w:rPr>
          <w:rFonts w:cs="Times New Roman"/>
          <w:lang w:val="fr-CA"/>
        </w:rPr>
        <w:t>ce soit</w:t>
      </w:r>
      <w:proofErr w:type="gramEnd"/>
      <w:r w:rsidRPr="009C665E">
        <w:rPr>
          <w:rFonts w:cs="Times New Roman"/>
          <w:lang w:val="fr-CA"/>
        </w:rPr>
        <w:t xml:space="preserve"> écoulé un temps considérable. Une des mécaniques le permettant est celle du renvoi par le ministre en vertu du sous</w:t>
      </w:r>
      <w:r w:rsidRPr="009C665E">
        <w:rPr>
          <w:rFonts w:cs="Times New Roman"/>
          <w:lang w:val="fr-CA"/>
        </w:rPr>
        <w:noBreakHyphen/>
        <w:t>al. 696.3(3</w:t>
      </w:r>
      <w:proofErr w:type="gramStart"/>
      <w:r w:rsidRPr="009C665E">
        <w:rPr>
          <w:rFonts w:cs="Times New Roman"/>
          <w:lang w:val="fr-CA"/>
        </w:rPr>
        <w:t>)a)(</w:t>
      </w:r>
      <w:proofErr w:type="gramEnd"/>
      <w:r w:rsidRPr="009C665E">
        <w:rPr>
          <w:rFonts w:cs="Times New Roman"/>
          <w:lang w:val="fr-CA"/>
        </w:rPr>
        <w:t xml:space="preserve">ii) du </w:t>
      </w:r>
      <w:r w:rsidRPr="009C665E">
        <w:rPr>
          <w:rFonts w:cs="Times New Roman"/>
          <w:i/>
          <w:lang w:val="fr-CA"/>
        </w:rPr>
        <w:t>Code</w:t>
      </w:r>
      <w:r w:rsidRPr="009C665E">
        <w:rPr>
          <w:rFonts w:cs="Times New Roman"/>
          <w:lang w:val="fr-CA"/>
        </w:rPr>
        <w:t xml:space="preserve"> (voir, p. ex., </w:t>
      </w:r>
      <w:r w:rsidRPr="009C665E">
        <w:rPr>
          <w:rFonts w:cs="Times New Roman"/>
          <w:i/>
          <w:lang w:val="fr-CA"/>
        </w:rPr>
        <w:t>Truscott</w:t>
      </w:r>
      <w:r w:rsidRPr="009C665E">
        <w:rPr>
          <w:rFonts w:cs="Times New Roman"/>
          <w:lang w:val="fr-CA"/>
        </w:rPr>
        <w:t xml:space="preserve">; </w:t>
      </w:r>
      <w:r w:rsidRPr="009C665E">
        <w:rPr>
          <w:rFonts w:cs="Times New Roman"/>
          <w:i/>
          <w:lang w:val="fr-CA"/>
        </w:rPr>
        <w:t>Walsh</w:t>
      </w:r>
      <w:r w:rsidRPr="009C665E">
        <w:rPr>
          <w:rFonts w:cs="Times New Roman"/>
          <w:lang w:val="fr-CA"/>
        </w:rPr>
        <w:t xml:space="preserve">). Le </w:t>
      </w:r>
      <w:r w:rsidRPr="009C665E">
        <w:rPr>
          <w:rFonts w:cs="Times New Roman"/>
          <w:i/>
          <w:lang w:val="fr-CA"/>
        </w:rPr>
        <w:t xml:space="preserve">Code </w:t>
      </w:r>
      <w:r w:rsidRPr="009C665E">
        <w:rPr>
          <w:rFonts w:cs="Times New Roman"/>
          <w:lang w:val="fr-CA"/>
        </w:rPr>
        <w:t xml:space="preserve">a été modifié récemment pour créer la </w:t>
      </w:r>
      <w:r w:rsidRPr="009C665E">
        <w:rPr>
          <w:rFonts w:cs="Times New Roman"/>
          <w:szCs w:val="24"/>
          <w:shd w:val="clear" w:color="auto" w:fill="FFFFFF"/>
          <w:lang w:val="fr-CA"/>
        </w:rPr>
        <w:t>Commission d’examen des erreurs du système judiciaire; lorsque d’autres dispositions du même projet de loi entreront en vigueur, la commission exercera le pouvoir de renvoi plutôt que le ministre de la Justice (</w:t>
      </w:r>
      <w:r w:rsidRPr="009C665E">
        <w:rPr>
          <w:rFonts w:cs="Times New Roman"/>
          <w:i/>
          <w:iCs/>
          <w:shd w:val="clear" w:color="auto" w:fill="FFFFFF"/>
          <w:lang w:val="fr-CA"/>
        </w:rPr>
        <w:t xml:space="preserve">Loi sur la Commission d’examen des erreurs du système </w:t>
      </w:r>
      <w:r w:rsidRPr="009C665E">
        <w:rPr>
          <w:rFonts w:cs="Times New Roman"/>
          <w:i/>
          <w:iCs/>
          <w:szCs w:val="24"/>
          <w:shd w:val="clear" w:color="auto" w:fill="FFFFFF"/>
          <w:lang w:val="fr-CA"/>
        </w:rPr>
        <w:t>judiciaire (Loi de David et Joyce Milgaard</w:t>
      </w:r>
      <w:r w:rsidRPr="009C665E">
        <w:rPr>
          <w:rFonts w:cs="Times New Roman"/>
          <w:i/>
          <w:szCs w:val="24"/>
          <w:shd w:val="clear" w:color="auto" w:fill="FFFFFF"/>
          <w:lang w:val="fr-CA"/>
        </w:rPr>
        <w:t>)</w:t>
      </w:r>
      <w:r w:rsidRPr="009C665E">
        <w:rPr>
          <w:rFonts w:cs="Times New Roman"/>
          <w:szCs w:val="24"/>
          <w:shd w:val="clear" w:color="auto" w:fill="FFFFFF"/>
          <w:lang w:val="fr-CA"/>
        </w:rPr>
        <w:t xml:space="preserve">, L.C. 2024, c. 33, art. 3 et 4). Les tribunaux peuvent devoir trancher une requête en prorogation du délai pour déposer un avis d’appel </w:t>
      </w:r>
      <w:r w:rsidRPr="009C665E">
        <w:rPr>
          <w:rFonts w:cs="Times New Roman"/>
          <w:lang w:val="fr-CA"/>
        </w:rPr>
        <w:t>(</w:t>
      </w:r>
      <w:r w:rsidRPr="009C665E">
        <w:rPr>
          <w:rFonts w:cs="Times New Roman"/>
          <w:i/>
          <w:lang w:val="fr-CA"/>
        </w:rPr>
        <w:t>Code</w:t>
      </w:r>
      <w:r w:rsidRPr="009C665E">
        <w:rPr>
          <w:rFonts w:cs="Times New Roman"/>
          <w:lang w:val="fr-CA"/>
        </w:rPr>
        <w:t xml:space="preserve">, par. 678(2); voir, p. ex., </w:t>
      </w:r>
      <w:r w:rsidRPr="009C665E">
        <w:rPr>
          <w:rFonts w:cs="Times New Roman"/>
          <w:i/>
          <w:lang w:val="fr-CA"/>
        </w:rPr>
        <w:t>R. c. Hinse</w:t>
      </w:r>
      <w:r w:rsidRPr="009C665E">
        <w:rPr>
          <w:rFonts w:cs="Times New Roman"/>
          <w:lang w:val="fr-CA"/>
        </w:rPr>
        <w:t>, [1995] 4 R.C.S. 597 (« </w:t>
      </w:r>
      <w:r w:rsidRPr="009C665E">
        <w:rPr>
          <w:rFonts w:cs="Times New Roman"/>
          <w:i/>
          <w:lang w:val="fr-CA"/>
        </w:rPr>
        <w:t>Hinse</w:t>
      </w:r>
      <w:r w:rsidRPr="009C665E">
        <w:rPr>
          <w:rFonts w:cs="Times New Roman"/>
          <w:lang w:val="fr-CA"/>
        </w:rPr>
        <w:t xml:space="preserve"> </w:t>
      </w:r>
      <w:r w:rsidRPr="009C665E">
        <w:rPr>
          <w:rFonts w:cs="Times New Roman"/>
          <w:i/>
          <w:lang w:val="fr-CA"/>
        </w:rPr>
        <w:t>1995</w:t>
      </w:r>
      <w:r w:rsidRPr="009C665E">
        <w:rPr>
          <w:rFonts w:cs="Times New Roman"/>
          <w:lang w:val="fr-CA"/>
        </w:rPr>
        <w:t xml:space="preserve"> »), par. 3). Dans d’autres cas, un procureur spécial peut être nommé, ce qui mène à un appel de nombreuses années après les procédures initiales (voir, p. ex., </w:t>
      </w:r>
      <w:r w:rsidRPr="009C665E">
        <w:rPr>
          <w:rFonts w:cs="Times New Roman"/>
          <w:i/>
          <w:lang w:val="fr-CA"/>
        </w:rPr>
        <w:t>R. c. Henry</w:t>
      </w:r>
      <w:r w:rsidRPr="009C665E">
        <w:rPr>
          <w:rFonts w:cs="Times New Roman"/>
          <w:lang w:val="fr-CA"/>
        </w:rPr>
        <w:t xml:space="preserve">, 2010 BCCA 462, 262 C.C.C. (3d) 307; </w:t>
      </w:r>
      <w:r w:rsidRPr="009C665E">
        <w:rPr>
          <w:rFonts w:cs="Times New Roman"/>
          <w:i/>
          <w:lang w:val="fr-CA"/>
        </w:rPr>
        <w:t>R. c. Dhillon</w:t>
      </w:r>
      <w:r w:rsidRPr="009C665E">
        <w:rPr>
          <w:rFonts w:cs="Times New Roman"/>
          <w:lang w:val="fr-CA"/>
        </w:rPr>
        <w:t>, 2014 BCCA 480, 16 C.R. (7th) 8).</w:t>
      </w:r>
    </w:p>
    <w:p w14:paraId="3A308CD5" w14:textId="13D40BCC" w:rsidR="009C665E" w:rsidRPr="009C665E" w:rsidRDefault="009C665E" w:rsidP="002109E2">
      <w:pPr>
        <w:pStyle w:val="ParaNoNdepar-AltN"/>
        <w:rPr>
          <w:lang w:val="fr-CA"/>
        </w:rPr>
      </w:pPr>
      <w:r w:rsidRPr="009C665E">
        <w:rPr>
          <w:lang w:val="fr-CA"/>
        </w:rPr>
        <w:lastRenderedPageBreak/>
        <w:t xml:space="preserve">Les demandes visant l’admission de nouveaux éléments de preuve qui n’avaient pas été communiqués auparavant ou qui ont été découverts récemment sont également fréquentes. Ces éléments de preuve changent souvent considérablement le contexte factuel, minant la solidité de la déclaration de culpabilité (voir </w:t>
      </w:r>
      <w:r w:rsidRPr="009C665E">
        <w:rPr>
          <w:i/>
          <w:lang w:val="fr-CA"/>
        </w:rPr>
        <w:t>Truscott</w:t>
      </w:r>
      <w:r w:rsidRPr="009C665E">
        <w:rPr>
          <w:lang w:val="fr-CA"/>
        </w:rPr>
        <w:t xml:space="preserve">, par. 753; </w:t>
      </w:r>
      <w:r w:rsidRPr="009C665E">
        <w:rPr>
          <w:i/>
          <w:lang w:val="fr-CA"/>
        </w:rPr>
        <w:t>Walsh</w:t>
      </w:r>
      <w:r w:rsidRPr="009C665E">
        <w:rPr>
          <w:lang w:val="fr-CA"/>
        </w:rPr>
        <w:t>, par. 91</w:t>
      </w:r>
      <w:r w:rsidRPr="009C665E">
        <w:rPr>
          <w:lang w:val="fr-CA"/>
        </w:rPr>
        <w:noBreakHyphen/>
        <w:t xml:space="preserve">92; </w:t>
      </w:r>
      <w:r w:rsidRPr="009C665E">
        <w:rPr>
          <w:i/>
          <w:lang w:val="fr-CA"/>
        </w:rPr>
        <w:t>Hinse 1994</w:t>
      </w:r>
      <w:r w:rsidRPr="009C665E">
        <w:rPr>
          <w:lang w:val="fr-CA"/>
        </w:rPr>
        <w:t>, par. 37</w:t>
      </w:r>
      <w:r w:rsidRPr="009C665E">
        <w:rPr>
          <w:lang w:val="fr-CA"/>
        </w:rPr>
        <w:noBreakHyphen/>
        <w:t xml:space="preserve">39; </w:t>
      </w:r>
      <w:r w:rsidRPr="009C665E">
        <w:rPr>
          <w:i/>
          <w:lang w:val="fr-CA"/>
        </w:rPr>
        <w:t>Dhillon</w:t>
      </w:r>
      <w:r w:rsidRPr="009C665E">
        <w:rPr>
          <w:lang w:val="fr-CA"/>
        </w:rPr>
        <w:t>, par. 10</w:t>
      </w:r>
      <w:r w:rsidRPr="009C665E">
        <w:rPr>
          <w:lang w:val="fr-CA"/>
        </w:rPr>
        <w:noBreakHyphen/>
        <w:t>17).</w:t>
      </w:r>
      <w:r w:rsidRPr="009C665E">
        <w:rPr>
          <w:i/>
          <w:lang w:val="fr-CA"/>
        </w:rPr>
        <w:t xml:space="preserve"> </w:t>
      </w:r>
      <w:r w:rsidRPr="009C665E">
        <w:rPr>
          <w:lang w:val="fr-CA"/>
        </w:rPr>
        <w:t xml:space="preserve">De telles causes peuvent aussi exiger des cours d’appel qu’elles assument exceptionnellement les fonctions d’un tribunal de première instance, y compris celle d’entendre de la preuve de vive voix </w:t>
      </w:r>
      <w:r w:rsidR="002109E2" w:rsidRPr="002109E2">
        <w:rPr>
          <w:rFonts w:cs="Times New Roman"/>
          <w:lang w:val="fr-CA"/>
        </w:rPr>
        <w:t xml:space="preserve">(voir </w:t>
      </w:r>
      <w:r w:rsidR="002109E2" w:rsidRPr="002109E2">
        <w:rPr>
          <w:rFonts w:cs="Times New Roman"/>
          <w:i/>
          <w:lang w:val="fr-CA"/>
        </w:rPr>
        <w:t>Renvoi relatif à Milgaard (Can.)</w:t>
      </w:r>
      <w:r w:rsidR="002109E2" w:rsidRPr="002109E2">
        <w:rPr>
          <w:rFonts w:cs="Times New Roman"/>
          <w:lang w:val="fr-CA"/>
        </w:rPr>
        <w:t xml:space="preserve">, [1992] 1 R.C.S. 866; </w:t>
      </w:r>
      <w:r w:rsidR="002109E2" w:rsidRPr="002109E2">
        <w:rPr>
          <w:rFonts w:cs="Times New Roman"/>
          <w:i/>
          <w:lang w:val="fr-CA"/>
        </w:rPr>
        <w:t>Truscott</w:t>
      </w:r>
      <w:r w:rsidR="002109E2" w:rsidRPr="002109E2">
        <w:rPr>
          <w:rFonts w:cs="Times New Roman"/>
          <w:lang w:val="fr-CA"/>
        </w:rPr>
        <w:t xml:space="preserve">, par. 25; </w:t>
      </w:r>
      <w:r w:rsidRPr="009C665E">
        <w:rPr>
          <w:i/>
          <w:lang w:val="fr-CA" w:bidi="en-US"/>
        </w:rPr>
        <w:t>R. c. Ostrowski</w:t>
      </w:r>
      <w:r w:rsidRPr="009C665E">
        <w:rPr>
          <w:lang w:val="fr-CA" w:bidi="en-US"/>
        </w:rPr>
        <w:t>, 2018 MBCA 125, 369 C.C.C. (3d) 139, par. 1).</w:t>
      </w:r>
    </w:p>
    <w:p w14:paraId="73979A19"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Les caractéristiques substantielles des déclarations de culpabilité injustifiées devraient aussi alerter un tribunal quant au fait qu’un acquittement doit être envisagé. Cela découle en partie du fait qu’un grand nombre de ces caractéristiques remettent en cause des questions liées à la culpabilité. Nous avons beaucoup appris sur les causes et les coûts des déclarations de culpabilité injustifiées des nombreuses commissions d’enquête qui ont identifié les facteurs contributifs communs et omniprésents. Il sera question des leçons tirées de ces rapports plus loin dans les présents motifs, mais les caractéristiques communes comprennent notamment :</w:t>
      </w:r>
    </w:p>
    <w:p w14:paraId="19FF9F4E" w14:textId="77777777" w:rsidR="009C665E" w:rsidRPr="009C665E" w:rsidRDefault="009C665E" w:rsidP="009C665E">
      <w:pPr>
        <w:pStyle w:val="ParaNoNdepar-AltN"/>
        <w:numPr>
          <w:ilvl w:val="0"/>
          <w:numId w:val="25"/>
        </w:numPr>
        <w:spacing w:before="0" w:after="240"/>
        <w:ind w:left="1526"/>
        <w:rPr>
          <w:rFonts w:cs="Times New Roman"/>
          <w:lang w:val="fr-CA"/>
        </w:rPr>
      </w:pPr>
      <w:proofErr w:type="gramStart"/>
      <w:r w:rsidRPr="009C665E">
        <w:rPr>
          <w:rFonts w:cs="Times New Roman"/>
          <w:lang w:val="fr-CA"/>
        </w:rPr>
        <w:t>une</w:t>
      </w:r>
      <w:proofErr w:type="gramEnd"/>
      <w:r w:rsidRPr="009C665E">
        <w:rPr>
          <w:rFonts w:cs="Times New Roman"/>
          <w:lang w:val="fr-CA"/>
        </w:rPr>
        <w:t xml:space="preserve"> omission par l’État de communiquer des renseignements importants;</w:t>
      </w:r>
    </w:p>
    <w:p w14:paraId="7E8F2E4D" w14:textId="77777777" w:rsidR="009C665E" w:rsidRPr="009C665E" w:rsidRDefault="009C665E" w:rsidP="009C665E">
      <w:pPr>
        <w:pStyle w:val="ParaNoNdepar-AltN"/>
        <w:numPr>
          <w:ilvl w:val="0"/>
          <w:numId w:val="25"/>
        </w:numPr>
        <w:spacing w:before="0" w:after="240"/>
        <w:ind w:left="1526"/>
        <w:rPr>
          <w:rFonts w:cs="Times New Roman"/>
          <w:lang w:val="fr-CA"/>
        </w:rPr>
      </w:pPr>
      <w:proofErr w:type="gramStart"/>
      <w:r w:rsidRPr="009C665E">
        <w:rPr>
          <w:rFonts w:cs="Times New Roman"/>
          <w:lang w:val="fr-CA"/>
        </w:rPr>
        <w:t>une</w:t>
      </w:r>
      <w:proofErr w:type="gramEnd"/>
      <w:r w:rsidRPr="009C665E">
        <w:rPr>
          <w:rFonts w:cs="Times New Roman"/>
          <w:lang w:val="fr-CA"/>
        </w:rPr>
        <w:t xml:space="preserve"> preuve scientifique ou d’expert non fiable;</w:t>
      </w:r>
    </w:p>
    <w:p w14:paraId="55F03E4D" w14:textId="77777777" w:rsidR="009C665E" w:rsidRPr="009C665E" w:rsidRDefault="009C665E" w:rsidP="009C665E">
      <w:pPr>
        <w:pStyle w:val="ParaNoNdepar-AltN"/>
        <w:numPr>
          <w:ilvl w:val="0"/>
          <w:numId w:val="25"/>
        </w:numPr>
        <w:spacing w:before="0" w:after="240"/>
        <w:ind w:left="1530"/>
        <w:rPr>
          <w:rFonts w:cs="Times New Roman"/>
          <w:lang w:val="fr-CA"/>
        </w:rPr>
      </w:pPr>
      <w:proofErr w:type="gramStart"/>
      <w:r w:rsidRPr="009C665E">
        <w:rPr>
          <w:rFonts w:cs="Times New Roman"/>
          <w:lang w:val="fr-CA"/>
        </w:rPr>
        <w:lastRenderedPageBreak/>
        <w:t>une</w:t>
      </w:r>
      <w:proofErr w:type="gramEnd"/>
      <w:r w:rsidRPr="009C665E">
        <w:rPr>
          <w:rFonts w:cs="Times New Roman"/>
          <w:lang w:val="fr-CA"/>
        </w:rPr>
        <w:t xml:space="preserve"> erreur d’identification par un témoin oculaire, notamment quant à une identification interraciale;</w:t>
      </w:r>
    </w:p>
    <w:p w14:paraId="7C92F366" w14:textId="77777777" w:rsidR="009C665E" w:rsidRPr="009C665E" w:rsidRDefault="009C665E" w:rsidP="009C665E">
      <w:pPr>
        <w:pStyle w:val="ParaNoNdepar-AltN"/>
        <w:numPr>
          <w:ilvl w:val="0"/>
          <w:numId w:val="25"/>
        </w:numPr>
        <w:spacing w:before="0" w:after="240"/>
        <w:ind w:left="1530"/>
        <w:rPr>
          <w:rFonts w:cs="Times New Roman"/>
          <w:lang w:val="en-US"/>
        </w:rPr>
      </w:pPr>
      <w:r w:rsidRPr="009C665E">
        <w:rPr>
          <w:rFonts w:cs="Times New Roman"/>
          <w:lang w:val="en-US"/>
        </w:rPr>
        <w:t xml:space="preserve">des enquêtes policières </w:t>
      </w:r>
      <w:proofErr w:type="gramStart"/>
      <w:r w:rsidRPr="009C665E">
        <w:rPr>
          <w:rFonts w:cs="Times New Roman"/>
          <w:lang w:val="en-US"/>
        </w:rPr>
        <w:t>inadéquates;</w:t>
      </w:r>
      <w:proofErr w:type="gramEnd"/>
    </w:p>
    <w:p w14:paraId="2C9091AF" w14:textId="77777777" w:rsidR="009C665E" w:rsidRPr="009C665E" w:rsidRDefault="009C665E" w:rsidP="009C665E">
      <w:pPr>
        <w:pStyle w:val="ParaNoNdepar-AltN"/>
        <w:numPr>
          <w:ilvl w:val="0"/>
          <w:numId w:val="25"/>
        </w:numPr>
        <w:spacing w:before="0" w:after="240"/>
        <w:ind w:left="1530"/>
        <w:rPr>
          <w:rFonts w:cs="Times New Roman"/>
          <w:lang w:val="fr-CA"/>
        </w:rPr>
      </w:pPr>
      <w:proofErr w:type="gramStart"/>
      <w:r w:rsidRPr="009C665E">
        <w:rPr>
          <w:rFonts w:cs="Times New Roman"/>
          <w:lang w:val="fr-CA"/>
        </w:rPr>
        <w:t>un</w:t>
      </w:r>
      <w:proofErr w:type="gramEnd"/>
      <w:r w:rsidRPr="009C665E">
        <w:rPr>
          <w:rFonts w:cs="Times New Roman"/>
          <w:lang w:val="fr-CA"/>
        </w:rPr>
        <w:t xml:space="preserve"> manque d’objectivité de la Couronne et de la police;</w:t>
      </w:r>
    </w:p>
    <w:p w14:paraId="4131A357" w14:textId="77777777" w:rsidR="009C665E" w:rsidRPr="009C665E" w:rsidRDefault="009C665E" w:rsidP="009C665E">
      <w:pPr>
        <w:pStyle w:val="ParaNoNdepar-AltN"/>
        <w:numPr>
          <w:ilvl w:val="0"/>
          <w:numId w:val="25"/>
        </w:numPr>
        <w:spacing w:before="0" w:after="240"/>
        <w:ind w:left="1530"/>
        <w:rPr>
          <w:rFonts w:cs="Times New Roman"/>
          <w:lang w:val="fr-CA"/>
        </w:rPr>
      </w:pPr>
      <w:proofErr w:type="gramStart"/>
      <w:r w:rsidRPr="009C665E">
        <w:rPr>
          <w:rFonts w:cs="Times New Roman"/>
          <w:lang w:val="fr-CA"/>
        </w:rPr>
        <w:t>de</w:t>
      </w:r>
      <w:proofErr w:type="gramEnd"/>
      <w:r w:rsidRPr="009C665E">
        <w:rPr>
          <w:rFonts w:cs="Times New Roman"/>
          <w:lang w:val="fr-CA"/>
        </w:rPr>
        <w:t xml:space="preserve"> faux aveux;</w:t>
      </w:r>
    </w:p>
    <w:p w14:paraId="2854265C" w14:textId="77777777" w:rsidR="009C665E" w:rsidRPr="009C665E" w:rsidRDefault="009C665E" w:rsidP="009C665E">
      <w:pPr>
        <w:pStyle w:val="ParaNoNdepar-AltN"/>
        <w:numPr>
          <w:ilvl w:val="0"/>
          <w:numId w:val="25"/>
        </w:numPr>
        <w:spacing w:before="0" w:after="240"/>
        <w:ind w:left="1530"/>
        <w:rPr>
          <w:rFonts w:cs="Times New Roman"/>
          <w:lang w:val="fr-CA"/>
        </w:rPr>
      </w:pPr>
      <w:proofErr w:type="gramStart"/>
      <w:r w:rsidRPr="009C665E">
        <w:rPr>
          <w:rFonts w:cs="Times New Roman"/>
          <w:lang w:val="fr-CA"/>
        </w:rPr>
        <w:t>de</w:t>
      </w:r>
      <w:proofErr w:type="gramEnd"/>
      <w:r w:rsidRPr="009C665E">
        <w:rPr>
          <w:rFonts w:cs="Times New Roman"/>
          <w:lang w:val="fr-CA"/>
        </w:rPr>
        <w:t xml:space="preserve"> faux plaidoyers de culpabilité;</w:t>
      </w:r>
    </w:p>
    <w:p w14:paraId="3F506486" w14:textId="77777777" w:rsidR="009C665E" w:rsidRPr="009C665E" w:rsidRDefault="009C665E" w:rsidP="009C665E">
      <w:pPr>
        <w:pStyle w:val="ParaNoNdepar-AltN"/>
        <w:numPr>
          <w:ilvl w:val="0"/>
          <w:numId w:val="25"/>
        </w:numPr>
        <w:spacing w:before="0" w:after="240"/>
        <w:ind w:left="1530"/>
        <w:rPr>
          <w:rFonts w:cs="Times New Roman"/>
          <w:lang w:val="en-US"/>
        </w:rPr>
      </w:pPr>
      <w:r w:rsidRPr="009C665E">
        <w:rPr>
          <w:rFonts w:cs="Times New Roman"/>
          <w:lang w:val="en-US"/>
        </w:rPr>
        <w:t>de la discrimination systémique.</w:t>
      </w:r>
    </w:p>
    <w:p w14:paraId="0A2D3F00" w14:textId="77777777" w:rsidR="009C665E" w:rsidRPr="009C665E" w:rsidRDefault="009C665E" w:rsidP="009C665E">
      <w:pPr>
        <w:pStyle w:val="ParaNoNdepar-AltN"/>
        <w:numPr>
          <w:ilvl w:val="0"/>
          <w:numId w:val="0"/>
        </w:numPr>
        <w:spacing w:before="0" w:after="720"/>
        <w:rPr>
          <w:rFonts w:cs="Times New Roman"/>
          <w:lang w:val="en-US"/>
        </w:rPr>
      </w:pPr>
      <w:r w:rsidRPr="009C665E">
        <w:rPr>
          <w:rFonts w:cs="Times New Roman"/>
          <w:lang w:val="en-US"/>
        </w:rPr>
        <w:t xml:space="preserve">(Voir M. Green, « Crown Culture and Wrongful Convictions : A Beginning » (2005), 29 C.R. (6th) 262; L. Stuesser, « Experts on Eyewitness Identification : I Just Don’t See It » (2006), 31 </w:t>
      </w:r>
      <w:r w:rsidRPr="009C665E">
        <w:rPr>
          <w:rFonts w:cs="Times New Roman"/>
          <w:i/>
          <w:lang w:val="en-US"/>
        </w:rPr>
        <w:t>Man. L.J.</w:t>
      </w:r>
      <w:r w:rsidRPr="009C665E">
        <w:rPr>
          <w:rFonts w:cs="Times New Roman"/>
          <w:lang w:val="en-US"/>
        </w:rPr>
        <w:t xml:space="preserve"> 543; B. MacFarlane, « Convicting The Innocent : A Triple Failure of the Justice System » (2006), 31 </w:t>
      </w:r>
      <w:r w:rsidRPr="009C665E">
        <w:rPr>
          <w:rFonts w:cs="Times New Roman"/>
          <w:i/>
          <w:lang w:val="en-US"/>
        </w:rPr>
        <w:t>Man. L.J.</w:t>
      </w:r>
      <w:r w:rsidRPr="009C665E">
        <w:rPr>
          <w:rFonts w:cs="Times New Roman"/>
          <w:lang w:val="en-US"/>
        </w:rPr>
        <w:t xml:space="preserve"> 403; Roach </w:t>
      </w:r>
      <w:r w:rsidRPr="009C665E">
        <w:rPr>
          <w:rFonts w:cs="Times New Roman"/>
        </w:rPr>
        <w:t>(2024)</w:t>
      </w:r>
      <w:r w:rsidRPr="009C665E">
        <w:rPr>
          <w:rFonts w:cs="Times New Roman"/>
          <w:lang w:val="en-US"/>
        </w:rPr>
        <w:t xml:space="preserve">; M. Vijaykumar, « A Crisis of Conscience : Miscarriages of Justice and Indigenous Defendants in Canada » (2018), 51 </w:t>
      </w:r>
      <w:r w:rsidRPr="009C665E">
        <w:rPr>
          <w:rFonts w:cs="Times New Roman"/>
          <w:i/>
          <w:lang w:val="en-US"/>
        </w:rPr>
        <w:t>U.B.C. L. Rev.</w:t>
      </w:r>
      <w:r w:rsidRPr="009C665E">
        <w:rPr>
          <w:rFonts w:cs="Times New Roman"/>
          <w:lang w:val="en-US"/>
        </w:rPr>
        <w:t xml:space="preserve"> 161; K. Roach, « Canada’s False Guilty Pleas : Lessons from The Canadian Registry of Wrongful Convictions » (2023), 4 </w:t>
      </w:r>
      <w:r w:rsidRPr="009C665E">
        <w:rPr>
          <w:rFonts w:cs="Times New Roman"/>
          <w:i/>
          <w:lang w:val="en-US"/>
        </w:rPr>
        <w:t xml:space="preserve">Wrongful Conv. L. Rev. </w:t>
      </w:r>
      <w:r w:rsidRPr="009C665E">
        <w:rPr>
          <w:rFonts w:cs="Times New Roman"/>
          <w:lang w:val="en-US"/>
        </w:rPr>
        <w:t>16.)</w:t>
      </w:r>
    </w:p>
    <w:p w14:paraId="04D6A012"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Beaucoup de ces caractéristiques procédurales et substantielles sont présentes dans la cause de M</w:t>
      </w:r>
      <w:r w:rsidRPr="009C665E">
        <w:rPr>
          <w:rFonts w:cs="Times New Roman"/>
          <w:vertAlign w:val="superscript"/>
          <w:lang w:val="fr-CA"/>
        </w:rPr>
        <w:t>me</w:t>
      </w:r>
      <w:r w:rsidRPr="009C665E">
        <w:rPr>
          <w:rFonts w:cs="Times New Roman"/>
          <w:lang w:val="fr-CA"/>
        </w:rPr>
        <w:t> Bouvette. Bien que la Couronne ne l’admette pas, l’appelante soutient avoir été déclarée coupable erronément (m.a., par. 5). La cause de M</w:t>
      </w:r>
      <w:r w:rsidRPr="009C665E">
        <w:rPr>
          <w:rFonts w:cs="Times New Roman"/>
          <w:vertAlign w:val="superscript"/>
          <w:lang w:val="fr-CA"/>
        </w:rPr>
        <w:t>me</w:t>
      </w:r>
      <w:r w:rsidRPr="009C665E">
        <w:rPr>
          <w:rFonts w:cs="Times New Roman"/>
          <w:lang w:val="fr-CA"/>
        </w:rPr>
        <w:t xml:space="preserve"> Bouvette a été revue indépendamment par une procureure nommée spécialement </w:t>
      </w:r>
      <w:r w:rsidRPr="009C665E">
        <w:rPr>
          <w:rFonts w:cs="Times New Roman"/>
          <w:lang w:val="fr-CA"/>
        </w:rPr>
        <w:lastRenderedPageBreak/>
        <w:t>à cette fin, qui a mené un examen exhaustif. Cet examen a mené en définitive à une requête en prorogation du délai d’appel (2022 BCCA 9) et à une demande d’autorisation de produire de nouveaux éléments de preuve qui remettaient directement en question la solidité de sa déclaration de culpabilité (motifs de la C.A., par. 5</w:t>
      </w:r>
      <w:r w:rsidRPr="009C665E">
        <w:rPr>
          <w:rFonts w:cs="Times New Roman"/>
          <w:lang w:val="fr-CA"/>
        </w:rPr>
        <w:noBreakHyphen/>
        <w:t>7). Elle n’avait pas eu accès à des renseignements non communiqués détaillés et importants qui avaient une incidence sur sa culpabilité et soulevaient de sérieuses questions quant à son plaidoyer de culpabilité. Elle était une accusée vulnérable issue d’un milieu désavantagé, et sa cause avait fait intervenir une preuve d’expert qui a été remise en question. Selon moi, les circonstances de cette cause donnaient amplement de motifs à la Cour d’appel pour examiner si un acquittement était justifié, même s’il était théoriquement possible de tenir un nouveau procès et que le dossier était [</w:t>
      </w:r>
      <w:r w:rsidRPr="009C665E">
        <w:rPr>
          <w:rFonts w:cs="Times New Roman"/>
          <w:smallCaps/>
          <w:lang w:val="fr-CA"/>
        </w:rPr>
        <w:t>traduction</w:t>
      </w:r>
      <w:r w:rsidRPr="009C665E">
        <w:rPr>
          <w:rFonts w:cs="Times New Roman"/>
          <w:lang w:val="fr-CA"/>
        </w:rPr>
        <w:t>] « incomplet » (par. 139).</w:t>
      </w:r>
    </w:p>
    <w:p w14:paraId="38C78770" w14:textId="77777777" w:rsidR="009C665E" w:rsidRPr="009C665E" w:rsidRDefault="009C665E" w:rsidP="009C665E">
      <w:pPr>
        <w:pStyle w:val="Title3LevelTitre3Niveau"/>
        <w:numPr>
          <w:ilvl w:val="2"/>
          <w:numId w:val="7"/>
        </w:numPr>
        <w:spacing w:before="0"/>
        <w:rPr>
          <w:rFonts w:cs="Times New Roman"/>
          <w:lang w:val="fr-CA"/>
        </w:rPr>
      </w:pPr>
      <w:r w:rsidRPr="009C665E">
        <w:rPr>
          <w:rFonts w:cs="Times New Roman"/>
          <w:lang w:val="fr-CA"/>
        </w:rPr>
        <w:t>Cadre d’application du pouvoir discrétionnaire de réparation lorsque le seuil du verdict déraisonnable est atteint</w:t>
      </w:r>
    </w:p>
    <w:p w14:paraId="59A3B6AB"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Comme l’ont souligné les parties et les intervenants, les cours d’appel ont réfléchi à la possibilité de prononcer un acquittement en recourant à différentes approches. Selon la revue de la jurisprudence de la Couronne (m.i., par. 67</w:t>
      </w:r>
      <w:r w:rsidRPr="009C665E">
        <w:rPr>
          <w:rFonts w:cs="Times New Roman"/>
          <w:lang w:val="fr-CA"/>
        </w:rPr>
        <w:noBreakHyphen/>
        <w:t xml:space="preserve">89), dans certaines causes, comme </w:t>
      </w:r>
      <w:r w:rsidRPr="009C665E">
        <w:rPr>
          <w:rFonts w:cs="Times New Roman"/>
          <w:i/>
          <w:lang w:val="fr-CA"/>
        </w:rPr>
        <w:t>Truscott</w:t>
      </w:r>
      <w:r w:rsidRPr="009C665E">
        <w:rPr>
          <w:rFonts w:cs="Times New Roman"/>
          <w:lang w:val="fr-CA"/>
        </w:rPr>
        <w:t xml:space="preserve">, les tribunaux se sont penchés sur le fond du dossier (voir aussi </w:t>
      </w:r>
      <w:r w:rsidRPr="009C665E">
        <w:rPr>
          <w:rFonts w:cs="Times New Roman"/>
          <w:i/>
          <w:lang w:val="fr-CA"/>
        </w:rPr>
        <w:t>Ostrowski</w:t>
      </w:r>
      <w:r w:rsidRPr="009C665E">
        <w:rPr>
          <w:rFonts w:cs="Times New Roman"/>
          <w:lang w:val="fr-CA"/>
        </w:rPr>
        <w:t xml:space="preserve">; </w:t>
      </w:r>
      <w:r w:rsidRPr="009C665E">
        <w:rPr>
          <w:rFonts w:cs="Times New Roman"/>
          <w:i/>
          <w:lang w:val="fr-CA"/>
        </w:rPr>
        <w:t>Walsh</w:t>
      </w:r>
      <w:r w:rsidRPr="009C665E">
        <w:rPr>
          <w:rFonts w:cs="Times New Roman"/>
          <w:lang w:val="fr-CA"/>
        </w:rPr>
        <w:t xml:space="preserve">), tandis que dans d’autres, des facteurs relatifs au caractère équitable ont été les fondements principaux de l’acquittement (voir, p. ex., </w:t>
      </w:r>
      <w:r w:rsidRPr="009C665E">
        <w:rPr>
          <w:rFonts w:cs="Times New Roman"/>
          <w:i/>
          <w:lang w:val="fr-CA"/>
        </w:rPr>
        <w:t>Dunlop</w:t>
      </w:r>
      <w:r w:rsidRPr="009C665E">
        <w:rPr>
          <w:rFonts w:cs="Times New Roman"/>
          <w:lang w:val="fr-CA"/>
        </w:rPr>
        <w:t>, p. 900;</w:t>
      </w:r>
      <w:r w:rsidRPr="009C665E">
        <w:rPr>
          <w:rFonts w:cs="Times New Roman"/>
          <w:i/>
          <w:lang w:val="fr-CA"/>
        </w:rPr>
        <w:t xml:space="preserve"> Sophonow</w:t>
      </w:r>
      <w:r w:rsidRPr="009C665E">
        <w:rPr>
          <w:rFonts w:cs="Times New Roman"/>
          <w:lang w:val="fr-CA"/>
        </w:rPr>
        <w:t xml:space="preserve">). Parfois, il s’est agi d’une combinaison des deux (voir, p. ex., </w:t>
      </w:r>
      <w:r w:rsidRPr="009C665E">
        <w:rPr>
          <w:rFonts w:cs="Times New Roman"/>
          <w:i/>
          <w:lang w:val="fr-CA"/>
        </w:rPr>
        <w:t>D.R.S.</w:t>
      </w:r>
      <w:r w:rsidRPr="009C665E">
        <w:rPr>
          <w:rFonts w:cs="Times New Roman"/>
          <w:lang w:val="fr-CA"/>
        </w:rPr>
        <w:t>, par. 18</w:t>
      </w:r>
      <w:r w:rsidRPr="009C665E">
        <w:rPr>
          <w:rFonts w:cs="Times New Roman"/>
          <w:lang w:val="fr-CA"/>
        </w:rPr>
        <w:noBreakHyphen/>
        <w:t xml:space="preserve">19). Il est toutefois clair que, dans tous les cas, les tribunaux ont </w:t>
      </w:r>
      <w:r w:rsidRPr="009C665E">
        <w:rPr>
          <w:rFonts w:cs="Times New Roman"/>
          <w:lang w:val="fr-CA"/>
        </w:rPr>
        <w:lastRenderedPageBreak/>
        <w:t>conclu, sur le fondement des circonstances uniques dont ils étaient saisis, qu’un acquittement était dans l’intérêt de la justice. À mon avis, la disparité dans les approches reflète la variété dans les faits et les circonstances à laquelle il faut s’attendre dans des causes d’erreur judiciaire, et appelle à une approche qui laisse aux tribunaux le pouvoir discrétionnaire de mettre en balance les facteurs qui ont un poids déterminant dans un cas donné.</w:t>
      </w:r>
    </w:p>
    <w:p w14:paraId="78A395EF"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Comme je l’ai déjà noté, pour déterminer si un acquittement est dans l’intérêt de la justice, les cours d’appel doivent prendre en compte la nature et les répercussions de l’erreur, la possibilité de tenir un nouveau procès, la probabilité qu’un acquittement soit prononcé, ainsi que le caractère équitable dans un cas donné. Dans la plupart des causes, pour qu’elle inscrive un acquittement, la cour devra être convaincue que cette issue est plus probable qu’improbable en appliquant la norme de la preuve hors de tout doute raisonnable. Bien que le caractère équitable ne puisse pas, à lui seul, justifier un acquittement, il est pertinent dans la mise en balance d’ensemble à laquelle procède le tribunal, particulièrement lorsque l’erreur judiciaire a </w:t>
      </w:r>
      <w:proofErr w:type="gramStart"/>
      <w:r w:rsidRPr="009C665E">
        <w:rPr>
          <w:rFonts w:cs="Times New Roman"/>
          <w:lang w:val="fr-CA"/>
        </w:rPr>
        <w:t>eu</w:t>
      </w:r>
      <w:proofErr w:type="gramEnd"/>
      <w:r w:rsidRPr="009C665E">
        <w:rPr>
          <w:rFonts w:cs="Times New Roman"/>
          <w:lang w:val="fr-CA"/>
        </w:rPr>
        <w:t xml:space="preserve"> des répercussions sur sa capacité de juger du bien</w:t>
      </w:r>
      <w:r w:rsidRPr="009C665E">
        <w:rPr>
          <w:rFonts w:cs="Times New Roman"/>
          <w:lang w:val="fr-CA"/>
        </w:rPr>
        <w:noBreakHyphen/>
        <w:t>fondé de la cause. Un tel cadre concentre l’attention de la cour d’appel sur les facteurs pertinents pour la question de savoir si un acquittement est approprié, tout en offrant la flexibilité voulue pour qu’il puisse s’adapter aux causes futures.</w:t>
      </w:r>
    </w:p>
    <w:p w14:paraId="36BBED88" w14:textId="67F7B3A6" w:rsidR="009C665E" w:rsidRPr="009C665E" w:rsidRDefault="009C665E" w:rsidP="00E3755F">
      <w:pPr>
        <w:pStyle w:val="Title4LevelTitre4Niveau"/>
        <w:numPr>
          <w:ilvl w:val="1"/>
          <w:numId w:val="6"/>
        </w:numPr>
        <w:spacing w:before="0"/>
        <w:ind w:left="1134" w:hanging="567"/>
        <w:rPr>
          <w:rFonts w:cs="Times New Roman"/>
          <w:lang w:val="fr-CA"/>
        </w:rPr>
      </w:pPr>
      <w:r w:rsidRPr="009C665E">
        <w:rPr>
          <w:rFonts w:cs="Times New Roman"/>
          <w:lang w:val="fr-CA"/>
        </w:rPr>
        <w:t>Nature et répercussions de l’erreur judiciaire</w:t>
      </w:r>
    </w:p>
    <w:p w14:paraId="6294500C" w14:textId="1B8D0646" w:rsidR="009C665E" w:rsidRPr="009C665E" w:rsidRDefault="009C665E" w:rsidP="002109E2">
      <w:pPr>
        <w:pStyle w:val="ParaNoNdepar-AltN"/>
        <w:rPr>
          <w:lang w:val="fr-CA"/>
        </w:rPr>
      </w:pPr>
      <w:r w:rsidRPr="009C665E">
        <w:rPr>
          <w:lang w:val="fr-CA"/>
        </w:rPr>
        <w:lastRenderedPageBreak/>
        <w:t xml:space="preserve">La nature de l’erreur judiciaire particulière en cause et ses répercussions sur les procédures constituent un facteur contextuel important dans l’exercice de mise en balance effectué par une cour d’appel pour déterminer la mesure corrective appropriée. Une cour d’appel est justifiée de tenir compte de la nature de l’erreur judiciaire avérée pour déterminer la réparation appropriée — sans quoi la démarche pourrait entraîner une injustice et la perpétuation d’une déclaration de culpabilité injustifiée. Or, éviter de telles déclarations de culpabilité est un des objectifs fondamentaux de notre système de justice </w:t>
      </w:r>
      <w:r w:rsidRPr="009C665E">
        <w:rPr>
          <w:lang w:val="fr-CA" w:bidi="en-US"/>
        </w:rPr>
        <w:t>(</w:t>
      </w:r>
      <w:r w:rsidRPr="009C665E">
        <w:rPr>
          <w:i/>
          <w:lang w:val="fr-CA" w:bidi="en-US"/>
        </w:rPr>
        <w:t>R. c. McClure</w:t>
      </w:r>
      <w:r w:rsidRPr="009C665E">
        <w:rPr>
          <w:lang w:val="fr-CA" w:bidi="en-US"/>
        </w:rPr>
        <w:t>, 2001 CSC 14, [2001] 1</w:t>
      </w:r>
      <w:r w:rsidR="002109E2" w:rsidRPr="002109E2">
        <w:t xml:space="preserve"> </w:t>
      </w:r>
      <w:r w:rsidR="002109E2" w:rsidRPr="002109E2">
        <w:rPr>
          <w:rFonts w:cs="Times New Roman"/>
          <w:lang w:val="fr-CA" w:bidi="en-US"/>
        </w:rPr>
        <w:t>R.C.S. 445, par. 40</w:t>
      </w:r>
      <w:r w:rsidRPr="009C665E">
        <w:rPr>
          <w:lang w:val="fr-CA" w:bidi="en-US"/>
        </w:rPr>
        <w:t>). Dans des circonstances comme celles de M</w:t>
      </w:r>
      <w:r w:rsidRPr="009C665E">
        <w:rPr>
          <w:vertAlign w:val="superscript"/>
          <w:lang w:val="fr-CA" w:bidi="en-US"/>
        </w:rPr>
        <w:t>me</w:t>
      </w:r>
      <w:r w:rsidRPr="009C665E">
        <w:rPr>
          <w:lang w:val="fr-CA" w:bidi="en-US"/>
        </w:rPr>
        <w:t xml:space="preserve"> Bouvette, de M. Truscott et d’autres, la nature de l’erreur judiciaire </w:t>
      </w:r>
      <w:proofErr w:type="gramStart"/>
      <w:r w:rsidRPr="009C665E">
        <w:rPr>
          <w:lang w:val="fr-CA" w:bidi="en-US"/>
        </w:rPr>
        <w:t>a</w:t>
      </w:r>
      <w:proofErr w:type="gramEnd"/>
      <w:r w:rsidRPr="009C665E">
        <w:rPr>
          <w:lang w:val="fr-CA" w:bidi="en-US"/>
        </w:rPr>
        <w:t xml:space="preserve"> des répercussions sur leur capacité à autrement faire valoir de manière convaincante que le verdict rendu contre eux est déraisonnable (voir, p. ex., les motifs de la C.A., par. 130</w:t>
      </w:r>
      <w:r w:rsidRPr="009C665E">
        <w:rPr>
          <w:lang w:val="fr-CA" w:bidi="en-US"/>
        </w:rPr>
        <w:noBreakHyphen/>
        <w:t>131).</w:t>
      </w:r>
    </w:p>
    <w:p w14:paraId="6ECFCDCC"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Les multiples commissions d’enquête nous ont appris qu’il existe des caractéristiques communes aux affaires de déclarations de culpabilité injustifiées qui méritent une attention particulière lorsqu’une cour d’appel détermine quelle serait la mesure corrective appropriée après avoir autorisé l’appel pour cause d’erreur judiciaire. La nature de l’erreur peut miner le fondement probatoire de la culpabilité, peut donner un éclairage sur le fondement de l’accusation originale, et peut avoir une incidence sur tout nouveau procès lorsqu’il est théoriquement possible d’en tenir un. Ce facteur a eu une incidence sur l’analyse de la réparation par les tribunaux de plusieurs façons, y compris l’effet sur un nouveau procès (voir, p. ex., </w:t>
      </w:r>
      <w:r w:rsidRPr="009C665E">
        <w:rPr>
          <w:rFonts w:cs="Times New Roman"/>
          <w:i/>
          <w:lang w:val="fr-CA" w:bidi="en-US"/>
        </w:rPr>
        <w:t>R. c. Doyle</w:t>
      </w:r>
      <w:r w:rsidRPr="009C665E">
        <w:rPr>
          <w:rFonts w:cs="Times New Roman"/>
          <w:lang w:val="fr-CA" w:bidi="en-US"/>
        </w:rPr>
        <w:t xml:space="preserve">, 2023 ONCA 427, 428 </w:t>
      </w:r>
      <w:r w:rsidRPr="009C665E">
        <w:rPr>
          <w:rFonts w:cs="Times New Roman"/>
          <w:lang w:val="fr-CA" w:bidi="en-US"/>
        </w:rPr>
        <w:lastRenderedPageBreak/>
        <w:t xml:space="preserve">C.C.C. (3d) 293, par. 12, quant à la preuve d’expert; voir aussi </w:t>
      </w:r>
      <w:r w:rsidRPr="009C665E">
        <w:rPr>
          <w:rFonts w:cs="Times New Roman"/>
          <w:i/>
          <w:lang w:val="fr-CA" w:bidi="en-US"/>
        </w:rPr>
        <w:t>Sophonow</w:t>
      </w:r>
      <w:r w:rsidRPr="009C665E">
        <w:rPr>
          <w:rFonts w:cs="Times New Roman"/>
          <w:lang w:val="fr-CA" w:bidi="en-US"/>
        </w:rPr>
        <w:t>, quant à la preuve d’identification</w:t>
      </w:r>
      <w:r w:rsidRPr="009C665E">
        <w:rPr>
          <w:rFonts w:cs="Times New Roman"/>
          <w:lang w:val="fr-CA"/>
        </w:rPr>
        <w:t>).</w:t>
      </w:r>
    </w:p>
    <w:p w14:paraId="35170B76"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En l’espèce, il y a quatre facteurs de ce type.</w:t>
      </w:r>
    </w:p>
    <w:p w14:paraId="501F8D8D"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Premièrement, M</w:t>
      </w:r>
      <w:r w:rsidRPr="009C665E">
        <w:rPr>
          <w:rFonts w:cs="Times New Roman"/>
          <w:vertAlign w:val="superscript"/>
          <w:lang w:val="fr-CA"/>
        </w:rPr>
        <w:t>me</w:t>
      </w:r>
      <w:r w:rsidRPr="009C665E">
        <w:rPr>
          <w:rFonts w:cs="Times New Roman"/>
          <w:lang w:val="fr-CA"/>
        </w:rPr>
        <w:t> Bouvette a été privée de la communication d’éléments de preuve d’une importance considérable pour sa défense (motifs de la C.A., par. 93</w:t>
      </w:r>
      <w:r w:rsidRPr="009C665E">
        <w:rPr>
          <w:rFonts w:cs="Times New Roman"/>
          <w:lang w:val="fr-CA"/>
        </w:rPr>
        <w:noBreakHyphen/>
        <w:t xml:space="preserve">112). Le droit à la communication de la preuve est protégé par l’art. 7 de la </w:t>
      </w:r>
      <w:r w:rsidRPr="009C665E">
        <w:rPr>
          <w:rFonts w:cs="Times New Roman"/>
          <w:i/>
          <w:lang w:val="fr-CA"/>
        </w:rPr>
        <w:t>Charte canadienne des droits et libertés</w:t>
      </w:r>
      <w:r w:rsidRPr="009C665E">
        <w:rPr>
          <w:rFonts w:cs="Times New Roman"/>
          <w:lang w:val="fr-CA"/>
        </w:rPr>
        <w:t>, qui garantit la capacité de l’accusé de présenter une défense pleine et entière (</w:t>
      </w:r>
      <w:r w:rsidRPr="009C665E">
        <w:rPr>
          <w:rFonts w:cs="Times New Roman"/>
          <w:i/>
          <w:lang w:val="fr-CA"/>
        </w:rPr>
        <w:t>R. c. Taillefer</w:t>
      </w:r>
      <w:r w:rsidRPr="009C665E">
        <w:rPr>
          <w:rFonts w:cs="Times New Roman"/>
          <w:lang w:val="fr-CA"/>
        </w:rPr>
        <w:t xml:space="preserve">, 2003 CSC 70, [2003] 3 R.C.S. 307, par. 61; </w:t>
      </w:r>
      <w:r w:rsidRPr="009C665E">
        <w:rPr>
          <w:rFonts w:cs="Times New Roman"/>
          <w:i/>
          <w:lang w:val="fr-CA"/>
        </w:rPr>
        <w:t>R. c. Dixon</w:t>
      </w:r>
      <w:r w:rsidRPr="009C665E">
        <w:rPr>
          <w:rFonts w:cs="Times New Roman"/>
          <w:lang w:val="fr-CA"/>
        </w:rPr>
        <w:t xml:space="preserve">, [1998] 1 R.C.S. 244, par. 22). Les enquêtes commandées sur les déclarations de culpabilité injustifiées de </w:t>
      </w:r>
      <w:r w:rsidRPr="009C665E">
        <w:rPr>
          <w:rFonts w:eastAsia="Times New Roman" w:cs="Times New Roman"/>
          <w:szCs w:val="24"/>
          <w:lang w:val="fr-CA" w:eastAsia="en-CA"/>
        </w:rPr>
        <w:t>Thomas Sophonow, James Driskell et Donald Marshall Jr. ont souligné que l’omission de communiquer des renseignements importants est une cause substantielle qui contribue aux déclarations de culpabilité injustifiées (voir Nouvelle</w:t>
      </w:r>
      <w:r w:rsidRPr="009C665E">
        <w:rPr>
          <w:rFonts w:eastAsia="Times New Roman" w:cs="Times New Roman"/>
          <w:szCs w:val="24"/>
          <w:lang w:val="fr-CA" w:eastAsia="en-CA"/>
        </w:rPr>
        <w:noBreakHyphen/>
        <w:t xml:space="preserve">Écosse, </w:t>
      </w:r>
      <w:r w:rsidRPr="009C665E">
        <w:rPr>
          <w:rFonts w:eastAsia="Times New Roman" w:cs="Times New Roman"/>
          <w:i/>
          <w:szCs w:val="24"/>
          <w:lang w:val="fr-CA" w:eastAsia="en-CA"/>
        </w:rPr>
        <w:t>Royal Commission on the Donald Marshall, Jr., Prosecution : Digest of Finding and Recommendations</w:t>
      </w:r>
      <w:r w:rsidRPr="009C665E">
        <w:rPr>
          <w:rFonts w:eastAsia="Times New Roman" w:cs="Times New Roman"/>
          <w:szCs w:val="24"/>
          <w:lang w:val="fr-CA" w:eastAsia="en-CA"/>
        </w:rPr>
        <w:t xml:space="preserve"> (1989), p. 3</w:t>
      </w:r>
      <w:r w:rsidRPr="009C665E">
        <w:rPr>
          <w:rFonts w:eastAsia="Times New Roman" w:cs="Times New Roman"/>
          <w:szCs w:val="24"/>
          <w:lang w:val="fr-CA" w:eastAsia="en-CA"/>
        </w:rPr>
        <w:noBreakHyphen/>
        <w:t>4 et 34</w:t>
      </w:r>
      <w:r w:rsidRPr="009C665E">
        <w:rPr>
          <w:rFonts w:eastAsia="Times New Roman" w:cs="Times New Roman"/>
          <w:szCs w:val="24"/>
          <w:lang w:val="fr-CA" w:eastAsia="en-CA"/>
        </w:rPr>
        <w:noBreakHyphen/>
        <w:t xml:space="preserve">35; voir aussi </w:t>
      </w:r>
      <w:r w:rsidRPr="009C665E">
        <w:rPr>
          <w:rFonts w:eastAsia="Times New Roman" w:cs="Times New Roman"/>
          <w:i/>
          <w:szCs w:val="24"/>
          <w:lang w:val="fr-CA" w:eastAsia="en-CA"/>
        </w:rPr>
        <w:t>Rapport Marshall</w:t>
      </w:r>
      <w:r w:rsidRPr="009C665E">
        <w:rPr>
          <w:rFonts w:eastAsia="Times New Roman" w:cs="Times New Roman"/>
          <w:szCs w:val="24"/>
          <w:lang w:val="fr-CA" w:eastAsia="en-CA"/>
        </w:rPr>
        <w:t>, vol. </w:t>
      </w:r>
      <w:r w:rsidRPr="009C665E">
        <w:rPr>
          <w:rFonts w:eastAsia="Times New Roman" w:cs="Times New Roman"/>
          <w:szCs w:val="24"/>
          <w:lang w:val="en-US" w:eastAsia="en-CA"/>
        </w:rPr>
        <w:t xml:space="preserve">I, p. 238; P. deC. Cory, </w:t>
      </w:r>
      <w:r w:rsidRPr="009C665E">
        <w:rPr>
          <w:rFonts w:eastAsia="Times New Roman" w:cs="Times New Roman"/>
          <w:i/>
          <w:szCs w:val="24"/>
          <w:lang w:val="en-US" w:eastAsia="en-CA"/>
        </w:rPr>
        <w:t xml:space="preserve">The Inquiry Regarding Thomas </w:t>
      </w:r>
      <w:proofErr w:type="gramStart"/>
      <w:r w:rsidRPr="009C665E">
        <w:rPr>
          <w:rFonts w:eastAsia="Times New Roman" w:cs="Times New Roman"/>
          <w:i/>
          <w:szCs w:val="24"/>
          <w:lang w:val="en-US" w:eastAsia="en-CA"/>
        </w:rPr>
        <w:t>Sophonow  The</w:t>
      </w:r>
      <w:proofErr w:type="gramEnd"/>
      <w:r w:rsidRPr="009C665E">
        <w:rPr>
          <w:rFonts w:eastAsia="Times New Roman" w:cs="Times New Roman"/>
          <w:i/>
          <w:szCs w:val="24"/>
          <w:lang w:val="en-US" w:eastAsia="en-CA"/>
        </w:rPr>
        <w:t xml:space="preserve"> Investigation, Prosecution and Consideration of Entitlement to Compensation </w:t>
      </w:r>
      <w:r w:rsidRPr="009C665E">
        <w:rPr>
          <w:rFonts w:eastAsia="Times New Roman" w:cs="Times New Roman"/>
          <w:szCs w:val="24"/>
          <w:lang w:val="en-US" w:eastAsia="en-CA"/>
        </w:rPr>
        <w:t>(2001) (« </w:t>
      </w:r>
      <w:r w:rsidRPr="009C665E">
        <w:rPr>
          <w:rFonts w:eastAsia="Times New Roman" w:cs="Times New Roman"/>
          <w:i/>
          <w:szCs w:val="24"/>
          <w:lang w:val="en-US" w:eastAsia="en-CA"/>
        </w:rPr>
        <w:t>Rapport Sophonow</w:t>
      </w:r>
      <w:r w:rsidRPr="009C665E">
        <w:rPr>
          <w:rFonts w:eastAsia="Times New Roman" w:cs="Times New Roman"/>
          <w:szCs w:val="24"/>
          <w:lang w:val="en-US" w:eastAsia="en-CA"/>
        </w:rPr>
        <w:t> »), p. 83;</w:t>
      </w:r>
      <w:r w:rsidRPr="009C665E">
        <w:rPr>
          <w:rFonts w:cs="Times New Roman"/>
          <w:lang w:val="en-US"/>
        </w:rPr>
        <w:t xml:space="preserve"> P. J. LeSage, </w:t>
      </w:r>
      <w:r w:rsidRPr="009C665E">
        <w:rPr>
          <w:rFonts w:cs="Times New Roman"/>
          <w:i/>
          <w:lang w:val="en-US"/>
        </w:rPr>
        <w:t>Report of the Commission of Inquiry into certain aspects of the trial and conviction of James Driskell</w:t>
      </w:r>
      <w:r w:rsidRPr="009C665E">
        <w:rPr>
          <w:rFonts w:cs="Times New Roman"/>
          <w:lang w:val="en-US"/>
        </w:rPr>
        <w:t xml:space="preserve"> (2007) (« </w:t>
      </w:r>
      <w:r w:rsidRPr="009C665E">
        <w:rPr>
          <w:rFonts w:eastAsia="Times New Roman" w:cs="Times New Roman"/>
          <w:i/>
          <w:szCs w:val="24"/>
          <w:lang w:val="en-US" w:eastAsia="en-CA" w:bidi="en-US"/>
        </w:rPr>
        <w:t>Rapport Driskell</w:t>
      </w:r>
      <w:r w:rsidRPr="009C665E">
        <w:rPr>
          <w:rFonts w:eastAsia="Times New Roman" w:cs="Times New Roman"/>
          <w:szCs w:val="24"/>
          <w:lang w:val="en-US" w:eastAsia="en-CA" w:bidi="en-US"/>
        </w:rPr>
        <w:t> »),</w:t>
      </w:r>
      <w:r w:rsidRPr="009C665E">
        <w:rPr>
          <w:rFonts w:eastAsia="Times New Roman" w:cs="Times New Roman"/>
          <w:i/>
          <w:szCs w:val="24"/>
          <w:lang w:val="en-US" w:eastAsia="en-CA" w:bidi="en-US"/>
        </w:rPr>
        <w:t xml:space="preserve"> </w:t>
      </w:r>
      <w:r w:rsidRPr="009C665E">
        <w:rPr>
          <w:rFonts w:eastAsia="Times New Roman" w:cs="Times New Roman"/>
          <w:szCs w:val="24"/>
          <w:lang w:val="en-US" w:eastAsia="en-CA" w:bidi="en-US"/>
        </w:rPr>
        <w:t>p. 6)</w:t>
      </w:r>
      <w:r w:rsidRPr="009C665E">
        <w:rPr>
          <w:rFonts w:eastAsia="Times New Roman" w:cs="Times New Roman"/>
          <w:szCs w:val="24"/>
          <w:lang w:val="en-US" w:eastAsia="en-CA"/>
        </w:rPr>
        <w:t xml:space="preserve">. </w:t>
      </w:r>
      <w:r w:rsidRPr="009C665E">
        <w:rPr>
          <w:rFonts w:eastAsia="Times New Roman" w:cs="Times New Roman"/>
          <w:szCs w:val="24"/>
          <w:lang w:val="fr-CA" w:eastAsia="en-CA"/>
        </w:rPr>
        <w:t>Le commissaire Cory a souligné le dommage [</w:t>
      </w:r>
      <w:r w:rsidRPr="009C665E">
        <w:rPr>
          <w:rFonts w:eastAsia="Times New Roman" w:cs="Times New Roman"/>
          <w:smallCaps/>
          <w:szCs w:val="24"/>
          <w:lang w:val="fr-CA" w:eastAsia="en-CA"/>
        </w:rPr>
        <w:t>traduction</w:t>
      </w:r>
      <w:r w:rsidRPr="009C665E">
        <w:rPr>
          <w:rFonts w:eastAsia="Times New Roman" w:cs="Times New Roman"/>
          <w:szCs w:val="24"/>
          <w:lang w:val="fr-CA" w:eastAsia="en-CA"/>
        </w:rPr>
        <w:t xml:space="preserve">] « irréparable » causé par l’absence de communication des éléments de preuve dans la cause de M. Sophonow (voir, p. ex., </w:t>
      </w:r>
      <w:r w:rsidRPr="009C665E">
        <w:rPr>
          <w:rFonts w:eastAsia="Times New Roman" w:cs="Times New Roman"/>
          <w:i/>
          <w:szCs w:val="24"/>
          <w:lang w:val="fr-CA" w:eastAsia="en-CA" w:bidi="en-US"/>
        </w:rPr>
        <w:t>Rapport Sophonow</w:t>
      </w:r>
      <w:r w:rsidRPr="009C665E">
        <w:rPr>
          <w:rFonts w:eastAsia="Times New Roman" w:cs="Times New Roman"/>
          <w:szCs w:val="24"/>
          <w:lang w:val="fr-CA" w:eastAsia="en-CA" w:bidi="en-US"/>
        </w:rPr>
        <w:t>, p. 83</w:t>
      </w:r>
      <w:r w:rsidRPr="009C665E">
        <w:rPr>
          <w:rFonts w:eastAsia="Times New Roman" w:cs="Times New Roman"/>
          <w:szCs w:val="24"/>
          <w:lang w:val="fr-CA" w:eastAsia="en-CA"/>
        </w:rPr>
        <w:t xml:space="preserve">). </w:t>
      </w:r>
      <w:r w:rsidRPr="009C665E">
        <w:rPr>
          <w:rFonts w:eastAsia="Times New Roman" w:cs="Times New Roman"/>
          <w:szCs w:val="24"/>
          <w:lang w:val="fr-CA" w:eastAsia="en-CA"/>
        </w:rPr>
        <w:lastRenderedPageBreak/>
        <w:t xml:space="preserve">L’omission de communiquer tous les éléments de preuve pertinents a privé </w:t>
      </w:r>
      <w:r w:rsidRPr="009C665E">
        <w:rPr>
          <w:rFonts w:cs="Times New Roman"/>
          <w:lang w:val="fr-CA" w:bidi="en-US"/>
        </w:rPr>
        <w:t>Donald Marshall Jr. de sa liberté durant 11 ans pour un crime qu’il n’avait pas commis (</w:t>
      </w:r>
      <w:r w:rsidRPr="009C665E">
        <w:rPr>
          <w:rFonts w:eastAsia="Times New Roman" w:cs="Times New Roman"/>
          <w:i/>
          <w:szCs w:val="24"/>
          <w:lang w:val="fr-CA" w:eastAsia="en-CA"/>
        </w:rPr>
        <w:t>Rapport Marshall</w:t>
      </w:r>
      <w:r w:rsidRPr="009C665E">
        <w:rPr>
          <w:rFonts w:eastAsia="Times New Roman" w:cs="Times New Roman"/>
          <w:szCs w:val="24"/>
          <w:lang w:val="fr-CA" w:eastAsia="en-CA"/>
        </w:rPr>
        <w:t xml:space="preserve">, vol. I, </w:t>
      </w:r>
      <w:r w:rsidRPr="009C665E">
        <w:rPr>
          <w:rFonts w:cs="Times New Roman"/>
          <w:lang w:val="fr-CA" w:bidi="en-US"/>
        </w:rPr>
        <w:t>p. 238 et suiv.).</w:t>
      </w:r>
    </w:p>
    <w:p w14:paraId="65863256"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bidi="en-US"/>
        </w:rPr>
        <w:t>Comme un commentateur juridique l’a exprimé, [</w:t>
      </w:r>
      <w:r w:rsidRPr="009C665E">
        <w:rPr>
          <w:rFonts w:cs="Times New Roman"/>
          <w:smallCaps/>
          <w:lang w:val="fr-CA" w:bidi="en-US"/>
        </w:rPr>
        <w:t>traduction</w:t>
      </w:r>
      <w:r w:rsidRPr="009C665E">
        <w:rPr>
          <w:rFonts w:cs="Times New Roman"/>
          <w:lang w:val="fr-CA" w:bidi="en-US"/>
        </w:rPr>
        <w:t xml:space="preserve">] « [t]outes les déclarations de culpabilités canadiennes passées injustifiées sont attribuables, au moins en partie, à l’omission par la Couronne de communiquer pleinement la preuve à la défense » (Green, p. 265; voir, p. ex., </w:t>
      </w:r>
      <w:r w:rsidRPr="009C665E">
        <w:rPr>
          <w:rFonts w:cs="Times New Roman"/>
          <w:i/>
          <w:lang w:val="fr-CA" w:bidi="en-US"/>
        </w:rPr>
        <w:t>Truscott</w:t>
      </w:r>
      <w:r w:rsidRPr="009C665E">
        <w:rPr>
          <w:rFonts w:cs="Times New Roman"/>
          <w:lang w:val="fr-CA" w:bidi="en-US"/>
        </w:rPr>
        <w:t xml:space="preserve">; </w:t>
      </w:r>
      <w:r w:rsidRPr="009C665E">
        <w:rPr>
          <w:rFonts w:cs="Times New Roman"/>
          <w:i/>
          <w:lang w:val="fr-CA" w:bidi="en-US"/>
        </w:rPr>
        <w:t>Walsh</w:t>
      </w:r>
      <w:r w:rsidRPr="009C665E">
        <w:rPr>
          <w:rFonts w:cs="Times New Roman"/>
          <w:lang w:val="fr-CA" w:bidi="en-US"/>
        </w:rPr>
        <w:t xml:space="preserve">; </w:t>
      </w:r>
      <w:r w:rsidRPr="009C665E">
        <w:rPr>
          <w:rFonts w:cs="Times New Roman"/>
          <w:i/>
          <w:lang w:val="fr-CA" w:bidi="en-US"/>
        </w:rPr>
        <w:t>Henry</w:t>
      </w:r>
      <w:r w:rsidRPr="009C665E">
        <w:rPr>
          <w:rFonts w:cs="Times New Roman"/>
          <w:lang w:val="fr-CA" w:bidi="en-US"/>
        </w:rPr>
        <w:t xml:space="preserve">). L’absence de communication fait également entrer en jeu l’obligation de la Couronne de communiquer à la défense tous les éléments de preuve pertinents, la pertinence étant définie largement pour garantir que l’accusé dispose de tous les éléments de preuve qui pourraient être utiles pour que la Couronne fasse la preuve de sa cause, pour que l’accusé fasse valoir un moyen de défense, ou pour qu’il prenne une décision qui pourrait avoir une répercussion sur la conduite d’une défense </w:t>
      </w:r>
      <w:r w:rsidRPr="009C665E">
        <w:rPr>
          <w:rFonts w:cs="Times New Roman"/>
          <w:lang w:val="fr-CA"/>
        </w:rPr>
        <w:t>(</w:t>
      </w:r>
      <w:r w:rsidRPr="009C665E">
        <w:rPr>
          <w:rFonts w:cs="Times New Roman"/>
          <w:i/>
          <w:lang w:val="fr-CA"/>
        </w:rPr>
        <w:t>Taillefer</w:t>
      </w:r>
      <w:r w:rsidRPr="009C665E">
        <w:rPr>
          <w:rFonts w:cs="Times New Roman"/>
          <w:lang w:val="fr-CA"/>
        </w:rPr>
        <w:t>, par. 59). Cette obligation découle naturellement du rôle des procureurs de la Couronne à titre de « ministres de la justice » dans le système de justice pénale (</w:t>
      </w:r>
      <w:r w:rsidRPr="009C665E">
        <w:rPr>
          <w:rFonts w:cs="Times New Roman"/>
          <w:i/>
          <w:lang w:val="fr-CA"/>
        </w:rPr>
        <w:t>Stinchcombe</w:t>
      </w:r>
      <w:r w:rsidRPr="009C665E">
        <w:rPr>
          <w:rFonts w:cs="Times New Roman"/>
          <w:lang w:val="fr-CA"/>
        </w:rPr>
        <w:t xml:space="preserve">, p. 340; voir aussi p. 333, citant </w:t>
      </w:r>
      <w:r w:rsidRPr="009C665E">
        <w:rPr>
          <w:rFonts w:cs="Times New Roman"/>
          <w:i/>
          <w:lang w:val="fr-CA"/>
        </w:rPr>
        <w:t>Boucher</w:t>
      </w:r>
      <w:r w:rsidRPr="009C665E">
        <w:rPr>
          <w:rFonts w:cs="Times New Roman"/>
          <w:lang w:val="fr-CA"/>
        </w:rPr>
        <w:t>, p. 23</w:t>
      </w:r>
      <w:r w:rsidRPr="009C665E">
        <w:rPr>
          <w:rFonts w:cs="Times New Roman"/>
          <w:lang w:val="fr-CA"/>
        </w:rPr>
        <w:noBreakHyphen/>
        <w:t>24).</w:t>
      </w:r>
    </w:p>
    <w:p w14:paraId="6845FE75"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L’omission par la Couronne d’avoir communiqué intégralement la preuve à M</w:t>
      </w:r>
      <w:r w:rsidRPr="009C665E">
        <w:rPr>
          <w:rFonts w:cs="Times New Roman"/>
          <w:vertAlign w:val="superscript"/>
          <w:lang w:val="fr-CA"/>
        </w:rPr>
        <w:t>me </w:t>
      </w:r>
      <w:r w:rsidRPr="009C665E">
        <w:rPr>
          <w:rFonts w:cs="Times New Roman"/>
          <w:lang w:val="fr-CA"/>
        </w:rPr>
        <w:t>Bouvette a été directement liée à sa déclaration de culpabilité, puisqu’elle n’aurait pas plaidé coupable si cette communication avait été faite (</w:t>
      </w:r>
      <w:bookmarkStart w:id="56" w:name="_Hlk189141864"/>
      <w:r w:rsidRPr="009C665E">
        <w:rPr>
          <w:rFonts w:cs="Times New Roman"/>
          <w:lang w:val="fr-CA"/>
        </w:rPr>
        <w:t>motifs de la C.A., par. 101 et 110</w:t>
      </w:r>
      <w:bookmarkEnd w:id="56"/>
      <w:r w:rsidRPr="009C665E">
        <w:rPr>
          <w:rFonts w:cs="Times New Roman"/>
          <w:lang w:val="fr-CA"/>
        </w:rPr>
        <w:t xml:space="preserve">). En outre, l’omission de communiquer des éléments de preuve remet en question la décision initiale de porter des accusations, minant la confiance du public </w:t>
      </w:r>
      <w:r w:rsidRPr="009C665E">
        <w:rPr>
          <w:rFonts w:cs="Times New Roman"/>
          <w:lang w:val="fr-CA"/>
        </w:rPr>
        <w:lastRenderedPageBreak/>
        <w:t xml:space="preserve">dans la bonne administration de la justice. </w:t>
      </w:r>
      <w:r w:rsidRPr="009C665E">
        <w:rPr>
          <w:rFonts w:cs="Times New Roman"/>
          <w:lang w:val="fr-CA" w:bidi="en-US"/>
        </w:rPr>
        <w:t>Madame Bouvette a été accusée de meurtre au second degré et renvoyée à procès pour cette infraction, après une enquête préliminaire, sur la foi de l’opinion du D</w:t>
      </w:r>
      <w:r w:rsidRPr="009C665E">
        <w:rPr>
          <w:rFonts w:cs="Times New Roman"/>
          <w:vertAlign w:val="superscript"/>
          <w:lang w:val="fr-CA" w:bidi="en-US"/>
        </w:rPr>
        <w:t>r</w:t>
      </w:r>
      <w:r w:rsidRPr="009C665E">
        <w:rPr>
          <w:rFonts w:cs="Times New Roman"/>
          <w:lang w:val="fr-CA" w:bidi="en-US"/>
        </w:rPr>
        <w:t> Matshes (</w:t>
      </w:r>
      <w:bookmarkStart w:id="57" w:name="_Hlk189143670"/>
      <w:r w:rsidRPr="009C665E">
        <w:rPr>
          <w:rFonts w:cs="Times New Roman"/>
          <w:lang w:val="fr-CA" w:bidi="en-US"/>
        </w:rPr>
        <w:t>d.a., vol. V, p. 36</w:t>
      </w:r>
      <w:bookmarkEnd w:id="57"/>
      <w:r w:rsidRPr="009C665E">
        <w:rPr>
          <w:rFonts w:cs="Times New Roman"/>
          <w:lang w:val="fr-CA" w:bidi="en-US"/>
        </w:rPr>
        <w:t xml:space="preserve">; </w:t>
      </w:r>
      <w:bookmarkStart w:id="58" w:name="_Hlk189143974"/>
      <w:r w:rsidRPr="009C665E">
        <w:rPr>
          <w:rFonts w:cs="Times New Roman"/>
          <w:lang w:val="fr-CA" w:bidi="en-US"/>
        </w:rPr>
        <w:t>d.a., vol. VIII, p. 17</w:t>
      </w:r>
      <w:r w:rsidRPr="009C665E">
        <w:rPr>
          <w:rFonts w:cs="Times New Roman"/>
          <w:lang w:val="fr-CA" w:bidi="en-US"/>
        </w:rPr>
        <w:noBreakHyphen/>
        <w:t>18</w:t>
      </w:r>
      <w:bookmarkEnd w:id="58"/>
      <w:r w:rsidRPr="009C665E">
        <w:rPr>
          <w:rFonts w:cs="Times New Roman"/>
          <w:lang w:val="fr-CA" w:bidi="en-US"/>
        </w:rPr>
        <w:t>). Fait important, en appel, le tribunal n’a pas eu l’avantage de pouvoir consulter un contre</w:t>
      </w:r>
      <w:r w:rsidRPr="009C665E">
        <w:rPr>
          <w:rFonts w:cs="Times New Roman"/>
          <w:lang w:val="fr-CA" w:bidi="en-US"/>
        </w:rPr>
        <w:noBreakHyphen/>
        <w:t>interrogatoire bien mené dans le dossier, ce qui a compliqué sa tâche pour juger de l’issue vraisemblable d’un hypothétique nouveau procès (par. 95 et 139). De même, la capacité de M</w:t>
      </w:r>
      <w:r w:rsidRPr="009C665E">
        <w:rPr>
          <w:rFonts w:cs="Times New Roman"/>
          <w:vertAlign w:val="superscript"/>
          <w:lang w:val="fr-CA" w:bidi="en-US"/>
        </w:rPr>
        <w:t>me</w:t>
      </w:r>
      <w:r w:rsidRPr="009C665E">
        <w:rPr>
          <w:rFonts w:cs="Times New Roman"/>
          <w:lang w:val="fr-CA" w:bidi="en-US"/>
        </w:rPr>
        <w:t> Bouvette de soutenir de manière convaincante que le verdict prononcé contre elle serait autrement déraisonnable a été minée (voir, p. ex., le par. 130</w:t>
      </w:r>
      <w:r w:rsidRPr="009C665E">
        <w:rPr>
          <w:rFonts w:cs="Times New Roman"/>
          <w:lang w:val="fr-CA" w:bidi="en-US"/>
        </w:rPr>
        <w:noBreakHyphen/>
        <w:t>131).</w:t>
      </w:r>
    </w:p>
    <w:p w14:paraId="603FB9F3"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Enfin, la Couronne en première instance aurait dû pertinemment savoir que ces renseignements devaient être communiqués. Les courriels du ministère de la Justice de l’Alberta donnaient des avis limpides sur la question et soulignaient à l’intention de la procureure de la Couronne agissant au procès que les renseignements étaient nécessaires </w:t>
      </w:r>
      <w:r w:rsidRPr="009C665E">
        <w:rPr>
          <w:rFonts w:cs="Times New Roman"/>
          <w:lang w:val="fr-CA" w:bidi="en-US"/>
        </w:rPr>
        <w:t>[</w:t>
      </w:r>
      <w:r w:rsidRPr="009C665E">
        <w:rPr>
          <w:rFonts w:cs="Times New Roman"/>
          <w:smallCaps/>
          <w:lang w:val="fr-CA" w:bidi="en-US"/>
        </w:rPr>
        <w:t>traduction</w:t>
      </w:r>
      <w:r w:rsidRPr="009C665E">
        <w:rPr>
          <w:rFonts w:cs="Times New Roman"/>
          <w:lang w:val="fr-CA" w:bidi="en-US"/>
        </w:rPr>
        <w:t xml:space="preserve">] « pour qu’elle [puisse] dûment instruire son dossier </w:t>
      </w:r>
      <w:r w:rsidRPr="009C665E">
        <w:rPr>
          <w:rFonts w:cs="Times New Roman"/>
          <w:u w:val="single"/>
          <w:lang w:val="fr-CA" w:bidi="en-US"/>
        </w:rPr>
        <w:t>et communiquer la preuve à la défense</w:t>
      </w:r>
      <w:r w:rsidRPr="009C665E">
        <w:rPr>
          <w:rFonts w:cs="Times New Roman"/>
          <w:lang w:val="fr-CA" w:bidi="en-US"/>
        </w:rPr>
        <w:t xml:space="preserve"> » </w:t>
      </w:r>
      <w:bookmarkStart w:id="59" w:name="_Hlk187243277"/>
      <w:r w:rsidRPr="009C665E">
        <w:rPr>
          <w:rFonts w:eastAsia="Times New Roman" w:cs="Times New Roman"/>
          <w:szCs w:val="24"/>
          <w:lang w:val="fr-CA" w:eastAsia="en-CA"/>
        </w:rPr>
        <w:t xml:space="preserve">(d.a., vol. VI, p. 28 (je souligne)). </w:t>
      </w:r>
      <w:bookmarkEnd w:id="59"/>
      <w:r w:rsidRPr="009C665E">
        <w:rPr>
          <w:rFonts w:eastAsia="Times New Roman" w:cs="Times New Roman"/>
          <w:szCs w:val="24"/>
          <w:lang w:val="fr-CA" w:eastAsia="en-CA"/>
        </w:rPr>
        <w:t xml:space="preserve">La lettre d’accompagnement contenant les résultats de l’évaluation externe par les pairs s’ouvre sur ce qui suit : </w:t>
      </w:r>
      <w:r w:rsidRPr="009C665E">
        <w:rPr>
          <w:rFonts w:cs="Times New Roman"/>
          <w:lang w:val="fr-CA" w:bidi="en-US"/>
        </w:rPr>
        <w:t>[</w:t>
      </w:r>
      <w:r w:rsidRPr="009C665E">
        <w:rPr>
          <w:rFonts w:cs="Times New Roman"/>
          <w:smallCaps/>
          <w:lang w:val="fr-CA" w:bidi="en-US"/>
        </w:rPr>
        <w:t>traduction</w:t>
      </w:r>
      <w:r w:rsidRPr="009C665E">
        <w:rPr>
          <w:rFonts w:cs="Times New Roman"/>
          <w:lang w:val="fr-CA" w:bidi="en-US"/>
        </w:rPr>
        <w:t xml:space="preserve">] « Veuillez trouver une communication supplémentaire de renseignements quant à votre cause, </w:t>
      </w:r>
      <w:r w:rsidRPr="009C665E">
        <w:rPr>
          <w:rFonts w:cs="Times New Roman"/>
          <w:u w:val="single"/>
          <w:lang w:val="fr-CA" w:bidi="en-US"/>
        </w:rPr>
        <w:t xml:space="preserve">laquelle vous est faite de manière à vous permettre de satisfaire aux obligations qui nous incombent suivant l’arrêt </w:t>
      </w:r>
      <w:r w:rsidRPr="009C665E">
        <w:rPr>
          <w:rFonts w:cs="Times New Roman"/>
          <w:i/>
          <w:u w:val="single"/>
          <w:lang w:val="fr-CA" w:bidi="en-US"/>
        </w:rPr>
        <w:t>Stinchcombe</w:t>
      </w:r>
      <w:r w:rsidRPr="009C665E">
        <w:rPr>
          <w:rFonts w:cs="Times New Roman"/>
          <w:lang w:val="fr-CA" w:bidi="en-US"/>
        </w:rPr>
        <w:t xml:space="preserve"> » </w:t>
      </w:r>
      <w:r w:rsidRPr="009C665E">
        <w:rPr>
          <w:rFonts w:eastAsia="Times New Roman" w:cs="Times New Roman"/>
          <w:szCs w:val="24"/>
          <w:lang w:val="fr-CA" w:eastAsia="en-CA"/>
        </w:rPr>
        <w:t>(</w:t>
      </w:r>
      <w:bookmarkStart w:id="60" w:name="_Hlk187243948"/>
      <w:r w:rsidRPr="009C665E">
        <w:rPr>
          <w:rFonts w:eastAsia="Times New Roman" w:cs="Times New Roman"/>
          <w:szCs w:val="24"/>
          <w:lang w:val="fr-CA" w:eastAsia="en-CA"/>
        </w:rPr>
        <w:t>p. 29</w:t>
      </w:r>
      <w:bookmarkEnd w:id="60"/>
      <w:r w:rsidRPr="009C665E">
        <w:rPr>
          <w:rFonts w:eastAsia="Times New Roman" w:cs="Times New Roman"/>
          <w:szCs w:val="24"/>
          <w:lang w:val="fr-CA" w:eastAsia="en-CA"/>
        </w:rPr>
        <w:t xml:space="preserve"> (je souligne)).</w:t>
      </w:r>
    </w:p>
    <w:p w14:paraId="07CD8B41"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bidi="en-US"/>
        </w:rPr>
        <w:lastRenderedPageBreak/>
        <w:t xml:space="preserve">Deuxièmement, la présente affaire comporte une autre cause largement reconnue de déclarations de culpabilité injustifiées : la preuve d’expert qui peut être peu fiable ou douteuse (voir, p. ex., F. Kaufman, </w:t>
      </w:r>
      <w:r w:rsidRPr="009C665E">
        <w:rPr>
          <w:rFonts w:cs="Times New Roman"/>
          <w:i/>
          <w:lang w:val="fr-CA" w:bidi="en-US"/>
        </w:rPr>
        <w:t>Commission sur les poursuites contre Guy Paul Morin </w:t>
      </w:r>
      <w:r w:rsidRPr="009C665E">
        <w:rPr>
          <w:rFonts w:cs="Times New Roman"/>
          <w:lang w:val="fr-CA" w:bidi="en-US"/>
        </w:rPr>
        <w:t xml:space="preserve">: </w:t>
      </w:r>
      <w:r w:rsidRPr="009C665E">
        <w:rPr>
          <w:rFonts w:cs="Times New Roman"/>
          <w:i/>
          <w:lang w:val="fr-CA" w:bidi="en-US"/>
        </w:rPr>
        <w:t>rapport</w:t>
      </w:r>
      <w:r w:rsidRPr="009C665E">
        <w:rPr>
          <w:rFonts w:cs="Times New Roman"/>
          <w:lang w:val="fr-CA" w:bidi="en-US"/>
        </w:rPr>
        <w:t>, t. 1 (1998), p.</w:t>
      </w:r>
      <w:r w:rsidRPr="009C665E">
        <w:rPr>
          <w:rFonts w:cs="Times New Roman"/>
          <w:lang w:val="fr-CA"/>
        </w:rPr>
        <w:t> </w:t>
      </w:r>
      <w:r w:rsidRPr="009C665E">
        <w:rPr>
          <w:rFonts w:cs="Times New Roman"/>
          <w:lang w:val="fr-CA" w:bidi="en-US"/>
        </w:rPr>
        <w:t>315). Les tribunaux ont reconnu avec raison les dangers de la preuve d’expert, y compris le risque que le juge des faits puisse ne pas être en mesure de l’évaluer efficacement. Ils ont donc insisté sur le rôle de gardien du juge du procès et sur son large pouvoir discrétionnaire d’exclure cette preuve (</w:t>
      </w:r>
      <w:r w:rsidRPr="009C665E">
        <w:rPr>
          <w:rFonts w:cs="Times New Roman"/>
          <w:i/>
          <w:lang w:val="fr-CA" w:bidi="en-US"/>
        </w:rPr>
        <w:t>White Burgess Langille Inman c. Abbott and Haliburton Co.</w:t>
      </w:r>
      <w:r w:rsidRPr="009C665E">
        <w:rPr>
          <w:rFonts w:cs="Times New Roman"/>
          <w:lang w:val="fr-CA" w:bidi="en-US"/>
        </w:rPr>
        <w:t>, 2015 CSC 23, [2015] 2 R.C.S. 182, par. 16</w:t>
      </w:r>
      <w:r w:rsidRPr="009C665E">
        <w:rPr>
          <w:rFonts w:cs="Times New Roman"/>
          <w:lang w:val="fr-CA" w:bidi="en-US"/>
        </w:rPr>
        <w:noBreakHyphen/>
        <w:t xml:space="preserve">24; </w:t>
      </w:r>
      <w:r w:rsidRPr="009C665E">
        <w:rPr>
          <w:rFonts w:cs="Times New Roman"/>
          <w:i/>
          <w:lang w:val="fr-CA"/>
        </w:rPr>
        <w:t>R. c. Abbey</w:t>
      </w:r>
      <w:r w:rsidRPr="009C665E">
        <w:rPr>
          <w:rFonts w:cs="Times New Roman"/>
          <w:lang w:val="fr-CA"/>
        </w:rPr>
        <w:t>, 2009 ONCA 624, 97 O.R. (3d) 330, par. 76</w:t>
      </w:r>
      <w:r w:rsidRPr="009C665E">
        <w:rPr>
          <w:rFonts w:cs="Times New Roman"/>
          <w:lang w:val="fr-CA"/>
        </w:rPr>
        <w:noBreakHyphen/>
        <w:t>84 et 90)</w:t>
      </w:r>
      <w:r w:rsidRPr="009C665E">
        <w:rPr>
          <w:rFonts w:cs="Times New Roman"/>
          <w:lang w:val="fr-CA" w:bidi="en-US"/>
        </w:rPr>
        <w:t>. L’enquête Goudge, déclenchée à la suite de plusieurs erreurs judiciaires liées au D</w:t>
      </w:r>
      <w:r w:rsidRPr="009C665E">
        <w:rPr>
          <w:rFonts w:cs="Times New Roman"/>
          <w:vertAlign w:val="superscript"/>
          <w:lang w:val="fr-CA" w:bidi="en-US"/>
        </w:rPr>
        <w:t>r</w:t>
      </w:r>
      <w:r w:rsidRPr="009C665E">
        <w:rPr>
          <w:rFonts w:cs="Times New Roman"/>
          <w:lang w:val="fr-CA" w:bidi="en-US"/>
        </w:rPr>
        <w:t xml:space="preserve"> Charles Smith, médecin légiste pédiatrique, a révélé de sérieuses préoccupations concernant le rôle de l’expertise médicale dans les affaires pénales. Selon cette enquête, les experts en matières médicales fournissent une preuve que les avocats et les juges peuvent ne pas être en mesure de comprendre ou de remettre en question, expriment des opinions sans expliquer le raisonnement qui les sous-tend, ou utilisent une terminologie qu’un profane pourrait mal interpréter (S. T. Goudge, </w:t>
      </w:r>
      <w:r w:rsidRPr="009C665E">
        <w:rPr>
          <w:rFonts w:cs="Times New Roman"/>
          <w:i/>
          <w:iCs/>
          <w:lang w:val="fr-CA" w:bidi="en-US"/>
        </w:rPr>
        <w:t xml:space="preserve">Rapport de la Commission d’enquête sur la médecine légale pédiatrique en Ontario </w:t>
      </w:r>
      <w:r w:rsidRPr="009C665E">
        <w:rPr>
          <w:rFonts w:cs="Times New Roman"/>
          <w:lang w:val="fr-CA" w:bidi="en-US"/>
        </w:rPr>
        <w:t>(2008)).</w:t>
      </w:r>
    </w:p>
    <w:p w14:paraId="7363E645"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bidi="en-US"/>
        </w:rPr>
        <w:t>Dans de nombreuses causes tragiques, la Cour d’appel de l’Ontario a conclu qu’il y avait eu erreur judiciaire lorsque la Couronne s’était fondée sur le témoignage du D</w:t>
      </w:r>
      <w:r w:rsidRPr="009C665E">
        <w:rPr>
          <w:rFonts w:cs="Times New Roman"/>
          <w:vertAlign w:val="superscript"/>
          <w:lang w:val="fr-CA" w:bidi="en-US"/>
        </w:rPr>
        <w:t>r</w:t>
      </w:r>
      <w:r w:rsidRPr="009C665E">
        <w:rPr>
          <w:rFonts w:cs="Times New Roman"/>
          <w:lang w:val="fr-CA" w:bidi="en-US"/>
        </w:rPr>
        <w:t xml:space="preserve"> Smith pour poursuivre les parents de jeunes enfants pour infanticide ou homicide involontaire coupable. Dans beaucoup de causes, cela a mené à des ententes sur le plaidoyer et à de profondes injustices pour ceux qui ont été déclarés </w:t>
      </w:r>
      <w:r w:rsidRPr="009C665E">
        <w:rPr>
          <w:rFonts w:cs="Times New Roman"/>
          <w:lang w:val="fr-CA" w:bidi="en-US"/>
        </w:rPr>
        <w:lastRenderedPageBreak/>
        <w:t>coupables à tort (</w:t>
      </w:r>
      <w:r w:rsidRPr="009C665E">
        <w:rPr>
          <w:rFonts w:cs="Times New Roman"/>
          <w:i/>
          <w:lang w:val="fr-CA" w:bidi="en-US"/>
        </w:rPr>
        <w:t>Sherret-Robinson</w:t>
      </w:r>
      <w:r w:rsidRPr="009C665E">
        <w:rPr>
          <w:rFonts w:cs="Times New Roman"/>
          <w:lang w:val="fr-CA" w:bidi="en-US"/>
        </w:rPr>
        <w:t xml:space="preserve">; </w:t>
      </w:r>
      <w:r w:rsidRPr="009C665E">
        <w:rPr>
          <w:rFonts w:cs="Times New Roman"/>
          <w:i/>
          <w:lang w:val="fr-CA" w:bidi="en-US"/>
        </w:rPr>
        <w:t>Kumar</w:t>
      </w:r>
      <w:r w:rsidRPr="009C665E">
        <w:rPr>
          <w:rFonts w:cs="Times New Roman"/>
          <w:lang w:val="fr-CA" w:bidi="en-US"/>
        </w:rPr>
        <w:t xml:space="preserve">; </w:t>
      </w:r>
      <w:r w:rsidRPr="009C665E">
        <w:rPr>
          <w:rFonts w:cs="Times New Roman"/>
          <w:i/>
          <w:lang w:val="fr-CA" w:bidi="en-US"/>
        </w:rPr>
        <w:t>Brant</w:t>
      </w:r>
      <w:r w:rsidRPr="009C665E">
        <w:rPr>
          <w:rFonts w:cs="Times New Roman"/>
          <w:lang w:val="fr-CA" w:bidi="en-US"/>
        </w:rPr>
        <w:t xml:space="preserve">; </w:t>
      </w:r>
      <w:r w:rsidRPr="009C665E">
        <w:rPr>
          <w:rFonts w:cs="Times New Roman"/>
          <w:i/>
          <w:lang w:val="fr-CA" w:bidi="en-US"/>
        </w:rPr>
        <w:t>Shepherd</w:t>
      </w:r>
      <w:r w:rsidRPr="009C665E">
        <w:rPr>
          <w:rFonts w:cs="Times New Roman"/>
          <w:lang w:val="fr-CA" w:bidi="en-US"/>
        </w:rPr>
        <w:t xml:space="preserve">; </w:t>
      </w:r>
      <w:r w:rsidRPr="009C665E">
        <w:rPr>
          <w:rFonts w:cs="Times New Roman"/>
          <w:i/>
          <w:lang w:val="fr-CA" w:bidi="en-US"/>
        </w:rPr>
        <w:t>R. c. Blackett</w:t>
      </w:r>
      <w:r w:rsidRPr="009C665E">
        <w:rPr>
          <w:rFonts w:cs="Times New Roman"/>
          <w:lang w:val="fr-CA" w:bidi="en-US"/>
        </w:rPr>
        <w:t xml:space="preserve">, 2018 ONCA 119; </w:t>
      </w:r>
      <w:r w:rsidRPr="009C665E">
        <w:rPr>
          <w:rFonts w:cs="Times New Roman"/>
          <w:i/>
          <w:lang w:val="fr-CA" w:bidi="en-US"/>
        </w:rPr>
        <w:t>Doyle</w:t>
      </w:r>
      <w:r w:rsidRPr="009C665E">
        <w:rPr>
          <w:rFonts w:cs="Times New Roman"/>
          <w:lang w:val="fr-CA" w:bidi="en-US"/>
        </w:rPr>
        <w:t>).</w:t>
      </w:r>
    </w:p>
    <w:p w14:paraId="5A85E4F8"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Les décisions d’accuser M</w:t>
      </w:r>
      <w:r w:rsidRPr="009C665E">
        <w:rPr>
          <w:rFonts w:cs="Times New Roman"/>
          <w:vertAlign w:val="superscript"/>
          <w:lang w:val="fr-CA"/>
        </w:rPr>
        <w:t>me</w:t>
      </w:r>
      <w:r w:rsidRPr="009C665E">
        <w:rPr>
          <w:rFonts w:cs="Times New Roman"/>
          <w:lang w:val="fr-CA"/>
        </w:rPr>
        <w:t> Bouvette et de lui ordonner de subir un procès pour l’infraction de meurtre au deuxième degré étaient largement fondées sur l’opinion d’expert du D</w:t>
      </w:r>
      <w:r w:rsidRPr="009C665E">
        <w:rPr>
          <w:rFonts w:cs="Times New Roman"/>
          <w:vertAlign w:val="superscript"/>
          <w:lang w:val="fr-CA"/>
        </w:rPr>
        <w:t>r</w:t>
      </w:r>
      <w:r w:rsidRPr="009C665E">
        <w:rPr>
          <w:rFonts w:cs="Times New Roman"/>
          <w:lang w:val="fr-CA"/>
        </w:rPr>
        <w:t> Matshes, décrite plus tard comme [</w:t>
      </w:r>
      <w:r w:rsidRPr="009C665E">
        <w:rPr>
          <w:rFonts w:cs="Times New Roman"/>
          <w:smallCaps/>
          <w:lang w:val="fr-CA"/>
        </w:rPr>
        <w:t>traduction</w:t>
      </w:r>
      <w:r w:rsidRPr="009C665E">
        <w:rPr>
          <w:rFonts w:cs="Times New Roman"/>
          <w:lang w:val="fr-CA"/>
        </w:rPr>
        <w:t>] « déraisonnable » dans un examen par des pairs (</w:t>
      </w:r>
      <w:r w:rsidRPr="009C665E">
        <w:rPr>
          <w:rFonts w:cs="Times New Roman"/>
          <w:lang w:val="fr-CA" w:bidi="en-US"/>
        </w:rPr>
        <w:t>voir d.a., vol. V, p. 36; d.a., vol. VIII, p. 17</w:t>
      </w:r>
      <w:r w:rsidRPr="009C665E">
        <w:rPr>
          <w:rFonts w:cs="Times New Roman"/>
          <w:lang w:val="fr-CA" w:bidi="en-US"/>
        </w:rPr>
        <w:noBreakHyphen/>
        <w:t>18</w:t>
      </w:r>
      <w:r w:rsidRPr="009C665E">
        <w:rPr>
          <w:rFonts w:cs="Times New Roman"/>
          <w:lang w:val="fr-CA"/>
        </w:rPr>
        <w:t>). Cet examen non communiqué des conclusions de l’autopsie pratiquée par le D</w:t>
      </w:r>
      <w:r w:rsidRPr="009C665E">
        <w:rPr>
          <w:rFonts w:cs="Times New Roman"/>
          <w:vertAlign w:val="superscript"/>
          <w:lang w:val="fr-CA"/>
        </w:rPr>
        <w:t>r</w:t>
      </w:r>
      <w:r w:rsidRPr="009C665E">
        <w:rPr>
          <w:rFonts w:cs="Times New Roman"/>
          <w:lang w:val="fr-CA"/>
        </w:rPr>
        <w:t> </w:t>
      </w:r>
      <w:r w:rsidRPr="009C665E">
        <w:rPr>
          <w:rFonts w:cs="Times New Roman"/>
          <w:lang w:val="fr-CA" w:bidi="en-US"/>
        </w:rPr>
        <w:t>Matshes dans 14 causes distinctes a conclu que son opinion était déraisonnable dans 13 des 14 causes auxquelles il était fait référence (m.a., par. 62; d.a., vol. VI, p. 122</w:t>
      </w:r>
      <w:r w:rsidRPr="009C665E">
        <w:rPr>
          <w:rFonts w:cs="Times New Roman"/>
          <w:lang w:val="fr-CA" w:bidi="en-US"/>
        </w:rPr>
        <w:noBreakHyphen/>
        <w:t xml:space="preserve">164), y compris la cause de l’enfant en l’espèce (d.a., vol. VI, p. 160). Bien qu’il y ait eu des avis d’experts médicaux contradictoires dans cette cause, je note que, dans l’arrêt </w:t>
      </w:r>
      <w:r w:rsidRPr="009C665E">
        <w:rPr>
          <w:rFonts w:cs="Times New Roman"/>
          <w:i/>
          <w:lang w:val="fr-CA" w:bidi="en-US"/>
        </w:rPr>
        <w:t>Doyle</w:t>
      </w:r>
      <w:r w:rsidRPr="009C665E">
        <w:rPr>
          <w:rFonts w:cs="Times New Roman"/>
          <w:lang w:val="fr-CA" w:bidi="en-US"/>
        </w:rPr>
        <w:t xml:space="preserve">, la cour a conclu qu’une diversité d’opinions parmi les experts minait la perspective d’une déclaration de culpabilité et elle a prononcé un acquittement plutôt que d’accéder à la demande de la Couronne qui souhaitait la tenue d’un nouveau procès </w:t>
      </w:r>
      <w:bookmarkStart w:id="61" w:name="_Hlk190984885"/>
      <w:r w:rsidRPr="009C665E">
        <w:rPr>
          <w:rFonts w:cs="Times New Roman"/>
          <w:lang w:val="fr-CA" w:bidi="en-US"/>
        </w:rPr>
        <w:t>(par. 12 et 15). Toute preuve d’expert présentée dans le cadre d’un nouveau procès théorique ferait l’objet de contestations similaires.</w:t>
      </w:r>
    </w:p>
    <w:bookmarkEnd w:id="61"/>
    <w:p w14:paraId="5DADDA54"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Deux derniers facteurs liés sont pertinents dans la cause de M</w:t>
      </w:r>
      <w:r w:rsidRPr="009C665E">
        <w:rPr>
          <w:rFonts w:cs="Times New Roman"/>
          <w:vertAlign w:val="superscript"/>
          <w:lang w:val="fr-CA"/>
        </w:rPr>
        <w:t>me</w:t>
      </w:r>
      <w:r w:rsidRPr="009C665E">
        <w:rPr>
          <w:rFonts w:cs="Times New Roman"/>
          <w:lang w:val="fr-CA"/>
        </w:rPr>
        <w:t> Bouvette : le problème des faux plaidoyers de culpabilité et la vulnérabilité de certaines personnes accusées en particulier.</w:t>
      </w:r>
    </w:p>
    <w:p w14:paraId="719DB95B" w14:textId="77777777" w:rsidR="009C665E" w:rsidRPr="009C665E" w:rsidRDefault="009C665E" w:rsidP="009C665E">
      <w:pPr>
        <w:pStyle w:val="ParaNoNdepar-AltN"/>
        <w:tabs>
          <w:tab w:val="clear" w:pos="1166"/>
          <w:tab w:val="num" w:pos="1152"/>
        </w:tabs>
        <w:spacing w:before="0"/>
        <w:rPr>
          <w:rFonts w:cs="Times New Roman"/>
          <w:lang w:val="fr-CA"/>
        </w:rPr>
      </w:pPr>
      <w:bookmarkStart w:id="62" w:name="_Hlk191368999"/>
      <w:r w:rsidRPr="009C665E">
        <w:rPr>
          <w:rFonts w:cs="Times New Roman"/>
          <w:lang w:val="fr-CA"/>
        </w:rPr>
        <w:t xml:space="preserve">Le problème des « faux » plaidoyers de culpabilité est de plus en plus reconnu, en raison d’une prise de conscience et </w:t>
      </w:r>
      <w:proofErr w:type="gramStart"/>
      <w:r w:rsidRPr="009C665E">
        <w:rPr>
          <w:rFonts w:cs="Times New Roman"/>
          <w:lang w:val="fr-CA"/>
        </w:rPr>
        <w:t>d’une préoccupation accrues</w:t>
      </w:r>
      <w:proofErr w:type="gramEnd"/>
      <w:r w:rsidRPr="009C665E">
        <w:rPr>
          <w:rFonts w:cs="Times New Roman"/>
          <w:lang w:val="fr-CA"/>
        </w:rPr>
        <w:t xml:space="preserve"> à l’égard </w:t>
      </w:r>
      <w:r w:rsidRPr="009C665E">
        <w:rPr>
          <w:rFonts w:cs="Times New Roman"/>
          <w:lang w:val="fr-CA"/>
        </w:rPr>
        <w:lastRenderedPageBreak/>
        <w:t xml:space="preserve">des déclarations de culpabilité injustifiées </w:t>
      </w:r>
      <w:r w:rsidRPr="009C665E">
        <w:rPr>
          <w:rFonts w:cs="Times New Roman"/>
          <w:lang w:val="fr-CA" w:bidi="en-US"/>
        </w:rPr>
        <w:t>(Roach (2023), p. 19</w:t>
      </w:r>
      <w:r w:rsidRPr="009C665E">
        <w:rPr>
          <w:rFonts w:cs="Times New Roman"/>
          <w:lang w:val="fr-CA" w:bidi="en-US"/>
        </w:rPr>
        <w:noBreakHyphen/>
        <w:t>20)</w:t>
      </w:r>
      <w:r w:rsidRPr="009C665E">
        <w:rPr>
          <w:rFonts w:cs="Times New Roman"/>
          <w:lang w:val="fr-CA"/>
        </w:rPr>
        <w:t>. La juge Pomerance (plus tard juge de la Cour d’appel) a reconnu que de nombreux accusés font face à une situation sans issue : [</w:t>
      </w:r>
      <w:r w:rsidRPr="009C665E">
        <w:rPr>
          <w:rFonts w:cs="Times New Roman"/>
          <w:smallCaps/>
          <w:lang w:val="fr-CA"/>
        </w:rPr>
        <w:t>traduction</w:t>
      </w:r>
      <w:r w:rsidRPr="009C665E">
        <w:rPr>
          <w:rFonts w:cs="Times New Roman"/>
          <w:lang w:val="fr-CA"/>
        </w:rPr>
        <w:t>] « . . . une personne innocente dans les faits peut avoir le sentiment qu’un plaidoyer de culpabilité est le moindre des deux maux — elle se retrouve à faire un choix entre le marteau et l’enclume. Le coût de maintenir son innocence — que ce soit sur les plans financier, émotionnel, familial, carcéral ou autre — peut sembler trop élevé » (</w:t>
      </w:r>
      <w:r w:rsidRPr="009C665E">
        <w:rPr>
          <w:rFonts w:cs="Times New Roman"/>
          <w:i/>
          <w:lang w:val="fr-CA"/>
        </w:rPr>
        <w:t>R. c. McIlvride-Lister</w:t>
      </w:r>
      <w:r w:rsidRPr="009C665E">
        <w:rPr>
          <w:rFonts w:cs="Times New Roman"/>
          <w:lang w:val="fr-CA"/>
        </w:rPr>
        <w:t xml:space="preserve">, 2019 ONSC 1869, 373 C.C.C. (3d) 490, par. 60; voir aussi C. Sherrin, « Guilty Pleas from the Innocent » (2011), 30 </w:t>
      </w:r>
      <w:r w:rsidRPr="009C665E">
        <w:rPr>
          <w:rFonts w:cs="Times New Roman"/>
          <w:i/>
          <w:lang w:val="fr-CA"/>
        </w:rPr>
        <w:t>Windsor Rev. Legal Soc. Issues</w:t>
      </w:r>
      <w:r w:rsidRPr="009C665E">
        <w:rPr>
          <w:rFonts w:cs="Times New Roman"/>
          <w:lang w:val="fr-CA"/>
        </w:rPr>
        <w:t xml:space="preserve"> 1, p. 34). Les faux plaidoyers peuvent survenir pour de nombreuses raisons, notamment un conseil incompétent, une pression indue, un dossier apparemment solide pour la Couronne, ou l’omission par le tribunal de poser les questions nécessaires à la personne accusée (voir, p. ex., </w:t>
      </w:r>
      <w:r w:rsidRPr="009C665E">
        <w:rPr>
          <w:rFonts w:cs="Times New Roman"/>
          <w:i/>
          <w:lang w:val="fr-CA"/>
        </w:rPr>
        <w:t>R. c. Hanemaayer</w:t>
      </w:r>
      <w:r w:rsidRPr="009C665E">
        <w:rPr>
          <w:rFonts w:cs="Times New Roman"/>
          <w:lang w:val="fr-CA"/>
        </w:rPr>
        <w:t xml:space="preserve">, 2008 ONCA 580, 234 C.C.C. (3d) 3, par. 11; </w:t>
      </w:r>
      <w:r w:rsidRPr="009C665E">
        <w:rPr>
          <w:rFonts w:cs="Times New Roman"/>
          <w:i/>
          <w:lang w:val="fr-CA"/>
        </w:rPr>
        <w:t>Kumar</w:t>
      </w:r>
      <w:r w:rsidRPr="009C665E">
        <w:rPr>
          <w:rFonts w:cs="Times New Roman"/>
          <w:lang w:val="fr-CA"/>
        </w:rPr>
        <w:t>, par. 34). Les tribunaux peuvent annuler un plaidoyer de culpabilité lorsqu’une absence de communication importante aurait pu avoir une incidence sur la décision de l’accusé de plaider coupable (</w:t>
      </w:r>
      <w:r w:rsidRPr="009C665E">
        <w:rPr>
          <w:rFonts w:cs="Times New Roman"/>
          <w:i/>
          <w:lang w:val="fr-CA"/>
        </w:rPr>
        <w:t>Taillefer</w:t>
      </w:r>
      <w:r w:rsidRPr="009C665E">
        <w:rPr>
          <w:rFonts w:cs="Times New Roman"/>
          <w:lang w:val="fr-CA"/>
        </w:rPr>
        <w:t>, par. 90).</w:t>
      </w:r>
    </w:p>
    <w:p w14:paraId="4ADCC707"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bidi="en-US"/>
        </w:rPr>
        <w:t>Dans le même ordre d’idée, les groupes vulnérables, dont les femmes, les Autochtones, les personnes racisées et celles ayant des difficultés cognitives sont victimes de manière disproportionnée de faux plaidoyers de culpabilité (</w:t>
      </w:r>
      <w:bookmarkStart w:id="63" w:name="_Hlk189209073"/>
      <w:r w:rsidRPr="009C665E">
        <w:rPr>
          <w:rFonts w:cs="Times New Roman"/>
          <w:lang w:val="fr-CA" w:bidi="en-US"/>
        </w:rPr>
        <w:t>Roach (2023), p. 20</w:t>
      </w:r>
      <w:r w:rsidRPr="009C665E">
        <w:rPr>
          <w:rFonts w:cs="Times New Roman"/>
          <w:lang w:val="fr-CA" w:bidi="en-US"/>
        </w:rPr>
        <w:noBreakHyphen/>
        <w:t xml:space="preserve">27; voir aussi A. Carling, « A Way to Reduce Indigenous Overrepresentation : Prevent False Guilty Plea Wrongful Convictions » (2017), 64 </w:t>
      </w:r>
      <w:r w:rsidRPr="009C665E">
        <w:rPr>
          <w:rFonts w:cs="Times New Roman"/>
          <w:i/>
          <w:lang w:val="fr-CA" w:bidi="en-US"/>
        </w:rPr>
        <w:t>Crim. L.Q.</w:t>
      </w:r>
      <w:r w:rsidRPr="009C665E">
        <w:rPr>
          <w:rFonts w:cs="Times New Roman"/>
          <w:lang w:val="fr-CA" w:bidi="en-US"/>
        </w:rPr>
        <w:t xml:space="preserve"> 415, p. 419</w:t>
      </w:r>
      <w:bookmarkEnd w:id="63"/>
      <w:r w:rsidRPr="009C665E">
        <w:rPr>
          <w:rFonts w:cs="Times New Roman"/>
          <w:lang w:val="fr-CA" w:bidi="en-US"/>
        </w:rPr>
        <w:t xml:space="preserve">). La Commission </w:t>
      </w:r>
      <w:r w:rsidRPr="009C665E">
        <w:rPr>
          <w:rFonts w:cs="Times New Roman"/>
          <w:lang w:val="fr-CA"/>
        </w:rPr>
        <w:t xml:space="preserve">Marshall a donné lieu à des discussions approfondies sur le rôle du </w:t>
      </w:r>
      <w:r w:rsidRPr="009C665E">
        <w:rPr>
          <w:rFonts w:cs="Times New Roman"/>
          <w:lang w:val="fr-CA"/>
        </w:rPr>
        <w:lastRenderedPageBreak/>
        <w:t>racisme dans les déclarations de culpabilité injustifiées plus généralement. En définitive, la Commission a reconnu devoir tirer la conclusion [</w:t>
      </w:r>
      <w:r w:rsidRPr="009C665E">
        <w:rPr>
          <w:rFonts w:cs="Times New Roman"/>
          <w:smallCaps/>
          <w:lang w:val="fr-CA"/>
        </w:rPr>
        <w:t>traduction</w:t>
      </w:r>
      <w:r w:rsidRPr="009C665E">
        <w:rPr>
          <w:rFonts w:cs="Times New Roman"/>
          <w:lang w:val="fr-CA"/>
        </w:rPr>
        <w:t>] « irréfutable » que M. Marshall avait été déclaré coupable de manière injustifiée « parce qu’il était Autochtone » (</w:t>
      </w:r>
      <w:r w:rsidRPr="009C665E">
        <w:rPr>
          <w:rFonts w:eastAsia="Times New Roman" w:cs="Times New Roman"/>
          <w:i/>
          <w:szCs w:val="24"/>
          <w:lang w:val="fr-CA" w:eastAsia="en-CA"/>
        </w:rPr>
        <w:t>Rapport Marshall</w:t>
      </w:r>
      <w:r w:rsidRPr="009C665E">
        <w:rPr>
          <w:rFonts w:eastAsia="Times New Roman" w:cs="Times New Roman"/>
          <w:szCs w:val="24"/>
          <w:lang w:val="fr-CA" w:eastAsia="en-CA"/>
        </w:rPr>
        <w:t>, vol. </w:t>
      </w:r>
      <w:r w:rsidRPr="009C665E">
        <w:rPr>
          <w:rFonts w:eastAsia="Times New Roman" w:cs="Times New Roman"/>
          <w:szCs w:val="24"/>
          <w:lang w:val="en-US" w:eastAsia="en-CA"/>
        </w:rPr>
        <w:t>I,</w:t>
      </w:r>
      <w:r w:rsidRPr="009C665E">
        <w:rPr>
          <w:rFonts w:cs="Times New Roman"/>
          <w:lang w:val="en-US"/>
        </w:rPr>
        <w:t xml:space="preserve"> p. 17; voir J. Mannette, dir., </w:t>
      </w:r>
      <w:r w:rsidRPr="009C665E">
        <w:rPr>
          <w:rFonts w:cs="Times New Roman"/>
          <w:i/>
          <w:lang w:val="en-US"/>
        </w:rPr>
        <w:t>Elusive Justice : Beyond The Marshall Inquiry</w:t>
      </w:r>
      <w:r w:rsidRPr="009C665E">
        <w:rPr>
          <w:rFonts w:cs="Times New Roman"/>
          <w:lang w:val="en-US"/>
        </w:rPr>
        <w:t xml:space="preserve"> (1992); B. H. Wildsmith, « Getting at Racism : The Marshall Inquiry » (1991), 55 </w:t>
      </w:r>
      <w:r w:rsidRPr="009C665E">
        <w:rPr>
          <w:rFonts w:cs="Times New Roman"/>
          <w:i/>
          <w:lang w:val="en-US"/>
        </w:rPr>
        <w:t>Sask. L. Rev.</w:t>
      </w:r>
      <w:r w:rsidRPr="009C665E">
        <w:rPr>
          <w:rFonts w:cs="Times New Roman"/>
          <w:lang w:val="en-US"/>
        </w:rPr>
        <w:t xml:space="preserve"> 97). </w:t>
      </w:r>
      <w:r w:rsidRPr="009C665E">
        <w:rPr>
          <w:rFonts w:cs="Times New Roman"/>
          <w:lang w:val="fr-CA"/>
        </w:rPr>
        <w:t>Plus récemment, les déclarations de culpabilité injustifiées au Manitoba de deux hommes autochtones, Brian Anderson et Allan Woodhouse, ont été mises au jour près de 50 ans plus tard lorsque de nouveaux éléments de preuve ont suggéré que leurs aveux ne correspondaient pas à leur niveau d’anglais, leur langue seconde. Après que la tenue d’un nouveau procès a été ordonnée par le ministre de la Justice, le poursuivant a déclaré en audience publique que [</w:t>
      </w:r>
      <w:r w:rsidRPr="009C665E">
        <w:rPr>
          <w:rFonts w:cs="Times New Roman"/>
          <w:smallCaps/>
          <w:lang w:val="fr-CA"/>
        </w:rPr>
        <w:t>traduction</w:t>
      </w:r>
      <w:r w:rsidRPr="009C665E">
        <w:rPr>
          <w:rFonts w:cs="Times New Roman"/>
          <w:lang w:val="fr-CA"/>
        </w:rPr>
        <w:t>] « [d]ans cette cause, le racisme systémique a eu une incidence sur l’enquête, sur la poursuite, de même que sur la décision » (Roach (2024), p. 226).</w:t>
      </w:r>
    </w:p>
    <w:p w14:paraId="12CC31D6"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Des universitaires ont aussi souligné l’incidence disproportionnée des erreurs judiciaires sur les groupes vulnérables, comme </w:t>
      </w:r>
      <w:r w:rsidRPr="009C665E">
        <w:rPr>
          <w:rFonts w:cs="Times New Roman"/>
          <w:lang w:val="fr-CA" w:bidi="en-US"/>
        </w:rPr>
        <w:t xml:space="preserve">les femmes, les Autochtones et les personnes souffrant de maladies mentales ou ayant des difficultés cognitives </w:t>
      </w:r>
      <w:r w:rsidRPr="009C665E">
        <w:rPr>
          <w:rFonts w:cs="Times New Roman"/>
          <w:lang w:val="fr-CA"/>
        </w:rPr>
        <w:t xml:space="preserve">(D. Parkes et E. Cunliffe, « Women and wrongful convictions : concepts and challenges » (2015), 11 </w:t>
      </w:r>
      <w:r w:rsidRPr="009C665E">
        <w:rPr>
          <w:rFonts w:cs="Times New Roman"/>
          <w:i/>
          <w:lang w:val="fr-CA"/>
        </w:rPr>
        <w:t>Int’l J. L. Context</w:t>
      </w:r>
      <w:r w:rsidRPr="009C665E">
        <w:rPr>
          <w:rFonts w:cs="Times New Roman"/>
          <w:lang w:val="fr-CA"/>
        </w:rPr>
        <w:t xml:space="preserve"> 219; K. Roach, « The Wrongful Conviction of Indigenous People in Australia and Canada » (2015), 17 </w:t>
      </w:r>
      <w:r w:rsidRPr="009C665E">
        <w:rPr>
          <w:rFonts w:cs="Times New Roman"/>
          <w:i/>
          <w:lang w:val="fr-CA"/>
        </w:rPr>
        <w:t>Flinders L.J.</w:t>
      </w:r>
      <w:r w:rsidRPr="009C665E">
        <w:rPr>
          <w:rFonts w:cs="Times New Roman"/>
          <w:lang w:val="fr-CA"/>
        </w:rPr>
        <w:t xml:space="preserve"> 203). Le professeur Roach a observé que les Autochtones peuvent avoir plus de difficultés à clamer leur innocence ou être plus enclins à plaider coupables pour un crime qu’ils </w:t>
      </w:r>
      <w:r w:rsidRPr="009C665E">
        <w:rPr>
          <w:rFonts w:cs="Times New Roman"/>
          <w:lang w:val="fr-CA"/>
        </w:rPr>
        <w:lastRenderedPageBreak/>
        <w:t>soutiennent ne pas avoir commis (p. 212</w:t>
      </w:r>
      <w:r w:rsidRPr="009C665E">
        <w:rPr>
          <w:rFonts w:cs="Times New Roman"/>
          <w:lang w:val="fr-CA"/>
        </w:rPr>
        <w:noBreakHyphen/>
        <w:t>213). Ces circonstances peuvent exacerber les conséquences personnelles d’une erreur judiciaire sur l’appelant; elles sont aussi révélatrices d’incidences systémiques compte tenu de la surreprésentation des Autochtones dans le système judiciaire.</w:t>
      </w:r>
    </w:p>
    <w:p w14:paraId="3EA08D7F"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La Cour d’appel, aux par. 101 et 110, a accepté le témoignage suivant de M</w:t>
      </w:r>
      <w:r w:rsidRPr="009C665E">
        <w:rPr>
          <w:rFonts w:cs="Times New Roman"/>
          <w:vertAlign w:val="superscript"/>
          <w:lang w:val="fr-CA"/>
        </w:rPr>
        <w:t>me</w:t>
      </w:r>
      <w:r w:rsidRPr="009C665E">
        <w:rPr>
          <w:rFonts w:cs="Times New Roman"/>
          <w:lang w:val="fr-CA"/>
        </w:rPr>
        <w:t> Bouvette : [</w:t>
      </w:r>
      <w:r w:rsidRPr="009C665E">
        <w:rPr>
          <w:rFonts w:cs="Times New Roman"/>
          <w:smallCaps/>
          <w:lang w:val="fr-CA"/>
        </w:rPr>
        <w:t>traduction</w:t>
      </w:r>
      <w:r w:rsidRPr="009C665E">
        <w:rPr>
          <w:rFonts w:cs="Times New Roman"/>
          <w:lang w:val="fr-CA"/>
        </w:rPr>
        <w:t>] « Je ne pensais pas être responsable de la mort de</w:t>
      </w:r>
      <w:r w:rsidRPr="009C665E">
        <w:rPr>
          <w:rFonts w:cs="Times New Roman"/>
          <w:lang w:val="fr-CA" w:bidi="en-US"/>
        </w:rPr>
        <w:t xml:space="preserve"> [l’enfant]. Mais, [l’avocat de la défense] m’a dit que je devrais accepter l’offre d’un plaidoyer de culpabilité. [. . .] J’avais l’impression de ne pas avoir d’autre choix que de plaider coupable. Je voulais sortir de prison et je faisais face à 25 ans. » Madame Bouvette s’est retrouvée prise comme on dit entre le marteau et l’enclume, et considérablement désavantagée compte tenu de l’omission de la Couronne de lui avoir communiqué des renseignements pertinents. Madame Bouvette est une femme autochtone marginalisée qui vit avec des problèmes cognitifs et ses vulnérabilités ont contribué à l’erreur judiciaire </w:t>
      </w:r>
      <w:r w:rsidRPr="009C665E">
        <w:rPr>
          <w:rFonts w:cs="Times New Roman"/>
          <w:lang w:val="fr-CA"/>
        </w:rPr>
        <w:t>(motifs de la C.A., par. 101, 107 et 110). Même si la Couronne a convenu qu’un tribunal conclurait au caractère involontaire de sa quatrième déclaration à la police, je note que durant l’interrogatoire qui a duré cinq heures, elle a dit à la police qu’elle ne comprenait pas pourquoi elle était là, et elle a expliqué qu’elle avait un trouble d’apprentissage (par. 32). Je souscris à l’observation de la C</w:t>
      </w:r>
      <w:r w:rsidRPr="009C665E">
        <w:rPr>
          <w:rFonts w:cs="Times New Roman"/>
          <w:lang w:val="fr-CA" w:bidi="en-US"/>
        </w:rPr>
        <w:t>our d’appel selon laquelle « </w:t>
      </w:r>
      <w:r w:rsidRPr="009C665E">
        <w:rPr>
          <w:rFonts w:cs="Times New Roman"/>
          <w:lang w:val="fr-CA"/>
        </w:rPr>
        <w:t>[i]l n’est pas difficile de concevoir pourquoi, sans disposer de renseignements cruciaux susceptibles de l’aider, cette appelante marginalisée, dépassée par les événements et présentant une déficience intellectuelle, inscrirait un plaidoyer de culpabilité à l’égard d’une infraction moindre</w:t>
      </w:r>
      <w:r w:rsidRPr="009C665E">
        <w:rPr>
          <w:rFonts w:cs="Times New Roman"/>
          <w:lang w:val="fr-CA" w:bidi="en-US"/>
        </w:rPr>
        <w:t> » (par. 110).</w:t>
      </w:r>
    </w:p>
    <w:p w14:paraId="3061282A"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Le fait que cette cause comporte les caractéristiques procédurales et substantielles d’une déclaration de culpabilité injustifiée pèse lourdement en faveur d’un acquittement.</w:t>
      </w:r>
    </w:p>
    <w:bookmarkEnd w:id="62"/>
    <w:p w14:paraId="1A4EA3BC" w14:textId="4D32EF65" w:rsidR="009C665E" w:rsidRPr="009C665E" w:rsidRDefault="009C665E" w:rsidP="008C5412">
      <w:pPr>
        <w:pStyle w:val="Title4LevelTitre4Niveau"/>
        <w:numPr>
          <w:ilvl w:val="1"/>
          <w:numId w:val="32"/>
        </w:numPr>
        <w:spacing w:before="0"/>
        <w:ind w:left="1134" w:hanging="567"/>
        <w:rPr>
          <w:rFonts w:cs="Times New Roman"/>
          <w:lang w:val="fr-CA"/>
        </w:rPr>
      </w:pPr>
      <w:r w:rsidRPr="009C665E">
        <w:rPr>
          <w:rFonts w:cs="Times New Roman"/>
          <w:lang w:val="fr-CA"/>
        </w:rPr>
        <w:t>La possibilité de tenir un nouveau procès et la solidité de la preuve restante</w:t>
      </w:r>
    </w:p>
    <w:p w14:paraId="55EC19EB"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Les cours d’appel, parfois de manière inconsistante, ont pris en compte les perspectives de déclaration de culpabilité ou d’acquittement ainsi que la probabilité qu’un nouveau procès ait lieu lorsqu’elles ont déterminé la mesure corrective pour une erreur judiciaire. À mon avis, puisque les deux réparations possibles en application du par. 686(2) consistent à inscrire un acquittement ou à ordonner un nouveau procès, la solidité de la preuve restante de la Couronne et ce qu’il surviendrait en matière de processus si la tenue d’un nouveau procès était ordonnée sont des considérations très pertinentes.</w:t>
      </w:r>
    </w:p>
    <w:p w14:paraId="5DAB362B"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La Cour d’appel de la Colombie</w:t>
      </w:r>
      <w:r w:rsidRPr="009C665E">
        <w:rPr>
          <w:rFonts w:cs="Times New Roman"/>
          <w:lang w:val="fr-CA"/>
        </w:rPr>
        <w:noBreakHyphen/>
        <w:t>Britannique était d’avis que, puisqu’il n’était pas impossible de tenir un nouveau procès pour M</w:t>
      </w:r>
      <w:r w:rsidRPr="009C665E">
        <w:rPr>
          <w:rFonts w:cs="Times New Roman"/>
          <w:vertAlign w:val="superscript"/>
          <w:lang w:val="fr-CA"/>
        </w:rPr>
        <w:t>me</w:t>
      </w:r>
      <w:r w:rsidRPr="009C665E">
        <w:rPr>
          <w:rFonts w:cs="Times New Roman"/>
          <w:lang w:val="fr-CA"/>
        </w:rPr>
        <w:t xml:space="preserve"> Bouvette, et qu’elle ne disposait pas d’un dossier complet comme dans </w:t>
      </w:r>
      <w:r w:rsidRPr="009C665E">
        <w:rPr>
          <w:rFonts w:cs="Times New Roman"/>
          <w:i/>
          <w:lang w:val="fr-CA"/>
        </w:rPr>
        <w:t>Truscott</w:t>
      </w:r>
      <w:r w:rsidRPr="009C665E">
        <w:rPr>
          <w:rFonts w:cs="Times New Roman"/>
          <w:lang w:val="fr-CA"/>
        </w:rPr>
        <w:t xml:space="preserve">, elle ne pouvait pas ordonner un acquittement. Soit dit en tout respect, ces erreurs ont été le fruit d’une mauvaise interprétation de la décision </w:t>
      </w:r>
      <w:r w:rsidRPr="009C665E">
        <w:rPr>
          <w:rFonts w:cs="Times New Roman"/>
          <w:i/>
          <w:lang w:val="fr-CA"/>
        </w:rPr>
        <w:t>Truscott</w:t>
      </w:r>
      <w:r w:rsidRPr="009C665E">
        <w:rPr>
          <w:rFonts w:cs="Times New Roman"/>
          <w:lang w:val="fr-CA"/>
        </w:rPr>
        <w:t xml:space="preserve">. Dans la présente section, j’analyserai d’abord cette décision, les propositions qu’elle a établies et comment elle ne peut être distinguée sur ce fondement. Je m’inspirerai ensuite de ses principes, et d’autres, pour fournir des indications sur la manière d’évaluer la solidité de la preuve restante, la probabilité d’un </w:t>
      </w:r>
      <w:r w:rsidRPr="009C665E">
        <w:rPr>
          <w:rFonts w:cs="Times New Roman"/>
          <w:lang w:val="fr-CA"/>
        </w:rPr>
        <w:lastRenderedPageBreak/>
        <w:t>hypothétique nouveau procès, et la manière dont l’équité peut influer sur ces évaluations.</w:t>
      </w:r>
    </w:p>
    <w:p w14:paraId="0C49FBBF" w14:textId="77777777" w:rsidR="009C665E" w:rsidRPr="009C665E" w:rsidRDefault="009C665E" w:rsidP="009C665E">
      <w:pPr>
        <w:pStyle w:val="Title5LevelTitre5Niveau"/>
        <w:numPr>
          <w:ilvl w:val="4"/>
          <w:numId w:val="7"/>
        </w:numPr>
        <w:tabs>
          <w:tab w:val="clear" w:pos="1728"/>
          <w:tab w:val="num" w:pos="1170"/>
        </w:tabs>
        <w:spacing w:before="0"/>
        <w:ind w:left="1170" w:hanging="630"/>
        <w:rPr>
          <w:rFonts w:cs="Times New Roman"/>
        </w:rPr>
      </w:pPr>
      <w:r w:rsidRPr="009C665E">
        <w:rPr>
          <w:rFonts w:cs="Times New Roman"/>
        </w:rPr>
        <w:t xml:space="preserve">La cause </w:t>
      </w:r>
      <w:r w:rsidRPr="009C665E">
        <w:rPr>
          <w:rFonts w:cs="Times New Roman"/>
          <w:i/>
        </w:rPr>
        <w:t>Truscott</w:t>
      </w:r>
    </w:p>
    <w:p w14:paraId="0D4B85FD"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La décision </w:t>
      </w:r>
      <w:r w:rsidRPr="009C665E">
        <w:rPr>
          <w:rFonts w:cs="Times New Roman"/>
          <w:i/>
          <w:lang w:val="fr-CA"/>
        </w:rPr>
        <w:t xml:space="preserve">Truscott </w:t>
      </w:r>
      <w:r w:rsidRPr="009C665E">
        <w:rPr>
          <w:rFonts w:cs="Times New Roman"/>
          <w:lang w:val="fr-CA"/>
        </w:rPr>
        <w:t>de 2007 a été le point culminant d’un processus qui a duré des décennies durant lesquelles M. Truscott s’est battu pour que sa déclaration de culpabilité injustifiée soit réparée et que son nom soit blanchi.</w:t>
      </w:r>
    </w:p>
    <w:p w14:paraId="255FE5D9"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En 1959, à l’âge de 14 ans, M. Truscott a subi un procès comme adulte pour le meurtre de Lynne Harper, âgée de 12 ans; il a été déclaré coupable au terme d’un procès d’une durée de deux semaines et condamné à mort par pendaison, une peine qui a fini par être commuée. Ses appels ont été rejetés (</w:t>
      </w:r>
      <w:r w:rsidRPr="009C665E">
        <w:rPr>
          <w:rFonts w:cs="Times New Roman"/>
          <w:i/>
          <w:lang w:val="fr-CA"/>
        </w:rPr>
        <w:t>Reference re Truscott</w:t>
      </w:r>
      <w:r w:rsidRPr="009C665E">
        <w:rPr>
          <w:rFonts w:cs="Times New Roman"/>
          <w:lang w:val="fr-CA"/>
        </w:rPr>
        <w:t>, [1967] R.C.S. 309). Il a purgé une peine de plus de 10 ans dans une école de formation pour garçons et dans un pénitencier avant de bénéficier d’une libération conditionnelle en 1969. Monsieur Truscott a continué à clamer son innocence et la cause a fait l’objet d’une attention soutenue durant près de 50 ans tant dans les forums juridiques que non</w:t>
      </w:r>
      <w:r w:rsidRPr="009C665E">
        <w:rPr>
          <w:rFonts w:cs="Times New Roman"/>
          <w:lang w:val="fr-CA"/>
        </w:rPr>
        <w:noBreakHyphen/>
        <w:t>juridiques (</w:t>
      </w:r>
      <w:r w:rsidRPr="009C665E">
        <w:rPr>
          <w:rFonts w:cs="Times New Roman"/>
          <w:i/>
          <w:lang w:val="fr-CA"/>
        </w:rPr>
        <w:t>Truscott</w:t>
      </w:r>
      <w:r w:rsidRPr="009C665E">
        <w:rPr>
          <w:rFonts w:cs="Times New Roman"/>
          <w:lang w:val="fr-CA"/>
        </w:rPr>
        <w:t>, par. 13</w:t>
      </w:r>
      <w:r w:rsidRPr="009C665E">
        <w:rPr>
          <w:rFonts w:cs="Times New Roman"/>
          <w:lang w:val="fr-CA"/>
        </w:rPr>
        <w:noBreakHyphen/>
        <w:t>24 et 71).</w:t>
      </w:r>
    </w:p>
    <w:p w14:paraId="6B016C61"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Monsieur Truscott a demandé un examen de sa déclamation de culpabilité au ministre de la Justice en 2001, et celui</w:t>
      </w:r>
      <w:r w:rsidRPr="009C665E">
        <w:rPr>
          <w:rFonts w:cs="Times New Roman"/>
          <w:lang w:val="fr-CA"/>
        </w:rPr>
        <w:noBreakHyphen/>
        <w:t>ci a renvoyé la cause à la Cour d’appel de l’Ontario (voir les par. 22</w:t>
      </w:r>
      <w:r w:rsidRPr="009C665E">
        <w:rPr>
          <w:rFonts w:cs="Times New Roman"/>
          <w:lang w:val="fr-CA"/>
        </w:rPr>
        <w:noBreakHyphen/>
        <w:t xml:space="preserve">24). Une formation de cinq membres, composée du juge en chef McMurtry ainsi que des juges Doherty, Weiler, Rosenberg et Moldaver, a été chargée d’enquêter sur la solidité de la déclaration de culpabilité pour meurtre de </w:t>
      </w:r>
      <w:r w:rsidRPr="009C665E">
        <w:rPr>
          <w:rFonts w:cs="Times New Roman"/>
          <w:lang w:val="fr-CA"/>
        </w:rPr>
        <w:lastRenderedPageBreak/>
        <w:t>M. Truscott. Non seulement ont</w:t>
      </w:r>
      <w:r w:rsidRPr="009C665E">
        <w:rPr>
          <w:rFonts w:cs="Times New Roman"/>
          <w:lang w:val="fr-CA"/>
        </w:rPr>
        <w:noBreakHyphen/>
        <w:t>ils examiné l’ensemble du dossier, mais ils ont reçu une quantité importante de nouveaux éléments de preuve, y compris de la preuve de vive voix d’individus qui ont témoigné devant eux (par. 25</w:t>
      </w:r>
      <w:r w:rsidRPr="009C665E">
        <w:rPr>
          <w:rFonts w:cs="Times New Roman"/>
          <w:lang w:val="fr-CA"/>
        </w:rPr>
        <w:noBreakHyphen/>
        <w:t>27).</w:t>
      </w:r>
    </w:p>
    <w:p w14:paraId="30A7A812"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En dépit du caractère unique du renvoi </w:t>
      </w:r>
      <w:r w:rsidRPr="009C665E">
        <w:rPr>
          <w:rFonts w:cs="Times New Roman"/>
          <w:i/>
          <w:lang w:val="fr-CA"/>
        </w:rPr>
        <w:t>Truscott</w:t>
      </w:r>
      <w:r w:rsidRPr="009C665E">
        <w:rPr>
          <w:rFonts w:cs="Times New Roman"/>
          <w:lang w:val="fr-CA"/>
        </w:rPr>
        <w:t xml:space="preserve">, la cour a reconnu qu’elle était tout de même liée par les limites de l’examen en appel prévu au </w:t>
      </w:r>
      <w:r w:rsidRPr="009C665E">
        <w:rPr>
          <w:rFonts w:cs="Times New Roman"/>
          <w:i/>
          <w:lang w:val="fr-CA"/>
        </w:rPr>
        <w:t>Code</w:t>
      </w:r>
      <w:r w:rsidRPr="009C665E">
        <w:rPr>
          <w:rFonts w:cs="Times New Roman"/>
          <w:lang w:val="fr-CA"/>
        </w:rPr>
        <w:t xml:space="preserve"> (par. 70, 72 et 74</w:t>
      </w:r>
      <w:r w:rsidRPr="009C665E">
        <w:rPr>
          <w:rFonts w:cs="Times New Roman"/>
          <w:lang w:val="fr-CA"/>
        </w:rPr>
        <w:noBreakHyphen/>
        <w:t>75). Elle a reconnu que [</w:t>
      </w:r>
      <w:r w:rsidRPr="009C665E">
        <w:rPr>
          <w:rFonts w:cs="Times New Roman"/>
          <w:smallCaps/>
          <w:lang w:val="fr-CA"/>
        </w:rPr>
        <w:t>traduction</w:t>
      </w:r>
      <w:r w:rsidRPr="009C665E">
        <w:rPr>
          <w:rFonts w:cs="Times New Roman"/>
          <w:lang w:val="fr-CA"/>
        </w:rPr>
        <w:t>] « [r]elativement peu de choses [ont été] écrites quant aux principes guidant l’exercice du pouvoir discrétionnaire de réparation prévu au par. 686(2) » et que la jurisprudence offrait « peu d’indications » relativement à la question de savoir quand il est approprié de prononcer un acquittement plutôt que d’ordonner un nouveau procès en prescrivant un arrêt des procédures (par. 247 et 249). La cour a cherché à combler cette lacune et a formulé ce qu’elle comprenait être les principes de base qui s’appliquaient à l’exercice de ses pouvoirs de réparation.</w:t>
      </w:r>
    </w:p>
    <w:p w14:paraId="2AE7847F"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Premièrement, elle a observé que, lorsqu’une cour d’appel annule une déclaration de culpabilité, le par. 686(2) prévoit deux mesures de réparation : un acquittement ou un nouveau procès (par. 246).</w:t>
      </w:r>
    </w:p>
    <w:p w14:paraId="0ED2BA55"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Deuxièmement, elle a noté que, si la cour ordonne un nouveau procès, le par. 686(8) l’autorise à aussi ordonner un arrêt du nouveau procès lorsque la tenue de celui</w:t>
      </w:r>
      <w:r w:rsidRPr="009C665E">
        <w:rPr>
          <w:rFonts w:cs="Times New Roman"/>
          <w:lang w:val="fr-CA"/>
        </w:rPr>
        <w:noBreakHyphen/>
        <w:t>ci [</w:t>
      </w:r>
      <w:r w:rsidRPr="009C665E">
        <w:rPr>
          <w:rFonts w:cs="Times New Roman"/>
          <w:smallCaps/>
          <w:lang w:val="fr-CA"/>
        </w:rPr>
        <w:t>traduction</w:t>
      </w:r>
      <w:r w:rsidRPr="009C665E">
        <w:rPr>
          <w:rFonts w:cs="Times New Roman"/>
          <w:lang w:val="fr-CA"/>
        </w:rPr>
        <w:t>] « serait manifestement injuste envers l’appelant » (par. 246).</w:t>
      </w:r>
    </w:p>
    <w:p w14:paraId="4542F937"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Troisièmement, elle a ajouté que, lorsqu’il est manifeste qu’aucun jury raisonnable ne pourrait conclure à la culpabilité, [</w:t>
      </w:r>
      <w:r w:rsidRPr="009C665E">
        <w:rPr>
          <w:rFonts w:cs="Times New Roman"/>
          <w:smallCaps/>
          <w:lang w:val="fr-CA"/>
        </w:rPr>
        <w:t>traduction</w:t>
      </w:r>
      <w:r w:rsidRPr="009C665E">
        <w:rPr>
          <w:rFonts w:cs="Times New Roman"/>
          <w:lang w:val="fr-CA"/>
        </w:rPr>
        <w:t xml:space="preserve">] « la cour d’appel doit </w:t>
      </w:r>
      <w:r w:rsidRPr="009C665E">
        <w:rPr>
          <w:rFonts w:cs="Times New Roman"/>
          <w:lang w:val="fr-CA"/>
        </w:rPr>
        <w:lastRenderedPageBreak/>
        <w:t xml:space="preserve">exercer son pouvoir discrétionnaire en faveur d’un acquittement » (par. 247). Cependant, la cour n’a pas ordonné l’acquittement de M. Truscott sur ce fondement, parce que les juges se sont </w:t>
      </w:r>
      <w:proofErr w:type="gramStart"/>
      <w:r w:rsidRPr="009C665E">
        <w:rPr>
          <w:rFonts w:cs="Times New Roman"/>
          <w:lang w:val="fr-CA"/>
        </w:rPr>
        <w:t>dits</w:t>
      </w:r>
      <w:proofErr w:type="gramEnd"/>
      <w:r w:rsidRPr="009C665E">
        <w:rPr>
          <w:rFonts w:cs="Times New Roman"/>
          <w:lang w:val="fr-CA"/>
        </w:rPr>
        <w:t xml:space="preserve"> incapables de conclure qu’il avait été satisfait au seuil élevé du verdict déraisonnable.</w:t>
      </w:r>
    </w:p>
    <w:p w14:paraId="355F7E82"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Quatrièmement, et en lien avec le point précédent, la cour a jugé que, [</w:t>
      </w:r>
      <w:r w:rsidRPr="009C665E">
        <w:rPr>
          <w:rFonts w:cs="Times New Roman"/>
          <w:smallCaps/>
          <w:lang w:val="fr-CA"/>
        </w:rPr>
        <w:t>traduction</w:t>
      </w:r>
      <w:r w:rsidRPr="009C665E">
        <w:rPr>
          <w:rFonts w:cs="Times New Roman"/>
          <w:lang w:val="fr-CA"/>
        </w:rPr>
        <w:t>] « [e]n règle générale », la cour d’appel ordonne un nouveau procès pour cause d’erreur judiciaire lorsque le dossier d’appel permet d’envisager une possibilité raisonnable de déclaration de culpabilité (par. 248).</w:t>
      </w:r>
    </w:p>
    <w:p w14:paraId="2B851EAA"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Cinquièmement, et ce qui est le plus pertinent dans le présent pourvoi, elle a reconnu que certaines causes sont « hors norme » (par. 259; voir aussi les par. 253 et 257</w:t>
      </w:r>
      <w:r w:rsidRPr="009C665E">
        <w:rPr>
          <w:rFonts w:cs="Times New Roman"/>
          <w:lang w:val="fr-CA"/>
        </w:rPr>
        <w:noBreakHyphen/>
        <w:t>258). Elle a rejeté la position de la Couronne selon laquelle un acquittement ne peut être inscrit que lorsqu’aucun jury raisonnable ne peut conclure à la culpabilité et a plutôt jugé que [</w:t>
      </w:r>
      <w:r w:rsidRPr="009C665E">
        <w:rPr>
          <w:rFonts w:cs="Times New Roman"/>
          <w:smallCaps/>
          <w:lang w:val="fr-CA"/>
        </w:rPr>
        <w:t>traduction</w:t>
      </w:r>
      <w:r w:rsidRPr="009C665E">
        <w:rPr>
          <w:rFonts w:cs="Times New Roman"/>
          <w:lang w:val="fr-CA"/>
        </w:rPr>
        <w:t>] « [l]e pouvoir discrétionnaire de réparation prévu au par. 686(2) est suffisamment large pour autoriser un examen plus en profondeur du dossier de preuve dans les causes où l’intérêt de la justice requiert de recourir à cette approche » (par. 259).</w:t>
      </w:r>
    </w:p>
    <w:p w14:paraId="2CF626A4"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Concluant que la cause dont elle était saisie ne constituait pas un appel courant, la cour a examiné de nombreux facteurs qui justifiaient d’adopter une approche différente pour donner réparation. Ces facteurs comprenaient : la conclusion que la déclaration de culpabilité de M. Truscott avait été une erreur judiciaire; le fait qu’il a maintenu son innocence depuis la nuit de la disparition de Lynne Harper; le fait qu’il a </w:t>
      </w:r>
      <w:r w:rsidRPr="009C665E">
        <w:rPr>
          <w:rFonts w:cs="Times New Roman"/>
          <w:lang w:val="fr-CA"/>
        </w:rPr>
        <w:lastRenderedPageBreak/>
        <w:t>vécu en portant le fardeau d’une erreur judiciaire; la faiblesse de la cause de la Couronne à la lumière du dossier plus étoffé; et l’absence d’un autre forum qui pourrait un jour évaluer la culpabilité sur le fondement d’un [</w:t>
      </w:r>
      <w:r w:rsidRPr="009C665E">
        <w:rPr>
          <w:rFonts w:cs="Times New Roman"/>
          <w:smallCaps/>
          <w:lang w:val="fr-CA"/>
        </w:rPr>
        <w:t>traduction</w:t>
      </w:r>
      <w:r w:rsidRPr="009C665E">
        <w:rPr>
          <w:rFonts w:cs="Times New Roman"/>
          <w:lang w:val="fr-CA"/>
        </w:rPr>
        <w:t>] « dossier complet » (par. 260). En évaluant les circonstances globales de l’affaire, la cour a également jugé important que, près de 50 ans après les faits, il était impossible de tenir un nouveau procès (par. 73 et 259).</w:t>
      </w:r>
    </w:p>
    <w:p w14:paraId="7A3534F8"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Le processus auquel a recouru la cour pour déterminer comment elle exercerait son pouvoir discrétionnaire de réparation a consisté à envisager la tenue d’un hypothétique nouveau procès. La Couronne refusait d’informer la cour de ce qu’elle ferait advenant la tenue d’un nouveau procès; la cour a néanmoins examiné le bien-fondé de la cause en cours contre M. Truscott sur le fondement du dossier étoffé. Les juges ont appliqué la norme suivante : M. Truscott aurait droit à un acquittement si [</w:t>
      </w:r>
      <w:r w:rsidRPr="009C665E">
        <w:rPr>
          <w:rFonts w:cs="Times New Roman"/>
          <w:smallCaps/>
          <w:lang w:val="fr-CA"/>
        </w:rPr>
        <w:t>traduction</w:t>
      </w:r>
      <w:r w:rsidRPr="009C665E">
        <w:rPr>
          <w:rFonts w:cs="Times New Roman"/>
          <w:lang w:val="fr-CA"/>
        </w:rPr>
        <w:t>] « compte tenu de tous les renseignements maintenant disponibles, il est manifestement plus probable qu’improbable que l’appelant serait acquitté » à ce procès (par. 268).</w:t>
      </w:r>
    </w:p>
    <w:p w14:paraId="663E14AA"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Ainsi, la Cour d’appel a acquitté M. Truscott après avoir annulé sa déclaration de culpabilité sur le fondement d’une erreur judiciaire, dans une cause où il n’était pas satisfait à la norme du verdict déraisonnable, parce que l’intérêt de la justice exigeait un contrôle plus en profondeur du dossier et démontrait clairement que M. Truscott aurait probablement été acquitté lors de tout hypothétique nouveau procès. Certes, la cour se prononçait certainement sur les circonstances spécifiques soulevées </w:t>
      </w:r>
      <w:r w:rsidRPr="009C665E">
        <w:rPr>
          <w:rFonts w:cs="Times New Roman"/>
          <w:lang w:val="fr-CA"/>
        </w:rPr>
        <w:lastRenderedPageBreak/>
        <w:t xml:space="preserve">dans la cause dont elle était saisie, mais elle a aussi reconnu une approche large et souple permettant de conclure à un acquittement dans les cas d’erreurs judiciaires et y a recouru, une approche qui a depuis été prise en compte par plusieurs cours d’appel (voir, p. ex., </w:t>
      </w:r>
      <w:r w:rsidRPr="009C665E">
        <w:rPr>
          <w:rFonts w:cs="Times New Roman"/>
          <w:i/>
          <w:lang w:val="fr-CA"/>
        </w:rPr>
        <w:t>Walsh</w:t>
      </w:r>
      <w:r w:rsidRPr="009C665E">
        <w:rPr>
          <w:rFonts w:cs="Times New Roman"/>
          <w:lang w:val="fr-CA"/>
        </w:rPr>
        <w:t xml:space="preserve">; </w:t>
      </w:r>
      <w:r w:rsidRPr="009C665E">
        <w:rPr>
          <w:rFonts w:cs="Times New Roman"/>
          <w:i/>
          <w:lang w:val="fr-CA"/>
        </w:rPr>
        <w:t>D.R.S.</w:t>
      </w:r>
      <w:r w:rsidRPr="009C665E">
        <w:rPr>
          <w:rFonts w:cs="Times New Roman"/>
          <w:lang w:val="fr-CA"/>
        </w:rPr>
        <w:t xml:space="preserve">; </w:t>
      </w:r>
      <w:r w:rsidRPr="009C665E">
        <w:rPr>
          <w:rFonts w:cs="Times New Roman"/>
          <w:i/>
          <w:lang w:val="fr-CA"/>
        </w:rPr>
        <w:t>Dhillon</w:t>
      </w:r>
      <w:r w:rsidRPr="009C665E">
        <w:rPr>
          <w:rFonts w:cs="Times New Roman"/>
          <w:lang w:val="fr-CA"/>
        </w:rPr>
        <w:t xml:space="preserve">, par. 54; </w:t>
      </w:r>
      <w:r w:rsidRPr="009C665E">
        <w:rPr>
          <w:rFonts w:cs="Times New Roman"/>
          <w:i/>
          <w:lang w:val="fr-CA"/>
        </w:rPr>
        <w:t>Ostrowski</w:t>
      </w:r>
      <w:r w:rsidRPr="009C665E">
        <w:rPr>
          <w:rFonts w:cs="Times New Roman"/>
          <w:lang w:val="fr-CA"/>
        </w:rPr>
        <w:t>, par. 25</w:t>
      </w:r>
      <w:r w:rsidRPr="009C665E">
        <w:rPr>
          <w:rFonts w:cs="Times New Roman"/>
          <w:lang w:val="fr-CA"/>
        </w:rPr>
        <w:noBreakHyphen/>
        <w:t xml:space="preserve">26). À l’instar de l’appelante, j’estime que, dans </w:t>
      </w:r>
      <w:r w:rsidRPr="009C665E">
        <w:rPr>
          <w:rFonts w:cs="Times New Roman"/>
          <w:i/>
          <w:lang w:val="fr-CA"/>
        </w:rPr>
        <w:t>Truscott</w:t>
      </w:r>
      <w:r w:rsidRPr="009C665E">
        <w:rPr>
          <w:rFonts w:cs="Times New Roman"/>
          <w:lang w:val="fr-CA"/>
        </w:rPr>
        <w:t>,</w:t>
      </w:r>
      <w:r w:rsidRPr="009C665E">
        <w:rPr>
          <w:rFonts w:cs="Times New Roman"/>
          <w:i/>
          <w:lang w:val="fr-CA"/>
        </w:rPr>
        <w:t xml:space="preserve"> </w:t>
      </w:r>
      <w:r w:rsidRPr="009C665E">
        <w:rPr>
          <w:rFonts w:cs="Times New Roman"/>
          <w:lang w:val="fr-CA"/>
        </w:rPr>
        <w:t>la cour n’avait pas l’intention d’établir un cadre d’analyse exhaustif ou exclusif (m.a., par. 94</w:t>
      </w:r>
      <w:r w:rsidRPr="009C665E">
        <w:rPr>
          <w:rFonts w:cs="Times New Roman"/>
          <w:lang w:val="fr-CA"/>
        </w:rPr>
        <w:noBreakHyphen/>
        <w:t>96).</w:t>
      </w:r>
    </w:p>
    <w:p w14:paraId="76ABA049" w14:textId="77777777" w:rsidR="009C665E" w:rsidRPr="009C665E" w:rsidRDefault="009C665E" w:rsidP="009C665E">
      <w:pPr>
        <w:pStyle w:val="ParaNoNdepar-AltN"/>
        <w:spacing w:before="0"/>
        <w:rPr>
          <w:rFonts w:cs="Times New Roman"/>
          <w:lang w:val="fr-CA"/>
        </w:rPr>
      </w:pPr>
      <w:r w:rsidRPr="009C665E">
        <w:rPr>
          <w:rFonts w:cs="Times New Roman"/>
          <w:lang w:val="fr-CA"/>
        </w:rPr>
        <w:t>Contrairement aux conclusions de la Cour d’appel de la Colombie</w:t>
      </w:r>
      <w:r w:rsidRPr="009C665E">
        <w:rPr>
          <w:rFonts w:cs="Times New Roman"/>
          <w:lang w:val="fr-CA"/>
        </w:rPr>
        <w:noBreakHyphen/>
        <w:t>Britannique dans la cause de M</w:t>
      </w:r>
      <w:r w:rsidRPr="009C665E">
        <w:rPr>
          <w:rFonts w:cs="Times New Roman"/>
          <w:vertAlign w:val="superscript"/>
          <w:lang w:val="fr-CA"/>
        </w:rPr>
        <w:t>me</w:t>
      </w:r>
      <w:r w:rsidRPr="009C665E">
        <w:rPr>
          <w:rFonts w:cs="Times New Roman"/>
          <w:lang w:val="fr-CA"/>
        </w:rPr>
        <w:t xml:space="preserve"> Bouvette, la Cour d’appel dans </w:t>
      </w:r>
      <w:r w:rsidRPr="009C665E">
        <w:rPr>
          <w:rFonts w:cs="Times New Roman"/>
          <w:i/>
          <w:lang w:val="fr-CA"/>
        </w:rPr>
        <w:t>Truscott</w:t>
      </w:r>
      <w:r w:rsidRPr="009C665E">
        <w:rPr>
          <w:rFonts w:cs="Times New Roman"/>
          <w:lang w:val="fr-CA"/>
        </w:rPr>
        <w:t xml:space="preserve"> n’a pas requis ou parlé d’une « approche exceptionnelle de la réparation » visée au par. 686(2). Elle a mentionné des cas qui étaient hors norme, ce qui est un concept différent. La Cour d’appel n’avait pas à être convaincue que le cas de M</w:t>
      </w:r>
      <w:r w:rsidRPr="009C665E">
        <w:rPr>
          <w:rFonts w:cs="Times New Roman"/>
          <w:vertAlign w:val="superscript"/>
          <w:lang w:val="fr-CA"/>
        </w:rPr>
        <w:t>me</w:t>
      </w:r>
      <w:r w:rsidRPr="009C665E">
        <w:rPr>
          <w:rFonts w:cs="Times New Roman"/>
          <w:lang w:val="fr-CA"/>
        </w:rPr>
        <w:t> Bouvette était « suffisamment exceptionnel » pour justifier son application (par. 137; voir aussi les par. 115 et 138). Cependant, même si le sens de l’adjectif « exceptionnel » est étiré pour comprendre les cas hors norme, les caractéristiques procédurales et substantielles d’une déclaration de culpabilité injustifiée ainsi que les circonstances de M</w:t>
      </w:r>
      <w:r w:rsidRPr="009C665E">
        <w:rPr>
          <w:rFonts w:cs="Times New Roman"/>
          <w:vertAlign w:val="superscript"/>
          <w:lang w:val="fr-CA"/>
        </w:rPr>
        <w:t>me </w:t>
      </w:r>
      <w:r w:rsidRPr="009C665E">
        <w:rPr>
          <w:rFonts w:cs="Times New Roman"/>
          <w:lang w:val="fr-CA"/>
        </w:rPr>
        <w:t>Bouvette exigent un examen rigoureux dans l’intérêt de la justice.</w:t>
      </w:r>
    </w:p>
    <w:p w14:paraId="31310B41" w14:textId="77777777" w:rsidR="009C665E" w:rsidRPr="009C665E" w:rsidRDefault="009C665E" w:rsidP="009C665E">
      <w:pPr>
        <w:pStyle w:val="ParaNoNdepar-AltN"/>
        <w:spacing w:before="0"/>
        <w:rPr>
          <w:rFonts w:cs="Times New Roman"/>
          <w:lang w:val="fr-CA"/>
        </w:rPr>
      </w:pPr>
      <w:r w:rsidRPr="009C665E">
        <w:rPr>
          <w:rFonts w:cs="Times New Roman"/>
          <w:lang w:val="fr-CA"/>
        </w:rPr>
        <w:t xml:space="preserve">La décision </w:t>
      </w:r>
      <w:r w:rsidRPr="009C665E">
        <w:rPr>
          <w:rFonts w:cs="Times New Roman"/>
          <w:i/>
          <w:lang w:val="fr-CA"/>
        </w:rPr>
        <w:t>Truscott</w:t>
      </w:r>
      <w:r w:rsidRPr="009C665E">
        <w:rPr>
          <w:rFonts w:cs="Times New Roman"/>
          <w:lang w:val="fr-CA"/>
        </w:rPr>
        <w:t xml:space="preserve"> ne peut pas être distinguée non plus du fait qu’il n’était pas possible de tenir un nouveau procès pour M. Truscott,</w:t>
      </w:r>
      <w:r w:rsidRPr="009C665E">
        <w:rPr>
          <w:rFonts w:cs="Times New Roman"/>
          <w:i/>
          <w:lang w:val="fr-CA"/>
        </w:rPr>
        <w:t xml:space="preserve"> </w:t>
      </w:r>
      <w:r w:rsidRPr="009C665E">
        <w:rPr>
          <w:rFonts w:cs="Times New Roman"/>
          <w:lang w:val="fr-CA"/>
        </w:rPr>
        <w:t>tandis qu’il était toujours théoriquement possible de le faire pour M</w:t>
      </w:r>
      <w:r w:rsidRPr="009C665E">
        <w:rPr>
          <w:rFonts w:cs="Times New Roman"/>
          <w:vertAlign w:val="superscript"/>
          <w:lang w:val="fr-CA"/>
        </w:rPr>
        <w:t>me</w:t>
      </w:r>
      <w:r w:rsidRPr="009C665E">
        <w:rPr>
          <w:rFonts w:cs="Times New Roman"/>
          <w:lang w:val="fr-CA"/>
        </w:rPr>
        <w:t xml:space="preserve"> Bouvette. Il s’agissait d’un facteur pertinent dans </w:t>
      </w:r>
      <w:r w:rsidRPr="009C665E">
        <w:rPr>
          <w:rFonts w:cs="Times New Roman"/>
          <w:i/>
          <w:lang w:val="fr-CA"/>
        </w:rPr>
        <w:t>Truscott</w:t>
      </w:r>
      <w:r w:rsidRPr="009C665E">
        <w:rPr>
          <w:rFonts w:cs="Times New Roman"/>
          <w:lang w:val="fr-CA"/>
        </w:rPr>
        <w:t xml:space="preserve">, non pas d’un prérequis juridique pour prononcer un acquittement. Lorsqu’on lit les passages pertinents de la décision dans leur ensemble, </w:t>
      </w:r>
      <w:r w:rsidRPr="009C665E">
        <w:rPr>
          <w:rFonts w:cs="Times New Roman"/>
          <w:lang w:val="fr-CA"/>
        </w:rPr>
        <w:lastRenderedPageBreak/>
        <w:t>l’impossibilité de tenir un nouveau procès n’a pas été proposée comme une condition préalable à l’exercice du pouvoir discrétionnaire visé au par. 686(2) dans toutes les causes. La cour a souligné combien le pouvoir discrétionnaire que confère cette disposition est large, et elle a jugé que l’incapacité de faire subir un nouveau procès à M. Truscott était un facteur parmi d’autres qui avait justifié d’adopter une telle approche pour assurer l’équité et la finalité dans cette cause (par. 259</w:t>
      </w:r>
      <w:r w:rsidRPr="009C665E">
        <w:rPr>
          <w:rFonts w:cs="Times New Roman"/>
          <w:lang w:val="fr-CA"/>
        </w:rPr>
        <w:noBreakHyphen/>
        <w:t>267).</w:t>
      </w:r>
    </w:p>
    <w:p w14:paraId="41898478"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Ainsi, sur le plan du principe juridique, il n’incombe pas aux appelants d’établir qu’il est impossible de tenir un nouveau procès si l’intérêt de la justice dans leur cause justifie autrement un examen approfondi de l’opportunité d’un acquittement, y compris une évaluation du bien</w:t>
      </w:r>
      <w:r w:rsidRPr="009C665E">
        <w:rPr>
          <w:rFonts w:cs="Times New Roman"/>
          <w:lang w:val="fr-CA"/>
        </w:rPr>
        <w:noBreakHyphen/>
        <w:t>fondé de l’accusation (</w:t>
      </w:r>
      <w:r w:rsidRPr="009C665E">
        <w:rPr>
          <w:rFonts w:cs="Times New Roman"/>
          <w:i/>
          <w:lang w:val="fr-CA"/>
        </w:rPr>
        <w:t>Truscott</w:t>
      </w:r>
      <w:r w:rsidRPr="009C665E">
        <w:rPr>
          <w:rFonts w:cs="Times New Roman"/>
          <w:lang w:val="fr-CA"/>
        </w:rPr>
        <w:t>, par. 259 et 263). La Couronne s’est également prononcée contre cette norme invoquant que le sens du terme [</w:t>
      </w:r>
      <w:r w:rsidRPr="009C665E">
        <w:rPr>
          <w:rFonts w:cs="Times New Roman"/>
          <w:smallCaps/>
          <w:lang w:val="fr-CA"/>
        </w:rPr>
        <w:t>traduction</w:t>
      </w:r>
      <w:r w:rsidRPr="009C665E">
        <w:rPr>
          <w:rFonts w:cs="Times New Roman"/>
          <w:lang w:val="fr-CA"/>
        </w:rPr>
        <w:t>] « impossible » n’est pas clair dans le contexte d’un nouveau procès, surtout parce qu’il est toujours théoriquement possible d’en tenir un (transcription, p. 63, 65 et 67). Je suis d’accord que de requérir que la tenue d’un nouveau procès soit impossible serait aussi irréalisable d’un point de vue pratique.</w:t>
      </w:r>
    </w:p>
    <w:p w14:paraId="53ABD0DA"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t>Il ne faudrait pas non plus accorder trop de poids à la conclusion de la Cour d’appel de la Colombie</w:t>
      </w:r>
      <w:r w:rsidRPr="009C665E">
        <w:rPr>
          <w:rFonts w:cs="Times New Roman"/>
          <w:lang w:val="fr-CA"/>
        </w:rPr>
        <w:noBreakHyphen/>
        <w:t xml:space="preserve">Britannique que son dossier était incomplet, tandis que la cour dans </w:t>
      </w:r>
      <w:r w:rsidRPr="009C665E">
        <w:rPr>
          <w:rFonts w:cs="Times New Roman"/>
          <w:i/>
          <w:lang w:val="fr-CA"/>
        </w:rPr>
        <w:t>Truscott</w:t>
      </w:r>
      <w:r w:rsidRPr="009C665E">
        <w:rPr>
          <w:rFonts w:cs="Times New Roman"/>
          <w:lang w:val="fr-CA"/>
        </w:rPr>
        <w:t xml:space="preserve"> avait l’avantage de disposer d’un dossier complet pour évaluer la culpabilité (par. 114</w:t>
      </w:r>
      <w:r w:rsidRPr="009C665E">
        <w:rPr>
          <w:rFonts w:cs="Times New Roman"/>
          <w:lang w:val="fr-CA"/>
        </w:rPr>
        <w:noBreakHyphen/>
        <w:t>115 et 138</w:t>
      </w:r>
      <w:r w:rsidRPr="009C665E">
        <w:rPr>
          <w:rFonts w:cs="Times New Roman"/>
          <w:lang w:val="fr-CA"/>
        </w:rPr>
        <w:noBreakHyphen/>
        <w:t xml:space="preserve">139). Tous les appels n’ont pas un dossier semblable à celui dans </w:t>
      </w:r>
      <w:r w:rsidRPr="009C665E">
        <w:rPr>
          <w:rFonts w:cs="Times New Roman"/>
          <w:i/>
          <w:lang w:val="fr-CA"/>
        </w:rPr>
        <w:t>Truscott</w:t>
      </w:r>
      <w:r w:rsidRPr="009C665E">
        <w:rPr>
          <w:rFonts w:cs="Times New Roman"/>
          <w:lang w:val="fr-CA"/>
        </w:rPr>
        <w:t xml:space="preserve">, et n’ont pas à en avoir un, avant que le tribunal puisse exercer son large pouvoir discrétionnaire de réparation. Dans </w:t>
      </w:r>
      <w:r w:rsidRPr="009C665E">
        <w:rPr>
          <w:rFonts w:cs="Times New Roman"/>
          <w:i/>
          <w:lang w:val="fr-CA"/>
        </w:rPr>
        <w:t>Truscott</w:t>
      </w:r>
      <w:r w:rsidRPr="009C665E">
        <w:rPr>
          <w:rFonts w:cs="Times New Roman"/>
          <w:lang w:val="fr-CA"/>
        </w:rPr>
        <w:t xml:space="preserve">, la cour a souligné à </w:t>
      </w:r>
      <w:r w:rsidRPr="009C665E">
        <w:rPr>
          <w:rFonts w:cs="Times New Roman"/>
          <w:lang w:val="fr-CA"/>
        </w:rPr>
        <w:lastRenderedPageBreak/>
        <w:t>plusieurs reprises les [</w:t>
      </w:r>
      <w:r w:rsidRPr="009C665E">
        <w:rPr>
          <w:rFonts w:cs="Times New Roman"/>
          <w:smallCaps/>
          <w:lang w:val="fr-CA"/>
        </w:rPr>
        <w:t>traduction</w:t>
      </w:r>
      <w:r w:rsidRPr="009C665E">
        <w:rPr>
          <w:rFonts w:cs="Times New Roman"/>
          <w:lang w:val="fr-CA"/>
        </w:rPr>
        <w:t xml:space="preserve">] « circonstances uniques » de cette affaire et a rendu une décision très longue et réfléchie, dont la majeure partie a été consacrée à l’évaluation des nouveaux éléments de preuve. Il serait pratiquement impossible d’avoir un tel dossier dans la plupart des appels, même ceux qui sont hors norme en raison d’une possible déclaration de culpabilité injustifiée, et son absence ne devrait pas empêcher un appelant de solliciter un acquittement, en partie parce qu’une telle exigence créerait une contrainte excessive et inutile pour les ressources limitées des parties, de la société et de l’appareil judiciaire. J’accepte que le dossier dont la cour a été saisie dans l’affaire </w:t>
      </w:r>
      <w:r w:rsidRPr="009C665E">
        <w:rPr>
          <w:rFonts w:cs="Times New Roman"/>
          <w:i/>
          <w:lang w:val="fr-CA" w:bidi="en-US"/>
        </w:rPr>
        <w:t xml:space="preserve">Truscott </w:t>
      </w:r>
      <w:r w:rsidRPr="009C665E">
        <w:rPr>
          <w:rFonts w:cs="Times New Roman"/>
          <w:lang w:val="fr-CA" w:bidi="en-US"/>
        </w:rPr>
        <w:t xml:space="preserve">puisse être qualifié </w:t>
      </w:r>
      <w:r w:rsidRPr="009C665E">
        <w:rPr>
          <w:rFonts w:cs="Times New Roman"/>
          <w:lang w:val="fr-CA"/>
        </w:rPr>
        <w:t>d’idéal</w:t>
      </w:r>
      <w:r w:rsidRPr="009C665E">
        <w:rPr>
          <w:rFonts w:cs="Times New Roman"/>
          <w:lang w:val="fr-CA" w:bidi="en-US"/>
        </w:rPr>
        <w:t>, mais je conviens néanmoins avec la Couronne que de prescrire une exigence aussi stricte serait excessif et indûment préjudiciable pour de nombreux appelants qui ont subi une erreur judiciaire (m.i., par. 95</w:t>
      </w:r>
      <w:r w:rsidRPr="009C665E">
        <w:rPr>
          <w:rFonts w:cs="Times New Roman"/>
          <w:lang w:val="fr-CA" w:bidi="en-US"/>
        </w:rPr>
        <w:noBreakHyphen/>
        <w:t>96; transcription, p. 66).</w:t>
      </w:r>
    </w:p>
    <w:p w14:paraId="01780C32"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En outre, la nature même de l’erreur judiciaire établie peut empêcher un appelant de bâtir ce qu’un « dossier complet » semble exiger. À titre d’exemple, des renseignements peuvent ne plus être disponibles en raison de l’écoulement du temps, un manque de preuve, ou lorsque l’omission par l’État de communiquer de la preuve a eu une incidence sur la capacité de confronter la preuve au procès. Comme je l’expliquerai ci</w:t>
      </w:r>
      <w:r w:rsidRPr="009C665E">
        <w:rPr>
          <w:rFonts w:cs="Times New Roman"/>
          <w:lang w:val="fr-CA"/>
        </w:rPr>
        <w:noBreakHyphen/>
        <w:t>après, la cour d’appel doit évaluer la solidité des arguments de la Couronne dans le contexte de la cause dans son ensemble, et ne pas s’opposer à un acquittement uniquement parce qu’un dossier n’est pas « complet ».</w:t>
      </w:r>
    </w:p>
    <w:p w14:paraId="75789B33" w14:textId="77777777" w:rsidR="009C665E" w:rsidRPr="009C665E" w:rsidRDefault="009C665E" w:rsidP="009C665E">
      <w:pPr>
        <w:pStyle w:val="Title5LevelTitre5Niveau"/>
        <w:widowControl w:val="0"/>
        <w:numPr>
          <w:ilvl w:val="4"/>
          <w:numId w:val="7"/>
        </w:numPr>
        <w:tabs>
          <w:tab w:val="clear" w:pos="1728"/>
          <w:tab w:val="num" w:pos="1170"/>
        </w:tabs>
        <w:spacing w:before="0"/>
        <w:ind w:left="1170"/>
        <w:rPr>
          <w:rFonts w:cs="Times New Roman"/>
          <w:lang w:val="fr-CA"/>
        </w:rPr>
      </w:pPr>
      <w:r w:rsidRPr="009C665E">
        <w:rPr>
          <w:rFonts w:cs="Times New Roman"/>
          <w:lang w:val="fr-CA"/>
        </w:rPr>
        <w:t>La solidité de la preuve de la Couronne</w:t>
      </w:r>
    </w:p>
    <w:p w14:paraId="2EE6E6D8"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lastRenderedPageBreak/>
        <w:t>Je reconnais que, lorsqu’il serait inévitablement satisfait à la norme exigeante prévue au sous</w:t>
      </w:r>
      <w:r w:rsidRPr="009C665E">
        <w:rPr>
          <w:rFonts w:cs="Times New Roman"/>
          <w:lang w:val="fr-CA"/>
        </w:rPr>
        <w:noBreakHyphen/>
        <w:t>al. 686(1</w:t>
      </w:r>
      <w:proofErr w:type="gramStart"/>
      <w:r w:rsidRPr="009C665E">
        <w:rPr>
          <w:rFonts w:cs="Times New Roman"/>
          <w:lang w:val="fr-CA"/>
        </w:rPr>
        <w:t>)a)(</w:t>
      </w:r>
      <w:proofErr w:type="gramEnd"/>
      <w:r w:rsidRPr="009C665E">
        <w:rPr>
          <w:rFonts w:cs="Times New Roman"/>
          <w:lang w:val="fr-CA"/>
        </w:rPr>
        <w:t xml:space="preserve">i) pour conclure à un verdict déraisonnable dans le cadre d’un nouveau procès, l’acquittement devrait être la mesure que la cour est présumée ordonner, et ce, même si d’autres moyens d’appel ont été plaidés ou acceptés, car il est dans l’intérêt de la justice, de l’équité et de l’efficacité que l’ordonnance définitive que constitue l’acquittement soit rendue en appel. Comme la cour l’a expliqué dans l’arrêt </w:t>
      </w:r>
      <w:r w:rsidRPr="009C665E">
        <w:rPr>
          <w:rFonts w:cs="Times New Roman"/>
          <w:i/>
          <w:lang w:val="fr-CA"/>
        </w:rPr>
        <w:t>Truscott</w:t>
      </w:r>
      <w:r w:rsidRPr="009C665E">
        <w:rPr>
          <w:rFonts w:cs="Times New Roman"/>
          <w:lang w:val="fr-CA"/>
        </w:rPr>
        <w:t>, lorsqu’une déclaration de culpabilité prononcée à l’issue d’un nouveau procès serait vraisemblablement annulée au motif qu’il s’agit d’un verdict déraisonnable, la cour ne donnerait pas à la Couronne une autre occasion de présenter sa preuve (par. 247).</w:t>
      </w:r>
    </w:p>
    <w:p w14:paraId="6B32C076" w14:textId="77777777" w:rsidR="009C665E" w:rsidRPr="009C665E" w:rsidRDefault="009C665E" w:rsidP="009C665E">
      <w:pPr>
        <w:pStyle w:val="ParaNoNdepar-AltN"/>
        <w:tabs>
          <w:tab w:val="clear" w:pos="1166"/>
          <w:tab w:val="num" w:pos="1152"/>
        </w:tabs>
        <w:spacing w:before="0"/>
        <w:rPr>
          <w:rFonts w:cs="Times New Roman"/>
          <w:szCs w:val="24"/>
          <w:lang w:val="fr-CA"/>
        </w:rPr>
      </w:pPr>
      <w:r w:rsidRPr="009C665E">
        <w:rPr>
          <w:rFonts w:cs="Times New Roman"/>
          <w:lang w:val="fr-CA"/>
        </w:rPr>
        <w:t xml:space="preserve">Toutefois, à l’instar de ce que la Couronne a soutenu sans succès devant la cour dans l’affaire </w:t>
      </w:r>
      <w:r w:rsidRPr="009C665E">
        <w:rPr>
          <w:rFonts w:cs="Times New Roman"/>
          <w:i/>
          <w:lang w:val="fr-CA"/>
        </w:rPr>
        <w:t xml:space="preserve">Truscott </w:t>
      </w:r>
      <w:r w:rsidRPr="009C665E">
        <w:rPr>
          <w:rFonts w:cs="Times New Roman"/>
          <w:lang w:val="fr-CA"/>
        </w:rPr>
        <w:t>(par. 253 et 255), un des intervenants, le PGO, a fait également valoir devant nous que la cour d’appel ne devrait prononcer l’acquittement que lorsqu’elle conclut qu’aucun jury raisonnable ne pourrait rendre un verdict de culpabilité (</w:t>
      </w:r>
      <w:proofErr w:type="gramStart"/>
      <w:r w:rsidRPr="009C665E">
        <w:rPr>
          <w:rFonts w:cs="Times New Roman"/>
          <w:lang w:val="fr-CA"/>
        </w:rPr>
        <w:t>m.interv</w:t>
      </w:r>
      <w:proofErr w:type="gramEnd"/>
      <w:r w:rsidRPr="009C665E">
        <w:rPr>
          <w:rFonts w:cs="Times New Roman"/>
          <w:lang w:val="fr-CA"/>
        </w:rPr>
        <w:t xml:space="preserve">., par. 8). Je n’accepte pas cet argument. Comme le permet le </w:t>
      </w:r>
      <w:r w:rsidRPr="009C665E">
        <w:rPr>
          <w:rFonts w:cs="Times New Roman"/>
          <w:i/>
          <w:lang w:val="fr-CA"/>
        </w:rPr>
        <w:t>Code</w:t>
      </w:r>
      <w:r w:rsidRPr="009C665E">
        <w:rPr>
          <w:rFonts w:cs="Times New Roman"/>
          <w:lang w:val="fr-CA"/>
        </w:rPr>
        <w:t xml:space="preserve">, et comme l’arrêt </w:t>
      </w:r>
      <w:r w:rsidRPr="009C665E">
        <w:rPr>
          <w:rFonts w:cs="Times New Roman"/>
          <w:i/>
          <w:lang w:val="fr-CA"/>
        </w:rPr>
        <w:t>Truscott</w:t>
      </w:r>
      <w:r w:rsidRPr="009C665E">
        <w:rPr>
          <w:rFonts w:cs="Times New Roman"/>
          <w:lang w:val="fr-CA"/>
        </w:rPr>
        <w:t xml:space="preserve"> l’a reconnu, les tribunaux conservent, en vertu du par. 686(2), le pouvoir discrétionnaire d’évaluer la solidité de la preuve de la Couronne sans se référer à cette norme stricte; une norme moins exigeante peut justifier un acquittement, compte tenu de l’ensemble des circonstances.</w:t>
      </w:r>
    </w:p>
    <w:p w14:paraId="150E6076" w14:textId="77777777" w:rsidR="009C665E" w:rsidRPr="009C665E" w:rsidRDefault="009C665E" w:rsidP="009C665E">
      <w:pPr>
        <w:pStyle w:val="ParaNoNdepar-AltN"/>
        <w:tabs>
          <w:tab w:val="clear" w:pos="1166"/>
          <w:tab w:val="num" w:pos="1152"/>
        </w:tabs>
        <w:rPr>
          <w:rFonts w:cs="Times New Roman"/>
          <w:lang w:val="fr-CA"/>
        </w:rPr>
      </w:pPr>
      <w:r w:rsidRPr="009C665E">
        <w:rPr>
          <w:rFonts w:cs="Times New Roman"/>
          <w:lang w:val="fr-CA"/>
        </w:rPr>
        <w:t xml:space="preserve">Importer la norme </w:t>
      </w:r>
      <w:r w:rsidRPr="009C665E">
        <w:rPr>
          <w:rFonts w:cs="Times New Roman"/>
          <w:i/>
          <w:lang w:val="fr-CA"/>
        </w:rPr>
        <w:t>Yebes/Biniaris</w:t>
      </w:r>
      <w:r w:rsidRPr="009C665E">
        <w:rPr>
          <w:rFonts w:cs="Times New Roman"/>
          <w:lang w:val="fr-CA"/>
        </w:rPr>
        <w:t xml:space="preserve"> pour prétendre qu’il s’agit du </w:t>
      </w:r>
      <w:r w:rsidRPr="009C665E">
        <w:rPr>
          <w:rFonts w:cs="Times New Roman"/>
          <w:i/>
          <w:iCs/>
          <w:lang w:val="fr-CA"/>
        </w:rPr>
        <w:t>seul</w:t>
      </w:r>
      <w:r w:rsidRPr="009C665E">
        <w:rPr>
          <w:rFonts w:cs="Times New Roman"/>
          <w:lang w:val="fr-CA"/>
        </w:rPr>
        <w:t xml:space="preserve"> motif justifiant un acquittement pour cause d’erreur judiciaire va à l’encontre du vaste </w:t>
      </w:r>
      <w:r w:rsidRPr="009C665E">
        <w:rPr>
          <w:rFonts w:cs="Times New Roman"/>
          <w:lang w:val="fr-CA"/>
        </w:rPr>
        <w:lastRenderedPageBreak/>
        <w:t xml:space="preserve">pouvoir explicitement </w:t>
      </w:r>
      <w:proofErr w:type="gramStart"/>
      <w:r w:rsidRPr="009C665E">
        <w:rPr>
          <w:rFonts w:cs="Times New Roman"/>
          <w:lang w:val="fr-CA"/>
        </w:rPr>
        <w:t>conféré</w:t>
      </w:r>
      <w:proofErr w:type="gramEnd"/>
      <w:r w:rsidRPr="009C665E">
        <w:rPr>
          <w:rFonts w:cs="Times New Roman"/>
          <w:lang w:val="fr-CA"/>
        </w:rPr>
        <w:t xml:space="preserve"> au par. 686(2), comme nous avons vu plus tôt. Dans l’arrêt </w:t>
      </w:r>
      <w:r w:rsidRPr="009C665E">
        <w:rPr>
          <w:rFonts w:cs="Times New Roman"/>
          <w:i/>
          <w:lang w:val="fr-CA"/>
        </w:rPr>
        <w:t>Yebes</w:t>
      </w:r>
      <w:r w:rsidRPr="009C665E">
        <w:rPr>
          <w:rFonts w:cs="Times New Roman"/>
          <w:lang w:val="fr-CA"/>
        </w:rPr>
        <w:t>, la Cour a précisé que les cours d’appel appliquent cette norme juridique pour déterminer si un verdict est « déraisonnable », reprenant ainsi le libellé du sous</w:t>
      </w:r>
      <w:r w:rsidRPr="009C665E">
        <w:rPr>
          <w:rFonts w:cs="Times New Roman"/>
          <w:lang w:val="fr-CA"/>
        </w:rPr>
        <w:noBreakHyphen/>
        <w:t>al. 613(1</w:t>
      </w:r>
      <w:proofErr w:type="gramStart"/>
      <w:r w:rsidRPr="009C665E">
        <w:rPr>
          <w:rFonts w:cs="Times New Roman"/>
          <w:lang w:val="fr-CA"/>
        </w:rPr>
        <w:t>)a)(</w:t>
      </w:r>
      <w:proofErr w:type="gramEnd"/>
      <w:r w:rsidRPr="009C665E">
        <w:rPr>
          <w:rFonts w:cs="Times New Roman"/>
          <w:lang w:val="fr-CA"/>
        </w:rPr>
        <w:t>i) (maintenant l’al. 686(1)a)) (p. 180</w:t>
      </w:r>
      <w:r w:rsidRPr="009C665E">
        <w:rPr>
          <w:rFonts w:cs="Times New Roman"/>
          <w:lang w:val="fr-CA"/>
        </w:rPr>
        <w:noBreakHyphen/>
        <w:t xml:space="preserve">183 et 185; voir aussi </w:t>
      </w:r>
      <w:r w:rsidRPr="009C665E">
        <w:rPr>
          <w:rFonts w:cs="Times New Roman"/>
          <w:i/>
          <w:lang w:val="fr-CA"/>
        </w:rPr>
        <w:t>Biniaris</w:t>
      </w:r>
      <w:r w:rsidRPr="009C665E">
        <w:rPr>
          <w:rFonts w:cs="Times New Roman"/>
          <w:lang w:val="fr-CA"/>
        </w:rPr>
        <w:t xml:space="preserve"> </w:t>
      </w:r>
      <w:r w:rsidRPr="009C665E">
        <w:rPr>
          <w:rFonts w:cs="Times New Roman"/>
          <w:i/>
          <w:lang w:val="fr-CA"/>
        </w:rPr>
        <w:t>CSC</w:t>
      </w:r>
      <w:r w:rsidRPr="009C665E">
        <w:rPr>
          <w:rFonts w:cs="Times New Roman"/>
          <w:lang w:val="fr-CA"/>
        </w:rPr>
        <w:t xml:space="preserve">, par. 24). Bien que les tribunaux aient utilisé cette norme pour justifier l’acquittement pour cause d’erreur judiciaire, rien dans </w:t>
      </w:r>
      <w:proofErr w:type="gramStart"/>
      <w:r w:rsidRPr="009C665E">
        <w:rPr>
          <w:rFonts w:cs="Times New Roman"/>
          <w:lang w:val="fr-CA"/>
        </w:rPr>
        <w:t>le sous</w:t>
      </w:r>
      <w:proofErr w:type="gramEnd"/>
      <w:r w:rsidRPr="009C665E">
        <w:rPr>
          <w:rFonts w:cs="Times New Roman"/>
          <w:lang w:val="fr-CA"/>
        </w:rPr>
        <w:noBreakHyphen/>
        <w:t>al. 686(1</w:t>
      </w:r>
      <w:proofErr w:type="gramStart"/>
      <w:r w:rsidRPr="009C665E">
        <w:rPr>
          <w:rFonts w:cs="Times New Roman"/>
          <w:lang w:val="fr-CA"/>
        </w:rPr>
        <w:t>)a)(</w:t>
      </w:r>
      <w:proofErr w:type="gramEnd"/>
      <w:r w:rsidRPr="009C665E">
        <w:rPr>
          <w:rFonts w:cs="Times New Roman"/>
          <w:lang w:val="fr-CA"/>
        </w:rPr>
        <w:t xml:space="preserve">iii) ou le par. 686(2) ne les y oblige (voir, p. ex., </w:t>
      </w:r>
      <w:r w:rsidRPr="009C665E">
        <w:rPr>
          <w:rFonts w:cs="Times New Roman"/>
          <w:i/>
          <w:lang w:val="fr-CA"/>
        </w:rPr>
        <w:t>Hinse 1997</w:t>
      </w:r>
      <w:r w:rsidRPr="009C665E">
        <w:rPr>
          <w:rFonts w:cs="Times New Roman"/>
          <w:lang w:val="fr-CA"/>
        </w:rPr>
        <w:t xml:space="preserve">; </w:t>
      </w:r>
      <w:r w:rsidRPr="009C665E">
        <w:rPr>
          <w:rFonts w:cs="Times New Roman"/>
          <w:i/>
          <w:lang w:val="fr-CA"/>
        </w:rPr>
        <w:t>Walsh</w:t>
      </w:r>
      <w:r w:rsidRPr="009C665E">
        <w:rPr>
          <w:rFonts w:cs="Times New Roman"/>
          <w:lang w:val="fr-CA"/>
        </w:rPr>
        <w:t xml:space="preserve">; </w:t>
      </w:r>
      <w:r w:rsidRPr="009C665E">
        <w:rPr>
          <w:rFonts w:cs="Times New Roman"/>
          <w:i/>
          <w:lang w:val="fr-CA"/>
        </w:rPr>
        <w:t>Truscott</w:t>
      </w:r>
      <w:r w:rsidRPr="009C665E">
        <w:rPr>
          <w:rFonts w:cs="Times New Roman"/>
          <w:lang w:val="fr-CA"/>
        </w:rPr>
        <w:t xml:space="preserve">, par. 247; </w:t>
      </w:r>
      <w:r w:rsidRPr="009C665E">
        <w:rPr>
          <w:rFonts w:cs="Times New Roman"/>
          <w:i/>
          <w:lang w:val="fr-CA"/>
        </w:rPr>
        <w:t>Dhillon</w:t>
      </w:r>
      <w:r w:rsidRPr="009C665E">
        <w:rPr>
          <w:rFonts w:cs="Times New Roman"/>
          <w:lang w:val="fr-CA"/>
        </w:rPr>
        <w:t xml:space="preserve">, par. 50). Dans l’arrêt </w:t>
      </w:r>
      <w:r w:rsidRPr="009C665E">
        <w:rPr>
          <w:rFonts w:cs="Times New Roman"/>
          <w:i/>
          <w:lang w:val="fr-CA"/>
        </w:rPr>
        <w:t>Hinse 1997</w:t>
      </w:r>
      <w:r w:rsidRPr="009C665E">
        <w:rPr>
          <w:rFonts w:cs="Times New Roman"/>
          <w:lang w:val="fr-CA"/>
        </w:rPr>
        <w:t>, la Cour a appliqué cette norme pour prononcer l’acquittement afin de réparer une erreur judiciaire (par. 2), mais nulle part dans son jugement manuscrit de trois paragraphes, le juge Gonthier ne prétend</w:t>
      </w:r>
      <w:r w:rsidRPr="009C665E">
        <w:rPr>
          <w:rFonts w:cs="Times New Roman"/>
          <w:lang w:val="fr-CA"/>
        </w:rPr>
        <w:noBreakHyphen/>
        <w:t>il que cette norme est la seule voie à suivre pour prononcer un acquittement. Bref, il s’agit d’un fondement suffisant, mais non nécessaire, pour inscrire un acquittement.</w:t>
      </w:r>
    </w:p>
    <w:p w14:paraId="6397506D"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Plus important encore, le critère du verdict déraisonnable est une norme stricte qui est mal adaptée aux difficultés particulières que pose la preuve en cas d’erreur judiciaire. De fait, dans l’arrêt </w:t>
      </w:r>
      <w:r w:rsidRPr="009C665E">
        <w:rPr>
          <w:rFonts w:cs="Times New Roman"/>
          <w:i/>
          <w:iCs/>
          <w:lang w:val="fr-CA"/>
        </w:rPr>
        <w:t>Yebes</w:t>
      </w:r>
      <w:r w:rsidRPr="009C665E">
        <w:rPr>
          <w:rFonts w:cs="Times New Roman"/>
          <w:lang w:val="fr-CA"/>
        </w:rPr>
        <w:t xml:space="preserve"> lui</w:t>
      </w:r>
      <w:r w:rsidRPr="009C665E">
        <w:rPr>
          <w:rFonts w:cs="Times New Roman"/>
          <w:lang w:val="fr-CA"/>
        </w:rPr>
        <w:noBreakHyphen/>
        <w:t>même, l’arrêt fondamental de la Cour confirmant le critère du verdict déraisonnable, la Cour a refusé d’annuler la déclaration de culpabilité injustifiée de Tomas Yebes (Roach (2024), p. 225). En raison de l’erreur judiciaire qui a été commise, le dossier dont dispose la cour d’appel peut être différent de ce qu’il aurait pu être si l’enquête et le procès s’étaient déroulés comme il se devait. Le cas de M</w:t>
      </w:r>
      <w:r w:rsidRPr="009C665E">
        <w:rPr>
          <w:rFonts w:cs="Times New Roman"/>
          <w:vertAlign w:val="superscript"/>
          <w:lang w:val="fr-CA"/>
        </w:rPr>
        <w:t>me</w:t>
      </w:r>
      <w:r w:rsidRPr="009C665E">
        <w:rPr>
          <w:rFonts w:cs="Times New Roman"/>
          <w:lang w:val="fr-CA"/>
        </w:rPr>
        <w:t> Bouvette en est un exemple : comme des éléments de preuve importants ne lui ont pas été communiqués et qu’elle a fini par plaider coupable, la cour d’appel ne disposait d’aucun dossier de première instance.</w:t>
      </w:r>
    </w:p>
    <w:p w14:paraId="3EF56354"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 xml:space="preserve">À mon avis, lorsqu’il s’agit de déterminer si l’acquittement est justifié dans l’intérêt de la justice, la norme appliquée dans l’arrêt </w:t>
      </w:r>
      <w:r w:rsidRPr="009C665E">
        <w:rPr>
          <w:rFonts w:cs="Times New Roman"/>
          <w:i/>
          <w:lang w:val="fr-CA"/>
        </w:rPr>
        <w:t>Truscott</w:t>
      </w:r>
      <w:r w:rsidRPr="009C665E">
        <w:rPr>
          <w:rFonts w:cs="Times New Roman"/>
          <w:lang w:val="fr-CA"/>
        </w:rPr>
        <w:t xml:space="preserve"> — en l’occurrence </w:t>
      </w:r>
      <w:bookmarkStart w:id="64" w:name="_Hlk194073892"/>
      <w:r w:rsidRPr="009C665E">
        <w:rPr>
          <w:rFonts w:cs="Times New Roman"/>
          <w:lang w:val="fr-CA"/>
        </w:rPr>
        <w:t xml:space="preserve">la question de savoir si le dossier modifié ou plus étoffé soumis en appel montre clairement qu’il est plus probable qu’improbable qu’un nouveau procès se solderait par un acquittement </w:t>
      </w:r>
      <w:bookmarkEnd w:id="64"/>
      <w:r w:rsidRPr="009C665E">
        <w:rPr>
          <w:rFonts w:cs="Times New Roman"/>
          <w:lang w:val="fr-CA"/>
        </w:rPr>
        <w:t>en appliquant la norme de la preuve hors de tout doute raisonnable (par. 268) — établit un juste équilibre entre l’importance de la solidité des preuves à charge et les circonstances particulières des affaires qui présentent les caractéristiques d’une déclaration de culpabilité injustifiée. Cette démarche souple se justifie par les difficultés et l’injustice que peut engendrer l’application de critères stricts dans les cas hors norme, de même que par l’utilisation judicieuse des ressources judiciaires limitées.</w:t>
      </w:r>
    </w:p>
    <w:p w14:paraId="66F05F69"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La solidité de la preuve de la Couronne est sans aucun doute un facteur dont le tribunal peut tenir compte pour déterminer la réparation à accorder dans l’intérêt de la justice. Lorsqu’il est évident aux yeux du tribunal qu’un acquittement est plus probable qu’improbable, l’intérêt qu’a le public quant à la tenue d’un nouveau procès peut être minime, mais, lorsque la preuve est très solide, cet intérêt est plus élevé. Comme l’a souligné le juge Binnie dans l’arrêt </w:t>
      </w:r>
      <w:r w:rsidRPr="009C665E">
        <w:rPr>
          <w:rFonts w:cs="Times New Roman"/>
          <w:i/>
          <w:lang w:val="fr-CA"/>
        </w:rPr>
        <w:t>R. c. Jolivet</w:t>
      </w:r>
      <w:r w:rsidRPr="009C665E">
        <w:rPr>
          <w:rFonts w:cs="Times New Roman"/>
          <w:lang w:val="fr-CA"/>
        </w:rPr>
        <w:t xml:space="preserve">, 2000 CSC 29, [2000] 1 R.C.S. 751, au sujet de la disposition réparatrice, ordonner la tenue d’un nouveau procès « soulève des questions importantes relativement à l’administration de la justice et à l’affectation adéquate des ressources » (par. 46). La norme appliquée par le tribunal dans l’arrêt </w:t>
      </w:r>
      <w:r w:rsidRPr="009C665E">
        <w:rPr>
          <w:rFonts w:cs="Times New Roman"/>
          <w:i/>
          <w:lang w:val="fr-CA"/>
        </w:rPr>
        <w:t>Truscott</w:t>
      </w:r>
      <w:r w:rsidRPr="009C665E">
        <w:rPr>
          <w:rFonts w:cs="Times New Roman"/>
          <w:lang w:val="fr-CA"/>
        </w:rPr>
        <w:t xml:space="preserve"> permet à une cour d’appel d’évaluer ce facteur important avec suffisamment de souplesse pour tenir compte des circonstances qui entourent l’erreur </w:t>
      </w:r>
      <w:r w:rsidRPr="009C665E">
        <w:rPr>
          <w:rFonts w:cs="Times New Roman"/>
          <w:lang w:val="fr-CA"/>
        </w:rPr>
        <w:lastRenderedPageBreak/>
        <w:t>judiciaire et qui peuvent affaiblir les faits à l’origine de la déclaration de culpabilité initiale et avoir une incidence sur le dossier soumis à la cour d’appel.</w:t>
      </w:r>
    </w:p>
    <w:p w14:paraId="2E892D71" w14:textId="77777777" w:rsidR="009C665E" w:rsidRPr="009C665E" w:rsidRDefault="009C665E" w:rsidP="009C665E">
      <w:pPr>
        <w:pStyle w:val="ParaNoNdepar-AltN"/>
        <w:widowControl w:val="0"/>
        <w:tabs>
          <w:tab w:val="clear" w:pos="1166"/>
          <w:tab w:val="num" w:pos="1152"/>
        </w:tabs>
        <w:rPr>
          <w:rFonts w:cs="Times New Roman"/>
          <w:lang w:val="fr-CA"/>
        </w:rPr>
      </w:pPr>
      <w:r w:rsidRPr="009C665E">
        <w:rPr>
          <w:rFonts w:cs="Times New Roman"/>
          <w:lang w:val="fr-CA"/>
        </w:rPr>
        <w:t xml:space="preserve">Déterminer si un acquittement est plus probable qu’improbable en appliquant la norme de la preuve hors de tout doute raisonnable est un exercice d’appréciation dans le cadre duquel il faut tenir compte de l’expérience judiciaire, comme c’est le cas par exemple lors d’un contrôle en appel pour déterminer si le verdict est déraisonnable (voir, p. ex., </w:t>
      </w:r>
      <w:r w:rsidRPr="009C665E">
        <w:rPr>
          <w:rFonts w:cs="Times New Roman"/>
          <w:i/>
          <w:lang w:val="fr-CA"/>
        </w:rPr>
        <w:t>Biniaris</w:t>
      </w:r>
      <w:r w:rsidRPr="009C665E">
        <w:rPr>
          <w:rFonts w:cs="Times New Roman"/>
          <w:lang w:val="fr-CA"/>
        </w:rPr>
        <w:t xml:space="preserve"> </w:t>
      </w:r>
      <w:r w:rsidRPr="009C665E">
        <w:rPr>
          <w:rFonts w:cs="Times New Roman"/>
          <w:i/>
          <w:lang w:val="fr-CA"/>
        </w:rPr>
        <w:t>CSC</w:t>
      </w:r>
      <w:r w:rsidRPr="009C665E">
        <w:rPr>
          <w:rFonts w:cs="Times New Roman"/>
          <w:lang w:val="fr-CA"/>
        </w:rPr>
        <w:t>, par. 39</w:t>
      </w:r>
      <w:r w:rsidRPr="009C665E">
        <w:rPr>
          <w:rFonts w:cs="Times New Roman"/>
          <w:lang w:val="fr-CA"/>
        </w:rPr>
        <w:noBreakHyphen/>
        <w:t>41;</w:t>
      </w:r>
      <w:r w:rsidRPr="009C665E">
        <w:rPr>
          <w:rFonts w:cs="Times New Roman"/>
          <w:lang w:val="fr-CA" w:bidi="en-US"/>
        </w:rPr>
        <w:t xml:space="preserve"> voir aussi Penney, Rondinelli et Stribopoulos, ¶18.7</w:t>
      </w:r>
      <w:r w:rsidRPr="009C665E">
        <w:rPr>
          <w:rFonts w:cs="Times New Roman"/>
          <w:lang w:val="fr-CA" w:bidi="en-US"/>
        </w:rPr>
        <w:noBreakHyphen/>
        <w:t>18.8</w:t>
      </w:r>
      <w:r w:rsidRPr="009C665E">
        <w:rPr>
          <w:rFonts w:cs="Times New Roman"/>
          <w:lang w:val="fr-CA"/>
        </w:rPr>
        <w:t>). J’insiste toutefois sur le fait que l’existence d’un « dossier complet » — c’est</w:t>
      </w:r>
      <w:r w:rsidRPr="009C665E">
        <w:rPr>
          <w:rFonts w:cs="Times New Roman"/>
          <w:lang w:val="fr-CA"/>
        </w:rPr>
        <w:noBreakHyphen/>
        <w:t>à</w:t>
      </w:r>
      <w:r w:rsidRPr="009C665E">
        <w:rPr>
          <w:rFonts w:cs="Times New Roman"/>
          <w:lang w:val="fr-CA"/>
        </w:rPr>
        <w:noBreakHyphen/>
        <w:t xml:space="preserve">dire d’un dossier équivalent à celui qui aurait pu être soumis au juge des faits n’eût été l’erreur judiciaire — ne devrait pas être une condition préalable à l’examen de cette question par les cours d’appel. Des considérations d’équité exigent que, lorsque l’aptitude de la cour d’appel à se prononcer sur le fond de l’affaire a été compromise à la suite d’une erreur judiciaire, toute ambiguïté pouvant en découler ne doive pas porter préjudice à l’appelant. De plus, la conclusion tirée par le tribunal au vu du dossier doit être appréciée en tenant compte d’autres facteurs pertinents, y compris la probabilité qu’un nouveau procès ait effectivement lieu, de même que </w:t>
      </w:r>
      <w:r w:rsidRPr="009C665E">
        <w:rPr>
          <w:rFonts w:cs="Times New Roman"/>
          <w:lang w:val="fr-CA" w:bidi="en-US"/>
        </w:rPr>
        <w:t>le caractère équitable de l’espèce, deux aspects sur lesquels je reviendrai plus loin.</w:t>
      </w:r>
    </w:p>
    <w:p w14:paraId="5FA109E9" w14:textId="77777777" w:rsidR="009C665E" w:rsidRPr="009C665E" w:rsidRDefault="009C665E" w:rsidP="009C665E">
      <w:pPr>
        <w:pStyle w:val="Title5LevelTitre5Niveau"/>
        <w:widowControl w:val="0"/>
        <w:numPr>
          <w:ilvl w:val="4"/>
          <w:numId w:val="7"/>
        </w:numPr>
        <w:tabs>
          <w:tab w:val="clear" w:pos="1728"/>
          <w:tab w:val="num" w:pos="1170"/>
        </w:tabs>
        <w:spacing w:before="0"/>
        <w:ind w:left="1170"/>
        <w:rPr>
          <w:rFonts w:cs="Times New Roman"/>
          <w:lang w:val="fr-CA"/>
        </w:rPr>
      </w:pPr>
      <w:r w:rsidRPr="009C665E">
        <w:rPr>
          <w:rFonts w:cs="Times New Roman"/>
          <w:lang w:val="fr-CA"/>
        </w:rPr>
        <w:t>Position de la Couronne sur le nouveau procès et la réparation</w:t>
      </w:r>
    </w:p>
    <w:p w14:paraId="400622E2"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t xml:space="preserve">Étant donné que l’acquittement et la tenue d’un nouveau procès sont les deux réparations prévues au par. 686(2), les cours d’appel doivent examiner la probabilité raisonnable qu’un nouveau procès ait effectivement lieu et se demander si, </w:t>
      </w:r>
      <w:r w:rsidRPr="009C665E">
        <w:rPr>
          <w:rFonts w:cs="Times New Roman"/>
          <w:lang w:val="fr-CA"/>
        </w:rPr>
        <w:lastRenderedPageBreak/>
        <w:t>advenant qu’il s’en tienne un, il se résumerait à ce que la Couronne ne dépose pas de preuve. Comme je l’ai déjà expliqué, le critère de l’acquittement ne consiste pas à se demander si la tenue d’un nouveau procès est impossible, et ce, même si cette conclusion militerait fortement en faveur de l’acquittement. Étant donné la difficulté de définir ce qu’il faut entendre par la tenue « impossible » d’un nouveau procès, les tribunaux doivent la plupart du temps plutôt juger de la probabilité d’un nouveau procès. Cette évaluation objective peut être fondée sur les faits portés à la connaissance du tribunal, ainsi que sur les observations des parties. À titre d’exemple, il se peut qu’un témoin clé soit décédé (</w:t>
      </w:r>
      <w:r w:rsidRPr="009C665E">
        <w:rPr>
          <w:rFonts w:cs="Times New Roman"/>
          <w:i/>
          <w:lang w:val="fr-CA"/>
        </w:rPr>
        <w:t>Reference re : Phillion</w:t>
      </w:r>
      <w:r w:rsidRPr="009C665E">
        <w:rPr>
          <w:rFonts w:cs="Times New Roman"/>
          <w:lang w:val="fr-CA"/>
        </w:rPr>
        <w:t>, 2009 ONCA 202, 241 C.C.C. (3d) 193, par. 241); il se peut que, en raison du temps écoulé, il ne soit plus possible d’obtenir certains éléments de preuve (</w:t>
      </w:r>
      <w:r w:rsidRPr="009C665E">
        <w:rPr>
          <w:rFonts w:cs="Times New Roman"/>
          <w:i/>
          <w:lang w:val="fr-CA"/>
        </w:rPr>
        <w:t>Truscott</w:t>
      </w:r>
      <w:r w:rsidRPr="009C665E">
        <w:rPr>
          <w:rFonts w:cs="Times New Roman"/>
          <w:lang w:val="fr-CA"/>
        </w:rPr>
        <w:t>, par. 254 et 266); ou il se peut que la Couronne admette de son plein gré que la tenue d’un nouveau procès n’est pas une option réaliste (</w:t>
      </w:r>
      <w:r w:rsidRPr="009C665E">
        <w:rPr>
          <w:rFonts w:cs="Times New Roman"/>
          <w:i/>
          <w:lang w:val="fr-CA"/>
        </w:rPr>
        <w:t>Walsh</w:t>
      </w:r>
      <w:r w:rsidRPr="009C665E">
        <w:rPr>
          <w:rFonts w:cs="Times New Roman"/>
          <w:lang w:val="fr-CA"/>
        </w:rPr>
        <w:t>, par. 96).</w:t>
      </w:r>
    </w:p>
    <w:p w14:paraId="46751FE1"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Si on lui demande d’exercer le pouvoir discrétionnaire que lui confère la loi pour accorder la réparation que constitue la tenue d’un nouveau procès, la cour d’appel bénéficierait de renseignements complets des deux parties sur la probabilité qu’un nouveau procès soit effectivement tenu et sur son issue probable (voir, p. ex., </w:t>
      </w:r>
      <w:r w:rsidRPr="009C665E">
        <w:rPr>
          <w:rFonts w:cs="Times New Roman"/>
          <w:i/>
          <w:lang w:val="fr-CA"/>
        </w:rPr>
        <w:t>Ostrowski</w:t>
      </w:r>
      <w:r w:rsidRPr="009C665E">
        <w:rPr>
          <w:rFonts w:cs="Times New Roman"/>
          <w:lang w:val="fr-CA"/>
        </w:rPr>
        <w:t xml:space="preserve">, par. 2; </w:t>
      </w:r>
      <w:r w:rsidRPr="009C665E">
        <w:rPr>
          <w:rFonts w:cs="Times New Roman"/>
          <w:i/>
          <w:lang w:val="fr-CA"/>
        </w:rPr>
        <w:t>R.V.</w:t>
      </w:r>
      <w:r w:rsidRPr="009C665E">
        <w:rPr>
          <w:rFonts w:cs="Times New Roman"/>
          <w:lang w:val="fr-CA"/>
        </w:rPr>
        <w:t xml:space="preserve">, par. 77; </w:t>
      </w:r>
      <w:r w:rsidRPr="009C665E">
        <w:rPr>
          <w:rFonts w:cs="Times New Roman"/>
          <w:i/>
          <w:lang w:val="fr-CA"/>
        </w:rPr>
        <w:t>Phillion</w:t>
      </w:r>
      <w:r w:rsidRPr="009C665E">
        <w:rPr>
          <w:rFonts w:cs="Times New Roman"/>
          <w:lang w:val="fr-CA"/>
        </w:rPr>
        <w:t>, par. 241</w:t>
      </w:r>
      <w:r w:rsidRPr="009C665E">
        <w:rPr>
          <w:rFonts w:cs="Times New Roman"/>
          <w:lang w:val="fr-CA"/>
        </w:rPr>
        <w:noBreakHyphen/>
        <w:t xml:space="preserve">242). Si elle réclame la tenue d’un nouveau procès, la Couronne devrait être en mesure de faire connaître ses véritables intentions quant à savoir si elle donnera effectivement suite à la poursuite demandée dans un délai raisonnable, sachant qu’elle peut changer d’avis et opter pour une autre </w:t>
      </w:r>
      <w:r w:rsidRPr="009C665E">
        <w:rPr>
          <w:rFonts w:cs="Times New Roman"/>
          <w:lang w:val="fr-CA"/>
        </w:rPr>
        <w:lastRenderedPageBreak/>
        <w:t>solution, sous réserve uniquement d’un contrôle judiciaire pour abus de procédure (</w:t>
      </w:r>
      <w:r w:rsidRPr="009C665E">
        <w:rPr>
          <w:rFonts w:cs="Times New Roman"/>
          <w:i/>
          <w:lang w:val="fr-CA"/>
        </w:rPr>
        <w:t>R. c. Nixon</w:t>
      </w:r>
      <w:r w:rsidRPr="009C665E">
        <w:rPr>
          <w:rFonts w:cs="Times New Roman"/>
          <w:lang w:val="fr-CA"/>
        </w:rPr>
        <w:t>, 2011 CSC 34, [2011] 2 R.C.S. 566, par. 31 et 64).</w:t>
      </w:r>
    </w:p>
    <w:p w14:paraId="1654C42C"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Compte tenu de tout ce qu’il sait, le tribunal doit se demander si, objectivement, il existe une probabilité raisonnable qu’un nouveau procès ait lieu. Les cours d’appel doivent se demander s’il est équitable que l’accusé soit de nouveau mis en péril et tenir compte des ressources sociétales et judiciaires nécessaires à la tenue d’un nouveau procès. L’analyse objective du tribunal ne porte pas en soi sur la question de savoir si la Couronne </w:t>
      </w:r>
      <w:r w:rsidRPr="009C665E">
        <w:rPr>
          <w:rFonts w:cs="Times New Roman"/>
          <w:i/>
          <w:iCs/>
          <w:lang w:val="fr-CA"/>
        </w:rPr>
        <w:t xml:space="preserve">intentera </w:t>
      </w:r>
      <w:r w:rsidRPr="009C665E">
        <w:rPr>
          <w:rFonts w:cs="Times New Roman"/>
          <w:lang w:val="fr-CA"/>
        </w:rPr>
        <w:t xml:space="preserve">de nouvelles poursuites, mais plutôt sur la probabilité qu’elle </w:t>
      </w:r>
      <w:r w:rsidRPr="009C665E">
        <w:rPr>
          <w:rFonts w:cs="Times New Roman"/>
          <w:i/>
          <w:iCs/>
          <w:lang w:val="fr-CA"/>
        </w:rPr>
        <w:t>puisse</w:t>
      </w:r>
      <w:r w:rsidRPr="009C665E">
        <w:rPr>
          <w:rFonts w:cs="Times New Roman"/>
          <w:lang w:val="fr-CA"/>
        </w:rPr>
        <w:t xml:space="preserve"> le faire.</w:t>
      </w:r>
    </w:p>
    <w:p w14:paraId="4CF67FC2"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Si un procès peut et doit avoir lieu, le tribunal peut en tenir compte pour évaluer le bien</w:t>
      </w:r>
      <w:r w:rsidRPr="009C665E">
        <w:rPr>
          <w:rFonts w:cs="Times New Roman"/>
          <w:lang w:val="fr-CA"/>
        </w:rPr>
        <w:noBreakHyphen/>
        <w:t>fondé de l’affaire et le caractère équitable de l’espèce afin de déterminer la réparation appropriée. Toutefois, si la Couronne s’engage comme elle l’a fait en l’espèce à ne présenter aucune preuve en cas de nouveau procès, comme c’est le cas lorsqu’un nouveau procès est théoriquement impossible, cet engagement militera fortement en faveur de l’acquittement (transcription, p. 41</w:t>
      </w:r>
      <w:r w:rsidRPr="009C665E">
        <w:rPr>
          <w:rFonts w:cs="Times New Roman"/>
          <w:lang w:val="fr-CA"/>
        </w:rPr>
        <w:noBreakHyphen/>
        <w:t xml:space="preserve">42). Le paragraphe 686(2) confère aux cours d’appel le pouvoir discrétionnaire de prononcer l’acquittement en pareil cas, évitant ainsi un gaspillage des ressources judiciaires et épargnant d’autres souffrances à l’accusé, aux victimes et à leur famille (voir </w:t>
      </w:r>
      <w:r w:rsidRPr="009C665E">
        <w:rPr>
          <w:rFonts w:cs="Times New Roman"/>
          <w:i/>
          <w:lang w:val="fr-CA"/>
        </w:rPr>
        <w:t>R. c. Jordan</w:t>
      </w:r>
      <w:r w:rsidRPr="009C665E">
        <w:rPr>
          <w:rFonts w:cs="Times New Roman"/>
          <w:lang w:val="fr-CA"/>
        </w:rPr>
        <w:t>, 2016 CSC 27, [2016] 1 R.C.S. 631, par. 2).</w:t>
      </w:r>
    </w:p>
    <w:p w14:paraId="27902306"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Finalement, il importe de souligner qu’il y a lieu d’accorder un poids considérable à la position adoptée par la Couronne au sujet de la réparation, en </w:t>
      </w:r>
      <w:r w:rsidRPr="009C665E">
        <w:rPr>
          <w:rFonts w:cs="Times New Roman"/>
          <w:lang w:val="fr-CA"/>
        </w:rPr>
        <w:lastRenderedPageBreak/>
        <w:t>particulier lorsqu’elle admet qu’il convient de prononcer un acquittement. La Couronne est bien placée, peut</w:t>
      </w:r>
      <w:r w:rsidRPr="009C665E">
        <w:rPr>
          <w:rFonts w:cs="Times New Roman"/>
          <w:lang w:val="fr-CA"/>
        </w:rPr>
        <w:noBreakHyphen/>
        <w:t>être plus que tout autre intervenant du système judiciaire, pour procéder à cette évaluation, car elle peut avoir accès à des renseignements importants dont ne dispose pas le tribunal. Il est rare que la Couronne invite la cour à prononcer un acquittement, et cette position révèle sans doute sa perception de la gravité de l’erreur judiciaire sous</w:t>
      </w:r>
      <w:r w:rsidRPr="009C665E">
        <w:rPr>
          <w:rFonts w:cs="Times New Roman"/>
          <w:lang w:val="fr-CA"/>
        </w:rPr>
        <w:noBreakHyphen/>
        <w:t>jacente et de son respect de son obligation de tenir compte de l’intérêt public (</w:t>
      </w:r>
      <w:r w:rsidRPr="009C665E">
        <w:rPr>
          <w:rFonts w:cs="Times New Roman"/>
          <w:i/>
          <w:lang w:val="fr-CA"/>
        </w:rPr>
        <w:t>Boucher</w:t>
      </w:r>
      <w:r w:rsidRPr="009C665E">
        <w:rPr>
          <w:rFonts w:cs="Times New Roman"/>
          <w:lang w:val="fr-CA"/>
        </w:rPr>
        <w:t>, p. 23</w:t>
      </w:r>
      <w:r w:rsidRPr="009C665E">
        <w:rPr>
          <w:rFonts w:cs="Times New Roman"/>
          <w:lang w:val="fr-CA"/>
        </w:rPr>
        <w:noBreakHyphen/>
        <w:t>24).</w:t>
      </w:r>
    </w:p>
    <w:p w14:paraId="5F9C6615"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Je tiens toutefois à signaler que la décision finale d’accepter la concession de la Couronne à ce sujet ou d’inscrire l’acquittement lorsque la Couronne a indiqué qu’elle ne présenterait pas de preuve si un nouveau procès était ordonné relève entièrement du pouvoir discrétionnaire conféré à la cour d’appel en vertu du par. 686(2). C’est aux cours d’appel que le législateur a conféré le pouvoir en matière d’acquittement et non à la Couronne. </w:t>
      </w:r>
    </w:p>
    <w:p w14:paraId="0E0529B8"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Même lorsque la poursuite consent à un acquittement, les tribunaux doivent être convaincus que ce dernier est approprié. Bien que cela puisse être rare, ils conservent le pouvoir discrétionnaire d’ordonner la tenue d’un nouveau procès si l’intérêt de la justice ne commande pas l’inscription d’un acquittement. En pareil cas, la cour d’appel qui renoncerait à son rôle de surveillance et inscrirait l’acquittement uniquement en raison de la position de Couronne risquerait de compromettre son intégrité.</w:t>
      </w:r>
    </w:p>
    <w:p w14:paraId="771E3582"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Même lorsque la poursuite consent à un acquittement et confirme qu’elle ne présentera aucune preuve, il est de jurisprudence constante que les [</w:t>
      </w:r>
      <w:r w:rsidRPr="009C665E">
        <w:rPr>
          <w:rFonts w:cs="Times New Roman"/>
          <w:smallCaps/>
          <w:lang w:val="fr-CA"/>
        </w:rPr>
        <w:t>traduction</w:t>
      </w:r>
      <w:r w:rsidRPr="009C665E">
        <w:rPr>
          <w:rFonts w:cs="Times New Roman"/>
          <w:lang w:val="fr-CA"/>
        </w:rPr>
        <w:t>] « tribunaux ne sont pas liés par les admissions de droit, qu’elles soient faites par la Couronne ou par l’accusé » (</w:t>
      </w:r>
      <w:r w:rsidRPr="009C665E">
        <w:rPr>
          <w:rFonts w:cs="Times New Roman"/>
          <w:i/>
          <w:lang w:val="fr-CA"/>
        </w:rPr>
        <w:t>R. c. Robertson</w:t>
      </w:r>
      <w:r w:rsidRPr="009C665E">
        <w:rPr>
          <w:rFonts w:cs="Times New Roman"/>
          <w:lang w:val="fr-CA"/>
        </w:rPr>
        <w:t>, 2021 SKCA 125, 495 C.R.R. (2d) 31, par. 14, citant</w:t>
      </w:r>
      <w:r w:rsidRPr="009C665E">
        <w:rPr>
          <w:rFonts w:cs="Times New Roman"/>
          <w:i/>
          <w:lang w:val="fr-CA"/>
        </w:rPr>
        <w:t xml:space="preserve"> R. c. Silveira</w:t>
      </w:r>
      <w:r w:rsidRPr="009C665E">
        <w:rPr>
          <w:rFonts w:cs="Times New Roman"/>
          <w:lang w:val="fr-CA"/>
        </w:rPr>
        <w:t xml:space="preserve">, [1995] 2 R.C.S. 297, par. 100; </w:t>
      </w:r>
      <w:r w:rsidRPr="009C665E">
        <w:rPr>
          <w:rFonts w:cs="Times New Roman"/>
          <w:i/>
          <w:lang w:val="fr-CA"/>
        </w:rPr>
        <w:t>R. c. Elshaw</w:t>
      </w:r>
      <w:r w:rsidRPr="009C665E">
        <w:rPr>
          <w:rFonts w:cs="Times New Roman"/>
          <w:lang w:val="fr-CA"/>
        </w:rPr>
        <w:t>, [1991] 3 R.C.S. 24, p. 48, la juge L’Heureux</w:t>
      </w:r>
      <w:r w:rsidRPr="009C665E">
        <w:rPr>
          <w:rFonts w:cs="Times New Roman"/>
          <w:lang w:val="fr-CA"/>
        </w:rPr>
        <w:noBreakHyphen/>
        <w:t xml:space="preserve">Dubé, dissidente). Comme notre Cour l’a affirmé dans </w:t>
      </w:r>
      <w:r w:rsidRPr="009C665E">
        <w:rPr>
          <w:rFonts w:cs="Times New Roman"/>
          <w:i/>
          <w:lang w:val="fr-CA"/>
        </w:rPr>
        <w:t>R. c. Barton</w:t>
      </w:r>
      <w:r w:rsidRPr="009C665E">
        <w:rPr>
          <w:rFonts w:cs="Times New Roman"/>
          <w:lang w:val="fr-CA"/>
        </w:rPr>
        <w:t>, 2019 CSC 33, [2019] 2 R.C.S. 579, [</w:t>
      </w:r>
      <w:r w:rsidRPr="009C665E">
        <w:rPr>
          <w:rFonts w:cs="Times New Roman"/>
          <w:smallCaps/>
          <w:lang w:val="fr-CA"/>
        </w:rPr>
        <w:t>traduction</w:t>
      </w:r>
      <w:r w:rsidRPr="009C665E">
        <w:rPr>
          <w:rFonts w:cs="Times New Roman"/>
          <w:lang w:val="fr-CA"/>
        </w:rPr>
        <w:t>] « [n]ul n’a le droit au Canada de faire sa propre loi » (par. 96).</w:t>
      </w:r>
    </w:p>
    <w:p w14:paraId="5CF7A8DF"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t xml:space="preserve">Comme dans le cas de l’examen d’un plaidoyer offert en application du par. 606(4) ou d’une recommandation conjointe sur la mise en liberté sous caution, sur la détermination de la peine ou sur le cadre juridique, les tribunaux conservent toujours un droit de regard </w:t>
      </w:r>
      <w:r w:rsidRPr="009C665E">
        <w:rPr>
          <w:rFonts w:cs="Times New Roman"/>
          <w:lang w:val="fr-CA" w:bidi="en-US"/>
        </w:rPr>
        <w:t xml:space="preserve">(voir, p. ex., </w:t>
      </w:r>
      <w:r w:rsidRPr="009C665E">
        <w:rPr>
          <w:rFonts w:cs="Times New Roman"/>
          <w:i/>
          <w:lang w:val="fr-CA" w:bidi="en-US"/>
        </w:rPr>
        <w:t>Anthony‑Cook</w:t>
      </w:r>
      <w:r w:rsidRPr="009C665E">
        <w:rPr>
          <w:rFonts w:cs="Times New Roman"/>
          <w:lang w:val="fr-CA" w:bidi="en-US"/>
        </w:rPr>
        <w:t xml:space="preserve">, par. 3; </w:t>
      </w:r>
      <w:r w:rsidRPr="009C665E">
        <w:rPr>
          <w:rFonts w:cs="Times New Roman"/>
          <w:i/>
          <w:lang w:val="fr-CA" w:bidi="en-US"/>
        </w:rPr>
        <w:t>Antic</w:t>
      </w:r>
      <w:r w:rsidRPr="009C665E">
        <w:rPr>
          <w:rFonts w:cs="Times New Roman"/>
          <w:lang w:val="fr-CA" w:bidi="en-US"/>
        </w:rPr>
        <w:t xml:space="preserve">, par. 68; </w:t>
      </w:r>
      <w:r w:rsidRPr="009C665E">
        <w:rPr>
          <w:rFonts w:cs="Times New Roman"/>
          <w:i/>
          <w:lang w:val="fr-CA" w:bidi="en-US"/>
        </w:rPr>
        <w:t>Zora</w:t>
      </w:r>
      <w:r w:rsidRPr="009C665E">
        <w:rPr>
          <w:rFonts w:cs="Times New Roman"/>
          <w:lang w:val="fr-CA" w:bidi="en-US"/>
        </w:rPr>
        <w:t>, par. 105;</w:t>
      </w:r>
      <w:r w:rsidRPr="009C665E">
        <w:rPr>
          <w:rFonts w:cs="Times New Roman"/>
          <w:i/>
          <w:lang w:val="fr-CA" w:bidi="en-US"/>
        </w:rPr>
        <w:t xml:space="preserve"> Pickton</w:t>
      </w:r>
      <w:r w:rsidRPr="009C665E">
        <w:rPr>
          <w:rFonts w:cs="Times New Roman"/>
          <w:lang w:val="fr-CA" w:bidi="en-US"/>
        </w:rPr>
        <w:t xml:space="preserve">, par. 27; </w:t>
      </w:r>
      <w:r w:rsidRPr="009C665E">
        <w:rPr>
          <w:rFonts w:cs="Times New Roman"/>
          <w:i/>
          <w:lang w:val="fr-CA" w:bidi="en-US"/>
        </w:rPr>
        <w:t>Akram</w:t>
      </w:r>
      <w:r w:rsidRPr="009C665E">
        <w:rPr>
          <w:rFonts w:cs="Times New Roman"/>
          <w:lang w:val="fr-CA" w:bidi="en-US"/>
        </w:rPr>
        <w:t>, par. 58)</w:t>
      </w:r>
      <w:r w:rsidRPr="009C665E">
        <w:rPr>
          <w:rFonts w:cs="Times New Roman"/>
          <w:lang w:val="fr-CA"/>
        </w:rPr>
        <w:t xml:space="preserve">. La poursuite </w:t>
      </w:r>
      <w:r w:rsidRPr="009C665E">
        <w:rPr>
          <w:rFonts w:cs="Times New Roman"/>
          <w:smallCaps/>
          <w:lang w:val="fr-CA"/>
        </w:rPr>
        <w:t>[traduction]</w:t>
      </w:r>
      <w:r w:rsidRPr="009C665E">
        <w:rPr>
          <w:rFonts w:cs="Times New Roman"/>
          <w:lang w:val="fr-CA"/>
        </w:rPr>
        <w:t xml:space="preserve"> « dispose d’une marge de manœuvre illimitée pour faire respecter le droit criminel comme elle l’entend et pour décider des accusations qui seront portées, à ceci près qu’elle ne peut demander au tribunal d’acquitter l’accusé de l’accusation précise dont la cour se trouve saisie »; cependant, une fois les poursuites engagées, les tribunaux jouent un rôle important en ce qui concerne la décision d’acquitter ou non l’accusé (</w:t>
      </w:r>
      <w:r w:rsidRPr="009C665E">
        <w:rPr>
          <w:rFonts w:cs="Times New Roman"/>
          <w:i/>
          <w:lang w:val="fr-CA"/>
        </w:rPr>
        <w:t xml:space="preserve">R. c. Naraindeen </w:t>
      </w:r>
      <w:r w:rsidRPr="009C665E">
        <w:rPr>
          <w:rFonts w:cs="Times New Roman"/>
          <w:lang w:val="fr-CA"/>
        </w:rPr>
        <w:t>(1990), 75 O.R. (2d) 120 (C.A.), p. 127).</w:t>
      </w:r>
    </w:p>
    <w:p w14:paraId="24165B8A" w14:textId="2F5C5ADC" w:rsidR="009C665E" w:rsidRPr="009C665E" w:rsidRDefault="009C665E" w:rsidP="002109E2">
      <w:pPr>
        <w:pStyle w:val="ParaNoNdepar-AltN"/>
        <w:rPr>
          <w:lang w:val="fr-CA"/>
        </w:rPr>
      </w:pPr>
      <w:r w:rsidRPr="009C665E">
        <w:rPr>
          <w:lang w:val="fr-CA"/>
        </w:rPr>
        <w:t xml:space="preserve">À mon avis, une position conjointe que font valoir la Couronne et la défense selon laquelle un acquittement est la réparation appropriée inspirera le respect </w:t>
      </w:r>
      <w:r w:rsidRPr="009C665E">
        <w:rPr>
          <w:lang w:val="fr-CA"/>
        </w:rPr>
        <w:lastRenderedPageBreak/>
        <w:t>et la déférence qui sont habituellement accordés aux recommandations conjointes. Dans un tel cas, on peut supposer que chaque partie a examiné en profondeur le bien</w:t>
      </w:r>
      <w:r w:rsidRPr="009C665E">
        <w:rPr>
          <w:lang w:val="fr-CA"/>
        </w:rPr>
        <w:noBreakHyphen/>
        <w:t xml:space="preserve">fondé de l’appel, l’issue probable de tout hypothétique nouveau procès, ainsi que la possibilité et l’opportunité d’un acquittement à titre de réparation. Lorsque la Couronne sollicite un acquittement, la cour peut tenir pour acquis que le caractère équitable global relatif à la cause et la probabilité d’un nouveau procès penchent en faveur d’un acquittement, sous réserve d’éléments de preuve qui indiqueraient clairement d’adopter la position inverse. Cette approche est compatible avec la présomption selon laquelle la Couronne agit dans l’intérêt public et de bonne foi </w:t>
      </w:r>
      <w:r w:rsidRPr="009C665E">
        <w:rPr>
          <w:lang w:val="fr-CA" w:bidi="en-US"/>
        </w:rPr>
        <w:t>(</w:t>
      </w:r>
      <w:r w:rsidRPr="009C665E">
        <w:rPr>
          <w:i/>
          <w:iCs/>
          <w:lang w:val="fr-CA" w:bidi="en-US"/>
        </w:rPr>
        <w:t>Boucher</w:t>
      </w:r>
      <w:r w:rsidRPr="009C665E">
        <w:rPr>
          <w:lang w:val="fr-CA" w:bidi="en-US"/>
        </w:rPr>
        <w:t xml:space="preserve">, p. 24; </w:t>
      </w:r>
      <w:r w:rsidRPr="009C665E">
        <w:rPr>
          <w:i/>
          <w:lang w:val="fr-CA" w:bidi="en-US"/>
        </w:rPr>
        <w:t>Demande fondée sur l’art. 83.28 du Code criminel</w:t>
      </w:r>
      <w:r w:rsidR="002109E2">
        <w:rPr>
          <w:i/>
          <w:lang w:val="fr-CA" w:bidi="en-US"/>
        </w:rPr>
        <w:t xml:space="preserve"> </w:t>
      </w:r>
      <w:r w:rsidR="002109E2">
        <w:rPr>
          <w:rFonts w:cs="Times New Roman"/>
          <w:i/>
          <w:lang w:val="fr-CA" w:bidi="en-US"/>
        </w:rPr>
        <w:t>(Re</w:t>
      </w:r>
      <w:r w:rsidR="002109E2" w:rsidRPr="002109E2">
        <w:rPr>
          <w:rFonts w:cs="Times New Roman"/>
          <w:i/>
          <w:lang w:val="fr-CA" w:bidi="en-US"/>
        </w:rPr>
        <w:t>)</w:t>
      </w:r>
      <w:r w:rsidR="002109E2" w:rsidRPr="002109E2">
        <w:rPr>
          <w:rFonts w:cs="Times New Roman"/>
          <w:lang w:val="fr-CA" w:bidi="en-US"/>
        </w:rPr>
        <w:t>, 2004</w:t>
      </w:r>
      <w:r w:rsidRPr="009C665E">
        <w:rPr>
          <w:i/>
          <w:lang w:val="fr-CA" w:bidi="en-US"/>
        </w:rPr>
        <w:t xml:space="preserve"> </w:t>
      </w:r>
      <w:r w:rsidRPr="009C665E">
        <w:rPr>
          <w:lang w:val="fr-CA" w:bidi="en-US"/>
        </w:rPr>
        <w:t xml:space="preserve">CSC 42, </w:t>
      </w:r>
      <w:r w:rsidRPr="009C665E">
        <w:rPr>
          <w:lang w:val="fr-CA"/>
        </w:rPr>
        <w:t xml:space="preserve">[2004] 2 R.C.S. 248, </w:t>
      </w:r>
      <w:r w:rsidRPr="009C665E">
        <w:rPr>
          <w:lang w:val="fr-CA" w:bidi="en-US"/>
        </w:rPr>
        <w:t>par. 95). Elle souligne également l’attente que l’on a envers la Couronne selon laquelle celle</w:t>
      </w:r>
      <w:r w:rsidRPr="009C665E">
        <w:rPr>
          <w:lang w:val="fr-CA" w:bidi="en-US"/>
        </w:rPr>
        <w:noBreakHyphen/>
        <w:t>ci se prononce sur le caractère plus probable qu’improbable d’un acquittement lorsqu’elle plaide en faveur d’une telle mesure réparatrice</w:t>
      </w:r>
      <w:r w:rsidRPr="009C665E">
        <w:rPr>
          <w:lang w:val="fr-CA"/>
        </w:rPr>
        <w:t>.</w:t>
      </w:r>
    </w:p>
    <w:p w14:paraId="08C27F86"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t>Bien que les tribunaux doivent faire preuve de déférence lorsqu’ils examinent si un acquittement est approprié dans les circonstances de la cause dont ils sont saisis, comme pour toutes les recommandations conjointes, ils doivent tout de même procéder à une évaluation judiciaire indépendante du dossier et des arguments et être convaincus du bien</w:t>
      </w:r>
      <w:r w:rsidRPr="009C665E">
        <w:rPr>
          <w:rFonts w:cs="Times New Roman"/>
          <w:lang w:val="fr-CA"/>
        </w:rPr>
        <w:noBreakHyphen/>
        <w:t xml:space="preserve">fondé de l’acquittement. La déférence envers une recommandation conjointe peut vouloir dire que l’évaluation par le tribunal du reste de la cause n’a pas à être aussi rigoureuse qu’elle l’aurait été si les parties n’avaient pas été d’accord. En conséquence, si la recommandation conjointe présentée au tribunal </w:t>
      </w:r>
      <w:r w:rsidRPr="009C665E">
        <w:rPr>
          <w:rFonts w:cs="Times New Roman"/>
          <w:lang w:val="fr-CA"/>
        </w:rPr>
        <w:lastRenderedPageBreak/>
        <w:t xml:space="preserve">spécifie que c’est un acquittement qui constituerait la juste réparation, le tribunal peut se demander si, sur le fondement d’un simple examen du dossier, un jury dûment instruit </w:t>
      </w:r>
      <w:r w:rsidRPr="009C665E">
        <w:rPr>
          <w:rFonts w:cs="Times New Roman"/>
          <w:i/>
          <w:lang w:val="fr-CA"/>
        </w:rPr>
        <w:t>pourrait</w:t>
      </w:r>
      <w:r w:rsidRPr="009C665E">
        <w:rPr>
          <w:rFonts w:cs="Times New Roman"/>
          <w:lang w:val="fr-CA"/>
        </w:rPr>
        <w:t xml:space="preserve"> conclure qu’il est plus probable qu’improbable qu’un nouveau procès de l’accusé se solderait par un acquittement en appliquant la norme de la preuve hors de tout doute raisonnable.</w:t>
      </w:r>
    </w:p>
    <w:p w14:paraId="28A2E89C"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t xml:space="preserve">L’approche que je préconise permet d’établir un juste équilibre entre le fait de garantir que les tribunaux demeurent les gardiens de la primauté du droit et celui de respecter le rôle quasi judiciaire unique des procureurs de la Couronne à titre de ministres de la justice. Les tribunaux ont adopté une approche sommaire similaire lorsque la Couronne concède qu’un acquittement est la mesure de réparation appropriée </w:t>
      </w:r>
      <w:r w:rsidRPr="009C665E">
        <w:rPr>
          <w:rFonts w:cs="Times New Roman"/>
          <w:lang w:val="fr-CA" w:bidi="en-US"/>
        </w:rPr>
        <w:t>(</w:t>
      </w:r>
      <w:r w:rsidRPr="009C665E">
        <w:rPr>
          <w:rFonts w:cs="Times New Roman"/>
          <w:i/>
          <w:iCs/>
          <w:lang w:val="fr-CA" w:bidi="en-US"/>
        </w:rPr>
        <w:t>Mullins-Johnson</w:t>
      </w:r>
      <w:r w:rsidRPr="009C665E">
        <w:rPr>
          <w:rFonts w:cs="Times New Roman"/>
          <w:iCs/>
          <w:lang w:val="fr-CA" w:bidi="en-US"/>
        </w:rPr>
        <w:t xml:space="preserve">; </w:t>
      </w:r>
      <w:r w:rsidRPr="009C665E">
        <w:rPr>
          <w:rFonts w:cs="Times New Roman"/>
          <w:i/>
          <w:iCs/>
          <w:lang w:val="fr-CA" w:bidi="en-US"/>
        </w:rPr>
        <w:t>Hanemaayer</w:t>
      </w:r>
      <w:r w:rsidRPr="009C665E">
        <w:rPr>
          <w:rFonts w:cs="Times New Roman"/>
          <w:lang w:val="fr-CA" w:bidi="en-US"/>
        </w:rPr>
        <w:t xml:space="preserve">; </w:t>
      </w:r>
      <w:r w:rsidRPr="009C665E">
        <w:rPr>
          <w:rFonts w:cs="Times New Roman"/>
          <w:i/>
          <w:iCs/>
          <w:lang w:val="fr-CA" w:bidi="en-US"/>
        </w:rPr>
        <w:t>Sherret-Robinson</w:t>
      </w:r>
      <w:r w:rsidRPr="009C665E">
        <w:rPr>
          <w:rFonts w:cs="Times New Roman"/>
          <w:lang w:val="fr-CA" w:bidi="en-US"/>
        </w:rPr>
        <w:t xml:space="preserve">; </w:t>
      </w:r>
      <w:r w:rsidRPr="009C665E">
        <w:rPr>
          <w:rFonts w:cs="Times New Roman"/>
          <w:i/>
          <w:iCs/>
          <w:lang w:val="fr-CA" w:bidi="en-US"/>
        </w:rPr>
        <w:t>Kumar</w:t>
      </w:r>
      <w:r w:rsidRPr="009C665E">
        <w:rPr>
          <w:rFonts w:cs="Times New Roman"/>
          <w:iCs/>
          <w:lang w:val="fr-CA" w:bidi="en-US"/>
        </w:rPr>
        <w:t>, par. 37</w:t>
      </w:r>
      <w:r w:rsidRPr="009C665E">
        <w:rPr>
          <w:rFonts w:cs="Times New Roman"/>
          <w:lang w:val="fr-CA" w:bidi="en-US"/>
        </w:rPr>
        <w:t xml:space="preserve">; </w:t>
      </w:r>
      <w:r w:rsidRPr="009C665E">
        <w:rPr>
          <w:rFonts w:cs="Times New Roman"/>
          <w:i/>
          <w:iCs/>
          <w:lang w:val="fr-CA" w:bidi="en-US"/>
        </w:rPr>
        <w:t>Brant</w:t>
      </w:r>
      <w:r w:rsidRPr="009C665E">
        <w:rPr>
          <w:rFonts w:cs="Times New Roman"/>
          <w:iCs/>
          <w:lang w:val="fr-CA" w:bidi="en-US"/>
        </w:rPr>
        <w:t>, par. 3</w:t>
      </w:r>
      <w:r w:rsidRPr="009C665E">
        <w:rPr>
          <w:rFonts w:cs="Times New Roman"/>
          <w:lang w:val="fr-CA" w:bidi="en-US"/>
        </w:rPr>
        <w:t xml:space="preserve">; </w:t>
      </w:r>
      <w:r w:rsidRPr="009C665E">
        <w:rPr>
          <w:rFonts w:cs="Times New Roman"/>
          <w:i/>
          <w:iCs/>
          <w:lang w:val="fr-CA" w:bidi="en-US"/>
        </w:rPr>
        <w:t>Shepherd</w:t>
      </w:r>
      <w:r w:rsidRPr="009C665E">
        <w:rPr>
          <w:rFonts w:cs="Times New Roman"/>
          <w:iCs/>
          <w:lang w:val="fr-CA" w:bidi="en-US"/>
        </w:rPr>
        <w:t>, par. 20</w:t>
      </w:r>
      <w:r w:rsidRPr="009C665E">
        <w:rPr>
          <w:rFonts w:cs="Times New Roman"/>
          <w:lang w:val="fr-CA" w:bidi="en-US"/>
        </w:rPr>
        <w:t>)</w:t>
      </w:r>
      <w:r w:rsidRPr="009C665E">
        <w:rPr>
          <w:rFonts w:cs="Times New Roman"/>
          <w:lang w:val="fr-CA"/>
        </w:rPr>
        <w:t>.</w:t>
      </w:r>
    </w:p>
    <w:p w14:paraId="0CC2739B"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t>En l’espèce, la Couronne a concédé que le pourvoi devait être accueilli et que l’acquittement devait être prononcé (m.i., par. 7 et 103</w:t>
      </w:r>
      <w:r w:rsidRPr="009C665E">
        <w:rPr>
          <w:rFonts w:cs="Times New Roman"/>
          <w:lang w:val="fr-CA"/>
        </w:rPr>
        <w:noBreakHyphen/>
        <w:t xml:space="preserve">109). Cette </w:t>
      </w:r>
      <w:r w:rsidRPr="009C665E">
        <w:rPr>
          <w:rFonts w:cs="Times New Roman"/>
          <w:lang w:val="fr-CA" w:bidi="en-US"/>
        </w:rPr>
        <w:t>concession indique qu’il s’agit de la réparation qu’il convient d’accorder dans ces circonstances. Comme elle a conclu qu’elle devait demander à notre Cour d’inscrire un acquittement, la procureure de la Couronne, en tant que quasi</w:t>
      </w:r>
      <w:r w:rsidRPr="009C665E">
        <w:rPr>
          <w:rFonts w:cs="Times New Roman"/>
          <w:lang w:val="fr-CA" w:bidi="en-US"/>
        </w:rPr>
        <w:noBreakHyphen/>
        <w:t xml:space="preserve">ministre de la </w:t>
      </w:r>
      <w:proofErr w:type="gramStart"/>
      <w:r w:rsidRPr="009C665E">
        <w:rPr>
          <w:rFonts w:cs="Times New Roman"/>
          <w:lang w:val="fr-CA" w:bidi="en-US"/>
        </w:rPr>
        <w:t>justice</w:t>
      </w:r>
      <w:proofErr w:type="gramEnd"/>
      <w:r w:rsidRPr="009C665E">
        <w:rPr>
          <w:rFonts w:cs="Times New Roman"/>
          <w:lang w:val="fr-CA" w:bidi="en-US"/>
        </w:rPr>
        <w:t>, aurait déjà évalué la solidité de sa preuve en cas de nouveau procès et tenu compte de l’intérêt public à la tenue d’un nouveau procès. En dépit de la concession de la Couronne, notre Cour, à titre de gardienne de la primauté du droit, n’abdique pas son rôle de surveillance pour s’assurer qu’il est satisfait aux intérêts de la justice.</w:t>
      </w:r>
    </w:p>
    <w:p w14:paraId="1AD9A700"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eastAsiaTheme="minorHAnsi" w:cs="Times New Roman"/>
          <w:lang w:val="fr-CA" w:bidi="en-US"/>
        </w:rPr>
        <w:lastRenderedPageBreak/>
        <w:t>L’examen de la preuve dans la présente cause ne permet pas non plus de conclure à l’existence d</w:t>
      </w:r>
      <w:r w:rsidRPr="009C665E">
        <w:rPr>
          <w:rFonts w:cs="Times New Roman"/>
          <w:lang w:val="fr-CA" w:bidi="en-US"/>
        </w:rPr>
        <w:t>’un intérêt public à la tenue d’un nouveau procès</w:t>
      </w:r>
      <w:r w:rsidRPr="009C665E">
        <w:rPr>
          <w:rFonts w:eastAsiaTheme="minorHAnsi" w:cs="Times New Roman"/>
          <w:lang w:val="fr-CA" w:bidi="en-US"/>
        </w:rPr>
        <w:t xml:space="preserve">. La Couronne a en outre déclaré que, si un nouveau procès était ordonné, elle interpellerait </w:t>
      </w:r>
      <w:r w:rsidRPr="009C665E">
        <w:rPr>
          <w:rFonts w:cs="Times New Roman"/>
          <w:lang w:val="fr-CA"/>
        </w:rPr>
        <w:t>M</w:t>
      </w:r>
      <w:r w:rsidRPr="009C665E">
        <w:rPr>
          <w:rFonts w:cs="Times New Roman"/>
          <w:vertAlign w:val="superscript"/>
          <w:lang w:val="fr-CA"/>
        </w:rPr>
        <w:t>me</w:t>
      </w:r>
      <w:r w:rsidRPr="009C665E">
        <w:rPr>
          <w:rFonts w:cs="Times New Roman"/>
          <w:lang w:val="fr-CA"/>
        </w:rPr>
        <w:t> Bouvette, ne produirait aucune preuve et demanderait au tribunal d’inscrire un acquittement (</w:t>
      </w:r>
      <w:r w:rsidRPr="009C665E">
        <w:rPr>
          <w:rFonts w:cs="Times New Roman"/>
          <w:lang w:val="fr-CA" w:bidi="en-US"/>
        </w:rPr>
        <w:t>transcription, p. 41</w:t>
      </w:r>
      <w:r w:rsidRPr="009C665E">
        <w:rPr>
          <w:rFonts w:cs="Times New Roman"/>
          <w:lang w:val="fr-CA" w:bidi="en-US"/>
        </w:rPr>
        <w:noBreakHyphen/>
        <w:t>42</w:t>
      </w:r>
      <w:r w:rsidRPr="009C665E">
        <w:rPr>
          <w:rFonts w:cs="Times New Roman"/>
          <w:lang w:val="fr-CA"/>
        </w:rPr>
        <w:t>). Ces éléments d’information sur la viabilité d’un nouveau procès indiquent clairement que la Couronne n’entend pas donner suite à l’accusation qui pèse encore contre M</w:t>
      </w:r>
      <w:r w:rsidRPr="009C665E">
        <w:rPr>
          <w:rFonts w:cs="Times New Roman"/>
          <w:vertAlign w:val="superscript"/>
          <w:lang w:val="fr-CA"/>
        </w:rPr>
        <w:t>me</w:t>
      </w:r>
      <w:r w:rsidRPr="009C665E">
        <w:rPr>
          <w:rFonts w:cs="Times New Roman"/>
          <w:lang w:val="fr-CA"/>
        </w:rPr>
        <w:t> Bouvette.</w:t>
      </w:r>
    </w:p>
    <w:p w14:paraId="2AE86C7D"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t xml:space="preserve">De plus, comme la Couronne l’a reconnu devant la Cour d’appel, la preuve qu’elle pourrait présenter dans le cadre d’un nouveau procès est </w:t>
      </w:r>
      <w:r w:rsidRPr="009C665E">
        <w:rPr>
          <w:rFonts w:cs="Times New Roman"/>
          <w:smallCaps/>
          <w:lang w:val="fr-CA"/>
        </w:rPr>
        <w:t>[traduction]</w:t>
      </w:r>
      <w:r w:rsidRPr="009C665E">
        <w:rPr>
          <w:rFonts w:cs="Times New Roman"/>
          <w:lang w:val="fr-CA"/>
        </w:rPr>
        <w:t xml:space="preserve"> « faible » (par. 135). Les nouveaux éléments de preuve minent la crédibilité et la fiabilité de l’opinion du </w:t>
      </w:r>
      <w:r w:rsidRPr="009C665E">
        <w:rPr>
          <w:rFonts w:eastAsia="Times New Roman" w:cs="Times New Roman"/>
          <w:lang w:val="fr-CA"/>
        </w:rPr>
        <w:t>D</w:t>
      </w:r>
      <w:r w:rsidRPr="009C665E">
        <w:rPr>
          <w:rFonts w:eastAsia="Times New Roman" w:cs="Times New Roman"/>
          <w:vertAlign w:val="superscript"/>
          <w:lang w:val="fr-CA"/>
        </w:rPr>
        <w:t>r</w:t>
      </w:r>
      <w:r w:rsidRPr="009C665E">
        <w:rPr>
          <w:rFonts w:eastAsia="Times New Roman" w:cs="Times New Roman"/>
          <w:lang w:val="fr-CA"/>
        </w:rPr>
        <w:t> Matshes. Lors de l’enquête préliminaire, ce dernier a affirmé que les services de santé de l’Alberta avaient procédé à un examen interne et n’avaient [</w:t>
      </w:r>
      <w:r w:rsidRPr="009C665E">
        <w:rPr>
          <w:rFonts w:eastAsia="Times New Roman" w:cs="Times New Roman"/>
          <w:smallCaps/>
          <w:lang w:val="fr-CA"/>
        </w:rPr>
        <w:t>traduction</w:t>
      </w:r>
      <w:r w:rsidRPr="009C665E">
        <w:rPr>
          <w:rFonts w:eastAsia="Times New Roman" w:cs="Times New Roman"/>
          <w:lang w:val="fr-CA"/>
        </w:rPr>
        <w:t>] « eu rien à redire » au sujet de son travail (d.a., vol. VII, p. 54). Les éléments de preuve non communiqués soulèvent un doute quant à l’affirmation du D</w:t>
      </w:r>
      <w:r w:rsidRPr="009C665E">
        <w:rPr>
          <w:rFonts w:eastAsia="Times New Roman" w:cs="Times New Roman"/>
          <w:vertAlign w:val="superscript"/>
          <w:lang w:val="fr-CA"/>
        </w:rPr>
        <w:t>r</w:t>
      </w:r>
      <w:r w:rsidRPr="009C665E">
        <w:rPr>
          <w:rFonts w:eastAsia="Times New Roman" w:cs="Times New Roman"/>
          <w:lang w:val="fr-CA"/>
        </w:rPr>
        <w:t> Matshes, ce qui peut nuire à sa crédibilité. L</w:t>
      </w:r>
      <w:r w:rsidRPr="009C665E">
        <w:rPr>
          <w:rFonts w:cs="Times New Roman"/>
          <w:lang w:val="fr-CA"/>
        </w:rPr>
        <w:t>es résultats non communiqués de l’examen auquel un comité externe d’examen par les pairs a procédé au sujet des conclusions tirées par le D</w:t>
      </w:r>
      <w:r w:rsidRPr="009C665E">
        <w:rPr>
          <w:rFonts w:cs="Times New Roman"/>
          <w:vertAlign w:val="superscript"/>
          <w:lang w:val="fr-CA"/>
        </w:rPr>
        <w:t>r</w:t>
      </w:r>
      <w:r w:rsidRPr="009C665E">
        <w:rPr>
          <w:rFonts w:cs="Times New Roman"/>
          <w:lang w:val="fr-CA"/>
        </w:rPr>
        <w:t xml:space="preserve"> Matshes dans plusieurs dossiers, et dans lequel ce comité a </w:t>
      </w:r>
      <w:r w:rsidRPr="009C665E">
        <w:rPr>
          <w:rFonts w:eastAsia="Times New Roman" w:cs="Times New Roman"/>
          <w:lang w:val="fr-CA"/>
        </w:rPr>
        <w:t xml:space="preserve">conclu que les avis que </w:t>
      </w:r>
      <w:r w:rsidRPr="009C665E">
        <w:rPr>
          <w:rFonts w:cs="Times New Roman"/>
          <w:lang w:val="fr-CA"/>
        </w:rPr>
        <w:t>le D</w:t>
      </w:r>
      <w:r w:rsidRPr="009C665E">
        <w:rPr>
          <w:rFonts w:cs="Times New Roman"/>
          <w:vertAlign w:val="superscript"/>
          <w:lang w:val="fr-CA"/>
        </w:rPr>
        <w:t>r</w:t>
      </w:r>
      <w:r w:rsidRPr="009C665E">
        <w:rPr>
          <w:rFonts w:cs="Times New Roman"/>
          <w:lang w:val="fr-CA"/>
        </w:rPr>
        <w:t> Matshes</w:t>
      </w:r>
      <w:r w:rsidRPr="009C665E">
        <w:rPr>
          <w:rFonts w:eastAsia="Times New Roman" w:cs="Times New Roman"/>
          <w:lang w:val="fr-CA"/>
        </w:rPr>
        <w:t xml:space="preserve"> avait donnés dans 13 des 14 dossiers différents, y compris celui de l’enfant en l’espèce, étaient déraisonnables, compromettent gravement la perspective d’une déclaration de culpabilité fondée sur son témoignage (m.a., par. 62; d.a., vol. VI, p. 160). Il faut également rappeler que </w:t>
      </w:r>
      <w:r w:rsidRPr="009C665E">
        <w:rPr>
          <w:rFonts w:cs="Times New Roman"/>
          <w:lang w:val="fr-CA"/>
        </w:rPr>
        <w:t>le médecin légiste en chef de l’Alberta, la D</w:t>
      </w:r>
      <w:r w:rsidRPr="009C665E">
        <w:rPr>
          <w:rFonts w:cs="Times New Roman"/>
          <w:vertAlign w:val="superscript"/>
          <w:lang w:val="fr-CA"/>
        </w:rPr>
        <w:t>re</w:t>
      </w:r>
      <w:r w:rsidRPr="009C665E">
        <w:rPr>
          <w:rFonts w:cs="Times New Roman"/>
          <w:lang w:val="fr-CA"/>
        </w:rPr>
        <w:t xml:space="preserve"> Sauvageau, a exprimé des réserves au sujet du travail du </w:t>
      </w:r>
      <w:r w:rsidRPr="009C665E">
        <w:rPr>
          <w:rFonts w:cs="Times New Roman"/>
          <w:lang w:val="fr-CA"/>
        </w:rPr>
        <w:lastRenderedPageBreak/>
        <w:t>D</w:t>
      </w:r>
      <w:r w:rsidRPr="009C665E">
        <w:rPr>
          <w:rFonts w:cs="Times New Roman"/>
          <w:vertAlign w:val="superscript"/>
          <w:lang w:val="fr-CA"/>
        </w:rPr>
        <w:t>r</w:t>
      </w:r>
      <w:r w:rsidRPr="009C665E">
        <w:rPr>
          <w:rFonts w:cs="Times New Roman"/>
          <w:lang w:val="fr-CA"/>
        </w:rPr>
        <w:t xml:space="preserve"> Matshes. Je note également que, si la Couronne demandait l’avis d’un autre expert, la diversité des points de vue ainsi obtenus aurait sans aucun doute une incidence sur la fiabilité de cette opinion </w:t>
      </w:r>
      <w:r w:rsidRPr="009C665E">
        <w:rPr>
          <w:rFonts w:eastAsia="Times New Roman" w:cs="Times New Roman"/>
          <w:lang w:val="fr-CA"/>
        </w:rPr>
        <w:t xml:space="preserve">(voir </w:t>
      </w:r>
      <w:r w:rsidRPr="009C665E">
        <w:rPr>
          <w:rFonts w:eastAsia="Times New Roman" w:cs="Times New Roman"/>
          <w:i/>
          <w:lang w:val="fr-CA"/>
        </w:rPr>
        <w:t>Doyle</w:t>
      </w:r>
      <w:r w:rsidRPr="009C665E">
        <w:rPr>
          <w:rFonts w:eastAsia="Times New Roman" w:cs="Times New Roman"/>
          <w:lang w:val="fr-CA"/>
        </w:rPr>
        <w:t>, par. 12).</w:t>
      </w:r>
    </w:p>
    <w:p w14:paraId="3196C7CF"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eastAsiaTheme="minorHAnsi" w:cs="Times New Roman"/>
          <w:lang w:val="fr-CA" w:bidi="en-US"/>
        </w:rPr>
        <w:t xml:space="preserve">Pour évaluer la preuve sous l’angle judiciaire, j’ai également tenu compte du fait que, en raison de l’erreur judiciaire, </w:t>
      </w:r>
      <w:r w:rsidRPr="009C665E">
        <w:rPr>
          <w:rFonts w:cs="Times New Roman"/>
          <w:lang w:val="fr-CA"/>
        </w:rPr>
        <w:t>M</w:t>
      </w:r>
      <w:r w:rsidRPr="009C665E">
        <w:rPr>
          <w:rFonts w:cs="Times New Roman"/>
          <w:vertAlign w:val="superscript"/>
          <w:lang w:val="fr-CA"/>
        </w:rPr>
        <w:t>me</w:t>
      </w:r>
      <w:r w:rsidRPr="009C665E">
        <w:rPr>
          <w:rFonts w:cs="Times New Roman"/>
          <w:lang w:val="fr-CA"/>
        </w:rPr>
        <w:t> Bouvette n’a pas été en mesure de contester l’opinion du D</w:t>
      </w:r>
      <w:r w:rsidRPr="009C665E">
        <w:rPr>
          <w:rFonts w:cs="Times New Roman"/>
          <w:vertAlign w:val="superscript"/>
          <w:lang w:val="fr-CA"/>
        </w:rPr>
        <w:t>r</w:t>
      </w:r>
      <w:r w:rsidRPr="009C665E">
        <w:rPr>
          <w:rFonts w:cs="Times New Roman"/>
          <w:lang w:val="fr-CA"/>
        </w:rPr>
        <w:t xml:space="preserve"> Matshes lors d’un procès dans lequel elle aurait eu accès aux </w:t>
      </w:r>
      <w:r w:rsidRPr="009C665E">
        <w:rPr>
          <w:rFonts w:eastAsiaTheme="minorHAnsi" w:cs="Times New Roman"/>
          <w:lang w:val="fr-CA" w:bidi="en-US"/>
        </w:rPr>
        <w:t xml:space="preserve">éléments de preuve qui ne lui ont pas été communiqués (voir le m.i., par. 104). En outre, bien qu’elle n’ait produit aucun nouvel élément de preuve au moyen de témoignages de vive voix lors de son appel, cette décision s’explique par le fait que la Couronne avait reconnu devant la </w:t>
      </w:r>
      <w:r w:rsidRPr="009C665E">
        <w:rPr>
          <w:rFonts w:cs="Times New Roman"/>
          <w:lang w:val="fr-CA" w:bidi="en-US"/>
        </w:rPr>
        <w:t>Cour d’appel que l’acquittement serait une réparation appropriée dans les circonstances (par. 100).</w:t>
      </w:r>
    </w:p>
    <w:p w14:paraId="007C2639"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t>Je conclus qu’il est plus probable qu’improbable que M</w:t>
      </w:r>
      <w:r w:rsidRPr="009C665E">
        <w:rPr>
          <w:rFonts w:cs="Times New Roman"/>
          <w:vertAlign w:val="superscript"/>
          <w:lang w:val="fr-CA"/>
        </w:rPr>
        <w:t>me</w:t>
      </w:r>
      <w:r w:rsidRPr="009C665E">
        <w:rPr>
          <w:rFonts w:cs="Times New Roman"/>
          <w:lang w:val="fr-CA"/>
        </w:rPr>
        <w:t> Bouvette serait acquittée lors d’un hypothétique nouveau procès appliquant la norme de la preuve hors de tout doute raisonnable. J’en arriverais à la même conclusion en dépit de l’exclusion du témoignage du D</w:t>
      </w:r>
      <w:r w:rsidRPr="009C665E">
        <w:rPr>
          <w:rFonts w:cs="Times New Roman"/>
          <w:vertAlign w:val="superscript"/>
          <w:lang w:val="fr-CA"/>
        </w:rPr>
        <w:t>r</w:t>
      </w:r>
      <w:r w:rsidRPr="009C665E">
        <w:rPr>
          <w:rFonts w:cs="Times New Roman"/>
          <w:lang w:val="fr-CA"/>
        </w:rPr>
        <w:t> Matshes, ou, subsidiairement, si la crédibilité et la fiabilité de quelque témoignage d’expert étaient minées.</w:t>
      </w:r>
    </w:p>
    <w:p w14:paraId="35D2F9E7" w14:textId="0A167592" w:rsidR="009C665E" w:rsidRPr="009C665E" w:rsidRDefault="009C665E" w:rsidP="00BD5727">
      <w:pPr>
        <w:pStyle w:val="Title4LevelTitre4Niveau"/>
        <w:widowControl w:val="0"/>
        <w:numPr>
          <w:ilvl w:val="1"/>
          <w:numId w:val="33"/>
        </w:numPr>
        <w:spacing w:before="0"/>
        <w:ind w:left="1134" w:hanging="567"/>
        <w:rPr>
          <w:rFonts w:cs="Times New Roman"/>
          <w:lang w:val="fr-CA"/>
        </w:rPr>
      </w:pPr>
      <w:r w:rsidRPr="009C665E">
        <w:rPr>
          <w:rFonts w:cs="Times New Roman"/>
          <w:lang w:val="fr-CA"/>
        </w:rPr>
        <w:t>Le caractère équitable global de l’espèce</w:t>
      </w:r>
    </w:p>
    <w:p w14:paraId="79C9D84D"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t xml:space="preserve">Dans un certain nombre d’affaires, notre Cour et les cours d’appel provinciales ont prononcé des acquittements en se fondant sur des </w:t>
      </w:r>
      <w:r w:rsidRPr="009C665E">
        <w:rPr>
          <w:rFonts w:cs="Times New Roman"/>
          <w:smallCaps/>
          <w:lang w:val="fr-CA"/>
        </w:rPr>
        <w:t>[traduction]</w:t>
      </w:r>
      <w:r w:rsidRPr="009C665E">
        <w:rPr>
          <w:rFonts w:cs="Times New Roman"/>
          <w:lang w:val="fr-CA"/>
        </w:rPr>
        <w:t xml:space="preserve"> « éléments qui ne faisaient pas partie de la preuve dont disposait le juge des faits » </w:t>
      </w:r>
      <w:r w:rsidRPr="009C665E">
        <w:rPr>
          <w:rFonts w:cs="Times New Roman"/>
          <w:lang w:val="fr-CA"/>
        </w:rPr>
        <w:lastRenderedPageBreak/>
        <w:t>(Sopinka, Gelowitz et Rankin, ⁋4.46), c’est</w:t>
      </w:r>
      <w:r w:rsidRPr="009C665E">
        <w:rPr>
          <w:rFonts w:cs="Times New Roman"/>
          <w:lang w:val="fr-CA"/>
        </w:rPr>
        <w:noBreakHyphen/>
        <w:t>à</w:t>
      </w:r>
      <w:r w:rsidRPr="009C665E">
        <w:rPr>
          <w:rFonts w:cs="Times New Roman"/>
          <w:lang w:val="fr-CA"/>
        </w:rPr>
        <w:noBreakHyphen/>
        <w:t>dire des éléments de preuve qui ne concernent pas la solidité de la preuve présentée contre l’appelant. Le cadre d’analyse contextuel des acquittements proposé par la Couronne, et tiré de la jurisprudence, tient compte de facteurs tels que la situation de l’appelant, le temps écoulé et le tort causé à l’appelant en raison de l’erreur judiciaire (m.i., par. 107</w:t>
      </w:r>
      <w:r w:rsidRPr="009C665E">
        <w:rPr>
          <w:rFonts w:cs="Times New Roman"/>
          <w:lang w:val="fr-CA"/>
        </w:rPr>
        <w:noBreakHyphen/>
        <w:t>109). L’appelante soutient que le préjudice exceptionnellement grave qu’elle a subi justifie à lui seul son acquittement (m.a., par. 109</w:t>
      </w:r>
      <w:r w:rsidRPr="009C665E">
        <w:rPr>
          <w:rFonts w:cs="Times New Roman"/>
          <w:lang w:val="fr-CA"/>
        </w:rPr>
        <w:noBreakHyphen/>
        <w:t>110).</w:t>
      </w:r>
    </w:p>
    <w:p w14:paraId="4F7BEEEB"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Je conviens qu’une </w:t>
      </w:r>
      <w:r w:rsidRPr="009C665E">
        <w:rPr>
          <w:rFonts w:cs="Times New Roman"/>
          <w:lang w:val="fr-CA" w:bidi="en-US"/>
        </w:rPr>
        <w:t>cour d’appel doit procéder à une appréciation du caractère équitable global de l’espèce lorsqu’elle exerce son pouvoir discrétionnaire en vertu du par. 686(2). Cette démarche s’accorde avec la jurisprudence largement dominante, qui tient compte de facteurs étrangers au fond de l’affaire pour déterminer la réparation appropriée. Outre le préjudice grave que comporte intrinsèquement le fait de purger une peine qui peut être fondée sur une déclaration de culpabilité douteuse ou de devoir s’astreindre à de multiples instances pour faire annuler une déclaration de culpabilité, notre Cour a reconnu qu’il est « souvent difficile aux personnes accusées à tort de tels crimes de réintégrer pleinement la société et d’échapper à la stigmatisation et au traumatisme découlant de ces fausses accusations, surtout lorsqu’il n’y a pas eu d’acquittement » (</w:t>
      </w:r>
      <w:r w:rsidRPr="009C665E">
        <w:rPr>
          <w:rFonts w:cs="Times New Roman"/>
          <w:i/>
          <w:lang w:val="fr-CA" w:bidi="en-US"/>
        </w:rPr>
        <w:t>Miazga c. Kvello (Succession)</w:t>
      </w:r>
      <w:r w:rsidRPr="009C665E">
        <w:rPr>
          <w:rFonts w:cs="Times New Roman"/>
          <w:lang w:val="fr-CA" w:bidi="en-US"/>
        </w:rPr>
        <w:t>, 2009 CSC 51, [2009] 3 R.C.S. 339, par. 2).</w:t>
      </w:r>
    </w:p>
    <w:p w14:paraId="60898B68"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bidi="en-US"/>
        </w:rPr>
        <w:t xml:space="preserve">Cependant, à mon avis, la prise en compte du caractère équitable ne peut pas à elle seule servir de fondement pour substituer un acquittement à un nouveau </w:t>
      </w:r>
      <w:r w:rsidRPr="009C665E">
        <w:rPr>
          <w:rFonts w:cs="Times New Roman"/>
          <w:lang w:val="fr-CA" w:bidi="en-US"/>
        </w:rPr>
        <w:lastRenderedPageBreak/>
        <w:t xml:space="preserve">procès, surtout en présence d’un seul facteur (par exemple, l’exécution d’une peine) (voir </w:t>
      </w:r>
      <w:r w:rsidRPr="009C665E">
        <w:rPr>
          <w:rFonts w:cs="Times New Roman"/>
          <w:i/>
          <w:iCs/>
          <w:lang w:val="fr-CA" w:bidi="en-US"/>
        </w:rPr>
        <w:t>Brouillard c. La Reine</w:t>
      </w:r>
      <w:r w:rsidRPr="009C665E">
        <w:rPr>
          <w:rFonts w:cs="Times New Roman"/>
          <w:lang w:val="fr-CA" w:bidi="en-US"/>
        </w:rPr>
        <w:t xml:space="preserve">, [1985] 1 R.C.S. 39, p. 53; </w:t>
      </w:r>
      <w:r w:rsidRPr="009C665E">
        <w:rPr>
          <w:rFonts w:cs="Times New Roman"/>
          <w:i/>
          <w:iCs/>
          <w:lang w:val="fr-CA" w:bidi="en-US"/>
        </w:rPr>
        <w:t>R. c. Vickerson</w:t>
      </w:r>
      <w:r w:rsidRPr="009C665E">
        <w:rPr>
          <w:rFonts w:cs="Times New Roman"/>
          <w:lang w:val="fr-CA" w:bidi="en-US"/>
        </w:rPr>
        <w:t>, 2020 ONCA 434, par. 5</w:t>
      </w:r>
      <w:r w:rsidRPr="009C665E">
        <w:rPr>
          <w:rFonts w:cs="Times New Roman"/>
          <w:lang w:val="fr-CA" w:bidi="en-US"/>
        </w:rPr>
        <w:noBreakHyphen/>
        <w:t xml:space="preserve">8; </w:t>
      </w:r>
      <w:r w:rsidRPr="009C665E">
        <w:rPr>
          <w:rFonts w:cs="Times New Roman"/>
          <w:i/>
          <w:iCs/>
          <w:lang w:val="fr-CA" w:bidi="en-US"/>
        </w:rPr>
        <w:t>R. c. O’Brien</w:t>
      </w:r>
      <w:r w:rsidRPr="009C665E">
        <w:rPr>
          <w:rFonts w:cs="Times New Roman"/>
          <w:lang w:val="fr-CA" w:bidi="en-US"/>
        </w:rPr>
        <w:t xml:space="preserve"> (1987), </w:t>
      </w:r>
      <w:r w:rsidRPr="009C665E">
        <w:rPr>
          <w:rFonts w:cs="Times New Roman"/>
          <w:lang w:val="fr-CA"/>
        </w:rPr>
        <w:t>10 Q.A.C. 135, par. 11</w:t>
      </w:r>
      <w:r w:rsidRPr="009C665E">
        <w:rPr>
          <w:rFonts w:cs="Times New Roman"/>
          <w:lang w:val="fr-CA"/>
        </w:rPr>
        <w:noBreakHyphen/>
        <w:t>12</w:t>
      </w:r>
      <w:r w:rsidRPr="009C665E">
        <w:rPr>
          <w:rFonts w:cs="Times New Roman"/>
          <w:lang w:val="fr-CA" w:bidi="en-US"/>
        </w:rPr>
        <w:t xml:space="preserve">). Je reconnais que, dans </w:t>
      </w:r>
      <w:r w:rsidRPr="009C665E">
        <w:rPr>
          <w:rFonts w:cs="Times New Roman"/>
          <w:i/>
          <w:lang w:val="fr-CA" w:bidi="en-US"/>
        </w:rPr>
        <w:t>Dunlop</w:t>
      </w:r>
      <w:r w:rsidRPr="009C665E">
        <w:rPr>
          <w:rFonts w:cs="Times New Roman"/>
          <w:lang w:val="fr-CA" w:bidi="en-US"/>
        </w:rPr>
        <w:t>, la Cour a prononcé un acquittement parce que les accusés avaient purgé une partie de leurs peines et subi de multiples procès, mais cette cause a été tranchée bien avant que la Cour ne clarifie la portée du pouvoir d’un tribunal d’appel de prononcer un arrêt des procédures à titre de réparation (</w:t>
      </w:r>
      <w:r w:rsidRPr="009C665E">
        <w:rPr>
          <w:rFonts w:cs="Times New Roman"/>
          <w:i/>
          <w:lang w:val="fr-CA" w:bidi="en-US"/>
        </w:rPr>
        <w:t>R. c. Power</w:t>
      </w:r>
      <w:r w:rsidRPr="009C665E">
        <w:rPr>
          <w:rFonts w:cs="Times New Roman"/>
          <w:lang w:val="fr-CA" w:bidi="en-US"/>
        </w:rPr>
        <w:t>, [1994] 1 R.C.S. 601, p. 612</w:t>
      </w:r>
      <w:r w:rsidRPr="009C665E">
        <w:rPr>
          <w:rFonts w:cs="Times New Roman"/>
          <w:lang w:val="fr-CA" w:bidi="en-US"/>
        </w:rPr>
        <w:noBreakHyphen/>
        <w:t xml:space="preserve">615 et 620; </w:t>
      </w:r>
      <w:r w:rsidRPr="009C665E">
        <w:rPr>
          <w:rFonts w:cs="Times New Roman"/>
          <w:i/>
          <w:lang w:val="fr-CA" w:bidi="en-US"/>
        </w:rPr>
        <w:t>Hinse</w:t>
      </w:r>
      <w:r w:rsidRPr="009C665E">
        <w:rPr>
          <w:rFonts w:cs="Times New Roman"/>
          <w:lang w:val="fr-CA" w:bidi="en-US"/>
        </w:rPr>
        <w:t xml:space="preserve"> </w:t>
      </w:r>
      <w:r w:rsidRPr="009C665E">
        <w:rPr>
          <w:rFonts w:cs="Times New Roman"/>
          <w:i/>
          <w:lang w:val="fr-CA" w:bidi="en-US"/>
        </w:rPr>
        <w:t>1995</w:t>
      </w:r>
      <w:r w:rsidRPr="009C665E">
        <w:rPr>
          <w:rFonts w:cs="Times New Roman"/>
          <w:lang w:val="fr-CA" w:bidi="en-US"/>
        </w:rPr>
        <w:t>, par. 20</w:t>
      </w:r>
      <w:r w:rsidRPr="009C665E">
        <w:rPr>
          <w:rFonts w:cs="Times New Roman"/>
          <w:lang w:val="fr-CA" w:bidi="en-US"/>
        </w:rPr>
        <w:noBreakHyphen/>
        <w:t>23).</w:t>
      </w:r>
    </w:p>
    <w:p w14:paraId="17B5ED0D"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bidi="en-US"/>
        </w:rPr>
        <w:t>Les tribunaux doivent néanmoins procéder à une évaluation qualitative de la situation de l’appelant et du préjudice qu’il a subi, et subit peut</w:t>
      </w:r>
      <w:r w:rsidRPr="009C665E">
        <w:rPr>
          <w:rFonts w:cs="Times New Roman"/>
          <w:lang w:val="fr-CA" w:bidi="en-US"/>
        </w:rPr>
        <w:noBreakHyphen/>
        <w:t>être encore en raison de l’erreur judiciaire, dans le cadre de leur évaluation d’ensemble de la question de savoir s’il est dans l’intérêt de la justice de prononcer un acquittement. La jurisprudence suggère que les facteurs suivants sont parmi ceux qui sont pertinents :</w:t>
      </w:r>
    </w:p>
    <w:p w14:paraId="3953BE26" w14:textId="77777777" w:rsidR="009C665E" w:rsidRPr="009C665E" w:rsidRDefault="009C665E" w:rsidP="009C665E">
      <w:pPr>
        <w:pStyle w:val="ParaNoNdepar-AltN"/>
        <w:numPr>
          <w:ilvl w:val="1"/>
          <w:numId w:val="6"/>
        </w:numPr>
        <w:tabs>
          <w:tab w:val="clear" w:pos="1166"/>
        </w:tabs>
        <w:spacing w:before="0" w:after="240"/>
        <w:ind w:left="1526"/>
        <w:rPr>
          <w:rFonts w:cs="Times New Roman"/>
          <w:lang w:val="fr-CA" w:bidi="en-US"/>
        </w:rPr>
      </w:pPr>
      <w:proofErr w:type="gramStart"/>
      <w:r w:rsidRPr="009C665E">
        <w:rPr>
          <w:rFonts w:cs="Times New Roman"/>
          <w:lang w:val="fr-CA" w:bidi="en-US"/>
        </w:rPr>
        <w:t>l’appelant</w:t>
      </w:r>
      <w:proofErr w:type="gramEnd"/>
      <w:r w:rsidRPr="009C665E">
        <w:rPr>
          <w:rFonts w:cs="Times New Roman"/>
          <w:lang w:val="fr-CA" w:bidi="en-US"/>
        </w:rPr>
        <w:t xml:space="preserve"> a déjà purgé l’intégralité ou une partie de sa peine (voir, p. ex., </w:t>
      </w:r>
      <w:r w:rsidRPr="009C665E">
        <w:rPr>
          <w:rFonts w:cs="Times New Roman"/>
          <w:i/>
          <w:lang w:val="fr-CA" w:bidi="en-US"/>
        </w:rPr>
        <w:t>Dunlop</w:t>
      </w:r>
      <w:r w:rsidRPr="009C665E">
        <w:rPr>
          <w:rFonts w:cs="Times New Roman"/>
          <w:lang w:val="fr-CA" w:bidi="en-US"/>
        </w:rPr>
        <w:t xml:space="preserve">; </w:t>
      </w:r>
      <w:r w:rsidRPr="009C665E">
        <w:rPr>
          <w:rFonts w:cs="Times New Roman"/>
          <w:i/>
          <w:lang w:val="fr-CA" w:bidi="en-US"/>
        </w:rPr>
        <w:t>Dillabough</w:t>
      </w:r>
      <w:r w:rsidRPr="009C665E">
        <w:rPr>
          <w:rFonts w:cs="Times New Roman"/>
          <w:lang w:val="fr-CA" w:bidi="en-US"/>
        </w:rPr>
        <w:t xml:space="preserve">; </w:t>
      </w:r>
      <w:r w:rsidRPr="009C665E">
        <w:rPr>
          <w:rFonts w:cs="Times New Roman"/>
          <w:i/>
          <w:lang w:val="fr-CA"/>
        </w:rPr>
        <w:t>Boissonneault</w:t>
      </w:r>
      <w:r w:rsidRPr="009C665E">
        <w:rPr>
          <w:rFonts w:cs="Times New Roman"/>
          <w:lang w:val="fr-CA"/>
        </w:rPr>
        <w:t xml:space="preserve">; </w:t>
      </w:r>
      <w:r w:rsidRPr="009C665E">
        <w:rPr>
          <w:rFonts w:cs="Times New Roman"/>
          <w:i/>
          <w:lang w:val="fr-CA"/>
        </w:rPr>
        <w:t>D.R.S.</w:t>
      </w:r>
      <w:r w:rsidRPr="009C665E">
        <w:rPr>
          <w:rFonts w:cs="Times New Roman"/>
          <w:lang w:val="fr-CA"/>
        </w:rPr>
        <w:t xml:space="preserve">; </w:t>
      </w:r>
      <w:r w:rsidRPr="009C665E">
        <w:rPr>
          <w:rFonts w:cs="Times New Roman"/>
          <w:i/>
          <w:lang w:val="fr-CA"/>
        </w:rPr>
        <w:t>Tom</w:t>
      </w:r>
      <w:r w:rsidRPr="009C665E">
        <w:rPr>
          <w:rFonts w:cs="Times New Roman"/>
          <w:lang w:val="fr-CA"/>
        </w:rPr>
        <w:t xml:space="preserve">; </w:t>
      </w:r>
      <w:r w:rsidRPr="009C665E">
        <w:rPr>
          <w:rFonts w:cs="Times New Roman"/>
          <w:i/>
          <w:lang w:val="fr-CA"/>
        </w:rPr>
        <w:t>R. c. McArthur</w:t>
      </w:r>
      <w:r w:rsidRPr="009C665E">
        <w:rPr>
          <w:rFonts w:cs="Times New Roman"/>
          <w:lang w:val="fr-CA"/>
        </w:rPr>
        <w:t xml:space="preserve">, 1999 ABCA 117, 232 A.R. 349, par. 15; </w:t>
      </w:r>
      <w:r w:rsidRPr="009C665E">
        <w:rPr>
          <w:rFonts w:cs="Times New Roman"/>
          <w:i/>
          <w:lang w:val="fr-CA"/>
        </w:rPr>
        <w:t>Sargent</w:t>
      </w:r>
      <w:r w:rsidRPr="009C665E">
        <w:rPr>
          <w:rFonts w:cs="Times New Roman"/>
          <w:lang w:val="fr-CA"/>
        </w:rPr>
        <w:t xml:space="preserve">; </w:t>
      </w:r>
      <w:r w:rsidRPr="009C665E">
        <w:rPr>
          <w:rFonts w:cs="Times New Roman"/>
          <w:i/>
          <w:lang w:val="fr-CA"/>
        </w:rPr>
        <w:t>Sophonow</w:t>
      </w:r>
      <w:r w:rsidRPr="009C665E">
        <w:rPr>
          <w:rFonts w:cs="Times New Roman"/>
          <w:lang w:val="fr-CA"/>
        </w:rPr>
        <w:t xml:space="preserve">; </w:t>
      </w:r>
      <w:r w:rsidRPr="009C665E">
        <w:rPr>
          <w:rFonts w:cs="Times New Roman"/>
          <w:i/>
          <w:lang w:val="fr-CA"/>
        </w:rPr>
        <w:t>Karuranga</w:t>
      </w:r>
      <w:r w:rsidRPr="009C665E">
        <w:rPr>
          <w:rFonts w:cs="Times New Roman"/>
          <w:lang w:val="fr-CA" w:bidi="en-US"/>
        </w:rPr>
        <w:t>);</w:t>
      </w:r>
    </w:p>
    <w:p w14:paraId="5CB29B02" w14:textId="77777777" w:rsidR="009C665E" w:rsidRPr="009C665E" w:rsidRDefault="009C665E" w:rsidP="009C665E">
      <w:pPr>
        <w:pStyle w:val="ParaNoNdepar-AltN"/>
        <w:numPr>
          <w:ilvl w:val="1"/>
          <w:numId w:val="6"/>
        </w:numPr>
        <w:tabs>
          <w:tab w:val="clear" w:pos="1166"/>
        </w:tabs>
        <w:spacing w:before="0" w:after="240"/>
        <w:ind w:left="1526"/>
        <w:rPr>
          <w:rFonts w:cs="Times New Roman"/>
          <w:lang w:val="fr-CA"/>
        </w:rPr>
      </w:pPr>
      <w:proofErr w:type="gramStart"/>
      <w:r w:rsidRPr="009C665E">
        <w:rPr>
          <w:rFonts w:cs="Times New Roman"/>
          <w:lang w:val="fr-CA" w:bidi="en-US"/>
        </w:rPr>
        <w:t>l’appelant</w:t>
      </w:r>
      <w:proofErr w:type="gramEnd"/>
      <w:r w:rsidRPr="009C665E">
        <w:rPr>
          <w:rFonts w:cs="Times New Roman"/>
          <w:lang w:val="fr-CA" w:bidi="en-US"/>
        </w:rPr>
        <w:t xml:space="preserve"> a fait l’objet d’une multitude de procès et d’appels </w:t>
      </w:r>
      <w:r w:rsidRPr="009C665E">
        <w:rPr>
          <w:rFonts w:cs="Times New Roman"/>
          <w:lang w:val="fr-CA"/>
        </w:rPr>
        <w:t xml:space="preserve">(voir, p. ex., </w:t>
      </w:r>
      <w:r w:rsidRPr="009C665E">
        <w:rPr>
          <w:rFonts w:cs="Times New Roman"/>
          <w:i/>
          <w:lang w:val="fr-CA"/>
        </w:rPr>
        <w:t>Dunlop</w:t>
      </w:r>
      <w:r w:rsidRPr="009C665E">
        <w:rPr>
          <w:rFonts w:cs="Times New Roman"/>
          <w:lang w:val="fr-CA"/>
        </w:rPr>
        <w:t xml:space="preserve">; </w:t>
      </w:r>
      <w:r w:rsidRPr="009C665E">
        <w:rPr>
          <w:rFonts w:cs="Times New Roman"/>
          <w:i/>
          <w:lang w:val="fr-CA"/>
        </w:rPr>
        <w:t>Sophonow</w:t>
      </w:r>
      <w:r w:rsidRPr="009C665E">
        <w:rPr>
          <w:rFonts w:cs="Times New Roman"/>
          <w:lang w:val="fr-CA"/>
        </w:rPr>
        <w:t>);</w:t>
      </w:r>
    </w:p>
    <w:p w14:paraId="4AF18872" w14:textId="77777777" w:rsidR="009C665E" w:rsidRPr="009C665E" w:rsidRDefault="009C665E" w:rsidP="009C665E">
      <w:pPr>
        <w:pStyle w:val="ParaNoNdepar-AltN"/>
        <w:numPr>
          <w:ilvl w:val="1"/>
          <w:numId w:val="6"/>
        </w:numPr>
        <w:tabs>
          <w:tab w:val="clear" w:pos="1166"/>
        </w:tabs>
        <w:spacing w:before="0" w:after="240"/>
        <w:ind w:left="1526"/>
        <w:rPr>
          <w:rFonts w:cs="Times New Roman"/>
          <w:lang w:val="fr-CA"/>
        </w:rPr>
      </w:pPr>
      <w:proofErr w:type="gramStart"/>
      <w:r w:rsidRPr="009C665E">
        <w:rPr>
          <w:rFonts w:cs="Times New Roman"/>
          <w:lang w:val="fr-CA" w:bidi="en-US"/>
        </w:rPr>
        <w:t>le</w:t>
      </w:r>
      <w:proofErr w:type="gramEnd"/>
      <w:r w:rsidRPr="009C665E">
        <w:rPr>
          <w:rFonts w:cs="Times New Roman"/>
          <w:lang w:val="fr-CA" w:bidi="en-US"/>
        </w:rPr>
        <w:t xml:space="preserve"> temps écoulé (</w:t>
      </w:r>
      <w:r w:rsidRPr="009C665E">
        <w:rPr>
          <w:rFonts w:cs="Times New Roman"/>
          <w:i/>
          <w:lang w:val="fr-CA" w:bidi="en-US"/>
        </w:rPr>
        <w:t>D.R.S.</w:t>
      </w:r>
      <w:r w:rsidRPr="009C665E">
        <w:rPr>
          <w:rFonts w:cs="Times New Roman"/>
          <w:lang w:val="fr-CA" w:bidi="en-US"/>
        </w:rPr>
        <w:t xml:space="preserve">; </w:t>
      </w:r>
      <w:r w:rsidRPr="009C665E">
        <w:rPr>
          <w:rFonts w:cs="Times New Roman"/>
          <w:i/>
          <w:lang w:val="fr-CA" w:bidi="en-US"/>
        </w:rPr>
        <w:t>Truscott</w:t>
      </w:r>
      <w:r w:rsidRPr="009C665E">
        <w:rPr>
          <w:rFonts w:cs="Times New Roman"/>
          <w:lang w:val="fr-CA" w:bidi="en-US"/>
        </w:rPr>
        <w:t xml:space="preserve">; </w:t>
      </w:r>
      <w:r w:rsidRPr="009C665E">
        <w:rPr>
          <w:rFonts w:cs="Times New Roman"/>
          <w:i/>
          <w:lang w:val="fr-CA"/>
        </w:rPr>
        <w:t>Titong</w:t>
      </w:r>
      <w:r w:rsidRPr="009C665E">
        <w:rPr>
          <w:rFonts w:cs="Times New Roman"/>
          <w:lang w:val="fr-CA" w:bidi="en-US"/>
        </w:rPr>
        <w:t>);</w:t>
      </w:r>
    </w:p>
    <w:p w14:paraId="2F0C6CC2" w14:textId="77777777" w:rsidR="009C665E" w:rsidRPr="009C665E" w:rsidRDefault="009C665E" w:rsidP="009C665E">
      <w:pPr>
        <w:pStyle w:val="ParaNoNdepar-AltN"/>
        <w:numPr>
          <w:ilvl w:val="1"/>
          <w:numId w:val="6"/>
        </w:numPr>
        <w:tabs>
          <w:tab w:val="clear" w:pos="1166"/>
        </w:tabs>
        <w:spacing w:before="0" w:after="720"/>
        <w:ind w:left="1525" w:hanging="357"/>
        <w:rPr>
          <w:rFonts w:cs="Times New Roman"/>
          <w:lang w:val="fr-CA"/>
        </w:rPr>
      </w:pPr>
      <w:proofErr w:type="gramStart"/>
      <w:r w:rsidRPr="009C665E">
        <w:rPr>
          <w:rFonts w:cs="Times New Roman"/>
          <w:lang w:val="fr-CA"/>
        </w:rPr>
        <w:lastRenderedPageBreak/>
        <w:t>l’existence</w:t>
      </w:r>
      <w:proofErr w:type="gramEnd"/>
      <w:r w:rsidRPr="009C665E">
        <w:rPr>
          <w:rFonts w:cs="Times New Roman"/>
          <w:lang w:val="fr-CA"/>
        </w:rPr>
        <w:t xml:space="preserve"> d’un préjudice personnel important, y compris le fardeau imposé à l’appelant et à sa famille par la stigmatisation associée à une déclaration de culpabilité (</w:t>
      </w:r>
      <w:r w:rsidRPr="009C665E">
        <w:rPr>
          <w:rFonts w:cs="Times New Roman"/>
          <w:i/>
          <w:lang w:val="fr-CA"/>
        </w:rPr>
        <w:t>Truscott</w:t>
      </w:r>
      <w:r w:rsidRPr="009C665E">
        <w:rPr>
          <w:rFonts w:cs="Times New Roman"/>
          <w:lang w:val="fr-CA"/>
        </w:rPr>
        <w:t>).</w:t>
      </w:r>
    </w:p>
    <w:p w14:paraId="0AB5252C" w14:textId="77777777" w:rsidR="009C665E" w:rsidRPr="009C665E" w:rsidRDefault="009C665E" w:rsidP="009C665E">
      <w:pPr>
        <w:pStyle w:val="ParaNoNdepar-AltN"/>
        <w:tabs>
          <w:tab w:val="clear" w:pos="1166"/>
          <w:tab w:val="num" w:pos="1152"/>
        </w:tabs>
        <w:rPr>
          <w:rFonts w:cs="Times New Roman"/>
          <w:lang w:val="fr-CA"/>
        </w:rPr>
      </w:pPr>
      <w:r w:rsidRPr="009C665E">
        <w:rPr>
          <w:rFonts w:cs="Times New Roman"/>
          <w:lang w:val="fr-CA"/>
        </w:rPr>
        <w:t xml:space="preserve">En ce qui concerne les affaires dans lesquelles les tribunaux ont prononcé un acquittement parce que l’appelant avait déjà purgé une partie ou la totalité de sa peine, je ne suis pas d’accord avec la proposition du PGO selon laquelle l’affaire </w:t>
      </w:r>
      <w:r w:rsidRPr="009C665E">
        <w:rPr>
          <w:rFonts w:cs="Times New Roman"/>
          <w:i/>
          <w:lang w:val="fr-CA"/>
        </w:rPr>
        <w:t>Dunlop</w:t>
      </w:r>
      <w:r w:rsidRPr="009C665E">
        <w:rPr>
          <w:rFonts w:cs="Times New Roman"/>
          <w:lang w:val="fr-CA"/>
        </w:rPr>
        <w:t xml:space="preserve"> —</w:t>
      </w:r>
      <w:r w:rsidRPr="009C665E">
        <w:rPr>
          <w:rFonts w:cs="Times New Roman"/>
          <w:i/>
          <w:lang w:val="fr-CA"/>
        </w:rPr>
        <w:t xml:space="preserve"> </w:t>
      </w:r>
      <w:r w:rsidRPr="009C665E">
        <w:rPr>
          <w:rFonts w:cs="Times New Roman"/>
          <w:lang w:val="fr-CA"/>
        </w:rPr>
        <w:t xml:space="preserve">dans laquelle notre Cour a prononcé l’acquittement parce que l’appelant avait subi deux procès et deux appels et avait purgé une partie de sa peine (p. 900) — a été supplantée par l’arrêt </w:t>
      </w:r>
      <w:r w:rsidRPr="009C665E">
        <w:rPr>
          <w:rFonts w:cs="Times New Roman"/>
          <w:i/>
          <w:lang w:val="fr-CA"/>
        </w:rPr>
        <w:t>Brouillard</w:t>
      </w:r>
      <w:r w:rsidRPr="009C665E">
        <w:rPr>
          <w:rFonts w:cs="Times New Roman"/>
          <w:lang w:val="fr-CA"/>
        </w:rPr>
        <w:t xml:space="preserve"> de notre Cour (</w:t>
      </w:r>
      <w:proofErr w:type="gramStart"/>
      <w:r w:rsidRPr="009C665E">
        <w:rPr>
          <w:rFonts w:cs="Times New Roman"/>
          <w:lang w:val="fr-CA"/>
        </w:rPr>
        <w:t>m.interv</w:t>
      </w:r>
      <w:proofErr w:type="gramEnd"/>
      <w:r w:rsidRPr="009C665E">
        <w:rPr>
          <w:rFonts w:cs="Times New Roman"/>
          <w:lang w:val="fr-CA"/>
        </w:rPr>
        <w:t xml:space="preserve">., par. 23). En vertu du principe du </w:t>
      </w:r>
      <w:r w:rsidRPr="009C665E">
        <w:rPr>
          <w:rFonts w:cs="Times New Roman"/>
          <w:i/>
          <w:lang w:val="fr-CA"/>
        </w:rPr>
        <w:t>stare decisis</w:t>
      </w:r>
      <w:r w:rsidRPr="009C665E">
        <w:rPr>
          <w:rFonts w:cs="Times New Roman"/>
          <w:lang w:val="fr-CA"/>
        </w:rPr>
        <w:t xml:space="preserve"> horizontal,</w:t>
      </w:r>
      <w:r w:rsidRPr="009C665E">
        <w:rPr>
          <w:rFonts w:cs="Times New Roman"/>
          <w:i/>
          <w:lang w:val="fr-CA"/>
        </w:rPr>
        <w:t xml:space="preserve"> </w:t>
      </w:r>
      <w:r w:rsidRPr="009C665E">
        <w:rPr>
          <w:rFonts w:cs="Times New Roman"/>
          <w:lang w:val="fr-CA"/>
        </w:rPr>
        <w:t xml:space="preserve">notre Cour n’aurait pas pu </w:t>
      </w:r>
      <w:r w:rsidRPr="009C665E">
        <w:rPr>
          <w:rFonts w:cs="Times New Roman"/>
          <w:smallCaps/>
          <w:lang w:val="fr-CA"/>
        </w:rPr>
        <w:t>[traduction]</w:t>
      </w:r>
      <w:r w:rsidRPr="009C665E">
        <w:rPr>
          <w:rFonts w:cs="Times New Roman"/>
          <w:lang w:val="fr-CA"/>
        </w:rPr>
        <w:t xml:space="preserve"> « s’écarter implicitement » intentionnellement de sa décision antérieure dans l’affaire </w:t>
      </w:r>
      <w:r w:rsidRPr="009C665E">
        <w:rPr>
          <w:rFonts w:cs="Times New Roman"/>
          <w:i/>
          <w:lang w:val="fr-CA"/>
        </w:rPr>
        <w:t>Dunlop</w:t>
      </w:r>
      <w:r w:rsidRPr="009C665E">
        <w:rPr>
          <w:rFonts w:cs="Times New Roman"/>
          <w:lang w:val="fr-CA"/>
        </w:rPr>
        <w:t xml:space="preserve">, sans l’avoir « indiqué explicitement » (L. David, </w:t>
      </w:r>
      <w:r w:rsidRPr="009C665E">
        <w:rPr>
          <w:rFonts w:cs="Times New Roman"/>
          <w:i/>
          <w:lang w:val="fr-CA"/>
        </w:rPr>
        <w:t>Stare Decisis, The Charter and the Rule of Law in the Supreme Court of Canada</w:t>
      </w:r>
      <w:r w:rsidRPr="009C665E">
        <w:rPr>
          <w:rFonts w:cs="Times New Roman"/>
          <w:lang w:val="fr-CA"/>
        </w:rPr>
        <w:t xml:space="preserve"> (2020), p. 18 (italique omis); voir aussi la note 69). De plus, dans l’arrêt </w:t>
      </w:r>
      <w:r w:rsidRPr="009C665E">
        <w:rPr>
          <w:rFonts w:cs="Times New Roman"/>
          <w:i/>
          <w:lang w:val="fr-CA"/>
        </w:rPr>
        <w:t>Brouillard</w:t>
      </w:r>
      <w:r w:rsidRPr="009C665E">
        <w:rPr>
          <w:rFonts w:cs="Times New Roman"/>
          <w:lang w:val="fr-CA"/>
        </w:rPr>
        <w:t xml:space="preserve">, la Cour ne s’est pas prononcée sur la question de savoir si, en général, il était possible de prononcer un acquittement en se fondant sur des facteurs étrangers au fond de l’affaire. Dans les circonstances de cette espèce, la Cour a plutôt rejeté l’argument selon lequel l’accusé devait être acquitté parce qu’il avait déjà purgé sa peine de probation (p. 53; voir aussi </w:t>
      </w:r>
      <w:r w:rsidRPr="009C665E">
        <w:rPr>
          <w:rFonts w:cs="Times New Roman"/>
          <w:i/>
          <w:lang w:val="fr-CA"/>
        </w:rPr>
        <w:t>Vickerson</w:t>
      </w:r>
      <w:r w:rsidRPr="009C665E">
        <w:rPr>
          <w:rFonts w:cs="Times New Roman"/>
          <w:lang w:val="fr-CA"/>
        </w:rPr>
        <w:t xml:space="preserve">, par. 8; </w:t>
      </w:r>
      <w:r w:rsidRPr="009C665E">
        <w:rPr>
          <w:rFonts w:cs="Times New Roman"/>
          <w:i/>
          <w:lang w:val="fr-CA"/>
        </w:rPr>
        <w:t>O’Brien</w:t>
      </w:r>
      <w:r w:rsidRPr="009C665E">
        <w:rPr>
          <w:rFonts w:cs="Times New Roman"/>
          <w:lang w:val="fr-CA"/>
        </w:rPr>
        <w:t>).</w:t>
      </w:r>
    </w:p>
    <w:p w14:paraId="625FC287"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Après m’être penchée sur le caractère équitable de l’espèce, je conclus qu’il milite fortement pour un acquittement. Madame Bouvette a déjà purgé la totalité de sa </w:t>
      </w:r>
      <w:r w:rsidRPr="009C665E">
        <w:rPr>
          <w:rFonts w:cs="Times New Roman"/>
          <w:lang w:val="fr-CA"/>
        </w:rPr>
        <w:lastRenderedPageBreak/>
        <w:t>peine. Devant notre Cour, la Couronne a indiqué que la famille de la victime était sans réserve en faveur de son acquittement (transcription, p. 74). Cette déclaration de culpabilité a eu un effet dévastateur sur la vie de M</w:t>
      </w:r>
      <w:r w:rsidRPr="009C665E">
        <w:rPr>
          <w:rFonts w:cs="Times New Roman"/>
          <w:vertAlign w:val="superscript"/>
          <w:lang w:val="fr-CA"/>
        </w:rPr>
        <w:t>me</w:t>
      </w:r>
      <w:r w:rsidRPr="009C665E">
        <w:rPr>
          <w:rFonts w:cs="Times New Roman"/>
          <w:lang w:val="fr-CA"/>
        </w:rPr>
        <w:t> Bouvette (d.s.a., onglet 3, par. 22</w:t>
      </w:r>
      <w:r w:rsidRPr="009C665E">
        <w:rPr>
          <w:rFonts w:cs="Times New Roman"/>
          <w:lang w:val="fr-CA"/>
        </w:rPr>
        <w:noBreakHyphen/>
        <w:t xml:space="preserve">39). Durant son incarcération, elle a été violemment agressée et traitée de </w:t>
      </w:r>
      <w:r w:rsidRPr="009C665E">
        <w:rPr>
          <w:rFonts w:cs="Times New Roman"/>
          <w:smallCaps/>
          <w:lang w:val="fr-CA"/>
        </w:rPr>
        <w:t xml:space="preserve">[traduction] </w:t>
      </w:r>
      <w:r w:rsidRPr="009C665E">
        <w:rPr>
          <w:rFonts w:cs="Times New Roman"/>
          <w:lang w:val="fr-CA"/>
        </w:rPr>
        <w:t>« tueuse de bébé », et elle a dû être placée en isolement (par. 29). En conséquence de son faux plaidoyer de culpabilité, elle a perdu la garde de ses quatre enfants, a eu des problèmes de toxicomanie et sa santé mentale a été gravement affectée (par. 22</w:t>
      </w:r>
      <w:r w:rsidRPr="009C665E">
        <w:rPr>
          <w:rFonts w:cs="Times New Roman"/>
          <w:lang w:val="fr-CA"/>
        </w:rPr>
        <w:noBreakHyphen/>
        <w:t xml:space="preserve">39). Selon ses propres mots, </w:t>
      </w:r>
      <w:r w:rsidRPr="009C665E">
        <w:rPr>
          <w:rFonts w:cs="Times New Roman"/>
          <w:smallCaps/>
          <w:lang w:val="fr-CA"/>
        </w:rPr>
        <w:t>[traduction] « </w:t>
      </w:r>
      <w:r w:rsidRPr="009C665E">
        <w:rPr>
          <w:rFonts w:cs="Times New Roman"/>
          <w:lang w:val="fr-CA"/>
        </w:rPr>
        <w:t>[à] cause de [ma] [c]ondamnation, j’ai tout perdu : mon nom, ma liberté, mes enfants et ma propre personne. Je suis mentalement perturbée et traumatisée. Je souffre d’une grave dépression et je n’arrive plus à sourire » (par. 32).</w:t>
      </w:r>
    </w:p>
    <w:p w14:paraId="0EB6A211" w14:textId="1BB7B157" w:rsidR="009C665E" w:rsidRPr="009C665E" w:rsidRDefault="009C665E" w:rsidP="00982497">
      <w:pPr>
        <w:pStyle w:val="Title4LevelTitre4Niveau"/>
        <w:widowControl w:val="0"/>
        <w:numPr>
          <w:ilvl w:val="1"/>
          <w:numId w:val="34"/>
        </w:numPr>
        <w:spacing w:before="0"/>
        <w:ind w:left="1134" w:hanging="567"/>
        <w:rPr>
          <w:rFonts w:cs="Times New Roman"/>
          <w:lang w:val="fr-CA"/>
        </w:rPr>
      </w:pPr>
      <w:r w:rsidRPr="009C665E">
        <w:rPr>
          <w:rFonts w:cs="Times New Roman"/>
          <w:lang w:val="fr-CA"/>
        </w:rPr>
        <w:t>Mise en balance des facteurs</w:t>
      </w:r>
    </w:p>
    <w:p w14:paraId="0F7424AB"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t>En règle générale, lorsqu’il existe une possibilité raisonnable de déclaration de culpabilité, un nouveau procès devrait être ordonné, y compris lorsqu’il existe de nouveaux éléments de preuve qui ne sont pas suffisamment convaincants pour exclure une telle possibilité (</w:t>
      </w:r>
      <w:r w:rsidRPr="009C665E">
        <w:rPr>
          <w:rFonts w:cs="Times New Roman"/>
          <w:i/>
          <w:lang w:val="fr-CA"/>
        </w:rPr>
        <w:t>Truscott</w:t>
      </w:r>
      <w:r w:rsidRPr="009C665E">
        <w:rPr>
          <w:rFonts w:cs="Times New Roman"/>
          <w:lang w:val="fr-CA"/>
        </w:rPr>
        <w:t>, par. 247</w:t>
      </w:r>
      <w:r w:rsidRPr="009C665E">
        <w:rPr>
          <w:rFonts w:cs="Times New Roman"/>
          <w:lang w:val="fr-CA"/>
        </w:rPr>
        <w:noBreakHyphen/>
        <w:t xml:space="preserve">248; </w:t>
      </w:r>
      <w:r w:rsidRPr="009C665E">
        <w:rPr>
          <w:rFonts w:cs="Times New Roman"/>
          <w:i/>
          <w:lang w:val="fr-CA"/>
        </w:rPr>
        <w:t>Stolar</w:t>
      </w:r>
      <w:r w:rsidRPr="009C665E">
        <w:rPr>
          <w:rFonts w:cs="Times New Roman"/>
          <w:lang w:val="fr-CA"/>
        </w:rPr>
        <w:t>, p. 491</w:t>
      </w:r>
      <w:r w:rsidRPr="009C665E">
        <w:rPr>
          <w:rFonts w:cs="Times New Roman"/>
          <w:lang w:val="fr-CA"/>
        </w:rPr>
        <w:noBreakHyphen/>
        <w:t xml:space="preserve">492; </w:t>
      </w:r>
      <w:r w:rsidRPr="009C665E">
        <w:rPr>
          <w:rFonts w:cs="Times New Roman"/>
          <w:i/>
          <w:lang w:val="fr-CA"/>
        </w:rPr>
        <w:t>Maciel</w:t>
      </w:r>
      <w:r w:rsidRPr="009C665E">
        <w:rPr>
          <w:rFonts w:cs="Times New Roman"/>
          <w:lang w:val="fr-CA"/>
        </w:rPr>
        <w:t>, par. 46). Toutefois, comme le confirme la discussion qui précède, les tribunaux ont reconnu qu’il existe des situations dans lesquelles, malgré de telles circonstances, l’acquittement peut constituer une réparation appropriée. En pareil cas, le tribunal doit mettre en balance tous les facteurs pertinents pour déterminer si un nouveau procès ou un acquittement est requis dans l’intérêt de la justice.</w:t>
      </w:r>
    </w:p>
    <w:p w14:paraId="75AF7A53"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lastRenderedPageBreak/>
        <w:t>En exerçant ce pouvoir discrétionnaire, les tribunaux d’appel doivent accorder une importance primordiale à leur examen de la possibilité d’un nouveau procès et de la probabilité d’un acquittement ou d’une déclaration de culpabilité. Dans certains cas, il peut convenir d’ordonner la tenue d’un nouveau procès parce que la preuve restante de la Couronne est solide et l’emporte sur d’autres facteurs, même en tenant compte de l’incidence de l’erreur judiciaire sur le dossier. Lorsque la cause de la Couronne est solide et que la tenue d’un nouveau procès est raisonnablement probable, un acquittement sera rarement, voire jamais, justifié.</w:t>
      </w:r>
    </w:p>
    <w:p w14:paraId="67F4C9EC"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t>La conclusion du tribunal qu’un acquittement est plus probable qu’improbable est donc généralement une condition préalable à ce que celui</w:t>
      </w:r>
      <w:r w:rsidRPr="009C665E">
        <w:rPr>
          <w:rFonts w:cs="Times New Roman"/>
          <w:lang w:val="fr-CA"/>
        </w:rPr>
        <w:noBreakHyphen/>
        <w:t>ci inscrive un acquittement. Cependant, je reconnais que la nature et les répercussions de l’erreur judiciaire peuvent aider à mettre ces causes dans leur contexte lorsqu’une cour n’est pas en mesure de déterminer la probabilité de l’issue d’un hypothétique nouveau procès. Dans certaines causes, la nature de l’erreur judiciaire peut, dans les faits, avoir entravé la capacité de l’appelant à faire valoir de manière convaincante qu’un acquittement serait plus probable qu’improbable. Dans ces cas</w:t>
      </w:r>
      <w:r w:rsidRPr="009C665E">
        <w:rPr>
          <w:rFonts w:cs="Times New Roman"/>
          <w:lang w:val="fr-CA"/>
        </w:rPr>
        <w:noBreakHyphen/>
        <w:t>là, le tribunal peut ne pas être en mesure de déterminer de façon définitive le résultat probable d’un hypothétique nouveau procès. Dans ces circonstances limitées, j’accepte qu’un acquittement puisse être justifié malgré tout lorsque la cause de la Couronne est faible, que la tenue d’un nouveau procès n’est pas raisonnablement probable et qu’il existe un caractère équitable solide.</w:t>
      </w:r>
    </w:p>
    <w:p w14:paraId="34F341AB"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lastRenderedPageBreak/>
        <w:t>De même, une prise en compte du caractère équitable de l’espèce peut aider le tribunal à évaluer l’intérêt public à tenir un nouveau procès. Par exemple, lorsque le tribunal est convaincu qu’un acquittement est plus probable qu’improbable, le caractère équitable peut imposer la conclusion qu’un acquittement est la solution appropriée. Dans un tel cas, si un appelant a déjà purgé sa peine et a subi de multiples procès ou appels, le caractère équitable pèsera généralement pour un acquittement étant donné que l’on peut démontrer qu’il n’y a pas d’intérêt public à tenir un nouveau procès, même si ce facteur ne peut constituer un fondement à un acquittement à lui seul.</w:t>
      </w:r>
    </w:p>
    <w:p w14:paraId="732B1C47" w14:textId="77777777" w:rsidR="009C665E" w:rsidRPr="009C665E" w:rsidRDefault="009C665E" w:rsidP="009C665E">
      <w:pPr>
        <w:pStyle w:val="ParaNoNdepar-AltN"/>
        <w:tabs>
          <w:tab w:val="clear" w:pos="1166"/>
          <w:tab w:val="num" w:pos="1152"/>
        </w:tabs>
        <w:spacing w:before="0"/>
        <w:rPr>
          <w:rFonts w:cs="Times New Roman"/>
          <w:lang w:val="fr-CA"/>
        </w:rPr>
      </w:pPr>
      <w:bookmarkStart w:id="65" w:name="_Hlk191450815"/>
      <w:r w:rsidRPr="009C665E">
        <w:rPr>
          <w:rFonts w:cs="Times New Roman"/>
          <w:lang w:val="fr-CA"/>
        </w:rPr>
        <w:t>Dans sa mise en balance définitive, la cour d’appel doit également procéder à une évaluation qualitative des conséquences pour l’appelant de la réparation que constitue l’acquittement par rapport aux autres ordonnances réparatrices qu’elle peut rendre.</w:t>
      </w:r>
      <w:bookmarkEnd w:id="65"/>
      <w:r w:rsidRPr="009C665E">
        <w:rPr>
          <w:rFonts w:cs="Times New Roman"/>
          <w:lang w:val="fr-CA"/>
        </w:rPr>
        <w:t xml:space="preserve"> L’acquittement constitue une réponse finale et complète et met fin tant aux accusations qu’aux procédures</w:t>
      </w:r>
      <w:r w:rsidRPr="009C665E">
        <w:rPr>
          <w:rFonts w:cs="Times New Roman"/>
          <w:lang w:val="fr-CA" w:bidi="en-US"/>
        </w:rPr>
        <w:t>.</w:t>
      </w:r>
    </w:p>
    <w:p w14:paraId="57E8C3DB"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À l’inverse, lorsque le tribunal ordonne la tenue d’un nouveau procès, la Couronne dispose généralement de quatre options : faire instruire l’affaire, ordonner l’arrêt des procédures, demander le retrait des accusations ou ne présenter aucune preuve lors d’un </w:t>
      </w:r>
      <w:r w:rsidRPr="009C665E">
        <w:rPr>
          <w:rFonts w:cs="Times New Roman"/>
          <w:lang w:val="fr-CA" w:bidi="en-US"/>
        </w:rPr>
        <w:t>nouveau procès. Si la Couronne décide de ne pas faire instruire l’affaire en cas de nouveau procès, l’appelant ne sera acquitté que si le procureur général choisit la dernière option; s’il choisit la deuxième ou la troisième option, il n’y aura pas de verdict final (</w:t>
      </w:r>
      <w:r w:rsidRPr="009C665E">
        <w:rPr>
          <w:rFonts w:cs="Times New Roman"/>
          <w:i/>
          <w:lang w:val="fr-CA" w:bidi="en-US"/>
        </w:rPr>
        <w:t>Truscott</w:t>
      </w:r>
      <w:r w:rsidRPr="009C665E">
        <w:rPr>
          <w:rFonts w:cs="Times New Roman"/>
          <w:lang w:val="fr-CA" w:bidi="en-US"/>
        </w:rPr>
        <w:t>, par. 257). Le tribunal peut également ordonner l’arrêt judiciaire des procédures, une question distincte que j’examinerai plus loin.</w:t>
      </w:r>
    </w:p>
    <w:p w14:paraId="17AE9056"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lastRenderedPageBreak/>
        <w:t xml:space="preserve">L’arrêt des procédures inscrit à la demande de la poursuite en vertu de l’art. 579 du </w:t>
      </w:r>
      <w:r w:rsidRPr="009C665E">
        <w:rPr>
          <w:rFonts w:cs="Times New Roman"/>
          <w:i/>
          <w:iCs/>
          <w:lang w:val="fr-CA"/>
        </w:rPr>
        <w:t>Code</w:t>
      </w:r>
      <w:r w:rsidRPr="009C665E">
        <w:rPr>
          <w:rFonts w:cs="Times New Roman"/>
          <w:lang w:val="fr-CA"/>
        </w:rPr>
        <w:t xml:space="preserve"> ne protège pas l’accusé d’une poursuite ultérieure pour le même chef d’accusation et ne lui donne pas ouverture au plaidoyer d’autrefois acquit (</w:t>
      </w:r>
      <w:r w:rsidRPr="009C665E">
        <w:rPr>
          <w:rFonts w:cs="Times New Roman"/>
          <w:i/>
          <w:lang w:val="fr-CA"/>
        </w:rPr>
        <w:t xml:space="preserve">R. c. Tateham </w:t>
      </w:r>
      <w:r w:rsidRPr="009C665E">
        <w:rPr>
          <w:rFonts w:cs="Times New Roman"/>
          <w:lang w:val="fr-CA"/>
        </w:rPr>
        <w:t>(1982), 70 C.C.C. (2d) 565 (C.A. C.</w:t>
      </w:r>
      <w:r w:rsidRPr="009C665E">
        <w:rPr>
          <w:rFonts w:cs="Times New Roman"/>
          <w:lang w:val="fr-CA"/>
        </w:rPr>
        <w:noBreakHyphen/>
        <w:t>B.), p. 567</w:t>
      </w:r>
      <w:r w:rsidRPr="009C665E">
        <w:rPr>
          <w:rFonts w:cs="Times New Roman"/>
          <w:lang w:val="fr-CA"/>
        </w:rPr>
        <w:noBreakHyphen/>
        <w:t xml:space="preserve">568; voir aussi </w:t>
      </w:r>
      <w:r w:rsidRPr="009C665E">
        <w:rPr>
          <w:rFonts w:cs="Times New Roman"/>
          <w:i/>
          <w:lang w:val="fr-CA"/>
        </w:rPr>
        <w:t>R. c. T.G.</w:t>
      </w:r>
      <w:r w:rsidRPr="009C665E">
        <w:rPr>
          <w:rFonts w:cs="Times New Roman"/>
          <w:lang w:val="fr-CA"/>
        </w:rPr>
        <w:t xml:space="preserve">, 2017 ONSC 3213, par. 33). Cette situation </w:t>
      </w:r>
      <w:r w:rsidRPr="009C665E">
        <w:rPr>
          <w:rFonts w:cs="Times New Roman"/>
          <w:smallCaps/>
          <w:lang w:val="fr-CA"/>
        </w:rPr>
        <w:t>[traduction]</w:t>
      </w:r>
      <w:r w:rsidRPr="009C665E">
        <w:rPr>
          <w:rFonts w:cs="Times New Roman"/>
          <w:lang w:val="fr-CA"/>
        </w:rPr>
        <w:t xml:space="preserve"> « se caractérise à la fois par l’absence de droit de regard judiciaire et par l’absence de jugement définitif » </w:t>
      </w:r>
      <w:r w:rsidRPr="009C665E">
        <w:rPr>
          <w:rFonts w:cs="Times New Roman"/>
          <w:iCs/>
          <w:lang w:val="fr-CA"/>
        </w:rPr>
        <w:t>(</w:t>
      </w:r>
      <w:r w:rsidRPr="009C665E">
        <w:rPr>
          <w:rFonts w:cs="Times New Roman"/>
          <w:i/>
          <w:iCs/>
          <w:lang w:val="fr-CA"/>
        </w:rPr>
        <w:t>Rapport Driskell</w:t>
      </w:r>
      <w:r w:rsidRPr="009C665E">
        <w:rPr>
          <w:rFonts w:cs="Times New Roman"/>
          <w:iCs/>
          <w:lang w:val="fr-CA"/>
        </w:rPr>
        <w:t>,</w:t>
      </w:r>
      <w:r w:rsidRPr="009C665E">
        <w:rPr>
          <w:rFonts w:cs="Times New Roman"/>
          <w:lang w:val="fr-CA"/>
        </w:rPr>
        <w:t xml:space="preserve"> p. 130), en plus de faire planer une </w:t>
      </w:r>
      <w:r w:rsidRPr="009C665E">
        <w:rPr>
          <w:rFonts w:cs="Times New Roman"/>
          <w:smallCaps/>
          <w:lang w:val="fr-CA"/>
        </w:rPr>
        <w:t>[traduction]</w:t>
      </w:r>
      <w:r w:rsidRPr="009C665E">
        <w:rPr>
          <w:rFonts w:cs="Times New Roman"/>
          <w:lang w:val="fr-CA"/>
        </w:rPr>
        <w:t xml:space="preserve"> « épée de Damoclès » au</w:t>
      </w:r>
      <w:r w:rsidRPr="009C665E">
        <w:rPr>
          <w:rFonts w:cs="Times New Roman"/>
          <w:lang w:val="fr-CA"/>
        </w:rPr>
        <w:noBreakHyphen/>
        <w:t xml:space="preserve">dessus de la tête de l’accusé, qui risque d’être poursuivi de nouveau (Roach (2024), p. 214). Le commissaire MacCallum avait conclu que David Milgaard, qui avait été déclaré coupable injustement, s’était retrouvé avec </w:t>
      </w:r>
      <w:r w:rsidRPr="009C665E">
        <w:rPr>
          <w:rFonts w:cs="Times New Roman"/>
          <w:smallCaps/>
          <w:lang w:val="fr-CA"/>
        </w:rPr>
        <w:t>[traduction]</w:t>
      </w:r>
      <w:r w:rsidRPr="009C665E">
        <w:rPr>
          <w:rFonts w:cs="Times New Roman"/>
          <w:lang w:val="fr-CA"/>
        </w:rPr>
        <w:t xml:space="preserve"> « un grave stigmate » et « sans la possibilité d’obtenir un verdict de non</w:t>
      </w:r>
      <w:r w:rsidRPr="009C665E">
        <w:rPr>
          <w:rFonts w:cs="Times New Roman"/>
          <w:lang w:val="fr-CA"/>
        </w:rPr>
        <w:noBreakHyphen/>
        <w:t>culpabilité » (p. 336). Après l’annulation de sa déclaration de culpabilité, la Couronne a requis la suspension des poursuites. Monsieur Milgaard est resté dans l’incertitude juridique et a souffert de la menace de nouvelles poursuites pendant cinq ans, jusqu’à ce qu’il soit finalement acquitté.</w:t>
      </w:r>
    </w:p>
    <w:p w14:paraId="1EE3FCAD"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Tout comme l’arrêt des procédures inscrit par la poursuite, le retrait des procédures ne donne pas ouverture au plaidoyer d’autrefois acquit et n’offre à l’accusé aucune protection contre la double incrimination (</w:t>
      </w:r>
      <w:r w:rsidRPr="009C665E">
        <w:rPr>
          <w:rFonts w:cs="Times New Roman"/>
          <w:i/>
          <w:lang w:val="fr-CA"/>
        </w:rPr>
        <w:t>R. c. Karpinski</w:t>
      </w:r>
      <w:r w:rsidRPr="009C665E">
        <w:rPr>
          <w:rFonts w:cs="Times New Roman"/>
          <w:lang w:val="fr-CA"/>
        </w:rPr>
        <w:t>, [1957] R.C.S. 343). Toutefois, le retrait des accusations [</w:t>
      </w:r>
      <w:r w:rsidRPr="009C665E">
        <w:rPr>
          <w:rFonts w:cs="Times New Roman"/>
          <w:smallCaps/>
          <w:lang w:val="fr-CA"/>
        </w:rPr>
        <w:t>traduction</w:t>
      </w:r>
      <w:r w:rsidRPr="009C665E">
        <w:rPr>
          <w:rFonts w:cs="Times New Roman"/>
          <w:lang w:val="fr-CA"/>
        </w:rPr>
        <w:t>] « est demandé en audience publique, fait l’objet d’un certain droit de regard judiciaire et indique clairement au public que la Couronne a décidé de ne pas poursuivre l’affaire » (</w:t>
      </w:r>
      <w:r w:rsidRPr="009C665E">
        <w:rPr>
          <w:rFonts w:cs="Times New Roman"/>
          <w:i/>
          <w:lang w:val="fr-CA"/>
        </w:rPr>
        <w:t>Rapport Driskel</w:t>
      </w:r>
      <w:r w:rsidRPr="009C665E">
        <w:rPr>
          <w:rFonts w:cs="Times New Roman"/>
          <w:lang w:val="fr-CA"/>
        </w:rPr>
        <w:t xml:space="preserve">, </w:t>
      </w:r>
      <w:r w:rsidRPr="009C665E">
        <w:rPr>
          <w:rFonts w:cs="Times New Roman"/>
          <w:lang w:val="fr-CA"/>
        </w:rPr>
        <w:lastRenderedPageBreak/>
        <w:t xml:space="preserve">p. 132; voir aussi S. A. Cohen, </w:t>
      </w:r>
      <w:r w:rsidRPr="009C665E">
        <w:rPr>
          <w:rFonts w:cs="Times New Roman"/>
          <w:i/>
          <w:lang w:val="fr-CA"/>
        </w:rPr>
        <w:t>Due Process of Law : The Canadian System of Criminal Justice</w:t>
      </w:r>
      <w:r w:rsidRPr="009C665E">
        <w:rPr>
          <w:rFonts w:cs="Times New Roman"/>
          <w:lang w:val="fr-CA"/>
        </w:rPr>
        <w:t xml:space="preserve"> (1977), p. 158</w:t>
      </w:r>
      <w:r w:rsidRPr="009C665E">
        <w:rPr>
          <w:rFonts w:cs="Times New Roman"/>
          <w:lang w:val="fr-CA"/>
        </w:rPr>
        <w:noBreakHyphen/>
        <w:t>159).</w:t>
      </w:r>
    </w:p>
    <w:p w14:paraId="2B612CA0"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Les tribunaux peuvent également souhaiter tenir compte de la position de l’accusé quant à la réparation appropriée. Même si la cour d’appel peut estimer qu’il convient d’inscrire un acquittement, l’accusé peut solliciter la tenue d’un nouveau procès lorsque la Couronne a formellement indiqué qu’elle ne présenterait pas de nouvelle preuve lors de l’audience en première instance. Il ressort des propos tenus après leur acquittement par des personnes qui avaient été déclarées coupables injustement que ce processus oblige la poursuite à rendre publiquement des comptes et permet à l’accusé qui a été déclaré coupable injustement d’être dans </w:t>
      </w:r>
      <w:proofErr w:type="gramStart"/>
      <w:r w:rsidRPr="009C665E">
        <w:rPr>
          <w:rFonts w:cs="Times New Roman"/>
          <w:lang w:val="fr-CA"/>
        </w:rPr>
        <w:t>une large mesure lavé</w:t>
      </w:r>
      <w:proofErr w:type="gramEnd"/>
      <w:r w:rsidRPr="009C665E">
        <w:rPr>
          <w:rFonts w:cs="Times New Roman"/>
          <w:lang w:val="fr-CA"/>
        </w:rPr>
        <w:t xml:space="preserve"> de tout soupçon (voir Roach (2024), p. 224</w:t>
      </w:r>
      <w:r w:rsidRPr="009C665E">
        <w:rPr>
          <w:rFonts w:cs="Times New Roman"/>
          <w:lang w:val="fr-CA"/>
        </w:rPr>
        <w:noBreakHyphen/>
        <w:t xml:space="preserve">228). Si les circonstances s’y prêtent, ce processus offre à la Couronne et au tribunal l’occasion de présenter des excuses publiques et de reconnaître publiquement l’échec du système de justice (voir, p. ex., </w:t>
      </w:r>
      <w:r w:rsidRPr="009C665E">
        <w:rPr>
          <w:rFonts w:cs="Times New Roman"/>
          <w:i/>
          <w:lang w:val="fr-CA"/>
        </w:rPr>
        <w:t>Mullins-Johnson</w:t>
      </w:r>
      <w:r w:rsidRPr="009C665E">
        <w:rPr>
          <w:rFonts w:cs="Times New Roman"/>
          <w:lang w:val="fr-CA"/>
        </w:rPr>
        <w:t xml:space="preserve">, par. 27; </w:t>
      </w:r>
      <w:r w:rsidRPr="009C665E">
        <w:rPr>
          <w:rFonts w:cs="Times New Roman"/>
          <w:i/>
          <w:lang w:val="fr-CA"/>
        </w:rPr>
        <w:t>R. c. Gillespie et Mailman</w:t>
      </w:r>
      <w:r w:rsidRPr="009C665E">
        <w:rPr>
          <w:rFonts w:cs="Times New Roman"/>
          <w:lang w:val="fr-CA"/>
        </w:rPr>
        <w:t>, 2024 NBBR 2, par. 4</w:t>
      </w:r>
      <w:r w:rsidRPr="009C665E">
        <w:rPr>
          <w:rFonts w:cs="Times New Roman"/>
          <w:lang w:val="fr-CA"/>
        </w:rPr>
        <w:noBreakHyphen/>
        <w:t>7).</w:t>
      </w:r>
    </w:p>
    <w:p w14:paraId="49F9BD4E" w14:textId="77777777" w:rsidR="009C665E" w:rsidRPr="009C665E" w:rsidRDefault="009C665E" w:rsidP="009C665E">
      <w:pPr>
        <w:pStyle w:val="ParaNoNdepar-AltN"/>
        <w:widowControl w:val="0"/>
        <w:tabs>
          <w:tab w:val="clear" w:pos="1166"/>
          <w:tab w:val="num" w:pos="1152"/>
        </w:tabs>
        <w:rPr>
          <w:rFonts w:cs="Times New Roman"/>
          <w:lang w:val="fr-CA"/>
        </w:rPr>
      </w:pPr>
      <w:r w:rsidRPr="009C665E">
        <w:rPr>
          <w:rFonts w:cs="Times New Roman"/>
          <w:lang w:val="fr-CA"/>
        </w:rPr>
        <w:t>Compte tenu de l’ensemble des facteurs pertinents dans la cause dont nous sommes saisis, l’intérêt de la justice dicte que l’ordonnance appropriée soit l’inscription d’un acquittement et non l’arrêt des procédures.</w:t>
      </w:r>
      <w:bookmarkStart w:id="66" w:name="_Hlk191901069"/>
      <w:r w:rsidRPr="009C665E">
        <w:rPr>
          <w:rFonts w:cs="Times New Roman"/>
          <w:lang w:val="fr-CA"/>
        </w:rPr>
        <w:t xml:space="preserve"> Suivant la preuve portée à la connaissance de la Cour, je suis convaincue qu’il est plus probable qu’improbable que M</w:t>
      </w:r>
      <w:r w:rsidRPr="009C665E">
        <w:rPr>
          <w:rFonts w:cs="Times New Roman"/>
          <w:vertAlign w:val="superscript"/>
          <w:lang w:val="fr-CA"/>
        </w:rPr>
        <w:t>me</w:t>
      </w:r>
      <w:r w:rsidRPr="009C665E">
        <w:rPr>
          <w:rFonts w:cs="Times New Roman"/>
          <w:lang w:val="fr-CA"/>
        </w:rPr>
        <w:t> Bouvette soit acquittée dans le cadre d’un hypothétique nouveau procès. En outre, contrairement à l’arrêt des procédures, cette ordonnance définitive atténue l’injustice et le stigmate que cette erreur judiciaire a causé à M</w:t>
      </w:r>
      <w:r w:rsidRPr="009C665E">
        <w:rPr>
          <w:rFonts w:cs="Times New Roman"/>
          <w:vertAlign w:val="superscript"/>
          <w:lang w:val="fr-CA"/>
        </w:rPr>
        <w:t>me</w:t>
      </w:r>
      <w:r w:rsidRPr="009C665E">
        <w:rPr>
          <w:rFonts w:cs="Times New Roman"/>
          <w:lang w:val="fr-CA"/>
        </w:rPr>
        <w:t xml:space="preserve"> Bouvette. Un acquittement est </w:t>
      </w:r>
      <w:r w:rsidRPr="009C665E">
        <w:rPr>
          <w:rFonts w:cs="Times New Roman"/>
          <w:lang w:val="fr-CA"/>
        </w:rPr>
        <w:lastRenderedPageBreak/>
        <w:t>plus justifié à la lumière des considérations d’équité importantes qui mineraient l’intérêt public si la tenue d’un nouveau procès était ordonnée.</w:t>
      </w:r>
    </w:p>
    <w:bookmarkEnd w:id="66"/>
    <w:p w14:paraId="0CE0489C" w14:textId="77777777" w:rsidR="009C665E" w:rsidRPr="009C665E" w:rsidRDefault="009C665E" w:rsidP="009C665E">
      <w:pPr>
        <w:pStyle w:val="Title3LevelTitre3Niveau"/>
        <w:widowControl w:val="0"/>
        <w:numPr>
          <w:ilvl w:val="2"/>
          <w:numId w:val="7"/>
        </w:numPr>
        <w:spacing w:before="0"/>
        <w:rPr>
          <w:rFonts w:cs="Times New Roman"/>
          <w:lang w:val="fr-CA"/>
        </w:rPr>
      </w:pPr>
      <w:r w:rsidRPr="009C665E">
        <w:rPr>
          <w:rFonts w:cs="Times New Roman"/>
          <w:lang w:val="fr-CA"/>
        </w:rPr>
        <w:t>Indications supplémentaires concernant le choix entre l’acquittement ou l’arrêt des procédures</w:t>
      </w:r>
    </w:p>
    <w:p w14:paraId="134E3209"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t xml:space="preserve">Les parties et les intervenants ont demandé des indications sur la façon dont les tribunaux devraient examiner le bien-fondé d’un acquittement par rapport à un arrêt judiciaire des procédures ordonné en vertu du par. 686(8) du </w:t>
      </w:r>
      <w:r w:rsidRPr="009C665E">
        <w:rPr>
          <w:rFonts w:cs="Times New Roman"/>
          <w:i/>
          <w:lang w:val="fr-CA"/>
        </w:rPr>
        <w:t>Code</w:t>
      </w:r>
      <w:r w:rsidRPr="009C665E">
        <w:rPr>
          <w:rFonts w:cs="Times New Roman"/>
          <w:lang w:val="fr-CA"/>
        </w:rPr>
        <w:t xml:space="preserve"> (m.a., par. 94 et 110; m.i., par. 91; </w:t>
      </w:r>
      <w:proofErr w:type="gramStart"/>
      <w:r w:rsidRPr="009C665E">
        <w:rPr>
          <w:rFonts w:cs="Times New Roman"/>
          <w:lang w:val="fr-CA"/>
        </w:rPr>
        <w:t>m.interv</w:t>
      </w:r>
      <w:proofErr w:type="gramEnd"/>
      <w:r w:rsidRPr="009C665E">
        <w:rPr>
          <w:rFonts w:cs="Times New Roman"/>
          <w:lang w:val="fr-CA"/>
        </w:rPr>
        <w:t>. (Association canadienne des libertés civiles), par. 16</w:t>
      </w:r>
      <w:r w:rsidRPr="009C665E">
        <w:rPr>
          <w:rFonts w:cs="Times New Roman"/>
          <w:lang w:val="fr-CA"/>
        </w:rPr>
        <w:noBreakHyphen/>
        <w:t>24; m. interv. (Independent Criminal Defence Advocacy Society), par. 17</w:t>
      </w:r>
      <w:r w:rsidRPr="009C665E">
        <w:rPr>
          <w:rFonts w:cs="Times New Roman"/>
          <w:lang w:val="fr-CA"/>
        </w:rPr>
        <w:noBreakHyphen/>
        <w:t>24). La question dont la Cour est saisie est celle de savoir si la Cour d’appel a commis une erreur en inscrivant un arrêt des procédures. Les deux parties, pour des raisons différentes, contestent cette décision de la Cour d’appel. Mon collègue et moi convenons que l’arrêt judiciaire des procédures constitue une ordonnance distincte qu’une cour d’appel peut prononcer et, en outre, que cette ordonnance accessoire visée au par. 686(8) n’est pas sur un pied d’égalité avec les ordonnances de réparation principales, qui sont codifiées au par. 686(2) (motifs des juges majoritaires, par. 63). À ce titre, il ne devrait être envisagé qu’après que le tribunal a déterminé de façon concluante que l’acquittement ne convenait pas. Je ne suis toutefois pas d’accord pour caractériser l’arrêt des procédures comme une des trois « principales » ordonnances réparatrices qui peuvent être rendues après qu’un tribunal d’appel a accueilli l’appel d’une déclaration de culpabilité (motifs des juges majoritaires, par. 52 et 57).</w:t>
      </w:r>
    </w:p>
    <w:p w14:paraId="39E240F0"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 xml:space="preserve">Après l’annulation d’une déclaration de culpabilité, le </w:t>
      </w:r>
      <w:r w:rsidRPr="009C665E">
        <w:rPr>
          <w:rFonts w:cs="Times New Roman"/>
          <w:i/>
          <w:lang w:val="fr-CA"/>
        </w:rPr>
        <w:t xml:space="preserve">Code </w:t>
      </w:r>
      <w:r w:rsidRPr="009C665E">
        <w:rPr>
          <w:rFonts w:cs="Times New Roman"/>
          <w:lang w:val="fr-CA"/>
        </w:rPr>
        <w:t>prévoit deux réparations présumées : l’acquittement (al. 686(2)a)) ou un nouveau procès (al. 686(2)b)) (</w:t>
      </w:r>
      <w:r w:rsidRPr="009C665E">
        <w:rPr>
          <w:rFonts w:cs="Times New Roman"/>
          <w:i/>
          <w:lang w:val="fr-CA"/>
        </w:rPr>
        <w:t>Truscott</w:t>
      </w:r>
      <w:r w:rsidRPr="009C665E">
        <w:rPr>
          <w:rFonts w:cs="Times New Roman"/>
          <w:lang w:val="fr-CA"/>
        </w:rPr>
        <w:t>, par. 246). Je reconnais qu’il n’est pas nécessaire dans tous les cas que le tribunal ait inscrit un acquittement ou ordonné la tenue d’un nouveau procès pour qu’il puisse exercer les pouvoirs résiduels que lui confère le par. 686(8) (</w:t>
      </w:r>
      <w:r w:rsidRPr="009C665E">
        <w:rPr>
          <w:rFonts w:cs="Times New Roman"/>
          <w:i/>
          <w:lang w:val="fr-CA"/>
        </w:rPr>
        <w:t>R. c. Smith</w:t>
      </w:r>
      <w:r w:rsidRPr="009C665E">
        <w:rPr>
          <w:rFonts w:cs="Times New Roman"/>
          <w:lang w:val="fr-CA"/>
        </w:rPr>
        <w:t>, 2004 CSC 14, [2004] 1 R.C.S. 385 (« </w:t>
      </w:r>
      <w:r w:rsidRPr="009C665E">
        <w:rPr>
          <w:rFonts w:cs="Times New Roman"/>
          <w:i/>
          <w:lang w:val="fr-CA"/>
        </w:rPr>
        <w:t>Smith 2004</w:t>
      </w:r>
      <w:r w:rsidRPr="009C665E">
        <w:rPr>
          <w:rFonts w:cs="Times New Roman"/>
          <w:lang w:val="fr-CA"/>
        </w:rPr>
        <w:t xml:space="preserve"> »), par. 22; </w:t>
      </w:r>
      <w:r w:rsidRPr="009C665E">
        <w:rPr>
          <w:rFonts w:cs="Times New Roman"/>
          <w:i/>
          <w:lang w:val="fr-CA"/>
        </w:rPr>
        <w:t>R.V.</w:t>
      </w:r>
      <w:r w:rsidRPr="009C665E">
        <w:rPr>
          <w:rFonts w:cs="Times New Roman"/>
          <w:lang w:val="fr-CA"/>
        </w:rPr>
        <w:t xml:space="preserve">, par. 75). L’arrêt </w:t>
      </w:r>
      <w:r w:rsidRPr="009C665E">
        <w:rPr>
          <w:rFonts w:cs="Times New Roman"/>
          <w:i/>
          <w:lang w:val="fr-CA"/>
        </w:rPr>
        <w:t xml:space="preserve">Smith 2004 </w:t>
      </w:r>
      <w:r w:rsidRPr="009C665E">
        <w:rPr>
          <w:rFonts w:cs="Times New Roman"/>
          <w:lang w:val="fr-CA"/>
        </w:rPr>
        <w:t xml:space="preserve">confirme que la cour peut accorder une réparation en vertu du par. 686(8) après avoir annulé une </w:t>
      </w:r>
      <w:r w:rsidRPr="009C665E">
        <w:rPr>
          <w:rFonts w:cs="Times New Roman"/>
          <w:szCs w:val="24"/>
          <w:lang w:val="fr-CA"/>
        </w:rPr>
        <w:t>déclaration</w:t>
      </w:r>
      <w:r w:rsidRPr="009C665E">
        <w:rPr>
          <w:rFonts w:cs="Times New Roman"/>
          <w:lang w:val="fr-CA"/>
        </w:rPr>
        <w:t xml:space="preserve"> de culpabilité, car elle agit alors en vertu du pouvoir que lui confère le par. 686(2) (par. 22).</w:t>
      </w:r>
    </w:p>
    <w:p w14:paraId="37E1FD79"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Cependant, le simple fait que la cour </w:t>
      </w:r>
      <w:r w:rsidRPr="009C665E">
        <w:rPr>
          <w:rFonts w:cs="Times New Roman"/>
          <w:i/>
          <w:iCs/>
          <w:lang w:val="fr-CA"/>
        </w:rPr>
        <w:t xml:space="preserve">peut </w:t>
      </w:r>
      <w:r w:rsidRPr="009C665E">
        <w:rPr>
          <w:rFonts w:cs="Times New Roman"/>
          <w:lang w:val="fr-CA"/>
        </w:rPr>
        <w:t xml:space="preserve">accorder une réparation après avoir annulé la déclaration de culpabilité ne signifie pas qu’il convient de considérer cette réparation comme une troisième « solution de rechange » au même titre qu’un nouveau procès ou un acquittement. Dans l’arrêt </w:t>
      </w:r>
      <w:r w:rsidRPr="009C665E">
        <w:rPr>
          <w:rFonts w:cs="Times New Roman"/>
          <w:i/>
          <w:lang w:val="fr-CA"/>
        </w:rPr>
        <w:t>Hinse 1995</w:t>
      </w:r>
      <w:r w:rsidRPr="009C665E">
        <w:rPr>
          <w:rFonts w:cs="Times New Roman"/>
          <w:lang w:val="fr-CA"/>
        </w:rPr>
        <w:t>, notre Cour a confirmé que, même lorsque le tribunal ordonne l’arrêt des procédures en vertu du par. 686(8), l’exercice de ce pouvoir est soumis aux contraintes de fond énoncées dans la jurisprudence (par. 23). En tant que « solution de rechange », l’arrêt des procédures ne peut être prononcé que « lorsque cela est indiqué » (par. 20).</w:t>
      </w:r>
    </w:p>
    <w:p w14:paraId="73C5CCF7"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Selon la jurisprudence, l’arrêt des procédures est une réparation draconienne « de dernier recours » qui ne peut être accordée que dans les cas les plus manifestes lorsque le préjudice causé par l’abus de procédure sera révélé, perpétué ou aggravé par le déroulement du procès et qu’aucune autre mesure ne peut </w:t>
      </w:r>
      <w:r w:rsidRPr="009C665E">
        <w:rPr>
          <w:rFonts w:cs="Times New Roman"/>
          <w:lang w:val="fr-CA"/>
        </w:rPr>
        <w:lastRenderedPageBreak/>
        <w:t>raisonnablement réparer ce préjudice (</w:t>
      </w:r>
      <w:r w:rsidRPr="009C665E">
        <w:rPr>
          <w:rFonts w:cs="Times New Roman"/>
          <w:i/>
          <w:lang w:val="fr-CA"/>
        </w:rPr>
        <w:t>Charkaoui c. Canada (Citoyenneté et Immigration)</w:t>
      </w:r>
      <w:r w:rsidRPr="009C665E">
        <w:rPr>
          <w:rFonts w:cs="Times New Roman"/>
          <w:lang w:val="fr-CA"/>
        </w:rPr>
        <w:t xml:space="preserve">, 2008 CSC 38, [2008] 2 R.C.S. 326, par. 76; voir aussi </w:t>
      </w:r>
      <w:r w:rsidRPr="009C665E">
        <w:rPr>
          <w:rFonts w:cs="Times New Roman"/>
          <w:i/>
          <w:lang w:val="fr-CA"/>
        </w:rPr>
        <w:t>R. c. O’Connor</w:t>
      </w:r>
      <w:r w:rsidRPr="009C665E">
        <w:rPr>
          <w:rFonts w:cs="Times New Roman"/>
          <w:lang w:val="fr-CA"/>
        </w:rPr>
        <w:t>, [1995] 4 R.C.S. 411, par. 75</w:t>
      </w:r>
      <w:r w:rsidRPr="009C665E">
        <w:rPr>
          <w:rFonts w:cs="Times New Roman"/>
          <w:lang w:val="fr-CA"/>
        </w:rPr>
        <w:noBreakHyphen/>
        <w:t xml:space="preserve">77; </w:t>
      </w:r>
      <w:r w:rsidRPr="009C665E">
        <w:rPr>
          <w:rFonts w:cs="Times New Roman"/>
          <w:i/>
          <w:lang w:val="fr-CA"/>
        </w:rPr>
        <w:t>Canada (</w:t>
      </w:r>
      <w:proofErr w:type="gramStart"/>
      <w:r w:rsidRPr="009C665E">
        <w:rPr>
          <w:rFonts w:cs="Times New Roman"/>
          <w:i/>
          <w:lang w:val="fr-CA"/>
        </w:rPr>
        <w:t>Ministre</w:t>
      </w:r>
      <w:proofErr w:type="gramEnd"/>
      <w:r w:rsidRPr="009C665E">
        <w:rPr>
          <w:rFonts w:cs="Times New Roman"/>
          <w:i/>
          <w:lang w:val="fr-CA"/>
        </w:rPr>
        <w:t xml:space="preserve"> de la Citoyenneté et de l’Immigration) c. Tobiass</w:t>
      </w:r>
      <w:r w:rsidRPr="009C665E">
        <w:rPr>
          <w:rFonts w:cs="Times New Roman"/>
          <w:lang w:val="fr-CA"/>
        </w:rPr>
        <w:t>, [1997] 3 R.C.S. 391, par. 89</w:t>
      </w:r>
      <w:r w:rsidRPr="009C665E">
        <w:rPr>
          <w:rFonts w:cs="Times New Roman"/>
          <w:lang w:val="fr-CA"/>
        </w:rPr>
        <w:noBreakHyphen/>
        <w:t xml:space="preserve">90; </w:t>
      </w:r>
      <w:r w:rsidRPr="009C665E">
        <w:rPr>
          <w:rFonts w:cs="Times New Roman"/>
          <w:i/>
          <w:lang w:val="fr-CA"/>
        </w:rPr>
        <w:t>R. c. Regan</w:t>
      </w:r>
      <w:r w:rsidRPr="009C665E">
        <w:rPr>
          <w:rFonts w:cs="Times New Roman"/>
          <w:lang w:val="fr-CA"/>
        </w:rPr>
        <w:t>, 2002 CSC 12, [2002] 1 R.C.S. 297, par. 53</w:t>
      </w:r>
      <w:r w:rsidRPr="009C665E">
        <w:rPr>
          <w:rFonts w:cs="Times New Roman"/>
          <w:lang w:val="fr-CA"/>
        </w:rPr>
        <w:noBreakHyphen/>
        <w:t xml:space="preserve">54; </w:t>
      </w:r>
      <w:r w:rsidRPr="009C665E">
        <w:rPr>
          <w:rFonts w:cs="Times New Roman"/>
          <w:i/>
          <w:lang w:val="fr-CA"/>
        </w:rPr>
        <w:t>Taillefer</w:t>
      </w:r>
      <w:r w:rsidRPr="009C665E">
        <w:rPr>
          <w:rFonts w:cs="Times New Roman"/>
          <w:lang w:val="fr-CA"/>
        </w:rPr>
        <w:t xml:space="preserve">, par. 117; </w:t>
      </w:r>
      <w:r w:rsidRPr="009C665E">
        <w:rPr>
          <w:rFonts w:cs="Times New Roman"/>
          <w:i/>
          <w:lang w:val="fr-CA"/>
        </w:rPr>
        <w:t>R. c. Babos</w:t>
      </w:r>
      <w:r w:rsidRPr="009C665E">
        <w:rPr>
          <w:rFonts w:cs="Times New Roman"/>
          <w:lang w:val="fr-CA"/>
        </w:rPr>
        <w:t>, 2014 CSC 16, [2014] 1 R.C.S. 309, par. 30</w:t>
      </w:r>
      <w:r w:rsidRPr="009C665E">
        <w:rPr>
          <w:rFonts w:cs="Times New Roman"/>
          <w:lang w:val="fr-CA"/>
        </w:rPr>
        <w:noBreakHyphen/>
        <w:t>33). L’arrêt des procédures ne doit être accordé que « rarement » (</w:t>
      </w:r>
      <w:r w:rsidRPr="009C665E">
        <w:rPr>
          <w:rFonts w:cs="Times New Roman"/>
          <w:i/>
          <w:lang w:val="fr-CA"/>
        </w:rPr>
        <w:t>Tobiass</w:t>
      </w:r>
      <w:r w:rsidRPr="009C665E">
        <w:rPr>
          <w:rFonts w:cs="Times New Roman"/>
          <w:lang w:val="fr-CA"/>
        </w:rPr>
        <w:t>, par. 59).</w:t>
      </w:r>
    </w:p>
    <w:p w14:paraId="065520E9"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Les circonstances à l’origine d’une erreur judiciaire peuvent fort bien constituer un abus de procédure compromettant l’équité du procès de l’accusé ou l’intégrité du système de justice (</w:t>
      </w:r>
      <w:r w:rsidRPr="009C665E">
        <w:rPr>
          <w:rFonts w:cs="Times New Roman"/>
          <w:i/>
          <w:lang w:val="fr-CA"/>
        </w:rPr>
        <w:t>Babos</w:t>
      </w:r>
      <w:r w:rsidRPr="009C665E">
        <w:rPr>
          <w:rFonts w:cs="Times New Roman"/>
          <w:lang w:val="fr-CA"/>
        </w:rPr>
        <w:t xml:space="preserve">, par. 31). Toutefois, comme le par. 686(2) du </w:t>
      </w:r>
      <w:r w:rsidRPr="009C665E">
        <w:rPr>
          <w:rFonts w:cs="Times New Roman"/>
          <w:i/>
          <w:lang w:val="fr-CA"/>
        </w:rPr>
        <w:t>Code</w:t>
      </w:r>
      <w:r w:rsidRPr="009C665E">
        <w:rPr>
          <w:rFonts w:cs="Times New Roman"/>
          <w:lang w:val="fr-CA"/>
        </w:rPr>
        <w:t xml:space="preserve"> offre à la cour d’appel le choix entre deux réparations présumées pour corriger l’erreur judiciaire, et comme l’acquittement permet de supprimer le préjudice et d’accorder une réparation complète, les principes régissant les cas dans lesquels il est possible d’ordonner l’arrêt des procédures exigent que l’on examine ces réparations en premier lieu. Lorsque le tribunal conclut, selon les principes applicables, que l’acquittement est préférable à la tenue d’un nouveau procès, il n’est pas nécessaire d’examiner l’opportunité d’ordonner l’arrêt des procédures.</w:t>
      </w:r>
    </w:p>
    <w:p w14:paraId="0ADC43D2"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Dans les cas d’erreurs judiciaires qui comportent les caractéristiques des déclarations de culpabilité injustifiées, si la cour n’est pas convaincue qu’il convient d’inscrire un acquittement, la tenue d’un nouveau procès devient la réparation présumée appropriée. Il se peut toutefois que la tenue d’un nouveau procès ne </w:t>
      </w:r>
      <w:r w:rsidRPr="009C665E">
        <w:rPr>
          <w:rFonts w:cs="Times New Roman"/>
          <w:lang w:val="fr-CA"/>
        </w:rPr>
        <w:lastRenderedPageBreak/>
        <w:t>convienne pas eu égard aux circonstances de l’espèce, et ce, pour de nombreuses raisons, dont principalement le fait qu’une telle ordonnance serait manifestement injuste pour l’accusé ou risquerait de donner lieu à une requête pour abus de procédure (</w:t>
      </w:r>
      <w:r w:rsidRPr="009C665E">
        <w:rPr>
          <w:rFonts w:cs="Times New Roman"/>
          <w:i/>
          <w:lang w:val="fr-CA"/>
        </w:rPr>
        <w:t>Truscott</w:t>
      </w:r>
      <w:r w:rsidRPr="009C665E">
        <w:rPr>
          <w:rFonts w:cs="Times New Roman"/>
          <w:lang w:val="fr-CA"/>
        </w:rPr>
        <w:t xml:space="preserve">, par. 246; </w:t>
      </w:r>
      <w:r w:rsidRPr="009C665E">
        <w:rPr>
          <w:rFonts w:cs="Times New Roman"/>
          <w:i/>
          <w:lang w:val="fr-CA"/>
        </w:rPr>
        <w:t>R.V.</w:t>
      </w:r>
      <w:r w:rsidRPr="009C665E">
        <w:rPr>
          <w:rFonts w:cs="Times New Roman"/>
          <w:lang w:val="fr-CA"/>
        </w:rPr>
        <w:t xml:space="preserve">, par. 77). Si la cour est convaincue que tel est le cas, elle peut alors se demander si l’arrêt des procédures est justifié. À mon avis, c’est dans ce sens qu’il faut comprendre l’expression « solution de rechange » utilisée dans l’arrêt </w:t>
      </w:r>
      <w:r w:rsidRPr="009C665E">
        <w:rPr>
          <w:rFonts w:cs="Times New Roman"/>
          <w:i/>
          <w:lang w:val="fr-CA"/>
        </w:rPr>
        <w:t>Hinse 1995</w:t>
      </w:r>
      <w:r w:rsidRPr="009C665E">
        <w:rPr>
          <w:rFonts w:cs="Times New Roman"/>
          <w:lang w:val="fr-CA"/>
        </w:rPr>
        <w:t xml:space="preserve"> pour qualifier l’arrêt des procédures, lequel peut être ordonné à titre de mesure réparatrice par la cour d’appel « dans certaines circonstances précises » (par. 29). Notre Cour examinait de façon générale la nature du pouvoir résiduel prévu au par. 686(8) et mentionnait l’arrêt des procédures à titre d’exemple d’ordonnance accessoire (par. 28</w:t>
      </w:r>
      <w:r w:rsidRPr="009C665E">
        <w:rPr>
          <w:rFonts w:cs="Times New Roman"/>
          <w:lang w:val="fr-CA"/>
        </w:rPr>
        <w:noBreakHyphen/>
        <w:t>30).</w:t>
      </w:r>
    </w:p>
    <w:p w14:paraId="3F22731B"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Dans le cas qui nous occupe, la Cour d’appel a procédé à son analyse dans le bon ordre. Après avoir conclu à l’existence d’une erreur judiciaire, elle s’est demandé s’il convenait de prononcer l’acquittement en appliquant la norme du verdict déraisonnable puis la norme établie dans l’arrêt </w:t>
      </w:r>
      <w:r w:rsidRPr="009C665E">
        <w:rPr>
          <w:rFonts w:cs="Times New Roman"/>
          <w:i/>
          <w:lang w:val="fr-CA"/>
        </w:rPr>
        <w:t>Truscott</w:t>
      </w:r>
      <w:r w:rsidRPr="009C665E">
        <w:rPr>
          <w:rFonts w:cs="Times New Roman"/>
          <w:lang w:val="fr-CA"/>
        </w:rPr>
        <w:t>. Après avoir écarté l’acquittement, la cour s’est penchée sur l’opportunité d’ordonner l’arrêt des procédures.</w:t>
      </w:r>
    </w:p>
    <w:p w14:paraId="27A6A5E8"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Cette démarche est également conforme à l’objectif de l’arrêt judiciaire des procédures, une réparation applicable pour l’avenir qui vise à empêcher l’abus de procédure (</w:t>
      </w:r>
      <w:r w:rsidRPr="009C665E">
        <w:rPr>
          <w:rFonts w:cs="Times New Roman"/>
          <w:i/>
          <w:lang w:val="fr-CA"/>
        </w:rPr>
        <w:t>Tobiass</w:t>
      </w:r>
      <w:r w:rsidRPr="009C665E">
        <w:rPr>
          <w:rFonts w:cs="Times New Roman"/>
          <w:lang w:val="fr-CA"/>
        </w:rPr>
        <w:t xml:space="preserve">, par. 91; </w:t>
      </w:r>
      <w:r w:rsidRPr="009C665E">
        <w:rPr>
          <w:rFonts w:cs="Times New Roman"/>
          <w:i/>
          <w:lang w:val="fr-CA"/>
        </w:rPr>
        <w:t>R. c. Brunelle</w:t>
      </w:r>
      <w:r w:rsidRPr="009C665E">
        <w:rPr>
          <w:rFonts w:cs="Times New Roman"/>
          <w:lang w:val="fr-CA"/>
        </w:rPr>
        <w:t xml:space="preserve">, 2024 CSC 3, par. 59). L’arrêt judiciaire des procédures a pour effet de suspendre les accusations et toutes les procédures qui </w:t>
      </w:r>
      <w:r w:rsidRPr="009C665E">
        <w:rPr>
          <w:rFonts w:cs="Times New Roman"/>
          <w:lang w:val="fr-CA"/>
        </w:rPr>
        <w:lastRenderedPageBreak/>
        <w:t xml:space="preserve">pourraient en découler. Toutefois, si un acquittement est justifié dans les circonstances, il n’est pas nécessaire de se demander si une autre réparation est nécessaire pour prévenir un abus de procédure qui persisterait. De plus, comme la Cour d’appel l’a reconnu, l’arrêt des procédures représente une réparation </w:t>
      </w:r>
      <w:r w:rsidRPr="009C665E">
        <w:rPr>
          <w:rFonts w:cs="Times New Roman"/>
          <w:smallCaps/>
          <w:lang w:val="fr-CA"/>
        </w:rPr>
        <w:t>[traduction]</w:t>
      </w:r>
      <w:r w:rsidRPr="009C665E">
        <w:rPr>
          <w:rFonts w:cs="Times New Roman"/>
          <w:lang w:val="fr-CA"/>
        </w:rPr>
        <w:t xml:space="preserve"> « inférieure » à un acquittement parce qu’il n’efface pas le stigmate associé à des accusations non résolues (par. 122; </w:t>
      </w:r>
      <w:r w:rsidRPr="009C665E">
        <w:rPr>
          <w:rFonts w:cs="Times New Roman"/>
          <w:i/>
          <w:lang w:val="fr-CA"/>
        </w:rPr>
        <w:t>Truscott</w:t>
      </w:r>
      <w:r w:rsidRPr="009C665E">
        <w:rPr>
          <w:rFonts w:cs="Times New Roman"/>
          <w:lang w:val="fr-CA"/>
        </w:rPr>
        <w:t xml:space="preserve">, par. 265). Par conséquent, l’arrêt des procédures ne constitue la réparation appropriée à accorder en dernier recours que lorsqu’il </w:t>
      </w:r>
      <w:r w:rsidRPr="009C665E">
        <w:rPr>
          <w:rFonts w:cs="Times New Roman"/>
          <w:smallCaps/>
          <w:lang w:val="fr-CA"/>
        </w:rPr>
        <w:t>[traduction]</w:t>
      </w:r>
      <w:r w:rsidRPr="009C665E">
        <w:rPr>
          <w:rFonts w:cs="Times New Roman"/>
          <w:lang w:val="fr-CA"/>
        </w:rPr>
        <w:t xml:space="preserve"> « serait manifestement injuste envers l’appelant » d’ordonner la tenue d’un nouveau procès (</w:t>
      </w:r>
      <w:r w:rsidRPr="009C665E">
        <w:rPr>
          <w:rFonts w:cs="Times New Roman"/>
          <w:i/>
          <w:lang w:val="fr-CA"/>
        </w:rPr>
        <w:t>Truscott</w:t>
      </w:r>
      <w:r w:rsidRPr="009C665E">
        <w:rPr>
          <w:rFonts w:cs="Times New Roman"/>
          <w:lang w:val="fr-CA"/>
        </w:rPr>
        <w:t>, par. 246).</w:t>
      </w:r>
    </w:p>
    <w:p w14:paraId="3F37799E"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Enfin, il est utile de replacer dans leur contexte les arrêts rendus par notre Cour dans les affaires </w:t>
      </w:r>
      <w:r w:rsidRPr="009C665E">
        <w:rPr>
          <w:rFonts w:cs="Times New Roman"/>
          <w:i/>
          <w:lang w:val="fr-CA"/>
        </w:rPr>
        <w:t>Smith</w:t>
      </w:r>
      <w:r w:rsidRPr="009C665E">
        <w:rPr>
          <w:rFonts w:cs="Times New Roman"/>
          <w:lang w:val="fr-CA"/>
        </w:rPr>
        <w:t xml:space="preserve"> </w:t>
      </w:r>
      <w:r w:rsidRPr="009C665E">
        <w:rPr>
          <w:rFonts w:cs="Times New Roman"/>
          <w:i/>
          <w:lang w:val="fr-CA"/>
        </w:rPr>
        <w:t>2004</w:t>
      </w:r>
      <w:r w:rsidRPr="009C665E">
        <w:rPr>
          <w:rFonts w:cs="Times New Roman"/>
          <w:lang w:val="fr-CA"/>
        </w:rPr>
        <w:t xml:space="preserve">, </w:t>
      </w:r>
      <w:r w:rsidRPr="009C665E">
        <w:rPr>
          <w:rFonts w:cs="Times New Roman"/>
          <w:i/>
          <w:lang w:val="fr-CA"/>
        </w:rPr>
        <w:t>R. c. Bellusci</w:t>
      </w:r>
      <w:r w:rsidRPr="009C665E">
        <w:rPr>
          <w:rFonts w:cs="Times New Roman"/>
          <w:lang w:val="fr-CA"/>
        </w:rPr>
        <w:t xml:space="preserve">, 2012 CSC 44, [2012] 2 R.C.S. 509, et </w:t>
      </w:r>
      <w:r w:rsidRPr="009C665E">
        <w:rPr>
          <w:rFonts w:cs="Times New Roman"/>
          <w:i/>
          <w:lang w:val="fr-CA"/>
        </w:rPr>
        <w:t>R.V.</w:t>
      </w:r>
      <w:r w:rsidRPr="009C665E">
        <w:rPr>
          <w:rFonts w:cs="Times New Roman"/>
          <w:lang w:val="fr-CA"/>
        </w:rPr>
        <w:t xml:space="preserve"> afin de dissiper tout malentendu quant à la possibilité et à l’opportunité d’accorder une réparation en vertu du par. 686(8). Bien que notre Cour ait précisé, dans ces arrêts, que le tribunal n’avait pas besoin d’ordonner la tenue d’un nouveau procès pour pouvoir ordonner l’arrêt des procédures en vertu du par. 686(8), le tribunal ne peut faire l’économie d’un examen des principales réparations présumées que constituent l’acquittement et la tenue d’un nouveau procès, en décidant d’accorder directement une réparation, comme un arrêt des procédures, en vertu du par. 686(8).</w:t>
      </w:r>
    </w:p>
    <w:p w14:paraId="4E416F0D"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Dans l’arrêt </w:t>
      </w:r>
      <w:r w:rsidRPr="009C665E">
        <w:rPr>
          <w:rFonts w:cs="Times New Roman"/>
          <w:i/>
          <w:lang w:val="fr-CA"/>
        </w:rPr>
        <w:t>Smith</w:t>
      </w:r>
      <w:r w:rsidRPr="009C665E">
        <w:rPr>
          <w:rFonts w:cs="Times New Roman"/>
          <w:lang w:val="fr-CA"/>
        </w:rPr>
        <w:t> </w:t>
      </w:r>
      <w:r w:rsidRPr="009C665E">
        <w:rPr>
          <w:rFonts w:cs="Times New Roman"/>
          <w:i/>
          <w:lang w:val="fr-CA"/>
        </w:rPr>
        <w:t>2004</w:t>
      </w:r>
      <w:r w:rsidRPr="009C665E">
        <w:rPr>
          <w:rFonts w:cs="Times New Roman"/>
          <w:lang w:val="fr-CA"/>
        </w:rPr>
        <w:t xml:space="preserve">, les propos du juge Binnie concernant le par. 686(8) se voulaient une réponse à l’argument de la Couronne selon lequel la cour ne pouvait connaître de l’appel d’une personne décédée parce qu’elle ne pourrait pas </w:t>
      </w:r>
      <w:r w:rsidRPr="009C665E">
        <w:rPr>
          <w:rFonts w:cs="Times New Roman"/>
          <w:lang w:val="fr-CA"/>
        </w:rPr>
        <w:lastRenderedPageBreak/>
        <w:t>ordonner la tenue d’un nouveau procès (par. 22). C’est dans ce contexte précis que notre Cour a jugé que la cour pouvait accorder une réparation en vertu du par. 686(8) après avoir annulé une déclaration de culpabilité en vertu du par. 686(2).</w:t>
      </w:r>
    </w:p>
    <w:p w14:paraId="3F4E1898"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t xml:space="preserve">Le raisonnement suivi par notre Cour dans l’arrêt </w:t>
      </w:r>
      <w:r w:rsidRPr="009C665E">
        <w:rPr>
          <w:rFonts w:cs="Times New Roman"/>
          <w:i/>
          <w:lang w:val="fr-CA"/>
        </w:rPr>
        <w:t>Smith</w:t>
      </w:r>
      <w:r w:rsidRPr="009C665E">
        <w:rPr>
          <w:rFonts w:cs="Times New Roman"/>
          <w:lang w:val="fr-CA"/>
        </w:rPr>
        <w:t xml:space="preserve"> </w:t>
      </w:r>
      <w:r w:rsidRPr="009C665E">
        <w:rPr>
          <w:rFonts w:cs="Times New Roman"/>
          <w:i/>
          <w:lang w:val="fr-CA"/>
        </w:rPr>
        <w:t>2004</w:t>
      </w:r>
      <w:r w:rsidRPr="009C665E">
        <w:rPr>
          <w:rFonts w:cs="Times New Roman"/>
          <w:lang w:val="fr-CA"/>
        </w:rPr>
        <w:t xml:space="preserve"> révèle deux points importants et interdépendants. Tout d’abord, « [l]a cour n’a pas à </w:t>
      </w:r>
      <w:r w:rsidRPr="009C665E">
        <w:rPr>
          <w:rFonts w:cs="Times New Roman"/>
          <w:u w:val="single"/>
          <w:lang w:val="fr-CA"/>
        </w:rPr>
        <w:t>ordonner</w:t>
      </w:r>
      <w:r w:rsidRPr="009C665E">
        <w:rPr>
          <w:rFonts w:cs="Times New Roman"/>
          <w:lang w:val="fr-CA"/>
        </w:rPr>
        <w:t xml:space="preserve"> un nouveau procès » avant de pouvoir ordonner l’arrêt des procédures (par. 22 (je souligne)). Dans le même ordre d’idées, le raisonnement de notre Cour appuie une forte inférence que l’arrêt des procédures est une réparation de dernier recours, en ce sens qu’elle ne doit être accordée que lorsque, compte tenu des circonstances de l’espèce, les réparations présumées prévues au par. 686(2) n’auraient pas été appropriées. L’avocat de la défense de l’appelant décédé avait demandé un nouveau procès et concédé qu’un acquittement ne constituerait pas une réparation appropriée (par. 54 et 59). Si notre Cour avait exercé sa compétence d’entendre l’appel, et puisqu’il n’aurait pas été possible d’ordonner la tenue d’un nouveau procès pour la personne décédée, les seules mesures de réparations restantes qui auraient pu être appropriées dans les circonstances auraient nécessairement été celles prévues au par. 686(8).</w:t>
      </w:r>
    </w:p>
    <w:p w14:paraId="32125503"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t xml:space="preserve">De même, dans l’affaire </w:t>
      </w:r>
      <w:r w:rsidRPr="009C665E">
        <w:rPr>
          <w:rFonts w:cs="Times New Roman"/>
          <w:i/>
          <w:lang w:val="fr-CA"/>
        </w:rPr>
        <w:t>Bellusci</w:t>
      </w:r>
      <w:r w:rsidRPr="009C665E">
        <w:rPr>
          <w:rFonts w:cs="Times New Roman"/>
          <w:lang w:val="fr-CA"/>
        </w:rPr>
        <w:t xml:space="preserve">, qui concernait l’appel d’un acquittement interjeté par la Couronne, le juge Fish a confirmé que la cour « n’a pas à </w:t>
      </w:r>
      <w:r w:rsidRPr="009C665E">
        <w:rPr>
          <w:rFonts w:cs="Times New Roman"/>
          <w:u w:val="single"/>
          <w:lang w:val="fr-CA"/>
        </w:rPr>
        <w:t>ordonner</w:t>
      </w:r>
      <w:r w:rsidRPr="009C665E">
        <w:rPr>
          <w:rFonts w:cs="Times New Roman"/>
          <w:lang w:val="fr-CA"/>
        </w:rPr>
        <w:t xml:space="preserve"> un nouveau procès ni à </w:t>
      </w:r>
      <w:r w:rsidRPr="009C665E">
        <w:rPr>
          <w:rFonts w:cs="Times New Roman"/>
          <w:u w:val="single"/>
          <w:lang w:val="fr-CA"/>
        </w:rPr>
        <w:t>consigner</w:t>
      </w:r>
      <w:r w:rsidRPr="009C665E">
        <w:rPr>
          <w:rFonts w:cs="Times New Roman"/>
          <w:lang w:val="fr-CA"/>
        </w:rPr>
        <w:t xml:space="preserve"> un verdict de culpabilité pour que s’applique le par. 686(8) » (par. 39 (je souligne)). Dans son analyse, notre Cour a confirmé que les réparations prévues à l’al. 686(4)b) étaient présumées appropriées, sauf si le tribunal </w:t>
      </w:r>
      <w:r w:rsidRPr="009C665E">
        <w:rPr>
          <w:rFonts w:cs="Times New Roman"/>
          <w:lang w:val="fr-CA"/>
        </w:rPr>
        <w:lastRenderedPageBreak/>
        <w:t>déterminait qu’elles ne l’étaient pas eu égard aux circonstances de l’espèce. Le juge Fish a souscrit à l’analyse de la Cour d’appel de l’Alberta dans l’affaire</w:t>
      </w:r>
      <w:r w:rsidRPr="009C665E">
        <w:rPr>
          <w:rFonts w:cs="Times New Roman"/>
          <w:i/>
          <w:lang w:val="fr-CA"/>
        </w:rPr>
        <w:t xml:space="preserve"> R. c. Yelle</w:t>
      </w:r>
      <w:r w:rsidRPr="009C665E">
        <w:rPr>
          <w:rFonts w:cs="Times New Roman"/>
          <w:lang w:val="fr-CA"/>
        </w:rPr>
        <w:t>, 2006 ABCA 276, 397 A.R. 287, dans laquelle elle avait ordonné la reprise du procès en vertu du par. 686(8) parce qu’elle avait d’abord jugé que les réparations présumées prévues à l’al. 686(4)b) n’étaient pas appropriées dans les circonstances (</w:t>
      </w:r>
      <w:r w:rsidRPr="009C665E">
        <w:rPr>
          <w:rFonts w:cs="Times New Roman"/>
          <w:i/>
          <w:lang w:val="fr-CA"/>
        </w:rPr>
        <w:t>Bellusci</w:t>
      </w:r>
      <w:r w:rsidRPr="009C665E">
        <w:rPr>
          <w:rFonts w:cs="Times New Roman"/>
          <w:lang w:val="fr-CA"/>
        </w:rPr>
        <w:t xml:space="preserve">, par. 41, citant </w:t>
      </w:r>
      <w:r w:rsidRPr="009C665E">
        <w:rPr>
          <w:rFonts w:cs="Times New Roman"/>
          <w:i/>
          <w:lang w:val="fr-CA"/>
        </w:rPr>
        <w:t>Yelle</w:t>
      </w:r>
      <w:r w:rsidRPr="009C665E">
        <w:rPr>
          <w:rFonts w:cs="Times New Roman"/>
          <w:lang w:val="fr-CA"/>
        </w:rPr>
        <w:t>, par. 17</w:t>
      </w:r>
      <w:r w:rsidRPr="009C665E">
        <w:rPr>
          <w:rFonts w:cs="Times New Roman"/>
          <w:lang w:val="fr-CA"/>
        </w:rPr>
        <w:noBreakHyphen/>
        <w:t>18).</w:t>
      </w:r>
    </w:p>
    <w:p w14:paraId="04542D1C" w14:textId="77777777" w:rsidR="009C665E" w:rsidRPr="009C665E" w:rsidRDefault="009C665E" w:rsidP="009C665E">
      <w:pPr>
        <w:pStyle w:val="ParaNoNdepar-AltN"/>
        <w:tabs>
          <w:tab w:val="clear" w:pos="1166"/>
          <w:tab w:val="num" w:pos="1152"/>
        </w:tabs>
        <w:spacing w:before="0"/>
        <w:rPr>
          <w:rFonts w:eastAsia="Times New Roman" w:cs="Times New Roman"/>
          <w:lang w:val="fr-CA"/>
        </w:rPr>
      </w:pPr>
      <w:r w:rsidRPr="009C665E">
        <w:rPr>
          <w:rFonts w:cs="Times New Roman"/>
          <w:lang w:val="fr-CA"/>
        </w:rPr>
        <w:t xml:space="preserve">Enfin, dans l’affaire </w:t>
      </w:r>
      <w:r w:rsidRPr="009C665E">
        <w:rPr>
          <w:rFonts w:cs="Times New Roman"/>
          <w:i/>
          <w:lang w:val="fr-CA"/>
        </w:rPr>
        <w:t>R.V.</w:t>
      </w:r>
      <w:r w:rsidRPr="009C665E">
        <w:rPr>
          <w:rFonts w:cs="Times New Roman"/>
          <w:lang w:val="fr-CA"/>
        </w:rPr>
        <w:t xml:space="preserve">, notre Cour a examiné le par. 686(8) dans l’optique d’un arrêt des procédures et a confirmé dans son analyse qu’il s’agissait d’une réparation de dernier recours à envisager uniquement lorsqu’on détermine qu’il ne convient pas d’accorder les réparations présumées. Le juge Moldaver a confirmé que « la </w:t>
      </w:r>
      <w:r w:rsidRPr="009C665E">
        <w:rPr>
          <w:rFonts w:cs="Times New Roman"/>
          <w:u w:val="single"/>
          <w:lang w:val="fr-CA"/>
        </w:rPr>
        <w:t>réparation habituelle</w:t>
      </w:r>
      <w:r w:rsidRPr="009C665E">
        <w:rPr>
          <w:rFonts w:cs="Times New Roman"/>
          <w:lang w:val="fr-CA"/>
        </w:rPr>
        <w:t xml:space="preserve"> » consiste « à renvoyer le verdict d’acquittement pour nouvelle instruction » (par. 73 (je souligne)). Cependant, eu égard aux circonstances particulières de cette affaire, il a conclu qu’un arrêt des procédures était justifié, parce qu’ordonner un nouveau procès « risquerait inutilement d’entraîner la présentation d’une requête pour abus de procédure » et « n’apporterait [. . .] aucun avantage sur le plan de l’administration de la justice » (par. 77). Ainsi, bien que la possibilité d’ordonner l’arrêt des procédures ne dépende pas d’une ordonnance de nouveau procès, les tribunaux doivent, pour déterminer s’il convient d’ordonner cette mesure applicable pour l’avenir en tant que réparation draconienne de dernier recours, se demander si le fait d’ordonner un nouveau procès « risquerait inutilement d’entraîner la présentation d’une requête pour abus de procédure » et ne serait donc pas approprié dans les circonstances (par. 77; voir aussi </w:t>
      </w:r>
      <w:r w:rsidRPr="009C665E">
        <w:rPr>
          <w:rFonts w:cs="Times New Roman"/>
          <w:i/>
          <w:lang w:val="fr-CA"/>
        </w:rPr>
        <w:t>Hinse</w:t>
      </w:r>
      <w:r w:rsidRPr="009C665E">
        <w:rPr>
          <w:rFonts w:cs="Times New Roman"/>
          <w:lang w:val="fr-CA"/>
        </w:rPr>
        <w:t xml:space="preserve"> </w:t>
      </w:r>
      <w:r w:rsidRPr="009C665E">
        <w:rPr>
          <w:rFonts w:cs="Times New Roman"/>
          <w:i/>
          <w:lang w:val="fr-CA"/>
        </w:rPr>
        <w:t>1995</w:t>
      </w:r>
      <w:r w:rsidRPr="009C665E">
        <w:rPr>
          <w:rFonts w:cs="Times New Roman"/>
          <w:lang w:val="fr-CA"/>
        </w:rPr>
        <w:t>, par. 23).</w:t>
      </w:r>
    </w:p>
    <w:p w14:paraId="2C53368F" w14:textId="77777777" w:rsidR="009C665E" w:rsidRPr="009C665E" w:rsidRDefault="009C665E" w:rsidP="009C665E">
      <w:pPr>
        <w:pStyle w:val="Title3LevelTitre3Niveau"/>
        <w:widowControl w:val="0"/>
        <w:numPr>
          <w:ilvl w:val="2"/>
          <w:numId w:val="7"/>
        </w:numPr>
        <w:spacing w:before="0"/>
        <w:rPr>
          <w:rFonts w:cs="Times New Roman"/>
          <w:lang w:val="fr-CA"/>
        </w:rPr>
      </w:pPr>
      <w:r w:rsidRPr="009C665E">
        <w:rPr>
          <w:rFonts w:cs="Times New Roman"/>
          <w:lang w:val="fr-CA"/>
        </w:rPr>
        <w:lastRenderedPageBreak/>
        <w:t>Résumé des principes</w:t>
      </w:r>
    </w:p>
    <w:p w14:paraId="0F60C5F2"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t>Dès lors qu’un appelant a établi qu’il y a eu une erreur judiciaire au sens voulu pour l’application du sous</w:t>
      </w:r>
      <w:r w:rsidRPr="009C665E">
        <w:rPr>
          <w:rFonts w:cs="Times New Roman"/>
          <w:lang w:val="fr-CA"/>
        </w:rPr>
        <w:noBreakHyphen/>
        <w:t>al. 686(1</w:t>
      </w:r>
      <w:proofErr w:type="gramStart"/>
      <w:r w:rsidRPr="009C665E">
        <w:rPr>
          <w:rFonts w:cs="Times New Roman"/>
          <w:lang w:val="fr-CA"/>
        </w:rPr>
        <w:t>)a)(</w:t>
      </w:r>
      <w:proofErr w:type="gramEnd"/>
      <w:r w:rsidRPr="009C665E">
        <w:rPr>
          <w:rFonts w:cs="Times New Roman"/>
          <w:lang w:val="fr-CA"/>
        </w:rPr>
        <w:t xml:space="preserve">iii), la cour d’appel doit annuler la déclaration de culpabilité. Le </w:t>
      </w:r>
      <w:r w:rsidRPr="009C665E">
        <w:rPr>
          <w:rFonts w:cs="Times New Roman"/>
          <w:i/>
          <w:lang w:val="fr-CA"/>
        </w:rPr>
        <w:t>Code</w:t>
      </w:r>
      <w:r w:rsidRPr="009C665E">
        <w:rPr>
          <w:rFonts w:cs="Times New Roman"/>
          <w:lang w:val="fr-CA"/>
        </w:rPr>
        <w:t xml:space="preserve"> prescrit qu’elle doive ensuite déterminer s’il est approprié dans les circonstances qu’elle inscrive un acquittement ou ordonne la tenue d’un nouveau procès (par. 686(2)). Lorsqu’aucun jury raisonnable ne pourrait conclure à un verdict de culpabilité, c’est l’ordonnance d’acquittement qui est appropriée. De plus, généralement, s’il reste une possibilité raisonnable de déclaration de culpabilité, la cour ordonne la tenue d’un nouveau procès (</w:t>
      </w:r>
      <w:r w:rsidRPr="009C665E">
        <w:rPr>
          <w:rFonts w:cs="Times New Roman"/>
          <w:i/>
          <w:lang w:val="fr-CA"/>
        </w:rPr>
        <w:t>Truscott</w:t>
      </w:r>
      <w:r w:rsidRPr="009C665E">
        <w:rPr>
          <w:rFonts w:cs="Times New Roman"/>
          <w:lang w:val="fr-CA"/>
        </w:rPr>
        <w:t>, par. 247</w:t>
      </w:r>
      <w:r w:rsidRPr="009C665E">
        <w:rPr>
          <w:rFonts w:cs="Times New Roman"/>
          <w:lang w:val="fr-CA"/>
        </w:rPr>
        <w:noBreakHyphen/>
        <w:t xml:space="preserve">248; </w:t>
      </w:r>
      <w:r w:rsidRPr="009C665E">
        <w:rPr>
          <w:rFonts w:cs="Times New Roman"/>
          <w:i/>
          <w:lang w:val="fr-CA"/>
        </w:rPr>
        <w:t>Stolar</w:t>
      </w:r>
      <w:r w:rsidRPr="009C665E">
        <w:rPr>
          <w:rFonts w:cs="Times New Roman"/>
          <w:lang w:val="fr-CA"/>
        </w:rPr>
        <w:t>, p. 491</w:t>
      </w:r>
      <w:r w:rsidRPr="009C665E">
        <w:rPr>
          <w:rFonts w:cs="Times New Roman"/>
          <w:lang w:val="fr-CA"/>
        </w:rPr>
        <w:noBreakHyphen/>
        <w:t>492;</w:t>
      </w:r>
      <w:r w:rsidRPr="009C665E">
        <w:rPr>
          <w:rFonts w:cs="Times New Roman"/>
          <w:i/>
          <w:lang w:val="fr-CA"/>
        </w:rPr>
        <w:t xml:space="preserve"> Maciel</w:t>
      </w:r>
      <w:r w:rsidRPr="009C665E">
        <w:rPr>
          <w:rFonts w:cs="Times New Roman"/>
          <w:lang w:val="fr-CA"/>
        </w:rPr>
        <w:t>, par. 46).</w:t>
      </w:r>
    </w:p>
    <w:p w14:paraId="0E969F06" w14:textId="77777777" w:rsidR="009C665E" w:rsidRPr="009C665E" w:rsidRDefault="009C665E" w:rsidP="009C665E">
      <w:pPr>
        <w:pStyle w:val="ParaNoNdepar-AltN"/>
        <w:widowControl w:val="0"/>
        <w:tabs>
          <w:tab w:val="clear" w:pos="1166"/>
          <w:tab w:val="num" w:pos="1152"/>
        </w:tabs>
        <w:spacing w:before="0"/>
        <w:rPr>
          <w:rFonts w:cs="Times New Roman"/>
          <w:lang w:val="fr-CA"/>
        </w:rPr>
      </w:pPr>
      <w:r w:rsidRPr="009C665E">
        <w:rPr>
          <w:rFonts w:cs="Times New Roman"/>
          <w:lang w:val="fr-CA"/>
        </w:rPr>
        <w:t>Cependant, dans certaines causes hors norme, les tribunaux doivent poursuivre l’analyse et examiner si l’intérêt de la justice commande l’inscription d’un acquittement, même s’il reste une possibilité raisonnable de déclaration de culpabilité. Plus précisément, dans les causes qui comportent les caractéristiques procédurales et substantielles des déclarations de culpabilité injustifiées, les tribunaux doivent appliquer le cadre en matière de réparation énoncé dans les présents motifs. Dans le contexte de ce sous</w:t>
      </w:r>
      <w:r w:rsidRPr="009C665E">
        <w:rPr>
          <w:rFonts w:cs="Times New Roman"/>
          <w:lang w:val="fr-CA"/>
        </w:rPr>
        <w:noBreakHyphen/>
        <w:t>ensemble d’erreurs judiciaires, pour déterminer si un acquittement est dans l’intérêt de la justice, les cours d’appel tiennent compte de la nature et des répercussions de l’erreur judiciaire, de la possibilité de tenir un nouveau procès, de la probabilité qu’un acquittement soit prononcé ainsi que du caractère équitable global de la cause donnée, et ils mettent ces facteurs en balance.</w:t>
      </w:r>
    </w:p>
    <w:p w14:paraId="435F4EF2"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lastRenderedPageBreak/>
        <w:t>Le cadre d’analyse approprié en matière de réparation doit tenir compte de ces caractéristiques communes aux causes de déclarations de culpabilité injustifiées. La nature de l’erreur judiciaire peut saper les preuves de la culpabilité, éclairer le fondement de l’accusation initiale et avoir une incidence sur un nouveau procès, s’il est théoriquement possible d’en tenir un. Les tribunaux doivent aussi évaluer la possibilité d’un nouveau procès et la probabilité qu’un acquittement soit prononcé. La conclusion qu’un acquittement est plus probable qu’improbable compte tenu du dossier étoffé ou modifié sera donc généralement une condition préalable à ce qu’un verdict d’acquittement soit inscrit et pèsera fortement en faveur d’une telle ordonnance. En outre, les tribunaux ne doivent pas ordonner la tenue d’un nouveau procès qui n’est pas jugé raisonnablement probable, et ce, pour quelque raison légitime que ce soit. Dans les cas où la Couronne consent à un acquittement, les tribunaux peuvent adopter une approche empreinte de déférence, mais, tout en exerçant le pouvoir que leur confère la loi conformément aux principes pertinents, ils doivent mener une évaluation judiciaire de l’opportunité de cette mesure. Enfin, les tribunaux doivent aussi tenir compte du caractère équitable global, ce qui comprend une prise en compte du préjudice subi par l’appelant, du fait qu’il a purgé sa peine et qu’il a subi de multiples procès et appels, et de l’écoulement du temps.</w:t>
      </w:r>
    </w:p>
    <w:p w14:paraId="3A64625F" w14:textId="77777777" w:rsidR="009C665E" w:rsidRPr="009C665E" w:rsidRDefault="009C665E" w:rsidP="009C665E">
      <w:pPr>
        <w:pStyle w:val="ParaNoNdepar-AltN"/>
        <w:tabs>
          <w:tab w:val="clear" w:pos="1166"/>
          <w:tab w:val="num" w:pos="1152"/>
        </w:tabs>
        <w:rPr>
          <w:rFonts w:cs="Times New Roman"/>
          <w:lang w:val="fr-CA"/>
        </w:rPr>
      </w:pPr>
      <w:r w:rsidRPr="009C665E">
        <w:rPr>
          <w:rFonts w:cs="Times New Roman"/>
          <w:lang w:val="fr-CA"/>
        </w:rPr>
        <w:t>En exerçant leur pouvoir discrétionnaire, les tribunaux d’appel doivent accorder une importance primordiale à l’examen de la possibilité d’un nouveau procès et de la probabilité d’un acquittement ou d’une déclaration de culpabilité.</w:t>
      </w:r>
      <w:r w:rsidRPr="009C665E">
        <w:rPr>
          <w:rFonts w:cs="Times New Roman"/>
          <w:lang w:val="fr-CA" w:bidi="en-US"/>
        </w:rPr>
        <w:t xml:space="preserve"> </w:t>
      </w:r>
      <w:r w:rsidRPr="009C665E">
        <w:rPr>
          <w:rFonts w:cs="Times New Roman"/>
          <w:lang w:val="fr-CA"/>
        </w:rPr>
        <w:t xml:space="preserve">La nature et les répercussions de l’erreur judiciaire peuvent jouer un rôle plus important pour fournir </w:t>
      </w:r>
      <w:r w:rsidRPr="009C665E">
        <w:rPr>
          <w:rFonts w:cs="Times New Roman"/>
          <w:lang w:val="fr-CA"/>
        </w:rPr>
        <w:lastRenderedPageBreak/>
        <w:t>un contexte à ces causes lorsque le tribunal n’est pas en mesure de déterminer l’issue probable d’un hypothétique nouveau procès.</w:t>
      </w:r>
      <w:r w:rsidRPr="009C665E">
        <w:rPr>
          <w:rFonts w:cs="Times New Roman"/>
          <w:lang w:val="fr-CA" w:bidi="en-US"/>
        </w:rPr>
        <w:t xml:space="preserve"> </w:t>
      </w:r>
      <w:r w:rsidRPr="009C665E">
        <w:rPr>
          <w:rFonts w:cs="Times New Roman"/>
          <w:lang w:val="fr-CA"/>
        </w:rPr>
        <w:t>De même, une prise en compte du caractère équitable global de l’espèce peut aider le tribunal à évaluer l’intérêt public à tenir un nouveau procès.</w:t>
      </w:r>
      <w:r w:rsidRPr="009C665E">
        <w:rPr>
          <w:rFonts w:cs="Times New Roman"/>
          <w:lang w:val="fr-CA" w:bidi="en-US"/>
        </w:rPr>
        <w:t xml:space="preserve"> La prise en compte du caractère équitable ne peut pas, à lui seul, servir de fondement pour substituer un acquittement à un nouveau procès, surtout en présence d’un seul facteur. En menant cet exercice, la cour ne doit jamais perdre de vue la question à laquelle elle doit répondre en définitive, soit celle de savoir si l’intérêt de la justice requiert un acquittement ou un nouveau procès.</w:t>
      </w:r>
    </w:p>
    <w:p w14:paraId="381EA2CA" w14:textId="77777777" w:rsidR="009C665E" w:rsidRPr="009C665E" w:rsidRDefault="009C665E" w:rsidP="009C665E">
      <w:pPr>
        <w:pStyle w:val="Title2LevelTitre2Niveau"/>
        <w:widowControl w:val="0"/>
        <w:numPr>
          <w:ilvl w:val="1"/>
          <w:numId w:val="7"/>
        </w:numPr>
        <w:spacing w:before="0"/>
        <w:rPr>
          <w:rFonts w:cs="Times New Roman"/>
          <w:lang w:val="fr-CA"/>
        </w:rPr>
      </w:pPr>
      <w:r w:rsidRPr="009C665E">
        <w:rPr>
          <w:rFonts w:cs="Times New Roman"/>
          <w:lang w:val="fr-CA"/>
        </w:rPr>
        <w:t>Conclusion : l’acquittement est justifié en l’espèce</w:t>
      </w:r>
    </w:p>
    <w:p w14:paraId="0A57F5C7" w14:textId="77777777" w:rsidR="009C665E" w:rsidRPr="009C665E" w:rsidRDefault="009C665E" w:rsidP="009C665E">
      <w:pPr>
        <w:pStyle w:val="ParaNoNdepar-AltN"/>
        <w:tabs>
          <w:tab w:val="clear" w:pos="1166"/>
          <w:tab w:val="num" w:pos="1170"/>
        </w:tabs>
        <w:spacing w:before="0"/>
        <w:rPr>
          <w:rFonts w:cs="Times New Roman"/>
          <w:lang w:val="fr-CA"/>
        </w:rPr>
      </w:pPr>
      <w:r w:rsidRPr="009C665E">
        <w:rPr>
          <w:rFonts w:cs="Times New Roman"/>
          <w:lang w:val="fr-CA"/>
        </w:rPr>
        <w:t>Comme j’ai cherché à l’expliquer dans les présents motifs, après avoir appliqué le cadre d’analyse décrit précédemment à la cause de M</w:t>
      </w:r>
      <w:r w:rsidRPr="009C665E">
        <w:rPr>
          <w:rFonts w:cs="Times New Roman"/>
          <w:vertAlign w:val="superscript"/>
          <w:lang w:val="fr-CA"/>
        </w:rPr>
        <w:t>me</w:t>
      </w:r>
      <w:r w:rsidRPr="009C665E">
        <w:rPr>
          <w:rFonts w:cs="Times New Roman"/>
          <w:lang w:val="fr-CA"/>
        </w:rPr>
        <w:t> Bouvette, un acquittement est justifié dans l’intérêt de la justice. La Cour d’appel a commis une erreur en s’abstenant d’apprécier l’opportunité d’un acquittement parce qu’un procès était encore théoriquement possible. Puisque la présente cause comporte plusieurs caractéristiques procédurales et substantielles des déclarations de culpabilité injustifiées, comme je l’ai déjà mentionné, la conclusion qu’il existe une possibilité raisonnable de déclaration de culpabilité ne met pas fin à l’analyse. La cour devait ensuite évaluer quelle était la mesure corrective appropriée en examinant les facteurs pertinents, bien que je sois consciente qu’elle n’a pu tirer avantage des présents motifs.</w:t>
      </w:r>
    </w:p>
    <w:p w14:paraId="6B7C9753" w14:textId="77777777" w:rsidR="009C665E" w:rsidRPr="009C665E" w:rsidRDefault="009C665E" w:rsidP="009C665E">
      <w:pPr>
        <w:pStyle w:val="Title1LevelTitre1Niveau-AltL"/>
        <w:numPr>
          <w:ilvl w:val="0"/>
          <w:numId w:val="7"/>
        </w:numPr>
        <w:tabs>
          <w:tab w:val="clear" w:pos="3553"/>
          <w:tab w:val="num" w:pos="576"/>
        </w:tabs>
        <w:spacing w:before="0"/>
        <w:ind w:left="576"/>
        <w:rPr>
          <w:rFonts w:cs="Times New Roman"/>
          <w:lang w:val="fr-CA"/>
        </w:rPr>
      </w:pPr>
      <w:r w:rsidRPr="009C665E">
        <w:rPr>
          <w:rFonts w:cs="Times New Roman"/>
          <w:lang w:val="fr-CA"/>
        </w:rPr>
        <w:t>Dispositif</w:t>
      </w:r>
    </w:p>
    <w:p w14:paraId="25C648A9" w14:textId="77777777" w:rsidR="009C665E" w:rsidRPr="009C665E" w:rsidRDefault="009C665E" w:rsidP="009C665E">
      <w:pPr>
        <w:pStyle w:val="ParaNoNdepar-AltN"/>
        <w:tabs>
          <w:tab w:val="clear" w:pos="1166"/>
          <w:tab w:val="num" w:pos="1152"/>
        </w:tabs>
        <w:spacing w:before="0"/>
        <w:rPr>
          <w:rFonts w:cs="Times New Roman"/>
          <w:lang w:val="fr-CA"/>
        </w:rPr>
      </w:pPr>
      <w:r w:rsidRPr="009C665E">
        <w:rPr>
          <w:rFonts w:cs="Times New Roman"/>
          <w:lang w:val="fr-CA"/>
        </w:rPr>
        <w:lastRenderedPageBreak/>
        <w:t>Je suis d’avis d’accueillir le pourvoi, d’annuler l’arrêt des procédures et d’inscrire un acquittement.</w:t>
      </w:r>
    </w:p>
    <w:p w14:paraId="256FCDC8" w14:textId="04E35DCC" w:rsidR="004D7D95" w:rsidRPr="009C665E" w:rsidRDefault="004D7D95" w:rsidP="002002B3">
      <w:pPr>
        <w:pStyle w:val="SCCNormalDoubleSpacing"/>
        <w:spacing w:after="480"/>
        <w:rPr>
          <w:lang w:val="fr-CA"/>
        </w:rPr>
      </w:pPr>
      <w:r w:rsidRPr="009C665E">
        <w:rPr>
          <w:lang w:val="fr-CA"/>
        </w:rPr>
        <w:tab/>
      </w:r>
      <w:r w:rsidR="0076162E" w:rsidRPr="009C665E">
        <w:rPr>
          <w:i/>
          <w:lang w:val="fr-CA"/>
        </w:rPr>
        <w:t>Pourvoi</w:t>
      </w:r>
      <w:r w:rsidR="007265C6" w:rsidRPr="009C665E">
        <w:rPr>
          <w:i/>
          <w:lang w:val="fr-CA"/>
        </w:rPr>
        <w:t xml:space="preserve"> accueilli.</w:t>
      </w:r>
    </w:p>
    <w:p w14:paraId="34EA309B" w14:textId="77777777" w:rsidR="003A63C0" w:rsidRPr="009C665E" w:rsidRDefault="002B617C" w:rsidP="002002B3">
      <w:pPr>
        <w:pStyle w:val="SCCLawFirm"/>
        <w:spacing w:after="480"/>
        <w:rPr>
          <w:lang w:val="fr-CA"/>
        </w:rPr>
      </w:pPr>
      <w:r w:rsidRPr="009C665E">
        <w:rPr>
          <w:lang w:val="fr-CA"/>
        </w:rPr>
        <w:tab/>
        <w:t>Procureurs</w:t>
      </w:r>
      <w:r w:rsidR="00027DF6" w:rsidRPr="009C665E">
        <w:rPr>
          <w:lang w:val="fr-CA"/>
        </w:rPr>
        <w:t xml:space="preserve"> de l</w:t>
      </w:r>
      <w:r w:rsidR="000C5AF4" w:rsidRPr="009C665E">
        <w:rPr>
          <w:lang w:val="fr-CA"/>
        </w:rPr>
        <w:t>’</w:t>
      </w:r>
      <w:r w:rsidRPr="009C665E">
        <w:rPr>
          <w:lang w:val="fr-CA"/>
        </w:rPr>
        <w:t>appelante </w:t>
      </w:r>
      <w:r w:rsidR="00027DF6" w:rsidRPr="009C665E">
        <w:rPr>
          <w:lang w:val="fr-CA"/>
        </w:rPr>
        <w:t xml:space="preserve">: </w:t>
      </w:r>
      <w:r w:rsidRPr="009C665E">
        <w:rPr>
          <w:lang w:val="fr-CA"/>
        </w:rPr>
        <w:t>Michael Klein Law, Vancouver; Myers, Karp, Patey, Neurauter, Vancouver</w:t>
      </w:r>
      <w:r w:rsidR="00027DF6" w:rsidRPr="009C665E">
        <w:rPr>
          <w:lang w:val="fr-CA"/>
        </w:rPr>
        <w:t>.</w:t>
      </w:r>
    </w:p>
    <w:p w14:paraId="120B47C6" w14:textId="77777777" w:rsidR="003A63C0" w:rsidRPr="009C665E" w:rsidRDefault="003150F0" w:rsidP="002002B3">
      <w:pPr>
        <w:pStyle w:val="SCCLawFirm"/>
        <w:spacing w:after="480"/>
        <w:rPr>
          <w:lang w:val="fr-CA"/>
        </w:rPr>
      </w:pPr>
      <w:r w:rsidRPr="009C665E">
        <w:rPr>
          <w:lang w:val="fr-CA"/>
        </w:rPr>
        <w:tab/>
        <w:t>Procureurs</w:t>
      </w:r>
      <w:r w:rsidR="00027DF6" w:rsidRPr="009C665E">
        <w:rPr>
          <w:lang w:val="fr-CA"/>
        </w:rPr>
        <w:t xml:space="preserve"> de l</w:t>
      </w:r>
      <w:r w:rsidR="000C5AF4" w:rsidRPr="009C665E">
        <w:rPr>
          <w:lang w:val="fr-CA"/>
        </w:rPr>
        <w:t>’</w:t>
      </w:r>
      <w:r w:rsidRPr="009C665E">
        <w:rPr>
          <w:lang w:val="fr-CA"/>
        </w:rPr>
        <w:t>intimé</w:t>
      </w:r>
      <w:r w:rsidR="002B617C" w:rsidRPr="009C665E">
        <w:rPr>
          <w:lang w:val="fr-CA"/>
        </w:rPr>
        <w:t> </w:t>
      </w:r>
      <w:r w:rsidR="00027DF6" w:rsidRPr="009C665E">
        <w:rPr>
          <w:lang w:val="fr-CA"/>
        </w:rPr>
        <w:t xml:space="preserve">: </w:t>
      </w:r>
      <w:r w:rsidRPr="009C665E">
        <w:rPr>
          <w:lang w:val="fr-CA"/>
        </w:rPr>
        <w:t>Ritchie Sandford McGowan</w:t>
      </w:r>
      <w:r w:rsidR="00027DF6" w:rsidRPr="009C665E">
        <w:rPr>
          <w:lang w:val="fr-CA"/>
        </w:rPr>
        <w:t>, Vancouver.</w:t>
      </w:r>
    </w:p>
    <w:p w14:paraId="3DE306CB" w14:textId="2B9C2148" w:rsidR="003A63C0" w:rsidRPr="009C665E" w:rsidRDefault="003150F0" w:rsidP="002002B3">
      <w:pPr>
        <w:pStyle w:val="SCCLawFirm"/>
        <w:spacing w:after="480"/>
        <w:rPr>
          <w:lang w:val="fr-CA"/>
        </w:rPr>
      </w:pPr>
      <w:r w:rsidRPr="009C665E">
        <w:rPr>
          <w:lang w:val="fr-CA"/>
        </w:rPr>
        <w:tab/>
        <w:t>Procureur</w:t>
      </w:r>
      <w:r w:rsidR="00027DF6" w:rsidRPr="009C665E">
        <w:rPr>
          <w:lang w:val="fr-CA"/>
        </w:rPr>
        <w:t xml:space="preserve"> de l</w:t>
      </w:r>
      <w:r w:rsidR="000C5AF4" w:rsidRPr="009C665E">
        <w:rPr>
          <w:lang w:val="fr-CA"/>
        </w:rPr>
        <w:t>’</w:t>
      </w:r>
      <w:r w:rsidRPr="009C665E">
        <w:rPr>
          <w:lang w:val="fr-CA"/>
        </w:rPr>
        <w:t>intervenant le p</w:t>
      </w:r>
      <w:r w:rsidR="00027DF6" w:rsidRPr="009C665E">
        <w:rPr>
          <w:lang w:val="fr-CA"/>
        </w:rPr>
        <w:t>rocureur général de l</w:t>
      </w:r>
      <w:r w:rsidR="000C5AF4" w:rsidRPr="009C665E">
        <w:rPr>
          <w:lang w:val="fr-CA"/>
        </w:rPr>
        <w:t>’</w:t>
      </w:r>
      <w:r w:rsidR="002B617C" w:rsidRPr="009C665E">
        <w:rPr>
          <w:lang w:val="fr-CA"/>
        </w:rPr>
        <w:t>Ontario </w:t>
      </w:r>
      <w:r w:rsidR="00027DF6" w:rsidRPr="009C665E">
        <w:rPr>
          <w:lang w:val="fr-CA"/>
        </w:rPr>
        <w:t xml:space="preserve">: </w:t>
      </w:r>
      <w:r w:rsidRPr="009C665E">
        <w:rPr>
          <w:iCs/>
          <w:color w:val="000000"/>
          <w:lang w:val="fr-CA"/>
        </w:rPr>
        <w:t>Procureur général de l’Ontario</w:t>
      </w:r>
      <w:r w:rsidR="007B262C" w:rsidRPr="009C665E">
        <w:rPr>
          <w:lang w:val="fr-CA"/>
        </w:rPr>
        <w:t xml:space="preserve"> </w:t>
      </w:r>
      <w:r w:rsidRPr="009C665E">
        <w:rPr>
          <w:lang w:val="fr-CA"/>
        </w:rPr>
        <w:t>—</w:t>
      </w:r>
      <w:r w:rsidR="007B262C" w:rsidRPr="009C665E">
        <w:rPr>
          <w:lang w:val="fr-CA"/>
        </w:rPr>
        <w:t xml:space="preserve"> </w:t>
      </w:r>
      <w:r w:rsidRPr="009C665E">
        <w:rPr>
          <w:iCs/>
          <w:color w:val="000000"/>
          <w:lang w:val="fr-CA"/>
        </w:rPr>
        <w:t>Bureau des avocats de la Couronne, Droit criminel, Toronto</w:t>
      </w:r>
      <w:r w:rsidR="00027DF6" w:rsidRPr="009C665E">
        <w:rPr>
          <w:lang w:val="fr-CA"/>
        </w:rPr>
        <w:t>.</w:t>
      </w:r>
    </w:p>
    <w:p w14:paraId="13EC45FA" w14:textId="77777777" w:rsidR="003A63C0" w:rsidRPr="009C665E" w:rsidRDefault="00CF7F42" w:rsidP="002002B3">
      <w:pPr>
        <w:pStyle w:val="SCCLawFirm"/>
        <w:spacing w:after="480"/>
        <w:rPr>
          <w:lang w:val="fr-CA"/>
        </w:rPr>
      </w:pPr>
      <w:r w:rsidRPr="009C665E">
        <w:rPr>
          <w:lang w:val="fr-CA"/>
        </w:rPr>
        <w:tab/>
        <w:t>Procureurs</w:t>
      </w:r>
      <w:r w:rsidR="00027DF6" w:rsidRPr="009C665E">
        <w:rPr>
          <w:lang w:val="fr-CA"/>
        </w:rPr>
        <w:t xml:space="preserve"> de l</w:t>
      </w:r>
      <w:r w:rsidR="000C5AF4" w:rsidRPr="009C665E">
        <w:rPr>
          <w:lang w:val="fr-CA"/>
        </w:rPr>
        <w:t>’</w:t>
      </w:r>
      <w:r w:rsidRPr="009C665E">
        <w:rPr>
          <w:lang w:val="fr-CA"/>
        </w:rPr>
        <w:t>intervenante</w:t>
      </w:r>
      <w:r w:rsidR="00027DF6" w:rsidRPr="009C665E">
        <w:rPr>
          <w:lang w:val="fr-CA"/>
        </w:rPr>
        <w:t xml:space="preserve"> </w:t>
      </w:r>
      <w:r w:rsidRPr="009C665E">
        <w:rPr>
          <w:lang w:val="fr-CA"/>
        </w:rPr>
        <w:t>l’</w:t>
      </w:r>
      <w:r w:rsidR="00027DF6" w:rsidRPr="009C665E">
        <w:rPr>
          <w:lang w:val="fr-CA"/>
        </w:rPr>
        <w:t xml:space="preserve">Association </w:t>
      </w:r>
      <w:r w:rsidR="002B617C" w:rsidRPr="009C665E">
        <w:rPr>
          <w:lang w:val="fr-CA"/>
        </w:rPr>
        <w:t>canadienne des libertés civiles </w:t>
      </w:r>
      <w:r w:rsidR="00027DF6" w:rsidRPr="009C665E">
        <w:rPr>
          <w:lang w:val="fr-CA"/>
        </w:rPr>
        <w:t>:</w:t>
      </w:r>
      <w:r w:rsidRPr="009C665E">
        <w:rPr>
          <w:lang w:val="fr-CA"/>
        </w:rPr>
        <w:t xml:space="preserve"> Henein Hutchison Robitaille</w:t>
      </w:r>
      <w:r w:rsidR="00027DF6" w:rsidRPr="009C665E">
        <w:rPr>
          <w:lang w:val="fr-CA"/>
        </w:rPr>
        <w:t>, Toronto.</w:t>
      </w:r>
    </w:p>
    <w:p w14:paraId="7D2EA235" w14:textId="77777777" w:rsidR="003A63C0" w:rsidRPr="009C665E" w:rsidRDefault="00C61513" w:rsidP="002002B3">
      <w:pPr>
        <w:pStyle w:val="SCCLawFirm"/>
        <w:spacing w:after="480"/>
        <w:rPr>
          <w:lang w:val="fr-CA"/>
        </w:rPr>
      </w:pPr>
      <w:r w:rsidRPr="009C665E">
        <w:rPr>
          <w:lang w:val="fr-CA"/>
        </w:rPr>
        <w:tab/>
        <w:t>Procureurs</w:t>
      </w:r>
      <w:r w:rsidR="00027DF6" w:rsidRPr="009C665E">
        <w:rPr>
          <w:lang w:val="fr-CA"/>
        </w:rPr>
        <w:t xml:space="preserve"> de l</w:t>
      </w:r>
      <w:r w:rsidR="000C5AF4" w:rsidRPr="009C665E">
        <w:rPr>
          <w:lang w:val="fr-CA"/>
        </w:rPr>
        <w:t>’</w:t>
      </w:r>
      <w:r w:rsidRPr="009C665E">
        <w:rPr>
          <w:lang w:val="fr-CA"/>
        </w:rPr>
        <w:t>intervenante</w:t>
      </w:r>
      <w:r w:rsidR="00027DF6" w:rsidRPr="009C665E">
        <w:rPr>
          <w:lang w:val="fr-CA"/>
        </w:rPr>
        <w:t xml:space="preserve"> Innocence </w:t>
      </w:r>
      <w:r w:rsidR="002B617C" w:rsidRPr="009C665E">
        <w:rPr>
          <w:lang w:val="fr-CA"/>
        </w:rPr>
        <w:t>Canada </w:t>
      </w:r>
      <w:r w:rsidR="00027DF6" w:rsidRPr="009C665E">
        <w:rPr>
          <w:lang w:val="fr-CA"/>
        </w:rPr>
        <w:t xml:space="preserve">: </w:t>
      </w:r>
      <w:r w:rsidRPr="009C665E">
        <w:rPr>
          <w:lang w:val="fr-CA"/>
        </w:rPr>
        <w:t>Lockyer Zaduk Zeeh, Toronto; Innocence Canada, Toronto.</w:t>
      </w:r>
    </w:p>
    <w:p w14:paraId="2443C768" w14:textId="77777777" w:rsidR="009B57B3" w:rsidRPr="008473DA" w:rsidRDefault="00027DF6" w:rsidP="002002B3">
      <w:pPr>
        <w:pStyle w:val="SCCLawFirm"/>
        <w:spacing w:after="480"/>
        <w:rPr>
          <w:lang w:val="fr-CA"/>
        </w:rPr>
      </w:pPr>
      <w:r w:rsidRPr="009C665E">
        <w:rPr>
          <w:lang w:val="fr-CA"/>
        </w:rPr>
        <w:tab/>
      </w:r>
      <w:r w:rsidR="008473DA" w:rsidRPr="009C665E">
        <w:rPr>
          <w:lang w:val="fr-CA"/>
        </w:rPr>
        <w:t>Procureurs</w:t>
      </w:r>
      <w:r w:rsidRPr="009C665E">
        <w:rPr>
          <w:lang w:val="fr-CA"/>
        </w:rPr>
        <w:t xml:space="preserve"> de l</w:t>
      </w:r>
      <w:r w:rsidR="000C5AF4" w:rsidRPr="009C665E">
        <w:rPr>
          <w:lang w:val="fr-CA"/>
        </w:rPr>
        <w:t>’</w:t>
      </w:r>
      <w:r w:rsidR="008473DA" w:rsidRPr="009C665E">
        <w:rPr>
          <w:lang w:val="fr-CA"/>
        </w:rPr>
        <w:t>intervenante</w:t>
      </w:r>
      <w:r w:rsidRPr="009C665E">
        <w:rPr>
          <w:lang w:val="fr-CA"/>
        </w:rPr>
        <w:t xml:space="preserve"> Independent Cr</w:t>
      </w:r>
      <w:r w:rsidR="008473DA" w:rsidRPr="009C665E">
        <w:rPr>
          <w:lang w:val="fr-CA"/>
        </w:rPr>
        <w:t>iminal Defence Advocacy Society </w:t>
      </w:r>
      <w:r w:rsidRPr="009C665E">
        <w:rPr>
          <w:lang w:val="fr-CA"/>
        </w:rPr>
        <w:t xml:space="preserve">: </w:t>
      </w:r>
      <w:r w:rsidR="008473DA" w:rsidRPr="009C665E">
        <w:rPr>
          <w:lang w:val="fr-CA"/>
        </w:rPr>
        <w:t>Pringle Law, Vancouver; Gregory P. Delbigio Professional Corporation, Vancouver; UBC Innocence Project, Vancouver.</w:t>
      </w:r>
    </w:p>
    <w:sectPr w:rsidR="009B57B3" w:rsidRPr="008473DA" w:rsidSect="00990E37">
      <w:headerReference w:type="default" r:id="rId11"/>
      <w:pgSz w:w="12240" w:h="15840"/>
      <w:pgMar w:top="1267" w:right="2160" w:bottom="720" w:left="1800" w:header="180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A2FB" w14:textId="77777777" w:rsidR="00997BD9" w:rsidRDefault="00997BD9">
      <w:r>
        <w:separator/>
      </w:r>
    </w:p>
  </w:endnote>
  <w:endnote w:type="continuationSeparator" w:id="0">
    <w:p w14:paraId="768A3567" w14:textId="77777777" w:rsidR="00997BD9" w:rsidRDefault="0099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C852" w14:textId="77777777" w:rsidR="00997BD9" w:rsidRDefault="00997BD9">
      <w:r>
        <w:separator/>
      </w:r>
    </w:p>
  </w:footnote>
  <w:footnote w:type="continuationSeparator" w:id="0">
    <w:p w14:paraId="1509423C" w14:textId="77777777" w:rsidR="00997BD9" w:rsidRDefault="0099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2055"/>
      <w:docPartObj>
        <w:docPartGallery w:val="Page Numbers (Top of Page)"/>
        <w:docPartUnique/>
      </w:docPartObj>
    </w:sdtPr>
    <w:sdtContent>
      <w:p w14:paraId="334248AD" w14:textId="5D9125EB" w:rsidR="00990E37" w:rsidRDefault="00990E37">
        <w:pPr>
          <w:pStyle w:val="En-tte"/>
          <w:jc w:val="center"/>
        </w:pPr>
        <w:r>
          <w:fldChar w:fldCharType="begin"/>
        </w:r>
        <w:r>
          <w:instrText>PAGE   \* MERGEFORMAT</w:instrText>
        </w:r>
        <w:r>
          <w:fldChar w:fldCharType="separate"/>
        </w:r>
        <w:r>
          <w:rPr>
            <w:lang w:val="fr-CA"/>
          </w:rPr>
          <w:t>2</w:t>
        </w:r>
        <w:r>
          <w:fldChar w:fldCharType="end"/>
        </w:r>
      </w:p>
    </w:sdtContent>
  </w:sdt>
  <w:p w14:paraId="11AE6FD8" w14:textId="77777777" w:rsidR="00450352" w:rsidRPr="00450352" w:rsidRDefault="00450352" w:rsidP="004503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42DA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01C5B"/>
    <w:multiLevelType w:val="hybridMultilevel"/>
    <w:tmpl w:val="5A84D5CE"/>
    <w:lvl w:ilvl="0" w:tplc="C3CE2AA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FE0B3F"/>
    <w:multiLevelType w:val="hybridMultilevel"/>
    <w:tmpl w:val="57CA346C"/>
    <w:lvl w:ilvl="0" w:tplc="6840CE9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D705E4"/>
    <w:multiLevelType w:val="hybridMultilevel"/>
    <w:tmpl w:val="3714453C"/>
    <w:lvl w:ilvl="0" w:tplc="732CC208">
      <w:start w:val="1"/>
      <w:numFmt w:val="lowerRoman"/>
      <w:lvlText w:val="(%1)"/>
      <w:lvlJc w:val="left"/>
      <w:pPr>
        <w:ind w:left="720" w:hanging="360"/>
      </w:pPr>
      <w:rPr>
        <w:rFonts w:ascii="Times New Roman" w:hAnsi="Times New Roman" w:hint="default"/>
        <w:b w:val="0"/>
        <w:i w:val="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6542AF4"/>
    <w:multiLevelType w:val="hybridMultilevel"/>
    <w:tmpl w:val="CD362BC0"/>
    <w:lvl w:ilvl="0" w:tplc="29EA54E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CB2447"/>
    <w:multiLevelType w:val="hybridMultilevel"/>
    <w:tmpl w:val="E0023394"/>
    <w:lvl w:ilvl="0" w:tplc="02C23CD4">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8" w15:restartNumberingAfterBreak="0">
    <w:nsid w:val="2E5A6B66"/>
    <w:multiLevelType w:val="hybridMultilevel"/>
    <w:tmpl w:val="DB92FF4A"/>
    <w:lvl w:ilvl="0" w:tplc="0409000F">
      <w:start w:val="1"/>
      <w:numFmt w:val="decimal"/>
      <w:lvlText w:val="%1."/>
      <w:lvlJc w:val="left"/>
      <w:pPr>
        <w:ind w:left="2198" w:hanging="360"/>
      </w:pPr>
    </w:lvl>
    <w:lvl w:ilvl="1" w:tplc="0C0C0019" w:tentative="1">
      <w:start w:val="1"/>
      <w:numFmt w:val="lowerLetter"/>
      <w:lvlText w:val="%2."/>
      <w:lvlJc w:val="left"/>
      <w:pPr>
        <w:ind w:left="2918" w:hanging="360"/>
      </w:pPr>
    </w:lvl>
    <w:lvl w:ilvl="2" w:tplc="0C0C001B" w:tentative="1">
      <w:start w:val="1"/>
      <w:numFmt w:val="lowerRoman"/>
      <w:lvlText w:val="%3."/>
      <w:lvlJc w:val="right"/>
      <w:pPr>
        <w:ind w:left="3638" w:hanging="180"/>
      </w:pPr>
    </w:lvl>
    <w:lvl w:ilvl="3" w:tplc="0C0C000F" w:tentative="1">
      <w:start w:val="1"/>
      <w:numFmt w:val="decimal"/>
      <w:lvlText w:val="%4."/>
      <w:lvlJc w:val="left"/>
      <w:pPr>
        <w:ind w:left="4358" w:hanging="360"/>
      </w:pPr>
    </w:lvl>
    <w:lvl w:ilvl="4" w:tplc="0C0C0019" w:tentative="1">
      <w:start w:val="1"/>
      <w:numFmt w:val="lowerLetter"/>
      <w:lvlText w:val="%5."/>
      <w:lvlJc w:val="left"/>
      <w:pPr>
        <w:ind w:left="5078" w:hanging="360"/>
      </w:pPr>
    </w:lvl>
    <w:lvl w:ilvl="5" w:tplc="0C0C001B" w:tentative="1">
      <w:start w:val="1"/>
      <w:numFmt w:val="lowerRoman"/>
      <w:lvlText w:val="%6."/>
      <w:lvlJc w:val="right"/>
      <w:pPr>
        <w:ind w:left="5798" w:hanging="180"/>
      </w:pPr>
    </w:lvl>
    <w:lvl w:ilvl="6" w:tplc="0C0C000F" w:tentative="1">
      <w:start w:val="1"/>
      <w:numFmt w:val="decimal"/>
      <w:lvlText w:val="%7."/>
      <w:lvlJc w:val="left"/>
      <w:pPr>
        <w:ind w:left="6518" w:hanging="360"/>
      </w:pPr>
    </w:lvl>
    <w:lvl w:ilvl="7" w:tplc="0C0C0019" w:tentative="1">
      <w:start w:val="1"/>
      <w:numFmt w:val="lowerLetter"/>
      <w:lvlText w:val="%8."/>
      <w:lvlJc w:val="left"/>
      <w:pPr>
        <w:ind w:left="7238" w:hanging="360"/>
      </w:pPr>
    </w:lvl>
    <w:lvl w:ilvl="8" w:tplc="0C0C001B" w:tentative="1">
      <w:start w:val="1"/>
      <w:numFmt w:val="lowerRoman"/>
      <w:lvlText w:val="%9."/>
      <w:lvlJc w:val="right"/>
      <w:pPr>
        <w:ind w:left="7958" w:hanging="180"/>
      </w:pPr>
    </w:lvl>
  </w:abstractNum>
  <w:abstractNum w:abstractNumId="9" w15:restartNumberingAfterBreak="0">
    <w:nsid w:val="32F4033A"/>
    <w:multiLevelType w:val="hybridMultilevel"/>
    <w:tmpl w:val="913C3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C7937"/>
    <w:multiLevelType w:val="hybridMultilevel"/>
    <w:tmpl w:val="D890BF72"/>
    <w:lvl w:ilvl="0" w:tplc="48DECA6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5D440D5"/>
    <w:multiLevelType w:val="hybridMultilevel"/>
    <w:tmpl w:val="FFF4E4DA"/>
    <w:lvl w:ilvl="0" w:tplc="732CC208">
      <w:start w:val="1"/>
      <w:numFmt w:val="lowerRoman"/>
      <w:lvlText w:val="(%1)"/>
      <w:lvlJc w:val="left"/>
      <w:pPr>
        <w:ind w:left="720" w:hanging="360"/>
      </w:pPr>
      <w:rPr>
        <w:rFonts w:ascii="Times New Roman" w:hAnsi="Times New Roman" w:hint="default"/>
        <w:b w:val="0"/>
        <w:i w:val="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DC0321B"/>
    <w:multiLevelType w:val="hybridMultilevel"/>
    <w:tmpl w:val="EE188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6C275A"/>
    <w:multiLevelType w:val="hybridMultilevel"/>
    <w:tmpl w:val="DB48D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DB5AB7"/>
    <w:multiLevelType w:val="hybridMultilevel"/>
    <w:tmpl w:val="008C402E"/>
    <w:lvl w:ilvl="0" w:tplc="D46A6FC2">
      <w:start w:val="1"/>
      <w:numFmt w:val="decimal"/>
      <w:lvlText w:val="(%1)"/>
      <w:lvlJc w:val="left"/>
      <w:pPr>
        <w:ind w:left="1152" w:hanging="432"/>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4603130A"/>
    <w:multiLevelType w:val="multilevel"/>
    <w:tmpl w:val="5B9244DE"/>
    <w:lvl w:ilvl="0">
      <w:start w:val="1"/>
      <w:numFmt w:val="upperRoman"/>
      <w:lvlText w:val="%1."/>
      <w:lvlJc w:val="left"/>
      <w:pPr>
        <w:tabs>
          <w:tab w:val="num" w:pos="3553"/>
        </w:tabs>
        <w:ind w:left="3553" w:hanging="576"/>
      </w:pPr>
      <w:rPr>
        <w:rFonts w:hint="default"/>
        <w:sz w:val="24"/>
      </w:rPr>
    </w:lvl>
    <w:lvl w:ilvl="1">
      <w:start w:val="1"/>
      <w:numFmt w:val="upperLetter"/>
      <w:lvlText w:val="%2."/>
      <w:lvlJc w:val="left"/>
      <w:pPr>
        <w:tabs>
          <w:tab w:val="num" w:pos="576"/>
        </w:tabs>
        <w:ind w:left="576" w:hanging="576"/>
      </w:pPr>
      <w:rPr>
        <w:rFonts w:ascii="Times New Roman" w:hAnsi="Times New Roman" w:hint="default"/>
        <w:b w:val="0"/>
        <w:i w:val="0"/>
        <w:sz w:val="24"/>
      </w:rPr>
    </w:lvl>
    <w:lvl w:ilvl="2">
      <w:start w:val="1"/>
      <w:numFmt w:val="decimal"/>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152"/>
        </w:tabs>
        <w:ind w:left="1152" w:hanging="576"/>
      </w:pPr>
      <w:rPr>
        <w:rFonts w:hint="default"/>
        <w:b w:val="0"/>
        <w:i w:val="0"/>
      </w:rPr>
    </w:lvl>
    <w:lvl w:ilvl="4">
      <w:start w:val="1"/>
      <w:numFmt w:val="lowerRoman"/>
      <w:lvlText w:val="(%5)"/>
      <w:lvlJc w:val="left"/>
      <w:pPr>
        <w:tabs>
          <w:tab w:val="num" w:pos="1728"/>
        </w:tabs>
        <w:ind w:left="1728" w:hanging="576"/>
      </w:pPr>
      <w:rPr>
        <w:rFonts w:hint="default"/>
      </w:rPr>
    </w:lvl>
    <w:lvl w:ilvl="5">
      <w:start w:val="1"/>
      <w:numFmt w:val="decimal"/>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6"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17"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2DE553A"/>
    <w:multiLevelType w:val="hybridMultilevel"/>
    <w:tmpl w:val="056C73A6"/>
    <w:lvl w:ilvl="0" w:tplc="ED906A06">
      <w:start w:val="1"/>
      <w:numFmt w:val="lowerRoman"/>
      <w:lvlText w:val="(%1)"/>
      <w:lvlJc w:val="left"/>
      <w:pPr>
        <w:ind w:left="720" w:hanging="360"/>
      </w:pPr>
      <w:rPr>
        <w:rFonts w:ascii="Times New Roman" w:hAnsi="Times New Roman" w:hint="default"/>
        <w:b w:val="0"/>
        <w:i w:val="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4283EE8"/>
    <w:multiLevelType w:val="multilevel"/>
    <w:tmpl w:val="DA32546C"/>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70729F"/>
    <w:multiLevelType w:val="hybridMultilevel"/>
    <w:tmpl w:val="03843944"/>
    <w:lvl w:ilvl="0" w:tplc="732CC208">
      <w:start w:val="1"/>
      <w:numFmt w:val="lowerRoman"/>
      <w:lvlText w:val="(%1)"/>
      <w:lvlJc w:val="left"/>
      <w:pPr>
        <w:ind w:left="720" w:hanging="360"/>
      </w:pPr>
      <w:rPr>
        <w:rFonts w:ascii="Times New Roman" w:hAnsi="Times New Roman" w:hint="default"/>
        <w:b w:val="0"/>
        <w:i w:val="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98053F9"/>
    <w:multiLevelType w:val="hybridMultilevel"/>
    <w:tmpl w:val="5AAA85B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9AB2BF9"/>
    <w:multiLevelType w:val="hybridMultilevel"/>
    <w:tmpl w:val="3C54F444"/>
    <w:lvl w:ilvl="0" w:tplc="10090011">
      <w:start w:val="1"/>
      <w:numFmt w:val="decimal"/>
      <w:lvlText w:val="%1)"/>
      <w:lvlJc w:val="left"/>
      <w:pPr>
        <w:ind w:left="1886" w:hanging="360"/>
      </w:pPr>
    </w:lvl>
    <w:lvl w:ilvl="1" w:tplc="10090019" w:tentative="1">
      <w:start w:val="1"/>
      <w:numFmt w:val="lowerLetter"/>
      <w:lvlText w:val="%2."/>
      <w:lvlJc w:val="left"/>
      <w:pPr>
        <w:ind w:left="2606" w:hanging="360"/>
      </w:pPr>
    </w:lvl>
    <w:lvl w:ilvl="2" w:tplc="1009001B" w:tentative="1">
      <w:start w:val="1"/>
      <w:numFmt w:val="lowerRoman"/>
      <w:lvlText w:val="%3."/>
      <w:lvlJc w:val="right"/>
      <w:pPr>
        <w:ind w:left="3326" w:hanging="180"/>
      </w:pPr>
    </w:lvl>
    <w:lvl w:ilvl="3" w:tplc="1009000F" w:tentative="1">
      <w:start w:val="1"/>
      <w:numFmt w:val="decimal"/>
      <w:lvlText w:val="%4."/>
      <w:lvlJc w:val="left"/>
      <w:pPr>
        <w:ind w:left="4046" w:hanging="360"/>
      </w:pPr>
    </w:lvl>
    <w:lvl w:ilvl="4" w:tplc="10090019" w:tentative="1">
      <w:start w:val="1"/>
      <w:numFmt w:val="lowerLetter"/>
      <w:lvlText w:val="%5."/>
      <w:lvlJc w:val="left"/>
      <w:pPr>
        <w:ind w:left="4766" w:hanging="360"/>
      </w:pPr>
    </w:lvl>
    <w:lvl w:ilvl="5" w:tplc="1009001B" w:tentative="1">
      <w:start w:val="1"/>
      <w:numFmt w:val="lowerRoman"/>
      <w:lvlText w:val="%6."/>
      <w:lvlJc w:val="right"/>
      <w:pPr>
        <w:ind w:left="5486" w:hanging="180"/>
      </w:pPr>
    </w:lvl>
    <w:lvl w:ilvl="6" w:tplc="1009000F" w:tentative="1">
      <w:start w:val="1"/>
      <w:numFmt w:val="decimal"/>
      <w:lvlText w:val="%7."/>
      <w:lvlJc w:val="left"/>
      <w:pPr>
        <w:ind w:left="6206" w:hanging="360"/>
      </w:pPr>
    </w:lvl>
    <w:lvl w:ilvl="7" w:tplc="10090019" w:tentative="1">
      <w:start w:val="1"/>
      <w:numFmt w:val="lowerLetter"/>
      <w:lvlText w:val="%8."/>
      <w:lvlJc w:val="left"/>
      <w:pPr>
        <w:ind w:left="6926" w:hanging="360"/>
      </w:pPr>
    </w:lvl>
    <w:lvl w:ilvl="8" w:tplc="1009001B" w:tentative="1">
      <w:start w:val="1"/>
      <w:numFmt w:val="lowerRoman"/>
      <w:lvlText w:val="%9."/>
      <w:lvlJc w:val="right"/>
      <w:pPr>
        <w:ind w:left="7646" w:hanging="180"/>
      </w:pPr>
    </w:lvl>
  </w:abstractNum>
  <w:abstractNum w:abstractNumId="23"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D285D29"/>
    <w:multiLevelType w:val="multilevel"/>
    <w:tmpl w:val="928EF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14673">
    <w:abstractNumId w:val="23"/>
  </w:num>
  <w:num w:numId="2" w16cid:durableId="1826123620">
    <w:abstractNumId w:val="4"/>
  </w:num>
  <w:num w:numId="3" w16cid:durableId="1144547205">
    <w:abstractNumId w:val="2"/>
  </w:num>
  <w:num w:numId="4" w16cid:durableId="1035039035">
    <w:abstractNumId w:val="16"/>
  </w:num>
  <w:num w:numId="5" w16cid:durableId="1711687005">
    <w:abstractNumId w:val="17"/>
  </w:num>
  <w:num w:numId="6" w16cid:durableId="1448502738">
    <w:abstractNumId w:val="19"/>
  </w:num>
  <w:num w:numId="7" w16cid:durableId="165443324">
    <w:abstractNumId w:val="15"/>
  </w:num>
  <w:num w:numId="8" w16cid:durableId="415832070">
    <w:abstractNumId w:val="15"/>
    <w:lvlOverride w:ilvl="0">
      <w:lvl w:ilvl="0">
        <w:start w:val="1"/>
        <w:numFmt w:val="upperRoman"/>
        <w:lvlText w:val="%1."/>
        <w:lvlJc w:val="left"/>
        <w:pPr>
          <w:tabs>
            <w:tab w:val="num" w:pos="576"/>
          </w:tabs>
          <w:ind w:left="576" w:hanging="576"/>
        </w:pPr>
        <w:rPr>
          <w:rFonts w:hint="default"/>
          <w:sz w:val="24"/>
        </w:rPr>
      </w:lvl>
    </w:lvlOverride>
    <w:lvlOverride w:ilvl="1">
      <w:lvl w:ilvl="1">
        <w:start w:val="1"/>
        <w:numFmt w:val="upperLetter"/>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lvlText w:val="(%4)"/>
        <w:lvlJc w:val="left"/>
        <w:pPr>
          <w:tabs>
            <w:tab w:val="num" w:pos="1152"/>
          </w:tabs>
          <w:ind w:left="1152" w:hanging="576"/>
        </w:pPr>
        <w:rPr>
          <w:rFonts w:hint="default"/>
          <w:b w:val="0"/>
          <w:i w:val="0"/>
        </w:rPr>
      </w:lvl>
    </w:lvlOverride>
    <w:lvlOverride w:ilvl="4">
      <w:lvl w:ilvl="4">
        <w:start w:val="1"/>
        <w:numFmt w:val="lowerRoman"/>
        <w:lvlText w:val="(%5)"/>
        <w:lvlJc w:val="left"/>
        <w:pPr>
          <w:tabs>
            <w:tab w:val="num" w:pos="1728"/>
          </w:tabs>
          <w:ind w:left="1728" w:hanging="576"/>
        </w:pPr>
        <w:rPr>
          <w:rFonts w:hint="default"/>
        </w:rPr>
      </w:lvl>
    </w:lvlOverride>
    <w:lvlOverride w:ilvl="5">
      <w:lvl w:ilvl="5">
        <w:start w:val="1"/>
        <w:numFmt w:val="decimal"/>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16cid:durableId="96216113">
    <w:abstractNumId w:val="12"/>
  </w:num>
  <w:num w:numId="10" w16cid:durableId="1862353065">
    <w:abstractNumId w:val="15"/>
    <w:lvlOverride w:ilvl="0">
      <w:lvl w:ilvl="0">
        <w:start w:val="1"/>
        <w:numFmt w:val="upperRoman"/>
        <w:lvlText w:val="%1."/>
        <w:lvlJc w:val="left"/>
        <w:pPr>
          <w:tabs>
            <w:tab w:val="num" w:pos="576"/>
          </w:tabs>
          <w:ind w:left="576" w:hanging="576"/>
        </w:pPr>
        <w:rPr>
          <w:rFonts w:hint="default"/>
          <w:sz w:val="24"/>
        </w:rPr>
      </w:lvl>
    </w:lvlOverride>
    <w:lvlOverride w:ilvl="1">
      <w:lvl w:ilvl="1">
        <w:start w:val="1"/>
        <w:numFmt w:val="upperLetter"/>
        <w:lvlText w:val="%2."/>
        <w:lvlJc w:val="left"/>
        <w:pPr>
          <w:tabs>
            <w:tab w:val="num" w:pos="576"/>
          </w:tabs>
          <w:ind w:left="576" w:hanging="576"/>
        </w:pPr>
        <w:rPr>
          <w:rFonts w:ascii="Times New Roman" w:hAnsi="Times New Roman" w:hint="default"/>
          <w:b/>
          <w:i w:val="0"/>
          <w:sz w:val="24"/>
        </w:rPr>
      </w:lvl>
    </w:lvlOverride>
    <w:lvlOverride w:ilvl="2">
      <w:lvl w:ilvl="2">
        <w:start w:val="1"/>
        <w:numFmt w:val="decimal"/>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lvlText w:val="(%4)"/>
        <w:lvlJc w:val="left"/>
        <w:pPr>
          <w:tabs>
            <w:tab w:val="num" w:pos="1152"/>
          </w:tabs>
          <w:ind w:left="1152" w:hanging="576"/>
        </w:pPr>
        <w:rPr>
          <w:rFonts w:hint="default"/>
          <w:b w:val="0"/>
          <w:i w:val="0"/>
        </w:rPr>
      </w:lvl>
    </w:lvlOverride>
    <w:lvlOverride w:ilvl="4">
      <w:lvl w:ilvl="4">
        <w:start w:val="1"/>
        <w:numFmt w:val="lowerRoman"/>
        <w:lvlText w:val="(%5)"/>
        <w:lvlJc w:val="left"/>
        <w:pPr>
          <w:tabs>
            <w:tab w:val="num" w:pos="1728"/>
          </w:tabs>
          <w:ind w:left="1728" w:hanging="576"/>
        </w:pPr>
        <w:rPr>
          <w:rFonts w:hint="default"/>
        </w:rPr>
      </w:lvl>
    </w:lvlOverride>
    <w:lvlOverride w:ilvl="5">
      <w:lvl w:ilvl="5">
        <w:start w:val="1"/>
        <w:numFmt w:val="decimal"/>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11" w16cid:durableId="277875311">
    <w:abstractNumId w:val="13"/>
  </w:num>
  <w:num w:numId="12" w16cid:durableId="178590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47744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2663143">
    <w:abstractNumId w:val="14"/>
  </w:num>
  <w:num w:numId="15" w16cid:durableId="1055658777">
    <w:abstractNumId w:val="21"/>
  </w:num>
  <w:num w:numId="16" w16cid:durableId="871459257">
    <w:abstractNumId w:val="1"/>
  </w:num>
  <w:num w:numId="17" w16cid:durableId="1041049752">
    <w:abstractNumId w:val="3"/>
  </w:num>
  <w:num w:numId="18" w16cid:durableId="1446388638">
    <w:abstractNumId w:val="9"/>
  </w:num>
  <w:num w:numId="19" w16cid:durableId="2036272434">
    <w:abstractNumId w:val="0"/>
  </w:num>
  <w:num w:numId="20" w16cid:durableId="1778870629">
    <w:abstractNumId w:val="22"/>
  </w:num>
  <w:num w:numId="21" w16cid:durableId="1655833175">
    <w:abstractNumId w:val="7"/>
  </w:num>
  <w:num w:numId="22" w16cid:durableId="1478110757">
    <w:abstractNumId w:val="6"/>
  </w:num>
  <w:num w:numId="23" w16cid:durableId="1032925084">
    <w:abstractNumId w:val="10"/>
  </w:num>
  <w:num w:numId="24" w16cid:durableId="1125153469">
    <w:abstractNumId w:val="24"/>
  </w:num>
  <w:num w:numId="25" w16cid:durableId="1097946013">
    <w:abstractNumId w:val="8"/>
  </w:num>
  <w:num w:numId="26" w16cid:durableId="553348205">
    <w:abstractNumId w:val="18"/>
  </w:num>
  <w:num w:numId="27" w16cid:durableId="1841043880">
    <w:abstractNumId w:val="20"/>
  </w:num>
  <w:num w:numId="28" w16cid:durableId="931547097">
    <w:abstractNumId w:val="11"/>
  </w:num>
  <w:num w:numId="29" w16cid:durableId="527571601">
    <w:abstractNumId w:val="5"/>
  </w:num>
  <w:num w:numId="30" w16cid:durableId="10099128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913751">
    <w:abstractNumId w:val="19"/>
    <w:lvlOverride w:ilvl="0">
      <w:startOverride w:val="1"/>
    </w:lvlOverride>
    <w:lvlOverride w:ilvl="1">
      <w:startOverride w:val="3"/>
    </w:lvlOverride>
  </w:num>
  <w:num w:numId="32" w16cid:durableId="1872257292">
    <w:abstractNumId w:val="19"/>
    <w:lvlOverride w:ilvl="0">
      <w:startOverride w:val="1"/>
    </w:lvlOverride>
    <w:lvlOverride w:ilvl="1">
      <w:startOverride w:val="2"/>
    </w:lvlOverride>
  </w:num>
  <w:num w:numId="33" w16cid:durableId="468938517">
    <w:abstractNumId w:val="19"/>
    <w:lvlOverride w:ilvl="0">
      <w:startOverride w:val="1"/>
    </w:lvlOverride>
    <w:lvlOverride w:ilvl="1">
      <w:startOverride w:val="3"/>
    </w:lvlOverride>
  </w:num>
  <w:num w:numId="34" w16cid:durableId="378092376">
    <w:abstractNumId w:val="19"/>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4C"/>
    <w:rsid w:val="00000ED4"/>
    <w:rsid w:val="00001EFA"/>
    <w:rsid w:val="00003918"/>
    <w:rsid w:val="000113B2"/>
    <w:rsid w:val="0001291D"/>
    <w:rsid w:val="000137A1"/>
    <w:rsid w:val="000139DB"/>
    <w:rsid w:val="0001754F"/>
    <w:rsid w:val="00020EC6"/>
    <w:rsid w:val="00023FC7"/>
    <w:rsid w:val="00025198"/>
    <w:rsid w:val="0002660D"/>
    <w:rsid w:val="00027DF6"/>
    <w:rsid w:val="00032DA4"/>
    <w:rsid w:val="000412AF"/>
    <w:rsid w:val="00043DAD"/>
    <w:rsid w:val="00044AEF"/>
    <w:rsid w:val="00044B7C"/>
    <w:rsid w:val="0005036D"/>
    <w:rsid w:val="00051DFB"/>
    <w:rsid w:val="000578A3"/>
    <w:rsid w:val="000648CC"/>
    <w:rsid w:val="0006768F"/>
    <w:rsid w:val="0007371C"/>
    <w:rsid w:val="00074F2E"/>
    <w:rsid w:val="00077BE8"/>
    <w:rsid w:val="00082DA9"/>
    <w:rsid w:val="000872F1"/>
    <w:rsid w:val="000A37F1"/>
    <w:rsid w:val="000B77FE"/>
    <w:rsid w:val="000C3277"/>
    <w:rsid w:val="000C59B8"/>
    <w:rsid w:val="000C5AF4"/>
    <w:rsid w:val="000C63CE"/>
    <w:rsid w:val="000C6AF0"/>
    <w:rsid w:val="000D0A77"/>
    <w:rsid w:val="000D3704"/>
    <w:rsid w:val="000E0DF3"/>
    <w:rsid w:val="000F734F"/>
    <w:rsid w:val="000F7993"/>
    <w:rsid w:val="00104F33"/>
    <w:rsid w:val="0010744D"/>
    <w:rsid w:val="00111DE2"/>
    <w:rsid w:val="00114E47"/>
    <w:rsid w:val="00116B38"/>
    <w:rsid w:val="00120C57"/>
    <w:rsid w:val="00121974"/>
    <w:rsid w:val="0012364D"/>
    <w:rsid w:val="00127B7E"/>
    <w:rsid w:val="001325BE"/>
    <w:rsid w:val="00135406"/>
    <w:rsid w:val="00135972"/>
    <w:rsid w:val="0014130A"/>
    <w:rsid w:val="0014153F"/>
    <w:rsid w:val="00142014"/>
    <w:rsid w:val="001426A9"/>
    <w:rsid w:val="00152214"/>
    <w:rsid w:val="00154D7C"/>
    <w:rsid w:val="001570B0"/>
    <w:rsid w:val="0015752C"/>
    <w:rsid w:val="00157737"/>
    <w:rsid w:val="0016000A"/>
    <w:rsid w:val="00165277"/>
    <w:rsid w:val="00167826"/>
    <w:rsid w:val="00170592"/>
    <w:rsid w:val="001720F7"/>
    <w:rsid w:val="001722A5"/>
    <w:rsid w:val="00184053"/>
    <w:rsid w:val="00195D83"/>
    <w:rsid w:val="001A00C1"/>
    <w:rsid w:val="001A6E9F"/>
    <w:rsid w:val="001B007C"/>
    <w:rsid w:val="001B07DD"/>
    <w:rsid w:val="001B33E0"/>
    <w:rsid w:val="001B4573"/>
    <w:rsid w:val="001C7677"/>
    <w:rsid w:val="001C779F"/>
    <w:rsid w:val="001D2AC1"/>
    <w:rsid w:val="001D4E88"/>
    <w:rsid w:val="001E56BC"/>
    <w:rsid w:val="001E6518"/>
    <w:rsid w:val="001F3A06"/>
    <w:rsid w:val="001F47DF"/>
    <w:rsid w:val="002002B3"/>
    <w:rsid w:val="00207F87"/>
    <w:rsid w:val="002109E2"/>
    <w:rsid w:val="00220163"/>
    <w:rsid w:val="00220FC2"/>
    <w:rsid w:val="002222F4"/>
    <w:rsid w:val="00224FC0"/>
    <w:rsid w:val="00225EA4"/>
    <w:rsid w:val="00226E6A"/>
    <w:rsid w:val="00226EAF"/>
    <w:rsid w:val="00231F3A"/>
    <w:rsid w:val="002406EE"/>
    <w:rsid w:val="00243EC8"/>
    <w:rsid w:val="0025475A"/>
    <w:rsid w:val="00257F62"/>
    <w:rsid w:val="00263062"/>
    <w:rsid w:val="00264128"/>
    <w:rsid w:val="0027076B"/>
    <w:rsid w:val="00270D93"/>
    <w:rsid w:val="00272C94"/>
    <w:rsid w:val="002745CC"/>
    <w:rsid w:val="00280CD9"/>
    <w:rsid w:val="00280E5D"/>
    <w:rsid w:val="00285933"/>
    <w:rsid w:val="00287204"/>
    <w:rsid w:val="00292810"/>
    <w:rsid w:val="00294E0A"/>
    <w:rsid w:val="00296AAA"/>
    <w:rsid w:val="002B1453"/>
    <w:rsid w:val="002B617C"/>
    <w:rsid w:val="002B6FBE"/>
    <w:rsid w:val="002B7924"/>
    <w:rsid w:val="002B7B14"/>
    <w:rsid w:val="002C10A6"/>
    <w:rsid w:val="002C3DD2"/>
    <w:rsid w:val="002C4EC3"/>
    <w:rsid w:val="002C54B5"/>
    <w:rsid w:val="002D018F"/>
    <w:rsid w:val="002D28C3"/>
    <w:rsid w:val="002D39A4"/>
    <w:rsid w:val="002E6705"/>
    <w:rsid w:val="002F302C"/>
    <w:rsid w:val="002F7679"/>
    <w:rsid w:val="0030329A"/>
    <w:rsid w:val="0030558E"/>
    <w:rsid w:val="00307EC9"/>
    <w:rsid w:val="0031086F"/>
    <w:rsid w:val="00310EF3"/>
    <w:rsid w:val="00312B2D"/>
    <w:rsid w:val="00313BDF"/>
    <w:rsid w:val="0031414C"/>
    <w:rsid w:val="00314E01"/>
    <w:rsid w:val="003150F0"/>
    <w:rsid w:val="0032089D"/>
    <w:rsid w:val="00324F5D"/>
    <w:rsid w:val="003310DE"/>
    <w:rsid w:val="003323B0"/>
    <w:rsid w:val="00333E27"/>
    <w:rsid w:val="00335EFF"/>
    <w:rsid w:val="0033738C"/>
    <w:rsid w:val="00340A49"/>
    <w:rsid w:val="0035169A"/>
    <w:rsid w:val="0035259D"/>
    <w:rsid w:val="0035368A"/>
    <w:rsid w:val="003559C5"/>
    <w:rsid w:val="00364B18"/>
    <w:rsid w:val="00366DB2"/>
    <w:rsid w:val="0038617B"/>
    <w:rsid w:val="00386617"/>
    <w:rsid w:val="00387505"/>
    <w:rsid w:val="00391E6B"/>
    <w:rsid w:val="00393D2B"/>
    <w:rsid w:val="003A125D"/>
    <w:rsid w:val="003A3EE1"/>
    <w:rsid w:val="003A4C70"/>
    <w:rsid w:val="003A63C0"/>
    <w:rsid w:val="003B07CA"/>
    <w:rsid w:val="003B12F1"/>
    <w:rsid w:val="003B215F"/>
    <w:rsid w:val="003B57DB"/>
    <w:rsid w:val="003C799C"/>
    <w:rsid w:val="003D0399"/>
    <w:rsid w:val="003D180B"/>
    <w:rsid w:val="003D5A90"/>
    <w:rsid w:val="003E1C71"/>
    <w:rsid w:val="003E4544"/>
    <w:rsid w:val="003F1CD5"/>
    <w:rsid w:val="003F327B"/>
    <w:rsid w:val="003F335D"/>
    <w:rsid w:val="003F7D53"/>
    <w:rsid w:val="00400368"/>
    <w:rsid w:val="004004A0"/>
    <w:rsid w:val="00401762"/>
    <w:rsid w:val="0040401F"/>
    <w:rsid w:val="0040456D"/>
    <w:rsid w:val="00406166"/>
    <w:rsid w:val="0040704B"/>
    <w:rsid w:val="00410A55"/>
    <w:rsid w:val="00411300"/>
    <w:rsid w:val="00413F17"/>
    <w:rsid w:val="0041519B"/>
    <w:rsid w:val="00415417"/>
    <w:rsid w:val="00417DF7"/>
    <w:rsid w:val="0042100F"/>
    <w:rsid w:val="00426659"/>
    <w:rsid w:val="00426C3A"/>
    <w:rsid w:val="00427ED9"/>
    <w:rsid w:val="00433224"/>
    <w:rsid w:val="00435418"/>
    <w:rsid w:val="004358B0"/>
    <w:rsid w:val="00441C58"/>
    <w:rsid w:val="00441C8F"/>
    <w:rsid w:val="00447B08"/>
    <w:rsid w:val="00450352"/>
    <w:rsid w:val="00451E6C"/>
    <w:rsid w:val="00454BDB"/>
    <w:rsid w:val="004617D2"/>
    <w:rsid w:val="004624F1"/>
    <w:rsid w:val="00465132"/>
    <w:rsid w:val="00465609"/>
    <w:rsid w:val="00467FD1"/>
    <w:rsid w:val="00471E1C"/>
    <w:rsid w:val="00480C90"/>
    <w:rsid w:val="0048396F"/>
    <w:rsid w:val="00485455"/>
    <w:rsid w:val="00487C9A"/>
    <w:rsid w:val="00493C18"/>
    <w:rsid w:val="004973F5"/>
    <w:rsid w:val="004A07DA"/>
    <w:rsid w:val="004A3BE6"/>
    <w:rsid w:val="004A47FB"/>
    <w:rsid w:val="004A600C"/>
    <w:rsid w:val="004A6118"/>
    <w:rsid w:val="004B0861"/>
    <w:rsid w:val="004B2303"/>
    <w:rsid w:val="004B43B0"/>
    <w:rsid w:val="004C3B5A"/>
    <w:rsid w:val="004C478D"/>
    <w:rsid w:val="004C5EEC"/>
    <w:rsid w:val="004D0BE6"/>
    <w:rsid w:val="004D247A"/>
    <w:rsid w:val="004D7D95"/>
    <w:rsid w:val="004E2C26"/>
    <w:rsid w:val="004E2EA3"/>
    <w:rsid w:val="004F1453"/>
    <w:rsid w:val="004F2563"/>
    <w:rsid w:val="004F6513"/>
    <w:rsid w:val="005102F7"/>
    <w:rsid w:val="00511E64"/>
    <w:rsid w:val="005125A8"/>
    <w:rsid w:val="00517549"/>
    <w:rsid w:val="00520ABC"/>
    <w:rsid w:val="00521AE8"/>
    <w:rsid w:val="005235B9"/>
    <w:rsid w:val="00525802"/>
    <w:rsid w:val="00527180"/>
    <w:rsid w:val="00531698"/>
    <w:rsid w:val="00531735"/>
    <w:rsid w:val="005365A4"/>
    <w:rsid w:val="00555291"/>
    <w:rsid w:val="00555482"/>
    <w:rsid w:val="005555A2"/>
    <w:rsid w:val="005643A6"/>
    <w:rsid w:val="00566AD1"/>
    <w:rsid w:val="00583EDE"/>
    <w:rsid w:val="005924A6"/>
    <w:rsid w:val="005952F8"/>
    <w:rsid w:val="00596248"/>
    <w:rsid w:val="005A2653"/>
    <w:rsid w:val="005A5793"/>
    <w:rsid w:val="005A6079"/>
    <w:rsid w:val="005B0225"/>
    <w:rsid w:val="005B026E"/>
    <w:rsid w:val="005B0E6F"/>
    <w:rsid w:val="005B2954"/>
    <w:rsid w:val="005B3A4A"/>
    <w:rsid w:val="005B7659"/>
    <w:rsid w:val="005C4C7B"/>
    <w:rsid w:val="005E0C90"/>
    <w:rsid w:val="005E1F50"/>
    <w:rsid w:val="005E4489"/>
    <w:rsid w:val="005E4698"/>
    <w:rsid w:val="005E548A"/>
    <w:rsid w:val="006024D4"/>
    <w:rsid w:val="00603924"/>
    <w:rsid w:val="00610539"/>
    <w:rsid w:val="00610E9E"/>
    <w:rsid w:val="00613969"/>
    <w:rsid w:val="00621DCA"/>
    <w:rsid w:val="00625C35"/>
    <w:rsid w:val="00636E39"/>
    <w:rsid w:val="00641D74"/>
    <w:rsid w:val="006427FF"/>
    <w:rsid w:val="00647E49"/>
    <w:rsid w:val="0065494D"/>
    <w:rsid w:val="00656313"/>
    <w:rsid w:val="006565F4"/>
    <w:rsid w:val="00661BAA"/>
    <w:rsid w:val="006639CE"/>
    <w:rsid w:val="00666643"/>
    <w:rsid w:val="00671D8D"/>
    <w:rsid w:val="00673F4D"/>
    <w:rsid w:val="00677819"/>
    <w:rsid w:val="00684025"/>
    <w:rsid w:val="00684C82"/>
    <w:rsid w:val="00684EEA"/>
    <w:rsid w:val="00694D35"/>
    <w:rsid w:val="00695F82"/>
    <w:rsid w:val="0069689B"/>
    <w:rsid w:val="006A326A"/>
    <w:rsid w:val="006A3743"/>
    <w:rsid w:val="006B5FF5"/>
    <w:rsid w:val="006C02E3"/>
    <w:rsid w:val="006C0B47"/>
    <w:rsid w:val="006C1D8B"/>
    <w:rsid w:val="006C629D"/>
    <w:rsid w:val="006C7B46"/>
    <w:rsid w:val="006D1E48"/>
    <w:rsid w:val="006E4615"/>
    <w:rsid w:val="006E7E06"/>
    <w:rsid w:val="006F30AF"/>
    <w:rsid w:val="006F54FB"/>
    <w:rsid w:val="00701759"/>
    <w:rsid w:val="00702AF9"/>
    <w:rsid w:val="00704239"/>
    <w:rsid w:val="0070513E"/>
    <w:rsid w:val="00705C15"/>
    <w:rsid w:val="007110F6"/>
    <w:rsid w:val="007136CB"/>
    <w:rsid w:val="00716F74"/>
    <w:rsid w:val="007208D1"/>
    <w:rsid w:val="00723089"/>
    <w:rsid w:val="007265C6"/>
    <w:rsid w:val="00744518"/>
    <w:rsid w:val="00747288"/>
    <w:rsid w:val="00747DD3"/>
    <w:rsid w:val="007549C8"/>
    <w:rsid w:val="00757054"/>
    <w:rsid w:val="0076162E"/>
    <w:rsid w:val="00763E34"/>
    <w:rsid w:val="00766D14"/>
    <w:rsid w:val="00767A0F"/>
    <w:rsid w:val="00776C89"/>
    <w:rsid w:val="00791272"/>
    <w:rsid w:val="007950EA"/>
    <w:rsid w:val="007A05F6"/>
    <w:rsid w:val="007A5ADB"/>
    <w:rsid w:val="007A66F0"/>
    <w:rsid w:val="007B06D1"/>
    <w:rsid w:val="007B262C"/>
    <w:rsid w:val="007B3DEF"/>
    <w:rsid w:val="007B6F4A"/>
    <w:rsid w:val="007D3400"/>
    <w:rsid w:val="007E1C47"/>
    <w:rsid w:val="007E337A"/>
    <w:rsid w:val="007E5BF5"/>
    <w:rsid w:val="007E5C70"/>
    <w:rsid w:val="007F2FF5"/>
    <w:rsid w:val="007F3F08"/>
    <w:rsid w:val="007F4D58"/>
    <w:rsid w:val="0080406F"/>
    <w:rsid w:val="00804CC6"/>
    <w:rsid w:val="00805CC8"/>
    <w:rsid w:val="0081636A"/>
    <w:rsid w:val="00816DE5"/>
    <w:rsid w:val="00817190"/>
    <w:rsid w:val="00823111"/>
    <w:rsid w:val="00824D79"/>
    <w:rsid w:val="008260E2"/>
    <w:rsid w:val="00827F09"/>
    <w:rsid w:val="008322BD"/>
    <w:rsid w:val="00834F73"/>
    <w:rsid w:val="00835FEC"/>
    <w:rsid w:val="00837A6C"/>
    <w:rsid w:val="008407BC"/>
    <w:rsid w:val="008473DA"/>
    <w:rsid w:val="0086055A"/>
    <w:rsid w:val="00864C8A"/>
    <w:rsid w:val="00864CF8"/>
    <w:rsid w:val="00865F1C"/>
    <w:rsid w:val="00866941"/>
    <w:rsid w:val="00866954"/>
    <w:rsid w:val="008728D1"/>
    <w:rsid w:val="00874914"/>
    <w:rsid w:val="00886529"/>
    <w:rsid w:val="00891422"/>
    <w:rsid w:val="00892E1A"/>
    <w:rsid w:val="00893E13"/>
    <w:rsid w:val="0089453E"/>
    <w:rsid w:val="00895C7E"/>
    <w:rsid w:val="00897D4F"/>
    <w:rsid w:val="008A6BB9"/>
    <w:rsid w:val="008A6EAC"/>
    <w:rsid w:val="008B401F"/>
    <w:rsid w:val="008B660A"/>
    <w:rsid w:val="008B77D4"/>
    <w:rsid w:val="008C01DA"/>
    <w:rsid w:val="008C5412"/>
    <w:rsid w:val="008E38BC"/>
    <w:rsid w:val="008F2674"/>
    <w:rsid w:val="008F78E9"/>
    <w:rsid w:val="008F7D8B"/>
    <w:rsid w:val="00902BC7"/>
    <w:rsid w:val="009179F9"/>
    <w:rsid w:val="00917C7A"/>
    <w:rsid w:val="00931591"/>
    <w:rsid w:val="00933E5E"/>
    <w:rsid w:val="00935218"/>
    <w:rsid w:val="009372E5"/>
    <w:rsid w:val="00937C52"/>
    <w:rsid w:val="009403F3"/>
    <w:rsid w:val="00943183"/>
    <w:rsid w:val="00947E58"/>
    <w:rsid w:val="009555B7"/>
    <w:rsid w:val="009567AA"/>
    <w:rsid w:val="009602C9"/>
    <w:rsid w:val="00964A69"/>
    <w:rsid w:val="00967374"/>
    <w:rsid w:val="009723F1"/>
    <w:rsid w:val="00975024"/>
    <w:rsid w:val="0097554F"/>
    <w:rsid w:val="0097753D"/>
    <w:rsid w:val="00982497"/>
    <w:rsid w:val="00983780"/>
    <w:rsid w:val="00985B52"/>
    <w:rsid w:val="00990E37"/>
    <w:rsid w:val="00997BD9"/>
    <w:rsid w:val="009A1D83"/>
    <w:rsid w:val="009A343A"/>
    <w:rsid w:val="009B2F23"/>
    <w:rsid w:val="009B57B3"/>
    <w:rsid w:val="009B7186"/>
    <w:rsid w:val="009B7993"/>
    <w:rsid w:val="009C1F68"/>
    <w:rsid w:val="009C3C22"/>
    <w:rsid w:val="009C665E"/>
    <w:rsid w:val="009D0534"/>
    <w:rsid w:val="009D1971"/>
    <w:rsid w:val="009D2920"/>
    <w:rsid w:val="009D5AEB"/>
    <w:rsid w:val="009D7BE0"/>
    <w:rsid w:val="009F0E33"/>
    <w:rsid w:val="009F18D5"/>
    <w:rsid w:val="009F1F54"/>
    <w:rsid w:val="009F3C3D"/>
    <w:rsid w:val="009F70DA"/>
    <w:rsid w:val="00A1122C"/>
    <w:rsid w:val="00A112B1"/>
    <w:rsid w:val="00A12E31"/>
    <w:rsid w:val="00A134D6"/>
    <w:rsid w:val="00A149DF"/>
    <w:rsid w:val="00A1755C"/>
    <w:rsid w:val="00A21187"/>
    <w:rsid w:val="00A21B90"/>
    <w:rsid w:val="00A22AAC"/>
    <w:rsid w:val="00A25BB5"/>
    <w:rsid w:val="00A34265"/>
    <w:rsid w:val="00A41805"/>
    <w:rsid w:val="00A454E6"/>
    <w:rsid w:val="00A51882"/>
    <w:rsid w:val="00A52AFB"/>
    <w:rsid w:val="00A53A05"/>
    <w:rsid w:val="00A53BC1"/>
    <w:rsid w:val="00A54427"/>
    <w:rsid w:val="00A548CB"/>
    <w:rsid w:val="00A5521C"/>
    <w:rsid w:val="00A5642B"/>
    <w:rsid w:val="00A567C1"/>
    <w:rsid w:val="00A643E7"/>
    <w:rsid w:val="00A70DED"/>
    <w:rsid w:val="00A73C38"/>
    <w:rsid w:val="00A776EF"/>
    <w:rsid w:val="00A9104E"/>
    <w:rsid w:val="00A921A7"/>
    <w:rsid w:val="00A964DC"/>
    <w:rsid w:val="00AA468D"/>
    <w:rsid w:val="00AB3896"/>
    <w:rsid w:val="00AB670D"/>
    <w:rsid w:val="00AC2F96"/>
    <w:rsid w:val="00AC6ABA"/>
    <w:rsid w:val="00AE0BBF"/>
    <w:rsid w:val="00AE25E7"/>
    <w:rsid w:val="00AF03C5"/>
    <w:rsid w:val="00B000D8"/>
    <w:rsid w:val="00B00F75"/>
    <w:rsid w:val="00B044E9"/>
    <w:rsid w:val="00B05282"/>
    <w:rsid w:val="00B05729"/>
    <w:rsid w:val="00B13974"/>
    <w:rsid w:val="00B145B6"/>
    <w:rsid w:val="00B1485B"/>
    <w:rsid w:val="00B252D1"/>
    <w:rsid w:val="00B2791E"/>
    <w:rsid w:val="00B279EB"/>
    <w:rsid w:val="00B31519"/>
    <w:rsid w:val="00B343F1"/>
    <w:rsid w:val="00B4639E"/>
    <w:rsid w:val="00B478FC"/>
    <w:rsid w:val="00B50C81"/>
    <w:rsid w:val="00B50D6F"/>
    <w:rsid w:val="00B557F8"/>
    <w:rsid w:val="00B64565"/>
    <w:rsid w:val="00B777BD"/>
    <w:rsid w:val="00B815FC"/>
    <w:rsid w:val="00B85B38"/>
    <w:rsid w:val="00B93FBC"/>
    <w:rsid w:val="00BA1276"/>
    <w:rsid w:val="00BA5CA2"/>
    <w:rsid w:val="00BA7DA0"/>
    <w:rsid w:val="00BB050C"/>
    <w:rsid w:val="00BB2488"/>
    <w:rsid w:val="00BB2EE4"/>
    <w:rsid w:val="00BB4C92"/>
    <w:rsid w:val="00BB5ABD"/>
    <w:rsid w:val="00BC0B59"/>
    <w:rsid w:val="00BC1B46"/>
    <w:rsid w:val="00BC2108"/>
    <w:rsid w:val="00BC357F"/>
    <w:rsid w:val="00BD0CF9"/>
    <w:rsid w:val="00BD0E9E"/>
    <w:rsid w:val="00BD1BEC"/>
    <w:rsid w:val="00BD32FF"/>
    <w:rsid w:val="00BD5727"/>
    <w:rsid w:val="00BE4244"/>
    <w:rsid w:val="00BE4295"/>
    <w:rsid w:val="00BE44E0"/>
    <w:rsid w:val="00BF05A1"/>
    <w:rsid w:val="00BF6FE9"/>
    <w:rsid w:val="00C02092"/>
    <w:rsid w:val="00C07DC4"/>
    <w:rsid w:val="00C11968"/>
    <w:rsid w:val="00C12C52"/>
    <w:rsid w:val="00C1300E"/>
    <w:rsid w:val="00C24D91"/>
    <w:rsid w:val="00C26DB2"/>
    <w:rsid w:val="00C30483"/>
    <w:rsid w:val="00C53F14"/>
    <w:rsid w:val="00C56BC4"/>
    <w:rsid w:val="00C57073"/>
    <w:rsid w:val="00C600CF"/>
    <w:rsid w:val="00C6084F"/>
    <w:rsid w:val="00C61513"/>
    <w:rsid w:val="00C62A66"/>
    <w:rsid w:val="00C66359"/>
    <w:rsid w:val="00C71458"/>
    <w:rsid w:val="00C73289"/>
    <w:rsid w:val="00C766F6"/>
    <w:rsid w:val="00C77613"/>
    <w:rsid w:val="00C8109B"/>
    <w:rsid w:val="00C81A5D"/>
    <w:rsid w:val="00C828E7"/>
    <w:rsid w:val="00C8357E"/>
    <w:rsid w:val="00C86719"/>
    <w:rsid w:val="00C87674"/>
    <w:rsid w:val="00C921DD"/>
    <w:rsid w:val="00C92BB8"/>
    <w:rsid w:val="00CA40C8"/>
    <w:rsid w:val="00CA4211"/>
    <w:rsid w:val="00CA6391"/>
    <w:rsid w:val="00CB7A64"/>
    <w:rsid w:val="00CD239A"/>
    <w:rsid w:val="00CD4F53"/>
    <w:rsid w:val="00CD5841"/>
    <w:rsid w:val="00CE036E"/>
    <w:rsid w:val="00CE1ADF"/>
    <w:rsid w:val="00CE3171"/>
    <w:rsid w:val="00CF1601"/>
    <w:rsid w:val="00CF60C6"/>
    <w:rsid w:val="00CF6664"/>
    <w:rsid w:val="00CF7F42"/>
    <w:rsid w:val="00D00207"/>
    <w:rsid w:val="00D0172F"/>
    <w:rsid w:val="00D01E33"/>
    <w:rsid w:val="00D068A7"/>
    <w:rsid w:val="00D1438E"/>
    <w:rsid w:val="00D14AD5"/>
    <w:rsid w:val="00D152AE"/>
    <w:rsid w:val="00D16764"/>
    <w:rsid w:val="00D17476"/>
    <w:rsid w:val="00D17B0E"/>
    <w:rsid w:val="00D212EA"/>
    <w:rsid w:val="00D21E29"/>
    <w:rsid w:val="00D25268"/>
    <w:rsid w:val="00D253F3"/>
    <w:rsid w:val="00D26B54"/>
    <w:rsid w:val="00D26F45"/>
    <w:rsid w:val="00D3170B"/>
    <w:rsid w:val="00D32086"/>
    <w:rsid w:val="00D32BB2"/>
    <w:rsid w:val="00D338D4"/>
    <w:rsid w:val="00D36C96"/>
    <w:rsid w:val="00D37A3F"/>
    <w:rsid w:val="00D401D1"/>
    <w:rsid w:val="00D4431D"/>
    <w:rsid w:val="00D4667A"/>
    <w:rsid w:val="00D560F0"/>
    <w:rsid w:val="00D63A1C"/>
    <w:rsid w:val="00D63DC1"/>
    <w:rsid w:val="00D65F2A"/>
    <w:rsid w:val="00D67712"/>
    <w:rsid w:val="00D70780"/>
    <w:rsid w:val="00D711FF"/>
    <w:rsid w:val="00D74638"/>
    <w:rsid w:val="00D7516F"/>
    <w:rsid w:val="00D779E2"/>
    <w:rsid w:val="00D910FE"/>
    <w:rsid w:val="00D93A95"/>
    <w:rsid w:val="00D95CE6"/>
    <w:rsid w:val="00D95F8E"/>
    <w:rsid w:val="00D97982"/>
    <w:rsid w:val="00DA0590"/>
    <w:rsid w:val="00DB0888"/>
    <w:rsid w:val="00DB15FA"/>
    <w:rsid w:val="00DC1739"/>
    <w:rsid w:val="00DC1788"/>
    <w:rsid w:val="00DC42D3"/>
    <w:rsid w:val="00DC6D59"/>
    <w:rsid w:val="00DD033D"/>
    <w:rsid w:val="00DD3196"/>
    <w:rsid w:val="00DD43D1"/>
    <w:rsid w:val="00DE03E4"/>
    <w:rsid w:val="00DE319C"/>
    <w:rsid w:val="00DF0CA8"/>
    <w:rsid w:val="00DF2B48"/>
    <w:rsid w:val="00DF49A7"/>
    <w:rsid w:val="00E027B3"/>
    <w:rsid w:val="00E06701"/>
    <w:rsid w:val="00E07436"/>
    <w:rsid w:val="00E075DF"/>
    <w:rsid w:val="00E07EE2"/>
    <w:rsid w:val="00E07FD1"/>
    <w:rsid w:val="00E10219"/>
    <w:rsid w:val="00E15E95"/>
    <w:rsid w:val="00E24573"/>
    <w:rsid w:val="00E25E1E"/>
    <w:rsid w:val="00E264C6"/>
    <w:rsid w:val="00E26EFD"/>
    <w:rsid w:val="00E27EE7"/>
    <w:rsid w:val="00E335F4"/>
    <w:rsid w:val="00E35404"/>
    <w:rsid w:val="00E3755F"/>
    <w:rsid w:val="00E45109"/>
    <w:rsid w:val="00E47B7A"/>
    <w:rsid w:val="00E55226"/>
    <w:rsid w:val="00E558A0"/>
    <w:rsid w:val="00E56A44"/>
    <w:rsid w:val="00E60269"/>
    <w:rsid w:val="00E717F0"/>
    <w:rsid w:val="00E74549"/>
    <w:rsid w:val="00E82980"/>
    <w:rsid w:val="00E830CF"/>
    <w:rsid w:val="00E9773A"/>
    <w:rsid w:val="00E97830"/>
    <w:rsid w:val="00EA2581"/>
    <w:rsid w:val="00EB5079"/>
    <w:rsid w:val="00EB5626"/>
    <w:rsid w:val="00EB5DAD"/>
    <w:rsid w:val="00EC0EAF"/>
    <w:rsid w:val="00EC2252"/>
    <w:rsid w:val="00EC7605"/>
    <w:rsid w:val="00ED590F"/>
    <w:rsid w:val="00ED5B0E"/>
    <w:rsid w:val="00EE0830"/>
    <w:rsid w:val="00EE332B"/>
    <w:rsid w:val="00EE6CB8"/>
    <w:rsid w:val="00EF0683"/>
    <w:rsid w:val="00EF57BD"/>
    <w:rsid w:val="00F0070C"/>
    <w:rsid w:val="00F00EB7"/>
    <w:rsid w:val="00F0340A"/>
    <w:rsid w:val="00F06A48"/>
    <w:rsid w:val="00F06BF8"/>
    <w:rsid w:val="00F13B1D"/>
    <w:rsid w:val="00F16B9D"/>
    <w:rsid w:val="00F239C1"/>
    <w:rsid w:val="00F35885"/>
    <w:rsid w:val="00F36AB6"/>
    <w:rsid w:val="00F37A09"/>
    <w:rsid w:val="00F40210"/>
    <w:rsid w:val="00F406DD"/>
    <w:rsid w:val="00F409CE"/>
    <w:rsid w:val="00F4379D"/>
    <w:rsid w:val="00F45917"/>
    <w:rsid w:val="00F46973"/>
    <w:rsid w:val="00F47E2F"/>
    <w:rsid w:val="00F50D2D"/>
    <w:rsid w:val="00F56C8B"/>
    <w:rsid w:val="00F62639"/>
    <w:rsid w:val="00F66810"/>
    <w:rsid w:val="00F67C95"/>
    <w:rsid w:val="00F71990"/>
    <w:rsid w:val="00F834BD"/>
    <w:rsid w:val="00F847E7"/>
    <w:rsid w:val="00F84DF4"/>
    <w:rsid w:val="00F85C97"/>
    <w:rsid w:val="00F86D5B"/>
    <w:rsid w:val="00F96F7F"/>
    <w:rsid w:val="00FA0922"/>
    <w:rsid w:val="00FA552E"/>
    <w:rsid w:val="00FB0170"/>
    <w:rsid w:val="00FB37D2"/>
    <w:rsid w:val="00FB3808"/>
    <w:rsid w:val="00FB3CB6"/>
    <w:rsid w:val="00FC0768"/>
    <w:rsid w:val="00FC4EFB"/>
    <w:rsid w:val="00FC6636"/>
    <w:rsid w:val="00FC7A8E"/>
    <w:rsid w:val="00FD068D"/>
    <w:rsid w:val="00FD4F28"/>
    <w:rsid w:val="00FD5D61"/>
    <w:rsid w:val="00FE4611"/>
    <w:rsid w:val="00FE6784"/>
    <w:rsid w:val="00FE7A8B"/>
    <w:rsid w:val="00FF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EF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8E"/>
    <w:rPr>
      <w:sz w:val="24"/>
    </w:rPr>
  </w:style>
  <w:style w:type="paragraph" w:styleId="Titre1">
    <w:name w:val="heading 1"/>
    <w:basedOn w:val="Normal"/>
    <w:next w:val="Normal"/>
    <w:link w:val="Titre1C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C665E"/>
    <w:pPr>
      <w:keepNext/>
      <w:keepLines/>
      <w:spacing w:before="160" w:after="80"/>
      <w:outlineLvl w:val="2"/>
    </w:pPr>
    <w:rPr>
      <w:rFonts w:eastAsiaTheme="majorEastAsia" w:cstheme="majorBidi"/>
      <w:color w:val="365F91" w:themeColor="accent1" w:themeShade="BF"/>
      <w:sz w:val="28"/>
      <w:szCs w:val="28"/>
      <w:lang w:val="fr-CA"/>
      <w14:ligatures w14:val="standardContextual"/>
    </w:rPr>
  </w:style>
  <w:style w:type="paragraph" w:styleId="Titre4">
    <w:name w:val="heading 4"/>
    <w:basedOn w:val="Normal"/>
    <w:next w:val="Normal"/>
    <w:link w:val="Titre4Car"/>
    <w:uiPriority w:val="9"/>
    <w:semiHidden/>
    <w:unhideWhenUsed/>
    <w:qFormat/>
    <w:rsid w:val="009C665E"/>
    <w:pPr>
      <w:keepNext/>
      <w:keepLines/>
      <w:spacing w:before="80" w:after="40"/>
      <w:outlineLvl w:val="3"/>
    </w:pPr>
    <w:rPr>
      <w:rFonts w:eastAsiaTheme="majorEastAsia" w:cstheme="majorBidi"/>
      <w:i/>
      <w:iCs/>
      <w:color w:val="365F91" w:themeColor="accent1" w:themeShade="BF"/>
      <w:szCs w:val="24"/>
      <w:lang w:val="fr-CA"/>
      <w14:ligatures w14:val="standardContextual"/>
    </w:rPr>
  </w:style>
  <w:style w:type="paragraph" w:styleId="Titre5">
    <w:name w:val="heading 5"/>
    <w:basedOn w:val="Normal"/>
    <w:next w:val="Normal"/>
    <w:link w:val="Titre5Car"/>
    <w:uiPriority w:val="9"/>
    <w:semiHidden/>
    <w:unhideWhenUsed/>
    <w:qFormat/>
    <w:rsid w:val="009C665E"/>
    <w:pPr>
      <w:keepNext/>
      <w:keepLines/>
      <w:spacing w:before="80" w:after="40"/>
      <w:outlineLvl w:val="4"/>
    </w:pPr>
    <w:rPr>
      <w:rFonts w:eastAsiaTheme="majorEastAsia" w:cstheme="majorBidi"/>
      <w:color w:val="365F91" w:themeColor="accent1" w:themeShade="BF"/>
      <w:szCs w:val="24"/>
      <w:lang w:val="fr-CA"/>
      <w14:ligatures w14:val="standardContextual"/>
    </w:rPr>
  </w:style>
  <w:style w:type="paragraph" w:styleId="Titre6">
    <w:name w:val="heading 6"/>
    <w:basedOn w:val="Normal"/>
    <w:next w:val="Normal"/>
    <w:link w:val="Titre6Car"/>
    <w:uiPriority w:val="9"/>
    <w:semiHidden/>
    <w:unhideWhenUsed/>
    <w:qFormat/>
    <w:rsid w:val="009C665E"/>
    <w:pPr>
      <w:keepNext/>
      <w:keepLines/>
      <w:spacing w:before="40"/>
      <w:outlineLvl w:val="5"/>
    </w:pPr>
    <w:rPr>
      <w:rFonts w:eastAsiaTheme="majorEastAsia" w:cstheme="majorBidi"/>
      <w:i/>
      <w:iCs/>
      <w:color w:val="595959" w:themeColor="text1" w:themeTint="A6"/>
      <w:szCs w:val="24"/>
      <w:lang w:val="fr-CA"/>
      <w14:ligatures w14:val="standardContextual"/>
    </w:rPr>
  </w:style>
  <w:style w:type="paragraph" w:styleId="Titre7">
    <w:name w:val="heading 7"/>
    <w:basedOn w:val="Normal"/>
    <w:next w:val="Normal"/>
    <w:link w:val="Titre7Car"/>
    <w:uiPriority w:val="9"/>
    <w:semiHidden/>
    <w:unhideWhenUsed/>
    <w:qFormat/>
    <w:rsid w:val="009C665E"/>
    <w:pPr>
      <w:keepNext/>
      <w:keepLines/>
      <w:spacing w:before="40"/>
      <w:outlineLvl w:val="6"/>
    </w:pPr>
    <w:rPr>
      <w:rFonts w:eastAsiaTheme="majorEastAsia" w:cstheme="majorBidi"/>
      <w:color w:val="595959" w:themeColor="text1" w:themeTint="A6"/>
      <w:szCs w:val="24"/>
      <w:lang w:val="fr-CA"/>
      <w14:ligatures w14:val="standardContextual"/>
    </w:rPr>
  </w:style>
  <w:style w:type="paragraph" w:styleId="Titre8">
    <w:name w:val="heading 8"/>
    <w:basedOn w:val="Normal"/>
    <w:next w:val="Normal"/>
    <w:link w:val="Titre8Car"/>
    <w:uiPriority w:val="9"/>
    <w:semiHidden/>
    <w:unhideWhenUsed/>
    <w:qFormat/>
    <w:rsid w:val="009C665E"/>
    <w:pPr>
      <w:keepNext/>
      <w:keepLines/>
      <w:outlineLvl w:val="7"/>
    </w:pPr>
    <w:rPr>
      <w:rFonts w:eastAsiaTheme="majorEastAsia" w:cstheme="majorBidi"/>
      <w:i/>
      <w:iCs/>
      <w:color w:val="272727" w:themeColor="text1" w:themeTint="D8"/>
      <w:szCs w:val="24"/>
      <w:lang w:val="fr-CA"/>
      <w14:ligatures w14:val="standardContextual"/>
    </w:rPr>
  </w:style>
  <w:style w:type="paragraph" w:styleId="Titre9">
    <w:name w:val="heading 9"/>
    <w:basedOn w:val="Normal"/>
    <w:next w:val="Normal"/>
    <w:link w:val="Titre9Car"/>
    <w:uiPriority w:val="9"/>
    <w:semiHidden/>
    <w:unhideWhenUsed/>
    <w:qFormat/>
    <w:rsid w:val="009C665E"/>
    <w:pPr>
      <w:keepNext/>
      <w:keepLines/>
      <w:outlineLvl w:val="8"/>
    </w:pPr>
    <w:rPr>
      <w:rFonts w:eastAsiaTheme="majorEastAsia" w:cstheme="majorBidi"/>
      <w:color w:val="272727" w:themeColor="text1" w:themeTint="D8"/>
      <w:szCs w:val="24"/>
      <w:lang w:val="fr-CA"/>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Policepardfaut"/>
    <w:link w:val="SCCNormalDoubleSpacing"/>
    <w:rsid w:val="00104F33"/>
    <w:rPr>
      <w:sz w:val="24"/>
    </w:rPr>
  </w:style>
  <w:style w:type="character" w:styleId="lev">
    <w:name w:val="Strong"/>
    <w:basedOn w:val="Policepardfaut"/>
    <w:uiPriority w:val="22"/>
    <w:qFormat/>
    <w:rsid w:val="00C53F14"/>
    <w:rPr>
      <w:b/>
      <w:bCs/>
    </w:rPr>
  </w:style>
  <w:style w:type="paragraph" w:styleId="Citation">
    <w:name w:val="Quote"/>
    <w:basedOn w:val="Normal"/>
    <w:next w:val="Normal"/>
    <w:link w:val="CitationCar"/>
    <w:uiPriority w:val="29"/>
    <w:qFormat/>
    <w:rsid w:val="00A548CB"/>
    <w:rPr>
      <w:i/>
      <w:iCs/>
      <w:color w:val="000000" w:themeColor="text1"/>
    </w:rPr>
  </w:style>
  <w:style w:type="character" w:customStyle="1" w:styleId="CitationCar">
    <w:name w:val="Citation Car"/>
    <w:basedOn w:val="Policepardfaut"/>
    <w:link w:val="Citation"/>
    <w:uiPriority w:val="29"/>
    <w:rsid w:val="00A548CB"/>
    <w:rPr>
      <w:i/>
      <w:iCs/>
      <w:color w:val="000000" w:themeColor="text1"/>
      <w:sz w:val="24"/>
      <w:lang w:val="en-US"/>
    </w:rPr>
  </w:style>
  <w:style w:type="character" w:styleId="Textedelespacerserv">
    <w:name w:val="Placeholder Text"/>
    <w:basedOn w:val="Policepardfaut"/>
    <w:uiPriority w:val="99"/>
    <w:semiHidden/>
    <w:rsid w:val="00CE3171"/>
    <w:rPr>
      <w:color w:val="808080"/>
    </w:rPr>
  </w:style>
  <w:style w:type="paragraph" w:styleId="Textedebulles">
    <w:name w:val="Balloon Text"/>
    <w:basedOn w:val="Normal"/>
    <w:link w:val="TextedebullesCar"/>
    <w:uiPriority w:val="99"/>
    <w:semiHidden/>
    <w:unhideWhenUsed/>
    <w:rsid w:val="00CE3171"/>
    <w:rPr>
      <w:rFonts w:ascii="Tahoma" w:hAnsi="Tahoma" w:cs="Tahoma"/>
      <w:sz w:val="16"/>
      <w:szCs w:val="16"/>
    </w:rPr>
  </w:style>
  <w:style w:type="character" w:customStyle="1" w:styleId="TextedebullesCar">
    <w:name w:val="Texte de bulles Car"/>
    <w:basedOn w:val="Policepardfaut"/>
    <w:link w:val="Textedebulles"/>
    <w:uiPriority w:val="99"/>
    <w:semiHidden/>
    <w:rsid w:val="00CE3171"/>
    <w:rPr>
      <w:rFonts w:ascii="Tahoma" w:hAnsi="Tahoma" w:cs="Tahoma"/>
      <w:sz w:val="16"/>
      <w:szCs w:val="16"/>
      <w:lang w:val="en-US"/>
    </w:rPr>
  </w:style>
  <w:style w:type="paragraph" w:styleId="En-tte">
    <w:name w:val="header"/>
    <w:basedOn w:val="Normal"/>
    <w:link w:val="En-tteCar"/>
    <w:uiPriority w:val="99"/>
    <w:unhideWhenUsed/>
    <w:rsid w:val="000C59B8"/>
    <w:pPr>
      <w:tabs>
        <w:tab w:val="center" w:pos="4680"/>
        <w:tab w:val="right" w:pos="9360"/>
      </w:tabs>
    </w:pPr>
  </w:style>
  <w:style w:type="character" w:customStyle="1" w:styleId="En-tteCar">
    <w:name w:val="En-tête Car"/>
    <w:basedOn w:val="Policepardfaut"/>
    <w:link w:val="En-tte"/>
    <w:uiPriority w:val="99"/>
    <w:rsid w:val="000C59B8"/>
    <w:rPr>
      <w:sz w:val="24"/>
      <w:lang w:val="en-US"/>
    </w:rPr>
  </w:style>
  <w:style w:type="paragraph" w:styleId="Pieddepage">
    <w:name w:val="footer"/>
    <w:basedOn w:val="Normal"/>
    <w:link w:val="PieddepageCar"/>
    <w:uiPriority w:val="99"/>
    <w:unhideWhenUsed/>
    <w:rsid w:val="000C59B8"/>
    <w:pPr>
      <w:tabs>
        <w:tab w:val="center" w:pos="4680"/>
        <w:tab w:val="right" w:pos="9360"/>
      </w:tabs>
    </w:pPr>
  </w:style>
  <w:style w:type="character" w:customStyle="1" w:styleId="PieddepageCar">
    <w:name w:val="Pied de page Car"/>
    <w:basedOn w:val="Policepardfaut"/>
    <w:link w:val="Pieddepage"/>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Policepardfau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Policepardfau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Policepardfau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Policepardfaut"/>
    <w:link w:val="SCCLsocOtherPartySeparator"/>
    <w:rsid w:val="003323B0"/>
    <w:rPr>
      <w:sz w:val="24"/>
    </w:rPr>
  </w:style>
  <w:style w:type="character" w:customStyle="1" w:styleId="Titre1Car">
    <w:name w:val="Titre 1 Car"/>
    <w:basedOn w:val="Policepardfaut"/>
    <w:link w:val="Titre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Policepardfau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Policepardfau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Policepardfau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Policepardfau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Policepardfau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Policepardfau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Policepardfau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character" w:styleId="Hyperlien">
    <w:name w:val="Hyperlink"/>
    <w:basedOn w:val="Policepardfaut"/>
    <w:uiPriority w:val="99"/>
    <w:unhideWhenUsed/>
    <w:rsid w:val="001325BE"/>
    <w:rPr>
      <w:color w:val="660000"/>
      <w:u w:val="none"/>
    </w:rPr>
  </w:style>
  <w:style w:type="character" w:customStyle="1" w:styleId="solexhl">
    <w:name w:val="solexhl"/>
    <w:basedOn w:val="Policepardfaut"/>
    <w:rsid w:val="004B0861"/>
  </w:style>
  <w:style w:type="paragraph" w:styleId="Commentaire">
    <w:name w:val="annotation text"/>
    <w:basedOn w:val="Normal"/>
    <w:link w:val="CommentaireCar"/>
    <w:uiPriority w:val="99"/>
    <w:unhideWhenUsed/>
    <w:rsid w:val="00EE332B"/>
    <w:rPr>
      <w:sz w:val="20"/>
    </w:rPr>
  </w:style>
  <w:style w:type="character" w:customStyle="1" w:styleId="CommentaireCar">
    <w:name w:val="Commentaire Car"/>
    <w:basedOn w:val="Policepardfaut"/>
    <w:link w:val="Commentaire"/>
    <w:uiPriority w:val="99"/>
    <w:rsid w:val="00EE332B"/>
  </w:style>
  <w:style w:type="character" w:styleId="Marquedecommentaire">
    <w:name w:val="annotation reference"/>
    <w:basedOn w:val="Policepardfaut"/>
    <w:uiPriority w:val="99"/>
    <w:semiHidden/>
    <w:unhideWhenUsed/>
    <w:rsid w:val="00EE332B"/>
    <w:rPr>
      <w:sz w:val="16"/>
      <w:szCs w:val="16"/>
    </w:rPr>
  </w:style>
  <w:style w:type="paragraph" w:styleId="Objetducommentaire">
    <w:name w:val="annotation subject"/>
    <w:basedOn w:val="Commentaire"/>
    <w:next w:val="Commentaire"/>
    <w:link w:val="ObjetducommentaireCar"/>
    <w:uiPriority w:val="99"/>
    <w:semiHidden/>
    <w:unhideWhenUsed/>
    <w:rsid w:val="00671D8D"/>
    <w:rPr>
      <w:b/>
      <w:bCs/>
    </w:rPr>
  </w:style>
  <w:style w:type="character" w:customStyle="1" w:styleId="ObjetducommentaireCar">
    <w:name w:val="Objet du commentaire Car"/>
    <w:basedOn w:val="CommentaireCar"/>
    <w:link w:val="Objetducommentaire"/>
    <w:uiPriority w:val="99"/>
    <w:semiHidden/>
    <w:rsid w:val="00671D8D"/>
    <w:rPr>
      <w:b/>
      <w:bCs/>
    </w:rPr>
  </w:style>
  <w:style w:type="paragraph" w:customStyle="1" w:styleId="SCCNormalKeyWords">
    <w:name w:val="SCC.Normal.KeyWords"/>
    <w:basedOn w:val="SCCNormalDoubleSpacing"/>
    <w:next w:val="SCCNormalDoubleSpacing"/>
    <w:qFormat/>
    <w:rsid w:val="00F86D5B"/>
    <w:pPr>
      <w:spacing w:after="480"/>
    </w:pPr>
    <w:rPr>
      <w:i/>
    </w:rPr>
  </w:style>
  <w:style w:type="character" w:customStyle="1" w:styleId="Titre3Car">
    <w:name w:val="Titre 3 Car"/>
    <w:basedOn w:val="Policepardfaut"/>
    <w:link w:val="Titre3"/>
    <w:uiPriority w:val="9"/>
    <w:rsid w:val="009C665E"/>
    <w:rPr>
      <w:rFonts w:eastAsiaTheme="majorEastAsia" w:cstheme="majorBidi"/>
      <w:color w:val="365F91" w:themeColor="accent1" w:themeShade="BF"/>
      <w:sz w:val="28"/>
      <w:szCs w:val="28"/>
      <w:lang w:val="fr-CA"/>
      <w14:ligatures w14:val="standardContextual"/>
    </w:rPr>
  </w:style>
  <w:style w:type="character" w:customStyle="1" w:styleId="Titre4Car">
    <w:name w:val="Titre 4 Car"/>
    <w:basedOn w:val="Policepardfaut"/>
    <w:link w:val="Titre4"/>
    <w:uiPriority w:val="9"/>
    <w:semiHidden/>
    <w:rsid w:val="009C665E"/>
    <w:rPr>
      <w:rFonts w:eastAsiaTheme="majorEastAsia" w:cstheme="majorBidi"/>
      <w:i/>
      <w:iCs/>
      <w:color w:val="365F91" w:themeColor="accent1" w:themeShade="BF"/>
      <w:sz w:val="24"/>
      <w:szCs w:val="24"/>
      <w:lang w:val="fr-CA"/>
      <w14:ligatures w14:val="standardContextual"/>
    </w:rPr>
  </w:style>
  <w:style w:type="character" w:customStyle="1" w:styleId="Titre5Car">
    <w:name w:val="Titre 5 Car"/>
    <w:basedOn w:val="Policepardfaut"/>
    <w:link w:val="Titre5"/>
    <w:uiPriority w:val="9"/>
    <w:semiHidden/>
    <w:rsid w:val="009C665E"/>
    <w:rPr>
      <w:rFonts w:eastAsiaTheme="majorEastAsia" w:cstheme="majorBidi"/>
      <w:color w:val="365F91" w:themeColor="accent1" w:themeShade="BF"/>
      <w:sz w:val="24"/>
      <w:szCs w:val="24"/>
      <w:lang w:val="fr-CA"/>
      <w14:ligatures w14:val="standardContextual"/>
    </w:rPr>
  </w:style>
  <w:style w:type="character" w:customStyle="1" w:styleId="Titre6Car">
    <w:name w:val="Titre 6 Car"/>
    <w:basedOn w:val="Policepardfaut"/>
    <w:link w:val="Titre6"/>
    <w:uiPriority w:val="9"/>
    <w:semiHidden/>
    <w:rsid w:val="009C665E"/>
    <w:rPr>
      <w:rFonts w:eastAsiaTheme="majorEastAsia" w:cstheme="majorBidi"/>
      <w:i/>
      <w:iCs/>
      <w:color w:val="595959" w:themeColor="text1" w:themeTint="A6"/>
      <w:sz w:val="24"/>
      <w:szCs w:val="24"/>
      <w:lang w:val="fr-CA"/>
      <w14:ligatures w14:val="standardContextual"/>
    </w:rPr>
  </w:style>
  <w:style w:type="character" w:customStyle="1" w:styleId="Titre7Car">
    <w:name w:val="Titre 7 Car"/>
    <w:basedOn w:val="Policepardfaut"/>
    <w:link w:val="Titre7"/>
    <w:uiPriority w:val="9"/>
    <w:semiHidden/>
    <w:rsid w:val="009C665E"/>
    <w:rPr>
      <w:rFonts w:eastAsiaTheme="majorEastAsia" w:cstheme="majorBidi"/>
      <w:color w:val="595959" w:themeColor="text1" w:themeTint="A6"/>
      <w:sz w:val="24"/>
      <w:szCs w:val="24"/>
      <w:lang w:val="fr-CA"/>
      <w14:ligatures w14:val="standardContextual"/>
    </w:rPr>
  </w:style>
  <w:style w:type="character" w:customStyle="1" w:styleId="Titre8Car">
    <w:name w:val="Titre 8 Car"/>
    <w:basedOn w:val="Policepardfaut"/>
    <w:link w:val="Titre8"/>
    <w:uiPriority w:val="9"/>
    <w:semiHidden/>
    <w:rsid w:val="009C665E"/>
    <w:rPr>
      <w:rFonts w:eastAsiaTheme="majorEastAsia" w:cstheme="majorBidi"/>
      <w:i/>
      <w:iCs/>
      <w:color w:val="272727" w:themeColor="text1" w:themeTint="D8"/>
      <w:sz w:val="24"/>
      <w:szCs w:val="24"/>
      <w:lang w:val="fr-CA"/>
      <w14:ligatures w14:val="standardContextual"/>
    </w:rPr>
  </w:style>
  <w:style w:type="character" w:customStyle="1" w:styleId="Titre9Car">
    <w:name w:val="Titre 9 Car"/>
    <w:basedOn w:val="Policepardfaut"/>
    <w:link w:val="Titre9"/>
    <w:uiPriority w:val="9"/>
    <w:semiHidden/>
    <w:rsid w:val="009C665E"/>
    <w:rPr>
      <w:rFonts w:eastAsiaTheme="majorEastAsia" w:cstheme="majorBidi"/>
      <w:color w:val="272727" w:themeColor="text1" w:themeTint="D8"/>
      <w:sz w:val="24"/>
      <w:szCs w:val="24"/>
      <w:lang w:val="fr-CA"/>
      <w14:ligatures w14:val="standardContextual"/>
    </w:rPr>
  </w:style>
  <w:style w:type="paragraph" w:customStyle="1" w:styleId="SCCLsocOtherPartyRoleSeparator">
    <w:name w:val="SCC.Lsoc.OtherPartyRoleSeparator"/>
    <w:basedOn w:val="Normal"/>
    <w:next w:val="Normal"/>
    <w:link w:val="SCCLsocOtherPartyRoleSeparatorChar"/>
    <w:rsid w:val="009C665E"/>
    <w:pPr>
      <w:spacing w:after="480"/>
    </w:pPr>
    <w:rPr>
      <w:rFonts w:eastAsiaTheme="minorHAnsi" w:cstheme="minorBidi"/>
      <w:szCs w:val="22"/>
      <w:lang w:val="fr-CA" w:eastAsia="en-US"/>
    </w:rPr>
  </w:style>
  <w:style w:type="paragraph" w:customStyle="1" w:styleId="SCCCoram">
    <w:name w:val="SCC.Coram"/>
    <w:basedOn w:val="Normal"/>
    <w:next w:val="Normal"/>
    <w:link w:val="SCCCoramChar"/>
    <w:rsid w:val="009C665E"/>
    <w:pPr>
      <w:pBdr>
        <w:bottom w:val="single" w:sz="4" w:space="1" w:color="auto"/>
      </w:pBdr>
    </w:pPr>
    <w:rPr>
      <w:rFonts w:eastAsiaTheme="minorHAnsi" w:cstheme="minorBidi"/>
      <w:szCs w:val="22"/>
      <w:lang w:val="fr-CA" w:eastAsia="en-US"/>
    </w:rPr>
  </w:style>
  <w:style w:type="character" w:customStyle="1" w:styleId="SCCCoramChar">
    <w:name w:val="SCC.Coram Char"/>
    <w:basedOn w:val="Policepardfaut"/>
    <w:link w:val="SCCCoram"/>
    <w:rsid w:val="009C665E"/>
    <w:rPr>
      <w:rFonts w:eastAsiaTheme="minorHAnsi" w:cstheme="minorBidi"/>
      <w:sz w:val="24"/>
      <w:szCs w:val="22"/>
      <w:lang w:val="fr-CA" w:eastAsia="en-US"/>
    </w:rPr>
  </w:style>
  <w:style w:type="character" w:customStyle="1" w:styleId="SCCLsocOtherPartyRoleSeparatorChar">
    <w:name w:val="SCC.Lsoc.OtherPartyRoleSeparator Char"/>
    <w:basedOn w:val="Policepardfaut"/>
    <w:link w:val="SCCLsocOtherPartyRoleSeparator"/>
    <w:rsid w:val="009C665E"/>
    <w:rPr>
      <w:rFonts w:eastAsiaTheme="minorHAnsi" w:cstheme="minorBidi"/>
      <w:sz w:val="24"/>
      <w:szCs w:val="22"/>
      <w:lang w:val="fr-CA" w:eastAsia="en-US"/>
    </w:rPr>
  </w:style>
  <w:style w:type="character" w:customStyle="1" w:styleId="SCCBanSummaryChar">
    <w:name w:val="SCC.BanSummary Char"/>
    <w:basedOn w:val="Policepardfaut"/>
    <w:link w:val="SCCBanSummary"/>
    <w:rsid w:val="009C665E"/>
    <w:rPr>
      <w:b/>
      <w:sz w:val="24"/>
    </w:rPr>
  </w:style>
  <w:style w:type="table" w:styleId="Grilledutableau">
    <w:name w:val="Table Grid"/>
    <w:basedOn w:val="TableauNormal"/>
    <w:uiPriority w:val="59"/>
    <w:rsid w:val="009C665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9C665E"/>
    <w:pPr>
      <w:spacing w:after="720"/>
      <w:ind w:left="1166"/>
      <w:contextualSpacing/>
      <w:jc w:val="both"/>
    </w:pPr>
    <w:rPr>
      <w:sz w:val="24"/>
      <w:szCs w:val="24"/>
    </w:rPr>
  </w:style>
  <w:style w:type="paragraph" w:customStyle="1" w:styleId="ContinueParaSuitedupar-AltP">
    <w:name w:val="Continue Para. / Suite du par. - Alt P"/>
    <w:next w:val="ParaNoNdepar-AltN"/>
    <w:uiPriority w:val="1"/>
    <w:qFormat/>
    <w:rsid w:val="009C665E"/>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9C665E"/>
    <w:pPr>
      <w:tabs>
        <w:tab w:val="left" w:pos="1166"/>
      </w:tabs>
      <w:spacing w:after="480" w:line="480" w:lineRule="auto"/>
    </w:pPr>
    <w:rPr>
      <w:smallCaps/>
      <w:sz w:val="24"/>
      <w:szCs w:val="24"/>
    </w:rPr>
  </w:style>
  <w:style w:type="paragraph" w:customStyle="1" w:styleId="ParaNoNdepar-AltN">
    <w:name w:val="Para. No. / Nº de par. - Alt N"/>
    <w:qFormat/>
    <w:rsid w:val="009C665E"/>
    <w:pPr>
      <w:numPr>
        <w:numId w:val="6"/>
      </w:numPr>
      <w:tabs>
        <w:tab w:val="clear" w:pos="1152"/>
        <w:tab w:val="left" w:pos="1166"/>
      </w:tabs>
      <w:spacing w:before="480" w:after="480" w:line="480" w:lineRule="auto"/>
      <w:jc w:val="both"/>
    </w:pPr>
    <w:rPr>
      <w:rFonts w:eastAsiaTheme="minorEastAsia" w:cstheme="minorBidi"/>
      <w:sz w:val="24"/>
      <w:szCs w:val="22"/>
      <w:lang w:eastAsia="en-US"/>
    </w:rPr>
  </w:style>
  <w:style w:type="paragraph" w:customStyle="1" w:styleId="Title1LevelTitre1Niveau-AltL">
    <w:name w:val="Title 1 Level / Titre 1 Niveau - Alt L"/>
    <w:next w:val="ParaNoNdepar-AltN"/>
    <w:uiPriority w:val="4"/>
    <w:qFormat/>
    <w:rsid w:val="009C665E"/>
    <w:p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9C665E"/>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9C665E"/>
    <w:pPr>
      <w:outlineLvl w:val="2"/>
    </w:pPr>
  </w:style>
  <w:style w:type="paragraph" w:customStyle="1" w:styleId="Title4LevelTitre4Niveau">
    <w:name w:val="Title 4 Level / Titre 4 Niveau"/>
    <w:basedOn w:val="Title3LevelTitre3Niveau"/>
    <w:next w:val="ParaNoNdepar-AltN"/>
    <w:uiPriority w:val="4"/>
    <w:qFormat/>
    <w:rsid w:val="009C665E"/>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9C665E"/>
    <w:pPr>
      <w:numPr>
        <w:ilvl w:val="4"/>
      </w:numPr>
      <w:outlineLvl w:val="4"/>
    </w:pPr>
  </w:style>
  <w:style w:type="paragraph" w:styleId="TM1">
    <w:name w:val="toc 1"/>
    <w:basedOn w:val="Normal"/>
    <w:next w:val="Normal"/>
    <w:autoRedefine/>
    <w:uiPriority w:val="39"/>
    <w:unhideWhenUsed/>
    <w:rsid w:val="009C665E"/>
    <w:pPr>
      <w:tabs>
        <w:tab w:val="left" w:pos="360"/>
        <w:tab w:val="right" w:leader="dot" w:pos="8270"/>
      </w:tabs>
      <w:spacing w:before="120" w:after="120"/>
    </w:pPr>
    <w:rPr>
      <w:noProof/>
      <w:u w:val="single"/>
      <w:lang w:val="fr-CA"/>
    </w:rPr>
  </w:style>
  <w:style w:type="paragraph" w:styleId="TM2">
    <w:name w:val="toc 2"/>
    <w:basedOn w:val="Normal"/>
    <w:next w:val="Normal"/>
    <w:autoRedefine/>
    <w:uiPriority w:val="39"/>
    <w:unhideWhenUsed/>
    <w:rsid w:val="009C665E"/>
    <w:pPr>
      <w:tabs>
        <w:tab w:val="left" w:pos="720"/>
        <w:tab w:val="right" w:leader="dot" w:pos="8270"/>
      </w:tabs>
      <w:spacing w:before="120" w:after="120"/>
      <w:ind w:left="432" w:hanging="432"/>
    </w:pPr>
    <w:rPr>
      <w:i/>
      <w:szCs w:val="24"/>
      <w:lang w:val="fr-CA"/>
    </w:rPr>
  </w:style>
  <w:style w:type="paragraph" w:styleId="TM3">
    <w:name w:val="toc 3"/>
    <w:basedOn w:val="Normal"/>
    <w:next w:val="Normal"/>
    <w:autoRedefine/>
    <w:uiPriority w:val="39"/>
    <w:unhideWhenUsed/>
    <w:rsid w:val="009C665E"/>
    <w:pPr>
      <w:tabs>
        <w:tab w:val="left" w:pos="1080"/>
        <w:tab w:val="right" w:leader="dot" w:pos="8270"/>
      </w:tabs>
      <w:spacing w:before="120" w:after="120"/>
      <w:ind w:left="864" w:hanging="432"/>
    </w:pPr>
    <w:rPr>
      <w:noProof/>
      <w:u w:val="single"/>
      <w:lang w:val="fr-CA"/>
    </w:rPr>
  </w:style>
  <w:style w:type="paragraph" w:styleId="TM4">
    <w:name w:val="toc 4"/>
    <w:basedOn w:val="Normal"/>
    <w:next w:val="Normal"/>
    <w:autoRedefine/>
    <w:uiPriority w:val="39"/>
    <w:unhideWhenUsed/>
    <w:rsid w:val="009C665E"/>
    <w:pPr>
      <w:tabs>
        <w:tab w:val="left" w:pos="900"/>
        <w:tab w:val="right" w:leader="dot" w:pos="8270"/>
      </w:tabs>
      <w:spacing w:before="120" w:after="120"/>
      <w:ind w:left="900" w:hanging="450"/>
    </w:pPr>
    <w:rPr>
      <w:rFonts w:eastAsiaTheme="minorEastAsia" w:cstheme="minorBidi"/>
      <w:i/>
      <w:noProof/>
      <w:szCs w:val="22"/>
      <w:lang w:val="fr-CA"/>
    </w:rPr>
  </w:style>
  <w:style w:type="paragraph" w:styleId="TM5">
    <w:name w:val="toc 5"/>
    <w:basedOn w:val="Normal"/>
    <w:next w:val="Normal"/>
    <w:autoRedefine/>
    <w:uiPriority w:val="39"/>
    <w:unhideWhenUsed/>
    <w:rsid w:val="009C665E"/>
    <w:pPr>
      <w:tabs>
        <w:tab w:val="left" w:pos="1440"/>
        <w:tab w:val="right" w:leader="dot" w:pos="8270"/>
      </w:tabs>
      <w:spacing w:before="120" w:after="120"/>
      <w:ind w:left="1454" w:hanging="547"/>
    </w:pPr>
    <w:rPr>
      <w:noProof/>
      <w:u w:val="single"/>
      <w:lang w:val="fr-CA"/>
    </w:rPr>
  </w:style>
  <w:style w:type="paragraph" w:styleId="TM6">
    <w:name w:val="toc 6"/>
    <w:basedOn w:val="Normal"/>
    <w:next w:val="Normal"/>
    <w:autoRedefine/>
    <w:uiPriority w:val="39"/>
    <w:unhideWhenUsed/>
    <w:rsid w:val="009C665E"/>
    <w:pPr>
      <w:tabs>
        <w:tab w:val="left" w:pos="2160"/>
        <w:tab w:val="right" w:leader="dot" w:pos="8270"/>
      </w:tabs>
      <w:spacing w:after="100"/>
      <w:ind w:left="1800"/>
    </w:pPr>
    <w:rPr>
      <w:noProof/>
      <w:lang w:val="fr-CA"/>
    </w:rPr>
  </w:style>
  <w:style w:type="table" w:customStyle="1" w:styleId="TableGrid1">
    <w:name w:val="Table Grid1"/>
    <w:basedOn w:val="TableauNormal"/>
    <w:uiPriority w:val="59"/>
    <w:rsid w:val="009C665E"/>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9C665E"/>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9C665E"/>
    <w:pPr>
      <w:numPr>
        <w:ilvl w:val="5"/>
      </w:numPr>
      <w:outlineLvl w:val="5"/>
    </w:pPr>
    <w:rPr>
      <w:i/>
      <w:u w:val="none"/>
    </w:rPr>
  </w:style>
  <w:style w:type="paragraph" w:styleId="Notedebasdepage">
    <w:name w:val="footnote text"/>
    <w:basedOn w:val="Normal"/>
    <w:link w:val="NotedebasdepageCar"/>
    <w:uiPriority w:val="99"/>
    <w:unhideWhenUsed/>
    <w:rsid w:val="009C665E"/>
    <w:pPr>
      <w:tabs>
        <w:tab w:val="left" w:pos="180"/>
      </w:tabs>
      <w:ind w:left="187" w:hanging="187"/>
      <w:jc w:val="both"/>
    </w:pPr>
    <w:rPr>
      <w:sz w:val="20"/>
      <w:lang w:val="fr-CA"/>
    </w:rPr>
  </w:style>
  <w:style w:type="character" w:customStyle="1" w:styleId="NotedebasdepageCar">
    <w:name w:val="Note de bas de page Car"/>
    <w:basedOn w:val="Policepardfaut"/>
    <w:link w:val="Notedebasdepage"/>
    <w:uiPriority w:val="99"/>
    <w:rsid w:val="009C665E"/>
    <w:rPr>
      <w:lang w:val="fr-CA"/>
    </w:rPr>
  </w:style>
  <w:style w:type="character" w:styleId="Appelnotedebasdep">
    <w:name w:val="footnote reference"/>
    <w:basedOn w:val="Policepardfaut"/>
    <w:uiPriority w:val="99"/>
    <w:semiHidden/>
    <w:unhideWhenUsed/>
    <w:rsid w:val="009C665E"/>
    <w:rPr>
      <w:vertAlign w:val="superscript"/>
    </w:rPr>
  </w:style>
  <w:style w:type="paragraph" w:styleId="Sansinterligne">
    <w:name w:val="No Spacing"/>
    <w:uiPriority w:val="1"/>
    <w:qFormat/>
    <w:rsid w:val="009C665E"/>
    <w:rPr>
      <w:rFonts w:eastAsiaTheme="minorHAnsi" w:cstheme="minorBidi"/>
      <w:sz w:val="24"/>
      <w:szCs w:val="22"/>
      <w:lang w:eastAsia="en-US"/>
    </w:rPr>
  </w:style>
  <w:style w:type="paragraph" w:styleId="Paragraphedeliste">
    <w:name w:val="List Paragraph"/>
    <w:basedOn w:val="Normal"/>
    <w:uiPriority w:val="34"/>
    <w:qFormat/>
    <w:rsid w:val="009C665E"/>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sectionlabel">
    <w:name w:val="sectionlabel"/>
    <w:basedOn w:val="Policepardfaut"/>
    <w:rsid w:val="009C665E"/>
  </w:style>
  <w:style w:type="character" w:customStyle="1" w:styleId="lawlabel">
    <w:name w:val="lawlabel"/>
    <w:basedOn w:val="Policepardfaut"/>
    <w:rsid w:val="009C665E"/>
  </w:style>
  <w:style w:type="paragraph" w:styleId="Rvision">
    <w:name w:val="Revision"/>
    <w:hidden/>
    <w:uiPriority w:val="99"/>
    <w:semiHidden/>
    <w:rsid w:val="009C665E"/>
    <w:rPr>
      <w:sz w:val="24"/>
      <w:szCs w:val="24"/>
    </w:rPr>
  </w:style>
  <w:style w:type="character" w:customStyle="1" w:styleId="Mentionnonrsolue1">
    <w:name w:val="Mention non résolue1"/>
    <w:basedOn w:val="Policepardfaut"/>
    <w:uiPriority w:val="99"/>
    <w:semiHidden/>
    <w:unhideWhenUsed/>
    <w:rsid w:val="009C665E"/>
    <w:rPr>
      <w:color w:val="605E5C"/>
      <w:shd w:val="clear" w:color="auto" w:fill="E1DFDD"/>
    </w:rPr>
  </w:style>
  <w:style w:type="paragraph" w:styleId="Titre">
    <w:name w:val="Title"/>
    <w:basedOn w:val="Normal"/>
    <w:next w:val="Normal"/>
    <w:link w:val="TitreCar"/>
    <w:uiPriority w:val="10"/>
    <w:qFormat/>
    <w:rsid w:val="009C665E"/>
    <w:pPr>
      <w:spacing w:after="80"/>
      <w:contextualSpacing/>
    </w:pPr>
    <w:rPr>
      <w:rFonts w:asciiTheme="majorHAnsi" w:eastAsiaTheme="majorEastAsia" w:hAnsiTheme="majorHAnsi" w:cstheme="majorBidi"/>
      <w:spacing w:val="-10"/>
      <w:kern w:val="28"/>
      <w:sz w:val="56"/>
      <w:szCs w:val="56"/>
      <w:lang w:val="fr-CA"/>
      <w14:ligatures w14:val="standardContextual"/>
    </w:rPr>
  </w:style>
  <w:style w:type="character" w:customStyle="1" w:styleId="TitreCar">
    <w:name w:val="Titre Car"/>
    <w:basedOn w:val="Policepardfaut"/>
    <w:link w:val="Titre"/>
    <w:uiPriority w:val="10"/>
    <w:rsid w:val="009C665E"/>
    <w:rPr>
      <w:rFonts w:asciiTheme="majorHAnsi" w:eastAsiaTheme="majorEastAsia" w:hAnsiTheme="majorHAnsi" w:cstheme="majorBidi"/>
      <w:spacing w:val="-10"/>
      <w:kern w:val="28"/>
      <w:sz w:val="56"/>
      <w:szCs w:val="56"/>
      <w:lang w:val="fr-CA"/>
      <w14:ligatures w14:val="standardContextual"/>
    </w:rPr>
  </w:style>
  <w:style w:type="paragraph" w:styleId="Sous-titre">
    <w:name w:val="Subtitle"/>
    <w:basedOn w:val="Normal"/>
    <w:next w:val="Normal"/>
    <w:link w:val="Sous-titreCar"/>
    <w:uiPriority w:val="11"/>
    <w:qFormat/>
    <w:rsid w:val="009C665E"/>
    <w:pPr>
      <w:numPr>
        <w:ilvl w:val="1"/>
      </w:numPr>
    </w:pPr>
    <w:rPr>
      <w:rFonts w:eastAsiaTheme="majorEastAsia" w:cstheme="majorBidi"/>
      <w:color w:val="595959" w:themeColor="text1" w:themeTint="A6"/>
      <w:spacing w:val="15"/>
      <w:sz w:val="28"/>
      <w:szCs w:val="28"/>
      <w:lang w:val="fr-CA"/>
      <w14:ligatures w14:val="standardContextual"/>
    </w:rPr>
  </w:style>
  <w:style w:type="character" w:customStyle="1" w:styleId="Sous-titreCar">
    <w:name w:val="Sous-titre Car"/>
    <w:basedOn w:val="Policepardfaut"/>
    <w:link w:val="Sous-titre"/>
    <w:uiPriority w:val="11"/>
    <w:rsid w:val="009C665E"/>
    <w:rPr>
      <w:rFonts w:eastAsiaTheme="majorEastAsia" w:cstheme="majorBidi"/>
      <w:color w:val="595959" w:themeColor="text1" w:themeTint="A6"/>
      <w:spacing w:val="15"/>
      <w:sz w:val="28"/>
      <w:szCs w:val="28"/>
      <w:lang w:val="fr-CA"/>
      <w14:ligatures w14:val="standardContextual"/>
    </w:rPr>
  </w:style>
  <w:style w:type="character" w:styleId="Accentuationintense">
    <w:name w:val="Intense Emphasis"/>
    <w:basedOn w:val="Policepardfaut"/>
    <w:uiPriority w:val="21"/>
    <w:qFormat/>
    <w:rsid w:val="009C665E"/>
    <w:rPr>
      <w:i/>
      <w:iCs/>
      <w:color w:val="365F91" w:themeColor="accent1" w:themeShade="BF"/>
    </w:rPr>
  </w:style>
  <w:style w:type="paragraph" w:styleId="Citationintense">
    <w:name w:val="Intense Quote"/>
    <w:basedOn w:val="Normal"/>
    <w:next w:val="Normal"/>
    <w:link w:val="CitationintenseCar"/>
    <w:uiPriority w:val="30"/>
    <w:qFormat/>
    <w:rsid w:val="009C66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szCs w:val="24"/>
      <w:lang w:val="fr-CA"/>
      <w14:ligatures w14:val="standardContextual"/>
    </w:rPr>
  </w:style>
  <w:style w:type="character" w:customStyle="1" w:styleId="CitationintenseCar">
    <w:name w:val="Citation intense Car"/>
    <w:basedOn w:val="Policepardfaut"/>
    <w:link w:val="Citationintense"/>
    <w:uiPriority w:val="30"/>
    <w:rsid w:val="009C665E"/>
    <w:rPr>
      <w:i/>
      <w:iCs/>
      <w:color w:val="365F91" w:themeColor="accent1" w:themeShade="BF"/>
      <w:sz w:val="24"/>
      <w:szCs w:val="24"/>
      <w:lang w:val="fr-CA"/>
      <w14:ligatures w14:val="standardContextual"/>
    </w:rPr>
  </w:style>
  <w:style w:type="character" w:styleId="Rfrenceintense">
    <w:name w:val="Intense Reference"/>
    <w:basedOn w:val="Policepardfaut"/>
    <w:uiPriority w:val="32"/>
    <w:qFormat/>
    <w:rsid w:val="009C665E"/>
    <w:rPr>
      <w:b/>
      <w:bCs/>
      <w:smallCaps/>
      <w:color w:val="365F91" w:themeColor="accent1" w:themeShade="BF"/>
      <w:spacing w:val="5"/>
    </w:rPr>
  </w:style>
  <w:style w:type="character" w:styleId="Lienvisit">
    <w:name w:val="FollowedHyperlink"/>
    <w:basedOn w:val="Policepardfaut"/>
    <w:uiPriority w:val="99"/>
    <w:semiHidden/>
    <w:unhideWhenUsed/>
    <w:rsid w:val="009C665E"/>
    <w:rPr>
      <w:color w:val="800080" w:themeColor="followedHyperlink"/>
      <w:u w:val="single"/>
    </w:rPr>
  </w:style>
  <w:style w:type="character" w:styleId="Accentuation">
    <w:name w:val="Emphasis"/>
    <w:basedOn w:val="Policepardfaut"/>
    <w:uiPriority w:val="20"/>
    <w:qFormat/>
    <w:rsid w:val="009C665E"/>
    <w:rPr>
      <w:i/>
      <w:iCs/>
    </w:rPr>
  </w:style>
  <w:style w:type="paragraph" w:customStyle="1" w:styleId="marginalnote">
    <w:name w:val="marginalnote"/>
    <w:basedOn w:val="Normal"/>
    <w:rsid w:val="009C665E"/>
    <w:pPr>
      <w:spacing w:before="100" w:beforeAutospacing="1" w:after="100" w:afterAutospacing="1"/>
    </w:pPr>
    <w:rPr>
      <w:szCs w:val="24"/>
      <w:lang w:val="fr-CA" w:eastAsia="fr-CA"/>
    </w:rPr>
  </w:style>
  <w:style w:type="paragraph" w:customStyle="1" w:styleId="subsection">
    <w:name w:val="subsection"/>
    <w:basedOn w:val="Normal"/>
    <w:rsid w:val="009C665E"/>
    <w:pPr>
      <w:spacing w:before="100" w:beforeAutospacing="1" w:after="100" w:afterAutospacing="1"/>
    </w:pPr>
    <w:rPr>
      <w:szCs w:val="24"/>
      <w:lang w:val="fr-CA" w:eastAsia="fr-CA"/>
    </w:rPr>
  </w:style>
  <w:style w:type="paragraph" w:customStyle="1" w:styleId="paragraph">
    <w:name w:val="paragraph"/>
    <w:basedOn w:val="Normal"/>
    <w:rsid w:val="009C665E"/>
    <w:pPr>
      <w:spacing w:before="100" w:beforeAutospacing="1" w:after="100" w:afterAutospacing="1"/>
    </w:pPr>
    <w:rPr>
      <w:szCs w:val="24"/>
      <w:lang w:val="fr-CA" w:eastAsia="fr-CA"/>
    </w:rPr>
  </w:style>
  <w:style w:type="paragraph" w:customStyle="1" w:styleId="subparagraph">
    <w:name w:val="subparagraph"/>
    <w:basedOn w:val="Normal"/>
    <w:rsid w:val="009C665E"/>
    <w:pPr>
      <w:spacing w:before="100" w:beforeAutospacing="1" w:after="100" w:afterAutospacing="1"/>
    </w:pPr>
    <w:rPr>
      <w:szCs w:val="24"/>
      <w:lang w:val="fr-CA" w:eastAsia="fr-CA"/>
    </w:rPr>
  </w:style>
  <w:style w:type="character" w:customStyle="1" w:styleId="repealed">
    <w:name w:val="repealed"/>
    <w:basedOn w:val="Policepardfaut"/>
    <w:rsid w:val="009C665E"/>
  </w:style>
  <w:style w:type="character" w:customStyle="1" w:styleId="wb-invisible">
    <w:name w:val="wb-invisible"/>
    <w:basedOn w:val="Policepardfaut"/>
    <w:rsid w:val="009C665E"/>
  </w:style>
  <w:style w:type="table" w:customStyle="1" w:styleId="TableGrid2">
    <w:name w:val="Table Grid2"/>
    <w:basedOn w:val="TableauNormal"/>
    <w:next w:val="Grilledutableau"/>
    <w:uiPriority w:val="59"/>
    <w:rsid w:val="009C665E"/>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9953">
      <w:bodyDiv w:val="1"/>
      <w:marLeft w:val="0"/>
      <w:marRight w:val="0"/>
      <w:marTop w:val="0"/>
      <w:marBottom w:val="0"/>
      <w:divBdr>
        <w:top w:val="none" w:sz="0" w:space="0" w:color="auto"/>
        <w:left w:val="none" w:sz="0" w:space="0" w:color="auto"/>
        <w:bottom w:val="none" w:sz="0" w:space="0" w:color="auto"/>
        <w:right w:val="none" w:sz="0" w:space="0" w:color="auto"/>
      </w:divBdr>
    </w:div>
    <w:div w:id="10423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ccourts.ca/jdb-txt/ca/23/01/2023BCCA0152.htm" TargetMode="External"/><Relationship Id="rId4" Type="http://schemas.openxmlformats.org/officeDocument/2006/relationships/settings" Target="settings.xml"/><Relationship Id="rId9" Type="http://schemas.openxmlformats.org/officeDocument/2006/relationships/image" Target="cid:image001.jpg@01D72252.19B69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0129-4CE0-45B5-B62C-D1B48EC0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184</Pages>
  <Words>46316</Words>
  <Characters>254739</Characters>
  <Application>Microsoft Office Word</Application>
  <DocSecurity>0</DocSecurity>
  <Lines>2122</Lines>
  <Paragraphs>600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300455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2025-06-06T00:51:00Z</dcterms:created>
  <dcterms:modified xsi:type="dcterms:W3CDTF">2025-06-06T13:47:00Z</dcterms:modified>
</cp:coreProperties>
</file>