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F953C" w14:textId="73BEFF64" w:rsidR="003D5FDD" w:rsidRPr="003D5FDD" w:rsidRDefault="003D5FDD">
      <w:pPr>
        <w:rPr>
          <w:b/>
          <w:bCs/>
          <w:lang w:val="en-CA"/>
        </w:rPr>
      </w:pPr>
      <w:r w:rsidRPr="003D5FDD">
        <w:rPr>
          <w:b/>
          <w:bCs/>
          <w:lang w:val="en-CA"/>
        </w:rPr>
        <w:t>English translation of the judgment of the Court</w:t>
      </w:r>
    </w:p>
    <w:tbl>
      <w:tblPr>
        <w:tblW w:w="9360" w:type="dxa"/>
        <w:tblLayout w:type="fixed"/>
        <w:tblCellMar>
          <w:left w:w="0" w:type="dxa"/>
          <w:right w:w="0" w:type="dxa"/>
        </w:tblCellMar>
        <w:tblLook w:val="0000" w:firstRow="0" w:lastRow="0" w:firstColumn="0" w:lastColumn="0" w:noHBand="0" w:noVBand="0"/>
      </w:tblPr>
      <w:tblGrid>
        <w:gridCol w:w="1030"/>
        <w:gridCol w:w="590"/>
        <w:gridCol w:w="2350"/>
        <w:gridCol w:w="3402"/>
        <w:gridCol w:w="1988"/>
      </w:tblGrid>
      <w:tr w:rsidR="00965850" w:rsidRPr="000E73A2" w14:paraId="4F165F26" w14:textId="77777777" w:rsidTr="008D18FC">
        <w:trPr>
          <w:trHeight w:val="248"/>
        </w:trPr>
        <w:tc>
          <w:tcPr>
            <w:tcW w:w="7372" w:type="dxa"/>
            <w:gridSpan w:val="4"/>
          </w:tcPr>
          <w:p w14:paraId="463A665E" w14:textId="52E0B931" w:rsidR="008F364A" w:rsidRPr="000E73A2" w:rsidRDefault="00276A1F">
            <w:pPr>
              <w:pStyle w:val="zSoquijdatRepertorie"/>
              <w:rPr>
                <w:lang w:val="en-CA"/>
              </w:rPr>
            </w:pPr>
            <w:r w:rsidRPr="000E73A2">
              <w:rPr>
                <w:lang w:val="en-CA"/>
              </w:rPr>
              <w:t xml:space="preserve">R. </w:t>
            </w:r>
            <w:r w:rsidR="006E767E">
              <w:rPr>
                <w:lang w:val="en-CA"/>
              </w:rPr>
              <w:t>c</w:t>
            </w:r>
            <w:r w:rsidRPr="000E73A2">
              <w:rPr>
                <w:lang w:val="en-CA"/>
              </w:rPr>
              <w:t>. Ouellet</w:t>
            </w:r>
          </w:p>
        </w:tc>
        <w:tc>
          <w:tcPr>
            <w:tcW w:w="1988" w:type="dxa"/>
          </w:tcPr>
          <w:p w14:paraId="49760122" w14:textId="6BD803FE" w:rsidR="008F364A" w:rsidRPr="000E73A2" w:rsidRDefault="00276A1F">
            <w:pPr>
              <w:pStyle w:val="zSoquijdatRefNeutre"/>
              <w:rPr>
                <w:lang w:val="en-CA"/>
              </w:rPr>
            </w:pPr>
            <w:r w:rsidRPr="000E73A2">
              <w:rPr>
                <w:lang w:val="en-CA"/>
              </w:rPr>
              <w:t>2025 QCCA 347</w:t>
            </w:r>
          </w:p>
        </w:tc>
      </w:tr>
      <w:tr w:rsidR="00965850" w:rsidRPr="000E73A2" w14:paraId="31F5020F" w14:textId="77777777" w:rsidTr="008D18FC">
        <w:trPr>
          <w:trHeight w:val="247"/>
        </w:trPr>
        <w:tc>
          <w:tcPr>
            <w:tcW w:w="9360" w:type="dxa"/>
            <w:gridSpan w:val="5"/>
          </w:tcPr>
          <w:p w14:paraId="284D20EE" w14:textId="68D2A2FB" w:rsidR="008F364A" w:rsidRPr="000E73A2" w:rsidRDefault="00276A1F">
            <w:pPr>
              <w:pStyle w:val="zSoquijlblCour"/>
              <w:rPr>
                <w:lang w:val="en-CA"/>
              </w:rPr>
            </w:pPr>
            <w:r w:rsidRPr="000E73A2">
              <w:rPr>
                <w:lang w:val="en-CA"/>
              </w:rPr>
              <w:t>COUR</w:t>
            </w:r>
            <w:r w:rsidR="000E73A2">
              <w:rPr>
                <w:lang w:val="en-CA"/>
              </w:rPr>
              <w:t xml:space="preserve">T OF </w:t>
            </w:r>
            <w:r w:rsidRPr="000E73A2">
              <w:rPr>
                <w:lang w:val="en-CA"/>
              </w:rPr>
              <w:t>APPE</w:t>
            </w:r>
            <w:r w:rsidR="000E73A2">
              <w:rPr>
                <w:lang w:val="en-CA"/>
              </w:rPr>
              <w:t>A</w:t>
            </w:r>
            <w:r w:rsidRPr="000E73A2">
              <w:rPr>
                <w:lang w:val="en-CA"/>
              </w:rPr>
              <w:t>L</w:t>
            </w:r>
          </w:p>
        </w:tc>
      </w:tr>
      <w:tr w:rsidR="00965850" w:rsidRPr="000E73A2" w14:paraId="45DADE4C" w14:textId="77777777" w:rsidTr="008D18FC">
        <w:trPr>
          <w:trHeight w:val="540"/>
        </w:trPr>
        <w:tc>
          <w:tcPr>
            <w:tcW w:w="9360" w:type="dxa"/>
            <w:gridSpan w:val="5"/>
          </w:tcPr>
          <w:p w14:paraId="1F5CCAC0" w14:textId="77777777" w:rsidR="008F364A" w:rsidRPr="000E73A2" w:rsidRDefault="008F364A">
            <w:pPr>
              <w:pStyle w:val="zSoquijdatDivision"/>
              <w:rPr>
                <w:lang w:val="en-CA"/>
              </w:rPr>
            </w:pPr>
          </w:p>
        </w:tc>
      </w:tr>
      <w:tr w:rsidR="00965850" w:rsidRPr="000E73A2" w14:paraId="1E1174EF" w14:textId="77777777" w:rsidTr="008D18FC">
        <w:tc>
          <w:tcPr>
            <w:tcW w:w="9360" w:type="dxa"/>
            <w:gridSpan w:val="5"/>
          </w:tcPr>
          <w:p w14:paraId="788EEC70" w14:textId="77777777" w:rsidR="008F364A" w:rsidRPr="000E73A2" w:rsidRDefault="00276A1F">
            <w:pPr>
              <w:pStyle w:val="zSoquijlblPays"/>
              <w:rPr>
                <w:lang w:val="en-CA"/>
              </w:rPr>
            </w:pPr>
            <w:r w:rsidRPr="000E73A2">
              <w:rPr>
                <w:lang w:val="en-CA"/>
              </w:rPr>
              <w:t>CANADA</w:t>
            </w:r>
          </w:p>
        </w:tc>
      </w:tr>
      <w:tr w:rsidR="00965850" w:rsidRPr="000E73A2" w14:paraId="3A3DDCEC" w14:textId="77777777" w:rsidTr="008D18FC">
        <w:tc>
          <w:tcPr>
            <w:tcW w:w="9360" w:type="dxa"/>
            <w:gridSpan w:val="5"/>
          </w:tcPr>
          <w:p w14:paraId="1EBFAC33" w14:textId="6B4A3E72" w:rsidR="008F364A" w:rsidRPr="000E73A2" w:rsidRDefault="00276A1F">
            <w:pPr>
              <w:pStyle w:val="zSoquijlblProvince"/>
              <w:rPr>
                <w:lang w:val="en-CA"/>
              </w:rPr>
            </w:pPr>
            <w:r w:rsidRPr="000E73A2">
              <w:rPr>
                <w:lang w:val="en-CA"/>
              </w:rPr>
              <w:t xml:space="preserve">PROVINCE </w:t>
            </w:r>
            <w:r w:rsidR="000E73A2">
              <w:rPr>
                <w:lang w:val="en-CA"/>
              </w:rPr>
              <w:t>OF</w:t>
            </w:r>
            <w:r w:rsidRPr="000E73A2">
              <w:rPr>
                <w:lang w:val="en-CA"/>
              </w:rPr>
              <w:t xml:space="preserve"> QU</w:t>
            </w:r>
            <w:r w:rsidR="000E73A2">
              <w:rPr>
                <w:lang w:val="en-CA"/>
              </w:rPr>
              <w:t>E</w:t>
            </w:r>
            <w:r w:rsidRPr="000E73A2">
              <w:rPr>
                <w:lang w:val="en-CA"/>
              </w:rPr>
              <w:t>BEC</w:t>
            </w:r>
          </w:p>
        </w:tc>
      </w:tr>
      <w:tr w:rsidR="00965850" w:rsidRPr="000E73A2" w14:paraId="3A7EE76D" w14:textId="77777777" w:rsidTr="00975BD4">
        <w:tc>
          <w:tcPr>
            <w:tcW w:w="9360" w:type="dxa"/>
            <w:gridSpan w:val="5"/>
          </w:tcPr>
          <w:p w14:paraId="2E3C8610" w14:textId="0A6A72DB" w:rsidR="00EC03FE" w:rsidRPr="000E73A2" w:rsidRDefault="000E73A2" w:rsidP="00EC03FE">
            <w:pPr>
              <w:pStyle w:val="zSoquijlblGreffe"/>
              <w:rPr>
                <w:lang w:val="en-CA"/>
              </w:rPr>
            </w:pPr>
            <w:r>
              <w:rPr>
                <w:lang w:val="en-CA"/>
              </w:rPr>
              <w:t>MONTREAL SEAT</w:t>
            </w:r>
          </w:p>
          <w:p w14:paraId="184F6FC0" w14:textId="6124DA2A" w:rsidR="00EC03FE" w:rsidRPr="000E73A2" w:rsidRDefault="00EC03FE" w:rsidP="00EC03FE">
            <w:pPr>
              <w:pStyle w:val="zSoquijlblGreffe"/>
              <w:rPr>
                <w:lang w:val="en-CA"/>
              </w:rPr>
            </w:pPr>
          </w:p>
        </w:tc>
      </w:tr>
      <w:tr w:rsidR="00965850" w:rsidRPr="000E73A2" w14:paraId="43384256" w14:textId="77777777" w:rsidTr="008D18FC">
        <w:tc>
          <w:tcPr>
            <w:tcW w:w="1030" w:type="dxa"/>
          </w:tcPr>
          <w:p w14:paraId="31810FCC" w14:textId="7B044654" w:rsidR="008F364A" w:rsidRPr="000E73A2" w:rsidRDefault="00276A1F">
            <w:pPr>
              <w:pStyle w:val="zSoquijlblNoDossier"/>
              <w:rPr>
                <w:lang w:val="en-CA"/>
              </w:rPr>
            </w:pPr>
            <w:r w:rsidRPr="000E73A2">
              <w:rPr>
                <w:lang w:val="en-CA"/>
              </w:rPr>
              <w:t>N</w:t>
            </w:r>
            <w:r w:rsidR="000E73A2">
              <w:rPr>
                <w:lang w:val="en-CA"/>
              </w:rPr>
              <w:t>o.</w:t>
            </w:r>
            <w:r w:rsidR="001F5BCD">
              <w:rPr>
                <w:lang w:val="en-CA"/>
              </w:rPr>
              <w:t>:</w:t>
            </w:r>
          </w:p>
        </w:tc>
        <w:tc>
          <w:tcPr>
            <w:tcW w:w="8330" w:type="dxa"/>
            <w:gridSpan w:val="4"/>
          </w:tcPr>
          <w:p w14:paraId="3F47DEB9" w14:textId="77777777" w:rsidR="008F364A" w:rsidRPr="000E73A2" w:rsidRDefault="00276A1F">
            <w:pPr>
              <w:pStyle w:val="zSoquijdatNoDossier"/>
              <w:rPr>
                <w:lang w:val="en-CA"/>
              </w:rPr>
            </w:pPr>
            <w:bookmarkStart w:id="0" w:name="NoDossier"/>
            <w:r w:rsidRPr="000E73A2">
              <w:rPr>
                <w:lang w:val="en-CA"/>
              </w:rPr>
              <w:t>500-10-700053-232</w:t>
            </w:r>
            <w:bookmarkEnd w:id="0"/>
          </w:p>
        </w:tc>
      </w:tr>
      <w:tr w:rsidR="00965850" w:rsidRPr="000E73A2" w14:paraId="55267DBD" w14:textId="77777777" w:rsidTr="008D18FC">
        <w:tc>
          <w:tcPr>
            <w:tcW w:w="9360" w:type="dxa"/>
            <w:gridSpan w:val="5"/>
          </w:tcPr>
          <w:p w14:paraId="6055C2FE" w14:textId="77777777" w:rsidR="00D16126" w:rsidRPr="000E73A2" w:rsidRDefault="00276A1F" w:rsidP="00D16126">
            <w:pPr>
              <w:pStyle w:val="zSoquijdatNoDossierAnt"/>
              <w:rPr>
                <w:lang w:val="en-CA"/>
              </w:rPr>
            </w:pPr>
            <w:r w:rsidRPr="000E73A2">
              <w:rPr>
                <w:lang w:val="en-CA"/>
              </w:rPr>
              <w:t>(540-01-098396-206)</w:t>
            </w:r>
          </w:p>
        </w:tc>
      </w:tr>
      <w:tr w:rsidR="00965850" w:rsidRPr="000E73A2" w14:paraId="1D970741" w14:textId="77777777" w:rsidTr="008D18FC">
        <w:tc>
          <w:tcPr>
            <w:tcW w:w="9360" w:type="dxa"/>
            <w:gridSpan w:val="5"/>
          </w:tcPr>
          <w:p w14:paraId="40B291FA" w14:textId="77777777" w:rsidR="008F364A" w:rsidRPr="000E73A2" w:rsidRDefault="008F364A">
            <w:pPr>
              <w:rPr>
                <w:lang w:val="en-CA"/>
              </w:rPr>
            </w:pPr>
          </w:p>
        </w:tc>
      </w:tr>
      <w:tr w:rsidR="00965850" w:rsidRPr="000E73A2" w14:paraId="04BF51DC" w14:textId="77777777" w:rsidTr="008D18FC">
        <w:tc>
          <w:tcPr>
            <w:tcW w:w="1030" w:type="dxa"/>
          </w:tcPr>
          <w:p w14:paraId="45FDFD83" w14:textId="101C95D1" w:rsidR="008F364A" w:rsidRPr="000E73A2" w:rsidRDefault="00276A1F">
            <w:pPr>
              <w:pStyle w:val="zSoquijlblDateJugement"/>
              <w:rPr>
                <w:lang w:val="en-CA"/>
              </w:rPr>
            </w:pPr>
            <w:r w:rsidRPr="000E73A2">
              <w:rPr>
                <w:lang w:val="en-CA"/>
              </w:rPr>
              <w:t>DATE:</w:t>
            </w:r>
          </w:p>
        </w:tc>
        <w:tc>
          <w:tcPr>
            <w:tcW w:w="8330" w:type="dxa"/>
            <w:gridSpan w:val="4"/>
          </w:tcPr>
          <w:p w14:paraId="3BF36D92" w14:textId="7BFBF549" w:rsidR="008F364A" w:rsidRPr="000E73A2" w:rsidRDefault="000E73A2">
            <w:pPr>
              <w:pStyle w:val="zSoquijdatDateJugement"/>
              <w:rPr>
                <w:lang w:val="en-CA"/>
              </w:rPr>
            </w:pPr>
            <w:r>
              <w:rPr>
                <w:lang w:val="en-CA"/>
              </w:rPr>
              <w:t>April 8,</w:t>
            </w:r>
            <w:r w:rsidR="004E7D4B" w:rsidRPr="000E73A2">
              <w:rPr>
                <w:lang w:val="en-CA"/>
              </w:rPr>
              <w:t xml:space="preserve"> 2025</w:t>
            </w:r>
          </w:p>
        </w:tc>
      </w:tr>
      <w:tr w:rsidR="00965850" w:rsidRPr="000E73A2" w14:paraId="296C5A7D" w14:textId="77777777" w:rsidTr="008D18FC">
        <w:tc>
          <w:tcPr>
            <w:tcW w:w="9360" w:type="dxa"/>
            <w:gridSpan w:val="5"/>
            <w:tcBorders>
              <w:bottom w:val="single" w:sz="8" w:space="0" w:color="auto"/>
            </w:tcBorders>
          </w:tcPr>
          <w:p w14:paraId="3AB413E7" w14:textId="77777777" w:rsidR="008F364A" w:rsidRPr="000E73A2" w:rsidRDefault="008F364A">
            <w:pPr>
              <w:rPr>
                <w:lang w:val="en-CA"/>
              </w:rPr>
            </w:pPr>
          </w:p>
        </w:tc>
      </w:tr>
      <w:tr w:rsidR="00965850" w:rsidRPr="000E73A2" w14:paraId="4CF0996D" w14:textId="77777777" w:rsidTr="008D18FC">
        <w:tc>
          <w:tcPr>
            <w:tcW w:w="9360" w:type="dxa"/>
            <w:gridSpan w:val="5"/>
            <w:tcBorders>
              <w:top w:val="single" w:sz="8" w:space="0" w:color="auto"/>
            </w:tcBorders>
          </w:tcPr>
          <w:p w14:paraId="3CD83185" w14:textId="77777777" w:rsidR="008F364A" w:rsidRPr="000E73A2" w:rsidRDefault="008F364A">
            <w:pPr>
              <w:rPr>
                <w:lang w:val="en-CA"/>
              </w:rPr>
            </w:pPr>
          </w:p>
        </w:tc>
      </w:tr>
      <w:tr w:rsidR="00965850" w:rsidRPr="000E73A2" w14:paraId="5C2F4BD8" w14:textId="77777777" w:rsidTr="008D18FC">
        <w:tc>
          <w:tcPr>
            <w:tcW w:w="1620" w:type="dxa"/>
            <w:gridSpan w:val="2"/>
          </w:tcPr>
          <w:p w14:paraId="453AC9D5" w14:textId="61E8D0BE" w:rsidR="008F364A" w:rsidRPr="000E73A2" w:rsidRDefault="000E73A2" w:rsidP="00423DF1">
            <w:pPr>
              <w:pStyle w:val="zSoquijlblJuge"/>
              <w:ind w:right="-142"/>
              <w:rPr>
                <w:lang w:val="en-CA"/>
              </w:rPr>
            </w:pPr>
            <w:bookmarkStart w:id="1" w:name="FORMATION"/>
            <w:r>
              <w:rPr>
                <w:lang w:val="en-CA"/>
              </w:rPr>
              <w:t>CORAM</w:t>
            </w:r>
            <w:r w:rsidR="00740A17" w:rsidRPr="000E73A2">
              <w:rPr>
                <w:lang w:val="en-CA"/>
              </w:rPr>
              <w:t>:</w:t>
            </w:r>
            <w:bookmarkEnd w:id="1"/>
          </w:p>
        </w:tc>
        <w:tc>
          <w:tcPr>
            <w:tcW w:w="2350" w:type="dxa"/>
          </w:tcPr>
          <w:p w14:paraId="7B5DC50B" w14:textId="01A9D636" w:rsidR="008F364A" w:rsidRPr="000E73A2" w:rsidRDefault="000E73A2">
            <w:pPr>
              <w:pStyle w:val="zSoquijdatQteJuge"/>
              <w:rPr>
                <w:lang w:val="en-CA"/>
              </w:rPr>
            </w:pPr>
            <w:r>
              <w:rPr>
                <w:lang w:val="en-CA"/>
              </w:rPr>
              <w:t>THE HONOURABLE</w:t>
            </w:r>
          </w:p>
        </w:tc>
        <w:tc>
          <w:tcPr>
            <w:tcW w:w="5390" w:type="dxa"/>
            <w:gridSpan w:val="2"/>
          </w:tcPr>
          <w:p w14:paraId="575D40F0" w14:textId="60BE6A6B" w:rsidR="008F364A" w:rsidRPr="000E73A2" w:rsidRDefault="00276A1F">
            <w:pPr>
              <w:pStyle w:val="zSoquijdatJuge"/>
              <w:rPr>
                <w:lang w:val="en-CA"/>
              </w:rPr>
            </w:pPr>
            <w:bookmarkStart w:id="2" w:name="NomJuge1"/>
            <w:r w:rsidRPr="000E73A2">
              <w:rPr>
                <w:lang w:val="en-CA"/>
              </w:rPr>
              <w:t>BENOÎT MOORE, J.A.</w:t>
            </w:r>
            <w:bookmarkEnd w:id="2"/>
          </w:p>
          <w:p w14:paraId="2F912077" w14:textId="6239BAA5" w:rsidR="008F364A" w:rsidRPr="000E73A2" w:rsidRDefault="00276A1F">
            <w:pPr>
              <w:pStyle w:val="zSoquijdatJuge"/>
              <w:rPr>
                <w:lang w:val="en-CA"/>
              </w:rPr>
            </w:pPr>
            <w:bookmarkStart w:id="3" w:name="NomJuge2"/>
            <w:r w:rsidRPr="000E73A2">
              <w:rPr>
                <w:lang w:val="en-CA"/>
              </w:rPr>
              <w:t>GUY COURNOYER, J.A.</w:t>
            </w:r>
            <w:bookmarkEnd w:id="3"/>
          </w:p>
          <w:p w14:paraId="6D973092" w14:textId="103F7036" w:rsidR="005A78BF" w:rsidRPr="000E73A2" w:rsidRDefault="00276A1F" w:rsidP="00D16126">
            <w:pPr>
              <w:pStyle w:val="zSoquijdatJuge"/>
              <w:rPr>
                <w:lang w:val="en-CA"/>
              </w:rPr>
            </w:pPr>
            <w:bookmarkStart w:id="4" w:name="_Hlt520513784"/>
            <w:bookmarkStart w:id="5" w:name="NomJuge3"/>
            <w:bookmarkEnd w:id="4"/>
            <w:r w:rsidRPr="000E73A2">
              <w:rPr>
                <w:lang w:val="en-CA"/>
              </w:rPr>
              <w:t>FRÉDÉRIC BACHAND, J.A.</w:t>
            </w:r>
            <w:bookmarkEnd w:id="5"/>
          </w:p>
        </w:tc>
      </w:tr>
      <w:tr w:rsidR="00965850" w:rsidRPr="000E73A2" w14:paraId="756D344B" w14:textId="77777777" w:rsidTr="008D18FC">
        <w:tc>
          <w:tcPr>
            <w:tcW w:w="9360" w:type="dxa"/>
            <w:gridSpan w:val="5"/>
            <w:tcBorders>
              <w:bottom w:val="single" w:sz="8" w:space="0" w:color="auto"/>
            </w:tcBorders>
          </w:tcPr>
          <w:p w14:paraId="1D7D9296" w14:textId="77777777" w:rsidR="008F364A" w:rsidRPr="000E73A2" w:rsidRDefault="008F364A">
            <w:pPr>
              <w:rPr>
                <w:lang w:val="en-CA"/>
              </w:rPr>
            </w:pPr>
          </w:p>
        </w:tc>
      </w:tr>
      <w:tr w:rsidR="00965850" w:rsidRPr="000E73A2" w14:paraId="29755207" w14:textId="77777777" w:rsidTr="008D18FC">
        <w:tc>
          <w:tcPr>
            <w:tcW w:w="9360" w:type="dxa"/>
            <w:gridSpan w:val="5"/>
          </w:tcPr>
          <w:p w14:paraId="797C1D19" w14:textId="77777777" w:rsidR="008F364A" w:rsidRPr="000E73A2" w:rsidRDefault="008F364A">
            <w:pPr>
              <w:pStyle w:val="zSoquijlblTitrePartie"/>
              <w:rPr>
                <w:lang w:val="en-CA"/>
              </w:rPr>
            </w:pPr>
          </w:p>
        </w:tc>
      </w:tr>
      <w:tr w:rsidR="00965850" w:rsidRPr="000E73A2" w14:paraId="5483D8D9" w14:textId="77777777" w:rsidTr="008D18FC">
        <w:tc>
          <w:tcPr>
            <w:tcW w:w="9360" w:type="dxa"/>
            <w:gridSpan w:val="5"/>
          </w:tcPr>
          <w:p w14:paraId="14D89975" w14:textId="13A4987F" w:rsidR="008F364A" w:rsidRPr="000E73A2" w:rsidRDefault="000E73A2">
            <w:pPr>
              <w:pStyle w:val="zSoquijdatNomPartieDem"/>
              <w:rPr>
                <w:lang w:val="en-CA"/>
              </w:rPr>
            </w:pPr>
            <w:r>
              <w:rPr>
                <w:lang w:val="en-CA"/>
              </w:rPr>
              <w:t>HIS MAJESTY THE KING</w:t>
            </w:r>
          </w:p>
        </w:tc>
      </w:tr>
      <w:tr w:rsidR="00965850" w:rsidRPr="000E73A2" w14:paraId="0FC35F79" w14:textId="77777777" w:rsidTr="008D18FC">
        <w:tc>
          <w:tcPr>
            <w:tcW w:w="9360" w:type="dxa"/>
            <w:gridSpan w:val="5"/>
          </w:tcPr>
          <w:p w14:paraId="6122D146" w14:textId="4F9C960F" w:rsidR="008F364A" w:rsidRPr="000E73A2" w:rsidRDefault="00276A1F">
            <w:pPr>
              <w:pStyle w:val="zSoquijdatQtePartieDem"/>
              <w:rPr>
                <w:lang w:val="en-CA"/>
              </w:rPr>
            </w:pPr>
            <w:r w:rsidRPr="000E73A2">
              <w:rPr>
                <w:lang w:val="en-CA"/>
              </w:rPr>
              <w:t>APPEL</w:t>
            </w:r>
            <w:r w:rsidR="000E73A2">
              <w:rPr>
                <w:lang w:val="en-CA"/>
              </w:rPr>
              <w:t>L</w:t>
            </w:r>
            <w:r w:rsidRPr="000E73A2">
              <w:rPr>
                <w:lang w:val="en-CA"/>
              </w:rPr>
              <w:t xml:space="preserve">ANT – </w:t>
            </w:r>
            <w:r w:rsidR="000E73A2">
              <w:rPr>
                <w:lang w:val="en-CA"/>
              </w:rPr>
              <w:t>Prosecutor</w:t>
            </w:r>
          </w:p>
        </w:tc>
      </w:tr>
      <w:tr w:rsidR="00965850" w:rsidRPr="000E73A2" w14:paraId="05DF3E5D" w14:textId="77777777" w:rsidTr="008D18FC">
        <w:tc>
          <w:tcPr>
            <w:tcW w:w="9360" w:type="dxa"/>
            <w:gridSpan w:val="5"/>
          </w:tcPr>
          <w:p w14:paraId="55324DCB" w14:textId="358391D7" w:rsidR="008F364A" w:rsidRPr="000E73A2" w:rsidRDefault="000E73A2">
            <w:pPr>
              <w:pStyle w:val="zSoquijlblLienParties"/>
              <w:rPr>
                <w:lang w:val="en-CA"/>
              </w:rPr>
            </w:pPr>
            <w:r>
              <w:rPr>
                <w:lang w:val="en-CA"/>
              </w:rPr>
              <w:t>v</w:t>
            </w:r>
            <w:r w:rsidR="00276A1F" w:rsidRPr="000E73A2">
              <w:rPr>
                <w:lang w:val="en-CA"/>
              </w:rPr>
              <w:t>.</w:t>
            </w:r>
          </w:p>
        </w:tc>
      </w:tr>
      <w:tr w:rsidR="00965850" w:rsidRPr="000E73A2" w14:paraId="186830FA" w14:textId="77777777" w:rsidTr="008D18FC">
        <w:tc>
          <w:tcPr>
            <w:tcW w:w="9360" w:type="dxa"/>
            <w:gridSpan w:val="5"/>
          </w:tcPr>
          <w:p w14:paraId="6068328D" w14:textId="77777777" w:rsidR="008F364A" w:rsidRPr="000E73A2" w:rsidRDefault="008F364A">
            <w:pPr>
              <w:rPr>
                <w:lang w:val="en-CA"/>
              </w:rPr>
            </w:pPr>
          </w:p>
        </w:tc>
      </w:tr>
      <w:tr w:rsidR="00965850" w:rsidRPr="000E73A2" w14:paraId="57A23B0D" w14:textId="77777777" w:rsidTr="008D18FC">
        <w:tc>
          <w:tcPr>
            <w:tcW w:w="9360" w:type="dxa"/>
            <w:gridSpan w:val="5"/>
          </w:tcPr>
          <w:p w14:paraId="702BB3EB" w14:textId="4E9091CF" w:rsidR="008F364A" w:rsidRPr="000E73A2" w:rsidRDefault="00276A1F">
            <w:pPr>
              <w:pStyle w:val="zSoquijdatNomPartieDef"/>
              <w:rPr>
                <w:lang w:val="en-CA"/>
              </w:rPr>
            </w:pPr>
            <w:r w:rsidRPr="000E73A2">
              <w:rPr>
                <w:lang w:val="en-CA"/>
              </w:rPr>
              <w:t>GAÉTAN OUELLET</w:t>
            </w:r>
          </w:p>
        </w:tc>
      </w:tr>
      <w:tr w:rsidR="00965850" w:rsidRPr="000E73A2" w14:paraId="3C29C46E" w14:textId="77777777" w:rsidTr="008D18FC">
        <w:tc>
          <w:tcPr>
            <w:tcW w:w="9360" w:type="dxa"/>
            <w:gridSpan w:val="5"/>
          </w:tcPr>
          <w:p w14:paraId="05C04528" w14:textId="4299A5AF" w:rsidR="008F364A" w:rsidRPr="000E73A2" w:rsidRDefault="000E73A2">
            <w:pPr>
              <w:pStyle w:val="zSoquijdatQtePartieDef"/>
              <w:rPr>
                <w:lang w:val="en-CA"/>
              </w:rPr>
            </w:pPr>
            <w:r>
              <w:rPr>
                <w:lang w:val="en-CA"/>
              </w:rPr>
              <w:t>RESPONDENT</w:t>
            </w:r>
            <w:r w:rsidR="00276A1F" w:rsidRPr="000E73A2">
              <w:rPr>
                <w:lang w:val="en-CA"/>
              </w:rPr>
              <w:t xml:space="preserve"> – </w:t>
            </w:r>
            <w:r>
              <w:rPr>
                <w:lang w:val="en-CA"/>
              </w:rPr>
              <w:t>Accused</w:t>
            </w:r>
          </w:p>
        </w:tc>
      </w:tr>
      <w:tr w:rsidR="00965850" w:rsidRPr="000E73A2" w14:paraId="1F4EFF5E" w14:textId="77777777" w:rsidTr="008D18FC">
        <w:tc>
          <w:tcPr>
            <w:tcW w:w="9360" w:type="dxa"/>
            <w:gridSpan w:val="5"/>
          </w:tcPr>
          <w:p w14:paraId="296192F1" w14:textId="77777777" w:rsidR="008F364A" w:rsidRPr="000E73A2" w:rsidRDefault="008F364A">
            <w:pPr>
              <w:rPr>
                <w:lang w:val="en-CA"/>
              </w:rPr>
            </w:pPr>
          </w:p>
        </w:tc>
      </w:tr>
      <w:tr w:rsidR="00965850" w:rsidRPr="000E73A2" w14:paraId="1B124D58" w14:textId="77777777" w:rsidTr="008D18FC">
        <w:tc>
          <w:tcPr>
            <w:tcW w:w="9360" w:type="dxa"/>
            <w:gridSpan w:val="5"/>
            <w:tcBorders>
              <w:top w:val="single" w:sz="8" w:space="0" w:color="auto"/>
            </w:tcBorders>
          </w:tcPr>
          <w:p w14:paraId="34A78E7E" w14:textId="77777777" w:rsidR="008F364A" w:rsidRPr="000E73A2" w:rsidRDefault="008F364A">
            <w:pPr>
              <w:rPr>
                <w:lang w:val="en-CA"/>
              </w:rPr>
            </w:pPr>
            <w:bookmarkStart w:id="6" w:name="Arret"/>
          </w:p>
        </w:tc>
      </w:tr>
      <w:tr w:rsidR="00965850" w:rsidRPr="000E73A2" w14:paraId="04ECF661" w14:textId="77777777" w:rsidTr="008D18FC">
        <w:tc>
          <w:tcPr>
            <w:tcW w:w="9360" w:type="dxa"/>
            <w:gridSpan w:val="5"/>
          </w:tcPr>
          <w:p w14:paraId="601DA5EE" w14:textId="1121BAE5" w:rsidR="008F364A" w:rsidRPr="000E73A2" w:rsidRDefault="000E73A2">
            <w:pPr>
              <w:pStyle w:val="zSoquijlblTypeDocument"/>
              <w:rPr>
                <w:lang w:val="en-CA"/>
              </w:rPr>
            </w:pPr>
            <w:r>
              <w:rPr>
                <w:lang w:val="en-CA"/>
              </w:rPr>
              <w:t>CORRIGENDUM</w:t>
            </w:r>
          </w:p>
          <w:p w14:paraId="282DED15" w14:textId="34954BF1" w:rsidR="004E7D4B" w:rsidRPr="000E73A2" w:rsidRDefault="00276A1F">
            <w:pPr>
              <w:pStyle w:val="zSoquijlblTypeDocument"/>
              <w:rPr>
                <w:lang w:val="en-CA"/>
              </w:rPr>
            </w:pPr>
            <w:r w:rsidRPr="000E73A2">
              <w:rPr>
                <w:lang w:val="en-CA"/>
              </w:rPr>
              <w:t>(</w:t>
            </w:r>
            <w:r w:rsidR="000E73A2">
              <w:rPr>
                <w:lang w:val="en-CA"/>
              </w:rPr>
              <w:t xml:space="preserve">of the judgment rendered on March </w:t>
            </w:r>
            <w:r w:rsidRPr="000E73A2">
              <w:rPr>
                <w:lang w:val="en-CA"/>
              </w:rPr>
              <w:t>24</w:t>
            </w:r>
            <w:r w:rsidR="000E73A2">
              <w:rPr>
                <w:lang w:val="en-CA"/>
              </w:rPr>
              <w:t>,</w:t>
            </w:r>
            <w:r w:rsidRPr="000E73A2">
              <w:rPr>
                <w:lang w:val="en-CA"/>
              </w:rPr>
              <w:t xml:space="preserve"> 2025)</w:t>
            </w:r>
          </w:p>
        </w:tc>
      </w:tr>
      <w:tr w:rsidR="00965850" w:rsidRPr="000E73A2" w14:paraId="596F26D7" w14:textId="77777777" w:rsidTr="008D18FC">
        <w:tc>
          <w:tcPr>
            <w:tcW w:w="9360" w:type="dxa"/>
            <w:gridSpan w:val="5"/>
            <w:tcBorders>
              <w:bottom w:val="single" w:sz="8" w:space="0" w:color="auto"/>
            </w:tcBorders>
          </w:tcPr>
          <w:p w14:paraId="11B4A01D" w14:textId="77777777" w:rsidR="008F364A" w:rsidRPr="000E73A2" w:rsidRDefault="008F364A">
            <w:pPr>
              <w:rPr>
                <w:lang w:val="en-CA"/>
              </w:rPr>
            </w:pPr>
          </w:p>
        </w:tc>
      </w:tr>
      <w:tr w:rsidR="00965850" w:rsidRPr="000E73A2" w14:paraId="4DDEC7C6" w14:textId="77777777" w:rsidTr="008D18FC">
        <w:tc>
          <w:tcPr>
            <w:tcW w:w="9360" w:type="dxa"/>
            <w:gridSpan w:val="5"/>
            <w:tcBorders>
              <w:top w:val="single" w:sz="8" w:space="0" w:color="auto"/>
            </w:tcBorders>
          </w:tcPr>
          <w:p w14:paraId="1831E9B0" w14:textId="77777777" w:rsidR="008F364A" w:rsidRPr="000E73A2" w:rsidRDefault="008F364A">
            <w:pPr>
              <w:rPr>
                <w:lang w:val="en-CA"/>
              </w:rPr>
            </w:pPr>
          </w:p>
        </w:tc>
      </w:tr>
    </w:tbl>
    <w:p w14:paraId="50DEB628" w14:textId="04FFDB4B" w:rsidR="004E7D4B" w:rsidRPr="000E73A2" w:rsidRDefault="00346826" w:rsidP="002B72D8">
      <w:pPr>
        <w:pStyle w:val="Paragraphe"/>
        <w:numPr>
          <w:ilvl w:val="0"/>
          <w:numId w:val="0"/>
        </w:numPr>
        <w:spacing w:before="360" w:after="240" w:line="280" w:lineRule="exact"/>
        <w:rPr>
          <w:lang w:val="en-CA"/>
        </w:rPr>
      </w:pPr>
      <w:bookmarkStart w:id="7" w:name="_Hlk201828961"/>
      <w:r w:rsidRPr="004D76CB">
        <w:rPr>
          <w:rFonts w:cs="Arial"/>
          <w:b/>
          <w:bCs/>
          <w:color w:val="000000"/>
          <w:szCs w:val="24"/>
          <w:u w:val="single"/>
          <w:lang w:val="en-CA"/>
        </w:rPr>
        <w:t>WARNING</w:t>
      </w:r>
      <w:r w:rsidRPr="004D76CB">
        <w:rPr>
          <w:rFonts w:cs="Arial"/>
          <w:b/>
          <w:bCs/>
          <w:color w:val="000000"/>
          <w:szCs w:val="24"/>
          <w:lang w:val="en-CA"/>
        </w:rPr>
        <w:t>:</w:t>
      </w:r>
      <w:r w:rsidRPr="004D76CB">
        <w:rPr>
          <w:rFonts w:cs="Arial"/>
          <w:b/>
          <w:bCs/>
          <w:szCs w:val="24"/>
          <w:lang w:val="en-CA"/>
        </w:rPr>
        <w:t xml:space="preserve"> </w:t>
      </w:r>
      <w:r>
        <w:rPr>
          <w:rFonts w:cs="Arial"/>
          <w:b/>
          <w:bCs/>
          <w:szCs w:val="24"/>
          <w:lang w:val="en-CA"/>
        </w:rPr>
        <w:t xml:space="preserve">Order in first instance restricting publication: </w:t>
      </w:r>
      <w:r w:rsidRPr="004D76CB">
        <w:rPr>
          <w:rFonts w:cs="Arial"/>
          <w:b/>
          <w:bCs/>
          <w:szCs w:val="24"/>
          <w:lang w:val="en-CA"/>
        </w:rPr>
        <w:t>The trial court made an order under s. 486.4</w:t>
      </w:r>
      <w:r w:rsidRPr="004D76CB">
        <w:rPr>
          <w:rFonts w:cs="Arial"/>
          <w:b/>
          <w:bCs/>
          <w:color w:val="000000"/>
          <w:lang w:val="en-CA"/>
        </w:rPr>
        <w:t> </w:t>
      </w:r>
      <w:proofErr w:type="spellStart"/>
      <w:r w:rsidRPr="004D76CB">
        <w:rPr>
          <w:rFonts w:cs="Arial"/>
          <w:b/>
          <w:bCs/>
          <w:i/>
          <w:iCs/>
          <w:color w:val="000000"/>
          <w:lang w:val="en-CA"/>
        </w:rPr>
        <w:t>Cr.C</w:t>
      </w:r>
      <w:proofErr w:type="spellEnd"/>
      <w:r w:rsidRPr="004D76CB">
        <w:rPr>
          <w:rFonts w:cs="Arial"/>
          <w:b/>
          <w:bCs/>
          <w:i/>
          <w:iCs/>
          <w:color w:val="000000"/>
          <w:lang w:val="en-CA"/>
        </w:rPr>
        <w:t>.</w:t>
      </w:r>
      <w:r w:rsidRPr="004D76CB">
        <w:rPr>
          <w:rFonts w:cs="Arial"/>
          <w:b/>
          <w:bCs/>
          <w:color w:val="000000"/>
          <w:lang w:val="en-CA"/>
        </w:rPr>
        <w:t> </w:t>
      </w:r>
      <w:r w:rsidRPr="004D76CB">
        <w:rPr>
          <w:rFonts w:cs="Arial"/>
          <w:b/>
          <w:bCs/>
          <w:szCs w:val="24"/>
          <w:lang w:val="en-CA"/>
        </w:rPr>
        <w:t xml:space="preserve"> directing that any information that could identify the victim or a witness shall not be published in any document or broadcast or transmitted in any way</w:t>
      </w:r>
      <w:bookmarkEnd w:id="7"/>
      <w:r w:rsidR="00276A1F" w:rsidRPr="000E73A2">
        <w:rPr>
          <w:b/>
          <w:bCs/>
          <w:lang w:val="en-CA"/>
        </w:rPr>
        <w:t>.</w:t>
      </w:r>
    </w:p>
    <w:p w14:paraId="7E568414" w14:textId="081C2E1F" w:rsidR="002B72D8" w:rsidRPr="000E73A2" w:rsidRDefault="0029681C" w:rsidP="002B72D8">
      <w:pPr>
        <w:pStyle w:val="Paragraphe"/>
        <w:spacing w:before="240" w:after="240" w:line="280" w:lineRule="exact"/>
        <w:rPr>
          <w:lang w:val="en-CA"/>
        </w:rPr>
      </w:pPr>
      <w:r>
        <w:rPr>
          <w:lang w:val="en-CA"/>
        </w:rPr>
        <w:t>A</w:t>
      </w:r>
      <w:r w:rsidRPr="00346826">
        <w:rPr>
          <w:lang w:val="en-CA"/>
        </w:rPr>
        <w:t xml:space="preserve"> clerical error</w:t>
      </w:r>
      <w:r>
        <w:rPr>
          <w:lang w:val="en-CA"/>
        </w:rPr>
        <w:t xml:space="preserve"> inadvertently occurred in p</w:t>
      </w:r>
      <w:r w:rsidRPr="00346826">
        <w:rPr>
          <w:lang w:val="en-CA"/>
        </w:rPr>
        <w:t xml:space="preserve">aragraph [43] of the Court's judgment </w:t>
      </w:r>
      <w:r>
        <w:rPr>
          <w:lang w:val="en-CA"/>
        </w:rPr>
        <w:t>rendered on</w:t>
      </w:r>
      <w:r w:rsidRPr="00346826">
        <w:rPr>
          <w:lang w:val="en-CA"/>
        </w:rPr>
        <w:t xml:space="preserve"> March</w:t>
      </w:r>
      <w:r>
        <w:rPr>
          <w:lang w:val="en-CA"/>
        </w:rPr>
        <w:t xml:space="preserve"> 24,</w:t>
      </w:r>
      <w:r w:rsidRPr="00346826">
        <w:rPr>
          <w:lang w:val="en-CA"/>
        </w:rPr>
        <w:t xml:space="preserve"> 2025</w:t>
      </w:r>
      <w:r w:rsidR="002E5F59" w:rsidRPr="000E73A2">
        <w:rPr>
          <w:lang w:val="en-CA"/>
        </w:rPr>
        <w:t>.</w:t>
      </w:r>
    </w:p>
    <w:p w14:paraId="2A1E109B" w14:textId="77777777" w:rsidR="002B72D8" w:rsidRPr="000E73A2" w:rsidRDefault="00276A1F">
      <w:pPr>
        <w:spacing w:line="240" w:lineRule="auto"/>
        <w:rPr>
          <w:kern w:val="28"/>
          <w:lang w:val="en-CA"/>
        </w:rPr>
      </w:pPr>
      <w:r w:rsidRPr="000E73A2">
        <w:rPr>
          <w:lang w:val="en-CA"/>
        </w:rPr>
        <w:br w:type="page"/>
      </w:r>
    </w:p>
    <w:p w14:paraId="057B3DBD" w14:textId="7557C629" w:rsidR="002E5F59" w:rsidRPr="000E73A2" w:rsidRDefault="0029681C" w:rsidP="00D727A1">
      <w:pPr>
        <w:pStyle w:val="Paragraphe"/>
        <w:spacing w:line="280" w:lineRule="exact"/>
        <w:rPr>
          <w:lang w:val="en-CA"/>
        </w:rPr>
      </w:pPr>
      <w:r>
        <w:rPr>
          <w:lang w:val="en-CA"/>
        </w:rPr>
        <w:lastRenderedPageBreak/>
        <w:t>Accordingly</w:t>
      </w:r>
      <w:r w:rsidR="00276A1F" w:rsidRPr="000E73A2">
        <w:rPr>
          <w:lang w:val="en-CA"/>
        </w:rPr>
        <w:t xml:space="preserve">, </w:t>
      </w:r>
      <w:r>
        <w:rPr>
          <w:lang w:val="en-CA"/>
        </w:rPr>
        <w:t>the Court</w:t>
      </w:r>
      <w:r w:rsidR="00276A1F" w:rsidRPr="000E73A2">
        <w:rPr>
          <w:lang w:val="en-CA"/>
        </w:rPr>
        <w:t xml:space="preserve"> </w:t>
      </w:r>
      <w:r w:rsidR="00276A1F" w:rsidRPr="000E73A2">
        <w:rPr>
          <w:b/>
          <w:bCs/>
          <w:lang w:val="en-CA"/>
        </w:rPr>
        <w:t>CORR</w:t>
      </w:r>
      <w:r>
        <w:rPr>
          <w:b/>
          <w:bCs/>
          <w:lang w:val="en-CA"/>
        </w:rPr>
        <w:t>ECTS</w:t>
      </w:r>
      <w:r w:rsidR="00276A1F" w:rsidRPr="000E73A2">
        <w:rPr>
          <w:lang w:val="en-CA"/>
        </w:rPr>
        <w:t xml:space="preserve"> </w:t>
      </w:r>
      <w:r>
        <w:rPr>
          <w:lang w:val="en-CA"/>
        </w:rPr>
        <w:t>paragraph</w:t>
      </w:r>
      <w:r w:rsidR="00276A1F" w:rsidRPr="000E73A2">
        <w:rPr>
          <w:b/>
          <w:bCs/>
          <w:lang w:val="en-CA"/>
        </w:rPr>
        <w:t xml:space="preserve"> </w:t>
      </w:r>
      <w:r w:rsidR="00276A1F" w:rsidRPr="000E73A2">
        <w:rPr>
          <w:lang w:val="en-CA"/>
        </w:rPr>
        <w:t xml:space="preserve">[43] </w:t>
      </w:r>
      <w:r>
        <w:rPr>
          <w:lang w:val="en-CA"/>
        </w:rPr>
        <w:t>on the judgment rendered on March</w:t>
      </w:r>
      <w:r w:rsidR="00276A1F" w:rsidRPr="000E73A2">
        <w:rPr>
          <w:lang w:val="en-CA"/>
        </w:rPr>
        <w:t xml:space="preserve"> 2</w:t>
      </w:r>
      <w:r w:rsidR="001E1612" w:rsidRPr="000E73A2">
        <w:rPr>
          <w:lang w:val="en-CA"/>
        </w:rPr>
        <w:t>4</w:t>
      </w:r>
      <w:r>
        <w:rPr>
          <w:lang w:val="en-CA"/>
        </w:rPr>
        <w:t>,</w:t>
      </w:r>
      <w:r w:rsidR="00276A1F" w:rsidRPr="000E73A2">
        <w:rPr>
          <w:lang w:val="en-CA"/>
        </w:rPr>
        <w:t xml:space="preserve"> 2025</w:t>
      </w:r>
      <w:r w:rsidR="00210631">
        <w:rPr>
          <w:lang w:val="en-CA"/>
        </w:rPr>
        <w:t>,</w:t>
      </w:r>
      <w:r w:rsidR="00276A1F" w:rsidRPr="000E73A2">
        <w:rPr>
          <w:lang w:val="en-CA"/>
        </w:rPr>
        <w:t xml:space="preserve"> </w:t>
      </w:r>
      <w:r>
        <w:rPr>
          <w:lang w:val="en-CA"/>
        </w:rPr>
        <w:t xml:space="preserve">by replacing “appellant” </w:t>
      </w:r>
      <w:r w:rsidR="00F646A5">
        <w:rPr>
          <w:lang w:val="en-CA"/>
        </w:rPr>
        <w:t>with</w:t>
      </w:r>
      <w:r w:rsidR="00276A1F" w:rsidRPr="000E73A2">
        <w:rPr>
          <w:lang w:val="en-CA"/>
        </w:rPr>
        <w:t xml:space="preserve"> </w:t>
      </w:r>
      <w:r>
        <w:rPr>
          <w:lang w:val="en-CA"/>
        </w:rPr>
        <w:t>“respondent”</w:t>
      </w:r>
      <w:r w:rsidR="002B72D8" w:rsidRPr="000E73A2">
        <w:rPr>
          <w:lang w:val="en-CA"/>
        </w:rPr>
        <w:t>,</w:t>
      </w:r>
      <w:r w:rsidR="00D727A1" w:rsidRPr="000E73A2">
        <w:rPr>
          <w:lang w:val="en-CA"/>
        </w:rPr>
        <w:t xml:space="preserve"> </w:t>
      </w:r>
      <w:r>
        <w:rPr>
          <w:lang w:val="en-CA"/>
        </w:rPr>
        <w:t>so as to read as follows</w:t>
      </w:r>
      <w:r w:rsidR="00D727A1" w:rsidRPr="000E73A2">
        <w:rPr>
          <w:lang w:val="en-CA"/>
        </w:rPr>
        <w:t xml:space="preserve">: </w:t>
      </w:r>
    </w:p>
    <w:p w14:paraId="716AFB8F" w14:textId="70792361" w:rsidR="00D727A1" w:rsidRPr="000E73A2" w:rsidRDefault="00276A1F" w:rsidP="00D727A1">
      <w:pPr>
        <w:pStyle w:val="Citationenretrait"/>
        <w:rPr>
          <w:lang w:val="en-CA"/>
        </w:rPr>
      </w:pPr>
      <w:r w:rsidRPr="000E73A2">
        <w:rPr>
          <w:lang w:val="en-CA"/>
        </w:rPr>
        <w:t>[43]</w:t>
      </w:r>
      <w:r w:rsidRPr="000E73A2">
        <w:rPr>
          <w:lang w:val="en-CA"/>
        </w:rPr>
        <w:tab/>
      </w:r>
      <w:r w:rsidR="00210631" w:rsidRPr="00210631">
        <w:rPr>
          <w:lang w:val="en-CA"/>
        </w:rPr>
        <w:t xml:space="preserve">In my opinion, the trial judge's reasons </w:t>
      </w:r>
      <w:r w:rsidR="00C04628">
        <w:rPr>
          <w:lang w:val="en-CA"/>
        </w:rPr>
        <w:t>were</w:t>
      </w:r>
      <w:r w:rsidR="00210631" w:rsidRPr="00210631">
        <w:rPr>
          <w:lang w:val="en-CA"/>
        </w:rPr>
        <w:t xml:space="preserve"> limited to stating his conclusion in a laconic and declaratory manner (</w:t>
      </w:r>
      <w:r w:rsidR="007633B3">
        <w:rPr>
          <w:lang w:val="en-CA"/>
        </w:rPr>
        <w:t xml:space="preserve">i.e., </w:t>
      </w:r>
      <w:r w:rsidR="00210631" w:rsidRPr="00210631">
        <w:rPr>
          <w:lang w:val="en-CA"/>
        </w:rPr>
        <w:t>‘conclusory reasons’)</w:t>
      </w:r>
      <w:r w:rsidR="000E4C32">
        <w:rPr>
          <w:lang w:val="en-CA"/>
        </w:rPr>
        <w:t>,</w:t>
      </w:r>
      <w:r w:rsidRPr="000E73A2">
        <w:rPr>
          <w:rStyle w:val="Appelnotedebasdep"/>
          <w:lang w:val="en-CA"/>
        </w:rPr>
        <w:footnoteReference w:id="1"/>
      </w:r>
      <w:r w:rsidRPr="000E73A2">
        <w:rPr>
          <w:lang w:val="en-CA"/>
        </w:rPr>
        <w:t xml:space="preserve"> </w:t>
      </w:r>
      <w:bookmarkStart w:id="8" w:name="_Hlk201827267"/>
      <w:r w:rsidR="00210631" w:rsidRPr="00210631">
        <w:rPr>
          <w:lang w:val="en-CA"/>
        </w:rPr>
        <w:t xml:space="preserve">without any analysis of the </w:t>
      </w:r>
      <w:r w:rsidR="00210631" w:rsidRPr="00C04628">
        <w:rPr>
          <w:u w:val="single"/>
          <w:lang w:val="en-CA"/>
        </w:rPr>
        <w:t>respondent</w:t>
      </w:r>
      <w:r w:rsidR="00210631" w:rsidRPr="00210631">
        <w:rPr>
          <w:lang w:val="en-CA"/>
        </w:rPr>
        <w:t>'s or the complainant's testimony on the legal issues in dispute: the complainant's capacity to consent, her communication of consent, and the defence of a</w:t>
      </w:r>
      <w:r w:rsidR="00C04628">
        <w:rPr>
          <w:lang w:val="en-CA"/>
        </w:rPr>
        <w:t>n</w:t>
      </w:r>
      <w:r w:rsidR="00210631" w:rsidRPr="00210631">
        <w:rPr>
          <w:lang w:val="en-CA"/>
        </w:rPr>
        <w:t xml:space="preserve"> </w:t>
      </w:r>
      <w:r w:rsidR="00C04628" w:rsidRPr="00C04628">
        <w:rPr>
          <w:lang w:val="en-CA"/>
        </w:rPr>
        <w:t>honest belief in communicated consent</w:t>
      </w:r>
      <w:r w:rsidR="00210631" w:rsidRPr="00210631">
        <w:rPr>
          <w:lang w:val="en-CA"/>
        </w:rPr>
        <w:t>. The judge state</w:t>
      </w:r>
      <w:r w:rsidR="001710A2">
        <w:rPr>
          <w:lang w:val="en-CA"/>
        </w:rPr>
        <w:t>d</w:t>
      </w:r>
      <w:r w:rsidR="00210631" w:rsidRPr="00210631">
        <w:rPr>
          <w:lang w:val="en-CA"/>
        </w:rPr>
        <w:t xml:space="preserve"> his conclusion without providing any reasons</w:t>
      </w:r>
      <w:r w:rsidR="00210631">
        <w:rPr>
          <w:lang w:val="en-CA"/>
        </w:rPr>
        <w:t>.</w:t>
      </w:r>
      <w:bookmarkEnd w:id="8"/>
      <w:r w:rsidRPr="000E73A2">
        <w:rPr>
          <w:rStyle w:val="Appelnotedebasdep"/>
          <w:lang w:val="en-CA"/>
        </w:rPr>
        <w:footnoteReference w:id="2"/>
      </w:r>
      <w:r w:rsidR="00210631">
        <w:rPr>
          <w:lang w:val="en-CA"/>
        </w:rPr>
        <w:t xml:space="preserve"> </w:t>
      </w:r>
      <w:r w:rsidR="00210631" w:rsidRPr="00210631">
        <w:rPr>
          <w:lang w:val="en-CA"/>
        </w:rPr>
        <w:t>However, the duty to give reasons requires that ‘trial judges</w:t>
      </w:r>
      <w:r w:rsidR="00C04628">
        <w:rPr>
          <w:lang w:val="en-CA"/>
        </w:rPr>
        <w:t xml:space="preserve"> […] </w:t>
      </w:r>
      <w:r w:rsidR="00210631" w:rsidRPr="00210631">
        <w:rPr>
          <w:lang w:val="en-CA"/>
        </w:rPr>
        <w:t>state more than the result.’</w:t>
      </w:r>
      <w:r w:rsidRPr="000E73A2">
        <w:rPr>
          <w:rStyle w:val="Appelnotedebasdep"/>
          <w:lang w:val="en-CA"/>
        </w:rPr>
        <w:footnoteReference w:id="3"/>
      </w:r>
      <w:r w:rsidRPr="000E73A2">
        <w:rPr>
          <w:lang w:val="en-CA"/>
        </w:rPr>
        <w:t xml:space="preserve"> </w:t>
      </w:r>
      <w:r w:rsidR="00210631" w:rsidRPr="00210631">
        <w:rPr>
          <w:lang w:val="en-CA"/>
        </w:rPr>
        <w:t>What aspect of the respondent's testimony was believed or found plausible, truthful or sincere with respect to the complainant's capacity to consent, her communication of consent</w:t>
      </w:r>
      <w:r w:rsidR="008E713E">
        <w:rPr>
          <w:lang w:val="en-CA"/>
        </w:rPr>
        <w:t>,</w:t>
      </w:r>
      <w:r w:rsidR="00210631" w:rsidRPr="00210631">
        <w:rPr>
          <w:lang w:val="en-CA"/>
        </w:rPr>
        <w:t xml:space="preserve"> and the defence of </w:t>
      </w:r>
      <w:r w:rsidR="00C04628" w:rsidRPr="00C04628">
        <w:rPr>
          <w:lang w:val="en-CA"/>
        </w:rPr>
        <w:t xml:space="preserve">an </w:t>
      </w:r>
      <w:r w:rsidR="00C04628">
        <w:rPr>
          <w:lang w:val="en-CA"/>
        </w:rPr>
        <w:t>h</w:t>
      </w:r>
      <w:r w:rsidR="00C04628" w:rsidRPr="00C04628">
        <w:rPr>
          <w:lang w:val="en-CA"/>
        </w:rPr>
        <w:t xml:space="preserve">onest </w:t>
      </w:r>
      <w:r w:rsidR="00C04628">
        <w:rPr>
          <w:lang w:val="en-CA"/>
        </w:rPr>
        <w:t>b</w:t>
      </w:r>
      <w:r w:rsidR="00C04628" w:rsidRPr="00C04628">
        <w:rPr>
          <w:lang w:val="en-CA"/>
        </w:rPr>
        <w:t xml:space="preserve">elief in </w:t>
      </w:r>
      <w:r w:rsidR="00C04628">
        <w:rPr>
          <w:lang w:val="en-CA"/>
        </w:rPr>
        <w:t>c</w:t>
      </w:r>
      <w:r w:rsidR="00C04628" w:rsidRPr="00C04628">
        <w:rPr>
          <w:lang w:val="en-CA"/>
        </w:rPr>
        <w:t xml:space="preserve">ommunicated </w:t>
      </w:r>
      <w:r w:rsidR="00C04628">
        <w:rPr>
          <w:lang w:val="en-CA"/>
        </w:rPr>
        <w:t>c</w:t>
      </w:r>
      <w:r w:rsidR="00C04628" w:rsidRPr="00C04628">
        <w:rPr>
          <w:lang w:val="en-CA"/>
        </w:rPr>
        <w:t>onsent</w:t>
      </w:r>
      <w:r w:rsidR="00210631" w:rsidRPr="00210631">
        <w:rPr>
          <w:lang w:val="en-CA"/>
        </w:rPr>
        <w:t>? I am unable to determine this</w:t>
      </w:r>
      <w:r w:rsidRPr="000E73A2">
        <w:rPr>
          <w:lang w:val="en-CA"/>
        </w:rPr>
        <w:t>.</w:t>
      </w: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997"/>
        <w:gridCol w:w="838"/>
        <w:gridCol w:w="1847"/>
        <w:gridCol w:w="4680"/>
      </w:tblGrid>
      <w:tr w:rsidR="00965850" w:rsidRPr="000E73A2" w14:paraId="19B76A69" w14:textId="77777777" w:rsidTr="00117914">
        <w:trPr>
          <w:trHeight w:val="283"/>
        </w:trPr>
        <w:tc>
          <w:tcPr>
            <w:tcW w:w="4682" w:type="dxa"/>
            <w:gridSpan w:val="3"/>
            <w:tcBorders>
              <w:top w:val="nil"/>
              <w:bottom w:val="nil"/>
            </w:tcBorders>
          </w:tcPr>
          <w:p w14:paraId="506DB99F" w14:textId="77777777" w:rsidR="008F364A" w:rsidRPr="000E73A2" w:rsidRDefault="008F364A">
            <w:pPr>
              <w:keepNext/>
              <w:rPr>
                <w:lang w:val="en-CA"/>
              </w:rPr>
            </w:pPr>
          </w:p>
        </w:tc>
        <w:tc>
          <w:tcPr>
            <w:tcW w:w="4680" w:type="dxa"/>
            <w:tcBorders>
              <w:top w:val="nil"/>
              <w:bottom w:val="single" w:sz="8" w:space="0" w:color="auto"/>
            </w:tcBorders>
          </w:tcPr>
          <w:p w14:paraId="1C76EEE4" w14:textId="77777777" w:rsidR="008F364A" w:rsidRPr="000E73A2" w:rsidRDefault="008F364A">
            <w:pPr>
              <w:keepNext/>
              <w:rPr>
                <w:lang w:val="en-CA"/>
              </w:rPr>
            </w:pPr>
          </w:p>
        </w:tc>
      </w:tr>
      <w:tr w:rsidR="00965850" w:rsidRPr="000E73A2" w14:paraId="01D93CF2" w14:textId="77777777" w:rsidTr="00117914">
        <w:trPr>
          <w:trHeight w:val="283"/>
        </w:trPr>
        <w:tc>
          <w:tcPr>
            <w:tcW w:w="4682" w:type="dxa"/>
            <w:gridSpan w:val="3"/>
            <w:tcBorders>
              <w:top w:val="nil"/>
            </w:tcBorders>
          </w:tcPr>
          <w:p w14:paraId="2C79FFDC" w14:textId="77777777" w:rsidR="008F364A" w:rsidRPr="000E73A2" w:rsidRDefault="008F364A">
            <w:pPr>
              <w:keepNext/>
              <w:rPr>
                <w:lang w:val="en-CA"/>
              </w:rPr>
            </w:pPr>
          </w:p>
        </w:tc>
        <w:tc>
          <w:tcPr>
            <w:tcW w:w="4680" w:type="dxa"/>
            <w:tcBorders>
              <w:top w:val="single" w:sz="8" w:space="0" w:color="auto"/>
            </w:tcBorders>
          </w:tcPr>
          <w:p w14:paraId="5F5959DC" w14:textId="787A3E24" w:rsidR="008F364A" w:rsidRPr="000E73A2" w:rsidRDefault="00276A1F">
            <w:pPr>
              <w:rPr>
                <w:lang w:val="en-CA"/>
              </w:rPr>
            </w:pPr>
            <w:r w:rsidRPr="000E73A2">
              <w:rPr>
                <w:lang w:val="en-CA"/>
              </w:rPr>
              <w:t>BENOÎT MOORE, J</w:t>
            </w:r>
            <w:r w:rsidR="00210631">
              <w:rPr>
                <w:lang w:val="en-CA"/>
              </w:rPr>
              <w:t>.</w:t>
            </w:r>
            <w:r w:rsidRPr="000E73A2">
              <w:rPr>
                <w:lang w:val="en-CA"/>
              </w:rPr>
              <w:t>A.</w:t>
            </w:r>
          </w:p>
        </w:tc>
      </w:tr>
      <w:tr w:rsidR="00965850" w:rsidRPr="000E73A2" w14:paraId="6CA9286B" w14:textId="77777777" w:rsidTr="00117914">
        <w:trPr>
          <w:trHeight w:val="283"/>
        </w:trPr>
        <w:tc>
          <w:tcPr>
            <w:tcW w:w="4682" w:type="dxa"/>
            <w:gridSpan w:val="3"/>
            <w:tcBorders>
              <w:top w:val="nil"/>
            </w:tcBorders>
          </w:tcPr>
          <w:p w14:paraId="0603B23C" w14:textId="77777777" w:rsidR="008F364A" w:rsidRPr="000E73A2" w:rsidRDefault="008F364A">
            <w:pPr>
              <w:keepNext/>
              <w:rPr>
                <w:lang w:val="en-CA"/>
              </w:rPr>
            </w:pPr>
            <w:bookmarkStart w:id="9" w:name="Signature2"/>
          </w:p>
        </w:tc>
        <w:tc>
          <w:tcPr>
            <w:tcW w:w="4680" w:type="dxa"/>
            <w:tcBorders>
              <w:top w:val="nil"/>
            </w:tcBorders>
          </w:tcPr>
          <w:p w14:paraId="56D9629E" w14:textId="77777777" w:rsidR="008F364A" w:rsidRPr="000E73A2" w:rsidRDefault="008F364A">
            <w:pPr>
              <w:keepNext/>
              <w:rPr>
                <w:lang w:val="en-CA"/>
              </w:rPr>
            </w:pPr>
          </w:p>
        </w:tc>
      </w:tr>
      <w:tr w:rsidR="00965850" w:rsidRPr="000E73A2" w14:paraId="1B996B44" w14:textId="77777777" w:rsidTr="00117914">
        <w:trPr>
          <w:trHeight w:val="283"/>
        </w:trPr>
        <w:tc>
          <w:tcPr>
            <w:tcW w:w="4682" w:type="dxa"/>
            <w:gridSpan w:val="3"/>
            <w:tcBorders>
              <w:top w:val="nil"/>
              <w:bottom w:val="nil"/>
            </w:tcBorders>
          </w:tcPr>
          <w:p w14:paraId="30808A68" w14:textId="77777777" w:rsidR="008F364A" w:rsidRPr="000E73A2" w:rsidRDefault="008F364A">
            <w:pPr>
              <w:keepNext/>
              <w:rPr>
                <w:lang w:val="en-CA"/>
              </w:rPr>
            </w:pPr>
          </w:p>
        </w:tc>
        <w:tc>
          <w:tcPr>
            <w:tcW w:w="4680" w:type="dxa"/>
            <w:tcBorders>
              <w:top w:val="nil"/>
              <w:bottom w:val="single" w:sz="8" w:space="0" w:color="auto"/>
            </w:tcBorders>
          </w:tcPr>
          <w:p w14:paraId="4E4A833C" w14:textId="77777777" w:rsidR="008F364A" w:rsidRPr="000E73A2" w:rsidRDefault="008F364A">
            <w:pPr>
              <w:keepNext/>
              <w:rPr>
                <w:lang w:val="en-CA"/>
              </w:rPr>
            </w:pPr>
          </w:p>
        </w:tc>
      </w:tr>
      <w:tr w:rsidR="00965850" w:rsidRPr="000E73A2" w14:paraId="7E8AA3A8" w14:textId="77777777" w:rsidTr="00117914">
        <w:trPr>
          <w:trHeight w:val="283"/>
        </w:trPr>
        <w:tc>
          <w:tcPr>
            <w:tcW w:w="4682" w:type="dxa"/>
            <w:gridSpan w:val="3"/>
            <w:tcBorders>
              <w:top w:val="nil"/>
            </w:tcBorders>
          </w:tcPr>
          <w:p w14:paraId="67B4DAB4" w14:textId="77777777" w:rsidR="008F364A" w:rsidRPr="000E73A2" w:rsidRDefault="008F364A">
            <w:pPr>
              <w:keepNext/>
              <w:rPr>
                <w:lang w:val="en-CA"/>
              </w:rPr>
            </w:pPr>
          </w:p>
        </w:tc>
        <w:tc>
          <w:tcPr>
            <w:tcW w:w="4680" w:type="dxa"/>
            <w:tcBorders>
              <w:top w:val="single" w:sz="8" w:space="0" w:color="auto"/>
            </w:tcBorders>
          </w:tcPr>
          <w:p w14:paraId="203724C7" w14:textId="427FBDC4" w:rsidR="008F364A" w:rsidRPr="000E73A2" w:rsidRDefault="00276A1F">
            <w:pPr>
              <w:keepNext/>
              <w:rPr>
                <w:lang w:val="en-CA"/>
              </w:rPr>
            </w:pPr>
            <w:r w:rsidRPr="000E73A2">
              <w:rPr>
                <w:lang w:val="en-CA"/>
              </w:rPr>
              <w:t>GUY COURNOYER, J.A.</w:t>
            </w:r>
          </w:p>
        </w:tc>
      </w:tr>
      <w:tr w:rsidR="00965850" w:rsidRPr="000E73A2" w14:paraId="43C23EF4" w14:textId="77777777" w:rsidTr="00117914">
        <w:trPr>
          <w:trHeight w:val="283"/>
        </w:trPr>
        <w:tc>
          <w:tcPr>
            <w:tcW w:w="4682" w:type="dxa"/>
            <w:gridSpan w:val="3"/>
            <w:tcBorders>
              <w:top w:val="nil"/>
            </w:tcBorders>
          </w:tcPr>
          <w:p w14:paraId="27B55B2B" w14:textId="77777777" w:rsidR="008F364A" w:rsidRPr="000E73A2" w:rsidRDefault="008F364A">
            <w:pPr>
              <w:keepNext/>
              <w:rPr>
                <w:lang w:val="en-CA"/>
              </w:rPr>
            </w:pPr>
            <w:bookmarkStart w:id="10" w:name="Signature3"/>
            <w:bookmarkEnd w:id="9"/>
          </w:p>
        </w:tc>
        <w:tc>
          <w:tcPr>
            <w:tcW w:w="4680" w:type="dxa"/>
            <w:tcBorders>
              <w:top w:val="nil"/>
            </w:tcBorders>
          </w:tcPr>
          <w:p w14:paraId="73775344" w14:textId="77777777" w:rsidR="008F364A" w:rsidRPr="000E73A2" w:rsidRDefault="008F364A">
            <w:pPr>
              <w:keepNext/>
              <w:rPr>
                <w:lang w:val="en-CA"/>
              </w:rPr>
            </w:pPr>
          </w:p>
        </w:tc>
      </w:tr>
      <w:tr w:rsidR="00965850" w:rsidRPr="000E73A2" w14:paraId="6426B364" w14:textId="77777777" w:rsidTr="00117914">
        <w:trPr>
          <w:trHeight w:val="283"/>
        </w:trPr>
        <w:tc>
          <w:tcPr>
            <w:tcW w:w="4682" w:type="dxa"/>
            <w:gridSpan w:val="3"/>
            <w:tcBorders>
              <w:top w:val="nil"/>
              <w:bottom w:val="nil"/>
            </w:tcBorders>
          </w:tcPr>
          <w:p w14:paraId="0DF5FC2C" w14:textId="77777777" w:rsidR="008F364A" w:rsidRPr="000E73A2" w:rsidRDefault="008F364A">
            <w:pPr>
              <w:keepNext/>
              <w:rPr>
                <w:lang w:val="en-CA"/>
              </w:rPr>
            </w:pPr>
          </w:p>
        </w:tc>
        <w:tc>
          <w:tcPr>
            <w:tcW w:w="4680" w:type="dxa"/>
            <w:tcBorders>
              <w:top w:val="nil"/>
              <w:bottom w:val="single" w:sz="8" w:space="0" w:color="auto"/>
            </w:tcBorders>
          </w:tcPr>
          <w:p w14:paraId="30D7DC2F" w14:textId="77777777" w:rsidR="008F364A" w:rsidRPr="000E73A2" w:rsidRDefault="008F364A">
            <w:pPr>
              <w:keepNext/>
              <w:rPr>
                <w:lang w:val="en-CA"/>
              </w:rPr>
            </w:pPr>
          </w:p>
        </w:tc>
      </w:tr>
      <w:tr w:rsidR="00965850" w:rsidRPr="000E73A2" w14:paraId="3390B048" w14:textId="77777777" w:rsidTr="00117914">
        <w:trPr>
          <w:trHeight w:val="283"/>
        </w:trPr>
        <w:tc>
          <w:tcPr>
            <w:tcW w:w="4682" w:type="dxa"/>
            <w:gridSpan w:val="3"/>
            <w:tcBorders>
              <w:top w:val="nil"/>
            </w:tcBorders>
          </w:tcPr>
          <w:p w14:paraId="3BBCE5A2" w14:textId="77777777" w:rsidR="008F364A" w:rsidRPr="000E73A2" w:rsidRDefault="008F364A">
            <w:pPr>
              <w:keepNext/>
              <w:rPr>
                <w:lang w:val="en-CA"/>
              </w:rPr>
            </w:pPr>
          </w:p>
        </w:tc>
        <w:tc>
          <w:tcPr>
            <w:tcW w:w="4680" w:type="dxa"/>
            <w:tcBorders>
              <w:top w:val="single" w:sz="8" w:space="0" w:color="auto"/>
            </w:tcBorders>
          </w:tcPr>
          <w:p w14:paraId="58C25DAE" w14:textId="471CA13E" w:rsidR="008F364A" w:rsidRPr="000E73A2" w:rsidRDefault="00276A1F">
            <w:pPr>
              <w:keepNext/>
              <w:rPr>
                <w:lang w:val="en-CA"/>
              </w:rPr>
            </w:pPr>
            <w:r w:rsidRPr="000E73A2">
              <w:rPr>
                <w:lang w:val="en-CA"/>
              </w:rPr>
              <w:t>FRÉDÉRIC BACHAND, J.A.</w:t>
            </w:r>
          </w:p>
        </w:tc>
      </w:tr>
      <w:bookmarkEnd w:id="10"/>
      <w:tr w:rsidR="00965850" w:rsidRPr="000E73A2" w14:paraId="12603C81" w14:textId="77777777" w:rsidTr="00D16126">
        <w:tc>
          <w:tcPr>
            <w:tcW w:w="9362" w:type="dxa"/>
            <w:gridSpan w:val="4"/>
            <w:tcBorders>
              <w:bottom w:val="nil"/>
            </w:tcBorders>
          </w:tcPr>
          <w:p w14:paraId="50C78C5A" w14:textId="77777777" w:rsidR="005A78BF" w:rsidRPr="000E73A2" w:rsidRDefault="005A78BF" w:rsidP="005A78BF">
            <w:pPr>
              <w:rPr>
                <w:lang w:val="en-CA"/>
              </w:rPr>
            </w:pPr>
          </w:p>
        </w:tc>
      </w:tr>
      <w:tr w:rsidR="00965850" w:rsidRPr="000E73A2" w14:paraId="747762E5" w14:textId="77777777" w:rsidTr="00D16126">
        <w:tc>
          <w:tcPr>
            <w:tcW w:w="9362" w:type="dxa"/>
            <w:gridSpan w:val="4"/>
            <w:tcBorders>
              <w:top w:val="nil"/>
            </w:tcBorders>
          </w:tcPr>
          <w:p w14:paraId="10FDD23F" w14:textId="10F6E260" w:rsidR="005A78BF" w:rsidRPr="000E73A2" w:rsidRDefault="00276A1F" w:rsidP="005A78BF">
            <w:pPr>
              <w:pStyle w:val="zSoquijdatNomProcureurDem"/>
              <w:rPr>
                <w:lang w:val="en-CA"/>
              </w:rPr>
            </w:pPr>
            <w:proofErr w:type="spellStart"/>
            <w:r w:rsidRPr="000E73A2">
              <w:rPr>
                <w:lang w:val="en-CA"/>
              </w:rPr>
              <w:t>M</w:t>
            </w:r>
            <w:r w:rsidR="00183B45">
              <w:rPr>
                <w:lang w:val="en-CA"/>
              </w:rPr>
              <w:t>tr</w:t>
            </w:r>
            <w:r w:rsidRPr="000E73A2">
              <w:rPr>
                <w:lang w:val="en-CA"/>
              </w:rPr>
              <w:t>e</w:t>
            </w:r>
            <w:proofErr w:type="spellEnd"/>
            <w:r w:rsidRPr="000E73A2">
              <w:rPr>
                <w:lang w:val="en-CA"/>
              </w:rPr>
              <w:t xml:space="preserve"> Simon Blais</w:t>
            </w:r>
          </w:p>
        </w:tc>
      </w:tr>
      <w:tr w:rsidR="00965850" w:rsidRPr="000E73A2" w14:paraId="346293B3" w14:textId="77777777" w:rsidTr="00423DF1">
        <w:tc>
          <w:tcPr>
            <w:tcW w:w="9362" w:type="dxa"/>
            <w:gridSpan w:val="4"/>
          </w:tcPr>
          <w:p w14:paraId="2319EB3F" w14:textId="0DAB281C" w:rsidR="005A78BF" w:rsidRPr="000E73A2" w:rsidRDefault="00276A1F" w:rsidP="005A78BF">
            <w:pPr>
              <w:pStyle w:val="zSoquijdatCabinetProcureurDem"/>
              <w:rPr>
                <w:lang w:val="en-CA"/>
              </w:rPr>
            </w:pPr>
            <w:r w:rsidRPr="000E73A2">
              <w:rPr>
                <w:lang w:val="en-CA"/>
              </w:rPr>
              <w:t>DIRECT</w:t>
            </w:r>
            <w:r w:rsidR="00183B45">
              <w:rPr>
                <w:lang w:val="en-CA"/>
              </w:rPr>
              <w:t>O</w:t>
            </w:r>
            <w:r w:rsidRPr="000E73A2">
              <w:rPr>
                <w:lang w:val="en-CA"/>
              </w:rPr>
              <w:t xml:space="preserve">R </w:t>
            </w:r>
            <w:r w:rsidR="00183B45">
              <w:rPr>
                <w:lang w:val="en-CA"/>
              </w:rPr>
              <w:t>OF CRIMINAL AND PENAL PROSECUTIONS</w:t>
            </w:r>
          </w:p>
        </w:tc>
      </w:tr>
      <w:tr w:rsidR="00965850" w:rsidRPr="000E73A2" w14:paraId="6D82860E" w14:textId="77777777" w:rsidTr="00423DF1">
        <w:tc>
          <w:tcPr>
            <w:tcW w:w="9362" w:type="dxa"/>
            <w:gridSpan w:val="4"/>
          </w:tcPr>
          <w:p w14:paraId="44C8FC44" w14:textId="769A9B19" w:rsidR="005A78BF" w:rsidRPr="000E73A2" w:rsidRDefault="00183B45" w:rsidP="005A78BF">
            <w:pPr>
              <w:pStyle w:val="zSoquijlblProcureurDem"/>
              <w:rPr>
                <w:lang w:val="en-CA"/>
              </w:rPr>
            </w:pPr>
            <w:r>
              <w:rPr>
                <w:lang w:val="en-CA"/>
              </w:rPr>
              <w:t>For the Appellant</w:t>
            </w:r>
          </w:p>
        </w:tc>
      </w:tr>
      <w:tr w:rsidR="00965850" w:rsidRPr="000E73A2" w14:paraId="7EB35F36" w14:textId="77777777" w:rsidTr="00423DF1">
        <w:tc>
          <w:tcPr>
            <w:tcW w:w="9362" w:type="dxa"/>
            <w:gridSpan w:val="4"/>
          </w:tcPr>
          <w:p w14:paraId="435DC09F" w14:textId="77777777" w:rsidR="005A78BF" w:rsidRPr="000E73A2" w:rsidRDefault="005A78BF" w:rsidP="005A78BF">
            <w:pPr>
              <w:rPr>
                <w:lang w:val="en-CA"/>
              </w:rPr>
            </w:pPr>
          </w:p>
        </w:tc>
      </w:tr>
      <w:tr w:rsidR="00965850" w:rsidRPr="000E73A2" w14:paraId="5BB6E1EE" w14:textId="77777777" w:rsidTr="00423DF1">
        <w:tc>
          <w:tcPr>
            <w:tcW w:w="9362" w:type="dxa"/>
            <w:gridSpan w:val="4"/>
          </w:tcPr>
          <w:p w14:paraId="42589773" w14:textId="5209DE57" w:rsidR="005A78BF" w:rsidRPr="000E73A2" w:rsidRDefault="00276A1F" w:rsidP="005A78BF">
            <w:pPr>
              <w:pStyle w:val="zSoquijdatNomProcureurDef"/>
              <w:rPr>
                <w:lang w:val="en-CA"/>
              </w:rPr>
            </w:pPr>
            <w:r w:rsidRPr="000E73A2">
              <w:rPr>
                <w:lang w:val="en-CA"/>
              </w:rPr>
              <w:t>M</w:t>
            </w:r>
            <w:r w:rsidR="00183B45">
              <w:rPr>
                <w:lang w:val="en-CA"/>
              </w:rPr>
              <w:t>tr</w:t>
            </w:r>
            <w:r w:rsidRPr="000E73A2">
              <w:rPr>
                <w:lang w:val="en-CA"/>
              </w:rPr>
              <w:t>e Vincent Rondeau-Paquet</w:t>
            </w:r>
          </w:p>
        </w:tc>
      </w:tr>
      <w:tr w:rsidR="00965850" w:rsidRPr="000E73A2" w14:paraId="4ADCB1CA" w14:textId="77777777" w:rsidTr="00423DF1">
        <w:tc>
          <w:tcPr>
            <w:tcW w:w="9362" w:type="dxa"/>
            <w:gridSpan w:val="4"/>
          </w:tcPr>
          <w:p w14:paraId="28B535C6" w14:textId="23C21F36" w:rsidR="00D16126" w:rsidRPr="000E73A2" w:rsidRDefault="00276A1F" w:rsidP="005A78BF">
            <w:pPr>
              <w:pStyle w:val="zSoquijdatNomProcureurDef"/>
              <w:rPr>
                <w:lang w:val="en-CA"/>
              </w:rPr>
            </w:pPr>
            <w:r w:rsidRPr="000E73A2">
              <w:rPr>
                <w:lang w:val="en-CA"/>
              </w:rPr>
              <w:t>M</w:t>
            </w:r>
            <w:r w:rsidR="00183B45">
              <w:rPr>
                <w:lang w:val="en-CA"/>
              </w:rPr>
              <w:t>tr</w:t>
            </w:r>
            <w:r w:rsidRPr="000E73A2">
              <w:rPr>
                <w:lang w:val="en-CA"/>
              </w:rPr>
              <w:t>e Elisabeth Beauchamp</w:t>
            </w:r>
          </w:p>
        </w:tc>
      </w:tr>
      <w:tr w:rsidR="00965850" w:rsidRPr="000E73A2" w14:paraId="16150C5D" w14:textId="77777777" w:rsidTr="00423DF1">
        <w:tc>
          <w:tcPr>
            <w:tcW w:w="9362" w:type="dxa"/>
            <w:gridSpan w:val="4"/>
          </w:tcPr>
          <w:p w14:paraId="1206486C" w14:textId="2CDD9432" w:rsidR="005A78BF" w:rsidRPr="000E73A2" w:rsidRDefault="00276A1F" w:rsidP="005A78BF">
            <w:pPr>
              <w:pStyle w:val="zSoquijdatCabinetProcureurDef"/>
              <w:rPr>
                <w:lang w:val="en-CA"/>
              </w:rPr>
            </w:pPr>
            <w:r w:rsidRPr="000E73A2">
              <w:rPr>
                <w:lang w:val="en-CA"/>
              </w:rPr>
              <w:t>BOLDUC PAQUET</w:t>
            </w:r>
          </w:p>
        </w:tc>
      </w:tr>
      <w:tr w:rsidR="00965850" w:rsidRPr="000E73A2" w14:paraId="3B196D5E" w14:textId="77777777" w:rsidTr="00426FEC">
        <w:tc>
          <w:tcPr>
            <w:tcW w:w="9362" w:type="dxa"/>
            <w:gridSpan w:val="4"/>
            <w:tcBorders>
              <w:bottom w:val="nil"/>
            </w:tcBorders>
          </w:tcPr>
          <w:p w14:paraId="4087F6F2" w14:textId="4E13F52A" w:rsidR="005A78BF" w:rsidRPr="000E73A2" w:rsidRDefault="00183B45" w:rsidP="005A78BF">
            <w:pPr>
              <w:pStyle w:val="zSoquijlblProcureurDef"/>
              <w:rPr>
                <w:lang w:val="en-CA"/>
              </w:rPr>
            </w:pPr>
            <w:r>
              <w:rPr>
                <w:lang w:val="en-CA"/>
              </w:rPr>
              <w:t>For the Respondent</w:t>
            </w:r>
          </w:p>
        </w:tc>
      </w:tr>
      <w:tr w:rsidR="00965850" w:rsidRPr="000E73A2" w14:paraId="119DEE7D" w14:textId="77777777" w:rsidTr="00426FEC">
        <w:tc>
          <w:tcPr>
            <w:tcW w:w="9362" w:type="dxa"/>
            <w:gridSpan w:val="4"/>
            <w:tcBorders>
              <w:bottom w:val="nil"/>
            </w:tcBorders>
          </w:tcPr>
          <w:p w14:paraId="68409B97" w14:textId="77777777" w:rsidR="00845E17" w:rsidRPr="000E73A2" w:rsidRDefault="00845E17" w:rsidP="005A78BF">
            <w:pPr>
              <w:pStyle w:val="zSoquijlblProcureurDef"/>
              <w:rPr>
                <w:lang w:val="en-CA"/>
              </w:rPr>
            </w:pPr>
          </w:p>
        </w:tc>
      </w:tr>
      <w:tr w:rsidR="00965850" w:rsidRPr="000E73A2" w14:paraId="1C5114B9" w14:textId="77777777" w:rsidTr="002B72D8">
        <w:tc>
          <w:tcPr>
            <w:tcW w:w="1997" w:type="dxa"/>
            <w:tcBorders>
              <w:top w:val="nil"/>
            </w:tcBorders>
          </w:tcPr>
          <w:p w14:paraId="7932476F" w14:textId="70C7C21B" w:rsidR="005A78BF" w:rsidRPr="000E73A2" w:rsidRDefault="00276A1F" w:rsidP="005A78BF">
            <w:pPr>
              <w:pStyle w:val="zSoquijlblDateAudience"/>
              <w:rPr>
                <w:lang w:val="en-CA"/>
              </w:rPr>
            </w:pPr>
            <w:r w:rsidRPr="000E73A2">
              <w:rPr>
                <w:lang w:val="en-CA"/>
              </w:rPr>
              <w:t xml:space="preserve">Date </w:t>
            </w:r>
            <w:r w:rsidR="00371150">
              <w:rPr>
                <w:lang w:val="en-CA"/>
              </w:rPr>
              <w:t>of hearing</w:t>
            </w:r>
            <w:r w:rsidRPr="000E73A2">
              <w:rPr>
                <w:lang w:val="en-CA"/>
              </w:rPr>
              <w:t>:</w:t>
            </w:r>
          </w:p>
        </w:tc>
        <w:tc>
          <w:tcPr>
            <w:tcW w:w="7365" w:type="dxa"/>
            <w:gridSpan w:val="3"/>
            <w:tcBorders>
              <w:top w:val="nil"/>
            </w:tcBorders>
          </w:tcPr>
          <w:p w14:paraId="18EB776B" w14:textId="25CE77EE" w:rsidR="005A78BF" w:rsidRPr="000E73A2" w:rsidRDefault="00183B45" w:rsidP="005A78BF">
            <w:pPr>
              <w:pStyle w:val="zSoquijdatDateAudience"/>
              <w:rPr>
                <w:lang w:val="en-CA"/>
              </w:rPr>
            </w:pPr>
            <w:r>
              <w:rPr>
                <w:lang w:val="en-CA"/>
              </w:rPr>
              <w:t>September 10,</w:t>
            </w:r>
            <w:r w:rsidR="00276A1F" w:rsidRPr="000E73A2">
              <w:rPr>
                <w:lang w:val="en-CA"/>
              </w:rPr>
              <w:t xml:space="preserve"> 2024</w:t>
            </w:r>
          </w:p>
        </w:tc>
      </w:tr>
      <w:tr w:rsidR="00965850" w:rsidRPr="000E73A2" w14:paraId="774183B9" w14:textId="77777777" w:rsidTr="004E7D4B">
        <w:tc>
          <w:tcPr>
            <w:tcW w:w="2835" w:type="dxa"/>
            <w:gridSpan w:val="2"/>
          </w:tcPr>
          <w:p w14:paraId="50985784" w14:textId="7DA7E192" w:rsidR="004E7D4B" w:rsidRPr="000E73A2" w:rsidRDefault="007633B3" w:rsidP="005A78BF">
            <w:pPr>
              <w:pStyle w:val="zSoquijlblDateAudience"/>
              <w:rPr>
                <w:lang w:val="en-CA"/>
              </w:rPr>
            </w:pPr>
            <w:r>
              <w:rPr>
                <w:lang w:val="en-CA"/>
              </w:rPr>
              <w:t xml:space="preserve">Taken </w:t>
            </w:r>
            <w:r w:rsidR="00371150">
              <w:rPr>
                <w:lang w:val="en-CA"/>
              </w:rPr>
              <w:t>under advisement:</w:t>
            </w:r>
          </w:p>
        </w:tc>
        <w:tc>
          <w:tcPr>
            <w:tcW w:w="6527" w:type="dxa"/>
            <w:gridSpan w:val="2"/>
          </w:tcPr>
          <w:p w14:paraId="7F624016" w14:textId="2EE29B0D" w:rsidR="004E7D4B" w:rsidRPr="000E73A2" w:rsidRDefault="00276A1F" w:rsidP="005A78BF">
            <w:pPr>
              <w:pStyle w:val="zSoquijdatDateAudience"/>
              <w:rPr>
                <w:lang w:val="en-CA"/>
              </w:rPr>
            </w:pPr>
            <w:r w:rsidRPr="000E73A2">
              <w:rPr>
                <w:lang w:val="en-CA"/>
              </w:rPr>
              <w:t> </w:t>
            </w:r>
            <w:r w:rsidR="00183B45">
              <w:rPr>
                <w:lang w:val="en-CA"/>
              </w:rPr>
              <w:t>September 13,</w:t>
            </w:r>
            <w:r w:rsidRPr="000E73A2">
              <w:rPr>
                <w:lang w:val="en-CA"/>
              </w:rPr>
              <w:t xml:space="preserve"> 2024</w:t>
            </w:r>
          </w:p>
        </w:tc>
      </w:tr>
      <w:bookmarkEnd w:id="6"/>
    </w:tbl>
    <w:p w14:paraId="76FD31CC" w14:textId="77777777" w:rsidR="00276A1F" w:rsidRPr="000E73A2" w:rsidRDefault="00276A1F" w:rsidP="00D16126">
      <w:pPr>
        <w:rPr>
          <w:lang w:val="en-CA"/>
        </w:rPr>
        <w:sectPr w:rsidR="00276A1F" w:rsidRPr="000E73A2" w:rsidSect="00E9002D">
          <w:headerReference w:type="default" r:id="rId8"/>
          <w:footerReference w:type="default" r:id="rId9"/>
          <w:footerReference w:type="first" r:id="rId10"/>
          <w:pgSz w:w="12242" w:h="15842" w:code="1"/>
          <w:pgMar w:top="1440" w:right="1009" w:bottom="1247" w:left="1871" w:header="1440" w:footer="794" w:gutter="0"/>
          <w:cols w:space="720"/>
          <w:formProt w:val="0"/>
          <w:titlePg/>
          <w:docGrid w:linePitch="326"/>
        </w:sectPr>
      </w:pPr>
    </w:p>
    <w:tbl>
      <w:tblPr>
        <w:tblW w:w="9360" w:type="dxa"/>
        <w:tblLayout w:type="fixed"/>
        <w:tblCellMar>
          <w:left w:w="0" w:type="dxa"/>
          <w:right w:w="0" w:type="dxa"/>
        </w:tblCellMar>
        <w:tblLook w:val="0000" w:firstRow="0" w:lastRow="0" w:firstColumn="0" w:lastColumn="0" w:noHBand="0" w:noVBand="0"/>
      </w:tblPr>
      <w:tblGrid>
        <w:gridCol w:w="1030"/>
        <w:gridCol w:w="590"/>
        <w:gridCol w:w="2350"/>
        <w:gridCol w:w="3402"/>
        <w:gridCol w:w="1988"/>
      </w:tblGrid>
      <w:tr w:rsidR="00276A1F" w:rsidRPr="000E73A2" w14:paraId="20BCEC65" w14:textId="77777777" w:rsidTr="008D18FC">
        <w:trPr>
          <w:trHeight w:val="248"/>
        </w:trPr>
        <w:tc>
          <w:tcPr>
            <w:tcW w:w="7372" w:type="dxa"/>
            <w:gridSpan w:val="4"/>
          </w:tcPr>
          <w:p w14:paraId="41D7D073" w14:textId="2992B326" w:rsidR="00276A1F" w:rsidRPr="000E73A2" w:rsidRDefault="00276A1F">
            <w:pPr>
              <w:pStyle w:val="zSoquijdatRepertorie"/>
              <w:rPr>
                <w:lang w:val="en-CA"/>
              </w:rPr>
            </w:pPr>
            <w:r w:rsidRPr="000E73A2">
              <w:rPr>
                <w:lang w:val="en-CA"/>
              </w:rPr>
              <w:lastRenderedPageBreak/>
              <w:t>R. c. Ouellet</w:t>
            </w:r>
          </w:p>
        </w:tc>
        <w:tc>
          <w:tcPr>
            <w:tcW w:w="1988" w:type="dxa"/>
          </w:tcPr>
          <w:p w14:paraId="0F649536" w14:textId="17FDDF06" w:rsidR="00276A1F" w:rsidRPr="000E73A2" w:rsidRDefault="00276A1F">
            <w:pPr>
              <w:pStyle w:val="zSoquijdatRefNeutre"/>
              <w:rPr>
                <w:lang w:val="en-CA"/>
              </w:rPr>
            </w:pPr>
            <w:r w:rsidRPr="000E73A2">
              <w:rPr>
                <w:lang w:val="en-CA"/>
              </w:rPr>
              <w:t>2025 QCCA 347</w:t>
            </w:r>
          </w:p>
        </w:tc>
      </w:tr>
      <w:tr w:rsidR="00276A1F" w:rsidRPr="000E73A2" w14:paraId="5B794B47" w14:textId="77777777" w:rsidTr="008D18FC">
        <w:trPr>
          <w:trHeight w:val="247"/>
        </w:trPr>
        <w:tc>
          <w:tcPr>
            <w:tcW w:w="9360" w:type="dxa"/>
            <w:gridSpan w:val="5"/>
          </w:tcPr>
          <w:p w14:paraId="0AC5A5E0" w14:textId="33ADD466" w:rsidR="00276A1F" w:rsidRPr="000E73A2" w:rsidRDefault="00276A1F">
            <w:pPr>
              <w:pStyle w:val="zSoquijlblCour"/>
              <w:rPr>
                <w:lang w:val="en-CA"/>
              </w:rPr>
            </w:pPr>
            <w:r w:rsidRPr="000E73A2">
              <w:rPr>
                <w:lang w:val="en-CA"/>
              </w:rPr>
              <w:t>COUR</w:t>
            </w:r>
            <w:r w:rsidR="001F5BCD">
              <w:rPr>
                <w:lang w:val="en-CA"/>
              </w:rPr>
              <w:t>T</w:t>
            </w:r>
            <w:r w:rsidRPr="000E73A2">
              <w:rPr>
                <w:lang w:val="en-CA"/>
              </w:rPr>
              <w:t xml:space="preserve"> </w:t>
            </w:r>
            <w:r w:rsidR="001F5BCD">
              <w:rPr>
                <w:lang w:val="en-CA"/>
              </w:rPr>
              <w:t xml:space="preserve">OF </w:t>
            </w:r>
            <w:r w:rsidRPr="000E73A2">
              <w:rPr>
                <w:lang w:val="en-CA"/>
              </w:rPr>
              <w:t>APPE</w:t>
            </w:r>
            <w:r w:rsidR="001F5BCD">
              <w:rPr>
                <w:lang w:val="en-CA"/>
              </w:rPr>
              <w:t>A</w:t>
            </w:r>
            <w:r w:rsidRPr="000E73A2">
              <w:rPr>
                <w:lang w:val="en-CA"/>
              </w:rPr>
              <w:t>L</w:t>
            </w:r>
          </w:p>
        </w:tc>
      </w:tr>
      <w:tr w:rsidR="00276A1F" w:rsidRPr="000E73A2" w14:paraId="471213C4" w14:textId="77777777" w:rsidTr="008D18FC">
        <w:trPr>
          <w:trHeight w:val="540"/>
        </w:trPr>
        <w:tc>
          <w:tcPr>
            <w:tcW w:w="9360" w:type="dxa"/>
            <w:gridSpan w:val="5"/>
          </w:tcPr>
          <w:p w14:paraId="5749D8E1" w14:textId="77777777" w:rsidR="00276A1F" w:rsidRPr="000E73A2" w:rsidRDefault="00276A1F">
            <w:pPr>
              <w:pStyle w:val="zSoquijdatDivision"/>
              <w:rPr>
                <w:lang w:val="en-CA"/>
              </w:rPr>
            </w:pPr>
          </w:p>
        </w:tc>
      </w:tr>
      <w:tr w:rsidR="00276A1F" w:rsidRPr="000E73A2" w14:paraId="12E49736" w14:textId="77777777" w:rsidTr="008D18FC">
        <w:tc>
          <w:tcPr>
            <w:tcW w:w="9360" w:type="dxa"/>
            <w:gridSpan w:val="5"/>
          </w:tcPr>
          <w:p w14:paraId="1B8D32DA" w14:textId="77777777" w:rsidR="00276A1F" w:rsidRPr="000E73A2" w:rsidRDefault="00276A1F">
            <w:pPr>
              <w:pStyle w:val="zSoquijlblPays"/>
              <w:rPr>
                <w:lang w:val="en-CA"/>
              </w:rPr>
            </w:pPr>
            <w:r w:rsidRPr="000E73A2">
              <w:rPr>
                <w:lang w:val="en-CA"/>
              </w:rPr>
              <w:t>CANADA</w:t>
            </w:r>
          </w:p>
        </w:tc>
      </w:tr>
      <w:tr w:rsidR="00276A1F" w:rsidRPr="000E73A2" w14:paraId="49DB16B6" w14:textId="77777777" w:rsidTr="008D18FC">
        <w:tc>
          <w:tcPr>
            <w:tcW w:w="9360" w:type="dxa"/>
            <w:gridSpan w:val="5"/>
          </w:tcPr>
          <w:p w14:paraId="6689A711" w14:textId="77811116" w:rsidR="00276A1F" w:rsidRPr="000E73A2" w:rsidRDefault="00276A1F">
            <w:pPr>
              <w:pStyle w:val="zSoquijlblProvince"/>
              <w:rPr>
                <w:lang w:val="en-CA"/>
              </w:rPr>
            </w:pPr>
            <w:r w:rsidRPr="000E73A2">
              <w:rPr>
                <w:lang w:val="en-CA"/>
              </w:rPr>
              <w:t xml:space="preserve">PROVINCE </w:t>
            </w:r>
            <w:r w:rsidR="001F5BCD">
              <w:rPr>
                <w:lang w:val="en-CA"/>
              </w:rPr>
              <w:t>OF</w:t>
            </w:r>
            <w:r w:rsidRPr="000E73A2">
              <w:rPr>
                <w:lang w:val="en-CA"/>
              </w:rPr>
              <w:t xml:space="preserve"> QU</w:t>
            </w:r>
            <w:r w:rsidR="001F5BCD">
              <w:rPr>
                <w:lang w:val="en-CA"/>
              </w:rPr>
              <w:t>E</w:t>
            </w:r>
            <w:r w:rsidRPr="000E73A2">
              <w:rPr>
                <w:lang w:val="en-CA"/>
              </w:rPr>
              <w:t>BEC</w:t>
            </w:r>
          </w:p>
        </w:tc>
      </w:tr>
      <w:tr w:rsidR="00276A1F" w:rsidRPr="000E73A2" w14:paraId="1DB3802A" w14:textId="77777777" w:rsidTr="002250A0">
        <w:tc>
          <w:tcPr>
            <w:tcW w:w="9360" w:type="dxa"/>
            <w:gridSpan w:val="5"/>
          </w:tcPr>
          <w:p w14:paraId="75030E4B" w14:textId="60DF960C" w:rsidR="00276A1F" w:rsidRPr="000E73A2" w:rsidRDefault="00276A1F" w:rsidP="003C4FC1">
            <w:pPr>
              <w:pStyle w:val="zSoquijlblGreffe"/>
              <w:rPr>
                <w:lang w:val="en-CA"/>
              </w:rPr>
            </w:pPr>
            <w:r w:rsidRPr="000E73A2">
              <w:rPr>
                <w:lang w:val="en-CA"/>
              </w:rPr>
              <w:t>MONTR</w:t>
            </w:r>
            <w:r w:rsidR="001F5BCD">
              <w:rPr>
                <w:lang w:val="en-CA"/>
              </w:rPr>
              <w:t>E</w:t>
            </w:r>
            <w:r w:rsidRPr="000E73A2">
              <w:rPr>
                <w:lang w:val="en-CA"/>
              </w:rPr>
              <w:t>AL</w:t>
            </w:r>
            <w:r w:rsidR="001F5BCD">
              <w:rPr>
                <w:lang w:val="en-CA"/>
              </w:rPr>
              <w:t xml:space="preserve"> SEAT</w:t>
            </w:r>
          </w:p>
          <w:p w14:paraId="11484CB5" w14:textId="77777777" w:rsidR="00276A1F" w:rsidRPr="000E73A2" w:rsidRDefault="00276A1F" w:rsidP="003C4FC1">
            <w:pPr>
              <w:pStyle w:val="zSoquijlblGreffe"/>
              <w:rPr>
                <w:lang w:val="en-CA"/>
              </w:rPr>
            </w:pPr>
          </w:p>
        </w:tc>
      </w:tr>
      <w:tr w:rsidR="00276A1F" w:rsidRPr="000E73A2" w14:paraId="74944D93" w14:textId="77777777" w:rsidTr="008D18FC">
        <w:tc>
          <w:tcPr>
            <w:tcW w:w="1030" w:type="dxa"/>
          </w:tcPr>
          <w:p w14:paraId="0A489EE2" w14:textId="6038B854" w:rsidR="00276A1F" w:rsidRPr="000E73A2" w:rsidRDefault="00276A1F">
            <w:pPr>
              <w:pStyle w:val="zSoquijlblNoDossier"/>
              <w:rPr>
                <w:lang w:val="en-CA"/>
              </w:rPr>
            </w:pPr>
            <w:r w:rsidRPr="000E73A2">
              <w:rPr>
                <w:lang w:val="en-CA"/>
              </w:rPr>
              <w:t>N</w:t>
            </w:r>
            <w:r w:rsidR="001F5BCD">
              <w:rPr>
                <w:lang w:val="en-CA"/>
              </w:rPr>
              <w:t>o.:</w:t>
            </w:r>
          </w:p>
        </w:tc>
        <w:tc>
          <w:tcPr>
            <w:tcW w:w="8330" w:type="dxa"/>
            <w:gridSpan w:val="4"/>
          </w:tcPr>
          <w:p w14:paraId="1F03EC7E" w14:textId="77777777" w:rsidR="00276A1F" w:rsidRPr="000E73A2" w:rsidRDefault="00276A1F">
            <w:pPr>
              <w:pStyle w:val="zSoquijdatNoDossier"/>
              <w:rPr>
                <w:lang w:val="en-CA"/>
              </w:rPr>
            </w:pPr>
            <w:r w:rsidRPr="000E73A2">
              <w:rPr>
                <w:lang w:val="en-CA"/>
              </w:rPr>
              <w:t>500-10-700053-232</w:t>
            </w:r>
          </w:p>
        </w:tc>
      </w:tr>
      <w:tr w:rsidR="00276A1F" w:rsidRPr="000E73A2" w14:paraId="218A538F" w14:textId="77777777" w:rsidTr="008D18FC">
        <w:tc>
          <w:tcPr>
            <w:tcW w:w="9360" w:type="dxa"/>
            <w:gridSpan w:val="5"/>
          </w:tcPr>
          <w:p w14:paraId="7870FC41" w14:textId="77777777" w:rsidR="00276A1F" w:rsidRPr="000E73A2" w:rsidRDefault="00276A1F" w:rsidP="00D16126">
            <w:pPr>
              <w:pStyle w:val="zSoquijdatNoDossierAnt"/>
              <w:rPr>
                <w:lang w:val="en-CA"/>
              </w:rPr>
            </w:pPr>
            <w:r w:rsidRPr="000E73A2">
              <w:rPr>
                <w:lang w:val="en-CA"/>
              </w:rPr>
              <w:t>(540-01-098396-206)</w:t>
            </w:r>
          </w:p>
        </w:tc>
      </w:tr>
      <w:tr w:rsidR="00276A1F" w:rsidRPr="000E73A2" w14:paraId="6B9B74A0" w14:textId="77777777" w:rsidTr="008D18FC">
        <w:tc>
          <w:tcPr>
            <w:tcW w:w="9360" w:type="dxa"/>
            <w:gridSpan w:val="5"/>
          </w:tcPr>
          <w:p w14:paraId="52B457DC" w14:textId="77777777" w:rsidR="00276A1F" w:rsidRPr="000E73A2" w:rsidRDefault="00276A1F">
            <w:pPr>
              <w:rPr>
                <w:lang w:val="en-CA"/>
              </w:rPr>
            </w:pPr>
          </w:p>
        </w:tc>
      </w:tr>
      <w:tr w:rsidR="00276A1F" w:rsidRPr="000E73A2" w14:paraId="00377893" w14:textId="77777777" w:rsidTr="008D18FC">
        <w:tc>
          <w:tcPr>
            <w:tcW w:w="1030" w:type="dxa"/>
          </w:tcPr>
          <w:p w14:paraId="45D618EF" w14:textId="5896AD99" w:rsidR="00276A1F" w:rsidRPr="000E73A2" w:rsidRDefault="00276A1F">
            <w:pPr>
              <w:pStyle w:val="zSoquijlblDateJugement"/>
              <w:rPr>
                <w:lang w:val="en-CA"/>
              </w:rPr>
            </w:pPr>
            <w:r w:rsidRPr="000E73A2">
              <w:rPr>
                <w:lang w:val="en-CA"/>
              </w:rPr>
              <w:t>DATE:</w:t>
            </w:r>
          </w:p>
        </w:tc>
        <w:tc>
          <w:tcPr>
            <w:tcW w:w="8330" w:type="dxa"/>
            <w:gridSpan w:val="4"/>
          </w:tcPr>
          <w:p w14:paraId="41875793" w14:textId="2C5EB1BA" w:rsidR="00276A1F" w:rsidRPr="000E73A2" w:rsidRDefault="001F5BCD">
            <w:pPr>
              <w:pStyle w:val="zSoquijdatDateJugement"/>
              <w:rPr>
                <w:lang w:val="en-CA"/>
              </w:rPr>
            </w:pPr>
            <w:r>
              <w:rPr>
                <w:lang w:val="en-CA"/>
              </w:rPr>
              <w:t>March 25,</w:t>
            </w:r>
            <w:r w:rsidR="00276A1F" w:rsidRPr="000E73A2">
              <w:rPr>
                <w:lang w:val="en-CA"/>
              </w:rPr>
              <w:t xml:space="preserve"> 2025</w:t>
            </w:r>
          </w:p>
        </w:tc>
      </w:tr>
      <w:tr w:rsidR="00276A1F" w:rsidRPr="000E73A2" w14:paraId="44E69AEA" w14:textId="77777777" w:rsidTr="008D18FC">
        <w:tc>
          <w:tcPr>
            <w:tcW w:w="9360" w:type="dxa"/>
            <w:gridSpan w:val="5"/>
            <w:tcBorders>
              <w:bottom w:val="single" w:sz="8" w:space="0" w:color="auto"/>
            </w:tcBorders>
          </w:tcPr>
          <w:p w14:paraId="6B194E88" w14:textId="77777777" w:rsidR="00276A1F" w:rsidRPr="000E73A2" w:rsidRDefault="00276A1F">
            <w:pPr>
              <w:rPr>
                <w:lang w:val="en-CA"/>
              </w:rPr>
            </w:pPr>
          </w:p>
        </w:tc>
      </w:tr>
      <w:tr w:rsidR="00276A1F" w:rsidRPr="000E73A2" w14:paraId="54BC5D67" w14:textId="77777777" w:rsidTr="008D18FC">
        <w:tc>
          <w:tcPr>
            <w:tcW w:w="9360" w:type="dxa"/>
            <w:gridSpan w:val="5"/>
            <w:tcBorders>
              <w:top w:val="single" w:sz="8" w:space="0" w:color="auto"/>
            </w:tcBorders>
          </w:tcPr>
          <w:p w14:paraId="5DD1CD43" w14:textId="77777777" w:rsidR="00276A1F" w:rsidRPr="000E73A2" w:rsidRDefault="00276A1F">
            <w:pPr>
              <w:rPr>
                <w:lang w:val="en-CA"/>
              </w:rPr>
            </w:pPr>
          </w:p>
        </w:tc>
      </w:tr>
      <w:tr w:rsidR="00276A1F" w:rsidRPr="000E73A2" w14:paraId="0011C235" w14:textId="77777777" w:rsidTr="008D18FC">
        <w:tc>
          <w:tcPr>
            <w:tcW w:w="1620" w:type="dxa"/>
            <w:gridSpan w:val="2"/>
          </w:tcPr>
          <w:p w14:paraId="59581EFE" w14:textId="79E7DF1E" w:rsidR="00276A1F" w:rsidRPr="000E73A2" w:rsidRDefault="001F5BCD" w:rsidP="00423DF1">
            <w:pPr>
              <w:pStyle w:val="zSoquijlblJuge"/>
              <w:ind w:right="-142"/>
              <w:rPr>
                <w:lang w:val="en-CA"/>
              </w:rPr>
            </w:pPr>
            <w:r>
              <w:rPr>
                <w:lang w:val="en-CA"/>
              </w:rPr>
              <w:t>CORAM</w:t>
            </w:r>
            <w:r w:rsidR="00276A1F" w:rsidRPr="000E73A2">
              <w:rPr>
                <w:lang w:val="en-CA"/>
              </w:rPr>
              <w:t>:</w:t>
            </w:r>
          </w:p>
        </w:tc>
        <w:tc>
          <w:tcPr>
            <w:tcW w:w="2350" w:type="dxa"/>
          </w:tcPr>
          <w:p w14:paraId="24A9E9AA" w14:textId="184ACC4E" w:rsidR="00276A1F" w:rsidRPr="000E73A2" w:rsidRDefault="001F5BCD">
            <w:pPr>
              <w:pStyle w:val="zSoquijdatQteJuge"/>
              <w:rPr>
                <w:lang w:val="en-CA"/>
              </w:rPr>
            </w:pPr>
            <w:r>
              <w:rPr>
                <w:lang w:val="en-CA"/>
              </w:rPr>
              <w:t>THE HONOURABLE</w:t>
            </w:r>
          </w:p>
        </w:tc>
        <w:tc>
          <w:tcPr>
            <w:tcW w:w="5390" w:type="dxa"/>
            <w:gridSpan w:val="2"/>
          </w:tcPr>
          <w:p w14:paraId="2575EE1C" w14:textId="145D3A37" w:rsidR="00276A1F" w:rsidRPr="000E73A2" w:rsidRDefault="00276A1F">
            <w:pPr>
              <w:pStyle w:val="zSoquijdatJuge"/>
              <w:rPr>
                <w:lang w:val="en-CA"/>
              </w:rPr>
            </w:pPr>
            <w:r w:rsidRPr="000E73A2">
              <w:rPr>
                <w:lang w:val="en-CA"/>
              </w:rPr>
              <w:t>BENOÎT MOORE, J.A.</w:t>
            </w:r>
          </w:p>
          <w:p w14:paraId="383C695C" w14:textId="26DA5647" w:rsidR="00276A1F" w:rsidRPr="000E73A2" w:rsidRDefault="00276A1F">
            <w:pPr>
              <w:pStyle w:val="zSoquijdatJuge"/>
              <w:rPr>
                <w:lang w:val="en-CA"/>
              </w:rPr>
            </w:pPr>
            <w:r w:rsidRPr="000E73A2">
              <w:rPr>
                <w:lang w:val="en-CA"/>
              </w:rPr>
              <w:t>GUY COURNOYER, J.A.</w:t>
            </w:r>
          </w:p>
          <w:p w14:paraId="00A2C950" w14:textId="4A1BDF0F" w:rsidR="00276A1F" w:rsidRPr="000E73A2" w:rsidRDefault="00276A1F" w:rsidP="00D16126">
            <w:pPr>
              <w:pStyle w:val="zSoquijdatJuge"/>
              <w:rPr>
                <w:lang w:val="en-CA"/>
              </w:rPr>
            </w:pPr>
            <w:r w:rsidRPr="000E73A2">
              <w:rPr>
                <w:lang w:val="en-CA"/>
              </w:rPr>
              <w:t>FRÉDÉRIC BACHAND, J.A.</w:t>
            </w:r>
          </w:p>
        </w:tc>
      </w:tr>
      <w:tr w:rsidR="00276A1F" w:rsidRPr="000E73A2" w14:paraId="6734EB3F" w14:textId="77777777" w:rsidTr="008D18FC">
        <w:tc>
          <w:tcPr>
            <w:tcW w:w="9360" w:type="dxa"/>
            <w:gridSpan w:val="5"/>
            <w:tcBorders>
              <w:bottom w:val="single" w:sz="8" w:space="0" w:color="auto"/>
            </w:tcBorders>
          </w:tcPr>
          <w:p w14:paraId="44540AF3" w14:textId="77777777" w:rsidR="00276A1F" w:rsidRPr="000E73A2" w:rsidRDefault="00276A1F">
            <w:pPr>
              <w:rPr>
                <w:lang w:val="en-CA"/>
              </w:rPr>
            </w:pPr>
          </w:p>
        </w:tc>
      </w:tr>
      <w:tr w:rsidR="00276A1F" w:rsidRPr="000E73A2" w14:paraId="315A29F5" w14:textId="77777777" w:rsidTr="008D18FC">
        <w:tc>
          <w:tcPr>
            <w:tcW w:w="9360" w:type="dxa"/>
            <w:gridSpan w:val="5"/>
          </w:tcPr>
          <w:p w14:paraId="7431B0D7" w14:textId="77777777" w:rsidR="00276A1F" w:rsidRPr="000E73A2" w:rsidRDefault="00276A1F">
            <w:pPr>
              <w:pStyle w:val="zSoquijlblTitrePartie"/>
              <w:rPr>
                <w:lang w:val="en-CA"/>
              </w:rPr>
            </w:pPr>
          </w:p>
        </w:tc>
      </w:tr>
      <w:tr w:rsidR="00276A1F" w:rsidRPr="000E73A2" w14:paraId="3D617F5E" w14:textId="77777777" w:rsidTr="008D18FC">
        <w:tc>
          <w:tcPr>
            <w:tcW w:w="9360" w:type="dxa"/>
            <w:gridSpan w:val="5"/>
          </w:tcPr>
          <w:p w14:paraId="6B086D99" w14:textId="53E1F0A2" w:rsidR="00276A1F" w:rsidRPr="000E73A2" w:rsidRDefault="001F5BCD">
            <w:pPr>
              <w:pStyle w:val="zSoquijdatNomPartieDem"/>
              <w:rPr>
                <w:lang w:val="en-CA"/>
              </w:rPr>
            </w:pPr>
            <w:r>
              <w:rPr>
                <w:lang w:val="en-CA"/>
              </w:rPr>
              <w:t>HIS MAJESTY THE KING</w:t>
            </w:r>
          </w:p>
        </w:tc>
      </w:tr>
      <w:tr w:rsidR="00276A1F" w:rsidRPr="000E73A2" w14:paraId="5FA5D283" w14:textId="77777777" w:rsidTr="008D18FC">
        <w:tc>
          <w:tcPr>
            <w:tcW w:w="9360" w:type="dxa"/>
            <w:gridSpan w:val="5"/>
          </w:tcPr>
          <w:p w14:paraId="60600B7E" w14:textId="5F028AA1" w:rsidR="00276A1F" w:rsidRPr="000E73A2" w:rsidRDefault="00276A1F">
            <w:pPr>
              <w:pStyle w:val="zSoquijdatQtePartieDem"/>
              <w:rPr>
                <w:lang w:val="en-CA"/>
              </w:rPr>
            </w:pPr>
            <w:r w:rsidRPr="000E73A2">
              <w:rPr>
                <w:lang w:val="en-CA"/>
              </w:rPr>
              <w:t>APPEL</w:t>
            </w:r>
            <w:r w:rsidR="001F5BCD">
              <w:rPr>
                <w:lang w:val="en-CA"/>
              </w:rPr>
              <w:t>L</w:t>
            </w:r>
            <w:r w:rsidRPr="000E73A2">
              <w:rPr>
                <w:lang w:val="en-CA"/>
              </w:rPr>
              <w:t xml:space="preserve">ANT – </w:t>
            </w:r>
            <w:r w:rsidR="001F5BCD">
              <w:rPr>
                <w:lang w:val="en-CA"/>
              </w:rPr>
              <w:t>Prosecutor</w:t>
            </w:r>
          </w:p>
        </w:tc>
      </w:tr>
      <w:tr w:rsidR="00276A1F" w:rsidRPr="000E73A2" w14:paraId="7F9AEE43" w14:textId="77777777" w:rsidTr="008D18FC">
        <w:tc>
          <w:tcPr>
            <w:tcW w:w="9360" w:type="dxa"/>
            <w:gridSpan w:val="5"/>
          </w:tcPr>
          <w:p w14:paraId="7789E173" w14:textId="6741C91F" w:rsidR="00276A1F" w:rsidRPr="000E73A2" w:rsidRDefault="001F5BCD">
            <w:pPr>
              <w:pStyle w:val="zSoquijlblLienParties"/>
              <w:rPr>
                <w:lang w:val="en-CA"/>
              </w:rPr>
            </w:pPr>
            <w:r>
              <w:rPr>
                <w:lang w:val="en-CA"/>
              </w:rPr>
              <w:t>v</w:t>
            </w:r>
            <w:r w:rsidR="00276A1F" w:rsidRPr="000E73A2">
              <w:rPr>
                <w:lang w:val="en-CA"/>
              </w:rPr>
              <w:t>.</w:t>
            </w:r>
          </w:p>
        </w:tc>
      </w:tr>
      <w:tr w:rsidR="00276A1F" w:rsidRPr="000E73A2" w14:paraId="014332AA" w14:textId="77777777" w:rsidTr="008D18FC">
        <w:tc>
          <w:tcPr>
            <w:tcW w:w="9360" w:type="dxa"/>
            <w:gridSpan w:val="5"/>
          </w:tcPr>
          <w:p w14:paraId="75B37959" w14:textId="77777777" w:rsidR="00276A1F" w:rsidRPr="000E73A2" w:rsidRDefault="00276A1F">
            <w:pPr>
              <w:rPr>
                <w:lang w:val="en-CA"/>
              </w:rPr>
            </w:pPr>
          </w:p>
        </w:tc>
      </w:tr>
      <w:tr w:rsidR="00276A1F" w:rsidRPr="000E73A2" w14:paraId="07578C9E" w14:textId="77777777" w:rsidTr="008D18FC">
        <w:tc>
          <w:tcPr>
            <w:tcW w:w="9360" w:type="dxa"/>
            <w:gridSpan w:val="5"/>
          </w:tcPr>
          <w:p w14:paraId="09FB4375" w14:textId="77777777" w:rsidR="00276A1F" w:rsidRPr="000E73A2" w:rsidRDefault="00276A1F">
            <w:pPr>
              <w:pStyle w:val="zSoquijdatNomPartieDef"/>
              <w:rPr>
                <w:lang w:val="en-CA"/>
              </w:rPr>
            </w:pPr>
            <w:r w:rsidRPr="000E73A2">
              <w:rPr>
                <w:lang w:val="en-CA"/>
              </w:rPr>
              <w:t>GAÉTAN OUELLET</w:t>
            </w:r>
          </w:p>
        </w:tc>
      </w:tr>
      <w:tr w:rsidR="00276A1F" w:rsidRPr="000E73A2" w14:paraId="35B75664" w14:textId="77777777" w:rsidTr="008D18FC">
        <w:tc>
          <w:tcPr>
            <w:tcW w:w="9360" w:type="dxa"/>
            <w:gridSpan w:val="5"/>
          </w:tcPr>
          <w:p w14:paraId="44BA2F5A" w14:textId="4CFF2E3A" w:rsidR="00276A1F" w:rsidRPr="000E73A2" w:rsidRDefault="001F5BCD">
            <w:pPr>
              <w:pStyle w:val="zSoquijdatQtePartieDef"/>
              <w:rPr>
                <w:lang w:val="en-CA"/>
              </w:rPr>
            </w:pPr>
            <w:r>
              <w:rPr>
                <w:lang w:val="en-CA"/>
              </w:rPr>
              <w:t>RESPONDENT</w:t>
            </w:r>
            <w:r w:rsidR="00276A1F" w:rsidRPr="000E73A2">
              <w:rPr>
                <w:lang w:val="en-CA"/>
              </w:rPr>
              <w:t xml:space="preserve"> – </w:t>
            </w:r>
            <w:r>
              <w:rPr>
                <w:lang w:val="en-CA"/>
              </w:rPr>
              <w:t>Accused</w:t>
            </w:r>
          </w:p>
        </w:tc>
      </w:tr>
      <w:tr w:rsidR="00276A1F" w:rsidRPr="000E73A2" w14:paraId="46AF6F71" w14:textId="77777777" w:rsidTr="008D18FC">
        <w:tc>
          <w:tcPr>
            <w:tcW w:w="9360" w:type="dxa"/>
            <w:gridSpan w:val="5"/>
          </w:tcPr>
          <w:p w14:paraId="557A0F72" w14:textId="77777777" w:rsidR="00276A1F" w:rsidRPr="000E73A2" w:rsidRDefault="00276A1F">
            <w:pPr>
              <w:rPr>
                <w:lang w:val="en-CA"/>
              </w:rPr>
            </w:pPr>
          </w:p>
        </w:tc>
      </w:tr>
      <w:tr w:rsidR="00276A1F" w:rsidRPr="000E73A2" w14:paraId="34FA7BAB" w14:textId="77777777" w:rsidTr="008D18FC">
        <w:tc>
          <w:tcPr>
            <w:tcW w:w="9360" w:type="dxa"/>
            <w:gridSpan w:val="5"/>
            <w:tcBorders>
              <w:top w:val="single" w:sz="8" w:space="0" w:color="auto"/>
            </w:tcBorders>
          </w:tcPr>
          <w:p w14:paraId="53531286" w14:textId="77777777" w:rsidR="00276A1F" w:rsidRPr="000E73A2" w:rsidRDefault="00276A1F">
            <w:pPr>
              <w:rPr>
                <w:lang w:val="en-CA"/>
              </w:rPr>
            </w:pPr>
          </w:p>
        </w:tc>
      </w:tr>
      <w:tr w:rsidR="00276A1F" w:rsidRPr="000E73A2" w14:paraId="295DA6B7" w14:textId="77777777" w:rsidTr="008D18FC">
        <w:tc>
          <w:tcPr>
            <w:tcW w:w="9360" w:type="dxa"/>
            <w:gridSpan w:val="5"/>
          </w:tcPr>
          <w:p w14:paraId="0867128F" w14:textId="2B4B54AB" w:rsidR="00276A1F" w:rsidRPr="000E73A2" w:rsidRDefault="001F5BCD">
            <w:pPr>
              <w:pStyle w:val="zSoquijlblTypeDocument"/>
              <w:rPr>
                <w:lang w:val="en-CA"/>
              </w:rPr>
            </w:pPr>
            <w:r>
              <w:rPr>
                <w:lang w:val="en-CA"/>
              </w:rPr>
              <w:t>JUDGMENT</w:t>
            </w:r>
          </w:p>
          <w:p w14:paraId="753FBDB4" w14:textId="1B21B1BF" w:rsidR="00276A1F" w:rsidRPr="000E73A2" w:rsidRDefault="00276A1F">
            <w:pPr>
              <w:pStyle w:val="zSoquijlblTypeDocument"/>
              <w:rPr>
                <w:lang w:val="en-CA"/>
              </w:rPr>
            </w:pPr>
            <w:r w:rsidRPr="000E73A2">
              <w:rPr>
                <w:lang w:val="en-CA"/>
              </w:rPr>
              <w:t>(</w:t>
            </w:r>
            <w:r w:rsidR="007633B3">
              <w:rPr>
                <w:lang w:val="en-CA"/>
              </w:rPr>
              <w:t>C</w:t>
            </w:r>
            <w:r w:rsidR="001F5BCD">
              <w:rPr>
                <w:lang w:val="en-CA"/>
              </w:rPr>
              <w:t xml:space="preserve">orrected on April 8, </w:t>
            </w:r>
            <w:r w:rsidRPr="000E73A2">
              <w:rPr>
                <w:lang w:val="en-CA"/>
              </w:rPr>
              <w:t>2025)</w:t>
            </w:r>
          </w:p>
        </w:tc>
      </w:tr>
      <w:tr w:rsidR="00276A1F" w:rsidRPr="000E73A2" w14:paraId="69F1EDF1" w14:textId="77777777" w:rsidTr="008D18FC">
        <w:tc>
          <w:tcPr>
            <w:tcW w:w="9360" w:type="dxa"/>
            <w:gridSpan w:val="5"/>
            <w:tcBorders>
              <w:bottom w:val="single" w:sz="8" w:space="0" w:color="auto"/>
            </w:tcBorders>
          </w:tcPr>
          <w:p w14:paraId="08D18BEE" w14:textId="77777777" w:rsidR="00276A1F" w:rsidRPr="000E73A2" w:rsidRDefault="00276A1F">
            <w:pPr>
              <w:rPr>
                <w:lang w:val="en-CA"/>
              </w:rPr>
            </w:pPr>
          </w:p>
        </w:tc>
      </w:tr>
    </w:tbl>
    <w:p w14:paraId="01423782" w14:textId="2824ACBC" w:rsidR="00276A1F" w:rsidRPr="000E73A2" w:rsidRDefault="00F646A5" w:rsidP="00043493">
      <w:pPr>
        <w:pStyle w:val="Paragraphe"/>
        <w:numPr>
          <w:ilvl w:val="0"/>
          <w:numId w:val="0"/>
        </w:numPr>
        <w:spacing w:before="360" w:after="160" w:line="280" w:lineRule="exact"/>
        <w:rPr>
          <w:lang w:val="en-CA"/>
        </w:rPr>
      </w:pPr>
      <w:r w:rsidRPr="004D76CB">
        <w:rPr>
          <w:rFonts w:cs="Arial"/>
          <w:b/>
          <w:bCs/>
          <w:color w:val="000000"/>
          <w:szCs w:val="24"/>
          <w:u w:val="single"/>
          <w:lang w:val="en-CA"/>
        </w:rPr>
        <w:t>WARNING</w:t>
      </w:r>
      <w:r w:rsidRPr="004D76CB">
        <w:rPr>
          <w:rFonts w:cs="Arial"/>
          <w:b/>
          <w:bCs/>
          <w:color w:val="000000"/>
          <w:szCs w:val="24"/>
          <w:lang w:val="en-CA"/>
        </w:rPr>
        <w:t>:</w:t>
      </w:r>
      <w:r w:rsidRPr="004D76CB">
        <w:rPr>
          <w:rFonts w:cs="Arial"/>
          <w:b/>
          <w:bCs/>
          <w:szCs w:val="24"/>
          <w:lang w:val="en-CA"/>
        </w:rPr>
        <w:t xml:space="preserve"> </w:t>
      </w:r>
      <w:r>
        <w:rPr>
          <w:rFonts w:cs="Arial"/>
          <w:b/>
          <w:bCs/>
          <w:szCs w:val="24"/>
          <w:lang w:val="en-CA"/>
        </w:rPr>
        <w:t xml:space="preserve">Order in first instance restricting publication: </w:t>
      </w:r>
      <w:r w:rsidRPr="004D76CB">
        <w:rPr>
          <w:rFonts w:cs="Arial"/>
          <w:b/>
          <w:bCs/>
          <w:szCs w:val="24"/>
          <w:lang w:val="en-CA"/>
        </w:rPr>
        <w:t>The trial court made an order under s. 486.4</w:t>
      </w:r>
      <w:r w:rsidRPr="004D76CB">
        <w:rPr>
          <w:rFonts w:cs="Arial"/>
          <w:b/>
          <w:bCs/>
          <w:color w:val="000000"/>
          <w:lang w:val="en-CA"/>
        </w:rPr>
        <w:t> </w:t>
      </w:r>
      <w:proofErr w:type="spellStart"/>
      <w:r w:rsidRPr="004D76CB">
        <w:rPr>
          <w:rFonts w:cs="Arial"/>
          <w:b/>
          <w:bCs/>
          <w:i/>
          <w:iCs/>
          <w:color w:val="000000"/>
          <w:lang w:val="en-CA"/>
        </w:rPr>
        <w:t>Cr.C</w:t>
      </w:r>
      <w:proofErr w:type="spellEnd"/>
      <w:r w:rsidRPr="004D76CB">
        <w:rPr>
          <w:rFonts w:cs="Arial"/>
          <w:b/>
          <w:bCs/>
          <w:i/>
          <w:iCs/>
          <w:color w:val="000000"/>
          <w:lang w:val="en-CA"/>
        </w:rPr>
        <w:t>.</w:t>
      </w:r>
      <w:r w:rsidRPr="004D76CB">
        <w:rPr>
          <w:rFonts w:cs="Arial"/>
          <w:b/>
          <w:bCs/>
          <w:color w:val="000000"/>
          <w:lang w:val="en-CA"/>
        </w:rPr>
        <w:t> </w:t>
      </w:r>
      <w:r w:rsidRPr="004D76CB">
        <w:rPr>
          <w:rFonts w:cs="Arial"/>
          <w:b/>
          <w:bCs/>
          <w:szCs w:val="24"/>
          <w:lang w:val="en-CA"/>
        </w:rPr>
        <w:t xml:space="preserve"> directing that any information that could identify the victim or a witness shall not be published in any document or broadcast or transmitted in any way</w:t>
      </w:r>
      <w:r w:rsidR="00276A1F" w:rsidRPr="000E73A2">
        <w:rPr>
          <w:b/>
          <w:bCs/>
          <w:lang w:val="en-CA"/>
        </w:rPr>
        <w:t>.</w:t>
      </w:r>
    </w:p>
    <w:p w14:paraId="64581A7D" w14:textId="414C203D" w:rsidR="00276A1F" w:rsidRPr="000E73A2" w:rsidRDefault="00F646A5" w:rsidP="00276A1F">
      <w:pPr>
        <w:pStyle w:val="Paragraphe"/>
        <w:numPr>
          <w:ilvl w:val="0"/>
          <w:numId w:val="29"/>
        </w:numPr>
        <w:spacing w:before="240" w:after="180" w:line="280" w:lineRule="exact"/>
        <w:rPr>
          <w:lang w:val="en-CA"/>
        </w:rPr>
      </w:pPr>
      <w:r>
        <w:rPr>
          <w:lang w:val="en-CA"/>
        </w:rPr>
        <w:t>The appellant is appealing a judgment by the Court of</w:t>
      </w:r>
      <w:r w:rsidR="00276A1F" w:rsidRPr="000E73A2">
        <w:rPr>
          <w:lang w:val="en-CA"/>
        </w:rPr>
        <w:t xml:space="preserve"> Québec, </w:t>
      </w:r>
      <w:r>
        <w:rPr>
          <w:lang w:val="en-CA"/>
        </w:rPr>
        <w:t>D</w:t>
      </w:r>
      <w:r w:rsidR="00276A1F" w:rsidRPr="000E73A2">
        <w:rPr>
          <w:lang w:val="en-CA"/>
        </w:rPr>
        <w:t xml:space="preserve">istrict </w:t>
      </w:r>
      <w:r>
        <w:rPr>
          <w:lang w:val="en-CA"/>
        </w:rPr>
        <w:t>of</w:t>
      </w:r>
      <w:r w:rsidR="00276A1F" w:rsidRPr="000E73A2">
        <w:rPr>
          <w:lang w:val="en-CA"/>
        </w:rPr>
        <w:t xml:space="preserve"> Laval (</w:t>
      </w:r>
      <w:r>
        <w:rPr>
          <w:lang w:val="en-CA"/>
        </w:rPr>
        <w:t>the Honourable</w:t>
      </w:r>
      <w:r w:rsidR="00276A1F" w:rsidRPr="000E73A2">
        <w:rPr>
          <w:lang w:val="en-CA"/>
        </w:rPr>
        <w:t xml:space="preserve"> Gilles Garneau), </w:t>
      </w:r>
      <w:r>
        <w:rPr>
          <w:lang w:val="en-CA"/>
        </w:rPr>
        <w:t>acquitting the respondent of sexual assault, assault and assault with a weapon</w:t>
      </w:r>
      <w:r w:rsidR="00276A1F" w:rsidRPr="000E73A2">
        <w:rPr>
          <w:lang w:val="en-CA"/>
        </w:rPr>
        <w:t>.</w:t>
      </w:r>
    </w:p>
    <w:p w14:paraId="22FD2A52" w14:textId="1FAF34C9" w:rsidR="00276A1F" w:rsidRPr="000E73A2" w:rsidRDefault="00F646A5" w:rsidP="00CA76D6">
      <w:pPr>
        <w:pStyle w:val="Paragraphe"/>
        <w:spacing w:before="180" w:after="180" w:line="280" w:lineRule="exact"/>
        <w:rPr>
          <w:lang w:val="en-CA"/>
        </w:rPr>
      </w:pPr>
      <w:r>
        <w:rPr>
          <w:lang w:val="en-CA"/>
        </w:rPr>
        <w:t>For the reasons of</w:t>
      </w:r>
      <w:r w:rsidR="00276A1F" w:rsidRPr="000E73A2">
        <w:rPr>
          <w:lang w:val="en-CA"/>
        </w:rPr>
        <w:t xml:space="preserve"> Cournoyer</w:t>
      </w:r>
      <w:r w:rsidR="007E4F4F">
        <w:rPr>
          <w:lang w:val="en-CA"/>
        </w:rPr>
        <w:t>,</w:t>
      </w:r>
      <w:r>
        <w:rPr>
          <w:lang w:val="en-CA"/>
        </w:rPr>
        <w:t xml:space="preserve"> J.A.</w:t>
      </w:r>
      <w:r w:rsidR="00276A1F" w:rsidRPr="000E73A2">
        <w:rPr>
          <w:lang w:val="en-CA"/>
        </w:rPr>
        <w:t xml:space="preserve">, </w:t>
      </w:r>
      <w:r w:rsidR="007E4F4F">
        <w:rPr>
          <w:lang w:val="en-CA"/>
        </w:rPr>
        <w:t>with which</w:t>
      </w:r>
      <w:r w:rsidR="00276A1F" w:rsidRPr="000E73A2">
        <w:rPr>
          <w:lang w:val="en-CA"/>
        </w:rPr>
        <w:t xml:space="preserve"> Moore</w:t>
      </w:r>
      <w:r w:rsidR="007E4F4F">
        <w:rPr>
          <w:lang w:val="en-CA"/>
        </w:rPr>
        <w:t>, J.A. concurs</w:t>
      </w:r>
      <w:r w:rsidR="00276A1F" w:rsidRPr="000E73A2">
        <w:rPr>
          <w:lang w:val="en-CA"/>
        </w:rPr>
        <w:t xml:space="preserve">, </w:t>
      </w:r>
      <w:r w:rsidR="007E4F4F">
        <w:rPr>
          <w:b/>
          <w:bCs/>
          <w:lang w:val="en-CA"/>
        </w:rPr>
        <w:t>THE COURT</w:t>
      </w:r>
      <w:r w:rsidR="00276A1F" w:rsidRPr="000E73A2">
        <w:rPr>
          <w:b/>
          <w:bCs/>
          <w:lang w:val="en-CA"/>
        </w:rPr>
        <w:t>:</w:t>
      </w:r>
    </w:p>
    <w:p w14:paraId="654D42DC" w14:textId="1CE2EA34" w:rsidR="00276A1F" w:rsidRPr="000E73A2" w:rsidRDefault="007E4F4F" w:rsidP="00CA76D6">
      <w:pPr>
        <w:pStyle w:val="Paragraphe"/>
        <w:spacing w:before="180" w:after="180" w:line="280" w:lineRule="exact"/>
        <w:rPr>
          <w:lang w:val="en-CA"/>
        </w:rPr>
      </w:pPr>
      <w:r>
        <w:rPr>
          <w:b/>
          <w:bCs/>
          <w:lang w:val="en-CA"/>
        </w:rPr>
        <w:lastRenderedPageBreak/>
        <w:t>ALLOWS</w:t>
      </w:r>
      <w:r w:rsidR="00276A1F" w:rsidRPr="000E73A2">
        <w:rPr>
          <w:lang w:val="en-CA"/>
        </w:rPr>
        <w:t xml:space="preserve"> </w:t>
      </w:r>
      <w:r>
        <w:rPr>
          <w:lang w:val="en-CA"/>
        </w:rPr>
        <w:t>the appeal</w:t>
      </w:r>
      <w:r w:rsidR="00276A1F" w:rsidRPr="000E73A2">
        <w:rPr>
          <w:lang w:val="en-CA"/>
        </w:rPr>
        <w:t>;</w:t>
      </w:r>
    </w:p>
    <w:p w14:paraId="600ADF2A" w14:textId="244FA529" w:rsidR="00276A1F" w:rsidRPr="000E73A2" w:rsidRDefault="00276A1F" w:rsidP="00CA76D6">
      <w:pPr>
        <w:pStyle w:val="Paragraphe"/>
        <w:spacing w:before="180" w:after="180" w:line="280" w:lineRule="exact"/>
        <w:rPr>
          <w:lang w:val="en-CA"/>
        </w:rPr>
      </w:pPr>
      <w:r w:rsidRPr="000E73A2">
        <w:rPr>
          <w:b/>
          <w:bCs/>
          <w:lang w:val="en-CA"/>
        </w:rPr>
        <w:t>ORD</w:t>
      </w:r>
      <w:r w:rsidR="007E4F4F">
        <w:rPr>
          <w:b/>
          <w:bCs/>
          <w:lang w:val="en-CA"/>
        </w:rPr>
        <w:t>ERS</w:t>
      </w:r>
      <w:r w:rsidRPr="000E73A2">
        <w:rPr>
          <w:lang w:val="en-CA"/>
        </w:rPr>
        <w:t xml:space="preserve"> </w:t>
      </w:r>
      <w:r w:rsidR="007E4F4F">
        <w:rPr>
          <w:lang w:val="en-CA"/>
        </w:rPr>
        <w:t>a new trial on the count of sexual assault</w:t>
      </w:r>
      <w:r w:rsidRPr="000E73A2">
        <w:rPr>
          <w:lang w:val="en-CA"/>
        </w:rPr>
        <w:t>;</w:t>
      </w:r>
    </w:p>
    <w:p w14:paraId="1C204805" w14:textId="0BABE3D8" w:rsidR="00276A1F" w:rsidRPr="000E73A2" w:rsidRDefault="007E4F4F" w:rsidP="00CA76D6">
      <w:pPr>
        <w:pStyle w:val="Paragraphe"/>
        <w:spacing w:before="180" w:after="180" w:line="280" w:lineRule="exact"/>
        <w:rPr>
          <w:lang w:val="en-CA"/>
        </w:rPr>
      </w:pPr>
      <w:r>
        <w:rPr>
          <w:lang w:val="en-CA"/>
        </w:rPr>
        <w:t xml:space="preserve">For his part, being of the opinion that the trial judge’s reasons were not </w:t>
      </w:r>
      <w:r w:rsidRPr="007E4F4F">
        <w:rPr>
          <w:lang w:val="en-CA"/>
        </w:rPr>
        <w:t xml:space="preserve">so inadequate </w:t>
      </w:r>
      <w:r>
        <w:rPr>
          <w:lang w:val="en-CA"/>
        </w:rPr>
        <w:t xml:space="preserve">as to </w:t>
      </w:r>
      <w:r w:rsidR="009E0D9D">
        <w:rPr>
          <w:lang w:val="en-CA"/>
        </w:rPr>
        <w:t>vitiate</w:t>
      </w:r>
      <w:r>
        <w:rPr>
          <w:lang w:val="en-CA"/>
        </w:rPr>
        <w:t xml:space="preserve"> the judgment</w:t>
      </w:r>
      <w:r w:rsidR="009E0D9D">
        <w:rPr>
          <w:lang w:val="en-CA"/>
        </w:rPr>
        <w:t>,</w:t>
      </w:r>
      <w:r>
        <w:rPr>
          <w:lang w:val="en-CA"/>
        </w:rPr>
        <w:t xml:space="preserve"> and that the other grounds </w:t>
      </w:r>
      <w:r w:rsidR="009E0D9D">
        <w:rPr>
          <w:lang w:val="en-CA"/>
        </w:rPr>
        <w:t>raised by the appellant are unfounded</w:t>
      </w:r>
      <w:r w:rsidR="00276A1F" w:rsidRPr="000E73A2">
        <w:rPr>
          <w:lang w:val="en-CA"/>
        </w:rPr>
        <w:t>, Bachand</w:t>
      </w:r>
      <w:r>
        <w:rPr>
          <w:lang w:val="en-CA"/>
        </w:rPr>
        <w:t>, J.A.</w:t>
      </w:r>
      <w:r w:rsidR="00276A1F" w:rsidRPr="000E73A2">
        <w:rPr>
          <w:lang w:val="en-CA"/>
        </w:rPr>
        <w:t xml:space="preserve"> </w:t>
      </w:r>
      <w:r>
        <w:rPr>
          <w:lang w:val="en-CA"/>
        </w:rPr>
        <w:t>would have dismissed the appeal</w:t>
      </w:r>
      <w:r w:rsidR="00276A1F" w:rsidRPr="000E73A2">
        <w:rPr>
          <w:lang w:val="en-CA"/>
        </w:rPr>
        <w:t>.</w:t>
      </w: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997"/>
        <w:gridCol w:w="838"/>
        <w:gridCol w:w="1847"/>
        <w:gridCol w:w="4680"/>
      </w:tblGrid>
      <w:tr w:rsidR="00276A1F" w:rsidRPr="000E73A2" w14:paraId="1181B2EE" w14:textId="77777777" w:rsidTr="00887352">
        <w:trPr>
          <w:trHeight w:val="578"/>
        </w:trPr>
        <w:tc>
          <w:tcPr>
            <w:tcW w:w="9362" w:type="dxa"/>
            <w:gridSpan w:val="4"/>
            <w:tcBorders>
              <w:top w:val="nil"/>
              <w:bottom w:val="nil"/>
            </w:tcBorders>
          </w:tcPr>
          <w:p w14:paraId="1D77A1AA" w14:textId="77777777" w:rsidR="00276A1F" w:rsidRPr="000E73A2" w:rsidRDefault="00276A1F">
            <w:pPr>
              <w:keepNext/>
              <w:rPr>
                <w:lang w:val="en-CA"/>
              </w:rPr>
            </w:pPr>
          </w:p>
        </w:tc>
      </w:tr>
      <w:tr w:rsidR="00276A1F" w:rsidRPr="000E73A2" w14:paraId="18BCC64C" w14:textId="77777777" w:rsidTr="00117914">
        <w:trPr>
          <w:trHeight w:val="283"/>
        </w:trPr>
        <w:tc>
          <w:tcPr>
            <w:tcW w:w="4682" w:type="dxa"/>
            <w:gridSpan w:val="3"/>
            <w:tcBorders>
              <w:top w:val="nil"/>
              <w:bottom w:val="nil"/>
            </w:tcBorders>
          </w:tcPr>
          <w:p w14:paraId="37BA0278" w14:textId="77777777" w:rsidR="00276A1F" w:rsidRPr="000E73A2" w:rsidRDefault="00276A1F">
            <w:pPr>
              <w:keepNext/>
              <w:rPr>
                <w:lang w:val="en-CA"/>
              </w:rPr>
            </w:pPr>
          </w:p>
        </w:tc>
        <w:tc>
          <w:tcPr>
            <w:tcW w:w="4680" w:type="dxa"/>
            <w:tcBorders>
              <w:top w:val="nil"/>
              <w:bottom w:val="single" w:sz="8" w:space="0" w:color="auto"/>
            </w:tcBorders>
          </w:tcPr>
          <w:p w14:paraId="75FD7D4C" w14:textId="77777777" w:rsidR="00276A1F" w:rsidRPr="000E73A2" w:rsidRDefault="00276A1F">
            <w:pPr>
              <w:keepNext/>
              <w:rPr>
                <w:lang w:val="en-CA"/>
              </w:rPr>
            </w:pPr>
          </w:p>
        </w:tc>
      </w:tr>
      <w:tr w:rsidR="00276A1F" w:rsidRPr="000E73A2" w14:paraId="42607A06" w14:textId="77777777" w:rsidTr="00117914">
        <w:trPr>
          <w:trHeight w:val="283"/>
        </w:trPr>
        <w:tc>
          <w:tcPr>
            <w:tcW w:w="4682" w:type="dxa"/>
            <w:gridSpan w:val="3"/>
            <w:tcBorders>
              <w:top w:val="nil"/>
            </w:tcBorders>
          </w:tcPr>
          <w:p w14:paraId="1D10047D" w14:textId="77777777" w:rsidR="00276A1F" w:rsidRPr="000E73A2" w:rsidRDefault="00276A1F">
            <w:pPr>
              <w:keepNext/>
              <w:rPr>
                <w:lang w:val="en-CA"/>
              </w:rPr>
            </w:pPr>
          </w:p>
        </w:tc>
        <w:tc>
          <w:tcPr>
            <w:tcW w:w="4680" w:type="dxa"/>
            <w:tcBorders>
              <w:top w:val="single" w:sz="8" w:space="0" w:color="auto"/>
            </w:tcBorders>
          </w:tcPr>
          <w:p w14:paraId="0A88EFB4" w14:textId="1B06C20B" w:rsidR="00276A1F" w:rsidRPr="000E73A2" w:rsidRDefault="00276A1F">
            <w:pPr>
              <w:rPr>
                <w:lang w:val="en-CA"/>
              </w:rPr>
            </w:pPr>
            <w:r w:rsidRPr="000E73A2">
              <w:rPr>
                <w:lang w:val="en-CA"/>
              </w:rPr>
              <w:t>BENOÎT MOORE, J.A.</w:t>
            </w:r>
          </w:p>
        </w:tc>
      </w:tr>
      <w:tr w:rsidR="00276A1F" w:rsidRPr="000E73A2" w14:paraId="50AEBB1F" w14:textId="77777777" w:rsidTr="00117914">
        <w:trPr>
          <w:trHeight w:val="283"/>
        </w:trPr>
        <w:tc>
          <w:tcPr>
            <w:tcW w:w="4682" w:type="dxa"/>
            <w:gridSpan w:val="3"/>
            <w:tcBorders>
              <w:top w:val="nil"/>
            </w:tcBorders>
          </w:tcPr>
          <w:p w14:paraId="0A360369" w14:textId="77777777" w:rsidR="00276A1F" w:rsidRPr="000E73A2" w:rsidRDefault="00276A1F">
            <w:pPr>
              <w:keepNext/>
              <w:rPr>
                <w:lang w:val="en-CA"/>
              </w:rPr>
            </w:pPr>
          </w:p>
        </w:tc>
        <w:tc>
          <w:tcPr>
            <w:tcW w:w="4680" w:type="dxa"/>
            <w:tcBorders>
              <w:top w:val="nil"/>
            </w:tcBorders>
          </w:tcPr>
          <w:p w14:paraId="552D94B5" w14:textId="77777777" w:rsidR="00276A1F" w:rsidRPr="000E73A2" w:rsidRDefault="00276A1F">
            <w:pPr>
              <w:keepNext/>
              <w:rPr>
                <w:lang w:val="en-CA"/>
              </w:rPr>
            </w:pPr>
          </w:p>
        </w:tc>
      </w:tr>
      <w:tr w:rsidR="00276A1F" w:rsidRPr="000E73A2" w14:paraId="652758E0" w14:textId="77777777" w:rsidTr="00117914">
        <w:trPr>
          <w:trHeight w:val="283"/>
        </w:trPr>
        <w:tc>
          <w:tcPr>
            <w:tcW w:w="4682" w:type="dxa"/>
            <w:gridSpan w:val="3"/>
            <w:tcBorders>
              <w:top w:val="nil"/>
              <w:bottom w:val="nil"/>
            </w:tcBorders>
          </w:tcPr>
          <w:p w14:paraId="5A4D6628" w14:textId="77777777" w:rsidR="00276A1F" w:rsidRPr="000E73A2" w:rsidRDefault="00276A1F">
            <w:pPr>
              <w:keepNext/>
              <w:rPr>
                <w:lang w:val="en-CA"/>
              </w:rPr>
            </w:pPr>
          </w:p>
        </w:tc>
        <w:tc>
          <w:tcPr>
            <w:tcW w:w="4680" w:type="dxa"/>
            <w:tcBorders>
              <w:top w:val="nil"/>
              <w:bottom w:val="single" w:sz="8" w:space="0" w:color="auto"/>
            </w:tcBorders>
          </w:tcPr>
          <w:p w14:paraId="6654FAD3" w14:textId="77777777" w:rsidR="00276A1F" w:rsidRPr="000E73A2" w:rsidRDefault="00276A1F">
            <w:pPr>
              <w:keepNext/>
              <w:rPr>
                <w:lang w:val="en-CA"/>
              </w:rPr>
            </w:pPr>
          </w:p>
        </w:tc>
      </w:tr>
      <w:tr w:rsidR="00276A1F" w:rsidRPr="000E73A2" w14:paraId="493A46FE" w14:textId="77777777" w:rsidTr="00117914">
        <w:trPr>
          <w:trHeight w:val="283"/>
        </w:trPr>
        <w:tc>
          <w:tcPr>
            <w:tcW w:w="4682" w:type="dxa"/>
            <w:gridSpan w:val="3"/>
            <w:tcBorders>
              <w:top w:val="nil"/>
            </w:tcBorders>
          </w:tcPr>
          <w:p w14:paraId="31897C9E" w14:textId="77777777" w:rsidR="00276A1F" w:rsidRPr="000E73A2" w:rsidRDefault="00276A1F">
            <w:pPr>
              <w:keepNext/>
              <w:rPr>
                <w:lang w:val="en-CA"/>
              </w:rPr>
            </w:pPr>
          </w:p>
        </w:tc>
        <w:tc>
          <w:tcPr>
            <w:tcW w:w="4680" w:type="dxa"/>
            <w:tcBorders>
              <w:top w:val="single" w:sz="8" w:space="0" w:color="auto"/>
            </w:tcBorders>
          </w:tcPr>
          <w:p w14:paraId="027E7AD1" w14:textId="04B1B385" w:rsidR="00276A1F" w:rsidRPr="000E73A2" w:rsidRDefault="00276A1F">
            <w:pPr>
              <w:keepNext/>
              <w:rPr>
                <w:lang w:val="en-CA"/>
              </w:rPr>
            </w:pPr>
            <w:r w:rsidRPr="000E73A2">
              <w:rPr>
                <w:lang w:val="en-CA"/>
              </w:rPr>
              <w:t>GUY COURNOYER, J.A.</w:t>
            </w:r>
          </w:p>
        </w:tc>
      </w:tr>
      <w:tr w:rsidR="00276A1F" w:rsidRPr="000E73A2" w14:paraId="67A84480" w14:textId="77777777" w:rsidTr="00117914">
        <w:trPr>
          <w:trHeight w:val="283"/>
        </w:trPr>
        <w:tc>
          <w:tcPr>
            <w:tcW w:w="4682" w:type="dxa"/>
            <w:gridSpan w:val="3"/>
            <w:tcBorders>
              <w:top w:val="nil"/>
            </w:tcBorders>
          </w:tcPr>
          <w:p w14:paraId="5BC2586A" w14:textId="77777777" w:rsidR="00276A1F" w:rsidRPr="000E73A2" w:rsidRDefault="00276A1F">
            <w:pPr>
              <w:keepNext/>
              <w:rPr>
                <w:lang w:val="en-CA"/>
              </w:rPr>
            </w:pPr>
          </w:p>
        </w:tc>
        <w:tc>
          <w:tcPr>
            <w:tcW w:w="4680" w:type="dxa"/>
            <w:tcBorders>
              <w:top w:val="nil"/>
            </w:tcBorders>
          </w:tcPr>
          <w:p w14:paraId="49C6B8B1" w14:textId="77777777" w:rsidR="00276A1F" w:rsidRPr="000E73A2" w:rsidRDefault="00276A1F">
            <w:pPr>
              <w:keepNext/>
              <w:rPr>
                <w:lang w:val="en-CA"/>
              </w:rPr>
            </w:pPr>
          </w:p>
        </w:tc>
      </w:tr>
      <w:tr w:rsidR="00276A1F" w:rsidRPr="000E73A2" w14:paraId="5E2E25C2" w14:textId="77777777" w:rsidTr="00117914">
        <w:trPr>
          <w:trHeight w:val="283"/>
        </w:trPr>
        <w:tc>
          <w:tcPr>
            <w:tcW w:w="4682" w:type="dxa"/>
            <w:gridSpan w:val="3"/>
            <w:tcBorders>
              <w:top w:val="nil"/>
              <w:bottom w:val="nil"/>
            </w:tcBorders>
          </w:tcPr>
          <w:p w14:paraId="3D58D969" w14:textId="77777777" w:rsidR="00276A1F" w:rsidRPr="000E73A2" w:rsidRDefault="00276A1F">
            <w:pPr>
              <w:keepNext/>
              <w:rPr>
                <w:lang w:val="en-CA"/>
              </w:rPr>
            </w:pPr>
          </w:p>
        </w:tc>
        <w:tc>
          <w:tcPr>
            <w:tcW w:w="4680" w:type="dxa"/>
            <w:tcBorders>
              <w:top w:val="nil"/>
              <w:bottom w:val="single" w:sz="8" w:space="0" w:color="auto"/>
            </w:tcBorders>
          </w:tcPr>
          <w:p w14:paraId="1499751A" w14:textId="77777777" w:rsidR="00276A1F" w:rsidRPr="000E73A2" w:rsidRDefault="00276A1F">
            <w:pPr>
              <w:keepNext/>
              <w:rPr>
                <w:lang w:val="en-CA"/>
              </w:rPr>
            </w:pPr>
          </w:p>
        </w:tc>
      </w:tr>
      <w:tr w:rsidR="00276A1F" w:rsidRPr="000E73A2" w14:paraId="27F19D40" w14:textId="77777777" w:rsidTr="00117914">
        <w:trPr>
          <w:trHeight w:val="283"/>
        </w:trPr>
        <w:tc>
          <w:tcPr>
            <w:tcW w:w="4682" w:type="dxa"/>
            <w:gridSpan w:val="3"/>
            <w:tcBorders>
              <w:top w:val="nil"/>
            </w:tcBorders>
          </w:tcPr>
          <w:p w14:paraId="2B6B6FF9" w14:textId="77777777" w:rsidR="00276A1F" w:rsidRPr="000E73A2" w:rsidRDefault="00276A1F">
            <w:pPr>
              <w:keepNext/>
              <w:rPr>
                <w:lang w:val="en-CA"/>
              </w:rPr>
            </w:pPr>
          </w:p>
        </w:tc>
        <w:tc>
          <w:tcPr>
            <w:tcW w:w="4680" w:type="dxa"/>
            <w:tcBorders>
              <w:top w:val="single" w:sz="8" w:space="0" w:color="auto"/>
            </w:tcBorders>
          </w:tcPr>
          <w:p w14:paraId="53B37DE5" w14:textId="3C10FFFD" w:rsidR="00276A1F" w:rsidRPr="000E73A2" w:rsidRDefault="00276A1F">
            <w:pPr>
              <w:keepNext/>
              <w:rPr>
                <w:lang w:val="en-CA"/>
              </w:rPr>
            </w:pPr>
            <w:r w:rsidRPr="000E73A2">
              <w:rPr>
                <w:lang w:val="en-CA"/>
              </w:rPr>
              <w:t>FRÉDÉRIC BACHAND, J.A.</w:t>
            </w:r>
          </w:p>
        </w:tc>
      </w:tr>
      <w:tr w:rsidR="00276A1F" w:rsidRPr="000E73A2" w14:paraId="22988FB5" w14:textId="77777777" w:rsidTr="00D16126">
        <w:tc>
          <w:tcPr>
            <w:tcW w:w="9362" w:type="dxa"/>
            <w:gridSpan w:val="4"/>
            <w:tcBorders>
              <w:bottom w:val="nil"/>
            </w:tcBorders>
          </w:tcPr>
          <w:p w14:paraId="7B2A58AB" w14:textId="77777777" w:rsidR="00276A1F" w:rsidRPr="000E73A2" w:rsidRDefault="00276A1F" w:rsidP="005A78BF">
            <w:pPr>
              <w:rPr>
                <w:lang w:val="en-CA"/>
              </w:rPr>
            </w:pPr>
          </w:p>
        </w:tc>
      </w:tr>
      <w:tr w:rsidR="00276A1F" w:rsidRPr="000E73A2" w14:paraId="6364DB9D" w14:textId="77777777" w:rsidTr="00D16126">
        <w:tc>
          <w:tcPr>
            <w:tcW w:w="9362" w:type="dxa"/>
            <w:gridSpan w:val="4"/>
            <w:tcBorders>
              <w:top w:val="nil"/>
            </w:tcBorders>
          </w:tcPr>
          <w:p w14:paraId="51CDE8B2" w14:textId="79254814" w:rsidR="00276A1F" w:rsidRPr="000E73A2" w:rsidRDefault="00276A1F" w:rsidP="005A78BF">
            <w:pPr>
              <w:pStyle w:val="zSoquijdatNomProcureurDem"/>
              <w:rPr>
                <w:lang w:val="en-CA"/>
              </w:rPr>
            </w:pPr>
            <w:proofErr w:type="spellStart"/>
            <w:r w:rsidRPr="000E73A2">
              <w:rPr>
                <w:lang w:val="en-CA"/>
              </w:rPr>
              <w:t>M</w:t>
            </w:r>
            <w:r w:rsidR="009E0D9D">
              <w:rPr>
                <w:lang w:val="en-CA"/>
              </w:rPr>
              <w:t>tr</w:t>
            </w:r>
            <w:r w:rsidRPr="000E73A2">
              <w:rPr>
                <w:lang w:val="en-CA"/>
              </w:rPr>
              <w:t>e</w:t>
            </w:r>
            <w:proofErr w:type="spellEnd"/>
            <w:r w:rsidRPr="000E73A2">
              <w:rPr>
                <w:lang w:val="en-CA"/>
              </w:rPr>
              <w:t xml:space="preserve"> Simon Blais</w:t>
            </w:r>
          </w:p>
        </w:tc>
      </w:tr>
      <w:tr w:rsidR="00276A1F" w:rsidRPr="000E73A2" w14:paraId="45D15006" w14:textId="77777777" w:rsidTr="00423DF1">
        <w:tc>
          <w:tcPr>
            <w:tcW w:w="9362" w:type="dxa"/>
            <w:gridSpan w:val="4"/>
          </w:tcPr>
          <w:p w14:paraId="2F4A05E8" w14:textId="44ED47A7" w:rsidR="00276A1F" w:rsidRPr="000E73A2" w:rsidRDefault="00276A1F" w:rsidP="005A78BF">
            <w:pPr>
              <w:pStyle w:val="zSoquijdatCabinetProcureurDem"/>
              <w:rPr>
                <w:lang w:val="en-CA"/>
              </w:rPr>
            </w:pPr>
            <w:r w:rsidRPr="000E73A2">
              <w:rPr>
                <w:lang w:val="en-CA"/>
              </w:rPr>
              <w:t>DIRECT</w:t>
            </w:r>
            <w:r w:rsidR="009E0D9D">
              <w:rPr>
                <w:lang w:val="en-CA"/>
              </w:rPr>
              <w:t>O</w:t>
            </w:r>
            <w:r w:rsidRPr="000E73A2">
              <w:rPr>
                <w:lang w:val="en-CA"/>
              </w:rPr>
              <w:t xml:space="preserve">R </w:t>
            </w:r>
            <w:r w:rsidR="009E0D9D">
              <w:rPr>
                <w:lang w:val="en-CA"/>
              </w:rPr>
              <w:t>OF CRIMINAL AND PENAL PROSECUTIONS</w:t>
            </w:r>
          </w:p>
        </w:tc>
      </w:tr>
      <w:tr w:rsidR="00276A1F" w:rsidRPr="000E73A2" w14:paraId="054A0698" w14:textId="77777777" w:rsidTr="00423DF1">
        <w:tc>
          <w:tcPr>
            <w:tcW w:w="9362" w:type="dxa"/>
            <w:gridSpan w:val="4"/>
          </w:tcPr>
          <w:p w14:paraId="09F7DF9B" w14:textId="48D9A2A3" w:rsidR="00276A1F" w:rsidRPr="000E73A2" w:rsidRDefault="009E0D9D" w:rsidP="005A78BF">
            <w:pPr>
              <w:pStyle w:val="zSoquijlblProcureurDem"/>
              <w:rPr>
                <w:lang w:val="en-CA"/>
              </w:rPr>
            </w:pPr>
            <w:r>
              <w:rPr>
                <w:lang w:val="en-CA"/>
              </w:rPr>
              <w:t>For the Appellant</w:t>
            </w:r>
          </w:p>
        </w:tc>
      </w:tr>
      <w:tr w:rsidR="00276A1F" w:rsidRPr="000E73A2" w14:paraId="00A85DE1" w14:textId="77777777" w:rsidTr="00423DF1">
        <w:tc>
          <w:tcPr>
            <w:tcW w:w="9362" w:type="dxa"/>
            <w:gridSpan w:val="4"/>
          </w:tcPr>
          <w:p w14:paraId="03EB9B10" w14:textId="77777777" w:rsidR="00276A1F" w:rsidRPr="000E73A2" w:rsidRDefault="00276A1F" w:rsidP="005A78BF">
            <w:pPr>
              <w:rPr>
                <w:lang w:val="en-CA"/>
              </w:rPr>
            </w:pPr>
          </w:p>
        </w:tc>
      </w:tr>
      <w:tr w:rsidR="00276A1F" w:rsidRPr="000E73A2" w14:paraId="1007922D" w14:textId="77777777" w:rsidTr="00423DF1">
        <w:tc>
          <w:tcPr>
            <w:tcW w:w="9362" w:type="dxa"/>
            <w:gridSpan w:val="4"/>
          </w:tcPr>
          <w:p w14:paraId="56262288" w14:textId="26DED954" w:rsidR="00276A1F" w:rsidRPr="000E73A2" w:rsidRDefault="00276A1F" w:rsidP="005A78BF">
            <w:pPr>
              <w:pStyle w:val="zSoquijdatNomProcureurDef"/>
              <w:rPr>
                <w:lang w:val="en-CA"/>
              </w:rPr>
            </w:pPr>
            <w:r w:rsidRPr="000E73A2">
              <w:rPr>
                <w:lang w:val="en-CA"/>
              </w:rPr>
              <w:t>M</w:t>
            </w:r>
            <w:r w:rsidR="009E0D9D">
              <w:rPr>
                <w:lang w:val="en-CA"/>
              </w:rPr>
              <w:t>tre</w:t>
            </w:r>
            <w:r w:rsidRPr="000E73A2">
              <w:rPr>
                <w:lang w:val="en-CA"/>
              </w:rPr>
              <w:t xml:space="preserve"> Vincent Rondeau-Paquet</w:t>
            </w:r>
          </w:p>
        </w:tc>
      </w:tr>
      <w:tr w:rsidR="00276A1F" w:rsidRPr="000E73A2" w14:paraId="726A1508" w14:textId="77777777" w:rsidTr="00423DF1">
        <w:tc>
          <w:tcPr>
            <w:tcW w:w="9362" w:type="dxa"/>
            <w:gridSpan w:val="4"/>
          </w:tcPr>
          <w:p w14:paraId="0D7F9454" w14:textId="3E643F58" w:rsidR="00276A1F" w:rsidRPr="000E73A2" w:rsidRDefault="00276A1F" w:rsidP="005A78BF">
            <w:pPr>
              <w:pStyle w:val="zSoquijdatNomProcureurDef"/>
              <w:rPr>
                <w:lang w:val="en-CA"/>
              </w:rPr>
            </w:pPr>
            <w:r w:rsidRPr="000E73A2">
              <w:rPr>
                <w:lang w:val="en-CA"/>
              </w:rPr>
              <w:t>M</w:t>
            </w:r>
            <w:r w:rsidR="009E0D9D">
              <w:rPr>
                <w:lang w:val="en-CA"/>
              </w:rPr>
              <w:t>tre</w:t>
            </w:r>
            <w:r w:rsidRPr="000E73A2">
              <w:rPr>
                <w:lang w:val="en-CA"/>
              </w:rPr>
              <w:t xml:space="preserve"> Elisabeth Beauchamp</w:t>
            </w:r>
          </w:p>
        </w:tc>
      </w:tr>
      <w:tr w:rsidR="00276A1F" w:rsidRPr="000E73A2" w14:paraId="5BCAF106" w14:textId="77777777" w:rsidTr="00423DF1">
        <w:tc>
          <w:tcPr>
            <w:tcW w:w="9362" w:type="dxa"/>
            <w:gridSpan w:val="4"/>
          </w:tcPr>
          <w:p w14:paraId="6AB5CEC9" w14:textId="77777777" w:rsidR="00276A1F" w:rsidRPr="000E73A2" w:rsidRDefault="00276A1F" w:rsidP="005A78BF">
            <w:pPr>
              <w:pStyle w:val="zSoquijdatCabinetProcureurDef"/>
              <w:rPr>
                <w:lang w:val="en-CA"/>
              </w:rPr>
            </w:pPr>
            <w:r w:rsidRPr="000E73A2">
              <w:rPr>
                <w:lang w:val="en-CA"/>
              </w:rPr>
              <w:t>BOLDUC PAQUET</w:t>
            </w:r>
          </w:p>
        </w:tc>
      </w:tr>
      <w:tr w:rsidR="00276A1F" w:rsidRPr="000E73A2" w14:paraId="325A01C0" w14:textId="77777777" w:rsidTr="00423DF1">
        <w:tc>
          <w:tcPr>
            <w:tcW w:w="9362" w:type="dxa"/>
            <w:gridSpan w:val="4"/>
          </w:tcPr>
          <w:p w14:paraId="138D64A0" w14:textId="342CDB2E" w:rsidR="00276A1F" w:rsidRPr="000E73A2" w:rsidRDefault="009E0D9D" w:rsidP="005A78BF">
            <w:pPr>
              <w:pStyle w:val="zSoquijlblProcureurDef"/>
              <w:rPr>
                <w:lang w:val="en-CA"/>
              </w:rPr>
            </w:pPr>
            <w:r>
              <w:rPr>
                <w:lang w:val="en-CA"/>
              </w:rPr>
              <w:t>For the Respondent</w:t>
            </w:r>
          </w:p>
        </w:tc>
      </w:tr>
      <w:tr w:rsidR="00276A1F" w:rsidRPr="000E73A2" w14:paraId="62215491" w14:textId="77777777" w:rsidTr="00423DF1">
        <w:tc>
          <w:tcPr>
            <w:tcW w:w="9362" w:type="dxa"/>
            <w:gridSpan w:val="4"/>
          </w:tcPr>
          <w:p w14:paraId="4202025C" w14:textId="77777777" w:rsidR="00276A1F" w:rsidRPr="000E73A2" w:rsidRDefault="00276A1F" w:rsidP="005A78BF">
            <w:pPr>
              <w:rPr>
                <w:lang w:val="en-CA"/>
              </w:rPr>
            </w:pPr>
          </w:p>
        </w:tc>
      </w:tr>
      <w:tr w:rsidR="00276A1F" w:rsidRPr="000E73A2" w14:paraId="55550E63" w14:textId="77777777" w:rsidTr="00423DF1">
        <w:tc>
          <w:tcPr>
            <w:tcW w:w="1997" w:type="dxa"/>
          </w:tcPr>
          <w:p w14:paraId="33B63404" w14:textId="002C89FF" w:rsidR="00276A1F" w:rsidRPr="000E73A2" w:rsidRDefault="00276A1F" w:rsidP="005A78BF">
            <w:pPr>
              <w:pStyle w:val="zSoquijlblDateAudience"/>
              <w:rPr>
                <w:lang w:val="en-CA"/>
              </w:rPr>
            </w:pPr>
            <w:r w:rsidRPr="000E73A2">
              <w:rPr>
                <w:lang w:val="en-CA"/>
              </w:rPr>
              <w:t xml:space="preserve">Date </w:t>
            </w:r>
            <w:r w:rsidR="009E0D9D">
              <w:rPr>
                <w:lang w:val="en-CA"/>
              </w:rPr>
              <w:t>of hearing</w:t>
            </w:r>
            <w:r w:rsidRPr="000E73A2">
              <w:rPr>
                <w:lang w:val="en-CA"/>
              </w:rPr>
              <w:t>:</w:t>
            </w:r>
          </w:p>
        </w:tc>
        <w:tc>
          <w:tcPr>
            <w:tcW w:w="7365" w:type="dxa"/>
            <w:gridSpan w:val="3"/>
          </w:tcPr>
          <w:p w14:paraId="6FF64229" w14:textId="340E9D1A" w:rsidR="00276A1F" w:rsidRPr="000E73A2" w:rsidRDefault="009E0D9D" w:rsidP="005A78BF">
            <w:pPr>
              <w:pStyle w:val="zSoquijdatDateAudience"/>
              <w:rPr>
                <w:lang w:val="en-CA"/>
              </w:rPr>
            </w:pPr>
            <w:r>
              <w:rPr>
                <w:lang w:val="en-CA"/>
              </w:rPr>
              <w:t>September 10,</w:t>
            </w:r>
            <w:r w:rsidR="00276A1F" w:rsidRPr="000E73A2">
              <w:rPr>
                <w:lang w:val="en-CA"/>
              </w:rPr>
              <w:t xml:space="preserve"> 2024</w:t>
            </w:r>
          </w:p>
        </w:tc>
      </w:tr>
      <w:tr w:rsidR="00276A1F" w:rsidRPr="000E73A2" w14:paraId="6F4381DE" w14:textId="77777777" w:rsidTr="00A25FDE">
        <w:tc>
          <w:tcPr>
            <w:tcW w:w="2835" w:type="dxa"/>
            <w:gridSpan w:val="2"/>
          </w:tcPr>
          <w:p w14:paraId="3B15D098" w14:textId="3C7CA481" w:rsidR="00276A1F" w:rsidRPr="000E73A2" w:rsidRDefault="0073344C" w:rsidP="005A78BF">
            <w:pPr>
              <w:pStyle w:val="zSoquijlblDateAudience"/>
              <w:rPr>
                <w:lang w:val="en-CA"/>
              </w:rPr>
            </w:pPr>
            <w:r>
              <w:rPr>
                <w:lang w:val="en-CA"/>
              </w:rPr>
              <w:t>T</w:t>
            </w:r>
            <w:r w:rsidR="009E0D9D">
              <w:rPr>
                <w:lang w:val="en-CA"/>
              </w:rPr>
              <w:t>ak</w:t>
            </w:r>
            <w:r>
              <w:rPr>
                <w:lang w:val="en-CA"/>
              </w:rPr>
              <w:t>en</w:t>
            </w:r>
            <w:r w:rsidR="009E0D9D">
              <w:rPr>
                <w:lang w:val="en-CA"/>
              </w:rPr>
              <w:t xml:space="preserve"> under advisement</w:t>
            </w:r>
            <w:r w:rsidR="00276A1F" w:rsidRPr="000E73A2">
              <w:rPr>
                <w:lang w:val="en-CA"/>
              </w:rPr>
              <w:t xml:space="preserve">: </w:t>
            </w:r>
          </w:p>
        </w:tc>
        <w:tc>
          <w:tcPr>
            <w:tcW w:w="6527" w:type="dxa"/>
            <w:gridSpan w:val="2"/>
          </w:tcPr>
          <w:p w14:paraId="4EF02EE2" w14:textId="5D460468" w:rsidR="00276A1F" w:rsidRPr="000E73A2" w:rsidRDefault="009E0D9D" w:rsidP="005A78BF">
            <w:pPr>
              <w:pStyle w:val="zSoquijdatDateAudience"/>
              <w:rPr>
                <w:lang w:val="en-CA"/>
              </w:rPr>
            </w:pPr>
            <w:r>
              <w:rPr>
                <w:lang w:val="en-CA"/>
              </w:rPr>
              <w:t>September 13,</w:t>
            </w:r>
            <w:r w:rsidR="00276A1F" w:rsidRPr="000E73A2">
              <w:rPr>
                <w:lang w:val="en-CA"/>
              </w:rPr>
              <w:t xml:space="preserve"> 2024</w:t>
            </w:r>
          </w:p>
        </w:tc>
      </w:tr>
    </w:tbl>
    <w:p w14:paraId="0BDA25D3" w14:textId="77777777" w:rsidR="00276A1F" w:rsidRPr="000E73A2" w:rsidRDefault="00276A1F" w:rsidP="00756494">
      <w:pPr>
        <w:rPr>
          <w:lang w:val="en-CA"/>
        </w:rPr>
        <w:sectPr w:rsidR="00276A1F" w:rsidRPr="000E73A2" w:rsidSect="00E9002D">
          <w:headerReference w:type="default" r:id="rId11"/>
          <w:pgSz w:w="12242" w:h="15842" w:code="1"/>
          <w:pgMar w:top="1440" w:right="1009" w:bottom="1247" w:left="1871" w:header="1440" w:footer="794" w:gutter="0"/>
          <w:cols w:space="720"/>
          <w:formProt w:val="0"/>
          <w:docGrid w:linePitch="326"/>
        </w:sectPr>
      </w:pPr>
      <w:bookmarkStart w:id="12" w:name="Opinion"/>
    </w:p>
    <w:tbl>
      <w:tblPr>
        <w:tblW w:w="0" w:type="auto"/>
        <w:tblLayout w:type="fixed"/>
        <w:tblCellMar>
          <w:left w:w="0" w:type="dxa"/>
          <w:right w:w="0" w:type="dxa"/>
        </w:tblCellMar>
        <w:tblLook w:val="0000" w:firstRow="0" w:lastRow="0" w:firstColumn="0" w:lastColumn="0" w:noHBand="0" w:noVBand="0"/>
      </w:tblPr>
      <w:tblGrid>
        <w:gridCol w:w="9360"/>
      </w:tblGrid>
      <w:tr w:rsidR="00276A1F" w:rsidRPr="000E73A2" w14:paraId="0750FF3F" w14:textId="77777777" w:rsidTr="003178EF">
        <w:tc>
          <w:tcPr>
            <w:tcW w:w="9360" w:type="dxa"/>
            <w:tcBorders>
              <w:bottom w:val="single" w:sz="8" w:space="0" w:color="auto"/>
            </w:tcBorders>
          </w:tcPr>
          <w:p w14:paraId="4AE9D303" w14:textId="77777777" w:rsidR="00276A1F" w:rsidRPr="000E73A2" w:rsidRDefault="00276A1F" w:rsidP="003178EF">
            <w:pPr>
              <w:rPr>
                <w:lang w:val="en-CA"/>
              </w:rPr>
            </w:pPr>
          </w:p>
        </w:tc>
      </w:tr>
      <w:tr w:rsidR="00276A1F" w:rsidRPr="000E73A2" w14:paraId="08953E3C" w14:textId="77777777" w:rsidTr="003178EF">
        <w:tc>
          <w:tcPr>
            <w:tcW w:w="9360" w:type="dxa"/>
            <w:tcBorders>
              <w:top w:val="single" w:sz="8" w:space="0" w:color="auto"/>
            </w:tcBorders>
          </w:tcPr>
          <w:p w14:paraId="495CCF9B" w14:textId="77777777" w:rsidR="00276A1F" w:rsidRPr="000E73A2" w:rsidRDefault="00276A1F" w:rsidP="003178EF">
            <w:pPr>
              <w:rPr>
                <w:lang w:val="en-CA"/>
              </w:rPr>
            </w:pPr>
          </w:p>
        </w:tc>
      </w:tr>
      <w:tr w:rsidR="00276A1F" w:rsidRPr="000E73A2" w14:paraId="592F3EB8" w14:textId="77777777" w:rsidTr="003178EF">
        <w:tc>
          <w:tcPr>
            <w:tcW w:w="9360" w:type="dxa"/>
          </w:tcPr>
          <w:p w14:paraId="60813DDD" w14:textId="0D0C58D4" w:rsidR="00276A1F" w:rsidRPr="000E73A2" w:rsidRDefault="000E4C32" w:rsidP="003178EF">
            <w:pPr>
              <w:pStyle w:val="zSoquijlblOpinionJuge"/>
              <w:rPr>
                <w:lang w:val="en-CA"/>
              </w:rPr>
            </w:pPr>
            <w:r>
              <w:rPr>
                <w:lang w:val="en-CA"/>
              </w:rPr>
              <w:t>REASONS OF</w:t>
            </w:r>
            <w:r w:rsidR="00276A1F" w:rsidRPr="000E73A2">
              <w:rPr>
                <w:lang w:val="en-CA"/>
              </w:rPr>
              <w:t xml:space="preserve"> COURNOYER</w:t>
            </w:r>
            <w:r>
              <w:rPr>
                <w:lang w:val="en-CA"/>
              </w:rPr>
              <w:t>, J.A.</w:t>
            </w:r>
          </w:p>
        </w:tc>
      </w:tr>
      <w:tr w:rsidR="00276A1F" w:rsidRPr="000E73A2" w14:paraId="24CF91D0" w14:textId="77777777" w:rsidTr="003178EF">
        <w:tc>
          <w:tcPr>
            <w:tcW w:w="9360" w:type="dxa"/>
            <w:tcBorders>
              <w:bottom w:val="single" w:sz="8" w:space="0" w:color="auto"/>
            </w:tcBorders>
          </w:tcPr>
          <w:p w14:paraId="04860738" w14:textId="77777777" w:rsidR="00276A1F" w:rsidRPr="000E73A2" w:rsidRDefault="00276A1F" w:rsidP="003178EF">
            <w:pPr>
              <w:rPr>
                <w:lang w:val="en-CA"/>
              </w:rPr>
            </w:pPr>
          </w:p>
        </w:tc>
      </w:tr>
      <w:tr w:rsidR="00276A1F" w:rsidRPr="000E73A2" w14:paraId="544E8893" w14:textId="77777777" w:rsidTr="003178EF">
        <w:tc>
          <w:tcPr>
            <w:tcW w:w="9360" w:type="dxa"/>
            <w:tcBorders>
              <w:top w:val="single" w:sz="8" w:space="0" w:color="auto"/>
            </w:tcBorders>
          </w:tcPr>
          <w:p w14:paraId="4A19A151" w14:textId="77777777" w:rsidR="00276A1F" w:rsidRPr="000E73A2" w:rsidRDefault="00276A1F" w:rsidP="003178EF">
            <w:pPr>
              <w:rPr>
                <w:lang w:val="en-CA"/>
              </w:rPr>
            </w:pPr>
          </w:p>
        </w:tc>
      </w:tr>
    </w:tbl>
    <w:p w14:paraId="63DA5BAC" w14:textId="19C592B5" w:rsidR="00276A1F" w:rsidRPr="000E73A2" w:rsidRDefault="00312F2F" w:rsidP="00357B77">
      <w:pPr>
        <w:pStyle w:val="Paragraphe"/>
        <w:spacing w:before="360" w:after="180" w:line="280" w:lineRule="exact"/>
        <w:rPr>
          <w:lang w:val="en-CA"/>
        </w:rPr>
      </w:pPr>
      <w:r w:rsidRPr="00312F2F">
        <w:rPr>
          <w:lang w:val="en-CA"/>
        </w:rPr>
        <w:t>The prosecut</w:t>
      </w:r>
      <w:r>
        <w:rPr>
          <w:lang w:val="en-CA"/>
        </w:rPr>
        <w:t>ion</w:t>
      </w:r>
      <w:r w:rsidRPr="00312F2F">
        <w:rPr>
          <w:lang w:val="en-CA"/>
        </w:rPr>
        <w:t xml:space="preserve"> is appealing only against the </w:t>
      </w:r>
      <w:r w:rsidR="00D72159" w:rsidRPr="00312F2F">
        <w:rPr>
          <w:lang w:val="en-CA"/>
        </w:rPr>
        <w:t>verdict</w:t>
      </w:r>
      <w:r w:rsidR="00D72159">
        <w:rPr>
          <w:lang w:val="en-CA"/>
        </w:rPr>
        <w:t xml:space="preserve"> of</w:t>
      </w:r>
      <w:r w:rsidR="00D72159" w:rsidRPr="00312F2F">
        <w:rPr>
          <w:lang w:val="en-CA"/>
        </w:rPr>
        <w:t xml:space="preserve"> </w:t>
      </w:r>
      <w:r w:rsidRPr="00312F2F">
        <w:rPr>
          <w:lang w:val="en-CA"/>
        </w:rPr>
        <w:t xml:space="preserve">acquittal handed down by the </w:t>
      </w:r>
      <w:r>
        <w:rPr>
          <w:lang w:val="en-CA"/>
        </w:rPr>
        <w:t>trial judge</w:t>
      </w:r>
      <w:r w:rsidRPr="00312F2F">
        <w:rPr>
          <w:lang w:val="en-CA"/>
        </w:rPr>
        <w:t xml:space="preserve"> </w:t>
      </w:r>
      <w:r w:rsidR="00D72159">
        <w:rPr>
          <w:lang w:val="en-CA"/>
        </w:rPr>
        <w:t>with respect to</w:t>
      </w:r>
      <w:r>
        <w:rPr>
          <w:lang w:val="en-CA"/>
        </w:rPr>
        <w:t xml:space="preserve"> one count</w:t>
      </w:r>
      <w:r w:rsidRPr="00312F2F">
        <w:rPr>
          <w:lang w:val="en-CA"/>
        </w:rPr>
        <w:t xml:space="preserve"> of sexual assault relating to three separate </w:t>
      </w:r>
      <w:r w:rsidR="00D72159">
        <w:rPr>
          <w:lang w:val="en-CA"/>
        </w:rPr>
        <w:t>events</w:t>
      </w:r>
      <w:r>
        <w:rPr>
          <w:lang w:val="en-CA"/>
        </w:rPr>
        <w:t>.</w:t>
      </w:r>
      <w:r w:rsidR="00276A1F" w:rsidRPr="000E73A2">
        <w:rPr>
          <w:vertAlign w:val="superscript"/>
          <w:lang w:val="en-CA"/>
        </w:rPr>
        <w:footnoteReference w:id="4"/>
      </w:r>
      <w:r w:rsidR="00276A1F" w:rsidRPr="000E73A2">
        <w:rPr>
          <w:lang w:val="en-CA"/>
        </w:rPr>
        <w:t xml:space="preserve"> </w:t>
      </w:r>
      <w:r w:rsidRPr="00312F2F">
        <w:rPr>
          <w:lang w:val="en-CA"/>
        </w:rPr>
        <w:t>The respondent was also acquitted of two counts of assault</w:t>
      </w:r>
      <w:r w:rsidR="00276A1F" w:rsidRPr="000E73A2">
        <w:rPr>
          <w:lang w:val="en-CA"/>
        </w:rPr>
        <w:t>.</w:t>
      </w:r>
    </w:p>
    <w:p w14:paraId="4AFBC161" w14:textId="6EDE29D1" w:rsidR="00276A1F" w:rsidRPr="000E73A2" w:rsidRDefault="00312F2F" w:rsidP="00CA76D6">
      <w:pPr>
        <w:pStyle w:val="Paragraphe"/>
        <w:spacing w:before="180" w:after="180" w:line="280" w:lineRule="exact"/>
        <w:rPr>
          <w:lang w:val="en-CA"/>
        </w:rPr>
      </w:pPr>
      <w:r w:rsidRPr="00312F2F">
        <w:rPr>
          <w:lang w:val="en-CA"/>
        </w:rPr>
        <w:t xml:space="preserve">The </w:t>
      </w:r>
      <w:r>
        <w:rPr>
          <w:lang w:val="en-CA"/>
        </w:rPr>
        <w:t>prosecution</w:t>
      </w:r>
      <w:r w:rsidRPr="00312F2F">
        <w:rPr>
          <w:lang w:val="en-CA"/>
        </w:rPr>
        <w:t xml:space="preserve"> </w:t>
      </w:r>
      <w:r>
        <w:rPr>
          <w:lang w:val="en-CA"/>
        </w:rPr>
        <w:t>advances</w:t>
      </w:r>
      <w:r w:rsidRPr="00312F2F">
        <w:rPr>
          <w:lang w:val="en-CA"/>
        </w:rPr>
        <w:t xml:space="preserve"> four grounds of appeal</w:t>
      </w:r>
      <w:r w:rsidR="00276A1F" w:rsidRPr="000E73A2">
        <w:rPr>
          <w:lang w:val="en-CA"/>
        </w:rPr>
        <w:t>.</w:t>
      </w:r>
    </w:p>
    <w:p w14:paraId="373695A8" w14:textId="5174576C" w:rsidR="00276A1F" w:rsidRPr="000E73A2" w:rsidRDefault="00312F2F" w:rsidP="00CA76D6">
      <w:pPr>
        <w:pStyle w:val="Paragraphe"/>
        <w:spacing w:before="180" w:after="180" w:line="280" w:lineRule="exact"/>
        <w:rPr>
          <w:lang w:val="en-CA"/>
        </w:rPr>
      </w:pPr>
      <w:r w:rsidRPr="00312F2F">
        <w:rPr>
          <w:lang w:val="en-CA"/>
        </w:rPr>
        <w:t xml:space="preserve">The trial judge </w:t>
      </w:r>
      <w:r>
        <w:rPr>
          <w:lang w:val="en-CA"/>
        </w:rPr>
        <w:t xml:space="preserve">allegedly </w:t>
      </w:r>
      <w:r w:rsidRPr="00312F2F">
        <w:rPr>
          <w:lang w:val="en-CA"/>
        </w:rPr>
        <w:t xml:space="preserve">erred in law: 1) in his application of the concepts of capacity and consent in relation to the commission of the offence of sexual assault; 2) </w:t>
      </w:r>
      <w:r>
        <w:rPr>
          <w:lang w:val="en-CA"/>
        </w:rPr>
        <w:t>in making a finding of fact</w:t>
      </w:r>
      <w:r w:rsidRPr="00312F2F">
        <w:rPr>
          <w:lang w:val="en-CA"/>
        </w:rPr>
        <w:t xml:space="preserve"> </w:t>
      </w:r>
      <w:r w:rsidR="00D72159" w:rsidRPr="00D72159">
        <w:rPr>
          <w:lang w:val="en-CA"/>
        </w:rPr>
        <w:t>in the absence of any supportive evidence</w:t>
      </w:r>
      <w:r w:rsidRPr="00312F2F">
        <w:rPr>
          <w:lang w:val="en-CA"/>
        </w:rPr>
        <w:t xml:space="preserve">; 3) </w:t>
      </w:r>
      <w:r w:rsidR="008738AE">
        <w:rPr>
          <w:lang w:val="en-CA"/>
        </w:rPr>
        <w:t>in</w:t>
      </w:r>
      <w:r w:rsidRPr="00312F2F">
        <w:rPr>
          <w:lang w:val="en-CA"/>
        </w:rPr>
        <w:t xml:space="preserve"> failing to give reasons for his decision </w:t>
      </w:r>
      <w:r w:rsidR="00D72159">
        <w:rPr>
          <w:lang w:val="en-CA"/>
        </w:rPr>
        <w:t>such as to</w:t>
      </w:r>
      <w:r w:rsidRPr="00312F2F">
        <w:rPr>
          <w:lang w:val="en-CA"/>
        </w:rPr>
        <w:t xml:space="preserve"> satisf</w:t>
      </w:r>
      <w:r w:rsidR="00D72159">
        <w:rPr>
          <w:lang w:val="en-CA"/>
        </w:rPr>
        <w:t>y</w:t>
      </w:r>
      <w:r w:rsidRPr="00312F2F">
        <w:rPr>
          <w:lang w:val="en-CA"/>
        </w:rPr>
        <w:t xml:space="preserve"> the functional test; 4) </w:t>
      </w:r>
      <w:r w:rsidR="00D72159">
        <w:rPr>
          <w:lang w:val="en-CA"/>
        </w:rPr>
        <w:t>in</w:t>
      </w:r>
      <w:r w:rsidRPr="00312F2F">
        <w:rPr>
          <w:lang w:val="en-CA"/>
        </w:rPr>
        <w:t xml:space="preserve"> assessing the complainant's credibility on the basis of prejudices and stereotypes</w:t>
      </w:r>
      <w:r w:rsidR="00276A1F" w:rsidRPr="000E73A2">
        <w:rPr>
          <w:lang w:val="en-CA"/>
        </w:rPr>
        <w:t>.</w:t>
      </w:r>
    </w:p>
    <w:p w14:paraId="44182BB1" w14:textId="60C5CD16" w:rsidR="00276A1F" w:rsidRPr="000E73A2" w:rsidRDefault="008738AE" w:rsidP="00CA76D6">
      <w:pPr>
        <w:pStyle w:val="Paragraphe"/>
        <w:spacing w:before="180" w:after="180" w:line="280" w:lineRule="exact"/>
        <w:rPr>
          <w:lang w:val="en-CA"/>
        </w:rPr>
      </w:pPr>
      <w:r w:rsidRPr="008738AE">
        <w:rPr>
          <w:lang w:val="en-CA"/>
        </w:rPr>
        <w:t xml:space="preserve">In my opinion, the judgment </w:t>
      </w:r>
      <w:r>
        <w:rPr>
          <w:lang w:val="en-CA"/>
        </w:rPr>
        <w:t>was</w:t>
      </w:r>
      <w:r w:rsidRPr="008738AE">
        <w:rPr>
          <w:lang w:val="en-CA"/>
        </w:rPr>
        <w:t xml:space="preserve"> insufficiently reasoned, and I propose that the Court allow the appeal and order a new trial. For the same reason, it is extremely difficult and speculative to assess the merits of the first two grounds raised by the </w:t>
      </w:r>
      <w:r w:rsidR="002433C2">
        <w:rPr>
          <w:lang w:val="en-CA"/>
        </w:rPr>
        <w:t>prosecution</w:t>
      </w:r>
      <w:r w:rsidRPr="008738AE">
        <w:rPr>
          <w:lang w:val="en-CA"/>
        </w:rPr>
        <w:t xml:space="preserve">. That said, I nevertheless consider that, with regard to the second event, the judge </w:t>
      </w:r>
      <w:r>
        <w:rPr>
          <w:lang w:val="en-CA"/>
        </w:rPr>
        <w:t xml:space="preserve">made a finding </w:t>
      </w:r>
      <w:r w:rsidRPr="008738AE">
        <w:rPr>
          <w:lang w:val="en-CA"/>
        </w:rPr>
        <w:t>of fact in the absence of evidence, which is an additional ground for ordering a new trial</w:t>
      </w:r>
      <w:r w:rsidR="00276A1F" w:rsidRPr="000E73A2">
        <w:rPr>
          <w:lang w:val="en-CA"/>
        </w:rPr>
        <w:t>.</w:t>
      </w:r>
    </w:p>
    <w:p w14:paraId="6E510116" w14:textId="1C0DA62F" w:rsidR="00276A1F" w:rsidRPr="000E73A2" w:rsidRDefault="005367D6" w:rsidP="00CA76D6">
      <w:pPr>
        <w:pStyle w:val="Paragraphe"/>
        <w:spacing w:before="180" w:after="180" w:line="280" w:lineRule="exact"/>
        <w:rPr>
          <w:lang w:val="en-CA"/>
        </w:rPr>
      </w:pPr>
      <w:r w:rsidRPr="005367D6">
        <w:rPr>
          <w:lang w:val="en-CA"/>
        </w:rPr>
        <w:t>Even if the prosecut</w:t>
      </w:r>
      <w:r>
        <w:rPr>
          <w:lang w:val="en-CA"/>
        </w:rPr>
        <w:t>ion</w:t>
      </w:r>
      <w:r w:rsidRPr="005367D6">
        <w:rPr>
          <w:lang w:val="en-CA"/>
        </w:rPr>
        <w:t xml:space="preserve">'s right of appeal against an acquittal is limited to questions of law </w:t>
      </w:r>
      <w:r w:rsidR="002433C2">
        <w:rPr>
          <w:lang w:val="en-CA"/>
        </w:rPr>
        <w:t>alone</w:t>
      </w:r>
      <w:r w:rsidRPr="005367D6">
        <w:rPr>
          <w:lang w:val="en-CA"/>
        </w:rPr>
        <w:t xml:space="preserve">, the trial judge must nevertheless </w:t>
      </w:r>
      <w:r>
        <w:rPr>
          <w:lang w:val="en-CA"/>
        </w:rPr>
        <w:t>“</w:t>
      </w:r>
      <w:r w:rsidRPr="005367D6">
        <w:rPr>
          <w:lang w:val="en-CA"/>
        </w:rPr>
        <w:t>provide intelligible reasons for an acquittal</w:t>
      </w:r>
      <w:r>
        <w:rPr>
          <w:lang w:val="en-CA"/>
        </w:rPr>
        <w:t>.”</w:t>
      </w:r>
      <w:r w:rsidR="00276A1F" w:rsidRPr="000E73A2">
        <w:rPr>
          <w:rStyle w:val="Appelnotedebasdep"/>
          <w:lang w:val="en-CA"/>
        </w:rPr>
        <w:footnoteReference w:id="5"/>
      </w:r>
      <w:r w:rsidR="00276A1F" w:rsidRPr="000E73A2">
        <w:rPr>
          <w:lang w:val="en-CA"/>
        </w:rPr>
        <w:t xml:space="preserve"> </w:t>
      </w:r>
      <w:r w:rsidRPr="005367D6">
        <w:rPr>
          <w:lang w:val="en-CA"/>
        </w:rPr>
        <w:t xml:space="preserve">Since a new trial is to be held, I do not intend to provide a complete and </w:t>
      </w:r>
      <w:r w:rsidR="002433C2">
        <w:rPr>
          <w:lang w:val="en-CA"/>
        </w:rPr>
        <w:t>precise</w:t>
      </w:r>
      <w:r w:rsidRPr="005367D6">
        <w:rPr>
          <w:lang w:val="en-CA"/>
        </w:rPr>
        <w:t xml:space="preserve"> summary of the </w:t>
      </w:r>
      <w:r>
        <w:rPr>
          <w:lang w:val="en-CA"/>
        </w:rPr>
        <w:t>complainant</w:t>
      </w:r>
      <w:r w:rsidRPr="005367D6">
        <w:rPr>
          <w:lang w:val="en-CA"/>
        </w:rPr>
        <w:t>'s and the respondent's versions of events. I believe it is imperative that I stick to the essential</w:t>
      </w:r>
      <w:r w:rsidR="008846D6">
        <w:rPr>
          <w:lang w:val="en-CA"/>
        </w:rPr>
        <w:t xml:space="preserve"> point</w:t>
      </w:r>
      <w:r w:rsidRPr="005367D6">
        <w:rPr>
          <w:lang w:val="en-CA"/>
        </w:rPr>
        <w:t xml:space="preserve">s in order to explain why I am of the opinion that </w:t>
      </w:r>
      <w:r>
        <w:rPr>
          <w:lang w:val="en-CA"/>
        </w:rPr>
        <w:t>“</w:t>
      </w:r>
      <w:r w:rsidRPr="005367D6">
        <w:rPr>
          <w:lang w:val="en-CA"/>
        </w:rPr>
        <w:t>the reasons are so deficient as to preclude effective appellate review</w:t>
      </w:r>
      <w:r>
        <w:rPr>
          <w:lang w:val="en-CA"/>
        </w:rPr>
        <w:t>.”</w:t>
      </w:r>
      <w:r w:rsidR="00276A1F" w:rsidRPr="000E73A2">
        <w:rPr>
          <w:rStyle w:val="Appelnotedebasdep"/>
          <w:lang w:val="en-CA"/>
        </w:rPr>
        <w:footnoteReference w:id="6"/>
      </w:r>
    </w:p>
    <w:p w14:paraId="34A39663" w14:textId="77777777" w:rsidR="00276A1F" w:rsidRPr="000E73A2" w:rsidRDefault="00276A1F" w:rsidP="004F1479">
      <w:pPr>
        <w:pStyle w:val="Paragraphe"/>
        <w:numPr>
          <w:ilvl w:val="0"/>
          <w:numId w:val="0"/>
        </w:numPr>
        <w:spacing w:before="160" w:after="160" w:line="280" w:lineRule="exact"/>
        <w:rPr>
          <w:lang w:val="en-CA"/>
        </w:rPr>
      </w:pPr>
    </w:p>
    <w:p w14:paraId="02CD354D" w14:textId="30477536" w:rsidR="00276A1F" w:rsidRPr="000E73A2" w:rsidRDefault="005367D6" w:rsidP="00E338D8">
      <w:pPr>
        <w:pStyle w:val="Paragraphe"/>
        <w:keepNext/>
        <w:numPr>
          <w:ilvl w:val="0"/>
          <w:numId w:val="0"/>
        </w:numPr>
        <w:rPr>
          <w:b/>
          <w:bCs/>
          <w:lang w:val="en-CA"/>
        </w:rPr>
      </w:pPr>
      <w:r>
        <w:rPr>
          <w:b/>
          <w:bCs/>
          <w:lang w:val="en-CA"/>
        </w:rPr>
        <w:lastRenderedPageBreak/>
        <w:t xml:space="preserve">The </w:t>
      </w:r>
      <w:r w:rsidR="003A73B0">
        <w:rPr>
          <w:b/>
          <w:bCs/>
          <w:lang w:val="en-CA"/>
        </w:rPr>
        <w:t>t</w:t>
      </w:r>
      <w:r w:rsidR="0042137E">
        <w:rPr>
          <w:b/>
          <w:bCs/>
          <w:lang w:val="en-CA"/>
        </w:rPr>
        <w:t xml:space="preserve">rial </w:t>
      </w:r>
      <w:r w:rsidR="003A73B0">
        <w:rPr>
          <w:b/>
          <w:bCs/>
          <w:lang w:val="en-CA"/>
        </w:rPr>
        <w:t>j</w:t>
      </w:r>
      <w:r>
        <w:rPr>
          <w:b/>
          <w:bCs/>
          <w:lang w:val="en-CA"/>
        </w:rPr>
        <w:t>udgment</w:t>
      </w:r>
    </w:p>
    <w:p w14:paraId="15827C94" w14:textId="2849986F" w:rsidR="00276A1F" w:rsidRPr="000E73A2" w:rsidRDefault="00BB2511" w:rsidP="00E338D8">
      <w:pPr>
        <w:pStyle w:val="Paragraphe"/>
        <w:keepNext/>
        <w:spacing w:before="180" w:after="180" w:line="280" w:lineRule="exact"/>
        <w:rPr>
          <w:lang w:val="en-CA"/>
        </w:rPr>
      </w:pPr>
      <w:r w:rsidRPr="00BB2511">
        <w:rPr>
          <w:lang w:val="en-CA"/>
        </w:rPr>
        <w:t xml:space="preserve">The </w:t>
      </w:r>
      <w:r>
        <w:rPr>
          <w:lang w:val="en-CA"/>
        </w:rPr>
        <w:t xml:space="preserve">trial </w:t>
      </w:r>
      <w:r w:rsidRPr="00BB2511">
        <w:rPr>
          <w:lang w:val="en-CA"/>
        </w:rPr>
        <w:t xml:space="preserve">judgment was delivered orally after </w:t>
      </w:r>
      <w:r>
        <w:rPr>
          <w:lang w:val="en-CA"/>
        </w:rPr>
        <w:t>being reserved</w:t>
      </w:r>
      <w:r w:rsidRPr="00BB2511">
        <w:rPr>
          <w:lang w:val="en-CA"/>
        </w:rPr>
        <w:t xml:space="preserve"> </w:t>
      </w:r>
      <w:r w:rsidR="007B5DE0">
        <w:rPr>
          <w:lang w:val="en-CA"/>
        </w:rPr>
        <w:t xml:space="preserve">a </w:t>
      </w:r>
      <w:r w:rsidRPr="00BB2511">
        <w:rPr>
          <w:lang w:val="en-CA"/>
        </w:rPr>
        <w:t>few weeks</w:t>
      </w:r>
      <w:r w:rsidR="00276A1F" w:rsidRPr="000E73A2">
        <w:rPr>
          <w:lang w:val="en-CA"/>
        </w:rPr>
        <w:t>.</w:t>
      </w:r>
    </w:p>
    <w:p w14:paraId="49F1F6AF" w14:textId="50676638" w:rsidR="00276A1F" w:rsidRPr="000E73A2" w:rsidRDefault="00BB2511" w:rsidP="00CA76D6">
      <w:pPr>
        <w:pStyle w:val="Paragraphe"/>
        <w:spacing w:before="180" w:after="180" w:line="280" w:lineRule="exact"/>
        <w:rPr>
          <w:lang w:val="en-CA"/>
        </w:rPr>
      </w:pPr>
      <w:r>
        <w:rPr>
          <w:lang w:val="en-CA"/>
        </w:rPr>
        <w:t>T</w:t>
      </w:r>
      <w:r w:rsidRPr="00BB2511">
        <w:rPr>
          <w:lang w:val="en-CA"/>
        </w:rPr>
        <w:t xml:space="preserve">he judge </w:t>
      </w:r>
      <w:r>
        <w:rPr>
          <w:lang w:val="en-CA"/>
        </w:rPr>
        <w:t xml:space="preserve">began by </w:t>
      </w:r>
      <w:r w:rsidRPr="00BB2511">
        <w:rPr>
          <w:lang w:val="en-CA"/>
        </w:rPr>
        <w:t>summari</w:t>
      </w:r>
      <w:r>
        <w:rPr>
          <w:lang w:val="en-CA"/>
        </w:rPr>
        <w:t>zing</w:t>
      </w:r>
      <w:r w:rsidRPr="00BB2511">
        <w:rPr>
          <w:lang w:val="en-CA"/>
        </w:rPr>
        <w:t xml:space="preserve"> the evidence </w:t>
      </w:r>
      <w:r w:rsidR="00431D20">
        <w:rPr>
          <w:lang w:val="en-CA"/>
        </w:rPr>
        <w:t>l</w:t>
      </w:r>
      <w:r w:rsidRPr="00BB2511">
        <w:rPr>
          <w:lang w:val="en-CA"/>
        </w:rPr>
        <w:t>ed by the prosecut</w:t>
      </w:r>
      <w:r>
        <w:rPr>
          <w:lang w:val="en-CA"/>
        </w:rPr>
        <w:t>ion</w:t>
      </w:r>
      <w:r w:rsidR="00276A1F" w:rsidRPr="000E73A2">
        <w:rPr>
          <w:lang w:val="en-CA"/>
        </w:rPr>
        <w:t>:</w:t>
      </w:r>
    </w:p>
    <w:p w14:paraId="11AA44C3" w14:textId="0CE5D130" w:rsidR="00BB2511" w:rsidRPr="00BB2511" w:rsidRDefault="00BB2511" w:rsidP="00187BA6">
      <w:pPr>
        <w:pStyle w:val="Citationenretrait"/>
        <w:rPr>
          <w:smallCaps/>
          <w:lang w:val="en-CA"/>
        </w:rPr>
      </w:pPr>
      <w:r w:rsidRPr="00BB2511">
        <w:rPr>
          <w:smallCaps/>
          <w:lang w:val="en-CA"/>
        </w:rPr>
        <w:t>[</w:t>
      </w:r>
      <w:r w:rsidR="008C6D73">
        <w:rPr>
          <w:smallCaps/>
          <w:lang w:val="en-CA"/>
        </w:rPr>
        <w:t>t</w:t>
      </w:r>
      <w:r w:rsidRPr="00BB2511">
        <w:rPr>
          <w:smallCaps/>
          <w:lang w:val="en-CA"/>
        </w:rPr>
        <w:t xml:space="preserve">ranslation] </w:t>
      </w:r>
    </w:p>
    <w:p w14:paraId="62917BE7" w14:textId="0A4AD7FF" w:rsidR="00276A1F" w:rsidRPr="000E73A2" w:rsidRDefault="00BB2511" w:rsidP="00187BA6">
      <w:pPr>
        <w:pStyle w:val="Citationenretrait"/>
        <w:rPr>
          <w:lang w:val="en-CA"/>
        </w:rPr>
      </w:pPr>
      <w:r w:rsidRPr="00BB2511">
        <w:rPr>
          <w:lang w:val="en-CA"/>
        </w:rPr>
        <w:t xml:space="preserve">Ms. I... L..., who is the complainant, was the </w:t>
      </w:r>
      <w:r w:rsidR="00345CB6">
        <w:rPr>
          <w:lang w:val="en-CA"/>
        </w:rPr>
        <w:t>accused</w:t>
      </w:r>
      <w:r w:rsidRPr="00BB2511">
        <w:rPr>
          <w:lang w:val="en-CA"/>
        </w:rPr>
        <w:t xml:space="preserve">'s partner </w:t>
      </w:r>
      <w:r w:rsidR="00345CB6">
        <w:rPr>
          <w:lang w:val="en-CA"/>
        </w:rPr>
        <w:t>when</w:t>
      </w:r>
      <w:r w:rsidRPr="00BB2511">
        <w:rPr>
          <w:lang w:val="en-CA"/>
        </w:rPr>
        <w:t xml:space="preserve"> the</w:t>
      </w:r>
      <w:r w:rsidR="00345CB6">
        <w:rPr>
          <w:lang w:val="en-CA"/>
        </w:rPr>
        <w:t xml:space="preserve"> alleged</w:t>
      </w:r>
      <w:r w:rsidRPr="00BB2511">
        <w:rPr>
          <w:lang w:val="en-CA"/>
        </w:rPr>
        <w:t xml:space="preserve"> events</w:t>
      </w:r>
      <w:r w:rsidR="00345CB6">
        <w:rPr>
          <w:lang w:val="en-CA"/>
        </w:rPr>
        <w:t xml:space="preserve"> took place</w:t>
      </w:r>
      <w:r w:rsidRPr="00BB2511">
        <w:rPr>
          <w:lang w:val="en-CA"/>
        </w:rPr>
        <w:t xml:space="preserve">. She </w:t>
      </w:r>
      <w:r w:rsidR="00345CB6">
        <w:rPr>
          <w:lang w:val="en-CA"/>
        </w:rPr>
        <w:t xml:space="preserve">had </w:t>
      </w:r>
      <w:r w:rsidRPr="00BB2511">
        <w:rPr>
          <w:lang w:val="en-CA"/>
        </w:rPr>
        <w:t xml:space="preserve">met the </w:t>
      </w:r>
      <w:r w:rsidR="005F2137">
        <w:rPr>
          <w:lang w:val="en-CA"/>
        </w:rPr>
        <w:t>accused</w:t>
      </w:r>
      <w:r w:rsidRPr="00BB2511">
        <w:rPr>
          <w:lang w:val="en-CA"/>
        </w:rPr>
        <w:t xml:space="preserve"> at the end 2006</w:t>
      </w:r>
      <w:r w:rsidR="00345CB6">
        <w:rPr>
          <w:lang w:val="en-CA"/>
        </w:rPr>
        <w:t>,</w:t>
      </w:r>
      <w:r w:rsidRPr="00BB2511">
        <w:rPr>
          <w:lang w:val="en-CA"/>
        </w:rPr>
        <w:t xml:space="preserve"> and they moved in together five (5) or six (6) months later. Two children were born from this relationship. The relationship ended in October 2020. She describes her relationship as normal until she gave birth to her first child. She took care of all the household chores and the child. She was tired, which caused tension in their intimate relationship</w:t>
      </w:r>
      <w:r w:rsidR="00455C6D">
        <w:rPr>
          <w:lang w:val="en-CA"/>
        </w:rPr>
        <w:t>s</w:t>
      </w:r>
      <w:r w:rsidR="00276A1F" w:rsidRPr="000E73A2">
        <w:rPr>
          <w:lang w:val="en-CA"/>
        </w:rPr>
        <w:t>.</w:t>
      </w:r>
    </w:p>
    <w:p w14:paraId="024B2F14" w14:textId="00DF28D3" w:rsidR="00276A1F" w:rsidRPr="000E73A2" w:rsidRDefault="00BB2511" w:rsidP="00187BA6">
      <w:pPr>
        <w:pStyle w:val="Citationenretrait"/>
        <w:rPr>
          <w:lang w:val="en-CA"/>
        </w:rPr>
      </w:pPr>
      <w:r w:rsidRPr="00BB2511">
        <w:rPr>
          <w:lang w:val="en-CA"/>
        </w:rPr>
        <w:t xml:space="preserve">The couple had not been getting along since 2013, </w:t>
      </w:r>
      <w:r w:rsidR="00455C6D">
        <w:rPr>
          <w:lang w:val="en-CA"/>
        </w:rPr>
        <w:t>following</w:t>
      </w:r>
      <w:r w:rsidRPr="00BB2511">
        <w:rPr>
          <w:lang w:val="en-CA"/>
        </w:rPr>
        <w:t xml:space="preserve"> the birth of their child. She </w:t>
      </w:r>
      <w:r w:rsidR="00455C6D">
        <w:rPr>
          <w:lang w:val="en-CA"/>
        </w:rPr>
        <w:t>no longer had any sex drive,</w:t>
      </w:r>
      <w:r w:rsidRPr="00BB2511">
        <w:rPr>
          <w:lang w:val="en-CA"/>
        </w:rPr>
        <w:t xml:space="preserve"> and the accused became increasingly insistent about having sex</w:t>
      </w:r>
      <w:r w:rsidR="00276A1F" w:rsidRPr="000E73A2">
        <w:rPr>
          <w:lang w:val="en-CA"/>
        </w:rPr>
        <w:t>.</w:t>
      </w:r>
    </w:p>
    <w:p w14:paraId="1959C3CC" w14:textId="6FF88AB7" w:rsidR="00276A1F" w:rsidRPr="000E73A2" w:rsidRDefault="00BB2511" w:rsidP="00187BA6">
      <w:pPr>
        <w:pStyle w:val="Citationenretrait"/>
        <w:rPr>
          <w:lang w:val="en-CA"/>
        </w:rPr>
      </w:pPr>
      <w:r w:rsidRPr="00BB2511">
        <w:rPr>
          <w:lang w:val="en-CA"/>
        </w:rPr>
        <w:t xml:space="preserve">In the spring of 2014, she </w:t>
      </w:r>
      <w:r w:rsidR="00455C6D">
        <w:rPr>
          <w:lang w:val="en-CA"/>
        </w:rPr>
        <w:t>had</w:t>
      </w:r>
      <w:r w:rsidRPr="00BB2511">
        <w:rPr>
          <w:lang w:val="en-CA"/>
        </w:rPr>
        <w:t xml:space="preserve"> her son in her arms and the couple </w:t>
      </w:r>
      <w:r>
        <w:rPr>
          <w:lang w:val="en-CA"/>
        </w:rPr>
        <w:t>was</w:t>
      </w:r>
      <w:r w:rsidRPr="00BB2511">
        <w:rPr>
          <w:lang w:val="en-CA"/>
        </w:rPr>
        <w:t xml:space="preserve"> arguing. They </w:t>
      </w:r>
      <w:r>
        <w:rPr>
          <w:lang w:val="en-CA"/>
        </w:rPr>
        <w:t>were</w:t>
      </w:r>
      <w:r w:rsidRPr="00BB2511">
        <w:rPr>
          <w:lang w:val="en-CA"/>
        </w:rPr>
        <w:t xml:space="preserve"> in the kitchen. She </w:t>
      </w:r>
      <w:r>
        <w:rPr>
          <w:lang w:val="en-CA"/>
        </w:rPr>
        <w:t>was</w:t>
      </w:r>
      <w:r w:rsidRPr="00BB2511">
        <w:rPr>
          <w:lang w:val="en-CA"/>
        </w:rPr>
        <w:t xml:space="preserve"> between the island and the sink. The accused </w:t>
      </w:r>
      <w:r>
        <w:rPr>
          <w:lang w:val="en-CA"/>
        </w:rPr>
        <w:t>was</w:t>
      </w:r>
      <w:r w:rsidRPr="00BB2511">
        <w:rPr>
          <w:lang w:val="en-CA"/>
        </w:rPr>
        <w:t xml:space="preserve"> angry with her. He ha</w:t>
      </w:r>
      <w:r>
        <w:rPr>
          <w:lang w:val="en-CA"/>
        </w:rPr>
        <w:t>d</w:t>
      </w:r>
      <w:r w:rsidRPr="00BB2511">
        <w:rPr>
          <w:lang w:val="en-CA"/>
        </w:rPr>
        <w:t xml:space="preserve"> a glass bottle in his hands and thr</w:t>
      </w:r>
      <w:r>
        <w:rPr>
          <w:lang w:val="en-CA"/>
        </w:rPr>
        <w:t>ew</w:t>
      </w:r>
      <w:r w:rsidRPr="00BB2511">
        <w:rPr>
          <w:lang w:val="en-CA"/>
        </w:rPr>
        <w:t xml:space="preserve"> it at her. She turn</w:t>
      </w:r>
      <w:r>
        <w:rPr>
          <w:lang w:val="en-CA"/>
        </w:rPr>
        <w:t>ed</w:t>
      </w:r>
      <w:r w:rsidRPr="00BB2511">
        <w:rPr>
          <w:lang w:val="en-CA"/>
        </w:rPr>
        <w:t xml:space="preserve"> around and the bottle land</w:t>
      </w:r>
      <w:r>
        <w:rPr>
          <w:lang w:val="en-CA"/>
        </w:rPr>
        <w:t>ed</w:t>
      </w:r>
      <w:r w:rsidRPr="00BB2511">
        <w:rPr>
          <w:lang w:val="en-CA"/>
        </w:rPr>
        <w:t xml:space="preserve"> on the counter. He </w:t>
      </w:r>
      <w:r>
        <w:rPr>
          <w:lang w:val="en-CA"/>
        </w:rPr>
        <w:t>went</w:t>
      </w:r>
      <w:r w:rsidRPr="00BB2511">
        <w:rPr>
          <w:lang w:val="en-CA"/>
        </w:rPr>
        <w:t xml:space="preserve"> down to the basement and smashe</w:t>
      </w:r>
      <w:r>
        <w:rPr>
          <w:lang w:val="en-CA"/>
        </w:rPr>
        <w:t>d</w:t>
      </w:r>
      <w:r w:rsidRPr="00BB2511">
        <w:rPr>
          <w:lang w:val="en-CA"/>
        </w:rPr>
        <w:t xml:space="preserve"> the door. She </w:t>
      </w:r>
      <w:r w:rsidR="00455C6D">
        <w:rPr>
          <w:lang w:val="en-CA"/>
        </w:rPr>
        <w:t>feared</w:t>
      </w:r>
      <w:r w:rsidRPr="00BB2511">
        <w:rPr>
          <w:lang w:val="en-CA"/>
        </w:rPr>
        <w:t xml:space="preserve"> for herself and the child. The accused blamed her for being the cause of his frustrations</w:t>
      </w:r>
      <w:r w:rsidR="00276A1F" w:rsidRPr="000E73A2">
        <w:rPr>
          <w:lang w:val="en-CA"/>
        </w:rPr>
        <w:t>.</w:t>
      </w:r>
    </w:p>
    <w:p w14:paraId="23B91F10" w14:textId="27FF609A" w:rsidR="00276A1F" w:rsidRPr="000E73A2" w:rsidRDefault="004011CC" w:rsidP="00187BA6">
      <w:pPr>
        <w:pStyle w:val="Citationenretrait"/>
        <w:rPr>
          <w:lang w:val="en-CA"/>
        </w:rPr>
      </w:pPr>
      <w:r w:rsidRPr="004011CC">
        <w:rPr>
          <w:lang w:val="en-CA"/>
        </w:rPr>
        <w:t xml:space="preserve">The second </w:t>
      </w:r>
      <w:r w:rsidR="00455C6D">
        <w:rPr>
          <w:lang w:val="en-CA"/>
        </w:rPr>
        <w:t>event</w:t>
      </w:r>
      <w:r w:rsidRPr="004011CC">
        <w:rPr>
          <w:lang w:val="en-CA"/>
        </w:rPr>
        <w:t xml:space="preserve"> took place in September 2017. The couple </w:t>
      </w:r>
      <w:r w:rsidR="006F4D40">
        <w:rPr>
          <w:lang w:val="en-CA"/>
        </w:rPr>
        <w:t>was spending</w:t>
      </w:r>
      <w:r w:rsidRPr="004011CC">
        <w:rPr>
          <w:lang w:val="en-CA"/>
        </w:rPr>
        <w:t xml:space="preserve"> the evening with friends and their two children. The friends left but left the children behind. It had been a night of heavy drinking. They went to bed. She refused to have sex because her friends' children were there. He caressed her, she refused and asked him to stop. He held her wrists above her head with one hand and caressed her with the other. His gaze frightened her, she asked him to stop. He pulled on her camisole, which ripped, and that was when the accused </w:t>
      </w:r>
      <w:r w:rsidR="006F4D40">
        <w:rPr>
          <w:lang w:val="en-CA"/>
        </w:rPr>
        <w:t>got a hold of himself</w:t>
      </w:r>
      <w:r w:rsidRPr="004011CC">
        <w:rPr>
          <w:lang w:val="en-CA"/>
        </w:rPr>
        <w:t xml:space="preserve"> and stopped</w:t>
      </w:r>
      <w:r w:rsidR="00276A1F" w:rsidRPr="000E73A2">
        <w:rPr>
          <w:lang w:val="en-CA"/>
        </w:rPr>
        <w:t>.</w:t>
      </w:r>
    </w:p>
    <w:p w14:paraId="0FE96AE7" w14:textId="5175795D" w:rsidR="00276A1F" w:rsidRPr="000E73A2" w:rsidRDefault="004011CC" w:rsidP="00187BA6">
      <w:pPr>
        <w:pStyle w:val="Citationenretrait"/>
        <w:rPr>
          <w:lang w:val="en-CA"/>
        </w:rPr>
      </w:pPr>
      <w:r w:rsidRPr="004011CC">
        <w:rPr>
          <w:lang w:val="en-CA"/>
        </w:rPr>
        <w:t>The next day, they avoid</w:t>
      </w:r>
      <w:r>
        <w:rPr>
          <w:lang w:val="en-CA"/>
        </w:rPr>
        <w:t>ed</w:t>
      </w:r>
      <w:r w:rsidRPr="004011CC">
        <w:rPr>
          <w:lang w:val="en-CA"/>
        </w:rPr>
        <w:t xml:space="preserve"> talking to each other, but he</w:t>
      </w:r>
      <w:r w:rsidR="00930C8E">
        <w:rPr>
          <w:lang w:val="en-CA"/>
        </w:rPr>
        <w:t xml:space="preserve"> would</w:t>
      </w:r>
      <w:r w:rsidRPr="004011CC">
        <w:rPr>
          <w:lang w:val="en-CA"/>
        </w:rPr>
        <w:t xml:space="preserve"> </w:t>
      </w:r>
      <w:r>
        <w:rPr>
          <w:lang w:val="en-CA"/>
        </w:rPr>
        <w:t>t</w:t>
      </w:r>
      <w:r w:rsidR="00930C8E">
        <w:rPr>
          <w:lang w:val="en-CA"/>
        </w:rPr>
        <w:t>ell</w:t>
      </w:r>
      <w:r w:rsidRPr="004011CC">
        <w:rPr>
          <w:lang w:val="en-CA"/>
        </w:rPr>
        <w:t xml:space="preserve"> her that it was just a game to turn her on. She </w:t>
      </w:r>
      <w:r>
        <w:rPr>
          <w:lang w:val="en-CA"/>
        </w:rPr>
        <w:t>did</w:t>
      </w:r>
      <w:r w:rsidRPr="004011CC">
        <w:rPr>
          <w:lang w:val="en-CA"/>
        </w:rPr>
        <w:t xml:space="preserve"> not want to have sex with him until he start</w:t>
      </w:r>
      <w:r>
        <w:rPr>
          <w:lang w:val="en-CA"/>
        </w:rPr>
        <w:t>ed</w:t>
      </w:r>
      <w:r w:rsidRPr="004011CC">
        <w:rPr>
          <w:lang w:val="en-CA"/>
        </w:rPr>
        <w:t xml:space="preserve"> therapy. He began therapy in February 2018. The third </w:t>
      </w:r>
      <w:r w:rsidR="006F4D40">
        <w:rPr>
          <w:lang w:val="en-CA"/>
        </w:rPr>
        <w:t>event</w:t>
      </w:r>
      <w:r w:rsidRPr="004011CC">
        <w:rPr>
          <w:lang w:val="en-CA"/>
        </w:rPr>
        <w:t xml:space="preserve"> </w:t>
      </w:r>
      <w:r>
        <w:rPr>
          <w:lang w:val="en-CA"/>
        </w:rPr>
        <w:t>took</w:t>
      </w:r>
      <w:r w:rsidRPr="004011CC">
        <w:rPr>
          <w:lang w:val="en-CA"/>
        </w:rPr>
        <w:t xml:space="preserve"> place in January 2018</w:t>
      </w:r>
      <w:r w:rsidR="00276A1F" w:rsidRPr="000E73A2">
        <w:rPr>
          <w:lang w:val="en-CA"/>
        </w:rPr>
        <w:t>.</w:t>
      </w:r>
    </w:p>
    <w:p w14:paraId="08B6DB57" w14:textId="762E49B9" w:rsidR="00276A1F" w:rsidRPr="000E73A2" w:rsidRDefault="004011CC" w:rsidP="00187BA6">
      <w:pPr>
        <w:pStyle w:val="Citationenretrait"/>
        <w:rPr>
          <w:lang w:val="en-CA"/>
        </w:rPr>
      </w:pPr>
      <w:r w:rsidRPr="004011CC">
        <w:rPr>
          <w:lang w:val="en-CA"/>
        </w:rPr>
        <w:lastRenderedPageBreak/>
        <w:t xml:space="preserve">The third </w:t>
      </w:r>
      <w:r w:rsidR="00930C8E">
        <w:rPr>
          <w:lang w:val="en-CA"/>
        </w:rPr>
        <w:t>event</w:t>
      </w:r>
      <w:r w:rsidRPr="004011CC">
        <w:rPr>
          <w:lang w:val="en-CA"/>
        </w:rPr>
        <w:t xml:space="preserve"> took place in January 2018. The couple </w:t>
      </w:r>
      <w:r w:rsidR="00930C8E">
        <w:rPr>
          <w:lang w:val="en-CA"/>
        </w:rPr>
        <w:t>had spent</w:t>
      </w:r>
      <w:r w:rsidRPr="004011CC">
        <w:rPr>
          <w:lang w:val="en-CA"/>
        </w:rPr>
        <w:t xml:space="preserve"> the evening with several friends. There was a lot of drinking. The accused asked her for</w:t>
      </w:r>
      <w:r w:rsidR="00930C8E">
        <w:rPr>
          <w:lang w:val="en-CA"/>
        </w:rPr>
        <w:t xml:space="preserve"> acts of</w:t>
      </w:r>
      <w:r w:rsidRPr="004011CC">
        <w:rPr>
          <w:lang w:val="en-CA"/>
        </w:rPr>
        <w:t xml:space="preserve"> affection and </w:t>
      </w:r>
      <w:r w:rsidR="00930C8E">
        <w:rPr>
          <w:lang w:val="en-CA"/>
        </w:rPr>
        <w:t>that they</w:t>
      </w:r>
      <w:r w:rsidRPr="004011CC">
        <w:rPr>
          <w:lang w:val="en-CA"/>
        </w:rPr>
        <w:t xml:space="preserve"> take a bath together. To </w:t>
      </w:r>
      <w:r w:rsidR="00930C8E">
        <w:rPr>
          <w:lang w:val="en-CA"/>
        </w:rPr>
        <w:t>buy herself some</w:t>
      </w:r>
      <w:r w:rsidRPr="004011CC">
        <w:rPr>
          <w:lang w:val="en-CA"/>
        </w:rPr>
        <w:t xml:space="preserve"> peace, she agreed. After the bath, she went to bed in her son's room</w:t>
      </w:r>
      <w:r w:rsidR="00276A1F" w:rsidRPr="000E73A2">
        <w:rPr>
          <w:lang w:val="en-CA"/>
        </w:rPr>
        <w:t>.</w:t>
      </w:r>
    </w:p>
    <w:p w14:paraId="6A094DA7" w14:textId="390439DF" w:rsidR="00276A1F" w:rsidRPr="000E73A2" w:rsidRDefault="004011CC" w:rsidP="00187BA6">
      <w:pPr>
        <w:pStyle w:val="Citationenretrait"/>
        <w:rPr>
          <w:lang w:val="en-CA"/>
        </w:rPr>
      </w:pPr>
      <w:r w:rsidRPr="004011CC">
        <w:rPr>
          <w:lang w:val="en-CA"/>
        </w:rPr>
        <w:t>The next day, the accused told her that they had had sex</w:t>
      </w:r>
      <w:r w:rsidR="00930C8E">
        <w:rPr>
          <w:lang w:val="en-CA"/>
        </w:rPr>
        <w:t xml:space="preserve"> together</w:t>
      </w:r>
      <w:r w:rsidRPr="004011CC">
        <w:rPr>
          <w:lang w:val="en-CA"/>
        </w:rPr>
        <w:t xml:space="preserve">. She </w:t>
      </w:r>
      <w:r>
        <w:rPr>
          <w:lang w:val="en-CA"/>
        </w:rPr>
        <w:t>did</w:t>
      </w:r>
      <w:r w:rsidRPr="004011CC">
        <w:rPr>
          <w:lang w:val="en-CA"/>
        </w:rPr>
        <w:t xml:space="preserve"> not remember anything because she was drunk. Therapy began in February 2018 and lasted one and a half years</w:t>
      </w:r>
      <w:r w:rsidR="00276A1F" w:rsidRPr="000E73A2">
        <w:rPr>
          <w:lang w:val="en-CA"/>
        </w:rPr>
        <w:t>.</w:t>
      </w:r>
    </w:p>
    <w:p w14:paraId="01F4F097" w14:textId="7C1867D4" w:rsidR="00276A1F" w:rsidRPr="000E73A2" w:rsidRDefault="004011CC" w:rsidP="00187BA6">
      <w:pPr>
        <w:pStyle w:val="Citationenretrait"/>
        <w:rPr>
          <w:lang w:val="en-CA"/>
        </w:rPr>
      </w:pPr>
      <w:r w:rsidRPr="004011CC">
        <w:rPr>
          <w:lang w:val="en-CA"/>
        </w:rPr>
        <w:t xml:space="preserve">In the spring of 2019, they entered into a sexual contract. She had to agree to have sex with him even if she didn't want to, and he couldn't sulk or </w:t>
      </w:r>
      <w:r w:rsidR="00930C8E">
        <w:rPr>
          <w:lang w:val="en-CA"/>
        </w:rPr>
        <w:t>scold</w:t>
      </w:r>
      <w:r w:rsidRPr="004011CC">
        <w:rPr>
          <w:lang w:val="en-CA"/>
        </w:rPr>
        <w:t xml:space="preserve"> her, because the arguments lasted for hours</w:t>
      </w:r>
      <w:r w:rsidR="00276A1F" w:rsidRPr="000E73A2">
        <w:rPr>
          <w:lang w:val="en-CA"/>
        </w:rPr>
        <w:t>.</w:t>
      </w:r>
    </w:p>
    <w:p w14:paraId="2CBE7A11" w14:textId="23FA5B1A" w:rsidR="00276A1F" w:rsidRPr="000E73A2" w:rsidRDefault="004011CC" w:rsidP="00187BA6">
      <w:pPr>
        <w:pStyle w:val="Citationenretrait"/>
        <w:rPr>
          <w:lang w:val="en-CA"/>
        </w:rPr>
      </w:pPr>
      <w:r w:rsidRPr="004011CC">
        <w:rPr>
          <w:lang w:val="en-CA"/>
        </w:rPr>
        <w:t>The complainant recorded certain conversations she had with the accused</w:t>
      </w:r>
      <w:r w:rsidR="00276A1F" w:rsidRPr="000E73A2">
        <w:rPr>
          <w:lang w:val="en-CA"/>
        </w:rPr>
        <w:t>.</w:t>
      </w:r>
    </w:p>
    <w:p w14:paraId="225DB446" w14:textId="0D511DD9" w:rsidR="00276A1F" w:rsidRPr="000E73A2" w:rsidRDefault="004011CC" w:rsidP="00187BA6">
      <w:pPr>
        <w:pStyle w:val="Citationenretrait"/>
        <w:rPr>
          <w:lang w:val="en-CA"/>
        </w:rPr>
      </w:pPr>
      <w:r w:rsidRPr="004011CC">
        <w:rPr>
          <w:lang w:val="en-CA"/>
        </w:rPr>
        <w:t>In the first audio recording, she repeat</w:t>
      </w:r>
      <w:r>
        <w:rPr>
          <w:lang w:val="en-CA"/>
        </w:rPr>
        <w:t>ed</w:t>
      </w:r>
      <w:r w:rsidRPr="004011CC">
        <w:rPr>
          <w:lang w:val="en-CA"/>
        </w:rPr>
        <w:t xml:space="preserve"> </w:t>
      </w:r>
      <w:r w:rsidR="0023007F">
        <w:rPr>
          <w:lang w:val="en-CA"/>
        </w:rPr>
        <w:t xml:space="preserve">to him </w:t>
      </w:r>
      <w:r w:rsidRPr="004011CC">
        <w:rPr>
          <w:lang w:val="en-CA"/>
        </w:rPr>
        <w:t>that he had sex with her while she was drunk, mention</w:t>
      </w:r>
      <w:r w:rsidR="00FB005A">
        <w:rPr>
          <w:lang w:val="en-CA"/>
        </w:rPr>
        <w:t>ed</w:t>
      </w:r>
      <w:r w:rsidRPr="004011CC">
        <w:rPr>
          <w:lang w:val="en-CA"/>
        </w:rPr>
        <w:t xml:space="preserve"> that he scared her, and that she </w:t>
      </w:r>
      <w:r w:rsidR="00FB005A">
        <w:rPr>
          <w:lang w:val="en-CA"/>
        </w:rPr>
        <w:t>wa</w:t>
      </w:r>
      <w:r w:rsidRPr="004011CC">
        <w:rPr>
          <w:lang w:val="en-CA"/>
        </w:rPr>
        <w:t>s afraid to say ‘no’ to him. The accused talk</w:t>
      </w:r>
      <w:r w:rsidR="00FB005A">
        <w:rPr>
          <w:lang w:val="en-CA"/>
        </w:rPr>
        <w:t>ed</w:t>
      </w:r>
      <w:r w:rsidRPr="004011CC">
        <w:rPr>
          <w:lang w:val="en-CA"/>
        </w:rPr>
        <w:t xml:space="preserve"> about his frustrations and sa</w:t>
      </w:r>
      <w:r w:rsidR="00FB005A">
        <w:rPr>
          <w:lang w:val="en-CA"/>
        </w:rPr>
        <w:t>id</w:t>
      </w:r>
      <w:r w:rsidRPr="004011CC">
        <w:rPr>
          <w:lang w:val="en-CA"/>
        </w:rPr>
        <w:t xml:space="preserve"> to her, "You threatened to leave with the children.</w:t>
      </w:r>
      <w:r w:rsidR="00FB005A">
        <w:rPr>
          <w:lang w:val="en-CA"/>
        </w:rPr>
        <w:t>”</w:t>
      </w:r>
      <w:r w:rsidRPr="004011CC">
        <w:rPr>
          <w:lang w:val="en-CA"/>
        </w:rPr>
        <w:t xml:space="preserve"> He want</w:t>
      </w:r>
      <w:r w:rsidR="00FB005A">
        <w:rPr>
          <w:lang w:val="en-CA"/>
        </w:rPr>
        <w:t>ed</w:t>
      </w:r>
      <w:r w:rsidRPr="004011CC">
        <w:rPr>
          <w:lang w:val="en-CA"/>
        </w:rPr>
        <w:t xml:space="preserve"> mediation. She want</w:t>
      </w:r>
      <w:r w:rsidR="00FB005A">
        <w:rPr>
          <w:lang w:val="en-CA"/>
        </w:rPr>
        <w:t>ed</w:t>
      </w:r>
      <w:r w:rsidRPr="004011CC">
        <w:rPr>
          <w:lang w:val="en-CA"/>
        </w:rPr>
        <w:t xml:space="preserve"> full custody of the children; she </w:t>
      </w:r>
      <w:r w:rsidR="00FB005A">
        <w:rPr>
          <w:lang w:val="en-CA"/>
        </w:rPr>
        <w:t>did</w:t>
      </w:r>
      <w:r w:rsidRPr="004011CC">
        <w:rPr>
          <w:lang w:val="en-CA"/>
        </w:rPr>
        <w:t xml:space="preserve"> not want shared custody</w:t>
      </w:r>
      <w:r w:rsidR="00276A1F" w:rsidRPr="000E73A2">
        <w:rPr>
          <w:lang w:val="en-CA"/>
        </w:rPr>
        <w:t>.</w:t>
      </w:r>
    </w:p>
    <w:p w14:paraId="7FD9A097" w14:textId="15F5DAB0" w:rsidR="00276A1F" w:rsidRPr="000E73A2" w:rsidRDefault="00FB005A" w:rsidP="00187BA6">
      <w:pPr>
        <w:pStyle w:val="Citationenretrait"/>
        <w:rPr>
          <w:lang w:val="en-CA"/>
        </w:rPr>
      </w:pPr>
      <w:r w:rsidRPr="00FB005A">
        <w:rPr>
          <w:lang w:val="en-CA"/>
        </w:rPr>
        <w:t>She accuse</w:t>
      </w:r>
      <w:r>
        <w:rPr>
          <w:lang w:val="en-CA"/>
        </w:rPr>
        <w:t>d</w:t>
      </w:r>
      <w:r w:rsidRPr="00FB005A">
        <w:rPr>
          <w:lang w:val="en-CA"/>
        </w:rPr>
        <w:t xml:space="preserve"> him </w:t>
      </w:r>
      <w:r w:rsidR="0023007F">
        <w:rPr>
          <w:lang w:val="en-CA"/>
        </w:rPr>
        <w:t>splashing</w:t>
      </w:r>
      <w:r w:rsidRPr="00FB005A">
        <w:rPr>
          <w:lang w:val="en-CA"/>
        </w:rPr>
        <w:t xml:space="preserve"> the children with cold water when they misbehaved. The </w:t>
      </w:r>
      <w:r w:rsidR="005F2137">
        <w:rPr>
          <w:lang w:val="en-CA"/>
        </w:rPr>
        <w:t>accused</w:t>
      </w:r>
      <w:r w:rsidRPr="00FB005A">
        <w:rPr>
          <w:lang w:val="en-CA"/>
        </w:rPr>
        <w:t xml:space="preserve"> </w:t>
      </w:r>
      <w:r>
        <w:rPr>
          <w:lang w:val="en-CA"/>
        </w:rPr>
        <w:t>told</w:t>
      </w:r>
      <w:r w:rsidRPr="00FB005A">
        <w:rPr>
          <w:lang w:val="en-CA"/>
        </w:rPr>
        <w:t xml:space="preserve"> her that it was the psychologist who advised him to do so</w:t>
      </w:r>
      <w:r w:rsidR="00276A1F" w:rsidRPr="000E73A2">
        <w:rPr>
          <w:lang w:val="en-CA"/>
        </w:rPr>
        <w:t>.</w:t>
      </w:r>
    </w:p>
    <w:p w14:paraId="5AF2C5C7" w14:textId="7D2C4D6C" w:rsidR="00276A1F" w:rsidRPr="000E73A2" w:rsidRDefault="00FB005A" w:rsidP="00187BA6">
      <w:pPr>
        <w:pStyle w:val="Citationenretrait"/>
        <w:rPr>
          <w:lang w:val="en-CA"/>
        </w:rPr>
      </w:pPr>
      <w:r w:rsidRPr="00FB005A">
        <w:rPr>
          <w:lang w:val="en-CA"/>
        </w:rPr>
        <w:t>The conversation lasted several hours. She also mentioned that the accused had filmed her without her knowledge on two (2) occasions. She confronted him with the camera. He ran after her to take it away. He grabbed her, snatched the camera from her and drove off in his truck. When he returned, he told her that he had destroyed it</w:t>
      </w:r>
      <w:r w:rsidR="00276A1F" w:rsidRPr="000E73A2">
        <w:rPr>
          <w:lang w:val="en-CA"/>
        </w:rPr>
        <w:t>.</w:t>
      </w:r>
    </w:p>
    <w:p w14:paraId="2E9A4620" w14:textId="54364300" w:rsidR="00276A1F" w:rsidRPr="000E73A2" w:rsidRDefault="00FB005A" w:rsidP="00187BA6">
      <w:pPr>
        <w:pStyle w:val="Citationenretrait"/>
        <w:rPr>
          <w:lang w:val="en-CA"/>
        </w:rPr>
      </w:pPr>
      <w:r w:rsidRPr="00FB005A">
        <w:rPr>
          <w:lang w:val="en-CA"/>
        </w:rPr>
        <w:t xml:space="preserve">The second audio </w:t>
      </w:r>
      <w:r>
        <w:rPr>
          <w:lang w:val="en-CA"/>
        </w:rPr>
        <w:t>recording</w:t>
      </w:r>
      <w:r w:rsidRPr="00FB005A">
        <w:rPr>
          <w:lang w:val="en-CA"/>
        </w:rPr>
        <w:t xml:space="preserve">: The </w:t>
      </w:r>
      <w:r>
        <w:rPr>
          <w:lang w:val="en-CA"/>
        </w:rPr>
        <w:t>defendant accused her</w:t>
      </w:r>
      <w:r w:rsidRPr="00FB005A">
        <w:rPr>
          <w:lang w:val="en-CA"/>
        </w:rPr>
        <w:t xml:space="preserve"> </w:t>
      </w:r>
      <w:r>
        <w:rPr>
          <w:lang w:val="en-CA"/>
        </w:rPr>
        <w:t>of</w:t>
      </w:r>
      <w:r w:rsidRPr="00FB005A">
        <w:rPr>
          <w:lang w:val="en-CA"/>
        </w:rPr>
        <w:t xml:space="preserve"> not taking care of him </w:t>
      </w:r>
      <w:r w:rsidR="0023007F">
        <w:rPr>
          <w:lang w:val="en-CA"/>
        </w:rPr>
        <w:t xml:space="preserve">ever </w:t>
      </w:r>
      <w:r w:rsidRPr="00FB005A">
        <w:rPr>
          <w:lang w:val="en-CA"/>
        </w:rPr>
        <w:t>since the children were born. He insist</w:t>
      </w:r>
      <w:r>
        <w:rPr>
          <w:lang w:val="en-CA"/>
        </w:rPr>
        <w:t>ed</w:t>
      </w:r>
      <w:r w:rsidRPr="00FB005A">
        <w:rPr>
          <w:lang w:val="en-CA"/>
        </w:rPr>
        <w:t xml:space="preserve"> on sleeping with her. She refuse</w:t>
      </w:r>
      <w:r>
        <w:rPr>
          <w:lang w:val="en-CA"/>
        </w:rPr>
        <w:t>d</w:t>
      </w:r>
      <w:r w:rsidRPr="00FB005A">
        <w:rPr>
          <w:lang w:val="en-CA"/>
        </w:rPr>
        <w:t>. She sle</w:t>
      </w:r>
      <w:r>
        <w:rPr>
          <w:lang w:val="en-CA"/>
        </w:rPr>
        <w:t>pt</w:t>
      </w:r>
      <w:r w:rsidRPr="00FB005A">
        <w:rPr>
          <w:lang w:val="en-CA"/>
        </w:rPr>
        <w:t xml:space="preserve"> on the </w:t>
      </w:r>
      <w:r w:rsidR="0023007F">
        <w:rPr>
          <w:lang w:val="en-CA"/>
        </w:rPr>
        <w:t>couch</w:t>
      </w:r>
      <w:r w:rsidR="00276A1F" w:rsidRPr="000E73A2">
        <w:rPr>
          <w:lang w:val="en-CA"/>
        </w:rPr>
        <w:t>.</w:t>
      </w:r>
    </w:p>
    <w:p w14:paraId="6F810380" w14:textId="17F336B2" w:rsidR="00276A1F" w:rsidRPr="000E73A2" w:rsidRDefault="00FB005A" w:rsidP="00187BA6">
      <w:pPr>
        <w:pStyle w:val="Citationenretrait"/>
        <w:rPr>
          <w:lang w:val="en-CA"/>
        </w:rPr>
      </w:pPr>
      <w:r w:rsidRPr="00FB005A">
        <w:rPr>
          <w:lang w:val="en-CA"/>
        </w:rPr>
        <w:t xml:space="preserve">The third audio </w:t>
      </w:r>
      <w:r>
        <w:rPr>
          <w:lang w:val="en-CA"/>
        </w:rPr>
        <w:t>recording</w:t>
      </w:r>
      <w:r w:rsidRPr="00FB005A">
        <w:rPr>
          <w:lang w:val="en-CA"/>
        </w:rPr>
        <w:t xml:space="preserve"> is another argument. He </w:t>
      </w:r>
      <w:r>
        <w:rPr>
          <w:lang w:val="en-CA"/>
        </w:rPr>
        <w:t>told</w:t>
      </w:r>
      <w:r w:rsidRPr="00FB005A">
        <w:rPr>
          <w:lang w:val="en-CA"/>
        </w:rPr>
        <w:t xml:space="preserve"> her that she </w:t>
      </w:r>
      <w:r w:rsidR="0023007F">
        <w:rPr>
          <w:lang w:val="en-CA"/>
        </w:rPr>
        <w:t>no longer had any</w:t>
      </w:r>
      <w:r w:rsidRPr="00FB005A">
        <w:rPr>
          <w:lang w:val="en-CA"/>
        </w:rPr>
        <w:t xml:space="preserve"> sex drive and that he </w:t>
      </w:r>
      <w:r>
        <w:rPr>
          <w:lang w:val="en-CA"/>
        </w:rPr>
        <w:t>would</w:t>
      </w:r>
      <w:r w:rsidRPr="00FB005A">
        <w:rPr>
          <w:lang w:val="en-CA"/>
        </w:rPr>
        <w:t xml:space="preserve"> force her to have sex. She t</w:t>
      </w:r>
      <w:r>
        <w:rPr>
          <w:lang w:val="en-CA"/>
        </w:rPr>
        <w:t>old</w:t>
      </w:r>
      <w:r w:rsidRPr="00FB005A">
        <w:rPr>
          <w:lang w:val="en-CA"/>
        </w:rPr>
        <w:t xml:space="preserve"> him to go read up on consent. Both sides trade</w:t>
      </w:r>
      <w:r>
        <w:rPr>
          <w:lang w:val="en-CA"/>
        </w:rPr>
        <w:t>d</w:t>
      </w:r>
      <w:r w:rsidRPr="00FB005A">
        <w:rPr>
          <w:lang w:val="en-CA"/>
        </w:rPr>
        <w:t xml:space="preserve"> accusations</w:t>
      </w:r>
      <w:r w:rsidR="00276A1F" w:rsidRPr="000E73A2">
        <w:rPr>
          <w:lang w:val="en-CA"/>
        </w:rPr>
        <w:t>.</w:t>
      </w:r>
    </w:p>
    <w:p w14:paraId="43704973" w14:textId="6C033DBC" w:rsidR="00276A1F" w:rsidRPr="000E73A2" w:rsidRDefault="00FB005A" w:rsidP="00187BA6">
      <w:pPr>
        <w:pStyle w:val="Citationenretrait"/>
        <w:rPr>
          <w:lang w:val="en-CA"/>
        </w:rPr>
      </w:pPr>
      <w:r w:rsidRPr="00FB005A">
        <w:rPr>
          <w:lang w:val="en-CA"/>
        </w:rPr>
        <w:t xml:space="preserve">The fourth audio </w:t>
      </w:r>
      <w:r>
        <w:rPr>
          <w:lang w:val="en-CA"/>
        </w:rPr>
        <w:t>recording</w:t>
      </w:r>
      <w:r w:rsidRPr="00FB005A">
        <w:rPr>
          <w:lang w:val="en-CA"/>
        </w:rPr>
        <w:t xml:space="preserve"> is yet another argument and the same old accusations from both sides. He accuse</w:t>
      </w:r>
      <w:r>
        <w:rPr>
          <w:lang w:val="en-CA"/>
        </w:rPr>
        <w:t>d</w:t>
      </w:r>
      <w:r w:rsidRPr="00FB005A">
        <w:rPr>
          <w:lang w:val="en-CA"/>
        </w:rPr>
        <w:t xml:space="preserve"> her of not </w:t>
      </w:r>
      <w:r w:rsidR="0023007F">
        <w:rPr>
          <w:lang w:val="en-CA"/>
        </w:rPr>
        <w:t>complying with</w:t>
      </w:r>
      <w:r w:rsidRPr="00FB005A">
        <w:rPr>
          <w:lang w:val="en-CA"/>
        </w:rPr>
        <w:t xml:space="preserve"> the sexual </w:t>
      </w:r>
      <w:r>
        <w:rPr>
          <w:lang w:val="en-CA"/>
        </w:rPr>
        <w:t>contract</w:t>
      </w:r>
      <w:r w:rsidR="00276A1F" w:rsidRPr="000E73A2">
        <w:rPr>
          <w:lang w:val="en-CA"/>
        </w:rPr>
        <w:t>.</w:t>
      </w:r>
    </w:p>
    <w:p w14:paraId="45BE95AC" w14:textId="10AD9056" w:rsidR="00276A1F" w:rsidRPr="000E73A2" w:rsidRDefault="00FF2093" w:rsidP="00187BA6">
      <w:pPr>
        <w:pStyle w:val="Citationenretrait"/>
        <w:rPr>
          <w:lang w:val="en-CA"/>
        </w:rPr>
      </w:pPr>
      <w:r w:rsidRPr="00FF2093">
        <w:rPr>
          <w:lang w:val="en-CA"/>
        </w:rPr>
        <w:t>Fifth recording, yet another argument, and the complainant t</w:t>
      </w:r>
      <w:r>
        <w:rPr>
          <w:lang w:val="en-CA"/>
        </w:rPr>
        <w:t>old</w:t>
      </w:r>
      <w:r w:rsidRPr="00FF2093">
        <w:rPr>
          <w:lang w:val="en-CA"/>
        </w:rPr>
        <w:t xml:space="preserve"> him that she no longer love</w:t>
      </w:r>
      <w:r>
        <w:rPr>
          <w:lang w:val="en-CA"/>
        </w:rPr>
        <w:t>d</w:t>
      </w:r>
      <w:r w:rsidRPr="00FF2093">
        <w:rPr>
          <w:lang w:val="en-CA"/>
        </w:rPr>
        <w:t xml:space="preserve"> him and </w:t>
      </w:r>
      <w:r>
        <w:rPr>
          <w:lang w:val="en-CA"/>
        </w:rPr>
        <w:t>did</w:t>
      </w:r>
      <w:r w:rsidRPr="00FF2093">
        <w:rPr>
          <w:lang w:val="en-CA"/>
        </w:rPr>
        <w:t xml:space="preserve"> not feel safe. He talk</w:t>
      </w:r>
      <w:r>
        <w:rPr>
          <w:lang w:val="en-CA"/>
        </w:rPr>
        <w:t>ed</w:t>
      </w:r>
      <w:r w:rsidRPr="00FF2093">
        <w:rPr>
          <w:lang w:val="en-CA"/>
        </w:rPr>
        <w:t xml:space="preserve"> about his frustration</w:t>
      </w:r>
      <w:r w:rsidR="00276A1F" w:rsidRPr="000E73A2">
        <w:rPr>
          <w:lang w:val="en-CA"/>
        </w:rPr>
        <w:t>.</w:t>
      </w:r>
    </w:p>
    <w:p w14:paraId="3B80B99B" w14:textId="2400991E" w:rsidR="00276A1F" w:rsidRPr="000E73A2" w:rsidRDefault="00BC73EA" w:rsidP="00187BA6">
      <w:pPr>
        <w:pStyle w:val="Citationenretrait"/>
        <w:rPr>
          <w:lang w:val="en-CA"/>
        </w:rPr>
      </w:pPr>
      <w:r w:rsidRPr="00BC73EA">
        <w:rPr>
          <w:lang w:val="en-CA"/>
        </w:rPr>
        <w:lastRenderedPageBreak/>
        <w:t>The last recording in August 2020, they talk</w:t>
      </w:r>
      <w:r>
        <w:rPr>
          <w:lang w:val="en-CA"/>
        </w:rPr>
        <w:t>ed</w:t>
      </w:r>
      <w:r w:rsidRPr="00BC73EA">
        <w:rPr>
          <w:lang w:val="en-CA"/>
        </w:rPr>
        <w:t xml:space="preserve"> about separation, they argue</w:t>
      </w:r>
      <w:r>
        <w:rPr>
          <w:lang w:val="en-CA"/>
        </w:rPr>
        <w:t>d</w:t>
      </w:r>
      <w:r w:rsidRPr="00BC73EA">
        <w:rPr>
          <w:lang w:val="en-CA"/>
        </w:rPr>
        <w:t xml:space="preserve"> about sex. She end</w:t>
      </w:r>
      <w:r>
        <w:rPr>
          <w:lang w:val="en-CA"/>
        </w:rPr>
        <w:t>ed</w:t>
      </w:r>
      <w:r w:rsidRPr="00BC73EA">
        <w:rPr>
          <w:lang w:val="en-CA"/>
        </w:rPr>
        <w:t xml:space="preserve"> up saying to him: ‘Do what you want, take what you </w:t>
      </w:r>
      <w:r w:rsidR="0023007F">
        <w:rPr>
          <w:lang w:val="en-CA"/>
        </w:rPr>
        <w:t>have</w:t>
      </w:r>
      <w:r w:rsidRPr="00BC73EA">
        <w:rPr>
          <w:lang w:val="en-CA"/>
        </w:rPr>
        <w:t xml:space="preserve"> to take.’ He </w:t>
      </w:r>
      <w:r>
        <w:rPr>
          <w:lang w:val="en-CA"/>
        </w:rPr>
        <w:t>went</w:t>
      </w:r>
      <w:r w:rsidRPr="00BC73EA">
        <w:rPr>
          <w:lang w:val="en-CA"/>
        </w:rPr>
        <w:t xml:space="preserve"> upstairs to g</w:t>
      </w:r>
      <w:r w:rsidR="0023007F">
        <w:rPr>
          <w:lang w:val="en-CA"/>
        </w:rPr>
        <w:t>e</w:t>
      </w:r>
      <w:r w:rsidRPr="00BC73EA">
        <w:rPr>
          <w:lang w:val="en-CA"/>
        </w:rPr>
        <w:t>t a condom, she undresse</w:t>
      </w:r>
      <w:r>
        <w:rPr>
          <w:lang w:val="en-CA"/>
        </w:rPr>
        <w:t>d</w:t>
      </w:r>
      <w:r w:rsidRPr="00BC73EA">
        <w:rPr>
          <w:lang w:val="en-CA"/>
        </w:rPr>
        <w:t>, she want</w:t>
      </w:r>
      <w:r>
        <w:rPr>
          <w:lang w:val="en-CA"/>
        </w:rPr>
        <w:t>ed</w:t>
      </w:r>
      <w:r w:rsidRPr="00BC73EA">
        <w:rPr>
          <w:lang w:val="en-CA"/>
        </w:rPr>
        <w:t xml:space="preserve"> the argument to end: ‘Go on, </w:t>
      </w:r>
      <w:r w:rsidR="0023007F">
        <w:rPr>
          <w:lang w:val="en-CA"/>
        </w:rPr>
        <w:t>screw</w:t>
      </w:r>
      <w:r w:rsidRPr="00BC73EA">
        <w:rPr>
          <w:lang w:val="en-CA"/>
        </w:rPr>
        <w:t xml:space="preserve"> me and </w:t>
      </w:r>
      <w:r w:rsidR="0023007F">
        <w:rPr>
          <w:lang w:val="en-CA"/>
        </w:rPr>
        <w:t>leave me alone</w:t>
      </w:r>
      <w:r w:rsidRPr="00BC73EA">
        <w:rPr>
          <w:lang w:val="en-CA"/>
        </w:rPr>
        <w:t xml:space="preserve">.’ They </w:t>
      </w:r>
      <w:r>
        <w:rPr>
          <w:lang w:val="en-CA"/>
        </w:rPr>
        <w:t>we</w:t>
      </w:r>
      <w:r w:rsidRPr="00BC73EA">
        <w:rPr>
          <w:lang w:val="en-CA"/>
        </w:rPr>
        <w:t xml:space="preserve">re on the </w:t>
      </w:r>
      <w:r w:rsidR="0023007F">
        <w:rPr>
          <w:lang w:val="en-CA"/>
        </w:rPr>
        <w:t>couch</w:t>
      </w:r>
      <w:r w:rsidRPr="00BC73EA">
        <w:rPr>
          <w:lang w:val="en-CA"/>
        </w:rPr>
        <w:t xml:space="preserve"> in the living room. He penetrate</w:t>
      </w:r>
      <w:r>
        <w:rPr>
          <w:lang w:val="en-CA"/>
        </w:rPr>
        <w:t>d</w:t>
      </w:r>
      <w:r w:rsidRPr="00BC73EA">
        <w:rPr>
          <w:lang w:val="en-CA"/>
        </w:rPr>
        <w:t xml:space="preserve"> her, she sa</w:t>
      </w:r>
      <w:r>
        <w:rPr>
          <w:lang w:val="en-CA"/>
        </w:rPr>
        <w:t>id</w:t>
      </w:r>
      <w:r w:rsidR="0023007F">
        <w:rPr>
          <w:lang w:val="en-CA"/>
        </w:rPr>
        <w:t xml:space="preserve"> that</w:t>
      </w:r>
      <w:r w:rsidRPr="00BC73EA">
        <w:rPr>
          <w:lang w:val="en-CA"/>
        </w:rPr>
        <w:t xml:space="preserve"> it hurt and t</w:t>
      </w:r>
      <w:r>
        <w:rPr>
          <w:lang w:val="en-CA"/>
        </w:rPr>
        <w:t>old</w:t>
      </w:r>
      <w:r w:rsidRPr="00BC73EA">
        <w:rPr>
          <w:lang w:val="en-CA"/>
        </w:rPr>
        <w:t xml:space="preserve"> him to </w:t>
      </w:r>
      <w:r w:rsidR="0023007F">
        <w:rPr>
          <w:lang w:val="en-CA"/>
        </w:rPr>
        <w:t xml:space="preserve">get it over as </w:t>
      </w:r>
      <w:r w:rsidR="00827E3B">
        <w:rPr>
          <w:lang w:val="en-CA"/>
        </w:rPr>
        <w:t>quickly</w:t>
      </w:r>
      <w:r w:rsidR="0023007F">
        <w:rPr>
          <w:lang w:val="en-CA"/>
        </w:rPr>
        <w:t xml:space="preserve"> as possible</w:t>
      </w:r>
      <w:r w:rsidRPr="00BC73EA">
        <w:rPr>
          <w:lang w:val="en-CA"/>
        </w:rPr>
        <w:t>. It last</w:t>
      </w:r>
      <w:r>
        <w:rPr>
          <w:lang w:val="en-CA"/>
        </w:rPr>
        <w:t>ed</w:t>
      </w:r>
      <w:r w:rsidRPr="00BC73EA">
        <w:rPr>
          <w:lang w:val="en-CA"/>
        </w:rPr>
        <w:t xml:space="preserve"> about twenty minutes. During intercourse, he insult</w:t>
      </w:r>
      <w:r>
        <w:rPr>
          <w:lang w:val="en-CA"/>
        </w:rPr>
        <w:t>ed</w:t>
      </w:r>
      <w:r w:rsidRPr="00BC73EA">
        <w:rPr>
          <w:lang w:val="en-CA"/>
        </w:rPr>
        <w:t xml:space="preserve"> her. Both of them insulted each other during this conversation</w:t>
      </w:r>
      <w:r w:rsidR="00276A1F" w:rsidRPr="000E73A2">
        <w:rPr>
          <w:lang w:val="en-CA"/>
        </w:rPr>
        <w:t>.</w:t>
      </w:r>
    </w:p>
    <w:p w14:paraId="545D4C25" w14:textId="5055E22E" w:rsidR="00276A1F" w:rsidRPr="000E73A2" w:rsidRDefault="00BC73EA" w:rsidP="00187BA6">
      <w:pPr>
        <w:pStyle w:val="Citationenretrait"/>
        <w:rPr>
          <w:lang w:val="en-CA"/>
        </w:rPr>
      </w:pPr>
      <w:r w:rsidRPr="00BC73EA">
        <w:rPr>
          <w:lang w:val="en-CA"/>
        </w:rPr>
        <w:t xml:space="preserve">During cross-examination, the Court learned that she </w:t>
      </w:r>
      <w:r>
        <w:rPr>
          <w:lang w:val="en-CA"/>
        </w:rPr>
        <w:t xml:space="preserve">had </w:t>
      </w:r>
      <w:r w:rsidRPr="00BC73EA">
        <w:rPr>
          <w:lang w:val="en-CA"/>
        </w:rPr>
        <w:t xml:space="preserve">filed </w:t>
      </w:r>
      <w:r w:rsidR="00827E3B">
        <w:rPr>
          <w:lang w:val="en-CA"/>
        </w:rPr>
        <w:t>a</w:t>
      </w:r>
      <w:r w:rsidRPr="00BC73EA">
        <w:rPr>
          <w:lang w:val="en-CA"/>
        </w:rPr>
        <w:t xml:space="preserve"> complaint on October</w:t>
      </w:r>
      <w:r>
        <w:rPr>
          <w:lang w:val="en-CA"/>
        </w:rPr>
        <w:t xml:space="preserve"> 30,</w:t>
      </w:r>
      <w:r w:rsidRPr="00BC73EA">
        <w:rPr>
          <w:lang w:val="en-CA"/>
        </w:rPr>
        <w:t xml:space="preserve"> 2020. She </w:t>
      </w:r>
      <w:r>
        <w:rPr>
          <w:lang w:val="en-CA"/>
        </w:rPr>
        <w:t xml:space="preserve">had </w:t>
      </w:r>
      <w:r w:rsidRPr="00BC73EA">
        <w:rPr>
          <w:lang w:val="en-CA"/>
        </w:rPr>
        <w:t>left the family home on October</w:t>
      </w:r>
      <w:r>
        <w:rPr>
          <w:lang w:val="en-CA"/>
        </w:rPr>
        <w:t xml:space="preserve"> 20,</w:t>
      </w:r>
      <w:r w:rsidRPr="00BC73EA">
        <w:rPr>
          <w:lang w:val="en-CA"/>
        </w:rPr>
        <w:t xml:space="preserve"> 2020, the date the accused returned from hunting. She </w:t>
      </w:r>
      <w:r>
        <w:rPr>
          <w:lang w:val="en-CA"/>
        </w:rPr>
        <w:t xml:space="preserve">had </w:t>
      </w:r>
      <w:r w:rsidRPr="00BC73EA">
        <w:rPr>
          <w:lang w:val="en-CA"/>
        </w:rPr>
        <w:t xml:space="preserve">left him a separation letter, which was </w:t>
      </w:r>
      <w:r w:rsidR="00827E3B">
        <w:rPr>
          <w:lang w:val="en-CA"/>
        </w:rPr>
        <w:t>filed</w:t>
      </w:r>
      <w:r w:rsidRPr="00BC73EA">
        <w:rPr>
          <w:lang w:val="en-CA"/>
        </w:rPr>
        <w:t xml:space="preserve">. The accused </w:t>
      </w:r>
      <w:r>
        <w:rPr>
          <w:lang w:val="en-CA"/>
        </w:rPr>
        <w:t>filed</w:t>
      </w:r>
      <w:r w:rsidRPr="00BC73EA">
        <w:rPr>
          <w:lang w:val="en-CA"/>
        </w:rPr>
        <w:t xml:space="preserve"> a </w:t>
      </w:r>
      <w:r>
        <w:rPr>
          <w:lang w:val="en-CA"/>
        </w:rPr>
        <w:t>motion</w:t>
      </w:r>
      <w:r w:rsidRPr="00BC73EA">
        <w:rPr>
          <w:lang w:val="en-CA"/>
        </w:rPr>
        <w:t xml:space="preserve"> in </w:t>
      </w:r>
      <w:r>
        <w:rPr>
          <w:lang w:val="en-CA"/>
        </w:rPr>
        <w:t>Superior Court</w:t>
      </w:r>
      <w:r w:rsidRPr="00BC73EA">
        <w:rPr>
          <w:lang w:val="en-CA"/>
        </w:rPr>
        <w:t xml:space="preserve"> for joint custody</w:t>
      </w:r>
      <w:r w:rsidR="00276A1F" w:rsidRPr="000E73A2">
        <w:rPr>
          <w:lang w:val="en-CA"/>
        </w:rPr>
        <w:t>.</w:t>
      </w:r>
    </w:p>
    <w:p w14:paraId="1A3F034E" w14:textId="4305F060" w:rsidR="00276A1F" w:rsidRPr="000E73A2" w:rsidRDefault="00BC73EA" w:rsidP="00187BA6">
      <w:pPr>
        <w:pStyle w:val="Citationenretrait"/>
        <w:rPr>
          <w:lang w:val="en-CA"/>
        </w:rPr>
      </w:pPr>
      <w:r w:rsidRPr="00BC73EA">
        <w:rPr>
          <w:lang w:val="en-CA"/>
        </w:rPr>
        <w:t>Regarding the bottle incident, she said that perhaps he wasn't aiming at her</w:t>
      </w:r>
      <w:r w:rsidR="00276A1F" w:rsidRPr="000E73A2">
        <w:rPr>
          <w:lang w:val="en-CA"/>
        </w:rPr>
        <w:t>.</w:t>
      </w:r>
    </w:p>
    <w:p w14:paraId="7E6E9555" w14:textId="61DE2539" w:rsidR="00276A1F" w:rsidRPr="000E73A2" w:rsidRDefault="00BC73EA" w:rsidP="00CA76D6">
      <w:pPr>
        <w:pStyle w:val="Paragraphe"/>
        <w:spacing w:before="180" w:after="180" w:line="280" w:lineRule="exact"/>
        <w:rPr>
          <w:lang w:val="en-CA"/>
        </w:rPr>
      </w:pPr>
      <w:r w:rsidRPr="00BC73EA">
        <w:rPr>
          <w:lang w:val="en-CA"/>
        </w:rPr>
        <w:t>The judge then summari</w:t>
      </w:r>
      <w:r>
        <w:rPr>
          <w:lang w:val="en-CA"/>
        </w:rPr>
        <w:t>zed</w:t>
      </w:r>
      <w:r w:rsidRPr="00BC73EA">
        <w:rPr>
          <w:lang w:val="en-CA"/>
        </w:rPr>
        <w:t xml:space="preserve"> the respondent's testimony</w:t>
      </w:r>
      <w:r w:rsidR="00276A1F" w:rsidRPr="000E73A2">
        <w:rPr>
          <w:lang w:val="en-CA"/>
        </w:rPr>
        <w:t>:</w:t>
      </w:r>
    </w:p>
    <w:p w14:paraId="20CDFD3D" w14:textId="1EE33C7C" w:rsidR="006851A2" w:rsidRDefault="006851A2" w:rsidP="00187BA6">
      <w:pPr>
        <w:pStyle w:val="Citationenretrait"/>
        <w:rPr>
          <w:lang w:val="en-CA"/>
        </w:rPr>
      </w:pPr>
      <w:r w:rsidRPr="00BB2511">
        <w:rPr>
          <w:smallCaps/>
          <w:lang w:val="en-CA"/>
        </w:rPr>
        <w:t>[</w:t>
      </w:r>
      <w:r w:rsidR="008C6D73">
        <w:rPr>
          <w:smallCaps/>
          <w:lang w:val="en-CA"/>
        </w:rPr>
        <w:t>t</w:t>
      </w:r>
      <w:r w:rsidRPr="00BB2511">
        <w:rPr>
          <w:smallCaps/>
          <w:lang w:val="en-CA"/>
        </w:rPr>
        <w:t>ranslation]</w:t>
      </w:r>
    </w:p>
    <w:p w14:paraId="7363E173" w14:textId="059EA77A" w:rsidR="00276A1F" w:rsidRPr="000E73A2" w:rsidRDefault="008E44EE" w:rsidP="00187BA6">
      <w:pPr>
        <w:pStyle w:val="Citationenretrait"/>
        <w:rPr>
          <w:lang w:val="en-CA"/>
        </w:rPr>
      </w:pPr>
      <w:r w:rsidRPr="008E44EE">
        <w:rPr>
          <w:lang w:val="en-CA"/>
        </w:rPr>
        <w:t xml:space="preserve">The </w:t>
      </w:r>
      <w:r>
        <w:rPr>
          <w:lang w:val="en-CA"/>
        </w:rPr>
        <w:t>accused</w:t>
      </w:r>
      <w:r w:rsidRPr="008E44EE">
        <w:rPr>
          <w:lang w:val="en-CA"/>
        </w:rPr>
        <w:t xml:space="preserve"> </w:t>
      </w:r>
      <w:r w:rsidR="007C7099">
        <w:rPr>
          <w:lang w:val="en-CA"/>
        </w:rPr>
        <w:t>testified in</w:t>
      </w:r>
      <w:r w:rsidRPr="008E44EE">
        <w:rPr>
          <w:lang w:val="en-CA"/>
        </w:rPr>
        <w:t xml:space="preserve"> his</w:t>
      </w:r>
      <w:r w:rsidR="007C7099">
        <w:rPr>
          <w:lang w:val="en-CA"/>
        </w:rPr>
        <w:t xml:space="preserve"> own</w:t>
      </w:r>
      <w:r w:rsidRPr="008E44EE">
        <w:rPr>
          <w:lang w:val="en-CA"/>
        </w:rPr>
        <w:t xml:space="preserve"> defence. On December</w:t>
      </w:r>
      <w:r>
        <w:rPr>
          <w:lang w:val="en-CA"/>
        </w:rPr>
        <w:t xml:space="preserve"> 2,</w:t>
      </w:r>
      <w:r w:rsidRPr="008E44EE">
        <w:rPr>
          <w:lang w:val="en-CA"/>
        </w:rPr>
        <w:t xml:space="preserve"> 2019, for his birthday, the complainant gave him a gift, namely an </w:t>
      </w:r>
      <w:bookmarkStart w:id="13" w:name="_Hlk202348264"/>
      <w:r w:rsidRPr="008E44EE">
        <w:rPr>
          <w:lang w:val="en-CA"/>
        </w:rPr>
        <w:t>introductory course in handgun use</w:t>
      </w:r>
      <w:bookmarkEnd w:id="13"/>
      <w:r w:rsidR="00276A1F" w:rsidRPr="000E73A2">
        <w:rPr>
          <w:lang w:val="en-CA"/>
        </w:rPr>
        <w:t>.</w:t>
      </w:r>
    </w:p>
    <w:p w14:paraId="59CCF77B" w14:textId="0523CC06" w:rsidR="00276A1F" w:rsidRPr="000E73A2" w:rsidRDefault="008E44EE" w:rsidP="00187BA6">
      <w:pPr>
        <w:pStyle w:val="Citationenretrait"/>
        <w:rPr>
          <w:lang w:val="en-CA"/>
        </w:rPr>
      </w:pPr>
      <w:r w:rsidRPr="008E44EE">
        <w:rPr>
          <w:lang w:val="en-CA"/>
        </w:rPr>
        <w:t xml:space="preserve">He </w:t>
      </w:r>
      <w:r w:rsidR="007C7099">
        <w:rPr>
          <w:lang w:val="en-CA"/>
        </w:rPr>
        <w:t>spoke of</w:t>
      </w:r>
      <w:r w:rsidRPr="008E44EE">
        <w:rPr>
          <w:lang w:val="en-CA"/>
        </w:rPr>
        <w:t xml:space="preserve"> his couples therapy, which lasted one and a half years. It was the complainant who ended the therapy because he was stubborn</w:t>
      </w:r>
      <w:r w:rsidR="00276A1F" w:rsidRPr="000E73A2">
        <w:rPr>
          <w:lang w:val="en-CA"/>
        </w:rPr>
        <w:t>.</w:t>
      </w:r>
    </w:p>
    <w:p w14:paraId="273F0985" w14:textId="73E6B3DD" w:rsidR="00276A1F" w:rsidRPr="000E73A2" w:rsidRDefault="008E44EE" w:rsidP="00187BA6">
      <w:pPr>
        <w:pStyle w:val="Citationenretrait"/>
        <w:rPr>
          <w:lang w:val="en-CA"/>
        </w:rPr>
      </w:pPr>
      <w:r w:rsidRPr="008E44EE">
        <w:rPr>
          <w:lang w:val="en-CA"/>
        </w:rPr>
        <w:t>Upon returning from hunting on October</w:t>
      </w:r>
      <w:r w:rsidR="007C7099">
        <w:rPr>
          <w:lang w:val="en-CA"/>
        </w:rPr>
        <w:t xml:space="preserve"> 20,</w:t>
      </w:r>
      <w:r w:rsidRPr="008E44EE">
        <w:rPr>
          <w:lang w:val="en-CA"/>
        </w:rPr>
        <w:t xml:space="preserve"> 2020, he </w:t>
      </w:r>
      <w:r>
        <w:rPr>
          <w:lang w:val="en-CA"/>
        </w:rPr>
        <w:t>discovered</w:t>
      </w:r>
      <w:r w:rsidRPr="008E44EE">
        <w:rPr>
          <w:lang w:val="en-CA"/>
        </w:rPr>
        <w:t xml:space="preserve"> the letter of separation. He sought legal counsel and had an appointment on October</w:t>
      </w:r>
      <w:r w:rsidR="007C7099">
        <w:rPr>
          <w:lang w:val="en-CA"/>
        </w:rPr>
        <w:t xml:space="preserve"> 23</w:t>
      </w:r>
      <w:r w:rsidRPr="008E44EE">
        <w:rPr>
          <w:lang w:val="en-CA"/>
        </w:rPr>
        <w:t>. He received a response from the complainant on October</w:t>
      </w:r>
      <w:r w:rsidR="007C7099">
        <w:rPr>
          <w:lang w:val="en-CA"/>
        </w:rPr>
        <w:t xml:space="preserve"> 28</w:t>
      </w:r>
      <w:r w:rsidR="00276A1F" w:rsidRPr="000E73A2">
        <w:rPr>
          <w:lang w:val="en-CA"/>
        </w:rPr>
        <w:t>.</w:t>
      </w:r>
    </w:p>
    <w:p w14:paraId="385CF302" w14:textId="53F069C4" w:rsidR="00276A1F" w:rsidRPr="000E73A2" w:rsidRDefault="008E44EE" w:rsidP="00187BA6">
      <w:pPr>
        <w:pStyle w:val="Citationenretrait"/>
        <w:rPr>
          <w:lang w:val="en-CA"/>
        </w:rPr>
      </w:pPr>
      <w:r w:rsidRPr="008E44EE">
        <w:rPr>
          <w:lang w:val="en-CA"/>
        </w:rPr>
        <w:t>He was arrested following the complainant's complaint on November</w:t>
      </w:r>
      <w:r w:rsidR="007C7099">
        <w:rPr>
          <w:lang w:val="en-CA"/>
        </w:rPr>
        <w:t xml:space="preserve"> 3,</w:t>
      </w:r>
      <w:r w:rsidRPr="008E44EE">
        <w:rPr>
          <w:lang w:val="en-CA"/>
        </w:rPr>
        <w:t xml:space="preserve"> 2020, while the court date for the civil </w:t>
      </w:r>
      <w:r>
        <w:rPr>
          <w:lang w:val="en-CA"/>
        </w:rPr>
        <w:t>mot</w:t>
      </w:r>
      <w:r w:rsidRPr="008E44EE">
        <w:rPr>
          <w:lang w:val="en-CA"/>
        </w:rPr>
        <w:t xml:space="preserve">ion concerning child custody was set for </w:t>
      </w:r>
      <w:r w:rsidR="007C7099">
        <w:rPr>
          <w:lang w:val="en-CA"/>
        </w:rPr>
        <w:t xml:space="preserve">hearing on </w:t>
      </w:r>
      <w:r w:rsidRPr="008E44EE">
        <w:rPr>
          <w:lang w:val="en-CA"/>
        </w:rPr>
        <w:t>November</w:t>
      </w:r>
      <w:r w:rsidR="007C7099">
        <w:rPr>
          <w:lang w:val="en-CA"/>
        </w:rPr>
        <w:t xml:space="preserve"> 5</w:t>
      </w:r>
      <w:r w:rsidRPr="008E44EE">
        <w:rPr>
          <w:lang w:val="en-CA"/>
        </w:rPr>
        <w:t>. Divorce and custody proceedings</w:t>
      </w:r>
      <w:r w:rsidR="00276A1F" w:rsidRPr="000E73A2">
        <w:rPr>
          <w:lang w:val="en-CA"/>
        </w:rPr>
        <w:t xml:space="preserve"> [inaudible].</w:t>
      </w:r>
    </w:p>
    <w:p w14:paraId="60E35656" w14:textId="589A3DEB" w:rsidR="00276A1F" w:rsidRPr="000E73A2" w:rsidRDefault="008E44EE" w:rsidP="00187BA6">
      <w:pPr>
        <w:pStyle w:val="Citationenretrait"/>
        <w:rPr>
          <w:lang w:val="en-CA"/>
        </w:rPr>
      </w:pPr>
      <w:r w:rsidRPr="008E44EE">
        <w:rPr>
          <w:lang w:val="en-CA"/>
        </w:rPr>
        <w:t xml:space="preserve">According to the sexual </w:t>
      </w:r>
      <w:r>
        <w:rPr>
          <w:lang w:val="en-CA"/>
        </w:rPr>
        <w:t>contract</w:t>
      </w:r>
      <w:r w:rsidRPr="008E44EE">
        <w:rPr>
          <w:lang w:val="en-CA"/>
        </w:rPr>
        <w:t xml:space="preserve">, which stipulated that they would have </w:t>
      </w:r>
      <w:r>
        <w:rPr>
          <w:lang w:val="en-CA"/>
        </w:rPr>
        <w:t>sex</w:t>
      </w:r>
      <w:r w:rsidRPr="008E44EE">
        <w:rPr>
          <w:lang w:val="en-CA"/>
        </w:rPr>
        <w:t xml:space="preserve"> once a week, not on specific days of the week or on Sundays, provided that there were no </w:t>
      </w:r>
      <w:r w:rsidR="007C7099">
        <w:rPr>
          <w:lang w:val="en-CA"/>
        </w:rPr>
        <w:t>quarrels</w:t>
      </w:r>
      <w:r w:rsidRPr="008E44EE">
        <w:rPr>
          <w:lang w:val="en-CA"/>
        </w:rPr>
        <w:t xml:space="preserve"> and that it</w:t>
      </w:r>
      <w:r w:rsidR="007C7099">
        <w:rPr>
          <w:lang w:val="en-CA"/>
        </w:rPr>
        <w:t xml:space="preserve"> in no case was it</w:t>
      </w:r>
      <w:r w:rsidRPr="008E44EE">
        <w:rPr>
          <w:lang w:val="en-CA"/>
        </w:rPr>
        <w:t xml:space="preserve"> take place during the week or on Sundays</w:t>
      </w:r>
      <w:r w:rsidR="00276A1F" w:rsidRPr="000E73A2">
        <w:rPr>
          <w:lang w:val="en-CA"/>
        </w:rPr>
        <w:t>.</w:t>
      </w:r>
    </w:p>
    <w:p w14:paraId="0C740D71" w14:textId="47AFA34E" w:rsidR="00276A1F" w:rsidRPr="000E73A2" w:rsidRDefault="008E44EE" w:rsidP="00187BA6">
      <w:pPr>
        <w:pStyle w:val="Citationenretrait"/>
        <w:rPr>
          <w:lang w:val="en-CA"/>
        </w:rPr>
      </w:pPr>
      <w:r>
        <w:rPr>
          <w:lang w:val="en-CA"/>
        </w:rPr>
        <w:t>T</w:t>
      </w:r>
      <w:r w:rsidRPr="008E44EE">
        <w:rPr>
          <w:lang w:val="en-CA"/>
        </w:rPr>
        <w:t xml:space="preserve">he event </w:t>
      </w:r>
      <w:r>
        <w:rPr>
          <w:lang w:val="en-CA"/>
        </w:rPr>
        <w:t>where</w:t>
      </w:r>
      <w:r w:rsidRPr="008E44EE">
        <w:rPr>
          <w:lang w:val="en-CA"/>
        </w:rPr>
        <w:t xml:space="preserve"> </w:t>
      </w:r>
      <w:r w:rsidR="007C7099">
        <w:rPr>
          <w:lang w:val="en-CA"/>
        </w:rPr>
        <w:t>their</w:t>
      </w:r>
      <w:r w:rsidRPr="008E44EE">
        <w:rPr>
          <w:lang w:val="en-CA"/>
        </w:rPr>
        <w:t xml:space="preserve"> friends left and they </w:t>
      </w:r>
      <w:r>
        <w:rPr>
          <w:lang w:val="en-CA"/>
        </w:rPr>
        <w:t>left</w:t>
      </w:r>
      <w:r w:rsidRPr="008E44EE">
        <w:rPr>
          <w:lang w:val="en-CA"/>
        </w:rPr>
        <w:t xml:space="preserve"> the children, </w:t>
      </w:r>
      <w:r>
        <w:rPr>
          <w:lang w:val="en-CA"/>
        </w:rPr>
        <w:t xml:space="preserve">he described the scene </w:t>
      </w:r>
      <w:r w:rsidRPr="008E44EE">
        <w:rPr>
          <w:lang w:val="en-CA"/>
        </w:rPr>
        <w:t>as follows: He lay down on top of her</w:t>
      </w:r>
      <w:r w:rsidR="007C7099">
        <w:rPr>
          <w:lang w:val="en-CA"/>
        </w:rPr>
        <w:t>,</w:t>
      </w:r>
      <w:r w:rsidRPr="008E44EE">
        <w:rPr>
          <w:lang w:val="en-CA"/>
        </w:rPr>
        <w:t xml:space="preserve"> kissed her. She wasn't interested. He </w:t>
      </w:r>
      <w:r w:rsidR="007C7099">
        <w:rPr>
          <w:lang w:val="en-CA"/>
        </w:rPr>
        <w:t>insist</w:t>
      </w:r>
      <w:r w:rsidRPr="008E44EE">
        <w:rPr>
          <w:lang w:val="en-CA"/>
        </w:rPr>
        <w:t>ed. She pushed him away. He turned away and fell asleep. He wasn't holding her wrists. It lasted a few seconds</w:t>
      </w:r>
      <w:r w:rsidR="00276A1F" w:rsidRPr="000E73A2">
        <w:rPr>
          <w:lang w:val="en-CA"/>
        </w:rPr>
        <w:t>.</w:t>
      </w:r>
    </w:p>
    <w:p w14:paraId="5B34669D" w14:textId="5AC014C5" w:rsidR="00276A1F" w:rsidRPr="000E73A2" w:rsidRDefault="008E44EE" w:rsidP="00187BA6">
      <w:pPr>
        <w:pStyle w:val="Citationenretrait"/>
        <w:rPr>
          <w:lang w:val="en-CA"/>
        </w:rPr>
      </w:pPr>
      <w:bookmarkStart w:id="14" w:name="_Hlk187242036"/>
      <w:r w:rsidRPr="008E44EE">
        <w:rPr>
          <w:lang w:val="en-CA"/>
        </w:rPr>
        <w:t xml:space="preserve">The event in the bath: They spent the evening with friends in a club and ended up in a strip club. They took a bath and had a bottle (inaudible). They kissed, she </w:t>
      </w:r>
      <w:r w:rsidRPr="008E44EE">
        <w:rPr>
          <w:lang w:val="en-CA"/>
        </w:rPr>
        <w:lastRenderedPageBreak/>
        <w:t>masturbated him. She got out of the bath and told him she would wait for him in bed</w:t>
      </w:r>
      <w:r w:rsidR="00276A1F" w:rsidRPr="000E73A2">
        <w:rPr>
          <w:lang w:val="en-CA"/>
        </w:rPr>
        <w:t>.</w:t>
      </w:r>
    </w:p>
    <w:p w14:paraId="04518894" w14:textId="2964CCB0" w:rsidR="00276A1F" w:rsidRPr="000E73A2" w:rsidRDefault="008E44EE" w:rsidP="00187BA6">
      <w:pPr>
        <w:pStyle w:val="Citationenretrait"/>
        <w:rPr>
          <w:lang w:val="en-CA"/>
        </w:rPr>
      </w:pPr>
      <w:r w:rsidRPr="008E44EE">
        <w:rPr>
          <w:lang w:val="en-CA"/>
        </w:rPr>
        <w:t xml:space="preserve">She </w:t>
      </w:r>
      <w:r w:rsidR="00296793">
        <w:rPr>
          <w:lang w:val="en-CA"/>
        </w:rPr>
        <w:t>lay down</w:t>
      </w:r>
      <w:r w:rsidR="00380F88" w:rsidRPr="00380F88">
        <w:rPr>
          <w:lang w:val="en-CA"/>
        </w:rPr>
        <w:t xml:space="preserve"> </w:t>
      </w:r>
      <w:r w:rsidRPr="008E44EE">
        <w:rPr>
          <w:lang w:val="en-CA"/>
        </w:rPr>
        <w:t>in her son's room. He caresse</w:t>
      </w:r>
      <w:r>
        <w:rPr>
          <w:lang w:val="en-CA"/>
        </w:rPr>
        <w:t>d</w:t>
      </w:r>
      <w:r w:rsidRPr="008E44EE">
        <w:rPr>
          <w:lang w:val="en-CA"/>
        </w:rPr>
        <w:t xml:space="preserve"> her, she spread her legs, and they </w:t>
      </w:r>
      <w:r>
        <w:rPr>
          <w:lang w:val="en-CA"/>
        </w:rPr>
        <w:t>had</w:t>
      </w:r>
      <w:r w:rsidRPr="008E44EE">
        <w:rPr>
          <w:lang w:val="en-CA"/>
        </w:rPr>
        <w:t xml:space="preserve"> sexual intercourse. The next day, after having sex with her, he t</w:t>
      </w:r>
      <w:r>
        <w:rPr>
          <w:lang w:val="en-CA"/>
        </w:rPr>
        <w:t>old</w:t>
      </w:r>
      <w:r w:rsidRPr="008E44EE">
        <w:rPr>
          <w:lang w:val="en-CA"/>
        </w:rPr>
        <w:t xml:space="preserve"> the complainant that he enjoyed it. She sa</w:t>
      </w:r>
      <w:r>
        <w:rPr>
          <w:lang w:val="en-CA"/>
        </w:rPr>
        <w:t>id</w:t>
      </w:r>
      <w:r w:rsidRPr="008E44EE">
        <w:rPr>
          <w:lang w:val="en-CA"/>
        </w:rPr>
        <w:t xml:space="preserve"> to him, ‘I didn't know, I didn't want to.’</w:t>
      </w:r>
    </w:p>
    <w:bookmarkEnd w:id="14"/>
    <w:p w14:paraId="46F14CB0" w14:textId="27977F5E" w:rsidR="00276A1F" w:rsidRPr="000E73A2" w:rsidRDefault="00993732" w:rsidP="00187BA6">
      <w:pPr>
        <w:pStyle w:val="Citationenretrait"/>
        <w:rPr>
          <w:lang w:val="en-CA"/>
        </w:rPr>
      </w:pPr>
      <w:r w:rsidRPr="00993732">
        <w:rPr>
          <w:lang w:val="en-CA"/>
        </w:rPr>
        <w:t>Regarding the sexual encounter in the living room in 2020: They argued, and she said to him, ‘You want to fuck me, fine, fuck me.’ He went to get a condom, and they had sex. The accused admit</w:t>
      </w:r>
      <w:r>
        <w:rPr>
          <w:lang w:val="en-CA"/>
        </w:rPr>
        <w:t>ted</w:t>
      </w:r>
      <w:r w:rsidRPr="00993732">
        <w:rPr>
          <w:lang w:val="en-CA"/>
        </w:rPr>
        <w:t xml:space="preserve"> that he </w:t>
      </w:r>
      <w:r>
        <w:rPr>
          <w:lang w:val="en-CA"/>
        </w:rPr>
        <w:t xml:space="preserve">had been </w:t>
      </w:r>
      <w:r w:rsidRPr="00993732">
        <w:rPr>
          <w:lang w:val="en-CA"/>
        </w:rPr>
        <w:t>vulgar that eve</w:t>
      </w:r>
      <w:r>
        <w:rPr>
          <w:lang w:val="en-CA"/>
        </w:rPr>
        <w:t>ning</w:t>
      </w:r>
      <w:r w:rsidR="00276A1F" w:rsidRPr="000E73A2">
        <w:rPr>
          <w:lang w:val="en-CA"/>
        </w:rPr>
        <w:t>.</w:t>
      </w:r>
    </w:p>
    <w:p w14:paraId="3217DB3F" w14:textId="14740982" w:rsidR="00276A1F" w:rsidRPr="000E73A2" w:rsidRDefault="00993732" w:rsidP="00187BA6">
      <w:pPr>
        <w:pStyle w:val="Citationenretrait"/>
        <w:rPr>
          <w:lang w:val="en-CA"/>
        </w:rPr>
      </w:pPr>
      <w:r w:rsidRPr="00993732">
        <w:rPr>
          <w:lang w:val="en-CA"/>
        </w:rPr>
        <w:t>Regarding the camera: He mention</w:t>
      </w:r>
      <w:r>
        <w:rPr>
          <w:lang w:val="en-CA"/>
        </w:rPr>
        <w:t>ed</w:t>
      </w:r>
      <w:r w:rsidRPr="00993732">
        <w:rPr>
          <w:lang w:val="en-CA"/>
        </w:rPr>
        <w:t xml:space="preserve"> that she c</w:t>
      </w:r>
      <w:r>
        <w:rPr>
          <w:lang w:val="en-CA"/>
        </w:rPr>
        <w:t>ame</w:t>
      </w:r>
      <w:r w:rsidRPr="00993732">
        <w:rPr>
          <w:lang w:val="en-CA"/>
        </w:rPr>
        <w:t xml:space="preserve"> out of the bathroom, thr</w:t>
      </w:r>
      <w:r>
        <w:rPr>
          <w:lang w:val="en-CA"/>
        </w:rPr>
        <w:t>ew</w:t>
      </w:r>
      <w:r w:rsidRPr="00993732">
        <w:rPr>
          <w:lang w:val="en-CA"/>
        </w:rPr>
        <w:t xml:space="preserve"> the camera at him and sa</w:t>
      </w:r>
      <w:r>
        <w:rPr>
          <w:lang w:val="en-CA"/>
        </w:rPr>
        <w:t>id</w:t>
      </w:r>
      <w:r w:rsidRPr="00993732">
        <w:rPr>
          <w:lang w:val="en-CA"/>
        </w:rPr>
        <w:t>, ‘What's th</w:t>
      </w:r>
      <w:r>
        <w:rPr>
          <w:lang w:val="en-CA"/>
        </w:rPr>
        <w:t>is</w:t>
      </w:r>
      <w:r w:rsidRPr="00993732">
        <w:rPr>
          <w:lang w:val="en-CA"/>
        </w:rPr>
        <w:t xml:space="preserve">?’ He </w:t>
      </w:r>
      <w:r>
        <w:rPr>
          <w:lang w:val="en-CA"/>
        </w:rPr>
        <w:t>took</w:t>
      </w:r>
      <w:r w:rsidRPr="00993732">
        <w:rPr>
          <w:lang w:val="en-CA"/>
        </w:rPr>
        <w:t xml:space="preserve"> the camera</w:t>
      </w:r>
      <w:r>
        <w:rPr>
          <w:lang w:val="en-CA"/>
        </w:rPr>
        <w:t>,</w:t>
      </w:r>
      <w:r w:rsidRPr="00993732">
        <w:rPr>
          <w:lang w:val="en-CA"/>
        </w:rPr>
        <w:t xml:space="preserve"> and she r</w:t>
      </w:r>
      <w:r>
        <w:rPr>
          <w:lang w:val="en-CA"/>
        </w:rPr>
        <w:t>an</w:t>
      </w:r>
      <w:r w:rsidRPr="00993732">
        <w:rPr>
          <w:lang w:val="en-CA"/>
        </w:rPr>
        <w:t xml:space="preserve"> after him to try to take it away from him. He </w:t>
      </w:r>
      <w:r>
        <w:rPr>
          <w:lang w:val="en-CA"/>
        </w:rPr>
        <w:t>got</w:t>
      </w:r>
      <w:r w:rsidRPr="00993732">
        <w:rPr>
          <w:lang w:val="en-CA"/>
        </w:rPr>
        <w:t xml:space="preserve"> into the truck and dr</w:t>
      </w:r>
      <w:r>
        <w:rPr>
          <w:lang w:val="en-CA"/>
        </w:rPr>
        <w:t>ove</w:t>
      </w:r>
      <w:r w:rsidRPr="00993732">
        <w:rPr>
          <w:lang w:val="en-CA"/>
        </w:rPr>
        <w:t xml:space="preserve"> off to destroy the camera</w:t>
      </w:r>
      <w:r w:rsidR="00276A1F" w:rsidRPr="000E73A2">
        <w:rPr>
          <w:lang w:val="en-CA"/>
        </w:rPr>
        <w:t>.</w:t>
      </w:r>
    </w:p>
    <w:p w14:paraId="5842DB86" w14:textId="74977F7C" w:rsidR="00276A1F" w:rsidRPr="000E73A2" w:rsidRDefault="00993732" w:rsidP="00187BA6">
      <w:pPr>
        <w:pStyle w:val="Citationenretrait"/>
        <w:rPr>
          <w:lang w:val="en-CA"/>
        </w:rPr>
      </w:pPr>
      <w:r w:rsidRPr="00993732">
        <w:rPr>
          <w:lang w:val="en-CA"/>
        </w:rPr>
        <w:t xml:space="preserve">Regarding the bottle: He </w:t>
      </w:r>
      <w:r>
        <w:rPr>
          <w:lang w:val="en-CA"/>
        </w:rPr>
        <w:t>was</w:t>
      </w:r>
      <w:r w:rsidRPr="00993732">
        <w:rPr>
          <w:lang w:val="en-CA"/>
        </w:rPr>
        <w:t xml:space="preserve"> leaning against the island and she </w:t>
      </w:r>
      <w:r>
        <w:rPr>
          <w:lang w:val="en-CA"/>
        </w:rPr>
        <w:t>wa</w:t>
      </w:r>
      <w:r w:rsidRPr="00993732">
        <w:rPr>
          <w:lang w:val="en-CA"/>
        </w:rPr>
        <w:t xml:space="preserve">s standing at the sink counter. He </w:t>
      </w:r>
      <w:r>
        <w:rPr>
          <w:lang w:val="en-CA"/>
        </w:rPr>
        <w:t>wa</w:t>
      </w:r>
      <w:r w:rsidRPr="00993732">
        <w:rPr>
          <w:lang w:val="en-CA"/>
        </w:rPr>
        <w:t>s three (3) feet away from her. She insult</w:t>
      </w:r>
      <w:r>
        <w:rPr>
          <w:lang w:val="en-CA"/>
        </w:rPr>
        <w:t>ed</w:t>
      </w:r>
      <w:r w:rsidRPr="00993732">
        <w:rPr>
          <w:lang w:val="en-CA"/>
        </w:rPr>
        <w:t xml:space="preserve"> him and he th</w:t>
      </w:r>
      <w:r>
        <w:rPr>
          <w:lang w:val="en-CA"/>
        </w:rPr>
        <w:t>rew</w:t>
      </w:r>
      <w:r w:rsidRPr="00993732">
        <w:rPr>
          <w:lang w:val="en-CA"/>
        </w:rPr>
        <w:t xml:space="preserve"> the bottle into the sink, never aiming at her</w:t>
      </w:r>
      <w:r w:rsidR="00276A1F" w:rsidRPr="000E73A2">
        <w:rPr>
          <w:lang w:val="en-CA"/>
        </w:rPr>
        <w:t>.</w:t>
      </w:r>
    </w:p>
    <w:p w14:paraId="17EC8324" w14:textId="5254FDAA" w:rsidR="00276A1F" w:rsidRPr="000E73A2" w:rsidRDefault="00993732" w:rsidP="00187BA6">
      <w:pPr>
        <w:pStyle w:val="Citationenretrait"/>
        <w:rPr>
          <w:lang w:val="en-CA"/>
        </w:rPr>
      </w:pPr>
      <w:r w:rsidRPr="00993732">
        <w:rPr>
          <w:lang w:val="en-CA"/>
        </w:rPr>
        <w:t>During cross-examination, he consistently maintained the same version of events that he had given during direct examination. Another witness was heard, but he was not relevant and contributed nothing to the debate</w:t>
      </w:r>
      <w:r w:rsidR="00276A1F" w:rsidRPr="000E73A2">
        <w:rPr>
          <w:lang w:val="en-CA"/>
        </w:rPr>
        <w:t>.</w:t>
      </w:r>
    </w:p>
    <w:p w14:paraId="676FBF49" w14:textId="01599E78" w:rsidR="00276A1F" w:rsidRPr="000E73A2" w:rsidRDefault="00993732" w:rsidP="00B21BF4">
      <w:pPr>
        <w:pStyle w:val="Paragraphe"/>
        <w:spacing w:before="180" w:after="180" w:line="280" w:lineRule="exact"/>
        <w:rPr>
          <w:lang w:val="en-CA"/>
        </w:rPr>
      </w:pPr>
      <w:r>
        <w:rPr>
          <w:lang w:val="en-CA"/>
        </w:rPr>
        <w:t>With respect to applicable law, the judge referred to</w:t>
      </w:r>
      <w:r w:rsidR="00276A1F" w:rsidRPr="000E73A2">
        <w:rPr>
          <w:lang w:val="en-CA"/>
        </w:rPr>
        <w:t xml:space="preserve"> </w:t>
      </w:r>
      <w:r w:rsidR="00276A1F" w:rsidRPr="000E73A2">
        <w:rPr>
          <w:i/>
          <w:iCs/>
          <w:lang w:val="en-CA"/>
        </w:rPr>
        <w:t>W.(D.)</w:t>
      </w:r>
      <w:r>
        <w:rPr>
          <w:i/>
          <w:iCs/>
          <w:lang w:val="en-CA"/>
        </w:rPr>
        <w:t>,</w:t>
      </w:r>
      <w:r w:rsidR="00276A1F" w:rsidRPr="000E73A2">
        <w:rPr>
          <w:vertAlign w:val="superscript"/>
          <w:lang w:val="en-CA"/>
        </w:rPr>
        <w:footnoteReference w:id="7"/>
      </w:r>
      <w:r>
        <w:rPr>
          <w:lang w:val="en-CA"/>
        </w:rPr>
        <w:t xml:space="preserve"> </w:t>
      </w:r>
      <w:r w:rsidRPr="00993732">
        <w:rPr>
          <w:lang w:val="en-CA"/>
        </w:rPr>
        <w:t xml:space="preserve">because there </w:t>
      </w:r>
      <w:r>
        <w:rPr>
          <w:lang w:val="en-CA"/>
        </w:rPr>
        <w:t>we</w:t>
      </w:r>
      <w:r w:rsidRPr="00993732">
        <w:rPr>
          <w:lang w:val="en-CA"/>
        </w:rPr>
        <w:t xml:space="preserve">re conflicting versions. </w:t>
      </w:r>
      <w:r w:rsidR="00D95A56">
        <w:rPr>
          <w:lang w:val="en-CA"/>
        </w:rPr>
        <w:t>Regarding</w:t>
      </w:r>
      <w:r w:rsidRPr="00993732">
        <w:rPr>
          <w:lang w:val="en-CA"/>
        </w:rPr>
        <w:t xml:space="preserve"> the principles applicable to consent, the judge cite</w:t>
      </w:r>
      <w:r>
        <w:rPr>
          <w:lang w:val="en-CA"/>
        </w:rPr>
        <w:t>d</w:t>
      </w:r>
      <w:r w:rsidRPr="00993732">
        <w:rPr>
          <w:lang w:val="en-CA"/>
        </w:rPr>
        <w:t xml:space="preserve"> </w:t>
      </w:r>
      <w:r w:rsidR="00276A1F" w:rsidRPr="000E73A2">
        <w:rPr>
          <w:i/>
          <w:iCs/>
          <w:lang w:val="en-CA"/>
        </w:rPr>
        <w:t>G.F.</w:t>
      </w:r>
      <w:r w:rsidR="00276A1F" w:rsidRPr="000E73A2">
        <w:rPr>
          <w:rStyle w:val="Appelnotedebasdep"/>
          <w:lang w:val="en-CA"/>
        </w:rPr>
        <w:footnoteReference w:id="8"/>
      </w:r>
      <w:r w:rsidR="00276A1F" w:rsidRPr="000E73A2">
        <w:rPr>
          <w:lang w:val="en-CA"/>
        </w:rPr>
        <w:t xml:space="preserve"> </w:t>
      </w:r>
      <w:r w:rsidR="00D95A56">
        <w:rPr>
          <w:lang w:val="en-CA"/>
        </w:rPr>
        <w:t>as to</w:t>
      </w:r>
      <w:r>
        <w:rPr>
          <w:lang w:val="en-CA"/>
        </w:rPr>
        <w:t xml:space="preserve"> the complainant’s capacity to consent</w:t>
      </w:r>
      <w:r w:rsidR="00276A1F" w:rsidRPr="000E73A2">
        <w:rPr>
          <w:lang w:val="en-CA"/>
        </w:rPr>
        <w:t xml:space="preserve">, </w:t>
      </w:r>
      <w:r w:rsidR="00276A1F" w:rsidRPr="000E73A2">
        <w:rPr>
          <w:i/>
          <w:iCs/>
          <w:lang w:val="en-CA"/>
        </w:rPr>
        <w:t>J.A.</w:t>
      </w:r>
      <w:r w:rsidR="00276A1F" w:rsidRPr="000E73A2">
        <w:rPr>
          <w:rStyle w:val="Appelnotedebasdep"/>
          <w:lang w:val="en-CA"/>
        </w:rPr>
        <w:footnoteReference w:id="9"/>
      </w:r>
      <w:r w:rsidR="00276A1F" w:rsidRPr="000E73A2">
        <w:rPr>
          <w:lang w:val="en-CA"/>
        </w:rPr>
        <w:t xml:space="preserve"> </w:t>
      </w:r>
      <w:r>
        <w:rPr>
          <w:lang w:val="en-CA"/>
        </w:rPr>
        <w:t>with respect to the requirement that there be consent throughout</w:t>
      </w:r>
      <w:r w:rsidR="009C2F46">
        <w:rPr>
          <w:lang w:val="en-CA"/>
        </w:rPr>
        <w:t xml:space="preserve"> the sexual activity </w:t>
      </w:r>
      <w:r w:rsidR="00D95A56">
        <w:rPr>
          <w:lang w:val="en-CA"/>
        </w:rPr>
        <w:t>as well as</w:t>
      </w:r>
      <w:r w:rsidR="00276A1F" w:rsidRPr="000E73A2">
        <w:rPr>
          <w:lang w:val="en-CA"/>
        </w:rPr>
        <w:t xml:space="preserve"> </w:t>
      </w:r>
      <w:r w:rsidR="00276A1F" w:rsidRPr="000E73A2">
        <w:rPr>
          <w:i/>
          <w:iCs/>
          <w:lang w:val="en-CA"/>
        </w:rPr>
        <w:t>Ewanchuk</w:t>
      </w:r>
      <w:r w:rsidR="009C2F46" w:rsidRPr="009C2F46">
        <w:rPr>
          <w:lang w:val="en-CA"/>
        </w:rPr>
        <w:t>.</w:t>
      </w:r>
      <w:r w:rsidR="00276A1F" w:rsidRPr="000E73A2">
        <w:rPr>
          <w:vertAlign w:val="superscript"/>
          <w:lang w:val="en-CA"/>
        </w:rPr>
        <w:footnoteReference w:id="10"/>
      </w:r>
    </w:p>
    <w:p w14:paraId="450A5119" w14:textId="1A28D529" w:rsidR="00276A1F" w:rsidRPr="000E73A2" w:rsidRDefault="00276A1F" w:rsidP="00B21BF4">
      <w:pPr>
        <w:pStyle w:val="Paragraphe"/>
        <w:spacing w:before="180" w:after="180" w:line="280" w:lineRule="exact"/>
        <w:rPr>
          <w:lang w:val="en-CA"/>
        </w:rPr>
      </w:pPr>
      <w:r w:rsidRPr="000E73A2">
        <w:rPr>
          <w:lang w:val="en-CA"/>
        </w:rPr>
        <w:t>Final</w:t>
      </w:r>
      <w:r w:rsidR="009C2F46">
        <w:rPr>
          <w:lang w:val="en-CA"/>
        </w:rPr>
        <w:t>ly</w:t>
      </w:r>
      <w:r w:rsidRPr="000E73A2">
        <w:rPr>
          <w:lang w:val="en-CA"/>
        </w:rPr>
        <w:t xml:space="preserve">, </w:t>
      </w:r>
      <w:r w:rsidR="009C2F46">
        <w:rPr>
          <w:lang w:val="en-CA"/>
        </w:rPr>
        <w:t>the judge explained his findings</w:t>
      </w:r>
      <w:r w:rsidRPr="000E73A2">
        <w:rPr>
          <w:lang w:val="en-CA"/>
        </w:rPr>
        <w:t>:</w:t>
      </w:r>
    </w:p>
    <w:p w14:paraId="0B1E86AB" w14:textId="65792118" w:rsidR="006851A2" w:rsidRDefault="006851A2" w:rsidP="00187BA6">
      <w:pPr>
        <w:pStyle w:val="Citationenretrait"/>
        <w:rPr>
          <w:lang w:val="en-CA"/>
        </w:rPr>
      </w:pPr>
      <w:r w:rsidRPr="00BB2511">
        <w:rPr>
          <w:smallCaps/>
          <w:lang w:val="en-CA"/>
        </w:rPr>
        <w:t>[</w:t>
      </w:r>
      <w:r w:rsidR="008C6D73">
        <w:rPr>
          <w:smallCaps/>
          <w:lang w:val="en-CA"/>
        </w:rPr>
        <w:t>t</w:t>
      </w:r>
      <w:r w:rsidRPr="00BB2511">
        <w:rPr>
          <w:smallCaps/>
          <w:lang w:val="en-CA"/>
        </w:rPr>
        <w:t>ranslation]</w:t>
      </w:r>
    </w:p>
    <w:p w14:paraId="37D61668" w14:textId="4CF26BCD" w:rsidR="00276A1F" w:rsidRPr="000E73A2" w:rsidRDefault="009C2F46" w:rsidP="00187BA6">
      <w:pPr>
        <w:pStyle w:val="Citationenretrait"/>
        <w:rPr>
          <w:lang w:val="en-CA"/>
        </w:rPr>
      </w:pPr>
      <w:r w:rsidRPr="009C2F46">
        <w:rPr>
          <w:lang w:val="en-CA"/>
        </w:rPr>
        <w:t>So, as the Court has found, these are completely different versions</w:t>
      </w:r>
      <w:r w:rsidR="00276A1F" w:rsidRPr="000E73A2">
        <w:rPr>
          <w:lang w:val="en-CA"/>
        </w:rPr>
        <w:t>.</w:t>
      </w:r>
    </w:p>
    <w:p w14:paraId="2B2663F5" w14:textId="14AB1809" w:rsidR="00276A1F" w:rsidRPr="000E73A2" w:rsidRDefault="009C2F46" w:rsidP="00187BA6">
      <w:pPr>
        <w:pStyle w:val="Citationenretrait"/>
        <w:rPr>
          <w:lang w:val="en-CA"/>
        </w:rPr>
      </w:pPr>
      <w:r w:rsidRPr="009C2F46">
        <w:rPr>
          <w:lang w:val="en-CA"/>
        </w:rPr>
        <w:t xml:space="preserve">With regard to the bottle incident, the </w:t>
      </w:r>
      <w:r>
        <w:rPr>
          <w:lang w:val="en-CA"/>
        </w:rPr>
        <w:t>Court</w:t>
      </w:r>
      <w:r w:rsidRPr="009C2F46">
        <w:rPr>
          <w:lang w:val="en-CA"/>
        </w:rPr>
        <w:t xml:space="preserve"> has reasonable doubt because, during cross-examination, the complainant even admitted that he may not have </w:t>
      </w:r>
      <w:r w:rsidR="00D95A56">
        <w:rPr>
          <w:lang w:val="en-CA"/>
        </w:rPr>
        <w:t xml:space="preserve">been </w:t>
      </w:r>
      <w:r w:rsidRPr="009C2F46">
        <w:rPr>
          <w:lang w:val="en-CA"/>
        </w:rPr>
        <w:t>aim</w:t>
      </w:r>
      <w:r w:rsidR="00D95A56">
        <w:rPr>
          <w:lang w:val="en-CA"/>
        </w:rPr>
        <w:t>ing</w:t>
      </w:r>
      <w:r w:rsidRPr="009C2F46">
        <w:rPr>
          <w:lang w:val="en-CA"/>
        </w:rPr>
        <w:t xml:space="preserve"> at her. Consequently, he is acquitted of the fourth charge, namely, assault with a weapon</w:t>
      </w:r>
      <w:r w:rsidR="00276A1F" w:rsidRPr="000E73A2">
        <w:rPr>
          <w:lang w:val="en-CA"/>
        </w:rPr>
        <w:t>.</w:t>
      </w:r>
    </w:p>
    <w:p w14:paraId="7AD56F1D" w14:textId="344C3DE4" w:rsidR="00276A1F" w:rsidRPr="000E73A2" w:rsidRDefault="009C2F46" w:rsidP="00187BA6">
      <w:pPr>
        <w:pStyle w:val="Citationenretrait"/>
        <w:rPr>
          <w:lang w:val="en-CA"/>
        </w:rPr>
      </w:pPr>
      <w:r w:rsidRPr="009C2F46">
        <w:rPr>
          <w:lang w:val="en-CA"/>
        </w:rPr>
        <w:lastRenderedPageBreak/>
        <w:t xml:space="preserve">With regard to the other events, the Court listened </w:t>
      </w:r>
      <w:r w:rsidR="00D95A56" w:rsidRPr="009C2F46">
        <w:rPr>
          <w:lang w:val="en-CA"/>
        </w:rPr>
        <w:t xml:space="preserve">to the accused </w:t>
      </w:r>
      <w:r w:rsidRPr="009C2F46">
        <w:rPr>
          <w:lang w:val="en-CA"/>
        </w:rPr>
        <w:t xml:space="preserve">very carefully. It believes his </w:t>
      </w:r>
      <w:r w:rsidR="00D95A56">
        <w:rPr>
          <w:lang w:val="en-CA"/>
        </w:rPr>
        <w:t xml:space="preserve">entire </w:t>
      </w:r>
      <w:r w:rsidRPr="009C2F46">
        <w:rPr>
          <w:lang w:val="en-CA"/>
        </w:rPr>
        <w:t>testimony. He provide</w:t>
      </w:r>
      <w:r>
        <w:rPr>
          <w:lang w:val="en-CA"/>
        </w:rPr>
        <w:t>d</w:t>
      </w:r>
      <w:r w:rsidRPr="009C2F46">
        <w:rPr>
          <w:lang w:val="en-CA"/>
        </w:rPr>
        <w:t xml:space="preserve"> details that are</w:t>
      </w:r>
      <w:r>
        <w:rPr>
          <w:lang w:val="en-CA"/>
        </w:rPr>
        <w:t xml:space="preserve"> both</w:t>
      </w:r>
      <w:r w:rsidRPr="009C2F46">
        <w:rPr>
          <w:lang w:val="en-CA"/>
        </w:rPr>
        <w:t xml:space="preserve"> plausible and truthful, and his testimony appears sincere</w:t>
      </w:r>
      <w:r w:rsidR="00276A1F" w:rsidRPr="000E73A2">
        <w:rPr>
          <w:lang w:val="en-CA"/>
        </w:rPr>
        <w:t>.</w:t>
      </w:r>
    </w:p>
    <w:p w14:paraId="6914A5D1" w14:textId="1B616C3D" w:rsidR="00276A1F" w:rsidRPr="000E73A2" w:rsidRDefault="009C2F46" w:rsidP="00187BA6">
      <w:pPr>
        <w:pStyle w:val="Citationenretrait"/>
        <w:rPr>
          <w:lang w:val="en-CA"/>
        </w:rPr>
      </w:pPr>
      <w:r w:rsidRPr="009C2F46">
        <w:rPr>
          <w:lang w:val="en-CA"/>
        </w:rPr>
        <w:t xml:space="preserve">Another factor that tips the balance is the fact that she did not want shared custody; she wanted full and complete custody. And when we look at the sequence of events, three (3) days or </w:t>
      </w:r>
      <w:r w:rsidR="00D95A56">
        <w:rPr>
          <w:lang w:val="en-CA"/>
        </w:rPr>
        <w:t>so</w:t>
      </w:r>
      <w:r w:rsidRPr="009C2F46">
        <w:rPr>
          <w:lang w:val="en-CA"/>
        </w:rPr>
        <w:t xml:space="preserve"> before the </w:t>
      </w:r>
      <w:r>
        <w:rPr>
          <w:lang w:val="en-CA"/>
        </w:rPr>
        <w:t>accused</w:t>
      </w:r>
      <w:r w:rsidRPr="009C2F46">
        <w:rPr>
          <w:lang w:val="en-CA"/>
        </w:rPr>
        <w:t xml:space="preserve">'s </w:t>
      </w:r>
      <w:r>
        <w:rPr>
          <w:lang w:val="en-CA"/>
        </w:rPr>
        <w:t>motion</w:t>
      </w:r>
      <w:r w:rsidRPr="009C2F46">
        <w:rPr>
          <w:lang w:val="en-CA"/>
        </w:rPr>
        <w:t xml:space="preserve"> was heard in Superior Court, he was arrested. Also, in her letter, she always mention</w:t>
      </w:r>
      <w:r>
        <w:rPr>
          <w:lang w:val="en-CA"/>
        </w:rPr>
        <w:t>ed</w:t>
      </w:r>
      <w:r w:rsidRPr="009C2F46">
        <w:rPr>
          <w:lang w:val="en-CA"/>
        </w:rPr>
        <w:t xml:space="preserve"> that she want</w:t>
      </w:r>
      <w:r>
        <w:rPr>
          <w:lang w:val="en-CA"/>
        </w:rPr>
        <w:t>ed</w:t>
      </w:r>
      <w:r w:rsidRPr="009C2F46">
        <w:rPr>
          <w:lang w:val="en-CA"/>
        </w:rPr>
        <w:t xml:space="preserve"> custody of the</w:t>
      </w:r>
      <w:r w:rsidR="0042702E">
        <w:rPr>
          <w:lang w:val="en-CA"/>
        </w:rPr>
        <w:t xml:space="preserve"> </w:t>
      </w:r>
      <w:r w:rsidRPr="009C2F46">
        <w:rPr>
          <w:lang w:val="en-CA"/>
        </w:rPr>
        <w:t>children</w:t>
      </w:r>
      <w:r w:rsidR="00D95A56">
        <w:rPr>
          <w:lang w:val="en-CA"/>
        </w:rPr>
        <w:t>,</w:t>
      </w:r>
      <w:r w:rsidRPr="009C2F46">
        <w:rPr>
          <w:lang w:val="en-CA"/>
        </w:rPr>
        <w:t xml:space="preserve"> and she insist</w:t>
      </w:r>
      <w:r>
        <w:rPr>
          <w:lang w:val="en-CA"/>
        </w:rPr>
        <w:t>ed</w:t>
      </w:r>
      <w:r w:rsidRPr="009C2F46">
        <w:rPr>
          <w:lang w:val="en-CA"/>
        </w:rPr>
        <w:t xml:space="preserve"> on this point, repeating it several times during their arguments. This leaves the Court very sceptical</w:t>
      </w:r>
      <w:r w:rsidR="00276A1F" w:rsidRPr="000E73A2">
        <w:rPr>
          <w:lang w:val="en-CA"/>
        </w:rPr>
        <w:t>.</w:t>
      </w:r>
    </w:p>
    <w:p w14:paraId="582A2D8C" w14:textId="1C6A3C9B" w:rsidR="00276A1F" w:rsidRPr="000E73A2" w:rsidRDefault="002C0DD9" w:rsidP="00187BA6">
      <w:pPr>
        <w:pStyle w:val="Citationenretrait"/>
        <w:rPr>
          <w:lang w:val="en-CA"/>
        </w:rPr>
      </w:pPr>
      <w:r w:rsidRPr="002C0DD9">
        <w:rPr>
          <w:lang w:val="en-CA"/>
        </w:rPr>
        <w:t xml:space="preserve">Also, most of the events took place after they had </w:t>
      </w:r>
      <w:r w:rsidR="00EE2D5E">
        <w:rPr>
          <w:lang w:val="en-CA"/>
        </w:rPr>
        <w:t>engaged in heavy</w:t>
      </w:r>
      <w:r w:rsidRPr="002C0DD9">
        <w:rPr>
          <w:lang w:val="en-CA"/>
        </w:rPr>
        <w:t xml:space="preserve"> drinking</w:t>
      </w:r>
      <w:r w:rsidR="0057313E">
        <w:rPr>
          <w:lang w:val="en-CA"/>
        </w:rPr>
        <w:t xml:space="preserve"> that evening</w:t>
      </w:r>
      <w:r w:rsidR="00276A1F" w:rsidRPr="000E73A2">
        <w:rPr>
          <w:lang w:val="en-CA"/>
        </w:rPr>
        <w:t>.</w:t>
      </w:r>
    </w:p>
    <w:p w14:paraId="65223FE7" w14:textId="7982C6A2" w:rsidR="00276A1F" w:rsidRPr="000E73A2" w:rsidRDefault="002C0DD9" w:rsidP="00187BA6">
      <w:pPr>
        <w:pStyle w:val="Citationenretrait"/>
        <w:rPr>
          <w:lang w:val="en-CA"/>
        </w:rPr>
      </w:pPr>
      <w:r w:rsidRPr="002C0DD9">
        <w:rPr>
          <w:lang w:val="en-CA"/>
        </w:rPr>
        <w:t xml:space="preserve">Furthermore, the Court considers that, taking into account the entire </w:t>
      </w:r>
      <w:r w:rsidR="00BA178B">
        <w:rPr>
          <w:lang w:val="en-CA"/>
        </w:rPr>
        <w:t>encounter</w:t>
      </w:r>
      <w:r w:rsidRPr="002C0DD9">
        <w:rPr>
          <w:lang w:val="en-CA"/>
        </w:rPr>
        <w:t xml:space="preserve"> that took place, the Court cannot reach any other conclusion than that there was informed consent</w:t>
      </w:r>
      <w:r w:rsidR="00276A1F" w:rsidRPr="000E73A2">
        <w:rPr>
          <w:lang w:val="en-CA"/>
        </w:rPr>
        <w:t>.</w:t>
      </w:r>
    </w:p>
    <w:p w14:paraId="6DFA7E45" w14:textId="2B55EA8F" w:rsidR="00276A1F" w:rsidRPr="000E73A2" w:rsidRDefault="002C0DD9" w:rsidP="00187BA6">
      <w:pPr>
        <w:pStyle w:val="Citationenretrait"/>
        <w:rPr>
          <w:lang w:val="en-CA"/>
        </w:rPr>
      </w:pPr>
      <w:r w:rsidRPr="002C0DD9">
        <w:rPr>
          <w:lang w:val="en-CA"/>
        </w:rPr>
        <w:t xml:space="preserve">And with regard to the </w:t>
      </w:r>
      <w:r>
        <w:rPr>
          <w:lang w:val="en-CA"/>
        </w:rPr>
        <w:t xml:space="preserve">event in the </w:t>
      </w:r>
      <w:r w:rsidRPr="002C0DD9">
        <w:rPr>
          <w:lang w:val="en-CA"/>
        </w:rPr>
        <w:t xml:space="preserve">bath, believing the </w:t>
      </w:r>
      <w:r>
        <w:rPr>
          <w:lang w:val="en-CA"/>
        </w:rPr>
        <w:t>accused</w:t>
      </w:r>
      <w:r w:rsidRPr="002C0DD9">
        <w:rPr>
          <w:lang w:val="en-CA"/>
        </w:rPr>
        <w:t xml:space="preserve">, the Court considers that consent was given and that it was </w:t>
      </w:r>
      <w:r w:rsidR="00BA178B">
        <w:rPr>
          <w:lang w:val="en-CA"/>
        </w:rPr>
        <w:t>abided by</w:t>
      </w:r>
      <w:r w:rsidR="00276A1F" w:rsidRPr="000E73A2">
        <w:rPr>
          <w:lang w:val="en-CA"/>
        </w:rPr>
        <w:t>.</w:t>
      </w:r>
    </w:p>
    <w:p w14:paraId="3DCB18D9" w14:textId="074B0B7A" w:rsidR="00276A1F" w:rsidRPr="000E73A2" w:rsidRDefault="002C0DD9" w:rsidP="00187BA6">
      <w:pPr>
        <w:pStyle w:val="Citationenretrait"/>
        <w:rPr>
          <w:lang w:val="en-CA"/>
        </w:rPr>
      </w:pPr>
      <w:r w:rsidRPr="002C0DD9">
        <w:rPr>
          <w:lang w:val="en-CA"/>
        </w:rPr>
        <w:t xml:space="preserve">With regard to the other acts of assault, namely the fact that he grabbed her wrists </w:t>
      </w:r>
      <w:r>
        <w:rPr>
          <w:lang w:val="en-CA"/>
        </w:rPr>
        <w:t>or that he</w:t>
      </w:r>
      <w:r w:rsidRPr="002C0DD9">
        <w:rPr>
          <w:lang w:val="en-CA"/>
        </w:rPr>
        <w:t xml:space="preserve"> snatched the camera from her, </w:t>
      </w:r>
      <w:r>
        <w:rPr>
          <w:lang w:val="en-CA"/>
        </w:rPr>
        <w:t>his</w:t>
      </w:r>
      <w:r w:rsidRPr="002C0DD9">
        <w:rPr>
          <w:lang w:val="en-CA"/>
        </w:rPr>
        <w:t xml:space="preserve"> testimony is also credible and I believe </w:t>
      </w:r>
      <w:r>
        <w:rPr>
          <w:lang w:val="en-CA"/>
        </w:rPr>
        <w:t>him</w:t>
      </w:r>
      <w:r w:rsidR="00276A1F" w:rsidRPr="000E73A2">
        <w:rPr>
          <w:lang w:val="en-CA"/>
        </w:rPr>
        <w:t>.</w:t>
      </w:r>
    </w:p>
    <w:p w14:paraId="3385195F" w14:textId="5948C8A2" w:rsidR="00276A1F" w:rsidRPr="000E73A2" w:rsidRDefault="002C0DD9" w:rsidP="00187BA6">
      <w:pPr>
        <w:pStyle w:val="Citationenretrait"/>
        <w:rPr>
          <w:lang w:val="en-CA"/>
        </w:rPr>
      </w:pPr>
      <w:bookmarkStart w:id="15" w:name="_Hlk202369325"/>
      <w:r w:rsidRPr="002C0DD9">
        <w:rPr>
          <w:lang w:val="en-CA"/>
        </w:rPr>
        <w:t>Another factor that the Court considers is that she mention</w:t>
      </w:r>
      <w:r>
        <w:rPr>
          <w:lang w:val="en-CA"/>
        </w:rPr>
        <w:t>ed</w:t>
      </w:r>
      <w:r w:rsidRPr="002C0DD9">
        <w:rPr>
          <w:lang w:val="en-CA"/>
        </w:rPr>
        <w:t xml:space="preserve"> several times that she </w:t>
      </w:r>
      <w:r>
        <w:rPr>
          <w:lang w:val="en-CA"/>
        </w:rPr>
        <w:t>wa</w:t>
      </w:r>
      <w:r w:rsidRPr="002C0DD9">
        <w:rPr>
          <w:lang w:val="en-CA"/>
        </w:rPr>
        <w:t xml:space="preserve">s afraid of him. However, it should not be forgotten that on </w:t>
      </w:r>
      <w:r w:rsidR="002274E4">
        <w:rPr>
          <w:lang w:val="en-CA"/>
        </w:rPr>
        <w:t>his birthday</w:t>
      </w:r>
      <w:r w:rsidRPr="002C0DD9">
        <w:rPr>
          <w:lang w:val="en-CA"/>
        </w:rPr>
        <w:t xml:space="preserve">, she gave him an introductory </w:t>
      </w:r>
      <w:r w:rsidR="00622A42">
        <w:rPr>
          <w:lang w:val="en-CA"/>
        </w:rPr>
        <w:t>course</w:t>
      </w:r>
      <w:r w:rsidRPr="002C0DD9">
        <w:rPr>
          <w:lang w:val="en-CA"/>
        </w:rPr>
        <w:t xml:space="preserve"> in handgun use</w:t>
      </w:r>
      <w:bookmarkEnd w:id="15"/>
      <w:r w:rsidR="00276A1F" w:rsidRPr="000E73A2">
        <w:rPr>
          <w:lang w:val="en-CA"/>
        </w:rPr>
        <w:t>.</w:t>
      </w:r>
    </w:p>
    <w:p w14:paraId="142B1181" w14:textId="4AEA82DC" w:rsidR="00276A1F" w:rsidRPr="000E73A2" w:rsidRDefault="002C0DD9" w:rsidP="00187BA6">
      <w:pPr>
        <w:pStyle w:val="Citationenretrait"/>
        <w:rPr>
          <w:lang w:val="en-CA"/>
        </w:rPr>
      </w:pPr>
      <w:r>
        <w:rPr>
          <w:lang w:val="en-CA"/>
        </w:rPr>
        <w:t xml:space="preserve">This couple </w:t>
      </w:r>
      <w:r w:rsidR="002274E4">
        <w:rPr>
          <w:lang w:val="en-CA"/>
        </w:rPr>
        <w:t>was</w:t>
      </w:r>
      <w:r>
        <w:rPr>
          <w:lang w:val="en-CA"/>
        </w:rPr>
        <w:t xml:space="preserve"> in</w:t>
      </w:r>
      <w:r w:rsidRPr="002C0DD9">
        <w:rPr>
          <w:lang w:val="en-CA"/>
        </w:rPr>
        <w:t xml:space="preserve"> a very unhealthy relationsh</w:t>
      </w:r>
      <w:r>
        <w:rPr>
          <w:lang w:val="en-CA"/>
        </w:rPr>
        <w:t>i</w:t>
      </w:r>
      <w:r w:rsidRPr="002C0DD9">
        <w:rPr>
          <w:lang w:val="en-CA"/>
        </w:rPr>
        <w:t>p, and I hope they can find common ground for the sake of the children</w:t>
      </w:r>
      <w:r w:rsidR="00276A1F" w:rsidRPr="000E73A2">
        <w:rPr>
          <w:lang w:val="en-CA"/>
        </w:rPr>
        <w:t>.</w:t>
      </w:r>
    </w:p>
    <w:p w14:paraId="534B39FC" w14:textId="4329AACC" w:rsidR="00276A1F" w:rsidRPr="000E73A2" w:rsidRDefault="00C75E7D" w:rsidP="00187BA6">
      <w:pPr>
        <w:pStyle w:val="Citationenretrait"/>
        <w:rPr>
          <w:lang w:val="en-CA"/>
        </w:rPr>
      </w:pPr>
      <w:r w:rsidRPr="00C75E7D">
        <w:rPr>
          <w:lang w:val="en-CA"/>
        </w:rPr>
        <w:t xml:space="preserve">Therefore, in light of all the above, the Court </w:t>
      </w:r>
      <w:r w:rsidR="005A1803">
        <w:rPr>
          <w:lang w:val="en-CA"/>
        </w:rPr>
        <w:t>finds</w:t>
      </w:r>
      <w:r w:rsidRPr="00C75E7D">
        <w:rPr>
          <w:lang w:val="en-CA"/>
        </w:rPr>
        <w:t xml:space="preserve"> that there is reasonable doubt </w:t>
      </w:r>
      <w:r w:rsidR="005A1803">
        <w:rPr>
          <w:lang w:val="en-CA"/>
        </w:rPr>
        <w:t>in favour of</w:t>
      </w:r>
      <w:r w:rsidRPr="00C75E7D">
        <w:rPr>
          <w:lang w:val="en-CA"/>
        </w:rPr>
        <w:t xml:space="preserve"> </w:t>
      </w:r>
      <w:r w:rsidR="005A1803">
        <w:rPr>
          <w:lang w:val="en-CA"/>
        </w:rPr>
        <w:t xml:space="preserve">the accused and </w:t>
      </w:r>
      <w:r w:rsidRPr="00C75E7D">
        <w:rPr>
          <w:lang w:val="en-CA"/>
        </w:rPr>
        <w:t xml:space="preserve">acquits </w:t>
      </w:r>
      <w:r w:rsidR="002274E4">
        <w:rPr>
          <w:lang w:val="en-CA"/>
        </w:rPr>
        <w:t>him</w:t>
      </w:r>
      <w:r w:rsidRPr="00C75E7D">
        <w:rPr>
          <w:lang w:val="en-CA"/>
        </w:rPr>
        <w:t xml:space="preserve"> of all charges</w:t>
      </w:r>
      <w:r w:rsidR="00276A1F" w:rsidRPr="000E73A2">
        <w:rPr>
          <w:lang w:val="en-CA"/>
        </w:rPr>
        <w:t>.</w:t>
      </w:r>
    </w:p>
    <w:p w14:paraId="0F81AAE0" w14:textId="6A901D0C" w:rsidR="00276A1F" w:rsidRPr="000E73A2" w:rsidRDefault="005A1803" w:rsidP="00E338D8">
      <w:pPr>
        <w:pStyle w:val="Paragraphe"/>
        <w:keepNext/>
        <w:numPr>
          <w:ilvl w:val="0"/>
          <w:numId w:val="0"/>
        </w:numPr>
        <w:rPr>
          <w:b/>
          <w:bCs/>
          <w:lang w:val="en-CA"/>
        </w:rPr>
      </w:pPr>
      <w:r>
        <w:rPr>
          <w:b/>
          <w:bCs/>
          <w:lang w:val="en-CA"/>
        </w:rPr>
        <w:lastRenderedPageBreak/>
        <w:t xml:space="preserve">The </w:t>
      </w:r>
      <w:r w:rsidR="003A73B0">
        <w:rPr>
          <w:b/>
          <w:bCs/>
          <w:lang w:val="en-CA"/>
        </w:rPr>
        <w:t>g</w:t>
      </w:r>
      <w:r w:rsidRPr="005A1803">
        <w:rPr>
          <w:b/>
          <w:bCs/>
          <w:lang w:val="en-CA"/>
        </w:rPr>
        <w:t xml:space="preserve">iving of </w:t>
      </w:r>
      <w:r w:rsidR="003A73B0">
        <w:rPr>
          <w:b/>
          <w:bCs/>
          <w:lang w:val="en-CA"/>
        </w:rPr>
        <w:t>r</w:t>
      </w:r>
      <w:r w:rsidRPr="005A1803">
        <w:rPr>
          <w:b/>
          <w:bCs/>
          <w:lang w:val="en-CA"/>
        </w:rPr>
        <w:t xml:space="preserve">easoned </w:t>
      </w:r>
      <w:r w:rsidR="003A73B0">
        <w:rPr>
          <w:b/>
          <w:bCs/>
          <w:lang w:val="en-CA"/>
        </w:rPr>
        <w:t>j</w:t>
      </w:r>
      <w:r w:rsidRPr="005A1803">
        <w:rPr>
          <w:b/>
          <w:bCs/>
          <w:lang w:val="en-CA"/>
        </w:rPr>
        <w:t>udgments</w:t>
      </w:r>
      <w:r w:rsidR="00276A1F" w:rsidRPr="000E73A2">
        <w:rPr>
          <w:b/>
          <w:bCs/>
          <w:lang w:val="en-CA"/>
        </w:rPr>
        <w:t xml:space="preserve">: </w:t>
      </w:r>
      <w:r w:rsidR="003A73B0">
        <w:rPr>
          <w:b/>
          <w:bCs/>
          <w:lang w:val="en-CA"/>
        </w:rPr>
        <w:t>a</w:t>
      </w:r>
      <w:r>
        <w:rPr>
          <w:b/>
          <w:bCs/>
          <w:lang w:val="en-CA"/>
        </w:rPr>
        <w:t xml:space="preserve">pplicable </w:t>
      </w:r>
      <w:r w:rsidR="003A73B0">
        <w:rPr>
          <w:b/>
          <w:bCs/>
          <w:lang w:val="en-CA"/>
        </w:rPr>
        <w:t>p</w:t>
      </w:r>
      <w:r>
        <w:rPr>
          <w:b/>
          <w:bCs/>
          <w:lang w:val="en-CA"/>
        </w:rPr>
        <w:t>rinciples</w:t>
      </w:r>
    </w:p>
    <w:p w14:paraId="7C8504C0" w14:textId="11DD5A4B" w:rsidR="00276A1F" w:rsidRPr="000E73A2" w:rsidRDefault="006851A2" w:rsidP="00E338D8">
      <w:pPr>
        <w:pStyle w:val="Paragraphe"/>
        <w:keepNext/>
        <w:spacing w:before="180" w:after="180" w:line="280" w:lineRule="exact"/>
        <w:rPr>
          <w:lang w:val="en-CA"/>
        </w:rPr>
      </w:pPr>
      <w:r w:rsidRPr="006851A2">
        <w:rPr>
          <w:lang w:val="en-CA"/>
        </w:rPr>
        <w:t xml:space="preserve">I believe it is essential to recall the principles applicable to the </w:t>
      </w:r>
      <w:r>
        <w:rPr>
          <w:lang w:val="en-CA"/>
        </w:rPr>
        <w:t>giving of reasoned</w:t>
      </w:r>
      <w:r w:rsidRPr="006851A2">
        <w:rPr>
          <w:lang w:val="en-CA"/>
        </w:rPr>
        <w:t xml:space="preserve"> judgments</w:t>
      </w:r>
      <w:r w:rsidR="00276A1F" w:rsidRPr="000E73A2">
        <w:rPr>
          <w:lang w:val="en-CA"/>
        </w:rPr>
        <w:t>.</w:t>
      </w:r>
    </w:p>
    <w:p w14:paraId="16142E7E" w14:textId="076B5CD2" w:rsidR="00276A1F" w:rsidRPr="000E73A2" w:rsidRDefault="006851A2" w:rsidP="00E338D8">
      <w:pPr>
        <w:pStyle w:val="Paragraphe"/>
        <w:keepNext/>
        <w:spacing w:before="180" w:after="180" w:line="280" w:lineRule="exact"/>
        <w:rPr>
          <w:lang w:val="en-CA"/>
        </w:rPr>
      </w:pPr>
      <w:r w:rsidRPr="006851A2">
        <w:rPr>
          <w:lang w:val="en-CA"/>
        </w:rPr>
        <w:t xml:space="preserve">The duty to </w:t>
      </w:r>
      <w:r w:rsidR="00E57438">
        <w:rPr>
          <w:lang w:val="en-CA"/>
        </w:rPr>
        <w:t>provide</w:t>
      </w:r>
      <w:r w:rsidRPr="006851A2">
        <w:rPr>
          <w:lang w:val="en-CA"/>
        </w:rPr>
        <w:t xml:space="preserve"> reasons for judgments is an essential </w:t>
      </w:r>
      <w:r w:rsidR="002274E4">
        <w:rPr>
          <w:lang w:val="en-CA"/>
        </w:rPr>
        <w:t>component</w:t>
      </w:r>
      <w:r w:rsidRPr="006851A2">
        <w:rPr>
          <w:lang w:val="en-CA"/>
        </w:rPr>
        <w:t xml:space="preserve"> </w:t>
      </w:r>
      <w:r w:rsidR="00CF36D8">
        <w:rPr>
          <w:lang w:val="en-CA"/>
        </w:rPr>
        <w:t>in</w:t>
      </w:r>
      <w:r w:rsidRPr="006851A2">
        <w:rPr>
          <w:lang w:val="en-CA"/>
        </w:rPr>
        <w:t xml:space="preserve"> the implementation of the </w:t>
      </w:r>
      <w:r>
        <w:rPr>
          <w:lang w:val="en-CA"/>
        </w:rPr>
        <w:t>open court principle</w:t>
      </w:r>
      <w:r w:rsidRPr="006851A2">
        <w:rPr>
          <w:lang w:val="en-CA"/>
        </w:rPr>
        <w:t xml:space="preserve">. This principle </w:t>
      </w:r>
      <w:r w:rsidR="007D6398">
        <w:rPr>
          <w:lang w:val="en-CA"/>
        </w:rPr>
        <w:t>embodies</w:t>
      </w:r>
      <w:r w:rsidRPr="006851A2">
        <w:rPr>
          <w:lang w:val="en-CA"/>
        </w:rPr>
        <w:t xml:space="preserve"> th</w:t>
      </w:r>
      <w:r w:rsidR="007D6398" w:rsidRPr="007D6398">
        <w:rPr>
          <w:lang w:val="en-CA"/>
        </w:rPr>
        <w:t>e importance of ensuring that justice be done openly</w:t>
      </w:r>
      <w:r w:rsidRPr="006851A2">
        <w:rPr>
          <w:lang w:val="en-CA"/>
        </w:rPr>
        <w:t xml:space="preserve">, an essential </w:t>
      </w:r>
      <w:r>
        <w:rPr>
          <w:lang w:val="en-CA"/>
        </w:rPr>
        <w:t>hallmark</w:t>
      </w:r>
      <w:r w:rsidRPr="006851A2">
        <w:rPr>
          <w:lang w:val="en-CA"/>
        </w:rPr>
        <w:t xml:space="preserve"> of a democratic society</w:t>
      </w:r>
      <w:r>
        <w:rPr>
          <w:lang w:val="en-CA"/>
        </w:rPr>
        <w:t>.</w:t>
      </w:r>
      <w:r w:rsidR="00276A1F" w:rsidRPr="000E73A2">
        <w:rPr>
          <w:rStyle w:val="Appelnotedebasdep"/>
          <w:lang w:val="en-CA"/>
        </w:rPr>
        <w:footnoteReference w:id="11"/>
      </w:r>
    </w:p>
    <w:p w14:paraId="1F484B40" w14:textId="25672EB6" w:rsidR="00276A1F" w:rsidRPr="000E73A2" w:rsidRDefault="007D6398" w:rsidP="00B21BF4">
      <w:pPr>
        <w:pStyle w:val="Paragraphe"/>
        <w:spacing w:before="180" w:after="180" w:line="280" w:lineRule="exact"/>
        <w:rPr>
          <w:lang w:val="en-CA"/>
        </w:rPr>
      </w:pPr>
      <w:r>
        <w:rPr>
          <w:lang w:val="en-CA"/>
        </w:rPr>
        <w:t xml:space="preserve">In </w:t>
      </w:r>
      <w:r w:rsidR="00276A1F" w:rsidRPr="000E73A2">
        <w:rPr>
          <w:i/>
          <w:iCs/>
          <w:lang w:val="en-CA"/>
        </w:rPr>
        <w:t>Sheppard</w:t>
      </w:r>
      <w:r w:rsidRPr="007D6398">
        <w:rPr>
          <w:lang w:val="en-CA"/>
        </w:rPr>
        <w:t>,</w:t>
      </w:r>
      <w:r w:rsidR="00276A1F" w:rsidRPr="000E73A2">
        <w:rPr>
          <w:rStyle w:val="Appelnotedebasdep"/>
          <w:lang w:val="en-CA"/>
        </w:rPr>
        <w:footnoteReference w:id="12"/>
      </w:r>
      <w:r w:rsidR="00276A1F" w:rsidRPr="000E73A2">
        <w:rPr>
          <w:lang w:val="en-CA"/>
        </w:rPr>
        <w:t xml:space="preserve"> Binnie</w:t>
      </w:r>
      <w:r>
        <w:rPr>
          <w:lang w:val="en-CA"/>
        </w:rPr>
        <w:t xml:space="preserve"> J.</w:t>
      </w:r>
      <w:r w:rsidR="00276A1F" w:rsidRPr="000E73A2">
        <w:rPr>
          <w:lang w:val="en-CA"/>
        </w:rPr>
        <w:t xml:space="preserve"> </w:t>
      </w:r>
      <w:r>
        <w:rPr>
          <w:lang w:val="en-CA"/>
        </w:rPr>
        <w:t>explain</w:t>
      </w:r>
      <w:r w:rsidR="00431D20">
        <w:rPr>
          <w:lang w:val="en-CA"/>
        </w:rPr>
        <w:t>ed</w:t>
      </w:r>
      <w:r>
        <w:rPr>
          <w:lang w:val="en-CA"/>
        </w:rPr>
        <w:t xml:space="preserve"> why the giving of reasons is</w:t>
      </w:r>
      <w:r w:rsidR="00276A1F" w:rsidRPr="000E73A2">
        <w:rPr>
          <w:lang w:val="en-CA"/>
        </w:rPr>
        <w:t xml:space="preserve"> </w:t>
      </w:r>
      <w:r>
        <w:rPr>
          <w:lang w:val="en-CA"/>
        </w:rPr>
        <w:t xml:space="preserve">the </w:t>
      </w:r>
      <w:r w:rsidRPr="007D6398">
        <w:rPr>
          <w:lang w:val="en-CA"/>
        </w:rPr>
        <w:t>pith and marrow</w:t>
      </w:r>
      <w:r>
        <w:rPr>
          <w:lang w:val="en-CA"/>
        </w:rPr>
        <w:t xml:space="preserve"> of</w:t>
      </w:r>
      <w:r w:rsidR="005F28B2">
        <w:rPr>
          <w:lang w:val="en-CA"/>
        </w:rPr>
        <w:t xml:space="preserve"> the judicial function</w:t>
      </w:r>
      <w:r w:rsidR="00276A1F" w:rsidRPr="000E73A2">
        <w:rPr>
          <w:lang w:val="en-CA"/>
        </w:rPr>
        <w:t>:</w:t>
      </w:r>
    </w:p>
    <w:p w14:paraId="337BA7EC" w14:textId="1B1A7027" w:rsidR="00276A1F" w:rsidRPr="000E73A2" w:rsidRDefault="00276A1F" w:rsidP="00187BA6">
      <w:pPr>
        <w:pStyle w:val="Citationenretrait"/>
        <w:rPr>
          <w:lang w:val="en-CA"/>
        </w:rPr>
      </w:pPr>
      <w:r w:rsidRPr="000E73A2">
        <w:rPr>
          <w:lang w:val="en-CA"/>
        </w:rPr>
        <w:t>[15]</w:t>
      </w:r>
      <w:r w:rsidRPr="000E73A2">
        <w:rPr>
          <w:lang w:val="en-CA"/>
        </w:rPr>
        <w:tab/>
      </w:r>
      <w:r w:rsidR="005A1803" w:rsidRPr="005A1803">
        <w:rPr>
          <w:lang w:val="en-CA"/>
        </w:rPr>
        <w:t xml:space="preserve">Reasons for judgment are the primary mechanism by which judges account to the parties and to the public for the decisions they render.  The courts frequently say that justice must not only be done but must be seen to be done, but critics respond that it is difficult to see how justice can be </w:t>
      </w:r>
      <w:r w:rsidR="005A1803" w:rsidRPr="00E57438">
        <w:rPr>
          <w:i/>
          <w:iCs/>
          <w:lang w:val="en-CA"/>
        </w:rPr>
        <w:t>seen</w:t>
      </w:r>
      <w:r w:rsidR="005A1803" w:rsidRPr="005A1803">
        <w:rPr>
          <w:lang w:val="en-CA"/>
        </w:rPr>
        <w:t xml:space="preserve"> to be done if judges fail to articulate the reasons for their actions.  Trial courts, where the essential findings of facts and drawing of inferences are done, can only be held properly to account if the reasons for their adjudication are transparent and accessible to the public and to the appellate courts</w:t>
      </w:r>
      <w:r w:rsidRPr="000E73A2">
        <w:rPr>
          <w:lang w:val="en-CA"/>
        </w:rPr>
        <w:t>.</w:t>
      </w:r>
    </w:p>
    <w:p w14:paraId="29E5E220" w14:textId="22E6B6DB" w:rsidR="00276A1F" w:rsidRPr="000E73A2" w:rsidRDefault="00431D20" w:rsidP="00B21BF4">
      <w:pPr>
        <w:pStyle w:val="Paragraphe"/>
        <w:spacing w:before="180" w:after="180" w:line="280" w:lineRule="exact"/>
        <w:rPr>
          <w:lang w:val="en-CA"/>
        </w:rPr>
      </w:pPr>
      <w:r>
        <w:rPr>
          <w:lang w:val="en-CA"/>
        </w:rPr>
        <w:t xml:space="preserve">In </w:t>
      </w:r>
      <w:r w:rsidR="00E57438">
        <w:rPr>
          <w:lang w:val="en-CA"/>
        </w:rPr>
        <w:t>sum</w:t>
      </w:r>
      <w:r w:rsidR="00276A1F" w:rsidRPr="000E73A2">
        <w:rPr>
          <w:lang w:val="en-CA"/>
        </w:rPr>
        <w:t xml:space="preserve">, </w:t>
      </w:r>
      <w:r w:rsidR="00222F92">
        <w:rPr>
          <w:lang w:val="en-CA"/>
        </w:rPr>
        <w:t>“[t]</w:t>
      </w:r>
      <w:r w:rsidR="00222F92" w:rsidRPr="00222F92">
        <w:rPr>
          <w:lang w:val="en-CA"/>
        </w:rPr>
        <w:t>he delivery of reasoned decisions is inherent in the judge’s role.  It is part of his or her accountability for the discharge of the responsibilities of the office.  In its most general sense, the obligation to provide reasons for a decision is owed to the public at large</w:t>
      </w:r>
      <w:r w:rsidR="00222F92">
        <w:rPr>
          <w:lang w:val="en-CA"/>
        </w:rPr>
        <w:t>.”</w:t>
      </w:r>
      <w:r w:rsidR="00276A1F" w:rsidRPr="000E73A2">
        <w:rPr>
          <w:rStyle w:val="Appelnotedebasdep"/>
          <w:lang w:val="en-CA"/>
        </w:rPr>
        <w:footnoteReference w:id="13"/>
      </w:r>
      <w:r w:rsidR="00222F92">
        <w:rPr>
          <w:lang w:val="en-CA"/>
        </w:rPr>
        <w:t xml:space="preserve"> </w:t>
      </w:r>
      <w:r>
        <w:rPr>
          <w:lang w:val="en-CA"/>
        </w:rPr>
        <w:t>This means that while a trial judgment may be succinct</w:t>
      </w:r>
      <w:r w:rsidR="00276A1F" w:rsidRPr="000E73A2">
        <w:rPr>
          <w:lang w:val="en-CA"/>
        </w:rPr>
        <w:t xml:space="preserve">, </w:t>
      </w:r>
      <w:r>
        <w:rPr>
          <w:lang w:val="en-CA"/>
        </w:rPr>
        <w:t>it must</w:t>
      </w:r>
      <w:r w:rsidR="00276A1F" w:rsidRPr="000E73A2">
        <w:rPr>
          <w:lang w:val="en-CA"/>
        </w:rPr>
        <w:t xml:space="preserve"> </w:t>
      </w:r>
      <w:r>
        <w:rPr>
          <w:lang w:val="en-CA"/>
        </w:rPr>
        <w:t xml:space="preserve">adequately </w:t>
      </w:r>
      <w:r w:rsidR="00B975C0">
        <w:rPr>
          <w:lang w:val="en-CA"/>
        </w:rPr>
        <w:t>“</w:t>
      </w:r>
      <w:r w:rsidR="00B975C0" w:rsidRPr="00B975C0">
        <w:rPr>
          <w:lang w:val="en-CA"/>
        </w:rPr>
        <w:t xml:space="preserve">flag the difficulties with the </w:t>
      </w:r>
      <w:r w:rsidR="00B975C0">
        <w:rPr>
          <w:lang w:val="en-CA"/>
        </w:rPr>
        <w:t>[…]</w:t>
      </w:r>
      <w:r w:rsidR="00B975C0" w:rsidRPr="00B975C0">
        <w:rPr>
          <w:lang w:val="en-CA"/>
        </w:rPr>
        <w:t xml:space="preserve"> evidence</w:t>
      </w:r>
      <w:r w:rsidR="00B975C0">
        <w:rPr>
          <w:lang w:val="en-CA"/>
        </w:rPr>
        <w:t>”</w:t>
      </w:r>
      <w:r w:rsidR="00276A1F" w:rsidRPr="000E73A2">
        <w:rPr>
          <w:lang w:val="en-CA"/>
        </w:rPr>
        <w:t xml:space="preserve"> </w:t>
      </w:r>
      <w:r>
        <w:rPr>
          <w:lang w:val="en-CA"/>
        </w:rPr>
        <w:t>led.</w:t>
      </w:r>
      <w:r w:rsidR="00276A1F" w:rsidRPr="000E73A2">
        <w:rPr>
          <w:rStyle w:val="Appelnotedebasdep"/>
          <w:lang w:val="en-CA"/>
        </w:rPr>
        <w:footnoteReference w:id="14"/>
      </w:r>
    </w:p>
    <w:p w14:paraId="7320B3D9" w14:textId="31515153" w:rsidR="00276A1F" w:rsidRPr="000E73A2" w:rsidRDefault="00431D20" w:rsidP="00B21BF4">
      <w:pPr>
        <w:pStyle w:val="Paragraphe"/>
        <w:spacing w:before="180" w:after="180" w:line="280" w:lineRule="exact"/>
        <w:rPr>
          <w:lang w:val="en-CA"/>
        </w:rPr>
      </w:pPr>
      <w:r>
        <w:rPr>
          <w:lang w:val="en-CA"/>
        </w:rPr>
        <w:t>It is true that</w:t>
      </w:r>
      <w:r w:rsidR="00276A1F" w:rsidRPr="000E73A2">
        <w:rPr>
          <w:lang w:val="en-CA"/>
        </w:rPr>
        <w:t xml:space="preserve"> </w:t>
      </w:r>
      <w:r w:rsidR="002F70F5">
        <w:rPr>
          <w:lang w:val="en-CA"/>
        </w:rPr>
        <w:t>[</w:t>
      </w:r>
      <w:r w:rsidR="002F70F5" w:rsidRPr="002F70F5">
        <w:rPr>
          <w:smallCaps/>
          <w:lang w:val="en-CA"/>
        </w:rPr>
        <w:t>translation</w:t>
      </w:r>
      <w:r w:rsidR="002F70F5">
        <w:rPr>
          <w:lang w:val="en-CA"/>
        </w:rPr>
        <w:t>] “a</w:t>
      </w:r>
      <w:r w:rsidR="002F70F5" w:rsidRPr="002F70F5">
        <w:rPr>
          <w:lang w:val="en-CA"/>
        </w:rPr>
        <w:t>n oral judgment</w:t>
      </w:r>
      <w:r w:rsidR="002F70F5">
        <w:rPr>
          <w:lang w:val="en-CA"/>
        </w:rPr>
        <w:t xml:space="preserve"> rendered</w:t>
      </w:r>
      <w:r w:rsidR="002F70F5" w:rsidRPr="002F70F5">
        <w:rPr>
          <w:lang w:val="en-CA"/>
        </w:rPr>
        <w:t xml:space="preserve"> </w:t>
      </w:r>
      <w:r w:rsidR="002F70F5">
        <w:rPr>
          <w:lang w:val="en-CA"/>
        </w:rPr>
        <w:t>from the bench</w:t>
      </w:r>
      <w:r w:rsidR="002F70F5" w:rsidRPr="002F70F5">
        <w:rPr>
          <w:lang w:val="en-CA"/>
        </w:rPr>
        <w:t xml:space="preserve"> is never as perfect as a written one.”</w:t>
      </w:r>
      <w:r w:rsidR="00276A1F" w:rsidRPr="000E73A2">
        <w:rPr>
          <w:rStyle w:val="Appelnotedebasdep"/>
          <w:lang w:val="en-CA"/>
        </w:rPr>
        <w:footnoteReference w:id="15"/>
      </w:r>
      <w:r w:rsidR="00276A1F" w:rsidRPr="000E73A2">
        <w:rPr>
          <w:lang w:val="en-CA"/>
        </w:rPr>
        <w:t xml:space="preserve"> </w:t>
      </w:r>
      <w:r w:rsidR="002F70F5" w:rsidRPr="002F70F5">
        <w:rPr>
          <w:lang w:val="en-CA"/>
        </w:rPr>
        <w:t xml:space="preserve">As the Court </w:t>
      </w:r>
      <w:r w:rsidR="002F70F5">
        <w:rPr>
          <w:lang w:val="en-CA"/>
        </w:rPr>
        <w:t>noted</w:t>
      </w:r>
      <w:r w:rsidR="002F70F5" w:rsidRPr="002F70F5">
        <w:rPr>
          <w:lang w:val="en-CA"/>
        </w:rPr>
        <w:t xml:space="preserve"> in</w:t>
      </w:r>
      <w:r w:rsidR="002F70F5">
        <w:rPr>
          <w:lang w:val="en-CA"/>
        </w:rPr>
        <w:t xml:space="preserve"> </w:t>
      </w:r>
      <w:r w:rsidR="00276A1F" w:rsidRPr="000E73A2">
        <w:rPr>
          <w:i/>
          <w:iCs/>
          <w:lang w:val="en-CA"/>
        </w:rPr>
        <w:t>LSJPA — 152</w:t>
      </w:r>
      <w:r w:rsidR="002F70F5" w:rsidRPr="002F70F5">
        <w:rPr>
          <w:lang w:val="en-CA"/>
        </w:rPr>
        <w:t>:</w:t>
      </w:r>
      <w:r w:rsidR="00276A1F" w:rsidRPr="000E73A2">
        <w:rPr>
          <w:rStyle w:val="Appelnotedebasdep"/>
          <w:lang w:val="en-CA"/>
        </w:rPr>
        <w:footnoteReference w:id="16"/>
      </w:r>
      <w:r w:rsidR="00276A1F" w:rsidRPr="000E73A2">
        <w:rPr>
          <w:lang w:val="en-CA"/>
        </w:rPr>
        <w:t> [</w:t>
      </w:r>
      <w:r w:rsidR="002F70F5" w:rsidRPr="002F70F5">
        <w:rPr>
          <w:smallCaps/>
          <w:lang w:val="en-CA"/>
        </w:rPr>
        <w:t>translation</w:t>
      </w:r>
      <w:r w:rsidR="002F70F5">
        <w:rPr>
          <w:lang w:val="en-CA"/>
        </w:rPr>
        <w:t>]</w:t>
      </w:r>
      <w:r w:rsidR="00F4554F">
        <w:rPr>
          <w:lang w:val="en-CA"/>
        </w:rPr>
        <w:t> </w:t>
      </w:r>
      <w:r w:rsidR="002F70F5">
        <w:rPr>
          <w:lang w:val="en-CA"/>
        </w:rPr>
        <w:t>“appellate courts</w:t>
      </w:r>
      <w:r w:rsidR="002F70F5" w:rsidRPr="002F70F5">
        <w:rPr>
          <w:lang w:val="en-CA"/>
        </w:rPr>
        <w:t xml:space="preserve"> are certainly aware that oral judgments, delivered in circumstances that are well known, are sometimes succinct and limited to the essentials. Appellate judges must therefore read between the lines, not ignore the implicit,</w:t>
      </w:r>
      <w:r w:rsidR="00E57438">
        <w:rPr>
          <w:lang w:val="en-CA"/>
        </w:rPr>
        <w:t xml:space="preserve"> </w:t>
      </w:r>
      <w:r w:rsidR="002F70F5" w:rsidRPr="002F70F5">
        <w:rPr>
          <w:lang w:val="en-CA"/>
        </w:rPr>
        <w:t>strive to recognise the underlying meaning of first instance judgments, but</w:t>
      </w:r>
      <w:r w:rsidR="002F70F5">
        <w:rPr>
          <w:lang w:val="en-CA"/>
        </w:rPr>
        <w:t>,</w:t>
      </w:r>
      <w:r w:rsidR="002F70F5" w:rsidRPr="002F70F5">
        <w:rPr>
          <w:lang w:val="en-CA"/>
        </w:rPr>
        <w:t xml:space="preserve"> that said, speculation is not part of their duties.</w:t>
      </w:r>
      <w:r w:rsidR="002F70F5">
        <w:rPr>
          <w:lang w:val="en-CA"/>
        </w:rPr>
        <w:t>”</w:t>
      </w:r>
    </w:p>
    <w:p w14:paraId="48A07DF3" w14:textId="10FEEACD" w:rsidR="00276A1F" w:rsidRPr="000E73A2" w:rsidRDefault="00955FCE" w:rsidP="00B21BF4">
      <w:pPr>
        <w:pStyle w:val="Paragraphe"/>
        <w:spacing w:before="180" w:after="180" w:line="280" w:lineRule="exact"/>
        <w:rPr>
          <w:lang w:val="en-CA"/>
        </w:rPr>
      </w:pPr>
      <w:r>
        <w:rPr>
          <w:lang w:val="en-CA"/>
        </w:rPr>
        <w:lastRenderedPageBreak/>
        <w:t>However, the requirements to give reasons</w:t>
      </w:r>
      <w:r w:rsidR="00276A1F" w:rsidRPr="000E73A2">
        <w:rPr>
          <w:lang w:val="en-CA"/>
        </w:rPr>
        <w:t xml:space="preserve"> </w:t>
      </w:r>
      <w:r w:rsidRPr="00955FCE">
        <w:rPr>
          <w:lang w:val="en-CA"/>
        </w:rPr>
        <w:t xml:space="preserve">increase when the judgment, </w:t>
      </w:r>
      <w:r w:rsidR="002C504B">
        <w:rPr>
          <w:lang w:val="en-CA"/>
        </w:rPr>
        <w:t>although</w:t>
      </w:r>
      <w:r w:rsidRPr="00955FCE">
        <w:rPr>
          <w:lang w:val="en-CA"/>
        </w:rPr>
        <w:t xml:space="preserve"> delivered orally, as in this case, </w:t>
      </w:r>
      <w:r w:rsidR="00E57438">
        <w:rPr>
          <w:lang w:val="en-CA"/>
        </w:rPr>
        <w:t xml:space="preserve">is rendered </w:t>
      </w:r>
      <w:r w:rsidR="002C504B">
        <w:rPr>
          <w:lang w:val="en-CA"/>
        </w:rPr>
        <w:t>after having been reserved</w:t>
      </w:r>
      <w:r w:rsidR="00CB6450">
        <w:rPr>
          <w:lang w:val="en-CA"/>
        </w:rPr>
        <w:t xml:space="preserve"> for a certain time</w:t>
      </w:r>
      <w:r w:rsidRPr="00955FCE">
        <w:rPr>
          <w:lang w:val="en-CA"/>
        </w:rPr>
        <w:t xml:space="preserve">. In </w:t>
      </w:r>
      <w:r w:rsidRPr="00955FCE">
        <w:rPr>
          <w:i/>
          <w:iCs/>
          <w:lang w:val="en-CA"/>
        </w:rPr>
        <w:t>Lessard</w:t>
      </w:r>
      <w:r>
        <w:rPr>
          <w:lang w:val="en-CA"/>
        </w:rPr>
        <w:t>,</w:t>
      </w:r>
      <w:r w:rsidR="00276A1F" w:rsidRPr="000E73A2">
        <w:rPr>
          <w:rStyle w:val="Appelnotedebasdep"/>
          <w:iCs/>
          <w:lang w:val="en-CA"/>
        </w:rPr>
        <w:footnoteReference w:id="17"/>
      </w:r>
      <w:r w:rsidR="00276A1F" w:rsidRPr="000E73A2">
        <w:rPr>
          <w:iCs/>
          <w:lang w:val="en-CA"/>
        </w:rPr>
        <w:t xml:space="preserve"> </w:t>
      </w:r>
      <w:r w:rsidR="00276A1F" w:rsidRPr="000E73A2">
        <w:rPr>
          <w:lang w:val="en-CA"/>
        </w:rPr>
        <w:t xml:space="preserve">Vauclair </w:t>
      </w:r>
      <w:r>
        <w:rPr>
          <w:lang w:val="en-CA"/>
        </w:rPr>
        <w:t xml:space="preserve">J.A. </w:t>
      </w:r>
      <w:r w:rsidRPr="00955FCE">
        <w:rPr>
          <w:lang w:val="en-CA"/>
        </w:rPr>
        <w:t>stated the following in this regard</w:t>
      </w:r>
      <w:r w:rsidR="00276A1F" w:rsidRPr="000E73A2">
        <w:rPr>
          <w:lang w:val="en-CA"/>
        </w:rPr>
        <w:t xml:space="preserve">: </w:t>
      </w:r>
    </w:p>
    <w:p w14:paraId="500C9F54" w14:textId="3324D7D3" w:rsidR="00276A1F" w:rsidRPr="000E73A2" w:rsidRDefault="00276A1F" w:rsidP="00187BA6">
      <w:pPr>
        <w:pStyle w:val="Citationenretrait"/>
        <w:rPr>
          <w:lang w:val="en-CA"/>
        </w:rPr>
      </w:pPr>
      <w:r w:rsidRPr="000E73A2">
        <w:rPr>
          <w:lang w:val="en-CA"/>
        </w:rPr>
        <w:t>[22]</w:t>
      </w:r>
      <w:r w:rsidRPr="000E73A2">
        <w:rPr>
          <w:lang w:val="en-CA"/>
        </w:rPr>
        <w:tab/>
      </w:r>
      <w:r w:rsidR="00CB6450">
        <w:rPr>
          <w:lang w:val="en-CA"/>
        </w:rPr>
        <w:t>[</w:t>
      </w:r>
      <w:r w:rsidR="00CB6450" w:rsidRPr="00CB6450">
        <w:rPr>
          <w:smallCaps/>
          <w:lang w:val="en-CA"/>
        </w:rPr>
        <w:t>translation</w:t>
      </w:r>
      <w:r w:rsidR="00CB6450">
        <w:rPr>
          <w:lang w:val="en-CA"/>
        </w:rPr>
        <w:t xml:space="preserve">] </w:t>
      </w:r>
      <w:r w:rsidR="00CB6450" w:rsidRPr="00CB6450">
        <w:rPr>
          <w:lang w:val="en-CA"/>
        </w:rPr>
        <w:t xml:space="preserve">However, these principles are weakened here for two reasons. The first is that the judgment delivered orally </w:t>
      </w:r>
      <w:r w:rsidR="00D71FC7">
        <w:rPr>
          <w:lang w:val="en-CA"/>
        </w:rPr>
        <w:t xml:space="preserve">was rendered </w:t>
      </w:r>
      <w:r w:rsidR="00CB6450" w:rsidRPr="00CB6450">
        <w:rPr>
          <w:lang w:val="en-CA"/>
        </w:rPr>
        <w:t xml:space="preserve">after </w:t>
      </w:r>
      <w:r w:rsidR="00D71FC7">
        <w:rPr>
          <w:lang w:val="en-CA"/>
        </w:rPr>
        <w:t xml:space="preserve">the matter had been taken under advisement for </w:t>
      </w:r>
      <w:r w:rsidR="00CB6450" w:rsidRPr="00CB6450">
        <w:rPr>
          <w:lang w:val="en-CA"/>
        </w:rPr>
        <w:t xml:space="preserve">approximately one month. Without claiming that the coherence of a decision can be measured solely by the </w:t>
      </w:r>
      <w:r w:rsidR="00D71FC7">
        <w:rPr>
          <w:lang w:val="en-CA"/>
        </w:rPr>
        <w:t>time in which the case was under advisement</w:t>
      </w:r>
      <w:r w:rsidR="00CB6450" w:rsidRPr="00CB6450">
        <w:rPr>
          <w:lang w:val="en-CA"/>
        </w:rPr>
        <w:t xml:space="preserve">, it seems to me that the requirement for high-quality reasons should increase proportionally. The importance of </w:t>
      </w:r>
      <w:r w:rsidR="00D71FC7">
        <w:rPr>
          <w:lang w:val="en-CA"/>
        </w:rPr>
        <w:t xml:space="preserve">giving </w:t>
      </w:r>
      <w:r w:rsidR="00CB6450" w:rsidRPr="00CB6450">
        <w:rPr>
          <w:lang w:val="en-CA"/>
        </w:rPr>
        <w:t>reaso</w:t>
      </w:r>
      <w:r w:rsidR="00D71FC7">
        <w:rPr>
          <w:lang w:val="en-CA"/>
        </w:rPr>
        <w:t>ns</w:t>
      </w:r>
      <w:r w:rsidR="00CB6450" w:rsidRPr="00CB6450">
        <w:rPr>
          <w:lang w:val="en-CA"/>
        </w:rPr>
        <w:t xml:space="preserve"> in the context of criminal law is now undeniable: </w:t>
      </w:r>
      <w:r w:rsidR="00CB6450" w:rsidRPr="00D71FC7">
        <w:rPr>
          <w:i/>
          <w:iCs/>
          <w:lang w:val="en-CA"/>
        </w:rPr>
        <w:t>R. v. Sheppard</w:t>
      </w:r>
      <w:r w:rsidR="00CB6450" w:rsidRPr="00CB6450">
        <w:rPr>
          <w:lang w:val="en-CA"/>
        </w:rPr>
        <w:t xml:space="preserve">, 2002 SCC 26, [2002] 1 S.C.R. 869. It is not always possible to grasp the meaning of </w:t>
      </w:r>
      <w:r w:rsidR="003A4F5B">
        <w:rPr>
          <w:lang w:val="en-CA"/>
        </w:rPr>
        <w:t>confused</w:t>
      </w:r>
      <w:r w:rsidR="00CB6450" w:rsidRPr="00CB6450">
        <w:rPr>
          <w:lang w:val="en-CA"/>
        </w:rPr>
        <w:t xml:space="preserve"> reasons, and sometimes it is even impossible. An appellate court cannot resort to speculation to understand them: </w:t>
      </w:r>
      <w:r w:rsidR="00CB6450" w:rsidRPr="00D71FC7">
        <w:rPr>
          <w:i/>
          <w:iCs/>
          <w:lang w:val="en-CA"/>
        </w:rPr>
        <w:t xml:space="preserve">R. </w:t>
      </w:r>
      <w:r w:rsidR="00D71FC7">
        <w:rPr>
          <w:i/>
          <w:iCs/>
          <w:lang w:val="en-CA"/>
        </w:rPr>
        <w:t>c</w:t>
      </w:r>
      <w:r w:rsidR="00CB6450" w:rsidRPr="00D71FC7">
        <w:rPr>
          <w:i/>
          <w:iCs/>
          <w:lang w:val="en-CA"/>
        </w:rPr>
        <w:t xml:space="preserve">. </w:t>
      </w:r>
      <w:proofErr w:type="spellStart"/>
      <w:r w:rsidR="00CB6450" w:rsidRPr="00D71FC7">
        <w:rPr>
          <w:i/>
          <w:iCs/>
          <w:lang w:val="en-CA"/>
        </w:rPr>
        <w:t>Casavant</w:t>
      </w:r>
      <w:proofErr w:type="spellEnd"/>
      <w:r w:rsidR="00CB6450" w:rsidRPr="00CB6450">
        <w:rPr>
          <w:lang w:val="en-CA"/>
        </w:rPr>
        <w:t xml:space="preserve">, 2016 QCCA 1340. Conversely, the reading of the reasons may be shocking because the words used clearly indicate errors. In principle, it is not </w:t>
      </w:r>
      <w:r w:rsidR="00D71FC7">
        <w:rPr>
          <w:lang w:val="en-CA"/>
        </w:rPr>
        <w:t>within the mandate of</w:t>
      </w:r>
      <w:r w:rsidR="00CB6450" w:rsidRPr="00CB6450">
        <w:rPr>
          <w:lang w:val="en-CA"/>
        </w:rPr>
        <w:t xml:space="preserve"> an appellate court to rewrite or </w:t>
      </w:r>
      <w:r w:rsidR="00D71FC7">
        <w:rPr>
          <w:lang w:val="en-CA"/>
        </w:rPr>
        <w:t>alter</w:t>
      </w:r>
      <w:r w:rsidR="00CB6450" w:rsidRPr="00CB6450">
        <w:rPr>
          <w:lang w:val="en-CA"/>
        </w:rPr>
        <w:t xml:space="preserve"> the words used</w:t>
      </w:r>
      <w:r w:rsidRPr="000E73A2">
        <w:rPr>
          <w:lang w:val="en-CA"/>
        </w:rPr>
        <w:t>.</w:t>
      </w:r>
    </w:p>
    <w:p w14:paraId="0F49415F" w14:textId="3CF8ECE8" w:rsidR="00276A1F" w:rsidRPr="000E73A2" w:rsidRDefault="009E4356" w:rsidP="00B21BF4">
      <w:pPr>
        <w:pStyle w:val="Paragraphe"/>
        <w:spacing w:before="180" w:after="180" w:line="280" w:lineRule="exact"/>
        <w:rPr>
          <w:lang w:val="en-CA"/>
        </w:rPr>
      </w:pPr>
      <w:r w:rsidRPr="009E4356">
        <w:rPr>
          <w:lang w:val="en-CA"/>
        </w:rPr>
        <w:t xml:space="preserve">The leniency inherent in the functional test reflects </w:t>
      </w:r>
      <w:r w:rsidR="003A4F5B">
        <w:rPr>
          <w:lang w:val="en-CA"/>
        </w:rPr>
        <w:t>acknowledgment</w:t>
      </w:r>
      <w:r w:rsidRPr="009E4356">
        <w:rPr>
          <w:lang w:val="en-CA"/>
        </w:rPr>
        <w:t xml:space="preserve"> of the demanding task facing judges with regard to the </w:t>
      </w:r>
      <w:r w:rsidR="00BC15C7">
        <w:rPr>
          <w:lang w:val="en-CA"/>
        </w:rPr>
        <w:t>giving</w:t>
      </w:r>
      <w:r w:rsidRPr="009E4356">
        <w:rPr>
          <w:lang w:val="en-CA"/>
        </w:rPr>
        <w:t xml:space="preserve"> of reason</w:t>
      </w:r>
      <w:r w:rsidR="00BC15C7">
        <w:rPr>
          <w:lang w:val="en-CA"/>
        </w:rPr>
        <w:t>s</w:t>
      </w:r>
      <w:r>
        <w:rPr>
          <w:lang w:val="en-CA"/>
        </w:rPr>
        <w:t>.</w:t>
      </w:r>
      <w:r w:rsidR="00276A1F" w:rsidRPr="000E73A2">
        <w:rPr>
          <w:rStyle w:val="Appelnotedebasdep"/>
          <w:lang w:val="en-CA"/>
        </w:rPr>
        <w:footnoteReference w:id="18"/>
      </w:r>
      <w:r>
        <w:rPr>
          <w:lang w:val="en-CA"/>
        </w:rPr>
        <w:t xml:space="preserve"> </w:t>
      </w:r>
      <w:r w:rsidR="00BC15C7" w:rsidRPr="00BC15C7">
        <w:rPr>
          <w:lang w:val="en-CA"/>
        </w:rPr>
        <w:t xml:space="preserve">That said, this </w:t>
      </w:r>
      <w:r w:rsidR="00BC15C7">
        <w:rPr>
          <w:lang w:val="en-CA"/>
        </w:rPr>
        <w:t>test</w:t>
      </w:r>
      <w:r w:rsidR="00BC15C7" w:rsidRPr="00BC15C7">
        <w:rPr>
          <w:lang w:val="en-CA"/>
        </w:rPr>
        <w:t xml:space="preserve"> does not mean that the lowest common denominator should be accepted, as this would not meet the legitimate expectations of the accused, the prosecut</w:t>
      </w:r>
      <w:r w:rsidR="00BC15C7">
        <w:rPr>
          <w:lang w:val="en-CA"/>
        </w:rPr>
        <w:t>ion</w:t>
      </w:r>
      <w:r w:rsidR="00BC15C7" w:rsidRPr="00BC15C7">
        <w:rPr>
          <w:lang w:val="en-CA"/>
        </w:rPr>
        <w:t>, the complainants and society</w:t>
      </w:r>
      <w:r w:rsidR="00276A1F" w:rsidRPr="000E73A2">
        <w:rPr>
          <w:lang w:val="en-CA"/>
        </w:rPr>
        <w:t>.</w:t>
      </w:r>
    </w:p>
    <w:p w14:paraId="085D838D" w14:textId="0DF2A790" w:rsidR="00276A1F" w:rsidRPr="000E73A2" w:rsidRDefault="00BC15C7" w:rsidP="00B21BF4">
      <w:pPr>
        <w:pStyle w:val="Paragraphe"/>
        <w:spacing w:before="180" w:after="180" w:line="280" w:lineRule="exact"/>
        <w:rPr>
          <w:lang w:val="en-CA"/>
        </w:rPr>
      </w:pPr>
      <w:r>
        <w:rPr>
          <w:lang w:val="en-CA"/>
        </w:rPr>
        <w:t>As Binnie J. noted in</w:t>
      </w:r>
      <w:r w:rsidR="00276A1F" w:rsidRPr="000E73A2">
        <w:rPr>
          <w:lang w:val="en-CA"/>
        </w:rPr>
        <w:t xml:space="preserve"> </w:t>
      </w:r>
      <w:r w:rsidR="00276A1F" w:rsidRPr="000E73A2">
        <w:rPr>
          <w:i/>
          <w:iCs/>
          <w:lang w:val="en-CA"/>
        </w:rPr>
        <w:t>Sheppard</w:t>
      </w:r>
      <w:r w:rsidR="00276A1F" w:rsidRPr="000E73A2">
        <w:rPr>
          <w:lang w:val="en-CA"/>
        </w:rPr>
        <w:t>,</w:t>
      </w:r>
      <w:r w:rsidR="00276A1F" w:rsidRPr="000E73A2">
        <w:rPr>
          <w:i/>
          <w:iCs/>
          <w:lang w:val="en-CA"/>
        </w:rPr>
        <w:t xml:space="preserve"> </w:t>
      </w:r>
      <w:r>
        <w:rPr>
          <w:lang w:val="en-CA"/>
        </w:rPr>
        <w:t xml:space="preserve">the case law </w:t>
      </w:r>
      <w:r w:rsidR="00540D9A">
        <w:rPr>
          <w:lang w:val="en-CA"/>
        </w:rPr>
        <w:t>prior to that Supreme Court decision</w:t>
      </w:r>
      <w:r w:rsidR="00276A1F" w:rsidRPr="000E73A2">
        <w:rPr>
          <w:lang w:val="en-CA"/>
        </w:rPr>
        <w:t xml:space="preserve"> </w:t>
      </w:r>
      <w:r w:rsidR="00222F92" w:rsidRPr="00222F92">
        <w:rPr>
          <w:lang w:val="en-CA"/>
        </w:rPr>
        <w:t xml:space="preserve">was not intended as </w:t>
      </w:r>
      <w:r w:rsidR="00222F92">
        <w:rPr>
          <w:lang w:val="en-CA"/>
        </w:rPr>
        <w:t>“</w:t>
      </w:r>
      <w:r w:rsidR="00222F92" w:rsidRPr="00222F92">
        <w:rPr>
          <w:lang w:val="en-CA"/>
        </w:rPr>
        <w:t xml:space="preserve">an appellate invitation to trial judges to insulate their decisions from judicial review </w:t>
      </w:r>
      <w:r w:rsidR="00222F92" w:rsidRPr="00222F92">
        <w:rPr>
          <w:i/>
          <w:iCs/>
          <w:lang w:val="en-CA"/>
        </w:rPr>
        <w:t>by saying as little as possible about the reasons for their judgment</w:t>
      </w:r>
      <w:r w:rsidR="00222F92">
        <w:rPr>
          <w:lang w:val="en-CA"/>
        </w:rPr>
        <w:t>.”</w:t>
      </w:r>
      <w:r w:rsidR="00276A1F" w:rsidRPr="000E73A2">
        <w:rPr>
          <w:rStyle w:val="Appelnotedebasdep"/>
          <w:lang w:val="en-CA"/>
        </w:rPr>
        <w:footnoteReference w:id="19"/>
      </w:r>
    </w:p>
    <w:p w14:paraId="068C67E2" w14:textId="22E40AC2" w:rsidR="00276A1F" w:rsidRPr="000E73A2" w:rsidRDefault="00540D9A" w:rsidP="00B21BF4">
      <w:pPr>
        <w:pStyle w:val="Paragraphe"/>
        <w:spacing w:before="180" w:after="180" w:line="280" w:lineRule="exact"/>
        <w:rPr>
          <w:lang w:val="en-CA"/>
        </w:rPr>
      </w:pPr>
      <w:r>
        <w:rPr>
          <w:lang w:val="en-CA"/>
        </w:rPr>
        <w:t>To echo</w:t>
      </w:r>
      <w:r w:rsidRPr="00540D9A">
        <w:rPr>
          <w:lang w:val="en-CA"/>
        </w:rPr>
        <w:t xml:space="preserve"> </w:t>
      </w:r>
      <w:proofErr w:type="spellStart"/>
      <w:r w:rsidRPr="00540D9A">
        <w:rPr>
          <w:lang w:val="en-CA"/>
        </w:rPr>
        <w:t>LeBel</w:t>
      </w:r>
      <w:proofErr w:type="spellEnd"/>
      <w:r>
        <w:rPr>
          <w:lang w:val="en-CA"/>
        </w:rPr>
        <w:t xml:space="preserve"> </w:t>
      </w:r>
      <w:proofErr w:type="spellStart"/>
      <w:r>
        <w:rPr>
          <w:lang w:val="en-CA"/>
        </w:rPr>
        <w:t>J.</w:t>
      </w:r>
      <w:r w:rsidR="003A4F5B">
        <w:rPr>
          <w:lang w:val="en-CA"/>
        </w:rPr>
        <w:t>’s</w:t>
      </w:r>
      <w:proofErr w:type="spellEnd"/>
      <w:r w:rsidRPr="00540D9A">
        <w:rPr>
          <w:lang w:val="en-CA"/>
        </w:rPr>
        <w:t xml:space="preserve"> </w:t>
      </w:r>
      <w:r>
        <w:rPr>
          <w:lang w:val="en-CA"/>
        </w:rPr>
        <w:t>comments</w:t>
      </w:r>
      <w:r w:rsidRPr="00540D9A">
        <w:rPr>
          <w:lang w:val="en-CA"/>
        </w:rPr>
        <w:t xml:space="preserve"> in </w:t>
      </w:r>
      <w:r w:rsidRPr="00540D9A">
        <w:rPr>
          <w:i/>
          <w:iCs/>
          <w:lang w:val="en-CA"/>
        </w:rPr>
        <w:t>R. v. Araujo</w:t>
      </w:r>
      <w:r w:rsidRPr="00540D9A">
        <w:rPr>
          <w:lang w:val="en-CA"/>
        </w:rPr>
        <w:t xml:space="preserve">, no one wants judges to emulate Marcel Proust and write judgments that rival </w:t>
      </w:r>
      <w:r w:rsidR="003A4F5B">
        <w:rPr>
          <w:lang w:val="en-CA"/>
        </w:rPr>
        <w:t>in</w:t>
      </w:r>
      <w:r w:rsidRPr="00540D9A">
        <w:rPr>
          <w:lang w:val="en-CA"/>
        </w:rPr>
        <w:t xml:space="preserve"> length his novel </w:t>
      </w:r>
      <w:r w:rsidRPr="00540D9A">
        <w:rPr>
          <w:i/>
          <w:iCs/>
          <w:lang w:val="en-CA"/>
        </w:rPr>
        <w:t>À la recherche du temps perdu</w:t>
      </w:r>
      <w:r w:rsidRPr="00540D9A">
        <w:rPr>
          <w:lang w:val="en-CA"/>
        </w:rPr>
        <w:t>.</w:t>
      </w:r>
      <w:r w:rsidR="00276A1F" w:rsidRPr="000E73A2">
        <w:rPr>
          <w:rStyle w:val="Appelnotedebasdep"/>
          <w:lang w:val="en-CA"/>
        </w:rPr>
        <w:footnoteReference w:id="20"/>
      </w:r>
    </w:p>
    <w:p w14:paraId="5379EA4B" w14:textId="4CAD264C" w:rsidR="00276A1F" w:rsidRPr="000E73A2" w:rsidRDefault="00F90A78" w:rsidP="00B21BF4">
      <w:pPr>
        <w:pStyle w:val="Paragraphe"/>
        <w:spacing w:before="180" w:after="180" w:line="280" w:lineRule="exact"/>
        <w:rPr>
          <w:lang w:val="en-CA"/>
        </w:rPr>
      </w:pPr>
      <w:r w:rsidRPr="00F90A78">
        <w:rPr>
          <w:lang w:val="en-CA"/>
        </w:rPr>
        <w:t>The length of a judgment is not a guarantee of its quality, but conciseness is not always a virtue</w:t>
      </w:r>
      <w:r w:rsidR="00276A1F" w:rsidRPr="000E73A2">
        <w:rPr>
          <w:lang w:val="en-CA"/>
        </w:rPr>
        <w:t>.</w:t>
      </w:r>
    </w:p>
    <w:p w14:paraId="071E2AFF" w14:textId="0DB036F0" w:rsidR="00276A1F" w:rsidRPr="000E73A2" w:rsidRDefault="00F90A78" w:rsidP="00B21BF4">
      <w:pPr>
        <w:pStyle w:val="Paragraphe"/>
        <w:spacing w:before="180" w:after="180" w:line="280" w:lineRule="exact"/>
        <w:rPr>
          <w:lang w:val="en-CA"/>
        </w:rPr>
      </w:pPr>
      <w:r w:rsidRPr="00F90A78">
        <w:rPr>
          <w:lang w:val="en-CA"/>
        </w:rPr>
        <w:lastRenderedPageBreak/>
        <w:t>There is a minimum threshold. In some cases, the trial judge must summari</w:t>
      </w:r>
      <w:r w:rsidR="00FC64AF">
        <w:rPr>
          <w:lang w:val="en-CA"/>
        </w:rPr>
        <w:t>z</w:t>
      </w:r>
      <w:r w:rsidRPr="00F90A78">
        <w:rPr>
          <w:lang w:val="en-CA"/>
        </w:rPr>
        <w:t>e the evidence</w:t>
      </w:r>
      <w:r w:rsidR="00276A1F" w:rsidRPr="000E73A2">
        <w:rPr>
          <w:rStyle w:val="Appelnotedebasdep"/>
          <w:lang w:val="en-CA"/>
        </w:rPr>
        <w:footnoteReference w:id="21"/>
      </w:r>
      <w:r w:rsidR="00276A1F" w:rsidRPr="000E73A2">
        <w:rPr>
          <w:lang w:val="en-CA"/>
        </w:rPr>
        <w:t xml:space="preserve"> </w:t>
      </w:r>
      <w:r w:rsidRPr="00F90A78">
        <w:rPr>
          <w:lang w:val="en-CA"/>
        </w:rPr>
        <w:t xml:space="preserve">and assess whether or not there are </w:t>
      </w:r>
      <w:r w:rsidR="003A4F5B">
        <w:rPr>
          <w:lang w:val="en-CA"/>
        </w:rPr>
        <w:t>inconsistencies</w:t>
      </w:r>
      <w:r w:rsidRPr="00F90A78">
        <w:rPr>
          <w:lang w:val="en-CA"/>
        </w:rPr>
        <w:t xml:space="preserve"> with regard to the </w:t>
      </w:r>
      <w:r>
        <w:rPr>
          <w:lang w:val="en-CA"/>
        </w:rPr>
        <w:t xml:space="preserve">material </w:t>
      </w:r>
      <w:r w:rsidRPr="00F90A78">
        <w:rPr>
          <w:lang w:val="en-CA"/>
        </w:rPr>
        <w:t>facts concerning the</w:t>
      </w:r>
      <w:r w:rsidR="003A4F5B">
        <w:rPr>
          <w:lang w:val="en-CA"/>
        </w:rPr>
        <w:t xml:space="preserve"> live</w:t>
      </w:r>
      <w:r w:rsidRPr="00F90A78">
        <w:rPr>
          <w:lang w:val="en-CA"/>
        </w:rPr>
        <w:t xml:space="preserve"> issues </w:t>
      </w:r>
      <w:r w:rsidR="003A4F5B">
        <w:rPr>
          <w:lang w:val="en-CA"/>
        </w:rPr>
        <w:t>of the</w:t>
      </w:r>
      <w:r w:rsidRPr="00F90A78">
        <w:rPr>
          <w:lang w:val="en-CA"/>
        </w:rPr>
        <w:t xml:space="preserve"> case. This requirement applies from the outset </w:t>
      </w:r>
      <w:r w:rsidR="00F84A15">
        <w:rPr>
          <w:lang w:val="en-CA"/>
        </w:rPr>
        <w:t xml:space="preserve">when </w:t>
      </w:r>
      <w:r w:rsidR="0008440D">
        <w:rPr>
          <w:lang w:val="en-CA"/>
        </w:rPr>
        <w:t>“</w:t>
      </w:r>
      <w:r w:rsidR="00F84A15">
        <w:t>f</w:t>
      </w:r>
      <w:r w:rsidR="00F84A15" w:rsidRPr="00F84A15">
        <w:rPr>
          <w:lang w:val="en-CA"/>
        </w:rPr>
        <w:t xml:space="preserve">actors supporting or detracting from credibility </w:t>
      </w:r>
      <w:r w:rsidR="00F84A15">
        <w:rPr>
          <w:lang w:val="en-CA"/>
        </w:rPr>
        <w:t>[are not]</w:t>
      </w:r>
      <w:r w:rsidR="00F84A15" w:rsidRPr="00F84A15">
        <w:rPr>
          <w:lang w:val="en-CA"/>
        </w:rPr>
        <w:t xml:space="preserve"> clear from the record</w:t>
      </w:r>
      <w:r w:rsidR="00F84A15">
        <w:rPr>
          <w:lang w:val="en-CA"/>
        </w:rPr>
        <w:t>.”</w:t>
      </w:r>
      <w:r w:rsidR="00276A1F" w:rsidRPr="000E73A2">
        <w:rPr>
          <w:rStyle w:val="Appelnotedebasdep"/>
          <w:lang w:val="en-CA"/>
        </w:rPr>
        <w:footnoteReference w:id="22"/>
      </w:r>
    </w:p>
    <w:p w14:paraId="2B6433C2" w14:textId="5F6F5FF2" w:rsidR="00276A1F" w:rsidRPr="000E73A2" w:rsidRDefault="00750FB5" w:rsidP="00B21BF4">
      <w:pPr>
        <w:pStyle w:val="Paragraphe"/>
        <w:spacing w:before="180" w:after="180" w:line="280" w:lineRule="exact"/>
        <w:rPr>
          <w:lang w:val="en-CA"/>
        </w:rPr>
      </w:pPr>
      <w:r w:rsidRPr="00750FB5">
        <w:rPr>
          <w:lang w:val="en-CA"/>
        </w:rPr>
        <w:t xml:space="preserve">Thus, it will sometimes be necessary for the reasons to be more complete, as McLachlin </w:t>
      </w:r>
      <w:r>
        <w:rPr>
          <w:lang w:val="en-CA"/>
        </w:rPr>
        <w:t xml:space="preserve">C.J. </w:t>
      </w:r>
      <w:r w:rsidRPr="00750FB5">
        <w:rPr>
          <w:lang w:val="en-CA"/>
        </w:rPr>
        <w:t xml:space="preserve">explained in </w:t>
      </w:r>
      <w:r w:rsidRPr="00750FB5">
        <w:rPr>
          <w:i/>
          <w:iCs/>
          <w:lang w:val="en-CA"/>
        </w:rPr>
        <w:t>R.E.M</w:t>
      </w:r>
      <w:r w:rsidR="00276A1F" w:rsidRPr="00750FB5">
        <w:rPr>
          <w:i/>
          <w:iCs/>
          <w:lang w:val="en-CA"/>
        </w:rPr>
        <w:t>.</w:t>
      </w:r>
      <w:r w:rsidR="00276A1F" w:rsidRPr="000E73A2">
        <w:rPr>
          <w:lang w:val="en-CA"/>
        </w:rPr>
        <w:t>:</w:t>
      </w:r>
    </w:p>
    <w:p w14:paraId="3E225904" w14:textId="050386DB" w:rsidR="00276A1F" w:rsidRPr="000E73A2" w:rsidRDefault="00276A1F" w:rsidP="00187BA6">
      <w:pPr>
        <w:pStyle w:val="Citationenretrait"/>
        <w:rPr>
          <w:lang w:val="en-CA"/>
        </w:rPr>
      </w:pPr>
      <w:r w:rsidRPr="000E73A2">
        <w:rPr>
          <w:lang w:val="en-CA"/>
        </w:rPr>
        <w:t>[44]</w:t>
      </w:r>
      <w:r w:rsidRPr="000E73A2">
        <w:rPr>
          <w:lang w:val="en-CA"/>
        </w:rPr>
        <w:tab/>
      </w:r>
      <w:r w:rsidR="00F84A15" w:rsidRPr="00F84A15">
        <w:rPr>
          <w:lang w:val="en-CA"/>
        </w:rPr>
        <w:t>The degree of detail required may vary with the circumstances.  Less detailed reasons may be required in cases where the basis of the trial judge’s decision is apparent from the record, even without being articulated.  More detail may be required where the trial judge is called upon “to address troublesome principles of unsettled law, or to resolve confused and contradictory evidence on a key issue”</w:t>
      </w:r>
      <w:r w:rsidRPr="000E73A2">
        <w:rPr>
          <w:lang w:val="en-CA"/>
        </w:rPr>
        <w:t xml:space="preserve">: </w:t>
      </w:r>
      <w:r w:rsidRPr="000E73A2">
        <w:rPr>
          <w:i/>
          <w:iCs/>
          <w:lang w:val="en-CA"/>
        </w:rPr>
        <w:t>Sheppard</w:t>
      </w:r>
      <w:r w:rsidRPr="000E73A2">
        <w:rPr>
          <w:lang w:val="en-CA"/>
        </w:rPr>
        <w:t xml:space="preserve">, </w:t>
      </w:r>
      <w:r w:rsidR="00F84A15">
        <w:rPr>
          <w:lang w:val="en-CA"/>
        </w:rPr>
        <w:t xml:space="preserve">at </w:t>
      </w:r>
      <w:r w:rsidRPr="000E73A2">
        <w:rPr>
          <w:lang w:val="en-CA"/>
        </w:rPr>
        <w:t>par</w:t>
      </w:r>
      <w:r w:rsidR="00F84A15">
        <w:rPr>
          <w:lang w:val="en-CA"/>
        </w:rPr>
        <w:t>a</w:t>
      </w:r>
      <w:r w:rsidRPr="000E73A2">
        <w:rPr>
          <w:lang w:val="en-CA"/>
        </w:rPr>
        <w:t>. 55, point 6.</w:t>
      </w:r>
      <w:r w:rsidRPr="000E73A2">
        <w:rPr>
          <w:rStyle w:val="Appelnotedebasdep"/>
          <w:lang w:val="en-CA"/>
        </w:rPr>
        <w:footnoteReference w:id="23"/>
      </w:r>
    </w:p>
    <w:p w14:paraId="46BDC97E" w14:textId="4BFA556B" w:rsidR="00276A1F" w:rsidRPr="000E73A2" w:rsidRDefault="00750FB5" w:rsidP="00B21BF4">
      <w:pPr>
        <w:pStyle w:val="Paragraphe"/>
        <w:spacing w:before="180" w:after="180" w:line="280" w:lineRule="exact"/>
        <w:rPr>
          <w:lang w:val="en-CA"/>
        </w:rPr>
      </w:pPr>
      <w:r>
        <w:rPr>
          <w:lang w:val="en-CA"/>
        </w:rPr>
        <w:t>The giving of reasoned judgments</w:t>
      </w:r>
      <w:r w:rsidR="00276A1F" w:rsidRPr="000E73A2">
        <w:rPr>
          <w:lang w:val="en-CA"/>
        </w:rPr>
        <w:t xml:space="preserve"> </w:t>
      </w:r>
      <w:r w:rsidR="000742B1" w:rsidRPr="000742B1">
        <w:rPr>
          <w:lang w:val="en-CA"/>
        </w:rPr>
        <w:t>ensure</w:t>
      </w:r>
      <w:r>
        <w:rPr>
          <w:lang w:val="en-CA"/>
        </w:rPr>
        <w:t>s</w:t>
      </w:r>
      <w:r w:rsidR="000742B1" w:rsidRPr="000742B1">
        <w:rPr>
          <w:lang w:val="en-CA"/>
        </w:rPr>
        <w:t xml:space="preserve"> </w:t>
      </w:r>
      <w:r w:rsidR="000742B1">
        <w:rPr>
          <w:lang w:val="en-CA"/>
        </w:rPr>
        <w:t>“</w:t>
      </w:r>
      <w:r w:rsidR="000742B1" w:rsidRPr="000742B1">
        <w:rPr>
          <w:lang w:val="en-CA"/>
        </w:rPr>
        <w:t xml:space="preserve">not only the reality, but the </w:t>
      </w:r>
      <w:r w:rsidR="000742B1" w:rsidRPr="000742B1">
        <w:rPr>
          <w:i/>
          <w:iCs/>
          <w:lang w:val="en-CA"/>
        </w:rPr>
        <w:t>appearance</w:t>
      </w:r>
      <w:r w:rsidR="000742B1" w:rsidRPr="000742B1">
        <w:rPr>
          <w:lang w:val="en-CA"/>
        </w:rPr>
        <w:t xml:space="preserve"> of a fair adjudicative process</w:t>
      </w:r>
      <w:r w:rsidR="000742B1">
        <w:rPr>
          <w:lang w:val="en-CA"/>
        </w:rPr>
        <w:t>.”</w:t>
      </w:r>
      <w:r w:rsidR="00276A1F" w:rsidRPr="000E73A2">
        <w:rPr>
          <w:rStyle w:val="Appelnotedebasdep"/>
          <w:lang w:val="en-CA"/>
        </w:rPr>
        <w:footnoteReference w:id="24"/>
      </w:r>
      <w:r w:rsidR="00276A1F" w:rsidRPr="000E73A2">
        <w:rPr>
          <w:lang w:val="en-CA"/>
        </w:rPr>
        <w:t xml:space="preserve"> </w:t>
      </w:r>
      <w:r>
        <w:rPr>
          <w:lang w:val="en-CA"/>
        </w:rPr>
        <w:t xml:space="preserve">An </w:t>
      </w:r>
      <w:r w:rsidRPr="00750FB5">
        <w:rPr>
          <w:lang w:val="en-CA"/>
        </w:rPr>
        <w:t>assessment of the fairness of the trial process must be made from the point of view of fairness in the eyes of</w:t>
      </w:r>
      <w:r w:rsidR="003A4F5B">
        <w:rPr>
          <w:lang w:val="en-CA"/>
        </w:rPr>
        <w:t xml:space="preserve"> the</w:t>
      </w:r>
      <w:r w:rsidRPr="00750FB5">
        <w:rPr>
          <w:lang w:val="en-CA"/>
        </w:rPr>
        <w:t xml:space="preserve"> accused, the prosecut</w:t>
      </w:r>
      <w:r>
        <w:rPr>
          <w:lang w:val="en-CA"/>
        </w:rPr>
        <w:t>ion</w:t>
      </w:r>
      <w:r w:rsidRPr="00750FB5">
        <w:rPr>
          <w:lang w:val="en-CA"/>
        </w:rPr>
        <w:t>, the complainants and the public</w:t>
      </w:r>
      <w:r>
        <w:rPr>
          <w:lang w:val="en-CA"/>
        </w:rPr>
        <w:t>.</w:t>
      </w:r>
      <w:r w:rsidR="00276A1F" w:rsidRPr="000E73A2">
        <w:rPr>
          <w:rStyle w:val="Appelnotedebasdep"/>
          <w:lang w:val="en-CA"/>
        </w:rPr>
        <w:footnoteReference w:id="25"/>
      </w:r>
      <w:r>
        <w:rPr>
          <w:lang w:val="en-CA"/>
        </w:rPr>
        <w:t xml:space="preserve"> </w:t>
      </w:r>
      <w:r w:rsidR="00630522" w:rsidRPr="00630522">
        <w:rPr>
          <w:lang w:val="en-CA"/>
        </w:rPr>
        <w:t xml:space="preserve">Failure to comply with the duty to </w:t>
      </w:r>
      <w:r w:rsidR="00630522">
        <w:rPr>
          <w:lang w:val="en-CA"/>
        </w:rPr>
        <w:t>give</w:t>
      </w:r>
      <w:r w:rsidR="00630522" w:rsidRPr="00630522">
        <w:rPr>
          <w:lang w:val="en-CA"/>
        </w:rPr>
        <w:t xml:space="preserve"> reasons has consequences for all parties, as it may require a new trial that could have been avoided if sufficient reasons had been given</w:t>
      </w:r>
      <w:r w:rsidR="00276A1F" w:rsidRPr="000E73A2">
        <w:rPr>
          <w:lang w:val="en-CA"/>
        </w:rPr>
        <w:t>.</w:t>
      </w:r>
    </w:p>
    <w:p w14:paraId="79E7B4D8" w14:textId="62E1C505" w:rsidR="00276A1F" w:rsidRPr="000E73A2" w:rsidRDefault="00630522" w:rsidP="00B21BF4">
      <w:pPr>
        <w:pStyle w:val="Paragraphe"/>
        <w:spacing w:before="180" w:after="180" w:line="280" w:lineRule="exact"/>
        <w:rPr>
          <w:lang w:val="en-CA"/>
        </w:rPr>
      </w:pPr>
      <w:r>
        <w:rPr>
          <w:lang w:val="en-CA"/>
        </w:rPr>
        <w:t>As noted in</w:t>
      </w:r>
      <w:r w:rsidR="00276A1F" w:rsidRPr="000E73A2">
        <w:rPr>
          <w:lang w:val="en-CA"/>
        </w:rPr>
        <w:t xml:space="preserve"> </w:t>
      </w:r>
      <w:r w:rsidR="00276A1F" w:rsidRPr="000E73A2">
        <w:rPr>
          <w:i/>
          <w:iCs/>
          <w:lang w:val="en-CA"/>
        </w:rPr>
        <w:t>G.F.</w:t>
      </w:r>
      <w:r w:rsidR="00276A1F" w:rsidRPr="000E73A2">
        <w:rPr>
          <w:rStyle w:val="Appelnotedebasdep"/>
          <w:lang w:val="en-CA"/>
        </w:rPr>
        <w:footnoteReference w:id="26"/>
      </w:r>
      <w:r w:rsidRPr="00630522">
        <w:rPr>
          <w:lang w:val="en-CA"/>
        </w:rPr>
        <w:t xml:space="preserve">, the key lies in </w:t>
      </w:r>
      <w:r>
        <w:rPr>
          <w:lang w:val="en-CA"/>
        </w:rPr>
        <w:t xml:space="preserve">the ability to </w:t>
      </w:r>
      <w:r w:rsidRPr="00630522">
        <w:rPr>
          <w:lang w:val="en-CA"/>
        </w:rPr>
        <w:t>understan</w:t>
      </w:r>
      <w:r>
        <w:rPr>
          <w:lang w:val="en-CA"/>
        </w:rPr>
        <w:t>d</w:t>
      </w:r>
      <w:r w:rsidRPr="00630522">
        <w:rPr>
          <w:lang w:val="en-CA"/>
        </w:rPr>
        <w:t xml:space="preserve"> why the judge reached the conclusion </w:t>
      </w:r>
      <w:r>
        <w:rPr>
          <w:lang w:val="en-CA"/>
        </w:rPr>
        <w:t xml:space="preserve">that </w:t>
      </w:r>
      <w:r w:rsidRPr="00630522">
        <w:rPr>
          <w:lang w:val="en-CA"/>
        </w:rPr>
        <w:t>he</w:t>
      </w:r>
      <w:r>
        <w:rPr>
          <w:lang w:val="en-CA"/>
        </w:rPr>
        <w:t xml:space="preserve"> or she</w:t>
      </w:r>
      <w:r w:rsidRPr="00630522">
        <w:rPr>
          <w:lang w:val="en-CA"/>
        </w:rPr>
        <w:t xml:space="preserve"> did</w:t>
      </w:r>
      <w:r w:rsidR="00276A1F" w:rsidRPr="000E73A2">
        <w:rPr>
          <w:lang w:val="en-CA"/>
        </w:rPr>
        <w:t>:</w:t>
      </w:r>
    </w:p>
    <w:p w14:paraId="4911CD03" w14:textId="66A3794B" w:rsidR="00276A1F" w:rsidRPr="000E73A2" w:rsidRDefault="00276A1F" w:rsidP="00187BA6">
      <w:pPr>
        <w:pStyle w:val="Citationenretrait"/>
        <w:rPr>
          <w:lang w:val="en-CA"/>
        </w:rPr>
      </w:pPr>
      <w:r w:rsidRPr="000E73A2">
        <w:rPr>
          <w:lang w:val="en-CA"/>
        </w:rPr>
        <w:t>[</w:t>
      </w:r>
      <w:bookmarkStart w:id="18" w:name="par71"/>
      <w:r w:rsidRPr="000E73A2">
        <w:rPr>
          <w:lang w:val="en-CA"/>
        </w:rPr>
        <w:t>71</w:t>
      </w:r>
      <w:bookmarkEnd w:id="18"/>
      <w:r w:rsidRPr="000E73A2">
        <w:rPr>
          <w:lang w:val="en-CA"/>
        </w:rPr>
        <w:t>]</w:t>
      </w:r>
      <w:r w:rsidRPr="000E73A2">
        <w:rPr>
          <w:lang w:val="en-CA"/>
        </w:rPr>
        <w:tab/>
      </w:r>
      <w:r w:rsidR="000742B1" w:rsidRPr="000742B1">
        <w:rPr>
          <w:lang w:val="en-CA"/>
        </w:rPr>
        <w:t xml:space="preserve">The reasons must be both factually sufficient and legally sufficient. Factual sufficiency is concerned with what the trial judge decided and why: </w:t>
      </w:r>
      <w:r w:rsidR="000742B1" w:rsidRPr="000742B1">
        <w:rPr>
          <w:i/>
          <w:iCs/>
          <w:lang w:val="en-CA"/>
        </w:rPr>
        <w:t>Sheppard</w:t>
      </w:r>
      <w:r w:rsidR="000742B1" w:rsidRPr="000742B1">
        <w:rPr>
          <w:lang w:val="en-CA"/>
        </w:rPr>
        <w:t xml:space="preserve">, at para. 55. Factual sufficiency is ordinarily a very low bar, especially with the ability to review the record. Even if the trial judge expresses themselves poorly, </w:t>
      </w:r>
      <w:r w:rsidR="000742B1" w:rsidRPr="000742B1">
        <w:rPr>
          <w:u w:val="single"/>
          <w:lang w:val="en-CA"/>
        </w:rPr>
        <w:t>an appellate court that understands the “what” and the “why” from the record may explain the factual basis of the finding to the aggrieved party: para. 52. It will be a very rare case where neither the aggrieved party nor the appellate court can understand the factual basis of the trial judge’s findings</w:t>
      </w:r>
      <w:r w:rsidR="000742B1" w:rsidRPr="000742B1">
        <w:rPr>
          <w:lang w:val="en-CA"/>
        </w:rPr>
        <w:t>: paras. 50 and 52</w:t>
      </w:r>
      <w:r w:rsidRPr="000E73A2">
        <w:rPr>
          <w:lang w:val="en-CA"/>
        </w:rPr>
        <w:t>.</w:t>
      </w:r>
    </w:p>
    <w:p w14:paraId="4AF2C062" w14:textId="63CF3385" w:rsidR="00276A1F" w:rsidRPr="000E73A2" w:rsidRDefault="00276A1F" w:rsidP="00187BA6">
      <w:pPr>
        <w:pStyle w:val="Citationenretrait"/>
        <w:jc w:val="right"/>
        <w:rPr>
          <w:lang w:val="en-CA"/>
        </w:rPr>
      </w:pPr>
      <w:r w:rsidRPr="000E73A2">
        <w:rPr>
          <w:lang w:val="en-CA"/>
        </w:rPr>
        <w:lastRenderedPageBreak/>
        <w:t>[</w:t>
      </w:r>
      <w:r w:rsidR="00630522">
        <w:rPr>
          <w:lang w:val="en-CA"/>
        </w:rPr>
        <w:t>Underlining added</w:t>
      </w:r>
      <w:r w:rsidRPr="000E73A2">
        <w:rPr>
          <w:lang w:val="en-CA"/>
        </w:rPr>
        <w:t>]</w:t>
      </w:r>
    </w:p>
    <w:p w14:paraId="5DCB56B4" w14:textId="0F94C648" w:rsidR="00276A1F" w:rsidRPr="000E73A2" w:rsidRDefault="00630522" w:rsidP="00B21BF4">
      <w:pPr>
        <w:pStyle w:val="Paragraphe"/>
        <w:spacing w:before="180" w:after="180" w:line="280" w:lineRule="exact"/>
        <w:rPr>
          <w:lang w:val="en-CA"/>
        </w:rPr>
      </w:pPr>
      <w:r w:rsidRPr="00630522">
        <w:rPr>
          <w:lang w:val="en-CA"/>
        </w:rPr>
        <w:t xml:space="preserve">The reasons must therefore enable an appellate court to determine whether an error was made in light of the record, the </w:t>
      </w:r>
      <w:r w:rsidR="00166FAF">
        <w:rPr>
          <w:lang w:val="en-CA"/>
        </w:rPr>
        <w:t xml:space="preserve">live </w:t>
      </w:r>
      <w:r w:rsidRPr="00630522">
        <w:rPr>
          <w:lang w:val="en-CA"/>
        </w:rPr>
        <w:t>issues and the parties' submission</w:t>
      </w:r>
      <w:r>
        <w:rPr>
          <w:lang w:val="en-CA"/>
        </w:rPr>
        <w:t>s</w:t>
      </w:r>
      <w:r w:rsidR="00276A1F" w:rsidRPr="000E73A2">
        <w:rPr>
          <w:lang w:val="en-CA"/>
        </w:rPr>
        <w:t>:</w:t>
      </w:r>
    </w:p>
    <w:p w14:paraId="5CCA0ED5" w14:textId="46EB98E1" w:rsidR="00276A1F" w:rsidRPr="000E73A2" w:rsidRDefault="00276A1F" w:rsidP="00187BA6">
      <w:pPr>
        <w:pStyle w:val="Citationenretrait"/>
        <w:rPr>
          <w:lang w:val="en-CA"/>
        </w:rPr>
      </w:pPr>
      <w:r w:rsidRPr="000E73A2">
        <w:rPr>
          <w:lang w:val="en-CA"/>
        </w:rPr>
        <w:t>[74]</w:t>
      </w:r>
      <w:r w:rsidRPr="000E73A2">
        <w:rPr>
          <w:lang w:val="en-CA"/>
        </w:rPr>
        <w:tab/>
      </w:r>
      <w:r w:rsidR="000742B1" w:rsidRPr="000742B1">
        <w:rPr>
          <w:lang w:val="en-CA"/>
        </w:rPr>
        <w:t xml:space="preserve">Legal sufficiency requires that the aggrieved party be able to meaningfully exercise their right of appeal: </w:t>
      </w:r>
      <w:r w:rsidR="000742B1" w:rsidRPr="000742B1">
        <w:rPr>
          <w:i/>
          <w:iCs/>
          <w:lang w:val="en-CA"/>
        </w:rPr>
        <w:t>Sheppard</w:t>
      </w:r>
      <w:r w:rsidR="000742B1" w:rsidRPr="000742B1">
        <w:rPr>
          <w:lang w:val="en-CA"/>
        </w:rPr>
        <w:t xml:space="preserve">, at paras. 64-66. Lawyers must be able to discern the viability of an appeal and appellate courts must be able to determine whether an error has occurred: paras. 46 and 55. </w:t>
      </w:r>
      <w:r w:rsidR="000742B1" w:rsidRPr="000742B1">
        <w:rPr>
          <w:u w:val="single"/>
          <w:lang w:val="en-CA"/>
        </w:rPr>
        <w:t>Legal sufficiency is highly context specific and must be assessed in light of the live issues at trial</w:t>
      </w:r>
      <w:r w:rsidR="000742B1" w:rsidRPr="000742B1">
        <w:rPr>
          <w:lang w:val="en-CA"/>
        </w:rPr>
        <w:t xml:space="preserve">. A trial judge is under no obligation to expound on features of criminal law that are not controversial in the case before them. This stems from the presumption of correct application — the presumption that “the trial judge understands the basic principles of criminal law at issue in the trial”: </w:t>
      </w:r>
      <w:r w:rsidR="000742B1" w:rsidRPr="000742B1">
        <w:rPr>
          <w:i/>
          <w:iCs/>
          <w:lang w:val="en-CA"/>
        </w:rPr>
        <w:t>R.E.M</w:t>
      </w:r>
      <w:r w:rsidR="000742B1" w:rsidRPr="000742B1">
        <w:rPr>
          <w:lang w:val="en-CA"/>
        </w:rPr>
        <w:t xml:space="preserve">., at para. 45. As stated in </w:t>
      </w:r>
      <w:r w:rsidR="000742B1" w:rsidRPr="000742B1">
        <w:rPr>
          <w:i/>
          <w:iCs/>
          <w:lang w:val="en-CA"/>
        </w:rPr>
        <w:t>R. v. Burns</w:t>
      </w:r>
      <w:r w:rsidR="000742B1" w:rsidRPr="000742B1">
        <w:rPr>
          <w:lang w:val="en-CA"/>
        </w:rPr>
        <w:t xml:space="preserve">, [1994] 1 S.C.R. 656, at p. 664, “[t]rial judges are presumed to know the law with which they work day in and day out”: see also </w:t>
      </w:r>
      <w:r w:rsidR="000742B1" w:rsidRPr="000742B1">
        <w:rPr>
          <w:i/>
          <w:iCs/>
          <w:lang w:val="en-CA"/>
        </w:rPr>
        <w:t>Sheppard</w:t>
      </w:r>
      <w:r w:rsidR="000742B1" w:rsidRPr="000742B1">
        <w:rPr>
          <w:lang w:val="en-CA"/>
        </w:rPr>
        <w:t>, at para. 54. A functional and contextual reading must keep this presumption in mind. Trial judges are busy. They are not required to demonstrate their knowledge of basic criminal law principles</w:t>
      </w:r>
      <w:r w:rsidRPr="000E73A2">
        <w:rPr>
          <w:lang w:val="en-CA"/>
        </w:rPr>
        <w:t>.</w:t>
      </w:r>
    </w:p>
    <w:p w14:paraId="4EA7DA3E" w14:textId="5217BE37" w:rsidR="00276A1F" w:rsidRPr="000E73A2" w:rsidRDefault="00276A1F" w:rsidP="00187BA6">
      <w:pPr>
        <w:pStyle w:val="Citationenretrait"/>
        <w:rPr>
          <w:lang w:val="en-CA"/>
        </w:rPr>
      </w:pPr>
      <w:r w:rsidRPr="000E73A2">
        <w:rPr>
          <w:lang w:val="en-CA"/>
        </w:rPr>
        <w:t>[75]</w:t>
      </w:r>
      <w:r w:rsidRPr="000E73A2">
        <w:rPr>
          <w:lang w:val="en-CA"/>
        </w:rPr>
        <w:tab/>
      </w:r>
      <w:r w:rsidR="001E4E7D" w:rsidRPr="001E4E7D">
        <w:rPr>
          <w:lang w:val="en-CA"/>
        </w:rPr>
        <w:t xml:space="preserve">Conversely, legal sufficiency may require more where the trial judge is called upon to settle a controversial point of law. In those cases, </w:t>
      </w:r>
      <w:r w:rsidR="001E4E7D" w:rsidRPr="001E4E7D">
        <w:rPr>
          <w:u w:val="single"/>
          <w:lang w:val="en-CA"/>
        </w:rPr>
        <w:t>cursory reasons may obscure potential legal errors and not permit an appellate court to follow the trial judge’s chain of reasoning</w:t>
      </w:r>
      <w:r w:rsidR="001E4E7D" w:rsidRPr="001E4E7D">
        <w:rPr>
          <w:lang w:val="en-CA"/>
        </w:rPr>
        <w:t xml:space="preserve">: </w:t>
      </w:r>
      <w:r w:rsidR="001E4E7D" w:rsidRPr="001E4E7D">
        <w:rPr>
          <w:i/>
          <w:iCs/>
          <w:lang w:val="en-CA"/>
        </w:rPr>
        <w:t>Sheppard</w:t>
      </w:r>
      <w:r w:rsidR="001E4E7D" w:rsidRPr="001E4E7D">
        <w:rPr>
          <w:lang w:val="en-CA"/>
        </w:rPr>
        <w:t xml:space="preserve">, at para. 40, citing </w:t>
      </w:r>
      <w:r w:rsidR="001E4E7D" w:rsidRPr="001E4E7D">
        <w:rPr>
          <w:i/>
          <w:iCs/>
          <w:lang w:val="en-CA"/>
        </w:rPr>
        <w:t>R. v. McMaster</w:t>
      </w:r>
      <w:r w:rsidR="001E4E7D" w:rsidRPr="001E4E7D">
        <w:rPr>
          <w:lang w:val="en-CA"/>
        </w:rPr>
        <w:t xml:space="preserve">, [1996] 1 S.C.R. 740, at paras. 25-27. While trial judges do not need to provide detailed maps for well-trod paths, more is required when they are called upon to chart new territory. </w:t>
      </w:r>
      <w:r w:rsidR="001E4E7D" w:rsidRPr="001E4E7D">
        <w:rPr>
          <w:u w:val="single"/>
          <w:lang w:val="en-CA"/>
        </w:rPr>
        <w:t>However, if the legal basis of the decision can nonetheless be discerned from the record, in the context of the live issues at trial, then the reasons will be legally sufficient</w:t>
      </w:r>
      <w:r w:rsidRPr="000E73A2">
        <w:rPr>
          <w:u w:val="single"/>
          <w:lang w:val="en-CA"/>
        </w:rPr>
        <w:t>.</w:t>
      </w:r>
      <w:r w:rsidRPr="000E73A2">
        <w:rPr>
          <w:rStyle w:val="Appelnotedebasdep"/>
          <w:lang w:val="en-CA"/>
        </w:rPr>
        <w:footnoteReference w:id="27"/>
      </w:r>
    </w:p>
    <w:p w14:paraId="186C66B3" w14:textId="4BFC3F4F" w:rsidR="00276A1F" w:rsidRPr="000E73A2" w:rsidRDefault="00276A1F" w:rsidP="00187BA6">
      <w:pPr>
        <w:pStyle w:val="Citationenretrait"/>
        <w:jc w:val="right"/>
        <w:rPr>
          <w:lang w:val="en-CA"/>
        </w:rPr>
      </w:pPr>
      <w:r w:rsidRPr="000E73A2">
        <w:rPr>
          <w:lang w:val="en-CA"/>
        </w:rPr>
        <w:t>[</w:t>
      </w:r>
      <w:r w:rsidR="00BC01CE">
        <w:rPr>
          <w:lang w:val="en-CA"/>
        </w:rPr>
        <w:t>Underlining added</w:t>
      </w:r>
      <w:r w:rsidRPr="000E73A2">
        <w:rPr>
          <w:lang w:val="en-CA"/>
        </w:rPr>
        <w:t>]</w:t>
      </w:r>
    </w:p>
    <w:p w14:paraId="11ACA344" w14:textId="555CEC4A" w:rsidR="00276A1F" w:rsidRPr="000E73A2" w:rsidRDefault="00BC01CE" w:rsidP="00B21BF4">
      <w:pPr>
        <w:pStyle w:val="Paragraphe"/>
        <w:spacing w:before="180" w:after="180" w:line="280" w:lineRule="exact"/>
        <w:rPr>
          <w:lang w:val="en-CA"/>
        </w:rPr>
      </w:pPr>
      <w:r>
        <w:rPr>
          <w:lang w:val="en-CA"/>
        </w:rPr>
        <w:t>That said</w:t>
      </w:r>
      <w:r w:rsidR="00276A1F" w:rsidRPr="000E73A2">
        <w:rPr>
          <w:lang w:val="en-CA"/>
        </w:rPr>
        <w:t xml:space="preserve">, </w:t>
      </w:r>
      <w:r w:rsidR="00222F92">
        <w:rPr>
          <w:lang w:val="en-CA"/>
        </w:rPr>
        <w:t>“</w:t>
      </w:r>
      <w:r w:rsidR="00222F92" w:rsidRPr="00222F92">
        <w:rPr>
          <w:lang w:val="en-CA"/>
        </w:rPr>
        <w:t xml:space="preserve">the inadequacy of reasons </w:t>
      </w:r>
      <w:r w:rsidR="00222F92">
        <w:rPr>
          <w:lang w:val="en-CA"/>
        </w:rPr>
        <w:t xml:space="preserve">[does not] </w:t>
      </w:r>
      <w:r w:rsidR="00222F92" w:rsidRPr="00222F92">
        <w:rPr>
          <w:lang w:val="en-CA"/>
        </w:rPr>
        <w:t>provide</w:t>
      </w:r>
      <w:r w:rsidR="00222F92">
        <w:rPr>
          <w:lang w:val="en-CA"/>
        </w:rPr>
        <w:t>[…]</w:t>
      </w:r>
      <w:r w:rsidR="00222F92" w:rsidRPr="00222F92">
        <w:rPr>
          <w:lang w:val="en-CA"/>
        </w:rPr>
        <w:t xml:space="preserve"> a free-standing right of appeal and </w:t>
      </w:r>
      <w:r w:rsidR="00222F92">
        <w:rPr>
          <w:lang w:val="en-CA"/>
        </w:rPr>
        <w:t xml:space="preserve">[does not] </w:t>
      </w:r>
      <w:r w:rsidR="00222F92" w:rsidRPr="00222F92">
        <w:rPr>
          <w:lang w:val="en-CA"/>
        </w:rPr>
        <w:t>in itself confer</w:t>
      </w:r>
      <w:r w:rsidR="00222F92">
        <w:rPr>
          <w:lang w:val="en-CA"/>
        </w:rPr>
        <w:t>[…]</w:t>
      </w:r>
      <w:r w:rsidR="00222F92" w:rsidRPr="00222F92">
        <w:rPr>
          <w:lang w:val="en-CA"/>
        </w:rPr>
        <w:t xml:space="preserve"> entitlement to appellate intervention</w:t>
      </w:r>
      <w:r w:rsidR="00222F92">
        <w:rPr>
          <w:lang w:val="en-CA"/>
        </w:rPr>
        <w:t>.”</w:t>
      </w:r>
      <w:r w:rsidR="00276A1F" w:rsidRPr="000E73A2">
        <w:rPr>
          <w:rStyle w:val="Appelnotedebasdep"/>
          <w:lang w:val="en-CA"/>
        </w:rPr>
        <w:footnoteReference w:id="28"/>
      </w:r>
      <w:r w:rsidR="00276A1F" w:rsidRPr="000E73A2">
        <w:rPr>
          <w:lang w:val="en-CA"/>
        </w:rPr>
        <w:t xml:space="preserve"> </w:t>
      </w:r>
      <w:r>
        <w:rPr>
          <w:lang w:val="en-CA"/>
        </w:rPr>
        <w:t>Of course,</w:t>
      </w:r>
      <w:r w:rsidR="00276A1F" w:rsidRPr="000E73A2">
        <w:rPr>
          <w:lang w:val="en-CA"/>
        </w:rPr>
        <w:t xml:space="preserve"> </w:t>
      </w:r>
      <w:r w:rsidR="00222F92">
        <w:rPr>
          <w:lang w:val="en-CA"/>
        </w:rPr>
        <w:t>“</w:t>
      </w:r>
      <w:r w:rsidR="00222F92" w:rsidRPr="00222F92">
        <w:rPr>
          <w:lang w:val="en-CA"/>
        </w:rPr>
        <w:t>not every failure or deficiency in the reasons provides a ground of appeal</w:t>
      </w:r>
      <w:r w:rsidR="00222F92">
        <w:rPr>
          <w:lang w:val="en-CA"/>
        </w:rPr>
        <w:t>,”</w:t>
      </w:r>
      <w:r w:rsidR="00276A1F" w:rsidRPr="000E73A2">
        <w:rPr>
          <w:rStyle w:val="Appelnotedebasdep"/>
          <w:lang w:val="en-CA"/>
        </w:rPr>
        <w:footnoteReference w:id="29"/>
      </w:r>
      <w:r w:rsidR="00222F92">
        <w:rPr>
          <w:lang w:val="en-CA"/>
        </w:rPr>
        <w:t xml:space="preserve"> </w:t>
      </w:r>
      <w:r>
        <w:rPr>
          <w:lang w:val="en-CA"/>
        </w:rPr>
        <w:t>because</w:t>
      </w:r>
      <w:r w:rsidR="00276A1F" w:rsidRPr="000E73A2">
        <w:rPr>
          <w:lang w:val="en-CA"/>
        </w:rPr>
        <w:t xml:space="preserve"> </w:t>
      </w:r>
      <w:r w:rsidR="00B975C0">
        <w:rPr>
          <w:lang w:val="en-CA"/>
        </w:rPr>
        <w:t>“e</w:t>
      </w:r>
      <w:r w:rsidR="00B975C0" w:rsidRPr="00B975C0">
        <w:rPr>
          <w:lang w:val="en-CA"/>
        </w:rPr>
        <w:t>nough was said in the trial judge’s reasons to show that he came to grips with the issues</w:t>
      </w:r>
      <w:r w:rsidR="00F84A15">
        <w:rPr>
          <w:lang w:val="en-CA"/>
        </w:rPr>
        <w:t>.”</w:t>
      </w:r>
      <w:r w:rsidR="00276A1F" w:rsidRPr="000E73A2">
        <w:rPr>
          <w:rStyle w:val="Appelnotedebasdep"/>
          <w:lang w:val="en-CA"/>
        </w:rPr>
        <w:footnoteReference w:id="30"/>
      </w:r>
    </w:p>
    <w:p w14:paraId="2700310F" w14:textId="4B9C216B" w:rsidR="00276A1F" w:rsidRPr="000E73A2" w:rsidRDefault="00BC01CE" w:rsidP="00B21BF4">
      <w:pPr>
        <w:pStyle w:val="Paragraphe"/>
        <w:spacing w:before="180" w:after="180" w:line="280" w:lineRule="exact"/>
        <w:rPr>
          <w:lang w:val="en-CA"/>
        </w:rPr>
      </w:pPr>
      <w:r w:rsidRPr="00BC01CE">
        <w:rPr>
          <w:lang w:val="en-CA"/>
        </w:rPr>
        <w:lastRenderedPageBreak/>
        <w:t>Since this case concerns an appeal by the prosecut</w:t>
      </w:r>
      <w:r>
        <w:rPr>
          <w:lang w:val="en-CA"/>
        </w:rPr>
        <w:t>ion</w:t>
      </w:r>
      <w:r w:rsidRPr="00BC01CE">
        <w:rPr>
          <w:lang w:val="en-CA"/>
        </w:rPr>
        <w:t xml:space="preserve"> against an acquittal, it is important to emphasi</w:t>
      </w:r>
      <w:r>
        <w:rPr>
          <w:lang w:val="en-CA"/>
        </w:rPr>
        <w:t>z</w:t>
      </w:r>
      <w:r w:rsidRPr="00BC01CE">
        <w:rPr>
          <w:lang w:val="en-CA"/>
        </w:rPr>
        <w:t xml:space="preserve">e the fundamental importance of the presumption of innocence because of its impact on the duty to </w:t>
      </w:r>
      <w:r>
        <w:rPr>
          <w:lang w:val="en-CA"/>
        </w:rPr>
        <w:t>give</w:t>
      </w:r>
      <w:r w:rsidRPr="00BC01CE">
        <w:rPr>
          <w:lang w:val="en-CA"/>
        </w:rPr>
        <w:t xml:space="preserve"> reasons. An excellent summary can be found in </w:t>
      </w:r>
      <w:r w:rsidR="00276A1F" w:rsidRPr="000E73A2">
        <w:rPr>
          <w:i/>
          <w:iCs/>
          <w:lang w:val="en-CA"/>
        </w:rPr>
        <w:t>Kruk</w:t>
      </w:r>
      <w:r w:rsidRPr="00BC01CE">
        <w:rPr>
          <w:lang w:val="en-CA"/>
        </w:rPr>
        <w:t>:</w:t>
      </w:r>
      <w:r w:rsidR="00276A1F" w:rsidRPr="000E73A2">
        <w:rPr>
          <w:rStyle w:val="Appelnotedebasdep"/>
          <w:lang w:val="en-CA"/>
        </w:rPr>
        <w:footnoteReference w:id="31"/>
      </w:r>
    </w:p>
    <w:p w14:paraId="4D66DF9E" w14:textId="2E4CC912" w:rsidR="00276A1F" w:rsidRPr="000E73A2" w:rsidRDefault="00276A1F" w:rsidP="00187BA6">
      <w:pPr>
        <w:pStyle w:val="Citationenretrait"/>
        <w:rPr>
          <w:rFonts w:ascii="Times New Roman" w:hAnsi="Times New Roman"/>
          <w:lang w:val="en-CA" w:eastAsia="fr-CA"/>
        </w:rPr>
      </w:pPr>
      <w:r w:rsidRPr="000E73A2">
        <w:rPr>
          <w:lang w:val="en-CA"/>
        </w:rPr>
        <w:t>[</w:t>
      </w:r>
      <w:bookmarkStart w:id="19" w:name="par61"/>
      <w:r w:rsidRPr="000E73A2">
        <w:rPr>
          <w:lang w:val="en-CA"/>
        </w:rPr>
        <w:t>61</w:t>
      </w:r>
      <w:bookmarkEnd w:id="19"/>
      <w:r w:rsidRPr="000E73A2">
        <w:rPr>
          <w:lang w:val="en-CA"/>
        </w:rPr>
        <w:t>]</w:t>
      </w:r>
      <w:r w:rsidRPr="000E73A2">
        <w:rPr>
          <w:lang w:val="en-CA"/>
        </w:rPr>
        <w:tab/>
      </w:r>
      <w:r w:rsidR="00E5416B" w:rsidRPr="00E5416B">
        <w:rPr>
          <w:lang w:val="en-CA"/>
        </w:rPr>
        <w:t>The presumption of innocence also restricts how credibility is assessed in cases of conflicting testimony between defence and Crown witnesses. The analysis of testimony must never be treated as a contest of credibility, and triers of fact need not accept the defence’s evidence or version of events in order to acquit (</w:t>
      </w:r>
      <w:r w:rsidR="00E5416B" w:rsidRPr="00E5416B">
        <w:rPr>
          <w:i/>
          <w:iCs/>
          <w:lang w:val="en-CA"/>
        </w:rPr>
        <w:t>R. v. Van</w:t>
      </w:r>
      <w:r w:rsidR="00E5416B" w:rsidRPr="00E5416B">
        <w:rPr>
          <w:lang w:val="en-CA"/>
        </w:rPr>
        <w:t xml:space="preserve">, 2009 SCC 22, [2009] 1 S.C.R. 716, at para. 23; </w:t>
      </w:r>
      <w:r w:rsidR="00E5416B" w:rsidRPr="00E5416B">
        <w:rPr>
          <w:i/>
          <w:iCs/>
          <w:lang w:val="en-CA"/>
        </w:rPr>
        <w:t>R. v. W. (D.)</w:t>
      </w:r>
      <w:r w:rsidR="00E5416B" w:rsidRPr="00E5416B">
        <w:rPr>
          <w:lang w:val="en-CA"/>
        </w:rPr>
        <w:t xml:space="preserve">, [1991] 1 S.C.R. 742, at p. 757). The burden </w:t>
      </w:r>
      <w:r w:rsidR="00E5416B" w:rsidRPr="00BC01CE">
        <w:rPr>
          <w:i/>
          <w:iCs/>
          <w:lang w:val="en-CA"/>
        </w:rPr>
        <w:t>never</w:t>
      </w:r>
      <w:r w:rsidR="00E5416B" w:rsidRPr="00E5416B">
        <w:rPr>
          <w:lang w:val="en-CA"/>
        </w:rPr>
        <w:t xml:space="preserve"> shifts to the accused to establish their own innocence, and the onus always lies with the Crown to prove every essential element (</w:t>
      </w:r>
      <w:r w:rsidR="00E5416B" w:rsidRPr="00E5416B">
        <w:rPr>
          <w:i/>
          <w:iCs/>
          <w:lang w:val="en-CA"/>
        </w:rPr>
        <w:t>R. v. J.H.S.</w:t>
      </w:r>
      <w:r w:rsidR="00E5416B" w:rsidRPr="00E5416B">
        <w:rPr>
          <w:lang w:val="en-CA"/>
        </w:rPr>
        <w:t>, 2008 SCC 30, [2008] 2 S.C.R. 152, at para. 13)</w:t>
      </w:r>
      <w:r w:rsidRPr="000E73A2">
        <w:rPr>
          <w:lang w:val="en-CA"/>
        </w:rPr>
        <w:t>.</w:t>
      </w:r>
    </w:p>
    <w:p w14:paraId="7E9DA210" w14:textId="6FFB6962" w:rsidR="00276A1F" w:rsidRPr="000E73A2" w:rsidRDefault="00276A1F" w:rsidP="00187BA6">
      <w:pPr>
        <w:pStyle w:val="Citationenretrait"/>
        <w:rPr>
          <w:lang w:val="en-CA"/>
        </w:rPr>
      </w:pPr>
      <w:r w:rsidRPr="000E73A2">
        <w:rPr>
          <w:lang w:val="en-CA"/>
        </w:rPr>
        <w:t>[</w:t>
      </w:r>
      <w:bookmarkStart w:id="20" w:name="par62"/>
      <w:r w:rsidRPr="000E73A2">
        <w:rPr>
          <w:lang w:val="en-CA"/>
        </w:rPr>
        <w:t>62</w:t>
      </w:r>
      <w:bookmarkEnd w:id="20"/>
      <w:r w:rsidRPr="000E73A2">
        <w:rPr>
          <w:lang w:val="en-CA"/>
        </w:rPr>
        <w:t>]</w:t>
      </w:r>
      <w:r w:rsidRPr="000E73A2">
        <w:rPr>
          <w:sz w:val="14"/>
          <w:szCs w:val="14"/>
          <w:lang w:val="en-CA"/>
        </w:rPr>
        <w:tab/>
      </w:r>
      <w:r w:rsidR="00E5416B" w:rsidRPr="00E5416B">
        <w:rPr>
          <w:lang w:val="en-CA"/>
        </w:rPr>
        <w:t xml:space="preserve">Reasonable doubt applies to credibility assessments such that if the evidence the Crown adduced does not rise to the level required of a criminal conviction, an accused cannot be found guilty simply because they are disbelieved (see </w:t>
      </w:r>
      <w:r w:rsidR="00E5416B" w:rsidRPr="00E5416B">
        <w:rPr>
          <w:i/>
          <w:iCs/>
          <w:lang w:val="en-CA"/>
        </w:rPr>
        <w:t>W. (D.)</w:t>
      </w:r>
      <w:r w:rsidR="00E5416B" w:rsidRPr="00E5416B">
        <w:rPr>
          <w:lang w:val="en-CA"/>
        </w:rPr>
        <w:t>). Some elements of the totality of the evidence may give rise to a reasonable doubt, even where much — or all — of the accused’s evidence is disbelieved. Any aspect of the accepted evidence, or the absence of evidence, may ground a reasonable doubt. Moreover, where the trier of fact does not know whether to believe the accused’s testimony, or does not know who to believe, the accused is entitled to an acquittal (</w:t>
      </w:r>
      <w:r w:rsidR="00E5416B" w:rsidRPr="00E5416B">
        <w:rPr>
          <w:i/>
          <w:iCs/>
          <w:lang w:val="en-CA"/>
        </w:rPr>
        <w:t>J.H.S.</w:t>
      </w:r>
      <w:r w:rsidR="00E5416B" w:rsidRPr="00E5416B">
        <w:rPr>
          <w:lang w:val="en-CA"/>
        </w:rPr>
        <w:t xml:space="preserve">, at paras. 9-13; </w:t>
      </w:r>
      <w:r w:rsidR="00E5416B" w:rsidRPr="00E5416B">
        <w:rPr>
          <w:i/>
          <w:iCs/>
          <w:lang w:val="en-CA"/>
        </w:rPr>
        <w:t>R. v. H. (C.W.)</w:t>
      </w:r>
      <w:r w:rsidR="00E5416B" w:rsidRPr="00E5416B">
        <w:rPr>
          <w:lang w:val="en-CA"/>
        </w:rPr>
        <w:t xml:space="preserve"> (1991), 68 C.C.C. (3d) 146 (B.C.C.A.); </w:t>
      </w:r>
      <w:r w:rsidR="00E5416B" w:rsidRPr="00E5416B">
        <w:rPr>
          <w:i/>
          <w:iCs/>
          <w:lang w:val="en-CA"/>
        </w:rPr>
        <w:t>R. v. S. (W.D.)</w:t>
      </w:r>
      <w:r w:rsidR="00E5416B" w:rsidRPr="00E5416B">
        <w:rPr>
          <w:lang w:val="en-CA"/>
        </w:rPr>
        <w:t xml:space="preserve">, [1994] 3 S.C.R. 521, at p. 533; </w:t>
      </w:r>
      <w:r w:rsidR="00E5416B" w:rsidRPr="00E5416B">
        <w:rPr>
          <w:i/>
          <w:iCs/>
          <w:lang w:val="en-CA"/>
        </w:rPr>
        <w:t xml:space="preserve">R. v. </w:t>
      </w:r>
      <w:proofErr w:type="spellStart"/>
      <w:r w:rsidR="00E5416B" w:rsidRPr="00E5416B">
        <w:rPr>
          <w:i/>
          <w:iCs/>
          <w:lang w:val="en-CA"/>
        </w:rPr>
        <w:t>Avetysan</w:t>
      </w:r>
      <w:proofErr w:type="spellEnd"/>
      <w:r w:rsidR="00E5416B" w:rsidRPr="00E5416B">
        <w:rPr>
          <w:lang w:val="en-CA"/>
        </w:rPr>
        <w:t>, 2000 SCC 56, [2000] 2 S.C.R. 745, at para. 19). Finally, where the Crown relies on circumstantial evidence to establish guilt, the trier of fact may only convict if guilt is the only reasonable inference from the evidence (</w:t>
      </w:r>
      <w:r w:rsidR="00E5416B" w:rsidRPr="00E5416B">
        <w:rPr>
          <w:i/>
          <w:iCs/>
          <w:lang w:val="en-CA"/>
        </w:rPr>
        <w:t xml:space="preserve">R. v. </w:t>
      </w:r>
      <w:proofErr w:type="spellStart"/>
      <w:r w:rsidR="00E5416B" w:rsidRPr="00E5416B">
        <w:rPr>
          <w:i/>
          <w:iCs/>
          <w:lang w:val="en-CA"/>
        </w:rPr>
        <w:t>Villaroman</w:t>
      </w:r>
      <w:proofErr w:type="spellEnd"/>
      <w:r w:rsidR="00E5416B" w:rsidRPr="00E5416B">
        <w:rPr>
          <w:lang w:val="en-CA"/>
        </w:rPr>
        <w:t>, 2016 SCC 33, [2016] 1 S.C.R. 1000, at para. 30)</w:t>
      </w:r>
      <w:r w:rsidRPr="000E73A2">
        <w:rPr>
          <w:lang w:val="en-CA"/>
        </w:rPr>
        <w:t>.</w:t>
      </w:r>
    </w:p>
    <w:p w14:paraId="005F2EB6" w14:textId="40F17DD3" w:rsidR="00276A1F" w:rsidRPr="000E73A2" w:rsidRDefault="00D55B05" w:rsidP="00B21BF4">
      <w:pPr>
        <w:pStyle w:val="Paragraphe"/>
        <w:spacing w:before="180" w:after="180" w:line="280" w:lineRule="exact"/>
        <w:rPr>
          <w:lang w:val="en-CA"/>
        </w:rPr>
      </w:pPr>
      <w:r w:rsidRPr="00D55B05">
        <w:rPr>
          <w:lang w:val="en-CA"/>
        </w:rPr>
        <w:t xml:space="preserve">Furthermore, it is important to recall the </w:t>
      </w:r>
      <w:r w:rsidR="00803733">
        <w:rPr>
          <w:lang w:val="en-CA"/>
        </w:rPr>
        <w:t>caution</w:t>
      </w:r>
      <w:r w:rsidRPr="00D55B05">
        <w:rPr>
          <w:lang w:val="en-CA"/>
        </w:rPr>
        <w:t xml:space="preserve"> issued by Binnie</w:t>
      </w:r>
      <w:r>
        <w:rPr>
          <w:lang w:val="en-CA"/>
        </w:rPr>
        <w:t xml:space="preserve"> J.</w:t>
      </w:r>
      <w:r w:rsidRPr="00D55B05">
        <w:rPr>
          <w:lang w:val="en-CA"/>
        </w:rPr>
        <w:t xml:space="preserve"> in </w:t>
      </w:r>
      <w:r w:rsidR="00276A1F" w:rsidRPr="000E73A2">
        <w:rPr>
          <w:i/>
          <w:iCs/>
          <w:lang w:val="en-CA"/>
        </w:rPr>
        <w:t>Walker</w:t>
      </w:r>
      <w:r w:rsidRPr="00D55B05">
        <w:rPr>
          <w:lang w:val="en-CA"/>
        </w:rPr>
        <w:t>,</w:t>
      </w:r>
      <w:r w:rsidR="00276A1F" w:rsidRPr="000E73A2">
        <w:rPr>
          <w:rStyle w:val="Appelnotedebasdep"/>
          <w:lang w:val="en-CA"/>
        </w:rPr>
        <w:footnoteReference w:id="32"/>
      </w:r>
      <w:r w:rsidR="00276A1F" w:rsidRPr="000E73A2">
        <w:rPr>
          <w:i/>
          <w:iCs/>
          <w:lang w:val="en-CA"/>
        </w:rPr>
        <w:t xml:space="preserve"> </w:t>
      </w:r>
      <w:r w:rsidRPr="00D55B05">
        <w:rPr>
          <w:lang w:val="en-CA"/>
        </w:rPr>
        <w:t>namely that deficiencies in the reason</w:t>
      </w:r>
      <w:r w:rsidR="00803733">
        <w:rPr>
          <w:lang w:val="en-CA"/>
        </w:rPr>
        <w:t>s</w:t>
      </w:r>
      <w:r w:rsidRPr="00D55B05">
        <w:rPr>
          <w:lang w:val="en-CA"/>
        </w:rPr>
        <w:t xml:space="preserve"> for acquittal should not give rise to </w:t>
      </w:r>
      <w:r>
        <w:rPr>
          <w:lang w:val="en-CA"/>
        </w:rPr>
        <w:t xml:space="preserve">a ground of </w:t>
      </w:r>
      <w:r w:rsidRPr="00D55B05">
        <w:rPr>
          <w:lang w:val="en-CA"/>
        </w:rPr>
        <w:t>unreasonable acquittal</w:t>
      </w:r>
      <w:r w:rsidR="00276A1F" w:rsidRPr="000E73A2">
        <w:rPr>
          <w:lang w:val="en-CA"/>
        </w:rPr>
        <w:t>:</w:t>
      </w:r>
    </w:p>
    <w:p w14:paraId="5E8FA8FF" w14:textId="102C4041" w:rsidR="00276A1F" w:rsidRPr="000E73A2" w:rsidRDefault="00276A1F" w:rsidP="00187BA6">
      <w:pPr>
        <w:pStyle w:val="Citationenretrait"/>
        <w:rPr>
          <w:lang w:val="en-CA"/>
        </w:rPr>
      </w:pPr>
      <w:r w:rsidRPr="000E73A2">
        <w:rPr>
          <w:lang w:val="en-CA"/>
        </w:rPr>
        <w:t>[</w:t>
      </w:r>
      <w:bookmarkStart w:id="21" w:name="par2"/>
      <w:r w:rsidRPr="000E73A2">
        <w:rPr>
          <w:lang w:val="en-CA"/>
        </w:rPr>
        <w:t>2</w:t>
      </w:r>
      <w:bookmarkEnd w:id="21"/>
      <w:r w:rsidRPr="000E73A2">
        <w:rPr>
          <w:lang w:val="en-CA"/>
        </w:rPr>
        <w:t>]</w:t>
      </w:r>
      <w:r w:rsidRPr="000E73A2">
        <w:rPr>
          <w:sz w:val="14"/>
          <w:szCs w:val="14"/>
          <w:lang w:val="en-CA"/>
        </w:rPr>
        <w:tab/>
      </w:r>
      <w:r w:rsidR="00C525B0" w:rsidRPr="00C525B0">
        <w:rPr>
          <w:lang w:val="en-CA"/>
        </w:rPr>
        <w:t xml:space="preserve">In my view, with respect, while the trial judge’s duty to give reasons applies generally to acquittals as much as to convictions, the </w:t>
      </w:r>
      <w:r w:rsidR="00C525B0" w:rsidRPr="00D55B05">
        <w:rPr>
          <w:i/>
          <w:iCs/>
          <w:lang w:val="en-CA"/>
        </w:rPr>
        <w:t>content</w:t>
      </w:r>
      <w:r w:rsidR="00C525B0" w:rsidRPr="00C525B0">
        <w:rPr>
          <w:lang w:val="en-CA"/>
        </w:rPr>
        <w:t xml:space="preserve"> of the reasons necessary to give full effect to the right of appeal is governed by the different issues to which the reasons are directed on an acquittal (perhaps no more than the basis of a reasonable doubt) and a conviction (factual findings showing the pathway to conviction, explaining why significant elements of the evidence are accepted, rejected or fail to raise a reasonable doubt).  Caution must be taken to avoid seizing </w:t>
      </w:r>
      <w:r w:rsidR="00C525B0" w:rsidRPr="00C525B0">
        <w:rPr>
          <w:lang w:val="en-CA"/>
        </w:rPr>
        <w:lastRenderedPageBreak/>
        <w:t xml:space="preserve">on perceived deficiencies in a trial judge’s reasons for acquittal to create a ground of “unreasonable acquittal” which is not open to the court under the provisions of the </w:t>
      </w:r>
      <w:r w:rsidR="00C525B0" w:rsidRPr="00C525B0">
        <w:rPr>
          <w:i/>
          <w:iCs/>
          <w:lang w:val="en-CA"/>
        </w:rPr>
        <w:t>Criminal Code</w:t>
      </w:r>
      <w:r w:rsidR="00C525B0" w:rsidRPr="00C525B0">
        <w:rPr>
          <w:lang w:val="en-CA"/>
        </w:rPr>
        <w:t>, R.S.C. 1985, c. C-46 (“</w:t>
      </w:r>
      <w:r w:rsidR="00C525B0" w:rsidRPr="008B4E47">
        <w:rPr>
          <w:i/>
          <w:iCs/>
          <w:lang w:val="en-CA"/>
        </w:rPr>
        <w:t>Cr. C.</w:t>
      </w:r>
      <w:r w:rsidR="00C525B0" w:rsidRPr="00C525B0">
        <w:rPr>
          <w:lang w:val="en-CA"/>
        </w:rPr>
        <w:t>”)</w:t>
      </w:r>
      <w:r w:rsidRPr="000E73A2">
        <w:rPr>
          <w:lang w:val="en-CA"/>
        </w:rPr>
        <w:t>. […]</w:t>
      </w:r>
    </w:p>
    <w:p w14:paraId="48533746" w14:textId="4A7A2E44" w:rsidR="00276A1F" w:rsidRPr="000E73A2" w:rsidRDefault="00803733" w:rsidP="00B21BF4">
      <w:pPr>
        <w:pStyle w:val="Paragraphe"/>
        <w:spacing w:before="180" w:after="180" w:line="280" w:lineRule="exact"/>
        <w:rPr>
          <w:lang w:val="en-CA"/>
        </w:rPr>
      </w:pPr>
      <w:r w:rsidRPr="00803733">
        <w:rPr>
          <w:lang w:val="en-CA"/>
        </w:rPr>
        <w:t>With respect to the limited right of the prosecut</w:t>
      </w:r>
      <w:r>
        <w:rPr>
          <w:lang w:val="en-CA"/>
        </w:rPr>
        <w:t>ion</w:t>
      </w:r>
      <w:r w:rsidRPr="00803733">
        <w:rPr>
          <w:lang w:val="en-CA"/>
        </w:rPr>
        <w:t xml:space="preserve"> to appeal an acquittal, Binnie</w:t>
      </w:r>
      <w:r>
        <w:rPr>
          <w:lang w:val="en-CA"/>
        </w:rPr>
        <w:t xml:space="preserve"> J.</w:t>
      </w:r>
      <w:r w:rsidRPr="00803733">
        <w:rPr>
          <w:lang w:val="en-CA"/>
        </w:rPr>
        <w:t xml:space="preserve"> </w:t>
      </w:r>
      <w:r>
        <w:rPr>
          <w:lang w:val="en-CA"/>
        </w:rPr>
        <w:t>elaborated</w:t>
      </w:r>
      <w:r w:rsidRPr="00803733">
        <w:rPr>
          <w:lang w:val="en-CA"/>
        </w:rPr>
        <w:t xml:space="preserve"> as follows</w:t>
      </w:r>
      <w:r w:rsidR="00276A1F" w:rsidRPr="000E73A2">
        <w:rPr>
          <w:lang w:val="en-CA"/>
        </w:rPr>
        <w:t>:</w:t>
      </w:r>
    </w:p>
    <w:p w14:paraId="3B7C4B3A" w14:textId="7712E6E8" w:rsidR="00276A1F" w:rsidRPr="000E73A2" w:rsidRDefault="00276A1F" w:rsidP="00187BA6">
      <w:pPr>
        <w:pStyle w:val="Citationenretrait"/>
        <w:rPr>
          <w:lang w:val="en-CA"/>
        </w:rPr>
      </w:pPr>
      <w:r w:rsidRPr="000E73A2">
        <w:rPr>
          <w:lang w:val="en-CA" w:eastAsia="fr-CA"/>
        </w:rPr>
        <w:t>[21]</w:t>
      </w:r>
      <w:r w:rsidRPr="000E73A2">
        <w:rPr>
          <w:lang w:val="en-CA" w:eastAsia="fr-CA"/>
        </w:rPr>
        <w:tab/>
      </w:r>
      <w:r w:rsidR="00C525B0" w:rsidRPr="00C525B0">
        <w:rPr>
          <w:lang w:val="en-CA" w:eastAsia="fr-CA"/>
        </w:rPr>
        <w:t xml:space="preserve">In this case, the Crown argues that the perceived deficiencies in the trial judge’s reasons undermined the exercise of its statutory right of appeal.  However, the Crown’s argument must be assessed in light of the Crown’s limited right of appeal from an acquittal (“a question of law alone” (s. 676(1)(a) </w:t>
      </w:r>
      <w:r w:rsidR="00C525B0" w:rsidRPr="00C525B0">
        <w:rPr>
          <w:i/>
          <w:iCs/>
          <w:lang w:val="en-CA" w:eastAsia="fr-CA"/>
        </w:rPr>
        <w:t>Cr. C.</w:t>
      </w:r>
      <w:r w:rsidR="00C525B0" w:rsidRPr="00C525B0">
        <w:rPr>
          <w:lang w:val="en-CA" w:eastAsia="fr-CA"/>
        </w:rPr>
        <w:t xml:space="preserve">)) in contrast to the broader right of appeal given by Parliament to an accused from a conviction.  In particular, the Crown has no right to appeal what it regards as an “unreasonable acquittal”:  </w:t>
      </w:r>
      <w:r w:rsidR="00C525B0" w:rsidRPr="00C525B0">
        <w:rPr>
          <w:i/>
          <w:iCs/>
          <w:lang w:val="en-CA" w:eastAsia="fr-CA"/>
        </w:rPr>
        <w:t>R. v. Kent</w:t>
      </w:r>
      <w:r w:rsidR="00C525B0" w:rsidRPr="00C525B0">
        <w:rPr>
          <w:lang w:val="en-CA" w:eastAsia="fr-CA"/>
        </w:rPr>
        <w:t xml:space="preserve">, [1994] 3 S.C.R. 133; </w:t>
      </w:r>
      <w:r w:rsidR="00C525B0" w:rsidRPr="00C525B0">
        <w:rPr>
          <w:i/>
          <w:iCs/>
          <w:lang w:val="en-CA" w:eastAsia="fr-CA"/>
        </w:rPr>
        <w:t>R. v. Morin</w:t>
      </w:r>
      <w:r w:rsidR="00C525B0" w:rsidRPr="00C525B0">
        <w:rPr>
          <w:lang w:val="en-CA" w:eastAsia="fr-CA"/>
        </w:rPr>
        <w:t xml:space="preserve">, [1988] 2 S.C.R. 345, and </w:t>
      </w:r>
      <w:r w:rsidR="00C525B0" w:rsidRPr="00C525B0">
        <w:rPr>
          <w:i/>
          <w:iCs/>
          <w:lang w:val="en-CA" w:eastAsia="fr-CA"/>
        </w:rPr>
        <w:t xml:space="preserve">R. v. </w:t>
      </w:r>
      <w:proofErr w:type="spellStart"/>
      <w:r w:rsidR="00C525B0" w:rsidRPr="00C525B0">
        <w:rPr>
          <w:i/>
          <w:iCs/>
          <w:lang w:val="en-CA" w:eastAsia="fr-CA"/>
        </w:rPr>
        <w:t>Biniaris</w:t>
      </w:r>
      <w:proofErr w:type="spellEnd"/>
      <w:r w:rsidR="00C525B0" w:rsidRPr="00C525B0">
        <w:rPr>
          <w:lang w:val="en-CA" w:eastAsia="fr-CA"/>
        </w:rPr>
        <w:t>,  [2000] 1 S.C.R. 381, 2000 SCC 15, at para. 33</w:t>
      </w:r>
      <w:r w:rsidRPr="000E73A2">
        <w:rPr>
          <w:lang w:val="en-CA" w:eastAsia="fr-CA"/>
        </w:rPr>
        <w:t>.</w:t>
      </w:r>
    </w:p>
    <w:p w14:paraId="2A5EBEE6" w14:textId="23F6C7C7" w:rsidR="00276A1F" w:rsidRPr="000E73A2" w:rsidRDefault="00276A1F" w:rsidP="00187BA6">
      <w:pPr>
        <w:pStyle w:val="Citationenretrait"/>
        <w:rPr>
          <w:lang w:val="en-CA" w:eastAsia="fr-CA"/>
        </w:rPr>
      </w:pPr>
      <w:r w:rsidRPr="000E73A2">
        <w:rPr>
          <w:lang w:val="en-CA" w:eastAsia="fr-CA"/>
        </w:rPr>
        <w:t>[</w:t>
      </w:r>
      <w:bookmarkStart w:id="22" w:name="par22"/>
      <w:r w:rsidRPr="000E73A2">
        <w:rPr>
          <w:lang w:val="en-CA" w:eastAsia="fr-CA"/>
        </w:rPr>
        <w:t>22</w:t>
      </w:r>
      <w:bookmarkEnd w:id="22"/>
      <w:r w:rsidRPr="000E73A2">
        <w:rPr>
          <w:lang w:val="en-CA" w:eastAsia="fr-CA"/>
        </w:rPr>
        <w:t>]</w:t>
      </w:r>
      <w:r w:rsidRPr="000E73A2">
        <w:rPr>
          <w:sz w:val="14"/>
          <w:szCs w:val="14"/>
          <w:lang w:val="en-CA" w:eastAsia="fr-CA"/>
        </w:rPr>
        <w:tab/>
      </w:r>
      <w:r w:rsidR="00C525B0" w:rsidRPr="00C525B0">
        <w:rPr>
          <w:lang w:val="en-CA" w:eastAsia="fr-CA"/>
        </w:rPr>
        <w:t xml:space="preserve">A major difference between the position of the Crown and the accused in a criminal trial, of course, is that the accused benefits from the presumption of innocence.  The intervener Attorney General of Ontario argues that “[t]he fact that the accused is presumed innocent doesn’t derogate in any way from the judge’s duty to correctly apply all applicable legal principles” (Factum, at para. 7).  This is true, so far as it goes, but whereas a conviction requires the prosecution to establish each of the factual elements of the offence beyond a reasonable doubt, no such requirement applies to an acquittal which, unlike a conviction, can rest simply on the </w:t>
      </w:r>
      <w:r w:rsidR="00C525B0" w:rsidRPr="00803733">
        <w:rPr>
          <w:i/>
          <w:iCs/>
          <w:lang w:val="en-CA" w:eastAsia="fr-CA"/>
        </w:rPr>
        <w:t>absence</w:t>
      </w:r>
      <w:r w:rsidR="00C525B0" w:rsidRPr="00C525B0">
        <w:rPr>
          <w:lang w:val="en-CA" w:eastAsia="fr-CA"/>
        </w:rPr>
        <w:t xml:space="preserve"> of proof.  The trial judge may just conclude that one or more of the elements of the offence was “not proven” to the criminal standard.  </w:t>
      </w:r>
      <w:r w:rsidR="00C525B0" w:rsidRPr="00C525B0">
        <w:rPr>
          <w:u w:val="single"/>
          <w:lang w:val="en-CA" w:eastAsia="fr-CA"/>
        </w:rPr>
        <w:t>This difference does not excuse a trial judge from failure to provide intelligible reasons for an acquittal, but it necessarily informs an assessment of whether the reasons are so deficient as to preclude effective appellate review</w:t>
      </w:r>
      <w:r w:rsidRPr="000E73A2">
        <w:rPr>
          <w:lang w:val="en-CA" w:eastAsia="fr-CA"/>
        </w:rPr>
        <w:t>.</w:t>
      </w:r>
    </w:p>
    <w:p w14:paraId="0FCE3455" w14:textId="19B3DE35" w:rsidR="00276A1F" w:rsidRPr="000E73A2" w:rsidRDefault="00276A1F" w:rsidP="00187BA6">
      <w:pPr>
        <w:pStyle w:val="Citationenretrait"/>
        <w:jc w:val="right"/>
        <w:rPr>
          <w:lang w:val="en-CA" w:eastAsia="fr-CA"/>
        </w:rPr>
      </w:pPr>
      <w:r w:rsidRPr="000E73A2">
        <w:rPr>
          <w:lang w:val="en-CA" w:eastAsia="fr-CA"/>
        </w:rPr>
        <w:t>[</w:t>
      </w:r>
      <w:r w:rsidR="00803733">
        <w:rPr>
          <w:lang w:val="en-CA" w:eastAsia="fr-CA"/>
        </w:rPr>
        <w:t>Underlining added</w:t>
      </w:r>
      <w:r w:rsidRPr="000E73A2">
        <w:rPr>
          <w:lang w:val="en-CA" w:eastAsia="fr-CA"/>
        </w:rPr>
        <w:t>]</w:t>
      </w:r>
    </w:p>
    <w:p w14:paraId="74BA4BE3" w14:textId="56238CF9" w:rsidR="00276A1F" w:rsidRPr="000E73A2" w:rsidRDefault="00803733" w:rsidP="00B21BF4">
      <w:pPr>
        <w:pStyle w:val="Paragraphe"/>
        <w:spacing w:before="180" w:after="180" w:line="280" w:lineRule="exact"/>
        <w:rPr>
          <w:lang w:val="en-CA"/>
        </w:rPr>
      </w:pPr>
      <w:r w:rsidRPr="00803733">
        <w:rPr>
          <w:lang w:val="en-CA"/>
        </w:rPr>
        <w:t>To conclude on the approach to be followed when the prosecut</w:t>
      </w:r>
      <w:r w:rsidR="00EA33AE">
        <w:rPr>
          <w:lang w:val="en-CA"/>
        </w:rPr>
        <w:t>ion</w:t>
      </w:r>
      <w:r w:rsidRPr="00803733">
        <w:rPr>
          <w:lang w:val="en-CA"/>
        </w:rPr>
        <w:t xml:space="preserve"> raises the </w:t>
      </w:r>
      <w:r w:rsidR="00EA33AE">
        <w:rPr>
          <w:lang w:val="en-CA"/>
        </w:rPr>
        <w:t>inadequacy of reasons</w:t>
      </w:r>
      <w:r w:rsidRPr="00803733">
        <w:rPr>
          <w:lang w:val="en-CA"/>
        </w:rPr>
        <w:t xml:space="preserve"> in the trial judgment, I </w:t>
      </w:r>
      <w:r w:rsidR="008B4E47">
        <w:rPr>
          <w:lang w:val="en-CA"/>
        </w:rPr>
        <w:t>believe</w:t>
      </w:r>
      <w:r w:rsidRPr="00803733">
        <w:rPr>
          <w:lang w:val="en-CA"/>
        </w:rPr>
        <w:t xml:space="preserve"> it </w:t>
      </w:r>
      <w:r w:rsidR="008B4E47">
        <w:rPr>
          <w:lang w:val="en-CA"/>
        </w:rPr>
        <w:t>will be helpful</w:t>
      </w:r>
      <w:r w:rsidRPr="00803733">
        <w:rPr>
          <w:lang w:val="en-CA"/>
        </w:rPr>
        <w:t xml:space="preserve"> to refer to the summary of these principles provided by Fairburn </w:t>
      </w:r>
      <w:r w:rsidR="00EA33AE">
        <w:rPr>
          <w:lang w:val="en-CA"/>
        </w:rPr>
        <w:t xml:space="preserve">A.C.J.O. </w:t>
      </w:r>
      <w:r w:rsidRPr="00803733">
        <w:rPr>
          <w:lang w:val="en-CA"/>
        </w:rPr>
        <w:t xml:space="preserve">of the </w:t>
      </w:r>
      <w:r>
        <w:rPr>
          <w:lang w:val="en-CA"/>
        </w:rPr>
        <w:t xml:space="preserve">Court of Appeal for </w:t>
      </w:r>
      <w:r w:rsidRPr="00803733">
        <w:rPr>
          <w:lang w:val="en-CA"/>
        </w:rPr>
        <w:t xml:space="preserve">Ontario in </w:t>
      </w:r>
      <w:r w:rsidR="00276A1F" w:rsidRPr="000E73A2">
        <w:rPr>
          <w:i/>
          <w:iCs/>
          <w:lang w:val="en-CA"/>
        </w:rPr>
        <w:t>Aiken</w:t>
      </w:r>
      <w:r w:rsidRPr="00803733">
        <w:rPr>
          <w:lang w:val="en-CA"/>
        </w:rPr>
        <w:t>:</w:t>
      </w:r>
      <w:r w:rsidR="00276A1F" w:rsidRPr="000E73A2">
        <w:rPr>
          <w:rStyle w:val="Appelnotedebasdep"/>
          <w:lang w:val="en-CA"/>
        </w:rPr>
        <w:footnoteReference w:id="33"/>
      </w:r>
    </w:p>
    <w:p w14:paraId="29FE2759" w14:textId="77777777" w:rsidR="00276A1F" w:rsidRPr="000E73A2" w:rsidRDefault="00276A1F" w:rsidP="00187BA6">
      <w:pPr>
        <w:pStyle w:val="Citationenretrait"/>
        <w:rPr>
          <w:lang w:val="en-CA"/>
        </w:rPr>
      </w:pPr>
      <w:r w:rsidRPr="000E73A2">
        <w:rPr>
          <w:lang w:val="en-CA"/>
        </w:rPr>
        <w:t>[43]</w:t>
      </w:r>
      <w:r w:rsidRPr="000E73A2">
        <w:rPr>
          <w:lang w:val="en-CA"/>
        </w:rPr>
        <w:tab/>
        <w:t xml:space="preserve">While the duty to give reasons applies generally to both reasons for convictions and reasons for acquittals, particular caution must be exercised in relation to this ground of appeal when it is raised in the context of an appeal from acquittals: </w:t>
      </w:r>
      <w:r w:rsidRPr="000E73A2">
        <w:rPr>
          <w:i/>
          <w:iCs/>
          <w:lang w:val="en-CA"/>
        </w:rPr>
        <w:t>Walker</w:t>
      </w:r>
      <w:r w:rsidRPr="000E73A2">
        <w:rPr>
          <w:lang w:val="en-CA"/>
        </w:rPr>
        <w:t xml:space="preserve">, at para. 2. As noted in </w:t>
      </w:r>
      <w:r w:rsidRPr="000E73A2">
        <w:rPr>
          <w:i/>
          <w:iCs/>
          <w:lang w:val="en-CA"/>
        </w:rPr>
        <w:t>Walker</w:t>
      </w:r>
      <w:r w:rsidRPr="000E73A2">
        <w:rPr>
          <w:lang w:val="en-CA"/>
        </w:rPr>
        <w:t xml:space="preserve">, at para. 2, "the content of the </w:t>
      </w:r>
      <w:r w:rsidRPr="000E73A2">
        <w:rPr>
          <w:lang w:val="en-CA"/>
        </w:rPr>
        <w:lastRenderedPageBreak/>
        <w:t>reasons necessary to give full effect to the right of appeal is governed by the different issues to which the reasons are directed on an acquittal . . . and a conviction" (emphasis in original).</w:t>
      </w:r>
    </w:p>
    <w:p w14:paraId="163839C2" w14:textId="77777777" w:rsidR="00276A1F" w:rsidRPr="000E73A2" w:rsidRDefault="00276A1F" w:rsidP="00187BA6">
      <w:pPr>
        <w:pStyle w:val="Citationenretrait"/>
        <w:rPr>
          <w:lang w:val="en-CA"/>
        </w:rPr>
      </w:pPr>
      <w:r w:rsidRPr="000E73A2">
        <w:rPr>
          <w:lang w:val="en-CA"/>
        </w:rPr>
        <w:t>[44]</w:t>
      </w:r>
      <w:r w:rsidRPr="000E73A2">
        <w:rPr>
          <w:lang w:val="en-CA"/>
        </w:rPr>
        <w:tab/>
        <w:t xml:space="preserve">The difference between these situations lies in the fact that while a conviction requires satisfaction of proof beyond a reasonable doubt of every element of the offence, an acquittal can simply rest on the absence of proof: </w:t>
      </w:r>
      <w:r w:rsidRPr="000E73A2">
        <w:rPr>
          <w:i/>
          <w:iCs/>
          <w:lang w:val="en-CA"/>
        </w:rPr>
        <w:t>Walker</w:t>
      </w:r>
      <w:r w:rsidRPr="000E73A2">
        <w:rPr>
          <w:lang w:val="en-CA"/>
        </w:rPr>
        <w:t xml:space="preserve">, at para. 22. While this difference does not excuse a "failure to provide intelligible reasons for an acquittal", it does inform an "assessment of whether the reasons are so deficient as to preclude effective appellate review": </w:t>
      </w:r>
      <w:r w:rsidRPr="000E73A2">
        <w:rPr>
          <w:i/>
          <w:iCs/>
          <w:lang w:val="en-CA"/>
        </w:rPr>
        <w:t>Walker</w:t>
      </w:r>
      <w:r w:rsidRPr="000E73A2">
        <w:rPr>
          <w:lang w:val="en-CA"/>
        </w:rPr>
        <w:t xml:space="preserve">, at para. 22. The different approach to the adequacy of reasons for an acquittal guards against Crown appeals that are nothing more than claims of an "unreasonable acquittal" under the guise of claims of inadequacy of reasons: </w:t>
      </w:r>
      <w:r w:rsidRPr="000E73A2">
        <w:rPr>
          <w:i/>
          <w:iCs/>
          <w:lang w:val="en-CA"/>
        </w:rPr>
        <w:t>Walker</w:t>
      </w:r>
      <w:r w:rsidRPr="000E73A2">
        <w:rPr>
          <w:lang w:val="en-CA"/>
        </w:rPr>
        <w:t>, at paras. 2, 21.</w:t>
      </w:r>
    </w:p>
    <w:p w14:paraId="060C7257" w14:textId="77777777" w:rsidR="00276A1F" w:rsidRPr="000E73A2" w:rsidRDefault="00276A1F" w:rsidP="00187BA6">
      <w:pPr>
        <w:pStyle w:val="Citationenretrait"/>
        <w:rPr>
          <w:lang w:val="en-CA"/>
        </w:rPr>
      </w:pPr>
      <w:r w:rsidRPr="000E73A2">
        <w:rPr>
          <w:lang w:val="en-CA"/>
        </w:rPr>
        <w:t>[45]</w:t>
      </w:r>
      <w:r w:rsidRPr="000E73A2">
        <w:rPr>
          <w:lang w:val="en-CA"/>
        </w:rPr>
        <w:tab/>
        <w:t xml:space="preserve">In my view, it cannot be said that the appellant in this case is really complaining about an unreasonable acquittal or the simple rejection of a Crown theory that was advanced at trial. To the contrary, for the reasons that follow, I find that the appellant is really raising a concern over the fact that the reasons disclose no "intelligible basis for the verdict[s]" of acquittal: </w:t>
      </w:r>
      <w:r w:rsidRPr="000E73A2">
        <w:rPr>
          <w:i/>
          <w:iCs/>
          <w:lang w:val="en-CA"/>
        </w:rPr>
        <w:t>R. v. M. (R.E.)</w:t>
      </w:r>
      <w:r w:rsidRPr="000E73A2">
        <w:rPr>
          <w:lang w:val="en-CA"/>
        </w:rPr>
        <w:t xml:space="preserve">, [2008] 3 S.C.R. 3, [2008] S.C.J. No. 52, 2008 SCC 51, at para. 53; </w:t>
      </w:r>
      <w:r w:rsidRPr="000E73A2">
        <w:rPr>
          <w:i/>
          <w:iCs/>
          <w:lang w:val="en-CA"/>
        </w:rPr>
        <w:t>Sheppard</w:t>
      </w:r>
      <w:r w:rsidRPr="000E73A2">
        <w:rPr>
          <w:lang w:val="en-CA"/>
        </w:rPr>
        <w:t xml:space="preserve">, at para. 28; </w:t>
      </w:r>
      <w:r w:rsidRPr="000E73A2">
        <w:rPr>
          <w:i/>
          <w:iCs/>
          <w:lang w:val="en-CA"/>
        </w:rPr>
        <w:t>R. v. S. (D.E.)</w:t>
      </w:r>
      <w:r w:rsidRPr="000E73A2">
        <w:rPr>
          <w:lang w:val="en-CA"/>
        </w:rPr>
        <w:t>, [2018] O.J. No. 6632, 2018 ONCA 1046, at para. 13.</w:t>
      </w:r>
    </w:p>
    <w:p w14:paraId="268B2330" w14:textId="2CE41E93" w:rsidR="00276A1F" w:rsidRPr="000E73A2" w:rsidRDefault="00EA33AE" w:rsidP="00B21BF4">
      <w:pPr>
        <w:pStyle w:val="Paragraphe"/>
        <w:spacing w:before="180" w:after="180" w:line="280" w:lineRule="exact"/>
        <w:rPr>
          <w:lang w:val="en-CA"/>
        </w:rPr>
      </w:pPr>
      <w:r>
        <w:rPr>
          <w:lang w:val="en-CA"/>
        </w:rPr>
        <w:t>Of course</w:t>
      </w:r>
      <w:r w:rsidR="00276A1F" w:rsidRPr="000E73A2">
        <w:rPr>
          <w:lang w:val="en-CA"/>
        </w:rPr>
        <w:t xml:space="preserve">, </w:t>
      </w:r>
      <w:r>
        <w:rPr>
          <w:lang w:val="en-CA"/>
        </w:rPr>
        <w:t>it is important to avoid</w:t>
      </w:r>
      <w:r w:rsidR="00276A1F" w:rsidRPr="000E73A2">
        <w:rPr>
          <w:lang w:val="en-CA"/>
        </w:rPr>
        <w:t xml:space="preserve"> </w:t>
      </w:r>
      <w:r w:rsidR="00355BD6">
        <w:rPr>
          <w:lang w:val="en-CA"/>
        </w:rPr>
        <w:t>“</w:t>
      </w:r>
      <w:r w:rsidR="00355BD6" w:rsidRPr="00355BD6">
        <w:rPr>
          <w:lang w:val="en-CA"/>
        </w:rPr>
        <w:t>expanding Crown appeals beyond the scope of s. 676</w:t>
      </w:r>
      <w:r w:rsidR="00355BD6">
        <w:rPr>
          <w:lang w:val="en-CA"/>
        </w:rPr>
        <w:t>.”</w:t>
      </w:r>
      <w:r w:rsidR="00276A1F" w:rsidRPr="000E73A2">
        <w:rPr>
          <w:rStyle w:val="Appelnotedebasdep"/>
          <w:lang w:val="en-CA"/>
        </w:rPr>
        <w:footnoteReference w:id="34"/>
      </w:r>
      <w:r w:rsidR="00276A1F" w:rsidRPr="000E73A2">
        <w:rPr>
          <w:lang w:val="en-CA"/>
        </w:rPr>
        <w:t xml:space="preserve"> </w:t>
      </w:r>
      <w:r>
        <w:rPr>
          <w:lang w:val="en-CA"/>
        </w:rPr>
        <w:t>To repeat</w:t>
      </w:r>
      <w:r w:rsidR="008B4E47">
        <w:rPr>
          <w:lang w:val="en-CA"/>
        </w:rPr>
        <w:t>,</w:t>
      </w:r>
      <w:r w:rsidR="00276A1F" w:rsidRPr="000E73A2">
        <w:rPr>
          <w:lang w:val="en-CA"/>
        </w:rPr>
        <w:t xml:space="preserve"> </w:t>
      </w:r>
      <w:r w:rsidR="00222F92">
        <w:rPr>
          <w:lang w:val="en-CA"/>
        </w:rPr>
        <w:t>“[t]</w:t>
      </w:r>
      <w:r w:rsidR="00222F92" w:rsidRPr="00222F92">
        <w:rPr>
          <w:lang w:val="en-CA"/>
        </w:rPr>
        <w:t>he trial judge is not held to some abstract standard of perfection</w:t>
      </w:r>
      <w:r w:rsidR="00222F92">
        <w:rPr>
          <w:lang w:val="en-CA"/>
        </w:rPr>
        <w:t>”</w:t>
      </w:r>
      <w:r w:rsidR="00276A1F" w:rsidRPr="000E73A2">
        <w:rPr>
          <w:rStyle w:val="Appelnotedebasdep"/>
          <w:lang w:val="en-CA"/>
        </w:rPr>
        <w:footnoteReference w:id="35"/>
      </w:r>
      <w:r w:rsidR="00276A1F" w:rsidRPr="000E73A2">
        <w:rPr>
          <w:lang w:val="en-CA"/>
        </w:rPr>
        <w:t xml:space="preserve"> </w:t>
      </w:r>
      <w:r>
        <w:rPr>
          <w:lang w:val="en-CA"/>
        </w:rPr>
        <w:t>and an</w:t>
      </w:r>
      <w:r w:rsidR="00222F92" w:rsidRPr="00222F92">
        <w:rPr>
          <w:lang w:val="en-CA"/>
        </w:rPr>
        <w:t xml:space="preserve"> appellate court </w:t>
      </w:r>
      <w:r w:rsidR="00A02CD8">
        <w:rPr>
          <w:lang w:val="en-CA"/>
        </w:rPr>
        <w:t>“</w:t>
      </w:r>
      <w:r w:rsidR="00222F92" w:rsidRPr="00222F92">
        <w:rPr>
          <w:lang w:val="en-CA"/>
        </w:rPr>
        <w:t>is not given the power to intervene simply because it thinks the trial court did a poor job of expressing itself</w:t>
      </w:r>
      <w:r w:rsidR="00A02CD8">
        <w:rPr>
          <w:lang w:val="en-CA"/>
        </w:rPr>
        <w:t>.”</w:t>
      </w:r>
      <w:r w:rsidR="00276A1F" w:rsidRPr="000E73A2">
        <w:rPr>
          <w:rStyle w:val="Appelnotedebasdep"/>
          <w:lang w:val="en-CA"/>
        </w:rPr>
        <w:footnoteReference w:id="36"/>
      </w:r>
    </w:p>
    <w:p w14:paraId="42D1A907" w14:textId="504BF6C4" w:rsidR="00276A1F" w:rsidRPr="000E73A2" w:rsidRDefault="00276A1F" w:rsidP="00187BA6">
      <w:pPr>
        <w:pStyle w:val="Paragraphe"/>
        <w:numPr>
          <w:ilvl w:val="0"/>
          <w:numId w:val="0"/>
        </w:numPr>
        <w:rPr>
          <w:b/>
          <w:bCs/>
          <w:lang w:val="en-CA"/>
        </w:rPr>
      </w:pPr>
      <w:r w:rsidRPr="000E73A2">
        <w:rPr>
          <w:b/>
          <w:bCs/>
          <w:lang w:val="en-CA"/>
        </w:rPr>
        <w:t xml:space="preserve">Application </w:t>
      </w:r>
      <w:r w:rsidR="007807E6">
        <w:rPr>
          <w:b/>
          <w:bCs/>
          <w:lang w:val="en-CA"/>
        </w:rPr>
        <w:t xml:space="preserve">to the </w:t>
      </w:r>
      <w:r w:rsidR="003A73B0">
        <w:rPr>
          <w:b/>
          <w:bCs/>
          <w:lang w:val="en-CA"/>
        </w:rPr>
        <w:t>f</w:t>
      </w:r>
      <w:r w:rsidR="007807E6">
        <w:rPr>
          <w:b/>
          <w:bCs/>
          <w:lang w:val="en-CA"/>
        </w:rPr>
        <w:t xml:space="preserve">acts of this </w:t>
      </w:r>
      <w:r w:rsidR="003A73B0">
        <w:rPr>
          <w:b/>
          <w:bCs/>
          <w:lang w:val="en-CA"/>
        </w:rPr>
        <w:t>c</w:t>
      </w:r>
      <w:r w:rsidR="007807E6">
        <w:rPr>
          <w:b/>
          <w:bCs/>
          <w:lang w:val="en-CA"/>
        </w:rPr>
        <w:t>ase</w:t>
      </w:r>
    </w:p>
    <w:p w14:paraId="004E3B0D" w14:textId="703B8549" w:rsidR="00276A1F" w:rsidRPr="000E73A2" w:rsidRDefault="007807E6" w:rsidP="00B21BF4">
      <w:pPr>
        <w:pStyle w:val="Paragraphe"/>
        <w:spacing w:before="180" w:after="180" w:line="280" w:lineRule="exact"/>
        <w:rPr>
          <w:lang w:val="en-CA"/>
        </w:rPr>
      </w:pPr>
      <w:r w:rsidRPr="007807E6">
        <w:rPr>
          <w:lang w:val="en-CA"/>
        </w:rPr>
        <w:t xml:space="preserve">I will now analyse whether the judgment provides </w:t>
      </w:r>
      <w:r>
        <w:rPr>
          <w:lang w:val="en-CA"/>
        </w:rPr>
        <w:t>adequate reasons</w:t>
      </w:r>
      <w:r w:rsidRPr="007807E6">
        <w:rPr>
          <w:lang w:val="en-CA"/>
        </w:rPr>
        <w:t xml:space="preserve"> to determine whether the basis for the</w:t>
      </w:r>
      <w:r w:rsidR="00B86368">
        <w:rPr>
          <w:lang w:val="en-CA"/>
        </w:rPr>
        <w:t xml:space="preserve"> judgment of</w:t>
      </w:r>
      <w:r w:rsidRPr="007807E6">
        <w:rPr>
          <w:lang w:val="en-CA"/>
        </w:rPr>
        <w:t xml:space="preserve"> acquittal on the charge of sexual assault is intelligible and allows the prosecut</w:t>
      </w:r>
      <w:r>
        <w:rPr>
          <w:lang w:val="en-CA"/>
        </w:rPr>
        <w:t>ion</w:t>
      </w:r>
      <w:r w:rsidRPr="007807E6">
        <w:rPr>
          <w:lang w:val="en-CA"/>
        </w:rPr>
        <w:t xml:space="preserve"> to exercise </w:t>
      </w:r>
      <w:r>
        <w:rPr>
          <w:lang w:val="en-CA"/>
        </w:rPr>
        <w:t>its</w:t>
      </w:r>
      <w:r w:rsidRPr="007807E6">
        <w:rPr>
          <w:lang w:val="en-CA"/>
        </w:rPr>
        <w:t xml:space="preserve"> right of appeal</w:t>
      </w:r>
      <w:r w:rsidR="00276A1F" w:rsidRPr="000E73A2">
        <w:rPr>
          <w:lang w:val="en-CA"/>
        </w:rPr>
        <w:t>.</w:t>
      </w:r>
    </w:p>
    <w:p w14:paraId="543C1C77" w14:textId="1652ED52" w:rsidR="00276A1F" w:rsidRPr="000E73A2" w:rsidRDefault="007807E6" w:rsidP="00B21BF4">
      <w:pPr>
        <w:pStyle w:val="Paragraphe"/>
        <w:spacing w:before="180" w:after="180" w:line="280" w:lineRule="exact"/>
        <w:rPr>
          <w:lang w:val="en-CA"/>
        </w:rPr>
      </w:pPr>
      <w:r>
        <w:rPr>
          <w:lang w:val="en-CA"/>
        </w:rPr>
        <w:t>I note an initial issue</w:t>
      </w:r>
      <w:r w:rsidR="00276A1F" w:rsidRPr="000E73A2">
        <w:rPr>
          <w:lang w:val="en-CA"/>
        </w:rPr>
        <w:t>.</w:t>
      </w:r>
    </w:p>
    <w:p w14:paraId="211CEAA9" w14:textId="78D9D911" w:rsidR="00276A1F" w:rsidRPr="000E73A2" w:rsidRDefault="0042702E" w:rsidP="00B21BF4">
      <w:pPr>
        <w:pStyle w:val="Paragraphe"/>
        <w:spacing w:before="180" w:after="180" w:line="280" w:lineRule="exact"/>
        <w:rPr>
          <w:lang w:val="en-CA"/>
        </w:rPr>
      </w:pPr>
      <w:r>
        <w:rPr>
          <w:lang w:val="en-CA"/>
        </w:rPr>
        <w:t xml:space="preserve">The judge </w:t>
      </w:r>
      <w:r w:rsidR="00B42EFE">
        <w:rPr>
          <w:lang w:val="en-CA"/>
        </w:rPr>
        <w:t>noted</w:t>
      </w:r>
      <w:r>
        <w:rPr>
          <w:lang w:val="en-CA"/>
        </w:rPr>
        <w:t xml:space="preserve"> that he</w:t>
      </w:r>
      <w:r w:rsidR="00276A1F" w:rsidRPr="000E73A2">
        <w:rPr>
          <w:lang w:val="en-CA"/>
        </w:rPr>
        <w:t xml:space="preserve"> </w:t>
      </w:r>
      <w:r w:rsidRPr="0042702E">
        <w:rPr>
          <w:lang w:val="en-CA"/>
        </w:rPr>
        <w:t>believe</w:t>
      </w:r>
      <w:r w:rsidR="00B42EFE">
        <w:rPr>
          <w:lang w:val="en-CA"/>
        </w:rPr>
        <w:t>d</w:t>
      </w:r>
      <w:r w:rsidRPr="0042702E">
        <w:rPr>
          <w:lang w:val="en-CA"/>
        </w:rPr>
        <w:t xml:space="preserve"> </w:t>
      </w:r>
      <w:r>
        <w:rPr>
          <w:lang w:val="en-CA"/>
        </w:rPr>
        <w:t>[</w:t>
      </w:r>
      <w:r w:rsidRPr="0042702E">
        <w:rPr>
          <w:smallCaps/>
          <w:lang w:val="en-CA"/>
        </w:rPr>
        <w:t>translation</w:t>
      </w:r>
      <w:r>
        <w:rPr>
          <w:lang w:val="en-CA"/>
        </w:rPr>
        <w:t>] “[the respondent’s]</w:t>
      </w:r>
      <w:r w:rsidRPr="0042702E">
        <w:rPr>
          <w:lang w:val="en-CA"/>
        </w:rPr>
        <w:t xml:space="preserve"> </w:t>
      </w:r>
      <w:r w:rsidR="00925C3C">
        <w:rPr>
          <w:lang w:val="en-CA"/>
        </w:rPr>
        <w:t xml:space="preserve">entire </w:t>
      </w:r>
      <w:r w:rsidRPr="0042702E">
        <w:rPr>
          <w:lang w:val="en-CA"/>
        </w:rPr>
        <w:t xml:space="preserve">testimony. </w:t>
      </w:r>
      <w:r w:rsidR="00B42EFE">
        <w:rPr>
          <w:lang w:val="en-CA"/>
        </w:rPr>
        <w:t xml:space="preserve">[The respondent] [had] </w:t>
      </w:r>
      <w:r w:rsidRPr="0042702E">
        <w:rPr>
          <w:lang w:val="en-CA"/>
        </w:rPr>
        <w:t xml:space="preserve">provided details that </w:t>
      </w:r>
      <w:r w:rsidR="00B42EFE">
        <w:rPr>
          <w:lang w:val="en-CA"/>
        </w:rPr>
        <w:t>[were]</w:t>
      </w:r>
      <w:r w:rsidRPr="0042702E">
        <w:rPr>
          <w:lang w:val="en-CA"/>
        </w:rPr>
        <w:t xml:space="preserve"> both plausible and truthful, </w:t>
      </w:r>
      <w:r w:rsidRPr="0042702E">
        <w:rPr>
          <w:lang w:val="en-CA"/>
        </w:rPr>
        <w:lastRenderedPageBreak/>
        <w:t>and his testimony appear</w:t>
      </w:r>
      <w:r w:rsidR="00B42EFE">
        <w:rPr>
          <w:lang w:val="en-CA"/>
        </w:rPr>
        <w:t>[ed]</w:t>
      </w:r>
      <w:r w:rsidRPr="0042702E">
        <w:rPr>
          <w:lang w:val="en-CA"/>
        </w:rPr>
        <w:t xml:space="preserve"> sincere</w:t>
      </w:r>
      <w:r>
        <w:rPr>
          <w:lang w:val="en-CA"/>
        </w:rPr>
        <w:t xml:space="preserve">.” </w:t>
      </w:r>
      <w:r w:rsidRPr="0042702E">
        <w:rPr>
          <w:lang w:val="en-CA"/>
        </w:rPr>
        <w:t xml:space="preserve">Furthermore, </w:t>
      </w:r>
      <w:r w:rsidR="00B42EFE">
        <w:rPr>
          <w:lang w:val="en-CA"/>
        </w:rPr>
        <w:t>the judge</w:t>
      </w:r>
      <w:r w:rsidRPr="0042702E">
        <w:rPr>
          <w:lang w:val="en-CA"/>
        </w:rPr>
        <w:t xml:space="preserve"> state</w:t>
      </w:r>
      <w:r w:rsidR="00B42EFE">
        <w:rPr>
          <w:lang w:val="en-CA"/>
        </w:rPr>
        <w:t>d</w:t>
      </w:r>
      <w:r w:rsidRPr="0042702E">
        <w:rPr>
          <w:lang w:val="en-CA"/>
        </w:rPr>
        <w:t xml:space="preserve"> that the complainant's interest in challenging the shared custody sought by the respondent ma</w:t>
      </w:r>
      <w:r w:rsidR="00B42EFE">
        <w:rPr>
          <w:lang w:val="en-CA"/>
        </w:rPr>
        <w:t>de</w:t>
      </w:r>
      <w:r w:rsidRPr="0042702E">
        <w:rPr>
          <w:lang w:val="en-CA"/>
        </w:rPr>
        <w:t xml:space="preserve"> him sceptical</w:t>
      </w:r>
      <w:r w:rsidR="00276A1F" w:rsidRPr="000E73A2">
        <w:rPr>
          <w:lang w:val="en-CA"/>
        </w:rPr>
        <w:t>.</w:t>
      </w:r>
    </w:p>
    <w:p w14:paraId="6D6306B2" w14:textId="6FDD1404" w:rsidR="00276A1F" w:rsidRPr="000E73A2" w:rsidRDefault="0042702E" w:rsidP="00B21BF4">
      <w:pPr>
        <w:pStyle w:val="Paragraphe"/>
        <w:spacing w:before="180" w:after="180" w:line="280" w:lineRule="exact"/>
        <w:rPr>
          <w:lang w:val="en-CA"/>
        </w:rPr>
      </w:pPr>
      <w:r w:rsidRPr="0042702E">
        <w:rPr>
          <w:lang w:val="en-CA"/>
        </w:rPr>
        <w:t xml:space="preserve">At first glance, these two elements might seem sufficient to </w:t>
      </w:r>
      <w:r w:rsidR="00B42EFE">
        <w:rPr>
          <w:lang w:val="en-CA"/>
        </w:rPr>
        <w:t>determine</w:t>
      </w:r>
      <w:r w:rsidRPr="0042702E">
        <w:rPr>
          <w:lang w:val="en-CA"/>
        </w:rPr>
        <w:t xml:space="preserve"> the outcome</w:t>
      </w:r>
      <w:r>
        <w:rPr>
          <w:lang w:val="en-CA"/>
        </w:rPr>
        <w:t xml:space="preserve"> of </w:t>
      </w:r>
      <w:r w:rsidR="00925C3C">
        <w:rPr>
          <w:lang w:val="en-CA"/>
        </w:rPr>
        <w:t xml:space="preserve">the </w:t>
      </w:r>
      <w:r w:rsidRPr="0042702E">
        <w:rPr>
          <w:lang w:val="en-CA"/>
        </w:rPr>
        <w:t>appeal. With regard to the first, the judge believe</w:t>
      </w:r>
      <w:r w:rsidR="00B42EFE">
        <w:rPr>
          <w:lang w:val="en-CA"/>
        </w:rPr>
        <w:t>d</w:t>
      </w:r>
      <w:r w:rsidRPr="0042702E">
        <w:rPr>
          <w:lang w:val="en-CA"/>
        </w:rPr>
        <w:t xml:space="preserve"> the respondent's testimony, which far exceed</w:t>
      </w:r>
      <w:r w:rsidR="00B42EFE">
        <w:rPr>
          <w:lang w:val="en-CA"/>
        </w:rPr>
        <w:t>ed</w:t>
      </w:r>
      <w:r w:rsidRPr="0042702E">
        <w:rPr>
          <w:lang w:val="en-CA"/>
        </w:rPr>
        <w:t xml:space="preserve"> reasonable doubt and justifie</w:t>
      </w:r>
      <w:r w:rsidR="00B42EFE">
        <w:rPr>
          <w:lang w:val="en-CA"/>
        </w:rPr>
        <w:t>d</w:t>
      </w:r>
      <w:r w:rsidRPr="0042702E">
        <w:rPr>
          <w:lang w:val="en-CA"/>
        </w:rPr>
        <w:t xml:space="preserve"> an acquittal. As for the second, the judge </w:t>
      </w:r>
      <w:r w:rsidR="00B42EFE">
        <w:rPr>
          <w:lang w:val="en-CA"/>
        </w:rPr>
        <w:t>took</w:t>
      </w:r>
      <w:r w:rsidRPr="0042702E">
        <w:rPr>
          <w:lang w:val="en-CA"/>
        </w:rPr>
        <w:t xml:space="preserve"> into account the complainant's interest, a factor </w:t>
      </w:r>
      <w:r w:rsidR="00B42EFE">
        <w:rPr>
          <w:lang w:val="en-CA"/>
        </w:rPr>
        <w:t>go</w:t>
      </w:r>
      <w:r w:rsidRPr="0042702E">
        <w:rPr>
          <w:lang w:val="en-CA"/>
        </w:rPr>
        <w:t>ing to credibility on which reasonable doubt can be based</w:t>
      </w:r>
      <w:r w:rsidR="00B42EFE">
        <w:rPr>
          <w:lang w:val="en-CA"/>
        </w:rPr>
        <w:t>.</w:t>
      </w:r>
      <w:r w:rsidR="00276A1F" w:rsidRPr="000E73A2">
        <w:rPr>
          <w:rStyle w:val="Appelnotedebasdep"/>
          <w:lang w:val="en-CA"/>
        </w:rPr>
        <w:footnoteReference w:id="37"/>
      </w:r>
    </w:p>
    <w:p w14:paraId="0B04C870" w14:textId="06E6F2F9" w:rsidR="00276A1F" w:rsidRPr="000E73A2" w:rsidRDefault="00B42EFE" w:rsidP="00B21BF4">
      <w:pPr>
        <w:pStyle w:val="Paragraphe"/>
        <w:spacing w:before="180" w:after="180" w:line="280" w:lineRule="exact"/>
        <w:rPr>
          <w:lang w:val="en-CA"/>
        </w:rPr>
      </w:pPr>
      <w:r w:rsidRPr="00B42EFE">
        <w:rPr>
          <w:lang w:val="en-CA"/>
        </w:rPr>
        <w:t xml:space="preserve">However, I consider that, given the </w:t>
      </w:r>
      <w:r w:rsidR="006442D3">
        <w:rPr>
          <w:lang w:val="en-CA"/>
        </w:rPr>
        <w:t xml:space="preserve">live issues at trial </w:t>
      </w:r>
      <w:r w:rsidRPr="00B42EFE">
        <w:rPr>
          <w:lang w:val="en-CA"/>
        </w:rPr>
        <w:t xml:space="preserve">and the fact that the judge was called upon </w:t>
      </w:r>
      <w:r w:rsidR="00A02CD8">
        <w:rPr>
          <w:lang w:val="en-CA"/>
        </w:rPr>
        <w:t>“</w:t>
      </w:r>
      <w:r w:rsidR="00A02CD8" w:rsidRPr="00A02CD8">
        <w:rPr>
          <w:lang w:val="en-CA"/>
        </w:rPr>
        <w:t>to address troublesome principles of unsettled law, or to resolve confused and contradictory evidence on a key issue</w:t>
      </w:r>
      <w:r w:rsidR="00A02CD8">
        <w:rPr>
          <w:lang w:val="en-CA"/>
        </w:rPr>
        <w:t>,”</w:t>
      </w:r>
      <w:r w:rsidR="00276A1F" w:rsidRPr="000E73A2">
        <w:rPr>
          <w:rStyle w:val="Appelnotedebasdep"/>
          <w:lang w:val="en-CA"/>
        </w:rPr>
        <w:footnoteReference w:id="38"/>
      </w:r>
      <w:r w:rsidR="00A02CD8">
        <w:rPr>
          <w:lang w:val="en-CA"/>
        </w:rPr>
        <w:t xml:space="preserve"> </w:t>
      </w:r>
      <w:r>
        <w:rPr>
          <w:lang w:val="en-CA"/>
        </w:rPr>
        <w:t>more detailed and intelligible reasons were necessary</w:t>
      </w:r>
      <w:r w:rsidR="00276A1F" w:rsidRPr="000E73A2">
        <w:rPr>
          <w:lang w:val="en-CA"/>
        </w:rPr>
        <w:t>.</w:t>
      </w:r>
    </w:p>
    <w:p w14:paraId="518A2835" w14:textId="0710964C" w:rsidR="00276A1F" w:rsidRPr="000E73A2" w:rsidRDefault="006442D3" w:rsidP="00B21BF4">
      <w:pPr>
        <w:pStyle w:val="Paragraphe"/>
        <w:spacing w:before="180" w:after="180" w:line="280" w:lineRule="exact"/>
        <w:rPr>
          <w:lang w:val="en-CA"/>
        </w:rPr>
      </w:pPr>
      <w:r w:rsidRPr="006442D3">
        <w:rPr>
          <w:lang w:val="en-CA"/>
        </w:rPr>
        <w:t xml:space="preserve">I have reproduced the judge's </w:t>
      </w:r>
      <w:r>
        <w:rPr>
          <w:lang w:val="en-CA"/>
        </w:rPr>
        <w:t>findings</w:t>
      </w:r>
      <w:r w:rsidRPr="006442D3">
        <w:rPr>
          <w:lang w:val="en-CA"/>
        </w:rPr>
        <w:t xml:space="preserve"> in their entirety</w:t>
      </w:r>
      <w:r w:rsidR="00276A1F" w:rsidRPr="000E73A2">
        <w:rPr>
          <w:lang w:val="en-CA"/>
        </w:rPr>
        <w:t>.</w:t>
      </w:r>
    </w:p>
    <w:p w14:paraId="3C3569F2" w14:textId="7F81F1D9" w:rsidR="00276A1F" w:rsidRPr="000E73A2" w:rsidRDefault="008E713E" w:rsidP="00B21BF4">
      <w:pPr>
        <w:pStyle w:val="Paragraphe"/>
        <w:spacing w:before="180" w:after="180" w:line="280" w:lineRule="exact"/>
        <w:rPr>
          <w:lang w:val="en-CA"/>
        </w:rPr>
      </w:pPr>
      <w:r w:rsidRPr="008E713E">
        <w:rPr>
          <w:lang w:val="en-CA"/>
        </w:rPr>
        <w:t>In my opinion, the trial judge's reasons were limited to stating his conclusion in a laconic and declaratory manner (</w:t>
      </w:r>
      <w:r w:rsidR="007633B3">
        <w:rPr>
          <w:lang w:val="en-CA"/>
        </w:rPr>
        <w:t xml:space="preserve">i.e., </w:t>
      </w:r>
      <w:r w:rsidRPr="008E713E">
        <w:rPr>
          <w:lang w:val="en-CA"/>
        </w:rPr>
        <w:t>‘conclusory reasons’)</w:t>
      </w:r>
      <w:r w:rsidR="006442D3">
        <w:rPr>
          <w:lang w:val="en-CA"/>
        </w:rPr>
        <w:t>,</w:t>
      </w:r>
      <w:r w:rsidR="00276A1F" w:rsidRPr="000E73A2">
        <w:rPr>
          <w:rStyle w:val="Appelnotedebasdep"/>
          <w:lang w:val="en-CA"/>
        </w:rPr>
        <w:footnoteReference w:id="39"/>
      </w:r>
      <w:r w:rsidR="00276A1F" w:rsidRPr="000E73A2">
        <w:rPr>
          <w:lang w:val="en-CA"/>
        </w:rPr>
        <w:t xml:space="preserve"> </w:t>
      </w:r>
      <w:r w:rsidRPr="008E713E">
        <w:rPr>
          <w:lang w:val="en-CA"/>
        </w:rPr>
        <w:t xml:space="preserve">without any analysis of the </w:t>
      </w:r>
      <w:r>
        <w:rPr>
          <w:lang w:val="en-CA"/>
        </w:rPr>
        <w:t>appellan</w:t>
      </w:r>
      <w:r w:rsidRPr="008E713E">
        <w:rPr>
          <w:lang w:val="en-CA"/>
        </w:rPr>
        <w:t>t's or the complainant's testimony on the legal issues in dispute: the complainant's capacity to consent, her communication of consent, and the defence of an honest belief in communicated consent. The judge state</w:t>
      </w:r>
      <w:r w:rsidR="001710A2">
        <w:rPr>
          <w:lang w:val="en-CA"/>
        </w:rPr>
        <w:t>d</w:t>
      </w:r>
      <w:r w:rsidRPr="008E713E">
        <w:rPr>
          <w:lang w:val="en-CA"/>
        </w:rPr>
        <w:t xml:space="preserve"> his conclusion without providing any reasons.</w:t>
      </w:r>
      <w:r w:rsidR="00276A1F" w:rsidRPr="000E73A2">
        <w:rPr>
          <w:rStyle w:val="Appelnotedebasdep"/>
          <w:lang w:val="en-CA"/>
        </w:rPr>
        <w:footnoteReference w:id="40"/>
      </w:r>
      <w:r>
        <w:rPr>
          <w:lang w:val="en-CA"/>
        </w:rPr>
        <w:t xml:space="preserve"> </w:t>
      </w:r>
      <w:r w:rsidRPr="008E713E">
        <w:rPr>
          <w:lang w:val="en-CA"/>
        </w:rPr>
        <w:t>However, the duty to give reasons requires that ‘trial judges […] state more than the result.’</w:t>
      </w:r>
      <w:r w:rsidR="00276A1F" w:rsidRPr="000E73A2">
        <w:rPr>
          <w:rStyle w:val="Appelnotedebasdep"/>
          <w:lang w:val="en-CA"/>
        </w:rPr>
        <w:footnoteReference w:id="41"/>
      </w:r>
      <w:r w:rsidR="00276A1F" w:rsidRPr="000E73A2">
        <w:rPr>
          <w:lang w:val="en-CA"/>
        </w:rPr>
        <w:t xml:space="preserve"> </w:t>
      </w:r>
      <w:r w:rsidRPr="008E713E">
        <w:rPr>
          <w:lang w:val="en-CA"/>
        </w:rPr>
        <w:t>What aspect of the respondent's testimony was believed or found plausible, truthful or sincere with respect to the complainant's capacity to consent, her communication of consent, and the defence of an honest belief in communicated consent? I am unable to determine this</w:t>
      </w:r>
      <w:r w:rsidR="00276A1F" w:rsidRPr="000E73A2">
        <w:rPr>
          <w:lang w:val="en-CA"/>
        </w:rPr>
        <w:t>.</w:t>
      </w:r>
    </w:p>
    <w:p w14:paraId="682E49F2" w14:textId="69757284" w:rsidR="00276A1F" w:rsidRPr="000E73A2" w:rsidRDefault="00925C3C" w:rsidP="00B21BF4">
      <w:pPr>
        <w:pStyle w:val="Paragraphe"/>
        <w:spacing w:before="180" w:after="180" w:line="280" w:lineRule="exact"/>
        <w:rPr>
          <w:lang w:val="en-CA"/>
        </w:rPr>
      </w:pPr>
      <w:r>
        <w:rPr>
          <w:lang w:val="en-CA"/>
        </w:rPr>
        <w:lastRenderedPageBreak/>
        <w:t>However, a</w:t>
      </w:r>
      <w:r w:rsidR="006442D3">
        <w:rPr>
          <w:lang w:val="en-CA"/>
        </w:rPr>
        <w:t>s legal scholarship has pointed out</w:t>
      </w:r>
      <w:r>
        <w:rPr>
          <w:lang w:val="en-CA"/>
        </w:rPr>
        <w:t>,</w:t>
      </w:r>
      <w:r w:rsidR="00276A1F" w:rsidRPr="000E73A2">
        <w:rPr>
          <w:rStyle w:val="Appelnotedebasdep"/>
          <w:lang w:val="en-CA"/>
        </w:rPr>
        <w:footnoteReference w:id="42"/>
      </w:r>
      <w:r w:rsidR="00276A1F" w:rsidRPr="000E73A2">
        <w:rPr>
          <w:lang w:val="en-CA"/>
        </w:rPr>
        <w:t xml:space="preserve"> </w:t>
      </w:r>
      <w:r w:rsidR="006442D3">
        <w:rPr>
          <w:lang w:val="en-CA"/>
        </w:rPr>
        <w:t>t</w:t>
      </w:r>
      <w:r w:rsidR="006442D3" w:rsidRPr="006442D3">
        <w:rPr>
          <w:lang w:val="en-CA"/>
        </w:rPr>
        <w:t>hese are questions that raise issues of application. In my opinion, intelligible</w:t>
      </w:r>
      <w:r w:rsidR="00B96BD0">
        <w:rPr>
          <w:lang w:val="en-CA"/>
        </w:rPr>
        <w:t xml:space="preserve"> — and not </w:t>
      </w:r>
      <w:r w:rsidR="00640147">
        <w:rPr>
          <w:lang w:val="en-CA"/>
        </w:rPr>
        <w:t>meagre</w:t>
      </w:r>
      <w:r w:rsidR="00B96BD0">
        <w:rPr>
          <w:lang w:val="en-CA"/>
        </w:rPr>
        <w:t xml:space="preserve"> </w:t>
      </w:r>
      <w:r w:rsidR="00B96BD0" w:rsidRPr="00B96BD0">
        <w:rPr>
          <w:lang w:val="en-CA"/>
        </w:rPr>
        <w:t>—</w:t>
      </w:r>
      <w:r w:rsidR="00B96BD0">
        <w:rPr>
          <w:lang w:val="en-CA"/>
        </w:rPr>
        <w:t xml:space="preserve"> reasoning was therefore required </w:t>
      </w:r>
      <w:r w:rsidR="006442D3" w:rsidRPr="006442D3">
        <w:rPr>
          <w:lang w:val="en-CA"/>
        </w:rPr>
        <w:t>in this case</w:t>
      </w:r>
      <w:r w:rsidR="00276A1F" w:rsidRPr="000E73A2">
        <w:rPr>
          <w:lang w:val="en-CA"/>
        </w:rPr>
        <w:t>.</w:t>
      </w:r>
    </w:p>
    <w:p w14:paraId="52D7AB5E" w14:textId="75E52500" w:rsidR="00276A1F" w:rsidRPr="000E73A2" w:rsidRDefault="00EE2D5E" w:rsidP="00B21BF4">
      <w:pPr>
        <w:pStyle w:val="Paragraphe"/>
        <w:spacing w:before="180" w:after="180" w:line="280" w:lineRule="exact"/>
        <w:rPr>
          <w:lang w:val="en-CA"/>
        </w:rPr>
      </w:pPr>
      <w:r>
        <w:rPr>
          <w:lang w:val="en-CA"/>
        </w:rPr>
        <w:t>Second, the judge rightly observed that [</w:t>
      </w:r>
      <w:r w:rsidRPr="00EE2D5E">
        <w:rPr>
          <w:smallCaps/>
          <w:lang w:val="en-CA"/>
        </w:rPr>
        <w:t>translation</w:t>
      </w:r>
      <w:r>
        <w:rPr>
          <w:lang w:val="en-CA"/>
        </w:rPr>
        <w:t>] “</w:t>
      </w:r>
      <w:r w:rsidR="0057313E" w:rsidRPr="0057313E">
        <w:rPr>
          <w:lang w:val="en-CA"/>
        </w:rPr>
        <w:t xml:space="preserve">most of the events </w:t>
      </w:r>
      <w:r w:rsidR="0057313E">
        <w:rPr>
          <w:lang w:val="en-CA"/>
        </w:rPr>
        <w:t>[had taken]</w:t>
      </w:r>
      <w:r w:rsidR="0057313E" w:rsidRPr="0057313E">
        <w:rPr>
          <w:lang w:val="en-CA"/>
        </w:rPr>
        <w:t xml:space="preserve"> place after they had engaged in heavy drinking that evening</w:t>
      </w:r>
      <w:r w:rsidR="00276A1F" w:rsidRPr="000E73A2">
        <w:rPr>
          <w:lang w:val="en-CA"/>
        </w:rPr>
        <w:t>.</w:t>
      </w:r>
      <w:r w:rsidR="0057313E">
        <w:rPr>
          <w:lang w:val="en-CA"/>
        </w:rPr>
        <w:t>”</w:t>
      </w:r>
      <w:r w:rsidR="00276A1F" w:rsidRPr="000E73A2">
        <w:rPr>
          <w:lang w:val="en-CA"/>
        </w:rPr>
        <w:t xml:space="preserve"> </w:t>
      </w:r>
      <w:r w:rsidR="0057313E" w:rsidRPr="0057313E">
        <w:rPr>
          <w:lang w:val="en-CA"/>
        </w:rPr>
        <w:t xml:space="preserve">But what conclusion does he draw from this finding? No one knows. Intoxication was relevant </w:t>
      </w:r>
      <w:r w:rsidR="004677A4">
        <w:rPr>
          <w:lang w:val="en-CA"/>
        </w:rPr>
        <w:t>in</w:t>
      </w:r>
      <w:r w:rsidR="0057313E" w:rsidRPr="0057313E">
        <w:rPr>
          <w:lang w:val="en-CA"/>
        </w:rPr>
        <w:t xml:space="preserve"> assessing the credibility and reliability of the complainant's and respondent's testimony, but also</w:t>
      </w:r>
      <w:r w:rsidR="004677A4">
        <w:rPr>
          <w:lang w:val="en-CA"/>
        </w:rPr>
        <w:t xml:space="preserve"> with respect to</w:t>
      </w:r>
      <w:r w:rsidR="0057313E" w:rsidRPr="0057313E">
        <w:rPr>
          <w:lang w:val="en-CA"/>
        </w:rPr>
        <w:t xml:space="preserve"> the </w:t>
      </w:r>
      <w:r w:rsidR="004677A4">
        <w:rPr>
          <w:lang w:val="en-CA"/>
        </w:rPr>
        <w:t>issue</w:t>
      </w:r>
      <w:r w:rsidR="0057313E" w:rsidRPr="0057313E">
        <w:rPr>
          <w:lang w:val="en-CA"/>
        </w:rPr>
        <w:t xml:space="preserve"> of the complainant's capacity to consent</w:t>
      </w:r>
      <w:r w:rsidR="00276A1F" w:rsidRPr="000E73A2">
        <w:rPr>
          <w:lang w:val="en-CA"/>
        </w:rPr>
        <w:t>.</w:t>
      </w:r>
    </w:p>
    <w:p w14:paraId="36D628EA" w14:textId="08D25546" w:rsidR="00276A1F" w:rsidRPr="000E73A2" w:rsidRDefault="0057313E" w:rsidP="00B21BF4">
      <w:pPr>
        <w:pStyle w:val="Paragraphe"/>
        <w:spacing w:before="180" w:after="180" w:line="280" w:lineRule="exact"/>
        <w:rPr>
          <w:lang w:val="en-CA"/>
        </w:rPr>
      </w:pPr>
      <w:r w:rsidRPr="0057313E">
        <w:rPr>
          <w:lang w:val="en-CA"/>
        </w:rPr>
        <w:t xml:space="preserve">The </w:t>
      </w:r>
      <w:r>
        <w:rPr>
          <w:lang w:val="en-CA"/>
        </w:rPr>
        <w:t>record</w:t>
      </w:r>
      <w:r w:rsidRPr="0057313E">
        <w:rPr>
          <w:lang w:val="en-CA"/>
        </w:rPr>
        <w:t xml:space="preserve"> contains evidence regarding the complainant's state of intoxication, which raised questions about her capacity to consent to sexual activity and to communicate her consent to the respondent. The judgment provide</w:t>
      </w:r>
      <w:r>
        <w:rPr>
          <w:lang w:val="en-CA"/>
        </w:rPr>
        <w:t>d</w:t>
      </w:r>
      <w:r w:rsidRPr="0057313E">
        <w:rPr>
          <w:lang w:val="en-CA"/>
        </w:rPr>
        <w:t xml:space="preserve"> no explicit </w:t>
      </w:r>
      <w:r>
        <w:rPr>
          <w:lang w:val="en-CA"/>
        </w:rPr>
        <w:t>n</w:t>
      </w:r>
      <w:r w:rsidRPr="0057313E">
        <w:rPr>
          <w:lang w:val="en-CA"/>
        </w:rPr>
        <w:t>or even implicit answer on this point</w:t>
      </w:r>
      <w:r w:rsidR="00276A1F" w:rsidRPr="000E73A2">
        <w:rPr>
          <w:lang w:val="en-CA"/>
        </w:rPr>
        <w:t>.</w:t>
      </w:r>
    </w:p>
    <w:p w14:paraId="50EC64D6" w14:textId="77777777" w:rsidR="00276A1F" w:rsidRPr="000E73A2" w:rsidRDefault="00276A1F" w:rsidP="00187BA6">
      <w:pPr>
        <w:pStyle w:val="Paragraphe"/>
        <w:numPr>
          <w:ilvl w:val="0"/>
          <w:numId w:val="0"/>
        </w:numPr>
        <w:jc w:val="center"/>
        <w:rPr>
          <w:lang w:val="en-CA"/>
        </w:rPr>
      </w:pPr>
      <w:r w:rsidRPr="000E73A2">
        <w:rPr>
          <w:lang w:val="en-CA"/>
        </w:rPr>
        <w:t>* * *</w:t>
      </w:r>
    </w:p>
    <w:p w14:paraId="17E538B1" w14:textId="3E724CF6" w:rsidR="00276A1F" w:rsidRPr="0057313E" w:rsidRDefault="0057313E" w:rsidP="00187BA6">
      <w:pPr>
        <w:pStyle w:val="Paragraphe"/>
        <w:numPr>
          <w:ilvl w:val="0"/>
          <w:numId w:val="0"/>
        </w:numPr>
        <w:rPr>
          <w:b/>
          <w:bCs/>
          <w:lang w:val="en-CA"/>
        </w:rPr>
      </w:pPr>
      <w:r w:rsidRPr="0057313E">
        <w:rPr>
          <w:b/>
          <w:bCs/>
          <w:lang w:val="en-CA"/>
        </w:rPr>
        <w:t xml:space="preserve">The </w:t>
      </w:r>
      <w:r w:rsidR="00640147">
        <w:rPr>
          <w:b/>
          <w:bCs/>
          <w:lang w:val="en-CA"/>
        </w:rPr>
        <w:t>v</w:t>
      </w:r>
      <w:r w:rsidRPr="0057313E">
        <w:rPr>
          <w:b/>
          <w:bCs/>
          <w:lang w:val="en-CA"/>
        </w:rPr>
        <w:t xml:space="preserve">arious </w:t>
      </w:r>
      <w:r w:rsidR="00640147">
        <w:rPr>
          <w:b/>
          <w:bCs/>
          <w:lang w:val="en-CA"/>
        </w:rPr>
        <w:t>e</w:t>
      </w:r>
      <w:r w:rsidRPr="0057313E">
        <w:rPr>
          <w:b/>
          <w:bCs/>
          <w:lang w:val="en-CA"/>
        </w:rPr>
        <w:t>vents</w:t>
      </w:r>
    </w:p>
    <w:p w14:paraId="4FBC94B3" w14:textId="2BBC4E83" w:rsidR="00276A1F" w:rsidRPr="000E73A2" w:rsidRDefault="0057313E" w:rsidP="00B21BF4">
      <w:pPr>
        <w:pStyle w:val="Paragraphe"/>
        <w:spacing w:before="180" w:after="180" w:line="280" w:lineRule="exact"/>
        <w:rPr>
          <w:lang w:val="en-CA"/>
        </w:rPr>
      </w:pPr>
      <w:r>
        <w:rPr>
          <w:lang w:val="en-CA"/>
        </w:rPr>
        <w:t>Although section</w:t>
      </w:r>
      <w:r w:rsidR="00276A1F" w:rsidRPr="000E73A2">
        <w:rPr>
          <w:lang w:val="en-CA"/>
        </w:rPr>
        <w:t xml:space="preserve"> 581 </w:t>
      </w:r>
      <w:r>
        <w:rPr>
          <w:lang w:val="en-CA"/>
        </w:rPr>
        <w:t>of the</w:t>
      </w:r>
      <w:r w:rsidR="00276A1F" w:rsidRPr="000E73A2">
        <w:rPr>
          <w:lang w:val="en-CA"/>
        </w:rPr>
        <w:t xml:space="preserve"> </w:t>
      </w:r>
      <w:r w:rsidR="00276A1F" w:rsidRPr="000E73A2">
        <w:rPr>
          <w:i/>
          <w:iCs/>
          <w:lang w:val="en-CA"/>
        </w:rPr>
        <w:t>C</w:t>
      </w:r>
      <w:r>
        <w:rPr>
          <w:i/>
          <w:iCs/>
          <w:lang w:val="en-CA"/>
        </w:rPr>
        <w:t>riminal C</w:t>
      </w:r>
      <w:r w:rsidR="00276A1F" w:rsidRPr="000E73A2">
        <w:rPr>
          <w:i/>
          <w:iCs/>
          <w:lang w:val="en-CA"/>
        </w:rPr>
        <w:t xml:space="preserve">ode </w:t>
      </w:r>
      <w:r w:rsidRPr="0057313E">
        <w:rPr>
          <w:lang w:val="en-CA"/>
        </w:rPr>
        <w:t xml:space="preserve">provides that </w:t>
      </w:r>
      <w:r w:rsidR="00B63205">
        <w:rPr>
          <w:lang w:val="en-CA"/>
        </w:rPr>
        <w:t>e</w:t>
      </w:r>
      <w:r w:rsidR="00B63205" w:rsidRPr="00B63205">
        <w:rPr>
          <w:lang w:val="en-CA"/>
        </w:rPr>
        <w:t>ach count in an indictment shall in general apply to a single transaction</w:t>
      </w:r>
      <w:r w:rsidRPr="0057313E">
        <w:rPr>
          <w:lang w:val="en-CA"/>
        </w:rPr>
        <w:t xml:space="preserve">, it is common for the evidence </w:t>
      </w:r>
      <w:r w:rsidR="00B63205">
        <w:rPr>
          <w:lang w:val="en-CA"/>
        </w:rPr>
        <w:t>l</w:t>
      </w:r>
      <w:r w:rsidRPr="0057313E">
        <w:rPr>
          <w:lang w:val="en-CA"/>
        </w:rPr>
        <w:t>ed to relate to several distinct events within the same count</w:t>
      </w:r>
      <w:r>
        <w:rPr>
          <w:lang w:val="en-CA"/>
        </w:rPr>
        <w:t>.</w:t>
      </w:r>
      <w:r w:rsidR="00276A1F" w:rsidRPr="000E73A2">
        <w:rPr>
          <w:rStyle w:val="Appelnotedebasdep"/>
          <w:lang w:val="en-CA"/>
        </w:rPr>
        <w:footnoteReference w:id="43"/>
      </w:r>
      <w:r>
        <w:rPr>
          <w:lang w:val="en-CA"/>
        </w:rPr>
        <w:t xml:space="preserve"> </w:t>
      </w:r>
      <w:r w:rsidRPr="0057313E">
        <w:rPr>
          <w:lang w:val="en-CA"/>
        </w:rPr>
        <w:t xml:space="preserve">This is the case here, since the </w:t>
      </w:r>
      <w:r w:rsidR="00B63205">
        <w:rPr>
          <w:lang w:val="en-CA"/>
        </w:rPr>
        <w:t>prosecution</w:t>
      </w:r>
      <w:r w:rsidRPr="0057313E">
        <w:rPr>
          <w:lang w:val="en-CA"/>
        </w:rPr>
        <w:t xml:space="preserve"> </w:t>
      </w:r>
      <w:r w:rsidR="00B63205">
        <w:rPr>
          <w:lang w:val="en-CA"/>
        </w:rPr>
        <w:t>l</w:t>
      </w:r>
      <w:r w:rsidRPr="0057313E">
        <w:rPr>
          <w:lang w:val="en-CA"/>
        </w:rPr>
        <w:t>ed evidence regarding three separate events.</w:t>
      </w:r>
    </w:p>
    <w:p w14:paraId="10A16BED" w14:textId="73FD2164" w:rsidR="00276A1F" w:rsidRPr="000E73A2" w:rsidRDefault="00B63205" w:rsidP="00B21BF4">
      <w:pPr>
        <w:pStyle w:val="Paragraphe"/>
        <w:spacing w:before="180" w:after="180" w:line="280" w:lineRule="exact"/>
        <w:rPr>
          <w:lang w:val="en-CA"/>
        </w:rPr>
      </w:pPr>
      <w:r>
        <w:rPr>
          <w:lang w:val="en-CA"/>
        </w:rPr>
        <w:t>As the Supreme Court explained in</w:t>
      </w:r>
      <w:r w:rsidR="00276A1F" w:rsidRPr="000E73A2">
        <w:rPr>
          <w:lang w:val="en-CA"/>
        </w:rPr>
        <w:t xml:space="preserve"> </w:t>
      </w:r>
      <w:r w:rsidR="00276A1F" w:rsidRPr="000E73A2">
        <w:rPr>
          <w:i/>
          <w:iCs/>
          <w:lang w:val="en-CA"/>
        </w:rPr>
        <w:t>M.R.H.</w:t>
      </w:r>
      <w:r w:rsidR="00276A1F" w:rsidRPr="000E73A2">
        <w:rPr>
          <w:lang w:val="en-CA"/>
        </w:rPr>
        <w:t xml:space="preserve">, </w:t>
      </w:r>
      <w:r w:rsidR="0075331F">
        <w:rPr>
          <w:lang w:val="en-CA"/>
        </w:rPr>
        <w:t>the practice of “</w:t>
      </w:r>
      <w:r w:rsidR="0075331F" w:rsidRPr="0075331F">
        <w:rPr>
          <w:lang w:val="en-CA"/>
        </w:rPr>
        <w:t>drafting a single count of an indictment to capture multiple distinct incidents creates the risk that the accused may be convicted without the jurors’ unanimous agreement on any one underlying incident</w:t>
      </w:r>
      <w:r w:rsidR="0075331F">
        <w:rPr>
          <w:lang w:val="en-CA"/>
        </w:rPr>
        <w:t>.”</w:t>
      </w:r>
      <w:r w:rsidR="00276A1F" w:rsidRPr="000E73A2">
        <w:rPr>
          <w:rStyle w:val="Appelnotedebasdep"/>
          <w:lang w:val="en-CA"/>
        </w:rPr>
        <w:footnoteReference w:id="44"/>
      </w:r>
      <w:r w:rsidR="00276A1F" w:rsidRPr="000E73A2">
        <w:rPr>
          <w:lang w:val="en-CA"/>
        </w:rPr>
        <w:t xml:space="preserve"> </w:t>
      </w:r>
      <w:r w:rsidRPr="00B63205">
        <w:rPr>
          <w:lang w:val="en-CA"/>
        </w:rPr>
        <w:t>This risk did</w:t>
      </w:r>
      <w:r w:rsidR="00EA6EE7">
        <w:rPr>
          <w:lang w:val="en-CA"/>
        </w:rPr>
        <w:t xml:space="preserve"> not arise</w:t>
      </w:r>
      <w:r w:rsidRPr="00B63205">
        <w:rPr>
          <w:lang w:val="en-CA"/>
        </w:rPr>
        <w:t xml:space="preserve"> </w:t>
      </w:r>
      <w:r>
        <w:rPr>
          <w:lang w:val="en-CA"/>
        </w:rPr>
        <w:t>in the case at bar</w:t>
      </w:r>
      <w:r w:rsidR="00276A1F" w:rsidRPr="000E73A2">
        <w:rPr>
          <w:lang w:val="en-CA"/>
        </w:rPr>
        <w:t>.</w:t>
      </w:r>
    </w:p>
    <w:p w14:paraId="1BB60EDC" w14:textId="60800236" w:rsidR="00276A1F" w:rsidRPr="000E73A2" w:rsidRDefault="00B63205" w:rsidP="00B21BF4">
      <w:pPr>
        <w:pStyle w:val="Paragraphe"/>
        <w:spacing w:before="180" w:after="180" w:line="280" w:lineRule="exact"/>
        <w:rPr>
          <w:lang w:val="en-CA"/>
        </w:rPr>
      </w:pPr>
      <w:r w:rsidRPr="00B63205">
        <w:rPr>
          <w:lang w:val="en-CA"/>
        </w:rPr>
        <w:lastRenderedPageBreak/>
        <w:t>To establish the respondent's guilt on the charge of sexual assault, the prosecut</w:t>
      </w:r>
      <w:r>
        <w:rPr>
          <w:lang w:val="en-CA"/>
        </w:rPr>
        <w:t>ion</w:t>
      </w:r>
      <w:r w:rsidRPr="00B63205">
        <w:rPr>
          <w:lang w:val="en-CA"/>
        </w:rPr>
        <w:t xml:space="preserve"> only had to prove beyond a reasonable doubt that one of the assaults had occurred</w:t>
      </w:r>
      <w:r>
        <w:rPr>
          <w:lang w:val="en-CA"/>
        </w:rPr>
        <w:t>.</w:t>
      </w:r>
      <w:r w:rsidR="00276A1F" w:rsidRPr="000E73A2">
        <w:rPr>
          <w:rStyle w:val="Appelnotedebasdep"/>
          <w:lang w:val="en-CA"/>
        </w:rPr>
        <w:footnoteReference w:id="45"/>
      </w:r>
      <w:r w:rsidR="00276A1F" w:rsidRPr="000E73A2">
        <w:rPr>
          <w:lang w:val="en-CA"/>
        </w:rPr>
        <w:t xml:space="preserve"> </w:t>
      </w:r>
      <w:r w:rsidRPr="00B63205">
        <w:rPr>
          <w:lang w:val="en-CA"/>
        </w:rPr>
        <w:t xml:space="preserve">That said, </w:t>
      </w:r>
      <w:r w:rsidR="00300AA0">
        <w:rPr>
          <w:lang w:val="en-CA"/>
        </w:rPr>
        <w:t>inadequate reasons</w:t>
      </w:r>
      <w:r w:rsidRPr="00B63205">
        <w:rPr>
          <w:lang w:val="en-CA"/>
        </w:rPr>
        <w:t xml:space="preserve"> for acquittal in relation to one of the three events will justify a retrial order in relation to that event alone</w:t>
      </w:r>
      <w:r w:rsidR="00276A1F" w:rsidRPr="000E73A2">
        <w:rPr>
          <w:lang w:val="en-CA"/>
        </w:rPr>
        <w:t>.</w:t>
      </w:r>
    </w:p>
    <w:p w14:paraId="3264C465" w14:textId="57B4D27B" w:rsidR="00276A1F" w:rsidRPr="000E73A2" w:rsidRDefault="00300AA0" w:rsidP="00B21BF4">
      <w:pPr>
        <w:pStyle w:val="Paragraphe"/>
        <w:spacing w:before="180" w:after="180" w:line="280" w:lineRule="exact"/>
        <w:rPr>
          <w:lang w:val="en-CA"/>
        </w:rPr>
      </w:pPr>
      <w:r w:rsidRPr="00300AA0">
        <w:rPr>
          <w:lang w:val="en-CA"/>
        </w:rPr>
        <w:t xml:space="preserve">I </w:t>
      </w:r>
      <w:r>
        <w:rPr>
          <w:lang w:val="en-CA"/>
        </w:rPr>
        <w:t xml:space="preserve">will </w:t>
      </w:r>
      <w:r w:rsidRPr="00300AA0">
        <w:rPr>
          <w:lang w:val="en-CA"/>
        </w:rPr>
        <w:t xml:space="preserve">therefore discuss each event that was proven at trial in order to assess the adequacy of the </w:t>
      </w:r>
      <w:r>
        <w:rPr>
          <w:lang w:val="en-CA"/>
        </w:rPr>
        <w:t>reasons</w:t>
      </w:r>
      <w:r w:rsidRPr="00300AA0">
        <w:rPr>
          <w:lang w:val="en-CA"/>
        </w:rPr>
        <w:t xml:space="preserve"> in relation to each of them</w:t>
      </w:r>
      <w:r w:rsidR="00276A1F" w:rsidRPr="000E73A2">
        <w:rPr>
          <w:lang w:val="en-CA"/>
        </w:rPr>
        <w:t>.</w:t>
      </w:r>
    </w:p>
    <w:p w14:paraId="5ECF328D" w14:textId="6C70BF99" w:rsidR="00276A1F" w:rsidRPr="000E73A2" w:rsidRDefault="00300AA0" w:rsidP="00187BA6">
      <w:pPr>
        <w:pStyle w:val="Paragraphe"/>
        <w:numPr>
          <w:ilvl w:val="0"/>
          <w:numId w:val="0"/>
        </w:numPr>
        <w:rPr>
          <w:b/>
          <w:bCs/>
          <w:lang w:val="en-CA"/>
        </w:rPr>
      </w:pPr>
      <w:r>
        <w:rPr>
          <w:b/>
          <w:bCs/>
          <w:lang w:val="en-CA"/>
        </w:rPr>
        <w:t xml:space="preserve">The 2017 </w:t>
      </w:r>
      <w:r w:rsidR="00640147">
        <w:rPr>
          <w:b/>
          <w:bCs/>
          <w:lang w:val="en-CA"/>
        </w:rPr>
        <w:t>s</w:t>
      </w:r>
      <w:r>
        <w:rPr>
          <w:b/>
          <w:bCs/>
          <w:lang w:val="en-CA"/>
        </w:rPr>
        <w:t xml:space="preserve">exual </w:t>
      </w:r>
      <w:r w:rsidR="00640147">
        <w:rPr>
          <w:b/>
          <w:bCs/>
          <w:lang w:val="en-CA"/>
        </w:rPr>
        <w:t>a</w:t>
      </w:r>
      <w:r>
        <w:rPr>
          <w:b/>
          <w:bCs/>
          <w:lang w:val="en-CA"/>
        </w:rPr>
        <w:t>ssault</w:t>
      </w:r>
    </w:p>
    <w:p w14:paraId="4DD33F96" w14:textId="2BD1AB5C" w:rsidR="00276A1F" w:rsidRPr="000E73A2" w:rsidRDefault="00300AA0" w:rsidP="00B21BF4">
      <w:pPr>
        <w:pStyle w:val="Paragraphe"/>
        <w:spacing w:before="180" w:after="180" w:line="280" w:lineRule="exact"/>
        <w:rPr>
          <w:lang w:val="en-CA"/>
        </w:rPr>
      </w:pPr>
      <w:r w:rsidRPr="00300AA0">
        <w:rPr>
          <w:lang w:val="en-CA"/>
        </w:rPr>
        <w:t>Apart from stating that he believe</w:t>
      </w:r>
      <w:r>
        <w:rPr>
          <w:lang w:val="en-CA"/>
        </w:rPr>
        <w:t>d</w:t>
      </w:r>
      <w:r w:rsidRPr="00300AA0">
        <w:rPr>
          <w:lang w:val="en-CA"/>
        </w:rPr>
        <w:t xml:space="preserve"> the accused and </w:t>
      </w:r>
      <w:r>
        <w:rPr>
          <w:lang w:val="en-CA"/>
        </w:rPr>
        <w:t>that he rejected</w:t>
      </w:r>
      <w:r w:rsidRPr="00300AA0">
        <w:rPr>
          <w:lang w:val="en-CA"/>
        </w:rPr>
        <w:t xml:space="preserve"> the complainant's testimony, the judge d</w:t>
      </w:r>
      <w:r>
        <w:rPr>
          <w:lang w:val="en-CA"/>
        </w:rPr>
        <w:t>id</w:t>
      </w:r>
      <w:r w:rsidRPr="00300AA0">
        <w:rPr>
          <w:lang w:val="en-CA"/>
        </w:rPr>
        <w:t xml:space="preserve"> not explain the basis for his </w:t>
      </w:r>
      <w:r>
        <w:rPr>
          <w:lang w:val="en-CA"/>
        </w:rPr>
        <w:t>finding</w:t>
      </w:r>
      <w:r w:rsidRPr="00300AA0">
        <w:rPr>
          <w:lang w:val="en-CA"/>
        </w:rPr>
        <w:t xml:space="preserve"> that consent existed with respect to th</w:t>
      </w:r>
      <w:r>
        <w:rPr>
          <w:lang w:val="en-CA"/>
        </w:rPr>
        <w:t>at</w:t>
      </w:r>
      <w:r w:rsidRPr="00300AA0">
        <w:rPr>
          <w:lang w:val="en-CA"/>
        </w:rPr>
        <w:t xml:space="preserve"> event. Even if the judge could </w:t>
      </w:r>
      <w:r>
        <w:rPr>
          <w:lang w:val="en-CA"/>
        </w:rPr>
        <w:t>reject</w:t>
      </w:r>
      <w:r w:rsidRPr="00300AA0">
        <w:rPr>
          <w:lang w:val="en-CA"/>
        </w:rPr>
        <w:t xml:space="preserve"> the complainant's testimony, according to the respondent's own version, the complainant </w:t>
      </w:r>
      <w:r>
        <w:rPr>
          <w:lang w:val="en-CA"/>
        </w:rPr>
        <w:t>had</w:t>
      </w:r>
      <w:r w:rsidRPr="00300AA0">
        <w:rPr>
          <w:lang w:val="en-CA"/>
        </w:rPr>
        <w:t xml:space="preserve"> not consent</w:t>
      </w:r>
      <w:r>
        <w:rPr>
          <w:lang w:val="en-CA"/>
        </w:rPr>
        <w:t>ed</w:t>
      </w:r>
      <w:r w:rsidRPr="00300AA0">
        <w:rPr>
          <w:lang w:val="en-CA"/>
        </w:rPr>
        <w:t xml:space="preserve"> to participate in a sexual activity</w:t>
      </w:r>
      <w:r w:rsidR="00276A1F" w:rsidRPr="000E73A2">
        <w:rPr>
          <w:lang w:val="en-CA"/>
        </w:rPr>
        <w:t>.</w:t>
      </w:r>
    </w:p>
    <w:p w14:paraId="3C3B3AB4" w14:textId="633D32B2" w:rsidR="00276A1F" w:rsidRPr="000E73A2" w:rsidRDefault="000E4C32" w:rsidP="00B21BF4">
      <w:pPr>
        <w:pStyle w:val="Paragraphe"/>
        <w:spacing w:before="180" w:after="180" w:line="280" w:lineRule="exact"/>
        <w:rPr>
          <w:lang w:val="en-CA"/>
        </w:rPr>
      </w:pPr>
      <w:r w:rsidRPr="000E4C32">
        <w:rPr>
          <w:lang w:val="en-CA"/>
        </w:rPr>
        <w:t>Furthermore, in a conversation recorded on March</w:t>
      </w:r>
      <w:r>
        <w:rPr>
          <w:lang w:val="en-CA"/>
        </w:rPr>
        <w:t xml:space="preserve"> 16,</w:t>
      </w:r>
      <w:r w:rsidRPr="000E4C32">
        <w:rPr>
          <w:lang w:val="en-CA"/>
        </w:rPr>
        <w:t xml:space="preserve"> 2018, the complainant confronted the respondent about this incident, </w:t>
      </w:r>
      <w:r>
        <w:rPr>
          <w:lang w:val="en-CA"/>
        </w:rPr>
        <w:t>telling him</w:t>
      </w:r>
      <w:r w:rsidRPr="000E4C32">
        <w:rPr>
          <w:lang w:val="en-CA"/>
        </w:rPr>
        <w:t xml:space="preserve"> the following: </w:t>
      </w:r>
      <w:r>
        <w:rPr>
          <w:lang w:val="en-CA"/>
        </w:rPr>
        <w:t>[</w:t>
      </w:r>
      <w:r w:rsidRPr="000E4C32">
        <w:rPr>
          <w:smallCaps/>
          <w:lang w:val="en-CA"/>
        </w:rPr>
        <w:t>translation</w:t>
      </w:r>
      <w:r>
        <w:rPr>
          <w:lang w:val="en-CA"/>
        </w:rPr>
        <w:t>]</w:t>
      </w:r>
      <w:r w:rsidR="00F4554F">
        <w:rPr>
          <w:lang w:val="en-CA"/>
        </w:rPr>
        <w:t> </w:t>
      </w:r>
      <w:r w:rsidRPr="000E4C32">
        <w:rPr>
          <w:lang w:val="en-CA"/>
        </w:rPr>
        <w:t xml:space="preserve">“You </w:t>
      </w:r>
      <w:r w:rsidR="00EA6EE7">
        <w:rPr>
          <w:lang w:val="en-CA"/>
        </w:rPr>
        <w:t>wanted</w:t>
      </w:r>
      <w:r w:rsidRPr="000E4C32">
        <w:rPr>
          <w:lang w:val="en-CA"/>
        </w:rPr>
        <w:t xml:space="preserve"> to force me to have sex with you when I didn’t </w:t>
      </w:r>
      <w:r w:rsidR="00EA6EE7">
        <w:rPr>
          <w:lang w:val="en-CA"/>
        </w:rPr>
        <w:t>feel like it</w:t>
      </w:r>
      <w:r w:rsidRPr="000E4C32">
        <w:rPr>
          <w:lang w:val="en-CA"/>
        </w:rPr>
        <w:t xml:space="preserve">, and I told you so.” The respondent </w:t>
      </w:r>
      <w:r>
        <w:rPr>
          <w:lang w:val="en-CA"/>
        </w:rPr>
        <w:t xml:space="preserve">then </w:t>
      </w:r>
      <w:r w:rsidRPr="000E4C32">
        <w:rPr>
          <w:lang w:val="en-CA"/>
        </w:rPr>
        <w:t xml:space="preserve">replied, </w:t>
      </w:r>
      <w:r>
        <w:rPr>
          <w:lang w:val="en-CA"/>
        </w:rPr>
        <w:t>[</w:t>
      </w:r>
      <w:r w:rsidRPr="000E4C32">
        <w:rPr>
          <w:smallCaps/>
          <w:lang w:val="en-CA"/>
        </w:rPr>
        <w:t>translation</w:t>
      </w:r>
      <w:r>
        <w:rPr>
          <w:lang w:val="en-CA"/>
        </w:rPr>
        <w:t xml:space="preserve">] </w:t>
      </w:r>
      <w:r w:rsidRPr="000E4C32">
        <w:rPr>
          <w:lang w:val="en-CA"/>
        </w:rPr>
        <w:t>“</w:t>
      </w:r>
      <w:r>
        <w:rPr>
          <w:lang w:val="en-CA"/>
        </w:rPr>
        <w:t>Well yeah</w:t>
      </w:r>
      <w:r w:rsidRPr="000E4C32">
        <w:rPr>
          <w:lang w:val="en-CA"/>
        </w:rPr>
        <w:t xml:space="preserve">. And what did it take? Two? Three minutes? </w:t>
      </w:r>
      <w:r w:rsidR="00286A33">
        <w:rPr>
          <w:lang w:val="en-CA"/>
        </w:rPr>
        <w:t>Tops</w:t>
      </w:r>
      <w:r w:rsidRPr="000E4C32">
        <w:rPr>
          <w:lang w:val="en-CA"/>
        </w:rPr>
        <w:t>. And then I stopped.”</w:t>
      </w:r>
      <w:r w:rsidR="00276A1F" w:rsidRPr="000E73A2">
        <w:rPr>
          <w:rStyle w:val="Appelnotedebasdep"/>
          <w:lang w:val="en-CA"/>
        </w:rPr>
        <w:footnoteReference w:id="46"/>
      </w:r>
    </w:p>
    <w:p w14:paraId="4747E3BB" w14:textId="1ACBE7C4" w:rsidR="00276A1F" w:rsidRPr="000E73A2" w:rsidRDefault="000E4C32" w:rsidP="00B21BF4">
      <w:pPr>
        <w:pStyle w:val="Paragraphe"/>
        <w:spacing w:before="180" w:after="180" w:line="280" w:lineRule="exact"/>
        <w:rPr>
          <w:lang w:val="en-CA"/>
        </w:rPr>
      </w:pPr>
      <w:r w:rsidRPr="000E4C32">
        <w:rPr>
          <w:lang w:val="en-CA"/>
        </w:rPr>
        <w:t xml:space="preserve">The judge </w:t>
      </w:r>
      <w:r w:rsidR="00EE2082">
        <w:rPr>
          <w:lang w:val="en-CA"/>
        </w:rPr>
        <w:t>was required</w:t>
      </w:r>
      <w:r w:rsidRPr="000E4C32">
        <w:rPr>
          <w:lang w:val="en-CA"/>
        </w:rPr>
        <w:t xml:space="preserve"> to sort through this conflicting evidence and explain in an </w:t>
      </w:r>
      <w:r>
        <w:rPr>
          <w:lang w:val="en-CA"/>
        </w:rPr>
        <w:t>intelligible</w:t>
      </w:r>
      <w:r w:rsidRPr="000E4C32">
        <w:rPr>
          <w:lang w:val="en-CA"/>
        </w:rPr>
        <w:t xml:space="preserve"> way the basis for his conclusion </w:t>
      </w:r>
      <w:r>
        <w:rPr>
          <w:lang w:val="en-CA"/>
        </w:rPr>
        <w:t>as to existence of</w:t>
      </w:r>
      <w:r w:rsidRPr="000E4C32">
        <w:rPr>
          <w:lang w:val="en-CA"/>
        </w:rPr>
        <w:t xml:space="preserve"> the complainant</w:t>
      </w:r>
      <w:r>
        <w:rPr>
          <w:lang w:val="en-CA"/>
        </w:rPr>
        <w:t>’s consent</w:t>
      </w:r>
      <w:r w:rsidR="00276A1F" w:rsidRPr="000E73A2">
        <w:rPr>
          <w:lang w:val="en-CA"/>
        </w:rPr>
        <w:t>.</w:t>
      </w:r>
    </w:p>
    <w:p w14:paraId="2BF85CB2" w14:textId="4F3909FF" w:rsidR="00276A1F" w:rsidRPr="000E73A2" w:rsidRDefault="000E4C32" w:rsidP="00187BA6">
      <w:pPr>
        <w:pStyle w:val="Paragraphe"/>
        <w:numPr>
          <w:ilvl w:val="0"/>
          <w:numId w:val="0"/>
        </w:numPr>
        <w:rPr>
          <w:b/>
          <w:bCs/>
          <w:lang w:val="en-CA"/>
        </w:rPr>
      </w:pPr>
      <w:r>
        <w:rPr>
          <w:b/>
          <w:bCs/>
          <w:lang w:val="en-CA"/>
        </w:rPr>
        <w:t xml:space="preserve">The 2018 </w:t>
      </w:r>
      <w:r w:rsidR="00640147">
        <w:rPr>
          <w:b/>
          <w:bCs/>
          <w:lang w:val="en-CA"/>
        </w:rPr>
        <w:t>s</w:t>
      </w:r>
      <w:r>
        <w:rPr>
          <w:b/>
          <w:bCs/>
          <w:lang w:val="en-CA"/>
        </w:rPr>
        <w:t xml:space="preserve">exual </w:t>
      </w:r>
      <w:r w:rsidR="00640147">
        <w:rPr>
          <w:b/>
          <w:bCs/>
          <w:lang w:val="en-CA"/>
        </w:rPr>
        <w:t>a</w:t>
      </w:r>
      <w:r>
        <w:rPr>
          <w:b/>
          <w:bCs/>
          <w:lang w:val="en-CA"/>
        </w:rPr>
        <w:t>ssault</w:t>
      </w:r>
    </w:p>
    <w:p w14:paraId="7208D162" w14:textId="6D911FC9" w:rsidR="00276A1F" w:rsidRPr="000E73A2" w:rsidRDefault="00286A33" w:rsidP="00B21BF4">
      <w:pPr>
        <w:pStyle w:val="Paragraphe"/>
        <w:spacing w:before="180" w:after="180" w:line="280" w:lineRule="exact"/>
        <w:rPr>
          <w:lang w:val="en-CA"/>
        </w:rPr>
      </w:pPr>
      <w:r w:rsidRPr="00286A33">
        <w:rPr>
          <w:lang w:val="en-CA"/>
        </w:rPr>
        <w:t>This allegation concerns the incident in the bath. I quote again from the judge's summary</w:t>
      </w:r>
      <w:r w:rsidR="00276A1F" w:rsidRPr="000E73A2">
        <w:rPr>
          <w:lang w:val="en-CA"/>
        </w:rPr>
        <w:t>:</w:t>
      </w:r>
    </w:p>
    <w:p w14:paraId="3F817877" w14:textId="3C3FE80A" w:rsidR="00286A33" w:rsidRDefault="00286A33" w:rsidP="002B0303">
      <w:pPr>
        <w:pStyle w:val="Citationenretrait"/>
        <w:keepNext/>
        <w:rPr>
          <w:lang w:val="en-CA"/>
        </w:rPr>
      </w:pPr>
      <w:r>
        <w:rPr>
          <w:lang w:val="en-CA"/>
        </w:rPr>
        <w:lastRenderedPageBreak/>
        <w:t>[</w:t>
      </w:r>
      <w:r w:rsidRPr="00286A33">
        <w:rPr>
          <w:smallCaps/>
          <w:lang w:val="en-CA"/>
        </w:rPr>
        <w:t>translation</w:t>
      </w:r>
      <w:r>
        <w:rPr>
          <w:lang w:val="en-CA"/>
        </w:rPr>
        <w:t>]</w:t>
      </w:r>
    </w:p>
    <w:p w14:paraId="575589B2" w14:textId="7C6BC162" w:rsidR="00276A1F" w:rsidRPr="000E73A2" w:rsidRDefault="00EE2082" w:rsidP="002B0303">
      <w:pPr>
        <w:pStyle w:val="Citationenretrait"/>
        <w:keepNext/>
        <w:rPr>
          <w:lang w:val="en-CA"/>
        </w:rPr>
      </w:pPr>
      <w:bookmarkStart w:id="23" w:name="_Hlk202357599"/>
      <w:r w:rsidRPr="00EE2082">
        <w:rPr>
          <w:lang w:val="en-CA"/>
        </w:rPr>
        <w:t>The event in the bath: They spent the evening with friends in a club and ended up in a strip club. They took a bath and had a bottle (inaudible). They kissed, she masturbated him. She got out of the bath and told him she would wait for him in bed</w:t>
      </w:r>
      <w:r w:rsidR="00276A1F" w:rsidRPr="000E73A2">
        <w:rPr>
          <w:lang w:val="en-CA"/>
        </w:rPr>
        <w:t>.</w:t>
      </w:r>
    </w:p>
    <w:p w14:paraId="07905D7D" w14:textId="4C9A9A85" w:rsidR="00276A1F" w:rsidRPr="000E73A2" w:rsidRDefault="00EE2082" w:rsidP="00187BA6">
      <w:pPr>
        <w:pStyle w:val="Citationenretrait"/>
        <w:rPr>
          <w:lang w:val="en-CA"/>
        </w:rPr>
      </w:pPr>
      <w:r w:rsidRPr="00EE2082">
        <w:rPr>
          <w:lang w:val="en-CA"/>
        </w:rPr>
        <w:t>She lay down in her son's room. He caressed her, she spread her legs, and they had sexual intercourse. The next day, after having sex with her, he told the complainant that he enjoyed it. She said to him, ‘I didn't know, I didn't want to</w:t>
      </w:r>
      <w:r w:rsidR="00286A33" w:rsidRPr="00286A33">
        <w:rPr>
          <w:lang w:val="en-CA"/>
        </w:rPr>
        <w:t>.’</w:t>
      </w:r>
      <w:bookmarkEnd w:id="23"/>
    </w:p>
    <w:p w14:paraId="485F467F" w14:textId="370719C8" w:rsidR="00276A1F" w:rsidRPr="000E73A2" w:rsidRDefault="001F5DFA" w:rsidP="00B21BF4">
      <w:pPr>
        <w:pStyle w:val="Paragraphe"/>
        <w:spacing w:before="180" w:after="180" w:line="280" w:lineRule="exact"/>
        <w:rPr>
          <w:lang w:val="en-CA"/>
        </w:rPr>
      </w:pPr>
      <w:r>
        <w:rPr>
          <w:lang w:val="en-CA"/>
        </w:rPr>
        <w:t>He set out his final conclusion as follows</w:t>
      </w:r>
      <w:r w:rsidR="00276A1F" w:rsidRPr="000E73A2">
        <w:rPr>
          <w:lang w:val="en-CA"/>
        </w:rPr>
        <w:t>:</w:t>
      </w:r>
    </w:p>
    <w:p w14:paraId="3ABC6ED8" w14:textId="53097042" w:rsidR="001F5DFA" w:rsidRDefault="001F5DFA" w:rsidP="00187BA6">
      <w:pPr>
        <w:pStyle w:val="Citationenretrait"/>
        <w:rPr>
          <w:lang w:val="en-CA"/>
        </w:rPr>
      </w:pPr>
      <w:r>
        <w:rPr>
          <w:lang w:val="en-CA"/>
        </w:rPr>
        <w:t>[</w:t>
      </w:r>
      <w:r w:rsidRPr="001F5DFA">
        <w:rPr>
          <w:smallCaps/>
          <w:lang w:val="en-CA"/>
        </w:rPr>
        <w:t>translation</w:t>
      </w:r>
      <w:r>
        <w:rPr>
          <w:lang w:val="en-CA"/>
        </w:rPr>
        <w:t>]</w:t>
      </w:r>
    </w:p>
    <w:p w14:paraId="0A2057EC" w14:textId="4AA851E2" w:rsidR="00276A1F" w:rsidRPr="000E73A2" w:rsidRDefault="00EE2082" w:rsidP="00187BA6">
      <w:pPr>
        <w:pStyle w:val="Citationenretrait"/>
        <w:rPr>
          <w:lang w:val="en-CA"/>
        </w:rPr>
      </w:pPr>
      <w:r w:rsidRPr="00EE2082">
        <w:rPr>
          <w:lang w:val="en-CA"/>
        </w:rPr>
        <w:t>And with regard to the event in the bath, believing the accused, the Court considers that consent was given and that it was abided by</w:t>
      </w:r>
      <w:r w:rsidR="00276A1F" w:rsidRPr="000E73A2">
        <w:rPr>
          <w:lang w:val="en-CA"/>
        </w:rPr>
        <w:t>.</w:t>
      </w:r>
    </w:p>
    <w:p w14:paraId="15D9ADC9" w14:textId="020AD911" w:rsidR="00276A1F" w:rsidRDefault="001F5DFA" w:rsidP="00B21BF4">
      <w:pPr>
        <w:pStyle w:val="Paragraphe"/>
        <w:spacing w:before="180" w:after="180" w:line="280" w:lineRule="exact"/>
        <w:rPr>
          <w:lang w:val="en-CA"/>
        </w:rPr>
      </w:pPr>
      <w:r w:rsidRPr="001F5DFA">
        <w:rPr>
          <w:lang w:val="en-CA"/>
        </w:rPr>
        <w:t>Here is part of the description of this event given by the respondent</w:t>
      </w:r>
      <w:r w:rsidR="00276A1F" w:rsidRPr="000E73A2">
        <w:rPr>
          <w:lang w:val="en-CA"/>
        </w:rPr>
        <w:t>:</w:t>
      </w:r>
    </w:p>
    <w:p w14:paraId="658851A6" w14:textId="186C9BFC" w:rsidR="00EE2082" w:rsidRPr="000E73A2" w:rsidRDefault="00EE2082" w:rsidP="00EE2082">
      <w:pPr>
        <w:pStyle w:val="Paragraphe"/>
        <w:numPr>
          <w:ilvl w:val="0"/>
          <w:numId w:val="0"/>
        </w:numPr>
        <w:spacing w:before="180" w:after="180" w:line="280" w:lineRule="exact"/>
        <w:ind w:left="720"/>
        <w:rPr>
          <w:lang w:val="en-CA"/>
        </w:rPr>
      </w:pPr>
      <w:r>
        <w:rPr>
          <w:lang w:val="en-CA"/>
        </w:rPr>
        <w:t>[</w:t>
      </w:r>
      <w:r w:rsidRPr="00EE2082">
        <w:rPr>
          <w:smallCaps/>
          <w:lang w:val="en-CA"/>
        </w:rPr>
        <w:t>translation</w:t>
      </w:r>
      <w:r>
        <w:rPr>
          <w:lang w:val="en-CA"/>
        </w:rPr>
        <w:t>]</w:t>
      </w:r>
    </w:p>
    <w:tbl>
      <w:tblPr>
        <w:tblW w:w="0" w:type="auto"/>
        <w:tblLayout w:type="fixed"/>
        <w:tblCellMar>
          <w:left w:w="70" w:type="dxa"/>
          <w:right w:w="70" w:type="dxa"/>
        </w:tblCellMar>
        <w:tblLook w:val="0000" w:firstRow="0" w:lastRow="0" w:firstColumn="0" w:lastColumn="0" w:noHBand="0" w:noVBand="0"/>
      </w:tblPr>
      <w:tblGrid>
        <w:gridCol w:w="1276"/>
        <w:gridCol w:w="7655"/>
      </w:tblGrid>
      <w:tr w:rsidR="00276A1F" w:rsidRPr="000E73A2" w14:paraId="0FBC5CEB" w14:textId="77777777" w:rsidTr="00D235CE">
        <w:tc>
          <w:tcPr>
            <w:tcW w:w="1276" w:type="dxa"/>
          </w:tcPr>
          <w:p w14:paraId="5AECC292" w14:textId="1EAE80E5" w:rsidR="00276A1F" w:rsidRPr="000E73A2" w:rsidRDefault="00276A1F" w:rsidP="00B70DA4">
            <w:pPr>
              <w:pStyle w:val="Citationenretrait"/>
              <w:rPr>
                <w:lang w:val="en-CA"/>
              </w:rPr>
            </w:pPr>
            <w:r w:rsidRPr="000E73A2">
              <w:rPr>
                <w:lang w:val="en-CA"/>
              </w:rPr>
              <w:t>Q</w:t>
            </w:r>
          </w:p>
        </w:tc>
        <w:tc>
          <w:tcPr>
            <w:tcW w:w="7655" w:type="dxa"/>
          </w:tcPr>
          <w:p w14:paraId="47F150FA" w14:textId="6194A2F2" w:rsidR="00276A1F" w:rsidRPr="000E73A2" w:rsidRDefault="001F5DFA" w:rsidP="00D235CE">
            <w:pPr>
              <w:pStyle w:val="Citationenretrait"/>
              <w:ind w:left="73"/>
              <w:rPr>
                <w:lang w:val="en-CA"/>
              </w:rPr>
            </w:pPr>
            <w:r w:rsidRPr="001F5DFA">
              <w:rPr>
                <w:lang w:val="en-CA"/>
              </w:rPr>
              <w:t>D</w:t>
            </w:r>
            <w:r>
              <w:rPr>
                <w:lang w:val="en-CA"/>
              </w:rPr>
              <w:t>id</w:t>
            </w:r>
            <w:r w:rsidRPr="001F5DFA">
              <w:rPr>
                <w:lang w:val="en-CA"/>
              </w:rPr>
              <w:t xml:space="preserve"> you make sure to check that she </w:t>
            </w:r>
            <w:r>
              <w:rPr>
                <w:lang w:val="en-CA"/>
              </w:rPr>
              <w:t>wa</w:t>
            </w:r>
            <w:r w:rsidRPr="001F5DFA">
              <w:rPr>
                <w:lang w:val="en-CA"/>
              </w:rPr>
              <w:t xml:space="preserve">s okay, that she </w:t>
            </w:r>
            <w:r>
              <w:rPr>
                <w:lang w:val="en-CA"/>
              </w:rPr>
              <w:t>was</w:t>
            </w:r>
            <w:r w:rsidRPr="001F5DFA">
              <w:rPr>
                <w:lang w:val="en-CA"/>
              </w:rPr>
              <w:t xml:space="preserve"> conscious?</w:t>
            </w:r>
          </w:p>
        </w:tc>
      </w:tr>
      <w:tr w:rsidR="00276A1F" w:rsidRPr="000E73A2" w14:paraId="42C27CC3" w14:textId="77777777" w:rsidTr="00D235CE">
        <w:tc>
          <w:tcPr>
            <w:tcW w:w="1276" w:type="dxa"/>
          </w:tcPr>
          <w:p w14:paraId="48454B88" w14:textId="0DAF689A" w:rsidR="00276A1F" w:rsidRPr="000E73A2" w:rsidRDefault="001F5DFA" w:rsidP="00B70DA4">
            <w:pPr>
              <w:pStyle w:val="Citationenretrait"/>
              <w:rPr>
                <w:lang w:val="en-CA"/>
              </w:rPr>
            </w:pPr>
            <w:r>
              <w:rPr>
                <w:lang w:val="en-CA"/>
              </w:rPr>
              <w:t>A</w:t>
            </w:r>
          </w:p>
        </w:tc>
        <w:tc>
          <w:tcPr>
            <w:tcW w:w="7655" w:type="dxa"/>
          </w:tcPr>
          <w:p w14:paraId="256F8809" w14:textId="626AA322" w:rsidR="00276A1F" w:rsidRPr="000E73A2" w:rsidRDefault="001F5DFA" w:rsidP="00D235CE">
            <w:pPr>
              <w:pStyle w:val="Citationenretrait"/>
              <w:ind w:left="73"/>
              <w:rPr>
                <w:lang w:val="en-CA"/>
              </w:rPr>
            </w:pPr>
            <w:r w:rsidRPr="001F5DFA">
              <w:rPr>
                <w:lang w:val="en-CA"/>
              </w:rPr>
              <w:t>I was so drunk that no, I didn't... Make sure she was conscious, yes, she was conscious, there. But make sure</w:t>
            </w:r>
            <w:r w:rsidR="00AF2674">
              <w:rPr>
                <w:lang w:val="en-CA"/>
              </w:rPr>
              <w:t xml:space="preserve"> of</w:t>
            </w:r>
            <w:r w:rsidRPr="001F5DFA">
              <w:rPr>
                <w:lang w:val="en-CA"/>
              </w:rPr>
              <w:t xml:space="preserve"> what? Check her pulse, no, I didn't check her pulse if that's </w:t>
            </w:r>
            <w:r w:rsidR="00EE2082">
              <w:rPr>
                <w:lang w:val="en-CA"/>
              </w:rPr>
              <w:t>your question</w:t>
            </w:r>
            <w:r w:rsidR="00276A1F" w:rsidRPr="000E73A2">
              <w:rPr>
                <w:lang w:val="en-CA"/>
              </w:rPr>
              <w:t>.</w:t>
            </w:r>
          </w:p>
        </w:tc>
      </w:tr>
      <w:tr w:rsidR="00276A1F" w:rsidRPr="000E73A2" w14:paraId="1D814107" w14:textId="77777777" w:rsidTr="00D235CE">
        <w:trPr>
          <w:trHeight w:val="575"/>
        </w:trPr>
        <w:tc>
          <w:tcPr>
            <w:tcW w:w="1276" w:type="dxa"/>
          </w:tcPr>
          <w:p w14:paraId="3A392739" w14:textId="77777777" w:rsidR="00276A1F" w:rsidRPr="000E73A2" w:rsidRDefault="00276A1F" w:rsidP="00B70DA4">
            <w:pPr>
              <w:pStyle w:val="Citationenretrait"/>
              <w:rPr>
                <w:lang w:val="en-CA"/>
              </w:rPr>
            </w:pPr>
            <w:r w:rsidRPr="000E73A2">
              <w:rPr>
                <w:lang w:val="en-CA"/>
              </w:rPr>
              <w:t>Q</w:t>
            </w:r>
          </w:p>
        </w:tc>
        <w:tc>
          <w:tcPr>
            <w:tcW w:w="7655" w:type="dxa"/>
          </w:tcPr>
          <w:p w14:paraId="3DA27C24" w14:textId="30013E79" w:rsidR="00276A1F" w:rsidRPr="000E73A2" w:rsidRDefault="00AF2674" w:rsidP="00D235CE">
            <w:pPr>
              <w:pStyle w:val="Citationenretrait"/>
              <w:ind w:left="73"/>
              <w:rPr>
                <w:lang w:val="en-CA"/>
              </w:rPr>
            </w:pPr>
            <w:r w:rsidRPr="00AF2674">
              <w:rPr>
                <w:lang w:val="en-CA"/>
              </w:rPr>
              <w:t>OK. Then</w:t>
            </w:r>
            <w:r w:rsidR="00EE2082">
              <w:rPr>
                <w:lang w:val="en-CA"/>
              </w:rPr>
              <w:t>,</w:t>
            </w:r>
            <w:r w:rsidRPr="00AF2674">
              <w:rPr>
                <w:lang w:val="en-CA"/>
              </w:rPr>
              <w:t xml:space="preserve"> make sure </w:t>
            </w:r>
            <w:r>
              <w:rPr>
                <w:lang w:val="en-CA"/>
              </w:rPr>
              <w:t xml:space="preserve">that </w:t>
            </w:r>
            <w:r w:rsidRPr="00AF2674">
              <w:rPr>
                <w:lang w:val="en-CA"/>
              </w:rPr>
              <w:t>she consented?</w:t>
            </w:r>
          </w:p>
        </w:tc>
      </w:tr>
      <w:tr w:rsidR="00276A1F" w:rsidRPr="000E73A2" w14:paraId="7C92EF6C" w14:textId="77777777" w:rsidTr="00D235CE">
        <w:trPr>
          <w:trHeight w:val="575"/>
        </w:trPr>
        <w:tc>
          <w:tcPr>
            <w:tcW w:w="1276" w:type="dxa"/>
          </w:tcPr>
          <w:p w14:paraId="02A87C1E" w14:textId="1D4F3219" w:rsidR="00276A1F" w:rsidRPr="000E73A2" w:rsidRDefault="001F5DFA" w:rsidP="00B70DA4">
            <w:pPr>
              <w:pStyle w:val="Citationenretrait"/>
              <w:rPr>
                <w:lang w:val="en-CA"/>
              </w:rPr>
            </w:pPr>
            <w:r>
              <w:rPr>
                <w:lang w:val="en-CA"/>
              </w:rPr>
              <w:t>A</w:t>
            </w:r>
          </w:p>
        </w:tc>
        <w:tc>
          <w:tcPr>
            <w:tcW w:w="7655" w:type="dxa"/>
          </w:tcPr>
          <w:p w14:paraId="14AE44D2" w14:textId="5CDBE103" w:rsidR="00276A1F" w:rsidRPr="000E73A2" w:rsidRDefault="00AF2674" w:rsidP="00D235CE">
            <w:pPr>
              <w:pStyle w:val="Citationenretrait"/>
              <w:ind w:left="73"/>
              <w:rPr>
                <w:lang w:val="en-CA"/>
              </w:rPr>
            </w:pPr>
            <w:r w:rsidRPr="00AF2674">
              <w:rPr>
                <w:lang w:val="en-CA"/>
              </w:rPr>
              <w:t xml:space="preserve">Make sure </w:t>
            </w:r>
            <w:r>
              <w:rPr>
                <w:lang w:val="en-CA"/>
              </w:rPr>
              <w:t>that</w:t>
            </w:r>
            <w:r w:rsidR="0085248A">
              <w:rPr>
                <w:lang w:val="en-CA"/>
              </w:rPr>
              <w:t xml:space="preserve"> </w:t>
            </w:r>
            <w:r w:rsidRPr="00AF2674">
              <w:rPr>
                <w:lang w:val="en-CA"/>
              </w:rPr>
              <w:t xml:space="preserve">she </w:t>
            </w:r>
            <w:r>
              <w:rPr>
                <w:lang w:val="en-CA"/>
              </w:rPr>
              <w:t>consented</w:t>
            </w:r>
            <w:r w:rsidRPr="00AF2674">
              <w:rPr>
                <w:lang w:val="en-CA"/>
              </w:rPr>
              <w:t>? Well, as far as I was concerned, I lay down next to her and she didn't say anything. Then, when I started masturbating her, she spread her legs</w:t>
            </w:r>
            <w:r w:rsidR="00276A1F" w:rsidRPr="000E73A2">
              <w:rPr>
                <w:lang w:val="en-CA"/>
              </w:rPr>
              <w:t>.</w:t>
            </w:r>
          </w:p>
        </w:tc>
      </w:tr>
    </w:tbl>
    <w:p w14:paraId="2BF80FDA" w14:textId="2E6CDB7F" w:rsidR="00276A1F" w:rsidRPr="000E73A2" w:rsidRDefault="00AF2674" w:rsidP="00B21BF4">
      <w:pPr>
        <w:pStyle w:val="Paragraphe"/>
        <w:spacing w:before="180" w:after="180" w:line="280" w:lineRule="exact"/>
        <w:rPr>
          <w:lang w:val="en-CA"/>
        </w:rPr>
      </w:pPr>
      <w:r w:rsidRPr="00AF2674">
        <w:rPr>
          <w:lang w:val="en-CA"/>
        </w:rPr>
        <w:t xml:space="preserve">In light of the respondent's </w:t>
      </w:r>
      <w:r>
        <w:rPr>
          <w:lang w:val="en-CA"/>
        </w:rPr>
        <w:t>answers</w:t>
      </w:r>
      <w:r w:rsidRPr="00AF2674">
        <w:rPr>
          <w:lang w:val="en-CA"/>
        </w:rPr>
        <w:t xml:space="preserve">, I am of the view that the judge's reasons do not allow us to determine how the judge could have concluded that consent was </w:t>
      </w:r>
      <w:r>
        <w:rPr>
          <w:lang w:val="en-CA"/>
        </w:rPr>
        <w:t>communicated</w:t>
      </w:r>
      <w:r w:rsidRPr="00AF2674">
        <w:rPr>
          <w:lang w:val="en-CA"/>
        </w:rPr>
        <w:t xml:space="preserve"> by the complainant for </w:t>
      </w:r>
      <w:r>
        <w:rPr>
          <w:lang w:val="en-CA"/>
        </w:rPr>
        <w:t xml:space="preserve">the </w:t>
      </w:r>
      <w:r w:rsidRPr="00AF2674">
        <w:rPr>
          <w:lang w:val="en-CA"/>
        </w:rPr>
        <w:t>sexual activity in their son's bed. In fact, they do not even allow us to determine whether the judge actually concluded that consent existed or whether he concluded that the respondent could have believed that consent existed</w:t>
      </w:r>
      <w:r w:rsidR="00276A1F" w:rsidRPr="000E73A2">
        <w:rPr>
          <w:lang w:val="en-CA"/>
        </w:rPr>
        <w:t>.</w:t>
      </w:r>
    </w:p>
    <w:p w14:paraId="6684DD5C" w14:textId="7C66A3E4" w:rsidR="00276A1F" w:rsidRPr="000E73A2" w:rsidRDefault="00AF2674" w:rsidP="00B21BF4">
      <w:pPr>
        <w:pStyle w:val="Paragraphe"/>
        <w:spacing w:before="180" w:after="180" w:line="280" w:lineRule="exact"/>
        <w:rPr>
          <w:lang w:val="en-CA"/>
        </w:rPr>
      </w:pPr>
      <w:r w:rsidRPr="00AF2674">
        <w:rPr>
          <w:lang w:val="en-CA"/>
        </w:rPr>
        <w:lastRenderedPageBreak/>
        <w:t>Indeed, the respondent d</w:t>
      </w:r>
      <w:r>
        <w:rPr>
          <w:lang w:val="en-CA"/>
        </w:rPr>
        <w:t>id</w:t>
      </w:r>
      <w:r w:rsidRPr="00AF2674">
        <w:rPr>
          <w:lang w:val="en-CA"/>
        </w:rPr>
        <w:t xml:space="preserve"> not claim in his testimony that the complainant </w:t>
      </w:r>
      <w:r>
        <w:rPr>
          <w:lang w:val="en-CA"/>
        </w:rPr>
        <w:t xml:space="preserve">had </w:t>
      </w:r>
      <w:r w:rsidRPr="00AF2674">
        <w:rPr>
          <w:lang w:val="en-CA"/>
        </w:rPr>
        <w:t xml:space="preserve">communicated her consent to him. At best, according to the version presented by the respondent, he raised a defence of </w:t>
      </w:r>
      <w:r>
        <w:rPr>
          <w:lang w:val="en-CA"/>
        </w:rPr>
        <w:t>honest</w:t>
      </w:r>
      <w:r w:rsidRPr="00AF2674">
        <w:rPr>
          <w:lang w:val="en-CA"/>
        </w:rPr>
        <w:t xml:space="preserve"> but mistaken belief in </w:t>
      </w:r>
      <w:r>
        <w:rPr>
          <w:lang w:val="en-CA"/>
        </w:rPr>
        <w:t xml:space="preserve">communicated </w:t>
      </w:r>
      <w:r w:rsidRPr="00AF2674">
        <w:rPr>
          <w:lang w:val="en-CA"/>
        </w:rPr>
        <w:t>consent</w:t>
      </w:r>
      <w:r w:rsidR="00276A1F" w:rsidRPr="000E73A2">
        <w:rPr>
          <w:lang w:val="en-CA"/>
        </w:rPr>
        <w:t>.</w:t>
      </w:r>
    </w:p>
    <w:p w14:paraId="122CF0FC" w14:textId="3BCC18E1" w:rsidR="00276A1F" w:rsidRPr="000E73A2" w:rsidRDefault="00AF2674" w:rsidP="00B21BF4">
      <w:pPr>
        <w:pStyle w:val="Paragraphe"/>
        <w:spacing w:before="180" w:after="180" w:line="280" w:lineRule="exact"/>
        <w:rPr>
          <w:lang w:val="en-CA"/>
        </w:rPr>
      </w:pPr>
      <w:r w:rsidRPr="00AF2674">
        <w:rPr>
          <w:lang w:val="en-CA"/>
        </w:rPr>
        <w:t xml:space="preserve">The excerpt from the respondent's testimony and </w:t>
      </w:r>
      <w:r w:rsidR="000560A4">
        <w:rPr>
          <w:lang w:val="en-CA"/>
        </w:rPr>
        <w:t>a</w:t>
      </w:r>
      <w:r w:rsidRPr="00AF2674">
        <w:rPr>
          <w:lang w:val="en-CA"/>
        </w:rPr>
        <w:t xml:space="preserve"> reading of the following passage from </w:t>
      </w:r>
      <w:r w:rsidRPr="00AF2674">
        <w:rPr>
          <w:i/>
          <w:iCs/>
          <w:lang w:val="en-CA"/>
        </w:rPr>
        <w:t>Barton</w:t>
      </w:r>
      <w:r>
        <w:rPr>
          <w:lang w:val="en-CA"/>
        </w:rPr>
        <w:t xml:space="preserve"> </w:t>
      </w:r>
      <w:r w:rsidRPr="00AF2674">
        <w:rPr>
          <w:lang w:val="en-CA"/>
        </w:rPr>
        <w:t xml:space="preserve">reveal how the </w:t>
      </w:r>
      <w:bookmarkStart w:id="24" w:name="_Hlk202169850"/>
      <w:r w:rsidR="000560A4">
        <w:rPr>
          <w:lang w:val="en-CA"/>
        </w:rPr>
        <w:t xml:space="preserve">insufficiency of reasons </w:t>
      </w:r>
      <w:bookmarkEnd w:id="24"/>
      <w:r w:rsidR="000560A4">
        <w:rPr>
          <w:lang w:val="en-CA"/>
        </w:rPr>
        <w:t>forecloses</w:t>
      </w:r>
      <w:r w:rsidRPr="00AF2674">
        <w:rPr>
          <w:lang w:val="en-CA"/>
        </w:rPr>
        <w:t xml:space="preserve"> understanding of the judge's conclusion that </w:t>
      </w:r>
      <w:r>
        <w:rPr>
          <w:lang w:val="en-CA"/>
        </w:rPr>
        <w:t>[</w:t>
      </w:r>
      <w:r w:rsidRPr="00AF2674">
        <w:rPr>
          <w:smallCaps/>
          <w:lang w:val="en-CA"/>
        </w:rPr>
        <w:t>translation</w:t>
      </w:r>
      <w:r>
        <w:rPr>
          <w:lang w:val="en-CA"/>
        </w:rPr>
        <w:t>] “</w:t>
      </w:r>
      <w:r w:rsidRPr="00AF2674">
        <w:rPr>
          <w:lang w:val="en-CA"/>
        </w:rPr>
        <w:t xml:space="preserve">consent was given and that it was </w:t>
      </w:r>
      <w:r w:rsidR="00BA178B">
        <w:rPr>
          <w:lang w:val="en-CA"/>
        </w:rPr>
        <w:t>abided by</w:t>
      </w:r>
      <w:r>
        <w:rPr>
          <w:lang w:val="en-CA"/>
        </w:rPr>
        <w:t>”</w:t>
      </w:r>
      <w:r w:rsidR="00276A1F" w:rsidRPr="000E73A2">
        <w:rPr>
          <w:lang w:val="en-CA"/>
        </w:rPr>
        <w:t>:</w:t>
      </w:r>
    </w:p>
    <w:p w14:paraId="6125AFDD" w14:textId="42F8F91B" w:rsidR="00276A1F" w:rsidRPr="000E73A2" w:rsidRDefault="00276A1F" w:rsidP="00955A66">
      <w:pPr>
        <w:pStyle w:val="Citationenretrait"/>
        <w:keepNext/>
        <w:rPr>
          <w:lang w:val="en-CA"/>
        </w:rPr>
      </w:pPr>
      <w:r w:rsidRPr="000E73A2">
        <w:rPr>
          <w:lang w:val="en-CA"/>
        </w:rPr>
        <w:t>[107]</w:t>
      </w:r>
      <w:r w:rsidRPr="000E73A2">
        <w:rPr>
          <w:lang w:val="en-CA"/>
        </w:rPr>
        <w:tab/>
      </w:r>
      <w:r w:rsidR="00B625A6" w:rsidRPr="00B625A6">
        <w:rPr>
          <w:lang w:val="en-CA"/>
        </w:rPr>
        <w:t xml:space="preserve">That said, it is possible to identify certain things that clearly are not reasonable steps. For example, steps based on rape myths or stereotypical assumptions about women and consent cannot constitute reasonable steps. As such, an accused cannot point to his reliance on the complainant’s silence, passivity, or ambiguous conduct as a reasonable step to ascertain consent, as a belief that any of these factors constitutes consent is a mistake of law (see </w:t>
      </w:r>
      <w:r w:rsidR="00B625A6" w:rsidRPr="00B625A6">
        <w:rPr>
          <w:i/>
          <w:iCs/>
          <w:lang w:val="en-CA"/>
        </w:rPr>
        <w:t>Ewanchuk</w:t>
      </w:r>
      <w:r w:rsidR="00B625A6" w:rsidRPr="00B625A6">
        <w:rPr>
          <w:lang w:val="en-CA"/>
        </w:rPr>
        <w:t xml:space="preserve">, at para. 51, citing </w:t>
      </w:r>
      <w:r w:rsidR="00B625A6" w:rsidRPr="00B625A6">
        <w:rPr>
          <w:i/>
          <w:iCs/>
          <w:lang w:val="en-CA"/>
        </w:rPr>
        <w:t>M. (M.L.)</w:t>
      </w:r>
      <w:r w:rsidR="00B625A6" w:rsidRPr="00B625A6">
        <w:rPr>
          <w:lang w:val="en-CA"/>
        </w:rPr>
        <w:t xml:space="preserve">). Similarly, it would be perverse to think that a sexual assault could constitute a reasonable step (see Sheehy, at p. 518). Accordingly, </w:t>
      </w:r>
      <w:r w:rsidR="00B625A6" w:rsidRPr="00B625A6">
        <w:rPr>
          <w:u w:val="single"/>
          <w:lang w:val="en-CA"/>
        </w:rPr>
        <w:t>an accused’s attempt to “test the waters” by recklessly or knowingly engaging in non-consensual sexual touching cannot be considered a reasonable step. This is a particularly acute issue in the context of unconscious or semi-conscious complainants</w:t>
      </w:r>
      <w:r w:rsidR="00B625A6" w:rsidRPr="00B625A6">
        <w:rPr>
          <w:lang w:val="en-CA"/>
        </w:rPr>
        <w:t xml:space="preserve"> (see Sheehy, at p. 537)</w:t>
      </w:r>
      <w:r w:rsidRPr="000E73A2">
        <w:rPr>
          <w:lang w:val="en-CA"/>
        </w:rPr>
        <w:t>.</w:t>
      </w:r>
    </w:p>
    <w:p w14:paraId="7DD89396" w14:textId="74383DBB" w:rsidR="00276A1F" w:rsidRPr="000E73A2" w:rsidRDefault="00276A1F" w:rsidP="00187BA6">
      <w:pPr>
        <w:pStyle w:val="Citationenretrait"/>
        <w:jc w:val="right"/>
        <w:rPr>
          <w:lang w:val="en-CA"/>
        </w:rPr>
      </w:pPr>
      <w:r w:rsidRPr="000E73A2">
        <w:rPr>
          <w:lang w:val="en-CA"/>
        </w:rPr>
        <w:t>[</w:t>
      </w:r>
      <w:r w:rsidR="000560A4">
        <w:rPr>
          <w:lang w:val="en-CA"/>
        </w:rPr>
        <w:t>Underlining added</w:t>
      </w:r>
      <w:r w:rsidRPr="000E73A2">
        <w:rPr>
          <w:lang w:val="en-CA"/>
        </w:rPr>
        <w:t>]</w:t>
      </w:r>
    </w:p>
    <w:p w14:paraId="78A2EDAE" w14:textId="523C23AF" w:rsidR="00276A1F" w:rsidRPr="000E73A2" w:rsidRDefault="000560A4" w:rsidP="00B21BF4">
      <w:pPr>
        <w:pStyle w:val="Paragraphe"/>
        <w:spacing w:before="180" w:after="180" w:line="280" w:lineRule="exact"/>
        <w:rPr>
          <w:lang w:val="en-CA"/>
        </w:rPr>
      </w:pPr>
      <w:r w:rsidRPr="000560A4">
        <w:rPr>
          <w:lang w:val="en-CA"/>
        </w:rPr>
        <w:t xml:space="preserve">In these circumstances, it was </w:t>
      </w:r>
      <w:r>
        <w:rPr>
          <w:lang w:val="en-CA"/>
        </w:rPr>
        <w:t>especially</w:t>
      </w:r>
      <w:r w:rsidRPr="000560A4">
        <w:rPr>
          <w:lang w:val="en-CA"/>
        </w:rPr>
        <w:t xml:space="preserve"> crucial for the trial judge to explain his reasoning clearly, which he failed to do, leaving us with the impossible task of speculating </w:t>
      </w:r>
      <w:r>
        <w:rPr>
          <w:lang w:val="en-CA"/>
        </w:rPr>
        <w:t>as to</w:t>
      </w:r>
      <w:r w:rsidRPr="000560A4">
        <w:rPr>
          <w:lang w:val="en-CA"/>
        </w:rPr>
        <w:t xml:space="preserve"> the </w:t>
      </w:r>
      <w:r>
        <w:rPr>
          <w:lang w:val="en-CA"/>
        </w:rPr>
        <w:t xml:space="preserve">very </w:t>
      </w:r>
      <w:r w:rsidRPr="000560A4">
        <w:rPr>
          <w:lang w:val="en-CA"/>
        </w:rPr>
        <w:t xml:space="preserve">basis </w:t>
      </w:r>
      <w:r>
        <w:rPr>
          <w:lang w:val="en-CA"/>
        </w:rPr>
        <w:t>of</w:t>
      </w:r>
      <w:r w:rsidRPr="000560A4">
        <w:rPr>
          <w:lang w:val="en-CA"/>
        </w:rPr>
        <w:t xml:space="preserve"> his decision</w:t>
      </w:r>
      <w:r w:rsidR="00276A1F" w:rsidRPr="000E73A2">
        <w:rPr>
          <w:lang w:val="en-CA"/>
        </w:rPr>
        <w:t>.</w:t>
      </w:r>
    </w:p>
    <w:p w14:paraId="1D8526B9" w14:textId="5D6F770A" w:rsidR="00276A1F" w:rsidRPr="000E73A2" w:rsidRDefault="0085248A" w:rsidP="00187BA6">
      <w:pPr>
        <w:pStyle w:val="Paragraphe"/>
        <w:numPr>
          <w:ilvl w:val="0"/>
          <w:numId w:val="0"/>
        </w:numPr>
        <w:rPr>
          <w:b/>
          <w:bCs/>
          <w:lang w:val="en-CA"/>
        </w:rPr>
      </w:pPr>
      <w:r>
        <w:rPr>
          <w:b/>
          <w:bCs/>
          <w:lang w:val="en-CA"/>
        </w:rPr>
        <w:t xml:space="preserve">The 2020 </w:t>
      </w:r>
      <w:r w:rsidR="00640147">
        <w:rPr>
          <w:b/>
          <w:bCs/>
          <w:lang w:val="en-CA"/>
        </w:rPr>
        <w:t>s</w:t>
      </w:r>
      <w:r>
        <w:rPr>
          <w:b/>
          <w:bCs/>
          <w:lang w:val="en-CA"/>
        </w:rPr>
        <w:t xml:space="preserve">exual </w:t>
      </w:r>
      <w:r w:rsidR="00640147">
        <w:rPr>
          <w:b/>
          <w:bCs/>
          <w:lang w:val="en-CA"/>
        </w:rPr>
        <w:t>a</w:t>
      </w:r>
      <w:r>
        <w:rPr>
          <w:b/>
          <w:bCs/>
          <w:lang w:val="en-CA"/>
        </w:rPr>
        <w:t>ssault</w:t>
      </w:r>
    </w:p>
    <w:p w14:paraId="182B3A16" w14:textId="3AA0837E" w:rsidR="00276A1F" w:rsidRPr="000E73A2" w:rsidRDefault="0085248A" w:rsidP="00B21BF4">
      <w:pPr>
        <w:pStyle w:val="Paragraphe"/>
        <w:spacing w:before="180" w:after="180" w:line="280" w:lineRule="exact"/>
        <w:rPr>
          <w:lang w:val="en-CA"/>
        </w:rPr>
      </w:pPr>
      <w:r w:rsidRPr="0085248A">
        <w:rPr>
          <w:lang w:val="en-CA"/>
        </w:rPr>
        <w:t xml:space="preserve">Finally, with regard to the last event, the </w:t>
      </w:r>
      <w:r>
        <w:rPr>
          <w:lang w:val="en-CA"/>
        </w:rPr>
        <w:t>prosecution</w:t>
      </w:r>
      <w:r w:rsidRPr="0085248A">
        <w:rPr>
          <w:lang w:val="en-CA"/>
        </w:rPr>
        <w:t xml:space="preserve"> argued in </w:t>
      </w:r>
      <w:r>
        <w:rPr>
          <w:lang w:val="en-CA"/>
        </w:rPr>
        <w:t>its</w:t>
      </w:r>
      <w:r w:rsidRPr="0085248A">
        <w:rPr>
          <w:lang w:val="en-CA"/>
        </w:rPr>
        <w:t xml:space="preserve"> closing submissions that the initial consent had been vitiated by an abuse of power on the part of the </w:t>
      </w:r>
      <w:r w:rsidR="005F2137">
        <w:rPr>
          <w:lang w:val="en-CA"/>
        </w:rPr>
        <w:t>respondent</w:t>
      </w:r>
      <w:r w:rsidRPr="0085248A">
        <w:rPr>
          <w:lang w:val="en-CA"/>
        </w:rPr>
        <w:t xml:space="preserve"> when assessing the relationship between the </w:t>
      </w:r>
      <w:r w:rsidR="005F2137">
        <w:rPr>
          <w:lang w:val="en-CA"/>
        </w:rPr>
        <w:t>latter</w:t>
      </w:r>
      <w:r w:rsidRPr="0085248A">
        <w:rPr>
          <w:lang w:val="en-CA"/>
        </w:rPr>
        <w:t xml:space="preserve"> and the </w:t>
      </w:r>
      <w:r>
        <w:rPr>
          <w:lang w:val="en-CA"/>
        </w:rPr>
        <w:t>complainant</w:t>
      </w:r>
      <w:r w:rsidRPr="0085248A">
        <w:rPr>
          <w:lang w:val="en-CA"/>
        </w:rPr>
        <w:t xml:space="preserve"> as a whole. The judgment </w:t>
      </w:r>
      <w:r w:rsidR="005F2137">
        <w:rPr>
          <w:lang w:val="en-CA"/>
        </w:rPr>
        <w:t>provided no answer to</w:t>
      </w:r>
      <w:r w:rsidRPr="0085248A">
        <w:rPr>
          <w:lang w:val="en-CA"/>
        </w:rPr>
        <w:t xml:space="preserve"> this argument</w:t>
      </w:r>
      <w:r w:rsidR="00276A1F" w:rsidRPr="000E73A2">
        <w:rPr>
          <w:lang w:val="en-CA"/>
        </w:rPr>
        <w:t>.</w:t>
      </w:r>
    </w:p>
    <w:p w14:paraId="4D601E48" w14:textId="1FC17CC2" w:rsidR="00276A1F" w:rsidRPr="000E73A2" w:rsidRDefault="0085248A" w:rsidP="00B21BF4">
      <w:pPr>
        <w:pStyle w:val="Paragraphe"/>
        <w:spacing w:before="180" w:after="180" w:line="280" w:lineRule="exact"/>
        <w:rPr>
          <w:lang w:val="en-CA"/>
        </w:rPr>
      </w:pPr>
      <w:r w:rsidRPr="0085248A">
        <w:rPr>
          <w:lang w:val="en-CA"/>
        </w:rPr>
        <w:t>The prosecut</w:t>
      </w:r>
      <w:r>
        <w:rPr>
          <w:lang w:val="en-CA"/>
        </w:rPr>
        <w:t>ion</w:t>
      </w:r>
      <w:r w:rsidRPr="0085248A">
        <w:rPr>
          <w:lang w:val="en-CA"/>
        </w:rPr>
        <w:t xml:space="preserve"> also argued that during this event, which was recorded, the complainant told the respondent several times that she did not like the sexual activity they were engaging in and that she did not want to have sex</w:t>
      </w:r>
      <w:r w:rsidR="00276A1F" w:rsidRPr="000E73A2">
        <w:rPr>
          <w:lang w:val="en-CA"/>
        </w:rPr>
        <w:t>.</w:t>
      </w:r>
    </w:p>
    <w:p w14:paraId="7B768426" w14:textId="43CD9DE1" w:rsidR="00276A1F" w:rsidRPr="000E73A2" w:rsidRDefault="0085248A" w:rsidP="00B21BF4">
      <w:pPr>
        <w:pStyle w:val="Paragraphe"/>
        <w:spacing w:before="180" w:after="180" w:line="280" w:lineRule="exact"/>
        <w:rPr>
          <w:lang w:val="en-CA"/>
        </w:rPr>
      </w:pPr>
      <w:r w:rsidRPr="0085248A">
        <w:rPr>
          <w:lang w:val="en-CA"/>
        </w:rPr>
        <w:t>The prosecut</w:t>
      </w:r>
      <w:r>
        <w:rPr>
          <w:lang w:val="en-CA"/>
        </w:rPr>
        <w:t>ion</w:t>
      </w:r>
      <w:r w:rsidRPr="0085248A">
        <w:rPr>
          <w:lang w:val="en-CA"/>
        </w:rPr>
        <w:t xml:space="preserve"> add</w:t>
      </w:r>
      <w:r>
        <w:rPr>
          <w:lang w:val="en-CA"/>
        </w:rPr>
        <w:t>ed</w:t>
      </w:r>
      <w:r w:rsidRPr="0085248A">
        <w:rPr>
          <w:lang w:val="en-CA"/>
        </w:rPr>
        <w:t xml:space="preserve"> that the following excerpt </w:t>
      </w:r>
      <w:r>
        <w:rPr>
          <w:lang w:val="en-CA"/>
        </w:rPr>
        <w:t>show</w:t>
      </w:r>
      <w:r w:rsidR="005F2137">
        <w:rPr>
          <w:lang w:val="en-CA"/>
        </w:rPr>
        <w:t>s</w:t>
      </w:r>
      <w:r>
        <w:rPr>
          <w:lang w:val="en-CA"/>
        </w:rPr>
        <w:t xml:space="preserve"> that</w:t>
      </w:r>
      <w:r w:rsidRPr="0085248A">
        <w:rPr>
          <w:lang w:val="en-CA"/>
        </w:rPr>
        <w:t xml:space="preserve"> the complainant </w:t>
      </w:r>
      <w:r>
        <w:rPr>
          <w:lang w:val="en-CA"/>
        </w:rPr>
        <w:t>withdrew her</w:t>
      </w:r>
      <w:r w:rsidRPr="0085248A">
        <w:rPr>
          <w:lang w:val="en-CA"/>
        </w:rPr>
        <w:t xml:space="preserve"> consent to continue the sexual </w:t>
      </w:r>
      <w:r>
        <w:rPr>
          <w:lang w:val="en-CA"/>
        </w:rPr>
        <w:t>encounter</w:t>
      </w:r>
      <w:r w:rsidRPr="0085248A">
        <w:rPr>
          <w:lang w:val="en-CA"/>
        </w:rPr>
        <w:t xml:space="preserve"> when the respondent reminded </w:t>
      </w:r>
      <w:r w:rsidRPr="0085248A">
        <w:rPr>
          <w:lang w:val="en-CA"/>
        </w:rPr>
        <w:lastRenderedPageBreak/>
        <w:t xml:space="preserve">her of the terms of the sexual contract </w:t>
      </w:r>
      <w:r w:rsidR="005F2137">
        <w:rPr>
          <w:lang w:val="en-CA"/>
        </w:rPr>
        <w:t>by</w:t>
      </w:r>
      <w:r w:rsidRPr="0085248A">
        <w:rPr>
          <w:lang w:val="en-CA"/>
        </w:rPr>
        <w:t xml:space="preserve"> which she had consented in advance to one sexual encounter per week</w:t>
      </w:r>
      <w:r w:rsidR="00276A1F" w:rsidRPr="000E73A2">
        <w:rPr>
          <w:lang w:val="en-CA"/>
        </w:rPr>
        <w:t>:</w:t>
      </w:r>
    </w:p>
    <w:p w14:paraId="45C73CCC" w14:textId="405513D5" w:rsidR="0039724D" w:rsidRDefault="0039724D" w:rsidP="00187BA6">
      <w:pPr>
        <w:pStyle w:val="Citationenretrait"/>
        <w:rPr>
          <w:lang w:val="en-CA" w:eastAsia="fr-CA"/>
        </w:rPr>
      </w:pPr>
      <w:r>
        <w:rPr>
          <w:lang w:val="en-CA" w:eastAsia="fr-CA"/>
        </w:rPr>
        <w:t>[</w:t>
      </w:r>
      <w:r w:rsidRPr="0039724D">
        <w:rPr>
          <w:smallCaps/>
          <w:lang w:val="en-CA" w:eastAsia="fr-CA"/>
        </w:rPr>
        <w:t>translation</w:t>
      </w:r>
      <w:r>
        <w:rPr>
          <w:lang w:val="en-CA" w:eastAsia="fr-CA"/>
        </w:rPr>
        <w:t>]</w:t>
      </w:r>
    </w:p>
    <w:p w14:paraId="0CB89766" w14:textId="0E541D4C" w:rsidR="00276A1F" w:rsidRPr="000E73A2" w:rsidRDefault="0039724D" w:rsidP="00187BA6">
      <w:pPr>
        <w:pStyle w:val="Citationenretrait"/>
        <w:rPr>
          <w:lang w:val="en-CA" w:eastAsia="fr-CA"/>
        </w:rPr>
      </w:pPr>
      <w:r>
        <w:rPr>
          <w:lang w:val="en-CA" w:eastAsia="fr-CA"/>
        </w:rPr>
        <w:t>RESPONDENT:</w:t>
      </w:r>
      <w:r w:rsidR="00276A1F" w:rsidRPr="000E73A2">
        <w:rPr>
          <w:lang w:val="en-CA" w:eastAsia="fr-CA"/>
        </w:rPr>
        <w:t xml:space="preserve"> </w:t>
      </w:r>
      <w:r w:rsidRPr="0039724D">
        <w:rPr>
          <w:lang w:val="en-CA" w:eastAsia="fr-CA"/>
        </w:rPr>
        <w:t xml:space="preserve">When you tell me once a week, bitch, it's once a week. Okay? </w:t>
      </w:r>
      <w:r w:rsidR="005F2137">
        <w:rPr>
          <w:lang w:val="en-CA" w:eastAsia="fr-CA"/>
        </w:rPr>
        <w:t>F</w:t>
      </w:r>
      <w:r w:rsidRPr="0039724D">
        <w:rPr>
          <w:lang w:val="en-CA" w:eastAsia="fr-CA"/>
        </w:rPr>
        <w:t>ucking bitch</w:t>
      </w:r>
      <w:r w:rsidR="00276A1F" w:rsidRPr="000E73A2">
        <w:rPr>
          <w:lang w:val="en-CA" w:eastAsia="fr-CA"/>
        </w:rPr>
        <w:t>.</w:t>
      </w:r>
    </w:p>
    <w:p w14:paraId="2094E59F" w14:textId="2BA13E0B" w:rsidR="00276A1F" w:rsidRPr="000E73A2" w:rsidRDefault="00276A1F" w:rsidP="00187BA6">
      <w:pPr>
        <w:pStyle w:val="Citationenretrait"/>
        <w:rPr>
          <w:lang w:val="en-CA" w:eastAsia="fr-CA"/>
        </w:rPr>
      </w:pPr>
      <w:r w:rsidRPr="000E73A2">
        <w:rPr>
          <w:lang w:val="en-CA" w:eastAsia="fr-CA"/>
        </w:rPr>
        <w:t xml:space="preserve">I.L.: </w:t>
      </w:r>
      <w:r w:rsidR="0039724D">
        <w:rPr>
          <w:lang w:val="en-CA" w:eastAsia="fr-CA"/>
        </w:rPr>
        <w:t>Get away from me, damn it</w:t>
      </w:r>
      <w:r w:rsidRPr="000E73A2">
        <w:rPr>
          <w:lang w:val="en-CA" w:eastAsia="fr-CA"/>
        </w:rPr>
        <w:t>.</w:t>
      </w:r>
    </w:p>
    <w:p w14:paraId="0B39B5C5" w14:textId="5EF993D7" w:rsidR="00276A1F" w:rsidRPr="000E73A2" w:rsidRDefault="0039724D" w:rsidP="00187BA6">
      <w:pPr>
        <w:pStyle w:val="Citationenretrait"/>
        <w:rPr>
          <w:lang w:val="en-CA" w:eastAsia="fr-CA"/>
        </w:rPr>
      </w:pPr>
      <w:r>
        <w:rPr>
          <w:lang w:val="en-CA" w:eastAsia="fr-CA"/>
        </w:rPr>
        <w:t>RESPONDENT</w:t>
      </w:r>
      <w:r w:rsidR="00276A1F" w:rsidRPr="000E73A2">
        <w:rPr>
          <w:lang w:val="en-CA" w:eastAsia="fr-CA"/>
        </w:rPr>
        <w:t xml:space="preserve">: </w:t>
      </w:r>
      <w:r>
        <w:rPr>
          <w:lang w:val="en-CA" w:eastAsia="fr-CA"/>
        </w:rPr>
        <w:t>Are you anxious to get this over with or not</w:t>
      </w:r>
      <w:r w:rsidR="00276A1F" w:rsidRPr="000E73A2">
        <w:rPr>
          <w:lang w:val="en-CA" w:eastAsia="fr-CA"/>
        </w:rPr>
        <w:t>?</w:t>
      </w:r>
    </w:p>
    <w:p w14:paraId="3FFEF21A" w14:textId="18683445" w:rsidR="00276A1F" w:rsidRPr="000E73A2" w:rsidRDefault="00276A1F" w:rsidP="00187BA6">
      <w:pPr>
        <w:pStyle w:val="Citationenretrait"/>
        <w:rPr>
          <w:lang w:val="en-CA" w:eastAsia="fr-CA"/>
        </w:rPr>
      </w:pPr>
      <w:r w:rsidRPr="000E73A2">
        <w:rPr>
          <w:lang w:val="en-CA" w:eastAsia="fr-CA"/>
        </w:rPr>
        <w:t xml:space="preserve">I.L.: </w:t>
      </w:r>
      <w:r w:rsidR="0039724D" w:rsidRPr="0039724D">
        <w:rPr>
          <w:lang w:val="en-CA" w:eastAsia="fr-CA"/>
        </w:rPr>
        <w:t xml:space="preserve">Get </w:t>
      </w:r>
      <w:r w:rsidR="0039724D">
        <w:rPr>
          <w:lang w:val="en-CA" w:eastAsia="fr-CA"/>
        </w:rPr>
        <w:t>away from me</w:t>
      </w:r>
      <w:r w:rsidR="0039724D" w:rsidRPr="0039724D">
        <w:rPr>
          <w:lang w:val="en-CA" w:eastAsia="fr-CA"/>
        </w:rPr>
        <w:t xml:space="preserve">. Get </w:t>
      </w:r>
      <w:r w:rsidR="0039724D">
        <w:rPr>
          <w:lang w:val="en-CA" w:eastAsia="fr-CA"/>
        </w:rPr>
        <w:t>away from me</w:t>
      </w:r>
      <w:r w:rsidR="0039724D" w:rsidRPr="0039724D">
        <w:rPr>
          <w:lang w:val="en-CA" w:eastAsia="fr-CA"/>
        </w:rPr>
        <w:t>. You</w:t>
      </w:r>
      <w:r w:rsidR="0039724D">
        <w:rPr>
          <w:lang w:val="en-CA" w:eastAsia="fr-CA"/>
        </w:rPr>
        <w:t>r</w:t>
      </w:r>
      <w:r w:rsidR="0039724D" w:rsidRPr="0039724D">
        <w:rPr>
          <w:lang w:val="en-CA" w:eastAsia="fr-CA"/>
        </w:rPr>
        <w:t xml:space="preserve"> </w:t>
      </w:r>
      <w:r w:rsidR="0039724D">
        <w:rPr>
          <w:lang w:val="en-CA" w:eastAsia="fr-CA"/>
        </w:rPr>
        <w:t xml:space="preserve">breath </w:t>
      </w:r>
      <w:r w:rsidR="0039724D" w:rsidRPr="0039724D">
        <w:rPr>
          <w:lang w:val="en-CA" w:eastAsia="fr-CA"/>
        </w:rPr>
        <w:t>stink</w:t>
      </w:r>
      <w:r w:rsidR="0039724D">
        <w:rPr>
          <w:lang w:val="en-CA" w:eastAsia="fr-CA"/>
        </w:rPr>
        <w:t>s</w:t>
      </w:r>
      <w:r w:rsidR="0039724D" w:rsidRPr="0039724D">
        <w:rPr>
          <w:lang w:val="en-CA" w:eastAsia="fr-CA"/>
        </w:rPr>
        <w:t xml:space="preserve">, </w:t>
      </w:r>
      <w:r w:rsidR="0039724D">
        <w:rPr>
          <w:lang w:val="en-CA" w:eastAsia="fr-CA"/>
        </w:rPr>
        <w:t>get a</w:t>
      </w:r>
      <w:r w:rsidR="000F046F">
        <w:rPr>
          <w:lang w:val="en-CA" w:eastAsia="fr-CA"/>
        </w:rPr>
        <w:t>w</w:t>
      </w:r>
      <w:r w:rsidR="0039724D">
        <w:rPr>
          <w:lang w:val="en-CA" w:eastAsia="fr-CA"/>
        </w:rPr>
        <w:t>a</w:t>
      </w:r>
      <w:r w:rsidR="000F046F">
        <w:rPr>
          <w:lang w:val="en-CA" w:eastAsia="fr-CA"/>
        </w:rPr>
        <w:t>y</w:t>
      </w:r>
      <w:r w:rsidR="0039724D">
        <w:rPr>
          <w:lang w:val="en-CA" w:eastAsia="fr-CA"/>
        </w:rPr>
        <w:t xml:space="preserve"> from me.</w:t>
      </w:r>
    </w:p>
    <w:p w14:paraId="329A9761" w14:textId="6B7BAB52" w:rsidR="00276A1F" w:rsidRPr="000E73A2" w:rsidRDefault="0039724D" w:rsidP="00187BA6">
      <w:pPr>
        <w:pStyle w:val="Citationenretrait"/>
        <w:rPr>
          <w:lang w:val="en-CA" w:eastAsia="fr-CA"/>
        </w:rPr>
      </w:pPr>
      <w:r>
        <w:rPr>
          <w:lang w:val="en-CA" w:eastAsia="fr-CA"/>
        </w:rPr>
        <w:t>RESPONDENT</w:t>
      </w:r>
      <w:r w:rsidR="00276A1F" w:rsidRPr="000E73A2">
        <w:rPr>
          <w:lang w:val="en-CA" w:eastAsia="fr-CA"/>
        </w:rPr>
        <w:t xml:space="preserve">: </w:t>
      </w:r>
      <w:r w:rsidR="000F046F">
        <w:rPr>
          <w:lang w:val="en-CA" w:eastAsia="fr-CA"/>
        </w:rPr>
        <w:t>Your breath stinks too, bitch</w:t>
      </w:r>
      <w:r w:rsidR="00276A1F" w:rsidRPr="000E73A2">
        <w:rPr>
          <w:lang w:val="en-CA" w:eastAsia="fr-CA"/>
        </w:rPr>
        <w:t>.</w:t>
      </w:r>
    </w:p>
    <w:p w14:paraId="6FAE2619" w14:textId="44D38920" w:rsidR="00276A1F" w:rsidRPr="000E73A2" w:rsidRDefault="00276A1F" w:rsidP="00187BA6">
      <w:pPr>
        <w:pStyle w:val="Citationenretrait"/>
        <w:rPr>
          <w:lang w:val="en-CA" w:eastAsia="fr-CA"/>
        </w:rPr>
      </w:pPr>
      <w:r w:rsidRPr="000E73A2">
        <w:rPr>
          <w:lang w:val="en-CA" w:eastAsia="fr-CA"/>
        </w:rPr>
        <w:t xml:space="preserve">I.L.: </w:t>
      </w:r>
      <w:r w:rsidR="000F046F">
        <w:rPr>
          <w:lang w:val="en-CA" w:eastAsia="fr-CA"/>
        </w:rPr>
        <w:t>I’m not panting in your face</w:t>
      </w:r>
      <w:r w:rsidRPr="000E73A2">
        <w:rPr>
          <w:lang w:val="en-CA" w:eastAsia="fr-CA"/>
        </w:rPr>
        <w:t>.</w:t>
      </w:r>
    </w:p>
    <w:p w14:paraId="06F88053" w14:textId="46CA1AD0" w:rsidR="00276A1F" w:rsidRPr="000E73A2" w:rsidRDefault="0039724D" w:rsidP="00187BA6">
      <w:pPr>
        <w:pStyle w:val="Citationenretrait"/>
        <w:rPr>
          <w:lang w:val="en-CA" w:eastAsia="fr-CA"/>
        </w:rPr>
      </w:pPr>
      <w:r>
        <w:rPr>
          <w:lang w:val="en-CA" w:eastAsia="fr-CA"/>
        </w:rPr>
        <w:t>RESPONDENT</w:t>
      </w:r>
      <w:r w:rsidR="00276A1F" w:rsidRPr="000E73A2">
        <w:rPr>
          <w:lang w:val="en-CA" w:eastAsia="fr-CA"/>
        </w:rPr>
        <w:t xml:space="preserve">: </w:t>
      </w:r>
      <w:r w:rsidR="000F046F">
        <w:rPr>
          <w:lang w:val="en-CA" w:eastAsia="fr-CA"/>
        </w:rPr>
        <w:t>Of course not, you’re not doing any work</w:t>
      </w:r>
      <w:r w:rsidR="00276A1F" w:rsidRPr="000E73A2">
        <w:rPr>
          <w:lang w:val="en-CA" w:eastAsia="fr-CA"/>
        </w:rPr>
        <w:t>.</w:t>
      </w:r>
    </w:p>
    <w:p w14:paraId="065FB1B8" w14:textId="57048568" w:rsidR="00276A1F" w:rsidRPr="000E73A2" w:rsidRDefault="00276A1F" w:rsidP="00187BA6">
      <w:pPr>
        <w:pStyle w:val="Citationenretrait"/>
        <w:rPr>
          <w:lang w:val="en-CA" w:eastAsia="fr-CA"/>
        </w:rPr>
      </w:pPr>
      <w:r w:rsidRPr="000E73A2">
        <w:rPr>
          <w:lang w:val="en-CA" w:eastAsia="fr-CA"/>
        </w:rPr>
        <w:t xml:space="preserve">I.L.: No. </w:t>
      </w:r>
      <w:r w:rsidR="000F046F">
        <w:rPr>
          <w:lang w:val="en-CA" w:eastAsia="fr-CA"/>
        </w:rPr>
        <w:t xml:space="preserve">I don’t want to </w:t>
      </w:r>
      <w:r w:rsidR="005F2137">
        <w:rPr>
          <w:lang w:val="en-CA" w:eastAsia="fr-CA"/>
        </w:rPr>
        <w:t>fuck</w:t>
      </w:r>
      <w:r w:rsidRPr="000E73A2">
        <w:rPr>
          <w:lang w:val="en-CA" w:eastAsia="fr-CA"/>
        </w:rPr>
        <w:t>.</w:t>
      </w:r>
    </w:p>
    <w:p w14:paraId="203190D9" w14:textId="12E0EC38" w:rsidR="00276A1F" w:rsidRPr="000E73A2" w:rsidRDefault="0039724D" w:rsidP="00187BA6">
      <w:pPr>
        <w:pStyle w:val="Citationenretrait"/>
        <w:rPr>
          <w:lang w:val="en-CA" w:eastAsia="fr-CA"/>
        </w:rPr>
      </w:pPr>
      <w:bookmarkStart w:id="25" w:name="_Hlk202167223"/>
      <w:r>
        <w:rPr>
          <w:lang w:val="en-CA" w:eastAsia="fr-CA"/>
        </w:rPr>
        <w:t>RESPONDENT</w:t>
      </w:r>
      <w:bookmarkEnd w:id="25"/>
      <w:r w:rsidR="00276A1F" w:rsidRPr="000E73A2">
        <w:rPr>
          <w:lang w:val="en-CA" w:eastAsia="fr-CA"/>
        </w:rPr>
        <w:t xml:space="preserve">: </w:t>
      </w:r>
      <w:r w:rsidR="00C04DF9" w:rsidRPr="00C04DF9">
        <w:rPr>
          <w:lang w:val="en-CA" w:eastAsia="fr-CA"/>
        </w:rPr>
        <w:t>No, it's true, you never want to fuck, but you love having my cock deep inside you</w:t>
      </w:r>
      <w:r w:rsidR="005F2137">
        <w:rPr>
          <w:lang w:val="en-CA" w:eastAsia="fr-CA"/>
        </w:rPr>
        <w:t>r</w:t>
      </w:r>
      <w:r w:rsidR="00276A1F" w:rsidRPr="000E73A2">
        <w:rPr>
          <w:lang w:val="en-CA" w:eastAsia="fr-CA"/>
        </w:rPr>
        <w:t xml:space="preserve"> (inaudible).</w:t>
      </w:r>
    </w:p>
    <w:p w14:paraId="288EA6BB" w14:textId="6B88AC03" w:rsidR="00276A1F" w:rsidRPr="000E73A2" w:rsidRDefault="00276A1F" w:rsidP="00187BA6">
      <w:pPr>
        <w:pStyle w:val="Citationenretrait"/>
        <w:rPr>
          <w:lang w:val="en-CA" w:eastAsia="fr-CA"/>
        </w:rPr>
      </w:pPr>
      <w:r w:rsidRPr="000E73A2">
        <w:rPr>
          <w:lang w:val="en-CA" w:eastAsia="fr-CA"/>
        </w:rPr>
        <w:t>I.L.: No.</w:t>
      </w:r>
    </w:p>
    <w:p w14:paraId="039F1BDE" w14:textId="29631DF4" w:rsidR="00276A1F" w:rsidRPr="000E73A2" w:rsidRDefault="0039724D" w:rsidP="00187BA6">
      <w:pPr>
        <w:pStyle w:val="Citationenretrait"/>
        <w:rPr>
          <w:lang w:val="en-CA" w:eastAsia="fr-CA"/>
        </w:rPr>
      </w:pPr>
      <w:r w:rsidRPr="0039724D">
        <w:rPr>
          <w:lang w:val="en-CA" w:eastAsia="fr-CA"/>
        </w:rPr>
        <w:t>RESPONDENT</w:t>
      </w:r>
      <w:r w:rsidR="00276A1F" w:rsidRPr="000E73A2">
        <w:rPr>
          <w:lang w:val="en-CA" w:eastAsia="fr-CA"/>
        </w:rPr>
        <w:t xml:space="preserve">: </w:t>
      </w:r>
      <w:r w:rsidR="00C04DF9">
        <w:rPr>
          <w:lang w:val="en-CA" w:eastAsia="fr-CA"/>
        </w:rPr>
        <w:t>Oh yeah, oh yeah</w:t>
      </w:r>
      <w:r w:rsidR="00276A1F" w:rsidRPr="000E73A2">
        <w:rPr>
          <w:lang w:val="en-CA" w:eastAsia="fr-CA"/>
        </w:rPr>
        <w:t>.</w:t>
      </w:r>
    </w:p>
    <w:p w14:paraId="09FCD584" w14:textId="0EE2CEF9" w:rsidR="00276A1F" w:rsidRPr="000E73A2" w:rsidRDefault="00276A1F" w:rsidP="00187BA6">
      <w:pPr>
        <w:pStyle w:val="Citationenretrait"/>
        <w:rPr>
          <w:lang w:val="en-CA" w:eastAsia="fr-CA"/>
        </w:rPr>
      </w:pPr>
      <w:r w:rsidRPr="000E73A2">
        <w:rPr>
          <w:lang w:val="en-CA" w:eastAsia="fr-CA"/>
        </w:rPr>
        <w:t xml:space="preserve">I.L.: </w:t>
      </w:r>
      <w:r w:rsidR="00C04DF9" w:rsidRPr="00C04DF9">
        <w:rPr>
          <w:lang w:val="en-CA" w:eastAsia="fr-CA"/>
        </w:rPr>
        <w:t xml:space="preserve">No. </w:t>
      </w:r>
      <w:r w:rsidR="00C04DF9">
        <w:rPr>
          <w:lang w:val="en-CA" w:eastAsia="fr-CA"/>
        </w:rPr>
        <w:t>Right now, do you know what this is called,</w:t>
      </w:r>
      <w:r w:rsidRPr="000E73A2">
        <w:rPr>
          <w:lang w:val="en-CA" w:eastAsia="fr-CA"/>
        </w:rPr>
        <w:t xml:space="preserve"> Gaétan?</w:t>
      </w:r>
    </w:p>
    <w:p w14:paraId="4397CF77" w14:textId="32339676" w:rsidR="00276A1F" w:rsidRPr="000E73A2" w:rsidRDefault="0039724D" w:rsidP="00187BA6">
      <w:pPr>
        <w:pStyle w:val="Citationenretrait"/>
        <w:rPr>
          <w:lang w:val="en-CA" w:eastAsia="fr-CA"/>
        </w:rPr>
      </w:pPr>
      <w:r w:rsidRPr="0039724D">
        <w:rPr>
          <w:lang w:val="en-CA" w:eastAsia="fr-CA"/>
        </w:rPr>
        <w:t>RESPONDENT</w:t>
      </w:r>
      <w:r w:rsidR="00276A1F" w:rsidRPr="000E73A2">
        <w:rPr>
          <w:lang w:val="en-CA" w:eastAsia="fr-CA"/>
        </w:rPr>
        <w:t xml:space="preserve">: </w:t>
      </w:r>
      <w:r w:rsidR="00C04DF9" w:rsidRPr="00C04DF9">
        <w:rPr>
          <w:lang w:val="en-CA" w:eastAsia="fr-CA"/>
        </w:rPr>
        <w:t xml:space="preserve">Ah, </w:t>
      </w:r>
      <w:r w:rsidR="00C04DF9">
        <w:rPr>
          <w:lang w:val="en-CA" w:eastAsia="fr-CA"/>
        </w:rPr>
        <w:t>come</w:t>
      </w:r>
      <w:r w:rsidR="005F2137">
        <w:rPr>
          <w:lang w:val="en-CA" w:eastAsia="fr-CA"/>
        </w:rPr>
        <w:t xml:space="preserve"> on</w:t>
      </w:r>
      <w:r w:rsidR="00C04DF9" w:rsidRPr="00C04DF9">
        <w:rPr>
          <w:lang w:val="en-CA" w:eastAsia="fr-CA"/>
        </w:rPr>
        <w:t>. It's true that you studied at university to know that</w:t>
      </w:r>
      <w:r w:rsidR="00C04DF9">
        <w:rPr>
          <w:lang w:val="en-CA" w:eastAsia="fr-CA"/>
        </w:rPr>
        <w:t xml:space="preserve"> huh</w:t>
      </w:r>
      <w:r w:rsidR="00C04DF9" w:rsidRPr="00C04DF9">
        <w:rPr>
          <w:lang w:val="en-CA" w:eastAsia="fr-CA"/>
        </w:rPr>
        <w:t xml:space="preserve">. You're the one who </w:t>
      </w:r>
      <w:r w:rsidR="00C04DF9">
        <w:rPr>
          <w:lang w:val="en-CA" w:eastAsia="fr-CA"/>
        </w:rPr>
        <w:t xml:space="preserve">stripped </w:t>
      </w:r>
      <w:r w:rsidR="00C04DF9" w:rsidRPr="00C04DF9">
        <w:rPr>
          <w:lang w:val="en-CA" w:eastAsia="fr-CA"/>
        </w:rPr>
        <w:t xml:space="preserve">naked in front of me, not </w:t>
      </w:r>
      <w:r w:rsidR="00C04DF9">
        <w:rPr>
          <w:lang w:val="en-CA" w:eastAsia="fr-CA"/>
        </w:rPr>
        <w:t>the other way around</w:t>
      </w:r>
      <w:r w:rsidR="00276A1F" w:rsidRPr="000E73A2">
        <w:rPr>
          <w:lang w:val="en-CA" w:eastAsia="fr-CA"/>
        </w:rPr>
        <w:t>.</w:t>
      </w:r>
    </w:p>
    <w:p w14:paraId="31FEF002" w14:textId="03B2A2F6" w:rsidR="00276A1F" w:rsidRPr="000E73A2" w:rsidRDefault="00C04DF9" w:rsidP="00B21BF4">
      <w:pPr>
        <w:pStyle w:val="Paragraphe"/>
        <w:spacing w:before="180" w:after="180" w:line="280" w:lineRule="exact"/>
        <w:rPr>
          <w:lang w:val="en-CA"/>
        </w:rPr>
      </w:pPr>
      <w:r w:rsidRPr="00C04DF9">
        <w:rPr>
          <w:lang w:val="en-CA"/>
        </w:rPr>
        <w:t>It is not essential to draw a definitive conclusion on whether this passage establishes that the complainant withdrew her consent to continue the sexual activity, as the prosecut</w:t>
      </w:r>
      <w:r>
        <w:rPr>
          <w:lang w:val="en-CA"/>
        </w:rPr>
        <w:t>ion</w:t>
      </w:r>
      <w:r w:rsidRPr="00C04DF9">
        <w:rPr>
          <w:lang w:val="en-CA"/>
        </w:rPr>
        <w:t xml:space="preserve"> argues. Suffice it to say that the judge did not resolve the conflicting evidence on a key issue, namely consent</w:t>
      </w:r>
      <w:r w:rsidR="00276A1F" w:rsidRPr="000E73A2">
        <w:rPr>
          <w:lang w:val="en-CA"/>
        </w:rPr>
        <w:t>.</w:t>
      </w:r>
    </w:p>
    <w:p w14:paraId="1C4A4629" w14:textId="0164D22F" w:rsidR="00276A1F" w:rsidRPr="000E73A2" w:rsidRDefault="00C04DF9" w:rsidP="00B21BF4">
      <w:pPr>
        <w:pStyle w:val="Paragraphe"/>
        <w:spacing w:before="180" w:after="180" w:line="280" w:lineRule="exact"/>
        <w:rPr>
          <w:lang w:val="en-CA"/>
        </w:rPr>
      </w:pPr>
      <w:r w:rsidRPr="00C04DF9">
        <w:rPr>
          <w:lang w:val="en-CA"/>
        </w:rPr>
        <w:t xml:space="preserve">I would add that the exchange itself highlights the need to also assess the relevance of the </w:t>
      </w:r>
      <w:r w:rsidRPr="00C04DF9">
        <w:rPr>
          <w:i/>
          <w:iCs/>
          <w:lang w:val="en-CA"/>
        </w:rPr>
        <w:t>sexual contract</w:t>
      </w:r>
      <w:r w:rsidRPr="00C04DF9">
        <w:rPr>
          <w:lang w:val="en-CA"/>
        </w:rPr>
        <w:t xml:space="preserve"> between the respondent and the complainant to the validity of the initial consent. Indeed, this </w:t>
      </w:r>
      <w:r w:rsidRPr="00C04DF9">
        <w:rPr>
          <w:i/>
          <w:iCs/>
          <w:lang w:val="en-CA"/>
        </w:rPr>
        <w:t>sexual contract</w:t>
      </w:r>
      <w:r w:rsidRPr="00C04DF9">
        <w:rPr>
          <w:lang w:val="en-CA"/>
        </w:rPr>
        <w:t xml:space="preserve"> appears to be based on general </w:t>
      </w:r>
      <w:r w:rsidRPr="00C04DF9">
        <w:rPr>
          <w:lang w:val="en-CA"/>
        </w:rPr>
        <w:lastRenderedPageBreak/>
        <w:t>consent given in advance, which could undoubtedly be interpreted as contrary to the requirement that consent must be given on each specific occasion</w:t>
      </w:r>
      <w:r>
        <w:rPr>
          <w:lang w:val="en-CA"/>
        </w:rPr>
        <w:t>.</w:t>
      </w:r>
      <w:r w:rsidR="00276A1F" w:rsidRPr="000E73A2">
        <w:rPr>
          <w:rStyle w:val="Appelnotedebasdep"/>
          <w:lang w:val="en-CA"/>
        </w:rPr>
        <w:footnoteReference w:id="47"/>
      </w:r>
    </w:p>
    <w:p w14:paraId="687246AB" w14:textId="63EB0572" w:rsidR="00276A1F" w:rsidRPr="000E73A2" w:rsidRDefault="00C04DF9" w:rsidP="00B21BF4">
      <w:pPr>
        <w:pStyle w:val="Paragraphe"/>
        <w:spacing w:before="180" w:after="180" w:line="280" w:lineRule="exact"/>
        <w:rPr>
          <w:lang w:val="en-CA"/>
        </w:rPr>
      </w:pPr>
      <w:r w:rsidRPr="00C04DF9">
        <w:rPr>
          <w:lang w:val="en-CA"/>
        </w:rPr>
        <w:t xml:space="preserve">When, as in this case, the </w:t>
      </w:r>
      <w:r w:rsidR="001B50BA">
        <w:rPr>
          <w:lang w:val="en-CA"/>
        </w:rPr>
        <w:t>laconic nature</w:t>
      </w:r>
      <w:r w:rsidR="00947001">
        <w:rPr>
          <w:lang w:val="en-CA"/>
        </w:rPr>
        <w:t xml:space="preserve"> of</w:t>
      </w:r>
      <w:r w:rsidRPr="00C04DF9">
        <w:rPr>
          <w:lang w:val="en-CA"/>
        </w:rPr>
        <w:t xml:space="preserve"> the judgment p</w:t>
      </w:r>
      <w:r w:rsidR="00947001">
        <w:rPr>
          <w:lang w:val="en-CA"/>
        </w:rPr>
        <w:t>resents</w:t>
      </w:r>
      <w:r w:rsidRPr="00C04DF9">
        <w:rPr>
          <w:lang w:val="en-CA"/>
        </w:rPr>
        <w:t xml:space="preserve"> a</w:t>
      </w:r>
      <w:r w:rsidR="00947001">
        <w:rPr>
          <w:lang w:val="en-CA"/>
        </w:rPr>
        <w:t>n</w:t>
      </w:r>
      <w:r w:rsidRPr="00C04DF9">
        <w:rPr>
          <w:lang w:val="en-CA"/>
        </w:rPr>
        <w:t xml:space="preserve"> </w:t>
      </w:r>
      <w:r w:rsidR="00947001">
        <w:rPr>
          <w:lang w:val="en-CA"/>
        </w:rPr>
        <w:t>insurmountable obstacle</w:t>
      </w:r>
      <w:r w:rsidRPr="00C04DF9">
        <w:rPr>
          <w:lang w:val="en-CA"/>
        </w:rPr>
        <w:t xml:space="preserve">, </w:t>
      </w:r>
      <w:r w:rsidR="007B4B34">
        <w:rPr>
          <w:lang w:val="en-CA"/>
        </w:rPr>
        <w:t xml:space="preserve">to </w:t>
      </w:r>
      <w:r w:rsidR="001B50BA" w:rsidRPr="00C04DF9">
        <w:rPr>
          <w:lang w:val="en-CA"/>
        </w:rPr>
        <w:t xml:space="preserve">even </w:t>
      </w:r>
      <w:r w:rsidRPr="00C04DF9">
        <w:rPr>
          <w:lang w:val="en-CA"/>
        </w:rPr>
        <w:t>attempt</w:t>
      </w:r>
      <w:r w:rsidR="007B4B34">
        <w:rPr>
          <w:lang w:val="en-CA"/>
        </w:rPr>
        <w:t xml:space="preserve"> reading </w:t>
      </w:r>
      <w:r w:rsidRPr="00C04DF9">
        <w:rPr>
          <w:lang w:val="en-CA"/>
        </w:rPr>
        <w:t xml:space="preserve">between the lines, </w:t>
      </w:r>
      <w:r w:rsidR="007B4B34">
        <w:rPr>
          <w:lang w:val="en-CA"/>
        </w:rPr>
        <w:t>not ignoring</w:t>
      </w:r>
      <w:r w:rsidRPr="00C04DF9">
        <w:rPr>
          <w:lang w:val="en-CA"/>
        </w:rPr>
        <w:t xml:space="preserve"> what is implied or </w:t>
      </w:r>
      <w:r w:rsidR="007B4B34">
        <w:rPr>
          <w:lang w:val="en-CA"/>
        </w:rPr>
        <w:t>striving</w:t>
      </w:r>
      <w:r w:rsidRPr="00C04DF9">
        <w:rPr>
          <w:lang w:val="en-CA"/>
        </w:rPr>
        <w:t xml:space="preserve"> to recogni</w:t>
      </w:r>
      <w:r w:rsidR="00B67D8B">
        <w:rPr>
          <w:lang w:val="en-CA"/>
        </w:rPr>
        <w:t>z</w:t>
      </w:r>
      <w:r w:rsidRPr="00C04DF9">
        <w:rPr>
          <w:lang w:val="en-CA"/>
        </w:rPr>
        <w:t>e the underlying meaning of the judgment</w:t>
      </w:r>
      <w:r w:rsidR="007B4B34">
        <w:rPr>
          <w:lang w:val="en-CA"/>
        </w:rPr>
        <w:t xml:space="preserve"> proves to be impossible</w:t>
      </w:r>
      <w:r>
        <w:rPr>
          <w:lang w:val="en-CA"/>
        </w:rPr>
        <w:t>.</w:t>
      </w:r>
      <w:r w:rsidR="00276A1F" w:rsidRPr="000E73A2">
        <w:rPr>
          <w:rStyle w:val="Appelnotedebasdep"/>
          <w:lang w:val="en-CA"/>
        </w:rPr>
        <w:footnoteReference w:id="48"/>
      </w:r>
      <w:r>
        <w:rPr>
          <w:lang w:val="en-CA"/>
        </w:rPr>
        <w:t xml:space="preserve"> </w:t>
      </w:r>
      <w:r w:rsidRPr="00C04DF9">
        <w:rPr>
          <w:lang w:val="en-CA"/>
        </w:rPr>
        <w:t xml:space="preserve">In such a situation, an </w:t>
      </w:r>
      <w:r w:rsidR="00947001">
        <w:rPr>
          <w:lang w:val="en-CA"/>
        </w:rPr>
        <w:t>appellate</w:t>
      </w:r>
      <w:r w:rsidRPr="00C04DF9">
        <w:rPr>
          <w:lang w:val="en-CA"/>
        </w:rPr>
        <w:t xml:space="preserve"> court can only find that the </w:t>
      </w:r>
      <w:r w:rsidR="00947001" w:rsidRPr="00947001">
        <w:rPr>
          <w:lang w:val="en-CA"/>
        </w:rPr>
        <w:t xml:space="preserve">insufficiency of reasons </w:t>
      </w:r>
      <w:r w:rsidR="001B50BA">
        <w:rPr>
          <w:lang w:val="en-CA"/>
        </w:rPr>
        <w:t>negates</w:t>
      </w:r>
      <w:r w:rsidRPr="00C04DF9">
        <w:rPr>
          <w:lang w:val="en-CA"/>
        </w:rPr>
        <w:t xml:space="preserve"> the right of appeal from being exercised</w:t>
      </w:r>
      <w:r w:rsidR="00947001">
        <w:rPr>
          <w:rStyle w:val="Appelnotedebasdep"/>
          <w:vertAlign w:val="baseline"/>
          <w:lang w:val="en-CA"/>
        </w:rPr>
        <w:t>.</w:t>
      </w:r>
      <w:r w:rsidR="00276A1F" w:rsidRPr="000E73A2">
        <w:rPr>
          <w:rStyle w:val="Appelnotedebasdep"/>
          <w:lang w:val="en-CA" w:eastAsia="fr-CA"/>
        </w:rPr>
        <w:footnoteReference w:id="49"/>
      </w:r>
    </w:p>
    <w:p w14:paraId="030DFBAC" w14:textId="349CC954" w:rsidR="00276A1F" w:rsidRPr="000E73A2" w:rsidRDefault="001B50BA" w:rsidP="00187BA6">
      <w:pPr>
        <w:pStyle w:val="Paragraphe"/>
        <w:numPr>
          <w:ilvl w:val="0"/>
          <w:numId w:val="0"/>
        </w:numPr>
        <w:rPr>
          <w:b/>
          <w:bCs/>
          <w:lang w:val="en-CA"/>
        </w:rPr>
      </w:pPr>
      <w:r>
        <w:rPr>
          <w:b/>
          <w:bCs/>
          <w:lang w:val="en-CA" w:eastAsia="fr-CA"/>
        </w:rPr>
        <w:t xml:space="preserve">The </w:t>
      </w:r>
      <w:r w:rsidR="007B4B34">
        <w:rPr>
          <w:b/>
          <w:bCs/>
          <w:lang w:val="en-CA" w:eastAsia="fr-CA"/>
        </w:rPr>
        <w:t>f</w:t>
      </w:r>
      <w:r>
        <w:rPr>
          <w:b/>
          <w:bCs/>
          <w:lang w:val="en-CA" w:eastAsia="fr-CA"/>
        </w:rPr>
        <w:t xml:space="preserve">irst </w:t>
      </w:r>
      <w:r w:rsidR="007B4B34">
        <w:rPr>
          <w:b/>
          <w:bCs/>
          <w:lang w:val="en-CA" w:eastAsia="fr-CA"/>
        </w:rPr>
        <w:t>t</w:t>
      </w:r>
      <w:r>
        <w:rPr>
          <w:b/>
          <w:bCs/>
          <w:lang w:val="en-CA" w:eastAsia="fr-CA"/>
        </w:rPr>
        <w:t xml:space="preserve">wo </w:t>
      </w:r>
      <w:r w:rsidR="007B4B34">
        <w:rPr>
          <w:b/>
          <w:bCs/>
          <w:lang w:val="en-CA" w:eastAsia="fr-CA"/>
        </w:rPr>
        <w:t>g</w:t>
      </w:r>
      <w:r>
        <w:rPr>
          <w:b/>
          <w:bCs/>
          <w:lang w:val="en-CA" w:eastAsia="fr-CA"/>
        </w:rPr>
        <w:t>round</w:t>
      </w:r>
      <w:r w:rsidR="00AC7ACF">
        <w:rPr>
          <w:b/>
          <w:bCs/>
          <w:lang w:val="en-CA" w:eastAsia="fr-CA"/>
        </w:rPr>
        <w:t>s</w:t>
      </w:r>
    </w:p>
    <w:p w14:paraId="4A7C9807" w14:textId="688C0496" w:rsidR="00276A1F" w:rsidRPr="000E73A2" w:rsidRDefault="001C0FB0" w:rsidP="00B21BF4">
      <w:pPr>
        <w:pStyle w:val="Paragraphe"/>
        <w:spacing w:before="180" w:after="180" w:line="280" w:lineRule="exact"/>
        <w:rPr>
          <w:lang w:val="en-CA"/>
        </w:rPr>
      </w:pPr>
      <w:r w:rsidRPr="001C0FB0">
        <w:rPr>
          <w:lang w:val="en-CA"/>
        </w:rPr>
        <w:t xml:space="preserve">Since I </w:t>
      </w:r>
      <w:r>
        <w:rPr>
          <w:lang w:val="en-CA"/>
        </w:rPr>
        <w:t>have</w:t>
      </w:r>
      <w:r w:rsidR="00CB5B9D">
        <w:rPr>
          <w:lang w:val="en-CA"/>
        </w:rPr>
        <w:t xml:space="preserve"> </w:t>
      </w:r>
      <w:r w:rsidRPr="001C0FB0">
        <w:rPr>
          <w:lang w:val="en-CA"/>
        </w:rPr>
        <w:t>conclude</w:t>
      </w:r>
      <w:r>
        <w:rPr>
          <w:lang w:val="en-CA"/>
        </w:rPr>
        <w:t>d</w:t>
      </w:r>
      <w:r w:rsidRPr="001C0FB0">
        <w:rPr>
          <w:lang w:val="en-CA"/>
        </w:rPr>
        <w:t xml:space="preserve"> that the respondent’s acquittal </w:t>
      </w:r>
      <w:r>
        <w:rPr>
          <w:lang w:val="en-CA"/>
        </w:rPr>
        <w:t>was</w:t>
      </w:r>
      <w:r w:rsidRPr="001C0FB0">
        <w:rPr>
          <w:lang w:val="en-CA"/>
        </w:rPr>
        <w:t xml:space="preserve"> insufficiently reasoned, I do not necessarily have to address the first two grounds raised by the prosecut</w:t>
      </w:r>
      <w:r>
        <w:rPr>
          <w:lang w:val="en-CA"/>
        </w:rPr>
        <w:t>ion</w:t>
      </w:r>
      <w:r w:rsidRPr="001C0FB0">
        <w:rPr>
          <w:lang w:val="en-CA"/>
        </w:rPr>
        <w:t xml:space="preserve">, namely, </w:t>
      </w:r>
      <w:bookmarkStart w:id="26" w:name="_Hlk202176661"/>
      <w:r w:rsidRPr="001C0FB0">
        <w:rPr>
          <w:lang w:val="en-CA"/>
        </w:rPr>
        <w:t xml:space="preserve">the application of the concepts of capacity and consent </w:t>
      </w:r>
      <w:bookmarkEnd w:id="26"/>
      <w:r w:rsidRPr="001C0FB0">
        <w:rPr>
          <w:lang w:val="en-CA"/>
        </w:rPr>
        <w:t xml:space="preserve">in relation to the commission of the offence of sexual assault </w:t>
      </w:r>
      <w:r>
        <w:rPr>
          <w:lang w:val="en-CA"/>
        </w:rPr>
        <w:t>and</w:t>
      </w:r>
      <w:r w:rsidRPr="001C0FB0">
        <w:rPr>
          <w:lang w:val="en-CA"/>
        </w:rPr>
        <w:t xml:space="preserve"> </w:t>
      </w:r>
      <w:r>
        <w:rPr>
          <w:lang w:val="en-CA"/>
        </w:rPr>
        <w:t xml:space="preserve">the </w:t>
      </w:r>
      <w:r w:rsidR="00CB5B9D" w:rsidRPr="00CB5B9D">
        <w:rPr>
          <w:lang w:val="en-CA"/>
        </w:rPr>
        <w:t>making</w:t>
      </w:r>
      <w:r w:rsidR="00CB5B9D">
        <w:rPr>
          <w:lang w:val="en-CA"/>
        </w:rPr>
        <w:t xml:space="preserve"> of</w:t>
      </w:r>
      <w:r w:rsidR="00CB5B9D" w:rsidRPr="00CB5B9D">
        <w:rPr>
          <w:lang w:val="en-CA"/>
        </w:rPr>
        <w:t xml:space="preserve"> a finding of fact in the absence of any supportive evidence</w:t>
      </w:r>
      <w:r w:rsidR="00276A1F" w:rsidRPr="000E73A2">
        <w:rPr>
          <w:lang w:val="en-CA"/>
        </w:rPr>
        <w:t>.</w:t>
      </w:r>
    </w:p>
    <w:p w14:paraId="28E11445" w14:textId="10E4AC8A" w:rsidR="00276A1F" w:rsidRPr="000E73A2" w:rsidRDefault="001C0FB0" w:rsidP="00B21BF4">
      <w:pPr>
        <w:pStyle w:val="Paragraphe"/>
        <w:spacing w:before="180" w:after="180" w:line="280" w:lineRule="exact"/>
        <w:rPr>
          <w:lang w:val="en-CA"/>
        </w:rPr>
      </w:pPr>
      <w:r w:rsidRPr="001C0FB0">
        <w:rPr>
          <w:lang w:val="en-CA"/>
        </w:rPr>
        <w:t>Nevertheless, I believe it is prudent to do so</w:t>
      </w:r>
      <w:r>
        <w:rPr>
          <w:rStyle w:val="Appelnotedebasdep"/>
          <w:vertAlign w:val="baseline"/>
          <w:lang w:val="en-CA"/>
        </w:rPr>
        <w:t>.</w:t>
      </w:r>
      <w:r w:rsidR="00276A1F" w:rsidRPr="000E73A2">
        <w:rPr>
          <w:rStyle w:val="Appelnotedebasdep"/>
          <w:lang w:val="en-CA"/>
        </w:rPr>
        <w:footnoteReference w:id="50"/>
      </w:r>
    </w:p>
    <w:p w14:paraId="5DD36FBC" w14:textId="61B99203" w:rsidR="00276A1F" w:rsidRPr="000E73A2" w:rsidRDefault="001C0FB0" w:rsidP="00187BA6">
      <w:pPr>
        <w:pStyle w:val="Paragraphe"/>
        <w:numPr>
          <w:ilvl w:val="0"/>
          <w:numId w:val="0"/>
        </w:numPr>
        <w:rPr>
          <w:b/>
          <w:bCs/>
          <w:lang w:val="en-CA"/>
        </w:rPr>
      </w:pPr>
      <w:r>
        <w:rPr>
          <w:b/>
          <w:bCs/>
          <w:lang w:val="en-CA"/>
        </w:rPr>
        <w:t xml:space="preserve">Error of </w:t>
      </w:r>
      <w:r w:rsidR="007B4B34">
        <w:rPr>
          <w:b/>
          <w:bCs/>
          <w:lang w:val="en-CA"/>
        </w:rPr>
        <w:t>l</w:t>
      </w:r>
      <w:r>
        <w:rPr>
          <w:b/>
          <w:bCs/>
          <w:lang w:val="en-CA"/>
        </w:rPr>
        <w:t>aw in t</w:t>
      </w:r>
      <w:r w:rsidRPr="001C0FB0">
        <w:rPr>
          <w:b/>
          <w:bCs/>
          <w:lang w:val="en-CA"/>
        </w:rPr>
        <w:t xml:space="preserve">he </w:t>
      </w:r>
      <w:r w:rsidR="007B4B34">
        <w:rPr>
          <w:b/>
          <w:bCs/>
          <w:lang w:val="en-CA"/>
        </w:rPr>
        <w:t>a</w:t>
      </w:r>
      <w:r w:rsidRPr="001C0FB0">
        <w:rPr>
          <w:b/>
          <w:bCs/>
          <w:lang w:val="en-CA"/>
        </w:rPr>
        <w:t xml:space="preserve">pplication of the </w:t>
      </w:r>
      <w:r w:rsidR="007B4B34">
        <w:rPr>
          <w:b/>
          <w:bCs/>
          <w:lang w:val="en-CA"/>
        </w:rPr>
        <w:t>c</w:t>
      </w:r>
      <w:r w:rsidRPr="001C0FB0">
        <w:rPr>
          <w:b/>
          <w:bCs/>
          <w:lang w:val="en-CA"/>
        </w:rPr>
        <w:t xml:space="preserve">oncepts of </w:t>
      </w:r>
      <w:r w:rsidR="007B4B34">
        <w:rPr>
          <w:b/>
          <w:bCs/>
          <w:lang w:val="en-CA"/>
        </w:rPr>
        <w:t>c</w:t>
      </w:r>
      <w:r w:rsidRPr="001C0FB0">
        <w:rPr>
          <w:b/>
          <w:bCs/>
          <w:lang w:val="en-CA"/>
        </w:rPr>
        <w:t xml:space="preserve">apacity and </w:t>
      </w:r>
      <w:r w:rsidR="007B4B34">
        <w:rPr>
          <w:b/>
          <w:bCs/>
          <w:lang w:val="en-CA"/>
        </w:rPr>
        <w:t>c</w:t>
      </w:r>
      <w:r w:rsidRPr="001C0FB0">
        <w:rPr>
          <w:b/>
          <w:bCs/>
          <w:lang w:val="en-CA"/>
        </w:rPr>
        <w:t>onsent</w:t>
      </w:r>
    </w:p>
    <w:p w14:paraId="137262E1" w14:textId="4DF02899" w:rsidR="00276A1F" w:rsidRPr="000E73A2" w:rsidRDefault="001C0FB0" w:rsidP="00B21BF4">
      <w:pPr>
        <w:pStyle w:val="Paragraphe"/>
        <w:spacing w:before="180" w:after="180" w:line="280" w:lineRule="exact"/>
        <w:rPr>
          <w:lang w:val="en-CA"/>
        </w:rPr>
      </w:pPr>
      <w:r w:rsidRPr="001C0FB0">
        <w:rPr>
          <w:lang w:val="en-CA"/>
        </w:rPr>
        <w:t xml:space="preserve">For the reasons I have already set out, I am of the view that the inadequacy of the reasons </w:t>
      </w:r>
      <w:r w:rsidR="0016298D">
        <w:rPr>
          <w:lang w:val="en-CA"/>
        </w:rPr>
        <w:t>interferes with</w:t>
      </w:r>
      <w:r w:rsidRPr="001C0FB0">
        <w:rPr>
          <w:lang w:val="en-CA"/>
        </w:rPr>
        <w:t xml:space="preserve"> the prosecut</w:t>
      </w:r>
      <w:r w:rsidR="0016298D">
        <w:rPr>
          <w:lang w:val="en-CA"/>
        </w:rPr>
        <w:t>ion</w:t>
      </w:r>
      <w:r w:rsidRPr="001C0FB0">
        <w:rPr>
          <w:lang w:val="en-CA"/>
        </w:rPr>
        <w:t>'s right of appeal. This is illustrated in this ground of appeal, where the prosecut</w:t>
      </w:r>
      <w:r w:rsidR="0016298D">
        <w:rPr>
          <w:lang w:val="en-CA"/>
        </w:rPr>
        <w:t>ion</w:t>
      </w:r>
      <w:r w:rsidRPr="001C0FB0">
        <w:rPr>
          <w:lang w:val="en-CA"/>
        </w:rPr>
        <w:t xml:space="preserve"> attempts, as best </w:t>
      </w:r>
      <w:r w:rsidR="0016298D">
        <w:rPr>
          <w:lang w:val="en-CA"/>
        </w:rPr>
        <w:t>it</w:t>
      </w:r>
      <w:r w:rsidRPr="001C0FB0">
        <w:rPr>
          <w:lang w:val="en-CA"/>
        </w:rPr>
        <w:t xml:space="preserve"> can, to show that the judge erred in law in his application of the concepts of capacity and consent. The proposed exercise is based on a highly speculative interpretation of the basis for the judgment, which I find unconvincing</w:t>
      </w:r>
      <w:r w:rsidR="00276A1F" w:rsidRPr="000E73A2">
        <w:rPr>
          <w:lang w:val="en-CA"/>
        </w:rPr>
        <w:t>.</w:t>
      </w:r>
    </w:p>
    <w:p w14:paraId="26481494" w14:textId="7CAA8ADB" w:rsidR="00276A1F" w:rsidRPr="000E73A2" w:rsidRDefault="0016298D" w:rsidP="00187BA6">
      <w:pPr>
        <w:pStyle w:val="Paragraphe"/>
        <w:numPr>
          <w:ilvl w:val="0"/>
          <w:numId w:val="0"/>
        </w:numPr>
        <w:rPr>
          <w:b/>
          <w:bCs/>
          <w:lang w:val="en-CA"/>
        </w:rPr>
      </w:pPr>
      <w:r>
        <w:rPr>
          <w:b/>
          <w:bCs/>
          <w:lang w:val="en-CA"/>
        </w:rPr>
        <w:t xml:space="preserve">Finding of </w:t>
      </w:r>
      <w:r w:rsidR="007B4B34">
        <w:rPr>
          <w:b/>
          <w:bCs/>
          <w:lang w:val="en-CA"/>
        </w:rPr>
        <w:t>f</w:t>
      </w:r>
      <w:r>
        <w:rPr>
          <w:b/>
          <w:bCs/>
          <w:lang w:val="en-CA"/>
        </w:rPr>
        <w:t xml:space="preserve">act </w:t>
      </w:r>
      <w:r w:rsidR="007B4B34">
        <w:rPr>
          <w:b/>
          <w:bCs/>
          <w:lang w:val="en-CA"/>
        </w:rPr>
        <w:t>m</w:t>
      </w:r>
      <w:r>
        <w:rPr>
          <w:b/>
          <w:bCs/>
          <w:lang w:val="en-CA"/>
        </w:rPr>
        <w:t xml:space="preserve">ade in the </w:t>
      </w:r>
      <w:r w:rsidR="007B4B34">
        <w:rPr>
          <w:b/>
          <w:bCs/>
          <w:lang w:val="en-CA"/>
        </w:rPr>
        <w:t>a</w:t>
      </w:r>
      <w:r>
        <w:rPr>
          <w:b/>
          <w:bCs/>
          <w:lang w:val="en-CA"/>
        </w:rPr>
        <w:t xml:space="preserve">bsence of </w:t>
      </w:r>
      <w:r w:rsidR="007B4B34">
        <w:rPr>
          <w:b/>
          <w:bCs/>
          <w:lang w:val="en-CA"/>
        </w:rPr>
        <w:t>e</w:t>
      </w:r>
      <w:r>
        <w:rPr>
          <w:b/>
          <w:bCs/>
          <w:lang w:val="en-CA"/>
        </w:rPr>
        <w:t>vidence</w:t>
      </w:r>
    </w:p>
    <w:p w14:paraId="364A2624" w14:textId="5CEA36DB" w:rsidR="00276A1F" w:rsidRPr="000E73A2" w:rsidRDefault="0016298D" w:rsidP="00B21BF4">
      <w:pPr>
        <w:pStyle w:val="Paragraphe"/>
        <w:spacing w:before="180" w:after="180" w:line="280" w:lineRule="exact"/>
        <w:rPr>
          <w:lang w:val="en-CA"/>
        </w:rPr>
      </w:pPr>
      <w:r>
        <w:rPr>
          <w:lang w:val="en-CA"/>
        </w:rPr>
        <w:t>I am of the view that the judge</w:t>
      </w:r>
      <w:r w:rsidR="00276A1F" w:rsidRPr="000E73A2">
        <w:rPr>
          <w:lang w:val="en-CA"/>
        </w:rPr>
        <w:t xml:space="preserve"> </w:t>
      </w:r>
      <w:r w:rsidRPr="0016298D">
        <w:rPr>
          <w:lang w:val="en-CA"/>
        </w:rPr>
        <w:t xml:space="preserve">made a finding of fact in the absence of evidence </w:t>
      </w:r>
      <w:r>
        <w:rPr>
          <w:lang w:val="en-CA"/>
        </w:rPr>
        <w:t>with regard to the second event</w:t>
      </w:r>
      <w:r w:rsidR="00276A1F" w:rsidRPr="000E73A2">
        <w:rPr>
          <w:lang w:val="en-CA"/>
        </w:rPr>
        <w:t xml:space="preserve">. </w:t>
      </w:r>
      <w:r w:rsidRPr="0016298D">
        <w:rPr>
          <w:lang w:val="en-CA"/>
        </w:rPr>
        <w:t xml:space="preserve">Here is the relevant passage from the judgment on which the error alleged by the </w:t>
      </w:r>
      <w:r>
        <w:rPr>
          <w:lang w:val="en-CA"/>
        </w:rPr>
        <w:t>prosecution</w:t>
      </w:r>
      <w:r w:rsidRPr="0016298D">
        <w:rPr>
          <w:lang w:val="en-CA"/>
        </w:rPr>
        <w:t xml:space="preserve"> is based</w:t>
      </w:r>
      <w:r w:rsidR="00276A1F" w:rsidRPr="000E73A2">
        <w:rPr>
          <w:lang w:val="en-CA"/>
        </w:rPr>
        <w:t>:</w:t>
      </w:r>
    </w:p>
    <w:p w14:paraId="69EBBED2" w14:textId="61B5656F" w:rsidR="0016298D" w:rsidRDefault="0016298D" w:rsidP="00187BA6">
      <w:pPr>
        <w:pStyle w:val="Citationenretrait"/>
        <w:rPr>
          <w:lang w:val="en-CA"/>
        </w:rPr>
      </w:pPr>
      <w:r>
        <w:rPr>
          <w:lang w:val="en-CA"/>
        </w:rPr>
        <w:lastRenderedPageBreak/>
        <w:t>[</w:t>
      </w:r>
      <w:r w:rsidRPr="0016298D">
        <w:rPr>
          <w:smallCaps/>
          <w:lang w:val="en-CA"/>
        </w:rPr>
        <w:t>translation</w:t>
      </w:r>
      <w:r>
        <w:rPr>
          <w:lang w:val="en-CA"/>
        </w:rPr>
        <w:t>]</w:t>
      </w:r>
    </w:p>
    <w:p w14:paraId="55A60BA4" w14:textId="780A6E60" w:rsidR="00276A1F" w:rsidRPr="000E73A2" w:rsidRDefault="00CB5B9D" w:rsidP="00187BA6">
      <w:pPr>
        <w:pStyle w:val="Citationenretrait"/>
        <w:rPr>
          <w:lang w:val="en-CA"/>
        </w:rPr>
      </w:pPr>
      <w:r w:rsidRPr="00CB5B9D">
        <w:rPr>
          <w:lang w:val="en-CA"/>
        </w:rPr>
        <w:t xml:space="preserve">The event in the bath: They spent the evening with friends in a club and ended up in a strip club. They took a bath and had a bottle (inaudible). They kissed, she masturbated him. </w:t>
      </w:r>
      <w:r w:rsidRPr="00CB5B9D">
        <w:rPr>
          <w:u w:val="single"/>
          <w:lang w:val="en-CA"/>
        </w:rPr>
        <w:t>She got out of the bath and told him she would wait for him in bed</w:t>
      </w:r>
      <w:r w:rsidR="00276A1F" w:rsidRPr="000E73A2">
        <w:rPr>
          <w:lang w:val="en-CA"/>
        </w:rPr>
        <w:t>.</w:t>
      </w:r>
    </w:p>
    <w:p w14:paraId="5E19873D" w14:textId="2563F885" w:rsidR="00276A1F" w:rsidRPr="000E73A2" w:rsidRDefault="00CB5B9D" w:rsidP="00187BA6">
      <w:pPr>
        <w:pStyle w:val="Citationenretrait"/>
        <w:rPr>
          <w:lang w:val="en-CA"/>
        </w:rPr>
      </w:pPr>
      <w:r w:rsidRPr="00CB5B9D">
        <w:rPr>
          <w:lang w:val="en-CA"/>
        </w:rPr>
        <w:t>She lay down in her son's room. He caressed her, she spread her legs, and they had sexual intercourse. The next day, after having sex with her, he told the complainant that he enjoyed it. She said to him, ‘I didn't know, I didn't want to.</w:t>
      </w:r>
      <w:r w:rsidR="00380F88">
        <w:rPr>
          <w:lang w:val="en-CA"/>
        </w:rPr>
        <w:t>’</w:t>
      </w:r>
    </w:p>
    <w:p w14:paraId="1466283F" w14:textId="7E54B0ED" w:rsidR="00276A1F" w:rsidRPr="000E73A2" w:rsidRDefault="00276A1F" w:rsidP="00187BA6">
      <w:pPr>
        <w:pStyle w:val="Citationenretrait"/>
        <w:jc w:val="right"/>
        <w:rPr>
          <w:lang w:val="en-CA"/>
        </w:rPr>
      </w:pPr>
      <w:r w:rsidRPr="000E73A2">
        <w:rPr>
          <w:lang w:val="en-CA"/>
        </w:rPr>
        <w:t>[</w:t>
      </w:r>
      <w:r w:rsidR="00380F88">
        <w:rPr>
          <w:lang w:val="en-CA"/>
        </w:rPr>
        <w:t>Underlining added</w:t>
      </w:r>
      <w:r w:rsidRPr="000E73A2">
        <w:rPr>
          <w:lang w:val="en-CA"/>
        </w:rPr>
        <w:t>]</w:t>
      </w:r>
    </w:p>
    <w:p w14:paraId="2E22C0BF" w14:textId="17DC8938" w:rsidR="00276A1F" w:rsidRPr="000E73A2" w:rsidRDefault="00380F88" w:rsidP="00B21BF4">
      <w:pPr>
        <w:pStyle w:val="Paragraphe"/>
        <w:spacing w:before="180" w:after="180" w:line="280" w:lineRule="exact"/>
        <w:rPr>
          <w:lang w:val="en-CA"/>
        </w:rPr>
      </w:pPr>
      <w:r>
        <w:rPr>
          <w:lang w:val="en-CA"/>
        </w:rPr>
        <w:t>It is not contested</w:t>
      </w:r>
      <w:r w:rsidRPr="00380F88">
        <w:rPr>
          <w:lang w:val="en-CA"/>
        </w:rPr>
        <w:t xml:space="preserve"> on appeal that the respondent testified that he told the complainant that he would wait for her in bed, not the other way around. There is therefore no evidence to suggest that the complainant invited the respondent to join her in bed</w:t>
      </w:r>
      <w:r w:rsidR="00276A1F" w:rsidRPr="000E73A2">
        <w:rPr>
          <w:lang w:val="en-CA"/>
        </w:rPr>
        <w:t>.</w:t>
      </w:r>
    </w:p>
    <w:p w14:paraId="06491A49" w14:textId="6C0C0DC0" w:rsidR="00276A1F" w:rsidRPr="000E73A2" w:rsidRDefault="00380F88" w:rsidP="00B21BF4">
      <w:pPr>
        <w:pStyle w:val="Paragraphe"/>
        <w:spacing w:before="180" w:after="180" w:line="280" w:lineRule="exact"/>
        <w:rPr>
          <w:lang w:val="en-CA"/>
        </w:rPr>
      </w:pPr>
      <w:r w:rsidRPr="00380F88">
        <w:rPr>
          <w:lang w:val="en-CA"/>
        </w:rPr>
        <w:t xml:space="preserve">That said, my colleague is of the </w:t>
      </w:r>
      <w:r>
        <w:rPr>
          <w:lang w:val="en-CA"/>
        </w:rPr>
        <w:t>view</w:t>
      </w:r>
      <w:r w:rsidRPr="00380F88">
        <w:rPr>
          <w:lang w:val="en-CA"/>
        </w:rPr>
        <w:t xml:space="preserve"> that the trial judge did not err in law, because the prosecut</w:t>
      </w:r>
      <w:r>
        <w:rPr>
          <w:lang w:val="en-CA"/>
        </w:rPr>
        <w:t>ion</w:t>
      </w:r>
      <w:r w:rsidRPr="00380F88">
        <w:rPr>
          <w:lang w:val="en-CA"/>
        </w:rPr>
        <w:t xml:space="preserve"> is giving too broad a </w:t>
      </w:r>
      <w:r>
        <w:rPr>
          <w:lang w:val="en-CA"/>
        </w:rPr>
        <w:t>scope</w:t>
      </w:r>
      <w:r w:rsidRPr="00380F88">
        <w:rPr>
          <w:lang w:val="en-CA"/>
        </w:rPr>
        <w:t xml:space="preserve"> to </w:t>
      </w:r>
      <w:r w:rsidR="00276A1F" w:rsidRPr="000E73A2">
        <w:rPr>
          <w:i/>
          <w:iCs/>
          <w:lang w:val="en-CA"/>
        </w:rPr>
        <w:t>J.M.H.</w:t>
      </w:r>
      <w:r w:rsidR="00276A1F" w:rsidRPr="000E73A2">
        <w:rPr>
          <w:rStyle w:val="Appelnotedebasdep"/>
          <w:lang w:val="en-CA"/>
        </w:rPr>
        <w:footnoteReference w:id="51"/>
      </w:r>
      <w:r w:rsidR="00276A1F" w:rsidRPr="000E73A2">
        <w:rPr>
          <w:lang w:val="en-CA"/>
        </w:rPr>
        <w:t xml:space="preserve"> </w:t>
      </w:r>
      <w:r w:rsidRPr="00380F88">
        <w:rPr>
          <w:lang w:val="en-CA"/>
        </w:rPr>
        <w:t>which must be understood in light of Lamer</w:t>
      </w:r>
      <w:r>
        <w:rPr>
          <w:lang w:val="en-CA"/>
        </w:rPr>
        <w:t xml:space="preserve"> J.</w:t>
      </w:r>
      <w:r w:rsidRPr="00380F88">
        <w:rPr>
          <w:lang w:val="en-CA"/>
        </w:rPr>
        <w:t xml:space="preserve">'s observations in </w:t>
      </w:r>
      <w:r w:rsidR="00276A1F" w:rsidRPr="000E73A2">
        <w:rPr>
          <w:i/>
          <w:iCs/>
          <w:lang w:val="en-CA"/>
        </w:rPr>
        <w:t>Schuldt</w:t>
      </w:r>
      <w:r w:rsidRPr="00380F88">
        <w:rPr>
          <w:lang w:val="en-CA"/>
        </w:rPr>
        <w:t>.</w:t>
      </w:r>
      <w:r w:rsidR="00276A1F" w:rsidRPr="000E73A2">
        <w:rPr>
          <w:rStyle w:val="Appelnotedebasdep"/>
          <w:lang w:val="en-CA"/>
        </w:rPr>
        <w:footnoteReference w:id="52"/>
      </w:r>
      <w:r w:rsidR="00276A1F" w:rsidRPr="000E73A2">
        <w:rPr>
          <w:lang w:val="en-CA"/>
        </w:rPr>
        <w:t xml:space="preserve"> </w:t>
      </w:r>
      <w:r w:rsidR="00B81EE2">
        <w:rPr>
          <w:lang w:val="en-CA"/>
        </w:rPr>
        <w:t>With respect</w:t>
      </w:r>
      <w:r w:rsidRPr="00380F88">
        <w:rPr>
          <w:lang w:val="en-CA"/>
        </w:rPr>
        <w:t xml:space="preserve">, I </w:t>
      </w:r>
      <w:r w:rsidR="00B81EE2">
        <w:rPr>
          <w:lang w:val="en-CA"/>
        </w:rPr>
        <w:t>must disagree</w:t>
      </w:r>
      <w:r w:rsidRPr="00380F88">
        <w:rPr>
          <w:lang w:val="en-CA"/>
        </w:rPr>
        <w:t xml:space="preserve"> with this interpretation</w:t>
      </w:r>
      <w:r w:rsidR="00276A1F" w:rsidRPr="000E73A2">
        <w:rPr>
          <w:lang w:val="en-CA"/>
        </w:rPr>
        <w:t>.</w:t>
      </w:r>
    </w:p>
    <w:p w14:paraId="3D820D27" w14:textId="7DE3982D" w:rsidR="00276A1F" w:rsidRPr="000E73A2" w:rsidRDefault="00B81EE2" w:rsidP="00B21BF4">
      <w:pPr>
        <w:pStyle w:val="Paragraphe"/>
        <w:spacing w:before="180" w:after="180" w:line="280" w:lineRule="exact"/>
        <w:rPr>
          <w:lang w:val="en-CA"/>
        </w:rPr>
      </w:pPr>
      <w:r>
        <w:rPr>
          <w:lang w:val="en-CA"/>
        </w:rPr>
        <w:t>In</w:t>
      </w:r>
      <w:r w:rsidR="00276A1F" w:rsidRPr="000E73A2">
        <w:rPr>
          <w:lang w:val="en-CA"/>
        </w:rPr>
        <w:t xml:space="preserve"> </w:t>
      </w:r>
      <w:r w:rsidR="00276A1F" w:rsidRPr="000E73A2">
        <w:rPr>
          <w:i/>
          <w:iCs/>
          <w:lang w:val="en-CA"/>
        </w:rPr>
        <w:t>J.M.H.</w:t>
      </w:r>
      <w:r w:rsidR="00276A1F" w:rsidRPr="000E73A2">
        <w:rPr>
          <w:lang w:val="en-CA"/>
        </w:rPr>
        <w:t>, Cromwell</w:t>
      </w:r>
      <w:r>
        <w:rPr>
          <w:lang w:val="en-CA"/>
        </w:rPr>
        <w:t xml:space="preserve"> J.</w:t>
      </w:r>
      <w:r w:rsidR="00276A1F" w:rsidRPr="000E73A2">
        <w:rPr>
          <w:lang w:val="en-CA"/>
        </w:rPr>
        <w:t xml:space="preserve"> </w:t>
      </w:r>
      <w:r>
        <w:rPr>
          <w:lang w:val="en-CA"/>
        </w:rPr>
        <w:t>identified four situations where</w:t>
      </w:r>
      <w:r w:rsidR="00276A1F" w:rsidRPr="000E73A2">
        <w:rPr>
          <w:lang w:val="en-CA"/>
        </w:rPr>
        <w:t xml:space="preserve"> </w:t>
      </w:r>
      <w:r>
        <w:rPr>
          <w:lang w:val="en-CA"/>
        </w:rPr>
        <w:t>a</w:t>
      </w:r>
      <w:r w:rsidRPr="00B81EE2">
        <w:rPr>
          <w:lang w:val="en-CA"/>
        </w:rPr>
        <w:t xml:space="preserve">lleged </w:t>
      </w:r>
      <w:r>
        <w:rPr>
          <w:lang w:val="en-CA"/>
        </w:rPr>
        <w:t>s</w:t>
      </w:r>
      <w:r w:rsidRPr="00B81EE2">
        <w:rPr>
          <w:lang w:val="en-CA"/>
        </w:rPr>
        <w:t xml:space="preserve">hortcomings in a </w:t>
      </w:r>
      <w:r>
        <w:rPr>
          <w:lang w:val="en-CA"/>
        </w:rPr>
        <w:t>t</w:t>
      </w:r>
      <w:r w:rsidRPr="00B81EE2">
        <w:rPr>
          <w:lang w:val="en-CA"/>
        </w:rPr>
        <w:t xml:space="preserve">rial </w:t>
      </w:r>
      <w:r>
        <w:rPr>
          <w:lang w:val="en-CA"/>
        </w:rPr>
        <w:t>j</w:t>
      </w:r>
      <w:r w:rsidRPr="00B81EE2">
        <w:rPr>
          <w:lang w:val="en-CA"/>
        </w:rPr>
        <w:t xml:space="preserve">udge’s </w:t>
      </w:r>
      <w:r>
        <w:rPr>
          <w:lang w:val="en-CA"/>
        </w:rPr>
        <w:t>a</w:t>
      </w:r>
      <w:r w:rsidRPr="00B81EE2">
        <w:rPr>
          <w:lang w:val="en-CA"/>
        </w:rPr>
        <w:t xml:space="preserve">ssessment of the </w:t>
      </w:r>
      <w:r>
        <w:rPr>
          <w:lang w:val="en-CA"/>
        </w:rPr>
        <w:t>e</w:t>
      </w:r>
      <w:r w:rsidRPr="00B81EE2">
        <w:rPr>
          <w:lang w:val="en-CA"/>
        </w:rPr>
        <w:t xml:space="preserve">vidence </w:t>
      </w:r>
      <w:r>
        <w:rPr>
          <w:lang w:val="en-CA"/>
        </w:rPr>
        <w:t>c</w:t>
      </w:r>
      <w:r w:rsidRPr="00B81EE2">
        <w:rPr>
          <w:lang w:val="en-CA"/>
        </w:rPr>
        <w:t xml:space="preserve">onstitute an </w:t>
      </w:r>
      <w:r>
        <w:rPr>
          <w:lang w:val="en-CA"/>
        </w:rPr>
        <w:t>e</w:t>
      </w:r>
      <w:r w:rsidRPr="00B81EE2">
        <w:rPr>
          <w:lang w:val="en-CA"/>
        </w:rPr>
        <w:t xml:space="preserve">rror of </w:t>
      </w:r>
      <w:r>
        <w:rPr>
          <w:lang w:val="en-CA"/>
        </w:rPr>
        <w:t>l</w:t>
      </w:r>
      <w:r w:rsidRPr="00B81EE2">
        <w:rPr>
          <w:lang w:val="en-CA"/>
        </w:rPr>
        <w:t xml:space="preserve">aw and </w:t>
      </w:r>
      <w:r>
        <w:rPr>
          <w:lang w:val="en-CA"/>
        </w:rPr>
        <w:t>t</w:t>
      </w:r>
      <w:r w:rsidRPr="00B81EE2">
        <w:rPr>
          <w:lang w:val="en-CA"/>
        </w:rPr>
        <w:t xml:space="preserve">hereby </w:t>
      </w:r>
      <w:r>
        <w:rPr>
          <w:lang w:val="en-CA"/>
        </w:rPr>
        <w:t>a</w:t>
      </w:r>
      <w:r w:rsidRPr="00B81EE2">
        <w:rPr>
          <w:lang w:val="en-CA"/>
        </w:rPr>
        <w:t xml:space="preserve">llow </w:t>
      </w:r>
      <w:r>
        <w:rPr>
          <w:lang w:val="en-CA"/>
        </w:rPr>
        <w:t>a</w:t>
      </w:r>
      <w:r w:rsidRPr="00B81EE2">
        <w:rPr>
          <w:lang w:val="en-CA"/>
        </w:rPr>
        <w:t xml:space="preserve">ppellate </w:t>
      </w:r>
      <w:r>
        <w:rPr>
          <w:lang w:val="en-CA"/>
        </w:rPr>
        <w:t>r</w:t>
      </w:r>
      <w:r w:rsidRPr="00B81EE2">
        <w:rPr>
          <w:lang w:val="en-CA"/>
        </w:rPr>
        <w:t xml:space="preserve">eview of an </w:t>
      </w:r>
      <w:r>
        <w:rPr>
          <w:lang w:val="en-CA"/>
        </w:rPr>
        <w:t>a</w:t>
      </w:r>
      <w:r w:rsidRPr="00B81EE2">
        <w:rPr>
          <w:lang w:val="en-CA"/>
        </w:rPr>
        <w:t>cquittal</w:t>
      </w:r>
      <w:r w:rsidR="00276A1F" w:rsidRPr="000E73A2">
        <w:rPr>
          <w:lang w:val="en-CA"/>
        </w:rPr>
        <w:t xml:space="preserve">. </w:t>
      </w:r>
      <w:r>
        <w:rPr>
          <w:lang w:val="en-CA"/>
        </w:rPr>
        <w:t>The recent case of</w:t>
      </w:r>
      <w:r w:rsidR="00276A1F" w:rsidRPr="000E73A2">
        <w:rPr>
          <w:lang w:val="en-CA"/>
        </w:rPr>
        <w:t xml:space="preserve"> </w:t>
      </w:r>
      <w:r w:rsidR="00276A1F" w:rsidRPr="000E73A2">
        <w:rPr>
          <w:i/>
          <w:iCs/>
          <w:lang w:val="en-CA"/>
        </w:rPr>
        <w:t>Hodgson</w:t>
      </w:r>
      <w:r w:rsidRPr="00B81EE2">
        <w:rPr>
          <w:lang w:val="en-CA"/>
        </w:rPr>
        <w:t>,</w:t>
      </w:r>
      <w:r w:rsidR="00276A1F" w:rsidRPr="000E73A2">
        <w:rPr>
          <w:rStyle w:val="Appelnotedebasdep"/>
          <w:lang w:val="en-CA"/>
        </w:rPr>
        <w:footnoteReference w:id="53"/>
      </w:r>
      <w:r w:rsidR="00276A1F" w:rsidRPr="000E73A2">
        <w:rPr>
          <w:lang w:val="en-CA"/>
        </w:rPr>
        <w:t xml:space="preserve"> </w:t>
      </w:r>
      <w:r>
        <w:rPr>
          <w:lang w:val="en-CA"/>
        </w:rPr>
        <w:t>provides the following useful summary</w:t>
      </w:r>
      <w:r w:rsidR="00276A1F" w:rsidRPr="000E73A2">
        <w:rPr>
          <w:lang w:val="en-CA"/>
        </w:rPr>
        <w:t>:</w:t>
      </w:r>
    </w:p>
    <w:p w14:paraId="413F7892" w14:textId="36AD45B5" w:rsidR="00276A1F" w:rsidRPr="000E73A2" w:rsidRDefault="00276A1F" w:rsidP="00187BA6">
      <w:pPr>
        <w:pStyle w:val="Citationenretrait"/>
        <w:rPr>
          <w:rFonts w:ascii="Times New Roman" w:hAnsi="Times New Roman"/>
          <w:sz w:val="24"/>
          <w:lang w:val="en-CA" w:eastAsia="fr-CA"/>
        </w:rPr>
      </w:pPr>
      <w:r w:rsidRPr="000E73A2">
        <w:rPr>
          <w:lang w:val="en-CA"/>
        </w:rPr>
        <w:t>[</w:t>
      </w:r>
      <w:bookmarkStart w:id="27" w:name="par35"/>
      <w:r w:rsidRPr="000E73A2">
        <w:rPr>
          <w:lang w:val="en-CA"/>
        </w:rPr>
        <w:t>35</w:t>
      </w:r>
      <w:bookmarkEnd w:id="27"/>
      <w:r w:rsidRPr="000E73A2">
        <w:rPr>
          <w:lang w:val="en-CA"/>
        </w:rPr>
        <w:t>]</w:t>
      </w:r>
      <w:r w:rsidRPr="000E73A2">
        <w:rPr>
          <w:sz w:val="14"/>
          <w:szCs w:val="14"/>
          <w:lang w:val="en-CA"/>
        </w:rPr>
        <w:tab/>
      </w:r>
      <w:r w:rsidR="00355BD6">
        <w:rPr>
          <w:rStyle w:val="reflex"/>
          <w:color w:val="000000"/>
          <w:lang w:val="en-CA"/>
        </w:rPr>
        <w:t>In</w:t>
      </w:r>
      <w:r w:rsidR="00355BD6" w:rsidRPr="00355BD6">
        <w:rPr>
          <w:rStyle w:val="reflex"/>
          <w:color w:val="000000"/>
          <w:lang w:val="en-CA"/>
        </w:rPr>
        <w:t xml:space="preserve"> </w:t>
      </w:r>
      <w:r w:rsidR="00355BD6" w:rsidRPr="00E05133">
        <w:rPr>
          <w:rStyle w:val="reflex"/>
          <w:i/>
          <w:iCs/>
          <w:color w:val="000000"/>
          <w:lang w:val="en-CA"/>
        </w:rPr>
        <w:t>J.M.H.</w:t>
      </w:r>
      <w:r w:rsidR="00355BD6" w:rsidRPr="00355BD6">
        <w:rPr>
          <w:rStyle w:val="reflex"/>
          <w:color w:val="000000"/>
          <w:lang w:val="en-CA"/>
        </w:rPr>
        <w:t>, the Court identified four non-exhaustive such situations:</w:t>
      </w:r>
    </w:p>
    <w:p w14:paraId="3B0145FE" w14:textId="2E022F55" w:rsidR="00276A1F" w:rsidRPr="000E73A2" w:rsidRDefault="00276A1F" w:rsidP="00187BA6">
      <w:pPr>
        <w:pStyle w:val="Citationenretrait"/>
        <w:ind w:left="1440"/>
        <w:rPr>
          <w:szCs w:val="22"/>
          <w:lang w:val="en-CA"/>
        </w:rPr>
      </w:pPr>
      <w:r w:rsidRPr="000E73A2">
        <w:rPr>
          <w:szCs w:val="22"/>
          <w:lang w:val="en-CA"/>
        </w:rPr>
        <w:t>1.</w:t>
      </w:r>
      <w:r w:rsidRPr="000E73A2">
        <w:rPr>
          <w:szCs w:val="22"/>
          <w:lang w:val="en-CA"/>
        </w:rPr>
        <w:tab/>
      </w:r>
      <w:r w:rsidR="00355BD6" w:rsidRPr="00355BD6">
        <w:rPr>
          <w:szCs w:val="22"/>
          <w:lang w:val="en-CA"/>
        </w:rPr>
        <w:t>Making a finding of fact for which there is no evidence — however, a conclusion that the trier of fact has a reasonable doubt is not a finding of fact for the purposes of this rule</w:t>
      </w:r>
      <w:r w:rsidRPr="000E73A2">
        <w:rPr>
          <w:szCs w:val="22"/>
          <w:lang w:val="en-CA"/>
        </w:rPr>
        <w:t>.</w:t>
      </w:r>
    </w:p>
    <w:p w14:paraId="3AE6E9A8" w14:textId="27131104" w:rsidR="00276A1F" w:rsidRPr="000E73A2" w:rsidRDefault="00276A1F" w:rsidP="00187BA6">
      <w:pPr>
        <w:pStyle w:val="Citationenretrait"/>
        <w:ind w:left="1440"/>
        <w:rPr>
          <w:szCs w:val="22"/>
          <w:lang w:val="en-CA"/>
        </w:rPr>
      </w:pPr>
      <w:r w:rsidRPr="000E73A2">
        <w:rPr>
          <w:szCs w:val="22"/>
          <w:lang w:val="en-CA"/>
        </w:rPr>
        <w:t>2.</w:t>
      </w:r>
      <w:r w:rsidRPr="000E73A2">
        <w:rPr>
          <w:szCs w:val="22"/>
          <w:lang w:val="en-CA"/>
        </w:rPr>
        <w:tab/>
      </w:r>
      <w:r w:rsidR="00355BD6" w:rsidRPr="00355BD6">
        <w:rPr>
          <w:szCs w:val="22"/>
          <w:lang w:val="en-CA"/>
        </w:rPr>
        <w:t>The legal effect of findings of fact or of undisputed facts</w:t>
      </w:r>
      <w:r w:rsidRPr="000E73A2">
        <w:rPr>
          <w:szCs w:val="22"/>
          <w:lang w:val="en-CA"/>
        </w:rPr>
        <w:t>.</w:t>
      </w:r>
    </w:p>
    <w:p w14:paraId="479E9757" w14:textId="28290598" w:rsidR="00276A1F" w:rsidRPr="000E73A2" w:rsidRDefault="00276A1F" w:rsidP="00187BA6">
      <w:pPr>
        <w:pStyle w:val="Citationenretrait"/>
        <w:ind w:left="1440"/>
        <w:rPr>
          <w:szCs w:val="22"/>
          <w:lang w:val="en-CA"/>
        </w:rPr>
      </w:pPr>
      <w:r w:rsidRPr="000E73A2">
        <w:rPr>
          <w:szCs w:val="22"/>
          <w:lang w:val="en-CA"/>
        </w:rPr>
        <w:t>3.</w:t>
      </w:r>
      <w:r w:rsidRPr="000E73A2">
        <w:rPr>
          <w:szCs w:val="22"/>
          <w:lang w:val="en-CA"/>
        </w:rPr>
        <w:tab/>
      </w:r>
      <w:r w:rsidR="00355BD6" w:rsidRPr="00355BD6">
        <w:rPr>
          <w:szCs w:val="22"/>
          <w:lang w:val="en-CA"/>
        </w:rPr>
        <w:t>An assessment of the evidence based on a wrong legal principle</w:t>
      </w:r>
      <w:r w:rsidRPr="000E73A2">
        <w:rPr>
          <w:szCs w:val="22"/>
          <w:lang w:val="en-CA"/>
        </w:rPr>
        <w:t>.</w:t>
      </w:r>
    </w:p>
    <w:p w14:paraId="2A20BF1F" w14:textId="658E929B" w:rsidR="00276A1F" w:rsidRPr="000E73A2" w:rsidRDefault="00276A1F" w:rsidP="00187BA6">
      <w:pPr>
        <w:pStyle w:val="Citationenretrait"/>
        <w:ind w:left="1440"/>
        <w:rPr>
          <w:szCs w:val="22"/>
          <w:lang w:val="en-CA"/>
        </w:rPr>
      </w:pPr>
      <w:r w:rsidRPr="000E73A2">
        <w:rPr>
          <w:szCs w:val="22"/>
          <w:lang w:val="en-CA"/>
        </w:rPr>
        <w:t>4.</w:t>
      </w:r>
      <w:r w:rsidRPr="000E73A2">
        <w:rPr>
          <w:szCs w:val="22"/>
          <w:lang w:val="en-CA"/>
        </w:rPr>
        <w:tab/>
      </w:r>
      <w:r w:rsidR="00355BD6" w:rsidRPr="00355BD6">
        <w:rPr>
          <w:szCs w:val="22"/>
          <w:lang w:val="en-CA"/>
        </w:rPr>
        <w:t>A failure to consider all of the evidence in relation to the ultimate issue of guilt or innocence</w:t>
      </w:r>
      <w:r w:rsidRPr="000E73A2">
        <w:rPr>
          <w:szCs w:val="22"/>
          <w:lang w:val="en-CA"/>
        </w:rPr>
        <w:t>.</w:t>
      </w:r>
    </w:p>
    <w:p w14:paraId="4550CBEC" w14:textId="1B2259C3" w:rsidR="00276A1F" w:rsidRPr="000E73A2" w:rsidRDefault="0023385E" w:rsidP="00B21BF4">
      <w:pPr>
        <w:pStyle w:val="Paragraphe"/>
        <w:spacing w:before="180" w:after="180" w:line="280" w:lineRule="exact"/>
        <w:rPr>
          <w:lang w:val="en-CA"/>
        </w:rPr>
      </w:pPr>
      <w:r w:rsidRPr="0023385E">
        <w:rPr>
          <w:lang w:val="en-CA"/>
        </w:rPr>
        <w:lastRenderedPageBreak/>
        <w:t xml:space="preserve">The present appeal concerns the first of these situations, namely </w:t>
      </w:r>
      <w:r>
        <w:rPr>
          <w:lang w:val="en-CA"/>
        </w:rPr>
        <w:t>m</w:t>
      </w:r>
      <w:r w:rsidRPr="0023385E">
        <w:rPr>
          <w:lang w:val="en-CA"/>
        </w:rPr>
        <w:t>aking a finding of fact for which there is no evidence</w:t>
      </w:r>
      <w:r w:rsidR="00276A1F" w:rsidRPr="000E73A2">
        <w:rPr>
          <w:lang w:val="en-CA"/>
        </w:rPr>
        <w:t xml:space="preserve">. </w:t>
      </w:r>
      <w:r>
        <w:rPr>
          <w:lang w:val="en-CA"/>
        </w:rPr>
        <w:t>In</w:t>
      </w:r>
      <w:r w:rsidR="00276A1F" w:rsidRPr="000E73A2">
        <w:rPr>
          <w:lang w:val="en-CA"/>
        </w:rPr>
        <w:t xml:space="preserve"> </w:t>
      </w:r>
      <w:r w:rsidR="00276A1F" w:rsidRPr="000E73A2">
        <w:rPr>
          <w:i/>
          <w:iCs/>
          <w:lang w:val="en-CA"/>
        </w:rPr>
        <w:t>J.M.H.</w:t>
      </w:r>
      <w:r w:rsidR="00276A1F" w:rsidRPr="000E73A2">
        <w:rPr>
          <w:lang w:val="en-CA"/>
        </w:rPr>
        <w:t>, Cromwell</w:t>
      </w:r>
      <w:r>
        <w:rPr>
          <w:lang w:val="en-CA"/>
        </w:rPr>
        <w:t xml:space="preserve"> J.</w:t>
      </w:r>
      <w:r w:rsidR="00276A1F" w:rsidRPr="000E73A2">
        <w:rPr>
          <w:lang w:val="en-CA"/>
        </w:rPr>
        <w:t xml:space="preserve"> </w:t>
      </w:r>
      <w:r>
        <w:rPr>
          <w:lang w:val="en-CA"/>
        </w:rPr>
        <w:t>articulated the scope of that error of law</w:t>
      </w:r>
      <w:r w:rsidR="00276A1F" w:rsidRPr="000E73A2">
        <w:rPr>
          <w:lang w:val="en-CA"/>
        </w:rPr>
        <w:t>:</w:t>
      </w:r>
    </w:p>
    <w:p w14:paraId="47ABF766" w14:textId="34A65DF0" w:rsidR="00276A1F" w:rsidRPr="000E73A2" w:rsidRDefault="00276A1F" w:rsidP="00187BA6">
      <w:pPr>
        <w:pStyle w:val="Citationenretrait"/>
        <w:rPr>
          <w:rFonts w:ascii="Times New Roman" w:hAnsi="Times New Roman"/>
          <w:lang w:val="en-CA" w:eastAsia="fr-CA"/>
        </w:rPr>
      </w:pPr>
      <w:r w:rsidRPr="000E73A2">
        <w:rPr>
          <w:lang w:val="en-CA"/>
        </w:rPr>
        <w:t>[25]</w:t>
      </w:r>
      <w:r w:rsidRPr="000E73A2">
        <w:rPr>
          <w:lang w:val="en-CA"/>
        </w:rPr>
        <w:tab/>
      </w:r>
      <w:r w:rsidR="00B625A6" w:rsidRPr="00B625A6">
        <w:rPr>
          <w:lang w:val="en-CA"/>
        </w:rPr>
        <w:t xml:space="preserve">It has long been recognized that it is an error of law to make a finding of fact for which there is no supporting evidence: </w:t>
      </w:r>
      <w:r w:rsidR="00B625A6" w:rsidRPr="00B625A6">
        <w:rPr>
          <w:i/>
          <w:iCs/>
          <w:lang w:val="en-CA"/>
        </w:rPr>
        <w:t>Schuldt v. The Queen</w:t>
      </w:r>
      <w:r w:rsidR="00B625A6" w:rsidRPr="00B625A6">
        <w:rPr>
          <w:lang w:val="en-CA"/>
        </w:rPr>
        <w:t xml:space="preserve">, [1985] 2 S.C.R. 592, at p. 604.  It does not follow from this principle, however, that an acquittal can be set aside on the basis that it is not supported by the evidence.  An acquittal (absent some fact or element on which the accused bears the burden of proof) is not a finding of fact but instead a conclusion that the standard of persuasion beyond a reasonable doubt has not been met.  Moreover, as pointed out in </w:t>
      </w:r>
      <w:r w:rsidR="00B625A6" w:rsidRPr="00B625A6">
        <w:rPr>
          <w:i/>
          <w:iCs/>
          <w:lang w:val="en-CA"/>
        </w:rPr>
        <w:t xml:space="preserve">R. v. </w:t>
      </w:r>
      <w:proofErr w:type="spellStart"/>
      <w:r w:rsidR="00B625A6" w:rsidRPr="00B625A6">
        <w:rPr>
          <w:i/>
          <w:iCs/>
          <w:lang w:val="en-CA"/>
        </w:rPr>
        <w:t>Lifchus</w:t>
      </w:r>
      <w:proofErr w:type="spellEnd"/>
      <w:r w:rsidR="00B625A6" w:rsidRPr="00B625A6">
        <w:rPr>
          <w:lang w:val="en-CA"/>
        </w:rPr>
        <w:t xml:space="preserve">, [1997] 3 S.C.R. 320, at para. 39, a reasonable doubt is logically derived from the evidence or absence of evidence.  Juries are properly so instructed and told that they may accept some, all or none of a witness’s evidence: </w:t>
      </w:r>
      <w:proofErr w:type="spellStart"/>
      <w:r w:rsidR="00B625A6" w:rsidRPr="00B625A6">
        <w:rPr>
          <w:i/>
          <w:iCs/>
          <w:lang w:val="en-CA"/>
        </w:rPr>
        <w:t>Lifchus</w:t>
      </w:r>
      <w:proofErr w:type="spellEnd"/>
      <w:r w:rsidR="00B625A6" w:rsidRPr="00B625A6">
        <w:rPr>
          <w:lang w:val="en-CA"/>
        </w:rPr>
        <w:t>, at paras. 30 and 36; Canadian Judicial Council, Model Jury Instructions, Part III, Final Instructions, 9.4 Assessment of Evidence (online)</w:t>
      </w:r>
      <w:r w:rsidRPr="000E73A2">
        <w:rPr>
          <w:lang w:val="en-CA"/>
        </w:rPr>
        <w:t>.</w:t>
      </w:r>
    </w:p>
    <w:p w14:paraId="2B3ED5A7" w14:textId="3408E757" w:rsidR="00276A1F" w:rsidRPr="000E73A2" w:rsidRDefault="00276A1F" w:rsidP="00187BA6">
      <w:pPr>
        <w:pStyle w:val="Citationenretrait"/>
        <w:rPr>
          <w:lang w:val="en-CA"/>
        </w:rPr>
      </w:pPr>
      <w:r w:rsidRPr="000E73A2">
        <w:rPr>
          <w:lang w:val="en-CA"/>
        </w:rPr>
        <w:t>[26]</w:t>
      </w:r>
      <w:r w:rsidRPr="000E73A2">
        <w:rPr>
          <w:sz w:val="14"/>
          <w:szCs w:val="14"/>
          <w:lang w:val="en-CA"/>
        </w:rPr>
        <w:tab/>
      </w:r>
      <w:r w:rsidR="00321AE8" w:rsidRPr="00321AE8">
        <w:rPr>
          <w:lang w:val="en-CA"/>
        </w:rPr>
        <w:t xml:space="preserve">The principle that it is an error of law to make a finding of fact for which there is no supporting evidence does not, in general, apply to a decision to acquit based on a reasonable doubt.  As Binnie J. put it in </w:t>
      </w:r>
      <w:r w:rsidR="00321AE8" w:rsidRPr="00321AE8">
        <w:rPr>
          <w:i/>
          <w:iCs/>
          <w:lang w:val="en-CA"/>
        </w:rPr>
        <w:t>R. v. Walker</w:t>
      </w:r>
      <w:r w:rsidR="00321AE8" w:rsidRPr="00321AE8">
        <w:rPr>
          <w:lang w:val="en-CA"/>
        </w:rPr>
        <w:t>, 2008 SCC 34, [2008] 2 S.C.R. 245, at para. 22</w:t>
      </w:r>
      <w:r w:rsidRPr="000E73A2">
        <w:rPr>
          <w:lang w:val="en-CA"/>
        </w:rPr>
        <w:t>:</w:t>
      </w:r>
    </w:p>
    <w:p w14:paraId="24973A17" w14:textId="7E5A4271" w:rsidR="00276A1F" w:rsidRPr="000E73A2" w:rsidRDefault="00C525B0" w:rsidP="00187BA6">
      <w:pPr>
        <w:pStyle w:val="Citationenretrait"/>
        <w:ind w:left="1440" w:firstLine="720"/>
        <w:rPr>
          <w:sz w:val="20"/>
          <w:lang w:val="en-CA"/>
        </w:rPr>
      </w:pPr>
      <w:r w:rsidRPr="00C525B0">
        <w:rPr>
          <w:sz w:val="20"/>
          <w:lang w:val="en-CA"/>
        </w:rPr>
        <w:t>A major difference between the position of the Crown and the accused in a criminal trial, of course, is that the accused benefits from the presumption of innocence.  The intervener Attorney General of Ontario argues that “[t]he fact that the accused is presumed innocent doesn’t derogate in any way from the judge’s duty to correctly apply all applicable legal principles” (Factum, at para. 7).  This is true, so far as it goes, but whereas a conviction requires the prosecution to establish each of the factual elements of the offence beyond a reasonable doubt, no such requirement applies to an acquittal which, unlike a conviction, can rest simply on the absence of proof</w:t>
      </w:r>
      <w:r w:rsidR="00276A1F" w:rsidRPr="000E73A2">
        <w:rPr>
          <w:sz w:val="20"/>
          <w:lang w:val="en-CA"/>
        </w:rPr>
        <w:t>. [</w:t>
      </w:r>
      <w:r w:rsidR="00321AE8">
        <w:rPr>
          <w:sz w:val="20"/>
          <w:lang w:val="en-CA"/>
        </w:rPr>
        <w:t>Emphasis deleted</w:t>
      </w:r>
      <w:r w:rsidR="00276A1F" w:rsidRPr="000E73A2">
        <w:rPr>
          <w:sz w:val="20"/>
          <w:lang w:val="en-CA"/>
        </w:rPr>
        <w:t>.]</w:t>
      </w:r>
    </w:p>
    <w:p w14:paraId="589C56B3" w14:textId="4E87BEEF" w:rsidR="00276A1F" w:rsidRPr="000E73A2" w:rsidRDefault="00276A1F" w:rsidP="00187BA6">
      <w:pPr>
        <w:pStyle w:val="Citationenretrait"/>
        <w:rPr>
          <w:lang w:val="en-CA"/>
        </w:rPr>
      </w:pPr>
      <w:r w:rsidRPr="000E73A2">
        <w:rPr>
          <w:lang w:val="en-CA"/>
        </w:rPr>
        <w:t>[27]</w:t>
      </w:r>
      <w:r w:rsidRPr="000E73A2">
        <w:rPr>
          <w:sz w:val="14"/>
          <w:szCs w:val="14"/>
          <w:lang w:val="en-CA"/>
        </w:rPr>
        <w:tab/>
      </w:r>
      <w:r w:rsidR="00321AE8" w:rsidRPr="00321AE8">
        <w:rPr>
          <w:lang w:val="en-CA"/>
        </w:rPr>
        <w:t xml:space="preserve">The point was expressed very clearly in </w:t>
      </w:r>
      <w:r w:rsidR="00321AE8" w:rsidRPr="00321AE8">
        <w:rPr>
          <w:i/>
          <w:iCs/>
          <w:lang w:val="en-CA"/>
        </w:rPr>
        <w:t xml:space="preserve">R. v. </w:t>
      </w:r>
      <w:proofErr w:type="spellStart"/>
      <w:r w:rsidR="00321AE8" w:rsidRPr="00321AE8">
        <w:rPr>
          <w:i/>
          <w:iCs/>
          <w:lang w:val="en-CA"/>
        </w:rPr>
        <w:t>Biniaris</w:t>
      </w:r>
      <w:proofErr w:type="spellEnd"/>
      <w:r w:rsidR="00321AE8" w:rsidRPr="00321AE8">
        <w:rPr>
          <w:lang w:val="en-CA"/>
        </w:rPr>
        <w:t xml:space="preserve">, 2000 SCC 15, [2000] 1 S.C.R. 381, at para. 33: “. . . </w:t>
      </w:r>
      <w:bookmarkStart w:id="28" w:name="_Hlk201913151"/>
      <w:r w:rsidR="00321AE8" w:rsidRPr="00321AE8">
        <w:rPr>
          <w:lang w:val="en-CA"/>
        </w:rPr>
        <w:t>as a matter of law, the concept of ‘unreasonable acquittal’ is incompatible with the presumption of innocence and the burden which rests on the prosecution to prove its case beyond a reasonable doubt</w:t>
      </w:r>
      <w:bookmarkEnd w:id="28"/>
      <w:r w:rsidR="00321AE8" w:rsidRPr="00321AE8">
        <w:rPr>
          <w:lang w:val="en-CA"/>
        </w:rPr>
        <w:t>.”</w:t>
      </w:r>
    </w:p>
    <w:p w14:paraId="00B702C6" w14:textId="4CCE4E7D" w:rsidR="00276A1F" w:rsidRPr="000E73A2" w:rsidRDefault="0067167B" w:rsidP="0094220D">
      <w:pPr>
        <w:pStyle w:val="Paragraphe"/>
        <w:spacing w:before="240" w:after="180" w:line="280" w:lineRule="exact"/>
        <w:rPr>
          <w:lang w:val="en-CA"/>
        </w:rPr>
      </w:pPr>
      <w:r>
        <w:rPr>
          <w:lang w:val="en-CA"/>
        </w:rPr>
        <w:t>From these passages I glean the following principles</w:t>
      </w:r>
      <w:r w:rsidR="00276A1F" w:rsidRPr="000E73A2">
        <w:rPr>
          <w:lang w:val="en-CA"/>
        </w:rPr>
        <w:t>:</w:t>
      </w:r>
    </w:p>
    <w:p w14:paraId="07F20F12" w14:textId="40B35716" w:rsidR="00276A1F" w:rsidRPr="000E73A2" w:rsidRDefault="00276A1F" w:rsidP="00187BA6">
      <w:pPr>
        <w:pStyle w:val="Paragraphe"/>
        <w:numPr>
          <w:ilvl w:val="0"/>
          <w:numId w:val="0"/>
        </w:numPr>
        <w:spacing w:line="240" w:lineRule="auto"/>
        <w:ind w:left="720"/>
        <w:rPr>
          <w:lang w:val="en-CA"/>
        </w:rPr>
      </w:pPr>
      <w:r w:rsidRPr="000E73A2">
        <w:rPr>
          <w:lang w:val="en-CA"/>
        </w:rPr>
        <w:t>1)</w:t>
      </w:r>
      <w:bookmarkStart w:id="29" w:name="_Hlk190502071"/>
      <w:r w:rsidRPr="000E73A2">
        <w:rPr>
          <w:lang w:val="en-CA"/>
        </w:rPr>
        <w:t> </w:t>
      </w:r>
      <w:bookmarkEnd w:id="29"/>
      <w:r w:rsidR="00321AE8" w:rsidRPr="00321AE8">
        <w:rPr>
          <w:lang w:val="en-CA"/>
        </w:rPr>
        <w:t>it is an error of law to make a finding of fact for which there is no supporting evidence</w:t>
      </w:r>
      <w:r w:rsidRPr="000E73A2">
        <w:rPr>
          <w:lang w:val="en-CA"/>
        </w:rPr>
        <w:t>;</w:t>
      </w:r>
    </w:p>
    <w:p w14:paraId="6C38CE4D" w14:textId="7DCF4D79" w:rsidR="00276A1F" w:rsidRPr="000E73A2" w:rsidRDefault="00276A1F" w:rsidP="00187BA6">
      <w:pPr>
        <w:pStyle w:val="Paragraphe"/>
        <w:numPr>
          <w:ilvl w:val="0"/>
          <w:numId w:val="0"/>
        </w:numPr>
        <w:spacing w:line="240" w:lineRule="auto"/>
        <w:ind w:left="720"/>
        <w:rPr>
          <w:lang w:val="en-CA"/>
        </w:rPr>
      </w:pPr>
      <w:r w:rsidRPr="000E73A2">
        <w:rPr>
          <w:lang w:val="en-CA"/>
        </w:rPr>
        <w:lastRenderedPageBreak/>
        <w:t>2) </w:t>
      </w:r>
      <w:r w:rsidR="00321AE8">
        <w:rPr>
          <w:lang w:val="en-CA"/>
        </w:rPr>
        <w:t>a</w:t>
      </w:r>
      <w:r w:rsidR="00321AE8" w:rsidRPr="00321AE8">
        <w:rPr>
          <w:lang w:val="en-CA"/>
        </w:rPr>
        <w:t>n acquittal (absent some fact or element on which the accused bears the burden of proof) is not a finding of fact but instead a conclusion that the standard of persuasion beyond a reasonable doubt has not been met</w:t>
      </w:r>
      <w:r w:rsidRPr="000E73A2">
        <w:rPr>
          <w:lang w:val="en-CA"/>
        </w:rPr>
        <w:t>;</w:t>
      </w:r>
    </w:p>
    <w:p w14:paraId="5A4F3E1E" w14:textId="48D61E08" w:rsidR="00276A1F" w:rsidRPr="000E73A2" w:rsidRDefault="00276A1F" w:rsidP="00187BA6">
      <w:pPr>
        <w:pStyle w:val="Paragraphe"/>
        <w:numPr>
          <w:ilvl w:val="0"/>
          <w:numId w:val="0"/>
        </w:numPr>
        <w:spacing w:line="240" w:lineRule="auto"/>
        <w:ind w:left="720"/>
        <w:rPr>
          <w:lang w:val="en-CA"/>
        </w:rPr>
      </w:pPr>
      <w:r w:rsidRPr="000E73A2">
        <w:rPr>
          <w:lang w:val="en-CA"/>
        </w:rPr>
        <w:t>3) </w:t>
      </w:r>
      <w:r w:rsidR="00321AE8" w:rsidRPr="00321AE8">
        <w:rPr>
          <w:lang w:val="en-CA"/>
        </w:rPr>
        <w:t>a reasonable doubt is logically derived from the evidence or absence of evidence</w:t>
      </w:r>
      <w:r w:rsidRPr="000E73A2">
        <w:rPr>
          <w:lang w:val="en-CA"/>
        </w:rPr>
        <w:t>;</w:t>
      </w:r>
    </w:p>
    <w:p w14:paraId="2D0EFAE9" w14:textId="69B83673" w:rsidR="00276A1F" w:rsidRPr="000E73A2" w:rsidRDefault="00276A1F" w:rsidP="00187BA6">
      <w:pPr>
        <w:pStyle w:val="Paragraphe"/>
        <w:numPr>
          <w:ilvl w:val="0"/>
          <w:numId w:val="0"/>
        </w:numPr>
        <w:spacing w:line="240" w:lineRule="auto"/>
        <w:ind w:left="720"/>
        <w:rPr>
          <w:lang w:val="en-CA"/>
        </w:rPr>
      </w:pPr>
      <w:r w:rsidRPr="000E73A2">
        <w:rPr>
          <w:lang w:val="en-CA"/>
        </w:rPr>
        <w:t>4) </w:t>
      </w:r>
      <w:r w:rsidR="00321AE8">
        <w:rPr>
          <w:lang w:val="en-CA"/>
        </w:rPr>
        <w:t>t</w:t>
      </w:r>
      <w:r w:rsidR="00321AE8" w:rsidRPr="00321AE8">
        <w:rPr>
          <w:lang w:val="en-CA"/>
        </w:rPr>
        <w:t>he principle that it is an error of law to make a finding of fact for which there is no supporting evidence does not, in general, apply to a decision to acquit based on a reasonable doubt</w:t>
      </w:r>
      <w:r w:rsidRPr="000E73A2">
        <w:rPr>
          <w:lang w:val="en-CA"/>
        </w:rPr>
        <w:t>;</w:t>
      </w:r>
    </w:p>
    <w:p w14:paraId="32BC99B5" w14:textId="2DA1C83A" w:rsidR="00276A1F" w:rsidRPr="000E73A2" w:rsidRDefault="00276A1F" w:rsidP="00187BA6">
      <w:pPr>
        <w:pStyle w:val="Paragraphe"/>
        <w:numPr>
          <w:ilvl w:val="0"/>
          <w:numId w:val="0"/>
        </w:numPr>
        <w:spacing w:line="240" w:lineRule="auto"/>
        <w:ind w:left="720"/>
        <w:rPr>
          <w:lang w:val="en-CA"/>
        </w:rPr>
      </w:pPr>
      <w:r w:rsidRPr="000E73A2">
        <w:rPr>
          <w:lang w:val="en-CA"/>
        </w:rPr>
        <w:t>5) </w:t>
      </w:r>
      <w:r w:rsidR="00321AE8" w:rsidRPr="00321AE8">
        <w:rPr>
          <w:lang w:val="en-CA"/>
        </w:rPr>
        <w:t>as a matter of law, the concept of ‘unreasonable acquittal’ is incompatible with the presumption of innocence and the burden which rests on the prosecution to prove its case beyond a reasonable doubt</w:t>
      </w:r>
      <w:r w:rsidRPr="000E73A2">
        <w:rPr>
          <w:lang w:val="en-CA"/>
        </w:rPr>
        <w:t>.</w:t>
      </w:r>
    </w:p>
    <w:p w14:paraId="08617F29" w14:textId="51EBBEBC" w:rsidR="00276A1F" w:rsidRPr="000E73A2" w:rsidRDefault="00CD4B70" w:rsidP="0094220D">
      <w:pPr>
        <w:pStyle w:val="Paragraphe"/>
        <w:spacing w:before="240" w:after="180" w:line="280" w:lineRule="exact"/>
        <w:rPr>
          <w:lang w:val="en-CA"/>
        </w:rPr>
      </w:pPr>
      <w:r w:rsidRPr="00CD4B70">
        <w:rPr>
          <w:lang w:val="en-CA"/>
        </w:rPr>
        <w:t>In the present case, the judge's finding</w:t>
      </w:r>
      <w:r>
        <w:rPr>
          <w:lang w:val="en-CA"/>
        </w:rPr>
        <w:t xml:space="preserve"> of fact</w:t>
      </w:r>
      <w:r w:rsidRPr="00CD4B70">
        <w:rPr>
          <w:lang w:val="en-CA"/>
        </w:rPr>
        <w:t xml:space="preserve"> that the complainant </w:t>
      </w:r>
      <w:r>
        <w:rPr>
          <w:lang w:val="en-CA"/>
        </w:rPr>
        <w:t xml:space="preserve">had </w:t>
      </w:r>
      <w:r w:rsidRPr="00CD4B70">
        <w:rPr>
          <w:lang w:val="en-CA"/>
        </w:rPr>
        <w:t xml:space="preserve">invited the respondent to join her in bed </w:t>
      </w:r>
      <w:r>
        <w:rPr>
          <w:lang w:val="en-CA"/>
        </w:rPr>
        <w:t>was</w:t>
      </w:r>
      <w:r w:rsidRPr="00CD4B70">
        <w:rPr>
          <w:lang w:val="en-CA"/>
        </w:rPr>
        <w:t xml:space="preserve"> not supported by any evidence. This </w:t>
      </w:r>
      <w:r w:rsidR="00927715">
        <w:rPr>
          <w:lang w:val="en-CA"/>
        </w:rPr>
        <w:t xml:space="preserve">inescapable </w:t>
      </w:r>
      <w:r w:rsidRPr="00CD4B70">
        <w:rPr>
          <w:lang w:val="en-CA"/>
        </w:rPr>
        <w:t>determination</w:t>
      </w:r>
      <w:r w:rsidR="00927715">
        <w:rPr>
          <w:lang w:val="en-CA"/>
        </w:rPr>
        <w:t xml:space="preserve"> </w:t>
      </w:r>
      <w:r w:rsidRPr="00CD4B70">
        <w:rPr>
          <w:lang w:val="en-CA"/>
        </w:rPr>
        <w:t>puts an end to any further analysis and cannot</w:t>
      </w:r>
      <w:r w:rsidR="00927715">
        <w:rPr>
          <w:lang w:val="en-CA"/>
        </w:rPr>
        <w:t xml:space="preserve"> in any way</w:t>
      </w:r>
      <w:r w:rsidRPr="00CD4B70">
        <w:rPr>
          <w:lang w:val="en-CA"/>
        </w:rPr>
        <w:t xml:space="preserve"> be qualified by arguing that it is a misinterpretation or </w:t>
      </w:r>
      <w:r>
        <w:rPr>
          <w:lang w:val="en-CA"/>
        </w:rPr>
        <w:t>misapprehension</w:t>
      </w:r>
      <w:r w:rsidRPr="00CD4B70">
        <w:rPr>
          <w:lang w:val="en-CA"/>
        </w:rPr>
        <w:t xml:space="preserve"> of the evidence</w:t>
      </w:r>
      <w:r w:rsidR="00276A1F" w:rsidRPr="000E73A2">
        <w:rPr>
          <w:lang w:val="en-CA"/>
        </w:rPr>
        <w:t>.</w:t>
      </w:r>
    </w:p>
    <w:p w14:paraId="1F580989" w14:textId="192A65AD" w:rsidR="00276A1F" w:rsidRPr="000E73A2" w:rsidRDefault="00927715" w:rsidP="00B21BF4">
      <w:pPr>
        <w:pStyle w:val="Paragraphe"/>
        <w:spacing w:before="180" w:after="180" w:line="280" w:lineRule="exact"/>
        <w:rPr>
          <w:lang w:val="en-CA"/>
        </w:rPr>
      </w:pPr>
      <w:r w:rsidRPr="00927715">
        <w:rPr>
          <w:lang w:val="en-CA"/>
        </w:rPr>
        <w:t xml:space="preserve">I cannot agree that </w:t>
      </w:r>
      <w:r w:rsidRPr="00927715">
        <w:rPr>
          <w:i/>
          <w:iCs/>
          <w:lang w:val="en-CA"/>
        </w:rPr>
        <w:t>J.M.H.</w:t>
      </w:r>
      <w:r w:rsidRPr="00927715">
        <w:rPr>
          <w:lang w:val="en-CA"/>
        </w:rPr>
        <w:t xml:space="preserve"> and </w:t>
      </w:r>
      <w:r w:rsidRPr="00927715">
        <w:rPr>
          <w:i/>
          <w:iCs/>
          <w:lang w:val="en-CA"/>
        </w:rPr>
        <w:t>Schuldt</w:t>
      </w:r>
      <w:r w:rsidRPr="00927715">
        <w:rPr>
          <w:lang w:val="en-CA"/>
        </w:rPr>
        <w:t xml:space="preserve"> </w:t>
      </w:r>
      <w:r>
        <w:rPr>
          <w:lang w:val="en-CA"/>
        </w:rPr>
        <w:t>stand for the proposition that</w:t>
      </w:r>
      <w:r w:rsidRPr="00927715">
        <w:rPr>
          <w:lang w:val="en-CA"/>
        </w:rPr>
        <w:t xml:space="preserve"> </w:t>
      </w:r>
      <w:r>
        <w:rPr>
          <w:lang w:val="en-CA"/>
        </w:rPr>
        <w:t xml:space="preserve">a </w:t>
      </w:r>
      <w:r w:rsidRPr="00927715">
        <w:rPr>
          <w:lang w:val="en-CA"/>
        </w:rPr>
        <w:t xml:space="preserve">finding of fact that is not supported by the evidence constitutes an error of law only when the burden of proof rested on the accused. In </w:t>
      </w:r>
      <w:r w:rsidRPr="00927715">
        <w:rPr>
          <w:i/>
          <w:iCs/>
          <w:lang w:val="en-CA"/>
        </w:rPr>
        <w:t>Schuldt</w:t>
      </w:r>
      <w:r w:rsidRPr="00927715">
        <w:rPr>
          <w:lang w:val="en-CA"/>
        </w:rPr>
        <w:t xml:space="preserve">, the Manitoba Court of Appeal </w:t>
      </w:r>
      <w:r w:rsidR="00E05133">
        <w:rPr>
          <w:lang w:val="en-CA"/>
        </w:rPr>
        <w:t xml:space="preserve">had </w:t>
      </w:r>
      <w:r w:rsidRPr="00927715">
        <w:rPr>
          <w:lang w:val="en-CA"/>
        </w:rPr>
        <w:t>overturned the acquittal handed down at trial because it was of the view that</w:t>
      </w:r>
      <w:r w:rsidR="00276A1F" w:rsidRPr="000E73A2">
        <w:rPr>
          <w:lang w:val="en-CA"/>
        </w:rPr>
        <w:t xml:space="preserve"> </w:t>
      </w:r>
      <w:r w:rsidR="00D31C44">
        <w:rPr>
          <w:lang w:val="en-CA"/>
        </w:rPr>
        <w:t>“[t]</w:t>
      </w:r>
      <w:r w:rsidR="00D31C44" w:rsidRPr="00D31C44">
        <w:rPr>
          <w:lang w:val="en-CA"/>
        </w:rPr>
        <w:t>here must be a factual foundation upon which to have reasonable doubt, and it simply does not exist in the present case</w:t>
      </w:r>
      <w:r w:rsidR="00D31C44">
        <w:rPr>
          <w:lang w:val="en-CA"/>
        </w:rPr>
        <w:t>.”</w:t>
      </w:r>
      <w:r w:rsidR="00276A1F" w:rsidRPr="000E73A2">
        <w:rPr>
          <w:rStyle w:val="Appelnotedebasdep"/>
          <w:lang w:val="en-CA"/>
        </w:rPr>
        <w:footnoteReference w:id="54"/>
      </w:r>
      <w:r w:rsidR="00276A1F" w:rsidRPr="000E73A2">
        <w:rPr>
          <w:lang w:val="en-CA"/>
        </w:rPr>
        <w:t xml:space="preserve"> </w:t>
      </w:r>
      <w:r>
        <w:rPr>
          <w:lang w:val="en-CA"/>
        </w:rPr>
        <w:t xml:space="preserve">As is known, </w:t>
      </w:r>
      <w:r w:rsidR="001E5300" w:rsidRPr="001E5300">
        <w:rPr>
          <w:lang w:val="en-CA"/>
        </w:rPr>
        <w:t>and I shall have more to say about this later</w:t>
      </w:r>
      <w:r w:rsidR="001E5300">
        <w:rPr>
          <w:lang w:val="en-CA"/>
        </w:rPr>
        <w:t xml:space="preserve">, </w:t>
      </w:r>
      <w:r>
        <w:rPr>
          <w:lang w:val="en-CA"/>
        </w:rPr>
        <w:t xml:space="preserve">reasonable doubt </w:t>
      </w:r>
      <w:r w:rsidR="001E5300" w:rsidRPr="001E5300">
        <w:rPr>
          <w:lang w:val="en-CA"/>
        </w:rPr>
        <w:t>can rest on the absence of proof</w:t>
      </w:r>
      <w:r w:rsidR="00276A1F" w:rsidRPr="000E73A2">
        <w:rPr>
          <w:lang w:val="en-CA"/>
        </w:rPr>
        <w:t>.</w:t>
      </w:r>
    </w:p>
    <w:p w14:paraId="0F7284BF" w14:textId="54D3EA08" w:rsidR="00276A1F" w:rsidRPr="000E73A2" w:rsidRDefault="001E5300" w:rsidP="00B21BF4">
      <w:pPr>
        <w:pStyle w:val="Paragraphe"/>
        <w:spacing w:before="180" w:after="180" w:line="280" w:lineRule="exact"/>
        <w:rPr>
          <w:lang w:val="en-CA"/>
        </w:rPr>
      </w:pPr>
      <w:r w:rsidRPr="001E5300">
        <w:rPr>
          <w:lang w:val="en-CA"/>
        </w:rPr>
        <w:t xml:space="preserve">That said, how </w:t>
      </w:r>
      <w:r w:rsidR="009F18C5">
        <w:rPr>
          <w:lang w:val="en-CA"/>
        </w:rPr>
        <w:t>are</w:t>
      </w:r>
      <w:r w:rsidRPr="001E5300">
        <w:rPr>
          <w:lang w:val="en-CA"/>
        </w:rPr>
        <w:t xml:space="preserve"> we</w:t>
      </w:r>
      <w:r w:rsidR="009F18C5">
        <w:rPr>
          <w:lang w:val="en-CA"/>
        </w:rPr>
        <w:t xml:space="preserve"> to</w:t>
      </w:r>
      <w:r w:rsidRPr="001E5300">
        <w:rPr>
          <w:lang w:val="en-CA"/>
        </w:rPr>
        <w:t xml:space="preserve"> interpret the passage I have </w:t>
      </w:r>
      <w:r>
        <w:rPr>
          <w:lang w:val="en-CA"/>
        </w:rPr>
        <w:t>underlin</w:t>
      </w:r>
      <w:r w:rsidRPr="001E5300">
        <w:rPr>
          <w:lang w:val="en-CA"/>
        </w:rPr>
        <w:t>ed in Lame</w:t>
      </w:r>
      <w:r>
        <w:rPr>
          <w:lang w:val="en-CA"/>
        </w:rPr>
        <w:t>r J.</w:t>
      </w:r>
      <w:r w:rsidRPr="001E5300">
        <w:rPr>
          <w:lang w:val="en-CA"/>
        </w:rPr>
        <w:t>'s opinion</w:t>
      </w:r>
      <w:r>
        <w:rPr>
          <w:lang w:val="en-CA"/>
        </w:rPr>
        <w:t>?</w:t>
      </w:r>
    </w:p>
    <w:p w14:paraId="375B3ACD" w14:textId="2433E3C5" w:rsidR="00276A1F" w:rsidRPr="000E73A2" w:rsidRDefault="009042B2" w:rsidP="00187BA6">
      <w:pPr>
        <w:pStyle w:val="Citationenretrait"/>
        <w:rPr>
          <w:lang w:val="en-CA"/>
        </w:rPr>
      </w:pPr>
      <w:r w:rsidRPr="009042B2">
        <w:rPr>
          <w:lang w:val="en-CA"/>
        </w:rPr>
        <w:t xml:space="preserve">Therefore, it is with the greatest of deference for the contrary view that I cannot find in </w:t>
      </w:r>
      <w:proofErr w:type="spellStart"/>
      <w:r w:rsidRPr="009042B2">
        <w:rPr>
          <w:i/>
          <w:iCs/>
          <w:lang w:val="en-CA"/>
        </w:rPr>
        <w:t>Belyea</w:t>
      </w:r>
      <w:proofErr w:type="spellEnd"/>
      <w:r w:rsidRPr="009042B2">
        <w:rPr>
          <w:lang w:val="en-CA"/>
        </w:rPr>
        <w:t xml:space="preserve">, as </w:t>
      </w:r>
      <w:proofErr w:type="spellStart"/>
      <w:r w:rsidRPr="009042B2">
        <w:rPr>
          <w:lang w:val="en-CA"/>
        </w:rPr>
        <w:t>Martland</w:t>
      </w:r>
      <w:proofErr w:type="spellEnd"/>
      <w:r w:rsidRPr="009042B2">
        <w:rPr>
          <w:lang w:val="en-CA"/>
        </w:rPr>
        <w:t xml:space="preserve"> J. did, support for the basis upon which he decided the </w:t>
      </w:r>
      <w:r w:rsidRPr="009042B2">
        <w:rPr>
          <w:i/>
          <w:iCs/>
          <w:lang w:val="en-CA"/>
        </w:rPr>
        <w:t>Lemire</w:t>
      </w:r>
      <w:r w:rsidRPr="009042B2">
        <w:rPr>
          <w:lang w:val="en-CA"/>
        </w:rPr>
        <w:t xml:space="preserve"> and the </w:t>
      </w:r>
      <w:r w:rsidRPr="009042B2">
        <w:rPr>
          <w:i/>
          <w:iCs/>
          <w:lang w:val="en-CA"/>
        </w:rPr>
        <w:t>Wild</w:t>
      </w:r>
      <w:r w:rsidRPr="009042B2">
        <w:rPr>
          <w:lang w:val="en-CA"/>
        </w:rPr>
        <w:t xml:space="preserve"> appeals. </w:t>
      </w:r>
      <w:r w:rsidRPr="009F18C5">
        <w:rPr>
          <w:u w:val="single"/>
          <w:lang w:val="en-CA"/>
        </w:rPr>
        <w:t xml:space="preserve">I do agree with him, however, that a finding of fact that is made </w:t>
      </w:r>
      <w:bookmarkStart w:id="30" w:name="_Hlk202429952"/>
      <w:r w:rsidRPr="009F18C5">
        <w:rPr>
          <w:u w:val="single"/>
          <w:lang w:val="en-CA"/>
        </w:rPr>
        <w:t xml:space="preserve">in the absence of any supportive evidence </w:t>
      </w:r>
      <w:bookmarkEnd w:id="30"/>
      <w:r w:rsidRPr="009F18C5">
        <w:rPr>
          <w:u w:val="single"/>
          <w:lang w:val="en-CA"/>
        </w:rPr>
        <w:t>is an error of law</w:t>
      </w:r>
      <w:r w:rsidRPr="009042B2">
        <w:rPr>
          <w:u w:val="single"/>
          <w:lang w:val="en-CA"/>
        </w:rPr>
        <w:t>. I must say, however, that that will happen as regards an acquittal only if there has been a transfer to the accused by law of the burden of proof of a given fact</w:t>
      </w:r>
      <w:r w:rsidR="00276A1F" w:rsidRPr="009042B2">
        <w:rPr>
          <w:u w:val="single"/>
          <w:lang w:val="en-CA"/>
        </w:rPr>
        <w:t>.</w:t>
      </w:r>
      <w:r w:rsidR="00276A1F" w:rsidRPr="000E73A2">
        <w:rPr>
          <w:rStyle w:val="Appelnotedebasdep"/>
          <w:lang w:val="en-CA"/>
        </w:rPr>
        <w:footnoteReference w:id="55"/>
      </w:r>
    </w:p>
    <w:p w14:paraId="41EB92C7" w14:textId="30AC1658" w:rsidR="00276A1F" w:rsidRPr="000E73A2" w:rsidRDefault="00276A1F" w:rsidP="00187BA6">
      <w:pPr>
        <w:pStyle w:val="Citationenretrait"/>
        <w:jc w:val="right"/>
        <w:rPr>
          <w:lang w:val="en-CA"/>
        </w:rPr>
      </w:pPr>
      <w:r w:rsidRPr="000E73A2">
        <w:rPr>
          <w:lang w:val="en-CA"/>
        </w:rPr>
        <w:t>[</w:t>
      </w:r>
      <w:r w:rsidR="001E5300">
        <w:rPr>
          <w:lang w:val="en-CA"/>
        </w:rPr>
        <w:t>Underlining added</w:t>
      </w:r>
      <w:r w:rsidRPr="000E73A2">
        <w:rPr>
          <w:lang w:val="en-CA"/>
        </w:rPr>
        <w:t>]</w:t>
      </w:r>
    </w:p>
    <w:p w14:paraId="056AC100" w14:textId="7DD16F4E" w:rsidR="00276A1F" w:rsidRPr="000E73A2" w:rsidRDefault="001E5300" w:rsidP="0010371B">
      <w:pPr>
        <w:pStyle w:val="Paragraphe"/>
        <w:spacing w:before="180" w:after="180" w:line="280" w:lineRule="exact"/>
        <w:rPr>
          <w:lang w:val="en-CA"/>
        </w:rPr>
      </w:pPr>
      <w:r w:rsidRPr="001E5300">
        <w:rPr>
          <w:lang w:val="en-CA"/>
        </w:rPr>
        <w:lastRenderedPageBreak/>
        <w:t xml:space="preserve">In my opinion, </w:t>
      </w:r>
      <w:r w:rsidRPr="001E5300">
        <w:rPr>
          <w:i/>
          <w:iCs/>
          <w:lang w:val="en-CA"/>
        </w:rPr>
        <w:t>B.(G.)</w:t>
      </w:r>
      <w:r w:rsidRPr="001E5300">
        <w:rPr>
          <w:lang w:val="en-CA"/>
        </w:rPr>
        <w:t xml:space="preserve"> and </w:t>
      </w:r>
      <w:r w:rsidRPr="001E5300">
        <w:rPr>
          <w:i/>
          <w:iCs/>
          <w:lang w:val="en-CA"/>
        </w:rPr>
        <w:t>J.M.H.</w:t>
      </w:r>
      <w:r w:rsidRPr="001E5300">
        <w:rPr>
          <w:lang w:val="en-CA"/>
        </w:rPr>
        <w:t xml:space="preserve"> provide guidance on the interpretation that should be adopted. In </w:t>
      </w:r>
      <w:r w:rsidRPr="001E5300">
        <w:rPr>
          <w:i/>
          <w:iCs/>
          <w:lang w:val="en-CA"/>
        </w:rPr>
        <w:t>B.(G.)</w:t>
      </w:r>
      <w:r>
        <w:rPr>
          <w:lang w:val="en-CA"/>
        </w:rPr>
        <w:t xml:space="preserve">, </w:t>
      </w:r>
      <w:r w:rsidRPr="001E5300">
        <w:rPr>
          <w:lang w:val="en-CA"/>
        </w:rPr>
        <w:t xml:space="preserve">Wilson </w:t>
      </w:r>
      <w:r>
        <w:rPr>
          <w:lang w:val="en-CA"/>
        </w:rPr>
        <w:t xml:space="preserve">J. </w:t>
      </w:r>
      <w:r w:rsidRPr="001E5300">
        <w:rPr>
          <w:lang w:val="en-CA"/>
        </w:rPr>
        <w:t>wrote</w:t>
      </w:r>
      <w:r w:rsidR="00276A1F" w:rsidRPr="000E73A2">
        <w:rPr>
          <w:lang w:val="en-CA"/>
        </w:rPr>
        <w:t>:</w:t>
      </w:r>
    </w:p>
    <w:p w14:paraId="6B7AD545" w14:textId="4216A3D0" w:rsidR="00276A1F" w:rsidRPr="000E73A2" w:rsidRDefault="00FD21FF" w:rsidP="00187BA6">
      <w:pPr>
        <w:pStyle w:val="Citationenretrait"/>
        <w:rPr>
          <w:rFonts w:cs="Arial"/>
          <w:lang w:val="en-CA" w:eastAsia="fr-CA"/>
        </w:rPr>
      </w:pPr>
      <w:r w:rsidRPr="00FD21FF">
        <w:rPr>
          <w:rFonts w:cs="Arial"/>
          <w:lang w:val="en-CA" w:eastAsia="fr-CA"/>
        </w:rPr>
        <w:t xml:space="preserve">Lamer J. concluded that </w:t>
      </w:r>
      <w:r w:rsidRPr="00FD21FF">
        <w:rPr>
          <w:rFonts w:cs="Arial"/>
          <w:i/>
          <w:iCs/>
          <w:lang w:val="en-CA" w:eastAsia="fr-CA"/>
        </w:rPr>
        <w:t>Wild</w:t>
      </w:r>
      <w:r w:rsidRPr="00FD21FF">
        <w:rPr>
          <w:rFonts w:cs="Arial"/>
          <w:lang w:val="en-CA" w:eastAsia="fr-CA"/>
        </w:rPr>
        <w:t xml:space="preserve"> had been correctly decided because the trial judge had speculated on the possibility that one of the other occupants might have been the driver of the car thus coming to a conjectural conclusion which he considered might be inconsistent with guilt.  Lamer J. confirmed that this would indeed constitute an error of law.  </w:t>
      </w:r>
      <w:r w:rsidRPr="00FD21FF">
        <w:rPr>
          <w:rFonts w:cs="Arial"/>
          <w:u w:val="single"/>
          <w:lang w:val="en-CA" w:eastAsia="fr-CA"/>
        </w:rPr>
        <w:t xml:space="preserve">He further held, however, that while he agreed with </w:t>
      </w:r>
      <w:proofErr w:type="spellStart"/>
      <w:r w:rsidRPr="00FD21FF">
        <w:rPr>
          <w:rFonts w:cs="Arial"/>
          <w:u w:val="single"/>
          <w:lang w:val="en-CA" w:eastAsia="fr-CA"/>
        </w:rPr>
        <w:t>Martland</w:t>
      </w:r>
      <w:proofErr w:type="spellEnd"/>
      <w:r w:rsidRPr="00FD21FF">
        <w:rPr>
          <w:rFonts w:cs="Arial"/>
          <w:u w:val="single"/>
          <w:lang w:val="en-CA" w:eastAsia="fr-CA"/>
        </w:rPr>
        <w:t xml:space="preserve"> J. that a finding of fact made in the absence of any supportive evidence is an error of law, this will only happen in the case of an acquittal on the basis of a reasonable doubt if there has been a transfer to the accused by law of the burden of proof of a given fact</w:t>
      </w:r>
      <w:r w:rsidRPr="00FD21FF">
        <w:rPr>
          <w:rFonts w:cs="Arial"/>
          <w:lang w:val="en-CA" w:eastAsia="fr-CA"/>
        </w:rPr>
        <w:t xml:space="preserve">.  Lamer J. added that the majority decision in </w:t>
      </w:r>
      <w:r w:rsidRPr="00FD21FF">
        <w:rPr>
          <w:rFonts w:cs="Arial"/>
          <w:i/>
          <w:iCs/>
          <w:lang w:val="en-CA" w:eastAsia="fr-CA"/>
        </w:rPr>
        <w:t>Wild</w:t>
      </w:r>
      <w:r w:rsidRPr="00FD21FF">
        <w:rPr>
          <w:rFonts w:cs="Arial"/>
          <w:lang w:val="en-CA" w:eastAsia="fr-CA"/>
        </w:rPr>
        <w:t xml:space="preserve"> should not be taken as detracting from this statement of the law</w:t>
      </w:r>
      <w:r w:rsidR="00276A1F" w:rsidRPr="000E73A2">
        <w:rPr>
          <w:rFonts w:cs="Arial"/>
          <w:lang w:val="en-CA" w:eastAsia="fr-CA"/>
        </w:rPr>
        <w:t>.</w:t>
      </w:r>
    </w:p>
    <w:p w14:paraId="6254A1B7" w14:textId="0A301450" w:rsidR="00276A1F" w:rsidRPr="000E73A2" w:rsidRDefault="003F6FDB" w:rsidP="00187BA6">
      <w:pPr>
        <w:pStyle w:val="Citationenretrait"/>
        <w:rPr>
          <w:rFonts w:cs="Arial"/>
          <w:lang w:val="en-CA" w:eastAsia="fr-CA"/>
        </w:rPr>
      </w:pPr>
      <w:r w:rsidRPr="003F6FDB">
        <w:rPr>
          <w:rFonts w:cs="Arial"/>
          <w:lang w:val="en-CA" w:eastAsia="fr-CA"/>
        </w:rPr>
        <w:t xml:space="preserve">In </w:t>
      </w:r>
      <w:r w:rsidRPr="00950DF2">
        <w:rPr>
          <w:rFonts w:cs="Arial"/>
          <w:i/>
          <w:iCs/>
          <w:lang w:val="en-CA" w:eastAsia="fr-CA"/>
        </w:rPr>
        <w:t>Schuldt</w:t>
      </w:r>
      <w:r w:rsidRPr="003F6FDB">
        <w:rPr>
          <w:rFonts w:cs="Arial"/>
          <w:lang w:val="en-CA" w:eastAsia="fr-CA"/>
        </w:rPr>
        <w:t xml:space="preserve"> the accused was charged with having attempted to break and enter a gun shop with the intent to commit an indictable offence.  The accused had been acquitted at trial as the trial judge found that there was no proof that the accused had the requisite intention.  </w:t>
      </w:r>
      <w:r w:rsidRPr="003F6FDB">
        <w:rPr>
          <w:rFonts w:cs="Arial"/>
          <w:u w:val="single"/>
          <w:lang w:val="en-CA" w:eastAsia="fr-CA"/>
        </w:rPr>
        <w:t>The acquittal was set aside by the majority of the Manitoba Court of Appeal on the basis that the trial judge's finding of fact was not reasonable but fanciful and quite out of touch with the reality of the case.  The Court of Appeal therefore found that there was no factual basis upon which to have a reasonable doubt and that this constituted an error of law</w:t>
      </w:r>
      <w:r w:rsidRPr="003F6FDB">
        <w:rPr>
          <w:rFonts w:cs="Arial"/>
          <w:lang w:val="en-CA" w:eastAsia="fr-CA"/>
        </w:rPr>
        <w:t xml:space="preserve">.  Relying on </w:t>
      </w:r>
      <w:r w:rsidRPr="003F6FDB">
        <w:rPr>
          <w:rFonts w:cs="Arial"/>
          <w:i/>
          <w:iCs/>
          <w:lang w:val="en-CA" w:eastAsia="fr-CA"/>
        </w:rPr>
        <w:t>Sunbeam</w:t>
      </w:r>
      <w:r w:rsidRPr="003F6FDB">
        <w:rPr>
          <w:rFonts w:cs="Arial"/>
          <w:lang w:val="en-CA" w:eastAsia="fr-CA"/>
        </w:rPr>
        <w:t xml:space="preserve"> and </w:t>
      </w:r>
      <w:r w:rsidRPr="003F6FDB">
        <w:rPr>
          <w:rFonts w:cs="Arial"/>
          <w:i/>
          <w:iCs/>
          <w:lang w:val="en-CA" w:eastAsia="fr-CA"/>
        </w:rPr>
        <w:t>Lampard</w:t>
      </w:r>
      <w:r w:rsidRPr="003F6FDB">
        <w:rPr>
          <w:rFonts w:cs="Arial"/>
          <w:lang w:val="en-CA" w:eastAsia="fr-CA"/>
        </w:rPr>
        <w:t xml:space="preserve"> Lamer J. concluded that the Court of Appeal had exceeded its jurisdiction.  He explained why at p. 610:</w:t>
      </w:r>
    </w:p>
    <w:p w14:paraId="63CCC7D0" w14:textId="22518BF4" w:rsidR="00276A1F" w:rsidRPr="000E73A2" w:rsidRDefault="003F6FDB" w:rsidP="00187BA6">
      <w:pPr>
        <w:pStyle w:val="Citationenretrait"/>
        <w:ind w:left="1440"/>
        <w:rPr>
          <w:rFonts w:cs="Arial"/>
          <w:lang w:val="en-CA" w:eastAsia="fr-CA"/>
        </w:rPr>
      </w:pPr>
      <w:r w:rsidRPr="003F6FDB">
        <w:rPr>
          <w:rFonts w:cs="Arial"/>
          <w:lang w:val="en-CA" w:eastAsia="fr-CA"/>
        </w:rPr>
        <w:t>In other words, absent a shifting of the burden of proof upon the accused there is always some evidence upon which to make a finding of fact favourable to the accused, and such a finding, if in error, is an error of fact.  But when the burden of proof has been shifted (as is the case for proof of intent when a person is found in a place which he or she has broken into), it can be said, absent any evidence to the contrary, that there is no evidence upon which a reasonable doubt could exist as regards the intent of the accused, and an appeal against the ensuing acquittal raises a question of law alone</w:t>
      </w:r>
      <w:r w:rsidR="00276A1F" w:rsidRPr="000E73A2">
        <w:rPr>
          <w:rFonts w:cs="Arial"/>
          <w:lang w:val="en-CA" w:eastAsia="fr-CA"/>
        </w:rPr>
        <w:t>.</w:t>
      </w:r>
    </w:p>
    <w:p w14:paraId="421A6AB4" w14:textId="11AE1D8E" w:rsidR="00276A1F" w:rsidRPr="000E73A2" w:rsidRDefault="00B749CA" w:rsidP="00F23AF1">
      <w:pPr>
        <w:pStyle w:val="Citationenretrait"/>
        <w:keepNext/>
        <w:rPr>
          <w:rFonts w:cs="Arial"/>
          <w:lang w:val="en-CA" w:eastAsia="fr-CA"/>
        </w:rPr>
      </w:pPr>
      <w:r w:rsidRPr="00B749CA">
        <w:rPr>
          <w:rFonts w:cs="Arial"/>
          <w:u w:val="single"/>
          <w:lang w:val="en-CA" w:eastAsia="fr-CA"/>
        </w:rPr>
        <w:t>In light of these authorities it was, in my view, clearly not open to the Court of Appeal to overturn the acquittal because it found it to be unreasonable or unsupported by the evidence.  On an appeal from an acquittal as opposed to an appeal from a conviction an appellate tribunal exceeds its jurisdiction if it attempts to reassess the facts in order to determine whether the trial judge's findings were reasonable</w:t>
      </w:r>
      <w:r w:rsidRPr="00B749CA">
        <w:rPr>
          <w:rFonts w:cs="Arial"/>
          <w:lang w:val="en-CA" w:eastAsia="fr-CA"/>
        </w:rPr>
        <w:t xml:space="preserve">.  However, even if </w:t>
      </w:r>
      <w:r w:rsidRPr="00B749CA">
        <w:rPr>
          <w:rFonts w:cs="Arial"/>
          <w:i/>
          <w:iCs/>
          <w:lang w:val="en-CA" w:eastAsia="fr-CA"/>
        </w:rPr>
        <w:t>Schuldt</w:t>
      </w:r>
      <w:r w:rsidRPr="00B749CA">
        <w:rPr>
          <w:rFonts w:cs="Arial"/>
          <w:lang w:val="en-CA" w:eastAsia="fr-CA"/>
        </w:rPr>
        <w:t xml:space="preserve"> had the effect of narrowing the scope of a question of law for purposes of an appeal from an acquittal pursuant to s. 605(1)(a), as was suggested by the British Columbia Court of Appeal in </w:t>
      </w:r>
      <w:r w:rsidRPr="00B749CA">
        <w:rPr>
          <w:rFonts w:cs="Arial"/>
          <w:i/>
          <w:iCs/>
          <w:lang w:val="en-CA" w:eastAsia="fr-CA"/>
        </w:rPr>
        <w:t>R. v. Dixon</w:t>
      </w:r>
      <w:r w:rsidRPr="00B749CA">
        <w:rPr>
          <w:rFonts w:cs="Arial"/>
          <w:lang w:val="en-CA" w:eastAsia="fr-CA"/>
        </w:rPr>
        <w:t xml:space="preserve"> (1988), </w:t>
      </w:r>
      <w:r w:rsidRPr="00B749CA">
        <w:rPr>
          <w:rFonts w:cs="Arial"/>
          <w:lang w:val="en-CA" w:eastAsia="fr-CA"/>
        </w:rPr>
        <w:lastRenderedPageBreak/>
        <w:t>26 B.C.L.R. (2d) 251, it only did so for cases in which the issue before the court is when, if ever, a finding of fact becomes a question of law</w:t>
      </w:r>
      <w:r w:rsidR="00276A1F" w:rsidRPr="000E73A2">
        <w:rPr>
          <w:rFonts w:cs="Arial"/>
          <w:lang w:val="en-CA" w:eastAsia="fr-CA"/>
        </w:rPr>
        <w:t>.</w:t>
      </w:r>
      <w:r w:rsidR="00276A1F" w:rsidRPr="000E73A2">
        <w:rPr>
          <w:rStyle w:val="Appelnotedebasdep"/>
          <w:rFonts w:cs="Arial"/>
          <w:lang w:val="en-CA" w:eastAsia="fr-CA"/>
        </w:rPr>
        <w:footnoteReference w:id="56"/>
      </w:r>
    </w:p>
    <w:p w14:paraId="0A7C43B3" w14:textId="3146AFB1" w:rsidR="00276A1F" w:rsidRPr="000E73A2" w:rsidRDefault="00276A1F" w:rsidP="00F23AF1">
      <w:pPr>
        <w:pStyle w:val="Citationenretrait"/>
        <w:keepNext/>
        <w:jc w:val="right"/>
        <w:rPr>
          <w:rFonts w:cs="Arial"/>
          <w:lang w:val="en-CA" w:eastAsia="fr-CA"/>
        </w:rPr>
      </w:pPr>
      <w:r w:rsidRPr="000E73A2">
        <w:rPr>
          <w:rFonts w:cs="Arial"/>
          <w:lang w:val="en-CA" w:eastAsia="fr-CA"/>
        </w:rPr>
        <w:t>[</w:t>
      </w:r>
      <w:r w:rsidR="00950DF2">
        <w:rPr>
          <w:rFonts w:cs="Arial"/>
          <w:lang w:val="en-CA" w:eastAsia="fr-CA"/>
        </w:rPr>
        <w:t>Underlining added</w:t>
      </w:r>
      <w:r w:rsidRPr="000E73A2">
        <w:rPr>
          <w:rFonts w:cs="Arial"/>
          <w:lang w:val="en-CA" w:eastAsia="fr-CA"/>
        </w:rPr>
        <w:t>]</w:t>
      </w:r>
    </w:p>
    <w:p w14:paraId="5C3DE85E" w14:textId="759BE7ED" w:rsidR="00276A1F" w:rsidRPr="000E73A2" w:rsidRDefault="00950DF2" w:rsidP="0010371B">
      <w:pPr>
        <w:pStyle w:val="Paragraphe"/>
        <w:spacing w:before="180" w:after="180" w:line="280" w:lineRule="exact"/>
        <w:rPr>
          <w:lang w:val="en-CA"/>
        </w:rPr>
      </w:pPr>
      <w:r w:rsidRPr="00950DF2">
        <w:rPr>
          <w:lang w:val="en-CA"/>
        </w:rPr>
        <w:t xml:space="preserve">The principle </w:t>
      </w:r>
      <w:r>
        <w:rPr>
          <w:lang w:val="en-CA"/>
        </w:rPr>
        <w:t>articu</w:t>
      </w:r>
      <w:r w:rsidRPr="00950DF2">
        <w:rPr>
          <w:lang w:val="en-CA"/>
        </w:rPr>
        <w:t xml:space="preserve">lated by Lamer J. in </w:t>
      </w:r>
      <w:r w:rsidRPr="00950DF2">
        <w:rPr>
          <w:i/>
          <w:iCs/>
          <w:lang w:val="en-CA"/>
        </w:rPr>
        <w:t>Schuldt</w:t>
      </w:r>
      <w:r w:rsidRPr="00950DF2">
        <w:rPr>
          <w:lang w:val="en-CA"/>
        </w:rPr>
        <w:t xml:space="preserve"> provides that, in the case of </w:t>
      </w:r>
      <w:r>
        <w:rPr>
          <w:lang w:val="en-CA"/>
        </w:rPr>
        <w:t xml:space="preserve">a </w:t>
      </w:r>
      <w:r w:rsidRPr="00950DF2">
        <w:rPr>
          <w:lang w:val="en-CA"/>
        </w:rPr>
        <w:t>decision to acquit based on a reasonable doubt, a finding of fact that is not supported by any evidence will constitute an error of law only if the law has transferred to the accused the burden of proving a given fact. However, thi</w:t>
      </w:r>
      <w:r w:rsidR="009F18C5">
        <w:rPr>
          <w:lang w:val="en-CA"/>
        </w:rPr>
        <w:t xml:space="preserve">s </w:t>
      </w:r>
      <w:r w:rsidRPr="00950DF2">
        <w:rPr>
          <w:lang w:val="en-CA"/>
        </w:rPr>
        <w:t xml:space="preserve">does not call into question the general principle that a </w:t>
      </w:r>
      <w:r w:rsidR="003143A5" w:rsidRPr="003143A5">
        <w:rPr>
          <w:lang w:val="en-CA"/>
        </w:rPr>
        <w:t xml:space="preserve">finding of fact for which there is no supporting evidence </w:t>
      </w:r>
      <w:r w:rsidRPr="00950DF2">
        <w:rPr>
          <w:lang w:val="en-CA"/>
        </w:rPr>
        <w:t>constitutes an error of law</w:t>
      </w:r>
      <w:r w:rsidR="00276A1F" w:rsidRPr="000E73A2">
        <w:rPr>
          <w:lang w:val="en-CA"/>
        </w:rPr>
        <w:t>.</w:t>
      </w:r>
    </w:p>
    <w:p w14:paraId="4E083CC8" w14:textId="729C443B" w:rsidR="00276A1F" w:rsidRPr="000E73A2" w:rsidRDefault="003143A5" w:rsidP="0010371B">
      <w:pPr>
        <w:pStyle w:val="Paragraphe"/>
        <w:spacing w:before="180" w:after="180" w:line="280" w:lineRule="exact"/>
        <w:rPr>
          <w:lang w:val="en-CA"/>
        </w:rPr>
      </w:pPr>
      <w:r w:rsidRPr="003143A5">
        <w:rPr>
          <w:lang w:val="en-CA"/>
        </w:rPr>
        <w:t>In other words, the absence of evidence cannot be invoked as an error of law to challenge an acquittal based on reasonable doubt. Indeed, the absence of evidence can always justify reasonable doubt</w:t>
      </w:r>
      <w:r>
        <w:rPr>
          <w:lang w:val="en-CA"/>
        </w:rPr>
        <w:t>.</w:t>
      </w:r>
      <w:r w:rsidR="00276A1F" w:rsidRPr="000E73A2">
        <w:rPr>
          <w:rStyle w:val="Appelnotedebasdep"/>
          <w:lang w:val="en-CA"/>
        </w:rPr>
        <w:footnoteReference w:id="57"/>
      </w:r>
      <w:r w:rsidR="00276A1F" w:rsidRPr="000E73A2">
        <w:rPr>
          <w:lang w:val="en-CA"/>
        </w:rPr>
        <w:t xml:space="preserve"> </w:t>
      </w:r>
      <w:r w:rsidRPr="003143A5">
        <w:rPr>
          <w:lang w:val="en-CA"/>
        </w:rPr>
        <w:t>However, the absence of evidence may be an error of law in cases where there is a reversal of the burden of proof, requiring the accused to prove a fact, and the accused fails to establish that fact</w:t>
      </w:r>
      <w:r>
        <w:rPr>
          <w:lang w:val="en-CA"/>
        </w:rPr>
        <w:t>.</w:t>
      </w:r>
      <w:r w:rsidR="00276A1F" w:rsidRPr="000E73A2">
        <w:rPr>
          <w:rStyle w:val="Appelnotedebasdep"/>
          <w:lang w:val="en-CA"/>
        </w:rPr>
        <w:footnoteReference w:id="58"/>
      </w:r>
    </w:p>
    <w:p w14:paraId="2D10AE4E" w14:textId="75AAA314" w:rsidR="00276A1F" w:rsidRPr="000E73A2" w:rsidRDefault="003143A5" w:rsidP="0010371B">
      <w:pPr>
        <w:pStyle w:val="Paragraphe"/>
        <w:spacing w:before="180" w:after="180" w:line="280" w:lineRule="exact"/>
        <w:rPr>
          <w:lang w:val="en-CA"/>
        </w:rPr>
      </w:pPr>
      <w:r w:rsidRPr="003143A5">
        <w:rPr>
          <w:lang w:val="en-CA"/>
        </w:rPr>
        <w:t xml:space="preserve">The absence of evidence that explains reasonable doubt is therefore a circumstance that differs from one in which the accused has the burden of establishing certain facts. In the first case, the absence of evidence does not constitute an error of law, but it obviously does in the second. The general principle set out in </w:t>
      </w:r>
      <w:r w:rsidRPr="003143A5">
        <w:rPr>
          <w:i/>
          <w:iCs/>
          <w:lang w:val="en-CA"/>
        </w:rPr>
        <w:t>J.M.H.</w:t>
      </w:r>
      <w:r w:rsidRPr="003143A5">
        <w:rPr>
          <w:lang w:val="en-CA"/>
        </w:rPr>
        <w:t xml:space="preserve"> remains intact: a finding of fact that is not supported by any evidence constitutes an error of law. This is the issue that arises in the present appeal</w:t>
      </w:r>
      <w:r w:rsidR="00276A1F" w:rsidRPr="000E73A2">
        <w:rPr>
          <w:lang w:val="en-CA"/>
        </w:rPr>
        <w:t>.</w:t>
      </w:r>
    </w:p>
    <w:p w14:paraId="73FBC485" w14:textId="47629375" w:rsidR="00276A1F" w:rsidRPr="000E73A2" w:rsidRDefault="00525311" w:rsidP="0010371B">
      <w:pPr>
        <w:pStyle w:val="Paragraphe"/>
        <w:spacing w:before="180" w:after="180" w:line="280" w:lineRule="exact"/>
        <w:rPr>
          <w:lang w:val="en-CA"/>
        </w:rPr>
      </w:pPr>
      <w:r w:rsidRPr="00525311">
        <w:rPr>
          <w:lang w:val="en-CA"/>
        </w:rPr>
        <w:t>On the other hand, there are other passages in</w:t>
      </w:r>
      <w:r>
        <w:rPr>
          <w:lang w:val="en-CA"/>
        </w:rPr>
        <w:t xml:space="preserve"> </w:t>
      </w:r>
      <w:r w:rsidRPr="00525311">
        <w:rPr>
          <w:i/>
          <w:iCs/>
          <w:lang w:val="en-CA"/>
        </w:rPr>
        <w:t>J.M.H.</w:t>
      </w:r>
      <w:r w:rsidRPr="00525311">
        <w:rPr>
          <w:lang w:val="en-CA"/>
        </w:rPr>
        <w:t xml:space="preserve"> that help to clarify the scope of </w:t>
      </w:r>
      <w:r w:rsidRPr="00525311">
        <w:rPr>
          <w:i/>
          <w:iCs/>
          <w:lang w:val="en-CA"/>
        </w:rPr>
        <w:t>Schuldt</w:t>
      </w:r>
      <w:r w:rsidRPr="00525311">
        <w:rPr>
          <w:lang w:val="en-CA"/>
        </w:rPr>
        <w:t xml:space="preserve"> and reject the </w:t>
      </w:r>
      <w:r w:rsidR="00AD1028">
        <w:rPr>
          <w:lang w:val="en-CA"/>
        </w:rPr>
        <w:t>idea</w:t>
      </w:r>
      <w:r w:rsidRPr="00525311">
        <w:rPr>
          <w:lang w:val="en-CA"/>
        </w:rPr>
        <w:t xml:space="preserve"> that the trial judge's assessment of the evidence can constitute an error of law for the purposes of permitting a</w:t>
      </w:r>
      <w:r>
        <w:rPr>
          <w:lang w:val="en-CA"/>
        </w:rPr>
        <w:t>n</w:t>
      </w:r>
      <w:r w:rsidRPr="00525311">
        <w:rPr>
          <w:lang w:val="en-CA"/>
        </w:rPr>
        <w:t xml:space="preserve"> appeal</w:t>
      </w:r>
      <w:r>
        <w:rPr>
          <w:lang w:val="en-CA"/>
        </w:rPr>
        <w:t xml:space="preserve"> by the prosecution </w:t>
      </w:r>
      <w:r w:rsidRPr="00525311">
        <w:rPr>
          <w:lang w:val="en-CA"/>
        </w:rPr>
        <w:t>only in cases where there has been a shift</w:t>
      </w:r>
      <w:r>
        <w:rPr>
          <w:lang w:val="en-CA"/>
        </w:rPr>
        <w:t>ing</w:t>
      </w:r>
      <w:r w:rsidRPr="00525311">
        <w:rPr>
          <w:lang w:val="en-CA"/>
        </w:rPr>
        <w:t xml:space="preserve"> in the burden of proof to the accused</w:t>
      </w:r>
      <w:r w:rsidR="00276A1F" w:rsidRPr="000E73A2">
        <w:rPr>
          <w:lang w:val="en-CA"/>
        </w:rPr>
        <w:t xml:space="preserve">. </w:t>
      </w:r>
    </w:p>
    <w:p w14:paraId="1CAF0885" w14:textId="222FE629" w:rsidR="00276A1F" w:rsidRPr="000E73A2" w:rsidRDefault="00276A1F" w:rsidP="0010371B">
      <w:pPr>
        <w:pStyle w:val="Paragraphe"/>
        <w:spacing w:before="180" w:after="180" w:line="280" w:lineRule="exact"/>
        <w:rPr>
          <w:lang w:val="en-CA"/>
        </w:rPr>
      </w:pPr>
      <w:r w:rsidRPr="000E73A2">
        <w:rPr>
          <w:lang w:val="en-CA"/>
        </w:rPr>
        <w:t>Cromwell</w:t>
      </w:r>
      <w:r w:rsidR="00525311">
        <w:rPr>
          <w:lang w:val="en-CA"/>
        </w:rPr>
        <w:t xml:space="preserve"> J.</w:t>
      </w:r>
      <w:r w:rsidRPr="000E73A2">
        <w:rPr>
          <w:lang w:val="en-CA"/>
        </w:rPr>
        <w:t xml:space="preserve"> </w:t>
      </w:r>
      <w:r w:rsidR="00950355">
        <w:rPr>
          <w:lang w:val="en-CA"/>
        </w:rPr>
        <w:t xml:space="preserve">squarely </w:t>
      </w:r>
      <w:r w:rsidR="00525311">
        <w:rPr>
          <w:lang w:val="en-CA"/>
        </w:rPr>
        <w:t>addressed that argument in</w:t>
      </w:r>
      <w:r w:rsidRPr="000E73A2">
        <w:rPr>
          <w:lang w:val="en-CA"/>
        </w:rPr>
        <w:t xml:space="preserve"> </w:t>
      </w:r>
      <w:r w:rsidRPr="000E73A2">
        <w:rPr>
          <w:i/>
          <w:iCs/>
          <w:lang w:val="en-CA"/>
        </w:rPr>
        <w:t>J.M.H.</w:t>
      </w:r>
      <w:r w:rsidRPr="000E73A2">
        <w:rPr>
          <w:lang w:val="en-CA"/>
        </w:rPr>
        <w:t xml:space="preserve">: </w:t>
      </w:r>
    </w:p>
    <w:p w14:paraId="01E6A6DE" w14:textId="7ADD8547" w:rsidR="00276A1F" w:rsidRPr="000E73A2" w:rsidRDefault="00276A1F" w:rsidP="00187BA6">
      <w:pPr>
        <w:pStyle w:val="Citationenretrait"/>
        <w:rPr>
          <w:lang w:val="en-CA"/>
        </w:rPr>
      </w:pPr>
      <w:r w:rsidRPr="000E73A2">
        <w:rPr>
          <w:lang w:val="en-CA"/>
        </w:rPr>
        <w:t>[33]</w:t>
      </w:r>
      <w:r w:rsidRPr="000E73A2">
        <w:rPr>
          <w:lang w:val="en-CA"/>
        </w:rPr>
        <w:tab/>
      </w:r>
      <w:r w:rsidR="00584F09" w:rsidRPr="00584F09">
        <w:rPr>
          <w:lang w:val="en-CA"/>
        </w:rPr>
        <w:t xml:space="preserve">Having reviewed four types of cases in which an alleged mishandling of the evidence may constitute an error of law alone, I return to the appellant’s submissions. He argues that on a Crown appeal from an acquittal, where the error </w:t>
      </w:r>
      <w:r w:rsidR="00584F09" w:rsidRPr="00584F09">
        <w:rPr>
          <w:lang w:val="en-CA"/>
        </w:rPr>
        <w:lastRenderedPageBreak/>
        <w:t>of law is alleged to be a defect in the trial judge’s assessment of the evidence, a reviewable error arises only where four conditions are met:  (a) an error of law has been committed; (b) the misapprehension of the evidence is not properly characterized as either an unreasonable verdict or a miscarriage of justice;  (c) the Crown can show with a high degree of certainty that the error affected the verdict; and (d) there has been a shift in a legal burden to the accused. For reasons I will develop, I cannot accept this submission</w:t>
      </w:r>
      <w:r w:rsidRPr="000E73A2">
        <w:rPr>
          <w:lang w:val="en-CA"/>
        </w:rPr>
        <w:t>.</w:t>
      </w:r>
    </w:p>
    <w:p w14:paraId="089C503E" w14:textId="77777777" w:rsidR="00276A1F" w:rsidRPr="000E73A2" w:rsidRDefault="00276A1F" w:rsidP="00187BA6">
      <w:pPr>
        <w:pStyle w:val="Citationenretrait"/>
        <w:rPr>
          <w:lang w:val="en-CA"/>
        </w:rPr>
      </w:pPr>
      <w:r w:rsidRPr="000E73A2">
        <w:rPr>
          <w:lang w:val="en-CA"/>
        </w:rPr>
        <w:t>[…]</w:t>
      </w:r>
    </w:p>
    <w:p w14:paraId="6FBF19D6" w14:textId="331B7610" w:rsidR="00276A1F" w:rsidRPr="000E73A2" w:rsidRDefault="00276A1F" w:rsidP="00187BA6">
      <w:pPr>
        <w:pStyle w:val="Citationenretrait"/>
        <w:rPr>
          <w:rFonts w:ascii="Times New Roman" w:hAnsi="Times New Roman"/>
          <w:lang w:val="en-CA" w:eastAsia="fr-CA"/>
        </w:rPr>
      </w:pPr>
      <w:r w:rsidRPr="000E73A2">
        <w:rPr>
          <w:lang w:val="en-CA"/>
        </w:rPr>
        <w:t>[37]</w:t>
      </w:r>
      <w:r w:rsidRPr="000E73A2">
        <w:rPr>
          <w:lang w:val="en-CA"/>
        </w:rPr>
        <w:tab/>
      </w:r>
      <w:r w:rsidR="00584F09" w:rsidRPr="00584F09">
        <w:rPr>
          <w:lang w:val="en-CA"/>
        </w:rPr>
        <w:t xml:space="preserve">The appellant’s fourth point is that </w:t>
      </w:r>
      <w:r w:rsidR="00584F09" w:rsidRPr="00584F09">
        <w:rPr>
          <w:u w:val="single"/>
          <w:lang w:val="en-CA"/>
        </w:rPr>
        <w:t>a trial judge’s treatment of the evidence can never constitute an error of law for the purposes of permitting a Crown appeal unless there has been a shifting of the burden of proof</w:t>
      </w:r>
      <w:r w:rsidR="00584F09" w:rsidRPr="00584F09">
        <w:rPr>
          <w:lang w:val="en-CA"/>
        </w:rPr>
        <w:t xml:space="preserve">. He bases this position on a statement by Lamer J. in </w:t>
      </w:r>
      <w:r w:rsidR="00584F09" w:rsidRPr="00584F09">
        <w:rPr>
          <w:i/>
          <w:iCs/>
          <w:lang w:val="en-CA"/>
        </w:rPr>
        <w:t>Schuldt</w:t>
      </w:r>
      <w:r w:rsidR="00584F09" w:rsidRPr="00584F09">
        <w:rPr>
          <w:lang w:val="en-CA"/>
        </w:rPr>
        <w:t>, at p. 604:</w:t>
      </w:r>
    </w:p>
    <w:p w14:paraId="114F2A3C" w14:textId="6F2CF521" w:rsidR="00276A1F" w:rsidRPr="000E73A2" w:rsidRDefault="00276A1F" w:rsidP="00187BA6">
      <w:pPr>
        <w:pStyle w:val="Citationenretrait"/>
        <w:ind w:left="1440"/>
        <w:rPr>
          <w:sz w:val="20"/>
          <w:lang w:val="en-CA"/>
        </w:rPr>
      </w:pPr>
      <w:r w:rsidRPr="000E73A2">
        <w:rPr>
          <w:sz w:val="20"/>
          <w:lang w:val="en-CA"/>
        </w:rPr>
        <w:t>. . . </w:t>
      </w:r>
      <w:r w:rsidR="00584F09" w:rsidRPr="00584F09">
        <w:rPr>
          <w:sz w:val="20"/>
          <w:lang w:val="en-CA"/>
        </w:rPr>
        <w:t>a finding of fact that is made in the absence of any supportive evidence is an error of law. I must say, however, that that will happen as regards an acquittal only if there has been a transfer to the accused by law of the burden of proof of a given fact</w:t>
      </w:r>
      <w:r w:rsidRPr="000E73A2">
        <w:rPr>
          <w:sz w:val="20"/>
          <w:lang w:val="en-CA"/>
        </w:rPr>
        <w:t>.</w:t>
      </w:r>
    </w:p>
    <w:p w14:paraId="251401F6" w14:textId="1A2E2C30" w:rsidR="00276A1F" w:rsidRPr="000E73A2" w:rsidRDefault="00276A1F" w:rsidP="00187BA6">
      <w:pPr>
        <w:pStyle w:val="Citationenretrait"/>
        <w:rPr>
          <w:lang w:val="en-CA"/>
        </w:rPr>
      </w:pPr>
      <w:r w:rsidRPr="000E73A2">
        <w:rPr>
          <w:lang w:val="en-CA"/>
        </w:rPr>
        <w:t>[38]</w:t>
      </w:r>
      <w:r w:rsidRPr="000E73A2">
        <w:rPr>
          <w:sz w:val="14"/>
          <w:szCs w:val="14"/>
          <w:lang w:val="en-CA"/>
        </w:rPr>
        <w:tab/>
      </w:r>
      <w:r w:rsidR="00584F09" w:rsidRPr="00584F09">
        <w:rPr>
          <w:lang w:val="en-CA"/>
        </w:rPr>
        <w:t xml:space="preserve">The appellant contends that the Court’s decision in </w:t>
      </w:r>
      <w:r w:rsidR="00584F09" w:rsidRPr="00584F09">
        <w:rPr>
          <w:i/>
          <w:iCs/>
          <w:lang w:val="en-CA"/>
        </w:rPr>
        <w:t>Wild</w:t>
      </w:r>
      <w:r w:rsidR="00584F09" w:rsidRPr="00584F09">
        <w:rPr>
          <w:lang w:val="en-CA"/>
        </w:rPr>
        <w:t xml:space="preserve"> should now be considered to have been wrongly decided</w:t>
      </w:r>
      <w:r w:rsidRPr="000E73A2">
        <w:rPr>
          <w:lang w:val="en-CA"/>
        </w:rPr>
        <w:t>.</w:t>
      </w:r>
    </w:p>
    <w:p w14:paraId="0B9BFCC2" w14:textId="3FA6167D" w:rsidR="00276A1F" w:rsidRPr="000E73A2" w:rsidRDefault="00276A1F" w:rsidP="00187BA6">
      <w:pPr>
        <w:pStyle w:val="Citationenretrait"/>
        <w:rPr>
          <w:lang w:val="en-CA"/>
        </w:rPr>
      </w:pPr>
      <w:r w:rsidRPr="000E73A2">
        <w:rPr>
          <w:lang w:val="en-CA"/>
        </w:rPr>
        <w:t>[39]</w:t>
      </w:r>
      <w:r w:rsidRPr="000E73A2">
        <w:rPr>
          <w:lang w:val="en-CA"/>
        </w:rPr>
        <w:tab/>
      </w:r>
      <w:r w:rsidR="00584F09" w:rsidRPr="00584F09">
        <w:rPr>
          <w:lang w:val="en-CA"/>
        </w:rPr>
        <w:t xml:space="preserve">Respectfully, I do not accept either of these submissions. As I explained earlier, </w:t>
      </w:r>
      <w:r w:rsidR="00584F09" w:rsidRPr="00073B2C">
        <w:rPr>
          <w:u w:val="single"/>
          <w:lang w:val="en-CA"/>
        </w:rPr>
        <w:t xml:space="preserve">the principle set out in </w:t>
      </w:r>
      <w:r w:rsidR="00584F09" w:rsidRPr="00073B2C">
        <w:rPr>
          <w:i/>
          <w:iCs/>
          <w:u w:val="single"/>
          <w:lang w:val="en-CA"/>
        </w:rPr>
        <w:t>Schuldt</w:t>
      </w:r>
      <w:r w:rsidR="00584F09" w:rsidRPr="00073B2C">
        <w:rPr>
          <w:u w:val="single"/>
          <w:lang w:val="en-CA"/>
        </w:rPr>
        <w:t xml:space="preserve"> (and many other cases) is that a reasonable doubt does not need to be based on the evidence; it may arise from an absence of evidence or a simple failure of the evidence to persuade the trier of fact to the requisite level of beyond reasonable doubt</w:t>
      </w:r>
      <w:r w:rsidR="00584F09" w:rsidRPr="00584F09">
        <w:rPr>
          <w:lang w:val="en-CA"/>
        </w:rPr>
        <w:t xml:space="preserve">.  The Court has twice, in </w:t>
      </w:r>
      <w:r w:rsidR="00584F09" w:rsidRPr="00584F09">
        <w:rPr>
          <w:i/>
          <w:iCs/>
          <w:lang w:val="en-CA"/>
        </w:rPr>
        <w:t>Schuldt</w:t>
      </w:r>
      <w:r w:rsidR="00584F09" w:rsidRPr="00584F09">
        <w:rPr>
          <w:lang w:val="en-CA"/>
        </w:rPr>
        <w:t xml:space="preserve"> and </w:t>
      </w:r>
      <w:r w:rsidR="00584F09" w:rsidRPr="00584F09">
        <w:rPr>
          <w:i/>
          <w:iCs/>
          <w:lang w:val="en-CA"/>
        </w:rPr>
        <w:t>B. (G.)</w:t>
      </w:r>
      <w:r w:rsidR="00584F09" w:rsidRPr="00584F09">
        <w:rPr>
          <w:lang w:val="en-CA"/>
        </w:rPr>
        <w:t xml:space="preserve">, explained the proper basis of the decision in </w:t>
      </w:r>
      <w:r w:rsidR="00584F09" w:rsidRPr="00584F09">
        <w:rPr>
          <w:i/>
          <w:iCs/>
          <w:lang w:val="en-CA"/>
        </w:rPr>
        <w:t>Wild</w:t>
      </w:r>
      <w:r w:rsidR="00584F09" w:rsidRPr="00584F09">
        <w:rPr>
          <w:lang w:val="en-CA"/>
        </w:rPr>
        <w:t>. It is only where a reasonable doubt is tainted by a legal error that appellate intervention in an acquittal is permitted</w:t>
      </w:r>
      <w:r w:rsidRPr="000E73A2">
        <w:rPr>
          <w:lang w:val="en-CA"/>
        </w:rPr>
        <w:t>.</w:t>
      </w:r>
    </w:p>
    <w:p w14:paraId="7A3C4F67" w14:textId="1F2FB892" w:rsidR="00276A1F" w:rsidRPr="000E73A2" w:rsidRDefault="00276A1F" w:rsidP="00187BA6">
      <w:pPr>
        <w:pStyle w:val="Citationenretrait"/>
        <w:jc w:val="right"/>
        <w:rPr>
          <w:lang w:val="en-CA"/>
        </w:rPr>
      </w:pPr>
      <w:r w:rsidRPr="000E73A2">
        <w:rPr>
          <w:lang w:val="en-CA"/>
        </w:rPr>
        <w:t>[</w:t>
      </w:r>
      <w:r w:rsidR="00950355">
        <w:rPr>
          <w:lang w:val="en-CA"/>
        </w:rPr>
        <w:t>Unde</w:t>
      </w:r>
      <w:r w:rsidR="00AD1028">
        <w:rPr>
          <w:lang w:val="en-CA"/>
        </w:rPr>
        <w:t>r</w:t>
      </w:r>
      <w:r w:rsidR="00950355">
        <w:rPr>
          <w:lang w:val="en-CA"/>
        </w:rPr>
        <w:t>lining added</w:t>
      </w:r>
      <w:r w:rsidRPr="000E73A2">
        <w:rPr>
          <w:lang w:val="en-CA"/>
        </w:rPr>
        <w:t>]</w:t>
      </w:r>
    </w:p>
    <w:p w14:paraId="76BF13B5" w14:textId="04C871B0" w:rsidR="00276A1F" w:rsidRPr="000E73A2" w:rsidRDefault="00950355" w:rsidP="0010371B">
      <w:pPr>
        <w:pStyle w:val="Paragraphe"/>
        <w:spacing w:before="180" w:after="180" w:line="280" w:lineRule="exact"/>
        <w:rPr>
          <w:lang w:val="en-CA"/>
        </w:rPr>
      </w:pPr>
      <w:r>
        <w:rPr>
          <w:lang w:val="en-CA"/>
        </w:rPr>
        <w:t>In my view,</w:t>
      </w:r>
      <w:r w:rsidRPr="00950355">
        <w:rPr>
          <w:lang w:val="en-CA"/>
        </w:rPr>
        <w:t xml:space="preserve"> Cromwell</w:t>
      </w:r>
      <w:r>
        <w:rPr>
          <w:lang w:val="en-CA"/>
        </w:rPr>
        <w:t xml:space="preserve"> J</w:t>
      </w:r>
      <w:r w:rsidR="00AD1028">
        <w:rPr>
          <w:lang w:val="en-CA"/>
        </w:rPr>
        <w:t>.</w:t>
      </w:r>
      <w:r w:rsidRPr="00950355">
        <w:rPr>
          <w:lang w:val="en-CA"/>
        </w:rPr>
        <w:t xml:space="preserve">'s conclusion is a complete answer to my colleague's interpretation of </w:t>
      </w:r>
      <w:r w:rsidRPr="00950355">
        <w:rPr>
          <w:i/>
          <w:iCs/>
          <w:lang w:val="en-CA"/>
        </w:rPr>
        <w:t>Schuldt</w:t>
      </w:r>
      <w:r w:rsidRPr="00950355">
        <w:rPr>
          <w:lang w:val="en-CA"/>
        </w:rPr>
        <w:t xml:space="preserve">. I haven't found any Canadian </w:t>
      </w:r>
      <w:r>
        <w:rPr>
          <w:lang w:val="en-CA"/>
        </w:rPr>
        <w:t>appellate</w:t>
      </w:r>
      <w:r w:rsidRPr="00950355">
        <w:rPr>
          <w:lang w:val="en-CA"/>
        </w:rPr>
        <w:t xml:space="preserve"> decision that adopts the </w:t>
      </w:r>
      <w:r>
        <w:rPr>
          <w:lang w:val="en-CA"/>
        </w:rPr>
        <w:t>additional</w:t>
      </w:r>
      <w:r w:rsidRPr="00950355">
        <w:rPr>
          <w:lang w:val="en-CA"/>
        </w:rPr>
        <w:t xml:space="preserve"> requirement he suggests</w:t>
      </w:r>
      <w:r>
        <w:rPr>
          <w:lang w:val="en-CA"/>
        </w:rPr>
        <w:t>.</w:t>
      </w:r>
      <w:r w:rsidR="00276A1F" w:rsidRPr="000E73A2">
        <w:rPr>
          <w:rStyle w:val="Appelnotedebasdep"/>
          <w:lang w:val="en-CA"/>
        </w:rPr>
        <w:footnoteReference w:id="59"/>
      </w:r>
    </w:p>
    <w:p w14:paraId="1B63F92C" w14:textId="28B829E7" w:rsidR="00276A1F" w:rsidRPr="000E73A2" w:rsidRDefault="00950355" w:rsidP="0010371B">
      <w:pPr>
        <w:pStyle w:val="Paragraphe"/>
        <w:spacing w:before="180" w:after="180" w:line="280" w:lineRule="exact"/>
        <w:rPr>
          <w:lang w:val="en-CA"/>
        </w:rPr>
      </w:pPr>
      <w:r w:rsidRPr="00950355">
        <w:rPr>
          <w:lang w:val="en-CA"/>
        </w:rPr>
        <w:lastRenderedPageBreak/>
        <w:t xml:space="preserve">As for the </w:t>
      </w:r>
      <w:r w:rsidR="00BC3916">
        <w:rPr>
          <w:lang w:val="en-CA"/>
        </w:rPr>
        <w:t>quest</w:t>
      </w:r>
      <w:r w:rsidRPr="00950355">
        <w:rPr>
          <w:lang w:val="en-CA"/>
        </w:rPr>
        <w:t xml:space="preserve"> for consistency between the rights of appeal of the accused and </w:t>
      </w:r>
      <w:r>
        <w:rPr>
          <w:lang w:val="en-CA"/>
        </w:rPr>
        <w:t xml:space="preserve">that of </w:t>
      </w:r>
      <w:r w:rsidRPr="00950355">
        <w:rPr>
          <w:lang w:val="en-CA"/>
        </w:rPr>
        <w:t>the prosecut</w:t>
      </w:r>
      <w:r>
        <w:rPr>
          <w:lang w:val="en-CA"/>
        </w:rPr>
        <w:t>ion</w:t>
      </w:r>
      <w:r w:rsidRPr="00950355">
        <w:rPr>
          <w:lang w:val="en-CA"/>
        </w:rPr>
        <w:t>, this is not relevant. Indeed</w:t>
      </w:r>
      <w:r w:rsidR="00276A1F" w:rsidRPr="000E73A2">
        <w:rPr>
          <w:lang w:val="en-CA"/>
        </w:rPr>
        <w:t xml:space="preserve">, </w:t>
      </w:r>
      <w:r w:rsidR="00073B2C">
        <w:rPr>
          <w:lang w:val="en-CA"/>
        </w:rPr>
        <w:t>“</w:t>
      </w:r>
      <w:r w:rsidR="00073B2C" w:rsidRPr="00073B2C">
        <w:rPr>
          <w:lang w:val="en-CA"/>
        </w:rPr>
        <w:t>different policy considerations apply</w:t>
      </w:r>
      <w:r w:rsidR="00073B2C">
        <w:rPr>
          <w:lang w:val="en-CA"/>
        </w:rPr>
        <w:t>”</w:t>
      </w:r>
      <w:r w:rsidR="00276A1F" w:rsidRPr="000E73A2">
        <w:rPr>
          <w:lang w:val="en-CA"/>
        </w:rPr>
        <w:t xml:space="preserve"> </w:t>
      </w:r>
      <w:r>
        <w:rPr>
          <w:lang w:val="en-CA"/>
        </w:rPr>
        <w:t>between those rights of appeal and</w:t>
      </w:r>
      <w:r w:rsidR="00276A1F" w:rsidRPr="000E73A2">
        <w:rPr>
          <w:lang w:val="en-CA"/>
        </w:rPr>
        <w:t xml:space="preserve"> </w:t>
      </w:r>
      <w:r w:rsidR="00073B2C">
        <w:rPr>
          <w:lang w:val="en-CA"/>
        </w:rPr>
        <w:t>“</w:t>
      </w:r>
      <w:r w:rsidR="00073B2C" w:rsidRPr="00073B2C">
        <w:rPr>
          <w:lang w:val="en-CA"/>
        </w:rPr>
        <w:t>there is no principle of parity of appellate access in the criminal process</w:t>
      </w:r>
      <w:r w:rsidR="00073B2C">
        <w:rPr>
          <w:lang w:val="en-CA"/>
        </w:rPr>
        <w:t>.”</w:t>
      </w:r>
      <w:r w:rsidR="00276A1F" w:rsidRPr="000E73A2">
        <w:rPr>
          <w:rStyle w:val="Appelnotedebasdep"/>
          <w:lang w:val="en-CA"/>
        </w:rPr>
        <w:footnoteReference w:id="60"/>
      </w:r>
    </w:p>
    <w:p w14:paraId="655ACE8B" w14:textId="21B9B8B8" w:rsidR="00276A1F" w:rsidRPr="000E73A2" w:rsidRDefault="003011AB" w:rsidP="0010371B">
      <w:pPr>
        <w:pStyle w:val="Paragraphe"/>
        <w:spacing w:before="180" w:after="180" w:line="280" w:lineRule="exact"/>
        <w:rPr>
          <w:lang w:val="en-CA"/>
        </w:rPr>
      </w:pPr>
      <w:r w:rsidRPr="003011AB">
        <w:rPr>
          <w:lang w:val="en-CA"/>
        </w:rPr>
        <w:t xml:space="preserve">I return to the facts of the case. The judge concluded, in the absence of evidence establishing this fact, that the complainant </w:t>
      </w:r>
      <w:r>
        <w:rPr>
          <w:lang w:val="en-CA"/>
        </w:rPr>
        <w:t xml:space="preserve">had </w:t>
      </w:r>
      <w:r w:rsidRPr="003011AB">
        <w:rPr>
          <w:lang w:val="en-CA"/>
        </w:rPr>
        <w:t xml:space="preserve">invited the respondent to join her in bed. This determination was such as to support his conclusion that the complainant consented to sexual activity. This is a significant error of law. With regard to the second event, I therefore hold that </w:t>
      </w:r>
      <w:r w:rsidR="00073B2C">
        <w:rPr>
          <w:lang w:val="en-CA"/>
        </w:rPr>
        <w:t>“</w:t>
      </w:r>
      <w:r w:rsidR="00073B2C" w:rsidRPr="00073B2C">
        <w:rPr>
          <w:lang w:val="en-CA"/>
        </w:rPr>
        <w:t>the verdict of acquittal would not necessarily have been the same had the error not occurred</w:t>
      </w:r>
      <w:r w:rsidR="00073B2C">
        <w:rPr>
          <w:lang w:val="en-CA"/>
        </w:rPr>
        <w:t>.”</w:t>
      </w:r>
      <w:r w:rsidR="00276A1F" w:rsidRPr="000E73A2">
        <w:rPr>
          <w:rStyle w:val="Appelnotedebasdep"/>
          <w:lang w:val="en-CA"/>
        </w:rPr>
        <w:footnoteReference w:id="61"/>
      </w:r>
    </w:p>
    <w:p w14:paraId="67B2A839" w14:textId="1F46BA7D" w:rsidR="00276A1F" w:rsidRPr="000E73A2" w:rsidRDefault="003011AB" w:rsidP="0010371B">
      <w:pPr>
        <w:pStyle w:val="Paragraphe"/>
        <w:spacing w:before="180" w:after="180" w:line="280" w:lineRule="exact"/>
        <w:rPr>
          <w:lang w:val="en-CA"/>
        </w:rPr>
      </w:pPr>
      <w:r w:rsidRPr="003011AB">
        <w:rPr>
          <w:lang w:val="en-CA"/>
        </w:rPr>
        <w:t xml:space="preserve">In </w:t>
      </w:r>
      <w:r>
        <w:rPr>
          <w:lang w:val="en-CA"/>
        </w:rPr>
        <w:t>summary</w:t>
      </w:r>
      <w:r w:rsidRPr="003011AB">
        <w:rPr>
          <w:lang w:val="en-CA"/>
        </w:rPr>
        <w:t xml:space="preserve">, a new trial must be ordered because of </w:t>
      </w:r>
      <w:r>
        <w:rPr>
          <w:lang w:val="en-CA"/>
        </w:rPr>
        <w:t xml:space="preserve">the </w:t>
      </w:r>
      <w:r w:rsidRPr="003011AB">
        <w:rPr>
          <w:lang w:val="en-CA"/>
        </w:rPr>
        <w:t xml:space="preserve">inadequacy of reasons with respect to the three events and, for an additional </w:t>
      </w:r>
      <w:r>
        <w:rPr>
          <w:lang w:val="en-CA"/>
        </w:rPr>
        <w:t>ground</w:t>
      </w:r>
      <w:r w:rsidRPr="003011AB">
        <w:rPr>
          <w:lang w:val="en-CA"/>
        </w:rPr>
        <w:t xml:space="preserve"> with respect to the second event, because the judge drew a </w:t>
      </w:r>
      <w:r>
        <w:rPr>
          <w:lang w:val="en-CA"/>
        </w:rPr>
        <w:t>key</w:t>
      </w:r>
      <w:r w:rsidRPr="003011AB">
        <w:rPr>
          <w:lang w:val="en-CA"/>
        </w:rPr>
        <w:t xml:space="preserve"> </w:t>
      </w:r>
      <w:r>
        <w:rPr>
          <w:lang w:val="en-CA"/>
        </w:rPr>
        <w:t>finding</w:t>
      </w:r>
      <w:r w:rsidRPr="003011AB">
        <w:rPr>
          <w:lang w:val="en-CA"/>
        </w:rPr>
        <w:t xml:space="preserve"> of fact in the absence of evidenc</w:t>
      </w:r>
      <w:r>
        <w:rPr>
          <w:lang w:val="en-CA"/>
        </w:rPr>
        <w:t>e</w:t>
      </w:r>
      <w:r w:rsidR="00276A1F" w:rsidRPr="000E73A2">
        <w:rPr>
          <w:lang w:val="en-CA"/>
        </w:rPr>
        <w:t>.</w:t>
      </w:r>
    </w:p>
    <w:p w14:paraId="4BEC8AF7" w14:textId="06903DB8" w:rsidR="00276A1F" w:rsidRPr="000E73A2" w:rsidRDefault="003011AB" w:rsidP="0010371B">
      <w:pPr>
        <w:pStyle w:val="Paragraphe"/>
        <w:spacing w:before="180" w:after="180" w:line="280" w:lineRule="exact"/>
        <w:rPr>
          <w:lang w:val="en-CA"/>
        </w:rPr>
      </w:pPr>
      <w:r>
        <w:rPr>
          <w:lang w:val="en-CA"/>
        </w:rPr>
        <w:t xml:space="preserve">For these reasons, I </w:t>
      </w:r>
      <w:r w:rsidR="00BC3916">
        <w:rPr>
          <w:lang w:val="en-CA"/>
        </w:rPr>
        <w:t>propose that the Court</w:t>
      </w:r>
      <w:r>
        <w:rPr>
          <w:lang w:val="en-CA"/>
        </w:rPr>
        <w:t xml:space="preserve"> order a new trial</w:t>
      </w:r>
      <w:r w:rsidR="00276A1F" w:rsidRPr="000E73A2">
        <w:rPr>
          <w:lang w:val="en-CA"/>
        </w:rPr>
        <w:t>.</w:t>
      </w:r>
    </w:p>
    <w:p w14:paraId="4C9C1406" w14:textId="77777777" w:rsidR="00276A1F" w:rsidRPr="000E73A2" w:rsidRDefault="00276A1F" w:rsidP="006A43DA">
      <w:pPr>
        <w:pStyle w:val="Paragraphe"/>
        <w:numPr>
          <w:ilvl w:val="0"/>
          <w:numId w:val="0"/>
        </w:numPr>
        <w:spacing w:line="280" w:lineRule="exact"/>
        <w:rPr>
          <w:lang w:val="en-CA"/>
        </w:rPr>
      </w:pPr>
    </w:p>
    <w:tbl>
      <w:tblPr>
        <w:tblW w:w="0" w:type="auto"/>
        <w:tblLayout w:type="fixed"/>
        <w:tblCellMar>
          <w:left w:w="0" w:type="dxa"/>
          <w:right w:w="0" w:type="dxa"/>
        </w:tblCellMar>
        <w:tblLook w:val="0000" w:firstRow="0" w:lastRow="0" w:firstColumn="0" w:lastColumn="0" w:noHBand="0" w:noVBand="0"/>
      </w:tblPr>
      <w:tblGrid>
        <w:gridCol w:w="4735"/>
        <w:gridCol w:w="4625"/>
      </w:tblGrid>
      <w:tr w:rsidR="00276A1F" w:rsidRPr="000E73A2" w14:paraId="369AD0CF" w14:textId="77777777" w:rsidTr="003178EF">
        <w:trPr>
          <w:cantSplit/>
          <w:trHeight w:val="277"/>
        </w:trPr>
        <w:tc>
          <w:tcPr>
            <w:tcW w:w="4735" w:type="dxa"/>
            <w:vMerge w:val="restart"/>
          </w:tcPr>
          <w:p w14:paraId="1AB91268" w14:textId="77777777" w:rsidR="00276A1F" w:rsidRPr="000E73A2" w:rsidRDefault="00276A1F" w:rsidP="003178EF">
            <w:pPr>
              <w:rPr>
                <w:lang w:val="en-CA"/>
              </w:rPr>
            </w:pPr>
          </w:p>
        </w:tc>
        <w:tc>
          <w:tcPr>
            <w:tcW w:w="4625" w:type="dxa"/>
            <w:tcBorders>
              <w:bottom w:val="single" w:sz="8" w:space="0" w:color="auto"/>
            </w:tcBorders>
          </w:tcPr>
          <w:p w14:paraId="4903ECA8" w14:textId="77777777" w:rsidR="00276A1F" w:rsidRPr="000E73A2" w:rsidRDefault="00276A1F" w:rsidP="003178EF">
            <w:pPr>
              <w:rPr>
                <w:lang w:val="en-CA"/>
              </w:rPr>
            </w:pPr>
          </w:p>
        </w:tc>
      </w:tr>
      <w:tr w:rsidR="00276A1F" w:rsidRPr="000E73A2" w14:paraId="46B087BF" w14:textId="77777777" w:rsidTr="003178EF">
        <w:trPr>
          <w:cantSplit/>
          <w:trHeight w:val="276"/>
        </w:trPr>
        <w:tc>
          <w:tcPr>
            <w:tcW w:w="4735" w:type="dxa"/>
            <w:vMerge/>
          </w:tcPr>
          <w:p w14:paraId="6C495EA0" w14:textId="77777777" w:rsidR="00276A1F" w:rsidRPr="000E73A2" w:rsidRDefault="00276A1F" w:rsidP="003178EF">
            <w:pPr>
              <w:rPr>
                <w:lang w:val="en-CA"/>
              </w:rPr>
            </w:pPr>
          </w:p>
        </w:tc>
        <w:tc>
          <w:tcPr>
            <w:tcW w:w="4625" w:type="dxa"/>
          </w:tcPr>
          <w:p w14:paraId="55C020A0" w14:textId="2BBFBF47" w:rsidR="00276A1F" w:rsidRPr="000E73A2" w:rsidRDefault="00276A1F" w:rsidP="003178EF">
            <w:pPr>
              <w:rPr>
                <w:lang w:val="en-CA"/>
              </w:rPr>
            </w:pPr>
            <w:r w:rsidRPr="000E73A2">
              <w:rPr>
                <w:lang w:val="en-CA"/>
              </w:rPr>
              <w:t xml:space="preserve">GUY COURNOYER, </w:t>
            </w:r>
            <w:r w:rsidR="003011AB">
              <w:rPr>
                <w:lang w:val="en-CA"/>
              </w:rPr>
              <w:t>J.</w:t>
            </w:r>
            <w:r w:rsidRPr="000E73A2">
              <w:rPr>
                <w:lang w:val="en-CA"/>
              </w:rPr>
              <w:t>A.</w:t>
            </w:r>
          </w:p>
        </w:tc>
      </w:tr>
      <w:bookmarkEnd w:id="12"/>
    </w:tbl>
    <w:p w14:paraId="7D547A42" w14:textId="77777777" w:rsidR="00276A1F" w:rsidRPr="000E73A2" w:rsidRDefault="00276A1F" w:rsidP="00756494">
      <w:pPr>
        <w:rPr>
          <w:lang w:val="en-CA"/>
        </w:rPr>
        <w:sectPr w:rsidR="00276A1F" w:rsidRPr="000E73A2" w:rsidSect="00276A1F">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2242" w:h="15842" w:code="1"/>
          <w:pgMar w:top="1440" w:right="1008" w:bottom="1440" w:left="1872" w:header="1440" w:footer="792" w:gutter="0"/>
          <w:cols w:space="720"/>
          <w:formProt w:val="0"/>
          <w:docGrid w:linePitch="326"/>
        </w:sectPr>
      </w:pPr>
    </w:p>
    <w:tbl>
      <w:tblPr>
        <w:tblW w:w="0" w:type="auto"/>
        <w:tblLayout w:type="fixed"/>
        <w:tblCellMar>
          <w:left w:w="0" w:type="dxa"/>
          <w:right w:w="0" w:type="dxa"/>
        </w:tblCellMar>
        <w:tblLook w:val="0000" w:firstRow="0" w:lastRow="0" w:firstColumn="0" w:lastColumn="0" w:noHBand="0" w:noVBand="0"/>
      </w:tblPr>
      <w:tblGrid>
        <w:gridCol w:w="9360"/>
      </w:tblGrid>
      <w:tr w:rsidR="00276A1F" w:rsidRPr="000E73A2" w14:paraId="21802D08" w14:textId="77777777" w:rsidTr="003178EF">
        <w:tc>
          <w:tcPr>
            <w:tcW w:w="9360" w:type="dxa"/>
            <w:tcBorders>
              <w:bottom w:val="single" w:sz="8" w:space="0" w:color="auto"/>
            </w:tcBorders>
          </w:tcPr>
          <w:p w14:paraId="2CE327F2" w14:textId="77777777" w:rsidR="00276A1F" w:rsidRPr="000E73A2" w:rsidRDefault="00276A1F" w:rsidP="003178EF">
            <w:pPr>
              <w:rPr>
                <w:lang w:val="en-CA"/>
              </w:rPr>
            </w:pPr>
          </w:p>
        </w:tc>
      </w:tr>
      <w:tr w:rsidR="00276A1F" w:rsidRPr="000E73A2" w14:paraId="047E1DDE" w14:textId="77777777" w:rsidTr="003178EF">
        <w:tc>
          <w:tcPr>
            <w:tcW w:w="9360" w:type="dxa"/>
            <w:tcBorders>
              <w:top w:val="single" w:sz="8" w:space="0" w:color="auto"/>
            </w:tcBorders>
          </w:tcPr>
          <w:p w14:paraId="4D4C55A3" w14:textId="77777777" w:rsidR="00276A1F" w:rsidRPr="000E73A2" w:rsidRDefault="00276A1F" w:rsidP="003178EF">
            <w:pPr>
              <w:rPr>
                <w:lang w:val="en-CA"/>
              </w:rPr>
            </w:pPr>
          </w:p>
        </w:tc>
      </w:tr>
      <w:tr w:rsidR="00276A1F" w:rsidRPr="000E73A2" w14:paraId="137E14BD" w14:textId="77777777" w:rsidTr="003178EF">
        <w:tc>
          <w:tcPr>
            <w:tcW w:w="9360" w:type="dxa"/>
          </w:tcPr>
          <w:p w14:paraId="754C8458" w14:textId="77FDD296" w:rsidR="00276A1F" w:rsidRPr="000E73A2" w:rsidRDefault="003011AB" w:rsidP="003178EF">
            <w:pPr>
              <w:pStyle w:val="zSoquijlblOpinionJuge"/>
              <w:rPr>
                <w:lang w:val="en-CA"/>
              </w:rPr>
            </w:pPr>
            <w:r>
              <w:rPr>
                <w:lang w:val="en-CA"/>
              </w:rPr>
              <w:t>REASONS OF</w:t>
            </w:r>
            <w:r w:rsidR="00276A1F" w:rsidRPr="000E73A2">
              <w:rPr>
                <w:lang w:val="en-CA"/>
              </w:rPr>
              <w:t xml:space="preserve"> BACHAND</w:t>
            </w:r>
            <w:r>
              <w:rPr>
                <w:lang w:val="en-CA"/>
              </w:rPr>
              <w:t>, J.A.</w:t>
            </w:r>
          </w:p>
        </w:tc>
      </w:tr>
      <w:tr w:rsidR="00276A1F" w:rsidRPr="000E73A2" w14:paraId="60C119D0" w14:textId="77777777" w:rsidTr="003178EF">
        <w:tc>
          <w:tcPr>
            <w:tcW w:w="9360" w:type="dxa"/>
            <w:tcBorders>
              <w:bottom w:val="single" w:sz="8" w:space="0" w:color="auto"/>
            </w:tcBorders>
          </w:tcPr>
          <w:p w14:paraId="66EE585F" w14:textId="77777777" w:rsidR="00276A1F" w:rsidRPr="000E73A2" w:rsidRDefault="00276A1F" w:rsidP="003178EF">
            <w:pPr>
              <w:rPr>
                <w:lang w:val="en-CA"/>
              </w:rPr>
            </w:pPr>
          </w:p>
        </w:tc>
      </w:tr>
      <w:tr w:rsidR="00276A1F" w:rsidRPr="000E73A2" w14:paraId="343C8CCF" w14:textId="77777777" w:rsidTr="003178EF">
        <w:tc>
          <w:tcPr>
            <w:tcW w:w="9360" w:type="dxa"/>
            <w:tcBorders>
              <w:top w:val="single" w:sz="8" w:space="0" w:color="auto"/>
            </w:tcBorders>
          </w:tcPr>
          <w:p w14:paraId="6B083094" w14:textId="77777777" w:rsidR="00276A1F" w:rsidRPr="000E73A2" w:rsidRDefault="00276A1F" w:rsidP="003178EF">
            <w:pPr>
              <w:rPr>
                <w:lang w:val="en-CA"/>
              </w:rPr>
            </w:pPr>
          </w:p>
        </w:tc>
      </w:tr>
    </w:tbl>
    <w:p w14:paraId="11F2C289" w14:textId="4AB79C8C" w:rsidR="00276A1F" w:rsidRPr="000E73A2" w:rsidRDefault="00081094" w:rsidP="0010371B">
      <w:pPr>
        <w:pStyle w:val="Paragraphe"/>
        <w:spacing w:before="180" w:after="180" w:line="280" w:lineRule="exact"/>
        <w:rPr>
          <w:lang w:val="en-CA"/>
        </w:rPr>
      </w:pPr>
      <w:r w:rsidRPr="00081094">
        <w:rPr>
          <w:lang w:val="en-CA"/>
        </w:rPr>
        <w:t xml:space="preserve">With </w:t>
      </w:r>
      <w:r>
        <w:rPr>
          <w:lang w:val="en-CA"/>
        </w:rPr>
        <w:t>the greatest</w:t>
      </w:r>
      <w:r w:rsidRPr="00081094">
        <w:rPr>
          <w:lang w:val="en-CA"/>
        </w:rPr>
        <w:t xml:space="preserve"> respect to the contrary opinion, I am of the view that, despite their undeniably laconic nature, the reasons given by the trial judge make it possible to understand what he decided and why. I also consider that the imperfections they contain did not </w:t>
      </w:r>
      <w:r>
        <w:rPr>
          <w:lang w:val="en-CA"/>
        </w:rPr>
        <w:t>undermine the exercise of</w:t>
      </w:r>
      <w:r w:rsidRPr="00081094">
        <w:rPr>
          <w:lang w:val="en-CA"/>
        </w:rPr>
        <w:t xml:space="preserve"> the </w:t>
      </w:r>
      <w:r>
        <w:rPr>
          <w:lang w:val="en-CA"/>
        </w:rPr>
        <w:t>Crown’s</w:t>
      </w:r>
      <w:r w:rsidRPr="00081094">
        <w:rPr>
          <w:lang w:val="en-CA"/>
        </w:rPr>
        <w:t xml:space="preserve"> right of appeal. Furthermore, I consider that the other grounds raised by the </w:t>
      </w:r>
      <w:r>
        <w:rPr>
          <w:lang w:val="en-CA"/>
        </w:rPr>
        <w:t>Crown</w:t>
      </w:r>
      <w:r w:rsidRPr="00081094">
        <w:rPr>
          <w:lang w:val="en-CA"/>
        </w:rPr>
        <w:t xml:space="preserve"> are unfounded and that the appeal should therefore be dismissed</w:t>
      </w:r>
      <w:r w:rsidR="00276A1F" w:rsidRPr="000E73A2">
        <w:rPr>
          <w:lang w:val="en-CA"/>
        </w:rPr>
        <w:t xml:space="preserve">. </w:t>
      </w:r>
    </w:p>
    <w:p w14:paraId="291DB360" w14:textId="77777777" w:rsidR="00276A1F" w:rsidRPr="000E73A2" w:rsidRDefault="00276A1F" w:rsidP="00756494">
      <w:pPr>
        <w:pStyle w:val="Paragraphe"/>
        <w:numPr>
          <w:ilvl w:val="0"/>
          <w:numId w:val="0"/>
        </w:numPr>
        <w:jc w:val="center"/>
        <w:rPr>
          <w:lang w:val="en-CA"/>
        </w:rPr>
      </w:pPr>
      <w:r w:rsidRPr="000E73A2">
        <w:rPr>
          <w:lang w:val="en-CA"/>
        </w:rPr>
        <w:t>*</w:t>
      </w:r>
      <w:r w:rsidRPr="000E73A2">
        <w:rPr>
          <w:lang w:val="en-CA"/>
        </w:rPr>
        <w:tab/>
        <w:t>*</w:t>
      </w:r>
      <w:r w:rsidRPr="000E73A2">
        <w:rPr>
          <w:lang w:val="en-CA"/>
        </w:rPr>
        <w:tab/>
        <w:t>*</w:t>
      </w:r>
    </w:p>
    <w:p w14:paraId="737726CA" w14:textId="63902E84" w:rsidR="00276A1F" w:rsidRPr="000E73A2" w:rsidRDefault="00E96F69" w:rsidP="0010371B">
      <w:pPr>
        <w:pStyle w:val="Paragraphe"/>
        <w:spacing w:before="180" w:after="180" w:line="280" w:lineRule="exact"/>
        <w:rPr>
          <w:lang w:val="en-CA"/>
        </w:rPr>
      </w:pPr>
      <w:r w:rsidRPr="00E96F69">
        <w:rPr>
          <w:lang w:val="en-CA"/>
        </w:rPr>
        <w:t>I begin by recalling that, under s</w:t>
      </w:r>
      <w:r>
        <w:rPr>
          <w:lang w:val="en-CA"/>
        </w:rPr>
        <w:t>.</w:t>
      </w:r>
      <w:r w:rsidRPr="00E96F69">
        <w:rPr>
          <w:lang w:val="en-CA"/>
        </w:rPr>
        <w:t xml:space="preserve"> 676(1)(a) of the </w:t>
      </w:r>
      <w:proofErr w:type="spellStart"/>
      <w:r w:rsidRPr="00E96F69">
        <w:rPr>
          <w:i/>
          <w:iCs/>
          <w:lang w:val="en-CA"/>
        </w:rPr>
        <w:t>Cr.C</w:t>
      </w:r>
      <w:proofErr w:type="spellEnd"/>
      <w:r w:rsidRPr="00E96F69">
        <w:rPr>
          <w:i/>
          <w:iCs/>
          <w:lang w:val="en-CA"/>
        </w:rPr>
        <w:t>.</w:t>
      </w:r>
      <w:r w:rsidRPr="00E96F69">
        <w:rPr>
          <w:lang w:val="en-CA"/>
        </w:rPr>
        <w:t xml:space="preserve">, the Crown may appeal a judgment of acquittal </w:t>
      </w:r>
      <w:r>
        <w:rPr>
          <w:lang w:val="en-CA"/>
        </w:rPr>
        <w:t>“</w:t>
      </w:r>
      <w:r w:rsidRPr="00E96F69">
        <w:rPr>
          <w:lang w:val="en-CA"/>
        </w:rPr>
        <w:t>on any ground of appeal that involves a question of law alone</w:t>
      </w:r>
      <w:r>
        <w:rPr>
          <w:i/>
          <w:iCs/>
          <w:lang w:val="en-CA"/>
        </w:rPr>
        <w:t>/</w:t>
      </w:r>
      <w:r w:rsidR="00276A1F" w:rsidRPr="00E96F69">
        <w:rPr>
          <w:i/>
          <w:iCs/>
          <w:lang w:val="en-CA"/>
        </w:rPr>
        <w:t xml:space="preserve">pour tout motif </w:t>
      </w:r>
      <w:proofErr w:type="spellStart"/>
      <w:r w:rsidR="00276A1F" w:rsidRPr="00E96F69">
        <w:rPr>
          <w:i/>
          <w:iCs/>
          <w:lang w:val="en-CA"/>
        </w:rPr>
        <w:t>d’appel</w:t>
      </w:r>
      <w:proofErr w:type="spellEnd"/>
      <w:r w:rsidR="00276A1F" w:rsidRPr="00E96F69">
        <w:rPr>
          <w:i/>
          <w:iCs/>
          <w:lang w:val="en-CA"/>
        </w:rPr>
        <w:t xml:space="preserve"> qui </w:t>
      </w:r>
      <w:proofErr w:type="spellStart"/>
      <w:r w:rsidR="00276A1F" w:rsidRPr="00E96F69">
        <w:rPr>
          <w:i/>
          <w:iCs/>
          <w:lang w:val="en-CA"/>
        </w:rPr>
        <w:t>comporte</w:t>
      </w:r>
      <w:proofErr w:type="spellEnd"/>
      <w:r w:rsidR="00276A1F" w:rsidRPr="00E96F69">
        <w:rPr>
          <w:i/>
          <w:iCs/>
          <w:lang w:val="en-CA"/>
        </w:rPr>
        <w:t xml:space="preserve"> </w:t>
      </w:r>
      <w:proofErr w:type="spellStart"/>
      <w:r w:rsidR="00276A1F" w:rsidRPr="00E96F69">
        <w:rPr>
          <w:i/>
          <w:iCs/>
          <w:lang w:val="en-CA"/>
        </w:rPr>
        <w:t>une</w:t>
      </w:r>
      <w:proofErr w:type="spellEnd"/>
      <w:r w:rsidR="00276A1F" w:rsidRPr="00E96F69">
        <w:rPr>
          <w:i/>
          <w:iCs/>
          <w:lang w:val="en-CA"/>
        </w:rPr>
        <w:t xml:space="preserve"> question de droit </w:t>
      </w:r>
      <w:proofErr w:type="spellStart"/>
      <w:r w:rsidR="00276A1F" w:rsidRPr="00E96F69">
        <w:rPr>
          <w:i/>
          <w:iCs/>
          <w:lang w:val="en-CA"/>
        </w:rPr>
        <w:t>seulement</w:t>
      </w:r>
      <w:proofErr w:type="spellEnd"/>
      <w:r>
        <w:rPr>
          <w:lang w:val="en-CA"/>
        </w:rPr>
        <w:t>.”</w:t>
      </w:r>
      <w:r w:rsidR="00276A1F" w:rsidRPr="000E73A2">
        <w:rPr>
          <w:lang w:val="en-CA"/>
        </w:rPr>
        <w:t xml:space="preserve"> </w:t>
      </w:r>
      <w:r w:rsidRPr="00E96F69">
        <w:rPr>
          <w:lang w:val="en-CA"/>
        </w:rPr>
        <w:t xml:space="preserve">No provision of the </w:t>
      </w:r>
      <w:r w:rsidRPr="00E96F69">
        <w:rPr>
          <w:i/>
          <w:iCs/>
          <w:lang w:val="en-CA"/>
        </w:rPr>
        <w:t>Criminal Code</w:t>
      </w:r>
      <w:r w:rsidRPr="00E96F69">
        <w:rPr>
          <w:lang w:val="en-CA"/>
        </w:rPr>
        <w:t xml:space="preserve"> allows </w:t>
      </w:r>
      <w:r>
        <w:rPr>
          <w:lang w:val="en-CA"/>
        </w:rPr>
        <w:t>it</w:t>
      </w:r>
      <w:r w:rsidRPr="00E96F69">
        <w:rPr>
          <w:lang w:val="en-CA"/>
        </w:rPr>
        <w:t xml:space="preserve"> to appeal such a judgment on</w:t>
      </w:r>
      <w:r w:rsidR="00B86368">
        <w:rPr>
          <w:lang w:val="en-CA"/>
        </w:rPr>
        <w:t xml:space="preserve"> grounds involving</w:t>
      </w:r>
      <w:r w:rsidRPr="00E96F69">
        <w:rPr>
          <w:lang w:val="en-CA"/>
        </w:rPr>
        <w:t xml:space="preserve"> questions of fact or of mixed fact and law</w:t>
      </w:r>
      <w:r w:rsidR="00276A1F" w:rsidRPr="000E73A2">
        <w:rPr>
          <w:lang w:val="en-CA"/>
        </w:rPr>
        <w:t>.</w:t>
      </w:r>
    </w:p>
    <w:p w14:paraId="3D180713" w14:textId="73FC1905" w:rsidR="00276A1F" w:rsidRPr="000E73A2" w:rsidRDefault="00B86368" w:rsidP="0010371B">
      <w:pPr>
        <w:pStyle w:val="Paragraphe"/>
        <w:spacing w:before="180" w:after="180" w:line="280" w:lineRule="exact"/>
        <w:rPr>
          <w:lang w:val="en-CA"/>
        </w:rPr>
      </w:pPr>
      <w:r w:rsidRPr="00B86368">
        <w:rPr>
          <w:lang w:val="en-CA"/>
        </w:rPr>
        <w:t xml:space="preserve">As the Supreme Court recently </w:t>
      </w:r>
      <w:r w:rsidR="00153EC2">
        <w:rPr>
          <w:lang w:val="en-CA"/>
        </w:rPr>
        <w:t>no</w:t>
      </w:r>
      <w:r w:rsidRPr="00B86368">
        <w:rPr>
          <w:lang w:val="en-CA"/>
        </w:rPr>
        <w:t xml:space="preserve">ted in </w:t>
      </w:r>
      <w:r w:rsidR="00276A1F" w:rsidRPr="000E73A2">
        <w:rPr>
          <w:i/>
          <w:iCs/>
          <w:lang w:val="en-CA"/>
        </w:rPr>
        <w:t>Hodgson</w:t>
      </w:r>
      <w:r w:rsidR="00276A1F" w:rsidRPr="000E73A2">
        <w:rPr>
          <w:lang w:val="en-CA"/>
        </w:rPr>
        <w:t xml:space="preserve">, </w:t>
      </w:r>
      <w:r w:rsidR="00355BD6">
        <w:rPr>
          <w:lang w:val="en-CA"/>
        </w:rPr>
        <w:t>t</w:t>
      </w:r>
      <w:r w:rsidR="00355BD6" w:rsidRPr="00355BD6">
        <w:rPr>
          <w:lang w:val="en-CA"/>
        </w:rPr>
        <w:t xml:space="preserve">he restricted nature of the Crown’s ability to appeal </w:t>
      </w:r>
      <w:r w:rsidR="00355BD6">
        <w:rPr>
          <w:lang w:val="en-CA"/>
        </w:rPr>
        <w:t>“</w:t>
      </w:r>
      <w:r w:rsidR="00355BD6" w:rsidRPr="00355BD6">
        <w:rPr>
          <w:lang w:val="en-CA"/>
        </w:rPr>
        <w:t>has deep roots in the principles that underlie our criminal justice system</w:t>
      </w:r>
      <w:r w:rsidR="00355BD6">
        <w:rPr>
          <w:lang w:val="en-CA"/>
        </w:rPr>
        <w:t>.”</w:t>
      </w:r>
      <w:r w:rsidR="00276A1F" w:rsidRPr="000E73A2">
        <w:rPr>
          <w:rFonts w:cs="Arial"/>
          <w:szCs w:val="24"/>
          <w:vertAlign w:val="superscript"/>
          <w:lang w:val="en-CA"/>
        </w:rPr>
        <w:footnoteReference w:id="62"/>
      </w:r>
      <w:r w:rsidR="00276A1F" w:rsidRPr="000E73A2">
        <w:rPr>
          <w:lang w:val="en-CA"/>
        </w:rPr>
        <w:t xml:space="preserve"> </w:t>
      </w:r>
      <w:r>
        <w:rPr>
          <w:lang w:val="en-CA"/>
        </w:rPr>
        <w:t>In that case, the Court also noted that</w:t>
      </w:r>
      <w:r w:rsidR="00276A1F" w:rsidRPr="000E73A2">
        <w:rPr>
          <w:lang w:val="en-CA"/>
        </w:rPr>
        <w:t xml:space="preserve"> </w:t>
      </w:r>
      <w:r w:rsidR="005118B0">
        <w:rPr>
          <w:lang w:val="en-CA"/>
        </w:rPr>
        <w:t>a</w:t>
      </w:r>
      <w:r w:rsidR="005118B0" w:rsidRPr="005118B0">
        <w:rPr>
          <w:lang w:val="en-CA"/>
        </w:rPr>
        <w:t>voiding wrongful convictions is one rationale that explains why the scope of the accused’s right of appeal is wider than the Crown’s</w:t>
      </w:r>
      <w:r w:rsidR="00153EC2">
        <w:rPr>
          <w:lang w:val="en-CA"/>
        </w:rPr>
        <w:t>,</w:t>
      </w:r>
      <w:r w:rsidR="00276A1F" w:rsidRPr="000E73A2">
        <w:rPr>
          <w:rFonts w:cs="Arial"/>
          <w:szCs w:val="24"/>
          <w:vertAlign w:val="superscript"/>
          <w:lang w:val="en-CA"/>
        </w:rPr>
        <w:footnoteReference w:id="63"/>
      </w:r>
      <w:r w:rsidR="00276A1F" w:rsidRPr="000E73A2">
        <w:rPr>
          <w:lang w:val="en-CA"/>
        </w:rPr>
        <w:t xml:space="preserve"> </w:t>
      </w:r>
      <w:r>
        <w:rPr>
          <w:lang w:val="en-CA"/>
        </w:rPr>
        <w:t>while adding that</w:t>
      </w:r>
      <w:r w:rsidR="00276A1F" w:rsidRPr="000E73A2">
        <w:rPr>
          <w:lang w:val="en-CA"/>
        </w:rPr>
        <w:t xml:space="preserve"> </w:t>
      </w:r>
      <w:r w:rsidR="005118B0">
        <w:rPr>
          <w:lang w:val="en-CA"/>
        </w:rPr>
        <w:t>“[t]</w:t>
      </w:r>
      <w:r w:rsidR="005118B0" w:rsidRPr="005118B0">
        <w:rPr>
          <w:lang w:val="en-CA"/>
        </w:rPr>
        <w:t>he most important justification behind the limited nature of the Crown’s right of appeal</w:t>
      </w:r>
      <w:r w:rsidR="005118B0">
        <w:rPr>
          <w:lang w:val="en-CA"/>
        </w:rPr>
        <w:t xml:space="preserve"> […]</w:t>
      </w:r>
      <w:r w:rsidR="005118B0" w:rsidRPr="005118B0">
        <w:rPr>
          <w:lang w:val="en-CA"/>
        </w:rPr>
        <w:t xml:space="preserve"> lies in the principle against double jeopardy</w:t>
      </w:r>
      <w:r w:rsidR="005118B0">
        <w:rPr>
          <w:lang w:val="en-CA"/>
        </w:rPr>
        <w:t>.”</w:t>
      </w:r>
      <w:r w:rsidR="00276A1F" w:rsidRPr="000E73A2">
        <w:rPr>
          <w:rFonts w:cs="Arial"/>
          <w:szCs w:val="24"/>
          <w:vertAlign w:val="superscript"/>
          <w:lang w:val="en-CA"/>
        </w:rPr>
        <w:footnoteReference w:id="64"/>
      </w:r>
      <w:r w:rsidR="00276A1F" w:rsidRPr="000E73A2">
        <w:rPr>
          <w:lang w:val="en-CA"/>
        </w:rPr>
        <w:t xml:space="preserve"> </w:t>
      </w:r>
      <w:r>
        <w:rPr>
          <w:lang w:val="en-CA"/>
        </w:rPr>
        <w:t>It</w:t>
      </w:r>
      <w:r w:rsidRPr="00B86368">
        <w:rPr>
          <w:lang w:val="en-CA"/>
        </w:rPr>
        <w:t xml:space="preserve"> also emphasised the importance of respecting th</w:t>
      </w:r>
      <w:r>
        <w:rPr>
          <w:lang w:val="en-CA"/>
        </w:rPr>
        <w:t>o</w:t>
      </w:r>
      <w:r w:rsidRPr="00B86368">
        <w:rPr>
          <w:lang w:val="en-CA"/>
        </w:rPr>
        <w:t>se limits</w:t>
      </w:r>
      <w:r>
        <w:rPr>
          <w:lang w:val="en-CA"/>
        </w:rPr>
        <w:t>:</w:t>
      </w:r>
      <w:r w:rsidR="00276A1F" w:rsidRPr="000E73A2">
        <w:rPr>
          <w:rFonts w:cs="Arial"/>
          <w:szCs w:val="24"/>
          <w:vertAlign w:val="superscript"/>
          <w:lang w:val="en-CA"/>
        </w:rPr>
        <w:footnoteReference w:id="65"/>
      </w:r>
    </w:p>
    <w:p w14:paraId="5DD428C3" w14:textId="7E7FEAC1" w:rsidR="00276A1F" w:rsidRPr="000E73A2" w:rsidRDefault="00276A1F" w:rsidP="00756494">
      <w:pPr>
        <w:pStyle w:val="Paragraphe"/>
        <w:numPr>
          <w:ilvl w:val="0"/>
          <w:numId w:val="0"/>
        </w:numPr>
        <w:spacing w:line="240" w:lineRule="auto"/>
        <w:ind w:left="709" w:right="715"/>
        <w:rPr>
          <w:sz w:val="22"/>
          <w:szCs w:val="22"/>
          <w:lang w:val="en-CA"/>
        </w:rPr>
      </w:pPr>
      <w:r w:rsidRPr="000E73A2">
        <w:rPr>
          <w:sz w:val="22"/>
          <w:szCs w:val="22"/>
          <w:lang w:val="en-CA"/>
        </w:rPr>
        <w:t>[</w:t>
      </w:r>
      <w:r w:rsidR="005118B0">
        <w:rPr>
          <w:sz w:val="22"/>
          <w:szCs w:val="22"/>
          <w:lang w:val="en-CA"/>
        </w:rPr>
        <w:t>E</w:t>
      </w:r>
      <w:r w:rsidRPr="000E73A2">
        <w:rPr>
          <w:sz w:val="22"/>
          <w:szCs w:val="22"/>
          <w:lang w:val="en-CA"/>
        </w:rPr>
        <w:t>]</w:t>
      </w:r>
      <w:proofErr w:type="spellStart"/>
      <w:r w:rsidR="005118B0" w:rsidRPr="005118B0">
        <w:rPr>
          <w:sz w:val="22"/>
          <w:szCs w:val="22"/>
          <w:lang w:val="en-CA"/>
        </w:rPr>
        <w:t>xpanding</w:t>
      </w:r>
      <w:proofErr w:type="spellEnd"/>
      <w:r w:rsidR="005118B0" w:rsidRPr="005118B0">
        <w:rPr>
          <w:sz w:val="22"/>
          <w:szCs w:val="22"/>
          <w:lang w:val="en-CA"/>
        </w:rPr>
        <w:t xml:space="preserve"> the Crown’s right of appeal beyond its proper scope would have a profound impact on the interests of accused persons, especially due to the considerable anxiety created by the prospect of a new trial after a person has been acquitted (see </w:t>
      </w:r>
      <w:proofErr w:type="spellStart"/>
      <w:r w:rsidR="005118B0" w:rsidRPr="005118B0">
        <w:rPr>
          <w:i/>
          <w:iCs/>
          <w:sz w:val="22"/>
          <w:szCs w:val="22"/>
          <w:lang w:val="en-CA"/>
        </w:rPr>
        <w:t>Budai</w:t>
      </w:r>
      <w:proofErr w:type="spellEnd"/>
      <w:r w:rsidR="005118B0" w:rsidRPr="005118B0">
        <w:rPr>
          <w:sz w:val="22"/>
          <w:szCs w:val="22"/>
          <w:lang w:val="en-CA"/>
        </w:rPr>
        <w:t xml:space="preserve">, at para. 125, quoting </w:t>
      </w:r>
      <w:r w:rsidR="005118B0" w:rsidRPr="005118B0">
        <w:rPr>
          <w:i/>
          <w:iCs/>
          <w:sz w:val="22"/>
          <w:szCs w:val="22"/>
          <w:lang w:val="en-CA"/>
        </w:rPr>
        <w:t>R. v. Potvin</w:t>
      </w:r>
      <w:r w:rsidR="005118B0" w:rsidRPr="005118B0">
        <w:rPr>
          <w:sz w:val="22"/>
          <w:szCs w:val="22"/>
          <w:lang w:val="en-CA"/>
        </w:rPr>
        <w:t>, [1993] 2 S.C.R. 880, at p. 890, per McLachlin J., concurring in the result). Allowing the Crown’s restricted right of appeal to expand beyond its scope would undermine the provision’s protection against wrongful convictions and double jeopardy</w:t>
      </w:r>
      <w:r w:rsidRPr="000E73A2">
        <w:rPr>
          <w:sz w:val="22"/>
          <w:szCs w:val="22"/>
          <w:lang w:val="en-CA"/>
        </w:rPr>
        <w:t>.</w:t>
      </w:r>
    </w:p>
    <w:p w14:paraId="2F2C97E8" w14:textId="2D1FECF9" w:rsidR="00276A1F" w:rsidRPr="000E73A2" w:rsidRDefault="009359D4" w:rsidP="0010371B">
      <w:pPr>
        <w:pStyle w:val="Paragraphe"/>
        <w:spacing w:before="180" w:after="180" w:line="280" w:lineRule="exact"/>
        <w:rPr>
          <w:lang w:val="en-CA"/>
        </w:rPr>
      </w:pPr>
      <w:r>
        <w:rPr>
          <w:lang w:val="en-CA"/>
        </w:rPr>
        <w:lastRenderedPageBreak/>
        <w:t>In</w:t>
      </w:r>
      <w:r w:rsidR="00276A1F" w:rsidRPr="000E73A2">
        <w:rPr>
          <w:lang w:val="en-CA"/>
        </w:rPr>
        <w:t xml:space="preserve"> </w:t>
      </w:r>
      <w:r w:rsidR="00276A1F" w:rsidRPr="000E73A2">
        <w:rPr>
          <w:i/>
          <w:iCs/>
          <w:lang w:val="en-CA"/>
        </w:rPr>
        <w:t>Hodgson</w:t>
      </w:r>
      <w:r w:rsidR="00276A1F" w:rsidRPr="000E73A2">
        <w:rPr>
          <w:lang w:val="en-CA"/>
        </w:rPr>
        <w:t xml:space="preserve">, </w:t>
      </w:r>
      <w:r>
        <w:rPr>
          <w:lang w:val="en-CA"/>
        </w:rPr>
        <w:t>the Supreme Court also recalled that</w:t>
      </w:r>
      <w:r w:rsidR="00276A1F" w:rsidRPr="000E73A2">
        <w:rPr>
          <w:lang w:val="en-CA"/>
        </w:rPr>
        <w:t xml:space="preserve"> </w:t>
      </w:r>
      <w:r w:rsidR="005118B0" w:rsidRPr="005118B0">
        <w:rPr>
          <w:lang w:val="en-CA"/>
        </w:rPr>
        <w:t>drawing the line between questions of law and questions of fact or of mixed fact and law can become challenging</w:t>
      </w:r>
      <w:r>
        <w:rPr>
          <w:lang w:val="en-CA"/>
        </w:rPr>
        <w:t>,</w:t>
      </w:r>
      <w:r w:rsidR="00276A1F" w:rsidRPr="000E73A2">
        <w:rPr>
          <w:rFonts w:cs="Arial"/>
          <w:szCs w:val="24"/>
          <w:vertAlign w:val="superscript"/>
          <w:lang w:val="en-CA"/>
        </w:rPr>
        <w:footnoteReference w:id="66"/>
      </w:r>
      <w:r w:rsidR="00276A1F" w:rsidRPr="000E73A2">
        <w:rPr>
          <w:lang w:val="en-CA"/>
        </w:rPr>
        <w:t xml:space="preserve"> </w:t>
      </w:r>
      <w:r w:rsidRPr="009359D4">
        <w:rPr>
          <w:lang w:val="en-CA"/>
        </w:rPr>
        <w:t xml:space="preserve">and that this difficulty often arises </w:t>
      </w:r>
      <w:r>
        <w:rPr>
          <w:lang w:val="en-CA"/>
        </w:rPr>
        <w:t xml:space="preserve">when the </w:t>
      </w:r>
      <w:r w:rsidR="005118B0" w:rsidRPr="005118B0">
        <w:rPr>
          <w:lang w:val="en-CA"/>
        </w:rPr>
        <w:t>alleged error concerns a trial judge’s assessment of the evidence</w:t>
      </w:r>
      <w:r w:rsidR="00153EC2">
        <w:rPr>
          <w:lang w:val="en-CA"/>
        </w:rPr>
        <w:t>.</w:t>
      </w:r>
      <w:r w:rsidR="00276A1F" w:rsidRPr="000E73A2">
        <w:rPr>
          <w:rFonts w:cs="Arial"/>
          <w:szCs w:val="24"/>
          <w:vertAlign w:val="superscript"/>
          <w:lang w:val="en-CA"/>
        </w:rPr>
        <w:footnoteReference w:id="67"/>
      </w:r>
      <w:r w:rsidR="00276A1F" w:rsidRPr="000E73A2">
        <w:rPr>
          <w:lang w:val="en-CA"/>
        </w:rPr>
        <w:t xml:space="preserve"> </w:t>
      </w:r>
      <w:r w:rsidRPr="009359D4">
        <w:rPr>
          <w:lang w:val="en-CA"/>
        </w:rPr>
        <w:t xml:space="preserve">However, the Court reiterated what it had </w:t>
      </w:r>
      <w:r>
        <w:rPr>
          <w:lang w:val="en-CA"/>
        </w:rPr>
        <w:t>explained</w:t>
      </w:r>
      <w:r w:rsidRPr="009359D4">
        <w:rPr>
          <w:lang w:val="en-CA"/>
        </w:rPr>
        <w:t xml:space="preserve"> in </w:t>
      </w:r>
      <w:r w:rsidRPr="009359D4">
        <w:rPr>
          <w:i/>
          <w:iCs/>
          <w:lang w:val="en-CA"/>
        </w:rPr>
        <w:t>Chung</w:t>
      </w:r>
      <w:r w:rsidRPr="009359D4">
        <w:rPr>
          <w:lang w:val="en-CA"/>
        </w:rPr>
        <w:t xml:space="preserve">, namely that, in order to </w:t>
      </w:r>
      <w:r>
        <w:rPr>
          <w:lang w:val="en-CA"/>
        </w:rPr>
        <w:t>characterize</w:t>
      </w:r>
      <w:r w:rsidRPr="009359D4">
        <w:rPr>
          <w:lang w:val="en-CA"/>
        </w:rPr>
        <w:t xml:space="preserve"> the alleged error as an error of law</w:t>
      </w:r>
      <w:r w:rsidR="00276A1F" w:rsidRPr="000E73A2">
        <w:rPr>
          <w:lang w:val="en-CA"/>
        </w:rPr>
        <w:t xml:space="preserve">, </w:t>
      </w:r>
      <w:r w:rsidR="005118B0">
        <w:rPr>
          <w:lang w:val="en-CA"/>
        </w:rPr>
        <w:t>“</w:t>
      </w:r>
      <w:r w:rsidR="005118B0" w:rsidRPr="005118B0">
        <w:rPr>
          <w:lang w:val="en-CA"/>
        </w:rPr>
        <w:t>[a]n appealable error must be traced to a question of law, rather than a question about how to weigh evidence and assess whether it meets the standard of proof</w:t>
      </w:r>
      <w:r w:rsidR="005118B0">
        <w:rPr>
          <w:lang w:val="en-CA"/>
        </w:rPr>
        <w:t>.”</w:t>
      </w:r>
      <w:r w:rsidR="00276A1F" w:rsidRPr="000E73A2">
        <w:rPr>
          <w:rFonts w:cs="Arial"/>
          <w:szCs w:val="24"/>
          <w:vertAlign w:val="superscript"/>
          <w:lang w:val="en-CA"/>
        </w:rPr>
        <w:footnoteReference w:id="68"/>
      </w:r>
    </w:p>
    <w:p w14:paraId="5CCC7BAB" w14:textId="7E8C959F" w:rsidR="00276A1F" w:rsidRPr="000E73A2" w:rsidRDefault="00A32A22" w:rsidP="0010371B">
      <w:pPr>
        <w:pStyle w:val="Paragraphe"/>
        <w:spacing w:before="180" w:after="180" w:line="280" w:lineRule="exact"/>
        <w:rPr>
          <w:lang w:val="en-CA"/>
        </w:rPr>
      </w:pPr>
      <w:r w:rsidRPr="00A32A22">
        <w:rPr>
          <w:lang w:val="en-CA"/>
        </w:rPr>
        <w:t xml:space="preserve">With these </w:t>
      </w:r>
      <w:r>
        <w:rPr>
          <w:lang w:val="en-CA"/>
        </w:rPr>
        <w:t>principles</w:t>
      </w:r>
      <w:r w:rsidRPr="00A32A22">
        <w:rPr>
          <w:lang w:val="en-CA"/>
        </w:rPr>
        <w:t xml:space="preserve"> in mind, I </w:t>
      </w:r>
      <w:r w:rsidR="00E05FE4">
        <w:rPr>
          <w:lang w:val="en-CA"/>
        </w:rPr>
        <w:t>now turn to</w:t>
      </w:r>
      <w:r w:rsidRPr="00A32A22">
        <w:rPr>
          <w:lang w:val="en-CA"/>
        </w:rPr>
        <w:t xml:space="preserve"> </w:t>
      </w:r>
      <w:r w:rsidR="00E05FE4">
        <w:rPr>
          <w:lang w:val="en-CA"/>
        </w:rPr>
        <w:t>examine</w:t>
      </w:r>
      <w:r w:rsidRPr="00A32A22">
        <w:rPr>
          <w:lang w:val="en-CA"/>
        </w:rPr>
        <w:t xml:space="preserve"> the </w:t>
      </w:r>
      <w:r>
        <w:rPr>
          <w:lang w:val="en-CA"/>
        </w:rPr>
        <w:t>grounds</w:t>
      </w:r>
      <w:r w:rsidRPr="00A32A22">
        <w:rPr>
          <w:lang w:val="en-CA"/>
        </w:rPr>
        <w:t xml:space="preserve"> of appeal, beginning with </w:t>
      </w:r>
      <w:r w:rsidR="00E05FE4">
        <w:rPr>
          <w:lang w:val="en-CA"/>
        </w:rPr>
        <w:t>that</w:t>
      </w:r>
      <w:r w:rsidRPr="00A32A22">
        <w:rPr>
          <w:lang w:val="en-CA"/>
        </w:rPr>
        <w:t xml:space="preserve"> relating to th</w:t>
      </w:r>
      <w:r>
        <w:rPr>
          <w:lang w:val="en-CA"/>
        </w:rPr>
        <w:t>e adequacy of</w:t>
      </w:r>
      <w:r w:rsidRPr="00A32A22">
        <w:rPr>
          <w:lang w:val="en-CA"/>
        </w:rPr>
        <w:t xml:space="preserve"> </w:t>
      </w:r>
      <w:r>
        <w:rPr>
          <w:lang w:val="en-CA"/>
        </w:rPr>
        <w:t>reasons</w:t>
      </w:r>
      <w:r w:rsidRPr="00A32A22">
        <w:rPr>
          <w:lang w:val="en-CA"/>
        </w:rPr>
        <w:t xml:space="preserve"> </w:t>
      </w:r>
      <w:r w:rsidR="00BD6522">
        <w:rPr>
          <w:lang w:val="en-CA"/>
        </w:rPr>
        <w:t>of</w:t>
      </w:r>
      <w:r w:rsidRPr="00A32A22">
        <w:rPr>
          <w:lang w:val="en-CA"/>
        </w:rPr>
        <w:t xml:space="preserve"> the judgment under appeal</w:t>
      </w:r>
      <w:r w:rsidR="00276A1F" w:rsidRPr="000E73A2">
        <w:rPr>
          <w:lang w:val="en-CA"/>
        </w:rPr>
        <w:t>.</w:t>
      </w:r>
    </w:p>
    <w:p w14:paraId="2BB1278A" w14:textId="77777777" w:rsidR="00276A1F" w:rsidRPr="000E73A2" w:rsidRDefault="00276A1F" w:rsidP="00756494">
      <w:pPr>
        <w:pStyle w:val="Paragraphe"/>
        <w:numPr>
          <w:ilvl w:val="0"/>
          <w:numId w:val="0"/>
        </w:numPr>
        <w:jc w:val="center"/>
        <w:rPr>
          <w:lang w:val="en-CA"/>
        </w:rPr>
      </w:pPr>
      <w:r w:rsidRPr="000E73A2">
        <w:rPr>
          <w:lang w:val="en-CA"/>
        </w:rPr>
        <w:t>*</w:t>
      </w:r>
      <w:r w:rsidRPr="000E73A2">
        <w:rPr>
          <w:lang w:val="en-CA"/>
        </w:rPr>
        <w:tab/>
        <w:t>*</w:t>
      </w:r>
      <w:r w:rsidRPr="000E73A2">
        <w:rPr>
          <w:lang w:val="en-CA"/>
        </w:rPr>
        <w:tab/>
        <w:t>*</w:t>
      </w:r>
    </w:p>
    <w:p w14:paraId="4646997F" w14:textId="7E82AB71" w:rsidR="00276A1F" w:rsidRPr="000E73A2" w:rsidRDefault="00BD6522" w:rsidP="0010371B">
      <w:pPr>
        <w:pStyle w:val="Paragraphe"/>
        <w:spacing w:before="180" w:after="180" w:line="280" w:lineRule="exact"/>
        <w:rPr>
          <w:lang w:val="en-CA"/>
        </w:rPr>
      </w:pPr>
      <w:r w:rsidRPr="00BD6522">
        <w:rPr>
          <w:lang w:val="en-CA"/>
        </w:rPr>
        <w:t>According to the Crown, the judge did not adequately explain why the</w:t>
      </w:r>
      <w:r w:rsidR="00E05FE4">
        <w:rPr>
          <w:lang w:val="en-CA"/>
        </w:rPr>
        <w:t xml:space="preserve"> </w:t>
      </w:r>
      <w:bookmarkStart w:id="31" w:name="_Hlk202512891"/>
      <w:r w:rsidR="00E05FE4">
        <w:rPr>
          <w:lang w:val="en-CA"/>
        </w:rPr>
        <w:t>facts as recounted by</w:t>
      </w:r>
      <w:r w:rsidRPr="00BD6522">
        <w:rPr>
          <w:lang w:val="en-CA"/>
        </w:rPr>
        <w:t xml:space="preserve"> respondent</w:t>
      </w:r>
      <w:r>
        <w:rPr>
          <w:lang w:val="en-CA"/>
        </w:rPr>
        <w:t xml:space="preserve"> </w:t>
      </w:r>
      <w:bookmarkEnd w:id="31"/>
      <w:r w:rsidRPr="00BD6522">
        <w:rPr>
          <w:lang w:val="en-CA"/>
        </w:rPr>
        <w:t xml:space="preserve">led him to conclude that the complainant had consented to the three sexual acts. Furthermore, the judge </w:t>
      </w:r>
      <w:r w:rsidR="00D52ADB">
        <w:rPr>
          <w:lang w:val="en-CA"/>
        </w:rPr>
        <w:t xml:space="preserve">allegedly </w:t>
      </w:r>
      <w:r w:rsidRPr="00BD6522">
        <w:rPr>
          <w:lang w:val="en-CA"/>
        </w:rPr>
        <w:t xml:space="preserve">erred in failing to address certain issues raised at </w:t>
      </w:r>
      <w:r>
        <w:rPr>
          <w:lang w:val="en-CA"/>
        </w:rPr>
        <w:t>trial</w:t>
      </w:r>
      <w:r w:rsidRPr="00BD6522">
        <w:rPr>
          <w:lang w:val="en-CA"/>
        </w:rPr>
        <w:t xml:space="preserve">, including the respondent's </w:t>
      </w:r>
      <w:r>
        <w:rPr>
          <w:lang w:val="en-CA"/>
        </w:rPr>
        <w:t>honest</w:t>
      </w:r>
      <w:r w:rsidRPr="00BD6522">
        <w:rPr>
          <w:lang w:val="en-CA"/>
        </w:rPr>
        <w:t xml:space="preserve"> but mistaken belief that the complainant had consented, as well as the issue—specific to the third incident—of a possible </w:t>
      </w:r>
      <w:r>
        <w:rPr>
          <w:lang w:val="en-CA"/>
        </w:rPr>
        <w:t>vitiation</w:t>
      </w:r>
      <w:r w:rsidRPr="00BD6522">
        <w:rPr>
          <w:lang w:val="en-CA"/>
        </w:rPr>
        <w:t xml:space="preserve"> in consent arising from a situation of abuse of power on the part of the respondent</w:t>
      </w:r>
      <w:r w:rsidR="00276A1F" w:rsidRPr="000E73A2">
        <w:rPr>
          <w:lang w:val="en-CA"/>
        </w:rPr>
        <w:t xml:space="preserve">. </w:t>
      </w:r>
    </w:p>
    <w:p w14:paraId="1D7B781A" w14:textId="163FE134" w:rsidR="00276A1F" w:rsidRPr="000E73A2" w:rsidRDefault="00BF788C" w:rsidP="0010371B">
      <w:pPr>
        <w:pStyle w:val="Paragraphe"/>
        <w:spacing w:before="180" w:after="180" w:line="280" w:lineRule="exact"/>
        <w:rPr>
          <w:lang w:val="en-CA"/>
        </w:rPr>
      </w:pPr>
      <w:r w:rsidRPr="00BF788C">
        <w:rPr>
          <w:lang w:val="en-CA"/>
        </w:rPr>
        <w:t xml:space="preserve">I consider these </w:t>
      </w:r>
      <w:r>
        <w:rPr>
          <w:lang w:val="en-CA"/>
        </w:rPr>
        <w:t>grounds</w:t>
      </w:r>
      <w:r w:rsidRPr="00BF788C">
        <w:rPr>
          <w:lang w:val="en-CA"/>
        </w:rPr>
        <w:t xml:space="preserve"> to be unfounded</w:t>
      </w:r>
      <w:r w:rsidR="00276A1F" w:rsidRPr="000E73A2">
        <w:rPr>
          <w:lang w:val="en-CA"/>
        </w:rPr>
        <w:t>.</w:t>
      </w:r>
    </w:p>
    <w:p w14:paraId="24BB448E" w14:textId="2E307312" w:rsidR="00276A1F" w:rsidRPr="000E73A2" w:rsidRDefault="00BF788C" w:rsidP="0010371B">
      <w:pPr>
        <w:pStyle w:val="Paragraphe"/>
        <w:spacing w:before="180" w:after="180" w:line="280" w:lineRule="exact"/>
        <w:rPr>
          <w:lang w:val="en-CA"/>
        </w:rPr>
      </w:pPr>
      <w:r w:rsidRPr="00BF788C">
        <w:rPr>
          <w:lang w:val="en-CA"/>
        </w:rPr>
        <w:t xml:space="preserve">As the Supreme Court </w:t>
      </w:r>
      <w:r>
        <w:rPr>
          <w:lang w:val="en-CA"/>
        </w:rPr>
        <w:t>explained</w:t>
      </w:r>
      <w:r w:rsidRPr="00BF788C">
        <w:rPr>
          <w:lang w:val="en-CA"/>
        </w:rPr>
        <w:t xml:space="preserve"> in </w:t>
      </w:r>
      <w:r w:rsidR="00276A1F" w:rsidRPr="000E73A2">
        <w:rPr>
          <w:i/>
          <w:iCs/>
          <w:lang w:val="en-CA"/>
        </w:rPr>
        <w:t>G.F.</w:t>
      </w:r>
      <w:r w:rsidRPr="00BF788C">
        <w:rPr>
          <w:lang w:val="en-CA"/>
        </w:rPr>
        <w:t>,</w:t>
      </w:r>
      <w:r w:rsidR="00276A1F" w:rsidRPr="000E73A2">
        <w:rPr>
          <w:rFonts w:cs="Arial"/>
          <w:szCs w:val="24"/>
          <w:vertAlign w:val="superscript"/>
          <w:lang w:val="en-CA"/>
        </w:rPr>
        <w:footnoteReference w:id="69"/>
      </w:r>
      <w:r w:rsidR="00276A1F" w:rsidRPr="000E73A2">
        <w:rPr>
          <w:lang w:val="en-CA"/>
        </w:rPr>
        <w:t xml:space="preserve"> </w:t>
      </w:r>
      <w:r>
        <w:rPr>
          <w:lang w:val="en-CA"/>
        </w:rPr>
        <w:t xml:space="preserve">the </w:t>
      </w:r>
      <w:r w:rsidRPr="00BF788C">
        <w:rPr>
          <w:lang w:val="en-CA"/>
        </w:rPr>
        <w:t>reasons must be both factually sufficient and legally sufficient</w:t>
      </w:r>
      <w:r w:rsidR="00276A1F" w:rsidRPr="000E73A2">
        <w:rPr>
          <w:lang w:val="en-CA"/>
        </w:rPr>
        <w:t xml:space="preserve">. </w:t>
      </w:r>
      <w:r w:rsidRPr="00BF788C">
        <w:rPr>
          <w:lang w:val="en-CA"/>
        </w:rPr>
        <w:t>Factual sufficiency is concerned with what the trial judge decided and why</w:t>
      </w:r>
      <w:r>
        <w:rPr>
          <w:lang w:val="en-CA"/>
        </w:rPr>
        <w:t>.</w:t>
      </w:r>
      <w:r w:rsidR="00276A1F" w:rsidRPr="000E73A2">
        <w:rPr>
          <w:rFonts w:cs="Arial"/>
          <w:szCs w:val="24"/>
          <w:vertAlign w:val="superscript"/>
          <w:lang w:val="en-CA"/>
        </w:rPr>
        <w:footnoteReference w:id="70"/>
      </w:r>
      <w:r w:rsidR="00276A1F" w:rsidRPr="000E73A2">
        <w:rPr>
          <w:lang w:val="en-CA"/>
        </w:rPr>
        <w:t xml:space="preserve"> </w:t>
      </w:r>
      <w:r w:rsidRPr="00BF788C">
        <w:rPr>
          <w:lang w:val="en-CA"/>
        </w:rPr>
        <w:t>Factual sufficiency is</w:t>
      </w:r>
      <w:r>
        <w:rPr>
          <w:lang w:val="en-CA"/>
        </w:rPr>
        <w:t xml:space="preserve"> </w:t>
      </w:r>
      <w:r w:rsidRPr="00BF788C">
        <w:rPr>
          <w:lang w:val="en-CA"/>
        </w:rPr>
        <w:t>a low bar</w:t>
      </w:r>
      <w:r w:rsidR="00276A1F" w:rsidRPr="000E73A2">
        <w:rPr>
          <w:lang w:val="en-CA"/>
        </w:rPr>
        <w:t xml:space="preserve">, </w:t>
      </w:r>
      <w:r>
        <w:rPr>
          <w:lang w:val="en-CA"/>
        </w:rPr>
        <w:t>notably</w:t>
      </w:r>
      <w:r w:rsidR="00113A20">
        <w:rPr>
          <w:lang w:val="en-CA"/>
        </w:rPr>
        <w:t xml:space="preserve"> because it must be considered in </w:t>
      </w:r>
      <w:r w:rsidR="00113A20" w:rsidRPr="00113A20">
        <w:rPr>
          <w:lang w:val="en-CA"/>
        </w:rPr>
        <w:t>the context of the record as a whole</w:t>
      </w:r>
      <w:r w:rsidR="00113A20">
        <w:rPr>
          <w:lang w:val="en-CA"/>
        </w:rPr>
        <w:t>.</w:t>
      </w:r>
      <w:r w:rsidR="00276A1F" w:rsidRPr="000E73A2">
        <w:rPr>
          <w:rFonts w:cs="Arial"/>
          <w:szCs w:val="24"/>
          <w:vertAlign w:val="superscript"/>
          <w:lang w:val="en-CA"/>
        </w:rPr>
        <w:footnoteReference w:id="71"/>
      </w:r>
      <w:r w:rsidR="00113A20">
        <w:rPr>
          <w:lang w:val="en-CA"/>
        </w:rPr>
        <w:t xml:space="preserve"> It follows that</w:t>
      </w:r>
      <w:r w:rsidR="00276A1F" w:rsidRPr="000E73A2">
        <w:rPr>
          <w:lang w:val="en-CA"/>
        </w:rPr>
        <w:t xml:space="preserve"> </w:t>
      </w:r>
      <w:r w:rsidR="008E7DCA">
        <w:rPr>
          <w:lang w:val="en-CA"/>
        </w:rPr>
        <w:t>“[</w:t>
      </w:r>
      <w:proofErr w:type="spellStart"/>
      <w:r w:rsidR="008E7DCA">
        <w:rPr>
          <w:lang w:val="en-CA"/>
        </w:rPr>
        <w:t>i</w:t>
      </w:r>
      <w:proofErr w:type="spellEnd"/>
      <w:r w:rsidR="008E7DCA">
        <w:rPr>
          <w:lang w:val="en-CA"/>
        </w:rPr>
        <w:t>]</w:t>
      </w:r>
      <w:r w:rsidR="008E7DCA" w:rsidRPr="008E7DCA">
        <w:rPr>
          <w:lang w:val="en-CA"/>
        </w:rPr>
        <w:t>t will be a very rare case where neither the aggrieved party nor the appellate court can understand the factual basis of the trial judge’s findings</w:t>
      </w:r>
      <w:r w:rsidR="008E7DCA">
        <w:rPr>
          <w:lang w:val="en-CA"/>
        </w:rPr>
        <w:t>.”</w:t>
      </w:r>
      <w:r w:rsidR="00276A1F" w:rsidRPr="000E73A2">
        <w:rPr>
          <w:rFonts w:cs="Arial"/>
          <w:szCs w:val="24"/>
          <w:vertAlign w:val="superscript"/>
          <w:lang w:val="en-CA"/>
        </w:rPr>
        <w:footnoteReference w:id="72"/>
      </w:r>
      <w:r w:rsidR="008E7DCA">
        <w:rPr>
          <w:lang w:val="en-CA"/>
        </w:rPr>
        <w:t xml:space="preserve"> </w:t>
      </w:r>
      <w:r w:rsidR="00113A20">
        <w:rPr>
          <w:lang w:val="en-CA"/>
        </w:rPr>
        <w:t>As for legal sufficiency</w:t>
      </w:r>
      <w:r w:rsidR="00276A1F" w:rsidRPr="000E73A2">
        <w:rPr>
          <w:lang w:val="en-CA"/>
        </w:rPr>
        <w:t xml:space="preserve">, </w:t>
      </w:r>
      <w:r w:rsidR="00113A20">
        <w:rPr>
          <w:lang w:val="en-CA"/>
        </w:rPr>
        <w:t xml:space="preserve">the reasons must allow the aggrieved party </w:t>
      </w:r>
      <w:r w:rsidR="00113A20" w:rsidRPr="00113A20">
        <w:rPr>
          <w:lang w:val="en-CA"/>
        </w:rPr>
        <w:t>to meaningfully exercise their right of appeal</w:t>
      </w:r>
      <w:r w:rsidR="00113A20">
        <w:rPr>
          <w:lang w:val="en-CA"/>
        </w:rPr>
        <w:t>:</w:t>
      </w:r>
      <w:r w:rsidR="00276A1F" w:rsidRPr="000E73A2">
        <w:rPr>
          <w:rFonts w:cs="Arial"/>
          <w:szCs w:val="24"/>
          <w:vertAlign w:val="superscript"/>
          <w:lang w:val="en-CA"/>
        </w:rPr>
        <w:footnoteReference w:id="73"/>
      </w:r>
      <w:r w:rsidR="00276A1F" w:rsidRPr="000E73A2">
        <w:rPr>
          <w:lang w:val="en-CA"/>
        </w:rPr>
        <w:t> </w:t>
      </w:r>
      <w:r w:rsidR="00073B2C">
        <w:rPr>
          <w:lang w:val="en-CA"/>
        </w:rPr>
        <w:t>“</w:t>
      </w:r>
      <w:r w:rsidR="00276A1F" w:rsidRPr="000E73A2">
        <w:rPr>
          <w:lang w:val="en-CA"/>
        </w:rPr>
        <w:t>[l]</w:t>
      </w:r>
      <w:proofErr w:type="spellStart"/>
      <w:r w:rsidR="00073B2C" w:rsidRPr="00073B2C">
        <w:rPr>
          <w:lang w:val="en-CA"/>
        </w:rPr>
        <w:t>awyers</w:t>
      </w:r>
      <w:proofErr w:type="spellEnd"/>
      <w:r w:rsidR="00073B2C" w:rsidRPr="00073B2C">
        <w:rPr>
          <w:lang w:val="en-CA"/>
        </w:rPr>
        <w:t xml:space="preserve"> must be able to discern the viability of an appeal and appellate courts must be able to determine whether an error has occurred</w:t>
      </w:r>
      <w:r w:rsidR="00073B2C">
        <w:rPr>
          <w:lang w:val="en-CA"/>
        </w:rPr>
        <w:t>.”</w:t>
      </w:r>
      <w:r w:rsidR="00276A1F" w:rsidRPr="000E73A2">
        <w:rPr>
          <w:rFonts w:cs="Arial"/>
          <w:szCs w:val="24"/>
          <w:vertAlign w:val="superscript"/>
          <w:lang w:val="en-CA"/>
        </w:rPr>
        <w:footnoteReference w:id="74"/>
      </w:r>
      <w:r w:rsidR="00276A1F" w:rsidRPr="000E73A2">
        <w:rPr>
          <w:lang w:val="en-CA"/>
        </w:rPr>
        <w:t xml:space="preserve"> </w:t>
      </w:r>
      <w:r w:rsidR="00113A20" w:rsidRPr="00113A20">
        <w:rPr>
          <w:lang w:val="en-CA"/>
        </w:rPr>
        <w:t xml:space="preserve">Furthermore, in the context of this case, I consider it important to bear in mind another well-established principle, which was reiterated by the </w:t>
      </w:r>
      <w:r w:rsidR="00113A20" w:rsidRPr="00113A20">
        <w:rPr>
          <w:lang w:val="en-CA"/>
        </w:rPr>
        <w:lastRenderedPageBreak/>
        <w:t xml:space="preserve">Supreme Court in </w:t>
      </w:r>
      <w:r w:rsidR="00276A1F" w:rsidRPr="000E73A2">
        <w:rPr>
          <w:i/>
          <w:iCs/>
          <w:lang w:val="en-CA"/>
        </w:rPr>
        <w:t>J.M.H.</w:t>
      </w:r>
      <w:r w:rsidR="00276A1F" w:rsidRPr="000E73A2">
        <w:rPr>
          <w:lang w:val="en-CA"/>
        </w:rPr>
        <w:t xml:space="preserve">: </w:t>
      </w:r>
      <w:r w:rsidR="00584F09">
        <w:rPr>
          <w:lang w:val="en-CA"/>
        </w:rPr>
        <w:t>“[a]</w:t>
      </w:r>
      <w:r w:rsidR="00584F09" w:rsidRPr="00584F09">
        <w:rPr>
          <w:lang w:val="en-CA"/>
        </w:rPr>
        <w:t xml:space="preserve"> trial judge is not required to refer to every item of evidence considered or to detail the way each item of evidence was assessed</w:t>
      </w:r>
      <w:r w:rsidR="00584F09">
        <w:rPr>
          <w:lang w:val="en-CA"/>
        </w:rPr>
        <w:t>.”</w:t>
      </w:r>
      <w:r w:rsidR="00276A1F" w:rsidRPr="000E73A2">
        <w:rPr>
          <w:rFonts w:cs="Arial"/>
          <w:szCs w:val="24"/>
          <w:vertAlign w:val="superscript"/>
          <w:lang w:val="en-CA"/>
        </w:rPr>
        <w:footnoteReference w:id="75"/>
      </w:r>
    </w:p>
    <w:p w14:paraId="3F41BD86" w14:textId="5C2C6EA2" w:rsidR="00276A1F" w:rsidRPr="000E73A2" w:rsidRDefault="00BC7296" w:rsidP="0010371B">
      <w:pPr>
        <w:pStyle w:val="Paragraphe"/>
        <w:spacing w:before="180" w:after="180" w:line="280" w:lineRule="exact"/>
        <w:rPr>
          <w:lang w:val="en-CA"/>
        </w:rPr>
      </w:pPr>
      <w:r w:rsidRPr="00BC7296">
        <w:rPr>
          <w:lang w:val="en-CA"/>
        </w:rPr>
        <w:t xml:space="preserve">Although the analysis provided in the judgment under </w:t>
      </w:r>
      <w:r>
        <w:rPr>
          <w:lang w:val="en-CA"/>
        </w:rPr>
        <w:t>appeal</w:t>
      </w:r>
      <w:r w:rsidRPr="00BC7296">
        <w:rPr>
          <w:lang w:val="en-CA"/>
        </w:rPr>
        <w:t xml:space="preserve"> is very brief, three things are clear. First, the judge accepted the respondent's testimony. He did </w:t>
      </w:r>
      <w:r>
        <w:rPr>
          <w:lang w:val="en-CA"/>
        </w:rPr>
        <w:t xml:space="preserve">not do </w:t>
      </w:r>
      <w:r w:rsidR="00D52ADB">
        <w:rPr>
          <w:lang w:val="en-CA"/>
        </w:rPr>
        <w:t xml:space="preserve">so </w:t>
      </w:r>
      <w:r>
        <w:rPr>
          <w:lang w:val="en-CA"/>
        </w:rPr>
        <w:t>peremptorily</w:t>
      </w:r>
      <w:r w:rsidRPr="00BC7296">
        <w:rPr>
          <w:lang w:val="en-CA"/>
        </w:rPr>
        <w:t xml:space="preserve">, but after finding that the respondent had testified sincerely, that his account was consistent, and that he had provided details that were both plausible and truthful. Second, the judge did not accept the complainant's testimony. He found it neither credible nor reliable because, first, the complainant had an interest in lying in order to improve her position in the child custody dispute and, second, </w:t>
      </w:r>
      <w:r>
        <w:rPr>
          <w:lang w:val="en-CA"/>
        </w:rPr>
        <w:t>because of the inconsistency</w:t>
      </w:r>
      <w:r w:rsidRPr="00BC7296">
        <w:rPr>
          <w:lang w:val="en-CA"/>
        </w:rPr>
        <w:t xml:space="preserve"> between her claim that she was afraid of the respondent and the fact that she had offered to give him </w:t>
      </w:r>
      <w:r w:rsidR="008822F4">
        <w:rPr>
          <w:lang w:val="en-CA"/>
        </w:rPr>
        <w:t xml:space="preserve">an </w:t>
      </w:r>
      <w:r w:rsidR="008822F4" w:rsidRPr="008822F4">
        <w:rPr>
          <w:lang w:val="en-CA"/>
        </w:rPr>
        <w:t>introductory course in handgun use</w:t>
      </w:r>
      <w:r w:rsidRPr="00BC7296">
        <w:rPr>
          <w:lang w:val="en-CA"/>
        </w:rPr>
        <w:t xml:space="preserve">. Finally, the judge inferred from the </w:t>
      </w:r>
      <w:r w:rsidR="00E05FE4" w:rsidRPr="00E05FE4">
        <w:rPr>
          <w:lang w:val="en-CA"/>
        </w:rPr>
        <w:t xml:space="preserve">facts as recounted by respondent </w:t>
      </w:r>
      <w:r w:rsidRPr="00BC7296">
        <w:rPr>
          <w:lang w:val="en-CA"/>
        </w:rPr>
        <w:t>— and from the audio recording, with regard to the third incident — that the complainant had subjectively and voluntarily consented to the three sexual acts</w:t>
      </w:r>
      <w:r w:rsidR="00276A1F" w:rsidRPr="000E73A2">
        <w:rPr>
          <w:lang w:val="en-CA"/>
        </w:rPr>
        <w:t>.</w:t>
      </w:r>
    </w:p>
    <w:p w14:paraId="58109186" w14:textId="43E3364D" w:rsidR="00276A1F" w:rsidRPr="000E73A2" w:rsidRDefault="008822F4" w:rsidP="0010371B">
      <w:pPr>
        <w:pStyle w:val="Paragraphe"/>
        <w:spacing w:before="180" w:after="180" w:line="280" w:lineRule="exact"/>
        <w:rPr>
          <w:lang w:val="en-CA"/>
        </w:rPr>
      </w:pPr>
      <w:r w:rsidRPr="008822F4">
        <w:rPr>
          <w:lang w:val="en-CA"/>
        </w:rPr>
        <w:t>In</w:t>
      </w:r>
      <w:r w:rsidR="00DA19FB">
        <w:rPr>
          <w:lang w:val="en-CA"/>
        </w:rPr>
        <w:t xml:space="preserve"> </w:t>
      </w:r>
      <w:r w:rsidRPr="008822F4">
        <w:rPr>
          <w:lang w:val="en-CA"/>
        </w:rPr>
        <w:t xml:space="preserve">light of these findings, </w:t>
      </w:r>
      <w:r>
        <w:rPr>
          <w:lang w:val="en-CA"/>
        </w:rPr>
        <w:t>one understands</w:t>
      </w:r>
      <w:r w:rsidRPr="008822F4">
        <w:rPr>
          <w:lang w:val="en-CA"/>
        </w:rPr>
        <w:t xml:space="preserve"> why the judge accepted the respondent's version and rejected that of the complainant. Moreover, the Crown does not question the </w:t>
      </w:r>
      <w:r w:rsidR="00DA19FB">
        <w:rPr>
          <w:lang w:val="en-CA"/>
        </w:rPr>
        <w:t>adequacy</w:t>
      </w:r>
      <w:r w:rsidRPr="008822F4">
        <w:rPr>
          <w:lang w:val="en-CA"/>
        </w:rPr>
        <w:t xml:space="preserve"> of the reasons supporting the analysis of the probative value of the respondent's testimony. Furthermore, with regard to the probative value of the complainant's testimony, the Crown</w:t>
      </w:r>
      <w:r>
        <w:rPr>
          <w:lang w:val="en-CA"/>
        </w:rPr>
        <w:t>’s submissions</w:t>
      </w:r>
      <w:r w:rsidRPr="008822F4">
        <w:rPr>
          <w:lang w:val="en-CA"/>
        </w:rPr>
        <w:t xml:space="preserve"> in support of its final ground of appeal show that it had no difficulty understanding the judge's reasoning and exercising its right of appeal</w:t>
      </w:r>
      <w:r w:rsidR="00276A1F" w:rsidRPr="000E73A2">
        <w:rPr>
          <w:lang w:val="en-CA"/>
        </w:rPr>
        <w:t>.</w:t>
      </w:r>
    </w:p>
    <w:p w14:paraId="0EABA556" w14:textId="4BA5AA7A" w:rsidR="00276A1F" w:rsidRPr="000E73A2" w:rsidRDefault="008822F4" w:rsidP="0010371B">
      <w:pPr>
        <w:pStyle w:val="Paragraphe"/>
        <w:spacing w:before="180" w:after="180" w:line="280" w:lineRule="exact"/>
        <w:rPr>
          <w:lang w:val="en-CA"/>
        </w:rPr>
      </w:pPr>
      <w:r w:rsidRPr="008822F4">
        <w:rPr>
          <w:lang w:val="en-CA"/>
        </w:rPr>
        <w:t>The judge's reasons also help to understand why he concluded that the complainant had subjectively and voluntarily consented to the three sexual acts</w:t>
      </w:r>
      <w:r w:rsidR="00276A1F" w:rsidRPr="000E73A2">
        <w:rPr>
          <w:lang w:val="en-CA"/>
        </w:rPr>
        <w:t xml:space="preserve">. </w:t>
      </w:r>
    </w:p>
    <w:p w14:paraId="69F29E0B" w14:textId="6CD6CEB0" w:rsidR="00276A1F" w:rsidRPr="000E73A2" w:rsidRDefault="008822F4" w:rsidP="0010371B">
      <w:pPr>
        <w:pStyle w:val="Paragraphe"/>
        <w:spacing w:before="180" w:after="180" w:line="280" w:lineRule="exact"/>
        <w:rPr>
          <w:lang w:val="en-CA"/>
        </w:rPr>
      </w:pPr>
      <w:r w:rsidRPr="008822F4">
        <w:rPr>
          <w:lang w:val="en-CA"/>
        </w:rPr>
        <w:t xml:space="preserve">With regard to the first incident, the conclusion is understandable in light of the fact that the court </w:t>
      </w:r>
      <w:r>
        <w:rPr>
          <w:lang w:val="en-CA"/>
        </w:rPr>
        <w:t xml:space="preserve">had </w:t>
      </w:r>
      <w:r w:rsidRPr="008822F4">
        <w:rPr>
          <w:lang w:val="en-CA"/>
        </w:rPr>
        <w:t>rejected the complainant's testimony — the only direct evidence of a lack of consent — and accepted the respondent's version that he had stopped kissing her after she told him she did not want to have sex</w:t>
      </w:r>
      <w:r w:rsidR="00276A1F" w:rsidRPr="000E73A2">
        <w:rPr>
          <w:lang w:val="en-CA"/>
        </w:rPr>
        <w:t>.</w:t>
      </w:r>
    </w:p>
    <w:p w14:paraId="1BA608FB" w14:textId="5E0F108C" w:rsidR="00276A1F" w:rsidRPr="000E73A2" w:rsidRDefault="008822F4" w:rsidP="0010371B">
      <w:pPr>
        <w:pStyle w:val="Paragraphe"/>
        <w:spacing w:before="180" w:after="180" w:line="280" w:lineRule="exact"/>
        <w:rPr>
          <w:lang w:val="en-CA"/>
        </w:rPr>
      </w:pPr>
      <w:r w:rsidRPr="008822F4">
        <w:rPr>
          <w:lang w:val="en-CA"/>
        </w:rPr>
        <w:t xml:space="preserve">With regard to the second incident, </w:t>
      </w:r>
      <w:r w:rsidR="00DA19FB">
        <w:rPr>
          <w:lang w:val="en-CA"/>
        </w:rPr>
        <w:t xml:space="preserve">we gather from </w:t>
      </w:r>
      <w:r w:rsidRPr="008822F4">
        <w:rPr>
          <w:lang w:val="en-CA"/>
        </w:rPr>
        <w:t xml:space="preserve">the judge's reasons and the defence </w:t>
      </w:r>
      <w:r w:rsidR="00AD1A1A">
        <w:rPr>
          <w:lang w:val="en-CA"/>
        </w:rPr>
        <w:t xml:space="preserve">theory </w:t>
      </w:r>
      <w:r w:rsidRPr="008822F4">
        <w:rPr>
          <w:lang w:val="en-CA"/>
        </w:rPr>
        <w:t xml:space="preserve">that he concluded that the sexual </w:t>
      </w:r>
      <w:r w:rsidR="00AD1A1A">
        <w:rPr>
          <w:lang w:val="en-CA"/>
        </w:rPr>
        <w:t>activity</w:t>
      </w:r>
      <w:r w:rsidRPr="008822F4">
        <w:rPr>
          <w:lang w:val="en-CA"/>
        </w:rPr>
        <w:t xml:space="preserve"> was consensual on the basis of the respondent's testimony that the complainant was conscious and had spread her legs in response to the touching. I </w:t>
      </w:r>
      <w:r w:rsidR="00AD1A1A">
        <w:rPr>
          <w:lang w:val="en-CA"/>
        </w:rPr>
        <w:t>pause</w:t>
      </w:r>
      <w:r w:rsidRPr="008822F4">
        <w:rPr>
          <w:lang w:val="en-CA"/>
        </w:rPr>
        <w:t xml:space="preserve"> here to emphasi</w:t>
      </w:r>
      <w:r w:rsidR="00AD1A1A">
        <w:rPr>
          <w:lang w:val="en-CA"/>
        </w:rPr>
        <w:t>z</w:t>
      </w:r>
      <w:r w:rsidRPr="008822F4">
        <w:rPr>
          <w:lang w:val="en-CA"/>
        </w:rPr>
        <w:t xml:space="preserve">e that the question is whether the judge's reasoning is </w:t>
      </w:r>
      <w:r w:rsidRPr="00AD1A1A">
        <w:rPr>
          <w:i/>
          <w:iCs/>
          <w:lang w:val="en-CA"/>
        </w:rPr>
        <w:t>understandable</w:t>
      </w:r>
      <w:r w:rsidRPr="008822F4">
        <w:rPr>
          <w:lang w:val="en-CA"/>
        </w:rPr>
        <w:t xml:space="preserve">, not whether one </w:t>
      </w:r>
      <w:r w:rsidRPr="00AD1A1A">
        <w:rPr>
          <w:i/>
          <w:iCs/>
          <w:lang w:val="en-CA"/>
        </w:rPr>
        <w:t>agrees</w:t>
      </w:r>
      <w:r w:rsidRPr="008822F4">
        <w:rPr>
          <w:lang w:val="en-CA"/>
        </w:rPr>
        <w:t xml:space="preserve"> with it. The question of whether the judge could reasonably infer from these circumstantial facts that the </w:t>
      </w:r>
      <w:r w:rsidRPr="008822F4">
        <w:rPr>
          <w:lang w:val="en-CA"/>
        </w:rPr>
        <w:lastRenderedPageBreak/>
        <w:t xml:space="preserve">complainant had consented to sexual </w:t>
      </w:r>
      <w:r w:rsidR="00DA19FB">
        <w:rPr>
          <w:lang w:val="en-CA"/>
        </w:rPr>
        <w:t>activity</w:t>
      </w:r>
      <w:r w:rsidRPr="008822F4">
        <w:rPr>
          <w:lang w:val="en-CA"/>
        </w:rPr>
        <w:t xml:space="preserve"> is a question of fact, which is entirely different from the question of whether his reasons make his reasoning understandable</w:t>
      </w:r>
      <w:r w:rsidR="00276A1F" w:rsidRPr="000E73A2">
        <w:rPr>
          <w:lang w:val="en-CA"/>
        </w:rPr>
        <w:t>.</w:t>
      </w:r>
    </w:p>
    <w:p w14:paraId="4BB337C3" w14:textId="00A30938" w:rsidR="00276A1F" w:rsidRPr="000E73A2" w:rsidRDefault="00AD1A1A" w:rsidP="00A53B38">
      <w:pPr>
        <w:pStyle w:val="Paragraphe"/>
        <w:spacing w:before="180" w:after="180" w:line="280" w:lineRule="exact"/>
        <w:rPr>
          <w:lang w:val="en-CA"/>
        </w:rPr>
      </w:pPr>
      <w:r w:rsidRPr="00AD1A1A">
        <w:rPr>
          <w:lang w:val="en-CA"/>
        </w:rPr>
        <w:t xml:space="preserve">Finally, with regard to the third incident, I </w:t>
      </w:r>
      <w:r w:rsidR="007569FF">
        <w:rPr>
          <w:lang w:val="en-CA"/>
        </w:rPr>
        <w:t>note, first,</w:t>
      </w:r>
      <w:r w:rsidRPr="00AD1A1A">
        <w:rPr>
          <w:lang w:val="en-CA"/>
        </w:rPr>
        <w:t xml:space="preserve"> that the </w:t>
      </w:r>
      <w:r>
        <w:rPr>
          <w:lang w:val="en-CA"/>
        </w:rPr>
        <w:t>Crown</w:t>
      </w:r>
      <w:r w:rsidRPr="00AD1A1A">
        <w:rPr>
          <w:lang w:val="en-CA"/>
        </w:rPr>
        <w:t xml:space="preserve"> argued at </w:t>
      </w:r>
      <w:r>
        <w:rPr>
          <w:lang w:val="en-CA"/>
        </w:rPr>
        <w:t>trial</w:t>
      </w:r>
      <w:r w:rsidRPr="00AD1A1A">
        <w:rPr>
          <w:lang w:val="en-CA"/>
        </w:rPr>
        <w:t xml:space="preserve"> that the complainant had withdrawn her consent to sexual intercourse and not that she had consented throughout the incident, but that her consent was vitiated. </w:t>
      </w:r>
      <w:r w:rsidR="007569FF">
        <w:rPr>
          <w:lang w:val="en-CA"/>
        </w:rPr>
        <w:t>T</w:t>
      </w:r>
      <w:r w:rsidRPr="00AD1A1A">
        <w:rPr>
          <w:lang w:val="en-CA"/>
        </w:rPr>
        <w:t>herefore</w:t>
      </w:r>
      <w:r w:rsidR="007569FF">
        <w:rPr>
          <w:lang w:val="en-CA"/>
        </w:rPr>
        <w:t>,</w:t>
      </w:r>
      <w:r w:rsidRPr="00AD1A1A">
        <w:rPr>
          <w:lang w:val="en-CA"/>
        </w:rPr>
        <w:t xml:space="preserve"> the judge </w:t>
      </w:r>
      <w:r w:rsidR="007569FF">
        <w:rPr>
          <w:lang w:val="en-CA"/>
        </w:rPr>
        <w:t xml:space="preserve">can hardly be faulted </w:t>
      </w:r>
      <w:r w:rsidRPr="00AD1A1A">
        <w:rPr>
          <w:lang w:val="en-CA"/>
        </w:rPr>
        <w:t xml:space="preserve">for not addressing the issue of vitiated consent. For the rest, </w:t>
      </w:r>
      <w:r w:rsidR="00B103D5">
        <w:rPr>
          <w:lang w:val="en-CA"/>
        </w:rPr>
        <w:t>we gather</w:t>
      </w:r>
      <w:r w:rsidRPr="00AD1A1A">
        <w:rPr>
          <w:lang w:val="en-CA"/>
        </w:rPr>
        <w:t xml:space="preserve"> from his reason</w:t>
      </w:r>
      <w:r>
        <w:rPr>
          <w:lang w:val="en-CA"/>
        </w:rPr>
        <w:t>s</w:t>
      </w:r>
      <w:r w:rsidRPr="00AD1A1A">
        <w:rPr>
          <w:lang w:val="en-CA"/>
        </w:rPr>
        <w:t xml:space="preserve"> and the defence</w:t>
      </w:r>
      <w:r>
        <w:rPr>
          <w:lang w:val="en-CA"/>
        </w:rPr>
        <w:t xml:space="preserve"> theory</w:t>
      </w:r>
      <w:r w:rsidRPr="00AD1A1A">
        <w:rPr>
          <w:lang w:val="en-CA"/>
        </w:rPr>
        <w:t xml:space="preserve"> that he concluded that the complainant's consent could be inferred from her actions and words and from the fact — confirmed by the audio recording — that she never asked the respondent to stop penetrating her. Again, the question is not whether this reasoning is convincing, but only whether it satisfies the requirements set out in </w:t>
      </w:r>
      <w:r w:rsidRPr="00AD1A1A">
        <w:rPr>
          <w:i/>
          <w:iCs/>
          <w:lang w:val="en-CA"/>
        </w:rPr>
        <w:t>G.F.</w:t>
      </w:r>
      <w:r w:rsidR="00C3108A">
        <w:rPr>
          <w:rStyle w:val="Appelnotedebasdep"/>
          <w:i/>
          <w:iCs/>
        </w:rPr>
        <w:footnoteReference w:id="76"/>
      </w:r>
      <w:r w:rsidRPr="00AD1A1A">
        <w:rPr>
          <w:lang w:val="en-CA"/>
        </w:rPr>
        <w:t xml:space="preserve">. </w:t>
      </w:r>
      <w:r w:rsidR="007569FF">
        <w:rPr>
          <w:lang w:val="en-CA"/>
        </w:rPr>
        <w:t>In my opinion,</w:t>
      </w:r>
      <w:r w:rsidRPr="00AD1A1A">
        <w:rPr>
          <w:lang w:val="en-CA"/>
        </w:rPr>
        <w:t xml:space="preserve"> it does</w:t>
      </w:r>
      <w:r w:rsidR="00276A1F" w:rsidRPr="000E73A2">
        <w:rPr>
          <w:lang w:val="en-CA"/>
        </w:rPr>
        <w:t>.</w:t>
      </w:r>
    </w:p>
    <w:p w14:paraId="356EFE9F" w14:textId="431B5691" w:rsidR="00276A1F" w:rsidRPr="000E73A2" w:rsidRDefault="007569FF" w:rsidP="00A53B38">
      <w:pPr>
        <w:pStyle w:val="Paragraphe"/>
        <w:spacing w:before="180" w:after="180" w:line="280" w:lineRule="exact"/>
        <w:rPr>
          <w:lang w:val="en-CA"/>
        </w:rPr>
      </w:pPr>
      <w:r>
        <w:rPr>
          <w:lang w:val="en-CA"/>
        </w:rPr>
        <w:t>I would</w:t>
      </w:r>
      <w:r w:rsidRPr="007569FF">
        <w:rPr>
          <w:lang w:val="en-CA"/>
        </w:rPr>
        <w:t xml:space="preserve"> ad</w:t>
      </w:r>
      <w:r>
        <w:rPr>
          <w:lang w:val="en-CA"/>
        </w:rPr>
        <w:t>d</w:t>
      </w:r>
      <w:r w:rsidRPr="007569FF">
        <w:rPr>
          <w:lang w:val="en-CA"/>
        </w:rPr>
        <w:t xml:space="preserve"> that, </w:t>
      </w:r>
      <w:r>
        <w:rPr>
          <w:lang w:val="en-CA"/>
        </w:rPr>
        <w:t>because</w:t>
      </w:r>
      <w:r w:rsidRPr="007569FF">
        <w:rPr>
          <w:lang w:val="en-CA"/>
        </w:rPr>
        <w:t xml:space="preserve"> the judge concluded that the complainant had subjectively and voluntarily consented to the three sexual acts, he did not have to consider whether the respondent could rely on the defence of </w:t>
      </w:r>
      <w:r>
        <w:rPr>
          <w:lang w:val="en-CA"/>
        </w:rPr>
        <w:t>honest</w:t>
      </w:r>
      <w:r w:rsidRPr="007569FF">
        <w:rPr>
          <w:lang w:val="en-CA"/>
        </w:rPr>
        <w:t xml:space="preserve"> but mistaken belief in </w:t>
      </w:r>
      <w:r w:rsidR="00B103D5">
        <w:rPr>
          <w:lang w:val="en-CA"/>
        </w:rPr>
        <w:t xml:space="preserve">communicated </w:t>
      </w:r>
      <w:r w:rsidRPr="007569FF">
        <w:rPr>
          <w:lang w:val="en-CA"/>
        </w:rPr>
        <w:t xml:space="preserve">consent. The fact that his reasons do not mention this is therefore </w:t>
      </w:r>
      <w:r>
        <w:rPr>
          <w:lang w:val="en-CA"/>
        </w:rPr>
        <w:t>of no consequence</w:t>
      </w:r>
      <w:r w:rsidR="00276A1F" w:rsidRPr="000E73A2">
        <w:rPr>
          <w:lang w:val="en-CA"/>
        </w:rPr>
        <w:t>.</w:t>
      </w:r>
    </w:p>
    <w:p w14:paraId="7E2AD7E0" w14:textId="10011B65" w:rsidR="00276A1F" w:rsidRPr="000E73A2" w:rsidRDefault="0070198A" w:rsidP="001E0B88">
      <w:pPr>
        <w:pStyle w:val="Paragraphe"/>
        <w:spacing w:before="180" w:after="180" w:line="280" w:lineRule="exact"/>
        <w:rPr>
          <w:lang w:val="en-CA"/>
        </w:rPr>
      </w:pPr>
      <w:r w:rsidRPr="0070198A">
        <w:rPr>
          <w:lang w:val="en-CA"/>
        </w:rPr>
        <w:t>In light of these factors — and bearing in mind that the reason</w:t>
      </w:r>
      <w:r>
        <w:rPr>
          <w:lang w:val="en-CA"/>
        </w:rPr>
        <w:t>s given in</w:t>
      </w:r>
      <w:r w:rsidRPr="0070198A">
        <w:rPr>
          <w:lang w:val="en-CA"/>
        </w:rPr>
        <w:t xml:space="preserve"> first instance judgments do not have to be perfect</w:t>
      </w:r>
      <w:r>
        <w:rPr>
          <w:lang w:val="en-CA"/>
        </w:rPr>
        <w:t>,</w:t>
      </w:r>
      <w:r w:rsidR="00276A1F" w:rsidRPr="000E73A2">
        <w:rPr>
          <w:rFonts w:cs="Arial"/>
          <w:szCs w:val="24"/>
          <w:vertAlign w:val="superscript"/>
          <w:lang w:val="en-CA"/>
        </w:rPr>
        <w:footnoteReference w:id="77"/>
      </w:r>
      <w:r>
        <w:rPr>
          <w:color w:val="000000"/>
          <w:lang w:val="en-CA"/>
        </w:rPr>
        <w:t xml:space="preserve"> especially in the case of judgments rendered orally</w:t>
      </w:r>
      <w:r w:rsidR="00276A1F" w:rsidRPr="000E73A2">
        <w:rPr>
          <w:rFonts w:cs="Arial"/>
          <w:szCs w:val="24"/>
          <w:vertAlign w:val="superscript"/>
          <w:lang w:val="en-CA"/>
        </w:rPr>
        <w:footnoteReference w:id="78"/>
      </w:r>
      <w:r w:rsidR="00276A1F" w:rsidRPr="000E73A2">
        <w:rPr>
          <w:color w:val="000000"/>
          <w:lang w:val="en-CA"/>
        </w:rPr>
        <w:t xml:space="preserve"> —</w:t>
      </w:r>
      <w:r w:rsidR="00276A1F" w:rsidRPr="000E73A2">
        <w:rPr>
          <w:lang w:val="en-CA"/>
        </w:rPr>
        <w:t xml:space="preserve">, </w:t>
      </w:r>
      <w:r w:rsidRPr="0070198A">
        <w:rPr>
          <w:lang w:val="en-CA"/>
        </w:rPr>
        <w:t xml:space="preserve">I am of the opinion that the judgment under </w:t>
      </w:r>
      <w:r>
        <w:rPr>
          <w:lang w:val="en-CA"/>
        </w:rPr>
        <w:t>appeal</w:t>
      </w:r>
      <w:r w:rsidRPr="0070198A">
        <w:rPr>
          <w:lang w:val="en-CA"/>
        </w:rPr>
        <w:t xml:space="preserve"> is sufficiently substantiated in fact and that the imperfections it contains did not prevent the Crown from exercising its right of appeal. All in all, I agree with the respondent that, under the guise of </w:t>
      </w:r>
      <w:r>
        <w:rPr>
          <w:lang w:val="en-CA"/>
        </w:rPr>
        <w:t>inadequacies</w:t>
      </w:r>
      <w:r w:rsidRPr="0070198A">
        <w:rPr>
          <w:lang w:val="en-CA"/>
        </w:rPr>
        <w:t xml:space="preserve"> in the reaso</w:t>
      </w:r>
      <w:r>
        <w:rPr>
          <w:lang w:val="en-CA"/>
        </w:rPr>
        <w:t>ns</w:t>
      </w:r>
      <w:r w:rsidRPr="0070198A">
        <w:rPr>
          <w:lang w:val="en-CA"/>
        </w:rPr>
        <w:t xml:space="preserve"> of the judgment under appeal, the </w:t>
      </w:r>
      <w:r>
        <w:rPr>
          <w:lang w:val="en-CA"/>
        </w:rPr>
        <w:t>Crown</w:t>
      </w:r>
      <w:r w:rsidRPr="0070198A">
        <w:rPr>
          <w:lang w:val="en-CA"/>
        </w:rPr>
        <w:t xml:space="preserve"> is in fact seeking to indirectly challenge findings of fact that it is not permitted to challenge because of the limited scope of its right of appeal. In the circumstances, it seems </w:t>
      </w:r>
      <w:r>
        <w:rPr>
          <w:lang w:val="en-CA"/>
        </w:rPr>
        <w:t>fitting</w:t>
      </w:r>
      <w:r w:rsidRPr="0070198A">
        <w:rPr>
          <w:lang w:val="en-CA"/>
        </w:rPr>
        <w:t xml:space="preserve"> to recall the teachings of </w:t>
      </w:r>
      <w:r w:rsidR="00276A1F" w:rsidRPr="000E73A2">
        <w:rPr>
          <w:i/>
          <w:iCs/>
          <w:lang w:val="en-CA"/>
        </w:rPr>
        <w:t>Walker</w:t>
      </w:r>
      <w:r w:rsidRPr="0070198A">
        <w:rPr>
          <w:lang w:val="en-CA"/>
        </w:rPr>
        <w:t>:</w:t>
      </w:r>
      <w:r w:rsidR="00276A1F" w:rsidRPr="000E73A2">
        <w:rPr>
          <w:rStyle w:val="Appelnotedebasdep"/>
          <w:color w:val="000000"/>
          <w:lang w:val="en-CA"/>
        </w:rPr>
        <w:footnoteReference w:id="79"/>
      </w:r>
    </w:p>
    <w:p w14:paraId="4CA89C78" w14:textId="26B47B05" w:rsidR="00276A1F" w:rsidRPr="000E73A2" w:rsidRDefault="00276A1F" w:rsidP="00756494">
      <w:pPr>
        <w:pStyle w:val="Paragraphe"/>
        <w:numPr>
          <w:ilvl w:val="0"/>
          <w:numId w:val="0"/>
        </w:numPr>
        <w:spacing w:line="240" w:lineRule="auto"/>
        <w:ind w:left="567" w:right="567"/>
        <w:rPr>
          <w:color w:val="000000"/>
          <w:sz w:val="22"/>
          <w:szCs w:val="22"/>
          <w:lang w:val="en-CA"/>
        </w:rPr>
      </w:pPr>
      <w:r w:rsidRPr="000E73A2">
        <w:rPr>
          <w:color w:val="000000"/>
          <w:sz w:val="22"/>
          <w:szCs w:val="22"/>
          <w:lang w:val="en-CA"/>
        </w:rPr>
        <w:t>[</w:t>
      </w:r>
      <w:r w:rsidR="00C525B0">
        <w:rPr>
          <w:color w:val="000000"/>
          <w:sz w:val="22"/>
          <w:szCs w:val="22"/>
          <w:lang w:val="en-CA"/>
        </w:rPr>
        <w:t>W</w:t>
      </w:r>
      <w:r w:rsidRPr="000E73A2">
        <w:rPr>
          <w:color w:val="000000"/>
          <w:sz w:val="22"/>
          <w:szCs w:val="22"/>
          <w:lang w:val="en-CA"/>
        </w:rPr>
        <w:t>]</w:t>
      </w:r>
      <w:proofErr w:type="spellStart"/>
      <w:r w:rsidR="00C525B0" w:rsidRPr="00C525B0">
        <w:rPr>
          <w:color w:val="000000"/>
          <w:sz w:val="22"/>
          <w:szCs w:val="22"/>
          <w:lang w:val="en-CA"/>
        </w:rPr>
        <w:t>hile</w:t>
      </w:r>
      <w:proofErr w:type="spellEnd"/>
      <w:r w:rsidR="00C525B0" w:rsidRPr="00C525B0">
        <w:rPr>
          <w:color w:val="000000"/>
          <w:sz w:val="22"/>
          <w:szCs w:val="22"/>
          <w:lang w:val="en-CA"/>
        </w:rPr>
        <w:t xml:space="preserve"> the trial judge’s duty to give reasons applies generally to acquittals as much as to convictions, the content of the reasons necessary to give full effect to the right of appeal is governed by the different issues to which the reasons are directed on an acquittal (perhaps no more than the basis of a reasonable doubt) and a conviction (factual findings showing the pathway to conviction, explaining why significant elements of the evidence are accepted, rejected or fail to raise a reasonable doubt).  </w:t>
      </w:r>
      <w:r w:rsidR="00C525B0" w:rsidRPr="00C525B0">
        <w:rPr>
          <w:color w:val="000000"/>
          <w:sz w:val="22"/>
          <w:szCs w:val="22"/>
          <w:u w:val="single"/>
          <w:lang w:val="en-CA"/>
        </w:rPr>
        <w:t xml:space="preserve">Caution must be taken to avoid seizing on perceived deficiencies in a trial judge’s </w:t>
      </w:r>
      <w:r w:rsidR="00C525B0" w:rsidRPr="00C525B0">
        <w:rPr>
          <w:color w:val="000000"/>
          <w:sz w:val="22"/>
          <w:szCs w:val="22"/>
          <w:u w:val="single"/>
          <w:lang w:val="en-CA"/>
        </w:rPr>
        <w:lastRenderedPageBreak/>
        <w:t xml:space="preserve">reasons for acquittal to create a ground of “unreasonable acquittal” which is not open to the court under the provisions of the </w:t>
      </w:r>
      <w:r w:rsidR="00C525B0" w:rsidRPr="00C525B0">
        <w:rPr>
          <w:i/>
          <w:iCs/>
          <w:color w:val="000000"/>
          <w:sz w:val="22"/>
          <w:szCs w:val="22"/>
          <w:u w:val="single"/>
          <w:lang w:val="en-CA"/>
        </w:rPr>
        <w:t>Criminal Cod</w:t>
      </w:r>
      <w:r w:rsidR="00C525B0">
        <w:rPr>
          <w:i/>
          <w:iCs/>
          <w:color w:val="000000"/>
          <w:sz w:val="22"/>
          <w:szCs w:val="22"/>
          <w:u w:val="single"/>
          <w:lang w:val="en-CA"/>
        </w:rPr>
        <w:t>e</w:t>
      </w:r>
      <w:r w:rsidR="00C525B0" w:rsidRPr="00C525B0">
        <w:rPr>
          <w:color w:val="000000"/>
          <w:sz w:val="22"/>
          <w:szCs w:val="22"/>
          <w:lang w:val="en-CA"/>
        </w:rPr>
        <w:t>, R.S.C. 1985, c. C-46 (“</w:t>
      </w:r>
      <w:r w:rsidR="00C525B0" w:rsidRPr="00C525B0">
        <w:rPr>
          <w:i/>
          <w:iCs/>
          <w:color w:val="000000"/>
          <w:sz w:val="22"/>
          <w:szCs w:val="22"/>
          <w:lang w:val="en-CA"/>
        </w:rPr>
        <w:t>Cr. C.</w:t>
      </w:r>
      <w:r w:rsidR="00C525B0" w:rsidRPr="00C525B0">
        <w:rPr>
          <w:color w:val="000000"/>
          <w:sz w:val="22"/>
          <w:szCs w:val="22"/>
          <w:lang w:val="en-CA"/>
        </w:rPr>
        <w:t>”)</w:t>
      </w:r>
      <w:r w:rsidRPr="000E73A2">
        <w:rPr>
          <w:color w:val="000000"/>
          <w:sz w:val="22"/>
          <w:szCs w:val="22"/>
          <w:lang w:val="en-CA"/>
        </w:rPr>
        <w:t>). […]</w:t>
      </w:r>
    </w:p>
    <w:p w14:paraId="7B87773D" w14:textId="088B601D" w:rsidR="00276A1F" w:rsidRPr="000E73A2" w:rsidRDefault="00276A1F" w:rsidP="00756494">
      <w:pPr>
        <w:pStyle w:val="Paragraphe"/>
        <w:numPr>
          <w:ilvl w:val="0"/>
          <w:numId w:val="0"/>
        </w:numPr>
        <w:spacing w:line="240" w:lineRule="auto"/>
        <w:ind w:left="567" w:right="567"/>
        <w:jc w:val="right"/>
        <w:rPr>
          <w:color w:val="000000"/>
          <w:sz w:val="22"/>
          <w:szCs w:val="22"/>
          <w:lang w:val="en-CA"/>
        </w:rPr>
      </w:pPr>
      <w:r w:rsidRPr="000E73A2">
        <w:rPr>
          <w:color w:val="000000"/>
          <w:sz w:val="22"/>
          <w:szCs w:val="22"/>
          <w:lang w:val="en-CA"/>
        </w:rPr>
        <w:t>[</w:t>
      </w:r>
      <w:r w:rsidR="0070198A">
        <w:rPr>
          <w:color w:val="000000"/>
          <w:sz w:val="22"/>
          <w:szCs w:val="22"/>
          <w:lang w:val="en-CA"/>
        </w:rPr>
        <w:t>Italics in the original, underling added</w:t>
      </w:r>
      <w:r w:rsidRPr="000E73A2">
        <w:rPr>
          <w:color w:val="000000"/>
          <w:sz w:val="22"/>
          <w:szCs w:val="22"/>
          <w:lang w:val="en-CA"/>
        </w:rPr>
        <w:t>]</w:t>
      </w:r>
    </w:p>
    <w:p w14:paraId="16F66296" w14:textId="63B04A8A" w:rsidR="00276A1F" w:rsidRPr="000E73A2" w:rsidRDefault="009F2666" w:rsidP="0010371B">
      <w:pPr>
        <w:pStyle w:val="Paragraphe"/>
        <w:spacing w:before="180" w:after="180" w:line="280" w:lineRule="exact"/>
        <w:rPr>
          <w:lang w:val="en-CA"/>
        </w:rPr>
      </w:pPr>
      <w:r>
        <w:rPr>
          <w:lang w:val="en-CA"/>
        </w:rPr>
        <w:t>Therefore, in my opinion</w:t>
      </w:r>
      <w:r w:rsidR="0070198A" w:rsidRPr="0070198A">
        <w:rPr>
          <w:lang w:val="en-CA"/>
        </w:rPr>
        <w:t xml:space="preserve"> the ground of appeal </w:t>
      </w:r>
      <w:r>
        <w:rPr>
          <w:lang w:val="en-CA"/>
        </w:rPr>
        <w:t>based on the inadequacy of</w:t>
      </w:r>
      <w:r w:rsidR="0070198A" w:rsidRPr="0070198A">
        <w:rPr>
          <w:lang w:val="en-CA"/>
        </w:rPr>
        <w:t xml:space="preserve"> the </w:t>
      </w:r>
      <w:r>
        <w:rPr>
          <w:lang w:val="en-CA"/>
        </w:rPr>
        <w:t xml:space="preserve">trial judge’s </w:t>
      </w:r>
      <w:r w:rsidR="0070198A" w:rsidRPr="0070198A">
        <w:rPr>
          <w:lang w:val="en-CA"/>
        </w:rPr>
        <w:t xml:space="preserve">reasons </w:t>
      </w:r>
      <w:r>
        <w:rPr>
          <w:lang w:val="en-CA"/>
        </w:rPr>
        <w:t>should</w:t>
      </w:r>
      <w:r w:rsidR="0070198A" w:rsidRPr="0070198A">
        <w:rPr>
          <w:lang w:val="en-CA"/>
        </w:rPr>
        <w:t xml:space="preserve"> be rejected</w:t>
      </w:r>
      <w:r w:rsidR="00276A1F" w:rsidRPr="000E73A2">
        <w:rPr>
          <w:lang w:val="en-CA"/>
        </w:rPr>
        <w:t>.</w:t>
      </w:r>
    </w:p>
    <w:p w14:paraId="0530DF0D" w14:textId="77777777" w:rsidR="00276A1F" w:rsidRPr="000E73A2" w:rsidRDefault="00276A1F" w:rsidP="00756494">
      <w:pPr>
        <w:pStyle w:val="Paragraphe"/>
        <w:numPr>
          <w:ilvl w:val="0"/>
          <w:numId w:val="0"/>
        </w:numPr>
        <w:jc w:val="center"/>
        <w:rPr>
          <w:lang w:val="en-CA"/>
        </w:rPr>
      </w:pPr>
      <w:r w:rsidRPr="000E73A2">
        <w:rPr>
          <w:lang w:val="en-CA"/>
        </w:rPr>
        <w:t>*</w:t>
      </w:r>
      <w:r w:rsidRPr="000E73A2">
        <w:rPr>
          <w:lang w:val="en-CA"/>
        </w:rPr>
        <w:tab/>
        <w:t>*</w:t>
      </w:r>
      <w:r w:rsidRPr="000E73A2">
        <w:rPr>
          <w:lang w:val="en-CA"/>
        </w:rPr>
        <w:tab/>
        <w:t>*</w:t>
      </w:r>
    </w:p>
    <w:p w14:paraId="3EE99EEF" w14:textId="09B5B226" w:rsidR="00276A1F" w:rsidRPr="000E73A2" w:rsidRDefault="00B8219A" w:rsidP="0010371B">
      <w:pPr>
        <w:pStyle w:val="Paragraphe"/>
        <w:spacing w:before="180" w:after="180" w:line="280" w:lineRule="exact"/>
        <w:rPr>
          <w:lang w:val="en-CA"/>
        </w:rPr>
      </w:pPr>
      <w:r w:rsidRPr="00B8219A">
        <w:rPr>
          <w:lang w:val="en-CA"/>
        </w:rPr>
        <w:t xml:space="preserve">The Crown </w:t>
      </w:r>
      <w:r w:rsidR="009E5265">
        <w:rPr>
          <w:lang w:val="en-CA"/>
        </w:rPr>
        <w:t>also</w:t>
      </w:r>
      <w:r w:rsidRPr="00B8219A">
        <w:rPr>
          <w:lang w:val="en-CA"/>
        </w:rPr>
        <w:t xml:space="preserve"> challenge</w:t>
      </w:r>
      <w:r w:rsidR="009E5265">
        <w:rPr>
          <w:lang w:val="en-CA"/>
        </w:rPr>
        <w:t>s</w:t>
      </w:r>
      <w:r w:rsidRPr="00B8219A">
        <w:rPr>
          <w:lang w:val="en-CA"/>
        </w:rPr>
        <w:t xml:space="preserve"> the judge's analysis of the respondent's version of events. Essentially, it argue</w:t>
      </w:r>
      <w:r w:rsidR="009E5265">
        <w:rPr>
          <w:lang w:val="en-CA"/>
        </w:rPr>
        <w:t>s</w:t>
      </w:r>
      <w:r w:rsidRPr="00B8219A">
        <w:rPr>
          <w:lang w:val="en-CA"/>
        </w:rPr>
        <w:t xml:space="preserve"> that the </w:t>
      </w:r>
      <w:r w:rsidR="00D52ADB" w:rsidRPr="00D52ADB">
        <w:rPr>
          <w:lang w:val="en-CA"/>
        </w:rPr>
        <w:t xml:space="preserve">facts as recounted by </w:t>
      </w:r>
      <w:r w:rsidR="00D52ADB">
        <w:rPr>
          <w:lang w:val="en-CA"/>
        </w:rPr>
        <w:t>the latter</w:t>
      </w:r>
      <w:r w:rsidR="00D52ADB" w:rsidRPr="00D52ADB">
        <w:rPr>
          <w:lang w:val="en-CA"/>
        </w:rPr>
        <w:t xml:space="preserve"> </w:t>
      </w:r>
      <w:r w:rsidRPr="00B8219A">
        <w:rPr>
          <w:lang w:val="en-CA"/>
        </w:rPr>
        <w:t>— which the judge had necessarily accepted, since he</w:t>
      </w:r>
      <w:r>
        <w:rPr>
          <w:lang w:val="en-CA"/>
        </w:rPr>
        <w:t xml:space="preserve"> </w:t>
      </w:r>
      <w:r w:rsidRPr="00B8219A">
        <w:rPr>
          <w:lang w:val="en-CA"/>
        </w:rPr>
        <w:t xml:space="preserve">found his testimony to be probative as a whole — established that the three sexual </w:t>
      </w:r>
      <w:r w:rsidR="00082D97">
        <w:rPr>
          <w:lang w:val="en-CA"/>
        </w:rPr>
        <w:t>encounters</w:t>
      </w:r>
      <w:r w:rsidRPr="00B8219A">
        <w:rPr>
          <w:lang w:val="en-CA"/>
        </w:rPr>
        <w:t xml:space="preserve"> were non-consensual. In </w:t>
      </w:r>
      <w:r>
        <w:rPr>
          <w:lang w:val="en-CA"/>
        </w:rPr>
        <w:t>its</w:t>
      </w:r>
      <w:r w:rsidRPr="00B8219A">
        <w:rPr>
          <w:lang w:val="en-CA"/>
        </w:rPr>
        <w:t xml:space="preserve"> view, the errors allegedly made by the judge constitute</w:t>
      </w:r>
      <w:r w:rsidR="00082D97">
        <w:rPr>
          <w:lang w:val="en-CA"/>
        </w:rPr>
        <w:t>d</w:t>
      </w:r>
      <w:r w:rsidRPr="00B8219A">
        <w:rPr>
          <w:lang w:val="en-CA"/>
        </w:rPr>
        <w:t xml:space="preserve"> errors of law, since they </w:t>
      </w:r>
      <w:r w:rsidR="00082D97">
        <w:rPr>
          <w:lang w:val="en-CA"/>
        </w:rPr>
        <w:t>were</w:t>
      </w:r>
      <w:r w:rsidRPr="00B8219A">
        <w:rPr>
          <w:lang w:val="en-CA"/>
        </w:rPr>
        <w:t xml:space="preserve"> errors relating to the legal consequences of facts that ha</w:t>
      </w:r>
      <w:r w:rsidR="00082D97">
        <w:rPr>
          <w:lang w:val="en-CA"/>
        </w:rPr>
        <w:t>d</w:t>
      </w:r>
      <w:r w:rsidRPr="00B8219A">
        <w:rPr>
          <w:lang w:val="en-CA"/>
        </w:rPr>
        <w:t xml:space="preserve"> been established or </w:t>
      </w:r>
      <w:r w:rsidR="00082D97">
        <w:rPr>
          <w:lang w:val="en-CA"/>
        </w:rPr>
        <w:t>were</w:t>
      </w:r>
      <w:r w:rsidRPr="00B8219A">
        <w:rPr>
          <w:lang w:val="en-CA"/>
        </w:rPr>
        <w:t xml:space="preserve"> </w:t>
      </w:r>
      <w:r>
        <w:rPr>
          <w:lang w:val="en-CA"/>
        </w:rPr>
        <w:t>un</w:t>
      </w:r>
      <w:r w:rsidRPr="00B8219A">
        <w:rPr>
          <w:lang w:val="en-CA"/>
        </w:rPr>
        <w:t xml:space="preserve">disputed within the meaning of </w:t>
      </w:r>
      <w:r w:rsidR="00276A1F" w:rsidRPr="000E73A2">
        <w:rPr>
          <w:i/>
          <w:iCs/>
          <w:lang w:val="en-CA"/>
        </w:rPr>
        <w:t>J.M.H.</w:t>
      </w:r>
      <w:r w:rsidR="00082D97" w:rsidRPr="00082D97">
        <w:rPr>
          <w:lang w:val="en-CA"/>
        </w:rPr>
        <w:t>.</w:t>
      </w:r>
      <w:r w:rsidR="00276A1F" w:rsidRPr="000E73A2">
        <w:rPr>
          <w:rFonts w:cs="Arial"/>
          <w:szCs w:val="24"/>
          <w:vertAlign w:val="superscript"/>
          <w:lang w:val="en-CA"/>
        </w:rPr>
        <w:footnoteReference w:id="80"/>
      </w:r>
      <w:r w:rsidR="00276A1F" w:rsidRPr="000E73A2">
        <w:rPr>
          <w:lang w:val="en-CA"/>
        </w:rPr>
        <w:t xml:space="preserve"> </w:t>
      </w:r>
      <w:r w:rsidRPr="00B8219A">
        <w:rPr>
          <w:lang w:val="en-CA"/>
        </w:rPr>
        <w:t xml:space="preserve">In other words, the judge </w:t>
      </w:r>
      <w:r w:rsidR="00082D97">
        <w:rPr>
          <w:lang w:val="en-CA"/>
        </w:rPr>
        <w:t xml:space="preserve">allegedly </w:t>
      </w:r>
      <w:r>
        <w:rPr>
          <w:lang w:val="en-CA"/>
        </w:rPr>
        <w:t>drew</w:t>
      </w:r>
      <w:r w:rsidRPr="00B8219A">
        <w:rPr>
          <w:lang w:val="en-CA"/>
        </w:rPr>
        <w:t xml:space="preserve"> </w:t>
      </w:r>
      <w:r>
        <w:rPr>
          <w:lang w:val="en-CA"/>
        </w:rPr>
        <w:t>incorrect</w:t>
      </w:r>
      <w:r w:rsidRPr="00B8219A">
        <w:rPr>
          <w:lang w:val="en-CA"/>
        </w:rPr>
        <w:t xml:space="preserve"> legal conclusions from the </w:t>
      </w:r>
      <w:r w:rsidR="00D52ADB" w:rsidRPr="00D52ADB">
        <w:rPr>
          <w:lang w:val="en-CA"/>
        </w:rPr>
        <w:t xml:space="preserve">facts as recounted by respondent </w:t>
      </w:r>
      <w:r w:rsidR="00D52ADB">
        <w:rPr>
          <w:lang w:val="en-CA"/>
        </w:rPr>
        <w:t>as to</w:t>
      </w:r>
      <w:r w:rsidRPr="00B8219A">
        <w:rPr>
          <w:lang w:val="en-CA"/>
        </w:rPr>
        <w:t xml:space="preserve"> the circumstances of the three sexual encounters</w:t>
      </w:r>
      <w:r w:rsidR="00276A1F" w:rsidRPr="000E73A2">
        <w:rPr>
          <w:lang w:val="en-CA"/>
        </w:rPr>
        <w:t>.</w:t>
      </w:r>
    </w:p>
    <w:p w14:paraId="23830CEB" w14:textId="6B0CE7DF" w:rsidR="00276A1F" w:rsidRPr="000E73A2" w:rsidRDefault="00B8219A" w:rsidP="0010371B">
      <w:pPr>
        <w:pStyle w:val="Paragraphe"/>
        <w:spacing w:before="180" w:after="180" w:line="280" w:lineRule="exact"/>
        <w:rPr>
          <w:lang w:val="en-CA"/>
        </w:rPr>
      </w:pPr>
      <w:r w:rsidRPr="00B8219A">
        <w:rPr>
          <w:lang w:val="en-CA"/>
        </w:rPr>
        <w:t xml:space="preserve">In my view, the Crown is </w:t>
      </w:r>
      <w:r w:rsidR="00082D97">
        <w:rPr>
          <w:lang w:val="en-CA"/>
        </w:rPr>
        <w:t>mistaken</w:t>
      </w:r>
      <w:r w:rsidRPr="00B8219A">
        <w:rPr>
          <w:lang w:val="en-CA"/>
        </w:rPr>
        <w:t xml:space="preserve"> </w:t>
      </w:r>
      <w:r w:rsidR="00082D97">
        <w:rPr>
          <w:lang w:val="en-CA"/>
        </w:rPr>
        <w:t>as to</w:t>
      </w:r>
      <w:r w:rsidRPr="00B8219A">
        <w:rPr>
          <w:lang w:val="en-CA"/>
        </w:rPr>
        <w:t xml:space="preserve"> the nature of the issues raised by this part of its appeal</w:t>
      </w:r>
      <w:r w:rsidR="00276A1F" w:rsidRPr="000E73A2">
        <w:rPr>
          <w:lang w:val="en-CA"/>
        </w:rPr>
        <w:t>.</w:t>
      </w:r>
    </w:p>
    <w:p w14:paraId="759361E5" w14:textId="3604C6B1" w:rsidR="00276A1F" w:rsidRPr="000E73A2" w:rsidRDefault="00B8219A" w:rsidP="0010371B">
      <w:pPr>
        <w:pStyle w:val="Paragraphe"/>
        <w:spacing w:before="180" w:after="180" w:line="280" w:lineRule="exact"/>
        <w:rPr>
          <w:lang w:val="en-CA"/>
        </w:rPr>
      </w:pPr>
      <w:r w:rsidRPr="00B8219A">
        <w:rPr>
          <w:lang w:val="en-CA"/>
        </w:rPr>
        <w:t xml:space="preserve">Whether a complainant subjectively and voluntarily consented to sexual </w:t>
      </w:r>
      <w:r w:rsidR="005F594C">
        <w:rPr>
          <w:lang w:val="en-CA"/>
        </w:rPr>
        <w:t>activity</w:t>
      </w:r>
      <w:r w:rsidRPr="00B8219A">
        <w:rPr>
          <w:lang w:val="en-CA"/>
        </w:rPr>
        <w:t xml:space="preserve"> is a question of fact</w:t>
      </w:r>
      <w:r w:rsidR="005F594C">
        <w:rPr>
          <w:lang w:val="en-CA"/>
        </w:rPr>
        <w:t>.</w:t>
      </w:r>
      <w:r w:rsidR="00276A1F" w:rsidRPr="000E73A2">
        <w:rPr>
          <w:rFonts w:cs="Arial"/>
          <w:szCs w:val="24"/>
          <w:vertAlign w:val="superscript"/>
          <w:lang w:val="en-CA"/>
        </w:rPr>
        <w:footnoteReference w:id="81"/>
      </w:r>
      <w:r w:rsidR="005F594C">
        <w:rPr>
          <w:lang w:val="en-CA"/>
        </w:rPr>
        <w:t xml:space="preserve"> </w:t>
      </w:r>
      <w:r w:rsidR="005F594C" w:rsidRPr="005F594C">
        <w:rPr>
          <w:lang w:val="en-CA"/>
        </w:rPr>
        <w:t xml:space="preserve">In this case, the judge inferred </w:t>
      </w:r>
      <w:r w:rsidR="00082D97">
        <w:rPr>
          <w:lang w:val="en-CA"/>
        </w:rPr>
        <w:t>from the</w:t>
      </w:r>
      <w:r w:rsidR="005F594C" w:rsidRPr="005F594C">
        <w:rPr>
          <w:lang w:val="en-CA"/>
        </w:rPr>
        <w:t xml:space="preserve"> </w:t>
      </w:r>
      <w:r w:rsidR="00D52ADB" w:rsidRPr="00D52ADB">
        <w:rPr>
          <w:lang w:val="en-CA"/>
        </w:rPr>
        <w:t>facts as recounted by respondent</w:t>
      </w:r>
      <w:r w:rsidR="005F594C" w:rsidRPr="005F594C">
        <w:rPr>
          <w:lang w:val="en-CA"/>
        </w:rPr>
        <w:t xml:space="preserve"> — facts that were necessarily circumstantial, since an accused cannot testify directly </w:t>
      </w:r>
      <w:r w:rsidR="005F594C">
        <w:rPr>
          <w:lang w:val="en-CA"/>
        </w:rPr>
        <w:t>as to</w:t>
      </w:r>
      <w:r w:rsidR="005F594C" w:rsidRPr="005F594C">
        <w:rPr>
          <w:lang w:val="en-CA"/>
        </w:rPr>
        <w:t xml:space="preserve"> a complainant</w:t>
      </w:r>
      <w:r w:rsidR="005F594C">
        <w:rPr>
          <w:lang w:val="en-CA"/>
        </w:rPr>
        <w:t>’s</w:t>
      </w:r>
      <w:r w:rsidR="005F594C" w:rsidRPr="005F594C">
        <w:rPr>
          <w:lang w:val="en-CA"/>
        </w:rPr>
        <w:t xml:space="preserve"> state of mind</w:t>
      </w:r>
      <w:r w:rsidR="00276A1F" w:rsidRPr="000E73A2">
        <w:rPr>
          <w:rFonts w:cs="Arial"/>
          <w:szCs w:val="24"/>
          <w:vertAlign w:val="superscript"/>
          <w:lang w:val="en-CA"/>
        </w:rPr>
        <w:footnoteReference w:id="82"/>
      </w:r>
      <w:r w:rsidR="00276A1F" w:rsidRPr="000E73A2">
        <w:rPr>
          <w:lang w:val="en-CA"/>
        </w:rPr>
        <w:t xml:space="preserve"> — </w:t>
      </w:r>
      <w:r w:rsidR="005F594C" w:rsidRPr="005F594C">
        <w:rPr>
          <w:lang w:val="en-CA"/>
        </w:rPr>
        <w:t xml:space="preserve">that the complainant had subjectively and voluntarily consented to sexual intercourse. Thus, if the judge erred, it was either in his analysis of the probative value of the respondent's testimony or in the factual inferences he drew from the </w:t>
      </w:r>
      <w:r w:rsidR="00D52ADB" w:rsidRPr="00D52ADB">
        <w:rPr>
          <w:lang w:val="en-CA"/>
        </w:rPr>
        <w:t>facts as recounted by respondent</w:t>
      </w:r>
      <w:r w:rsidR="005F594C" w:rsidRPr="005F594C">
        <w:rPr>
          <w:lang w:val="en-CA"/>
        </w:rPr>
        <w:t xml:space="preserve">. In either case, any error he may have made cannot be </w:t>
      </w:r>
      <w:r w:rsidR="005F594C">
        <w:rPr>
          <w:lang w:val="en-CA"/>
        </w:rPr>
        <w:t>characterized</w:t>
      </w:r>
      <w:r w:rsidR="005F594C" w:rsidRPr="005F594C">
        <w:rPr>
          <w:lang w:val="en-CA"/>
        </w:rPr>
        <w:t xml:space="preserve"> as an error of law</w:t>
      </w:r>
      <w:r w:rsidR="005F594C">
        <w:rPr>
          <w:lang w:val="en-CA"/>
        </w:rPr>
        <w:t>.</w:t>
      </w:r>
      <w:r w:rsidR="00276A1F" w:rsidRPr="000E73A2">
        <w:rPr>
          <w:rFonts w:cs="Arial"/>
          <w:szCs w:val="24"/>
          <w:vertAlign w:val="superscript"/>
          <w:lang w:val="en-CA"/>
        </w:rPr>
        <w:footnoteReference w:id="83"/>
      </w:r>
    </w:p>
    <w:p w14:paraId="321F75D2" w14:textId="45F2CBBA" w:rsidR="00276A1F" w:rsidRPr="000E73A2" w:rsidRDefault="00BF3E2F" w:rsidP="0010371B">
      <w:pPr>
        <w:pStyle w:val="Paragraphe"/>
        <w:spacing w:before="180" w:after="180" w:line="280" w:lineRule="exact"/>
        <w:rPr>
          <w:lang w:val="en-CA"/>
        </w:rPr>
      </w:pPr>
      <w:r>
        <w:rPr>
          <w:lang w:val="en-CA"/>
        </w:rPr>
        <w:lastRenderedPageBreak/>
        <w:t>Therefore, I</w:t>
      </w:r>
      <w:r w:rsidRPr="00BF3E2F">
        <w:rPr>
          <w:lang w:val="en-CA"/>
        </w:rPr>
        <w:t xml:space="preserve"> would not give effect to this ground of appeal</w:t>
      </w:r>
      <w:r w:rsidR="00276A1F" w:rsidRPr="000E73A2">
        <w:rPr>
          <w:lang w:val="en-CA"/>
        </w:rPr>
        <w:t>.</w:t>
      </w:r>
    </w:p>
    <w:p w14:paraId="7BF7B4DB" w14:textId="77777777" w:rsidR="00276A1F" w:rsidRPr="000E73A2" w:rsidRDefault="00276A1F" w:rsidP="00756494">
      <w:pPr>
        <w:pStyle w:val="Paragraphe"/>
        <w:numPr>
          <w:ilvl w:val="0"/>
          <w:numId w:val="0"/>
        </w:numPr>
        <w:jc w:val="center"/>
        <w:rPr>
          <w:lang w:val="en-CA"/>
        </w:rPr>
      </w:pPr>
      <w:r w:rsidRPr="000E73A2">
        <w:rPr>
          <w:lang w:val="en-CA"/>
        </w:rPr>
        <w:t>*</w:t>
      </w:r>
      <w:r w:rsidRPr="000E73A2">
        <w:rPr>
          <w:lang w:val="en-CA"/>
        </w:rPr>
        <w:tab/>
        <w:t>*</w:t>
      </w:r>
      <w:r w:rsidRPr="000E73A2">
        <w:rPr>
          <w:lang w:val="en-CA"/>
        </w:rPr>
        <w:tab/>
        <w:t>*</w:t>
      </w:r>
    </w:p>
    <w:p w14:paraId="68E21EE8" w14:textId="606DC56F" w:rsidR="00276A1F" w:rsidRPr="000E73A2" w:rsidRDefault="00144073" w:rsidP="0010371B">
      <w:pPr>
        <w:pStyle w:val="Paragraphe"/>
        <w:spacing w:before="180" w:after="180" w:line="280" w:lineRule="exact"/>
        <w:rPr>
          <w:lang w:val="en-CA"/>
        </w:rPr>
      </w:pPr>
      <w:r w:rsidRPr="00144073">
        <w:rPr>
          <w:lang w:val="en-CA"/>
        </w:rPr>
        <w:t>The Crown further argues that, in analy</w:t>
      </w:r>
      <w:r w:rsidR="00D7528D">
        <w:rPr>
          <w:lang w:val="en-CA"/>
        </w:rPr>
        <w:t>s</w:t>
      </w:r>
      <w:r w:rsidRPr="00144073">
        <w:rPr>
          <w:lang w:val="en-CA"/>
        </w:rPr>
        <w:t xml:space="preserve">ing the respondent's testimony regarding the second alleged sexual encounter, the judge committed another type of error of law. More specifically, the judge </w:t>
      </w:r>
      <w:r w:rsidR="00082D97">
        <w:rPr>
          <w:lang w:val="en-CA"/>
        </w:rPr>
        <w:t xml:space="preserve">allegedly </w:t>
      </w:r>
      <w:r w:rsidRPr="00144073">
        <w:rPr>
          <w:lang w:val="en-CA"/>
        </w:rPr>
        <w:t>misinterpreted the</w:t>
      </w:r>
      <w:r w:rsidR="00082D97">
        <w:rPr>
          <w:lang w:val="en-CA"/>
        </w:rPr>
        <w:t xml:space="preserve"> substance of the</w:t>
      </w:r>
      <w:r w:rsidRPr="00144073">
        <w:rPr>
          <w:lang w:val="en-CA"/>
        </w:rPr>
        <w:t xml:space="preserve"> respondent's account of comments allegedly made by the complainant shortly before the event. The relevant passage from the judgment reads as follows</w:t>
      </w:r>
      <w:r>
        <w:rPr>
          <w:lang w:val="en-CA"/>
        </w:rPr>
        <w:t>:</w:t>
      </w:r>
      <w:r w:rsidR="00276A1F" w:rsidRPr="000E73A2">
        <w:rPr>
          <w:rFonts w:cs="Arial"/>
          <w:szCs w:val="24"/>
          <w:vertAlign w:val="superscript"/>
          <w:lang w:val="en-CA"/>
        </w:rPr>
        <w:footnoteReference w:id="84"/>
      </w:r>
      <w:r w:rsidR="00276A1F" w:rsidRPr="000E73A2">
        <w:rPr>
          <w:lang w:val="en-CA"/>
        </w:rPr>
        <w:t> </w:t>
      </w:r>
    </w:p>
    <w:p w14:paraId="0B89C29A" w14:textId="106AB58D" w:rsidR="00144073" w:rsidRDefault="00144073" w:rsidP="00756494">
      <w:pPr>
        <w:pStyle w:val="Paragraphe"/>
        <w:numPr>
          <w:ilvl w:val="0"/>
          <w:numId w:val="0"/>
        </w:numPr>
        <w:spacing w:line="240" w:lineRule="auto"/>
        <w:ind w:left="709" w:right="715"/>
        <w:rPr>
          <w:sz w:val="22"/>
          <w:szCs w:val="22"/>
          <w:lang w:val="en-CA"/>
        </w:rPr>
      </w:pPr>
      <w:r>
        <w:rPr>
          <w:sz w:val="22"/>
          <w:szCs w:val="22"/>
          <w:lang w:val="en-CA"/>
        </w:rPr>
        <w:t>[</w:t>
      </w:r>
      <w:r w:rsidRPr="00144073">
        <w:rPr>
          <w:smallCaps/>
          <w:sz w:val="22"/>
          <w:szCs w:val="22"/>
          <w:lang w:val="en-CA"/>
        </w:rPr>
        <w:t>translation</w:t>
      </w:r>
      <w:r>
        <w:rPr>
          <w:sz w:val="22"/>
          <w:szCs w:val="22"/>
          <w:lang w:val="en-CA"/>
        </w:rPr>
        <w:t>]</w:t>
      </w:r>
    </w:p>
    <w:p w14:paraId="45C8931B" w14:textId="716E9810" w:rsidR="00276A1F" w:rsidRPr="000E73A2" w:rsidRDefault="00152D75" w:rsidP="00756494">
      <w:pPr>
        <w:pStyle w:val="Paragraphe"/>
        <w:numPr>
          <w:ilvl w:val="0"/>
          <w:numId w:val="0"/>
        </w:numPr>
        <w:spacing w:line="240" w:lineRule="auto"/>
        <w:ind w:left="709" w:right="715"/>
        <w:rPr>
          <w:sz w:val="22"/>
          <w:szCs w:val="22"/>
          <w:lang w:val="en-CA"/>
        </w:rPr>
      </w:pPr>
      <w:r w:rsidRPr="00152D75">
        <w:rPr>
          <w:sz w:val="22"/>
          <w:szCs w:val="22"/>
          <w:lang w:val="en-CA"/>
        </w:rPr>
        <w:t xml:space="preserve">The event in the bath: They spent the evening with friends in a club and ended up in a strip club. They took a bath and had a bottle (inaudible). They kissed, she masturbated him. </w:t>
      </w:r>
      <w:r w:rsidRPr="00152D75">
        <w:rPr>
          <w:sz w:val="22"/>
          <w:szCs w:val="22"/>
          <w:u w:val="single"/>
          <w:lang w:val="en-CA"/>
        </w:rPr>
        <w:t>She got out of the bath and told him she would wait for him in bed</w:t>
      </w:r>
      <w:r w:rsidR="00276A1F" w:rsidRPr="000E73A2">
        <w:rPr>
          <w:sz w:val="22"/>
          <w:szCs w:val="22"/>
          <w:lang w:val="en-CA"/>
        </w:rPr>
        <w:t xml:space="preserve">. </w:t>
      </w:r>
      <w:r w:rsidRPr="00152D75">
        <w:rPr>
          <w:sz w:val="22"/>
          <w:szCs w:val="22"/>
          <w:lang w:val="en-CA"/>
        </w:rPr>
        <w:t>She lay down in her son's room. He caressed her, she spread her legs, and they had sexual intercourse. The next day, after having sex with her, he told the complainant that he enjoyed it. She said to him, ‘I didn't know, I didn't want to.</w:t>
      </w:r>
      <w:r w:rsidR="00144073" w:rsidRPr="00144073">
        <w:rPr>
          <w:sz w:val="22"/>
          <w:szCs w:val="22"/>
          <w:lang w:val="en-CA"/>
        </w:rPr>
        <w:t>’</w:t>
      </w:r>
    </w:p>
    <w:p w14:paraId="3AC05112" w14:textId="50D01BD9" w:rsidR="00276A1F" w:rsidRPr="000E73A2" w:rsidRDefault="00276A1F" w:rsidP="00756494">
      <w:pPr>
        <w:pStyle w:val="Paragraphe"/>
        <w:numPr>
          <w:ilvl w:val="0"/>
          <w:numId w:val="0"/>
        </w:numPr>
        <w:spacing w:line="240" w:lineRule="auto"/>
        <w:ind w:left="709" w:right="715"/>
        <w:jc w:val="right"/>
        <w:rPr>
          <w:sz w:val="22"/>
          <w:szCs w:val="22"/>
          <w:lang w:val="en-CA"/>
        </w:rPr>
      </w:pPr>
      <w:r w:rsidRPr="000E73A2">
        <w:rPr>
          <w:sz w:val="22"/>
          <w:szCs w:val="22"/>
          <w:lang w:val="en-CA"/>
        </w:rPr>
        <w:t>[</w:t>
      </w:r>
      <w:r w:rsidR="00144073">
        <w:rPr>
          <w:sz w:val="22"/>
          <w:szCs w:val="22"/>
          <w:lang w:val="en-CA"/>
        </w:rPr>
        <w:t>Underlining added</w:t>
      </w:r>
      <w:r w:rsidRPr="000E73A2">
        <w:rPr>
          <w:sz w:val="22"/>
          <w:szCs w:val="22"/>
          <w:lang w:val="en-CA"/>
        </w:rPr>
        <w:t>]</w:t>
      </w:r>
    </w:p>
    <w:p w14:paraId="7EF2E658" w14:textId="00D9F813" w:rsidR="00276A1F" w:rsidRPr="000E73A2" w:rsidRDefault="002F535F" w:rsidP="0010371B">
      <w:pPr>
        <w:pStyle w:val="Paragraphe"/>
        <w:spacing w:before="180" w:after="180" w:line="280" w:lineRule="exact"/>
        <w:rPr>
          <w:lang w:val="en-CA"/>
        </w:rPr>
      </w:pPr>
      <w:r>
        <w:rPr>
          <w:lang w:val="en-CA"/>
        </w:rPr>
        <w:t>There is common ground</w:t>
      </w:r>
      <w:r w:rsidR="00144073" w:rsidRPr="00144073">
        <w:rPr>
          <w:lang w:val="en-CA"/>
        </w:rPr>
        <w:t xml:space="preserve"> that the respondent testified</w:t>
      </w:r>
      <w:r w:rsidR="00152D75">
        <w:rPr>
          <w:lang w:val="en-CA"/>
        </w:rPr>
        <w:t>, rather,</w:t>
      </w:r>
      <w:r w:rsidR="00144073" w:rsidRPr="00144073">
        <w:rPr>
          <w:lang w:val="en-CA"/>
        </w:rPr>
        <w:t xml:space="preserve"> that he had told the complainant that he would wait for her in bed, and not the other way around. According to the Crown, the judge's mis</w:t>
      </w:r>
      <w:r>
        <w:rPr>
          <w:lang w:val="en-CA"/>
        </w:rPr>
        <w:t>apprehension</w:t>
      </w:r>
      <w:r w:rsidR="00144073" w:rsidRPr="00144073">
        <w:rPr>
          <w:lang w:val="en-CA"/>
        </w:rPr>
        <w:t xml:space="preserve"> led him to draw a </w:t>
      </w:r>
      <w:r w:rsidR="00144073">
        <w:rPr>
          <w:lang w:val="en-CA"/>
        </w:rPr>
        <w:t>finding</w:t>
      </w:r>
      <w:r w:rsidR="00144073" w:rsidRPr="00144073">
        <w:rPr>
          <w:lang w:val="en-CA"/>
        </w:rPr>
        <w:t xml:space="preserve"> </w:t>
      </w:r>
      <w:r w:rsidR="00144073">
        <w:rPr>
          <w:lang w:val="en-CA"/>
        </w:rPr>
        <w:t xml:space="preserve">of fact </w:t>
      </w:r>
      <w:r w:rsidR="00144073" w:rsidRPr="00144073">
        <w:rPr>
          <w:lang w:val="en-CA"/>
        </w:rPr>
        <w:t xml:space="preserve">that was tainted by an error of law, </w:t>
      </w:r>
      <w:r w:rsidR="00A4195D">
        <w:rPr>
          <w:lang w:val="en-CA"/>
        </w:rPr>
        <w:t>by lack of</w:t>
      </w:r>
      <w:r w:rsidRPr="002F535F">
        <w:rPr>
          <w:lang w:val="en-CA"/>
        </w:rPr>
        <w:t xml:space="preserve"> supporting evidence</w:t>
      </w:r>
      <w:r>
        <w:rPr>
          <w:lang w:val="en-CA"/>
        </w:rPr>
        <w:t xml:space="preserve"> </w:t>
      </w:r>
      <w:r w:rsidR="00144073" w:rsidRPr="00144073">
        <w:rPr>
          <w:lang w:val="en-CA"/>
        </w:rPr>
        <w:t>within the meaning</w:t>
      </w:r>
      <w:r>
        <w:rPr>
          <w:lang w:val="en-CA"/>
        </w:rPr>
        <w:t xml:space="preserve"> of</w:t>
      </w:r>
      <w:r w:rsidR="00144073" w:rsidRPr="00144073">
        <w:rPr>
          <w:lang w:val="en-CA"/>
        </w:rPr>
        <w:t xml:space="preserve"> </w:t>
      </w:r>
      <w:r w:rsidR="00276A1F" w:rsidRPr="000E73A2">
        <w:rPr>
          <w:i/>
          <w:iCs/>
          <w:lang w:val="en-CA"/>
        </w:rPr>
        <w:t>J.M.H.</w:t>
      </w:r>
      <w:r w:rsidR="00276A1F" w:rsidRPr="000E73A2">
        <w:rPr>
          <w:rFonts w:cs="Arial"/>
          <w:szCs w:val="24"/>
          <w:vertAlign w:val="superscript"/>
          <w:lang w:val="en-CA"/>
        </w:rPr>
        <w:footnoteReference w:id="85"/>
      </w:r>
      <w:r w:rsidR="00276A1F" w:rsidRPr="000E73A2">
        <w:rPr>
          <w:lang w:val="en-CA"/>
        </w:rPr>
        <w:t xml:space="preserve">. </w:t>
      </w:r>
      <w:r w:rsidRPr="002F535F">
        <w:rPr>
          <w:lang w:val="en-CA"/>
        </w:rPr>
        <w:t xml:space="preserve">Furthermore, this error would have vitiated his entire analysis of the evidence relating to the second sexual encounter. It would therefore be </w:t>
      </w:r>
      <w:r w:rsidR="00A4195D">
        <w:rPr>
          <w:lang w:val="en-CA"/>
        </w:rPr>
        <w:t>overriding</w:t>
      </w:r>
      <w:r w:rsidR="00276A1F" w:rsidRPr="000E73A2">
        <w:rPr>
          <w:lang w:val="en-CA"/>
        </w:rPr>
        <w:t>.</w:t>
      </w:r>
    </w:p>
    <w:p w14:paraId="477BB0C2" w14:textId="5A4AA719" w:rsidR="00276A1F" w:rsidRPr="000E73A2" w:rsidRDefault="00A4195D" w:rsidP="0010371B">
      <w:pPr>
        <w:pStyle w:val="Paragraphe"/>
        <w:spacing w:before="180" w:after="180" w:line="280" w:lineRule="exact"/>
        <w:rPr>
          <w:lang w:val="en-CA"/>
        </w:rPr>
      </w:pPr>
      <w:r w:rsidRPr="00A4195D">
        <w:rPr>
          <w:lang w:val="en-CA"/>
        </w:rPr>
        <w:t xml:space="preserve">In my opinion, the Crown is </w:t>
      </w:r>
      <w:r w:rsidR="00152D75">
        <w:rPr>
          <w:lang w:val="en-CA"/>
        </w:rPr>
        <w:t>mistaken as to</w:t>
      </w:r>
      <w:r w:rsidRPr="00A4195D">
        <w:rPr>
          <w:lang w:val="en-CA"/>
        </w:rPr>
        <w:t xml:space="preserve"> the nature of the error it </w:t>
      </w:r>
      <w:r w:rsidR="00FC64AF">
        <w:rPr>
          <w:lang w:val="en-CA"/>
        </w:rPr>
        <w:t>relies upon</w:t>
      </w:r>
      <w:r w:rsidRPr="00A4195D">
        <w:rPr>
          <w:lang w:val="en-CA"/>
        </w:rPr>
        <w:t xml:space="preserve">, because it gives too broad a </w:t>
      </w:r>
      <w:r>
        <w:rPr>
          <w:lang w:val="en-CA"/>
        </w:rPr>
        <w:t>scope</w:t>
      </w:r>
      <w:r w:rsidRPr="00A4195D">
        <w:rPr>
          <w:lang w:val="en-CA"/>
        </w:rPr>
        <w:t xml:space="preserve"> to </w:t>
      </w:r>
      <w:r w:rsidRPr="00A4195D">
        <w:rPr>
          <w:i/>
          <w:iCs/>
          <w:lang w:val="en-CA"/>
        </w:rPr>
        <w:t>J.M.H.</w:t>
      </w:r>
      <w:r w:rsidRPr="00A4195D">
        <w:rPr>
          <w:lang w:val="en-CA"/>
        </w:rPr>
        <w:t xml:space="preserve">. While it is true that the Supreme Court stated in that decision that </w:t>
      </w:r>
      <w:r w:rsidR="002C0366">
        <w:rPr>
          <w:szCs w:val="24"/>
          <w:lang w:val="en-CA"/>
        </w:rPr>
        <w:t>“</w:t>
      </w:r>
      <w:r w:rsidR="002C0366" w:rsidRPr="002C0366">
        <w:rPr>
          <w:szCs w:val="24"/>
          <w:lang w:val="en-CA"/>
        </w:rPr>
        <w:t>it is an error of law to make a finding of fact for which there is no supporting evidence</w:t>
      </w:r>
      <w:r w:rsidR="002C0366">
        <w:rPr>
          <w:szCs w:val="24"/>
          <w:lang w:val="en-CA"/>
        </w:rPr>
        <w:t>,”</w:t>
      </w:r>
      <w:r w:rsidR="00276A1F" w:rsidRPr="000E73A2">
        <w:rPr>
          <w:rFonts w:cs="Arial"/>
          <w:szCs w:val="24"/>
          <w:vertAlign w:val="superscript"/>
          <w:lang w:val="en-CA"/>
        </w:rPr>
        <w:footnoteReference w:id="86"/>
      </w:r>
      <w:r w:rsidR="00276A1F" w:rsidRPr="000E73A2">
        <w:rPr>
          <w:szCs w:val="24"/>
          <w:lang w:val="en-CA"/>
        </w:rPr>
        <w:t xml:space="preserve"> </w:t>
      </w:r>
      <w:r w:rsidRPr="00A4195D">
        <w:rPr>
          <w:szCs w:val="24"/>
          <w:lang w:val="en-CA"/>
        </w:rPr>
        <w:t xml:space="preserve">this statement </w:t>
      </w:r>
      <w:r>
        <w:rPr>
          <w:szCs w:val="24"/>
          <w:lang w:val="en-CA"/>
        </w:rPr>
        <w:t xml:space="preserve">must be placed </w:t>
      </w:r>
      <w:r w:rsidRPr="00A4195D">
        <w:rPr>
          <w:szCs w:val="24"/>
          <w:lang w:val="en-CA"/>
        </w:rPr>
        <w:t>in</w:t>
      </w:r>
      <w:r>
        <w:rPr>
          <w:szCs w:val="24"/>
          <w:lang w:val="en-CA"/>
        </w:rPr>
        <w:t xml:space="preserve"> its</w:t>
      </w:r>
      <w:r w:rsidRPr="00A4195D">
        <w:rPr>
          <w:szCs w:val="24"/>
          <w:lang w:val="en-CA"/>
        </w:rPr>
        <w:t xml:space="preserve"> </w:t>
      </w:r>
      <w:r>
        <w:rPr>
          <w:szCs w:val="24"/>
          <w:lang w:val="en-CA"/>
        </w:rPr>
        <w:t xml:space="preserve">proper context </w:t>
      </w:r>
      <w:r w:rsidRPr="00A4195D">
        <w:rPr>
          <w:szCs w:val="24"/>
          <w:lang w:val="en-CA"/>
        </w:rPr>
        <w:t xml:space="preserve">in order to </w:t>
      </w:r>
      <w:r w:rsidR="00152D75">
        <w:rPr>
          <w:szCs w:val="24"/>
          <w:lang w:val="en-CA"/>
        </w:rPr>
        <w:t xml:space="preserve">properly </w:t>
      </w:r>
      <w:r w:rsidRPr="00A4195D">
        <w:rPr>
          <w:szCs w:val="24"/>
          <w:lang w:val="en-CA"/>
        </w:rPr>
        <w:t xml:space="preserve">understand its </w:t>
      </w:r>
      <w:r>
        <w:rPr>
          <w:szCs w:val="24"/>
          <w:lang w:val="en-CA"/>
        </w:rPr>
        <w:t>scope</w:t>
      </w:r>
      <w:r w:rsidRPr="00A4195D">
        <w:rPr>
          <w:szCs w:val="24"/>
          <w:lang w:val="en-CA"/>
        </w:rPr>
        <w:t>. The relevant excerpt reads as follows</w:t>
      </w:r>
      <w:r>
        <w:rPr>
          <w:szCs w:val="24"/>
          <w:lang w:val="en-CA"/>
        </w:rPr>
        <w:t>:</w:t>
      </w:r>
      <w:r w:rsidR="00276A1F" w:rsidRPr="000E73A2">
        <w:rPr>
          <w:rFonts w:cs="Arial"/>
          <w:szCs w:val="24"/>
          <w:vertAlign w:val="superscript"/>
          <w:lang w:val="en-CA"/>
        </w:rPr>
        <w:footnoteReference w:id="87"/>
      </w:r>
    </w:p>
    <w:p w14:paraId="6F38E6CE" w14:textId="70135A32" w:rsidR="00276A1F" w:rsidRPr="000E73A2" w:rsidRDefault="002C0366" w:rsidP="00756494">
      <w:pPr>
        <w:pStyle w:val="Paragraphe"/>
        <w:numPr>
          <w:ilvl w:val="0"/>
          <w:numId w:val="0"/>
        </w:numPr>
        <w:spacing w:line="240" w:lineRule="auto"/>
        <w:ind w:left="709" w:right="715"/>
        <w:rPr>
          <w:sz w:val="22"/>
          <w:szCs w:val="22"/>
          <w:lang w:val="en-CA"/>
        </w:rPr>
      </w:pPr>
      <w:r w:rsidRPr="002C0366">
        <w:rPr>
          <w:sz w:val="22"/>
          <w:szCs w:val="22"/>
          <w:lang w:val="en-CA"/>
        </w:rPr>
        <w:t xml:space="preserve">It has long been recognized that it is an error of law to make a finding of fact for which there is no supporting evidence: </w:t>
      </w:r>
      <w:r w:rsidRPr="002C0366">
        <w:rPr>
          <w:i/>
          <w:iCs/>
          <w:sz w:val="22"/>
          <w:szCs w:val="22"/>
          <w:lang w:val="en-CA"/>
        </w:rPr>
        <w:t>Schuldt v. The Queen</w:t>
      </w:r>
      <w:r w:rsidRPr="002C0366">
        <w:rPr>
          <w:sz w:val="22"/>
          <w:szCs w:val="22"/>
          <w:lang w:val="en-CA"/>
        </w:rPr>
        <w:t xml:space="preserve">, [1985] 2 S.C.R. 592, at p. 604.  It does not follow from this principle, however, that an acquittal can be </w:t>
      </w:r>
      <w:r w:rsidRPr="002C0366">
        <w:rPr>
          <w:sz w:val="22"/>
          <w:szCs w:val="22"/>
          <w:lang w:val="en-CA"/>
        </w:rPr>
        <w:lastRenderedPageBreak/>
        <w:t>set aside on the basis that it is not supported by the evidence.  An acquittal (absent some fact or element on which the accused bears the burden of proof) is not a finding of fact but instead a conclusion that the standard of persuasion beyond a reasonable doubt has not been met</w:t>
      </w:r>
      <w:r w:rsidR="00276A1F" w:rsidRPr="000E73A2">
        <w:rPr>
          <w:sz w:val="22"/>
          <w:szCs w:val="22"/>
          <w:lang w:val="en-CA"/>
        </w:rPr>
        <w:t>. […]</w:t>
      </w:r>
    </w:p>
    <w:p w14:paraId="74FB4EFD" w14:textId="048D0290" w:rsidR="00276A1F" w:rsidRPr="000E73A2" w:rsidRDefault="00165E51" w:rsidP="0010371B">
      <w:pPr>
        <w:pStyle w:val="Paragraphe"/>
        <w:spacing w:before="180" w:after="180" w:line="280" w:lineRule="exact"/>
        <w:rPr>
          <w:lang w:val="en-CA"/>
        </w:rPr>
      </w:pPr>
      <w:r>
        <w:rPr>
          <w:lang w:val="en-CA"/>
        </w:rPr>
        <w:t>In</w:t>
      </w:r>
      <w:r w:rsidR="00276A1F" w:rsidRPr="000E73A2">
        <w:rPr>
          <w:lang w:val="en-CA"/>
        </w:rPr>
        <w:t xml:space="preserve"> </w:t>
      </w:r>
      <w:r w:rsidR="00276A1F" w:rsidRPr="000E73A2">
        <w:rPr>
          <w:i/>
          <w:iCs/>
          <w:lang w:val="en-CA"/>
        </w:rPr>
        <w:t>Schuldt</w:t>
      </w:r>
      <w:r w:rsidR="00276A1F" w:rsidRPr="000E73A2">
        <w:rPr>
          <w:lang w:val="en-CA"/>
        </w:rPr>
        <w:t xml:space="preserve">, </w:t>
      </w:r>
      <w:r>
        <w:rPr>
          <w:lang w:val="en-CA"/>
        </w:rPr>
        <w:t>t</w:t>
      </w:r>
      <w:r w:rsidRPr="00165E51">
        <w:rPr>
          <w:lang w:val="en-CA"/>
        </w:rPr>
        <w:t>he accused had been charged with attempting to break and enter a gun shop with intent to commit a</w:t>
      </w:r>
      <w:r>
        <w:rPr>
          <w:lang w:val="en-CA"/>
        </w:rPr>
        <w:t>n</w:t>
      </w:r>
      <w:r w:rsidRPr="00165E51">
        <w:rPr>
          <w:lang w:val="en-CA"/>
        </w:rPr>
        <w:t xml:space="preserve"> </w:t>
      </w:r>
      <w:r>
        <w:rPr>
          <w:lang w:val="en-CA"/>
        </w:rPr>
        <w:t>indictable offence</w:t>
      </w:r>
      <w:r w:rsidRPr="00165E51">
        <w:rPr>
          <w:lang w:val="en-CA"/>
        </w:rPr>
        <w:t xml:space="preserve">. He was acquitted, as the trial judge concluded that the Crown had not proven beyond a reasonable doubt that the required intent existed. However, the acquittal was </w:t>
      </w:r>
      <w:r>
        <w:rPr>
          <w:lang w:val="en-CA"/>
        </w:rPr>
        <w:t>set aside</w:t>
      </w:r>
      <w:r w:rsidRPr="00165E51">
        <w:rPr>
          <w:lang w:val="en-CA"/>
        </w:rPr>
        <w:t xml:space="preserve"> on appeal, with the majority of judges in the Manitoba Court of Appeal finding that the facts in evidence </w:t>
      </w:r>
      <w:r w:rsidR="009042B2">
        <w:rPr>
          <w:lang w:val="en-CA"/>
        </w:rPr>
        <w:t>“</w:t>
      </w:r>
      <w:r w:rsidR="00276A1F" w:rsidRPr="000E73A2">
        <w:rPr>
          <w:lang w:val="en-CA"/>
        </w:rPr>
        <w:t>[</w:t>
      </w:r>
      <w:r w:rsidR="009042B2">
        <w:rPr>
          <w:lang w:val="en-CA"/>
        </w:rPr>
        <w:t>were</w:t>
      </w:r>
      <w:r w:rsidR="00276A1F" w:rsidRPr="000E73A2">
        <w:rPr>
          <w:lang w:val="en-CA"/>
        </w:rPr>
        <w:t xml:space="preserve">] </w:t>
      </w:r>
      <w:r w:rsidR="009042B2" w:rsidRPr="009042B2">
        <w:rPr>
          <w:lang w:val="en-CA"/>
        </w:rPr>
        <w:t>more than enough from which to find or infer that the accused, in concert with another, attempted to break and enter the gun shop with intent to commit an indictable offence</w:t>
      </w:r>
      <w:r w:rsidR="009042B2">
        <w:rPr>
          <w:lang w:val="en-CA"/>
        </w:rPr>
        <w:t>.”</w:t>
      </w:r>
      <w:r w:rsidR="00276A1F" w:rsidRPr="000E73A2">
        <w:rPr>
          <w:rFonts w:cs="Arial"/>
          <w:szCs w:val="24"/>
          <w:vertAlign w:val="superscript"/>
          <w:lang w:val="en-CA"/>
        </w:rPr>
        <w:footnoteReference w:id="88"/>
      </w:r>
    </w:p>
    <w:p w14:paraId="68123E50" w14:textId="5AAFB34D" w:rsidR="00276A1F" w:rsidRPr="000E73A2" w:rsidRDefault="00165E51" w:rsidP="0010371B">
      <w:pPr>
        <w:pStyle w:val="Paragraphe"/>
        <w:spacing w:before="180" w:after="180" w:line="280" w:lineRule="exact"/>
        <w:rPr>
          <w:lang w:val="en-CA"/>
        </w:rPr>
      </w:pPr>
      <w:r>
        <w:rPr>
          <w:lang w:val="en-CA"/>
        </w:rPr>
        <w:t xml:space="preserve">In a unanimous judgment, </w:t>
      </w:r>
      <w:r w:rsidR="00694428">
        <w:rPr>
          <w:lang w:val="en-CA"/>
        </w:rPr>
        <w:t xml:space="preserve">per </w:t>
      </w:r>
      <w:r>
        <w:rPr>
          <w:lang w:val="en-CA"/>
        </w:rPr>
        <w:t xml:space="preserve">Lamer J., as he then was, </w:t>
      </w:r>
      <w:r w:rsidR="00694428">
        <w:rPr>
          <w:lang w:val="en-CA"/>
        </w:rPr>
        <w:t>the Supreme Court restored the acquittal</w:t>
      </w:r>
      <w:r w:rsidR="00276A1F" w:rsidRPr="000E73A2">
        <w:rPr>
          <w:lang w:val="en-CA"/>
        </w:rPr>
        <w:t xml:space="preserve">. </w:t>
      </w:r>
      <w:r w:rsidR="00694428">
        <w:rPr>
          <w:lang w:val="en-CA"/>
        </w:rPr>
        <w:t>Although it acknowledged that</w:t>
      </w:r>
      <w:r w:rsidR="00276A1F" w:rsidRPr="000E73A2">
        <w:rPr>
          <w:lang w:val="en-CA"/>
        </w:rPr>
        <w:t xml:space="preserve"> </w:t>
      </w:r>
      <w:r w:rsidR="00980928">
        <w:rPr>
          <w:lang w:val="en-CA"/>
        </w:rPr>
        <w:t>“</w:t>
      </w:r>
      <w:r w:rsidR="00980928" w:rsidRPr="00980928">
        <w:rPr>
          <w:lang w:val="en-CA"/>
        </w:rPr>
        <w:t>it is an error of law to make a finding of fact for which there is no supporting evidence</w:t>
      </w:r>
      <w:r w:rsidR="00694428">
        <w:rPr>
          <w:lang w:val="en-CA"/>
        </w:rPr>
        <w:t>,</w:t>
      </w:r>
      <w:r w:rsidR="00980928">
        <w:rPr>
          <w:lang w:val="en-CA"/>
        </w:rPr>
        <w:t>”</w:t>
      </w:r>
      <w:r w:rsidR="00276A1F" w:rsidRPr="000E73A2">
        <w:rPr>
          <w:rFonts w:cs="Arial"/>
          <w:szCs w:val="24"/>
          <w:vertAlign w:val="superscript"/>
          <w:lang w:val="en-CA"/>
        </w:rPr>
        <w:footnoteReference w:id="89"/>
      </w:r>
      <w:r w:rsidR="00694428">
        <w:rPr>
          <w:lang w:val="en-CA"/>
        </w:rPr>
        <w:t xml:space="preserve"> it specified </w:t>
      </w:r>
      <w:r w:rsidR="00980928">
        <w:rPr>
          <w:lang w:val="en-CA"/>
        </w:rPr>
        <w:t>“t</w:t>
      </w:r>
      <w:r w:rsidR="00980928" w:rsidRPr="00980928">
        <w:rPr>
          <w:lang w:val="en-CA"/>
        </w:rPr>
        <w:t>hat that will happen as regards an acquittal only if there has been a transfer to the accused by law of the burden of proof of a given fact</w:t>
      </w:r>
      <w:r w:rsidR="00980928">
        <w:rPr>
          <w:lang w:val="en-CA"/>
        </w:rPr>
        <w:t>.”</w:t>
      </w:r>
      <w:r w:rsidR="00276A1F" w:rsidRPr="000E73A2">
        <w:rPr>
          <w:rFonts w:cs="Arial"/>
          <w:szCs w:val="24"/>
          <w:vertAlign w:val="superscript"/>
          <w:lang w:val="en-CA"/>
        </w:rPr>
        <w:footnoteReference w:id="90"/>
      </w:r>
      <w:r w:rsidR="00276A1F" w:rsidRPr="000E73A2">
        <w:rPr>
          <w:lang w:val="en-CA"/>
        </w:rPr>
        <w:t xml:space="preserve"> </w:t>
      </w:r>
      <w:r w:rsidR="00694428">
        <w:rPr>
          <w:lang w:val="en-CA"/>
        </w:rPr>
        <w:t>It</w:t>
      </w:r>
      <w:r w:rsidR="00694428" w:rsidRPr="00694428">
        <w:rPr>
          <w:lang w:val="en-CA"/>
        </w:rPr>
        <w:t xml:space="preserve"> then summari</w:t>
      </w:r>
      <w:r w:rsidR="00FC64AF">
        <w:rPr>
          <w:lang w:val="en-CA"/>
        </w:rPr>
        <w:t>z</w:t>
      </w:r>
      <w:r w:rsidR="00694428" w:rsidRPr="00694428">
        <w:rPr>
          <w:lang w:val="en-CA"/>
        </w:rPr>
        <w:t>ed the main features of this particular category of error of law as follows</w:t>
      </w:r>
      <w:r w:rsidR="00694428">
        <w:rPr>
          <w:lang w:val="en-CA"/>
        </w:rPr>
        <w:t>:</w:t>
      </w:r>
      <w:r w:rsidR="00276A1F" w:rsidRPr="000E73A2">
        <w:rPr>
          <w:rFonts w:cs="Arial"/>
          <w:szCs w:val="24"/>
          <w:vertAlign w:val="superscript"/>
          <w:lang w:val="en-CA"/>
        </w:rPr>
        <w:footnoteReference w:id="91"/>
      </w:r>
    </w:p>
    <w:p w14:paraId="1EED6D63" w14:textId="595DF5D4" w:rsidR="00276A1F" w:rsidRPr="000E73A2" w:rsidRDefault="00980928" w:rsidP="00756494">
      <w:pPr>
        <w:pStyle w:val="Paragraphe"/>
        <w:numPr>
          <w:ilvl w:val="0"/>
          <w:numId w:val="0"/>
        </w:numPr>
        <w:spacing w:line="240" w:lineRule="auto"/>
        <w:ind w:left="709" w:right="715"/>
        <w:rPr>
          <w:sz w:val="22"/>
          <w:szCs w:val="22"/>
          <w:lang w:val="en-CA"/>
        </w:rPr>
      </w:pPr>
      <w:r w:rsidRPr="00980928">
        <w:rPr>
          <w:sz w:val="22"/>
          <w:szCs w:val="22"/>
          <w:lang w:val="en-CA"/>
        </w:rPr>
        <w:t xml:space="preserve">In other words, </w:t>
      </w:r>
      <w:r w:rsidRPr="00980928">
        <w:rPr>
          <w:sz w:val="22"/>
          <w:szCs w:val="22"/>
          <w:u w:val="single"/>
          <w:lang w:val="en-CA"/>
        </w:rPr>
        <w:t>absent a shifting of the burden of proof upon the accused there is always some evidence upon which to make a finding of fact favourable to the accused, and such a finding, if in error, is an error of fact</w:t>
      </w:r>
      <w:r w:rsidRPr="00980928">
        <w:rPr>
          <w:sz w:val="22"/>
          <w:szCs w:val="22"/>
          <w:lang w:val="en-CA"/>
        </w:rPr>
        <w:t>. But when the burden of proof has been shifted (as is the case for proof of intent when a person is found in a place which he or she has broken into), it can be said, absent any evidence to the contrary, that there is no evidence upon which a reasonable doubt could exist as regards the intent of the accused, and an appeal against the ensuing acquittal raises a question of law alone</w:t>
      </w:r>
      <w:r w:rsidR="00276A1F" w:rsidRPr="000E73A2">
        <w:rPr>
          <w:sz w:val="22"/>
          <w:szCs w:val="22"/>
          <w:lang w:val="en-CA"/>
        </w:rPr>
        <w:t>.</w:t>
      </w:r>
    </w:p>
    <w:p w14:paraId="158A3F24" w14:textId="217E7634" w:rsidR="00276A1F" w:rsidRPr="000E73A2" w:rsidRDefault="00276A1F" w:rsidP="00756494">
      <w:pPr>
        <w:pStyle w:val="Paragraphe"/>
        <w:numPr>
          <w:ilvl w:val="0"/>
          <w:numId w:val="0"/>
        </w:numPr>
        <w:spacing w:line="240" w:lineRule="auto"/>
        <w:ind w:left="709" w:right="715"/>
        <w:jc w:val="right"/>
        <w:rPr>
          <w:sz w:val="22"/>
          <w:szCs w:val="22"/>
          <w:lang w:val="en-CA"/>
        </w:rPr>
      </w:pPr>
      <w:r w:rsidRPr="000E73A2">
        <w:rPr>
          <w:sz w:val="22"/>
          <w:szCs w:val="22"/>
          <w:lang w:val="en-CA"/>
        </w:rPr>
        <w:t>[</w:t>
      </w:r>
      <w:r w:rsidR="00694428">
        <w:rPr>
          <w:sz w:val="22"/>
          <w:szCs w:val="22"/>
          <w:lang w:val="en-CA"/>
        </w:rPr>
        <w:t>Unde</w:t>
      </w:r>
      <w:r w:rsidR="00FC64AF">
        <w:rPr>
          <w:sz w:val="22"/>
          <w:szCs w:val="22"/>
          <w:lang w:val="en-CA"/>
        </w:rPr>
        <w:t>r</w:t>
      </w:r>
      <w:r w:rsidR="00694428">
        <w:rPr>
          <w:sz w:val="22"/>
          <w:szCs w:val="22"/>
          <w:lang w:val="en-CA"/>
        </w:rPr>
        <w:t>lining added</w:t>
      </w:r>
      <w:r w:rsidRPr="000E73A2">
        <w:rPr>
          <w:sz w:val="22"/>
          <w:szCs w:val="22"/>
          <w:lang w:val="en-CA"/>
        </w:rPr>
        <w:t>]</w:t>
      </w:r>
    </w:p>
    <w:p w14:paraId="73A50930" w14:textId="26AA550E" w:rsidR="00276A1F" w:rsidRPr="000E73A2" w:rsidRDefault="006813B7" w:rsidP="0010371B">
      <w:pPr>
        <w:pStyle w:val="Paragraphe"/>
        <w:spacing w:before="180" w:after="180" w:line="280" w:lineRule="exact"/>
        <w:rPr>
          <w:lang w:val="en-CA"/>
        </w:rPr>
      </w:pPr>
      <w:r w:rsidRPr="006813B7">
        <w:rPr>
          <w:lang w:val="en-CA"/>
        </w:rPr>
        <w:t xml:space="preserve">Then, applying this analytical framework to the facts of the case, the Court concluded that, since no burden rested on the accused with regard to the required intent, </w:t>
      </w:r>
      <w:r w:rsidRPr="006813B7">
        <w:rPr>
          <w:lang w:val="en-CA"/>
        </w:rPr>
        <w:lastRenderedPageBreak/>
        <w:t xml:space="preserve">any error that the trial judge may have made in analysing this issue was an error of fact and not of law. The Crown’s appeal was therefore </w:t>
      </w:r>
      <w:r>
        <w:rPr>
          <w:lang w:val="en-CA"/>
        </w:rPr>
        <w:t>barr</w:t>
      </w:r>
      <w:r w:rsidRPr="006813B7">
        <w:rPr>
          <w:lang w:val="en-CA"/>
        </w:rPr>
        <w:t>ed</w:t>
      </w:r>
      <w:r w:rsidR="00276A1F" w:rsidRPr="000E73A2">
        <w:rPr>
          <w:lang w:val="en-CA"/>
        </w:rPr>
        <w:t>.</w:t>
      </w:r>
    </w:p>
    <w:p w14:paraId="1D5E70B9" w14:textId="0E2E6C2A" w:rsidR="00276A1F" w:rsidRPr="000E73A2" w:rsidRDefault="006813B7" w:rsidP="0010371B">
      <w:pPr>
        <w:pStyle w:val="Paragraphe"/>
        <w:spacing w:before="180" w:after="180" w:line="280" w:lineRule="exact"/>
        <w:rPr>
          <w:lang w:val="en-CA"/>
        </w:rPr>
      </w:pPr>
      <w:r w:rsidRPr="006813B7">
        <w:rPr>
          <w:lang w:val="en-CA"/>
        </w:rPr>
        <w:t xml:space="preserve">In light of the relevant excerpt from </w:t>
      </w:r>
      <w:r w:rsidRPr="006813B7">
        <w:rPr>
          <w:i/>
          <w:iCs/>
          <w:lang w:val="en-CA"/>
        </w:rPr>
        <w:t>J.M.H.</w:t>
      </w:r>
      <w:r>
        <w:rPr>
          <w:lang w:val="en-CA"/>
        </w:rPr>
        <w:t xml:space="preserve"> </w:t>
      </w:r>
      <w:r w:rsidRPr="006813B7">
        <w:rPr>
          <w:lang w:val="en-CA"/>
        </w:rPr>
        <w:t xml:space="preserve">and the teachings of </w:t>
      </w:r>
      <w:r w:rsidRPr="006813B7">
        <w:rPr>
          <w:i/>
          <w:iCs/>
          <w:lang w:val="en-CA"/>
        </w:rPr>
        <w:t>Schuldt</w:t>
      </w:r>
      <w:r w:rsidRPr="006813B7">
        <w:rPr>
          <w:lang w:val="en-CA"/>
        </w:rPr>
        <w:t xml:space="preserve">, two clarifications </w:t>
      </w:r>
      <w:r w:rsidR="00D7528D">
        <w:rPr>
          <w:lang w:val="en-CA"/>
        </w:rPr>
        <w:t>must be made</w:t>
      </w:r>
      <w:r w:rsidRPr="006813B7">
        <w:rPr>
          <w:lang w:val="en-CA"/>
        </w:rPr>
        <w:t xml:space="preserve"> regarding the scope of the statement that </w:t>
      </w:r>
      <w:r w:rsidR="00D31C44">
        <w:rPr>
          <w:lang w:val="en-CA"/>
        </w:rPr>
        <w:t>“</w:t>
      </w:r>
      <w:r w:rsidR="00D31C44" w:rsidRPr="00D31C44">
        <w:rPr>
          <w:szCs w:val="24"/>
          <w:lang w:val="en-CA"/>
        </w:rPr>
        <w:t>it is an error of law to make a finding of fact for which there is no supporting evidence</w:t>
      </w:r>
      <w:r w:rsidR="00D31C44">
        <w:rPr>
          <w:szCs w:val="24"/>
          <w:lang w:val="en-CA"/>
        </w:rPr>
        <w:t>.”</w:t>
      </w:r>
      <w:r w:rsidR="00276A1F" w:rsidRPr="000E73A2">
        <w:rPr>
          <w:rFonts w:cs="Arial"/>
          <w:szCs w:val="24"/>
          <w:vertAlign w:val="superscript"/>
          <w:lang w:val="en-CA"/>
        </w:rPr>
        <w:footnoteReference w:id="92"/>
      </w:r>
    </w:p>
    <w:p w14:paraId="4B172D77" w14:textId="4E072397" w:rsidR="00276A1F" w:rsidRPr="000E73A2" w:rsidRDefault="006813B7" w:rsidP="0010371B">
      <w:pPr>
        <w:pStyle w:val="Paragraphe"/>
        <w:spacing w:before="180" w:after="180" w:line="280" w:lineRule="exact"/>
        <w:rPr>
          <w:lang w:val="en-CA"/>
        </w:rPr>
      </w:pPr>
      <w:r w:rsidRPr="006813B7">
        <w:rPr>
          <w:lang w:val="en-CA"/>
        </w:rPr>
        <w:t>The first relates to the subject matter of this particular type of error of law: it applies only to</w:t>
      </w:r>
      <w:r w:rsidR="00F9121D">
        <w:rPr>
          <w:lang w:val="en-CA"/>
        </w:rPr>
        <w:t xml:space="preserve"> the</w:t>
      </w:r>
      <w:r w:rsidRPr="006813B7">
        <w:rPr>
          <w:lang w:val="en-CA"/>
        </w:rPr>
        <w:t xml:space="preserve"> </w:t>
      </w:r>
      <w:r w:rsidRPr="00F9121D">
        <w:rPr>
          <w:i/>
          <w:iCs/>
          <w:lang w:val="en-CA"/>
        </w:rPr>
        <w:t>finding of fact</w:t>
      </w:r>
      <w:r w:rsidRPr="006813B7">
        <w:rPr>
          <w:lang w:val="en-CA"/>
        </w:rPr>
        <w:t xml:space="preserve"> </w:t>
      </w:r>
      <w:r w:rsidR="00F9121D">
        <w:rPr>
          <w:lang w:val="en-CA"/>
        </w:rPr>
        <w:t>for which there is no supporting evide</w:t>
      </w:r>
      <w:r w:rsidR="00D7528D">
        <w:rPr>
          <w:lang w:val="en-CA"/>
        </w:rPr>
        <w:t>n</w:t>
      </w:r>
      <w:r w:rsidR="00F9121D">
        <w:rPr>
          <w:lang w:val="en-CA"/>
        </w:rPr>
        <w:t>ce</w:t>
      </w:r>
      <w:r w:rsidRPr="006813B7">
        <w:rPr>
          <w:lang w:val="en-CA"/>
        </w:rPr>
        <w:t xml:space="preserve">. This clarification is important in this case because, rather than challenging a finding that the judge made with respect to a disputed fact, the Crown is challenging a finding that the judge made in describing the </w:t>
      </w:r>
      <w:r w:rsidR="00F9121D">
        <w:rPr>
          <w:lang w:val="en-CA"/>
        </w:rPr>
        <w:t>substance</w:t>
      </w:r>
      <w:r w:rsidRPr="006813B7">
        <w:rPr>
          <w:lang w:val="en-CA"/>
        </w:rPr>
        <w:t xml:space="preserve"> of circumstantial evidence — namely, the respondent's testimony about what was said when the complainant got out of the bathtub — that was relied on in the context of a debate about an alleged lack of consent. However, as I understand it, nothing in </w:t>
      </w:r>
      <w:r w:rsidRPr="006813B7">
        <w:rPr>
          <w:i/>
          <w:iCs/>
          <w:lang w:val="en-CA"/>
        </w:rPr>
        <w:t>Schuldt</w:t>
      </w:r>
      <w:r w:rsidRPr="006813B7">
        <w:rPr>
          <w:lang w:val="en-CA"/>
        </w:rPr>
        <w:t xml:space="preserve"> or in the earlier decisions cited by Lamer J. supports the proposition </w:t>
      </w:r>
      <w:r>
        <w:rPr>
          <w:lang w:val="en-CA"/>
        </w:rPr>
        <w:t>that</w:t>
      </w:r>
      <w:r w:rsidR="00276A1F" w:rsidRPr="000E73A2">
        <w:rPr>
          <w:lang w:val="en-CA"/>
        </w:rPr>
        <w:t xml:space="preserve"> </w:t>
      </w:r>
      <w:r w:rsidR="00276A1F" w:rsidRPr="006813B7">
        <w:rPr>
          <w:lang w:val="en-CA"/>
        </w:rPr>
        <w:t>a mistake as to the substance of evidence</w:t>
      </w:r>
      <w:r w:rsidR="00276A1F" w:rsidRPr="000E73A2">
        <w:rPr>
          <w:lang w:val="en-CA"/>
        </w:rPr>
        <w:t xml:space="preserve"> </w:t>
      </w:r>
      <w:r w:rsidRPr="006813B7">
        <w:rPr>
          <w:lang w:val="en-CA"/>
        </w:rPr>
        <w:t xml:space="preserve">could, on its own, constitute an error of law. The focus in these cases is on </w:t>
      </w:r>
      <w:r w:rsidR="00270241">
        <w:rPr>
          <w:lang w:val="en-CA"/>
        </w:rPr>
        <w:t>findings</w:t>
      </w:r>
      <w:r w:rsidRPr="006813B7">
        <w:rPr>
          <w:lang w:val="en-CA"/>
        </w:rPr>
        <w:t xml:space="preserve"> relating to disputed facts, in this case the constituent elements of the offences with which the accused was charged. It follows that, in the present case, the applicability of the teachings of </w:t>
      </w:r>
      <w:r w:rsidRPr="006813B7">
        <w:rPr>
          <w:i/>
          <w:iCs/>
          <w:lang w:val="en-CA"/>
        </w:rPr>
        <w:t>J.M.H.</w:t>
      </w:r>
      <w:r>
        <w:rPr>
          <w:lang w:val="en-CA"/>
        </w:rPr>
        <w:t xml:space="preserve"> </w:t>
      </w:r>
      <w:r w:rsidRPr="006813B7">
        <w:rPr>
          <w:lang w:val="en-CA"/>
        </w:rPr>
        <w:t xml:space="preserve">must be analysed with emphasis on the judge's </w:t>
      </w:r>
      <w:r w:rsidR="00270241">
        <w:rPr>
          <w:lang w:val="en-CA"/>
        </w:rPr>
        <w:t>finding</w:t>
      </w:r>
      <w:r w:rsidRPr="006813B7">
        <w:rPr>
          <w:lang w:val="en-CA"/>
        </w:rPr>
        <w:t xml:space="preserve"> that the complainant consented to the disputed sexual intercourse, and not on his finding that she told the respondent, as she was getting out of the bath, that she was waiting for him in bed</w:t>
      </w:r>
      <w:r w:rsidR="00276A1F" w:rsidRPr="000E73A2">
        <w:rPr>
          <w:lang w:val="en-CA"/>
        </w:rPr>
        <w:t>.</w:t>
      </w:r>
    </w:p>
    <w:p w14:paraId="53381A47" w14:textId="129F5B35" w:rsidR="00276A1F" w:rsidRPr="000E73A2" w:rsidRDefault="00F9121D" w:rsidP="0010371B">
      <w:pPr>
        <w:pStyle w:val="Paragraphe"/>
        <w:spacing w:before="180" w:after="180" w:line="280" w:lineRule="exact"/>
        <w:rPr>
          <w:lang w:val="en-CA"/>
        </w:rPr>
      </w:pPr>
      <w:r w:rsidRPr="00F9121D">
        <w:rPr>
          <w:lang w:val="en-CA"/>
        </w:rPr>
        <w:t xml:space="preserve">Secondly, </w:t>
      </w:r>
      <w:r w:rsidRPr="00F9121D">
        <w:rPr>
          <w:i/>
          <w:iCs/>
          <w:lang w:val="en-CA"/>
        </w:rPr>
        <w:t>Schuldt</w:t>
      </w:r>
      <w:r w:rsidRPr="00F9121D">
        <w:rPr>
          <w:lang w:val="en-CA"/>
        </w:rPr>
        <w:t>, on which the Supreme Court relie</w:t>
      </w:r>
      <w:r>
        <w:rPr>
          <w:lang w:val="en-CA"/>
        </w:rPr>
        <w:t>d</w:t>
      </w:r>
      <w:r w:rsidRPr="00F9121D">
        <w:rPr>
          <w:lang w:val="en-CA"/>
        </w:rPr>
        <w:t xml:space="preserve"> in </w:t>
      </w:r>
      <w:r w:rsidRPr="00F9121D">
        <w:rPr>
          <w:i/>
          <w:iCs/>
          <w:lang w:val="en-CA"/>
        </w:rPr>
        <w:t>J.M.H.</w:t>
      </w:r>
      <w:r w:rsidRPr="00F9121D">
        <w:rPr>
          <w:lang w:val="en-CA"/>
        </w:rPr>
        <w:t xml:space="preserve"> in stating that </w:t>
      </w:r>
      <w:r w:rsidR="00D31C44">
        <w:rPr>
          <w:lang w:val="en-CA"/>
        </w:rPr>
        <w:t>“</w:t>
      </w:r>
      <w:r w:rsidR="00D31C44" w:rsidRPr="00D31C44">
        <w:rPr>
          <w:lang w:val="en-CA"/>
        </w:rPr>
        <w:t>it is an error of law to make a finding of fact for which there is no supporting evidence</w:t>
      </w:r>
      <w:r w:rsidR="00D31C44">
        <w:rPr>
          <w:lang w:val="en-CA"/>
        </w:rPr>
        <w:t>,”</w:t>
      </w:r>
      <w:r w:rsidR="00276A1F" w:rsidRPr="000E73A2">
        <w:rPr>
          <w:rFonts w:cs="Arial"/>
          <w:szCs w:val="24"/>
          <w:vertAlign w:val="superscript"/>
          <w:lang w:val="en-CA"/>
        </w:rPr>
        <w:footnoteReference w:id="93"/>
      </w:r>
      <w:r w:rsidR="00276A1F" w:rsidRPr="000E73A2">
        <w:rPr>
          <w:lang w:val="en-CA"/>
        </w:rPr>
        <w:t xml:space="preserve"> </w:t>
      </w:r>
      <w:r>
        <w:rPr>
          <w:lang w:val="en-CA"/>
        </w:rPr>
        <w:t xml:space="preserve">makes clear </w:t>
      </w:r>
      <w:r w:rsidRPr="00F9121D">
        <w:rPr>
          <w:lang w:val="en-CA"/>
        </w:rPr>
        <w:t xml:space="preserve">that an error of law giving rise to an appeal by the Crown exists only where the </w:t>
      </w:r>
      <w:r>
        <w:rPr>
          <w:lang w:val="en-CA"/>
        </w:rPr>
        <w:t>disput</w:t>
      </w:r>
      <w:r w:rsidRPr="00F9121D">
        <w:rPr>
          <w:lang w:val="en-CA"/>
        </w:rPr>
        <w:t xml:space="preserve">ed finding relates to a matter in respect of which the burden of proof lay with the accused. However, in the present case, even if we were to accept for the sake of argument that the error committed by the judge led him to </w:t>
      </w:r>
      <w:r w:rsidR="00270241">
        <w:rPr>
          <w:lang w:val="en-CA"/>
        </w:rPr>
        <w:t>make</w:t>
      </w:r>
      <w:r w:rsidRPr="00F9121D">
        <w:rPr>
          <w:lang w:val="en-CA"/>
        </w:rPr>
        <w:t xml:space="preserve"> a </w:t>
      </w:r>
      <w:r w:rsidR="00270241">
        <w:rPr>
          <w:lang w:val="en-CA"/>
        </w:rPr>
        <w:t>finding</w:t>
      </w:r>
      <w:r w:rsidRPr="00F9121D">
        <w:rPr>
          <w:lang w:val="en-CA"/>
        </w:rPr>
        <w:t xml:space="preserve"> regarding the complainant's consent that was not supported by any evidence</w:t>
      </w:r>
      <w:r>
        <w:rPr>
          <w:lang w:val="en-CA"/>
        </w:rPr>
        <w:t>,</w:t>
      </w:r>
      <w:r w:rsidR="00276A1F" w:rsidRPr="000E73A2">
        <w:rPr>
          <w:rFonts w:cs="Arial"/>
          <w:szCs w:val="24"/>
          <w:vertAlign w:val="superscript"/>
          <w:lang w:val="en-CA"/>
        </w:rPr>
        <w:footnoteReference w:id="94"/>
      </w:r>
      <w:r>
        <w:rPr>
          <w:lang w:val="en-CA"/>
        </w:rPr>
        <w:t xml:space="preserve"> </w:t>
      </w:r>
      <w:r w:rsidRPr="00F9121D">
        <w:rPr>
          <w:lang w:val="en-CA"/>
        </w:rPr>
        <w:t xml:space="preserve">the Crown's </w:t>
      </w:r>
      <w:r>
        <w:rPr>
          <w:lang w:val="en-CA"/>
        </w:rPr>
        <w:t xml:space="preserve">theory </w:t>
      </w:r>
      <w:r w:rsidRPr="00F9121D">
        <w:rPr>
          <w:lang w:val="en-CA"/>
        </w:rPr>
        <w:t xml:space="preserve">would </w:t>
      </w:r>
      <w:r w:rsidR="00270241">
        <w:rPr>
          <w:lang w:val="en-CA"/>
        </w:rPr>
        <w:t>run up against</w:t>
      </w:r>
      <w:r w:rsidRPr="00F9121D">
        <w:rPr>
          <w:lang w:val="en-CA"/>
        </w:rPr>
        <w:t xml:space="preserve"> the fact that this is an element of the offence of sexual assault for which the burden of proof was not shifted to the respondent</w:t>
      </w:r>
      <w:r w:rsidR="00276A1F" w:rsidRPr="000E73A2">
        <w:rPr>
          <w:lang w:val="en-CA"/>
        </w:rPr>
        <w:t>.</w:t>
      </w:r>
    </w:p>
    <w:p w14:paraId="2A54ECC9" w14:textId="4C6E60BF" w:rsidR="00276A1F" w:rsidRPr="000E73A2" w:rsidRDefault="009E329A" w:rsidP="0010371B">
      <w:pPr>
        <w:pStyle w:val="Paragraphe"/>
        <w:spacing w:before="180" w:after="180" w:line="280" w:lineRule="exact"/>
        <w:rPr>
          <w:lang w:val="en-CA"/>
        </w:rPr>
      </w:pPr>
      <w:r>
        <w:rPr>
          <w:lang w:val="en-CA"/>
        </w:rPr>
        <w:t>I find t</w:t>
      </w:r>
      <w:r w:rsidR="00081571" w:rsidRPr="00081571">
        <w:rPr>
          <w:lang w:val="en-CA"/>
        </w:rPr>
        <w:t xml:space="preserve">he proposition that any </w:t>
      </w:r>
      <w:r w:rsidR="00081571">
        <w:rPr>
          <w:lang w:val="en-CA"/>
        </w:rPr>
        <w:t>mistake</w:t>
      </w:r>
      <w:r w:rsidR="00081571" w:rsidRPr="00081571">
        <w:rPr>
          <w:lang w:val="en-CA"/>
        </w:rPr>
        <w:t xml:space="preserve"> as to the </w:t>
      </w:r>
      <w:r w:rsidR="00081571">
        <w:rPr>
          <w:lang w:val="en-CA"/>
        </w:rPr>
        <w:t>substance</w:t>
      </w:r>
      <w:r w:rsidR="00081571" w:rsidRPr="00081571">
        <w:rPr>
          <w:lang w:val="en-CA"/>
        </w:rPr>
        <w:t xml:space="preserve"> of evidence gives rise to an error of law for the purposes of s</w:t>
      </w:r>
      <w:r w:rsidR="00795E20">
        <w:rPr>
          <w:lang w:val="en-CA"/>
        </w:rPr>
        <w:t>.</w:t>
      </w:r>
      <w:r w:rsidR="00081571" w:rsidRPr="00081571">
        <w:rPr>
          <w:lang w:val="en-CA"/>
        </w:rPr>
        <w:t xml:space="preserve"> 676(1)(a) of the </w:t>
      </w:r>
      <w:proofErr w:type="spellStart"/>
      <w:r w:rsidR="00081571" w:rsidRPr="00081571">
        <w:rPr>
          <w:i/>
          <w:iCs/>
          <w:lang w:val="en-CA"/>
        </w:rPr>
        <w:t>Cr.C</w:t>
      </w:r>
      <w:proofErr w:type="spellEnd"/>
      <w:r w:rsidR="00081571" w:rsidRPr="00081571">
        <w:rPr>
          <w:i/>
          <w:iCs/>
          <w:lang w:val="en-CA"/>
        </w:rPr>
        <w:t>.</w:t>
      </w:r>
      <w:r>
        <w:rPr>
          <w:lang w:val="en-CA"/>
        </w:rPr>
        <w:t xml:space="preserve"> </w:t>
      </w:r>
      <w:r w:rsidR="00081571" w:rsidRPr="00081571">
        <w:rPr>
          <w:lang w:val="en-CA"/>
        </w:rPr>
        <w:t>problematic in other respects</w:t>
      </w:r>
      <w:r w:rsidR="00276A1F" w:rsidRPr="000E73A2">
        <w:rPr>
          <w:lang w:val="en-CA"/>
        </w:rPr>
        <w:t>.</w:t>
      </w:r>
    </w:p>
    <w:p w14:paraId="170CB071" w14:textId="79A9388B" w:rsidR="00276A1F" w:rsidRPr="000E73A2" w:rsidRDefault="00081571" w:rsidP="0010371B">
      <w:pPr>
        <w:pStyle w:val="Paragraphe"/>
        <w:spacing w:before="180" w:after="180" w:line="280" w:lineRule="exact"/>
        <w:rPr>
          <w:lang w:val="en-CA"/>
        </w:rPr>
      </w:pPr>
      <w:r w:rsidRPr="00081571">
        <w:rPr>
          <w:lang w:val="en-CA"/>
        </w:rPr>
        <w:lastRenderedPageBreak/>
        <w:t xml:space="preserve">First, </w:t>
      </w:r>
      <w:r>
        <w:rPr>
          <w:lang w:val="en-CA"/>
        </w:rPr>
        <w:t xml:space="preserve">such a </w:t>
      </w:r>
      <w:r w:rsidRPr="00081571">
        <w:rPr>
          <w:lang w:val="en-CA"/>
        </w:rPr>
        <w:t>conclu</w:t>
      </w:r>
      <w:r>
        <w:rPr>
          <w:lang w:val="en-CA"/>
        </w:rPr>
        <w:t>sion</w:t>
      </w:r>
      <w:r w:rsidRPr="00081571">
        <w:rPr>
          <w:lang w:val="en-CA"/>
        </w:rPr>
        <w:t xml:space="preserve"> would introduce inconsistency in the </w:t>
      </w:r>
      <w:r>
        <w:rPr>
          <w:lang w:val="en-CA"/>
        </w:rPr>
        <w:t>characterization</w:t>
      </w:r>
      <w:r w:rsidRPr="00081571">
        <w:rPr>
          <w:lang w:val="en-CA"/>
        </w:rPr>
        <w:t xml:space="preserve"> of the same error depending on whether it is invoked by the </w:t>
      </w:r>
      <w:r>
        <w:rPr>
          <w:lang w:val="en-CA"/>
        </w:rPr>
        <w:t>Crown</w:t>
      </w:r>
      <w:r w:rsidRPr="00081571">
        <w:rPr>
          <w:lang w:val="en-CA"/>
        </w:rPr>
        <w:t xml:space="preserve"> or by the accused. In the context of an appeal against a conviction, a mistake as to the substance of evidence does not lead to </w:t>
      </w:r>
      <w:r>
        <w:rPr>
          <w:rFonts w:cs="Arial"/>
          <w:szCs w:val="24"/>
          <w:lang w:val="en-CA"/>
        </w:rPr>
        <w:t>“</w:t>
      </w:r>
      <w:r w:rsidRPr="00081571">
        <w:rPr>
          <w:rFonts w:cs="Arial"/>
          <w:color w:val="000000"/>
          <w:szCs w:val="24"/>
          <w:lang w:val="en-CA"/>
        </w:rPr>
        <w:t>a wrong decision on a question of law</w:t>
      </w:r>
      <w:r>
        <w:rPr>
          <w:rFonts w:cs="Arial"/>
          <w:i/>
          <w:iCs/>
          <w:color w:val="000000"/>
          <w:szCs w:val="24"/>
          <w:lang w:val="en-CA"/>
        </w:rPr>
        <w:t>/</w:t>
      </w:r>
      <w:r w:rsidRPr="000E73A2">
        <w:rPr>
          <w:rFonts w:cs="Arial"/>
          <w:szCs w:val="24"/>
          <w:lang w:val="en-CA"/>
        </w:rPr>
        <w:t xml:space="preserve"> </w:t>
      </w:r>
      <w:proofErr w:type="spellStart"/>
      <w:r w:rsidR="00276A1F" w:rsidRPr="00081571">
        <w:rPr>
          <w:rFonts w:cs="Arial"/>
          <w:i/>
          <w:iCs/>
          <w:szCs w:val="24"/>
          <w:lang w:val="en-CA"/>
        </w:rPr>
        <w:t>une</w:t>
      </w:r>
      <w:proofErr w:type="spellEnd"/>
      <w:r w:rsidR="00276A1F" w:rsidRPr="00081571">
        <w:rPr>
          <w:rFonts w:cs="Arial"/>
          <w:i/>
          <w:iCs/>
          <w:szCs w:val="24"/>
          <w:lang w:val="en-CA"/>
        </w:rPr>
        <w:t xml:space="preserve"> </w:t>
      </w:r>
      <w:proofErr w:type="spellStart"/>
      <w:r w:rsidR="00276A1F" w:rsidRPr="00081571">
        <w:rPr>
          <w:rFonts w:cs="Arial"/>
          <w:i/>
          <w:iCs/>
          <w:szCs w:val="24"/>
          <w:lang w:val="en-CA"/>
        </w:rPr>
        <w:t>décision</w:t>
      </w:r>
      <w:proofErr w:type="spellEnd"/>
      <w:r w:rsidR="00276A1F" w:rsidRPr="00081571">
        <w:rPr>
          <w:rFonts w:cs="Arial"/>
          <w:i/>
          <w:iCs/>
          <w:szCs w:val="24"/>
          <w:lang w:val="en-CA"/>
        </w:rPr>
        <w:t xml:space="preserve"> </w:t>
      </w:r>
      <w:proofErr w:type="spellStart"/>
      <w:r w:rsidR="00276A1F" w:rsidRPr="00081571">
        <w:rPr>
          <w:rFonts w:cs="Arial"/>
          <w:i/>
          <w:iCs/>
          <w:szCs w:val="24"/>
          <w:lang w:val="en-CA"/>
        </w:rPr>
        <w:t>erronée</w:t>
      </w:r>
      <w:proofErr w:type="spellEnd"/>
      <w:r w:rsidR="00276A1F" w:rsidRPr="00081571">
        <w:rPr>
          <w:rFonts w:cs="Arial"/>
          <w:i/>
          <w:iCs/>
          <w:szCs w:val="24"/>
          <w:lang w:val="en-CA"/>
        </w:rPr>
        <w:t xml:space="preserve"> sur </w:t>
      </w:r>
      <w:proofErr w:type="spellStart"/>
      <w:r w:rsidR="00276A1F" w:rsidRPr="00081571">
        <w:rPr>
          <w:rFonts w:cs="Arial"/>
          <w:i/>
          <w:iCs/>
          <w:szCs w:val="24"/>
          <w:lang w:val="en-CA"/>
        </w:rPr>
        <w:t>une</w:t>
      </w:r>
      <w:proofErr w:type="spellEnd"/>
      <w:r w:rsidR="00276A1F" w:rsidRPr="00081571">
        <w:rPr>
          <w:rFonts w:cs="Arial"/>
          <w:i/>
          <w:iCs/>
          <w:szCs w:val="24"/>
          <w:lang w:val="en-CA"/>
        </w:rPr>
        <w:t xml:space="preserve"> question de droit</w:t>
      </w:r>
      <w:r>
        <w:rPr>
          <w:rFonts w:cs="Arial"/>
          <w:color w:val="000000"/>
          <w:szCs w:val="24"/>
          <w:lang w:val="en-CA"/>
        </w:rPr>
        <w:t>”</w:t>
      </w:r>
      <w:r w:rsidR="00276A1F" w:rsidRPr="000E73A2">
        <w:rPr>
          <w:rFonts w:cs="Arial"/>
          <w:szCs w:val="24"/>
          <w:lang w:val="en-CA"/>
        </w:rPr>
        <w:t xml:space="preserve"> </w:t>
      </w:r>
      <w:r>
        <w:rPr>
          <w:rFonts w:cs="Arial"/>
          <w:szCs w:val="24"/>
          <w:lang w:val="en-CA"/>
        </w:rPr>
        <w:t>within the meaning of s.</w:t>
      </w:r>
      <w:r w:rsidR="00276A1F" w:rsidRPr="000E73A2">
        <w:rPr>
          <w:lang w:val="en-CA"/>
        </w:rPr>
        <w:t xml:space="preserve"> 686(1)</w:t>
      </w:r>
      <w:r>
        <w:rPr>
          <w:lang w:val="en-CA"/>
        </w:rPr>
        <w:t>(</w:t>
      </w:r>
      <w:r w:rsidR="00276A1F" w:rsidRPr="000E73A2">
        <w:rPr>
          <w:lang w:val="en-CA"/>
        </w:rPr>
        <w:t xml:space="preserve">a)(ii) </w:t>
      </w:r>
      <w:proofErr w:type="spellStart"/>
      <w:r w:rsidR="00276A1F" w:rsidRPr="000E73A2">
        <w:rPr>
          <w:i/>
          <w:iCs/>
          <w:lang w:val="en-CA"/>
        </w:rPr>
        <w:t>C</w:t>
      </w:r>
      <w:r>
        <w:rPr>
          <w:i/>
          <w:iCs/>
          <w:lang w:val="en-CA"/>
        </w:rPr>
        <w:t>r</w:t>
      </w:r>
      <w:r w:rsidR="00276A1F" w:rsidRPr="000E73A2">
        <w:rPr>
          <w:i/>
          <w:iCs/>
          <w:lang w:val="en-CA"/>
        </w:rPr>
        <w:t>.</w:t>
      </w:r>
      <w:r>
        <w:rPr>
          <w:i/>
          <w:iCs/>
          <w:lang w:val="en-CA"/>
        </w:rPr>
        <w:t>C</w:t>
      </w:r>
      <w:proofErr w:type="spellEnd"/>
      <w:r w:rsidR="00276A1F" w:rsidRPr="000E73A2">
        <w:rPr>
          <w:i/>
          <w:iCs/>
          <w:lang w:val="en-CA"/>
        </w:rPr>
        <w:t>.</w:t>
      </w:r>
      <w:r w:rsidR="00276A1F" w:rsidRPr="000E73A2">
        <w:rPr>
          <w:lang w:val="en-CA"/>
        </w:rPr>
        <w:t xml:space="preserve">, </w:t>
      </w:r>
      <w:r>
        <w:rPr>
          <w:lang w:val="en-CA"/>
        </w:rPr>
        <w:t xml:space="preserve">but </w:t>
      </w:r>
      <w:r w:rsidR="00AB050E">
        <w:rPr>
          <w:lang w:val="en-CA"/>
        </w:rPr>
        <w:t>rather</w:t>
      </w:r>
      <w:r>
        <w:rPr>
          <w:lang w:val="en-CA"/>
        </w:rPr>
        <w:t xml:space="preserve"> </w:t>
      </w:r>
      <w:r w:rsidR="00795E20">
        <w:rPr>
          <w:lang w:val="en-CA"/>
        </w:rPr>
        <w:t xml:space="preserve">to </w:t>
      </w:r>
      <w:r>
        <w:rPr>
          <w:lang w:val="en-CA"/>
        </w:rPr>
        <w:t>a</w:t>
      </w:r>
      <w:r w:rsidR="00AB050E">
        <w:rPr>
          <w:lang w:val="en-CA"/>
        </w:rPr>
        <w:t>n error capable of causing a</w:t>
      </w:r>
      <w:r>
        <w:rPr>
          <w:lang w:val="en-CA"/>
        </w:rPr>
        <w:t xml:space="preserve"> “</w:t>
      </w:r>
      <w:r w:rsidR="00276A1F" w:rsidRPr="00081571">
        <w:rPr>
          <w:lang w:val="en-CA"/>
        </w:rPr>
        <w:t>miscarriage of justice</w:t>
      </w:r>
      <w:r>
        <w:rPr>
          <w:i/>
          <w:iCs/>
          <w:lang w:val="en-CA"/>
        </w:rPr>
        <w:t>/</w:t>
      </w:r>
      <w:r w:rsidRPr="00081571">
        <w:rPr>
          <w:i/>
          <w:iCs/>
          <w:lang w:val="en-CA"/>
        </w:rPr>
        <w:t xml:space="preserve"> </w:t>
      </w:r>
      <w:proofErr w:type="spellStart"/>
      <w:r w:rsidRPr="00081571">
        <w:rPr>
          <w:i/>
          <w:iCs/>
          <w:lang w:val="en-CA"/>
        </w:rPr>
        <w:t>erreur</w:t>
      </w:r>
      <w:proofErr w:type="spellEnd"/>
      <w:r w:rsidRPr="00081571">
        <w:rPr>
          <w:i/>
          <w:iCs/>
          <w:lang w:val="en-CA"/>
        </w:rPr>
        <w:t xml:space="preserve"> </w:t>
      </w:r>
      <w:proofErr w:type="spellStart"/>
      <w:r w:rsidRPr="00081571">
        <w:rPr>
          <w:i/>
          <w:iCs/>
          <w:lang w:val="en-CA"/>
        </w:rPr>
        <w:t>judiciaire</w:t>
      </w:r>
      <w:proofErr w:type="spellEnd"/>
      <w:r w:rsidRPr="00081571">
        <w:rPr>
          <w:lang w:val="en-CA"/>
        </w:rPr>
        <w:t>”</w:t>
      </w:r>
      <w:r w:rsidR="00276A1F" w:rsidRPr="000E73A2">
        <w:rPr>
          <w:lang w:val="en-CA"/>
        </w:rPr>
        <w:t xml:space="preserve"> </w:t>
      </w:r>
      <w:r>
        <w:rPr>
          <w:lang w:val="en-CA"/>
        </w:rPr>
        <w:t>within the meaning of s.</w:t>
      </w:r>
      <w:r w:rsidR="00276A1F" w:rsidRPr="000E73A2">
        <w:rPr>
          <w:lang w:val="en-CA"/>
        </w:rPr>
        <w:t> 686(1)</w:t>
      </w:r>
      <w:r>
        <w:rPr>
          <w:lang w:val="en-CA"/>
        </w:rPr>
        <w:t>(</w:t>
      </w:r>
      <w:r w:rsidR="00276A1F" w:rsidRPr="000E73A2">
        <w:rPr>
          <w:lang w:val="en-CA"/>
        </w:rPr>
        <w:t xml:space="preserve">a)(iii) </w:t>
      </w:r>
      <w:proofErr w:type="spellStart"/>
      <w:r w:rsidR="00276A1F" w:rsidRPr="000E73A2">
        <w:rPr>
          <w:i/>
          <w:iCs/>
          <w:lang w:val="en-CA"/>
        </w:rPr>
        <w:t>C</w:t>
      </w:r>
      <w:r>
        <w:rPr>
          <w:i/>
          <w:iCs/>
          <w:lang w:val="en-CA"/>
        </w:rPr>
        <w:t>r</w:t>
      </w:r>
      <w:r w:rsidR="00276A1F" w:rsidRPr="000E73A2">
        <w:rPr>
          <w:i/>
          <w:iCs/>
          <w:lang w:val="en-CA"/>
        </w:rPr>
        <w:t>.</w:t>
      </w:r>
      <w:r>
        <w:rPr>
          <w:i/>
          <w:iCs/>
          <w:lang w:val="en-CA"/>
        </w:rPr>
        <w:t>C</w:t>
      </w:r>
      <w:proofErr w:type="spellEnd"/>
      <w:r w:rsidR="00276A1F" w:rsidRPr="000E73A2">
        <w:rPr>
          <w:i/>
          <w:iCs/>
          <w:lang w:val="en-CA"/>
        </w:rPr>
        <w:t>.</w:t>
      </w:r>
      <w:r w:rsidR="00276A1F" w:rsidRPr="000E73A2">
        <w:rPr>
          <w:rFonts w:cs="Arial"/>
          <w:szCs w:val="24"/>
          <w:vertAlign w:val="superscript"/>
          <w:lang w:val="en-CA"/>
        </w:rPr>
        <w:footnoteReference w:id="95"/>
      </w:r>
      <w:r w:rsidR="00276A1F" w:rsidRPr="000E73A2">
        <w:rPr>
          <w:lang w:val="en-CA"/>
        </w:rPr>
        <w:t>.</w:t>
      </w:r>
    </w:p>
    <w:p w14:paraId="5CD99539" w14:textId="59E85917" w:rsidR="00276A1F" w:rsidRPr="000E73A2" w:rsidRDefault="00CB7081" w:rsidP="0010371B">
      <w:pPr>
        <w:pStyle w:val="Paragraphe"/>
        <w:spacing w:before="180" w:after="180" w:line="280" w:lineRule="exact"/>
        <w:rPr>
          <w:lang w:val="en-CA"/>
        </w:rPr>
      </w:pPr>
      <w:r w:rsidRPr="00CB7081">
        <w:rPr>
          <w:lang w:val="en-CA"/>
        </w:rPr>
        <w:t xml:space="preserve">This inconsistency could also prove problematic at a more substantial level. An accused who alleges a miscarriage of justice arising from a mistake as to the substance of evidence must show that the </w:t>
      </w:r>
      <w:r w:rsidR="009167DA">
        <w:rPr>
          <w:lang w:val="en-CA"/>
        </w:rPr>
        <w:t>error in question</w:t>
      </w:r>
      <w:r w:rsidR="00DF0890">
        <w:rPr>
          <w:lang w:val="en-CA"/>
        </w:rPr>
        <w:t xml:space="preserve"> </w:t>
      </w:r>
      <w:r w:rsidR="00980928">
        <w:rPr>
          <w:lang w:val="en-CA"/>
        </w:rPr>
        <w:t>“</w:t>
      </w:r>
      <w:r w:rsidR="00980928" w:rsidRPr="00980928">
        <w:rPr>
          <w:lang w:val="en-CA"/>
        </w:rPr>
        <w:t>go</w:t>
      </w:r>
      <w:r w:rsidR="00980928">
        <w:rPr>
          <w:lang w:val="en-CA"/>
        </w:rPr>
        <w:t>[es]</w:t>
      </w:r>
      <w:r w:rsidR="00980928" w:rsidRPr="00980928">
        <w:rPr>
          <w:lang w:val="en-CA"/>
        </w:rPr>
        <w:t xml:space="preserve"> to the substance rather than to the detail</w:t>
      </w:r>
      <w:r w:rsidR="00980928">
        <w:rPr>
          <w:lang w:val="en-CA"/>
        </w:rPr>
        <w:t>”</w:t>
      </w:r>
      <w:r w:rsidR="00276A1F" w:rsidRPr="000E73A2">
        <w:rPr>
          <w:rFonts w:cs="Arial"/>
          <w:szCs w:val="24"/>
          <w:vertAlign w:val="superscript"/>
          <w:lang w:val="en-CA"/>
        </w:rPr>
        <w:footnoteReference w:id="96"/>
      </w:r>
      <w:r w:rsidR="00276A1F" w:rsidRPr="000E73A2">
        <w:rPr>
          <w:lang w:val="en-CA"/>
        </w:rPr>
        <w:t xml:space="preserve">, </w:t>
      </w:r>
      <w:r>
        <w:rPr>
          <w:lang w:val="en-CA"/>
        </w:rPr>
        <w:t>that it indeed</w:t>
      </w:r>
      <w:r w:rsidR="00276A1F" w:rsidRPr="000E73A2">
        <w:rPr>
          <w:lang w:val="en-CA"/>
        </w:rPr>
        <w:t xml:space="preserve"> </w:t>
      </w:r>
      <w:r w:rsidR="00980928">
        <w:rPr>
          <w:lang w:val="en-CA"/>
        </w:rPr>
        <w:t>“</w:t>
      </w:r>
      <w:r w:rsidR="00BB3701" w:rsidRPr="00BB3701">
        <w:rPr>
          <w:lang w:val="en-CA"/>
        </w:rPr>
        <w:t>be material rather than peripheral to the reasoning of the trial judge</w:t>
      </w:r>
      <w:r w:rsidR="00BB3701">
        <w:rPr>
          <w:lang w:val="en-CA"/>
        </w:rPr>
        <w:t>”</w:t>
      </w:r>
      <w:r w:rsidR="00276A1F" w:rsidRPr="000E73A2">
        <w:rPr>
          <w:rFonts w:cs="Arial"/>
          <w:szCs w:val="24"/>
          <w:vertAlign w:val="superscript"/>
          <w:lang w:val="en-CA"/>
        </w:rPr>
        <w:footnoteReference w:id="97"/>
      </w:r>
      <w:r w:rsidR="00276A1F" w:rsidRPr="000E73A2">
        <w:rPr>
          <w:lang w:val="en-CA"/>
        </w:rPr>
        <w:t xml:space="preserve"> </w:t>
      </w:r>
      <w:r>
        <w:rPr>
          <w:lang w:val="en-CA"/>
        </w:rPr>
        <w:t>and that it</w:t>
      </w:r>
      <w:r w:rsidR="00276A1F" w:rsidRPr="000E73A2">
        <w:rPr>
          <w:lang w:val="en-CA"/>
        </w:rPr>
        <w:t xml:space="preserve"> </w:t>
      </w:r>
      <w:r w:rsidR="00BB3701">
        <w:rPr>
          <w:lang w:val="en-CA"/>
        </w:rPr>
        <w:t>“</w:t>
      </w:r>
      <w:r w:rsidR="00BB3701" w:rsidRPr="00BB3701">
        <w:rPr>
          <w:lang w:val="en-CA"/>
        </w:rPr>
        <w:t>play</w:t>
      </w:r>
      <w:r>
        <w:rPr>
          <w:lang w:val="en-CA"/>
        </w:rPr>
        <w:t>[ed]</w:t>
      </w:r>
      <w:r w:rsidR="00BB3701" w:rsidRPr="00BB3701">
        <w:rPr>
          <w:lang w:val="en-CA"/>
        </w:rPr>
        <w:t xml:space="preserve"> an essential part not just in the narrative of the judgment but “in the reasoning process resulting in a conviction”</w:t>
      </w:r>
      <w:r w:rsidR="00BB3701">
        <w:rPr>
          <w:lang w:val="en-CA"/>
        </w:rPr>
        <w:t>.”</w:t>
      </w:r>
      <w:r w:rsidR="00276A1F" w:rsidRPr="000E73A2">
        <w:rPr>
          <w:rFonts w:cs="Arial"/>
          <w:szCs w:val="24"/>
          <w:vertAlign w:val="superscript"/>
          <w:lang w:val="en-CA"/>
        </w:rPr>
        <w:footnoteReference w:id="98"/>
      </w:r>
      <w:r w:rsidR="00276A1F" w:rsidRPr="000E73A2">
        <w:rPr>
          <w:lang w:val="en-CA"/>
        </w:rPr>
        <w:t xml:space="preserve"> </w:t>
      </w:r>
      <w:r>
        <w:rPr>
          <w:lang w:val="en-CA"/>
        </w:rPr>
        <w:t xml:space="preserve">This is a </w:t>
      </w:r>
      <w:r w:rsidR="00BB3701">
        <w:rPr>
          <w:lang w:val="en-CA"/>
        </w:rPr>
        <w:t>“</w:t>
      </w:r>
      <w:r w:rsidR="00BB3701" w:rsidRPr="00BB3701">
        <w:rPr>
          <w:lang w:val="en-CA"/>
        </w:rPr>
        <w:t>stringent standard</w:t>
      </w:r>
      <w:r w:rsidR="00BB3701">
        <w:rPr>
          <w:lang w:val="en-CA"/>
        </w:rPr>
        <w:t>.”</w:t>
      </w:r>
      <w:r w:rsidR="00276A1F" w:rsidRPr="000E73A2">
        <w:rPr>
          <w:rFonts w:cs="Arial"/>
          <w:szCs w:val="24"/>
          <w:vertAlign w:val="superscript"/>
          <w:lang w:val="en-CA"/>
        </w:rPr>
        <w:footnoteReference w:id="99"/>
      </w:r>
      <w:r w:rsidR="00276A1F" w:rsidRPr="000E73A2">
        <w:rPr>
          <w:lang w:val="en-CA"/>
        </w:rPr>
        <w:t xml:space="preserve"> </w:t>
      </w:r>
      <w:r w:rsidRPr="00CB7081">
        <w:rPr>
          <w:lang w:val="en-CA"/>
        </w:rPr>
        <w:t xml:space="preserve">However, in the context of an appeal against an acquittal, the burden on the </w:t>
      </w:r>
      <w:r>
        <w:rPr>
          <w:lang w:val="en-CA"/>
        </w:rPr>
        <w:t>Crown</w:t>
      </w:r>
      <w:r w:rsidRPr="00CB7081">
        <w:rPr>
          <w:lang w:val="en-CA"/>
        </w:rPr>
        <w:t>, although heavy</w:t>
      </w:r>
      <w:r>
        <w:rPr>
          <w:lang w:val="en-CA"/>
        </w:rPr>
        <w:t>,</w:t>
      </w:r>
      <w:r w:rsidR="00276A1F" w:rsidRPr="000E73A2">
        <w:rPr>
          <w:rFonts w:cs="Arial"/>
          <w:szCs w:val="24"/>
          <w:vertAlign w:val="superscript"/>
          <w:lang w:val="en-CA"/>
        </w:rPr>
        <w:footnoteReference w:id="100"/>
      </w:r>
      <w:r>
        <w:rPr>
          <w:lang w:val="en-CA"/>
        </w:rPr>
        <w:t xml:space="preserve"> is limited to showing</w:t>
      </w:r>
      <w:r w:rsidR="00276A1F" w:rsidRPr="000E73A2">
        <w:rPr>
          <w:lang w:val="en-CA"/>
        </w:rPr>
        <w:t xml:space="preserve">, </w:t>
      </w:r>
      <w:r w:rsidR="00BB3701">
        <w:rPr>
          <w:lang w:val="en-CA"/>
        </w:rPr>
        <w:t xml:space="preserve">“to a </w:t>
      </w:r>
      <w:r w:rsidR="00BB3701" w:rsidRPr="00BB3701">
        <w:rPr>
          <w:lang w:val="en-CA"/>
        </w:rPr>
        <w:t>reasonable degree of certainty that the impugned error of law might have had a material bearing on the acquittal</w:t>
      </w:r>
      <w:r w:rsidR="00BB3701">
        <w:rPr>
          <w:lang w:val="en-CA"/>
        </w:rPr>
        <w:t>”</w:t>
      </w:r>
      <w:r w:rsidR="00276A1F" w:rsidRPr="000E73A2">
        <w:rPr>
          <w:rFonts w:cs="Arial"/>
          <w:szCs w:val="24"/>
          <w:vertAlign w:val="superscript"/>
          <w:lang w:val="en-CA"/>
        </w:rPr>
        <w:footnoteReference w:id="101"/>
      </w:r>
      <w:r w:rsidR="00276A1F" w:rsidRPr="000E73A2">
        <w:rPr>
          <w:lang w:val="en-CA"/>
        </w:rPr>
        <w:t xml:space="preserve"> — </w:t>
      </w:r>
      <w:r>
        <w:rPr>
          <w:lang w:val="en-CA"/>
        </w:rPr>
        <w:t>in other words</w:t>
      </w:r>
      <w:r w:rsidR="00276A1F" w:rsidRPr="000E73A2">
        <w:rPr>
          <w:lang w:val="en-CA"/>
        </w:rPr>
        <w:t xml:space="preserve">, </w:t>
      </w:r>
      <w:r w:rsidR="00BB3701">
        <w:rPr>
          <w:lang w:val="en-CA"/>
        </w:rPr>
        <w:t>“</w:t>
      </w:r>
      <w:r w:rsidR="00BB3701" w:rsidRPr="00BB3701">
        <w:rPr>
          <w:lang w:val="en-CA"/>
        </w:rPr>
        <w:t xml:space="preserve">that the verdict may well have been affected by </w:t>
      </w:r>
      <w:r w:rsidR="00BB3701">
        <w:rPr>
          <w:lang w:val="en-CA"/>
        </w:rPr>
        <w:t>[the error].”</w:t>
      </w:r>
      <w:r w:rsidR="00276A1F" w:rsidRPr="000E73A2">
        <w:rPr>
          <w:rFonts w:cs="Arial"/>
          <w:szCs w:val="24"/>
          <w:vertAlign w:val="superscript"/>
          <w:lang w:val="en-CA"/>
        </w:rPr>
        <w:footnoteReference w:id="102"/>
      </w:r>
      <w:r w:rsidR="00276A1F" w:rsidRPr="000E73A2">
        <w:rPr>
          <w:lang w:val="en-CA"/>
        </w:rPr>
        <w:t xml:space="preserve"> </w:t>
      </w:r>
      <w:r w:rsidRPr="00CB7081">
        <w:rPr>
          <w:lang w:val="en-CA"/>
        </w:rPr>
        <w:t xml:space="preserve">There therefore appears to be a real difference between these two burdens and, if this is indeed the case, the </w:t>
      </w:r>
      <w:r>
        <w:rPr>
          <w:lang w:val="en-CA"/>
        </w:rPr>
        <w:t>Crown’s theory</w:t>
      </w:r>
      <w:r w:rsidRPr="00CB7081">
        <w:rPr>
          <w:lang w:val="en-CA"/>
        </w:rPr>
        <w:t xml:space="preserve"> could lead to the rather incongruous situation where an error of the same </w:t>
      </w:r>
      <w:r w:rsidR="00DF0890">
        <w:rPr>
          <w:lang w:val="en-CA"/>
        </w:rPr>
        <w:t>type</w:t>
      </w:r>
      <w:r w:rsidRPr="00CB7081">
        <w:rPr>
          <w:lang w:val="en-CA"/>
        </w:rPr>
        <w:t xml:space="preserve"> would more </w:t>
      </w:r>
      <w:r w:rsidR="00DF0890">
        <w:rPr>
          <w:lang w:val="en-CA"/>
        </w:rPr>
        <w:t>readily</w:t>
      </w:r>
      <w:r w:rsidRPr="00CB7081">
        <w:rPr>
          <w:lang w:val="en-CA"/>
        </w:rPr>
        <w:t xml:space="preserve"> lead to the </w:t>
      </w:r>
      <w:r>
        <w:rPr>
          <w:lang w:val="en-CA"/>
        </w:rPr>
        <w:t>setting aside</w:t>
      </w:r>
      <w:r w:rsidRPr="00CB7081">
        <w:rPr>
          <w:lang w:val="en-CA"/>
        </w:rPr>
        <w:t xml:space="preserve"> of an acquittal than to the </w:t>
      </w:r>
      <w:r>
        <w:rPr>
          <w:lang w:val="en-CA"/>
        </w:rPr>
        <w:t>setting aside</w:t>
      </w:r>
      <w:r w:rsidRPr="00CB7081">
        <w:rPr>
          <w:lang w:val="en-CA"/>
        </w:rPr>
        <w:t xml:space="preserve"> of a conviction</w:t>
      </w:r>
      <w:r w:rsidR="00276A1F" w:rsidRPr="000E73A2">
        <w:rPr>
          <w:lang w:val="en-CA"/>
        </w:rPr>
        <w:t>.</w:t>
      </w:r>
    </w:p>
    <w:p w14:paraId="223E9210" w14:textId="337C1580" w:rsidR="00276A1F" w:rsidRPr="000E73A2" w:rsidRDefault="009E329A" w:rsidP="0010371B">
      <w:pPr>
        <w:pStyle w:val="Paragraphe"/>
        <w:spacing w:before="180" w:after="180" w:line="280" w:lineRule="exact"/>
        <w:rPr>
          <w:lang w:val="en-CA"/>
        </w:rPr>
      </w:pPr>
      <w:r w:rsidRPr="009E329A">
        <w:rPr>
          <w:lang w:val="en-CA"/>
        </w:rPr>
        <w:t xml:space="preserve">Furthermore, </w:t>
      </w:r>
      <w:r w:rsidR="007E3DC7">
        <w:rPr>
          <w:lang w:val="en-CA"/>
        </w:rPr>
        <w:t>I</w:t>
      </w:r>
      <w:r>
        <w:rPr>
          <w:lang w:val="en-CA"/>
        </w:rPr>
        <w:t xml:space="preserve"> find it</w:t>
      </w:r>
      <w:r w:rsidRPr="009E329A">
        <w:rPr>
          <w:lang w:val="en-CA"/>
        </w:rPr>
        <w:t xml:space="preserve"> difficult to interpret the teachings of </w:t>
      </w:r>
      <w:r w:rsidRPr="009E329A">
        <w:rPr>
          <w:i/>
          <w:iCs/>
          <w:lang w:val="en-CA"/>
        </w:rPr>
        <w:t>J.M.H.</w:t>
      </w:r>
      <w:r w:rsidRPr="009E329A">
        <w:rPr>
          <w:lang w:val="en-CA"/>
        </w:rPr>
        <w:t xml:space="preserve"> so broadly without disregarding those of </w:t>
      </w:r>
      <w:r w:rsidRPr="009E329A">
        <w:rPr>
          <w:i/>
          <w:iCs/>
          <w:lang w:val="en-CA"/>
        </w:rPr>
        <w:t>Chung</w:t>
      </w:r>
      <w:r w:rsidRPr="009E329A">
        <w:rPr>
          <w:lang w:val="en-CA"/>
        </w:rPr>
        <w:t xml:space="preserve"> — referred to above</w:t>
      </w:r>
      <w:r w:rsidR="00276A1F" w:rsidRPr="000E73A2">
        <w:rPr>
          <w:rFonts w:cs="Arial"/>
          <w:szCs w:val="24"/>
          <w:vertAlign w:val="superscript"/>
          <w:lang w:val="en-CA"/>
        </w:rPr>
        <w:footnoteReference w:id="103"/>
      </w:r>
      <w:r w:rsidR="00276A1F" w:rsidRPr="000E73A2">
        <w:rPr>
          <w:lang w:val="en-CA"/>
        </w:rPr>
        <w:t xml:space="preserve"> — </w:t>
      </w:r>
      <w:r>
        <w:rPr>
          <w:lang w:val="en-CA"/>
        </w:rPr>
        <w:t>according to which</w:t>
      </w:r>
      <w:r w:rsidR="00276A1F" w:rsidRPr="000E73A2">
        <w:rPr>
          <w:lang w:val="en-CA"/>
        </w:rPr>
        <w:t xml:space="preserve"> </w:t>
      </w:r>
      <w:r w:rsidR="00BB3701">
        <w:rPr>
          <w:lang w:val="en-CA"/>
        </w:rPr>
        <w:t>“[a]</w:t>
      </w:r>
      <w:r w:rsidR="00BB3701" w:rsidRPr="00BB3701">
        <w:rPr>
          <w:lang w:val="en-CA"/>
        </w:rPr>
        <w:t>n appealable error must be traced to a question of law, rather than a question about how to weigh evidence and assess whether it meets the standard of proof</w:t>
      </w:r>
      <w:r w:rsidR="00BB3701">
        <w:rPr>
          <w:lang w:val="en-CA"/>
        </w:rPr>
        <w:t>.”</w:t>
      </w:r>
      <w:r w:rsidR="00276A1F" w:rsidRPr="000E73A2">
        <w:rPr>
          <w:rFonts w:cs="Arial"/>
          <w:szCs w:val="24"/>
          <w:vertAlign w:val="superscript"/>
          <w:lang w:val="en-CA"/>
        </w:rPr>
        <w:footnoteReference w:id="104"/>
      </w:r>
      <w:r w:rsidR="00276A1F" w:rsidRPr="000E73A2">
        <w:rPr>
          <w:lang w:val="en-CA"/>
        </w:rPr>
        <w:t xml:space="preserve"> </w:t>
      </w:r>
      <w:r w:rsidRPr="009E329A">
        <w:rPr>
          <w:lang w:val="en-CA"/>
        </w:rPr>
        <w:t xml:space="preserve">However, in my view, </w:t>
      </w:r>
      <w:r w:rsidR="00793A05" w:rsidRPr="009E329A">
        <w:rPr>
          <w:lang w:val="en-CA"/>
        </w:rPr>
        <w:t>a</w:t>
      </w:r>
      <w:r w:rsidR="00A84A03">
        <w:rPr>
          <w:lang w:val="en-CA"/>
        </w:rPr>
        <w:t>ny</w:t>
      </w:r>
      <w:r w:rsidR="00793A05" w:rsidRPr="009E329A">
        <w:rPr>
          <w:lang w:val="en-CA"/>
        </w:rPr>
        <w:t xml:space="preserve"> </w:t>
      </w:r>
      <w:r w:rsidR="00793A05">
        <w:rPr>
          <w:lang w:val="en-CA"/>
        </w:rPr>
        <w:t>mistake</w:t>
      </w:r>
      <w:r w:rsidR="00793A05" w:rsidRPr="009E329A">
        <w:rPr>
          <w:lang w:val="en-CA"/>
        </w:rPr>
        <w:t xml:space="preserve"> by the </w:t>
      </w:r>
      <w:r w:rsidR="00793A05">
        <w:rPr>
          <w:lang w:val="en-CA"/>
        </w:rPr>
        <w:t>trier of fact</w:t>
      </w:r>
      <w:r w:rsidR="00793A05" w:rsidRPr="009E329A">
        <w:rPr>
          <w:lang w:val="en-CA"/>
        </w:rPr>
        <w:t xml:space="preserve"> </w:t>
      </w:r>
      <w:r w:rsidR="00793A05">
        <w:rPr>
          <w:lang w:val="en-CA"/>
        </w:rPr>
        <w:t xml:space="preserve">as to the substance of </w:t>
      </w:r>
      <w:r w:rsidR="00C314F5">
        <w:rPr>
          <w:lang w:val="en-CA"/>
        </w:rPr>
        <w:t xml:space="preserve">the </w:t>
      </w:r>
      <w:r w:rsidR="00793A05">
        <w:rPr>
          <w:lang w:val="en-CA"/>
        </w:rPr>
        <w:t>evidence cannot be traced</w:t>
      </w:r>
      <w:r w:rsidRPr="009E329A">
        <w:rPr>
          <w:lang w:val="en-CA"/>
        </w:rPr>
        <w:t xml:space="preserve">, either directly or indirectly, </w:t>
      </w:r>
      <w:r w:rsidR="00793A05">
        <w:rPr>
          <w:lang w:val="en-CA"/>
        </w:rPr>
        <w:t>to</w:t>
      </w:r>
      <w:r w:rsidRPr="009E329A">
        <w:rPr>
          <w:lang w:val="en-CA"/>
        </w:rPr>
        <w:t xml:space="preserve"> any question of law</w:t>
      </w:r>
      <w:r>
        <w:rPr>
          <w:lang w:val="en-CA"/>
        </w:rPr>
        <w:t xml:space="preserve"> whatsoever</w:t>
      </w:r>
      <w:r w:rsidR="00276A1F" w:rsidRPr="000E73A2">
        <w:rPr>
          <w:lang w:val="en-CA"/>
        </w:rPr>
        <w:t>.</w:t>
      </w:r>
    </w:p>
    <w:p w14:paraId="557627EF" w14:textId="3D9F425F" w:rsidR="00276A1F" w:rsidRPr="000E73A2" w:rsidRDefault="00997AA4" w:rsidP="00F1753E">
      <w:pPr>
        <w:pStyle w:val="Paragraphe"/>
        <w:spacing w:before="180" w:after="180" w:line="280" w:lineRule="exact"/>
        <w:rPr>
          <w:lang w:val="en-CA"/>
        </w:rPr>
      </w:pPr>
      <w:r w:rsidRPr="00997AA4">
        <w:rPr>
          <w:lang w:val="en-CA"/>
        </w:rPr>
        <w:t xml:space="preserve">Finally, I am of the view that the </w:t>
      </w:r>
      <w:r w:rsidR="00793A05">
        <w:rPr>
          <w:lang w:val="en-CA"/>
        </w:rPr>
        <w:t xml:space="preserve">recent </w:t>
      </w:r>
      <w:r w:rsidRPr="00997AA4">
        <w:rPr>
          <w:lang w:val="en-CA"/>
        </w:rPr>
        <w:t xml:space="preserve">teachings </w:t>
      </w:r>
      <w:r w:rsidR="00793A05">
        <w:rPr>
          <w:lang w:val="en-CA"/>
        </w:rPr>
        <w:t>of</w:t>
      </w:r>
      <w:r w:rsidRPr="00997AA4">
        <w:rPr>
          <w:lang w:val="en-CA"/>
        </w:rPr>
        <w:t xml:space="preserve"> </w:t>
      </w:r>
      <w:r w:rsidRPr="00997AA4">
        <w:rPr>
          <w:i/>
          <w:iCs/>
          <w:lang w:val="en-CA"/>
        </w:rPr>
        <w:t>Hodgson</w:t>
      </w:r>
      <w:r w:rsidRPr="00997AA4">
        <w:rPr>
          <w:lang w:val="en-CA"/>
        </w:rPr>
        <w:t xml:space="preserve"> </w:t>
      </w:r>
      <w:r w:rsidR="00793A05">
        <w:rPr>
          <w:lang w:val="en-CA"/>
        </w:rPr>
        <w:t xml:space="preserve">also </w:t>
      </w:r>
      <w:r w:rsidRPr="00997AA4">
        <w:rPr>
          <w:lang w:val="en-CA"/>
        </w:rPr>
        <w:t xml:space="preserve">preclude the broad interpretation that the Crown </w:t>
      </w:r>
      <w:r w:rsidR="00793A05">
        <w:rPr>
          <w:lang w:val="en-CA"/>
        </w:rPr>
        <w:t>gives</w:t>
      </w:r>
      <w:r w:rsidRPr="00997AA4">
        <w:rPr>
          <w:lang w:val="en-CA"/>
        </w:rPr>
        <w:t xml:space="preserve"> to </w:t>
      </w:r>
      <w:r w:rsidRPr="00997AA4">
        <w:rPr>
          <w:i/>
          <w:iCs/>
          <w:lang w:val="en-CA"/>
        </w:rPr>
        <w:t>J.M.H.</w:t>
      </w:r>
      <w:r w:rsidRPr="00997AA4">
        <w:rPr>
          <w:lang w:val="en-CA"/>
        </w:rPr>
        <w:t xml:space="preserve">. In addition to reiterating what it had </w:t>
      </w:r>
      <w:r w:rsidRPr="00997AA4">
        <w:rPr>
          <w:lang w:val="en-CA"/>
        </w:rPr>
        <w:lastRenderedPageBreak/>
        <w:t xml:space="preserve">stated in </w:t>
      </w:r>
      <w:r w:rsidRPr="00997AA4">
        <w:rPr>
          <w:i/>
          <w:iCs/>
          <w:lang w:val="en-CA"/>
        </w:rPr>
        <w:t>Chung</w:t>
      </w:r>
      <w:r w:rsidRPr="00997AA4">
        <w:rPr>
          <w:lang w:val="en-CA"/>
        </w:rPr>
        <w:t xml:space="preserve"> and recalling the historical foundations and </w:t>
      </w:r>
      <w:r>
        <w:rPr>
          <w:lang w:val="en-CA"/>
        </w:rPr>
        <w:t>rationale</w:t>
      </w:r>
      <w:r w:rsidRPr="00997AA4">
        <w:rPr>
          <w:lang w:val="en-CA"/>
        </w:rPr>
        <w:t xml:space="preserve"> for</w:t>
      </w:r>
      <w:r w:rsidR="00276A1F" w:rsidRPr="000E73A2">
        <w:rPr>
          <w:lang w:val="en-CA"/>
        </w:rPr>
        <w:t xml:space="preserve"> </w:t>
      </w:r>
      <w:r w:rsidR="00FF04D5">
        <w:rPr>
          <w:lang w:val="en-CA"/>
        </w:rPr>
        <w:t>the Crown’s</w:t>
      </w:r>
      <w:r w:rsidR="00276A1F" w:rsidRPr="000E73A2">
        <w:rPr>
          <w:lang w:val="en-CA"/>
        </w:rPr>
        <w:t xml:space="preserve"> </w:t>
      </w:r>
      <w:r w:rsidR="00FF04D5" w:rsidRPr="00FF04D5">
        <w:rPr>
          <w:lang w:val="en-CA"/>
        </w:rPr>
        <w:t>limited right of appeal</w:t>
      </w:r>
      <w:r w:rsidR="00276A1F" w:rsidRPr="000E73A2">
        <w:rPr>
          <w:rFonts w:cs="Arial"/>
          <w:szCs w:val="24"/>
          <w:vertAlign w:val="superscript"/>
          <w:lang w:val="en-CA"/>
        </w:rPr>
        <w:footnoteReference w:id="105"/>
      </w:r>
      <w:r w:rsidR="00276A1F" w:rsidRPr="000E73A2">
        <w:rPr>
          <w:lang w:val="en-CA"/>
        </w:rPr>
        <w:t xml:space="preserve"> — </w:t>
      </w:r>
      <w:r>
        <w:rPr>
          <w:lang w:val="en-CA"/>
        </w:rPr>
        <w:t>noting that it “</w:t>
      </w:r>
      <w:r w:rsidR="00FF04D5" w:rsidRPr="00FF04D5">
        <w:rPr>
          <w:rFonts w:cs="Arial"/>
          <w:lang w:val="en-CA"/>
        </w:rPr>
        <w:t>seeks to prevent an appeal on the facts</w:t>
      </w:r>
      <w:r>
        <w:rPr>
          <w:rFonts w:cs="Arial"/>
          <w:lang w:val="en-CA"/>
        </w:rPr>
        <w:t>”</w:t>
      </w:r>
      <w:r w:rsidR="00276A1F" w:rsidRPr="000E73A2">
        <w:rPr>
          <w:rFonts w:cs="Arial"/>
          <w:szCs w:val="24"/>
          <w:vertAlign w:val="superscript"/>
          <w:lang w:val="en-CA"/>
        </w:rPr>
        <w:footnoteReference w:id="106"/>
      </w:r>
      <w:r w:rsidR="00276A1F" w:rsidRPr="000E73A2">
        <w:rPr>
          <w:lang w:val="en-CA"/>
        </w:rPr>
        <w:t xml:space="preserve"> —, </w:t>
      </w:r>
      <w:r w:rsidRPr="00997AA4">
        <w:rPr>
          <w:lang w:val="en-CA"/>
        </w:rPr>
        <w:t>the Supreme Court emphasi</w:t>
      </w:r>
      <w:r w:rsidR="00793A05">
        <w:rPr>
          <w:lang w:val="en-CA"/>
        </w:rPr>
        <w:t>z</w:t>
      </w:r>
      <w:r w:rsidRPr="00997AA4">
        <w:rPr>
          <w:lang w:val="en-CA"/>
        </w:rPr>
        <w:t xml:space="preserve">ed that appeal courts must </w:t>
      </w:r>
      <w:r w:rsidR="00793A05">
        <w:rPr>
          <w:lang w:val="en-CA"/>
        </w:rPr>
        <w:t>guard</w:t>
      </w:r>
      <w:r w:rsidRPr="00997AA4">
        <w:rPr>
          <w:lang w:val="en-CA"/>
        </w:rPr>
        <w:t xml:space="preserve"> against the risk of unduly broadening this </w:t>
      </w:r>
      <w:r w:rsidR="00FF04D5">
        <w:rPr>
          <w:lang w:val="en-CA"/>
        </w:rPr>
        <w:t>“</w:t>
      </w:r>
      <w:r w:rsidR="00FF04D5" w:rsidRPr="00FF04D5">
        <w:rPr>
          <w:lang w:val="en-CA"/>
        </w:rPr>
        <w:t>extraordinary remedy</w:t>
      </w:r>
      <w:r w:rsidR="00FF04D5">
        <w:rPr>
          <w:lang w:val="en-CA"/>
        </w:rPr>
        <w:t>,”</w:t>
      </w:r>
      <w:r w:rsidR="00276A1F" w:rsidRPr="000E73A2">
        <w:rPr>
          <w:rFonts w:cs="Arial"/>
          <w:szCs w:val="24"/>
          <w:vertAlign w:val="superscript"/>
          <w:lang w:val="en-CA"/>
        </w:rPr>
        <w:footnoteReference w:id="107"/>
      </w:r>
      <w:r w:rsidR="00FF04D5">
        <w:rPr>
          <w:lang w:val="en-CA"/>
        </w:rPr>
        <w:t xml:space="preserve"> </w:t>
      </w:r>
      <w:r w:rsidR="006133BB">
        <w:rPr>
          <w:lang w:val="en-CA"/>
        </w:rPr>
        <w:t>while adding that</w:t>
      </w:r>
      <w:r w:rsidR="00276A1F" w:rsidRPr="000E73A2">
        <w:rPr>
          <w:lang w:val="en-CA"/>
        </w:rPr>
        <w:t xml:space="preserve"> </w:t>
      </w:r>
      <w:r w:rsidR="0075331F">
        <w:rPr>
          <w:lang w:val="en-CA"/>
        </w:rPr>
        <w:t>this risk “i</w:t>
      </w:r>
      <w:r w:rsidR="0075331F" w:rsidRPr="0075331F">
        <w:rPr>
          <w:lang w:val="en-CA"/>
        </w:rPr>
        <w:t>s especially high when the error pertains to an alleged shortcoming in the trial judge’s handling of the evidence</w:t>
      </w:r>
      <w:r w:rsidR="0075331F">
        <w:rPr>
          <w:lang w:val="en-CA"/>
        </w:rPr>
        <w:t>.”</w:t>
      </w:r>
      <w:r w:rsidR="00276A1F" w:rsidRPr="000E73A2">
        <w:rPr>
          <w:rFonts w:cs="Arial"/>
          <w:szCs w:val="24"/>
          <w:vertAlign w:val="superscript"/>
          <w:lang w:val="en-CA"/>
        </w:rPr>
        <w:footnoteReference w:id="108"/>
      </w:r>
      <w:r w:rsidR="0075331F">
        <w:rPr>
          <w:lang w:val="en-CA"/>
        </w:rPr>
        <w:t xml:space="preserve"> </w:t>
      </w:r>
      <w:r w:rsidR="006133BB" w:rsidRPr="006133BB">
        <w:rPr>
          <w:i/>
          <w:iCs/>
          <w:lang w:val="en-CA"/>
        </w:rPr>
        <w:t>Hodgson</w:t>
      </w:r>
      <w:r w:rsidR="006133BB" w:rsidRPr="006133BB">
        <w:rPr>
          <w:lang w:val="en-CA"/>
        </w:rPr>
        <w:t xml:space="preserve">'s message is clear: appeal courts must continue to strictly adhere to the limits of the Crown's right of appeal and avoid labelling </w:t>
      </w:r>
      <w:r w:rsidR="00793A05" w:rsidRPr="006133BB">
        <w:rPr>
          <w:lang w:val="en-CA"/>
        </w:rPr>
        <w:t xml:space="preserve">as errors of law </w:t>
      </w:r>
      <w:r w:rsidR="006133BB" w:rsidRPr="006133BB">
        <w:rPr>
          <w:lang w:val="en-CA"/>
        </w:rPr>
        <w:t xml:space="preserve">errors </w:t>
      </w:r>
      <w:r w:rsidR="006133BB">
        <w:rPr>
          <w:lang w:val="en-CA"/>
        </w:rPr>
        <w:t>in the</w:t>
      </w:r>
      <w:r w:rsidR="006133BB" w:rsidRPr="006133BB">
        <w:rPr>
          <w:lang w:val="en-CA"/>
        </w:rPr>
        <w:t xml:space="preserve"> assessment of evidence that are in no way related to any legal issue</w:t>
      </w:r>
      <w:r w:rsidR="00276A1F" w:rsidRPr="000E73A2">
        <w:rPr>
          <w:lang w:val="en-CA"/>
        </w:rPr>
        <w:t>.</w:t>
      </w:r>
    </w:p>
    <w:p w14:paraId="30E6D78A" w14:textId="653CC523" w:rsidR="00276A1F" w:rsidRPr="000E73A2" w:rsidRDefault="006133BB" w:rsidP="004818A6">
      <w:pPr>
        <w:pStyle w:val="Paragraphe"/>
        <w:spacing w:before="180" w:line="280" w:lineRule="exact"/>
        <w:rPr>
          <w:lang w:val="en-CA"/>
        </w:rPr>
      </w:pPr>
      <w:r w:rsidRPr="006133BB">
        <w:rPr>
          <w:lang w:val="en-CA"/>
        </w:rPr>
        <w:t xml:space="preserve">In short, a </w:t>
      </w:r>
      <w:r>
        <w:rPr>
          <w:lang w:val="en-CA"/>
        </w:rPr>
        <w:t>mistake as to the substance of</w:t>
      </w:r>
      <w:r w:rsidRPr="006133BB">
        <w:rPr>
          <w:lang w:val="en-CA"/>
        </w:rPr>
        <w:t xml:space="preserve"> evidence does not, in itself, raise a question of law for the purposes of permitting an appeal by the Crown</w:t>
      </w:r>
      <w:r>
        <w:rPr>
          <w:lang w:val="en-CA"/>
        </w:rPr>
        <w:t>.</w:t>
      </w:r>
      <w:r w:rsidR="00276A1F" w:rsidRPr="000E73A2">
        <w:rPr>
          <w:rFonts w:cs="Arial"/>
          <w:szCs w:val="24"/>
          <w:vertAlign w:val="superscript"/>
          <w:lang w:val="en-CA"/>
        </w:rPr>
        <w:footnoteReference w:id="109"/>
      </w:r>
      <w:r>
        <w:rPr>
          <w:lang w:val="en-CA"/>
        </w:rPr>
        <w:t xml:space="preserve"> </w:t>
      </w:r>
      <w:r w:rsidRPr="006133BB">
        <w:rPr>
          <w:lang w:val="en-CA"/>
        </w:rPr>
        <w:t xml:space="preserve">And since the respondent had no burden with respect to the disputed fact — namely, the complainant's consent — to which the circumstantial evidence that the judge allegedly misunderstood relates, the second ground of appeal raised by the Crown does not raise any question of law and is therefore </w:t>
      </w:r>
      <w:r w:rsidR="00211FC2">
        <w:rPr>
          <w:lang w:val="en-CA"/>
        </w:rPr>
        <w:t>barred</w:t>
      </w:r>
      <w:r w:rsidR="00F579A6" w:rsidRPr="00F579A6">
        <w:rPr>
          <w:lang w:val="en-CA"/>
        </w:rPr>
        <w:t xml:space="preserve"> </w:t>
      </w:r>
      <w:r w:rsidR="00F579A6" w:rsidRPr="006133BB">
        <w:rPr>
          <w:lang w:val="en-CA"/>
        </w:rPr>
        <w:t>also</w:t>
      </w:r>
      <w:r w:rsidR="00276A1F" w:rsidRPr="000E73A2">
        <w:rPr>
          <w:lang w:val="en-CA"/>
        </w:rPr>
        <w:t>.</w:t>
      </w:r>
    </w:p>
    <w:p w14:paraId="22E78933" w14:textId="77777777" w:rsidR="00276A1F" w:rsidRPr="000E73A2" w:rsidRDefault="00276A1F" w:rsidP="00115DAC">
      <w:pPr>
        <w:pStyle w:val="Paragraphe"/>
        <w:numPr>
          <w:ilvl w:val="0"/>
          <w:numId w:val="0"/>
        </w:numPr>
        <w:spacing w:before="100" w:after="100"/>
        <w:jc w:val="center"/>
        <w:rPr>
          <w:lang w:val="en-CA"/>
        </w:rPr>
      </w:pPr>
      <w:r w:rsidRPr="000E73A2">
        <w:rPr>
          <w:lang w:val="en-CA"/>
        </w:rPr>
        <w:t>*</w:t>
      </w:r>
      <w:r w:rsidRPr="000E73A2">
        <w:rPr>
          <w:lang w:val="en-CA"/>
        </w:rPr>
        <w:tab/>
        <w:t>*</w:t>
      </w:r>
      <w:r w:rsidRPr="000E73A2">
        <w:rPr>
          <w:lang w:val="en-CA"/>
        </w:rPr>
        <w:tab/>
        <w:t>*</w:t>
      </w:r>
    </w:p>
    <w:p w14:paraId="2787289E" w14:textId="7E2DB2E7" w:rsidR="00276A1F" w:rsidRPr="000E73A2" w:rsidRDefault="00856C0D" w:rsidP="00115DAC">
      <w:pPr>
        <w:pStyle w:val="Paragraphe"/>
        <w:spacing w:before="160" w:after="160" w:line="280" w:lineRule="exact"/>
        <w:rPr>
          <w:lang w:val="en-CA"/>
        </w:rPr>
      </w:pPr>
      <w:r w:rsidRPr="00856C0D">
        <w:rPr>
          <w:lang w:val="en-CA"/>
        </w:rPr>
        <w:lastRenderedPageBreak/>
        <w:t xml:space="preserve">Finally, the Crown challenges the judge's analysis of the credibility of the complainant's testimony. More specifically, the judge </w:t>
      </w:r>
      <w:r w:rsidR="009706D5">
        <w:rPr>
          <w:lang w:val="en-CA"/>
        </w:rPr>
        <w:t xml:space="preserve">allegedly </w:t>
      </w:r>
      <w:r w:rsidRPr="00856C0D">
        <w:rPr>
          <w:lang w:val="en-CA"/>
        </w:rPr>
        <w:t>erred in law by relying on myths or stereotypes in two respects</w:t>
      </w:r>
      <w:r w:rsidR="00276A1F" w:rsidRPr="000E73A2">
        <w:rPr>
          <w:lang w:val="en-CA"/>
        </w:rPr>
        <w:t>.</w:t>
      </w:r>
    </w:p>
    <w:p w14:paraId="072E0CFE" w14:textId="405078F9" w:rsidR="00276A1F" w:rsidRPr="000E73A2" w:rsidRDefault="00856C0D" w:rsidP="00115DAC">
      <w:pPr>
        <w:pStyle w:val="Paragraphe"/>
        <w:spacing w:before="180" w:after="180" w:line="280" w:lineRule="exact"/>
        <w:rPr>
          <w:lang w:val="en-CA"/>
        </w:rPr>
      </w:pPr>
      <w:r w:rsidRPr="00856C0D">
        <w:rPr>
          <w:lang w:val="en-CA"/>
        </w:rPr>
        <w:t xml:space="preserve">The first error was made when the judge took into account the fact that, in civil proceedings still pending at the time of the trial, the plaintiff was seeking </w:t>
      </w:r>
      <w:r w:rsidR="009706D5">
        <w:rPr>
          <w:lang w:val="en-CA"/>
        </w:rPr>
        <w:t>sole parenting time</w:t>
      </w:r>
      <w:r w:rsidRPr="00856C0D">
        <w:rPr>
          <w:lang w:val="en-CA"/>
        </w:rPr>
        <w:t xml:space="preserve"> with the two children she had with the respondent. The relevant passage from his judgment reads as follows</w:t>
      </w:r>
      <w:r>
        <w:rPr>
          <w:lang w:val="en-CA"/>
        </w:rPr>
        <w:t>:</w:t>
      </w:r>
      <w:r w:rsidR="00276A1F" w:rsidRPr="000E73A2">
        <w:rPr>
          <w:rFonts w:cs="Arial"/>
          <w:szCs w:val="24"/>
          <w:vertAlign w:val="superscript"/>
          <w:lang w:val="en-CA"/>
        </w:rPr>
        <w:footnoteReference w:id="110"/>
      </w:r>
      <w:r w:rsidR="00276A1F" w:rsidRPr="000E73A2">
        <w:rPr>
          <w:lang w:val="en-CA"/>
        </w:rPr>
        <w:t> </w:t>
      </w:r>
    </w:p>
    <w:p w14:paraId="5FE3605A" w14:textId="6B4CAF5C" w:rsidR="00856C0D" w:rsidRDefault="00856C0D" w:rsidP="00115DAC">
      <w:pPr>
        <w:pStyle w:val="Paragraphe"/>
        <w:numPr>
          <w:ilvl w:val="0"/>
          <w:numId w:val="0"/>
        </w:numPr>
        <w:spacing w:line="240" w:lineRule="auto"/>
        <w:ind w:left="709" w:right="715"/>
        <w:rPr>
          <w:sz w:val="22"/>
          <w:szCs w:val="22"/>
          <w:lang w:val="en-CA"/>
        </w:rPr>
      </w:pPr>
      <w:r>
        <w:rPr>
          <w:sz w:val="22"/>
          <w:szCs w:val="22"/>
          <w:lang w:val="en-CA"/>
        </w:rPr>
        <w:t>[</w:t>
      </w:r>
      <w:r w:rsidRPr="00856C0D">
        <w:rPr>
          <w:smallCaps/>
          <w:sz w:val="22"/>
          <w:szCs w:val="22"/>
          <w:lang w:val="en-CA"/>
        </w:rPr>
        <w:t>translation</w:t>
      </w:r>
      <w:r>
        <w:rPr>
          <w:sz w:val="22"/>
          <w:szCs w:val="22"/>
          <w:lang w:val="en-CA"/>
        </w:rPr>
        <w:t>]</w:t>
      </w:r>
    </w:p>
    <w:p w14:paraId="0CB52CB7" w14:textId="3B73A6F5" w:rsidR="00276A1F" w:rsidRPr="000E73A2" w:rsidRDefault="009706D5" w:rsidP="00115DAC">
      <w:pPr>
        <w:pStyle w:val="Paragraphe"/>
        <w:numPr>
          <w:ilvl w:val="0"/>
          <w:numId w:val="0"/>
        </w:numPr>
        <w:spacing w:line="240" w:lineRule="auto"/>
        <w:ind w:left="709" w:right="715"/>
        <w:rPr>
          <w:sz w:val="22"/>
          <w:szCs w:val="22"/>
          <w:lang w:val="en-CA"/>
        </w:rPr>
      </w:pPr>
      <w:r w:rsidRPr="009706D5">
        <w:rPr>
          <w:sz w:val="22"/>
          <w:szCs w:val="22"/>
          <w:lang w:val="en-CA"/>
        </w:rPr>
        <w:t>Another factor that tips the balance is the fact that she did not want shared custody; she wanted full and complete custody. And when we look at the sequence of events, three (3) days or so before the accused's motion was heard in Superior Court, he was arrested. Also, in her letter, she always mentioned that she wanted custody of the children, and she insisted on this point, repeating it several times during their arguments. This leaves the Court very sceptical</w:t>
      </w:r>
      <w:r w:rsidR="00276A1F" w:rsidRPr="000E73A2">
        <w:rPr>
          <w:sz w:val="22"/>
          <w:szCs w:val="22"/>
          <w:lang w:val="en-CA"/>
        </w:rPr>
        <w:t>.</w:t>
      </w:r>
    </w:p>
    <w:p w14:paraId="1D81240D" w14:textId="70CA5AEB" w:rsidR="00276A1F" w:rsidRPr="000E73A2" w:rsidRDefault="00856C0D" w:rsidP="00F1753E">
      <w:pPr>
        <w:pStyle w:val="Paragraphe"/>
        <w:spacing w:before="180" w:after="180" w:line="280" w:lineRule="exact"/>
        <w:rPr>
          <w:lang w:val="en-CA"/>
        </w:rPr>
      </w:pPr>
      <w:r w:rsidRPr="00856C0D">
        <w:rPr>
          <w:lang w:val="en-CA"/>
        </w:rPr>
        <w:t>In the</w:t>
      </w:r>
      <w:r>
        <w:rPr>
          <w:lang w:val="en-CA"/>
        </w:rPr>
        <w:t xml:space="preserve"> Crown’s</w:t>
      </w:r>
      <w:r w:rsidRPr="00856C0D">
        <w:rPr>
          <w:lang w:val="en-CA"/>
        </w:rPr>
        <w:t xml:space="preserve"> view, the judge could not consider the complainant less credible because of her request for </w:t>
      </w:r>
      <w:r w:rsidR="009706D5">
        <w:rPr>
          <w:lang w:val="en-CA"/>
        </w:rPr>
        <w:t>sole parenting time</w:t>
      </w:r>
      <w:r w:rsidRPr="00856C0D">
        <w:rPr>
          <w:lang w:val="en-CA"/>
        </w:rPr>
        <w:t>: this would be a stereotypical generali</w:t>
      </w:r>
      <w:r w:rsidR="00E5606B">
        <w:rPr>
          <w:lang w:val="en-CA"/>
        </w:rPr>
        <w:t>z</w:t>
      </w:r>
      <w:r w:rsidRPr="00856C0D">
        <w:rPr>
          <w:lang w:val="en-CA"/>
        </w:rPr>
        <w:t>ation with no basis in the evidence</w:t>
      </w:r>
      <w:r w:rsidR="00276A1F" w:rsidRPr="000E73A2">
        <w:rPr>
          <w:lang w:val="en-CA"/>
        </w:rPr>
        <w:t>.</w:t>
      </w:r>
    </w:p>
    <w:p w14:paraId="7E50C9B4" w14:textId="118453EB" w:rsidR="00276A1F" w:rsidRPr="000E73A2" w:rsidRDefault="00C15F44" w:rsidP="00F1753E">
      <w:pPr>
        <w:pStyle w:val="Paragraphe"/>
        <w:spacing w:before="180" w:after="180" w:line="280" w:lineRule="exact"/>
        <w:rPr>
          <w:lang w:val="en-CA"/>
        </w:rPr>
      </w:pPr>
      <w:r w:rsidRPr="00C15F44">
        <w:rPr>
          <w:lang w:val="en-CA"/>
        </w:rPr>
        <w:t xml:space="preserve">Here again, the </w:t>
      </w:r>
      <w:r>
        <w:rPr>
          <w:lang w:val="en-CA"/>
        </w:rPr>
        <w:t>Crown advances</w:t>
      </w:r>
      <w:r w:rsidRPr="00C15F44">
        <w:rPr>
          <w:lang w:val="en-CA"/>
        </w:rPr>
        <w:t xml:space="preserve"> an argument which, on reflection, proves to be </w:t>
      </w:r>
      <w:r>
        <w:rPr>
          <w:lang w:val="en-CA"/>
        </w:rPr>
        <w:t>barred</w:t>
      </w:r>
      <w:r w:rsidR="00276A1F" w:rsidRPr="000E73A2">
        <w:rPr>
          <w:lang w:val="en-CA"/>
        </w:rPr>
        <w:t>.</w:t>
      </w:r>
    </w:p>
    <w:p w14:paraId="7C570D6D" w14:textId="12C7ADBD" w:rsidR="00276A1F" w:rsidRPr="000E73A2" w:rsidRDefault="00C15F44" w:rsidP="00F1753E">
      <w:pPr>
        <w:pStyle w:val="Paragraphe"/>
        <w:spacing w:before="180" w:after="180" w:line="280" w:lineRule="exact"/>
        <w:rPr>
          <w:lang w:val="en-CA"/>
        </w:rPr>
      </w:pPr>
      <w:r w:rsidRPr="00C15F44">
        <w:rPr>
          <w:lang w:val="en-CA"/>
        </w:rPr>
        <w:t xml:space="preserve">As the Supreme Court </w:t>
      </w:r>
      <w:r>
        <w:rPr>
          <w:lang w:val="en-CA"/>
        </w:rPr>
        <w:t xml:space="preserve">has </w:t>
      </w:r>
      <w:r w:rsidRPr="00C15F44">
        <w:rPr>
          <w:lang w:val="en-CA"/>
        </w:rPr>
        <w:t xml:space="preserve">recently </w:t>
      </w:r>
      <w:r>
        <w:rPr>
          <w:lang w:val="en-CA"/>
        </w:rPr>
        <w:t>noted in</w:t>
      </w:r>
      <w:r w:rsidRPr="00C15F44">
        <w:rPr>
          <w:lang w:val="en-CA"/>
        </w:rPr>
        <w:t xml:space="preserve"> </w:t>
      </w:r>
      <w:r w:rsidR="00276A1F" w:rsidRPr="000E73A2">
        <w:rPr>
          <w:i/>
          <w:iCs/>
          <w:lang w:val="en-CA"/>
        </w:rPr>
        <w:t>Kruk</w:t>
      </w:r>
      <w:r w:rsidR="00276A1F" w:rsidRPr="000E73A2">
        <w:rPr>
          <w:lang w:val="en-CA"/>
        </w:rPr>
        <w:t xml:space="preserve">, </w:t>
      </w:r>
      <w:r>
        <w:rPr>
          <w:lang w:val="en-CA"/>
        </w:rPr>
        <w:t>“[w]</w:t>
      </w:r>
      <w:proofErr w:type="spellStart"/>
      <w:r w:rsidRPr="00C15F44">
        <w:rPr>
          <w:lang w:val="en-CA"/>
        </w:rPr>
        <w:t>hile</w:t>
      </w:r>
      <w:proofErr w:type="spellEnd"/>
      <w:r w:rsidRPr="00C15F44">
        <w:rPr>
          <w:lang w:val="en-CA"/>
        </w:rPr>
        <w:t xml:space="preserve"> it is a myth that women regularly fabricate allegations of sexual assault, it is not an error to consider whether the circumstances of a particular case support the existence of a motive to fabricate</w:t>
      </w:r>
      <w:r>
        <w:rPr>
          <w:lang w:val="en-CA"/>
        </w:rPr>
        <w:t>.”</w:t>
      </w:r>
      <w:r w:rsidR="00276A1F" w:rsidRPr="000E73A2">
        <w:rPr>
          <w:rFonts w:cs="Arial"/>
          <w:szCs w:val="24"/>
          <w:vertAlign w:val="superscript"/>
          <w:lang w:val="en-CA"/>
        </w:rPr>
        <w:footnoteReference w:id="111"/>
      </w:r>
      <w:r w:rsidR="00276A1F" w:rsidRPr="000E73A2">
        <w:rPr>
          <w:lang w:val="en-CA"/>
        </w:rPr>
        <w:t xml:space="preserve"> </w:t>
      </w:r>
      <w:r>
        <w:rPr>
          <w:lang w:val="en-CA"/>
        </w:rPr>
        <w:t>To the contrary, it went on to say, “</w:t>
      </w:r>
      <w:r w:rsidRPr="00C15F44">
        <w:rPr>
          <w:lang w:val="en-CA"/>
        </w:rPr>
        <w:t>where the defence adduces evidence on this point, a trial judge is obliged to consider it to give full effect to the presumption of innocence</w:t>
      </w:r>
      <w:r>
        <w:rPr>
          <w:lang w:val="en-CA"/>
        </w:rPr>
        <w:t>.”</w:t>
      </w:r>
      <w:r w:rsidR="00276A1F" w:rsidRPr="000E73A2">
        <w:rPr>
          <w:rFonts w:cs="Arial"/>
          <w:szCs w:val="24"/>
          <w:vertAlign w:val="superscript"/>
          <w:lang w:val="en-CA"/>
        </w:rPr>
        <w:footnoteReference w:id="112"/>
      </w:r>
      <w:r w:rsidRPr="00C15F44">
        <w:t xml:space="preserve"> </w:t>
      </w:r>
      <w:r w:rsidRPr="00C15F44">
        <w:rPr>
          <w:lang w:val="en-CA"/>
        </w:rPr>
        <w:t xml:space="preserve">That is precisely what the judge did in this case. It is important to note, as the respondent rightly points out, that the judge's concern was not simply that the complainant was seeking </w:t>
      </w:r>
      <w:r w:rsidR="009706D5">
        <w:rPr>
          <w:lang w:val="en-CA"/>
        </w:rPr>
        <w:t>sole parenting time</w:t>
      </w:r>
      <w:r w:rsidRPr="00C15F44">
        <w:rPr>
          <w:lang w:val="en-CA"/>
        </w:rPr>
        <w:t xml:space="preserve"> with the children. Rather, it related to the timing of the complainant's criminal complaint and the filing of her civil claim, a circumstantial fact that the judge could take into consideration in determining whether the complainant had a motive to lie</w:t>
      </w:r>
      <w:r>
        <w:rPr>
          <w:lang w:val="en-CA"/>
        </w:rPr>
        <w:t>.</w:t>
      </w:r>
      <w:r w:rsidR="00276A1F" w:rsidRPr="000E73A2">
        <w:rPr>
          <w:rFonts w:cs="Arial"/>
          <w:szCs w:val="24"/>
          <w:vertAlign w:val="superscript"/>
          <w:lang w:val="en-CA"/>
        </w:rPr>
        <w:footnoteReference w:id="113"/>
      </w:r>
      <w:r>
        <w:rPr>
          <w:lang w:val="en-CA"/>
        </w:rPr>
        <w:t xml:space="preserve"> </w:t>
      </w:r>
      <w:r w:rsidRPr="00C15F44">
        <w:rPr>
          <w:lang w:val="en-CA"/>
        </w:rPr>
        <w:lastRenderedPageBreak/>
        <w:t>Therefore, any error he may have made in analysing the c</w:t>
      </w:r>
      <w:r>
        <w:rPr>
          <w:lang w:val="en-CA"/>
        </w:rPr>
        <w:t>omp</w:t>
      </w:r>
      <w:r w:rsidRPr="00C15F44">
        <w:rPr>
          <w:lang w:val="en-CA"/>
        </w:rPr>
        <w:t>lai</w:t>
      </w:r>
      <w:r w:rsidR="003336D2">
        <w:rPr>
          <w:lang w:val="en-CA"/>
        </w:rPr>
        <w:t>n</w:t>
      </w:r>
      <w:r w:rsidRPr="00C15F44">
        <w:rPr>
          <w:lang w:val="en-CA"/>
        </w:rPr>
        <w:t xml:space="preserve">ant's interest in the outcome of this case cannot be </w:t>
      </w:r>
      <w:r>
        <w:rPr>
          <w:lang w:val="en-CA"/>
        </w:rPr>
        <w:t>characterized</w:t>
      </w:r>
      <w:r w:rsidRPr="00C15F44">
        <w:rPr>
          <w:lang w:val="en-CA"/>
        </w:rPr>
        <w:t xml:space="preserve"> as an error of law</w:t>
      </w:r>
      <w:r w:rsidR="00276A1F" w:rsidRPr="000E73A2">
        <w:rPr>
          <w:lang w:val="en-CA"/>
        </w:rPr>
        <w:t>.</w:t>
      </w:r>
    </w:p>
    <w:p w14:paraId="32AB055C" w14:textId="38C7E6B3" w:rsidR="00276A1F" w:rsidRPr="000E73A2" w:rsidRDefault="00C15F44" w:rsidP="00F1753E">
      <w:pPr>
        <w:pStyle w:val="Paragraphe"/>
        <w:spacing w:before="180" w:after="180" w:line="280" w:lineRule="exact"/>
        <w:rPr>
          <w:lang w:val="en-CA"/>
        </w:rPr>
      </w:pPr>
      <w:r w:rsidRPr="00C15F44">
        <w:rPr>
          <w:lang w:val="en-CA"/>
        </w:rPr>
        <w:t>Finally, the judge allegedly made another error in the following passage of his judgment</w:t>
      </w:r>
      <w:r>
        <w:rPr>
          <w:lang w:val="en-CA"/>
        </w:rPr>
        <w:t>:</w:t>
      </w:r>
      <w:r w:rsidR="00276A1F" w:rsidRPr="000E73A2">
        <w:rPr>
          <w:rFonts w:cs="Arial"/>
          <w:szCs w:val="24"/>
          <w:vertAlign w:val="superscript"/>
          <w:lang w:val="en-CA"/>
        </w:rPr>
        <w:footnoteReference w:id="114"/>
      </w:r>
      <w:r w:rsidR="00276A1F" w:rsidRPr="000E73A2">
        <w:rPr>
          <w:lang w:val="en-CA"/>
        </w:rPr>
        <w:t> </w:t>
      </w:r>
    </w:p>
    <w:p w14:paraId="556DDB5E" w14:textId="72BFD92E" w:rsidR="00CC3200" w:rsidRDefault="00CC3200" w:rsidP="00756494">
      <w:pPr>
        <w:pStyle w:val="Paragraphe"/>
        <w:numPr>
          <w:ilvl w:val="0"/>
          <w:numId w:val="0"/>
        </w:numPr>
        <w:spacing w:line="240" w:lineRule="auto"/>
        <w:ind w:left="709" w:right="715"/>
        <w:rPr>
          <w:sz w:val="22"/>
          <w:szCs w:val="22"/>
          <w:lang w:val="en-CA"/>
        </w:rPr>
      </w:pPr>
      <w:r>
        <w:rPr>
          <w:sz w:val="22"/>
          <w:szCs w:val="22"/>
          <w:lang w:val="en-CA"/>
        </w:rPr>
        <w:t>[</w:t>
      </w:r>
      <w:r w:rsidRPr="00CC3200">
        <w:rPr>
          <w:smallCaps/>
          <w:sz w:val="22"/>
          <w:szCs w:val="22"/>
          <w:lang w:val="en-CA"/>
        </w:rPr>
        <w:t>translation</w:t>
      </w:r>
      <w:r>
        <w:rPr>
          <w:sz w:val="22"/>
          <w:szCs w:val="22"/>
          <w:lang w:val="en-CA"/>
        </w:rPr>
        <w:t>]</w:t>
      </w:r>
    </w:p>
    <w:p w14:paraId="65F97083" w14:textId="4BFCDEE7" w:rsidR="00276A1F" w:rsidRPr="000E73A2" w:rsidRDefault="003336D2" w:rsidP="00756494">
      <w:pPr>
        <w:pStyle w:val="Paragraphe"/>
        <w:numPr>
          <w:ilvl w:val="0"/>
          <w:numId w:val="0"/>
        </w:numPr>
        <w:spacing w:line="240" w:lineRule="auto"/>
        <w:ind w:left="709" w:right="715"/>
        <w:rPr>
          <w:sz w:val="22"/>
          <w:szCs w:val="22"/>
          <w:lang w:val="en-CA"/>
        </w:rPr>
      </w:pPr>
      <w:r w:rsidRPr="003336D2">
        <w:rPr>
          <w:sz w:val="22"/>
          <w:szCs w:val="22"/>
          <w:lang w:val="en-CA"/>
        </w:rPr>
        <w:t>Another factor that the Court considers is that she mentioned several times that she was afraid of him. However, it should not be forgotten that on his birthday, she gave him an introductory course in handgun use</w:t>
      </w:r>
      <w:r w:rsidR="00276A1F" w:rsidRPr="000E73A2">
        <w:rPr>
          <w:sz w:val="22"/>
          <w:szCs w:val="22"/>
          <w:lang w:val="en-CA"/>
        </w:rPr>
        <w:t>.</w:t>
      </w:r>
    </w:p>
    <w:p w14:paraId="2D5E467B" w14:textId="6381D7CC" w:rsidR="00276A1F" w:rsidRPr="000E73A2" w:rsidRDefault="00CC3200" w:rsidP="00F1753E">
      <w:pPr>
        <w:pStyle w:val="Paragraphe"/>
        <w:spacing w:before="180" w:after="180" w:line="280" w:lineRule="exact"/>
        <w:rPr>
          <w:lang w:val="en-CA"/>
        </w:rPr>
      </w:pPr>
      <w:r w:rsidRPr="00CC3200">
        <w:rPr>
          <w:lang w:val="en-CA"/>
        </w:rPr>
        <w:t xml:space="preserve">According to the </w:t>
      </w:r>
      <w:r>
        <w:rPr>
          <w:lang w:val="en-CA"/>
        </w:rPr>
        <w:t>Crown</w:t>
      </w:r>
      <w:r w:rsidRPr="00CC3200">
        <w:rPr>
          <w:lang w:val="en-CA"/>
        </w:rPr>
        <w:t>, the judge erred in comparing the complainant's behaviour to that of a perfect victim, i.e., the typical behaviour of a victim of sexual assault who claims to fear her attacker. He therefore relied on a myth or stereotype that discriminates against complainants in sexual assault cases and, in doing so, committed an error of law</w:t>
      </w:r>
      <w:r w:rsidR="00276A1F" w:rsidRPr="000E73A2">
        <w:rPr>
          <w:lang w:val="en-CA"/>
        </w:rPr>
        <w:t>.</w:t>
      </w:r>
    </w:p>
    <w:p w14:paraId="14C29DF3" w14:textId="2A07213A" w:rsidR="00276A1F" w:rsidRPr="000E73A2" w:rsidRDefault="00CC3200" w:rsidP="00F1753E">
      <w:pPr>
        <w:pStyle w:val="Paragraphe"/>
        <w:spacing w:before="180" w:after="180" w:line="280" w:lineRule="exact"/>
        <w:rPr>
          <w:lang w:val="en-CA"/>
        </w:rPr>
      </w:pPr>
      <w:r>
        <w:rPr>
          <w:lang w:val="en-CA"/>
        </w:rPr>
        <w:t>In my opinion,</w:t>
      </w:r>
      <w:r w:rsidRPr="00CC3200">
        <w:rPr>
          <w:lang w:val="en-CA"/>
        </w:rPr>
        <w:t xml:space="preserve"> the Crown is </w:t>
      </w:r>
      <w:r>
        <w:rPr>
          <w:lang w:val="en-CA"/>
        </w:rPr>
        <w:t>mistaken. Although</w:t>
      </w:r>
      <w:r w:rsidRPr="00CC3200">
        <w:rPr>
          <w:lang w:val="en-CA"/>
        </w:rPr>
        <w:t xml:space="preserve"> the</w:t>
      </w:r>
      <w:r>
        <w:rPr>
          <w:lang w:val="en-CA"/>
        </w:rPr>
        <w:t xml:space="preserve"> above quoted</w:t>
      </w:r>
      <w:r w:rsidRPr="00CC3200">
        <w:rPr>
          <w:lang w:val="en-CA"/>
        </w:rPr>
        <w:t xml:space="preserve"> </w:t>
      </w:r>
      <w:r>
        <w:rPr>
          <w:lang w:val="en-CA"/>
        </w:rPr>
        <w:t>passage</w:t>
      </w:r>
      <w:r w:rsidRPr="00CC3200">
        <w:rPr>
          <w:lang w:val="en-CA"/>
        </w:rPr>
        <w:t xml:space="preserve"> of the judgment</w:t>
      </w:r>
      <w:r>
        <w:rPr>
          <w:lang w:val="en-CA"/>
        </w:rPr>
        <w:t xml:space="preserve"> under appeal</w:t>
      </w:r>
      <w:r w:rsidRPr="00CC3200">
        <w:rPr>
          <w:lang w:val="en-CA"/>
        </w:rPr>
        <w:t xml:space="preserve"> is</w:t>
      </w:r>
      <w:r>
        <w:rPr>
          <w:lang w:val="en-CA"/>
        </w:rPr>
        <w:t xml:space="preserve"> </w:t>
      </w:r>
      <w:r w:rsidRPr="00CC3200">
        <w:rPr>
          <w:lang w:val="en-CA"/>
        </w:rPr>
        <w:t>n</w:t>
      </w:r>
      <w:r>
        <w:rPr>
          <w:lang w:val="en-CA"/>
        </w:rPr>
        <w:t>o</w:t>
      </w:r>
      <w:r w:rsidRPr="00CC3200">
        <w:rPr>
          <w:lang w:val="en-CA"/>
        </w:rPr>
        <w:t xml:space="preserve">t </w:t>
      </w:r>
      <w:r>
        <w:rPr>
          <w:lang w:val="en-CA"/>
        </w:rPr>
        <w:t>entirely</w:t>
      </w:r>
      <w:r w:rsidRPr="00CC3200">
        <w:rPr>
          <w:lang w:val="en-CA"/>
        </w:rPr>
        <w:t xml:space="preserve"> clear, I </w:t>
      </w:r>
      <w:r>
        <w:rPr>
          <w:lang w:val="en-CA"/>
        </w:rPr>
        <w:t>believe that</w:t>
      </w:r>
      <w:r w:rsidR="00C3108A">
        <w:rPr>
          <w:lang w:val="en-CA"/>
        </w:rPr>
        <w:t>,</w:t>
      </w:r>
      <w:r>
        <w:rPr>
          <w:lang w:val="en-CA"/>
        </w:rPr>
        <w:t xml:space="preserve"> in all </w:t>
      </w:r>
      <w:r w:rsidR="00C3108A">
        <w:rPr>
          <w:lang w:val="en-CA"/>
        </w:rPr>
        <w:t>probability</w:t>
      </w:r>
      <w:r>
        <w:rPr>
          <w:lang w:val="en-CA"/>
        </w:rPr>
        <w:t>,</w:t>
      </w:r>
      <w:r w:rsidRPr="00CC3200">
        <w:rPr>
          <w:lang w:val="en-CA"/>
        </w:rPr>
        <w:t xml:space="preserve"> the judge probably was</w:t>
      </w:r>
      <w:r w:rsidR="00C3108A">
        <w:rPr>
          <w:lang w:val="en-CA"/>
        </w:rPr>
        <w:t xml:space="preserve"> </w:t>
      </w:r>
      <w:r w:rsidRPr="00CC3200">
        <w:rPr>
          <w:lang w:val="en-CA"/>
        </w:rPr>
        <w:t>n</w:t>
      </w:r>
      <w:r w:rsidR="00C3108A">
        <w:rPr>
          <w:lang w:val="en-CA"/>
        </w:rPr>
        <w:t>o</w:t>
      </w:r>
      <w:r w:rsidRPr="00CC3200">
        <w:rPr>
          <w:lang w:val="en-CA"/>
        </w:rPr>
        <w:t xml:space="preserve">t </w:t>
      </w:r>
      <w:r w:rsidR="00C3108A">
        <w:rPr>
          <w:lang w:val="en-CA"/>
        </w:rPr>
        <w:t>engaged in</w:t>
      </w:r>
      <w:r w:rsidRPr="00CC3200">
        <w:rPr>
          <w:lang w:val="en-CA"/>
        </w:rPr>
        <w:t xml:space="preserve"> a </w:t>
      </w:r>
      <w:r w:rsidR="00C3108A">
        <w:rPr>
          <w:lang w:val="en-CA"/>
        </w:rPr>
        <w:t>plausibility</w:t>
      </w:r>
      <w:r w:rsidRPr="00CC3200">
        <w:rPr>
          <w:lang w:val="en-CA"/>
        </w:rPr>
        <w:t xml:space="preserve"> analysis based on generali</w:t>
      </w:r>
      <w:r>
        <w:rPr>
          <w:lang w:val="en-CA"/>
        </w:rPr>
        <w:t>z</w:t>
      </w:r>
      <w:r w:rsidRPr="00CC3200">
        <w:rPr>
          <w:lang w:val="en-CA"/>
        </w:rPr>
        <w:t xml:space="preserve">ation, but rather </w:t>
      </w:r>
      <w:r w:rsidR="00C3108A">
        <w:rPr>
          <w:lang w:val="en-CA"/>
        </w:rPr>
        <w:t xml:space="preserve">in an analysis of the internal </w:t>
      </w:r>
      <w:r w:rsidRPr="00CC3200">
        <w:rPr>
          <w:lang w:val="en-CA"/>
        </w:rPr>
        <w:t>consisten</w:t>
      </w:r>
      <w:r w:rsidR="00C3108A">
        <w:rPr>
          <w:lang w:val="en-CA"/>
        </w:rPr>
        <w:t>cy of</w:t>
      </w:r>
      <w:r w:rsidRPr="00CC3200">
        <w:rPr>
          <w:lang w:val="en-CA"/>
        </w:rPr>
        <w:t xml:space="preserve"> the complainant's testimony. Since such an analysis is undoubtedly a matter of fact, any error the judge may have made in this part of his analysis cannot be </w:t>
      </w:r>
      <w:r>
        <w:rPr>
          <w:lang w:val="en-CA"/>
        </w:rPr>
        <w:t>characterized</w:t>
      </w:r>
      <w:r w:rsidRPr="00CC3200">
        <w:rPr>
          <w:lang w:val="en-CA"/>
        </w:rPr>
        <w:t xml:space="preserve"> as an error of law</w:t>
      </w:r>
      <w:r w:rsidR="00276A1F" w:rsidRPr="000E73A2">
        <w:rPr>
          <w:lang w:val="en-CA"/>
        </w:rPr>
        <w:t>.</w:t>
      </w:r>
    </w:p>
    <w:p w14:paraId="09322EC6" w14:textId="5DA8FC4F" w:rsidR="00276A1F" w:rsidRPr="000E73A2" w:rsidRDefault="00C3108A" w:rsidP="00115DAC">
      <w:pPr>
        <w:pStyle w:val="Paragraphe"/>
        <w:spacing w:before="180" w:after="180" w:line="280" w:lineRule="exact"/>
        <w:rPr>
          <w:lang w:val="en-CA"/>
        </w:rPr>
      </w:pPr>
      <w:r w:rsidRPr="00C3108A">
        <w:rPr>
          <w:lang w:val="en-CA"/>
        </w:rPr>
        <w:t xml:space="preserve">Furthermore, even assuming that the judge did </w:t>
      </w:r>
      <w:r w:rsidR="00622A42">
        <w:rPr>
          <w:lang w:val="en-CA"/>
        </w:rPr>
        <w:t>resort to</w:t>
      </w:r>
      <w:r w:rsidRPr="00C3108A">
        <w:rPr>
          <w:lang w:val="en-CA"/>
        </w:rPr>
        <w:t xml:space="preserve"> a generali</w:t>
      </w:r>
      <w:r w:rsidR="00622A42">
        <w:rPr>
          <w:lang w:val="en-CA"/>
        </w:rPr>
        <w:t>z</w:t>
      </w:r>
      <w:r w:rsidRPr="00C3108A">
        <w:rPr>
          <w:lang w:val="en-CA"/>
        </w:rPr>
        <w:t>ation in the above passage, it would likely be a generali</w:t>
      </w:r>
      <w:r w:rsidR="00622A42">
        <w:rPr>
          <w:lang w:val="en-CA"/>
        </w:rPr>
        <w:t>z</w:t>
      </w:r>
      <w:r w:rsidRPr="00C3108A">
        <w:rPr>
          <w:lang w:val="en-CA"/>
        </w:rPr>
        <w:t>ation about human behaviour in the broad sense, and not a generali</w:t>
      </w:r>
      <w:r w:rsidR="00622A42">
        <w:rPr>
          <w:lang w:val="en-CA"/>
        </w:rPr>
        <w:t>z</w:t>
      </w:r>
      <w:r w:rsidRPr="00C3108A">
        <w:rPr>
          <w:lang w:val="en-CA"/>
        </w:rPr>
        <w:t xml:space="preserve">ation about the behaviour expected of a victim of sexual assault towards their </w:t>
      </w:r>
      <w:r>
        <w:rPr>
          <w:lang w:val="en-CA"/>
        </w:rPr>
        <w:t>aggressor.</w:t>
      </w:r>
      <w:r w:rsidR="00276A1F" w:rsidRPr="000E73A2">
        <w:rPr>
          <w:rFonts w:cs="Arial"/>
          <w:szCs w:val="24"/>
          <w:vertAlign w:val="superscript"/>
          <w:lang w:val="en-CA"/>
        </w:rPr>
        <w:footnoteReference w:id="115"/>
      </w:r>
      <w:r w:rsidR="00276A1F" w:rsidRPr="000E73A2">
        <w:rPr>
          <w:lang w:val="en-CA"/>
        </w:rPr>
        <w:t xml:space="preserve"> </w:t>
      </w:r>
      <w:r w:rsidR="00622A42" w:rsidRPr="00622A42">
        <w:rPr>
          <w:lang w:val="en-CA"/>
        </w:rPr>
        <w:t>This distinction is crucial: while it is accepted that the use of generali</w:t>
      </w:r>
      <w:r w:rsidR="00622A42">
        <w:rPr>
          <w:lang w:val="en-CA"/>
        </w:rPr>
        <w:t>z</w:t>
      </w:r>
      <w:r w:rsidR="00622A42" w:rsidRPr="00622A42">
        <w:rPr>
          <w:lang w:val="en-CA"/>
        </w:rPr>
        <w:t>ations corresponding to a discriminatory myth or stereotype against complainants in sexual assault cases is likely to give rise to an error of law</w:t>
      </w:r>
      <w:r w:rsidR="00622A42">
        <w:rPr>
          <w:lang w:val="en-CA"/>
        </w:rPr>
        <w:t>,</w:t>
      </w:r>
      <w:r w:rsidR="00276A1F" w:rsidRPr="000E73A2">
        <w:rPr>
          <w:rFonts w:cs="Arial"/>
          <w:szCs w:val="24"/>
          <w:vertAlign w:val="superscript"/>
          <w:lang w:val="en-CA"/>
        </w:rPr>
        <w:footnoteReference w:id="116"/>
      </w:r>
      <w:r w:rsidR="00622A42">
        <w:rPr>
          <w:lang w:val="en-CA"/>
        </w:rPr>
        <w:t xml:space="preserve"> </w:t>
      </w:r>
      <w:r w:rsidR="00622A42" w:rsidRPr="00622A42">
        <w:rPr>
          <w:lang w:val="en-CA"/>
        </w:rPr>
        <w:t xml:space="preserve">the general rule — as clarified by the Supreme Court in </w:t>
      </w:r>
      <w:r w:rsidR="00622A42" w:rsidRPr="00622A42">
        <w:rPr>
          <w:i/>
          <w:iCs/>
          <w:lang w:val="en-CA"/>
        </w:rPr>
        <w:t>Kruk</w:t>
      </w:r>
      <w:r w:rsidR="00622A42" w:rsidRPr="00622A42">
        <w:rPr>
          <w:lang w:val="en-CA"/>
        </w:rPr>
        <w:t xml:space="preserve">  — is that the erroneous reliance on a generali</w:t>
      </w:r>
      <w:r w:rsidR="00622A42">
        <w:rPr>
          <w:lang w:val="en-CA"/>
        </w:rPr>
        <w:t>z</w:t>
      </w:r>
      <w:r w:rsidR="00622A42" w:rsidRPr="00622A42">
        <w:rPr>
          <w:lang w:val="en-CA"/>
        </w:rPr>
        <w:t>ation about human behaviour in assessing the probative value of evidence gives rise to an error of fact and not of law</w:t>
      </w:r>
      <w:r w:rsidR="00622A42">
        <w:rPr>
          <w:lang w:val="en-CA"/>
        </w:rPr>
        <w:t>.</w:t>
      </w:r>
      <w:r w:rsidR="00276A1F" w:rsidRPr="000E73A2">
        <w:rPr>
          <w:rFonts w:cs="Arial"/>
          <w:szCs w:val="24"/>
          <w:vertAlign w:val="superscript"/>
          <w:lang w:val="en-CA"/>
        </w:rPr>
        <w:footnoteReference w:id="117"/>
      </w:r>
      <w:r w:rsidR="00622A42">
        <w:rPr>
          <w:lang w:val="en-CA"/>
        </w:rPr>
        <w:t xml:space="preserve"> </w:t>
      </w:r>
      <w:r w:rsidR="00622A42" w:rsidRPr="00622A42">
        <w:rPr>
          <w:lang w:val="en-CA"/>
        </w:rPr>
        <w:t xml:space="preserve">It follows that, assuming the judge erred in finding </w:t>
      </w:r>
      <w:r w:rsidR="00622A42" w:rsidRPr="00622A42">
        <w:rPr>
          <w:lang w:val="en-CA"/>
        </w:rPr>
        <w:lastRenderedPageBreak/>
        <w:t xml:space="preserve">that the complainant's credibility was undermined by the fact that she offered the respondent an introductory course in handgun use, this would constitute an error of fact </w:t>
      </w:r>
      <w:r w:rsidR="00622A42">
        <w:rPr>
          <w:lang w:val="en-CA"/>
        </w:rPr>
        <w:t>with respect to</w:t>
      </w:r>
      <w:r w:rsidR="00622A42" w:rsidRPr="00622A42">
        <w:rPr>
          <w:lang w:val="en-CA"/>
        </w:rPr>
        <w:t xml:space="preserve"> which the Crown has no right of appeal</w:t>
      </w:r>
      <w:r w:rsidR="00276A1F" w:rsidRPr="000E73A2">
        <w:rPr>
          <w:lang w:val="en-CA"/>
        </w:rPr>
        <w:t>.</w:t>
      </w:r>
    </w:p>
    <w:p w14:paraId="65391DF2" w14:textId="2B205901" w:rsidR="00276A1F" w:rsidRPr="000E73A2" w:rsidRDefault="00276A1F">
      <w:pPr>
        <w:spacing w:line="240" w:lineRule="auto"/>
        <w:rPr>
          <w:kern w:val="28"/>
          <w:lang w:val="en-CA"/>
        </w:rPr>
      </w:pPr>
    </w:p>
    <w:p w14:paraId="5B3EB9B5" w14:textId="77777777" w:rsidR="00276A1F" w:rsidRPr="000E73A2" w:rsidRDefault="00276A1F" w:rsidP="00756494">
      <w:pPr>
        <w:pStyle w:val="Paragraphe"/>
        <w:numPr>
          <w:ilvl w:val="0"/>
          <w:numId w:val="0"/>
        </w:numPr>
        <w:jc w:val="center"/>
        <w:rPr>
          <w:lang w:val="en-CA"/>
        </w:rPr>
      </w:pPr>
      <w:r w:rsidRPr="000E73A2">
        <w:rPr>
          <w:lang w:val="en-CA"/>
        </w:rPr>
        <w:t>*</w:t>
      </w:r>
      <w:r w:rsidRPr="000E73A2">
        <w:rPr>
          <w:lang w:val="en-CA"/>
        </w:rPr>
        <w:tab/>
        <w:t>*</w:t>
      </w:r>
      <w:r w:rsidRPr="000E73A2">
        <w:rPr>
          <w:lang w:val="en-CA"/>
        </w:rPr>
        <w:tab/>
        <w:t>*</w:t>
      </w:r>
    </w:p>
    <w:p w14:paraId="10674B12" w14:textId="4A8930C3" w:rsidR="00276A1F" w:rsidRPr="000E73A2" w:rsidRDefault="00622A42" w:rsidP="00F1753E">
      <w:pPr>
        <w:pStyle w:val="Paragraphe"/>
        <w:spacing w:before="180" w:after="180" w:line="280" w:lineRule="exact"/>
        <w:rPr>
          <w:lang w:val="en-CA"/>
        </w:rPr>
      </w:pPr>
      <w:r>
        <w:rPr>
          <w:lang w:val="en-CA"/>
        </w:rPr>
        <w:t xml:space="preserve">For these reasons </w:t>
      </w:r>
      <w:r w:rsidR="00BC3916" w:rsidRPr="00BC3916">
        <w:rPr>
          <w:lang w:val="en-CA"/>
        </w:rPr>
        <w:t xml:space="preserve">I propose that the Court </w:t>
      </w:r>
      <w:r>
        <w:rPr>
          <w:lang w:val="en-CA"/>
        </w:rPr>
        <w:t>dismiss the appeal</w:t>
      </w:r>
      <w:r w:rsidR="00276A1F" w:rsidRPr="000E73A2">
        <w:rPr>
          <w:lang w:val="en-CA"/>
        </w:rPr>
        <w:t>.</w:t>
      </w:r>
    </w:p>
    <w:tbl>
      <w:tblPr>
        <w:tblW w:w="0" w:type="auto"/>
        <w:tblLayout w:type="fixed"/>
        <w:tblCellMar>
          <w:left w:w="0" w:type="dxa"/>
          <w:right w:w="0" w:type="dxa"/>
        </w:tblCellMar>
        <w:tblLook w:val="0000" w:firstRow="0" w:lastRow="0" w:firstColumn="0" w:lastColumn="0" w:noHBand="0" w:noVBand="0"/>
      </w:tblPr>
      <w:tblGrid>
        <w:gridCol w:w="4735"/>
        <w:gridCol w:w="4625"/>
      </w:tblGrid>
      <w:tr w:rsidR="00276A1F" w:rsidRPr="000E73A2" w14:paraId="502B88AB" w14:textId="77777777" w:rsidTr="003178EF">
        <w:trPr>
          <w:cantSplit/>
          <w:trHeight w:val="483"/>
        </w:trPr>
        <w:tc>
          <w:tcPr>
            <w:tcW w:w="9360" w:type="dxa"/>
            <w:gridSpan w:val="2"/>
          </w:tcPr>
          <w:p w14:paraId="65B79DBF" w14:textId="77777777" w:rsidR="00276A1F" w:rsidRPr="000E73A2" w:rsidRDefault="00276A1F" w:rsidP="003178EF">
            <w:pPr>
              <w:rPr>
                <w:lang w:val="en-CA"/>
              </w:rPr>
            </w:pPr>
          </w:p>
        </w:tc>
      </w:tr>
      <w:tr w:rsidR="00276A1F" w:rsidRPr="000E73A2" w14:paraId="0E35082D" w14:textId="77777777" w:rsidTr="003178EF">
        <w:trPr>
          <w:cantSplit/>
          <w:trHeight w:val="277"/>
        </w:trPr>
        <w:tc>
          <w:tcPr>
            <w:tcW w:w="4735" w:type="dxa"/>
            <w:vMerge w:val="restart"/>
          </w:tcPr>
          <w:p w14:paraId="3126F19F" w14:textId="77777777" w:rsidR="00276A1F" w:rsidRPr="000E73A2" w:rsidRDefault="00276A1F" w:rsidP="003178EF">
            <w:pPr>
              <w:rPr>
                <w:lang w:val="en-CA"/>
              </w:rPr>
            </w:pPr>
          </w:p>
        </w:tc>
        <w:tc>
          <w:tcPr>
            <w:tcW w:w="4625" w:type="dxa"/>
            <w:tcBorders>
              <w:bottom w:val="single" w:sz="8" w:space="0" w:color="auto"/>
            </w:tcBorders>
          </w:tcPr>
          <w:p w14:paraId="3E103103" w14:textId="77777777" w:rsidR="00276A1F" w:rsidRPr="000E73A2" w:rsidRDefault="00276A1F" w:rsidP="003178EF">
            <w:pPr>
              <w:rPr>
                <w:lang w:val="en-CA"/>
              </w:rPr>
            </w:pPr>
          </w:p>
        </w:tc>
      </w:tr>
      <w:tr w:rsidR="00276A1F" w:rsidRPr="000E73A2" w14:paraId="12FC6D32" w14:textId="77777777" w:rsidTr="003178EF">
        <w:trPr>
          <w:cantSplit/>
          <w:trHeight w:val="276"/>
        </w:trPr>
        <w:tc>
          <w:tcPr>
            <w:tcW w:w="4735" w:type="dxa"/>
            <w:vMerge/>
          </w:tcPr>
          <w:p w14:paraId="23874FC9" w14:textId="77777777" w:rsidR="00276A1F" w:rsidRPr="000E73A2" w:rsidRDefault="00276A1F" w:rsidP="003178EF">
            <w:pPr>
              <w:rPr>
                <w:lang w:val="en-CA"/>
              </w:rPr>
            </w:pPr>
          </w:p>
        </w:tc>
        <w:tc>
          <w:tcPr>
            <w:tcW w:w="4625" w:type="dxa"/>
          </w:tcPr>
          <w:p w14:paraId="190C96A8" w14:textId="085ED079" w:rsidR="00276A1F" w:rsidRPr="000E73A2" w:rsidRDefault="00276A1F" w:rsidP="003178EF">
            <w:pPr>
              <w:rPr>
                <w:lang w:val="en-CA"/>
              </w:rPr>
            </w:pPr>
            <w:r w:rsidRPr="000E73A2">
              <w:rPr>
                <w:lang w:val="en-CA"/>
              </w:rPr>
              <w:t>FRÉDÉRIC BACHAND, J.A.</w:t>
            </w:r>
          </w:p>
        </w:tc>
      </w:tr>
    </w:tbl>
    <w:p w14:paraId="78F5D98C" w14:textId="77777777" w:rsidR="00276A1F" w:rsidRPr="000E73A2" w:rsidRDefault="00276A1F" w:rsidP="00D16126">
      <w:pPr>
        <w:rPr>
          <w:lang w:val="en-CA"/>
        </w:rPr>
      </w:pPr>
    </w:p>
    <w:p w14:paraId="6D94B04E" w14:textId="7E93B9BA" w:rsidR="00740A17" w:rsidRPr="000E73A2" w:rsidRDefault="00740A17" w:rsidP="00D16126">
      <w:pPr>
        <w:rPr>
          <w:lang w:val="en-CA"/>
        </w:rPr>
      </w:pPr>
    </w:p>
    <w:sectPr w:rsidR="00740A17" w:rsidRPr="000E73A2" w:rsidSect="00276A1F">
      <w:headerReference w:type="default" r:id="rId18"/>
      <w:pgSz w:w="12242" w:h="15842" w:code="1"/>
      <w:pgMar w:top="1440" w:right="1008" w:bottom="1440" w:left="1872" w:header="1440" w:footer="792" w:gutter="0"/>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1C691" w14:textId="77777777" w:rsidR="00F50F2F" w:rsidRDefault="00F50F2F">
      <w:pPr>
        <w:spacing w:line="240" w:lineRule="auto"/>
      </w:pPr>
      <w:r>
        <w:separator/>
      </w:r>
    </w:p>
  </w:endnote>
  <w:endnote w:type="continuationSeparator" w:id="0">
    <w:p w14:paraId="0AF9AB1C" w14:textId="77777777" w:rsidR="00F50F2F" w:rsidRDefault="00F50F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D62E" w14:textId="4EC4F292" w:rsidR="003D5FDD" w:rsidRPr="00E9002D" w:rsidRDefault="00E9002D" w:rsidP="00E9002D">
    <w:pPr>
      <w:pStyle w:val="Pieddepage"/>
      <w:jc w:val="right"/>
      <w:rPr>
        <w:b/>
        <w:bCs/>
      </w:rPr>
    </w:pPr>
    <w:r w:rsidRPr="00E9002D">
      <w:rPr>
        <w:b/>
        <w:bCs/>
      </w:rPr>
      <w:t xml:space="preserve">English translation of the </w:t>
    </w:r>
    <w:proofErr w:type="spellStart"/>
    <w:r w:rsidRPr="00E9002D">
      <w:rPr>
        <w:b/>
        <w:bCs/>
      </w:rPr>
      <w:t>judgment</w:t>
    </w:r>
    <w:proofErr w:type="spellEnd"/>
    <w:r w:rsidRPr="00E9002D">
      <w:rPr>
        <w:b/>
        <w:bCs/>
      </w:rPr>
      <w:t xml:space="preserve"> of the Court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3DE3A" w14:textId="7DC6DEFA" w:rsidR="00FD0771" w:rsidRDefault="00FD0771" w:rsidP="00FD0771">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40E55" w14:textId="77777777" w:rsidR="00276A1F" w:rsidRDefault="00276A1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59FA" w14:textId="711F1B84" w:rsidR="00276A1F" w:rsidRDefault="00FD0771" w:rsidP="00FD0771">
    <w:pPr>
      <w:jc w:val="right"/>
    </w:pPr>
    <w:r w:rsidRPr="003D5FDD">
      <w:rPr>
        <w:b/>
        <w:bCs/>
      </w:rPr>
      <w:t xml:space="preserve">English translation of the </w:t>
    </w:r>
    <w:proofErr w:type="spellStart"/>
    <w:r w:rsidRPr="003D5FDD">
      <w:rPr>
        <w:b/>
        <w:bCs/>
      </w:rPr>
      <w:t>judgment</w:t>
    </w:r>
    <w:proofErr w:type="spellEnd"/>
    <w:r w:rsidRPr="003D5FDD">
      <w:rPr>
        <w:b/>
        <w:bCs/>
      </w:rPr>
      <w:t xml:space="preserve"> of the Court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C85A3" w14:textId="77777777" w:rsidR="00276A1F" w:rsidRDefault="00276A1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F9ACD" w14:textId="77777777" w:rsidR="00F50F2F" w:rsidRDefault="00F50F2F">
      <w:r>
        <w:separator/>
      </w:r>
    </w:p>
  </w:footnote>
  <w:footnote w:type="continuationSeparator" w:id="0">
    <w:p w14:paraId="508C081C" w14:textId="77777777" w:rsidR="00F50F2F" w:rsidRDefault="00F50F2F">
      <w:r>
        <w:continuationSeparator/>
      </w:r>
    </w:p>
  </w:footnote>
  <w:footnote w:id="1">
    <w:p w14:paraId="304181CE" w14:textId="186D443F" w:rsidR="00D727A1" w:rsidRPr="00B131F0" w:rsidRDefault="00276A1F" w:rsidP="00D727A1">
      <w:pPr>
        <w:pStyle w:val="Notedebasdepage"/>
        <w:rPr>
          <w:lang w:val="en-CA"/>
        </w:rPr>
      </w:pPr>
      <w:r>
        <w:rPr>
          <w:rStyle w:val="Appelnotedebasdep"/>
        </w:rPr>
        <w:footnoteRef/>
      </w:r>
      <w:r w:rsidRPr="00425FC1">
        <w:t xml:space="preserve"> </w:t>
      </w:r>
      <w:r w:rsidRPr="00425FC1">
        <w:tab/>
      </w:r>
      <w:r w:rsidRPr="00B131F0">
        <w:rPr>
          <w:i/>
          <w:lang w:val="en-CA"/>
        </w:rPr>
        <w:t>R. v. Maharaj</w:t>
      </w:r>
      <w:r w:rsidRPr="00B131F0">
        <w:rPr>
          <w:lang w:val="en-CA"/>
        </w:rPr>
        <w:t xml:space="preserve"> (2004), 186 C.C.C. (3d) 247 (Ont. C.A.), par</w:t>
      </w:r>
      <w:r w:rsidR="00B131F0" w:rsidRPr="00B131F0">
        <w:rPr>
          <w:lang w:val="en-CA"/>
        </w:rPr>
        <w:t>a</w:t>
      </w:r>
      <w:r w:rsidRPr="00B131F0">
        <w:rPr>
          <w:lang w:val="en-CA"/>
        </w:rPr>
        <w:t xml:space="preserve">. 23, </w:t>
      </w:r>
      <w:r w:rsidR="00371150" w:rsidRPr="00B131F0">
        <w:rPr>
          <w:lang w:val="en-CA"/>
        </w:rPr>
        <w:t>leave to appeal</w:t>
      </w:r>
      <w:r w:rsidRPr="00B131F0">
        <w:rPr>
          <w:lang w:val="en-CA"/>
        </w:rPr>
        <w:t xml:space="preserve"> </w:t>
      </w:r>
      <w:r w:rsidR="00B131F0" w:rsidRPr="00B131F0">
        <w:rPr>
          <w:lang w:val="en-CA"/>
        </w:rPr>
        <w:t xml:space="preserve">denied </w:t>
      </w:r>
      <w:r w:rsidRPr="00B131F0">
        <w:rPr>
          <w:lang w:val="en-CA"/>
        </w:rPr>
        <w:t>[2005] 1 </w:t>
      </w:r>
      <w:r w:rsidR="00B131F0" w:rsidRPr="00B131F0">
        <w:rPr>
          <w:lang w:val="en-CA"/>
        </w:rPr>
        <w:t>S.C.R.</w:t>
      </w:r>
      <w:r w:rsidRPr="00B131F0">
        <w:rPr>
          <w:lang w:val="en-CA"/>
        </w:rPr>
        <w:t xml:space="preserve"> xiv; </w:t>
      </w:r>
      <w:r w:rsidRPr="00B131F0">
        <w:rPr>
          <w:i/>
          <w:lang w:val="en-CA"/>
        </w:rPr>
        <w:t xml:space="preserve">R. </w:t>
      </w:r>
      <w:r w:rsidR="00B131F0" w:rsidRPr="00B131F0">
        <w:rPr>
          <w:i/>
          <w:lang w:val="en-CA"/>
        </w:rPr>
        <w:t>c</w:t>
      </w:r>
      <w:r w:rsidRPr="00B131F0">
        <w:rPr>
          <w:i/>
          <w:lang w:val="en-CA"/>
        </w:rPr>
        <w:t>. D.I.Du.B</w:t>
      </w:r>
      <w:r w:rsidRPr="00B131F0">
        <w:rPr>
          <w:lang w:val="en-CA"/>
        </w:rPr>
        <w:t xml:space="preserve">, 2006 QCCA 460, </w:t>
      </w:r>
      <w:r w:rsidR="00B131F0" w:rsidRPr="00B131F0">
        <w:rPr>
          <w:lang w:val="en-CA"/>
        </w:rPr>
        <w:t>para.</w:t>
      </w:r>
      <w:r w:rsidRPr="00B131F0">
        <w:rPr>
          <w:lang w:val="en-CA"/>
        </w:rPr>
        <w:t xml:space="preserve"> 102; </w:t>
      </w:r>
      <w:r w:rsidRPr="00B131F0">
        <w:rPr>
          <w:i/>
          <w:lang w:val="en-CA"/>
        </w:rPr>
        <w:t>R. c. L.G.</w:t>
      </w:r>
      <w:r w:rsidRPr="00B131F0">
        <w:rPr>
          <w:lang w:val="en-CA"/>
        </w:rPr>
        <w:t xml:space="preserve">, 2005 QCCA 749, </w:t>
      </w:r>
      <w:r w:rsidR="00B131F0" w:rsidRPr="00B131F0">
        <w:rPr>
          <w:lang w:val="en-CA"/>
        </w:rPr>
        <w:t>para.</w:t>
      </w:r>
      <w:r w:rsidRPr="00B131F0">
        <w:rPr>
          <w:lang w:val="en-CA"/>
        </w:rPr>
        <w:t xml:space="preserve"> 97; </w:t>
      </w:r>
      <w:r w:rsidRPr="00B131F0">
        <w:rPr>
          <w:i/>
          <w:lang w:val="en-CA"/>
        </w:rPr>
        <w:t>R. c. Laflamme</w:t>
      </w:r>
      <w:r w:rsidRPr="00B131F0">
        <w:rPr>
          <w:lang w:val="en-CA"/>
        </w:rPr>
        <w:t xml:space="preserve">, 2014 CACM 7, </w:t>
      </w:r>
      <w:r w:rsidR="00B131F0" w:rsidRPr="00B131F0">
        <w:rPr>
          <w:lang w:val="en-CA"/>
        </w:rPr>
        <w:t>para.</w:t>
      </w:r>
      <w:r w:rsidRPr="00B131F0">
        <w:rPr>
          <w:lang w:val="en-CA"/>
        </w:rPr>
        <w:t xml:space="preserve"> 16; </w:t>
      </w:r>
      <w:r w:rsidRPr="00B131F0">
        <w:rPr>
          <w:i/>
          <w:lang w:val="en-CA"/>
        </w:rPr>
        <w:t>R. v. Brunet</w:t>
      </w:r>
      <w:r w:rsidRPr="00B131F0">
        <w:rPr>
          <w:iCs/>
          <w:lang w:val="en-CA"/>
        </w:rPr>
        <w:t>,</w:t>
      </w:r>
      <w:r w:rsidRPr="00B131F0">
        <w:rPr>
          <w:lang w:val="en-CA"/>
        </w:rPr>
        <w:t xml:space="preserve"> 2011 ONCA 262, </w:t>
      </w:r>
      <w:r w:rsidR="00B131F0" w:rsidRPr="00B131F0">
        <w:rPr>
          <w:lang w:val="en-CA"/>
        </w:rPr>
        <w:t>para.</w:t>
      </w:r>
      <w:r w:rsidRPr="00B131F0">
        <w:rPr>
          <w:lang w:val="en-CA"/>
        </w:rPr>
        <w:t xml:space="preserve"> 2; </w:t>
      </w:r>
      <w:r w:rsidRPr="00B131F0">
        <w:rPr>
          <w:i/>
          <w:lang w:val="en-CA"/>
        </w:rPr>
        <w:t>R. v. Nelson</w:t>
      </w:r>
      <w:r w:rsidRPr="00B131F0">
        <w:rPr>
          <w:lang w:val="en-CA"/>
        </w:rPr>
        <w:t xml:space="preserve">, (2004), 1 M.V.R. (5th) 17 (C.A. Ont.), </w:t>
      </w:r>
      <w:r w:rsidR="00B131F0" w:rsidRPr="00B131F0">
        <w:rPr>
          <w:lang w:val="en-CA"/>
        </w:rPr>
        <w:t>para.</w:t>
      </w:r>
      <w:r w:rsidRPr="00B131F0">
        <w:rPr>
          <w:lang w:val="en-CA"/>
        </w:rPr>
        <w:t xml:space="preserve"> 18; </w:t>
      </w:r>
      <w:r w:rsidRPr="00B131F0">
        <w:rPr>
          <w:i/>
          <w:lang w:val="en-CA"/>
        </w:rPr>
        <w:t>R. v. Anglin</w:t>
      </w:r>
      <w:r w:rsidRPr="00B131F0">
        <w:rPr>
          <w:lang w:val="en-CA"/>
        </w:rPr>
        <w:t xml:space="preserve">, [2005] O.J. No. 1093 (C.A. Ont.), </w:t>
      </w:r>
      <w:r w:rsidR="00B131F0" w:rsidRPr="00B131F0">
        <w:rPr>
          <w:lang w:val="en-CA"/>
        </w:rPr>
        <w:t>para.</w:t>
      </w:r>
      <w:r w:rsidRPr="00B131F0">
        <w:rPr>
          <w:lang w:val="en-CA"/>
        </w:rPr>
        <w:t xml:space="preserve"> 9.</w:t>
      </w:r>
    </w:p>
  </w:footnote>
  <w:footnote w:id="2">
    <w:p w14:paraId="5C1D8231" w14:textId="60137219" w:rsidR="00D727A1" w:rsidRPr="00B131F0" w:rsidRDefault="00276A1F" w:rsidP="00D727A1">
      <w:pPr>
        <w:pStyle w:val="Notedebasdepage"/>
        <w:rPr>
          <w:lang w:val="en-CA"/>
        </w:rPr>
      </w:pPr>
      <w:r w:rsidRPr="00B131F0">
        <w:rPr>
          <w:rStyle w:val="Appelnotedebasdep"/>
          <w:lang w:val="en-CA"/>
        </w:rPr>
        <w:footnoteRef/>
      </w:r>
      <w:r w:rsidRPr="00B131F0">
        <w:rPr>
          <w:lang w:val="en-CA"/>
        </w:rPr>
        <w:t xml:space="preserve"> </w:t>
      </w:r>
      <w:r w:rsidRPr="00B131F0">
        <w:rPr>
          <w:lang w:val="en-CA"/>
        </w:rPr>
        <w:tab/>
      </w:r>
      <w:r w:rsidRPr="00B131F0">
        <w:rPr>
          <w:i/>
          <w:lang w:val="en-CA"/>
        </w:rPr>
        <w:t xml:space="preserve">R. </w:t>
      </w:r>
      <w:r w:rsidR="00B131F0">
        <w:rPr>
          <w:i/>
          <w:lang w:val="en-CA"/>
        </w:rPr>
        <w:t>v</w:t>
      </w:r>
      <w:r w:rsidRPr="00B131F0">
        <w:rPr>
          <w:i/>
          <w:lang w:val="en-CA"/>
        </w:rPr>
        <w:t>. Feeney</w:t>
      </w:r>
      <w:r w:rsidRPr="00B131F0">
        <w:rPr>
          <w:lang w:val="en-CA"/>
        </w:rPr>
        <w:t xml:space="preserve">, [1997] 2 </w:t>
      </w:r>
      <w:r w:rsidR="00B131F0" w:rsidRPr="00B131F0">
        <w:rPr>
          <w:lang w:val="en-CA"/>
        </w:rPr>
        <w:t>S.C.R.</w:t>
      </w:r>
      <w:r w:rsidRPr="00B131F0">
        <w:rPr>
          <w:lang w:val="en-CA"/>
        </w:rPr>
        <w:t xml:space="preserve"> 13, </w:t>
      </w:r>
      <w:r w:rsidR="00B131F0" w:rsidRPr="00B131F0">
        <w:rPr>
          <w:lang w:val="en-CA"/>
        </w:rPr>
        <w:t>para.</w:t>
      </w:r>
      <w:r w:rsidRPr="00B131F0">
        <w:rPr>
          <w:lang w:val="en-CA"/>
        </w:rPr>
        <w:t xml:space="preserve"> 32; </w:t>
      </w:r>
      <w:r w:rsidRPr="00B131F0">
        <w:rPr>
          <w:i/>
          <w:iCs/>
          <w:lang w:val="en-CA"/>
        </w:rPr>
        <w:t xml:space="preserve">R. </w:t>
      </w:r>
      <w:r w:rsidR="00B131F0">
        <w:rPr>
          <w:i/>
          <w:iCs/>
          <w:lang w:val="en-CA"/>
        </w:rPr>
        <w:t>v</w:t>
      </w:r>
      <w:r w:rsidRPr="00B131F0">
        <w:rPr>
          <w:i/>
          <w:iCs/>
          <w:lang w:val="en-CA"/>
        </w:rPr>
        <w:t>. Sheppard</w:t>
      </w:r>
      <w:r w:rsidRPr="00B131F0">
        <w:rPr>
          <w:lang w:val="en-CA"/>
        </w:rPr>
        <w:t xml:space="preserve">, 2002 </w:t>
      </w:r>
      <w:r w:rsidR="00B131F0">
        <w:rPr>
          <w:lang w:val="en-CA"/>
        </w:rPr>
        <w:t>SCC</w:t>
      </w:r>
      <w:r w:rsidRPr="00B131F0">
        <w:rPr>
          <w:lang w:val="en-CA"/>
        </w:rPr>
        <w:t xml:space="preserve"> 26, [2002] 1 </w:t>
      </w:r>
      <w:r w:rsidR="00B131F0" w:rsidRPr="00B131F0">
        <w:rPr>
          <w:lang w:val="en-CA"/>
        </w:rPr>
        <w:t>S.C.R.</w:t>
      </w:r>
      <w:r w:rsidRPr="00B131F0">
        <w:rPr>
          <w:lang w:val="en-CA"/>
        </w:rPr>
        <w:t xml:space="preserve"> 869, </w:t>
      </w:r>
      <w:r w:rsidR="00B131F0" w:rsidRPr="00B131F0">
        <w:rPr>
          <w:lang w:val="en-CA"/>
        </w:rPr>
        <w:t>para</w:t>
      </w:r>
      <w:r w:rsidR="00B131F0">
        <w:rPr>
          <w:lang w:val="en-CA"/>
        </w:rPr>
        <w:t>s</w:t>
      </w:r>
      <w:r w:rsidR="00B131F0" w:rsidRPr="00B131F0">
        <w:rPr>
          <w:lang w:val="en-CA"/>
        </w:rPr>
        <w:t>.</w:t>
      </w:r>
      <w:r w:rsidRPr="00B131F0">
        <w:rPr>
          <w:lang w:val="en-CA"/>
        </w:rPr>
        <w:t> 44</w:t>
      </w:r>
      <w:r w:rsidRPr="00B131F0">
        <w:rPr>
          <w:lang w:val="en-CA"/>
        </w:rPr>
        <w:noBreakHyphen/>
        <w:t xml:space="preserve">45; </w:t>
      </w:r>
      <w:r w:rsidRPr="00B131F0">
        <w:rPr>
          <w:i/>
          <w:lang w:val="en-CA"/>
        </w:rPr>
        <w:t>R. c. Bertrand</w:t>
      </w:r>
      <w:r w:rsidRPr="00B131F0">
        <w:rPr>
          <w:lang w:val="en-CA"/>
        </w:rPr>
        <w:t xml:space="preserve">, 2011 QCCA 1412, </w:t>
      </w:r>
      <w:r w:rsidR="00B131F0" w:rsidRPr="00B131F0">
        <w:rPr>
          <w:lang w:val="en-CA"/>
        </w:rPr>
        <w:t>para.</w:t>
      </w:r>
      <w:r w:rsidRPr="00B131F0">
        <w:rPr>
          <w:lang w:val="en-CA"/>
        </w:rPr>
        <w:t xml:space="preserve"> 73; </w:t>
      </w:r>
      <w:r w:rsidRPr="00B131F0">
        <w:rPr>
          <w:i/>
          <w:lang w:val="en-CA"/>
        </w:rPr>
        <w:t>R. c. Dorval</w:t>
      </w:r>
      <w:r w:rsidRPr="00B131F0">
        <w:rPr>
          <w:lang w:val="en-CA"/>
        </w:rPr>
        <w:t xml:space="preserve">, 2010 QCCA 2287, </w:t>
      </w:r>
      <w:r w:rsidR="00B131F0" w:rsidRPr="00B131F0">
        <w:rPr>
          <w:lang w:val="en-CA"/>
        </w:rPr>
        <w:t>para.</w:t>
      </w:r>
      <w:r w:rsidRPr="00B131F0">
        <w:rPr>
          <w:lang w:val="en-CA"/>
        </w:rPr>
        <w:t xml:space="preserve"> 21.</w:t>
      </w:r>
    </w:p>
  </w:footnote>
  <w:footnote w:id="3">
    <w:p w14:paraId="73188124" w14:textId="3EE56D07" w:rsidR="00D727A1" w:rsidRPr="00B131F0" w:rsidRDefault="00276A1F" w:rsidP="00D727A1">
      <w:pPr>
        <w:pStyle w:val="Notedebasdepage"/>
        <w:rPr>
          <w:lang w:val="en-CA"/>
        </w:rPr>
      </w:pPr>
      <w:r w:rsidRPr="00B131F0">
        <w:rPr>
          <w:rStyle w:val="Appelnotedebasdep"/>
          <w:lang w:val="en-CA"/>
        </w:rPr>
        <w:footnoteRef/>
      </w:r>
      <w:r w:rsidRPr="00B131F0">
        <w:rPr>
          <w:lang w:val="en-CA"/>
        </w:rPr>
        <w:t xml:space="preserve"> </w:t>
      </w:r>
      <w:r w:rsidRPr="00B131F0">
        <w:rPr>
          <w:lang w:val="en-CA"/>
        </w:rPr>
        <w:tab/>
      </w:r>
      <w:r w:rsidRPr="00B131F0">
        <w:rPr>
          <w:i/>
          <w:iCs/>
          <w:lang w:val="en-CA"/>
        </w:rPr>
        <w:t xml:space="preserve">R. </w:t>
      </w:r>
      <w:r w:rsidR="00B131F0">
        <w:rPr>
          <w:i/>
          <w:iCs/>
          <w:lang w:val="en-CA"/>
        </w:rPr>
        <w:t>v</w:t>
      </w:r>
      <w:r w:rsidRPr="00B131F0">
        <w:rPr>
          <w:i/>
          <w:iCs/>
          <w:lang w:val="en-CA"/>
        </w:rPr>
        <w:t>. Sheppard</w:t>
      </w:r>
      <w:r w:rsidRPr="00B131F0">
        <w:rPr>
          <w:lang w:val="en-CA"/>
        </w:rPr>
        <w:t xml:space="preserve">, 2002 </w:t>
      </w:r>
      <w:r w:rsidR="00B131F0">
        <w:rPr>
          <w:lang w:val="en-CA"/>
        </w:rPr>
        <w:t>SCC</w:t>
      </w:r>
      <w:r w:rsidRPr="00B131F0">
        <w:rPr>
          <w:lang w:val="en-CA"/>
        </w:rPr>
        <w:t xml:space="preserve"> 26, [2002] 1 </w:t>
      </w:r>
      <w:r w:rsidR="00B131F0" w:rsidRPr="00B131F0">
        <w:rPr>
          <w:lang w:val="en-CA"/>
        </w:rPr>
        <w:t>S.C.R.</w:t>
      </w:r>
      <w:r w:rsidRPr="00B131F0">
        <w:rPr>
          <w:lang w:val="en-CA"/>
        </w:rPr>
        <w:t xml:space="preserve"> 869, </w:t>
      </w:r>
      <w:r w:rsidR="00B131F0" w:rsidRPr="00B131F0">
        <w:rPr>
          <w:lang w:val="en-CA"/>
        </w:rPr>
        <w:t>para.</w:t>
      </w:r>
      <w:r w:rsidRPr="00B131F0">
        <w:rPr>
          <w:lang w:val="en-CA"/>
        </w:rPr>
        <w:t xml:space="preserve"> 33.</w:t>
      </w:r>
    </w:p>
  </w:footnote>
  <w:footnote w:id="4">
    <w:p w14:paraId="7ECB8905" w14:textId="1F5CED8A" w:rsidR="00276A1F" w:rsidRPr="0042137E" w:rsidRDefault="00276A1F" w:rsidP="00187BA6">
      <w:pPr>
        <w:pStyle w:val="Notedebasdepage"/>
        <w:rPr>
          <w:lang w:val="en-CA"/>
        </w:rPr>
      </w:pPr>
      <w:r>
        <w:rPr>
          <w:rStyle w:val="Appelnotedebasdep"/>
        </w:rPr>
        <w:footnoteRef/>
      </w:r>
      <w:r w:rsidRPr="004A4FA5">
        <w:t xml:space="preserve"> </w:t>
      </w:r>
      <w:r w:rsidRPr="004A4FA5">
        <w:tab/>
      </w:r>
      <w:r w:rsidR="0042137E" w:rsidRPr="0042137E">
        <w:rPr>
          <w:lang w:val="en-CA"/>
        </w:rPr>
        <w:t xml:space="preserve">I will comment further below on the drafting of a single </w:t>
      </w:r>
      <w:r w:rsidR="0042137E">
        <w:rPr>
          <w:lang w:val="en-CA"/>
        </w:rPr>
        <w:t>count</w:t>
      </w:r>
      <w:r w:rsidR="0042137E" w:rsidRPr="0042137E">
        <w:rPr>
          <w:lang w:val="en-CA"/>
        </w:rPr>
        <w:t xml:space="preserve"> relating to several separate events</w:t>
      </w:r>
      <w:r w:rsidRPr="0042137E">
        <w:rPr>
          <w:lang w:val="en-CA"/>
        </w:rPr>
        <w:t>.</w:t>
      </w:r>
    </w:p>
  </w:footnote>
  <w:footnote w:id="5">
    <w:p w14:paraId="61548EE8" w14:textId="7B374635" w:rsidR="00276A1F" w:rsidRPr="0042137E" w:rsidRDefault="00276A1F" w:rsidP="00187BA6">
      <w:pPr>
        <w:pStyle w:val="Notedebasdepage"/>
        <w:rPr>
          <w:i/>
          <w:iCs/>
          <w:lang w:val="en-CA"/>
        </w:rPr>
      </w:pPr>
      <w:r w:rsidRPr="0042137E">
        <w:rPr>
          <w:rStyle w:val="Appelnotedebasdep"/>
          <w:lang w:val="en-CA"/>
        </w:rPr>
        <w:footnoteRef/>
      </w:r>
      <w:r w:rsidRPr="0042137E">
        <w:rPr>
          <w:lang w:val="en-CA"/>
        </w:rPr>
        <w:t xml:space="preserve"> </w:t>
      </w:r>
      <w:r w:rsidRPr="0042137E">
        <w:rPr>
          <w:lang w:val="en-CA"/>
        </w:rPr>
        <w:tab/>
      </w:r>
      <w:r w:rsidRPr="0042137E">
        <w:rPr>
          <w:i/>
          <w:iCs/>
          <w:lang w:val="en-CA"/>
        </w:rPr>
        <w:t xml:space="preserve">R. </w:t>
      </w:r>
      <w:r w:rsidR="0042137E">
        <w:rPr>
          <w:i/>
          <w:iCs/>
          <w:lang w:val="en-CA"/>
        </w:rPr>
        <w:t>v</w:t>
      </w:r>
      <w:r w:rsidRPr="0042137E">
        <w:rPr>
          <w:i/>
          <w:iCs/>
          <w:lang w:val="en-CA"/>
        </w:rPr>
        <w:t>. Walker</w:t>
      </w:r>
      <w:r w:rsidRPr="0042137E">
        <w:rPr>
          <w:lang w:val="en-CA"/>
        </w:rPr>
        <w:t xml:space="preserve">, 2008 </w:t>
      </w:r>
      <w:r w:rsidR="00B131F0" w:rsidRPr="0042137E">
        <w:rPr>
          <w:lang w:val="en-CA"/>
        </w:rPr>
        <w:t>SCC</w:t>
      </w:r>
      <w:r w:rsidRPr="0042137E">
        <w:rPr>
          <w:lang w:val="en-CA"/>
        </w:rPr>
        <w:t xml:space="preserve"> 34, [2008] 2 </w:t>
      </w:r>
      <w:r w:rsidR="00B131F0" w:rsidRPr="0042137E">
        <w:rPr>
          <w:lang w:val="en-CA"/>
        </w:rPr>
        <w:t>S.C.R.</w:t>
      </w:r>
      <w:r w:rsidRPr="0042137E">
        <w:rPr>
          <w:lang w:val="en-CA"/>
        </w:rPr>
        <w:t xml:space="preserve"> 245, </w:t>
      </w:r>
      <w:r w:rsidR="00B131F0" w:rsidRPr="0042137E">
        <w:rPr>
          <w:lang w:val="en-CA"/>
        </w:rPr>
        <w:t>para.</w:t>
      </w:r>
      <w:r w:rsidRPr="0042137E">
        <w:rPr>
          <w:lang w:val="en-CA"/>
        </w:rPr>
        <w:t xml:space="preserve"> 22.</w:t>
      </w:r>
    </w:p>
  </w:footnote>
  <w:footnote w:id="6">
    <w:p w14:paraId="03FB517F" w14:textId="77777777" w:rsidR="00276A1F" w:rsidRPr="00EC0FAD" w:rsidRDefault="00276A1F" w:rsidP="00187BA6">
      <w:pPr>
        <w:pStyle w:val="Notedebasdepage"/>
        <w:rPr>
          <w:lang w:val="en-CA"/>
        </w:rPr>
      </w:pPr>
      <w:r w:rsidRPr="0042137E">
        <w:rPr>
          <w:rStyle w:val="Appelnotedebasdep"/>
          <w:lang w:val="en-CA"/>
        </w:rPr>
        <w:footnoteRef/>
      </w:r>
      <w:r w:rsidRPr="0042137E">
        <w:rPr>
          <w:lang w:val="en-CA"/>
        </w:rPr>
        <w:t xml:space="preserve"> </w:t>
      </w:r>
      <w:r w:rsidRPr="0042137E">
        <w:rPr>
          <w:lang w:val="en-CA"/>
        </w:rPr>
        <w:tab/>
      </w:r>
      <w:r w:rsidRPr="0042137E">
        <w:rPr>
          <w:i/>
          <w:iCs/>
          <w:lang w:val="en-CA"/>
        </w:rPr>
        <w:t>Id.</w:t>
      </w:r>
    </w:p>
  </w:footnote>
  <w:footnote w:id="7">
    <w:p w14:paraId="5B72283D" w14:textId="5656CE90" w:rsidR="00276A1F" w:rsidRPr="00677D1D" w:rsidRDefault="00276A1F" w:rsidP="00187BA6">
      <w:pPr>
        <w:pStyle w:val="Notedebasdepage"/>
        <w:rPr>
          <w:lang w:val="en-CA"/>
        </w:rPr>
      </w:pPr>
      <w:r>
        <w:rPr>
          <w:rStyle w:val="Appelnotedebasdep"/>
        </w:rPr>
        <w:footnoteRef/>
      </w:r>
      <w:r w:rsidRPr="00677D1D">
        <w:rPr>
          <w:lang w:val="en-CA"/>
        </w:rPr>
        <w:t xml:space="preserve"> </w:t>
      </w:r>
      <w:r>
        <w:rPr>
          <w:lang w:val="en-CA"/>
        </w:rPr>
        <w:tab/>
      </w:r>
      <w:r w:rsidRPr="00677D1D">
        <w:rPr>
          <w:i/>
          <w:iCs/>
          <w:lang w:val="en-CA"/>
        </w:rPr>
        <w:t xml:space="preserve">R. </w:t>
      </w:r>
      <w:r w:rsidR="009C2F46">
        <w:rPr>
          <w:i/>
          <w:iCs/>
          <w:lang w:val="en-CA"/>
        </w:rPr>
        <w:t>v</w:t>
      </w:r>
      <w:r w:rsidRPr="00677D1D">
        <w:rPr>
          <w:i/>
          <w:iCs/>
          <w:lang w:val="en-CA"/>
        </w:rPr>
        <w:t>. W.(D.)</w:t>
      </w:r>
      <w:r w:rsidRPr="00677D1D">
        <w:rPr>
          <w:lang w:val="en-CA"/>
        </w:rPr>
        <w:t xml:space="preserve">, [1991] 1 </w:t>
      </w:r>
      <w:r w:rsidR="00B131F0">
        <w:rPr>
          <w:lang w:val="en-CA"/>
        </w:rPr>
        <w:t>S.C.R.</w:t>
      </w:r>
      <w:r w:rsidRPr="00677D1D">
        <w:rPr>
          <w:lang w:val="en-CA"/>
        </w:rPr>
        <w:t xml:space="preserve"> 742</w:t>
      </w:r>
      <w:r>
        <w:rPr>
          <w:lang w:val="en-CA"/>
        </w:rPr>
        <w:t>.</w:t>
      </w:r>
    </w:p>
  </w:footnote>
  <w:footnote w:id="8">
    <w:p w14:paraId="457E815B" w14:textId="27B0009D" w:rsidR="00276A1F" w:rsidRPr="00312B74" w:rsidRDefault="00276A1F" w:rsidP="00187BA6">
      <w:pPr>
        <w:pStyle w:val="Notedebasdepage"/>
        <w:rPr>
          <w:lang w:val="en-CA"/>
        </w:rPr>
      </w:pPr>
      <w:r>
        <w:rPr>
          <w:rStyle w:val="Appelnotedebasdep"/>
        </w:rPr>
        <w:footnoteRef/>
      </w:r>
      <w:r w:rsidRPr="00312B74">
        <w:rPr>
          <w:lang w:val="en-CA"/>
        </w:rPr>
        <w:t xml:space="preserve"> </w:t>
      </w:r>
      <w:r>
        <w:rPr>
          <w:lang w:val="en-CA"/>
        </w:rPr>
        <w:tab/>
      </w:r>
      <w:r w:rsidRPr="00312B74">
        <w:rPr>
          <w:i/>
          <w:iCs/>
          <w:lang w:val="en-CA"/>
        </w:rPr>
        <w:t xml:space="preserve">R. </w:t>
      </w:r>
      <w:r w:rsidR="009C2F46">
        <w:rPr>
          <w:i/>
          <w:iCs/>
          <w:lang w:val="en-CA"/>
        </w:rPr>
        <w:t>v</w:t>
      </w:r>
      <w:r w:rsidRPr="00312B74">
        <w:rPr>
          <w:i/>
          <w:iCs/>
          <w:lang w:val="en-CA"/>
        </w:rPr>
        <w:t>. G.F.</w:t>
      </w:r>
      <w:r w:rsidRPr="00312B74">
        <w:rPr>
          <w:lang w:val="en-CA"/>
        </w:rPr>
        <w:t xml:space="preserve">, 2021 </w:t>
      </w:r>
      <w:r w:rsidR="00B131F0">
        <w:rPr>
          <w:lang w:val="en-CA"/>
        </w:rPr>
        <w:t>SCC</w:t>
      </w:r>
      <w:r w:rsidRPr="00312B74">
        <w:rPr>
          <w:lang w:val="en-CA"/>
        </w:rPr>
        <w:t xml:space="preserve"> 20, [2021] 1 </w:t>
      </w:r>
      <w:r w:rsidR="00B131F0">
        <w:rPr>
          <w:lang w:val="en-CA"/>
        </w:rPr>
        <w:t>S.C.R.</w:t>
      </w:r>
      <w:r w:rsidRPr="00312B74">
        <w:rPr>
          <w:lang w:val="en-CA"/>
        </w:rPr>
        <w:t xml:space="preserve"> 801</w:t>
      </w:r>
      <w:r>
        <w:rPr>
          <w:lang w:val="en-CA"/>
        </w:rPr>
        <w:t>.</w:t>
      </w:r>
    </w:p>
  </w:footnote>
  <w:footnote w:id="9">
    <w:p w14:paraId="213547B1" w14:textId="752BD62F" w:rsidR="00276A1F" w:rsidRPr="00312B74" w:rsidRDefault="00276A1F" w:rsidP="00187BA6">
      <w:pPr>
        <w:pStyle w:val="Notedebasdepage"/>
        <w:rPr>
          <w:lang w:val="en-CA"/>
        </w:rPr>
      </w:pPr>
      <w:r>
        <w:rPr>
          <w:rStyle w:val="Appelnotedebasdep"/>
        </w:rPr>
        <w:footnoteRef/>
      </w:r>
      <w:r w:rsidRPr="00312B74">
        <w:rPr>
          <w:lang w:val="en-CA"/>
        </w:rPr>
        <w:t xml:space="preserve"> </w:t>
      </w:r>
      <w:r>
        <w:rPr>
          <w:lang w:val="en-CA"/>
        </w:rPr>
        <w:tab/>
      </w:r>
      <w:r w:rsidRPr="00312B74">
        <w:rPr>
          <w:i/>
          <w:iCs/>
          <w:lang w:val="en-CA"/>
        </w:rPr>
        <w:t xml:space="preserve">R. </w:t>
      </w:r>
      <w:r w:rsidR="009C2F46">
        <w:rPr>
          <w:i/>
          <w:iCs/>
          <w:lang w:val="en-CA"/>
        </w:rPr>
        <w:t>v</w:t>
      </w:r>
      <w:r w:rsidRPr="00312B74">
        <w:rPr>
          <w:i/>
          <w:iCs/>
          <w:lang w:val="en-CA"/>
        </w:rPr>
        <w:t>. J.A.</w:t>
      </w:r>
      <w:r w:rsidRPr="00312B74">
        <w:rPr>
          <w:lang w:val="en-CA"/>
        </w:rPr>
        <w:t xml:space="preserve">, 2011 </w:t>
      </w:r>
      <w:r w:rsidR="00B131F0">
        <w:rPr>
          <w:lang w:val="en-CA"/>
        </w:rPr>
        <w:t>SCC</w:t>
      </w:r>
      <w:r w:rsidRPr="00312B74">
        <w:rPr>
          <w:lang w:val="en-CA"/>
        </w:rPr>
        <w:t xml:space="preserve"> 28, [2011] 2 </w:t>
      </w:r>
      <w:r w:rsidR="00B131F0">
        <w:rPr>
          <w:lang w:val="en-CA"/>
        </w:rPr>
        <w:t>S.C.R.</w:t>
      </w:r>
      <w:r w:rsidRPr="00312B74">
        <w:rPr>
          <w:lang w:val="en-CA"/>
        </w:rPr>
        <w:t xml:space="preserve"> 440</w:t>
      </w:r>
      <w:r>
        <w:rPr>
          <w:lang w:val="en-CA"/>
        </w:rPr>
        <w:t>.</w:t>
      </w:r>
    </w:p>
  </w:footnote>
  <w:footnote w:id="10">
    <w:p w14:paraId="140C1DA8" w14:textId="70C3C20A" w:rsidR="00276A1F" w:rsidRPr="00CB0772" w:rsidRDefault="00276A1F" w:rsidP="00187BA6">
      <w:pPr>
        <w:pStyle w:val="Notedebasdepage"/>
        <w:rPr>
          <w:lang w:val="en-CA"/>
        </w:rPr>
      </w:pPr>
      <w:r>
        <w:rPr>
          <w:rStyle w:val="Appelnotedebasdep"/>
        </w:rPr>
        <w:footnoteRef/>
      </w:r>
      <w:r w:rsidRPr="00CB0772">
        <w:rPr>
          <w:lang w:val="en-CA"/>
        </w:rPr>
        <w:t xml:space="preserve"> </w:t>
      </w:r>
      <w:r w:rsidRPr="00CB0772">
        <w:rPr>
          <w:lang w:val="en-CA"/>
        </w:rPr>
        <w:tab/>
      </w:r>
      <w:r w:rsidRPr="00CB0772">
        <w:rPr>
          <w:i/>
          <w:iCs/>
          <w:lang w:val="en-CA"/>
        </w:rPr>
        <w:t xml:space="preserve">R. </w:t>
      </w:r>
      <w:r w:rsidR="009C2F46">
        <w:rPr>
          <w:i/>
          <w:iCs/>
          <w:lang w:val="en-CA"/>
        </w:rPr>
        <w:t>v</w:t>
      </w:r>
      <w:r w:rsidRPr="00CB0772">
        <w:rPr>
          <w:i/>
          <w:iCs/>
          <w:lang w:val="en-CA"/>
        </w:rPr>
        <w:t>. Ewanchuk</w:t>
      </w:r>
      <w:r w:rsidRPr="00CB0772">
        <w:rPr>
          <w:lang w:val="en-CA"/>
        </w:rPr>
        <w:t xml:space="preserve">, [1999] 1 </w:t>
      </w:r>
      <w:r w:rsidR="00B131F0">
        <w:rPr>
          <w:lang w:val="en-CA"/>
        </w:rPr>
        <w:t>S.C.R.</w:t>
      </w:r>
      <w:r w:rsidRPr="00CB0772">
        <w:rPr>
          <w:lang w:val="en-CA"/>
        </w:rPr>
        <w:t xml:space="preserve"> 330</w:t>
      </w:r>
      <w:r>
        <w:rPr>
          <w:lang w:val="en-CA"/>
        </w:rPr>
        <w:t>.</w:t>
      </w:r>
    </w:p>
  </w:footnote>
  <w:footnote w:id="11">
    <w:p w14:paraId="2FDA6D08" w14:textId="00FD4D65" w:rsidR="00276A1F" w:rsidRDefault="00276A1F" w:rsidP="00187BA6">
      <w:pPr>
        <w:pStyle w:val="Notedebasdepage"/>
      </w:pPr>
      <w:r>
        <w:rPr>
          <w:rStyle w:val="Appelnotedebasdep"/>
        </w:rPr>
        <w:footnoteRef/>
      </w:r>
      <w:r>
        <w:t xml:space="preserve"> </w:t>
      </w:r>
      <w:r>
        <w:tab/>
      </w:r>
      <w:r w:rsidRPr="006D4010">
        <w:rPr>
          <w:i/>
          <w:iCs/>
        </w:rPr>
        <w:t xml:space="preserve">Endean </w:t>
      </w:r>
      <w:r w:rsidR="00AF03E4">
        <w:rPr>
          <w:i/>
          <w:iCs/>
        </w:rPr>
        <w:t>v</w:t>
      </w:r>
      <w:r w:rsidRPr="006D4010">
        <w:rPr>
          <w:i/>
          <w:iCs/>
        </w:rPr>
        <w:t xml:space="preserve">. </w:t>
      </w:r>
      <w:r w:rsidR="00AF03E4">
        <w:rPr>
          <w:i/>
          <w:iCs/>
        </w:rPr>
        <w:t>British Columbia</w:t>
      </w:r>
      <w:r w:rsidRPr="006D4010">
        <w:t xml:space="preserve">, 2016 </w:t>
      </w:r>
      <w:r w:rsidR="00B131F0">
        <w:t>SCC</w:t>
      </w:r>
      <w:r w:rsidRPr="006D4010">
        <w:t xml:space="preserve"> 42, [2016] 2 </w:t>
      </w:r>
      <w:r w:rsidR="00B131F0">
        <w:t>S.C.R.</w:t>
      </w:r>
      <w:r w:rsidRPr="006D4010">
        <w:t xml:space="preserve"> 162</w:t>
      </w:r>
      <w:r>
        <w:t xml:space="preserve">, </w:t>
      </w:r>
      <w:r w:rsidR="00B131F0">
        <w:t>para.</w:t>
      </w:r>
      <w:r>
        <w:t xml:space="preserve"> 66.</w:t>
      </w:r>
    </w:p>
  </w:footnote>
  <w:footnote w:id="12">
    <w:p w14:paraId="69958BD1" w14:textId="462BAAE9" w:rsidR="00276A1F" w:rsidRPr="00157F4D" w:rsidRDefault="00276A1F" w:rsidP="00187BA6">
      <w:pPr>
        <w:pStyle w:val="Notedebasdepage"/>
        <w:rPr>
          <w:lang w:val="en-CA"/>
        </w:rPr>
      </w:pPr>
      <w:r>
        <w:rPr>
          <w:rStyle w:val="Appelnotedebasdep"/>
        </w:rPr>
        <w:footnoteRef/>
      </w:r>
      <w:r w:rsidRPr="00157F4D">
        <w:rPr>
          <w:lang w:val="en-CA"/>
        </w:rPr>
        <w:t xml:space="preserve"> </w:t>
      </w:r>
      <w:r w:rsidRPr="00157F4D">
        <w:rPr>
          <w:lang w:val="en-CA"/>
        </w:rPr>
        <w:tab/>
      </w:r>
      <w:r w:rsidRPr="00157F4D">
        <w:rPr>
          <w:i/>
          <w:iCs/>
          <w:lang w:val="en-CA"/>
        </w:rPr>
        <w:t xml:space="preserve">R. </w:t>
      </w:r>
      <w:r w:rsidR="00AF03E4">
        <w:rPr>
          <w:i/>
          <w:iCs/>
          <w:lang w:val="en-CA"/>
        </w:rPr>
        <w:t>v</w:t>
      </w:r>
      <w:r w:rsidRPr="00157F4D">
        <w:rPr>
          <w:i/>
          <w:iCs/>
          <w:lang w:val="en-CA"/>
        </w:rPr>
        <w:t>. Sheppard</w:t>
      </w:r>
      <w:r w:rsidRPr="00157F4D">
        <w:rPr>
          <w:lang w:val="en-CA"/>
        </w:rPr>
        <w:t xml:space="preserve">, 2002 </w:t>
      </w:r>
      <w:r w:rsidR="00B131F0">
        <w:rPr>
          <w:lang w:val="en-CA"/>
        </w:rPr>
        <w:t>SCC</w:t>
      </w:r>
      <w:r w:rsidRPr="00157F4D">
        <w:rPr>
          <w:lang w:val="en-CA"/>
        </w:rPr>
        <w:t xml:space="preserve"> 26, [2002] 1 </w:t>
      </w:r>
      <w:r w:rsidR="00B131F0">
        <w:rPr>
          <w:lang w:val="en-CA"/>
        </w:rPr>
        <w:t>S.C.R.</w:t>
      </w:r>
      <w:r w:rsidRPr="00157F4D">
        <w:rPr>
          <w:lang w:val="en-CA"/>
        </w:rPr>
        <w:t xml:space="preserve"> 869.</w:t>
      </w:r>
    </w:p>
  </w:footnote>
  <w:footnote w:id="13">
    <w:p w14:paraId="2921CECF" w14:textId="095F111F" w:rsidR="00276A1F" w:rsidRPr="00900AAD" w:rsidRDefault="00276A1F" w:rsidP="00187BA6">
      <w:pPr>
        <w:pStyle w:val="Notedebasdepage"/>
      </w:pPr>
      <w:r>
        <w:rPr>
          <w:rStyle w:val="Appelnotedebasdep"/>
        </w:rPr>
        <w:footnoteRef/>
      </w:r>
      <w:r w:rsidRPr="00AE4A89">
        <w:t xml:space="preserve"> </w:t>
      </w:r>
      <w:r w:rsidRPr="00AE4A89">
        <w:tab/>
      </w:r>
      <w:r>
        <w:rPr>
          <w:i/>
          <w:iCs/>
        </w:rPr>
        <w:t>Id.</w:t>
      </w:r>
      <w:r w:rsidRPr="00AE4A89">
        <w:t xml:space="preserve">, </w:t>
      </w:r>
      <w:r w:rsidR="00B131F0">
        <w:t>para.</w:t>
      </w:r>
      <w:r w:rsidRPr="00AE4A89">
        <w:t xml:space="preserve"> 55.</w:t>
      </w:r>
    </w:p>
  </w:footnote>
  <w:footnote w:id="14">
    <w:p w14:paraId="110794AC" w14:textId="3F5BBDB3" w:rsidR="00276A1F" w:rsidRPr="001B1995" w:rsidRDefault="00276A1F" w:rsidP="00187BA6">
      <w:pPr>
        <w:pStyle w:val="Notedebasdepage"/>
      </w:pPr>
      <w:r>
        <w:rPr>
          <w:rStyle w:val="Appelnotedebasdep"/>
        </w:rPr>
        <w:footnoteRef/>
      </w:r>
      <w:r>
        <w:t xml:space="preserve"> </w:t>
      </w:r>
      <w:r>
        <w:tab/>
      </w:r>
      <w:r w:rsidRPr="007D4DC3">
        <w:rPr>
          <w:i/>
          <w:iCs/>
        </w:rPr>
        <w:t xml:space="preserve">R. </w:t>
      </w:r>
      <w:r w:rsidR="00AF03E4">
        <w:rPr>
          <w:i/>
          <w:iCs/>
        </w:rPr>
        <w:t>v</w:t>
      </w:r>
      <w:r w:rsidRPr="007D4DC3">
        <w:rPr>
          <w:i/>
          <w:iCs/>
        </w:rPr>
        <w:t>. Braich</w:t>
      </w:r>
      <w:r w:rsidRPr="00967B8A">
        <w:t xml:space="preserve">, 2002 </w:t>
      </w:r>
      <w:r w:rsidR="00B131F0">
        <w:t>SCC</w:t>
      </w:r>
      <w:r w:rsidRPr="00967B8A">
        <w:t xml:space="preserve"> 27, [2002] 1 </w:t>
      </w:r>
      <w:r w:rsidR="00B131F0">
        <w:t>S.C.R.</w:t>
      </w:r>
      <w:r w:rsidRPr="00967B8A">
        <w:t xml:space="preserve"> 903</w:t>
      </w:r>
      <w:r>
        <w:t xml:space="preserve">, </w:t>
      </w:r>
      <w:r w:rsidR="00B131F0">
        <w:t>para.</w:t>
      </w:r>
      <w:r>
        <w:t xml:space="preserve"> 29.</w:t>
      </w:r>
    </w:p>
  </w:footnote>
  <w:footnote w:id="15">
    <w:p w14:paraId="6ADF4A2C" w14:textId="7EB8C058" w:rsidR="00276A1F" w:rsidRDefault="00276A1F" w:rsidP="00187BA6">
      <w:pPr>
        <w:pStyle w:val="Notedebasdepage"/>
      </w:pPr>
      <w:r>
        <w:rPr>
          <w:rStyle w:val="Appelnotedebasdep"/>
        </w:rPr>
        <w:footnoteRef/>
      </w:r>
      <w:r>
        <w:t xml:space="preserve"> </w:t>
      </w:r>
      <w:r>
        <w:tab/>
      </w:r>
      <w:r w:rsidRPr="00BD1B4E">
        <w:rPr>
          <w:i/>
          <w:iCs/>
        </w:rPr>
        <w:t>Lessard c. R.</w:t>
      </w:r>
      <w:r w:rsidRPr="00BD1B4E">
        <w:t>, 2022 QCCA 1396</w:t>
      </w:r>
      <w:r>
        <w:t xml:space="preserve">, </w:t>
      </w:r>
      <w:r w:rsidR="00B131F0">
        <w:t>para.</w:t>
      </w:r>
      <w:r>
        <w:t xml:space="preserve"> 21.</w:t>
      </w:r>
    </w:p>
  </w:footnote>
  <w:footnote w:id="16">
    <w:p w14:paraId="132D62F6" w14:textId="7AD081CD" w:rsidR="00276A1F" w:rsidRDefault="00276A1F" w:rsidP="00187BA6">
      <w:pPr>
        <w:pStyle w:val="Notedebasdepage"/>
      </w:pPr>
      <w:r>
        <w:rPr>
          <w:rStyle w:val="Appelnotedebasdep"/>
        </w:rPr>
        <w:footnoteRef/>
      </w:r>
      <w:r>
        <w:t xml:space="preserve"> </w:t>
      </w:r>
      <w:r>
        <w:tab/>
      </w:r>
      <w:r w:rsidRPr="0022592E">
        <w:t>2015 QCCA 39</w:t>
      </w:r>
      <w:r>
        <w:t xml:space="preserve">, </w:t>
      </w:r>
      <w:r w:rsidR="00B131F0">
        <w:t>para.</w:t>
      </w:r>
      <w:r>
        <w:t xml:space="preserve"> 3.</w:t>
      </w:r>
    </w:p>
  </w:footnote>
  <w:footnote w:id="17">
    <w:p w14:paraId="4F3A3D46" w14:textId="77777777" w:rsidR="00276A1F" w:rsidRPr="000F45B6" w:rsidRDefault="00276A1F" w:rsidP="00187BA6">
      <w:pPr>
        <w:pStyle w:val="Notedebasdepage"/>
      </w:pPr>
      <w:r>
        <w:rPr>
          <w:rStyle w:val="Appelnotedebasdep"/>
        </w:rPr>
        <w:footnoteRef/>
      </w:r>
      <w:r>
        <w:t xml:space="preserve"> </w:t>
      </w:r>
      <w:r>
        <w:tab/>
      </w:r>
      <w:r>
        <w:rPr>
          <w:i/>
          <w:iCs/>
        </w:rPr>
        <w:t>Lessard c. R.</w:t>
      </w:r>
      <w:r>
        <w:t>, 2022 QCCA 1396.</w:t>
      </w:r>
    </w:p>
  </w:footnote>
  <w:footnote w:id="18">
    <w:p w14:paraId="084D9255" w14:textId="1B808745" w:rsidR="00276A1F" w:rsidRDefault="00276A1F" w:rsidP="00187BA6">
      <w:pPr>
        <w:pStyle w:val="Notedebasdepage"/>
      </w:pPr>
      <w:r>
        <w:rPr>
          <w:rStyle w:val="Appelnotedebasdep"/>
        </w:rPr>
        <w:footnoteRef/>
      </w:r>
      <w:r>
        <w:t xml:space="preserve"> </w:t>
      </w:r>
      <w:r>
        <w:tab/>
      </w:r>
      <w:r w:rsidRPr="002F64AC">
        <w:rPr>
          <w:i/>
          <w:iCs/>
        </w:rPr>
        <w:t xml:space="preserve">R. </w:t>
      </w:r>
      <w:r w:rsidR="00F90A78">
        <w:rPr>
          <w:i/>
          <w:iCs/>
        </w:rPr>
        <w:t>v</w:t>
      </w:r>
      <w:r w:rsidRPr="002F64AC">
        <w:rPr>
          <w:i/>
          <w:iCs/>
        </w:rPr>
        <w:t>. Burns</w:t>
      </w:r>
      <w:r w:rsidRPr="002F64AC">
        <w:t xml:space="preserve">, [1994] 1 </w:t>
      </w:r>
      <w:r w:rsidR="00B131F0">
        <w:t>S.C.R.</w:t>
      </w:r>
      <w:r w:rsidRPr="002F64AC">
        <w:t xml:space="preserve"> 656</w:t>
      </w:r>
      <w:r>
        <w:t>, p</w:t>
      </w:r>
      <w:r w:rsidR="00F90A78">
        <w:t>p</w:t>
      </w:r>
      <w:r>
        <w:t xml:space="preserve">. 664-665; </w:t>
      </w:r>
      <w:r w:rsidRPr="007F4AAF">
        <w:rPr>
          <w:i/>
          <w:iCs/>
        </w:rPr>
        <w:t xml:space="preserve">R. </w:t>
      </w:r>
      <w:r w:rsidR="00F90A78">
        <w:rPr>
          <w:i/>
          <w:iCs/>
        </w:rPr>
        <w:t>v</w:t>
      </w:r>
      <w:r w:rsidRPr="007F4AAF">
        <w:rPr>
          <w:i/>
          <w:iCs/>
        </w:rPr>
        <w:t>. G.F.</w:t>
      </w:r>
      <w:r w:rsidRPr="007F4AAF">
        <w:t xml:space="preserve">, 2021 </w:t>
      </w:r>
      <w:r w:rsidR="00B131F0">
        <w:t>SCC</w:t>
      </w:r>
      <w:r w:rsidRPr="007F4AAF">
        <w:t xml:space="preserve"> 20, [2021] 1 </w:t>
      </w:r>
      <w:r w:rsidR="00B131F0">
        <w:t>S.C.R.</w:t>
      </w:r>
      <w:r w:rsidRPr="007F4AAF">
        <w:t xml:space="preserve"> 801</w:t>
      </w:r>
      <w:r>
        <w:t xml:space="preserve">, </w:t>
      </w:r>
      <w:r w:rsidR="00B131F0">
        <w:t>para.</w:t>
      </w:r>
      <w:r>
        <w:t xml:space="preserve"> 74.</w:t>
      </w:r>
    </w:p>
  </w:footnote>
  <w:footnote w:id="19">
    <w:p w14:paraId="22F36993" w14:textId="11649E4D" w:rsidR="00276A1F" w:rsidRPr="00DA1CE7" w:rsidRDefault="00276A1F" w:rsidP="00187BA6">
      <w:pPr>
        <w:pStyle w:val="Notedebasdepage"/>
      </w:pPr>
      <w:r>
        <w:rPr>
          <w:rStyle w:val="Appelnotedebasdep"/>
        </w:rPr>
        <w:footnoteRef/>
      </w:r>
      <w:r w:rsidRPr="00DA1CE7">
        <w:t xml:space="preserve"> </w:t>
      </w:r>
      <w:r w:rsidRPr="00DA1CE7">
        <w:tab/>
      </w:r>
      <w:r w:rsidRPr="00DA1CE7">
        <w:rPr>
          <w:i/>
          <w:iCs/>
        </w:rPr>
        <w:t xml:space="preserve">R. </w:t>
      </w:r>
      <w:r w:rsidR="00F90A78">
        <w:rPr>
          <w:i/>
          <w:iCs/>
        </w:rPr>
        <w:t>v</w:t>
      </w:r>
      <w:r w:rsidRPr="00DA1CE7">
        <w:rPr>
          <w:i/>
          <w:iCs/>
        </w:rPr>
        <w:t>. Sheppard</w:t>
      </w:r>
      <w:r w:rsidRPr="00DA1CE7">
        <w:t xml:space="preserve">, 2002 </w:t>
      </w:r>
      <w:r w:rsidR="00B131F0">
        <w:t>SCC</w:t>
      </w:r>
      <w:r w:rsidRPr="00DA1CE7">
        <w:t xml:space="preserve"> 26, [2002] 1 </w:t>
      </w:r>
      <w:r w:rsidR="00B131F0">
        <w:t>S.C.R.</w:t>
      </w:r>
      <w:r w:rsidRPr="00DA1CE7">
        <w:t xml:space="preserve"> 869, </w:t>
      </w:r>
      <w:r w:rsidR="00B131F0">
        <w:t>para.</w:t>
      </w:r>
      <w:r w:rsidRPr="00DA1CE7">
        <w:t xml:space="preserve"> </w:t>
      </w:r>
      <w:r>
        <w:t xml:space="preserve">35 </w:t>
      </w:r>
      <w:r w:rsidRPr="00770AE1">
        <w:t>[</w:t>
      </w:r>
      <w:r w:rsidR="00F90A78">
        <w:t>italics added</w:t>
      </w:r>
      <w:r w:rsidRPr="00770AE1">
        <w:t>]</w:t>
      </w:r>
      <w:r>
        <w:t>.</w:t>
      </w:r>
    </w:p>
  </w:footnote>
  <w:footnote w:id="20">
    <w:p w14:paraId="6F25E3B2" w14:textId="5FC57742" w:rsidR="00276A1F" w:rsidRDefault="00276A1F" w:rsidP="00187BA6">
      <w:pPr>
        <w:pStyle w:val="Notedebasdepage"/>
      </w:pPr>
      <w:r>
        <w:rPr>
          <w:rStyle w:val="Appelnotedebasdep"/>
        </w:rPr>
        <w:footnoteRef/>
      </w:r>
      <w:r>
        <w:t xml:space="preserve"> </w:t>
      </w:r>
      <w:r>
        <w:tab/>
      </w:r>
      <w:r w:rsidRPr="00B767B8">
        <w:rPr>
          <w:i/>
          <w:iCs/>
        </w:rPr>
        <w:t xml:space="preserve">R. </w:t>
      </w:r>
      <w:r w:rsidR="00F90A78">
        <w:rPr>
          <w:i/>
          <w:iCs/>
        </w:rPr>
        <w:t>v</w:t>
      </w:r>
      <w:r w:rsidRPr="00B767B8">
        <w:rPr>
          <w:i/>
          <w:iCs/>
        </w:rPr>
        <w:t>. Araujo</w:t>
      </w:r>
      <w:r w:rsidRPr="00B767B8">
        <w:t xml:space="preserve">, </w:t>
      </w:r>
      <w:r>
        <w:t xml:space="preserve">2000 </w:t>
      </w:r>
      <w:r w:rsidR="00B131F0">
        <w:t>SCC</w:t>
      </w:r>
      <w:r>
        <w:t xml:space="preserve"> 65, </w:t>
      </w:r>
      <w:r w:rsidRPr="00B767B8">
        <w:t xml:space="preserve">[2000] 2 </w:t>
      </w:r>
      <w:r w:rsidR="00B131F0">
        <w:t>S.C.R.</w:t>
      </w:r>
      <w:r w:rsidRPr="00B767B8">
        <w:t xml:space="preserve"> 992</w:t>
      </w:r>
      <w:r>
        <w:t xml:space="preserve">, </w:t>
      </w:r>
      <w:r w:rsidR="00B131F0">
        <w:t>para.</w:t>
      </w:r>
      <w:r>
        <w:t xml:space="preserve"> 46.</w:t>
      </w:r>
    </w:p>
  </w:footnote>
  <w:footnote w:id="21">
    <w:p w14:paraId="1B9D25D1" w14:textId="16903988" w:rsidR="00276A1F" w:rsidRDefault="00276A1F" w:rsidP="00187BA6">
      <w:pPr>
        <w:pStyle w:val="Notedebasdepage"/>
      </w:pPr>
      <w:r>
        <w:rPr>
          <w:rStyle w:val="Appelnotedebasdep"/>
        </w:rPr>
        <w:footnoteRef/>
      </w:r>
      <w:r>
        <w:t xml:space="preserve"> </w:t>
      </w:r>
      <w:r>
        <w:tab/>
      </w:r>
      <w:r w:rsidRPr="00B2704F">
        <w:rPr>
          <w:i/>
        </w:rPr>
        <w:t xml:space="preserve">R. </w:t>
      </w:r>
      <w:r w:rsidR="00F90A78">
        <w:rPr>
          <w:i/>
        </w:rPr>
        <w:t>v</w:t>
      </w:r>
      <w:r w:rsidRPr="00B2704F">
        <w:rPr>
          <w:i/>
        </w:rPr>
        <w:t>. R.E.M</w:t>
      </w:r>
      <w:r w:rsidRPr="00B2704F">
        <w:t xml:space="preserve">., 2008 </w:t>
      </w:r>
      <w:r w:rsidR="00B131F0">
        <w:t>SCC</w:t>
      </w:r>
      <w:r w:rsidRPr="00B2704F">
        <w:t xml:space="preserve"> 51, [2008] 3 </w:t>
      </w:r>
      <w:r w:rsidR="00B131F0">
        <w:t>S.C.R.</w:t>
      </w:r>
      <w:r w:rsidRPr="00B2704F">
        <w:t xml:space="preserve"> 3, </w:t>
      </w:r>
      <w:r w:rsidR="00B131F0">
        <w:t>para.</w:t>
      </w:r>
      <w:r w:rsidRPr="00B2704F">
        <w:t xml:space="preserve"> 50.</w:t>
      </w:r>
    </w:p>
  </w:footnote>
  <w:footnote w:id="22">
    <w:p w14:paraId="76C08A08" w14:textId="6EAC1651" w:rsidR="00276A1F" w:rsidRPr="00CA003F" w:rsidRDefault="00276A1F" w:rsidP="00187BA6">
      <w:pPr>
        <w:pStyle w:val="Notedebasdepage"/>
      </w:pPr>
      <w:r>
        <w:rPr>
          <w:rStyle w:val="Appelnotedebasdep"/>
        </w:rPr>
        <w:footnoteRef/>
      </w:r>
      <w:r w:rsidRPr="00CA003F">
        <w:t xml:space="preserve"> </w:t>
      </w:r>
      <w:r w:rsidRPr="00CA003F">
        <w:tab/>
      </w:r>
      <w:r>
        <w:rPr>
          <w:i/>
          <w:iCs/>
        </w:rPr>
        <w:t>Id</w:t>
      </w:r>
      <w:r w:rsidRPr="00CA003F">
        <w:rPr>
          <w:i/>
          <w:iCs/>
        </w:rPr>
        <w:t>.</w:t>
      </w:r>
      <w:r>
        <w:t>,</w:t>
      </w:r>
      <w:r w:rsidRPr="00CA003F">
        <w:t xml:space="preserve"> </w:t>
      </w:r>
      <w:r w:rsidR="00B131F0">
        <w:t>para.</w:t>
      </w:r>
      <w:r w:rsidRPr="00CA003F">
        <w:t xml:space="preserve"> 51.</w:t>
      </w:r>
    </w:p>
  </w:footnote>
  <w:footnote w:id="23">
    <w:p w14:paraId="537C3D35" w14:textId="46E4F498" w:rsidR="00276A1F" w:rsidRPr="00AD4FBD" w:rsidRDefault="00276A1F" w:rsidP="00187BA6">
      <w:pPr>
        <w:pStyle w:val="Notedebasdepage"/>
        <w:rPr>
          <w:lang w:val="en-CA"/>
        </w:rPr>
      </w:pPr>
      <w:r>
        <w:rPr>
          <w:rStyle w:val="Appelnotedebasdep"/>
        </w:rPr>
        <w:footnoteRef/>
      </w:r>
      <w:r>
        <w:t xml:space="preserve"> </w:t>
      </w:r>
      <w:r>
        <w:tab/>
      </w:r>
      <w:r w:rsidRPr="00AD4FBD">
        <w:rPr>
          <w:i/>
          <w:iCs/>
          <w:lang w:val="en-CA"/>
        </w:rPr>
        <w:t>Id.</w:t>
      </w:r>
      <w:r w:rsidRPr="00AD4FBD">
        <w:rPr>
          <w:lang w:val="en-CA"/>
        </w:rPr>
        <w:t xml:space="preserve">, </w:t>
      </w:r>
      <w:r w:rsidR="00B131F0" w:rsidRPr="00AD4FBD">
        <w:rPr>
          <w:lang w:val="en-CA"/>
        </w:rPr>
        <w:t>para.</w:t>
      </w:r>
      <w:r w:rsidRPr="00AD4FBD">
        <w:rPr>
          <w:lang w:val="en-CA"/>
        </w:rPr>
        <w:t xml:space="preserve"> 44. </w:t>
      </w:r>
      <w:r w:rsidR="00AD4FBD" w:rsidRPr="00AD4FBD">
        <w:rPr>
          <w:lang w:val="en-CA"/>
        </w:rPr>
        <w:t>See also</w:t>
      </w:r>
      <w:r w:rsidRPr="00AD4FBD">
        <w:rPr>
          <w:lang w:val="en-CA"/>
        </w:rPr>
        <w:t xml:space="preserve"> </w:t>
      </w:r>
      <w:bookmarkStart w:id="16" w:name="_Hlk190095911"/>
      <w:r w:rsidRPr="00AD4FBD">
        <w:rPr>
          <w:i/>
          <w:iCs/>
          <w:lang w:val="en-CA"/>
        </w:rPr>
        <w:t xml:space="preserve">R. </w:t>
      </w:r>
      <w:r w:rsidR="00AD4FBD" w:rsidRPr="00AD4FBD">
        <w:rPr>
          <w:i/>
          <w:iCs/>
          <w:lang w:val="en-CA"/>
        </w:rPr>
        <w:t>v</w:t>
      </w:r>
      <w:r w:rsidRPr="00AD4FBD">
        <w:rPr>
          <w:i/>
          <w:iCs/>
          <w:lang w:val="en-CA"/>
        </w:rPr>
        <w:t>. Dinardo</w:t>
      </w:r>
      <w:r w:rsidRPr="00AD4FBD">
        <w:rPr>
          <w:lang w:val="en-CA"/>
        </w:rPr>
        <w:t xml:space="preserve">, 2008 </w:t>
      </w:r>
      <w:r w:rsidR="00B131F0" w:rsidRPr="00AD4FBD">
        <w:rPr>
          <w:lang w:val="en-CA"/>
        </w:rPr>
        <w:t>SCC</w:t>
      </w:r>
      <w:r w:rsidRPr="00AD4FBD">
        <w:rPr>
          <w:lang w:val="en-CA"/>
        </w:rPr>
        <w:t xml:space="preserve"> 24,</w:t>
      </w:r>
      <w:bookmarkEnd w:id="16"/>
      <w:r w:rsidRPr="00AD4FBD">
        <w:rPr>
          <w:lang w:val="en-CA"/>
        </w:rPr>
        <w:t xml:space="preserve"> [2008] 1 </w:t>
      </w:r>
      <w:r w:rsidR="00B131F0" w:rsidRPr="00AD4FBD">
        <w:rPr>
          <w:lang w:val="en-CA"/>
        </w:rPr>
        <w:t>S.C.R.</w:t>
      </w:r>
      <w:r w:rsidRPr="00AD4FBD">
        <w:rPr>
          <w:lang w:val="en-CA"/>
        </w:rPr>
        <w:t xml:space="preserve"> 788, </w:t>
      </w:r>
      <w:r w:rsidR="00B131F0" w:rsidRPr="00AD4FBD">
        <w:rPr>
          <w:lang w:val="en-CA"/>
        </w:rPr>
        <w:t>para.</w:t>
      </w:r>
      <w:r w:rsidRPr="00AD4FBD">
        <w:rPr>
          <w:lang w:val="en-CA"/>
        </w:rPr>
        <w:t xml:space="preserve"> 27.</w:t>
      </w:r>
    </w:p>
  </w:footnote>
  <w:footnote w:id="24">
    <w:p w14:paraId="6044EE19" w14:textId="786FF696" w:rsidR="00276A1F" w:rsidRPr="00AD4FBD" w:rsidRDefault="00276A1F" w:rsidP="00187BA6">
      <w:pPr>
        <w:pStyle w:val="Notedebasdepage"/>
        <w:rPr>
          <w:lang w:val="en-CA"/>
        </w:rPr>
      </w:pPr>
      <w:r w:rsidRPr="00AD4FBD">
        <w:rPr>
          <w:rStyle w:val="Appelnotedebasdep"/>
          <w:lang w:val="en-CA"/>
        </w:rPr>
        <w:footnoteRef/>
      </w:r>
      <w:r w:rsidRPr="00AD4FBD">
        <w:rPr>
          <w:lang w:val="en-CA"/>
        </w:rPr>
        <w:t xml:space="preserve"> </w:t>
      </w:r>
      <w:r w:rsidRPr="00AD4FBD">
        <w:rPr>
          <w:lang w:val="en-CA"/>
        </w:rPr>
        <w:tab/>
      </w:r>
      <w:r w:rsidR="00AD4FBD" w:rsidRPr="00AD4FBD">
        <w:rPr>
          <w:i/>
          <w:iCs/>
          <w:lang w:val="en-CA"/>
        </w:rPr>
        <w:t>Yukon Francophone School Board, Education Area #23</w:t>
      </w:r>
      <w:r w:rsidR="00AD4FBD">
        <w:rPr>
          <w:i/>
          <w:iCs/>
          <w:lang w:val="en-CA"/>
        </w:rPr>
        <w:t xml:space="preserve"> v</w:t>
      </w:r>
      <w:r w:rsidRPr="00AD4FBD">
        <w:rPr>
          <w:i/>
          <w:iCs/>
          <w:lang w:val="en-CA"/>
        </w:rPr>
        <w:t>. Yukon (</w:t>
      </w:r>
      <w:r w:rsidR="00AD4FBD">
        <w:rPr>
          <w:i/>
          <w:iCs/>
          <w:lang w:val="en-CA"/>
        </w:rPr>
        <w:t>Attorney General</w:t>
      </w:r>
      <w:r w:rsidRPr="00AD4FBD">
        <w:rPr>
          <w:i/>
          <w:iCs/>
          <w:lang w:val="en-CA"/>
        </w:rPr>
        <w:t>)</w:t>
      </w:r>
      <w:r w:rsidRPr="00AD4FBD">
        <w:rPr>
          <w:lang w:val="en-CA"/>
        </w:rPr>
        <w:t>, 2015 </w:t>
      </w:r>
      <w:r w:rsidR="00B131F0" w:rsidRPr="00AD4FBD">
        <w:rPr>
          <w:lang w:val="en-CA"/>
        </w:rPr>
        <w:t>SCC</w:t>
      </w:r>
      <w:r w:rsidRPr="00AD4FBD">
        <w:rPr>
          <w:lang w:val="en-CA"/>
        </w:rPr>
        <w:t xml:space="preserve"> 25, [2015] 2 </w:t>
      </w:r>
      <w:r w:rsidR="00B131F0" w:rsidRPr="00AD4FBD">
        <w:rPr>
          <w:lang w:val="en-CA"/>
        </w:rPr>
        <w:t>S.C.R.</w:t>
      </w:r>
      <w:r w:rsidRPr="00AD4FBD">
        <w:rPr>
          <w:lang w:val="en-CA"/>
        </w:rPr>
        <w:t xml:space="preserve"> 282, </w:t>
      </w:r>
      <w:r w:rsidR="00B131F0" w:rsidRPr="00AD4FBD">
        <w:rPr>
          <w:lang w:val="en-CA"/>
        </w:rPr>
        <w:t>para.</w:t>
      </w:r>
      <w:r w:rsidRPr="00AD4FBD">
        <w:rPr>
          <w:lang w:val="en-CA"/>
        </w:rPr>
        <w:t xml:space="preserve"> 22.</w:t>
      </w:r>
    </w:p>
  </w:footnote>
  <w:footnote w:id="25">
    <w:p w14:paraId="4F6F18BC" w14:textId="7C0F0908" w:rsidR="00276A1F" w:rsidRPr="00AD4FBD" w:rsidRDefault="00276A1F" w:rsidP="00187BA6">
      <w:pPr>
        <w:pStyle w:val="Notedebasdepage"/>
        <w:rPr>
          <w:lang w:val="en-CA"/>
        </w:rPr>
      </w:pPr>
      <w:r w:rsidRPr="00AD4FBD">
        <w:rPr>
          <w:rStyle w:val="Appelnotedebasdep"/>
          <w:lang w:val="en-CA"/>
        </w:rPr>
        <w:footnoteRef/>
      </w:r>
      <w:r w:rsidRPr="00AD4FBD">
        <w:rPr>
          <w:lang w:val="en-CA"/>
        </w:rPr>
        <w:t xml:space="preserve"> </w:t>
      </w:r>
      <w:r w:rsidRPr="00AD4FBD">
        <w:rPr>
          <w:lang w:val="en-CA"/>
        </w:rPr>
        <w:tab/>
      </w:r>
      <w:r w:rsidRPr="00AD4FBD">
        <w:rPr>
          <w:i/>
          <w:iCs/>
          <w:lang w:val="en-CA"/>
        </w:rPr>
        <w:t xml:space="preserve">R. </w:t>
      </w:r>
      <w:r w:rsidR="00AD4FBD">
        <w:rPr>
          <w:i/>
          <w:iCs/>
          <w:lang w:val="en-CA"/>
        </w:rPr>
        <w:t>v</w:t>
      </w:r>
      <w:r w:rsidRPr="00AD4FBD">
        <w:rPr>
          <w:i/>
          <w:iCs/>
          <w:lang w:val="en-CA"/>
        </w:rPr>
        <w:t>. Mills</w:t>
      </w:r>
      <w:r w:rsidRPr="00AD4FBD">
        <w:rPr>
          <w:lang w:val="en-CA"/>
        </w:rPr>
        <w:t xml:space="preserve">, [1999] 3 </w:t>
      </w:r>
      <w:r w:rsidR="00B131F0" w:rsidRPr="00AD4FBD">
        <w:rPr>
          <w:lang w:val="en-CA"/>
        </w:rPr>
        <w:t>S.C.R.</w:t>
      </w:r>
      <w:r w:rsidRPr="00AD4FBD">
        <w:rPr>
          <w:lang w:val="en-CA"/>
        </w:rPr>
        <w:t xml:space="preserve"> 668, </w:t>
      </w:r>
      <w:r w:rsidR="00B131F0" w:rsidRPr="00AD4FBD">
        <w:rPr>
          <w:lang w:val="en-CA"/>
        </w:rPr>
        <w:t>para.</w:t>
      </w:r>
      <w:r w:rsidRPr="00AD4FBD">
        <w:rPr>
          <w:lang w:val="en-CA"/>
        </w:rPr>
        <w:t xml:space="preserve"> 72.</w:t>
      </w:r>
    </w:p>
  </w:footnote>
  <w:footnote w:id="26">
    <w:p w14:paraId="7414D476" w14:textId="412DB3B7" w:rsidR="00276A1F" w:rsidRPr="00AD4FBD" w:rsidRDefault="00276A1F" w:rsidP="00187BA6">
      <w:pPr>
        <w:pStyle w:val="Notedebasdepage"/>
        <w:rPr>
          <w:lang w:val="en-CA"/>
        </w:rPr>
      </w:pPr>
      <w:r w:rsidRPr="00AD4FBD">
        <w:rPr>
          <w:rStyle w:val="Appelnotedebasdep"/>
          <w:lang w:val="en-CA"/>
        </w:rPr>
        <w:footnoteRef/>
      </w:r>
      <w:r w:rsidRPr="00AD4FBD">
        <w:rPr>
          <w:lang w:val="en-CA"/>
        </w:rPr>
        <w:t xml:space="preserve"> </w:t>
      </w:r>
      <w:r w:rsidRPr="00AD4FBD">
        <w:rPr>
          <w:lang w:val="en-CA"/>
        </w:rPr>
        <w:tab/>
      </w:r>
      <w:bookmarkStart w:id="17" w:name="_Hlk190090346"/>
      <w:r w:rsidRPr="00AD4FBD">
        <w:rPr>
          <w:i/>
          <w:iCs/>
          <w:lang w:val="en-CA"/>
        </w:rPr>
        <w:t xml:space="preserve">R. </w:t>
      </w:r>
      <w:r w:rsidR="00AD4FBD">
        <w:rPr>
          <w:i/>
          <w:iCs/>
          <w:lang w:val="en-CA"/>
        </w:rPr>
        <w:t>v</w:t>
      </w:r>
      <w:r w:rsidRPr="00AD4FBD">
        <w:rPr>
          <w:i/>
          <w:iCs/>
          <w:lang w:val="en-CA"/>
        </w:rPr>
        <w:t>. G.F.</w:t>
      </w:r>
      <w:r w:rsidRPr="00AD4FBD">
        <w:rPr>
          <w:lang w:val="en-CA"/>
        </w:rPr>
        <w:t xml:space="preserve">, 2021 </w:t>
      </w:r>
      <w:r w:rsidR="00B131F0" w:rsidRPr="00AD4FBD">
        <w:rPr>
          <w:lang w:val="en-CA"/>
        </w:rPr>
        <w:t>SCC</w:t>
      </w:r>
      <w:r w:rsidRPr="00AD4FBD">
        <w:rPr>
          <w:lang w:val="en-CA"/>
        </w:rPr>
        <w:t xml:space="preserve"> 20, [2021] 1 </w:t>
      </w:r>
      <w:r w:rsidR="00B131F0" w:rsidRPr="00AD4FBD">
        <w:rPr>
          <w:lang w:val="en-CA"/>
        </w:rPr>
        <w:t>S.C.R.</w:t>
      </w:r>
      <w:r w:rsidRPr="00AD4FBD">
        <w:rPr>
          <w:lang w:val="en-CA"/>
        </w:rPr>
        <w:t xml:space="preserve"> 801</w:t>
      </w:r>
      <w:bookmarkEnd w:id="17"/>
      <w:r w:rsidRPr="00AD4FBD">
        <w:rPr>
          <w:lang w:val="en-CA"/>
        </w:rPr>
        <w:t>.</w:t>
      </w:r>
    </w:p>
  </w:footnote>
  <w:footnote w:id="27">
    <w:p w14:paraId="5E27AFD9" w14:textId="7D171274" w:rsidR="00276A1F" w:rsidRPr="00BC01CE" w:rsidRDefault="00276A1F" w:rsidP="00187BA6">
      <w:pPr>
        <w:pStyle w:val="Notedebasdepage"/>
        <w:rPr>
          <w:lang w:val="en-CA"/>
        </w:rPr>
      </w:pPr>
      <w:r>
        <w:rPr>
          <w:rStyle w:val="Appelnotedebasdep"/>
        </w:rPr>
        <w:footnoteRef/>
      </w:r>
      <w:r>
        <w:t xml:space="preserve"> </w:t>
      </w:r>
      <w:r>
        <w:tab/>
      </w:r>
      <w:r w:rsidRPr="00BC01CE">
        <w:rPr>
          <w:i/>
          <w:iCs/>
          <w:lang w:val="en-CA"/>
        </w:rPr>
        <w:t xml:space="preserve">R. </w:t>
      </w:r>
      <w:r w:rsidR="00BC01CE">
        <w:rPr>
          <w:i/>
          <w:iCs/>
          <w:lang w:val="en-CA"/>
        </w:rPr>
        <w:t>v</w:t>
      </w:r>
      <w:r w:rsidRPr="00BC01CE">
        <w:rPr>
          <w:i/>
          <w:iCs/>
          <w:lang w:val="en-CA"/>
        </w:rPr>
        <w:t>. G.F.</w:t>
      </w:r>
      <w:r w:rsidRPr="00BC01CE">
        <w:rPr>
          <w:lang w:val="en-CA"/>
        </w:rPr>
        <w:t xml:space="preserve">, 2021 </w:t>
      </w:r>
      <w:r w:rsidR="00B131F0" w:rsidRPr="00BC01CE">
        <w:rPr>
          <w:lang w:val="en-CA"/>
        </w:rPr>
        <w:t>SCC</w:t>
      </w:r>
      <w:r w:rsidRPr="00BC01CE">
        <w:rPr>
          <w:lang w:val="en-CA"/>
        </w:rPr>
        <w:t xml:space="preserve"> 20, [2021] 1 </w:t>
      </w:r>
      <w:r w:rsidR="00B131F0" w:rsidRPr="00BC01CE">
        <w:rPr>
          <w:lang w:val="en-CA"/>
        </w:rPr>
        <w:t>S.C.R.</w:t>
      </w:r>
      <w:r w:rsidRPr="00BC01CE">
        <w:rPr>
          <w:lang w:val="en-CA"/>
        </w:rPr>
        <w:t xml:space="preserve"> 801.</w:t>
      </w:r>
    </w:p>
  </w:footnote>
  <w:footnote w:id="28">
    <w:p w14:paraId="3391F0C6" w14:textId="230E7533" w:rsidR="00276A1F" w:rsidRPr="00BC01CE" w:rsidRDefault="00276A1F" w:rsidP="00187BA6">
      <w:pPr>
        <w:pStyle w:val="Notedebasdepage"/>
        <w:rPr>
          <w:iCs/>
          <w:lang w:val="en-CA"/>
        </w:rPr>
      </w:pPr>
      <w:r w:rsidRPr="00BC01CE">
        <w:rPr>
          <w:rStyle w:val="Appelnotedebasdep"/>
          <w:lang w:val="en-CA"/>
        </w:rPr>
        <w:footnoteRef/>
      </w:r>
      <w:r w:rsidRPr="00BC01CE">
        <w:rPr>
          <w:lang w:val="en-CA"/>
        </w:rPr>
        <w:t xml:space="preserve"> </w:t>
      </w:r>
      <w:r w:rsidRPr="00BC01CE">
        <w:rPr>
          <w:lang w:val="en-CA"/>
        </w:rPr>
        <w:tab/>
      </w:r>
      <w:r w:rsidRPr="00BC01CE">
        <w:rPr>
          <w:i/>
          <w:lang w:val="en-CA"/>
        </w:rPr>
        <w:t xml:space="preserve">R. </w:t>
      </w:r>
      <w:r w:rsidR="00BC01CE">
        <w:rPr>
          <w:i/>
          <w:lang w:val="en-CA"/>
        </w:rPr>
        <w:t>v</w:t>
      </w:r>
      <w:r w:rsidRPr="00BC01CE">
        <w:rPr>
          <w:i/>
          <w:lang w:val="en-CA"/>
        </w:rPr>
        <w:t>. Sheppard</w:t>
      </w:r>
      <w:r w:rsidRPr="00BC01CE">
        <w:rPr>
          <w:iCs/>
          <w:lang w:val="en-CA"/>
        </w:rPr>
        <w:t xml:space="preserve">, 2002 </w:t>
      </w:r>
      <w:r w:rsidR="00B131F0" w:rsidRPr="00BC01CE">
        <w:rPr>
          <w:iCs/>
          <w:lang w:val="en-CA"/>
        </w:rPr>
        <w:t>SCC</w:t>
      </w:r>
      <w:r w:rsidRPr="00BC01CE">
        <w:rPr>
          <w:iCs/>
          <w:lang w:val="en-CA"/>
        </w:rPr>
        <w:t xml:space="preserve"> 26, [2002] 1 </w:t>
      </w:r>
      <w:r w:rsidR="00B131F0" w:rsidRPr="00BC01CE">
        <w:rPr>
          <w:iCs/>
          <w:lang w:val="en-CA"/>
        </w:rPr>
        <w:t>S.C.R.</w:t>
      </w:r>
      <w:r w:rsidRPr="00BC01CE">
        <w:rPr>
          <w:iCs/>
          <w:lang w:val="en-CA"/>
        </w:rPr>
        <w:t xml:space="preserve"> 869, </w:t>
      </w:r>
      <w:r w:rsidR="00B131F0" w:rsidRPr="00BC01CE">
        <w:rPr>
          <w:iCs/>
          <w:lang w:val="en-CA"/>
        </w:rPr>
        <w:t>para.</w:t>
      </w:r>
      <w:r w:rsidRPr="00BC01CE">
        <w:rPr>
          <w:iCs/>
          <w:lang w:val="en-CA"/>
        </w:rPr>
        <w:t xml:space="preserve"> 53.</w:t>
      </w:r>
    </w:p>
  </w:footnote>
  <w:footnote w:id="29">
    <w:p w14:paraId="00CEA6B6" w14:textId="43028EB7" w:rsidR="00276A1F" w:rsidRPr="00BC01CE" w:rsidRDefault="00276A1F" w:rsidP="00187BA6">
      <w:pPr>
        <w:pStyle w:val="Notedebasdepage"/>
        <w:rPr>
          <w:lang w:val="en-CA"/>
        </w:rPr>
      </w:pPr>
      <w:r w:rsidRPr="00BC01CE">
        <w:rPr>
          <w:rStyle w:val="Appelnotedebasdep"/>
          <w:lang w:val="en-CA"/>
        </w:rPr>
        <w:footnoteRef/>
      </w:r>
      <w:r w:rsidRPr="00BC01CE">
        <w:rPr>
          <w:i/>
          <w:iCs/>
          <w:lang w:val="en-CA"/>
        </w:rPr>
        <w:t xml:space="preserve"> </w:t>
      </w:r>
      <w:r w:rsidRPr="00BC01CE">
        <w:rPr>
          <w:i/>
          <w:iCs/>
          <w:lang w:val="en-CA"/>
        </w:rPr>
        <w:tab/>
        <w:t>Id.</w:t>
      </w:r>
      <w:r w:rsidRPr="00BC01CE">
        <w:rPr>
          <w:lang w:val="en-CA"/>
        </w:rPr>
        <w:t xml:space="preserve">, </w:t>
      </w:r>
      <w:r w:rsidR="00B131F0" w:rsidRPr="00BC01CE">
        <w:rPr>
          <w:lang w:val="en-CA"/>
        </w:rPr>
        <w:t>para.</w:t>
      </w:r>
      <w:r w:rsidRPr="00BC01CE">
        <w:rPr>
          <w:lang w:val="en-CA"/>
        </w:rPr>
        <w:t xml:space="preserve"> 55, point 4.</w:t>
      </w:r>
    </w:p>
  </w:footnote>
  <w:footnote w:id="30">
    <w:p w14:paraId="12DE523C" w14:textId="6B35EE26" w:rsidR="00276A1F" w:rsidRPr="00BC01CE" w:rsidRDefault="00276A1F" w:rsidP="00187BA6">
      <w:pPr>
        <w:pStyle w:val="Notedebasdepage"/>
        <w:rPr>
          <w:lang w:val="en-CA"/>
        </w:rPr>
      </w:pPr>
      <w:r w:rsidRPr="00BC01CE">
        <w:rPr>
          <w:rStyle w:val="Appelnotedebasdep"/>
          <w:lang w:val="en-CA"/>
        </w:rPr>
        <w:footnoteRef/>
      </w:r>
      <w:r w:rsidRPr="00BC01CE">
        <w:rPr>
          <w:lang w:val="en-CA"/>
        </w:rPr>
        <w:t xml:space="preserve"> </w:t>
      </w:r>
      <w:r w:rsidRPr="00BC01CE">
        <w:rPr>
          <w:lang w:val="en-CA"/>
        </w:rPr>
        <w:tab/>
      </w:r>
      <w:r w:rsidRPr="00BC01CE">
        <w:rPr>
          <w:i/>
          <w:lang w:val="en-CA"/>
        </w:rPr>
        <w:t xml:space="preserve">R. </w:t>
      </w:r>
      <w:r w:rsidR="00D55B05">
        <w:rPr>
          <w:i/>
          <w:lang w:val="en-CA"/>
        </w:rPr>
        <w:t>v</w:t>
      </w:r>
      <w:r w:rsidRPr="00BC01CE">
        <w:rPr>
          <w:i/>
          <w:lang w:val="en-CA"/>
        </w:rPr>
        <w:t>. Braich</w:t>
      </w:r>
      <w:r w:rsidRPr="00BC01CE">
        <w:rPr>
          <w:lang w:val="en-CA"/>
        </w:rPr>
        <w:t xml:space="preserve">, 2002 </w:t>
      </w:r>
      <w:r w:rsidR="00B131F0" w:rsidRPr="00BC01CE">
        <w:rPr>
          <w:lang w:val="en-CA"/>
        </w:rPr>
        <w:t>SCC</w:t>
      </w:r>
      <w:r w:rsidRPr="00BC01CE">
        <w:rPr>
          <w:lang w:val="en-CA"/>
        </w:rPr>
        <w:t xml:space="preserve"> 27, [2002] 1 </w:t>
      </w:r>
      <w:r w:rsidR="00B131F0" w:rsidRPr="00BC01CE">
        <w:rPr>
          <w:lang w:val="en-CA"/>
        </w:rPr>
        <w:t>S.C.R.</w:t>
      </w:r>
      <w:r w:rsidRPr="00BC01CE">
        <w:rPr>
          <w:lang w:val="en-CA"/>
        </w:rPr>
        <w:t xml:space="preserve"> 903, </w:t>
      </w:r>
      <w:r w:rsidR="00B131F0" w:rsidRPr="00BC01CE">
        <w:rPr>
          <w:lang w:val="en-CA"/>
        </w:rPr>
        <w:t>para.</w:t>
      </w:r>
      <w:r w:rsidRPr="00BC01CE">
        <w:rPr>
          <w:lang w:val="en-CA"/>
        </w:rPr>
        <w:t xml:space="preserve"> 25.</w:t>
      </w:r>
    </w:p>
  </w:footnote>
  <w:footnote w:id="31">
    <w:p w14:paraId="76059186" w14:textId="46465293" w:rsidR="00276A1F" w:rsidRPr="00BC01CE" w:rsidRDefault="00276A1F" w:rsidP="00187BA6">
      <w:pPr>
        <w:pStyle w:val="Notedebasdepage"/>
        <w:rPr>
          <w:lang w:val="en-CA"/>
        </w:rPr>
      </w:pPr>
      <w:r w:rsidRPr="00BC01CE">
        <w:rPr>
          <w:rStyle w:val="Appelnotedebasdep"/>
          <w:lang w:val="en-CA"/>
        </w:rPr>
        <w:footnoteRef/>
      </w:r>
      <w:r w:rsidRPr="00BC01CE">
        <w:rPr>
          <w:lang w:val="en-CA"/>
        </w:rPr>
        <w:t xml:space="preserve"> </w:t>
      </w:r>
      <w:r w:rsidRPr="00BC01CE">
        <w:rPr>
          <w:lang w:val="en-CA"/>
        </w:rPr>
        <w:tab/>
      </w:r>
      <w:r w:rsidRPr="00BC01CE">
        <w:rPr>
          <w:i/>
          <w:iCs/>
          <w:lang w:val="en-CA"/>
        </w:rPr>
        <w:t xml:space="preserve">R. </w:t>
      </w:r>
      <w:r w:rsidR="00D55B05">
        <w:rPr>
          <w:i/>
          <w:iCs/>
          <w:lang w:val="en-CA"/>
        </w:rPr>
        <w:t>v</w:t>
      </w:r>
      <w:r w:rsidRPr="00BC01CE">
        <w:rPr>
          <w:i/>
          <w:iCs/>
          <w:lang w:val="en-CA"/>
        </w:rPr>
        <w:t>. Kruk</w:t>
      </w:r>
      <w:r w:rsidRPr="00BC01CE">
        <w:rPr>
          <w:lang w:val="en-CA"/>
        </w:rPr>
        <w:t xml:space="preserve">, 2024 </w:t>
      </w:r>
      <w:r w:rsidR="00B131F0" w:rsidRPr="00BC01CE">
        <w:rPr>
          <w:lang w:val="en-CA"/>
        </w:rPr>
        <w:t>SCC</w:t>
      </w:r>
      <w:r w:rsidRPr="00BC01CE">
        <w:rPr>
          <w:lang w:val="en-CA"/>
        </w:rPr>
        <w:t xml:space="preserve"> 7.</w:t>
      </w:r>
    </w:p>
  </w:footnote>
  <w:footnote w:id="32">
    <w:p w14:paraId="4EACC331" w14:textId="21304ACB" w:rsidR="00276A1F" w:rsidRPr="00425FC1" w:rsidRDefault="00276A1F" w:rsidP="00187BA6">
      <w:pPr>
        <w:pStyle w:val="Notedebasdepage"/>
        <w:rPr>
          <w:lang w:val="en-CA"/>
        </w:rPr>
      </w:pPr>
      <w:r>
        <w:rPr>
          <w:rStyle w:val="Appelnotedebasdep"/>
        </w:rPr>
        <w:footnoteRef/>
      </w:r>
      <w:r w:rsidRPr="003E504C">
        <w:rPr>
          <w:lang w:val="en-CA"/>
        </w:rPr>
        <w:t xml:space="preserve"> </w:t>
      </w:r>
      <w:r w:rsidRPr="003E504C">
        <w:rPr>
          <w:lang w:val="en-CA"/>
        </w:rPr>
        <w:tab/>
      </w:r>
      <w:r w:rsidRPr="003E504C">
        <w:rPr>
          <w:i/>
          <w:iCs/>
          <w:lang w:val="en-CA"/>
        </w:rPr>
        <w:t xml:space="preserve">R. </w:t>
      </w:r>
      <w:r w:rsidR="00803733">
        <w:rPr>
          <w:i/>
          <w:iCs/>
          <w:lang w:val="en-CA"/>
        </w:rPr>
        <w:t>v</w:t>
      </w:r>
      <w:r w:rsidRPr="003E504C">
        <w:rPr>
          <w:i/>
          <w:iCs/>
          <w:lang w:val="en-CA"/>
        </w:rPr>
        <w:t>. Walker</w:t>
      </w:r>
      <w:r w:rsidRPr="003E504C">
        <w:rPr>
          <w:lang w:val="en-CA"/>
        </w:rPr>
        <w:t xml:space="preserve">, 2008 </w:t>
      </w:r>
      <w:r w:rsidR="00B131F0">
        <w:rPr>
          <w:lang w:val="en-CA"/>
        </w:rPr>
        <w:t>SCC</w:t>
      </w:r>
      <w:r w:rsidRPr="003E504C">
        <w:rPr>
          <w:lang w:val="en-CA"/>
        </w:rPr>
        <w:t xml:space="preserve"> 34</w:t>
      </w:r>
      <w:r>
        <w:rPr>
          <w:lang w:val="en-CA"/>
        </w:rPr>
        <w:t xml:space="preserve">, </w:t>
      </w:r>
      <w:r w:rsidRPr="003E504C">
        <w:rPr>
          <w:lang w:val="en-CA"/>
        </w:rPr>
        <w:t xml:space="preserve">[2008] 2 </w:t>
      </w:r>
      <w:r w:rsidR="00B131F0">
        <w:rPr>
          <w:lang w:val="en-CA"/>
        </w:rPr>
        <w:t>S.C.R.</w:t>
      </w:r>
      <w:r w:rsidRPr="003E504C">
        <w:rPr>
          <w:lang w:val="en-CA"/>
        </w:rPr>
        <w:t xml:space="preserve"> 245</w:t>
      </w:r>
      <w:r>
        <w:rPr>
          <w:lang w:val="en-CA"/>
        </w:rPr>
        <w:t>.</w:t>
      </w:r>
    </w:p>
  </w:footnote>
  <w:footnote w:id="33">
    <w:p w14:paraId="54C91A9F" w14:textId="77777777" w:rsidR="00276A1F" w:rsidRPr="007D4DC3" w:rsidRDefault="00276A1F" w:rsidP="00187BA6">
      <w:pPr>
        <w:pStyle w:val="Notedebasdepage"/>
      </w:pPr>
      <w:r>
        <w:rPr>
          <w:rStyle w:val="Appelnotedebasdep"/>
        </w:rPr>
        <w:footnoteRef/>
      </w:r>
      <w:r w:rsidRPr="007D4DC3">
        <w:t xml:space="preserve"> </w:t>
      </w:r>
      <w:r w:rsidRPr="007D4DC3">
        <w:tab/>
      </w:r>
      <w:r w:rsidRPr="007D4DC3">
        <w:rPr>
          <w:i/>
          <w:iCs/>
        </w:rPr>
        <w:t>R. v. Aiken</w:t>
      </w:r>
      <w:r w:rsidRPr="007D4DC3">
        <w:t>, 2021 ONCA 298.</w:t>
      </w:r>
    </w:p>
  </w:footnote>
  <w:footnote w:id="34">
    <w:p w14:paraId="420F2E36" w14:textId="45744242" w:rsidR="00276A1F" w:rsidRPr="00B42EFE" w:rsidRDefault="00276A1F" w:rsidP="00187BA6">
      <w:pPr>
        <w:pStyle w:val="Notedebasdepage"/>
        <w:rPr>
          <w:lang w:val="en-CA"/>
        </w:rPr>
      </w:pPr>
      <w:r>
        <w:rPr>
          <w:rStyle w:val="Appelnotedebasdep"/>
        </w:rPr>
        <w:footnoteRef/>
      </w:r>
      <w:r w:rsidRPr="00B22479">
        <w:t xml:space="preserve"> </w:t>
      </w:r>
      <w:r w:rsidRPr="00B22479">
        <w:tab/>
      </w:r>
      <w:r w:rsidRPr="00B42EFE">
        <w:rPr>
          <w:i/>
          <w:iCs/>
          <w:lang w:val="en-CA"/>
        </w:rPr>
        <w:t xml:space="preserve">R. </w:t>
      </w:r>
      <w:r w:rsidR="00B42EFE" w:rsidRPr="00B42EFE">
        <w:rPr>
          <w:i/>
          <w:iCs/>
          <w:lang w:val="en-CA"/>
        </w:rPr>
        <w:t>v</w:t>
      </w:r>
      <w:r w:rsidRPr="00B42EFE">
        <w:rPr>
          <w:i/>
          <w:iCs/>
          <w:lang w:val="en-CA"/>
        </w:rPr>
        <w:t>. Hodgson</w:t>
      </w:r>
      <w:r w:rsidRPr="00B42EFE">
        <w:rPr>
          <w:lang w:val="en-CA"/>
        </w:rPr>
        <w:t xml:space="preserve">, 2024 </w:t>
      </w:r>
      <w:r w:rsidR="00B131F0" w:rsidRPr="00B42EFE">
        <w:rPr>
          <w:lang w:val="en-CA"/>
        </w:rPr>
        <w:t>SCC</w:t>
      </w:r>
      <w:r w:rsidRPr="00B42EFE">
        <w:rPr>
          <w:lang w:val="en-CA"/>
        </w:rPr>
        <w:t xml:space="preserve"> 25, </w:t>
      </w:r>
      <w:r w:rsidR="00B131F0" w:rsidRPr="00B42EFE">
        <w:rPr>
          <w:lang w:val="en-CA"/>
        </w:rPr>
        <w:t>para.</w:t>
      </w:r>
      <w:r w:rsidRPr="00B42EFE">
        <w:rPr>
          <w:lang w:val="en-CA"/>
        </w:rPr>
        <w:t xml:space="preserve"> 40.</w:t>
      </w:r>
    </w:p>
  </w:footnote>
  <w:footnote w:id="35">
    <w:p w14:paraId="5B6CAF66" w14:textId="6BEF1092" w:rsidR="00276A1F" w:rsidRPr="00B42EFE" w:rsidRDefault="00276A1F" w:rsidP="00187BA6">
      <w:pPr>
        <w:pStyle w:val="Notedebasdepage"/>
        <w:rPr>
          <w:lang w:val="en-CA"/>
        </w:rPr>
      </w:pPr>
      <w:r w:rsidRPr="00B42EFE">
        <w:rPr>
          <w:rStyle w:val="Appelnotedebasdep"/>
          <w:lang w:val="en-CA"/>
        </w:rPr>
        <w:footnoteRef/>
      </w:r>
      <w:r w:rsidRPr="00B42EFE">
        <w:rPr>
          <w:lang w:val="en-CA"/>
        </w:rPr>
        <w:t xml:space="preserve"> </w:t>
      </w:r>
      <w:r w:rsidRPr="00B42EFE">
        <w:rPr>
          <w:lang w:val="en-CA"/>
        </w:rPr>
        <w:tab/>
      </w:r>
      <w:r w:rsidRPr="00B42EFE">
        <w:rPr>
          <w:i/>
          <w:iCs/>
          <w:lang w:val="en-CA"/>
        </w:rPr>
        <w:t>Sheppard</w:t>
      </w:r>
      <w:r w:rsidRPr="00B42EFE">
        <w:rPr>
          <w:lang w:val="en-CA"/>
        </w:rPr>
        <w:t xml:space="preserve">, </w:t>
      </w:r>
      <w:r w:rsidR="00B131F0" w:rsidRPr="00B42EFE">
        <w:rPr>
          <w:lang w:val="en-CA"/>
        </w:rPr>
        <w:t>para.</w:t>
      </w:r>
      <w:r w:rsidRPr="00B42EFE">
        <w:rPr>
          <w:lang w:val="en-CA"/>
        </w:rPr>
        <w:t xml:space="preserve"> 55, point 7; </w:t>
      </w:r>
      <w:r w:rsidRPr="00B42EFE">
        <w:rPr>
          <w:i/>
          <w:iCs/>
          <w:lang w:val="en-CA"/>
        </w:rPr>
        <w:t xml:space="preserve">R. </w:t>
      </w:r>
      <w:r w:rsidR="00B42EFE">
        <w:rPr>
          <w:i/>
          <w:iCs/>
          <w:lang w:val="en-CA"/>
        </w:rPr>
        <w:t>v</w:t>
      </w:r>
      <w:r w:rsidRPr="00B42EFE">
        <w:rPr>
          <w:i/>
          <w:iCs/>
          <w:lang w:val="en-CA"/>
        </w:rPr>
        <w:t>. R.E.M.</w:t>
      </w:r>
      <w:r w:rsidRPr="00B42EFE">
        <w:rPr>
          <w:lang w:val="en-CA"/>
        </w:rPr>
        <w:t xml:space="preserve">, 2008 </w:t>
      </w:r>
      <w:r w:rsidR="00B131F0" w:rsidRPr="00B42EFE">
        <w:rPr>
          <w:lang w:val="en-CA"/>
        </w:rPr>
        <w:t>SCC</w:t>
      </w:r>
      <w:r w:rsidRPr="00B42EFE">
        <w:rPr>
          <w:lang w:val="en-CA"/>
        </w:rPr>
        <w:t xml:space="preserve"> 51, [2008] 3 </w:t>
      </w:r>
      <w:r w:rsidR="00B131F0" w:rsidRPr="00B42EFE">
        <w:rPr>
          <w:lang w:val="en-CA"/>
        </w:rPr>
        <w:t>S.C.R.</w:t>
      </w:r>
      <w:r w:rsidRPr="00B42EFE">
        <w:rPr>
          <w:lang w:val="en-CA"/>
        </w:rPr>
        <w:t xml:space="preserve"> 3, </w:t>
      </w:r>
      <w:r w:rsidR="00B131F0" w:rsidRPr="00B42EFE">
        <w:rPr>
          <w:lang w:val="en-CA"/>
        </w:rPr>
        <w:t>para.</w:t>
      </w:r>
      <w:r w:rsidRPr="00B42EFE">
        <w:rPr>
          <w:lang w:val="en-CA"/>
        </w:rPr>
        <w:t xml:space="preserve"> 45.</w:t>
      </w:r>
    </w:p>
  </w:footnote>
  <w:footnote w:id="36">
    <w:p w14:paraId="7391B777" w14:textId="51358EA6" w:rsidR="00276A1F" w:rsidRPr="00B42EFE" w:rsidRDefault="00276A1F" w:rsidP="00187BA6">
      <w:pPr>
        <w:pStyle w:val="Notedebasdepage"/>
        <w:rPr>
          <w:lang w:val="en-CA"/>
        </w:rPr>
      </w:pPr>
      <w:r w:rsidRPr="00B42EFE">
        <w:rPr>
          <w:rStyle w:val="Appelnotedebasdep"/>
          <w:lang w:val="en-CA"/>
        </w:rPr>
        <w:footnoteRef/>
      </w:r>
      <w:r w:rsidRPr="00B42EFE">
        <w:rPr>
          <w:lang w:val="en-CA"/>
        </w:rPr>
        <w:t xml:space="preserve"> </w:t>
      </w:r>
      <w:r w:rsidRPr="00B42EFE">
        <w:rPr>
          <w:lang w:val="en-CA"/>
        </w:rPr>
        <w:tab/>
      </w:r>
      <w:r w:rsidRPr="00B42EFE">
        <w:rPr>
          <w:i/>
          <w:iCs/>
          <w:lang w:val="en-CA"/>
        </w:rPr>
        <w:t xml:space="preserve">R. </w:t>
      </w:r>
      <w:r w:rsidR="00B42EFE">
        <w:rPr>
          <w:i/>
          <w:iCs/>
          <w:lang w:val="en-CA"/>
        </w:rPr>
        <w:t>v</w:t>
      </w:r>
      <w:r w:rsidRPr="00B42EFE">
        <w:rPr>
          <w:i/>
          <w:iCs/>
          <w:lang w:val="en-CA"/>
        </w:rPr>
        <w:t>. Sheppard</w:t>
      </w:r>
      <w:r w:rsidRPr="00B42EFE">
        <w:rPr>
          <w:lang w:val="en-CA"/>
        </w:rPr>
        <w:t xml:space="preserve">, 2002 </w:t>
      </w:r>
      <w:r w:rsidR="00B131F0" w:rsidRPr="00B42EFE">
        <w:rPr>
          <w:lang w:val="en-CA"/>
        </w:rPr>
        <w:t>SCC</w:t>
      </w:r>
      <w:r w:rsidRPr="00B42EFE">
        <w:rPr>
          <w:lang w:val="en-CA"/>
        </w:rPr>
        <w:t xml:space="preserve"> 26, [2002] 1 </w:t>
      </w:r>
      <w:r w:rsidR="00B131F0" w:rsidRPr="00B42EFE">
        <w:rPr>
          <w:lang w:val="en-CA"/>
        </w:rPr>
        <w:t>S.C.R.</w:t>
      </w:r>
      <w:r w:rsidRPr="00B42EFE">
        <w:rPr>
          <w:lang w:val="en-CA"/>
        </w:rPr>
        <w:t xml:space="preserve"> 869, </w:t>
      </w:r>
      <w:r w:rsidR="00B131F0" w:rsidRPr="00B42EFE">
        <w:rPr>
          <w:lang w:val="en-CA"/>
        </w:rPr>
        <w:t>para.</w:t>
      </w:r>
      <w:r w:rsidRPr="00B42EFE">
        <w:rPr>
          <w:lang w:val="en-CA"/>
        </w:rPr>
        <w:t xml:space="preserve"> 26.</w:t>
      </w:r>
    </w:p>
  </w:footnote>
  <w:footnote w:id="37">
    <w:p w14:paraId="38384126" w14:textId="1770CEEB" w:rsidR="00276A1F" w:rsidRPr="00650AD8" w:rsidRDefault="00276A1F" w:rsidP="00187BA6">
      <w:pPr>
        <w:pStyle w:val="Notedebasdepage"/>
        <w:rPr>
          <w:lang w:val="en-CA"/>
        </w:rPr>
      </w:pPr>
      <w:r>
        <w:rPr>
          <w:rStyle w:val="Appelnotedebasdep"/>
        </w:rPr>
        <w:footnoteRef/>
      </w:r>
      <w:r w:rsidRPr="00931558">
        <w:tab/>
      </w:r>
      <w:r w:rsidRPr="00650AD8">
        <w:rPr>
          <w:i/>
          <w:iCs/>
          <w:lang w:val="en-CA"/>
        </w:rPr>
        <w:t xml:space="preserve">R. </w:t>
      </w:r>
      <w:r w:rsidR="006442D3" w:rsidRPr="00650AD8">
        <w:rPr>
          <w:i/>
          <w:iCs/>
          <w:lang w:val="en-CA"/>
        </w:rPr>
        <w:t>v</w:t>
      </w:r>
      <w:r w:rsidRPr="00650AD8">
        <w:rPr>
          <w:i/>
          <w:iCs/>
          <w:lang w:val="en-CA"/>
        </w:rPr>
        <w:t>. W.(D.)</w:t>
      </w:r>
      <w:r w:rsidRPr="00650AD8">
        <w:rPr>
          <w:lang w:val="en-CA"/>
        </w:rPr>
        <w:t xml:space="preserve">, [1991] 1 </w:t>
      </w:r>
      <w:r w:rsidR="00B131F0" w:rsidRPr="00650AD8">
        <w:rPr>
          <w:lang w:val="en-CA"/>
        </w:rPr>
        <w:t>S.C.R.</w:t>
      </w:r>
      <w:r w:rsidRPr="00650AD8">
        <w:rPr>
          <w:lang w:val="en-CA"/>
        </w:rPr>
        <w:t xml:space="preserve"> 742, p. 757: </w:t>
      </w:r>
      <w:r w:rsidR="00650AD8">
        <w:rPr>
          <w:lang w:val="en-CA"/>
        </w:rPr>
        <w:t>“</w:t>
      </w:r>
      <w:r w:rsidR="00650AD8" w:rsidRPr="00650AD8">
        <w:rPr>
          <w:lang w:val="en-CA"/>
        </w:rPr>
        <w:t>In a case where credibility is important, the trial judge must instruct the jury that the rule of reasonable doubt applies to that issue</w:t>
      </w:r>
      <w:r w:rsidR="00650AD8">
        <w:rPr>
          <w:lang w:val="en-CA"/>
        </w:rPr>
        <w:t>”</w:t>
      </w:r>
      <w:r w:rsidRPr="00650AD8">
        <w:rPr>
          <w:lang w:val="en-CA"/>
        </w:rPr>
        <w:t xml:space="preserve">; </w:t>
      </w:r>
      <w:r w:rsidRPr="00650AD8">
        <w:rPr>
          <w:i/>
          <w:iCs/>
          <w:lang w:val="en-CA"/>
        </w:rPr>
        <w:t xml:space="preserve">R. </w:t>
      </w:r>
      <w:r w:rsidR="00650AD8">
        <w:rPr>
          <w:i/>
          <w:iCs/>
          <w:lang w:val="en-CA"/>
        </w:rPr>
        <w:t>v</w:t>
      </w:r>
      <w:r w:rsidRPr="00650AD8">
        <w:rPr>
          <w:i/>
          <w:iCs/>
          <w:lang w:val="en-CA"/>
        </w:rPr>
        <w:t>. Kruk</w:t>
      </w:r>
      <w:r w:rsidRPr="00650AD8">
        <w:rPr>
          <w:lang w:val="en-CA"/>
        </w:rPr>
        <w:t>, 2024 </w:t>
      </w:r>
      <w:r w:rsidR="00B131F0" w:rsidRPr="00650AD8">
        <w:rPr>
          <w:lang w:val="en-CA"/>
        </w:rPr>
        <w:t>SCC</w:t>
      </w:r>
      <w:r w:rsidRPr="00650AD8">
        <w:rPr>
          <w:lang w:val="en-CA"/>
        </w:rPr>
        <w:t xml:space="preserve"> 7, </w:t>
      </w:r>
      <w:r w:rsidR="00B131F0" w:rsidRPr="00650AD8">
        <w:rPr>
          <w:lang w:val="en-CA"/>
        </w:rPr>
        <w:t>para.</w:t>
      </w:r>
      <w:r w:rsidRPr="00650AD8">
        <w:rPr>
          <w:lang w:val="en-CA"/>
        </w:rPr>
        <w:t xml:space="preserve"> 62.</w:t>
      </w:r>
    </w:p>
  </w:footnote>
  <w:footnote w:id="38">
    <w:p w14:paraId="61281E74" w14:textId="06786EE2" w:rsidR="00276A1F" w:rsidRPr="00650AD8" w:rsidRDefault="00276A1F" w:rsidP="00187BA6">
      <w:pPr>
        <w:pStyle w:val="Notedebasdepage"/>
        <w:rPr>
          <w:lang w:val="en-CA"/>
        </w:rPr>
      </w:pPr>
      <w:r w:rsidRPr="00650AD8">
        <w:rPr>
          <w:rStyle w:val="Appelnotedebasdep"/>
          <w:lang w:val="en-CA"/>
        </w:rPr>
        <w:footnoteRef/>
      </w:r>
      <w:r w:rsidRPr="00650AD8">
        <w:rPr>
          <w:lang w:val="en-CA"/>
        </w:rPr>
        <w:t xml:space="preserve"> </w:t>
      </w:r>
      <w:r w:rsidRPr="00650AD8">
        <w:rPr>
          <w:lang w:val="en-CA"/>
        </w:rPr>
        <w:tab/>
      </w:r>
      <w:r w:rsidRPr="00650AD8">
        <w:rPr>
          <w:i/>
          <w:iCs/>
          <w:lang w:val="en-CA"/>
        </w:rPr>
        <w:t xml:space="preserve">R. </w:t>
      </w:r>
      <w:r w:rsidR="00650AD8">
        <w:rPr>
          <w:i/>
          <w:iCs/>
          <w:lang w:val="en-CA"/>
        </w:rPr>
        <w:t>v</w:t>
      </w:r>
      <w:r w:rsidRPr="00650AD8">
        <w:rPr>
          <w:i/>
          <w:iCs/>
          <w:lang w:val="en-CA"/>
        </w:rPr>
        <w:t>. Sheppard</w:t>
      </w:r>
      <w:r w:rsidRPr="00650AD8">
        <w:rPr>
          <w:lang w:val="en-CA"/>
        </w:rPr>
        <w:t xml:space="preserve">, 2002 </w:t>
      </w:r>
      <w:r w:rsidR="00B131F0" w:rsidRPr="00650AD8">
        <w:rPr>
          <w:lang w:val="en-CA"/>
        </w:rPr>
        <w:t>SCC</w:t>
      </w:r>
      <w:r w:rsidRPr="00650AD8">
        <w:rPr>
          <w:lang w:val="en-CA"/>
        </w:rPr>
        <w:t xml:space="preserve"> 26, [2002] 1 </w:t>
      </w:r>
      <w:r w:rsidR="00B131F0" w:rsidRPr="00650AD8">
        <w:rPr>
          <w:lang w:val="en-CA"/>
        </w:rPr>
        <w:t>S.C.R.</w:t>
      </w:r>
      <w:r w:rsidRPr="00650AD8">
        <w:rPr>
          <w:lang w:val="en-CA"/>
        </w:rPr>
        <w:t xml:space="preserve"> 869, </w:t>
      </w:r>
      <w:r w:rsidR="00B131F0" w:rsidRPr="00650AD8">
        <w:rPr>
          <w:lang w:val="en-CA"/>
        </w:rPr>
        <w:t>para.</w:t>
      </w:r>
      <w:r w:rsidRPr="00650AD8">
        <w:rPr>
          <w:lang w:val="en-CA"/>
        </w:rPr>
        <w:t xml:space="preserve"> 55, point 6; </w:t>
      </w:r>
      <w:r w:rsidRPr="00650AD8">
        <w:rPr>
          <w:i/>
          <w:iCs/>
          <w:lang w:val="en-CA"/>
        </w:rPr>
        <w:t xml:space="preserve">R. </w:t>
      </w:r>
      <w:r w:rsidR="00650AD8">
        <w:rPr>
          <w:i/>
          <w:iCs/>
          <w:lang w:val="en-CA"/>
        </w:rPr>
        <w:t>v</w:t>
      </w:r>
      <w:r w:rsidRPr="00650AD8">
        <w:rPr>
          <w:i/>
          <w:iCs/>
          <w:lang w:val="en-CA"/>
        </w:rPr>
        <w:t>. R.E.M.</w:t>
      </w:r>
      <w:r w:rsidRPr="00650AD8">
        <w:rPr>
          <w:lang w:val="en-CA"/>
        </w:rPr>
        <w:t xml:space="preserve">, 2008 </w:t>
      </w:r>
      <w:r w:rsidR="00B131F0" w:rsidRPr="00650AD8">
        <w:rPr>
          <w:lang w:val="en-CA"/>
        </w:rPr>
        <w:t>SCC</w:t>
      </w:r>
      <w:r w:rsidRPr="00650AD8">
        <w:rPr>
          <w:lang w:val="en-CA"/>
        </w:rPr>
        <w:t xml:space="preserve"> 51, [2008] 3 </w:t>
      </w:r>
      <w:r w:rsidR="00B131F0" w:rsidRPr="00650AD8">
        <w:rPr>
          <w:lang w:val="en-CA"/>
        </w:rPr>
        <w:t>S.C.R.</w:t>
      </w:r>
      <w:r w:rsidRPr="00650AD8">
        <w:rPr>
          <w:lang w:val="en-CA"/>
        </w:rPr>
        <w:t xml:space="preserve"> 3, </w:t>
      </w:r>
      <w:r w:rsidR="00B131F0" w:rsidRPr="00650AD8">
        <w:rPr>
          <w:lang w:val="en-CA"/>
        </w:rPr>
        <w:t>para.</w:t>
      </w:r>
      <w:r w:rsidRPr="00650AD8">
        <w:rPr>
          <w:lang w:val="en-CA"/>
        </w:rPr>
        <w:t xml:space="preserve"> 44; </w:t>
      </w:r>
      <w:r w:rsidRPr="00650AD8">
        <w:rPr>
          <w:i/>
          <w:iCs/>
          <w:lang w:val="en-CA"/>
        </w:rPr>
        <w:t xml:space="preserve">R. </w:t>
      </w:r>
      <w:r w:rsidR="00650AD8">
        <w:rPr>
          <w:i/>
          <w:iCs/>
          <w:lang w:val="en-CA"/>
        </w:rPr>
        <w:t>v</w:t>
      </w:r>
      <w:r w:rsidRPr="00650AD8">
        <w:rPr>
          <w:i/>
          <w:iCs/>
          <w:lang w:val="en-CA"/>
        </w:rPr>
        <w:t>. Dinardo</w:t>
      </w:r>
      <w:r w:rsidRPr="00650AD8">
        <w:rPr>
          <w:lang w:val="en-CA"/>
        </w:rPr>
        <w:t xml:space="preserve">, 2008 </w:t>
      </w:r>
      <w:r w:rsidR="00B131F0" w:rsidRPr="00650AD8">
        <w:rPr>
          <w:lang w:val="en-CA"/>
        </w:rPr>
        <w:t>SCC</w:t>
      </w:r>
      <w:r w:rsidRPr="00650AD8">
        <w:rPr>
          <w:lang w:val="en-CA"/>
        </w:rPr>
        <w:t xml:space="preserve"> 24, [2008] 1 </w:t>
      </w:r>
      <w:r w:rsidR="00B131F0" w:rsidRPr="00650AD8">
        <w:rPr>
          <w:lang w:val="en-CA"/>
        </w:rPr>
        <w:t>S.C.R.</w:t>
      </w:r>
      <w:r w:rsidRPr="00650AD8">
        <w:rPr>
          <w:lang w:val="en-CA"/>
        </w:rPr>
        <w:t xml:space="preserve"> 788, </w:t>
      </w:r>
      <w:r w:rsidR="00B131F0" w:rsidRPr="00650AD8">
        <w:rPr>
          <w:lang w:val="en-CA"/>
        </w:rPr>
        <w:t>para.</w:t>
      </w:r>
      <w:r w:rsidRPr="00650AD8">
        <w:rPr>
          <w:lang w:val="en-CA"/>
        </w:rPr>
        <w:t xml:space="preserve"> 27.</w:t>
      </w:r>
    </w:p>
  </w:footnote>
  <w:footnote w:id="39">
    <w:p w14:paraId="5B252533" w14:textId="3DC16A15" w:rsidR="00276A1F" w:rsidRPr="00650AD8" w:rsidRDefault="00276A1F" w:rsidP="00187BA6">
      <w:pPr>
        <w:pStyle w:val="Notedebasdepage"/>
        <w:rPr>
          <w:lang w:val="en-CA"/>
        </w:rPr>
      </w:pPr>
      <w:r w:rsidRPr="00650AD8">
        <w:rPr>
          <w:rStyle w:val="Appelnotedebasdep"/>
          <w:lang w:val="en-CA"/>
        </w:rPr>
        <w:footnoteRef/>
      </w:r>
      <w:r w:rsidRPr="00650AD8">
        <w:rPr>
          <w:lang w:val="en-CA"/>
        </w:rPr>
        <w:t xml:space="preserve"> </w:t>
      </w:r>
      <w:r w:rsidRPr="00650AD8">
        <w:rPr>
          <w:lang w:val="en-CA"/>
        </w:rPr>
        <w:tab/>
      </w:r>
      <w:r w:rsidRPr="00650AD8">
        <w:rPr>
          <w:i/>
          <w:lang w:val="en-CA"/>
        </w:rPr>
        <w:t>R. v. Maharaj</w:t>
      </w:r>
      <w:r w:rsidRPr="00650AD8">
        <w:rPr>
          <w:lang w:val="en-CA"/>
        </w:rPr>
        <w:t xml:space="preserve"> (2004), 186 C.C.C. (3d) 247 (Ont. C.A.), </w:t>
      </w:r>
      <w:r w:rsidR="00B131F0" w:rsidRPr="00650AD8">
        <w:rPr>
          <w:lang w:val="en-CA"/>
        </w:rPr>
        <w:t>para.</w:t>
      </w:r>
      <w:r w:rsidRPr="00650AD8">
        <w:rPr>
          <w:lang w:val="en-CA"/>
        </w:rPr>
        <w:t xml:space="preserve"> 23, </w:t>
      </w:r>
      <w:r w:rsidR="00650AD8">
        <w:rPr>
          <w:lang w:val="en-CA"/>
        </w:rPr>
        <w:t>leave to appeal denied</w:t>
      </w:r>
      <w:r w:rsidRPr="00650AD8">
        <w:rPr>
          <w:lang w:val="en-CA"/>
        </w:rPr>
        <w:t xml:space="preserve"> [2005] 1 </w:t>
      </w:r>
      <w:r w:rsidR="00B131F0" w:rsidRPr="00650AD8">
        <w:rPr>
          <w:lang w:val="en-CA"/>
        </w:rPr>
        <w:t>S.C.R.</w:t>
      </w:r>
      <w:r w:rsidRPr="00650AD8">
        <w:rPr>
          <w:lang w:val="en-CA"/>
        </w:rPr>
        <w:t xml:space="preserve"> xiv; </w:t>
      </w:r>
      <w:r w:rsidRPr="00650AD8">
        <w:rPr>
          <w:i/>
          <w:lang w:val="en-CA"/>
        </w:rPr>
        <w:t xml:space="preserve">R. </w:t>
      </w:r>
      <w:r w:rsidR="00650AD8">
        <w:rPr>
          <w:i/>
          <w:lang w:val="en-CA"/>
        </w:rPr>
        <w:t>c</w:t>
      </w:r>
      <w:r w:rsidRPr="00650AD8">
        <w:rPr>
          <w:i/>
          <w:lang w:val="en-CA"/>
        </w:rPr>
        <w:t>. D.I.Du.B</w:t>
      </w:r>
      <w:r w:rsidRPr="00650AD8">
        <w:rPr>
          <w:lang w:val="en-CA"/>
        </w:rPr>
        <w:t xml:space="preserve">, 2006 QCCA 460, </w:t>
      </w:r>
      <w:r w:rsidR="00B131F0" w:rsidRPr="00650AD8">
        <w:rPr>
          <w:lang w:val="en-CA"/>
        </w:rPr>
        <w:t>para.</w:t>
      </w:r>
      <w:r w:rsidRPr="00650AD8">
        <w:rPr>
          <w:lang w:val="en-CA"/>
        </w:rPr>
        <w:t xml:space="preserve"> 102; </w:t>
      </w:r>
      <w:r w:rsidRPr="00650AD8">
        <w:rPr>
          <w:i/>
          <w:lang w:val="en-CA"/>
        </w:rPr>
        <w:t>R. c. L.G.</w:t>
      </w:r>
      <w:r w:rsidRPr="00650AD8">
        <w:rPr>
          <w:lang w:val="en-CA"/>
        </w:rPr>
        <w:t xml:space="preserve">, 2005 QCCA 749, </w:t>
      </w:r>
      <w:r w:rsidR="00B131F0" w:rsidRPr="00650AD8">
        <w:rPr>
          <w:lang w:val="en-CA"/>
        </w:rPr>
        <w:t>para.</w:t>
      </w:r>
      <w:r w:rsidRPr="00650AD8">
        <w:rPr>
          <w:lang w:val="en-CA"/>
        </w:rPr>
        <w:t xml:space="preserve"> 97; </w:t>
      </w:r>
      <w:r w:rsidRPr="00650AD8">
        <w:rPr>
          <w:i/>
          <w:lang w:val="en-CA"/>
        </w:rPr>
        <w:t>R. c. Laflamme</w:t>
      </w:r>
      <w:r w:rsidRPr="00650AD8">
        <w:rPr>
          <w:lang w:val="en-CA"/>
        </w:rPr>
        <w:t xml:space="preserve">, 2014 CACM 7, </w:t>
      </w:r>
      <w:r w:rsidR="00B131F0" w:rsidRPr="00650AD8">
        <w:rPr>
          <w:lang w:val="en-CA"/>
        </w:rPr>
        <w:t>para.</w:t>
      </w:r>
      <w:r w:rsidRPr="00650AD8">
        <w:rPr>
          <w:lang w:val="en-CA"/>
        </w:rPr>
        <w:t xml:space="preserve"> 16; </w:t>
      </w:r>
      <w:r w:rsidRPr="00650AD8">
        <w:rPr>
          <w:i/>
          <w:lang w:val="en-CA"/>
        </w:rPr>
        <w:t>R. v. Brunet</w:t>
      </w:r>
      <w:r w:rsidRPr="00650AD8">
        <w:rPr>
          <w:iCs/>
          <w:lang w:val="en-CA"/>
        </w:rPr>
        <w:t>,</w:t>
      </w:r>
      <w:r w:rsidRPr="00650AD8">
        <w:rPr>
          <w:lang w:val="en-CA"/>
        </w:rPr>
        <w:t xml:space="preserve"> 2011 ONCA 262, </w:t>
      </w:r>
      <w:r w:rsidR="00B131F0" w:rsidRPr="00650AD8">
        <w:rPr>
          <w:lang w:val="en-CA"/>
        </w:rPr>
        <w:t>para.</w:t>
      </w:r>
      <w:r w:rsidRPr="00650AD8">
        <w:rPr>
          <w:lang w:val="en-CA"/>
        </w:rPr>
        <w:t xml:space="preserve"> 2; </w:t>
      </w:r>
      <w:r w:rsidRPr="00650AD8">
        <w:rPr>
          <w:i/>
          <w:lang w:val="en-CA"/>
        </w:rPr>
        <w:t>R. v. Nelson</w:t>
      </w:r>
      <w:r w:rsidRPr="00650AD8">
        <w:rPr>
          <w:lang w:val="en-CA"/>
        </w:rPr>
        <w:t xml:space="preserve">, (2004), 1 M.V.R. (5th) 17 (C.A. Ont.), </w:t>
      </w:r>
      <w:r w:rsidR="00B131F0" w:rsidRPr="00650AD8">
        <w:rPr>
          <w:lang w:val="en-CA"/>
        </w:rPr>
        <w:t>para.</w:t>
      </w:r>
      <w:r w:rsidRPr="00650AD8">
        <w:rPr>
          <w:lang w:val="en-CA"/>
        </w:rPr>
        <w:t xml:space="preserve"> 18; </w:t>
      </w:r>
      <w:r w:rsidRPr="00650AD8">
        <w:rPr>
          <w:i/>
          <w:lang w:val="en-CA"/>
        </w:rPr>
        <w:t>R. v. Anglin</w:t>
      </w:r>
      <w:r w:rsidRPr="00650AD8">
        <w:rPr>
          <w:lang w:val="en-CA"/>
        </w:rPr>
        <w:t xml:space="preserve">, [2005] O.J. No. 1093 (C.A. Ont.), </w:t>
      </w:r>
      <w:r w:rsidR="00B131F0" w:rsidRPr="00650AD8">
        <w:rPr>
          <w:lang w:val="en-CA"/>
        </w:rPr>
        <w:t>para.</w:t>
      </w:r>
      <w:r w:rsidRPr="00650AD8">
        <w:rPr>
          <w:lang w:val="en-CA"/>
        </w:rPr>
        <w:t xml:space="preserve"> 9.</w:t>
      </w:r>
    </w:p>
  </w:footnote>
  <w:footnote w:id="40">
    <w:p w14:paraId="3B11064C" w14:textId="209EB45E" w:rsidR="00276A1F" w:rsidRPr="00650AD8" w:rsidRDefault="00276A1F" w:rsidP="00187BA6">
      <w:pPr>
        <w:pStyle w:val="Notedebasdepage"/>
        <w:rPr>
          <w:lang w:val="en-CA"/>
        </w:rPr>
      </w:pPr>
      <w:r w:rsidRPr="00650AD8">
        <w:rPr>
          <w:rStyle w:val="Appelnotedebasdep"/>
          <w:lang w:val="en-CA"/>
        </w:rPr>
        <w:footnoteRef/>
      </w:r>
      <w:r w:rsidRPr="00650AD8">
        <w:rPr>
          <w:lang w:val="en-CA"/>
        </w:rPr>
        <w:t xml:space="preserve"> </w:t>
      </w:r>
      <w:r w:rsidRPr="00650AD8">
        <w:rPr>
          <w:lang w:val="en-CA"/>
        </w:rPr>
        <w:tab/>
      </w:r>
      <w:r w:rsidRPr="00650AD8">
        <w:rPr>
          <w:i/>
          <w:lang w:val="en-CA"/>
        </w:rPr>
        <w:t xml:space="preserve">R. </w:t>
      </w:r>
      <w:r w:rsidR="00650AD8">
        <w:rPr>
          <w:i/>
          <w:lang w:val="en-CA"/>
        </w:rPr>
        <w:t>v</w:t>
      </w:r>
      <w:r w:rsidRPr="00650AD8">
        <w:rPr>
          <w:i/>
          <w:lang w:val="en-CA"/>
        </w:rPr>
        <w:t>. Feeney</w:t>
      </w:r>
      <w:r w:rsidRPr="00650AD8">
        <w:rPr>
          <w:lang w:val="en-CA"/>
        </w:rPr>
        <w:t xml:space="preserve">, [1997] 2 </w:t>
      </w:r>
      <w:r w:rsidR="00B131F0" w:rsidRPr="00650AD8">
        <w:rPr>
          <w:lang w:val="en-CA"/>
        </w:rPr>
        <w:t>S.C.R.</w:t>
      </w:r>
      <w:r w:rsidRPr="00650AD8">
        <w:rPr>
          <w:lang w:val="en-CA"/>
        </w:rPr>
        <w:t xml:space="preserve"> 13, </w:t>
      </w:r>
      <w:r w:rsidR="00B131F0" w:rsidRPr="00650AD8">
        <w:rPr>
          <w:lang w:val="en-CA"/>
        </w:rPr>
        <w:t>para.</w:t>
      </w:r>
      <w:r w:rsidRPr="00650AD8">
        <w:rPr>
          <w:lang w:val="en-CA"/>
        </w:rPr>
        <w:t xml:space="preserve"> 32; </w:t>
      </w:r>
      <w:r w:rsidRPr="00650AD8">
        <w:rPr>
          <w:i/>
          <w:iCs/>
          <w:lang w:val="en-CA"/>
        </w:rPr>
        <w:t xml:space="preserve">R. </w:t>
      </w:r>
      <w:r w:rsidR="00650AD8">
        <w:rPr>
          <w:i/>
          <w:iCs/>
          <w:lang w:val="en-CA"/>
        </w:rPr>
        <w:t>v</w:t>
      </w:r>
      <w:r w:rsidRPr="00650AD8">
        <w:rPr>
          <w:i/>
          <w:iCs/>
          <w:lang w:val="en-CA"/>
        </w:rPr>
        <w:t>. Sheppard</w:t>
      </w:r>
      <w:r w:rsidRPr="00650AD8">
        <w:rPr>
          <w:lang w:val="en-CA"/>
        </w:rPr>
        <w:t xml:space="preserve">, 2002 </w:t>
      </w:r>
      <w:r w:rsidR="00B131F0" w:rsidRPr="00650AD8">
        <w:rPr>
          <w:lang w:val="en-CA"/>
        </w:rPr>
        <w:t>SCC</w:t>
      </w:r>
      <w:r w:rsidRPr="00650AD8">
        <w:rPr>
          <w:lang w:val="en-CA"/>
        </w:rPr>
        <w:t xml:space="preserve"> 26, [2002] 1 </w:t>
      </w:r>
      <w:r w:rsidR="00B131F0" w:rsidRPr="00650AD8">
        <w:rPr>
          <w:lang w:val="en-CA"/>
        </w:rPr>
        <w:t>S.C.R.</w:t>
      </w:r>
      <w:r w:rsidRPr="00650AD8">
        <w:rPr>
          <w:lang w:val="en-CA"/>
        </w:rPr>
        <w:t xml:space="preserve"> 869, </w:t>
      </w:r>
      <w:r w:rsidR="00B131F0" w:rsidRPr="00650AD8">
        <w:rPr>
          <w:lang w:val="en-CA"/>
        </w:rPr>
        <w:t>para.</w:t>
      </w:r>
      <w:r w:rsidRPr="00650AD8">
        <w:rPr>
          <w:lang w:val="en-CA"/>
        </w:rPr>
        <w:t> 44</w:t>
      </w:r>
      <w:r w:rsidRPr="00650AD8">
        <w:rPr>
          <w:lang w:val="en-CA"/>
        </w:rPr>
        <w:noBreakHyphen/>
        <w:t xml:space="preserve">45; </w:t>
      </w:r>
      <w:r w:rsidRPr="00650AD8">
        <w:rPr>
          <w:i/>
          <w:lang w:val="en-CA"/>
        </w:rPr>
        <w:t>R. c. Bertrand</w:t>
      </w:r>
      <w:r w:rsidRPr="00650AD8">
        <w:rPr>
          <w:lang w:val="en-CA"/>
        </w:rPr>
        <w:t xml:space="preserve">, 2011 QCCA 1412, </w:t>
      </w:r>
      <w:r w:rsidR="00B131F0" w:rsidRPr="00650AD8">
        <w:rPr>
          <w:lang w:val="en-CA"/>
        </w:rPr>
        <w:t>para.</w:t>
      </w:r>
      <w:r w:rsidRPr="00650AD8">
        <w:rPr>
          <w:lang w:val="en-CA"/>
        </w:rPr>
        <w:t xml:space="preserve"> 73; </w:t>
      </w:r>
      <w:r w:rsidRPr="00650AD8">
        <w:rPr>
          <w:i/>
          <w:lang w:val="en-CA"/>
        </w:rPr>
        <w:t>R. c. Dorval</w:t>
      </w:r>
      <w:r w:rsidRPr="00650AD8">
        <w:rPr>
          <w:lang w:val="en-CA"/>
        </w:rPr>
        <w:t xml:space="preserve">, 2010 QCCA 2287, </w:t>
      </w:r>
      <w:r w:rsidR="00B131F0" w:rsidRPr="00650AD8">
        <w:rPr>
          <w:lang w:val="en-CA"/>
        </w:rPr>
        <w:t>para.</w:t>
      </w:r>
      <w:r w:rsidRPr="00650AD8">
        <w:rPr>
          <w:lang w:val="en-CA"/>
        </w:rPr>
        <w:t xml:space="preserve"> 21.</w:t>
      </w:r>
    </w:p>
  </w:footnote>
  <w:footnote w:id="41">
    <w:p w14:paraId="172B5340" w14:textId="0126C573" w:rsidR="00276A1F" w:rsidRPr="00650AD8" w:rsidRDefault="00276A1F" w:rsidP="00187BA6">
      <w:pPr>
        <w:pStyle w:val="Notedebasdepage"/>
        <w:rPr>
          <w:lang w:val="en-CA"/>
        </w:rPr>
      </w:pPr>
      <w:r w:rsidRPr="00650AD8">
        <w:rPr>
          <w:rStyle w:val="Appelnotedebasdep"/>
          <w:lang w:val="en-CA"/>
        </w:rPr>
        <w:footnoteRef/>
      </w:r>
      <w:r w:rsidRPr="00650AD8">
        <w:rPr>
          <w:lang w:val="en-CA"/>
        </w:rPr>
        <w:t xml:space="preserve"> </w:t>
      </w:r>
      <w:r w:rsidRPr="00650AD8">
        <w:rPr>
          <w:lang w:val="en-CA"/>
        </w:rPr>
        <w:tab/>
      </w:r>
      <w:r w:rsidRPr="00650AD8">
        <w:rPr>
          <w:i/>
          <w:iCs/>
          <w:lang w:val="en-CA"/>
        </w:rPr>
        <w:t xml:space="preserve">R. </w:t>
      </w:r>
      <w:r w:rsidR="00650AD8">
        <w:rPr>
          <w:i/>
          <w:iCs/>
          <w:lang w:val="en-CA"/>
        </w:rPr>
        <w:t>v</w:t>
      </w:r>
      <w:r w:rsidRPr="00650AD8">
        <w:rPr>
          <w:i/>
          <w:iCs/>
          <w:lang w:val="en-CA"/>
        </w:rPr>
        <w:t>. Sheppard</w:t>
      </w:r>
      <w:r w:rsidRPr="00650AD8">
        <w:rPr>
          <w:lang w:val="en-CA"/>
        </w:rPr>
        <w:t xml:space="preserve">, 2002 </w:t>
      </w:r>
      <w:r w:rsidR="00B131F0" w:rsidRPr="00650AD8">
        <w:rPr>
          <w:lang w:val="en-CA"/>
        </w:rPr>
        <w:t>SCC</w:t>
      </w:r>
      <w:r w:rsidRPr="00650AD8">
        <w:rPr>
          <w:lang w:val="en-CA"/>
        </w:rPr>
        <w:t xml:space="preserve"> 26, [2002] 1 </w:t>
      </w:r>
      <w:r w:rsidR="00B131F0" w:rsidRPr="00650AD8">
        <w:rPr>
          <w:lang w:val="en-CA"/>
        </w:rPr>
        <w:t>S.C.R.</w:t>
      </w:r>
      <w:r w:rsidRPr="00650AD8">
        <w:rPr>
          <w:lang w:val="en-CA"/>
        </w:rPr>
        <w:t xml:space="preserve"> 869, </w:t>
      </w:r>
      <w:r w:rsidR="00B131F0" w:rsidRPr="00650AD8">
        <w:rPr>
          <w:lang w:val="en-CA"/>
        </w:rPr>
        <w:t>para.</w:t>
      </w:r>
      <w:r w:rsidRPr="00650AD8">
        <w:rPr>
          <w:lang w:val="en-CA"/>
        </w:rPr>
        <w:t xml:space="preserve"> 33.</w:t>
      </w:r>
    </w:p>
  </w:footnote>
  <w:footnote w:id="42">
    <w:p w14:paraId="74257638" w14:textId="593958C5" w:rsidR="00276A1F" w:rsidRPr="00650AD8" w:rsidRDefault="00276A1F" w:rsidP="00187BA6">
      <w:pPr>
        <w:pStyle w:val="Notedebasdepage"/>
        <w:rPr>
          <w:lang w:val="en-CA"/>
        </w:rPr>
      </w:pPr>
      <w:r w:rsidRPr="00650AD8">
        <w:rPr>
          <w:rStyle w:val="Appelnotedebasdep"/>
          <w:lang w:val="en-CA"/>
        </w:rPr>
        <w:footnoteRef/>
      </w:r>
      <w:r w:rsidRPr="00650AD8">
        <w:rPr>
          <w:lang w:val="en-CA"/>
        </w:rPr>
        <w:t xml:space="preserve"> </w:t>
      </w:r>
      <w:r w:rsidRPr="00650AD8">
        <w:rPr>
          <w:lang w:val="en-CA"/>
        </w:rPr>
        <w:tab/>
      </w:r>
      <w:r w:rsidR="00650AD8">
        <w:rPr>
          <w:lang w:val="en-CA"/>
        </w:rPr>
        <w:t>See</w:t>
      </w:r>
      <w:r w:rsidRPr="00650AD8">
        <w:rPr>
          <w:lang w:val="en-CA"/>
        </w:rPr>
        <w:t xml:space="preserve"> K. Roach, </w:t>
      </w:r>
      <w:r w:rsidR="00650AD8">
        <w:rPr>
          <w:lang w:val="en-CA"/>
        </w:rPr>
        <w:t>“</w:t>
      </w:r>
      <w:r w:rsidRPr="00650AD8">
        <w:rPr>
          <w:lang w:val="en-CA"/>
        </w:rPr>
        <w:t>Sexual Assault Law</w:t>
      </w:r>
      <w:r w:rsidR="00650AD8">
        <w:rPr>
          <w:lang w:val="en-CA"/>
        </w:rPr>
        <w:t>”</w:t>
      </w:r>
      <w:r w:rsidRPr="00650AD8">
        <w:rPr>
          <w:lang w:val="en-CA"/>
        </w:rPr>
        <w:t xml:space="preserve"> (2022), 70 C.L.Q. 1; H. Stewart, </w:t>
      </w:r>
      <w:r w:rsidR="00650AD8">
        <w:rPr>
          <w:lang w:val="en-CA"/>
        </w:rPr>
        <w:t>“</w:t>
      </w:r>
      <w:r w:rsidRPr="00650AD8">
        <w:rPr>
          <w:lang w:val="en-CA"/>
        </w:rPr>
        <w:t>The Fault Element of Sexual Assault</w:t>
      </w:r>
      <w:r w:rsidR="00650AD8">
        <w:rPr>
          <w:lang w:val="en-CA"/>
        </w:rPr>
        <w:t>”</w:t>
      </w:r>
      <w:r w:rsidRPr="00650AD8">
        <w:rPr>
          <w:lang w:val="en-CA"/>
        </w:rPr>
        <w:t xml:space="preserve"> (2022), 70 C.L.Q. 4; M. Plaxton, </w:t>
      </w:r>
      <w:r w:rsidR="00650AD8">
        <w:rPr>
          <w:lang w:val="en-CA"/>
        </w:rPr>
        <w:t>“</w:t>
      </w:r>
      <w:r w:rsidRPr="00650AD8">
        <w:rPr>
          <w:lang w:val="en-CA"/>
        </w:rPr>
        <w:t>Sexual Assault’s Strangely Intractable Fault Problem</w:t>
      </w:r>
      <w:r w:rsidR="00650AD8">
        <w:rPr>
          <w:lang w:val="en-CA"/>
        </w:rPr>
        <w:t>”</w:t>
      </w:r>
      <w:r w:rsidRPr="00650AD8">
        <w:rPr>
          <w:lang w:val="en-CA"/>
        </w:rPr>
        <w:t xml:space="preserve"> (2022), 70 C.L.Q. 33; I. Grant </w:t>
      </w:r>
      <w:r w:rsidR="00650AD8">
        <w:rPr>
          <w:lang w:val="en-CA"/>
        </w:rPr>
        <w:t>and</w:t>
      </w:r>
      <w:r w:rsidRPr="00650AD8">
        <w:rPr>
          <w:lang w:val="en-CA"/>
        </w:rPr>
        <w:t xml:space="preserve"> J. Benedet, </w:t>
      </w:r>
      <w:r w:rsidR="00650AD8">
        <w:rPr>
          <w:lang w:val="en-CA"/>
        </w:rPr>
        <w:t>“</w:t>
      </w:r>
      <w:r w:rsidRPr="00650AD8">
        <w:rPr>
          <w:lang w:val="en-CA"/>
        </w:rPr>
        <w:t xml:space="preserve">The Meaning of Capacity and Consent in Sexual Assault: </w:t>
      </w:r>
      <w:r w:rsidRPr="00650AD8">
        <w:rPr>
          <w:i/>
          <w:iCs/>
          <w:lang w:val="en-CA"/>
        </w:rPr>
        <w:t>R. v. G.F.</w:t>
      </w:r>
      <w:r w:rsidR="00650AD8">
        <w:rPr>
          <w:i/>
          <w:iCs/>
          <w:lang w:val="en-CA"/>
        </w:rPr>
        <w:t>”</w:t>
      </w:r>
      <w:r w:rsidRPr="00650AD8">
        <w:rPr>
          <w:lang w:val="en-CA"/>
        </w:rPr>
        <w:t xml:space="preserve"> (2022), 70 C.L.Q. 78; N. Kaschuk, </w:t>
      </w:r>
      <w:r w:rsidR="00650AD8">
        <w:rPr>
          <w:lang w:val="en-CA"/>
        </w:rPr>
        <w:t>“</w:t>
      </w:r>
      <w:r w:rsidRPr="00650AD8">
        <w:rPr>
          <w:lang w:val="en-CA"/>
        </w:rPr>
        <w:t>Intoxication, Sexual Assault, and Consent</w:t>
      </w:r>
      <w:r w:rsidR="00650AD8">
        <w:rPr>
          <w:lang w:val="en-CA"/>
        </w:rPr>
        <w:t>”</w:t>
      </w:r>
      <w:r w:rsidRPr="00650AD8">
        <w:rPr>
          <w:lang w:val="en-CA"/>
        </w:rPr>
        <w:t xml:space="preserve"> (2022), 70 C.L.Q. 113; H. Stewart, </w:t>
      </w:r>
      <w:r w:rsidR="00650AD8">
        <w:rPr>
          <w:lang w:val="en-CA"/>
        </w:rPr>
        <w:t>“</w:t>
      </w:r>
      <w:r w:rsidRPr="00650AD8">
        <w:rPr>
          <w:lang w:val="en-CA"/>
        </w:rPr>
        <w:t xml:space="preserve">Fault and “Reasonable Steps”: The Troubling Implications of </w:t>
      </w:r>
      <w:r w:rsidRPr="00650AD8">
        <w:rPr>
          <w:i/>
          <w:iCs/>
          <w:lang w:val="en-CA"/>
        </w:rPr>
        <w:t>Morrison</w:t>
      </w:r>
      <w:r w:rsidRPr="00650AD8">
        <w:rPr>
          <w:lang w:val="en-CA"/>
        </w:rPr>
        <w:t xml:space="preserve"> and </w:t>
      </w:r>
      <w:r w:rsidRPr="00650AD8">
        <w:rPr>
          <w:i/>
          <w:iCs/>
          <w:lang w:val="en-CA"/>
        </w:rPr>
        <w:t>Barton</w:t>
      </w:r>
      <w:r w:rsidR="00650AD8">
        <w:rPr>
          <w:i/>
          <w:iCs/>
          <w:lang w:val="en-CA"/>
        </w:rPr>
        <w:t>”</w:t>
      </w:r>
      <w:r w:rsidRPr="00650AD8">
        <w:rPr>
          <w:lang w:val="en-CA"/>
        </w:rPr>
        <w:t xml:space="preserve"> (2019), 24 Can. Crim. L. Rev. 379.</w:t>
      </w:r>
    </w:p>
  </w:footnote>
  <w:footnote w:id="43">
    <w:p w14:paraId="5C35367B" w14:textId="2C1871C1" w:rsidR="00276A1F" w:rsidRPr="000742B1" w:rsidRDefault="00276A1F" w:rsidP="00187BA6">
      <w:pPr>
        <w:pStyle w:val="Notedebasdepage"/>
        <w:rPr>
          <w:lang w:val="en-CA"/>
        </w:rPr>
      </w:pPr>
      <w:r>
        <w:rPr>
          <w:rStyle w:val="Appelnotedebasdep"/>
        </w:rPr>
        <w:footnoteRef/>
      </w:r>
      <w:r>
        <w:t xml:space="preserve"> </w:t>
      </w:r>
      <w:r>
        <w:tab/>
      </w:r>
      <w:r w:rsidR="00300AA0">
        <w:rPr>
          <w:lang w:val="en-CA"/>
        </w:rPr>
        <w:t>See, for example,</w:t>
      </w:r>
      <w:r w:rsidRPr="000742B1">
        <w:rPr>
          <w:lang w:val="en-CA"/>
        </w:rPr>
        <w:t xml:space="preserve"> </w:t>
      </w:r>
      <w:r w:rsidRPr="000742B1">
        <w:rPr>
          <w:i/>
          <w:iCs/>
          <w:lang w:val="en-CA"/>
        </w:rPr>
        <w:t xml:space="preserve">R. </w:t>
      </w:r>
      <w:r w:rsidR="00300AA0">
        <w:rPr>
          <w:i/>
          <w:iCs/>
          <w:lang w:val="en-CA"/>
        </w:rPr>
        <w:t>v</w:t>
      </w:r>
      <w:r w:rsidRPr="000742B1">
        <w:rPr>
          <w:i/>
          <w:iCs/>
          <w:lang w:val="en-CA"/>
        </w:rPr>
        <w:t>. R.E.M.</w:t>
      </w:r>
      <w:r w:rsidRPr="000742B1">
        <w:rPr>
          <w:lang w:val="en-CA"/>
        </w:rPr>
        <w:t xml:space="preserve">, 2008 </w:t>
      </w:r>
      <w:r w:rsidR="00B131F0" w:rsidRPr="000742B1">
        <w:rPr>
          <w:lang w:val="en-CA"/>
        </w:rPr>
        <w:t>SCC</w:t>
      </w:r>
      <w:r w:rsidRPr="000742B1">
        <w:rPr>
          <w:lang w:val="en-CA"/>
        </w:rPr>
        <w:t xml:space="preserve"> 51, [2008] 3 </w:t>
      </w:r>
      <w:r w:rsidR="00B131F0" w:rsidRPr="000742B1">
        <w:rPr>
          <w:lang w:val="en-CA"/>
        </w:rPr>
        <w:t>S.C.R.</w:t>
      </w:r>
      <w:r w:rsidRPr="000742B1">
        <w:rPr>
          <w:lang w:val="en-CA"/>
        </w:rPr>
        <w:t xml:space="preserve"> 3, </w:t>
      </w:r>
      <w:r w:rsidR="00300AA0">
        <w:rPr>
          <w:lang w:val="en-CA"/>
        </w:rPr>
        <w:t>where</w:t>
      </w:r>
      <w:r w:rsidRPr="000742B1">
        <w:rPr>
          <w:lang w:val="en-CA"/>
        </w:rPr>
        <w:t xml:space="preserve"> </w:t>
      </w:r>
      <w:r w:rsidR="000742B1">
        <w:rPr>
          <w:lang w:val="en-CA"/>
        </w:rPr>
        <w:t>“</w:t>
      </w:r>
      <w:r w:rsidR="000742B1" w:rsidRPr="000742B1">
        <w:rPr>
          <w:lang w:val="en-CA"/>
        </w:rPr>
        <w:t>[t]he evidence dealt with 11 incidents relating to 4 counts respecting the complainant</w:t>
      </w:r>
      <w:r w:rsidR="000742B1">
        <w:rPr>
          <w:lang w:val="en-CA"/>
        </w:rPr>
        <w:t>”</w:t>
      </w:r>
      <w:r w:rsidRPr="000742B1">
        <w:rPr>
          <w:lang w:val="en-CA"/>
        </w:rPr>
        <w:t xml:space="preserve"> (</w:t>
      </w:r>
      <w:r w:rsidR="00B131F0" w:rsidRPr="000742B1">
        <w:rPr>
          <w:lang w:val="en-CA"/>
        </w:rPr>
        <w:t>para.</w:t>
      </w:r>
      <w:r w:rsidRPr="000742B1">
        <w:rPr>
          <w:lang w:val="en-CA"/>
        </w:rPr>
        <w:t xml:space="preserve"> 6). </w:t>
      </w:r>
      <w:r w:rsidR="00300AA0">
        <w:rPr>
          <w:lang w:val="en-CA"/>
        </w:rPr>
        <w:t>On this issue, see</w:t>
      </w:r>
      <w:r w:rsidRPr="000742B1">
        <w:rPr>
          <w:lang w:val="en-CA"/>
        </w:rPr>
        <w:t xml:space="preserve">: </w:t>
      </w:r>
      <w:r w:rsidRPr="000742B1">
        <w:rPr>
          <w:i/>
          <w:iCs/>
          <w:lang w:val="en-CA"/>
        </w:rPr>
        <w:t>R. v. Schoer</w:t>
      </w:r>
      <w:r w:rsidRPr="000742B1">
        <w:rPr>
          <w:lang w:val="en-CA"/>
        </w:rPr>
        <w:t xml:space="preserve">, 2019 ONCA 105, </w:t>
      </w:r>
      <w:r w:rsidR="00B131F0" w:rsidRPr="000742B1">
        <w:rPr>
          <w:lang w:val="en-CA"/>
        </w:rPr>
        <w:t>para.</w:t>
      </w:r>
      <w:r w:rsidRPr="000742B1">
        <w:rPr>
          <w:lang w:val="en-CA"/>
        </w:rPr>
        <w:t xml:space="preserve"> 62; </w:t>
      </w:r>
      <w:r w:rsidRPr="000742B1">
        <w:rPr>
          <w:i/>
          <w:iCs/>
          <w:lang w:val="en-CA"/>
        </w:rPr>
        <w:t>R. v. L.F.P.</w:t>
      </w:r>
      <w:r w:rsidRPr="000742B1">
        <w:rPr>
          <w:lang w:val="en-CA"/>
        </w:rPr>
        <w:t xml:space="preserve">, 2017 ONCA 132, </w:t>
      </w:r>
      <w:r w:rsidR="00B131F0" w:rsidRPr="000742B1">
        <w:rPr>
          <w:lang w:val="en-CA"/>
        </w:rPr>
        <w:t>para.</w:t>
      </w:r>
      <w:r w:rsidRPr="000742B1">
        <w:rPr>
          <w:lang w:val="en-CA"/>
        </w:rPr>
        <w:t xml:space="preserve"> 3; </w:t>
      </w:r>
      <w:r w:rsidRPr="000742B1">
        <w:rPr>
          <w:i/>
          <w:iCs/>
          <w:lang w:val="en-CA"/>
        </w:rPr>
        <w:t>R. v. Chamot</w:t>
      </w:r>
      <w:r w:rsidRPr="000742B1">
        <w:rPr>
          <w:lang w:val="en-CA"/>
        </w:rPr>
        <w:t xml:space="preserve">, 2012 ONCA 903, </w:t>
      </w:r>
      <w:r w:rsidR="00B131F0" w:rsidRPr="000742B1">
        <w:rPr>
          <w:lang w:val="en-CA"/>
        </w:rPr>
        <w:t>para.</w:t>
      </w:r>
      <w:r w:rsidRPr="000742B1">
        <w:rPr>
          <w:lang w:val="en-CA"/>
        </w:rPr>
        <w:t xml:space="preserve"> 49; </w:t>
      </w:r>
      <w:r w:rsidRPr="000742B1">
        <w:rPr>
          <w:i/>
          <w:iCs/>
          <w:lang w:val="en-CA"/>
        </w:rPr>
        <w:t>R. v. Sandhu</w:t>
      </w:r>
      <w:r w:rsidRPr="000742B1">
        <w:rPr>
          <w:lang w:val="en-CA"/>
        </w:rPr>
        <w:t xml:space="preserve">, 2009 ONCA 102, </w:t>
      </w:r>
      <w:r w:rsidR="00B131F0" w:rsidRPr="000742B1">
        <w:rPr>
          <w:lang w:val="en-CA"/>
        </w:rPr>
        <w:t>para.</w:t>
      </w:r>
      <w:r w:rsidRPr="000742B1">
        <w:rPr>
          <w:lang w:val="en-CA"/>
        </w:rPr>
        <w:t xml:space="preserve"> 19; </w:t>
      </w:r>
      <w:r w:rsidRPr="000742B1">
        <w:rPr>
          <w:i/>
          <w:iCs/>
          <w:lang w:val="en-CA"/>
        </w:rPr>
        <w:t>Charrière c. R.</w:t>
      </w:r>
      <w:r w:rsidRPr="000742B1">
        <w:rPr>
          <w:lang w:val="en-CA"/>
        </w:rPr>
        <w:t xml:space="preserve">, 2021 QCCA 1338, </w:t>
      </w:r>
      <w:r w:rsidR="00B131F0" w:rsidRPr="000742B1">
        <w:rPr>
          <w:lang w:val="en-CA"/>
        </w:rPr>
        <w:t>para</w:t>
      </w:r>
      <w:r w:rsidR="00300AA0">
        <w:rPr>
          <w:lang w:val="en-CA"/>
        </w:rPr>
        <w:t>s</w:t>
      </w:r>
      <w:r w:rsidR="00B131F0" w:rsidRPr="000742B1">
        <w:rPr>
          <w:lang w:val="en-CA"/>
        </w:rPr>
        <w:t>.</w:t>
      </w:r>
      <w:r w:rsidRPr="000742B1">
        <w:rPr>
          <w:lang w:val="en-CA"/>
        </w:rPr>
        <w:t xml:space="preserve"> 96-101.</w:t>
      </w:r>
    </w:p>
  </w:footnote>
  <w:footnote w:id="44">
    <w:p w14:paraId="0077FB82" w14:textId="26C0C63C" w:rsidR="00276A1F" w:rsidRDefault="00276A1F" w:rsidP="00187BA6">
      <w:pPr>
        <w:pStyle w:val="Notedebasdepage"/>
      </w:pPr>
      <w:r>
        <w:rPr>
          <w:rStyle w:val="Appelnotedebasdep"/>
        </w:rPr>
        <w:footnoteRef/>
      </w:r>
      <w:r>
        <w:t xml:space="preserve"> </w:t>
      </w:r>
      <w:r>
        <w:tab/>
      </w:r>
      <w:r w:rsidRPr="007048E4">
        <w:rPr>
          <w:i/>
          <w:iCs/>
        </w:rPr>
        <w:t xml:space="preserve">R. </w:t>
      </w:r>
      <w:r w:rsidR="00300AA0">
        <w:rPr>
          <w:i/>
          <w:iCs/>
        </w:rPr>
        <w:t>v</w:t>
      </w:r>
      <w:r w:rsidRPr="007048E4">
        <w:rPr>
          <w:i/>
          <w:iCs/>
        </w:rPr>
        <w:t>. M.R.H.</w:t>
      </w:r>
      <w:r>
        <w:t xml:space="preserve">, </w:t>
      </w:r>
      <w:r w:rsidRPr="007048E4">
        <w:t xml:space="preserve">2019 </w:t>
      </w:r>
      <w:r w:rsidR="00B131F0">
        <w:t>SCC</w:t>
      </w:r>
      <w:r w:rsidRPr="007048E4">
        <w:t xml:space="preserve"> 46, [2019] 3 </w:t>
      </w:r>
      <w:r w:rsidR="00B131F0">
        <w:t>S.C.R.</w:t>
      </w:r>
      <w:r w:rsidRPr="007048E4">
        <w:t xml:space="preserve"> 563</w:t>
      </w:r>
      <w:r>
        <w:t xml:space="preserve">, </w:t>
      </w:r>
      <w:r w:rsidR="00B131F0">
        <w:t>para.</w:t>
      </w:r>
      <w:r>
        <w:t xml:space="preserve"> 5.</w:t>
      </w:r>
    </w:p>
  </w:footnote>
  <w:footnote w:id="45">
    <w:p w14:paraId="15F85025" w14:textId="00382059" w:rsidR="00276A1F" w:rsidRDefault="00276A1F" w:rsidP="00187BA6">
      <w:pPr>
        <w:pStyle w:val="Notedebasdepage"/>
      </w:pPr>
      <w:r>
        <w:rPr>
          <w:rStyle w:val="Appelnotedebasdep"/>
        </w:rPr>
        <w:footnoteRef/>
      </w:r>
      <w:r>
        <w:t xml:space="preserve"> </w:t>
      </w:r>
      <w:r>
        <w:tab/>
      </w:r>
      <w:r w:rsidRPr="00405CB1">
        <w:rPr>
          <w:i/>
          <w:iCs/>
        </w:rPr>
        <w:t>Foomani c. R.</w:t>
      </w:r>
      <w:r w:rsidRPr="00405CB1">
        <w:t>, 2023 QCCA 232</w:t>
      </w:r>
      <w:r>
        <w:t xml:space="preserve">, </w:t>
      </w:r>
      <w:r w:rsidR="00B131F0">
        <w:t>para.</w:t>
      </w:r>
      <w:r>
        <w:t xml:space="preserve"> 141; </w:t>
      </w:r>
      <w:r w:rsidRPr="00405CB1">
        <w:rPr>
          <w:i/>
          <w:iCs/>
        </w:rPr>
        <w:t>Perron c. R.</w:t>
      </w:r>
      <w:r w:rsidRPr="00405CB1">
        <w:t>, 2022 QCCA 1674</w:t>
      </w:r>
      <w:r>
        <w:t xml:space="preserve">, </w:t>
      </w:r>
      <w:r w:rsidR="00B131F0">
        <w:t>para.</w:t>
      </w:r>
      <w:r>
        <w:t xml:space="preserve"> 28;</w:t>
      </w:r>
      <w:r w:rsidRPr="00405CB1">
        <w:t xml:space="preserve"> </w:t>
      </w:r>
      <w:r w:rsidRPr="00405CB1">
        <w:rPr>
          <w:i/>
          <w:iCs/>
        </w:rPr>
        <w:t>R.B. c. R.</w:t>
      </w:r>
      <w:r w:rsidRPr="00405CB1">
        <w:t>, 2021</w:t>
      </w:r>
      <w:r>
        <w:t> </w:t>
      </w:r>
      <w:r w:rsidRPr="00405CB1">
        <w:t>QCCA 1813</w:t>
      </w:r>
      <w:r>
        <w:t xml:space="preserve">, </w:t>
      </w:r>
      <w:r w:rsidR="00B131F0">
        <w:t>para.</w:t>
      </w:r>
      <w:r>
        <w:t xml:space="preserve"> 23.</w:t>
      </w:r>
    </w:p>
  </w:footnote>
  <w:footnote w:id="46">
    <w:p w14:paraId="72274B78" w14:textId="021BDA28" w:rsidR="00276A1F" w:rsidRPr="00286A33" w:rsidRDefault="00276A1F" w:rsidP="00187BA6">
      <w:pPr>
        <w:pStyle w:val="Notedebasdepage"/>
        <w:rPr>
          <w:lang w:val="en-CA"/>
        </w:rPr>
      </w:pPr>
      <w:r>
        <w:rPr>
          <w:rStyle w:val="Appelnotedebasdep"/>
        </w:rPr>
        <w:footnoteRef/>
      </w:r>
      <w:r>
        <w:t xml:space="preserve"> </w:t>
      </w:r>
      <w:r>
        <w:tab/>
      </w:r>
      <w:r w:rsidR="00286A33" w:rsidRPr="00286A33">
        <w:rPr>
          <w:lang w:val="en-CA"/>
        </w:rPr>
        <w:t xml:space="preserve">The respondent maintains that there was no sexual intercourse or touching of a sexual nature. There was no </w:t>
      </w:r>
      <w:r w:rsidR="00EE4078">
        <w:rPr>
          <w:lang w:val="en-CA"/>
        </w:rPr>
        <w:t>discussion</w:t>
      </w:r>
      <w:r w:rsidR="00286A33" w:rsidRPr="00286A33">
        <w:rPr>
          <w:lang w:val="en-CA"/>
        </w:rPr>
        <w:t xml:space="preserve"> at trial regarding the specific legal basis for a finding of guilt in respect of this first incident. That said, given the recorded exchange that I have reproduced, the use of force or the threat of force in a sexual context </w:t>
      </w:r>
      <w:r w:rsidRPr="00286A33">
        <w:rPr>
          <w:lang w:val="en-CA"/>
        </w:rPr>
        <w:t>(</w:t>
      </w:r>
      <w:r w:rsidRPr="00286A33">
        <w:rPr>
          <w:i/>
          <w:iCs/>
          <w:lang w:val="en-CA"/>
        </w:rPr>
        <w:t xml:space="preserve">R. </w:t>
      </w:r>
      <w:r w:rsidR="00286A33">
        <w:rPr>
          <w:i/>
          <w:iCs/>
          <w:lang w:val="en-CA"/>
        </w:rPr>
        <w:t>v</w:t>
      </w:r>
      <w:r w:rsidRPr="00286A33">
        <w:rPr>
          <w:i/>
          <w:iCs/>
          <w:lang w:val="en-CA"/>
        </w:rPr>
        <w:t>. Chase</w:t>
      </w:r>
      <w:r w:rsidRPr="00286A33">
        <w:rPr>
          <w:lang w:val="en-CA"/>
        </w:rPr>
        <w:t xml:space="preserve">, [1987] 2 </w:t>
      </w:r>
      <w:r w:rsidR="00B131F0" w:rsidRPr="00286A33">
        <w:rPr>
          <w:lang w:val="en-CA"/>
        </w:rPr>
        <w:t>S.C.R.</w:t>
      </w:r>
      <w:r w:rsidRPr="00286A33">
        <w:rPr>
          <w:lang w:val="en-CA"/>
        </w:rPr>
        <w:t xml:space="preserve"> 293, p. 302) </w:t>
      </w:r>
      <w:r w:rsidR="00286A33" w:rsidRPr="00286A33">
        <w:rPr>
          <w:lang w:val="en-CA"/>
        </w:rPr>
        <w:t xml:space="preserve">raised the question of whether the respondent's conduct constituted sexual assault. Although I am of the view that the judge's </w:t>
      </w:r>
      <w:r w:rsidR="00286A33">
        <w:rPr>
          <w:lang w:val="en-CA"/>
        </w:rPr>
        <w:t>finding</w:t>
      </w:r>
      <w:r w:rsidR="00286A33" w:rsidRPr="00286A33">
        <w:rPr>
          <w:lang w:val="en-CA"/>
        </w:rPr>
        <w:t xml:space="preserve"> regarding the existence of consent is </w:t>
      </w:r>
      <w:r w:rsidR="00286A33">
        <w:rPr>
          <w:lang w:val="en-CA"/>
        </w:rPr>
        <w:t>inadequately</w:t>
      </w:r>
      <w:r w:rsidR="00286A33" w:rsidRPr="00286A33">
        <w:rPr>
          <w:lang w:val="en-CA"/>
        </w:rPr>
        <w:t xml:space="preserve"> reasoned, the judge must nevertheless have determined that the respondent's conduct was sexual in nature before </w:t>
      </w:r>
      <w:r w:rsidR="00286A33">
        <w:rPr>
          <w:lang w:val="en-CA"/>
        </w:rPr>
        <w:t>fin</w:t>
      </w:r>
      <w:r w:rsidR="00286A33" w:rsidRPr="00286A33">
        <w:rPr>
          <w:lang w:val="en-CA"/>
        </w:rPr>
        <w:t>ding that consent existed</w:t>
      </w:r>
      <w:r w:rsidRPr="00286A33">
        <w:rPr>
          <w:lang w:val="en-CA"/>
        </w:rPr>
        <w:t>.</w:t>
      </w:r>
    </w:p>
  </w:footnote>
  <w:footnote w:id="47">
    <w:p w14:paraId="6887307E" w14:textId="49FDDD49" w:rsidR="00276A1F" w:rsidRPr="00B625A6" w:rsidRDefault="00276A1F" w:rsidP="00187BA6">
      <w:pPr>
        <w:pStyle w:val="Notedebasdepage"/>
        <w:rPr>
          <w:lang w:val="en-CA"/>
        </w:rPr>
      </w:pPr>
      <w:r>
        <w:rPr>
          <w:rStyle w:val="Appelnotedebasdep"/>
        </w:rPr>
        <w:footnoteRef/>
      </w:r>
      <w:r>
        <w:t xml:space="preserve"> </w:t>
      </w:r>
      <w:r>
        <w:tab/>
      </w:r>
      <w:r w:rsidRPr="00B625A6">
        <w:rPr>
          <w:i/>
          <w:iCs/>
          <w:lang w:val="en-CA"/>
        </w:rPr>
        <w:t xml:space="preserve">R. </w:t>
      </w:r>
      <w:r w:rsidR="001B50BA">
        <w:rPr>
          <w:i/>
          <w:iCs/>
          <w:lang w:val="en-CA"/>
        </w:rPr>
        <w:t>v</w:t>
      </w:r>
      <w:r w:rsidRPr="00B625A6">
        <w:rPr>
          <w:i/>
          <w:iCs/>
          <w:lang w:val="en-CA"/>
        </w:rPr>
        <w:t>. J.A.</w:t>
      </w:r>
      <w:r w:rsidRPr="00B625A6">
        <w:rPr>
          <w:lang w:val="en-CA"/>
        </w:rPr>
        <w:t xml:space="preserve">, 2011 </w:t>
      </w:r>
      <w:r w:rsidR="00B131F0" w:rsidRPr="00B625A6">
        <w:rPr>
          <w:lang w:val="en-CA"/>
        </w:rPr>
        <w:t>SCC</w:t>
      </w:r>
      <w:r w:rsidRPr="00B625A6">
        <w:rPr>
          <w:lang w:val="en-CA"/>
        </w:rPr>
        <w:t xml:space="preserve"> 28, [2011] 2 </w:t>
      </w:r>
      <w:r w:rsidR="00B131F0" w:rsidRPr="00B625A6">
        <w:rPr>
          <w:lang w:val="en-CA"/>
        </w:rPr>
        <w:t>S.C.R.</w:t>
      </w:r>
      <w:r w:rsidRPr="00B625A6">
        <w:rPr>
          <w:lang w:val="en-CA"/>
        </w:rPr>
        <w:t xml:space="preserve"> 440, </w:t>
      </w:r>
      <w:r w:rsidR="00B131F0" w:rsidRPr="00B625A6">
        <w:rPr>
          <w:lang w:val="en-CA"/>
        </w:rPr>
        <w:t>para.</w:t>
      </w:r>
      <w:r w:rsidRPr="00B625A6">
        <w:rPr>
          <w:lang w:val="en-CA"/>
        </w:rPr>
        <w:t xml:space="preserve"> 31: </w:t>
      </w:r>
      <w:r w:rsidR="001B50BA">
        <w:rPr>
          <w:lang w:val="en-CA"/>
        </w:rPr>
        <w:t>“</w:t>
      </w:r>
      <w:r w:rsidR="00B625A6" w:rsidRPr="00B625A6">
        <w:rPr>
          <w:lang w:val="en-CA"/>
        </w:rPr>
        <w:t>consent [is] the conscious agreement of the complainant to engage in every sexual act in a particular encounter.</w:t>
      </w:r>
      <w:r w:rsidR="00B625A6">
        <w:rPr>
          <w:lang w:val="en-CA"/>
        </w:rPr>
        <w:t>”</w:t>
      </w:r>
    </w:p>
  </w:footnote>
  <w:footnote w:id="48">
    <w:p w14:paraId="255C379A" w14:textId="3FB7E119" w:rsidR="00276A1F" w:rsidRPr="00B625A6" w:rsidRDefault="00276A1F" w:rsidP="00187BA6">
      <w:pPr>
        <w:pStyle w:val="Notedebasdepage"/>
        <w:rPr>
          <w:lang w:val="en-CA"/>
        </w:rPr>
      </w:pPr>
      <w:r w:rsidRPr="00B625A6">
        <w:rPr>
          <w:rStyle w:val="Appelnotedebasdep"/>
          <w:lang w:val="en-CA"/>
        </w:rPr>
        <w:footnoteRef/>
      </w:r>
      <w:r w:rsidRPr="00B625A6">
        <w:rPr>
          <w:lang w:val="en-CA"/>
        </w:rPr>
        <w:t xml:space="preserve"> </w:t>
      </w:r>
      <w:r w:rsidRPr="00B625A6">
        <w:rPr>
          <w:lang w:val="en-CA"/>
        </w:rPr>
        <w:tab/>
      </w:r>
      <w:r w:rsidRPr="00B625A6">
        <w:rPr>
          <w:i/>
          <w:iCs/>
          <w:lang w:val="en-CA"/>
        </w:rPr>
        <w:t>LSJPA — 152</w:t>
      </w:r>
      <w:r w:rsidRPr="00B625A6">
        <w:rPr>
          <w:lang w:val="en-CA"/>
        </w:rPr>
        <w:t xml:space="preserve">, 2015 QCCA 39, </w:t>
      </w:r>
      <w:r w:rsidR="00B131F0" w:rsidRPr="00B625A6">
        <w:rPr>
          <w:lang w:val="en-CA"/>
        </w:rPr>
        <w:t>para.</w:t>
      </w:r>
      <w:r w:rsidRPr="00B625A6">
        <w:rPr>
          <w:lang w:val="en-CA"/>
        </w:rPr>
        <w:t xml:space="preserve"> 3.</w:t>
      </w:r>
    </w:p>
  </w:footnote>
  <w:footnote w:id="49">
    <w:p w14:paraId="5DCDE303" w14:textId="586CDB56" w:rsidR="00276A1F" w:rsidRPr="00B625A6" w:rsidRDefault="00276A1F" w:rsidP="00187BA6">
      <w:pPr>
        <w:pStyle w:val="Notedebasdepage"/>
        <w:rPr>
          <w:lang w:val="en-CA"/>
        </w:rPr>
      </w:pPr>
      <w:r w:rsidRPr="00B625A6">
        <w:rPr>
          <w:rStyle w:val="Appelnotedebasdep"/>
          <w:lang w:val="en-CA"/>
        </w:rPr>
        <w:footnoteRef/>
      </w:r>
      <w:r w:rsidRPr="00B625A6">
        <w:rPr>
          <w:lang w:val="en-CA"/>
        </w:rPr>
        <w:t xml:space="preserve"> </w:t>
      </w:r>
      <w:r w:rsidRPr="00B625A6">
        <w:rPr>
          <w:lang w:val="en-CA"/>
        </w:rPr>
        <w:tab/>
      </w:r>
      <w:r w:rsidRPr="00B625A6">
        <w:rPr>
          <w:i/>
          <w:iCs/>
          <w:lang w:val="en-CA"/>
        </w:rPr>
        <w:t xml:space="preserve">R. </w:t>
      </w:r>
      <w:r w:rsidR="00C97F85">
        <w:rPr>
          <w:i/>
          <w:iCs/>
          <w:lang w:val="en-CA"/>
        </w:rPr>
        <w:t>v</w:t>
      </w:r>
      <w:r w:rsidRPr="00B625A6">
        <w:rPr>
          <w:i/>
          <w:iCs/>
          <w:lang w:val="en-CA"/>
        </w:rPr>
        <w:t>. Walker</w:t>
      </w:r>
      <w:r w:rsidRPr="00B625A6">
        <w:rPr>
          <w:lang w:val="en-CA"/>
        </w:rPr>
        <w:t xml:space="preserve">, 2008 </w:t>
      </w:r>
      <w:r w:rsidR="00B131F0" w:rsidRPr="00B625A6">
        <w:rPr>
          <w:lang w:val="en-CA"/>
        </w:rPr>
        <w:t>SCC</w:t>
      </w:r>
      <w:r w:rsidRPr="00B625A6">
        <w:rPr>
          <w:lang w:val="en-CA"/>
        </w:rPr>
        <w:t xml:space="preserve"> 34, [2008] 2 </w:t>
      </w:r>
      <w:r w:rsidR="00B131F0" w:rsidRPr="00B625A6">
        <w:rPr>
          <w:lang w:val="en-CA"/>
        </w:rPr>
        <w:t>S.C.R.</w:t>
      </w:r>
      <w:r w:rsidRPr="00B625A6">
        <w:rPr>
          <w:lang w:val="en-CA"/>
        </w:rPr>
        <w:t xml:space="preserve"> 245, </w:t>
      </w:r>
      <w:r w:rsidR="00B131F0" w:rsidRPr="00B625A6">
        <w:rPr>
          <w:lang w:val="en-CA"/>
        </w:rPr>
        <w:t>para.</w:t>
      </w:r>
      <w:r w:rsidRPr="00B625A6">
        <w:rPr>
          <w:lang w:val="en-CA"/>
        </w:rPr>
        <w:t xml:space="preserve"> 22.</w:t>
      </w:r>
    </w:p>
  </w:footnote>
  <w:footnote w:id="50">
    <w:p w14:paraId="3E8AE2A6" w14:textId="22729AEA" w:rsidR="00276A1F" w:rsidRDefault="00276A1F" w:rsidP="00187BA6">
      <w:pPr>
        <w:pStyle w:val="Notedebasdepage"/>
      </w:pPr>
      <w:r>
        <w:rPr>
          <w:rStyle w:val="Appelnotedebasdep"/>
        </w:rPr>
        <w:footnoteRef/>
      </w:r>
      <w:r>
        <w:t xml:space="preserve"> </w:t>
      </w:r>
      <w:r>
        <w:tab/>
      </w:r>
      <w:r w:rsidRPr="00F8282D">
        <w:rPr>
          <w:i/>
          <w:iCs/>
        </w:rPr>
        <w:t xml:space="preserve">R. </w:t>
      </w:r>
      <w:r w:rsidR="00380F88">
        <w:rPr>
          <w:i/>
          <w:iCs/>
        </w:rPr>
        <w:t>v</w:t>
      </w:r>
      <w:r w:rsidRPr="00F8282D">
        <w:rPr>
          <w:i/>
          <w:iCs/>
        </w:rPr>
        <w:t>. Ste-Marie</w:t>
      </w:r>
      <w:r w:rsidRPr="00F8282D">
        <w:t xml:space="preserve">, 2022 </w:t>
      </w:r>
      <w:r w:rsidR="00B131F0">
        <w:t>SCC</w:t>
      </w:r>
      <w:r w:rsidRPr="00F8282D">
        <w:t xml:space="preserve"> 3, [2022] 1 </w:t>
      </w:r>
      <w:r w:rsidR="00B131F0">
        <w:t>S.C.R.</w:t>
      </w:r>
      <w:r w:rsidRPr="00F8282D">
        <w:t xml:space="preserve"> 14</w:t>
      </w:r>
      <w:r>
        <w:t xml:space="preserve">, </w:t>
      </w:r>
      <w:r w:rsidR="00B131F0">
        <w:t>para.</w:t>
      </w:r>
      <w:r>
        <w:t xml:space="preserve"> 14.</w:t>
      </w:r>
    </w:p>
  </w:footnote>
  <w:footnote w:id="51">
    <w:p w14:paraId="7125DE1B" w14:textId="4305B23A" w:rsidR="00276A1F" w:rsidRPr="0023385E" w:rsidRDefault="00276A1F" w:rsidP="00187BA6">
      <w:pPr>
        <w:pStyle w:val="Notedebasdepage"/>
        <w:rPr>
          <w:lang w:val="en-CA"/>
        </w:rPr>
      </w:pPr>
      <w:r>
        <w:rPr>
          <w:rStyle w:val="Appelnotedebasdep"/>
        </w:rPr>
        <w:footnoteRef/>
      </w:r>
      <w:r>
        <w:t xml:space="preserve"> </w:t>
      </w:r>
      <w:r>
        <w:tab/>
      </w:r>
      <w:r w:rsidRPr="0023385E">
        <w:rPr>
          <w:i/>
          <w:iCs/>
          <w:lang w:val="en-CA"/>
        </w:rPr>
        <w:t xml:space="preserve">R. </w:t>
      </w:r>
      <w:r w:rsidR="0023385E" w:rsidRPr="0023385E">
        <w:rPr>
          <w:i/>
          <w:iCs/>
          <w:lang w:val="en-CA"/>
        </w:rPr>
        <w:t>v</w:t>
      </w:r>
      <w:r w:rsidRPr="0023385E">
        <w:rPr>
          <w:i/>
          <w:iCs/>
          <w:lang w:val="en-CA"/>
        </w:rPr>
        <w:t>. J.M.H.</w:t>
      </w:r>
      <w:r w:rsidRPr="0023385E">
        <w:rPr>
          <w:lang w:val="en-CA"/>
        </w:rPr>
        <w:t xml:space="preserve">, 2011 </w:t>
      </w:r>
      <w:r w:rsidR="00B131F0" w:rsidRPr="0023385E">
        <w:rPr>
          <w:lang w:val="en-CA"/>
        </w:rPr>
        <w:t>SCC</w:t>
      </w:r>
      <w:r w:rsidRPr="0023385E">
        <w:rPr>
          <w:lang w:val="en-CA"/>
        </w:rPr>
        <w:t xml:space="preserve"> 45, [2011] 3 </w:t>
      </w:r>
      <w:r w:rsidR="00B131F0" w:rsidRPr="0023385E">
        <w:rPr>
          <w:lang w:val="en-CA"/>
        </w:rPr>
        <w:t>S.C.R.</w:t>
      </w:r>
      <w:r w:rsidRPr="0023385E">
        <w:rPr>
          <w:lang w:val="en-CA"/>
        </w:rPr>
        <w:t xml:space="preserve"> 197.</w:t>
      </w:r>
    </w:p>
  </w:footnote>
  <w:footnote w:id="52">
    <w:p w14:paraId="54C6AFE9" w14:textId="408890D6" w:rsidR="00276A1F" w:rsidRPr="0023385E" w:rsidRDefault="00276A1F" w:rsidP="00187BA6">
      <w:pPr>
        <w:pStyle w:val="Notedebasdepage"/>
        <w:rPr>
          <w:lang w:val="en-CA"/>
        </w:rPr>
      </w:pPr>
      <w:r w:rsidRPr="0023385E">
        <w:rPr>
          <w:rStyle w:val="Appelnotedebasdep"/>
          <w:lang w:val="en-CA"/>
        </w:rPr>
        <w:footnoteRef/>
      </w:r>
      <w:r w:rsidRPr="0023385E">
        <w:rPr>
          <w:lang w:val="en-CA"/>
        </w:rPr>
        <w:t xml:space="preserve"> </w:t>
      </w:r>
      <w:r w:rsidRPr="0023385E">
        <w:rPr>
          <w:lang w:val="en-CA"/>
        </w:rPr>
        <w:tab/>
      </w:r>
      <w:r w:rsidRPr="0023385E">
        <w:rPr>
          <w:i/>
          <w:iCs/>
          <w:lang w:val="en-CA"/>
        </w:rPr>
        <w:t xml:space="preserve">Schuldt </w:t>
      </w:r>
      <w:r w:rsidR="0023385E" w:rsidRPr="0023385E">
        <w:rPr>
          <w:i/>
          <w:iCs/>
          <w:lang w:val="en-CA"/>
        </w:rPr>
        <w:t>v</w:t>
      </w:r>
      <w:r w:rsidRPr="0023385E">
        <w:rPr>
          <w:i/>
          <w:iCs/>
          <w:lang w:val="en-CA"/>
        </w:rPr>
        <w:t xml:space="preserve">. </w:t>
      </w:r>
      <w:r w:rsidR="0023385E" w:rsidRPr="0023385E">
        <w:rPr>
          <w:i/>
          <w:iCs/>
          <w:lang w:val="en-CA"/>
        </w:rPr>
        <w:t>The Queen</w:t>
      </w:r>
      <w:r w:rsidRPr="0023385E">
        <w:rPr>
          <w:lang w:val="en-CA"/>
        </w:rPr>
        <w:t xml:space="preserve">, [1985] 2 </w:t>
      </w:r>
      <w:r w:rsidR="00B131F0" w:rsidRPr="0023385E">
        <w:rPr>
          <w:lang w:val="en-CA"/>
        </w:rPr>
        <w:t>S.C.R.</w:t>
      </w:r>
      <w:r w:rsidRPr="0023385E">
        <w:rPr>
          <w:lang w:val="en-CA"/>
        </w:rPr>
        <w:t xml:space="preserve"> 592.</w:t>
      </w:r>
    </w:p>
  </w:footnote>
  <w:footnote w:id="53">
    <w:p w14:paraId="65577275" w14:textId="1113A97F" w:rsidR="00276A1F" w:rsidRPr="0023385E" w:rsidRDefault="00276A1F" w:rsidP="00187BA6">
      <w:pPr>
        <w:pStyle w:val="Notedebasdepage"/>
        <w:rPr>
          <w:lang w:val="en-CA"/>
        </w:rPr>
      </w:pPr>
      <w:r w:rsidRPr="0023385E">
        <w:rPr>
          <w:rStyle w:val="Appelnotedebasdep"/>
          <w:lang w:val="en-CA"/>
        </w:rPr>
        <w:footnoteRef/>
      </w:r>
      <w:r w:rsidRPr="0023385E">
        <w:rPr>
          <w:lang w:val="en-CA"/>
        </w:rPr>
        <w:t xml:space="preserve"> </w:t>
      </w:r>
      <w:r w:rsidRPr="0023385E">
        <w:rPr>
          <w:lang w:val="en-CA"/>
        </w:rPr>
        <w:tab/>
      </w:r>
      <w:r w:rsidRPr="0023385E">
        <w:rPr>
          <w:i/>
          <w:iCs/>
          <w:lang w:val="en-CA"/>
        </w:rPr>
        <w:t xml:space="preserve">R. </w:t>
      </w:r>
      <w:r w:rsidR="0023385E" w:rsidRPr="0023385E">
        <w:rPr>
          <w:i/>
          <w:iCs/>
          <w:lang w:val="en-CA"/>
        </w:rPr>
        <w:t>v</w:t>
      </w:r>
      <w:r w:rsidRPr="0023385E">
        <w:rPr>
          <w:i/>
          <w:iCs/>
          <w:lang w:val="en-CA"/>
        </w:rPr>
        <w:t>. Hodgson</w:t>
      </w:r>
      <w:r w:rsidRPr="0023385E">
        <w:rPr>
          <w:lang w:val="en-CA"/>
        </w:rPr>
        <w:t xml:space="preserve">, 2024 </w:t>
      </w:r>
      <w:r w:rsidR="00B131F0" w:rsidRPr="0023385E">
        <w:rPr>
          <w:lang w:val="en-CA"/>
        </w:rPr>
        <w:t>SCC</w:t>
      </w:r>
      <w:r w:rsidRPr="0023385E">
        <w:rPr>
          <w:lang w:val="en-CA"/>
        </w:rPr>
        <w:t xml:space="preserve"> 25.</w:t>
      </w:r>
    </w:p>
  </w:footnote>
  <w:footnote w:id="54">
    <w:p w14:paraId="66CED329" w14:textId="495209F9" w:rsidR="00276A1F" w:rsidRDefault="00276A1F" w:rsidP="00187BA6">
      <w:pPr>
        <w:pStyle w:val="Notedebasdepage"/>
      </w:pPr>
      <w:r>
        <w:rPr>
          <w:rStyle w:val="Appelnotedebasdep"/>
        </w:rPr>
        <w:footnoteRef/>
      </w:r>
      <w:r>
        <w:t xml:space="preserve"> </w:t>
      </w:r>
      <w:r>
        <w:tab/>
      </w:r>
      <w:r w:rsidRPr="00530006">
        <w:rPr>
          <w:i/>
          <w:iCs/>
        </w:rPr>
        <w:t xml:space="preserve">Schuldt </w:t>
      </w:r>
      <w:r w:rsidR="00950DF2">
        <w:rPr>
          <w:i/>
          <w:iCs/>
        </w:rPr>
        <w:t>v</w:t>
      </w:r>
      <w:r w:rsidRPr="00530006">
        <w:rPr>
          <w:i/>
          <w:iCs/>
        </w:rPr>
        <w:t xml:space="preserve">. </w:t>
      </w:r>
      <w:r w:rsidR="00950DF2">
        <w:rPr>
          <w:i/>
          <w:iCs/>
        </w:rPr>
        <w:t>The Queen</w:t>
      </w:r>
      <w:r w:rsidRPr="00530006">
        <w:t xml:space="preserve">, [1985] 2 </w:t>
      </w:r>
      <w:r w:rsidR="00B131F0">
        <w:t>S.C.R.</w:t>
      </w:r>
      <w:r w:rsidRPr="00530006">
        <w:t xml:space="preserve"> 592</w:t>
      </w:r>
      <w:r>
        <w:t>, p. 598.</w:t>
      </w:r>
    </w:p>
  </w:footnote>
  <w:footnote w:id="55">
    <w:p w14:paraId="2787B1E0" w14:textId="77777777" w:rsidR="00276A1F" w:rsidRPr="0062321A" w:rsidRDefault="00276A1F" w:rsidP="00187BA6">
      <w:pPr>
        <w:pStyle w:val="Notedebasdepage"/>
        <w:rPr>
          <w:lang w:val="en-CA"/>
        </w:rPr>
      </w:pPr>
      <w:r>
        <w:rPr>
          <w:rStyle w:val="Appelnotedebasdep"/>
        </w:rPr>
        <w:footnoteRef/>
      </w:r>
      <w:r w:rsidRPr="0062321A">
        <w:rPr>
          <w:lang w:val="en-CA"/>
        </w:rPr>
        <w:t xml:space="preserve"> </w:t>
      </w:r>
      <w:r w:rsidRPr="0062321A">
        <w:rPr>
          <w:lang w:val="en-CA"/>
        </w:rPr>
        <w:tab/>
      </w:r>
      <w:r w:rsidRPr="0062321A">
        <w:rPr>
          <w:i/>
          <w:iCs/>
          <w:lang w:val="en-CA"/>
        </w:rPr>
        <w:t>Id.</w:t>
      </w:r>
      <w:r w:rsidRPr="0062321A">
        <w:rPr>
          <w:lang w:val="en-CA"/>
        </w:rPr>
        <w:t>, p. 604.</w:t>
      </w:r>
    </w:p>
  </w:footnote>
  <w:footnote w:id="56">
    <w:p w14:paraId="1BBF9A05" w14:textId="55527449" w:rsidR="00276A1F" w:rsidRPr="0062321A" w:rsidRDefault="00276A1F" w:rsidP="00187BA6">
      <w:pPr>
        <w:pStyle w:val="Notedebasdepage"/>
        <w:rPr>
          <w:lang w:val="en-CA"/>
        </w:rPr>
      </w:pPr>
      <w:r>
        <w:rPr>
          <w:rStyle w:val="Appelnotedebasdep"/>
        </w:rPr>
        <w:footnoteRef/>
      </w:r>
      <w:r w:rsidRPr="0062321A">
        <w:rPr>
          <w:lang w:val="en-CA"/>
        </w:rPr>
        <w:t xml:space="preserve"> </w:t>
      </w:r>
      <w:r w:rsidRPr="0062321A">
        <w:rPr>
          <w:lang w:val="en-CA"/>
        </w:rPr>
        <w:tab/>
      </w:r>
      <w:r w:rsidRPr="0062321A">
        <w:rPr>
          <w:i/>
          <w:iCs/>
          <w:lang w:val="en-CA"/>
        </w:rPr>
        <w:t xml:space="preserve">R. </w:t>
      </w:r>
      <w:r w:rsidR="003143A5">
        <w:rPr>
          <w:i/>
          <w:iCs/>
          <w:lang w:val="en-CA"/>
        </w:rPr>
        <w:t>v</w:t>
      </w:r>
      <w:r w:rsidRPr="0062321A">
        <w:rPr>
          <w:i/>
          <w:iCs/>
          <w:lang w:val="en-CA"/>
        </w:rPr>
        <w:t>. B.(G.)</w:t>
      </w:r>
      <w:r w:rsidRPr="0062321A">
        <w:rPr>
          <w:lang w:val="en-CA"/>
        </w:rPr>
        <w:t xml:space="preserve">, [1990] 2 </w:t>
      </w:r>
      <w:r w:rsidR="00B131F0">
        <w:rPr>
          <w:lang w:val="en-CA"/>
        </w:rPr>
        <w:t>S.C.R.</w:t>
      </w:r>
      <w:r w:rsidRPr="0062321A">
        <w:rPr>
          <w:lang w:val="en-CA"/>
        </w:rPr>
        <w:t xml:space="preserve"> 57, p</w:t>
      </w:r>
      <w:r w:rsidR="003143A5">
        <w:rPr>
          <w:lang w:val="en-CA"/>
        </w:rPr>
        <w:t>p</w:t>
      </w:r>
      <w:r w:rsidRPr="0062321A">
        <w:rPr>
          <w:lang w:val="en-CA"/>
        </w:rPr>
        <w:t>. 69-71.</w:t>
      </w:r>
    </w:p>
  </w:footnote>
  <w:footnote w:id="57">
    <w:p w14:paraId="20847BC6" w14:textId="67CD8487" w:rsidR="00276A1F" w:rsidRPr="00073B2C" w:rsidRDefault="00276A1F" w:rsidP="00187BA6">
      <w:pPr>
        <w:pStyle w:val="Notedebasdepage"/>
        <w:rPr>
          <w:lang w:val="en-CA"/>
        </w:rPr>
      </w:pPr>
      <w:r>
        <w:rPr>
          <w:rStyle w:val="Appelnotedebasdep"/>
        </w:rPr>
        <w:footnoteRef/>
      </w:r>
      <w:r w:rsidRPr="0062321A">
        <w:rPr>
          <w:lang w:val="en-CA"/>
        </w:rPr>
        <w:t xml:space="preserve"> </w:t>
      </w:r>
      <w:r w:rsidRPr="0062321A">
        <w:rPr>
          <w:lang w:val="en-CA"/>
        </w:rPr>
        <w:tab/>
      </w:r>
      <w:r w:rsidRPr="00073B2C">
        <w:rPr>
          <w:i/>
          <w:iCs/>
          <w:lang w:val="en-CA"/>
        </w:rPr>
        <w:t xml:space="preserve">R. </w:t>
      </w:r>
      <w:r w:rsidR="00950355">
        <w:rPr>
          <w:i/>
          <w:iCs/>
          <w:lang w:val="en-CA"/>
        </w:rPr>
        <w:t>v</w:t>
      </w:r>
      <w:r w:rsidRPr="00073B2C">
        <w:rPr>
          <w:i/>
          <w:iCs/>
          <w:lang w:val="en-CA"/>
        </w:rPr>
        <w:t>. Lifchus</w:t>
      </w:r>
      <w:r w:rsidRPr="00073B2C">
        <w:rPr>
          <w:lang w:val="en-CA"/>
        </w:rPr>
        <w:t xml:space="preserve">, [1997] 3 </w:t>
      </w:r>
      <w:r w:rsidR="00B131F0" w:rsidRPr="00073B2C">
        <w:rPr>
          <w:lang w:val="en-CA"/>
        </w:rPr>
        <w:t>S.C.R.</w:t>
      </w:r>
      <w:r w:rsidRPr="00073B2C">
        <w:rPr>
          <w:lang w:val="en-CA"/>
        </w:rPr>
        <w:t xml:space="preserve"> 320, </w:t>
      </w:r>
      <w:r w:rsidR="00B131F0" w:rsidRPr="00073B2C">
        <w:rPr>
          <w:lang w:val="en-CA"/>
        </w:rPr>
        <w:t>para.</w:t>
      </w:r>
      <w:r w:rsidRPr="00073B2C">
        <w:rPr>
          <w:lang w:val="en-CA"/>
        </w:rPr>
        <w:t xml:space="preserve"> 36; </w:t>
      </w:r>
      <w:r w:rsidRPr="00073B2C">
        <w:rPr>
          <w:i/>
          <w:iCs/>
          <w:lang w:val="en-CA"/>
        </w:rPr>
        <w:t xml:space="preserve">R. </w:t>
      </w:r>
      <w:r w:rsidR="00950355">
        <w:rPr>
          <w:i/>
          <w:iCs/>
          <w:lang w:val="en-CA"/>
        </w:rPr>
        <w:t>v</w:t>
      </w:r>
      <w:r w:rsidRPr="00073B2C">
        <w:rPr>
          <w:i/>
          <w:iCs/>
          <w:lang w:val="en-CA"/>
        </w:rPr>
        <w:t>. J.M.H.</w:t>
      </w:r>
      <w:r w:rsidRPr="00073B2C">
        <w:rPr>
          <w:lang w:val="en-CA"/>
        </w:rPr>
        <w:t xml:space="preserve">, 2011 </w:t>
      </w:r>
      <w:r w:rsidR="00B131F0" w:rsidRPr="00073B2C">
        <w:rPr>
          <w:lang w:val="en-CA"/>
        </w:rPr>
        <w:t>SCC</w:t>
      </w:r>
      <w:r w:rsidRPr="00073B2C">
        <w:rPr>
          <w:lang w:val="en-CA"/>
        </w:rPr>
        <w:t xml:space="preserve"> 45, [2011] 3 </w:t>
      </w:r>
      <w:r w:rsidR="00B131F0" w:rsidRPr="00073B2C">
        <w:rPr>
          <w:lang w:val="en-CA"/>
        </w:rPr>
        <w:t>S.C.R.</w:t>
      </w:r>
      <w:r w:rsidRPr="00073B2C">
        <w:rPr>
          <w:lang w:val="en-CA"/>
        </w:rPr>
        <w:t xml:space="preserve"> 197, </w:t>
      </w:r>
      <w:r w:rsidR="00B131F0" w:rsidRPr="00073B2C">
        <w:rPr>
          <w:lang w:val="en-CA"/>
        </w:rPr>
        <w:t>para.</w:t>
      </w:r>
      <w:r w:rsidRPr="00073B2C">
        <w:rPr>
          <w:lang w:val="en-CA"/>
        </w:rPr>
        <w:t xml:space="preserve"> 25. </w:t>
      </w:r>
      <w:r w:rsidR="00950355">
        <w:rPr>
          <w:lang w:val="en-CA"/>
        </w:rPr>
        <w:t>As</w:t>
      </w:r>
      <w:r w:rsidRPr="00073B2C">
        <w:rPr>
          <w:lang w:val="en-CA"/>
        </w:rPr>
        <w:t xml:space="preserve"> Cromwell </w:t>
      </w:r>
      <w:r w:rsidR="00950355">
        <w:rPr>
          <w:lang w:val="en-CA"/>
        </w:rPr>
        <w:t>J. explained in</w:t>
      </w:r>
      <w:r w:rsidRPr="00073B2C">
        <w:rPr>
          <w:lang w:val="en-CA"/>
        </w:rPr>
        <w:t xml:space="preserve"> </w:t>
      </w:r>
      <w:r w:rsidRPr="00073B2C">
        <w:rPr>
          <w:i/>
          <w:iCs/>
          <w:lang w:val="en-CA"/>
        </w:rPr>
        <w:t xml:space="preserve">R. </w:t>
      </w:r>
      <w:r w:rsidR="00950355">
        <w:rPr>
          <w:i/>
          <w:iCs/>
          <w:lang w:val="en-CA"/>
        </w:rPr>
        <w:t>v</w:t>
      </w:r>
      <w:r w:rsidRPr="00073B2C">
        <w:rPr>
          <w:i/>
          <w:iCs/>
          <w:lang w:val="en-CA"/>
        </w:rPr>
        <w:t>. Villaroman</w:t>
      </w:r>
      <w:r w:rsidRPr="00073B2C">
        <w:rPr>
          <w:lang w:val="en-CA"/>
        </w:rPr>
        <w:t xml:space="preserve">, 2016 </w:t>
      </w:r>
      <w:r w:rsidR="00B131F0" w:rsidRPr="00073B2C">
        <w:rPr>
          <w:lang w:val="en-CA"/>
        </w:rPr>
        <w:t>SCC</w:t>
      </w:r>
      <w:r w:rsidRPr="00073B2C">
        <w:rPr>
          <w:lang w:val="en-CA"/>
        </w:rPr>
        <w:t xml:space="preserve"> 33, [2016] 1 </w:t>
      </w:r>
      <w:r w:rsidR="00B131F0" w:rsidRPr="00073B2C">
        <w:rPr>
          <w:lang w:val="en-CA"/>
        </w:rPr>
        <w:t>S.C.R.</w:t>
      </w:r>
      <w:r w:rsidRPr="00073B2C">
        <w:rPr>
          <w:lang w:val="en-CA"/>
        </w:rPr>
        <w:t xml:space="preserve"> 1000, </w:t>
      </w:r>
      <w:r w:rsidR="00B131F0" w:rsidRPr="00073B2C">
        <w:rPr>
          <w:lang w:val="en-CA"/>
        </w:rPr>
        <w:t>para.</w:t>
      </w:r>
      <w:r w:rsidRPr="00073B2C">
        <w:rPr>
          <w:lang w:val="en-CA"/>
        </w:rPr>
        <w:t xml:space="preserve"> 28: </w:t>
      </w:r>
      <w:r w:rsidR="00073B2C">
        <w:rPr>
          <w:lang w:val="en-CA"/>
        </w:rPr>
        <w:t>“</w:t>
      </w:r>
      <w:r w:rsidRPr="00073B2C">
        <w:rPr>
          <w:lang w:val="en-CA"/>
        </w:rPr>
        <w:t>[</w:t>
      </w:r>
      <w:r w:rsidR="00073B2C" w:rsidRPr="00073B2C">
        <w:rPr>
          <w:lang w:val="en-CA"/>
        </w:rPr>
        <w:t>r</w:t>
      </w:r>
      <w:r w:rsidRPr="00073B2C">
        <w:rPr>
          <w:lang w:val="en-CA"/>
        </w:rPr>
        <w:t>]</w:t>
      </w:r>
      <w:r w:rsidR="00073B2C" w:rsidRPr="00073B2C">
        <w:rPr>
          <w:lang w:val="en-CA"/>
        </w:rPr>
        <w:t>easonable doubt is not an inference or a finding of fact that needs support in the evidence presented at trial</w:t>
      </w:r>
      <w:r w:rsidR="00073B2C">
        <w:rPr>
          <w:lang w:val="en-CA"/>
        </w:rPr>
        <w:t>.”</w:t>
      </w:r>
    </w:p>
  </w:footnote>
  <w:footnote w:id="58">
    <w:p w14:paraId="158D1920" w14:textId="1249402D" w:rsidR="00276A1F" w:rsidRPr="00073B2C" w:rsidRDefault="00276A1F" w:rsidP="00187BA6">
      <w:pPr>
        <w:pStyle w:val="Notedebasdepage"/>
        <w:rPr>
          <w:lang w:val="en-CA"/>
        </w:rPr>
      </w:pPr>
      <w:r w:rsidRPr="00073B2C">
        <w:rPr>
          <w:rStyle w:val="Appelnotedebasdep"/>
          <w:lang w:val="en-CA"/>
        </w:rPr>
        <w:footnoteRef/>
      </w:r>
      <w:r w:rsidRPr="00073B2C">
        <w:rPr>
          <w:lang w:val="en-CA"/>
        </w:rPr>
        <w:t xml:space="preserve"> </w:t>
      </w:r>
      <w:r w:rsidRPr="00073B2C">
        <w:rPr>
          <w:lang w:val="en-CA"/>
        </w:rPr>
        <w:tab/>
        <w:t xml:space="preserve">M. Vauclair, T. Desjardins </w:t>
      </w:r>
      <w:r w:rsidR="00950355">
        <w:rPr>
          <w:lang w:val="en-CA"/>
        </w:rPr>
        <w:t>and</w:t>
      </w:r>
      <w:r w:rsidRPr="00073B2C">
        <w:rPr>
          <w:lang w:val="en-CA"/>
        </w:rPr>
        <w:t xml:space="preserve"> P. Lachance, </w:t>
      </w:r>
      <w:r w:rsidRPr="00073B2C">
        <w:rPr>
          <w:i/>
          <w:iCs/>
          <w:lang w:val="en-CA"/>
        </w:rPr>
        <w:t>Traité général de preuve et de procédure pénales</w:t>
      </w:r>
      <w:r w:rsidRPr="00073B2C">
        <w:rPr>
          <w:lang w:val="en-CA"/>
        </w:rPr>
        <w:t>, 31</w:t>
      </w:r>
      <w:r w:rsidR="00AD1028">
        <w:rPr>
          <w:vertAlign w:val="superscript"/>
          <w:lang w:val="en-CA"/>
        </w:rPr>
        <w:t>st</w:t>
      </w:r>
      <w:r w:rsidRPr="00073B2C">
        <w:rPr>
          <w:lang w:val="en-CA"/>
        </w:rPr>
        <w:t xml:space="preserve"> </w:t>
      </w:r>
      <w:r w:rsidR="00AD1028">
        <w:rPr>
          <w:lang w:val="en-CA"/>
        </w:rPr>
        <w:t>E</w:t>
      </w:r>
      <w:r w:rsidRPr="00073B2C">
        <w:rPr>
          <w:lang w:val="en-CA"/>
        </w:rPr>
        <w:t xml:space="preserve">d., Éditions Yvon-Blais, 2024, </w:t>
      </w:r>
      <w:r w:rsidR="00B131F0" w:rsidRPr="00073B2C">
        <w:rPr>
          <w:lang w:val="en-CA"/>
        </w:rPr>
        <w:t>para</w:t>
      </w:r>
      <w:r w:rsidR="00950355">
        <w:rPr>
          <w:lang w:val="en-CA"/>
        </w:rPr>
        <w:t>s</w:t>
      </w:r>
      <w:r w:rsidR="00B131F0" w:rsidRPr="00073B2C">
        <w:rPr>
          <w:lang w:val="en-CA"/>
        </w:rPr>
        <w:t>.</w:t>
      </w:r>
      <w:r w:rsidRPr="00073B2C">
        <w:rPr>
          <w:lang w:val="en-CA"/>
        </w:rPr>
        <w:t xml:space="preserve"> 51.74, p</w:t>
      </w:r>
      <w:r w:rsidR="00950355">
        <w:rPr>
          <w:lang w:val="en-CA"/>
        </w:rPr>
        <w:t>p</w:t>
      </w:r>
      <w:r w:rsidRPr="00073B2C">
        <w:rPr>
          <w:lang w:val="en-CA"/>
        </w:rPr>
        <w:t>. 1375-1376.</w:t>
      </w:r>
    </w:p>
  </w:footnote>
  <w:footnote w:id="59">
    <w:p w14:paraId="61098AF5" w14:textId="563EE99C" w:rsidR="00276A1F" w:rsidRPr="00950355" w:rsidRDefault="00276A1F" w:rsidP="00187BA6">
      <w:pPr>
        <w:pStyle w:val="Notedebasdepage"/>
        <w:rPr>
          <w:lang w:val="en-CA"/>
        </w:rPr>
      </w:pPr>
      <w:r>
        <w:rPr>
          <w:rStyle w:val="Appelnotedebasdep"/>
        </w:rPr>
        <w:footnoteRef/>
      </w:r>
      <w:r w:rsidRPr="00A80D7E">
        <w:t xml:space="preserve"> </w:t>
      </w:r>
      <w:r w:rsidRPr="00A80D7E">
        <w:tab/>
      </w:r>
      <w:r w:rsidRPr="00950355">
        <w:rPr>
          <w:i/>
          <w:iCs/>
          <w:lang w:val="en-CA"/>
        </w:rPr>
        <w:t>R. v. Tubongbanua</w:t>
      </w:r>
      <w:r w:rsidRPr="00950355">
        <w:rPr>
          <w:lang w:val="en-CA"/>
        </w:rPr>
        <w:t xml:space="preserve">, 2022 ONCA 601, </w:t>
      </w:r>
      <w:r w:rsidR="00B131F0" w:rsidRPr="00950355">
        <w:rPr>
          <w:lang w:val="en-CA"/>
        </w:rPr>
        <w:t>para</w:t>
      </w:r>
      <w:r w:rsidR="00950355" w:rsidRPr="00950355">
        <w:rPr>
          <w:lang w:val="en-CA"/>
        </w:rPr>
        <w:t>s</w:t>
      </w:r>
      <w:r w:rsidR="00B131F0" w:rsidRPr="00950355">
        <w:rPr>
          <w:lang w:val="en-CA"/>
        </w:rPr>
        <w:t>.</w:t>
      </w:r>
      <w:r w:rsidRPr="00950355">
        <w:rPr>
          <w:lang w:val="en-CA"/>
        </w:rPr>
        <w:t xml:space="preserve"> 29-30; </w:t>
      </w:r>
      <w:r w:rsidRPr="00950355">
        <w:rPr>
          <w:i/>
          <w:iCs/>
          <w:lang w:val="en-CA"/>
        </w:rPr>
        <w:t>R. v. Knezevic</w:t>
      </w:r>
      <w:r w:rsidRPr="00950355">
        <w:rPr>
          <w:lang w:val="en-CA"/>
        </w:rPr>
        <w:t xml:space="preserve">, 2016 ONCA 914, </w:t>
      </w:r>
      <w:r w:rsidR="00B131F0" w:rsidRPr="00950355">
        <w:rPr>
          <w:lang w:val="en-CA"/>
        </w:rPr>
        <w:t>para.</w:t>
      </w:r>
      <w:r w:rsidRPr="00950355">
        <w:rPr>
          <w:lang w:val="en-CA"/>
        </w:rPr>
        <w:t xml:space="preserve"> 28; </w:t>
      </w:r>
      <w:r w:rsidRPr="00950355">
        <w:rPr>
          <w:i/>
          <w:iCs/>
          <w:lang w:val="en-CA"/>
        </w:rPr>
        <w:t>R. v. Everard</w:t>
      </w:r>
      <w:r w:rsidRPr="00950355">
        <w:rPr>
          <w:lang w:val="en-CA"/>
        </w:rPr>
        <w:t xml:space="preserve">, 2016 ABCA 300, </w:t>
      </w:r>
      <w:r w:rsidR="00B131F0" w:rsidRPr="00950355">
        <w:rPr>
          <w:lang w:val="en-CA"/>
        </w:rPr>
        <w:t>para</w:t>
      </w:r>
      <w:r w:rsidR="00950355" w:rsidRPr="00950355">
        <w:rPr>
          <w:lang w:val="en-CA"/>
        </w:rPr>
        <w:t>s</w:t>
      </w:r>
      <w:r w:rsidR="00B131F0" w:rsidRPr="00950355">
        <w:rPr>
          <w:lang w:val="en-CA"/>
        </w:rPr>
        <w:t>.</w:t>
      </w:r>
      <w:r w:rsidRPr="00950355">
        <w:rPr>
          <w:lang w:val="en-CA"/>
        </w:rPr>
        <w:t xml:space="preserve"> 7-9; </w:t>
      </w:r>
      <w:r w:rsidRPr="00950355">
        <w:rPr>
          <w:i/>
          <w:iCs/>
          <w:lang w:val="en-CA"/>
        </w:rPr>
        <w:t>R. v. Ammar</w:t>
      </w:r>
      <w:r w:rsidRPr="00950355">
        <w:rPr>
          <w:lang w:val="en-CA"/>
        </w:rPr>
        <w:t xml:space="preserve">, 2020 ABCA 336, </w:t>
      </w:r>
      <w:r w:rsidR="00B131F0" w:rsidRPr="00950355">
        <w:rPr>
          <w:lang w:val="en-CA"/>
        </w:rPr>
        <w:t>para.</w:t>
      </w:r>
      <w:r w:rsidRPr="00950355">
        <w:rPr>
          <w:lang w:val="en-CA"/>
        </w:rPr>
        <w:t xml:space="preserve"> 49; </w:t>
      </w:r>
      <w:r w:rsidRPr="00950355">
        <w:rPr>
          <w:i/>
          <w:iCs/>
          <w:lang w:val="en-CA"/>
        </w:rPr>
        <w:t>R. v. Pearson</w:t>
      </w:r>
      <w:r w:rsidRPr="00950355">
        <w:rPr>
          <w:lang w:val="en-CA"/>
        </w:rPr>
        <w:t xml:space="preserve">, 2024 ABCA 245, </w:t>
      </w:r>
      <w:r w:rsidR="00B131F0" w:rsidRPr="00950355">
        <w:rPr>
          <w:lang w:val="en-CA"/>
        </w:rPr>
        <w:t>para.</w:t>
      </w:r>
      <w:r w:rsidRPr="00950355">
        <w:rPr>
          <w:lang w:val="en-CA"/>
        </w:rPr>
        <w:t xml:space="preserve"> 62; </w:t>
      </w:r>
      <w:r w:rsidRPr="00950355">
        <w:rPr>
          <w:i/>
          <w:iCs/>
          <w:lang w:val="en-CA"/>
        </w:rPr>
        <w:t>R. v. Correia</w:t>
      </w:r>
      <w:r w:rsidRPr="00950355">
        <w:rPr>
          <w:lang w:val="en-CA"/>
        </w:rPr>
        <w:t xml:space="preserve">, 2024 BCCA 361, </w:t>
      </w:r>
      <w:r w:rsidR="00B131F0" w:rsidRPr="00950355">
        <w:rPr>
          <w:lang w:val="en-CA"/>
        </w:rPr>
        <w:t>para.</w:t>
      </w:r>
      <w:r w:rsidRPr="00950355">
        <w:rPr>
          <w:lang w:val="en-CA"/>
        </w:rPr>
        <w:t xml:space="preserve"> 14; </w:t>
      </w:r>
      <w:r w:rsidRPr="00950355">
        <w:rPr>
          <w:i/>
          <w:iCs/>
          <w:lang w:val="en-CA"/>
        </w:rPr>
        <w:t>R. v. Ukabam</w:t>
      </w:r>
      <w:r w:rsidRPr="00950355">
        <w:rPr>
          <w:lang w:val="en-CA"/>
        </w:rPr>
        <w:t xml:space="preserve">, 2024 SKCA 15, </w:t>
      </w:r>
      <w:r w:rsidR="00B131F0" w:rsidRPr="00950355">
        <w:rPr>
          <w:lang w:val="en-CA"/>
        </w:rPr>
        <w:t>para.</w:t>
      </w:r>
      <w:r w:rsidRPr="00950355">
        <w:rPr>
          <w:lang w:val="en-CA"/>
        </w:rPr>
        <w:t xml:space="preserve"> 20; </w:t>
      </w:r>
      <w:r w:rsidRPr="00950355">
        <w:rPr>
          <w:i/>
          <w:iCs/>
          <w:lang w:val="en-CA"/>
        </w:rPr>
        <w:t>R. v. Omeasoo et al.</w:t>
      </w:r>
      <w:r w:rsidRPr="00950355">
        <w:rPr>
          <w:lang w:val="en-CA"/>
        </w:rPr>
        <w:t xml:space="preserve">, 2019 MBCA 43, </w:t>
      </w:r>
      <w:r w:rsidR="00B131F0" w:rsidRPr="00950355">
        <w:rPr>
          <w:lang w:val="en-CA"/>
        </w:rPr>
        <w:t>para.</w:t>
      </w:r>
      <w:r w:rsidRPr="00950355">
        <w:rPr>
          <w:lang w:val="en-CA"/>
        </w:rPr>
        <w:t xml:space="preserve"> 26; </w:t>
      </w:r>
      <w:r w:rsidRPr="00950355">
        <w:rPr>
          <w:i/>
          <w:iCs/>
          <w:lang w:val="en-CA"/>
        </w:rPr>
        <w:t>R. v. C.J.C.</w:t>
      </w:r>
      <w:r w:rsidRPr="00950355">
        <w:rPr>
          <w:lang w:val="en-CA"/>
        </w:rPr>
        <w:t xml:space="preserve">, 2018 NLCA 68, </w:t>
      </w:r>
      <w:r w:rsidR="00B131F0" w:rsidRPr="00950355">
        <w:rPr>
          <w:lang w:val="en-CA"/>
        </w:rPr>
        <w:t>para.</w:t>
      </w:r>
      <w:r w:rsidRPr="00950355">
        <w:rPr>
          <w:lang w:val="en-CA"/>
        </w:rPr>
        <w:t xml:space="preserve"> 22. </w:t>
      </w:r>
      <w:r w:rsidR="00950355" w:rsidRPr="00950355">
        <w:rPr>
          <w:lang w:val="en-CA"/>
        </w:rPr>
        <w:t>See also the legal literature</w:t>
      </w:r>
      <w:r w:rsidRPr="00950355">
        <w:rPr>
          <w:lang w:val="en-CA"/>
        </w:rPr>
        <w:t xml:space="preserve"> E. G. Ewaschuk, </w:t>
      </w:r>
      <w:r w:rsidRPr="00950355">
        <w:rPr>
          <w:i/>
          <w:iCs/>
          <w:lang w:val="en-CA"/>
        </w:rPr>
        <w:t>Criminal Pleadings and Practice in Canada</w:t>
      </w:r>
      <w:r w:rsidRPr="00950355">
        <w:rPr>
          <w:lang w:val="en-CA"/>
        </w:rPr>
        <w:t>, vol. 2, 3</w:t>
      </w:r>
      <w:r w:rsidR="003011AB" w:rsidRPr="003011AB">
        <w:rPr>
          <w:vertAlign w:val="superscript"/>
          <w:lang w:val="en-CA"/>
        </w:rPr>
        <w:t>rd</w:t>
      </w:r>
      <w:r w:rsidR="003011AB">
        <w:rPr>
          <w:lang w:val="en-CA"/>
        </w:rPr>
        <w:t xml:space="preserve"> E</w:t>
      </w:r>
      <w:r w:rsidRPr="00950355">
        <w:rPr>
          <w:lang w:val="en-CA"/>
        </w:rPr>
        <w:t>d., Thomson Reuters, 2022 (</w:t>
      </w:r>
      <w:r w:rsidR="003011AB">
        <w:rPr>
          <w:lang w:val="en-CA"/>
        </w:rPr>
        <w:t>loose leaf</w:t>
      </w:r>
      <w:r w:rsidRPr="00950355">
        <w:rPr>
          <w:lang w:val="en-CA"/>
        </w:rPr>
        <w:t xml:space="preserve">, </w:t>
      </w:r>
      <w:r w:rsidR="003011AB">
        <w:rPr>
          <w:lang w:val="en-CA"/>
        </w:rPr>
        <w:t>update no.</w:t>
      </w:r>
      <w:r w:rsidRPr="00950355">
        <w:rPr>
          <w:lang w:val="en-CA"/>
        </w:rPr>
        <w:t xml:space="preserve"> 9, </w:t>
      </w:r>
      <w:r w:rsidR="003011AB">
        <w:rPr>
          <w:lang w:val="en-CA"/>
        </w:rPr>
        <w:t>December</w:t>
      </w:r>
      <w:r w:rsidRPr="00950355">
        <w:rPr>
          <w:lang w:val="en-CA"/>
        </w:rPr>
        <w:t xml:space="preserve"> 2024) § 23:23; S. Penney, V. Rondinelli </w:t>
      </w:r>
      <w:r w:rsidR="003011AB">
        <w:rPr>
          <w:lang w:val="en-CA"/>
        </w:rPr>
        <w:t>and</w:t>
      </w:r>
      <w:r w:rsidRPr="00950355">
        <w:rPr>
          <w:lang w:val="en-CA"/>
        </w:rPr>
        <w:t xml:space="preserve"> J. Stibopoulos, </w:t>
      </w:r>
      <w:r w:rsidRPr="00950355">
        <w:rPr>
          <w:i/>
          <w:iCs/>
          <w:lang w:val="en-CA"/>
        </w:rPr>
        <w:t>Criminal Procedure in Canada</w:t>
      </w:r>
      <w:r w:rsidRPr="00950355">
        <w:rPr>
          <w:lang w:val="en-CA"/>
        </w:rPr>
        <w:t xml:space="preserve">, LexisNexis, 2022, § 18.16, p. 1269; S. Coughlan, </w:t>
      </w:r>
      <w:r w:rsidRPr="00950355">
        <w:rPr>
          <w:i/>
          <w:iCs/>
          <w:lang w:val="en-CA"/>
        </w:rPr>
        <w:t>Criminal Procedure</w:t>
      </w:r>
      <w:r w:rsidRPr="00950355">
        <w:rPr>
          <w:lang w:val="en-CA"/>
        </w:rPr>
        <w:t>, 4</w:t>
      </w:r>
      <w:r w:rsidR="003011AB" w:rsidRPr="003011AB">
        <w:rPr>
          <w:vertAlign w:val="superscript"/>
          <w:lang w:val="en-CA"/>
        </w:rPr>
        <w:t>th</w:t>
      </w:r>
      <w:r w:rsidR="003011AB">
        <w:rPr>
          <w:lang w:val="en-CA"/>
        </w:rPr>
        <w:t xml:space="preserve"> E</w:t>
      </w:r>
      <w:r w:rsidRPr="00950355">
        <w:rPr>
          <w:lang w:val="en-CA"/>
        </w:rPr>
        <w:t>d., Toronto, Irwin Law, 2020, p</w:t>
      </w:r>
      <w:r w:rsidR="003011AB">
        <w:rPr>
          <w:lang w:val="en-CA"/>
        </w:rPr>
        <w:t>p</w:t>
      </w:r>
      <w:r w:rsidRPr="00950355">
        <w:rPr>
          <w:lang w:val="en-CA"/>
        </w:rPr>
        <w:t>. 588-589.</w:t>
      </w:r>
    </w:p>
  </w:footnote>
  <w:footnote w:id="60">
    <w:p w14:paraId="4624CAE5" w14:textId="59D9448B" w:rsidR="00276A1F" w:rsidRPr="00950355" w:rsidRDefault="00276A1F" w:rsidP="00187BA6">
      <w:pPr>
        <w:pStyle w:val="Notedebasdepage"/>
        <w:rPr>
          <w:lang w:val="en-CA"/>
        </w:rPr>
      </w:pPr>
      <w:r w:rsidRPr="00950355">
        <w:rPr>
          <w:rStyle w:val="Appelnotedebasdep"/>
          <w:lang w:val="en-CA"/>
        </w:rPr>
        <w:footnoteRef/>
      </w:r>
      <w:r w:rsidRPr="00950355">
        <w:rPr>
          <w:lang w:val="en-CA"/>
        </w:rPr>
        <w:t xml:space="preserve"> </w:t>
      </w:r>
      <w:r w:rsidRPr="00950355">
        <w:rPr>
          <w:i/>
          <w:iCs/>
          <w:lang w:val="en-CA"/>
        </w:rPr>
        <w:tab/>
        <w:t xml:space="preserve">R. </w:t>
      </w:r>
      <w:r w:rsidR="003011AB">
        <w:rPr>
          <w:i/>
          <w:iCs/>
          <w:lang w:val="en-CA"/>
        </w:rPr>
        <w:t>v</w:t>
      </w:r>
      <w:r w:rsidRPr="00950355">
        <w:rPr>
          <w:i/>
          <w:iCs/>
          <w:lang w:val="en-CA"/>
        </w:rPr>
        <w:t>. Biniaris</w:t>
      </w:r>
      <w:r w:rsidRPr="00950355">
        <w:rPr>
          <w:lang w:val="en-CA"/>
        </w:rPr>
        <w:t xml:space="preserve">, 2000 </w:t>
      </w:r>
      <w:r w:rsidR="00B131F0" w:rsidRPr="00950355">
        <w:rPr>
          <w:lang w:val="en-CA"/>
        </w:rPr>
        <w:t>SCC</w:t>
      </w:r>
      <w:r w:rsidRPr="00950355">
        <w:rPr>
          <w:lang w:val="en-CA"/>
        </w:rPr>
        <w:t xml:space="preserve"> 15, [2000] 1 </w:t>
      </w:r>
      <w:r w:rsidR="00B131F0" w:rsidRPr="00950355">
        <w:rPr>
          <w:lang w:val="en-CA"/>
        </w:rPr>
        <w:t>S.C.R.</w:t>
      </w:r>
      <w:r w:rsidRPr="00950355">
        <w:rPr>
          <w:lang w:val="en-CA"/>
        </w:rPr>
        <w:t xml:space="preserve"> 381, </w:t>
      </w:r>
      <w:r w:rsidR="00B131F0" w:rsidRPr="00950355">
        <w:rPr>
          <w:lang w:val="en-CA"/>
        </w:rPr>
        <w:t>para.</w:t>
      </w:r>
      <w:r w:rsidRPr="00950355">
        <w:rPr>
          <w:lang w:val="en-CA"/>
        </w:rPr>
        <w:t xml:space="preserve"> 33.</w:t>
      </w:r>
    </w:p>
  </w:footnote>
  <w:footnote w:id="61">
    <w:p w14:paraId="0C8890A1" w14:textId="2C54AFCD" w:rsidR="00276A1F" w:rsidRDefault="00276A1F" w:rsidP="00187BA6">
      <w:pPr>
        <w:pStyle w:val="Notedebasdepage"/>
      </w:pPr>
      <w:r>
        <w:rPr>
          <w:rStyle w:val="Appelnotedebasdep"/>
        </w:rPr>
        <w:footnoteRef/>
      </w:r>
      <w:r>
        <w:tab/>
      </w:r>
      <w:r w:rsidRPr="007E50D3">
        <w:rPr>
          <w:i/>
          <w:iCs/>
        </w:rPr>
        <w:t xml:space="preserve">R. </w:t>
      </w:r>
      <w:r w:rsidR="003011AB">
        <w:rPr>
          <w:i/>
          <w:iCs/>
        </w:rPr>
        <w:t>v</w:t>
      </w:r>
      <w:r w:rsidRPr="007E50D3">
        <w:rPr>
          <w:i/>
          <w:iCs/>
        </w:rPr>
        <w:t>. Hodgson</w:t>
      </w:r>
      <w:r w:rsidRPr="007E50D3">
        <w:t xml:space="preserve">, 2024 </w:t>
      </w:r>
      <w:r w:rsidR="00B131F0">
        <w:t>SCC</w:t>
      </w:r>
      <w:r w:rsidRPr="007E50D3">
        <w:t xml:space="preserve"> 25</w:t>
      </w:r>
      <w:r>
        <w:t xml:space="preserve">, </w:t>
      </w:r>
      <w:r w:rsidR="00B131F0">
        <w:t>para.</w:t>
      </w:r>
      <w:r>
        <w:t xml:space="preserve"> 36.</w:t>
      </w:r>
    </w:p>
  </w:footnote>
  <w:footnote w:id="62">
    <w:p w14:paraId="6E21375E" w14:textId="694A9DA5" w:rsidR="00276A1F" w:rsidRPr="00C46347" w:rsidRDefault="00276A1F" w:rsidP="00756494">
      <w:pPr>
        <w:pStyle w:val="Notedebasdepage"/>
        <w:ind w:left="284" w:hanging="284"/>
        <w:rPr>
          <w:rFonts w:cs="Arial"/>
          <w:lang w:val="en-CA"/>
        </w:rPr>
      </w:pPr>
      <w:r w:rsidRPr="0082385B">
        <w:rPr>
          <w:rStyle w:val="Appelnotedebasdep"/>
          <w:rFonts w:cs="Arial"/>
        </w:rPr>
        <w:footnoteRef/>
      </w:r>
      <w:r w:rsidRPr="00AF1E8F">
        <w:rPr>
          <w:rFonts w:cs="Arial"/>
        </w:rPr>
        <w:tab/>
      </w:r>
      <w:r w:rsidRPr="00C46347">
        <w:rPr>
          <w:rFonts w:cs="Arial"/>
          <w:i/>
          <w:iCs/>
          <w:lang w:val="en-CA"/>
        </w:rPr>
        <w:t xml:space="preserve">R. </w:t>
      </w:r>
      <w:r w:rsidR="00B86368" w:rsidRPr="00C46347">
        <w:rPr>
          <w:rFonts w:cs="Arial"/>
          <w:i/>
          <w:iCs/>
          <w:lang w:val="en-CA"/>
        </w:rPr>
        <w:t>v</w:t>
      </w:r>
      <w:r w:rsidRPr="00C46347">
        <w:rPr>
          <w:rFonts w:cs="Arial"/>
          <w:i/>
          <w:iCs/>
          <w:lang w:val="en-CA"/>
        </w:rPr>
        <w:t>. Hodgson</w:t>
      </w:r>
      <w:r w:rsidRPr="00C46347">
        <w:rPr>
          <w:rFonts w:cs="Arial"/>
          <w:lang w:val="en-CA"/>
        </w:rPr>
        <w:t xml:space="preserve">, 2024 </w:t>
      </w:r>
      <w:r w:rsidR="00B131F0" w:rsidRPr="00C46347">
        <w:rPr>
          <w:rFonts w:cs="Arial"/>
          <w:lang w:val="en-CA"/>
        </w:rPr>
        <w:t>SCC</w:t>
      </w:r>
      <w:r w:rsidRPr="00C46347">
        <w:rPr>
          <w:rFonts w:cs="Arial"/>
          <w:lang w:val="en-CA"/>
        </w:rPr>
        <w:t xml:space="preserve"> 25, para. 22.</w:t>
      </w:r>
    </w:p>
  </w:footnote>
  <w:footnote w:id="63">
    <w:p w14:paraId="0B560AE9" w14:textId="5D4CE71A" w:rsidR="00276A1F" w:rsidRPr="00C46347" w:rsidRDefault="00276A1F" w:rsidP="00756494">
      <w:pPr>
        <w:pStyle w:val="Notedebasdepage"/>
        <w:ind w:left="284" w:hanging="284"/>
        <w:rPr>
          <w:rFonts w:cs="Arial"/>
          <w:lang w:val="en-CA"/>
        </w:rPr>
      </w:pPr>
      <w:r w:rsidRPr="00C46347">
        <w:rPr>
          <w:rStyle w:val="Appelnotedebasdep"/>
          <w:rFonts w:cs="Arial"/>
          <w:lang w:val="en-CA"/>
        </w:rPr>
        <w:footnoteRef/>
      </w:r>
      <w:r w:rsidRPr="00C46347">
        <w:rPr>
          <w:rFonts w:cs="Arial"/>
          <w:lang w:val="en-CA"/>
        </w:rPr>
        <w:tab/>
      </w:r>
      <w:r w:rsidRPr="00C46347">
        <w:rPr>
          <w:rFonts w:cs="Arial"/>
          <w:i/>
          <w:iCs/>
          <w:lang w:val="en-CA"/>
        </w:rPr>
        <w:t>Id.</w:t>
      </w:r>
      <w:r w:rsidRPr="00C46347">
        <w:rPr>
          <w:rFonts w:cs="Arial"/>
          <w:lang w:val="en-CA"/>
        </w:rPr>
        <w:t xml:space="preserve">, </w:t>
      </w:r>
      <w:r w:rsidR="00C46347" w:rsidRPr="00C46347">
        <w:rPr>
          <w:rFonts w:cs="Arial"/>
          <w:lang w:val="en-CA"/>
        </w:rPr>
        <w:t>para.</w:t>
      </w:r>
      <w:r w:rsidRPr="00C46347">
        <w:rPr>
          <w:rFonts w:cs="Arial"/>
          <w:lang w:val="en-CA"/>
        </w:rPr>
        <w:t xml:space="preserve"> 27.</w:t>
      </w:r>
    </w:p>
  </w:footnote>
  <w:footnote w:id="64">
    <w:p w14:paraId="7EED4690" w14:textId="51087AF0" w:rsidR="00276A1F" w:rsidRPr="00C46347" w:rsidRDefault="00276A1F" w:rsidP="00756494">
      <w:pPr>
        <w:pStyle w:val="Notedebasdepage"/>
        <w:ind w:left="284" w:hanging="284"/>
        <w:rPr>
          <w:rFonts w:cs="Arial"/>
          <w:lang w:val="en-CA"/>
        </w:rPr>
      </w:pPr>
      <w:r w:rsidRPr="00C46347">
        <w:rPr>
          <w:rStyle w:val="Appelnotedebasdep"/>
          <w:rFonts w:cs="Arial"/>
          <w:lang w:val="en-CA"/>
        </w:rPr>
        <w:footnoteRef/>
      </w:r>
      <w:r w:rsidRPr="00C46347">
        <w:rPr>
          <w:rFonts w:cs="Arial"/>
          <w:lang w:val="en-CA"/>
        </w:rPr>
        <w:tab/>
      </w:r>
      <w:r w:rsidRPr="00C46347">
        <w:rPr>
          <w:rFonts w:cs="Arial"/>
          <w:i/>
          <w:iCs/>
          <w:lang w:val="en-CA"/>
        </w:rPr>
        <w:t>Id.</w:t>
      </w:r>
      <w:r w:rsidRPr="00C46347">
        <w:rPr>
          <w:rFonts w:cs="Arial"/>
          <w:lang w:val="en-CA"/>
        </w:rPr>
        <w:t xml:space="preserve">, </w:t>
      </w:r>
      <w:r w:rsidR="00C46347" w:rsidRPr="00C46347">
        <w:rPr>
          <w:rFonts w:cs="Arial"/>
          <w:lang w:val="en-CA"/>
        </w:rPr>
        <w:t>para.</w:t>
      </w:r>
      <w:r w:rsidRPr="00C46347">
        <w:rPr>
          <w:rFonts w:cs="Arial"/>
          <w:lang w:val="en-CA"/>
        </w:rPr>
        <w:t xml:space="preserve"> 29.</w:t>
      </w:r>
    </w:p>
  </w:footnote>
  <w:footnote w:id="65">
    <w:p w14:paraId="6FB8EBCF" w14:textId="1E90D220" w:rsidR="00276A1F" w:rsidRPr="00C46347" w:rsidRDefault="00276A1F" w:rsidP="00756494">
      <w:pPr>
        <w:pStyle w:val="Notedebasdepage"/>
        <w:ind w:left="284" w:hanging="284"/>
        <w:rPr>
          <w:rFonts w:cs="Arial"/>
          <w:lang w:val="en-CA"/>
        </w:rPr>
      </w:pPr>
      <w:r w:rsidRPr="00C46347">
        <w:rPr>
          <w:rStyle w:val="Appelnotedebasdep"/>
          <w:rFonts w:cs="Arial"/>
          <w:lang w:val="en-CA"/>
        </w:rPr>
        <w:footnoteRef/>
      </w:r>
      <w:r w:rsidRPr="00C46347">
        <w:rPr>
          <w:rFonts w:cs="Arial"/>
          <w:lang w:val="en-CA"/>
        </w:rPr>
        <w:tab/>
      </w:r>
      <w:r w:rsidRPr="00C46347">
        <w:rPr>
          <w:rFonts w:cs="Arial"/>
          <w:i/>
          <w:iCs/>
          <w:lang w:val="en-CA"/>
        </w:rPr>
        <w:t>Id.</w:t>
      </w:r>
      <w:r w:rsidRPr="00C46347">
        <w:rPr>
          <w:rFonts w:cs="Arial"/>
          <w:lang w:val="en-CA"/>
        </w:rPr>
        <w:t xml:space="preserve">, </w:t>
      </w:r>
      <w:r w:rsidR="00C46347" w:rsidRPr="00C46347">
        <w:rPr>
          <w:rFonts w:cs="Arial"/>
          <w:lang w:val="en-CA"/>
        </w:rPr>
        <w:t>para.</w:t>
      </w:r>
      <w:r w:rsidRPr="00C46347">
        <w:rPr>
          <w:rFonts w:cs="Arial"/>
          <w:lang w:val="en-CA"/>
        </w:rPr>
        <w:t xml:space="preserve"> 31. </w:t>
      </w:r>
      <w:r w:rsidR="00C46347" w:rsidRPr="00C46347">
        <w:rPr>
          <w:rFonts w:cs="Arial"/>
          <w:lang w:val="en-CA"/>
        </w:rPr>
        <w:t>See also</w:t>
      </w:r>
      <w:r w:rsidRPr="00C46347">
        <w:rPr>
          <w:rFonts w:cs="Arial"/>
          <w:lang w:val="en-CA"/>
        </w:rPr>
        <w:t xml:space="preserve"> </w:t>
      </w:r>
      <w:r w:rsidRPr="00C46347">
        <w:rPr>
          <w:rFonts w:cs="Arial"/>
          <w:i/>
          <w:iCs/>
          <w:lang w:val="en-CA"/>
        </w:rPr>
        <w:t xml:space="preserve">R. </w:t>
      </w:r>
      <w:r w:rsidR="00C46347" w:rsidRPr="00C46347">
        <w:rPr>
          <w:rFonts w:cs="Arial"/>
          <w:i/>
          <w:iCs/>
          <w:lang w:val="en-CA"/>
        </w:rPr>
        <w:t>v</w:t>
      </w:r>
      <w:r w:rsidRPr="00C46347">
        <w:rPr>
          <w:rFonts w:cs="Arial"/>
          <w:i/>
          <w:iCs/>
          <w:lang w:val="en-CA"/>
        </w:rPr>
        <w:t>. T.J.F.</w:t>
      </w:r>
      <w:r w:rsidRPr="00C46347">
        <w:rPr>
          <w:rFonts w:cs="Arial"/>
          <w:lang w:val="en-CA"/>
        </w:rPr>
        <w:t xml:space="preserve">, 2024 </w:t>
      </w:r>
      <w:r w:rsidR="00B131F0" w:rsidRPr="00C46347">
        <w:rPr>
          <w:rFonts w:cs="Arial"/>
          <w:lang w:val="en-CA"/>
        </w:rPr>
        <w:t>SCC</w:t>
      </w:r>
      <w:r w:rsidRPr="00C46347">
        <w:rPr>
          <w:rFonts w:cs="Arial"/>
          <w:lang w:val="en-CA"/>
        </w:rPr>
        <w:t xml:space="preserve"> 38, </w:t>
      </w:r>
      <w:r w:rsidR="00C46347" w:rsidRPr="00C46347">
        <w:rPr>
          <w:rFonts w:cs="Arial"/>
          <w:lang w:val="en-CA"/>
        </w:rPr>
        <w:t>para.</w:t>
      </w:r>
      <w:r w:rsidRPr="00C46347">
        <w:rPr>
          <w:rFonts w:cs="Arial"/>
          <w:lang w:val="en-CA"/>
        </w:rPr>
        <w:t xml:space="preserve"> 42: </w:t>
      </w:r>
      <w:r w:rsidR="00C46347">
        <w:rPr>
          <w:rFonts w:cs="Arial"/>
          <w:lang w:val="en-CA"/>
        </w:rPr>
        <w:t>“</w:t>
      </w:r>
      <w:r w:rsidR="00C46347" w:rsidRPr="00C46347">
        <w:rPr>
          <w:rFonts w:cs="Arial"/>
          <w:lang w:val="en-CA"/>
        </w:rPr>
        <w:t>in a criminal legal system built on the presumption of innocence, acquittals are not set aside lightly</w:t>
      </w:r>
      <w:r w:rsidR="00C46347">
        <w:rPr>
          <w:rFonts w:cs="Arial"/>
          <w:lang w:val="en-CA"/>
        </w:rPr>
        <w:t>.”</w:t>
      </w:r>
    </w:p>
  </w:footnote>
  <w:footnote w:id="66">
    <w:p w14:paraId="243B5AD0" w14:textId="7AA806BB" w:rsidR="00276A1F" w:rsidRPr="00A32A22" w:rsidRDefault="00276A1F" w:rsidP="00756494">
      <w:pPr>
        <w:pStyle w:val="Notedebasdepage"/>
        <w:ind w:left="284" w:hanging="284"/>
        <w:rPr>
          <w:rFonts w:cs="Arial"/>
          <w:lang w:val="en-CA"/>
        </w:rPr>
      </w:pPr>
      <w:r w:rsidRPr="0082385B">
        <w:rPr>
          <w:rStyle w:val="Appelnotedebasdep"/>
          <w:rFonts w:cs="Arial"/>
        </w:rPr>
        <w:footnoteRef/>
      </w:r>
      <w:r w:rsidRPr="00C528D9">
        <w:rPr>
          <w:rFonts w:cs="Arial"/>
          <w:lang w:val="en-CA"/>
        </w:rPr>
        <w:tab/>
      </w:r>
      <w:r w:rsidRPr="00A32A22">
        <w:rPr>
          <w:rFonts w:cs="Arial"/>
          <w:i/>
          <w:iCs/>
          <w:lang w:val="en-CA"/>
        </w:rPr>
        <w:t>Id.</w:t>
      </w:r>
      <w:r w:rsidRPr="00A32A22">
        <w:rPr>
          <w:rFonts w:cs="Arial"/>
          <w:lang w:val="en-CA"/>
        </w:rPr>
        <w:t xml:space="preserve">, </w:t>
      </w:r>
      <w:r w:rsidR="00C46347" w:rsidRPr="00A32A22">
        <w:rPr>
          <w:rFonts w:cs="Arial"/>
          <w:lang w:val="en-CA"/>
        </w:rPr>
        <w:t>para.</w:t>
      </w:r>
      <w:r w:rsidRPr="00A32A22">
        <w:rPr>
          <w:rFonts w:cs="Arial"/>
          <w:lang w:val="en-CA"/>
        </w:rPr>
        <w:t xml:space="preserve"> 34.</w:t>
      </w:r>
    </w:p>
  </w:footnote>
  <w:footnote w:id="67">
    <w:p w14:paraId="1417A5B9" w14:textId="77777777" w:rsidR="00276A1F" w:rsidRPr="00A32A22" w:rsidRDefault="00276A1F" w:rsidP="00756494">
      <w:pPr>
        <w:pStyle w:val="Notedebasdepage"/>
        <w:ind w:left="284" w:hanging="284"/>
        <w:rPr>
          <w:rFonts w:cs="Arial"/>
          <w:lang w:val="en-CA"/>
        </w:rPr>
      </w:pPr>
      <w:r w:rsidRPr="00A32A22">
        <w:rPr>
          <w:rStyle w:val="Appelnotedebasdep"/>
          <w:rFonts w:cs="Arial"/>
          <w:lang w:val="en-CA"/>
        </w:rPr>
        <w:footnoteRef/>
      </w:r>
      <w:r w:rsidRPr="00A32A22">
        <w:rPr>
          <w:rFonts w:cs="Arial"/>
          <w:lang w:val="en-CA"/>
        </w:rPr>
        <w:tab/>
      </w:r>
      <w:r w:rsidRPr="00A32A22">
        <w:rPr>
          <w:rFonts w:cs="Arial"/>
          <w:i/>
          <w:iCs/>
          <w:lang w:val="en-CA"/>
        </w:rPr>
        <w:t>Ibid.</w:t>
      </w:r>
    </w:p>
  </w:footnote>
  <w:footnote w:id="68">
    <w:p w14:paraId="6A3D5A9C" w14:textId="5643B592" w:rsidR="00276A1F" w:rsidRPr="00A32A22" w:rsidRDefault="00276A1F" w:rsidP="00756494">
      <w:pPr>
        <w:pStyle w:val="Notedebasdepage"/>
        <w:ind w:left="284" w:hanging="284"/>
        <w:rPr>
          <w:rFonts w:cs="Arial"/>
          <w:lang w:val="en-CA"/>
        </w:rPr>
      </w:pPr>
      <w:r w:rsidRPr="00A32A22">
        <w:rPr>
          <w:rStyle w:val="Appelnotedebasdep"/>
          <w:rFonts w:cs="Arial"/>
          <w:lang w:val="en-CA"/>
        </w:rPr>
        <w:footnoteRef/>
      </w:r>
      <w:r w:rsidRPr="00A32A22">
        <w:rPr>
          <w:rFonts w:cs="Arial"/>
          <w:lang w:val="en-CA"/>
        </w:rPr>
        <w:tab/>
      </w:r>
      <w:r w:rsidRPr="00A32A22">
        <w:rPr>
          <w:rFonts w:cs="Arial"/>
          <w:i/>
          <w:iCs/>
          <w:lang w:val="en-CA"/>
        </w:rPr>
        <w:t>Ibid.</w:t>
      </w:r>
      <w:r w:rsidRPr="00A32A22">
        <w:rPr>
          <w:rFonts w:cs="Arial"/>
          <w:lang w:val="en-CA"/>
        </w:rPr>
        <w:t>, cit</w:t>
      </w:r>
      <w:r w:rsidR="00A32A22" w:rsidRPr="00A32A22">
        <w:rPr>
          <w:rFonts w:cs="Arial"/>
          <w:lang w:val="en-CA"/>
        </w:rPr>
        <w:t>ing</w:t>
      </w:r>
      <w:r w:rsidRPr="00A32A22">
        <w:rPr>
          <w:rFonts w:cs="Arial"/>
          <w:lang w:val="en-CA"/>
        </w:rPr>
        <w:t xml:space="preserve"> </w:t>
      </w:r>
      <w:r w:rsidRPr="00A32A22">
        <w:rPr>
          <w:rFonts w:cs="Arial"/>
          <w:i/>
          <w:iCs/>
          <w:lang w:val="en-CA"/>
        </w:rPr>
        <w:t xml:space="preserve">R. </w:t>
      </w:r>
      <w:r w:rsidR="00A32A22">
        <w:rPr>
          <w:rFonts w:cs="Arial"/>
          <w:i/>
          <w:iCs/>
          <w:lang w:val="en-CA"/>
        </w:rPr>
        <w:t>v</w:t>
      </w:r>
      <w:r w:rsidRPr="00A32A22">
        <w:rPr>
          <w:rFonts w:cs="Arial"/>
          <w:i/>
          <w:iCs/>
          <w:lang w:val="en-CA"/>
        </w:rPr>
        <w:t>. Chung</w:t>
      </w:r>
      <w:r w:rsidRPr="00A32A22">
        <w:rPr>
          <w:rFonts w:cs="Arial"/>
          <w:lang w:val="en-CA"/>
        </w:rPr>
        <w:t xml:space="preserve">, 2020 </w:t>
      </w:r>
      <w:r w:rsidR="00B131F0" w:rsidRPr="00A32A22">
        <w:rPr>
          <w:rFonts w:cs="Arial"/>
          <w:lang w:val="en-CA"/>
        </w:rPr>
        <w:t>SCC</w:t>
      </w:r>
      <w:r w:rsidRPr="00A32A22">
        <w:rPr>
          <w:rFonts w:cs="Arial"/>
          <w:lang w:val="en-CA"/>
        </w:rPr>
        <w:t xml:space="preserve"> 8, </w:t>
      </w:r>
      <w:r w:rsidR="00C46347" w:rsidRPr="00A32A22">
        <w:rPr>
          <w:rFonts w:cs="Arial"/>
          <w:lang w:val="en-CA"/>
        </w:rPr>
        <w:t>para.</w:t>
      </w:r>
      <w:r w:rsidRPr="00A32A22">
        <w:rPr>
          <w:rFonts w:cs="Arial"/>
          <w:lang w:val="en-CA"/>
        </w:rPr>
        <w:t xml:space="preserve"> 10.</w:t>
      </w:r>
    </w:p>
  </w:footnote>
  <w:footnote w:id="69">
    <w:p w14:paraId="4EC9F98C" w14:textId="5FF8E681" w:rsidR="00276A1F" w:rsidRPr="00A32A22" w:rsidRDefault="00276A1F" w:rsidP="00756494">
      <w:pPr>
        <w:pStyle w:val="Notedebasdepage"/>
        <w:ind w:left="284" w:hanging="284"/>
        <w:rPr>
          <w:rFonts w:cs="Arial"/>
          <w:lang w:val="en-CA"/>
        </w:rPr>
      </w:pPr>
      <w:r w:rsidRPr="00A32A22">
        <w:rPr>
          <w:rStyle w:val="Appelnotedebasdep"/>
          <w:rFonts w:cs="Arial"/>
          <w:lang w:val="en-CA"/>
        </w:rPr>
        <w:footnoteRef/>
      </w:r>
      <w:r w:rsidRPr="00A32A22">
        <w:rPr>
          <w:rFonts w:cs="Arial"/>
          <w:lang w:val="en-CA"/>
        </w:rPr>
        <w:tab/>
      </w:r>
      <w:r w:rsidRPr="00A32A22">
        <w:rPr>
          <w:rFonts w:cs="Arial"/>
          <w:i/>
          <w:iCs/>
          <w:lang w:val="en-CA"/>
        </w:rPr>
        <w:t xml:space="preserve">R. </w:t>
      </w:r>
      <w:r w:rsidR="00A32A22">
        <w:rPr>
          <w:rFonts w:cs="Arial"/>
          <w:i/>
          <w:iCs/>
          <w:lang w:val="en-CA"/>
        </w:rPr>
        <w:t>v</w:t>
      </w:r>
      <w:r w:rsidRPr="00A32A22">
        <w:rPr>
          <w:rFonts w:cs="Arial"/>
          <w:i/>
          <w:iCs/>
          <w:lang w:val="en-CA"/>
        </w:rPr>
        <w:t>. G.F.</w:t>
      </w:r>
      <w:r w:rsidRPr="00A32A22">
        <w:rPr>
          <w:rFonts w:cs="Arial"/>
          <w:lang w:val="en-CA"/>
        </w:rPr>
        <w:t xml:space="preserve">, 2021 </w:t>
      </w:r>
      <w:r w:rsidR="00B131F0" w:rsidRPr="00A32A22">
        <w:rPr>
          <w:rFonts w:cs="Arial"/>
          <w:lang w:val="en-CA"/>
        </w:rPr>
        <w:t>SCC</w:t>
      </w:r>
      <w:r w:rsidRPr="00A32A22">
        <w:rPr>
          <w:rFonts w:cs="Arial"/>
          <w:lang w:val="en-CA"/>
        </w:rPr>
        <w:t xml:space="preserve"> 20, </w:t>
      </w:r>
      <w:r w:rsidR="00C46347" w:rsidRPr="00A32A22">
        <w:rPr>
          <w:rFonts w:cs="Arial"/>
          <w:lang w:val="en-CA"/>
        </w:rPr>
        <w:t>para.</w:t>
      </w:r>
      <w:r w:rsidRPr="00A32A22">
        <w:rPr>
          <w:rFonts w:cs="Arial"/>
          <w:lang w:val="en-CA"/>
        </w:rPr>
        <w:t xml:space="preserve"> 71.</w:t>
      </w:r>
    </w:p>
  </w:footnote>
  <w:footnote w:id="70">
    <w:p w14:paraId="357758C3" w14:textId="77777777" w:rsidR="00276A1F" w:rsidRPr="00A32A22" w:rsidRDefault="00276A1F" w:rsidP="00756494">
      <w:pPr>
        <w:pStyle w:val="Notedebasdepage"/>
        <w:ind w:left="284" w:hanging="284"/>
        <w:rPr>
          <w:rFonts w:cs="Arial"/>
          <w:i/>
          <w:iCs/>
          <w:lang w:val="en-CA"/>
        </w:rPr>
      </w:pPr>
      <w:r w:rsidRPr="00A32A22">
        <w:rPr>
          <w:rStyle w:val="Appelnotedebasdep"/>
          <w:rFonts w:cs="Arial"/>
          <w:lang w:val="en-CA"/>
        </w:rPr>
        <w:footnoteRef/>
      </w:r>
      <w:r w:rsidRPr="00A32A22">
        <w:rPr>
          <w:rFonts w:cs="Arial"/>
          <w:lang w:val="en-CA"/>
        </w:rPr>
        <w:tab/>
      </w:r>
      <w:r w:rsidRPr="00A32A22">
        <w:rPr>
          <w:rFonts w:cs="Arial"/>
          <w:i/>
          <w:iCs/>
          <w:lang w:val="en-CA"/>
        </w:rPr>
        <w:t>Ibid.</w:t>
      </w:r>
    </w:p>
  </w:footnote>
  <w:footnote w:id="71">
    <w:p w14:paraId="3E94EFB5" w14:textId="77777777" w:rsidR="00276A1F" w:rsidRPr="00A32A22" w:rsidRDefault="00276A1F" w:rsidP="00756494">
      <w:pPr>
        <w:pStyle w:val="Notedebasdepage"/>
        <w:ind w:left="284" w:hanging="284"/>
        <w:rPr>
          <w:rFonts w:cs="Arial"/>
          <w:i/>
          <w:iCs/>
          <w:lang w:val="en-CA"/>
        </w:rPr>
      </w:pPr>
      <w:r w:rsidRPr="00A32A22">
        <w:rPr>
          <w:rStyle w:val="Appelnotedebasdep"/>
          <w:rFonts w:cs="Arial"/>
          <w:lang w:val="en-CA"/>
        </w:rPr>
        <w:footnoteRef/>
      </w:r>
      <w:r w:rsidRPr="00A32A22">
        <w:rPr>
          <w:rFonts w:cs="Arial"/>
          <w:lang w:val="en-CA"/>
        </w:rPr>
        <w:tab/>
      </w:r>
      <w:r w:rsidRPr="00A32A22">
        <w:rPr>
          <w:rFonts w:cs="Arial"/>
          <w:i/>
          <w:iCs/>
          <w:lang w:val="en-CA"/>
        </w:rPr>
        <w:t>Ibid.</w:t>
      </w:r>
    </w:p>
  </w:footnote>
  <w:footnote w:id="72">
    <w:p w14:paraId="72BCB570" w14:textId="77777777" w:rsidR="00276A1F" w:rsidRPr="00A32A22" w:rsidRDefault="00276A1F" w:rsidP="00756494">
      <w:pPr>
        <w:pStyle w:val="Notedebasdepage"/>
        <w:ind w:left="284" w:hanging="284"/>
        <w:rPr>
          <w:rFonts w:cs="Arial"/>
          <w:i/>
          <w:iCs/>
          <w:lang w:val="en-CA"/>
        </w:rPr>
      </w:pPr>
      <w:r w:rsidRPr="00A32A22">
        <w:rPr>
          <w:rStyle w:val="Appelnotedebasdep"/>
          <w:rFonts w:cs="Arial"/>
          <w:lang w:val="en-CA"/>
        </w:rPr>
        <w:footnoteRef/>
      </w:r>
      <w:r w:rsidRPr="00A32A22">
        <w:rPr>
          <w:rFonts w:cs="Arial"/>
          <w:lang w:val="en-CA"/>
        </w:rPr>
        <w:tab/>
      </w:r>
      <w:r w:rsidRPr="00A32A22">
        <w:rPr>
          <w:rFonts w:cs="Arial"/>
          <w:i/>
          <w:iCs/>
          <w:lang w:val="en-CA"/>
        </w:rPr>
        <w:t>Ibid.</w:t>
      </w:r>
    </w:p>
  </w:footnote>
  <w:footnote w:id="73">
    <w:p w14:paraId="4C897CDA" w14:textId="68BB3027" w:rsidR="00276A1F" w:rsidRPr="00A32A22" w:rsidRDefault="00276A1F" w:rsidP="00756494">
      <w:pPr>
        <w:pStyle w:val="Notedebasdepage"/>
        <w:ind w:left="284" w:hanging="284"/>
        <w:rPr>
          <w:rFonts w:cs="Arial"/>
          <w:lang w:val="en-CA"/>
        </w:rPr>
      </w:pPr>
      <w:r w:rsidRPr="00A32A22">
        <w:rPr>
          <w:rStyle w:val="Appelnotedebasdep"/>
          <w:rFonts w:cs="Arial"/>
          <w:lang w:val="en-CA"/>
        </w:rPr>
        <w:footnoteRef/>
      </w:r>
      <w:r w:rsidRPr="00A32A22">
        <w:rPr>
          <w:rFonts w:cs="Arial"/>
          <w:lang w:val="en-CA"/>
        </w:rPr>
        <w:tab/>
      </w:r>
      <w:r w:rsidRPr="00A32A22">
        <w:rPr>
          <w:rFonts w:cs="Arial"/>
          <w:i/>
          <w:iCs/>
          <w:lang w:val="en-CA"/>
        </w:rPr>
        <w:t>Id.</w:t>
      </w:r>
      <w:r w:rsidRPr="00A32A22">
        <w:rPr>
          <w:rFonts w:cs="Arial"/>
          <w:lang w:val="en-CA"/>
        </w:rPr>
        <w:t xml:space="preserve">, </w:t>
      </w:r>
      <w:r w:rsidR="00C46347" w:rsidRPr="00A32A22">
        <w:rPr>
          <w:rFonts w:cs="Arial"/>
          <w:lang w:val="en-CA"/>
        </w:rPr>
        <w:t>para.</w:t>
      </w:r>
      <w:r w:rsidRPr="00A32A22">
        <w:rPr>
          <w:rFonts w:cs="Arial"/>
          <w:lang w:val="en-CA"/>
        </w:rPr>
        <w:t xml:space="preserve"> 74.</w:t>
      </w:r>
    </w:p>
  </w:footnote>
  <w:footnote w:id="74">
    <w:p w14:paraId="51879814" w14:textId="77777777" w:rsidR="00276A1F" w:rsidRPr="00A32A22" w:rsidRDefault="00276A1F" w:rsidP="00756494">
      <w:pPr>
        <w:pStyle w:val="Notedebasdepage"/>
        <w:ind w:left="284" w:hanging="284"/>
        <w:rPr>
          <w:rFonts w:cs="Arial"/>
          <w:lang w:val="en-CA"/>
        </w:rPr>
      </w:pPr>
      <w:r w:rsidRPr="00A32A22">
        <w:rPr>
          <w:rStyle w:val="Appelnotedebasdep"/>
          <w:rFonts w:cs="Arial"/>
          <w:lang w:val="en-CA"/>
        </w:rPr>
        <w:footnoteRef/>
      </w:r>
      <w:r w:rsidRPr="00A32A22">
        <w:rPr>
          <w:rFonts w:cs="Arial"/>
          <w:lang w:val="en-CA"/>
        </w:rPr>
        <w:tab/>
      </w:r>
      <w:r w:rsidRPr="00A32A22">
        <w:rPr>
          <w:rFonts w:cs="Arial"/>
          <w:i/>
          <w:iCs/>
          <w:lang w:val="en-CA"/>
        </w:rPr>
        <w:t>Ibid.</w:t>
      </w:r>
    </w:p>
  </w:footnote>
  <w:footnote w:id="75">
    <w:p w14:paraId="59E20BC9" w14:textId="086FED87" w:rsidR="00276A1F" w:rsidRPr="00C70AC2" w:rsidRDefault="00276A1F" w:rsidP="003162B0">
      <w:pPr>
        <w:pStyle w:val="Notedebasdepage"/>
        <w:ind w:left="284" w:hanging="284"/>
        <w:rPr>
          <w:rFonts w:cs="Arial"/>
          <w:lang w:val="en-CA"/>
        </w:rPr>
      </w:pPr>
      <w:r w:rsidRPr="0082385B">
        <w:rPr>
          <w:rStyle w:val="Appelnotedebasdep"/>
          <w:rFonts w:cs="Arial"/>
        </w:rPr>
        <w:footnoteRef/>
      </w:r>
      <w:r w:rsidRPr="00FA0360">
        <w:rPr>
          <w:rFonts w:cs="Arial"/>
          <w:lang w:val="en-CA"/>
        </w:rPr>
        <w:tab/>
      </w:r>
      <w:r>
        <w:rPr>
          <w:rFonts w:cs="Arial"/>
          <w:i/>
          <w:iCs/>
          <w:lang w:val="en-CA"/>
        </w:rPr>
        <w:t xml:space="preserve">R. </w:t>
      </w:r>
      <w:r w:rsidR="008822F4">
        <w:rPr>
          <w:rFonts w:cs="Arial"/>
          <w:i/>
          <w:iCs/>
          <w:lang w:val="en-CA"/>
        </w:rPr>
        <w:t>v</w:t>
      </w:r>
      <w:r>
        <w:rPr>
          <w:rFonts w:cs="Arial"/>
          <w:i/>
          <w:iCs/>
          <w:lang w:val="en-CA"/>
        </w:rPr>
        <w:t>. J.M.H.</w:t>
      </w:r>
      <w:r>
        <w:rPr>
          <w:rFonts w:cs="Arial"/>
          <w:lang w:val="en-CA"/>
        </w:rPr>
        <w:t xml:space="preserve">, 2011 </w:t>
      </w:r>
      <w:r w:rsidR="00B131F0">
        <w:rPr>
          <w:rFonts w:cs="Arial"/>
          <w:lang w:val="en-CA"/>
        </w:rPr>
        <w:t>SCC</w:t>
      </w:r>
      <w:r>
        <w:rPr>
          <w:rFonts w:cs="Arial"/>
          <w:lang w:val="en-CA"/>
        </w:rPr>
        <w:t xml:space="preserve"> 45, </w:t>
      </w:r>
      <w:r w:rsidR="00C46347">
        <w:rPr>
          <w:rFonts w:cs="Arial"/>
          <w:lang w:val="en-CA"/>
        </w:rPr>
        <w:t>para.</w:t>
      </w:r>
      <w:r>
        <w:rPr>
          <w:rFonts w:cs="Arial"/>
          <w:lang w:val="en-CA"/>
        </w:rPr>
        <w:t xml:space="preserve"> 32.</w:t>
      </w:r>
    </w:p>
  </w:footnote>
  <w:footnote w:id="76">
    <w:p w14:paraId="5BC21B8B" w14:textId="2964BEDA" w:rsidR="00C3108A" w:rsidRDefault="00C3108A" w:rsidP="00A36830">
      <w:pPr>
        <w:pStyle w:val="Notedebasdepage"/>
        <w:ind w:left="284" w:hanging="284"/>
      </w:pPr>
      <w:r>
        <w:rPr>
          <w:rStyle w:val="Appelnotedebasdep"/>
        </w:rPr>
        <w:footnoteRef/>
      </w:r>
      <w:r>
        <w:t xml:space="preserve"> </w:t>
      </w:r>
      <w:r w:rsidR="00A36830">
        <w:tab/>
      </w:r>
      <w:r w:rsidRPr="00A36830">
        <w:rPr>
          <w:i/>
          <w:iCs/>
        </w:rPr>
        <w:t>R. v. G.F.</w:t>
      </w:r>
      <w:r>
        <w:t>, 2021 SCC 20.</w:t>
      </w:r>
    </w:p>
  </w:footnote>
  <w:footnote w:id="77">
    <w:p w14:paraId="03928BD7" w14:textId="6C27D11B" w:rsidR="00276A1F" w:rsidRPr="0070198A" w:rsidRDefault="00276A1F" w:rsidP="00756494">
      <w:pPr>
        <w:pStyle w:val="Notedebasdepage"/>
        <w:ind w:left="284" w:hanging="284"/>
        <w:rPr>
          <w:rFonts w:cs="Arial"/>
          <w:lang w:val="en-CA"/>
        </w:rPr>
      </w:pPr>
      <w:r w:rsidRPr="0082385B">
        <w:rPr>
          <w:rStyle w:val="Appelnotedebasdep"/>
          <w:rFonts w:cs="Arial"/>
        </w:rPr>
        <w:footnoteRef/>
      </w:r>
      <w:r w:rsidRPr="004F175C">
        <w:rPr>
          <w:rFonts w:cs="Arial"/>
          <w:lang w:val="en-CA"/>
        </w:rPr>
        <w:tab/>
      </w:r>
      <w:r w:rsidRPr="0070198A">
        <w:rPr>
          <w:rFonts w:cs="Arial"/>
          <w:i/>
          <w:iCs/>
          <w:lang w:val="en-CA"/>
        </w:rPr>
        <w:t>Id.</w:t>
      </w:r>
      <w:r w:rsidRPr="0070198A">
        <w:rPr>
          <w:rFonts w:cs="Arial"/>
          <w:lang w:val="en-CA"/>
        </w:rPr>
        <w:t xml:space="preserve">, </w:t>
      </w:r>
      <w:r w:rsidR="00C46347" w:rsidRPr="0070198A">
        <w:rPr>
          <w:rFonts w:cs="Arial"/>
          <w:lang w:val="en-CA"/>
        </w:rPr>
        <w:t>para.</w:t>
      </w:r>
      <w:r w:rsidRPr="0070198A">
        <w:rPr>
          <w:rFonts w:cs="Arial"/>
          <w:lang w:val="en-CA"/>
        </w:rPr>
        <w:t xml:space="preserve"> 102.</w:t>
      </w:r>
    </w:p>
  </w:footnote>
  <w:footnote w:id="78">
    <w:p w14:paraId="280B6ABC" w14:textId="2B67EF47" w:rsidR="00276A1F" w:rsidRPr="0070198A" w:rsidRDefault="00276A1F" w:rsidP="00756494">
      <w:pPr>
        <w:pStyle w:val="Notedebasdepage"/>
        <w:ind w:left="284" w:hanging="284"/>
        <w:rPr>
          <w:rFonts w:cs="Arial"/>
          <w:lang w:val="en-CA"/>
        </w:rPr>
      </w:pPr>
      <w:r w:rsidRPr="0070198A">
        <w:rPr>
          <w:rStyle w:val="Appelnotedebasdep"/>
          <w:rFonts w:cs="Arial"/>
          <w:lang w:val="en-CA"/>
        </w:rPr>
        <w:footnoteRef/>
      </w:r>
      <w:r w:rsidRPr="0070198A">
        <w:rPr>
          <w:rFonts w:cs="Arial"/>
          <w:lang w:val="en-CA"/>
        </w:rPr>
        <w:tab/>
      </w:r>
      <w:r w:rsidRPr="0070198A">
        <w:rPr>
          <w:i/>
          <w:iCs/>
          <w:lang w:val="en-CA"/>
        </w:rPr>
        <w:t>Perron c. R</w:t>
      </w:r>
      <w:r w:rsidRPr="0070198A">
        <w:rPr>
          <w:lang w:val="en-CA"/>
        </w:rPr>
        <w:t xml:space="preserve">., 2022 QCCA 1339, </w:t>
      </w:r>
      <w:r w:rsidR="00C46347" w:rsidRPr="0070198A">
        <w:rPr>
          <w:lang w:val="en-CA"/>
        </w:rPr>
        <w:t>para.</w:t>
      </w:r>
      <w:r w:rsidRPr="0070198A">
        <w:rPr>
          <w:lang w:val="en-CA"/>
        </w:rPr>
        <w:t xml:space="preserve"> 3; </w:t>
      </w:r>
      <w:r w:rsidRPr="0070198A">
        <w:rPr>
          <w:i/>
          <w:iCs/>
          <w:lang w:val="en-CA"/>
        </w:rPr>
        <w:t>R. c. Diabo</w:t>
      </w:r>
      <w:r w:rsidRPr="0070198A">
        <w:rPr>
          <w:lang w:val="en-CA"/>
        </w:rPr>
        <w:t xml:space="preserve">, 2020 QCCA 849, </w:t>
      </w:r>
      <w:r w:rsidR="00C46347" w:rsidRPr="0070198A">
        <w:rPr>
          <w:lang w:val="en-CA"/>
        </w:rPr>
        <w:t>para.</w:t>
      </w:r>
      <w:r w:rsidRPr="0070198A">
        <w:rPr>
          <w:lang w:val="en-CA"/>
        </w:rPr>
        <w:t xml:space="preserve"> 15; </w:t>
      </w:r>
      <w:r w:rsidRPr="0070198A">
        <w:rPr>
          <w:i/>
          <w:iCs/>
          <w:lang w:val="en-CA"/>
        </w:rPr>
        <w:t>Arif c. R</w:t>
      </w:r>
      <w:r w:rsidRPr="0070198A">
        <w:rPr>
          <w:lang w:val="en-CA"/>
        </w:rPr>
        <w:t xml:space="preserve">., 2020 QCCA 848, </w:t>
      </w:r>
      <w:r w:rsidR="00C46347" w:rsidRPr="0070198A">
        <w:rPr>
          <w:lang w:val="en-CA"/>
        </w:rPr>
        <w:t>para.</w:t>
      </w:r>
      <w:r w:rsidRPr="0070198A">
        <w:rPr>
          <w:lang w:val="en-CA"/>
        </w:rPr>
        <w:t xml:space="preserve"> 61.</w:t>
      </w:r>
    </w:p>
  </w:footnote>
  <w:footnote w:id="79">
    <w:p w14:paraId="590A678A" w14:textId="49EF2808" w:rsidR="00276A1F" w:rsidRPr="0070198A" w:rsidRDefault="00276A1F" w:rsidP="00756494">
      <w:pPr>
        <w:pStyle w:val="Notedebasdepage"/>
        <w:ind w:left="284" w:hanging="284"/>
        <w:rPr>
          <w:lang w:val="en-CA"/>
        </w:rPr>
      </w:pPr>
      <w:r w:rsidRPr="0070198A">
        <w:rPr>
          <w:rStyle w:val="Appelnotedebasdep"/>
          <w:lang w:val="en-CA"/>
        </w:rPr>
        <w:footnoteRef/>
      </w:r>
      <w:r w:rsidRPr="0070198A">
        <w:rPr>
          <w:lang w:val="en-CA"/>
        </w:rPr>
        <w:tab/>
      </w:r>
      <w:r w:rsidRPr="0070198A">
        <w:rPr>
          <w:i/>
          <w:iCs/>
          <w:lang w:val="en-CA"/>
        </w:rPr>
        <w:t xml:space="preserve">R. </w:t>
      </w:r>
      <w:r w:rsidR="0070198A" w:rsidRPr="0070198A">
        <w:rPr>
          <w:i/>
          <w:iCs/>
          <w:lang w:val="en-CA"/>
        </w:rPr>
        <w:t>v</w:t>
      </w:r>
      <w:r w:rsidRPr="0070198A">
        <w:rPr>
          <w:i/>
          <w:iCs/>
          <w:lang w:val="en-CA"/>
        </w:rPr>
        <w:t>. Walker</w:t>
      </w:r>
      <w:r w:rsidRPr="0070198A">
        <w:rPr>
          <w:lang w:val="en-CA"/>
        </w:rPr>
        <w:t xml:space="preserve">, 2008 </w:t>
      </w:r>
      <w:r w:rsidR="00B131F0" w:rsidRPr="0070198A">
        <w:rPr>
          <w:lang w:val="en-CA"/>
        </w:rPr>
        <w:t>SCC</w:t>
      </w:r>
      <w:r w:rsidRPr="0070198A">
        <w:rPr>
          <w:lang w:val="en-CA"/>
        </w:rPr>
        <w:t xml:space="preserve"> 34, </w:t>
      </w:r>
      <w:r w:rsidR="00C46347" w:rsidRPr="0070198A">
        <w:rPr>
          <w:lang w:val="en-CA"/>
        </w:rPr>
        <w:t>para.</w:t>
      </w:r>
      <w:r w:rsidRPr="0070198A">
        <w:rPr>
          <w:lang w:val="en-CA"/>
        </w:rPr>
        <w:t xml:space="preserve"> 2. </w:t>
      </w:r>
      <w:r w:rsidR="0070198A" w:rsidRPr="0070198A">
        <w:rPr>
          <w:lang w:val="en-CA"/>
        </w:rPr>
        <w:t>See also</w:t>
      </w:r>
      <w:r w:rsidRPr="0070198A">
        <w:rPr>
          <w:lang w:val="en-CA"/>
        </w:rPr>
        <w:t xml:space="preserve"> </w:t>
      </w:r>
      <w:r w:rsidR="00C46347" w:rsidRPr="0070198A">
        <w:rPr>
          <w:lang w:val="en-CA"/>
        </w:rPr>
        <w:t>para</w:t>
      </w:r>
      <w:r w:rsidR="0070198A">
        <w:rPr>
          <w:lang w:val="en-CA"/>
        </w:rPr>
        <w:t>s</w:t>
      </w:r>
      <w:r w:rsidR="00C46347" w:rsidRPr="0070198A">
        <w:rPr>
          <w:lang w:val="en-CA"/>
        </w:rPr>
        <w:t>.</w:t>
      </w:r>
      <w:r w:rsidRPr="0070198A">
        <w:rPr>
          <w:lang w:val="en-CA"/>
        </w:rPr>
        <w:t xml:space="preserve"> 21-22 </w:t>
      </w:r>
      <w:r w:rsidR="0070198A">
        <w:rPr>
          <w:lang w:val="en-CA"/>
        </w:rPr>
        <w:t>of that decision</w:t>
      </w:r>
      <w:r w:rsidRPr="0070198A">
        <w:rPr>
          <w:lang w:val="en-CA"/>
        </w:rPr>
        <w:t xml:space="preserve">, </w:t>
      </w:r>
      <w:r w:rsidR="0070198A">
        <w:rPr>
          <w:lang w:val="en-CA"/>
        </w:rPr>
        <w:t>as well as</w:t>
      </w:r>
      <w:r w:rsidRPr="0070198A">
        <w:rPr>
          <w:lang w:val="en-CA"/>
        </w:rPr>
        <w:t xml:space="preserve">: </w:t>
      </w:r>
      <w:r w:rsidRPr="0070198A">
        <w:rPr>
          <w:i/>
          <w:iCs/>
          <w:lang w:val="en-CA"/>
        </w:rPr>
        <w:t>R. </w:t>
      </w:r>
      <w:r w:rsidR="0070198A">
        <w:rPr>
          <w:i/>
          <w:iCs/>
          <w:lang w:val="en-CA"/>
        </w:rPr>
        <w:t>v</w:t>
      </w:r>
      <w:r w:rsidRPr="0070198A">
        <w:rPr>
          <w:i/>
          <w:iCs/>
          <w:lang w:val="en-CA"/>
        </w:rPr>
        <w:t>. J.M.H</w:t>
      </w:r>
      <w:r w:rsidRPr="0070198A">
        <w:rPr>
          <w:lang w:val="en-CA"/>
        </w:rPr>
        <w:t xml:space="preserve">., 2011 </w:t>
      </w:r>
      <w:r w:rsidR="00B131F0" w:rsidRPr="0070198A">
        <w:rPr>
          <w:lang w:val="en-CA"/>
        </w:rPr>
        <w:t>SCC</w:t>
      </w:r>
      <w:r w:rsidRPr="0070198A">
        <w:rPr>
          <w:lang w:val="en-CA"/>
        </w:rPr>
        <w:t xml:space="preserve"> 45, </w:t>
      </w:r>
      <w:r w:rsidR="00C46347" w:rsidRPr="0070198A">
        <w:rPr>
          <w:lang w:val="en-CA"/>
        </w:rPr>
        <w:t>para.</w:t>
      </w:r>
      <w:r w:rsidRPr="0070198A">
        <w:rPr>
          <w:lang w:val="en-CA"/>
        </w:rPr>
        <w:t xml:space="preserve"> 32; </w:t>
      </w:r>
      <w:r w:rsidRPr="0070198A">
        <w:rPr>
          <w:i/>
          <w:iCs/>
          <w:lang w:val="en-CA"/>
        </w:rPr>
        <w:t>R. c. Strapatsas</w:t>
      </w:r>
      <w:r w:rsidRPr="0070198A">
        <w:rPr>
          <w:lang w:val="en-CA"/>
        </w:rPr>
        <w:t xml:space="preserve">, 2021 QCCA 1619, </w:t>
      </w:r>
      <w:r w:rsidR="00C46347" w:rsidRPr="0070198A">
        <w:rPr>
          <w:lang w:val="en-CA"/>
        </w:rPr>
        <w:t>para.</w:t>
      </w:r>
      <w:r w:rsidRPr="0070198A">
        <w:rPr>
          <w:lang w:val="en-CA"/>
        </w:rPr>
        <w:t xml:space="preserve"> 17; </w:t>
      </w:r>
      <w:r w:rsidRPr="0070198A">
        <w:rPr>
          <w:i/>
          <w:iCs/>
          <w:lang w:val="en-CA"/>
        </w:rPr>
        <w:t>R. c. Addala</w:t>
      </w:r>
      <w:r w:rsidRPr="0070198A">
        <w:rPr>
          <w:lang w:val="en-CA"/>
        </w:rPr>
        <w:t xml:space="preserve">, 2022 QCCA 538, </w:t>
      </w:r>
      <w:r w:rsidR="00C46347" w:rsidRPr="0070198A">
        <w:rPr>
          <w:lang w:val="en-CA"/>
        </w:rPr>
        <w:t>para.</w:t>
      </w:r>
      <w:r w:rsidRPr="0070198A">
        <w:rPr>
          <w:lang w:val="en-CA"/>
        </w:rPr>
        <w:t xml:space="preserve"> 23; </w:t>
      </w:r>
      <w:r w:rsidRPr="0070198A">
        <w:rPr>
          <w:i/>
          <w:iCs/>
          <w:lang w:val="en-CA"/>
        </w:rPr>
        <w:t>R. c. Comtois</w:t>
      </w:r>
      <w:r w:rsidRPr="0070198A">
        <w:rPr>
          <w:lang w:val="en-CA"/>
        </w:rPr>
        <w:t xml:space="preserve">, 2024 QCCA 300, </w:t>
      </w:r>
      <w:r w:rsidR="00C46347" w:rsidRPr="0070198A">
        <w:rPr>
          <w:lang w:val="en-CA"/>
        </w:rPr>
        <w:t>para</w:t>
      </w:r>
      <w:r w:rsidR="0070198A">
        <w:rPr>
          <w:lang w:val="en-CA"/>
        </w:rPr>
        <w:t>s</w:t>
      </w:r>
      <w:r w:rsidR="00C46347" w:rsidRPr="0070198A">
        <w:rPr>
          <w:lang w:val="en-CA"/>
        </w:rPr>
        <w:t>.</w:t>
      </w:r>
      <w:r w:rsidRPr="0070198A">
        <w:rPr>
          <w:lang w:val="en-CA"/>
        </w:rPr>
        <w:t xml:space="preserve"> 19-20.</w:t>
      </w:r>
    </w:p>
  </w:footnote>
  <w:footnote w:id="80">
    <w:p w14:paraId="7F3310A4" w14:textId="7462191C" w:rsidR="00276A1F" w:rsidRPr="005F594C" w:rsidRDefault="00276A1F" w:rsidP="00756494">
      <w:pPr>
        <w:pStyle w:val="Notedebasdepage"/>
        <w:ind w:left="284" w:hanging="284"/>
        <w:rPr>
          <w:rFonts w:cs="Arial"/>
          <w:lang w:val="en-CA"/>
        </w:rPr>
      </w:pPr>
      <w:r w:rsidRPr="0082385B">
        <w:rPr>
          <w:rStyle w:val="Appelnotedebasdep"/>
          <w:rFonts w:cs="Arial"/>
        </w:rPr>
        <w:footnoteRef/>
      </w:r>
      <w:r w:rsidRPr="00260FF6">
        <w:rPr>
          <w:rFonts w:cs="Arial"/>
        </w:rPr>
        <w:tab/>
      </w:r>
      <w:r w:rsidRPr="005F594C">
        <w:rPr>
          <w:rFonts w:cs="Arial"/>
          <w:i/>
          <w:iCs/>
          <w:lang w:val="en-CA"/>
        </w:rPr>
        <w:t xml:space="preserve">R. </w:t>
      </w:r>
      <w:r w:rsidR="005F594C">
        <w:rPr>
          <w:rFonts w:cs="Arial"/>
          <w:i/>
          <w:iCs/>
          <w:lang w:val="en-CA"/>
        </w:rPr>
        <w:t>v</w:t>
      </w:r>
      <w:r w:rsidRPr="005F594C">
        <w:rPr>
          <w:rFonts w:cs="Arial"/>
          <w:i/>
          <w:iCs/>
          <w:lang w:val="en-CA"/>
        </w:rPr>
        <w:t>. J.M.H.</w:t>
      </w:r>
      <w:r w:rsidRPr="005F594C">
        <w:rPr>
          <w:rFonts w:cs="Arial"/>
          <w:lang w:val="en-CA"/>
        </w:rPr>
        <w:t xml:space="preserve">, 2011 </w:t>
      </w:r>
      <w:r w:rsidR="00B131F0" w:rsidRPr="005F594C">
        <w:rPr>
          <w:rFonts w:cs="Arial"/>
          <w:lang w:val="en-CA"/>
        </w:rPr>
        <w:t>SCC</w:t>
      </w:r>
      <w:r w:rsidRPr="005F594C">
        <w:rPr>
          <w:rFonts w:cs="Arial"/>
          <w:lang w:val="en-CA"/>
        </w:rPr>
        <w:t xml:space="preserve"> 45, </w:t>
      </w:r>
      <w:r w:rsidR="00C46347" w:rsidRPr="005F594C">
        <w:rPr>
          <w:rFonts w:cs="Arial"/>
          <w:lang w:val="en-CA"/>
        </w:rPr>
        <w:t>para.</w:t>
      </w:r>
      <w:r w:rsidRPr="005F594C">
        <w:rPr>
          <w:rFonts w:cs="Arial"/>
          <w:lang w:val="en-CA"/>
        </w:rPr>
        <w:t xml:space="preserve"> 28.</w:t>
      </w:r>
    </w:p>
  </w:footnote>
  <w:footnote w:id="81">
    <w:p w14:paraId="651258EA" w14:textId="39C4260A" w:rsidR="00276A1F" w:rsidRPr="005F594C" w:rsidRDefault="00276A1F" w:rsidP="00756494">
      <w:pPr>
        <w:pStyle w:val="Notedebasdepage"/>
        <w:ind w:left="284" w:hanging="284"/>
        <w:rPr>
          <w:rFonts w:cs="Arial"/>
          <w:lang w:val="en-CA"/>
        </w:rPr>
      </w:pPr>
      <w:r w:rsidRPr="005F594C">
        <w:rPr>
          <w:rStyle w:val="Appelnotedebasdep"/>
          <w:rFonts w:cs="Arial"/>
          <w:lang w:val="en-CA"/>
        </w:rPr>
        <w:footnoteRef/>
      </w:r>
      <w:r w:rsidRPr="005F594C">
        <w:rPr>
          <w:rFonts w:cs="Arial"/>
          <w:lang w:val="en-CA"/>
        </w:rPr>
        <w:tab/>
      </w:r>
      <w:r w:rsidR="005F594C">
        <w:rPr>
          <w:rFonts w:cs="Arial"/>
          <w:lang w:val="en-CA"/>
        </w:rPr>
        <w:t>See</w:t>
      </w:r>
      <w:r w:rsidR="00BF3E2F">
        <w:rPr>
          <w:rFonts w:cs="Arial"/>
          <w:lang w:val="en-CA"/>
        </w:rPr>
        <w:t>, e.g.,</w:t>
      </w:r>
      <w:r w:rsidRPr="005F594C">
        <w:rPr>
          <w:rFonts w:cs="Arial"/>
          <w:lang w:val="en-CA"/>
        </w:rPr>
        <w:t xml:space="preserve"> </w:t>
      </w:r>
      <w:r w:rsidRPr="005F594C">
        <w:rPr>
          <w:rFonts w:cs="Arial"/>
          <w:i/>
          <w:iCs/>
          <w:lang w:val="en-CA"/>
        </w:rPr>
        <w:t xml:space="preserve">R. </w:t>
      </w:r>
      <w:r w:rsidR="005F594C">
        <w:rPr>
          <w:rFonts w:cs="Arial"/>
          <w:i/>
          <w:iCs/>
          <w:lang w:val="en-CA"/>
        </w:rPr>
        <w:t>v</w:t>
      </w:r>
      <w:r w:rsidRPr="005F594C">
        <w:rPr>
          <w:rFonts w:cs="Arial"/>
          <w:i/>
          <w:iCs/>
          <w:lang w:val="en-CA"/>
        </w:rPr>
        <w:t>. G.F.</w:t>
      </w:r>
      <w:r w:rsidRPr="005F594C">
        <w:rPr>
          <w:rFonts w:cs="Arial"/>
          <w:lang w:val="en-CA"/>
        </w:rPr>
        <w:t xml:space="preserve">, 2021 </w:t>
      </w:r>
      <w:r w:rsidR="00B131F0" w:rsidRPr="005F594C">
        <w:rPr>
          <w:rFonts w:cs="Arial"/>
          <w:lang w:val="en-CA"/>
        </w:rPr>
        <w:t>SCC</w:t>
      </w:r>
      <w:r w:rsidRPr="005F594C">
        <w:rPr>
          <w:rFonts w:cs="Arial"/>
          <w:lang w:val="en-CA"/>
        </w:rPr>
        <w:t xml:space="preserve"> 20, </w:t>
      </w:r>
      <w:r w:rsidR="00C46347" w:rsidRPr="005F594C">
        <w:rPr>
          <w:rFonts w:cs="Arial"/>
          <w:lang w:val="en-CA"/>
        </w:rPr>
        <w:t>para.</w:t>
      </w:r>
      <w:r w:rsidRPr="005F594C">
        <w:rPr>
          <w:rFonts w:cs="Arial"/>
          <w:lang w:val="en-CA"/>
        </w:rPr>
        <w:t xml:space="preserve"> 31.</w:t>
      </w:r>
    </w:p>
  </w:footnote>
  <w:footnote w:id="82">
    <w:p w14:paraId="0BE9F43C" w14:textId="0B5CA0F1" w:rsidR="00276A1F" w:rsidRPr="005F594C" w:rsidRDefault="00276A1F" w:rsidP="00756494">
      <w:pPr>
        <w:pStyle w:val="Notedebasdepage"/>
        <w:ind w:left="284" w:hanging="284"/>
        <w:rPr>
          <w:rFonts w:cs="Arial"/>
          <w:lang w:val="en-CA"/>
        </w:rPr>
      </w:pPr>
      <w:r w:rsidRPr="005F594C">
        <w:rPr>
          <w:rStyle w:val="Appelnotedebasdep"/>
          <w:rFonts w:cs="Arial"/>
          <w:lang w:val="en-CA"/>
        </w:rPr>
        <w:footnoteRef/>
      </w:r>
      <w:r w:rsidRPr="005F594C">
        <w:rPr>
          <w:rFonts w:cs="Arial"/>
          <w:lang w:val="en-CA"/>
        </w:rPr>
        <w:tab/>
      </w:r>
      <w:r w:rsidR="005F594C">
        <w:rPr>
          <w:rFonts w:cs="Arial"/>
          <w:lang w:val="en-CA"/>
        </w:rPr>
        <w:t>See</w:t>
      </w:r>
      <w:r w:rsidRPr="005F594C">
        <w:rPr>
          <w:rFonts w:cs="Arial"/>
          <w:lang w:val="en-CA"/>
        </w:rPr>
        <w:t xml:space="preserve">: </w:t>
      </w:r>
      <w:r w:rsidRPr="005F594C">
        <w:rPr>
          <w:rFonts w:cs="Arial"/>
          <w:i/>
          <w:iCs/>
          <w:lang w:val="en-CA"/>
        </w:rPr>
        <w:t xml:space="preserve">R. </w:t>
      </w:r>
      <w:r w:rsidR="005F594C">
        <w:rPr>
          <w:rFonts w:cs="Arial"/>
          <w:i/>
          <w:iCs/>
          <w:lang w:val="en-CA"/>
        </w:rPr>
        <w:t>v</w:t>
      </w:r>
      <w:r w:rsidRPr="005F594C">
        <w:rPr>
          <w:rFonts w:cs="Arial"/>
          <w:i/>
          <w:iCs/>
          <w:lang w:val="en-CA"/>
        </w:rPr>
        <w:t>. Ewanchuk</w:t>
      </w:r>
      <w:r w:rsidRPr="005F594C">
        <w:rPr>
          <w:rFonts w:cs="Arial"/>
          <w:lang w:val="en-CA"/>
        </w:rPr>
        <w:t xml:space="preserve">, [1999] 1 </w:t>
      </w:r>
      <w:r w:rsidR="00B131F0" w:rsidRPr="005F594C">
        <w:rPr>
          <w:rFonts w:cs="Arial"/>
          <w:lang w:val="en-CA"/>
        </w:rPr>
        <w:t>S.C.R.</w:t>
      </w:r>
      <w:r w:rsidRPr="005F594C">
        <w:rPr>
          <w:rFonts w:cs="Arial"/>
          <w:lang w:val="en-CA"/>
        </w:rPr>
        <w:t xml:space="preserve"> 330, </w:t>
      </w:r>
      <w:r w:rsidR="00C46347" w:rsidRPr="005F594C">
        <w:rPr>
          <w:rFonts w:cs="Arial"/>
          <w:lang w:val="en-CA"/>
        </w:rPr>
        <w:t>para.</w:t>
      </w:r>
      <w:r w:rsidRPr="005F594C">
        <w:rPr>
          <w:rFonts w:cs="Arial"/>
          <w:lang w:val="en-CA"/>
        </w:rPr>
        <w:t xml:space="preserve"> 29; </w:t>
      </w:r>
      <w:r w:rsidRPr="005F594C">
        <w:rPr>
          <w:rFonts w:cs="Arial"/>
          <w:i/>
          <w:iCs/>
          <w:lang w:val="en-CA"/>
        </w:rPr>
        <w:t xml:space="preserve">R. </w:t>
      </w:r>
      <w:r w:rsidR="005F594C">
        <w:rPr>
          <w:rFonts w:cs="Arial"/>
          <w:i/>
          <w:iCs/>
          <w:lang w:val="en-CA"/>
        </w:rPr>
        <w:t>v</w:t>
      </w:r>
      <w:r w:rsidRPr="005F594C">
        <w:rPr>
          <w:rFonts w:cs="Arial"/>
          <w:i/>
          <w:iCs/>
          <w:lang w:val="en-CA"/>
        </w:rPr>
        <w:t>. Barton</w:t>
      </w:r>
      <w:r w:rsidRPr="005F594C">
        <w:rPr>
          <w:rFonts w:cs="Arial"/>
          <w:lang w:val="en-CA"/>
        </w:rPr>
        <w:t xml:space="preserve">, 2019 </w:t>
      </w:r>
      <w:r w:rsidR="00B131F0" w:rsidRPr="005F594C">
        <w:rPr>
          <w:rFonts w:cs="Arial"/>
          <w:lang w:val="en-CA"/>
        </w:rPr>
        <w:t>SCC</w:t>
      </w:r>
      <w:r w:rsidRPr="005F594C">
        <w:rPr>
          <w:rFonts w:cs="Arial"/>
          <w:lang w:val="en-CA"/>
        </w:rPr>
        <w:t xml:space="preserve"> 33, </w:t>
      </w:r>
      <w:r w:rsidR="00C46347" w:rsidRPr="005F594C">
        <w:rPr>
          <w:rFonts w:cs="Arial"/>
          <w:lang w:val="en-CA"/>
        </w:rPr>
        <w:t>para.</w:t>
      </w:r>
      <w:r w:rsidRPr="005F594C">
        <w:rPr>
          <w:rFonts w:cs="Arial"/>
          <w:lang w:val="en-CA"/>
        </w:rPr>
        <w:t xml:space="preserve"> 89; </w:t>
      </w:r>
      <w:r w:rsidRPr="005F594C">
        <w:rPr>
          <w:rFonts w:cs="Arial"/>
          <w:i/>
          <w:iCs/>
          <w:lang w:val="en-CA"/>
        </w:rPr>
        <w:t>R. </w:t>
      </w:r>
      <w:r w:rsidR="005F594C">
        <w:rPr>
          <w:rFonts w:cs="Arial"/>
          <w:i/>
          <w:iCs/>
          <w:lang w:val="en-CA"/>
        </w:rPr>
        <w:t>v</w:t>
      </w:r>
      <w:r w:rsidRPr="005F594C">
        <w:rPr>
          <w:rFonts w:cs="Arial"/>
          <w:i/>
          <w:iCs/>
          <w:lang w:val="en-CA"/>
        </w:rPr>
        <w:t>. Kishayinew</w:t>
      </w:r>
      <w:r w:rsidRPr="005F594C">
        <w:rPr>
          <w:rFonts w:cs="Arial"/>
          <w:lang w:val="en-CA"/>
        </w:rPr>
        <w:t xml:space="preserve">, 2020 </w:t>
      </w:r>
      <w:r w:rsidR="00B131F0" w:rsidRPr="005F594C">
        <w:rPr>
          <w:rFonts w:cs="Arial"/>
          <w:lang w:val="en-CA"/>
        </w:rPr>
        <w:t>SCC</w:t>
      </w:r>
      <w:r w:rsidRPr="005F594C">
        <w:rPr>
          <w:rFonts w:cs="Arial"/>
          <w:lang w:val="en-CA"/>
        </w:rPr>
        <w:t xml:space="preserve"> 34, </w:t>
      </w:r>
      <w:r w:rsidR="00C46347" w:rsidRPr="005F594C">
        <w:rPr>
          <w:rFonts w:cs="Arial"/>
          <w:lang w:val="en-CA"/>
        </w:rPr>
        <w:t>para.</w:t>
      </w:r>
      <w:r w:rsidRPr="005F594C">
        <w:rPr>
          <w:rFonts w:cs="Arial"/>
          <w:lang w:val="en-CA"/>
        </w:rPr>
        <w:t xml:space="preserve"> 1; </w:t>
      </w:r>
      <w:r w:rsidRPr="005F594C">
        <w:rPr>
          <w:rFonts w:cs="Arial"/>
          <w:i/>
          <w:iCs/>
          <w:lang w:val="en-CA"/>
        </w:rPr>
        <w:t xml:space="preserve">R. </w:t>
      </w:r>
      <w:r w:rsidR="005F594C">
        <w:rPr>
          <w:rFonts w:cs="Arial"/>
          <w:i/>
          <w:iCs/>
          <w:lang w:val="en-CA"/>
        </w:rPr>
        <w:t>v</w:t>
      </w:r>
      <w:r w:rsidRPr="005F594C">
        <w:rPr>
          <w:rFonts w:cs="Arial"/>
          <w:i/>
          <w:iCs/>
          <w:lang w:val="en-CA"/>
        </w:rPr>
        <w:t>. Kirkpatrick,</w:t>
      </w:r>
      <w:r w:rsidRPr="005F594C">
        <w:rPr>
          <w:rFonts w:cs="Arial"/>
          <w:lang w:val="en-CA"/>
        </w:rPr>
        <w:t xml:space="preserve"> 2022 </w:t>
      </w:r>
      <w:r w:rsidR="00B131F0" w:rsidRPr="005F594C">
        <w:rPr>
          <w:rFonts w:cs="Arial"/>
          <w:lang w:val="en-CA"/>
        </w:rPr>
        <w:t>SCC</w:t>
      </w:r>
      <w:r w:rsidRPr="005F594C">
        <w:rPr>
          <w:rFonts w:cs="Arial"/>
          <w:lang w:val="en-CA"/>
        </w:rPr>
        <w:t xml:space="preserve"> 33, </w:t>
      </w:r>
      <w:r w:rsidR="00C46347" w:rsidRPr="005F594C">
        <w:rPr>
          <w:rFonts w:cs="Arial"/>
          <w:lang w:val="en-CA"/>
        </w:rPr>
        <w:t>para.</w:t>
      </w:r>
      <w:r w:rsidRPr="005F594C">
        <w:rPr>
          <w:rFonts w:cs="Arial"/>
          <w:lang w:val="en-CA"/>
        </w:rPr>
        <w:t xml:space="preserve"> 28.</w:t>
      </w:r>
    </w:p>
  </w:footnote>
  <w:footnote w:id="83">
    <w:p w14:paraId="294B5281" w14:textId="294378FB" w:rsidR="00276A1F" w:rsidRPr="005F594C" w:rsidRDefault="00276A1F" w:rsidP="00756494">
      <w:pPr>
        <w:pStyle w:val="Notedebasdepage"/>
        <w:ind w:left="284" w:hanging="284"/>
        <w:rPr>
          <w:rFonts w:cs="Arial"/>
          <w:lang w:val="en-CA"/>
        </w:rPr>
      </w:pPr>
      <w:r w:rsidRPr="005F594C">
        <w:rPr>
          <w:rStyle w:val="Appelnotedebasdep"/>
          <w:rFonts w:cs="Arial"/>
          <w:lang w:val="en-CA"/>
        </w:rPr>
        <w:footnoteRef/>
      </w:r>
      <w:r w:rsidRPr="005F594C">
        <w:rPr>
          <w:rFonts w:cs="Arial"/>
          <w:lang w:val="en-CA"/>
        </w:rPr>
        <w:tab/>
      </w:r>
      <w:r w:rsidR="005F594C">
        <w:rPr>
          <w:rFonts w:cs="Arial"/>
          <w:lang w:val="en-CA"/>
        </w:rPr>
        <w:t xml:space="preserve">As the Supreme Court recently </w:t>
      </w:r>
      <w:r w:rsidR="00BF3E2F">
        <w:rPr>
          <w:rFonts w:cs="Arial"/>
          <w:lang w:val="en-CA"/>
        </w:rPr>
        <w:t>not</w:t>
      </w:r>
      <w:r w:rsidR="005F594C">
        <w:rPr>
          <w:rFonts w:cs="Arial"/>
          <w:lang w:val="en-CA"/>
        </w:rPr>
        <w:t>e</w:t>
      </w:r>
      <w:r w:rsidR="00BF3E2F">
        <w:rPr>
          <w:rFonts w:cs="Arial"/>
          <w:lang w:val="en-CA"/>
        </w:rPr>
        <w:t>d</w:t>
      </w:r>
      <w:r w:rsidRPr="005F594C">
        <w:rPr>
          <w:rFonts w:cs="Arial"/>
          <w:lang w:val="en-CA"/>
        </w:rPr>
        <w:t xml:space="preserve">, </w:t>
      </w:r>
      <w:r w:rsidR="00976C52" w:rsidRPr="005F594C">
        <w:rPr>
          <w:rFonts w:cs="Arial"/>
          <w:lang w:val="en-CA"/>
        </w:rPr>
        <w:t>“no legal error arises from mere disagreements over factual inferences or the weight of evidence”</w:t>
      </w:r>
      <w:r w:rsidRPr="005F594C">
        <w:rPr>
          <w:rFonts w:cs="Arial"/>
          <w:lang w:val="en-CA"/>
        </w:rPr>
        <w:t xml:space="preserve"> (</w:t>
      </w:r>
      <w:r w:rsidRPr="005F594C">
        <w:rPr>
          <w:rFonts w:cs="Arial"/>
          <w:i/>
          <w:iCs/>
          <w:lang w:val="en-CA"/>
        </w:rPr>
        <w:t xml:space="preserve">R. </w:t>
      </w:r>
      <w:r w:rsidR="005F594C">
        <w:rPr>
          <w:rFonts w:cs="Arial"/>
          <w:i/>
          <w:iCs/>
          <w:lang w:val="en-CA"/>
        </w:rPr>
        <w:t>v</w:t>
      </w:r>
      <w:r w:rsidRPr="005F594C">
        <w:rPr>
          <w:rFonts w:cs="Arial"/>
          <w:i/>
          <w:iCs/>
          <w:lang w:val="en-CA"/>
        </w:rPr>
        <w:t>. Hodgson</w:t>
      </w:r>
      <w:r w:rsidRPr="005F594C">
        <w:rPr>
          <w:rFonts w:cs="Arial"/>
          <w:lang w:val="en-CA"/>
        </w:rPr>
        <w:t>, 2024 </w:t>
      </w:r>
      <w:r w:rsidR="00B131F0" w:rsidRPr="005F594C">
        <w:rPr>
          <w:rFonts w:cs="Arial"/>
          <w:lang w:val="en-CA"/>
        </w:rPr>
        <w:t>SCC</w:t>
      </w:r>
      <w:r w:rsidRPr="005F594C">
        <w:rPr>
          <w:rFonts w:cs="Arial"/>
          <w:lang w:val="en-CA"/>
        </w:rPr>
        <w:t xml:space="preserve"> 25, </w:t>
      </w:r>
      <w:r w:rsidR="00C46347" w:rsidRPr="005F594C">
        <w:rPr>
          <w:rFonts w:cs="Arial"/>
          <w:lang w:val="en-CA"/>
        </w:rPr>
        <w:t>para.</w:t>
      </w:r>
      <w:r w:rsidRPr="005F594C">
        <w:rPr>
          <w:rFonts w:cs="Arial"/>
          <w:lang w:val="en-CA"/>
        </w:rPr>
        <w:t xml:space="preserve"> 41, </w:t>
      </w:r>
      <w:r w:rsidR="00BF3E2F">
        <w:rPr>
          <w:rFonts w:cs="Arial"/>
          <w:lang w:val="en-CA"/>
        </w:rPr>
        <w:t>quoting</w:t>
      </w:r>
      <w:r w:rsidRPr="005F594C">
        <w:rPr>
          <w:rFonts w:cs="Arial"/>
          <w:lang w:val="en-CA"/>
        </w:rPr>
        <w:t xml:space="preserve"> </w:t>
      </w:r>
      <w:r w:rsidRPr="005F594C">
        <w:rPr>
          <w:rFonts w:cs="Arial"/>
          <w:i/>
          <w:iCs/>
          <w:lang w:val="en-CA"/>
        </w:rPr>
        <w:t xml:space="preserve">R. </w:t>
      </w:r>
      <w:r w:rsidR="00BF3E2F">
        <w:rPr>
          <w:rFonts w:cs="Arial"/>
          <w:i/>
          <w:iCs/>
          <w:lang w:val="en-CA"/>
        </w:rPr>
        <w:t>v</w:t>
      </w:r>
      <w:r w:rsidRPr="005F594C">
        <w:rPr>
          <w:rFonts w:cs="Arial"/>
          <w:i/>
          <w:iCs/>
          <w:lang w:val="en-CA"/>
        </w:rPr>
        <w:t>. George</w:t>
      </w:r>
      <w:r w:rsidRPr="005F594C">
        <w:rPr>
          <w:rFonts w:cs="Arial"/>
          <w:lang w:val="en-CA"/>
        </w:rPr>
        <w:t xml:space="preserve">, 2017 </w:t>
      </w:r>
      <w:r w:rsidR="00B131F0" w:rsidRPr="005F594C">
        <w:rPr>
          <w:rFonts w:cs="Arial"/>
          <w:lang w:val="en-CA"/>
        </w:rPr>
        <w:t>SCC</w:t>
      </w:r>
      <w:r w:rsidRPr="005F594C">
        <w:rPr>
          <w:rFonts w:cs="Arial"/>
          <w:lang w:val="en-CA"/>
        </w:rPr>
        <w:t xml:space="preserve"> 38, </w:t>
      </w:r>
      <w:r w:rsidR="00C46347" w:rsidRPr="005F594C">
        <w:rPr>
          <w:rFonts w:cs="Arial"/>
          <w:lang w:val="en-CA"/>
        </w:rPr>
        <w:t>para.</w:t>
      </w:r>
      <w:r w:rsidRPr="005F594C">
        <w:rPr>
          <w:rFonts w:cs="Arial"/>
          <w:lang w:val="en-CA"/>
        </w:rPr>
        <w:t xml:space="preserve"> 24). </w:t>
      </w:r>
      <w:r w:rsidR="00BF3E2F">
        <w:rPr>
          <w:rFonts w:cs="Arial"/>
          <w:lang w:val="en-CA"/>
        </w:rPr>
        <w:t>See also</w:t>
      </w:r>
      <w:r w:rsidRPr="005F594C">
        <w:rPr>
          <w:rFonts w:cs="Arial"/>
          <w:lang w:val="en-CA"/>
        </w:rPr>
        <w:t xml:space="preserve">: </w:t>
      </w:r>
      <w:r w:rsidRPr="005F594C">
        <w:rPr>
          <w:rFonts w:cs="Arial"/>
          <w:i/>
          <w:iCs/>
          <w:lang w:val="en-CA"/>
        </w:rPr>
        <w:t xml:space="preserve">R. </w:t>
      </w:r>
      <w:r w:rsidR="00BF3E2F">
        <w:rPr>
          <w:rFonts w:cs="Arial"/>
          <w:i/>
          <w:iCs/>
          <w:lang w:val="en-CA"/>
        </w:rPr>
        <w:t>v</w:t>
      </w:r>
      <w:r w:rsidRPr="005F594C">
        <w:rPr>
          <w:rFonts w:cs="Arial"/>
          <w:i/>
          <w:iCs/>
          <w:lang w:val="en-CA"/>
        </w:rPr>
        <w:t>. B.(G.)</w:t>
      </w:r>
      <w:r w:rsidRPr="005F594C">
        <w:rPr>
          <w:rFonts w:cs="Arial"/>
          <w:lang w:val="en-CA"/>
        </w:rPr>
        <w:t xml:space="preserve">, [1990] 2 </w:t>
      </w:r>
      <w:r w:rsidR="00B131F0" w:rsidRPr="005F594C">
        <w:rPr>
          <w:rFonts w:cs="Arial"/>
          <w:lang w:val="en-CA"/>
        </w:rPr>
        <w:t>S.C.R.</w:t>
      </w:r>
      <w:r w:rsidRPr="005F594C">
        <w:rPr>
          <w:rFonts w:cs="Arial"/>
          <w:lang w:val="en-CA"/>
        </w:rPr>
        <w:t xml:space="preserve"> 57, p. 51 (</w:t>
      </w:r>
      <w:r w:rsidR="00976C52" w:rsidRPr="005F594C">
        <w:rPr>
          <w:rFonts w:cs="Arial"/>
          <w:lang w:val="en-CA"/>
        </w:rPr>
        <w:t>“</w:t>
      </w:r>
      <w:r w:rsidRPr="005F594C">
        <w:rPr>
          <w:rFonts w:cs="Arial"/>
          <w:lang w:val="en-CA"/>
        </w:rPr>
        <w:t>[</w:t>
      </w:r>
      <w:r w:rsidR="00976C52" w:rsidRPr="005F594C">
        <w:rPr>
          <w:rFonts w:cs="Arial"/>
          <w:lang w:val="en-CA"/>
        </w:rPr>
        <w:t>a</w:t>
      </w:r>
      <w:r w:rsidRPr="005F594C">
        <w:rPr>
          <w:rFonts w:cs="Arial"/>
          <w:lang w:val="en-CA"/>
        </w:rPr>
        <w:t>]</w:t>
      </w:r>
      <w:r w:rsidR="00976C52" w:rsidRPr="005F594C">
        <w:rPr>
          <w:rFonts w:cs="Arial"/>
          <w:lang w:val="en-CA"/>
        </w:rPr>
        <w:t>n acquittal based on an erroneous conclusion of reasonable doubt constitutes a question of law where the trial judge has erred as to the legal effect of undisputed or found facts rather than the inferences to be drawn from such facts”</w:t>
      </w:r>
      <w:r w:rsidRPr="005F594C">
        <w:rPr>
          <w:rFonts w:cs="Arial"/>
          <w:lang w:val="en-CA"/>
        </w:rPr>
        <w:t xml:space="preserve">); </w:t>
      </w:r>
      <w:r w:rsidRPr="005F594C">
        <w:rPr>
          <w:rFonts w:cs="Arial"/>
          <w:i/>
          <w:iCs/>
          <w:lang w:val="en-CA"/>
        </w:rPr>
        <w:t xml:space="preserve">R. </w:t>
      </w:r>
      <w:r w:rsidR="00BF3E2F">
        <w:rPr>
          <w:rFonts w:cs="Arial"/>
          <w:i/>
          <w:iCs/>
          <w:lang w:val="en-CA"/>
        </w:rPr>
        <w:t>v</w:t>
      </w:r>
      <w:r w:rsidRPr="005F594C">
        <w:rPr>
          <w:rFonts w:cs="Arial"/>
          <w:i/>
          <w:iCs/>
          <w:lang w:val="en-CA"/>
        </w:rPr>
        <w:t>. Kent</w:t>
      </w:r>
      <w:r w:rsidRPr="005F594C">
        <w:rPr>
          <w:rFonts w:cs="Arial"/>
          <w:lang w:val="en-CA"/>
        </w:rPr>
        <w:t xml:space="preserve">, [1994] 3 </w:t>
      </w:r>
      <w:r w:rsidR="00B131F0" w:rsidRPr="005F594C">
        <w:rPr>
          <w:rFonts w:cs="Arial"/>
          <w:lang w:val="en-CA"/>
        </w:rPr>
        <w:t>S.C.R.</w:t>
      </w:r>
      <w:r w:rsidRPr="005F594C">
        <w:rPr>
          <w:rFonts w:cs="Arial"/>
          <w:lang w:val="en-CA"/>
        </w:rPr>
        <w:t xml:space="preserve"> 133, p. 143 (</w:t>
      </w:r>
      <w:r w:rsidR="00976C52" w:rsidRPr="005F594C">
        <w:rPr>
          <w:rFonts w:cs="Arial"/>
          <w:lang w:val="en-CA"/>
        </w:rPr>
        <w:t>“[t]he question of whether the proper inference has been drawn by a trial judge from the facts established in evidence is a question of fact”</w:t>
      </w:r>
      <w:r w:rsidRPr="005F594C">
        <w:rPr>
          <w:rFonts w:cs="Arial"/>
          <w:lang w:val="en-CA"/>
        </w:rPr>
        <w:t xml:space="preserve">, </w:t>
      </w:r>
      <w:r w:rsidR="00976C52" w:rsidRPr="005F594C">
        <w:rPr>
          <w:rFonts w:cs="Arial"/>
          <w:lang w:val="en-CA"/>
        </w:rPr>
        <w:t>“[e]videntiary sufficiency is also a question of fact”</w:t>
      </w:r>
      <w:r w:rsidRPr="005F594C">
        <w:rPr>
          <w:rFonts w:cs="Arial"/>
          <w:lang w:val="en-CA"/>
        </w:rPr>
        <w:t>).</w:t>
      </w:r>
    </w:p>
  </w:footnote>
  <w:footnote w:id="84">
    <w:p w14:paraId="49A8D4E3" w14:textId="2575152C" w:rsidR="00276A1F" w:rsidRPr="00165E51" w:rsidRDefault="00276A1F" w:rsidP="00756494">
      <w:pPr>
        <w:pStyle w:val="Notedebasdepage"/>
        <w:ind w:left="284" w:hanging="284"/>
        <w:rPr>
          <w:rFonts w:cs="Arial"/>
          <w:lang w:val="en-CA"/>
        </w:rPr>
      </w:pPr>
      <w:r w:rsidRPr="0082385B">
        <w:rPr>
          <w:rStyle w:val="Appelnotedebasdep"/>
          <w:rFonts w:cs="Arial"/>
        </w:rPr>
        <w:footnoteRef/>
      </w:r>
      <w:r w:rsidRPr="006C1EF4">
        <w:rPr>
          <w:rFonts w:cs="Arial"/>
        </w:rPr>
        <w:tab/>
      </w:r>
      <w:r w:rsidR="00165E51" w:rsidRPr="00165E51">
        <w:rPr>
          <w:rFonts w:cs="Arial"/>
          <w:lang w:val="en-CA"/>
        </w:rPr>
        <w:t>Judgment under appeal</w:t>
      </w:r>
      <w:r w:rsidRPr="00165E51">
        <w:rPr>
          <w:rFonts w:cs="Arial"/>
          <w:lang w:val="en-CA"/>
        </w:rPr>
        <w:t>, p. 8.</w:t>
      </w:r>
    </w:p>
  </w:footnote>
  <w:footnote w:id="85">
    <w:p w14:paraId="6CFBE0E1" w14:textId="565D3240" w:rsidR="00276A1F" w:rsidRPr="00165E51" w:rsidRDefault="00276A1F" w:rsidP="00756494">
      <w:pPr>
        <w:pStyle w:val="Notedebasdepage"/>
        <w:ind w:left="284" w:hanging="284"/>
        <w:rPr>
          <w:rFonts w:cs="Arial"/>
          <w:lang w:val="en-CA"/>
        </w:rPr>
      </w:pPr>
      <w:r w:rsidRPr="00165E51">
        <w:rPr>
          <w:rStyle w:val="Appelnotedebasdep"/>
          <w:rFonts w:cs="Arial"/>
          <w:lang w:val="en-CA"/>
        </w:rPr>
        <w:footnoteRef/>
      </w:r>
      <w:r w:rsidRPr="00165E51">
        <w:rPr>
          <w:rFonts w:cs="Arial"/>
          <w:lang w:val="en-CA"/>
        </w:rPr>
        <w:tab/>
      </w:r>
      <w:r w:rsidRPr="00165E51">
        <w:rPr>
          <w:rFonts w:cs="Arial"/>
          <w:i/>
          <w:iCs/>
          <w:lang w:val="en-CA"/>
        </w:rPr>
        <w:t xml:space="preserve">R. </w:t>
      </w:r>
      <w:r w:rsidR="00165E51">
        <w:rPr>
          <w:rFonts w:cs="Arial"/>
          <w:i/>
          <w:iCs/>
          <w:lang w:val="en-CA"/>
        </w:rPr>
        <w:t>v</w:t>
      </w:r>
      <w:r w:rsidRPr="00165E51">
        <w:rPr>
          <w:rFonts w:cs="Arial"/>
          <w:i/>
          <w:iCs/>
          <w:lang w:val="en-CA"/>
        </w:rPr>
        <w:t>. J.M.H.</w:t>
      </w:r>
      <w:r w:rsidRPr="00165E51">
        <w:rPr>
          <w:rFonts w:cs="Arial"/>
          <w:lang w:val="en-CA"/>
        </w:rPr>
        <w:t xml:space="preserve">, 2011 </w:t>
      </w:r>
      <w:r w:rsidR="00B131F0" w:rsidRPr="00165E51">
        <w:rPr>
          <w:rFonts w:cs="Arial"/>
          <w:lang w:val="en-CA"/>
        </w:rPr>
        <w:t>SCC</w:t>
      </w:r>
      <w:r w:rsidRPr="00165E51">
        <w:rPr>
          <w:rFonts w:cs="Arial"/>
          <w:lang w:val="en-CA"/>
        </w:rPr>
        <w:t xml:space="preserve"> 45.</w:t>
      </w:r>
    </w:p>
  </w:footnote>
  <w:footnote w:id="86">
    <w:p w14:paraId="15EEFE78" w14:textId="7E765E73" w:rsidR="00276A1F" w:rsidRPr="00165E51" w:rsidRDefault="00276A1F" w:rsidP="00756494">
      <w:pPr>
        <w:pStyle w:val="Notedebasdepage"/>
        <w:ind w:left="284" w:hanging="284"/>
        <w:rPr>
          <w:rFonts w:cs="Arial"/>
          <w:lang w:val="en-CA"/>
        </w:rPr>
      </w:pPr>
      <w:r w:rsidRPr="00165E51">
        <w:rPr>
          <w:rStyle w:val="Appelnotedebasdep"/>
          <w:rFonts w:cs="Arial"/>
          <w:lang w:val="en-CA"/>
        </w:rPr>
        <w:footnoteRef/>
      </w:r>
      <w:r w:rsidRPr="00165E51">
        <w:rPr>
          <w:rFonts w:cs="Arial"/>
          <w:lang w:val="en-CA"/>
        </w:rPr>
        <w:tab/>
      </w:r>
      <w:r w:rsidRPr="00165E51">
        <w:rPr>
          <w:rFonts w:cs="Arial"/>
          <w:i/>
          <w:iCs/>
          <w:lang w:val="en-CA"/>
        </w:rPr>
        <w:t>Id.</w:t>
      </w:r>
      <w:r w:rsidRPr="00165E51">
        <w:rPr>
          <w:rFonts w:cs="Arial"/>
          <w:lang w:val="en-CA"/>
        </w:rPr>
        <w:t xml:space="preserve">, </w:t>
      </w:r>
      <w:r w:rsidR="00C46347" w:rsidRPr="00165E51">
        <w:rPr>
          <w:rFonts w:cs="Arial"/>
          <w:lang w:val="en-CA"/>
        </w:rPr>
        <w:t>para.</w:t>
      </w:r>
      <w:r w:rsidRPr="00165E51">
        <w:rPr>
          <w:rFonts w:cs="Arial"/>
          <w:lang w:val="en-CA"/>
        </w:rPr>
        <w:t xml:space="preserve"> 25. </w:t>
      </w:r>
    </w:p>
  </w:footnote>
  <w:footnote w:id="87">
    <w:p w14:paraId="0CA4F646" w14:textId="77777777" w:rsidR="00276A1F" w:rsidRPr="00901EC6" w:rsidRDefault="00276A1F" w:rsidP="00756494">
      <w:pPr>
        <w:pStyle w:val="Notedebasdepage"/>
        <w:ind w:left="284" w:hanging="284"/>
        <w:rPr>
          <w:rFonts w:cs="Arial"/>
        </w:rPr>
      </w:pPr>
      <w:r w:rsidRPr="00165E51">
        <w:rPr>
          <w:rStyle w:val="Appelnotedebasdep"/>
          <w:rFonts w:cs="Arial"/>
          <w:lang w:val="en-CA"/>
        </w:rPr>
        <w:footnoteRef/>
      </w:r>
      <w:r w:rsidRPr="00165E51">
        <w:rPr>
          <w:rFonts w:cs="Arial"/>
          <w:lang w:val="en-CA"/>
        </w:rPr>
        <w:tab/>
      </w:r>
      <w:r w:rsidRPr="00165E51">
        <w:rPr>
          <w:rFonts w:cs="Arial"/>
          <w:i/>
          <w:iCs/>
          <w:lang w:val="en-CA"/>
        </w:rPr>
        <w:t>Ibid.</w:t>
      </w:r>
      <w:r w:rsidRPr="00901EC6">
        <w:rPr>
          <w:rFonts w:cs="Arial"/>
        </w:rPr>
        <w:t xml:space="preserve"> </w:t>
      </w:r>
    </w:p>
  </w:footnote>
  <w:footnote w:id="88">
    <w:p w14:paraId="2F888325" w14:textId="6EA788CF" w:rsidR="00276A1F" w:rsidRPr="00694428" w:rsidRDefault="00276A1F" w:rsidP="00756494">
      <w:pPr>
        <w:pStyle w:val="Notedebasdepage"/>
        <w:ind w:left="284" w:hanging="284"/>
        <w:rPr>
          <w:rFonts w:cs="Arial"/>
          <w:lang w:val="en-CA"/>
        </w:rPr>
      </w:pPr>
      <w:r w:rsidRPr="0082385B">
        <w:rPr>
          <w:rStyle w:val="Appelnotedebasdep"/>
          <w:rFonts w:cs="Arial"/>
        </w:rPr>
        <w:footnoteRef/>
      </w:r>
      <w:r w:rsidRPr="00901EC6">
        <w:rPr>
          <w:rFonts w:cs="Arial"/>
        </w:rPr>
        <w:tab/>
      </w:r>
      <w:r w:rsidRPr="00694428">
        <w:rPr>
          <w:rFonts w:cs="Arial"/>
          <w:i/>
          <w:iCs/>
          <w:lang w:val="en-CA"/>
        </w:rPr>
        <w:t xml:space="preserve">Schuldt </w:t>
      </w:r>
      <w:r w:rsidR="00694428" w:rsidRPr="00694428">
        <w:rPr>
          <w:rFonts w:cs="Arial"/>
          <w:i/>
          <w:iCs/>
          <w:lang w:val="en-CA"/>
        </w:rPr>
        <w:t>v</w:t>
      </w:r>
      <w:r w:rsidRPr="00694428">
        <w:rPr>
          <w:rFonts w:cs="Arial"/>
          <w:i/>
          <w:iCs/>
          <w:lang w:val="en-CA"/>
        </w:rPr>
        <w:t xml:space="preserve">. </w:t>
      </w:r>
      <w:r w:rsidR="00694428" w:rsidRPr="00694428">
        <w:rPr>
          <w:rFonts w:cs="Arial"/>
          <w:i/>
          <w:iCs/>
          <w:lang w:val="en-CA"/>
        </w:rPr>
        <w:t>The Queen</w:t>
      </w:r>
      <w:r w:rsidRPr="00694428">
        <w:rPr>
          <w:rFonts w:cs="Arial"/>
          <w:lang w:val="en-CA"/>
        </w:rPr>
        <w:t xml:space="preserve">, [1985] 2 </w:t>
      </w:r>
      <w:r w:rsidR="00B131F0" w:rsidRPr="00694428">
        <w:rPr>
          <w:rFonts w:cs="Arial"/>
          <w:lang w:val="en-CA"/>
        </w:rPr>
        <w:t>S.C.R.</w:t>
      </w:r>
      <w:r w:rsidRPr="00694428">
        <w:rPr>
          <w:rFonts w:cs="Arial"/>
          <w:lang w:val="en-CA"/>
        </w:rPr>
        <w:t xml:space="preserve"> 592, p. 598 (cit</w:t>
      </w:r>
      <w:r w:rsidR="00694428" w:rsidRPr="00694428">
        <w:rPr>
          <w:rFonts w:cs="Arial"/>
          <w:lang w:val="en-CA"/>
        </w:rPr>
        <w:t>ing</w:t>
      </w:r>
      <w:r w:rsidRPr="00694428">
        <w:rPr>
          <w:rFonts w:cs="Arial"/>
          <w:lang w:val="en-CA"/>
        </w:rPr>
        <w:t xml:space="preserve"> </w:t>
      </w:r>
      <w:r w:rsidRPr="00694428">
        <w:rPr>
          <w:rFonts w:cs="Arial"/>
          <w:i/>
          <w:iCs/>
          <w:lang w:val="en-CA"/>
        </w:rPr>
        <w:t>R. v. Schuldt</w:t>
      </w:r>
      <w:r w:rsidRPr="00694428">
        <w:rPr>
          <w:rFonts w:cs="Arial"/>
          <w:lang w:val="en-CA"/>
        </w:rPr>
        <w:t xml:space="preserve">, (1983) 23 Man. R. (d) 75, 1983 CanLII 3758 (C.A. Man.), </w:t>
      </w:r>
      <w:r w:rsidR="00C46347" w:rsidRPr="00694428">
        <w:rPr>
          <w:rFonts w:cs="Arial"/>
          <w:lang w:val="en-CA"/>
        </w:rPr>
        <w:t>para.</w:t>
      </w:r>
      <w:r w:rsidRPr="00694428">
        <w:rPr>
          <w:rFonts w:cs="Arial"/>
          <w:lang w:val="en-CA"/>
        </w:rPr>
        <w:t xml:space="preserve"> 3).</w:t>
      </w:r>
    </w:p>
  </w:footnote>
  <w:footnote w:id="89">
    <w:p w14:paraId="231BE042" w14:textId="0131570D" w:rsidR="00276A1F" w:rsidRPr="00694428" w:rsidRDefault="00276A1F" w:rsidP="00756494">
      <w:pPr>
        <w:pStyle w:val="Notedebasdepage"/>
        <w:ind w:left="284" w:hanging="284"/>
        <w:rPr>
          <w:rFonts w:cs="Arial"/>
          <w:i/>
          <w:iCs/>
          <w:lang w:val="en-CA"/>
        </w:rPr>
      </w:pPr>
      <w:r w:rsidRPr="00694428">
        <w:rPr>
          <w:rStyle w:val="Appelnotedebasdep"/>
          <w:rFonts w:cs="Arial"/>
          <w:lang w:val="en-CA"/>
        </w:rPr>
        <w:footnoteRef/>
      </w:r>
      <w:r w:rsidRPr="00694428">
        <w:rPr>
          <w:rFonts w:cs="Arial"/>
          <w:lang w:val="en-CA"/>
        </w:rPr>
        <w:tab/>
      </w:r>
      <w:r w:rsidRPr="00694428">
        <w:rPr>
          <w:rFonts w:cs="Arial"/>
          <w:i/>
          <w:iCs/>
          <w:lang w:val="en-CA"/>
        </w:rPr>
        <w:t xml:space="preserve">Schuldt </w:t>
      </w:r>
      <w:r w:rsidR="00694428" w:rsidRPr="00694428">
        <w:rPr>
          <w:rFonts w:cs="Arial"/>
          <w:i/>
          <w:iCs/>
          <w:lang w:val="en-CA"/>
        </w:rPr>
        <w:t>v</w:t>
      </w:r>
      <w:r w:rsidRPr="00694428">
        <w:rPr>
          <w:rFonts w:cs="Arial"/>
          <w:i/>
          <w:iCs/>
          <w:lang w:val="en-CA"/>
        </w:rPr>
        <w:t xml:space="preserve">. </w:t>
      </w:r>
      <w:r w:rsidR="00D7528D">
        <w:rPr>
          <w:rFonts w:cs="Arial"/>
          <w:i/>
          <w:iCs/>
          <w:lang w:val="en-CA"/>
        </w:rPr>
        <w:t>The Queen</w:t>
      </w:r>
      <w:r w:rsidRPr="00694428">
        <w:rPr>
          <w:rFonts w:cs="Arial"/>
          <w:lang w:val="en-CA"/>
        </w:rPr>
        <w:t xml:space="preserve">, [1985] 2 </w:t>
      </w:r>
      <w:r w:rsidR="00B131F0" w:rsidRPr="00694428">
        <w:rPr>
          <w:rFonts w:cs="Arial"/>
          <w:lang w:val="en-CA"/>
        </w:rPr>
        <w:t>S.C.R.</w:t>
      </w:r>
      <w:r w:rsidRPr="00694428">
        <w:rPr>
          <w:rFonts w:cs="Arial"/>
          <w:lang w:val="en-CA"/>
        </w:rPr>
        <w:t xml:space="preserve"> 592, p. 604. </w:t>
      </w:r>
      <w:r w:rsidR="00694428" w:rsidRPr="00694428">
        <w:rPr>
          <w:rFonts w:cs="Arial"/>
          <w:lang w:val="en-CA"/>
        </w:rPr>
        <w:t>The judgment reiterates the principles established in</w:t>
      </w:r>
      <w:r w:rsidRPr="00694428">
        <w:rPr>
          <w:rFonts w:cs="Arial"/>
          <w:lang w:val="en-CA"/>
        </w:rPr>
        <w:t xml:space="preserve"> </w:t>
      </w:r>
      <w:r w:rsidRPr="00694428">
        <w:rPr>
          <w:rFonts w:cs="Arial"/>
          <w:i/>
          <w:iCs/>
          <w:lang w:val="en-CA"/>
        </w:rPr>
        <w:t>Sunbeam Corporation (Canada) Limited v. The Queen</w:t>
      </w:r>
      <w:r w:rsidRPr="00694428">
        <w:rPr>
          <w:rFonts w:cs="Arial"/>
          <w:lang w:val="en-CA"/>
        </w:rPr>
        <w:t xml:space="preserve">, [1969] S.C.R. 221, </w:t>
      </w:r>
      <w:r w:rsidR="00694428">
        <w:rPr>
          <w:rFonts w:cs="Arial"/>
          <w:lang w:val="en-CA"/>
        </w:rPr>
        <w:t>and</w:t>
      </w:r>
      <w:r w:rsidRPr="00694428">
        <w:rPr>
          <w:rFonts w:cs="Arial"/>
          <w:lang w:val="en-CA"/>
        </w:rPr>
        <w:t xml:space="preserve"> </w:t>
      </w:r>
      <w:r w:rsidRPr="00694428">
        <w:rPr>
          <w:rFonts w:cs="Arial"/>
          <w:i/>
          <w:iCs/>
          <w:lang w:val="en-CA"/>
        </w:rPr>
        <w:t>Lampard v. R.</w:t>
      </w:r>
      <w:r w:rsidRPr="00694428">
        <w:rPr>
          <w:rFonts w:cs="Arial"/>
          <w:lang w:val="en-CA"/>
        </w:rPr>
        <w:t xml:space="preserve">, [1969] S.C.R. 373. </w:t>
      </w:r>
      <w:r w:rsidR="00694428">
        <w:rPr>
          <w:rFonts w:cs="Arial"/>
          <w:lang w:val="en-CA"/>
        </w:rPr>
        <w:t>On that subject, see</w:t>
      </w:r>
      <w:r w:rsidRPr="00694428">
        <w:rPr>
          <w:rFonts w:cs="Arial"/>
          <w:lang w:val="en-CA"/>
        </w:rPr>
        <w:t xml:space="preserve"> John Sopinka, Mark A. Gelowitz </w:t>
      </w:r>
      <w:r w:rsidR="00694428">
        <w:rPr>
          <w:rFonts w:cs="Arial"/>
          <w:lang w:val="en-CA"/>
        </w:rPr>
        <w:t>and</w:t>
      </w:r>
      <w:r w:rsidRPr="00694428">
        <w:rPr>
          <w:rFonts w:cs="Arial"/>
          <w:lang w:val="en-CA"/>
        </w:rPr>
        <w:t xml:space="preserve"> W. David Rankin, </w:t>
      </w:r>
      <w:r w:rsidRPr="00694428">
        <w:rPr>
          <w:rFonts w:cs="Arial"/>
          <w:i/>
          <w:iCs/>
          <w:lang w:val="en-CA"/>
        </w:rPr>
        <w:t>Sopinka, Gelowitz and Rankin on the Conduct of an Appeal</w:t>
      </w:r>
      <w:r w:rsidRPr="00694428">
        <w:rPr>
          <w:rFonts w:cs="Arial"/>
          <w:lang w:val="en-CA"/>
        </w:rPr>
        <w:t>, 5</w:t>
      </w:r>
      <w:r w:rsidR="00562F52" w:rsidRPr="00562F52">
        <w:rPr>
          <w:rFonts w:cs="Arial"/>
          <w:vertAlign w:val="superscript"/>
          <w:lang w:val="en-CA"/>
        </w:rPr>
        <w:t>th</w:t>
      </w:r>
      <w:r w:rsidR="00562F52">
        <w:rPr>
          <w:rFonts w:cs="Arial"/>
          <w:lang w:val="en-CA"/>
        </w:rPr>
        <w:t xml:space="preserve"> E</w:t>
      </w:r>
      <w:r w:rsidRPr="00694428">
        <w:rPr>
          <w:rFonts w:cs="Arial"/>
          <w:lang w:val="en-CA"/>
        </w:rPr>
        <w:t>d., Toronto, LexisNexis, pp. 231-235 (</w:t>
      </w:r>
      <w:r w:rsidR="00562F52">
        <w:rPr>
          <w:rFonts w:cs="Arial"/>
          <w:lang w:val="en-CA"/>
        </w:rPr>
        <w:t>nos.</w:t>
      </w:r>
      <w:r w:rsidRPr="00694428">
        <w:rPr>
          <w:rFonts w:cs="Arial"/>
          <w:lang w:val="en-CA"/>
        </w:rPr>
        <w:t xml:space="preserve"> 3.18</w:t>
      </w:r>
      <w:r w:rsidRPr="00694428">
        <w:rPr>
          <w:rFonts w:cs="Arial"/>
          <w:lang w:val="en-CA"/>
        </w:rPr>
        <w:noBreakHyphen/>
        <w:t>3.20).</w:t>
      </w:r>
    </w:p>
  </w:footnote>
  <w:footnote w:id="90">
    <w:p w14:paraId="7F771831" w14:textId="5A3C6CF3" w:rsidR="00276A1F" w:rsidRPr="000B05F7" w:rsidRDefault="00276A1F" w:rsidP="00756494">
      <w:pPr>
        <w:pStyle w:val="Notedebasdepage"/>
        <w:ind w:left="284" w:hanging="284"/>
        <w:rPr>
          <w:rFonts w:cs="Arial"/>
        </w:rPr>
      </w:pPr>
      <w:r w:rsidRPr="0082385B">
        <w:rPr>
          <w:rStyle w:val="Appelnotedebasdep"/>
          <w:rFonts w:cs="Arial"/>
        </w:rPr>
        <w:footnoteRef/>
      </w:r>
      <w:r w:rsidRPr="000B05F7">
        <w:rPr>
          <w:rFonts w:cs="Arial"/>
        </w:rPr>
        <w:tab/>
      </w:r>
      <w:r w:rsidRPr="00901EC6">
        <w:rPr>
          <w:rFonts w:cs="Arial"/>
          <w:i/>
          <w:iCs/>
        </w:rPr>
        <w:t xml:space="preserve">Schuldt </w:t>
      </w:r>
      <w:r w:rsidR="00D7528D">
        <w:rPr>
          <w:rFonts w:cs="Arial"/>
          <w:i/>
          <w:iCs/>
        </w:rPr>
        <w:t>v</w:t>
      </w:r>
      <w:r w:rsidRPr="00901EC6">
        <w:rPr>
          <w:rFonts w:cs="Arial"/>
          <w:i/>
          <w:iCs/>
        </w:rPr>
        <w:t xml:space="preserve">. </w:t>
      </w:r>
      <w:r w:rsidR="00D7528D">
        <w:rPr>
          <w:rFonts w:cs="Arial"/>
          <w:i/>
          <w:iCs/>
        </w:rPr>
        <w:t>The Queen</w:t>
      </w:r>
      <w:r w:rsidRPr="00901EC6">
        <w:rPr>
          <w:rFonts w:cs="Arial"/>
        </w:rPr>
        <w:t xml:space="preserve">, [1985] 2 </w:t>
      </w:r>
      <w:r w:rsidR="00B131F0">
        <w:rPr>
          <w:rFonts w:cs="Arial"/>
        </w:rPr>
        <w:t>S.C.R.</w:t>
      </w:r>
      <w:r w:rsidRPr="00901EC6">
        <w:rPr>
          <w:rFonts w:cs="Arial"/>
        </w:rPr>
        <w:t xml:space="preserve"> 592, p. </w:t>
      </w:r>
      <w:r>
        <w:rPr>
          <w:rFonts w:cs="Arial"/>
        </w:rPr>
        <w:t>604.</w:t>
      </w:r>
    </w:p>
  </w:footnote>
  <w:footnote w:id="91">
    <w:p w14:paraId="16E8164D" w14:textId="2DAEC23D" w:rsidR="00276A1F" w:rsidRPr="00014884" w:rsidRDefault="00276A1F" w:rsidP="00756494">
      <w:pPr>
        <w:pStyle w:val="Notedebasdepage"/>
        <w:ind w:left="284" w:hanging="284"/>
        <w:rPr>
          <w:rFonts w:cs="Arial"/>
          <w:lang w:val="en-CA"/>
        </w:rPr>
      </w:pPr>
      <w:r w:rsidRPr="0082385B">
        <w:rPr>
          <w:rStyle w:val="Appelnotedebasdep"/>
          <w:rFonts w:cs="Arial"/>
        </w:rPr>
        <w:footnoteRef/>
      </w:r>
      <w:r w:rsidRPr="00867740">
        <w:rPr>
          <w:rFonts w:cs="Arial"/>
          <w:lang w:val="en-CA"/>
        </w:rPr>
        <w:tab/>
      </w:r>
      <w:r w:rsidRPr="008205DD">
        <w:rPr>
          <w:rFonts w:cs="Arial"/>
          <w:i/>
          <w:iCs/>
          <w:lang w:val="en-CA"/>
        </w:rPr>
        <w:t>Id.</w:t>
      </w:r>
      <w:r w:rsidRPr="008205DD">
        <w:rPr>
          <w:rFonts w:cs="Arial"/>
          <w:lang w:val="en-CA"/>
        </w:rPr>
        <w:t>, p. 610</w:t>
      </w:r>
      <w:r w:rsidRPr="00867740">
        <w:rPr>
          <w:rFonts w:cs="Arial"/>
          <w:lang w:val="en-CA"/>
        </w:rPr>
        <w:t>.</w:t>
      </w:r>
      <w:r>
        <w:rPr>
          <w:rFonts w:cs="Arial"/>
          <w:lang w:val="en-CA"/>
        </w:rPr>
        <w:t xml:space="preserve"> </w:t>
      </w:r>
      <w:r w:rsidR="00D7528D">
        <w:rPr>
          <w:rFonts w:cs="Arial"/>
          <w:lang w:val="en-CA"/>
        </w:rPr>
        <w:t>See also</w:t>
      </w:r>
      <w:r w:rsidRPr="00014884">
        <w:rPr>
          <w:rFonts w:cs="Arial"/>
          <w:lang w:val="en-CA"/>
        </w:rPr>
        <w:t xml:space="preserve"> </w:t>
      </w:r>
      <w:r w:rsidRPr="00444E5E">
        <w:rPr>
          <w:rFonts w:cs="Arial"/>
          <w:lang w:val="en-CA"/>
        </w:rPr>
        <w:t xml:space="preserve">John Sopinka, Mark A. Gelowitz </w:t>
      </w:r>
      <w:r w:rsidR="00D7528D">
        <w:rPr>
          <w:rFonts w:cs="Arial"/>
          <w:lang w:val="en-CA"/>
        </w:rPr>
        <w:t>and</w:t>
      </w:r>
      <w:r w:rsidRPr="00444E5E">
        <w:rPr>
          <w:rFonts w:cs="Arial"/>
          <w:lang w:val="en-CA"/>
        </w:rPr>
        <w:t xml:space="preserve"> W. David Rankin, </w:t>
      </w:r>
      <w:r w:rsidRPr="00444E5E">
        <w:rPr>
          <w:rFonts w:cs="Arial"/>
          <w:i/>
          <w:iCs/>
          <w:lang w:val="en-CA"/>
        </w:rPr>
        <w:t>Sopinka, Gelowitz and Rankin on the Conduct of an Appeal</w:t>
      </w:r>
      <w:r w:rsidRPr="00444E5E">
        <w:rPr>
          <w:rFonts w:cs="Arial"/>
          <w:lang w:val="en-CA"/>
        </w:rPr>
        <w:t>, 5</w:t>
      </w:r>
      <w:r w:rsidR="00D7528D" w:rsidRPr="00D7528D">
        <w:rPr>
          <w:rFonts w:cs="Arial"/>
          <w:vertAlign w:val="superscript"/>
          <w:lang w:val="en-CA"/>
        </w:rPr>
        <w:t>th</w:t>
      </w:r>
      <w:r w:rsidR="00D7528D">
        <w:rPr>
          <w:rFonts w:cs="Arial"/>
          <w:lang w:val="en-CA"/>
        </w:rPr>
        <w:t xml:space="preserve"> E</w:t>
      </w:r>
      <w:r w:rsidRPr="00444E5E">
        <w:rPr>
          <w:rFonts w:cs="Arial"/>
          <w:lang w:val="en-CA"/>
        </w:rPr>
        <w:t>d., Toronto, LexisNexis, p. 2</w:t>
      </w:r>
      <w:r>
        <w:rPr>
          <w:rFonts w:cs="Arial"/>
          <w:lang w:val="en-CA"/>
        </w:rPr>
        <w:t>29</w:t>
      </w:r>
      <w:r w:rsidRPr="00444E5E">
        <w:rPr>
          <w:rFonts w:cs="Arial"/>
          <w:lang w:val="en-CA"/>
        </w:rPr>
        <w:t xml:space="preserve"> (</w:t>
      </w:r>
      <w:r w:rsidR="00D7528D">
        <w:rPr>
          <w:rFonts w:cs="Arial"/>
          <w:lang w:val="en-CA"/>
        </w:rPr>
        <w:t>no.</w:t>
      </w:r>
      <w:r>
        <w:rPr>
          <w:rFonts w:cs="Arial"/>
          <w:lang w:val="en-CA"/>
        </w:rPr>
        <w:t xml:space="preserve"> 3.20</w:t>
      </w:r>
      <w:r w:rsidRPr="00444E5E">
        <w:rPr>
          <w:rFonts w:cs="Arial"/>
          <w:lang w:val="en-CA"/>
        </w:rPr>
        <w:t>)</w:t>
      </w:r>
      <w:r>
        <w:rPr>
          <w:rFonts w:cs="Arial"/>
          <w:lang w:val="en-CA"/>
        </w:rPr>
        <w:t xml:space="preserve">: </w:t>
      </w:r>
      <w:r w:rsidR="00D7528D">
        <w:rPr>
          <w:rFonts w:cs="Arial"/>
          <w:lang w:val="en-CA"/>
        </w:rPr>
        <w:t>“</w:t>
      </w:r>
      <w:r>
        <w:rPr>
          <w:rFonts w:cs="Arial"/>
          <w:i/>
          <w:iCs/>
          <w:lang w:val="en-CA"/>
        </w:rPr>
        <w:t xml:space="preserve">In </w:t>
      </w:r>
      <w:r>
        <w:rPr>
          <w:rFonts w:cs="Arial"/>
          <w:lang w:val="en-CA"/>
        </w:rPr>
        <w:t>Schuldt v. R.</w:t>
      </w:r>
      <w:r>
        <w:rPr>
          <w:rFonts w:cs="Arial"/>
          <w:i/>
          <w:iCs/>
          <w:lang w:val="en-CA"/>
        </w:rPr>
        <w:t>, the Supreme Court reaffirmed the principle that an evidentiary foundation need not be present to support of finding of fact made in favour of an accused</w:t>
      </w:r>
      <w:r w:rsidR="00D7528D">
        <w:rPr>
          <w:rFonts w:cs="Arial"/>
          <w:i/>
          <w:iCs/>
          <w:lang w:val="en-CA"/>
        </w:rPr>
        <w:t>”</w:t>
      </w:r>
      <w:r w:rsidRPr="00014884">
        <w:rPr>
          <w:rFonts w:cs="Arial"/>
          <w:lang w:val="en-CA"/>
        </w:rPr>
        <w:t>.</w:t>
      </w:r>
    </w:p>
  </w:footnote>
  <w:footnote w:id="92">
    <w:p w14:paraId="60AC3D3F" w14:textId="59E62E7A" w:rsidR="00276A1F" w:rsidRPr="00081571" w:rsidRDefault="00276A1F" w:rsidP="00756494">
      <w:pPr>
        <w:pStyle w:val="Notedebasdepage"/>
        <w:ind w:left="284" w:hanging="284"/>
        <w:rPr>
          <w:rFonts w:cs="Arial"/>
          <w:lang w:val="en-CA"/>
        </w:rPr>
      </w:pPr>
      <w:r w:rsidRPr="0082385B">
        <w:rPr>
          <w:rStyle w:val="Appelnotedebasdep"/>
          <w:rFonts w:cs="Arial"/>
        </w:rPr>
        <w:footnoteRef/>
      </w:r>
      <w:r w:rsidRPr="00DC3343">
        <w:rPr>
          <w:rFonts w:cs="Arial"/>
          <w:lang w:val="en-CA"/>
        </w:rPr>
        <w:tab/>
      </w:r>
      <w:r w:rsidRPr="00081571">
        <w:rPr>
          <w:rFonts w:cs="Arial"/>
          <w:i/>
          <w:iCs/>
          <w:lang w:val="en-CA"/>
        </w:rPr>
        <w:t xml:space="preserve">R. </w:t>
      </w:r>
      <w:r w:rsidR="00F9121D" w:rsidRPr="00081571">
        <w:rPr>
          <w:rFonts w:cs="Arial"/>
          <w:i/>
          <w:iCs/>
          <w:lang w:val="en-CA"/>
        </w:rPr>
        <w:t>v</w:t>
      </w:r>
      <w:r w:rsidRPr="00081571">
        <w:rPr>
          <w:rFonts w:cs="Arial"/>
          <w:i/>
          <w:iCs/>
          <w:lang w:val="en-CA"/>
        </w:rPr>
        <w:t>. J.M.H.</w:t>
      </w:r>
      <w:r w:rsidRPr="00081571">
        <w:rPr>
          <w:rFonts w:cs="Arial"/>
          <w:lang w:val="en-CA"/>
        </w:rPr>
        <w:t xml:space="preserve">, 2011 </w:t>
      </w:r>
      <w:r w:rsidR="00B131F0" w:rsidRPr="00081571">
        <w:rPr>
          <w:rFonts w:cs="Arial"/>
          <w:lang w:val="en-CA"/>
        </w:rPr>
        <w:t>SCC</w:t>
      </w:r>
      <w:r w:rsidRPr="00081571">
        <w:rPr>
          <w:rFonts w:cs="Arial"/>
          <w:lang w:val="en-CA"/>
        </w:rPr>
        <w:t xml:space="preserve"> 45, </w:t>
      </w:r>
      <w:r w:rsidR="00C46347" w:rsidRPr="00081571">
        <w:rPr>
          <w:rFonts w:cs="Arial"/>
          <w:lang w:val="en-CA"/>
        </w:rPr>
        <w:t>para.</w:t>
      </w:r>
      <w:r w:rsidRPr="00081571">
        <w:rPr>
          <w:rFonts w:cs="Arial"/>
          <w:lang w:val="en-CA"/>
        </w:rPr>
        <w:t xml:space="preserve"> 25.</w:t>
      </w:r>
    </w:p>
  </w:footnote>
  <w:footnote w:id="93">
    <w:p w14:paraId="4AB67958" w14:textId="77777777" w:rsidR="00276A1F" w:rsidRPr="00081571" w:rsidRDefault="00276A1F" w:rsidP="00B7213E">
      <w:pPr>
        <w:pStyle w:val="Notedebasdepage"/>
        <w:ind w:left="284" w:hanging="284"/>
        <w:rPr>
          <w:rFonts w:cs="Arial"/>
          <w:lang w:val="en-CA"/>
        </w:rPr>
      </w:pPr>
      <w:r w:rsidRPr="00081571">
        <w:rPr>
          <w:rStyle w:val="Appelnotedebasdep"/>
          <w:rFonts w:cs="Arial"/>
          <w:lang w:val="en-CA"/>
        </w:rPr>
        <w:footnoteRef/>
      </w:r>
      <w:r w:rsidRPr="00081571">
        <w:rPr>
          <w:rFonts w:cs="Arial"/>
          <w:lang w:val="en-CA"/>
        </w:rPr>
        <w:tab/>
      </w:r>
      <w:r w:rsidRPr="00081571">
        <w:rPr>
          <w:rFonts w:cs="Arial"/>
          <w:i/>
          <w:iCs/>
          <w:lang w:val="en-CA"/>
        </w:rPr>
        <w:t>Ibid</w:t>
      </w:r>
      <w:r w:rsidRPr="00081571">
        <w:rPr>
          <w:rFonts w:cs="Arial"/>
          <w:lang w:val="en-CA"/>
        </w:rPr>
        <w:t>.</w:t>
      </w:r>
    </w:p>
  </w:footnote>
  <w:footnote w:id="94">
    <w:p w14:paraId="555A0E8B" w14:textId="1F65BCD1" w:rsidR="00276A1F" w:rsidRPr="00081571" w:rsidRDefault="00276A1F" w:rsidP="00B7213E">
      <w:pPr>
        <w:pStyle w:val="Notedebasdepage"/>
        <w:ind w:left="284" w:hanging="284"/>
        <w:rPr>
          <w:rFonts w:cs="Arial"/>
          <w:lang w:val="en-CA"/>
        </w:rPr>
      </w:pPr>
      <w:r w:rsidRPr="00081571">
        <w:rPr>
          <w:rStyle w:val="Appelnotedebasdep"/>
          <w:rFonts w:cs="Arial"/>
          <w:lang w:val="en-CA"/>
        </w:rPr>
        <w:footnoteRef/>
      </w:r>
      <w:r w:rsidRPr="00081571">
        <w:rPr>
          <w:rFonts w:cs="Arial"/>
          <w:lang w:val="en-CA"/>
        </w:rPr>
        <w:tab/>
      </w:r>
      <w:r w:rsidR="009E329A">
        <w:rPr>
          <w:rFonts w:cs="Arial"/>
          <w:lang w:val="en-CA"/>
        </w:rPr>
        <w:t>I find it d</w:t>
      </w:r>
      <w:r w:rsidR="00081571" w:rsidRPr="00081571">
        <w:rPr>
          <w:rFonts w:cs="Arial"/>
          <w:lang w:val="en-CA"/>
        </w:rPr>
        <w:t xml:space="preserve">ifficult to assert that the judge's error had such an effect, since his </w:t>
      </w:r>
      <w:r w:rsidR="00081571">
        <w:rPr>
          <w:rFonts w:cs="Arial"/>
          <w:lang w:val="en-CA"/>
        </w:rPr>
        <w:t>finding</w:t>
      </w:r>
      <w:r w:rsidR="00081571" w:rsidRPr="00081571">
        <w:rPr>
          <w:rFonts w:cs="Arial"/>
          <w:lang w:val="en-CA"/>
        </w:rPr>
        <w:t xml:space="preserve"> regarding the complainant's consent was also — </w:t>
      </w:r>
      <w:r w:rsidR="00795E20">
        <w:rPr>
          <w:rFonts w:cs="Arial"/>
          <w:lang w:val="en-CA"/>
        </w:rPr>
        <w:t>indeed</w:t>
      </w:r>
      <w:r w:rsidR="00081571" w:rsidRPr="00081571">
        <w:rPr>
          <w:rFonts w:cs="Arial"/>
          <w:lang w:val="en-CA"/>
        </w:rPr>
        <w:t xml:space="preserve"> primarily — based on the respondent's testimony that the complainant was conscious and had spread her legs in response to the touching </w:t>
      </w:r>
      <w:r w:rsidRPr="00081571">
        <w:rPr>
          <w:rFonts w:cs="Arial"/>
          <w:lang w:val="en-CA"/>
        </w:rPr>
        <w:t>(</w:t>
      </w:r>
      <w:r w:rsidRPr="00081571">
        <w:rPr>
          <w:rFonts w:cs="Arial"/>
          <w:i/>
          <w:iCs/>
          <w:lang w:val="en-CA"/>
        </w:rPr>
        <w:t>supra</w:t>
      </w:r>
      <w:r w:rsidRPr="00081571">
        <w:rPr>
          <w:rFonts w:cs="Arial"/>
          <w:lang w:val="en-CA"/>
        </w:rPr>
        <w:t xml:space="preserve">, </w:t>
      </w:r>
      <w:r w:rsidR="00C46347" w:rsidRPr="00081571">
        <w:rPr>
          <w:rFonts w:cs="Arial"/>
          <w:lang w:val="en-CA"/>
        </w:rPr>
        <w:t>para.</w:t>
      </w:r>
      <w:r w:rsidRPr="00081571">
        <w:rPr>
          <w:rFonts w:cs="Arial"/>
          <w:lang w:val="en-CA"/>
        </w:rPr>
        <w:t xml:space="preserve"> 102).</w:t>
      </w:r>
    </w:p>
  </w:footnote>
  <w:footnote w:id="95">
    <w:p w14:paraId="7AECC1B6" w14:textId="74A11CD5" w:rsidR="00276A1F" w:rsidRPr="00DC3343" w:rsidRDefault="00276A1F" w:rsidP="00756494">
      <w:pPr>
        <w:pStyle w:val="Notedebasdepage"/>
        <w:ind w:left="284" w:hanging="284"/>
        <w:rPr>
          <w:rFonts w:cs="Arial"/>
          <w:lang w:val="en-CA"/>
        </w:rPr>
      </w:pPr>
      <w:r w:rsidRPr="0082385B">
        <w:rPr>
          <w:rStyle w:val="Appelnotedebasdep"/>
          <w:rFonts w:cs="Arial"/>
        </w:rPr>
        <w:footnoteRef/>
      </w:r>
      <w:r w:rsidRPr="00277514">
        <w:rPr>
          <w:rFonts w:cs="Arial"/>
        </w:rPr>
        <w:tab/>
      </w:r>
      <w:r w:rsidRPr="00277514">
        <w:rPr>
          <w:i/>
          <w:iCs/>
        </w:rPr>
        <w:t xml:space="preserve">R. </w:t>
      </w:r>
      <w:r w:rsidR="009E329A">
        <w:rPr>
          <w:i/>
          <w:iCs/>
        </w:rPr>
        <w:t>v</w:t>
      </w:r>
      <w:r w:rsidRPr="00277514">
        <w:rPr>
          <w:i/>
          <w:iCs/>
        </w:rPr>
        <w:t>. Lohrer</w:t>
      </w:r>
      <w:r w:rsidRPr="00277514">
        <w:t xml:space="preserve">, 2004 </w:t>
      </w:r>
      <w:r w:rsidR="00B131F0">
        <w:t>SCC</w:t>
      </w:r>
      <w:r w:rsidRPr="00277514">
        <w:t xml:space="preserve"> 80. </w:t>
      </w:r>
      <w:r w:rsidR="009E329A">
        <w:t>See also</w:t>
      </w:r>
      <w:r>
        <w:t xml:space="preserve">: </w:t>
      </w:r>
      <w:r w:rsidRPr="007638E0">
        <w:rPr>
          <w:i/>
          <w:iCs/>
        </w:rPr>
        <w:t xml:space="preserve">R. </w:t>
      </w:r>
      <w:r w:rsidR="009E329A">
        <w:rPr>
          <w:i/>
          <w:iCs/>
        </w:rPr>
        <w:t>v</w:t>
      </w:r>
      <w:r w:rsidRPr="007638E0">
        <w:rPr>
          <w:i/>
          <w:iCs/>
        </w:rPr>
        <w:t>. C.L.Y.</w:t>
      </w:r>
      <w:r w:rsidRPr="007638E0">
        <w:t xml:space="preserve">, 2008 </w:t>
      </w:r>
      <w:r w:rsidR="00B131F0">
        <w:t>SCC</w:t>
      </w:r>
      <w:r w:rsidRPr="007638E0">
        <w:t xml:space="preserve"> 2</w:t>
      </w:r>
      <w:r>
        <w:t xml:space="preserve">, </w:t>
      </w:r>
      <w:r w:rsidR="00C46347">
        <w:t>para</w:t>
      </w:r>
      <w:r w:rsidR="009E329A">
        <w:t>s</w:t>
      </w:r>
      <w:r w:rsidR="00C46347">
        <w:t>.</w:t>
      </w:r>
      <w:r>
        <w:t xml:space="preserve"> </w:t>
      </w:r>
      <w:r w:rsidRPr="00DC3343">
        <w:rPr>
          <w:lang w:val="en-CA"/>
        </w:rPr>
        <w:t xml:space="preserve">13-19; </w:t>
      </w:r>
      <w:r w:rsidRPr="00DC3343">
        <w:rPr>
          <w:i/>
          <w:iCs/>
          <w:lang w:val="en-CA"/>
        </w:rPr>
        <w:t xml:space="preserve">R. </w:t>
      </w:r>
      <w:r w:rsidR="009E329A">
        <w:rPr>
          <w:i/>
          <w:iCs/>
          <w:lang w:val="en-CA"/>
        </w:rPr>
        <w:t>v</w:t>
      </w:r>
      <w:r w:rsidRPr="00DC3343">
        <w:rPr>
          <w:i/>
          <w:iCs/>
          <w:lang w:val="en-CA"/>
        </w:rPr>
        <w:t>. Tayo Tompouba</w:t>
      </w:r>
      <w:r w:rsidRPr="00DC3343">
        <w:rPr>
          <w:lang w:val="en-CA"/>
        </w:rPr>
        <w:t xml:space="preserve">, 2024 </w:t>
      </w:r>
      <w:r w:rsidR="00B131F0">
        <w:rPr>
          <w:lang w:val="en-CA"/>
        </w:rPr>
        <w:t>SCC</w:t>
      </w:r>
      <w:r w:rsidRPr="00DC3343">
        <w:rPr>
          <w:lang w:val="en-CA"/>
        </w:rPr>
        <w:t xml:space="preserve"> 16, </w:t>
      </w:r>
      <w:r w:rsidR="00C46347">
        <w:rPr>
          <w:lang w:val="en-CA"/>
        </w:rPr>
        <w:t>para.</w:t>
      </w:r>
      <w:r w:rsidRPr="00DC3343">
        <w:rPr>
          <w:lang w:val="en-CA"/>
        </w:rPr>
        <w:t xml:space="preserve"> 73.</w:t>
      </w:r>
    </w:p>
  </w:footnote>
  <w:footnote w:id="96">
    <w:p w14:paraId="67D04D70" w14:textId="0E9294AB" w:rsidR="00276A1F" w:rsidRPr="00DC3343" w:rsidRDefault="00276A1F" w:rsidP="00756494">
      <w:pPr>
        <w:pStyle w:val="Notedebasdepage"/>
        <w:ind w:left="284" w:hanging="284"/>
        <w:rPr>
          <w:rFonts w:cs="Arial"/>
          <w:lang w:val="en-CA"/>
        </w:rPr>
      </w:pPr>
      <w:r w:rsidRPr="0082385B">
        <w:rPr>
          <w:rStyle w:val="Appelnotedebasdep"/>
          <w:rFonts w:cs="Arial"/>
        </w:rPr>
        <w:footnoteRef/>
      </w:r>
      <w:r w:rsidRPr="00DC3343">
        <w:rPr>
          <w:rFonts w:cs="Arial"/>
          <w:lang w:val="en-CA"/>
        </w:rPr>
        <w:tab/>
      </w:r>
      <w:r w:rsidRPr="00DC3343">
        <w:rPr>
          <w:i/>
          <w:iCs/>
          <w:lang w:val="en-CA"/>
        </w:rPr>
        <w:t xml:space="preserve">R. </w:t>
      </w:r>
      <w:r w:rsidR="009E329A">
        <w:rPr>
          <w:i/>
          <w:iCs/>
          <w:lang w:val="en-CA"/>
        </w:rPr>
        <w:t>v</w:t>
      </w:r>
      <w:r w:rsidRPr="00DC3343">
        <w:rPr>
          <w:i/>
          <w:iCs/>
          <w:lang w:val="en-CA"/>
        </w:rPr>
        <w:t>. Lohrer</w:t>
      </w:r>
      <w:r w:rsidRPr="00DC3343">
        <w:rPr>
          <w:lang w:val="en-CA"/>
        </w:rPr>
        <w:t xml:space="preserve">, 2004 </w:t>
      </w:r>
      <w:r w:rsidR="00B131F0">
        <w:rPr>
          <w:lang w:val="en-CA"/>
        </w:rPr>
        <w:t>SCC</w:t>
      </w:r>
      <w:r w:rsidRPr="00DC3343">
        <w:rPr>
          <w:lang w:val="en-CA"/>
        </w:rPr>
        <w:t xml:space="preserve"> 80, </w:t>
      </w:r>
      <w:r w:rsidR="00C46347">
        <w:rPr>
          <w:lang w:val="en-CA"/>
        </w:rPr>
        <w:t>para.</w:t>
      </w:r>
      <w:r w:rsidRPr="00DC3343">
        <w:rPr>
          <w:lang w:val="en-CA"/>
        </w:rPr>
        <w:t xml:space="preserve"> 2.</w:t>
      </w:r>
    </w:p>
  </w:footnote>
  <w:footnote w:id="97">
    <w:p w14:paraId="3D37B84D" w14:textId="77777777" w:rsidR="00276A1F" w:rsidRPr="0062321A" w:rsidRDefault="00276A1F" w:rsidP="00756494">
      <w:pPr>
        <w:pStyle w:val="Notedebasdepage"/>
        <w:ind w:left="284" w:hanging="284"/>
        <w:rPr>
          <w:rFonts w:cs="Arial"/>
          <w:lang w:val="en-CA"/>
        </w:rPr>
      </w:pPr>
      <w:r w:rsidRPr="0082385B">
        <w:rPr>
          <w:rStyle w:val="Appelnotedebasdep"/>
          <w:rFonts w:cs="Arial"/>
        </w:rPr>
        <w:footnoteRef/>
      </w:r>
      <w:r w:rsidRPr="0062321A">
        <w:rPr>
          <w:rFonts w:cs="Arial"/>
          <w:lang w:val="en-CA"/>
        </w:rPr>
        <w:tab/>
      </w:r>
      <w:r w:rsidRPr="0062321A">
        <w:rPr>
          <w:i/>
          <w:iCs/>
          <w:lang w:val="en-CA"/>
        </w:rPr>
        <w:t>Ibid.</w:t>
      </w:r>
    </w:p>
  </w:footnote>
  <w:footnote w:id="98">
    <w:p w14:paraId="1DA62A0E" w14:textId="38E9B8CC" w:rsidR="00276A1F" w:rsidRPr="00115DAC" w:rsidRDefault="00276A1F" w:rsidP="00756494">
      <w:pPr>
        <w:pStyle w:val="Notedebasdepage"/>
        <w:ind w:left="284" w:hanging="284"/>
        <w:rPr>
          <w:rFonts w:cs="Arial"/>
          <w:lang w:val="en-CA"/>
        </w:rPr>
      </w:pPr>
      <w:r w:rsidRPr="0082385B">
        <w:rPr>
          <w:rStyle w:val="Appelnotedebasdep"/>
          <w:rFonts w:cs="Arial"/>
        </w:rPr>
        <w:footnoteRef/>
      </w:r>
      <w:r w:rsidRPr="00115DAC">
        <w:rPr>
          <w:rFonts w:cs="Arial"/>
          <w:lang w:val="en-CA"/>
        </w:rPr>
        <w:tab/>
      </w:r>
      <w:r w:rsidRPr="00115DAC">
        <w:rPr>
          <w:i/>
          <w:iCs/>
          <w:lang w:val="en-CA"/>
        </w:rPr>
        <w:t>Ibid.</w:t>
      </w:r>
      <w:r w:rsidRPr="00115DAC">
        <w:rPr>
          <w:lang w:val="en-CA"/>
        </w:rPr>
        <w:t>, cit</w:t>
      </w:r>
      <w:r w:rsidR="009E329A">
        <w:rPr>
          <w:lang w:val="en-CA"/>
        </w:rPr>
        <w:t>ing</w:t>
      </w:r>
      <w:r w:rsidRPr="00115DAC">
        <w:rPr>
          <w:lang w:val="en-CA"/>
        </w:rPr>
        <w:t xml:space="preserve"> </w:t>
      </w:r>
      <w:r w:rsidRPr="00115DAC">
        <w:rPr>
          <w:i/>
          <w:iCs/>
          <w:lang w:val="en-CA"/>
        </w:rPr>
        <w:t>R. v. Morrissey</w:t>
      </w:r>
      <w:r w:rsidRPr="00115DAC">
        <w:rPr>
          <w:lang w:val="en-CA"/>
        </w:rPr>
        <w:t>, (1995) 22 O.R. (3d) 514, 1995 CanLII 3498 (C.A. Ont.), p. 541.</w:t>
      </w:r>
    </w:p>
  </w:footnote>
  <w:footnote w:id="99">
    <w:p w14:paraId="0AA82AE3" w14:textId="2FE6F934" w:rsidR="00276A1F" w:rsidRPr="00115DAC" w:rsidRDefault="00276A1F" w:rsidP="00756494">
      <w:pPr>
        <w:pStyle w:val="Notedebasdepage"/>
        <w:ind w:left="284" w:hanging="284"/>
        <w:rPr>
          <w:rFonts w:cs="Arial"/>
          <w:lang w:val="en-CA"/>
        </w:rPr>
      </w:pPr>
      <w:r w:rsidRPr="0082385B">
        <w:rPr>
          <w:rStyle w:val="Appelnotedebasdep"/>
          <w:rFonts w:cs="Arial"/>
        </w:rPr>
        <w:footnoteRef/>
      </w:r>
      <w:r w:rsidRPr="00115DAC">
        <w:rPr>
          <w:rFonts w:cs="Arial"/>
          <w:lang w:val="en-CA"/>
        </w:rPr>
        <w:tab/>
      </w:r>
      <w:r w:rsidRPr="00115DAC">
        <w:rPr>
          <w:i/>
          <w:iCs/>
          <w:lang w:val="en-CA"/>
        </w:rPr>
        <w:t>Id.</w:t>
      </w:r>
      <w:r w:rsidRPr="00115DAC">
        <w:rPr>
          <w:lang w:val="en-CA"/>
        </w:rPr>
        <w:t xml:space="preserve">, </w:t>
      </w:r>
      <w:r w:rsidR="00C46347">
        <w:rPr>
          <w:lang w:val="en-CA"/>
        </w:rPr>
        <w:t>para.</w:t>
      </w:r>
      <w:r w:rsidRPr="00115DAC">
        <w:rPr>
          <w:lang w:val="en-CA"/>
        </w:rPr>
        <w:t xml:space="preserve"> 2.</w:t>
      </w:r>
    </w:p>
  </w:footnote>
  <w:footnote w:id="100">
    <w:p w14:paraId="70820B19" w14:textId="7E0ADD22" w:rsidR="00276A1F" w:rsidRPr="00DC3343" w:rsidRDefault="00276A1F" w:rsidP="00756494">
      <w:pPr>
        <w:pStyle w:val="Notedebasdepage"/>
        <w:ind w:left="284" w:hanging="284"/>
        <w:rPr>
          <w:rFonts w:cs="Arial"/>
          <w:lang w:val="en-CA"/>
        </w:rPr>
      </w:pPr>
      <w:r w:rsidRPr="0082385B">
        <w:rPr>
          <w:rStyle w:val="Appelnotedebasdep"/>
          <w:rFonts w:cs="Arial"/>
        </w:rPr>
        <w:footnoteRef/>
      </w:r>
      <w:r w:rsidRPr="00DC3343">
        <w:rPr>
          <w:rFonts w:cs="Arial"/>
          <w:lang w:val="en-CA"/>
        </w:rPr>
        <w:tab/>
      </w:r>
      <w:r w:rsidRPr="00DC3343">
        <w:rPr>
          <w:rFonts w:cs="Arial"/>
          <w:i/>
          <w:iCs/>
          <w:lang w:val="en-CA"/>
        </w:rPr>
        <w:t xml:space="preserve">R. </w:t>
      </w:r>
      <w:r w:rsidR="009E329A">
        <w:rPr>
          <w:rFonts w:cs="Arial"/>
          <w:i/>
          <w:iCs/>
          <w:lang w:val="en-CA"/>
        </w:rPr>
        <w:t>v</w:t>
      </w:r>
      <w:r w:rsidRPr="00DC3343">
        <w:rPr>
          <w:rFonts w:cs="Arial"/>
          <w:i/>
          <w:iCs/>
          <w:lang w:val="en-CA"/>
        </w:rPr>
        <w:t>. Morin</w:t>
      </w:r>
      <w:r w:rsidRPr="00DC3343">
        <w:rPr>
          <w:rFonts w:cs="Arial"/>
          <w:lang w:val="en-CA"/>
        </w:rPr>
        <w:t xml:space="preserve">, [1988] 2 </w:t>
      </w:r>
      <w:r w:rsidR="00B131F0">
        <w:rPr>
          <w:rFonts w:cs="Arial"/>
          <w:lang w:val="en-CA"/>
        </w:rPr>
        <w:t>S.C.R.</w:t>
      </w:r>
      <w:r w:rsidRPr="00DC3343">
        <w:rPr>
          <w:rFonts w:cs="Arial"/>
          <w:lang w:val="en-CA"/>
        </w:rPr>
        <w:t xml:space="preserve"> 345, p. 374; </w:t>
      </w:r>
      <w:r w:rsidRPr="00DC3343">
        <w:rPr>
          <w:rFonts w:cs="Arial"/>
          <w:i/>
          <w:iCs/>
          <w:lang w:val="en-CA"/>
        </w:rPr>
        <w:t xml:space="preserve">R. </w:t>
      </w:r>
      <w:r w:rsidR="009E329A">
        <w:rPr>
          <w:rFonts w:cs="Arial"/>
          <w:i/>
          <w:iCs/>
          <w:lang w:val="en-CA"/>
        </w:rPr>
        <w:t>v</w:t>
      </w:r>
      <w:r w:rsidRPr="00DC3343">
        <w:rPr>
          <w:rFonts w:cs="Arial"/>
          <w:i/>
          <w:iCs/>
          <w:lang w:val="en-CA"/>
        </w:rPr>
        <w:t>. Graveline</w:t>
      </w:r>
      <w:r w:rsidRPr="00DC3343">
        <w:rPr>
          <w:rFonts w:cs="Arial"/>
          <w:lang w:val="en-CA"/>
        </w:rPr>
        <w:t xml:space="preserve">, 2006 </w:t>
      </w:r>
      <w:r w:rsidR="00B131F0">
        <w:rPr>
          <w:rFonts w:cs="Arial"/>
          <w:lang w:val="en-CA"/>
        </w:rPr>
        <w:t>SCC</w:t>
      </w:r>
      <w:r w:rsidRPr="00DC3343">
        <w:rPr>
          <w:rFonts w:cs="Arial"/>
          <w:lang w:val="en-CA"/>
        </w:rPr>
        <w:t xml:space="preserve"> 16, </w:t>
      </w:r>
      <w:r w:rsidR="00C46347">
        <w:rPr>
          <w:rFonts w:cs="Arial"/>
          <w:lang w:val="en-CA"/>
        </w:rPr>
        <w:t>para.</w:t>
      </w:r>
      <w:r w:rsidRPr="00DC3343">
        <w:rPr>
          <w:rFonts w:cs="Arial"/>
          <w:lang w:val="en-CA"/>
        </w:rPr>
        <w:t xml:space="preserve"> 15</w:t>
      </w:r>
      <w:r w:rsidRPr="00DC3343">
        <w:rPr>
          <w:i/>
          <w:iCs/>
          <w:lang w:val="en-CA"/>
        </w:rPr>
        <w:t>.</w:t>
      </w:r>
    </w:p>
  </w:footnote>
  <w:footnote w:id="101">
    <w:p w14:paraId="47F0A69B" w14:textId="7C5D5421" w:rsidR="00276A1F" w:rsidRPr="0062321A" w:rsidRDefault="00276A1F" w:rsidP="00756494">
      <w:pPr>
        <w:pStyle w:val="Notedebasdepage"/>
        <w:ind w:left="284" w:hanging="284"/>
        <w:rPr>
          <w:rFonts w:cs="Arial"/>
          <w:lang w:val="en-CA"/>
        </w:rPr>
      </w:pPr>
      <w:r w:rsidRPr="0082385B">
        <w:rPr>
          <w:rStyle w:val="Appelnotedebasdep"/>
          <w:rFonts w:cs="Arial"/>
        </w:rPr>
        <w:footnoteRef/>
      </w:r>
      <w:r w:rsidRPr="0062321A">
        <w:rPr>
          <w:rFonts w:cs="Arial"/>
          <w:lang w:val="en-CA"/>
        </w:rPr>
        <w:tab/>
      </w:r>
      <w:r w:rsidRPr="0062321A">
        <w:rPr>
          <w:i/>
          <w:iCs/>
          <w:lang w:val="en-CA"/>
        </w:rPr>
        <w:t xml:space="preserve">R. </w:t>
      </w:r>
      <w:r w:rsidR="009E329A">
        <w:rPr>
          <w:i/>
          <w:iCs/>
          <w:lang w:val="en-CA"/>
        </w:rPr>
        <w:t>v</w:t>
      </w:r>
      <w:r w:rsidRPr="0062321A">
        <w:rPr>
          <w:i/>
          <w:iCs/>
          <w:lang w:val="en-CA"/>
        </w:rPr>
        <w:t>. Cowan</w:t>
      </w:r>
      <w:r w:rsidRPr="0062321A">
        <w:rPr>
          <w:lang w:val="en-CA"/>
        </w:rPr>
        <w:t xml:space="preserve">, 2021 </w:t>
      </w:r>
      <w:r w:rsidR="00B131F0">
        <w:rPr>
          <w:lang w:val="en-CA"/>
        </w:rPr>
        <w:t>SCC</w:t>
      </w:r>
      <w:r w:rsidRPr="0062321A">
        <w:rPr>
          <w:lang w:val="en-CA"/>
        </w:rPr>
        <w:t xml:space="preserve"> 45, </w:t>
      </w:r>
      <w:r w:rsidR="00C46347">
        <w:rPr>
          <w:lang w:val="en-CA"/>
        </w:rPr>
        <w:t>para.</w:t>
      </w:r>
      <w:r w:rsidRPr="0062321A">
        <w:rPr>
          <w:lang w:val="en-CA"/>
        </w:rPr>
        <w:t xml:space="preserve"> 46</w:t>
      </w:r>
      <w:r w:rsidRPr="0062321A">
        <w:rPr>
          <w:i/>
          <w:iCs/>
          <w:lang w:val="en-CA"/>
        </w:rPr>
        <w:t>.</w:t>
      </w:r>
    </w:p>
  </w:footnote>
  <w:footnote w:id="102">
    <w:p w14:paraId="76347121" w14:textId="77777777" w:rsidR="00276A1F" w:rsidRPr="0062321A" w:rsidRDefault="00276A1F" w:rsidP="00756494">
      <w:pPr>
        <w:pStyle w:val="Notedebasdepage"/>
        <w:ind w:left="284" w:hanging="284"/>
        <w:rPr>
          <w:rFonts w:cs="Arial"/>
          <w:lang w:val="en-CA"/>
        </w:rPr>
      </w:pPr>
      <w:r w:rsidRPr="0082385B">
        <w:rPr>
          <w:rStyle w:val="Appelnotedebasdep"/>
          <w:rFonts w:cs="Arial"/>
        </w:rPr>
        <w:footnoteRef/>
      </w:r>
      <w:r w:rsidRPr="0062321A">
        <w:rPr>
          <w:rFonts w:cs="Arial"/>
          <w:lang w:val="en-CA"/>
        </w:rPr>
        <w:tab/>
      </w:r>
      <w:r w:rsidRPr="0062321A">
        <w:rPr>
          <w:i/>
          <w:iCs/>
          <w:lang w:val="en-CA"/>
        </w:rPr>
        <w:t>Ibid.</w:t>
      </w:r>
    </w:p>
  </w:footnote>
  <w:footnote w:id="103">
    <w:p w14:paraId="54E5039C" w14:textId="33F084AB" w:rsidR="00276A1F" w:rsidRPr="0062321A" w:rsidRDefault="00276A1F" w:rsidP="00756494">
      <w:pPr>
        <w:pStyle w:val="Notedebasdepage"/>
        <w:ind w:left="284" w:hanging="284"/>
        <w:rPr>
          <w:rFonts w:cs="Arial"/>
          <w:lang w:val="en-CA"/>
        </w:rPr>
      </w:pPr>
      <w:r w:rsidRPr="0082385B">
        <w:rPr>
          <w:rStyle w:val="Appelnotedebasdep"/>
          <w:rFonts w:cs="Arial"/>
        </w:rPr>
        <w:footnoteRef/>
      </w:r>
      <w:r w:rsidRPr="0062321A">
        <w:rPr>
          <w:rFonts w:cs="Arial"/>
          <w:lang w:val="en-CA"/>
        </w:rPr>
        <w:tab/>
      </w:r>
      <w:r w:rsidRPr="0062321A">
        <w:rPr>
          <w:i/>
          <w:iCs/>
          <w:lang w:val="en-CA"/>
        </w:rPr>
        <w:t>Supra</w:t>
      </w:r>
      <w:r w:rsidRPr="0062321A">
        <w:rPr>
          <w:lang w:val="en-CA"/>
        </w:rPr>
        <w:t xml:space="preserve">, </w:t>
      </w:r>
      <w:r w:rsidR="00C46347">
        <w:rPr>
          <w:lang w:val="en-CA"/>
        </w:rPr>
        <w:t>para.</w:t>
      </w:r>
      <w:r w:rsidRPr="0062321A">
        <w:rPr>
          <w:lang w:val="en-CA"/>
        </w:rPr>
        <w:t xml:space="preserve"> </w:t>
      </w:r>
      <w:r>
        <w:rPr>
          <w:lang w:val="en-CA"/>
        </w:rPr>
        <w:t>93</w:t>
      </w:r>
      <w:r w:rsidRPr="0062321A">
        <w:rPr>
          <w:lang w:val="en-CA"/>
        </w:rPr>
        <w:t>.</w:t>
      </w:r>
    </w:p>
  </w:footnote>
  <w:footnote w:id="104">
    <w:p w14:paraId="70C864FD" w14:textId="51ADCB9D" w:rsidR="00276A1F" w:rsidRPr="00444905" w:rsidRDefault="00276A1F" w:rsidP="00756494">
      <w:pPr>
        <w:pStyle w:val="Notedebasdepage"/>
        <w:ind w:left="284" w:hanging="284"/>
        <w:rPr>
          <w:rFonts w:cs="Arial"/>
        </w:rPr>
      </w:pPr>
      <w:r w:rsidRPr="0082385B">
        <w:rPr>
          <w:rStyle w:val="Appelnotedebasdep"/>
          <w:rFonts w:cs="Arial"/>
        </w:rPr>
        <w:footnoteRef/>
      </w:r>
      <w:r w:rsidRPr="00756494">
        <w:rPr>
          <w:rFonts w:cs="Arial"/>
          <w:lang w:val="en-CA"/>
        </w:rPr>
        <w:tab/>
      </w:r>
      <w:r w:rsidRPr="00756494">
        <w:rPr>
          <w:i/>
          <w:iCs/>
          <w:lang w:val="en-CA"/>
        </w:rPr>
        <w:t xml:space="preserve">R. </w:t>
      </w:r>
      <w:r w:rsidR="009E329A">
        <w:rPr>
          <w:i/>
          <w:iCs/>
          <w:lang w:val="en-CA"/>
        </w:rPr>
        <w:t>v</w:t>
      </w:r>
      <w:r w:rsidRPr="00756494">
        <w:rPr>
          <w:i/>
          <w:iCs/>
          <w:lang w:val="en-CA"/>
        </w:rPr>
        <w:t>. Chung</w:t>
      </w:r>
      <w:r w:rsidRPr="00756494">
        <w:rPr>
          <w:lang w:val="en-CA"/>
        </w:rPr>
        <w:t xml:space="preserve">, 2020 </w:t>
      </w:r>
      <w:r w:rsidR="00B131F0">
        <w:rPr>
          <w:lang w:val="en-CA"/>
        </w:rPr>
        <w:t>SCC</w:t>
      </w:r>
      <w:r w:rsidRPr="00756494">
        <w:rPr>
          <w:lang w:val="en-CA"/>
        </w:rPr>
        <w:t xml:space="preserve"> 8, </w:t>
      </w:r>
      <w:r w:rsidR="00C46347">
        <w:rPr>
          <w:lang w:val="en-CA"/>
        </w:rPr>
        <w:t>para.</w:t>
      </w:r>
      <w:r w:rsidRPr="00756494">
        <w:rPr>
          <w:lang w:val="en-CA"/>
        </w:rPr>
        <w:t xml:space="preserve"> </w:t>
      </w:r>
      <w:r w:rsidRPr="00D809F2">
        <w:t>10</w:t>
      </w:r>
      <w:r>
        <w:t>.</w:t>
      </w:r>
    </w:p>
  </w:footnote>
  <w:footnote w:id="105">
    <w:p w14:paraId="52D73EA3" w14:textId="47CA7B87" w:rsidR="00276A1F" w:rsidRPr="00211FC2" w:rsidRDefault="00276A1F" w:rsidP="00756494">
      <w:pPr>
        <w:pStyle w:val="Notedebasdepage"/>
        <w:ind w:left="284" w:hanging="284"/>
        <w:rPr>
          <w:rFonts w:cs="Arial"/>
          <w:lang w:val="en-CA"/>
        </w:rPr>
      </w:pPr>
      <w:r w:rsidRPr="00543F0E">
        <w:rPr>
          <w:rStyle w:val="Appelnotedebasdep"/>
          <w:rFonts w:cs="Arial"/>
        </w:rPr>
        <w:footnoteRef/>
      </w:r>
      <w:r w:rsidRPr="00543F0E">
        <w:rPr>
          <w:rFonts w:cs="Arial"/>
        </w:rPr>
        <w:tab/>
      </w:r>
      <w:r w:rsidRPr="00211FC2">
        <w:rPr>
          <w:i/>
          <w:iCs/>
          <w:lang w:val="en-CA"/>
        </w:rPr>
        <w:t>Supra</w:t>
      </w:r>
      <w:r w:rsidRPr="00211FC2">
        <w:rPr>
          <w:lang w:val="en-CA"/>
        </w:rPr>
        <w:t xml:space="preserve">, </w:t>
      </w:r>
      <w:r w:rsidR="00C46347" w:rsidRPr="00211FC2">
        <w:rPr>
          <w:lang w:val="en-CA"/>
        </w:rPr>
        <w:t>para.</w:t>
      </w:r>
      <w:r w:rsidRPr="00211FC2">
        <w:rPr>
          <w:lang w:val="en-CA"/>
        </w:rPr>
        <w:t xml:space="preserve"> 92.</w:t>
      </w:r>
    </w:p>
  </w:footnote>
  <w:footnote w:id="106">
    <w:p w14:paraId="268ACF74" w14:textId="2984958D" w:rsidR="00276A1F" w:rsidRPr="00211FC2" w:rsidRDefault="00276A1F" w:rsidP="00756494">
      <w:pPr>
        <w:pStyle w:val="Notedebasdepage"/>
        <w:ind w:left="284" w:hanging="284"/>
        <w:rPr>
          <w:rFonts w:cs="Arial"/>
          <w:lang w:val="en-CA"/>
        </w:rPr>
      </w:pPr>
      <w:r w:rsidRPr="00211FC2">
        <w:rPr>
          <w:rStyle w:val="Appelnotedebasdep"/>
          <w:rFonts w:cs="Arial"/>
          <w:lang w:val="en-CA"/>
        </w:rPr>
        <w:footnoteRef/>
      </w:r>
      <w:r w:rsidRPr="00211FC2">
        <w:rPr>
          <w:rFonts w:cs="Arial"/>
          <w:lang w:val="en-CA"/>
        </w:rPr>
        <w:tab/>
      </w:r>
      <w:r w:rsidRPr="00211FC2">
        <w:rPr>
          <w:rFonts w:cs="Arial"/>
          <w:i/>
          <w:iCs/>
          <w:lang w:val="en-CA"/>
        </w:rPr>
        <w:t xml:space="preserve">R. </w:t>
      </w:r>
      <w:r w:rsidR="00211FC2" w:rsidRPr="00211FC2">
        <w:rPr>
          <w:rFonts w:cs="Arial"/>
          <w:i/>
          <w:iCs/>
          <w:lang w:val="en-CA"/>
        </w:rPr>
        <w:t>v</w:t>
      </w:r>
      <w:r w:rsidRPr="00211FC2">
        <w:rPr>
          <w:rFonts w:cs="Arial"/>
          <w:i/>
          <w:iCs/>
          <w:lang w:val="en-CA"/>
        </w:rPr>
        <w:t>. Hodgson</w:t>
      </w:r>
      <w:r w:rsidRPr="00211FC2">
        <w:rPr>
          <w:rFonts w:cs="Arial"/>
          <w:lang w:val="en-CA"/>
        </w:rPr>
        <w:t xml:space="preserve">, 2024 </w:t>
      </w:r>
      <w:r w:rsidR="00B131F0" w:rsidRPr="00211FC2">
        <w:rPr>
          <w:rFonts w:cs="Arial"/>
          <w:lang w:val="en-CA"/>
        </w:rPr>
        <w:t>SCC</w:t>
      </w:r>
      <w:r w:rsidRPr="00211FC2">
        <w:rPr>
          <w:rFonts w:cs="Arial"/>
          <w:lang w:val="en-CA"/>
        </w:rPr>
        <w:t xml:space="preserve"> 25, </w:t>
      </w:r>
      <w:r w:rsidR="00C46347" w:rsidRPr="00211FC2">
        <w:rPr>
          <w:rFonts w:cs="Arial"/>
          <w:lang w:val="en-CA"/>
        </w:rPr>
        <w:t>para.</w:t>
      </w:r>
      <w:r w:rsidRPr="00211FC2">
        <w:rPr>
          <w:rFonts w:cs="Arial"/>
          <w:lang w:val="en-CA"/>
        </w:rPr>
        <w:t xml:space="preserve"> 30, </w:t>
      </w:r>
      <w:r w:rsidR="00211FC2" w:rsidRPr="00211FC2">
        <w:rPr>
          <w:rFonts w:cs="Arial"/>
          <w:lang w:val="en-CA"/>
        </w:rPr>
        <w:t xml:space="preserve">quoting </w:t>
      </w:r>
      <w:r w:rsidRPr="00211FC2">
        <w:rPr>
          <w:rFonts w:cs="Arial"/>
          <w:lang w:val="en-CA"/>
        </w:rPr>
        <w:t>Kasirer,</w:t>
      </w:r>
      <w:r w:rsidR="00211FC2" w:rsidRPr="00211FC2">
        <w:rPr>
          <w:rFonts w:cs="Arial"/>
          <w:lang w:val="en-CA"/>
        </w:rPr>
        <w:t xml:space="preserve"> J.A., as he then was</w:t>
      </w:r>
      <w:r w:rsidRPr="00211FC2">
        <w:rPr>
          <w:rFonts w:cs="Arial"/>
          <w:lang w:val="en-CA"/>
        </w:rPr>
        <w:t xml:space="preserve">, </w:t>
      </w:r>
      <w:r w:rsidR="00211FC2" w:rsidRPr="00211FC2">
        <w:rPr>
          <w:rFonts w:cs="Arial"/>
          <w:lang w:val="en-CA"/>
        </w:rPr>
        <w:t>in</w:t>
      </w:r>
      <w:r w:rsidRPr="00211FC2">
        <w:rPr>
          <w:rFonts w:cs="Arial"/>
          <w:lang w:val="en-CA"/>
        </w:rPr>
        <w:t xml:space="preserve"> </w:t>
      </w:r>
      <w:r w:rsidRPr="00211FC2">
        <w:rPr>
          <w:rFonts w:cs="Arial"/>
          <w:i/>
          <w:iCs/>
          <w:lang w:val="en-CA"/>
        </w:rPr>
        <w:t>LSJPA – 151</w:t>
      </w:r>
      <w:r w:rsidRPr="00211FC2">
        <w:rPr>
          <w:rFonts w:cs="Arial"/>
          <w:lang w:val="en-CA"/>
        </w:rPr>
        <w:t xml:space="preserve">, 2015 QCCA 35, </w:t>
      </w:r>
      <w:r w:rsidR="00C46347" w:rsidRPr="00211FC2">
        <w:rPr>
          <w:rFonts w:cs="Arial"/>
          <w:lang w:val="en-CA"/>
        </w:rPr>
        <w:t>para.</w:t>
      </w:r>
      <w:r w:rsidRPr="00211FC2">
        <w:rPr>
          <w:rFonts w:cs="Arial"/>
          <w:lang w:val="en-CA"/>
        </w:rPr>
        <w:t xml:space="preserve"> 57.</w:t>
      </w:r>
    </w:p>
  </w:footnote>
  <w:footnote w:id="107">
    <w:p w14:paraId="36455F9F" w14:textId="366C2CD6" w:rsidR="00276A1F" w:rsidRPr="00211FC2" w:rsidRDefault="00276A1F" w:rsidP="00756494">
      <w:pPr>
        <w:pStyle w:val="Notedebasdepage"/>
        <w:ind w:left="284" w:hanging="284"/>
        <w:rPr>
          <w:rFonts w:cs="Arial"/>
          <w:lang w:val="en-CA"/>
        </w:rPr>
      </w:pPr>
      <w:r w:rsidRPr="00211FC2">
        <w:rPr>
          <w:rStyle w:val="Appelnotedebasdep"/>
          <w:rFonts w:cs="Arial"/>
          <w:lang w:val="en-CA"/>
        </w:rPr>
        <w:footnoteRef/>
      </w:r>
      <w:r w:rsidRPr="00211FC2">
        <w:rPr>
          <w:rFonts w:cs="Arial"/>
          <w:lang w:val="en-CA"/>
        </w:rPr>
        <w:tab/>
      </w:r>
      <w:r w:rsidRPr="00211FC2">
        <w:rPr>
          <w:rFonts w:cs="Arial"/>
          <w:i/>
          <w:iCs/>
          <w:lang w:val="en-CA"/>
        </w:rPr>
        <w:t>Id.</w:t>
      </w:r>
      <w:r w:rsidRPr="00211FC2">
        <w:rPr>
          <w:rFonts w:cs="Arial"/>
          <w:lang w:val="en-CA"/>
        </w:rPr>
        <w:t xml:space="preserve">, </w:t>
      </w:r>
      <w:r w:rsidR="00C46347" w:rsidRPr="00211FC2">
        <w:rPr>
          <w:rFonts w:cs="Arial"/>
          <w:lang w:val="en-CA"/>
        </w:rPr>
        <w:t>para.</w:t>
      </w:r>
      <w:r w:rsidRPr="00211FC2">
        <w:rPr>
          <w:rFonts w:cs="Arial"/>
          <w:lang w:val="en-CA"/>
        </w:rPr>
        <w:t xml:space="preserve"> 24, </w:t>
      </w:r>
      <w:r w:rsidR="00211FC2">
        <w:rPr>
          <w:rFonts w:cs="Arial"/>
          <w:lang w:val="en-CA"/>
        </w:rPr>
        <w:t>quoting the description provided in</w:t>
      </w:r>
      <w:r w:rsidRPr="00211FC2">
        <w:rPr>
          <w:rFonts w:cs="Arial"/>
          <w:lang w:val="en-CA"/>
        </w:rPr>
        <w:t xml:space="preserve"> </w:t>
      </w:r>
      <w:r w:rsidR="00211FC2">
        <w:rPr>
          <w:rFonts w:cs="Arial"/>
          <w:lang w:val="en-CA"/>
        </w:rPr>
        <w:t>Minister of Justice and Public Safety</w:t>
      </w:r>
      <w:r w:rsidRPr="00211FC2">
        <w:rPr>
          <w:rFonts w:cs="Arial"/>
          <w:lang w:val="en-CA"/>
        </w:rPr>
        <w:t xml:space="preserve">, </w:t>
      </w:r>
      <w:r w:rsidRPr="00211FC2">
        <w:rPr>
          <w:rFonts w:cs="Arial"/>
          <w:i/>
          <w:iCs/>
          <w:lang w:val="en-CA"/>
        </w:rPr>
        <w:t>Guide Book of Policies and Procedures for the Conduct of Criminal Prosecutions in Newfoundland and Labrador</w:t>
      </w:r>
      <w:r w:rsidRPr="00211FC2">
        <w:rPr>
          <w:rFonts w:cs="Arial"/>
          <w:lang w:val="en-CA"/>
        </w:rPr>
        <w:t>, 2022 (</w:t>
      </w:r>
      <w:r w:rsidR="00211FC2">
        <w:rPr>
          <w:rFonts w:cs="Arial"/>
          <w:lang w:val="en-CA"/>
        </w:rPr>
        <w:t>on line</w:t>
      </w:r>
      <w:r w:rsidRPr="00211FC2">
        <w:rPr>
          <w:rFonts w:cs="Arial"/>
          <w:lang w:val="en-CA"/>
        </w:rPr>
        <w:t>), p</w:t>
      </w:r>
      <w:r w:rsidR="00211FC2">
        <w:rPr>
          <w:rFonts w:cs="Arial"/>
          <w:lang w:val="en-CA"/>
        </w:rPr>
        <w:t>p</w:t>
      </w:r>
      <w:r w:rsidRPr="00211FC2">
        <w:rPr>
          <w:rFonts w:cs="Arial"/>
          <w:lang w:val="en-CA"/>
        </w:rPr>
        <w:t>. 23</w:t>
      </w:r>
      <w:r w:rsidRPr="00211FC2">
        <w:rPr>
          <w:rFonts w:ascii="Cambria Math" w:hAnsi="Cambria Math" w:cs="Cambria Math"/>
          <w:lang w:val="en-CA"/>
        </w:rPr>
        <w:t>‑</w:t>
      </w:r>
      <w:r w:rsidRPr="00211FC2">
        <w:rPr>
          <w:rFonts w:cs="Arial"/>
          <w:lang w:val="en-CA"/>
        </w:rPr>
        <w:t>2.</w:t>
      </w:r>
    </w:p>
  </w:footnote>
  <w:footnote w:id="108">
    <w:p w14:paraId="1E721F5F" w14:textId="5E8A5A77" w:rsidR="00276A1F" w:rsidRPr="00211FC2" w:rsidRDefault="00276A1F" w:rsidP="00756494">
      <w:pPr>
        <w:pStyle w:val="Notedebasdepage"/>
        <w:ind w:left="284" w:hanging="284"/>
        <w:rPr>
          <w:rFonts w:cs="Arial"/>
          <w:lang w:val="en-CA"/>
        </w:rPr>
      </w:pPr>
      <w:r w:rsidRPr="00211FC2">
        <w:rPr>
          <w:rStyle w:val="Appelnotedebasdep"/>
          <w:rFonts w:cs="Arial"/>
          <w:lang w:val="en-CA"/>
        </w:rPr>
        <w:footnoteRef/>
      </w:r>
      <w:r w:rsidRPr="00211FC2">
        <w:rPr>
          <w:rFonts w:cs="Arial"/>
          <w:lang w:val="en-CA"/>
        </w:rPr>
        <w:tab/>
      </w:r>
      <w:r w:rsidRPr="00211FC2">
        <w:rPr>
          <w:rFonts w:cs="Arial"/>
          <w:i/>
          <w:iCs/>
          <w:lang w:val="en-CA"/>
        </w:rPr>
        <w:t>Id.</w:t>
      </w:r>
      <w:r w:rsidRPr="00211FC2">
        <w:rPr>
          <w:rFonts w:cs="Arial"/>
          <w:lang w:val="en-CA"/>
        </w:rPr>
        <w:t xml:space="preserve">, </w:t>
      </w:r>
      <w:r w:rsidR="00C46347" w:rsidRPr="00211FC2">
        <w:rPr>
          <w:rFonts w:cs="Arial"/>
          <w:lang w:val="en-CA"/>
        </w:rPr>
        <w:t>para.</w:t>
      </w:r>
      <w:r w:rsidRPr="00211FC2">
        <w:rPr>
          <w:rFonts w:cs="Arial"/>
          <w:lang w:val="en-CA"/>
        </w:rPr>
        <w:t xml:space="preserve"> 40.</w:t>
      </w:r>
    </w:p>
  </w:footnote>
  <w:footnote w:id="109">
    <w:p w14:paraId="1B2A335D" w14:textId="2509877D" w:rsidR="00276A1F" w:rsidRPr="00211FC2" w:rsidRDefault="00276A1F" w:rsidP="00756494">
      <w:pPr>
        <w:pStyle w:val="Notedebasdepage"/>
        <w:ind w:left="284" w:hanging="284"/>
        <w:rPr>
          <w:rFonts w:cs="Arial"/>
          <w:lang w:val="en-CA"/>
        </w:rPr>
      </w:pPr>
      <w:r w:rsidRPr="00211FC2">
        <w:rPr>
          <w:rStyle w:val="Appelnotedebasdep"/>
          <w:rFonts w:cs="Arial"/>
          <w:lang w:val="en-CA"/>
        </w:rPr>
        <w:footnoteRef/>
      </w:r>
      <w:r w:rsidRPr="00211FC2">
        <w:rPr>
          <w:rFonts w:cs="Arial"/>
          <w:lang w:val="en-CA"/>
        </w:rPr>
        <w:tab/>
      </w:r>
      <w:r w:rsidR="00211FC2">
        <w:rPr>
          <w:rFonts w:cs="Arial"/>
          <w:lang w:val="en-CA"/>
        </w:rPr>
        <w:t xml:space="preserve">See, </w:t>
      </w:r>
      <w:r w:rsidR="00F579A6">
        <w:rPr>
          <w:rFonts w:cs="Arial"/>
          <w:lang w:val="en-CA"/>
        </w:rPr>
        <w:t>in this regard</w:t>
      </w:r>
      <w:r w:rsidRPr="00211FC2">
        <w:rPr>
          <w:rFonts w:cs="Arial"/>
          <w:lang w:val="en-CA"/>
        </w:rPr>
        <w:t xml:space="preserve">: </w:t>
      </w:r>
      <w:r w:rsidRPr="00211FC2">
        <w:rPr>
          <w:rFonts w:cs="Arial"/>
          <w:i/>
          <w:iCs/>
          <w:lang w:val="en-CA"/>
        </w:rPr>
        <w:t>R. v. Percy</w:t>
      </w:r>
      <w:r w:rsidRPr="00211FC2">
        <w:rPr>
          <w:rFonts w:cs="Arial"/>
          <w:lang w:val="en-CA"/>
        </w:rPr>
        <w:t xml:space="preserve">, 2020 NSCA 11, </w:t>
      </w:r>
      <w:r w:rsidR="00C46347" w:rsidRPr="00211FC2">
        <w:rPr>
          <w:rFonts w:cs="Arial"/>
          <w:lang w:val="en-CA"/>
        </w:rPr>
        <w:t>para</w:t>
      </w:r>
      <w:r w:rsidR="00F579A6">
        <w:rPr>
          <w:rFonts w:cs="Arial"/>
          <w:lang w:val="en-CA"/>
        </w:rPr>
        <w:t>s</w:t>
      </w:r>
      <w:r w:rsidR="00C46347" w:rsidRPr="00211FC2">
        <w:rPr>
          <w:rFonts w:cs="Arial"/>
          <w:lang w:val="en-CA"/>
        </w:rPr>
        <w:t>.</w:t>
      </w:r>
      <w:r w:rsidRPr="00211FC2">
        <w:rPr>
          <w:rFonts w:cs="Arial"/>
          <w:lang w:val="en-CA"/>
        </w:rPr>
        <w:t xml:space="preserve"> 120 </w:t>
      </w:r>
      <w:r w:rsidR="00F579A6">
        <w:rPr>
          <w:rFonts w:cs="Arial"/>
          <w:lang w:val="en-CA"/>
        </w:rPr>
        <w:t>et seq.</w:t>
      </w:r>
      <w:r w:rsidRPr="00211FC2">
        <w:rPr>
          <w:rFonts w:cs="Arial"/>
          <w:lang w:val="en-CA"/>
        </w:rPr>
        <w:t xml:space="preserve">; John Sopinka, Mark A. Gelowitz </w:t>
      </w:r>
      <w:r w:rsidR="00211FC2">
        <w:rPr>
          <w:rFonts w:cs="Arial"/>
          <w:lang w:val="en-CA"/>
        </w:rPr>
        <w:t>and</w:t>
      </w:r>
      <w:r w:rsidRPr="00211FC2">
        <w:rPr>
          <w:rFonts w:cs="Arial"/>
          <w:lang w:val="en-CA"/>
        </w:rPr>
        <w:t xml:space="preserve"> W. David Rankin, </w:t>
      </w:r>
      <w:r w:rsidRPr="00211FC2">
        <w:rPr>
          <w:rFonts w:cs="Arial"/>
          <w:i/>
          <w:iCs/>
          <w:lang w:val="en-CA"/>
        </w:rPr>
        <w:t>Sopinka, Gelowitz and Rankin on the Conduct of an Appeal</w:t>
      </w:r>
      <w:r w:rsidRPr="00211FC2">
        <w:rPr>
          <w:rFonts w:cs="Arial"/>
          <w:lang w:val="en-CA"/>
        </w:rPr>
        <w:t>, 5</w:t>
      </w:r>
      <w:r w:rsidR="00211FC2" w:rsidRPr="00211FC2">
        <w:rPr>
          <w:rFonts w:cs="Arial"/>
          <w:vertAlign w:val="superscript"/>
          <w:lang w:val="en-CA"/>
        </w:rPr>
        <w:t>th</w:t>
      </w:r>
      <w:r w:rsidR="00211FC2">
        <w:rPr>
          <w:rFonts w:cs="Arial"/>
          <w:lang w:val="en-CA"/>
        </w:rPr>
        <w:t xml:space="preserve"> E</w:t>
      </w:r>
      <w:r w:rsidRPr="00211FC2">
        <w:rPr>
          <w:rFonts w:cs="Arial"/>
          <w:lang w:val="en-CA"/>
        </w:rPr>
        <w:t>d., Toronto, LexisNexis, 2022, p</w:t>
      </w:r>
      <w:r w:rsidR="00211FC2">
        <w:rPr>
          <w:rFonts w:cs="Arial"/>
          <w:lang w:val="en-CA"/>
        </w:rPr>
        <w:t>p</w:t>
      </w:r>
      <w:r w:rsidRPr="00211FC2">
        <w:rPr>
          <w:rFonts w:cs="Arial"/>
          <w:lang w:val="en-CA"/>
        </w:rPr>
        <w:t>. 231-235 (</w:t>
      </w:r>
      <w:r w:rsidR="00211FC2">
        <w:rPr>
          <w:rFonts w:cs="Arial"/>
          <w:lang w:val="en-CA"/>
        </w:rPr>
        <w:t xml:space="preserve">nos. </w:t>
      </w:r>
      <w:r w:rsidRPr="00211FC2">
        <w:rPr>
          <w:rFonts w:cs="Arial"/>
          <w:lang w:val="en-CA"/>
        </w:rPr>
        <w:t xml:space="preserve">3.16-3.21 </w:t>
      </w:r>
      <w:r w:rsidR="00211FC2">
        <w:rPr>
          <w:rFonts w:cs="Arial"/>
          <w:lang w:val="en-CA"/>
        </w:rPr>
        <w:t>and</w:t>
      </w:r>
      <w:r w:rsidRPr="00211FC2">
        <w:rPr>
          <w:rFonts w:cs="Arial"/>
          <w:lang w:val="en-CA"/>
        </w:rPr>
        <w:t xml:space="preserve"> 3.27-3.35) </w:t>
      </w:r>
      <w:r w:rsidR="00BC44F8" w:rsidRPr="00BC44F8">
        <w:rPr>
          <w:rFonts w:cs="Arial"/>
          <w:lang w:val="en-CA"/>
        </w:rPr>
        <w:t xml:space="preserve">and in particular the conclusion reached in paragraph 3.35, where the authors quote </w:t>
      </w:r>
      <w:r w:rsidR="00BC44F8" w:rsidRPr="00BC44F8">
        <w:rPr>
          <w:rFonts w:cs="Arial"/>
          <w:i/>
          <w:iCs/>
          <w:lang w:val="en-CA"/>
        </w:rPr>
        <w:t>Percy</w:t>
      </w:r>
      <w:r w:rsidR="00BC44F8">
        <w:rPr>
          <w:rFonts w:cs="Arial"/>
          <w:lang w:val="en-CA"/>
        </w:rPr>
        <w:t xml:space="preserve"> </w:t>
      </w:r>
      <w:r w:rsidR="00BC44F8" w:rsidRPr="00BC44F8">
        <w:rPr>
          <w:rFonts w:cs="Arial"/>
          <w:lang w:val="en-CA"/>
        </w:rPr>
        <w:t>with approval</w:t>
      </w:r>
      <w:r w:rsidRPr="00211FC2">
        <w:rPr>
          <w:rFonts w:cs="Arial"/>
          <w:lang w:val="en-CA"/>
        </w:rPr>
        <w:t xml:space="preserve">: </w:t>
      </w:r>
      <w:r w:rsidR="00BC44F8">
        <w:rPr>
          <w:rFonts w:cs="Arial"/>
          <w:lang w:val="en-CA"/>
        </w:rPr>
        <w:t>“</w:t>
      </w:r>
      <w:r w:rsidRPr="00BC44F8">
        <w:rPr>
          <w:lang w:val="en-CA"/>
        </w:rPr>
        <w:t>in a Crown appeal against an acquittal, the allegation that the trial judge misapprehended the evidence will not amount to an error of law grounding an appeal unless the failure to appreciate the evidence is based on a misapprehension of an applicable legal principle</w:t>
      </w:r>
      <w:r w:rsidR="00BC44F8">
        <w:rPr>
          <w:i/>
          <w:iCs/>
          <w:lang w:val="en-CA"/>
        </w:rPr>
        <w:t>.</w:t>
      </w:r>
      <w:r w:rsidR="00BC44F8" w:rsidRPr="00BC44F8">
        <w:rPr>
          <w:lang w:val="en-CA"/>
        </w:rPr>
        <w:t>”</w:t>
      </w:r>
      <w:r w:rsidR="00BC44F8">
        <w:rPr>
          <w:rFonts w:cs="Arial"/>
          <w:lang w:val="en-CA"/>
        </w:rPr>
        <w:t xml:space="preserve"> See also</w:t>
      </w:r>
      <w:r w:rsidRPr="00211FC2">
        <w:rPr>
          <w:rFonts w:cs="Arial"/>
          <w:lang w:val="en-CA"/>
        </w:rPr>
        <w:t xml:space="preserve"> Eugene G. Ewaschuk, </w:t>
      </w:r>
      <w:r w:rsidRPr="00211FC2">
        <w:rPr>
          <w:rFonts w:cs="Arial"/>
          <w:i/>
          <w:iCs/>
          <w:lang w:val="en-CA"/>
        </w:rPr>
        <w:t>Criminal Pleadings and Practice in Canada</w:t>
      </w:r>
      <w:r w:rsidRPr="00211FC2">
        <w:rPr>
          <w:rFonts w:cs="Arial"/>
          <w:lang w:val="en-CA"/>
        </w:rPr>
        <w:t>, 3</w:t>
      </w:r>
      <w:r w:rsidR="00BC44F8" w:rsidRPr="00BC44F8">
        <w:rPr>
          <w:rFonts w:cs="Arial"/>
          <w:vertAlign w:val="superscript"/>
          <w:lang w:val="en-CA"/>
        </w:rPr>
        <w:t>rd</w:t>
      </w:r>
      <w:r w:rsidR="00BC44F8">
        <w:rPr>
          <w:rFonts w:cs="Arial"/>
          <w:lang w:val="en-CA"/>
        </w:rPr>
        <w:t xml:space="preserve"> E</w:t>
      </w:r>
      <w:r w:rsidRPr="00211FC2">
        <w:rPr>
          <w:rFonts w:cs="Arial"/>
          <w:lang w:val="en-CA"/>
        </w:rPr>
        <w:t xml:space="preserve">d., </w:t>
      </w:r>
      <w:r w:rsidR="00BC44F8">
        <w:rPr>
          <w:rFonts w:cs="Arial"/>
          <w:lang w:val="en-CA"/>
        </w:rPr>
        <w:t>V</w:t>
      </w:r>
      <w:r w:rsidRPr="00211FC2">
        <w:rPr>
          <w:rFonts w:cs="Arial"/>
          <w:lang w:val="en-CA"/>
        </w:rPr>
        <w:t>ol. 2 Thomson Reuters, 2022 (</w:t>
      </w:r>
      <w:r w:rsidR="00BC44F8">
        <w:rPr>
          <w:rFonts w:cs="Arial"/>
          <w:lang w:val="en-CA"/>
        </w:rPr>
        <w:t>loose leaf</w:t>
      </w:r>
      <w:r w:rsidRPr="00211FC2">
        <w:rPr>
          <w:rFonts w:cs="Arial"/>
          <w:lang w:val="en-CA"/>
        </w:rPr>
        <w:t xml:space="preserve">, </w:t>
      </w:r>
      <w:r w:rsidR="00BC44F8">
        <w:rPr>
          <w:rFonts w:cs="Arial"/>
          <w:lang w:val="en-CA"/>
        </w:rPr>
        <w:t xml:space="preserve">update no. </w:t>
      </w:r>
      <w:r w:rsidRPr="00211FC2">
        <w:rPr>
          <w:rFonts w:cs="Arial"/>
          <w:lang w:val="en-CA"/>
        </w:rPr>
        <w:t xml:space="preserve">9, </w:t>
      </w:r>
      <w:r w:rsidR="00BC44F8">
        <w:rPr>
          <w:rFonts w:cs="Arial"/>
          <w:lang w:val="en-CA"/>
        </w:rPr>
        <w:t>December</w:t>
      </w:r>
      <w:r w:rsidRPr="00211FC2">
        <w:rPr>
          <w:rFonts w:cs="Arial"/>
          <w:lang w:val="en-CA"/>
        </w:rPr>
        <w:t xml:space="preserve"> 2024), </w:t>
      </w:r>
      <w:r w:rsidR="00C46347" w:rsidRPr="00211FC2">
        <w:rPr>
          <w:rFonts w:cs="Arial"/>
          <w:lang w:val="en-CA"/>
        </w:rPr>
        <w:t>para.</w:t>
      </w:r>
      <w:r w:rsidRPr="00211FC2">
        <w:rPr>
          <w:rFonts w:cs="Arial"/>
          <w:lang w:val="en-CA"/>
        </w:rPr>
        <w:t xml:space="preserve"> 23:19 (</w:t>
      </w:r>
      <w:r w:rsidR="00BC44F8">
        <w:rPr>
          <w:rFonts w:cs="Arial"/>
          <w:lang w:val="en-CA"/>
        </w:rPr>
        <w:t>“</w:t>
      </w:r>
      <w:r w:rsidRPr="00BC44F8">
        <w:rPr>
          <w:rFonts w:cs="Arial"/>
          <w:lang w:val="en-CA"/>
        </w:rPr>
        <w:t>A misapprehension of evidence may arise […] by a mistake as to substance of the evidence […] A misapprehension of evidence does not, with the exception of an error as to the legal effect of found facts, constitute a question of law but constitutes, at most, a “mistake of mixed law and fact” with the result that the Crown, generally, cannot appeal an acquittal on the ground of a misapprehension of evidence unless it also involves a misapprehension of a “legal principle</w:t>
      </w:r>
      <w:r w:rsidRPr="00211FC2">
        <w:rPr>
          <w:rFonts w:cs="Arial"/>
          <w:i/>
          <w:iCs/>
          <w:lang w:val="en-CA"/>
        </w:rPr>
        <w:t>”</w:t>
      </w:r>
      <w:r w:rsidR="00BC44F8">
        <w:rPr>
          <w:rFonts w:cs="Arial"/>
          <w:lang w:val="en-CA"/>
        </w:rPr>
        <w:t>”</w:t>
      </w:r>
      <w:r w:rsidRPr="00211FC2">
        <w:rPr>
          <w:rFonts w:cs="Arial"/>
          <w:lang w:val="en-CA"/>
        </w:rPr>
        <w:t xml:space="preserve"> [</w:t>
      </w:r>
      <w:r w:rsidR="00BC44F8">
        <w:rPr>
          <w:rFonts w:cs="Arial"/>
          <w:lang w:val="en-CA"/>
        </w:rPr>
        <w:t>references omitted</w:t>
      </w:r>
      <w:r w:rsidRPr="00211FC2">
        <w:rPr>
          <w:rFonts w:cs="Arial"/>
          <w:lang w:val="en-CA"/>
        </w:rPr>
        <w:t xml:space="preserve">]), </w:t>
      </w:r>
      <w:r w:rsidR="00BC44F8">
        <w:rPr>
          <w:rFonts w:cs="Arial"/>
          <w:lang w:val="en-CA"/>
        </w:rPr>
        <w:t>as well as the words of</w:t>
      </w:r>
      <w:r w:rsidRPr="00211FC2">
        <w:rPr>
          <w:rFonts w:cs="Arial"/>
          <w:lang w:val="en-CA"/>
        </w:rPr>
        <w:t xml:space="preserve"> Doherty</w:t>
      </w:r>
      <w:r w:rsidR="00BC44F8">
        <w:rPr>
          <w:rFonts w:cs="Arial"/>
          <w:lang w:val="en-CA"/>
        </w:rPr>
        <w:t>, J.A.</w:t>
      </w:r>
      <w:r w:rsidRPr="00211FC2">
        <w:rPr>
          <w:rFonts w:cs="Arial"/>
          <w:lang w:val="en-CA"/>
        </w:rPr>
        <w:t xml:space="preserve"> </w:t>
      </w:r>
      <w:r w:rsidR="00BC44F8">
        <w:rPr>
          <w:rFonts w:cs="Arial"/>
          <w:lang w:val="en-CA"/>
        </w:rPr>
        <w:t>in</w:t>
      </w:r>
      <w:r w:rsidRPr="00211FC2">
        <w:rPr>
          <w:rFonts w:cs="Arial"/>
          <w:lang w:val="en-CA"/>
        </w:rPr>
        <w:t xml:space="preserve"> </w:t>
      </w:r>
      <w:r w:rsidRPr="00211FC2">
        <w:rPr>
          <w:i/>
          <w:iCs/>
          <w:lang w:val="en-CA"/>
        </w:rPr>
        <w:t>R. v. Morrissey</w:t>
      </w:r>
      <w:r w:rsidRPr="00211FC2">
        <w:rPr>
          <w:lang w:val="en-CA"/>
        </w:rPr>
        <w:t xml:space="preserve">, (1995) 22 O.R. (3d) 514, 1995 CanLII 3498 (C.A. Ont.), p. 538, </w:t>
      </w:r>
      <w:r w:rsidR="00BC44F8">
        <w:rPr>
          <w:lang w:val="en-CA"/>
        </w:rPr>
        <w:t xml:space="preserve">finding that </w:t>
      </w:r>
      <w:r w:rsidR="00720DEE">
        <w:rPr>
          <w:lang w:val="en-CA"/>
        </w:rPr>
        <w:t>the Supreme Court cases</w:t>
      </w:r>
      <w:r w:rsidR="00BC44F8">
        <w:rPr>
          <w:lang w:val="en-CA"/>
        </w:rPr>
        <w:t xml:space="preserve"> of</w:t>
      </w:r>
      <w:r w:rsidRPr="00211FC2">
        <w:rPr>
          <w:lang w:val="en-CA"/>
        </w:rPr>
        <w:t xml:space="preserve"> </w:t>
      </w:r>
      <w:r w:rsidRPr="00211FC2">
        <w:rPr>
          <w:i/>
          <w:iCs/>
          <w:lang w:val="en-CA"/>
        </w:rPr>
        <w:t xml:space="preserve">Harper </w:t>
      </w:r>
      <w:r w:rsidR="00BC44F8">
        <w:rPr>
          <w:i/>
          <w:iCs/>
          <w:lang w:val="en-CA"/>
        </w:rPr>
        <w:t>v</w:t>
      </w:r>
      <w:r w:rsidRPr="00211FC2">
        <w:rPr>
          <w:i/>
          <w:iCs/>
          <w:lang w:val="en-CA"/>
        </w:rPr>
        <w:t xml:space="preserve">. </w:t>
      </w:r>
      <w:r w:rsidR="00BC44F8">
        <w:rPr>
          <w:i/>
          <w:iCs/>
          <w:lang w:val="en-CA"/>
        </w:rPr>
        <w:t>The Queen</w:t>
      </w:r>
      <w:r w:rsidRPr="00211FC2">
        <w:rPr>
          <w:lang w:val="en-CA"/>
        </w:rPr>
        <w:t xml:space="preserve">, [1982] 1 </w:t>
      </w:r>
      <w:r w:rsidR="00B131F0" w:rsidRPr="00211FC2">
        <w:rPr>
          <w:lang w:val="en-CA"/>
        </w:rPr>
        <w:t>S.C.R.</w:t>
      </w:r>
      <w:r w:rsidRPr="00211FC2">
        <w:rPr>
          <w:lang w:val="en-CA"/>
        </w:rPr>
        <w:t xml:space="preserve"> 2, </w:t>
      </w:r>
      <w:r w:rsidRPr="00211FC2">
        <w:rPr>
          <w:rFonts w:cs="Arial"/>
          <w:i/>
          <w:iCs/>
          <w:lang w:val="en-CA"/>
        </w:rPr>
        <w:t>Schuldt </w:t>
      </w:r>
      <w:r w:rsidR="00BC44F8">
        <w:rPr>
          <w:rFonts w:cs="Arial"/>
          <w:i/>
          <w:iCs/>
          <w:lang w:val="en-CA"/>
        </w:rPr>
        <w:t>v</w:t>
      </w:r>
      <w:r w:rsidRPr="00211FC2">
        <w:rPr>
          <w:rFonts w:cs="Arial"/>
          <w:i/>
          <w:iCs/>
          <w:lang w:val="en-CA"/>
        </w:rPr>
        <w:t>. </w:t>
      </w:r>
      <w:r w:rsidR="00BC44F8">
        <w:rPr>
          <w:rFonts w:cs="Arial"/>
          <w:i/>
          <w:iCs/>
          <w:lang w:val="en-CA"/>
        </w:rPr>
        <w:t>The Queen</w:t>
      </w:r>
      <w:r w:rsidRPr="00211FC2">
        <w:rPr>
          <w:rFonts w:cs="Arial"/>
          <w:lang w:val="en-CA"/>
        </w:rPr>
        <w:t xml:space="preserve">, [1985] 2 </w:t>
      </w:r>
      <w:r w:rsidR="00B131F0" w:rsidRPr="00211FC2">
        <w:rPr>
          <w:rFonts w:cs="Arial"/>
          <w:lang w:val="en-CA"/>
        </w:rPr>
        <w:t>S.C.R.</w:t>
      </w:r>
      <w:r w:rsidRPr="00211FC2">
        <w:rPr>
          <w:rFonts w:cs="Arial"/>
          <w:lang w:val="en-CA"/>
        </w:rPr>
        <w:t xml:space="preserve"> 592, </w:t>
      </w:r>
      <w:r w:rsidRPr="00211FC2">
        <w:rPr>
          <w:rFonts w:cs="Arial"/>
          <w:i/>
          <w:iCs/>
          <w:lang w:val="en-CA"/>
        </w:rPr>
        <w:t xml:space="preserve">R. </w:t>
      </w:r>
      <w:r w:rsidR="00BC44F8">
        <w:rPr>
          <w:rFonts w:cs="Arial"/>
          <w:i/>
          <w:iCs/>
          <w:lang w:val="en-CA"/>
        </w:rPr>
        <w:t>v</w:t>
      </w:r>
      <w:r w:rsidRPr="00211FC2">
        <w:rPr>
          <w:rFonts w:cs="Arial"/>
          <w:i/>
          <w:iCs/>
          <w:lang w:val="en-CA"/>
        </w:rPr>
        <w:t>. Roman</w:t>
      </w:r>
      <w:r w:rsidRPr="00211FC2">
        <w:rPr>
          <w:rFonts w:cs="Arial"/>
          <w:lang w:val="en-CA"/>
        </w:rPr>
        <w:t xml:space="preserve">, [1989] 1 </w:t>
      </w:r>
      <w:r w:rsidR="00B131F0" w:rsidRPr="00211FC2">
        <w:rPr>
          <w:rFonts w:cs="Arial"/>
          <w:lang w:val="en-CA"/>
        </w:rPr>
        <w:t>S.C.R.</w:t>
      </w:r>
      <w:r w:rsidRPr="00211FC2">
        <w:rPr>
          <w:rFonts w:cs="Arial"/>
          <w:lang w:val="en-CA"/>
        </w:rPr>
        <w:t xml:space="preserve"> 230</w:t>
      </w:r>
      <w:r w:rsidRPr="00211FC2">
        <w:rPr>
          <w:lang w:val="en-CA"/>
        </w:rPr>
        <w:t xml:space="preserve">, </w:t>
      </w:r>
      <w:r w:rsidRPr="00211FC2">
        <w:rPr>
          <w:i/>
          <w:iCs/>
          <w:lang w:val="en-CA"/>
        </w:rPr>
        <w:t>R. v. B.(G.)</w:t>
      </w:r>
      <w:r w:rsidRPr="00211FC2">
        <w:rPr>
          <w:lang w:val="en-CA"/>
        </w:rPr>
        <w:t xml:space="preserve">, [1990] 2 </w:t>
      </w:r>
      <w:r w:rsidR="00B131F0" w:rsidRPr="00211FC2">
        <w:rPr>
          <w:lang w:val="en-CA"/>
        </w:rPr>
        <w:t>S.C.R.</w:t>
      </w:r>
      <w:r w:rsidRPr="00211FC2">
        <w:rPr>
          <w:lang w:val="en-CA"/>
        </w:rPr>
        <w:t xml:space="preserve"> 57, </w:t>
      </w:r>
      <w:r w:rsidR="00BC44F8">
        <w:rPr>
          <w:lang w:val="en-CA"/>
        </w:rPr>
        <w:t>and</w:t>
      </w:r>
      <w:r w:rsidRPr="00211FC2">
        <w:rPr>
          <w:lang w:val="en-CA"/>
        </w:rPr>
        <w:t xml:space="preserve"> </w:t>
      </w:r>
      <w:r w:rsidRPr="00211FC2">
        <w:rPr>
          <w:i/>
          <w:iCs/>
          <w:lang w:val="en-CA"/>
        </w:rPr>
        <w:t xml:space="preserve">R. </w:t>
      </w:r>
      <w:r w:rsidR="00BC44F8">
        <w:rPr>
          <w:i/>
          <w:iCs/>
          <w:lang w:val="en-CA"/>
        </w:rPr>
        <w:t>v</w:t>
      </w:r>
      <w:r w:rsidRPr="00211FC2">
        <w:rPr>
          <w:i/>
          <w:iCs/>
          <w:lang w:val="en-CA"/>
        </w:rPr>
        <w:t>. Morin</w:t>
      </w:r>
      <w:r w:rsidRPr="00211FC2">
        <w:rPr>
          <w:lang w:val="en-CA"/>
        </w:rPr>
        <w:t xml:space="preserve">, [1992] 3 </w:t>
      </w:r>
      <w:r w:rsidR="00B131F0" w:rsidRPr="00211FC2">
        <w:rPr>
          <w:lang w:val="en-CA"/>
        </w:rPr>
        <w:t>S.C.R.</w:t>
      </w:r>
      <w:r w:rsidRPr="00211FC2">
        <w:rPr>
          <w:lang w:val="en-CA"/>
        </w:rPr>
        <w:t xml:space="preserve"> 286, </w:t>
      </w:r>
      <w:r w:rsidR="00720DEE">
        <w:rPr>
          <w:lang w:val="en-CA"/>
        </w:rPr>
        <w:t xml:space="preserve">established </w:t>
      </w:r>
      <w:r w:rsidR="00BC44F8">
        <w:rPr>
          <w:lang w:val="en-CA"/>
        </w:rPr>
        <w:t>that “</w:t>
      </w:r>
      <w:r w:rsidRPr="00BC44F8">
        <w:rPr>
          <w:lang w:val="en-CA"/>
        </w:rPr>
        <w:t>most errors which fall under the rubric of a misapprehension of evidence will not be regarded as involving a question of law</w:t>
      </w:r>
      <w:r w:rsidR="00BC44F8">
        <w:rPr>
          <w:lang w:val="en-CA"/>
        </w:rPr>
        <w:t>.”</w:t>
      </w:r>
    </w:p>
  </w:footnote>
  <w:footnote w:id="110">
    <w:p w14:paraId="3D0144F0" w14:textId="415FA874" w:rsidR="00276A1F" w:rsidRPr="003336D2" w:rsidRDefault="00276A1F" w:rsidP="00756494">
      <w:pPr>
        <w:pStyle w:val="Notedebasdepage"/>
        <w:ind w:left="284" w:hanging="284"/>
        <w:rPr>
          <w:rFonts w:cs="Arial"/>
          <w:lang w:val="en-CA"/>
        </w:rPr>
      </w:pPr>
      <w:r w:rsidRPr="0082385B">
        <w:rPr>
          <w:rStyle w:val="Appelnotedebasdep"/>
          <w:rFonts w:cs="Arial"/>
        </w:rPr>
        <w:footnoteRef/>
      </w:r>
      <w:r w:rsidRPr="006C1EF4">
        <w:rPr>
          <w:rFonts w:cs="Arial"/>
        </w:rPr>
        <w:tab/>
      </w:r>
      <w:r w:rsidRPr="003336D2">
        <w:rPr>
          <w:rFonts w:cs="Arial"/>
          <w:lang w:val="en-CA"/>
        </w:rPr>
        <w:t>Ju</w:t>
      </w:r>
      <w:r w:rsidR="00C15F44" w:rsidRPr="003336D2">
        <w:rPr>
          <w:rFonts w:cs="Arial"/>
          <w:lang w:val="en-CA"/>
        </w:rPr>
        <w:t>dgment under appeal</w:t>
      </w:r>
      <w:r w:rsidRPr="003336D2">
        <w:rPr>
          <w:rFonts w:cs="Arial"/>
          <w:lang w:val="en-CA"/>
        </w:rPr>
        <w:t xml:space="preserve">, </w:t>
      </w:r>
      <w:r w:rsidR="00C15F44" w:rsidRPr="003336D2">
        <w:rPr>
          <w:rFonts w:cs="Arial"/>
          <w:lang w:val="en-CA"/>
        </w:rPr>
        <w:t>p</w:t>
      </w:r>
      <w:r w:rsidRPr="003336D2">
        <w:rPr>
          <w:rFonts w:cs="Arial"/>
          <w:lang w:val="en-CA"/>
        </w:rPr>
        <w:t>p. 12-13.</w:t>
      </w:r>
    </w:p>
  </w:footnote>
  <w:footnote w:id="111">
    <w:p w14:paraId="74BE6FF8" w14:textId="3A04E908" w:rsidR="00276A1F" w:rsidRPr="003336D2" w:rsidRDefault="00276A1F" w:rsidP="00756494">
      <w:pPr>
        <w:pStyle w:val="Notedebasdepage"/>
        <w:ind w:left="284" w:hanging="284"/>
        <w:rPr>
          <w:rFonts w:cs="Arial"/>
          <w:lang w:val="en-CA"/>
        </w:rPr>
      </w:pPr>
      <w:r w:rsidRPr="003336D2">
        <w:rPr>
          <w:rStyle w:val="Appelnotedebasdep"/>
          <w:rFonts w:cs="Arial"/>
          <w:lang w:val="en-CA"/>
        </w:rPr>
        <w:footnoteRef/>
      </w:r>
      <w:r w:rsidRPr="003336D2">
        <w:rPr>
          <w:rFonts w:cs="Arial"/>
          <w:lang w:val="en-CA"/>
        </w:rPr>
        <w:tab/>
      </w:r>
      <w:r w:rsidRPr="003336D2">
        <w:rPr>
          <w:rFonts w:cs="Arial"/>
          <w:i/>
          <w:iCs/>
          <w:lang w:val="en-CA"/>
        </w:rPr>
        <w:t xml:space="preserve">R. </w:t>
      </w:r>
      <w:r w:rsidR="00C15F44" w:rsidRPr="003336D2">
        <w:rPr>
          <w:rFonts w:cs="Arial"/>
          <w:i/>
          <w:iCs/>
          <w:lang w:val="en-CA"/>
        </w:rPr>
        <w:t>v</w:t>
      </w:r>
      <w:r w:rsidRPr="003336D2">
        <w:rPr>
          <w:rFonts w:cs="Arial"/>
          <w:i/>
          <w:iCs/>
          <w:lang w:val="en-CA"/>
        </w:rPr>
        <w:t>. Kruk</w:t>
      </w:r>
      <w:r w:rsidRPr="003336D2">
        <w:rPr>
          <w:rFonts w:cs="Arial"/>
          <w:lang w:val="en-CA"/>
        </w:rPr>
        <w:t xml:space="preserve">, 2024 </w:t>
      </w:r>
      <w:r w:rsidR="00B131F0" w:rsidRPr="003336D2">
        <w:rPr>
          <w:rFonts w:cs="Arial"/>
          <w:lang w:val="en-CA"/>
        </w:rPr>
        <w:t>SCC</w:t>
      </w:r>
      <w:r w:rsidRPr="003336D2">
        <w:rPr>
          <w:rFonts w:cs="Arial"/>
          <w:lang w:val="en-CA"/>
        </w:rPr>
        <w:t xml:space="preserve"> 7, </w:t>
      </w:r>
      <w:r w:rsidR="00C46347" w:rsidRPr="003336D2">
        <w:rPr>
          <w:rFonts w:cs="Arial"/>
          <w:lang w:val="en-CA"/>
        </w:rPr>
        <w:t>para.</w:t>
      </w:r>
      <w:r w:rsidRPr="003336D2">
        <w:rPr>
          <w:rFonts w:cs="Arial"/>
          <w:lang w:val="en-CA"/>
        </w:rPr>
        <w:t xml:space="preserve"> 65.</w:t>
      </w:r>
    </w:p>
  </w:footnote>
  <w:footnote w:id="112">
    <w:p w14:paraId="48DA738E" w14:textId="77777777" w:rsidR="00276A1F" w:rsidRPr="003336D2" w:rsidRDefault="00276A1F" w:rsidP="00756494">
      <w:pPr>
        <w:pStyle w:val="Notedebasdepage"/>
        <w:ind w:left="284" w:hanging="284"/>
        <w:rPr>
          <w:rFonts w:cs="Arial"/>
          <w:lang w:val="en-CA"/>
        </w:rPr>
      </w:pPr>
      <w:r w:rsidRPr="003336D2">
        <w:rPr>
          <w:rStyle w:val="Appelnotedebasdep"/>
          <w:rFonts w:cs="Arial"/>
          <w:lang w:val="en-CA"/>
        </w:rPr>
        <w:footnoteRef/>
      </w:r>
      <w:r w:rsidRPr="003336D2">
        <w:rPr>
          <w:rFonts w:cs="Arial"/>
          <w:lang w:val="en-CA"/>
        </w:rPr>
        <w:tab/>
      </w:r>
      <w:r w:rsidRPr="003336D2">
        <w:rPr>
          <w:rFonts w:cs="Arial"/>
          <w:i/>
          <w:iCs/>
          <w:lang w:val="en-CA"/>
        </w:rPr>
        <w:t>Ibid.</w:t>
      </w:r>
    </w:p>
  </w:footnote>
  <w:footnote w:id="113">
    <w:p w14:paraId="7F8FEF2A" w14:textId="078D5CA6" w:rsidR="00276A1F" w:rsidRPr="003336D2" w:rsidRDefault="00276A1F" w:rsidP="00756494">
      <w:pPr>
        <w:pStyle w:val="Notedebasdepage"/>
        <w:ind w:left="284" w:hanging="284"/>
        <w:rPr>
          <w:rFonts w:cs="Arial"/>
          <w:lang w:val="en-CA"/>
        </w:rPr>
      </w:pPr>
      <w:r w:rsidRPr="003336D2">
        <w:rPr>
          <w:rStyle w:val="Appelnotedebasdep"/>
          <w:rFonts w:cs="Arial"/>
          <w:lang w:val="en-CA"/>
        </w:rPr>
        <w:footnoteRef/>
      </w:r>
      <w:r w:rsidRPr="003336D2">
        <w:rPr>
          <w:rFonts w:cs="Arial"/>
          <w:lang w:val="en-CA"/>
        </w:rPr>
        <w:tab/>
      </w:r>
      <w:r w:rsidR="00622A42" w:rsidRPr="003336D2">
        <w:rPr>
          <w:rFonts w:cs="Arial"/>
          <w:lang w:val="en-CA"/>
        </w:rPr>
        <w:t>See, e.g.,</w:t>
      </w:r>
      <w:r w:rsidRPr="003336D2">
        <w:rPr>
          <w:rFonts w:cs="Arial"/>
          <w:lang w:val="en-CA"/>
        </w:rPr>
        <w:t xml:space="preserve">: </w:t>
      </w:r>
      <w:r w:rsidRPr="003336D2">
        <w:rPr>
          <w:rFonts w:cs="Arial"/>
          <w:i/>
          <w:iCs/>
          <w:lang w:val="en-CA"/>
        </w:rPr>
        <w:t>R. c. D.V.</w:t>
      </w:r>
      <w:r w:rsidRPr="003336D2">
        <w:rPr>
          <w:rFonts w:cs="Arial"/>
          <w:lang w:val="en-CA"/>
        </w:rPr>
        <w:t xml:space="preserve">, 2003 CanLII 47924 (QC CA), </w:t>
      </w:r>
      <w:r w:rsidR="00C46347" w:rsidRPr="003336D2">
        <w:rPr>
          <w:rFonts w:cs="Arial"/>
          <w:lang w:val="en-CA"/>
        </w:rPr>
        <w:t>para.</w:t>
      </w:r>
      <w:r w:rsidRPr="003336D2">
        <w:rPr>
          <w:rFonts w:cs="Arial"/>
          <w:lang w:val="en-CA"/>
        </w:rPr>
        <w:t xml:space="preserve"> 60;</w:t>
      </w:r>
      <w:r w:rsidRPr="003336D2">
        <w:rPr>
          <w:lang w:val="en-CA"/>
        </w:rPr>
        <w:t xml:space="preserve"> </w:t>
      </w:r>
      <w:r w:rsidRPr="003336D2">
        <w:rPr>
          <w:i/>
          <w:iCs/>
          <w:lang w:val="en-CA"/>
        </w:rPr>
        <w:t>R. v. S.G</w:t>
      </w:r>
      <w:r w:rsidRPr="003336D2">
        <w:rPr>
          <w:lang w:val="en-CA"/>
        </w:rPr>
        <w:t xml:space="preserve">., 2022 ONCA 727, </w:t>
      </w:r>
      <w:r w:rsidR="00C46347" w:rsidRPr="003336D2">
        <w:rPr>
          <w:lang w:val="en-CA"/>
        </w:rPr>
        <w:t>para.</w:t>
      </w:r>
      <w:r w:rsidRPr="003336D2">
        <w:rPr>
          <w:lang w:val="en-CA"/>
        </w:rPr>
        <w:t xml:space="preserve"> 43; </w:t>
      </w:r>
      <w:r w:rsidRPr="003336D2">
        <w:rPr>
          <w:i/>
          <w:iCs/>
          <w:lang w:val="en-CA"/>
        </w:rPr>
        <w:t>R. v. Greif</w:t>
      </w:r>
      <w:r w:rsidRPr="003336D2">
        <w:rPr>
          <w:lang w:val="en-CA"/>
        </w:rPr>
        <w:t>, 2021 BCCA 187 (</w:t>
      </w:r>
      <w:r w:rsidR="00622A42" w:rsidRPr="003336D2">
        <w:rPr>
          <w:lang w:val="en-CA"/>
        </w:rPr>
        <w:t>application for leave to app</w:t>
      </w:r>
      <w:r w:rsidR="003336D2">
        <w:rPr>
          <w:lang w:val="en-CA"/>
        </w:rPr>
        <w:t>eal to the Supreme Court dismissed</w:t>
      </w:r>
      <w:r w:rsidRPr="003336D2">
        <w:rPr>
          <w:lang w:val="en-CA"/>
        </w:rPr>
        <w:t xml:space="preserve">, </w:t>
      </w:r>
      <w:r w:rsidR="003336D2">
        <w:rPr>
          <w:lang w:val="en-CA"/>
        </w:rPr>
        <w:t>November 4,</w:t>
      </w:r>
      <w:r w:rsidRPr="003336D2">
        <w:rPr>
          <w:lang w:val="en-CA"/>
        </w:rPr>
        <w:t xml:space="preserve"> 2021, </w:t>
      </w:r>
      <w:r w:rsidR="003336D2">
        <w:rPr>
          <w:lang w:val="en-CA"/>
        </w:rPr>
        <w:t>no.</w:t>
      </w:r>
      <w:r w:rsidRPr="003336D2">
        <w:rPr>
          <w:lang w:val="en-CA"/>
        </w:rPr>
        <w:t xml:space="preserve"> 39689), </w:t>
      </w:r>
      <w:r w:rsidR="00C46347" w:rsidRPr="003336D2">
        <w:rPr>
          <w:lang w:val="en-CA"/>
        </w:rPr>
        <w:t>para.</w:t>
      </w:r>
      <w:r w:rsidRPr="003336D2">
        <w:rPr>
          <w:lang w:val="en-CA"/>
        </w:rPr>
        <w:t xml:space="preserve"> 63</w:t>
      </w:r>
      <w:r w:rsidRPr="003336D2">
        <w:rPr>
          <w:rFonts w:cs="Arial"/>
          <w:lang w:val="en-CA"/>
        </w:rPr>
        <w:t>.</w:t>
      </w:r>
    </w:p>
  </w:footnote>
  <w:footnote w:id="114">
    <w:p w14:paraId="4FD723A1" w14:textId="199A2CEA" w:rsidR="00276A1F" w:rsidRPr="00622A42" w:rsidRDefault="00276A1F" w:rsidP="00756494">
      <w:pPr>
        <w:pStyle w:val="Notedebasdepage"/>
        <w:ind w:left="284" w:hanging="284"/>
        <w:rPr>
          <w:rFonts w:cs="Arial"/>
          <w:lang w:val="en-CA"/>
        </w:rPr>
      </w:pPr>
      <w:r w:rsidRPr="00622A42">
        <w:rPr>
          <w:rStyle w:val="Appelnotedebasdep"/>
          <w:rFonts w:cs="Arial"/>
          <w:lang w:val="en-CA"/>
        </w:rPr>
        <w:footnoteRef/>
      </w:r>
      <w:r w:rsidRPr="00622A42">
        <w:rPr>
          <w:rFonts w:cs="Arial"/>
          <w:lang w:val="en-CA"/>
        </w:rPr>
        <w:tab/>
      </w:r>
      <w:r w:rsidR="003336D2">
        <w:rPr>
          <w:rFonts w:cs="Arial"/>
          <w:lang w:val="en-CA"/>
        </w:rPr>
        <w:t>Judgment under appeal</w:t>
      </w:r>
      <w:r w:rsidRPr="00622A42">
        <w:rPr>
          <w:rFonts w:cs="Arial"/>
          <w:lang w:val="en-CA"/>
        </w:rPr>
        <w:t>, p. 13.</w:t>
      </w:r>
    </w:p>
  </w:footnote>
  <w:footnote w:id="115">
    <w:p w14:paraId="0B7EBD9E" w14:textId="0B6BAD2C" w:rsidR="00276A1F" w:rsidRPr="00622A42" w:rsidRDefault="00276A1F" w:rsidP="00756494">
      <w:pPr>
        <w:pStyle w:val="Notedebasdepage"/>
        <w:ind w:left="284" w:hanging="284"/>
        <w:rPr>
          <w:rFonts w:cs="Arial"/>
          <w:lang w:val="en-CA"/>
        </w:rPr>
      </w:pPr>
      <w:r w:rsidRPr="00622A42">
        <w:rPr>
          <w:rStyle w:val="Appelnotedebasdep"/>
          <w:rFonts w:cs="Arial"/>
          <w:lang w:val="en-CA"/>
        </w:rPr>
        <w:footnoteRef/>
      </w:r>
      <w:r w:rsidRPr="00622A42">
        <w:rPr>
          <w:rFonts w:cs="Arial"/>
          <w:lang w:val="en-CA"/>
        </w:rPr>
        <w:tab/>
      </w:r>
      <w:r w:rsidR="00BF573B" w:rsidRPr="00BF573B">
        <w:rPr>
          <w:rFonts w:cs="Arial"/>
          <w:lang w:val="en-CA"/>
        </w:rPr>
        <w:t>It should be added that any lingering doubt as to the scope of the generali</w:t>
      </w:r>
      <w:r w:rsidR="00BF573B">
        <w:rPr>
          <w:rFonts w:cs="Arial"/>
          <w:lang w:val="en-CA"/>
        </w:rPr>
        <w:t>z</w:t>
      </w:r>
      <w:r w:rsidR="00BF573B" w:rsidRPr="00BF573B">
        <w:rPr>
          <w:rFonts w:cs="Arial"/>
          <w:lang w:val="en-CA"/>
        </w:rPr>
        <w:t>ation to which the judge may have resorted should be resolved in favour of the respondent</w:t>
      </w:r>
      <w:r w:rsidRPr="00622A42">
        <w:rPr>
          <w:rFonts w:cs="Arial"/>
          <w:lang w:val="en-CA"/>
        </w:rPr>
        <w:t xml:space="preserve">: </w:t>
      </w:r>
      <w:r w:rsidR="00BF573B">
        <w:rPr>
          <w:rFonts w:cs="Arial"/>
          <w:lang w:val="en-CA"/>
        </w:rPr>
        <w:t>“</w:t>
      </w:r>
      <w:r w:rsidR="00BF573B" w:rsidRPr="00BF573B">
        <w:rPr>
          <w:rFonts w:cs="Arial"/>
          <w:lang w:val="en-CA"/>
        </w:rPr>
        <w:t>Where all that can be said is a trial judge may or might have erred, the appellant has not discharged their burden to show actual error or the frustration of appellate review. Where ambiguities in a trial judge’s reasons are open to multiple interpretations, those that are consistent with the presumption of correct application must be preferred over those that suggest error: R. v. C.L.Y., 2008 SCC 2, [2008] 1 S.C.R. 5, at paras. 10-12, citing R. v. Morrissey (1995), 22 O.R. (3d) 514 (C.A.), at pp. 523-25</w:t>
      </w:r>
      <w:r w:rsidR="00BF573B">
        <w:rPr>
          <w:rFonts w:cs="Arial"/>
          <w:lang w:val="en-CA"/>
        </w:rPr>
        <w:t>”</w:t>
      </w:r>
      <w:r w:rsidRPr="00622A42">
        <w:rPr>
          <w:rFonts w:cs="Arial"/>
          <w:lang w:val="en-CA"/>
        </w:rPr>
        <w:t>: (</w:t>
      </w:r>
      <w:r w:rsidRPr="00622A42">
        <w:rPr>
          <w:rFonts w:cs="Arial"/>
          <w:i/>
          <w:iCs/>
          <w:lang w:val="en-CA"/>
        </w:rPr>
        <w:t xml:space="preserve">R. </w:t>
      </w:r>
      <w:r w:rsidR="00BF573B">
        <w:rPr>
          <w:rFonts w:cs="Arial"/>
          <w:i/>
          <w:iCs/>
          <w:lang w:val="en-CA"/>
        </w:rPr>
        <w:t>v</w:t>
      </w:r>
      <w:r w:rsidRPr="00622A42">
        <w:rPr>
          <w:rFonts w:cs="Arial"/>
          <w:i/>
          <w:iCs/>
          <w:lang w:val="en-CA"/>
        </w:rPr>
        <w:t>. G.F.</w:t>
      </w:r>
      <w:r w:rsidRPr="00622A42">
        <w:rPr>
          <w:rFonts w:cs="Arial"/>
          <w:lang w:val="en-CA"/>
        </w:rPr>
        <w:t xml:space="preserve">, 2021 </w:t>
      </w:r>
      <w:r w:rsidR="00B131F0" w:rsidRPr="00622A42">
        <w:rPr>
          <w:rFonts w:cs="Arial"/>
          <w:lang w:val="en-CA"/>
        </w:rPr>
        <w:t>SCC</w:t>
      </w:r>
      <w:r w:rsidRPr="00622A42">
        <w:rPr>
          <w:rFonts w:cs="Arial"/>
          <w:lang w:val="en-CA"/>
        </w:rPr>
        <w:t xml:space="preserve"> 20, </w:t>
      </w:r>
      <w:r w:rsidR="00C46347" w:rsidRPr="00622A42">
        <w:rPr>
          <w:rFonts w:cs="Arial"/>
          <w:lang w:val="en-CA"/>
        </w:rPr>
        <w:t>para.</w:t>
      </w:r>
      <w:r w:rsidRPr="00622A42">
        <w:rPr>
          <w:rFonts w:cs="Arial"/>
          <w:lang w:val="en-CA"/>
        </w:rPr>
        <w:t xml:space="preserve"> 79).</w:t>
      </w:r>
    </w:p>
  </w:footnote>
  <w:footnote w:id="116">
    <w:p w14:paraId="183D1FFB" w14:textId="13D27582" w:rsidR="00276A1F" w:rsidRPr="00622A42" w:rsidRDefault="00276A1F" w:rsidP="00756494">
      <w:pPr>
        <w:pStyle w:val="Notedebasdepage"/>
        <w:ind w:left="284" w:hanging="284"/>
        <w:rPr>
          <w:rFonts w:cs="Arial"/>
          <w:lang w:val="en-CA"/>
        </w:rPr>
      </w:pPr>
      <w:r w:rsidRPr="00622A42">
        <w:rPr>
          <w:rStyle w:val="Appelnotedebasdep"/>
          <w:rFonts w:cs="Arial"/>
          <w:lang w:val="en-CA"/>
        </w:rPr>
        <w:footnoteRef/>
      </w:r>
      <w:r w:rsidRPr="00622A42">
        <w:rPr>
          <w:rFonts w:cs="Arial"/>
          <w:lang w:val="en-CA"/>
        </w:rPr>
        <w:tab/>
      </w:r>
      <w:r w:rsidRPr="00622A42">
        <w:rPr>
          <w:rFonts w:cs="Arial"/>
          <w:i/>
          <w:iCs/>
          <w:lang w:val="en-CA"/>
        </w:rPr>
        <w:t xml:space="preserve">R. </w:t>
      </w:r>
      <w:r w:rsidR="00BF573B">
        <w:rPr>
          <w:rFonts w:cs="Arial"/>
          <w:i/>
          <w:iCs/>
          <w:lang w:val="en-CA"/>
        </w:rPr>
        <w:t>v</w:t>
      </w:r>
      <w:r w:rsidRPr="00622A42">
        <w:rPr>
          <w:rFonts w:cs="Arial"/>
          <w:i/>
          <w:iCs/>
          <w:lang w:val="en-CA"/>
        </w:rPr>
        <w:t>. Kruk</w:t>
      </w:r>
      <w:r w:rsidRPr="00622A42">
        <w:rPr>
          <w:rFonts w:cs="Arial"/>
          <w:lang w:val="en-CA"/>
        </w:rPr>
        <w:t xml:space="preserve">, 2024 </w:t>
      </w:r>
      <w:r w:rsidR="00B131F0" w:rsidRPr="00622A42">
        <w:rPr>
          <w:rFonts w:cs="Arial"/>
          <w:lang w:val="en-CA"/>
        </w:rPr>
        <w:t>SCC</w:t>
      </w:r>
      <w:r w:rsidRPr="00622A42">
        <w:rPr>
          <w:rFonts w:cs="Arial"/>
          <w:lang w:val="en-CA"/>
        </w:rPr>
        <w:t xml:space="preserve"> 7, </w:t>
      </w:r>
      <w:r w:rsidR="00C46347" w:rsidRPr="00622A42">
        <w:rPr>
          <w:rFonts w:cs="Arial"/>
          <w:lang w:val="en-CA"/>
        </w:rPr>
        <w:t>para</w:t>
      </w:r>
      <w:r w:rsidR="00BF573B">
        <w:rPr>
          <w:rFonts w:cs="Arial"/>
          <w:lang w:val="en-CA"/>
        </w:rPr>
        <w:t>s</w:t>
      </w:r>
      <w:r w:rsidR="00C46347" w:rsidRPr="00622A42">
        <w:rPr>
          <w:rFonts w:cs="Arial"/>
          <w:lang w:val="en-CA"/>
        </w:rPr>
        <w:t>.</w:t>
      </w:r>
      <w:r w:rsidRPr="00622A42">
        <w:rPr>
          <w:rFonts w:cs="Arial"/>
          <w:lang w:val="en-CA"/>
        </w:rPr>
        <w:t xml:space="preserve"> 29 </w:t>
      </w:r>
      <w:r w:rsidR="00F579A6">
        <w:rPr>
          <w:rFonts w:cs="Arial"/>
          <w:lang w:val="en-CA"/>
        </w:rPr>
        <w:t>et seq.</w:t>
      </w:r>
    </w:p>
  </w:footnote>
  <w:footnote w:id="117">
    <w:p w14:paraId="7C00A1E4" w14:textId="39E40301" w:rsidR="00276A1F" w:rsidRPr="00E92A34" w:rsidRDefault="00276A1F" w:rsidP="00756494">
      <w:pPr>
        <w:pStyle w:val="Notedebasdepage"/>
        <w:ind w:left="284" w:hanging="284"/>
        <w:rPr>
          <w:rFonts w:cs="Arial"/>
        </w:rPr>
      </w:pPr>
      <w:r w:rsidRPr="0082385B">
        <w:rPr>
          <w:rStyle w:val="Appelnotedebasdep"/>
          <w:rFonts w:cs="Arial"/>
        </w:rPr>
        <w:footnoteRef/>
      </w:r>
      <w:r w:rsidRPr="00E92A34">
        <w:rPr>
          <w:rFonts w:cs="Arial"/>
        </w:rPr>
        <w:tab/>
      </w:r>
      <w:r w:rsidRPr="00E92A34">
        <w:rPr>
          <w:rFonts w:cs="Arial"/>
          <w:i/>
          <w:iCs/>
        </w:rPr>
        <w:t>Id.</w:t>
      </w:r>
      <w:r w:rsidRPr="00E92A34">
        <w:rPr>
          <w:rFonts w:cs="Arial"/>
        </w:rPr>
        <w:t xml:space="preserve">, </w:t>
      </w:r>
      <w:r w:rsidR="00C46347">
        <w:rPr>
          <w:rFonts w:cs="Arial"/>
        </w:rPr>
        <w:t>para</w:t>
      </w:r>
      <w:r w:rsidR="00622A42">
        <w:rPr>
          <w:rFonts w:cs="Arial"/>
        </w:rPr>
        <w:t>s</w:t>
      </w:r>
      <w:r w:rsidR="00C46347">
        <w:rPr>
          <w:rFonts w:cs="Arial"/>
        </w:rPr>
        <w:t>.</w:t>
      </w:r>
      <w:r w:rsidRPr="00E92A34">
        <w:rPr>
          <w:rFonts w:cs="Arial"/>
        </w:rPr>
        <w:t xml:space="preserve"> 94-99.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E9939" w14:textId="3BF356AA" w:rsidR="007E33E4" w:rsidRDefault="00276A1F" w:rsidP="00DB2119">
    <w:pPr>
      <w:tabs>
        <w:tab w:val="center" w:pos="4709"/>
        <w:tab w:val="right" w:pos="9360"/>
      </w:tabs>
      <w:spacing w:line="360" w:lineRule="auto"/>
      <w:ind w:right="524"/>
    </w:pPr>
    <w:bookmarkStart w:id="11" w:name="EntDossier"/>
    <w:r>
      <w:t>500-10-700053-232</w:t>
    </w:r>
    <w:bookmarkEnd w:id="11"/>
    <w:r w:rsidRPr="007462D6">
      <w:t xml:space="preserve"> </w:t>
    </w:r>
    <w:r>
      <w:tab/>
    </w:r>
    <w:r>
      <w:tab/>
      <w:t xml:space="preserve">PAGE : </w:t>
    </w:r>
    <w:r>
      <w:fldChar w:fldCharType="begin"/>
    </w:r>
    <w:r>
      <w:instrText xml:space="preserve"> PAGE </w:instrText>
    </w:r>
    <w:r>
      <w:fldChar w:fldCharType="separate"/>
    </w:r>
    <w:r>
      <w:t>3</w:t>
    </w:r>
    <w:r>
      <w:fldChar w:fldCharType="end"/>
    </w:r>
  </w:p>
  <w:p w14:paraId="2479168C" w14:textId="77777777" w:rsidR="007E33E4" w:rsidRDefault="007E33E4" w:rsidP="00DB2119">
    <w:pPr>
      <w:tabs>
        <w:tab w:val="center" w:pos="4709"/>
        <w:tab w:val="right" w:pos="9360"/>
      </w:tabs>
      <w:spacing w:line="360" w:lineRule="auto"/>
      <w:ind w:right="52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FB37F" w14:textId="77777777" w:rsidR="00276A1F" w:rsidRDefault="00276A1F" w:rsidP="00F03312">
    <w:pPr>
      <w:tabs>
        <w:tab w:val="center" w:pos="4709"/>
        <w:tab w:val="right" w:pos="9360"/>
      </w:tabs>
      <w:spacing w:line="360" w:lineRule="auto"/>
      <w:ind w:right="524"/>
    </w:pPr>
    <w:r>
      <w:t>500-10-700053-232</w:t>
    </w:r>
    <w:r w:rsidRPr="007462D6">
      <w:t xml:space="preserve"> </w:t>
    </w:r>
    <w:r>
      <w:tab/>
    </w:r>
    <w:r>
      <w:tab/>
      <w:t xml:space="preserve">PAGE : </w:t>
    </w:r>
    <w:r>
      <w:fldChar w:fldCharType="begin"/>
    </w:r>
    <w:r>
      <w:instrText xml:space="preserve"> PAGE </w:instrText>
    </w:r>
    <w:r>
      <w:fldChar w:fldCharType="separate"/>
    </w:r>
    <w:r>
      <w:t>2</w:t>
    </w:r>
    <w:r>
      <w:fldChar w:fldCharType="end"/>
    </w:r>
  </w:p>
  <w:p w14:paraId="6FA5D8CA" w14:textId="77777777" w:rsidR="00276A1F" w:rsidRDefault="00276A1F" w:rsidP="00F03312">
    <w:pPr>
      <w:tabs>
        <w:tab w:val="center" w:pos="4709"/>
        <w:tab w:val="right" w:pos="9360"/>
      </w:tabs>
      <w:spacing w:line="360" w:lineRule="auto"/>
      <w:ind w:right="52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5B2EE" w14:textId="77777777" w:rsidR="00276A1F" w:rsidRDefault="00276A1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34E0" w14:textId="77777777" w:rsidR="00276A1F" w:rsidRDefault="00276A1F" w:rsidP="000E3D8B">
    <w:pPr>
      <w:tabs>
        <w:tab w:val="center" w:pos="4709"/>
        <w:tab w:val="right" w:pos="9360"/>
      </w:tabs>
      <w:spacing w:line="360" w:lineRule="auto"/>
      <w:ind w:right="524"/>
    </w:pPr>
    <w:r>
      <w:t>500-10-700053-232</w:t>
    </w:r>
    <w:r w:rsidRPr="007462D6">
      <w:t xml:space="preserve"> </w:t>
    </w:r>
    <w:r>
      <w:tab/>
    </w:r>
    <w:r>
      <w:tab/>
      <w:t xml:space="preserve">PAGE : </w:t>
    </w:r>
    <w:r>
      <w:fldChar w:fldCharType="begin"/>
    </w:r>
    <w:r>
      <w:instrText xml:space="preserve"> PAGE </w:instrText>
    </w:r>
    <w:r>
      <w:fldChar w:fldCharType="separate"/>
    </w:r>
    <w:r>
      <w:t>30</w:t>
    </w:r>
    <w:r>
      <w:fldChar w:fldCharType="end"/>
    </w:r>
  </w:p>
  <w:p w14:paraId="55486910" w14:textId="77777777" w:rsidR="00276A1F" w:rsidRDefault="00276A1F" w:rsidP="000E3D8B">
    <w:pPr>
      <w:tabs>
        <w:tab w:val="center" w:pos="4709"/>
        <w:tab w:val="right" w:pos="9360"/>
      </w:tabs>
      <w:spacing w:line="360" w:lineRule="auto"/>
      <w:ind w:right="52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FD3CC" w14:textId="77777777" w:rsidR="00276A1F" w:rsidRDefault="00276A1F">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B0AC" w14:textId="77777777" w:rsidR="007E33E4" w:rsidRDefault="00276A1F" w:rsidP="00DB2119">
    <w:pPr>
      <w:tabs>
        <w:tab w:val="center" w:pos="4709"/>
        <w:tab w:val="right" w:pos="9360"/>
      </w:tabs>
      <w:spacing w:line="360" w:lineRule="auto"/>
      <w:ind w:right="524"/>
    </w:pPr>
    <w:r>
      <w:t>500-10-700053-232</w:t>
    </w:r>
    <w:r w:rsidRPr="007462D6">
      <w:t xml:space="preserve"> </w:t>
    </w:r>
    <w:r>
      <w:tab/>
    </w:r>
    <w:r>
      <w:tab/>
      <w:t xml:space="preserve">PAGE : </w:t>
    </w:r>
    <w:r>
      <w:fldChar w:fldCharType="begin"/>
    </w:r>
    <w:r>
      <w:instrText xml:space="preserve"> PAGE </w:instrText>
    </w:r>
    <w:r>
      <w:fldChar w:fldCharType="separate"/>
    </w:r>
    <w:r>
      <w:t>44</w:t>
    </w:r>
    <w:r>
      <w:fldChar w:fldCharType="end"/>
    </w:r>
  </w:p>
  <w:p w14:paraId="1BC26EC2" w14:textId="77777777" w:rsidR="007E33E4" w:rsidRDefault="007E33E4" w:rsidP="00DB2119">
    <w:pPr>
      <w:tabs>
        <w:tab w:val="center" w:pos="4709"/>
        <w:tab w:val="right" w:pos="9360"/>
      </w:tabs>
      <w:spacing w:line="360" w:lineRule="auto"/>
      <w:ind w:right="5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0E1E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12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2647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1C3B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EAB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21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07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6436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CE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34AE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BB52DE"/>
    <w:multiLevelType w:val="multilevel"/>
    <w:tmpl w:val="5EF44748"/>
    <w:lvl w:ilvl="0">
      <w:start w:val="1"/>
      <w:numFmt w:val="decimal"/>
      <w:pStyle w:val="Paragraphe"/>
      <w:lvlText w:val="[%1]"/>
      <w:lvlJc w:val="left"/>
      <w:pPr>
        <w:tabs>
          <w:tab w:val="num" w:pos="720"/>
        </w:tabs>
        <w:ind w:left="0" w:firstLine="0"/>
      </w:pPr>
      <w:rPr>
        <w:rFonts w:hint="default"/>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4A9D1B84"/>
    <w:multiLevelType w:val="multilevel"/>
    <w:tmpl w:val="2766DEE4"/>
    <w:lvl w:ilvl="0">
      <w:start w:val="1"/>
      <w:numFmt w:val="bullet"/>
      <w:lvlText w:val=""/>
      <w:lvlJc w:val="left"/>
      <w:pPr>
        <w:tabs>
          <w:tab w:val="num" w:pos="792"/>
        </w:tabs>
        <w:ind w:left="792" w:hanging="72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609C0DCC"/>
    <w:multiLevelType w:val="multilevel"/>
    <w:tmpl w:val="F11C8164"/>
    <w:lvl w:ilvl="0">
      <w:start w:val="1"/>
      <w:numFmt w:val="decimal"/>
      <w:lvlText w:val="[%1]"/>
      <w:lvlJc w:val="left"/>
      <w:pPr>
        <w:tabs>
          <w:tab w:val="num" w:pos="360"/>
        </w:tabs>
        <w:ind w:left="0" w:firstLine="0"/>
      </w:pPr>
      <w:rPr>
        <w:rFonts w:ascii="Arial" w:hAnsi="Arial"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1814299141">
    <w:abstractNumId w:val="12"/>
  </w:num>
  <w:num w:numId="2" w16cid:durableId="1169714426">
    <w:abstractNumId w:val="12"/>
  </w:num>
  <w:num w:numId="3" w16cid:durableId="395975004">
    <w:abstractNumId w:val="12"/>
  </w:num>
  <w:num w:numId="4" w16cid:durableId="1091780497">
    <w:abstractNumId w:val="8"/>
  </w:num>
  <w:num w:numId="5" w16cid:durableId="377710215">
    <w:abstractNumId w:val="3"/>
  </w:num>
  <w:num w:numId="6" w16cid:durableId="1809518578">
    <w:abstractNumId w:val="2"/>
  </w:num>
  <w:num w:numId="7" w16cid:durableId="941884024">
    <w:abstractNumId w:val="1"/>
  </w:num>
  <w:num w:numId="8" w16cid:durableId="1987389001">
    <w:abstractNumId w:val="0"/>
  </w:num>
  <w:num w:numId="9" w16cid:durableId="419644618">
    <w:abstractNumId w:val="9"/>
  </w:num>
  <w:num w:numId="10" w16cid:durableId="1628048458">
    <w:abstractNumId w:val="7"/>
  </w:num>
  <w:num w:numId="11" w16cid:durableId="2045446335">
    <w:abstractNumId w:val="6"/>
  </w:num>
  <w:num w:numId="12" w16cid:durableId="976951586">
    <w:abstractNumId w:val="5"/>
  </w:num>
  <w:num w:numId="13" w16cid:durableId="1303734972">
    <w:abstractNumId w:val="4"/>
  </w:num>
  <w:num w:numId="14" w16cid:durableId="1977681808">
    <w:abstractNumId w:val="12"/>
  </w:num>
  <w:num w:numId="15" w16cid:durableId="1796676187">
    <w:abstractNumId w:val="12"/>
  </w:num>
  <w:num w:numId="16" w16cid:durableId="1702508846">
    <w:abstractNumId w:val="12"/>
  </w:num>
  <w:num w:numId="17" w16cid:durableId="1007561502">
    <w:abstractNumId w:val="11"/>
  </w:num>
  <w:num w:numId="18" w16cid:durableId="426315273">
    <w:abstractNumId w:val="10"/>
  </w:num>
  <w:num w:numId="19" w16cid:durableId="2036075680">
    <w:abstractNumId w:val="10"/>
  </w:num>
  <w:num w:numId="20" w16cid:durableId="500317571">
    <w:abstractNumId w:val="10"/>
  </w:num>
  <w:num w:numId="21" w16cid:durableId="587420673">
    <w:abstractNumId w:val="10"/>
  </w:num>
  <w:num w:numId="22" w16cid:durableId="246767514">
    <w:abstractNumId w:val="10"/>
  </w:num>
  <w:num w:numId="23" w16cid:durableId="13189992">
    <w:abstractNumId w:val="10"/>
  </w:num>
  <w:num w:numId="24" w16cid:durableId="653413046">
    <w:abstractNumId w:val="10"/>
  </w:num>
  <w:num w:numId="25" w16cid:durableId="1106117193">
    <w:abstractNumId w:val="10"/>
  </w:num>
  <w:num w:numId="26" w16cid:durableId="681206885">
    <w:abstractNumId w:val="10"/>
  </w:num>
  <w:num w:numId="27" w16cid:durableId="916673162">
    <w:abstractNumId w:val="10"/>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63221062">
    <w:abstractNumId w:val="10"/>
  </w:num>
  <w:num w:numId="29" w16cid:durableId="12278836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126"/>
    <w:rsid w:val="00004270"/>
    <w:rsid w:val="000131E1"/>
    <w:rsid w:val="0004394C"/>
    <w:rsid w:val="00053691"/>
    <w:rsid w:val="000560A4"/>
    <w:rsid w:val="00073B2C"/>
    <w:rsid w:val="000742B1"/>
    <w:rsid w:val="00081094"/>
    <w:rsid w:val="00081571"/>
    <w:rsid w:val="00082D97"/>
    <w:rsid w:val="0008440D"/>
    <w:rsid w:val="000A7516"/>
    <w:rsid w:val="000B42AF"/>
    <w:rsid w:val="000B7F61"/>
    <w:rsid w:val="000C44AC"/>
    <w:rsid w:val="000E4C32"/>
    <w:rsid w:val="000E73A2"/>
    <w:rsid w:val="000F046F"/>
    <w:rsid w:val="000F5E4E"/>
    <w:rsid w:val="00110B53"/>
    <w:rsid w:val="00112321"/>
    <w:rsid w:val="00113A20"/>
    <w:rsid w:val="00117914"/>
    <w:rsid w:val="0013028C"/>
    <w:rsid w:val="00144073"/>
    <w:rsid w:val="00152D75"/>
    <w:rsid w:val="00153EC2"/>
    <w:rsid w:val="00154D0B"/>
    <w:rsid w:val="0015610F"/>
    <w:rsid w:val="00160B31"/>
    <w:rsid w:val="0016298D"/>
    <w:rsid w:val="00165E51"/>
    <w:rsid w:val="00166718"/>
    <w:rsid w:val="00166FAF"/>
    <w:rsid w:val="001710A2"/>
    <w:rsid w:val="00181F56"/>
    <w:rsid w:val="00183B45"/>
    <w:rsid w:val="00190FA7"/>
    <w:rsid w:val="0019159F"/>
    <w:rsid w:val="001972F2"/>
    <w:rsid w:val="001A7727"/>
    <w:rsid w:val="001B50BA"/>
    <w:rsid w:val="001C0FB0"/>
    <w:rsid w:val="001C2CA9"/>
    <w:rsid w:val="001D2AD5"/>
    <w:rsid w:val="001D69C5"/>
    <w:rsid w:val="001E1612"/>
    <w:rsid w:val="001E4E7D"/>
    <w:rsid w:val="001E5300"/>
    <w:rsid w:val="001F37FA"/>
    <w:rsid w:val="001F5BCD"/>
    <w:rsid w:val="001F5DFA"/>
    <w:rsid w:val="00205DC4"/>
    <w:rsid w:val="00210631"/>
    <w:rsid w:val="00211FC2"/>
    <w:rsid w:val="0021511A"/>
    <w:rsid w:val="0021548E"/>
    <w:rsid w:val="00222F92"/>
    <w:rsid w:val="002273F5"/>
    <w:rsid w:val="002274E4"/>
    <w:rsid w:val="0023007F"/>
    <w:rsid w:val="0023385E"/>
    <w:rsid w:val="00235A66"/>
    <w:rsid w:val="002433C2"/>
    <w:rsid w:val="00247FB8"/>
    <w:rsid w:val="00262EBB"/>
    <w:rsid w:val="00270241"/>
    <w:rsid w:val="002733D6"/>
    <w:rsid w:val="00276A1F"/>
    <w:rsid w:val="00286A33"/>
    <w:rsid w:val="00296793"/>
    <w:rsid w:val="0029681C"/>
    <w:rsid w:val="002A18C6"/>
    <w:rsid w:val="002A6347"/>
    <w:rsid w:val="002B0303"/>
    <w:rsid w:val="002B4A07"/>
    <w:rsid w:val="002B72D8"/>
    <w:rsid w:val="002C0366"/>
    <w:rsid w:val="002C0DD9"/>
    <w:rsid w:val="002C4107"/>
    <w:rsid w:val="002C504B"/>
    <w:rsid w:val="002D610A"/>
    <w:rsid w:val="002E1F0E"/>
    <w:rsid w:val="002E229C"/>
    <w:rsid w:val="002E51F1"/>
    <w:rsid w:val="002E5F59"/>
    <w:rsid w:val="002F1350"/>
    <w:rsid w:val="002F3A52"/>
    <w:rsid w:val="002F535F"/>
    <w:rsid w:val="002F6136"/>
    <w:rsid w:val="002F70F5"/>
    <w:rsid w:val="00300AA0"/>
    <w:rsid w:val="003011AB"/>
    <w:rsid w:val="00312F2F"/>
    <w:rsid w:val="003143A5"/>
    <w:rsid w:val="00321AE8"/>
    <w:rsid w:val="00322DE0"/>
    <w:rsid w:val="0032363D"/>
    <w:rsid w:val="0033190E"/>
    <w:rsid w:val="003336D2"/>
    <w:rsid w:val="00345CB6"/>
    <w:rsid w:val="00346826"/>
    <w:rsid w:val="00355BD6"/>
    <w:rsid w:val="00361325"/>
    <w:rsid w:val="00371150"/>
    <w:rsid w:val="00374888"/>
    <w:rsid w:val="00374E40"/>
    <w:rsid w:val="00380F88"/>
    <w:rsid w:val="00393540"/>
    <w:rsid w:val="0039724D"/>
    <w:rsid w:val="003A4F5B"/>
    <w:rsid w:val="003A73B0"/>
    <w:rsid w:val="003B0732"/>
    <w:rsid w:val="003D487D"/>
    <w:rsid w:val="003D5FDD"/>
    <w:rsid w:val="003E3239"/>
    <w:rsid w:val="003E3E3C"/>
    <w:rsid w:val="003F6FDB"/>
    <w:rsid w:val="004011CC"/>
    <w:rsid w:val="004034C0"/>
    <w:rsid w:val="0042137E"/>
    <w:rsid w:val="00423DF1"/>
    <w:rsid w:val="00425FC1"/>
    <w:rsid w:val="00426FEC"/>
    <w:rsid w:val="0042702E"/>
    <w:rsid w:val="00430C58"/>
    <w:rsid w:val="00431D20"/>
    <w:rsid w:val="004331C4"/>
    <w:rsid w:val="0043564D"/>
    <w:rsid w:val="00441C25"/>
    <w:rsid w:val="00446452"/>
    <w:rsid w:val="00455C6D"/>
    <w:rsid w:val="00460737"/>
    <w:rsid w:val="004677A4"/>
    <w:rsid w:val="00472528"/>
    <w:rsid w:val="00472DC8"/>
    <w:rsid w:val="004802EC"/>
    <w:rsid w:val="00490C94"/>
    <w:rsid w:val="0049613C"/>
    <w:rsid w:val="004A29F1"/>
    <w:rsid w:val="004A6641"/>
    <w:rsid w:val="004B1E94"/>
    <w:rsid w:val="004B33FF"/>
    <w:rsid w:val="004D2F69"/>
    <w:rsid w:val="004E4FBA"/>
    <w:rsid w:val="004E7D4B"/>
    <w:rsid w:val="004F132A"/>
    <w:rsid w:val="004F23F6"/>
    <w:rsid w:val="00507012"/>
    <w:rsid w:val="005118B0"/>
    <w:rsid w:val="005131F1"/>
    <w:rsid w:val="00513341"/>
    <w:rsid w:val="0051484F"/>
    <w:rsid w:val="00516B3E"/>
    <w:rsid w:val="00525311"/>
    <w:rsid w:val="005262C9"/>
    <w:rsid w:val="00531D70"/>
    <w:rsid w:val="00534D22"/>
    <w:rsid w:val="005367D6"/>
    <w:rsid w:val="00540309"/>
    <w:rsid w:val="00540D9A"/>
    <w:rsid w:val="00562F52"/>
    <w:rsid w:val="00566BF6"/>
    <w:rsid w:val="0057313E"/>
    <w:rsid w:val="00577843"/>
    <w:rsid w:val="00583434"/>
    <w:rsid w:val="0058349F"/>
    <w:rsid w:val="00584F09"/>
    <w:rsid w:val="005A1803"/>
    <w:rsid w:val="005A78BF"/>
    <w:rsid w:val="005B6B4C"/>
    <w:rsid w:val="005C7516"/>
    <w:rsid w:val="005D1522"/>
    <w:rsid w:val="005D351F"/>
    <w:rsid w:val="005E6CB0"/>
    <w:rsid w:val="005F2137"/>
    <w:rsid w:val="005F28B2"/>
    <w:rsid w:val="005F594C"/>
    <w:rsid w:val="005F5F5F"/>
    <w:rsid w:val="005F649F"/>
    <w:rsid w:val="005F77B6"/>
    <w:rsid w:val="006133BB"/>
    <w:rsid w:val="00622A42"/>
    <w:rsid w:val="00624770"/>
    <w:rsid w:val="00630522"/>
    <w:rsid w:val="00640147"/>
    <w:rsid w:val="0064250B"/>
    <w:rsid w:val="006442D3"/>
    <w:rsid w:val="00650AD8"/>
    <w:rsid w:val="0067167B"/>
    <w:rsid w:val="006813B7"/>
    <w:rsid w:val="006826AA"/>
    <w:rsid w:val="0068356A"/>
    <w:rsid w:val="006851A2"/>
    <w:rsid w:val="00694428"/>
    <w:rsid w:val="006A0DB0"/>
    <w:rsid w:val="006A44B1"/>
    <w:rsid w:val="006A6629"/>
    <w:rsid w:val="006B769E"/>
    <w:rsid w:val="006E767E"/>
    <w:rsid w:val="006F4D40"/>
    <w:rsid w:val="0070198A"/>
    <w:rsid w:val="00720DEE"/>
    <w:rsid w:val="0073344C"/>
    <w:rsid w:val="00740292"/>
    <w:rsid w:val="00740A17"/>
    <w:rsid w:val="00745D29"/>
    <w:rsid w:val="007462D6"/>
    <w:rsid w:val="007463E5"/>
    <w:rsid w:val="0074738B"/>
    <w:rsid w:val="00750FB5"/>
    <w:rsid w:val="0075331F"/>
    <w:rsid w:val="007569FF"/>
    <w:rsid w:val="0076062E"/>
    <w:rsid w:val="007633B3"/>
    <w:rsid w:val="007807E6"/>
    <w:rsid w:val="00793A05"/>
    <w:rsid w:val="007953F3"/>
    <w:rsid w:val="00795E20"/>
    <w:rsid w:val="00795E31"/>
    <w:rsid w:val="007A7803"/>
    <w:rsid w:val="007B061E"/>
    <w:rsid w:val="007B3829"/>
    <w:rsid w:val="007B48D5"/>
    <w:rsid w:val="007B4B34"/>
    <w:rsid w:val="007B5DC6"/>
    <w:rsid w:val="007B5DE0"/>
    <w:rsid w:val="007C3ECB"/>
    <w:rsid w:val="007C7099"/>
    <w:rsid w:val="007D087C"/>
    <w:rsid w:val="007D2013"/>
    <w:rsid w:val="007D4DC3"/>
    <w:rsid w:val="007D6398"/>
    <w:rsid w:val="007E33E4"/>
    <w:rsid w:val="007E3DC7"/>
    <w:rsid w:val="007E4CC9"/>
    <w:rsid w:val="007E4F4F"/>
    <w:rsid w:val="00800D23"/>
    <w:rsid w:val="00803733"/>
    <w:rsid w:val="00816273"/>
    <w:rsid w:val="0082717B"/>
    <w:rsid w:val="00827B04"/>
    <w:rsid w:val="00827E3B"/>
    <w:rsid w:val="0083032E"/>
    <w:rsid w:val="00841907"/>
    <w:rsid w:val="00845E17"/>
    <w:rsid w:val="0085248A"/>
    <w:rsid w:val="00856C0D"/>
    <w:rsid w:val="00856E3D"/>
    <w:rsid w:val="0086036A"/>
    <w:rsid w:val="008653A3"/>
    <w:rsid w:val="008657A2"/>
    <w:rsid w:val="00866645"/>
    <w:rsid w:val="00872F20"/>
    <w:rsid w:val="008738AE"/>
    <w:rsid w:val="00882210"/>
    <w:rsid w:val="008822F4"/>
    <w:rsid w:val="008846D6"/>
    <w:rsid w:val="00886187"/>
    <w:rsid w:val="008A6185"/>
    <w:rsid w:val="008B4E47"/>
    <w:rsid w:val="008C1FE9"/>
    <w:rsid w:val="008C6D73"/>
    <w:rsid w:val="008C7DCE"/>
    <w:rsid w:val="008D18FC"/>
    <w:rsid w:val="008D398B"/>
    <w:rsid w:val="008D7E49"/>
    <w:rsid w:val="008E44EE"/>
    <w:rsid w:val="008E713E"/>
    <w:rsid w:val="008E7DCA"/>
    <w:rsid w:val="008F364A"/>
    <w:rsid w:val="008F3F53"/>
    <w:rsid w:val="009042B2"/>
    <w:rsid w:val="009071C1"/>
    <w:rsid w:val="00913E03"/>
    <w:rsid w:val="009167DA"/>
    <w:rsid w:val="009229E9"/>
    <w:rsid w:val="00925C3C"/>
    <w:rsid w:val="00926189"/>
    <w:rsid w:val="00926953"/>
    <w:rsid w:val="00927715"/>
    <w:rsid w:val="00930C8E"/>
    <w:rsid w:val="00932703"/>
    <w:rsid w:val="009359D4"/>
    <w:rsid w:val="00936469"/>
    <w:rsid w:val="009400B7"/>
    <w:rsid w:val="00947001"/>
    <w:rsid w:val="00950355"/>
    <w:rsid w:val="00950DF2"/>
    <w:rsid w:val="00954DC2"/>
    <w:rsid w:val="00955FCE"/>
    <w:rsid w:val="00956260"/>
    <w:rsid w:val="00957B92"/>
    <w:rsid w:val="00965850"/>
    <w:rsid w:val="009706D5"/>
    <w:rsid w:val="00970966"/>
    <w:rsid w:val="00974442"/>
    <w:rsid w:val="00976C52"/>
    <w:rsid w:val="00980928"/>
    <w:rsid w:val="00991B80"/>
    <w:rsid w:val="009921CE"/>
    <w:rsid w:val="00993732"/>
    <w:rsid w:val="00996CF9"/>
    <w:rsid w:val="00997AA4"/>
    <w:rsid w:val="009A21BA"/>
    <w:rsid w:val="009B228F"/>
    <w:rsid w:val="009C05D0"/>
    <w:rsid w:val="009C2F46"/>
    <w:rsid w:val="009C6040"/>
    <w:rsid w:val="009E0D9D"/>
    <w:rsid w:val="009E329A"/>
    <w:rsid w:val="009E4356"/>
    <w:rsid w:val="009E5265"/>
    <w:rsid w:val="009F187B"/>
    <w:rsid w:val="009F18C5"/>
    <w:rsid w:val="009F1F69"/>
    <w:rsid w:val="009F2666"/>
    <w:rsid w:val="00A02CD8"/>
    <w:rsid w:val="00A23BF4"/>
    <w:rsid w:val="00A2593B"/>
    <w:rsid w:val="00A30976"/>
    <w:rsid w:val="00A32A22"/>
    <w:rsid w:val="00A34E05"/>
    <w:rsid w:val="00A36830"/>
    <w:rsid w:val="00A4195D"/>
    <w:rsid w:val="00A43D8B"/>
    <w:rsid w:val="00A44D40"/>
    <w:rsid w:val="00A454F1"/>
    <w:rsid w:val="00A543CC"/>
    <w:rsid w:val="00A84A03"/>
    <w:rsid w:val="00A90CCF"/>
    <w:rsid w:val="00A93CFF"/>
    <w:rsid w:val="00AB050E"/>
    <w:rsid w:val="00AB35E4"/>
    <w:rsid w:val="00AB7DD2"/>
    <w:rsid w:val="00AC7ACF"/>
    <w:rsid w:val="00AD1028"/>
    <w:rsid w:val="00AD1A1A"/>
    <w:rsid w:val="00AD29A4"/>
    <w:rsid w:val="00AD4FBD"/>
    <w:rsid w:val="00AE6B28"/>
    <w:rsid w:val="00AF03E4"/>
    <w:rsid w:val="00AF0C7C"/>
    <w:rsid w:val="00AF2674"/>
    <w:rsid w:val="00B01D86"/>
    <w:rsid w:val="00B07E4E"/>
    <w:rsid w:val="00B103D5"/>
    <w:rsid w:val="00B104CB"/>
    <w:rsid w:val="00B11FD1"/>
    <w:rsid w:val="00B131F0"/>
    <w:rsid w:val="00B137E9"/>
    <w:rsid w:val="00B30EA2"/>
    <w:rsid w:val="00B36ED3"/>
    <w:rsid w:val="00B403EC"/>
    <w:rsid w:val="00B42EFE"/>
    <w:rsid w:val="00B513C9"/>
    <w:rsid w:val="00B56EF4"/>
    <w:rsid w:val="00B625A6"/>
    <w:rsid w:val="00B63205"/>
    <w:rsid w:val="00B67D8B"/>
    <w:rsid w:val="00B70485"/>
    <w:rsid w:val="00B749CA"/>
    <w:rsid w:val="00B81EE2"/>
    <w:rsid w:val="00B8219A"/>
    <w:rsid w:val="00B82A13"/>
    <w:rsid w:val="00B86368"/>
    <w:rsid w:val="00B96BD0"/>
    <w:rsid w:val="00B975C0"/>
    <w:rsid w:val="00BA178B"/>
    <w:rsid w:val="00BB1623"/>
    <w:rsid w:val="00BB2511"/>
    <w:rsid w:val="00BB3701"/>
    <w:rsid w:val="00BC01CE"/>
    <w:rsid w:val="00BC15C7"/>
    <w:rsid w:val="00BC3916"/>
    <w:rsid w:val="00BC44F8"/>
    <w:rsid w:val="00BC7296"/>
    <w:rsid w:val="00BC73EA"/>
    <w:rsid w:val="00BD6522"/>
    <w:rsid w:val="00BF3E2F"/>
    <w:rsid w:val="00BF573B"/>
    <w:rsid w:val="00BF788C"/>
    <w:rsid w:val="00C02AF8"/>
    <w:rsid w:val="00C04628"/>
    <w:rsid w:val="00C04DF9"/>
    <w:rsid w:val="00C15F44"/>
    <w:rsid w:val="00C17E01"/>
    <w:rsid w:val="00C3108A"/>
    <w:rsid w:val="00C314F5"/>
    <w:rsid w:val="00C31AC4"/>
    <w:rsid w:val="00C409BE"/>
    <w:rsid w:val="00C423CA"/>
    <w:rsid w:val="00C46347"/>
    <w:rsid w:val="00C525B0"/>
    <w:rsid w:val="00C5634E"/>
    <w:rsid w:val="00C652ED"/>
    <w:rsid w:val="00C71DA9"/>
    <w:rsid w:val="00C75E7D"/>
    <w:rsid w:val="00C7793C"/>
    <w:rsid w:val="00C939A8"/>
    <w:rsid w:val="00C97145"/>
    <w:rsid w:val="00C97F85"/>
    <w:rsid w:val="00CB5B9D"/>
    <w:rsid w:val="00CB6450"/>
    <w:rsid w:val="00CB7081"/>
    <w:rsid w:val="00CC0EAD"/>
    <w:rsid w:val="00CC2079"/>
    <w:rsid w:val="00CC3200"/>
    <w:rsid w:val="00CD4B70"/>
    <w:rsid w:val="00CE1FD6"/>
    <w:rsid w:val="00CF36D8"/>
    <w:rsid w:val="00CF7778"/>
    <w:rsid w:val="00D010FD"/>
    <w:rsid w:val="00D02812"/>
    <w:rsid w:val="00D07E7E"/>
    <w:rsid w:val="00D128ED"/>
    <w:rsid w:val="00D13D14"/>
    <w:rsid w:val="00D16126"/>
    <w:rsid w:val="00D20056"/>
    <w:rsid w:val="00D31C44"/>
    <w:rsid w:val="00D52ADB"/>
    <w:rsid w:val="00D55B05"/>
    <w:rsid w:val="00D6397B"/>
    <w:rsid w:val="00D71FC7"/>
    <w:rsid w:val="00D72159"/>
    <w:rsid w:val="00D727A1"/>
    <w:rsid w:val="00D7528D"/>
    <w:rsid w:val="00D95A56"/>
    <w:rsid w:val="00DA19FB"/>
    <w:rsid w:val="00DB2119"/>
    <w:rsid w:val="00DC05BC"/>
    <w:rsid w:val="00DC7BDA"/>
    <w:rsid w:val="00DD3A24"/>
    <w:rsid w:val="00DF0890"/>
    <w:rsid w:val="00DF25B6"/>
    <w:rsid w:val="00DF3516"/>
    <w:rsid w:val="00E03C07"/>
    <w:rsid w:val="00E05133"/>
    <w:rsid w:val="00E05FE4"/>
    <w:rsid w:val="00E15CA7"/>
    <w:rsid w:val="00E209EA"/>
    <w:rsid w:val="00E20E3C"/>
    <w:rsid w:val="00E217C5"/>
    <w:rsid w:val="00E21913"/>
    <w:rsid w:val="00E338D8"/>
    <w:rsid w:val="00E36290"/>
    <w:rsid w:val="00E5416B"/>
    <w:rsid w:val="00E5606B"/>
    <w:rsid w:val="00E57438"/>
    <w:rsid w:val="00E656E5"/>
    <w:rsid w:val="00E81E61"/>
    <w:rsid w:val="00E848B4"/>
    <w:rsid w:val="00E9002D"/>
    <w:rsid w:val="00E91417"/>
    <w:rsid w:val="00E94329"/>
    <w:rsid w:val="00E96F69"/>
    <w:rsid w:val="00EA33AE"/>
    <w:rsid w:val="00EA6EE7"/>
    <w:rsid w:val="00EB1377"/>
    <w:rsid w:val="00EC03FE"/>
    <w:rsid w:val="00EC1E33"/>
    <w:rsid w:val="00EE2082"/>
    <w:rsid w:val="00EE2D5E"/>
    <w:rsid w:val="00EE4078"/>
    <w:rsid w:val="00F07022"/>
    <w:rsid w:val="00F1119E"/>
    <w:rsid w:val="00F3204C"/>
    <w:rsid w:val="00F3396D"/>
    <w:rsid w:val="00F33E30"/>
    <w:rsid w:val="00F35A34"/>
    <w:rsid w:val="00F40882"/>
    <w:rsid w:val="00F43559"/>
    <w:rsid w:val="00F4554F"/>
    <w:rsid w:val="00F50F2F"/>
    <w:rsid w:val="00F5789B"/>
    <w:rsid w:val="00F579A6"/>
    <w:rsid w:val="00F63D9B"/>
    <w:rsid w:val="00F646A5"/>
    <w:rsid w:val="00F660AA"/>
    <w:rsid w:val="00F75AAB"/>
    <w:rsid w:val="00F75C76"/>
    <w:rsid w:val="00F84A15"/>
    <w:rsid w:val="00F90A78"/>
    <w:rsid w:val="00F9121D"/>
    <w:rsid w:val="00FB005A"/>
    <w:rsid w:val="00FC64AF"/>
    <w:rsid w:val="00FC720B"/>
    <w:rsid w:val="00FD0771"/>
    <w:rsid w:val="00FD21FF"/>
    <w:rsid w:val="00FE3FE9"/>
    <w:rsid w:val="00FE6A10"/>
    <w:rsid w:val="00FF04D5"/>
    <w:rsid w:val="00FF2093"/>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601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0" w:lineRule="exact"/>
    </w:pPr>
    <w:rPr>
      <w:rFonts w:ascii="Arial" w:hAnsi="Arial"/>
      <w:sz w:val="24"/>
      <w:lang w:eastAsia="fr-FR"/>
    </w:rPr>
  </w:style>
  <w:style w:type="paragraph" w:styleId="Titre1">
    <w:name w:val="heading 1"/>
    <w:basedOn w:val="Normal"/>
    <w:next w:val="Normal"/>
    <w:qFormat/>
    <w:pPr>
      <w:keepNext/>
      <w:spacing w:before="240" w:after="60" w:line="500" w:lineRule="exact"/>
      <w:outlineLvl w:val="0"/>
    </w:pPr>
    <w:rPr>
      <w:b/>
      <w:kern w:val="28"/>
      <w:sz w:val="28"/>
    </w:rPr>
  </w:style>
  <w:style w:type="paragraph" w:styleId="Titre2">
    <w:name w:val="heading 2"/>
    <w:basedOn w:val="Normal"/>
    <w:next w:val="Normal"/>
    <w:qFormat/>
    <w:pPr>
      <w:keepNext/>
      <w:spacing w:before="240" w:after="60"/>
      <w:outlineLvl w:val="1"/>
    </w:pPr>
    <w:rPr>
      <w:b/>
      <w:i/>
    </w:rPr>
  </w:style>
  <w:style w:type="paragraph" w:styleId="Titre3">
    <w:name w:val="heading 3"/>
    <w:basedOn w:val="Normal"/>
    <w:next w:val="Normal"/>
    <w:qFormat/>
    <w:pPr>
      <w:keepNext/>
      <w:spacing w:before="240" w:after="60"/>
      <w:outlineLvl w:val="2"/>
    </w:pPr>
  </w:style>
  <w:style w:type="paragraph" w:styleId="Titre4">
    <w:name w:val="heading 4"/>
    <w:basedOn w:val="Normal"/>
    <w:next w:val="Normal"/>
    <w:qFormat/>
    <w:pPr>
      <w:keepNext/>
      <w:spacing w:before="240" w:after="60"/>
      <w:outlineLvl w:val="3"/>
    </w:pPr>
    <w:rPr>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link w:val="ParagrapheCar"/>
    <w:pPr>
      <w:numPr>
        <w:numId w:val="18"/>
      </w:numPr>
      <w:spacing w:before="120" w:after="120" w:line="500" w:lineRule="exact"/>
      <w:jc w:val="both"/>
    </w:pPr>
    <w:rPr>
      <w:kern w:val="28"/>
    </w:rPr>
  </w:style>
  <w:style w:type="paragraph" w:customStyle="1" w:styleId="Citationenretrait">
    <w:name w:val="Citation en retrait"/>
    <w:basedOn w:val="Normal"/>
    <w:qFormat/>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aliases w:val=" Char1 Char1 Char Char, Char1 Char1 Char1, Char1 Char2 Char, Char1 Char3,Char1 Char1 Char Char,Char1 Char1 Char1,Char1 Char2 Char,Footnote Text Char Char Char,Footnote Text Char Char1,Footnote Text Char1 Char,Footnote Text Char2,fn"/>
    <w:basedOn w:val="Normal"/>
    <w:link w:val="NotedebasdepageCar"/>
    <w:uiPriority w:val="99"/>
    <w:qFormat/>
    <w:pPr>
      <w:spacing w:line="240" w:lineRule="auto"/>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spacing w:line="500" w:lineRule="exact"/>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style>
  <w:style w:type="paragraph" w:customStyle="1" w:styleId="zSoquijdatGreffe">
    <w:name w:val="zSoquij_datGreffe"/>
    <w:basedOn w:val="Normal"/>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pPr>
      <w:ind w:left="950"/>
    </w:pPr>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rPr>
      <w:b/>
    </w:rPr>
  </w:style>
  <w:style w:type="paragraph" w:customStyle="1" w:styleId="zSoquijdatQteJuge">
    <w:name w:val="zSoquij_datQteJuge"/>
    <w:basedOn w:val="Normal"/>
    <w:rPr>
      <w:b/>
    </w:rPr>
  </w:style>
  <w:style w:type="paragraph" w:customStyle="1" w:styleId="zSoquijdatJuge">
    <w:name w:val="zSoquij_datJuge"/>
    <w:basedOn w:val="Normal"/>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jc w:val="center"/>
    </w:pPr>
  </w:style>
  <w:style w:type="character" w:customStyle="1" w:styleId="zSoquijlblEntNoDossier">
    <w:name w:val="zSoquij_lblEntNoDossier"/>
    <w:basedOn w:val="Policepardfaut"/>
    <w:rPr>
      <w:noProof w:val="0"/>
      <w:lang w:val="fr-CA"/>
    </w:rPr>
  </w:style>
  <w:style w:type="paragraph" w:customStyle="1" w:styleId="zSoquijlblTitrePartie">
    <w:name w:val="zSoquij_lblTitrePartie"/>
    <w:basedOn w:val="Normal"/>
  </w:style>
  <w:style w:type="paragraph" w:customStyle="1" w:styleId="zSoquijdatIdJuge">
    <w:name w:val="zSoquij_datIdJuge"/>
    <w:basedOn w:val="Normal"/>
    <w:pPr>
      <w:jc w:val="right"/>
    </w:pPr>
  </w:style>
  <w:style w:type="paragraph" w:customStyle="1" w:styleId="Sous-paragraphe">
    <w:name w:val="Sous-paragraphe"/>
    <w:basedOn w:val="Normal"/>
    <w:pPr>
      <w:widowControl w:val="0"/>
      <w:numPr>
        <w:ilvl w:val="1"/>
        <w:numId w:val="18"/>
      </w:numPr>
      <w:spacing w:after="120"/>
      <w:jc w:val="both"/>
    </w:pPr>
    <w:rPr>
      <w:kern w:val="28"/>
    </w:rPr>
  </w:style>
  <w:style w:type="paragraph" w:customStyle="1" w:styleId="zSoquijdatNomProcureurDem">
    <w:name w:val="zSoquij_datNomProcureurDem"/>
    <w:basedOn w:val="zSoquijlblProcureurDem"/>
    <w:pPr>
      <w:keepNext/>
    </w:pPr>
  </w:style>
  <w:style w:type="paragraph" w:customStyle="1" w:styleId="zSoquijdatNomProcureurDef">
    <w:name w:val="zSoquij_datNomProcureurDef"/>
    <w:basedOn w:val="zSoquijlblProcureurDef"/>
    <w:pPr>
      <w:keepNext/>
    </w:pPr>
  </w:style>
  <w:style w:type="paragraph" w:customStyle="1" w:styleId="zSoquijdatCabinetProcureurDem">
    <w:name w:val="zSoquij_datCabinetProcureurDem"/>
    <w:basedOn w:val="Normal"/>
    <w:pPr>
      <w:keepNext/>
    </w:pPr>
  </w:style>
  <w:style w:type="paragraph" w:customStyle="1" w:styleId="zSoquijdatCabinetProcureurDef">
    <w:name w:val="zSoquij_datCabinetProcureurDef"/>
    <w:basedOn w:val="zSoquijlblProcureurDef"/>
    <w:pPr>
      <w:keepNext/>
    </w:pPr>
  </w:style>
  <w:style w:type="paragraph" w:styleId="En-tte">
    <w:name w:val="header"/>
    <w:basedOn w:val="Normal"/>
    <w:semiHidden/>
    <w:pPr>
      <w:tabs>
        <w:tab w:val="center" w:pos="4320"/>
        <w:tab w:val="right" w:pos="8640"/>
      </w:tabs>
    </w:pPr>
  </w:style>
  <w:style w:type="paragraph" w:styleId="Pieddepage">
    <w:name w:val="footer"/>
    <w:basedOn w:val="Normal"/>
    <w:semiHidden/>
    <w:pPr>
      <w:tabs>
        <w:tab w:val="center" w:pos="4320"/>
        <w:tab w:val="right" w:pos="8640"/>
      </w:tabs>
    </w:pPr>
  </w:style>
  <w:style w:type="paragraph" w:customStyle="1" w:styleId="Tableaudroiteanglais">
    <w:name w:val="Tableau droite anglais"/>
    <w:basedOn w:val="Tableaugauchefranais"/>
    <w:pPr>
      <w:ind w:left="144" w:right="720"/>
      <w:jc w:val="both"/>
    </w:pPr>
    <w:rPr>
      <w:lang w:val="en-CA"/>
    </w:rPr>
  </w:style>
  <w:style w:type="paragraph" w:customStyle="1" w:styleId="Tableaugauchefranais">
    <w:name w:val="Tableau gauche français"/>
    <w:basedOn w:val="Normal"/>
    <w:pPr>
      <w:ind w:left="720" w:right="144"/>
    </w:pPr>
    <w:rPr>
      <w:sz w:val="22"/>
    </w:rPr>
  </w:style>
  <w:style w:type="character" w:styleId="Appelnotedebasdep">
    <w:name w:val="footnote reference"/>
    <w:uiPriority w:val="99"/>
    <w:qFormat/>
    <w:rPr>
      <w:noProof w:val="0"/>
      <w:vertAlign w:val="superscript"/>
      <w:lang w:val="fr-CA"/>
    </w:rPr>
  </w:style>
  <w:style w:type="paragraph" w:styleId="Corpsdetexte3">
    <w:name w:val="Body Text 3"/>
    <w:basedOn w:val="Normal"/>
    <w:semiHidden/>
    <w:pPr>
      <w:spacing w:after="120"/>
    </w:pPr>
    <w:rPr>
      <w:sz w:val="16"/>
    </w:rPr>
  </w:style>
  <w:style w:type="paragraph" w:customStyle="1" w:styleId="zSoquijdatRepertorie">
    <w:name w:val="zSoquij_datRepertorie"/>
    <w:basedOn w:val="zSoquijlblCour"/>
    <w:pPr>
      <w:spacing w:line="240" w:lineRule="auto"/>
      <w:jc w:val="left"/>
    </w:pPr>
    <w:rPr>
      <w:sz w:val="22"/>
    </w:rPr>
  </w:style>
  <w:style w:type="paragraph" w:customStyle="1" w:styleId="zSoquijdatRefNeutre">
    <w:name w:val="zSoquij_datRefNeutre"/>
    <w:basedOn w:val="zSoquijlblCour"/>
    <w:pPr>
      <w:spacing w:line="240" w:lineRule="auto"/>
      <w:jc w:val="left"/>
    </w:pPr>
    <w:rPr>
      <w:sz w:val="22"/>
    </w:rPr>
  </w:style>
  <w:style w:type="table" w:styleId="Grilledutableau">
    <w:name w:val="Table Grid"/>
    <w:basedOn w:val="TableauNormal"/>
    <w:uiPriority w:val="39"/>
    <w:rsid w:val="00E20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E323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3239"/>
    <w:rPr>
      <w:rFonts w:ascii="Segoe UI" w:hAnsi="Segoe UI" w:cs="Segoe UI"/>
      <w:sz w:val="18"/>
      <w:szCs w:val="18"/>
      <w:lang w:eastAsia="fr-FR"/>
    </w:rPr>
  </w:style>
  <w:style w:type="character" w:customStyle="1" w:styleId="ParagrapheCar">
    <w:name w:val="Paragraphe Car"/>
    <w:link w:val="Paragraphe"/>
    <w:rsid w:val="004E7D4B"/>
    <w:rPr>
      <w:rFonts w:ascii="Arial" w:hAnsi="Arial"/>
      <w:kern w:val="28"/>
      <w:sz w:val="24"/>
      <w:lang w:eastAsia="fr-FR"/>
    </w:rPr>
  </w:style>
  <w:style w:type="character" w:customStyle="1" w:styleId="NotedebasdepageCar">
    <w:name w:val="Note de bas de page Car"/>
    <w:aliases w:val=" Char1 Char1 Char Char Car, Char1 Char1 Char1 Car, Char1 Char2 Char Car, Char1 Char3 Car,Char1 Char1 Char Char Car,Char1 Char1 Char1 Car,Char1 Char2 Char Car,Footnote Text Char Char Char Car,Footnote Text Char Char1 Car,fn Car"/>
    <w:basedOn w:val="Policepardfaut"/>
    <w:link w:val="Notedebasdepage"/>
    <w:uiPriority w:val="99"/>
    <w:rsid w:val="00D727A1"/>
    <w:rPr>
      <w:rFonts w:ascii="Arial" w:hAnsi="Arial"/>
      <w:lang w:eastAsia="fr-FR"/>
    </w:rPr>
  </w:style>
  <w:style w:type="paragraph" w:customStyle="1" w:styleId="Paragrdouble">
    <w:name w:val="Paragr. double"/>
    <w:basedOn w:val="Normal"/>
    <w:link w:val="ParagrdoubleCar"/>
    <w:rsid w:val="00276A1F"/>
    <w:pPr>
      <w:tabs>
        <w:tab w:val="num" w:pos="360"/>
        <w:tab w:val="left" w:pos="731"/>
      </w:tabs>
      <w:spacing w:before="120" w:after="120" w:line="240" w:lineRule="auto"/>
      <w:jc w:val="both"/>
    </w:pPr>
    <w:rPr>
      <w:kern w:val="28"/>
    </w:rPr>
  </w:style>
  <w:style w:type="character" w:customStyle="1" w:styleId="ParagrdoubleCar">
    <w:name w:val="Paragr. double Car"/>
    <w:basedOn w:val="Policepardfaut"/>
    <w:link w:val="Paragrdouble"/>
    <w:rsid w:val="00276A1F"/>
    <w:rPr>
      <w:rFonts w:ascii="Arial" w:hAnsi="Arial"/>
      <w:kern w:val="28"/>
      <w:sz w:val="24"/>
      <w:lang w:eastAsia="fr-FR"/>
    </w:rPr>
  </w:style>
  <w:style w:type="character" w:styleId="Hyperlien">
    <w:name w:val="Hyperlink"/>
    <w:basedOn w:val="Policepardfaut"/>
    <w:uiPriority w:val="99"/>
    <w:unhideWhenUsed/>
    <w:rsid w:val="00276A1F"/>
    <w:rPr>
      <w:color w:val="0000FF"/>
      <w:u w:val="single"/>
    </w:rPr>
  </w:style>
  <w:style w:type="paragraph" w:customStyle="1" w:styleId="1">
    <w:name w:val="1"/>
    <w:basedOn w:val="Normal"/>
    <w:rsid w:val="00276A1F"/>
    <w:pPr>
      <w:spacing w:before="100" w:beforeAutospacing="1" w:after="100" w:afterAutospacing="1" w:line="240" w:lineRule="auto"/>
    </w:pPr>
    <w:rPr>
      <w:rFonts w:ascii="Times New Roman" w:hAnsi="Times New Roman"/>
      <w:szCs w:val="24"/>
      <w:lang w:eastAsia="fr-CA"/>
    </w:rPr>
  </w:style>
  <w:style w:type="character" w:customStyle="1" w:styleId="reflex2-link">
    <w:name w:val="reflex2-link"/>
    <w:basedOn w:val="Policepardfaut"/>
    <w:rsid w:val="00276A1F"/>
  </w:style>
  <w:style w:type="paragraph" w:customStyle="1" w:styleId="Transcription">
    <w:name w:val="Transcription"/>
    <w:basedOn w:val="Normal"/>
    <w:rsid w:val="00276A1F"/>
    <w:pPr>
      <w:spacing w:before="120" w:after="120"/>
      <w:ind w:right="72"/>
      <w:jc w:val="both"/>
    </w:pPr>
    <w:rPr>
      <w:rFonts w:ascii="Courier New" w:hAnsi="Courier New"/>
      <w:kern w:val="24"/>
      <w:sz w:val="22"/>
    </w:rPr>
  </w:style>
  <w:style w:type="paragraph" w:styleId="Rvision">
    <w:name w:val="Revision"/>
    <w:hidden/>
    <w:uiPriority w:val="99"/>
    <w:semiHidden/>
    <w:rsid w:val="00276A1F"/>
    <w:rPr>
      <w:rFonts w:ascii="Arial" w:hAnsi="Arial"/>
      <w:sz w:val="24"/>
      <w:lang w:eastAsia="fr-FR"/>
    </w:rPr>
  </w:style>
  <w:style w:type="character" w:styleId="Marquedecommentaire">
    <w:name w:val="annotation reference"/>
    <w:basedOn w:val="Policepardfaut"/>
    <w:uiPriority w:val="99"/>
    <w:semiHidden/>
    <w:unhideWhenUsed/>
    <w:rsid w:val="00276A1F"/>
    <w:rPr>
      <w:sz w:val="16"/>
      <w:szCs w:val="16"/>
    </w:rPr>
  </w:style>
  <w:style w:type="paragraph" w:styleId="Commentaire">
    <w:name w:val="annotation text"/>
    <w:basedOn w:val="Normal"/>
    <w:link w:val="CommentaireCar"/>
    <w:uiPriority w:val="99"/>
    <w:unhideWhenUsed/>
    <w:rsid w:val="00276A1F"/>
    <w:pPr>
      <w:spacing w:line="240" w:lineRule="auto"/>
    </w:pPr>
    <w:rPr>
      <w:sz w:val="20"/>
    </w:rPr>
  </w:style>
  <w:style w:type="character" w:customStyle="1" w:styleId="CommentaireCar">
    <w:name w:val="Commentaire Car"/>
    <w:basedOn w:val="Policepardfaut"/>
    <w:link w:val="Commentaire"/>
    <w:uiPriority w:val="99"/>
    <w:rsid w:val="00276A1F"/>
    <w:rPr>
      <w:rFonts w:ascii="Arial" w:hAnsi="Arial"/>
      <w:lang w:eastAsia="fr-FR"/>
    </w:rPr>
  </w:style>
  <w:style w:type="paragraph" w:styleId="Objetducommentaire">
    <w:name w:val="annotation subject"/>
    <w:basedOn w:val="Commentaire"/>
    <w:next w:val="Commentaire"/>
    <w:link w:val="ObjetducommentaireCar"/>
    <w:uiPriority w:val="99"/>
    <w:semiHidden/>
    <w:unhideWhenUsed/>
    <w:rsid w:val="00276A1F"/>
    <w:rPr>
      <w:b/>
      <w:bCs/>
    </w:rPr>
  </w:style>
  <w:style w:type="character" w:customStyle="1" w:styleId="ObjetducommentaireCar">
    <w:name w:val="Objet du commentaire Car"/>
    <w:basedOn w:val="CommentaireCar"/>
    <w:link w:val="Objetducommentaire"/>
    <w:uiPriority w:val="99"/>
    <w:semiHidden/>
    <w:rsid w:val="00276A1F"/>
    <w:rPr>
      <w:rFonts w:ascii="Arial" w:hAnsi="Arial"/>
      <w:b/>
      <w:bCs/>
      <w:lang w:eastAsia="fr-FR"/>
    </w:rPr>
  </w:style>
  <w:style w:type="character" w:customStyle="1" w:styleId="Mentionnonrsolue1">
    <w:name w:val="Mention non résolue1"/>
    <w:basedOn w:val="Policepardfaut"/>
    <w:uiPriority w:val="99"/>
    <w:semiHidden/>
    <w:unhideWhenUsed/>
    <w:rsid w:val="00276A1F"/>
    <w:rPr>
      <w:color w:val="605E5C"/>
      <w:shd w:val="clear" w:color="auto" w:fill="E1DFDD"/>
    </w:rPr>
  </w:style>
  <w:style w:type="paragraph" w:customStyle="1" w:styleId="paranondepar-altn">
    <w:name w:val="paranondepar-altn"/>
    <w:basedOn w:val="Normal"/>
    <w:rsid w:val="00276A1F"/>
    <w:pPr>
      <w:spacing w:before="100" w:beforeAutospacing="1" w:after="100" w:afterAutospacing="1" w:line="240" w:lineRule="auto"/>
    </w:pPr>
    <w:rPr>
      <w:rFonts w:ascii="Times New Roman" w:hAnsi="Times New Roman"/>
      <w:szCs w:val="24"/>
      <w:lang w:eastAsia="fr-CA"/>
    </w:rPr>
  </w:style>
  <w:style w:type="character" w:customStyle="1" w:styleId="reflex">
    <w:name w:val="reflex"/>
    <w:basedOn w:val="Policepardfaut"/>
    <w:rsid w:val="00276A1F"/>
  </w:style>
  <w:style w:type="character" w:customStyle="1" w:styleId="solexhl">
    <w:name w:val="solexhl"/>
    <w:basedOn w:val="Policepardfaut"/>
    <w:rsid w:val="00276A1F"/>
  </w:style>
  <w:style w:type="paragraph" w:customStyle="1" w:styleId="citation-altc">
    <w:name w:val="citation-altc"/>
    <w:basedOn w:val="Normal"/>
    <w:rsid w:val="00276A1F"/>
    <w:pPr>
      <w:spacing w:before="100" w:beforeAutospacing="1" w:after="100" w:afterAutospacing="1" w:line="240" w:lineRule="auto"/>
    </w:pPr>
    <w:rPr>
      <w:rFonts w:ascii="Times New Roman" w:hAnsi="Times New Roman"/>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66330-7CFF-4A96-9E45-DB0AC8FA3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13170</Words>
  <Characters>72441</Characters>
  <Application>Microsoft Office Word</Application>
  <DocSecurity>0</DocSecurity>
  <Lines>603</Lines>
  <Paragraphs>170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2025-07-10T01:49:00Z</dcterms:created>
  <dcterms:modified xsi:type="dcterms:W3CDTF">2025-07-10T01:49:00Z</dcterms:modified>
</cp:coreProperties>
</file>